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Possible connections — not checked</w:t>
      </w:r>
    </w:p>
    <w:p>
      <w:pPr>
        <w:pStyle w:val="SourceNote"/>
      </w:pPr>
      <w:r>
        <w:t>Automatically collected research leads for “Let’s see”. These are NOT verified outcomes or final findings.</w:t>
      </w:r>
    </w:p>
    <w:p/>
    <w:p>
      <w:pPr>
        <w:pStyle w:val="Heading2"/>
      </w:pPr>
      <w:r>
        <w:t>1. Group suggestions — screened combinations</w:t>
      </w:r>
    </w:p>
    <w:p>
      <w:pPr/>
      <w:r>
        <w:t>Exact groups marked rejected by an LLM review are excluded here. Individual source leads further below are NOT proposed two-paper groups and remain available for other combinations.</w:t>
      </w:r>
    </w:p>
    <w:p>
      <w:pPr>
        <w:pStyle w:val="Heading2"/>
      </w:pPr>
      <w:r>
        <w:t>2. Claim + two later sources: Retirement timing in a future welfare state: a Finnish Delphi study</w:t>
      </w:r>
    </w:p>
    <w:p>
      <w:pPr>
        <w:pStyle w:val="SourceNote"/>
      </w:pPr>
      <w:r>
        <w:rPr>
          <w:b/>
        </w:rPr>
        <w:t>Group ID:</w:t>
      </w:r>
      <w:r>
        <w:t xml:space="preserve"> group-f227050e06d5254a2bd0</w:t>
      </w:r>
    </w:p>
    <w:p>
      <w:pPr>
        <w:pStyle w:val="SourceNote"/>
      </w:pPr>
      <w:r>
        <w:rPr>
          <w:b/>
        </w:rPr>
        <w:t>Original source:</w:t>
      </w:r>
      <w:r>
        <w:t xml:space="preserve"> https://doi.org/10.1108/ijssp-04-2018-0067</w:t>
      </w:r>
    </w:p>
    <w:p>
      <w:pPr/>
      <w:r>
        <w:rPr>
          <w:b/>
        </w:rPr>
        <w:t>Original future claim:</w:t>
      </w:r>
      <w:r>
        <w:t xml:space="preserve"> 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r>
        <w:rPr>
          <w:b/>
        </w:rPr>
        <w:t>Later source:</w:t>
      </w:r>
      <w:r>
        <w:t xml:space="preserve"> Sources of (Dis-)Identification with Europe: A Q-Methodological Approach — https://doi.org/10.1080/15283488.2026.2664567</w:t>
      </w:r>
    </w:p>
    <w:p>
      <w:pPr/>
      <w:r>
        <w:rPr>
          <w:b/>
        </w:rPr>
        <w:t>Later source:</w:t>
      </w:r>
      <w:r>
        <w:t xml:space="preserve"> Urban cooperation for sustainable development in Europe: a co-designed methodology to foster multi-level governance — https://doi.org/10.1108/ijpsm-12-2025-0662</w:t>
      </w:r>
    </w:p>
    <w:p>
      <w:pPr>
        <w:pStyle w:val="SourceNote"/>
      </w:pPr>
      <w:r>
        <w:rPr>
          <w:b/>
        </w:rPr>
        <w:t>Review status:</w:t>
      </w:r>
      <w:r>
        <w:t xml:space="preserve"> unchecked — possible relationship only</w:t>
      </w:r>
    </w:p>
    <w:p>
      <w:pPr>
        <w:pStyle w:val="Heading2"/>
      </w:pPr>
      <w:r>
        <w:t>3. Claim + two later sources: Population Projection Revisions and Their Impact on Economic Growth – The Case of Malta</w:t>
      </w:r>
    </w:p>
    <w:p>
      <w:pPr>
        <w:pStyle w:val="SourceNote"/>
      </w:pPr>
      <w:r>
        <w:rPr>
          <w:b/>
        </w:rPr>
        <w:t>Group ID:</w:t>
      </w:r>
      <w:r>
        <w:t xml:space="preserve"> group-0764f14beaa3c4ffdc4b</w:t>
      </w:r>
    </w:p>
    <w:p>
      <w:pPr>
        <w:pStyle w:val="SourceNote"/>
      </w:pPr>
      <w:r>
        <w:rPr>
          <w:b/>
        </w:rPr>
        <w:t>Original source:</w:t>
      </w:r>
      <w:r>
        <w:t xml:space="preserve"> https://doi.org/10.5296/rae.v11i3.15285</w:t>
      </w:r>
    </w:p>
    <w:p>
      <w:pPr/>
      <w:r>
        <w:rPr>
          <w:b/>
        </w:rPr>
        <w:t>Original future claim:</w:t>
      </w:r>
      <w:r>
        <w:t xml:space="preserve"> 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r>
        <w:rPr>
          <w:b/>
        </w:rPr>
        <w:t>Later source:</w:t>
      </w:r>
      <w:r>
        <w:t xml:space="preserve"> Government Policy, Financial Deepening and Economic Growth in Central and Eastern Europe — https://openalex.org/W7162059004</w:t>
      </w:r>
    </w:p>
    <w:p>
      <w:pPr/>
      <w:r>
        <w:rPr>
          <w:b/>
        </w:rPr>
        <w:t>Later source:</w:t>
      </w:r>
      <w:r>
        <w:t xml:space="preserve"> Classical biological control of invasive aquatic weeds in Great Britain and Europe — https://doi.org/10.3897/aca.9.e204108</w:t>
      </w:r>
    </w:p>
    <w:p>
      <w:pPr>
        <w:pStyle w:val="SourceNote"/>
      </w:pPr>
      <w:r>
        <w:rPr>
          <w:b/>
        </w:rPr>
        <w:t>Review status:</w:t>
      </w:r>
      <w:r>
        <w:t xml:space="preserve"> unchecked — possible relationship only</w:t>
      </w:r>
    </w:p>
    <w:p>
      <w:pPr>
        <w:pStyle w:val="Heading2"/>
      </w:pPr>
      <w:r>
        <w:t>4. Claim + two later sources: Pathways to Decarbonise the European Car Fleet: A Scenario Analysis Using the Backcasting Approach</w:t>
      </w:r>
    </w:p>
    <w:p>
      <w:pPr>
        <w:pStyle w:val="SourceNote"/>
      </w:pPr>
      <w:r>
        <w:rPr>
          <w:b/>
        </w:rPr>
        <w:t>Group ID:</w:t>
      </w:r>
      <w:r>
        <w:t xml:space="preserve"> group-a575210e599282b08e48</w:t>
      </w:r>
    </w:p>
    <w:p>
      <w:pPr>
        <w:pStyle w:val="SourceNote"/>
      </w:pPr>
      <w:r>
        <w:rPr>
          <w:b/>
        </w:rPr>
        <w:t>Original source:</w:t>
      </w:r>
      <w:r>
        <w:t xml:space="preserve"> https://doi.org/10.3390/en11010020</w:t>
      </w:r>
    </w:p>
    <w:p>
      <w:pPr/>
      <w:r>
        <w:rPr>
          <w:b/>
        </w:rPr>
        <w:t>Original future claim:</w:t>
      </w:r>
      <w:r>
        <w:t xml:space="preserve"> 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r>
        <w:rPr>
          <w:b/>
        </w:rPr>
        <w:t>Later source:</w:t>
      </w:r>
      <w:r>
        <w:t xml:space="preserve"> The military green transition: Decarbonisation as warfighting opportunity — https://doi.org/10.1016/j.polgeo.2026.103573</w:t>
      </w:r>
    </w:p>
    <w:p>
      <w:pPr/>
      <w:r>
        <w:rPr>
          <w:b/>
        </w:rPr>
        <w:t>Later source:</w:t>
      </w:r>
      <w:r>
        <w:t xml:space="preserve"> Electrification pathways for passenger cars: A comparative analysis of China and Europe — https://doi.org/10.1016/j.esr.2026.102369</w:t>
      </w:r>
    </w:p>
    <w:p>
      <w:pPr>
        <w:pStyle w:val="SourceNote"/>
      </w:pPr>
      <w:r>
        <w:rPr>
          <w:b/>
        </w:rPr>
        <w:t>Review status:</w:t>
      </w:r>
      <w:r>
        <w:t xml:space="preserve"> unchecked — possible relationship only</w:t>
      </w:r>
    </w:p>
    <w:p>
      <w:pPr>
        <w:pStyle w:val="Heading2"/>
      </w:pPr>
      <w:r>
        <w:t>5. Claim + two later sources: THE CRITICAL ANALYSIS OF SCENARIO CONSTRUCTION IN THE POLISH FORESIGHT INITIATIVES</w:t>
      </w:r>
    </w:p>
    <w:p>
      <w:pPr>
        <w:pStyle w:val="SourceNote"/>
      </w:pPr>
      <w:r>
        <w:rPr>
          <w:b/>
        </w:rPr>
        <w:t>Group ID:</w:t>
      </w:r>
      <w:r>
        <w:t xml:space="preserve"> group-39996fa62cb29087104d</w:t>
      </w:r>
    </w:p>
    <w:p>
      <w:pPr>
        <w:pStyle w:val="SourceNote"/>
      </w:pPr>
      <w:r>
        <w:rPr>
          <w:b/>
        </w:rPr>
        <w:t>Original source:</w:t>
      </w:r>
      <w:r>
        <w:t xml:space="preserve"> https://doi.org/10.3846/20294913.2013.809030</w:t>
      </w:r>
    </w:p>
    <w:p>
      <w:pPr/>
      <w:r>
        <w:rPr>
          <w:b/>
        </w:rPr>
        <w:t>Original future claim:</w:t>
      </w:r>
      <w:r>
        <w:t xml:space="preserve"> 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r>
        <w:rPr>
          <w:b/>
        </w:rPr>
        <w:t>Later source:</w:t>
      </w:r>
      <w:r>
        <w:t xml:space="preserve"> Research Infrastructures and the Open Science Roadmap: European and Italian Strategies and Policies — https://doi.org/10.1007/978-3-032-29575-0_2</w:t>
      </w:r>
    </w:p>
    <w:p>
      <w:pPr/>
      <w:r>
        <w:rPr>
          <w:b/>
        </w:rPr>
        <w:t>Later source:</w:t>
      </w:r>
      <w:r>
        <w:t xml:space="preserve"> Diamond OA Policy Forum Europe: Strategies for Funding Diamond OA in Europe — https://doi.org/10.5281/zenodo.23301450</w:t>
      </w:r>
    </w:p>
    <w:p>
      <w:pPr>
        <w:pStyle w:val="SourceNote"/>
      </w:pPr>
      <w:r>
        <w:rPr>
          <w:b/>
        </w:rPr>
        <w:t>Review status:</w:t>
      </w:r>
      <w:r>
        <w:t xml:space="preserve"> unchecked — possible relationship only</w:t>
      </w:r>
    </w:p>
    <w:p>
      <w:pPr>
        <w:pStyle w:val="Heading2"/>
      </w:pPr>
      <w:r>
        <w:t>6. Claim + two later sources: Record dry summer in 2015 challenges precipitation projections in Central Europe</w:t>
      </w:r>
    </w:p>
    <w:p>
      <w:pPr>
        <w:pStyle w:val="SourceNote"/>
      </w:pPr>
      <w:r>
        <w:rPr>
          <w:b/>
        </w:rPr>
        <w:t>Group ID:</w:t>
      </w:r>
      <w:r>
        <w:t xml:space="preserve"> group-0216eb3b4b4ff8c6893a</w:t>
      </w:r>
    </w:p>
    <w:p>
      <w:pPr>
        <w:pStyle w:val="SourceNote"/>
      </w:pPr>
      <w:r>
        <w:rPr>
          <w:b/>
        </w:rPr>
        <w:t>Original source:</w:t>
      </w:r>
      <w:r>
        <w:t xml:space="preserve"> https://doi.org/10.1038/srep28334</w:t>
      </w:r>
    </w:p>
    <w:p>
      <w:pPr/>
      <w:r>
        <w:rPr>
          <w:b/>
        </w:rPr>
        <w:t>Original future claim:</w:t>
      </w:r>
      <w:r>
        <w:t xml:space="preserve"> 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r>
        <w:rPr>
          <w:b/>
        </w:rPr>
        <w:t>Later source:</w:t>
      </w:r>
      <w:r>
        <w:t xml:space="preserve"> Agrometeorological risk of Epitrix papa in Europe under climate change using ERA5-land and EURO-CORDEX projections — https://doi.org/10.1016/j.scitotenv.2026.181366</w:t>
      </w:r>
    </w:p>
    <w:p>
      <w:pPr/>
      <w:r>
        <w:rPr>
          <w:b/>
        </w:rPr>
        <w:t>Later source:</w:t>
      </w:r>
      <w:r>
        <w:t xml:space="preserve"> Projections of streamflow intermittence under climate change in European drying river networks — https://doi.org/10.5194/hess-29-1615-2025</w:t>
      </w:r>
    </w:p>
    <w:p>
      <w:pPr>
        <w:pStyle w:val="SourceNote"/>
      </w:pPr>
      <w:r>
        <w:rPr>
          <w:b/>
        </w:rPr>
        <w:t>Review status:</w:t>
      </w:r>
      <w:r>
        <w:t xml:space="preserve"> unchecked — possible relationship only</w:t>
      </w:r>
    </w:p>
    <w:p>
      <w:pPr>
        <w:pStyle w:val="Heading2"/>
      </w:pPr>
      <w:r>
        <w:t>7. Claim + two later sources: Policy-based Population Projections for the European Union: A Complementary Approach</w:t>
      </w:r>
    </w:p>
    <w:p>
      <w:pPr>
        <w:pStyle w:val="SourceNote"/>
      </w:pPr>
      <w:r>
        <w:rPr>
          <w:b/>
        </w:rPr>
        <w:t>Group ID:</w:t>
      </w:r>
      <w:r>
        <w:t xml:space="preserve"> group-815840852148aeec8701</w:t>
      </w:r>
    </w:p>
    <w:p>
      <w:pPr>
        <w:pStyle w:val="SourceNote"/>
      </w:pPr>
      <w:r>
        <w:rPr>
          <w:b/>
        </w:rPr>
        <w:t>Original source:</w:t>
      </w:r>
      <w:r>
        <w:t xml:space="preserve"> https://doi.org/10.12765/cpos-2019-14</w:t>
      </w:r>
    </w:p>
    <w:p>
      <w:pPr/>
      <w:r>
        <w:rPr>
          <w:b/>
        </w:rPr>
        <w:t>Original future claim:</w:t>
      </w:r>
      <w:r>
        <w:t xml:space="preserve"> 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r>
        <w:rPr>
          <w:b/>
        </w:rPr>
        <w:t>Later source:</w:t>
      </w:r>
      <w:r>
        <w:t xml:space="preserve"> Engagement in early childhood education: A systematic review of Gypsy, Roma and Traveller populations in Europe — https://doi.org/10.1002/rev3.70180</w:t>
      </w:r>
    </w:p>
    <w:p>
      <w:pPr/>
      <w:r>
        <w:rPr>
          <w:b/>
        </w:rPr>
        <w:t>Later source:</w:t>
      </w:r>
      <w:r>
        <w:t xml:space="preserve"> Old wine in new bottles: A pan-European regional dataset of population and GDP since 1960 — https://doi.org/10.7163/gpol.0330</w:t>
      </w:r>
    </w:p>
    <w:p>
      <w:pPr>
        <w:pStyle w:val="SourceNote"/>
      </w:pPr>
      <w:r>
        <w:rPr>
          <w:b/>
        </w:rPr>
        <w:t>Review status:</w:t>
      </w:r>
      <w:r>
        <w:t xml:space="preserve"> unchecked — possible relationship only</w:t>
      </w:r>
    </w:p>
    <w:p>
      <w:pPr>
        <w:pStyle w:val="Heading2"/>
      </w:pPr>
      <w:r>
        <w:t>8. Claim + two later sources: Life cycle assessment integration into energy system models: An application for Power-to-Methane in the EU</w:t>
      </w:r>
    </w:p>
    <w:p>
      <w:pPr>
        <w:pStyle w:val="SourceNote"/>
      </w:pPr>
      <w:r>
        <w:rPr>
          <w:b/>
        </w:rPr>
        <w:t>Group ID:</w:t>
      </w:r>
      <w:r>
        <w:t xml:space="preserve"> group-3014d2e60e0f02a1c62b</w:t>
      </w:r>
    </w:p>
    <w:p>
      <w:pPr>
        <w:pStyle w:val="SourceNote"/>
      </w:pPr>
      <w:r>
        <w:rPr>
          <w:b/>
        </w:rPr>
        <w:t>Original source:</w:t>
      </w:r>
      <w:r>
        <w:t xml:space="preserve"> https://doi.org/10.1016/j.apenergy.2019.114160</w:t>
      </w:r>
    </w:p>
    <w:p>
      <w:pPr/>
      <w:r>
        <w:rPr>
          <w:b/>
        </w:rPr>
        <w:t>Original future claim:</w:t>
      </w:r>
      <w:r>
        <w:t xml:space="preserve"> This study does an ex-post LCA analysis of results from JRC-EU-TIMES and estimates the environmental impact indicators across 18 categories in scenarios that achieve 80–95% CO2 emission reduction by 2050.</w:t>
      </w:r>
    </w:p>
    <w:p>
      <w:pPr/>
      <w:r>
        <w:rPr>
          <w:b/>
        </w:rPr>
        <w:t>Later source:</w:t>
      </w:r>
      <w:r>
        <w:t xml:space="preserve"> Ex-post impact of first- and second-pillar CAP payments on farm structural change — https://doi.org/10.5281/zenodo.19633685</w:t>
      </w:r>
    </w:p>
    <w:p>
      <w:pPr/>
      <w:r>
        <w:rPr>
          <w:b/>
        </w:rPr>
        <w:t>Later source:</w:t>
      </w:r>
      <w:r>
        <w:t xml:space="preserve"> Material Stories: Assessing Sustainability of Digital Fabrication with Bio-Based Materials Through LCA — https://doi.org/10.1007/978-3-031-69626-8_3</w:t>
      </w:r>
    </w:p>
    <w:p>
      <w:pPr>
        <w:pStyle w:val="SourceNote"/>
      </w:pPr>
      <w:r>
        <w:rPr>
          <w:b/>
        </w:rPr>
        <w:t>Review status:</w:t>
      </w:r>
      <w:r>
        <w:t xml:space="preserve"> unchecked — possible relationship only</w:t>
      </w:r>
    </w:p>
    <w:p>
      <w:pPr>
        <w:pStyle w:val="Heading2"/>
      </w:pPr>
      <w:r>
        <w:t>9. Claim + two later sources: A vibrant European labor market with full employment</w:t>
      </w:r>
    </w:p>
    <w:p>
      <w:pPr>
        <w:pStyle w:val="SourceNote"/>
      </w:pPr>
      <w:r>
        <w:rPr>
          <w:b/>
        </w:rPr>
        <w:t>Group ID:</w:t>
      </w:r>
      <w:r>
        <w:t xml:space="preserve"> group-dedbcb54deb67ebe9d52</w:t>
      </w:r>
    </w:p>
    <w:p>
      <w:pPr>
        <w:pStyle w:val="SourceNote"/>
      </w:pPr>
      <w:r>
        <w:rPr>
          <w:b/>
        </w:rPr>
        <w:t>Original source:</w:t>
      </w:r>
      <w:r>
        <w:t xml:space="preserve"> https://doi.org/10.1186/2193-9012-3-10</w:t>
      </w:r>
    </w:p>
    <w:p>
      <w:pPr/>
      <w:r>
        <w:rPr>
          <w:b/>
        </w:rPr>
        <w:t>Original future claim:</w:t>
      </w:r>
      <w:r>
        <w:t xml:space="preserve"> We hope these proposals will affect the debate about the future of the European Union, also with regard to the pivotal role and responsibility of the European Parliament and European Commission.</w:t>
      </w:r>
    </w:p>
    <w:p>
      <w:pPr/>
      <w:r>
        <w:rPr>
          <w:b/>
        </w:rPr>
        <w:t>Later source:</w:t>
      </w:r>
      <w:r>
        <w:t xml:space="preserve"> A Critical Assessment of the EU’s Digital Omnibus Regulation Proposal and its Impact on the GDPR — https://doi.org/10.1163/15718093-bja10181</w:t>
      </w:r>
    </w:p>
    <w:p>
      <w:pPr/>
      <w:r>
        <w:rPr>
          <w:b/>
        </w:rPr>
        <w:t>Later source:</w:t>
      </w:r>
      <w:r>
        <w:t xml:space="preserve"> Format of emergency department electronic health records in Europe. The European initiative and the eCREAM proposal — https://doi.org/10.3389/femer.2025.1558208</w:t>
      </w:r>
    </w:p>
    <w:p>
      <w:pPr>
        <w:pStyle w:val="SourceNote"/>
      </w:pPr>
      <w:r>
        <w:rPr>
          <w:b/>
        </w:rPr>
        <w:t>Review status:</w:t>
      </w:r>
      <w:r>
        <w:t xml:space="preserve"> unchecked — possible relationship only</w:t>
      </w:r>
    </w:p>
    <w:p>
      <w:pPr>
        <w:pStyle w:val="Heading2"/>
      </w:pPr>
      <w:r>
        <w:t>10. Claim + two later sources: Warming increases plant biomass and reduces diversity across continents, latitudes, and species migration scenarios in experimental wetland communities</w:t>
      </w:r>
    </w:p>
    <w:p>
      <w:pPr>
        <w:pStyle w:val="SourceNote"/>
      </w:pPr>
      <w:r>
        <w:rPr>
          <w:b/>
        </w:rPr>
        <w:t>Group ID:</w:t>
      </w:r>
      <w:r>
        <w:t xml:space="preserve"> group-f0146daddc4015afd8a9</w:t>
      </w:r>
    </w:p>
    <w:p>
      <w:pPr>
        <w:pStyle w:val="SourceNote"/>
      </w:pPr>
      <w:r>
        <w:rPr>
          <w:b/>
        </w:rPr>
        <w:t>Original source:</w:t>
      </w:r>
      <w:r>
        <w:t xml:space="preserve"> https://doi.org/10.1111/gcb.12378</w:t>
      </w:r>
    </w:p>
    <w:p>
      <w:pPr/>
      <w:r>
        <w:rPr>
          <w:b/>
        </w:rPr>
        <w:t>Original future claim:</w:t>
      </w:r>
      <w:r>
        <w:t xml:space="preserve"> 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r>
        <w:rPr>
          <w:b/>
        </w:rPr>
        <w:t>Later source:</w:t>
      </w:r>
      <w:r>
        <w:t xml:space="preserve"> Attainment of Steady State Algebraically: How Constant Coefficients in First and Second Order Differential Equations Reveal the Time Constant — https://doi.org/10.18260/1-2-510-57870</w:t>
      </w:r>
    </w:p>
    <w:p>
      <w:pPr/>
      <w:r>
        <w:rPr>
          <w:b/>
        </w:rPr>
        <w:t>Later source:</w:t>
      </w:r>
      <w:r>
        <w:t xml:space="preserve"> Collaborative effort between fishers and scientists reveals first-time evidence of the smalltooth sandtiger shark (Odontaspis ferox) in Puerto Rico — https://doi.org/10.1017/s0025315425100246</w:t>
      </w:r>
    </w:p>
    <w:p>
      <w:pPr>
        <w:pStyle w:val="SourceNote"/>
      </w:pPr>
      <w:r>
        <w:rPr>
          <w:b/>
        </w:rPr>
        <w:t>Review status:</w:t>
      </w:r>
      <w:r>
        <w:t xml:space="preserve"> unchecked — possible relationship only</w:t>
      </w:r>
    </w:p>
    <w:p>
      <w:pPr>
        <w:pStyle w:val="Heading2"/>
      </w:pPr>
      <w:r>
        <w:t>11. Claim + two later sources: Surveillance and Foresight Process of the Sustainable City Context: Innovation Potential Niches and Trends at the European Level</w:t>
      </w:r>
    </w:p>
    <w:p>
      <w:pPr>
        <w:pStyle w:val="SourceNote"/>
      </w:pPr>
      <w:r>
        <w:rPr>
          <w:b/>
        </w:rPr>
        <w:t>Group ID:</w:t>
      </w:r>
      <w:r>
        <w:t xml:space="preserve"> group-aaf9d33ed27074479fb6</w:t>
      </w:r>
    </w:p>
    <w:p>
      <w:pPr>
        <w:pStyle w:val="SourceNote"/>
      </w:pPr>
      <w:r>
        <w:rPr>
          <w:b/>
        </w:rPr>
        <w:t>Original source:</w:t>
      </w:r>
      <w:r>
        <w:t xml:space="preserve"> https://doi.org/10.3390/su14148795</w:t>
      </w:r>
    </w:p>
    <w:p>
      <w:pPr/>
      <w:r>
        <w:rPr>
          <w:b/>
        </w:rPr>
        <w:t>Original future claim:</w:t>
      </w:r>
      <w:r>
        <w:t xml:space="preserve"> Much of the pollution and energy consumption is attributed to cities, which are expected to increase in size and population in the coming years. In this regard, different agendas, strategies, and regulations have been published, such as the 2030 Agenda.</w:t>
      </w:r>
    </w:p>
    <w:p>
      <w:pPr/>
      <w:r>
        <w:rPr>
          <w:b/>
        </w:rPr>
        <w:t>Later source:</w:t>
      </w:r>
      <w:r>
        <w:t xml:space="preserve"> Air pollution and greenspace exposure disparities revealed by hyperlocal exposure metrics across European cities — https://doi.org/10.1038/s44458-026-00046-6</w:t>
      </w:r>
    </w:p>
    <w:p>
      <w:pPr/>
      <w:r>
        <w:rPr>
          <w:b/>
        </w:rPr>
        <w:t>Later source:</w:t>
      </w:r>
      <w:r>
        <w:t xml:space="preserve"> Air pollution hotspots in the European Union: A city-level risk assessment — https://doi.org/10.18686/cest622</w:t>
      </w:r>
    </w:p>
    <w:p>
      <w:pPr>
        <w:pStyle w:val="SourceNote"/>
      </w:pPr>
      <w:r>
        <w:rPr>
          <w:b/>
        </w:rPr>
        <w:t>Review status:</w:t>
      </w:r>
      <w:r>
        <w:t xml:space="preserve"> unchecked — possible relationship only</w:t>
      </w:r>
    </w:p>
    <w:p>
      <w:pPr>
        <w:pStyle w:val="Heading2"/>
      </w:pPr>
      <w:r>
        <w:t>12. Claim + two later sources: ENERGY: DEVELOPMENT FORECASTS, BIFURCATION POINTS (OVERVIEW)</w:t>
      </w:r>
    </w:p>
    <w:p>
      <w:pPr>
        <w:pStyle w:val="SourceNote"/>
      </w:pPr>
      <w:r>
        <w:rPr>
          <w:b/>
        </w:rPr>
        <w:t>Group ID:</w:t>
      </w:r>
      <w:r>
        <w:t xml:space="preserve"> group-68205caadbc251cf3cb4</w:t>
      </w:r>
    </w:p>
    <w:p>
      <w:pPr>
        <w:pStyle w:val="SourceNote"/>
      </w:pPr>
      <w:r>
        <w:rPr>
          <w:b/>
        </w:rPr>
        <w:t>Original source:</w:t>
      </w:r>
      <w:r>
        <w:t xml:space="preserve"> https://doi.org/10.31472/ttpe.4.2020.7</w:t>
      </w:r>
    </w:p>
    <w:p>
      <w:pPr/>
      <w:r>
        <w:rPr>
          <w:b/>
        </w:rPr>
        <w:t>Original future claim:</w:t>
      </w:r>
      <w:r>
        <w:t xml:space="preserve"> 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r>
        <w:rPr>
          <w:b/>
        </w:rPr>
        <w:t>Later source:</w:t>
      </w:r>
      <w:r>
        <w:t xml:space="preserve"> Women's Political Engagement and Empowerment in a Globalized World: The Indian Experience — https://doi.org/10.5281/zenodo.18943598</w:t>
      </w:r>
    </w:p>
    <w:p>
      <w:pPr/>
      <w:r>
        <w:rPr>
          <w:b/>
        </w:rPr>
        <w:t>Later source:</w:t>
      </w:r>
      <w:r>
        <w:t xml:space="preserve"> Ideological Foundations of the Militarization of World Politics in a Multipolar Era — https://doi.org/10.53658/rw2026-4-2(20)-24-34</w:t>
      </w:r>
    </w:p>
    <w:p>
      <w:pPr>
        <w:pStyle w:val="SourceNote"/>
      </w:pPr>
      <w:r>
        <w:rPr>
          <w:b/>
        </w:rPr>
        <w:t>Review status:</w:t>
      </w:r>
      <w:r>
        <w:t xml:space="preserve"> unchecked — possible relationship only</w:t>
      </w:r>
    </w:p>
    <w:p>
      <w:pPr>
        <w:pStyle w:val="Heading2"/>
      </w:pPr>
      <w:r>
        <w:t>13. Claim + two later sources: Foresight Research as а Strategic Planning Component</w:t>
      </w:r>
    </w:p>
    <w:p>
      <w:pPr>
        <w:pStyle w:val="SourceNote"/>
      </w:pPr>
      <w:r>
        <w:rPr>
          <w:b/>
        </w:rPr>
        <w:t>Group ID:</w:t>
      </w:r>
      <w:r>
        <w:t xml:space="preserve"> group-014cca9ac4a56e361a0c</w:t>
      </w:r>
    </w:p>
    <w:p>
      <w:pPr>
        <w:pStyle w:val="SourceNote"/>
      </w:pPr>
      <w:r>
        <w:rPr>
          <w:b/>
        </w:rPr>
        <w:t>Original source:</w:t>
      </w:r>
      <w:r>
        <w:t xml:space="preserve"> https://doi.org/10.37491/unz.85-86.15</w:t>
      </w:r>
    </w:p>
    <w:p>
      <w:pPr/>
      <w:r>
        <w:rPr>
          <w:b/>
        </w:rPr>
        <w:t>Original future claim:</w:t>
      </w:r>
      <w:r>
        <w:t xml:space="preserve"> While forecasting tries to predict a single «correct» version of the future, Forsythe uses several alternative plausible futures based on their usefulness to develop sound, forward-looking policies.</w:t>
      </w:r>
    </w:p>
    <w:p>
      <w:pPr/>
      <w:r>
        <w:rPr>
          <w:b/>
        </w:rPr>
        <w:t>Later source:</w:t>
      </w:r>
      <w:r>
        <w:t xml:space="preserve"> Challenges and Opportunities in Single-Sample Network Modeling — https://doi.org/10.64898/2026.02.27.708608</w:t>
      </w:r>
    </w:p>
    <w:p>
      <w:pPr/>
      <w:r>
        <w:rPr>
          <w:b/>
        </w:rPr>
        <w:t>Later source:</w:t>
      </w:r>
      <w:r>
        <w:t xml:space="preserve"> The impacts of virtual try-on for online shopping on consumer purchase intention: the moderating role of technology experience — https://doi.org/10.1080/23311975.2025.2500774</w:t>
      </w:r>
    </w:p>
    <w:p>
      <w:pPr>
        <w:pStyle w:val="SourceNote"/>
      </w:pPr>
      <w:r>
        <w:rPr>
          <w:b/>
        </w:rPr>
        <w:t>Review status:</w:t>
      </w:r>
      <w:r>
        <w:t xml:space="preserve"> unchecked — possible relationship only</w:t>
      </w:r>
    </w:p>
    <w:p>
      <w:pPr>
        <w:pStyle w:val="Heading2"/>
      </w:pPr>
      <w:r>
        <w:t>14. Claim + two later sources: Scenarios for Chemistry Teacher Training and Practice in Romania in 2030: Views of Chemistry Students</w:t>
      </w:r>
    </w:p>
    <w:p>
      <w:pPr>
        <w:pStyle w:val="SourceNote"/>
      </w:pPr>
      <w:r>
        <w:rPr>
          <w:b/>
        </w:rPr>
        <w:t>Group ID:</w:t>
      </w:r>
      <w:r>
        <w:t xml:space="preserve"> group-bf6da37232a3a5459754</w:t>
      </w:r>
    </w:p>
    <w:p>
      <w:pPr>
        <w:pStyle w:val="SourceNote"/>
      </w:pPr>
      <w:r>
        <w:rPr>
          <w:b/>
        </w:rPr>
        <w:t>Original source:</w:t>
      </w:r>
      <w:r>
        <w:t xml:space="preserve"> https://doi.org/10.13187/ejced.2017.4.797</w:t>
      </w:r>
    </w:p>
    <w:p>
      <w:pPr/>
      <w:r>
        <w:rPr>
          <w:b/>
        </w:rPr>
        <w:t>Original future claim:</w:t>
      </w:r>
      <w:r>
        <w:t xml:space="preserve"> 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r>
        <w:rPr>
          <w:b/>
        </w:rPr>
        <w:t>Later source:</w:t>
      </w:r>
      <w:r>
        <w:t xml:space="preserve"> The Current Landscape of Ophthalmology Training in Europe — https://doi.org/10.7759/cureus.103487</w:t>
      </w:r>
    </w:p>
    <w:p>
      <w:pPr/>
      <w:r>
        <w:rPr>
          <w:b/>
        </w:rPr>
        <w:t>Later source:</w:t>
      </w:r>
      <w:r>
        <w:t xml:space="preserve"> The 11th European variety in university chemistry education (EuroVariety) 2025 conference in Kraków, Poland — https://doi.org/10.1515/cti-2026-0058</w:t>
      </w:r>
    </w:p>
    <w:p>
      <w:pPr>
        <w:pStyle w:val="SourceNote"/>
      </w:pPr>
      <w:r>
        <w:rPr>
          <w:b/>
        </w:rPr>
        <w:t>Review status:</w:t>
      </w:r>
      <w:r>
        <w:t xml:space="preserve"> unchecked — possible relationship only</w:t>
      </w:r>
    </w:p>
    <w:p>
      <w:pPr>
        <w:pStyle w:val="Heading2"/>
      </w:pPr>
      <w:r>
        <w:t>15. Claim + two later sources: Global food security: assessing trends in view of guiding future EU policies</w:t>
      </w:r>
    </w:p>
    <w:p>
      <w:pPr>
        <w:pStyle w:val="SourceNote"/>
      </w:pPr>
      <w:r>
        <w:rPr>
          <w:b/>
        </w:rPr>
        <w:t>Group ID:</w:t>
      </w:r>
      <w:r>
        <w:t xml:space="preserve"> group-0a1aa59e6b7b378e99ee</w:t>
      </w:r>
    </w:p>
    <w:p>
      <w:pPr>
        <w:pStyle w:val="SourceNote"/>
      </w:pPr>
      <w:r>
        <w:rPr>
          <w:b/>
        </w:rPr>
        <w:t>Original source:</w:t>
      </w:r>
      <w:r>
        <w:t xml:space="preserve"> https://doi.org/10.1108/fs-07-2015-0040</w:t>
      </w:r>
    </w:p>
    <w:p>
      <w:pPr/>
      <w:r>
        <w:rPr>
          <w:b/>
        </w:rPr>
        <w:t>Original future claim:</w:t>
      </w:r>
      <w:r>
        <w:t xml:space="preserve"> 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r>
        <w:rPr>
          <w:b/>
        </w:rPr>
        <w:t>Later source:</w:t>
      </w:r>
      <w:r>
        <w:t xml:space="preserve"> The Need for Synergy in Foresight Research for Healthcare and Medical Sciences — https://doi.org/10.36401/iddb-25-1</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16. Claim + two later sources: Transition pathways for a UK low-carbon electricity system: Comparing scenarios and technology implications</w:t>
      </w:r>
    </w:p>
    <w:p>
      <w:pPr>
        <w:pStyle w:val="SourceNote"/>
      </w:pPr>
      <w:r>
        <w:rPr>
          <w:b/>
        </w:rPr>
        <w:t>Group ID:</w:t>
      </w:r>
      <w:r>
        <w:t xml:space="preserve"> group-5a26d4dd122e3c222ce2</w:t>
      </w:r>
    </w:p>
    <w:p>
      <w:pPr>
        <w:pStyle w:val="SourceNote"/>
      </w:pPr>
      <w:r>
        <w:rPr>
          <w:b/>
        </w:rPr>
        <w:t>Original source:</w:t>
      </w:r>
      <w:r>
        <w:t xml:space="preserve"> https://doi.org/10.1016/j.rser.2017.10.007</w:t>
      </w:r>
    </w:p>
    <w:p>
      <w:pPr/>
      <w:r>
        <w:rPr>
          <w:b/>
        </w:rPr>
        <w:t>Original future claim:</w:t>
      </w:r>
      <w:r>
        <w:t xml:space="preserve"> 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r>
        <w:rPr>
          <w:b/>
        </w:rPr>
        <w:t>Later source:</w:t>
      </w:r>
      <w:r>
        <w:t xml:space="preserve"> Forms of autonomy and dependence in food aid: unravelling how they are related and perceived by recipients — https://doi.org/10.1007/s10460-025-10715-2</w:t>
      </w:r>
    </w:p>
    <w:p>
      <w:pPr/>
      <w:r>
        <w:rPr>
          <w:b/>
        </w:rPr>
        <w:t>Later source:</w:t>
      </w:r>
      <w:r>
        <w:t xml:space="preserve"> On race, equity and aid — https://doi.org/10.4337/9781800886810.00032</w:t>
      </w:r>
    </w:p>
    <w:p>
      <w:pPr>
        <w:pStyle w:val="SourceNote"/>
      </w:pPr>
      <w:r>
        <w:rPr>
          <w:b/>
        </w:rPr>
        <w:t>Review status:</w:t>
      </w:r>
      <w:r>
        <w:t xml:space="preserve"> unchecked — possible relationship only</w:t>
      </w:r>
    </w:p>
    <w:p>
      <w:pPr>
        <w:pStyle w:val="Heading2"/>
      </w:pPr>
      <w:r>
        <w:t>17. Claim + two later sources: Alternative scenarios investigation of 1990..2016 CO 2 emission from Public Electricity and Heat Production sectors in Europe</w:t>
      </w:r>
    </w:p>
    <w:p>
      <w:pPr>
        <w:pStyle w:val="SourceNote"/>
      </w:pPr>
      <w:r>
        <w:rPr>
          <w:b/>
        </w:rPr>
        <w:t>Group ID:</w:t>
      </w:r>
      <w:r>
        <w:t xml:space="preserve"> group-65a05aa2cf5f090740c9</w:t>
      </w:r>
    </w:p>
    <w:p>
      <w:pPr>
        <w:pStyle w:val="SourceNote"/>
      </w:pPr>
      <w:r>
        <w:rPr>
          <w:b/>
        </w:rPr>
        <w:t>Original source:</w:t>
      </w:r>
      <w:r>
        <w:t xml:space="preserve"> https://doi.org/10.1051/e3sconf/201911600053</w:t>
      </w:r>
    </w:p>
    <w:p>
      <w:pPr/>
      <w:r>
        <w:rPr>
          <w:b/>
        </w:rPr>
        <w:t>Original future claim:</w:t>
      </w:r>
      <w:r>
        <w:t xml:space="preserve"> Graphical overview of 108 prepared (real and alternatives) emission pathways allow assessing CO 2 emission factors impact, pathways grouping and indicating the dominant pathway of 1990..2016 decarbonisation in EU national PEHP sectors.</w:t>
      </w:r>
    </w:p>
    <w:p>
      <w:pPr/>
      <w:r>
        <w:rPr>
          <w:b/>
        </w:rPr>
        <w:t>Later source:</w:t>
      </w:r>
      <w:r>
        <w:t xml:space="preserve"> Emission Scenarios for Europe under the CATALYSE Project: Beyond the Green Deal — https://openalex.org/W7125621332</w:t>
      </w:r>
    </w:p>
    <w:p>
      <w:pPr/>
      <w:r>
        <w:rPr>
          <w:b/>
        </w:rPr>
        <w:t>Later source:</w:t>
      </w:r>
      <w:r>
        <w:t xml:space="preserve"> Emissions from Light-Duty Vehicles—From Statistics to Emission Regulations and Vehicle Testing in the European Union — https://doi.org/10.3390/en17010209</w:t>
      </w:r>
    </w:p>
    <w:p>
      <w:pPr>
        <w:pStyle w:val="SourceNote"/>
      </w:pPr>
      <w:r>
        <w:rPr>
          <w:b/>
        </w:rPr>
        <w:t>Review status:</w:t>
      </w:r>
      <w:r>
        <w:t xml:space="preserve"> unchecked — possible relationship only</w:t>
      </w:r>
    </w:p>
    <w:p>
      <w:pPr>
        <w:pStyle w:val="Heading2"/>
      </w:pPr>
      <w:r>
        <w:t>18. Claim + two later sources: Pathways for Low-Carbon Transition of the Steel Industry—A Swedish Case Study</w:t>
      </w:r>
    </w:p>
    <w:p>
      <w:pPr>
        <w:pStyle w:val="SourceNote"/>
      </w:pPr>
      <w:r>
        <w:rPr>
          <w:b/>
        </w:rPr>
        <w:t>Group ID:</w:t>
      </w:r>
      <w:r>
        <w:t xml:space="preserve"> group-9449a740dd4931166e0e</w:t>
      </w:r>
    </w:p>
    <w:p>
      <w:pPr>
        <w:pStyle w:val="SourceNote"/>
      </w:pPr>
      <w:r>
        <w:rPr>
          <w:b/>
        </w:rPr>
        <w:t>Original source:</w:t>
      </w:r>
      <w:r>
        <w:t xml:space="preserve"> https://doi.org/10.3390/en13153840</w:t>
      </w:r>
    </w:p>
    <w:p>
      <w:pPr/>
      <w:r>
        <w:rPr>
          <w:b/>
        </w:rPr>
        <w:t>Original future claim:</w:t>
      </w:r>
      <w:r>
        <w:t xml:space="preserve"> 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r>
        <w:rPr>
          <w:b/>
        </w:rPr>
        <w:t>Later source:</w:t>
      </w:r>
      <w:r>
        <w:t xml:space="preserve"> Carbon Capture and Storage (CCS) as a Pillar for Balancing Energy Transition and Climate Goals — https://doi.org/10.47191/etj/v10i08.12</w:t>
      </w:r>
    </w:p>
    <w:p>
      <w:pPr/>
      <w:r>
        <w:rPr>
          <w:b/>
        </w:rPr>
        <w:t>Later source:</w:t>
      </w:r>
      <w:r>
        <w:t xml:space="preserve"> Assessing the economic viability and scalability of carbon capture (CCS) in Louisiana : a comparative analysis of the 45Q tax credit and the EU emissions trading system — https://doi.org/10.26153/tsw/63320</w:t>
      </w:r>
    </w:p>
    <w:p>
      <w:pPr>
        <w:pStyle w:val="SourceNote"/>
      </w:pPr>
      <w:r>
        <w:rPr>
          <w:b/>
        </w:rPr>
        <w:t>Review status:</w:t>
      </w:r>
      <w:r>
        <w:t xml:space="preserve"> unchecked — possible relationship only</w:t>
      </w:r>
    </w:p>
    <w:p>
      <w:pPr>
        <w:pStyle w:val="Heading2"/>
      </w:pPr>
      <w:r>
        <w:t>19. Claim + two later sources: Alternative future energy pathways: Assessment of the potential of innovative decentralised energy systems in the UK</w:t>
      </w:r>
    </w:p>
    <w:p>
      <w:pPr>
        <w:pStyle w:val="SourceNote"/>
      </w:pPr>
      <w:r>
        <w:rPr>
          <w:b/>
        </w:rPr>
        <w:t>Group ID:</w:t>
      </w:r>
      <w:r>
        <w:t xml:space="preserve"> group-feb9fea8714f5ae7162e</w:t>
      </w:r>
    </w:p>
    <w:p>
      <w:pPr>
        <w:pStyle w:val="SourceNote"/>
      </w:pPr>
      <w:r>
        <w:rPr>
          <w:b/>
        </w:rPr>
        <w:t>Original source:</w:t>
      </w:r>
      <w:r>
        <w:t xml:space="preserve"> https://doi.org/10.1016/j.enpol.2013.10.080</w:t>
      </w:r>
    </w:p>
    <w:p>
      <w:pPr/>
      <w:r>
        <w:rPr>
          <w:b/>
        </w:rPr>
        <w:t>Original future claim:</w:t>
      </w:r>
      <w:r>
        <w:t xml:space="preserve"> 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r>
        <w:rPr>
          <w:b/>
        </w:rPr>
        <w:t>Later source:</w:t>
      </w:r>
      <w:r>
        <w:t xml:space="preserve"> Fleet renewal and retrofit for emission reductions in offshore logistics — https://doi.org/10.1016/j.martra.2026.100150</w:t>
      </w:r>
    </w:p>
    <w:p>
      <w:pPr/>
      <w:r>
        <w:rPr>
          <w:b/>
        </w:rPr>
        <w:t>Later source:</w:t>
      </w:r>
      <w:r>
        <w:t xml:space="preserve"> When order execution meets informed trading — https://doi.org/10.1080/14697688.2025.2479049</w:t>
      </w:r>
    </w:p>
    <w:p>
      <w:pPr>
        <w:pStyle w:val="SourceNote"/>
      </w:pPr>
      <w:r>
        <w:rPr>
          <w:b/>
        </w:rPr>
        <w:t>Review status:</w:t>
      </w:r>
      <w:r>
        <w:t xml:space="preserve"> unchecked — possible relationship only</w:t>
      </w:r>
    </w:p>
    <w:p>
      <w:pPr>
        <w:pStyle w:val="Heading2"/>
      </w:pPr>
      <w:r>
        <w:t>20. Claim + two later sources: Scenario Forecasting of Agriculture Institutional Transformation on Sustainable Development Base</w:t>
      </w:r>
    </w:p>
    <w:p>
      <w:pPr>
        <w:pStyle w:val="SourceNote"/>
      </w:pPr>
      <w:r>
        <w:rPr>
          <w:b/>
        </w:rPr>
        <w:t>Group ID:</w:t>
      </w:r>
      <w:r>
        <w:t xml:space="preserve"> group-13c25b67ed41d8512348</w:t>
      </w:r>
    </w:p>
    <w:p>
      <w:pPr>
        <w:pStyle w:val="SourceNote"/>
      </w:pPr>
      <w:r>
        <w:rPr>
          <w:b/>
        </w:rPr>
        <w:t>Original source:</w:t>
      </w:r>
      <w:r>
        <w:t xml:space="preserve"> https://doi.org/10.37394/232015.2021.17.55</w:t>
      </w:r>
    </w:p>
    <w:p>
      <w:pPr/>
      <w:r>
        <w:rPr>
          <w:b/>
        </w:rPr>
        <w:t>Original future claim:</w:t>
      </w:r>
      <w:r>
        <w:t xml:space="preserve"> Three scenarios of the forecast development of agricultural sector of Ukraine economy (pessimistic, realistic, and optimistic) are outlined in the article.</w:t>
      </w:r>
    </w:p>
    <w:p>
      <w:pPr/>
      <w:r>
        <w:rPr>
          <w:b/>
        </w:rPr>
        <w:t>Later source:</w:t>
      </w:r>
      <w:r>
        <w:t xml:space="preserve"> Agricultural Development and Industrialisation in South Korea: A Three-level Analysis of Productivity, Inter-sectoral Linkages, and GHGs Emissions — https://doi.org/10.25501/soas.01025535</w:t>
      </w:r>
    </w:p>
    <w:p>
      <w:pPr/>
      <w:r>
        <w:rPr>
          <w:b/>
        </w:rPr>
        <w:t>Later source:</w:t>
      </w:r>
      <w:r>
        <w:t xml:space="preserve"> Nexus between stock market and agricultural sector development in Nigeria and South Africa: Accounting for three-regime marginal-threshold effects — https://doi.org/10.1016/j.sciaf.2025.e02575</w:t>
      </w:r>
    </w:p>
    <w:p>
      <w:pPr>
        <w:pStyle w:val="SourceNote"/>
      </w:pPr>
      <w:r>
        <w:rPr>
          <w:b/>
        </w:rPr>
        <w:t>Review status:</w:t>
      </w:r>
      <w:r>
        <w:t xml:space="preserve"> unchecked — possible relationship only</w:t>
      </w:r>
    </w:p>
    <w:p>
      <w:pPr>
        <w:pStyle w:val="Heading2"/>
      </w:pPr>
      <w:r>
        <w:t>21. Claim + two later sources: Reform of experimental structures in animal science in France: From exploratory foresight to operational set-up</w:t>
      </w:r>
    </w:p>
    <w:p>
      <w:pPr>
        <w:pStyle w:val="SourceNote"/>
      </w:pPr>
      <w:r>
        <w:rPr>
          <w:b/>
        </w:rPr>
        <w:t>Group ID:</w:t>
      </w:r>
      <w:r>
        <w:t xml:space="preserve"> group-c79db56034b7d9c4220d</w:t>
      </w:r>
    </w:p>
    <w:p>
      <w:pPr>
        <w:pStyle w:val="SourceNote"/>
      </w:pPr>
      <w:r>
        <w:rPr>
          <w:b/>
        </w:rPr>
        <w:t>Original source:</w:t>
      </w:r>
      <w:r>
        <w:t xml:space="preserve"> https://doi.org/10.1684/agr.2014.0698</w:t>
      </w:r>
    </w:p>
    <w:p>
      <w:pPr/>
      <w:r>
        <w:rPr>
          <w:b/>
        </w:rPr>
        <w:t>Original future claim:</w:t>
      </w:r>
      <w:r>
        <w:t xml:space="preserve"> 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r>
        <w:rPr>
          <w:b/>
        </w:rPr>
        <w:t>Later source:</w:t>
      </w:r>
      <w:r>
        <w:t xml:space="preserve"> Eye of Europe Foresight Training Manual — https://openalex.org/W7220785974</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22. Claim + two later sources: First-mover advantages of the European Union's climate change mitigation strategy</w:t>
      </w:r>
    </w:p>
    <w:p>
      <w:pPr>
        <w:pStyle w:val="SourceNote"/>
      </w:pPr>
      <w:r>
        <w:rPr>
          <w:b/>
        </w:rPr>
        <w:t>Group ID:</w:t>
      </w:r>
      <w:r>
        <w:t xml:space="preserve"> group-841469986b17791652a6</w:t>
      </w:r>
    </w:p>
    <w:p>
      <w:pPr>
        <w:pStyle w:val="SourceNote"/>
      </w:pPr>
      <w:r>
        <w:rPr>
          <w:b/>
        </w:rPr>
        <w:t>Original source:</w:t>
      </w:r>
      <w:r>
        <w:t xml:space="preserve"> https://doi.org/10.1002/er.3487</w:t>
      </w:r>
    </w:p>
    <w:p>
      <w:pPr/>
      <w:r>
        <w:rPr>
          <w:b/>
        </w:rPr>
        <w:t>Original future claim:</w:t>
      </w:r>
      <w:r>
        <w:t xml:space="preserve"> 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r>
        <w:rPr>
          <w:b/>
        </w:rPr>
        <w:t>Later source:</w:t>
      </w:r>
      <w:r>
        <w:t xml:space="preserve"> Climate change will increase forest disturbances in Europe throughout the 21st century — https://doi.org/10.1126/science.adx6329</w:t>
      </w:r>
    </w:p>
    <w:p>
      <w:pPr/>
      <w:r>
        <w:rPr>
          <w:b/>
        </w:rPr>
        <w:t>Later source:</w:t>
      </w:r>
      <w:r>
        <w:t xml:space="preserve"> Outpacing climate change: adaptation to heatwaves in Europe — https://doi.org/10.1007/s00484-025-02872-0</w:t>
      </w:r>
    </w:p>
    <w:p>
      <w:pPr>
        <w:pStyle w:val="SourceNote"/>
      </w:pPr>
      <w:r>
        <w:rPr>
          <w:b/>
        </w:rPr>
        <w:t>Review status:</w:t>
      </w:r>
      <w:r>
        <w:t xml:space="preserve"> unchecked — possible relationship only</w:t>
      </w:r>
    </w:p>
    <w:p>
      <w:pPr>
        <w:pStyle w:val="Heading2"/>
      </w:pPr>
      <w:r>
        <w:t>23. Claim + two later sources: Decarbonizing Sweden’s energy and transportation system by 2050</w:t>
      </w:r>
    </w:p>
    <w:p>
      <w:pPr>
        <w:pStyle w:val="SourceNote"/>
      </w:pPr>
      <w:r>
        <w:rPr>
          <w:b/>
        </w:rPr>
        <w:t>Group ID:</w:t>
      </w:r>
      <w:r>
        <w:t xml:space="preserve"> group-a9c8fa559a4918c408d0</w:t>
      </w:r>
    </w:p>
    <w:p>
      <w:pPr>
        <w:pStyle w:val="SourceNote"/>
      </w:pPr>
      <w:r>
        <w:rPr>
          <w:b/>
        </w:rPr>
        <w:t>Original source:</w:t>
      </w:r>
      <w:r>
        <w:t xml:space="preserve"> https://doi.org/10.5278/ijsepm.2017.14.2</w:t>
      </w:r>
    </w:p>
    <w:p>
      <w:pPr/>
      <w:r>
        <w:rPr>
          <w:b/>
        </w:rPr>
        <w:t>Original future claim:</w:t>
      </w:r>
      <w:r>
        <w:t xml:space="preserve"> 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r>
        <w:rPr>
          <w:b/>
        </w:rPr>
        <w:t>Later source:</w:t>
      </w:r>
      <w:r>
        <w:t xml:space="preserve"> Decarbonization Pathways in the European Union: Sectoral Contributions to CO2 Emissions Reductions (2000–2022) — https://doi.org/10.3390/environments13030163</w:t>
      </w:r>
    </w:p>
    <w:p>
      <w:pPr/>
      <w:r>
        <w:rPr>
          <w:b/>
        </w:rPr>
        <w:t>Later source:</w:t>
      </w:r>
      <w:r>
        <w:t xml:space="preserve"> Decarbonization of European Industry: Modelling and Open Science (DEIMOS) — https://doi.org/10.5445/ir/1000196316</w:t>
      </w:r>
    </w:p>
    <w:p>
      <w:pPr>
        <w:pStyle w:val="SourceNote"/>
      </w:pPr>
      <w:r>
        <w:rPr>
          <w:b/>
        </w:rPr>
        <w:t>Review status:</w:t>
      </w:r>
      <w:r>
        <w:t xml:space="preserve"> unchecked — possible relationship only</w:t>
      </w:r>
    </w:p>
    <w:p>
      <w:pPr>
        <w:pStyle w:val="Heading2"/>
      </w:pPr>
      <w:r>
        <w:t>24. Claim + two later sources: Boosting the EU forest-based bioeconomy: Market, climate, and employment impacts</w:t>
      </w:r>
    </w:p>
    <w:p>
      <w:pPr>
        <w:pStyle w:val="SourceNote"/>
      </w:pPr>
      <w:r>
        <w:rPr>
          <w:b/>
        </w:rPr>
        <w:t>Group ID:</w:t>
      </w:r>
      <w:r>
        <w:t xml:space="preserve"> group-90403a95049e086a1a85</w:t>
      </w:r>
    </w:p>
    <w:p>
      <w:pPr>
        <w:pStyle w:val="SourceNote"/>
      </w:pPr>
      <w:r>
        <w:rPr>
          <w:b/>
        </w:rPr>
        <w:t>Original source:</w:t>
      </w:r>
      <w:r>
        <w:t xml:space="preserve"> https://doi.org/10.1016/j.techfore.2020.120478</w:t>
      </w:r>
    </w:p>
    <w:p>
      <w:pPr/>
      <w:r>
        <w:rPr>
          <w:b/>
        </w:rPr>
        <w:t>Original future claim:</w:t>
      </w:r>
      <w:r>
        <w:t xml:space="preserve"> 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r>
        <w:rPr>
          <w:b/>
        </w:rPr>
        <w:t>Later source:</w:t>
      </w:r>
      <w:r>
        <w:t xml:space="preserve"> Antidepressant drug use in Europe: past consumption, prescribing patterns and forecast until 2030 — https://doi.org/10.1007/s11096-025-02078-9</w:t>
      </w:r>
    </w:p>
    <w:p>
      <w:pPr/>
      <w:r>
        <w:rPr>
          <w:b/>
        </w:rPr>
        <w:t>Later source:</w:t>
      </w:r>
      <w:r>
        <w:t xml:space="preserve"> CHANGES IN FRUIT PRODUCTION AND IMPORTS FROM TURKEY TO EUROPEAN UNION COUNTRIES — https://doi.org/10.5604/01.3001.0055.6187</w:t>
      </w:r>
    </w:p>
    <w:p>
      <w:pPr>
        <w:pStyle w:val="SourceNote"/>
      </w:pPr>
      <w:r>
        <w:rPr>
          <w:b/>
        </w:rPr>
        <w:t>Review status:</w:t>
      </w:r>
      <w:r>
        <w:t xml:space="preserve"> unchecked — possible relationship only</w:t>
      </w:r>
    </w:p>
    <w:p>
      <w:pPr>
        <w:pStyle w:val="Heading2"/>
      </w:pPr>
      <w:r>
        <w:t>25. Claim + two later sources: The Great Future Debate and the Struggle for the World</w:t>
      </w:r>
    </w:p>
    <w:p>
      <w:pPr>
        <w:pStyle w:val="SourceNote"/>
      </w:pPr>
      <w:r>
        <w:rPr>
          <w:b/>
        </w:rPr>
        <w:t>Group ID:</w:t>
      </w:r>
      <w:r>
        <w:t xml:space="preserve"> group-82f987ed33147b1cc019</w:t>
      </w:r>
    </w:p>
    <w:p>
      <w:pPr>
        <w:pStyle w:val="SourceNote"/>
      </w:pPr>
      <w:r>
        <w:rPr>
          <w:b/>
        </w:rPr>
        <w:t>Original source:</w:t>
      </w:r>
      <w:r>
        <w:t xml:space="preserve"> https://doi.org/10.1093/ahr/117.5.1411</w:t>
      </w:r>
    </w:p>
    <w:p>
      <w:pPr/>
      <w:r>
        <w:rPr>
          <w:b/>
        </w:rPr>
        <w:t>Original future claim:</w:t>
      </w:r>
      <w:r>
        <w:t xml:space="preserve"> 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r>
        <w:rPr>
          <w:b/>
        </w:rPr>
        <w:t>Later source:</w:t>
      </w:r>
      <w:r>
        <w:t xml:space="preserve"> A MASS EFFECT CASE STUDY OF MORPHED HUMANITY, FROM INDIVIDUALS TO POPULATIONS IN A BIOTECHNOLOGICAL FUTURIST SOCIETY — https://openalex.org/W7112949524</w:t>
      </w:r>
    </w:p>
    <w:p>
      <w:pPr/>
      <w:r>
        <w:rPr>
          <w:b/>
        </w:rPr>
        <w:t>Later source:</w:t>
      </w:r>
      <w:r>
        <w:t xml:space="preserve"> THE ANTI-THEATER OF FUTURISTS AND DADAISTS AS A REFUTATION OF ARISTOTLE’S CONCEPT OF MIMETIC THEATER — https://doi.org/10.30970/vas.26.2025.206-216</w:t>
      </w:r>
    </w:p>
    <w:p>
      <w:pPr>
        <w:pStyle w:val="SourceNote"/>
      </w:pPr>
      <w:r>
        <w:rPr>
          <w:b/>
        </w:rPr>
        <w:t>Review status:</w:t>
      </w:r>
      <w:r>
        <w:t xml:space="preserve"> unchecked — possible relationship only</w:t>
      </w:r>
    </w:p>
    <w:p>
      <w:pPr>
        <w:pStyle w:val="Heading2"/>
      </w:pPr>
      <w:r>
        <w:t>26. Claim + two later sources: Clean Disruption for Abundant Futures - Neo-Carbon Energy Futures Clinique III</w:t>
      </w:r>
    </w:p>
    <w:p>
      <w:pPr>
        <w:pStyle w:val="SourceNote"/>
      </w:pPr>
      <w:r>
        <w:rPr>
          <w:b/>
        </w:rPr>
        <w:t>Group ID:</w:t>
      </w:r>
      <w:r>
        <w:t xml:space="preserve"> group-138edc5df74d24d28bbc</w:t>
      </w:r>
    </w:p>
    <w:p>
      <w:pPr>
        <w:pStyle w:val="SourceNote"/>
      </w:pPr>
      <w:r>
        <w:rPr>
          <w:b/>
        </w:rPr>
        <w:t>Original source:</w:t>
      </w:r>
      <w:r>
        <w:t xml:space="preserve"> https://doi.org/10.13140/rg.2.2.25471.87200</w:t>
      </w:r>
    </w:p>
    <w:p>
      <w:pPr/>
      <w:r>
        <w:rPr>
          <w:b/>
        </w:rPr>
        <w:t>Original future claim:</w:t>
      </w:r>
      <w:r>
        <w:t xml:space="preserve"> The four transformational scenarios of the Neo-Carbon Energy project were used as material for the groups’ foresight work.</w:t>
      </w:r>
    </w:p>
    <w:p>
      <w:pPr/>
      <w:r>
        <w:rPr>
          <w:b/>
        </w:rPr>
        <w:t>Later source:</w:t>
      </w:r>
      <w:r>
        <w:t xml:space="preserve"> Globalization and digital transformation: are impacts on skills and inequality in four future scenarios converging? — https://doi.org/10.1080/13511610.2026.2656886</w:t>
      </w:r>
    </w:p>
    <w:p>
      <w:pPr/>
      <w:r>
        <w:rPr>
          <w:b/>
        </w:rPr>
        <w:t>Later source:</w:t>
      </w:r>
      <w:r>
        <w:t xml:space="preserve"> DRIVERS OF AGILE TRANSFORMATION IN PREDICTIVE PROJECT MANAGEMENT ENVIRONMENTS — https://doi.org/10.32782/bses.100-20</w:t>
      </w:r>
    </w:p>
    <w:p>
      <w:pPr>
        <w:pStyle w:val="SourceNote"/>
      </w:pPr>
      <w:r>
        <w:rPr>
          <w:b/>
        </w:rPr>
        <w:t>Review status:</w:t>
      </w:r>
      <w:r>
        <w:t xml:space="preserve"> unchecked — possible relationship only</w:t>
      </w:r>
    </w:p>
    <w:p>
      <w:pPr>
        <w:pStyle w:val="Heading2"/>
      </w:pPr>
      <w:r>
        <w:t>27. Claim + two later sources: Pressures on soil functions from soil management in Germany. A foresight review</w:t>
      </w:r>
    </w:p>
    <w:p>
      <w:pPr>
        <w:pStyle w:val="SourceNote"/>
      </w:pPr>
      <w:r>
        <w:rPr>
          <w:b/>
        </w:rPr>
        <w:t>Group ID:</w:t>
      </w:r>
      <w:r>
        <w:t xml:space="preserve"> group-c283ced019c0606ebd63</w:t>
      </w:r>
    </w:p>
    <w:p>
      <w:pPr>
        <w:pStyle w:val="SourceNote"/>
      </w:pPr>
      <w:r>
        <w:rPr>
          <w:b/>
        </w:rPr>
        <w:t>Original source:</w:t>
      </w:r>
      <w:r>
        <w:t xml:space="preserve"> https://doi.org/10.1007/s13593-017-0473-3</w:t>
      </w:r>
    </w:p>
    <w:p>
      <w:pPr/>
      <w:r>
        <w:rPr>
          <w:b/>
        </w:rPr>
        <w:t>Original future claim:</w:t>
      </w:r>
      <w:r>
        <w:t xml:space="preserve"> 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r>
        <w:rPr>
          <w:b/>
        </w:rPr>
        <w:t>Later source:</w:t>
      </w:r>
      <w:r>
        <w:t xml:space="preserve"> Public Acceptance and Socio-Economic Drivers of Renewable District Heating: Evidence from Italy — https://doi.org/10.3390/en19010096</w:t>
      </w:r>
    </w:p>
    <w:p>
      <w:pPr/>
      <w:r>
        <w:rPr>
          <w:b/>
        </w:rPr>
        <w:t>Later source:</w:t>
      </w:r>
      <w:r>
        <w:t xml:space="preserve"> Detecting the socio-economic drivers of confidence in government with eXplainable Artificial Intelligence — https://doi.org/10.1038/s41598-023-28020-5</w:t>
      </w:r>
    </w:p>
    <w:p>
      <w:pPr>
        <w:pStyle w:val="SourceNote"/>
      </w:pPr>
      <w:r>
        <w:rPr>
          <w:b/>
        </w:rPr>
        <w:t>Review status:</w:t>
      </w:r>
      <w:r>
        <w:t xml:space="preserve"> unchecked — possible relationship only</w:t>
      </w:r>
    </w:p>
    <w:p>
      <w:pPr>
        <w:pStyle w:val="Heading2"/>
      </w:pPr>
      <w:r>
        <w:t>28. Claim + two later sources: Energy Vision Strategies for the EU Green New Deal: A Case Study of European Cities</w:t>
      </w:r>
    </w:p>
    <w:p>
      <w:pPr>
        <w:pStyle w:val="SourceNote"/>
      </w:pPr>
      <w:r>
        <w:rPr>
          <w:b/>
        </w:rPr>
        <w:t>Group ID:</w:t>
      </w:r>
      <w:r>
        <w:t xml:space="preserve"> group-2cf48b358865fda211a8</w:t>
      </w:r>
    </w:p>
    <w:p>
      <w:pPr>
        <w:pStyle w:val="SourceNote"/>
      </w:pPr>
      <w:r>
        <w:rPr>
          <w:b/>
        </w:rPr>
        <w:t>Original source:</w:t>
      </w:r>
      <w:r>
        <w:t xml:space="preserve"> https://doi.org/10.3390/en13092194</w:t>
      </w:r>
    </w:p>
    <w:p>
      <w:pPr/>
      <w:r>
        <w:rPr>
          <w:b/>
        </w:rPr>
        <w:t>Original future claim:</w:t>
      </w:r>
      <w:r>
        <w:t xml:space="preserve"> 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r>
        <w:rPr>
          <w:b/>
        </w:rPr>
        <w:t>Later source:</w:t>
      </w:r>
      <w:r>
        <w:t xml:space="preserve"> Strategic autonomy: A ‘quantum leap forward on’ European total defence? — https://doi.org/10.1017/eis.2025.10034</w:t>
      </w:r>
    </w:p>
    <w:p>
      <w:pPr/>
      <w:r>
        <w:rPr>
          <w:b/>
        </w:rPr>
        <w:t>Later source:</w:t>
      </w:r>
      <w:r>
        <w:t xml:space="preserve"> Reassessing the benefits of European integration and the European Union's ability to achieve strategic autonomy — https://openalex.org/W7130901115</w:t>
      </w:r>
    </w:p>
    <w:p>
      <w:pPr>
        <w:pStyle w:val="SourceNote"/>
      </w:pPr>
      <w:r>
        <w:rPr>
          <w:b/>
        </w:rPr>
        <w:t>Review status:</w:t>
      </w:r>
      <w:r>
        <w:t xml:space="preserve"> unchecked — possible relationship only</w:t>
      </w:r>
    </w:p>
    <w:p>
      <w:pPr>
        <w:pStyle w:val="Heading2"/>
      </w:pPr>
      <w:r>
        <w:t>29. Claim + two later sources: Developed Foresight for Borders Model Predicts the Amount of Borders Traffic in Finland</w:t>
      </w:r>
    </w:p>
    <w:p>
      <w:pPr>
        <w:pStyle w:val="SourceNote"/>
      </w:pPr>
      <w:r>
        <w:rPr>
          <w:b/>
        </w:rPr>
        <w:t>Group ID:</w:t>
      </w:r>
      <w:r>
        <w:t xml:space="preserve"> group-056783c38b4135480674</w:t>
      </w:r>
    </w:p>
    <w:p>
      <w:pPr>
        <w:pStyle w:val="SourceNote"/>
      </w:pPr>
      <w:r>
        <w:rPr>
          <w:b/>
        </w:rPr>
        <w:t>Original source:</w:t>
      </w:r>
      <w:r>
        <w:t xml:space="preserve"> https://doi.org/10.30958/ajt.3-2-3</w:t>
      </w:r>
    </w:p>
    <w:p>
      <w:pPr/>
      <w:r>
        <w:rPr>
          <w:b/>
        </w:rPr>
        <w:t>Original future claim:</w:t>
      </w:r>
      <w:r>
        <w:t xml:space="preserve"> 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r>
        <w:rPr>
          <w:b/>
        </w:rPr>
        <w:t>Later source:</w:t>
      </w:r>
      <w:r>
        <w:t xml:space="preserve"> Factors influencing internationalization of micro-enterprises and SMEs in Central Europe — https://doi.org/10.14254/2071-8330.2025/18-1/11</w:t>
      </w:r>
    </w:p>
    <w:p>
      <w:pPr/>
      <w:r>
        <w:rPr>
          <w:b/>
        </w:rPr>
        <w:t>Later source:</w:t>
      </w:r>
      <w:r>
        <w:t xml:space="preserve"> Factors Influencing the Perception of Corruption in the Countries of the European Union — https://doi.org/10.28991/esj-2025-09-03-03</w:t>
      </w:r>
    </w:p>
    <w:p>
      <w:pPr>
        <w:pStyle w:val="SourceNote"/>
      </w:pPr>
      <w:r>
        <w:rPr>
          <w:b/>
        </w:rPr>
        <w:t>Review status:</w:t>
      </w:r>
      <w:r>
        <w:t xml:space="preserve"> unchecked — possible relationship only</w:t>
      </w:r>
    </w:p>
    <w:p>
      <w:pPr>
        <w:pStyle w:val="Heading2"/>
      </w:pPr>
      <w:r>
        <w:t>30. Claim + two later sources: Integrated energy planning to meet 2050 European targets: A Southern Italian region case study</w:t>
      </w:r>
    </w:p>
    <w:p>
      <w:pPr>
        <w:pStyle w:val="SourceNote"/>
      </w:pPr>
      <w:r>
        <w:rPr>
          <w:b/>
        </w:rPr>
        <w:t>Group ID:</w:t>
      </w:r>
      <w:r>
        <w:t xml:space="preserve"> group-b8156ce1af1ba94cc5f9</w:t>
      </w:r>
    </w:p>
    <w:p>
      <w:pPr>
        <w:pStyle w:val="SourceNote"/>
      </w:pPr>
      <w:r>
        <w:rPr>
          <w:b/>
        </w:rPr>
        <w:t>Original source:</w:t>
      </w:r>
      <w:r>
        <w:t xml:space="preserve"> https://doi.org/10.1016/j.esr.2022.100844</w:t>
      </w:r>
    </w:p>
    <w:p>
      <w:pPr/>
      <w:r>
        <w:rPr>
          <w:b/>
        </w:rPr>
        <w:t>Original future claim:</w:t>
      </w:r>
      <w:r>
        <w:t xml:space="preserve"> The 2030 ‘transition scenario’ is characterized by a reduction in GHG emissions. The results obtained show that the 2030 ‘transition’ scenario is characterized by a reduction in the “1990 CO2 emissions” of approximately 45%.</w:t>
      </w:r>
    </w:p>
    <w:p>
      <w:pPr/>
      <w:r>
        <w:rPr>
          <w:b/>
        </w:rPr>
        <w:t>Later source:</w:t>
      </w:r>
      <w:r>
        <w:t xml:space="preserve"> Regional Energy Transition: Decoupling CO2 Emissions and Policy Perspectives — https://doi.org/10.3390/su18020652</w:t>
      </w:r>
    </w:p>
    <w:p>
      <w:pPr/>
      <w:r>
        <w:rPr>
          <w:b/>
        </w:rPr>
        <w:t>Later source:</w:t>
      </w:r>
      <w:r>
        <w:t xml:space="preserve"> Spatial Analysis of the Progress of Energy Transition in Europe — https://doi.org/10.3390/en19020353</w:t>
      </w:r>
    </w:p>
    <w:p>
      <w:pPr>
        <w:pStyle w:val="SourceNote"/>
      </w:pPr>
      <w:r>
        <w:rPr>
          <w:b/>
        </w:rPr>
        <w:t>Review status:</w:t>
      </w:r>
      <w:r>
        <w:t xml:space="preserve"> unchecked — possible relationship only</w:t>
      </w:r>
    </w:p>
    <w:p>
      <w:pPr>
        <w:pStyle w:val="Heading2"/>
      </w:pPr>
      <w:r>
        <w:t>31. Claim + two later sources: Implementing exogenous scenarios in a global MRIO model for the estimation of future environmental footprints</w:t>
      </w:r>
    </w:p>
    <w:p>
      <w:pPr>
        <w:pStyle w:val="SourceNote"/>
      </w:pPr>
      <w:r>
        <w:rPr>
          <w:b/>
        </w:rPr>
        <w:t>Group ID:</w:t>
      </w:r>
      <w:r>
        <w:t xml:space="preserve"> group-b9f56664751457d2483a</w:t>
      </w:r>
    </w:p>
    <w:p>
      <w:pPr>
        <w:pStyle w:val="SourceNote"/>
      </w:pPr>
      <w:r>
        <w:rPr>
          <w:b/>
        </w:rPr>
        <w:t>Original source:</w:t>
      </w:r>
      <w:r>
        <w:t xml:space="preserve"> https://doi.org/10.1186/s40008-018-0118-y</w:t>
      </w:r>
    </w:p>
    <w:p>
      <w:pPr/>
      <w:r>
        <w:rPr>
          <w:b/>
        </w:rPr>
        <w:t>Original future claim:</w:t>
      </w:r>
      <w:r>
        <w:t xml:space="preserve"> 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r>
        <w:rPr>
          <w:b/>
        </w:rPr>
        <w:t>Later source:</w:t>
      </w:r>
      <w:r>
        <w:t xml:space="preserve"> Challenges in digitalization in outdoor recreation: The example of the European pond turtle — https://doi.org/10.1016/j.jort.2026.101095</w:t>
      </w:r>
    </w:p>
    <w:p>
      <w:pPr/>
      <w:r>
        <w:rPr>
          <w:b/>
        </w:rPr>
        <w:t>Later source:</w:t>
      </w:r>
      <w:r>
        <w:t xml:space="preserve"> Future evolution of large floods in Europe — https://doi.org/10.5194/egusphere-egu25-9464</w:t>
      </w:r>
    </w:p>
    <w:p>
      <w:pPr>
        <w:pStyle w:val="SourceNote"/>
      </w:pPr>
      <w:r>
        <w:rPr>
          <w:b/>
        </w:rPr>
        <w:t>Review status:</w:t>
      </w:r>
      <w:r>
        <w:t xml:space="preserve"> unchecked — possible relationship only</w:t>
      </w:r>
    </w:p>
    <w:p>
      <w:pPr>
        <w:pStyle w:val="Heading2"/>
      </w:pPr>
      <w:r>
        <w:t>32. Claim + two later sources: Assessing the impact of the 2011 EU Transport White Paper - a rail freight demand forecast up to 2050 for the EU27</w:t>
      </w:r>
    </w:p>
    <w:p>
      <w:pPr>
        <w:pStyle w:val="SourceNote"/>
      </w:pPr>
      <w:r>
        <w:rPr>
          <w:b/>
        </w:rPr>
        <w:t>Group ID:</w:t>
      </w:r>
      <w:r>
        <w:t xml:space="preserve"> group-6527a6a69297a0a80dec</w:t>
      </w:r>
    </w:p>
    <w:p>
      <w:pPr>
        <w:pStyle w:val="SourceNote"/>
      </w:pPr>
      <w:r>
        <w:rPr>
          <w:b/>
        </w:rPr>
        <w:t>Original source:</w:t>
      </w:r>
      <w:r>
        <w:t xml:space="preserve"> https://doi.org/10.1007/s12544-015-0171-7</w:t>
      </w:r>
    </w:p>
    <w:p>
      <w:pPr/>
      <w:r>
        <w:rPr>
          <w:b/>
        </w:rPr>
        <w:t>Original future claim:</w:t>
      </w:r>
      <w:r>
        <w:t xml:space="preserve"> 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r>
        <w:rPr>
          <w:b/>
        </w:rPr>
        <w:t>Later source:</w:t>
      </w:r>
      <w:r>
        <w:t xml:space="preserve"> Molecular Epidemiology and Evolution of European Bat Lyssavirus 2 — https://doi.org/10.3390/ijms19010156</w:t>
      </w:r>
    </w:p>
    <w:p>
      <w:pPr/>
      <w:r>
        <w:rPr>
          <w:b/>
        </w:rPr>
        <w:t>Later source:</w:t>
      </w:r>
      <w:r>
        <w:t xml:space="preserve"> Mar de plástico: Masculinity, Whiteness, and Eastern European Migrants in Spanish Prime Time Television — https://doi.org/10.5070/t482041118</w:t>
      </w:r>
    </w:p>
    <w:p>
      <w:pPr>
        <w:pStyle w:val="SourceNote"/>
      </w:pPr>
      <w:r>
        <w:rPr>
          <w:b/>
        </w:rPr>
        <w:t>Review status:</w:t>
      </w:r>
      <w:r>
        <w:t xml:space="preserve"> unchecked — possible relationship only</w:t>
      </w:r>
    </w:p>
    <w:p>
      <w:pPr>
        <w:pStyle w:val="Heading2"/>
      </w:pPr>
      <w:r>
        <w:t>33. Claim + two later sources: Investigating syndromes of agricultural land degradation through past trajectories and future scenarios</w:t>
      </w:r>
    </w:p>
    <w:p>
      <w:pPr>
        <w:pStyle w:val="SourceNote"/>
      </w:pPr>
      <w:r>
        <w:rPr>
          <w:b/>
        </w:rPr>
        <w:t>Group ID:</w:t>
      </w:r>
      <w:r>
        <w:t xml:space="preserve"> group-a2858903c83f364ce70a</w:t>
      </w:r>
    </w:p>
    <w:p>
      <w:pPr>
        <w:pStyle w:val="SourceNote"/>
      </w:pPr>
      <w:r>
        <w:rPr>
          <w:b/>
        </w:rPr>
        <w:t>Original source:</w:t>
      </w:r>
      <w:r>
        <w:t xml:space="preserve"> https://doi.org/10.1080/00380768.2013.843438</w:t>
      </w:r>
    </w:p>
    <w:p>
      <w:pPr/>
      <w:r>
        <w:rPr>
          <w:b/>
        </w:rPr>
        <w:t>Original future claim:</w:t>
      </w:r>
      <w:r>
        <w:t xml:space="preserve"> 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r>
        <w:rPr>
          <w:b/>
        </w:rPr>
        <w:t>Later source:</w:t>
      </w:r>
      <w:r>
        <w:t xml:space="preserve"> Performance Evaluation of Concrete with Recycled Waste Polypropylene — https://doi.org/10.6084/m9.figshare.31871653</w:t>
      </w:r>
    </w:p>
    <w:p>
      <w:pPr/>
      <w:r>
        <w:rPr>
          <w:b/>
        </w:rPr>
        <w:t>Later source:</w:t>
      </w:r>
      <w:r>
        <w:t xml:space="preserve"> Integrating equity and productivity in health evaluation — https://openalex.org/W7160458284</w:t>
      </w:r>
    </w:p>
    <w:p>
      <w:pPr>
        <w:pStyle w:val="SourceNote"/>
      </w:pPr>
      <w:r>
        <w:rPr>
          <w:b/>
        </w:rPr>
        <w:t>Review status:</w:t>
      </w:r>
      <w:r>
        <w:t xml:space="preserve"> unchecked — possible relationship only</w:t>
      </w:r>
    </w:p>
    <w:p>
      <w:pPr>
        <w:pStyle w:val="Heading2"/>
      </w:pPr>
      <w:r>
        <w:t>34. Claim + two later sources: Making the EU Carbon Border Adjustment Mechanism acceptable and climate friendly for least developed countries</w:t>
      </w:r>
    </w:p>
    <w:p>
      <w:pPr>
        <w:pStyle w:val="SourceNote"/>
      </w:pPr>
      <w:r>
        <w:rPr>
          <w:b/>
        </w:rPr>
        <w:t>Group ID:</w:t>
      </w:r>
      <w:r>
        <w:t xml:space="preserve"> group-8804cde7ba3df6b200e8</w:t>
      </w:r>
    </w:p>
    <w:p>
      <w:pPr>
        <w:pStyle w:val="SourceNote"/>
      </w:pPr>
      <w:r>
        <w:rPr>
          <w:b/>
        </w:rPr>
        <w:t>Original source:</w:t>
      </w:r>
      <w:r>
        <w:t xml:space="preserve"> https://doi.org/10.1016/j.enpol.2022.113245</w:t>
      </w:r>
    </w:p>
    <w:p>
      <w:pPr/>
      <w:r>
        <w:rPr>
          <w:b/>
        </w:rPr>
        <w:t>Original future claim:</w:t>
      </w:r>
      <w:r>
        <w:t xml:space="preserve"> A more stringent climate target results in carbon leakage, and implementing CBAM will reduce the rate by one-third by 2040. Implementation of CBAM to support EU climate neutrality by 2050 has raised several concerns.</w:t>
      </w:r>
    </w:p>
    <w:p>
      <w:pPr/>
      <w:r>
        <w:rPr>
          <w:b/>
        </w:rPr>
        <w:t>Later source:</w:t>
      </w:r>
      <w:r>
        <w:t xml:space="preserve"> The Carbon Border Adjustment Mechanism: a new european tax to address carbon leakage — https://doi.org/10.4013/rechtd.2025.173.03</w:t>
      </w:r>
    </w:p>
    <w:p>
      <w:pPr/>
      <w:r>
        <w:rPr>
          <w:b/>
        </w:rPr>
        <w:t>Later source:</w:t>
      </w:r>
      <w:r>
        <w:t xml:space="preserve"> Understanding Carbon Leakage — https://doi.org/10.65864/t2cdr13ckm</w:t>
      </w:r>
    </w:p>
    <w:p>
      <w:pPr>
        <w:pStyle w:val="SourceNote"/>
      </w:pPr>
      <w:r>
        <w:rPr>
          <w:b/>
        </w:rPr>
        <w:t>Review status:</w:t>
      </w:r>
      <w:r>
        <w:t xml:space="preserve"> unchecked — possible relationship only</w:t>
      </w:r>
    </w:p>
    <w:p>
      <w:pPr>
        <w:pStyle w:val="Heading2"/>
      </w:pPr>
      <w:r>
        <w:t>35. Claim + two later sources: After crisis scenarios for Europe: alternative evolutions of structural adjustments</w:t>
      </w:r>
    </w:p>
    <w:p>
      <w:pPr>
        <w:pStyle w:val="SourceNote"/>
      </w:pPr>
      <w:r>
        <w:rPr>
          <w:b/>
        </w:rPr>
        <w:t>Group ID:</w:t>
      </w:r>
      <w:r>
        <w:t xml:space="preserve"> group-bb2bf052b8e57473c1d6</w:t>
      </w:r>
    </w:p>
    <w:p>
      <w:pPr>
        <w:pStyle w:val="SourceNote"/>
      </w:pPr>
      <w:r>
        <w:rPr>
          <w:b/>
        </w:rPr>
        <w:t>Original source:</w:t>
      </w:r>
      <w:r>
        <w:t xml:space="preserve"> https://doi.org/10.1093/cjres/rsv023</w:t>
      </w:r>
    </w:p>
    <w:p>
      <w:pPr/>
      <w:r>
        <w:rPr>
          <w:b/>
        </w:rPr>
        <w:t>Original future claim:</w:t>
      </w:r>
      <w:r>
        <w:t xml:space="preserve"> The effects that these structural changes will generate are difficult to be foreseen. This article builds after-crisis scenarios for Europe on the basis of alternative evolutions of these structural changes.</w:t>
      </w:r>
    </w:p>
    <w:p>
      <w:pPr/>
      <w:r>
        <w:rPr>
          <w:b/>
        </w:rPr>
        <w:t>Later source:</w:t>
      </w:r>
      <w:r>
        <w:t xml:space="preserve"> Structural Changes in Agricultural Cooperatives Following Bulgaria’s European Union Integration — https://doi.org/10.37075/isa.2020.4.05</w:t>
      </w:r>
    </w:p>
    <w:p>
      <w:pPr/>
      <w:r>
        <w:rPr>
          <w:b/>
        </w:rPr>
        <w:t>Later source:</w:t>
      </w:r>
      <w:r>
        <w:t xml:space="preserve"> The new ambitions for 2014-2020 European structural and investment funds evaluation: pouring water in a leaking container? — https://openalex.org/W2552820326</w:t>
      </w:r>
    </w:p>
    <w:p>
      <w:pPr>
        <w:pStyle w:val="SourceNote"/>
      </w:pPr>
      <w:r>
        <w:rPr>
          <w:b/>
        </w:rPr>
        <w:t>Review status:</w:t>
      </w:r>
      <w:r>
        <w:t xml:space="preserve"> unchecked — possible relationship only</w:t>
      </w:r>
    </w:p>
    <w:p>
      <w:pPr>
        <w:pStyle w:val="Heading2"/>
      </w:pPr>
      <w:r>
        <w:t>36. Claim + two later sources: Two futures: EU-Russia relations in the context of Ukraine.</w:t>
      </w:r>
    </w:p>
    <w:p>
      <w:pPr>
        <w:pStyle w:val="SourceNote"/>
      </w:pPr>
      <w:r>
        <w:rPr>
          <w:b/>
        </w:rPr>
        <w:t>Group ID:</w:t>
      </w:r>
      <w:r>
        <w:t xml:space="preserve"> group-a94255afcfec383b616a</w:t>
      </w:r>
    </w:p>
    <w:p>
      <w:pPr>
        <w:pStyle w:val="SourceNote"/>
      </w:pPr>
      <w:r>
        <w:rPr>
          <w:b/>
        </w:rPr>
        <w:t>Original source:</w:t>
      </w:r>
      <w:r>
        <w:t xml:space="preserve"> https://doi.org/10.1007/s40309-014-0052-7</w:t>
      </w:r>
    </w:p>
    <w:p>
      <w:pPr/>
      <w:r>
        <w:rPr>
          <w:b/>
        </w:rPr>
        <w:t>Original future claim:</w:t>
      </w:r>
      <w:r>
        <w:t xml:space="preserve"> Or should it rather continue to tighten the screws on the Putin regime, in the hope that doing so will concurrently compel the Russian Federation to moderate its behaviour?</w:t>
      </w:r>
    </w:p>
    <w:p>
      <w:pPr/>
      <w:r>
        <w:rPr>
          <w:b/>
        </w:rPr>
        <w:t>Later source:</w:t>
      </w:r>
      <w:r>
        <w:t xml:space="preserve"> THE APPROACH OF FINLAND TO RUSSIAN OCCUPATION OF UKRAINE: SECURITISATION OF THE PUTIN REGIME / Rusya’nın Ukrayna’yı İşgaline Finlandiya’nın Yaklaşımı: Putin Rejiminin Güvenlikleştirilmesi — https://doi.org/10.29216/ueip.1144817</w:t>
      </w:r>
    </w:p>
    <w:p>
      <w:pPr/>
      <w:r>
        <w:rPr>
          <w:b/>
        </w:rPr>
        <w:t>Later source:</w:t>
      </w:r>
      <w:r>
        <w:t xml:space="preserve"> Vladimir Putin — https://doi.org/10.4324/9781003100508-13</w:t>
      </w:r>
    </w:p>
    <w:p>
      <w:pPr>
        <w:pStyle w:val="SourceNote"/>
      </w:pPr>
      <w:r>
        <w:rPr>
          <w:b/>
        </w:rPr>
        <w:t>Review status:</w:t>
      </w:r>
      <w:r>
        <w:t xml:space="preserve"> unchecked — possible relationship only</w:t>
      </w:r>
    </w:p>
    <w:p>
      <w:pPr>
        <w:pStyle w:val="Heading2"/>
      </w:pPr>
      <w:r>
        <w:t>37. Claim + two later sources: Post-normal times: re-thinking the futures of the EU-Africa relationship</w:t>
      </w:r>
    </w:p>
    <w:p>
      <w:pPr>
        <w:pStyle w:val="SourceNote"/>
      </w:pPr>
      <w:r>
        <w:rPr>
          <w:b/>
        </w:rPr>
        <w:t>Group ID:</w:t>
      </w:r>
      <w:r>
        <w:t xml:space="preserve"> group-d6caaaecd96637e4521e</w:t>
      </w:r>
    </w:p>
    <w:p>
      <w:pPr>
        <w:pStyle w:val="SourceNote"/>
      </w:pPr>
      <w:r>
        <w:rPr>
          <w:b/>
        </w:rPr>
        <w:t>Original source:</w:t>
      </w:r>
      <w:r>
        <w:t xml:space="preserve"> https://doi.org/10.1186/s40309-020-00167-8</w:t>
      </w:r>
    </w:p>
    <w:p>
      <w:pPr/>
      <w:r>
        <w:rPr>
          <w:b/>
        </w:rPr>
        <w:t>Original future claim:</w:t>
      </w:r>
      <w:r>
        <w:t xml:space="preserve"> 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r>
        <w:rPr>
          <w:b/>
        </w:rPr>
        <w:t>Later source:</w:t>
      </w:r>
      <w:r>
        <w:t xml:space="preserve"> The Place of the European Union in the Global System of Powers and its Practical Challenges — https://doi.org/10.46340/eppd.2026.13.2.5</w:t>
      </w:r>
    </w:p>
    <w:p>
      <w:pPr/>
      <w:r>
        <w:rPr>
          <w:b/>
        </w:rPr>
        <w:t>Later source:</w:t>
      </w:r>
      <w:r>
        <w:t xml:space="preserve"> European middle powers: Germany, France and Italy as international actors — https://openalex.org/W7215008340</w:t>
      </w:r>
    </w:p>
    <w:p>
      <w:pPr>
        <w:pStyle w:val="SourceNote"/>
      </w:pPr>
      <w:r>
        <w:rPr>
          <w:b/>
        </w:rPr>
        <w:t>Review status:</w:t>
      </w:r>
      <w:r>
        <w:t xml:space="preserve"> unchecked — possible relationship only</w:t>
      </w:r>
    </w:p>
    <w:p>
      <w:pPr>
        <w:pStyle w:val="Heading2"/>
      </w:pPr>
      <w:r>
        <w:t>38. Claim + two later sources: Problem of “Dinosauring” of European Union and Mapping of Its Future</w:t>
      </w:r>
    </w:p>
    <w:p>
      <w:pPr>
        <w:pStyle w:val="SourceNote"/>
      </w:pPr>
      <w:r>
        <w:rPr>
          <w:b/>
        </w:rPr>
        <w:t>Group ID:</w:t>
      </w:r>
      <w:r>
        <w:t xml:space="preserve"> group-b4a0d11b3039e4e2e98b</w:t>
      </w:r>
    </w:p>
    <w:p>
      <w:pPr>
        <w:pStyle w:val="SourceNote"/>
      </w:pPr>
      <w:r>
        <w:rPr>
          <w:b/>
        </w:rPr>
        <w:t>Original source:</w:t>
      </w:r>
      <w:r>
        <w:t xml:space="preserve"> https://doi.org/10.11114/smc.v4i1.1617</w:t>
      </w:r>
    </w:p>
    <w:p>
      <w:pPr/>
      <w:r>
        <w:rPr>
          <w:b/>
        </w:rPr>
        <w:t>Original future claim:</w:t>
      </w:r>
      <w:r>
        <w:t xml:space="preserve"> The popular European vision of its future can be called The Davos World - simple scenario based of the economic benefits, predicting that the driving force for ruling the world will be the endless economic interest.</w:t>
      </w:r>
    </w:p>
    <w:p>
      <w:pPr/>
      <w:r>
        <w:rPr>
          <w:b/>
        </w:rPr>
        <w:t>Later source:</w:t>
      </w:r>
      <w:r>
        <w:t xml:space="preserve"> Filbert’s Vision | La visión de Filiberto — https://doi.org/10.25740/rn519df7423</w:t>
      </w:r>
    </w:p>
    <w:p>
      <w:pPr/>
      <w:r>
        <w:rPr>
          <w:b/>
        </w:rPr>
        <w:t>Later source:</w:t>
      </w:r>
      <w:r>
        <w:t xml:space="preserve"> European Strategic Autonomy - chances and challenges for Europe — https://openalex.org/W3129001693</w:t>
      </w:r>
    </w:p>
    <w:p>
      <w:pPr>
        <w:pStyle w:val="SourceNote"/>
      </w:pPr>
      <w:r>
        <w:rPr>
          <w:b/>
        </w:rPr>
        <w:t>Review status:</w:t>
      </w:r>
      <w:r>
        <w:t xml:space="preserve"> unchecked — possible relationship only</w:t>
      </w:r>
    </w:p>
    <w:p>
      <w:pPr>
        <w:pStyle w:val="Heading2"/>
      </w:pPr>
      <w:r>
        <w:t>39. Claim + two later sources: Comparison of temperature indices for three IPCC SRES scenarios based on RegCM simulations for Poland in 2011–2030 period</w:t>
      </w:r>
    </w:p>
    <w:p>
      <w:pPr>
        <w:pStyle w:val="SourceNote"/>
      </w:pPr>
      <w:r>
        <w:rPr>
          <w:b/>
        </w:rPr>
        <w:t>Group ID:</w:t>
      </w:r>
      <w:r>
        <w:t xml:space="preserve"> group-de160e6a1c66e9ed92bc</w:t>
      </w:r>
    </w:p>
    <w:p>
      <w:pPr>
        <w:pStyle w:val="SourceNote"/>
      </w:pPr>
      <w:r>
        <w:rPr>
          <w:b/>
        </w:rPr>
        <w:t>Original source:</w:t>
      </w:r>
      <w:r>
        <w:t xml:space="preserve"> https://doi.org/10.1127/metz/2014/0457</w:t>
      </w:r>
    </w:p>
    <w:p>
      <w:pPr/>
      <w:r>
        <w:rPr>
          <w:b/>
        </w:rPr>
        <w:t>Original future claim:</w:t>
      </w:r>
      <w:r>
        <w:t xml:space="preserve"> The regional climate model RegCM3 is used to investigate potential future changes of temperature indices in Poland for the period 2011–2030.</w:t>
      </w:r>
    </w:p>
    <w:p>
      <w:pPr/>
      <w:r>
        <w:rPr>
          <w:b/>
        </w:rPr>
        <w:t>Later source:</w:t>
      </w:r>
      <w:r>
        <w:t xml:space="preserve"> Intercomparison of a Regional Climate Model Ensemble for Selected European Catchments — https://doi.org/10.1002/joc.70554</w:t>
      </w:r>
    </w:p>
    <w:p>
      <w:pPr/>
      <w:r>
        <w:rPr>
          <w:b/>
        </w:rPr>
        <w:t>Later source:</w:t>
      </w:r>
      <w:r>
        <w:t xml:space="preserve"> Investigating the future urban climates of European cities using an ensemble of convection permitting regional climate models — https://doi.org/10.5194/egusphere-egu25-1307</w:t>
      </w:r>
    </w:p>
    <w:p>
      <w:pPr>
        <w:pStyle w:val="SourceNote"/>
      </w:pPr>
      <w:r>
        <w:rPr>
          <w:b/>
        </w:rPr>
        <w:t>Review status:</w:t>
      </w:r>
      <w:r>
        <w:t xml:space="preserve"> unchecked — possible relationship only</w:t>
      </w:r>
    </w:p>
    <w:p>
      <w:pPr>
        <w:pStyle w:val="Heading2"/>
      </w:pPr>
      <w:r>
        <w:t>40. Claim + two later sources: Use and perception of weather forecast information across Europe</w:t>
      </w:r>
    </w:p>
    <w:p>
      <w:pPr>
        <w:pStyle w:val="SourceNote"/>
      </w:pPr>
      <w:r>
        <w:rPr>
          <w:b/>
        </w:rPr>
        <w:t>Group ID:</w:t>
      </w:r>
      <w:r>
        <w:t xml:space="preserve"> group-a6bebefbdcff910ef11b</w:t>
      </w:r>
    </w:p>
    <w:p>
      <w:pPr>
        <w:pStyle w:val="SourceNote"/>
      </w:pPr>
      <w:r>
        <w:rPr>
          <w:b/>
        </w:rPr>
        <w:t>Original source:</w:t>
      </w:r>
      <w:r>
        <w:t xml:space="preserve"> https://doi.org/10.1002/met.2053</w:t>
      </w:r>
    </w:p>
    <w:p>
      <w:pPr/>
      <w:r>
        <w:rPr>
          <w:b/>
        </w:rPr>
        <w:t>Original future claim:</w:t>
      </w:r>
      <w:r>
        <w:t xml:space="preserve"> The two surveys indicate that there might be benefits of increased collaboration and sharing of data between European NMHSs to be able to offer their users more training, and to learn from each other in areas where insight already exists.</w:t>
      </w:r>
    </w:p>
    <w:p>
      <w:pPr/>
      <w:r>
        <w:rPr>
          <w:b/>
        </w:rPr>
        <w:t>Later source:</w:t>
      </w:r>
      <w:r>
        <w:t xml:space="preserve"> Estimating the hospitalisation burden of obesity in Europe: evidence from the European health interview survey (EHIS) wave 3 — https://doi.org/10.1186/s12889-026-26705-w</w:t>
      </w:r>
    </w:p>
    <w:p>
      <w:pPr/>
      <w:r>
        <w:rPr>
          <w:b/>
        </w:rPr>
        <w:t>Later source:</w:t>
      </w:r>
      <w:r>
        <w:t xml:space="preserve"> Revisiting the digital divide in Europe — The profile of those on the wrong side of the divide — https://doi.org/10.1016/j.telpol.2026.103206</w:t>
      </w:r>
    </w:p>
    <w:p>
      <w:pPr>
        <w:pStyle w:val="SourceNote"/>
      </w:pPr>
      <w:r>
        <w:rPr>
          <w:b/>
        </w:rPr>
        <w:t>Review status:</w:t>
      </w:r>
      <w:r>
        <w:t xml:space="preserve"> unchecked — possible relationship only</w:t>
      </w:r>
    </w:p>
    <w:p>
      <w:pPr>
        <w:pStyle w:val="Heading2"/>
      </w:pPr>
      <w:r>
        <w:t>41. Claim + two later sources: EU climate and energy governance in times of crisis: towards a new agenda</w:t>
      </w:r>
    </w:p>
    <w:p>
      <w:pPr>
        <w:pStyle w:val="SourceNote"/>
      </w:pPr>
      <w:r>
        <w:rPr>
          <w:b/>
        </w:rPr>
        <w:t>Group ID:</w:t>
      </w:r>
      <w:r>
        <w:t xml:space="preserve"> group-546a56fe8e9433431711</w:t>
      </w:r>
    </w:p>
    <w:p>
      <w:pPr>
        <w:pStyle w:val="SourceNote"/>
      </w:pPr>
      <w:r>
        <w:rPr>
          <w:b/>
        </w:rPr>
        <w:t>Original source:</w:t>
      </w:r>
      <w:r>
        <w:t xml:space="preserve"> https://doi.org/10.1080/13501763.2021.1918221</w:t>
      </w:r>
    </w:p>
    <w:p>
      <w:pPr/>
      <w:r>
        <w:rPr>
          <w:b/>
        </w:rPr>
        <w:t>Original future claim:</w:t>
      </w:r>
      <w:r>
        <w:t xml:space="preserve"> As the EU seeks to fully decarbonise itself by 2050, interactions with the crisis trends are likely to intensify in ways which future research could fruitfully investigate.</w:t>
      </w:r>
    </w:p>
    <w:p>
      <w:pPr/>
      <w:r>
        <w:rPr>
          <w:b/>
        </w:rPr>
        <w:t>Later source:</w:t>
      </w:r>
      <w:r>
        <w:t xml:space="preserve"> Reframing the Refugee Rentier State: Turkey in the European Refugee ‘Crisis’ — https://doi.org/10.3390/socsci15070457</w:t>
      </w:r>
    </w:p>
    <w:p>
      <w:pPr/>
      <w:r>
        <w:rPr>
          <w:b/>
        </w:rPr>
        <w:t>Later source:</w:t>
      </w:r>
      <w:r>
        <w:t xml:space="preserve"> Scope for EU–Japan cooperation in decarbonising the global LNG market — https://doi.org/10.26485/spe/2022/124/7</w:t>
      </w:r>
    </w:p>
    <w:p>
      <w:pPr>
        <w:pStyle w:val="SourceNote"/>
      </w:pPr>
      <w:r>
        <w:rPr>
          <w:b/>
        </w:rPr>
        <w:t>Review status:</w:t>
      </w:r>
      <w:r>
        <w:t xml:space="preserve"> unchecked — possible relationship only</w:t>
      </w:r>
    </w:p>
    <w:p>
      <w:pPr>
        <w:pStyle w:val="Heading2"/>
      </w:pPr>
      <w:r>
        <w:t>42. Claim + two later sources: Douglas‐fir plantations in Europe: a retrospective test of assisted migration to address climate change</w:t>
      </w:r>
    </w:p>
    <w:p>
      <w:pPr>
        <w:pStyle w:val="SourceNote"/>
      </w:pPr>
      <w:r>
        <w:rPr>
          <w:b/>
        </w:rPr>
        <w:t>Group ID:</w:t>
      </w:r>
      <w:r>
        <w:t xml:space="preserve"> group-0b9f1b781929f13ceb3a</w:t>
      </w:r>
    </w:p>
    <w:p>
      <w:pPr>
        <w:pStyle w:val="SourceNote"/>
      </w:pPr>
      <w:r>
        <w:rPr>
          <w:b/>
        </w:rPr>
        <w:t>Original source:</w:t>
      </w:r>
      <w:r>
        <w:t xml:space="preserve"> https://doi.org/10.1111/gcb.12604</w:t>
      </w:r>
    </w:p>
    <w:p>
      <w:pPr/>
      <w:r>
        <w:rPr>
          <w:b/>
        </w:rPr>
        <w:t>Original future claim:</w:t>
      </w:r>
      <w:r>
        <w:t xml:space="preserve"> 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r>
        <w:rPr>
          <w:b/>
        </w:rPr>
        <w:t>Later source:</w:t>
      </w:r>
      <w:r>
        <w:t xml:space="preserve"> Combining different views on internal climate variability of temperature over Europe — https://doi.org/10.5194/egusphere-2026-1341</w:t>
      </w:r>
    </w:p>
    <w:p>
      <w:pPr/>
      <w:r>
        <w:rPr>
          <w:b/>
        </w:rPr>
        <w:t>Later source:</w:t>
      </w:r>
      <w:r>
        <w:t xml:space="preserve"> Plural Values of Culture in Europe — https://openalex.org/W7137507789</w:t>
      </w:r>
    </w:p>
    <w:p>
      <w:pPr>
        <w:pStyle w:val="SourceNote"/>
      </w:pPr>
      <w:r>
        <w:rPr>
          <w:b/>
        </w:rPr>
        <w:t>Review status:</w:t>
      </w:r>
      <w:r>
        <w:t xml:space="preserve"> unchecked — possible relationship only</w:t>
      </w:r>
    </w:p>
    <w:p>
      <w:pPr>
        <w:pStyle w:val="Heading2"/>
      </w:pPr>
      <w:r>
        <w:t>43. Claim + two later sources: Alternative futures for shared mobility systems: impacts on transport planning tools and techniques</w:t>
      </w:r>
    </w:p>
    <w:p>
      <w:pPr>
        <w:pStyle w:val="SourceNote"/>
      </w:pPr>
      <w:r>
        <w:rPr>
          <w:b/>
        </w:rPr>
        <w:t>Group ID:</w:t>
      </w:r>
      <w:r>
        <w:t xml:space="preserve"> group-91a407856f5c2a2e8e80</w:t>
      </w:r>
    </w:p>
    <w:p>
      <w:pPr>
        <w:pStyle w:val="SourceNote"/>
      </w:pPr>
      <w:r>
        <w:rPr>
          <w:b/>
        </w:rPr>
        <w:t>Original source:</w:t>
      </w:r>
      <w:r>
        <w:t xml:space="preserve"> https://doi.org/10.1016/j.trpro.2021.11.032</w:t>
      </w:r>
    </w:p>
    <w:p>
      <w:pPr/>
      <w:r>
        <w:rPr>
          <w:b/>
        </w:rPr>
        <w:t>Original future claim:</w:t>
      </w:r>
      <w:r>
        <w:t xml:space="preserve"> 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r>
        <w:rPr>
          <w:b/>
        </w:rPr>
        <w:t>Later source:</w:t>
      </w:r>
      <w:r>
        <w:t xml:space="preserve"> Non-stationary time series attribution for heatwaves over Europe — https://doi.org/10.5194/ascmo-12-243-2026</w:t>
      </w:r>
    </w:p>
    <w:p>
      <w:pPr/>
      <w:r>
        <w:rPr>
          <w:b/>
        </w:rPr>
        <w:t>Later source:</w:t>
      </w:r>
      <w:r>
        <w:t xml:space="preserve"> Mobility Models for a Future in Flux: Exploring Alternatives in European Teacher Education — https://doi.org/10.31244/9783818851583.10</w:t>
      </w:r>
    </w:p>
    <w:p>
      <w:pPr>
        <w:pStyle w:val="SourceNote"/>
      </w:pPr>
      <w:r>
        <w:rPr>
          <w:b/>
        </w:rPr>
        <w:t>Review status:</w:t>
      </w:r>
      <w:r>
        <w:t xml:space="preserve"> unchecked — possible relationship only</w:t>
      </w:r>
    </w:p>
    <w:p>
      <w:pPr>
        <w:pStyle w:val="Heading2"/>
      </w:pPr>
      <w:r>
        <w:t>44. Claim + two later sources: Integrated assessment of the role of bioenergy within the EU energy transition targets to 2050</w:t>
      </w:r>
    </w:p>
    <w:p>
      <w:pPr>
        <w:pStyle w:val="SourceNote"/>
      </w:pPr>
      <w:r>
        <w:rPr>
          <w:b/>
        </w:rPr>
        <w:t>Group ID:</w:t>
      </w:r>
      <w:r>
        <w:t xml:space="preserve"> group-c37c9354973b945ca1d8</w:t>
      </w:r>
    </w:p>
    <w:p>
      <w:pPr>
        <w:pStyle w:val="SourceNote"/>
      </w:pPr>
      <w:r>
        <w:rPr>
          <w:b/>
        </w:rPr>
        <w:t>Original source:</w:t>
      </w:r>
      <w:r>
        <w:t xml:space="preserve"> https://doi.org/10.1111/gcbb.12908</w:t>
      </w:r>
    </w:p>
    <w:p>
      <w:pPr/>
      <w:r>
        <w:rPr>
          <w:b/>
        </w:rPr>
        <w:t>Original future claim:</w:t>
      </w:r>
      <w:r>
        <w:t xml:space="preserve"> Bioenergy could provide up to 1GtCO2 or 40% of the overall mitigation needed by the EU in 2050. We use the global integrated assessment model IMAGE 3.2 to project bioenergy demand, sectoral deployment, feedstock, and inter‐regional import for Europe to 2050.</w:t>
      </w:r>
    </w:p>
    <w:p>
      <w:pPr/>
      <w:r>
        <w:rPr>
          <w:b/>
        </w:rPr>
        <w:t>Later source:</w:t>
      </w:r>
      <w:r>
        <w:t xml:space="preserve"> "Biomass crops for sustainable energy in Europe: contributions to bioenergy, environment, and energy security" — https://doi.org/10.1080/17429145.2025.2564839</w:t>
      </w:r>
    </w:p>
    <w:p>
      <w:pPr/>
      <w:r>
        <w:rPr>
          <w:b/>
        </w:rPr>
        <w:t>Later source:</w:t>
      </w:r>
      <w:r>
        <w:t xml:space="preserve"> Efficacy of individual and combined terrestrial and marine carbon dioxide removal — https://doi.org/10.1088/1748-9326/ae2af5</w:t>
      </w:r>
    </w:p>
    <w:p>
      <w:pPr>
        <w:pStyle w:val="SourceNote"/>
      </w:pPr>
      <w:r>
        <w:rPr>
          <w:b/>
        </w:rPr>
        <w:t>Review status:</w:t>
      </w:r>
      <w:r>
        <w:t xml:space="preserve"> unchecked — possible relationship only</w:t>
      </w:r>
    </w:p>
    <w:p>
      <w:pPr>
        <w:pStyle w:val="Heading2"/>
      </w:pPr>
      <w:r>
        <w:t>45. Claim + two later sources: GHG emissions, trade balance, and carbon leakage: Insights from modeling thirty-one European decarbonization pathways towards 2050</w:t>
      </w:r>
    </w:p>
    <w:p>
      <w:pPr>
        <w:pStyle w:val="SourceNote"/>
      </w:pPr>
      <w:r>
        <w:rPr>
          <w:b/>
        </w:rPr>
        <w:t>Group ID:</w:t>
      </w:r>
      <w:r>
        <w:t xml:space="preserve"> group-4500af309de2d781dec8</w:t>
      </w:r>
    </w:p>
    <w:p>
      <w:pPr>
        <w:pStyle w:val="SourceNote"/>
      </w:pPr>
      <w:r>
        <w:rPr>
          <w:b/>
        </w:rPr>
        <w:t>Original source:</w:t>
      </w:r>
      <w:r>
        <w:t xml:space="preserve"> https://doi.org/10.1016/j.eneco.2022.106240</w:t>
      </w:r>
    </w:p>
    <w:p>
      <w:pPr/>
      <w:r>
        <w:rPr>
          <w:b/>
        </w:rPr>
        <w:t>Original future claim:</w:t>
      </w:r>
      <w:r>
        <w:t xml:space="preserve"> 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r>
        <w:rPr>
          <w:b/>
        </w:rPr>
        <w:t>Later source:</w:t>
      </w:r>
      <w:r>
        <w:t xml:space="preserve"> CO2 Emissions Scenarios in the European Union—The Urgency of Carbon Capture and Controlled Economic Growth — https://doi.org/10.3390/su18021043</w:t>
      </w:r>
    </w:p>
    <w:p>
      <w:pPr/>
      <w:r>
        <w:rPr>
          <w:b/>
        </w:rPr>
        <w:t>Later source:</w:t>
      </w:r>
      <w:r>
        <w:t xml:space="preserve"> Information and misinformation on assisted human reproduction techniques in Europe: a normative analysis of the information provided on the websites of medically assisted reproduction clinics — https://doi.org/10.1186/s12910-026-01388-5</w:t>
      </w:r>
    </w:p>
    <w:p>
      <w:pPr>
        <w:pStyle w:val="SourceNote"/>
      </w:pPr>
      <w:r>
        <w:rPr>
          <w:b/>
        </w:rPr>
        <w:t>Review status:</w:t>
      </w:r>
      <w:r>
        <w:t xml:space="preserve"> unchecked — possible relationship only</w:t>
      </w:r>
    </w:p>
    <w:p>
      <w:pPr>
        <w:pStyle w:val="Heading2"/>
      </w:pPr>
      <w:r>
        <w:t>46. Claim + two later sources: Low-carbon energy scenarios 2050 in north-west European countries: Towards a more harmonised approach to achieve the EU targets</w:t>
      </w:r>
    </w:p>
    <w:p>
      <w:pPr>
        <w:pStyle w:val="SourceNote"/>
      </w:pPr>
      <w:r>
        <w:rPr>
          <w:b/>
        </w:rPr>
        <w:t>Group ID:</w:t>
      </w:r>
      <w:r>
        <w:t xml:space="preserve"> group-e5a04b5c0bbea75ccf53</w:t>
      </w:r>
    </w:p>
    <w:p>
      <w:pPr>
        <w:pStyle w:val="SourceNote"/>
      </w:pPr>
      <w:r>
        <w:rPr>
          <w:b/>
        </w:rPr>
        <w:t>Original source:</w:t>
      </w:r>
      <w:r>
        <w:t xml:space="preserve"> https://doi.org/10.1016/j.enpol.2019.03.047</w:t>
      </w:r>
    </w:p>
    <w:p>
      <w:pPr/>
      <w:r>
        <w:rPr>
          <w:b/>
        </w:rPr>
        <w:t>Original future claim:</w:t>
      </w:r>
      <w:r>
        <w:t xml:space="preserve"> 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r>
        <w:rPr>
          <w:b/>
        </w:rPr>
        <w:t>Later source:</w:t>
      </w:r>
      <w:r>
        <w:t xml:space="preserve"> Regional cooling potential from expansion of perennial grasses in Europe — https://doi.org/10.1038/s43247-024-01923-5</w:t>
      </w:r>
    </w:p>
    <w:p>
      <w:pPr/>
      <w:r>
        <w:rPr>
          <w:b/>
        </w:rPr>
        <w:t>Later source:</w:t>
      </w:r>
      <w:r>
        <w:t xml:space="preserve"> Impact of COVID-19 pandemic on flu vaccine uptake in healthcare workers in Europe: a systematic review and meta-analysis — https://doi.org/10.1080/14760584.2023.2250437</w:t>
      </w:r>
    </w:p>
    <w:p>
      <w:pPr>
        <w:pStyle w:val="SourceNote"/>
      </w:pPr>
      <w:r>
        <w:rPr>
          <w:b/>
        </w:rPr>
        <w:t>Review status:</w:t>
      </w:r>
      <w:r>
        <w:t xml:space="preserve"> unchecked — possible relationship only</w:t>
      </w:r>
    </w:p>
    <w:p>
      <w:pPr>
        <w:pStyle w:val="Heading2"/>
      </w:pPr>
      <w:r>
        <w:t>47. Claim + two later sources: Drivers, trends and scenarios for the future of health in Europe. Impressions from the FRESHER project</w:t>
      </w:r>
    </w:p>
    <w:p>
      <w:pPr>
        <w:pStyle w:val="SourceNote"/>
      </w:pPr>
      <w:r>
        <w:rPr>
          <w:b/>
        </w:rPr>
        <w:t>Group ID:</w:t>
      </w:r>
      <w:r>
        <w:t xml:space="preserve"> group-76b86c4400e30f05c581</w:t>
      </w:r>
    </w:p>
    <w:p>
      <w:pPr>
        <w:pStyle w:val="SourceNote"/>
      </w:pPr>
      <w:r>
        <w:rPr>
          <w:b/>
        </w:rPr>
        <w:t>Original source:</w:t>
      </w:r>
      <w:r>
        <w:t xml:space="preserve"> https://doi.org/10.1007/s40309-017-0118-4</w:t>
      </w:r>
    </w:p>
    <w:p>
      <w:pPr/>
      <w:r>
        <w:rPr>
          <w:b/>
        </w:rPr>
        <w:t>Original future claim:</w:t>
      </w:r>
      <w:r>
        <w:t xml:space="preserve"> 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r>
        <w:rPr>
          <w:b/>
        </w:rPr>
        <w:t>Later source:</w:t>
      </w:r>
      <w:r>
        <w:t xml:space="preserve"> Foresight For Digital Health 2030: Scenarios, Barriers, And Enablers for A Sustainable Future — https://doi.org/10.47191/ijsshr/v8-i2-11</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48. Claim + two later sources: Health impact assessment of waste management facilities in three European countries</w:t>
      </w:r>
    </w:p>
    <w:p>
      <w:pPr>
        <w:pStyle w:val="SourceNote"/>
      </w:pPr>
      <w:r>
        <w:rPr>
          <w:b/>
        </w:rPr>
        <w:t>Group ID:</w:t>
      </w:r>
      <w:r>
        <w:t xml:space="preserve"> group-08526e44f94f9117cb24</w:t>
      </w:r>
    </w:p>
    <w:p>
      <w:pPr>
        <w:pStyle w:val="SourceNote"/>
      </w:pPr>
      <w:r>
        <w:rPr>
          <w:b/>
        </w:rPr>
        <w:t>Original source:</w:t>
      </w:r>
      <w:r>
        <w:t xml:space="preserve"> https://doi.org/10.1186/1476-069x-10-53</w:t>
      </w:r>
    </w:p>
    <w:p>
      <w:pPr/>
      <w:r>
        <w:rPr>
          <w:b/>
        </w:rPr>
        <w:t>Original future claim:</w:t>
      </w:r>
      <w:r>
        <w:t xml:space="preserve"> 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r>
        <w:rPr>
          <w:b/>
        </w:rPr>
        <w:t>Later source:</w:t>
      </w:r>
      <w:r>
        <w:t xml:space="preserve"> The End of Life of PV Systems: Is Europe Ready for It? — https://doi.org/10.3390/su152316466</w:t>
      </w:r>
    </w:p>
    <w:p>
      <w:pPr/>
      <w:r>
        <w:rPr>
          <w:b/>
        </w:rPr>
        <w:t>Later source:</w:t>
      </w:r>
      <w:r>
        <w:t xml:space="preserve"> Lead contamination in raptors in Europe: A systematic review and meta-analysis — https://doi.org/10.1016/j.scitotenv.2020.141437</w:t>
      </w:r>
    </w:p>
    <w:p>
      <w:pPr>
        <w:pStyle w:val="SourceNote"/>
      </w:pPr>
      <w:r>
        <w:rPr>
          <w:b/>
        </w:rPr>
        <w:t>Review status:</w:t>
      </w:r>
      <w:r>
        <w:t xml:space="preserve"> unchecked — possible relationship only</w:t>
      </w:r>
    </w:p>
    <w:p>
      <w:pPr>
        <w:pStyle w:val="Heading2"/>
      </w:pPr>
      <w:r>
        <w:t>49. Claim + two later sources: Linking Local Food Systems and the Social Economy? Future Roles for Farmers' Markets in Alberta and British Columbia*</w:t>
      </w:r>
    </w:p>
    <w:p>
      <w:pPr>
        <w:pStyle w:val="SourceNote"/>
      </w:pPr>
      <w:r>
        <w:rPr>
          <w:b/>
        </w:rPr>
        <w:t>Group ID:</w:t>
      </w:r>
      <w:r>
        <w:t xml:space="preserve"> group-e9895190491017fa7317</w:t>
      </w:r>
    </w:p>
    <w:p>
      <w:pPr>
        <w:pStyle w:val="SourceNote"/>
      </w:pPr>
      <w:r>
        <w:rPr>
          <w:b/>
        </w:rPr>
        <w:t>Original source:</w:t>
      </w:r>
      <w:r>
        <w:t xml:space="preserve"> https://doi.org/10.1111/j.1549-0831.2011.00068.x</w:t>
      </w:r>
    </w:p>
    <w:p>
      <w:pPr/>
      <w:r>
        <w:rPr>
          <w:b/>
        </w:rPr>
        <w:t>Original future claim:</w:t>
      </w:r>
      <w:r>
        <w:t xml:space="preserve"> 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r>
        <w:rPr>
          <w:b/>
        </w:rPr>
        <w:t>Later source:</w:t>
      </w:r>
      <w:r>
        <w:t xml:space="preserve"> Content Validation of the Prenatal Evaluation and Referral for Lactation (PEARL) Tool Using a Delphi Method — https://doi.org/10.3390/healthcare14172831</w:t>
      </w:r>
    </w:p>
    <w:p>
      <w:pPr/>
      <w:r>
        <w:rPr>
          <w:b/>
        </w:rPr>
        <w:t>Later source:</w:t>
      </w:r>
      <w:r>
        <w:t xml:space="preserve"> AI literacy for K–12 education: an international Delphi study — https://doi.org/10.1080/10494820.2026.2649553</w:t>
      </w:r>
    </w:p>
    <w:p>
      <w:pPr>
        <w:pStyle w:val="SourceNote"/>
      </w:pPr>
      <w:r>
        <w:rPr>
          <w:b/>
        </w:rPr>
        <w:t>Review status:</w:t>
      </w:r>
      <w:r>
        <w:t xml:space="preserve"> unchecked — possible relationship only</w:t>
      </w:r>
    </w:p>
    <w:p>
      <w:pPr>
        <w:pStyle w:val="Heading2"/>
      </w:pPr>
      <w:r>
        <w:t>50. Claim + two later sources: Legume dreams: The contested futures of sustainable plant-based food systems in Europe</w:t>
      </w:r>
    </w:p>
    <w:p>
      <w:pPr>
        <w:pStyle w:val="SourceNote"/>
      </w:pPr>
      <w:r>
        <w:rPr>
          <w:b/>
        </w:rPr>
        <w:t>Group ID:</w:t>
      </w:r>
      <w:r>
        <w:t xml:space="preserve"> group-0b101c598f77e3154a4a</w:t>
      </w:r>
    </w:p>
    <w:p>
      <w:pPr>
        <w:pStyle w:val="SourceNote"/>
      </w:pPr>
      <w:r>
        <w:rPr>
          <w:b/>
        </w:rPr>
        <w:t>Original source:</w:t>
      </w:r>
      <w:r>
        <w:t xml:space="preserve"> https://doi.org/10.1016/j.gloenvcha.2021.102321</w:t>
      </w:r>
    </w:p>
    <w:p>
      <w:pPr/>
      <w:r>
        <w:rPr>
          <w:b/>
        </w:rPr>
        <w:t>Original future claim:</w:t>
      </w:r>
      <w:r>
        <w:t xml:space="preserve"> 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r>
        <w:rPr>
          <w:b/>
        </w:rPr>
        <w:t>Later source:</w:t>
      </w:r>
      <w:r>
        <w:t xml:space="preserve"> Rethinking food logistics outsourcing: exploring the impact of structural changes in the European supply chain environment — https://doi.org/10.1080/13675567.2026.2654011</w:t>
      </w:r>
    </w:p>
    <w:p>
      <w:pPr/>
      <w:r>
        <w:rPr>
          <w:b/>
        </w:rPr>
        <w:t>Later source:</w:t>
      </w:r>
      <w:r>
        <w:t xml:space="preserve"> The European Food Supplement Project ‐Identification of emerging risks associated with food supplements, other than vitamins and minerals — https://doi.org/10.2903/sp.efsa.2026.en-10226</w:t>
      </w:r>
    </w:p>
    <w:p>
      <w:pPr>
        <w:pStyle w:val="SourceNote"/>
      </w:pPr>
      <w:r>
        <w:rPr>
          <w:b/>
        </w:rPr>
        <w:t>Review status:</w:t>
      </w:r>
      <w:r>
        <w:t xml:space="preserve"> unchecked — possible relationship only</w:t>
      </w:r>
    </w:p>
    <w:p>
      <w:pPr>
        <w:pStyle w:val="Heading2"/>
      </w:pPr>
      <w:r>
        <w:t>51. Claim + two later sources: Energy and Climate Change Scenarios in the Mediterranean: An opportunity for cooperation</w:t>
      </w:r>
    </w:p>
    <w:p>
      <w:pPr>
        <w:pStyle w:val="SourceNote"/>
      </w:pPr>
      <w:r>
        <w:rPr>
          <w:b/>
        </w:rPr>
        <w:t>Group ID:</w:t>
      </w:r>
      <w:r>
        <w:t xml:space="preserve"> group-5c6db31a0daf38c98dd3</w:t>
      </w:r>
    </w:p>
    <w:p>
      <w:pPr>
        <w:pStyle w:val="SourceNote"/>
      </w:pPr>
      <w:r>
        <w:rPr>
          <w:b/>
        </w:rPr>
        <w:t>Original source:</w:t>
      </w:r>
      <w:r>
        <w:t xml:space="preserve"> https://doi.org/10.1093/eurpub/ckaa165.298</w:t>
      </w:r>
    </w:p>
    <w:p>
      <w:pPr/>
      <w:r>
        <w:rPr>
          <w:b/>
        </w:rPr>
        <w:t>Original future claim:</w:t>
      </w:r>
      <w:r>
        <w:t xml:space="preserve"> 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r>
        <w:rPr>
          <w:b/>
        </w:rPr>
        <w:t>Later source:</w:t>
      </w:r>
      <w:r>
        <w:t xml:space="preserve"> Tailoring the future for the environment, health and security through means of criminal law — https://doi.org/10.56398/ajacieda.00468</w:t>
      </w:r>
    </w:p>
    <w:p>
      <w:pPr/>
      <w:r>
        <w:rPr>
          <w:b/>
        </w:rPr>
        <w:t>Later source:</w:t>
      </w:r>
      <w:r>
        <w:t xml:space="preserve"> Soil Health in Europe: Policy perspectives — https://doi.org/10.5194/egusphere-egu26-12384</w:t>
      </w:r>
    </w:p>
    <w:p>
      <w:pPr>
        <w:pStyle w:val="SourceNote"/>
      </w:pPr>
      <w:r>
        <w:rPr>
          <w:b/>
        </w:rPr>
        <w:t>Review status:</w:t>
      </w:r>
      <w:r>
        <w:t xml:space="preserve"> unchecked — possible relationship only</w:t>
      </w:r>
    </w:p>
    <w:p>
      <w:pPr>
        <w:pStyle w:val="Heading2"/>
      </w:pPr>
      <w:r>
        <w:t>52. Claim + two later sources: Abandonment landscapes: user attitudes, alternative futures and land management in Castro Laboreiro, Portugal</w:t>
      </w:r>
    </w:p>
    <w:p>
      <w:pPr>
        <w:pStyle w:val="SourceNote"/>
      </w:pPr>
      <w:r>
        <w:rPr>
          <w:b/>
        </w:rPr>
        <w:t>Group ID:</w:t>
      </w:r>
      <w:r>
        <w:t xml:space="preserve"> group-384e84b834a5cced44a9</w:t>
      </w:r>
    </w:p>
    <w:p>
      <w:pPr>
        <w:pStyle w:val="SourceNote"/>
      </w:pPr>
      <w:r>
        <w:rPr>
          <w:b/>
        </w:rPr>
        <w:t>Original source:</w:t>
      </w:r>
      <w:r>
        <w:t xml:space="preserve"> https://doi.org/10.1007/s10113-018-1294-x</w:t>
      </w:r>
    </w:p>
    <w:p>
      <w:pPr/>
      <w:r>
        <w:rPr>
          <w:b/>
        </w:rPr>
        <w:t>Original future claim:</w:t>
      </w:r>
      <w:r>
        <w:t xml:space="preserve"> 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r>
        <w:rPr>
          <w:b/>
        </w:rPr>
        <w:t>Later source:</w:t>
      </w:r>
      <w:r>
        <w:t xml:space="preserve"> Is there space for regional identities in a centralized unitary state? Northern Portugal as case study — https://doi.org/10.1080/1070289x.2026.2614229</w:t>
      </w:r>
    </w:p>
    <w:p>
      <w:pPr/>
      <w:r>
        <w:rPr>
          <w:b/>
        </w:rPr>
        <w:t>Later source:</w:t>
      </w:r>
      <w:r>
        <w:t xml:space="preserve"> Quantifying the role of saltmarsh as a vulnerable carbon sink: A case study from Northern Portugal — https://doi.org/10.1016/j.scitotenv.2024.171443</w:t>
      </w:r>
    </w:p>
    <w:p>
      <w:pPr>
        <w:pStyle w:val="SourceNote"/>
      </w:pPr>
      <w:r>
        <w:rPr>
          <w:b/>
        </w:rPr>
        <w:t>Review status:</w:t>
      </w:r>
      <w:r>
        <w:t xml:space="preserve"> unchecked — possible relationship only</w:t>
      </w:r>
    </w:p>
    <w:p>
      <w:pPr>
        <w:pStyle w:val="Heading2"/>
      </w:pPr>
      <w:r>
        <w:t>53. Claim + two later sources: Is clean energy contested? Exploring which issues matter to stakeholders in the European Green Deal</w:t>
      </w:r>
    </w:p>
    <w:p>
      <w:pPr>
        <w:pStyle w:val="SourceNote"/>
      </w:pPr>
      <w:r>
        <w:rPr>
          <w:b/>
        </w:rPr>
        <w:t>Group ID:</w:t>
      </w:r>
      <w:r>
        <w:t xml:space="preserve"> group-13a837a261c6dc764d43</w:t>
      </w:r>
    </w:p>
    <w:p>
      <w:pPr>
        <w:pStyle w:val="SourceNote"/>
      </w:pPr>
      <w:r>
        <w:rPr>
          <w:b/>
        </w:rPr>
        <w:t>Original source:</w:t>
      </w:r>
      <w:r>
        <w:t xml:space="preserve"> https://doi.org/10.1016/j.erss.2021.102083</w:t>
      </w:r>
    </w:p>
    <w:p>
      <w:pPr/>
      <w:r>
        <w:rPr>
          <w:b/>
        </w:rPr>
        <w:t>Original future claim:</w:t>
      </w:r>
      <w:r>
        <w:t xml:space="preserve"> The European Green Deal aims at decarbonizing the European Union’s economies by 2050.</w:t>
      </w:r>
    </w:p>
    <w:p>
      <w:pPr/>
      <w:r>
        <w:rPr>
          <w:b/>
        </w:rPr>
        <w:t>Later source:</w:t>
      </w:r>
      <w:r>
        <w:t xml:space="preserve"> The European Green Deal within the Scope of European Union Project Funds: The Role of Green Marketing and Green Advertising — https://doi.org/10.58830/ozgur.pub1165.c4874</w:t>
      </w:r>
    </w:p>
    <w:p>
      <w:pPr/>
      <w:r>
        <w:rPr>
          <w:b/>
        </w:rPr>
        <w:t>Later source:</w:t>
      </w:r>
      <w:r>
        <w:t xml:space="preserve"> THE EUROPEAN GREEN DEAL AND ITS IMPLICATIONS TO THE EUROPEAN UNION COOPERATION WITH VIETNAM Case Study: The climate-responsive digital circular economy as a first priority area of action — https://doi.org/10.2139/ssrn.6689058</w:t>
      </w:r>
    </w:p>
    <w:p>
      <w:pPr>
        <w:pStyle w:val="SourceNote"/>
      </w:pPr>
      <w:r>
        <w:rPr>
          <w:b/>
        </w:rPr>
        <w:t>Review status:</w:t>
      </w:r>
      <w:r>
        <w:t xml:space="preserve"> unchecked — possible relationship only</w:t>
      </w:r>
    </w:p>
    <w:p>
      <w:pPr>
        <w:pStyle w:val="Heading2"/>
      </w:pPr>
      <w:r>
        <w:t>54. Claim + two later sources: Scenarios of the organic food market in Europe</w:t>
      </w:r>
    </w:p>
    <w:p>
      <w:pPr>
        <w:pStyle w:val="SourceNote"/>
      </w:pPr>
      <w:r>
        <w:rPr>
          <w:b/>
        </w:rPr>
        <w:t>Group ID:</w:t>
      </w:r>
      <w:r>
        <w:t xml:space="preserve"> group-d1ac2a6b82002a428d3c</w:t>
      </w:r>
    </w:p>
    <w:p>
      <w:pPr>
        <w:pStyle w:val="SourceNote"/>
      </w:pPr>
      <w:r>
        <w:rPr>
          <w:b/>
        </w:rPr>
        <w:t>Original source:</w:t>
      </w:r>
      <w:r>
        <w:t xml:space="preserve"> https://doi.org/10.1016/j.foodpol.2011.10.003</w:t>
      </w:r>
    </w:p>
    <w:p>
      <w:pPr/>
      <w:r>
        <w:rPr>
          <w:b/>
        </w:rPr>
        <w:t>Original future claim:</w:t>
      </w:r>
      <w:r>
        <w:t xml:space="preserve"> 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r>
        <w:rPr>
          <w:b/>
        </w:rPr>
        <w:t>Later source:</w:t>
      </w:r>
      <w:r>
        <w:t xml:space="preserve"> Strategic Development of Wheelchair Basketball in Europe and Türkiye: A Systematic Review and Comparative Framework for Sustainable Growth — https://doi.org/10.33438/ijdshs.1800363</w:t>
      </w:r>
    </w:p>
    <w:p>
      <w:pPr/>
      <w:r>
        <w:rPr>
          <w:b/>
        </w:rPr>
        <w:t>Later source:</w:t>
      </w:r>
      <w:r>
        <w:t xml:space="preserve"> The European Union's policy toward Latin America in the context of renewed strategic competition — https://doi.org/10.5281/zenodo.19131164</w:t>
      </w:r>
    </w:p>
    <w:p>
      <w:pPr>
        <w:pStyle w:val="SourceNote"/>
      </w:pPr>
      <w:r>
        <w:rPr>
          <w:b/>
        </w:rPr>
        <w:t>Review status:</w:t>
      </w:r>
      <w:r>
        <w:t xml:space="preserve"> unchecked — possible relationship only</w:t>
      </w:r>
    </w:p>
    <w:p>
      <w:pPr>
        <w:pStyle w:val="Heading2"/>
      </w:pPr>
      <w:r>
        <w:t>55. Claim + two later sources: The Conference on the Future of Europe: possible scenarios of the forthcoming European Perestroika</w:t>
      </w:r>
    </w:p>
    <w:p>
      <w:pPr>
        <w:pStyle w:val="SourceNote"/>
      </w:pPr>
      <w:r>
        <w:rPr>
          <w:b/>
        </w:rPr>
        <w:t>Group ID:</w:t>
      </w:r>
      <w:r>
        <w:t xml:space="preserve"> group-5c026fa977342d0b26dc</w:t>
      </w:r>
    </w:p>
    <w:p>
      <w:pPr>
        <w:pStyle w:val="SourceNote"/>
      </w:pPr>
      <w:r>
        <w:rPr>
          <w:b/>
        </w:rPr>
        <w:t>Original source:</w:t>
      </w:r>
      <w:r>
        <w:t xml:space="preserve"> https://doi.org/10.21128/1812-7126-2022-1-14-42</w:t>
      </w:r>
    </w:p>
    <w:p>
      <w:pPr/>
      <w:r>
        <w:rPr>
          <w:b/>
        </w:rPr>
        <w:t>Original future claim:</w:t>
      </w:r>
      <w:r>
        <w:t xml:space="preserve"> 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r>
        <w:rPr>
          <w:b/>
        </w:rPr>
        <w:t>Later source:</w:t>
      </w:r>
      <w:r>
        <w:t xml:space="preserve"> Preventing Child Sexual Abuse and Exploitation: Current Efforts and Future Directions in the European Union — https://doi.org/10.1080/15564886.2025.2603478</w:t>
      </w:r>
    </w:p>
    <w:p>
      <w:pPr/>
      <w:r>
        <w:rPr>
          <w:b/>
        </w:rPr>
        <w:t>Later source:</w:t>
      </w:r>
      <w:r>
        <w:t xml:space="preserve"> Development policy directions on climate challenges in selected central and Eastern European countries — https://doi.org/10.29119/1641-3466.2026.247.26</w:t>
      </w:r>
    </w:p>
    <w:p>
      <w:pPr>
        <w:pStyle w:val="SourceNote"/>
      </w:pPr>
      <w:r>
        <w:rPr>
          <w:b/>
        </w:rPr>
        <w:t>Review status:</w:t>
      </w:r>
      <w:r>
        <w:t xml:space="preserve"> unchecked — possible relationship only</w:t>
      </w:r>
    </w:p>
    <w:p>
      <w:pPr>
        <w:pStyle w:val="Heading2"/>
      </w:pPr>
      <w:r>
        <w:t>56. Claim + two later sources: The convergence or divergence of labour resources in Poland?</w:t>
      </w:r>
    </w:p>
    <w:p>
      <w:pPr>
        <w:pStyle w:val="SourceNote"/>
      </w:pPr>
      <w:r>
        <w:rPr>
          <w:b/>
        </w:rPr>
        <w:t>Group ID:</w:t>
      </w:r>
      <w:r>
        <w:t xml:space="preserve"> group-36df1b7f4203922cf258</w:t>
      </w:r>
    </w:p>
    <w:p>
      <w:pPr>
        <w:pStyle w:val="SourceNote"/>
      </w:pPr>
      <w:r>
        <w:rPr>
          <w:b/>
        </w:rPr>
        <w:t>Original source:</w:t>
      </w:r>
      <w:r>
        <w:t xml:space="preserve"> https://doi.org/10.15611/pn.2020.4.07</w:t>
      </w:r>
    </w:p>
    <w:p>
      <w:pPr/>
      <w:r>
        <w:rPr>
          <w:b/>
        </w:rPr>
        <w:t>Original future claim:</w:t>
      </w:r>
      <w:r>
        <w:t xml:space="preserve"> Eurostat’s projections indicate that by 2050 Poland will see a significant reduction in and ageing of its labour resources.</w:t>
      </w:r>
    </w:p>
    <w:p>
      <w:pPr/>
      <w:r>
        <w:rPr>
          <w:b/>
        </w:rPr>
        <w:t>Later source:</w:t>
      </w:r>
      <w:r>
        <w:t xml:space="preserve"> Demographic Dependency and the Future of the European Workforce: A Spatial–Temporal Forecasting Approach — https://doi.org/10.3390/su18094468</w:t>
      </w:r>
    </w:p>
    <w:p>
      <w:pPr/>
      <w:r>
        <w:rPr>
          <w:b/>
        </w:rPr>
        <w:t>Later source:</w:t>
      </w:r>
      <w:r>
        <w:t xml:space="preserve"> Energy Supply Shocks and Inflation in Central and Eastern Europe: Evidence from Bayesian SVARs and Local Projections — https://doi.org/10.3390/commodities5030017</w:t>
      </w:r>
    </w:p>
    <w:p>
      <w:pPr>
        <w:pStyle w:val="SourceNote"/>
      </w:pPr>
      <w:r>
        <w:rPr>
          <w:b/>
        </w:rPr>
        <w:t>Review status:</w:t>
      </w:r>
      <w:r>
        <w:t xml:space="preserve"> unchecked — possible relationship only</w:t>
      </w:r>
    </w:p>
    <w:p>
      <w:pPr>
        <w:pStyle w:val="Heading2"/>
      </w:pPr>
      <w:r>
        <w:t>57. Claim + two later sources: Current situation and future prospects for beef production in Europe — A review</w:t>
      </w:r>
    </w:p>
    <w:p>
      <w:pPr>
        <w:pStyle w:val="SourceNote"/>
      </w:pPr>
      <w:r>
        <w:rPr>
          <w:b/>
        </w:rPr>
        <w:t>Group ID:</w:t>
      </w:r>
      <w:r>
        <w:t xml:space="preserve"> group-e3f012e4b28a171cd569</w:t>
      </w:r>
    </w:p>
    <w:p>
      <w:pPr>
        <w:pStyle w:val="SourceNote"/>
      </w:pPr>
      <w:r>
        <w:rPr>
          <w:b/>
        </w:rPr>
        <w:t>Original source:</w:t>
      </w:r>
      <w:r>
        <w:t xml:space="preserve"> https://doi.org/10.5713/ajas.18.0196</w:t>
      </w:r>
    </w:p>
    <w:p>
      <w:pPr/>
      <w:r>
        <w:rPr>
          <w:b/>
        </w:rPr>
        <w:t>Original future claim:</w:t>
      </w:r>
      <w:r>
        <w:t xml:space="preserve"> These may affect the whole industry, especially its farmers. Different future scenarios can be written depending on the major driving forces, notably meat consumption, climate change, environmental policies and future organization of the supply chain.</w:t>
      </w:r>
    </w:p>
    <w:p>
      <w:pPr/>
      <w:r>
        <w:rPr>
          <w:b/>
        </w:rPr>
        <w:t>Later source:</w:t>
      </w:r>
      <w:r>
        <w:t xml:space="preserve"> Industry 5.0 in the European Union — https://doi.org/10.1201/9781003785590</w:t>
      </w:r>
    </w:p>
    <w:p>
      <w:pPr/>
      <w:r>
        <w:rPr>
          <w:b/>
        </w:rPr>
        <w:t>Later source:</w:t>
      </w:r>
      <w:r>
        <w:t xml:space="preserve"> The Whole Economy: Work and Gender in Early Modern Europe — https://doi.org/10.1215/15476715-11609909</w:t>
      </w:r>
    </w:p>
    <w:p>
      <w:pPr>
        <w:pStyle w:val="SourceNote"/>
      </w:pPr>
      <w:r>
        <w:rPr>
          <w:b/>
        </w:rPr>
        <w:t>Review status:</w:t>
      </w:r>
      <w:r>
        <w:t xml:space="preserve"> unchecked — possible relationship only</w:t>
      </w:r>
    </w:p>
    <w:p>
      <w:pPr>
        <w:pStyle w:val="Heading2"/>
      </w:pPr>
      <w:r>
        <w:t>58. Claim + two later sources: EU land use futures: modelling food, bioenergy and carbon dynamics</w:t>
      </w:r>
    </w:p>
    <w:p>
      <w:pPr>
        <w:pStyle w:val="SourceNote"/>
      </w:pPr>
      <w:r>
        <w:rPr>
          <w:b/>
        </w:rPr>
        <w:t>Group ID:</w:t>
      </w:r>
      <w:r>
        <w:t xml:space="preserve"> group-6c0326502c0df59ffee1</w:t>
      </w:r>
    </w:p>
    <w:p>
      <w:pPr>
        <w:pStyle w:val="SourceNote"/>
      </w:pPr>
      <w:r>
        <w:rPr>
          <w:b/>
        </w:rPr>
        <w:t>Original source:</w:t>
      </w:r>
      <w:r>
        <w:t xml:space="preserve"> https://doi.org/10.1016/j.esr.2020.100545</w:t>
      </w:r>
    </w:p>
    <w:p>
      <w:pPr/>
      <w:r>
        <w:rPr>
          <w:b/>
        </w:rPr>
        <w:t>Original future claim:</w:t>
      </w:r>
      <w:r>
        <w:t xml:space="preserve"> 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r>
        <w:rPr>
          <w:b/>
        </w:rPr>
        <w:t>Later source:</w:t>
      </w:r>
      <w:r>
        <w:t xml:space="preserve"> Understanding biases and changes in European heavy precipitation using dynamical flow precursors — https://doi.org/10.5194/wcd-7-633-2026</w:t>
      </w:r>
    </w:p>
    <w:p>
      <w:pPr/>
      <w:r>
        <w:rPr>
          <w:b/>
        </w:rPr>
        <w:t>Later source:</w:t>
      </w:r>
      <w:r>
        <w:t xml:space="preserve"> Sowing the seeds of change: unveiling farmer types to promote climate-smart agriculture adoption in Europe — https://doi.org/10.1016/j.jrurstud.2026.104043</w:t>
      </w:r>
    </w:p>
    <w:p>
      <w:pPr>
        <w:pStyle w:val="SourceNote"/>
      </w:pPr>
      <w:r>
        <w:rPr>
          <w:b/>
        </w:rPr>
        <w:t>Review status:</w:t>
      </w:r>
      <w:r>
        <w:t xml:space="preserve"> unchecked — possible relationship only</w:t>
      </w:r>
    </w:p>
    <w:p>
      <w:pPr>
        <w:pStyle w:val="Heading2"/>
      </w:pPr>
      <w:r>
        <w:t>59. Claim + two later sources: Forecasting the Diffusion of Gigabit Home Networking In Europe</w:t>
      </w:r>
    </w:p>
    <w:p>
      <w:pPr>
        <w:pStyle w:val="SourceNote"/>
      </w:pPr>
      <w:r>
        <w:rPr>
          <w:b/>
        </w:rPr>
        <w:t>Group ID:</w:t>
      </w:r>
      <w:r>
        <w:t xml:space="preserve"> group-dc6b7d87e2cad1c5ef9f</w:t>
      </w:r>
    </w:p>
    <w:p>
      <w:pPr>
        <w:pStyle w:val="SourceNote"/>
      </w:pPr>
      <w:r>
        <w:rPr>
          <w:b/>
        </w:rPr>
        <w:t>Original source:</w:t>
      </w:r>
      <w:r>
        <w:t xml:space="preserve"> https://doi.org/10.4018/ijtd.2014070103</w:t>
      </w:r>
    </w:p>
    <w:p>
      <w:pPr/>
      <w:r>
        <w:rPr>
          <w:b/>
        </w:rPr>
        <w:t>Original future claim:</w:t>
      </w:r>
      <w:r>
        <w:t xml:space="preserve"> 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r>
        <w:rPr>
          <w:b/>
        </w:rPr>
        <w:t>Later source:</w:t>
      </w:r>
      <w:r>
        <w:t xml:space="preserve"> Stakeholder engagement in hubs for circularity in Europe — https://doi.org/10.1051/mattech/2026012</w:t>
      </w:r>
    </w:p>
    <w:p>
      <w:pPr/>
      <w:r>
        <w:rPr>
          <w:b/>
        </w:rPr>
        <w:t>Later source:</w:t>
      </w:r>
      <w:r>
        <w:t xml:space="preserve"> Local flexibility markets in Europe: A critical review of market designs, operational maturity and stakeholder perspectives — https://doi.org/10.1016/j.rser.2025.116434</w:t>
      </w:r>
    </w:p>
    <w:p>
      <w:pPr>
        <w:pStyle w:val="SourceNote"/>
      </w:pPr>
      <w:r>
        <w:rPr>
          <w:b/>
        </w:rPr>
        <w:t>Review status:</w:t>
      </w:r>
      <w:r>
        <w:t xml:space="preserve"> unchecked — possible relationship only</w:t>
      </w:r>
    </w:p>
    <w:p>
      <w:pPr>
        <w:pStyle w:val="Heading2"/>
      </w:pPr>
      <w:r>
        <w:t>60. Claim + two later sources: Using scenarios to assess the future supply of NHS nursing staff in England</w:t>
      </w:r>
    </w:p>
    <w:p>
      <w:pPr>
        <w:pStyle w:val="SourceNote"/>
      </w:pPr>
      <w:r>
        <w:rPr>
          <w:b/>
        </w:rPr>
        <w:t>Group ID:</w:t>
      </w:r>
      <w:r>
        <w:t xml:space="preserve"> group-bbb5de2394ceae1322ce</w:t>
      </w:r>
    </w:p>
    <w:p>
      <w:pPr>
        <w:pStyle w:val="SourceNote"/>
      </w:pPr>
      <w:r>
        <w:rPr>
          <w:b/>
        </w:rPr>
        <w:t>Original source:</w:t>
      </w:r>
      <w:r>
        <w:t xml:space="preserve"> https://doi.org/10.1186/1478-4491-10-16</w:t>
      </w:r>
    </w:p>
    <w:p>
      <w:pPr/>
      <w:r>
        <w:rPr>
          <w:b/>
        </w:rPr>
        <w:t>Original future claim:</w:t>
      </w:r>
      <w:r>
        <w:t xml:space="preserve"> 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r>
        <w:rPr>
          <w:b/>
        </w:rPr>
        <w:t>Later source:</w:t>
      </w:r>
      <w:r>
        <w:t xml:space="preserve"> Of Important — https://doi.org/10.67224/ioasdjbms.2024.v01i02.001</w:t>
      </w:r>
    </w:p>
    <w:p>
      <w:pPr/>
      <w:r>
        <w:rPr>
          <w:b/>
        </w:rPr>
        <w:t>Later source:</w:t>
      </w:r>
      <w:r>
        <w:t xml:space="preserve"> Ground Based-cloud Classification Based on Comparing Different Classification Models — https://doi.org/10.54254/2755-2721/2/20220541</w:t>
      </w:r>
    </w:p>
    <w:p>
      <w:pPr>
        <w:pStyle w:val="SourceNote"/>
      </w:pPr>
      <w:r>
        <w:rPr>
          <w:b/>
        </w:rPr>
        <w:t>Review status:</w:t>
      </w:r>
      <w:r>
        <w:t xml:space="preserve"> unchecked — possible relationship only</w:t>
      </w:r>
    </w:p>
    <w:p>
      <w:pPr>
        <w:pStyle w:val="Heading2"/>
      </w:pPr>
      <w:r>
        <w:t>61. Claim + two later sources: New system of employment forecasting in Poland</w:t>
      </w:r>
    </w:p>
    <w:p>
      <w:pPr>
        <w:pStyle w:val="SourceNote"/>
      </w:pPr>
      <w:r>
        <w:rPr>
          <w:b/>
        </w:rPr>
        <w:t>Group ID:</w:t>
      </w:r>
      <w:r>
        <w:t xml:space="preserve"> group-9718b882e3ab8727fb8b</w:t>
      </w:r>
    </w:p>
    <w:p>
      <w:pPr>
        <w:pStyle w:val="SourceNote"/>
      </w:pPr>
      <w:r>
        <w:rPr>
          <w:b/>
        </w:rPr>
        <w:t>Original source:</w:t>
      </w:r>
      <w:r>
        <w:t xml:space="preserve"> https://doi.org/10.2478/eam-2014-0018</w:t>
      </w:r>
    </w:p>
    <w:p>
      <w:pPr/>
      <w:r>
        <w:rPr>
          <w:b/>
        </w:rPr>
        <w:t>Original future claim:</w:t>
      </w:r>
      <w:r>
        <w:t xml:space="preserve"> 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r>
        <w:rPr>
          <w:b/>
        </w:rPr>
        <w:t>Later source:</w:t>
      </w:r>
      <w:r>
        <w:t xml:space="preserve"> A collaborative analytics framework for artificial intelligence-based demand forecasting in supply chains — https://doi.org/10.1016/j.sca.2026.100235</w:t>
      </w:r>
    </w:p>
    <w:p>
      <w:pPr/>
      <w:r>
        <w:rPr>
          <w:b/>
        </w:rPr>
        <w:t>Later source:</w:t>
      </w:r>
      <w:r>
        <w:t xml:space="preserve"> D5.5 Short-term ecological forecasts in support of the Bioeconomy Strategy and EU citizens — https://doi.org/10.3897/arphapreprints.e119131</w:t>
      </w:r>
    </w:p>
    <w:p>
      <w:pPr>
        <w:pStyle w:val="SourceNote"/>
      </w:pPr>
      <w:r>
        <w:rPr>
          <w:b/>
        </w:rPr>
        <w:t>Review status:</w:t>
      </w:r>
      <w:r>
        <w:t xml:space="preserve"> unchecked — possible relationship only</w:t>
      </w:r>
    </w:p>
    <w:p>
      <w:pPr>
        <w:pStyle w:val="Heading2"/>
      </w:pPr>
      <w:r>
        <w:t>62. Claim + two later sources: On European Green Deal and Sustainable Development Policy (the Case of Romania)</w:t>
      </w:r>
    </w:p>
    <w:p>
      <w:pPr>
        <w:pStyle w:val="SourceNote"/>
      </w:pPr>
      <w:r>
        <w:rPr>
          <w:b/>
        </w:rPr>
        <w:t>Group ID:</w:t>
      </w:r>
      <w:r>
        <w:t xml:space="preserve"> group-c858aeeb5429ae58fe87</w:t>
      </w:r>
    </w:p>
    <w:p>
      <w:pPr>
        <w:pStyle w:val="SourceNote"/>
      </w:pPr>
      <w:r>
        <w:rPr>
          <w:b/>
        </w:rPr>
        <w:t>Original source:</w:t>
      </w:r>
      <w:r>
        <w:t xml:space="preserve"> https://doi.org/10.3390/su132112233</w:t>
      </w:r>
    </w:p>
    <w:p>
      <w:pPr/>
      <w:r>
        <w:rPr>
          <w:b/>
        </w:rPr>
        <w:t>Original future claim:</w:t>
      </w:r>
      <w:r>
        <w:t xml:space="preserve"> Reaching the EU climate-neutrality objective in 2050 is very ambitious, especially for the Member States from Central-Eastern Europe.</w:t>
      </w:r>
    </w:p>
    <w:p>
      <w:pPr/>
      <w:r>
        <w:rPr>
          <w:b/>
        </w:rPr>
        <w:t>Later source:</w:t>
      </w:r>
      <w:r>
        <w:t xml:space="preserve"> Cluster Analysis of the Transition to Climate Neutrality in the European Union — https://doi.org/10.1002/sd.70064</w:t>
      </w:r>
    </w:p>
    <w:p>
      <w:pPr/>
      <w:r>
        <w:rPr>
          <w:b/>
        </w:rPr>
        <w:t>Later source:</w:t>
      </w:r>
      <w:r>
        <w:t xml:space="preserve"> Assessment of the Potential of European Union Member States to Achieve Climate Neutrality — https://doi.org/10.3390/su16031311</w:t>
      </w:r>
    </w:p>
    <w:p>
      <w:pPr>
        <w:pStyle w:val="SourceNote"/>
      </w:pPr>
      <w:r>
        <w:rPr>
          <w:b/>
        </w:rPr>
        <w:t>Review status:</w:t>
      </w:r>
      <w:r>
        <w:t xml:space="preserve"> unchecked — possible relationship only</w:t>
      </w:r>
    </w:p>
    <w:p>
      <w:pPr>
        <w:pStyle w:val="Heading2"/>
      </w:pPr>
      <w:r>
        <w:t>63. Claim + two later sources: Modeling the climatic suitability of leishmaniasis vector species in Europe</w:t>
      </w:r>
    </w:p>
    <w:p>
      <w:pPr>
        <w:pStyle w:val="SourceNote"/>
      </w:pPr>
      <w:r>
        <w:rPr>
          <w:b/>
        </w:rPr>
        <w:t>Group ID:</w:t>
      </w:r>
      <w:r>
        <w:t xml:space="preserve"> group-d5f4f7bade4d679fd76d</w:t>
      </w:r>
    </w:p>
    <w:p>
      <w:pPr>
        <w:pStyle w:val="SourceNote"/>
      </w:pPr>
      <w:r>
        <w:rPr>
          <w:b/>
        </w:rPr>
        <w:t>Original source:</w:t>
      </w:r>
      <w:r>
        <w:t xml:space="preserve"> https://doi.org/10.1038/s41598-017-13822-1</w:t>
      </w:r>
    </w:p>
    <w:p>
      <w:pPr/>
      <w:r>
        <w:rPr>
          <w:b/>
        </w:rPr>
        <w:t>Original future claim:</w:t>
      </w:r>
      <w:r>
        <w:t xml:space="preserve"> 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r>
        <w:rPr>
          <w:b/>
        </w:rPr>
        <w:t>Later source:</w:t>
      </w:r>
      <w:r>
        <w:t xml:space="preserve"> Ash dieback and hydrology affect tree growth patterns under climate change in European floodplain forests — https://doi.org/10.1038/s41598-025-92079-5</w:t>
      </w:r>
    </w:p>
    <w:p>
      <w:pPr/>
      <w:r>
        <w:rPr>
          <w:b/>
        </w:rPr>
        <w:t>Later source:</w:t>
      </w:r>
      <w:r>
        <w:t xml:space="preserve"> Implications for the distributional range of the European bark beetles under future climate change — https://doi.org/10.1038/s41598-025-15546-z</w:t>
      </w:r>
    </w:p>
    <w:p>
      <w:pPr>
        <w:pStyle w:val="SourceNote"/>
      </w:pPr>
      <w:r>
        <w:rPr>
          <w:b/>
        </w:rPr>
        <w:t>Review status:</w:t>
      </w:r>
      <w:r>
        <w:t xml:space="preserve"> unchecked — possible relationship only</w:t>
      </w:r>
    </w:p>
    <w:p>
      <w:pPr>
        <w:pStyle w:val="Heading2"/>
      </w:pPr>
      <w:r>
        <w:t>64. Claim + two later sources: Beyond Futures: Designing Futures by Educating Future Designers</w:t>
      </w:r>
    </w:p>
    <w:p>
      <w:pPr>
        <w:pStyle w:val="SourceNote"/>
      </w:pPr>
      <w:r>
        <w:rPr>
          <w:b/>
        </w:rPr>
        <w:t>Group ID:</w:t>
      </w:r>
      <w:r>
        <w:t xml:space="preserve"> group-04671b7a7476ba65992a</w:t>
      </w:r>
    </w:p>
    <w:p>
      <w:pPr>
        <w:pStyle w:val="SourceNote"/>
      </w:pPr>
      <w:r>
        <w:rPr>
          <w:b/>
        </w:rPr>
        <w:t>Original source:</w:t>
      </w:r>
      <w:r>
        <w:t xml:space="preserve"> https://doi.org/10.1177/1946756718790758</w:t>
      </w:r>
    </w:p>
    <w:p>
      <w:pPr/>
      <w:r>
        <w:rPr>
          <w:b/>
        </w:rPr>
        <w:t>Original future claim:</w:t>
      </w:r>
      <w:r>
        <w:t xml:space="preserve"> It may increase designers’ sensitivity of the impact their work may have in the future and push their creativity by broadening their view looking at different future scenarios.</w:t>
      </w:r>
    </w:p>
    <w:p>
      <w:pPr/>
      <w:r>
        <w:rPr>
          <w:b/>
        </w:rPr>
        <w:t>Later source:</w:t>
      </w:r>
      <w:r>
        <w:t xml:space="preserve"> Recent findings and advancements in the detection of designer benzodiazepines: a brief review — https://doi.org/10.2478/aiht-2023-74-3771</w:t>
      </w:r>
    </w:p>
    <w:p>
      <w:pPr/>
      <w:r>
        <w:rPr>
          <w:b/>
        </w:rPr>
        <w:t>Later source:</w:t>
      </w:r>
      <w:r>
        <w:t xml:space="preserve"> Increasing gender sensitivity with codesign — https://doi.org/10.34190/icgr.5.1.177</w:t>
      </w:r>
    </w:p>
    <w:p>
      <w:pPr>
        <w:pStyle w:val="SourceNote"/>
      </w:pPr>
      <w:r>
        <w:rPr>
          <w:b/>
        </w:rPr>
        <w:t>Review status:</w:t>
      </w:r>
      <w:r>
        <w:t xml:space="preserve"> unchecked — possible relationship only</w:t>
      </w:r>
    </w:p>
    <w:p>
      <w:pPr>
        <w:pStyle w:val="Heading2"/>
      </w:pPr>
      <w:r>
        <w:t>65. Claim + two later sources: Baltic herring for food: Shades of grey in how backcasting recommendations work across exploratory scenarios</w:t>
      </w:r>
    </w:p>
    <w:p>
      <w:pPr>
        <w:pStyle w:val="SourceNote"/>
      </w:pPr>
      <w:r>
        <w:rPr>
          <w:b/>
        </w:rPr>
        <w:t>Group ID:</w:t>
      </w:r>
      <w:r>
        <w:t xml:space="preserve"> group-56f3719fe9d36bb837b1</w:t>
      </w:r>
    </w:p>
    <w:p>
      <w:pPr>
        <w:pStyle w:val="SourceNote"/>
      </w:pPr>
      <w:r>
        <w:rPr>
          <w:b/>
        </w:rPr>
        <w:t>Original source:</w:t>
      </w:r>
      <w:r>
        <w:t xml:space="preserve"> https://doi.org/10.1016/j.techfore.2018.11.001</w:t>
      </w:r>
    </w:p>
    <w:p>
      <w:pPr/>
      <w:r>
        <w:rPr>
          <w:b/>
        </w:rPr>
        <w:t>Original future claim:</w:t>
      </w:r>
      <w:r>
        <w:t xml:space="preserve"> 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r>
        <w:rPr>
          <w:b/>
        </w:rPr>
        <w:t>Later source:</w:t>
      </w:r>
      <w:r>
        <w:t xml:space="preserve"> Adherence to dietary recommendations and the risk of developing giant cell arteritis: A nested Case-Control study — https://doi.org/10.1016/j.semarthrit.2026.153003</w:t>
      </w:r>
    </w:p>
    <w:p>
      <w:pPr/>
      <w:r>
        <w:rPr>
          <w:b/>
        </w:rPr>
        <w:t>Later source:</w:t>
      </w:r>
      <w:r>
        <w:t xml:space="preserve"> Developing Recommendations to Improve Performance of Employees — https://openalex.org/W7162971626</w:t>
      </w:r>
    </w:p>
    <w:p>
      <w:pPr>
        <w:pStyle w:val="SourceNote"/>
      </w:pPr>
      <w:r>
        <w:rPr>
          <w:b/>
        </w:rPr>
        <w:t>Review status:</w:t>
      </w:r>
      <w:r>
        <w:t xml:space="preserve"> unchecked — possible relationship only</w:t>
      </w:r>
    </w:p>
    <w:p>
      <w:pPr>
        <w:pStyle w:val="Heading2"/>
      </w:pPr>
      <w:r>
        <w:t>66. Claim + two later sources: The EU climate and energy policy: what about the new targets for 2030?</w:t>
      </w:r>
    </w:p>
    <w:p>
      <w:pPr>
        <w:pStyle w:val="SourceNote"/>
      </w:pPr>
      <w:r>
        <w:rPr>
          <w:b/>
        </w:rPr>
        <w:t>Group ID:</w:t>
      </w:r>
      <w:r>
        <w:t xml:space="preserve"> group-3187e004eccbeafe8104</w:t>
      </w:r>
    </w:p>
    <w:p>
      <w:pPr>
        <w:pStyle w:val="SourceNote"/>
      </w:pPr>
      <w:r>
        <w:rPr>
          <w:b/>
        </w:rPr>
        <w:t>Original source:</w:t>
      </w:r>
      <w:r>
        <w:t xml:space="preserve"> https://doi.org/10.3280/efe2014-001002</w:t>
      </w:r>
    </w:p>
    <w:p>
      <w:pPr/>
      <w:r>
        <w:rPr>
          <w:b/>
        </w:rPr>
        <w:t>Original future claim:</w:t>
      </w:r>
      <w:r>
        <w:t xml:space="preserve"> 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r>
        <w:rPr>
          <w:b/>
        </w:rPr>
        <w:t>Later source:</w:t>
      </w:r>
      <w:r>
        <w:t xml:space="preserve"> Short-term renewable energy forecast errors in Europe: Spatial dependence and smoothing potential — https://doi.org/10.1016/j.renene.2026.126047</w:t>
      </w:r>
    </w:p>
    <w:p>
      <w:pPr/>
      <w:r>
        <w:rPr>
          <w:b/>
        </w:rPr>
        <w:t>Later source:</w:t>
      </w:r>
      <w:r>
        <w:t xml:space="preserve"> European Energy Vision 2060: Charting Diverse Pathways for Europe's Energy Transition — https://doi.org/10.48550/arxiv.2501.12993</w:t>
      </w:r>
    </w:p>
    <w:p>
      <w:pPr>
        <w:pStyle w:val="SourceNote"/>
      </w:pPr>
      <w:r>
        <w:rPr>
          <w:b/>
        </w:rPr>
        <w:t>Review status:</w:t>
      </w:r>
      <w:r>
        <w:t xml:space="preserve"> unchecked — possible relationship only</w:t>
      </w:r>
    </w:p>
    <w:p>
      <w:pPr>
        <w:pStyle w:val="Heading2"/>
      </w:pPr>
      <w:r>
        <w:t>67. Claim + two later sources: Facing the future: Scanning, synthesizing and sense-making in horizon scanning</w:t>
      </w:r>
    </w:p>
    <w:p>
      <w:pPr>
        <w:pStyle w:val="SourceNote"/>
      </w:pPr>
      <w:r>
        <w:rPr>
          <w:b/>
        </w:rPr>
        <w:t>Group ID:</w:t>
      </w:r>
      <w:r>
        <w:t xml:space="preserve"> group-c6e9e9cbcb1237be181c</w:t>
      </w:r>
    </w:p>
    <w:p>
      <w:pPr>
        <w:pStyle w:val="SourceNote"/>
      </w:pPr>
      <w:r>
        <w:rPr>
          <w:b/>
        </w:rPr>
        <w:t>Original source:</w:t>
      </w:r>
      <w:r>
        <w:t xml:space="preserve"> https://doi.org/10.1093/scipol/scs021</w:t>
      </w:r>
    </w:p>
    <w:p>
      <w:pPr/>
      <w:r>
        <w:rPr>
          <w:b/>
        </w:rPr>
        <w:t>Original future claim:</w:t>
      </w:r>
      <w:r>
        <w:t xml:space="preserve"> 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r>
        <w:rPr>
          <w:b/>
        </w:rPr>
        <w:t>Later source:</w:t>
      </w:r>
      <w:r>
        <w:t xml:space="preserve"> Assessing the success of a horizon scanning approach in predicting invasive non-native species — https://openalex.org/W7114593291</w:t>
      </w:r>
    </w:p>
    <w:p>
      <w:pPr/>
      <w:r>
        <w:rPr>
          <w:b/>
        </w:rPr>
        <w:t>Later source:</w:t>
      </w:r>
      <w:r>
        <w:t xml:space="preserve"> Evaluating international collaboration on horizon scanning for pharmaceuticals: developing key performance indicators for the international horizon scanning initiative — https://doi.org/10.1017/s0266462325103358</w:t>
      </w:r>
    </w:p>
    <w:p>
      <w:pPr>
        <w:pStyle w:val="SourceNote"/>
      </w:pPr>
      <w:r>
        <w:rPr>
          <w:b/>
        </w:rPr>
        <w:t>Review status:</w:t>
      </w:r>
      <w:r>
        <w:t xml:space="preserve"> unchecked — possible relationship only</w:t>
      </w:r>
    </w:p>
    <w:p>
      <w:pPr>
        <w:pStyle w:val="Heading2"/>
      </w:pPr>
      <w:r>
        <w:t>68. Claim + two later sources: A strategic policy scenario analysis framework for the sustainable tourist development of peripheral small island areas – the case of Lefkada-Greece Island</w:t>
      </w:r>
    </w:p>
    <w:p>
      <w:pPr>
        <w:pStyle w:val="SourceNote"/>
      </w:pPr>
      <w:r>
        <w:rPr>
          <w:b/>
        </w:rPr>
        <w:t>Group ID:</w:t>
      </w:r>
      <w:r>
        <w:t xml:space="preserve"> group-1f61b5d6f4f7012d3240</w:t>
      </w:r>
    </w:p>
    <w:p>
      <w:pPr>
        <w:pStyle w:val="SourceNote"/>
      </w:pPr>
      <w:r>
        <w:rPr>
          <w:b/>
        </w:rPr>
        <w:t>Original source:</w:t>
      </w:r>
      <w:r>
        <w:t xml:space="preserve"> https://doi.org/10.1007/s40309-015-0063-z</w:t>
      </w:r>
    </w:p>
    <w:p>
      <w:pPr/>
      <w:r>
        <w:rPr>
          <w:b/>
        </w:rPr>
        <w:t>Original future claim:</w:t>
      </w:r>
      <w:r>
        <w:t xml:space="preserve"> 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r>
        <w:rPr>
          <w:b/>
        </w:rPr>
        <w:t>Later source:</w:t>
      </w:r>
      <w:r>
        <w:t xml:space="preserve"> Expert perspectives on the requirements for implementing prehospital peripheral nerve blocks: a survey among members of the European Society of Regional Anaesthesia (ESRA) — https://doi.org/10.1186/s12871-026-04093-3</w:t>
      </w:r>
    </w:p>
    <w:p>
      <w:pPr/>
      <w:r>
        <w:rPr>
          <w:b/>
        </w:rPr>
        <w:t>Later source:</w:t>
      </w:r>
      <w:r>
        <w:t xml:space="preserve"> Servitising rural heritage: Social innovation and the social economy in peripheral Europe — https://doi.org/10.24136/eq.4292</w:t>
      </w:r>
    </w:p>
    <w:p>
      <w:pPr>
        <w:pStyle w:val="SourceNote"/>
      </w:pPr>
      <w:r>
        <w:rPr>
          <w:b/>
        </w:rPr>
        <w:t>Review status:</w:t>
      </w:r>
      <w:r>
        <w:t xml:space="preserve"> unchecked — possible relationship only</w:t>
      </w:r>
    </w:p>
    <w:p>
      <w:pPr>
        <w:pStyle w:val="Heading2"/>
      </w:pPr>
      <w:r>
        <w:t>69. Claim + two later sources: Ensemble flood risk assessment in Europe under high end climate scenarios</w:t>
      </w:r>
    </w:p>
    <w:p>
      <w:pPr>
        <w:pStyle w:val="SourceNote"/>
      </w:pPr>
      <w:r>
        <w:rPr>
          <w:b/>
        </w:rPr>
        <w:t>Group ID:</w:t>
      </w:r>
      <w:r>
        <w:t xml:space="preserve"> group-50109adbc07d9ac134dd</w:t>
      </w:r>
    </w:p>
    <w:p>
      <w:pPr>
        <w:pStyle w:val="SourceNote"/>
      </w:pPr>
      <w:r>
        <w:rPr>
          <w:b/>
        </w:rPr>
        <w:t>Original source:</w:t>
      </w:r>
      <w:r>
        <w:t xml:space="preserve"> https://doi.org/10.1016/j.gloenvcha.2015.09.004</w:t>
      </w:r>
    </w:p>
    <w:p>
      <w:pPr/>
      <w:r>
        <w:rPr>
          <w:b/>
        </w:rPr>
        <w:t>Original future claim:</w:t>
      </w:r>
      <w:r>
        <w:t xml:space="preserve"> 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r>
        <w:rPr>
          <w:b/>
        </w:rPr>
        <w:t>Later source:</w:t>
      </w:r>
      <w:r>
        <w:t xml:space="preserve"> Uncertainty-aware forecasting of economic and socio-economic inputs for environmental and sustainability indicator assessment — https://doi.org/10.1016/j.indic.2026.101471</w:t>
      </w:r>
    </w:p>
    <w:p>
      <w:pPr/>
      <w:r>
        <w:rPr>
          <w:b/>
        </w:rPr>
        <w:t>Later source:</w:t>
      </w:r>
      <w:r>
        <w:t xml:space="preserve"> Assessment of Socio-Economic Impacts of Hyperloop Technology on European Trade Routes — https://doi.org/10.3390/economies13030065</w:t>
      </w:r>
    </w:p>
    <w:p>
      <w:pPr>
        <w:pStyle w:val="SourceNote"/>
      </w:pPr>
      <w:r>
        <w:rPr>
          <w:b/>
        </w:rPr>
        <w:t>Review status:</w:t>
      </w:r>
      <w:r>
        <w:t xml:space="preserve"> unchecked — possible relationship only</w:t>
      </w:r>
    </w:p>
    <w:p>
      <w:pPr>
        <w:pStyle w:val="Heading2"/>
      </w:pPr>
      <w:r>
        <w:t>70. Claim + two later sources: Environmental impacts of household appliances in Europe and scenarios for their impact reduction</w:t>
      </w:r>
    </w:p>
    <w:p>
      <w:pPr>
        <w:pStyle w:val="SourceNote"/>
      </w:pPr>
      <w:r>
        <w:rPr>
          <w:b/>
        </w:rPr>
        <w:t>Group ID:</w:t>
      </w:r>
      <w:r>
        <w:t xml:space="preserve"> group-26cbf420b18d523c82b4</w:t>
      </w:r>
    </w:p>
    <w:p>
      <w:pPr>
        <w:pStyle w:val="SourceNote"/>
      </w:pPr>
      <w:r>
        <w:rPr>
          <w:b/>
        </w:rPr>
        <w:t>Original source:</w:t>
      </w:r>
      <w:r>
        <w:t xml:space="preserve"> https://doi.org/10.1016/j.jclepro.2020.121952</w:t>
      </w:r>
    </w:p>
    <w:p>
      <w:pPr/>
      <w:r>
        <w:rPr>
          <w:b/>
        </w:rPr>
        <w:t>Original future claim:</w:t>
      </w:r>
      <w:r>
        <w:t xml:space="preserve"> 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r>
        <w:rPr>
          <w:b/>
        </w:rPr>
        <w:t>Later source:</w:t>
      </w:r>
      <w:r>
        <w:t xml:space="preserve"> European Lepidoptera–Plant Associations: A Species‐Level Interaction Matrix — https://doi.org/10.1002/ece3.73004</w:t>
      </w:r>
    </w:p>
    <w:p>
      <w:pPr/>
      <w:r>
        <w:rPr>
          <w:b/>
        </w:rPr>
        <w:t>Later source:</w:t>
      </w:r>
      <w:r>
        <w:t xml:space="preserve"> Eco-Efficiency in the Agricultural Sector: A Cross-Country Comparison Between the European Union and Türkiye — https://doi.org/10.3390/su17135713</w:t>
      </w:r>
    </w:p>
    <w:p>
      <w:pPr>
        <w:pStyle w:val="SourceNote"/>
      </w:pPr>
      <w:r>
        <w:rPr>
          <w:b/>
        </w:rPr>
        <w:t>Review status:</w:t>
      </w:r>
      <w:r>
        <w:t xml:space="preserve"> unchecked — possible relationship only</w:t>
      </w:r>
    </w:p>
    <w:p>
      <w:pPr>
        <w:pStyle w:val="Heading2"/>
      </w:pPr>
      <w:r>
        <w:t>71. Claim + two later sources: Future export markets of industrial wood construction – A qualitative backcasting study</w:t>
      </w:r>
    </w:p>
    <w:p>
      <w:pPr>
        <w:pStyle w:val="SourceNote"/>
      </w:pPr>
      <w:r>
        <w:rPr>
          <w:b/>
        </w:rPr>
        <w:t>Group ID:</w:t>
      </w:r>
      <w:r>
        <w:t xml:space="preserve"> group-45e5a63576d3a0e98eed</w:t>
      </w:r>
    </w:p>
    <w:p>
      <w:pPr>
        <w:pStyle w:val="SourceNote"/>
      </w:pPr>
      <w:r>
        <w:rPr>
          <w:b/>
        </w:rPr>
        <w:t>Original source:</w:t>
      </w:r>
      <w:r>
        <w:t xml:space="preserve"> https://doi.org/10.1016/j.forpol.2021.102480</w:t>
      </w:r>
    </w:p>
    <w:p>
      <w:pPr/>
      <w:r>
        <w:rPr>
          <w:b/>
        </w:rPr>
        <w:t>Original future claim:</w:t>
      </w:r>
      <w:r>
        <w:t xml:space="preserve"> 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r>
        <w:rPr>
          <w:b/>
        </w:rPr>
        <w:t>Later source:</w:t>
      </w:r>
      <w:r>
        <w:t xml:space="preserve"> Selecting Promising Soil Quality Indicators for Monitoring Soil Management Effects Based on 10 European Long‐Term Field Experiments — https://doi.org/10.1002/jpln.70068</w:t>
      </w:r>
    </w:p>
    <w:p>
      <w:pPr/>
      <w:r>
        <w:rPr>
          <w:b/>
        </w:rPr>
        <w:t>Later source:</w:t>
      </w:r>
      <w:r>
        <w:t xml:space="preserve"> Regulatory Barriers to Market Entry: The Impact of EU and Finnish Cosmetic Regulations on Importing Japanese Cosmetics into Finland — https://openalex.org/W7162165616</w:t>
      </w:r>
    </w:p>
    <w:p>
      <w:pPr>
        <w:pStyle w:val="SourceNote"/>
      </w:pPr>
      <w:r>
        <w:rPr>
          <w:b/>
        </w:rPr>
        <w:t>Review status:</w:t>
      </w:r>
      <w:r>
        <w:t xml:space="preserve"> unchecked — possible relationship only</w:t>
      </w:r>
    </w:p>
    <w:p>
      <w:pPr>
        <w:pStyle w:val="Heading2"/>
      </w:pPr>
      <w:r>
        <w:t>72. Claim + two later sources: The implications of demographic and economic projections on public pension spending in the European Union</w:t>
      </w:r>
    </w:p>
    <w:p>
      <w:pPr>
        <w:pStyle w:val="SourceNote"/>
      </w:pPr>
      <w:r>
        <w:rPr>
          <w:b/>
        </w:rPr>
        <w:t>Group ID:</w:t>
      </w:r>
      <w:r>
        <w:t xml:space="preserve"> group-59d2813407bcf76b5f92</w:t>
      </w:r>
    </w:p>
    <w:p>
      <w:pPr>
        <w:pStyle w:val="SourceNote"/>
      </w:pPr>
      <w:r>
        <w:rPr>
          <w:b/>
        </w:rPr>
        <w:t>Original source:</w:t>
      </w:r>
      <w:r>
        <w:t xml:space="preserve"> https://doi.org/10.1080/21699763.2017.1411288</w:t>
      </w:r>
    </w:p>
    <w:p>
      <w:pPr/>
      <w:r>
        <w:rPr>
          <w:b/>
        </w:rPr>
        <w:t>Original future claim:</w:t>
      </w:r>
      <w:r>
        <w:t xml:space="preserve"> This paper analyses the implications that demographic and economic projections have on public pension spending in the European Union (EU). Using some stylised facts, we study the aging trends of the population, as well as labour force and employment projections.</w:t>
      </w:r>
    </w:p>
    <w:p>
      <w:pPr/>
      <w:r>
        <w:rPr>
          <w:b/>
        </w:rPr>
        <w:t>Later source:</w:t>
      </w:r>
      <w:r>
        <w:t xml:space="preserve"> Ageing Europe: Demographic Change, Active Ageing, and EU Legislative Strategies — https://doi.org/10.5281/zenodo.20000812</w:t>
      </w:r>
    </w:p>
    <w:p>
      <w:pPr/>
      <w:r>
        <w:rPr>
          <w:b/>
        </w:rPr>
        <w:t>Later source:</w:t>
      </w:r>
      <w:r>
        <w:t xml:space="preserve"> Australia-European Union Free Trade Agreement negotiations conclude: implications for Australian and EU geographical indications — https://doi.org/10.1093/jiplp/jpag079</w:t>
      </w:r>
    </w:p>
    <w:p>
      <w:pPr>
        <w:pStyle w:val="SourceNote"/>
      </w:pPr>
      <w:r>
        <w:rPr>
          <w:b/>
        </w:rPr>
        <w:t>Review status:</w:t>
      </w:r>
      <w:r>
        <w:t xml:space="preserve"> unchecked — possible relationship only</w:t>
      </w:r>
    </w:p>
    <w:p>
      <w:pPr>
        <w:pStyle w:val="Heading2"/>
      </w:pPr>
      <w:r>
        <w:t>73. Claim + two later sources: Actual and potential development of consumer demand on the organic food market in Europe</w:t>
      </w:r>
    </w:p>
    <w:p>
      <w:pPr>
        <w:pStyle w:val="SourceNote"/>
      </w:pPr>
      <w:r>
        <w:rPr>
          <w:b/>
        </w:rPr>
        <w:t>Group ID:</w:t>
      </w:r>
      <w:r>
        <w:t xml:space="preserve"> group-e6a0ac42c54104490048</w:t>
      </w:r>
    </w:p>
    <w:p>
      <w:pPr>
        <w:pStyle w:val="SourceNote"/>
      </w:pPr>
      <w:r>
        <w:rPr>
          <w:b/>
        </w:rPr>
        <w:t>Original source:</w:t>
      </w:r>
      <w:r>
        <w:t xml:space="preserve"> https://doi.org/10.1016/j.njas.2011.01.005</w:t>
      </w:r>
    </w:p>
    <w:p>
      <w:pPr/>
      <w:r>
        <w:rPr>
          <w:b/>
        </w:rPr>
        <w:t>Original future claim:</w:t>
      </w:r>
      <w:r>
        <w:t xml:space="preserve"> 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r>
        <w:rPr>
          <w:b/>
        </w:rPr>
        <w:t>Later source:</w:t>
      </w:r>
      <w:r>
        <w:t xml:space="preserve"> Range expansion of the golden jackal (Canis aureus) in Europe — https://doi.org/10.53452/tu3112</w:t>
      </w:r>
    </w:p>
    <w:p>
      <w:pPr/>
      <w:r>
        <w:rPr>
          <w:b/>
        </w:rPr>
        <w:t>Later source:</w:t>
      </w:r>
      <w:r>
        <w:t xml:space="preserve"> Optimizing opportunities for oak woodland expansion into upland pastures — https://doi.org/10.1002/2688-8319.12126</w:t>
      </w:r>
    </w:p>
    <w:p>
      <w:pPr>
        <w:pStyle w:val="SourceNote"/>
      </w:pPr>
      <w:r>
        <w:rPr>
          <w:b/>
        </w:rPr>
        <w:t>Review status:</w:t>
      </w:r>
      <w:r>
        <w:t xml:space="preserve"> unchecked — possible relationship only</w:t>
      </w:r>
    </w:p>
    <w:p>
      <w:pPr>
        <w:pStyle w:val="Heading2"/>
      </w:pPr>
      <w:r>
        <w:t>74. Claim + two later sources: Advancing tools to promote health equity across European Union regions: the EURO-HEALTHY project</w:t>
      </w:r>
    </w:p>
    <w:p>
      <w:pPr>
        <w:pStyle w:val="SourceNote"/>
      </w:pPr>
      <w:r>
        <w:rPr>
          <w:b/>
        </w:rPr>
        <w:t>Group ID:</w:t>
      </w:r>
      <w:r>
        <w:t xml:space="preserve"> group-33e0c46886d064c0bea3</w:t>
      </w:r>
    </w:p>
    <w:p>
      <w:pPr>
        <w:pStyle w:val="SourceNote"/>
      </w:pPr>
      <w:r>
        <w:rPr>
          <w:b/>
        </w:rPr>
        <w:t>Original source:</w:t>
      </w:r>
      <w:r>
        <w:t xml:space="preserve"> https://doi.org/10.1186/s12961-020-0526-y</w:t>
      </w:r>
    </w:p>
    <w:p>
      <w:pPr/>
      <w:r>
        <w:rPr>
          <w:b/>
        </w:rPr>
        <w:t>Original future claim:</w:t>
      </w:r>
      <w:r>
        <w:t xml:space="preserve"> 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r>
        <w:rPr>
          <w:b/>
        </w:rPr>
        <w:t>Later source:</w:t>
      </w:r>
      <w:r>
        <w:t xml:space="preserve"> POLISH POPULISM AND THE COUNCIL OF EUROPE: HOW POLAND IS FAILING TO ADHERE TO ITS CORE OBLIGATIONS AND WHAT IT MEANS — https://doi.org/10.52340/gjes.2022.01.06</w:t>
      </w:r>
    </w:p>
    <w:p>
      <w:pPr/>
      <w:r>
        <w:rPr>
          <w:b/>
        </w:rPr>
        <w:t>Later source:</w:t>
      </w:r>
      <w:r>
        <w:t xml:space="preserve"> ESAIC focused guidelines for the management of the failing epidural during labour epidural analgesia — https://doi.org/10.1097/eja.0000000000002108</w:t>
      </w:r>
    </w:p>
    <w:p>
      <w:pPr>
        <w:pStyle w:val="SourceNote"/>
      </w:pPr>
      <w:r>
        <w:rPr>
          <w:b/>
        </w:rPr>
        <w:t>Review status:</w:t>
      </w:r>
      <w:r>
        <w:t xml:space="preserve"> unchecked — possible relationship only</w:t>
      </w:r>
    </w:p>
    <w:p>
      <w:pPr>
        <w:pStyle w:val="Heading2"/>
      </w:pPr>
      <w:r>
        <w:t>75. Claim + two later sources: The Current Picture of the Transition to a Green Economy in the EU—Trends in Climate and Energy Policy versus State Security</w:t>
      </w:r>
    </w:p>
    <w:p>
      <w:pPr>
        <w:pStyle w:val="SourceNote"/>
      </w:pPr>
      <w:r>
        <w:rPr>
          <w:b/>
        </w:rPr>
        <w:t>Group ID:</w:t>
      </w:r>
      <w:r>
        <w:t xml:space="preserve"> group-5b832032053860c3c606</w:t>
      </w:r>
    </w:p>
    <w:p>
      <w:pPr>
        <w:pStyle w:val="SourceNote"/>
      </w:pPr>
      <w:r>
        <w:rPr>
          <w:b/>
        </w:rPr>
        <w:t>Original source:</w:t>
      </w:r>
      <w:r>
        <w:t xml:space="preserve"> https://doi.org/10.3390/en14238181</w:t>
      </w:r>
    </w:p>
    <w:p>
      <w:pPr/>
      <w:r>
        <w:rPr>
          <w:b/>
        </w:rPr>
        <w:t>Original future claim:</w:t>
      </w:r>
      <w:r>
        <w:t xml:space="preserve"> The aim of the article is to present the main quantitative challenges for the development of the green economy in the EU, which are analyzed from the perspective of the year 2030.</w:t>
      </w:r>
    </w:p>
    <w:p>
      <w:pPr/>
      <w:r>
        <w:rPr>
          <w:b/>
        </w:rPr>
        <w:t>Later source:</w:t>
      </w:r>
      <w:r>
        <w:t xml:space="preserve"> Cartography of the Use of Artificial Intelligence Against Disinformation in Europe: Trends, Stakeholders, and Emerging Challenges — https://doi.org/10.3390/socsci15020071</w:t>
      </w:r>
    </w:p>
    <w:p>
      <w:pPr/>
      <w:r>
        <w:rPr>
          <w:b/>
        </w:rPr>
        <w:t>Later source:</w:t>
      </w:r>
      <w:r>
        <w:t xml:space="preserve"> Default recognition under Article 178 CRR: challenges and implications for standardised approach banks — https://doi.org/10.1108/jfrc-07-2025-0194</w:t>
      </w:r>
    </w:p>
    <w:p>
      <w:pPr>
        <w:pStyle w:val="SourceNote"/>
      </w:pPr>
      <w:r>
        <w:rPr>
          <w:b/>
        </w:rPr>
        <w:t>Review status:</w:t>
      </w:r>
      <w:r>
        <w:t xml:space="preserve"> unchecked — possible relationship only</w:t>
      </w:r>
    </w:p>
    <w:p>
      <w:pPr>
        <w:pStyle w:val="Heading2"/>
      </w:pPr>
      <w:r>
        <w:t>76. Claim + two later sources: The European Union and Africa towards 2030: perspectives from transnational civil society organisations</w:t>
      </w:r>
    </w:p>
    <w:p>
      <w:pPr>
        <w:pStyle w:val="SourceNote"/>
      </w:pPr>
      <w:r>
        <w:rPr>
          <w:b/>
        </w:rPr>
        <w:t>Group ID:</w:t>
      </w:r>
      <w:r>
        <w:t xml:space="preserve"> group-f102c1a5d4607c2675f7</w:t>
      </w:r>
    </w:p>
    <w:p>
      <w:pPr>
        <w:pStyle w:val="SourceNote"/>
      </w:pPr>
      <w:r>
        <w:rPr>
          <w:b/>
        </w:rPr>
        <w:t>Original source:</w:t>
      </w:r>
      <w:r>
        <w:t xml:space="preserve"> https://doi.org/10.4000/151gv</w:t>
      </w:r>
    </w:p>
    <w:p>
      <w:pPr/>
      <w:r>
        <w:rPr>
          <w:b/>
        </w:rPr>
        <w:t>Original future claim:</w:t>
      </w:r>
      <w:r>
        <w:t xml:space="preserve"> 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r>
        <w:rPr>
          <w:b/>
        </w:rPr>
        <w:t>Later source:</w:t>
      </w:r>
      <w:r>
        <w:t xml:space="preserve"> The Role of Corporate Responsibility and Quality Legislation in Achieving the Sustainable Development Goals: Legal and Practical Interconnections and Hungarian Legislation — https://doi.org/10.71100/studia.2025.2.3</w:t>
      </w:r>
    </w:p>
    <w:p>
      <w:pPr/>
      <w:r>
        <w:rPr>
          <w:b/>
        </w:rPr>
        <w:t>Later source:</w:t>
      </w:r>
      <w:r>
        <w:t xml:space="preserve"> WORLD EXPERIENCE OF UNIVERSITY SUSTAINABLE DEVELOPMENT — https://doi.org/10.30525/2500-946x/2023-1-12</w:t>
      </w:r>
    </w:p>
    <w:p>
      <w:pPr>
        <w:pStyle w:val="SourceNote"/>
      </w:pPr>
      <w:r>
        <w:rPr>
          <w:b/>
        </w:rPr>
        <w:t>Review status:</w:t>
      </w:r>
      <w:r>
        <w:t xml:space="preserve"> unchecked — possible relationship only</w:t>
      </w:r>
    </w:p>
    <w:p>
      <w:pPr>
        <w:pStyle w:val="Heading2"/>
      </w:pPr>
      <w:r>
        <w:t>77. Claim + two later sources: European cephalopods distribution under climate-change scenarios</w:t>
      </w:r>
    </w:p>
    <w:p>
      <w:pPr>
        <w:pStyle w:val="SourceNote"/>
      </w:pPr>
      <w:r>
        <w:rPr>
          <w:b/>
        </w:rPr>
        <w:t>Group ID:</w:t>
      </w:r>
      <w:r>
        <w:t xml:space="preserve"> group-5adac8f239013635bff4</w:t>
      </w:r>
    </w:p>
    <w:p>
      <w:pPr>
        <w:pStyle w:val="SourceNote"/>
      </w:pPr>
      <w:r>
        <w:rPr>
          <w:b/>
        </w:rPr>
        <w:t>Original source:</w:t>
      </w:r>
      <w:r>
        <w:t xml:space="preserve"> https://doi.org/10.1038/s41598-021-83457-w</w:t>
      </w:r>
    </w:p>
    <w:p>
      <w:pPr/>
      <w:r>
        <w:rPr>
          <w:b/>
        </w:rPr>
        <w:t>Original future claim:</w:t>
      </w:r>
      <w:r>
        <w:t xml:space="preserve"> 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r>
        <w:rPr>
          <w:b/>
        </w:rPr>
        <w:t>Later source:</w:t>
      </w:r>
      <w:r>
        <w:t xml:space="preserve"> Developments in the European parasitoid community of Dryocosmus kuriphilus — https://doi.org/10.64898/2026.09.01.748543</w:t>
      </w:r>
    </w:p>
    <w:p>
      <w:pPr/>
      <w:r>
        <w:rPr>
          <w:b/>
        </w:rPr>
        <w:t>Later source:</w:t>
      </w:r>
      <w:r>
        <w:t xml:space="preserve"> Climate-induced habitat suitability modelling for pelagic fish in European seas — https://doi.org/10.3389/fmars.2025.1501751</w:t>
      </w:r>
    </w:p>
    <w:p>
      <w:pPr>
        <w:pStyle w:val="SourceNote"/>
      </w:pPr>
      <w:r>
        <w:rPr>
          <w:b/>
        </w:rPr>
        <w:t>Review status:</w:t>
      </w:r>
      <w:r>
        <w:t xml:space="preserve"> unchecked — possible relationship only</w:t>
      </w:r>
    </w:p>
    <w:p>
      <w:pPr>
        <w:pStyle w:val="Heading2"/>
      </w:pPr>
      <w:r>
        <w:t>78. Claim + two later sources: A forecast of international migration flows into EU countries until 2050</w:t>
      </w:r>
    </w:p>
    <w:p>
      <w:pPr>
        <w:pStyle w:val="SourceNote"/>
      </w:pPr>
      <w:r>
        <w:rPr>
          <w:b/>
        </w:rPr>
        <w:t>Group ID:</w:t>
      </w:r>
      <w:r>
        <w:t xml:space="preserve"> group-0f16b9589a6995b869af</w:t>
      </w:r>
    </w:p>
    <w:p>
      <w:pPr>
        <w:pStyle w:val="SourceNote"/>
      </w:pPr>
      <w:r>
        <w:rPr>
          <w:b/>
        </w:rPr>
        <w:t>Original source:</w:t>
      </w:r>
      <w:r>
        <w:t xml:space="preserve"> https://doi.org/10.14746/pp.2018.23.4.6</w:t>
      </w:r>
    </w:p>
    <w:p>
      <w:pPr/>
      <w:r>
        <w:rPr>
          <w:b/>
        </w:rPr>
        <w:t>Original future claim:</w:t>
      </w:r>
      <w:r>
        <w:t xml:space="preserve"> 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r>
        <w:rPr>
          <w:b/>
        </w:rPr>
        <w:t>Later source:</w:t>
      </w:r>
      <w:r>
        <w:t xml:space="preserve"> Spatiotemporal variability and uncertainty in wood decay estimates across Europe and Scandinavia using a data-driven moisture content model with multi-scale weather datasets — https://doi.org/10.1016/j.rineng.2026.108983</w:t>
      </w:r>
    </w:p>
    <w:p>
      <w:pPr/>
      <w:r>
        <w:rPr>
          <w:b/>
        </w:rPr>
        <w:t>Later source:</w:t>
      </w:r>
      <w:r>
        <w:t xml:space="preserve"> Data Sources for International Migration in Europe: Categories, Definitions and Policy Uses — https://openalex.org/W7123388283</w:t>
      </w:r>
    </w:p>
    <w:p>
      <w:pPr>
        <w:pStyle w:val="SourceNote"/>
      </w:pPr>
      <w:r>
        <w:rPr>
          <w:b/>
        </w:rPr>
        <w:t>Review status:</w:t>
      </w:r>
      <w:r>
        <w:t xml:space="preserve"> unchecked — possible relationship only</w:t>
      </w:r>
    </w:p>
    <w:p>
      <w:pPr>
        <w:pStyle w:val="Heading2"/>
      </w:pPr>
      <w:r>
        <w:t>79. Claim + two later sources: How much can societal turning points affect forecasts’ accuracy in Europe? Case of post-communistic transformation in Slovakia and the Czech Republic</w:t>
      </w:r>
    </w:p>
    <w:p>
      <w:pPr>
        <w:pStyle w:val="SourceNote"/>
      </w:pPr>
      <w:r>
        <w:rPr>
          <w:b/>
        </w:rPr>
        <w:t>Group ID:</w:t>
      </w:r>
      <w:r>
        <w:t xml:space="preserve"> group-b45604d9ebab7e023d7d</w:t>
      </w:r>
    </w:p>
    <w:p>
      <w:pPr>
        <w:pStyle w:val="SourceNote"/>
      </w:pPr>
      <w:r>
        <w:rPr>
          <w:b/>
        </w:rPr>
        <w:t>Original source:</w:t>
      </w:r>
      <w:r>
        <w:t xml:space="preserve"> https://doi.org/10.1186/s40309-019-0158-z</w:t>
      </w:r>
    </w:p>
    <w:p>
      <w:pPr/>
      <w:r>
        <w:rPr>
          <w:b/>
        </w:rPr>
        <w:t>Original future claim:</w:t>
      </w:r>
      <w:r>
        <w:t xml:space="preserve"> Here, the alternative future is built and simulated in terms of what the populations would have looked like if the socialist system had not collapsed.</w:t>
      </w:r>
    </w:p>
    <w:p>
      <w:pPr/>
      <w:r>
        <w:rPr>
          <w:b/>
        </w:rPr>
        <w:t>Later source:</w:t>
      </w:r>
      <w:r>
        <w:t xml:space="preserve"> From Moral Crusade to European Reality: The Rights of Nature “Solution” in Search of a Problem — https://doi.org/10.1017/aju.2026.10088</w:t>
      </w:r>
    </w:p>
    <w:p>
      <w:pPr/>
      <w:r>
        <w:rPr>
          <w:b/>
        </w:rPr>
        <w:t>Later source:</w:t>
      </w:r>
      <w:r>
        <w:t xml:space="preserve"> Population genomics and molecular epidemiology of wheat powdery mildew in Europe — https://doi.org/10.1371/journal.pbio.3003097</w:t>
      </w:r>
    </w:p>
    <w:p>
      <w:pPr>
        <w:pStyle w:val="SourceNote"/>
      </w:pPr>
      <w:r>
        <w:rPr>
          <w:b/>
        </w:rPr>
        <w:t>Review status:</w:t>
      </w:r>
      <w:r>
        <w:t xml:space="preserve"> unchecked — possible relationship only</w:t>
      </w:r>
    </w:p>
    <w:p>
      <w:pPr>
        <w:pStyle w:val="Heading2"/>
      </w:pPr>
      <w:r>
        <w:t>80. Claim + two later sources: Macro Study of Global Electric Vehicle Expansion</w:t>
      </w:r>
    </w:p>
    <w:p>
      <w:pPr>
        <w:pStyle w:val="SourceNote"/>
      </w:pPr>
      <w:r>
        <w:rPr>
          <w:b/>
        </w:rPr>
        <w:t>Group ID:</w:t>
      </w:r>
      <w:r>
        <w:t xml:space="preserve"> group-a1f7a08080f4c507d7df</w:t>
      </w:r>
    </w:p>
    <w:p>
      <w:pPr>
        <w:pStyle w:val="SourceNote"/>
      </w:pPr>
      <w:r>
        <w:rPr>
          <w:b/>
        </w:rPr>
        <w:t>Original source:</w:t>
      </w:r>
      <w:r>
        <w:t xml:space="preserve"> https://doi.org/10.17323/2500-2597.2021.1.67.73</w:t>
      </w:r>
    </w:p>
    <w:p>
      <w:pPr/>
      <w:r>
        <w:rPr>
          <w:b/>
        </w:rPr>
        <w:t>Original future claim:</w:t>
      </w:r>
      <w:r>
        <w:t xml:space="preserve"> 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r>
        <w:rPr>
          <w:b/>
        </w:rPr>
        <w:t>Later source:</w:t>
      </w:r>
      <w:r>
        <w:t xml:space="preserve"> Global trends in electric vehicle adoption and the impact of environmental awareness, user attributes, and barriers — https://doi.org/10.1016/j.egyr.2024.12.054</w:t>
      </w:r>
    </w:p>
    <w:p>
      <w:pPr/>
      <w:r>
        <w:rPr>
          <w:b/>
        </w:rPr>
        <w:t>Later source:</w:t>
      </w:r>
      <w:r>
        <w:t xml:space="preserve"> What has driven the adoption of BEV and PHEV in the EU? — https://doi.org/10.1016/j.rtbm.2025.101331</w:t>
      </w:r>
    </w:p>
    <w:p>
      <w:pPr>
        <w:pStyle w:val="SourceNote"/>
      </w:pPr>
      <w:r>
        <w:rPr>
          <w:b/>
        </w:rPr>
        <w:t>Review status:</w:t>
      </w:r>
      <w:r>
        <w:t xml:space="preserve"> unchecked — possible relationship only</w:t>
      </w:r>
    </w:p>
    <w:p>
      <w:pPr>
        <w:pStyle w:val="Heading2"/>
      </w:pPr>
      <w:r>
        <w:t>81. Claim + two later sources: The future of direct payments system in the EU agriculture; European Commission scenarios</w:t>
      </w:r>
    </w:p>
    <w:p>
      <w:pPr>
        <w:pStyle w:val="SourceNote"/>
      </w:pPr>
      <w:r>
        <w:rPr>
          <w:b/>
        </w:rPr>
        <w:t>Group ID:</w:t>
      </w:r>
      <w:r>
        <w:t xml:space="preserve"> group-90aaaa47d44ef8473292</w:t>
      </w:r>
    </w:p>
    <w:p>
      <w:pPr>
        <w:pStyle w:val="SourceNote"/>
      </w:pPr>
      <w:r>
        <w:rPr>
          <w:b/>
        </w:rPr>
        <w:t>Original source:</w:t>
      </w:r>
      <w:r>
        <w:t xml:space="preserve"> https://doi.org/10.22630/prs.2012.12.3.38</w:t>
      </w:r>
    </w:p>
    <w:p>
      <w:pPr/>
      <w:r>
        <w:rPr>
          <w:b/>
        </w:rPr>
        <w:t>Original future claim:</w:t>
      </w:r>
      <w:r>
        <w:t xml:space="preserve"> Different scenarios of the current system adjustments, as proposed by the European Commission, are presented.</w:t>
      </w:r>
    </w:p>
    <w:p>
      <w:pPr/>
      <w:r>
        <w:rPr>
          <w:b/>
        </w:rPr>
        <w:t>Later source:</w:t>
      </w:r>
      <w:r>
        <w:t xml:space="preserve"> Recommendations of the European Commission on the efficiency of justice and their impact on improving enforcement proceedings in Ukraine — https://doi.org/10.24144/2788-6018.2025.04.3.65</w:t>
      </w:r>
    </w:p>
    <w:p>
      <w:pPr/>
      <w:r>
        <w:rPr>
          <w:b/>
        </w:rPr>
        <w:t>Later source:</w:t>
      </w:r>
      <w:r>
        <w:t xml:space="preserve"> Novelties Proposed by the European Commission on Victims’ Rights Protection and its Relevance for Serbian Authorities — https://doi.org/10.47152/palic2024.2</w:t>
      </w:r>
    </w:p>
    <w:p>
      <w:pPr>
        <w:pStyle w:val="SourceNote"/>
      </w:pPr>
      <w:r>
        <w:rPr>
          <w:b/>
        </w:rPr>
        <w:t>Review status:</w:t>
      </w:r>
      <w:r>
        <w:t xml:space="preserve"> unchecked — possible relationship only</w:t>
      </w:r>
    </w:p>
    <w:p>
      <w:pPr>
        <w:pStyle w:val="Heading2"/>
      </w:pPr>
      <w:r>
        <w:t>82. Claim + two later sources: Impacts of Scaling up Agroecology on the Sustainability of European Agriculture in 2050</w:t>
      </w:r>
    </w:p>
    <w:p>
      <w:pPr>
        <w:pStyle w:val="SourceNote"/>
      </w:pPr>
      <w:r>
        <w:rPr>
          <w:b/>
        </w:rPr>
        <w:t>Group ID:</w:t>
      </w:r>
      <w:r>
        <w:t xml:space="preserve"> group-3f68a680521e29b6af21</w:t>
      </w:r>
    </w:p>
    <w:p>
      <w:pPr>
        <w:pStyle w:val="SourceNote"/>
      </w:pPr>
      <w:r>
        <w:rPr>
          <w:b/>
        </w:rPr>
        <w:t>Original source:</w:t>
      </w:r>
      <w:r>
        <w:t xml:space="preserve"> https://doi.org/10.1111/1746-692x.12373</w:t>
      </w:r>
    </w:p>
    <w:p>
      <w:pPr/>
      <w:r>
        <w:rPr>
          <w:b/>
        </w:rPr>
        <w:t>Original future claim:</w:t>
      </w:r>
      <w:r>
        <w:t xml:space="preserve"> We here assess socio‐economic and environmental implications of multiple agroecological futures in the European Union in 2050, based on a novel diagnostic scenario approach, i.e. the biomass balancing model BioBaM‐GHG 2.0.</w:t>
      </w:r>
    </w:p>
    <w:p>
      <w:pPr/>
      <w:r>
        <w:rPr>
          <w:b/>
        </w:rPr>
        <w:t>Later source:</w:t>
      </w:r>
      <w:r>
        <w:t xml:space="preserve"> Assessing urban green roofs for CO2 removal via enhanced rock weathering in Europe — https://doi.org/10.1016/j.envadv.2026.100708</w:t>
      </w:r>
    </w:p>
    <w:p>
      <w:pPr/>
      <w:r>
        <w:rPr>
          <w:b/>
        </w:rPr>
        <w:t>Later source:</w:t>
      </w:r>
      <w:r>
        <w:t xml:space="preserve"> Climate Change and Vector-Borne Diseases in Europe: Implications for Public Health and Environmental Sanitation Strategies — https://doi.org/10.3390/ijem1030010</w:t>
      </w:r>
    </w:p>
    <w:p>
      <w:pPr>
        <w:pStyle w:val="SourceNote"/>
      </w:pPr>
      <w:r>
        <w:rPr>
          <w:b/>
        </w:rPr>
        <w:t>Review status:</w:t>
      </w:r>
      <w:r>
        <w:t xml:space="preserve"> unchecked — possible relationship only</w:t>
      </w:r>
    </w:p>
    <w:p>
      <w:pPr>
        <w:pStyle w:val="Heading2"/>
      </w:pPr>
      <w:r>
        <w:t>83. Claim + two later sources: How to Achieve a Healthier and More Sustainable Europe by 2040 According to the Public? Results of a Five-Country Questionnaire Survey</w:t>
      </w:r>
    </w:p>
    <w:p>
      <w:pPr>
        <w:pStyle w:val="SourceNote"/>
      </w:pPr>
      <w:r>
        <w:rPr>
          <w:b/>
        </w:rPr>
        <w:t>Group ID:</w:t>
      </w:r>
      <w:r>
        <w:t xml:space="preserve"> group-5c594eb35cad40d64462</w:t>
      </w:r>
    </w:p>
    <w:p>
      <w:pPr>
        <w:pStyle w:val="SourceNote"/>
      </w:pPr>
      <w:r>
        <w:rPr>
          <w:b/>
        </w:rPr>
        <w:t>Original source:</w:t>
      </w:r>
      <w:r>
        <w:t xml:space="preserve"> https://doi.org/10.3390/ijerph17176071</w:t>
      </w:r>
    </w:p>
    <w:p>
      <w:pPr/>
      <w:r>
        <w:rPr>
          <w:b/>
        </w:rPr>
        <w:t>Original future claim:</w:t>
      </w:r>
      <w:r>
        <w:t xml:space="preserve"> 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r>
        <w:rPr>
          <w:b/>
        </w:rPr>
        <w:t>Later source:</w:t>
      </w:r>
      <w:r>
        <w:t xml:space="preserve"> A critical realism approach to public health interventions that aim to prevent obesity in selected European countries — https://doi.org/10.82444/warw.33704749</w:t>
      </w:r>
    </w:p>
    <w:p>
      <w:pPr/>
      <w:r>
        <w:rPr>
          <w:b/>
        </w:rPr>
        <w:t>Later source:</w:t>
      </w:r>
      <w:r>
        <w:t xml:space="preserve"> Power, inclusion and the role of SMEs in European public procurement — https://doi.org/10.1108/jpbafm-06-2025-0169</w:t>
      </w:r>
    </w:p>
    <w:p>
      <w:pPr>
        <w:pStyle w:val="SourceNote"/>
      </w:pPr>
      <w:r>
        <w:rPr>
          <w:b/>
        </w:rPr>
        <w:t>Review status:</w:t>
      </w:r>
      <w:r>
        <w:t xml:space="preserve"> unchecked — possible relationship only</w:t>
      </w:r>
    </w:p>
    <w:p>
      <w:pPr>
        <w:pStyle w:val="Heading2"/>
      </w:pPr>
      <w:r>
        <w:t>84. Claim + two later sources: Environmental water quantity projections under market-driven and sustainability-driven future scenarios in the Narew basin, Poland</w:t>
      </w:r>
    </w:p>
    <w:p>
      <w:pPr>
        <w:pStyle w:val="SourceNote"/>
      </w:pPr>
      <w:r>
        <w:rPr>
          <w:b/>
        </w:rPr>
        <w:t>Group ID:</w:t>
      </w:r>
      <w:r>
        <w:t xml:space="preserve"> group-301ca16b19ca64fefcfb</w:t>
      </w:r>
    </w:p>
    <w:p>
      <w:pPr>
        <w:pStyle w:val="SourceNote"/>
      </w:pPr>
      <w:r>
        <w:rPr>
          <w:b/>
        </w:rPr>
        <w:t>Original source:</w:t>
      </w:r>
      <w:r>
        <w:t xml:space="preserve"> https://doi.org/10.1080/02626667.2014.888068</w:t>
      </w:r>
    </w:p>
    <w:p>
      <w:pPr/>
      <w:r>
        <w:rPr>
          <w:b/>
        </w:rPr>
        <w:t>Original future claim:</w:t>
      </w:r>
      <w:r>
        <w:t xml:space="preserve"> 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r>
        <w:rPr>
          <w:b/>
        </w:rPr>
        <w:t>Later source:</w:t>
      </w:r>
      <w:r>
        <w:t xml:space="preserve"> Assessing the quality of life in Central and Eastern Europe: a comparative analysis — https://doi.org/10.34659/eis.2026.96.1.1083</w:t>
      </w:r>
    </w:p>
    <w:p>
      <w:pPr/>
      <w:r>
        <w:rPr>
          <w:b/>
        </w:rPr>
        <w:t>Later source:</w:t>
      </w:r>
      <w:r>
        <w:t xml:space="preserve"> Repertoires of resistance: The right to feel in European radical climate movements — https://doi.org/10.1177/00113921261480606</w:t>
      </w:r>
    </w:p>
    <w:p>
      <w:pPr>
        <w:pStyle w:val="SourceNote"/>
      </w:pPr>
      <w:r>
        <w:rPr>
          <w:b/>
        </w:rPr>
        <w:t>Review status:</w:t>
      </w:r>
      <w:r>
        <w:t xml:space="preserve"> unchecked — possible relationship only</w:t>
      </w:r>
    </w:p>
    <w:p>
      <w:pPr>
        <w:pStyle w:val="Heading2"/>
      </w:pPr>
      <w:r>
        <w:t>85. Claim + two later sources: The geography of megatrends affecting European agriculture</w:t>
      </w:r>
    </w:p>
    <w:p>
      <w:pPr>
        <w:pStyle w:val="SourceNote"/>
      </w:pPr>
      <w:r>
        <w:rPr>
          <w:b/>
        </w:rPr>
        <w:t>Group ID:</w:t>
      </w:r>
      <w:r>
        <w:t xml:space="preserve"> group-26a0c03802b82a916526</w:t>
      </w:r>
    </w:p>
    <w:p>
      <w:pPr>
        <w:pStyle w:val="SourceNote"/>
      </w:pPr>
      <w:r>
        <w:rPr>
          <w:b/>
        </w:rPr>
        <w:t>Original source:</w:t>
      </w:r>
      <w:r>
        <w:t xml:space="preserve"> https://doi.org/10.1016/j.gloenvcha.2022.102551</w:t>
      </w:r>
    </w:p>
    <w:p>
      <w:pPr/>
      <w:r>
        <w:rPr>
          <w:b/>
        </w:rPr>
        <w:t>Original future claim:</w:t>
      </w:r>
      <w:r>
        <w:t xml:space="preserve"> Megatrends are long-term driving forces which are observable today and will likely have transformational potential in the future. In a minority of regions megatrends may drive marginalization as the current system becomes increasingly unviable.</w:t>
      </w:r>
    </w:p>
    <w:p>
      <w:pPr/>
      <w:r>
        <w:rPr>
          <w:b/>
        </w:rPr>
        <w:t>Later source:</w:t>
      </w:r>
      <w:r>
        <w:t xml:space="preserve"> Blockchain and Megatrends in Agri-Food Systems: A Multi-Source Evidence Approach — https://doi.org/10.3390/foods15030447</w:t>
      </w:r>
    </w:p>
    <w:p>
      <w:pPr/>
      <w:r>
        <w:rPr>
          <w:b/>
        </w:rPr>
        <w:t>Later source:</w:t>
      </w:r>
      <w:r>
        <w:t xml:space="preserve"> Foresight study for addressing megatrends in information and communication technology (ICT) — https://doi.org/10.1186/s13731-025-00466-z</w:t>
      </w:r>
    </w:p>
    <w:p>
      <w:pPr>
        <w:pStyle w:val="SourceNote"/>
      </w:pPr>
      <w:r>
        <w:rPr>
          <w:b/>
        </w:rPr>
        <w:t>Review status:</w:t>
      </w:r>
      <w:r>
        <w:t xml:space="preserve"> unchecked — possible relationship only</w:t>
      </w:r>
    </w:p>
    <w:p>
      <w:pPr>
        <w:pStyle w:val="Heading2"/>
      </w:pPr>
      <w:r>
        <w:t>86. Claim + two later sources: Towards a sustainable European energy system: Linking optimization models with multi-regional input-output analysis</w:t>
      </w:r>
    </w:p>
    <w:p>
      <w:pPr>
        <w:pStyle w:val="SourceNote"/>
      </w:pPr>
      <w:r>
        <w:rPr>
          <w:b/>
        </w:rPr>
        <w:t>Group ID:</w:t>
      </w:r>
      <w:r>
        <w:t xml:space="preserve"> group-28bc95982442d95b7c0d</w:t>
      </w:r>
    </w:p>
    <w:p>
      <w:pPr>
        <w:pStyle w:val="SourceNote"/>
      </w:pPr>
      <w:r>
        <w:rPr>
          <w:b/>
        </w:rPr>
        <w:t>Original source:</w:t>
      </w:r>
      <w:r>
        <w:t xml:space="preserve"> https://doi.org/10.1016/j.esr.2019.100391</w:t>
      </w:r>
    </w:p>
    <w:p>
      <w:pPr/>
      <w:r>
        <w:rPr>
          <w:b/>
        </w:rPr>
        <w:t>Original future claim:</w:t>
      </w:r>
      <w:r>
        <w:t xml:space="preserve"> 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r>
        <w:rPr>
          <w:b/>
        </w:rPr>
        <w:t>Later source:</w:t>
      </w:r>
      <w:r>
        <w:t xml:space="preserve"> Mapping where biodiversity goals meet local values in European land use futures — https://doi.org/10.5194/wbf2026-660</w:t>
      </w:r>
    </w:p>
    <w:p>
      <w:pPr/>
      <w:r>
        <w:rPr>
          <w:b/>
        </w:rPr>
        <w:t>Later source:</w:t>
      </w:r>
      <w:r>
        <w:t xml:space="preserve"> Evaluation of European Air Quality Simulations in 2019 Using the CMAQ–WRF Modeling System — https://doi.org/10.5194/egusphere-egu26-4162</w:t>
      </w:r>
    </w:p>
    <w:p>
      <w:pPr>
        <w:pStyle w:val="SourceNote"/>
      </w:pPr>
      <w:r>
        <w:rPr>
          <w:b/>
        </w:rPr>
        <w:t>Review status:</w:t>
      </w:r>
      <w:r>
        <w:t xml:space="preserve"> unchecked — possible relationship only</w:t>
      </w:r>
    </w:p>
    <w:p>
      <w:pPr>
        <w:pStyle w:val="Heading2"/>
      </w:pPr>
      <w:r>
        <w:t>87. Claim + two later sources: Regulating the Use of Bisphenol A in Baby and Children's Products in the European Union: Current Developments and Scenarios for the Regulatory Future</w:t>
      </w:r>
    </w:p>
    <w:p>
      <w:pPr>
        <w:pStyle w:val="SourceNote"/>
      </w:pPr>
      <w:r>
        <w:rPr>
          <w:b/>
        </w:rPr>
        <w:t>Group ID:</w:t>
      </w:r>
      <w:r>
        <w:t xml:space="preserve"> group-01a94a0360819a8a865a</w:t>
      </w:r>
    </w:p>
    <w:p>
      <w:pPr>
        <w:pStyle w:val="SourceNote"/>
      </w:pPr>
      <w:r>
        <w:rPr>
          <w:b/>
        </w:rPr>
        <w:t>Original source:</w:t>
      </w:r>
      <w:r>
        <w:t xml:space="preserve"> https://doi.org/10.1017/s1867299x00000593</w:t>
      </w:r>
    </w:p>
    <w:p>
      <w:pPr/>
      <w:r>
        <w:rPr>
          <w:b/>
        </w:rPr>
        <w:t>Original future claim:</w:t>
      </w:r>
      <w:r>
        <w:t xml:space="preserve"> 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r>
        <w:rPr>
          <w:b/>
        </w:rPr>
        <w:t>Later source:</w:t>
      </w:r>
      <w:r>
        <w:t xml:space="preserve"> Legal regulatory frameworks of radon spas in central Europe — https://doi.org/10.1007/s00411-026-01203-0</w:t>
      </w:r>
    </w:p>
    <w:p>
      <w:pPr/>
      <w:r>
        <w:rPr>
          <w:b/>
        </w:rPr>
        <w:t>Later source:</w:t>
      </w:r>
      <w:r>
        <w:t xml:space="preserve"> Regional Varieties of Regulatory Capitalism and Predatory Lending — https://doi.org/10.1017/s0003975626100393</w:t>
      </w:r>
    </w:p>
    <w:p>
      <w:pPr>
        <w:pStyle w:val="SourceNote"/>
      </w:pPr>
      <w:r>
        <w:rPr>
          <w:b/>
        </w:rPr>
        <w:t>Review status:</w:t>
      </w:r>
      <w:r>
        <w:t xml:space="preserve"> unchecked — possible relationship only</w:t>
      </w:r>
    </w:p>
    <w:p>
      <w:pPr>
        <w:pStyle w:val="Heading2"/>
      </w:pPr>
      <w:r>
        <w:t>88. Claim + two later sources: The feasibility of a European‐wide integrated CO 2 transport network</w:t>
      </w:r>
    </w:p>
    <w:p>
      <w:pPr>
        <w:pStyle w:val="SourceNote"/>
      </w:pPr>
      <w:r>
        <w:rPr>
          <w:b/>
        </w:rPr>
        <w:t>Group ID:</w:t>
      </w:r>
      <w:r>
        <w:t xml:space="preserve"> group-cd1b013ccb3310f5f559</w:t>
      </w:r>
    </w:p>
    <w:p>
      <w:pPr>
        <w:pStyle w:val="SourceNote"/>
      </w:pPr>
      <w:r>
        <w:rPr>
          <w:b/>
        </w:rPr>
        <w:t>Original source:</w:t>
      </w:r>
      <w:r>
        <w:t xml:space="preserve"> https://doi.org/10.1002/ghg.1410</w:t>
      </w:r>
    </w:p>
    <w:p>
      <w:pPr/>
      <w:r>
        <w:rPr>
          <w:b/>
        </w:rPr>
        <w:t>Original future claim:</w:t>
      </w:r>
      <w:r>
        <w:t xml:space="preserve"> The European Union's ambition to achieve near‐total decarbonization by 2050 suggests a large role for carbon capture and storage (CCS), requiring the transport (mostly by pipeline) of CO 2 from source facilities to appropriate sites for geological storage.</w:t>
      </w:r>
    </w:p>
    <w:p>
      <w:pPr/>
      <w:r>
        <w:rPr>
          <w:b/>
        </w:rPr>
        <w:t>Later source:</w:t>
      </w:r>
      <w:r>
        <w:t xml:space="preserve"> COMMON OR DIVERGENT? A COMPARATIVE ANALYSIS OF SUSTAINABLE DEVELOPMENT POLICIES IN THE EUROPEAN UNION AND THE UNITED KINGDOM — https://doi.org/10.62140/cr530933322</w:t>
      </w:r>
    </w:p>
    <w:p>
      <w:pPr/>
      <w:r>
        <w:rPr>
          <w:b/>
        </w:rPr>
        <w:t>Later source:</w:t>
      </w:r>
      <w:r>
        <w:t xml:space="preserve"> Climate at what cost? A survey experiment on trade-offs between decarbonization ambitions and socioeconomic costs — https://doi.org/10.1016/j.erss.2026.104877</w:t>
      </w:r>
    </w:p>
    <w:p>
      <w:pPr>
        <w:pStyle w:val="SourceNote"/>
      </w:pPr>
      <w:r>
        <w:rPr>
          <w:b/>
        </w:rPr>
        <w:t>Review status:</w:t>
      </w:r>
      <w:r>
        <w:t xml:space="preserve"> unchecked — possible relationship only</w:t>
      </w:r>
    </w:p>
    <w:p>
      <w:pPr>
        <w:pStyle w:val="Heading2"/>
      </w:pPr>
      <w:r>
        <w:t>89. Claim + two later sources: The future of financial markets and regulation: what strategy for Europe?</w:t>
      </w:r>
    </w:p>
    <w:p>
      <w:pPr>
        <w:pStyle w:val="SourceNote"/>
      </w:pPr>
      <w:r>
        <w:rPr>
          <w:b/>
        </w:rPr>
        <w:t>Group ID:</w:t>
      </w:r>
      <w:r>
        <w:t xml:space="preserve"> group-0d20b41634b760b49d67</w:t>
      </w:r>
    </w:p>
    <w:p>
      <w:pPr>
        <w:pStyle w:val="SourceNote"/>
      </w:pPr>
      <w:r>
        <w:rPr>
          <w:b/>
        </w:rPr>
        <w:t>Original source:</w:t>
      </w:r>
      <w:r>
        <w:t xml:space="preserve"> https://doi.org/10.1108/fs-05-2012-0039</w:t>
      </w:r>
    </w:p>
    <w:p>
      <w:pPr/>
      <w:r>
        <w:rPr>
          <w:b/>
        </w:rPr>
        <w:t>Original future claim:</w:t>
      </w:r>
      <w:r>
        <w:t xml:space="preserve"> 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r>
        <w:rPr>
          <w:b/>
        </w:rPr>
        <w:t>Later source:</w:t>
      </w:r>
      <w:r>
        <w:t xml:space="preserve"> Adapting MAIN to European Portuguese — https://doi.org/10.21248/zaspil.66.2025.887</w:t>
      </w:r>
    </w:p>
    <w:p>
      <w:pPr/>
      <w:r>
        <w:rPr>
          <w:b/>
        </w:rPr>
        <w:t>Later source:</w:t>
      </w:r>
      <w:r>
        <w:t xml:space="preserve"> GLAM metadata in museums and university collections: a state-of-the-art (Spain and other European countries) — https://doi.org/10.1108/gkmc-06-2022-0133</w:t>
      </w:r>
    </w:p>
    <w:p>
      <w:pPr>
        <w:pStyle w:val="SourceNote"/>
      </w:pPr>
      <w:r>
        <w:rPr>
          <w:b/>
        </w:rPr>
        <w:t>Review status:</w:t>
      </w:r>
      <w:r>
        <w:t xml:space="preserve"> unchecked — possible relationship only</w:t>
      </w:r>
    </w:p>
    <w:p>
      <w:pPr>
        <w:pStyle w:val="Heading2"/>
      </w:pPr>
      <w:r>
        <w:t>90. Claim + two later sources: Will the real security foresight expert please stand up?</w:t>
      </w:r>
    </w:p>
    <w:p>
      <w:pPr>
        <w:pStyle w:val="SourceNote"/>
      </w:pPr>
      <w:r>
        <w:rPr>
          <w:b/>
        </w:rPr>
        <w:t>Group ID:</w:t>
      </w:r>
      <w:r>
        <w:t xml:space="preserve"> group-682d8cb78d526789bc1d</w:t>
      </w:r>
    </w:p>
    <w:p>
      <w:pPr>
        <w:pStyle w:val="SourceNote"/>
      </w:pPr>
      <w:r>
        <w:rPr>
          <w:b/>
        </w:rPr>
        <w:t>Original source:</w:t>
      </w:r>
      <w:r>
        <w:t xml:space="preserve"> https://doi.org/10.1007/s40309-014-0037-6</w:t>
      </w:r>
    </w:p>
    <w:p>
      <w:pPr/>
      <w:r>
        <w:rPr>
          <w:b/>
        </w:rPr>
        <w:t>Original future claim:</w:t>
      </w:r>
      <w:r>
        <w:t xml:space="preserve"> 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r>
        <w:rPr>
          <w:b/>
        </w:rPr>
        <w:t>Later source:</w:t>
      </w:r>
      <w:r>
        <w:t xml:space="preserve"> A Comparative Review of Healthcare Systems in India, the Middle East, and Europe: Strengths, Weaknesses, and Lessons for Improvement — https://doi.org/10.25258/ijddt.16.38s.65</w:t>
      </w:r>
    </w:p>
    <w:p>
      <w:pPr/>
      <w:r>
        <w:rPr>
          <w:b/>
        </w:rPr>
        <w:t>Later source:</w:t>
      </w:r>
      <w:r>
        <w:t xml:space="preserve"> Language teaching in Europe: A comparative overview of pedagogical, theoretical and decolonial approaches from the region — https://openalex.org/W7208794743</w:t>
      </w:r>
    </w:p>
    <w:p>
      <w:pPr>
        <w:pStyle w:val="SourceNote"/>
      </w:pPr>
      <w:r>
        <w:rPr>
          <w:b/>
        </w:rPr>
        <w:t>Review status:</w:t>
      </w:r>
      <w:r>
        <w:t xml:space="preserve"> unchecked — possible relationship only</w:t>
      </w:r>
    </w:p>
    <w:p>
      <w:pPr>
        <w:pStyle w:val="Heading2"/>
      </w:pPr>
      <w:r>
        <w:t>91. Claim + two later sources: The state of democracy in the European Union in scenarios: federation, empire and Europe à la carte</w:t>
      </w:r>
    </w:p>
    <w:p>
      <w:pPr>
        <w:pStyle w:val="SourceNote"/>
      </w:pPr>
      <w:r>
        <w:rPr>
          <w:b/>
        </w:rPr>
        <w:t>Group ID:</w:t>
      </w:r>
      <w:r>
        <w:t xml:space="preserve"> group-c040f8b733696589f890</w:t>
      </w:r>
    </w:p>
    <w:p>
      <w:pPr>
        <w:pStyle w:val="SourceNote"/>
      </w:pPr>
      <w:r>
        <w:rPr>
          <w:b/>
        </w:rPr>
        <w:t>Original source:</w:t>
      </w:r>
      <w:r>
        <w:t xml:space="preserve"> https://doi.org/10.31338/1641-2478pe.4.15.5</w:t>
      </w:r>
    </w:p>
    <w:p>
      <w:pPr/>
      <w:r>
        <w:rPr>
          <w:b/>
        </w:rPr>
        <w:t>Original future claim:</w:t>
      </w:r>
      <w:r>
        <w:t xml:space="preserve"> 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r>
        <w:rPr>
          <w:b/>
        </w:rPr>
        <w:t>Later source:</w:t>
      </w:r>
      <w:r>
        <w:t xml:space="preserve"> The Communion of Protestant Churches in Europe and European integration — https://doi.org/10.31261/ssht.2025.58.1.05</w:t>
      </w:r>
    </w:p>
    <w:p>
      <w:pPr/>
      <w:r>
        <w:rPr>
          <w:b/>
        </w:rPr>
        <w:t>Later source:</w:t>
      </w:r>
      <w:r>
        <w:t xml:space="preserve"> Beyond dualism: the hybridization of technocracy and democracy in Europe — https://doi.org/10.1017/s1755773926100514</w:t>
      </w:r>
    </w:p>
    <w:p>
      <w:pPr>
        <w:pStyle w:val="SourceNote"/>
      </w:pPr>
      <w:r>
        <w:rPr>
          <w:b/>
        </w:rPr>
        <w:t>Review status:</w:t>
      </w:r>
      <w:r>
        <w:t xml:space="preserve"> unchecked — possible relationship only</w:t>
      </w:r>
    </w:p>
    <w:p>
      <w:pPr>
        <w:pStyle w:val="Heading2"/>
      </w:pPr>
      <w:r>
        <w:t>92. Claim + two later sources: Diverging hydrological drought traits over Europe with global warming</w:t>
      </w:r>
    </w:p>
    <w:p>
      <w:pPr>
        <w:pStyle w:val="SourceNote"/>
      </w:pPr>
      <w:r>
        <w:rPr>
          <w:b/>
        </w:rPr>
        <w:t>Group ID:</w:t>
      </w:r>
      <w:r>
        <w:t xml:space="preserve"> group-eae630dae4be0ac1b23b</w:t>
      </w:r>
    </w:p>
    <w:p>
      <w:pPr>
        <w:pStyle w:val="SourceNote"/>
      </w:pPr>
      <w:r>
        <w:rPr>
          <w:b/>
        </w:rPr>
        <w:t>Original source:</w:t>
      </w:r>
      <w:r>
        <w:t xml:space="preserve"> https://doi.org/10.5194/hess-24-5919-2020</w:t>
      </w:r>
    </w:p>
    <w:p>
      <w:pPr/>
      <w:r>
        <w:rPr>
          <w:b/>
        </w:rPr>
        <w:t>Original future claim:</w:t>
      </w:r>
      <w:r>
        <w:t xml:space="preserve"> 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r>
        <w:rPr>
          <w:b/>
        </w:rPr>
        <w:t>Later source:</w:t>
      </w:r>
      <w:r>
        <w:t xml:space="preserve"> Compounding hazards increase flood economic losses across Europe — https://doi.org/10.1038/s41467-026-73248-0</w:t>
      </w:r>
    </w:p>
    <w:p>
      <w:pPr/>
      <w:r>
        <w:rPr>
          <w:b/>
        </w:rPr>
        <w:t>Later source:</w:t>
      </w:r>
      <w:r>
        <w:t xml:space="preserve"> Continental-scale assessment of hydrological cycle across Europe under anthropogenic warming — https://doi.org/10.5194/egusphere-egu26-862</w:t>
      </w:r>
    </w:p>
    <w:p>
      <w:pPr>
        <w:pStyle w:val="SourceNote"/>
      </w:pPr>
      <w:r>
        <w:rPr>
          <w:b/>
        </w:rPr>
        <w:t>Review status:</w:t>
      </w:r>
      <w:r>
        <w:t xml:space="preserve"> unchecked — possible relationship only</w:t>
      </w:r>
    </w:p>
    <w:p>
      <w:pPr>
        <w:pStyle w:val="Heading2"/>
      </w:pPr>
      <w:r>
        <w:t>93. Claim + two later sources: Climate, Energy – and Environment? Reconciliation of EU Environmental Law with the Implementation Realities of EU Climate Law</w:t>
      </w:r>
    </w:p>
    <w:p>
      <w:pPr>
        <w:pStyle w:val="SourceNote"/>
      </w:pPr>
      <w:r>
        <w:rPr>
          <w:b/>
        </w:rPr>
        <w:t>Group ID:</w:t>
      </w:r>
      <w:r>
        <w:t xml:space="preserve"> group-044efb8abdb0c8b7d38f</w:t>
      </w:r>
    </w:p>
    <w:p>
      <w:pPr>
        <w:pStyle w:val="SourceNote"/>
      </w:pPr>
      <w:r>
        <w:rPr>
          <w:b/>
        </w:rPr>
        <w:t>Original source:</w:t>
      </w:r>
      <w:r>
        <w:t xml:space="preserve"> https://doi.org/10.1163/18786561-12030003</w:t>
      </w:r>
    </w:p>
    <w:p>
      <w:pPr/>
      <w:r>
        <w:rPr>
          <w:b/>
        </w:rPr>
        <w:t>Original future claim:</w:t>
      </w:r>
      <w:r>
        <w:t xml:space="preserve"> The objective of environmental protection, ‘to preserve, protect and improve the quality of the environment’, does not fully align with the objectives of climate mitigation, which are designed to safeguard the needs of future generations and the long-term environment.</w:t>
      </w:r>
    </w:p>
    <w:p>
      <w:pPr/>
      <w:r>
        <w:rPr>
          <w:b/>
        </w:rPr>
        <w:t>Later source:</w:t>
      </w:r>
      <w:r>
        <w:t xml:space="preserve"> Understanding the (In)Governability of Environmental Protected Areas: The Case of Greece — https://doi.org/10.3390/land15010100</w:t>
      </w:r>
    </w:p>
    <w:p>
      <w:pPr/>
      <w:r>
        <w:rPr>
          <w:b/>
        </w:rPr>
        <w:t>Later source:</w:t>
      </w:r>
      <w:r>
        <w:t xml:space="preserve"> The Effects of the Energy Liberalization Process in the European Union: An Evaluation of the EU Energy Policy and Legislation towards Environmental Protection and Consumer Welfare. Literature review — https://doi.org/10.52340/gjes.2024.01.07</w:t>
      </w:r>
    </w:p>
    <w:p>
      <w:pPr>
        <w:pStyle w:val="SourceNote"/>
      </w:pPr>
      <w:r>
        <w:rPr>
          <w:b/>
        </w:rPr>
        <w:t>Review status:</w:t>
      </w:r>
      <w:r>
        <w:t xml:space="preserve"> unchecked — possible relationship only</w:t>
      </w:r>
    </w:p>
    <w:p>
      <w:pPr>
        <w:pStyle w:val="Heading2"/>
      </w:pPr>
      <w:r>
        <w:t>94. Claim + two later sources: Population aging, migration, and productivity in Europe</w:t>
      </w:r>
    </w:p>
    <w:p>
      <w:pPr>
        <w:pStyle w:val="SourceNote"/>
      </w:pPr>
      <w:r>
        <w:rPr>
          <w:b/>
        </w:rPr>
        <w:t>Group ID:</w:t>
      </w:r>
      <w:r>
        <w:t xml:space="preserve"> group-416157a95d1668344525</w:t>
      </w:r>
    </w:p>
    <w:p>
      <w:pPr>
        <w:pStyle w:val="SourceNote"/>
      </w:pPr>
      <w:r>
        <w:rPr>
          <w:b/>
        </w:rPr>
        <w:t>Original source:</w:t>
      </w:r>
      <w:r>
        <w:t xml:space="preserve"> https://doi.org/10.1073/pnas.1918988117</w:t>
      </w:r>
    </w:p>
    <w:p>
      <w:pPr/>
      <w:r>
        <w:rPr>
          <w:b/>
        </w:rPr>
        <w:t>Original future claim:</w:t>
      </w:r>
      <w:r>
        <w:t xml:space="preserve"> In terms of policy options, lifting labor-force participation among the general population as in Sweden, and education-selective migration if accompanied by high integration, could even improve economic dependency.</w:t>
      </w:r>
    </w:p>
    <w:p>
      <w:pPr/>
      <w:r>
        <w:rPr>
          <w:b/>
        </w:rPr>
        <w:t>Later source:</w:t>
      </w:r>
      <w:r>
        <w:t xml:space="preserve"> A social network analysis of the European science–policy–society interface on biodiversity — https://doi.org/10.1111/cobi.70023</w:t>
      </w:r>
    </w:p>
    <w:p>
      <w:pPr/>
      <w:r>
        <w:rPr>
          <w:b/>
        </w:rPr>
        <w:t>Later source:</w:t>
      </w:r>
      <w:r>
        <w:t xml:space="preserve"> Policies of Plastic Use in European Countries — https://doi.org/10.1201/9781003387862-3</w:t>
      </w:r>
    </w:p>
    <w:p>
      <w:pPr>
        <w:pStyle w:val="SourceNote"/>
      </w:pPr>
      <w:r>
        <w:rPr>
          <w:b/>
        </w:rPr>
        <w:t>Review status:</w:t>
      </w:r>
      <w:r>
        <w:t xml:space="preserve"> unchecked — possible relationship only</w:t>
      </w:r>
    </w:p>
    <w:p>
      <w:pPr>
        <w:pStyle w:val="Heading2"/>
      </w:pPr>
      <w:r>
        <w:t>95. Claim + two later sources: Future Scenarios of European Forests</w:t>
      </w:r>
    </w:p>
    <w:p>
      <w:pPr>
        <w:pStyle w:val="SourceNote"/>
      </w:pPr>
      <w:r>
        <w:rPr>
          <w:b/>
        </w:rPr>
        <w:t>Group ID:</w:t>
      </w:r>
      <w:r>
        <w:t xml:space="preserve"> group-687215898076537869c0</w:t>
      </w:r>
    </w:p>
    <w:p>
      <w:pPr>
        <w:pStyle w:val="SourceNote"/>
      </w:pPr>
      <w:r>
        <w:rPr>
          <w:b/>
        </w:rPr>
        <w:t>Original source:</w:t>
      </w:r>
      <w:r>
        <w:t xml:space="preserve"> https://doi.org/10.2478/jlecol-2018-0020</w:t>
      </w:r>
    </w:p>
    <w:p>
      <w:pPr/>
      <w:r>
        <w:rPr>
          <w:b/>
        </w:rPr>
        <w:t>Original future claim:</w:t>
      </w:r>
      <w:r>
        <w:t xml:space="preserve"> 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r>
        <w:rPr>
          <w:b/>
        </w:rPr>
        <w:t>Later source:</w:t>
      </w:r>
      <w:r>
        <w:t xml:space="preserve"> Worst-case European heat storylines generated using ensemble boosting — https://doi.org/10.1038/s43247-026-03699-2</w:t>
      </w:r>
    </w:p>
    <w:p>
      <w:pPr/>
      <w:r>
        <w:rPr>
          <w:b/>
        </w:rPr>
        <w:t>Later source:</w:t>
      </w:r>
      <w:r>
        <w:t xml:space="preserve"> Determinants of vaccine hesitancy and interventions aimed at contrasting this issue in Europe: an overview of systematic reviews. — https://doi.org/10.4415/ann_26_01_10</w:t>
      </w:r>
    </w:p>
    <w:p>
      <w:pPr>
        <w:pStyle w:val="SourceNote"/>
      </w:pPr>
      <w:r>
        <w:rPr>
          <w:b/>
        </w:rPr>
        <w:t>Review status:</w:t>
      </w:r>
      <w:r>
        <w:t xml:space="preserve"> unchecked — possible relationship only</w:t>
      </w:r>
    </w:p>
    <w:p>
      <w:pPr>
        <w:pStyle w:val="Heading2"/>
      </w:pPr>
      <w:r>
        <w:t>96. Claim + two later sources: Understanding and enhancing future infrastructure resiliency: a socio‐ecological approach</w:t>
      </w:r>
    </w:p>
    <w:p>
      <w:pPr>
        <w:pStyle w:val="SourceNote"/>
      </w:pPr>
      <w:r>
        <w:rPr>
          <w:b/>
        </w:rPr>
        <w:t>Group ID:</w:t>
      </w:r>
      <w:r>
        <w:t xml:space="preserve"> group-947297109e1cf5b94c95</w:t>
      </w:r>
    </w:p>
    <w:p>
      <w:pPr>
        <w:pStyle w:val="SourceNote"/>
      </w:pPr>
      <w:r>
        <w:rPr>
          <w:b/>
        </w:rPr>
        <w:t>Original source:</w:t>
      </w:r>
      <w:r>
        <w:t xml:space="preserve"> https://doi.org/10.1111/disa.12114</w:t>
      </w:r>
    </w:p>
    <w:p>
      <w:pPr/>
      <w:r>
        <w:rPr>
          <w:b/>
        </w:rPr>
        <w:t>Original future claim:</w:t>
      </w:r>
      <w:r>
        <w:t xml:space="preserve"> This paper seeks to identify and problematise this perspective, presenting research based on the development of a heuristic 'scenario-episode' tool to address, and challenge, it in the context of United Kingdom infrastructure resilience.</w:t>
      </w:r>
    </w:p>
    <w:p>
      <w:pPr/>
      <w:r>
        <w:rPr>
          <w:b/>
        </w:rPr>
        <w:t>Later source:</w:t>
      </w:r>
      <w:r>
        <w:t xml:space="preserve"> Problematising current coaching strategies from a worldview perspective — https://doi.org/10.4102/sajip.v49i0.2034</w:t>
      </w:r>
    </w:p>
    <w:p>
      <w:pPr/>
      <w:r>
        <w:rPr>
          <w:b/>
        </w:rPr>
        <w:t>Later source:</w:t>
      </w:r>
      <w:r>
        <w:t xml:space="preserve"> Problematising philosophical assumptions in EE's Invisible College — https://doi.org/10.1108/ijebr-07-2021-0553</w:t>
      </w:r>
    </w:p>
    <w:p>
      <w:pPr>
        <w:pStyle w:val="SourceNote"/>
      </w:pPr>
      <w:r>
        <w:rPr>
          <w:b/>
        </w:rPr>
        <w:t>Review status:</w:t>
      </w:r>
      <w:r>
        <w:t xml:space="preserve"> unchecked — possible relationship only</w:t>
      </w:r>
    </w:p>
    <w:p>
      <w:pPr>
        <w:pStyle w:val="Heading2"/>
      </w:pPr>
      <w:r>
        <w:t>97. Claim + two later sources: The development of a system of «green» skills in the strategizing of labor resources of industrial enterprises</w:t>
      </w:r>
    </w:p>
    <w:p>
      <w:pPr>
        <w:pStyle w:val="SourceNote"/>
      </w:pPr>
      <w:r>
        <w:rPr>
          <w:b/>
        </w:rPr>
        <w:t>Group ID:</w:t>
      </w:r>
      <w:r>
        <w:t xml:space="preserve"> group-29dca7baea260ae32550</w:t>
      </w:r>
    </w:p>
    <w:p>
      <w:pPr>
        <w:pStyle w:val="SourceNote"/>
      </w:pPr>
      <w:r>
        <w:rPr>
          <w:b/>
        </w:rPr>
        <w:t>Original source:</w:t>
      </w:r>
      <w:r>
        <w:t xml:space="preserve"> https://doi.org/10.17073/2072-1633-2019-4-484-493</w:t>
      </w:r>
    </w:p>
    <w:p>
      <w:pPr/>
      <w:r>
        <w:rPr>
          <w:b/>
        </w:rPr>
        <w:t>Original future claim:</w:t>
      </w:r>
      <w:r>
        <w:t xml:space="preserve"> The article presents the forecasts of the International Labor Organization until 2030 of a change in the need for professions, professional fields and related skills of subordinates and managers.</w:t>
      </w:r>
    </w:p>
    <w:p>
      <w:pPr/>
      <w:r>
        <w:rPr>
          <w:b/>
        </w:rPr>
        <w:t>Later source:</w:t>
      </w:r>
      <w:r>
        <w:t xml:space="preserve"> Theory and Practice of Gas Consumption Forecasting in Planning the Development of Regional Gas Supply Systems — https://doi.org/10.1134/s1075700725700935</w:t>
      </w:r>
    </w:p>
    <w:p>
      <w:pPr/>
      <w:r>
        <w:rPr>
          <w:b/>
        </w:rPr>
        <w:t>Later source:</w:t>
      </w:r>
      <w:r>
        <w:t xml:space="preserve"> FORECAST OF AGRICULTURAL AND RURAL TERRITORY DEVELOPMENT, TAKING INTO ACCOUNT DIVERSIFICATION OF ACTIVITIES BASED ON AGRICULTURAL TOURISM — https://doi.org/10.33305/263-124</w:t>
      </w:r>
    </w:p>
    <w:p>
      <w:pPr>
        <w:pStyle w:val="SourceNote"/>
      </w:pPr>
      <w:r>
        <w:rPr>
          <w:b/>
        </w:rPr>
        <w:t>Review status:</w:t>
      </w:r>
      <w:r>
        <w:t xml:space="preserve"> unchecked — possible relationship only</w:t>
      </w:r>
    </w:p>
    <w:p>
      <w:pPr>
        <w:pStyle w:val="Heading2"/>
      </w:pPr>
      <w:r>
        <w:t>98. Claim + two later sources: Carbon intensity of the Ukrainian industry: current state and foresight</w:t>
      </w:r>
    </w:p>
    <w:p>
      <w:pPr>
        <w:pStyle w:val="SourceNote"/>
      </w:pPr>
      <w:r>
        <w:rPr>
          <w:b/>
        </w:rPr>
        <w:t>Group ID:</w:t>
      </w:r>
      <w:r>
        <w:t xml:space="preserve"> group-a8b2291e904d1e64a7de</w:t>
      </w:r>
    </w:p>
    <w:p>
      <w:pPr>
        <w:pStyle w:val="SourceNote"/>
      </w:pPr>
      <w:r>
        <w:rPr>
          <w:b/>
        </w:rPr>
        <w:t>Original source:</w:t>
      </w:r>
      <w:r>
        <w:t xml:space="preserve"> https://doi.org/10.15407/econindustry2022.01.061</w:t>
      </w:r>
    </w:p>
    <w:p>
      <w:pPr/>
      <w:r>
        <w:rPr>
          <w:b/>
        </w:rPr>
        <w:t>Original future claim:</w:t>
      </w:r>
      <w:r>
        <w:t xml:space="preserve"> 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r>
        <w:rPr>
          <w:b/>
        </w:rPr>
        <w:t>Later source:</w:t>
      </w:r>
      <w:r>
        <w:t xml:space="preserve"> DIGITIZATION AS A TOOL FOR ENSURING THE PRESERVATION OF ARCHIVAL COLLECTIONS: CURRENT STATE AND PROSPECTS — https://doi.org/10.31073/istnauka202602-22</w:t>
      </w:r>
    </w:p>
    <w:p>
      <w:pPr/>
      <w:r>
        <w:rPr>
          <w:b/>
        </w:rPr>
        <w:t>Later source:</w:t>
      </w:r>
      <w:r>
        <w:t xml:space="preserve"> Preservation and Educational Preservation of Traditional Ceramic Craft Villages in the Era of Industrialization — https://doi.org/10.59324/ejahss.2026.3(3).24</w:t>
      </w:r>
    </w:p>
    <w:p>
      <w:pPr>
        <w:pStyle w:val="SourceNote"/>
      </w:pPr>
      <w:r>
        <w:rPr>
          <w:b/>
        </w:rPr>
        <w:t>Review status:</w:t>
      </w:r>
      <w:r>
        <w:t xml:space="preserve"> unchecked — possible relationship only</w:t>
      </w:r>
    </w:p>
    <w:p>
      <w:pPr>
        <w:pStyle w:val="Heading2"/>
      </w:pPr>
      <w:r>
        <w:t>99. Claim + two later sources: Future Trajectories of Renewable Energy Consumption in the European Union</w:t>
      </w:r>
    </w:p>
    <w:p>
      <w:pPr>
        <w:pStyle w:val="SourceNote"/>
      </w:pPr>
      <w:r>
        <w:rPr>
          <w:b/>
        </w:rPr>
        <w:t>Group ID:</w:t>
      </w:r>
      <w:r>
        <w:t xml:space="preserve"> group-ccf083122f7dd822bdb8</w:t>
      </w:r>
    </w:p>
    <w:p>
      <w:pPr>
        <w:pStyle w:val="SourceNote"/>
      </w:pPr>
      <w:r>
        <w:rPr>
          <w:b/>
        </w:rPr>
        <w:t>Original source:</w:t>
      </w:r>
      <w:r>
        <w:t xml:space="preserve"> https://doi.org/10.3390/resources7010010</w:t>
      </w:r>
    </w:p>
    <w:p>
      <w:pPr/>
      <w:r>
        <w:rPr>
          <w:b/>
        </w:rPr>
        <w:t>Original future claim:</w:t>
      </w:r>
      <w:r>
        <w:t xml:space="preserve"> 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r>
        <w:rPr>
          <w:b/>
        </w:rPr>
        <w:t>Later source:</w:t>
      </w:r>
      <w:r>
        <w:t xml:space="preserve"> Bayesian Indirect Estimation of Historical Fertility in Europe and US Using Online Genealogical Data — https://doi.org/10.1177/00491241261463559</w:t>
      </w:r>
    </w:p>
    <w:p>
      <w:pPr/>
      <w:r>
        <w:rPr>
          <w:b/>
        </w:rPr>
        <w:t>Later source:</w:t>
      </w:r>
      <w:r>
        <w:t xml:space="preserve"> Claims inflation estimation: a practical guide for historical data — https://doi.org/10.1017/s1357321725100275</w:t>
      </w:r>
    </w:p>
    <w:p>
      <w:pPr>
        <w:pStyle w:val="SourceNote"/>
      </w:pPr>
      <w:r>
        <w:rPr>
          <w:b/>
        </w:rPr>
        <w:t>Review status:</w:t>
      </w:r>
      <w:r>
        <w:t xml:space="preserve"> unchecked — possible relationship only</w:t>
      </w:r>
    </w:p>
    <w:p>
      <w:pPr>
        <w:pStyle w:val="Heading2"/>
      </w:pPr>
      <w:r>
        <w:t>100. Claim + two later sources: Polish and Ukrainian foresight into the directions for the innovation of power plants</w:t>
      </w:r>
    </w:p>
    <w:p>
      <w:pPr>
        <w:pStyle w:val="SourceNote"/>
      </w:pPr>
      <w:r>
        <w:rPr>
          <w:b/>
        </w:rPr>
        <w:t>Group ID:</w:t>
      </w:r>
      <w:r>
        <w:t xml:space="preserve"> group-7b891dfc8b52313825c5</w:t>
      </w:r>
    </w:p>
    <w:p>
      <w:pPr>
        <w:pStyle w:val="SourceNote"/>
      </w:pPr>
      <w:r>
        <w:rPr>
          <w:b/>
        </w:rPr>
        <w:t>Original source:</w:t>
      </w:r>
      <w:r>
        <w:t xml:space="preserve"> https://doi.org/10.5277/ord180404</w:t>
      </w:r>
    </w:p>
    <w:p>
      <w:pPr/>
      <w:r>
        <w:rPr>
          <w:b/>
        </w:rPr>
        <w:t>Original future claim:</w:t>
      </w:r>
      <w:r>
        <w:t xml:space="preserve"> Such an approach could be used to establish a set of measures aimed at the continuous improvement of technical, technological, socioeconomic and environmental processes in power plants (e.g., the operation of Ukrainian hydroelectric power plants).</w:t>
      </w:r>
    </w:p>
    <w:p>
      <w:pPr/>
      <w:r>
        <w:rPr>
          <w:b/>
        </w:rPr>
        <w:t>Later source:</w:t>
      </w:r>
      <w:r>
        <w:t xml:space="preserve"> Establish An Advanced River Flow Prediction Model Using An Artificial Intelligence Approach — https://doi.org/10.51483/ijaiml.6.6s.2026.1293-1301</w:t>
      </w:r>
    </w:p>
    <w:p>
      <w:pPr/>
      <w:r>
        <w:rPr>
          <w:b/>
        </w:rPr>
        <w:t>Later source:</w:t>
      </w:r>
      <w:r>
        <w:t xml:space="preserve"> Feasibility Model for Establishing and Implementing Smart Insurance Using a Hybrid Approach — https://openalex.org/W7217145713</w:t>
      </w:r>
    </w:p>
    <w:p>
      <w:pPr>
        <w:pStyle w:val="SourceNote"/>
      </w:pPr>
      <w:r>
        <w:rPr>
          <w:b/>
        </w:rPr>
        <w:t>Review status:</w:t>
      </w:r>
      <w:r>
        <w:t xml:space="preserve"> unchecked — possible relationship only</w:t>
      </w:r>
    </w:p>
    <w:p>
      <w:pPr>
        <w:pStyle w:val="Heading2"/>
      </w:pPr>
      <w:r>
        <w:t>101. Claim + two later sources: European Water Footprint Scenarios for 2050</w:t>
      </w:r>
    </w:p>
    <w:p>
      <w:pPr>
        <w:pStyle w:val="SourceNote"/>
      </w:pPr>
      <w:r>
        <w:rPr>
          <w:b/>
        </w:rPr>
        <w:t>Group ID:</w:t>
      </w:r>
      <w:r>
        <w:t xml:space="preserve"> group-80b2f854bde16e217291</w:t>
      </w:r>
    </w:p>
    <w:p>
      <w:pPr>
        <w:pStyle w:val="SourceNote"/>
      </w:pPr>
      <w:r>
        <w:rPr>
          <w:b/>
        </w:rPr>
        <w:t>Original source:</w:t>
      </w:r>
      <w:r>
        <w:t xml:space="preserve"> https://doi.org/10.3390/w8060226</w:t>
      </w:r>
    </w:p>
    <w:p>
      <w:pPr/>
      <w:r>
        <w:rPr>
          <w:b/>
        </w:rPr>
        <w:t>Original future claim:</w:t>
      </w:r>
      <w:r>
        <w:t xml:space="preserve"> 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r>
        <w:rPr>
          <w:b/>
        </w:rPr>
        <w:t>Later source:</w:t>
      </w:r>
      <w:r>
        <w:t xml:space="preserve"> The water–agriculture–food nexus in Europe: a governance perspective — https://openalex.org/W7205710043</w:t>
      </w:r>
    </w:p>
    <w:p>
      <w:pPr/>
      <w:r>
        <w:rPr>
          <w:b/>
        </w:rPr>
        <w:t>Later source:</w:t>
      </w:r>
      <w:r>
        <w:t xml:space="preserve"> Blue and Green Water Footprint disparities of European households: A spatial structural decomposition analysis approach — https://doi.org/10.5194/egusphere-egu25-18436</w:t>
      </w:r>
    </w:p>
    <w:p>
      <w:pPr>
        <w:pStyle w:val="SourceNote"/>
      </w:pPr>
      <w:r>
        <w:rPr>
          <w:b/>
        </w:rPr>
        <w:t>Review status:</w:t>
      </w:r>
      <w:r>
        <w:t xml:space="preserve"> unchecked — possible relationship only</w:t>
      </w:r>
    </w:p>
    <w:p>
      <w:pPr>
        <w:pStyle w:val="Heading2"/>
      </w:pPr>
      <w:r>
        <w:t>102. Claim + two later sources: Nutrient criteria for surface waters under the European Water Framework Directive: Current state-of-the-art, challenges and future outlook</w:t>
      </w:r>
    </w:p>
    <w:p>
      <w:pPr>
        <w:pStyle w:val="SourceNote"/>
      </w:pPr>
      <w:r>
        <w:rPr>
          <w:b/>
        </w:rPr>
        <w:t>Group ID:</w:t>
      </w:r>
      <w:r>
        <w:t xml:space="preserve"> group-fd767bd9b06094f02624</w:t>
      </w:r>
    </w:p>
    <w:p>
      <w:pPr>
        <w:pStyle w:val="SourceNote"/>
      </w:pPr>
      <w:r>
        <w:rPr>
          <w:b/>
        </w:rPr>
        <w:t>Original source:</w:t>
      </w:r>
      <w:r>
        <w:t xml:space="preserve"> https://doi.org/10.1016/j.scitotenv.2019.133888</w:t>
      </w:r>
    </w:p>
    <w:p>
      <w:pPr/>
      <w:r>
        <w:rPr>
          <w:b/>
        </w:rPr>
        <w:t>Original future claim:</w:t>
      </w:r>
      <w:r>
        <w:t xml:space="preserve"> The aim of European water policy is to achieve good ecological status in all rivers, lakes, coastal and transitional waters by 2027.</w:t>
      </w:r>
    </w:p>
    <w:p>
      <w:pPr/>
      <w:r>
        <w:rPr>
          <w:b/>
        </w:rPr>
        <w:t>Later source:</w:t>
      </w:r>
      <w:r>
        <w:t xml:space="preserve"> Agriculture Contributions to Water Pollution and Sustainable Policy Solutions in Europe — https://doi.org/10.3390/earth7040115</w:t>
      </w:r>
    </w:p>
    <w:p>
      <w:pPr/>
      <w:r>
        <w:rPr>
          <w:b/>
        </w:rPr>
        <w:t>Later source:</w:t>
      </w:r>
      <w:r>
        <w:t xml:space="preserve"> Water governance for good ecological status and water quality in south-western Czechia – an interdisciplinary study — https://doi.org/10.1080/00207233.2025.2568342</w:t>
      </w:r>
    </w:p>
    <w:p>
      <w:pPr>
        <w:pStyle w:val="SourceNote"/>
      </w:pPr>
      <w:r>
        <w:rPr>
          <w:b/>
        </w:rPr>
        <w:t>Review status:</w:t>
      </w:r>
      <w:r>
        <w:t xml:space="preserve"> unchecked — possible relationship only</w:t>
      </w:r>
    </w:p>
    <w:p>
      <w:pPr>
        <w:pStyle w:val="Heading2"/>
      </w:pPr>
      <w:r>
        <w:t>103. Claim + two later sources: Burden of Stroke in Europe</w:t>
      </w:r>
    </w:p>
    <w:p>
      <w:pPr>
        <w:pStyle w:val="SourceNote"/>
      </w:pPr>
      <w:r>
        <w:rPr>
          <w:b/>
        </w:rPr>
        <w:t>Group ID:</w:t>
      </w:r>
      <w:r>
        <w:t xml:space="preserve"> group-f3232a3d97dba49bc84f</w:t>
      </w:r>
    </w:p>
    <w:p>
      <w:pPr>
        <w:pStyle w:val="SourceNote"/>
      </w:pPr>
      <w:r>
        <w:rPr>
          <w:b/>
        </w:rPr>
        <w:t>Original source:</w:t>
      </w:r>
      <w:r>
        <w:t xml:space="preserve"> https://doi.org/10.1161/strokeaha.120.029606</w:t>
      </w:r>
    </w:p>
    <w:p>
      <w:pPr/>
      <w:r>
        <w:rPr>
          <w:b/>
        </w:rPr>
        <w:t>Original future claim:</w:t>
      </w:r>
      <w:r>
        <w:t xml:space="preserve"> By 2047, we estimated an additional 40 000 incident strokes (+3%) and 2.58 million prevalent cases (+27%).</w:t>
      </w:r>
    </w:p>
    <w:p>
      <w:pPr/>
      <w:r>
        <w:rPr>
          <w:b/>
        </w:rPr>
        <w:t>Later source:</w:t>
      </w:r>
      <w:r>
        <w:t xml:space="preserve"> The updated global burden of chronic kidney disease: one death every 20 seconds — https://doi.org/10.1093/ndt/gfag040</w:t>
      </w:r>
    </w:p>
    <w:p>
      <w:pPr/>
      <w:r>
        <w:rPr>
          <w:b/>
        </w:rPr>
        <w:t>Later source:</w:t>
      </w:r>
      <w:r>
        <w:t xml:space="preserve"> Estimating the burden of vitiligo: a systematic review and modelling study — https://doi.org/10.1016/s2468-2667(24)00026-4</w:t>
      </w:r>
    </w:p>
    <w:p>
      <w:pPr>
        <w:pStyle w:val="SourceNote"/>
      </w:pPr>
      <w:r>
        <w:rPr>
          <w:b/>
        </w:rPr>
        <w:t>Review status:</w:t>
      </w:r>
      <w:r>
        <w:t xml:space="preserve"> unchecked — possible relationship only</w:t>
      </w:r>
    </w:p>
    <w:p>
      <w:pPr>
        <w:pStyle w:val="Heading2"/>
      </w:pPr>
      <w:r>
        <w:t>104. Claim + two later sources: Ukrainian Migration Aspirations towards Germany: Analysis and Development Scenarios</w:t>
      </w:r>
    </w:p>
    <w:p>
      <w:pPr>
        <w:pStyle w:val="SourceNote"/>
      </w:pPr>
      <w:r>
        <w:rPr>
          <w:b/>
        </w:rPr>
        <w:t>Group ID:</w:t>
      </w:r>
      <w:r>
        <w:t xml:space="preserve"> group-ddaf8ce813e3adf2dd0b</w:t>
      </w:r>
    </w:p>
    <w:p>
      <w:pPr>
        <w:pStyle w:val="SourceNote"/>
      </w:pPr>
      <w:r>
        <w:rPr>
          <w:b/>
        </w:rPr>
        <w:t>Original source:</w:t>
      </w:r>
      <w:r>
        <w:t xml:space="preserve"> https://doi.org/10.18778/1508-2008.24.04</w:t>
      </w:r>
    </w:p>
    <w:p>
      <w:pPr/>
      <w:r>
        <w:rPr>
          <w:b/>
        </w:rPr>
        <w:t>Original future claim:</w:t>
      </w:r>
      <w:r>
        <w:t xml:space="preserve"> 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r>
        <w:rPr>
          <w:b/>
        </w:rPr>
        <w:t>Later source:</w:t>
      </w:r>
      <w:r>
        <w:t xml:space="preserve"> Signal-Based Trading Strategy for SPY ETF: A Multiple Linear Regression Approach — https://doi.org/10.70693/rwsk.v1i2.552</w:t>
      </w:r>
    </w:p>
    <w:p>
      <w:pPr/>
      <w:r>
        <w:rPr>
          <w:b/>
        </w:rPr>
        <w:t>Later source:</w:t>
      </w:r>
      <w:r>
        <w:t xml:space="preserve"> The European Approach to the Use of Artificial Intelligence for Sustainable Development — https://doi.org/10.1093/9780198945215.003.0161</w:t>
      </w:r>
    </w:p>
    <w:p>
      <w:pPr>
        <w:pStyle w:val="SourceNote"/>
      </w:pPr>
      <w:r>
        <w:rPr>
          <w:b/>
        </w:rPr>
        <w:t>Review status:</w:t>
      </w:r>
      <w:r>
        <w:t xml:space="preserve"> unchecked — possible relationship only</w:t>
      </w:r>
    </w:p>
    <w:p>
      <w:pPr>
        <w:pStyle w:val="Heading2"/>
      </w:pPr>
      <w:r>
        <w:t>105. Claim + two later sources: Forecasting the Volatility of European Union Allowance Futures with Climate Policy Uncertainty Using the EGARCH-MIDAS Model</w:t>
      </w:r>
    </w:p>
    <w:p>
      <w:pPr>
        <w:pStyle w:val="SourceNote"/>
      </w:pPr>
      <w:r>
        <w:rPr>
          <w:b/>
        </w:rPr>
        <w:t>Group ID:</w:t>
      </w:r>
      <w:r>
        <w:t xml:space="preserve"> group-6140ebbc661acaf7ffa0</w:t>
      </w:r>
    </w:p>
    <w:p>
      <w:pPr>
        <w:pStyle w:val="SourceNote"/>
      </w:pPr>
      <w:r>
        <w:rPr>
          <w:b/>
        </w:rPr>
        <w:t>Original source:</w:t>
      </w:r>
      <w:r>
        <w:t xml:space="preserve"> https://doi.org/10.3390/su14074306</w:t>
      </w:r>
    </w:p>
    <w:p>
      <w:pPr/>
      <w:r>
        <w:rPr>
          <w:b/>
        </w:rPr>
        <w:t>Original future claim:</w:t>
      </w:r>
      <w:r>
        <w:t xml:space="preserve"> There is room for further application of the model, such as this model could be applied to price carbon futures, so as to improve the liquidity of the carbon market and achieve carbon peak and carbon neutrality as soon as possible.</w:t>
      </w:r>
    </w:p>
    <w:p>
      <w:pPr/>
      <w:r>
        <w:rPr>
          <w:b/>
        </w:rPr>
        <w:t>Later source:</w:t>
      </w:r>
      <w:r>
        <w:t xml:space="preserve"> Why Grey Room — https://doi.org/10.1162/grey.e.11</w:t>
      </w:r>
    </w:p>
    <w:p>
      <w:pPr/>
      <w:r>
        <w:rPr>
          <w:b/>
        </w:rPr>
        <w:t>Later source:</w:t>
      </w:r>
      <w:r>
        <w:t xml:space="preserve"> European coastal flood hazards — https://doi.org/10.5194/egusphere-egu25-17323</w:t>
      </w:r>
    </w:p>
    <w:p>
      <w:pPr>
        <w:pStyle w:val="SourceNote"/>
      </w:pPr>
      <w:r>
        <w:rPr>
          <w:b/>
        </w:rPr>
        <w:t>Review status:</w:t>
      </w:r>
      <w:r>
        <w:t xml:space="preserve"> unchecked — possible relationship only</w:t>
      </w:r>
    </w:p>
    <w:p>
      <w:pPr>
        <w:pStyle w:val="Heading2"/>
      </w:pPr>
      <w:r>
        <w:t>106. Claim + two later sources: From flood science to flood policy: the Foresight Future Flooding project seven years on</w:t>
      </w:r>
    </w:p>
    <w:p>
      <w:pPr>
        <w:pStyle w:val="SourceNote"/>
      </w:pPr>
      <w:r>
        <w:rPr>
          <w:b/>
        </w:rPr>
        <w:t>Group ID:</w:t>
      </w:r>
      <w:r>
        <w:t xml:space="preserve"> group-320c2890527e74cdde88</w:t>
      </w:r>
    </w:p>
    <w:p>
      <w:pPr>
        <w:pStyle w:val="SourceNote"/>
      </w:pPr>
      <w:r>
        <w:rPr>
          <w:b/>
        </w:rPr>
        <w:t>Original source:</w:t>
      </w:r>
      <w:r>
        <w:t xml:space="preserve"> https://doi.org/10.1108/fs-06-2012-0046</w:t>
      </w:r>
    </w:p>
    <w:p>
      <w:pPr/>
      <w:r>
        <w:rPr>
          <w:b/>
        </w:rPr>
        <w:t>Original future claim:</w:t>
      </w:r>
      <w:r>
        <w:t xml:space="preserve"> Purpose The Foresight Future Flooding (FFF) project researched flood risk in the UK to the year 2100 for central government, using scenarios and a national risk assessment model backed by qualitative analysis from panels of some 45 senior scientists.</w:t>
      </w:r>
    </w:p>
    <w:p>
      <w:pPr/>
      <w:r>
        <w:rPr>
          <w:b/>
        </w:rPr>
        <w:t>Later source:</w:t>
      </w:r>
      <w:r>
        <w:t xml:space="preserve"> Eye of Europe Foresight Training Manual — https://openalex.org/W7220785974</w:t>
      </w:r>
    </w:p>
    <w:p>
      <w:pPr/>
      <w:r>
        <w:rPr>
          <w:b/>
        </w:rPr>
        <w:t>Later source:</w:t>
      </w:r>
      <w:r>
        <w:t xml:space="preserve"> Mission-oriented scenarios: a new method for urban foresight — https://doi.org/10.1108/fs-06-2023-0119</w:t>
      </w:r>
    </w:p>
    <w:p>
      <w:pPr>
        <w:pStyle w:val="SourceNote"/>
      </w:pPr>
      <w:r>
        <w:rPr>
          <w:b/>
        </w:rPr>
        <w:t>Review status:</w:t>
      </w:r>
      <w:r>
        <w:t xml:space="preserve"> unchecked — possible relationship only</w:t>
      </w:r>
    </w:p>
    <w:p>
      <w:pPr>
        <w:pStyle w:val="Heading2"/>
      </w:pPr>
      <w:r>
        <w:t>107. Claim + two later sources: Immigration and integration scenarios in global Europe: Forward-looking up to 2050</w:t>
      </w:r>
    </w:p>
    <w:p>
      <w:pPr>
        <w:pStyle w:val="SourceNote"/>
      </w:pPr>
      <w:r>
        <w:rPr>
          <w:b/>
        </w:rPr>
        <w:t>Group ID:</w:t>
      </w:r>
      <w:r>
        <w:t xml:space="preserve"> group-bb66fd488b049262bfba</w:t>
      </w:r>
    </w:p>
    <w:p>
      <w:pPr>
        <w:pStyle w:val="SourceNote"/>
      </w:pPr>
      <w:r>
        <w:rPr>
          <w:b/>
        </w:rPr>
        <w:t>Original source:</w:t>
      </w:r>
      <w:r>
        <w:t xml:space="preserve"> https://doi.org/10.2298/soc1302169a</w:t>
      </w:r>
    </w:p>
    <w:p>
      <w:pPr/>
      <w:r>
        <w:rPr>
          <w:b/>
        </w:rPr>
        <w:t>Original future claim:</w:t>
      </w:r>
      <w:r>
        <w:t xml:space="preserve"> She proposes addressing integration of immigrants scenarios alongside demographic projections and labour market needs for future assessments of needs for immigrants and for responsible governance.</w:t>
      </w:r>
    </w:p>
    <w:p>
      <w:pPr/>
      <w:r>
        <w:rPr>
          <w:b/>
        </w:rPr>
        <w:t>Later source:</w:t>
      </w:r>
      <w:r>
        <w:t xml:space="preserve"> The Labor Market Challenges and Coping Strategies of Highly Skilled Second-Generation Immigrants in Europe: A Scoping Review — https://doi.org/10.3390/soc15040093</w:t>
      </w:r>
    </w:p>
    <w:p>
      <w:pPr/>
      <w:r>
        <w:rPr>
          <w:b/>
        </w:rPr>
        <w:t>Later source:</w:t>
      </w:r>
      <w:r>
        <w:t xml:space="preserve"> A.M. Pankratova on Pan-European tendencies in historical scholarship in Western Europe in the Mid-20th century — https://doi.org/10.55959/msu0130-0083-8-2025-66-5-107-123</w:t>
      </w:r>
    </w:p>
    <w:p>
      <w:pPr>
        <w:pStyle w:val="SourceNote"/>
      </w:pPr>
      <w:r>
        <w:rPr>
          <w:b/>
        </w:rPr>
        <w:t>Review status:</w:t>
      </w:r>
      <w:r>
        <w:t xml:space="preserve"> unchecked — possible relationship only</w:t>
      </w:r>
    </w:p>
    <w:p>
      <w:pPr>
        <w:pStyle w:val="Heading2"/>
      </w:pPr>
      <w:r>
        <w:t>108. Claim + two later sources: Materials for Sustainable Nuclear Energy: A European Strategic Research and Innovation Agenda for All Reactor Generations</w:t>
      </w:r>
    </w:p>
    <w:p>
      <w:pPr>
        <w:pStyle w:val="SourceNote"/>
      </w:pPr>
      <w:r>
        <w:rPr>
          <w:b/>
        </w:rPr>
        <w:t>Group ID:</w:t>
      </w:r>
      <w:r>
        <w:t xml:space="preserve"> group-902177850305d9bad9cb</w:t>
      </w:r>
    </w:p>
    <w:p>
      <w:pPr>
        <w:pStyle w:val="SourceNote"/>
      </w:pPr>
      <w:r>
        <w:rPr>
          <w:b/>
        </w:rPr>
        <w:t>Original source:</w:t>
      </w:r>
      <w:r>
        <w:t xml:space="preserve"> https://doi.org/10.3390/en15051845</w:t>
      </w:r>
    </w:p>
    <w:p>
      <w:pPr/>
      <w:r>
        <w:rPr>
          <w:b/>
        </w:rPr>
        <w:t>Original future claim:</w:t>
      </w:r>
      <w:r>
        <w:t xml:space="preserve"> Nuclear energy is presently the single major low-carbon electricity source in Europe and is overall expected to maintain (perhaps eventually even increase) its current installed power from now to 2045.</w:t>
      </w:r>
    </w:p>
    <w:p>
      <w:pPr/>
      <w:r>
        <w:rPr>
          <w:b/>
        </w:rPr>
        <w:t>Later source:</w:t>
      </w:r>
      <w:r>
        <w:t xml:space="preserve"> MANAGEMENT OF ENERGY TECHNOLOGY SELECTION FOR STRENGTHENING POLAND’S ENERGY SECURITY — https://doi.org/10.29119/1641-3466.2026.244.19</w:t>
      </w:r>
    </w:p>
    <w:p>
      <w:pPr/>
      <w:r>
        <w:rPr>
          <w:b/>
        </w:rPr>
        <w:t>Later source:</w:t>
      </w:r>
      <w:r>
        <w:t xml:space="preserve"> Thorium as an Advanced Nuclear Fuel: Enhancing Supply-Chain Resilience for the Energy Transition — https://doi.org/10.2118/233268-ms</w:t>
      </w:r>
    </w:p>
    <w:p>
      <w:pPr>
        <w:pStyle w:val="SourceNote"/>
      </w:pPr>
      <w:r>
        <w:rPr>
          <w:b/>
        </w:rPr>
        <w:t>Review status:</w:t>
      </w:r>
      <w:r>
        <w:t xml:space="preserve"> unchecked — possible relationship only</w:t>
      </w:r>
    </w:p>
    <w:p>
      <w:pPr>
        <w:pStyle w:val="Heading2"/>
      </w:pPr>
      <w:r>
        <w:t>109. Claim + two later sources: Microgrids: Enhancing the Resilience of the European Megagrid</w:t>
      </w:r>
    </w:p>
    <w:p>
      <w:pPr>
        <w:pStyle w:val="SourceNote"/>
      </w:pPr>
      <w:r>
        <w:rPr>
          <w:b/>
        </w:rPr>
        <w:t>Group ID:</w:t>
      </w:r>
      <w:r>
        <w:t xml:space="preserve"> group-2539ee44188950dd5cf7</w:t>
      </w:r>
    </w:p>
    <w:p>
      <w:pPr>
        <w:pStyle w:val="SourceNote"/>
      </w:pPr>
      <w:r>
        <w:rPr>
          <w:b/>
        </w:rPr>
        <w:t>Original source:</w:t>
      </w:r>
      <w:r>
        <w:t xml:space="preserve"> https://doi.org/10.1109/mpe.2015.2397336</w:t>
      </w:r>
    </w:p>
    <w:p>
      <w:pPr/>
      <w:r>
        <w:rPr>
          <w:b/>
        </w:rPr>
        <w:t>Original future claim:</w:t>
      </w:r>
      <w:r>
        <w:t xml:space="preserve"> 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r>
        <w:rPr>
          <w:b/>
        </w:rPr>
        <w:t>Later source:</w:t>
      </w:r>
      <w:r>
        <w:t xml:space="preserve"> Climate change impacts on European electricity demand and supply until 2100 — https://doi.org/10.1016/j.isci.2026.116818</w:t>
      </w:r>
    </w:p>
    <w:p>
      <w:pPr/>
      <w:r>
        <w:rPr>
          <w:b/>
        </w:rPr>
        <w:t>Later source:</w:t>
      </w:r>
      <w:r>
        <w:t xml:space="preserve"> Future electricity demand for Europe: Unraveling the dynamics of the Temperature Response Function — https://doi.org/10.1016/j.apenergy.2024.123387</w:t>
      </w:r>
    </w:p>
    <w:p>
      <w:pPr>
        <w:pStyle w:val="SourceNote"/>
      </w:pPr>
      <w:r>
        <w:rPr>
          <w:b/>
        </w:rPr>
        <w:t>Review status:</w:t>
      </w:r>
      <w:r>
        <w:t xml:space="preserve"> unchecked — possible relationship only</w:t>
      </w:r>
    </w:p>
    <w:p>
      <w:pPr>
        <w:pStyle w:val="Heading2"/>
      </w:pPr>
      <w:r>
        <w:t>110. Claim + two later sources: Argentinian Energy Landscapes - Case Study of the Neo-Carbon Energy Project</w:t>
      </w:r>
    </w:p>
    <w:p>
      <w:pPr>
        <w:pStyle w:val="SourceNote"/>
      </w:pPr>
      <w:r>
        <w:rPr>
          <w:b/>
        </w:rPr>
        <w:t>Group ID:</w:t>
      </w:r>
      <w:r>
        <w:t xml:space="preserve"> group-048d27e2f9490e5d5988</w:t>
      </w:r>
    </w:p>
    <w:p>
      <w:pPr>
        <w:pStyle w:val="SourceNote"/>
      </w:pPr>
      <w:r>
        <w:rPr>
          <w:b/>
        </w:rPr>
        <w:t>Original source:</w:t>
      </w:r>
      <w:r>
        <w:t xml:space="preserve"> https://doi.org/10.13140/rg.2.2.13727.82088</w:t>
      </w:r>
    </w:p>
    <w:p>
      <w:pPr/>
      <w:r>
        <w:rPr>
          <w:b/>
        </w:rPr>
        <w:t>Original future claim:</w:t>
      </w:r>
      <w:r>
        <w:t xml:space="preserve"> Therefore, it is important to explore different scenarios of how neo-carbon energy system can affect a society, businesses, individual’s lives and relationships.</w:t>
      </w:r>
    </w:p>
    <w:p>
      <w:pPr/>
      <w:r>
        <w:rPr>
          <w:b/>
        </w:rPr>
        <w:t>Later source:</w:t>
      </w:r>
      <w:r>
        <w:t xml:space="preserve"> Exploring learners — https://doi.org/10.4324/9781003588924-6</w:t>
      </w:r>
    </w:p>
    <w:p>
      <w:pPr/>
      <w:r>
        <w:rPr>
          <w:b/>
        </w:rPr>
        <w:t>Later source:</w:t>
      </w:r>
      <w:r>
        <w:t xml:space="preserve"> Did We Miss Something Important? Studying and Exploring Variable-Aware Log Abstraction — https://doi.org/10.1109/icse48619.2023.00078</w:t>
      </w:r>
    </w:p>
    <w:p>
      <w:pPr>
        <w:pStyle w:val="SourceNote"/>
      </w:pPr>
      <w:r>
        <w:rPr>
          <w:b/>
        </w:rPr>
        <w:t>Review status:</w:t>
      </w:r>
      <w:r>
        <w:t xml:space="preserve"> unchecked — possible relationship only</w:t>
      </w:r>
    </w:p>
    <w:p>
      <w:pPr>
        <w:pStyle w:val="Heading2"/>
      </w:pPr>
      <w:r>
        <w:t>111. Claim + two later sources: Scenario analysis for nutrient emission reduction in the European inland waters</w:t>
      </w:r>
    </w:p>
    <w:p>
      <w:pPr>
        <w:pStyle w:val="SourceNote"/>
      </w:pPr>
      <w:r>
        <w:rPr>
          <w:b/>
        </w:rPr>
        <w:t>Group ID:</w:t>
      </w:r>
      <w:r>
        <w:t xml:space="preserve"> group-7bd53eedeaca0a59e9b0</w:t>
      </w:r>
    </w:p>
    <w:p>
      <w:pPr>
        <w:pStyle w:val="SourceNote"/>
      </w:pPr>
      <w:r>
        <w:rPr>
          <w:b/>
        </w:rPr>
        <w:t>Original source:</w:t>
      </w:r>
      <w:r>
        <w:t xml:space="preserve"> https://doi.org/10.1088/1748-9326/9/12/125007</w:t>
      </w:r>
    </w:p>
    <w:p>
      <w:pPr/>
      <w:r>
        <w:rPr>
          <w:b/>
        </w:rPr>
        <w:t>Original future claim:</w:t>
      </w:r>
      <w:r>
        <w:t xml:space="preserve"> In the present study we evaluate a set of alternative scenarios aiming at reducing nitrogen and phosphorus emissions from anthropogenic activities to all European Seas. Then we tested two human diet scenarios and their impacts on nutrient emissions.</w:t>
      </w:r>
    </w:p>
    <w:p>
      <w:pPr/>
      <w:r>
        <w:rPr>
          <w:b/>
        </w:rPr>
        <w:t>Later source:</w:t>
      </w:r>
      <w:r>
        <w:t xml:space="preserve"> Chemical Profile and Bioactivity Evaluation of Salvia Species from Eastern Europe — https://doi.org/10.3390/antiox12081514</w:t>
      </w:r>
    </w:p>
    <w:p>
      <w:pPr/>
      <w:r>
        <w:rPr>
          <w:b/>
        </w:rPr>
        <w:t>Later source:</w:t>
      </w:r>
      <w:r>
        <w:t xml:space="preserve"> Towards an “Evaluation Dilemmas Model” – designing an evaluation scheme for a European capital of culture — https://doi.org/10.1108/aam-09-2021-0046</w:t>
      </w:r>
    </w:p>
    <w:p>
      <w:pPr>
        <w:pStyle w:val="SourceNote"/>
      </w:pPr>
      <w:r>
        <w:rPr>
          <w:b/>
        </w:rPr>
        <w:t>Review status:</w:t>
      </w:r>
      <w:r>
        <w:t xml:space="preserve"> unchecked — possible relationship only</w:t>
      </w:r>
    </w:p>
    <w:p>
      <w:pPr>
        <w:pStyle w:val="Heading2"/>
      </w:pPr>
      <w:r>
        <w:t>112. Claim + two later sources: Eliciting knowledge from stakeholders to identify critical issues of the transition to climate neutrality in Greece, the Nordic Region, and the European Union</w:t>
      </w:r>
    </w:p>
    <w:p>
      <w:pPr>
        <w:pStyle w:val="SourceNote"/>
      </w:pPr>
      <w:r>
        <w:rPr>
          <w:b/>
        </w:rPr>
        <w:t>Group ID:</w:t>
      </w:r>
      <w:r>
        <w:t xml:space="preserve"> group-ccf513cae442fb8eb599</w:t>
      </w:r>
    </w:p>
    <w:p>
      <w:pPr>
        <w:pStyle w:val="SourceNote"/>
      </w:pPr>
      <w:r>
        <w:rPr>
          <w:b/>
        </w:rPr>
        <w:t>Original source:</w:t>
      </w:r>
      <w:r>
        <w:t xml:space="preserve"> https://doi.org/10.1016/j.erss.2022.102836</w:t>
      </w:r>
    </w:p>
    <w:p>
      <w:pPr/>
      <w:r>
        <w:rPr>
          <w:b/>
        </w:rPr>
        <w:t>Original future claim:</w:t>
      </w:r>
      <w:r>
        <w:t xml:space="preserve"> 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r>
        <w:rPr>
          <w:b/>
        </w:rPr>
        <w:t>Later source:</w:t>
      </w:r>
      <w:r>
        <w:t xml:space="preserve"> Cultural Production Reveals Transitions to Sustained Human Development in both European and Non-European Societies — https://openalex.org/W7124669595</w:t>
      </w:r>
    </w:p>
    <w:p>
      <w:pPr/>
      <w:r>
        <w:rPr>
          <w:b/>
        </w:rPr>
        <w:t>Later source:</w:t>
      </w:r>
      <w:r>
        <w:t xml:space="preserve"> Unveiling the environmental impact of earthquakes in Europe — https://doi.org/10.1038/s41467-025-68120-6</w:t>
      </w:r>
    </w:p>
    <w:p>
      <w:pPr>
        <w:pStyle w:val="SourceNote"/>
      </w:pPr>
      <w:r>
        <w:rPr>
          <w:b/>
        </w:rPr>
        <w:t>Review status:</w:t>
      </w:r>
      <w:r>
        <w:t xml:space="preserve"> unchecked — possible relationship only</w:t>
      </w:r>
    </w:p>
    <w:p>
      <w:pPr>
        <w:pStyle w:val="Heading2"/>
      </w:pPr>
      <w:r>
        <w:t>113. Claim + two later sources: A Foresight Study of European East-West Agrifood Trade Options</w:t>
      </w:r>
    </w:p>
    <w:p>
      <w:pPr>
        <w:pStyle w:val="SourceNote"/>
      </w:pPr>
      <w:r>
        <w:rPr>
          <w:b/>
        </w:rPr>
        <w:t>Group ID:</w:t>
      </w:r>
      <w:r>
        <w:t xml:space="preserve"> group-5a2b4660295f04b44181</w:t>
      </w:r>
    </w:p>
    <w:p>
      <w:pPr>
        <w:pStyle w:val="SourceNote"/>
      </w:pPr>
      <w:r>
        <w:rPr>
          <w:b/>
        </w:rPr>
        <w:t>Original source:</w:t>
      </w:r>
      <w:r>
        <w:t xml:space="preserve"> https://doi.org/10.52825/gjae.v67i3.2099</w:t>
      </w:r>
    </w:p>
    <w:p>
      <w:pPr/>
      <w:r>
        <w:rPr>
          <w:b/>
        </w:rPr>
        <w:t>Original future claim:</w:t>
      </w:r>
      <w:r>
        <w:t xml:space="preserve"> 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r>
        <w:rPr>
          <w:b/>
        </w:rPr>
        <w:t>Later source:</w:t>
      </w:r>
      <w:r>
        <w:t xml:space="preserve"> The European Union Green Deal and Global Trade: A Constructivist Perspective on Sustainability Norms — https://doi.org/10.22146/jwts.v10i1.18729</w:t>
      </w:r>
    </w:p>
    <w:p>
      <w:pPr/>
      <w:r>
        <w:rPr>
          <w:b/>
        </w:rPr>
        <w:t>Later source:</w:t>
      </w:r>
      <w:r>
        <w:t xml:space="preserve"> Bilateral Trade: A Regret Minimization Perspective — https://doi.org/10.1287/moor.2023.1351</w:t>
      </w:r>
    </w:p>
    <w:p>
      <w:pPr>
        <w:pStyle w:val="SourceNote"/>
      </w:pPr>
      <w:r>
        <w:rPr>
          <w:b/>
        </w:rPr>
        <w:t>Review status:</w:t>
      </w:r>
      <w:r>
        <w:t xml:space="preserve"> unchecked — possible relationship only</w:t>
      </w:r>
    </w:p>
    <w:p>
      <w:pPr>
        <w:pStyle w:val="Heading2"/>
      </w:pPr>
      <w:r>
        <w:t>114. Claim + two later sources: Alpine Tundra Contraction under Future Warming Scenarios in Europe</w:t>
      </w:r>
    </w:p>
    <w:p>
      <w:pPr>
        <w:pStyle w:val="SourceNote"/>
      </w:pPr>
      <w:r>
        <w:rPr>
          <w:b/>
        </w:rPr>
        <w:t>Group ID:</w:t>
      </w:r>
      <w:r>
        <w:t xml:space="preserve"> group-d39d94456de52cb4298a</w:t>
      </w:r>
    </w:p>
    <w:p>
      <w:pPr>
        <w:pStyle w:val="SourceNote"/>
      </w:pPr>
      <w:r>
        <w:rPr>
          <w:b/>
        </w:rPr>
        <w:t>Original source:</w:t>
      </w:r>
      <w:r>
        <w:t xml:space="preserve"> https://doi.org/10.3390/atmos11070698</w:t>
      </w:r>
    </w:p>
    <w:p>
      <w:pPr/>
      <w:r>
        <w:rPr>
          <w:b/>
        </w:rPr>
        <w:t>Original future claim:</w:t>
      </w:r>
      <w:r>
        <w:t xml:space="preserve"> 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r>
        <w:rPr>
          <w:b/>
        </w:rPr>
        <w:t>Later source:</w:t>
      </w:r>
      <w:r>
        <w:t xml:space="preserve"> New ensemble of regional climate projections for Europe — https://doi.org/10.5281/zenodo.20340839</w:t>
      </w:r>
    </w:p>
    <w:p>
      <w:pPr/>
      <w:r>
        <w:rPr>
          <w:b/>
        </w:rPr>
        <w:t>Later source:</w:t>
      </w:r>
      <w:r>
        <w:t xml:space="preserve"> Evaluating Climate Regimes and Their Temporal Evolution in ERA5-Driven EURO-CORDEX CMIP6 Simulations — https://doi.org/10.5194/ems2026-512</w:t>
      </w:r>
    </w:p>
    <w:p>
      <w:pPr>
        <w:pStyle w:val="SourceNote"/>
      </w:pPr>
      <w:r>
        <w:rPr>
          <w:b/>
        </w:rPr>
        <w:t>Review status:</w:t>
      </w:r>
      <w:r>
        <w:t xml:space="preserve"> unchecked — possible relationship only</w:t>
      </w:r>
    </w:p>
    <w:p>
      <w:pPr>
        <w:pStyle w:val="Heading2"/>
      </w:pPr>
      <w:r>
        <w:t>115. Claim + two later sources: Ocean energy development in Europe: Current status and future perspectives</w:t>
      </w:r>
    </w:p>
    <w:p>
      <w:pPr>
        <w:pStyle w:val="SourceNote"/>
      </w:pPr>
      <w:r>
        <w:rPr>
          <w:b/>
        </w:rPr>
        <w:t>Group ID:</w:t>
      </w:r>
      <w:r>
        <w:t xml:space="preserve"> group-f6e39f6e88315190e031</w:t>
      </w:r>
    </w:p>
    <w:p>
      <w:pPr>
        <w:pStyle w:val="SourceNote"/>
      </w:pPr>
      <w:r>
        <w:rPr>
          <w:b/>
        </w:rPr>
        <w:t>Original source:</w:t>
      </w:r>
      <w:r>
        <w:t xml:space="preserve"> https://doi.org/10.1016/j.ijome.2015.05.001</w:t>
      </w:r>
    </w:p>
    <w:p>
      <w:pPr/>
      <w:r>
        <w:rPr>
          <w:b/>
        </w:rPr>
        <w:t>Original future claim:</w:t>
      </w:r>
      <w:r>
        <w:t xml:space="preserve"> 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r>
        <w:rPr>
          <w:b/>
        </w:rPr>
        <w:t>Later source:</w:t>
      </w:r>
      <w:r>
        <w:t xml:space="preserve"> Merging modelled and reported flood impacts in Europe in a combined flood event catalogue for 1950–2020 — https://doi.org/10.5194/hess-28-3983-2024</w:t>
      </w:r>
    </w:p>
    <w:p>
      <w:pPr/>
      <w:r>
        <w:rPr>
          <w:b/>
        </w:rPr>
        <w:t>Later source:</w:t>
      </w:r>
      <w:r>
        <w:t xml:space="preserve"> Observations from structural testing of full-scale tidal turbine blades — https://doi.org/10.36688/ewtec-2023-277</w:t>
      </w:r>
    </w:p>
    <w:p>
      <w:pPr>
        <w:pStyle w:val="SourceNote"/>
      </w:pPr>
      <w:r>
        <w:rPr>
          <w:b/>
        </w:rPr>
        <w:t>Review status:</w:t>
      </w:r>
      <w:r>
        <w:t xml:space="preserve"> unchecked — possible relationship only</w:t>
      </w:r>
    </w:p>
    <w:p>
      <w:pPr>
        <w:pStyle w:val="Heading2"/>
      </w:pPr>
      <w:r>
        <w:t>116. Claim + two later sources: Connected and Automated Transport: Research and Innovation Capacity in Europe</w:t>
      </w:r>
    </w:p>
    <w:p>
      <w:pPr>
        <w:pStyle w:val="SourceNote"/>
      </w:pPr>
      <w:r>
        <w:rPr>
          <w:b/>
        </w:rPr>
        <w:t>Group ID:</w:t>
      </w:r>
      <w:r>
        <w:t xml:space="preserve"> group-e35bdc1e8db6e630415a</w:t>
      </w:r>
    </w:p>
    <w:p>
      <w:pPr>
        <w:pStyle w:val="SourceNote"/>
      </w:pPr>
      <w:r>
        <w:rPr>
          <w:b/>
        </w:rPr>
        <w:t>Original source:</w:t>
      </w:r>
      <w:r>
        <w:t xml:space="preserve"> https://doi.org/10.1016/j.trpro.2020.08.213</w:t>
      </w:r>
    </w:p>
    <w:p>
      <w:pPr/>
      <w:r>
        <w:rPr>
          <w:b/>
        </w:rPr>
        <w:t>Original future claim:</w:t>
      </w:r>
      <w:r>
        <w:t xml:space="preserve"> We argue that this approach can aid policy makers to support the future development of CAT technologies and help researchers to forge collaborations and identify research gaps.</w:t>
      </w:r>
    </w:p>
    <w:p>
      <w:pPr/>
      <w:r>
        <w:rPr>
          <w:b/>
        </w:rPr>
        <w:t>Later source:</w:t>
      </w:r>
      <w:r>
        <w:t xml:space="preserve"> The Limits of European State Aid Law — https://doi.org/10.4324/9781003736141</w:t>
      </w:r>
    </w:p>
    <w:p>
      <w:pPr/>
      <w:r>
        <w:rPr>
          <w:b/>
        </w:rPr>
        <w:t>Later source:</w:t>
      </w:r>
      <w:r>
        <w:t xml:space="preserve"> The financialisation of European Union development aid to Africa : promises, practices, and colonial continuities — https://openalex.org/W7111914425</w:t>
      </w:r>
    </w:p>
    <w:p>
      <w:pPr>
        <w:pStyle w:val="SourceNote"/>
      </w:pPr>
      <w:r>
        <w:rPr>
          <w:b/>
        </w:rPr>
        <w:t>Review status:</w:t>
      </w:r>
      <w:r>
        <w:t xml:space="preserve"> unchecked — possible relationship only</w:t>
      </w:r>
    </w:p>
    <w:p>
      <w:pPr>
        <w:pStyle w:val="Heading2"/>
      </w:pPr>
      <w:r>
        <w:t>117. Claim + two later sources: Implications of sustainability constraints on UK bioenergy development: Assessing optimistic and precautionary approaches with UK MARKAL</w:t>
      </w:r>
    </w:p>
    <w:p>
      <w:pPr>
        <w:pStyle w:val="SourceNote"/>
      </w:pPr>
      <w:r>
        <w:rPr>
          <w:b/>
        </w:rPr>
        <w:t>Group ID:</w:t>
      </w:r>
      <w:r>
        <w:t xml:space="preserve"> group-16134ecc92eff33d6705</w:t>
      </w:r>
    </w:p>
    <w:p>
      <w:pPr>
        <w:pStyle w:val="SourceNote"/>
      </w:pPr>
      <w:r>
        <w:rPr>
          <w:b/>
        </w:rPr>
        <w:t>Original source:</w:t>
      </w:r>
      <w:r>
        <w:t xml:space="preserve"> https://doi.org/10.1016/j.enpol.2012.05.015</w:t>
      </w:r>
    </w:p>
    <w:p>
      <w:pPr/>
      <w:r>
        <w:rPr>
          <w:b/>
        </w:rPr>
        <w:t>Original future claim:</w:t>
      </w:r>
      <w:r>
        <w:t xml:space="preserve"> The paper then examines the implications of these scenarios using the energy systems model MARKAL, finding that a precautionary approach adds to the cost of decarbonisation, but does not significantly alter the optimal technology mix.</w:t>
      </w:r>
    </w:p>
    <w:p>
      <w:pPr/>
      <w:r>
        <w:rPr>
          <w:b/>
        </w:rPr>
        <w:t>Later source:</w:t>
      </w:r>
      <w:r>
        <w:t xml:space="preserve"> CRANIAL STRUCTURE OF †CHONDROSTEUS ACIPENSEROIDES RE-EXAMINED: IMPLICATIONS FOR UPPER JAW HOMOLOGIES IN ACIPENSERIFORM FISHES — https://doi.org/10.7302/28802</w:t>
      </w:r>
    </w:p>
    <w:p>
      <w:pPr/>
      <w:r>
        <w:rPr>
          <w:b/>
        </w:rPr>
        <w:t>Later source:</w:t>
      </w:r>
      <w:r>
        <w:t xml:space="preserve"> Tourism Dynamics at Meenakshi Amman Temple: Examining Implications for Micro-Enterprise Economic Performance — https://doi.org/10.34293/management.v13is1-i2-feb.10387</w:t>
      </w:r>
    </w:p>
    <w:p>
      <w:pPr>
        <w:pStyle w:val="SourceNote"/>
      </w:pPr>
      <w:r>
        <w:rPr>
          <w:b/>
        </w:rPr>
        <w:t>Review status:</w:t>
      </w:r>
      <w:r>
        <w:t xml:space="preserve"> unchecked — possible relationship only</w:t>
      </w:r>
    </w:p>
    <w:p>
      <w:pPr>
        <w:pStyle w:val="Heading2"/>
      </w:pPr>
      <w:r>
        <w:t>118. Claim + two later sources: Testing Scenarios to Achieve Workplace Sustainability Goals Using Backcasting and Agent-Based Modeling</w:t>
      </w:r>
    </w:p>
    <w:p>
      <w:pPr>
        <w:pStyle w:val="SourceNote"/>
      </w:pPr>
      <w:r>
        <w:rPr>
          <w:b/>
        </w:rPr>
        <w:t>Group ID:</w:t>
      </w:r>
      <w:r>
        <w:t xml:space="preserve"> group-5fc63cadd80622b63d25</w:t>
      </w:r>
    </w:p>
    <w:p>
      <w:pPr>
        <w:pStyle w:val="SourceNote"/>
      </w:pPr>
      <w:r>
        <w:rPr>
          <w:b/>
        </w:rPr>
        <w:t>Original source:</w:t>
      </w:r>
      <w:r>
        <w:t xml:space="preserve"> https://doi.org/10.1177/0013916516673869</w:t>
      </w:r>
    </w:p>
    <w:p>
      <w:pPr/>
      <w:r>
        <w:rPr>
          <w:b/>
        </w:rPr>
        <w:t>Original future claim:</w:t>
      </w:r>
      <w:r>
        <w:t xml:space="preserve"> Future scenarios were developed using a participatory backcasting scenario development methodology, and policy tracks were derived.</w:t>
      </w:r>
    </w:p>
    <w:p>
      <w:pPr/>
      <w:r>
        <w:rPr>
          <w:b/>
        </w:rPr>
        <w:t>Later source:</w:t>
      </w:r>
      <w:r>
        <w:t xml:space="preserve"> Backcasting Future Human Autonomy and Ethics Protection in Smart Health Environments: A Case Study — https://doi.org/10.1109/ethics65148.2025.11098357</w:t>
      </w:r>
    </w:p>
    <w:p>
      <w:pPr/>
      <w:r>
        <w:rPr>
          <w:b/>
        </w:rPr>
        <w:t>Later source:</w:t>
      </w:r>
      <w:r>
        <w:t xml:space="preserve"> Exploring Backcasting as a Tool to Co-create a Vision for a Circular Economy: A Case Study of the Polyurethane Foam Industry — https://doi.org/10.55845/uzxq5070</w:t>
      </w:r>
    </w:p>
    <w:p>
      <w:pPr>
        <w:pStyle w:val="SourceNote"/>
      </w:pPr>
      <w:r>
        <w:rPr>
          <w:b/>
        </w:rPr>
        <w:t>Review status:</w:t>
      </w:r>
      <w:r>
        <w:t xml:space="preserve"> unchecked — possible relationship only</w:t>
      </w:r>
    </w:p>
    <w:p>
      <w:pPr>
        <w:pStyle w:val="Heading2"/>
      </w:pPr>
      <w:r>
        <w:t>119. Claim + two later sources: Changing knowledge, changing technology: implications for teacher education futures</w:t>
      </w:r>
    </w:p>
    <w:p>
      <w:pPr>
        <w:pStyle w:val="SourceNote"/>
      </w:pPr>
      <w:r>
        <w:rPr>
          <w:b/>
        </w:rPr>
        <w:t>Group ID:</w:t>
      </w:r>
      <w:r>
        <w:t xml:space="preserve"> group-67cb365fc9f3128c5fd5</w:t>
      </w:r>
    </w:p>
    <w:p>
      <w:pPr>
        <w:pStyle w:val="SourceNote"/>
      </w:pPr>
      <w:r>
        <w:rPr>
          <w:b/>
        </w:rPr>
        <w:t>Original source:</w:t>
      </w:r>
      <w:r>
        <w:t xml:space="preserve"> https://doi.org/10.1080/02607476.2015.1125432</w:t>
      </w:r>
    </w:p>
    <w:p>
      <w:pPr/>
      <w:r>
        <w:rPr>
          <w:b/>
        </w:rPr>
        <w:t>Original future claim:</w:t>
      </w:r>
      <w:r>
        <w:t xml:space="preserve"> Data from these interviews were analysed to stimulate the construction of four future teacher education scenarios.</w:t>
      </w:r>
    </w:p>
    <w:p>
      <w:pPr/>
      <w:r>
        <w:rPr>
          <w:b/>
        </w:rPr>
        <w:t>Later source:</w:t>
      </w:r>
      <w:r>
        <w:t xml:space="preserve"> Digital Story 2. Visual timeline creation as a reflexive practice - an experiential approach to designing interview guides and analysing multimedia data — https://doi.org/10.6084/m9.figshare.31353376</w:t>
      </w:r>
    </w:p>
    <w:p>
      <w:pPr/>
      <w:r>
        <w:rPr>
          <w:b/>
        </w:rPr>
        <w:t>Later source:</w:t>
      </w:r>
      <w:r>
        <w:t xml:space="preserve"> Towards a harmonised data framework for design for disassembly in construction — https://doi.org/10.5281/zenodo.22679835</w:t>
      </w:r>
    </w:p>
    <w:p>
      <w:pPr>
        <w:pStyle w:val="SourceNote"/>
      </w:pPr>
      <w:r>
        <w:rPr>
          <w:b/>
        </w:rPr>
        <w:t>Review status:</w:t>
      </w:r>
      <w:r>
        <w:t xml:space="preserve"> unchecked — possible relationship only</w:t>
      </w:r>
    </w:p>
    <w:p>
      <w:pPr>
        <w:pStyle w:val="Heading2"/>
      </w:pPr>
      <w:r>
        <w:t>120. Claim + two later sources: Technopolis, shared resources or controlled mobility? A net-based Delphi-study to explore visions of future urban daily mobility in Norway</w:t>
      </w:r>
    </w:p>
    <w:p>
      <w:pPr>
        <w:pStyle w:val="SourceNote"/>
      </w:pPr>
      <w:r>
        <w:rPr>
          <w:b/>
        </w:rPr>
        <w:t>Group ID:</w:t>
      </w:r>
      <w:r>
        <w:t xml:space="preserve"> group-330e7305fafc3834ab71</w:t>
      </w:r>
    </w:p>
    <w:p>
      <w:pPr>
        <w:pStyle w:val="SourceNote"/>
      </w:pPr>
      <w:r>
        <w:rPr>
          <w:b/>
        </w:rPr>
        <w:t>Original source:</w:t>
      </w:r>
      <w:r>
        <w:t xml:space="preserve"> https://doi.org/10.1007/s40309-015-0069-6</w:t>
      </w:r>
    </w:p>
    <w:p>
      <w:pPr/>
      <w:r>
        <w:rPr>
          <w:b/>
        </w:rPr>
        <w:t>Original future claim:</w:t>
      </w:r>
      <w:r>
        <w:t xml:space="preserve"> 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r>
        <w:rPr>
          <w:b/>
        </w:rPr>
        <w:t>Later source:</w:t>
      </w:r>
      <w:r>
        <w:t xml:space="preserve"> Exploring asylum patterns in Europe: a focus on Italy — https://doi.org/10.71014/sieds.v80i1.522</w:t>
      </w:r>
    </w:p>
    <w:p>
      <w:pPr/>
      <w:r>
        <w:rPr>
          <w:b/>
        </w:rPr>
        <w:t>Later source:</w:t>
      </w:r>
      <w:r>
        <w:t xml:space="preserve"> Principal Component Analysis of Economic Factors Affecting Food Consumption and Labor Market Performance in the European Union — https://doi.org/10.35219/eai15840409587</w:t>
      </w:r>
    </w:p>
    <w:p>
      <w:pPr>
        <w:pStyle w:val="SourceNote"/>
      </w:pPr>
      <w:r>
        <w:rPr>
          <w:b/>
        </w:rPr>
        <w:t>Review status:</w:t>
      </w:r>
      <w:r>
        <w:t xml:space="preserve"> unchecked — possible relationship only</w:t>
      </w:r>
    </w:p>
    <w:p>
      <w:pPr>
        <w:pStyle w:val="Heading2"/>
      </w:pPr>
      <w:r>
        <w:t>121. Claim + two later sources: Hydrogen in the Strategies of the European Union Member States</w:t>
      </w:r>
    </w:p>
    <w:p>
      <w:pPr>
        <w:pStyle w:val="SourceNote"/>
      </w:pPr>
      <w:r>
        <w:rPr>
          <w:b/>
        </w:rPr>
        <w:t>Group ID:</w:t>
      </w:r>
      <w:r>
        <w:t xml:space="preserve"> group-d20cd1f09ddfb6f14cac</w:t>
      </w:r>
    </w:p>
    <w:p>
      <w:pPr>
        <w:pStyle w:val="SourceNote"/>
      </w:pPr>
      <w:r>
        <w:rPr>
          <w:b/>
        </w:rPr>
        <w:t>Original source:</w:t>
      </w:r>
      <w:r>
        <w:t xml:space="preserve"> https://doi.org/10.24425/gsm.2021.138660</w:t>
      </w:r>
    </w:p>
    <w:p>
      <w:pPr/>
      <w:r>
        <w:rPr>
          <w:b/>
        </w:rPr>
        <w:t>Original future claim:</w:t>
      </w:r>
      <w:r>
        <w:t xml:space="preserve"> 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r>
        <w:rPr>
          <w:b/>
        </w:rPr>
        <w:t>Later source:</w:t>
      </w:r>
      <w:r>
        <w:t xml:space="preserve"> A critical analysis of national dementia plans: comparison of preventive strategies in five European countries. — https://doi.org/10.7416/ai.2025.2702</w:t>
      </w:r>
    </w:p>
    <w:p>
      <w:pPr/>
      <w:r>
        <w:rPr>
          <w:b/>
        </w:rPr>
        <w:t>Later source:</w:t>
      </w:r>
      <w:r>
        <w:t xml:space="preserve"> VAT IN POLAND AND SELECTED EUROPEAN UNION COUNTRIES — https://doi.org/10.29119/1641-3466.2025.220.10</w:t>
      </w:r>
    </w:p>
    <w:p>
      <w:pPr>
        <w:pStyle w:val="SourceNote"/>
      </w:pPr>
      <w:r>
        <w:rPr>
          <w:b/>
        </w:rPr>
        <w:t>Review status:</w:t>
      </w:r>
      <w:r>
        <w:t xml:space="preserve"> unchecked — possible relationship only</w:t>
      </w:r>
    </w:p>
    <w:p>
      <w:pPr>
        <w:pStyle w:val="Heading2"/>
      </w:pPr>
      <w:r>
        <w:t>122. Claim + two later sources: Demographic projections of future pharmaceutical consumption in the Netherlands</w:t>
      </w:r>
    </w:p>
    <w:p>
      <w:pPr>
        <w:pStyle w:val="SourceNote"/>
      </w:pPr>
      <w:r>
        <w:rPr>
          <w:b/>
        </w:rPr>
        <w:t>Group ID:</w:t>
      </w:r>
      <w:r>
        <w:t xml:space="preserve"> group-8aa6fdca7a1b10a3025e</w:t>
      </w:r>
    </w:p>
    <w:p>
      <w:pPr>
        <w:pStyle w:val="SourceNote"/>
      </w:pPr>
      <w:r>
        <w:rPr>
          <w:b/>
        </w:rPr>
        <w:t>Original source:</w:t>
      </w:r>
      <w:r>
        <w:t xml:space="preserve"> https://doi.org/10.2166/wst.2011.120</w:t>
      </w:r>
    </w:p>
    <w:p>
      <w:pPr/>
      <w:r>
        <w:rPr>
          <w:b/>
        </w:rPr>
        <w:t>Original future claim:</w:t>
      </w:r>
      <w:r>
        <w:t xml:space="preserve"> Over the next few decades, many Western European countries will undergo a large demographic transformation introduced by the retirement of the “baby boomers” and the possibility of striking increases in longevity.</w:t>
      </w:r>
    </w:p>
    <w:p>
      <w:pPr/>
      <w:r>
        <w:rPr>
          <w:b/>
        </w:rPr>
        <w:t>Later source:</w:t>
      </w:r>
      <w:r>
        <w:t xml:space="preserve"> Modelling Eurasian lynx populations in Western Europe: What prospects for the next 50 years? — https://doi.org/10.24072/pcjournal.543</w:t>
      </w:r>
    </w:p>
    <w:p>
      <w:pPr/>
      <w:r>
        <w:rPr>
          <w:b/>
        </w:rPr>
        <w:t>Later source:</w:t>
      </w:r>
      <w:r>
        <w:t xml:space="preserve"> The Struggle over Law in Europe — https://doi.org/10.4324/9781003302094</w:t>
      </w:r>
    </w:p>
    <w:p>
      <w:pPr>
        <w:pStyle w:val="SourceNote"/>
      </w:pPr>
      <w:r>
        <w:rPr>
          <w:b/>
        </w:rPr>
        <w:t>Review status:</w:t>
      </w:r>
      <w:r>
        <w:t xml:space="preserve"> unchecked — possible relationship only</w:t>
      </w:r>
    </w:p>
    <w:p>
      <w:pPr>
        <w:pStyle w:val="Heading2"/>
      </w:pPr>
      <w:r>
        <w:t>123. Claim + two later sources: Assessing the Future of Renewable Energy Consumption for United Kingdom, Turkey and Nigeria</w:t>
      </w:r>
    </w:p>
    <w:p>
      <w:pPr>
        <w:pStyle w:val="SourceNote"/>
      </w:pPr>
      <w:r>
        <w:rPr>
          <w:b/>
        </w:rPr>
        <w:t>Group ID:</w:t>
      </w:r>
      <w:r>
        <w:t xml:space="preserve"> group-272981572fed563e3933</w:t>
      </w:r>
    </w:p>
    <w:p>
      <w:pPr>
        <w:pStyle w:val="SourceNote"/>
      </w:pPr>
      <w:r>
        <w:rPr>
          <w:b/>
        </w:rPr>
        <w:t>Original source:</w:t>
      </w:r>
      <w:r>
        <w:t xml:space="preserve"> https://doi.org/10.17323/2500-2597.2018.4.62.77</w:t>
      </w:r>
    </w:p>
    <w:p>
      <w:pPr/>
      <w:r>
        <w:rPr>
          <w:b/>
        </w:rPr>
        <w:t>Original future claim:</w:t>
      </w:r>
      <w:r>
        <w:t xml:space="preserve"> 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r>
        <w:rPr>
          <w:b/>
        </w:rPr>
        <w:t>Later source:</w:t>
      </w:r>
      <w:r>
        <w:t xml:space="preserve"> Explainable AI-Based Clinical Decision Support System for Early Prediction of Pathological Findings in Forensic Practice — https://doi.org/10.48175/ijarsct-37846</w:t>
      </w:r>
    </w:p>
    <w:p>
      <w:pPr/>
      <w:r>
        <w:rPr>
          <w:b/>
        </w:rPr>
        <w:t>Later source:</w:t>
      </w:r>
      <w:r>
        <w:t xml:space="preserve"> Support Vector Machines in Stock Price Prediction — https://doi.org/10.1002/9781394311682.ch22</w:t>
      </w:r>
    </w:p>
    <w:p>
      <w:pPr>
        <w:pStyle w:val="SourceNote"/>
      </w:pPr>
      <w:r>
        <w:rPr>
          <w:b/>
        </w:rPr>
        <w:t>Review status:</w:t>
      </w:r>
      <w:r>
        <w:t xml:space="preserve"> unchecked — possible relationship only</w:t>
      </w:r>
    </w:p>
    <w:p>
      <w:pPr>
        <w:pStyle w:val="Heading2"/>
      </w:pPr>
      <w:r>
        <w:t>124. Claim + two later sources: Projections of Future Precipitation Extremes Over Europe: A Multimodel Assessment of Climate Simulations</w:t>
      </w:r>
    </w:p>
    <w:p>
      <w:pPr>
        <w:pStyle w:val="SourceNote"/>
      </w:pPr>
      <w:r>
        <w:rPr>
          <w:b/>
        </w:rPr>
        <w:t>Group ID:</w:t>
      </w:r>
      <w:r>
        <w:t xml:space="preserve"> group-f0e64c89c78b20dc2dee</w:t>
      </w:r>
    </w:p>
    <w:p>
      <w:pPr>
        <w:pStyle w:val="SourceNote"/>
      </w:pPr>
      <w:r>
        <w:rPr>
          <w:b/>
        </w:rPr>
        <w:t>Original source:</w:t>
      </w:r>
      <w:r>
        <w:t xml:space="preserve"> https://doi.org/10.1002/2017jd027176</w:t>
      </w:r>
    </w:p>
    <w:p>
      <w:pPr/>
      <w:r>
        <w:rPr>
          <w:b/>
        </w:rPr>
        <w:t>Original future claim:</w:t>
      </w:r>
      <w:r>
        <w:t xml:space="preserve">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r>
        <w:rPr>
          <w:b/>
        </w:rPr>
        <w:t>Later source:</w:t>
      </w:r>
      <w:r>
        <w:t xml:space="preserve"> Persisting Modulation of Interdecadal Pacific Oscillation on Near‐Future Winter Precipitation Projections in Northern Europe — https://doi.org/10.1029/2025gl119484</w:t>
      </w:r>
    </w:p>
    <w:p>
      <w:pPr/>
      <w:r>
        <w:rPr>
          <w:b/>
        </w:rPr>
        <w:t>Later source:</w:t>
      </w:r>
      <w:r>
        <w:t xml:space="preserve"> European summer precipitation — https://doi.org/10.5194/acp-26-2041-2026</w:t>
      </w:r>
    </w:p>
    <w:p>
      <w:pPr>
        <w:pStyle w:val="SourceNote"/>
      </w:pPr>
      <w:r>
        <w:rPr>
          <w:b/>
        </w:rPr>
        <w:t>Review status:</w:t>
      </w:r>
      <w:r>
        <w:t xml:space="preserve"> unchecked — possible relationship only</w:t>
      </w:r>
    </w:p>
    <w:p>
      <w:pPr>
        <w:pStyle w:val="Heading2"/>
      </w:pPr>
      <w:r>
        <w:t>125. Claim + two later sources: A strategic energy technology policy towards 2050: no-regret strategies for European technology push</w:t>
      </w:r>
    </w:p>
    <w:p>
      <w:pPr>
        <w:pStyle w:val="SourceNote"/>
      </w:pPr>
      <w:r>
        <w:rPr>
          <w:b/>
        </w:rPr>
        <w:t>Group ID:</w:t>
      </w:r>
      <w:r>
        <w:t xml:space="preserve"> group-d35de62f3a2f239c0680</w:t>
      </w:r>
    </w:p>
    <w:p>
      <w:pPr>
        <w:pStyle w:val="SourceNote"/>
      </w:pPr>
      <w:r>
        <w:rPr>
          <w:b/>
        </w:rPr>
        <w:t>Original source:</w:t>
      </w:r>
      <w:r>
        <w:t xml:space="preserve"> https://doi.org/10.1504/ijetp.2013.058143</w:t>
      </w:r>
    </w:p>
    <w:p>
      <w:pPr/>
      <w:r>
        <w:rPr>
          <w:b/>
        </w:rPr>
        <w:t>Original future claim:</w:t>
      </w:r>
      <w:r>
        <w:t xml:space="preserve"> 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r>
        <w:rPr>
          <w:b/>
        </w:rPr>
        <w:t>Later source:</w:t>
      </w:r>
      <w:r>
        <w:t xml:space="preserve"> Renewable energy transition in Europe in the context of renewable energy transition processes in the world. A review — https://doi.org/10.1016/j.heliyon.2024.e40997</w:t>
      </w:r>
    </w:p>
    <w:p>
      <w:pPr/>
      <w:r>
        <w:rPr>
          <w:b/>
        </w:rPr>
        <w:t>Later source:</w:t>
      </w:r>
      <w:r>
        <w:t xml:space="preserve"> Power-to-hydrogen and hydrogen-to-X energy systems for the industry of the future in Europe — https://doi.org/10.1016/j.ijhydene.2023.01.194</w:t>
      </w:r>
    </w:p>
    <w:p>
      <w:pPr>
        <w:pStyle w:val="SourceNote"/>
      </w:pPr>
      <w:r>
        <w:rPr>
          <w:b/>
        </w:rPr>
        <w:t>Review status:</w:t>
      </w:r>
      <w:r>
        <w:t xml:space="preserve"> unchecked — possible relationship only</w:t>
      </w:r>
    </w:p>
    <w:p>
      <w:pPr>
        <w:pStyle w:val="Heading2"/>
      </w:pPr>
      <w:r>
        <w:t>126. Claim + two later sources: A Technological Scenario for a Healthier, More Equitable and Sustainable Europe in 2040: Citizen Perceptions and Policy Implications</w:t>
      </w:r>
    </w:p>
    <w:p>
      <w:pPr>
        <w:pStyle w:val="SourceNote"/>
      </w:pPr>
      <w:r>
        <w:rPr>
          <w:b/>
        </w:rPr>
        <w:t>Group ID:</w:t>
      </w:r>
      <w:r>
        <w:t xml:space="preserve"> group-1de6efdd43377bea50cc</w:t>
      </w:r>
    </w:p>
    <w:p>
      <w:pPr>
        <w:pStyle w:val="SourceNote"/>
      </w:pPr>
      <w:r>
        <w:rPr>
          <w:b/>
        </w:rPr>
        <w:t>Original source:</w:t>
      </w:r>
      <w:r>
        <w:t xml:space="preserve"> https://doi.org/10.3390/ijerph17010231</w:t>
      </w:r>
    </w:p>
    <w:p>
      <w:pPr/>
      <w:r>
        <w:rPr>
          <w:b/>
        </w:rPr>
        <w:t>Original future claim:</w:t>
      </w:r>
      <w:r>
        <w:t xml:space="preserve"> 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r>
        <w:rPr>
          <w:b/>
        </w:rPr>
        <w:t>Later source:</w:t>
      </w:r>
      <w:r>
        <w:t xml:space="preserve"> The communication of science within the framework of European Union-funded research projects: Exploring practitioners’ experiences and perceptions — https://doi.org/10.1177/09636625261433895</w:t>
      </w:r>
    </w:p>
    <w:p>
      <w:pPr/>
      <w:r>
        <w:rPr>
          <w:b/>
        </w:rPr>
        <w:t>Later source:</w:t>
      </w:r>
      <w:r>
        <w:t xml:space="preserve"> STRATEGIC AIMS OF UNIVERSITY-BASED MANAGERIAL EDUCATION IN EUROPEAN AND ASIAN COUNTRIES — https://doi.org/10.52058/3041-1572-2026-3(23)-909-923</w:t>
      </w:r>
    </w:p>
    <w:p>
      <w:pPr>
        <w:pStyle w:val="SourceNote"/>
      </w:pPr>
      <w:r>
        <w:rPr>
          <w:b/>
        </w:rPr>
        <w:t>Review status:</w:t>
      </w:r>
      <w:r>
        <w:t xml:space="preserve"> unchecked — possible relationship only</w:t>
      </w:r>
    </w:p>
    <w:p>
      <w:pPr>
        <w:pStyle w:val="Heading2"/>
      </w:pPr>
      <w:r>
        <w:t>127. Claim + two later sources: Current and Future Issues in BPM Research: A European Perspective from the ERCIS Meeting 2010</w:t>
      </w:r>
    </w:p>
    <w:p>
      <w:pPr>
        <w:pStyle w:val="SourceNote"/>
      </w:pPr>
      <w:r>
        <w:rPr>
          <w:b/>
        </w:rPr>
        <w:t>Group ID:</w:t>
      </w:r>
      <w:r>
        <w:t xml:space="preserve"> group-177c804d87606c585b96</w:t>
      </w:r>
    </w:p>
    <w:p>
      <w:pPr>
        <w:pStyle w:val="SourceNote"/>
      </w:pPr>
      <w:r>
        <w:rPr>
          <w:b/>
        </w:rPr>
        <w:t>Original source:</w:t>
      </w:r>
      <w:r>
        <w:t xml:space="preserve"> https://doi.org/10.17705/1cais.02825</w:t>
      </w:r>
    </w:p>
    <w:p>
      <w:pPr/>
      <w:r>
        <w:rPr>
          <w:b/>
        </w:rPr>
        <w:t>Original future claim:</w:t>
      </w:r>
      <w:r>
        <w:t xml:space="preserve"> 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r>
        <w:rPr>
          <w:b/>
        </w:rPr>
        <w:t>Later source:</w:t>
      </w:r>
      <w:r>
        <w:t xml:space="preserve"> Digital integration for sustainable competitiveness: the role of BPM, process mining and ERP in accounting automation — https://doi.org/10.52326/csd2025.38</w:t>
      </w:r>
    </w:p>
    <w:p>
      <w:pPr/>
      <w:r>
        <w:rPr>
          <w:b/>
        </w:rPr>
        <w:t>Later source:</w:t>
      </w:r>
      <w:r>
        <w:t xml:space="preserve"> AI implementation and organizational ambidexterity in the context of BPM: Polish service sector experience — https://doi.org/10.33119/jmfs.2024.52.4</w:t>
      </w:r>
    </w:p>
    <w:p>
      <w:pPr>
        <w:pStyle w:val="SourceNote"/>
      </w:pPr>
      <w:r>
        <w:rPr>
          <w:b/>
        </w:rPr>
        <w:t>Review status:</w:t>
      </w:r>
      <w:r>
        <w:t xml:space="preserve"> unchecked — possible relationship only</w:t>
      </w:r>
    </w:p>
    <w:p>
      <w:pPr>
        <w:pStyle w:val="Heading2"/>
      </w:pPr>
      <w:r>
        <w:t>128. Claim + two later sources: Comparison of Water Flows in Four European Lagoon Catchments under a Set of Future Climate Scenarios</w:t>
      </w:r>
    </w:p>
    <w:p>
      <w:pPr>
        <w:pStyle w:val="SourceNote"/>
      </w:pPr>
      <w:r>
        <w:rPr>
          <w:b/>
        </w:rPr>
        <w:t>Group ID:</w:t>
      </w:r>
      <w:r>
        <w:t xml:space="preserve"> group-8c87bd467498b3a2bb28</w:t>
      </w:r>
    </w:p>
    <w:p>
      <w:pPr>
        <w:pStyle w:val="SourceNote"/>
      </w:pPr>
      <w:r>
        <w:rPr>
          <w:b/>
        </w:rPr>
        <w:t>Original source:</w:t>
      </w:r>
      <w:r>
        <w:t xml:space="preserve"> https://doi.org/10.3390/w7020716</w:t>
      </w:r>
    </w:p>
    <w:p>
      <w:pPr/>
      <w:r>
        <w:rPr>
          <w:b/>
        </w:rPr>
        <w:t>Original future claim:</w:t>
      </w:r>
      <w:r>
        <w:t xml:space="preserve"> 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r>
        <w:rPr>
          <w:b/>
        </w:rPr>
        <w:t>Later source:</w:t>
      </w:r>
      <w:r>
        <w:t xml:space="preserve"> Energy storage and climate impacts on the future renewable European energy system — https://openalex.org/W4412222428</w:t>
      </w:r>
    </w:p>
    <w:p>
      <w:pPr/>
      <w:r>
        <w:rPr>
          <w:b/>
        </w:rPr>
        <w:t>Later source:</w:t>
      </w:r>
      <w:r>
        <w:t xml:space="preserve"> The impact of extensive agricultural water drainage on the hydrology of the Kleine Nete watershed, Belgium — https://doi.org/10.1016/j.scitotenv.2023.163903</w:t>
      </w:r>
    </w:p>
    <w:p>
      <w:pPr>
        <w:pStyle w:val="SourceNote"/>
      </w:pPr>
      <w:r>
        <w:rPr>
          <w:b/>
        </w:rPr>
        <w:t>Review status:</w:t>
      </w:r>
      <w:r>
        <w:t xml:space="preserve"> unchecked — possible relationship only</w:t>
      </w:r>
    </w:p>
    <w:p>
      <w:pPr>
        <w:pStyle w:val="Heading2"/>
      </w:pPr>
      <w:r>
        <w:t>129. Claim + two later sources: The European pulp and paper industry in transition to a bio-economy: A Delphi study</w:t>
      </w:r>
    </w:p>
    <w:p>
      <w:pPr>
        <w:pStyle w:val="SourceNote"/>
      </w:pPr>
      <w:r>
        <w:rPr>
          <w:b/>
        </w:rPr>
        <w:t>Group ID:</w:t>
      </w:r>
      <w:r>
        <w:t xml:space="preserve"> group-0084f7ae81d85e8f8e14</w:t>
      </w:r>
    </w:p>
    <w:p>
      <w:pPr>
        <w:pStyle w:val="SourceNote"/>
      </w:pPr>
      <w:r>
        <w:rPr>
          <w:b/>
        </w:rPr>
        <w:t>Original source:</w:t>
      </w:r>
      <w:r>
        <w:t xml:space="preserve"> https://doi.org/10.1016/j.futures.2017.02.002</w:t>
      </w:r>
    </w:p>
    <w:p>
      <w:pPr/>
      <w:r>
        <w:rPr>
          <w:b/>
        </w:rPr>
        <w:t>Original future claim:</w:t>
      </w:r>
      <w:r>
        <w:t xml:space="preserve"> 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r>
        <w:rPr>
          <w:b/>
        </w:rPr>
        <w:t>Later source:</w:t>
      </w:r>
      <w:r>
        <w:t xml:space="preserve"> Game Changers: National Referendums and the Politicization of Europe — https://doi.org/10.17645/pag.9261</w:t>
      </w:r>
    </w:p>
    <w:p>
      <w:pPr/>
      <w:r>
        <w:rPr>
          <w:b/>
        </w:rPr>
        <w:t>Later source:</w:t>
      </w:r>
      <w:r>
        <w:t xml:space="preserve"> Arming Europe — https://doi.org/10.33540/2454</w:t>
      </w:r>
    </w:p>
    <w:p>
      <w:pPr>
        <w:pStyle w:val="SourceNote"/>
      </w:pPr>
      <w:r>
        <w:rPr>
          <w:b/>
        </w:rPr>
        <w:t>Review status:</w:t>
      </w:r>
      <w:r>
        <w:t xml:space="preserve"> unchecked — possible relationship only</w:t>
      </w:r>
    </w:p>
    <w:p>
      <w:pPr>
        <w:pStyle w:val="Heading2"/>
      </w:pPr>
      <w:r>
        <w:t>130. Claim + two later sources: Technology roadmapping in security and defence foresight</w:t>
      </w:r>
    </w:p>
    <w:p>
      <w:pPr>
        <w:pStyle w:val="SourceNote"/>
      </w:pPr>
      <w:r>
        <w:rPr>
          <w:b/>
        </w:rPr>
        <w:t>Group ID:</w:t>
      </w:r>
      <w:r>
        <w:t xml:space="preserve"> group-26ee09409d9176f80c38</w:t>
      </w:r>
    </w:p>
    <w:p>
      <w:pPr>
        <w:pStyle w:val="SourceNote"/>
      </w:pPr>
      <w:r>
        <w:rPr>
          <w:b/>
        </w:rPr>
        <w:t>Original source:</w:t>
      </w:r>
      <w:r>
        <w:t xml:space="preserve"> https://doi.org/10.1108/fs-12-2017-0074</w:t>
      </w:r>
    </w:p>
    <w:p>
      <w:pPr/>
      <w:r>
        <w:rPr>
          <w:b/>
        </w:rPr>
        <w:t>Original future claim:</w:t>
      </w:r>
      <w:r>
        <w:t xml:space="preserve"> 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r>
        <w:rPr>
          <w:b/>
        </w:rPr>
        <w:t>Later source:</w:t>
      </w:r>
      <w:r>
        <w:t xml:space="preserve"> Methodology of architectural brand integration in public space design — https://doi.org/10.30857/2617-0272.2026.3.3</w:t>
      </w:r>
    </w:p>
    <w:p>
      <w:pPr/>
      <w:r>
        <w:rPr>
          <w:b/>
        </w:rPr>
        <w:t>Later source:</w:t>
      </w:r>
      <w:r>
        <w:t xml:space="preserve"> Research Design, Philosophy, and Quantitative Approaches in Scientific Research Methodology — https://doi.org/10.36347/sjet.2025.v13i02.004</w:t>
      </w:r>
    </w:p>
    <w:p>
      <w:pPr>
        <w:pStyle w:val="SourceNote"/>
      </w:pPr>
      <w:r>
        <w:rPr>
          <w:b/>
        </w:rPr>
        <w:t>Review status:</w:t>
      </w:r>
      <w:r>
        <w:t xml:space="preserve"> unchecked — possible relationship only</w:t>
      </w:r>
    </w:p>
    <w:p>
      <w:pPr>
        <w:pStyle w:val="Heading2"/>
      </w:pPr>
      <w:r>
        <w:t>131. Claim + two later sources: Projecting Drivers of Human Vulnerability under the Shared Socioeconomic Pathways</w:t>
      </w:r>
    </w:p>
    <w:p>
      <w:pPr>
        <w:pStyle w:val="SourceNote"/>
      </w:pPr>
      <w:r>
        <w:rPr>
          <w:b/>
        </w:rPr>
        <w:t>Group ID:</w:t>
      </w:r>
      <w:r>
        <w:t xml:space="preserve"> group-4da1140879d7ffdb03e4</w:t>
      </w:r>
    </w:p>
    <w:p>
      <w:pPr>
        <w:pStyle w:val="SourceNote"/>
      </w:pPr>
      <w:r>
        <w:rPr>
          <w:b/>
        </w:rPr>
        <w:t>Original source:</w:t>
      </w:r>
      <w:r>
        <w:t xml:space="preserve"> https://doi.org/10.3390/ijerph15030554</w:t>
      </w:r>
    </w:p>
    <w:p>
      <w:pPr/>
      <w:r>
        <w:rPr>
          <w:b/>
        </w:rPr>
        <w:t>Original future claim:</w:t>
      </w:r>
      <w:r>
        <w:t xml:space="preserve"> 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r>
        <w:rPr>
          <w:b/>
        </w:rPr>
        <w:t>Later source:</w:t>
      </w:r>
      <w:r>
        <w:t xml:space="preserve"> A new scenario architecture to capture granularity of governance within and across Shared Socioeconomic Pathways — https://doi.org/10.1016/j.landusepol.2026.107926</w:t>
      </w:r>
    </w:p>
    <w:p>
      <w:pPr/>
      <w:r>
        <w:rPr>
          <w:b/>
        </w:rPr>
        <w:t>Later source:</w:t>
      </w:r>
      <w:r>
        <w:t xml:space="preserve"> Community Scenarios beyond the Shared Socioeconomic Pathways: The Scenario Evolution Process — https://doi.org/10.5194/egusphere-egu26-13481</w:t>
      </w:r>
    </w:p>
    <w:p>
      <w:pPr>
        <w:pStyle w:val="SourceNote"/>
      </w:pPr>
      <w:r>
        <w:rPr>
          <w:b/>
        </w:rPr>
        <w:t>Review status:</w:t>
      </w:r>
      <w:r>
        <w:t xml:space="preserve"> unchecked — possible relationship only</w:t>
      </w:r>
    </w:p>
    <w:p>
      <w:pPr>
        <w:pStyle w:val="Heading2"/>
      </w:pPr>
      <w:r>
        <w:t>132. Claim + two later sources: Modelling Soil Organic Carbon Changes Under Different Maize Cropping Scenarios for Cellulosic Ethanol in Europe</w:t>
      </w:r>
    </w:p>
    <w:p>
      <w:pPr>
        <w:pStyle w:val="SourceNote"/>
      </w:pPr>
      <w:r>
        <w:rPr>
          <w:b/>
        </w:rPr>
        <w:t>Group ID:</w:t>
      </w:r>
      <w:r>
        <w:t xml:space="preserve"> group-0e4a2559f0a7f1c17c57</w:t>
      </w:r>
    </w:p>
    <w:p>
      <w:pPr>
        <w:pStyle w:val="SourceNote"/>
      </w:pPr>
      <w:r>
        <w:rPr>
          <w:b/>
        </w:rPr>
        <w:t>Original source:</w:t>
      </w:r>
      <w:r>
        <w:t xml:space="preserve"> https://doi.org/10.1007/s12155-014-9529-2</w:t>
      </w:r>
    </w:p>
    <w:p>
      <w:pPr/>
      <w:r>
        <w:rPr>
          <w:b/>
        </w:rPr>
        <w:t>Original future claim:</w:t>
      </w:r>
      <w:r>
        <w:t xml:space="preserve"> 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r>
        <w:rPr>
          <w:b/>
        </w:rPr>
        <w:t>Later source:</w:t>
      </w:r>
      <w:r>
        <w:t xml:space="preserve"> Opportunity cost estimates for spatial conservation prioritisation across terrestrial Europe — https://doi.org/10.1038/s41597-025-05837-5</w:t>
      </w:r>
    </w:p>
    <w:p>
      <w:pPr/>
      <w:r>
        <w:rPr>
          <w:b/>
        </w:rPr>
        <w:t>Later source:</w:t>
      </w:r>
      <w:r>
        <w:t xml:space="preserve"> A Global Overview of Aquaculture Food Production with a Focus on the Activity’s Development in Transitional Systems—The Case Study of a South European Country (Portugal) — https://doi.org/10.3390/jmse10030417</w:t>
      </w:r>
    </w:p>
    <w:p>
      <w:pPr>
        <w:pStyle w:val="SourceNote"/>
      </w:pPr>
      <w:r>
        <w:rPr>
          <w:b/>
        </w:rPr>
        <w:t>Review status:</w:t>
      </w:r>
      <w:r>
        <w:t xml:space="preserve"> unchecked — possible relationship only</w:t>
      </w:r>
    </w:p>
    <w:p>
      <w:pPr>
        <w:pStyle w:val="Heading2"/>
      </w:pPr>
      <w:r>
        <w:t>133. Claim + two later sources: PROGNOSTIC MODEL OF THE UKRAINE SYSTEM OF GENERAL SECONDARY EDUCATION DEVELOPMENT: FORECASTING SCENARIOS OF THE DEVELOPMENT</w:t>
      </w:r>
    </w:p>
    <w:p>
      <w:pPr>
        <w:pStyle w:val="SourceNote"/>
      </w:pPr>
      <w:r>
        <w:rPr>
          <w:b/>
        </w:rPr>
        <w:t>Group ID:</w:t>
      </w:r>
      <w:r>
        <w:t xml:space="preserve"> group-32257c3def53a39b9fd2</w:t>
      </w:r>
    </w:p>
    <w:p>
      <w:pPr>
        <w:pStyle w:val="SourceNote"/>
      </w:pPr>
      <w:r>
        <w:rPr>
          <w:b/>
        </w:rPr>
        <w:t>Original source:</w:t>
      </w:r>
      <w:r>
        <w:t xml:space="preserve"> https://doi.org/10.32405/2411-1317-2018-4-45-53</w:t>
      </w:r>
    </w:p>
    <w:p>
      <w:pPr/>
      <w:r>
        <w:rPr>
          <w:b/>
        </w:rPr>
        <w:t>Original future claim:</w:t>
      </w:r>
      <w:r>
        <w:t xml:space="preserve"> 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r>
        <w:rPr>
          <w:b/>
        </w:rPr>
        <w:t>Later source:</w:t>
      </w:r>
      <w:r>
        <w:t xml:space="preserve"> Comment on the Previously Published Article “Rare Masqueraders of Pure Neuritic Leprosy: A Report of Four Cases” — https://doi.org/10.4103/idoj.idoj_534_25</w:t>
      </w:r>
    </w:p>
    <w:p>
      <w:pPr/>
      <w:r>
        <w:rPr>
          <w:b/>
        </w:rPr>
        <w:t>Later source:</w:t>
      </w:r>
      <w:r>
        <w:t xml:space="preserve"> Précis to Revisionism in Four Views on Free Will, 2e — https://doi.org/10.1007/s11406-026-01043-8</w:t>
      </w:r>
    </w:p>
    <w:p>
      <w:pPr>
        <w:pStyle w:val="SourceNote"/>
      </w:pPr>
      <w:r>
        <w:rPr>
          <w:b/>
        </w:rPr>
        <w:t>Review status:</w:t>
      </w:r>
      <w:r>
        <w:t xml:space="preserve"> unchecked — possible relationship only</w:t>
      </w:r>
    </w:p>
    <w:p>
      <w:pPr>
        <w:pStyle w:val="Heading2"/>
      </w:pPr>
      <w:r>
        <w:t>134. Claim + two later sources: Using urban foresight techniques in city visioning: Lessons from the Reading 2050 vision</w:t>
      </w:r>
    </w:p>
    <w:p>
      <w:pPr>
        <w:pStyle w:val="SourceNote"/>
      </w:pPr>
      <w:r>
        <w:rPr>
          <w:b/>
        </w:rPr>
        <w:t>Group ID:</w:t>
      </w:r>
      <w:r>
        <w:t xml:space="preserve"> group-33f9b1f7a55ac3493257</w:t>
      </w:r>
    </w:p>
    <w:p>
      <w:pPr>
        <w:pStyle w:val="SourceNote"/>
      </w:pPr>
      <w:r>
        <w:rPr>
          <w:b/>
        </w:rPr>
        <w:t>Original source:</w:t>
      </w:r>
      <w:r>
        <w:t xml:space="preserve"> https://doi.org/10.1177/0269094218800677</w:t>
      </w:r>
    </w:p>
    <w:p>
      <w:pPr/>
      <w:r>
        <w:rPr>
          <w:b/>
        </w:rPr>
        <w:t>Original future claim:</w:t>
      </w:r>
      <w:r>
        <w:t xml:space="preserve"> 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r>
        <w:rPr>
          <w:b/>
        </w:rPr>
        <w:t>Later source:</w:t>
      </w:r>
      <w:r>
        <w:t xml:space="preserve"> Urban historical analysis of the emergence and development of Bishkek — https://doi.org/10.63621/as./1.2025.22</w:t>
      </w:r>
    </w:p>
    <w:p>
      <w:pPr/>
      <w:r>
        <w:rPr>
          <w:b/>
        </w:rPr>
        <w:t>Later source:</w:t>
      </w:r>
      <w:r>
        <w:t xml:space="preserve"> Exploring the emergence of innovation districts as volumetric urban projects in Taipei City — https://doi.org/10.1080/12265934.2026.2637658</w:t>
      </w:r>
    </w:p>
    <w:p>
      <w:pPr>
        <w:pStyle w:val="SourceNote"/>
      </w:pPr>
      <w:r>
        <w:rPr>
          <w:b/>
        </w:rPr>
        <w:t>Review status:</w:t>
      </w:r>
      <w:r>
        <w:t xml:space="preserve"> unchecked — possible relationship only</w:t>
      </w:r>
    </w:p>
    <w:p>
      <w:pPr>
        <w:pStyle w:val="Heading2"/>
      </w:pPr>
      <w:r>
        <w:t>135. Claim + two later sources: Climate change signal of future climate projections for Aachen, Germany, in terms of temperature and precipitation</w:t>
      </w:r>
    </w:p>
    <w:p>
      <w:pPr>
        <w:pStyle w:val="SourceNote"/>
      </w:pPr>
      <w:r>
        <w:rPr>
          <w:b/>
        </w:rPr>
        <w:t>Group ID:</w:t>
      </w:r>
      <w:r>
        <w:t xml:space="preserve"> group-5b94158a4b120b280928</w:t>
      </w:r>
    </w:p>
    <w:p>
      <w:pPr>
        <w:pStyle w:val="SourceNote"/>
      </w:pPr>
      <w:r>
        <w:rPr>
          <w:b/>
        </w:rPr>
        <w:t>Original source:</w:t>
      </w:r>
      <w:r>
        <w:t xml:space="preserve"> https://doi.org/10.1127/0941-2948/2014/0549</w:t>
      </w:r>
    </w:p>
    <w:p>
      <w:pPr/>
      <w:r>
        <w:rPr>
          <w:b/>
        </w:rPr>
        <w:t>Original future claim:</w:t>
      </w:r>
      <w:r>
        <w:t xml:space="preserve"> 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r>
        <w:rPr>
          <w:b/>
        </w:rPr>
        <w:t>Later source:</w:t>
      </w:r>
      <w:r>
        <w:t xml:space="preserve"> The PROMES Regional Climate Model: Three Decades of Development and Contributions to Regional Climate Ensemble Research — https://doi.org/10.3390/geosciences16100423</w:t>
      </w:r>
    </w:p>
    <w:p>
      <w:pPr/>
      <w:r>
        <w:rPr>
          <w:b/>
        </w:rPr>
        <w:t>Later source:</w:t>
      </w:r>
      <w:r>
        <w:t xml:space="preserve"> New gridded large multi-model ensembles of empirical-statistical downscaling results — https://doi.org/10.5194/ems2026-443</w:t>
      </w:r>
    </w:p>
    <w:p>
      <w:pPr>
        <w:pStyle w:val="SourceNote"/>
      </w:pPr>
      <w:r>
        <w:rPr>
          <w:b/>
        </w:rPr>
        <w:t>Review status:</w:t>
      </w:r>
      <w:r>
        <w:t xml:space="preserve"> unchecked — possible relationship only</w:t>
      </w:r>
    </w:p>
    <w:p>
      <w:pPr>
        <w:pStyle w:val="Heading2"/>
      </w:pPr>
      <w:r>
        <w:t>136. Claim + two later sources: Environmental Implications of Dynamic Policies on Food Consumption and Waste Handling in the European Union</w:t>
      </w:r>
    </w:p>
    <w:p>
      <w:pPr>
        <w:pStyle w:val="SourceNote"/>
      </w:pPr>
      <w:r>
        <w:rPr>
          <w:b/>
        </w:rPr>
        <w:t>Group ID:</w:t>
      </w:r>
      <w:r>
        <w:t xml:space="preserve"> group-7b88666c3927293b2975</w:t>
      </w:r>
    </w:p>
    <w:p>
      <w:pPr>
        <w:pStyle w:val="SourceNote"/>
      </w:pPr>
      <w:r>
        <w:rPr>
          <w:b/>
        </w:rPr>
        <w:t>Original source:</w:t>
      </w:r>
      <w:r>
        <w:t xml:space="preserve"> https://doi.org/10.3390/su8030282</w:t>
      </w:r>
    </w:p>
    <w:p>
      <w:pPr/>
      <w:r>
        <w:rPr>
          <w:b/>
        </w:rPr>
        <w:t>Original future claim:</w:t>
      </w:r>
      <w:r>
        <w:t xml:space="preserve"> The implications are reviewed using a number of scenarios for the years 2030 and 2050 assuming policy instruments are fully effective.</w:t>
      </w:r>
    </w:p>
    <w:p>
      <w:pPr/>
      <w:r>
        <w:rPr>
          <w:b/>
        </w:rPr>
        <w:t>Later source:</w:t>
      </w:r>
      <w:r>
        <w:t xml:space="preserve"> Double materiality and the shift from non-financial to European sustainability reporting: review, outlook and implications — https://doi.org/10.1108/jaar-04-2021-0114</w:t>
      </w:r>
    </w:p>
    <w:p>
      <w:pPr/>
      <w:r>
        <w:rPr>
          <w:b/>
        </w:rPr>
        <w:t>Later source:</w:t>
      </w:r>
      <w:r>
        <w:t xml:space="preserve"> Review: Beef-eating quality: a European journey — https://doi.org/10.1017/s1751731118001672</w:t>
      </w:r>
    </w:p>
    <w:p>
      <w:pPr>
        <w:pStyle w:val="SourceNote"/>
      </w:pPr>
      <w:r>
        <w:rPr>
          <w:b/>
        </w:rPr>
        <w:t>Review status:</w:t>
      </w:r>
      <w:r>
        <w:t xml:space="preserve"> unchecked — possible relationship only</w:t>
      </w:r>
    </w:p>
    <w:p>
      <w:pPr>
        <w:pStyle w:val="Heading2"/>
      </w:pPr>
      <w:r>
        <w:t>137. Claim + two later sources: The European Union as a long-term political actor: an overview</w:t>
      </w:r>
    </w:p>
    <w:p>
      <w:pPr>
        <w:pStyle w:val="SourceNote"/>
      </w:pPr>
      <w:r>
        <w:rPr>
          <w:b/>
        </w:rPr>
        <w:t>Group ID:</w:t>
      </w:r>
      <w:r>
        <w:t xml:space="preserve"> group-3924db5866ec454f3768</w:t>
      </w:r>
    </w:p>
    <w:p>
      <w:pPr>
        <w:pStyle w:val="SourceNote"/>
      </w:pPr>
      <w:r>
        <w:rPr>
          <w:b/>
        </w:rPr>
        <w:t>Original source:</w:t>
      </w:r>
      <w:r>
        <w:t xml:space="preserve"> https://doi.org/10.1080/2474736x.2022.2043725</w:t>
      </w:r>
    </w:p>
    <w:p>
      <w:pPr/>
      <w:r>
        <w:rPr>
          <w:b/>
        </w:rPr>
        <w:t>Original future claim:</w:t>
      </w:r>
      <w:r>
        <w:t xml:space="preserve"> We ask in which ways and to what extent is the Union able to employ long-term policy targets and considers the possible interests of future generations.</w:t>
      </w:r>
    </w:p>
    <w:p>
      <w:pPr/>
      <w:r>
        <w:rPr>
          <w:b/>
        </w:rPr>
        <w:t>Later source:</w:t>
      </w:r>
      <w:r>
        <w:t xml:space="preserve"> Democratic legitimacy and the European Citizens' Initiative: a recipe for disappointment and disaffection? — https://doi.org/10.82444/warw.33734965</w:t>
      </w:r>
    </w:p>
    <w:p>
      <w:pPr/>
      <w:r>
        <w:rPr>
          <w:b/>
        </w:rPr>
        <w:t>Later source:</w:t>
      </w:r>
      <w:r>
        <w:t xml:space="preserve"> The ‘European sovereignty’ narrative: More EU capacity, but less democracy? Citizens' perceptions in France and Belgium — https://doi.org/10.54195/plc.24877</w:t>
      </w:r>
    </w:p>
    <w:p>
      <w:pPr>
        <w:pStyle w:val="SourceNote"/>
      </w:pPr>
      <w:r>
        <w:rPr>
          <w:b/>
        </w:rPr>
        <w:t>Review status:</w:t>
      </w:r>
      <w:r>
        <w:t xml:space="preserve"> unchecked — possible relationship only</w:t>
      </w:r>
    </w:p>
    <w:p>
      <w:pPr>
        <w:pStyle w:val="Heading2"/>
      </w:pPr>
      <w:r>
        <w:t>138. Claim + two later sources: Scenarios of water resources development in Poland up to 2030</w:t>
      </w:r>
    </w:p>
    <w:p>
      <w:pPr>
        <w:pStyle w:val="SourceNote"/>
      </w:pPr>
      <w:r>
        <w:rPr>
          <w:b/>
        </w:rPr>
        <w:t>Group ID:</w:t>
      </w:r>
      <w:r>
        <w:t xml:space="preserve"> group-78a50c9557c2d483d261</w:t>
      </w:r>
    </w:p>
    <w:p>
      <w:pPr>
        <w:pStyle w:val="SourceNote"/>
      </w:pPr>
      <w:r>
        <w:rPr>
          <w:b/>
        </w:rPr>
        <w:t>Original source:</w:t>
      </w:r>
      <w:r>
        <w:t xml:space="preserve"> https://doi.org/10.1134/s0097807814060219</w:t>
      </w:r>
    </w:p>
    <w:p>
      <w:pPr/>
      <w:r>
        <w:rPr>
          <w:b/>
        </w:rPr>
        <w:t>Original future claim:</w:t>
      </w:r>
      <w:r>
        <w:t xml:space="preserve"> Sensitivity of the results of the applied techniques of development scenarios shows a need for further research.</w:t>
      </w:r>
    </w:p>
    <w:p>
      <w:pPr/>
      <w:r>
        <w:rPr>
          <w:b/>
        </w:rPr>
        <w:t>Later source:</w:t>
      </w:r>
      <w:r>
        <w:t xml:space="preserve"> Modern Stochastic Techniques for Multifaceted Sensitivity Analysis — https://doi.org/10.3390/engproc2026150036</w:t>
      </w:r>
    </w:p>
    <w:p>
      <w:pPr/>
      <w:r>
        <w:rPr>
          <w:b/>
        </w:rPr>
        <w:t>Later source:</w:t>
      </w:r>
      <w:r>
        <w:t xml:space="preserve"> Use of data mining techniques to explain the primary factors influencing water sensitivity of asphalt mixtures — https://doi.org/10.1016/j.conbuildmat.2022.128039</w:t>
      </w:r>
    </w:p>
    <w:p>
      <w:pPr>
        <w:pStyle w:val="SourceNote"/>
      </w:pPr>
      <w:r>
        <w:rPr>
          <w:b/>
        </w:rPr>
        <w:t>Review status:</w:t>
      </w:r>
      <w:r>
        <w:t xml:space="preserve"> unchecked — possible relationship only</w:t>
      </w:r>
    </w:p>
    <w:p>
      <w:pPr>
        <w:pStyle w:val="Heading2"/>
      </w:pPr>
      <w:r>
        <w:t>139. Claim + two later sources: EFFECTS OF HYDROGEN PRODUCTION ON ECONOMIC GROWTH IN THE EUROPEAN UNION</w:t>
      </w:r>
    </w:p>
    <w:p>
      <w:pPr>
        <w:pStyle w:val="SourceNote"/>
      </w:pPr>
      <w:r>
        <w:rPr>
          <w:b/>
        </w:rPr>
        <w:t>Group ID:</w:t>
      </w:r>
      <w:r>
        <w:t xml:space="preserve"> group-0bb448880ada6f1e200b</w:t>
      </w:r>
    </w:p>
    <w:p>
      <w:pPr>
        <w:pStyle w:val="SourceNote"/>
      </w:pPr>
      <w:r>
        <w:rPr>
          <w:b/>
        </w:rPr>
        <w:t>Original source:</w:t>
      </w:r>
      <w:r>
        <w:t xml:space="preserve"> https://doi.org/10.47535/1991auoes30(2)003</w:t>
      </w:r>
    </w:p>
    <w:p>
      <w:pPr/>
      <w:r>
        <w:rPr>
          <w:b/>
        </w:rPr>
        <w:t>Original future claim:</w:t>
      </w:r>
      <w:r>
        <w:t xml:space="preserve"> 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r>
        <w:rPr>
          <w:b/>
        </w:rPr>
        <w:t>Later source:</w:t>
      </w:r>
      <w:r>
        <w:t xml:space="preserve"> Resource requirements and consequences of large-scale hydrogen use in Europe — https://doi.org/10.1038/s41893-026-01771-5</w:t>
      </w:r>
    </w:p>
    <w:p>
      <w:pPr/>
      <w:r>
        <w:rPr>
          <w:b/>
        </w:rPr>
        <w:t>Later source:</w:t>
      </w:r>
      <w:r>
        <w:t xml:space="preserve"> Sources of European Union competition law — https://doi.org/10.24144/2307-3322.2026.93.2.3</w:t>
      </w:r>
    </w:p>
    <w:p>
      <w:pPr>
        <w:pStyle w:val="SourceNote"/>
      </w:pPr>
      <w:r>
        <w:rPr>
          <w:b/>
        </w:rPr>
        <w:t>Review status:</w:t>
      </w:r>
      <w:r>
        <w:t xml:space="preserve"> unchecked — possible relationship only</w:t>
      </w:r>
    </w:p>
    <w:p>
      <w:pPr>
        <w:pStyle w:val="Heading2"/>
      </w:pPr>
      <w:r>
        <w:t>140. Claim + two later sources: Shaping science policy in Europe</w:t>
      </w:r>
    </w:p>
    <w:p>
      <w:pPr>
        <w:pStyle w:val="SourceNote"/>
      </w:pPr>
      <w:r>
        <w:rPr>
          <w:b/>
        </w:rPr>
        <w:t>Group ID:</w:t>
      </w:r>
      <w:r>
        <w:t xml:space="preserve"> group-e734b6aab00152dddc89</w:t>
      </w:r>
    </w:p>
    <w:p>
      <w:pPr>
        <w:pStyle w:val="SourceNote"/>
      </w:pPr>
      <w:r>
        <w:rPr>
          <w:b/>
        </w:rPr>
        <w:t>Original source:</w:t>
      </w:r>
      <w:r>
        <w:t xml:space="preserve"> https://doi.org/10.1016/j.molonc.2014.03.013</w:t>
      </w:r>
    </w:p>
    <w:p>
      <w:pPr/>
      <w:r>
        <w:rPr>
          <w:b/>
        </w:rPr>
        <w:t>Original future claim:</w:t>
      </w:r>
      <w:r>
        <w:t xml:space="preserve"> 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r>
        <w:rPr>
          <w:b/>
        </w:rPr>
        <w:t>Later source:</w:t>
      </w:r>
      <w:r>
        <w:t xml:space="preserve"> Economic, technological and environmental drivers of the circular economy in the European Union: a panel data analysis — https://doi.org/10.1186/s12302-025-01119-4</w:t>
      </w:r>
    </w:p>
    <w:p>
      <w:pPr/>
      <w:r>
        <w:rPr>
          <w:b/>
        </w:rPr>
        <w:t>Later source:</w:t>
      </w:r>
      <w:r>
        <w:t xml:space="preserve"> European Federation of Neurological Societies: parent to the European Academy of Neurology — https://doi.org/10.1111/ene.15680</w:t>
      </w:r>
    </w:p>
    <w:p>
      <w:pPr>
        <w:pStyle w:val="SourceNote"/>
      </w:pPr>
      <w:r>
        <w:rPr>
          <w:b/>
        </w:rPr>
        <w:t>Review status:</w:t>
      </w:r>
      <w:r>
        <w:t xml:space="preserve"> unchecked — possible relationship only</w:t>
      </w:r>
    </w:p>
    <w:p>
      <w:pPr>
        <w:pStyle w:val="Heading2"/>
      </w:pPr>
      <w:r>
        <w:t>141. Claim + two later sources: Predicting Future European Breeding Distributions of British Seabird Species under Climate Change and Unlimited/No Dispersal Scenarios</w:t>
      </w:r>
    </w:p>
    <w:p>
      <w:pPr>
        <w:pStyle w:val="SourceNote"/>
      </w:pPr>
      <w:r>
        <w:rPr>
          <w:b/>
        </w:rPr>
        <w:t>Group ID:</w:t>
      </w:r>
      <w:r>
        <w:t xml:space="preserve"> group-5f5572bdc7b121d11561</w:t>
      </w:r>
    </w:p>
    <w:p>
      <w:pPr>
        <w:pStyle w:val="SourceNote"/>
      </w:pPr>
      <w:r>
        <w:rPr>
          <w:b/>
        </w:rPr>
        <w:t>Original source:</w:t>
      </w:r>
      <w:r>
        <w:t xml:space="preserve"> https://doi.org/10.3390/d7040342</w:t>
      </w:r>
    </w:p>
    <w:p>
      <w:pPr/>
      <w:r>
        <w:rPr>
          <w:b/>
        </w:rPr>
        <w:t>Original future claim:</w:t>
      </w:r>
      <w:r>
        <w:t xml:space="preserve"> 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r>
        <w:rPr>
          <w:b/>
        </w:rPr>
        <w:t>Later source:</w:t>
      </w:r>
      <w:r>
        <w:t xml:space="preserve"> Combining different views on internal climate variability of temperature over Europe — https://doi.org/10.5194/egusphere-egu26-5489</w:t>
      </w:r>
    </w:p>
    <w:p>
      <w:pPr/>
      <w:r>
        <w:rPr>
          <w:b/>
        </w:rPr>
        <w:t>Later source:</w:t>
      </w:r>
      <w:r>
        <w:t xml:space="preserve"> Combining different views on internal climate variability of temperature over Europe — https://doi.org/10.5194/egusphere-2026-1341</w:t>
      </w:r>
    </w:p>
    <w:p>
      <w:pPr>
        <w:pStyle w:val="SourceNote"/>
      </w:pPr>
      <w:r>
        <w:rPr>
          <w:b/>
        </w:rPr>
        <w:t>Review status:</w:t>
      </w:r>
      <w:r>
        <w:t xml:space="preserve"> unchecked — possible relationship only</w:t>
      </w:r>
    </w:p>
    <w:p>
      <w:pPr>
        <w:pStyle w:val="Heading2"/>
      </w:pPr>
      <w:r>
        <w:t>142. Claim + two later sources: PROBLEM OF PROFESSIONAL TRAINING OF FUTURE ECONOMISTS FOR DEVELOPMENT OF NATIONAL ECONOMY UNDER CONDITIONS OF EUROPEAN INTEGRATION</w:t>
      </w:r>
    </w:p>
    <w:p>
      <w:pPr>
        <w:pStyle w:val="SourceNote"/>
      </w:pPr>
      <w:r>
        <w:rPr>
          <w:b/>
        </w:rPr>
        <w:t>Group ID:</w:t>
      </w:r>
      <w:r>
        <w:t xml:space="preserve"> group-ae7ab87b98ccd3f77977</w:t>
      </w:r>
    </w:p>
    <w:p>
      <w:pPr>
        <w:pStyle w:val="SourceNote"/>
      </w:pPr>
      <w:r>
        <w:rPr>
          <w:b/>
        </w:rPr>
        <w:t>Original source:</w:t>
      </w:r>
      <w:r>
        <w:t xml:space="preserve"> https://doi.org/10.30525/2256-0742/2020-6-5-148-154</w:t>
      </w:r>
    </w:p>
    <w:p>
      <w:pPr/>
      <w:r>
        <w:rPr>
          <w:b/>
        </w:rPr>
        <w:t>Original future claim:</w:t>
      </w:r>
      <w:r>
        <w:t xml:space="preserve"> 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r>
        <w:rPr>
          <w:b/>
        </w:rPr>
        <w:t>Later source:</w:t>
      </w:r>
      <w:r>
        <w:t xml:space="preserve"> Competency-based European training requirements for the specialty of ophthalmology. Recommendations from the UEMS section of ophthalmology and the European Board of Ophthalmology — https://openalex.org/W7149229150</w:t>
      </w:r>
    </w:p>
    <w:p>
      <w:pPr/>
      <w:r>
        <w:rPr>
          <w:b/>
        </w:rPr>
        <w:t>Later source:</w:t>
      </w:r>
      <w:r>
        <w:t xml:space="preserve"> Competency-based European training requirements for the specialty of ophthalmology — https://openalex.org/W7155593103</w:t>
      </w:r>
    </w:p>
    <w:p>
      <w:pPr>
        <w:pStyle w:val="SourceNote"/>
      </w:pPr>
      <w:r>
        <w:rPr>
          <w:b/>
        </w:rPr>
        <w:t>Review status:</w:t>
      </w:r>
      <w:r>
        <w:t xml:space="preserve"> unchecked — possible relationship only</w:t>
      </w:r>
    </w:p>
    <w:p>
      <w:pPr>
        <w:pStyle w:val="Heading2"/>
      </w:pPr>
      <w:r>
        <w:t>143. Claim + two later sources: The CIRCE Simulations: Regional Climate Change Projections with Realistic Representation of the Mediterranean Sea</w:t>
      </w:r>
    </w:p>
    <w:p>
      <w:pPr>
        <w:pStyle w:val="SourceNote"/>
      </w:pPr>
      <w:r>
        <w:rPr>
          <w:b/>
        </w:rPr>
        <w:t>Group ID:</w:t>
      </w:r>
      <w:r>
        <w:t xml:space="preserve"> group-9f55fbcca3741afe2df7</w:t>
      </w:r>
    </w:p>
    <w:p>
      <w:pPr>
        <w:pStyle w:val="SourceNote"/>
      </w:pPr>
      <w:r>
        <w:rPr>
          <w:b/>
        </w:rPr>
        <w:t>Original source:</w:t>
      </w:r>
      <w:r>
        <w:t xml:space="preserve"> https://doi.org/10.1175/bams-d-11-00136.1</w:t>
      </w:r>
    </w:p>
    <w:p>
      <w:pPr/>
      <w:r>
        <w:rPr>
          <w:b/>
        </w:rPr>
        <w:t>Original future claim:</w:t>
      </w:r>
      <w:r>
        <w:t xml:space="preserve"> 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r>
        <w:rPr>
          <w:b/>
        </w:rPr>
        <w:t>Later source:</w:t>
      </w:r>
      <w:r>
        <w:t xml:space="preserve"> Development and Validation of a Novel Contact Force‐Integrated Pulsed Field Quantization Index for Pulmonary Vein Isolation in a Porcine Model — https://doi.org/10.1111/jce.70527</w:t>
      </w:r>
    </w:p>
    <w:p>
      <w:pPr/>
      <w:r>
        <w:rPr>
          <w:b/>
        </w:rPr>
        <w:t>Later source:</w:t>
      </w:r>
      <w:r>
        <w:t xml:space="preserve"> Rolling force modeling based on neural network and mechanism model — https://doi.org/10.1007/s12206-025-0118-4</w:t>
      </w:r>
    </w:p>
    <w:p>
      <w:pPr>
        <w:pStyle w:val="SourceNote"/>
      </w:pPr>
      <w:r>
        <w:rPr>
          <w:b/>
        </w:rPr>
        <w:t>Review status:</w:t>
      </w:r>
      <w:r>
        <w:t xml:space="preserve"> unchecked — possible relationship only</w:t>
      </w:r>
    </w:p>
    <w:p>
      <w:pPr>
        <w:pStyle w:val="Heading2"/>
      </w:pPr>
      <w:r>
        <w:t>144. Claim + two later sources: Scenarios for the future of the European process industry - the case of the chemical industry</w:t>
      </w:r>
    </w:p>
    <w:p>
      <w:pPr>
        <w:pStyle w:val="SourceNote"/>
      </w:pPr>
      <w:r>
        <w:rPr>
          <w:b/>
        </w:rPr>
        <w:t>Group ID:</w:t>
      </w:r>
      <w:r>
        <w:t xml:space="preserve"> group-e97594de914c7a26dccb</w:t>
      </w:r>
    </w:p>
    <w:p>
      <w:pPr>
        <w:pStyle w:val="SourceNote"/>
      </w:pPr>
      <w:r>
        <w:rPr>
          <w:b/>
        </w:rPr>
        <w:t>Original source:</w:t>
      </w:r>
      <w:r>
        <w:t xml:space="preserve"> https://doi.org/10.1007/s40309-013-0010-9</w:t>
      </w:r>
    </w:p>
    <w:p>
      <w:pPr/>
      <w:r>
        <w:rPr>
          <w:b/>
        </w:rPr>
        <w:t>Original future claim:</w:t>
      </w:r>
      <w:r>
        <w:t xml:space="preserve"> We studied future challenges for the European chemical industry until the year 2030. Based on the 249 qualitative statements made by the participating experts, we derived four future scenarios.</w:t>
      </w:r>
    </w:p>
    <w:p>
      <w:pPr/>
      <w:r>
        <w:rPr>
          <w:b/>
        </w:rPr>
        <w:t>Later source:</w:t>
      </w:r>
      <w:r>
        <w:t xml:space="preserve"> The impacts of the European chemical industry on the planetary boundaries — https://doi.org/10.1016/j.spc.2023.12.006</w:t>
      </w:r>
    </w:p>
    <w:p>
      <w:pPr/>
      <w:r>
        <w:rPr>
          <w:b/>
        </w:rPr>
        <w:t>Later source:</w:t>
      </w:r>
      <w:r>
        <w:t xml:space="preserve"> Novel foods in the European Union: Scientific requirements and challenges of the risk assessment process by the European Food Safety Authority — https://doi.org/10.1016/j.foodres.2020.109515</w:t>
      </w:r>
    </w:p>
    <w:p>
      <w:pPr>
        <w:pStyle w:val="SourceNote"/>
      </w:pPr>
      <w:r>
        <w:rPr>
          <w:b/>
        </w:rPr>
        <w:t>Review status:</w:t>
      </w:r>
      <w:r>
        <w:t xml:space="preserve"> unchecked — possible relationship only</w:t>
      </w:r>
    </w:p>
    <w:p>
      <w:pPr>
        <w:pStyle w:val="Heading2"/>
      </w:pPr>
      <w:r>
        <w:t>145. Claim + two later sources: The future of global trade and the WTO</w:t>
      </w:r>
    </w:p>
    <w:p>
      <w:pPr>
        <w:pStyle w:val="SourceNote"/>
      </w:pPr>
      <w:r>
        <w:rPr>
          <w:b/>
        </w:rPr>
        <w:t>Group ID:</w:t>
      </w:r>
      <w:r>
        <w:t xml:space="preserve"> group-09afc1d1d1b3baa0251e</w:t>
      </w:r>
    </w:p>
    <w:p>
      <w:pPr>
        <w:pStyle w:val="SourceNote"/>
      </w:pPr>
      <w:r>
        <w:rPr>
          <w:b/>
        </w:rPr>
        <w:t>Original source:</w:t>
      </w:r>
      <w:r>
        <w:t xml:space="preserve"> https://doi.org/10.1108/fs-06-2012-0044</w:t>
      </w:r>
    </w:p>
    <w:p>
      <w:pPr/>
      <w:r>
        <w:rPr>
          <w:b/>
        </w:rPr>
        <w:t>Original future claim:</w:t>
      </w:r>
      <w:r>
        <w:t xml:space="preserve"> 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r>
        <w:rPr>
          <w:b/>
        </w:rPr>
        <w:t>Later source:</w:t>
      </w:r>
      <w:r>
        <w:t xml:space="preserve"> IMPACT OF SHORT-TERM EXTERNAL SHOCKS ON THE WORLD AND EUROPEAN ECONOMIES — https://doi.org/10.35774/jee2025.04.553</w:t>
      </w:r>
    </w:p>
    <w:p>
      <w:pPr/>
      <w:r>
        <w:rPr>
          <w:b/>
        </w:rPr>
        <w:t>Later source:</w:t>
      </w:r>
      <w:r>
        <w:t xml:space="preserve"> The Contested World Economy — https://doi.org/10.1017/9781009337489</w:t>
      </w:r>
    </w:p>
    <w:p>
      <w:pPr>
        <w:pStyle w:val="SourceNote"/>
      </w:pPr>
      <w:r>
        <w:rPr>
          <w:b/>
        </w:rPr>
        <w:t>Review status:</w:t>
      </w:r>
      <w:r>
        <w:t xml:space="preserve"> unchecked — possible relationship only</w:t>
      </w:r>
    </w:p>
    <w:p>
      <w:pPr>
        <w:pStyle w:val="Heading2"/>
      </w:pPr>
      <w:r>
        <w:t>146. Claim + two later sources: EU road vehicle energy consumption and CO2 emissions by 2050 – Expert-based scenarios</w:t>
      </w:r>
    </w:p>
    <w:p>
      <w:pPr>
        <w:pStyle w:val="SourceNote"/>
      </w:pPr>
      <w:r>
        <w:rPr>
          <w:b/>
        </w:rPr>
        <w:t>Group ID:</w:t>
      </w:r>
      <w:r>
        <w:t xml:space="preserve"> group-73b9a81a7b8ae039a8c3</w:t>
      </w:r>
    </w:p>
    <w:p>
      <w:pPr>
        <w:pStyle w:val="SourceNote"/>
      </w:pPr>
      <w:r>
        <w:rPr>
          <w:b/>
        </w:rPr>
        <w:t>Original source:</w:t>
      </w:r>
      <w:r>
        <w:t xml:space="preserve"> https://doi.org/10.1016/j.enpol.2019.111224</w:t>
      </w:r>
    </w:p>
    <w:p>
      <w:pPr/>
      <w:r>
        <w:rPr>
          <w:b/>
        </w:rPr>
        <w:t>Original future claim:</w:t>
      </w:r>
      <w:r>
        <w:t xml:space="preserve"> 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r>
        <w:rPr>
          <w:b/>
        </w:rPr>
        <w:t>Later source:</w:t>
      </w:r>
      <w:r>
        <w:t xml:space="preserve"> The economics of Decarbonizing Road Freight Transport – comparing Europe, USA and China — https://doi.org/10.34726/hss.2026.134201</w:t>
      </w:r>
    </w:p>
    <w:p>
      <w:pPr/>
      <w:r>
        <w:rPr>
          <w:b/>
        </w:rPr>
        <w:t>Later source:</w:t>
      </w:r>
      <w:r>
        <w:t xml:space="preserve"> Estimation of Costs and Environmental Impacts of a Cryogenic H2 Tank — https://doi.org/10.3390/engproc2026133137</w:t>
      </w:r>
    </w:p>
    <w:p>
      <w:pPr>
        <w:pStyle w:val="SourceNote"/>
      </w:pPr>
      <w:r>
        <w:rPr>
          <w:b/>
        </w:rPr>
        <w:t>Review status:</w:t>
      </w:r>
      <w:r>
        <w:t xml:space="preserve"> unchecked — possible relationship only</w:t>
      </w:r>
    </w:p>
    <w:p>
      <w:pPr>
        <w:pStyle w:val="Heading2"/>
      </w:pPr>
      <w:r>
        <w:t>147. Claim + two later sources: Foresight as a tool of public administration in the field of science, technology and innovation</w:t>
      </w:r>
    </w:p>
    <w:p>
      <w:pPr>
        <w:pStyle w:val="SourceNote"/>
      </w:pPr>
      <w:r>
        <w:rPr>
          <w:b/>
        </w:rPr>
        <w:t>Group ID:</w:t>
      </w:r>
      <w:r>
        <w:t xml:space="preserve"> group-81356f4d918389fde693</w:t>
      </w:r>
    </w:p>
    <w:p>
      <w:pPr>
        <w:pStyle w:val="SourceNote"/>
      </w:pPr>
      <w:r>
        <w:rPr>
          <w:b/>
        </w:rPr>
        <w:t>Original source:</w:t>
      </w:r>
      <w:r>
        <w:t xml:space="preserve"> https://doi.org/10.23939/eem2021.01.090</w:t>
      </w:r>
    </w:p>
    <w:p>
      <w:pPr/>
      <w:r>
        <w:rPr>
          <w:b/>
        </w:rPr>
        <w:t>Original future claim:</w:t>
      </w:r>
      <w:r>
        <w:t xml:space="preserve">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r>
        <w:rPr>
          <w:b/>
        </w:rPr>
        <w:t>Later source:</w:t>
      </w:r>
      <w:r>
        <w:t xml:space="preserve"> Growing futures: The Role of Agri-Entrepreneurship in rural transformation — https://doi.org/10.55248/gengpi.07.0126.0122</w:t>
      </w:r>
    </w:p>
    <w:p>
      <w:pPr/>
      <w:r>
        <w:rPr>
          <w:b/>
        </w:rPr>
        <w:t>Later source:</w:t>
      </w:r>
      <w:r>
        <w:t xml:space="preserve"> Strategic Technology Foresight Certification Assessment — https://doi.org/10.17605/osf.io/tc796</w:t>
      </w:r>
    </w:p>
    <w:p>
      <w:pPr>
        <w:pStyle w:val="SourceNote"/>
      </w:pPr>
      <w:r>
        <w:rPr>
          <w:b/>
        </w:rPr>
        <w:t>Review status:</w:t>
      </w:r>
      <w:r>
        <w:t xml:space="preserve"> unchecked — possible relationship only</w:t>
      </w:r>
    </w:p>
    <w:p>
      <w:pPr>
        <w:pStyle w:val="Heading2"/>
      </w:pPr>
      <w:r>
        <w:t>148. Claim + two later sources: Foresight of teachers’ professional challenges</w:t>
      </w:r>
    </w:p>
    <w:p>
      <w:pPr>
        <w:pStyle w:val="SourceNote"/>
      </w:pPr>
      <w:r>
        <w:rPr>
          <w:b/>
        </w:rPr>
        <w:t>Group ID:</w:t>
      </w:r>
      <w:r>
        <w:t xml:space="preserve"> group-815c9b2703d58673149d</w:t>
      </w:r>
    </w:p>
    <w:p>
      <w:pPr>
        <w:pStyle w:val="SourceNote"/>
      </w:pPr>
      <w:r>
        <w:rPr>
          <w:b/>
        </w:rPr>
        <w:t>Original source:</w:t>
      </w:r>
      <w:r>
        <w:t xml:space="preserve"> https://doi.org/10.17853/1994-5639-2022-6-60-83</w:t>
      </w:r>
    </w:p>
    <w:p>
      <w:pPr/>
      <w:r>
        <w:rPr>
          <w:b/>
        </w:rPr>
        <w:t>Original future claim:</w:t>
      </w:r>
      <w:r>
        <w:t xml:space="preserve"> 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r>
        <w:rPr>
          <w:b/>
        </w:rPr>
        <w:t>Later source:</w:t>
      </w:r>
      <w:r>
        <w:t xml:space="preserve"> IMPLEMENTATION OF 12 CORE COMPETENCY TRAINING, PRECEPTORSHIP METHOD FOR NEW NURSES IN IMPROVING THE 12 CORE COMPETENCIES OF NEW NURSES AT PRIMAYA PGI CIKINI HOSPITAL, CENTRAL JAKARTA — https://doi.org/10.58439/hnp.v4i1.474</w:t>
      </w:r>
    </w:p>
    <w:p>
      <w:pPr/>
      <w:r>
        <w:rPr>
          <w:b/>
        </w:rPr>
        <w:t>Later source:</w:t>
      </w:r>
      <w:r>
        <w:t xml:space="preserve"> ANALYSIS OF COMPETENCY DEVELOPMENT POLICY IN IMPROVING EMPLOYEE PERFORMANCE AT THE SIROMBU DISTRICT OFFICE — https://doi.org/10.47652/metadata.v8i1.980</w:t>
      </w:r>
    </w:p>
    <w:p>
      <w:pPr>
        <w:pStyle w:val="SourceNote"/>
      </w:pPr>
      <w:r>
        <w:rPr>
          <w:b/>
        </w:rPr>
        <w:t>Review status:</w:t>
      </w:r>
      <w:r>
        <w:t xml:space="preserve"> unchecked — possible relationship only</w:t>
      </w:r>
    </w:p>
    <w:p>
      <w:pPr>
        <w:pStyle w:val="Heading2"/>
      </w:pPr>
      <w:r>
        <w:t>149. Claim + two later sources: Scenarios for population health inequalities in 2030 in Europe</w:t>
      </w:r>
    </w:p>
    <w:p>
      <w:pPr>
        <w:pStyle w:val="SourceNote"/>
      </w:pPr>
      <w:r>
        <w:rPr>
          <w:b/>
        </w:rPr>
        <w:t>Group ID:</w:t>
      </w:r>
      <w:r>
        <w:t xml:space="preserve"> group-2c2f7b72d9fc9ec8344b</w:t>
      </w:r>
    </w:p>
    <w:p>
      <w:pPr>
        <w:pStyle w:val="SourceNote"/>
      </w:pPr>
      <w:r>
        <w:rPr>
          <w:b/>
        </w:rPr>
        <w:t>Original source:</w:t>
      </w:r>
      <w:r>
        <w:t xml:space="preserve"> https://doi.org/10.1093/eurpub/ckaa165.1288</w:t>
      </w:r>
    </w:p>
    <w:p>
      <w:pPr/>
      <w:r>
        <w:rPr>
          <w:b/>
        </w:rPr>
        <w:t>Original future claim:</w:t>
      </w:r>
      <w:r>
        <w:t xml:space="preserve"> 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r>
        <w:rPr>
          <w:b/>
        </w:rPr>
        <w:t>Later source:</w:t>
      </w:r>
      <w:r>
        <w:t xml:space="preserve"> THE DIVERSITY OF EUROPEAN FUNDING MECHANISMS: INSIGHTS INTO THEIR TYPOLOGIES — https://doi.org/10.24818/imc/2025/05.09</w:t>
      </w:r>
    </w:p>
    <w:p>
      <w:pPr/>
      <w:r>
        <w:rPr>
          <w:b/>
        </w:rPr>
        <w:t>Later source:</w:t>
      </w:r>
      <w:r>
        <w:t xml:space="preserve"> Soil degradation in Europe is projected to accelerate under changing land use and climate — https://doi.org/10.1038/s44458-026-00064-4</w:t>
      </w:r>
    </w:p>
    <w:p>
      <w:pPr>
        <w:pStyle w:val="SourceNote"/>
      </w:pPr>
      <w:r>
        <w:rPr>
          <w:b/>
        </w:rPr>
        <w:t>Review status:</w:t>
      </w:r>
      <w:r>
        <w:t xml:space="preserve"> unchecked — possible relationship only</w:t>
      </w:r>
    </w:p>
    <w:p>
      <w:pPr>
        <w:pStyle w:val="Heading2"/>
      </w:pPr>
      <w:r>
        <w:t>150. Claim + two later sources: REMIND-D: A Hybrid Energy-Economy Model of Germany</w:t>
      </w:r>
    </w:p>
    <w:p>
      <w:pPr>
        <w:pStyle w:val="SourceNote"/>
      </w:pPr>
      <w:r>
        <w:rPr>
          <w:b/>
        </w:rPr>
        <w:t>Group ID:</w:t>
      </w:r>
      <w:r>
        <w:t xml:space="preserve"> group-d33e893f6c57e36f6c44</w:t>
      </w:r>
    </w:p>
    <w:p>
      <w:pPr>
        <w:pStyle w:val="SourceNote"/>
      </w:pPr>
      <w:r>
        <w:rPr>
          <w:b/>
        </w:rPr>
        <w:t>Original source:</w:t>
      </w:r>
      <w:r>
        <w:t xml:space="preserve"> https://doi.org/10.22004/ag.econ.121911</w:t>
      </w:r>
    </w:p>
    <w:p>
      <w:pPr/>
      <w:r>
        <w:rPr>
          <w:b/>
        </w:rPr>
        <w:t>Original future claim:</w:t>
      </w:r>
      <w:r>
        <w:t xml:space="preserve"> The model provides a quantitative framework for analyzing long-term domestic CO2 emission reduction scenarios.</w:t>
      </w:r>
    </w:p>
    <w:p>
      <w:pPr/>
      <w:r>
        <w:rPr>
          <w:b/>
        </w:rPr>
        <w:t>Later source:</w:t>
      </w:r>
      <w:r>
        <w:t xml:space="preserve"> Forecasting human tick-borne encephalitis risk across Europe through quantitative models integrating environmental and exposure drivers — https://openalex.org/W7154437128</w:t>
      </w:r>
    </w:p>
    <w:p>
      <w:pPr/>
      <w:r>
        <w:rPr>
          <w:b/>
        </w:rPr>
        <w:t>Later source:</w:t>
      </w:r>
      <w:r>
        <w:t xml:space="preserve"> Spillover and dynamic effects of energy transition and economic growth on carbon dioxide emissions for the European Union: A dynamic spatial panel model — https://doi.org/10.1002/sd.2144</w:t>
      </w:r>
    </w:p>
    <w:p>
      <w:pPr>
        <w:pStyle w:val="SourceNote"/>
      </w:pPr>
      <w:r>
        <w:rPr>
          <w:b/>
        </w:rPr>
        <w:t>Review status:</w:t>
      </w:r>
      <w:r>
        <w:t xml:space="preserve"> unchecked — possible relationship only</w:t>
      </w:r>
    </w:p>
    <w:p>
      <w:pPr>
        <w:pStyle w:val="Heading2"/>
      </w:pPr>
      <w:r>
        <w:t>151. Claim + two later sources: Pathway Analysis of a Zero-Emission Transition in the Nordic-Baltic Region</w:t>
      </w:r>
    </w:p>
    <w:p>
      <w:pPr>
        <w:pStyle w:val="SourceNote"/>
      </w:pPr>
      <w:r>
        <w:rPr>
          <w:b/>
        </w:rPr>
        <w:t>Group ID:</w:t>
      </w:r>
      <w:r>
        <w:t xml:space="preserve"> group-6502455b5b4eb01c6b70</w:t>
      </w:r>
    </w:p>
    <w:p>
      <w:pPr>
        <w:pStyle w:val="SourceNote"/>
      </w:pPr>
      <w:r>
        <w:rPr>
          <w:b/>
        </w:rPr>
        <w:t>Original source:</w:t>
      </w:r>
      <w:r>
        <w:t xml:space="preserve"> https://doi.org/10.3390/en12173337</w:t>
      </w:r>
    </w:p>
    <w:p>
      <w:pPr/>
      <w:r>
        <w:rPr>
          <w:b/>
        </w:rPr>
        <w:t>Original future claim:</w:t>
      </w:r>
      <w:r>
        <w:t xml:space="preserve"> 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r>
        <w:rPr>
          <w:b/>
        </w:rPr>
        <w:t>Later source:</w:t>
      </w:r>
      <w:r>
        <w:t xml:space="preserve"> Holistic design &amp; optimization of renewable energy systems - an african-european case study — https://doi.org/10.18154/rwth-2026-03350</w:t>
      </w:r>
    </w:p>
    <w:p>
      <w:pPr/>
      <w:r>
        <w:rPr>
          <w:b/>
        </w:rPr>
        <w:t>Later source:</w:t>
      </w:r>
      <w:r>
        <w:t xml:space="preserve"> Accounting for economic disparity in designing net-zero European energy systems — https://doi.org/10.1088/2753-3751/ae6b8f</w:t>
      </w:r>
    </w:p>
    <w:p>
      <w:pPr>
        <w:pStyle w:val="SourceNote"/>
      </w:pPr>
      <w:r>
        <w:rPr>
          <w:b/>
        </w:rPr>
        <w:t>Review status:</w:t>
      </w:r>
      <w:r>
        <w:t xml:space="preserve"> unchecked — possible relationship only</w:t>
      </w:r>
    </w:p>
    <w:p>
      <w:pPr>
        <w:pStyle w:val="Heading2"/>
      </w:pPr>
      <w:r>
        <w:t>152. Claim + two later sources: Bioenergy futures in Sweden – Modeling integration scenarios for biofuel production</w:t>
      </w:r>
    </w:p>
    <w:p>
      <w:pPr>
        <w:pStyle w:val="SourceNote"/>
      </w:pPr>
      <w:r>
        <w:rPr>
          <w:b/>
        </w:rPr>
        <w:t>Group ID:</w:t>
      </w:r>
      <w:r>
        <w:t xml:space="preserve"> group-09f07f40744cc65e050a</w:t>
      </w:r>
    </w:p>
    <w:p>
      <w:pPr>
        <w:pStyle w:val="SourceNote"/>
      </w:pPr>
      <w:r>
        <w:rPr>
          <w:b/>
        </w:rPr>
        <w:t>Original source:</w:t>
      </w:r>
      <w:r>
        <w:t xml:space="preserve"> https://doi.org/10.1016/j.energy.2016.04.044</w:t>
      </w:r>
    </w:p>
    <w:p>
      <w:pPr/>
      <w:r>
        <w:rPr>
          <w:b/>
        </w:rPr>
        <w:t>Original future claim:</w:t>
      </w:r>
      <w:r>
        <w:t xml:space="preserve"> However, even though biomass is a renewable resource, the potential is limited, and efficient use of available biomass resources will become increasingly important.</w:t>
      </w:r>
    </w:p>
    <w:p>
      <w:pPr/>
      <w:r>
        <w:rPr>
          <w:b/>
        </w:rPr>
        <w:t>Later source:</w:t>
      </w:r>
      <w:r>
        <w:t xml:space="preserve"> Increased Holocene Diversity in Europe Linked to Human‐Associated Vegetation Change — https://doi.org/10.1111/geb.70166</w:t>
      </w:r>
    </w:p>
    <w:p>
      <w:pPr/>
      <w:r>
        <w:rPr>
          <w:b/>
        </w:rPr>
        <w:t>Later source:</w:t>
      </w:r>
      <w:r>
        <w:t xml:space="preserve"> Evolution of the European offshore renewable energy resource under multiple climate change scenarios and forecasting horizons via CMIP6 — https://doi.org/10.1016/j.enconman.2023.118058</w:t>
      </w:r>
    </w:p>
    <w:p>
      <w:pPr>
        <w:pStyle w:val="SourceNote"/>
      </w:pPr>
      <w:r>
        <w:rPr>
          <w:b/>
        </w:rPr>
        <w:t>Review status:</w:t>
      </w:r>
      <w:r>
        <w:t xml:space="preserve"> unchecked — possible relationship only</w:t>
      </w:r>
    </w:p>
    <w:p>
      <w:pPr>
        <w:pStyle w:val="Heading2"/>
      </w:pPr>
      <w:r>
        <w:t>153. Claim + two later sources: Horizon scanning exercise on preparedness for future risk assessment requirements and possible challenges in regulatory science</w:t>
      </w:r>
    </w:p>
    <w:p>
      <w:pPr>
        <w:pStyle w:val="SourceNote"/>
      </w:pPr>
      <w:r>
        <w:rPr>
          <w:b/>
        </w:rPr>
        <w:t>Group ID:</w:t>
      </w:r>
      <w:r>
        <w:t xml:space="preserve"> group-1284e7f859060a8f49ba</w:t>
      </w:r>
    </w:p>
    <w:p>
      <w:pPr>
        <w:pStyle w:val="SourceNote"/>
      </w:pPr>
      <w:r>
        <w:rPr>
          <w:b/>
        </w:rPr>
        <w:t>Original source:</w:t>
      </w:r>
      <w:r>
        <w:t xml:space="preserve"> https://doi.org/10.2903/sp.efsa.2022.en-7297</w:t>
      </w:r>
    </w:p>
    <w:p>
      <w:pPr/>
      <w:r>
        <w:rPr>
          <w:b/>
        </w:rPr>
        <w:t>Original future claim:</w:t>
      </w:r>
      <w:r>
        <w:t xml:space="preserve"> 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r>
        <w:rPr>
          <w:b/>
        </w:rPr>
        <w:t>Later source:</w:t>
      </w:r>
      <w:r>
        <w:t xml:space="preserve"> Assessing the success of a horizon scanning approach in predicting invasive non-native species — https://openalex.org/W7114593291</w:t>
      </w:r>
    </w:p>
    <w:p>
      <w:pPr/>
      <w:r>
        <w:rPr>
          <w:b/>
        </w:rPr>
        <w:t>Later source:</w:t>
      </w:r>
      <w:r>
        <w:t xml:space="preserve"> Evaluating international collaboration on horizon scanning for pharmaceuticals: developing key performance indicators for the international horizon scanning initiative — https://doi.org/10.1017/s0266462325103358</w:t>
      </w:r>
    </w:p>
    <w:p>
      <w:pPr>
        <w:pStyle w:val="SourceNote"/>
      </w:pPr>
      <w:r>
        <w:rPr>
          <w:b/>
        </w:rPr>
        <w:t>Review status:</w:t>
      </w:r>
      <w:r>
        <w:t xml:space="preserve"> unchecked — possible relationship only</w:t>
      </w:r>
    </w:p>
    <w:p>
      <w:pPr>
        <w:pStyle w:val="Heading2"/>
      </w:pPr>
      <w:r>
        <w:t>154. Claim + two later sources: Fiscal foresighting: analysis of researches</w:t>
      </w:r>
    </w:p>
    <w:p>
      <w:pPr>
        <w:pStyle w:val="SourceNote"/>
      </w:pPr>
      <w:r>
        <w:rPr>
          <w:b/>
        </w:rPr>
        <w:t>Group ID:</w:t>
      </w:r>
      <w:r>
        <w:t xml:space="preserve"> group-5538827055949821448f</w:t>
      </w:r>
    </w:p>
    <w:p>
      <w:pPr>
        <w:pStyle w:val="SourceNote"/>
      </w:pPr>
      <w:r>
        <w:rPr>
          <w:b/>
        </w:rPr>
        <w:t>Original source:</w:t>
      </w:r>
      <w:r>
        <w:t xml:space="preserve"> https://doi.org/10.15407/econindustry2021.02.071</w:t>
      </w:r>
    </w:p>
    <w:p>
      <w:pPr/>
      <w:r>
        <w:rPr>
          <w:b/>
        </w:rPr>
        <w:t>Original future claim:</w:t>
      </w:r>
      <w:r>
        <w:t xml:space="preserve"> 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r>
        <w:rPr>
          <w:b/>
        </w:rPr>
        <w:t>Later source:</w:t>
      </w:r>
      <w:r>
        <w:t xml:space="preserve"> Navigating the winds of change: strategic foresight and the power of weak signals — https://doi.org/10.1007/s11625-025-01786-5</w:t>
      </w:r>
    </w:p>
    <w:p>
      <w:pPr/>
      <w:r>
        <w:rPr>
          <w:b/>
        </w:rPr>
        <w:t>Later source:</w:t>
      </w:r>
      <w:r>
        <w:t xml:space="preserve"> Unveiling the Theoretical Framework — https://doi.org/10.4324/9781003727927-2</w:t>
      </w:r>
    </w:p>
    <w:p>
      <w:pPr>
        <w:pStyle w:val="SourceNote"/>
      </w:pPr>
      <w:r>
        <w:rPr>
          <w:b/>
        </w:rPr>
        <w:t>Review status:</w:t>
      </w:r>
      <w:r>
        <w:t xml:space="preserve"> unchecked — possible relationship only</w:t>
      </w:r>
    </w:p>
    <w:p>
      <w:pPr>
        <w:pStyle w:val="Heading2"/>
      </w:pPr>
      <w:r>
        <w:t>155. Claim + two later sources: Plan Ceibal 2020: future scenarios for technology and education—the case of the Uruguayan public education system</w:t>
      </w:r>
    </w:p>
    <w:p>
      <w:pPr>
        <w:pStyle w:val="SourceNote"/>
      </w:pPr>
      <w:r>
        <w:rPr>
          <w:b/>
        </w:rPr>
        <w:t>Group ID:</w:t>
      </w:r>
      <w:r>
        <w:t xml:space="preserve"> group-0fc67d2f5169ad27d0c8</w:t>
      </w:r>
    </w:p>
    <w:p>
      <w:pPr>
        <w:pStyle w:val="SourceNote"/>
      </w:pPr>
      <w:r>
        <w:rPr>
          <w:b/>
        </w:rPr>
        <w:t>Original source:</w:t>
      </w:r>
      <w:r>
        <w:t xml:space="preserve"> https://doi.org/10.1186/s40309-018-0134-z</w:t>
      </w:r>
    </w:p>
    <w:p>
      <w:pPr/>
      <w:r>
        <w:rPr>
          <w:b/>
        </w:rPr>
        <w:t>Original future claim:</w:t>
      </w:r>
      <w:r>
        <w:t xml:space="preserve"> 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r>
        <w:rPr>
          <w:b/>
        </w:rPr>
        <w:t>Later source:</w:t>
      </w:r>
      <w:r>
        <w:t xml:space="preserve"> On sets of periodic orbit lengths in finitely presented dynamical systems — https://doi.org/10.1017/etds.2026.10313</w:t>
      </w:r>
    </w:p>
    <w:p>
      <w:pPr/>
      <w:r>
        <w:rPr>
          <w:b/>
        </w:rPr>
        <w:t>Later source:</w:t>
      </w:r>
      <w:r>
        <w:t xml:space="preserve"> Live-coding performances: a body of work (2008–present) — https://doi.org/10.5281/zenodo.20743614</w:t>
      </w:r>
    </w:p>
    <w:p>
      <w:pPr>
        <w:pStyle w:val="SourceNote"/>
      </w:pPr>
      <w:r>
        <w:rPr>
          <w:b/>
        </w:rPr>
        <w:t>Review status:</w:t>
      </w:r>
      <w:r>
        <w:t xml:space="preserve"> unchecked — possible relationship only</w:t>
      </w:r>
    </w:p>
    <w:p>
      <w:pPr>
        <w:pStyle w:val="Heading2"/>
      </w:pPr>
      <w:r>
        <w:t>156. Claim + two later sources: Are Carbon Prices Redundant in the 2030 EU Climate and Energy Policy Package?</w:t>
      </w:r>
    </w:p>
    <w:p>
      <w:pPr>
        <w:pStyle w:val="SourceNote"/>
      </w:pPr>
      <w:r>
        <w:rPr>
          <w:b/>
        </w:rPr>
        <w:t>Group ID:</w:t>
      </w:r>
      <w:r>
        <w:t xml:space="preserve"> group-3e41c66ca5ce6d3b1996</w:t>
      </w:r>
    </w:p>
    <w:p>
      <w:pPr>
        <w:pStyle w:val="SourceNote"/>
      </w:pPr>
      <w:r>
        <w:rPr>
          <w:b/>
        </w:rPr>
        <w:t>Original source:</w:t>
      </w:r>
      <w:r>
        <w:t xml:space="preserve"> https://doi.org/10.5547/01956574.42.3.faun</w:t>
      </w:r>
    </w:p>
    <w:p>
      <w:pPr/>
      <w:r>
        <w:rPr>
          <w:b/>
        </w:rPr>
        <w:t>Original future claim:</w:t>
      </w:r>
      <w:r>
        <w:t xml:space="preserve"> 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r>
        <w:rPr>
          <w:b/>
        </w:rPr>
        <w:t>Later source:</w:t>
      </w:r>
      <w:r>
        <w:t xml:space="preserve"> From Policy to Practice: European Funding and the Development of Energy-Efficient Buildings in Romania’s Mountain Regions — https://doi.org/10.3390/buildings16061161</w:t>
      </w:r>
    </w:p>
    <w:p>
      <w:pPr/>
      <w:r>
        <w:rPr>
          <w:b/>
        </w:rPr>
        <w:t>Later source:</w:t>
      </w:r>
      <w:r>
        <w:t xml:space="preserve"> The future of EU tax policy harmonisation: Cost of non-Europe report — https://doi.org/10.2861/8675836</w:t>
      </w:r>
    </w:p>
    <w:p>
      <w:pPr>
        <w:pStyle w:val="SourceNote"/>
      </w:pPr>
      <w:r>
        <w:rPr>
          <w:b/>
        </w:rPr>
        <w:t>Review status:</w:t>
      </w:r>
      <w:r>
        <w:t xml:space="preserve"> unchecked — possible relationship only</w:t>
      </w:r>
    </w:p>
    <w:p>
      <w:pPr>
        <w:pStyle w:val="Heading2"/>
      </w:pPr>
      <w:r>
        <w:t>157. Claim + two later sources: Institutional issues in planning for more uncertain futures</w:t>
      </w:r>
    </w:p>
    <w:p>
      <w:pPr>
        <w:pStyle w:val="SourceNote"/>
      </w:pPr>
      <w:r>
        <w:rPr>
          <w:b/>
        </w:rPr>
        <w:t>Group ID:</w:t>
      </w:r>
      <w:r>
        <w:t xml:space="preserve"> group-8d1bcfd079f255f28b05</w:t>
      </w:r>
    </w:p>
    <w:p>
      <w:pPr>
        <w:pStyle w:val="SourceNote"/>
      </w:pPr>
      <w:r>
        <w:rPr>
          <w:b/>
        </w:rPr>
        <w:t>Original source:</w:t>
      </w:r>
      <w:r>
        <w:t xml:space="preserve"> https://doi.org/10.1007/s11116-017-9805-z</w:t>
      </w:r>
    </w:p>
    <w:p>
      <w:pPr/>
      <w:r>
        <w:rPr>
          <w:b/>
        </w:rPr>
        <w:t>Original future claim:</w:t>
      </w:r>
      <w:r>
        <w:t xml:space="preserve"> 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r>
        <w:rPr>
          <w:b/>
        </w:rPr>
        <w:t>Later source:</w:t>
      </w:r>
      <w:r>
        <w:t xml:space="preserve"> Shaping institutional change in skill formation: the role of background ideas in growth strategies — https://doi.org/10.1080/13501763.2025.2490188</w:t>
      </w:r>
    </w:p>
    <w:p>
      <w:pPr/>
      <w:r>
        <w:rPr>
          <w:b/>
        </w:rPr>
        <w:t>Later source:</w:t>
      </w:r>
      <w:r>
        <w:t xml:space="preserve"> On Changing the Subject: ‘Secularity’, ‘Religion’, and the Idea of the Human — https://doi.org/10.3390/rel14040466</w:t>
      </w:r>
    </w:p>
    <w:p>
      <w:pPr>
        <w:pStyle w:val="SourceNote"/>
      </w:pPr>
      <w:r>
        <w:rPr>
          <w:b/>
        </w:rPr>
        <w:t>Review status:</w:t>
      </w:r>
      <w:r>
        <w:t xml:space="preserve"> unchecked — possible relationship only</w:t>
      </w:r>
    </w:p>
    <w:p>
      <w:pPr>
        <w:pStyle w:val="Heading2"/>
      </w:pPr>
      <w:r>
        <w:t>158. Claim + two later sources: La aplicación estratégica por escenarios en el medio natural. El caso del Nature Outlook 2050 del PBL.</w:t>
      </w:r>
    </w:p>
    <w:p>
      <w:pPr>
        <w:pStyle w:val="SourceNote"/>
      </w:pPr>
      <w:r>
        <w:rPr>
          <w:b/>
        </w:rPr>
        <w:t>Group ID:</w:t>
      </w:r>
      <w:r>
        <w:t xml:space="preserve"> group-4f969f75e0f770afa6a0</w:t>
      </w:r>
    </w:p>
    <w:p>
      <w:pPr>
        <w:pStyle w:val="SourceNote"/>
      </w:pPr>
      <w:r>
        <w:rPr>
          <w:b/>
        </w:rPr>
        <w:t>Original source:</w:t>
      </w:r>
      <w:r>
        <w:t xml:space="preserve"> https://doi.org/10.5209/rev_obmd.2015.v18.51291</w:t>
      </w:r>
    </w:p>
    <w:p>
      <w:pPr/>
      <w:r>
        <w:rPr>
          <w:b/>
        </w:rPr>
        <w:t>Original future claim:</w:t>
      </w:r>
      <w:r>
        <w:t xml:space="preserve"> This paper shows how to implement the tool, mixing theoretical explanation and the practical performance done in project called: Nature Outlook 2050.</w:t>
      </w:r>
    </w:p>
    <w:p>
      <w:pPr/>
      <w:r>
        <w:rPr>
          <w:b/>
        </w:rPr>
        <w:t>Later source:</w:t>
      </w:r>
      <w:r>
        <w:t xml:space="preserve"> Theoretical Explanation of Triguna and Emotional Intelligence — https://doi.org/10.1922/pjs.16.4s.2026.954</w:t>
      </w:r>
    </w:p>
    <w:p>
      <w:pPr/>
      <w:r>
        <w:rPr>
          <w:b/>
        </w:rPr>
        <w:t>Later source:</w:t>
      </w:r>
      <w:r>
        <w:t xml:space="preserve"> GAD-7 Screening Tool Implementation — https://openalex.org/W7112211183</w:t>
      </w:r>
    </w:p>
    <w:p>
      <w:pPr>
        <w:pStyle w:val="SourceNote"/>
      </w:pPr>
      <w:r>
        <w:rPr>
          <w:b/>
        </w:rPr>
        <w:t>Review status:</w:t>
      </w:r>
      <w:r>
        <w:t xml:space="preserve"> unchecked — possible relationship only</w:t>
      </w:r>
    </w:p>
    <w:p>
      <w:pPr>
        <w:pStyle w:val="Heading2"/>
      </w:pPr>
      <w:r>
        <w:t>159. Claim + two later sources: Backcasting for desirable futures in Finnish forest-based firms</w:t>
      </w:r>
    </w:p>
    <w:p>
      <w:pPr>
        <w:pStyle w:val="SourceNote"/>
      </w:pPr>
      <w:r>
        <w:rPr>
          <w:b/>
        </w:rPr>
        <w:t>Group ID:</w:t>
      </w:r>
      <w:r>
        <w:t xml:space="preserve"> group-862712170d0969a36354</w:t>
      </w:r>
    </w:p>
    <w:p>
      <w:pPr>
        <w:pStyle w:val="SourceNote"/>
      </w:pPr>
      <w:r>
        <w:rPr>
          <w:b/>
        </w:rPr>
        <w:t>Original source:</w:t>
      </w:r>
      <w:r>
        <w:t xml:space="preserve"> https://doi.org/10.1108/fs-01-2020-0005</w:t>
      </w:r>
    </w:p>
    <w:p>
      <w:pPr/>
      <w:r>
        <w:rPr>
          <w:b/>
        </w:rPr>
        <w:t>Original future claim:</w:t>
      </w:r>
      <w:r>
        <w:t xml:space="preserve"> In these desirable futures, expanded businesses will be based on strong knowledge.</w:t>
      </w:r>
    </w:p>
    <w:p>
      <w:pPr/>
      <w:r>
        <w:rPr>
          <w:b/>
        </w:rPr>
        <w:t>Later source:</w:t>
      </w:r>
      <w:r>
        <w:t xml:space="preserve"> Knowledge and Prizes — https://doi.org/10.1093/9780191976766.003.0012</w:t>
      </w:r>
    </w:p>
    <w:p>
      <w:pPr/>
      <w:r>
        <w:rPr>
          <w:b/>
        </w:rPr>
        <w:t>Later source:</w:t>
      </w:r>
      <w:r>
        <w:t xml:space="preserve"> Technology‐Driven Business Ethics — https://doi.org/10.1002/9781394234028.ch20</w:t>
      </w:r>
    </w:p>
    <w:p>
      <w:pPr>
        <w:pStyle w:val="SourceNote"/>
      </w:pPr>
      <w:r>
        <w:rPr>
          <w:b/>
        </w:rPr>
        <w:t>Review status:</w:t>
      </w:r>
      <w:r>
        <w:t xml:space="preserve"> unchecked — possible relationship only</w:t>
      </w:r>
    </w:p>
    <w:p>
      <w:pPr>
        <w:pStyle w:val="Heading2"/>
      </w:pPr>
      <w:r>
        <w:t>160. Claim + two later sources: Climate, competition and connectivity affect future migration and ranges of European trees</w:t>
      </w:r>
    </w:p>
    <w:p>
      <w:pPr>
        <w:pStyle w:val="SourceNote"/>
      </w:pPr>
      <w:r>
        <w:rPr>
          <w:b/>
        </w:rPr>
        <w:t>Group ID:</w:t>
      </w:r>
      <w:r>
        <w:t xml:space="preserve"> group-7a26092f92932b34dab0</w:t>
      </w:r>
    </w:p>
    <w:p>
      <w:pPr>
        <w:pStyle w:val="SourceNote"/>
      </w:pPr>
      <w:r>
        <w:rPr>
          <w:b/>
        </w:rPr>
        <w:t>Original source:</w:t>
      </w:r>
      <w:r>
        <w:t xml:space="preserve"> https://doi.org/10.1111/j.1466-8238.2011.00669.x</w:t>
      </w:r>
    </w:p>
    <w:p>
      <w:pPr/>
      <w:r>
        <w:rPr>
          <w:b/>
        </w:rPr>
        <w:t>Original future claim:</w:t>
      </w:r>
      <w:r>
        <w:t xml:space="preserve"> 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r>
        <w:rPr>
          <w:b/>
        </w:rPr>
        <w:t>Later source:</w:t>
      </w:r>
      <w:r>
        <w:t xml:space="preserve"> Lessons learned in institutional preparedness and response during the 2022 European drought — https://doi.org/10.5194/nhess-26-955-2026</w:t>
      </w:r>
    </w:p>
    <w:p>
      <w:pPr/>
      <w:r>
        <w:rPr>
          <w:b/>
        </w:rPr>
        <w:t>Later source:</w:t>
      </w:r>
      <w:r>
        <w:t xml:space="preserve"> Abstracts of the 19th European Congress of Psychology — https://doi.org/10.1024/2673-8627/a000085</w:t>
      </w:r>
    </w:p>
    <w:p>
      <w:pPr>
        <w:pStyle w:val="SourceNote"/>
      </w:pPr>
      <w:r>
        <w:rPr>
          <w:b/>
        </w:rPr>
        <w:t>Review status:</w:t>
      </w:r>
      <w:r>
        <w:t xml:space="preserve"> unchecked — possible relationship only</w:t>
      </w:r>
    </w:p>
    <w:p>
      <w:pPr>
        <w:pStyle w:val="Heading2"/>
      </w:pPr>
      <w:r>
        <w:t>161. Claim + two later sources: The July 2019 European Heat Wave in a Warmer Climate: Storyline Scenarios with a Coupled Model Using Spectral Nudging</w:t>
      </w:r>
    </w:p>
    <w:p>
      <w:pPr>
        <w:pStyle w:val="SourceNote"/>
      </w:pPr>
      <w:r>
        <w:rPr>
          <w:b/>
        </w:rPr>
        <w:t>Group ID:</w:t>
      </w:r>
      <w:r>
        <w:t xml:space="preserve"> group-47182beb163055fc5dbf</w:t>
      </w:r>
    </w:p>
    <w:p>
      <w:pPr>
        <w:pStyle w:val="SourceNote"/>
      </w:pPr>
      <w:r>
        <w:rPr>
          <w:b/>
        </w:rPr>
        <w:t>Original source:</w:t>
      </w:r>
      <w:r>
        <w:t xml:space="preserve"> https://doi.org/10.1175/jcli-d-21-0573.1</w:t>
      </w:r>
    </w:p>
    <w:p>
      <w:pPr/>
      <w:r>
        <w:rPr>
          <w:b/>
        </w:rPr>
        <w:t>Original future claim:</w:t>
      </w:r>
      <w:r>
        <w:t xml:space="preserve"> By varying the background climate, including CO 2 concentrations, it is demonstrated how the July 2019 European heat wave could have evolved in preindustrial times and in warmer climates.</w:t>
      </w:r>
    </w:p>
    <w:p>
      <w:pPr/>
      <w:r>
        <w:rPr>
          <w:b/>
        </w:rPr>
        <w:t>Later source:</w:t>
      </w:r>
      <w:r>
        <w:t xml:space="preserve"> Linking vulnerability and resilience for climate change adaptation: a GeoAI-integrated assessment across Europe — https://doi.org/10.1186/s13717-026-00680-x</w:t>
      </w:r>
    </w:p>
    <w:p>
      <w:pPr/>
      <w:r>
        <w:rPr>
          <w:b/>
        </w:rPr>
        <w:t>Later source:</w:t>
      </w:r>
      <w:r>
        <w:t xml:space="preserve"> Biodiversity Integration in the European Banking: Theoretical Background &amp; Empirical Evidence — https://openalex.org/W7197300685</w:t>
      </w:r>
    </w:p>
    <w:p>
      <w:pPr>
        <w:pStyle w:val="SourceNote"/>
      </w:pPr>
      <w:r>
        <w:rPr>
          <w:b/>
        </w:rPr>
        <w:t>Review status:</w:t>
      </w:r>
      <w:r>
        <w:t xml:space="preserve"> unchecked — possible relationship only</w:t>
      </w:r>
    </w:p>
    <w:p>
      <w:pPr>
        <w:pStyle w:val="Heading2"/>
      </w:pPr>
      <w:r>
        <w:t>162. Claim + two later sources: Futures of science with and for society: towards transformative policy orientations</w:t>
      </w:r>
    </w:p>
    <w:p>
      <w:pPr>
        <w:pStyle w:val="SourceNote"/>
      </w:pPr>
      <w:r>
        <w:rPr>
          <w:b/>
        </w:rPr>
        <w:t>Group ID:</w:t>
      </w:r>
      <w:r>
        <w:t xml:space="preserve"> group-5340fe4fccd71aeb4c78</w:t>
      </w:r>
    </w:p>
    <w:p>
      <w:pPr>
        <w:pStyle w:val="SourceNote"/>
      </w:pPr>
      <w:r>
        <w:rPr>
          <w:b/>
        </w:rPr>
        <w:t>Original source:</w:t>
      </w:r>
      <w:r>
        <w:t xml:space="preserve"> https://doi.org/10.1108/fs-10-2014-0063</w:t>
      </w:r>
    </w:p>
    <w:p>
      <w:pPr/>
      <w:r>
        <w:rPr>
          <w:b/>
        </w:rPr>
        <w:t>Original future claim:</w:t>
      </w:r>
      <w:r>
        <w:t xml:space="preserve"> 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r>
        <w:rPr>
          <w:b/>
        </w:rPr>
        <w:t>Later source:</w:t>
      </w:r>
      <w:r>
        <w:t xml:space="preserve"> Innovations in Methodology for Analyzing Automotive Engine Vibration Signals Based on Wavelet Transform Techniques to Determine Maintenance Needs — https://doi.org/10.70917/ijcisim-2026-0063</w:t>
      </w:r>
    </w:p>
    <w:p>
      <w:pPr/>
      <w:r>
        <w:rPr>
          <w:b/>
        </w:rPr>
        <w:t>Later source:</w:t>
      </w:r>
      <w:r>
        <w:t xml:space="preserve"> Beyond the "black box": Neil Postman's concept as a methodological basis for analyzing the ethical issues of artificial intelligence — https://doi.org/10.18287/2782-2966-2026-6-1-8-15</w:t>
      </w:r>
    </w:p>
    <w:p>
      <w:pPr>
        <w:pStyle w:val="SourceNote"/>
      </w:pPr>
      <w:r>
        <w:rPr>
          <w:b/>
        </w:rPr>
        <w:t>Review status:</w:t>
      </w:r>
      <w:r>
        <w:t xml:space="preserve"> unchecked — possible relationship only</w:t>
      </w:r>
    </w:p>
    <w:p>
      <w:pPr>
        <w:pStyle w:val="Heading2"/>
      </w:pPr>
      <w:r>
        <w:t>163. Claim + two later sources: Population Projections and Demographic Knowledge in France and Great Britain in the Postwar Period</w:t>
      </w:r>
    </w:p>
    <w:p>
      <w:pPr>
        <w:pStyle w:val="SourceNote"/>
      </w:pPr>
      <w:r>
        <w:rPr>
          <w:b/>
        </w:rPr>
        <w:t>Group ID:</w:t>
      </w:r>
      <w:r>
        <w:t xml:space="preserve"> group-bb6868ecc79d9bc018ee</w:t>
      </w:r>
    </w:p>
    <w:p>
      <w:pPr>
        <w:pStyle w:val="SourceNote"/>
      </w:pPr>
      <w:r>
        <w:rPr>
          <w:b/>
        </w:rPr>
        <w:t>Original source:</w:t>
      </w:r>
      <w:r>
        <w:t xml:space="preserve"> https://doi.org/10.1111/j.1728-4457.2015.00047.x</w:t>
      </w:r>
    </w:p>
    <w:p>
      <w:pPr/>
      <w:r>
        <w:rPr>
          <w:b/>
        </w:rPr>
        <w:t>Original future claim:</w:t>
      </w:r>
      <w:r>
        <w:t xml:space="preserve"> 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r>
        <w:rPr>
          <w:b/>
        </w:rPr>
        <w:t>Later source:</w:t>
      </w:r>
      <w:r>
        <w:t xml:space="preserve"> Control and Contingency — https://doi.org/10.13135/2280-8574/13657</w:t>
      </w:r>
    </w:p>
    <w:p>
      <w:pPr/>
      <w:r>
        <w:rPr>
          <w:b/>
        </w:rPr>
        <w:t>Later source:</w:t>
      </w:r>
      <w:r>
        <w:t xml:space="preserve"> Labour unrest in the context of multiple crises: a comparative perspective of Europe — https://doi.org/10.1080/14742837.2025.2562879</w:t>
      </w:r>
    </w:p>
    <w:p>
      <w:pPr>
        <w:pStyle w:val="SourceNote"/>
      </w:pPr>
      <w:r>
        <w:rPr>
          <w:b/>
        </w:rPr>
        <w:t>Review status:</w:t>
      </w:r>
      <w:r>
        <w:t xml:space="preserve"> unchecked — possible relationship only</w:t>
      </w:r>
    </w:p>
    <w:p>
      <w:pPr>
        <w:pStyle w:val="Heading2"/>
      </w:pPr>
      <w:r>
        <w:t>164. Claim + two later sources: Conducting pre-foresight research: organizational aspect</w:t>
      </w:r>
    </w:p>
    <w:p>
      <w:pPr>
        <w:pStyle w:val="SourceNote"/>
      </w:pPr>
      <w:r>
        <w:rPr>
          <w:b/>
        </w:rPr>
        <w:t>Group ID:</w:t>
      </w:r>
      <w:r>
        <w:t xml:space="preserve"> group-bffc80b4c82adaf17ef8</w:t>
      </w:r>
    </w:p>
    <w:p>
      <w:pPr>
        <w:pStyle w:val="SourceNote"/>
      </w:pPr>
      <w:r>
        <w:rPr>
          <w:b/>
        </w:rPr>
        <w:t>Original source:</w:t>
      </w:r>
      <w:r>
        <w:t xml:space="preserve"> https://doi.org/10.15407/socium2021.02.026</w:t>
      </w:r>
    </w:p>
    <w:p>
      <w:pPr/>
      <w:r>
        <w:rPr>
          <w:b/>
        </w:rPr>
        <w:t>Original future claim:</w:t>
      </w:r>
      <w:r>
        <w:t xml:space="preserve"> 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r>
        <w:rPr>
          <w:b/>
        </w:rPr>
        <w:t>Later source:</w:t>
      </w:r>
      <w:r>
        <w:t xml:space="preserve"> CGT TECHNICAL DISCLOSURE BULLETIN V1 - Prior Art Publication for Inventions Derived from Conscious Geometry Theory — https://doi.org/10.5281/zenodo.18772630</w:t>
      </w:r>
    </w:p>
    <w:p>
      <w:pPr/>
      <w:r>
        <w:rPr>
          <w:b/>
        </w:rPr>
        <w:t>Later source:</w:t>
      </w:r>
      <w:r>
        <w:t xml:space="preserve"> FAIRsharing record for: FAIR Metric - R1.2 - Metadata - Linked Publications — https://doi.org/10.25504/fairsharing.653df6</w:t>
      </w:r>
    </w:p>
    <w:p>
      <w:pPr>
        <w:pStyle w:val="SourceNote"/>
      </w:pPr>
      <w:r>
        <w:rPr>
          <w:b/>
        </w:rPr>
        <w:t>Review status:</w:t>
      </w:r>
      <w:r>
        <w:t xml:space="preserve"> unchecked — possible relationship only</w:t>
      </w:r>
    </w:p>
    <w:p>
      <w:pPr>
        <w:pStyle w:val="Heading2"/>
      </w:pPr>
      <w:r>
        <w:t>165. Claim + two later sources: Where is the EU headed given its current climate policy? A stakeholder-driven model inter-comparison</w:t>
      </w:r>
    </w:p>
    <w:p>
      <w:pPr>
        <w:pStyle w:val="SourceNote"/>
      </w:pPr>
      <w:r>
        <w:rPr>
          <w:b/>
        </w:rPr>
        <w:t>Group ID:</w:t>
      </w:r>
      <w:r>
        <w:t xml:space="preserve"> group-e1f088c602166ace8d78</w:t>
      </w:r>
    </w:p>
    <w:p>
      <w:pPr>
        <w:pStyle w:val="SourceNote"/>
      </w:pPr>
      <w:r>
        <w:rPr>
          <w:b/>
        </w:rPr>
        <w:t>Original source:</w:t>
      </w:r>
      <w:r>
        <w:t xml:space="preserve"> https://doi.org/10.1016/j.scitotenv.2021.148549</w:t>
      </w:r>
    </w:p>
    <w:p>
      <w:pPr/>
      <w:r>
        <w:rPr>
          <w:b/>
        </w:rPr>
        <w:t>Original future claim:</w:t>
      </w:r>
      <w:r>
        <w:t xml:space="preserve"> 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r>
        <w:rPr>
          <w:b/>
        </w:rPr>
        <w:t>Later source:</w:t>
      </w:r>
      <w:r>
        <w:t xml:space="preserve"> The Rise of Social Science Infrastructures in Europe and Italy — https://doi.org/10.1007/978-3-032-07005-0_5</w:t>
      </w:r>
    </w:p>
    <w:p>
      <w:pPr/>
      <w:r>
        <w:rPr>
          <w:b/>
        </w:rPr>
        <w:t>Later source:</w:t>
      </w:r>
      <w:r>
        <w:t xml:space="preserve"> A unifying modelling of multiple land degradation pathways in Europe — https://doi.org/10.1038/s41467-024-48252-x</w:t>
      </w:r>
    </w:p>
    <w:p>
      <w:pPr>
        <w:pStyle w:val="SourceNote"/>
      </w:pPr>
      <w:r>
        <w:rPr>
          <w:b/>
        </w:rPr>
        <w:t>Review status:</w:t>
      </w:r>
      <w:r>
        <w:t xml:space="preserve"> unchecked — possible relationship only</w:t>
      </w:r>
    </w:p>
    <w:p>
      <w:pPr>
        <w:pStyle w:val="Heading2"/>
      </w:pPr>
      <w:r>
        <w:t>166. Claim + two later sources: A threat to climate-secure European futures? Exploring racial logics and climate-induced migration in US and EU climate security discourses</w:t>
      </w:r>
    </w:p>
    <w:p>
      <w:pPr>
        <w:pStyle w:val="SourceNote"/>
      </w:pPr>
      <w:r>
        <w:rPr>
          <w:b/>
        </w:rPr>
        <w:t>Group ID:</w:t>
      </w:r>
      <w:r>
        <w:t xml:space="preserve"> group-6ed3dad5df118e85d57f</w:t>
      </w:r>
    </w:p>
    <w:p>
      <w:pPr>
        <w:pStyle w:val="SourceNote"/>
      </w:pPr>
      <w:r>
        <w:rPr>
          <w:b/>
        </w:rPr>
        <w:t>Original source:</w:t>
      </w:r>
      <w:r>
        <w:t xml:space="preserve"> https://doi.org/10.1016/j.geoforum.2018.08.021</w:t>
      </w:r>
    </w:p>
    <w:p>
      <w:pPr/>
      <w:r>
        <w:rPr>
          <w:b/>
        </w:rPr>
        <w:t>Original future claim:</w:t>
      </w:r>
      <w:r>
        <w:t xml:space="preserve"> 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r>
        <w:rPr>
          <w:b/>
        </w:rPr>
        <w:t>Later source:</w:t>
      </w:r>
      <w:r>
        <w:t xml:space="preserve"> Discursive borders in EUrope — https://doi.org/10.82444/warw.33764785</w:t>
      </w:r>
    </w:p>
    <w:p>
      <w:pPr/>
      <w:r>
        <w:rPr>
          <w:b/>
        </w:rPr>
        <w:t>Later source:</w:t>
      </w:r>
      <w:r>
        <w:t xml:space="preserve"> Reconceptualizing Interregionalism through Asia-Europe Meeting (ASEM): A Corpus-Assisted Critical Discourse Analysis — https://openalex.org/W4414920263</w:t>
      </w:r>
    </w:p>
    <w:p>
      <w:pPr>
        <w:pStyle w:val="SourceNote"/>
      </w:pPr>
      <w:r>
        <w:rPr>
          <w:b/>
        </w:rPr>
        <w:t>Review status:</w:t>
      </w:r>
      <w:r>
        <w:t xml:space="preserve"> unchecked — possible relationship only</w:t>
      </w:r>
    </w:p>
    <w:p>
      <w:pPr>
        <w:pStyle w:val="Heading2"/>
      </w:pPr>
      <w:r>
        <w:t>167. Claim + two later sources: Animal health aspects of adaptation to climate change: beating the heat and parasites in a warming Europe</w:t>
      </w:r>
    </w:p>
    <w:p>
      <w:pPr>
        <w:pStyle w:val="SourceNote"/>
      </w:pPr>
      <w:r>
        <w:rPr>
          <w:b/>
        </w:rPr>
        <w:t>Group ID:</w:t>
      </w:r>
      <w:r>
        <w:t xml:space="preserve"> group-e953a0591ad9c440e9c0</w:t>
      </w:r>
    </w:p>
    <w:p>
      <w:pPr>
        <w:pStyle w:val="SourceNote"/>
      </w:pPr>
      <w:r>
        <w:rPr>
          <w:b/>
        </w:rPr>
        <w:t>Original source:</w:t>
      </w:r>
      <w:r>
        <w:t xml:space="preserve"> https://doi.org/10.1017/s175173111300075x</w:t>
      </w:r>
    </w:p>
    <w:p>
      <w:pPr/>
      <w:r>
        <w:rPr>
          <w:b/>
        </w:rPr>
        <w:t>Original future claim:</w:t>
      </w:r>
      <w:r>
        <w:t xml:space="preserve"> 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r>
        <w:rPr>
          <w:b/>
        </w:rPr>
        <w:t>Later source:</w:t>
      </w:r>
      <w:r>
        <w:t xml:space="preserve"> Epidemiology and Economic Burden of Sleep Disorders in Europe — https://doi.org/10.1111/ene.70463</w:t>
      </w:r>
    </w:p>
    <w:p>
      <w:pPr/>
      <w:r>
        <w:rPr>
          <w:b/>
        </w:rPr>
        <w:t>Later source:</w:t>
      </w:r>
      <w:r>
        <w:t xml:space="preserve"> Direct and Indirect Regulations for Medical Devices in Europe and Germany — https://doi.org/10.1007/978-3-032-03577-6_14</w:t>
      </w:r>
    </w:p>
    <w:p>
      <w:pPr>
        <w:pStyle w:val="SourceNote"/>
      </w:pPr>
      <w:r>
        <w:rPr>
          <w:b/>
        </w:rPr>
        <w:t>Review status:</w:t>
      </w:r>
      <w:r>
        <w:t xml:space="preserve"> unchecked — possible relationship only</w:t>
      </w:r>
    </w:p>
    <w:p>
      <w:pPr>
        <w:pStyle w:val="Heading2"/>
      </w:pPr>
      <w:r>
        <w:t>168. Claim + two later sources: The pitfalls of ecological forecasting</w:t>
      </w:r>
    </w:p>
    <w:p>
      <w:pPr>
        <w:pStyle w:val="SourceNote"/>
      </w:pPr>
      <w:r>
        <w:rPr>
          <w:b/>
        </w:rPr>
        <w:t>Group ID:</w:t>
      </w:r>
      <w:r>
        <w:t xml:space="preserve"> group-af81a6e887609bc61a6e</w:t>
      </w:r>
    </w:p>
    <w:p>
      <w:pPr>
        <w:pStyle w:val="SourceNote"/>
      </w:pPr>
      <w:r>
        <w:rPr>
          <w:b/>
        </w:rPr>
        <w:t>Original source:</w:t>
      </w:r>
      <w:r>
        <w:t xml:space="preserve"> https://doi.org/10.1111/bij.12579</w:t>
      </w:r>
    </w:p>
    <w:p>
      <w:pPr/>
      <w:r>
        <w:rPr>
          <w:b/>
        </w:rPr>
        <w:t>Original future claim:</w:t>
      </w:r>
      <w:r>
        <w:t xml:space="preserve"> 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r>
        <w:rPr>
          <w:b/>
        </w:rPr>
        <w:t>Later source:</w:t>
      </w:r>
      <w:r>
        <w:t xml:space="preserve"> Increasing Inclusivity in Biological Recording in the United Kingdom: Progress to Date and Future Priorities — https://doi.org/10.5334/cstp.894</w:t>
      </w:r>
    </w:p>
    <w:p>
      <w:pPr/>
      <w:r>
        <w:rPr>
          <w:b/>
        </w:rPr>
        <w:t>Later source:</w:t>
      </w:r>
      <w:r>
        <w:t xml:space="preserve"> Biocompatible Lubricant-Coated Flexible Neural Probes with Enhanced Long-Term Recording Stability — https://doi.org/10.1021/acsabm.5c02232</w:t>
      </w:r>
    </w:p>
    <w:p>
      <w:pPr>
        <w:pStyle w:val="SourceNote"/>
      </w:pPr>
      <w:r>
        <w:rPr>
          <w:b/>
        </w:rPr>
        <w:t>Review status:</w:t>
      </w:r>
      <w:r>
        <w:t xml:space="preserve"> unchecked — possible relationship only</w:t>
      </w:r>
    </w:p>
    <w:p>
      <w:pPr>
        <w:pStyle w:val="Heading2"/>
      </w:pPr>
      <w:r>
        <w:t>169. Claim + two later sources: Climate Change Effects on Heat- and Cold-Related Mortality in the Netherlands: A Scenario-Based Integrated Environmental Health Impact Assessment</w:t>
      </w:r>
    </w:p>
    <w:p>
      <w:pPr>
        <w:pStyle w:val="SourceNote"/>
      </w:pPr>
      <w:r>
        <w:rPr>
          <w:b/>
        </w:rPr>
        <w:t>Group ID:</w:t>
      </w:r>
      <w:r>
        <w:t xml:space="preserve"> group-83b585d52255fc9b4455</w:t>
      </w:r>
    </w:p>
    <w:p>
      <w:pPr>
        <w:pStyle w:val="SourceNote"/>
      </w:pPr>
      <w:r>
        <w:rPr>
          <w:b/>
        </w:rPr>
        <w:t>Original source:</w:t>
      </w:r>
      <w:r>
        <w:t xml:space="preserve"> https://doi.org/10.3390/ijerph121013295</w:t>
      </w:r>
    </w:p>
    <w:p>
      <w:pPr/>
      <w:r>
        <w:rPr>
          <w:b/>
        </w:rPr>
        <w:t>Original future claim:</w:t>
      </w:r>
      <w:r>
        <w:t xml:space="preserve"> 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r>
        <w:rPr>
          <w:b/>
        </w:rPr>
        <w:t>Later source:</w:t>
      </w:r>
      <w:r>
        <w:t xml:space="preserve"> Exploring decarbonisation strategies in the Southern-European region of Catalonia through a multi-scenario assessment — https://doi.org/10.1016/j.esr.2026.102184</w:t>
      </w:r>
    </w:p>
    <w:p>
      <w:pPr/>
      <w:r>
        <w:rPr>
          <w:b/>
        </w:rPr>
        <w:t>Later source:</w:t>
      </w:r>
      <w:r>
        <w:t xml:space="preserve"> Heat-related health impacts across national mitigation and urban adaptation scenarios in European cities - Data — https://doi.org/10.5281/zenodo.20666093</w:t>
      </w:r>
    </w:p>
    <w:p>
      <w:pPr>
        <w:pStyle w:val="SourceNote"/>
      </w:pPr>
      <w:r>
        <w:rPr>
          <w:b/>
        </w:rPr>
        <w:t>Review status:</w:t>
      </w:r>
      <w:r>
        <w:t xml:space="preserve"> unchecked — possible relationship only</w:t>
      </w:r>
    </w:p>
    <w:p>
      <w:pPr>
        <w:pStyle w:val="Heading2"/>
      </w:pPr>
      <w:r>
        <w:t>170. Claim + two later sources: Scenario planning: An alternative approach to European Commission for combating antimicrobial resistance by 2050</w:t>
      </w:r>
    </w:p>
    <w:p>
      <w:pPr>
        <w:pStyle w:val="SourceNote"/>
      </w:pPr>
      <w:r>
        <w:rPr>
          <w:b/>
        </w:rPr>
        <w:t>Group ID:</w:t>
      </w:r>
      <w:r>
        <w:t xml:space="preserve"> group-891bc6c63eb44b232f4f</w:t>
      </w:r>
    </w:p>
    <w:p>
      <w:pPr>
        <w:pStyle w:val="SourceNote"/>
      </w:pPr>
      <w:r>
        <w:rPr>
          <w:b/>
        </w:rPr>
        <w:t>Original source:</w:t>
      </w:r>
      <w:r>
        <w:t xml:space="preserve"> https://doi.org/10.11576/seejph-4312</w:t>
      </w:r>
    </w:p>
    <w:p>
      <w:pPr/>
      <w:r>
        <w:rPr>
          <w:b/>
        </w:rPr>
        <w:t>Original future claim:</w:t>
      </w:r>
      <w:r>
        <w:t xml:space="preserve"> 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r>
        <w:rPr>
          <w:b/>
        </w:rPr>
        <w:t>Later source:</w:t>
      </w:r>
      <w:r>
        <w:t xml:space="preserve"> Mapping Slovenia’s global health engagement: alignment with European Union and national global health strategies — https://doi.org/10.1186/s41043-025-01125-5</w:t>
      </w:r>
    </w:p>
    <w:p>
      <w:pPr/>
      <w:r>
        <w:rPr>
          <w:b/>
        </w:rPr>
        <w:t>Later source:</w:t>
      </w:r>
      <w:r>
        <w:t xml:space="preserve"> Four leaders, four decades: leadership and European parliament's secretaries-general — https://doi.org/10.4324/9781003753483-10</w:t>
      </w:r>
    </w:p>
    <w:p>
      <w:pPr>
        <w:pStyle w:val="SourceNote"/>
      </w:pPr>
      <w:r>
        <w:rPr>
          <w:b/>
        </w:rPr>
        <w:t>Review status:</w:t>
      </w:r>
      <w:r>
        <w:t xml:space="preserve"> unchecked — possible relationship only</w:t>
      </w:r>
    </w:p>
    <w:p>
      <w:pPr>
        <w:pStyle w:val="Heading2"/>
      </w:pPr>
      <w:r>
        <w:t>171. Claim + two later sources: From bioethanol containing fuels towards a fuel economy that includes methanol derived from renewable sources and the impact on European Union decision-making on transition pathways</w:t>
      </w:r>
    </w:p>
    <w:p>
      <w:pPr>
        <w:pStyle w:val="SourceNote"/>
      </w:pPr>
      <w:r>
        <w:rPr>
          <w:b/>
        </w:rPr>
        <w:t>Group ID:</w:t>
      </w:r>
      <w:r>
        <w:t xml:space="preserve"> group-54b708e097a1f57caf72</w:t>
      </w:r>
    </w:p>
    <w:p>
      <w:pPr>
        <w:pStyle w:val="SourceNote"/>
      </w:pPr>
      <w:r>
        <w:rPr>
          <w:b/>
        </w:rPr>
        <w:t>Original source:</w:t>
      </w:r>
      <w:r>
        <w:t xml:space="preserve"> https://doi.org/10.1016/j.rser.2019.109667</w:t>
      </w:r>
    </w:p>
    <w:p>
      <w:pPr/>
      <w:r>
        <w:rPr>
          <w:b/>
        </w:rPr>
        <w:t>Original future claim:</w:t>
      </w:r>
      <w:r>
        <w:t xml:space="preserve"> 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r>
        <w:rPr>
          <w:b/>
        </w:rPr>
        <w:t>Later source:</w:t>
      </w:r>
      <w:r>
        <w:t xml:space="preserve"> Towards a decision-making framework for optimal vehicle lightweighting in the European towed caravan sector — https://doi.org/10.82444/warw.33913783</w:t>
      </w:r>
    </w:p>
    <w:p>
      <w:pPr/>
      <w:r>
        <w:rPr>
          <w:b/>
        </w:rPr>
        <w:t>Later source:</w:t>
      </w:r>
      <w:r>
        <w:t xml:space="preserve"> Sea Level Rise in Europe: Adaptation measures and decision-making principles — https://doi.org/10.5194/sp-3-slre1-6-2024</w:t>
      </w:r>
    </w:p>
    <w:p>
      <w:pPr>
        <w:pStyle w:val="SourceNote"/>
      </w:pPr>
      <w:r>
        <w:rPr>
          <w:b/>
        </w:rPr>
        <w:t>Review status:</w:t>
      </w:r>
      <w:r>
        <w:t xml:space="preserve"> unchecked — possible relationship only</w:t>
      </w:r>
    </w:p>
    <w:p>
      <w:pPr>
        <w:pStyle w:val="Heading2"/>
      </w:pPr>
      <w:r>
        <w:t>172. Claim + two later sources: Are the EU climate ambitions reflected on member-state level for greenhouse gas reductions and renewable energy consumption shares?</w:t>
      </w:r>
    </w:p>
    <w:p>
      <w:pPr>
        <w:pStyle w:val="SourceNote"/>
      </w:pPr>
      <w:r>
        <w:rPr>
          <w:b/>
        </w:rPr>
        <w:t>Group ID:</w:t>
      </w:r>
      <w:r>
        <w:t xml:space="preserve"> group-62bf9a3d274fcf3acc9b</w:t>
      </w:r>
    </w:p>
    <w:p>
      <w:pPr>
        <w:pStyle w:val="SourceNote"/>
      </w:pPr>
      <w:r>
        <w:rPr>
          <w:b/>
        </w:rPr>
        <w:t>Original source:</w:t>
      </w:r>
      <w:r>
        <w:t xml:space="preserve"> https://doi.org/10.1016/j.esr.2022.100936</w:t>
      </w:r>
    </w:p>
    <w:p>
      <w:pPr/>
      <w:r>
        <w:rPr>
          <w:b/>
        </w:rPr>
        <w:t>Original future claim:</w:t>
      </w:r>
      <w:r>
        <w:t xml:space="preserve"> Though some countries have consistent targets, the annual GHG reduction rate of the EU has to be tripled up to −3% per year until 2030. The required objective for RES is achievable but the growth rate has to be increased to 2% to fulfill the announced ambitions by 2030.</w:t>
      </w:r>
    </w:p>
    <w:p>
      <w:pPr/>
      <w:r>
        <w:rPr>
          <w:b/>
        </w:rPr>
        <w:t>Later source:</w:t>
      </w:r>
      <w:r>
        <w:t xml:space="preserve"> Spatial contexts and educational inequalities in European countries — https://doi.org/10.5281/zenodo.18377623</w:t>
      </w:r>
    </w:p>
    <w:p>
      <w:pPr/>
      <w:r>
        <w:rPr>
          <w:b/>
        </w:rPr>
        <w:t>Later source:</w:t>
      </w:r>
      <w:r>
        <w:t xml:space="preserve"> Pro-environmental behaviour in Europe: A comparison across individuals, countries and time — https://openalex.org/W7160008135</w:t>
      </w:r>
    </w:p>
    <w:p>
      <w:pPr>
        <w:pStyle w:val="SourceNote"/>
      </w:pPr>
      <w:r>
        <w:rPr>
          <w:b/>
        </w:rPr>
        <w:t>Review status:</w:t>
      </w:r>
      <w:r>
        <w:t xml:space="preserve"> unchecked — possible relationship only</w:t>
      </w:r>
    </w:p>
    <w:p>
      <w:pPr>
        <w:pStyle w:val="Heading2"/>
      </w:pPr>
      <w:r>
        <w:t>173. Claim + two later sources: How climate, migration ability and habitat fragmentation affect the projected future distribution of European beech</w:t>
      </w:r>
    </w:p>
    <w:p>
      <w:pPr>
        <w:pStyle w:val="SourceNote"/>
      </w:pPr>
      <w:r>
        <w:rPr>
          <w:b/>
        </w:rPr>
        <w:t>Group ID:</w:t>
      </w:r>
      <w:r>
        <w:t xml:space="preserve"> group-6909c21c5f5e4d85722b</w:t>
      </w:r>
    </w:p>
    <w:p>
      <w:pPr>
        <w:pStyle w:val="SourceNote"/>
      </w:pPr>
      <w:r>
        <w:rPr>
          <w:b/>
        </w:rPr>
        <w:t>Original source:</w:t>
      </w:r>
      <w:r>
        <w:t xml:space="preserve"> https://doi.org/10.1111/gcb.12771</w:t>
      </w:r>
    </w:p>
    <w:p>
      <w:pPr/>
      <w:r>
        <w:rPr>
          <w:b/>
        </w:rPr>
        <w:t>Original future claim:</w:t>
      </w:r>
      <w:r>
        <w:t xml:space="preserve"> 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r>
        <w:rPr>
          <w:b/>
        </w:rPr>
        <w:t>Later source:</w:t>
      </w:r>
      <w:r>
        <w:t xml:space="preserve"> Marine fish ranges are expanding and shifting deeper across the European continental shelf — https://doi.org/10.1038/s41467-026-74371-8</w:t>
      </w:r>
    </w:p>
    <w:p>
      <w:pPr/>
      <w:r>
        <w:rPr>
          <w:b/>
        </w:rPr>
        <w:t>Later source:</w:t>
      </w:r>
      <w:r>
        <w:t xml:space="preserve"> Taxus tree-ring chronologies from southern England reveal western European hydroclimate changes over the past three centuries — https://doi.org/10.1007/s00382-025-07601-2</w:t>
      </w:r>
    </w:p>
    <w:p>
      <w:pPr>
        <w:pStyle w:val="SourceNote"/>
      </w:pPr>
      <w:r>
        <w:rPr>
          <w:b/>
        </w:rPr>
        <w:t>Review status:</w:t>
      </w:r>
      <w:r>
        <w:t xml:space="preserve"> unchecked — possible relationship only</w:t>
      </w:r>
    </w:p>
    <w:p>
      <w:pPr>
        <w:pStyle w:val="Heading2"/>
      </w:pPr>
      <w:r>
        <w:t>174. Claim + two later sources: Least cost energy system pathways towards 100% renewable energy in Ireland by 2050</w:t>
      </w:r>
    </w:p>
    <w:p>
      <w:pPr>
        <w:pStyle w:val="SourceNote"/>
      </w:pPr>
      <w:r>
        <w:rPr>
          <w:b/>
        </w:rPr>
        <w:t>Group ID:</w:t>
      </w:r>
      <w:r>
        <w:t xml:space="preserve"> group-59c744adbd474ba854ae</w:t>
      </w:r>
    </w:p>
    <w:p>
      <w:pPr>
        <w:pStyle w:val="SourceNote"/>
      </w:pPr>
      <w:r>
        <w:rPr>
          <w:b/>
        </w:rPr>
        <w:t>Original source:</w:t>
      </w:r>
      <w:r>
        <w:t xml:space="preserve"> https://doi.org/10.1016/j.energy.2020.118264</w:t>
      </w:r>
    </w:p>
    <w:p>
      <w:pPr/>
      <w:r>
        <w:rPr>
          <w:b/>
        </w:rPr>
        <w:t>Original future claim:</w:t>
      </w:r>
      <w:r>
        <w:t xml:space="preserve"> 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r>
        <w:rPr>
          <w:b/>
        </w:rPr>
        <w:t>Later source:</w:t>
      </w:r>
      <w:r>
        <w:t xml:space="preserve"> Towards a decision-making framework for optimal vehicle lightweighting in the European towed caravan sector — https://doi.org/10.82444/warw.33913783</w:t>
      </w:r>
    </w:p>
    <w:p>
      <w:pPr/>
      <w:r>
        <w:rPr>
          <w:b/>
        </w:rPr>
        <w:t>Later source:</w:t>
      </w:r>
      <w:r>
        <w:t xml:space="preserve"> Oncoplastic breast surgery in Europe — https://doi.org/10.21037/gs-23-380</w:t>
      </w:r>
    </w:p>
    <w:p>
      <w:pPr>
        <w:pStyle w:val="SourceNote"/>
      </w:pPr>
      <w:r>
        <w:rPr>
          <w:b/>
        </w:rPr>
        <w:t>Review status:</w:t>
      </w:r>
      <w:r>
        <w:t xml:space="preserve"> unchecked — possible relationship only</w:t>
      </w:r>
    </w:p>
    <w:p>
      <w:pPr>
        <w:pStyle w:val="Heading2"/>
      </w:pPr>
      <w:r>
        <w:t>175. Claim + two later sources: The Deliberative Practice of Vision Mobility 2050: Vision-making for Sustainable Mobility in the Region of Munich?</w:t>
      </w:r>
    </w:p>
    <w:p>
      <w:pPr>
        <w:pStyle w:val="SourceNote"/>
      </w:pPr>
      <w:r>
        <w:rPr>
          <w:b/>
        </w:rPr>
        <w:t>Group ID:</w:t>
      </w:r>
      <w:r>
        <w:t xml:space="preserve"> group-f89859003642ab279bf2</w:t>
      </w:r>
    </w:p>
    <w:p>
      <w:pPr>
        <w:pStyle w:val="SourceNote"/>
      </w:pPr>
      <w:r>
        <w:rPr>
          <w:b/>
        </w:rPr>
        <w:t>Original source:</w:t>
      </w:r>
      <w:r>
        <w:t xml:space="preserve"> https://doi.org/10.1016/j.trpro.2016.12.096</w:t>
      </w:r>
    </w:p>
    <w:p>
      <w:pPr/>
      <w:r>
        <w:rPr>
          <w:b/>
        </w:rPr>
        <w:t>Original future claim:</w:t>
      </w:r>
      <w:r>
        <w:t xml:space="preserve"> 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r>
        <w:rPr>
          <w:b/>
        </w:rPr>
        <w:t>Later source:</w:t>
      </w:r>
      <w:r>
        <w:t xml:space="preserve"> Monitoring the Screens: Current Challenges of Minority Language Media in the Context of the Council of Europe — https://doi.org/10.1163/15718115-bja10260</w:t>
      </w:r>
    </w:p>
    <w:p>
      <w:pPr/>
      <w:r>
        <w:rPr>
          <w:b/>
        </w:rPr>
        <w:t>Later source:</w:t>
      </w:r>
      <w:r>
        <w:t xml:space="preserve"> Learning in European Administrative Networks: a process to all or only to a few? — https://doi.org/10.1017/s0143814x24000011</w:t>
      </w:r>
    </w:p>
    <w:p>
      <w:pPr>
        <w:pStyle w:val="SourceNote"/>
      </w:pPr>
      <w:r>
        <w:rPr>
          <w:b/>
        </w:rPr>
        <w:t>Review status:</w:t>
      </w:r>
      <w:r>
        <w:t xml:space="preserve"> unchecked — possible relationship only</w:t>
      </w:r>
    </w:p>
    <w:p>
      <w:pPr>
        <w:pStyle w:val="Heading2"/>
      </w:pPr>
      <w:r>
        <w:t>176. Claim + two later sources: The role of district heating systems to provide balancing services in the European Union</w:t>
      </w:r>
    </w:p>
    <w:p>
      <w:pPr>
        <w:pStyle w:val="SourceNote"/>
      </w:pPr>
      <w:r>
        <w:rPr>
          <w:b/>
        </w:rPr>
        <w:t>Group ID:</w:t>
      </w:r>
      <w:r>
        <w:t xml:space="preserve"> group-504cb671ad565400bd02</w:t>
      </w:r>
    </w:p>
    <w:p>
      <w:pPr>
        <w:pStyle w:val="SourceNote"/>
      </w:pPr>
      <w:r>
        <w:rPr>
          <w:b/>
        </w:rPr>
        <w:t>Original source:</w:t>
      </w:r>
      <w:r>
        <w:t xml:space="preserve"> https://doi.org/10.1016/j.rser.2021.111853</w:t>
      </w:r>
    </w:p>
    <w:p>
      <w:pPr/>
      <w:r>
        <w:rPr>
          <w:b/>
        </w:rPr>
        <w:t>Original future claim:</w:t>
      </w:r>
      <w:r>
        <w:t xml:space="preserve"> 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r>
        <w:rPr>
          <w:b/>
        </w:rPr>
        <w:t>Later source:</w:t>
      </w:r>
      <w:r>
        <w:t xml:space="preserve"> Toward a Sustainable Energy Production System Based on Concentrated Solar Power Plants: Social and Water Availability Issues — https://doi.org/10.1021/acssuschemeng.5c11213</w:t>
      </w:r>
    </w:p>
    <w:p>
      <w:pPr/>
      <w:r>
        <w:rPr>
          <w:b/>
        </w:rPr>
        <w:t>Later source:</w:t>
      </w:r>
      <w:r>
        <w:t xml:space="preserve"> Smart Energy and Energy Communities: A Review of Innovation Proposals for Global and Local Sustainability — https://doi.org/10.15446/sicel.v12.121196</w:t>
      </w:r>
    </w:p>
    <w:p>
      <w:pPr>
        <w:pStyle w:val="SourceNote"/>
      </w:pPr>
      <w:r>
        <w:rPr>
          <w:b/>
        </w:rPr>
        <w:t>Review status:</w:t>
      </w:r>
      <w:r>
        <w:t xml:space="preserve"> unchecked — possible relationship only</w:t>
      </w:r>
    </w:p>
    <w:p>
      <w:pPr>
        <w:pStyle w:val="Heading2"/>
      </w:pPr>
      <w:r>
        <w:t>177. Claim + two later sources: Scenario‐based fertility projections incorporating impacts of COVID‐19</w:t>
      </w:r>
    </w:p>
    <w:p>
      <w:pPr>
        <w:pStyle w:val="SourceNote"/>
      </w:pPr>
      <w:r>
        <w:rPr>
          <w:b/>
        </w:rPr>
        <w:t>Group ID:</w:t>
      </w:r>
      <w:r>
        <w:t xml:space="preserve"> group-19b9ed186cd6d03d66ec</w:t>
      </w:r>
    </w:p>
    <w:p>
      <w:pPr>
        <w:pStyle w:val="SourceNote"/>
      </w:pPr>
      <w:r>
        <w:rPr>
          <w:b/>
        </w:rPr>
        <w:t>Original source:</w:t>
      </w:r>
      <w:r>
        <w:t xml:space="preserve"> https://doi.org/10.1002/psp.2546</w:t>
      </w:r>
    </w:p>
    <w:p>
      <w:pPr/>
      <w:r>
        <w:rPr>
          <w:b/>
        </w:rPr>
        <w:t>Original future claim:</w:t>
      </w:r>
      <w:r>
        <w:t xml:space="preserve"> 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r>
        <w:rPr>
          <w:b/>
        </w:rPr>
        <w:t>Later source:</w:t>
      </w:r>
      <w:r>
        <w:t xml:space="preserve"> The Inevitability of Projection: The Three-Term Equation as the Mother Equation of the Quantum Blueprint Formalism — https://doi.org/10.5281/zenodo.18527042</w:t>
      </w:r>
    </w:p>
    <w:p>
      <w:pPr/>
      <w:r>
        <w:rPr>
          <w:b/>
        </w:rPr>
        <w:t>Later source:</w:t>
      </w:r>
      <w:r>
        <w:t xml:space="preserve"> Geometry, Sound, and Time as Three Projections of One Contact Band — https://doi.org/10.5281/zenodo.19593317</w:t>
      </w:r>
    </w:p>
    <w:p>
      <w:pPr>
        <w:pStyle w:val="SourceNote"/>
      </w:pPr>
      <w:r>
        <w:rPr>
          <w:b/>
        </w:rPr>
        <w:t>Review status:</w:t>
      </w:r>
      <w:r>
        <w:t xml:space="preserve"> unchecked — possible relationship only</w:t>
      </w:r>
    </w:p>
    <w:p>
      <w:pPr>
        <w:pStyle w:val="Heading2"/>
      </w:pPr>
      <w:r>
        <w:t>178. Claim + two later sources: Scenarios for selected maritime economic functions</w:t>
      </w:r>
    </w:p>
    <w:p>
      <w:pPr>
        <w:pStyle w:val="SourceNote"/>
      </w:pPr>
      <w:r>
        <w:rPr>
          <w:b/>
        </w:rPr>
        <w:t>Group ID:</w:t>
      </w:r>
      <w:r>
        <w:t xml:space="preserve"> group-26d4eaeaeec17f2475e7</w:t>
      </w:r>
    </w:p>
    <w:p>
      <w:pPr>
        <w:pStyle w:val="SourceNote"/>
      </w:pPr>
      <w:r>
        <w:rPr>
          <w:b/>
        </w:rPr>
        <w:t>Original source:</w:t>
      </w:r>
      <w:r>
        <w:t xml:space="preserve"> https://doi.org/10.1007/s40309-013-0011-8</w:t>
      </w:r>
    </w:p>
    <w:p>
      <w:pPr/>
      <w:r>
        <w:rPr>
          <w:b/>
        </w:rPr>
        <w:t>Original future claim:</w:t>
      </w:r>
      <w:r>
        <w:t xml:space="preserve"> 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r>
        <w:rPr>
          <w:b/>
        </w:rPr>
        <w:t>Later source:</w:t>
      </w:r>
      <w:r>
        <w:t xml:space="preserve"> Soil degradation in Europe is projected to accelerate under changing land use and climate — https://doi.org/10.1038/s44458-026-00064-4</w:t>
      </w:r>
    </w:p>
    <w:p>
      <w:pPr/>
      <w:r>
        <w:rPr>
          <w:b/>
        </w:rPr>
        <w:t>Later source:</w:t>
      </w:r>
      <w:r>
        <w:t xml:space="preserve"> The Blue Beret — https://doi.org/10.5204/mcj.2969</w:t>
      </w:r>
    </w:p>
    <w:p>
      <w:pPr>
        <w:pStyle w:val="SourceNote"/>
      </w:pPr>
      <w:r>
        <w:rPr>
          <w:b/>
        </w:rPr>
        <w:t>Review status:</w:t>
      </w:r>
      <w:r>
        <w:t xml:space="preserve"> unchecked — possible relationship only</w:t>
      </w:r>
    </w:p>
    <w:p>
      <w:pPr>
        <w:pStyle w:val="Heading2"/>
      </w:pPr>
      <w:r>
        <w:t>179. Claim + two later sources: Towards Europe 2035 - In Search of the Archimedean Screw: FOCUS in Perspective</w:t>
      </w:r>
    </w:p>
    <w:p>
      <w:pPr>
        <w:pStyle w:val="SourceNote"/>
      </w:pPr>
      <w:r>
        <w:rPr>
          <w:b/>
        </w:rPr>
        <w:t>Group ID:</w:t>
      </w:r>
      <w:r>
        <w:t xml:space="preserve"> group-77a7721aa449a175fd30</w:t>
      </w:r>
    </w:p>
    <w:p>
      <w:pPr>
        <w:pStyle w:val="SourceNote"/>
      </w:pPr>
      <w:r>
        <w:rPr>
          <w:b/>
        </w:rPr>
        <w:t>Original source:</w:t>
      </w:r>
      <w:r>
        <w:t xml:space="preserve"> https://doi.org/10.11610/isij.2912</w:t>
      </w:r>
    </w:p>
    <w:p>
      <w:pPr/>
      <w:r>
        <w:rPr>
          <w:b/>
        </w:rPr>
        <w:t>Original future claim:</w:t>
      </w:r>
      <w:r>
        <w:t xml:space="preserve"> 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r>
        <w:rPr>
          <w:b/>
        </w:rPr>
        <w:t>Later source:</w:t>
      </w:r>
      <w:r>
        <w:t xml:space="preserve"> EUROPEAN STRATEGIES FOR CROSS-SECTORAL COOPERATION THROUGH A PROJECT-BASED APPROACH IN PUBLIC ADMINISTRATION — https://doi.org/10.30838/ep.197.187-192</w:t>
      </w:r>
    </w:p>
    <w:p>
      <w:pPr/>
      <w:r>
        <w:rPr>
          <w:b/>
        </w:rPr>
        <w:t>Later source:</w:t>
      </w:r>
      <w:r>
        <w:t xml:space="preserve"> Safe and Sound: Governance for Planning Public Space in a Security-by-Design Paradigm — https://doi.org/10.3390/urbansci9070241</w:t>
      </w:r>
    </w:p>
    <w:p>
      <w:pPr>
        <w:pStyle w:val="SourceNote"/>
      </w:pPr>
      <w:r>
        <w:rPr>
          <w:b/>
        </w:rPr>
        <w:t>Review status:</w:t>
      </w:r>
      <w:r>
        <w:t xml:space="preserve"> unchecked — possible relationship only</w:t>
      </w:r>
    </w:p>
    <w:p>
      <w:pPr>
        <w:pStyle w:val="Heading2"/>
      </w:pPr>
      <w:r>
        <w:t>180. Claim + two later sources: Towards an assessment of adaptive capacity of the European agricultural sector to droughts</w:t>
      </w:r>
    </w:p>
    <w:p>
      <w:pPr>
        <w:pStyle w:val="SourceNote"/>
      </w:pPr>
      <w:r>
        <w:rPr>
          <w:b/>
        </w:rPr>
        <w:t>Group ID:</w:t>
      </w:r>
      <w:r>
        <w:t xml:space="preserve"> group-26503cf10387e0eaa652</w:t>
      </w:r>
    </w:p>
    <w:p>
      <w:pPr>
        <w:pStyle w:val="SourceNote"/>
      </w:pPr>
      <w:r>
        <w:rPr>
          <w:b/>
        </w:rPr>
        <w:t>Original source:</w:t>
      </w:r>
      <w:r>
        <w:t xml:space="preserve"> https://doi.org/10.1016/j.cliser.2016.10.003</w:t>
      </w:r>
    </w:p>
    <w:p>
      <w:pPr/>
      <w:r>
        <w:rPr>
          <w:b/>
        </w:rPr>
        <w:t>Original future claim:</w:t>
      </w:r>
      <w:r>
        <w:t xml:space="preserve"> 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r>
        <w:rPr>
          <w:b/>
        </w:rPr>
        <w:t>Later source:</w:t>
      </w:r>
      <w:r>
        <w:t xml:space="preserve"> EMULATION OF A NUMERICAL URBAN MODEL TO CREATE HIGH-RESOLUTION NEAR SURFACE AIR TEMPERATURE OVER EUROPEAN CITIES — https://doi.org/10.22541/essoar.173671231.11835703/v1</w:t>
      </w:r>
    </w:p>
    <w:p>
      <w:pPr/>
      <w:r>
        <w:rPr>
          <w:b/>
        </w:rPr>
        <w:t>Later source:</w:t>
      </w:r>
      <w:r>
        <w:t xml:space="preserve"> High resolution maps of European agricultural indicators — https://doi.org/10.5194/egusphere-egu25-16510</w:t>
      </w:r>
    </w:p>
    <w:p>
      <w:pPr>
        <w:pStyle w:val="SourceNote"/>
      </w:pPr>
      <w:r>
        <w:rPr>
          <w:b/>
        </w:rPr>
        <w:t>Review status:</w:t>
      </w:r>
      <w:r>
        <w:t xml:space="preserve"> unchecked — possible relationship only</w:t>
      </w:r>
    </w:p>
    <w:p>
      <w:pPr>
        <w:pStyle w:val="Heading2"/>
      </w:pPr>
      <w:r>
        <w:t>181. Claim + two later sources: Disaggregation of official demographic projections in sub-groups by education level: the neglected “composition effect” in the future path of life expectancy</w:t>
      </w:r>
    </w:p>
    <w:p>
      <w:pPr>
        <w:pStyle w:val="SourceNote"/>
      </w:pPr>
      <w:r>
        <w:rPr>
          <w:b/>
        </w:rPr>
        <w:t>Group ID:</w:t>
      </w:r>
      <w:r>
        <w:t xml:space="preserve"> group-911b95d9d7cb41b170f6</w:t>
      </w:r>
    </w:p>
    <w:p>
      <w:pPr>
        <w:pStyle w:val="SourceNote"/>
      </w:pPr>
      <w:r>
        <w:rPr>
          <w:b/>
        </w:rPr>
        <w:t>Original source:</w:t>
      </w:r>
      <w:r>
        <w:t xml:space="preserve"> https://doi.org/10.1186/s41118-020-00113-3</w:t>
      </w:r>
    </w:p>
    <w:p>
      <w:pPr/>
      <w:r>
        <w:rPr>
          <w:b/>
        </w:rPr>
        <w:t>Original future claim:</w:t>
      </w:r>
      <w:r>
        <w:t xml:space="preserve"> 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r>
        <w:rPr>
          <w:b/>
        </w:rPr>
        <w:t>Later source:</w:t>
      </w:r>
      <w:r>
        <w:t xml:space="preserve"> Predictive divergence in machine learning models for clinical mortality risk: A multicohort study of covid-19 patients — https://doi.org/10.1371/journal.pone.0344354</w:t>
      </w:r>
    </w:p>
    <w:p>
      <w:pPr/>
      <w:r>
        <w:rPr>
          <w:b/>
        </w:rPr>
        <w:t>Later source:</w:t>
      </w:r>
      <w:r>
        <w:t xml:space="preserve"> Precise Editing of Indolines at Different Positions via SET and CMD Pathways — https://doi.org/10.1021/jacsau.6c00050</w:t>
      </w:r>
    </w:p>
    <w:p>
      <w:pPr>
        <w:pStyle w:val="SourceNote"/>
      </w:pPr>
      <w:r>
        <w:rPr>
          <w:b/>
        </w:rPr>
        <w:t>Review status:</w:t>
      </w:r>
      <w:r>
        <w:t xml:space="preserve"> unchecked — possible relationship only</w:t>
      </w:r>
    </w:p>
    <w:p>
      <w:pPr>
        <w:pStyle w:val="Heading2"/>
      </w:pPr>
      <w:r>
        <w:t>182. Claim + two later sources: One step ahead? The use of foresight by Czech and Slovak non-governmental organizations</w:t>
      </w:r>
    </w:p>
    <w:p>
      <w:pPr>
        <w:pStyle w:val="SourceNote"/>
      </w:pPr>
      <w:r>
        <w:rPr>
          <w:b/>
        </w:rPr>
        <w:t>Group ID:</w:t>
      </w:r>
      <w:r>
        <w:t xml:space="preserve"> group-8ca4931de1f206ceb505</w:t>
      </w:r>
    </w:p>
    <w:p>
      <w:pPr>
        <w:pStyle w:val="SourceNote"/>
      </w:pPr>
      <w:r>
        <w:rPr>
          <w:b/>
        </w:rPr>
        <w:t>Original source:</w:t>
      </w:r>
      <w:r>
        <w:t xml:space="preserve"> https://doi.org/10.1186/s40309-020-00163-y</w:t>
      </w:r>
    </w:p>
    <w:p>
      <w:pPr/>
      <w:r>
        <w:rPr>
          <w:b/>
        </w:rPr>
        <w:t>Original future claim:</w:t>
      </w:r>
      <w:r>
        <w:t xml:space="preserve"> 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r>
        <w:rPr>
          <w:b/>
        </w:rPr>
        <w:t>Later source:</w:t>
      </w:r>
      <w:r>
        <w:t xml:space="preserve"> Exploring the Nature of Programming Work — https://doi.org/10.4018/ijkss.407408</w:t>
      </w:r>
    </w:p>
    <w:p>
      <w:pPr/>
      <w:r>
        <w:rPr>
          <w:b/>
        </w:rPr>
        <w:t>Later source:</w:t>
      </w:r>
      <w:r>
        <w:t xml:space="preserve"> The End of Bourgeois Humanism and the Mindfulness of Nature in Adorno’s Writings of the 1950s and 1960s — https://doi.org/10.65272/978-88-6977-570-3_5</w:t>
      </w:r>
    </w:p>
    <w:p>
      <w:pPr>
        <w:pStyle w:val="SourceNote"/>
      </w:pPr>
      <w:r>
        <w:rPr>
          <w:b/>
        </w:rPr>
        <w:t>Review status:</w:t>
      </w:r>
      <w:r>
        <w:t xml:space="preserve"> unchecked — possible relationship only</w:t>
      </w:r>
    </w:p>
    <w:p>
      <w:pPr>
        <w:pStyle w:val="Heading2"/>
      </w:pPr>
      <w:r>
        <w:t>183. Claim + two later sources: How photovoltaics can contribute to GHG emission reductions of 55% in the EU by 2030</w:t>
      </w:r>
    </w:p>
    <w:p>
      <w:pPr>
        <w:pStyle w:val="SourceNote"/>
      </w:pPr>
      <w:r>
        <w:rPr>
          <w:b/>
        </w:rPr>
        <w:t>Group ID:</w:t>
      </w:r>
      <w:r>
        <w:t xml:space="preserve"> group-758ba8bdbe8a672ef423</w:t>
      </w:r>
    </w:p>
    <w:p>
      <w:pPr>
        <w:pStyle w:val="SourceNote"/>
      </w:pPr>
      <w:r>
        <w:rPr>
          <w:b/>
        </w:rPr>
        <w:t>Original source:</w:t>
      </w:r>
      <w:r>
        <w:t xml:space="preserve"> https://doi.org/10.1016/j.rser.2020.109836</w:t>
      </w:r>
    </w:p>
    <w:p>
      <w:pPr/>
      <w:r>
        <w:rPr>
          <w:b/>
        </w:rPr>
        <w:t>Original future claim:</w:t>
      </w:r>
      <w:r>
        <w:t xml:space="preserve"> 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r>
        <w:rPr>
          <w:b/>
        </w:rPr>
        <w:t>Later source:</w:t>
      </w:r>
      <w:r>
        <w:t xml:space="preserve"> Spatiotemporal clustering of GHGs emissions in Europe: Exploring the role of spatial component — https://doi.org/10.1016/j.spasta.2026.100960</w:t>
      </w:r>
    </w:p>
    <w:p>
      <w:pPr/>
      <w:r>
        <w:rPr>
          <w:b/>
        </w:rPr>
        <w:t>Later source:</w:t>
      </w:r>
      <w:r>
        <w:t xml:space="preserve"> Forecast reconciliation of agricultural GHG emissions in Europe with fuzzy clustering — https://doi.org/10.1007/s10479-026-07363-y</w:t>
      </w:r>
    </w:p>
    <w:p>
      <w:pPr>
        <w:pStyle w:val="SourceNote"/>
      </w:pPr>
      <w:r>
        <w:rPr>
          <w:b/>
        </w:rPr>
        <w:t>Review status:</w:t>
      </w:r>
      <w:r>
        <w:t xml:space="preserve"> unchecked — possible relationship only</w:t>
      </w:r>
    </w:p>
    <w:p>
      <w:pPr>
        <w:pStyle w:val="Heading2"/>
      </w:pPr>
      <w:r>
        <w:t>184. Claim + two later sources: New Emerging Issues and Wild Cards as Future Shakers and Shapers</w:t>
      </w:r>
    </w:p>
    <w:p>
      <w:pPr>
        <w:pStyle w:val="SourceNote"/>
      </w:pPr>
      <w:r>
        <w:rPr>
          <w:b/>
        </w:rPr>
        <w:t>Group ID:</w:t>
      </w:r>
      <w:r>
        <w:t xml:space="preserve"> group-fe91d1b93b24f7c5ba1b</w:t>
      </w:r>
    </w:p>
    <w:p>
      <w:pPr>
        <w:pStyle w:val="SourceNote"/>
      </w:pPr>
      <w:r>
        <w:rPr>
          <w:b/>
        </w:rPr>
        <w:t>Original source:</w:t>
      </w:r>
      <w:r>
        <w:t xml:space="preserve"> https://doi.org/10.17323/1995-459x.2012.1.60.73</w:t>
      </w:r>
    </w:p>
    <w:p>
      <w:pPr/>
      <w:r>
        <w:rPr>
          <w:b/>
        </w:rPr>
        <w:t>Original future claim:</w:t>
      </w:r>
      <w:r>
        <w:t xml:space="preserve"> The projects resulted in the evaluation of current methods for obtaining and processing scanning data and new conceptual thinking that may bridge the gap between scanning activities and policy-making.</w:t>
      </w:r>
    </w:p>
    <w:p>
      <w:pPr/>
      <w:r>
        <w:rPr>
          <w:b/>
        </w:rPr>
        <w:t>Later source:</w:t>
      </w:r>
      <w:r>
        <w:t xml:space="preserve"> Results Interpretation, Reporting, and Dissemination in Project Monitoring and Evaluation — https://doi.org/10.5281/zenodo.18299543</w:t>
      </w:r>
    </w:p>
    <w:p>
      <w:pPr/>
      <w:r>
        <w:rPr>
          <w:b/>
        </w:rPr>
        <w:t>Later source:</w:t>
      </w:r>
      <w:r>
        <w:t xml:space="preserve"> Green E.Th.I.Cs: Project Evaluation Methodology and Results — https://openalex.org/W7136099548</w:t>
      </w:r>
    </w:p>
    <w:p>
      <w:pPr>
        <w:pStyle w:val="SourceNote"/>
      </w:pPr>
      <w:r>
        <w:rPr>
          <w:b/>
        </w:rPr>
        <w:t>Review status:</w:t>
      </w:r>
      <w:r>
        <w:t xml:space="preserve"> unchecked — possible relationship only</w:t>
      </w:r>
    </w:p>
    <w:p>
      <w:pPr>
        <w:pStyle w:val="Heading2"/>
      </w:pPr>
      <w:r>
        <w:t>185. Claim + two later sources: A comparison of three transformation pathways towards a sustainable European society - An integrated analysis from an energy system perspective</w:t>
      </w:r>
    </w:p>
    <w:p>
      <w:pPr>
        <w:pStyle w:val="SourceNote"/>
      </w:pPr>
      <w:r>
        <w:rPr>
          <w:b/>
        </w:rPr>
        <w:t>Group ID:</w:t>
      </w:r>
      <w:r>
        <w:t xml:space="preserve"> group-fc2cef96811a3c2da4fb</w:t>
      </w:r>
    </w:p>
    <w:p>
      <w:pPr>
        <w:pStyle w:val="SourceNote"/>
      </w:pPr>
      <w:r>
        <w:rPr>
          <w:b/>
        </w:rPr>
        <w:t>Original source:</w:t>
      </w:r>
      <w:r>
        <w:t xml:space="preserve"> https://doi.org/10.1016/j.esr.2020.100461</w:t>
      </w:r>
    </w:p>
    <w:p>
      <w:pPr/>
      <w:r>
        <w:rPr>
          <w:b/>
        </w:rPr>
        <w:t>Original future claim:</w:t>
      </w:r>
      <w:r>
        <w:t xml:space="preserve"> 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r>
        <w:rPr>
          <w:b/>
        </w:rPr>
        <w:t>Later source:</w:t>
      </w:r>
      <w:r>
        <w:t xml:space="preserve"> The impacts of the covidfencing phenomenon in three European cross border regions — https://doi.org/10.1080/09654313.2026.2655883</w:t>
      </w:r>
    </w:p>
    <w:p>
      <w:pPr/>
      <w:r>
        <w:rPr>
          <w:b/>
        </w:rPr>
        <w:t>Later source:</w:t>
      </w:r>
      <w:r>
        <w:t xml:space="preserve"> A Comprehensive Review of Solar Photovoltaic Systems: Scope, Technologies, Applications, Progress, Challenges, and Recommendations — https://doi.org/10.1109/access.2025.3558539</w:t>
      </w:r>
    </w:p>
    <w:p>
      <w:pPr>
        <w:pStyle w:val="SourceNote"/>
      </w:pPr>
      <w:r>
        <w:rPr>
          <w:b/>
        </w:rPr>
        <w:t>Review status:</w:t>
      </w:r>
      <w:r>
        <w:t xml:space="preserve"> unchecked — possible relationship only</w:t>
      </w:r>
    </w:p>
    <w:p>
      <w:pPr>
        <w:pStyle w:val="Heading2"/>
      </w:pPr>
      <w:r>
        <w:t>186. Claim + two later sources: How much does climate change threaten European forest tree species distributions?</w:t>
      </w:r>
    </w:p>
    <w:p>
      <w:pPr>
        <w:pStyle w:val="SourceNote"/>
      </w:pPr>
      <w:r>
        <w:rPr>
          <w:b/>
        </w:rPr>
        <w:t>Group ID:</w:t>
      </w:r>
      <w:r>
        <w:t xml:space="preserve"> group-81e30945e0ebde441bcd</w:t>
      </w:r>
    </w:p>
    <w:p>
      <w:pPr>
        <w:pStyle w:val="SourceNote"/>
      </w:pPr>
      <w:r>
        <w:rPr>
          <w:b/>
        </w:rPr>
        <w:t>Original source:</w:t>
      </w:r>
      <w:r>
        <w:t xml:space="preserve"> https://doi.org/10.1111/gcb.13925</w:t>
      </w:r>
    </w:p>
    <w:p>
      <w:pPr/>
      <w:r>
        <w:rPr>
          <w:b/>
        </w:rPr>
        <w:t>Original future claim:</w:t>
      </w:r>
      <w:r>
        <w:t xml:space="preserve"> 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r>
        <w:rPr>
          <w:b/>
        </w:rPr>
        <w:t>Later source:</w:t>
      </w:r>
      <w:r>
        <w:t xml:space="preserve"> How do land-use changes shape future extreme temperatures across Europe? — https://doi.org/10.5194/egusphere-egu26-15125</w:t>
      </w:r>
    </w:p>
    <w:p>
      <w:pPr/>
      <w:r>
        <w:rPr>
          <w:b/>
        </w:rPr>
        <w:t>Later source:</w:t>
      </w:r>
      <w:r>
        <w:t xml:space="preserve"> Shamonda virus in Europe: an emerging threat, the potential role of Culicoides and the need for preparedness. — https://doi.org/10.12834/vetit.4095.42263.1</w:t>
      </w:r>
    </w:p>
    <w:p>
      <w:pPr>
        <w:pStyle w:val="SourceNote"/>
      </w:pPr>
      <w:r>
        <w:rPr>
          <w:b/>
        </w:rPr>
        <w:t>Review status:</w:t>
      </w:r>
      <w:r>
        <w:t xml:space="preserve"> unchecked — possible relationship only</w:t>
      </w:r>
    </w:p>
    <w:p>
      <w:pPr>
        <w:pStyle w:val="Heading2"/>
      </w:pPr>
      <w:r>
        <w:t>187. Claim + two later sources: European Road Safety Policy 2016-2020: A Forecast on Topics and Activities</w:t>
      </w:r>
    </w:p>
    <w:p>
      <w:pPr>
        <w:pStyle w:val="SourceNote"/>
      </w:pPr>
      <w:r>
        <w:rPr>
          <w:b/>
        </w:rPr>
        <w:t>Group ID:</w:t>
      </w:r>
      <w:r>
        <w:t xml:space="preserve"> group-713123bb39a7918977dc</w:t>
      </w:r>
    </w:p>
    <w:p>
      <w:pPr>
        <w:pStyle w:val="SourceNote"/>
      </w:pPr>
      <w:r>
        <w:rPr>
          <w:b/>
        </w:rPr>
        <w:t>Original source:</w:t>
      </w:r>
      <w:r>
        <w:t xml:space="preserve"> https://doi.org/10.21625/archive.v2i1.237</w:t>
      </w:r>
    </w:p>
    <w:p>
      <w:pPr/>
      <w:r>
        <w:rPr>
          <w:b/>
        </w:rPr>
        <w:t>Original future claim:</w:t>
      </w:r>
      <w:r>
        <w:t xml:space="preserve"> 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r>
        <w:rPr>
          <w:b/>
        </w:rPr>
        <w:t>Later source:</w:t>
      </w:r>
      <w:r>
        <w:t xml:space="preserve"> Draghi Plan and Implications for the European Legislative Framework — https://doi.org/10.24818/eblj/2025/4/1.06</w:t>
      </w:r>
    </w:p>
    <w:p>
      <w:pPr/>
      <w:r>
        <w:rPr>
          <w:b/>
        </w:rPr>
        <w:t>Later source:</w:t>
      </w:r>
      <w:r>
        <w:t xml:space="preserve"> Germany's Path to a National Kidney Exchange Program: An Assessment of the 2024 Legislative Proposal — https://doi.org/10.1016/j.healthpol.2026.105578</w:t>
      </w:r>
    </w:p>
    <w:p>
      <w:pPr>
        <w:pStyle w:val="SourceNote"/>
      </w:pPr>
      <w:r>
        <w:rPr>
          <w:b/>
        </w:rPr>
        <w:t>Review status:</w:t>
      </w:r>
      <w:r>
        <w:t xml:space="preserve"> unchecked — possible relationship only</w:t>
      </w:r>
    </w:p>
    <w:p>
      <w:pPr>
        <w:pStyle w:val="Heading2"/>
      </w:pPr>
      <w:r>
        <w:t>188. Claim + two later sources: ECONOMIC GROWTH PROJECTION FOR EUROPEAN UNION BY 2030</w:t>
      </w:r>
    </w:p>
    <w:p>
      <w:pPr>
        <w:pStyle w:val="SourceNote"/>
      </w:pPr>
      <w:r>
        <w:rPr>
          <w:b/>
        </w:rPr>
        <w:t>Group ID:</w:t>
      </w:r>
      <w:r>
        <w:t xml:space="preserve"> group-1ab59b5fc2ec53420851</w:t>
      </w:r>
    </w:p>
    <w:p>
      <w:pPr>
        <w:pStyle w:val="SourceNote"/>
      </w:pPr>
      <w:r>
        <w:rPr>
          <w:b/>
        </w:rPr>
        <w:t>Original source:</w:t>
      </w:r>
      <w:r>
        <w:t xml:space="preserve"> https://doi.org/10.5755/j01.eis.0.13.23709</w:t>
      </w:r>
    </w:p>
    <w:p>
      <w:pPr/>
      <w:r>
        <w:rPr>
          <w:b/>
        </w:rPr>
        <w:t>Original future claim:</w:t>
      </w:r>
      <w:r>
        <w:t xml:space="preserve"> The paper contributes to a discussion on developments in output for the EU-27 group over the next 11 years, up to year 2030. A brief study of population-decreasing events in the European historical perspective may represent an inspiring part.</w:t>
      </w:r>
    </w:p>
    <w:p>
      <w:pPr/>
      <w:r>
        <w:rPr>
          <w:b/>
        </w:rPr>
        <w:t>Later source:</w:t>
      </w:r>
      <w:r>
        <w:t xml:space="preserve"> The Development of Energy Policy in the European Union — https://doi.org/10.4324/9781003298403</w:t>
      </w:r>
    </w:p>
    <w:p>
      <w:pPr/>
      <w:r>
        <w:rPr>
          <w:b/>
        </w:rPr>
        <w:t>Later source:</w:t>
      </w:r>
      <w:r>
        <w:t xml:space="preserve"> Exploring how Europeans understand solidarity in the EU — https://doi.org/10.4324/9781032690902-3</w:t>
      </w:r>
    </w:p>
    <w:p>
      <w:pPr>
        <w:pStyle w:val="SourceNote"/>
      </w:pPr>
      <w:r>
        <w:rPr>
          <w:b/>
        </w:rPr>
        <w:t>Review status:</w:t>
      </w:r>
      <w:r>
        <w:t xml:space="preserve"> unchecked — possible relationship only</w:t>
      </w:r>
    </w:p>
    <w:p>
      <w:pPr>
        <w:pStyle w:val="Heading2"/>
      </w:pPr>
      <w:r>
        <w:t>189. Claim + two later sources: Which way to net zero? a comparative analysis of seven UK 2050 decarbonisation pathways</w:t>
      </w:r>
    </w:p>
    <w:p>
      <w:pPr>
        <w:pStyle w:val="SourceNote"/>
      </w:pPr>
      <w:r>
        <w:rPr>
          <w:b/>
        </w:rPr>
        <w:t>Group ID:</w:t>
      </w:r>
      <w:r>
        <w:t xml:space="preserve"> group-56b28cc4e01bf4fdf5da</w:t>
      </w:r>
    </w:p>
    <w:p>
      <w:pPr>
        <w:pStyle w:val="SourceNote"/>
      </w:pPr>
      <w:r>
        <w:rPr>
          <w:b/>
        </w:rPr>
        <w:t>Original source:</w:t>
      </w:r>
      <w:r>
        <w:t xml:space="preserve"> https://doi.org/10.1016/j.rset.2021.100016</w:t>
      </w:r>
    </w:p>
    <w:p>
      <w:pPr/>
      <w:r>
        <w:rPr>
          <w:b/>
        </w:rPr>
        <w:t>Original future claim:</w:t>
      </w:r>
      <w:r>
        <w:t xml:space="preserve"> 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r>
        <w:rPr>
          <w:b/>
        </w:rPr>
        <w:t>Later source:</w:t>
      </w:r>
      <w:r>
        <w:t xml:space="preserve"> Persistent Identifiers in Germany: Key Findings of a Nationwide Survey — https://doi.org/10.5334/dsj-2026-028</w:t>
      </w:r>
    </w:p>
    <w:p>
      <w:pPr/>
      <w:r>
        <w:rPr>
          <w:b/>
        </w:rPr>
        <w:t>Later source:</w:t>
      </w:r>
      <w:r>
        <w:t xml:space="preserve"> A Literature Review on The Technical Efficiency of Islamic Banks: Classification and Key Findings — https://doi.org/10.56734/ijbms.v6n4a5</w:t>
      </w:r>
    </w:p>
    <w:p>
      <w:pPr>
        <w:pStyle w:val="SourceNote"/>
      </w:pPr>
      <w:r>
        <w:rPr>
          <w:b/>
        </w:rPr>
        <w:t>Review status:</w:t>
      </w:r>
      <w:r>
        <w:t xml:space="preserve"> unchecked — possible relationship only</w:t>
      </w:r>
    </w:p>
    <w:p>
      <w:pPr>
        <w:pStyle w:val="Heading2"/>
      </w:pPr>
      <w:r>
        <w:t>190. Claim + two later sources: Interpreting long-term energy scenarios and the role of bioenergy in Germany</w:t>
      </w:r>
    </w:p>
    <w:p>
      <w:pPr>
        <w:pStyle w:val="SourceNote"/>
      </w:pPr>
      <w:r>
        <w:rPr>
          <w:b/>
        </w:rPr>
        <w:t>Group ID:</w:t>
      </w:r>
      <w:r>
        <w:t xml:space="preserve"> group-1a99be8c776324e898ce</w:t>
      </w:r>
    </w:p>
    <w:p>
      <w:pPr>
        <w:pStyle w:val="SourceNote"/>
      </w:pPr>
      <w:r>
        <w:rPr>
          <w:b/>
        </w:rPr>
        <w:t>Original source:</w:t>
      </w:r>
      <w:r>
        <w:t xml:space="preserve"> https://doi.org/10.1016/j.rser.2016.02.016</w:t>
      </w:r>
    </w:p>
    <w:p>
      <w:pPr/>
      <w:r>
        <w:rPr>
          <w:b/>
        </w:rPr>
        <w:t>Original future claim:</w:t>
      </w:r>
      <w:r>
        <w:t xml:space="preserve"> 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r>
        <w:rPr>
          <w:b/>
        </w:rPr>
        <w:t>Later source:</w:t>
      </w:r>
      <w:r>
        <w:t xml:space="preserve"> The Securitization of Islam in the Context of European Identityand the Attitudes of Europeans Towards Muslim Immigrants and Refugees — https://doi.org/10.34739/dsd.2024.02.02</w:t>
      </w:r>
    </w:p>
    <w:p>
      <w:pPr/>
      <w:r>
        <w:rPr>
          <w:b/>
        </w:rPr>
        <w:t>Later source:</w:t>
      </w:r>
      <w:r>
        <w:t xml:space="preserve"> A systematic literature review focusing on luxury hotels in Europe and Asia — https://doi.org/10.15170/tvt.2025.10.01.05</w:t>
      </w:r>
    </w:p>
    <w:p>
      <w:pPr>
        <w:pStyle w:val="SourceNote"/>
      </w:pPr>
      <w:r>
        <w:rPr>
          <w:b/>
        </w:rPr>
        <w:t>Review status:</w:t>
      </w:r>
      <w:r>
        <w:t xml:space="preserve"> unchecked — possible relationship only</w:t>
      </w:r>
    </w:p>
    <w:p>
      <w:pPr>
        <w:pStyle w:val="Heading2"/>
      </w:pPr>
      <w:r>
        <w:t>191. Claim + two later sources: Czech Republic as A Deferring Factor for European Union to Achieve Climate Change Measures</w:t>
      </w:r>
    </w:p>
    <w:p>
      <w:pPr>
        <w:pStyle w:val="SourceNote"/>
      </w:pPr>
      <w:r>
        <w:rPr>
          <w:b/>
        </w:rPr>
        <w:t>Group ID:</w:t>
      </w:r>
      <w:r>
        <w:t xml:space="preserve"> group-f858b0b5aba565cf8d21</w:t>
      </w:r>
    </w:p>
    <w:p>
      <w:pPr>
        <w:pStyle w:val="SourceNote"/>
      </w:pPr>
      <w:r>
        <w:rPr>
          <w:b/>
        </w:rPr>
        <w:t>Original source:</w:t>
      </w:r>
      <w:r>
        <w:t xml:space="preserve"> https://doi.org/10.7454/jsgs.v5i2.1099</w:t>
      </w:r>
    </w:p>
    <w:p>
      <w:pPr/>
      <w:r>
        <w:rPr>
          <w:b/>
        </w:rPr>
        <w:t>Original future claim:</w:t>
      </w:r>
      <w:r>
        <w:t xml:space="preserve"> 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r>
        <w:rPr>
          <w:b/>
        </w:rPr>
        <w:t>Later source:</w:t>
      </w:r>
      <w:r>
        <w:t xml:space="preserve"> European Researcher — https://doi.org/10.13187/issn.2219-8229</w:t>
      </w:r>
    </w:p>
    <w:p>
      <w:pPr/>
      <w:r>
        <w:rPr>
          <w:b/>
        </w:rPr>
        <w:t>Later source:</w:t>
      </w:r>
      <w:r>
        <w:t xml:space="preserve"> Evidence Based Education in Europe: A Comparative Study — https://doi.org/10.5281/zenodo.23238746</w:t>
      </w:r>
    </w:p>
    <w:p>
      <w:pPr>
        <w:pStyle w:val="SourceNote"/>
      </w:pPr>
      <w:r>
        <w:rPr>
          <w:b/>
        </w:rPr>
        <w:t>Review status:</w:t>
      </w:r>
      <w:r>
        <w:t xml:space="preserve"> unchecked — possible relationship only</w:t>
      </w:r>
    </w:p>
    <w:p>
      <w:pPr>
        <w:pStyle w:val="Heading2"/>
      </w:pPr>
      <w:r>
        <w:t>192. Claim + two later sources: Potential stocks and increments of woody biomass in the European Union under different management and climate scenarios</w:t>
      </w:r>
    </w:p>
    <w:p>
      <w:pPr>
        <w:pStyle w:val="SourceNote"/>
      </w:pPr>
      <w:r>
        <w:rPr>
          <w:b/>
        </w:rPr>
        <w:t>Group ID:</w:t>
      </w:r>
      <w:r>
        <w:t xml:space="preserve"> group-cc6d86980148089b5962</w:t>
      </w:r>
    </w:p>
    <w:p>
      <w:pPr>
        <w:pStyle w:val="SourceNote"/>
      </w:pPr>
      <w:r>
        <w:rPr>
          <w:b/>
        </w:rPr>
        <w:t>Original source:</w:t>
      </w:r>
      <w:r>
        <w:t xml:space="preserve"> https://doi.org/10.1186/1750-0680-8-2</w:t>
      </w:r>
    </w:p>
    <w:p>
      <w:pPr/>
      <w:r>
        <w:rPr>
          <w:b/>
        </w:rPr>
        <w:t>Original future claim:</w:t>
      </w:r>
      <w:r>
        <w:t xml:space="preserve"> 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r>
        <w:rPr>
          <w:b/>
        </w:rPr>
        <w:t>Later source:</w:t>
      </w:r>
      <w:r>
        <w:t xml:space="preserve"> Effect of forest stand thinning on tree biomass carbon stock — https://doi.org/10.22616/erdev.2024.23.tf009</w:t>
      </w:r>
    </w:p>
    <w:p>
      <w:pPr/>
      <w:r>
        <w:rPr>
          <w:b/>
        </w:rPr>
        <w:t>Later source:</w:t>
      </w:r>
      <w:r>
        <w:t xml:space="preserve"> Changes in Organic Carbon Stock in Soil and Whole Tree Biomass in Afforested Areas in Latvia — https://doi.org/10.3390/plants12122264</w:t>
      </w:r>
    </w:p>
    <w:p>
      <w:pPr>
        <w:pStyle w:val="SourceNote"/>
      </w:pPr>
      <w:r>
        <w:rPr>
          <w:b/>
        </w:rPr>
        <w:t>Review status:</w:t>
      </w:r>
      <w:r>
        <w:t xml:space="preserve"> unchecked — possible relationship only</w:t>
      </w:r>
    </w:p>
    <w:p>
      <w:pPr>
        <w:pStyle w:val="Heading2"/>
      </w:pPr>
      <w:r>
        <w:t>193. Claim + two later sources: Foresight on the future of public research metrology in Europe</w:t>
      </w:r>
    </w:p>
    <w:p>
      <w:pPr>
        <w:pStyle w:val="SourceNote"/>
      </w:pPr>
      <w:r>
        <w:rPr>
          <w:b/>
        </w:rPr>
        <w:t>Group ID:</w:t>
      </w:r>
      <w:r>
        <w:t xml:space="preserve"> group-699c368d4ad311a4ea54</w:t>
      </w:r>
    </w:p>
    <w:p>
      <w:pPr>
        <w:pStyle w:val="SourceNote"/>
      </w:pPr>
      <w:r>
        <w:rPr>
          <w:b/>
        </w:rPr>
        <w:t>Original source:</w:t>
      </w:r>
      <w:r>
        <w:t xml:space="preserve"> https://doi.org/10.1108/14636681111109660</w:t>
      </w:r>
    </w:p>
    <w:p>
      <w:pPr/>
      <w:r>
        <w:rPr>
          <w:b/>
        </w:rPr>
        <w:t>Original future claim:</w:t>
      </w:r>
      <w:r>
        <w:t xml:space="preserve"> 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r>
        <w:rPr>
          <w:b/>
        </w:rPr>
        <w:t>Later source:</w:t>
      </w:r>
      <w:r>
        <w:t xml:space="preserve"> The prevalence of cannabidiol (CBD) use in North America and Europe: A meta‐analysis — https://doi.org/10.1111/add.70360</w:t>
      </w:r>
    </w:p>
    <w:p>
      <w:pPr/>
      <w:r>
        <w:rPr>
          <w:b/>
        </w:rPr>
        <w:t>Later source:</w:t>
      </w:r>
      <w:r>
        <w:t xml:space="preserve"> Appropriateness of antibiotic use in nursing homes for suspected urinary tract infections: comparison across five European countries — https://doi.org/10.1007/s41999-025-01185-0</w:t>
      </w:r>
    </w:p>
    <w:p>
      <w:pPr>
        <w:pStyle w:val="SourceNote"/>
      </w:pPr>
      <w:r>
        <w:rPr>
          <w:b/>
        </w:rPr>
        <w:t>Review status:</w:t>
      </w:r>
      <w:r>
        <w:t xml:space="preserve"> unchecked — possible relationship only</w:t>
      </w:r>
    </w:p>
    <w:p>
      <w:pPr>
        <w:pStyle w:val="Heading2"/>
      </w:pPr>
      <w:r>
        <w:t>194. Claim + two later sources: Crisis futures: The affects and temporalities of economic collapse in Iceland</w:t>
      </w:r>
    </w:p>
    <w:p>
      <w:pPr>
        <w:pStyle w:val="SourceNote"/>
      </w:pPr>
      <w:r>
        <w:rPr>
          <w:b/>
        </w:rPr>
        <w:t>Group ID:</w:t>
      </w:r>
      <w:r>
        <w:t xml:space="preserve"> group-71e72457727705a24c85</w:t>
      </w:r>
    </w:p>
    <w:p>
      <w:pPr>
        <w:pStyle w:val="SourceNote"/>
      </w:pPr>
      <w:r>
        <w:rPr>
          <w:b/>
        </w:rPr>
        <w:t>Original source:</w:t>
      </w:r>
      <w:r>
        <w:t xml:space="preserve"> https://doi.org/10.1080/02757206.2020.1762589</w:t>
      </w:r>
    </w:p>
    <w:p>
      <w:pPr/>
      <w:r>
        <w:rPr>
          <w:b/>
        </w:rPr>
        <w:t>Original future claim:</w:t>
      </w:r>
      <w:r>
        <w:t xml:space="preserve"> We conclude by discussing the unfinished nature of crisis and role of public forecasting as a means for contending with ongoing economic insecurity.</w:t>
      </w:r>
    </w:p>
    <w:p>
      <w:pPr/>
      <w:r>
        <w:rPr>
          <w:b/>
        </w:rPr>
        <w:t>Later source:</w:t>
      </w:r>
      <w:r>
        <w:t xml:space="preserve"> Biography of Mahfuj Alam: Revolutionary Mind, State Power and The Unfinished Republic — https://doi.org/10.5281/zenodo.19572195</w:t>
      </w:r>
    </w:p>
    <w:p>
      <w:pPr/>
      <w:r>
        <w:rPr>
          <w:b/>
        </w:rPr>
        <w:t>Later source:</w:t>
      </w:r>
      <w:r>
        <w:t xml:space="preserve"> "Happy those for whom the fold of ...": Intention and interpretation in the unfinished Romantic poetic text — https://openalex.org/W7135642000</w:t>
      </w:r>
    </w:p>
    <w:p>
      <w:pPr>
        <w:pStyle w:val="SourceNote"/>
      </w:pPr>
      <w:r>
        <w:rPr>
          <w:b/>
        </w:rPr>
        <w:t>Review status:</w:t>
      </w:r>
      <w:r>
        <w:t xml:space="preserve"> unchecked — possible relationship only</w:t>
      </w:r>
    </w:p>
    <w:p>
      <w:pPr>
        <w:pStyle w:val="Heading2"/>
      </w:pPr>
      <w:r>
        <w:t>195. Claim + two later sources: The perspectives of development of high-speed rail network in the European Union till</w:t>
        <w:br/>
        <w:t>the year 2050</w:t>
      </w:r>
    </w:p>
    <w:p>
      <w:pPr>
        <w:pStyle w:val="SourceNote"/>
      </w:pPr>
      <w:r>
        <w:rPr>
          <w:b/>
        </w:rPr>
        <w:t>Group ID:</w:t>
      </w:r>
      <w:r>
        <w:t xml:space="preserve"> group-167d6d6f83de68cffcab</w:t>
      </w:r>
    </w:p>
    <w:p>
      <w:pPr>
        <w:pStyle w:val="SourceNote"/>
      </w:pPr>
      <w:r>
        <w:rPr>
          <w:b/>
        </w:rPr>
        <w:t>Original source:</w:t>
      </w:r>
      <w:r>
        <w:t xml:space="preserve"> https://doi.org/10.35117/a_eng_19_07_01</w:t>
      </w:r>
    </w:p>
    <w:p>
      <w:pPr/>
      <w:r>
        <w:rPr>
          <w:b/>
        </w:rPr>
        <w:t>Original future claim:</w:t>
      </w:r>
      <w:r>
        <w:t xml:space="preserve"> As an outcome of the analyses presented in the article there emerged a complete vision of planned development of high-speed rail network in the European Union, which length in 2030 could be estimated for approximetaly 16,5 thousand kilometers.</w:t>
      </w:r>
    </w:p>
    <w:p>
      <w:pPr/>
      <w:r>
        <w:rPr>
          <w:b/>
        </w:rPr>
        <w:t>Later source:</w:t>
      </w:r>
      <w:r>
        <w:t xml:space="preserve"> Clinical heterogeneity and outcome of acquired PRCA: a multicenter European study — https://doi.org/10.1182/bloodadvances.2025019525</w:t>
      </w:r>
    </w:p>
    <w:p>
      <w:pPr/>
      <w:r>
        <w:rPr>
          <w:b/>
        </w:rPr>
        <w:t>Later source:</w:t>
      </w:r>
      <w:r>
        <w:t xml:space="preserve"> Demographics and treatment outcomes in patients with EBV+ PTLD treated with off-the-shelf EBV-specific CTL under an ongoing expanded access program in Europe: First analyses. — https://doi.org/10.1200/jco.2022.40.16_suppl.7530</w:t>
      </w:r>
    </w:p>
    <w:p>
      <w:pPr>
        <w:pStyle w:val="SourceNote"/>
      </w:pPr>
      <w:r>
        <w:rPr>
          <w:b/>
        </w:rPr>
        <w:t>Review status:</w:t>
      </w:r>
      <w:r>
        <w:t xml:space="preserve"> unchecked — possible relationship only</w:t>
      </w:r>
    </w:p>
    <w:p>
      <w:pPr>
        <w:pStyle w:val="Heading2"/>
      </w:pPr>
      <w:r>
        <w:t>196. Claim + two later sources: Long-term vision of rural areas in Hungary, focusing on foresights</w:t>
      </w:r>
    </w:p>
    <w:p>
      <w:pPr>
        <w:pStyle w:val="SourceNote"/>
      </w:pPr>
      <w:r>
        <w:rPr>
          <w:b/>
        </w:rPr>
        <w:t>Group ID:</w:t>
      </w:r>
      <w:r>
        <w:t xml:space="preserve"> group-a9263254fe676d98c8a9</w:t>
      </w:r>
    </w:p>
    <w:p>
      <w:pPr>
        <w:pStyle w:val="SourceNote"/>
      </w:pPr>
      <w:r>
        <w:rPr>
          <w:b/>
        </w:rPr>
        <w:t>Original source:</w:t>
      </w:r>
      <w:r>
        <w:t xml:space="preserve"> https://doi.org/10.22004/ag.econ.314094</w:t>
      </w:r>
    </w:p>
    <w:p>
      <w:pPr/>
      <w:r>
        <w:rPr>
          <w:b/>
        </w:rPr>
        <w:t>Original future claim:</w:t>
      </w:r>
      <w:r>
        <w:t xml:space="preserve"> 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r>
        <w:rPr>
          <w:b/>
        </w:rPr>
        <w:t>Later source:</w:t>
      </w:r>
      <w:r>
        <w:t xml:space="preserve"> Central And Eastern European Companies in Africa. The Case of Hungarian Businesses — https://doi.org/10.18267/pr.2026.vol.2587.3</w:t>
      </w:r>
    </w:p>
    <w:p>
      <w:pPr/>
      <w:r>
        <w:rPr>
          <w:b/>
        </w:rPr>
        <w:t>Later source:</w:t>
      </w:r>
      <w:r>
        <w:t xml:space="preserve"> Banking Union membership and the quality of democracy in Central and Eastern Europe – the case of Hungary — https://doi.org/10.1080/23745118.2026.2706762</w:t>
      </w:r>
    </w:p>
    <w:p>
      <w:pPr>
        <w:pStyle w:val="SourceNote"/>
      </w:pPr>
      <w:r>
        <w:rPr>
          <w:b/>
        </w:rPr>
        <w:t>Review status:</w:t>
      </w:r>
      <w:r>
        <w:t xml:space="preserve"> unchecked — possible relationship only</w:t>
      </w:r>
    </w:p>
    <w:p>
      <w:pPr>
        <w:pStyle w:val="Heading2"/>
      </w:pPr>
      <w:r>
        <w:t>197. Claim + two later sources: European human‐dominated landscapes provide ample space for the recolonization of large carnivore populations under future land change scenarios</w:t>
      </w:r>
    </w:p>
    <w:p>
      <w:pPr>
        <w:pStyle w:val="SourceNote"/>
      </w:pPr>
      <w:r>
        <w:rPr>
          <w:b/>
        </w:rPr>
        <w:t>Group ID:</w:t>
      </w:r>
      <w:r>
        <w:t xml:space="preserve"> group-9885146e144b7e4d6775</w:t>
      </w:r>
    </w:p>
    <w:p>
      <w:pPr>
        <w:pStyle w:val="SourceNote"/>
      </w:pPr>
      <w:r>
        <w:rPr>
          <w:b/>
        </w:rPr>
        <w:t>Original source:</w:t>
      </w:r>
      <w:r>
        <w:t xml:space="preserve"> https://doi.org/10.1111/ecog.02223</w:t>
      </w:r>
    </w:p>
    <w:p>
      <w:pPr/>
      <w:r>
        <w:rPr>
          <w:b/>
        </w:rPr>
        <w:t>Original future claim:</w:t>
      </w:r>
      <w:r>
        <w:t xml:space="preserve"> Third, we projected permanent occurrences into the future across a range of land‐use change scenarios.</w:t>
      </w:r>
    </w:p>
    <w:p>
      <w:pPr/>
      <w:r>
        <w:rPr>
          <w:b/>
        </w:rPr>
        <w:t>Later source:</w:t>
      </w:r>
      <w:r>
        <w:t xml:space="preserve"> Continuing recovery of wolves in Europe — https://doi.org/10.1371/journal.pstr.0000158</w:t>
      </w:r>
    </w:p>
    <w:p>
      <w:pPr/>
      <w:r>
        <w:rPr>
          <w:b/>
        </w:rPr>
        <w:t>Later source:</w:t>
      </w:r>
      <w:r>
        <w:t xml:space="preserve"> Tipping points and farmer decision-making in European permanent grassland (PG) agricultural systems — https://doi.org/10.1016/j.jrurstud.2024.103364</w:t>
      </w:r>
    </w:p>
    <w:p>
      <w:pPr>
        <w:pStyle w:val="SourceNote"/>
      </w:pPr>
      <w:r>
        <w:rPr>
          <w:b/>
        </w:rPr>
        <w:t>Review status:</w:t>
      </w:r>
      <w:r>
        <w:t xml:space="preserve"> unchecked — possible relationship only</w:t>
      </w:r>
    </w:p>
    <w:p>
      <w:pPr>
        <w:pStyle w:val="Heading2"/>
      </w:pPr>
      <w:r>
        <w:t>198. Claim + two later sources: Quantifying the sensitivity of european power systems to energy scenarios and climate change projections</w:t>
      </w:r>
    </w:p>
    <w:p>
      <w:pPr>
        <w:pStyle w:val="SourceNote"/>
      </w:pPr>
      <w:r>
        <w:rPr>
          <w:b/>
        </w:rPr>
        <w:t>Group ID:</w:t>
      </w:r>
      <w:r>
        <w:t xml:space="preserve"> group-dd3a07990fc19c68c16c</w:t>
      </w:r>
    </w:p>
    <w:p>
      <w:pPr>
        <w:pStyle w:val="SourceNote"/>
      </w:pPr>
      <w:r>
        <w:rPr>
          <w:b/>
        </w:rPr>
        <w:t>Original source:</w:t>
      </w:r>
      <w:r>
        <w:t xml:space="preserve"> https://doi.org/10.1016/j.renene.2020.09.125</w:t>
      </w:r>
    </w:p>
    <w:p>
      <w:pPr/>
      <w:r>
        <w:rPr>
          <w:b/>
        </w:rPr>
        <w:t>Original future claim:</w:t>
      </w:r>
      <w:r>
        <w:t xml:space="preserve"> 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r>
        <w:rPr>
          <w:b/>
        </w:rPr>
        <w:t>Later source:</w:t>
      </w:r>
      <w:r>
        <w:t xml:space="preserve"> Stability Rules: Succession Institutions, Conflict, and Divergent Paths of State Development — https://openalex.org/W7164271797</w:t>
      </w:r>
    </w:p>
    <w:p>
      <w:pPr/>
      <w:r>
        <w:rPr>
          <w:b/>
        </w:rPr>
        <w:t>Later source:</w:t>
      </w:r>
      <w:r>
        <w:t xml:space="preserve"> Spatial shifts of seasonal vegetation cycles in Europe over time — https://doi.org/10.5194/egusphere-egu25-11953</w:t>
      </w:r>
    </w:p>
    <w:p>
      <w:pPr>
        <w:pStyle w:val="SourceNote"/>
      </w:pPr>
      <w:r>
        <w:rPr>
          <w:b/>
        </w:rPr>
        <w:t>Review status:</w:t>
      </w:r>
      <w:r>
        <w:t xml:space="preserve"> unchecked — possible relationship only</w:t>
      </w:r>
    </w:p>
    <w:p>
      <w:pPr>
        <w:pStyle w:val="Heading2"/>
      </w:pPr>
      <w:r>
        <w:t>199. Claim + two later sources: After-crisis Scenarios for the European Regions</w:t>
      </w:r>
    </w:p>
    <w:p>
      <w:pPr>
        <w:pStyle w:val="SourceNote"/>
      </w:pPr>
      <w:r>
        <w:rPr>
          <w:b/>
        </w:rPr>
        <w:t>Group ID:</w:t>
      </w:r>
      <w:r>
        <w:t xml:space="preserve"> group-61b0e6bf761f9752e8cb</w:t>
      </w:r>
    </w:p>
    <w:p>
      <w:pPr>
        <w:pStyle w:val="SourceNote"/>
      </w:pPr>
      <w:r>
        <w:rPr>
          <w:b/>
        </w:rPr>
        <w:t>Original source:</w:t>
      </w:r>
      <w:r>
        <w:t xml:space="preserve"> https://doi.org/10.2457/srs.42.3</w:t>
      </w:r>
    </w:p>
    <w:p>
      <w:pPr/>
      <w:r>
        <w:rPr>
          <w:b/>
        </w:rPr>
        <w:t>Original future claim:</w:t>
      </w:r>
      <w:r>
        <w:t xml:space="preserve"> 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r>
        <w:rPr>
          <w:b/>
        </w:rPr>
        <w:t>Later source:</w:t>
      </w:r>
      <w:r>
        <w:t xml:space="preserve"> Built environment and childhood obesity: A systematic review of the European literature — https://doi.org/10.29333/jconseph/17944</w:t>
      </w:r>
    </w:p>
    <w:p>
      <w:pPr/>
      <w:r>
        <w:rPr>
          <w:b/>
        </w:rPr>
        <w:t>Later source:</w:t>
      </w:r>
      <w:r>
        <w:t xml:space="preserve"> The New European Bauhaus Academy: a novel skills, knowledge and innovation platform to boost sustainable construction within the built environment — https://doi.org/10.5281/zenodo.20586709</w:t>
      </w:r>
    </w:p>
    <w:p>
      <w:pPr>
        <w:pStyle w:val="SourceNote"/>
      </w:pPr>
      <w:r>
        <w:rPr>
          <w:b/>
        </w:rPr>
        <w:t>Review status:</w:t>
      </w:r>
      <w:r>
        <w:t xml:space="preserve"> unchecked — possible relationship only</w:t>
      </w:r>
    </w:p>
    <w:p>
      <w:pPr>
        <w:pStyle w:val="Heading2"/>
      </w:pPr>
      <w:r>
        <w:t>200. Claim + two later sources: Proposals of European Citizens for Reviving the Future of Shrinking Areas</w:t>
      </w:r>
    </w:p>
    <w:p>
      <w:pPr>
        <w:pStyle w:val="SourceNote"/>
      </w:pPr>
      <w:r>
        <w:rPr>
          <w:b/>
        </w:rPr>
        <w:t>Group ID:</w:t>
      </w:r>
      <w:r>
        <w:t xml:space="preserve"> group-c1a5108ff84447ffa0f5</w:t>
      </w:r>
    </w:p>
    <w:p>
      <w:pPr>
        <w:pStyle w:val="SourceNote"/>
      </w:pPr>
      <w:r>
        <w:rPr>
          <w:b/>
        </w:rPr>
        <w:t>Original source:</w:t>
      </w:r>
      <w:r>
        <w:t xml:space="preserve"> https://doi.org/10.2478/quageo-2021-0039</w:t>
      </w:r>
    </w:p>
    <w:p>
      <w:pPr/>
      <w:r>
        <w:rPr>
          <w:b/>
        </w:rPr>
        <w:t>Original future claim:</w:t>
      </w:r>
      <w:r>
        <w:t xml:space="preserve"> 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r>
        <w:rPr>
          <w:b/>
        </w:rPr>
        <w:t>Later source:</w:t>
      </w:r>
      <w:r>
        <w:t xml:space="preserve"> Tourism in Depopulation Contexts: A Hybrid Bibliometric and Narrative Systematic Review — https://doi.org/10.3390/world7030040</w:t>
      </w:r>
    </w:p>
    <w:p>
      <w:pPr/>
      <w:r>
        <w:rPr>
          <w:b/>
        </w:rPr>
        <w:t>Later source:</w:t>
      </w:r>
      <w:r>
        <w:t xml:space="preserve"> Analysis of housing in depopulated rural areas: a transnational comparison — https://doi.org/10.4995/vlc.2026.25269</w:t>
      </w:r>
    </w:p>
    <w:p>
      <w:pPr>
        <w:pStyle w:val="SourceNote"/>
      </w:pPr>
      <w:r>
        <w:rPr>
          <w:b/>
        </w:rPr>
        <w:t>Review status:</w:t>
      </w:r>
      <w:r>
        <w:t xml:space="preserve"> unchecked — possible relationship only</w:t>
      </w:r>
    </w:p>
    <w:p>
      <w:pPr>
        <w:pStyle w:val="Heading2"/>
      </w:pPr>
      <w:r>
        <w:t>201. Claim + two later sources: Analytical support to foresighting EU roles as a Global Security Actor</w:t>
      </w:r>
    </w:p>
    <w:p>
      <w:pPr>
        <w:pStyle w:val="SourceNote"/>
      </w:pPr>
      <w:r>
        <w:rPr>
          <w:b/>
        </w:rPr>
        <w:t>Group ID:</w:t>
      </w:r>
      <w:r>
        <w:t xml:space="preserve"> group-0b336c41a06ad6fe26cb</w:t>
      </w:r>
    </w:p>
    <w:p>
      <w:pPr>
        <w:pStyle w:val="SourceNote"/>
      </w:pPr>
      <w:r>
        <w:rPr>
          <w:b/>
        </w:rPr>
        <w:t>Original source:</w:t>
      </w:r>
      <w:r>
        <w:t xml:space="preserve"> https://doi.org/10.11610/isij.2902</w:t>
      </w:r>
    </w:p>
    <w:p>
      <w:pPr/>
      <w:r>
        <w:rPr>
          <w:b/>
        </w:rPr>
        <w:t>Original future claim:</w:t>
      </w:r>
      <w:r>
        <w:t xml:space="preserve"> 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r>
        <w:rPr>
          <w:b/>
        </w:rPr>
        <w:t>Later source:</w:t>
      </w:r>
      <w:r>
        <w:t xml:space="preserve"> Evaluation of the Structural Competitiveness of Major Container Ports in Europe Using a Hybrid Multi-Criteria Decision-Making Approach (CRITIC-TOPSIS-SAW) — https://doi.org/10.25295/fsecon.1850229</w:t>
      </w:r>
    </w:p>
    <w:p>
      <w:pPr/>
      <w:r>
        <w:rPr>
          <w:b/>
        </w:rPr>
        <w:t>Later source:</w:t>
      </w:r>
      <w:r>
        <w:t xml:space="preserve"> Biomarkers for neurodegenerative diseases in regulatory decision‐making by the European Medicines Agency — https://doi.org/10.1002/trc2.70072</w:t>
      </w:r>
    </w:p>
    <w:p>
      <w:pPr>
        <w:pStyle w:val="SourceNote"/>
      </w:pPr>
      <w:r>
        <w:rPr>
          <w:b/>
        </w:rPr>
        <w:t>Review status:</w:t>
      </w:r>
      <w:r>
        <w:t xml:space="preserve"> unchecked — possible relationship only</w:t>
      </w:r>
    </w:p>
    <w:p>
      <w:pPr>
        <w:pStyle w:val="Heading2"/>
      </w:pPr>
      <w:r>
        <w:t>202. Claim + two later sources: Scenarios for European agricultural policymaking in the era of digitalisation</w:t>
      </w:r>
    </w:p>
    <w:p>
      <w:pPr>
        <w:pStyle w:val="SourceNote"/>
      </w:pPr>
      <w:r>
        <w:rPr>
          <w:b/>
        </w:rPr>
        <w:t>Group ID:</w:t>
      </w:r>
      <w:r>
        <w:t xml:space="preserve"> group-07ec5ec97c351affaf84</w:t>
      </w:r>
    </w:p>
    <w:p>
      <w:pPr>
        <w:pStyle w:val="SourceNote"/>
      </w:pPr>
      <w:r>
        <w:rPr>
          <w:b/>
        </w:rPr>
        <w:t>Original source:</w:t>
      </w:r>
      <w:r>
        <w:t xml:space="preserve"> https://doi.org/10.1016/j.agsy.2021.103318</w:t>
      </w:r>
    </w:p>
    <w:p>
      <w:pPr/>
      <w:r>
        <w:rPr>
          <w:b/>
        </w:rPr>
        <w:t>Original future claim:</w:t>
      </w:r>
      <w:r>
        <w:t xml:space="preserve"> Our findings suggest that the baseline scenario needs strategies to ramp up technological and institutional infrastructure for digitalisation. RESULTS AND CONCLUSIONS Four scenarios of digitalisation of the agri-food sector were developed for Europe in 2030.</w:t>
      </w:r>
    </w:p>
    <w:p>
      <w:pPr/>
      <w:r>
        <w:rPr>
          <w:b/>
        </w:rPr>
        <w:t>Later source:</w:t>
      </w:r>
      <w:r>
        <w:t xml:space="preserve"> The Interplay of Climate Change, Urbanisation, and Species Traits Shapes European Butterfly Population Trends — https://doi.org/10.1111/geb.70204</w:t>
      </w:r>
    </w:p>
    <w:p>
      <w:pPr/>
      <w:r>
        <w:rPr>
          <w:b/>
        </w:rPr>
        <w:t>Later source:</w:t>
      </w:r>
      <w:r>
        <w:t xml:space="preserve"> The Lifecycle of Inequality : Childhood Neighborhoods, Redistribution, and Lifetime Pensions in Finland and Europe — https://openalex.org/W7197944645</w:t>
      </w:r>
    </w:p>
    <w:p>
      <w:pPr>
        <w:pStyle w:val="SourceNote"/>
      </w:pPr>
      <w:r>
        <w:rPr>
          <w:b/>
        </w:rPr>
        <w:t>Review status:</w:t>
      </w:r>
      <w:r>
        <w:t xml:space="preserve"> unchecked — possible relationship only</w:t>
      </w:r>
    </w:p>
    <w:p>
      <w:pPr>
        <w:pStyle w:val="Heading2"/>
      </w:pPr>
      <w:r>
        <w:t>203. Claim + two later sources: STRATEGIC DIRECTIONS OF DEVELOPMENT OF THE POLISH POWER SECTOR IN THE LIGHT OF CLIMATE AND ENERGY POLICY OF THE EUROPEAN UNION</w:t>
      </w:r>
    </w:p>
    <w:p>
      <w:pPr>
        <w:pStyle w:val="SourceNote"/>
      </w:pPr>
      <w:r>
        <w:rPr>
          <w:b/>
        </w:rPr>
        <w:t>Group ID:</w:t>
      </w:r>
      <w:r>
        <w:t xml:space="preserve"> group-bdd335acd105b496ce33</w:t>
      </w:r>
    </w:p>
    <w:p>
      <w:pPr>
        <w:pStyle w:val="SourceNote"/>
      </w:pPr>
      <w:r>
        <w:rPr>
          <w:b/>
        </w:rPr>
        <w:t>Original source:</w:t>
      </w:r>
      <w:r>
        <w:t xml:space="preserve"> https://doi.org/10.7862/rz.2016.hss.18</w:t>
      </w:r>
    </w:p>
    <w:p>
      <w:pPr/>
      <w:r>
        <w:rPr>
          <w:b/>
        </w:rPr>
        <w:t>Original future claim:</w:t>
      </w:r>
      <w:r>
        <w:t xml:space="preserve"> 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r>
        <w:rPr>
          <w:b/>
        </w:rPr>
        <w:t>Later source:</w:t>
      </w:r>
      <w:r>
        <w:t xml:space="preserve"> On Possibility of Converting Electricity Generation System Based on Fossil Fuels to Fully Renewable—Polish Case — https://doi.org/10.3390/en19020483</w:t>
      </w:r>
    </w:p>
    <w:p>
      <w:pPr/>
      <w:r>
        <w:rPr>
          <w:b/>
        </w:rPr>
        <w:t>Later source:</w:t>
      </w:r>
      <w:r>
        <w:t xml:space="preserve"> Analysis of Demand-Driven Operation in an Existing Biogas Plant Under Polish Electricity Market Conditions — https://doi.org/10.3390/en19133119</w:t>
      </w:r>
    </w:p>
    <w:p>
      <w:pPr>
        <w:pStyle w:val="SourceNote"/>
      </w:pPr>
      <w:r>
        <w:rPr>
          <w:b/>
        </w:rPr>
        <w:t>Review status:</w:t>
      </w:r>
      <w:r>
        <w:t xml:space="preserve"> unchecked — possible relationship only</w:t>
      </w:r>
    </w:p>
    <w:p>
      <w:pPr>
        <w:pStyle w:val="Heading2"/>
      </w:pPr>
      <w:r>
        <w:t>204. Claim + two later sources: MARKET DRIVEN POWER PLANT INVESTMENT PERSPECTIVES IN EUROPE: CLIMATE POLICY AND TECHNOLOGY SCENARIOS UNTIL 2050 IN THE MODEL EMELIE-ESY</w:t>
      </w:r>
    </w:p>
    <w:p>
      <w:pPr>
        <w:pStyle w:val="SourceNote"/>
      </w:pPr>
      <w:r>
        <w:rPr>
          <w:b/>
        </w:rPr>
        <w:t>Group ID:</w:t>
      </w:r>
      <w:r>
        <w:t xml:space="preserve"> group-93d9c2b3190b2dacf5f7</w:t>
      </w:r>
    </w:p>
    <w:p>
      <w:pPr>
        <w:pStyle w:val="SourceNote"/>
      </w:pPr>
      <w:r>
        <w:rPr>
          <w:b/>
        </w:rPr>
        <w:t>Original source:</w:t>
      </w:r>
      <w:r>
        <w:t xml:space="preserve"> https://doi.org/10.1142/s2010007813400071</w:t>
      </w:r>
    </w:p>
    <w:p>
      <w:pPr/>
      <w:r>
        <w:rPr>
          <w:b/>
        </w:rPr>
        <w:t>Original future claim:</w:t>
      </w:r>
      <w:r>
        <w:t xml:space="preserve"> 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r>
        <w:rPr>
          <w:b/>
        </w:rPr>
        <w:t>Later source:</w:t>
      </w:r>
      <w:r>
        <w:t xml:space="preserve"> 6G and NTN Power Consumption Modeling — https://doi.org/10.1201/9781003674801-13</w:t>
      </w:r>
    </w:p>
    <w:p>
      <w:pPr/>
      <w:r>
        <w:rPr>
          <w:b/>
        </w:rPr>
        <w:t>Later source:</w:t>
      </w:r>
      <w:r>
        <w:t xml:space="preserve"> Stochastic Models of Electricity Consumption — https://doi.org/10.17150/2713-1734.2024.6(1).31-46</w:t>
      </w:r>
    </w:p>
    <w:p>
      <w:pPr>
        <w:pStyle w:val="SourceNote"/>
      </w:pPr>
      <w:r>
        <w:rPr>
          <w:b/>
        </w:rPr>
        <w:t>Review status:</w:t>
      </w:r>
      <w:r>
        <w:t xml:space="preserve"> unchecked — possible relationship only</w:t>
      </w:r>
    </w:p>
    <w:p>
      <w:pPr>
        <w:pStyle w:val="Heading2"/>
      </w:pPr>
      <w:r>
        <w:t>205. Claim + two later sources: Environmental and resource burdens associated with low carbon, more electric transition pathways to 2050: Footprint components from carbon emissions and land use to waste arisings and water consumption</w:t>
      </w:r>
    </w:p>
    <w:p>
      <w:pPr>
        <w:pStyle w:val="SourceNote"/>
      </w:pPr>
      <w:r>
        <w:rPr>
          <w:b/>
        </w:rPr>
        <w:t>Group ID:</w:t>
      </w:r>
      <w:r>
        <w:t xml:space="preserve"> group-8271259b72fce10a6694</w:t>
      </w:r>
    </w:p>
    <w:p>
      <w:pPr>
        <w:pStyle w:val="SourceNote"/>
      </w:pPr>
      <w:r>
        <w:rPr>
          <w:b/>
        </w:rPr>
        <w:t>Original source:</w:t>
      </w:r>
      <w:r>
        <w:t xml:space="preserve"> https://doi.org/10.1016/j.glt.2019.01.001</w:t>
      </w:r>
    </w:p>
    <w:p>
      <w:pPr/>
      <w:r>
        <w:rPr>
          <w:b/>
        </w:rPr>
        <w:t>Original future claim:</w:t>
      </w:r>
      <w:r>
        <w:t xml:space="preserve"> 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r>
        <w:rPr>
          <w:b/>
        </w:rPr>
        <w:t>Later source:</w:t>
      </w:r>
      <w:r>
        <w:t xml:space="preserve"> Empowering energy consumers in the EU : legal pathways for promoting renewable electricity through demand-side management — https://openalex.org/W7125460656</w:t>
      </w:r>
    </w:p>
    <w:p>
      <w:pPr/>
      <w:r>
        <w:rPr>
          <w:b/>
        </w:rPr>
        <w:t>Later source:</w:t>
      </w:r>
      <w:r>
        <w:t xml:space="preserve"> Pathways to meeting growing electricity demand through expanding customer choice: a review of emerging hybrid power choice policies and practices — https://doi.org/10.3389/fsuep.2026.1766514</w:t>
      </w:r>
    </w:p>
    <w:p>
      <w:pPr>
        <w:pStyle w:val="SourceNote"/>
      </w:pPr>
      <w:r>
        <w:rPr>
          <w:b/>
        </w:rPr>
        <w:t>Review status:</w:t>
      </w:r>
      <w:r>
        <w:t xml:space="preserve"> unchecked — possible relationship only</w:t>
      </w:r>
    </w:p>
    <w:p>
      <w:pPr>
        <w:pStyle w:val="Heading2"/>
      </w:pPr>
      <w:r>
        <w:t>206. Claim + two later sources: Policy Modelling for Ambitious Energy Efficiency Investment in the EU Residential Buildings</w:t>
      </w:r>
    </w:p>
    <w:p>
      <w:pPr>
        <w:pStyle w:val="SourceNote"/>
      </w:pPr>
      <w:r>
        <w:rPr>
          <w:b/>
        </w:rPr>
        <w:t>Group ID:</w:t>
      </w:r>
      <w:r>
        <w:t xml:space="preserve"> group-dae865c6550900b77f2f</w:t>
      </w:r>
    </w:p>
    <w:p>
      <w:pPr>
        <w:pStyle w:val="SourceNote"/>
      </w:pPr>
      <w:r>
        <w:rPr>
          <w:b/>
        </w:rPr>
        <w:t>Original source:</w:t>
      </w:r>
      <w:r>
        <w:t xml:space="preserve"> https://doi.org/10.3390/en15062233</w:t>
      </w:r>
    </w:p>
    <w:p>
      <w:pPr/>
      <w:r>
        <w:rPr>
          <w:b/>
        </w:rPr>
        <w:t>Original future claim:</w:t>
      </w:r>
      <w:r>
        <w:t xml:space="preserve"> This paper presents the challenges of increasing the energy efficiency investments in European Union (EU) residential buildings in the context of achieving climate neutrality by 2050.</w:t>
      </w:r>
    </w:p>
    <w:p>
      <w:pPr/>
      <w:r>
        <w:rPr>
          <w:b/>
        </w:rPr>
        <w:t>Later source:</w:t>
      </w:r>
      <w:r>
        <w:t xml:space="preserve"> The Geopolitical Shift and the Challenge to European Integration — https://doi.org/10.1007/978-3-032-18648-5_1</w:t>
      </w:r>
    </w:p>
    <w:p>
      <w:pPr/>
      <w:r>
        <w:rPr>
          <w:b/>
        </w:rPr>
        <w:t>Later source:</w:t>
      </w:r>
      <w:r>
        <w:t xml:space="preserve"> The Future of European Integration : Challenges and Opportunities — https://openalex.org/W7221381007</w:t>
      </w:r>
    </w:p>
    <w:p>
      <w:pPr>
        <w:pStyle w:val="SourceNote"/>
      </w:pPr>
      <w:r>
        <w:rPr>
          <w:b/>
        </w:rPr>
        <w:t>Review status:</w:t>
      </w:r>
      <w:r>
        <w:t xml:space="preserve"> unchecked — possible relationship only</w:t>
      </w:r>
    </w:p>
    <w:p>
      <w:pPr>
        <w:pStyle w:val="Heading2"/>
      </w:pPr>
      <w:r>
        <w:t>207. Claim + two later sources: A New Climate for Europe: 2030 Climate Targets Must Be More Ambitious</w:t>
      </w:r>
    </w:p>
    <w:p>
      <w:pPr>
        <w:pStyle w:val="SourceNote"/>
      </w:pPr>
      <w:r>
        <w:rPr>
          <w:b/>
        </w:rPr>
        <w:t>Group ID:</w:t>
      </w:r>
      <w:r>
        <w:t xml:space="preserve"> group-c1261bcdc234a2b3cd6d</w:t>
      </w:r>
    </w:p>
    <w:p>
      <w:pPr>
        <w:pStyle w:val="SourceNote"/>
      </w:pPr>
      <w:r>
        <w:rPr>
          <w:b/>
        </w:rPr>
        <w:t>Original source:</w:t>
      </w:r>
      <w:r>
        <w:t xml:space="preserve"> https://doi.org/10.18723/diw_dwr:2019-40-1</w:t>
      </w:r>
    </w:p>
    <w:p>
      <w:pPr/>
      <w:r>
        <w:rPr>
          <w:b/>
        </w:rPr>
        <w:t>Original future claim:</w:t>
      </w:r>
      <w:r>
        <w:t xml:space="preserve"> 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r>
        <w:rPr>
          <w:b/>
        </w:rPr>
        <w:t>Later source:</w:t>
      </w:r>
      <w:r>
        <w:t xml:space="preserve"> Early warning early action systems for invasive alien species affecting forests in Europe and Central Asia: an overview — https://doi.org/10.3389/ffgc.2026.1795394</w:t>
      </w:r>
    </w:p>
    <w:p>
      <w:pPr/>
      <w:r>
        <w:rPr>
          <w:b/>
        </w:rPr>
        <w:t>Later source:</w:t>
      </w:r>
      <w:r>
        <w:t xml:space="preserve"> The 2026 Europe report of the Lancet Countdown on health and climate change: narrowing window for decisive health action — https://doi.org/10.1016/s2468-2667(26)00025-3</w:t>
      </w:r>
    </w:p>
    <w:p>
      <w:pPr>
        <w:pStyle w:val="SourceNote"/>
      </w:pPr>
      <w:r>
        <w:rPr>
          <w:b/>
        </w:rPr>
        <w:t>Review status:</w:t>
      </w:r>
      <w:r>
        <w:t xml:space="preserve"> unchecked — possible relationship only</w:t>
      </w:r>
    </w:p>
    <w:p>
      <w:pPr>
        <w:pStyle w:val="Heading2"/>
      </w:pPr>
      <w:r>
        <w:t>208. Claim + two later sources: Dutch Public health Foresight study 2018/20</w:t>
      </w:r>
    </w:p>
    <w:p>
      <w:pPr>
        <w:pStyle w:val="SourceNote"/>
      </w:pPr>
      <w:r>
        <w:rPr>
          <w:b/>
        </w:rPr>
        <w:t>Group ID:</w:t>
      </w:r>
      <w:r>
        <w:t xml:space="preserve"> group-9fdc4a8c5981653a93ab</w:t>
      </w:r>
    </w:p>
    <w:p>
      <w:pPr>
        <w:pStyle w:val="SourceNote"/>
      </w:pPr>
      <w:r>
        <w:rPr>
          <w:b/>
        </w:rPr>
        <w:t>Original source:</w:t>
      </w:r>
      <w:r>
        <w:t xml:space="preserve"> https://doi.org/10.1093/eurpub/ckaa165.1290</w:t>
      </w:r>
    </w:p>
    <w:p>
      <w:pPr/>
      <w:r>
        <w:rPr>
          <w:b/>
        </w:rPr>
        <w:t>Original future claim:</w:t>
      </w:r>
      <w:r>
        <w:t xml:space="preserve"> Dementia will be the leading cause of mortality and disease burden in 2040 by far. Health care expenditures will double by 2040, with cancers showing the most rapid growth of all disease groups.</w:t>
      </w:r>
    </w:p>
    <w:p>
      <w:pPr/>
      <w:r>
        <w:rPr>
          <w:b/>
        </w:rPr>
        <w:t>Later source:</w:t>
      </w:r>
      <w:r>
        <w:t xml:space="preserve"> New data showing dementia is Australia’s leading cause of death means we need to make brain health a national priority — https://doi.org/10.1016/j.anzjph.2026.100318</w:t>
      </w:r>
    </w:p>
    <w:p>
      <w:pPr/>
      <w:r>
        <w:rPr>
          <w:b/>
        </w:rPr>
        <w:t>Later source:</w:t>
      </w:r>
      <w:r>
        <w:t xml:space="preserve"> Global burden of disease due to young-onset dementia and the forecast for 2050: update from global burden of disease study 2021 — https://doi.org/10.1080/13696998.2026.2646088</w:t>
      </w:r>
    </w:p>
    <w:p>
      <w:pPr>
        <w:pStyle w:val="SourceNote"/>
      </w:pPr>
      <w:r>
        <w:rPr>
          <w:b/>
        </w:rPr>
        <w:t>Review status:</w:t>
      </w:r>
      <w:r>
        <w:t xml:space="preserve"> unchecked — possible relationship only</w:t>
      </w:r>
    </w:p>
    <w:p>
      <w:pPr>
        <w:pStyle w:val="Heading2"/>
      </w:pPr>
      <w:r>
        <w:t>209. Claim + two later sources: Constructing Resilient Futures: Integrating UK multi-stakeholder transport and energy resilience for 2050</w:t>
      </w:r>
    </w:p>
    <w:p>
      <w:pPr>
        <w:pStyle w:val="SourceNote"/>
      </w:pPr>
      <w:r>
        <w:rPr>
          <w:b/>
        </w:rPr>
        <w:t>Group ID:</w:t>
      </w:r>
      <w:r>
        <w:t xml:space="preserve"> group-f8eb019d0aa5c3ab4503</w:t>
      </w:r>
    </w:p>
    <w:p>
      <w:pPr>
        <w:pStyle w:val="SourceNote"/>
      </w:pPr>
      <w:r>
        <w:rPr>
          <w:b/>
        </w:rPr>
        <w:t>Original source:</w:t>
      </w:r>
      <w:r>
        <w:t xml:space="preserve"> https://doi.org/10.1016/j.futures.2013.04.003</w:t>
      </w:r>
    </w:p>
    <w:p>
      <w:pPr/>
      <w:r>
        <w:rPr>
          <w:b/>
        </w:rPr>
        <w:t>Original future claim:</w:t>
      </w:r>
      <w:r>
        <w:t xml:space="preserve"> 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r>
        <w:rPr>
          <w:b/>
        </w:rPr>
        <w:t>Later source:</w:t>
      </w:r>
      <w:r>
        <w:t xml:space="preserve"> Online Interest in Radical Islam and Terrorist Attacks — https://doi.org/10.1515/peps-2024-0054</w:t>
      </w:r>
    </w:p>
    <w:p>
      <w:pPr/>
      <w:r>
        <w:rPr>
          <w:b/>
        </w:rPr>
        <w:t>Later source:</w:t>
      </w:r>
      <w:r>
        <w:t xml:space="preserve"> PREVENTION OF TERRORIST ATTACKS ON CRITICAL INFRASTRUCTURE ON THE EXAMPLE OF AN AIRPORT — https://doi.org/10.29119/1641-3466.2025.216.13</w:t>
      </w:r>
    </w:p>
    <w:p>
      <w:pPr>
        <w:pStyle w:val="SourceNote"/>
      </w:pPr>
      <w:r>
        <w:rPr>
          <w:b/>
        </w:rPr>
        <w:t>Review status:</w:t>
      </w:r>
      <w:r>
        <w:t xml:space="preserve"> unchecked — possible relationship only</w:t>
      </w:r>
    </w:p>
    <w:p>
      <w:pPr>
        <w:pStyle w:val="Heading2"/>
      </w:pPr>
      <w:r>
        <w:t>210. Claim + two later sources: An Agent-Based Assessment of Land Use and Ecosystem Changes in Traditional Agricultural Landscape of Portugal</w:t>
      </w:r>
    </w:p>
    <w:p>
      <w:pPr>
        <w:pStyle w:val="SourceNote"/>
      </w:pPr>
      <w:r>
        <w:rPr>
          <w:b/>
        </w:rPr>
        <w:t>Group ID:</w:t>
      </w:r>
      <w:r>
        <w:t xml:space="preserve"> group-d03c5a9787b14893d8ce</w:t>
      </w:r>
    </w:p>
    <w:p>
      <w:pPr>
        <w:pStyle w:val="SourceNote"/>
      </w:pPr>
      <w:r>
        <w:rPr>
          <w:b/>
        </w:rPr>
        <w:t>Original source:</w:t>
      </w:r>
      <w:r>
        <w:t xml:space="preserve"> https://doi.org/10.4236/iim.2014.62008</w:t>
      </w:r>
    </w:p>
    <w:p>
      <w:pPr/>
      <w:r>
        <w:rPr>
          <w:b/>
        </w:rPr>
        <w:t>Original future claim:</w:t>
      </w:r>
      <w:r>
        <w:t xml:space="preserve"> The results of the scenario analysis show that the area of Montado declines significantly by 2050, but it remains the dominant land use in the case study area, indicating some resilience to change.</w:t>
      </w:r>
    </w:p>
    <w:p>
      <w:pPr/>
      <w:r>
        <w:rPr>
          <w:b/>
        </w:rPr>
        <w:t>Later source:</w:t>
      </w:r>
      <w:r>
        <w:t xml:space="preserve"> Spatiotemporal analysis of montado land cover dynamics in southern Portugal: the influence of anthropogenic and natural disturbances — https://doi.org/10.1007/s10457-026-01564-x</w:t>
      </w:r>
    </w:p>
    <w:p>
      <w:pPr/>
      <w:r>
        <w:rPr>
          <w:b/>
        </w:rPr>
        <w:t>Later source:</w:t>
      </w:r>
      <w:r>
        <w:t xml:space="preserve"> MAPPING SOIL MOISTURE AND CARBON HOTSPOTS IN A MONTADO ECOSYSTEM: A CASE STUDY IN COMPANHIA DAS LEZÍRIAS, PORTUGAL — https://doi.org/10.26471/cjees/2026/021/382</w:t>
      </w:r>
    </w:p>
    <w:p>
      <w:pPr>
        <w:pStyle w:val="SourceNote"/>
      </w:pPr>
      <w:r>
        <w:rPr>
          <w:b/>
        </w:rPr>
        <w:t>Review status:</w:t>
      </w:r>
      <w:r>
        <w:t xml:space="preserve"> unchecked — possible relationship only</w:t>
      </w:r>
    </w:p>
    <w:p>
      <w:pPr>
        <w:pStyle w:val="Heading2"/>
      </w:pPr>
      <w:r>
        <w:t>211. Claim + two later sources: A history of futures: A review of scenario use in water policy studies in the Netherlands</w:t>
      </w:r>
    </w:p>
    <w:p>
      <w:pPr>
        <w:pStyle w:val="SourceNote"/>
      </w:pPr>
      <w:r>
        <w:rPr>
          <w:b/>
        </w:rPr>
        <w:t>Group ID:</w:t>
      </w:r>
      <w:r>
        <w:t xml:space="preserve"> group-8889d41ca620b5c8970b</w:t>
      </w:r>
    </w:p>
    <w:p>
      <w:pPr>
        <w:pStyle w:val="SourceNote"/>
      </w:pPr>
      <w:r>
        <w:rPr>
          <w:b/>
        </w:rPr>
        <w:t>Original source:</w:t>
      </w:r>
      <w:r>
        <w:t xml:space="preserve"> https://doi.org/10.1016/j.envsci.2012.03.002</w:t>
      </w:r>
    </w:p>
    <w:p>
      <w:pPr/>
      <w:r>
        <w:rPr>
          <w:b/>
        </w:rPr>
        <w:t>Original future claim:</w:t>
      </w:r>
      <w:r>
        <w:t xml:space="preserve"> 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r>
        <w:rPr>
          <w:b/>
        </w:rPr>
        <w:t>Later source:</w:t>
      </w:r>
      <w:r>
        <w:t xml:space="preserve"> Proposal for revised criteria for daylight provision in the European daylight standard based on calculations for Swedish multifamily residential buildings — https://doi.org/10.1177/14771535241306970</w:t>
      </w:r>
    </w:p>
    <w:p>
      <w:pPr/>
      <w:r>
        <w:rPr>
          <w:b/>
        </w:rPr>
        <w:t>Later source:</w:t>
      </w:r>
      <w:r>
        <w:t xml:space="preserve"> Lyme Borreliosis Incidence Across Europe, 2015–2023: A Surveillance-Based Review and Analysis — https://doi.org/10.1177/15303667251363125</w:t>
      </w:r>
    </w:p>
    <w:p>
      <w:pPr>
        <w:pStyle w:val="SourceNote"/>
      </w:pPr>
      <w:r>
        <w:rPr>
          <w:b/>
        </w:rPr>
        <w:t>Review status:</w:t>
      </w:r>
      <w:r>
        <w:t xml:space="preserve"> unchecked — possible relationship only</w:t>
      </w:r>
    </w:p>
    <w:p>
      <w:pPr>
        <w:pStyle w:val="Heading2"/>
      </w:pPr>
      <w:r>
        <w:t>212. Claim + two later sources: Anticipatory governance for newcomers: lessons learned from the UK, the Netherlands, Finland, and Korea</w:t>
      </w:r>
    </w:p>
    <w:p>
      <w:pPr>
        <w:pStyle w:val="SourceNote"/>
      </w:pPr>
      <w:r>
        <w:rPr>
          <w:b/>
        </w:rPr>
        <w:t>Group ID:</w:t>
      </w:r>
      <w:r>
        <w:t xml:space="preserve"> group-5228ef36a75bacd38125</w:t>
      </w:r>
    </w:p>
    <w:p>
      <w:pPr>
        <w:pStyle w:val="SourceNote"/>
      </w:pPr>
      <w:r>
        <w:rPr>
          <w:b/>
        </w:rPr>
        <w:t>Original source:</w:t>
      </w:r>
      <w:r>
        <w:t xml:space="preserve"> https://doi.org/10.1186/s40309-021-00179-y</w:t>
      </w:r>
    </w:p>
    <w:p>
      <w:pPr/>
      <w:r>
        <w:rPr>
          <w:b/>
        </w:rPr>
        <w:t>Original future claim:</w:t>
      </w:r>
      <w:r>
        <w:t xml:space="preserve"> First, the government should educate and train the public and government officials to promote future literacy and future proficiency .</w:t>
      </w:r>
    </w:p>
    <w:p>
      <w:pPr/>
      <w:r>
        <w:rPr>
          <w:b/>
        </w:rPr>
        <w:t>Later source:</w:t>
      </w:r>
      <w:r>
        <w:t xml:space="preserve"> Educating and raising public awareness about floods with uniformed high-water marks — https://doi.org/10.5194/ems2025-48</w:t>
      </w:r>
    </w:p>
    <w:p>
      <w:pPr/>
      <w:r>
        <w:rPr>
          <w:b/>
        </w:rPr>
        <w:t>Later source:</w:t>
      </w:r>
      <w:r>
        <w:t xml:space="preserve"> Right to be Forgotten vs. Public Information Disclosure to Public Officials in Indonesia — https://doi.org/10.30996/mk.v19i1.132922</w:t>
      </w:r>
    </w:p>
    <w:p>
      <w:pPr>
        <w:pStyle w:val="SourceNote"/>
      </w:pPr>
      <w:r>
        <w:rPr>
          <w:b/>
        </w:rPr>
        <w:t>Review status:</w:t>
      </w:r>
      <w:r>
        <w:t xml:space="preserve"> unchecked — possible relationship only</w:t>
      </w:r>
    </w:p>
    <w:p>
      <w:pPr>
        <w:pStyle w:val="Heading2"/>
      </w:pPr>
      <w:r>
        <w:t>213. Claim + two later sources: Foresight and “grand challenges” within research and innovation policies</w:t>
      </w:r>
    </w:p>
    <w:p>
      <w:pPr>
        <w:pStyle w:val="SourceNote"/>
      </w:pPr>
      <w:r>
        <w:rPr>
          <w:b/>
        </w:rPr>
        <w:t>Group ID:</w:t>
      </w:r>
      <w:r>
        <w:t xml:space="preserve"> group-b79aa7e1225ef33b95d5</w:t>
      </w:r>
    </w:p>
    <w:p>
      <w:pPr>
        <w:pStyle w:val="SourceNote"/>
      </w:pPr>
      <w:r>
        <w:rPr>
          <w:b/>
        </w:rPr>
        <w:t>Original source:</w:t>
      </w:r>
      <w:r>
        <w:t xml:space="preserve"> https://doi.org/10.1108/14636681311310123</w:t>
      </w:r>
    </w:p>
    <w:p>
      <w:pPr/>
      <w:r>
        <w:rPr>
          <w:b/>
        </w:rPr>
        <w:t>Original future claim:</w:t>
      </w:r>
      <w:r>
        <w:t xml:space="preserve"> 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r>
        <w:rPr>
          <w:b/>
        </w:rPr>
        <w:t>Later source:</w:t>
      </w:r>
      <w:r>
        <w:t xml:space="preserve"> Meaning, Purpose, and Leadership Thriving — https://doi.org/10.1002/jls.70045</w:t>
      </w:r>
    </w:p>
    <w:p>
      <w:pPr/>
      <w:r>
        <w:rPr>
          <w:b/>
        </w:rPr>
        <w:t>Later source:</w:t>
      </w:r>
      <w:r>
        <w:t xml:space="preserve"> The Authenticity of Purpose Claims: Firm Capacity and Job Seeker Responses to Recruitment Efforts — https://doi.org/10.1287/mnsc.2023.03931</w:t>
      </w:r>
    </w:p>
    <w:p>
      <w:pPr>
        <w:pStyle w:val="SourceNote"/>
      </w:pPr>
      <w:r>
        <w:rPr>
          <w:b/>
        </w:rPr>
        <w:t>Review status:</w:t>
      </w:r>
      <w:r>
        <w:t xml:space="preserve"> unchecked — possible relationship only</w:t>
      </w:r>
    </w:p>
    <w:p>
      <w:pPr>
        <w:pStyle w:val="Heading2"/>
      </w:pPr>
      <w:r>
        <w:t>214. Claim + two later sources: Governance barriers to sustainable energy transitions – Assessing Ireland's capacity towards marine energy futures</w:t>
      </w:r>
    </w:p>
    <w:p>
      <w:pPr>
        <w:pStyle w:val="SourceNote"/>
      </w:pPr>
      <w:r>
        <w:rPr>
          <w:b/>
        </w:rPr>
        <w:t>Group ID:</w:t>
      </w:r>
      <w:r>
        <w:t xml:space="preserve"> group-12191bdaa0f92f35362e</w:t>
      </w:r>
    </w:p>
    <w:p>
      <w:pPr>
        <w:pStyle w:val="SourceNote"/>
      </w:pPr>
      <w:r>
        <w:rPr>
          <w:b/>
        </w:rPr>
        <w:t>Original source:</w:t>
      </w:r>
      <w:r>
        <w:t xml:space="preserve"> https://doi.org/10.1016/j.enpol.2017.11.020</w:t>
      </w:r>
    </w:p>
    <w:p>
      <w:pPr/>
      <w:r>
        <w:rPr>
          <w:b/>
        </w:rPr>
        <w:t>Original future claim:</w:t>
      </w:r>
      <w:r>
        <w:t xml:space="preserve"> We observe that ME governance is complex, as development offshore involves engagement and may often result in conflict.</w:t>
      </w:r>
    </w:p>
    <w:p>
      <w:pPr/>
      <w:r>
        <w:rPr>
          <w:b/>
        </w:rPr>
        <w:t>Later source:</w:t>
      </w:r>
      <w:r>
        <w:t xml:space="preserve"> Practices within the European Union’s Governance — https://doi.org/10.38158/apjeus.22.1.1</w:t>
      </w:r>
    </w:p>
    <w:p>
      <w:pPr/>
      <w:r>
        <w:rPr>
          <w:b/>
        </w:rPr>
        <w:t>Later source:</w:t>
      </w:r>
      <w:r>
        <w:t xml:space="preserve"> Transformative or piecemeal? Changes in green space planning and governance in eleven European cities — https://doi.org/10.1080/09654313.2022.2139594</w:t>
      </w:r>
    </w:p>
    <w:p>
      <w:pPr>
        <w:pStyle w:val="SourceNote"/>
      </w:pPr>
      <w:r>
        <w:rPr>
          <w:b/>
        </w:rPr>
        <w:t>Review status:</w:t>
      </w:r>
      <w:r>
        <w:t xml:space="preserve"> unchecked — possible relationship only</w:t>
      </w:r>
    </w:p>
    <w:p>
      <w:pPr>
        <w:pStyle w:val="Heading2"/>
      </w:pPr>
      <w:r>
        <w:t>215. Claim + two later sources: Developments in Energy use for Transport in 27 European Union Countries through 2030</w:t>
      </w:r>
    </w:p>
    <w:p>
      <w:pPr>
        <w:pStyle w:val="SourceNote"/>
      </w:pPr>
      <w:r>
        <w:rPr>
          <w:b/>
        </w:rPr>
        <w:t>Group ID:</w:t>
      </w:r>
      <w:r>
        <w:t xml:space="preserve"> group-cbb1f22acf7fcc8804af</w:t>
      </w:r>
    </w:p>
    <w:p>
      <w:pPr>
        <w:pStyle w:val="SourceNote"/>
      </w:pPr>
      <w:r>
        <w:rPr>
          <w:b/>
        </w:rPr>
        <w:t>Original source:</w:t>
      </w:r>
      <w:r>
        <w:t xml:space="preserve"> https://doi.org/10.3141/2252-05</w:t>
      </w:r>
    </w:p>
    <w:p>
      <w:pPr/>
      <w:r>
        <w:rPr>
          <w:b/>
        </w:rPr>
        <w:t>Original future claim:</w:t>
      </w:r>
      <w:r>
        <w:t xml:space="preserve"> 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r>
        <w:rPr>
          <w:b/>
        </w:rPr>
        <w:t>Later source:</w:t>
      </w:r>
      <w:r>
        <w:t xml:space="preserve"> Global value chains and the redistribution of GHG emissions: The case of Czechia — https://doi.org/10.1016/j.rspp.2026.100338</w:t>
      </w:r>
    </w:p>
    <w:p>
      <w:pPr/>
      <w:r>
        <w:rPr>
          <w:b/>
        </w:rPr>
        <w:t>Later source:</w:t>
      </w:r>
      <w:r>
        <w:t xml:space="preserve"> Forecast reconciliation of agricultural GHG emissions in Europe with fuzzy clustering — https://doi.org/10.1007/s10479-026-07363-y</w:t>
      </w:r>
    </w:p>
    <w:p>
      <w:pPr>
        <w:pStyle w:val="SourceNote"/>
      </w:pPr>
      <w:r>
        <w:rPr>
          <w:b/>
        </w:rPr>
        <w:t>Review status:</w:t>
      </w:r>
      <w:r>
        <w:t xml:space="preserve"> unchecked — possible relationship only</w:t>
      </w:r>
    </w:p>
    <w:p>
      <w:pPr>
        <w:pStyle w:val="Heading2"/>
      </w:pPr>
      <w:r>
        <w:t>216. Claim + two later sources: Impact of Quasi‐Idealized Future Land Cover Scenarios at High Latitudes in Complex Terrain</w:t>
      </w:r>
    </w:p>
    <w:p>
      <w:pPr>
        <w:pStyle w:val="SourceNote"/>
      </w:pPr>
      <w:r>
        <w:rPr>
          <w:b/>
        </w:rPr>
        <w:t>Group ID:</w:t>
      </w:r>
      <w:r>
        <w:t xml:space="preserve"> group-10139bfdaf76bce2273a</w:t>
      </w:r>
    </w:p>
    <w:p>
      <w:pPr>
        <w:pStyle w:val="SourceNote"/>
      </w:pPr>
      <w:r>
        <w:rPr>
          <w:b/>
        </w:rPr>
        <w:t>Original source:</w:t>
      </w:r>
      <w:r>
        <w:t xml:space="preserve"> https://doi.org/10.1029/2020ef001838</w:t>
      </w:r>
    </w:p>
    <w:p>
      <w:pPr/>
      <w:r>
        <w:rPr>
          <w:b/>
        </w:rPr>
        <w:t>Original future claim:</w:t>
      </w:r>
      <w:r>
        <w:t xml:space="preserve"> 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r>
        <w:rPr>
          <w:b/>
        </w:rPr>
        <w:t>Later source:</w:t>
      </w:r>
      <w:r>
        <w:t xml:space="preserve"> Spatiotemporal variability and uncertainty in wood decay estimates across Europe and Scandinavia using a data-driven moisture content model with multi-scale weather datasets — https://doi.org/10.1016/j.rineng.2026.108983</w:t>
      </w:r>
    </w:p>
    <w:p>
      <w:pPr/>
      <w:r>
        <w:rPr>
          <w:b/>
        </w:rPr>
        <w:t>Later source:</w:t>
      </w:r>
      <w:r>
        <w:t xml:space="preserve"> Linking European droughts to year-round weather regimes — https://doi.org/10.5194/wcd-7-223-2026</w:t>
      </w:r>
    </w:p>
    <w:p>
      <w:pPr>
        <w:pStyle w:val="SourceNote"/>
      </w:pPr>
      <w:r>
        <w:rPr>
          <w:b/>
        </w:rPr>
        <w:t>Review status:</w:t>
      </w:r>
      <w:r>
        <w:t xml:space="preserve"> unchecked — possible relationship only</w:t>
      </w:r>
    </w:p>
    <w:p>
      <w:pPr>
        <w:pStyle w:val="Heading2"/>
      </w:pPr>
      <w:r>
        <w:t>217. Claim + two later sources: International migration by 2030: impact of immigration policies scenarios on growth and employment</w:t>
      </w:r>
    </w:p>
    <w:p>
      <w:pPr>
        <w:pStyle w:val="SourceNote"/>
      </w:pPr>
      <w:r>
        <w:rPr>
          <w:b/>
        </w:rPr>
        <w:t>Group ID:</w:t>
      </w:r>
      <w:r>
        <w:t xml:space="preserve"> group-bb8f3ee8f49ffe0d8b14</w:t>
      </w:r>
    </w:p>
    <w:p>
      <w:pPr>
        <w:pStyle w:val="SourceNote"/>
      </w:pPr>
      <w:r>
        <w:rPr>
          <w:b/>
        </w:rPr>
        <w:t>Original source:</w:t>
      </w:r>
      <w:r>
        <w:t xml:space="preserve"> https://doi.org/10.1108/fs-06-2012-0045</w:t>
      </w:r>
    </w:p>
    <w:p>
      <w:pPr/>
      <w:r>
        <w:rPr>
          <w:b/>
        </w:rPr>
        <w:t>Original future claim:</w:t>
      </w:r>
      <w:r>
        <w:t xml:space="preserve"> 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r>
        <w:rPr>
          <w:b/>
        </w:rPr>
        <w:t>Later source:</w:t>
      </w:r>
      <w:r>
        <w:t xml:space="preserve"> Economic Assimilation of Women and Families in the Age of Mass Migration — https://doi.org/10.3386/w35332</w:t>
      </w:r>
    </w:p>
    <w:p>
      <w:pPr/>
      <w:r>
        <w:rPr>
          <w:b/>
        </w:rPr>
        <w:t>Later source:</w:t>
      </w:r>
      <w:r>
        <w:t xml:space="preserve"> Listening, Learning, and Letting Go: History and Impact of Fund for Shared Insight, 2014-2026 — https://openalex.org/W7220885628</w:t>
      </w:r>
    </w:p>
    <w:p>
      <w:pPr>
        <w:pStyle w:val="SourceNote"/>
      </w:pPr>
      <w:r>
        <w:rPr>
          <w:b/>
        </w:rPr>
        <w:t>Review status:</w:t>
      </w:r>
      <w:r>
        <w:t xml:space="preserve"> unchecked — possible relationship only</w:t>
      </w:r>
    </w:p>
    <w:p>
      <w:pPr>
        <w:pStyle w:val="Heading2"/>
      </w:pPr>
      <w:r>
        <w:t>218. Claim + two later sources: Will climate change affect the electricity production sector? A European study</w:t>
      </w:r>
    </w:p>
    <w:p>
      <w:pPr>
        <w:pStyle w:val="SourceNote"/>
      </w:pPr>
      <w:r>
        <w:rPr>
          <w:b/>
        </w:rPr>
        <w:t>Group ID:</w:t>
      </w:r>
      <w:r>
        <w:t xml:space="preserve"> group-749b9b53ddf220f697e3</w:t>
      </w:r>
    </w:p>
    <w:p>
      <w:pPr>
        <w:pStyle w:val="SourceNote"/>
      </w:pPr>
      <w:r>
        <w:rPr>
          <w:b/>
        </w:rPr>
        <w:t>Original source:</w:t>
      </w:r>
      <w:r>
        <w:t xml:space="preserve"> https://doi.org/10.2166/wcc.2012.066</w:t>
      </w:r>
    </w:p>
    <w:p>
      <w:pPr/>
      <w:r>
        <w:rPr>
          <w:b/>
        </w:rPr>
        <w:t>Original future claim:</w:t>
      </w:r>
      <w:r>
        <w:t xml:space="preserve"> 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r>
        <w:rPr>
          <w:b/>
        </w:rPr>
        <w:t>Later source:</w:t>
      </w:r>
      <w:r>
        <w:t xml:space="preserve"> Hydrogen production from grid electricity in Europe: A temporal analysis combining economic and climate dimensions — https://doi.org/10.1016/j.ecmx.2026.101922</w:t>
      </w:r>
    </w:p>
    <w:p>
      <w:pPr/>
      <w:r>
        <w:rPr>
          <w:b/>
        </w:rPr>
        <w:t>Later source:</w:t>
      </w:r>
      <w:r>
        <w:t xml:space="preserve"> Analysis of electricity production and prosumers in Romania — https://doi.org/10.1051/epjconf/202637207005</w:t>
      </w:r>
    </w:p>
    <w:p>
      <w:pPr>
        <w:pStyle w:val="SourceNote"/>
      </w:pPr>
      <w:r>
        <w:rPr>
          <w:b/>
        </w:rPr>
        <w:t>Review status:</w:t>
      </w:r>
      <w:r>
        <w:t xml:space="preserve"> unchecked — possible relationship only</w:t>
      </w:r>
    </w:p>
    <w:p>
      <w:pPr>
        <w:pStyle w:val="Heading2"/>
      </w:pPr>
      <w:r>
        <w:t>219. Claim + two later sources: Animal Health Surveillance in Scotland in 2030: Using Scenario Planning to Develop Strategies in the Context of “Brexit”</w:t>
      </w:r>
    </w:p>
    <w:p>
      <w:pPr>
        <w:pStyle w:val="SourceNote"/>
      </w:pPr>
      <w:r>
        <w:rPr>
          <w:b/>
        </w:rPr>
        <w:t>Group ID:</w:t>
      </w:r>
      <w:r>
        <w:t xml:space="preserve"> group-b2e5fc76aac7d3931f36</w:t>
      </w:r>
    </w:p>
    <w:p>
      <w:pPr>
        <w:pStyle w:val="SourceNote"/>
      </w:pPr>
      <w:r>
        <w:rPr>
          <w:b/>
        </w:rPr>
        <w:t>Original source:</w:t>
      </w:r>
      <w:r>
        <w:t xml:space="preserve"> https://doi.org/10.3389/fvets.2017.00201</w:t>
      </w:r>
    </w:p>
    <w:p>
      <w:pPr/>
      <w:r>
        <w:rPr>
          <w:b/>
        </w:rPr>
        <w:t>Original future claim:</w:t>
      </w:r>
      <w:r>
        <w:t xml:space="preserve"> 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r>
        <w:rPr>
          <w:b/>
        </w:rPr>
        <w:t>Later source:</w:t>
      </w:r>
      <w:r>
        <w:t xml:space="preserve"> What we do in the shadows: Methodologists use a range of synthesis methods when meta-analysis of all results is not possible but describe challenges in planning and selecting methods — https://doi.org/10.64898/2026.07.15.26358140</w:t>
      </w:r>
    </w:p>
    <w:p>
      <w:pPr/>
      <w:r>
        <w:rPr>
          <w:b/>
        </w:rPr>
        <w:t>Later source:</w:t>
      </w:r>
      <w:r>
        <w:t xml:space="preserve"> Overview of the Use of Co-creation Tools for the Design of Sustainable Buildings — https://doi.org/10.1007/978-3-032-09040-9_12</w:t>
      </w:r>
    </w:p>
    <w:p>
      <w:pPr>
        <w:pStyle w:val="SourceNote"/>
      </w:pPr>
      <w:r>
        <w:rPr>
          <w:b/>
        </w:rPr>
        <w:t>Review status:</w:t>
      </w:r>
      <w:r>
        <w:t xml:space="preserve"> unchecked — possible relationship only</w:t>
      </w:r>
    </w:p>
    <w:p>
      <w:pPr>
        <w:pStyle w:val="Heading2"/>
      </w:pPr>
      <w:r>
        <w:t>220. Claim + two later sources: Superconductivity and the environment: a Roadmap</w:t>
      </w:r>
    </w:p>
    <w:p>
      <w:pPr>
        <w:pStyle w:val="SourceNote"/>
      </w:pPr>
      <w:r>
        <w:rPr>
          <w:b/>
        </w:rPr>
        <w:t>Group ID:</w:t>
      </w:r>
      <w:r>
        <w:t xml:space="preserve"> group-f805ac064e4b865abea3</w:t>
      </w:r>
    </w:p>
    <w:p>
      <w:pPr>
        <w:pStyle w:val="SourceNote"/>
      </w:pPr>
      <w:r>
        <w:rPr>
          <w:b/>
        </w:rPr>
        <w:t>Original source:</w:t>
      </w:r>
      <w:r>
        <w:t xml:space="preserve"> https://doi.org/10.1088/0953-2048/26/11/113001</w:t>
      </w:r>
    </w:p>
    <w:p>
      <w:pPr/>
      <w:r>
        <w:rPr>
          <w:b/>
        </w:rPr>
        <w:t>Original future claim:</w:t>
      </w:r>
      <w:r>
        <w:t xml:space="preserve"> If we want to stabilize CO 2 levels in our atmosphere at 550 parts per million, all of that growth needs to be met by non-carbon forms of energy' (2011 Equinox Summit: Energy 2030 http://wgsi.org/publications-resources ).</w:t>
      </w:r>
    </w:p>
    <w:p>
      <w:pPr/>
      <w:r>
        <w:rPr>
          <w:b/>
        </w:rPr>
        <w:t>Later source:</w:t>
      </w:r>
      <w:r>
        <w:t xml:space="preserve"> Dynamic MIPS Rate Stabilization for Complex Processors — https://doi.org/10.1145/2714575</w:t>
      </w:r>
    </w:p>
    <w:p>
      <w:pPr/>
      <w:r>
        <w:rPr>
          <w:b/>
        </w:rPr>
        <w:t>Later source:</w:t>
      </w:r>
      <w:r>
        <w:t xml:space="preserve"> Diabetic retinopathy stabilization after renal transplantation — https://doi.org/10.4103/0301-4738.136303</w:t>
      </w:r>
    </w:p>
    <w:p>
      <w:pPr>
        <w:pStyle w:val="SourceNote"/>
      </w:pPr>
      <w:r>
        <w:rPr>
          <w:b/>
        </w:rPr>
        <w:t>Review status:</w:t>
      </w:r>
      <w:r>
        <w:t xml:space="preserve"> unchecked — possible relationship only</w:t>
      </w:r>
    </w:p>
    <w:p>
      <w:pPr>
        <w:pStyle w:val="Heading2"/>
      </w:pPr>
      <w:r>
        <w:t>221. Claim + two later sources: Foresight in Public Administration: Methods and Perspectives of Implementation in Ukraine</w:t>
      </w:r>
    </w:p>
    <w:p>
      <w:pPr>
        <w:pStyle w:val="SourceNote"/>
      </w:pPr>
      <w:r>
        <w:rPr>
          <w:b/>
        </w:rPr>
        <w:t>Group ID:</w:t>
      </w:r>
      <w:r>
        <w:t xml:space="preserve"> group-b7aa2778cea047eaf4da</w:t>
      </w:r>
    </w:p>
    <w:p>
      <w:pPr>
        <w:pStyle w:val="SourceNote"/>
      </w:pPr>
      <w:r>
        <w:rPr>
          <w:b/>
        </w:rPr>
        <w:t>Original source:</w:t>
      </w:r>
      <w:r>
        <w:t xml:space="preserve"> https://doi.org/10.15421/151847</w:t>
      </w:r>
    </w:p>
    <w:p>
      <w:pPr/>
      <w:r>
        <w:rPr>
          <w:b/>
        </w:rPr>
        <w:t>Original future claim:</w:t>
      </w:r>
      <w:r>
        <w:t xml:space="preserve"> 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r>
        <w:rPr>
          <w:b/>
        </w:rPr>
        <w:t>Later source:</w:t>
      </w:r>
      <w:r>
        <w:t xml:space="preserve"> Methodology for the formation and practical tools of educational and methodological complexes for training personnel for enterprises of the petrochemical complex — https://doi.org/10.47813/2782-5280-2026-5-1-5039-5046</w:t>
      </w:r>
    </w:p>
    <w:p>
      <w:pPr/>
      <w:r>
        <w:rPr>
          <w:b/>
        </w:rPr>
        <w:t>Later source:</w:t>
      </w:r>
      <w:r>
        <w:t xml:space="preserve"> Methodological guidelines for practical works in the "System software" academic discipline — https://openalex.org/W7199565614</w:t>
      </w:r>
    </w:p>
    <w:p>
      <w:pPr>
        <w:pStyle w:val="SourceNote"/>
      </w:pPr>
      <w:r>
        <w:rPr>
          <w:b/>
        </w:rPr>
        <w:t>Review status:</w:t>
      </w:r>
      <w:r>
        <w:t xml:space="preserve"> unchecked — possible relationship only</w:t>
      </w:r>
    </w:p>
    <w:p>
      <w:pPr>
        <w:pStyle w:val="Heading2"/>
      </w:pPr>
      <w:r>
        <w:t>222. Claim + two later sources: Energy Efficiency Vision 2050: How will new societal trends influence future energy demand in the European countries?</w:t>
      </w:r>
    </w:p>
    <w:p>
      <w:pPr>
        <w:pStyle w:val="SourceNote"/>
      </w:pPr>
      <w:r>
        <w:rPr>
          <w:b/>
        </w:rPr>
        <w:t>Group ID:</w:t>
      </w:r>
      <w:r>
        <w:t xml:space="preserve"> group-d47a35578b28d6e723f2</w:t>
      </w:r>
    </w:p>
    <w:p>
      <w:pPr>
        <w:pStyle w:val="SourceNote"/>
      </w:pPr>
      <w:r>
        <w:rPr>
          <w:b/>
        </w:rPr>
        <w:t>Original source:</w:t>
      </w:r>
      <w:r>
        <w:t xml:space="preserve"> https://doi.org/10.1016/j.enpol.2021.112216</w:t>
      </w:r>
    </w:p>
    <w:p>
      <w:pPr/>
      <w:r>
        <w:rPr>
          <w:b/>
        </w:rPr>
        <w:t>Original future claim:</w:t>
      </w:r>
      <w:r>
        <w:t xml:space="preserve"> While in the “Worst Case” scenario, they could increase final energy demand by 40%. Based on these, four energy demand scenarios were developed for 2050.</w:t>
      </w:r>
    </w:p>
    <w:p>
      <w:pPr/>
      <w:r>
        <w:rPr>
          <w:b/>
        </w:rPr>
        <w:t>Later source:</w:t>
      </w:r>
      <w:r>
        <w:t xml:space="preserve"> The (worst) laws of the land: the concept of legislative basket cases, legislative backsliding and public administration in Central-Eastern Europe — https://doi.org/10.1080/01442872.2025.2501741</w:t>
      </w:r>
    </w:p>
    <w:p>
      <w:pPr/>
      <w:r>
        <w:rPr>
          <w:b/>
        </w:rPr>
        <w:t>Later source:</w:t>
      </w:r>
      <w:r>
        <w:t xml:space="preserve"> A new approach for national-scale Building Energy Models based on Energy Performance Certificates in European countries: The case of Spain — https://doi.org/10.1016/j.heliyon.2024.e25473</w:t>
      </w:r>
    </w:p>
    <w:p>
      <w:pPr>
        <w:pStyle w:val="SourceNote"/>
      </w:pPr>
      <w:r>
        <w:rPr>
          <w:b/>
        </w:rPr>
        <w:t>Review status:</w:t>
      </w:r>
      <w:r>
        <w:t xml:space="preserve"> unchecked — possible relationship only</w:t>
      </w:r>
    </w:p>
    <w:p>
      <w:pPr>
        <w:pStyle w:val="Heading2"/>
      </w:pPr>
      <w:r>
        <w:t>223. Claim + two later sources: Energy system transition and macroeconomic impacts of a European decarbonization action towards a below 2 °C climate stabilization</w:t>
      </w:r>
    </w:p>
    <w:p>
      <w:pPr>
        <w:pStyle w:val="SourceNote"/>
      </w:pPr>
      <w:r>
        <w:rPr>
          <w:b/>
        </w:rPr>
        <w:t>Group ID:</w:t>
      </w:r>
      <w:r>
        <w:t xml:space="preserve"> group-5bf8475b92b76e1df209</w:t>
      </w:r>
    </w:p>
    <w:p>
      <w:pPr>
        <w:pStyle w:val="SourceNote"/>
      </w:pPr>
      <w:r>
        <w:rPr>
          <w:b/>
        </w:rPr>
        <w:t>Original source:</w:t>
      </w:r>
      <w:r>
        <w:t xml:space="preserve"> https://doi.org/10.1007/s10584-019-02440-7</w:t>
      </w:r>
    </w:p>
    <w:p>
      <w:pPr/>
      <w:r>
        <w:rPr>
          <w:b/>
        </w:rPr>
        <w:t>Original future claim:</w:t>
      </w:r>
      <w:r>
        <w:t xml:space="preserve"> 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r>
        <w:rPr>
          <w:b/>
        </w:rPr>
        <w:t>Later source:</w:t>
      </w:r>
      <w:r>
        <w:t xml:space="preserve"> Can a wealth tax reduce CO2 emissions in Europe? — https://doi.org/10.1016/j.ecolecon.2026.109231</w:t>
      </w:r>
    </w:p>
    <w:p>
      <w:pPr/>
      <w:r>
        <w:rPr>
          <w:b/>
        </w:rPr>
        <w:t>Later source:</w:t>
      </w:r>
      <w:r>
        <w:t xml:space="preserve"> Research and innovation towards zero-emission road transport and European automotive sector competitiveness — https://doi.org/10.2760/4220161</w:t>
      </w:r>
    </w:p>
    <w:p>
      <w:pPr>
        <w:pStyle w:val="SourceNote"/>
      </w:pPr>
      <w:r>
        <w:rPr>
          <w:b/>
        </w:rPr>
        <w:t>Review status:</w:t>
      </w:r>
      <w:r>
        <w:t xml:space="preserve"> unchecked — possible relationship only</w:t>
      </w:r>
    </w:p>
    <w:p>
      <w:pPr>
        <w:pStyle w:val="Heading2"/>
      </w:pPr>
      <w:r>
        <w:t>224. Claim + two later sources: Burden of pancreatic cancer along with attributable risk factors in Europe between 1990 and 2019, and projections until 2039</w:t>
      </w:r>
    </w:p>
    <w:p>
      <w:pPr>
        <w:pStyle w:val="SourceNote"/>
      </w:pPr>
      <w:r>
        <w:rPr>
          <w:b/>
        </w:rPr>
        <w:t>Group ID:</w:t>
      </w:r>
      <w:r>
        <w:t xml:space="preserve"> group-400db2014c449fee03e6</w:t>
      </w:r>
    </w:p>
    <w:p>
      <w:pPr>
        <w:pStyle w:val="SourceNote"/>
      </w:pPr>
      <w:r>
        <w:rPr>
          <w:b/>
        </w:rPr>
        <w:t>Original source:</w:t>
      </w:r>
      <w:r>
        <w:t xml:space="preserve"> https://doi.org/10.1002/ijc.33617</w:t>
      </w:r>
    </w:p>
    <w:p>
      <w:pPr/>
      <w:r>
        <w:rPr>
          <w:b/>
        </w:rPr>
        <w:t>Original future claim:</w:t>
      </w:r>
      <w:r>
        <w:t xml:space="preserve"> 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r>
        <w:rPr>
          <w:b/>
        </w:rPr>
        <w:t>Later source:</w:t>
      </w:r>
      <w:r>
        <w:t xml:space="preserve"> Data on the uptake of Integrated Pest Management (IPM) practices in European agriculture — https://doi.org/10.1016/j.dib.2026.113075</w:t>
      </w:r>
    </w:p>
    <w:p>
      <w:pPr/>
      <w:r>
        <w:rPr>
          <w:b/>
        </w:rPr>
        <w:t>Later source:</w:t>
      </w:r>
      <w:r>
        <w:t xml:space="preserve"> Biological data derived from European weather radars — https://doi.org/10.1038/s41597-025-04641-5</w:t>
      </w:r>
    </w:p>
    <w:p>
      <w:pPr>
        <w:pStyle w:val="SourceNote"/>
      </w:pPr>
      <w:r>
        <w:rPr>
          <w:b/>
        </w:rPr>
        <w:t>Review status:</w:t>
      </w:r>
      <w:r>
        <w:t xml:space="preserve"> unchecked — possible relationship only</w:t>
      </w:r>
    </w:p>
    <w:p>
      <w:pPr>
        <w:pStyle w:val="Heading2"/>
      </w:pPr>
      <w:r>
        <w:t>225. Claim + two later sources: Securing a bioenergy future without imports</w:t>
      </w:r>
    </w:p>
    <w:p>
      <w:pPr>
        <w:pStyle w:val="SourceNote"/>
      </w:pPr>
      <w:r>
        <w:rPr>
          <w:b/>
        </w:rPr>
        <w:t>Group ID:</w:t>
      </w:r>
      <w:r>
        <w:t xml:space="preserve"> group-122ac9d522098a981556</w:t>
      </w:r>
    </w:p>
    <w:p>
      <w:pPr>
        <w:pStyle w:val="SourceNote"/>
      </w:pPr>
      <w:r>
        <w:rPr>
          <w:b/>
        </w:rPr>
        <w:t>Original source:</w:t>
      </w:r>
      <w:r>
        <w:t xml:space="preserve"> https://doi.org/10.1016/j.enpol.2013.11.079</w:t>
      </w:r>
    </w:p>
    <w:p>
      <w:pPr/>
      <w:r>
        <w:rPr>
          <w:b/>
        </w:rPr>
        <w:t>Original future claim:</w:t>
      </w:r>
      <w:r>
        <w:t xml:space="preserve"> 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r>
        <w:rPr>
          <w:b/>
        </w:rPr>
        <w:t>Later source:</w:t>
      </w:r>
      <w:r>
        <w:t xml:space="preserve"> TRANSFORMATIVE EMBODIMENT IN INDIGENOUS DANCES: TOWARDS A PERFORMATIVE SUSTAINABILITY MODEL — https://doi.org/10.52152/7cnmbj06</w:t>
      </w:r>
    </w:p>
    <w:p>
      <w:pPr/>
      <w:r>
        <w:rPr>
          <w:b/>
        </w:rPr>
        <w:t>Later source:</w:t>
      </w:r>
      <w:r>
        <w:t xml:space="preserve"> Environmental Conservation Policy Model Based on the Protection of Indigenous Peoples in Indonesia — https://doi.org/10.47268/sasi.v29i1.1274</w:t>
      </w:r>
    </w:p>
    <w:p>
      <w:pPr>
        <w:pStyle w:val="SourceNote"/>
      </w:pPr>
      <w:r>
        <w:rPr>
          <w:b/>
        </w:rPr>
        <w:t>Review status:</w:t>
      </w:r>
      <w:r>
        <w:t xml:space="preserve"> unchecked — possible relationship only</w:t>
      </w:r>
    </w:p>
    <w:p>
      <w:pPr>
        <w:pStyle w:val="Heading2"/>
      </w:pPr>
      <w:r>
        <w:t>226. Claim + two later sources: Shifts, turning points and inertia exploring long-term industry trends in European transport</w:t>
      </w:r>
    </w:p>
    <w:p>
      <w:pPr>
        <w:pStyle w:val="SourceNote"/>
      </w:pPr>
      <w:r>
        <w:rPr>
          <w:b/>
        </w:rPr>
        <w:t>Group ID:</w:t>
      </w:r>
      <w:r>
        <w:t xml:space="preserve"> group-14d340874eef4e6c231c</w:t>
      </w:r>
    </w:p>
    <w:p>
      <w:pPr>
        <w:pStyle w:val="SourceNote"/>
      </w:pPr>
      <w:r>
        <w:rPr>
          <w:b/>
        </w:rPr>
        <w:t>Original source:</w:t>
      </w:r>
      <w:r>
        <w:t xml:space="preserve"> https://doi.org/10.1007/s40309-015-0070-0</w:t>
      </w:r>
    </w:p>
    <w:p>
      <w:pPr/>
      <w:r>
        <w:rPr>
          <w:b/>
        </w:rPr>
        <w:t>Original future claim:</w:t>
      </w:r>
      <w:r>
        <w:t xml:space="preserve"> Such an analysis steps further into the technological realm, and targets social, industrial and political issues, which could affect the future of transport up until 2050, with a special focus on the post-ownership economy.</w:t>
      </w:r>
    </w:p>
    <w:p>
      <w:pPr/>
      <w:r>
        <w:rPr>
          <w:b/>
        </w:rPr>
        <w:t>Later source:</w:t>
      </w:r>
      <w:r>
        <w:t xml:space="preserve"> The European Union and Strategic Autonomy: Political, Economic and Technological Challenges — https://doi.org/10.47459/cndcgs.2026.42</w:t>
      </w:r>
    </w:p>
    <w:p>
      <w:pPr/>
      <w:r>
        <w:rPr>
          <w:b/>
        </w:rPr>
        <w:t>Later source:</w:t>
      </w:r>
      <w:r>
        <w:t xml:space="preserve"> Economic, technological and environmental drivers of the circular economy in the European Union: a panel data analysis — https://doi.org/10.1186/s12302-025-01119-4</w:t>
      </w:r>
    </w:p>
    <w:p>
      <w:pPr>
        <w:pStyle w:val="SourceNote"/>
      </w:pPr>
      <w:r>
        <w:rPr>
          <w:b/>
        </w:rPr>
        <w:t>Review status:</w:t>
      </w:r>
      <w:r>
        <w:t xml:space="preserve"> unchecked — possible relationship only</w:t>
      </w:r>
    </w:p>
    <w:p>
      <w:pPr>
        <w:pStyle w:val="Heading2"/>
      </w:pPr>
      <w:r>
        <w:t>227. Claim + two later sources: Electricity Spot Market Design 2030-2050</w:t>
      </w:r>
    </w:p>
    <w:p>
      <w:pPr>
        <w:pStyle w:val="SourceNote"/>
      </w:pPr>
      <w:r>
        <w:rPr>
          <w:b/>
        </w:rPr>
        <w:t>Group ID:</w:t>
      </w:r>
      <w:r>
        <w:t xml:space="preserve"> group-43acc6a36010bd78e095</w:t>
      </w:r>
    </w:p>
    <w:p>
      <w:pPr>
        <w:pStyle w:val="SourceNote"/>
      </w:pPr>
      <w:r>
        <w:rPr>
          <w:b/>
        </w:rPr>
        <w:t>Original source:</w:t>
      </w:r>
      <w:r>
        <w:t xml:space="preserve"> https://doi.org/10.24406/fit-n-621457</w:t>
      </w:r>
    </w:p>
    <w:p>
      <w:pPr/>
      <w:r>
        <w:rPr>
          <w:b/>
        </w:rPr>
        <w:t>Original future claim:</w:t>
      </w:r>
      <w:r>
        <w:t xml:space="preserve"> The German government plans that even before the year 2050, all electricity generated and consumed in Germany should be greenhouse gas neutral [1].</w:t>
      </w:r>
    </w:p>
    <w:p>
      <w:pPr/>
      <w:r>
        <w:rPr>
          <w:b/>
        </w:rPr>
        <w:t>Later source:</w:t>
      </w:r>
      <w:r>
        <w:t xml:space="preserve"> German response to the pandemic crisis — https://doi.org/10.4324/9781003634003-23</w:t>
      </w:r>
    </w:p>
    <w:p>
      <w:pPr/>
      <w:r>
        <w:rPr>
          <w:b/>
        </w:rPr>
        <w:t>Later source:</w:t>
      </w:r>
      <w:r>
        <w:t xml:space="preserve"> Political knowledge and perceptions of minority governments in Europe — https://doi.org/10.1017/s147567652510025x</w:t>
      </w:r>
    </w:p>
    <w:p>
      <w:pPr>
        <w:pStyle w:val="SourceNote"/>
      </w:pPr>
      <w:r>
        <w:rPr>
          <w:b/>
        </w:rPr>
        <w:t>Review status:</w:t>
      </w:r>
      <w:r>
        <w:t xml:space="preserve"> unchecked — possible relationship only</w:t>
      </w:r>
    </w:p>
    <w:p>
      <w:pPr>
        <w:pStyle w:val="Heading2"/>
      </w:pPr>
      <w:r>
        <w:t>228. Claim + two later sources: Centre-Periphery Relations in Europe: Demographic Aspect</w:t>
      </w:r>
    </w:p>
    <w:p>
      <w:pPr>
        <w:pStyle w:val="SourceNote"/>
      </w:pPr>
      <w:r>
        <w:rPr>
          <w:b/>
        </w:rPr>
        <w:t>Group ID:</w:t>
      </w:r>
      <w:r>
        <w:t xml:space="preserve"> group-653aa1c1e0687c47693b</w:t>
      </w:r>
    </w:p>
    <w:p>
      <w:pPr>
        <w:pStyle w:val="SourceNote"/>
      </w:pPr>
      <w:r>
        <w:rPr>
          <w:b/>
        </w:rPr>
        <w:t>Original source:</w:t>
      </w:r>
      <w:r>
        <w:t xml:space="preserve"> https://doi.org/10.20542/0131-2227-2015-2-58-67</w:t>
      </w:r>
    </w:p>
    <w:p>
      <w:pPr/>
      <w:r>
        <w:rPr>
          <w:b/>
        </w:rPr>
        <w:t>Original future claim:</w:t>
      </w:r>
      <w:r>
        <w:t xml:space="preserve"> So, the recent number of unemployed in Spain (5.7 millions) is four times more than the expected decrease in the number of people aged 20 to 64 between 2010 and 2030 (1.4 millions).</w:t>
      </w:r>
    </w:p>
    <w:p>
      <w:pPr/>
      <w:r>
        <w:rPr>
          <w:b/>
        </w:rPr>
        <w:t>Later source:</w:t>
      </w:r>
      <w:r>
        <w:t xml:space="preserve"> Osteoporosis in Europe: a compendium of country-specific reports — https://doi.org/10.1007/s11657-021-00969-8</w:t>
      </w:r>
    </w:p>
    <w:p>
      <w:pPr/>
      <w:r>
        <w:rPr>
          <w:b/>
        </w:rPr>
        <w:t>Later source:</w:t>
      </w:r>
      <w:r>
        <w:t xml:space="preserve"> COVID-19 in Europe: from outbreak to vaccination — https://doi.org/10.1186/s12889-022-14454-5</w:t>
      </w:r>
    </w:p>
    <w:p>
      <w:pPr>
        <w:pStyle w:val="SourceNote"/>
      </w:pPr>
      <w:r>
        <w:rPr>
          <w:b/>
        </w:rPr>
        <w:t>Review status:</w:t>
      </w:r>
      <w:r>
        <w:t xml:space="preserve"> unchecked — possible relationship only</w:t>
      </w:r>
    </w:p>
    <w:p>
      <w:pPr>
        <w:pStyle w:val="Heading2"/>
      </w:pPr>
      <w:r>
        <w:t>229. Claim + two later sources: Designing health system scenarios at the national level</w:t>
      </w:r>
    </w:p>
    <w:p>
      <w:pPr>
        <w:pStyle w:val="SourceNote"/>
      </w:pPr>
      <w:r>
        <w:rPr>
          <w:b/>
        </w:rPr>
        <w:t>Group ID:</w:t>
      </w:r>
      <w:r>
        <w:t xml:space="preserve"> group-82b9b6940eb295fa3c07</w:t>
      </w:r>
    </w:p>
    <w:p>
      <w:pPr>
        <w:pStyle w:val="SourceNote"/>
      </w:pPr>
      <w:r>
        <w:rPr>
          <w:b/>
        </w:rPr>
        <w:t>Original source:</w:t>
      </w:r>
      <w:r>
        <w:t xml:space="preserve"> https://doi.org/10.52547/ijhehp.9.3.296</w:t>
      </w:r>
    </w:p>
    <w:p>
      <w:pPr/>
      <w:r>
        <w:rPr>
          <w:b/>
        </w:rPr>
        <w:t>Original future claim:</w:t>
      </w:r>
      <w:r>
        <w:t xml:space="preserve"> 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r>
        <w:rPr>
          <w:b/>
        </w:rPr>
        <w:t>Later source:</w:t>
      </w:r>
      <w:r>
        <w:t xml:space="preserve"> Optimizing coating materials and processes for controlled release coated urea fertilizer: review of bio-based coating materials and encapsulation methods — https://doi.org/10.15480/882.17571</w:t>
      </w:r>
    </w:p>
    <w:p>
      <w:pPr/>
      <w:r>
        <w:rPr>
          <w:b/>
        </w:rPr>
        <w:t>Later source:</w:t>
      </w:r>
      <w:r>
        <w:t xml:space="preserve"> Measuring the Confidence Architecture of Indo-European Claims: findings, code and reproduction materials. — https://doi.org/10.5281/zenodo.22880450</w:t>
      </w:r>
    </w:p>
    <w:p>
      <w:pPr>
        <w:pStyle w:val="SourceNote"/>
      </w:pPr>
      <w:r>
        <w:rPr>
          <w:b/>
        </w:rPr>
        <w:t>Review status:</w:t>
      </w:r>
      <w:r>
        <w:t xml:space="preserve"> unchecked — possible relationship only</w:t>
      </w:r>
    </w:p>
    <w:p>
      <w:pPr>
        <w:pStyle w:val="Heading2"/>
      </w:pPr>
      <w:r>
        <w:t>230. Claim + two later sources: Assessing the future medical cost burden for the European health systems under alternative exposure-to-risks scenarios</w:t>
      </w:r>
    </w:p>
    <w:p>
      <w:pPr>
        <w:pStyle w:val="SourceNote"/>
      </w:pPr>
      <w:r>
        <w:rPr>
          <w:b/>
        </w:rPr>
        <w:t>Group ID:</w:t>
      </w:r>
      <w:r>
        <w:t xml:space="preserve"> group-8c7943762af45369d841</w:t>
      </w:r>
    </w:p>
    <w:p>
      <w:pPr>
        <w:pStyle w:val="SourceNote"/>
      </w:pPr>
      <w:r>
        <w:rPr>
          <w:b/>
        </w:rPr>
        <w:t>Original source:</w:t>
      </w:r>
      <w:r>
        <w:t xml:space="preserve"> https://doi.org/10.1371/journal.pone.0238565</w:t>
      </w:r>
    </w:p>
    <w:p>
      <w:pPr/>
      <w:r>
        <w:rPr>
          <w:b/>
        </w:rPr>
        <w:t>Original future claim:</w:t>
      </w:r>
      <w:r>
        <w:t xml:space="preserve"> 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r>
        <w:rPr>
          <w:b/>
        </w:rPr>
        <w:t>Later source:</w:t>
      </w:r>
      <w:r>
        <w:t xml:space="preserve"> Change in healthcare costs in Europe 2018–2023 (data report) — https://doi.org/10.3389/fpubh.2026.1774180</w:t>
      </w:r>
    </w:p>
    <w:p>
      <w:pPr/>
      <w:r>
        <w:rPr>
          <w:b/>
        </w:rPr>
        <w:t>Later source:</w:t>
      </w:r>
      <w:r>
        <w:t xml:space="preserve"> Mapping Healthcare System Complexity in the European Union: A Perspective on Resources, Determinants, and Outcomes — https://doi.org/10.3390/systems14050578</w:t>
      </w:r>
    </w:p>
    <w:p>
      <w:pPr>
        <w:pStyle w:val="SourceNote"/>
      </w:pPr>
      <w:r>
        <w:rPr>
          <w:b/>
        </w:rPr>
        <w:t>Review status:</w:t>
      </w:r>
      <w:r>
        <w:t xml:space="preserve"> unchecked — possible relationship only</w:t>
      </w:r>
    </w:p>
    <w:p>
      <w:pPr>
        <w:pStyle w:val="Heading2"/>
      </w:pPr>
      <w:r>
        <w:t>231. Claim + two later sources: FRESHER: Challenges and opportunities for building Health/Healthy futures</w:t>
      </w:r>
    </w:p>
    <w:p>
      <w:pPr>
        <w:pStyle w:val="SourceNote"/>
      </w:pPr>
      <w:r>
        <w:rPr>
          <w:b/>
        </w:rPr>
        <w:t>Group ID:</w:t>
      </w:r>
      <w:r>
        <w:t xml:space="preserve"> group-6c5a7315ecd769c44e17</w:t>
      </w:r>
    </w:p>
    <w:p>
      <w:pPr>
        <w:pStyle w:val="SourceNote"/>
      </w:pPr>
      <w:r>
        <w:rPr>
          <w:b/>
        </w:rPr>
        <w:t>Original source:</w:t>
      </w:r>
      <w:r>
        <w:t xml:space="preserve"> https://doi.org/10.1093/eurpub/ckac129.121</w:t>
      </w:r>
    </w:p>
    <w:p>
      <w:pPr/>
      <w:r>
        <w:rPr>
          <w:b/>
        </w:rPr>
        <w:t>Original future claim:</w:t>
      </w:r>
      <w:r>
        <w:t xml:space="preserve"> 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r>
        <w:rPr>
          <w:b/>
        </w:rPr>
        <w:t>Later source:</w:t>
      </w:r>
      <w:r>
        <w:t xml:space="preserve"> Evolution of the School Building Network in Portugal in the First Decade of the New Millennium — https://doi.org/10.31637/epsir-2026-2713</w:t>
      </w:r>
    </w:p>
    <w:p>
      <w:pPr/>
      <w:r>
        <w:rPr>
          <w:b/>
        </w:rPr>
        <w:t>Later source:</w:t>
      </w:r>
      <w:r>
        <w:t xml:space="preserve"> Techno-economic evaluation of an elastic composite phase change material for building envelopes — https://doi.org/10.1016/j.tsep.2026.104727</w:t>
      </w:r>
    </w:p>
    <w:p>
      <w:pPr>
        <w:pStyle w:val="SourceNote"/>
      </w:pPr>
      <w:r>
        <w:rPr>
          <w:b/>
        </w:rPr>
        <w:t>Review status:</w:t>
      </w:r>
      <w:r>
        <w:t xml:space="preserve"> unchecked — possible relationship only</w:t>
      </w:r>
    </w:p>
    <w:p>
      <w:pPr>
        <w:pStyle w:val="Heading2"/>
      </w:pPr>
      <w:r>
        <w:t>232. Claim + two later sources: The implications of regional and national demographic projections for future GMS costs in Ireland through to 2026</w:t>
      </w:r>
    </w:p>
    <w:p>
      <w:pPr>
        <w:pStyle w:val="SourceNote"/>
      </w:pPr>
      <w:r>
        <w:rPr>
          <w:b/>
        </w:rPr>
        <w:t>Group ID:</w:t>
      </w:r>
      <w:r>
        <w:t xml:space="preserve"> group-02f6d63b0bd980e02677</w:t>
      </w:r>
    </w:p>
    <w:p>
      <w:pPr>
        <w:pStyle w:val="SourceNote"/>
      </w:pPr>
      <w:r>
        <w:rPr>
          <w:b/>
        </w:rPr>
        <w:t>Original source:</w:t>
      </w:r>
      <w:r>
        <w:t xml:space="preserve"> https://doi.org/10.1186/1472-6963-14-477</w:t>
      </w:r>
    </w:p>
    <w:p>
      <w:pPr/>
      <w:r>
        <w:rPr>
          <w:b/>
        </w:rPr>
        <w:t>Original future claim:</w:t>
      </w:r>
      <w:r>
        <w:t xml:space="preserve"> 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r>
        <w:rPr>
          <w:b/>
        </w:rPr>
        <w:t>Later source:</w:t>
      </w:r>
      <w:r>
        <w:t xml:space="preserve"> A scalable probabilistic meta-model framework for accelerating Monte Carlo-based thermal performance analysis of small-to-medium-sized commercial buildings in six European regions under climate uncertainty — https://doi.org/10.1016/j.jobe.2026.115881</w:t>
      </w:r>
    </w:p>
    <w:p>
      <w:pPr/>
      <w:r>
        <w:rPr>
          <w:b/>
        </w:rPr>
        <w:t>Later source:</w:t>
      </w:r>
      <w:r>
        <w:t xml:space="preserve"> Monte Carlo Greeks for European Pandemic Options under Stochastic SIS Model — https://openalex.org/W7167764542</w:t>
      </w:r>
    </w:p>
    <w:p>
      <w:pPr>
        <w:pStyle w:val="SourceNote"/>
      </w:pPr>
      <w:r>
        <w:rPr>
          <w:b/>
        </w:rPr>
        <w:t>Review status:</w:t>
      </w:r>
      <w:r>
        <w:t xml:space="preserve"> unchecked — possible relationship only</w:t>
      </w:r>
    </w:p>
    <w:p>
      <w:pPr>
        <w:pStyle w:val="Heading2"/>
      </w:pPr>
      <w:r>
        <w:t>233. Claim + two later sources: A scenario-planning approach to human resources for health: the case of community pharmacists in Portugal</w:t>
      </w:r>
    </w:p>
    <w:p>
      <w:pPr>
        <w:pStyle w:val="SourceNote"/>
      </w:pPr>
      <w:r>
        <w:rPr>
          <w:b/>
        </w:rPr>
        <w:t>Group ID:</w:t>
      </w:r>
      <w:r>
        <w:t xml:space="preserve"> group-4f2e8f0d2068a9ab6b9c</w:t>
      </w:r>
    </w:p>
    <w:p>
      <w:pPr>
        <w:pStyle w:val="SourceNote"/>
      </w:pPr>
      <w:r>
        <w:rPr>
          <w:b/>
        </w:rPr>
        <w:t>Original source:</w:t>
      </w:r>
      <w:r>
        <w:t xml:space="preserve"> https://doi.org/10.1186/1478-4491-12-58</w:t>
      </w:r>
    </w:p>
    <w:p>
      <w:pPr/>
      <w:r>
        <w:rPr>
          <w:b/>
        </w:rPr>
        <w:t>Original future claim:</w:t>
      </w:r>
      <w:r>
        <w:t xml:space="preserve"> 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r>
        <w:rPr>
          <w:b/>
        </w:rPr>
        <w:t>Later source:</w:t>
      </w:r>
      <w:r>
        <w:t xml:space="preserve"> Adverse drug reaction reporting by New Zealand pharmacists: a cross-sectional investigation of community and hospital pharmacists — https://doi.org/10.1093/ijpp/riaf017</w:t>
      </w:r>
    </w:p>
    <w:p>
      <w:pPr/>
      <w:r>
        <w:rPr>
          <w:b/>
        </w:rPr>
        <w:t>Later source:</w:t>
      </w:r>
      <w:r>
        <w:t xml:space="preserve"> Humility, autonomy, and simplicity: three principles for humanitarian design — https://doi.org/10.1080/01436597.2025.2491094</w:t>
      </w:r>
    </w:p>
    <w:p>
      <w:pPr>
        <w:pStyle w:val="SourceNote"/>
      </w:pPr>
      <w:r>
        <w:rPr>
          <w:b/>
        </w:rPr>
        <w:t>Review status:</w:t>
      </w:r>
      <w:r>
        <w:t xml:space="preserve"> unchecked — possible relationship only</w:t>
      </w:r>
    </w:p>
    <w:p>
      <w:pPr>
        <w:pStyle w:val="Heading2"/>
      </w:pPr>
      <w:r>
        <w:t>234. Claim + two later sources: The northern hemisphere circumglobal teleconnection in a seasonal forecast model and its relationship to European summer forecast skill</w:t>
      </w:r>
    </w:p>
    <w:p>
      <w:pPr>
        <w:pStyle w:val="SourceNote"/>
      </w:pPr>
      <w:r>
        <w:rPr>
          <w:b/>
        </w:rPr>
        <w:t>Group ID:</w:t>
      </w:r>
      <w:r>
        <w:t xml:space="preserve"> group-e805c40646ce91ed2def</w:t>
      </w:r>
    </w:p>
    <w:p>
      <w:pPr>
        <w:pStyle w:val="SourceNote"/>
      </w:pPr>
      <w:r>
        <w:rPr>
          <w:b/>
        </w:rPr>
        <w:t>Original source:</w:t>
      </w:r>
      <w:r>
        <w:t xml:space="preserve"> https://doi.org/10.1007/s00382-018-4371-4</w:t>
      </w:r>
    </w:p>
    <w:p>
      <w:pPr/>
      <w:r>
        <w:rPr>
          <w:b/>
        </w:rPr>
        <w:t>Original future claim:</w:t>
      </w:r>
      <w:r>
        <w:t xml:space="preserve"> Third, the model jet is systematically shifted northwards by several degrees latitude over large parts of the northern hemisphere, which may affect the propagation characteristics of Rossby waves in the model.</w:t>
      </w:r>
    </w:p>
    <w:p>
      <w:pPr/>
      <w:r>
        <w:rPr>
          <w:b/>
        </w:rPr>
        <w:t>Later source:</w:t>
      </w:r>
      <w:r>
        <w:t xml:space="preserve"> Predicting current and future distribution of the common waxbill using a mechanistic modelling approach — https://doi.org/10.1101/2025.11.16.688699</w:t>
      </w:r>
    </w:p>
    <w:p>
      <w:pPr/>
      <w:r>
        <w:rPr>
          <w:b/>
        </w:rPr>
        <w:t>Later source:</w:t>
      </w:r>
      <w:r>
        <w:t xml:space="preserve"> The evolving story of Borrelia burgdorferi sensu lato transmission in Europe — https://doi.org/10.1007/s00436-022-07445-3</w:t>
      </w:r>
    </w:p>
    <w:p>
      <w:pPr>
        <w:pStyle w:val="SourceNote"/>
      </w:pPr>
      <w:r>
        <w:rPr>
          <w:b/>
        </w:rPr>
        <w:t>Review status:</w:t>
      </w:r>
      <w:r>
        <w:t xml:space="preserve"> unchecked — possible relationship only</w:t>
      </w:r>
    </w:p>
    <w:p>
      <w:pPr>
        <w:pStyle w:val="Heading2"/>
      </w:pPr>
      <w:r>
        <w:t>235. Claim + two later sources: Forecast for the zone of viticulture in European Russia under climate change</w:t>
      </w:r>
    </w:p>
    <w:p>
      <w:pPr>
        <w:pStyle w:val="SourceNote"/>
      </w:pPr>
      <w:r>
        <w:rPr>
          <w:b/>
        </w:rPr>
        <w:t>Group ID:</w:t>
      </w:r>
      <w:r>
        <w:t xml:space="preserve"> group-fb7262fd2ba2ca0bed3b</w:t>
      </w:r>
    </w:p>
    <w:p>
      <w:pPr>
        <w:pStyle w:val="SourceNote"/>
      </w:pPr>
      <w:r>
        <w:rPr>
          <w:b/>
        </w:rPr>
        <w:t>Original source:</w:t>
      </w:r>
      <w:r>
        <w:t xml:space="preserve"> https://doi.org/10.18699/vjgb-22-33</w:t>
      </w:r>
    </w:p>
    <w:p>
      <w:pPr/>
      <w:r>
        <w:rPr>
          <w:b/>
        </w:rPr>
        <w:t>Original future claim:</w:t>
      </w:r>
      <w:r>
        <w:t xml:space="preserve"> 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r>
        <w:rPr>
          <w:b/>
        </w:rPr>
        <w:t>Later source:</w:t>
      </w:r>
      <w:r>
        <w:t xml:space="preserve"> WINTER SOLSTICE DAY IN DIFFERENT CULTURES — https://doi.org/10.5281/zenodo.18169905</w:t>
      </w:r>
    </w:p>
    <w:p>
      <w:pPr/>
      <w:r>
        <w:rPr>
          <w:b/>
        </w:rPr>
        <w:t>Later source:</w:t>
      </w:r>
      <w:r>
        <w:t xml:space="preserve"> Non-stationary time series attribution for heatwaves over Europe — https://doi.org/10.5194/ascmo-12-243-2026</w:t>
      </w:r>
    </w:p>
    <w:p>
      <w:pPr>
        <w:pStyle w:val="SourceNote"/>
      </w:pPr>
      <w:r>
        <w:rPr>
          <w:b/>
        </w:rPr>
        <w:t>Review status:</w:t>
      </w:r>
      <w:r>
        <w:t xml:space="preserve"> unchecked — possible relationship only</w:t>
      </w:r>
    </w:p>
    <w:p>
      <w:pPr>
        <w:pStyle w:val="Heading2"/>
      </w:pPr>
      <w:r>
        <w:t>236. Claim + two later sources: Integrating foresight into government. Is it possible? Is it likely?</w:t>
      </w:r>
    </w:p>
    <w:p>
      <w:pPr>
        <w:pStyle w:val="SourceNote"/>
      </w:pPr>
      <w:r>
        <w:rPr>
          <w:b/>
        </w:rPr>
        <w:t>Group ID:</w:t>
      </w:r>
      <w:r>
        <w:t xml:space="preserve"> group-f38cb540b141b5164658</w:t>
      </w:r>
    </w:p>
    <w:p>
      <w:pPr>
        <w:pStyle w:val="SourceNote"/>
      </w:pPr>
      <w:r>
        <w:rPr>
          <w:b/>
        </w:rPr>
        <w:t>Original source:</w:t>
      </w:r>
      <w:r>
        <w:t xml:space="preserve"> https://doi.org/10.1108/14636681111126229</w:t>
      </w:r>
    </w:p>
    <w:p>
      <w:pPr/>
      <w:r>
        <w:rPr>
          <w:b/>
        </w:rPr>
        <w:t>Original future claim:</w:t>
      </w:r>
      <w:r>
        <w:t xml:space="preserve"> Findings Several methodologies and techniques that are identified here may allow people to help perceive, evaluate and control the effects of their actions, present as well as future.</w:t>
      </w:r>
    </w:p>
    <w:p>
      <w:pPr/>
      <w:r>
        <w:rPr>
          <w:b/>
        </w:rPr>
        <w:t>Later source:</w:t>
      </w:r>
      <w:r>
        <w:t xml:space="preserve"> An Informative Review of Radiomics Studies on Cancer Imaging: The Main Findings, Challenges and Limitations of the Methodologies — https://doi.org/10.3390/curroncol31010027</w:t>
      </w:r>
    </w:p>
    <w:p>
      <w:pPr/>
      <w:r>
        <w:rPr>
          <w:b/>
        </w:rPr>
        <w:t>Later source:</w:t>
      </w:r>
      <w:r>
        <w:t xml:space="preserve"> Genome-wide analyses of ADHD identify 27 risk loci, refine the genetic architecture and implicate several cognitive domains — https://doi.org/10.1038/s41588-022-01285-8</w:t>
      </w:r>
    </w:p>
    <w:p>
      <w:pPr>
        <w:pStyle w:val="SourceNote"/>
      </w:pPr>
      <w:r>
        <w:rPr>
          <w:b/>
        </w:rPr>
        <w:t>Review status:</w:t>
      </w:r>
      <w:r>
        <w:t xml:space="preserve"> unchecked — possible relationship only</w:t>
      </w:r>
    </w:p>
    <w:p>
      <w:pPr>
        <w:pStyle w:val="Heading2"/>
      </w:pPr>
      <w:r>
        <w:t>237. Claim + two later sources: An exploratory policy analysis of electric vehicle sales competition and sensitivity to infrastructure in Europe</w:t>
      </w:r>
    </w:p>
    <w:p>
      <w:pPr>
        <w:pStyle w:val="SourceNote"/>
      </w:pPr>
      <w:r>
        <w:rPr>
          <w:b/>
        </w:rPr>
        <w:t>Group ID:</w:t>
      </w:r>
      <w:r>
        <w:t xml:space="preserve"> group-8cddd97b41ce2f175630</w:t>
      </w:r>
    </w:p>
    <w:p>
      <w:pPr>
        <w:pStyle w:val="SourceNote"/>
      </w:pPr>
      <w:r>
        <w:rPr>
          <w:b/>
        </w:rPr>
        <w:t>Original source:</w:t>
      </w:r>
      <w:r>
        <w:t xml:space="preserve"> https://doi.org/10.1016/j.techfore.2016.08.007</w:t>
      </w:r>
    </w:p>
    <w:p>
      <w:pPr/>
      <w:r>
        <w:rPr>
          <w:b/>
        </w:rPr>
        <w:t>Original future claim:</w:t>
      </w:r>
      <w:r>
        <w:t xml:space="preserve"> 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r>
        <w:rPr>
          <w:b/>
        </w:rPr>
        <w:t>Later source:</w:t>
      </w:r>
      <w:r>
        <w:t xml:space="preserve"> Public Charging Infrastructure and Electrification Dynamics in Europe: A Descriptive Assessment of Infrastructure Strain — https://doi.org/10.3390/en19092063</w:t>
      </w:r>
    </w:p>
    <w:p>
      <w:pPr/>
      <w:r>
        <w:rPr>
          <w:b/>
        </w:rPr>
        <w:t>Later source:</w:t>
      </w:r>
      <w:r>
        <w:t xml:space="preserve"> Aerosol, Clouds and Trace Gases Research Infrastructure (ACTRIS): The European Research Infrastructure Supporting Atmospheric Science — https://doi.org/10.1175/bams-d-23-0064.1</w:t>
      </w:r>
    </w:p>
    <w:p>
      <w:pPr>
        <w:pStyle w:val="SourceNote"/>
      </w:pPr>
      <w:r>
        <w:rPr>
          <w:b/>
        </w:rPr>
        <w:t>Review status:</w:t>
      </w:r>
      <w:r>
        <w:t xml:space="preserve"> unchecked — possible relationship only</w:t>
      </w:r>
    </w:p>
    <w:p>
      <w:pPr>
        <w:pStyle w:val="Heading2"/>
      </w:pPr>
      <w:r>
        <w:t>238. Claim + two later sources: CORPORATE FORESIGHT AND ASSESSMENT OF INNOVATIVE ACTIVITY OF INDUSTRIAL ENTERPRISES</w:t>
      </w:r>
    </w:p>
    <w:p>
      <w:pPr>
        <w:pStyle w:val="SourceNote"/>
      </w:pPr>
      <w:r>
        <w:rPr>
          <w:b/>
        </w:rPr>
        <w:t>Group ID:</w:t>
      </w:r>
      <w:r>
        <w:t xml:space="preserve"> group-13b45bad2d930701bc80</w:t>
      </w:r>
    </w:p>
    <w:p>
      <w:pPr>
        <w:pStyle w:val="SourceNote"/>
      </w:pPr>
      <w:r>
        <w:rPr>
          <w:b/>
        </w:rPr>
        <w:t>Original source:</w:t>
      </w:r>
      <w:r>
        <w:t xml:space="preserve"> https://doi.org/10.14529/em090308</w:t>
      </w:r>
    </w:p>
    <w:p>
      <w:pPr/>
      <w:r>
        <w:rPr>
          <w:b/>
        </w:rPr>
        <w:t>Original future claim:</w:t>
      </w:r>
      <w:r>
        <w:t xml:space="preserve"> Foresight is a system of expert evaluation of strategic directions of social and economic and innovative development, identification of technological breakthroughs that could have an impact on the economy and the society in the mid- and long-term perspective.</w:t>
      </w:r>
    </w:p>
    <w:p>
      <w:pPr/>
      <w:r>
        <w:rPr>
          <w:b/>
        </w:rPr>
        <w:t>Later source:</w:t>
      </w:r>
      <w:r>
        <w:t xml:space="preserve"> FORESIGHT METHODS TOOLS FOR INNOVATIVE MARKETING AND DIGITAL MARKET FORESIGHT — https://doi.org/10.20998/2313-8890.2025.12.08</w:t>
      </w:r>
    </w:p>
    <w:p>
      <w:pPr/>
      <w:r>
        <w:rPr>
          <w:b/>
        </w:rPr>
        <w:t>Later source:</w:t>
      </w:r>
      <w:r>
        <w:t xml:space="preserve"> Strategic foresight and management of energy security in Jordan : The mediating role of strategic agility — https://openalex.org/W7166258236</w:t>
      </w:r>
    </w:p>
    <w:p>
      <w:pPr>
        <w:pStyle w:val="SourceNote"/>
      </w:pPr>
      <w:r>
        <w:rPr>
          <w:b/>
        </w:rPr>
        <w:t>Review status:</w:t>
      </w:r>
      <w:r>
        <w:t xml:space="preserve"> unchecked — possible relationship only</w:t>
      </w:r>
    </w:p>
    <w:p>
      <w:pPr>
        <w:pStyle w:val="Heading2"/>
      </w:pPr>
      <w:r>
        <w:t>239. Claim + two later sources: Varying soil moisture–atmosphere feedbacks explain divergent temperature extremes and precipitation projections in central Europe</w:t>
      </w:r>
    </w:p>
    <w:p>
      <w:pPr>
        <w:pStyle w:val="SourceNote"/>
      </w:pPr>
      <w:r>
        <w:rPr>
          <w:b/>
        </w:rPr>
        <w:t>Group ID:</w:t>
      </w:r>
      <w:r>
        <w:t xml:space="preserve"> group-5023b2ed8fd6642bb2c7</w:t>
      </w:r>
    </w:p>
    <w:p>
      <w:pPr>
        <w:pStyle w:val="SourceNote"/>
      </w:pPr>
      <w:r>
        <w:rPr>
          <w:b/>
        </w:rPr>
        <w:t>Original source:</w:t>
      </w:r>
      <w:r>
        <w:t xml:space="preserve"> https://doi.org/10.5194/esd-9-1107-2018</w:t>
      </w:r>
    </w:p>
    <w:p>
      <w:pPr/>
      <w:r>
        <w:rPr>
          <w:b/>
        </w:rPr>
        <w:t>Original future claim:</w:t>
      </w:r>
      <w:r>
        <w:t xml:space="preserve"> 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r>
        <w:rPr>
          <w:b/>
        </w:rPr>
        <w:t>Later source:</w:t>
      </w:r>
      <w:r>
        <w:t xml:space="preserve"> Civilizational Temperature: A CRTI-Based Heuristic Exploration of Long-Term System Dynamics (1000 BCE–2025 CE) — https://doi.org/10.5281/zenodo.19058865</w:t>
      </w:r>
    </w:p>
    <w:p>
      <w:pPr/>
      <w:r>
        <w:rPr>
          <w:b/>
        </w:rPr>
        <w:t>Later source:</w:t>
      </w:r>
      <w:r>
        <w:t xml:space="preserve"> Examining the Eastern European extreme summer temperatures of 2023 from a long-term perspective: the role of natural variability vs. anthropogenic factors — https://doi.org/10.5194/egusphere-egu25-15014</w:t>
      </w:r>
    </w:p>
    <w:p>
      <w:pPr>
        <w:pStyle w:val="SourceNote"/>
      </w:pPr>
      <w:r>
        <w:rPr>
          <w:b/>
        </w:rPr>
        <w:t>Review status:</w:t>
      </w:r>
      <w:r>
        <w:t xml:space="preserve"> unchecked — possible relationship only</w:t>
      </w:r>
    </w:p>
    <w:p>
      <w:pPr>
        <w:pStyle w:val="Heading2"/>
      </w:pPr>
      <w:r>
        <w:t>240. Claim + two later sources: Public health air pollution impacts of pathway options to meet the 2050 UK Climate Change Act target: a modelling study</w:t>
      </w:r>
    </w:p>
    <w:p>
      <w:pPr>
        <w:pStyle w:val="SourceNote"/>
      </w:pPr>
      <w:r>
        <w:rPr>
          <w:b/>
        </w:rPr>
        <w:t>Group ID:</w:t>
      </w:r>
      <w:r>
        <w:t xml:space="preserve"> group-22e25de0fb848964800c</w:t>
      </w:r>
    </w:p>
    <w:p>
      <w:pPr>
        <w:pStyle w:val="SourceNote"/>
      </w:pPr>
      <w:r>
        <w:rPr>
          <w:b/>
        </w:rPr>
        <w:t>Original source:</w:t>
      </w:r>
      <w:r>
        <w:t xml:space="preserve"> https://doi.org/10.3310/phr06070</w:t>
      </w:r>
    </w:p>
    <w:p>
      <w:pPr/>
      <w:r>
        <w:rPr>
          <w:b/>
        </w:rPr>
        <w:t>Original future claim:</w:t>
      </w:r>
      <w:r>
        <w:t xml:space="preserve"> 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r>
        <w:rPr>
          <w:b/>
        </w:rPr>
        <w:t>Later source:</w:t>
      </w:r>
      <w:r>
        <w:t xml:space="preserve"> Development of an OEE Availability Framework for Maintenance Decision Making on PM1 and PM2 : A case study of Smurfit Westrock Piteå AB — https://openalex.org/W7204503844</w:t>
      </w:r>
    </w:p>
    <w:p>
      <w:pPr/>
      <w:r>
        <w:rPr>
          <w:b/>
        </w:rPr>
        <w:t>Later source:</w:t>
      </w:r>
      <w:r>
        <w:t xml:space="preserve"> Air Quality Based on the Spatial-Temporal Variations of Particulate Matter (PM2.5 and PM10)Concentrations Using R — https://doi.org/10.22401/anjs.29.2.06</w:t>
      </w:r>
    </w:p>
    <w:p>
      <w:pPr>
        <w:pStyle w:val="SourceNote"/>
      </w:pPr>
      <w:r>
        <w:rPr>
          <w:b/>
        </w:rPr>
        <w:t>Review status:</w:t>
      </w:r>
      <w:r>
        <w:t xml:space="preserve"> unchecked — possible relationship only</w:t>
      </w:r>
    </w:p>
    <w:p>
      <w:pPr>
        <w:pStyle w:val="Heading2"/>
      </w:pPr>
      <w:r>
        <w:t>241. Claim + two later sources: Long-term outlook for wood construction in Europe</w:t>
      </w:r>
    </w:p>
    <w:p>
      <w:pPr>
        <w:pStyle w:val="SourceNote"/>
      </w:pPr>
      <w:r>
        <w:rPr>
          <w:b/>
        </w:rPr>
        <w:t>Group ID:</w:t>
      </w:r>
      <w:r>
        <w:t xml:space="preserve"> group-b1b50dc31e024bfcb877</w:t>
      </w:r>
    </w:p>
    <w:p>
      <w:pPr>
        <w:pStyle w:val="SourceNote"/>
      </w:pPr>
      <w:r>
        <w:rPr>
          <w:b/>
        </w:rPr>
        <w:t>Original source:</w:t>
      </w:r>
      <w:r>
        <w:t xml:space="preserve"> https://doi.org/10.14214/df.211</w:t>
      </w:r>
    </w:p>
    <w:p>
      <w:pPr/>
      <w:r>
        <w:rPr>
          <w:b/>
        </w:rPr>
        <w:t>Original future claim:</w:t>
      </w:r>
      <w:r>
        <w:t xml:space="preserve"> 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r>
        <w:rPr>
          <w:b/>
        </w:rPr>
        <w:t>Later source:</w:t>
      </w:r>
      <w:r>
        <w:t xml:space="preserve"> Value creation and competitiveness in small European markets — https://doi.org/10.5281/zenodo.19133639</w:t>
      </w:r>
    </w:p>
    <w:p>
      <w:pPr/>
      <w:r>
        <w:rPr>
          <w:b/>
        </w:rPr>
        <w:t>Later source:</w:t>
      </w:r>
      <w:r>
        <w:t xml:space="preserve"> Market analysis for Superhood Oy's European expansion — https://openalex.org/W7162354352</w:t>
      </w:r>
    </w:p>
    <w:p>
      <w:pPr>
        <w:pStyle w:val="SourceNote"/>
      </w:pPr>
      <w:r>
        <w:rPr>
          <w:b/>
        </w:rPr>
        <w:t>Review status:</w:t>
      </w:r>
      <w:r>
        <w:t xml:space="preserve"> unchecked — possible relationship only</w:t>
      </w:r>
    </w:p>
    <w:p>
      <w:pPr>
        <w:pStyle w:val="Heading2"/>
      </w:pPr>
      <w:r>
        <w:t>242. Claim + two later sources: Innovation policy and international relations: directions for EU diplomacy</w:t>
      </w:r>
    </w:p>
    <w:p>
      <w:pPr>
        <w:pStyle w:val="SourceNote"/>
      </w:pPr>
      <w:r>
        <w:rPr>
          <w:b/>
        </w:rPr>
        <w:t>Group ID:</w:t>
      </w:r>
      <w:r>
        <w:t xml:space="preserve"> group-9949c3d12bbaaf668afc</w:t>
      </w:r>
    </w:p>
    <w:p>
      <w:pPr>
        <w:pStyle w:val="SourceNote"/>
      </w:pPr>
      <w:r>
        <w:rPr>
          <w:b/>
        </w:rPr>
        <w:t>Original source:</w:t>
      </w:r>
      <w:r>
        <w:t xml:space="preserve"> https://doi.org/10.1186/s40309-019-0156-1</w:t>
      </w:r>
    </w:p>
    <w:p>
      <w:pPr/>
      <w:r>
        <w:rPr>
          <w:b/>
        </w:rPr>
        <w:t>Original future claim:</w:t>
      </w:r>
      <w:r>
        <w:t xml:space="preserve"> The final paragraph discusses what Europe can and should do in its external relations to provide adequate answers to the forces outlined in the three scenarios.</w:t>
      </w:r>
    </w:p>
    <w:p>
      <w:pPr/>
      <w:r>
        <w:rPr>
          <w:b/>
        </w:rPr>
        <w:t>Later source:</w:t>
      </w:r>
      <w:r>
        <w:t xml:space="preserve"> THE ROLE OF EUROPEAN CULTURAL CSOS IN FOSTERING THE EU’S EXTERNAL CULTURAL RELATIONS — https://doi.org/10.25234/eclic/38137</w:t>
      </w:r>
    </w:p>
    <w:p>
      <w:pPr/>
      <w:r>
        <w:rPr>
          <w:b/>
        </w:rPr>
        <w:t>Later source:</w:t>
      </w:r>
      <w:r>
        <w:t xml:space="preserve"> An Exploration of Bachelor Level Learners' Experiences in Writing Paragraphs — https://doi.org/10.36948/ijfmr.2024.v06i02.15034</w:t>
      </w:r>
    </w:p>
    <w:p>
      <w:pPr>
        <w:pStyle w:val="SourceNote"/>
      </w:pPr>
      <w:r>
        <w:rPr>
          <w:b/>
        </w:rPr>
        <w:t>Review status:</w:t>
      </w:r>
      <w:r>
        <w:t xml:space="preserve"> unchecked — possible relationship only</w:t>
      </w:r>
    </w:p>
    <w:p>
      <w:pPr>
        <w:pStyle w:val="Heading2"/>
      </w:pPr>
      <w:r>
        <w:t>243. Claim + two later sources: A ‘futures’ approach towards the wellbeing of future generations in Wales and beyond</w:t>
      </w:r>
    </w:p>
    <w:p>
      <w:pPr>
        <w:pStyle w:val="SourceNote"/>
      </w:pPr>
      <w:r>
        <w:rPr>
          <w:b/>
        </w:rPr>
        <w:t>Group ID:</w:t>
      </w:r>
      <w:r>
        <w:t xml:space="preserve"> group-3baed121b1e2ad5057ea</w:t>
      </w:r>
    </w:p>
    <w:p>
      <w:pPr>
        <w:pStyle w:val="SourceNote"/>
      </w:pPr>
      <w:r>
        <w:rPr>
          <w:b/>
        </w:rPr>
        <w:t>Original source:</w:t>
      </w:r>
      <w:r>
        <w:t xml:space="preserve"> https://doi.org/10.1093/eurpub/ckaa165.1289</w:t>
      </w:r>
    </w:p>
    <w:p>
      <w:pPr/>
      <w:r>
        <w:rPr>
          <w:b/>
        </w:rPr>
        <w:t>Original future claim:</w:t>
      </w:r>
      <w:r>
        <w:t xml:space="preserve"> 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r>
        <w:rPr>
          <w:b/>
        </w:rPr>
        <w:t>Later source:</w:t>
      </w:r>
      <w:r>
        <w:t xml:space="preserve"> Why We Care About Understanding: Competence through Predictive Compression — https://doi.org/10.48550/arxiv.2609.04962</w:t>
      </w:r>
    </w:p>
    <w:p>
      <w:pPr/>
      <w:r>
        <w:rPr>
          <w:b/>
        </w:rPr>
        <w:t>Later source:</w:t>
      </w:r>
      <w:r>
        <w:t xml:space="preserve"> Developing an alternative medium for in-space biomanufacturing — https://doi.org/10.1038/s41467-025-56088-2</w:t>
      </w:r>
    </w:p>
    <w:p>
      <w:pPr>
        <w:pStyle w:val="SourceNote"/>
      </w:pPr>
      <w:r>
        <w:rPr>
          <w:b/>
        </w:rPr>
        <w:t>Review status:</w:t>
      </w:r>
      <w:r>
        <w:t xml:space="preserve"> unchecked — possible relationship only</w:t>
      </w:r>
    </w:p>
    <w:p>
      <w:pPr>
        <w:pStyle w:val="Heading2"/>
      </w:pPr>
      <w:r>
        <w:t>244. Claim + two later sources: Electromobility Scenarios: Research Findings to Inform Policy</w:t>
      </w:r>
    </w:p>
    <w:p>
      <w:pPr>
        <w:pStyle w:val="SourceNote"/>
      </w:pPr>
      <w:r>
        <w:rPr>
          <w:b/>
        </w:rPr>
        <w:t>Group ID:</w:t>
      </w:r>
      <w:r>
        <w:t xml:space="preserve"> group-26ece6abb06088bbcea5</w:t>
      </w:r>
    </w:p>
    <w:p>
      <w:pPr>
        <w:pStyle w:val="SourceNote"/>
      </w:pPr>
      <w:r>
        <w:rPr>
          <w:b/>
        </w:rPr>
        <w:t>Original source:</w:t>
      </w:r>
      <w:r>
        <w:t xml:space="preserve"> https://doi.org/10.1016/j.trpro.2016.05.346</w:t>
      </w:r>
    </w:p>
    <w:p>
      <w:pPr/>
      <w:r>
        <w:rPr>
          <w:b/>
        </w:rPr>
        <w:t>Original future claim:</w:t>
      </w:r>
      <w:r>
        <w:t xml:space="preserve"> 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r>
        <w:rPr>
          <w:b/>
        </w:rPr>
        <w:t>Later source:</w:t>
      </w:r>
      <w:r>
        <w:t xml:space="preserve"> Geodiversity data for Europe — https://doi.org/10.1098/rsta.2023.0173</w:t>
      </w:r>
    </w:p>
    <w:p>
      <w:pPr/>
      <w:r>
        <w:rPr>
          <w:b/>
        </w:rPr>
        <w:t>Later source:</w:t>
      </w:r>
      <w:r>
        <w:t xml:space="preserve"> Assessing pesticide residues occurrence and risks in water systems: A Pan-European and Argentina perspective — https://doi.org/10.1016/j.watres.2024.121419</w:t>
      </w:r>
    </w:p>
    <w:p>
      <w:pPr>
        <w:pStyle w:val="SourceNote"/>
      </w:pPr>
      <w:r>
        <w:rPr>
          <w:b/>
        </w:rPr>
        <w:t>Review status:</w:t>
      </w:r>
      <w:r>
        <w:t xml:space="preserve"> unchecked — possible relationship only</w:t>
      </w:r>
    </w:p>
    <w:p>
      <w:pPr>
        <w:pStyle w:val="Heading2"/>
      </w:pPr>
      <w:r>
        <w:t>245. Claim + two later sources: The Future of Visitor Attractions in The Netherlands</w:t>
      </w:r>
    </w:p>
    <w:p>
      <w:pPr>
        <w:pStyle w:val="SourceNote"/>
      </w:pPr>
      <w:r>
        <w:rPr>
          <w:b/>
        </w:rPr>
        <w:t>Group ID:</w:t>
      </w:r>
      <w:r>
        <w:t xml:space="preserve"> group-bfc9c18f0bf45439a289</w:t>
      </w:r>
    </w:p>
    <w:p>
      <w:pPr>
        <w:pStyle w:val="SourceNote"/>
      </w:pPr>
      <w:r>
        <w:rPr>
          <w:b/>
        </w:rPr>
        <w:t>Original source:</w:t>
      </w:r>
      <w:r>
        <w:t xml:space="preserve"> https://doi.org/10.1080/02508281.2014.11087010</w:t>
      </w:r>
    </w:p>
    <w:p>
      <w:pPr/>
      <w:r>
        <w:rPr>
          <w:b/>
        </w:rPr>
        <w:t>Original future claim:</w:t>
      </w:r>
      <w:r>
        <w:t xml:space="preserve"> 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r>
        <w:rPr>
          <w:b/>
        </w:rPr>
        <w:t>Later source:</w:t>
      </w:r>
      <w:r>
        <w:t xml:space="preserve"> Amusement Ride Collection: Creating a Complete Attraction Portfolio with GT Amusement — https://doi.org/10.5281/zenodo.18162222</w:t>
      </w:r>
    </w:p>
    <w:p>
      <w:pPr/>
      <w:r>
        <w:rPr>
          <w:b/>
        </w:rPr>
        <w:t>Later source:</w:t>
      </w:r>
      <w:r>
        <w:t xml:space="preserve"> Four Risks for Europe — https://doi.org/10.1007/978-3-032-29056-4_6</w:t>
      </w:r>
    </w:p>
    <w:p>
      <w:pPr>
        <w:pStyle w:val="SourceNote"/>
      </w:pPr>
      <w:r>
        <w:rPr>
          <w:b/>
        </w:rPr>
        <w:t>Review status:</w:t>
      </w:r>
      <w:r>
        <w:t xml:space="preserve"> unchecked — possible relationship only</w:t>
      </w:r>
    </w:p>
    <w:p>
      <w:pPr>
        <w:pStyle w:val="Heading2"/>
      </w:pPr>
      <w:r>
        <w:t>246. Claim + two later sources: Using Scenarios to Assess Policy Mixes for Resource Efficiency and Eco-Innovation in Different Fiscal Policy Frameworks</w:t>
      </w:r>
    </w:p>
    <w:p>
      <w:pPr>
        <w:pStyle w:val="SourceNote"/>
      </w:pPr>
      <w:r>
        <w:rPr>
          <w:b/>
        </w:rPr>
        <w:t>Group ID:</w:t>
      </w:r>
      <w:r>
        <w:t xml:space="preserve"> group-7cdcc60aa7d496847b14</w:t>
      </w:r>
    </w:p>
    <w:p>
      <w:pPr>
        <w:pStyle w:val="SourceNote"/>
      </w:pPr>
      <w:r>
        <w:rPr>
          <w:b/>
        </w:rPr>
        <w:t>Original source:</w:t>
      </w:r>
      <w:r>
        <w:t xml:space="preserve"> https://doi.org/10.3390/su8040309</w:t>
      </w:r>
    </w:p>
    <w:p>
      <w:pPr/>
      <w:r>
        <w:rPr>
          <w:b/>
        </w:rPr>
        <w:t>Original future claim:</w:t>
      </w:r>
      <w:r>
        <w:t xml:space="preserve"> 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r>
        <w:rPr>
          <w:b/>
        </w:rPr>
        <w:t>Later source:</w:t>
      </w:r>
      <w:r>
        <w:t xml:space="preserve"> The enrichment of post-growth future alternatives for Europe using an online integral foresight methodology — https://doi.org/10.1186/s40309-026-00282-y</w:t>
      </w:r>
    </w:p>
    <w:p>
      <w:pPr/>
      <w:r>
        <w:rPr>
          <w:b/>
        </w:rPr>
        <w:t>Later source:</w:t>
      </w:r>
      <w:r>
        <w:t xml:space="preserve"> Circular futures of the cement and concrete industry in the European Union: enriching prospective life cycle assessment with participatory foresight — https://doi.org/10.1007/s11367-026-02699-w</w:t>
      </w:r>
    </w:p>
    <w:p>
      <w:pPr>
        <w:pStyle w:val="SourceNote"/>
      </w:pPr>
      <w:r>
        <w:rPr>
          <w:b/>
        </w:rPr>
        <w:t>Review status:</w:t>
      </w:r>
      <w:r>
        <w:t xml:space="preserve"> unchecked — possible relationship only</w:t>
      </w:r>
    </w:p>
    <w:p>
      <w:pPr>
        <w:pStyle w:val="Heading2"/>
      </w:pPr>
      <w:r>
        <w:t>247. Claim + two later sources: Spatial Simulation of Codesigned Land Cover Change Scenarios in New England: Alternative Futures and Their Consequences for Conservation Priorities</w:t>
      </w:r>
    </w:p>
    <w:p>
      <w:pPr>
        <w:pStyle w:val="SourceNote"/>
      </w:pPr>
      <w:r>
        <w:rPr>
          <w:b/>
        </w:rPr>
        <w:t>Group ID:</w:t>
      </w:r>
      <w:r>
        <w:t xml:space="preserve"> group-9f923f5ecc0bfa63905d</w:t>
      </w:r>
    </w:p>
    <w:p>
      <w:pPr>
        <w:pStyle w:val="SourceNote"/>
      </w:pPr>
      <w:r>
        <w:rPr>
          <w:b/>
        </w:rPr>
        <w:t>Original source:</w:t>
      </w:r>
      <w:r>
        <w:t xml:space="preserve"> https://doi.org/10.1029/2019ef001348</w:t>
      </w:r>
    </w:p>
    <w:p>
      <w:pPr/>
      <w:r>
        <w:rPr>
          <w:b/>
        </w:rPr>
        <w:t>Original future claim:</w:t>
      </w:r>
      <w:r>
        <w:t xml:space="preserve"> 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r>
        <w:rPr>
          <w:b/>
        </w:rPr>
        <w:t>Later source:</w:t>
      </w:r>
      <w:r>
        <w:t xml:space="preserve"> Preparing to Prepare a Manuscript — https://doi.org/10.1097/nur.0000000000000973</w:t>
      </w:r>
    </w:p>
    <w:p>
      <w:pPr/>
      <w:r>
        <w:rPr>
          <w:b/>
        </w:rPr>
        <w:t>Later source:</w:t>
      </w:r>
      <w:r>
        <w:t xml:space="preserve"> Blue Justice: diverging perceptions between coastal planners and fishers in the blue economy — https://doi.org/10.1007/s11625-026-01868-y</w:t>
      </w:r>
    </w:p>
    <w:p>
      <w:pPr>
        <w:pStyle w:val="SourceNote"/>
      </w:pPr>
      <w:r>
        <w:rPr>
          <w:b/>
        </w:rPr>
        <w:t>Review status:</w:t>
      </w:r>
      <w:r>
        <w:t xml:space="preserve"> unchecked — possible relationship only</w:t>
      </w:r>
    </w:p>
    <w:p>
      <w:pPr>
        <w:pStyle w:val="Heading2"/>
      </w:pPr>
      <w:r>
        <w:t>248. Claim + two later sources: Futuring European industry: assessing the ManuFuture road towards EU re-industrialization</w:t>
      </w:r>
    </w:p>
    <w:p>
      <w:pPr>
        <w:pStyle w:val="SourceNote"/>
      </w:pPr>
      <w:r>
        <w:rPr>
          <w:b/>
        </w:rPr>
        <w:t>Group ID:</w:t>
      </w:r>
      <w:r>
        <w:t xml:space="preserve"> group-90f9015787930b387e2e</w:t>
      </w:r>
    </w:p>
    <w:p>
      <w:pPr>
        <w:pStyle w:val="SourceNote"/>
      </w:pPr>
      <w:r>
        <w:rPr>
          <w:b/>
        </w:rPr>
        <w:t>Original source:</w:t>
      </w:r>
      <w:r>
        <w:t xml:space="preserve"> https://doi.org/10.1007/s40309-016-0100-6</w:t>
      </w:r>
    </w:p>
    <w:p>
      <w:pPr/>
      <w:r>
        <w:rPr>
          <w:b/>
        </w:rPr>
        <w:t>Original future claim:</w:t>
      </w:r>
      <w:r>
        <w:t xml:space="preserve"> Based on a systemic assessment of the multi-actor, multi-governance-level and multi-sector policy approach, success factors are elaborated as guiding principles and framework for the upcoming Vision 2030 process.</w:t>
      </w:r>
    </w:p>
    <w:p>
      <w:pPr/>
      <w:r>
        <w:rPr>
          <w:b/>
        </w:rPr>
        <w:t>Later source:</w:t>
      </w:r>
      <w:r>
        <w:t xml:space="preserve"> Industrial energy transformation and multi-level governance: evidence from Germany — https://doi.org/10.32846/2306-9716/2026.eco.3-66.30</w:t>
      </w:r>
    </w:p>
    <w:p>
      <w:pPr/>
      <w:r>
        <w:rPr>
          <w:b/>
        </w:rPr>
        <w:t>Later source:</w:t>
      </w:r>
      <w:r>
        <w:t xml:space="preserve"> Systemic Failure of Judicial Protection in Latvian Enforcement Proceedings: A Legal Assessment — https://doi.org/10.5281/zenodo.21709610</w:t>
      </w:r>
    </w:p>
    <w:p>
      <w:pPr>
        <w:pStyle w:val="SourceNote"/>
      </w:pPr>
      <w:r>
        <w:rPr>
          <w:b/>
        </w:rPr>
        <w:t>Review status:</w:t>
      </w:r>
      <w:r>
        <w:t xml:space="preserve"> unchecked — possible relationship only</w:t>
      </w:r>
    </w:p>
    <w:p>
      <w:pPr>
        <w:pStyle w:val="Heading2"/>
      </w:pPr>
      <w:r>
        <w:t>249. Claim + two later sources: THREE INVESTMENT SCENARIOS FOR  FUTURE NUCLEAR REACTORS IN EUROPE</w:t>
      </w:r>
    </w:p>
    <w:p>
      <w:pPr>
        <w:pStyle w:val="SourceNote"/>
      </w:pPr>
      <w:r>
        <w:rPr>
          <w:b/>
        </w:rPr>
        <w:t>Group ID:</w:t>
      </w:r>
      <w:r>
        <w:t xml:space="preserve"> group-b2fe5adcacc176537121</w:t>
      </w:r>
    </w:p>
    <w:p>
      <w:pPr>
        <w:pStyle w:val="SourceNote"/>
      </w:pPr>
      <w:r>
        <w:rPr>
          <w:b/>
        </w:rPr>
        <w:t>Original source:</w:t>
      </w:r>
      <w:r>
        <w:t xml:space="preserve"> https://doi.org/10.15173/esr.v23i1.3312</w:t>
      </w:r>
    </w:p>
    <w:p>
      <w:pPr/>
      <w:r>
        <w:rPr>
          <w:b/>
        </w:rPr>
        <w:t>Original future claim:</w:t>
      </w:r>
      <w:r>
        <w:t xml:space="preserve"> 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r>
        <w:rPr>
          <w:b/>
        </w:rPr>
        <w:t>Later source:</w:t>
      </w:r>
      <w:r>
        <w:t xml:space="preserve"> Nuclear Technology Transition Towards SMR and Generation-IV — https://doi.org/10.1007/978-3-032-15512-2_15</w:t>
      </w:r>
    </w:p>
    <w:p>
      <w:pPr/>
      <w:r>
        <w:rPr>
          <w:b/>
        </w:rPr>
        <w:t>Later source:</w:t>
      </w:r>
      <w:r>
        <w:t xml:space="preserve"> Atomic rivers. The (Un)sustainability of nuclear power in an age of climate change — https://doi.org/10.1016/j.enpol.2025.114631</w:t>
      </w:r>
    </w:p>
    <w:p>
      <w:pPr>
        <w:pStyle w:val="SourceNote"/>
      </w:pPr>
      <w:r>
        <w:rPr>
          <w:b/>
        </w:rPr>
        <w:t>Review status:</w:t>
      </w:r>
      <w:r>
        <w:t xml:space="preserve"> unchecked — possible relationship only</w:t>
      </w:r>
    </w:p>
    <w:p>
      <w:pPr>
        <w:pStyle w:val="Heading2"/>
      </w:pPr>
      <w:r>
        <w:t>250. Claim + two later sources: A road map for explorative scenario creation on Belgian rail freight transport development</w:t>
      </w:r>
    </w:p>
    <w:p>
      <w:pPr>
        <w:pStyle w:val="SourceNote"/>
      </w:pPr>
      <w:r>
        <w:rPr>
          <w:b/>
        </w:rPr>
        <w:t>Group ID:</w:t>
      </w:r>
      <w:r>
        <w:t xml:space="preserve"> group-f6beecf061651fad4597</w:t>
      </w:r>
    </w:p>
    <w:p>
      <w:pPr>
        <w:pStyle w:val="SourceNote"/>
      </w:pPr>
      <w:r>
        <w:rPr>
          <w:b/>
        </w:rPr>
        <w:t>Original source:</w:t>
      </w:r>
      <w:r>
        <w:t xml:space="preserve"> https://doi.org/10.1177/1783591717734792</w:t>
      </w:r>
    </w:p>
    <w:p>
      <w:pPr/>
      <w:r>
        <w:rPr>
          <w:b/>
        </w:rPr>
        <w:t>Original future claim:</w:t>
      </w:r>
      <w:r>
        <w:t xml:space="preserve"> 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r>
        <w:rPr>
          <w:b/>
        </w:rPr>
        <w:t>Later source:</w:t>
      </w:r>
      <w:r>
        <w:t xml:space="preserve"> The Long Road Back: An Integrative and Interdisciplinary Approach to Care After Traumatic Brain Injury — https://doi.org/10.1097/hrp.0000000000000457</w:t>
      </w:r>
    </w:p>
    <w:p>
      <w:pPr/>
      <w:r>
        <w:rPr>
          <w:b/>
        </w:rPr>
        <w:t>Later source:</w:t>
      </w:r>
      <w:r>
        <w:t xml:space="preserve"> An Analysis of Interdisciplinary Thematic Clusters and Evolutionary Paths in Research on AI Music Creation — https://doi.org/10.17548/ksaf.2026.06.30.285</w:t>
      </w:r>
    </w:p>
    <w:p>
      <w:pPr>
        <w:pStyle w:val="SourceNote"/>
      </w:pPr>
      <w:r>
        <w:rPr>
          <w:b/>
        </w:rPr>
        <w:t>Review status:</w:t>
      </w:r>
      <w:r>
        <w:t xml:space="preserve"> unchecked — possible relationship only</w:t>
      </w:r>
    </w:p>
    <w:p>
      <w:pPr>
        <w:pStyle w:val="Heading2"/>
      </w:pPr>
      <w:r>
        <w:t>251. Claim + two later sources: Three scenarios for industrial relations in Europe</w:t>
      </w:r>
    </w:p>
    <w:p>
      <w:pPr>
        <w:pStyle w:val="SourceNote"/>
      </w:pPr>
      <w:r>
        <w:rPr>
          <w:b/>
        </w:rPr>
        <w:t>Group ID:</w:t>
      </w:r>
      <w:r>
        <w:t xml:space="preserve"> group-7706f521e72e8d9b6e67</w:t>
      </w:r>
    </w:p>
    <w:p>
      <w:pPr>
        <w:pStyle w:val="SourceNote"/>
      </w:pPr>
      <w:r>
        <w:rPr>
          <w:b/>
        </w:rPr>
        <w:t>Original source:</w:t>
      </w:r>
      <w:r>
        <w:t xml:space="preserve"> https://doi.org/10.1111/j.1564-913x.2015.00221.x</w:t>
      </w:r>
    </w:p>
    <w:p>
      <w:pPr/>
      <w:r>
        <w:rPr>
          <w:b/>
        </w:rPr>
        <w:t>Original future claim:</w:t>
      </w:r>
      <w:r>
        <w:t xml:space="preserve"> 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r>
        <w:rPr>
          <w:b/>
        </w:rPr>
        <w:t>Later source:</w:t>
      </w:r>
      <w:r>
        <w:t xml:space="preserve"> The future of the colonial system as assessed by experts of the Council on Foreign Relations during the Second World War — https://doi.org/10.48015/2076-7404-2025-17-1-141-161</w:t>
      </w:r>
    </w:p>
    <w:p>
      <w:pPr/>
      <w:r>
        <w:rPr>
          <w:b/>
        </w:rPr>
        <w:t>Later source:</w:t>
      </w:r>
      <w:r>
        <w:t xml:space="preserve"> Digital Currencies in Context: A Cross-Regional Study of Blockchain Adoption in the U.S. and Europe — https://doi.org/10.33423/jabe.v27i6.7943</w:t>
      </w:r>
    </w:p>
    <w:p>
      <w:pPr>
        <w:pStyle w:val="SourceNote"/>
      </w:pPr>
      <w:r>
        <w:rPr>
          <w:b/>
        </w:rPr>
        <w:t>Review status:</w:t>
      </w:r>
      <w:r>
        <w:t xml:space="preserve"> unchecked — possible relationship only</w:t>
      </w:r>
    </w:p>
    <w:p>
      <w:pPr>
        <w:pStyle w:val="Heading2"/>
      </w:pPr>
      <w:r>
        <w:t>252. Claim + two later sources: Education in an uncertain future: Two scenarios</w:t>
      </w:r>
    </w:p>
    <w:p>
      <w:pPr>
        <w:pStyle w:val="SourceNote"/>
      </w:pPr>
      <w:r>
        <w:rPr>
          <w:b/>
        </w:rPr>
        <w:t>Group ID:</w:t>
      </w:r>
      <w:r>
        <w:t xml:space="preserve"> group-809e1c939339c2923a04</w:t>
      </w:r>
    </w:p>
    <w:p>
      <w:pPr>
        <w:pStyle w:val="SourceNote"/>
      </w:pPr>
      <w:r>
        <w:rPr>
          <w:b/>
        </w:rPr>
        <w:t>Original source:</w:t>
      </w:r>
      <w:r>
        <w:t xml:space="preserve"> https://doi.org/10.14324/lre.18.2.11</w:t>
      </w:r>
    </w:p>
    <w:p>
      <w:pPr/>
      <w:r>
        <w:rPr>
          <w:b/>
        </w:rPr>
        <w:t>Original future claim:</w:t>
      </w:r>
      <w:r>
        <w:t xml:space="preserve"> This article examines two scenarios for the future of education over the coming decades, mainly in England but also in comparable countries.</w:t>
      </w:r>
    </w:p>
    <w:p>
      <w:pPr/>
      <w:r>
        <w:rPr>
          <w:b/>
        </w:rPr>
        <w:t>Later source:</w:t>
      </w:r>
      <w:r>
        <w:t xml:space="preserve"> The erstwhile state of Jammu and Kashmir: a constitutional lens to examine In Re: Article 370 of the Constitution — https://doi.org/10.1080/24730580.2026.2644745</w:t>
      </w:r>
    </w:p>
    <w:p>
      <w:pPr/>
      <w:r>
        <w:rPr>
          <w:b/>
        </w:rPr>
        <w:t>Later source:</w:t>
      </w:r>
      <w:r>
        <w:t xml:space="preserve"> MORPHOLOGICAL MEANS AND STYLISTICS: NOUN, ARTICLE, PRONOUN, ADJECTIVE, VERB — https://doi.org/10.5281/zenodo.19602675</w:t>
      </w:r>
    </w:p>
    <w:p>
      <w:pPr>
        <w:pStyle w:val="SourceNote"/>
      </w:pPr>
      <w:r>
        <w:rPr>
          <w:b/>
        </w:rPr>
        <w:t>Review status:</w:t>
      </w:r>
      <w:r>
        <w:t xml:space="preserve"> unchecked — possible relationship only</w:t>
      </w:r>
    </w:p>
    <w:p>
      <w:pPr>
        <w:pStyle w:val="Heading2"/>
      </w:pPr>
      <w:r>
        <w:t>253. Claim + two later sources: Fiscal sustainability and the accuracy of macroeconomic forecasts: Do supranational forecasts rather than government forecasts make a difference?</w:t>
      </w:r>
    </w:p>
    <w:p>
      <w:pPr>
        <w:pStyle w:val="SourceNote"/>
      </w:pPr>
      <w:r>
        <w:rPr>
          <w:b/>
        </w:rPr>
        <w:t>Group ID:</w:t>
      </w:r>
      <w:r>
        <w:t xml:space="preserve"> group-2c4617fd2f6d727d9a33</w:t>
      </w:r>
    </w:p>
    <w:p>
      <w:pPr>
        <w:pStyle w:val="SourceNote"/>
      </w:pPr>
      <w:r>
        <w:rPr>
          <w:b/>
        </w:rPr>
        <w:t>Original source:</w:t>
      </w:r>
      <w:r>
        <w:t xml:space="preserve"> https://doi.org/10.1504/ijse.2011.039440</w:t>
      </w:r>
    </w:p>
    <w:p>
      <w:pPr/>
      <w:r>
        <w:rPr>
          <w:b/>
        </w:rPr>
        <w:t>Original future claim:</w:t>
      </w:r>
      <w:r>
        <w:t xml:space="preserve"> 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r>
        <w:rPr>
          <w:b/>
        </w:rPr>
        <w:t>Later source:</w:t>
      </w:r>
      <w:r>
        <w:t xml:space="preserve"> The Court of Justice of the European Union: Do all roads lead to Luxembourg? — https://doi.org/10.14746/rpeis.2025.87.1.01</w:t>
      </w:r>
    </w:p>
    <w:p>
      <w:pPr/>
      <w:r>
        <w:rPr>
          <w:b/>
        </w:rPr>
        <w:t>Later source:</w:t>
      </w:r>
      <w:r>
        <w:t xml:space="preserve"> Estimation of an efficient benchmark portfolio for the Eastern European market — https://doi.org/10.51680/ev.37.1.1</w:t>
      </w:r>
    </w:p>
    <w:p>
      <w:pPr>
        <w:pStyle w:val="SourceNote"/>
      </w:pPr>
      <w:r>
        <w:rPr>
          <w:b/>
        </w:rPr>
        <w:t>Review status:</w:t>
      </w:r>
      <w:r>
        <w:t xml:space="preserve"> unchecked — possible relationship only</w:t>
      </w:r>
    </w:p>
    <w:p>
      <w:pPr>
        <w:pStyle w:val="Heading2"/>
      </w:pPr>
      <w:r>
        <w:t>254. Claim + two later sources: Shared Socio-economic Pathways for European agriculture and food systems: The Eur-Agri-SSPs</w:t>
      </w:r>
    </w:p>
    <w:p>
      <w:pPr>
        <w:pStyle w:val="SourceNote"/>
      </w:pPr>
      <w:r>
        <w:rPr>
          <w:b/>
        </w:rPr>
        <w:t>Group ID:</w:t>
      </w:r>
      <w:r>
        <w:t xml:space="preserve"> group-41f4b0edb1754baa4639</w:t>
      </w:r>
    </w:p>
    <w:p>
      <w:pPr>
        <w:pStyle w:val="SourceNote"/>
      </w:pPr>
      <w:r>
        <w:rPr>
          <w:b/>
        </w:rPr>
        <w:t>Original source:</w:t>
      </w:r>
      <w:r>
        <w:t xml:space="preserve"> https://doi.org/10.1016/j.gloenvcha.2020.102159</w:t>
      </w:r>
    </w:p>
    <w:p>
      <w:pPr/>
      <w:r>
        <w:rPr>
          <w:b/>
        </w:rPr>
        <w:t>Original future claim:</w:t>
      </w:r>
      <w:r>
        <w:t xml:space="preserve"> We followed a nine-step protocol to extend and enrich a set of global scenarios - the Shared Socio-economic Pathways (SSPs) - providing regional and sectoral detail for European agriculture and food systems using a one-to-one nesting participatory approach.</w:t>
      </w:r>
    </w:p>
    <w:p>
      <w:pPr/>
      <w:r>
        <w:rPr>
          <w:b/>
        </w:rPr>
        <w:t>Later source:</w:t>
      </w:r>
      <w:r>
        <w:t xml:space="preserve"> Population health differences in cross-border regions within the European Union and Schengen area: a protocol for a scoping review — https://doi.org/10.1136/bmjopen-2022-068571</w:t>
      </w:r>
    </w:p>
    <w:p>
      <w:pPr/>
      <w:r>
        <w:rPr>
          <w:b/>
        </w:rPr>
        <w:t>Later source:</w:t>
      </w:r>
      <w:r>
        <w:t xml:space="preserve"> Multicentre evaluation of a selective isolation protocol for detection of mcr-positive E. coli and Salmonella spp. in food-producing animals and meat — https://doi.org/10.1111/lam.13717</w:t>
      </w:r>
    </w:p>
    <w:p>
      <w:pPr>
        <w:pStyle w:val="SourceNote"/>
      </w:pPr>
      <w:r>
        <w:rPr>
          <w:b/>
        </w:rPr>
        <w:t>Review status:</w:t>
      </w:r>
      <w:r>
        <w:t xml:space="preserve"> unchecked — possible relationship only</w:t>
      </w:r>
    </w:p>
    <w:p>
      <w:pPr>
        <w:pStyle w:val="Heading2"/>
      </w:pPr>
      <w:r>
        <w:t>255. Claim + two later sources: Flexible electricity generation, grid exchange and storage for the transition to a 100% renewable energy system in Europe</w:t>
      </w:r>
    </w:p>
    <w:p>
      <w:pPr>
        <w:pStyle w:val="SourceNote"/>
      </w:pPr>
      <w:r>
        <w:rPr>
          <w:b/>
        </w:rPr>
        <w:t>Group ID:</w:t>
      </w:r>
      <w:r>
        <w:t xml:space="preserve"> group-61cf837199c1497c688a</w:t>
      </w:r>
    </w:p>
    <w:p>
      <w:pPr>
        <w:pStyle w:val="SourceNote"/>
      </w:pPr>
      <w:r>
        <w:rPr>
          <w:b/>
        </w:rPr>
        <w:t>Original source:</w:t>
      </w:r>
      <w:r>
        <w:t xml:space="preserve"> https://doi.org/10.1016/j.renene.2019.02.077</w:t>
      </w:r>
    </w:p>
    <w:p>
      <w:pPr/>
      <w:r>
        <w:rPr>
          <w:b/>
        </w:rPr>
        <w:t>Original future claim:</w:t>
      </w:r>
      <w:r>
        <w:t xml:space="preserve"> 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r>
        <w:rPr>
          <w:b/>
        </w:rPr>
        <w:t>Later source:</w:t>
      </w:r>
      <w:r>
        <w:t xml:space="preserve"> Narrating power: the European Commission and the geopolitics of the energy transition — https://doi.org/10.1080/09662839.2025.2599239</w:t>
      </w:r>
    </w:p>
    <w:p>
      <w:pPr/>
      <w:r>
        <w:rPr>
          <w:b/>
        </w:rPr>
        <w:t>Later source:</w:t>
      </w:r>
      <w:r>
        <w:t xml:space="preserve"> Editorial: Just energy transitions for Europe and beyond — https://doi.org/10.3389/fpos.2026.1815295</w:t>
      </w:r>
    </w:p>
    <w:p>
      <w:pPr>
        <w:pStyle w:val="SourceNote"/>
      </w:pPr>
      <w:r>
        <w:rPr>
          <w:b/>
        </w:rPr>
        <w:t>Review status:</w:t>
      </w:r>
      <w:r>
        <w:t xml:space="preserve"> unchecked — possible relationship only</w:t>
      </w:r>
    </w:p>
    <w:p>
      <w:pPr>
        <w:pStyle w:val="Heading2"/>
      </w:pPr>
      <w:r>
        <w:t>256. Claim + two later sources: Consequences of Enduring Low Fertility – A German Case Study. Demographic Projections and Implications for Different Policy Fields</w:t>
      </w:r>
    </w:p>
    <w:p>
      <w:pPr>
        <w:pStyle w:val="SourceNote"/>
      </w:pPr>
      <w:r>
        <w:rPr>
          <w:b/>
        </w:rPr>
        <w:t>Group ID:</w:t>
      </w:r>
      <w:r>
        <w:t xml:space="preserve"> group-9d3fd92b6755a102f5cf</w:t>
      </w:r>
    </w:p>
    <w:p>
      <w:pPr>
        <w:pStyle w:val="SourceNote"/>
      </w:pPr>
      <w:r>
        <w:rPr>
          <w:b/>
        </w:rPr>
        <w:t>Original source:</w:t>
      </w:r>
      <w:r>
        <w:t xml:space="preserve"> https://doi.org/10.12765/cpos-2015-06</w:t>
      </w:r>
    </w:p>
    <w:p>
      <w:pPr/>
      <w:r>
        <w:rPr>
          <w:b/>
        </w:rPr>
        <w:t>Original future claim:</w:t>
      </w:r>
      <w:r>
        <w:t xml:space="preserve"> Ageing is a more severe problem than shrinking, because the severe changes in the age structure in the social security system that will take place until 2040 apply to most Germans and are inevitable.</w:t>
      </w:r>
    </w:p>
    <w:p>
      <w:pPr/>
      <w:r>
        <w:rPr>
          <w:b/>
        </w:rPr>
        <w:t>Later source:</w:t>
      </w:r>
      <w:r>
        <w:t xml:space="preserve"> Books: The Golden Rule: Lessons in Living from a Doctor of Ageing — https://doi.org/10.3399/bjgp26x746265</w:t>
      </w:r>
    </w:p>
    <w:p>
      <w:pPr/>
      <w:r>
        <w:rPr>
          <w:b/>
        </w:rPr>
        <w:t>Later source:</w:t>
      </w:r>
      <w:r>
        <w:t xml:space="preserve"> Democracy, Ageing, Disability — https://doi.org/10.17454/pam-2811</w:t>
      </w:r>
    </w:p>
    <w:p>
      <w:pPr>
        <w:pStyle w:val="SourceNote"/>
      </w:pPr>
      <w:r>
        <w:rPr>
          <w:b/>
        </w:rPr>
        <w:t>Review status:</w:t>
      </w:r>
      <w:r>
        <w:t xml:space="preserve"> unchecked — possible relationship only</w:t>
      </w:r>
    </w:p>
    <w:p>
      <w:pPr>
        <w:pStyle w:val="Heading2"/>
      </w:pPr>
      <w:r>
        <w:t>257. Claim + two later sources: A look into the future of the COVID-19 pandemic in Europe: an expert consultation</w:t>
      </w:r>
    </w:p>
    <w:p>
      <w:pPr>
        <w:pStyle w:val="SourceNote"/>
      </w:pPr>
      <w:r>
        <w:rPr>
          <w:b/>
        </w:rPr>
        <w:t>Group ID:</w:t>
      </w:r>
      <w:r>
        <w:t xml:space="preserve"> group-f0fc1a04818b46d9318f</w:t>
      </w:r>
    </w:p>
    <w:p>
      <w:pPr>
        <w:pStyle w:val="SourceNote"/>
      </w:pPr>
      <w:r>
        <w:rPr>
          <w:b/>
        </w:rPr>
        <w:t>Original source:</w:t>
      </w:r>
      <w:r>
        <w:t xml:space="preserve"> https://doi.org/10.1016/j.lanepe.2021.100185</w:t>
      </w:r>
    </w:p>
    <w:p>
      <w:pPr/>
      <w:r>
        <w:rPr>
          <w:b/>
        </w:rPr>
        <w:t>Original future claim:</w:t>
      </w:r>
      <w:r>
        <w:t xml:space="preserve"> 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r>
        <w:rPr>
          <w:b/>
        </w:rPr>
        <w:t>Later source:</w:t>
      </w:r>
      <w:r>
        <w:t xml:space="preserve"> Modern challenges, risks and threats to the European Union — https://doi.org/10.5937/bezbednost2601147i</w:t>
      </w:r>
    </w:p>
    <w:p>
      <w:pPr/>
      <w:r>
        <w:rPr>
          <w:b/>
        </w:rPr>
        <w:t>Later source:</w:t>
      </w:r>
      <w:r>
        <w:t xml:space="preserve"> Environmental leadership as a strategic foundation of public policy and community governance in the context of Ukraine’s european integration progress, implementation of sustainable development principles, and national security challenges — https://doi.org/10.32782/2310-9653-2026-1.16</w:t>
      </w:r>
    </w:p>
    <w:p>
      <w:pPr>
        <w:pStyle w:val="SourceNote"/>
      </w:pPr>
      <w:r>
        <w:rPr>
          <w:b/>
        </w:rPr>
        <w:t>Review status:</w:t>
      </w:r>
      <w:r>
        <w:t xml:space="preserve"> unchecked — possible relationship only</w:t>
      </w:r>
    </w:p>
    <w:p>
      <w:pPr>
        <w:pStyle w:val="Heading2"/>
      </w:pPr>
      <w:r>
        <w:t>258. Claim + two later sources: Assessing the desirability and feasibility of scenarios on eco-efficient transport: a heuristic for efficient stakeholder involvement during foresight processes</w:t>
      </w:r>
    </w:p>
    <w:p>
      <w:pPr>
        <w:pStyle w:val="SourceNote"/>
      </w:pPr>
      <w:r>
        <w:rPr>
          <w:b/>
        </w:rPr>
        <w:t>Group ID:</w:t>
      </w:r>
      <w:r>
        <w:t xml:space="preserve"> group-44264db1b939cc121336</w:t>
      </w:r>
    </w:p>
    <w:p>
      <w:pPr>
        <w:pStyle w:val="SourceNote"/>
      </w:pPr>
      <w:r>
        <w:rPr>
          <w:b/>
        </w:rPr>
        <w:t>Original source:</w:t>
      </w:r>
      <w:r>
        <w:t xml:space="preserve"> https://doi.org/10.1108/fs-05-2014-0034</w:t>
      </w:r>
    </w:p>
    <w:p>
      <w:pPr/>
      <w:r>
        <w:rPr>
          <w:b/>
        </w:rPr>
        <w:t>Original future claim:</w:t>
      </w:r>
      <w:r>
        <w:t xml:space="preserve"> 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r>
        <w:rPr>
          <w:b/>
        </w:rPr>
        <w:t>Later source:</w:t>
      </w:r>
      <w:r>
        <w:t xml:space="preserve"> EDUCATION AND EUROPEAN INTEGRATION — https://doi.org/10.82444/warw.33551740</w:t>
      </w:r>
    </w:p>
    <w:p>
      <w:pPr/>
      <w:r>
        <w:rPr>
          <w:b/>
        </w:rPr>
        <w:t>Later source:</w:t>
      </w:r>
      <w:r>
        <w:t xml:space="preserve"> Assessment of Trends and Uncertainties in the Atmospheric Boundary Layer Height Estimated Using Radiosounding Observations over Europe — https://doi.org/10.3390/atmos12030301</w:t>
      </w:r>
    </w:p>
    <w:p>
      <w:pPr>
        <w:pStyle w:val="SourceNote"/>
      </w:pPr>
      <w:r>
        <w:rPr>
          <w:b/>
        </w:rPr>
        <w:t>Review status:</w:t>
      </w:r>
      <w:r>
        <w:t xml:space="preserve"> unchecked — possible relationship only</w:t>
      </w:r>
    </w:p>
    <w:p>
      <w:pPr>
        <w:pStyle w:val="Heading2"/>
      </w:pPr>
      <w:r>
        <w:t>259. Claim + two later sources: Ten years of health workforce planning in the Netherlands: a tentative evaluation of GP planning as an example</w:t>
      </w:r>
    </w:p>
    <w:p>
      <w:pPr>
        <w:pStyle w:val="SourceNote"/>
      </w:pPr>
      <w:r>
        <w:rPr>
          <w:b/>
        </w:rPr>
        <w:t>Group ID:</w:t>
      </w:r>
      <w:r>
        <w:t xml:space="preserve"> group-685e9272c467a732a46a</w:t>
      </w:r>
    </w:p>
    <w:p>
      <w:pPr>
        <w:pStyle w:val="SourceNote"/>
      </w:pPr>
      <w:r>
        <w:rPr>
          <w:b/>
        </w:rPr>
        <w:t>Original source:</w:t>
      </w:r>
      <w:r>
        <w:t xml:space="preserve"> https://doi.org/10.1186/1478-4491-10-21</w:t>
      </w:r>
    </w:p>
    <w:p>
      <w:pPr/>
      <w:r>
        <w:rPr>
          <w:b/>
        </w:rPr>
        <w:t>Original future claim:</w:t>
      </w:r>
      <w:r>
        <w:t xml:space="preserve"> A comparison is made of the results of different scenarios for different years.</w:t>
      </w:r>
    </w:p>
    <w:p>
      <w:pPr/>
      <w:r>
        <w:rPr>
          <w:b/>
        </w:rPr>
        <w:t>Later source:</w:t>
      </w:r>
      <w:r>
        <w:t xml:space="preserve"> A comparison of methods for thermodynamic calculation of explosives used in Europe — https://doi.org/10.1201/9781003762010-4</w:t>
      </w:r>
    </w:p>
    <w:p>
      <w:pPr/>
      <w:r>
        <w:rPr>
          <w:b/>
        </w:rPr>
        <w:t>Later source:</w:t>
      </w:r>
      <w:r>
        <w:t xml:space="preserve"> Science with the Einstein Telescope: a comparison of different designs — https://doi.org/10.1088/1475-7516/2023/07/068</w:t>
      </w:r>
    </w:p>
    <w:p>
      <w:pPr>
        <w:pStyle w:val="SourceNote"/>
      </w:pPr>
      <w:r>
        <w:rPr>
          <w:b/>
        </w:rPr>
        <w:t>Review status:</w:t>
      </w:r>
      <w:r>
        <w:t xml:space="preserve"> unchecked — possible relationship only</w:t>
      </w:r>
    </w:p>
    <w:p>
      <w:pPr>
        <w:pStyle w:val="Heading2"/>
      </w:pPr>
      <w:r>
        <w:t>260. Claim + two later sources: Shaping the ‘Energy Union': between national positions and governance innovation in EU energy and climate policy</w:t>
      </w:r>
    </w:p>
    <w:p>
      <w:pPr>
        <w:pStyle w:val="SourceNote"/>
      </w:pPr>
      <w:r>
        <w:rPr>
          <w:b/>
        </w:rPr>
        <w:t>Group ID:</w:t>
      </w:r>
      <w:r>
        <w:t xml:space="preserve"> group-ad070f5a194968e242eb</w:t>
      </w:r>
    </w:p>
    <w:p>
      <w:pPr>
        <w:pStyle w:val="SourceNote"/>
      </w:pPr>
      <w:r>
        <w:rPr>
          <w:b/>
        </w:rPr>
        <w:t>Original source:</w:t>
      </w:r>
      <w:r>
        <w:t xml:space="preserve"> https://doi.org/10.1080/14693062.2015.1135100</w:t>
      </w:r>
    </w:p>
    <w:p>
      <w:pPr/>
      <w:r>
        <w:rPr>
          <w:b/>
        </w:rPr>
        <w:t>Original future claim:</w:t>
      </w:r>
      <w:r>
        <w:t xml:space="preserve"> 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r>
        <w:rPr>
          <w:b/>
        </w:rPr>
        <w:t>Later source:</w:t>
      </w:r>
      <w:r>
        <w:t xml:space="preserve"> European Media Policy Grounded in Fundamental Rights — https://doi.org/10.1017/9781009568159.005</w:t>
      </w:r>
    </w:p>
    <w:p>
      <w:pPr/>
      <w:r>
        <w:rPr>
          <w:b/>
        </w:rPr>
        <w:t>Later source:</w:t>
      </w:r>
      <w:r>
        <w:t xml:space="preserve"> The Grand Tour of Europe — https://doi.org/10.7146/nts.v32i2.124349</w:t>
      </w:r>
    </w:p>
    <w:p>
      <w:pPr>
        <w:pStyle w:val="SourceNote"/>
      </w:pPr>
      <w:r>
        <w:rPr>
          <w:b/>
        </w:rPr>
        <w:t>Review status:</w:t>
      </w:r>
      <w:r>
        <w:t xml:space="preserve"> unchecked — possible relationship only</w:t>
      </w:r>
    </w:p>
    <w:p>
      <w:pPr>
        <w:pStyle w:val="Heading2"/>
      </w:pPr>
      <w:r>
        <w:t>261. Claim + two later sources: Trends and Possible Future Developments in Global Forest-Product Markets—Implications for the Swedish Forest Sector</w:t>
      </w:r>
    </w:p>
    <w:p>
      <w:pPr>
        <w:pStyle w:val="SourceNote"/>
      </w:pPr>
      <w:r>
        <w:rPr>
          <w:b/>
        </w:rPr>
        <w:t>Group ID:</w:t>
      </w:r>
      <w:r>
        <w:t xml:space="preserve"> group-dbaea23fcf4cd0c1eddc</w:t>
      </w:r>
    </w:p>
    <w:p>
      <w:pPr>
        <w:pStyle w:val="SourceNote"/>
      </w:pPr>
      <w:r>
        <w:rPr>
          <w:b/>
        </w:rPr>
        <w:t>Original source:</w:t>
      </w:r>
      <w:r>
        <w:t xml:space="preserve"> https://doi.org/10.3390/f2010147</w:t>
      </w:r>
    </w:p>
    <w:p>
      <w:pPr/>
      <w:r>
        <w:rPr>
          <w:b/>
        </w:rPr>
        <w:t>Original future claim:</w:t>
      </w:r>
      <w:r>
        <w:t xml:space="preserve"> 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r>
        <w:rPr>
          <w:b/>
        </w:rPr>
        <w:t>Later source:</w:t>
      </w:r>
      <w:r>
        <w:t xml:space="preserve"> Artificial Intelligence-Empowered Radiology—Current Status and Critical Review — https://doi.org/10.3390/diagnostics15030282</w:t>
      </w:r>
    </w:p>
    <w:p>
      <w:pPr/>
      <w:r>
        <w:rPr>
          <w:b/>
        </w:rPr>
        <w:t>Later source:</w:t>
      </w:r>
      <w:r>
        <w:t xml:space="preserve"> Uncertainty quantification for overshoots of tipping thresholds — https://doi.org/10.5194/esd-16-1153-2025</w:t>
      </w:r>
    </w:p>
    <w:p>
      <w:pPr>
        <w:pStyle w:val="SourceNote"/>
      </w:pPr>
      <w:r>
        <w:rPr>
          <w:b/>
        </w:rPr>
        <w:t>Review status:</w:t>
      </w:r>
      <w:r>
        <w:t xml:space="preserve"> unchecked — possible relationship only</w:t>
      </w:r>
    </w:p>
    <w:p>
      <w:pPr>
        <w:pStyle w:val="Heading2"/>
      </w:pPr>
      <w:r>
        <w:t>262. Claim + two later sources: Energy Portfolio of the Eastern Poland Macroregion in the European Union</w:t>
      </w:r>
    </w:p>
    <w:p>
      <w:pPr>
        <w:pStyle w:val="SourceNote"/>
      </w:pPr>
      <w:r>
        <w:rPr>
          <w:b/>
        </w:rPr>
        <w:t>Group ID:</w:t>
      </w:r>
      <w:r>
        <w:t xml:space="preserve"> group-b7a55179c5752908eeb0</w:t>
      </w:r>
    </w:p>
    <w:p>
      <w:pPr>
        <w:pStyle w:val="SourceNote"/>
      </w:pPr>
      <w:r>
        <w:rPr>
          <w:b/>
        </w:rPr>
        <w:t>Original source:</w:t>
      </w:r>
      <w:r>
        <w:t xml:space="preserve"> https://doi.org/10.3390/en14248426</w:t>
      </w:r>
    </w:p>
    <w:p>
      <w:pPr/>
      <w:r>
        <w:rPr>
          <w:b/>
        </w:rPr>
        <w:t>Original future claim:</w:t>
      </w:r>
      <w:r>
        <w:t xml:space="preserve"> 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r>
        <w:rPr>
          <w:b/>
        </w:rPr>
        <w:t>Later source:</w:t>
      </w:r>
      <w:r>
        <w:t xml:space="preserve"> Source code for "How Much EEG Is Needed for Deep Learning with Convolutional Neural Networks? Predicting the Benefit from Additional Data" — https://doi.org/10.5281/zenodo.18403059</w:t>
      </w:r>
    </w:p>
    <w:p>
      <w:pPr/>
      <w:r>
        <w:rPr>
          <w:b/>
        </w:rPr>
        <w:t>Later source:</w:t>
      </w:r>
      <w:r>
        <w:t xml:space="preserve"> The predictors of party group bargaining success in the European Parliament — https://doi.org/10.1177/14651165261423104</w:t>
      </w:r>
    </w:p>
    <w:p>
      <w:pPr>
        <w:pStyle w:val="SourceNote"/>
      </w:pPr>
      <w:r>
        <w:rPr>
          <w:b/>
        </w:rPr>
        <w:t>Review status:</w:t>
      </w:r>
      <w:r>
        <w:t xml:space="preserve"> unchecked — possible relationship only</w:t>
      </w:r>
    </w:p>
    <w:p>
      <w:pPr>
        <w:pStyle w:val="Heading2"/>
      </w:pPr>
      <w:r>
        <w:t>263. Claim + two later sources: Future air quality in Europe: a multi-model assessment of projected exposure to ozone</w:t>
      </w:r>
    </w:p>
    <w:p>
      <w:pPr>
        <w:pStyle w:val="SourceNote"/>
      </w:pPr>
      <w:r>
        <w:rPr>
          <w:b/>
        </w:rPr>
        <w:t>Group ID:</w:t>
      </w:r>
      <w:r>
        <w:t xml:space="preserve"> group-f4529bc25db4fc4431ec</w:t>
      </w:r>
    </w:p>
    <w:p>
      <w:pPr>
        <w:pStyle w:val="SourceNote"/>
      </w:pPr>
      <w:r>
        <w:rPr>
          <w:b/>
        </w:rPr>
        <w:t>Original source:</w:t>
      </w:r>
      <w:r>
        <w:t xml:space="preserve"> https://doi.org/10.5194/acp-12-10613-2012</w:t>
      </w:r>
    </w:p>
    <w:p>
      <w:pPr/>
      <w:r>
        <w:rPr>
          <w:b/>
        </w:rPr>
        <w:t>Original future claim:</w:t>
      </w:r>
      <w:r>
        <w:t xml:space="preserve"> 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r>
        <w:rPr>
          <w:b/>
        </w:rPr>
        <w:t>Later source:</w:t>
      </w:r>
      <w:r>
        <w:t xml:space="preserve"> Clean air in Europe for all — https://doi.org/10.1097/ee9.0000000000000245</w:t>
      </w:r>
    </w:p>
    <w:p>
      <w:pPr/>
      <w:r>
        <w:rPr>
          <w:b/>
        </w:rPr>
        <w:t>Later source:</w:t>
      </w:r>
      <w:r>
        <w:t xml:space="preserve"> Spatial heterogeneity of air pollution statistics in Europe — https://doi.org/10.1038/s41598-022-16109-2</w:t>
      </w:r>
    </w:p>
    <w:p>
      <w:pPr>
        <w:pStyle w:val="SourceNote"/>
      </w:pPr>
      <w:r>
        <w:rPr>
          <w:b/>
        </w:rPr>
        <w:t>Review status:</w:t>
      </w:r>
      <w:r>
        <w:t xml:space="preserve"> unchecked — possible relationship only</w:t>
      </w:r>
    </w:p>
    <w:p>
      <w:pPr>
        <w:pStyle w:val="Heading2"/>
      </w:pPr>
      <w:r>
        <w:t>264. Claim + two later sources: The future of trade unions in Croatia – various stakeholders’ perspectives</w:t>
      </w:r>
    </w:p>
    <w:p>
      <w:pPr>
        <w:pStyle w:val="SourceNote"/>
      </w:pPr>
      <w:r>
        <w:rPr>
          <w:b/>
        </w:rPr>
        <w:t>Group ID:</w:t>
      </w:r>
      <w:r>
        <w:t xml:space="preserve"> group-50986e7a10f1c0c024a7</w:t>
      </w:r>
    </w:p>
    <w:p>
      <w:pPr>
        <w:pStyle w:val="SourceNote"/>
      </w:pPr>
      <w:r>
        <w:rPr>
          <w:b/>
        </w:rPr>
        <w:t>Original source:</w:t>
      </w:r>
      <w:r>
        <w:t xml:space="preserve"> https://doi.org/10.1177/1024258914546277</w:t>
      </w:r>
    </w:p>
    <w:p>
      <w:pPr/>
      <w:r>
        <w:rPr>
          <w:b/>
        </w:rPr>
        <w:t>Original future claim:</w:t>
      </w:r>
      <w:r>
        <w:t xml:space="preserve"> 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r>
        <w:rPr>
          <w:b/>
        </w:rPr>
        <w:t>Later source:</w:t>
      </w:r>
      <w:r>
        <w:t xml:space="preserve"> Trump's Trade Gambit: Chaos as a Calculated Strategy — https://doi.org/10.1177/00207020261439150</w:t>
      </w:r>
    </w:p>
    <w:p>
      <w:pPr/>
      <w:r>
        <w:rPr>
          <w:b/>
        </w:rPr>
        <w:t>Later source:</w:t>
      </w:r>
      <w:r>
        <w:t xml:space="preserve"> Exploring the European Road Freight Transport Survey: Potentials, Challenges, and Limitations — https://doi.org/10.1016/j.trpro.2026.04.188</w:t>
      </w:r>
    </w:p>
    <w:p>
      <w:pPr>
        <w:pStyle w:val="SourceNote"/>
      </w:pPr>
      <w:r>
        <w:rPr>
          <w:b/>
        </w:rPr>
        <w:t>Review status:</w:t>
      </w:r>
      <w:r>
        <w:t xml:space="preserve"> unchecked — possible relationship only</w:t>
      </w:r>
    </w:p>
    <w:p>
      <w:pPr>
        <w:pStyle w:val="Heading2"/>
      </w:pPr>
      <w:r>
        <w:t>265. Claim + two later sources: Agent‐Based Modeling of Alternative Futures in the British Land Use System</w:t>
      </w:r>
    </w:p>
    <w:p>
      <w:pPr>
        <w:pStyle w:val="SourceNote"/>
      </w:pPr>
      <w:r>
        <w:rPr>
          <w:b/>
        </w:rPr>
        <w:t>Group ID:</w:t>
      </w:r>
      <w:r>
        <w:t xml:space="preserve"> group-5f18135988305cf0aaab</w:t>
      </w:r>
    </w:p>
    <w:p>
      <w:pPr>
        <w:pStyle w:val="SourceNote"/>
      </w:pPr>
      <w:r>
        <w:rPr>
          <w:b/>
        </w:rPr>
        <w:t>Original source:</w:t>
      </w:r>
      <w:r>
        <w:t xml:space="preserve"> https://doi.org/10.1029/2022ef002905</w:t>
      </w:r>
    </w:p>
    <w:p>
      <w:pPr/>
      <w:r>
        <w:rPr>
          <w:b/>
        </w:rPr>
        <w:t>Original future claim:</w:t>
      </w:r>
      <w:r>
        <w:t xml:space="preserve"> 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r>
        <w:rPr>
          <w:b/>
        </w:rPr>
        <w:t>Later source:</w:t>
      </w:r>
      <w:r>
        <w:t xml:space="preserve"> Abstract DP015: Integrating Systemic and Socio-economic Factors Into Stroke Prognostic Models: Findings From the ELAN International Survey — https://doi.org/10.1161/str.57.suppl_1.dp015</w:t>
      </w:r>
    </w:p>
    <w:p>
      <w:pPr/>
      <w:r>
        <w:rPr>
          <w:b/>
        </w:rPr>
        <w:t>Later source:</w:t>
      </w:r>
      <w:r>
        <w:t xml:space="preserve"> High-resolution modelling of biodiversity under the shared socio-economic scenarios — https://doi.org/10.32942/x2h958</w:t>
      </w:r>
    </w:p>
    <w:p>
      <w:pPr>
        <w:pStyle w:val="SourceNote"/>
      </w:pPr>
      <w:r>
        <w:rPr>
          <w:b/>
        </w:rPr>
        <w:t>Review status:</w:t>
      </w:r>
      <w:r>
        <w:t xml:space="preserve"> unchecked — possible relationship only</w:t>
      </w:r>
    </w:p>
    <w:p>
      <w:pPr>
        <w:pStyle w:val="Heading2"/>
      </w:pPr>
      <w:r>
        <w:t>266. Claim + two later sources: Toward a Diagnostic Tool for Organizational Ethical Culture With Futures Thinking and Scenario Planning</w:t>
      </w:r>
    </w:p>
    <w:p>
      <w:pPr>
        <w:pStyle w:val="SourceNote"/>
      </w:pPr>
      <w:r>
        <w:rPr>
          <w:b/>
        </w:rPr>
        <w:t>Group ID:</w:t>
      </w:r>
      <w:r>
        <w:t xml:space="preserve"> group-640f70f7cb2884765d7e</w:t>
      </w:r>
    </w:p>
    <w:p>
      <w:pPr>
        <w:pStyle w:val="SourceNote"/>
      </w:pPr>
      <w:r>
        <w:rPr>
          <w:b/>
        </w:rPr>
        <w:t>Original source:</w:t>
      </w:r>
      <w:r>
        <w:t xml:space="preserve"> https://doi.org/10.1109/tem.2020.3018309</w:t>
      </w:r>
    </w:p>
    <w:p>
      <w:pPr/>
      <w:r>
        <w:rPr>
          <w:b/>
        </w:rPr>
        <w:t>Original future claim:</w:t>
      </w:r>
      <w:r>
        <w:t xml:space="preserve"> 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r>
        <w:rPr>
          <w:b/>
        </w:rPr>
        <w:t>Later source:</w:t>
      </w:r>
      <w:r>
        <w:t xml:space="preserve"> Mapping the Evidence on Antimicrobial Resistance Transmission in Mass Gatherings: A Scoping Review — https://doi.org/10.17605/osf.io/9hq5t</w:t>
      </w:r>
    </w:p>
    <w:p>
      <w:pPr/>
      <w:r>
        <w:rPr>
          <w:b/>
        </w:rPr>
        <w:t>Later source:</w:t>
      </w:r>
      <w:r>
        <w:t xml:space="preserve"> Adoption of Digital Micro Wakaf Bank by Ultra-Micro and Micro Businesses in Indonesia — https://doi.org/10.62159/sembj.v7i2.2237</w:t>
      </w:r>
    </w:p>
    <w:p>
      <w:pPr>
        <w:pStyle w:val="SourceNote"/>
      </w:pPr>
      <w:r>
        <w:rPr>
          <w:b/>
        </w:rPr>
        <w:t>Review status:</w:t>
      </w:r>
      <w:r>
        <w:t xml:space="preserve"> unchecked — possible relationship only</w:t>
      </w:r>
    </w:p>
    <w:p>
      <w:pPr>
        <w:pStyle w:val="Heading2"/>
      </w:pPr>
      <w:r>
        <w:t>267. Claim + two later sources: Scenarios for the Development of Multimodal Transport in the TRITIA Cross-Border Area</w:t>
      </w:r>
    </w:p>
    <w:p>
      <w:pPr>
        <w:pStyle w:val="SourceNote"/>
      </w:pPr>
      <w:r>
        <w:rPr>
          <w:b/>
        </w:rPr>
        <w:t>Group ID:</w:t>
      </w:r>
      <w:r>
        <w:t xml:space="preserve"> group-748dd2e1c96a607aef92</w:t>
      </w:r>
    </w:p>
    <w:p>
      <w:pPr>
        <w:pStyle w:val="SourceNote"/>
      </w:pPr>
      <w:r>
        <w:rPr>
          <w:b/>
        </w:rPr>
        <w:t>Original source:</w:t>
      </w:r>
      <w:r>
        <w:t xml:space="preserve"> https://doi.org/10.3390/su12177021</w:t>
      </w:r>
    </w:p>
    <w:p>
      <w:pPr/>
      <w:r>
        <w:rPr>
          <w:b/>
        </w:rPr>
        <w:t>Original future claim:</w:t>
      </w:r>
      <w:r>
        <w:t xml:space="preserve"> 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r>
        <w:rPr>
          <w:b/>
        </w:rPr>
        <w:t>Later source:</w:t>
      </w:r>
      <w:r>
        <w:t xml:space="preserve"> Factors determining digitalization in Polish companies in the context of the European industrial strategy — https://doi.org/10.29119/1641-3466.2026.246.5</w:t>
      </w:r>
    </w:p>
    <w:p>
      <w:pPr/>
      <w:r>
        <w:rPr>
          <w:b/>
        </w:rPr>
        <w:t>Later source:</w:t>
      </w:r>
      <w:r>
        <w:t xml:space="preserve"> Pedoclimatic, knowledge and management factors drive European soybean and faba bean yields — https://doi.org/10.1007/s13593-025-01056-9</w:t>
      </w:r>
    </w:p>
    <w:p>
      <w:pPr>
        <w:pStyle w:val="SourceNote"/>
      </w:pPr>
      <w:r>
        <w:rPr>
          <w:b/>
        </w:rPr>
        <w:t>Review status:</w:t>
      </w:r>
      <w:r>
        <w:t xml:space="preserve"> unchecked — possible relationship only</w:t>
      </w:r>
    </w:p>
    <w:p>
      <w:pPr>
        <w:pStyle w:val="Heading2"/>
      </w:pPr>
      <w:r>
        <w:t>268. Claim + two later sources: Central Europe: Possible Scenarios</w:t>
      </w:r>
    </w:p>
    <w:p>
      <w:pPr>
        <w:pStyle w:val="SourceNote"/>
      </w:pPr>
      <w:r>
        <w:rPr>
          <w:b/>
        </w:rPr>
        <w:t>Group ID:</w:t>
      </w:r>
      <w:r>
        <w:t xml:space="preserve"> group-511a87e7f8675fe00c14</w:t>
      </w:r>
    </w:p>
    <w:p>
      <w:pPr>
        <w:pStyle w:val="SourceNote"/>
      </w:pPr>
      <w:r>
        <w:rPr>
          <w:b/>
        </w:rPr>
        <w:t>Original source:</w:t>
      </w:r>
      <w:r>
        <w:t xml:space="preserve"> https://doi.org/10.20542/0131-2227-2022-66-11-14-20</w:t>
      </w:r>
    </w:p>
    <w:p>
      <w:pPr/>
      <w:r>
        <w:rPr>
          <w:b/>
        </w:rPr>
        <w:t>Original future claim:</w:t>
      </w:r>
      <w:r>
        <w:t xml:space="preserve"> 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r>
        <w:rPr>
          <w:b/>
        </w:rPr>
        <w:t>Later source:</w:t>
      </w:r>
      <w:r>
        <w:t xml:space="preserve"> SPES Explorer European Pressing Issues Dashboard — https://doi.org/10.5281/zenodo.18479791</w:t>
      </w:r>
    </w:p>
    <w:p>
      <w:pPr/>
      <w:r>
        <w:rPr>
          <w:b/>
        </w:rPr>
        <w:t>Later source:</w:t>
      </w:r>
      <w:r>
        <w:t xml:space="preserve"> Feeling responsible, feeling better? The climate-happiness link across European Union — https://doi.org/10.71014/sieds.v80i2.563</w:t>
      </w:r>
    </w:p>
    <w:p>
      <w:pPr>
        <w:pStyle w:val="SourceNote"/>
      </w:pPr>
      <w:r>
        <w:rPr>
          <w:b/>
        </w:rPr>
        <w:t>Review status:</w:t>
      </w:r>
      <w:r>
        <w:t xml:space="preserve"> unchecked — possible relationship only</w:t>
      </w:r>
    </w:p>
    <w:p>
      <w:pPr>
        <w:pStyle w:val="Heading2"/>
      </w:pPr>
      <w:r>
        <w:t>269. Claim + two later sources: Cross-border climate vulnerabilities of the European Union to drought</w:t>
      </w:r>
    </w:p>
    <w:p>
      <w:pPr>
        <w:pStyle w:val="SourceNote"/>
      </w:pPr>
      <w:r>
        <w:rPr>
          <w:b/>
        </w:rPr>
        <w:t>Group ID:</w:t>
      </w:r>
      <w:r>
        <w:t xml:space="preserve"> group-fa727bf3cd2d5a1f9128</w:t>
      </w:r>
    </w:p>
    <w:p>
      <w:pPr>
        <w:pStyle w:val="SourceNote"/>
      </w:pPr>
      <w:r>
        <w:rPr>
          <w:b/>
        </w:rPr>
        <w:t>Original source:</w:t>
      </w:r>
      <w:r>
        <w:t xml:space="preserve"> https://doi.org/10.1038/s41467-021-23584-0</w:t>
      </w:r>
    </w:p>
    <w:p>
      <w:pPr/>
      <w:r>
        <w:rPr>
          <w:b/>
        </w:rPr>
        <w:t>Original future claim:</w:t>
      </w:r>
      <w:r>
        <w:t xml:space="preserve"> 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r>
        <w:rPr>
          <w:b/>
        </w:rPr>
        <w:t>Later source:</w:t>
      </w:r>
      <w:r>
        <w:t xml:space="preserve"> Drivers of propagation and impacts of meteorological and agricultural droughts across Europe — https://doi.org/10.5194/egusphere-egu26-12460</w:t>
      </w:r>
    </w:p>
    <w:p>
      <w:pPr/>
      <w:r>
        <w:rPr>
          <w:b/>
        </w:rPr>
        <w:t>Later source:</w:t>
      </w:r>
      <w:r>
        <w:t xml:space="preserve"> Multi-year droughts and their compounding economic impacts in Europe — https://doi.org/10.5194/egusphere-egu26-15194</w:t>
      </w:r>
    </w:p>
    <w:p>
      <w:pPr>
        <w:pStyle w:val="SourceNote"/>
      </w:pPr>
      <w:r>
        <w:rPr>
          <w:b/>
        </w:rPr>
        <w:t>Review status:</w:t>
      </w:r>
      <w:r>
        <w:t xml:space="preserve"> unchecked — possible relationship only</w:t>
      </w:r>
    </w:p>
    <w:p>
      <w:pPr>
        <w:pStyle w:val="Heading2"/>
      </w:pPr>
      <w:r>
        <w:t>270. Claim + two later sources: Development and transport implications of automated vehicles in the Netherlands: scenarios for 2030 and 2050</w:t>
      </w:r>
    </w:p>
    <w:p>
      <w:pPr>
        <w:pStyle w:val="SourceNote"/>
      </w:pPr>
      <w:r>
        <w:rPr>
          <w:b/>
        </w:rPr>
        <w:t>Group ID:</w:t>
      </w:r>
      <w:r>
        <w:t xml:space="preserve"> group-18641847586739c14ee7</w:t>
      </w:r>
    </w:p>
    <w:p>
      <w:pPr>
        <w:pStyle w:val="SourceNote"/>
      </w:pPr>
      <w:r>
        <w:rPr>
          <w:b/>
        </w:rPr>
        <w:t>Original source:</w:t>
      </w:r>
      <w:r>
        <w:t xml:space="preserve"> https://doi.org/10.18757/ejtir.2017.17.1.3180</w:t>
      </w:r>
    </w:p>
    <w:p>
      <w:pPr/>
      <w:r>
        <w:rPr>
          <w:b/>
        </w:rPr>
        <w:t>Original future claim:</w:t>
      </w:r>
      <w:r>
        <w:t xml:space="preserve"> 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r>
        <w:rPr>
          <w:b/>
        </w:rPr>
        <w:t>Later source:</w:t>
      </w:r>
      <w:r>
        <w:t xml:space="preserve"> Electric Vehicle Fleet Penetration and Air Pollution Mortality in Europe — https://doi.org/10.32388/vkflrm</w:t>
      </w:r>
    </w:p>
    <w:p>
      <w:pPr/>
      <w:r>
        <w:rPr>
          <w:b/>
        </w:rPr>
        <w:t>Later source:</w:t>
      </w:r>
      <w:r>
        <w:t xml:space="preserve"> Electric Vehicle Fleet Penetration and Air Pollution Mortality in Europe — https://doi.org/10.32388/vkflrm.2</w:t>
      </w:r>
    </w:p>
    <w:p>
      <w:pPr>
        <w:pStyle w:val="SourceNote"/>
      </w:pPr>
      <w:r>
        <w:rPr>
          <w:b/>
        </w:rPr>
        <w:t>Review status:</w:t>
      </w:r>
      <w:r>
        <w:t xml:space="preserve"> unchecked — possible relationship only</w:t>
      </w:r>
    </w:p>
    <w:p>
      <w:pPr>
        <w:pStyle w:val="Heading2"/>
      </w:pPr>
      <w:r>
        <w:t>271. Claim + two later sources: Energy transition scenarios: What policies, societal attitudes, and technology developments will realize the EU Green Deal?</w:t>
      </w:r>
    </w:p>
    <w:p>
      <w:pPr>
        <w:pStyle w:val="SourceNote"/>
      </w:pPr>
      <w:r>
        <w:rPr>
          <w:b/>
        </w:rPr>
        <w:t>Group ID:</w:t>
      </w:r>
      <w:r>
        <w:t xml:space="preserve"> group-a3cc214257e5788bbeed</w:t>
      </w:r>
    </w:p>
    <w:p>
      <w:pPr>
        <w:pStyle w:val="SourceNote"/>
      </w:pPr>
      <w:r>
        <w:rPr>
          <w:b/>
        </w:rPr>
        <w:t>Original source:</w:t>
      </w:r>
      <w:r>
        <w:t xml:space="preserve"> https://doi.org/10.1016/j.energy.2021.122067</w:t>
      </w:r>
    </w:p>
    <w:p>
      <w:pPr/>
      <w:r>
        <w:rPr>
          <w:b/>
        </w:rPr>
        <w:t>Original future claim:</w:t>
      </w:r>
      <w:r>
        <w:t xml:space="preserve"> 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r>
        <w:rPr>
          <w:b/>
        </w:rPr>
        <w:t>Later source:</w:t>
      </w:r>
      <w:r>
        <w:t xml:space="preserve"> ANALYZING THE FEASIBILITY OF ADOPTING THE HUMAN MEDICINES REGULATORY PATHWAYS OF THE EUROPEAN MEDICINES AGENCY FOR THE AFRICAN MEDICINES AGENCY — https://doi.org/10.5281/zenodo.18206130</w:t>
      </w:r>
    </w:p>
    <w:p>
      <w:pPr/>
      <w:r>
        <w:rPr>
          <w:b/>
        </w:rPr>
        <w:t>Later source:</w:t>
      </w:r>
      <w:r>
        <w:t xml:space="preserve"> European Energy Vision 2060: Charting Diverse Pathways for Europe's Energy Transition — https://doi.org/10.48550/arxiv.2501.12993</w:t>
      </w:r>
    </w:p>
    <w:p>
      <w:pPr>
        <w:pStyle w:val="SourceNote"/>
      </w:pPr>
      <w:r>
        <w:rPr>
          <w:b/>
        </w:rPr>
        <w:t>Review status:</w:t>
      </w:r>
      <w:r>
        <w:t xml:space="preserve"> unchecked — possible relationship only</w:t>
      </w:r>
    </w:p>
    <w:p>
      <w:pPr>
        <w:pStyle w:val="Heading2"/>
      </w:pPr>
      <w:r>
        <w:t>272. Claim + two later sources: Five transition pathways to renewable energy futures—scenarios from a Delphi study on key drivers and policy options</w:t>
      </w:r>
    </w:p>
    <w:p>
      <w:pPr>
        <w:pStyle w:val="SourceNote"/>
      </w:pPr>
      <w:r>
        <w:rPr>
          <w:b/>
        </w:rPr>
        <w:t>Group ID:</w:t>
      </w:r>
      <w:r>
        <w:t xml:space="preserve"> group-25f98c219b79659dbcc2</w:t>
      </w:r>
    </w:p>
    <w:p>
      <w:pPr>
        <w:pStyle w:val="SourceNote"/>
      </w:pPr>
      <w:r>
        <w:rPr>
          <w:b/>
        </w:rPr>
        <w:t>Original source:</w:t>
      </w:r>
      <w:r>
        <w:t xml:space="preserve"> https://doi.org/10.1186/s40309-021-00185-0</w:t>
      </w:r>
    </w:p>
    <w:p>
      <w:pPr/>
      <w:r>
        <w:rPr>
          <w:b/>
        </w:rPr>
        <w:t>Original future claim:</w:t>
      </w:r>
      <w:r>
        <w:t xml:space="preserve"> In this article, five energy scenarios are presented for Finland until 2030. It is therefore important to anticipate probable, preferable, or avoidable future paths that will contribute to the discussion of the direction and conditions of such futures.</w:t>
      </w:r>
    </w:p>
    <w:p>
      <w:pPr/>
      <w:r>
        <w:rPr>
          <w:b/>
        </w:rPr>
        <w:t>Later source:</w:t>
      </w:r>
      <w:r>
        <w:t xml:space="preserve"> Framing the Climate Crisis in European Media: A Comparative Study of Five Major News Outlets — https://doi.org/10.5281/zenodo.22795894</w:t>
      </w:r>
    </w:p>
    <w:p>
      <w:pPr/>
      <w:r>
        <w:rPr>
          <w:b/>
        </w:rPr>
        <w:t>Later source:</w:t>
      </w:r>
      <w:r>
        <w:t xml:space="preserve"> A computational analysis of the media coverage of the European Parliament's ‘green' Designation on sustainable energy and climate change — https://doi.org/10.1016/j.enpol.2025.114592</w:t>
      </w:r>
    </w:p>
    <w:p>
      <w:pPr>
        <w:pStyle w:val="SourceNote"/>
      </w:pPr>
      <w:r>
        <w:rPr>
          <w:b/>
        </w:rPr>
        <w:t>Review status:</w:t>
      </w:r>
      <w:r>
        <w:t xml:space="preserve"> unchecked — possible relationship only</w:t>
      </w:r>
    </w:p>
    <w:p>
      <w:pPr>
        <w:pStyle w:val="Heading2"/>
      </w:pPr>
      <w:r>
        <w:t>273. Claim + two later sources: European Union, transnational terrorism and the strategic choice of counterterrorism policies in democratic countries</w:t>
      </w:r>
    </w:p>
    <w:p>
      <w:pPr>
        <w:pStyle w:val="SourceNote"/>
      </w:pPr>
      <w:r>
        <w:rPr>
          <w:b/>
        </w:rPr>
        <w:t>Group ID:</w:t>
      </w:r>
      <w:r>
        <w:t xml:space="preserve"> group-d4de4893c500d527a2cf</w:t>
      </w:r>
    </w:p>
    <w:p>
      <w:pPr>
        <w:pStyle w:val="SourceNote"/>
      </w:pPr>
      <w:r>
        <w:rPr>
          <w:b/>
        </w:rPr>
        <w:t>Original source:</w:t>
      </w:r>
      <w:r>
        <w:t xml:space="preserve"> https://doi.org/10.1177/14651165221120370</w:t>
      </w:r>
    </w:p>
    <w:p>
      <w:pPr/>
      <w:r>
        <w:rPr>
          <w:b/>
        </w:rPr>
        <w:t>Original future claim:</w:t>
      </w:r>
      <w:r>
        <w:t xml:space="preserve"> 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r>
        <w:rPr>
          <w:b/>
        </w:rPr>
        <w:t>Later source:</w:t>
      </w:r>
      <w:r>
        <w:t xml:space="preserve"> Resilience in Post-Truth and Post-Digital European Union: Youth-Led Civil Society Organisations in the 2024 European Elections — https://doi.org/10.1285/i20356609v19i1p94</w:t>
      </w:r>
    </w:p>
    <w:p>
      <w:pPr/>
      <w:r>
        <w:rPr>
          <w:b/>
        </w:rPr>
        <w:t>Later source:</w:t>
      </w:r>
      <w:r>
        <w:t xml:space="preserve"> The Role of the European Union and the Council of Europe in Promoting Democracy: The Case of the South Caucasus States — https://doi.org/10.54503/2579-2903-2026.1-183</w:t>
      </w:r>
    </w:p>
    <w:p>
      <w:pPr>
        <w:pStyle w:val="SourceNote"/>
      </w:pPr>
      <w:r>
        <w:rPr>
          <w:b/>
        </w:rPr>
        <w:t>Review status:</w:t>
      </w:r>
      <w:r>
        <w:t xml:space="preserve"> unchecked — possible relationship only</w:t>
      </w:r>
    </w:p>
    <w:p>
      <w:pPr>
        <w:pStyle w:val="Heading2"/>
      </w:pPr>
      <w:r>
        <w:t>274. Claim + two later sources: Biotechnology versus agroecology: Entrenchments and surprise at a 2030 forecast scenario workshop</w:t>
      </w:r>
    </w:p>
    <w:p>
      <w:pPr>
        <w:pStyle w:val="SourceNote"/>
      </w:pPr>
      <w:r>
        <w:rPr>
          <w:b/>
        </w:rPr>
        <w:t>Group ID:</w:t>
      </w:r>
      <w:r>
        <w:t xml:space="preserve"> group-d2b3466245cf95b2f024</w:t>
      </w:r>
    </w:p>
    <w:p>
      <w:pPr>
        <w:pStyle w:val="SourceNote"/>
      </w:pPr>
      <w:r>
        <w:rPr>
          <w:b/>
        </w:rPr>
        <w:t>Original source:</w:t>
      </w:r>
      <w:r>
        <w:t xml:space="preserve"> https://doi.org/10.1093/scipol/scv021</w:t>
      </w:r>
    </w:p>
    <w:p>
      <w:pPr/>
      <w:r>
        <w:rPr>
          <w:b/>
        </w:rPr>
        <w:t>Original future claim:</w:t>
      </w:r>
      <w:r>
        <w:t xml:space="preserve"> 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r>
        <w:rPr>
          <w:b/>
        </w:rPr>
        <w:t>Later source:</w:t>
      </w:r>
      <w:r>
        <w:t xml:space="preserve"> Improving the methodology for the comprehensive assessment of the working conditions of workers in the foundry — https://doi.org/10.21122/1683-6065-2026-2-143-150</w:t>
      </w:r>
    </w:p>
    <w:p>
      <w:pPr/>
      <w:r>
        <w:rPr>
          <w:b/>
        </w:rPr>
        <w:t>Later source:</w:t>
      </w:r>
      <w:r>
        <w:t xml:space="preserve"> Experience on Training among the Participants of Teaching Methodology and Assessment — https://doi.org/10.3329/cmoshmcj.v23i1.78514</w:t>
      </w:r>
    </w:p>
    <w:p>
      <w:pPr>
        <w:pStyle w:val="SourceNote"/>
      </w:pPr>
      <w:r>
        <w:rPr>
          <w:b/>
        </w:rPr>
        <w:t>Review status:</w:t>
      </w:r>
      <w:r>
        <w:t xml:space="preserve"> unchecked — possible relationship only</w:t>
      </w:r>
    </w:p>
    <w:p>
      <w:pPr>
        <w:pStyle w:val="Heading2"/>
      </w:pPr>
      <w:r>
        <w:t>275. Claim + two later sources: Occupational Structure in European Countries: What do Forecasts Predict?</w:t>
      </w:r>
    </w:p>
    <w:p>
      <w:pPr>
        <w:pStyle w:val="SourceNote"/>
      </w:pPr>
      <w:r>
        <w:rPr>
          <w:b/>
        </w:rPr>
        <w:t>Group ID:</w:t>
      </w:r>
      <w:r>
        <w:t xml:space="preserve"> group-35d8d812fbe3c670ad8a</w:t>
      </w:r>
    </w:p>
    <w:p>
      <w:pPr>
        <w:pStyle w:val="SourceNote"/>
      </w:pPr>
      <w:r>
        <w:rPr>
          <w:b/>
        </w:rPr>
        <w:t>Original source:</w:t>
      </w:r>
      <w:r>
        <w:t xml:space="preserve"> https://doi.org/10.17323/1996-7845-2017-04-109</w:t>
      </w:r>
    </w:p>
    <w:p>
      <w:pPr/>
      <w:r>
        <w:rPr>
          <w:b/>
        </w:rPr>
        <w:t>Original future claim:</w:t>
      </w:r>
      <w:r>
        <w:t xml:space="preserve"> 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r>
        <w:rPr>
          <w:b/>
        </w:rPr>
        <w:t>Later source:</w:t>
      </w:r>
      <w:r>
        <w:t xml:space="preserve"> European Code Against Cancer, 5th edition – occupational exposures and cancer — https://doi.org/10.1002/1878-0261.70174</w:t>
      </w:r>
    </w:p>
    <w:p>
      <w:pPr/>
      <w:r>
        <w:rPr>
          <w:b/>
        </w:rPr>
        <w:t>Later source:</w:t>
      </w:r>
      <w:r>
        <w:t xml:space="preserve"> A survey on occupational medicine residency programs across european countries — https://doi.org/10.1186/s12909-026-09587-9</w:t>
      </w:r>
    </w:p>
    <w:p>
      <w:pPr>
        <w:pStyle w:val="SourceNote"/>
      </w:pPr>
      <w:r>
        <w:rPr>
          <w:b/>
        </w:rPr>
        <w:t>Review status:</w:t>
      </w:r>
      <w:r>
        <w:t xml:space="preserve"> unchecked — possible relationship only</w:t>
      </w:r>
    </w:p>
    <w:p>
      <w:pPr>
        <w:pStyle w:val="Heading2"/>
      </w:pPr>
      <w:r>
        <w:t>276. Claim + two later sources: What energy infrastructure will be needed by 2050 in the EU to support 1.5°C scenarios?</w:t>
      </w:r>
    </w:p>
    <w:p>
      <w:pPr>
        <w:pStyle w:val="SourceNote"/>
      </w:pPr>
      <w:r>
        <w:rPr>
          <w:b/>
        </w:rPr>
        <w:t>Group ID:</w:t>
      </w:r>
      <w:r>
        <w:t xml:space="preserve"> group-1676b2f607cf01f8de0c</w:t>
      </w:r>
    </w:p>
    <w:p>
      <w:pPr>
        <w:pStyle w:val="SourceNote"/>
      </w:pPr>
      <w:r>
        <w:rPr>
          <w:b/>
        </w:rPr>
        <w:t>Original source:</w:t>
      </w:r>
      <w:r>
        <w:t xml:space="preserve"> https://doi.org/10.12688/f1000research.109399.1</w:t>
      </w:r>
    </w:p>
    <w:p>
      <w:pPr/>
      <w:r>
        <w:rPr>
          <w:b/>
        </w:rPr>
        <w:t>Original future claim:</w:t>
      </w:r>
      <w:r>
        <w:t xml:space="preserve"> The objective of the study is to quantify energy infrastructure needs required in various climate neutral scenarios at the 2050 time horizon. Background: The European Commission has settled ambitious objectives in order to reach climate neutrality by 2050.</w:t>
      </w:r>
    </w:p>
    <w:p>
      <w:pPr/>
      <w:r>
        <w:rPr>
          <w:b/>
        </w:rPr>
        <w:t>Later source:</w:t>
      </w:r>
      <w:r>
        <w:t xml:space="preserve"> A combinatorial multi-objective optimisation model to support the design of urban renewable energy communities — https://doi.org/10.1016/j.apenergy.2026.127635</w:t>
      </w:r>
    </w:p>
    <w:p>
      <w:pPr/>
      <w:r>
        <w:rPr>
          <w:b/>
        </w:rPr>
        <w:t>Later source:</w:t>
      </w:r>
      <w:r>
        <w:t xml:space="preserve"> Energy and Emission Disutilities of Transport Modes Under Transport Innovation in the European Union — https://doi.org/10.3390/en19051346</w:t>
      </w:r>
    </w:p>
    <w:p>
      <w:pPr>
        <w:pStyle w:val="SourceNote"/>
      </w:pPr>
      <w:r>
        <w:rPr>
          <w:b/>
        </w:rPr>
        <w:t>Review status:</w:t>
      </w:r>
      <w:r>
        <w:t xml:space="preserve"> unchecked — possible relationship only</w:t>
      </w:r>
    </w:p>
    <w:p>
      <w:pPr>
        <w:pStyle w:val="Heading2"/>
      </w:pPr>
      <w:r>
        <w:t>277. Claim + two later sources: About global forecast of European Parliament TO 2035</w:t>
      </w:r>
    </w:p>
    <w:p>
      <w:pPr>
        <w:pStyle w:val="SourceNote"/>
      </w:pPr>
      <w:r>
        <w:rPr>
          <w:b/>
        </w:rPr>
        <w:t>Group ID:</w:t>
      </w:r>
      <w:r>
        <w:t xml:space="preserve"> group-47bc9abc9c43fab419a1</w:t>
      </w:r>
    </w:p>
    <w:p>
      <w:pPr>
        <w:pStyle w:val="SourceNote"/>
      </w:pPr>
      <w:r>
        <w:rPr>
          <w:b/>
        </w:rPr>
        <w:t>Original source:</w:t>
      </w:r>
      <w:r>
        <w:t xml:space="preserve"> https://doi.org/10.25634/mirbis.2019.1.3</w:t>
      </w:r>
    </w:p>
    <w:p>
      <w:pPr/>
      <w:r>
        <w:rPr>
          <w:b/>
        </w:rPr>
        <w:t>Original future claim:</w:t>
      </w:r>
      <w:r>
        <w:t xml:space="preserve"> These forecasts show trends and breakthroughs in development of science and technology, determine possible changes in eco- nomics, social and political life of the world and in its diferent regions, help to determine crisis points.</w:t>
      </w:r>
    </w:p>
    <w:p>
      <w:pPr/>
      <w:r>
        <w:rPr>
          <w:b/>
        </w:rPr>
        <w:t>Later source:</w:t>
      </w:r>
      <w:r>
        <w:t xml:space="preserve"> STUDYING THE APPROACHES OF EUROPEAN COUNTRIES IN FORESIGHT STUDIES OF THE DEVELOPMENT OF SCIENCE AND GREEN TECHNOLOGIES FOR ADOPTING THEIR EXPERIENCE IN THE CONTEXT OF KAZAKHSTAN — https://doi.org/10.52676/1729-7885-2024-1-4-12</w:t>
      </w:r>
    </w:p>
    <w:p>
      <w:pPr/>
      <w:r>
        <w:rPr>
          <w:b/>
        </w:rPr>
        <w:t>Later source:</w:t>
      </w:r>
      <w:r>
        <w:t xml:space="preserve"> Parabolic Modeling Forecasts of Space and Time European Hydropower Production — https://doi.org/10.3390/pr12061098</w:t>
      </w:r>
    </w:p>
    <w:p>
      <w:pPr>
        <w:pStyle w:val="SourceNote"/>
      </w:pPr>
      <w:r>
        <w:rPr>
          <w:b/>
        </w:rPr>
        <w:t>Review status:</w:t>
      </w:r>
      <w:r>
        <w:t xml:space="preserve"> unchecked — possible relationship only</w:t>
      </w:r>
    </w:p>
    <w:p>
      <w:pPr>
        <w:pStyle w:val="Heading2"/>
      </w:pPr>
      <w:r>
        <w:t>278. Claim + two later sources: Above the Fog and the Fury: EU Strategic Policy Planning and the EU’s Future in Times of Global Uncertainty</w:t>
      </w:r>
    </w:p>
    <w:p>
      <w:pPr>
        <w:pStyle w:val="SourceNote"/>
      </w:pPr>
      <w:r>
        <w:rPr>
          <w:b/>
        </w:rPr>
        <w:t>Group ID:</w:t>
      </w:r>
      <w:r>
        <w:t xml:space="preserve"> group-a5ca639fa2da678072ec</w:t>
      </w:r>
    </w:p>
    <w:p>
      <w:pPr>
        <w:pStyle w:val="SourceNote"/>
      </w:pPr>
      <w:r>
        <w:rPr>
          <w:b/>
        </w:rPr>
        <w:t>Original source:</w:t>
      </w:r>
      <w:r>
        <w:t xml:space="preserve"> https://doi.org/10.54648/eerr2021005</w:t>
      </w:r>
    </w:p>
    <w:p>
      <w:pPr/>
      <w:r>
        <w:rPr>
          <w:b/>
        </w:rPr>
        <w:t>Original future claim:</w:t>
      </w:r>
      <w:r>
        <w:t xml:space="preserve"> Put simply, strategic planning and strategic foresight are disciplines that aim at identifying possible futures, mapping options and charting possible responses and strategic goals and as such support informed and sound policy-making.</w:t>
      </w:r>
    </w:p>
    <w:p>
      <w:pPr/>
      <w:r>
        <w:rPr>
          <w:b/>
        </w:rPr>
        <w:t>Later source:</w:t>
      </w:r>
      <w:r>
        <w:t xml:space="preserve"> The New Anticipatory Governance Culture for Innovation: Regulatory Foresight, Regulatory Experimentation and Regulatory Learning — https://doi.org/10.1007/s40804-025-00348-7</w:t>
      </w:r>
    </w:p>
    <w:p>
      <w:pPr/>
      <w:r>
        <w:rPr>
          <w:b/>
        </w:rPr>
        <w:t>Later source:</w:t>
      </w:r>
      <w:r>
        <w:t xml:space="preserve"> Foresight in heritage: fostering future consciousness to proactively face change — https://doi.org/10.1108/jchmsd-12-2024-0298</w:t>
      </w:r>
    </w:p>
    <w:p>
      <w:pPr>
        <w:pStyle w:val="SourceNote"/>
      </w:pPr>
      <w:r>
        <w:rPr>
          <w:b/>
        </w:rPr>
        <w:t>Review status:</w:t>
      </w:r>
      <w:r>
        <w:t xml:space="preserve"> unchecked — possible relationship only</w:t>
      </w:r>
    </w:p>
    <w:p>
      <w:pPr>
        <w:pStyle w:val="Heading2"/>
      </w:pPr>
      <w:r>
        <w:t>279. Claim + two later sources: Assessing the impacts of technology improvements on the deployment of marine energy in Europe with an energy system perspective</w:t>
      </w:r>
    </w:p>
    <w:p>
      <w:pPr>
        <w:pStyle w:val="SourceNote"/>
      </w:pPr>
      <w:r>
        <w:rPr>
          <w:b/>
        </w:rPr>
        <w:t>Group ID:</w:t>
      </w:r>
      <w:r>
        <w:t xml:space="preserve"> group-372fe66ef850384047d3</w:t>
      </w:r>
    </w:p>
    <w:p>
      <w:pPr>
        <w:pStyle w:val="SourceNote"/>
      </w:pPr>
      <w:r>
        <w:rPr>
          <w:b/>
        </w:rPr>
        <w:t>Original source:</w:t>
      </w:r>
      <w:r>
        <w:t xml:space="preserve"> https://doi.org/10.1016/j.renene.2015.11.076</w:t>
      </w:r>
    </w:p>
    <w:p>
      <w:pPr/>
      <w:r>
        <w:rPr>
          <w:b/>
        </w:rPr>
        <w:t>Original future claim:</w:t>
      </w:r>
      <w:r>
        <w:t xml:space="preserve"> 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r>
        <w:rPr>
          <w:b/>
        </w:rPr>
        <w:t>Later source:</w:t>
      </w:r>
      <w:r>
        <w:t xml:space="preserve"> Long‐term changes in taxonomic and functional composition of European marine fish communities — https://doi.org/10.1111/ecog.07234</w:t>
      </w:r>
    </w:p>
    <w:p>
      <w:pPr/>
      <w:r>
        <w:rPr>
          <w:b/>
        </w:rPr>
        <w:t>Later source:</w:t>
      </w:r>
      <w:r>
        <w:t xml:space="preserve"> Characteristics and trends of marine heatwaves in the northwest European Shelf and the impacts on density stratification — https://doi.org/10.5194/sp-4-osr8-7-2024</w:t>
      </w:r>
    </w:p>
    <w:p>
      <w:pPr>
        <w:pStyle w:val="SourceNote"/>
      </w:pPr>
      <w:r>
        <w:rPr>
          <w:b/>
        </w:rPr>
        <w:t>Review status:</w:t>
      </w:r>
      <w:r>
        <w:t xml:space="preserve"> unchecked — possible relationship only</w:t>
      </w:r>
    </w:p>
    <w:p>
      <w:pPr>
        <w:pStyle w:val="Heading2"/>
      </w:pPr>
      <w:r>
        <w:t>280. Claim + two later sources: Implementing Systemic Innovation Strategies for a More Sustainable Future: The Case of Three Overseas Countries and Territories</w:t>
      </w:r>
    </w:p>
    <w:p>
      <w:pPr>
        <w:pStyle w:val="SourceNote"/>
      </w:pPr>
      <w:r>
        <w:rPr>
          <w:b/>
        </w:rPr>
        <w:t>Group ID:</w:t>
      </w:r>
      <w:r>
        <w:t xml:space="preserve"> group-5acfa21cdaf600422e82</w:t>
      </w:r>
    </w:p>
    <w:p>
      <w:pPr>
        <w:pStyle w:val="SourceNote"/>
      </w:pPr>
      <w:r>
        <w:rPr>
          <w:b/>
        </w:rPr>
        <w:t>Original source:</w:t>
      </w:r>
      <w:r>
        <w:t xml:space="preserve"> https://doi.org/10.3389/frma.2021.801789</w:t>
      </w:r>
    </w:p>
    <w:p>
      <w:pPr/>
      <w:r>
        <w:rPr>
          <w:b/>
        </w:rPr>
        <w:t>Original future claim:</w:t>
      </w:r>
      <w:r>
        <w:t xml:space="preserve"> We conclude by discussing the potential implications of this foresight approach for the sustainable development and transformation of other less-favoured regions and territories.</w:t>
      </w:r>
    </w:p>
    <w:p>
      <w:pPr/>
      <w:r>
        <w:rPr>
          <w:b/>
        </w:rPr>
        <w:t>Later source:</w:t>
      </w:r>
      <w:r>
        <w:t xml:space="preserve"> Strategic Foresight for FinTech Governance: A Scenario-Based MCDA Approach for Kuwait — https://doi.org/10.3390/fintech5010008</w:t>
      </w:r>
    </w:p>
    <w:p>
      <w:pPr/>
      <w:r>
        <w:rPr>
          <w:b/>
        </w:rPr>
        <w:t>Later source:</w:t>
      </w:r>
      <w:r>
        <w:t xml:space="preserve"> The Three Fashion Times: A multitemporal framework towards a fashion foresight approach — https://doi.org/10.1016/j.futures.2026.103772</w:t>
      </w:r>
    </w:p>
    <w:p>
      <w:pPr>
        <w:pStyle w:val="SourceNote"/>
      </w:pPr>
      <w:r>
        <w:rPr>
          <w:b/>
        </w:rPr>
        <w:t>Review status:</w:t>
      </w:r>
      <w:r>
        <w:t xml:space="preserve"> unchecked — possible relationship only</w:t>
      </w:r>
    </w:p>
    <w:p>
      <w:pPr>
        <w:pStyle w:val="Heading2"/>
      </w:pPr>
      <w:r>
        <w:t>281. Claim + two later sources: Dynamics of the land use, land use change, and forestry sink in the European Union: the impacts of energy and climate targets for 2030</w:t>
      </w:r>
    </w:p>
    <w:p>
      <w:pPr>
        <w:pStyle w:val="SourceNote"/>
      </w:pPr>
      <w:r>
        <w:rPr>
          <w:b/>
        </w:rPr>
        <w:t>Group ID:</w:t>
      </w:r>
      <w:r>
        <w:t xml:space="preserve"> group-12263a9c8fdb221a6594</w:t>
      </w:r>
    </w:p>
    <w:p>
      <w:pPr>
        <w:pStyle w:val="SourceNote"/>
      </w:pPr>
      <w:r>
        <w:rPr>
          <w:b/>
        </w:rPr>
        <w:t>Original source:</w:t>
      </w:r>
      <w:r>
        <w:t xml:space="preserve"> https://doi.org/10.1007/s10584-016-1729-7</w:t>
      </w:r>
    </w:p>
    <w:p>
      <w:pPr/>
      <w:r>
        <w:rPr>
          <w:b/>
        </w:rPr>
        <w:t>Original future claim:</w:t>
      </w:r>
      <w:r>
        <w:t xml:space="preserve"> 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r>
        <w:rPr>
          <w:b/>
        </w:rPr>
        <w:t>Later source:</w:t>
      </w:r>
      <w:r>
        <w:t xml:space="preserve"> European environmental sustainability through unraveling the nexus of total energy consumption, value addition, and GHG emissions in agriculture — https://doi.org/10.1177/0958305x261438604</w:t>
      </w:r>
    </w:p>
    <w:p>
      <w:pPr/>
      <w:r>
        <w:rPr>
          <w:b/>
        </w:rPr>
        <w:t>Later source:</w:t>
      </w:r>
      <w:r>
        <w:t xml:space="preserve"> Decarbonizing European refineries: GHG accounting framework and potential assessment for co-processed biofuels — https://doi.org/10.1016/j.enconman.2026.122090</w:t>
      </w:r>
    </w:p>
    <w:p>
      <w:pPr>
        <w:pStyle w:val="SourceNote"/>
      </w:pPr>
      <w:r>
        <w:rPr>
          <w:b/>
        </w:rPr>
        <w:t>Review status:</w:t>
      </w:r>
      <w:r>
        <w:t xml:space="preserve"> unchecked — possible relationship only</w:t>
      </w:r>
    </w:p>
    <w:p>
      <w:pPr>
        <w:pStyle w:val="Heading2"/>
      </w:pPr>
      <w:r>
        <w:t>282. Claim + two later sources: The future of the drug phenomenon and drug monitoring in Europe until 2030</w:t>
      </w:r>
    </w:p>
    <w:p>
      <w:pPr>
        <w:pStyle w:val="SourceNote"/>
      </w:pPr>
      <w:r>
        <w:rPr>
          <w:b/>
        </w:rPr>
        <w:t>Group ID:</w:t>
      </w:r>
      <w:r>
        <w:t xml:space="preserve"> group-a61374f139e582a267a5</w:t>
      </w:r>
    </w:p>
    <w:p>
      <w:pPr>
        <w:pStyle w:val="SourceNote"/>
      </w:pPr>
      <w:r>
        <w:rPr>
          <w:b/>
        </w:rPr>
        <w:t>Original source:</w:t>
      </w:r>
      <w:r>
        <w:t xml:space="preserve"> https://doi.org/10.1093/eurpub/ckab165.648</w:t>
      </w:r>
    </w:p>
    <w:p>
      <w:pPr/>
      <w:r>
        <w:rPr>
          <w:b/>
        </w:rPr>
        <w:t>Original future claim:</w:t>
      </w:r>
      <w:r>
        <w:t xml:space="preserve"> 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r>
        <w:rPr>
          <w:b/>
        </w:rPr>
        <w:t>Later source:</w:t>
      </w:r>
      <w:r>
        <w:t xml:space="preserve"> Artigos de pesquisa original — https://doi.org/10.22533/at.ed.15953226210110</w:t>
      </w:r>
    </w:p>
    <w:p>
      <w:pPr/>
      <w:r>
        <w:rPr>
          <w:b/>
        </w:rPr>
        <w:t>Later source:</w:t>
      </w:r>
      <w:r>
        <w:t xml:space="preserve"> Suicidal behaviour and resilience-related factors among adolescents in Poland and war-affected Western Ukraine — https://doi.org/10.1186/s13034-026-01126-0</w:t>
      </w:r>
    </w:p>
    <w:p>
      <w:pPr>
        <w:pStyle w:val="SourceNote"/>
      </w:pPr>
      <w:r>
        <w:rPr>
          <w:b/>
        </w:rPr>
        <w:t>Review status:</w:t>
      </w:r>
      <w:r>
        <w:t xml:space="preserve"> unchecked — possible relationship only</w:t>
      </w:r>
    </w:p>
    <w:p>
      <w:pPr>
        <w:pStyle w:val="Heading2"/>
      </w:pPr>
      <w:r>
        <w:t>283. Claim + two later sources: Macrofinancial linkages in Europe: Evidence from quantile local projections</w:t>
      </w:r>
    </w:p>
    <w:p>
      <w:pPr>
        <w:pStyle w:val="SourceNote"/>
      </w:pPr>
      <w:r>
        <w:rPr>
          <w:b/>
        </w:rPr>
        <w:t>Group ID:</w:t>
      </w:r>
      <w:r>
        <w:t xml:space="preserve"> group-9e3347c4ae08b7f78188</w:t>
      </w:r>
    </w:p>
    <w:p>
      <w:pPr>
        <w:pStyle w:val="SourceNote"/>
      </w:pPr>
      <w:r>
        <w:rPr>
          <w:b/>
        </w:rPr>
        <w:t>Original source:</w:t>
      </w:r>
      <w:r>
        <w:t xml:space="preserve"> https://doi.org/10.1002/ijfe.2080</w:t>
      </w:r>
    </w:p>
    <w:p>
      <w:pPr/>
      <w:r>
        <w:rPr>
          <w:b/>
        </w:rPr>
        <w:t>Original future claim:</w:t>
      </w:r>
      <w:r>
        <w:t xml:space="preserve"> 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r>
        <w:rPr>
          <w:b/>
        </w:rPr>
        <w:t>Later source:</w:t>
      </w:r>
      <w:r>
        <w:t xml:space="preserve"> The Economic Impact of Russia's Invasion of Ukraine on European Countries – a SVAR Approach — https://doi.org/10.1111/roie.70064</w:t>
      </w:r>
    </w:p>
    <w:p>
      <w:pPr/>
      <w:r>
        <w:rPr>
          <w:b/>
        </w:rPr>
        <w:t>Later source:</w:t>
      </w:r>
      <w:r>
        <w:t xml:space="preserve"> Extreme weather in Europe: Determinants and economic impact — https://doi.org/10.1016/j.euroecorev.2026.105327</w:t>
      </w:r>
    </w:p>
    <w:p>
      <w:pPr>
        <w:pStyle w:val="SourceNote"/>
      </w:pPr>
      <w:r>
        <w:rPr>
          <w:b/>
        </w:rPr>
        <w:t>Review status:</w:t>
      </w:r>
      <w:r>
        <w:t xml:space="preserve"> unchecked — possible relationship only</w:t>
      </w:r>
    </w:p>
    <w:p>
      <w:pPr>
        <w:pStyle w:val="Heading2"/>
      </w:pPr>
      <w:r>
        <w:t>284. Claim + two later sources: Future Precipitation Scenarios over Italy</w:t>
      </w:r>
    </w:p>
    <w:p>
      <w:pPr>
        <w:pStyle w:val="SourceNote"/>
      </w:pPr>
      <w:r>
        <w:rPr>
          <w:b/>
        </w:rPr>
        <w:t>Group ID:</w:t>
      </w:r>
      <w:r>
        <w:t xml:space="preserve"> group-18426a979fd93d12d963</w:t>
      </w:r>
    </w:p>
    <w:p>
      <w:pPr>
        <w:pStyle w:val="SourceNote"/>
      </w:pPr>
      <w:r>
        <w:rPr>
          <w:b/>
        </w:rPr>
        <w:t>Original source:</w:t>
      </w:r>
      <w:r>
        <w:t xml:space="preserve"> https://doi.org/10.3390/w13101335</w:t>
      </w:r>
    </w:p>
    <w:p>
      <w:pPr/>
      <w:r>
        <w:rPr>
          <w:b/>
        </w:rPr>
        <w:t>Original future claim:</w:t>
      </w:r>
      <w:r>
        <w:t xml:space="preserve"> 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r>
        <w:rPr>
          <w:b/>
        </w:rPr>
        <w:t>Later source:</w:t>
      </w:r>
      <w:r>
        <w:t xml:space="preserve"> High-resolution modelling of organic aerosol over Europe: exploring spatial and temporal variability and drivers — https://doi.org/10.1016/j.envint.2026.110143</w:t>
      </w:r>
    </w:p>
    <w:p>
      <w:pPr/>
      <w:r>
        <w:rPr>
          <w:b/>
        </w:rPr>
        <w:t>Later source:</w:t>
      </w:r>
      <w:r>
        <w:t xml:space="preserve"> European Ground Motion Service: GNSS model 2015-2025 (vector), Europe, 2-yearly, Oct. 2026 — https://doi.org/10.2909/836a384f-bcd1-4da3-9ed8-ac2f1f292c55</w:t>
      </w:r>
    </w:p>
    <w:p>
      <w:pPr>
        <w:pStyle w:val="SourceNote"/>
      </w:pPr>
      <w:r>
        <w:rPr>
          <w:b/>
        </w:rPr>
        <w:t>Review status:</w:t>
      </w:r>
      <w:r>
        <w:t xml:space="preserve"> unchecked — possible relationship only</w:t>
      </w:r>
    </w:p>
    <w:p>
      <w:pPr>
        <w:pStyle w:val="Heading2"/>
      </w:pPr>
      <w:r>
        <w:t>285. Claim + two later sources: Foresighting organizational learning equilibrium in European universities</w:t>
      </w:r>
    </w:p>
    <w:p>
      <w:pPr>
        <w:pStyle w:val="SourceNote"/>
      </w:pPr>
      <w:r>
        <w:rPr>
          <w:b/>
        </w:rPr>
        <w:t>Group ID:</w:t>
      </w:r>
      <w:r>
        <w:t xml:space="preserve"> group-0819d25413cb749bd81f</w:t>
      </w:r>
    </w:p>
    <w:p>
      <w:pPr>
        <w:pStyle w:val="SourceNote"/>
      </w:pPr>
      <w:r>
        <w:rPr>
          <w:b/>
        </w:rPr>
        <w:t>Original source:</w:t>
      </w:r>
      <w:r>
        <w:t xml:space="preserve"> https://doi.org/10.1007/s40309-016-0108-y</w:t>
      </w:r>
    </w:p>
    <w:p>
      <w:pPr/>
      <w:r>
        <w:rPr>
          <w:b/>
        </w:rPr>
        <w:t>Original future claim:</w:t>
      </w:r>
      <w:r>
        <w:t xml:space="preserve"> 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r>
        <w:rPr>
          <w:b/>
        </w:rPr>
        <w:t>Later source:</w:t>
      </w:r>
      <w:r>
        <w:t xml:space="preserve"> Tools for pathogen genetic surveillance: Lessons from the ash dieback invasion of Europe — https://doi.org/10.1371/journal.ppat.1012182</w:t>
      </w:r>
    </w:p>
    <w:p>
      <w:pPr/>
      <w:r>
        <w:rPr>
          <w:b/>
        </w:rPr>
        <w:t>Later source:</w:t>
      </w:r>
      <w:r>
        <w:t xml:space="preserve"> Effects of Climate Change on Areas Suitable for Maize Cultivation and Aflatoxin Contamination in Europe — https://doi.org/10.3390/toxins15100599</w:t>
      </w:r>
    </w:p>
    <w:p>
      <w:pPr>
        <w:pStyle w:val="SourceNote"/>
      </w:pPr>
      <w:r>
        <w:rPr>
          <w:b/>
        </w:rPr>
        <w:t>Review status:</w:t>
      </w:r>
      <w:r>
        <w:t xml:space="preserve"> unchecked — possible relationship only</w:t>
      </w:r>
    </w:p>
    <w:p>
      <w:pPr>
        <w:pStyle w:val="Heading2"/>
      </w:pPr>
      <w:r>
        <w:t>286. Claim + two later sources: Backcasting scenarios for Finland 2050 of low emissions</w:t>
      </w:r>
    </w:p>
    <w:p>
      <w:pPr>
        <w:pStyle w:val="SourceNote"/>
      </w:pPr>
      <w:r>
        <w:rPr>
          <w:b/>
        </w:rPr>
        <w:t>Group ID:</w:t>
      </w:r>
      <w:r>
        <w:t xml:space="preserve"> group-6bf7580dd849c69efef5</w:t>
      </w:r>
    </w:p>
    <w:p>
      <w:pPr>
        <w:pStyle w:val="SourceNote"/>
      </w:pPr>
      <w:r>
        <w:rPr>
          <w:b/>
        </w:rPr>
        <w:t>Original source:</w:t>
      </w:r>
      <w:r>
        <w:t xml:space="preserve"> https://doi.org/10.1108/14636681211256099</w:t>
      </w:r>
    </w:p>
    <w:p>
      <w:pPr/>
      <w:r>
        <w:rPr>
          <w:b/>
        </w:rPr>
        <w:t>Original future claim:</w:t>
      </w:r>
      <w:r>
        <w:t xml:space="preserve"> 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r>
        <w:rPr>
          <w:b/>
        </w:rPr>
        <w:t>Later source:</w:t>
      </w:r>
      <w:r>
        <w:t xml:space="preserve"> Regulatory scoping exercise for the future adoption of autonomous inland ships in Europe — https://doi.org/10.1186/s41072-023-00160-x</w:t>
      </w:r>
    </w:p>
    <w:p>
      <w:pPr/>
      <w:r>
        <w:rPr>
          <w:b/>
        </w:rPr>
        <w:t>Later source:</w:t>
      </w:r>
      <w:r>
        <w:t xml:space="preserve"> Bronchiectasis in Europe: data on disease characteristics from the European Bronchiectasis registry (EMBARC) — https://doi.org/10.1016/s2213-2600(23)00093-0</w:t>
      </w:r>
    </w:p>
    <w:p>
      <w:pPr>
        <w:pStyle w:val="SourceNote"/>
      </w:pPr>
      <w:r>
        <w:rPr>
          <w:b/>
        </w:rPr>
        <w:t>Review status:</w:t>
      </w:r>
      <w:r>
        <w:t xml:space="preserve"> unchecked — possible relationship only</w:t>
      </w:r>
    </w:p>
    <w:p>
      <w:pPr>
        <w:pStyle w:val="Heading2"/>
      </w:pPr>
      <w:r>
        <w:t>287. Claim + two later sources: Futures of robotics. Human work in digital transformation</w:t>
      </w:r>
    </w:p>
    <w:p>
      <w:pPr>
        <w:pStyle w:val="SourceNote"/>
      </w:pPr>
      <w:r>
        <w:rPr>
          <w:b/>
        </w:rPr>
        <w:t>Group ID:</w:t>
      </w:r>
      <w:r>
        <w:t xml:space="preserve"> group-5c74750805e98fbe1093</w:t>
      </w:r>
    </w:p>
    <w:p>
      <w:pPr>
        <w:pStyle w:val="SourceNote"/>
      </w:pPr>
      <w:r>
        <w:rPr>
          <w:b/>
        </w:rPr>
        <w:t>Original source:</w:t>
      </w:r>
      <w:r>
        <w:t xml:space="preserve"> https://doi.org/10.1504/ijtm.2017.083074</w:t>
      </w:r>
    </w:p>
    <w:p>
      <w:pPr/>
      <w:r>
        <w:rPr>
          <w:b/>
        </w:rPr>
        <w:t>Original future claim:</w:t>
      </w:r>
      <w:r>
        <w:t xml:space="preserve"> We evaluate key future trends in the field of robotics and analyse different scenarios regarding the futures of human beings and work life.</w:t>
      </w:r>
    </w:p>
    <w:p>
      <w:pPr/>
      <w:r>
        <w:rPr>
          <w:b/>
        </w:rPr>
        <w:t>Later source:</w:t>
      </w:r>
      <w:r>
        <w:t xml:space="preserve"> Evaluating rainfall trend in four key stations of the Northwestern Himalayan region, Uttarakhand: utilizing innovative graphical approaches for trend assessment — https://doi.org/10.54302/mausam.v77i2.6492</w:t>
      </w:r>
    </w:p>
    <w:p>
      <w:pPr/>
      <w:r>
        <w:rPr>
          <w:b/>
        </w:rPr>
        <w:t>Later source:</w:t>
      </w:r>
      <w:r>
        <w:t xml:space="preserve"> Closed-Loop Electrical Control Systems for Agricultural Machinery: State of the Art and Future Trends in Key Technologies, Typical Applications, and Performance Evaluation — https://doi.org/10.3390/pr14203366</w:t>
      </w:r>
    </w:p>
    <w:p>
      <w:pPr>
        <w:pStyle w:val="SourceNote"/>
      </w:pPr>
      <w:r>
        <w:rPr>
          <w:b/>
        </w:rPr>
        <w:t>Review status:</w:t>
      </w:r>
      <w:r>
        <w:t xml:space="preserve"> unchecked — possible relationship only</w:t>
      </w:r>
    </w:p>
    <w:p>
      <w:pPr>
        <w:pStyle w:val="Heading2"/>
      </w:pPr>
      <w:r>
        <w:t>288. Claim + two later sources: Towards net zero CO2 in 2050: An emission reduction pathway for organic soils in Germany</w:t>
      </w:r>
    </w:p>
    <w:p>
      <w:pPr>
        <w:pStyle w:val="SourceNote"/>
      </w:pPr>
      <w:r>
        <w:rPr>
          <w:b/>
        </w:rPr>
        <w:t>Group ID:</w:t>
      </w:r>
      <w:r>
        <w:t xml:space="preserve"> group-adb31e0d02c8f6c8fc01</w:t>
      </w:r>
    </w:p>
    <w:p>
      <w:pPr>
        <w:pStyle w:val="SourceNote"/>
      </w:pPr>
      <w:r>
        <w:rPr>
          <w:b/>
        </w:rPr>
        <w:t>Original source:</w:t>
      </w:r>
      <w:r>
        <w:t xml:space="preserve"> https://doi.org/10.19189/map.2020.snpg.sta.1951</w:t>
      </w:r>
    </w:p>
    <w:p>
      <w:pPr/>
      <w:r>
        <w:rPr>
          <w:b/>
        </w:rPr>
        <w:t>Original future claim:</w:t>
      </w:r>
      <w:r>
        <w:t xml:space="preserve"> 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r>
        <w:rPr>
          <w:b/>
        </w:rPr>
        <w:t>Later source:</w:t>
      </w:r>
      <w:r>
        <w:t xml:space="preserve"> Energy pathway variety and the progress of the energy transition in European countries — https://doi.org/10.48550/arxiv.2609.09607</w:t>
      </w:r>
    </w:p>
    <w:p>
      <w:pPr/>
      <w:r>
        <w:rPr>
          <w:b/>
        </w:rPr>
        <w:t>Later source:</w:t>
      </w:r>
      <w:r>
        <w:t xml:space="preserve"> Examining innovative designs of agri-environmental schemes in Europe: A case comparison of impact pathways — https://doi.org/10.1016/j.ecoser.2025.101728</w:t>
      </w:r>
    </w:p>
    <w:p>
      <w:pPr>
        <w:pStyle w:val="SourceNote"/>
      </w:pPr>
      <w:r>
        <w:rPr>
          <w:b/>
        </w:rPr>
        <w:t>Review status:</w:t>
      </w:r>
      <w:r>
        <w:t xml:space="preserve"> unchecked — possible relationship only</w:t>
      </w:r>
    </w:p>
    <w:p>
      <w:pPr>
        <w:pStyle w:val="Heading2"/>
      </w:pPr>
      <w:r>
        <w:t>289. Claim + two later sources: Conservation biology research priorities for 2050: A Central-Eastern European perspective</w:t>
      </w:r>
    </w:p>
    <w:p>
      <w:pPr>
        <w:pStyle w:val="SourceNote"/>
      </w:pPr>
      <w:r>
        <w:rPr>
          <w:b/>
        </w:rPr>
        <w:t>Group ID:</w:t>
      </w:r>
      <w:r>
        <w:t xml:space="preserve"> group-ef117100028fa2943c65</w:t>
      </w:r>
    </w:p>
    <w:p>
      <w:pPr>
        <w:pStyle w:val="SourceNote"/>
      </w:pPr>
      <w:r>
        <w:rPr>
          <w:b/>
        </w:rPr>
        <w:t>Original source:</w:t>
      </w:r>
      <w:r>
        <w:t xml:space="preserve"> https://doi.org/10.1016/j.biocon.2021.109396</w:t>
      </w:r>
    </w:p>
    <w:p>
      <w:pPr/>
      <w:r>
        <w:rPr>
          <w:b/>
        </w:rPr>
        <w:t>Original future claim:</w:t>
      </w:r>
      <w:r>
        <w:t xml:space="preserve"> 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r>
        <w:rPr>
          <w:b/>
        </w:rPr>
        <w:t>Later source:</w:t>
      </w:r>
      <w:r>
        <w:t xml:space="preserve"> Envisioning the future of European mountain value chains: a participatory foresight approach — https://doi.org/10.1007/s10113-025-02454-1</w:t>
      </w:r>
    </w:p>
    <w:p>
      <w:pPr/>
      <w:r>
        <w:rPr>
          <w:b/>
        </w:rPr>
        <w:t>Later source:</w:t>
      </w:r>
      <w:r>
        <w:t xml:space="preserve"> The enrichment of post-growth future alternatives for Europe using an online integral foresight methodology — https://doi.org/10.1186/s40309-026-00282-y</w:t>
      </w:r>
    </w:p>
    <w:p>
      <w:pPr>
        <w:pStyle w:val="SourceNote"/>
      </w:pPr>
      <w:r>
        <w:rPr>
          <w:b/>
        </w:rPr>
        <w:t>Review status:</w:t>
      </w:r>
      <w:r>
        <w:t xml:space="preserve"> unchecked — possible relationship only</w:t>
      </w:r>
    </w:p>
    <w:p>
      <w:pPr>
        <w:pStyle w:val="Heading2"/>
      </w:pPr>
      <w:r>
        <w:t>290. Claim + two later sources: Financing Innovations for the Renewable Energy Transition in Europe</w:t>
      </w:r>
    </w:p>
    <w:p>
      <w:pPr>
        <w:pStyle w:val="SourceNote"/>
      </w:pPr>
      <w:r>
        <w:rPr>
          <w:b/>
        </w:rPr>
        <w:t>Group ID:</w:t>
      </w:r>
      <w:r>
        <w:t xml:space="preserve"> group-1d3ac342fd1ae41a02a7</w:t>
      </w:r>
    </w:p>
    <w:p>
      <w:pPr>
        <w:pStyle w:val="SourceNote"/>
      </w:pPr>
      <w:r>
        <w:rPr>
          <w:b/>
        </w:rPr>
        <w:t>Original source:</w:t>
      </w:r>
      <w:r>
        <w:t xml:space="preserve"> https://doi.org/10.3390/en9120990</w:t>
      </w:r>
    </w:p>
    <w:p>
      <w:pPr/>
      <w:r>
        <w:rPr>
          <w:b/>
        </w:rPr>
        <w:t>Original future claim:</w:t>
      </w:r>
      <w:r>
        <w:t xml:space="preserve"> 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r>
        <w:rPr>
          <w:b/>
        </w:rPr>
        <w:t>Later source:</w:t>
      </w:r>
      <w:r>
        <w:t xml:space="preserve"> The Budgetary and Economic Impact of Taxation in the Member States of the European Union — https://openalex.org/W7169690466</w:t>
      </w:r>
    </w:p>
    <w:p>
      <w:pPr/>
      <w:r>
        <w:rPr>
          <w:b/>
        </w:rPr>
        <w:t>Later source:</w:t>
      </w:r>
      <w:r>
        <w:t xml:space="preserve"> Maritime Passenger Mobility in the European Union: Trends, Recovery and a Typology of Member States — https://doi.org/10.35808/ersj/4439</w:t>
      </w:r>
    </w:p>
    <w:p>
      <w:pPr>
        <w:pStyle w:val="SourceNote"/>
      </w:pPr>
      <w:r>
        <w:rPr>
          <w:b/>
        </w:rPr>
        <w:t>Review status:</w:t>
      </w:r>
      <w:r>
        <w:t xml:space="preserve"> unchecked — possible relationship only</w:t>
      </w:r>
    </w:p>
    <w:p>
      <w:pPr>
        <w:pStyle w:val="Heading2"/>
      </w:pPr>
      <w:r>
        <w:t>291. Claim + two later sources: The Selection of Intermodal Transport System Scenarios in the Function of Southeastern Europe Regional Development</w:t>
      </w:r>
    </w:p>
    <w:p>
      <w:pPr>
        <w:pStyle w:val="SourceNote"/>
      </w:pPr>
      <w:r>
        <w:rPr>
          <w:b/>
        </w:rPr>
        <w:t>Group ID:</w:t>
      </w:r>
      <w:r>
        <w:t xml:space="preserve"> group-8e8831112d89c0baf201</w:t>
      </w:r>
    </w:p>
    <w:p>
      <w:pPr>
        <w:pStyle w:val="SourceNote"/>
      </w:pPr>
      <w:r>
        <w:rPr>
          <w:b/>
        </w:rPr>
        <w:t>Original source:</w:t>
      </w:r>
      <w:r>
        <w:t xml:space="preserve"> https://doi.org/10.3390/su13105590</w:t>
      </w:r>
    </w:p>
    <w:p>
      <w:pPr/>
      <w:r>
        <w:rPr>
          <w:b/>
        </w:rPr>
        <w:t>Original future claim:</w:t>
      </w:r>
      <w:r>
        <w:t xml:space="preserve"> 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r>
        <w:rPr>
          <w:b/>
        </w:rPr>
        <w:t>Later source:</w:t>
      </w:r>
      <w:r>
        <w:t xml:space="preserve"> European forest carbon and biodiversity policies have a limited win-win potential — https://doi.org/10.1038/s41467-026-68668-x</w:t>
      </w:r>
    </w:p>
    <w:p>
      <w:pPr/>
      <w:r>
        <w:rPr>
          <w:b/>
        </w:rPr>
        <w:t>Later source:</w:t>
      </w:r>
      <w:r>
        <w:t xml:space="preserve"> Assessing the effects of restoration and conservation on gaseous carbon fluxes and climate mitigation potential across six European coastal wetlands — https://doi.org/10.1016/j.ecoleng.2026.108080</w:t>
      </w:r>
    </w:p>
    <w:p>
      <w:pPr>
        <w:pStyle w:val="SourceNote"/>
      </w:pPr>
      <w:r>
        <w:rPr>
          <w:b/>
        </w:rPr>
        <w:t>Review status:</w:t>
      </w:r>
      <w:r>
        <w:t xml:space="preserve"> unchecked — possible relationship only</w:t>
      </w:r>
    </w:p>
    <w:p>
      <w:pPr>
        <w:pStyle w:val="Heading2"/>
      </w:pPr>
      <w:r>
        <w:t>292. Claim + two later sources: Medium-term forecast of European economic sustainable growth using Markov chains</w:t>
      </w:r>
    </w:p>
    <w:p>
      <w:pPr>
        <w:pStyle w:val="SourceNote"/>
      </w:pPr>
      <w:r>
        <w:rPr>
          <w:b/>
        </w:rPr>
        <w:t>Group ID:</w:t>
      </w:r>
      <w:r>
        <w:t xml:space="preserve"> group-b6b8ff28243d3b0f5825</w:t>
      </w:r>
    </w:p>
    <w:p>
      <w:pPr>
        <w:pStyle w:val="SourceNote"/>
      </w:pPr>
      <w:r>
        <w:rPr>
          <w:b/>
        </w:rPr>
        <w:t>Original source:</w:t>
      </w:r>
      <w:r>
        <w:t xml:space="preserve"> https://doi.org/10.18045/zbefri.2020.2.585</w:t>
      </w:r>
    </w:p>
    <w:p>
      <w:pPr/>
      <w:r>
        <w:rPr>
          <w:b/>
        </w:rPr>
        <w:t>Original future claim:</w:t>
      </w:r>
      <w:r>
        <w:t xml:space="preserve"> 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r>
        <w:rPr>
          <w:b/>
        </w:rPr>
        <w:t>Later source:</w:t>
      </w:r>
      <w:r>
        <w:t xml:space="preserve"> The impact of digitalization on the economic growth of the European Union: an empirical study — https://doi.org/10.15587/1729-4061.2024.304256</w:t>
      </w:r>
    </w:p>
    <w:p>
      <w:pPr/>
      <w:r>
        <w:rPr>
          <w:b/>
        </w:rPr>
        <w:t>Later source:</w:t>
      </w:r>
      <w:r>
        <w:t xml:space="preserve"> Digitalisation and Economic Growth in the European Union — https://doi.org/10.3390/electronics12071718</w:t>
      </w:r>
    </w:p>
    <w:p>
      <w:pPr>
        <w:pStyle w:val="SourceNote"/>
      </w:pPr>
      <w:r>
        <w:rPr>
          <w:b/>
        </w:rPr>
        <w:t>Review status:</w:t>
      </w:r>
      <w:r>
        <w:t xml:space="preserve"> unchecked — possible relationship only</w:t>
      </w:r>
    </w:p>
    <w:p>
      <w:pPr>
        <w:pStyle w:val="Heading2"/>
      </w:pPr>
      <w:r>
        <w:t>293. Claim + two later sources: What We Hope, What We Fear, What We Expect: Possible Scenarios for the Future of the Eurozone</w:t>
      </w:r>
    </w:p>
    <w:p>
      <w:pPr>
        <w:pStyle w:val="SourceNote"/>
      </w:pPr>
      <w:r>
        <w:rPr>
          <w:b/>
        </w:rPr>
        <w:t>Group ID:</w:t>
      </w:r>
      <w:r>
        <w:t xml:space="preserve"> group-5bfe953d29b97db1ae61</w:t>
      </w:r>
    </w:p>
    <w:p>
      <w:pPr>
        <w:pStyle w:val="SourceNote"/>
      </w:pPr>
      <w:r>
        <w:rPr>
          <w:b/>
        </w:rPr>
        <w:t>Original source:</w:t>
      </w:r>
      <w:r>
        <w:t xml:space="preserve"> https://doi.org/10.1007/s12290-012-0210-x</w:t>
      </w:r>
    </w:p>
    <w:p>
      <w:pPr/>
      <w:r>
        <w:rPr>
          <w:b/>
        </w:rPr>
        <w:t>Original future claim:</w:t>
      </w:r>
      <w:r>
        <w:t xml:space="preserve"> Starting with the reforms of European economic governance hitherto agreed, this article develops three scenarios for the eurozone and explores their possible impact on the EU in general.</w:t>
      </w:r>
    </w:p>
    <w:p>
      <w:pPr/>
      <w:r>
        <w:rPr>
          <w:b/>
        </w:rPr>
        <w:t>Later source:</w:t>
      </w:r>
      <w:r>
        <w:t xml:space="preserve"> The reform of the European Stability Mechanism — https://doi.org/10.1093/cmlj/kmaa001</w:t>
      </w:r>
    </w:p>
    <w:p>
      <w:pPr/>
      <w:r>
        <w:rPr>
          <w:b/>
        </w:rPr>
        <w:t>Later source:</w:t>
      </w:r>
      <w:r>
        <w:t xml:space="preserve"> European Reform Movements and the Making of the International Congress, 1840–1860 — https://doi.org/10.1080/07075332.2020.1808506</w:t>
      </w:r>
    </w:p>
    <w:p>
      <w:pPr>
        <w:pStyle w:val="SourceNote"/>
      </w:pPr>
      <w:r>
        <w:rPr>
          <w:b/>
        </w:rPr>
        <w:t>Review status:</w:t>
      </w:r>
      <w:r>
        <w:t xml:space="preserve"> unchecked — possible relationship only</w:t>
      </w:r>
    </w:p>
    <w:p>
      <w:pPr>
        <w:pStyle w:val="Heading2"/>
      </w:pPr>
      <w:r>
        <w:t>294. Claim + two later sources: Mismatch, empowerment, fatigue or balance? Four scenarios of physical activity up to 2030 in Finland</w:t>
      </w:r>
    </w:p>
    <w:p>
      <w:pPr>
        <w:pStyle w:val="SourceNote"/>
      </w:pPr>
      <w:r>
        <w:rPr>
          <w:b/>
        </w:rPr>
        <w:t>Group ID:</w:t>
      </w:r>
      <w:r>
        <w:t xml:space="preserve"> group-832f133535e6dff3220b</w:t>
      </w:r>
    </w:p>
    <w:p>
      <w:pPr>
        <w:pStyle w:val="SourceNote"/>
      </w:pPr>
      <w:r>
        <w:rPr>
          <w:b/>
        </w:rPr>
        <w:t>Original source:</w:t>
      </w:r>
      <w:r>
        <w:t xml:space="preserve"> https://doi.org/10.1016/j.futures.2022.103036</w:t>
      </w:r>
    </w:p>
    <w:p>
      <w:pPr/>
      <w:r>
        <w:rPr>
          <w:b/>
        </w:rPr>
        <w:t>Original future claim:</w:t>
      </w:r>
      <w:r>
        <w:t xml:space="preserve"> 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r>
        <w:rPr>
          <w:b/>
        </w:rPr>
        <w:t>Later source:</w:t>
      </w:r>
      <w:r>
        <w:t xml:space="preserve"> Building consensus for Molecular Tumor Board implementation in Europe: a Delphi procedure — https://doi.org/10.1016/j.hlpt.2026.101287</w:t>
      </w:r>
    </w:p>
    <w:p>
      <w:pPr/>
      <w:r>
        <w:rPr>
          <w:b/>
        </w:rPr>
        <w:t>Later source:</w:t>
      </w:r>
      <w:r>
        <w:t xml:space="preserve"> Adoption drivers and barriers of Building Information Modelling (BIM) in Europe — https://doi.org/10.1016/j.enbuild.2026.116953</w:t>
      </w:r>
    </w:p>
    <w:p>
      <w:pPr>
        <w:pStyle w:val="SourceNote"/>
      </w:pPr>
      <w:r>
        <w:rPr>
          <w:b/>
        </w:rPr>
        <w:t>Review status:</w:t>
      </w:r>
      <w:r>
        <w:t xml:space="preserve"> unchecked — possible relationship only</w:t>
      </w:r>
    </w:p>
    <w:p>
      <w:pPr>
        <w:pStyle w:val="Heading2"/>
      </w:pPr>
      <w:r>
        <w:t>295. Claim + two later sources: Transport demand evolution in Europe – factors of change, scenarios and challenges</w:t>
      </w:r>
    </w:p>
    <w:p>
      <w:pPr>
        <w:pStyle w:val="SourceNote"/>
      </w:pPr>
      <w:r>
        <w:rPr>
          <w:b/>
        </w:rPr>
        <w:t>Group ID:</w:t>
      </w:r>
      <w:r>
        <w:t xml:space="preserve"> group-4e30184c594219f4f38e</w:t>
      </w:r>
    </w:p>
    <w:p>
      <w:pPr>
        <w:pStyle w:val="SourceNote"/>
      </w:pPr>
      <w:r>
        <w:rPr>
          <w:b/>
        </w:rPr>
        <w:t>Original source:</w:t>
      </w:r>
      <w:r>
        <w:t xml:space="preserve"> https://doi.org/10.1007/s40309-015-0072-y</w:t>
      </w:r>
    </w:p>
    <w:p>
      <w:pPr/>
      <w:r>
        <w:rPr>
          <w:b/>
        </w:rPr>
        <w:t>Original future claim:</w:t>
      </w:r>
      <w:r>
        <w:t xml:space="preserve"> 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r>
        <w:rPr>
          <w:b/>
        </w:rPr>
        <w:t>Later source:</w:t>
      </w:r>
      <w:r>
        <w:t xml:space="preserve"> Barriers to women’s employment in the transport sector in Europe — https://doi.org/10.12688/openreseurope.16123.1</w:t>
      </w:r>
    </w:p>
    <w:p>
      <w:pPr/>
      <w:r>
        <w:rPr>
          <w:b/>
        </w:rPr>
        <w:t>Later source:</w:t>
      </w:r>
      <w:r>
        <w:t xml:space="preserve"> Evaluating the European transportation sector via energy and climate change mitigation perspectives — https://doi.org/10.1016/j.sftr.2025.100652</w:t>
      </w:r>
    </w:p>
    <w:p>
      <w:pPr>
        <w:pStyle w:val="SourceNote"/>
      </w:pPr>
      <w:r>
        <w:rPr>
          <w:b/>
        </w:rPr>
        <w:t>Review status:</w:t>
      </w:r>
      <w:r>
        <w:t xml:space="preserve"> unchecked — possible relationship only</w:t>
      </w:r>
    </w:p>
    <w:p>
      <w:pPr>
        <w:pStyle w:val="Heading2"/>
      </w:pPr>
      <w:r>
        <w:t>296. Claim + two later sources: Integrated scenarios of sustainable food production and consumption in Germany</w:t>
      </w:r>
    </w:p>
    <w:p>
      <w:pPr>
        <w:pStyle w:val="SourceNote"/>
      </w:pPr>
      <w:r>
        <w:rPr>
          <w:b/>
        </w:rPr>
        <w:t>Group ID:</w:t>
      </w:r>
      <w:r>
        <w:t xml:space="preserve"> group-2c275425a6c347fe4cb7</w:t>
      </w:r>
    </w:p>
    <w:p>
      <w:pPr>
        <w:pStyle w:val="SourceNote"/>
      </w:pPr>
      <w:r>
        <w:rPr>
          <w:b/>
        </w:rPr>
        <w:t>Original source:</w:t>
      </w:r>
      <w:r>
        <w:t xml:space="preserve"> https://doi.org/10.1080/15487733.2013.11908118</w:t>
      </w:r>
    </w:p>
    <w:p>
      <w:pPr/>
      <w:r>
        <w:rPr>
          <w:b/>
        </w:rPr>
        <w:t>Original future claim:</w:t>
      </w:r>
      <w:r>
        <w:t xml:space="preserve"> 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r>
        <w:rPr>
          <w:b/>
        </w:rPr>
        <w:t>Later source:</w:t>
      </w:r>
      <w:r>
        <w:t xml:space="preserve"> The Moroccan and Muslim Diaspora in Europe: Shifting from the Context of Migration to the Context of Citizenship — https://openalex.org/W7113523033</w:t>
      </w:r>
    </w:p>
    <w:p>
      <w:pPr/>
      <w:r>
        <w:rPr>
          <w:b/>
        </w:rPr>
        <w:t>Later source:</w:t>
      </w:r>
      <w:r>
        <w:t xml:space="preserve"> Changing the Context of Business Management Theory. The So and So Management between Eclecticism and Wishful Thinking — https://doi.org/10.30958/ajl.11-3-2</w:t>
      </w:r>
    </w:p>
    <w:p>
      <w:pPr>
        <w:pStyle w:val="SourceNote"/>
      </w:pPr>
      <w:r>
        <w:rPr>
          <w:b/>
        </w:rPr>
        <w:t>Review status:</w:t>
      </w:r>
      <w:r>
        <w:t xml:space="preserve"> unchecked — possible relationship only</w:t>
      </w:r>
    </w:p>
    <w:p>
      <w:pPr>
        <w:pStyle w:val="Heading2"/>
      </w:pPr>
      <w:r>
        <w:t>297. Claim + two later sources: Long-Term Hydrocarbon Trade Options for the Maghreb Region and Europe—Renewable Energy Based Synthetic Fuels for a Net Zero Emissions World</w:t>
      </w:r>
    </w:p>
    <w:p>
      <w:pPr>
        <w:pStyle w:val="SourceNote"/>
      </w:pPr>
      <w:r>
        <w:rPr>
          <w:b/>
        </w:rPr>
        <w:t>Group ID:</w:t>
      </w:r>
      <w:r>
        <w:t xml:space="preserve"> group-139e43c3971b2cd2bf3c</w:t>
      </w:r>
    </w:p>
    <w:p>
      <w:pPr>
        <w:pStyle w:val="SourceNote"/>
      </w:pPr>
      <w:r>
        <w:rPr>
          <w:b/>
        </w:rPr>
        <w:t>Original source:</w:t>
      </w:r>
      <w:r>
        <w:t xml:space="preserve"> https://doi.org/10.3390/su9020306</w:t>
      </w:r>
    </w:p>
    <w:p>
      <w:pPr/>
      <w:r>
        <w:rPr>
          <w:b/>
        </w:rPr>
        <w:t>Original future claim:</w:t>
      </w:r>
      <w:r>
        <w:t xml:space="preserve"> 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r>
        <w:rPr>
          <w:b/>
        </w:rPr>
        <w:t>Later source:</w:t>
      </w:r>
      <w:r>
        <w:t xml:space="preserve"> Implementation of the WACC Notice and challenges in determining the VHCN risk premium — https://openalex.org/W7124128098</w:t>
      </w:r>
    </w:p>
    <w:p>
      <w:pPr/>
      <w:r>
        <w:rPr>
          <w:b/>
        </w:rPr>
        <w:t>Later source:</w:t>
      </w:r>
      <w:r>
        <w:t xml:space="preserve"> Levelized cost of hydrogen production in Northern Africa and Europe in 2050: A Monte Carlo simulation for Germany, Norway, Spain, Algeria, Morocco, and Egypt — https://doi.org/10.1016/j.ijhydene.2024.04.319</w:t>
      </w:r>
    </w:p>
    <w:p>
      <w:pPr>
        <w:pStyle w:val="SourceNote"/>
      </w:pPr>
      <w:r>
        <w:rPr>
          <w:b/>
        </w:rPr>
        <w:t>Review status:</w:t>
      </w:r>
      <w:r>
        <w:t xml:space="preserve"> unchecked — possible relationship only</w:t>
      </w:r>
    </w:p>
    <w:p>
      <w:pPr>
        <w:pStyle w:val="Heading2"/>
      </w:pPr>
      <w:r>
        <w:t>298. Claim + two later sources: Exploring the Future of Universities Through Experimental Foresight</w:t>
      </w:r>
    </w:p>
    <w:p>
      <w:pPr>
        <w:pStyle w:val="SourceNote"/>
      </w:pPr>
      <w:r>
        <w:rPr>
          <w:b/>
        </w:rPr>
        <w:t>Group ID:</w:t>
      </w:r>
      <w:r>
        <w:t xml:space="preserve"> group-37a33cd2a7f9f699fd62</w:t>
      </w:r>
    </w:p>
    <w:p>
      <w:pPr>
        <w:pStyle w:val="SourceNote"/>
      </w:pPr>
      <w:r>
        <w:rPr>
          <w:b/>
        </w:rPr>
        <w:t>Original source:</w:t>
      </w:r>
      <w:r>
        <w:t xml:space="preserve"> https://doi.org/10.1177/1946756720976714</w:t>
      </w:r>
    </w:p>
    <w:p>
      <w:pPr/>
      <w:r>
        <w:rPr>
          <w:b/>
        </w:rPr>
        <w:t>Original future claim:</w:t>
      </w:r>
      <w:r>
        <w:t xml:space="preserve"> The foresight project covered two future time horizons, namely 2025 to 2030 and 2031 to 2040.</w:t>
      </w:r>
    </w:p>
    <w:p>
      <w:pPr/>
      <w:r>
        <w:rPr>
          <w:b/>
        </w:rPr>
        <w:t>Later source:</w:t>
      </w:r>
      <w:r>
        <w:t xml:space="preserve"> DEVELOPMENT SCENARIOS OF COLLABORATION IN THE FIELD OF INCLUSIVE HIGHER EDUCATION BETWEEN RUSSIA AND CIS COUNTRIES: PROJECT-FORESIGHT — https://doi.org/10.36315/2026v2end012</w:t>
      </w:r>
    </w:p>
    <w:p>
      <w:pPr/>
      <w:r>
        <w:rPr>
          <w:b/>
        </w:rPr>
        <w:t>Later source:</w:t>
      </w:r>
      <w:r>
        <w:t xml:space="preserve"> Developing the Futures Map Framework – an integrative hybrid foresight approach — https://doi.org/10.1186/s40309-025-00252-w</w:t>
      </w:r>
    </w:p>
    <w:p>
      <w:pPr>
        <w:pStyle w:val="SourceNote"/>
      </w:pPr>
      <w:r>
        <w:rPr>
          <w:b/>
        </w:rPr>
        <w:t>Review status:</w:t>
      </w:r>
      <w:r>
        <w:t xml:space="preserve"> unchecked — possible relationship only</w:t>
      </w:r>
    </w:p>
    <w:p>
      <w:pPr>
        <w:pStyle w:val="Heading2"/>
      </w:pPr>
      <w:r>
        <w:t>299. Claim + two later sources: Modelling the European Union Sustainability Transition: A Soft-Linking Approach</w:t>
      </w:r>
    </w:p>
    <w:p>
      <w:pPr>
        <w:pStyle w:val="SourceNote"/>
      </w:pPr>
      <w:r>
        <w:rPr>
          <w:b/>
        </w:rPr>
        <w:t>Group ID:</w:t>
      </w:r>
      <w:r>
        <w:t xml:space="preserve"> group-46265428f5a2f2897f4e</w:t>
      </w:r>
    </w:p>
    <w:p>
      <w:pPr>
        <w:pStyle w:val="SourceNote"/>
      </w:pPr>
      <w:r>
        <w:rPr>
          <w:b/>
        </w:rPr>
        <w:t>Original source:</w:t>
      </w:r>
      <w:r>
        <w:t xml:space="preserve"> https://doi.org/10.3390/su13116303</w:t>
      </w:r>
    </w:p>
    <w:p>
      <w:pPr/>
      <w:r>
        <w:rPr>
          <w:b/>
        </w:rPr>
        <w:t>Original future claim:</w:t>
      </w:r>
      <w:r>
        <w:t xml:space="preserve"> 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r>
        <w:rPr>
          <w:b/>
        </w:rPr>
        <w:t>Later source:</w:t>
      </w:r>
      <w:r>
        <w:t xml:space="preserve"> IMPLEMENTASI EUROPEAN GREEN DEAL (EGD) TERKAIT KEBIJAKAN GREEN ECONOMY DI UNI EROPA TAHUN 2020-2024 — https://openalex.org/W7153397118</w:t>
      </w:r>
    </w:p>
    <w:p>
      <w:pPr/>
      <w:r>
        <w:rPr>
          <w:b/>
        </w:rPr>
        <w:t>Later source:</w:t>
      </w:r>
      <w:r>
        <w:t xml:space="preserve"> The European Green Deal (EGD) in the public opinion – assessment of awareness of environmental pollution and threats to health and life — https://doi.org/10.34659/eis.2026.97.2.1157</w:t>
      </w:r>
    </w:p>
    <w:p>
      <w:pPr>
        <w:pStyle w:val="SourceNote"/>
      </w:pPr>
      <w:r>
        <w:rPr>
          <w:b/>
        </w:rPr>
        <w:t>Review status:</w:t>
      </w:r>
      <w:r>
        <w:t xml:space="preserve"> unchecked — possible relationship only</w:t>
      </w:r>
    </w:p>
    <w:p>
      <w:pPr>
        <w:pStyle w:val="Heading2"/>
      </w:pPr>
      <w:r>
        <w:t>300. Claim + two later sources: Time banks, co-production and foresight: intertwined towards an alternative future</w:t>
      </w:r>
    </w:p>
    <w:p>
      <w:pPr>
        <w:pStyle w:val="SourceNote"/>
      </w:pPr>
      <w:r>
        <w:rPr>
          <w:b/>
        </w:rPr>
        <w:t>Group ID:</w:t>
      </w:r>
      <w:r>
        <w:t xml:space="preserve"> group-5fd5c51c66ede13d5a05</w:t>
      </w:r>
    </w:p>
    <w:p>
      <w:pPr>
        <w:pStyle w:val="SourceNote"/>
      </w:pPr>
      <w:r>
        <w:rPr>
          <w:b/>
        </w:rPr>
        <w:t>Original source:</w:t>
      </w:r>
      <w:r>
        <w:t xml:space="preserve"> https://doi.org/10.1108/fs-05-2014-0035</w:t>
      </w:r>
    </w:p>
    <w:p>
      <w:pPr/>
      <w:r>
        <w:rPr>
          <w:b/>
        </w:rPr>
        <w:t>Original future claim:</w:t>
      </w:r>
      <w:r>
        <w:t xml:space="preserve"> 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r>
        <w:rPr>
          <w:b/>
        </w:rPr>
        <w:t>Later source:</w:t>
      </w:r>
      <w:r>
        <w:t xml:space="preserve"> Implementation and Impacts of Taiwan’s Time Bank Multi-Empowerment Program Across Six Townships — https://doi.org/10.33790/jswwp1100180</w:t>
      </w:r>
    </w:p>
    <w:p>
      <w:pPr/>
      <w:r>
        <w:rPr>
          <w:b/>
        </w:rPr>
        <w:t>Later source:</w:t>
      </w:r>
      <w:r>
        <w:t xml:space="preserve"> Reaction of European bank and non-bank financial equities to physical climate risk: Evidence from quantile dependence and time-varying predictability — https://doi.org/10.55214/2576-8484.v10i2.12260</w:t>
      </w:r>
    </w:p>
    <w:p>
      <w:pPr>
        <w:pStyle w:val="SourceNote"/>
      </w:pPr>
      <w:r>
        <w:rPr>
          <w:b/>
        </w:rPr>
        <w:t>Review status:</w:t>
      </w:r>
      <w:r>
        <w:t xml:space="preserve"> unchecked — possible relationship only</w:t>
      </w:r>
    </w:p>
    <w:p>
      <w:pPr>
        <w:pStyle w:val="Heading2"/>
      </w:pPr>
      <w:r>
        <w:t>301. Claim + two later sources: Decarbonizing the EU energy system by 2050: an important role for BECCS</w:t>
      </w:r>
    </w:p>
    <w:p>
      <w:pPr>
        <w:pStyle w:val="SourceNote"/>
      </w:pPr>
      <w:r>
        <w:rPr>
          <w:b/>
        </w:rPr>
        <w:t>Group ID:</w:t>
      </w:r>
      <w:r>
        <w:t xml:space="preserve"> group-13ba9623bcaa9c526b18</w:t>
      </w:r>
    </w:p>
    <w:p>
      <w:pPr>
        <w:pStyle w:val="SourceNote"/>
      </w:pPr>
      <w:r>
        <w:rPr>
          <w:b/>
        </w:rPr>
        <w:t>Original source:</w:t>
      </w:r>
      <w:r>
        <w:t xml:space="preserve"> https://doi.org/10.1080/14693062.2016.1242058</w:t>
      </w:r>
    </w:p>
    <w:p>
      <w:pPr/>
      <w:r>
        <w:rPr>
          <w:b/>
        </w:rPr>
        <w:t>Original future claim:</w:t>
      </w:r>
      <w:r>
        <w:t xml:space="preserve"> 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r>
        <w:rPr>
          <w:b/>
        </w:rPr>
        <w:t>Later source:</w:t>
      </w:r>
      <w:r>
        <w:t xml:space="preserve"> Conclusions on Land Policies in Europe — https://doi.org/10.1007/978-3-031-83725-8_17</w:t>
      </w:r>
    </w:p>
    <w:p>
      <w:pPr/>
      <w:r>
        <w:rPr>
          <w:b/>
        </w:rPr>
        <w:t>Later source:</w:t>
      </w:r>
      <w:r>
        <w:t xml:space="preserve"> Cancer burden in Europe: a systematic analysis of the GLOBOCAN database (2022) — https://doi.org/10.1186/s12885-025-13862-1</w:t>
      </w:r>
    </w:p>
    <w:p>
      <w:pPr>
        <w:pStyle w:val="SourceNote"/>
      </w:pPr>
      <w:r>
        <w:rPr>
          <w:b/>
        </w:rPr>
        <w:t>Review status:</w:t>
      </w:r>
      <w:r>
        <w:t xml:space="preserve"> unchecked — possible relationship only</w:t>
      </w:r>
    </w:p>
    <w:p>
      <w:pPr>
        <w:pStyle w:val="Heading2"/>
      </w:pPr>
      <w:r>
        <w:t>302. Claim + two later sources: Charging the future: Roadmaps and value tensions for mainstreaming prosumerism to 2030 and 2050</w:t>
      </w:r>
    </w:p>
    <w:p>
      <w:pPr>
        <w:pStyle w:val="SourceNote"/>
      </w:pPr>
      <w:r>
        <w:rPr>
          <w:b/>
        </w:rPr>
        <w:t>Group ID:</w:t>
      </w:r>
      <w:r>
        <w:t xml:space="preserve"> group-2eb426f009a3f296b719</w:t>
      </w:r>
    </w:p>
    <w:p>
      <w:pPr>
        <w:pStyle w:val="SourceNote"/>
      </w:pPr>
      <w:r>
        <w:rPr>
          <w:b/>
        </w:rPr>
        <w:t>Original source:</w:t>
      </w:r>
      <w:r>
        <w:t xml:space="preserve"> https://doi.org/10.5281/zenodo.4568679</w:t>
      </w:r>
    </w:p>
    <w:p>
      <w:pPr/>
      <w:r>
        <w:rPr>
          <w:b/>
        </w:rPr>
        <w:t>Original future claim:</w:t>
      </w:r>
      <w:r>
        <w:t xml:space="preserve"> Third, we highlight three key value tensions which underlie these leverage points, and for which value prioritisations will need to be made.</w:t>
      </w:r>
    </w:p>
    <w:p>
      <w:pPr/>
      <w:r>
        <w:rPr>
          <w:b/>
        </w:rPr>
        <w:t>Later source:</w:t>
      </w:r>
      <w:r>
        <w:t xml:space="preserve"> Shared experiences of three professionals navigating careers in the Third Space — https://doi.org/10.1080/13603108.2026.2631071</w:t>
      </w:r>
    </w:p>
    <w:p>
      <w:pPr/>
      <w:r>
        <w:rPr>
          <w:b/>
        </w:rPr>
        <w:t>Later source:</w:t>
      </w:r>
      <w:r>
        <w:t xml:space="preserve"> Tensions and transformation : investigating the dynamic value of digital platforms — https://doi.org/10.82444/warw.33911656</w:t>
      </w:r>
    </w:p>
    <w:p>
      <w:pPr>
        <w:pStyle w:val="SourceNote"/>
      </w:pPr>
      <w:r>
        <w:rPr>
          <w:b/>
        </w:rPr>
        <w:t>Review status:</w:t>
      </w:r>
      <w:r>
        <w:t xml:space="preserve"> unchecked — possible relationship only</w:t>
      </w:r>
    </w:p>
    <w:p>
      <w:pPr>
        <w:pStyle w:val="Heading2"/>
      </w:pPr>
      <w:r>
        <w:t>303. Claim + two later sources: Organic farming in the European Union – perspectives for 2030</w:t>
      </w:r>
    </w:p>
    <w:p>
      <w:pPr>
        <w:pStyle w:val="SourceNote"/>
      </w:pPr>
      <w:r>
        <w:rPr>
          <w:b/>
        </w:rPr>
        <w:t>Group ID:</w:t>
      </w:r>
      <w:r>
        <w:t xml:space="preserve"> group-a848b75a76c7bcb5744d</w:t>
      </w:r>
    </w:p>
    <w:p>
      <w:pPr>
        <w:pStyle w:val="SourceNote"/>
      </w:pPr>
      <w:r>
        <w:rPr>
          <w:b/>
        </w:rPr>
        <w:t>Original source:</w:t>
      </w:r>
      <w:r>
        <w:t xml:space="preserve"> https://doi.org/10.2478/picbe-2022-0042</w:t>
      </w:r>
    </w:p>
    <w:p>
      <w:pPr/>
      <w:r>
        <w:rPr>
          <w:b/>
        </w:rPr>
        <w:t>Original future claim:</w:t>
      </w:r>
      <w:r>
        <w:t xml:space="preserve"> 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r>
        <w:rPr>
          <w:b/>
        </w:rPr>
        <w:t>Later source:</w:t>
      </w:r>
      <w:r>
        <w:t xml:space="preserve"> Strengthening European development policy: the case for Team Europe 2.0 — https://doi.org/10.23661/ipb11.2026</w:t>
      </w:r>
    </w:p>
    <w:p>
      <w:pPr/>
      <w:r>
        <w:rPr>
          <w:b/>
        </w:rPr>
        <w:t>Later source:</w:t>
      </w:r>
      <w:r>
        <w:t xml:space="preserve"> Experiences from national biodiversity data infrastructures in Europe: advancing data integration and community engagement — https://doi.org/10.1093/biosci/biag032</w:t>
      </w:r>
    </w:p>
    <w:p>
      <w:pPr>
        <w:pStyle w:val="SourceNote"/>
      </w:pPr>
      <w:r>
        <w:rPr>
          <w:b/>
        </w:rPr>
        <w:t>Review status:</w:t>
      </w:r>
      <w:r>
        <w:t xml:space="preserve"> unchecked — possible relationship only</w:t>
      </w:r>
    </w:p>
    <w:p>
      <w:pPr>
        <w:pStyle w:val="Heading2"/>
      </w:pPr>
      <w:r>
        <w:t>304. Claim + two later sources: Climate Change and Renewable Energy Generation in Europe—Long-Term Impact Assessment on Solar and Wind Energy Using High-Resolution Future Climate Data and Considering Climate Uncertainties</w:t>
      </w:r>
    </w:p>
    <w:p>
      <w:pPr>
        <w:pStyle w:val="SourceNote"/>
      </w:pPr>
      <w:r>
        <w:rPr>
          <w:b/>
        </w:rPr>
        <w:t>Group ID:</w:t>
      </w:r>
      <w:r>
        <w:t xml:space="preserve"> group-b7dcd3692c27c86ebaf5</w:t>
      </w:r>
    </w:p>
    <w:p>
      <w:pPr>
        <w:pStyle w:val="SourceNote"/>
      </w:pPr>
      <w:r>
        <w:rPr>
          <w:b/>
        </w:rPr>
        <w:t>Original source:</w:t>
      </w:r>
      <w:r>
        <w:t xml:space="preserve"> https://doi.org/10.3390/en15010302</w:t>
      </w:r>
    </w:p>
    <w:p>
      <w:pPr/>
      <w:r>
        <w:rPr>
          <w:b/>
        </w:rPr>
        <w:t>Original future claim:</w:t>
      </w:r>
      <w:r>
        <w:t xml:space="preserve"> 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r>
        <w:rPr>
          <w:b/>
        </w:rPr>
        <w:t>Later source:</w:t>
      </w:r>
      <w:r>
        <w:t xml:space="preserve"> Cultivar-by-environment interactions shape strawberry fruit quality: A multi-omics approach across European climates — https://doi.org/10.1016/j.foodchem.2026.148161</w:t>
      </w:r>
    </w:p>
    <w:p>
      <w:pPr/>
      <w:r>
        <w:rPr>
          <w:b/>
        </w:rPr>
        <w:t>Later source:</w:t>
      </w:r>
      <w:r>
        <w:t xml:space="preserve"> Unraveling European electricity price volatility: The impact of renewables — https://doi.org/10.1016/j.esr.2026.102144</w:t>
      </w:r>
    </w:p>
    <w:p>
      <w:pPr>
        <w:pStyle w:val="SourceNote"/>
      </w:pPr>
      <w:r>
        <w:rPr>
          <w:b/>
        </w:rPr>
        <w:t>Review status:</w:t>
      </w:r>
      <w:r>
        <w:t xml:space="preserve"> unchecked — possible relationship only</w:t>
      </w:r>
    </w:p>
    <w:p>
      <w:pPr>
        <w:pStyle w:val="Heading2"/>
      </w:pPr>
      <w:r>
        <w:t>305. Claim + two later sources: Estimation and Forecasts for the Share of Renewable Energy Consumption in Final Energy Consumption by 2020 in the European Union</w:t>
      </w:r>
    </w:p>
    <w:p>
      <w:pPr>
        <w:pStyle w:val="SourceNote"/>
      </w:pPr>
      <w:r>
        <w:rPr>
          <w:b/>
        </w:rPr>
        <w:t>Group ID:</w:t>
      </w:r>
      <w:r>
        <w:t xml:space="preserve"> group-ef1cf18face1a66294f7</w:t>
      </w:r>
    </w:p>
    <w:p>
      <w:pPr>
        <w:pStyle w:val="SourceNote"/>
      </w:pPr>
      <w:r>
        <w:rPr>
          <w:b/>
        </w:rPr>
        <w:t>Original source:</w:t>
      </w:r>
      <w:r>
        <w:t xml:space="preserve"> https://doi.org/10.3390/su10051515</w:t>
      </w:r>
    </w:p>
    <w:p>
      <w:pPr/>
      <w:r>
        <w:rPr>
          <w:b/>
        </w:rPr>
        <w:t>Original future claim:</w:t>
      </w:r>
      <w:r>
        <w:t xml:space="preserve"> 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r>
        <w:rPr>
          <w:b/>
        </w:rPr>
        <w:t>Later source:</w:t>
      </w:r>
      <w:r>
        <w:t xml:space="preserve"> Antidepressant drug use in Europe: past consumption, prescribing patterns and forecast until 2030 — https://doi.org/10.1007/s11096-025-02078-9</w:t>
      </w:r>
    </w:p>
    <w:p>
      <w:pPr/>
      <w:r>
        <w:rPr>
          <w:b/>
        </w:rPr>
        <w:t>Later source:</w:t>
      </w:r>
      <w:r>
        <w:t xml:space="preserve"> Multi-Day Forecasting of Day-Ahead Electricity Prices under Input Forecast Uncertainty — https://doi.org/10.1109/eem68581.2026.11589786</w:t>
      </w:r>
    </w:p>
    <w:p>
      <w:pPr>
        <w:pStyle w:val="SourceNote"/>
      </w:pPr>
      <w:r>
        <w:rPr>
          <w:b/>
        </w:rPr>
        <w:t>Review status:</w:t>
      </w:r>
      <w:r>
        <w:t xml:space="preserve"> unchecked — possible relationship only</w:t>
      </w:r>
    </w:p>
    <w:p>
      <w:pPr>
        <w:pStyle w:val="Heading2"/>
      </w:pPr>
      <w:r>
        <w:t>306. Claim + two later sources: Multi-Model Projections of River Flood Risk in Europe under Global Warming</w:t>
      </w:r>
    </w:p>
    <w:p>
      <w:pPr>
        <w:pStyle w:val="SourceNote"/>
      </w:pPr>
      <w:r>
        <w:rPr>
          <w:b/>
        </w:rPr>
        <w:t>Group ID:</w:t>
      </w:r>
      <w:r>
        <w:t xml:space="preserve"> group-dd3bbea5a9ed51df0319</w:t>
      </w:r>
    </w:p>
    <w:p>
      <w:pPr>
        <w:pStyle w:val="SourceNote"/>
      </w:pPr>
      <w:r>
        <w:rPr>
          <w:b/>
        </w:rPr>
        <w:t>Original source:</w:t>
      </w:r>
      <w:r>
        <w:t xml:space="preserve"> https://doi.org/10.3390/cli6010006</w:t>
      </w:r>
    </w:p>
    <w:p>
      <w:pPr/>
      <w:r>
        <w:rPr>
          <w:b/>
        </w:rPr>
        <w:t>Original future claim:</w:t>
      </w:r>
      <w:r>
        <w:t xml:space="preserve"> 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r>
        <w:rPr>
          <w:b/>
        </w:rPr>
        <w:t>Later source:</w:t>
      </w:r>
      <w:r>
        <w:t xml:space="preserve"> Systemic barriers and untapped potentials: a SWOT study on the implementation of natural/small water retention measures in Europe — https://doi.org/10.1016/j.jrurstud.2026.104099</w:t>
      </w:r>
    </w:p>
    <w:p>
      <w:pPr/>
      <w:r>
        <w:rPr>
          <w:b/>
        </w:rPr>
        <w:t>Later source:</w:t>
      </w:r>
      <w:r>
        <w:t xml:space="preserve"> A Soil Monitoring Law for Europe — https://doi.org/10.1002/gch2.202400336</w:t>
      </w:r>
    </w:p>
    <w:p>
      <w:pPr>
        <w:pStyle w:val="SourceNote"/>
      </w:pPr>
      <w:r>
        <w:rPr>
          <w:b/>
        </w:rPr>
        <w:t>Review status:</w:t>
      </w:r>
      <w:r>
        <w:t xml:space="preserve"> unchecked — possible relationship only</w:t>
      </w:r>
    </w:p>
    <w:p>
      <w:pPr>
        <w:pStyle w:val="Heading2"/>
      </w:pPr>
      <w:r>
        <w:t>307. Claim + two later sources: EUROPEAN UNION STRATEGIC AUTONOMY IN THE CONTEXT OF THE CONFERENCE ON THE FUTURE OF EUROPE</w:t>
      </w:r>
    </w:p>
    <w:p>
      <w:pPr>
        <w:pStyle w:val="SourceNote"/>
      </w:pPr>
      <w:r>
        <w:rPr>
          <w:b/>
        </w:rPr>
        <w:t>Group ID:</w:t>
      </w:r>
      <w:r>
        <w:t xml:space="preserve"> group-fa3d46ad56ab2e882950</w:t>
      </w:r>
    </w:p>
    <w:p>
      <w:pPr>
        <w:pStyle w:val="SourceNote"/>
      </w:pPr>
      <w:r>
        <w:rPr>
          <w:b/>
        </w:rPr>
        <w:t>Original source:</w:t>
      </w:r>
      <w:r>
        <w:t xml:space="preserve"> https://doi.org/10.61801/auoc-sp.2021.04</w:t>
      </w:r>
    </w:p>
    <w:p>
      <w:pPr/>
      <w:r>
        <w:rPr>
          <w:b/>
        </w:rPr>
        <w:t>Original future claim:</w:t>
      </w:r>
      <w:r>
        <w:t xml:space="preserve"> 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r>
        <w:rPr>
          <w:b/>
        </w:rPr>
        <w:t>Later source:</w:t>
      </w:r>
      <w:r>
        <w:t xml:space="preserve"> Customs strategy of Ukraine as a tool for achieving sustainable development goals — https://doi.org/10.26565/2786-4995-2026-1-15</w:t>
      </w:r>
    </w:p>
    <w:p>
      <w:pPr/>
      <w:r>
        <w:rPr>
          <w:b/>
        </w:rPr>
        <w:t>Later source:</w:t>
      </w:r>
      <w:r>
        <w:t xml:space="preserve"> The European Commission’s Commitment to Increasing the Social Legitimacy of the European Green Deal Strategy — https://doi.org/10.33067/se.1.2026.17</w:t>
      </w:r>
    </w:p>
    <w:p>
      <w:pPr>
        <w:pStyle w:val="SourceNote"/>
      </w:pPr>
      <w:r>
        <w:rPr>
          <w:b/>
        </w:rPr>
        <w:t>Review status:</w:t>
      </w:r>
      <w:r>
        <w:t xml:space="preserve"> unchecked — possible relationship only</w:t>
      </w:r>
    </w:p>
    <w:p>
      <w:pPr>
        <w:pStyle w:val="Heading2"/>
      </w:pPr>
      <w:r>
        <w:t>308. Claim + two later sources: Assessing Energy Descent Scenarios for the Ecological Transition in Spain 2020–2030</w:t>
      </w:r>
    </w:p>
    <w:p>
      <w:pPr>
        <w:pStyle w:val="SourceNote"/>
      </w:pPr>
      <w:r>
        <w:rPr>
          <w:b/>
        </w:rPr>
        <w:t>Group ID:</w:t>
      </w:r>
      <w:r>
        <w:t xml:space="preserve"> group-586f5567139dc999bc87</w:t>
      </w:r>
    </w:p>
    <w:p>
      <w:pPr>
        <w:pStyle w:val="SourceNote"/>
      </w:pPr>
      <w:r>
        <w:rPr>
          <w:b/>
        </w:rPr>
        <w:t>Original source:</w:t>
      </w:r>
      <w:r>
        <w:t xml:space="preserve"> https://doi.org/10.3390/su132111867</w:t>
      </w:r>
    </w:p>
    <w:p>
      <w:pPr/>
      <w:r>
        <w:rPr>
          <w:b/>
        </w:rPr>
        <w:t>Original future claim:</w:t>
      </w:r>
      <w:r>
        <w:t xml:space="preserve"> 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r>
        <w:rPr>
          <w:b/>
        </w:rPr>
        <w:t>Later source:</w:t>
      </w:r>
      <w:r>
        <w:t xml:space="preserve"> Economy, Geology and Sustainability: on the Security of Potash Supply in Spain and Europe and the Importance of Fertilizers for European Agriculture — https://doi.org/10.21701/bolgeomin/137.2/004</w:t>
      </w:r>
    </w:p>
    <w:p>
      <w:pPr/>
      <w:r>
        <w:rPr>
          <w:b/>
        </w:rPr>
        <w:t>Later source:</w:t>
      </w:r>
      <w:r>
        <w:t xml:space="preserve"> European Center-Left Parties and Immigration Issues (Examples of Britain, Germany and Spain — https://doi.org/10.20542/0131-2227-2026-70-9-57-65</w:t>
      </w:r>
    </w:p>
    <w:p>
      <w:pPr>
        <w:pStyle w:val="SourceNote"/>
      </w:pPr>
      <w:r>
        <w:rPr>
          <w:b/>
        </w:rPr>
        <w:t>Review status:</w:t>
      </w:r>
      <w:r>
        <w:t xml:space="preserve"> unchecked — possible relationship only</w:t>
      </w:r>
    </w:p>
    <w:p>
      <w:pPr>
        <w:pStyle w:val="Heading2"/>
      </w:pPr>
      <w:r>
        <w:t>309. Claim + two later sources: Future prospects for personal security in travel by public transport</w:t>
      </w:r>
    </w:p>
    <w:p>
      <w:pPr>
        <w:pStyle w:val="SourceNote"/>
      </w:pPr>
      <w:r>
        <w:rPr>
          <w:b/>
        </w:rPr>
        <w:t>Group ID:</w:t>
      </w:r>
      <w:r>
        <w:t xml:space="preserve"> group-62c5f6b7b43277958536</w:t>
      </w:r>
    </w:p>
    <w:p>
      <w:pPr>
        <w:pStyle w:val="SourceNote"/>
      </w:pPr>
      <w:r>
        <w:rPr>
          <w:b/>
        </w:rPr>
        <w:t>Original source:</w:t>
      </w:r>
      <w:r>
        <w:t xml:space="preserve"> https://doi.org/10.1080/03081060.2014.976980</w:t>
      </w:r>
    </w:p>
    <w:p>
      <w:pPr/>
      <w:r>
        <w:rPr>
          <w:b/>
        </w:rPr>
        <w:t>Original future claim:</w:t>
      </w:r>
      <w:r>
        <w:t xml:space="preserve"> Four future scenario narratives (to a 2040 time horizon) were developed for each application area. A final workshop consolidated and reviewed the narrative scenarios and pulled out key themes and priority issues for policy, practice and research for the near term.</w:t>
      </w:r>
    </w:p>
    <w:p>
      <w:pPr/>
      <w:r>
        <w:rPr>
          <w:b/>
        </w:rPr>
        <w:t>Later source:</w:t>
      </w:r>
      <w:r>
        <w:t xml:space="preserve"> Developing a patient narrative interview guide using the Delphi method — https://doi.org/10.1186/s12909-026-08795-7</w:t>
      </w:r>
    </w:p>
    <w:p>
      <w:pPr/>
      <w:r>
        <w:rPr>
          <w:b/>
        </w:rPr>
        <w:t>Later source:</w:t>
      </w:r>
      <w:r>
        <w:t xml:space="preserve"> PRACTICAL APPROACHES TO DEVELOPING CREATIVE THINKING IN PRESCHOOL CHILDREN: A NARRATIVE REVIEW — https://doi.org/10.5281/zenodo.23090972</w:t>
      </w:r>
    </w:p>
    <w:p>
      <w:pPr>
        <w:pStyle w:val="SourceNote"/>
      </w:pPr>
      <w:r>
        <w:rPr>
          <w:b/>
        </w:rPr>
        <w:t>Review status:</w:t>
      </w:r>
      <w:r>
        <w:t xml:space="preserve"> unchecked — possible relationship only</w:t>
      </w:r>
    </w:p>
    <w:p>
      <w:pPr>
        <w:pStyle w:val="Heading2"/>
      </w:pPr>
      <w:r>
        <w:t>310. Claim + two later sources: A Mismatch in Future Narratives? A Comparative Analysis Between Energy Futures in Policy and of Citizens</w:t>
      </w:r>
    </w:p>
    <w:p>
      <w:pPr>
        <w:pStyle w:val="SourceNote"/>
      </w:pPr>
      <w:r>
        <w:rPr>
          <w:b/>
        </w:rPr>
        <w:t>Group ID:</w:t>
      </w:r>
      <w:r>
        <w:t xml:space="preserve"> group-087d38f6ce0220906854</w:t>
      </w:r>
    </w:p>
    <w:p>
      <w:pPr>
        <w:pStyle w:val="SourceNote"/>
      </w:pPr>
      <w:r>
        <w:rPr>
          <w:b/>
        </w:rPr>
        <w:t>Original source:</w:t>
      </w:r>
      <w:r>
        <w:t xml:space="preserve"> https://doi.org/10.3389/frsc.2021.654162</w:t>
      </w:r>
    </w:p>
    <w:p>
      <w:pPr/>
      <w:r>
        <w:rPr>
          <w:b/>
        </w:rPr>
        <w:t>Original future claim:</w:t>
      </w:r>
      <w:r>
        <w:t xml:space="preserve"> 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r>
        <w:rPr>
          <w:b/>
        </w:rPr>
        <w:t>Later source:</w:t>
      </w:r>
      <w:r>
        <w:t xml:space="preserve"> Bridging Stakeholder Narratives for Sustainable Peatland Conservation — https://doi.org/10.1007/s41748-026-01141-3</w:t>
      </w:r>
    </w:p>
    <w:p>
      <w:pPr/>
      <w:r>
        <w:rPr>
          <w:b/>
        </w:rPr>
        <w:t>Later source:</w:t>
      </w:r>
      <w:r>
        <w:t xml:space="preserve"> Game of Mirrors for Complex Policies: The Narratives on Differentiated Autonomy in Italy — https://doi.org/10.1111/polp.70172</w:t>
      </w:r>
    </w:p>
    <w:p>
      <w:pPr>
        <w:pStyle w:val="SourceNote"/>
      </w:pPr>
      <w:r>
        <w:rPr>
          <w:b/>
        </w:rPr>
        <w:t>Review status:</w:t>
      </w:r>
      <w:r>
        <w:t xml:space="preserve"> unchecked — possible relationship only</w:t>
      </w:r>
    </w:p>
    <w:p>
      <w:pPr>
        <w:pStyle w:val="Heading2"/>
      </w:pPr>
      <w:r>
        <w:t>311. Claim + two later sources: Past and Future Trends in Refugee Migration on the Regional Level in Germany – An Analysis and Projection of Labor Market Effects</w:t>
      </w:r>
    </w:p>
    <w:p>
      <w:pPr>
        <w:pStyle w:val="SourceNote"/>
      </w:pPr>
      <w:r>
        <w:rPr>
          <w:b/>
        </w:rPr>
        <w:t>Group ID:</w:t>
      </w:r>
      <w:r>
        <w:t xml:space="preserve"> group-49092ef91bc5beb467a3</w:t>
      </w:r>
    </w:p>
    <w:p>
      <w:pPr>
        <w:pStyle w:val="SourceNote"/>
      </w:pPr>
      <w:r>
        <w:rPr>
          <w:b/>
        </w:rPr>
        <w:t>Original source:</w:t>
      </w:r>
      <w:r>
        <w:t xml:space="preserve"> https://doi.org/10.12765/cpos-2022-17</w:t>
      </w:r>
    </w:p>
    <w:p>
      <w:pPr/>
      <w:r>
        <w:rPr>
          <w:b/>
        </w:rPr>
        <w:t>Original future claim:</w:t>
      </w:r>
      <w:r>
        <w:t xml:space="preserve"> 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r>
        <w:rPr>
          <w:b/>
        </w:rPr>
        <w:t>Later source:</w:t>
      </w:r>
      <w:r>
        <w:t xml:space="preserve"> Regional economic impact of the Next Generation European Union recovery plan — https://doi.org/10.1016/j.pirs.2025.100105</w:t>
      </w:r>
    </w:p>
    <w:p>
      <w:pPr/>
      <w:r>
        <w:rPr>
          <w:b/>
        </w:rPr>
        <w:t>Later source:</w:t>
      </w:r>
      <w:r>
        <w:t xml:space="preserve"> Dissecting the Decline in Average Hours Worked in Europe — https://doi.org/10.5089/9798400261183.001</w:t>
      </w:r>
    </w:p>
    <w:p>
      <w:pPr>
        <w:pStyle w:val="SourceNote"/>
      </w:pPr>
      <w:r>
        <w:rPr>
          <w:b/>
        </w:rPr>
        <w:t>Review status:</w:t>
      </w:r>
      <w:r>
        <w:t xml:space="preserve"> unchecked — possible relationship only</w:t>
      </w:r>
    </w:p>
    <w:p>
      <w:pPr>
        <w:pStyle w:val="Heading2"/>
      </w:pPr>
      <w:r>
        <w:t>312. Claim + two later sources: The EU Decarbonisation Roadmap 2050—What way to walk?</w:t>
      </w:r>
    </w:p>
    <w:p>
      <w:pPr>
        <w:pStyle w:val="SourceNote"/>
      </w:pPr>
      <w:r>
        <w:rPr>
          <w:b/>
        </w:rPr>
        <w:t>Group ID:</w:t>
      </w:r>
      <w:r>
        <w:t xml:space="preserve"> group-408ce1fcecc47a3efaa1</w:t>
      </w:r>
    </w:p>
    <w:p>
      <w:pPr>
        <w:pStyle w:val="SourceNote"/>
      </w:pPr>
      <w:r>
        <w:rPr>
          <w:b/>
        </w:rPr>
        <w:t>Original source:</w:t>
      </w:r>
      <w:r>
        <w:t xml:space="preserve"> https://doi.org/10.1016/j.enpol.2012.11.054</w:t>
      </w:r>
    </w:p>
    <w:p>
      <w:pPr/>
      <w:r>
        <w:rPr>
          <w:b/>
        </w:rPr>
        <w:t>Original future claim:</w:t>
      </w:r>
      <w:r>
        <w:t xml:space="preserve"> 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r>
        <w:rPr>
          <w:b/>
        </w:rPr>
        <w:t>Later source:</w:t>
      </w:r>
      <w:r>
        <w:t xml:space="preserve"> 4.N. Round table: Policy options for fixing the global and European health and care workforce-crisis — https://doi.org/10.1093/eurpub/ckad160.260</w:t>
      </w:r>
    </w:p>
    <w:p>
      <w:pPr/>
      <w:r>
        <w:rPr>
          <w:b/>
        </w:rPr>
        <w:t>Later source:</w:t>
      </w:r>
      <w:r>
        <w:t xml:space="preserve"> The clean development mechanism in Eastern Europe: an in-depth exploration — https://doi.org/10.1007/s11356-022-20988-3</w:t>
      </w:r>
    </w:p>
    <w:p>
      <w:pPr>
        <w:pStyle w:val="SourceNote"/>
      </w:pPr>
      <w:r>
        <w:rPr>
          <w:b/>
        </w:rPr>
        <w:t>Review status:</w:t>
      </w:r>
      <w:r>
        <w:t xml:space="preserve"> unchecked — possible relationship only</w:t>
      </w:r>
    </w:p>
    <w:p>
      <w:pPr>
        <w:pStyle w:val="Heading2"/>
      </w:pPr>
      <w:r>
        <w:t>313. Claim + two later sources: Food futures: system transitions towards UK food security</w:t>
      </w:r>
    </w:p>
    <w:p>
      <w:pPr>
        <w:pStyle w:val="SourceNote"/>
      </w:pPr>
      <w:r>
        <w:rPr>
          <w:b/>
        </w:rPr>
        <w:t>Group ID:</w:t>
      </w:r>
      <w:r>
        <w:t xml:space="preserve"> group-659b6e0e2ea90e8d9160</w:t>
      </w:r>
    </w:p>
    <w:p>
      <w:pPr>
        <w:pStyle w:val="SourceNote"/>
      </w:pPr>
      <w:r>
        <w:rPr>
          <w:b/>
        </w:rPr>
        <w:t>Original source:</w:t>
      </w:r>
      <w:r>
        <w:t xml:space="preserve"> https://doi.org/10.4337/jhre.2011.02.04</w:t>
      </w:r>
    </w:p>
    <w:p>
      <w:pPr/>
      <w:r>
        <w:rPr>
          <w:b/>
        </w:rPr>
        <w:t>Original future claim:</w:t>
      </w:r>
      <w:r>
        <w:t xml:space="preserve"> This article explains how scenarios of this kind can try and capture landscape pressures which might threaten the dominant paradigm and leave room for niche activity to challenge the mainstream.</w:t>
      </w:r>
    </w:p>
    <w:p>
      <w:pPr/>
      <w:r>
        <w:rPr>
          <w:b/>
        </w:rPr>
        <w:t>Later source:</w:t>
      </w:r>
      <w:r>
        <w:t xml:space="preserve"> Clause Encounters of the Third Kind — https://doi.org/10.1093/9780198945215.003.0252</w:t>
      </w:r>
    </w:p>
    <w:p>
      <w:pPr/>
      <w:r>
        <w:rPr>
          <w:b/>
        </w:rPr>
        <w:t>Later source:</w:t>
      </w:r>
      <w:r>
        <w:t xml:space="preserve"> Carbon capture and utilization under EU law: impermanent storage of CO2 in products and pre-combustion carbon capture — https://doi.org/10.1093/jwelb/jwae009</w:t>
      </w:r>
    </w:p>
    <w:p>
      <w:pPr>
        <w:pStyle w:val="SourceNote"/>
      </w:pPr>
      <w:r>
        <w:rPr>
          <w:b/>
        </w:rPr>
        <w:t>Review status:</w:t>
      </w:r>
      <w:r>
        <w:t xml:space="preserve"> unchecked — possible relationship only</w:t>
      </w:r>
    </w:p>
    <w:p>
      <w:pPr>
        <w:pStyle w:val="Heading2"/>
      </w:pPr>
      <w:r>
        <w:t>314. Claim + two later sources: Scenario forecasting of consumption of main organic livestock products in Ukraine</w:t>
      </w:r>
    </w:p>
    <w:p>
      <w:pPr>
        <w:pStyle w:val="SourceNote"/>
      </w:pPr>
      <w:r>
        <w:rPr>
          <w:b/>
        </w:rPr>
        <w:t>Group ID:</w:t>
      </w:r>
      <w:r>
        <w:t xml:space="preserve"> group-1a89872cd6fe5d5fb8eb</w:t>
      </w:r>
    </w:p>
    <w:p>
      <w:pPr>
        <w:pStyle w:val="SourceNote"/>
      </w:pPr>
      <w:r>
        <w:rPr>
          <w:b/>
        </w:rPr>
        <w:t>Original source:</w:t>
      </w:r>
      <w:r>
        <w:t xml:space="preserve"> https://doi.org/10.51599/are.2021.07.03.02</w:t>
      </w:r>
    </w:p>
    <w:p>
      <w:pPr/>
      <w:r>
        <w:rPr>
          <w:b/>
        </w:rPr>
        <w:t>Original future claim:</w:t>
      </w:r>
      <w:r>
        <w:t xml:space="preserve"> 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r>
        <w:rPr>
          <w:b/>
        </w:rPr>
        <w:t>Later source:</w:t>
      </w:r>
      <w:r>
        <w:t xml:space="preserve"> Forecasting the dynamics of food security indicators in Ukraine during the wartime period of 2025-2026 — https://doi.org/10.32317/ekon.apk/1.2026.20</w:t>
      </w:r>
    </w:p>
    <w:p>
      <w:pPr/>
      <w:r>
        <w:rPr>
          <w:b/>
        </w:rPr>
        <w:t>Later source:</w:t>
      </w:r>
      <w:r>
        <w:t xml:space="preserve"> MODELS AND METHODS FOR HEALTHCARE RESOURCE FORECASTING IN URBAN AGGLOMERATIONS: A LITERARY REVIEW — https://doi.org/10.64854/2790-1289-2026-52-2-09</w:t>
      </w:r>
    </w:p>
    <w:p>
      <w:pPr>
        <w:pStyle w:val="SourceNote"/>
      </w:pPr>
      <w:r>
        <w:rPr>
          <w:b/>
        </w:rPr>
        <w:t>Review status:</w:t>
      </w:r>
      <w:r>
        <w:t xml:space="preserve"> unchecked — possible relationship only</w:t>
      </w:r>
    </w:p>
    <w:p>
      <w:pPr>
        <w:pStyle w:val="Heading2"/>
      </w:pPr>
      <w:r>
        <w:t>315. Claim + two later sources: European electricity sector decarbonization under different levels of foresight</w:t>
      </w:r>
    </w:p>
    <w:p>
      <w:pPr>
        <w:pStyle w:val="SourceNote"/>
      </w:pPr>
      <w:r>
        <w:rPr>
          <w:b/>
        </w:rPr>
        <w:t>Group ID:</w:t>
      </w:r>
      <w:r>
        <w:t xml:space="preserve"> group-63c1ebe987f44a8df4bb</w:t>
      </w:r>
    </w:p>
    <w:p>
      <w:pPr>
        <w:pStyle w:val="SourceNote"/>
      </w:pPr>
      <w:r>
        <w:rPr>
          <w:b/>
        </w:rPr>
        <w:t>Original source:</w:t>
      </w:r>
      <w:r>
        <w:t xml:space="preserve"> https://doi.org/10.1016/j.renene.2019.02.099</w:t>
      </w:r>
    </w:p>
    <w:p>
      <w:pPr/>
      <w:r>
        <w:rPr>
          <w:b/>
        </w:rPr>
        <w:t>Original future claim:</w:t>
      </w:r>
      <w:r>
        <w:t xml:space="preserve"> 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r>
        <w:rPr>
          <w:b/>
        </w:rPr>
        <w:t>Later source:</w:t>
      </w:r>
      <w:r>
        <w:t xml:space="preserve"> CO2 Emissions Scenarios in the European Union—The Urgency of Carbon Capture and Controlled Economic Growth — https://doi.org/10.3390/su18021043</w:t>
      </w:r>
    </w:p>
    <w:p>
      <w:pPr/>
      <w:r>
        <w:rPr>
          <w:b/>
        </w:rPr>
        <w:t>Later source:</w:t>
      </w:r>
      <w:r>
        <w:t xml:space="preserve"> Carbon reduction commitment, carbon emission intensity, and financial default risk: An empirical analysis of European firms — https://doi.org/10.1177/0958305x261481733</w:t>
      </w:r>
    </w:p>
    <w:p>
      <w:pPr>
        <w:pStyle w:val="SourceNote"/>
      </w:pPr>
      <w:r>
        <w:rPr>
          <w:b/>
        </w:rPr>
        <w:t>Review status:</w:t>
      </w:r>
      <w:r>
        <w:t xml:space="preserve"> unchecked — possible relationship only</w:t>
      </w:r>
    </w:p>
    <w:p>
      <w:pPr>
        <w:pStyle w:val="Heading2"/>
      </w:pPr>
      <w:r>
        <w:t>316. Claim + two later sources: New opportunities for future tourism after 25 years of political and socioeconomic transformation – foresight in Poland’s tourism planning</w:t>
      </w:r>
    </w:p>
    <w:p>
      <w:pPr>
        <w:pStyle w:val="SourceNote"/>
      </w:pPr>
      <w:r>
        <w:rPr>
          <w:b/>
        </w:rPr>
        <w:t>Group ID:</w:t>
      </w:r>
      <w:r>
        <w:t xml:space="preserve"> group-66dbff0d31dc3d6582dd</w:t>
      </w:r>
    </w:p>
    <w:p>
      <w:pPr>
        <w:pStyle w:val="SourceNote"/>
      </w:pPr>
      <w:r>
        <w:rPr>
          <w:b/>
        </w:rPr>
        <w:t>Original source:</w:t>
      </w:r>
      <w:r>
        <w:t xml:space="preserve"> https://doi.org/10.1108/jtf-05-2015-0031</w:t>
      </w:r>
    </w:p>
    <w:p>
      <w:pPr/>
      <w:r>
        <w:rPr>
          <w:b/>
        </w:rPr>
        <w:t>Original future claim:</w:t>
      </w:r>
      <w:r>
        <w:t xml:space="preserve"> 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r>
        <w:rPr>
          <w:b/>
        </w:rPr>
        <w:t>Later source:</w:t>
      </w:r>
      <w:r>
        <w:t xml:space="preserve"> Scrutinising European land-use planning: Identifying the priorities and goals of building regulations — https://doi.org/10.1016/j.landusepol.2025.107916</w:t>
      </w:r>
    </w:p>
    <w:p>
      <w:pPr/>
      <w:r>
        <w:rPr>
          <w:b/>
        </w:rPr>
        <w:t>Later source:</w:t>
      </w:r>
      <w:r>
        <w:t xml:space="preserve"> From the Single European Act to the One Europe, One Market Agenda. — https://doi.org/10.22370/pe.2026.20.5851</w:t>
      </w:r>
    </w:p>
    <w:p>
      <w:pPr>
        <w:pStyle w:val="SourceNote"/>
      </w:pPr>
      <w:r>
        <w:rPr>
          <w:b/>
        </w:rPr>
        <w:t>Review status:</w:t>
      </w:r>
      <w:r>
        <w:t xml:space="preserve"> unchecked — possible relationship only</w:t>
      </w:r>
    </w:p>
    <w:p>
      <w:pPr>
        <w:pStyle w:val="Heading2"/>
      </w:pPr>
      <w:r>
        <w:t>317. Claim + two later sources: Central-East European employees on the labour market of London</w:t>
      </w:r>
    </w:p>
    <w:p>
      <w:pPr>
        <w:pStyle w:val="SourceNote"/>
      </w:pPr>
      <w:r>
        <w:rPr>
          <w:b/>
        </w:rPr>
        <w:t>Group ID:</w:t>
      </w:r>
      <w:r>
        <w:t xml:space="preserve"> group-388964dc67841b40b97e</w:t>
      </w:r>
    </w:p>
    <w:p>
      <w:pPr>
        <w:pStyle w:val="SourceNote"/>
      </w:pPr>
      <w:r>
        <w:rPr>
          <w:b/>
        </w:rPr>
        <w:t>Original source:</w:t>
      </w:r>
      <w:r>
        <w:t xml:space="preserve"> https://doi.org/10.33605/croma-012018-004</w:t>
      </w:r>
    </w:p>
    <w:p>
      <w:pPr/>
      <w:r>
        <w:rPr>
          <w:b/>
        </w:rPr>
        <w:t>Original future claim:</w:t>
      </w:r>
      <w:r>
        <w:t xml:space="preserve"> Practical implications – The conclusions of the study provide an adequate framework for the development of a rational economic policy program, which is the basis for future development, for the conscious development of the future of our region.</w:t>
      </w:r>
    </w:p>
    <w:p>
      <w:pPr/>
      <w:r>
        <w:rPr>
          <w:b/>
        </w:rPr>
        <w:t>Later source:</w:t>
      </w:r>
      <w:r>
        <w:t xml:space="preserve"> THE HUMAN RIGHTS CRISIS IN AI DEVELOPMENT AND USE: DOES THE EUROPEAN FRAMEWORK PROVIDE AN ADEQUATE PROTECTION? — https://doi.org/10.70382/caijlphr.v9i6.038</w:t>
      </w:r>
    </w:p>
    <w:p>
      <w:pPr/>
      <w:r>
        <w:rPr>
          <w:b/>
        </w:rPr>
        <w:t>Later source:</w:t>
      </w:r>
      <w:r>
        <w:t xml:space="preserve"> Cross‐border dimensions of Arctic climate change impacts and implications for Europe — https://doi.org/10.1002/wcc.905</w:t>
      </w:r>
    </w:p>
    <w:p>
      <w:pPr>
        <w:pStyle w:val="SourceNote"/>
      </w:pPr>
      <w:r>
        <w:rPr>
          <w:b/>
        </w:rPr>
        <w:t>Review status:</w:t>
      </w:r>
      <w:r>
        <w:t xml:space="preserve"> unchecked — possible relationship only</w:t>
      </w:r>
    </w:p>
    <w:p>
      <w:pPr>
        <w:pStyle w:val="Heading2"/>
      </w:pPr>
      <w:r>
        <w:t>318. Claim + two later sources: Scenarios of Automated Mobility in Austria: Implications for Future Transport Policy</w:t>
      </w:r>
    </w:p>
    <w:p>
      <w:pPr>
        <w:pStyle w:val="SourceNote"/>
      </w:pPr>
      <w:r>
        <w:rPr>
          <w:b/>
        </w:rPr>
        <w:t>Group ID:</w:t>
      </w:r>
      <w:r>
        <w:t xml:space="preserve"> group-24b0aa5eec65cc3c6b0d</w:t>
      </w:r>
    </w:p>
    <w:p>
      <w:pPr>
        <w:pStyle w:val="SourceNote"/>
      </w:pPr>
      <w:r>
        <w:rPr>
          <w:b/>
        </w:rPr>
        <w:t>Original source:</w:t>
      </w:r>
      <w:r>
        <w:t xml:space="preserve"> https://doi.org/10.3390/futuretransp1030041</w:t>
      </w:r>
    </w:p>
    <w:p>
      <w:pPr/>
      <w:r>
        <w:rPr>
          <w:b/>
        </w:rPr>
        <w:t>Original future claim:</w:t>
      </w:r>
      <w:r>
        <w:t xml:space="preserve"> 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r>
        <w:rPr>
          <w:b/>
        </w:rPr>
        <w:t>Later source:</w:t>
      </w:r>
      <w:r>
        <w:t xml:space="preserve"> Future Changes of European Windstorm Losses in EURO-CORDEX Simulations — https://doi.org/10.16993/tellusa.4094</w:t>
      </w:r>
    </w:p>
    <w:p>
      <w:pPr/>
      <w:r>
        <w:rPr>
          <w:b/>
        </w:rPr>
        <w:t>Later source:</w:t>
      </w:r>
      <w:r>
        <w:t xml:space="preserve"> Assessing innovative transport technologies and policies — https://doi.org/10.5463/thesis.1257</w:t>
      </w:r>
    </w:p>
    <w:p>
      <w:pPr>
        <w:pStyle w:val="SourceNote"/>
      </w:pPr>
      <w:r>
        <w:rPr>
          <w:b/>
        </w:rPr>
        <w:t>Review status:</w:t>
      </w:r>
      <w:r>
        <w:t xml:space="preserve"> unchecked — possible relationship only</w:t>
      </w:r>
    </w:p>
    <w:p>
      <w:pPr>
        <w:pStyle w:val="Heading2"/>
      </w:pPr>
      <w:r>
        <w:t>319. Claim + two later sources: Long term impact of residue management on soil organic carbon stocks and nitrous oxide emissions from European croplands</w:t>
      </w:r>
    </w:p>
    <w:p>
      <w:pPr>
        <w:pStyle w:val="SourceNote"/>
      </w:pPr>
      <w:r>
        <w:rPr>
          <w:b/>
        </w:rPr>
        <w:t>Group ID:</w:t>
      </w:r>
      <w:r>
        <w:t xml:space="preserve"> group-6a22ca030b6dd41ae036</w:t>
      </w:r>
    </w:p>
    <w:p>
      <w:pPr>
        <w:pStyle w:val="SourceNote"/>
      </w:pPr>
      <w:r>
        <w:rPr>
          <w:b/>
        </w:rPr>
        <w:t>Original source:</w:t>
      </w:r>
      <w:r>
        <w:t xml:space="preserve"> https://doi.org/10.1016/j.scitotenv.2022.154932</w:t>
      </w:r>
    </w:p>
    <w:p>
      <w:pPr/>
      <w:r>
        <w:rPr>
          <w:b/>
        </w:rPr>
        <w:t>Original future claim:</w:t>
      </w:r>
      <w:r>
        <w:t xml:space="preserve"> 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r>
        <w:rPr>
          <w:b/>
        </w:rPr>
        <w:t>Later source:</w:t>
      </w:r>
      <w:r>
        <w:t xml:space="preserve"> Impacts on Soil Health of Soil Improvers Derived from Agri-Food Processing Residues: a Systematic Review with a Focus on European Field Studies — https://doi.org/10.1007/s42729-026-03037-7</w:t>
      </w:r>
    </w:p>
    <w:p>
      <w:pPr/>
      <w:r>
        <w:rPr>
          <w:b/>
        </w:rPr>
        <w:t>Later source:</w:t>
      </w:r>
      <w:r>
        <w:t xml:space="preserve"> Biophysical climate responses to albedo management for wheat residue retention, cover crops, and pale wheat across European croplands — https://doi.org/10.5194/egusphere-egu26-9895</w:t>
      </w:r>
    </w:p>
    <w:p>
      <w:pPr>
        <w:pStyle w:val="SourceNote"/>
      </w:pPr>
      <w:r>
        <w:rPr>
          <w:b/>
        </w:rPr>
        <w:t>Review status:</w:t>
      </w:r>
      <w:r>
        <w:t xml:space="preserve"> unchecked — possible relationship only</w:t>
      </w:r>
    </w:p>
    <w:p>
      <w:pPr>
        <w:pStyle w:val="Heading2"/>
      </w:pPr>
      <w:r>
        <w:t>320. Claim + two later sources: Renewables in the European power system and the impact on system rotational inertia</w:t>
      </w:r>
    </w:p>
    <w:p>
      <w:pPr>
        <w:pStyle w:val="SourceNote"/>
      </w:pPr>
      <w:r>
        <w:rPr>
          <w:b/>
        </w:rPr>
        <w:t>Group ID:</w:t>
      </w:r>
      <w:r>
        <w:t xml:space="preserve"> group-f7ea02c6ec7fac0bf46c</w:t>
      </w:r>
    </w:p>
    <w:p>
      <w:pPr>
        <w:pStyle w:val="SourceNote"/>
      </w:pPr>
      <w:r>
        <w:rPr>
          <w:b/>
        </w:rPr>
        <w:t>Original source:</w:t>
      </w:r>
      <w:r>
        <w:t xml:space="preserve"> https://doi.org/10.1016/j.energy.2020.117776</w:t>
      </w:r>
    </w:p>
    <w:p>
      <w:pPr/>
      <w:r>
        <w:rPr>
          <w:b/>
        </w:rPr>
        <w:t>Original future claim:</w:t>
      </w:r>
      <w:r>
        <w:t xml:space="preserve"> 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r>
        <w:rPr>
          <w:b/>
        </w:rPr>
        <w:t>Later source:</w:t>
      </w:r>
      <w:r>
        <w:t xml:space="preserve"> Policy Plateau and Structural Regime Shift: Hybrid Forecasting of the EU Decarbonisation Gap Toward 2030 Targets — https://doi.org/10.3390/su18021114</w:t>
      </w:r>
    </w:p>
    <w:p>
      <w:pPr/>
      <w:r>
        <w:rPr>
          <w:b/>
        </w:rPr>
        <w:t>Later source:</w:t>
      </w:r>
      <w:r>
        <w:t xml:space="preserve"> How can trade unions act strategically in response to decarbonisation? Union strategic capacity and automotive transition policies in Germany, Spain and the UK — https://doi.org/10.1177/10242589261444001</w:t>
      </w:r>
    </w:p>
    <w:p>
      <w:pPr>
        <w:pStyle w:val="SourceNote"/>
      </w:pPr>
      <w:r>
        <w:rPr>
          <w:b/>
        </w:rPr>
        <w:t>Review status:</w:t>
      </w:r>
      <w:r>
        <w:t xml:space="preserve"> unchecked — possible relationship only</w:t>
      </w:r>
    </w:p>
    <w:p>
      <w:pPr>
        <w:pStyle w:val="Heading2"/>
      </w:pPr>
      <w:r>
        <w:t>321. Claim + two later sources: Assessing the prospective resource base for enhanced geothermal systems in Europe</w:t>
      </w:r>
    </w:p>
    <w:p>
      <w:pPr>
        <w:pStyle w:val="SourceNote"/>
      </w:pPr>
      <w:r>
        <w:rPr>
          <w:b/>
        </w:rPr>
        <w:t>Group ID:</w:t>
      </w:r>
      <w:r>
        <w:t xml:space="preserve"> group-35e6990f8e1501a03267</w:t>
      </w:r>
    </w:p>
    <w:p>
      <w:pPr>
        <w:pStyle w:val="SourceNote"/>
      </w:pPr>
      <w:r>
        <w:rPr>
          <w:b/>
        </w:rPr>
        <w:t>Original source:</w:t>
      </w:r>
      <w:r>
        <w:t xml:space="preserve"> https://doi.org/10.5194/gtes-2-55-2014</w:t>
      </w:r>
    </w:p>
    <w:p>
      <w:pPr/>
      <w:r>
        <w:rPr>
          <w:b/>
        </w:rPr>
        <w:t>Original future claim:</w:t>
      </w:r>
      <w:r>
        <w:t xml:space="preserve"> 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r>
        <w:rPr>
          <w:b/>
        </w:rPr>
        <w:t>Later source:</w:t>
      </w:r>
      <w:r>
        <w:t xml:space="preserve"> Seismic interplay during the GRT-1 stimulation series of the Rittershoffen EGS reservoir — https://doi.org/10.3389/feart.2026.1738377</w:t>
      </w:r>
    </w:p>
    <w:p>
      <w:pPr/>
      <w:r>
        <w:rPr>
          <w:b/>
        </w:rPr>
        <w:t>Later source:</w:t>
      </w:r>
      <w:r>
        <w:t xml:space="preserve"> Policy levers and technological opportunities to achieve decarbonisation in Europe at minimal cost — https://doi.org/10.7488/era/7048</w:t>
      </w:r>
    </w:p>
    <w:p>
      <w:pPr>
        <w:pStyle w:val="SourceNote"/>
      </w:pPr>
      <w:r>
        <w:rPr>
          <w:b/>
        </w:rPr>
        <w:t>Review status:</w:t>
      </w:r>
      <w:r>
        <w:t xml:space="preserve"> unchecked — possible relationship only</w:t>
      </w:r>
    </w:p>
    <w:p>
      <w:pPr>
        <w:pStyle w:val="Heading2"/>
      </w:pPr>
      <w:r>
        <w:t>322. Claim + two later sources: Outlook of the European forest-based sector: forest growth, harvest demand, wood-product markets, and forest carbon dynamics implications</w:t>
      </w:r>
    </w:p>
    <w:p>
      <w:pPr>
        <w:pStyle w:val="SourceNote"/>
      </w:pPr>
      <w:r>
        <w:rPr>
          <w:b/>
        </w:rPr>
        <w:t>Group ID:</w:t>
      </w:r>
      <w:r>
        <w:t xml:space="preserve"> group-2a350b2f169980d258c9</w:t>
      </w:r>
    </w:p>
    <w:p>
      <w:pPr>
        <w:pStyle w:val="SourceNote"/>
      </w:pPr>
      <w:r>
        <w:rPr>
          <w:b/>
        </w:rPr>
        <w:t>Original source:</w:t>
      </w:r>
      <w:r>
        <w:t xml:space="preserve"> https://doi.org/10.3832/ifor2636-011</w:t>
      </w:r>
    </w:p>
    <w:p>
      <w:pPr/>
      <w:r>
        <w:rPr>
          <w:b/>
        </w:rPr>
        <w:t>Original future claim:</w:t>
      </w:r>
      <w:r>
        <w:t xml:space="preserve"> 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r>
        <w:rPr>
          <w:b/>
        </w:rPr>
        <w:t>Later source:</w:t>
      </w:r>
      <w:r>
        <w:t xml:space="preserve"> Assessing the Air Quality Impacts of Net-Zero GHG Emissions in Europe and Switzerland with ICON-ART — https://doi.org/10.5194/egusphere-egu25-2578</w:t>
      </w:r>
    </w:p>
    <w:p>
      <w:pPr/>
      <w:r>
        <w:rPr>
          <w:b/>
        </w:rPr>
        <w:t>Later source:</w:t>
      </w:r>
      <w:r>
        <w:t xml:space="preserve"> Gallium: Assessing the Long-Term Future Extraction, Supply, Recycling, and Price of Using WORLD7, in Relation to Future Technology Visions in the European Union — https://doi.org/10.1007/s41247-025-00125-7</w:t>
      </w:r>
    </w:p>
    <w:p>
      <w:pPr>
        <w:pStyle w:val="SourceNote"/>
      </w:pPr>
      <w:r>
        <w:rPr>
          <w:b/>
        </w:rPr>
        <w:t>Review status:</w:t>
      </w:r>
      <w:r>
        <w:t xml:space="preserve"> unchecked — possible relationship only</w:t>
      </w:r>
    </w:p>
    <w:p>
      <w:pPr>
        <w:pStyle w:val="Heading2"/>
      </w:pPr>
      <w:r>
        <w:t>323. Claim + two later sources: Scenario planning as communicative action: Lessons from participatory exercises conducted for the Scottish livestock industry</w:t>
      </w:r>
    </w:p>
    <w:p>
      <w:pPr>
        <w:pStyle w:val="SourceNote"/>
      </w:pPr>
      <w:r>
        <w:rPr>
          <w:b/>
        </w:rPr>
        <w:t>Group ID:</w:t>
      </w:r>
      <w:r>
        <w:t xml:space="preserve"> group-ed7e8d4a2c878bf64246</w:t>
      </w:r>
    </w:p>
    <w:p>
      <w:pPr>
        <w:pStyle w:val="SourceNote"/>
      </w:pPr>
      <w:r>
        <w:rPr>
          <w:b/>
        </w:rPr>
        <w:t>Original source:</w:t>
      </w:r>
      <w:r>
        <w:t xml:space="preserve"> https://doi.org/10.1016/j.techfore.2016.07.034</w:t>
      </w:r>
    </w:p>
    <w:p>
      <w:pPr/>
      <w:r>
        <w:rPr>
          <w:b/>
        </w:rPr>
        <w:t>Original future claim:</w:t>
      </w:r>
      <w:r>
        <w:t xml:space="preserve"> 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r>
        <w:rPr>
          <w:b/>
        </w:rPr>
        <w:t>Later source:</w:t>
      </w:r>
      <w:r>
        <w:t xml:space="preserve"> Modelling the frequency and extent of waterlogging: a case study — https://doi.org/10.36334/modsim2025.j10.beverly</w:t>
      </w:r>
    </w:p>
    <w:p>
      <w:pPr/>
      <w:r>
        <w:rPr>
          <w:b/>
        </w:rPr>
        <w:t>Later source:</w:t>
      </w:r>
      <w:r>
        <w:t xml:space="preserve"> Extent of Underemployment among Government Service Employees in Kerala — https://openalex.org/W7218043265</w:t>
      </w:r>
    </w:p>
    <w:p>
      <w:pPr>
        <w:pStyle w:val="SourceNote"/>
      </w:pPr>
      <w:r>
        <w:rPr>
          <w:b/>
        </w:rPr>
        <w:t>Review status:</w:t>
      </w:r>
      <w:r>
        <w:t xml:space="preserve"> unchecked — possible relationship only</w:t>
      </w:r>
    </w:p>
    <w:p>
      <w:pPr>
        <w:pStyle w:val="Heading2"/>
      </w:pPr>
      <w:r>
        <w:t>324. Claim + two later sources: Toward Identification of the Priority Lines of Research in Nanotechnology on the Basis of the Technology Foresight NT for Podlaskie 2020</w:t>
      </w:r>
    </w:p>
    <w:p>
      <w:pPr>
        <w:pStyle w:val="SourceNote"/>
      </w:pPr>
      <w:r>
        <w:rPr>
          <w:b/>
        </w:rPr>
        <w:t>Group ID:</w:t>
      </w:r>
      <w:r>
        <w:t xml:space="preserve"> group-ffb5c12eaa3ae4542b49</w:t>
      </w:r>
    </w:p>
    <w:p>
      <w:pPr>
        <w:pStyle w:val="SourceNote"/>
      </w:pPr>
      <w:r>
        <w:rPr>
          <w:b/>
        </w:rPr>
        <w:t>Original source:</w:t>
      </w:r>
      <w:r>
        <w:t xml:space="preserve"> https://doi.org/10.7763/ijiet.2013.v3.293</w:t>
      </w:r>
    </w:p>
    <w:p>
      <w:pPr/>
      <w:r>
        <w:rPr>
          <w:b/>
        </w:rPr>
        <w:t>Original future claim:</w:t>
      </w:r>
      <w:r>
        <w:t xml:space="preserve"> 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r>
        <w:rPr>
          <w:b/>
        </w:rPr>
        <w:t>Later source:</w:t>
      </w:r>
      <w:r>
        <w:t xml:space="preserve"> From Reaction to Foresight: EUPHA’s vision for health security in Europe — https://doi.org/10.1093/eurpub/ckaf071</w:t>
      </w:r>
    </w:p>
    <w:p>
      <w:pPr/>
      <w:r>
        <w:rPr>
          <w:b/>
        </w:rPr>
        <w:t>Later source:</w:t>
      </w:r>
      <w:r>
        <w:t xml:space="preserve"> Article: Project FORESIGHT and Return on Investment — https://doi.org/10.4324/9780429318528-14</w:t>
      </w:r>
    </w:p>
    <w:p>
      <w:pPr>
        <w:pStyle w:val="SourceNote"/>
      </w:pPr>
      <w:r>
        <w:rPr>
          <w:b/>
        </w:rPr>
        <w:t>Review status:</w:t>
      </w:r>
      <w:r>
        <w:t xml:space="preserve"> unchecked — possible relationship only</w:t>
      </w:r>
    </w:p>
    <w:p>
      <w:pPr>
        <w:pStyle w:val="Heading2"/>
      </w:pPr>
      <w:r>
        <w:t>325. Claim + two later sources: Foresight technologies of economic systems: evidence from the tourism sector of Ukraine</w:t>
      </w:r>
    </w:p>
    <w:p>
      <w:pPr>
        <w:pStyle w:val="SourceNote"/>
      </w:pPr>
      <w:r>
        <w:rPr>
          <w:b/>
        </w:rPr>
        <w:t>Group ID:</w:t>
      </w:r>
      <w:r>
        <w:t xml:space="preserve"> group-9656dff343fc15e7eb8d</w:t>
      </w:r>
    </w:p>
    <w:p>
      <w:pPr>
        <w:pStyle w:val="SourceNote"/>
      </w:pPr>
      <w:r>
        <w:rPr>
          <w:b/>
        </w:rPr>
        <w:t>Original source:</w:t>
      </w:r>
      <w:r>
        <w:t xml:space="preserve"> https://doi.org/10.21511/ppm.18(4).2020.25</w:t>
      </w:r>
    </w:p>
    <w:p>
      <w:pPr/>
      <w:r>
        <w:rPr>
          <w:b/>
        </w:rPr>
        <w:t>Original future claim:</w:t>
      </w:r>
      <w:r>
        <w:t xml:space="preserve"> 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r>
        <w:rPr>
          <w:b/>
        </w:rPr>
        <w:t>Later source:</w:t>
      </w:r>
      <w:r>
        <w:t xml:space="preserve"> Criminal Liability Arising from the Use of Artificial Intelligence Applications — https://doi.org/10.5281/zenodo.19810638</w:t>
      </w:r>
    </w:p>
    <w:p>
      <w:pPr/>
      <w:r>
        <w:rPr>
          <w:b/>
        </w:rPr>
        <w:t>Later source:</w:t>
      </w:r>
      <w:r>
        <w:t xml:space="preserve"> THE CHARACTERISTICS OF LOSSES ARISING FROM THE MISUSE OF DEBTORS' PERSONAL DATA IN ONLINE LENDING AGREEMENTS — https://doi.org/10.28946/lexl.v8i1.3827</w:t>
      </w:r>
    </w:p>
    <w:p>
      <w:pPr>
        <w:pStyle w:val="SourceNote"/>
      </w:pPr>
      <w:r>
        <w:rPr>
          <w:b/>
        </w:rPr>
        <w:t>Review status:</w:t>
      </w:r>
      <w:r>
        <w:t xml:space="preserve"> unchecked — possible relationship only</w:t>
      </w:r>
    </w:p>
    <w:p>
      <w:pPr>
        <w:pStyle w:val="Heading2"/>
      </w:pPr>
      <w:r>
        <w:t>326. Claim + two later sources: The Dutch Public Health Foresight Study 2018: an example of a comprehensive foresight exercise</w:t>
      </w:r>
    </w:p>
    <w:p>
      <w:pPr>
        <w:pStyle w:val="SourceNote"/>
      </w:pPr>
      <w:r>
        <w:rPr>
          <w:b/>
        </w:rPr>
        <w:t>Group ID:</w:t>
      </w:r>
      <w:r>
        <w:t xml:space="preserve"> group-ca1fcdd5c8b130ebc0eb</w:t>
      </w:r>
    </w:p>
    <w:p>
      <w:pPr>
        <w:pStyle w:val="SourceNote"/>
      </w:pPr>
      <w:r>
        <w:rPr>
          <w:b/>
        </w:rPr>
        <w:t>Original source:</w:t>
      </w:r>
      <w:r>
        <w:t xml:space="preserve"> https://doi.org/10.1093/eurpub/ckz200</w:t>
      </w:r>
    </w:p>
    <w:p>
      <w:pPr/>
      <w:r>
        <w:rPr>
          <w:b/>
        </w:rPr>
        <w:t>Original future claim:</w:t>
      </w:r>
      <w:r>
        <w:t xml:space="preserve"> 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r>
        <w:rPr>
          <w:b/>
        </w:rPr>
        <w:t>Later source:</w:t>
      </w:r>
      <w:r>
        <w:t xml:space="preserve"> Redesigning Long-Term Care Policy Using Systems Thinking in the Post-Pandemic Era — https://doi.org/10.3390/systems14010079</w:t>
      </w:r>
    </w:p>
    <w:p>
      <w:pPr/>
      <w:r>
        <w:rPr>
          <w:b/>
        </w:rPr>
        <w:t>Later source:</w:t>
      </w:r>
      <w:r>
        <w:t xml:space="preserve"> Short-term thinking, long-term costs: How managerial myopia undermines green innovation — https://doi.org/10.4102/sajbm.v57i1.5337</w:t>
      </w:r>
    </w:p>
    <w:p>
      <w:pPr>
        <w:pStyle w:val="SourceNote"/>
      </w:pPr>
      <w:r>
        <w:rPr>
          <w:b/>
        </w:rPr>
        <w:t>Review status:</w:t>
      </w:r>
      <w:r>
        <w:t xml:space="preserve"> unchecked — possible relationship only</w:t>
      </w:r>
    </w:p>
    <w:p>
      <w:pPr>
        <w:pStyle w:val="Heading2"/>
      </w:pPr>
      <w:r>
        <w:t>327. Claim + two later sources: The future of the Mediterranean agri-food systems: Trends and perspectives from a Delphi survey</w:t>
      </w:r>
    </w:p>
    <w:p>
      <w:pPr>
        <w:pStyle w:val="SourceNote"/>
      </w:pPr>
      <w:r>
        <w:rPr>
          <w:b/>
        </w:rPr>
        <w:t>Group ID:</w:t>
      </w:r>
      <w:r>
        <w:t xml:space="preserve"> group-31363d9e37f13bb9a3a4</w:t>
      </w:r>
    </w:p>
    <w:p>
      <w:pPr>
        <w:pStyle w:val="SourceNote"/>
      </w:pPr>
      <w:r>
        <w:rPr>
          <w:b/>
        </w:rPr>
        <w:t>Original source:</w:t>
      </w:r>
      <w:r>
        <w:t xml:space="preserve"> https://doi.org/10.1016/j.landusepol.2022.106263</w:t>
      </w:r>
    </w:p>
    <w:p>
      <w:pPr/>
      <w:r>
        <w:rPr>
          <w:b/>
        </w:rPr>
        <w:t>Original future claim:</w:t>
      </w:r>
      <w:r>
        <w:t xml:space="preserve"> 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r>
        <w:rPr>
          <w:b/>
        </w:rPr>
        <w:t>Later source:</w:t>
      </w:r>
      <w:r>
        <w:t xml:space="preserve"> First-order homogenization — https://doi.org/10.1017/prm.2026.10125</w:t>
      </w:r>
    </w:p>
    <w:p>
      <w:pPr/>
      <w:r>
        <w:rPr>
          <w:b/>
        </w:rPr>
        <w:t>Later source:</w:t>
      </w:r>
      <w:r>
        <w:t xml:space="preserve"> NENUPHAR D5.3. Lessons learnt and recommendations to the main regional clusters (first version) — https://doi.org/10.5281/zenodo.19000171</w:t>
      </w:r>
    </w:p>
    <w:p>
      <w:pPr>
        <w:pStyle w:val="SourceNote"/>
      </w:pPr>
      <w:r>
        <w:rPr>
          <w:b/>
        </w:rPr>
        <w:t>Review status:</w:t>
      </w:r>
      <w:r>
        <w:t xml:space="preserve"> unchecked — possible relationship only</w:t>
      </w:r>
    </w:p>
    <w:p>
      <w:pPr>
        <w:pStyle w:val="Heading2"/>
      </w:pPr>
      <w:r>
        <w:t>328. Claim + two later sources: Implementing Dynamics of Immigration Integration in Labor Force Participation Projection in EU28</w:t>
      </w:r>
    </w:p>
    <w:p>
      <w:pPr>
        <w:pStyle w:val="SourceNote"/>
      </w:pPr>
      <w:r>
        <w:rPr>
          <w:b/>
        </w:rPr>
        <w:t>Group ID:</w:t>
      </w:r>
      <w:r>
        <w:t xml:space="preserve"> group-7601745ba45202c7cb2b</w:t>
      </w:r>
    </w:p>
    <w:p>
      <w:pPr>
        <w:pStyle w:val="SourceNote"/>
      </w:pPr>
      <w:r>
        <w:rPr>
          <w:b/>
        </w:rPr>
        <w:t>Original source:</w:t>
      </w:r>
      <w:r>
        <w:t xml:space="preserve"> https://doi.org/10.1007/s11113-019-09537-y</w:t>
      </w:r>
    </w:p>
    <w:p>
      <w:pPr/>
      <w:r>
        <w:rPr>
          <w:b/>
        </w:rPr>
        <w:t>Original future claim:</w:t>
      </w:r>
      <w:r>
        <w:t xml:space="preserve"> 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r>
        <w:rPr>
          <w:b/>
        </w:rPr>
        <w:t>Later source:</w:t>
      </w:r>
      <w:r>
        <w:t xml:space="preserve"> A Microsimulation Model for Sustainability and Detailed Adequacy Analysis of the Retirement Pension System — https://doi.org/10.3390/math13030443</w:t>
      </w:r>
    </w:p>
    <w:p>
      <w:pPr/>
      <w:r>
        <w:rPr>
          <w:b/>
        </w:rPr>
        <w:t>Later source:</w:t>
      </w:r>
      <w:r>
        <w:t xml:space="preserve"> The burden of informal family caregiving in Europe, 2000–2050: a microsimulation modelling study — https://doi.org/10.1016/j.lanepe.2025.101295</w:t>
      </w:r>
    </w:p>
    <w:p>
      <w:pPr>
        <w:pStyle w:val="SourceNote"/>
      </w:pPr>
      <w:r>
        <w:rPr>
          <w:b/>
        </w:rPr>
        <w:t>Review status:</w:t>
      </w:r>
      <w:r>
        <w:t xml:space="preserve"> unchecked — possible relationship only</w:t>
      </w:r>
    </w:p>
    <w:p>
      <w:pPr>
        <w:pStyle w:val="Heading2"/>
      </w:pPr>
      <w:r>
        <w:t>329. Claim + two later sources: Towards the European Union's Foreign Policy 2025 – Taking Stock of the Dahrendorf Foresight Project</w:t>
      </w:r>
    </w:p>
    <w:p>
      <w:pPr>
        <w:pStyle w:val="SourceNote"/>
      </w:pPr>
      <w:r>
        <w:rPr>
          <w:b/>
        </w:rPr>
        <w:t>Group ID:</w:t>
      </w:r>
      <w:r>
        <w:t xml:space="preserve"> group-c6329de73ca28981ed13</w:t>
      </w:r>
    </w:p>
    <w:p>
      <w:pPr>
        <w:pStyle w:val="SourceNote"/>
      </w:pPr>
      <w:r>
        <w:rPr>
          <w:b/>
        </w:rPr>
        <w:t>Original source:</w:t>
      </w:r>
      <w:r>
        <w:t xml:space="preserve"> https://doi.org/10.1111/1758-5899.12438</w:t>
      </w:r>
    </w:p>
    <w:p>
      <w:pPr/>
      <w:r>
        <w:rPr>
          <w:b/>
        </w:rPr>
        <w:t>Original future claim:</w:t>
      </w:r>
      <w:r>
        <w:t xml:space="preserve"> Based on an analysis of the current state of the Union, this paper takes stock of the outcomes of the Dahrendorf Foresight Project and looks ahead at the EU 's role in the world of 2025.</w:t>
      </w:r>
    </w:p>
    <w:p>
      <w:pPr/>
      <w:r>
        <w:rPr>
          <w:b/>
        </w:rPr>
        <w:t>Later source:</w:t>
      </w:r>
      <w:r>
        <w:t xml:space="preserve"> Current state and potential of hospitals for automated healthcare-associated infection surveillance: data from 24 European countries, 2022 to 2023 — https://doi.org/10.2807/1560-7917.es.2026.31.19.2500736</w:t>
      </w:r>
    </w:p>
    <w:p>
      <w:pPr/>
      <w:r>
        <w:rPr>
          <w:b/>
        </w:rPr>
        <w:t>Later source:</w:t>
      </w:r>
      <w:r>
        <w:t xml:space="preserve"> Analysis of the current state of sewage sludge treatment from the perspective of current European directives — https://doi.org/10.1186/s12302-025-01097-7</w:t>
      </w:r>
    </w:p>
    <w:p>
      <w:pPr>
        <w:pStyle w:val="SourceNote"/>
      </w:pPr>
      <w:r>
        <w:rPr>
          <w:b/>
        </w:rPr>
        <w:t>Review status:</w:t>
      </w:r>
      <w:r>
        <w:t xml:space="preserve"> unchecked — possible relationship only</w:t>
      </w:r>
    </w:p>
    <w:p>
      <w:pPr>
        <w:pStyle w:val="Heading2"/>
      </w:pPr>
      <w:r>
        <w:t>330. Claim + two later sources: Prospects of labour migration pressure in Algeria, Morocco, Tunisia and Turkey</w:t>
      </w:r>
    </w:p>
    <w:p>
      <w:pPr>
        <w:pStyle w:val="SourceNote"/>
      </w:pPr>
      <w:r>
        <w:rPr>
          <w:b/>
        </w:rPr>
        <w:t>Group ID:</w:t>
      </w:r>
      <w:r>
        <w:t xml:space="preserve"> group-6d38ef6a946f724489ed</w:t>
      </w:r>
    </w:p>
    <w:p>
      <w:pPr>
        <w:pStyle w:val="SourceNote"/>
      </w:pPr>
      <w:r>
        <w:rPr>
          <w:b/>
        </w:rPr>
        <w:t>Original source:</w:t>
      </w:r>
      <w:r>
        <w:t xml:space="preserve"> https://doi.org/10.1186/s41118-016-0015-x</w:t>
      </w:r>
    </w:p>
    <w:p>
      <w:pPr/>
      <w:r>
        <w:rPr>
          <w:b/>
        </w:rPr>
        <w:t>Original future claim:</w:t>
      </w:r>
      <w:r>
        <w:t xml:space="preserve"> This model is then used as framework for deriving storylines for three different scenarios of economic and demographic change up to 2035. Subsequently, storylines are operationalized, leading to scenario estimates of migration pressure up to 2035.</w:t>
      </w:r>
    </w:p>
    <w:p>
      <w:pPr/>
      <w:r>
        <w:rPr>
          <w:b/>
        </w:rPr>
        <w:t>Later source:</w:t>
      </w:r>
      <w:r>
        <w:t xml:space="preserve"> Probabilistic storyline attribution using machine learning — https://doi.org/10.1088/3049-4753/aea4b7</w:t>
      </w:r>
    </w:p>
    <w:p>
      <w:pPr/>
      <w:r>
        <w:rPr>
          <w:b/>
        </w:rPr>
        <w:t>Later source:</w:t>
      </w:r>
      <w:r>
        <w:t xml:space="preserve"> Storyline Trees: Hierarchical Representations for Long-Form Narratives — https://doi.org/10.48550/arxiv.2606.20900</w:t>
      </w:r>
    </w:p>
    <w:p>
      <w:pPr>
        <w:pStyle w:val="SourceNote"/>
      </w:pPr>
      <w:r>
        <w:rPr>
          <w:b/>
        </w:rPr>
        <w:t>Review status:</w:t>
      </w:r>
      <w:r>
        <w:t xml:space="preserve"> unchecked — possible relationship only</w:t>
      </w:r>
    </w:p>
    <w:p>
      <w:pPr>
        <w:pStyle w:val="Heading2"/>
      </w:pPr>
      <w:r>
        <w:t>331. Claim + two later sources: Living within the safe operating space: a vision for a resource efficient Europe</w:t>
      </w:r>
    </w:p>
    <w:p>
      <w:pPr>
        <w:pStyle w:val="SourceNote"/>
      </w:pPr>
      <w:r>
        <w:rPr>
          <w:b/>
        </w:rPr>
        <w:t>Group ID:</w:t>
      </w:r>
      <w:r>
        <w:t xml:space="preserve"> group-0fe4c2687f25cb9d0599</w:t>
      </w:r>
    </w:p>
    <w:p>
      <w:pPr>
        <w:pStyle w:val="SourceNote"/>
      </w:pPr>
      <w:r>
        <w:rPr>
          <w:b/>
        </w:rPr>
        <w:t>Original source:</w:t>
      </w:r>
      <w:r>
        <w:t xml:space="preserve"> https://doi.org/10.1007/s40309-014-0048-3</w:t>
      </w:r>
    </w:p>
    <w:p>
      <w:pPr/>
      <w:r>
        <w:rPr>
          <w:b/>
        </w:rPr>
        <w:t>Original future claim:</w:t>
      </w:r>
      <w:r>
        <w:t xml:space="preserve"> We review and build on recent sustainability visions to develop a holistic reflection on what life in 2050 could look like, and explore the key changes in the economy needed to get there.</w:t>
      </w:r>
    </w:p>
    <w:p>
      <w:pPr/>
      <w:r>
        <w:rPr>
          <w:b/>
        </w:rPr>
        <w:t>Later source:</w:t>
      </w:r>
      <w:r>
        <w:t xml:space="preserve"> Barriers to healthcare for racialised populations in Europe: a scoping review of reviews — https://doi.org/10.1186/s12939-025-02577-1</w:t>
      </w:r>
    </w:p>
    <w:p>
      <w:pPr/>
      <w:r>
        <w:rPr>
          <w:b/>
        </w:rPr>
        <w:t>Later source:</w:t>
      </w:r>
      <w:r>
        <w:t xml:space="preserve"> A scoping review of seismic risk communication in Europe — https://doi.org/10.3389/feart.2023.1155576</w:t>
      </w:r>
    </w:p>
    <w:p>
      <w:pPr>
        <w:pStyle w:val="SourceNote"/>
      </w:pPr>
      <w:r>
        <w:rPr>
          <w:b/>
        </w:rPr>
        <w:t>Review status:</w:t>
      </w:r>
      <w:r>
        <w:t xml:space="preserve"> unchecked — possible relationship only</w:t>
      </w:r>
    </w:p>
    <w:p>
      <w:pPr>
        <w:pStyle w:val="Heading2"/>
      </w:pPr>
      <w:r>
        <w:t>332. Claim + two later sources: Health horizons: Future trends and technologies from the European Medicines Agency’s horizon scanning collaborations</w:t>
      </w:r>
    </w:p>
    <w:p>
      <w:pPr>
        <w:pStyle w:val="SourceNote"/>
      </w:pPr>
      <w:r>
        <w:rPr>
          <w:b/>
        </w:rPr>
        <w:t>Group ID:</w:t>
      </w:r>
      <w:r>
        <w:t xml:space="preserve"> group-bcffdf30b134abad9627</w:t>
      </w:r>
    </w:p>
    <w:p>
      <w:pPr>
        <w:pStyle w:val="SourceNote"/>
      </w:pPr>
      <w:r>
        <w:rPr>
          <w:b/>
        </w:rPr>
        <w:t>Original source:</w:t>
      </w:r>
      <w:r>
        <w:t xml:space="preserve"> https://doi.org/10.3389/fmed.2022.1064003</w:t>
      </w:r>
    </w:p>
    <w:p>
      <w:pPr/>
      <w:r>
        <w:rPr>
          <w:b/>
        </w:rPr>
        <w:t>Original future claim:</w:t>
      </w:r>
      <w:r>
        <w:t xml:space="preserve"> 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r>
        <w:rPr>
          <w:b/>
        </w:rPr>
        <w:t>Later source:</w:t>
      </w:r>
      <w:r>
        <w:t xml:space="preserve"> ANALYZING THE FEASIBILITY OF ADOPTING THE HUMAN MEDICINES REGULATORY PATHWAYS OF THE EUROPEAN MEDICINES AGENCY FOR THE AFRICAN MEDICINES AGENCY — https://doi.org/10.5281/zenodo.18206130</w:t>
      </w:r>
    </w:p>
    <w:p>
      <w:pPr/>
      <w:r>
        <w:rPr>
          <w:b/>
        </w:rPr>
        <w:t>Later source:</w:t>
      </w:r>
      <w:r>
        <w:t xml:space="preserve"> Horizon scan of the clinical development landscape of biosimilar products in the UK and EU — https://doi.org/10.1017/s0266462326103468</w:t>
      </w:r>
    </w:p>
    <w:p>
      <w:pPr>
        <w:pStyle w:val="SourceNote"/>
      </w:pPr>
      <w:r>
        <w:rPr>
          <w:b/>
        </w:rPr>
        <w:t>Review status:</w:t>
      </w:r>
      <w:r>
        <w:t xml:space="preserve"> unchecked — possible relationship only</w:t>
      </w:r>
    </w:p>
    <w:p>
      <w:pPr>
        <w:pStyle w:val="Heading2"/>
      </w:pPr>
      <w:r>
        <w:t>333. Claim + two later sources: The Public Health Status and Foresight report 2014: Four normative perspectives on a healthier Netherlands in 2040</w:t>
      </w:r>
    </w:p>
    <w:p>
      <w:pPr>
        <w:pStyle w:val="SourceNote"/>
      </w:pPr>
      <w:r>
        <w:rPr>
          <w:b/>
        </w:rPr>
        <w:t>Group ID:</w:t>
      </w:r>
      <w:r>
        <w:t xml:space="preserve"> group-85aa8ea28a4725332155</w:t>
      </w:r>
    </w:p>
    <w:p>
      <w:pPr>
        <w:pStyle w:val="SourceNote"/>
      </w:pPr>
      <w:r>
        <w:rPr>
          <w:b/>
        </w:rPr>
        <w:t>Original source:</w:t>
      </w:r>
      <w:r>
        <w:t xml:space="preserve"> https://doi.org/10.1016/j.healthpol.2018.10.014</w:t>
      </w:r>
    </w:p>
    <w:p>
      <w:pPr/>
      <w:r>
        <w:rPr>
          <w:b/>
        </w:rPr>
        <w:t>Original future claim:</w:t>
      </w:r>
      <w:r>
        <w:t xml:space="preserve"> We organized meetings with experts to explore how engagement and policy strategies in each scenario would affect the other three societal challenges. Possible synergies and trade-offs between the four scenarios were identified.</w:t>
      </w:r>
    </w:p>
    <w:p>
      <w:pPr/>
      <w:r>
        <w:rPr>
          <w:b/>
        </w:rPr>
        <w:t>Later source:</w:t>
      </w:r>
      <w:r>
        <w:t xml:space="preserve"> European Cancer Prevention Organization on cancer screening: an expert panel position paper — https://doi.org/10.1097/cej.0000000000001025</w:t>
      </w:r>
    </w:p>
    <w:p>
      <w:pPr/>
      <w:r>
        <w:rPr>
          <w:b/>
        </w:rPr>
        <w:t>Later source:</w:t>
      </w:r>
      <w:r>
        <w:t xml:space="preserve"> Polytraps in European rural mountainous regions: an expert view — https://doi.org/10.1080/09654313.2025.2473380</w:t>
      </w:r>
    </w:p>
    <w:p>
      <w:pPr>
        <w:pStyle w:val="SourceNote"/>
      </w:pPr>
      <w:r>
        <w:rPr>
          <w:b/>
        </w:rPr>
        <w:t>Review status:</w:t>
      </w:r>
      <w:r>
        <w:t xml:space="preserve"> unchecked — possible relationship only</w:t>
      </w:r>
    </w:p>
    <w:p>
      <w:pPr>
        <w:pStyle w:val="Heading2"/>
      </w:pPr>
      <w:r>
        <w:t>334. Claim + two later sources: Secular stagnation – are we stuck in Summers' long winter?</w:t>
      </w:r>
    </w:p>
    <w:p>
      <w:pPr>
        <w:pStyle w:val="SourceNote"/>
      </w:pPr>
      <w:r>
        <w:rPr>
          <w:b/>
        </w:rPr>
        <w:t>Group ID:</w:t>
      </w:r>
      <w:r>
        <w:t xml:space="preserve"> group-5304f4cf73c44b61a849</w:t>
      </w:r>
    </w:p>
    <w:p>
      <w:pPr>
        <w:pStyle w:val="SourceNote"/>
      </w:pPr>
      <w:r>
        <w:rPr>
          <w:b/>
        </w:rPr>
        <w:t>Original source:</w:t>
      </w:r>
      <w:r>
        <w:t xml:space="preserve"> https://doi.org/10.1111/1468-0319.12197</w:t>
      </w:r>
    </w:p>
    <w:p>
      <w:pPr/>
      <w:r>
        <w:rPr>
          <w:b/>
        </w:rPr>
        <w:t>Original future claim:</w:t>
      </w:r>
      <w:r>
        <w:t xml:space="preserve"> 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r>
        <w:rPr>
          <w:b/>
        </w:rPr>
        <w:t>Later source:</w:t>
      </w:r>
      <w:r>
        <w:t xml:space="preserve"> Impact of fiscal sustainability on economic growth in Kenya — https://doi.org/10.65748/fiqf-2026-0001</w:t>
      </w:r>
    </w:p>
    <w:p>
      <w:pPr/>
      <w:r>
        <w:rPr>
          <w:b/>
        </w:rPr>
        <w:t>Later source:</w:t>
      </w:r>
      <w:r>
        <w:t xml:space="preserve"> Fiscal Policy, Debt Management and Economic Growth in Nigeria — https://doi.org/10.47772/ijriss.2026.100500380</w:t>
      </w:r>
    </w:p>
    <w:p>
      <w:pPr>
        <w:pStyle w:val="SourceNote"/>
      </w:pPr>
      <w:r>
        <w:rPr>
          <w:b/>
        </w:rPr>
        <w:t>Review status:</w:t>
      </w:r>
      <w:r>
        <w:t xml:space="preserve"> unchecked — possible relationship only</w:t>
      </w:r>
    </w:p>
    <w:p>
      <w:pPr>
        <w:pStyle w:val="Heading2"/>
      </w:pPr>
      <w:r>
        <w:t>335. Claim + two later sources: The biological transformation of industrial manufacturing – Technologies, status and scenarios for a sustainable future of the German manufacturing industry</w:t>
      </w:r>
    </w:p>
    <w:p>
      <w:pPr>
        <w:pStyle w:val="SourceNote"/>
      </w:pPr>
      <w:r>
        <w:rPr>
          <w:b/>
        </w:rPr>
        <w:t>Group ID:</w:t>
      </w:r>
      <w:r>
        <w:t xml:space="preserve"> group-0d56d7dfb9f5d482d756</w:t>
      </w:r>
    </w:p>
    <w:p>
      <w:pPr>
        <w:pStyle w:val="SourceNote"/>
      </w:pPr>
      <w:r>
        <w:rPr>
          <w:b/>
        </w:rPr>
        <w:t>Original source:</w:t>
      </w:r>
      <w:r>
        <w:t xml:space="preserve"> https://doi.org/10.1016/j.jmsy.2019.11.006</w:t>
      </w:r>
    </w:p>
    <w:p>
      <w:pPr/>
      <w:r>
        <w:rPr>
          <w:b/>
        </w:rPr>
        <w:t>Original future claim:</w:t>
      </w:r>
      <w:r>
        <w:t xml:space="preserve"> 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r>
        <w:rPr>
          <w:b/>
        </w:rPr>
        <w:t>Later source:</w:t>
      </w:r>
      <w:r>
        <w:t xml:space="preserve"> Summary, Conclusions and Recommendations — https://doi.org/10.1201/9781003759744-14</w:t>
      </w:r>
    </w:p>
    <w:p>
      <w:pPr/>
      <w:r>
        <w:rPr>
          <w:b/>
        </w:rPr>
        <w:t>Later source:</w:t>
      </w:r>
      <w:r>
        <w:t xml:space="preserve"> Guidance on negative emissions for cities - Summary for Decision Makers — https://doi.org/10.2760/4262978</w:t>
      </w:r>
    </w:p>
    <w:p>
      <w:pPr>
        <w:pStyle w:val="SourceNote"/>
      </w:pPr>
      <w:r>
        <w:rPr>
          <w:b/>
        </w:rPr>
        <w:t>Review status:</w:t>
      </w:r>
      <w:r>
        <w:t xml:space="preserve"> unchecked — possible relationship only</w:t>
      </w:r>
    </w:p>
    <w:p>
      <w:pPr>
        <w:pStyle w:val="Heading2"/>
      </w:pPr>
      <w:r>
        <w:t>336. Claim + two later sources: (Re)politicization of climate change mitigating projects: environmental forms and motives of the Seine Nord Europe canal</w:t>
      </w:r>
    </w:p>
    <w:p>
      <w:pPr>
        <w:pStyle w:val="SourceNote"/>
      </w:pPr>
      <w:r>
        <w:rPr>
          <w:b/>
        </w:rPr>
        <w:t>Group ID:</w:t>
      </w:r>
      <w:r>
        <w:t xml:space="preserve"> group-f331c836f6e4b7519981</w:t>
      </w:r>
    </w:p>
    <w:p>
      <w:pPr>
        <w:pStyle w:val="SourceNote"/>
      </w:pPr>
      <w:r>
        <w:rPr>
          <w:b/>
        </w:rPr>
        <w:t>Original source:</w:t>
      </w:r>
      <w:r>
        <w:t xml:space="preserve"> https://doi.org/10.1186/s40309-022-00195-6</w:t>
      </w:r>
    </w:p>
    <w:p>
      <w:pPr/>
      <w:r>
        <w:rPr>
          <w:b/>
        </w:rPr>
        <w:t>Original future claim:</w:t>
      </w:r>
      <w:r>
        <w:t xml:space="preserve"> 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r>
        <w:rPr>
          <w:b/>
        </w:rPr>
        <w:t>Later source:</w:t>
      </w:r>
      <w:r>
        <w:t xml:space="preserve"> Environmental risks and ecological integrity: the new european rules on nature restoration — https://doi.org/10.5194/egusphere-egu26-17987</w:t>
      </w:r>
    </w:p>
    <w:p>
      <w:pPr/>
      <w:r>
        <w:rPr>
          <w:b/>
        </w:rPr>
        <w:t>Later source:</w:t>
      </w:r>
      <w:r>
        <w:t xml:space="preserve"> Place-based leadership and environmental conflicts in the European Union — https://doi.org/10.1080/00343404.2025.2486644</w:t>
      </w:r>
    </w:p>
    <w:p>
      <w:pPr>
        <w:pStyle w:val="SourceNote"/>
      </w:pPr>
      <w:r>
        <w:rPr>
          <w:b/>
        </w:rPr>
        <w:t>Review status:</w:t>
      </w:r>
      <w:r>
        <w:t xml:space="preserve"> unchecked — possible relationship only</w:t>
      </w:r>
    </w:p>
    <w:p>
      <w:pPr>
        <w:pStyle w:val="Heading2"/>
      </w:pPr>
      <w:r>
        <w:t>337. Claim + two later sources: PROGNOZY WYDAJNOŚCI MLECZNEJ KRÓW W POLSCE I W UNII EUROPEJSKIEJ NA LATA 2030 I 2050</w:t>
      </w:r>
    </w:p>
    <w:p>
      <w:pPr>
        <w:pStyle w:val="SourceNote"/>
      </w:pPr>
      <w:r>
        <w:rPr>
          <w:b/>
        </w:rPr>
        <w:t>Group ID:</w:t>
      </w:r>
      <w:r>
        <w:t xml:space="preserve"> group-36ab9688d58d22d97c4e</w:t>
      </w:r>
    </w:p>
    <w:p>
      <w:pPr>
        <w:pStyle w:val="SourceNote"/>
      </w:pPr>
      <w:r>
        <w:rPr>
          <w:b/>
        </w:rPr>
        <w:t>Original source:</w:t>
      </w:r>
      <w:r>
        <w:t xml:space="preserve"> https://doi.org/10.22004/ag.econ.233003</w:t>
      </w:r>
    </w:p>
    <w:p>
      <w:pPr/>
      <w:r>
        <w:rPr>
          <w:b/>
        </w:rPr>
        <w:t>Original future claim:</w:t>
      </w:r>
      <w:r>
        <w:t xml:space="preserve"> 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r>
        <w:rPr>
          <w:b/>
        </w:rPr>
        <w:t>Later source:</w:t>
      </w:r>
      <w:r>
        <w:t xml:space="preserve"> EU Wide Disaggregated CAPRI Model Data: Crops, Livestock, Nitrogen In- and Outputs (Timeseries 2000-2018) — https://doi.org/10.1038/s41597-026-06919-8</w:t>
      </w:r>
    </w:p>
    <w:p>
      <w:pPr/>
      <w:r>
        <w:rPr>
          <w:b/>
        </w:rPr>
        <w:t>Later source:</w:t>
      </w:r>
      <w:r>
        <w:t xml:space="preserve"> Modeling the Profitability of Milk Production—A Simulation Approach — https://doi.org/10.3390/agriculture15131409</w:t>
      </w:r>
    </w:p>
    <w:p>
      <w:pPr>
        <w:pStyle w:val="SourceNote"/>
      </w:pPr>
      <w:r>
        <w:rPr>
          <w:b/>
        </w:rPr>
        <w:t>Review status:</w:t>
      </w:r>
      <w:r>
        <w:t xml:space="preserve"> unchecked — possible relationship only</w:t>
      </w:r>
    </w:p>
    <w:p>
      <w:pPr>
        <w:pStyle w:val="Heading2"/>
      </w:pPr>
      <w:r>
        <w:t>338. Claim + two later sources: Future Low-Carbon Transport Scenarios: Practice Theory-Based Visioning for Backcasting Studies</w:t>
      </w:r>
    </w:p>
    <w:p>
      <w:pPr>
        <w:pStyle w:val="SourceNote"/>
      </w:pPr>
      <w:r>
        <w:rPr>
          <w:b/>
        </w:rPr>
        <w:t>Group ID:</w:t>
      </w:r>
      <w:r>
        <w:t xml:space="preserve"> group-468e4984cd3749643be7</w:t>
      </w:r>
    </w:p>
    <w:p>
      <w:pPr>
        <w:pStyle w:val="SourceNote"/>
      </w:pPr>
      <w:r>
        <w:rPr>
          <w:b/>
        </w:rPr>
        <w:t>Original source:</w:t>
      </w:r>
      <w:r>
        <w:t xml:space="preserve"> https://doi.org/10.3390/su14010074</w:t>
      </w:r>
    </w:p>
    <w:p>
      <w:pPr/>
      <w:r>
        <w:rPr>
          <w:b/>
        </w:rPr>
        <w:t>Original future claim:</w:t>
      </w:r>
      <w:r>
        <w:t xml:space="preserve"> 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r>
        <w:rPr>
          <w:b/>
        </w:rPr>
        <w:t>Later source:</w:t>
      </w:r>
      <w:r>
        <w:t xml:space="preserve"> Imaginaries of European Technology Frontrunners : Towards the Silicon Valley Vision or the European Dream? — https://openalex.org/W7204372713</w:t>
      </w:r>
    </w:p>
    <w:p>
      <w:pPr/>
      <w:r>
        <w:rPr>
          <w:b/>
        </w:rPr>
        <w:t>Later source:</w:t>
      </w:r>
      <w:r>
        <w:t xml:space="preserve"> From Reaction to Foresight: EUPHA’s vision for health security in Europe — https://doi.org/10.1093/eurpub/ckaf071</w:t>
      </w:r>
    </w:p>
    <w:p>
      <w:pPr>
        <w:pStyle w:val="SourceNote"/>
      </w:pPr>
      <w:r>
        <w:rPr>
          <w:b/>
        </w:rPr>
        <w:t>Review status:</w:t>
      </w:r>
      <w:r>
        <w:t xml:space="preserve"> unchecked — possible relationship only</w:t>
      </w:r>
    </w:p>
    <w:p>
      <w:pPr>
        <w:pStyle w:val="Heading2"/>
      </w:pPr>
      <w:r>
        <w:t>339. Claim + two later sources: An assessment of the impact of climate adaptation measures to reduce flood risk on ecosystem services</w:t>
      </w:r>
    </w:p>
    <w:p>
      <w:pPr>
        <w:pStyle w:val="SourceNote"/>
      </w:pPr>
      <w:r>
        <w:rPr>
          <w:b/>
        </w:rPr>
        <w:t>Group ID:</w:t>
      </w:r>
      <w:r>
        <w:t xml:space="preserve"> group-f277b02b0df5f9502cca</w:t>
      </w:r>
    </w:p>
    <w:p>
      <w:pPr>
        <w:pStyle w:val="SourceNote"/>
      </w:pPr>
      <w:r>
        <w:rPr>
          <w:b/>
        </w:rPr>
        <w:t>Original source:</w:t>
      </w:r>
      <w:r>
        <w:t xml:space="preserve"> https://doi.org/10.1007/s10980-012-9715-6</w:t>
      </w:r>
    </w:p>
    <w:p>
      <w:pPr/>
      <w:r>
        <w:rPr>
          <w:b/>
        </w:rPr>
        <w:t>Original future claim:</w:t>
      </w:r>
      <w:r>
        <w:t xml:space="preserve"> 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r>
        <w:rPr>
          <w:b/>
        </w:rPr>
        <w:t>Later source:</w:t>
      </w:r>
      <w:r>
        <w:t xml:space="preserve"> Aneuploidy Can Be an Evolutionary Diversion on the Path to Adaptation — https://doi.org/10.1093/molbev/msae052</w:t>
      </w:r>
    </w:p>
    <w:p>
      <w:pPr/>
      <w:r>
        <w:rPr>
          <w:b/>
        </w:rPr>
        <w:t>Later source:</w:t>
      </w:r>
      <w:r>
        <w:t xml:space="preserve"> Environmental effects on genetic variance are likely to constrain adaptation in novel environments — https://doi.org/10.1093/evlett/qrad065</w:t>
      </w:r>
    </w:p>
    <w:p>
      <w:pPr>
        <w:pStyle w:val="SourceNote"/>
      </w:pPr>
      <w:r>
        <w:rPr>
          <w:b/>
        </w:rPr>
        <w:t>Review status:</w:t>
      </w:r>
      <w:r>
        <w:t xml:space="preserve"> unchecked — possible relationship only</w:t>
      </w:r>
    </w:p>
    <w:p>
      <w:pPr>
        <w:pStyle w:val="Heading2"/>
      </w:pPr>
      <w:r>
        <w:t>340. Claim + two later sources: Conditional forecasts of tourism exports and tourism export prices of the EU-15 within a global vector autoregression framework</w:t>
      </w:r>
    </w:p>
    <w:p>
      <w:pPr>
        <w:pStyle w:val="SourceNote"/>
      </w:pPr>
      <w:r>
        <w:rPr>
          <w:b/>
        </w:rPr>
        <w:t>Group ID:</w:t>
      </w:r>
      <w:r>
        <w:t xml:space="preserve"> group-ec3a451e063153cfc94c</w:t>
      </w:r>
    </w:p>
    <w:p>
      <w:pPr>
        <w:pStyle w:val="SourceNote"/>
      </w:pPr>
      <w:r>
        <w:rPr>
          <w:b/>
        </w:rPr>
        <w:t>Original source:</w:t>
      </w:r>
      <w:r>
        <w:t xml:space="preserve"> https://doi.org/10.1108/jtf-01-2017-0001</w:t>
      </w:r>
    </w:p>
    <w:p>
      <w:pPr/>
      <w:r>
        <w:rPr>
          <w:b/>
        </w:rPr>
        <w:t>Original future claim:</w:t>
      </w:r>
      <w:r>
        <w:t xml:space="preserve"> 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r>
        <w:rPr>
          <w:b/>
        </w:rPr>
        <w:t>Later source:</w:t>
      </w:r>
      <w:r>
        <w:t xml:space="preserve"> Lagged effect of tourism on environmental pollution: a comparative analysis among sub-Saharan African, European and Asian countries — https://doi.org/10.1007/s43621-025-02058-z</w:t>
      </w:r>
    </w:p>
    <w:p>
      <w:pPr/>
      <w:r>
        <w:rPr>
          <w:b/>
        </w:rPr>
        <w:t>Later source:</w:t>
      </w:r>
      <w:r>
        <w:t xml:space="preserve"> Google and Apple mobility data as predictors for European tourism during the COVID-19 pandemic: A neural network approach — https://doi.org/10.24136/eq.2023.013</w:t>
      </w:r>
    </w:p>
    <w:p>
      <w:pPr>
        <w:pStyle w:val="SourceNote"/>
      </w:pPr>
      <w:r>
        <w:rPr>
          <w:b/>
        </w:rPr>
        <w:t>Review status:</w:t>
      </w:r>
      <w:r>
        <w:t xml:space="preserve"> unchecked — possible relationship only</w:t>
      </w:r>
    </w:p>
    <w:p>
      <w:pPr>
        <w:pStyle w:val="Heading2"/>
      </w:pPr>
      <w:r>
        <w:t>341. Claim + two later sources: Balancing GHG mitigation and land-use conflicts: Alternative Northern European energy system scenarios</w:t>
      </w:r>
    </w:p>
    <w:p>
      <w:pPr>
        <w:pStyle w:val="SourceNote"/>
      </w:pPr>
      <w:r>
        <w:rPr>
          <w:b/>
        </w:rPr>
        <w:t>Group ID:</w:t>
      </w:r>
      <w:r>
        <w:t xml:space="preserve"> group-aec6c29d993bfe5f72c4</w:t>
      </w:r>
    </w:p>
    <w:p>
      <w:pPr>
        <w:pStyle w:val="SourceNote"/>
      </w:pPr>
      <w:r>
        <w:rPr>
          <w:b/>
        </w:rPr>
        <w:t>Original source:</w:t>
      </w:r>
      <w:r>
        <w:t xml:space="preserve"> https://doi.org/10.1016/j.apenergy.2022.118557</w:t>
      </w:r>
    </w:p>
    <w:p>
      <w:pPr/>
      <w:r>
        <w:rPr>
          <w:b/>
        </w:rPr>
        <w:t>Original future claim:</w:t>
      </w:r>
      <w:r>
        <w:t xml:space="preserve"> 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r>
        <w:rPr>
          <w:b/>
        </w:rPr>
        <w:t>Later source:</w:t>
      </w:r>
      <w:r>
        <w:t xml:space="preserve"> Assimilating ESA CCI land surface temperature into the ORCHIDEE land surface model: insights from a multi-site study across Europe — https://doi.org/10.5194/hess-29-261-2025</w:t>
      </w:r>
    </w:p>
    <w:p>
      <w:pPr/>
      <w:r>
        <w:rPr>
          <w:b/>
        </w:rPr>
        <w:t>Later source:</w:t>
      </w:r>
      <w:r>
        <w:t xml:space="preserve"> The Cost-Effectiveness of Renewable Energy Sources in the European Union’s Ecological Economic Framework — https://doi.org/10.3390/su17104715</w:t>
      </w:r>
    </w:p>
    <w:p>
      <w:pPr>
        <w:pStyle w:val="SourceNote"/>
      </w:pPr>
      <w:r>
        <w:rPr>
          <w:b/>
        </w:rPr>
        <w:t>Review status:</w:t>
      </w:r>
      <w:r>
        <w:t xml:space="preserve"> unchecked — possible relationship only</w:t>
      </w:r>
    </w:p>
    <w:p>
      <w:pPr>
        <w:pStyle w:val="Heading2"/>
      </w:pPr>
      <w:r>
        <w:t>342. Claim + two later sources: A Transport Policy Tool for Reduction of Co2 Emissions in Finland – Visions, Scenarios and Pathways using Pluralistic Backcasting Method</w:t>
      </w:r>
    </w:p>
    <w:p>
      <w:pPr>
        <w:pStyle w:val="SourceNote"/>
      </w:pPr>
      <w:r>
        <w:rPr>
          <w:b/>
        </w:rPr>
        <w:t>Group ID:</w:t>
      </w:r>
      <w:r>
        <w:t xml:space="preserve"> group-0dc19b92264c3d53f2ca</w:t>
      </w:r>
    </w:p>
    <w:p>
      <w:pPr>
        <w:pStyle w:val="SourceNote"/>
      </w:pPr>
      <w:r>
        <w:rPr>
          <w:b/>
        </w:rPr>
        <w:t>Original source:</w:t>
      </w:r>
      <w:r>
        <w:t xml:space="preserve"> https://doi.org/10.1016/j.trpro.2015.12.016</w:t>
      </w:r>
    </w:p>
    <w:p>
      <w:pPr/>
      <w:r>
        <w:rPr>
          <w:b/>
        </w:rPr>
        <w:t>Original future claim:</w:t>
      </w:r>
      <w:r>
        <w:t xml:space="preserve"> 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r>
        <w:rPr>
          <w:b/>
        </w:rPr>
        <w:t>Later source:</w:t>
      </w:r>
      <w:r>
        <w:t xml:space="preserve"> Association patterns of renewables and greenhouse gas emission reduction in the European Union — https://doi.org/10.2139/ssrn.6144181</w:t>
      </w:r>
    </w:p>
    <w:p>
      <w:pPr/>
      <w:r>
        <w:rPr>
          <w:b/>
        </w:rPr>
        <w:t>Later source:</w:t>
      </w:r>
      <w:r>
        <w:t xml:space="preserve"> The greenhouse gas reduction gap in manufacturing companies: An action-research framework for European reporting requirements — https://doi.org/10.1016/j.cesys.2026.100406</w:t>
      </w:r>
    </w:p>
    <w:p>
      <w:pPr>
        <w:pStyle w:val="SourceNote"/>
      </w:pPr>
      <w:r>
        <w:rPr>
          <w:b/>
        </w:rPr>
        <w:t>Review status:</w:t>
      </w:r>
      <w:r>
        <w:t xml:space="preserve"> unchecked — possible relationship only</w:t>
      </w:r>
    </w:p>
    <w:p>
      <w:pPr>
        <w:pStyle w:val="Heading2"/>
      </w:pPr>
      <w:r>
        <w:t>343. Claim + two later sources: Scenarios for population health inequalities in 2030 in Europe: the EURO-HEALTHY project experience</w:t>
      </w:r>
    </w:p>
    <w:p>
      <w:pPr>
        <w:pStyle w:val="SourceNote"/>
      </w:pPr>
      <w:r>
        <w:rPr>
          <w:b/>
        </w:rPr>
        <w:t>Group ID:</w:t>
      </w:r>
      <w:r>
        <w:t xml:space="preserve"> group-b94b3fcb1dfdd11a8619</w:t>
      </w:r>
    </w:p>
    <w:p>
      <w:pPr>
        <w:pStyle w:val="SourceNote"/>
      </w:pPr>
      <w:r>
        <w:rPr>
          <w:b/>
        </w:rPr>
        <w:t>Original source:</w:t>
      </w:r>
      <w:r>
        <w:t xml:space="preserve"> https://doi.org/10.1186/s12939-019-1000-8</w:t>
      </w:r>
    </w:p>
    <w:p>
      <w:pPr/>
      <w:r>
        <w:rPr>
          <w:b/>
        </w:rPr>
        <w:t>Original future claim:</w:t>
      </w:r>
      <w:r>
        <w:t xml:space="preserve"> 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r>
        <w:rPr>
          <w:b/>
        </w:rPr>
        <w:t>Later source:</w:t>
      </w:r>
      <w:r>
        <w:t xml:space="preserve"> Landscape Report on Diamond OA Publishing: Europe — https://doi.org/10.5281/zenodo.19236088</w:t>
      </w:r>
    </w:p>
    <w:p>
      <w:pPr/>
      <w:r>
        <w:rPr>
          <w:b/>
        </w:rPr>
        <w:t>Later source:</w:t>
      </w:r>
      <w:r>
        <w:t xml:space="preserve"> Europe as a subject and object of epistemic reflection — https://doi.org/10.30574/wjarr.2025.27.1.2547</w:t>
      </w:r>
    </w:p>
    <w:p>
      <w:pPr>
        <w:pStyle w:val="SourceNote"/>
      </w:pPr>
      <w:r>
        <w:rPr>
          <w:b/>
        </w:rPr>
        <w:t>Review status:</w:t>
      </w:r>
      <w:r>
        <w:t xml:space="preserve"> unchecked — possible relationship only</w:t>
      </w:r>
    </w:p>
    <w:p>
      <w:pPr>
        <w:pStyle w:val="Heading2"/>
      </w:pPr>
      <w:r>
        <w:t>344. Claim + two later sources: Long-term scenarios for reaching climate targets and energy security in UK</w:t>
      </w:r>
    </w:p>
    <w:p>
      <w:pPr>
        <w:pStyle w:val="SourceNote"/>
      </w:pPr>
      <w:r>
        <w:rPr>
          <w:b/>
        </w:rPr>
        <w:t>Group ID:</w:t>
      </w:r>
      <w:r>
        <w:t xml:space="preserve"> group-7c0c5a8302e92af13e5c</w:t>
      </w:r>
    </w:p>
    <w:p>
      <w:pPr>
        <w:pStyle w:val="SourceNote"/>
      </w:pPr>
      <w:r>
        <w:rPr>
          <w:b/>
        </w:rPr>
        <w:t>Original source:</w:t>
      </w:r>
      <w:r>
        <w:t xml:space="preserve"> https://doi.org/10.1016/j.scs.2015.03.010</w:t>
      </w:r>
    </w:p>
    <w:p>
      <w:pPr/>
      <w:r>
        <w:rPr>
          <w:b/>
        </w:rPr>
        <w:t>Original future claim:</w:t>
      </w:r>
      <w:r>
        <w:t xml:space="preserve"> 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r>
        <w:rPr>
          <w:b/>
        </w:rPr>
        <w:t>Later source:</w:t>
      </w:r>
      <w:r>
        <w:t xml:space="preserve"> A seasonal two-factor model for solar energy production: A climate extreme events analysis — https://doi.org/10.1016/j.eneco.2025.108611</w:t>
      </w:r>
    </w:p>
    <w:p>
      <w:pPr/>
      <w:r>
        <w:rPr>
          <w:b/>
        </w:rPr>
        <w:t>Later source:</w:t>
      </w:r>
      <w:r>
        <w:t xml:space="preserve"> Energy and Clean Air Policies Will Overcome the Adverse Effect of Climate Change and Reduce China's Ozone Pollution in the Future: The Insight From a New Two‐Stage Model — https://doi.org/10.1029/2024jd043182</w:t>
      </w:r>
    </w:p>
    <w:p>
      <w:pPr>
        <w:pStyle w:val="SourceNote"/>
      </w:pPr>
      <w:r>
        <w:rPr>
          <w:b/>
        </w:rPr>
        <w:t>Review status:</w:t>
      </w:r>
      <w:r>
        <w:t xml:space="preserve"> unchecked — possible relationship only</w:t>
      </w:r>
    </w:p>
    <w:p>
      <w:pPr>
        <w:pStyle w:val="Heading2"/>
      </w:pPr>
      <w:r>
        <w:t>345. Claim + two later sources: How far away is hydrogen? Its role in the medium and long-term decarbonisation of the European energy system</w:t>
      </w:r>
    </w:p>
    <w:p>
      <w:pPr>
        <w:pStyle w:val="SourceNote"/>
      </w:pPr>
      <w:r>
        <w:rPr>
          <w:b/>
        </w:rPr>
        <w:t>Group ID:</w:t>
      </w:r>
      <w:r>
        <w:t xml:space="preserve"> group-08061f5a9acd92c9f67c</w:t>
      </w:r>
    </w:p>
    <w:p>
      <w:pPr>
        <w:pStyle w:val="SourceNote"/>
      </w:pPr>
      <w:r>
        <w:rPr>
          <w:b/>
        </w:rPr>
        <w:t>Original source:</w:t>
      </w:r>
      <w:r>
        <w:t xml:space="preserve"> https://doi.org/10.1016/j.ijhydene.2015.09.004</w:t>
      </w:r>
    </w:p>
    <w:p>
      <w:pPr/>
      <w:r>
        <w:rPr>
          <w:b/>
        </w:rPr>
        <w:t>Original future claim:</w:t>
      </w:r>
      <w:r>
        <w:t xml:space="preserve"> 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r>
        <w:rPr>
          <w:b/>
        </w:rPr>
        <w:t>Later source:</w:t>
      </w:r>
      <w:r>
        <w:t xml:space="preserve"> Determinants of Beef Trade Between the EU and South America and the Implications of the EU–Mercosur Agreement for the European Beef Sector — https://doi.org/10.3390/su18052172</w:t>
      </w:r>
    </w:p>
    <w:p>
      <w:pPr/>
      <w:r>
        <w:rPr>
          <w:b/>
        </w:rPr>
        <w:t>Later source:</w:t>
      </w:r>
      <w:r>
        <w:t xml:space="preserve"> Monitoring the impact of EU F-gas regulation on HFC-134a emissions through a comparison of top-down and bottom-up estimates — https://doi.org/10.1186/s12302-025-01081-1</w:t>
      </w:r>
    </w:p>
    <w:p>
      <w:pPr>
        <w:pStyle w:val="SourceNote"/>
      </w:pPr>
      <w:r>
        <w:rPr>
          <w:b/>
        </w:rPr>
        <w:t>Review status:</w:t>
      </w:r>
      <w:r>
        <w:t xml:space="preserve"> unchecked — possible relationship only</w:t>
      </w:r>
    </w:p>
    <w:p>
      <w:pPr>
        <w:pStyle w:val="Heading2"/>
      </w:pPr>
      <w:r>
        <w:t>346. Claim + two later sources: Renewable and Sustainable Energy Transitions for Countries with Different Climates and Renewable Energy Sources Potentials</w:t>
      </w:r>
    </w:p>
    <w:p>
      <w:pPr>
        <w:pStyle w:val="SourceNote"/>
      </w:pPr>
      <w:r>
        <w:rPr>
          <w:b/>
        </w:rPr>
        <w:t>Group ID:</w:t>
      </w:r>
      <w:r>
        <w:t xml:space="preserve"> group-43d39fadea14b1a25390</w:t>
      </w:r>
    </w:p>
    <w:p>
      <w:pPr>
        <w:pStyle w:val="SourceNote"/>
      </w:pPr>
      <w:r>
        <w:rPr>
          <w:b/>
        </w:rPr>
        <w:t>Original source:</w:t>
      </w:r>
      <w:r>
        <w:t xml:space="preserve"> https://doi.org/10.3390/en11123523</w:t>
      </w:r>
    </w:p>
    <w:p>
      <w:pPr/>
      <w:r>
        <w:rPr>
          <w:b/>
        </w:rPr>
        <w:t>Original future claim:</w:t>
      </w:r>
      <w:r>
        <w:t xml:space="preserve"> The outcomes of the new scenarios support the future national plans, showing how decarburization in an energy system can occur in relation to the European Roadmap 2030 and 2050.</w:t>
      </w:r>
    </w:p>
    <w:p>
      <w:pPr/>
      <w:r>
        <w:rPr>
          <w:b/>
        </w:rPr>
        <w:t>Later source:</w:t>
      </w:r>
      <w:r>
        <w:t xml:space="preserve"> Roadmap Towards A New European Culture Of Mobility — https://openalex.org/W4400666844</w:t>
      </w:r>
    </w:p>
    <w:p>
      <w:pPr/>
      <w:r>
        <w:rPr>
          <w:b/>
        </w:rPr>
        <w:t>Later source:</w:t>
      </w:r>
      <w:r>
        <w:t xml:space="preserve"> Developing a European Psychotherapy Consortium (EPoC): Towards adopting a single-item self-report outcome measure across European countries — https://doi.org/10.32872/cpe.13827</w:t>
      </w:r>
    </w:p>
    <w:p>
      <w:pPr>
        <w:pStyle w:val="SourceNote"/>
      </w:pPr>
      <w:r>
        <w:rPr>
          <w:b/>
        </w:rPr>
        <w:t>Review status:</w:t>
      </w:r>
      <w:r>
        <w:t xml:space="preserve"> unchecked — possible relationship only</w:t>
      </w:r>
    </w:p>
    <w:p>
      <w:pPr>
        <w:pStyle w:val="Heading2"/>
      </w:pPr>
      <w:r>
        <w:t>347. Claim + two later sources: Socio-technical transitions in UK electricity: part 1 – history, actors and pathways</w:t>
      </w:r>
    </w:p>
    <w:p>
      <w:pPr>
        <w:pStyle w:val="SourceNote"/>
      </w:pPr>
      <w:r>
        <w:rPr>
          <w:b/>
        </w:rPr>
        <w:t>Group ID:</w:t>
      </w:r>
      <w:r>
        <w:t xml:space="preserve"> group-e860be173664f9ad2f21</w:t>
      </w:r>
    </w:p>
    <w:p>
      <w:pPr>
        <w:pStyle w:val="SourceNote"/>
      </w:pPr>
      <w:r>
        <w:rPr>
          <w:b/>
        </w:rPr>
        <w:t>Original source:</w:t>
      </w:r>
      <w:r>
        <w:t xml:space="preserve"> https://doi.org/10.1680/jener.19.00051</w:t>
      </w:r>
    </w:p>
    <w:p>
      <w:pPr/>
      <w:r>
        <w:rPr>
          <w:b/>
        </w:rPr>
        <w:t>Original future claim:</w:t>
      </w:r>
      <w:r>
        <w:t xml:space="preserve"> 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r>
        <w:rPr>
          <w:b/>
        </w:rPr>
        <w:t>Later source:</w:t>
      </w:r>
      <w:r>
        <w:t xml:space="preserve"> The G20 in Focus: An Anthology of African Analyses, Priorities, and Pathways — https://doi.org/10.36615/9781997468950</w:t>
      </w:r>
    </w:p>
    <w:p>
      <w:pPr/>
      <w:r>
        <w:rPr>
          <w:b/>
        </w:rPr>
        <w:t>Later source:</w:t>
      </w:r>
      <w:r>
        <w:t xml:space="preserve"> Decarbonization Pathways for Offshore Oil Power Systems: The Case of Saudi Arabia — https://doi.org/10.30573/ks--2026-dp24</w:t>
      </w:r>
    </w:p>
    <w:p>
      <w:pPr>
        <w:pStyle w:val="SourceNote"/>
      </w:pPr>
      <w:r>
        <w:rPr>
          <w:b/>
        </w:rPr>
        <w:t>Review status:</w:t>
      </w:r>
      <w:r>
        <w:t xml:space="preserve"> unchecked — possible relationship only</w:t>
      </w:r>
    </w:p>
    <w:p>
      <w:pPr>
        <w:pStyle w:val="Heading2"/>
      </w:pPr>
      <w:r>
        <w:t>348. Claim + two later sources: THE EUROPEAN MIGRATION CRISIS – ECONOMIC AND POLITICAL FACTORS AND CHALLENGES FOR THE FUTURE</w:t>
      </w:r>
    </w:p>
    <w:p>
      <w:pPr>
        <w:pStyle w:val="SourceNote"/>
      </w:pPr>
      <w:r>
        <w:rPr>
          <w:b/>
        </w:rPr>
        <w:t>Group ID:</w:t>
      </w:r>
      <w:r>
        <w:t xml:space="preserve"> group-6240bb8bf2c651cf6438</w:t>
      </w:r>
    </w:p>
    <w:p>
      <w:pPr>
        <w:pStyle w:val="SourceNote"/>
      </w:pPr>
      <w:r>
        <w:rPr>
          <w:b/>
        </w:rPr>
        <w:t>Original source:</w:t>
      </w:r>
      <w:r>
        <w:t xml:space="preserve"> https://doi.org/10.5755/j01.eis.0.11.18958</w:t>
      </w:r>
    </w:p>
    <w:p>
      <w:pPr/>
      <w:r>
        <w:rPr>
          <w:b/>
        </w:rPr>
        <w:t>Original future claim:</w:t>
      </w:r>
      <w:r>
        <w:t xml:space="preserve"> 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r>
        <w:rPr>
          <w:b/>
        </w:rPr>
        <w:t>Later source:</w:t>
      </w:r>
      <w:r>
        <w:t xml:space="preserve"> Between North and Europe : A case study of Nordic cooperation during the pandemic — https://openalex.org/W7154931280</w:t>
      </w:r>
    </w:p>
    <w:p>
      <w:pPr/>
      <w:r>
        <w:rPr>
          <w:b/>
        </w:rPr>
        <w:t>Later source:</w:t>
      </w:r>
      <w:r>
        <w:t xml:space="preserve"> Bibliographic Review on Transnational Cooperation in Environmental Issues in European Countries (2010–2025) — https://doi.org/10.3390/earth7010002</w:t>
      </w:r>
    </w:p>
    <w:p>
      <w:pPr>
        <w:pStyle w:val="SourceNote"/>
      </w:pPr>
      <w:r>
        <w:rPr>
          <w:b/>
        </w:rPr>
        <w:t>Review status:</w:t>
      </w:r>
      <w:r>
        <w:t xml:space="preserve"> unchecked — possible relationship only</w:t>
      </w:r>
    </w:p>
    <w:p>
      <w:pPr>
        <w:pStyle w:val="Heading2"/>
      </w:pPr>
      <w:r>
        <w:t>349. Claim + two later sources: Future population ageing and productivity in Finland under different education and fertility scenarios</w:t>
      </w:r>
    </w:p>
    <w:p>
      <w:pPr>
        <w:pStyle w:val="SourceNote"/>
      </w:pPr>
      <w:r>
        <w:rPr>
          <w:b/>
        </w:rPr>
        <w:t>Group ID:</w:t>
      </w:r>
      <w:r>
        <w:t xml:space="preserve"> group-d67b0bd08f7999e8e61c</w:t>
      </w:r>
    </w:p>
    <w:p>
      <w:pPr>
        <w:pStyle w:val="SourceNote"/>
      </w:pPr>
      <w:r>
        <w:rPr>
          <w:b/>
        </w:rPr>
        <w:t>Original source:</w:t>
      </w:r>
      <w:r>
        <w:t xml:space="preserve"> https://doi.org/10.23979/fypr.119666</w:t>
      </w:r>
    </w:p>
    <w:p>
      <w:pPr/>
      <w:r>
        <w:rPr>
          <w:b/>
        </w:rPr>
        <w:t>Original future claim:</w:t>
      </w:r>
      <w:r>
        <w:t xml:space="preserve"> 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r>
        <w:rPr>
          <w:b/>
        </w:rPr>
        <w:t>Later source:</w:t>
      </w:r>
      <w:r>
        <w:t xml:space="preserve"> The Right to a Fair Remuneration and Fair Income Replacement in the European Social Charter: A Multidimensional Approach — https://doi.org/10.3935/zpfz.75.6.2</w:t>
      </w:r>
    </w:p>
    <w:p>
      <w:pPr/>
      <w:r>
        <w:rPr>
          <w:b/>
        </w:rPr>
        <w:t>Later source:</w:t>
      </w:r>
      <w:r>
        <w:t xml:space="preserve"> MULTIDIMENSIONAL LOCAL RESILIENCE – ANALYSIS OF ENVIRONMENTAL, DEMOGRAPHIC AND INFRASTRUCTURAL FACTORS — https://doi.org/10.29119/1641-3466.2026.244.3</w:t>
      </w:r>
    </w:p>
    <w:p>
      <w:pPr>
        <w:pStyle w:val="SourceNote"/>
      </w:pPr>
      <w:r>
        <w:rPr>
          <w:b/>
        </w:rPr>
        <w:t>Review status:</w:t>
      </w:r>
      <w:r>
        <w:t xml:space="preserve"> unchecked — possible relationship only</w:t>
      </w:r>
    </w:p>
    <w:p>
      <w:pPr>
        <w:pStyle w:val="Heading2"/>
      </w:pPr>
      <w:r>
        <w:t>350. Claim + two later sources: Are the European manufacturing and energy sectors on track for achieving net-zero emissions in 2050? An empirical analysis</w:t>
      </w:r>
    </w:p>
    <w:p>
      <w:pPr>
        <w:pStyle w:val="SourceNote"/>
      </w:pPr>
      <w:r>
        <w:rPr>
          <w:b/>
        </w:rPr>
        <w:t>Group ID:</w:t>
      </w:r>
      <w:r>
        <w:t xml:space="preserve"> group-a12cddb68a9f3cd8d4ae</w:t>
      </w:r>
    </w:p>
    <w:p>
      <w:pPr>
        <w:pStyle w:val="SourceNote"/>
      </w:pPr>
      <w:r>
        <w:rPr>
          <w:b/>
        </w:rPr>
        <w:t>Original source:</w:t>
      </w:r>
      <w:r>
        <w:t xml:space="preserve"> https://doi.org/10.1016/j.enpol.2021.112464</w:t>
      </w:r>
    </w:p>
    <w:p>
      <w:pPr/>
      <w:r>
        <w:rPr>
          <w:b/>
        </w:rPr>
        <w:t>Original future claim:</w:t>
      </w:r>
      <w:r>
        <w:t xml:space="preserve"> 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r>
        <w:rPr>
          <w:b/>
        </w:rPr>
        <w:t>Later source:</w:t>
      </w:r>
      <w:r>
        <w:t xml:space="preserve"> Spatiotemporal clustering of GHGs emissions in Europe: Exploring the role of spatial component — https://doi.org/10.1016/j.spasta.2026.100960</w:t>
      </w:r>
    </w:p>
    <w:p>
      <w:pPr/>
      <w:r>
        <w:rPr>
          <w:b/>
        </w:rPr>
        <w:t>Later source:</w:t>
      </w:r>
      <w:r>
        <w:t xml:space="preserve"> Achieving SDG 7 in the European Union: The Impact of Institutions and Macroeconomic Factors on Energy Conservation — https://doi.org/10.1002/sd.71042</w:t>
      </w:r>
    </w:p>
    <w:p>
      <w:pPr>
        <w:pStyle w:val="SourceNote"/>
      </w:pPr>
      <w:r>
        <w:rPr>
          <w:b/>
        </w:rPr>
        <w:t>Review status:</w:t>
      </w:r>
      <w:r>
        <w:t xml:space="preserve"> unchecked — possible relationship only</w:t>
      </w:r>
    </w:p>
    <w:p>
      <w:pPr>
        <w:pStyle w:val="Heading2"/>
      </w:pPr>
      <w:r>
        <w:t>351. Claim + two later sources: Scenarios for renewable energy deployment in North African countries and electricity exchange with Europe – A modelbased analysis for 2050</w:t>
      </w:r>
    </w:p>
    <w:p>
      <w:pPr>
        <w:pStyle w:val="SourceNote"/>
      </w:pPr>
      <w:r>
        <w:rPr>
          <w:b/>
        </w:rPr>
        <w:t>Group ID:</w:t>
      </w:r>
      <w:r>
        <w:t xml:space="preserve"> group-4b6c16193f313fe2ce16</w:t>
      </w:r>
    </w:p>
    <w:p>
      <w:pPr>
        <w:pStyle w:val="SourceNote"/>
      </w:pPr>
      <w:r>
        <w:rPr>
          <w:b/>
        </w:rPr>
        <w:t>Original source:</w:t>
      </w:r>
      <w:r>
        <w:t xml:space="preserve"> https://doi.org/10.12720/sgce.3.3.299-306</w:t>
      </w:r>
    </w:p>
    <w:p>
      <w:pPr/>
      <w:r>
        <w:rPr>
          <w:b/>
        </w:rPr>
        <w:t>Original future claim:</w:t>
      </w:r>
      <w:r>
        <w:t xml:space="preserve"> 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r>
        <w:rPr>
          <w:b/>
        </w:rPr>
        <w:t>Later source:</w:t>
      </w:r>
      <w:r>
        <w:t xml:space="preserve"> North Africa as an emerging green hydrogen hub: Algeria in focus — https://doi.org/10.1016/j.gerr.2026.100171</w:t>
      </w:r>
    </w:p>
    <w:p>
      <w:pPr/>
      <w:r>
        <w:rPr>
          <w:b/>
        </w:rPr>
        <w:t>Later source:</w:t>
      </w:r>
      <w:r>
        <w:t xml:space="preserve"> The European Union’s energy security based on renewables — https://doi.org/10.18559/978-83-8211-309-9/13</w:t>
      </w:r>
    </w:p>
    <w:p>
      <w:pPr>
        <w:pStyle w:val="SourceNote"/>
      </w:pPr>
      <w:r>
        <w:rPr>
          <w:b/>
        </w:rPr>
        <w:t>Review status:</w:t>
      </w:r>
      <w:r>
        <w:t xml:space="preserve"> unchecked — possible relationship only</w:t>
      </w:r>
    </w:p>
    <w:p>
      <w:pPr>
        <w:pStyle w:val="Heading2"/>
      </w:pPr>
      <w:r>
        <w:t>352. Claim + two later sources: ClimateEU, scale-free climate normals, historical time series, and future projections for Europe</w:t>
      </w:r>
    </w:p>
    <w:p>
      <w:pPr>
        <w:pStyle w:val="SourceNote"/>
      </w:pPr>
      <w:r>
        <w:rPr>
          <w:b/>
        </w:rPr>
        <w:t>Group ID:</w:t>
      </w:r>
      <w:r>
        <w:t xml:space="preserve"> group-72b806d4aa9a589f4322</w:t>
      </w:r>
    </w:p>
    <w:p>
      <w:pPr>
        <w:pStyle w:val="SourceNote"/>
      </w:pPr>
      <w:r>
        <w:rPr>
          <w:b/>
        </w:rPr>
        <w:t>Original source:</w:t>
      </w:r>
      <w:r>
        <w:t xml:space="preserve"> https://doi.org/10.1038/s41597-020-00763-0</w:t>
      </w:r>
    </w:p>
    <w:p>
      <w:pPr/>
      <w:r>
        <w:rPr>
          <w:b/>
        </w:rPr>
        <w:t>Original future claim:</w:t>
      </w:r>
      <w:r>
        <w:t xml:space="preserve"> 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r>
        <w:rPr>
          <w:b/>
        </w:rPr>
        <w:t>Later source:</w:t>
      </w:r>
      <w:r>
        <w:t xml:space="preserve"> Synthesised database of wild bee and hoverfly records in Europe — https://doi.org/10.1038/s41597-026-06644-2</w:t>
      </w:r>
    </w:p>
    <w:p>
      <w:pPr/>
      <w:r>
        <w:rPr>
          <w:b/>
        </w:rPr>
        <w:t>Later source:</w:t>
      </w:r>
      <w:r>
        <w:t xml:space="preserve"> EuPPollNet : A European Database of Plant‐Pollinator Networks — https://doi.org/10.1111/geb.70000</w:t>
      </w:r>
    </w:p>
    <w:p>
      <w:pPr>
        <w:pStyle w:val="SourceNote"/>
      </w:pPr>
      <w:r>
        <w:rPr>
          <w:b/>
        </w:rPr>
        <w:t>Review status:</w:t>
      </w:r>
      <w:r>
        <w:t xml:space="preserve"> unchecked — possible relationship only</w:t>
      </w:r>
    </w:p>
    <w:p>
      <w:pPr>
        <w:pStyle w:val="Heading2"/>
      </w:pPr>
      <w:r>
        <w:t>353. Claim + two later sources: Brexit and Its Impact on Poland’s Policy Towards Europe – An Attempt to Forecast</w:t>
      </w:r>
    </w:p>
    <w:p>
      <w:pPr>
        <w:pStyle w:val="SourceNote"/>
      </w:pPr>
      <w:r>
        <w:rPr>
          <w:b/>
        </w:rPr>
        <w:t>Group ID:</w:t>
      </w:r>
      <w:r>
        <w:t xml:space="preserve"> group-24e7020c525afed2250e</w:t>
      </w:r>
    </w:p>
    <w:p>
      <w:pPr>
        <w:pStyle w:val="SourceNote"/>
      </w:pPr>
      <w:r>
        <w:rPr>
          <w:b/>
        </w:rPr>
        <w:t>Original source:</w:t>
      </w:r>
      <w:r>
        <w:t xml:space="preserve"> https://doi.org/10.33067/se.2.2020.5</w:t>
      </w:r>
    </w:p>
    <w:p>
      <w:pPr/>
      <w:r>
        <w:rPr>
          <w:b/>
        </w:rPr>
        <w:t>Original future claim:</w:t>
      </w:r>
      <w:r>
        <w:t xml:space="preserve"> 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r>
        <w:rPr>
          <w:b/>
        </w:rPr>
        <w:t>Later source:</w:t>
      </w:r>
      <w:r>
        <w:t xml:space="preserve"> A feminist decolonial challenge to European Union’s gender governance: knowledge hierarchies and exclusion in the European Parliament — https://doi.org/10.1080/09589236.2026.2648725</w:t>
      </w:r>
    </w:p>
    <w:p>
      <w:pPr/>
      <w:r>
        <w:rPr>
          <w:b/>
        </w:rPr>
        <w:t>Later source:</w:t>
      </w:r>
      <w:r>
        <w:t xml:space="preserve"> The carbon footprint of the hard coal sector in Poland in the context of the evolution of the European Union’s climate neutrality policy — https://doi.org/10.46873/2300-3960.1506</w:t>
      </w:r>
    </w:p>
    <w:p>
      <w:pPr>
        <w:pStyle w:val="SourceNote"/>
      </w:pPr>
      <w:r>
        <w:rPr>
          <w:b/>
        </w:rPr>
        <w:t>Review status:</w:t>
      </w:r>
      <w:r>
        <w:t xml:space="preserve"> unchecked — possible relationship only</w:t>
      </w:r>
    </w:p>
    <w:p>
      <w:pPr>
        <w:pStyle w:val="Heading2"/>
      </w:pPr>
      <w:r>
        <w:t>354. Claim + two later sources: The use of probabilistic weather generator information for climate change adaptation in the UK water sector</w:t>
      </w:r>
    </w:p>
    <w:p>
      <w:pPr>
        <w:pStyle w:val="SourceNote"/>
      </w:pPr>
      <w:r>
        <w:rPr>
          <w:b/>
        </w:rPr>
        <w:t>Group ID:</w:t>
      </w:r>
      <w:r>
        <w:t xml:space="preserve"> group-3e43cb37609329f521a3</w:t>
      </w:r>
    </w:p>
    <w:p>
      <w:pPr>
        <w:pStyle w:val="SourceNote"/>
      </w:pPr>
      <w:r>
        <w:rPr>
          <w:b/>
        </w:rPr>
        <w:t>Original source:</w:t>
      </w:r>
      <w:r>
        <w:t xml:space="preserve"> https://doi.org/10.1002/met.1335</w:t>
      </w:r>
    </w:p>
    <w:p>
      <w:pPr/>
      <w:r>
        <w:rPr>
          <w:b/>
        </w:rPr>
        <w:t>Original future claim:</w:t>
      </w:r>
      <w:r>
        <w:t xml:space="preserve"> 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r>
        <w:rPr>
          <w:b/>
        </w:rPr>
        <w:t>Later source:</w:t>
      </w:r>
      <w:r>
        <w:t xml:space="preserve"> Synthesizing activity locations in the context of integrated activity-based models — https://doi.org/10.5198/jtlu.2025.2291</w:t>
      </w:r>
    </w:p>
    <w:p>
      <w:pPr/>
      <w:r>
        <w:rPr>
          <w:b/>
        </w:rPr>
        <w:t>Later source:</w:t>
      </w:r>
      <w:r>
        <w:t xml:space="preserve"> Response to Comment on “Soluble Receptor for Advanced Glycation End Products and Incident Hypertension in REGARDS” — https://doi.org/10.1093/ajh/hpaf229</w:t>
      </w:r>
    </w:p>
    <w:p>
      <w:pPr>
        <w:pStyle w:val="SourceNote"/>
      </w:pPr>
      <w:r>
        <w:rPr>
          <w:b/>
        </w:rPr>
        <w:t>Review status:</w:t>
      </w:r>
      <w:r>
        <w:t xml:space="preserve"> unchecked — possible relationship only</w:t>
      </w:r>
    </w:p>
    <w:p>
      <w:pPr>
        <w:pStyle w:val="Heading2"/>
      </w:pPr>
      <w:r>
        <w:t>355. Claim + two later sources: Renewable jet fuel supply scenarios in the European Union in 2021–2030 in the context of proposed biofuel policy and competing biomass demand</w:t>
      </w:r>
    </w:p>
    <w:p>
      <w:pPr>
        <w:pStyle w:val="SourceNote"/>
      </w:pPr>
      <w:r>
        <w:rPr>
          <w:b/>
        </w:rPr>
        <w:t>Group ID:</w:t>
      </w:r>
      <w:r>
        <w:t xml:space="preserve"> group-17822ef0461868890b84</w:t>
      </w:r>
    </w:p>
    <w:p>
      <w:pPr>
        <w:pStyle w:val="SourceNote"/>
      </w:pPr>
      <w:r>
        <w:rPr>
          <w:b/>
        </w:rPr>
        <w:t>Original source:</w:t>
      </w:r>
      <w:r>
        <w:t xml:space="preserve"> https://doi.org/10.1111/gcbb.12525</w:t>
      </w:r>
    </w:p>
    <w:p>
      <w:pPr/>
      <w:r>
        <w:rPr>
          <w:b/>
        </w:rPr>
        <w:t>Original future claim:</w:t>
      </w:r>
      <w:r>
        <w:t xml:space="preserve"> 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r>
        <w:rPr>
          <w:b/>
        </w:rPr>
        <w:t>Later source:</w:t>
      </w:r>
      <w:r>
        <w:t xml:space="preserve"> Bioenergy in Europe is unlikely to make a timely contribution to climate change targets — https://doi.org/10.1088/1748-9326/ad2d11</w:t>
      </w:r>
    </w:p>
    <w:p>
      <w:pPr/>
      <w:r>
        <w:rPr>
          <w:b/>
        </w:rPr>
        <w:t>Later source:</w:t>
      </w:r>
      <w:r>
        <w:t xml:space="preserve"> Effects of different renewable electricity diffusion paths and restricted european cooperation on Europe's hydrogen supply — https://doi.org/10.1016/j.esr.2024.101589</w:t>
      </w:r>
    </w:p>
    <w:p>
      <w:pPr>
        <w:pStyle w:val="SourceNote"/>
      </w:pPr>
      <w:r>
        <w:rPr>
          <w:b/>
        </w:rPr>
        <w:t>Review status:</w:t>
      </w:r>
      <w:r>
        <w:t xml:space="preserve"> unchecked — possible relationship only</w:t>
      </w:r>
    </w:p>
    <w:p>
      <w:pPr>
        <w:pStyle w:val="Heading2"/>
      </w:pPr>
      <w:r>
        <w:t>356. Claim + two later sources: Making sense of the future: visions and transition pathways of laypeople and professionals from six EU countries</w:t>
      </w:r>
    </w:p>
    <w:p>
      <w:pPr>
        <w:pStyle w:val="SourceNote"/>
      </w:pPr>
      <w:r>
        <w:rPr>
          <w:b/>
        </w:rPr>
        <w:t>Group ID:</w:t>
      </w:r>
      <w:r>
        <w:t xml:space="preserve"> group-cbbb6698fbb2a885c8e5</w:t>
      </w:r>
    </w:p>
    <w:p>
      <w:pPr>
        <w:pStyle w:val="SourceNote"/>
      </w:pPr>
      <w:r>
        <w:rPr>
          <w:b/>
        </w:rPr>
        <w:t>Original source:</w:t>
      </w:r>
      <w:r>
        <w:t xml:space="preserve"> https://doi.org/10.1080/11287462.2014.957010</w:t>
      </w:r>
    </w:p>
    <w:p>
      <w:pPr/>
      <w:r>
        <w:rPr>
          <w:b/>
        </w:rPr>
        <w:t>Original future claim:</w:t>
      </w:r>
      <w:r>
        <w:t xml:space="preserve"> 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r>
        <w:rPr>
          <w:b/>
        </w:rPr>
        <w:t>Later source:</w:t>
      </w:r>
      <w:r>
        <w:t xml:space="preserve"> Friedreich's ataxia patient pathway in Europe — https://doi.org/10.3389/frhs.2026.1817584</w:t>
      </w:r>
    </w:p>
    <w:p>
      <w:pPr/>
      <w:r>
        <w:rPr>
          <w:b/>
        </w:rPr>
        <w:t>Later source:</w:t>
      </w:r>
      <w:r>
        <w:t xml:space="preserve"> Pathways to Circularity: Engagement Patterns of European SMEs in the Circular Economy — https://doi.org/10.1002/bse.4192</w:t>
      </w:r>
    </w:p>
    <w:p>
      <w:pPr>
        <w:pStyle w:val="SourceNote"/>
      </w:pPr>
      <w:r>
        <w:rPr>
          <w:b/>
        </w:rPr>
        <w:t>Review status:</w:t>
      </w:r>
      <w:r>
        <w:t xml:space="preserve"> unchecked — possible relationship only</w:t>
      </w:r>
    </w:p>
    <w:p>
      <w:pPr>
        <w:pStyle w:val="Heading2"/>
      </w:pPr>
      <w:r>
        <w:t>357. Claim + two later sources: Energy Community in Action—Energy Citizenship Contract as Tool for Climate Neutrality</w:t>
      </w:r>
    </w:p>
    <w:p>
      <w:pPr>
        <w:pStyle w:val="SourceNote"/>
      </w:pPr>
      <w:r>
        <w:rPr>
          <w:b/>
        </w:rPr>
        <w:t>Group ID:</w:t>
      </w:r>
      <w:r>
        <w:t xml:space="preserve"> group-a5a24a033f5762b27303</w:t>
      </w:r>
    </w:p>
    <w:p>
      <w:pPr>
        <w:pStyle w:val="SourceNote"/>
      </w:pPr>
      <w:r>
        <w:rPr>
          <w:b/>
        </w:rPr>
        <w:t>Original source:</w:t>
      </w:r>
      <w:r>
        <w:t xml:space="preserve"> https://doi.org/10.3390/smartcities5010018</w:t>
      </w:r>
    </w:p>
    <w:p>
      <w:pPr/>
      <w:r>
        <w:rPr>
          <w:b/>
        </w:rPr>
        <w:t>Original future claim:</w:t>
      </w:r>
      <w:r>
        <w:t xml:space="preserve"> Incisive actions are fundamental to bring cities towards climate neutrality by 2050 working by and for the citizens. For this reason, the “100 climate-neutral cities Mission” anticipates the target of climate neutrality by 2030.</w:t>
      </w:r>
    </w:p>
    <w:p>
      <w:pPr/>
      <w:r>
        <w:rPr>
          <w:b/>
        </w:rPr>
        <w:t>Later source:</w:t>
      </w:r>
      <w:r>
        <w:t xml:space="preserve"> Types of Threatening Actions in Critical Realist Literature (1930-1945) and Their Evolution in Contemporary Vietnamese Literature — https://doi.org/10.62225/2583049x.2026.6.1.5518</w:t>
      </w:r>
    </w:p>
    <w:p>
      <w:pPr/>
      <w:r>
        <w:rPr>
          <w:b/>
        </w:rPr>
        <w:t>Later source:</w:t>
      </w:r>
      <w:r>
        <w:t xml:space="preserve"> Review: Replumbing the City: Water Management as Climate Adaptation in Los Angeles , by Sayd Randle — https://doi.org/10.1525/ch.2026.103.1.117</w:t>
      </w:r>
    </w:p>
    <w:p>
      <w:pPr>
        <w:pStyle w:val="SourceNote"/>
      </w:pPr>
      <w:r>
        <w:rPr>
          <w:b/>
        </w:rPr>
        <w:t>Review status:</w:t>
      </w:r>
      <w:r>
        <w:t xml:space="preserve"> unchecked — possible relationship only</w:t>
      </w:r>
    </w:p>
    <w:p>
      <w:pPr>
        <w:pStyle w:val="Heading2"/>
      </w:pPr>
      <w:r>
        <w:t>358. Claim + two later sources: Futurescapes: expectations in Europe for relative effectiveness evidence for drugs in 2020</w:t>
      </w:r>
    </w:p>
    <w:p>
      <w:pPr>
        <w:pStyle w:val="SourceNote"/>
      </w:pPr>
      <w:r>
        <w:rPr>
          <w:b/>
        </w:rPr>
        <w:t>Group ID:</w:t>
      </w:r>
      <w:r>
        <w:t xml:space="preserve"> group-76b0be7333c039703bcd</w:t>
      </w:r>
    </w:p>
    <w:p>
      <w:pPr>
        <w:pStyle w:val="SourceNote"/>
      </w:pPr>
      <w:r>
        <w:rPr>
          <w:b/>
        </w:rPr>
        <w:t>Original source:</w:t>
      </w:r>
      <w:r>
        <w:t xml:space="preserve"> https://doi.org/10.2217/cer.15.7</w:t>
      </w:r>
    </w:p>
    <w:p>
      <w:pPr/>
      <w:r>
        <w:rPr>
          <w:b/>
        </w:rPr>
        <w:t>Original future claim:</w:t>
      </w:r>
      <w:r>
        <w:t xml:space="preserve"> The most likely scenario entailed some change with postlaunch regulatory studies driving the likely nature of RE evidence generated.</w:t>
      </w:r>
    </w:p>
    <w:p>
      <w:pPr/>
      <w:r>
        <w:rPr>
          <w:b/>
        </w:rPr>
        <w:t>Later source:</w:t>
      </w:r>
      <w:r>
        <w:t xml:space="preserve"> Seasonal Climate Change in Europe Over the Last Thousand Years as a Social Challenge — https://doi.org/10.1093/acrefore/9780190228620.013.980</w:t>
      </w:r>
    </w:p>
    <w:p>
      <w:pPr/>
      <w:r>
        <w:rPr>
          <w:b/>
        </w:rPr>
        <w:t>Later source:</w:t>
      </w:r>
      <w:r>
        <w:t xml:space="preserve"> A Governance Analysis of BEFIT: How the Member States’ Wish to Obtain more Regulatory Authority is Driving a Revolution — https://doi.org/10.54648/ecta2023025</w:t>
      </w:r>
    </w:p>
    <w:p>
      <w:pPr>
        <w:pStyle w:val="SourceNote"/>
      </w:pPr>
      <w:r>
        <w:rPr>
          <w:b/>
        </w:rPr>
        <w:t>Review status:</w:t>
      </w:r>
      <w:r>
        <w:t xml:space="preserve"> unchecked — possible relationship only</w:t>
      </w:r>
    </w:p>
    <w:p>
      <w:pPr>
        <w:pStyle w:val="Heading2"/>
      </w:pPr>
      <w:r>
        <w:t>359. Claim + two later sources: The impact of EU Climate/Energy policies on Belgium’s energy dependence up to 2050</w:t>
      </w:r>
    </w:p>
    <w:p>
      <w:pPr>
        <w:pStyle w:val="SourceNote"/>
      </w:pPr>
      <w:r>
        <w:rPr>
          <w:b/>
        </w:rPr>
        <w:t>Group ID:</w:t>
      </w:r>
      <w:r>
        <w:t xml:space="preserve"> group-024463b5e1242a2c8495</w:t>
      </w:r>
    </w:p>
    <w:p>
      <w:pPr>
        <w:pStyle w:val="SourceNote"/>
      </w:pPr>
      <w:r>
        <w:rPr>
          <w:b/>
        </w:rPr>
        <w:t>Original source:</w:t>
      </w:r>
      <w:r>
        <w:t xml:space="preserve"> https://doi.org/10.3917/rpve.541.0021</w:t>
      </w:r>
    </w:p>
    <w:p>
      <w:pPr/>
      <w:r>
        <w:rPr>
          <w:b/>
        </w:rPr>
        <w:t>Original future claim:</w:t>
      </w:r>
      <w:r>
        <w:t xml:space="preserve"> 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r>
        <w:rPr>
          <w:b/>
        </w:rPr>
        <w:t>Later source:</w:t>
      </w:r>
      <w:r>
        <w:t xml:space="preserve"> Les « groupes Medvedkine » (1967-1974), transfert tardif de la culture d’agit-prop soviétique ? — https://openalex.org/W4364379400</w:t>
      </w:r>
    </w:p>
    <w:p>
      <w:pPr/>
      <w:r>
        <w:rPr>
          <w:b/>
        </w:rPr>
        <w:t>Later source:</w:t>
      </w:r>
      <w:r>
        <w:t xml:space="preserve"> Le rôle du commerce pour une adaptation résiliente au changement climatique dans l’agriculture africaine — https://doi.org/10.3917/edd.363.0041</w:t>
      </w:r>
    </w:p>
    <w:p>
      <w:pPr>
        <w:pStyle w:val="SourceNote"/>
      </w:pPr>
      <w:r>
        <w:rPr>
          <w:b/>
        </w:rPr>
        <w:t>Review status:</w:t>
      </w:r>
      <w:r>
        <w:t xml:space="preserve"> unchecked — possible relationship only</w:t>
      </w:r>
    </w:p>
    <w:p>
      <w:pPr>
        <w:pStyle w:val="Heading2"/>
      </w:pPr>
      <w:r>
        <w:t>360. Claim + two later sources: The Future of European Labour Law and the Right to Employability</w:t>
      </w:r>
    </w:p>
    <w:p>
      <w:pPr>
        <w:pStyle w:val="SourceNote"/>
      </w:pPr>
      <w:r>
        <w:rPr>
          <w:b/>
        </w:rPr>
        <w:t>Group ID:</w:t>
      </w:r>
      <w:r>
        <w:t xml:space="preserve"> group-07ea1b239a7da48c5487</w:t>
      </w:r>
    </w:p>
    <w:p>
      <w:pPr>
        <w:pStyle w:val="SourceNote"/>
      </w:pPr>
      <w:r>
        <w:rPr>
          <w:b/>
        </w:rPr>
        <w:t>Original source:</w:t>
      </w:r>
      <w:r>
        <w:t xml:space="preserve"> https://doi.org/10.1177/201395251600700311</w:t>
      </w:r>
    </w:p>
    <w:p>
      <w:pPr/>
      <w:r>
        <w:rPr>
          <w:b/>
        </w:rPr>
        <w:t>Original future claim:</w:t>
      </w:r>
      <w:r>
        <w:t xml:space="preserve"> 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r>
        <w:rPr>
          <w:b/>
        </w:rPr>
        <w:t>Later source:</w:t>
      </w:r>
      <w:r>
        <w:t xml:space="preserve"> Guiding AI in radiology: ESR’s recommendations for effective implementation of the European AI Act — https://doi.org/10.1186/s13244-025-01905-x</w:t>
      </w:r>
    </w:p>
    <w:p>
      <w:pPr/>
      <w:r>
        <w:rPr>
          <w:b/>
        </w:rPr>
        <w:t>Later source:</w:t>
      </w:r>
      <w:r>
        <w:t xml:space="preserve"> More (of) Democracy: European Citizens’ Views and Evaluations of Democracy — https://doi.org/10.46630/gsoc.32.2024.01</w:t>
      </w:r>
    </w:p>
    <w:p>
      <w:pPr>
        <w:pStyle w:val="SourceNote"/>
      </w:pPr>
      <w:r>
        <w:rPr>
          <w:b/>
        </w:rPr>
        <w:t>Review status:</w:t>
      </w:r>
      <w:r>
        <w:t xml:space="preserve"> unchecked — possible relationship only</w:t>
      </w:r>
    </w:p>
    <w:p>
      <w:pPr>
        <w:pStyle w:val="Heading2"/>
      </w:pPr>
      <w:r>
        <w:t>361. Claim + two later sources: UK-EU RELATIONSHIP AFTER BREXIT: AN EXERCISE IN SCENARIO-BUILDING</w:t>
      </w:r>
    </w:p>
    <w:p>
      <w:pPr>
        <w:pStyle w:val="SourceNote"/>
      </w:pPr>
      <w:r>
        <w:rPr>
          <w:b/>
        </w:rPr>
        <w:t>Group ID:</w:t>
      </w:r>
      <w:r>
        <w:t xml:space="preserve"> group-cce570a6759ce5f2ec6d</w:t>
      </w:r>
    </w:p>
    <w:p>
      <w:pPr>
        <w:pStyle w:val="SourceNote"/>
      </w:pPr>
      <w:r>
        <w:rPr>
          <w:b/>
        </w:rPr>
        <w:t>Original source:</w:t>
      </w:r>
      <w:r>
        <w:t xml:space="preserve"> https://doi.org/10.9770/jssi.2018.8.1(3)</w:t>
      </w:r>
    </w:p>
    <w:p>
      <w:pPr/>
      <w:r>
        <w:rPr>
          <w:b/>
        </w:rPr>
        <w:t>Original future claim:</w:t>
      </w:r>
      <w:r>
        <w:t xml:space="preserve"> 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r>
        <w:rPr>
          <w:b/>
        </w:rPr>
        <w:t>Later source:</w:t>
      </w:r>
      <w:r>
        <w:t xml:space="preserve"> Re-imagining a multicultural Europe: the experience of the R.E.D. (Reframing the European Dream) Carpet — https://doi.org/10.4337/9781035310036.00032</w:t>
      </w:r>
    </w:p>
    <w:p>
      <w:pPr/>
      <w:r>
        <w:rPr>
          <w:b/>
        </w:rPr>
        <w:t>Later source:</w:t>
      </w:r>
      <w:r>
        <w:t xml:space="preserve"> Unsettling mainstream academic debates on community-based energy governance: Exploring the Japanese experience — https://doi.org/10.1016/j.rser.2024.114994</w:t>
      </w:r>
    </w:p>
    <w:p>
      <w:pPr>
        <w:pStyle w:val="SourceNote"/>
      </w:pPr>
      <w:r>
        <w:rPr>
          <w:b/>
        </w:rPr>
        <w:t>Review status:</w:t>
      </w:r>
      <w:r>
        <w:t xml:space="preserve"> unchecked — possible relationship only</w:t>
      </w:r>
    </w:p>
    <w:p>
      <w:pPr>
        <w:pStyle w:val="Heading2"/>
      </w:pPr>
      <w:r>
        <w:t>362. Claim + two later sources: Potential of extensification of European agriculture for a more sustainable food system, focusing on nitrogen</w:t>
      </w:r>
    </w:p>
    <w:p>
      <w:pPr>
        <w:pStyle w:val="SourceNote"/>
      </w:pPr>
      <w:r>
        <w:rPr>
          <w:b/>
        </w:rPr>
        <w:t>Group ID:</w:t>
      </w:r>
      <w:r>
        <w:t xml:space="preserve"> group-dae6fdb16963d350c54d</w:t>
      </w:r>
    </w:p>
    <w:p>
      <w:pPr>
        <w:pStyle w:val="SourceNote"/>
      </w:pPr>
      <w:r>
        <w:rPr>
          <w:b/>
        </w:rPr>
        <w:t>Original source:</w:t>
      </w:r>
      <w:r>
        <w:t xml:space="preserve"> https://doi.org/10.1088/1748-9326/10/2/025002</w:t>
      </w:r>
    </w:p>
    <w:p>
      <w:pPr/>
      <w:r>
        <w:rPr>
          <w:b/>
        </w:rPr>
        <w:t>Original future claim:</w:t>
      </w:r>
      <w:r>
        <w:t xml:space="preserve"> 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r>
        <w:rPr>
          <w:b/>
        </w:rPr>
        <w:t>Later source:</w:t>
      </w:r>
      <w:r>
        <w:t xml:space="preserve"> Stranded assets in European agriculture during food system transformations — https://doi.org/10.1038/s43016-025-01283-z</w:t>
      </w:r>
    </w:p>
    <w:p>
      <w:pPr/>
      <w:r>
        <w:rPr>
          <w:b/>
        </w:rPr>
        <w:t>Later source:</w:t>
      </w:r>
      <w:r>
        <w:t xml:space="preserve"> Environmental impacts from European food consumption can be reduced with carbon pricing or a value-added tax reform — https://doi.org/10.1038/s43016-025-01284-y</w:t>
      </w:r>
    </w:p>
    <w:p>
      <w:pPr>
        <w:pStyle w:val="SourceNote"/>
      </w:pPr>
      <w:r>
        <w:rPr>
          <w:b/>
        </w:rPr>
        <w:t>Review status:</w:t>
      </w:r>
      <w:r>
        <w:t xml:space="preserve"> unchecked — possible relationship only</w:t>
      </w:r>
    </w:p>
    <w:p>
      <w:pPr>
        <w:pStyle w:val="Heading2"/>
      </w:pPr>
      <w:r>
        <w:t>363. Claim + two later sources: Efficiency of the European Union farm types: Scenarios with and without the 2013 CAP measures</w:t>
      </w:r>
    </w:p>
    <w:p>
      <w:pPr>
        <w:pStyle w:val="SourceNote"/>
      </w:pPr>
      <w:r>
        <w:rPr>
          <w:b/>
        </w:rPr>
        <w:t>Group ID:</w:t>
      </w:r>
      <w:r>
        <w:t xml:space="preserve"> group-8672d0a44ec9106eee4c</w:t>
      </w:r>
    </w:p>
    <w:p>
      <w:pPr>
        <w:pStyle w:val="SourceNote"/>
      </w:pPr>
      <w:r>
        <w:rPr>
          <w:b/>
        </w:rPr>
        <w:t>Original source:</w:t>
      </w:r>
      <w:r>
        <w:t xml:space="preserve"> https://doi.org/10.1515/opag-2022-0071</w:t>
      </w:r>
    </w:p>
    <w:p>
      <w:pPr/>
      <w:r>
        <w:rPr>
          <w:b/>
        </w:rPr>
        <w:t>Original future claim:</w:t>
      </w:r>
      <w:r>
        <w:t xml:space="preserve"> 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r>
        <w:rPr>
          <w:b/>
        </w:rPr>
        <w:t>Later source:</w:t>
      </w:r>
      <w:r>
        <w:t xml:space="preserve"> Contract Design for "Enterprise+Farmer" Sharecropping Family Farms — A Comparison of Institutional Evolution in American and French Family Farms — https://doi.org/10.62177/apemr.v3i1.1034</w:t>
      </w:r>
    </w:p>
    <w:p>
      <w:pPr/>
      <w:r>
        <w:rPr>
          <w:b/>
        </w:rPr>
        <w:t>Later source:</w:t>
      </w:r>
      <w:r>
        <w:t xml:space="preserve"> An analysis of the response behaviour of farms in the Farm Structure Survey — https://doi.org/10.71014/sieds.v80i2.507</w:t>
      </w:r>
    </w:p>
    <w:p>
      <w:pPr>
        <w:pStyle w:val="SourceNote"/>
      </w:pPr>
      <w:r>
        <w:rPr>
          <w:b/>
        </w:rPr>
        <w:t>Review status:</w:t>
      </w:r>
      <w:r>
        <w:t xml:space="preserve"> unchecked — possible relationship only</w:t>
      </w:r>
    </w:p>
    <w:p>
      <w:pPr>
        <w:pStyle w:val="Heading2"/>
      </w:pPr>
      <w:r>
        <w:t>364. Claim + two later sources: Towards a decarbonised building stock by 2050: The meaning and the role of zero emission buildings (ZEBs) in Europe</w:t>
      </w:r>
    </w:p>
    <w:p>
      <w:pPr>
        <w:pStyle w:val="SourceNote"/>
      </w:pPr>
      <w:r>
        <w:rPr>
          <w:b/>
        </w:rPr>
        <w:t>Group ID:</w:t>
      </w:r>
      <w:r>
        <w:t xml:space="preserve"> group-2da713d83f2607caeff2</w:t>
      </w:r>
    </w:p>
    <w:p>
      <w:pPr>
        <w:pStyle w:val="SourceNote"/>
      </w:pPr>
      <w:r>
        <w:rPr>
          <w:b/>
        </w:rPr>
        <w:t>Original source:</w:t>
      </w:r>
      <w:r>
        <w:t xml:space="preserve"> https://doi.org/10.1016/j.esr.2022.101009</w:t>
      </w:r>
    </w:p>
    <w:p>
      <w:pPr/>
      <w:r>
        <w:rPr>
          <w:b/>
        </w:rPr>
        <w:t>Original future claim:</w:t>
      </w:r>
      <w:r>
        <w:t xml:space="preserve"> The revision of the Energy Performance of Building Directive (EPBD) sets out how Europe can achieve a decarbonised building stock by 2050.</w:t>
      </w:r>
    </w:p>
    <w:p>
      <w:pPr/>
      <w:r>
        <w:rPr>
          <w:b/>
        </w:rPr>
        <w:t>Later source:</w:t>
      </w:r>
      <w:r>
        <w:t xml:space="preserve"> European Energy Performance of Buildings Directive and Cultural Heritage — https://openalex.org/W7126308985</w:t>
      </w:r>
    </w:p>
    <w:p>
      <w:pPr/>
      <w:r>
        <w:rPr>
          <w:b/>
        </w:rPr>
        <w:t>Later source:</w:t>
      </w:r>
      <w:r>
        <w:t xml:space="preserve"> A BIM–LCA Framework for Whole-Life Carbon Assessment Under EPBD: Scope Alignment, Functional Unit Robustness, and Cross-Tool Validation — https://doi.org/10.3390/app16062637</w:t>
      </w:r>
    </w:p>
    <w:p>
      <w:pPr>
        <w:pStyle w:val="SourceNote"/>
      </w:pPr>
      <w:r>
        <w:rPr>
          <w:b/>
        </w:rPr>
        <w:t>Review status:</w:t>
      </w:r>
      <w:r>
        <w:t xml:space="preserve"> unchecked — possible relationship only</w:t>
      </w:r>
    </w:p>
    <w:p>
      <w:pPr>
        <w:pStyle w:val="Heading2"/>
      </w:pPr>
      <w:r>
        <w:t>365. Claim + two later sources: New European socio-economic scenarios for climate change research: operationalising concepts to extend the shared socio-economic pathways</w:t>
      </w:r>
    </w:p>
    <w:p>
      <w:pPr>
        <w:pStyle w:val="SourceNote"/>
      </w:pPr>
      <w:r>
        <w:rPr>
          <w:b/>
        </w:rPr>
        <w:t>Group ID:</w:t>
      </w:r>
      <w:r>
        <w:t xml:space="preserve"> group-26c08531f862661f651f</w:t>
      </w:r>
    </w:p>
    <w:p>
      <w:pPr>
        <w:pStyle w:val="SourceNote"/>
      </w:pPr>
      <w:r>
        <w:rPr>
          <w:b/>
        </w:rPr>
        <w:t>Original source:</w:t>
      </w:r>
      <w:r>
        <w:t xml:space="preserve"> https://doi.org/10.1007/s10113-018-1400-0</w:t>
      </w:r>
    </w:p>
    <w:p>
      <w:pPr/>
      <w:r>
        <w:rPr>
          <w:b/>
        </w:rPr>
        <w:t>Original future claim:</w:t>
      </w:r>
      <w:r>
        <w:t xml:space="preserve"> 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r>
        <w:rPr>
          <w:b/>
        </w:rPr>
        <w:t>Later source:</w:t>
      </w:r>
      <w:r>
        <w:t xml:space="preserve"> Scaling Decision‐Support Tools to Promote Soil Health: Insights From Stakeholders in Europe and Turkey — https://doi.org/10.1111/ejss.70113</w:t>
      </w:r>
    </w:p>
    <w:p>
      <w:pPr/>
      <w:r>
        <w:rPr>
          <w:b/>
        </w:rPr>
        <w:t>Later source:</w:t>
      </w:r>
      <w:r>
        <w:t xml:space="preserve"> Evolution of Energy Audits and Energy Management Systems: Legislation, Tools and Professionals at the Service of Energy Efficiency — https://doi.org/10.1051/e3sconf/202452304008</w:t>
      </w:r>
    </w:p>
    <w:p>
      <w:pPr>
        <w:pStyle w:val="SourceNote"/>
      </w:pPr>
      <w:r>
        <w:rPr>
          <w:b/>
        </w:rPr>
        <w:t>Review status:</w:t>
      </w:r>
      <w:r>
        <w:t xml:space="preserve"> unchecked — possible relationship only</w:t>
      </w:r>
    </w:p>
    <w:p>
      <w:pPr>
        <w:pStyle w:val="Heading2"/>
      </w:pPr>
      <w:r>
        <w:t>366. Claim + two later sources: On European metropolisation scenarios and the future course of metropolitan development in Poland</w:t>
      </w:r>
    </w:p>
    <w:p>
      <w:pPr>
        <w:pStyle w:val="SourceNote"/>
      </w:pPr>
      <w:r>
        <w:rPr>
          <w:b/>
        </w:rPr>
        <w:t>Group ID:</w:t>
      </w:r>
      <w:r>
        <w:t xml:space="preserve"> group-20f2343f59e97488d66b</w:t>
      </w:r>
    </w:p>
    <w:p>
      <w:pPr>
        <w:pStyle w:val="SourceNote"/>
      </w:pPr>
      <w:r>
        <w:rPr>
          <w:b/>
        </w:rPr>
        <w:t>Original source:</w:t>
      </w:r>
      <w:r>
        <w:t xml:space="preserve"> https://doi.org/10.7163/gpol.0008</w:t>
      </w:r>
    </w:p>
    <w:p>
      <w:pPr/>
      <w:r>
        <w:rPr>
          <w:b/>
        </w:rPr>
        <w:t>Original future claim:</w:t>
      </w:r>
      <w:r>
        <w:t xml:space="preserve"> For this purpose two alternative reference scenarios are outlined and examined in the light of some specific characteristics of Poland’s metropolitan development. The questions posed in this context involve the sustainability of policy assumptions concerning the role of cities of various size categories, as well as factors that could lead to a discontinuity in the trends observed in metropolisation.</w:t>
      </w:r>
    </w:p>
    <w:p>
      <w:pPr/>
      <w:r>
        <w:rPr>
          <w:b/>
        </w:rPr>
        <w:t>Later source:</w:t>
      </w:r>
      <w:r>
        <w:t xml:space="preserve"> Was there no alternative? Socialist debates and reform projects in late Cold War Europe and beyond — https://doi.org/10.1080/13507486.2025.2605543</w:t>
      </w:r>
    </w:p>
    <w:p>
      <w:pPr/>
      <w:r>
        <w:rPr>
          <w:b/>
        </w:rPr>
        <w:t>Later source:</w:t>
      </w:r>
      <w:r>
        <w:t xml:space="preserve"> Regulatory barriers and incentives for alternative proteins in the European Union and Australia–New Zealand — https://doi.org/10.1108/bfj-06-2024-0650</w:t>
      </w:r>
    </w:p>
    <w:p>
      <w:pPr>
        <w:pStyle w:val="SourceNote"/>
      </w:pPr>
      <w:r>
        <w:rPr>
          <w:b/>
        </w:rPr>
        <w:t>Review status:</w:t>
      </w:r>
      <w:r>
        <w:t xml:space="preserve"> unchecked — possible relationship only</w:t>
      </w:r>
    </w:p>
    <w:p>
      <w:pPr>
        <w:pStyle w:val="Heading2"/>
      </w:pPr>
      <w:r>
        <w:t>367. Claim + two later sources: Convergence of Population Structures of the European Union Member States—The Past and the Future</w:t>
      </w:r>
    </w:p>
    <w:p>
      <w:pPr>
        <w:pStyle w:val="SourceNote"/>
      </w:pPr>
      <w:r>
        <w:rPr>
          <w:b/>
        </w:rPr>
        <w:t>Group ID:</w:t>
      </w:r>
      <w:r>
        <w:t xml:space="preserve"> group-90379218dc4e17329a23</w:t>
      </w:r>
    </w:p>
    <w:p>
      <w:pPr>
        <w:pStyle w:val="SourceNote"/>
      </w:pPr>
      <w:r>
        <w:rPr>
          <w:b/>
        </w:rPr>
        <w:t>Original source:</w:t>
      </w:r>
      <w:r>
        <w:t xml:space="preserve"> https://doi.org/10.3390/su14021024</w:t>
      </w:r>
    </w:p>
    <w:p>
      <w:pPr/>
      <w:r>
        <w:rPr>
          <w:b/>
        </w:rPr>
        <w:t>Original future claim:</w:t>
      </w:r>
      <w:r>
        <w:t xml:space="preserve"> 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r>
        <w:rPr>
          <w:b/>
        </w:rPr>
        <w:t>Later source:</w:t>
      </w:r>
      <w:r>
        <w:t xml:space="preserve"> Integrating Multifactorial Regression Models, Artificial Neural Networks, and Eco-Dynamic Simulations for Assessing Energy Sustainability in the European Union and Emerging Member States — https://doi.org/10.3390/app16042011</w:t>
      </w:r>
    </w:p>
    <w:p>
      <w:pPr/>
      <w:r>
        <w:rPr>
          <w:b/>
        </w:rPr>
        <w:t>Later source:</w:t>
      </w:r>
      <w:r>
        <w:t xml:space="preserve"> Different shades of demographic change : the uneven nature of population loss in Europe — https://openalex.org/W7134715160</w:t>
      </w:r>
    </w:p>
    <w:p>
      <w:pPr>
        <w:pStyle w:val="SourceNote"/>
      </w:pPr>
      <w:r>
        <w:rPr>
          <w:b/>
        </w:rPr>
        <w:t>Review status:</w:t>
      </w:r>
      <w:r>
        <w:t xml:space="preserve"> unchecked — possible relationship only</w:t>
      </w:r>
    </w:p>
    <w:p>
      <w:pPr>
        <w:pStyle w:val="Heading2"/>
      </w:pPr>
      <w:r>
        <w:t>368. Claim + two later sources: More green infrastructure is required to maintain ecosystem services under current trends in land-use change in Europe</w:t>
      </w:r>
    </w:p>
    <w:p>
      <w:pPr>
        <w:pStyle w:val="SourceNote"/>
      </w:pPr>
      <w:r>
        <w:rPr>
          <w:b/>
        </w:rPr>
        <w:t>Group ID:</w:t>
      </w:r>
      <w:r>
        <w:t xml:space="preserve"> group-d1e359d72ce0b675772d</w:t>
      </w:r>
    </w:p>
    <w:p>
      <w:pPr>
        <w:pStyle w:val="SourceNote"/>
      </w:pPr>
      <w:r>
        <w:rPr>
          <w:b/>
        </w:rPr>
        <w:t>Original source:</w:t>
      </w:r>
      <w:r>
        <w:t xml:space="preserve"> https://doi.org/10.1007/s10980-014-0083-2</w:t>
      </w:r>
    </w:p>
    <w:p>
      <w:pPr/>
      <w:r>
        <w:rPr>
          <w:b/>
        </w:rPr>
        <w:t>Original future claim:</w:t>
      </w:r>
      <w:r>
        <w:t xml:space="preserve"> This scenario is established by the European Commission to assess the impact of energy and climate policy up to 2050. TESI8 is expected to decrease across Europe between 0 and 5 % by 2020 and between 10 and 15 % by 2050 relative to the base year 2010.</w:t>
      </w:r>
    </w:p>
    <w:p>
      <w:pPr/>
      <w:r>
        <w:rPr>
          <w:b/>
        </w:rPr>
        <w:t>Later source:</w:t>
      </w:r>
      <w:r>
        <w:t xml:space="preserve"> European Citizens Panels: Assessing their Legitimacy and Meaning for the European Commission — https://openalex.org/W7222989255</w:t>
      </w:r>
    </w:p>
    <w:p>
      <w:pPr/>
      <w:r>
        <w:rPr>
          <w:b/>
        </w:rPr>
        <w:t>Later source:</w:t>
      </w:r>
      <w:r>
        <w:t xml:space="preserve"> Assessment of New Climate And Energy Targets for the Baltic States — https://doi.org/10.5709/ce.1897-9254.563</w:t>
      </w:r>
    </w:p>
    <w:p>
      <w:pPr>
        <w:pStyle w:val="SourceNote"/>
      </w:pPr>
      <w:r>
        <w:rPr>
          <w:b/>
        </w:rPr>
        <w:t>Review status:</w:t>
      </w:r>
      <w:r>
        <w:t xml:space="preserve"> unchecked — possible relationship only</w:t>
      </w:r>
    </w:p>
    <w:p>
      <w:pPr>
        <w:pStyle w:val="Heading2"/>
      </w:pPr>
      <w:r>
        <w:t>369. Claim + two later sources: Finland-Russia rail transport deregulation: future scenarios of market development</w:t>
      </w:r>
    </w:p>
    <w:p>
      <w:pPr>
        <w:pStyle w:val="SourceNote"/>
      </w:pPr>
      <w:r>
        <w:rPr>
          <w:b/>
        </w:rPr>
        <w:t>Group ID:</w:t>
      </w:r>
      <w:r>
        <w:t xml:space="preserve"> group-d407d0677ad295c3abb3</w:t>
      </w:r>
    </w:p>
    <w:p>
      <w:pPr>
        <w:pStyle w:val="SourceNote"/>
      </w:pPr>
      <w:r>
        <w:rPr>
          <w:b/>
        </w:rPr>
        <w:t>Original source:</w:t>
      </w:r>
      <w:r>
        <w:t xml:space="preserve"> https://doi.org/10.1504/ijstl.2011.039377</w:t>
      </w:r>
    </w:p>
    <w:p>
      <w:pPr/>
      <w:r>
        <w:rPr>
          <w:b/>
        </w:rPr>
        <w:t>Original future claim:</w:t>
      </w:r>
      <w:r>
        <w:t xml:space="preserve"> 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r>
        <w:rPr>
          <w:b/>
        </w:rPr>
        <w:t>Later source:</w:t>
      </w:r>
      <w:r>
        <w:t xml:space="preserve"> What kind of Europe do Europeans want? — https://doi.org/10.1080/01402382.2026.2662871</w:t>
      </w:r>
    </w:p>
    <w:p>
      <w:pPr/>
      <w:r>
        <w:rPr>
          <w:b/>
        </w:rPr>
        <w:t>Later source:</w:t>
      </w:r>
      <w:r>
        <w:t xml:space="preserve"> Three years of COVID-19 and life satisfaction in Europe: A macro view — https://doi.org/10.1073/pnas.2300717120</w:t>
      </w:r>
    </w:p>
    <w:p>
      <w:pPr>
        <w:pStyle w:val="SourceNote"/>
      </w:pPr>
      <w:r>
        <w:rPr>
          <w:b/>
        </w:rPr>
        <w:t>Review status:</w:t>
      </w:r>
      <w:r>
        <w:t xml:space="preserve"> unchecked — possible relationship only</w:t>
      </w:r>
    </w:p>
    <w:p>
      <w:pPr>
        <w:pStyle w:val="Heading2"/>
      </w:pPr>
      <w:r>
        <w:t>370. Claim + two later sources: Futuribles of learning 2030 - Delphi supports the reform of the core curricula in Finland</w:t>
      </w:r>
    </w:p>
    <w:p>
      <w:pPr>
        <w:pStyle w:val="SourceNote"/>
      </w:pPr>
      <w:r>
        <w:rPr>
          <w:b/>
        </w:rPr>
        <w:t>Group ID:</w:t>
      </w:r>
      <w:r>
        <w:t xml:space="preserve"> group-fe03aae0b34e8ad1b632</w:t>
      </w:r>
    </w:p>
    <w:p>
      <w:pPr>
        <w:pStyle w:val="SourceNote"/>
      </w:pPr>
      <w:r>
        <w:rPr>
          <w:b/>
        </w:rPr>
        <w:t>Original source:</w:t>
      </w:r>
      <w:r>
        <w:t xml:space="preserve"> https://doi.org/10.1007/s40309-016-0096-y</w:t>
      </w:r>
    </w:p>
    <w:p>
      <w:pPr/>
      <w:r>
        <w:rPr>
          <w:b/>
        </w:rPr>
        <w:t>Original future claim:</w:t>
      </w:r>
      <w:r>
        <w:t xml:space="preserve"> The aim of the Barometer is to acknowledge the futuribles of learning and take into consideration the possibilities and challenges that may affect the development of school, teaching and learning.</w:t>
      </w:r>
    </w:p>
    <w:p>
      <w:pPr/>
      <w:r>
        <w:rPr>
          <w:b/>
        </w:rPr>
        <w:t>Later source:</w:t>
      </w:r>
      <w:r>
        <w:t xml:space="preserve"> A Review of the AGE Barometer 2023: EU Good Practices and Barriers in the Empowerment of Elderly in the Labour Market - The Case of Hungary — https://doi.org/10.47225/mg/15/42/14315</w:t>
      </w:r>
    </w:p>
    <w:p>
      <w:pPr/>
      <w:r>
        <w:rPr>
          <w:b/>
        </w:rPr>
        <w:t>Later source:</w:t>
      </w:r>
      <w:r>
        <w:t xml:space="preserve"> COVID-19 and schooling: evaluation, assessment and accountability in times of crises—reacting quickly to explore key issues for policy, practice and research with the school barometer — https://doi.org/10.1007/s11092-020-09322-y</w:t>
      </w:r>
    </w:p>
    <w:p>
      <w:pPr>
        <w:pStyle w:val="SourceNote"/>
      </w:pPr>
      <w:r>
        <w:rPr>
          <w:b/>
        </w:rPr>
        <w:t>Review status:</w:t>
      </w:r>
      <w:r>
        <w:t xml:space="preserve"> unchecked — possible relationship only</w:t>
      </w:r>
    </w:p>
    <w:p>
      <w:pPr>
        <w:pStyle w:val="Heading2"/>
      </w:pPr>
      <w:r>
        <w:t>371. Claim + two later sources: Making or breaking climate targets: The AMPERE study on staged accession scenarios for climate policy</w:t>
      </w:r>
    </w:p>
    <w:p>
      <w:pPr>
        <w:pStyle w:val="SourceNote"/>
      </w:pPr>
      <w:r>
        <w:rPr>
          <w:b/>
        </w:rPr>
        <w:t>Group ID:</w:t>
      </w:r>
      <w:r>
        <w:t xml:space="preserve"> group-e285b2374683306ce3f5</w:t>
      </w:r>
    </w:p>
    <w:p>
      <w:pPr>
        <w:pStyle w:val="SourceNote"/>
      </w:pPr>
      <w:r>
        <w:rPr>
          <w:b/>
        </w:rPr>
        <w:t>Original source:</w:t>
      </w:r>
      <w:r>
        <w:t xml:space="preserve"> https://doi.org/10.1016/j.techfore.2013.09.021</w:t>
      </w:r>
    </w:p>
    <w:p>
      <w:pPr/>
      <w:r>
        <w:rPr>
          <w:b/>
        </w:rPr>
        <w:t>Original future claim:</w:t>
      </w:r>
      <w:r>
        <w:t xml:space="preserve"> The addition of China to the front runner coalition can reduce pre-2050 excess emissions by 20–30%, increasing the likelihood of staying below 2 degrees.</w:t>
      </w:r>
    </w:p>
    <w:p>
      <w:pPr/>
      <w:r>
        <w:rPr>
          <w:b/>
        </w:rPr>
        <w:t>Later source:</w:t>
      </w:r>
      <w:r>
        <w:t xml:space="preserve"> The United States, China, and Strategic Technologies: Domestic Coalitions, Foreign Policy, and Multilateral Cooperation in the Biden Era — https://doi.org/10.1080/14650045.2026.2626266</w:t>
      </w:r>
    </w:p>
    <w:p>
      <w:pPr/>
      <w:r>
        <w:rPr>
          <w:b/>
        </w:rPr>
        <w:t>Later source:</w:t>
      </w:r>
      <w:r>
        <w:t xml:space="preserve"> Observation of near-inertial oscillations trapped over inclined front on continental shelf of the northwestern South China Sea — https://doi.org/10.1016/j.jmarsys.2026.104305</w:t>
      </w:r>
    </w:p>
    <w:p>
      <w:pPr>
        <w:pStyle w:val="SourceNote"/>
      </w:pPr>
      <w:r>
        <w:rPr>
          <w:b/>
        </w:rPr>
        <w:t>Review status:</w:t>
      </w:r>
      <w:r>
        <w:t xml:space="preserve"> unchecked — possible relationship only</w:t>
      </w:r>
    </w:p>
    <w:p>
      <w:pPr>
        <w:pStyle w:val="Heading2"/>
      </w:pPr>
      <w:r>
        <w:t>372. Claim + two later sources: Impact of demographic changes and screening colonoscopy on long-term projection of incident colorectal cancer cases in Germany: A modelling study</w:t>
      </w:r>
    </w:p>
    <w:p>
      <w:pPr>
        <w:pStyle w:val="SourceNote"/>
      </w:pPr>
      <w:r>
        <w:rPr>
          <w:b/>
        </w:rPr>
        <w:t>Group ID:</w:t>
      </w:r>
      <w:r>
        <w:t xml:space="preserve"> group-93b693429e62c5a373b7</w:t>
      </w:r>
    </w:p>
    <w:p>
      <w:pPr>
        <w:pStyle w:val="SourceNote"/>
      </w:pPr>
      <w:r>
        <w:rPr>
          <w:b/>
        </w:rPr>
        <w:t>Original source:</w:t>
      </w:r>
      <w:r>
        <w:t xml:space="preserve"> https://doi.org/10.1016/j.lanepe.2022.100451</w:t>
      </w:r>
    </w:p>
    <w:p>
      <w:pPr/>
      <w:r>
        <w:rPr>
          <w:b/>
        </w:rPr>
        <w:t>Original future claim:</w:t>
      </w:r>
      <w:r>
        <w:t xml:space="preserve"> 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r>
        <w:rPr>
          <w:b/>
        </w:rPr>
        <w:t>Later source:</w:t>
      </w:r>
      <w:r>
        <w:t xml:space="preserve"> Estimating European Pilchard ( Sardina pilchardus ) Total Length: New Equations for the Ichthyoarchaeological Record — https://doi.org/10.1002/oa.70087</w:t>
      </w:r>
    </w:p>
    <w:p>
      <w:pPr/>
      <w:r>
        <w:rPr>
          <w:b/>
        </w:rPr>
        <w:t>Later source:</w:t>
      </w:r>
      <w:r>
        <w:t xml:space="preserve"> Antidepressant drug use in Europe: past consumption, prescribing patterns and forecast until 2030 — https://doi.org/10.1007/s11096-025-02078-9</w:t>
      </w:r>
    </w:p>
    <w:p>
      <w:pPr>
        <w:pStyle w:val="SourceNote"/>
      </w:pPr>
      <w:r>
        <w:rPr>
          <w:b/>
        </w:rPr>
        <w:t>Review status:</w:t>
      </w:r>
      <w:r>
        <w:t xml:space="preserve"> unchecked — possible relationship only</w:t>
      </w:r>
    </w:p>
    <w:p>
      <w:pPr>
        <w:pStyle w:val="Heading2"/>
      </w:pPr>
      <w:r>
        <w:t>373. Claim + two later sources: Potential for hydrogen and Power-to-Liquid in a low-carbon EU energy system using cost optimization</w:t>
      </w:r>
    </w:p>
    <w:p>
      <w:pPr>
        <w:pStyle w:val="SourceNote"/>
      </w:pPr>
      <w:r>
        <w:rPr>
          <w:b/>
        </w:rPr>
        <w:t>Group ID:</w:t>
      </w:r>
      <w:r>
        <w:t xml:space="preserve"> group-ab6d8c5114719b4177ae</w:t>
      </w:r>
    </w:p>
    <w:p>
      <w:pPr>
        <w:pStyle w:val="SourceNote"/>
      </w:pPr>
      <w:r>
        <w:rPr>
          <w:b/>
        </w:rPr>
        <w:t>Original source:</w:t>
      </w:r>
      <w:r>
        <w:t xml:space="preserve"> https://doi.org/10.1016/j.apenergy.2018.09.216</w:t>
      </w:r>
    </w:p>
    <w:p>
      <w:pPr/>
      <w:r>
        <w:rPr>
          <w:b/>
        </w:rPr>
        <w:t>Original future claim:</w:t>
      </w:r>
      <w:r>
        <w:t xml:space="preserve"> This study assesses the role of these pathways across scenarios that achieve 80–95% CO2 reduction by 2050 (vs. 1990) using the JRC-EU-TIMES model.</w:t>
      </w:r>
    </w:p>
    <w:p>
      <w:pPr/>
      <w:r>
        <w:rPr>
          <w:b/>
        </w:rPr>
        <w:t>Later source:</w:t>
      </w:r>
      <w:r>
        <w:t xml:space="preserve"> Can a wealth tax reduce CO2 emissions in Europe? — https://doi.org/10.1016/j.ecolecon.2026.109231</w:t>
      </w:r>
    </w:p>
    <w:p>
      <w:pPr/>
      <w:r>
        <w:rPr>
          <w:b/>
        </w:rPr>
        <w:t>Later source:</w:t>
      </w:r>
      <w:r>
        <w:t xml:space="preserve"> Regional Pathways to Internationalization: The Role of Erasmus+ in European HEIs — https://doi.org/10.3390/urbansci9050144</w:t>
      </w:r>
    </w:p>
    <w:p>
      <w:pPr>
        <w:pStyle w:val="SourceNote"/>
      </w:pPr>
      <w:r>
        <w:rPr>
          <w:b/>
        </w:rPr>
        <w:t>Review status:</w:t>
      </w:r>
      <w:r>
        <w:t xml:space="preserve"> unchecked — possible relationship only</w:t>
      </w:r>
    </w:p>
    <w:p>
      <w:pPr>
        <w:pStyle w:val="Heading2"/>
      </w:pPr>
      <w:r>
        <w:t>374. Claim + two later sources: Multi-model ensemble simulations of olive pollen distribution in Europe in 2014: current status and outlook</w:t>
      </w:r>
    </w:p>
    <w:p>
      <w:pPr>
        <w:pStyle w:val="SourceNote"/>
      </w:pPr>
      <w:r>
        <w:rPr>
          <w:b/>
        </w:rPr>
        <w:t>Group ID:</w:t>
      </w:r>
      <w:r>
        <w:t xml:space="preserve"> group-58389907e4388c48f06a</w:t>
      </w:r>
    </w:p>
    <w:p>
      <w:pPr>
        <w:pStyle w:val="SourceNote"/>
      </w:pPr>
      <w:r>
        <w:rPr>
          <w:b/>
        </w:rPr>
        <w:t>Original source:</w:t>
      </w:r>
      <w:r>
        <w:t xml:space="preserve"> https://doi.org/10.5194/acp-17-12341-2017</w:t>
      </w:r>
    </w:p>
    <w:p>
      <w:pPr/>
      <w:r>
        <w:rPr>
          <w:b/>
        </w:rPr>
        <w:t>Original future claim:</w:t>
      </w:r>
      <w:r>
        <w:t xml:space="preserve"> 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r>
        <w:rPr>
          <w:b/>
        </w:rPr>
        <w:t>Later source:</w:t>
      </w:r>
      <w:r>
        <w:t xml:space="preserve"> HOSPITALITY SECTOR SKILLS – COMPARING CROATIA TO SOUTH EUROPEAN COUNTRIES — https://doi.org/10.20867/thi.28.06</w:t>
      </w:r>
    </w:p>
    <w:p>
      <w:pPr/>
      <w:r>
        <w:rPr>
          <w:b/>
        </w:rPr>
        <w:t>Later source:</w:t>
      </w:r>
      <w:r>
        <w:t xml:space="preserve"> Factors explaining adolescents’ digital skills in Europe — https://doi.org/10.1057/s41599-025-05241-9</w:t>
      </w:r>
    </w:p>
    <w:p>
      <w:pPr>
        <w:pStyle w:val="SourceNote"/>
      </w:pPr>
      <w:r>
        <w:rPr>
          <w:b/>
        </w:rPr>
        <w:t>Review status:</w:t>
      </w:r>
      <w:r>
        <w:t xml:space="preserve"> unchecked — possible relationship only</w:t>
      </w:r>
    </w:p>
    <w:p>
      <w:pPr>
        <w:pStyle w:val="Heading2"/>
      </w:pPr>
      <w:r>
        <w:t>375. Claim + two later sources: Policy insights and modelling challenges: The case of passenger car powertrain technology transition in the European Union</w:t>
      </w:r>
    </w:p>
    <w:p>
      <w:pPr>
        <w:pStyle w:val="SourceNote"/>
      </w:pPr>
      <w:r>
        <w:rPr>
          <w:b/>
        </w:rPr>
        <w:t>Group ID:</w:t>
      </w:r>
      <w:r>
        <w:t xml:space="preserve"> group-12409823a863944cd7de</w:t>
      </w:r>
    </w:p>
    <w:p>
      <w:pPr>
        <w:pStyle w:val="SourceNote"/>
      </w:pPr>
      <w:r>
        <w:rPr>
          <w:b/>
        </w:rPr>
        <w:t>Original source:</w:t>
      </w:r>
      <w:r>
        <w:t xml:space="preserve"> https://doi.org/10.1007/s12544-017-0252-x</w:t>
      </w:r>
    </w:p>
    <w:p>
      <w:pPr/>
      <w:r>
        <w:rPr>
          <w:b/>
        </w:rPr>
        <w:t>Original future claim:</w:t>
      </w:r>
      <w:r>
        <w:t xml:space="preserve"> We then transfer the policy scenarios to other EU member states and assess the transferability of the policies.</w:t>
      </w:r>
    </w:p>
    <w:p>
      <w:pPr/>
      <w:r>
        <w:rPr>
          <w:b/>
        </w:rPr>
        <w:t>Later source:</w:t>
      </w:r>
      <w:r>
        <w:t xml:space="preserve"> The Europeanization of constitutions: experience of European Union Member States in the context of Ukraine’s candidate status — https://doi.org/10.33663/0869-2491-2026-37-660-676</w:t>
      </w:r>
    </w:p>
    <w:p>
      <w:pPr/>
      <w:r>
        <w:rPr>
          <w:b/>
        </w:rPr>
        <w:t>Later source:</w:t>
      </w:r>
      <w:r>
        <w:t xml:space="preserve"> Media Policy Transfer in Europe — https://doi.org/10.1017/9781009568159.013</w:t>
      </w:r>
    </w:p>
    <w:p>
      <w:pPr>
        <w:pStyle w:val="SourceNote"/>
      </w:pPr>
      <w:r>
        <w:rPr>
          <w:b/>
        </w:rPr>
        <w:t>Review status:</w:t>
      </w:r>
      <w:r>
        <w:t xml:space="preserve"> unchecked — possible relationship only</w:t>
      </w:r>
    </w:p>
    <w:p>
      <w:pPr>
        <w:pStyle w:val="Heading2"/>
      </w:pPr>
      <w:r>
        <w:t>376. Claim + two later sources: Soil Governance in current European Union Law and in the European Green Deal</w:t>
      </w:r>
    </w:p>
    <w:p>
      <w:pPr>
        <w:pStyle w:val="SourceNote"/>
      </w:pPr>
      <w:r>
        <w:rPr>
          <w:b/>
        </w:rPr>
        <w:t>Group ID:</w:t>
      </w:r>
      <w:r>
        <w:t xml:space="preserve"> group-8c6828e1203cceb71115</w:t>
      </w:r>
    </w:p>
    <w:p>
      <w:pPr>
        <w:pStyle w:val="SourceNote"/>
      </w:pPr>
      <w:r>
        <w:rPr>
          <w:b/>
        </w:rPr>
        <w:t>Original source:</w:t>
      </w:r>
      <w:r>
        <w:t xml:space="preserve"> https://doi.org/10.1016/j.soisec.2022.100053</w:t>
      </w:r>
    </w:p>
    <w:p>
      <w:pPr/>
      <w:r>
        <w:rPr>
          <w:b/>
        </w:rPr>
        <w:t>Original future claim:</w:t>
      </w:r>
      <w:r>
        <w:t xml:space="preserve"> 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r>
        <w:rPr>
          <w:b/>
        </w:rPr>
        <w:t>Later source:</w:t>
      </w:r>
      <w:r>
        <w:t xml:space="preserve"> Daylight illuminance modelling for the United Kingdom and Europe — https://doi.org/10.17869/enu.288937</w:t>
      </w:r>
    </w:p>
    <w:p>
      <w:pPr/>
      <w:r>
        <w:rPr>
          <w:b/>
        </w:rPr>
        <w:t>Later source:</w:t>
      </w:r>
      <w:r>
        <w:t xml:space="preserve"> Critical materials and manufacturing: Comparing China, the European Union, Japan, and the United States — https://doi.org/10.1016/j.rcradv.2025.200250</w:t>
      </w:r>
    </w:p>
    <w:p>
      <w:pPr>
        <w:pStyle w:val="SourceNote"/>
      </w:pPr>
      <w:r>
        <w:rPr>
          <w:b/>
        </w:rPr>
        <w:t>Review status:</w:t>
      </w:r>
      <w:r>
        <w:t xml:space="preserve"> unchecked — possible relationship only</w:t>
      </w:r>
    </w:p>
    <w:p>
      <w:pPr>
        <w:pStyle w:val="Heading2"/>
      </w:pPr>
      <w:r>
        <w:t>377. Claim + two later sources: PREDICTION OF CUMULONIMBUS (CB) CLOUD BASED ON INTEGRATED FORECAST SYSTEM (IFS) OF EUROPEAN MEDIUM-RANGE WEATHER FORECAST (ECMWF)  IN THE FLIGHT INFORMATION REGION (FIR) OF JAKARTA AND UJUNG PANDANG</w:t>
      </w:r>
    </w:p>
    <w:p>
      <w:pPr>
        <w:pStyle w:val="SourceNote"/>
      </w:pPr>
      <w:r>
        <w:rPr>
          <w:b/>
        </w:rPr>
        <w:t>Group ID:</w:t>
      </w:r>
      <w:r>
        <w:t xml:space="preserve"> group-a9b8753f9bfa08f705d9</w:t>
      </w:r>
    </w:p>
    <w:p>
      <w:pPr>
        <w:pStyle w:val="SourceNote"/>
      </w:pPr>
      <w:r>
        <w:rPr>
          <w:b/>
        </w:rPr>
        <w:t>Original source:</w:t>
      </w:r>
      <w:r>
        <w:t xml:space="preserve"> https://doi.org/10.29122/jstmc.v21i2.4100</w:t>
      </w:r>
    </w:p>
    <w:p>
      <w:pPr/>
      <w:r>
        <w:rPr>
          <w:b/>
        </w:rPr>
        <w:t>Original future claim:</w:t>
      </w:r>
      <w:r>
        <w:t xml:space="preserve"> The study in the period other than 2019 is suggested for the next research because Indian Ocean Dipole (IOD) is extreme that may affect the Cb cloud growth in the study area.</w:t>
      </w:r>
    </w:p>
    <w:p>
      <w:pPr/>
      <w:r>
        <w:rPr>
          <w:b/>
        </w:rPr>
        <w:t>Later source:</w:t>
      </w:r>
      <w:r>
        <w:t xml:space="preserve"> Indian Anthropology Against the Backdrop of World Anthropology — https://doi.org/10.1177/0972558x251320485</w:t>
      </w:r>
    </w:p>
    <w:p>
      <w:pPr/>
      <w:r>
        <w:rPr>
          <w:b/>
        </w:rPr>
        <w:t>Later source:</w:t>
      </w:r>
      <w:r>
        <w:t xml:space="preserve"> Impact of climate and Aedes albopictus establishment on dengue and chikungunya outbreaks in Europe: a time-to-event analysis — https://doi.org/10.1016/s2542-5196(25)00059-2</w:t>
      </w:r>
    </w:p>
    <w:p>
      <w:pPr>
        <w:pStyle w:val="SourceNote"/>
      </w:pPr>
      <w:r>
        <w:rPr>
          <w:b/>
        </w:rPr>
        <w:t>Review status:</w:t>
      </w:r>
      <w:r>
        <w:t xml:space="preserve"> unchecked — possible relationship only</w:t>
      </w:r>
    </w:p>
    <w:p>
      <w:pPr>
        <w:pStyle w:val="Heading2"/>
      </w:pPr>
      <w:r>
        <w:t>378. Claim + two later sources: Red squirrel (Sciurus vulgaris) habitats change modelling in Eastern Europe in the scope of climate change according to new generation scenarios (SSPs) by 2100</w:t>
      </w:r>
    </w:p>
    <w:p>
      <w:pPr>
        <w:pStyle w:val="SourceNote"/>
      </w:pPr>
      <w:r>
        <w:rPr>
          <w:b/>
        </w:rPr>
        <w:t>Group ID:</w:t>
      </w:r>
      <w:r>
        <w:t xml:space="preserve"> group-b05a0201e3f085e148a9</w:t>
      </w:r>
    </w:p>
    <w:p>
      <w:pPr>
        <w:pStyle w:val="SourceNote"/>
      </w:pPr>
      <w:r>
        <w:rPr>
          <w:b/>
        </w:rPr>
        <w:t>Original source:</w:t>
      </w:r>
      <w:r>
        <w:t xml:space="preserve"> https://doi.org/10.15407/tu2013</w:t>
      </w:r>
    </w:p>
    <w:p>
      <w:pPr/>
      <w:r>
        <w:rPr>
          <w:b/>
        </w:rPr>
        <w:t>Original future claim:</w:t>
      </w:r>
      <w:r>
        <w:t xml:space="preserve"> 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r>
        <w:rPr>
          <w:b/>
        </w:rPr>
        <w:t>Later source:</w:t>
      </w:r>
      <w:r>
        <w:t xml:space="preserve"> Varieties of Psychologization in Communist Europe — https://doi.org/10.1093/9780197773529.001.0001</w:t>
      </w:r>
    </w:p>
    <w:p>
      <w:pPr/>
      <w:r>
        <w:rPr>
          <w:b/>
        </w:rPr>
        <w:t>Later source:</w:t>
      </w:r>
      <w:r>
        <w:t xml:space="preserve"> New Additions to the Mammal List Documented in the Portuguese Red Data Book — https://doi.org/10.3390/ani14172514</w:t>
      </w:r>
    </w:p>
    <w:p>
      <w:pPr>
        <w:pStyle w:val="SourceNote"/>
      </w:pPr>
      <w:r>
        <w:rPr>
          <w:b/>
        </w:rPr>
        <w:t>Review status:</w:t>
      </w:r>
      <w:r>
        <w:t xml:space="preserve"> unchecked — possible relationship only</w:t>
      </w:r>
    </w:p>
    <w:p>
      <w:pPr>
        <w:pStyle w:val="Heading2"/>
      </w:pPr>
      <w:r>
        <w:t>379. Claim + two later sources: Achieving agricultural greenhouse gas emission reductions in the EU post‐2030: What options do we have?</w:t>
      </w:r>
    </w:p>
    <w:p>
      <w:pPr>
        <w:pStyle w:val="SourceNote"/>
      </w:pPr>
      <w:r>
        <w:rPr>
          <w:b/>
        </w:rPr>
        <w:t>Group ID:</w:t>
      </w:r>
      <w:r>
        <w:t xml:space="preserve"> group-12de1b58107d218cfaa0</w:t>
      </w:r>
    </w:p>
    <w:p>
      <w:pPr>
        <w:pStyle w:val="SourceNote"/>
      </w:pPr>
      <w:r>
        <w:rPr>
          <w:b/>
        </w:rPr>
        <w:t>Original source:</w:t>
      </w:r>
      <w:r>
        <w:t xml:space="preserve"> https://doi.org/10.1111/reel.12448</w:t>
      </w:r>
    </w:p>
    <w:p>
      <w:pPr/>
      <w:r>
        <w:rPr>
          <w:b/>
        </w:rPr>
        <w:t>Original future claim:</w:t>
      </w:r>
      <w:r>
        <w:t xml:space="preserve">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r>
        <w:rPr>
          <w:b/>
        </w:rPr>
        <w:t>Later source:</w:t>
      </w:r>
      <w:r>
        <w:t xml:space="preserve"> European Union: In Varietate Concordia - United in Diversity. Differentiated Integration as the Key to the Future of the European Union? — https://doi.org/10.30958/ajpia.2-1-2</w:t>
      </w:r>
    </w:p>
    <w:p>
      <w:pPr/>
      <w:r>
        <w:rPr>
          <w:b/>
        </w:rPr>
        <w:t>Later source:</w:t>
      </w:r>
      <w:r>
        <w:t xml:space="preserve"> Decentralized Energy Systems in the European Union — https://doi.org/10.4324/9781003781127-4</w:t>
      </w:r>
    </w:p>
    <w:p>
      <w:pPr>
        <w:pStyle w:val="SourceNote"/>
      </w:pPr>
      <w:r>
        <w:rPr>
          <w:b/>
        </w:rPr>
        <w:t>Review status:</w:t>
      </w:r>
      <w:r>
        <w:t xml:space="preserve"> unchecked — possible relationship only</w:t>
      </w:r>
    </w:p>
    <w:p>
      <w:pPr>
        <w:pStyle w:val="Heading2"/>
      </w:pPr>
      <w:r>
        <w:t>380. Claim + two later sources: Carrying out a multi-model integrated assessment of European energy transition pathways: Challenges and benefits</w:t>
      </w:r>
    </w:p>
    <w:p>
      <w:pPr>
        <w:pStyle w:val="SourceNote"/>
      </w:pPr>
      <w:r>
        <w:rPr>
          <w:b/>
        </w:rPr>
        <w:t>Group ID:</w:t>
      </w:r>
      <w:r>
        <w:t xml:space="preserve"> group-fb78946277a6442a3b48</w:t>
      </w:r>
    </w:p>
    <w:p>
      <w:pPr>
        <w:pStyle w:val="SourceNote"/>
      </w:pPr>
      <w:r>
        <w:rPr>
          <w:b/>
        </w:rPr>
        <w:t>Original source:</w:t>
      </w:r>
      <w:r>
        <w:t xml:space="preserve"> https://doi.org/10.1016/j.energy.2022.124329</w:t>
      </w:r>
    </w:p>
    <w:p>
      <w:pPr/>
      <w:r>
        <w:rPr>
          <w:b/>
        </w:rPr>
        <w:t>Original future claim:</w:t>
      </w:r>
      <w:r>
        <w:t xml:space="preserve"> 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r>
        <w:rPr>
          <w:b/>
        </w:rPr>
        <w:t>Later source:</w:t>
      </w:r>
      <w:r>
        <w:t xml:space="preserve"> A scenario-based risk assessment framework for tyre wear particles in European seas — https://doi.org/10.1016/j.jhazmat.2026.141335</w:t>
      </w:r>
    </w:p>
    <w:p>
      <w:pPr/>
      <w:r>
        <w:rPr>
          <w:b/>
        </w:rPr>
        <w:t>Later source:</w:t>
      </w:r>
      <w:r>
        <w:t xml:space="preserve"> Frailty assessment in kidney transplantation: insights from a European survey — https://doi.org/10.1093/ckj/sfag065</w:t>
      </w:r>
    </w:p>
    <w:p>
      <w:pPr>
        <w:pStyle w:val="SourceNote"/>
      </w:pPr>
      <w:r>
        <w:rPr>
          <w:b/>
        </w:rPr>
        <w:t>Review status:</w:t>
      </w:r>
      <w:r>
        <w:t xml:space="preserve"> unchecked — possible relationship only</w:t>
      </w:r>
    </w:p>
    <w:p>
      <w:pPr>
        <w:pStyle w:val="Heading2"/>
      </w:pPr>
      <w:r>
        <w:t>381. Claim + two later sources: The Purpose and Pitfalls of Constructivist Forecasting: Insights from Strategic Culture Research for the European Union’s Evolution as a Military Power1</w:t>
      </w:r>
    </w:p>
    <w:p>
      <w:pPr>
        <w:pStyle w:val="SourceNote"/>
      </w:pPr>
      <w:r>
        <w:rPr>
          <w:b/>
        </w:rPr>
        <w:t>Group ID:</w:t>
      </w:r>
      <w:r>
        <w:t xml:space="preserve"> group-5a78532887833015da1e</w:t>
      </w:r>
    </w:p>
    <w:p>
      <w:pPr>
        <w:pStyle w:val="SourceNote"/>
      </w:pPr>
      <w:r>
        <w:rPr>
          <w:b/>
        </w:rPr>
        <w:t>Original source:</w:t>
      </w:r>
      <w:r>
        <w:t xml:space="preserve"> https://doi.org/10.1111/j.1468-2478.2011.00648.x</w:t>
      </w:r>
    </w:p>
    <w:p>
      <w:pPr/>
      <w:r>
        <w:rPr>
          <w:b/>
        </w:rPr>
        <w:t>Original future claim:</w:t>
      </w:r>
      <w:r>
        <w:t xml:space="preserve"> 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r>
        <w:rPr>
          <w:b/>
        </w:rPr>
        <w:t>Later source:</w:t>
      </w:r>
      <w:r>
        <w:t xml:space="preserve"> European manual on strategic culture — https://openalex.org/W7163482322</w:t>
      </w:r>
    </w:p>
    <w:p>
      <w:pPr/>
      <w:r>
        <w:rPr>
          <w:b/>
        </w:rPr>
        <w:t>Later source:</w:t>
      </w:r>
      <w:r>
        <w:t xml:space="preserve"> Barriers to Research: Insights into the Patchwork of Research Exceptions in European Copyright Laws and Practical Perspectives from European Researchers — https://doi.org/10.5281/zenodo.20492251</w:t>
      </w:r>
    </w:p>
    <w:p>
      <w:pPr>
        <w:pStyle w:val="SourceNote"/>
      </w:pPr>
      <w:r>
        <w:rPr>
          <w:b/>
        </w:rPr>
        <w:t>Review status:</w:t>
      </w:r>
      <w:r>
        <w:t xml:space="preserve"> unchecked — possible relationship only</w:t>
      </w:r>
    </w:p>
    <w:p>
      <w:pPr>
        <w:pStyle w:val="Heading2"/>
      </w:pPr>
      <w:r>
        <w:t>382. Claim + two later sources: Systemic Design for Policy-Making: Towards the Next Circular Regions</w:t>
      </w:r>
    </w:p>
    <w:p>
      <w:pPr>
        <w:pStyle w:val="SourceNote"/>
      </w:pPr>
      <w:r>
        <w:rPr>
          <w:b/>
        </w:rPr>
        <w:t>Group ID:</w:t>
      </w:r>
      <w:r>
        <w:t xml:space="preserve"> group-269a779eca2d32178b29</w:t>
      </w:r>
    </w:p>
    <w:p>
      <w:pPr>
        <w:pStyle w:val="SourceNote"/>
      </w:pPr>
      <w:r>
        <w:rPr>
          <w:b/>
        </w:rPr>
        <w:t>Original source:</w:t>
      </w:r>
      <w:r>
        <w:t xml:space="preserve"> https://doi.org/10.3390/su12114494</w:t>
      </w:r>
    </w:p>
    <w:p>
      <w:pPr/>
      <w:r>
        <w:rPr>
          <w:b/>
        </w:rPr>
        <w:t>Original future claim:</w:t>
      </w:r>
      <w:r>
        <w:t xml:space="preserve"> 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r>
        <w:rPr>
          <w:b/>
        </w:rPr>
        <w:t>Later source:</w:t>
      </w:r>
      <w:r>
        <w:t xml:space="preserve"> The Circular Economy in European Union Supply Chains: A Literature Review — https://doi.org/10.1002/sd.70855</w:t>
      </w:r>
    </w:p>
    <w:p>
      <w:pPr/>
      <w:r>
        <w:rPr>
          <w:b/>
        </w:rPr>
        <w:t>Later source:</w:t>
      </w:r>
      <w:r>
        <w:t xml:space="preserve"> Business Model Innovation for Circular Transformation in the Built Environment — https://doi.org/10.1007/978-3-032-35104-3_109</w:t>
      </w:r>
    </w:p>
    <w:p>
      <w:pPr>
        <w:pStyle w:val="SourceNote"/>
      </w:pPr>
      <w:r>
        <w:rPr>
          <w:b/>
        </w:rPr>
        <w:t>Review status:</w:t>
      </w:r>
      <w:r>
        <w:t xml:space="preserve"> unchecked — possible relationship only</w:t>
      </w:r>
    </w:p>
    <w:p>
      <w:pPr>
        <w:pStyle w:val="Heading2"/>
      </w:pPr>
      <w:r>
        <w:t>383. Claim + two later sources: O4-2.1 Foresight tackling obesities: future choices</w:t>
      </w:r>
    </w:p>
    <w:p>
      <w:pPr>
        <w:pStyle w:val="SourceNote"/>
      </w:pPr>
      <w:r>
        <w:rPr>
          <w:b/>
        </w:rPr>
        <w:t>Group ID:</w:t>
      </w:r>
      <w:r>
        <w:t xml:space="preserve"> group-8e6bc20df9e5af601c89</w:t>
      </w:r>
    </w:p>
    <w:p>
      <w:pPr>
        <w:pStyle w:val="SourceNote"/>
      </w:pPr>
      <w:r>
        <w:rPr>
          <w:b/>
        </w:rPr>
        <w:t>Original source:</w:t>
      </w:r>
      <w:r>
        <w:t xml:space="preserve"> https://doi.org/10.1136/jech.2011.142976b.14</w:t>
      </w:r>
    </w:p>
    <w:p>
      <w:pPr/>
      <w:r>
        <w:rPr>
          <w:b/>
        </w:rPr>
        <w:t>Original future claim:</w:t>
      </w:r>
      <w:r>
        <w:t xml:space="preserve"> These predictions could be subject to a range of policy options which affected BMI or business as usual. Given these predictions up to 2050, we built a micro simulation of the UK population with same demographics and the BMI growth predicted.</w:t>
      </w:r>
    </w:p>
    <w:p>
      <w:pPr/>
      <w:r>
        <w:rPr>
          <w:b/>
        </w:rPr>
        <w:t>Later source:</w:t>
      </w:r>
      <w:r>
        <w:t xml:space="preserve"> Accuracy of subject-specific prediction of end-systolic time in MRI across a range of RR intervals — https://doi.org/10.1371/journal.pone.0179011</w:t>
      </w:r>
    </w:p>
    <w:p>
      <w:pPr/>
      <w:r>
        <w:rPr>
          <w:b/>
        </w:rPr>
        <w:t>Later source:</w:t>
      </w:r>
      <w:r>
        <w:t xml:space="preserve"> Muscle Synergies Facilitate Computational Prediction of Subject-Specific Walking Motions — https://doi.org/10.3389/fbioe.2016.00077</w:t>
      </w:r>
    </w:p>
    <w:p>
      <w:pPr>
        <w:pStyle w:val="SourceNote"/>
      </w:pPr>
      <w:r>
        <w:rPr>
          <w:b/>
        </w:rPr>
        <w:t>Review status:</w:t>
      </w:r>
      <w:r>
        <w:t xml:space="preserve"> unchecked — possible relationship only</w:t>
      </w:r>
    </w:p>
    <w:p>
      <w:pPr>
        <w:pStyle w:val="Heading2"/>
      </w:pPr>
      <w:r>
        <w:t>384. Claim + two later sources: A 2050 perspective on the role for carbon capture and storage in the European power system and industry sector</w:t>
      </w:r>
    </w:p>
    <w:p>
      <w:pPr>
        <w:pStyle w:val="SourceNote"/>
      </w:pPr>
      <w:r>
        <w:rPr>
          <w:b/>
        </w:rPr>
        <w:t>Group ID:</w:t>
      </w:r>
      <w:r>
        <w:t xml:space="preserve"> group-3e17517c630ccce0041b</w:t>
      </w:r>
    </w:p>
    <w:p>
      <w:pPr>
        <w:pStyle w:val="SourceNote"/>
      </w:pPr>
      <w:r>
        <w:rPr>
          <w:b/>
        </w:rPr>
        <w:t>Original source:</w:t>
      </w:r>
      <w:r>
        <w:t xml:space="preserve"> https://doi.org/10.1016/j.eneco.2021.105631</w:t>
      </w:r>
    </w:p>
    <w:p>
      <w:pPr/>
      <w:r>
        <w:rPr>
          <w:b/>
        </w:rPr>
        <w:t>Original future claim:</w:t>
      </w:r>
      <w:r>
        <w:t xml:space="preserve"> 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r>
        <w:rPr>
          <w:b/>
        </w:rPr>
        <w:t>Later source:</w:t>
      </w:r>
      <w:r>
        <w:t xml:space="preserve"> Feasible Carbon Sequestration Potential in European Agricultural Mineral Soils Through Improved Management — https://doi.org/10.1111/ejss.70357</w:t>
      </w:r>
    </w:p>
    <w:p>
      <w:pPr/>
      <w:r>
        <w:rPr>
          <w:b/>
        </w:rPr>
        <w:t>Later source:</w:t>
      </w:r>
      <w:r>
        <w:t xml:space="preserve"> Evaluating the Operations Feasibility and Business Model Development of a Sri Lankan Beauty Salon — https://openalex.org/W7163484922</w:t>
      </w:r>
    </w:p>
    <w:p>
      <w:pPr>
        <w:pStyle w:val="SourceNote"/>
      </w:pPr>
      <w:r>
        <w:rPr>
          <w:b/>
        </w:rPr>
        <w:t>Review status:</w:t>
      </w:r>
      <w:r>
        <w:t xml:space="preserve"> unchecked — possible relationship only</w:t>
      </w:r>
    </w:p>
    <w:p>
      <w:pPr>
        <w:pStyle w:val="Heading2"/>
      </w:pPr>
      <w:r>
        <w:t>385. Claim + two later sources: Impact of climate change on ozone-related mortality and morbidity in Europe</w:t>
      </w:r>
    </w:p>
    <w:p>
      <w:pPr>
        <w:pStyle w:val="SourceNote"/>
      </w:pPr>
      <w:r>
        <w:rPr>
          <w:b/>
        </w:rPr>
        <w:t>Group ID:</w:t>
      </w:r>
      <w:r>
        <w:t xml:space="preserve"> group-f03a621d7d211f3c88e9</w:t>
      </w:r>
    </w:p>
    <w:p>
      <w:pPr>
        <w:pStyle w:val="SourceNote"/>
      </w:pPr>
      <w:r>
        <w:rPr>
          <w:b/>
        </w:rPr>
        <w:t>Original source:</w:t>
      </w:r>
      <w:r>
        <w:t xml:space="preserve"> https://doi.org/10.1183/09031936.00210411</w:t>
      </w:r>
    </w:p>
    <w:p>
      <w:pPr/>
      <w:r>
        <w:rPr>
          <w:b/>
        </w:rPr>
        <w:t>Original future claim:</w:t>
      </w:r>
      <w:r>
        <w:t xml:space="preserve"> 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r>
        <w:rPr>
          <w:b/>
        </w:rPr>
        <w:t>Later source:</w:t>
      </w:r>
      <w:r>
        <w:t xml:space="preserve"> Contact allergy to corticosteroids: Is the European baseline series sufficient? — https://doi.org/10.1111/cod.14358</w:t>
      </w:r>
    </w:p>
    <w:p>
      <w:pPr/>
      <w:r>
        <w:rPr>
          <w:b/>
        </w:rPr>
        <w:t>Later source:</w:t>
      </w:r>
      <w:r>
        <w:t xml:space="preserve"> Emerging new climate extremes over Europe — https://doi.org/10.1007/s00382-021-05917-3</w:t>
      </w:r>
    </w:p>
    <w:p>
      <w:pPr>
        <w:pStyle w:val="SourceNote"/>
      </w:pPr>
      <w:r>
        <w:rPr>
          <w:b/>
        </w:rPr>
        <w:t>Review status:</w:t>
      </w:r>
      <w:r>
        <w:t xml:space="preserve"> unchecked — possible relationship only</w:t>
      </w:r>
    </w:p>
    <w:p>
      <w:pPr>
        <w:pStyle w:val="Heading2"/>
      </w:pPr>
      <w:r>
        <w:t>386. Claim + two later sources: Perspectives from 2037—Can Environmental Impact Assessment be the Solution for an Early Consideration of Climate Change-related Impacts?</w:t>
      </w:r>
    </w:p>
    <w:p>
      <w:pPr>
        <w:pStyle w:val="SourceNote"/>
      </w:pPr>
      <w:r>
        <w:rPr>
          <w:b/>
        </w:rPr>
        <w:t>Group ID:</w:t>
      </w:r>
      <w:r>
        <w:t xml:space="preserve"> group-a0d91949f122c8cdb054</w:t>
      </w:r>
    </w:p>
    <w:p>
      <w:pPr>
        <w:pStyle w:val="SourceNote"/>
      </w:pPr>
      <w:r>
        <w:rPr>
          <w:b/>
        </w:rPr>
        <w:t>Original source:</w:t>
      </w:r>
      <w:r>
        <w:t xml:space="preserve"> https://doi.org/10.3390/su11154002</w:t>
      </w:r>
    </w:p>
    <w:p>
      <w:pPr/>
      <w:r>
        <w:rPr>
          <w:b/>
        </w:rPr>
        <w:t>Original future claim:</w:t>
      </w:r>
      <w:r>
        <w:t xml:space="preserve"> Three scenario narratives were elaborated based on nine key impact factors based on literature review, content analysis of EIA documents and interviews with EIA actors.</w:t>
      </w:r>
    </w:p>
    <w:p>
      <w:pPr/>
      <w:r>
        <w:rPr>
          <w:b/>
        </w:rPr>
        <w:t>Later source:</w:t>
      </w:r>
      <w:r>
        <w:t xml:space="preserve"> Narrative Reflexivity as Leaderful Practice — https://doi.org/10.1080/14697017.2025.2453132</w:t>
      </w:r>
    </w:p>
    <w:p>
      <w:pPr/>
      <w:r>
        <w:rPr>
          <w:b/>
        </w:rPr>
        <w:t>Later source:</w:t>
      </w:r>
      <w:r>
        <w:t xml:space="preserve"> What good is agroecology? Predominant narratives about agroecology in Africa — https://doi.org/10.1016/j.jrurstud.2025.103706</w:t>
      </w:r>
    </w:p>
    <w:p>
      <w:pPr>
        <w:pStyle w:val="SourceNote"/>
      </w:pPr>
      <w:r>
        <w:rPr>
          <w:b/>
        </w:rPr>
        <w:t>Review status:</w:t>
      </w:r>
      <w:r>
        <w:t xml:space="preserve"> unchecked — possible relationship only</w:t>
      </w:r>
    </w:p>
    <w:p>
      <w:pPr>
        <w:pStyle w:val="Heading2"/>
      </w:pPr>
      <w:r>
        <w:t>387. Claim + two later sources: Overview of Existing Heat-Health Warning Systems in Europe</w:t>
      </w:r>
    </w:p>
    <w:p>
      <w:pPr>
        <w:pStyle w:val="SourceNote"/>
      </w:pPr>
      <w:r>
        <w:rPr>
          <w:b/>
        </w:rPr>
        <w:t>Group ID:</w:t>
      </w:r>
      <w:r>
        <w:t xml:space="preserve"> group-ac1e3f4e6bd9f918a68f</w:t>
      </w:r>
    </w:p>
    <w:p>
      <w:pPr>
        <w:pStyle w:val="SourceNote"/>
      </w:pPr>
      <w:r>
        <w:rPr>
          <w:b/>
        </w:rPr>
        <w:t>Original source:</w:t>
      </w:r>
      <w:r>
        <w:t xml:space="preserve"> https://doi.org/10.3390/ijerph16152657</w:t>
      </w:r>
    </w:p>
    <w:p>
      <w:pPr/>
      <w:r>
        <w:rPr>
          <w:b/>
        </w:rPr>
        <w:t>Original future claim:</w:t>
      </w:r>
      <w:r>
        <w:t xml:space="preserve"> Setting long-term planning actions as well as pre-alert levels might prevent and reduce damages due to heat.</w:t>
      </w:r>
    </w:p>
    <w:p>
      <w:pPr/>
      <w:r>
        <w:rPr>
          <w:b/>
        </w:rPr>
        <w:t>Later source:</w:t>
      </w:r>
      <w:r>
        <w:t xml:space="preserve"> EMTReK Model for Advance Care Planning in Long-Term Care: Qualitative Findings from mySupport Study — https://doi.org/10.3390/geriatrics10060171</w:t>
      </w:r>
    </w:p>
    <w:p>
      <w:pPr/>
      <w:r>
        <w:rPr>
          <w:b/>
        </w:rPr>
        <w:t>Later source:</w:t>
      </w:r>
      <w:r>
        <w:t xml:space="preserve"> Financial &amp; Legal Planning: Securing Your Child's Future in the US and Europe — https://doi.org/10.5281/zenodo.19032835</w:t>
      </w:r>
    </w:p>
    <w:p>
      <w:pPr>
        <w:pStyle w:val="SourceNote"/>
      </w:pPr>
      <w:r>
        <w:rPr>
          <w:b/>
        </w:rPr>
        <w:t>Review status:</w:t>
      </w:r>
      <w:r>
        <w:t xml:space="preserve"> unchecked — possible relationship only</w:t>
      </w:r>
    </w:p>
    <w:p>
      <w:pPr>
        <w:pStyle w:val="Heading2"/>
      </w:pPr>
      <w:r>
        <w:t>388. Claim + two later sources: Forecasting turbulence in the Asian and European stock market using regime-switching models</w:t>
      </w:r>
    </w:p>
    <w:p>
      <w:pPr>
        <w:pStyle w:val="SourceNote"/>
      </w:pPr>
      <w:r>
        <w:rPr>
          <w:b/>
        </w:rPr>
        <w:t>Group ID:</w:t>
      </w:r>
      <w:r>
        <w:t xml:space="preserve"> group-f2861a2cd9e5e80686dd</w:t>
      </w:r>
    </w:p>
    <w:p>
      <w:pPr>
        <w:pStyle w:val="SourceNote"/>
      </w:pPr>
      <w:r>
        <w:rPr>
          <w:b/>
        </w:rPr>
        <w:t>Original source:</w:t>
      </w:r>
      <w:r>
        <w:t xml:space="preserve"> https://doi.org/10.3934/qfe.2018.2.388</w:t>
      </w:r>
    </w:p>
    <w:p>
      <w:pPr/>
      <w:r>
        <w:rPr>
          <w:b/>
        </w:rPr>
        <w:t>Original future claim:</w:t>
      </w:r>
      <w:r>
        <w:t xml:space="preserve"> An early warning system to timely forecast turbulences in the Asian and European stock market is proposed. Subsequently, a forecasting model using logistic regression and economic input factors is selected.</w:t>
      </w:r>
    </w:p>
    <w:p>
      <w:pPr/>
      <w:r>
        <w:rPr>
          <w:b/>
        </w:rPr>
        <w:t>Later source:</w:t>
      </w:r>
      <w:r>
        <w:t xml:space="preserve"> Early warning early action systems for invasive alien species affecting forests in Europe and Central Asia: an overview — https://doi.org/10.3389/ffgc.2026.1795394</w:t>
      </w:r>
    </w:p>
    <w:p>
      <w:pPr/>
      <w:r>
        <w:rPr>
          <w:b/>
        </w:rPr>
        <w:t>Later source:</w:t>
      </w:r>
      <w:r>
        <w:t xml:space="preserve"> Early warning systems for chemical risks in Europe: methodological components for signal detection, prioritization, uncertainty management and follow-up — https://doi.org/10.1186/s12302-026-01427-3</w:t>
      </w:r>
    </w:p>
    <w:p>
      <w:pPr>
        <w:pStyle w:val="SourceNote"/>
      </w:pPr>
      <w:r>
        <w:rPr>
          <w:b/>
        </w:rPr>
        <w:t>Review status:</w:t>
      </w:r>
      <w:r>
        <w:t xml:space="preserve"> unchecked — possible relationship only</w:t>
      </w:r>
    </w:p>
    <w:p>
      <w:pPr>
        <w:pStyle w:val="Heading2"/>
      </w:pPr>
      <w:r>
        <w:t>389. Claim + two later sources: Modelling sustainable energy futures for the UK</w:t>
      </w:r>
    </w:p>
    <w:p>
      <w:pPr>
        <w:pStyle w:val="SourceNote"/>
      </w:pPr>
      <w:r>
        <w:rPr>
          <w:b/>
        </w:rPr>
        <w:t>Group ID:</w:t>
      </w:r>
      <w:r>
        <w:t xml:space="preserve"> group-2bd99c719c880fcaac1b</w:t>
      </w:r>
    </w:p>
    <w:p>
      <w:pPr>
        <w:pStyle w:val="SourceNote"/>
      </w:pPr>
      <w:r>
        <w:rPr>
          <w:b/>
        </w:rPr>
        <w:t>Original source:</w:t>
      </w:r>
      <w:r>
        <w:t xml:space="preserve"> https://doi.org/10.1016/j.futures.2014.01.005</w:t>
      </w:r>
    </w:p>
    <w:p>
      <w:pPr/>
      <w:r>
        <w:rPr>
          <w:b/>
        </w:rPr>
        <w:t>Original future claim:</w:t>
      </w:r>
      <w:r>
        <w:t xml:space="preserve"> As a result of signing the Kyoto Agreement the UK will need to reduce carbon emissions to 20% of their 1990 value by 2050. The model allows us to explore different possible pathways to 2050 and the difficulty of the overall endeavour.</w:t>
      </w:r>
    </w:p>
    <w:p>
      <w:pPr/>
      <w:r>
        <w:rPr>
          <w:b/>
        </w:rPr>
        <w:t>Later source:</w:t>
      </w:r>
      <w:r>
        <w:t xml:space="preserve"> Reducing the sign problem with line integrals — https://doi.org/10.1007/jhep02(2025)041</w:t>
      </w:r>
    </w:p>
    <w:p>
      <w:pPr/>
      <w:r>
        <w:rPr>
          <w:b/>
        </w:rPr>
        <w:t>Later source:</w:t>
      </w:r>
      <w:r>
        <w:t xml:space="preserve"> A Call to Action to Reduce the Need for a Medical Evaluation Prior to Exercise — https://doi.org/10.1249/jsr.0000000000001245</w:t>
      </w:r>
    </w:p>
    <w:p>
      <w:pPr>
        <w:pStyle w:val="SourceNote"/>
      </w:pPr>
      <w:r>
        <w:rPr>
          <w:b/>
        </w:rPr>
        <w:t>Review status:</w:t>
      </w:r>
      <w:r>
        <w:t xml:space="preserve"> unchecked — possible relationship only</w:t>
      </w:r>
    </w:p>
    <w:p>
      <w:pPr>
        <w:pStyle w:val="Heading2"/>
      </w:pPr>
      <w:r>
        <w:t>390. Claim + two later sources: Futures and foresight of Croatian cultural heritage</w:t>
      </w:r>
    </w:p>
    <w:p>
      <w:pPr>
        <w:pStyle w:val="SourceNote"/>
      </w:pPr>
      <w:r>
        <w:rPr>
          <w:b/>
        </w:rPr>
        <w:t>Group ID:</w:t>
      </w:r>
      <w:r>
        <w:t xml:space="preserve"> group-2fb03d927403a37f51ae</w:t>
      </w:r>
    </w:p>
    <w:p>
      <w:pPr>
        <w:pStyle w:val="SourceNote"/>
      </w:pPr>
      <w:r>
        <w:rPr>
          <w:b/>
        </w:rPr>
        <w:t>Original source:</w:t>
      </w:r>
      <w:r>
        <w:t xml:space="preserve"> https://doi.org/10.17018/portal.2022.10</w:t>
      </w:r>
    </w:p>
    <w:p>
      <w:pPr/>
      <w:r>
        <w:rPr>
          <w:b/>
        </w:rPr>
        <w:t>Original future claim:</w:t>
      </w:r>
      <w:r>
        <w:t xml:space="preserve"> 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r>
        <w:rPr>
          <w:b/>
        </w:rPr>
        <w:t>Later source:</w:t>
      </w:r>
      <w:r>
        <w:t xml:space="preserve"> Cultural Production Reveals Transitions to Sustained Human Development in both European and Non-European Societies — https://openalex.org/W7124669595</w:t>
      </w:r>
    </w:p>
    <w:p>
      <w:pPr/>
      <w:r>
        <w:rPr>
          <w:b/>
        </w:rPr>
        <w:t>Later source:</w:t>
      </w:r>
      <w:r>
        <w:t xml:space="preserve"> Predicting Youth Academy Player Usage in European Football: A Multidimensional Econometric Approach — https://openalex.org/W7171481490</w:t>
      </w:r>
    </w:p>
    <w:p>
      <w:pPr>
        <w:pStyle w:val="SourceNote"/>
      </w:pPr>
      <w:r>
        <w:rPr>
          <w:b/>
        </w:rPr>
        <w:t>Review status:</w:t>
      </w:r>
      <w:r>
        <w:t xml:space="preserve"> unchecked — possible relationship only</w:t>
      </w:r>
    </w:p>
    <w:p>
      <w:pPr>
        <w:pStyle w:val="Heading2"/>
      </w:pPr>
      <w:r>
        <w:t>391. Claim + two later sources: Soft-linking of a behavioral model for transport with energy system cost optimization applied to hydrogen in EU</w:t>
      </w:r>
    </w:p>
    <w:p>
      <w:pPr>
        <w:pStyle w:val="SourceNote"/>
      </w:pPr>
      <w:r>
        <w:rPr>
          <w:b/>
        </w:rPr>
        <w:t>Group ID:</w:t>
      </w:r>
      <w:r>
        <w:t xml:space="preserve"> group-488c6b64d9527df9d38b</w:t>
      </w:r>
    </w:p>
    <w:p>
      <w:pPr>
        <w:pStyle w:val="SourceNote"/>
      </w:pPr>
      <w:r>
        <w:rPr>
          <w:b/>
        </w:rPr>
        <w:t>Original source:</w:t>
      </w:r>
      <w:r>
        <w:t xml:space="preserve"> https://doi.org/10.1016/j.rser.2019.109349</w:t>
      </w:r>
    </w:p>
    <w:p>
      <w:pPr/>
      <w:r>
        <w:rPr>
          <w:b/>
        </w:rPr>
        <w:t>Original future claim:</w:t>
      </w:r>
      <w:r>
        <w:t xml:space="preserve"> 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r>
        <w:rPr>
          <w:b/>
        </w:rPr>
        <w:t>Later source:</w:t>
      </w:r>
      <w:r>
        <w:t xml:space="preserve"> PERSEUS-PtX: European Energy System Model and Dataset — https://doi.org/10.5281/zenodo.19480834</w:t>
      </w:r>
    </w:p>
    <w:p>
      <w:pPr/>
      <w:r>
        <w:rPr>
          <w:b/>
        </w:rPr>
        <w:t>Later source:</w:t>
      </w:r>
      <w:r>
        <w:t xml:space="preserve"> Exploring configurations of a European energy system within the planetary boundaries — https://doi.org/10.1088/1748-9326/ade26b</w:t>
      </w:r>
    </w:p>
    <w:p>
      <w:pPr>
        <w:pStyle w:val="SourceNote"/>
      </w:pPr>
      <w:r>
        <w:rPr>
          <w:b/>
        </w:rPr>
        <w:t>Review status:</w:t>
      </w:r>
      <w:r>
        <w:t xml:space="preserve"> unchecked — possible relationship only</w:t>
      </w:r>
    </w:p>
    <w:p>
      <w:pPr>
        <w:pStyle w:val="Heading2"/>
      </w:pPr>
      <w:r>
        <w:t>392. Claim + two later sources: Facilitating transformative science education through futures thinking</w:t>
      </w:r>
    </w:p>
    <w:p>
      <w:pPr>
        <w:pStyle w:val="SourceNote"/>
      </w:pPr>
      <w:r>
        <w:rPr>
          <w:b/>
        </w:rPr>
        <w:t>Group ID:</w:t>
      </w:r>
      <w:r>
        <w:t xml:space="preserve"> group-d1edfde7f04ff1dc00c1</w:t>
      </w:r>
    </w:p>
    <w:p>
      <w:pPr>
        <w:pStyle w:val="SourceNote"/>
      </w:pPr>
      <w:r>
        <w:rPr>
          <w:b/>
        </w:rPr>
        <w:t>Original source:</w:t>
      </w:r>
      <w:r>
        <w:t xml:space="preserve"> https://doi.org/10.1108/oth-09-2021-0114</w:t>
      </w:r>
    </w:p>
    <w:p>
      <w:pPr/>
      <w:r>
        <w:rPr>
          <w:b/>
        </w:rPr>
        <w:t>Original future claim:</w:t>
      </w:r>
      <w:r>
        <w:t xml:space="preserve"> Findings Recent research has shown that future-oriented science learning activities, involving systems thinking, scenario development and backcasting, can let students broaden their futures perceptions, imagine alternatives and navigate uncertainty.</w:t>
      </w:r>
    </w:p>
    <w:p>
      <w:pPr/>
      <w:r>
        <w:rPr>
          <w:b/>
        </w:rPr>
        <w:t>Later source:</w:t>
      </w:r>
      <w:r>
        <w:t xml:space="preserve"> Using Learning Progressions to Guide AI Feedback for Science Learning — https://openalex.org/W7133571101</w:t>
      </w:r>
    </w:p>
    <w:p>
      <w:pPr/>
      <w:r>
        <w:rPr>
          <w:b/>
        </w:rPr>
        <w:t>Later source:</w:t>
      </w:r>
      <w:r>
        <w:t xml:space="preserve"> Mesenchymal stromal cells in Rheumathology: Recent findings — https://doi.org/10.30574/wjarr.2026.29.3.0619</w:t>
      </w:r>
    </w:p>
    <w:p>
      <w:pPr>
        <w:pStyle w:val="SourceNote"/>
      </w:pPr>
      <w:r>
        <w:rPr>
          <w:b/>
        </w:rPr>
        <w:t>Review status:</w:t>
      </w:r>
      <w:r>
        <w:t xml:space="preserve"> unchecked — possible relationship only</w:t>
      </w:r>
    </w:p>
    <w:p>
      <w:pPr>
        <w:pStyle w:val="Heading2"/>
      </w:pPr>
      <w:r>
        <w:t>393. Claim + two later sources: TRANSPORT PROJECT EVALUATION: FEASIBILITY RISK ASSESSMENT AND SCENARIO FORECASTING</w:t>
      </w:r>
    </w:p>
    <w:p>
      <w:pPr>
        <w:pStyle w:val="SourceNote"/>
      </w:pPr>
      <w:r>
        <w:rPr>
          <w:b/>
        </w:rPr>
        <w:t>Group ID:</w:t>
      </w:r>
      <w:r>
        <w:t xml:space="preserve"> group-5be4ce5c6f7b86bfa724</w:t>
      </w:r>
    </w:p>
    <w:p>
      <w:pPr>
        <w:pStyle w:val="SourceNote"/>
      </w:pPr>
      <w:r>
        <w:rPr>
          <w:b/>
        </w:rPr>
        <w:t>Original source:</w:t>
      </w:r>
      <w:r>
        <w:t xml:space="preserve"> https://doi.org/10.3846/16484142.2015.1063003</w:t>
      </w:r>
    </w:p>
    <w:p>
      <w:pPr/>
      <w:r>
        <w:rPr>
          <w:b/>
        </w:rPr>
        <w:t>Original future claim:</w:t>
      </w:r>
      <w:r>
        <w:t xml:space="preserve"> Finally, RSF makes use of scenario forecasting where trend scenarios such as economic growth and level of cross-border integration are investigated.</w:t>
      </w:r>
    </w:p>
    <w:p>
      <w:pPr/>
      <w:r>
        <w:rPr>
          <w:b/>
        </w:rPr>
        <w:t>Later source:</w:t>
      </w:r>
      <w:r>
        <w:t xml:space="preserve"> Radiative strength functions from the energy-localized Brink-Axel hypothesis — https://doi.org/10.1103/kg6r-t5d1</w:t>
      </w:r>
    </w:p>
    <w:p>
      <w:pPr/>
      <w:r>
        <w:rPr>
          <w:b/>
        </w:rPr>
        <w:t>Later source:</w:t>
      </w:r>
      <w:r>
        <w:t xml:space="preserve"> India and the World Press Freedom Index: A Critical Examination of Media Freedom in the World's Largest Democracy — https://doi.org/10.5281/zenodo.21851588</w:t>
      </w:r>
    </w:p>
    <w:p>
      <w:pPr>
        <w:pStyle w:val="SourceNote"/>
      </w:pPr>
      <w:r>
        <w:rPr>
          <w:b/>
        </w:rPr>
        <w:t>Review status:</w:t>
      </w:r>
      <w:r>
        <w:t xml:space="preserve"> unchecked — possible relationship only</w:t>
      </w:r>
    </w:p>
    <w:p>
      <w:pPr>
        <w:pStyle w:val="Heading2"/>
      </w:pPr>
      <w:r>
        <w:t>394. Claim + two later sources: Investigating European Union Decarbonization Strategies: Evaluating the Pathway to Carbon Neutrality by 2050</w:t>
      </w:r>
    </w:p>
    <w:p>
      <w:pPr>
        <w:pStyle w:val="SourceNote"/>
      </w:pPr>
      <w:r>
        <w:rPr>
          <w:b/>
        </w:rPr>
        <w:t>Group ID:</w:t>
      </w:r>
      <w:r>
        <w:t xml:space="preserve"> group-767c9e52b7a6f5dc2da7</w:t>
      </w:r>
    </w:p>
    <w:p>
      <w:pPr>
        <w:pStyle w:val="SourceNote"/>
      </w:pPr>
      <w:r>
        <w:rPr>
          <w:b/>
        </w:rPr>
        <w:t>Original source:</w:t>
      </w:r>
      <w:r>
        <w:t xml:space="preserve"> https://doi.org/10.3390/su14084728</w:t>
      </w:r>
    </w:p>
    <w:p>
      <w:pPr/>
      <w:r>
        <w:rPr>
          <w:b/>
        </w:rPr>
        <w:t>Original future claim:</w:t>
      </w:r>
      <w:r>
        <w:t xml:space="preserve">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r>
        <w:rPr>
          <w:b/>
        </w:rPr>
        <w:t>Later source:</w:t>
      </w:r>
      <w:r>
        <w:t xml:space="preserve"> The implementation of 'new phase' European social dialogue agreements and texts in European member states — https://doi.org/10.82444/warw.33491788</w:t>
      </w:r>
    </w:p>
    <w:p>
      <w:pPr/>
      <w:r>
        <w:rPr>
          <w:b/>
        </w:rPr>
        <w:t>Later source:</w:t>
      </w:r>
      <w:r>
        <w:t xml:space="preserve"> Functionally rich crop rotations increase calorie and macronutrient outputs across Europe — https://doi.org/10.1038/s43016-026-01293-5</w:t>
      </w:r>
    </w:p>
    <w:p>
      <w:pPr>
        <w:pStyle w:val="SourceNote"/>
      </w:pPr>
      <w:r>
        <w:rPr>
          <w:b/>
        </w:rPr>
        <w:t>Review status:</w:t>
      </w:r>
      <w:r>
        <w:t xml:space="preserve"> unchecked — possible relationship only</w:t>
      </w:r>
    </w:p>
    <w:p>
      <w:pPr>
        <w:pStyle w:val="Heading2"/>
      </w:pPr>
      <w:r>
        <w:t>395. Claim + two later sources: The European Unions Strategic Gas Supply Options and the Prevalence of the Southern Corridor</w:t>
      </w:r>
    </w:p>
    <w:p>
      <w:pPr>
        <w:pStyle w:val="SourceNote"/>
      </w:pPr>
      <w:r>
        <w:rPr>
          <w:b/>
        </w:rPr>
        <w:t>Group ID:</w:t>
      </w:r>
      <w:r>
        <w:t xml:space="preserve"> group-1dbc995cea1726dea132</w:t>
      </w:r>
    </w:p>
    <w:p>
      <w:pPr>
        <w:pStyle w:val="SourceNote"/>
      </w:pPr>
      <w:r>
        <w:rPr>
          <w:b/>
        </w:rPr>
        <w:t>Original source:</w:t>
      </w:r>
      <w:r>
        <w:t xml:space="preserve"> https://doi.org/10.54648/eerr2013040</w:t>
      </w:r>
    </w:p>
    <w:p>
      <w:pPr/>
      <w:r>
        <w:rPr>
          <w:b/>
        </w:rPr>
        <w:t>Original future claim:</w:t>
      </w:r>
      <w:r>
        <w:t xml:space="preserve"> Current estimates predict the EU will need to import up to 80% of the gas it will consume in 2030.Already there is a strong concern about its reliance on Russian gas, especially in Eastern European countries.</w:t>
      </w:r>
    </w:p>
    <w:p>
      <w:pPr/>
      <w:r>
        <w:rPr>
          <w:b/>
        </w:rPr>
        <w:t>Later source:</w:t>
      </w:r>
      <w:r>
        <w:t xml:space="preserve"> Prevalence of Glaucoma in Europe and Projections to 2050 — https://doi.org/10.1016/j.ophtha.2025.06.002</w:t>
      </w:r>
    </w:p>
    <w:p>
      <w:pPr/>
      <w:r>
        <w:rPr>
          <w:b/>
        </w:rPr>
        <w:t>Later source:</w:t>
      </w:r>
      <w:r>
        <w:t xml:space="preserve"> Predicting and preventing preterm birth in Europe: current challenges and gaps — https://doi.org/10.1080/14767058.2025.2547687</w:t>
      </w:r>
    </w:p>
    <w:p>
      <w:pPr>
        <w:pStyle w:val="SourceNote"/>
      </w:pPr>
      <w:r>
        <w:rPr>
          <w:b/>
        </w:rPr>
        <w:t>Review status:</w:t>
      </w:r>
      <w:r>
        <w:t xml:space="preserve"> unchecked — possible relationship only</w:t>
      </w:r>
    </w:p>
    <w:p>
      <w:pPr>
        <w:pStyle w:val="Heading2"/>
      </w:pPr>
      <w:r>
        <w:t>396. Claim + two later sources: Comments: The Long-Term Outlook</w:t>
      </w:r>
    </w:p>
    <w:p>
      <w:pPr>
        <w:pStyle w:val="SourceNote"/>
      </w:pPr>
      <w:r>
        <w:rPr>
          <w:b/>
        </w:rPr>
        <w:t>Group ID:</w:t>
      </w:r>
      <w:r>
        <w:t xml:space="preserve"> group-903da0099fd3bd5e3f9f</w:t>
      </w:r>
    </w:p>
    <w:p>
      <w:pPr>
        <w:pStyle w:val="SourceNote"/>
      </w:pPr>
      <w:r>
        <w:rPr>
          <w:b/>
        </w:rPr>
        <w:t>Original source:</w:t>
      </w:r>
      <w:r>
        <w:t xml:space="preserve"> https://doi.org/10.2118/0113-0018-jpt</w:t>
      </w:r>
    </w:p>
    <w:p>
      <w:pPr/>
      <w:r>
        <w:rPr>
          <w:b/>
        </w:rPr>
        <w:t>Original future claim:</w:t>
      </w:r>
      <w:r>
        <w:t xml:space="preserve"> 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r>
        <w:rPr>
          <w:b/>
        </w:rPr>
        <w:t>Later source:</w:t>
      </w:r>
      <w:r>
        <w:t xml:space="preserve"> Synonymous but Significant: New Findings of Pathological Variants in Hermansky–Pudlak Syndrome — https://doi.org/10.1111/pcmr.13221</w:t>
      </w:r>
    </w:p>
    <w:p>
      <w:pPr/>
      <w:r>
        <w:rPr>
          <w:b/>
        </w:rPr>
        <w:t>Later source:</w:t>
      </w:r>
      <w:r>
        <w:t xml:space="preserve"> Still Here — https://doi.org/10.7146/ageculturehumanities.v8i.141931</w:t>
      </w:r>
    </w:p>
    <w:p>
      <w:pPr>
        <w:pStyle w:val="SourceNote"/>
      </w:pPr>
      <w:r>
        <w:rPr>
          <w:b/>
        </w:rPr>
        <w:t>Review status:</w:t>
      </w:r>
      <w:r>
        <w:t xml:space="preserve"> unchecked — possible relationship only</w:t>
      </w:r>
    </w:p>
    <w:p>
      <w:pPr>
        <w:pStyle w:val="Heading2"/>
      </w:pPr>
      <w:r>
        <w:t>397. Claim + two later sources: Climate change, extreme weather events, air pollution and respiratory health in Europe</w:t>
      </w:r>
    </w:p>
    <w:p>
      <w:pPr>
        <w:pStyle w:val="SourceNote"/>
      </w:pPr>
      <w:r>
        <w:rPr>
          <w:b/>
        </w:rPr>
        <w:t>Group ID:</w:t>
      </w:r>
      <w:r>
        <w:t xml:space="preserve"> group-d39860cc0cc2fac0b941</w:t>
      </w:r>
    </w:p>
    <w:p>
      <w:pPr>
        <w:pStyle w:val="SourceNote"/>
      </w:pPr>
      <w:r>
        <w:rPr>
          <w:b/>
        </w:rPr>
        <w:t>Original source:</w:t>
      </w:r>
      <w:r>
        <w:t xml:space="preserve"> https://doi.org/10.1183/09031936.00074712</w:t>
      </w:r>
    </w:p>
    <w:p>
      <w:pPr/>
      <w:r>
        <w:rPr>
          <w:b/>
        </w:rPr>
        <w:t>Original future claim:</w:t>
      </w:r>
      <w:r>
        <w:t xml:space="preserve"> 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r>
        <w:rPr>
          <w:b/>
        </w:rPr>
        <w:t>Later source:</w:t>
      </w:r>
      <w:r>
        <w:t xml:space="preserve"> The temperature increase due to climate change will not favour Cydalima perspectalis in southern Europe — https://doi.org/10.1017/s0007485326100911</w:t>
      </w:r>
    </w:p>
    <w:p>
      <w:pPr/>
      <w:r>
        <w:rPr>
          <w:b/>
        </w:rPr>
        <w:t>Later source:</w:t>
      </w:r>
      <w:r>
        <w:t xml:space="preserve"> The obstacles and changes in Sino-European trade routes in the twenty-first century due to climate change and geopolitical risks — https://doi.org/10.1057/s41599-026-08607-9</w:t>
      </w:r>
    </w:p>
    <w:p>
      <w:pPr>
        <w:pStyle w:val="SourceNote"/>
      </w:pPr>
      <w:r>
        <w:rPr>
          <w:b/>
        </w:rPr>
        <w:t>Review status:</w:t>
      </w:r>
      <w:r>
        <w:t xml:space="preserve"> unchecked — possible relationship only</w:t>
      </w:r>
    </w:p>
    <w:p>
      <w:pPr>
        <w:pStyle w:val="Heading2"/>
      </w:pPr>
      <w:r>
        <w:t>398. Claim + two later sources: Implementation of the 2030 sustainable development goals - affordable and clean energy in the European Union</w:t>
      </w:r>
    </w:p>
    <w:p>
      <w:pPr>
        <w:pStyle w:val="SourceNote"/>
      </w:pPr>
      <w:r>
        <w:rPr>
          <w:b/>
        </w:rPr>
        <w:t>Group ID:</w:t>
      </w:r>
      <w:r>
        <w:t xml:space="preserve"> group-928349f901f4ce41d5f5</w:t>
      </w:r>
    </w:p>
    <w:p>
      <w:pPr>
        <w:pStyle w:val="SourceNote"/>
      </w:pPr>
      <w:r>
        <w:rPr>
          <w:b/>
        </w:rPr>
        <w:t>Original source:</w:t>
      </w:r>
      <w:r>
        <w:t xml:space="preserve"> https://doi.org/10.1088/1755-1315/906/1/012017</w:t>
      </w:r>
    </w:p>
    <w:p>
      <w:pPr/>
      <w:r>
        <w:rPr>
          <w:b/>
        </w:rPr>
        <w:t>Original future claim:</w:t>
      </w:r>
      <w:r>
        <w:t xml:space="preserve"> In order to be able to predict how the analysed phenomena will develop until 2030, the authors built forecasts. They also allowed the designation of scenarios for the potential development of the analysed indicators.</w:t>
      </w:r>
    </w:p>
    <w:p>
      <w:pPr/>
      <w:r>
        <w:rPr>
          <w:b/>
        </w:rPr>
        <w:t>Later source:</w:t>
      </w:r>
      <w:r>
        <w:t xml:space="preserve"> The Republic of Moldova financial system adjustment to the european monetary order — https://doi.org/10.53486/mfsne2024.02</w:t>
      </w:r>
    </w:p>
    <w:p>
      <w:pPr/>
      <w:r>
        <w:rPr>
          <w:b/>
        </w:rPr>
        <w:t>Later source:</w:t>
      </w:r>
      <w:r>
        <w:t xml:space="preserve"> The European protection order: the question of a predictive toolkit for the protection of victims of criminal offences — https://doi.org/10.24144/2788-6018.2024.02.109</w:t>
      </w:r>
    </w:p>
    <w:p>
      <w:pPr>
        <w:pStyle w:val="SourceNote"/>
      </w:pPr>
      <w:r>
        <w:rPr>
          <w:b/>
        </w:rPr>
        <w:t>Review status:</w:t>
      </w:r>
      <w:r>
        <w:t xml:space="preserve"> unchecked — possible relationship only</w:t>
      </w:r>
    </w:p>
    <w:p>
      <w:pPr>
        <w:pStyle w:val="Heading2"/>
      </w:pPr>
      <w:r>
        <w:t>399. Claim + two later sources: Focused Futures from Finland</w:t>
      </w:r>
    </w:p>
    <w:p>
      <w:pPr>
        <w:pStyle w:val="SourceNote"/>
      </w:pPr>
      <w:r>
        <w:rPr>
          <w:b/>
        </w:rPr>
        <w:t>Group ID:</w:t>
      </w:r>
      <w:r>
        <w:t xml:space="preserve"> group-63798fc50f16fc4d3793</w:t>
      </w:r>
    </w:p>
    <w:p>
      <w:pPr>
        <w:pStyle w:val="SourceNote"/>
      </w:pPr>
      <w:r>
        <w:rPr>
          <w:b/>
        </w:rPr>
        <w:t>Original source:</w:t>
      </w:r>
      <w:r>
        <w:t xml:space="preserve"> https://doi.org/10.1177/1946756718754847</w:t>
      </w:r>
    </w:p>
    <w:p>
      <w:pPr/>
      <w:r>
        <w:rPr>
          <w:b/>
        </w:rPr>
        <w:t>Original future claim:</w:t>
      </w:r>
      <w:r>
        <w:t xml:space="preserve"> At the end of the article, we present four scenarios of the future of the FFRC jointly made by the staff.</w:t>
      </w:r>
    </w:p>
    <w:p>
      <w:pPr/>
      <w:r>
        <w:rPr>
          <w:b/>
        </w:rPr>
        <w:t>Later source:</w:t>
      </w:r>
      <w:r>
        <w:t xml:space="preserve"> European Union Litigation — https://doi.org/10.1515/ercl-2022-2038</w:t>
      </w:r>
    </w:p>
    <w:p>
      <w:pPr/>
      <w:r>
        <w:rPr>
          <w:b/>
        </w:rPr>
        <w:t>Later source:</w:t>
      </w:r>
      <w:r>
        <w:t xml:space="preserve"> Slavonic and East European Review, 1922–2022 — https://doi.org/10.1353/see.2022.0000</w:t>
      </w:r>
    </w:p>
    <w:p>
      <w:pPr>
        <w:pStyle w:val="SourceNote"/>
      </w:pPr>
      <w:r>
        <w:rPr>
          <w:b/>
        </w:rPr>
        <w:t>Review status:</w:t>
      </w:r>
      <w:r>
        <w:t xml:space="preserve"> unchecked — possible relationship only</w:t>
      </w:r>
    </w:p>
    <w:p>
      <w:pPr>
        <w:pStyle w:val="Heading2"/>
      </w:pPr>
      <w:r>
        <w:t>400. Claim + two later sources: On the Future(s) of Energy Communities in the German Energy Transition: A Derivation of Transformation Pathways</w:t>
      </w:r>
    </w:p>
    <w:p>
      <w:pPr>
        <w:pStyle w:val="SourceNote"/>
      </w:pPr>
      <w:r>
        <w:rPr>
          <w:b/>
        </w:rPr>
        <w:t>Group ID:</w:t>
      </w:r>
      <w:r>
        <w:t xml:space="preserve"> group-cf55f87a8e83f2b1b53e</w:t>
      </w:r>
    </w:p>
    <w:p>
      <w:pPr>
        <w:pStyle w:val="SourceNote"/>
      </w:pPr>
      <w:r>
        <w:rPr>
          <w:b/>
        </w:rPr>
        <w:t>Original source:</w:t>
      </w:r>
      <w:r>
        <w:t xml:space="preserve"> https://doi.org/10.3390/su14063169</w:t>
      </w:r>
    </w:p>
    <w:p>
      <w:pPr/>
      <w:r>
        <w:rPr>
          <w:b/>
        </w:rPr>
        <w:t>Original future claim:</w:t>
      </w:r>
      <w:r>
        <w:t xml:space="preserve"> 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r>
        <w:rPr>
          <w:b/>
        </w:rPr>
        <w:t>Later source:</w:t>
      </w:r>
      <w:r>
        <w:t xml:space="preserve"> “I haven't thought about it before”: STEM researchers' views on decolonization with examples from Canada, Europe and New Zealand — https://doi.org/10.1108/edi-12-2024-0592</w:t>
      </w:r>
    </w:p>
    <w:p>
      <w:pPr/>
      <w:r>
        <w:rPr>
          <w:b/>
        </w:rPr>
        <w:t>Later source:</w:t>
      </w:r>
      <w:r>
        <w:t xml:space="preserve"> The Changing Liberal World Order : Transatlantic Relations, Europe and Central Europe — https://openalex.org/W7213382557</w:t>
      </w:r>
    </w:p>
    <w:p>
      <w:pPr>
        <w:pStyle w:val="SourceNote"/>
      </w:pPr>
      <w:r>
        <w:rPr>
          <w:b/>
        </w:rPr>
        <w:t>Review status:</w:t>
      </w:r>
      <w:r>
        <w:t xml:space="preserve"> unchecked — possible relationship only</w:t>
      </w:r>
    </w:p>
    <w:p>
      <w:pPr>
        <w:pStyle w:val="Heading2"/>
      </w:pPr>
      <w:r>
        <w:t>401. Claim + two later sources: Strategic European Integration Scenarios of Ukrainian and Polish Research, Education and Innovation Spaces</w:t>
      </w:r>
    </w:p>
    <w:p>
      <w:pPr>
        <w:pStyle w:val="SourceNote"/>
      </w:pPr>
      <w:r>
        <w:rPr>
          <w:b/>
        </w:rPr>
        <w:t>Group ID:</w:t>
      </w:r>
      <w:r>
        <w:t xml:space="preserve"> group-884808562de8db5bb33f</w:t>
      </w:r>
    </w:p>
    <w:p>
      <w:pPr>
        <w:pStyle w:val="SourceNote"/>
      </w:pPr>
      <w:r>
        <w:rPr>
          <w:b/>
        </w:rPr>
        <w:t>Original source:</w:t>
      </w:r>
      <w:r>
        <w:t xml:space="preserve"> https://doi.org/10.34021/ve.2021.04.02(1)</w:t>
      </w:r>
    </w:p>
    <w:p>
      <w:pPr/>
      <w:r>
        <w:rPr>
          <w:b/>
        </w:rPr>
        <w:t>Original future claim:</w:t>
      </w:r>
      <w:r>
        <w:t xml:space="preserve"> 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r>
        <w:rPr>
          <w:b/>
        </w:rPr>
        <w:t>Later source:</w:t>
      </w:r>
      <w:r>
        <w:t xml:space="preserve"> The enrichment of post-growth future alternatives for Europe using an online integral foresight methodology — https://doi.org/10.1186/s40309-026-00282-y</w:t>
      </w:r>
    </w:p>
    <w:p>
      <w:pPr/>
      <w:r>
        <w:rPr>
          <w:b/>
        </w:rPr>
        <w:t>Later source:</w:t>
      </w:r>
      <w:r>
        <w:t xml:space="preserve"> Foresight study for addressing megatrends in information and communication technology (ICT) — https://doi.org/10.1186/s13731-025-00466-z</w:t>
      </w:r>
    </w:p>
    <w:p>
      <w:pPr>
        <w:pStyle w:val="SourceNote"/>
      </w:pPr>
      <w:r>
        <w:rPr>
          <w:b/>
        </w:rPr>
        <w:t>Review status:</w:t>
      </w:r>
      <w:r>
        <w:t xml:space="preserve"> unchecked — possible relationship only</w:t>
      </w:r>
    </w:p>
    <w:p>
      <w:pPr>
        <w:pStyle w:val="Heading2"/>
      </w:pPr>
      <w:r>
        <w:t>402. Claim + two later sources: A new approach on renewable energy as a support for regional economic development among the European Union</w:t>
      </w:r>
    </w:p>
    <w:p>
      <w:pPr>
        <w:pStyle w:val="SourceNote"/>
      </w:pPr>
      <w:r>
        <w:rPr>
          <w:b/>
        </w:rPr>
        <w:t>Group ID:</w:t>
      </w:r>
      <w:r>
        <w:t xml:space="preserve"> group-032779807a1a03249143</w:t>
      </w:r>
    </w:p>
    <w:p>
      <w:pPr>
        <w:pStyle w:val="SourceNote"/>
      </w:pPr>
      <w:r>
        <w:rPr>
          <w:b/>
        </w:rPr>
        <w:t>Original source:</w:t>
      </w:r>
      <w:r>
        <w:t xml:space="preserve"> https://doi.org/10.1016/j.techfore.2022.121998</w:t>
      </w:r>
    </w:p>
    <w:p>
      <w:pPr/>
      <w:r>
        <w:rPr>
          <w:b/>
        </w:rPr>
        <w:t>Original future claim:</w:t>
      </w:r>
      <w:r>
        <w:t xml:space="preserve"> 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r>
        <w:rPr>
          <w:b/>
        </w:rPr>
        <w:t>Later source:</w:t>
      </w:r>
      <w:r>
        <w:t xml:space="preserve"> Environmental performance and institutions quality in Europe: A Bayesian model averaging approach — https://doi.org/10.1016/j.najef.2026.102591</w:t>
      </w:r>
    </w:p>
    <w:p>
      <w:pPr/>
      <w:r>
        <w:rPr>
          <w:b/>
        </w:rPr>
        <w:t>Later source:</w:t>
      </w:r>
      <w:r>
        <w:t xml:space="preserve"> Measuring Governance-Enabled Sustainability in Central and Eastern Europe: Development of a Corporate Governance–Sustainability Index (CGSI–CEE) — https://doi.org/10.3390/su18073350</w:t>
      </w:r>
    </w:p>
    <w:p>
      <w:pPr>
        <w:pStyle w:val="SourceNote"/>
      </w:pPr>
      <w:r>
        <w:rPr>
          <w:b/>
        </w:rPr>
        <w:t>Review status:</w:t>
      </w:r>
      <w:r>
        <w:t xml:space="preserve"> unchecked — possible relationship only</w:t>
      </w:r>
    </w:p>
    <w:p>
      <w:pPr>
        <w:pStyle w:val="Heading2"/>
      </w:pPr>
      <w:r>
        <w:t>403. Claim + two later sources: Foresighting addiction and lifestyles in Europe 2030+</w:t>
      </w:r>
    </w:p>
    <w:p>
      <w:pPr>
        <w:pStyle w:val="SourceNote"/>
      </w:pPr>
      <w:r>
        <w:rPr>
          <w:b/>
        </w:rPr>
        <w:t>Group ID:</w:t>
      </w:r>
      <w:r>
        <w:t xml:space="preserve"> group-4e7fb4a2f52c8f599c88</w:t>
      </w:r>
    </w:p>
    <w:p>
      <w:pPr>
        <w:pStyle w:val="SourceNote"/>
      </w:pPr>
      <w:r>
        <w:rPr>
          <w:b/>
        </w:rPr>
        <w:t>Original source:</w:t>
      </w:r>
      <w:r>
        <w:t xml:space="preserve"> https://doi.org/10.1007/s40309-013-0019-0</w:t>
      </w:r>
    </w:p>
    <w:p>
      <w:pPr/>
      <w:r>
        <w:rPr>
          <w:b/>
        </w:rPr>
        <w:t>Original future claim:</w:t>
      </w:r>
      <w:r>
        <w:t xml:space="preserve"> 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r>
        <w:rPr>
          <w:b/>
        </w:rPr>
        <w:t>Later source:</w:t>
      </w:r>
      <w:r>
        <w:t xml:space="preserve"> The Horizon Europe CRM-geothermal project: Deliverable 6.7 – Clustering Network Map. — https://doi.org/10.5281/zenodo.19929926</w:t>
      </w:r>
    </w:p>
    <w:p>
      <w:pPr/>
      <w:r>
        <w:rPr>
          <w:b/>
        </w:rPr>
        <w:t>Later source:</w:t>
      </w:r>
      <w:r>
        <w:t xml:space="preserve"> Animal board invited review: A biocultural perspective of animal farming systems in Europe — https://doi.org/10.1016/j.animal.2025.101515</w:t>
      </w:r>
    </w:p>
    <w:p>
      <w:pPr>
        <w:pStyle w:val="SourceNote"/>
      </w:pPr>
      <w:r>
        <w:rPr>
          <w:b/>
        </w:rPr>
        <w:t>Review status:</w:t>
      </w:r>
      <w:r>
        <w:t xml:space="preserve"> unchecked — possible relationship only</w:t>
      </w:r>
    </w:p>
    <w:p>
      <w:pPr>
        <w:pStyle w:val="Heading2"/>
      </w:pPr>
      <w:r>
        <w:t>404. Claim + two later sources: The Future of Internationalization of Higher Education in Europe</w:t>
      </w:r>
    </w:p>
    <w:p>
      <w:pPr>
        <w:pStyle w:val="SourceNote"/>
      </w:pPr>
      <w:r>
        <w:rPr>
          <w:b/>
        </w:rPr>
        <w:t>Group ID:</w:t>
      </w:r>
      <w:r>
        <w:t xml:space="preserve"> group-a729b5540d78bf7eca7a</w:t>
      </w:r>
    </w:p>
    <w:p>
      <w:pPr>
        <w:pStyle w:val="SourceNote"/>
      </w:pPr>
      <w:r>
        <w:rPr>
          <w:b/>
        </w:rPr>
        <w:t>Original source:</w:t>
      </w:r>
      <w:r>
        <w:t xml:space="preserve"> https://doi.org/10.6017/ihe.2015.83.9073</w:t>
      </w:r>
    </w:p>
    <w:p>
      <w:pPr/>
      <w:r>
        <w:rPr>
          <w:b/>
        </w:rPr>
        <w:t>Original future claim:</w:t>
      </w:r>
      <w:r>
        <w:t xml:space="preserve"> 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r>
        <w:rPr>
          <w:b/>
        </w:rPr>
        <w:t>Later source:</w:t>
      </w:r>
      <w:r>
        <w:t xml:space="preserve"> Conceptualizing ‘quality of education’: an analysis of European political documents on education — https://doi.org/10.3389/feduc.2025.1463412</w:t>
      </w:r>
    </w:p>
    <w:p>
      <w:pPr/>
      <w:r>
        <w:rPr>
          <w:b/>
        </w:rPr>
        <w:t>Later source:</w:t>
      </w:r>
      <w:r>
        <w:t xml:space="preserve"> Regional Pathways to Internationalization: The Role of Erasmus+ in European HEIs — https://doi.org/10.3390/urbansci9050144</w:t>
      </w:r>
    </w:p>
    <w:p>
      <w:pPr>
        <w:pStyle w:val="SourceNote"/>
      </w:pPr>
      <w:r>
        <w:rPr>
          <w:b/>
        </w:rPr>
        <w:t>Review status:</w:t>
      </w:r>
      <w:r>
        <w:t xml:space="preserve"> unchecked — possible relationship only</w:t>
      </w:r>
    </w:p>
    <w:p>
      <w:pPr>
        <w:pStyle w:val="Heading2"/>
      </w:pPr>
      <w:r>
        <w:t>405. Claim + two later sources: Situational analysis of EU renewable energy legislation</w:t>
      </w:r>
    </w:p>
    <w:p>
      <w:pPr>
        <w:pStyle w:val="SourceNote"/>
      </w:pPr>
      <w:r>
        <w:rPr>
          <w:b/>
        </w:rPr>
        <w:t>Group ID:</w:t>
      </w:r>
      <w:r>
        <w:t xml:space="preserve"> group-876d63a10b1cfe7b8e45</w:t>
      </w:r>
    </w:p>
    <w:p>
      <w:pPr>
        <w:pStyle w:val="SourceNote"/>
      </w:pPr>
      <w:r>
        <w:rPr>
          <w:b/>
        </w:rPr>
        <w:t>Original source:</w:t>
      </w:r>
      <w:r>
        <w:t xml:space="preserve"> https://doi.org/10.1080/14693062.2015.1135412</w:t>
      </w:r>
    </w:p>
    <w:p>
      <w:pPr/>
      <w:r>
        <w:rPr>
          <w:b/>
        </w:rPr>
        <w:t>Original future claim:</w:t>
      </w:r>
      <w:r>
        <w:t xml:space="preserve"> 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r>
        <w:rPr>
          <w:b/>
        </w:rPr>
        <w:t>Later source:</w:t>
      </w:r>
      <w:r>
        <w:t xml:space="preserve"> Scenario-Building Papers for Europe 2030 - INTERNAL AND EXTERNAL DYNAMICS OF EUROPEAN INTEGRATION (DEBUE). — https://doi.org/10.5281/zenodo.17566447</w:t>
      </w:r>
    </w:p>
    <w:p>
      <w:pPr/>
      <w:r>
        <w:rPr>
          <w:b/>
        </w:rPr>
        <w:t>Later source:</w:t>
      </w:r>
      <w:r>
        <w:t xml:space="preserve"> Climate Policy Priorities for the Next European Commission — https://openalex.org/W4392885355</w:t>
      </w:r>
    </w:p>
    <w:p>
      <w:pPr>
        <w:pStyle w:val="SourceNote"/>
      </w:pPr>
      <w:r>
        <w:rPr>
          <w:b/>
        </w:rPr>
        <w:t>Review status:</w:t>
      </w:r>
      <w:r>
        <w:t xml:space="preserve"> unchecked — possible relationship only</w:t>
      </w:r>
    </w:p>
    <w:p>
      <w:pPr>
        <w:pStyle w:val="Heading2"/>
      </w:pPr>
      <w:r>
        <w:t>406. Claim + two later sources: Future transitions for the Bioeconomy towards Sustainable Development and a Climate-Neutral Economy - Knowledge Synthesis Final Report: WP1 - Knowledge synthesis and foresight</w:t>
      </w:r>
    </w:p>
    <w:p>
      <w:pPr>
        <w:pStyle w:val="SourceNote"/>
      </w:pPr>
      <w:r>
        <w:rPr>
          <w:b/>
        </w:rPr>
        <w:t>Group ID:</w:t>
      </w:r>
      <w:r>
        <w:t xml:space="preserve"> group-5517519dbb02d5c94d50</w:t>
      </w:r>
    </w:p>
    <w:p>
      <w:pPr>
        <w:pStyle w:val="SourceNote"/>
      </w:pPr>
      <w:r>
        <w:rPr>
          <w:b/>
        </w:rPr>
        <w:t>Original source:</w:t>
      </w:r>
      <w:r>
        <w:t xml:space="preserve"> https://doi.org/10.2760/667966</w:t>
      </w:r>
    </w:p>
    <w:p>
      <w:pPr/>
      <w:r>
        <w:rPr>
          <w:b/>
        </w:rPr>
        <w:t>Original future claim:</w:t>
      </w:r>
      <w:r>
        <w:t xml:space="preserve"> 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r>
        <w:rPr>
          <w:b/>
        </w:rPr>
        <w:t>Later source:</w:t>
      </w:r>
      <w:r>
        <w:t xml:space="preserve"> Left, right, or buy green? Political ideology and sustainable consumption in Europe — https://doi.org/10.9770/w3992782679</w:t>
      </w:r>
    </w:p>
    <w:p>
      <w:pPr/>
      <w:r>
        <w:rPr>
          <w:b/>
        </w:rPr>
        <w:t>Later source:</w:t>
      </w:r>
      <w:r>
        <w:t xml:space="preserve"> D6.4 European Citizen Science sustainability and exploitation plan — https://doi.org/10.5281/zenodo.20490032</w:t>
      </w:r>
    </w:p>
    <w:p>
      <w:pPr>
        <w:pStyle w:val="SourceNote"/>
      </w:pPr>
      <w:r>
        <w:rPr>
          <w:b/>
        </w:rPr>
        <w:t>Review status:</w:t>
      </w:r>
      <w:r>
        <w:t xml:space="preserve"> unchecked — possible relationship only</w:t>
      </w:r>
    </w:p>
    <w:p>
      <w:pPr>
        <w:pStyle w:val="Heading2"/>
      </w:pPr>
      <w:r>
        <w:t>407. Claim + two later sources: Grassland futures in Great Britain – Productivity assessment and scenarios for land use change opportunities</w:t>
      </w:r>
    </w:p>
    <w:p>
      <w:pPr>
        <w:pStyle w:val="SourceNote"/>
      </w:pPr>
      <w:r>
        <w:rPr>
          <w:b/>
        </w:rPr>
        <w:t>Group ID:</w:t>
      </w:r>
      <w:r>
        <w:t xml:space="preserve"> group-6c3a7e893d5b49cbbe62</w:t>
      </w:r>
    </w:p>
    <w:p>
      <w:pPr>
        <w:pStyle w:val="SourceNote"/>
      </w:pPr>
      <w:r>
        <w:rPr>
          <w:b/>
        </w:rPr>
        <w:t>Original source:</w:t>
      </w:r>
      <w:r>
        <w:t xml:space="preserve"> https://doi.org/10.1016/j.scitotenv.2018.03.395</w:t>
      </w:r>
    </w:p>
    <w:p>
      <w:pPr/>
      <w:r>
        <w:rPr>
          <w:b/>
        </w:rPr>
        <w:t>Original future claim:</w:t>
      </w:r>
      <w:r>
        <w:t xml:space="preserve"> 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r>
        <w:rPr>
          <w:b/>
        </w:rPr>
        <w:t>Later source:</w:t>
      </w:r>
      <w:r>
        <w:t xml:space="preserve"> Atmospheric methane removal as a third climate intervention: termination risks and air pollutant effects — https://doi.org/10.1038/s44168-026-00398-8</w:t>
      </w:r>
    </w:p>
    <w:p>
      <w:pPr/>
      <w:r>
        <w:rPr>
          <w:b/>
        </w:rPr>
        <w:t>Later source:</w:t>
      </w:r>
      <w:r>
        <w:t xml:space="preserve"> Climate Change Effects and Mechanisms on Nutritional Quality and Technological Performance of Major Agri-Food Products: A Critical Review — https://doi.org/10.1080/87559129.2026.2713621</w:t>
      </w:r>
    </w:p>
    <w:p>
      <w:pPr>
        <w:pStyle w:val="SourceNote"/>
      </w:pPr>
      <w:r>
        <w:rPr>
          <w:b/>
        </w:rPr>
        <w:t>Review status:</w:t>
      </w:r>
      <w:r>
        <w:t xml:space="preserve"> unchecked — possible relationship only</w:t>
      </w:r>
    </w:p>
    <w:p>
      <w:pPr>
        <w:pStyle w:val="Heading2"/>
      </w:pPr>
      <w:r>
        <w:t>408. Claim + two later sources: Demographic change and the European income distribution</w:t>
      </w:r>
    </w:p>
    <w:p>
      <w:pPr>
        <w:pStyle w:val="SourceNote"/>
      </w:pPr>
      <w:r>
        <w:rPr>
          <w:b/>
        </w:rPr>
        <w:t>Group ID:</w:t>
      </w:r>
      <w:r>
        <w:t xml:space="preserve"> group-319fe364a450ceb2f516</w:t>
      </w:r>
    </w:p>
    <w:p>
      <w:pPr>
        <w:pStyle w:val="SourceNote"/>
      </w:pPr>
      <w:r>
        <w:rPr>
          <w:b/>
        </w:rPr>
        <w:t>Original source:</w:t>
      </w:r>
      <w:r>
        <w:t xml:space="preserve"> https://doi.org/10.1007/s10888-019-09411-z</w:t>
      </w:r>
    </w:p>
    <w:p>
      <w:pPr/>
      <w:r>
        <w:rPr>
          <w:b/>
        </w:rPr>
        <w:t>Original future claim:</w:t>
      </w:r>
      <w:r>
        <w:t xml:space="preserve"> 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r>
        <w:rPr>
          <w:b/>
        </w:rPr>
        <w:t>Later source:</w:t>
      </w:r>
      <w:r>
        <w:t xml:space="preserve"> The interplay of climate change, urbanization, and species traits shapes European butterfly population trends — https://doi.org/10.1101/2025.02.13.638066</w:t>
      </w:r>
    </w:p>
    <w:p>
      <w:pPr/>
      <w:r>
        <w:rPr>
          <w:b/>
        </w:rPr>
        <w:t>Later source:</w:t>
      </w:r>
      <w:r>
        <w:t xml:space="preserve"> Assessing the impact of factors on Vietnam's key seafood product exports: A case study of the European Union market — https://doi.org/10.71374/jfar.v25.i1.27</w:t>
      </w:r>
    </w:p>
    <w:p>
      <w:pPr>
        <w:pStyle w:val="SourceNote"/>
      </w:pPr>
      <w:r>
        <w:rPr>
          <w:b/>
        </w:rPr>
        <w:t>Review status:</w:t>
      </w:r>
      <w:r>
        <w:t xml:space="preserve"> unchecked — possible relationship only</w:t>
      </w:r>
    </w:p>
    <w:p>
      <w:pPr>
        <w:pStyle w:val="Heading2"/>
      </w:pPr>
      <w:r>
        <w:t>409. Claim + two later sources: A decision support system to find the best water allocation strategies in a Mediterranean river basin in future scenarios of global change</w:t>
      </w:r>
    </w:p>
    <w:p>
      <w:pPr>
        <w:pStyle w:val="SourceNote"/>
      </w:pPr>
      <w:r>
        <w:rPr>
          <w:b/>
        </w:rPr>
        <w:t>Group ID:</w:t>
      </w:r>
      <w:r>
        <w:t xml:space="preserve"> group-7be4f631ad6d1a4cfc99</w:t>
      </w:r>
    </w:p>
    <w:p>
      <w:pPr>
        <w:pStyle w:val="SourceNote"/>
      </w:pPr>
      <w:r>
        <w:rPr>
          <w:b/>
        </w:rPr>
        <w:t>Original source:</w:t>
      </w:r>
      <w:r>
        <w:t xml:space="preserve"> https://doi.org/10.1080/0952813x.2015.1024493</w:t>
      </w:r>
    </w:p>
    <w:p>
      <w:pPr/>
      <w:r>
        <w:rPr>
          <w:b/>
        </w:rPr>
        <w:t>Original future claim:</w:t>
      </w:r>
      <w:r>
        <w:t xml:space="preserve"> Several scenarios have been constructed to evaluate different sectorial water allocation policies to mitigate the water scarcity induced by global change.</w:t>
      </w:r>
    </w:p>
    <w:p>
      <w:pPr/>
      <w:r>
        <w:rPr>
          <w:b/>
        </w:rPr>
        <w:t>Later source:</w:t>
      </w:r>
      <w:r>
        <w:t xml:space="preserve"> Make Any Collection Navigable: Methods for Constructing and Evaluating Hypergraph of Text — https://doi.org/10.48550/arxiv.2604.25906</w:t>
      </w:r>
    </w:p>
    <w:p>
      <w:pPr/>
      <w:r>
        <w:rPr>
          <w:b/>
        </w:rPr>
        <w:t>Later source:</w:t>
      </w:r>
      <w:r>
        <w:t xml:space="preserve"> Understanding and addressing the water footprint in the textile sector: A review — https://doi.org/10.1515/aut-2024-0004</w:t>
      </w:r>
    </w:p>
    <w:p>
      <w:pPr>
        <w:pStyle w:val="SourceNote"/>
      </w:pPr>
      <w:r>
        <w:rPr>
          <w:b/>
        </w:rPr>
        <w:t>Review status:</w:t>
      </w:r>
      <w:r>
        <w:t xml:space="preserve"> unchecked — possible relationship only</w:t>
      </w:r>
    </w:p>
    <w:p>
      <w:pPr>
        <w:pStyle w:val="Heading2"/>
      </w:pPr>
      <w:r>
        <w:t>410. Claim + two later sources: GLOBAL FORECAST OF US NATIONAL INTELLIGENCE COUNCIL</w:t>
      </w:r>
    </w:p>
    <w:p>
      <w:pPr>
        <w:pStyle w:val="SourceNote"/>
      </w:pPr>
      <w:r>
        <w:rPr>
          <w:b/>
        </w:rPr>
        <w:t>Group ID:</w:t>
      </w:r>
      <w:r>
        <w:t xml:space="preserve"> group-015127fb86d395a31d95</w:t>
      </w:r>
    </w:p>
    <w:p>
      <w:pPr>
        <w:pStyle w:val="SourceNote"/>
      </w:pPr>
      <w:r>
        <w:rPr>
          <w:b/>
        </w:rPr>
        <w:t>Original source:</w:t>
      </w:r>
      <w:r>
        <w:t xml:space="preserve"> https://doi.org/10.20542/0131-2227-2016-60-11-5-13</w:t>
      </w:r>
    </w:p>
    <w:p>
      <w:pPr/>
      <w:r>
        <w:rPr>
          <w:b/>
        </w:rPr>
        <w:t>Original future claim:</w:t>
      </w:r>
      <w:r>
        <w:t xml:space="preserve"> The paper gives an analysis of the background, main trends, scenarios and factors of the long-term development of the world till 2030 which are exposed in forecasts of the National Intelligence Council (NIC) in its report of 2012.</w:t>
      </w:r>
    </w:p>
    <w:p>
      <w:pPr/>
      <w:r>
        <w:rPr>
          <w:b/>
        </w:rPr>
        <w:t>Later source:</w:t>
      </w:r>
      <w:r>
        <w:t xml:space="preserve"> Factors Influencing Long-term Home Care for Patients with Tracheostomy from the Perspectives of their Family Members — https://doi.org/10.4103/ijnmr.ijnmr_379_24</w:t>
      </w:r>
    </w:p>
    <w:p>
      <w:pPr/>
      <w:r>
        <w:rPr>
          <w:b/>
        </w:rPr>
        <w:t>Later source:</w:t>
      </w:r>
      <w:r>
        <w:t xml:space="preserve"> Factors Affecting Long-Term Outcomes for Patients with Inflammatory Bowel Disease—A Cross-Sectional Design — https://doi.org/10.3390/nursrep15070231</w:t>
      </w:r>
    </w:p>
    <w:p>
      <w:pPr>
        <w:pStyle w:val="SourceNote"/>
      </w:pPr>
      <w:r>
        <w:rPr>
          <w:b/>
        </w:rPr>
        <w:t>Review status:</w:t>
      </w:r>
      <w:r>
        <w:t xml:space="preserve"> unchecked — possible relationship only</w:t>
      </w:r>
    </w:p>
    <w:p>
      <w:pPr>
        <w:pStyle w:val="Heading2"/>
      </w:pPr>
      <w:r>
        <w:t>411. Claim + two later sources: Prediction of population with Alzheimer's disease in the European Union using a system dynamics model</w:t>
      </w:r>
    </w:p>
    <w:p>
      <w:pPr>
        <w:pStyle w:val="SourceNote"/>
      </w:pPr>
      <w:r>
        <w:rPr>
          <w:b/>
        </w:rPr>
        <w:t>Group ID:</w:t>
      </w:r>
      <w:r>
        <w:t xml:space="preserve"> group-ea216bbf5d396a75c1db</w:t>
      </w:r>
    </w:p>
    <w:p>
      <w:pPr>
        <w:pStyle w:val="SourceNote"/>
      </w:pPr>
      <w:r>
        <w:rPr>
          <w:b/>
        </w:rPr>
        <w:t>Original source:</w:t>
      </w:r>
      <w:r>
        <w:t xml:space="preserve"> https://doi.org/10.2147/ndt.s107969</w:t>
      </w:r>
    </w:p>
    <w:p>
      <w:pPr/>
      <w:r>
        <w:rPr>
          <w:b/>
        </w:rPr>
        <w:t>Original future claim:</w:t>
      </w:r>
      <w:r>
        <w:t xml:space="preserve"> In this research, population growth of the European Union (EU) until the year 2080 and the number of patients with AD are modeled.</w:t>
      </w:r>
    </w:p>
    <w:p>
      <w:pPr/>
      <w:r>
        <w:rPr>
          <w:b/>
        </w:rPr>
        <w:t>Later source:</w:t>
      </w:r>
      <w:r>
        <w:t xml:space="preserve"> Projected number of osteoarthritis patients in Austria for the next decades – quantifying the necessity of treatment and prevention strategies in Europe — https://doi.org/10.1186/s12891-022-05091-5</w:t>
      </w:r>
    </w:p>
    <w:p>
      <w:pPr/>
      <w:r>
        <w:rPr>
          <w:b/>
        </w:rPr>
        <w:t>Later source:</w:t>
      </w:r>
      <w:r>
        <w:t xml:space="preserve"> The finance-growth nexus in the age of financialisation: An empirical reassessment for the European Union countries — https://doi.org/10.2298/pan180927014b</w:t>
      </w:r>
    </w:p>
    <w:p>
      <w:pPr>
        <w:pStyle w:val="SourceNote"/>
      </w:pPr>
      <w:r>
        <w:rPr>
          <w:b/>
        </w:rPr>
        <w:t>Review status:</w:t>
      </w:r>
      <w:r>
        <w:t xml:space="preserve"> unchecked — possible relationship only</w:t>
      </w:r>
    </w:p>
    <w:p>
      <w:pPr>
        <w:pStyle w:val="Heading2"/>
      </w:pPr>
      <w:r>
        <w:t>412. Claim + two later sources: European atmosphere in 2050, a regional air quality and climate perspective under CMIP5 scenarios</w:t>
      </w:r>
    </w:p>
    <w:p>
      <w:pPr>
        <w:pStyle w:val="SourceNote"/>
      </w:pPr>
      <w:r>
        <w:rPr>
          <w:b/>
        </w:rPr>
        <w:t>Group ID:</w:t>
      </w:r>
      <w:r>
        <w:t xml:space="preserve"> group-1a9f66512272b271dc18</w:t>
      </w:r>
    </w:p>
    <w:p>
      <w:pPr>
        <w:pStyle w:val="SourceNote"/>
      </w:pPr>
      <w:r>
        <w:rPr>
          <w:b/>
        </w:rPr>
        <w:t>Original source:</w:t>
      </w:r>
      <w:r>
        <w:t xml:space="preserve"> https://doi.org/10.5194/acp-13-7451-2013</w:t>
      </w:r>
    </w:p>
    <w:p>
      <w:pPr/>
      <w:r>
        <w:rPr>
          <w:b/>
        </w:rPr>
        <w:t>Original future claim:</w:t>
      </w:r>
      <w:r>
        <w:t xml:space="preserve"> 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r>
        <w:rPr>
          <w:b/>
        </w:rPr>
        <w:t>Later source:</w:t>
      </w:r>
      <w:r>
        <w:t xml:space="preserve"> Climate &amp; Air Quality projections over Europe for 2030 and 2050 — https://openalex.org/W7213705154</w:t>
      </w:r>
    </w:p>
    <w:p>
      <w:pPr/>
      <w:r>
        <w:rPr>
          <w:b/>
        </w:rPr>
        <w:t>Later source:</w:t>
      </w:r>
      <w:r>
        <w:t xml:space="preserve"> Quantifying the Climate Penalty on Air Quality in Europe – Insights from INSPEnCaT Project — https://doi.org/10.5194/egusphere-egu25-17230</w:t>
      </w:r>
    </w:p>
    <w:p>
      <w:pPr>
        <w:pStyle w:val="SourceNote"/>
      </w:pPr>
      <w:r>
        <w:rPr>
          <w:b/>
        </w:rPr>
        <w:t>Review status:</w:t>
      </w:r>
      <w:r>
        <w:t xml:space="preserve"> accepted — possible relationship only</w:t>
      </w:r>
    </w:p>
    <w:p>
      <w:pPr>
        <w:pStyle w:val="Heading2"/>
      </w:pPr>
      <w:r>
        <w:t>413. Claim + two later sources: Improved Consistency of Climate Projections over Europe after Accounting for Atmospheric Circulation Variability</w:t>
      </w:r>
    </w:p>
    <w:p>
      <w:pPr>
        <w:pStyle w:val="SourceNote"/>
      </w:pPr>
      <w:r>
        <w:rPr>
          <w:b/>
        </w:rPr>
        <w:t>Group ID:</w:t>
      </w:r>
      <w:r>
        <w:t xml:space="preserve"> group-417b0cc41f81981a1cf1</w:t>
      </w:r>
    </w:p>
    <w:p>
      <w:pPr>
        <w:pStyle w:val="SourceNote"/>
      </w:pPr>
      <w:r>
        <w:rPr>
          <w:b/>
        </w:rPr>
        <w:t>Original source:</w:t>
      </w:r>
      <w:r>
        <w:t xml:space="preserve"> https://doi.org/10.1175/jcli-d-16-0695.1</w:t>
      </w:r>
    </w:p>
    <w:p>
      <w:pPr/>
      <w:r>
        <w:rPr>
          <w:b/>
        </w:rPr>
        <w:t>Original future claim:</w:t>
      </w:r>
      <w:r>
        <w:t xml:space="preserve"> 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r>
        <w:rPr>
          <w:b/>
        </w:rPr>
        <w:t>Later source:</w:t>
      </w:r>
      <w:r>
        <w:t xml:space="preserve"> Evaluating effects of the terrain on modelled winds in multiple atmospheric model datasets — https://doi.org/10.5194/wes-2026-24</w:t>
      </w:r>
    </w:p>
    <w:p>
      <w:pPr/>
      <w:r>
        <w:rPr>
          <w:b/>
        </w:rPr>
        <w:t>Later source:</w:t>
      </w:r>
      <w:r>
        <w:t xml:space="preserve"> Trends in short-term precipitation variability and their connection to atmospheric circulation — https://doi.org/10.5194/ems2026-287</w:t>
      </w:r>
    </w:p>
    <w:p>
      <w:pPr>
        <w:pStyle w:val="SourceNote"/>
      </w:pPr>
      <w:r>
        <w:rPr>
          <w:b/>
        </w:rPr>
        <w:t>Review status:</w:t>
      </w:r>
      <w:r>
        <w:t xml:space="preserve"> unchecked — possible relationship only</w:t>
      </w:r>
    </w:p>
    <w:p>
      <w:pPr>
        <w:pStyle w:val="Heading2"/>
      </w:pPr>
      <w:r>
        <w:t>414. Claim + two later sources: ‘Energy landscapes’: Meeting energy demands and human aspirations</w:t>
      </w:r>
    </w:p>
    <w:p>
      <w:pPr>
        <w:pStyle w:val="SourceNote"/>
      </w:pPr>
      <w:r>
        <w:rPr>
          <w:b/>
        </w:rPr>
        <w:t>Group ID:</w:t>
      </w:r>
      <w:r>
        <w:t xml:space="preserve"> group-1973f1ca1f715d4527dc</w:t>
      </w:r>
    </w:p>
    <w:p>
      <w:pPr>
        <w:pStyle w:val="SourceNote"/>
      </w:pPr>
      <w:r>
        <w:rPr>
          <w:b/>
        </w:rPr>
        <w:t>Original source:</w:t>
      </w:r>
      <w:r>
        <w:t xml:space="preserve"> https://doi.org/10.1016/j.biombioe.2012.11.022</w:t>
      </w:r>
    </w:p>
    <w:p>
      <w:pPr/>
      <w:r>
        <w:rPr>
          <w:b/>
        </w:rPr>
        <w:t>Original future claim:</w:t>
      </w:r>
      <w:r>
        <w:t xml:space="preserve"> A critical question considered in this article is whether a massive expansion in the use of biomass will allow us to construct future scenarios while repositioning the 'energy landscape' as an object of study.</w:t>
      </w:r>
    </w:p>
    <w:p>
      <w:pPr/>
      <w:r>
        <w:rPr>
          <w:b/>
        </w:rPr>
        <w:t>Later source:</w:t>
      </w:r>
      <w:r>
        <w:t xml:space="preserve"> The effects of critical questions on undergraduate students' argumentative writing — https://doi.org/10.58088/bfrb-jk48</w:t>
      </w:r>
    </w:p>
    <w:p>
      <w:pPr/>
      <w:r>
        <w:rPr>
          <w:b/>
        </w:rPr>
        <w:t>Later source:</w:t>
      </w:r>
      <w:r>
        <w:t xml:space="preserve"> Moduli space of logarithmic states in critical massive gravities — https://doi.org/10.1140/epjc/s10052-024-12614-y</w:t>
      </w:r>
    </w:p>
    <w:p>
      <w:pPr>
        <w:pStyle w:val="SourceNote"/>
      </w:pPr>
      <w:r>
        <w:rPr>
          <w:b/>
        </w:rPr>
        <w:t>Review status:</w:t>
      </w:r>
      <w:r>
        <w:t xml:space="preserve"> unchecked — possible relationship only</w:t>
      </w:r>
    </w:p>
    <w:p>
      <w:pPr>
        <w:pStyle w:val="Heading2"/>
      </w:pPr>
      <w:r>
        <w:t>415. Claim + two later sources: Energy futures as societal futures: Co-evolutionary scenarios linking futures of society and decarbonized energy systems in Switzerland 2050</w:t>
      </w:r>
    </w:p>
    <w:p>
      <w:pPr>
        <w:pStyle w:val="SourceNote"/>
      </w:pPr>
      <w:r>
        <w:rPr>
          <w:b/>
        </w:rPr>
        <w:t>Group ID:</w:t>
      </w:r>
      <w:r>
        <w:t xml:space="preserve"> group-130a7efbce1a7f028bf0</w:t>
      </w:r>
    </w:p>
    <w:p>
      <w:pPr>
        <w:pStyle w:val="SourceNote"/>
      </w:pPr>
      <w:r>
        <w:rPr>
          <w:b/>
        </w:rPr>
        <w:t>Original source:</w:t>
      </w:r>
      <w:r>
        <w:t xml:space="preserve"> https://doi.org/10.1016/j.futures.2022.102955</w:t>
      </w:r>
    </w:p>
    <w:p>
      <w:pPr/>
      <w:r>
        <w:rPr>
          <w:b/>
        </w:rPr>
        <w:t>Original future claim:</w:t>
      </w:r>
      <w:r>
        <w:t xml:space="preserve"> There is consensus that the global energy system will have to change substantially in the next decades to reach carbon neutrality. However, there are many visions of future energy systems and possible pathways leading to the corresponding futures.</w:t>
      </w:r>
    </w:p>
    <w:p>
      <w:pPr/>
      <w:r>
        <w:rPr>
          <w:b/>
        </w:rPr>
        <w:t>Later source:</w:t>
      </w:r>
      <w:r>
        <w:t xml:space="preserve"> How Global Peacebuilders Think: Policy Dialogue and System Change — https://openalex.org/W7139576235</w:t>
      </w:r>
    </w:p>
    <w:p>
      <w:pPr/>
      <w:r>
        <w:rPr>
          <w:b/>
        </w:rPr>
        <w:t>Later source:</w:t>
      </w:r>
      <w:r>
        <w:t xml:space="preserve"> Polyendocrine metabolic ovarian syndrome, the new name for polycystic ovary syndrome: a multistep global consensus process — https://doi.org/10.1016/s0140-6736(26)00717-8</w:t>
      </w:r>
    </w:p>
    <w:p>
      <w:pPr>
        <w:pStyle w:val="SourceNote"/>
      </w:pPr>
      <w:r>
        <w:rPr>
          <w:b/>
        </w:rPr>
        <w:t>Review status:</w:t>
      </w:r>
      <w:r>
        <w:t xml:space="preserve"> unchecked — possible relationship only</w:t>
      </w:r>
    </w:p>
    <w:p>
      <w:pPr>
        <w:pStyle w:val="Heading2"/>
      </w:pPr>
      <w:r>
        <w:t>416. Claim + two later sources: Imaginary scenarios: Literature and Democracy in Europe</w:t>
      </w:r>
    </w:p>
    <w:p>
      <w:pPr>
        <w:pStyle w:val="SourceNote"/>
      </w:pPr>
      <w:r>
        <w:rPr>
          <w:b/>
        </w:rPr>
        <w:t>Group ID:</w:t>
      </w:r>
      <w:r>
        <w:t xml:space="preserve"> group-5d48382378517574f6e8</w:t>
      </w:r>
    </w:p>
    <w:p>
      <w:pPr>
        <w:pStyle w:val="SourceNote"/>
      </w:pPr>
      <w:r>
        <w:rPr>
          <w:b/>
        </w:rPr>
        <w:t>Original source:</w:t>
      </w:r>
      <w:r>
        <w:t xml:space="preserve"> https://doi.org/10.25071/2369-7326.40256</w:t>
      </w:r>
    </w:p>
    <w:p>
      <w:pPr/>
      <w:r>
        <w:rPr>
          <w:b/>
        </w:rPr>
        <w:t>Original future claim:</w:t>
      </w:r>
      <w:r>
        <w:t xml:space="preserve"> 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r>
        <w:rPr>
          <w:b/>
        </w:rPr>
        <w:t>Later source:</w:t>
      </w:r>
      <w:r>
        <w:t xml:space="preserve"> European Constitutional Imaginaries — https://doi.org/10.1093/oso/9780192855480.003.0001</w:t>
      </w:r>
    </w:p>
    <w:p>
      <w:pPr/>
      <w:r>
        <w:rPr>
          <w:b/>
        </w:rPr>
        <w:t>Later source:</w:t>
      </w:r>
      <w:r>
        <w:t xml:space="preserve"> Towards the imaginary of collective prosperity in the European Union (EU): reorienting the corporation — https://doi.org/10.1017/elo.2023.5</w:t>
      </w:r>
    </w:p>
    <w:p>
      <w:pPr>
        <w:pStyle w:val="SourceNote"/>
      </w:pPr>
      <w:r>
        <w:rPr>
          <w:b/>
        </w:rPr>
        <w:t>Review status:</w:t>
      </w:r>
      <w:r>
        <w:t xml:space="preserve"> unchecked — possible relationship only</w:t>
      </w:r>
    </w:p>
    <w:p>
      <w:pPr>
        <w:pStyle w:val="Heading2"/>
      </w:pPr>
      <w:r>
        <w:t>417. Claim + two later sources: Possible Futures towards a Wood-Based Bioeconomy: A Scenario Analysis for Germany</w:t>
      </w:r>
    </w:p>
    <w:p>
      <w:pPr>
        <w:pStyle w:val="SourceNote"/>
      </w:pPr>
      <w:r>
        <w:rPr>
          <w:b/>
        </w:rPr>
        <w:t>Group ID:</w:t>
      </w:r>
      <w:r>
        <w:t xml:space="preserve"> group-2619dca9c337a527bd65</w:t>
      </w:r>
    </w:p>
    <w:p>
      <w:pPr>
        <w:pStyle w:val="SourceNote"/>
      </w:pPr>
      <w:r>
        <w:rPr>
          <w:b/>
        </w:rPr>
        <w:t>Original source:</w:t>
      </w:r>
      <w:r>
        <w:t xml:space="preserve"> https://doi.org/10.3390/su8010098</w:t>
      </w:r>
    </w:p>
    <w:p>
      <w:pPr/>
      <w:r>
        <w:rPr>
          <w:b/>
        </w:rPr>
        <w:t>Original future claim:</w:t>
      </w:r>
      <w:r>
        <w:t xml:space="preserve"> 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r>
        <w:rPr>
          <w:b/>
        </w:rPr>
        <w:t>Later source:</w:t>
      </w:r>
      <w:r>
        <w:t xml:space="preserve"> Economic Analysis of Fossil CO2 Emissions: A European Perspective on Sustainable Development — https://doi.org/10.3390/en18082106</w:t>
      </w:r>
    </w:p>
    <w:p>
      <w:pPr/>
      <w:r>
        <w:rPr>
          <w:b/>
        </w:rPr>
        <w:t>Later source:</w:t>
      </w:r>
      <w:r>
        <w:t xml:space="preserve"> What Factors Drive a Sustainable Energy Transition in Europe? A Data-Driven Exploration of Economic and Policy Influences — https://doi.org/10.22541/au.175883292.27456920/v1</w:t>
      </w:r>
    </w:p>
    <w:p>
      <w:pPr>
        <w:pStyle w:val="SourceNote"/>
      </w:pPr>
      <w:r>
        <w:rPr>
          <w:b/>
        </w:rPr>
        <w:t>Review status:</w:t>
      </w:r>
      <w:r>
        <w:t xml:space="preserve"> unchecked — possible relationship only</w:t>
      </w:r>
    </w:p>
    <w:p>
      <w:pPr>
        <w:pStyle w:val="Heading2"/>
      </w:pPr>
      <w:r>
        <w:t>418. Claim + two later sources: The Boundaries of Scientific Innovation in the EU Green Deal Context</w:t>
      </w:r>
    </w:p>
    <w:p>
      <w:pPr>
        <w:pStyle w:val="SourceNote"/>
      </w:pPr>
      <w:r>
        <w:rPr>
          <w:b/>
        </w:rPr>
        <w:t>Group ID:</w:t>
      </w:r>
      <w:r>
        <w:t xml:space="preserve"> group-cf147d869d2b5a3fe0f7</w:t>
      </w:r>
    </w:p>
    <w:p>
      <w:pPr>
        <w:pStyle w:val="SourceNote"/>
      </w:pPr>
      <w:r>
        <w:rPr>
          <w:b/>
        </w:rPr>
        <w:t>Original source:</w:t>
      </w:r>
      <w:r>
        <w:t xml:space="preserve"> https://doi.org/10.2478/rtuect-2022-0010</w:t>
      </w:r>
    </w:p>
    <w:p>
      <w:pPr/>
      <w:r>
        <w:rPr>
          <w:b/>
        </w:rPr>
        <w:t>Original future claim:</w:t>
      </w:r>
      <w:r>
        <w:t xml:space="preserve"> The European Union has frequently taken an active role in international climate policy by developing relevant strategies in as early as the nineties the last century, and today promoting an ambitious EU Green Deal to become climate neutral by 2050.</w:t>
      </w:r>
    </w:p>
    <w:p>
      <w:pPr/>
      <w:r>
        <w:rPr>
          <w:b/>
        </w:rPr>
        <w:t>Later source:</w:t>
      </w:r>
      <w:r>
        <w:t xml:space="preserve"> The European Union as a Political Hybrid — https://doi.org/10.1017/9781009682633.004</w:t>
      </w:r>
    </w:p>
    <w:p>
      <w:pPr/>
      <w:r>
        <w:rPr>
          <w:b/>
        </w:rPr>
        <w:t>Later source:</w:t>
      </w:r>
      <w:r>
        <w:t xml:space="preserve"> The Role of the Czech Republic in Redefining Central European Identity within the European Union — https://doi.org/10.36690/2674-5216-2026-1-54-66</w:t>
      </w:r>
    </w:p>
    <w:p>
      <w:pPr>
        <w:pStyle w:val="SourceNote"/>
      </w:pPr>
      <w:r>
        <w:rPr>
          <w:b/>
        </w:rPr>
        <w:t>Review status:</w:t>
      </w:r>
      <w:r>
        <w:t xml:space="preserve"> unchecked — possible relationship only</w:t>
      </w:r>
    </w:p>
    <w:p>
      <w:pPr>
        <w:pStyle w:val="Heading2"/>
      </w:pPr>
      <w:r>
        <w:t>419. Claim + two later sources: Neglected futures. Considering overlooked poverty in Europe</w:t>
      </w:r>
    </w:p>
    <w:p>
      <w:pPr>
        <w:pStyle w:val="SourceNote"/>
      </w:pPr>
      <w:r>
        <w:rPr>
          <w:b/>
        </w:rPr>
        <w:t>Group ID:</w:t>
      </w:r>
      <w:r>
        <w:t xml:space="preserve"> group-c64ae483b81caab1b31a</w:t>
      </w:r>
    </w:p>
    <w:p>
      <w:pPr>
        <w:pStyle w:val="SourceNote"/>
      </w:pPr>
      <w:r>
        <w:rPr>
          <w:b/>
        </w:rPr>
        <w:t>Original source:</w:t>
      </w:r>
      <w:r>
        <w:t xml:space="preserve"> https://doi.org/10.1007/s40309-014-0057-2</w:t>
      </w:r>
    </w:p>
    <w:p>
      <w:pPr/>
      <w:r>
        <w:rPr>
          <w:b/>
        </w:rPr>
        <w:t>Original future claim:</w:t>
      </w:r>
      <w:r>
        <w:t xml:space="preserve"> This fact poses a major challenge for future planning and the future of social policies.</w:t>
      </w:r>
    </w:p>
    <w:p>
      <w:pPr/>
      <w:r>
        <w:rPr>
          <w:b/>
        </w:rPr>
        <w:t>Later source:</w:t>
      </w:r>
      <w:r>
        <w:t xml:space="preserve"> An Analysis of the Municipal Waste Management of Romania and Bulgaria in the European Context — https://doi.org/10.61801/ouaess.2022.1.21</w:t>
      </w:r>
    </w:p>
    <w:p>
      <w:pPr/>
      <w:r>
        <w:rPr>
          <w:b/>
        </w:rPr>
        <w:t>Later source:</w:t>
      </w:r>
      <w:r>
        <w:t xml:space="preserve"> Dedicated versus mainstreaming approaches in local climate plans in Europe — https://doi.org/10.1016/j.rser.2019.05.014</w:t>
      </w:r>
    </w:p>
    <w:p>
      <w:pPr>
        <w:pStyle w:val="SourceNote"/>
      </w:pPr>
      <w:r>
        <w:rPr>
          <w:b/>
        </w:rPr>
        <w:t>Review status:</w:t>
      </w:r>
      <w:r>
        <w:t xml:space="preserve"> unchecked — possible relationship only</w:t>
      </w:r>
    </w:p>
    <w:p>
      <w:pPr>
        <w:pStyle w:val="Heading2"/>
      </w:pPr>
      <w:r>
        <w:t>420. Claim + two later sources: EUHFORIA: European heliospheric forecasting information asset</w:t>
      </w:r>
    </w:p>
    <w:p>
      <w:pPr>
        <w:pStyle w:val="SourceNote"/>
      </w:pPr>
      <w:r>
        <w:rPr>
          <w:b/>
        </w:rPr>
        <w:t>Group ID:</w:t>
      </w:r>
      <w:r>
        <w:t xml:space="preserve"> group-1824e83fc6937554345e</w:t>
      </w:r>
    </w:p>
    <w:p>
      <w:pPr>
        <w:pStyle w:val="SourceNote"/>
      </w:pPr>
      <w:r>
        <w:rPr>
          <w:b/>
        </w:rPr>
        <w:t>Original source:</w:t>
      </w:r>
      <w:r>
        <w:t xml:space="preserve"> https://doi.org/10.1051/swsc/2018020</w:t>
      </w:r>
    </w:p>
    <w:p>
      <w:pPr/>
      <w:r>
        <w:rPr>
          <w:b/>
        </w:rPr>
        <w:t>Original future claim:</w:t>
      </w:r>
      <w:r>
        <w:t xml:space="preserve"> 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r>
        <w:rPr>
          <w:b/>
        </w:rPr>
        <w:t>Later source:</w:t>
      </w:r>
      <w:r>
        <w:t xml:space="preserve"> THE ROLE OF MODERN TECHNOLOGIES IN IMPLEMENTING THE EUROPEAN GREEN DEAL STRATEGY — https://doi.org/10.51895/vss3/dahl/strzala/marton-gados</w:t>
      </w:r>
    </w:p>
    <w:p>
      <w:pPr/>
      <w:r>
        <w:rPr>
          <w:b/>
        </w:rPr>
        <w:t>Later source:</w:t>
      </w:r>
      <w:r>
        <w:t xml:space="preserve"> 7.L. Workshop: New roles and innovative skill-mix in nursing across Europe: trends and lessons for implementation — https://doi.org/10.1093/eurpub/ckac129.446</w:t>
      </w:r>
    </w:p>
    <w:p>
      <w:pPr>
        <w:pStyle w:val="SourceNote"/>
      </w:pPr>
      <w:r>
        <w:rPr>
          <w:b/>
        </w:rPr>
        <w:t>Review status:</w:t>
      </w:r>
      <w:r>
        <w:t xml:space="preserve"> unchecked — possible relationship only</w:t>
      </w:r>
    </w:p>
    <w:p>
      <w:pPr>
        <w:pStyle w:val="Heading2"/>
      </w:pPr>
      <w:r>
        <w:t>421. Claim + two later sources: Sociotechnical imaginaries of a secure future</w:t>
      </w:r>
    </w:p>
    <w:p>
      <w:pPr>
        <w:pStyle w:val="SourceNote"/>
      </w:pPr>
      <w:r>
        <w:rPr>
          <w:b/>
        </w:rPr>
        <w:t>Group ID:</w:t>
      </w:r>
      <w:r>
        <w:t xml:space="preserve"> group-6f31736cdb0e1186a7cb</w:t>
      </w:r>
    </w:p>
    <w:p>
      <w:pPr>
        <w:pStyle w:val="SourceNote"/>
      </w:pPr>
      <w:r>
        <w:rPr>
          <w:b/>
        </w:rPr>
        <w:t>Original source:</w:t>
      </w:r>
      <w:r>
        <w:t xml:space="preserve"> https://doi.org/10.1186/s40309-021-00176-1</w:t>
      </w:r>
    </w:p>
    <w:p>
      <w:pPr/>
      <w:r>
        <w:rPr>
          <w:b/>
        </w:rPr>
        <w:t>Original future claim:</w:t>
      </w:r>
      <w:r>
        <w:t xml:space="preserve"> 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r>
        <w:rPr>
          <w:b/>
        </w:rPr>
        <w:t>Later source:</w:t>
      </w:r>
      <w:r>
        <w:t xml:space="preserve"> Analyses of the Development and Challenges of Parkour Coaches’ Education in Europe — https://doi.org/10.35469/ak.2025.527</w:t>
      </w:r>
    </w:p>
    <w:p>
      <w:pPr/>
      <w:r>
        <w:rPr>
          <w:b/>
        </w:rPr>
        <w:t>Later source:</w:t>
      </w:r>
      <w:r>
        <w:t xml:space="preserve"> Governing knowledge, shaping Europe: research security in the EU’s geopolitical turn — https://doi.org/10.1080/09662839.2026.2680646</w:t>
      </w:r>
    </w:p>
    <w:p>
      <w:pPr>
        <w:pStyle w:val="SourceNote"/>
      </w:pPr>
      <w:r>
        <w:rPr>
          <w:b/>
        </w:rPr>
        <w:t>Review status:</w:t>
      </w:r>
      <w:r>
        <w:t xml:space="preserve"> unchecked — possible relationship only</w:t>
      </w:r>
    </w:p>
    <w:p>
      <w:pPr>
        <w:pStyle w:val="Heading2"/>
      </w:pPr>
      <w:r>
        <w:t>422. Claim + two later sources: Potential implications of future climate and land‐cover changes for the fate and distribution of persistent organic pollutants in Europe</w:t>
      </w:r>
    </w:p>
    <w:p>
      <w:pPr>
        <w:pStyle w:val="SourceNote"/>
      </w:pPr>
      <w:r>
        <w:rPr>
          <w:b/>
        </w:rPr>
        <w:t>Group ID:</w:t>
      </w:r>
      <w:r>
        <w:t xml:space="preserve"> group-4fbe733ac1d39373c566</w:t>
      </w:r>
    </w:p>
    <w:p>
      <w:pPr>
        <w:pStyle w:val="SourceNote"/>
      </w:pPr>
      <w:r>
        <w:rPr>
          <w:b/>
        </w:rPr>
        <w:t>Original source:</w:t>
      </w:r>
      <w:r>
        <w:t xml:space="preserve"> https://doi.org/10.1111/j.1466-8238.2010.00547.x</w:t>
      </w:r>
    </w:p>
    <w:p>
      <w:pPr/>
      <w:r>
        <w:rPr>
          <w:b/>
        </w:rPr>
        <w:t>Original future claim:</w:t>
      </w:r>
      <w:r>
        <w:t xml:space="preserve"> 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r>
        <w:rPr>
          <w:b/>
        </w:rPr>
        <w:t>Later source:</w:t>
      </w:r>
      <w:r>
        <w:t xml:space="preserve"> European land use and land cover futures: a global computable general equilibrium assessment with sub-national detail and a climate application — https://doi.org/10.48565/bonndoc-923</w:t>
      </w:r>
    </w:p>
    <w:p>
      <w:pPr/>
      <w:r>
        <w:rPr>
          <w:b/>
        </w:rPr>
        <w:t>Later source:</w:t>
      </w:r>
      <w:r>
        <w:t xml:space="preserve"> Climate Change Threatens Micronutrient Density of European Winter Wheat (Adv. Sci. 42/2026) — https://doi.org/10.1002/advs.76543</w:t>
      </w:r>
    </w:p>
    <w:p>
      <w:pPr>
        <w:pStyle w:val="SourceNote"/>
      </w:pPr>
      <w:r>
        <w:rPr>
          <w:b/>
        </w:rPr>
        <w:t>Review status:</w:t>
      </w:r>
      <w:r>
        <w:t xml:space="preserve"> unchecked — possible relationship only</w:t>
      </w:r>
    </w:p>
    <w:p>
      <w:pPr>
        <w:pStyle w:val="Heading2"/>
      </w:pPr>
      <w:r>
        <w:t>423. Claim + two later sources: New EU-scale environmental scenarios until 2050 – Scenario process and initial scenario applications</w:t>
      </w:r>
    </w:p>
    <w:p>
      <w:pPr>
        <w:pStyle w:val="SourceNote"/>
      </w:pPr>
      <w:r>
        <w:rPr>
          <w:b/>
        </w:rPr>
        <w:t>Group ID:</w:t>
      </w:r>
      <w:r>
        <w:t xml:space="preserve"> group-65b0cbc7f084e6ecd4bc</w:t>
      </w:r>
    </w:p>
    <w:p>
      <w:pPr>
        <w:pStyle w:val="SourceNote"/>
      </w:pPr>
      <w:r>
        <w:rPr>
          <w:b/>
        </w:rPr>
        <w:t>Original source:</w:t>
      </w:r>
      <w:r>
        <w:t xml:space="preserve"> https://doi.org/10.1016/j.ecoser.2017.08.006</w:t>
      </w:r>
    </w:p>
    <w:p>
      <w:pPr/>
      <w:r>
        <w:rPr>
          <w:b/>
        </w:rPr>
        <w:t>Original future claim:</w:t>
      </w:r>
      <w:r>
        <w:t xml:space="preserve"> 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r>
        <w:rPr>
          <w:b/>
        </w:rPr>
        <w:t>Later source:</w:t>
      </w:r>
      <w:r>
        <w:t xml:space="preserve"> Envisioning the future of European mountain value chains: a participatory foresight approach — https://doi.org/10.1007/s10113-025-02454-1</w:t>
      </w:r>
    </w:p>
    <w:p>
      <w:pPr/>
      <w:r>
        <w:rPr>
          <w:b/>
        </w:rPr>
        <w:t>Later source:</w:t>
      </w:r>
      <w:r>
        <w:t xml:space="preserve"> Mapping Participatory Approaches in Health Care Provision for Older Immigrants in Europe: A Scoping Review — https://doi.org/10.1007/s10903-026-01923-x</w:t>
      </w:r>
    </w:p>
    <w:p>
      <w:pPr>
        <w:pStyle w:val="SourceNote"/>
      </w:pPr>
      <w:r>
        <w:rPr>
          <w:b/>
        </w:rPr>
        <w:t>Review status:</w:t>
      </w:r>
      <w:r>
        <w:t xml:space="preserve"> unchecked — possible relationship only</w:t>
      </w:r>
    </w:p>
    <w:p>
      <w:pPr>
        <w:pStyle w:val="Heading2"/>
      </w:pPr>
      <w:r>
        <w:t>424. Claim + two later sources: EUropean Heliospheric FORecasting Information Asset 2.0</w:t>
      </w:r>
    </w:p>
    <w:p>
      <w:pPr>
        <w:pStyle w:val="SourceNote"/>
      </w:pPr>
      <w:r>
        <w:rPr>
          <w:b/>
        </w:rPr>
        <w:t>Group ID:</w:t>
      </w:r>
      <w:r>
        <w:t xml:space="preserve"> group-3ac6e39aa29e1c2206ca</w:t>
      </w:r>
    </w:p>
    <w:p>
      <w:pPr>
        <w:pStyle w:val="SourceNote"/>
      </w:pPr>
      <w:r>
        <w:rPr>
          <w:b/>
        </w:rPr>
        <w:t>Original source:</w:t>
      </w:r>
      <w:r>
        <w:t xml:space="preserve"> https://doi.org/10.1051/swsc/2020055</w:t>
      </w:r>
    </w:p>
    <w:p>
      <w:pPr/>
      <w:r>
        <w:rPr>
          <w:b/>
        </w:rPr>
        <w:t>Original future claim:</w:t>
      </w:r>
      <w:r>
        <w:t xml:space="preserve"> This will result in a reliable prediction tool for radiation hazards from SEP events, affecting astronauts, passengers and crew in high-flying aircraft, and the impact of space weather events on power grid infrastructure, telecommunication, and navigation satellites.</w:t>
      </w:r>
    </w:p>
    <w:p>
      <w:pPr/>
      <w:r>
        <w:rPr>
          <w:b/>
        </w:rPr>
        <w:t>Later source:</w:t>
      </w:r>
      <w:r>
        <w:t xml:space="preserve"> The PIANOFORTE partnership: Elevating European research for enhanced radiation protection — https://doi.org/10.1051/epjn/2025009</w:t>
      </w:r>
    </w:p>
    <w:p>
      <w:pPr/>
      <w:r>
        <w:rPr>
          <w:b/>
        </w:rPr>
        <w:t>Later source:</w:t>
      </w:r>
      <w:r>
        <w:t xml:space="preserve"> Exploring Hybrid Forecasting Frameworks for Subseasonal Low Flow Predictions in the European Alps — https://doi.org/10.5194/egusphere-2025-3411</w:t>
      </w:r>
    </w:p>
    <w:p>
      <w:pPr>
        <w:pStyle w:val="SourceNote"/>
      </w:pPr>
      <w:r>
        <w:rPr>
          <w:b/>
        </w:rPr>
        <w:t>Review status:</w:t>
      </w:r>
      <w:r>
        <w:t xml:space="preserve"> unchecked — possible relationship only</w:t>
      </w:r>
    </w:p>
    <w:p>
      <w:pPr>
        <w:pStyle w:val="Heading2"/>
      </w:pPr>
      <w:r>
        <w:t>425. Claim + two later sources: Application of the UK Foresight Obesity Model in Ireland: The Health and Economic Consequences of Projected Obesity Trends in Ireland</w:t>
      </w:r>
    </w:p>
    <w:p>
      <w:pPr>
        <w:pStyle w:val="SourceNote"/>
      </w:pPr>
      <w:r>
        <w:rPr>
          <w:b/>
        </w:rPr>
        <w:t>Group ID:</w:t>
      </w:r>
      <w:r>
        <w:t xml:space="preserve"> group-e9688d7200232d17476a</w:t>
      </w:r>
    </w:p>
    <w:p>
      <w:pPr>
        <w:pStyle w:val="SourceNote"/>
      </w:pPr>
      <w:r>
        <w:rPr>
          <w:b/>
        </w:rPr>
        <w:t>Original source:</w:t>
      </w:r>
      <w:r>
        <w:t xml:space="preserve"> https://doi.org/10.1371/journal.pone.0079827</w:t>
      </w:r>
    </w:p>
    <w:p>
      <w:pPr/>
      <w:r>
        <w:rPr>
          <w:b/>
        </w:rPr>
        <w:t>Original future claim:</w:t>
      </w:r>
      <w:r>
        <w:t xml:space="preserve"> The direct healthcare costs associated with these increases will amount to €5.4 billion by 2030. A 5% reduction in population BMI levels by 2030 is projected to result in €495 million less being spent in obesity-related direct healthcare costs over twenty years.</w:t>
      </w:r>
    </w:p>
    <w:p>
      <w:pPr/>
      <w:r>
        <w:rPr>
          <w:b/>
        </w:rPr>
        <w:t>Later source:</w:t>
      </w:r>
      <w:r>
        <w:t xml:space="preserve"> Change in healthcare costs in Europe 2018–2023 (data report) — https://doi.org/10.3389/fpubh.2026.1774180</w:t>
      </w:r>
    </w:p>
    <w:p>
      <w:pPr/>
      <w:r>
        <w:rPr>
          <w:b/>
        </w:rPr>
        <w:t>Later source:</w:t>
      </w:r>
      <w:r>
        <w:t xml:space="preserve"> Artificial Intelligence in European Healthcare — https://doi.org/10.1553/easac-feam_report_ai-in-healthcare_2026</w:t>
      </w:r>
    </w:p>
    <w:p>
      <w:pPr>
        <w:pStyle w:val="SourceNote"/>
      </w:pPr>
      <w:r>
        <w:rPr>
          <w:b/>
        </w:rPr>
        <w:t>Review status:</w:t>
      </w:r>
      <w:r>
        <w:t xml:space="preserve"> unchecked — possible relationship only</w:t>
      </w:r>
    </w:p>
    <w:p>
      <w:pPr>
        <w:pStyle w:val="Heading2"/>
      </w:pPr>
      <w:r>
        <w:t>426. Claim + two later sources: Solar Photovoltaic Electricity Generation: A Lifeline for the European Coal Regions in Transition</w:t>
      </w:r>
    </w:p>
    <w:p>
      <w:pPr>
        <w:pStyle w:val="SourceNote"/>
      </w:pPr>
      <w:r>
        <w:rPr>
          <w:b/>
        </w:rPr>
        <w:t>Group ID:</w:t>
      </w:r>
      <w:r>
        <w:t xml:space="preserve"> group-fae1742acc9b0688a3b0</w:t>
      </w:r>
    </w:p>
    <w:p>
      <w:pPr>
        <w:pStyle w:val="SourceNote"/>
      </w:pPr>
      <w:r>
        <w:rPr>
          <w:b/>
        </w:rPr>
        <w:t>Original source:</w:t>
      </w:r>
      <w:r>
        <w:t xml:space="preserve"> https://doi.org/10.3390/su11133703</w:t>
      </w:r>
    </w:p>
    <w:p>
      <w:pPr/>
      <w:r>
        <w:rPr>
          <w:b/>
        </w:rPr>
        <w:t>Original future claim:</w:t>
      </w:r>
      <w:r>
        <w:t xml:space="preserve"> According to the International Energy Agency, these emissions have to be reduced by more than 70% by 2040 to stay on track for the 1.5–2 °C scenario suggested by the Paris Agreement.</w:t>
      </w:r>
    </w:p>
    <w:p>
      <w:pPr/>
      <w:r>
        <w:rPr>
          <w:b/>
        </w:rPr>
        <w:t>Later source:</w:t>
      </w:r>
      <w:r>
        <w:t xml:space="preserve"> Energy security, energy consumption, and stringent climate policy in European Union countries: Is environmental tax effective? — https://doi.org/10.1016/j.esr.2026.102045</w:t>
      </w:r>
    </w:p>
    <w:p>
      <w:pPr/>
      <w:r>
        <w:rPr>
          <w:b/>
        </w:rPr>
        <w:t>Later source:</w:t>
      </w:r>
      <w:r>
        <w:t xml:space="preserve"> Assessment of Energy Efficiency of the European Union Countries and Their Grouping by Qualimetric Methods — https://doi.org/10.1109/ess70338.2026.11536735</w:t>
      </w:r>
    </w:p>
    <w:p>
      <w:pPr>
        <w:pStyle w:val="SourceNote"/>
      </w:pPr>
      <w:r>
        <w:rPr>
          <w:b/>
        </w:rPr>
        <w:t>Review status:</w:t>
      </w:r>
      <w:r>
        <w:t xml:space="preserve"> unchecked — possible relationship only</w:t>
      </w:r>
    </w:p>
    <w:p>
      <w:pPr>
        <w:pStyle w:val="Heading2"/>
      </w:pPr>
      <w:r>
        <w:t>427. Claim + two later sources: When will European Muslim population be majority and in which country?</w:t>
      </w:r>
    </w:p>
    <w:p>
      <w:pPr>
        <w:pStyle w:val="SourceNote"/>
      </w:pPr>
      <w:r>
        <w:rPr>
          <w:b/>
        </w:rPr>
        <w:t>Group ID:</w:t>
      </w:r>
      <w:r>
        <w:t xml:space="preserve"> group-3bd01591f3f0438983d9</w:t>
      </w:r>
    </w:p>
    <w:p>
      <w:pPr>
        <w:pStyle w:val="SourceNote"/>
      </w:pPr>
      <w:r>
        <w:rPr>
          <w:b/>
        </w:rPr>
        <w:t>Original source:</w:t>
      </w:r>
      <w:r>
        <w:t xml:space="preserve"> https://doi.org/10.1108/prr-12-2018-0034</w:t>
      </w:r>
    </w:p>
    <w:p>
      <w:pPr/>
      <w:r>
        <w:rPr>
          <w:b/>
        </w:rPr>
        <w:t>Original future claim:</w:t>
      </w:r>
      <w:r>
        <w:t xml:space="preserve"> 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r>
        <w:rPr>
          <w:b/>
        </w:rPr>
        <w:t>Later source:</w:t>
      </w:r>
      <w:r>
        <w:t xml:space="preserve"> Exploring the genetic diversity of recent Ralstonia pseudosolanacearum phylotype I findings in Europe — https://doi.org/10.1007/s10658-026-03191-9</w:t>
      </w:r>
    </w:p>
    <w:p>
      <w:pPr/>
      <w:r>
        <w:rPr>
          <w:b/>
        </w:rPr>
        <w:t>Later source:</w:t>
      </w:r>
      <w:r>
        <w:t xml:space="preserve"> Barriers and facilitators to healthcare access among Sub-Saharan African migrants in Europe: A scoping review — https://doi.org/10.1371/journal.pone.0351011</w:t>
      </w:r>
    </w:p>
    <w:p>
      <w:pPr>
        <w:pStyle w:val="SourceNote"/>
      </w:pPr>
      <w:r>
        <w:rPr>
          <w:b/>
        </w:rPr>
        <w:t>Review status:</w:t>
      </w:r>
      <w:r>
        <w:t xml:space="preserve"> unchecked — possible relationship only</w:t>
      </w:r>
    </w:p>
    <w:p>
      <w:pPr>
        <w:pStyle w:val="Heading2"/>
      </w:pPr>
      <w:r>
        <w:t>428. Claim + two later sources: Future life expectancy in 35 industrialised countries: projections with a Bayesian model ensemble</w:t>
      </w:r>
    </w:p>
    <w:p>
      <w:pPr>
        <w:pStyle w:val="SourceNote"/>
      </w:pPr>
      <w:r>
        <w:rPr>
          <w:b/>
        </w:rPr>
        <w:t>Group ID:</w:t>
      </w:r>
      <w:r>
        <w:t xml:space="preserve"> group-f0253accf66daf363684</w:t>
      </w:r>
    </w:p>
    <w:p>
      <w:pPr>
        <w:pStyle w:val="SourceNote"/>
      </w:pPr>
      <w:r>
        <w:rPr>
          <w:b/>
        </w:rPr>
        <w:t>Original source:</w:t>
      </w:r>
      <w:r>
        <w:t xml:space="preserve"> https://doi.org/10.1016/s0140-6736(16)32381-9</w:t>
      </w:r>
    </w:p>
    <w:p>
      <w:pPr/>
      <w:r>
        <w:rPr>
          <w:b/>
        </w:rPr>
        <w:t>Original future claim:</w:t>
      </w:r>
      <w:r>
        <w:t xml:space="preserve"> 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r>
        <w:rPr>
          <w:b/>
        </w:rPr>
        <w:t>Later source:</w:t>
      </w:r>
      <w:r>
        <w:t xml:space="preserve"> Inequalities in regional excess mortality and life expectancy during the COVID-19 pandemic in Europe — https://doi.org/10.1038/s41598-024-54366-5</w:t>
      </w:r>
    </w:p>
    <w:p>
      <w:pPr/>
      <w:r>
        <w:rPr>
          <w:b/>
        </w:rPr>
        <w:t>Later source:</w:t>
      </w:r>
      <w:r>
        <w:t xml:space="preserve"> Influence of social determinants of health in the evolution of the quality of life of older adults in Europe: A comparative analysis between men and women — https://doi.org/10.1057/s41599-024-02899-5</w:t>
      </w:r>
    </w:p>
    <w:p>
      <w:pPr>
        <w:pStyle w:val="SourceNote"/>
      </w:pPr>
      <w:r>
        <w:rPr>
          <w:b/>
        </w:rPr>
        <w:t>Review status:</w:t>
      </w:r>
      <w:r>
        <w:t xml:space="preserve"> unchecked — possible relationship only</w:t>
      </w:r>
    </w:p>
    <w:p>
      <w:pPr>
        <w:pStyle w:val="Heading2"/>
      </w:pPr>
      <w:r>
        <w:t>429. Claim + two later sources: The Role of BECCS in Achieving Climate Neutrality in the European Union</w:t>
      </w:r>
    </w:p>
    <w:p>
      <w:pPr>
        <w:pStyle w:val="SourceNote"/>
      </w:pPr>
      <w:r>
        <w:rPr>
          <w:b/>
        </w:rPr>
        <w:t>Group ID:</w:t>
      </w:r>
      <w:r>
        <w:t xml:space="preserve"> group-dd2646817019a4e0e07b</w:t>
      </w:r>
    </w:p>
    <w:p>
      <w:pPr>
        <w:pStyle w:val="SourceNote"/>
      </w:pPr>
      <w:r>
        <w:rPr>
          <w:b/>
        </w:rPr>
        <w:t>Original source:</w:t>
      </w:r>
      <w:r>
        <w:t xml:space="preserve"> https://doi.org/10.3390/en14237842</w:t>
      </w:r>
    </w:p>
    <w:p>
      <w:pPr/>
      <w:r>
        <w:rPr>
          <w:b/>
        </w:rPr>
        <w:t>Original future claim:</w:t>
      </w:r>
      <w:r>
        <w:t xml:space="preserve"> 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r>
        <w:rPr>
          <w:b/>
        </w:rPr>
        <w:t>Later source:</w:t>
      </w:r>
      <w:r>
        <w:t xml:space="preserve"> Strategizing for Climate Neutrality. How to Make Social Innovation Relevant in the City’s Journey to Climate Neutrality — https://doi.org/10.1007/978-3-031-87726-1_3</w:t>
      </w:r>
    </w:p>
    <w:p>
      <w:pPr/>
      <w:r>
        <w:rPr>
          <w:b/>
        </w:rPr>
        <w:t>Later source:</w:t>
      </w:r>
      <w:r>
        <w:t xml:space="preserve"> Female Directors, Family Firms, Climate Talk and Climate Walk: European Evidence — https://doi.org/10.1002/bse.4348</w:t>
      </w:r>
    </w:p>
    <w:p>
      <w:pPr>
        <w:pStyle w:val="SourceNote"/>
      </w:pPr>
      <w:r>
        <w:rPr>
          <w:b/>
        </w:rPr>
        <w:t>Review status:</w:t>
      </w:r>
      <w:r>
        <w:t xml:space="preserve"> unchecked — possible relationship only</w:t>
      </w:r>
    </w:p>
    <w:p>
      <w:pPr>
        <w:pStyle w:val="Heading2"/>
      </w:pPr>
      <w:r>
        <w:t>430. Claim + two later sources: Ecosystem service provision in a changing Europe: adapting to the impacts of combined climate and socio-economic change</w:t>
      </w:r>
    </w:p>
    <w:p>
      <w:pPr>
        <w:pStyle w:val="SourceNote"/>
      </w:pPr>
      <w:r>
        <w:rPr>
          <w:b/>
        </w:rPr>
        <w:t>Group ID:</w:t>
      </w:r>
      <w:r>
        <w:t xml:space="preserve"> group-98493d400b57fde4d7dd</w:t>
      </w:r>
    </w:p>
    <w:p>
      <w:pPr>
        <w:pStyle w:val="SourceNote"/>
      </w:pPr>
      <w:r>
        <w:rPr>
          <w:b/>
        </w:rPr>
        <w:t>Original source:</w:t>
      </w:r>
      <w:r>
        <w:t xml:space="preserve"> https://doi.org/10.1007/s10980-014-0148-2</w:t>
      </w:r>
    </w:p>
    <w:p>
      <w:pPr/>
      <w:r>
        <w:rPr>
          <w:b/>
        </w:rPr>
        <w:t>Original future claim:</w:t>
      </w:r>
      <w:r>
        <w:t xml:space="preserve"> 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r>
        <w:rPr>
          <w:b/>
        </w:rPr>
        <w:t>Later source:</w:t>
      </w:r>
      <w:r>
        <w:t xml:space="preserve"> The economically optimal mix and timing of coastal adaptation in Europe to 2150 — https://doi.org/10.1038/s41467-026-74042-8</w:t>
      </w:r>
    </w:p>
    <w:p>
      <w:pPr/>
      <w:r>
        <w:rPr>
          <w:b/>
        </w:rPr>
        <w:t>Later source:</w:t>
      </w:r>
      <w:r>
        <w:t xml:space="preserve"> Di Fant et al., Opportunity windows accelerate action and expand options for climate adaptation in Europe_Online datasets — https://doi.org/10.6084/m9.figshare.31249858</w:t>
      </w:r>
    </w:p>
    <w:p>
      <w:pPr>
        <w:pStyle w:val="SourceNote"/>
      </w:pPr>
      <w:r>
        <w:rPr>
          <w:b/>
        </w:rPr>
        <w:t>Review status:</w:t>
      </w:r>
      <w:r>
        <w:t xml:space="preserve"> unchecked — possible relationship only</w:t>
      </w:r>
    </w:p>
    <w:p>
      <w:pPr>
        <w:pStyle w:val="Heading2"/>
      </w:pPr>
      <w:r>
        <w:t>431. Claim + two later sources: Future scenarios for a depressed region of England: the role of education in creating alternative futures</w:t>
      </w:r>
    </w:p>
    <w:p>
      <w:pPr>
        <w:pStyle w:val="SourceNote"/>
      </w:pPr>
      <w:r>
        <w:rPr>
          <w:b/>
        </w:rPr>
        <w:t>Group ID:</w:t>
      </w:r>
      <w:r>
        <w:t xml:space="preserve"> group-37ad6a253dd43dd96132</w:t>
      </w:r>
    </w:p>
    <w:p>
      <w:pPr>
        <w:pStyle w:val="SourceNote"/>
      </w:pPr>
      <w:r>
        <w:rPr>
          <w:b/>
        </w:rPr>
        <w:t>Original source:</w:t>
      </w:r>
      <w:r>
        <w:t xml:space="preserve"> https://doi.org/10.1108/14636681111179564</w:t>
      </w:r>
    </w:p>
    <w:p>
      <w:pPr/>
      <w:r>
        <w:rPr>
          <w:b/>
        </w:rPr>
        <w:t>Original future claim:</w:t>
      </w:r>
      <w:r>
        <w:t xml:space="preserve"> 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r>
        <w:rPr>
          <w:b/>
        </w:rPr>
        <w:t>Later source:</w:t>
      </w:r>
      <w:r>
        <w:t xml:space="preserve"> The Effect of Government Health Expenditure on Infant Mortality Rates in the SADC Region: A Case of Four Countries — https://doi.org/10.47772/ijriss.2025.91200312</w:t>
      </w:r>
    </w:p>
    <w:p>
      <w:pPr/>
      <w:r>
        <w:rPr>
          <w:b/>
        </w:rPr>
        <w:t>Later source:</w:t>
      </w:r>
      <w:r>
        <w:t xml:space="preserve"> Developing a Four-Tier Concept Test on the Topic of Matter for Middle School Students — https://doi.org/10.55549/jeseh.885</w:t>
      </w:r>
    </w:p>
    <w:p>
      <w:pPr>
        <w:pStyle w:val="SourceNote"/>
      </w:pPr>
      <w:r>
        <w:rPr>
          <w:b/>
        </w:rPr>
        <w:t>Review status:</w:t>
      </w:r>
      <w:r>
        <w:t xml:space="preserve"> unchecked — possible relationship only</w:t>
      </w:r>
    </w:p>
    <w:p>
      <w:pPr>
        <w:pStyle w:val="Heading2"/>
      </w:pPr>
      <w:r>
        <w:t>432. Claim + two later sources: Future mobility in an ageing society – Where are we heading?</w:t>
      </w:r>
    </w:p>
    <w:p>
      <w:pPr>
        <w:pStyle w:val="SourceNote"/>
      </w:pPr>
      <w:r>
        <w:rPr>
          <w:b/>
        </w:rPr>
        <w:t>Group ID:</w:t>
      </w:r>
      <w:r>
        <w:t xml:space="preserve"> group-4ea7c3e323f162133e44</w:t>
      </w:r>
    </w:p>
    <w:p>
      <w:pPr>
        <w:pStyle w:val="SourceNote"/>
      </w:pPr>
      <w:r>
        <w:rPr>
          <w:b/>
        </w:rPr>
        <w:t>Original source:</w:t>
      </w:r>
      <w:r>
        <w:t xml:space="preserve"> https://doi.org/10.1016/j.jth.2014.10.005</w:t>
      </w:r>
    </w:p>
    <w:p>
      <w:pPr/>
      <w:r>
        <w:rPr>
          <w:b/>
        </w:rPr>
        <w:t>Original future claim:</w:t>
      </w:r>
      <w:r>
        <w:t xml:space="preserve"> 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r>
        <w:rPr>
          <w:b/>
        </w:rPr>
        <w:t>Later source:</w:t>
      </w:r>
      <w:r>
        <w:t xml:space="preserve"> If exercise is medicine, where is the dose? A call to improve reporting and monitoring of exercise interventions in fibromyalgia research — https://doi.org/10.3389/fspor.2026.1777261</w:t>
      </w:r>
    </w:p>
    <w:p>
      <w:pPr/>
      <w:r>
        <w:rPr>
          <w:b/>
        </w:rPr>
        <w:t>Later source:</w:t>
      </w:r>
      <w:r>
        <w:t xml:space="preserve"> Dissemination planning in exercise oncology trials—a systematic review of trial protocols — https://doi.org/10.1007/s00520-025-09532-4</w:t>
      </w:r>
    </w:p>
    <w:p>
      <w:pPr>
        <w:pStyle w:val="SourceNote"/>
      </w:pPr>
      <w:r>
        <w:rPr>
          <w:b/>
        </w:rPr>
        <w:t>Review status:</w:t>
      </w:r>
      <w:r>
        <w:t xml:space="preserve"> unchecked — possible relationship only</w:t>
      </w:r>
    </w:p>
    <w:p>
      <w:pPr>
        <w:pStyle w:val="Heading2"/>
      </w:pPr>
      <w:r>
        <w:t>433. Claim + two later sources: Long‐term trends of Nordic power market: A review</w:t>
      </w:r>
    </w:p>
    <w:p>
      <w:pPr>
        <w:pStyle w:val="SourceNote"/>
      </w:pPr>
      <w:r>
        <w:rPr>
          <w:b/>
        </w:rPr>
        <w:t>Group ID:</w:t>
      </w:r>
      <w:r>
        <w:t xml:space="preserve"> group-41223c55728dbf2ce4d0</w:t>
      </w:r>
    </w:p>
    <w:p>
      <w:pPr>
        <w:pStyle w:val="SourceNote"/>
      </w:pPr>
      <w:r>
        <w:rPr>
          <w:b/>
        </w:rPr>
        <w:t>Original source:</w:t>
      </w:r>
      <w:r>
        <w:t xml:space="preserve"> https://doi.org/10.1002/wene.413</w:t>
      </w:r>
    </w:p>
    <w:p>
      <w:pPr/>
      <w:r>
        <w:rPr>
          <w:b/>
        </w:rPr>
        <w:t>Original future claim:</w:t>
      </w:r>
      <w:r>
        <w:t xml:space="preserve"> Explicit assessments on impacts of emerging topics, such as social oppositions to particular technologies and increased awareness of sustainability indicators besides clean energy, will add values for long‐term decision making in the power markets.</w:t>
      </w:r>
    </w:p>
    <w:p>
      <w:pPr/>
      <w:r>
        <w:rPr>
          <w:b/>
        </w:rPr>
        <w:t>Later source:</w:t>
      </w:r>
      <w:r>
        <w:t xml:space="preserve"> Matrix Approaches for Cumulative Impact Assessments in Decision-Making — https://doi.org/10.1177/19394071251413002</w:t>
      </w:r>
    </w:p>
    <w:p>
      <w:pPr/>
      <w:r>
        <w:rPr>
          <w:b/>
        </w:rPr>
        <w:t>Later source:</w:t>
      </w:r>
      <w:r>
        <w:t xml:space="preserve"> HTA and Ethical Impact Assessment―Preliminary Perspectives — https://doi.org/10.1007/978-3-032-28812-7_14</w:t>
      </w:r>
    </w:p>
    <w:p>
      <w:pPr>
        <w:pStyle w:val="SourceNote"/>
      </w:pPr>
      <w:r>
        <w:rPr>
          <w:b/>
        </w:rPr>
        <w:t>Review status:</w:t>
      </w:r>
      <w:r>
        <w:t xml:space="preserve"> unchecked — possible relationship only</w:t>
      </w:r>
    </w:p>
    <w:p>
      <w:pPr>
        <w:pStyle w:val="Heading2"/>
      </w:pPr>
      <w:r>
        <w:t>434. Claim + two later sources: The Economic Impact of Investment in Renewables in Croatia by 2030</w:t>
      </w:r>
    </w:p>
    <w:p>
      <w:pPr>
        <w:pStyle w:val="SourceNote"/>
      </w:pPr>
      <w:r>
        <w:rPr>
          <w:b/>
        </w:rPr>
        <w:t>Group ID:</w:t>
      </w:r>
      <w:r>
        <w:t xml:space="preserve"> group-01799b22a54a0fef6440</w:t>
      </w:r>
    </w:p>
    <w:p>
      <w:pPr>
        <w:pStyle w:val="SourceNote"/>
      </w:pPr>
      <w:r>
        <w:rPr>
          <w:b/>
        </w:rPr>
        <w:t>Original source:</w:t>
      </w:r>
      <w:r>
        <w:t xml:space="preserve"> https://doi.org/10.3390/en14248215</w:t>
      </w:r>
    </w:p>
    <w:p>
      <w:pPr/>
      <w:r>
        <w:rPr>
          <w:b/>
        </w:rPr>
        <w:t>Original future claim:</w:t>
      </w:r>
      <w:r>
        <w:t xml:space="preserve"> At the beginning of 2020, the Strategy of the Republic of Croatia until 2030 with an outlook to 2050 was adopted. The Strategy analyzes two energy transition scenarios, the accelerated energy transition and the moderate energy transition.</w:t>
      </w:r>
    </w:p>
    <w:p>
      <w:pPr/>
      <w:r>
        <w:rPr>
          <w:b/>
        </w:rPr>
        <w:t>Later source:</w:t>
      </w:r>
      <w:r>
        <w:t xml:space="preserve"> Balancing strategies of small states: The case of the Republic of Serbia and the issue of Kosovo and Metohija — https://doi.org/10.5937/bastina36-66586</w:t>
      </w:r>
    </w:p>
    <w:p>
      <w:pPr/>
      <w:r>
        <w:rPr>
          <w:b/>
        </w:rPr>
        <w:t>Later source:</w:t>
      </w:r>
      <w:r>
        <w:t xml:space="preserve"> THE HUSSITE MOVEMENT IN THE CZECH REPUBLIC — https://doi.org/10.31470/2786-8583-2024-4-105-110</w:t>
      </w:r>
    </w:p>
    <w:p>
      <w:pPr>
        <w:pStyle w:val="SourceNote"/>
      </w:pPr>
      <w:r>
        <w:rPr>
          <w:b/>
        </w:rPr>
        <w:t>Review status:</w:t>
      </w:r>
      <w:r>
        <w:t xml:space="preserve"> unchecked — possible relationship only</w:t>
      </w:r>
    </w:p>
    <w:p>
      <w:pPr>
        <w:pStyle w:val="Heading2"/>
      </w:pPr>
      <w:r>
        <w:t>435. Claim + two later sources: Use of Counterfactual Population Projections for Assessing the Demographic Determinants of Population Ageing</w:t>
      </w:r>
    </w:p>
    <w:p>
      <w:pPr>
        <w:pStyle w:val="SourceNote"/>
      </w:pPr>
      <w:r>
        <w:rPr>
          <w:b/>
        </w:rPr>
        <w:t>Group ID:</w:t>
      </w:r>
      <w:r>
        <w:t xml:space="preserve"> group-19f20a3835db895338ef</w:t>
      </w:r>
    </w:p>
    <w:p>
      <w:pPr>
        <w:pStyle w:val="SourceNote"/>
      </w:pPr>
      <w:r>
        <w:rPr>
          <w:b/>
        </w:rPr>
        <w:t>Original source:</w:t>
      </w:r>
      <w:r>
        <w:t xml:space="preserve"> https://doi.org/10.1007/s10680-020-09567-9</w:t>
      </w:r>
    </w:p>
    <w:p>
      <w:pPr/>
      <w:r>
        <w:rPr>
          <w:b/>
        </w:rPr>
        <w:t>Original future claim:</w:t>
      </w:r>
      <w:r>
        <w:t xml:space="preserve"> (3)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r>
        <w:rPr>
          <w:b/>
        </w:rPr>
        <w:t>Later source:</w:t>
      </w:r>
      <w:r>
        <w:t xml:space="preserve"> Rheological Properties of Bitumen and Asphalt Mixtures Realised in Varying Laboratory and in Situ Ageing Protocols — https://doi.org/10.3390/coatings16020257</w:t>
      </w:r>
    </w:p>
    <w:p>
      <w:pPr/>
      <w:r>
        <w:rPr>
          <w:b/>
        </w:rPr>
        <w:t>Later source:</w:t>
      </w:r>
      <w:r>
        <w:t xml:space="preserve"> RBP4 in Ageing — https://doi.org/10.3390/biomedicines14020463</w:t>
      </w:r>
    </w:p>
    <w:p>
      <w:pPr>
        <w:pStyle w:val="SourceNote"/>
      </w:pPr>
      <w:r>
        <w:rPr>
          <w:b/>
        </w:rPr>
        <w:t>Review status:</w:t>
      </w:r>
      <w:r>
        <w:t xml:space="preserve"> unchecked — possible relationship only</w:t>
      </w:r>
    </w:p>
    <w:p>
      <w:pPr>
        <w:pStyle w:val="Heading2"/>
      </w:pPr>
      <w:r>
        <w:t>436. Claim + two later sources: Business ecosystems and the view from the future: The use of corporate foresight by stakeholders of the Ro-Ro shipping ecosystem in the Baltic Sea Region</w:t>
      </w:r>
    </w:p>
    <w:p>
      <w:pPr>
        <w:pStyle w:val="SourceNote"/>
      </w:pPr>
      <w:r>
        <w:rPr>
          <w:b/>
        </w:rPr>
        <w:t>Group ID:</w:t>
      </w:r>
      <w:r>
        <w:t xml:space="preserve"> group-af3ce8430a6c60939e51</w:t>
      </w:r>
    </w:p>
    <w:p>
      <w:pPr>
        <w:pStyle w:val="SourceNote"/>
      </w:pPr>
      <w:r>
        <w:rPr>
          <w:b/>
        </w:rPr>
        <w:t>Original source:</w:t>
      </w:r>
      <w:r>
        <w:t xml:space="preserve"> https://doi.org/10.1016/j.techfore.2022.121966</w:t>
      </w:r>
    </w:p>
    <w:p>
      <w:pPr/>
      <w:r>
        <w:rPr>
          <w:b/>
        </w:rPr>
        <w:t>Original future claim:</w:t>
      </w:r>
      <w:r>
        <w:t xml:space="preserve"> 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r>
        <w:rPr>
          <w:b/>
        </w:rPr>
        <w:t>Later source:</w:t>
      </w:r>
      <w:r>
        <w:t xml:space="preserve"> A Roadmap for Evaluating Foresight Initiatives — https://doi.org/10.5281/zenodo.18092300</w:t>
      </w:r>
    </w:p>
    <w:p>
      <w:pPr/>
      <w:r>
        <w:rPr>
          <w:b/>
        </w:rPr>
        <w:t>Later source:</w:t>
      </w:r>
      <w:r>
        <w:t xml:space="preserve"> Strategic Foresight for FinTech Governance: A Scenario-Based MCDA Approach for Kuwait — https://doi.org/10.3390/fintech5010008</w:t>
      </w:r>
    </w:p>
    <w:p>
      <w:pPr>
        <w:pStyle w:val="SourceNote"/>
      </w:pPr>
      <w:r>
        <w:rPr>
          <w:b/>
        </w:rPr>
        <w:t>Review status:</w:t>
      </w:r>
      <w:r>
        <w:t xml:space="preserve"> unchecked — possible relationship only</w:t>
      </w:r>
    </w:p>
    <w:p>
      <w:pPr>
        <w:pStyle w:val="Heading2"/>
      </w:pPr>
      <w:r>
        <w:t>437. Claim + two later sources: FORECASTED TRENDS IN CHANGES OF VEGETATION IN THE EUROPEAN PART OF RUSSIA IN CONNECTION WITH GLOBAL WARMING</w:t>
      </w:r>
    </w:p>
    <w:p>
      <w:pPr>
        <w:pStyle w:val="SourceNote"/>
      </w:pPr>
      <w:r>
        <w:rPr>
          <w:b/>
        </w:rPr>
        <w:t>Group ID:</w:t>
      </w:r>
      <w:r>
        <w:t xml:space="preserve"> group-84c7f41ee5c77fa80524</w:t>
      </w:r>
    </w:p>
    <w:p>
      <w:pPr>
        <w:pStyle w:val="SourceNote"/>
      </w:pPr>
      <w:r>
        <w:rPr>
          <w:b/>
        </w:rPr>
        <w:t>Original source:</w:t>
      </w:r>
      <w:r>
        <w:t xml:space="preserve"> https://doi.org/10.24057/2071-9388-2012-5-4-4-16</w:t>
      </w:r>
    </w:p>
    <w:p>
      <w:pPr/>
      <w:r>
        <w:rPr>
          <w:b/>
        </w:rPr>
        <w:t>Original future claim:</w:t>
      </w:r>
      <w:r>
        <w:t xml:space="preserve"> The models are used to forecast changes in the boundaries of the vegetation sub-zones and of forest stands productivity in the European Part of Russia and on the adjacent areas for 2046–2065 under one of the scenarios of global warming.</w:t>
      </w:r>
    </w:p>
    <w:p>
      <w:pPr/>
      <w:r>
        <w:rPr>
          <w:b/>
        </w:rPr>
        <w:t>Later source:</w:t>
      </w:r>
      <w:r>
        <w:t xml:space="preserve"> Diversity and distribution of Raunkiær's life forms in European vegetation — https://doi.org/10.1111/jvs.13229</w:t>
      </w:r>
    </w:p>
    <w:p>
      <w:pPr/>
      <w:r>
        <w:rPr>
          <w:b/>
        </w:rPr>
        <w:t>Later source:</w:t>
      </w:r>
      <w:r>
        <w:t xml:space="preserve"> Climate-Adapted Potential Vegetation—A European Multiclass Model Estimating the Future Potential of Natural Vegetation — https://doi.org/10.3390/f14020239</w:t>
      </w:r>
    </w:p>
    <w:p>
      <w:pPr>
        <w:pStyle w:val="SourceNote"/>
      </w:pPr>
      <w:r>
        <w:rPr>
          <w:b/>
        </w:rPr>
        <w:t>Review status:</w:t>
      </w:r>
      <w:r>
        <w:t xml:space="preserve"> unchecked — possible relationship only</w:t>
      </w:r>
    </w:p>
    <w:p>
      <w:pPr>
        <w:pStyle w:val="Heading2"/>
      </w:pPr>
      <w:r>
        <w:t>438. Claim + two later sources: The role of transmission and energy storage in European decarbonization towards 2050</w:t>
      </w:r>
    </w:p>
    <w:p>
      <w:pPr>
        <w:pStyle w:val="SourceNote"/>
      </w:pPr>
      <w:r>
        <w:rPr>
          <w:b/>
        </w:rPr>
        <w:t>Group ID:</w:t>
      </w:r>
      <w:r>
        <w:t xml:space="preserve"> group-a2e2c7c7a4355169c3e9</w:t>
      </w:r>
    </w:p>
    <w:p>
      <w:pPr>
        <w:pStyle w:val="SourceNote"/>
      </w:pPr>
      <w:r>
        <w:rPr>
          <w:b/>
        </w:rPr>
        <w:t>Original source:</w:t>
      </w:r>
      <w:r>
        <w:t xml:space="preserve"> https://doi.org/10.1016/j.energy.2021.122159</w:t>
      </w:r>
    </w:p>
    <w:p>
      <w:pPr/>
      <w:r>
        <w:rPr>
          <w:b/>
        </w:rPr>
        <w:t>Original future claim:</w:t>
      </w:r>
      <w:r>
        <w:t xml:space="preserve"> 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r>
        <w:rPr>
          <w:b/>
        </w:rPr>
        <w:t>Later source:</w:t>
      </w:r>
      <w:r>
        <w:t xml:space="preserve"> Bidding Aggregated Flexibility in European Electricity Auctions — https://doi.org/10.1109/tempr.2026.3714683</w:t>
      </w:r>
    </w:p>
    <w:p>
      <w:pPr/>
      <w:r>
        <w:rPr>
          <w:b/>
        </w:rPr>
        <w:t>Later source:</w:t>
      </w:r>
      <w:r>
        <w:t xml:space="preserve"> The electricity system value of the local acceptance of onshore wind in Europe — https://openalex.org/W7148177161</w:t>
      </w:r>
    </w:p>
    <w:p>
      <w:pPr>
        <w:pStyle w:val="SourceNote"/>
      </w:pPr>
      <w:r>
        <w:rPr>
          <w:b/>
        </w:rPr>
        <w:t>Review status:</w:t>
      </w:r>
      <w:r>
        <w:t xml:space="preserve"> unchecked — possible relationship only</w:t>
      </w:r>
    </w:p>
    <w:p>
      <w:pPr>
        <w:pStyle w:val="Heading2"/>
      </w:pPr>
      <w:r>
        <w:t>439. Claim + two later sources: Strategies for emerging research and innovation futures</w:t>
      </w:r>
    </w:p>
    <w:p>
      <w:pPr>
        <w:pStyle w:val="SourceNote"/>
      </w:pPr>
      <w:r>
        <w:rPr>
          <w:b/>
        </w:rPr>
        <w:t>Group ID:</w:t>
      </w:r>
      <w:r>
        <w:t xml:space="preserve"> group-4ce7b86e5b0c991f5917</w:t>
      </w:r>
    </w:p>
    <w:p>
      <w:pPr>
        <w:pStyle w:val="SourceNote"/>
      </w:pPr>
      <w:r>
        <w:rPr>
          <w:b/>
        </w:rPr>
        <w:t>Original source:</w:t>
      </w:r>
      <w:r>
        <w:t xml:space="preserve"> https://doi.org/10.1108/fs-07-2014-0048</w:t>
      </w:r>
    </w:p>
    <w:p>
      <w:pPr/>
      <w:r>
        <w:rPr>
          <w:b/>
        </w:rPr>
        <w:t>Original future claim:</w:t>
      </w:r>
      <w:r>
        <w:t xml:space="preserve"> 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r>
        <w:rPr>
          <w:b/>
        </w:rPr>
        <w:t>Later source:</w:t>
      </w:r>
      <w:r>
        <w:t xml:space="preserve"> Summary report - Multisite-light dosimetry data set — https://doi.org/10.5281/zenodo.21238932</w:t>
      </w:r>
    </w:p>
    <w:p>
      <w:pPr/>
      <w:r>
        <w:rPr>
          <w:b/>
        </w:rPr>
        <w:t>Later source:</w:t>
      </w:r>
      <w:r>
        <w:t xml:space="preserve"> Quantum state engineering of light using intensity measurements and postselection — https://doi.org/10.1103/11vz-9gcz</w:t>
      </w:r>
    </w:p>
    <w:p>
      <w:pPr>
        <w:pStyle w:val="SourceNote"/>
      </w:pPr>
      <w:r>
        <w:rPr>
          <w:b/>
        </w:rPr>
        <w:t>Review status:</w:t>
      </w:r>
      <w:r>
        <w:t xml:space="preserve"> unchecked — possible relationship only</w:t>
      </w:r>
    </w:p>
    <w:p>
      <w:pPr>
        <w:pStyle w:val="Heading2"/>
      </w:pPr>
      <w:r>
        <w:t>440. Claim + two later sources: Consistent economic cross-sectoral climate change impact scenario analysis: Method and application to Austria</w:t>
      </w:r>
    </w:p>
    <w:p>
      <w:pPr>
        <w:pStyle w:val="SourceNote"/>
      </w:pPr>
      <w:r>
        <w:rPr>
          <w:b/>
        </w:rPr>
        <w:t>Group ID:</w:t>
      </w:r>
      <w:r>
        <w:t xml:space="preserve"> group-1761c18a8a833fc8ca92</w:t>
      </w:r>
    </w:p>
    <w:p>
      <w:pPr>
        <w:pStyle w:val="SourceNote"/>
      </w:pPr>
      <w:r>
        <w:rPr>
          <w:b/>
        </w:rPr>
        <w:t>Original source:</w:t>
      </w:r>
      <w:r>
        <w:t xml:space="preserve"> https://doi.org/10.1016/j.cliser.2016.02.003</w:t>
      </w:r>
    </w:p>
    <w:p>
      <w:pPr/>
      <w:r>
        <w:rPr>
          <w:b/>
        </w:rPr>
        <w:t>Original future claim:</w:t>
      </w:r>
      <w:r>
        <w:t xml:space="preserve"> 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r>
        <w:rPr>
          <w:b/>
        </w:rPr>
        <w:t>Later source:</w:t>
      </w:r>
      <w:r>
        <w:t xml:space="preserve"> In temperate Europe, fire is already here: The case of The Netherlands — https://doi.org/10.1007/s13280-023-01960-y</w:t>
      </w:r>
    </w:p>
    <w:p>
      <w:pPr/>
      <w:r>
        <w:rPr>
          <w:b/>
        </w:rPr>
        <w:t>Later source:</w:t>
      </w:r>
      <w:r>
        <w:t xml:space="preserve"> Climate resilience of European wine regions — https://doi.org/10.1038/s41467-024-50549-w</w:t>
      </w:r>
    </w:p>
    <w:p>
      <w:pPr>
        <w:pStyle w:val="SourceNote"/>
      </w:pPr>
      <w:r>
        <w:rPr>
          <w:b/>
        </w:rPr>
        <w:t>Review status:</w:t>
      </w:r>
      <w:r>
        <w:t xml:space="preserve"> unchecked — possible relationship only</w:t>
      </w:r>
    </w:p>
    <w:p>
      <w:pPr>
        <w:pStyle w:val="Heading2"/>
      </w:pPr>
      <w:r>
        <w:t>441. Claim + two later sources: POPULATION FORECAST WITH THE DATA PROCESSING GROUP METHOD (GMDH) type NEURAL NETWORK FOR EUROPEAN UNION COUNTRIES</w:t>
      </w:r>
    </w:p>
    <w:p>
      <w:pPr>
        <w:pStyle w:val="SourceNote"/>
      </w:pPr>
      <w:r>
        <w:rPr>
          <w:b/>
        </w:rPr>
        <w:t>Group ID:</w:t>
      </w:r>
      <w:r>
        <w:t xml:space="preserve"> group-ebcf2a393e2565719d73</w:t>
      </w:r>
    </w:p>
    <w:p>
      <w:pPr>
        <w:pStyle w:val="SourceNote"/>
      </w:pPr>
      <w:r>
        <w:rPr>
          <w:b/>
        </w:rPr>
        <w:t>Original source:</w:t>
      </w:r>
      <w:r>
        <w:t xml:space="preserve"> https://doi.org/10.46872/pj.323</w:t>
      </w:r>
    </w:p>
    <w:p>
      <w:pPr/>
      <w:r>
        <w:rPr>
          <w:b/>
        </w:rPr>
        <w:t>Original future claim:</w:t>
      </w:r>
      <w:r>
        <w:t xml:space="preserve"> 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r>
        <w:rPr>
          <w:b/>
        </w:rPr>
        <w:t>Later source:</w:t>
      </w:r>
      <w:r>
        <w:t xml:space="preserve"> A database of eels and their freshwater habitats in southwestern Europe — https://doi.org/10.1038/s41597-026-07213-3</w:t>
      </w:r>
    </w:p>
    <w:p>
      <w:pPr/>
      <w:r>
        <w:rPr>
          <w:b/>
        </w:rPr>
        <w:t>Later source:</w:t>
      </w:r>
      <w:r>
        <w:t xml:space="preserve"> State-owned Banks and Profitability in Central and Eastern Europe: Testing the State-owned Banks Advantage Hypothesis — https://doi.org/10.18778/1508-2008.29.14</w:t>
      </w:r>
    </w:p>
    <w:p>
      <w:pPr>
        <w:pStyle w:val="SourceNote"/>
      </w:pPr>
      <w:r>
        <w:rPr>
          <w:b/>
        </w:rPr>
        <w:t>Review status:</w:t>
      </w:r>
      <w:r>
        <w:t xml:space="preserve"> unchecked — possible relationship only</w:t>
      </w:r>
    </w:p>
    <w:p>
      <w:pPr>
        <w:pStyle w:val="Heading2"/>
      </w:pPr>
      <w:r>
        <w:t>442. Claim + two later sources: Econometric Studies on the Development of Renewable Energy Sources to Support the European Union 2020–2030 Climate and Energy Framework: A Critical Appraisal</w:t>
      </w:r>
    </w:p>
    <w:p>
      <w:pPr>
        <w:pStyle w:val="SourceNote"/>
      </w:pPr>
      <w:r>
        <w:rPr>
          <w:b/>
        </w:rPr>
        <w:t>Group ID:</w:t>
      </w:r>
      <w:r>
        <w:t xml:space="preserve"> group-0884b37696957a391561</w:t>
      </w:r>
    </w:p>
    <w:p>
      <w:pPr>
        <w:pStyle w:val="SourceNote"/>
      </w:pPr>
      <w:r>
        <w:rPr>
          <w:b/>
        </w:rPr>
        <w:t>Original source:</w:t>
      </w:r>
      <w:r>
        <w:t xml:space="preserve"> https://doi.org/10.3390/su12124828</w:t>
      </w:r>
    </w:p>
    <w:p>
      <w:pPr/>
      <w:r>
        <w:rPr>
          <w:b/>
        </w:rPr>
        <w:t>Original future claim:</w:t>
      </w:r>
      <w:r>
        <w:t xml:space="preserve"> One of the key objectives of the European Union is the transition to a total decarbonization of the economy by 2050.</w:t>
      </w:r>
    </w:p>
    <w:p>
      <w:pPr/>
      <w:r>
        <w:rPr>
          <w:b/>
        </w:rPr>
        <w:t>Later source:</w:t>
      </w:r>
      <w:r>
        <w:t xml:space="preserve"> The European Council turns 50: Studying and analyzing a key institution of the European Union — https://doi.org/10.1017/s1682098325100106</w:t>
      </w:r>
    </w:p>
    <w:p>
      <w:pPr/>
      <w:r>
        <w:rPr>
          <w:b/>
        </w:rPr>
        <w:t>Later source:</w:t>
      </w:r>
      <w:r>
        <w:t xml:space="preserve"> Key сhallenges of EU environmental law arising from the European Green Deal — https://doi.org/10.24144/2307-3322.2026.94.2.29</w:t>
      </w:r>
    </w:p>
    <w:p>
      <w:pPr>
        <w:pStyle w:val="SourceNote"/>
      </w:pPr>
      <w:r>
        <w:rPr>
          <w:b/>
        </w:rPr>
        <w:t>Review status:</w:t>
      </w:r>
      <w:r>
        <w:t xml:space="preserve"> unchecked — possible relationship only</w:t>
      </w:r>
    </w:p>
    <w:p>
      <w:pPr>
        <w:pStyle w:val="Heading2"/>
      </w:pPr>
      <w:r>
        <w:t>443. Claim + two later sources: The future of polarisation in Europe: relative cosmopolitanism and democracy</w:t>
      </w:r>
    </w:p>
    <w:p>
      <w:pPr>
        <w:pStyle w:val="SourceNote"/>
      </w:pPr>
      <w:r>
        <w:rPr>
          <w:b/>
        </w:rPr>
        <w:t>Group ID:</w:t>
      </w:r>
      <w:r>
        <w:t xml:space="preserve"> group-876be0e44f4a9d4bf4a1</w:t>
      </w:r>
    </w:p>
    <w:p>
      <w:pPr>
        <w:pStyle w:val="SourceNote"/>
      </w:pPr>
      <w:r>
        <w:rPr>
          <w:b/>
        </w:rPr>
        <w:t>Original source:</w:t>
      </w:r>
      <w:r>
        <w:t xml:space="preserve"> https://doi.org/10.1186/s40309-021-00183-2</w:t>
      </w:r>
    </w:p>
    <w:p>
      <w:pPr/>
      <w:r>
        <w:rPr>
          <w:b/>
        </w:rPr>
        <w:t>Original future claim:</w:t>
      </w:r>
      <w:r>
        <w:t xml:space="preserve"> 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r>
        <w:rPr>
          <w:b/>
        </w:rPr>
        <w:t>Later source:</w:t>
      </w:r>
      <w:r>
        <w:t xml:space="preserve"> Martyrdom and Patience of Saint Eustathius of Mtskheta / Translation from Old Georgian, Introductory Article and Commentaries by N. Nazarov — https://doi.org/10.15407/orientw2026.03.109</w:t>
      </w:r>
    </w:p>
    <w:p>
      <w:pPr/>
      <w:r>
        <w:rPr>
          <w:b/>
        </w:rPr>
        <w:t>Later source:</w:t>
      </w:r>
      <w:r>
        <w:t xml:space="preserve"> Polarisation beyond the Pandemic? — https://doi.org/10.17570/stj.2024.v10n1.18</w:t>
      </w:r>
    </w:p>
    <w:p>
      <w:pPr>
        <w:pStyle w:val="SourceNote"/>
      </w:pPr>
      <w:r>
        <w:rPr>
          <w:b/>
        </w:rPr>
        <w:t>Review status:</w:t>
      </w:r>
      <w:r>
        <w:t xml:space="preserve"> unchecked — possible relationship only</w:t>
      </w:r>
    </w:p>
    <w:p>
      <w:pPr>
        <w:pStyle w:val="Heading2"/>
      </w:pPr>
      <w:r>
        <w:t>444. Claim + two later sources: Energy Scenario Analysis for the Nordic Transport Sector: A Critical Review</w:t>
      </w:r>
    </w:p>
    <w:p>
      <w:pPr>
        <w:pStyle w:val="SourceNote"/>
      </w:pPr>
      <w:r>
        <w:rPr>
          <w:b/>
        </w:rPr>
        <w:t>Group ID:</w:t>
      </w:r>
      <w:r>
        <w:t xml:space="preserve"> group-6b237cd4d8b71ad58433</w:t>
      </w:r>
    </w:p>
    <w:p>
      <w:pPr>
        <w:pStyle w:val="SourceNote"/>
      </w:pPr>
      <w:r>
        <w:rPr>
          <w:b/>
        </w:rPr>
        <w:t>Original source:</w:t>
      </w:r>
      <w:r>
        <w:t xml:space="preserve"> https://doi.org/10.3390/en12122232</w:t>
      </w:r>
    </w:p>
    <w:p>
      <w:pPr/>
      <w:r>
        <w:rPr>
          <w:b/>
        </w:rPr>
        <w:t>Original future claim:</w:t>
      </w:r>
      <w:r>
        <w:t xml:space="preserve"> Relying on a rich and diversified portfolio of renewable sources and expertise, the Nordic countries could benefit from a common mitigation strategy by encompassing a larger variety of solutions and potential synergies.</w:t>
      </w:r>
    </w:p>
    <w:p>
      <w:pPr/>
      <w:r>
        <w:rPr>
          <w:b/>
        </w:rPr>
        <w:t>Later source:</w:t>
      </w:r>
      <w:r>
        <w:t xml:space="preserve"> Transition from Fossil Fuels to Renewables: A Comparative Analysis Between Energy-Rich and Energy-Poor Economies — https://doi.org/10.3390/commodities5020009</w:t>
      </w:r>
    </w:p>
    <w:p>
      <w:pPr/>
      <w:r>
        <w:rPr>
          <w:b/>
        </w:rPr>
        <w:t>Later source:</w:t>
      </w:r>
      <w:r>
        <w:t xml:space="preserve"> Downstream Diversification of Critical Mineral-Rich Countries — https://doi.org/10.1007/978-3-032-06139-3_1</w:t>
      </w:r>
    </w:p>
    <w:p>
      <w:pPr>
        <w:pStyle w:val="SourceNote"/>
      </w:pPr>
      <w:r>
        <w:rPr>
          <w:b/>
        </w:rPr>
        <w:t>Review status:</w:t>
      </w:r>
      <w:r>
        <w:t xml:space="preserve"> unchecked — possible relationship only</w:t>
      </w:r>
    </w:p>
    <w:p>
      <w:pPr>
        <w:pStyle w:val="Heading2"/>
      </w:pPr>
      <w:r>
        <w:t>445. Claim + two later sources: Delphi Prospection on Additive Manufacturing in 2030: Implications for Education and Employment in Spain</w:t>
      </w:r>
    </w:p>
    <w:p>
      <w:pPr>
        <w:pStyle w:val="SourceNote"/>
      </w:pPr>
      <w:r>
        <w:rPr>
          <w:b/>
        </w:rPr>
        <w:t>Group ID:</w:t>
      </w:r>
      <w:r>
        <w:t xml:space="preserve"> group-199d430037c3a4011789</w:t>
      </w:r>
    </w:p>
    <w:p>
      <w:pPr>
        <w:pStyle w:val="SourceNote"/>
      </w:pPr>
      <w:r>
        <w:rPr>
          <w:b/>
        </w:rPr>
        <w:t>Original source:</w:t>
      </w:r>
      <w:r>
        <w:t xml:space="preserve"> https://doi.org/10.3390/ma11091500</w:t>
      </w:r>
    </w:p>
    <w:p>
      <w:pPr/>
      <w:r>
        <w:rPr>
          <w:b/>
        </w:rPr>
        <w:t>Original future claim:</w:t>
      </w:r>
      <w:r>
        <w:t xml:space="preserve"> 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r>
        <w:rPr>
          <w:b/>
        </w:rPr>
        <w:t>Later source:</w:t>
      </w:r>
      <w:r>
        <w:t xml:space="preserve"> Spain — https://doi.org/10.4324/9780429263736-8</w:t>
      </w:r>
    </w:p>
    <w:p>
      <w:pPr/>
      <w:r>
        <w:rPr>
          <w:b/>
        </w:rPr>
        <w:t>Later source:</w:t>
      </w:r>
      <w:r>
        <w:t xml:space="preserve"> EUROPEAN LONGITUDE PRIZES. I: LONGITUDE DETERMINATION IN THE SPANISH EMPIRE — https://doi.org/10.3724/sp.j.1440-2807.2020.03.03</w:t>
      </w:r>
    </w:p>
    <w:p>
      <w:pPr>
        <w:pStyle w:val="SourceNote"/>
      </w:pPr>
      <w:r>
        <w:rPr>
          <w:b/>
        </w:rPr>
        <w:t>Review status:</w:t>
      </w:r>
      <w:r>
        <w:t xml:space="preserve"> unchecked — possible relationship only</w:t>
      </w:r>
    </w:p>
    <w:p>
      <w:pPr>
        <w:pStyle w:val="Heading2"/>
      </w:pPr>
      <w:r>
        <w:t>446. Claim + two later sources: Suitability of European climate for the Asian tiger mosquito Aedes albopictus : recent trends and future scenarios</w:t>
      </w:r>
    </w:p>
    <w:p>
      <w:pPr>
        <w:pStyle w:val="SourceNote"/>
      </w:pPr>
      <w:r>
        <w:rPr>
          <w:b/>
        </w:rPr>
        <w:t>Group ID:</w:t>
      </w:r>
      <w:r>
        <w:t xml:space="preserve"> group-a7a0652c0d25bf8bee29</w:t>
      </w:r>
    </w:p>
    <w:p>
      <w:pPr>
        <w:pStyle w:val="SourceNote"/>
      </w:pPr>
      <w:r>
        <w:rPr>
          <w:b/>
        </w:rPr>
        <w:t>Original source:</w:t>
      </w:r>
      <w:r>
        <w:t xml:space="preserve"> https://doi.org/10.1098/rsif.2012.0138</w:t>
      </w:r>
    </w:p>
    <w:p>
      <w:pPr/>
      <w:r>
        <w:rPr>
          <w:b/>
        </w:rPr>
        <w:t>Original future claim:</w:t>
      </w:r>
      <w:r>
        <w:t xml:space="preserve"> 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r>
        <w:rPr>
          <w:b/>
        </w:rPr>
        <w:t>Later source:</w:t>
      </w:r>
      <w:r>
        <w:t xml:space="preserve"> Trends in relative and absolute mobility of homeownership in Europe — https://doi.org/10.31219/osf.io/zdu2n_v1</w:t>
      </w:r>
    </w:p>
    <w:p>
      <w:pPr/>
      <w:r>
        <w:rPr>
          <w:b/>
        </w:rPr>
        <w:t>Later source:</w:t>
      </w:r>
      <w:r>
        <w:t xml:space="preserve"> #148 Impact of targeted screening in high-risk individuals and guideline-directed medical therapy on CKD burden in Europe: projections from IMPACT CKD — https://doi.org/10.1093/ndt/gfaf116.047</w:t>
      </w:r>
    </w:p>
    <w:p>
      <w:pPr>
        <w:pStyle w:val="SourceNote"/>
      </w:pPr>
      <w:r>
        <w:rPr>
          <w:b/>
        </w:rPr>
        <w:t>Review status:</w:t>
      </w:r>
      <w:r>
        <w:t xml:space="preserve"> unchecked — possible relationship only</w:t>
      </w:r>
    </w:p>
    <w:p>
      <w:pPr>
        <w:pStyle w:val="Heading2"/>
      </w:pPr>
      <w:r>
        <w:t>447. Claim + two later sources: OPERATIONAL EARTHQUAKE FORECASTING. State of Knowledge and Guidelines for Utilization</w:t>
      </w:r>
    </w:p>
    <w:p>
      <w:pPr>
        <w:pStyle w:val="SourceNote"/>
      </w:pPr>
      <w:r>
        <w:rPr>
          <w:b/>
        </w:rPr>
        <w:t>Group ID:</w:t>
      </w:r>
      <w:r>
        <w:t xml:space="preserve"> group-6e0d7c0b920061692ed3</w:t>
      </w:r>
    </w:p>
    <w:p>
      <w:pPr>
        <w:pStyle w:val="SourceNote"/>
      </w:pPr>
      <w:r>
        <w:rPr>
          <w:b/>
        </w:rPr>
        <w:t>Original source:</w:t>
      </w:r>
      <w:r>
        <w:t xml:space="preserve"> https://doi.org/10.4401/ag-5350</w:t>
      </w:r>
    </w:p>
    <w:p>
      <w:pPr/>
      <w:r>
        <w:rPr>
          <w:b/>
        </w:rPr>
        <w:t>Original future claim:</w:t>
      </w:r>
      <w:r>
        <w:t xml:space="preserve"> 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r>
        <w:rPr>
          <w:b/>
        </w:rPr>
        <w:t>Later source:</w:t>
      </w:r>
      <w:r>
        <w:t xml:space="preserve"> Long-term scenario for a decarbonised European energy system — https://openalex.org/W7141777866</w:t>
      </w:r>
    </w:p>
    <w:p>
      <w:pPr/>
      <w:r>
        <w:rPr>
          <w:b/>
        </w:rPr>
        <w:t>Later source:</w:t>
      </w:r>
      <w:r>
        <w:t xml:space="preserve"> Albanian Civil Code 1929 as Part of the European Family of Civil Law — https://doi.org/10.33327/ajee-18-6.3-a000307</w:t>
      </w:r>
    </w:p>
    <w:p>
      <w:pPr>
        <w:pStyle w:val="SourceNote"/>
      </w:pPr>
      <w:r>
        <w:rPr>
          <w:b/>
        </w:rPr>
        <w:t>Review status:</w:t>
      </w:r>
      <w:r>
        <w:t xml:space="preserve"> unchecked — possible relationship only</w:t>
      </w:r>
    </w:p>
    <w:p>
      <w:pPr>
        <w:pStyle w:val="Heading2"/>
      </w:pPr>
      <w:r>
        <w:t>448. Claim + two later sources: The European Health Union: European Union’s Concern about Health for All. Concepts, Definition, and Scenarios</w:t>
      </w:r>
    </w:p>
    <w:p>
      <w:pPr>
        <w:pStyle w:val="SourceNote"/>
      </w:pPr>
      <w:r>
        <w:rPr>
          <w:b/>
        </w:rPr>
        <w:t>Group ID:</w:t>
      </w:r>
      <w:r>
        <w:t xml:space="preserve"> group-ef4668774baef94366bf</w:t>
      </w:r>
    </w:p>
    <w:p>
      <w:pPr>
        <w:pStyle w:val="SourceNote"/>
      </w:pPr>
      <w:r>
        <w:rPr>
          <w:b/>
        </w:rPr>
        <w:t>Original source:</w:t>
      </w:r>
      <w:r>
        <w:t xml:space="preserve"> https://doi.org/10.3390/healthcare9121741</w:t>
      </w:r>
    </w:p>
    <w:p>
      <w:pPr/>
      <w:r>
        <w:rPr>
          <w:b/>
        </w:rPr>
        <w:t>Original future claim:</w:t>
      </w:r>
      <w:r>
        <w:t xml:space="preserve"> 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r>
        <w:rPr>
          <w:b/>
        </w:rPr>
        <w:t>Later source:</w:t>
      </w:r>
      <w:r>
        <w:t xml:space="preserve"> Natural Gas Transit from West Africa to Europe (Africa Atlantic Gas Pipeline) to Maximize Energy Security and Transit Revenues by 2050 — https://doi.org/10.62762/jgee.2025.372522</w:t>
      </w:r>
    </w:p>
    <w:p>
      <w:pPr/>
      <w:r>
        <w:rPr>
          <w:b/>
        </w:rPr>
        <w:t>Later source:</w:t>
      </w:r>
      <w:r>
        <w:t xml:space="preserve"> The Process and Effectiveness of Strategic Planning in Higher Education: Evidence From Five European Countries — https://doi.org/10.1111/ejed.70585</w:t>
      </w:r>
    </w:p>
    <w:p>
      <w:pPr>
        <w:pStyle w:val="SourceNote"/>
      </w:pPr>
      <w:r>
        <w:rPr>
          <w:b/>
        </w:rPr>
        <w:t>Review status:</w:t>
      </w:r>
      <w:r>
        <w:t xml:space="preserve"> unchecked — possible relationship only</w:t>
      </w:r>
    </w:p>
    <w:p>
      <w:pPr>
        <w:pStyle w:val="Heading2"/>
      </w:pPr>
      <w:r>
        <w:t>449. Claim + two later sources: Ageing population and labour productivity in Bulgaria</w:t>
      </w:r>
    </w:p>
    <w:p>
      <w:pPr>
        <w:pStyle w:val="SourceNote"/>
      </w:pPr>
      <w:r>
        <w:rPr>
          <w:b/>
        </w:rPr>
        <w:t>Group ID:</w:t>
      </w:r>
      <w:r>
        <w:t xml:space="preserve"> group-5fc5773ec90876c54807</w:t>
      </w:r>
    </w:p>
    <w:p>
      <w:pPr>
        <w:pStyle w:val="SourceNote"/>
      </w:pPr>
      <w:r>
        <w:rPr>
          <w:b/>
        </w:rPr>
        <w:t>Original source:</w:t>
      </w:r>
      <w:r>
        <w:t xml:space="preserve"> https://doi.org/10.5771/1435-2869-2011-4-521</w:t>
      </w:r>
    </w:p>
    <w:p>
      <w:pPr/>
      <w:r>
        <w:rPr>
          <w:b/>
        </w:rPr>
        <w:t>Original future claim:</w:t>
      </w:r>
      <w:r>
        <w:t xml:space="preserve"> 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r>
        <w:rPr>
          <w:b/>
        </w:rPr>
        <w:t>Later source:</w:t>
      </w:r>
      <w:r>
        <w:t xml:space="preserve"> Measuring the third mission of European Universities: A systematic literature review — https://doi.org/10.1556/204.2023.00030</w:t>
      </w:r>
    </w:p>
    <w:p>
      <w:pPr/>
      <w:r>
        <w:rPr>
          <w:b/>
        </w:rPr>
        <w:t>Later source:</w:t>
      </w:r>
      <w:r>
        <w:t xml:space="preserve"> Bronchiectasis in Europe: data on disease characteristics from the European Bronchiectasis registry (EMBARC) — https://doi.org/10.1016/s2213-2600(23)00093-0</w:t>
      </w:r>
    </w:p>
    <w:p>
      <w:pPr>
        <w:pStyle w:val="SourceNote"/>
      </w:pPr>
      <w:r>
        <w:rPr>
          <w:b/>
        </w:rPr>
        <w:t>Review status:</w:t>
      </w:r>
      <w:r>
        <w:t xml:space="preserve"> unchecked — possible relationship only</w:t>
      </w:r>
    </w:p>
    <w:p>
      <w:pPr>
        <w:pStyle w:val="Heading2"/>
      </w:pPr>
      <w:r>
        <w:t>450. Claim + two later sources: Analysing the potential of integrating wind and solar power in Europe using spatial optimisation under various scenarios</w:t>
      </w:r>
    </w:p>
    <w:p>
      <w:pPr>
        <w:pStyle w:val="SourceNote"/>
      </w:pPr>
      <w:r>
        <w:rPr>
          <w:b/>
        </w:rPr>
        <w:t>Group ID:</w:t>
      </w:r>
      <w:r>
        <w:t xml:space="preserve"> group-37f053c96a832184b4f6</w:t>
      </w:r>
    </w:p>
    <w:p>
      <w:pPr>
        <w:pStyle w:val="SourceNote"/>
      </w:pPr>
      <w:r>
        <w:rPr>
          <w:b/>
        </w:rPr>
        <w:t>Original source:</w:t>
      </w:r>
      <w:r>
        <w:t xml:space="preserve"> https://doi.org/10.1016/j.rser.2018.05.071</w:t>
      </w:r>
    </w:p>
    <w:p>
      <w:pPr/>
      <w:r>
        <w:rPr>
          <w:b/>
        </w:rPr>
        <w:t>Original future claim:</w:t>
      </w:r>
      <w:r>
        <w:t xml:space="preserve"> 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r>
        <w:rPr>
          <w:b/>
        </w:rPr>
        <w:t>Later source:</w:t>
      </w:r>
      <w:r>
        <w:t xml:space="preserve"> The opportunities and potential of camelina in marginal land in Europe — https://doi.org/10.1016/j.indcrop.2024.118224</w:t>
      </w:r>
    </w:p>
    <w:p>
      <w:pPr/>
      <w:r>
        <w:rPr>
          <w:b/>
        </w:rPr>
        <w:t>Later source:</w:t>
      </w:r>
      <w:r>
        <w:t xml:space="preserve"> Disparities of Central and Eastern European Countries of European Union in innovation potential: A multi-criteria assessment — https://doi.org/10.1016/j.joitmc.2024.100282</w:t>
      </w:r>
    </w:p>
    <w:p>
      <w:pPr>
        <w:pStyle w:val="SourceNote"/>
      </w:pPr>
      <w:r>
        <w:rPr>
          <w:b/>
        </w:rPr>
        <w:t>Review status:</w:t>
      </w:r>
      <w:r>
        <w:t xml:space="preserve"> unchecked — possible relationship only</w:t>
      </w:r>
    </w:p>
    <w:p>
      <w:pPr>
        <w:pStyle w:val="Heading2"/>
      </w:pPr>
      <w:r>
        <w:t>451. Claim + two later sources: How Sustainable Development Goals interlinkages influence European Union countries’ progress towards the 2030 Agenda</w:t>
      </w:r>
    </w:p>
    <w:p>
      <w:pPr>
        <w:pStyle w:val="SourceNote"/>
      </w:pPr>
      <w:r>
        <w:rPr>
          <w:b/>
        </w:rPr>
        <w:t>Group ID:</w:t>
      </w:r>
      <w:r>
        <w:t xml:space="preserve"> group-4c4707f1e3699a9145a3</w:t>
      </w:r>
    </w:p>
    <w:p>
      <w:pPr>
        <w:pStyle w:val="SourceNote"/>
      </w:pPr>
      <w:r>
        <w:rPr>
          <w:b/>
        </w:rPr>
        <w:t>Original source:</w:t>
      </w:r>
      <w:r>
        <w:t xml:space="preserve"> https://doi.org/10.1002/sd.2290</w:t>
      </w:r>
    </w:p>
    <w:p>
      <w:pPr/>
      <w:r>
        <w:rPr>
          <w:b/>
        </w:rPr>
        <w:t>Original future claim:</w:t>
      </w:r>
      <w:r>
        <w:t xml:space="preserve"> 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r>
        <w:rPr>
          <w:b/>
        </w:rPr>
        <w:t>Later source:</w:t>
      </w:r>
      <w:r>
        <w:t xml:space="preserve"> Trade induced extinction risk footprints by European financial institutions — https://doi.org/10.1038/s41598-026-58778-3</w:t>
      </w:r>
    </w:p>
    <w:p>
      <w:pPr/>
      <w:r>
        <w:rPr>
          <w:b/>
        </w:rPr>
        <w:t>Later source:</w:t>
      </w:r>
      <w:r>
        <w:t xml:space="preserve"> The Safe Guardian of Europe : A Critical Discourse Analysis of the European Commission's Geopolitical Actorness and Enlargement Agenda — https://openalex.org/W7212332556</w:t>
      </w:r>
    </w:p>
    <w:p>
      <w:pPr>
        <w:pStyle w:val="SourceNote"/>
      </w:pPr>
      <w:r>
        <w:rPr>
          <w:b/>
        </w:rPr>
        <w:t>Review status:</w:t>
      </w:r>
      <w:r>
        <w:t xml:space="preserve"> unchecked — possible relationship only</w:t>
      </w:r>
    </w:p>
    <w:p>
      <w:pPr>
        <w:pStyle w:val="Heading2"/>
      </w:pPr>
      <w:r>
        <w:t>452. Claim + two later sources: Decoupling transport-related greenhouse gas emissions and economic growth in the European Union countries</w:t>
      </w:r>
    </w:p>
    <w:p>
      <w:pPr>
        <w:pStyle w:val="SourceNote"/>
      </w:pPr>
      <w:r>
        <w:rPr>
          <w:b/>
        </w:rPr>
        <w:t>Group ID:</w:t>
      </w:r>
      <w:r>
        <w:t xml:space="preserve"> group-41bfdb19426101bcdfb8</w:t>
      </w:r>
    </w:p>
    <w:p>
      <w:pPr>
        <w:pStyle w:val="SourceNote"/>
      </w:pPr>
      <w:r>
        <w:rPr>
          <w:b/>
        </w:rPr>
        <w:t>Original source:</w:t>
      </w:r>
      <w:r>
        <w:t xml:space="preserve"> https://doi.org/10.13044/j.sdewes.d9.0411</w:t>
      </w:r>
    </w:p>
    <w:p>
      <w:pPr/>
      <w:r>
        <w:rPr>
          <w:b/>
        </w:rPr>
        <w:t>Original future claim:</w:t>
      </w:r>
      <w:r>
        <w:t xml:space="preserve"> 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r>
        <w:rPr>
          <w:b/>
        </w:rPr>
        <w:t>Later source:</w:t>
      </w:r>
      <w:r>
        <w:t xml:space="preserve"> A multi-model analysis of hydrogen uptake in a climate-neutral Europe — https://doi.org/10.1038/s41467-026-78681-9</w:t>
      </w:r>
    </w:p>
    <w:p>
      <w:pPr/>
      <w:r>
        <w:rPr>
          <w:b/>
        </w:rPr>
        <w:t>Later source:</w:t>
      </w:r>
      <w:r>
        <w:t xml:space="preserve"> The European Union — https://doi.org/10.1017/9781009293723.009</w:t>
      </w:r>
    </w:p>
    <w:p>
      <w:pPr>
        <w:pStyle w:val="SourceNote"/>
      </w:pPr>
      <w:r>
        <w:rPr>
          <w:b/>
        </w:rPr>
        <w:t>Review status:</w:t>
      </w:r>
      <w:r>
        <w:t xml:space="preserve"> unchecked — possible relationship only</w:t>
      </w:r>
    </w:p>
    <w:p>
      <w:pPr>
        <w:pStyle w:val="Heading2"/>
      </w:pPr>
      <w:r>
        <w:t>453. Claim + two later sources: CROATIAN RURAL FUTURES IN 2030: FOUR ALTERNATIVE SCENARIOS FOR POSTSOCIALIST COUNTRYSIDE IN THE NEWEST E.U. MEMBER STATE</w:t>
      </w:r>
    </w:p>
    <w:p>
      <w:pPr>
        <w:pStyle w:val="SourceNote"/>
      </w:pPr>
      <w:r>
        <w:rPr>
          <w:b/>
        </w:rPr>
        <w:t>Group ID:</w:t>
      </w:r>
      <w:r>
        <w:t xml:space="preserve"> group-f91ad8f879ed17afabc7</w:t>
      </w:r>
    </w:p>
    <w:p>
      <w:pPr>
        <w:pStyle w:val="SourceNote"/>
      </w:pPr>
      <w:r>
        <w:rPr>
          <w:b/>
        </w:rPr>
        <w:t>Original source:</w:t>
      </w:r>
      <w:r>
        <w:t xml:space="preserve"> https://doi.org/10.1080/00167428.2020.1871298</w:t>
      </w:r>
    </w:p>
    <w:p>
      <w:pPr/>
      <w:r>
        <w:rPr>
          <w:b/>
        </w:rPr>
        <w:t>Original future claim:</w:t>
      </w:r>
      <w:r>
        <w:t xml:space="preserve"> The aim of this research is to construct alternative scenarios for rural Croatia in 2030, acknowledging its postsocialist transition as an important framework. Four scenarios were developed: Rural Renaissance, Shift, Road to Nowhere, and Growth without Development.</w:t>
      </w:r>
    </w:p>
    <w:p>
      <w:pPr/>
      <w:r>
        <w:rPr>
          <w:b/>
        </w:rPr>
        <w:t>Later source:</w:t>
      </w:r>
      <w:r>
        <w:t xml:space="preserve"> Reliability and Construct Validity of the Short Physical Performance Battery in Croatian Older Adults — https://doi.org/10.3390/geriatrics11020033</w:t>
      </w:r>
    </w:p>
    <w:p>
      <w:pPr/>
      <w:r>
        <w:rPr>
          <w:b/>
        </w:rPr>
        <w:t>Later source:</w:t>
      </w:r>
      <w:r>
        <w:t xml:space="preserve"> Alternative Investment Funds: Regulation in European Union Law and Prospects for Implementation in Ukraine — https://doi.org/10.31359/1993-0909.2026.33.3.386</w:t>
      </w:r>
    </w:p>
    <w:p>
      <w:pPr>
        <w:pStyle w:val="SourceNote"/>
      </w:pPr>
      <w:r>
        <w:rPr>
          <w:b/>
        </w:rPr>
        <w:t>Review status:</w:t>
      </w:r>
      <w:r>
        <w:t xml:space="preserve"> unchecked — possible relationship only</w:t>
      </w:r>
    </w:p>
    <w:p>
      <w:pPr>
        <w:pStyle w:val="Heading2"/>
      </w:pPr>
      <w:r>
        <w:t>454. Claim + two later sources: Modelling street level PM 10 concentrations across Europe: source apportionment and possible futures</w:t>
      </w:r>
    </w:p>
    <w:p>
      <w:pPr>
        <w:pStyle w:val="SourceNote"/>
      </w:pPr>
      <w:r>
        <w:rPr>
          <w:b/>
        </w:rPr>
        <w:t>Group ID:</w:t>
      </w:r>
      <w:r>
        <w:t xml:space="preserve"> group-1b8b5953d2181f4f99bc</w:t>
      </w:r>
    </w:p>
    <w:p>
      <w:pPr>
        <w:pStyle w:val="SourceNote"/>
      </w:pPr>
      <w:r>
        <w:rPr>
          <w:b/>
        </w:rPr>
        <w:t>Original source:</w:t>
      </w:r>
      <w:r>
        <w:t xml:space="preserve"> https://doi.org/10.5194/acp-15-1539-2015</w:t>
      </w:r>
    </w:p>
    <w:p>
      <w:pPr/>
      <w:r>
        <w:rPr>
          <w:b/>
        </w:rPr>
        <w:t>Original future claim:</w:t>
      </w:r>
      <w:r>
        <w:t xml:space="preserve"> 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r>
        <w:rPr>
          <w:b/>
        </w:rPr>
        <w:t>Later source:</w:t>
      </w:r>
      <w:r>
        <w:t xml:space="preserve"> A transformer approach to forecasting PM10 concentration in the Arctic and Northern Europe — https://doi.org/10.1038/s44407-026-00071-8</w:t>
      </w:r>
    </w:p>
    <w:p>
      <w:pPr/>
      <w:r>
        <w:rPr>
          <w:b/>
        </w:rPr>
        <w:t>Later source:</w:t>
      </w:r>
      <w:r>
        <w:t xml:space="preserve"> Understanding and predicting the geographic distributions of phlebotomine sand flies in and around Europe — https://doi.org/10.1007/s10584-025-04009-z</w:t>
      </w:r>
    </w:p>
    <w:p>
      <w:pPr>
        <w:pStyle w:val="SourceNote"/>
      </w:pPr>
      <w:r>
        <w:rPr>
          <w:b/>
        </w:rPr>
        <w:t>Review status:</w:t>
      </w:r>
      <w:r>
        <w:t xml:space="preserve"> unchecked — possible relationship only</w:t>
      </w:r>
    </w:p>
    <w:p>
      <w:pPr>
        <w:pStyle w:val="Heading2"/>
      </w:pPr>
      <w:r>
        <w:t>455. Claim + two later sources: Futures of robotics. Human work in digital transformation</w:t>
      </w:r>
    </w:p>
    <w:p>
      <w:pPr>
        <w:pStyle w:val="SourceNote"/>
      </w:pPr>
      <w:r>
        <w:rPr>
          <w:b/>
        </w:rPr>
        <w:t>Group ID:</w:t>
      </w:r>
      <w:r>
        <w:t xml:space="preserve"> group-e63dccce30cf0f0b3acb</w:t>
      </w:r>
    </w:p>
    <w:p>
      <w:pPr>
        <w:pStyle w:val="SourceNote"/>
      </w:pPr>
      <w:r>
        <w:rPr>
          <w:b/>
        </w:rPr>
        <w:t>Original source:</w:t>
      </w:r>
      <w:r>
        <w:t xml:space="preserve"> https://doi.org/10.1504/ijtm.2017.10004003</w:t>
      </w:r>
    </w:p>
    <w:p>
      <w:pPr/>
      <w:r>
        <w:rPr>
          <w:b/>
        </w:rPr>
        <w:t>Original future claim:</w:t>
      </w:r>
      <w:r>
        <w:t xml:space="preserve"> We evaluate key future trends in the field of robotics and analyse different scenarios regarding the futures of human beings and work life.</w:t>
      </w:r>
    </w:p>
    <w:p>
      <w:pPr/>
      <w:r>
        <w:rPr>
          <w:b/>
        </w:rPr>
        <w:t>Later source:</w:t>
      </w:r>
      <w:r>
        <w:t xml:space="preserve"> Evaluating rainfall trend in four key stations of the Northwestern Himalayan region, Uttarakhand: utilizing innovative graphical approaches for trend assessment — https://doi.org/10.54302/mausam.v77i2.6492</w:t>
      </w:r>
    </w:p>
    <w:p>
      <w:pPr/>
      <w:r>
        <w:rPr>
          <w:b/>
        </w:rPr>
        <w:t>Later source:</w:t>
      </w:r>
      <w:r>
        <w:t xml:space="preserve"> Closed-Loop Electrical Control Systems for Agricultural Machinery: State of the Art and Future Trends in Key Technologies, Typical Applications, and Performance Evaluation — https://doi.org/10.3390/pr14203366</w:t>
      </w:r>
    </w:p>
    <w:p>
      <w:pPr>
        <w:pStyle w:val="SourceNote"/>
      </w:pPr>
      <w:r>
        <w:rPr>
          <w:b/>
        </w:rPr>
        <w:t>Review status:</w:t>
      </w:r>
      <w:r>
        <w:t xml:space="preserve"> unchecked — possible relationship only</w:t>
      </w:r>
    </w:p>
    <w:p>
      <w:pPr>
        <w:pStyle w:val="Heading2"/>
      </w:pPr>
      <w:r>
        <w:t>456. Claim + two later sources: Ensemble projections of future streamflow droughts in Europe</w:t>
      </w:r>
    </w:p>
    <w:p>
      <w:pPr>
        <w:pStyle w:val="SourceNote"/>
      </w:pPr>
      <w:r>
        <w:rPr>
          <w:b/>
        </w:rPr>
        <w:t>Group ID:</w:t>
      </w:r>
      <w:r>
        <w:t xml:space="preserve"> group-0bb3329a03b8d946709c</w:t>
      </w:r>
    </w:p>
    <w:p>
      <w:pPr>
        <w:pStyle w:val="SourceNote"/>
      </w:pPr>
      <w:r>
        <w:rPr>
          <w:b/>
        </w:rPr>
        <w:t>Original source:</w:t>
      </w:r>
      <w:r>
        <w:t xml:space="preserve"> https://doi.org/10.5194/hess-18-85-2014</w:t>
      </w:r>
    </w:p>
    <w:p>
      <w:pPr/>
      <w:r>
        <w:rPr>
          <w:b/>
        </w:rPr>
        <w:t>Original future claim:</w:t>
      </w:r>
      <w:r>
        <w:t xml:space="preserve"> 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r>
        <w:rPr>
          <w:b/>
        </w:rPr>
        <w:t>Later source:</w:t>
      </w:r>
      <w:r>
        <w:t xml:space="preserve"> Ecosystem service trade-offs of upstream afforestation: an integrated hydrological-economic assessment in the Sorraia basin, Portugal — https://doi.org/10.3389/fenvs.2026.1838037</w:t>
      </w:r>
    </w:p>
    <w:p>
      <w:pPr/>
      <w:r>
        <w:rPr>
          <w:b/>
        </w:rPr>
        <w:t>Later source:</w:t>
      </w:r>
      <w:r>
        <w:t xml:space="preserve"> Coupling a power system model with a hydrological model improves the representation of sub-monthly hydropower flexibility — https://doi.org/10.1016/j.apenergy.2025.126694</w:t>
      </w:r>
    </w:p>
    <w:p>
      <w:pPr>
        <w:pStyle w:val="SourceNote"/>
      </w:pPr>
      <w:r>
        <w:rPr>
          <w:b/>
        </w:rPr>
        <w:t>Review status:</w:t>
      </w:r>
      <w:r>
        <w:t xml:space="preserve"> unchecked — possible relationship only</w:t>
      </w:r>
    </w:p>
    <w:p>
      <w:pPr>
        <w:pStyle w:val="Heading2"/>
      </w:pPr>
      <w:r>
        <w:t>457. Claim + two later sources: Brexit deal and demographics drag on long‐term outlook</w:t>
      </w:r>
    </w:p>
    <w:p>
      <w:pPr>
        <w:pStyle w:val="SourceNote"/>
      </w:pPr>
      <w:r>
        <w:rPr>
          <w:b/>
        </w:rPr>
        <w:t>Group ID:</w:t>
      </w:r>
      <w:r>
        <w:t xml:space="preserve"> group-5c68ca39283731572518</w:t>
      </w:r>
    </w:p>
    <w:p>
      <w:pPr>
        <w:pStyle w:val="SourceNote"/>
      </w:pPr>
      <w:r>
        <w:rPr>
          <w:b/>
        </w:rPr>
        <w:t>Original source:</w:t>
      </w:r>
      <w:r>
        <w:t xml:space="preserve"> https://doi.org/10.1111/1468-0319.12461</w:t>
      </w:r>
    </w:p>
    <w:p>
      <w:pPr/>
      <w:r>
        <w:rPr>
          <w:b/>
        </w:rPr>
        <w:t>Original future claim:</w:t>
      </w:r>
      <w:r>
        <w:t xml:space="preserve"> 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r>
        <w:rPr>
          <w:b/>
        </w:rPr>
        <w:t>Later source:</w:t>
      </w:r>
      <w:r>
        <w:t xml:space="preserve"> Geopolitical and climate change risks affect FDI inflows: a bayesian panel data analysis — https://doi.org/10.1080/15140326.2026.2691367</w:t>
      </w:r>
    </w:p>
    <w:p>
      <w:pPr/>
      <w:r>
        <w:rPr>
          <w:b/>
        </w:rPr>
        <w:t>Later source:</w:t>
      </w:r>
      <w:r>
        <w:t xml:space="preserve"> Damage — https://doi.org/10.1093/he/9780198949695.003.0035</w:t>
      </w:r>
    </w:p>
    <w:p>
      <w:pPr>
        <w:pStyle w:val="SourceNote"/>
      </w:pPr>
      <w:r>
        <w:rPr>
          <w:b/>
        </w:rPr>
        <w:t>Review status:</w:t>
      </w:r>
      <w:r>
        <w:t xml:space="preserve"> unchecked — possible relationship only</w:t>
      </w:r>
    </w:p>
    <w:p>
      <w:pPr>
        <w:pStyle w:val="Heading2"/>
      </w:pPr>
      <w:r>
        <w:t>458. Claim + two later sources: Analyst earnings forecast revision activity around profit warnings across four European countries</w:t>
      </w:r>
    </w:p>
    <w:p>
      <w:pPr>
        <w:pStyle w:val="SourceNote"/>
      </w:pPr>
      <w:r>
        <w:rPr>
          <w:b/>
        </w:rPr>
        <w:t>Group ID:</w:t>
      </w:r>
      <w:r>
        <w:t xml:space="preserve"> group-cf43ae99c513a0dcf1ca</w:t>
      </w:r>
    </w:p>
    <w:p>
      <w:pPr>
        <w:pStyle w:val="SourceNote"/>
      </w:pPr>
      <w:r>
        <w:rPr>
          <w:b/>
        </w:rPr>
        <w:t>Original source:</w:t>
      </w:r>
      <w:r>
        <w:t xml:space="preserve"> https://doi.org/10.1108/jaar-01-2013-0005</w:t>
      </w:r>
    </w:p>
    <w:p>
      <w:pPr/>
      <w:r>
        <w:rPr>
          <w:b/>
        </w:rPr>
        <w:t>Original future claim:</w:t>
      </w:r>
      <w:r>
        <w:t xml:space="preserve"> 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r>
        <w:rPr>
          <w:b/>
        </w:rPr>
        <w:t>Later source:</w:t>
      </w:r>
      <w:r>
        <w:t xml:space="preserve"> The effect of ESG disclosure on firm value in the European context — https://doi.org/10.1108/md-10-2024-2480</w:t>
      </w:r>
    </w:p>
    <w:p>
      <w:pPr/>
      <w:r>
        <w:rPr>
          <w:b/>
        </w:rPr>
        <w:t>Later source:</w:t>
      </w:r>
      <w:r>
        <w:t xml:space="preserve"> Artificial Intelligence (AI): Educational Implications, Limitations and Future of Learning in Higher Education in Oyo State — https://doi.org/10.52589/bjeldp-vjwdllek</w:t>
      </w:r>
    </w:p>
    <w:p>
      <w:pPr>
        <w:pStyle w:val="SourceNote"/>
      </w:pPr>
      <w:r>
        <w:rPr>
          <w:b/>
        </w:rPr>
        <w:t>Review status:</w:t>
      </w:r>
      <w:r>
        <w:t xml:space="preserve"> unchecked — possible relationship only</w:t>
      </w:r>
    </w:p>
    <w:p>
      <w:pPr>
        <w:pStyle w:val="Heading2"/>
      </w:pPr>
      <w:r>
        <w:t>459. Claim + two later sources: A multi-model, multi-scenario, and multi-domain analysis of regional climate projections for the Mediterranean</w:t>
      </w:r>
    </w:p>
    <w:p>
      <w:pPr>
        <w:pStyle w:val="SourceNote"/>
      </w:pPr>
      <w:r>
        <w:rPr>
          <w:b/>
        </w:rPr>
        <w:t>Group ID:</w:t>
      </w:r>
      <w:r>
        <w:t xml:space="preserve"> group-60c6246a0b291c15fa3f</w:t>
      </w:r>
    </w:p>
    <w:p>
      <w:pPr>
        <w:pStyle w:val="SourceNote"/>
      </w:pPr>
      <w:r>
        <w:rPr>
          <w:b/>
        </w:rPr>
        <w:t>Original source:</w:t>
      </w:r>
      <w:r>
        <w:t xml:space="preserve"> https://doi.org/10.1007/s10113-019-01565-w</w:t>
      </w:r>
    </w:p>
    <w:p>
      <w:pPr/>
      <w:r>
        <w:rPr>
          <w:b/>
        </w:rPr>
        <w:t>Original future claim:</w:t>
      </w:r>
      <w:r>
        <w:t xml:space="preserve"> 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r>
        <w:rPr>
          <w:b/>
        </w:rPr>
        <w:t>Later source:</w:t>
      </w:r>
      <w:r>
        <w:t xml:space="preserve"> Designing integrated and resilient multi-energy systems via multi-objective optimization and scenario analysis — https://doi.org/10.1016/j.apenergy.2025.125281</w:t>
      </w:r>
    </w:p>
    <w:p>
      <w:pPr/>
      <w:r>
        <w:rPr>
          <w:b/>
        </w:rPr>
        <w:t>Later source:</w:t>
      </w:r>
      <w:r>
        <w:t xml:space="preserve"> Temporal clusters of extreme events across Europe in a regional multi-scenario/multi-member ensemble — https://doi.org/10.5194/ems2025-464</w:t>
      </w:r>
    </w:p>
    <w:p>
      <w:pPr>
        <w:pStyle w:val="SourceNote"/>
      </w:pPr>
      <w:r>
        <w:rPr>
          <w:b/>
        </w:rPr>
        <w:t>Review status:</w:t>
      </w:r>
      <w:r>
        <w:t xml:space="preserve"> unchecked — possible relationship only</w:t>
      </w:r>
    </w:p>
    <w:p>
      <w:pPr>
        <w:pStyle w:val="Heading2"/>
      </w:pPr>
      <w:r>
        <w:t>460. Claim + two later sources: A comparison of low carbon investment needs between China and Europe in stringent climate policy scenarios</w:t>
      </w:r>
    </w:p>
    <w:p>
      <w:pPr>
        <w:pStyle w:val="SourceNote"/>
      </w:pPr>
      <w:r>
        <w:rPr>
          <w:b/>
        </w:rPr>
        <w:t>Group ID:</w:t>
      </w:r>
      <w:r>
        <w:t xml:space="preserve"> group-e20c7f363a694045e6c9</w:t>
      </w:r>
    </w:p>
    <w:p>
      <w:pPr>
        <w:pStyle w:val="SourceNote"/>
      </w:pPr>
      <w:r>
        <w:rPr>
          <w:b/>
        </w:rPr>
        <w:t>Original source:</w:t>
      </w:r>
      <w:r>
        <w:t xml:space="preserve"> https://doi.org/10.1088/1748-9326/ab0dd8</w:t>
      </w:r>
    </w:p>
    <w:p>
      <w:pPr/>
      <w:r>
        <w:rPr>
          <w:b/>
        </w:rPr>
        <w:t>Original future claim:</w:t>
      </w:r>
      <w:r>
        <w:t xml:space="preserve"> 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r>
        <w:rPr>
          <w:b/>
        </w:rPr>
        <w:t>Later source:</w:t>
      </w:r>
      <w:r>
        <w:t xml:space="preserve"> Trade and Investment Connectivity in Europe and the Chinese Influence — https://doi.org/10.25353/ubtr-90f2-6aed-a60d</w:t>
      </w:r>
    </w:p>
    <w:p>
      <w:pPr/>
      <w:r>
        <w:rPr>
          <w:b/>
        </w:rPr>
        <w:t>Later source:</w:t>
      </w:r>
      <w:r>
        <w:t xml:space="preserve"> Examining the Philippines’ infrastructure and connectivity cooperation with China and the European Union — https://doi.org/10.1007/s44282-024-00076-2</w:t>
      </w:r>
    </w:p>
    <w:p>
      <w:pPr>
        <w:pStyle w:val="SourceNote"/>
      </w:pPr>
      <w:r>
        <w:rPr>
          <w:b/>
        </w:rPr>
        <w:t>Review status:</w:t>
      </w:r>
      <w:r>
        <w:t xml:space="preserve"> unchecked — possible relationship only</w:t>
      </w:r>
    </w:p>
    <w:p>
      <w:pPr>
        <w:pStyle w:val="Heading2"/>
      </w:pPr>
      <w:r>
        <w:t>461. Claim + two later sources: Will we reach the Sustainable Development Goals target for tuberculosis in the European Union/European Economic Area by 2030?</w:t>
      </w:r>
    </w:p>
    <w:p>
      <w:pPr>
        <w:pStyle w:val="SourceNote"/>
      </w:pPr>
      <w:r>
        <w:rPr>
          <w:b/>
        </w:rPr>
        <w:t>Group ID:</w:t>
      </w:r>
      <w:r>
        <w:t xml:space="preserve"> group-6e573a75b5c7d2718ea5</w:t>
      </w:r>
    </w:p>
    <w:p>
      <w:pPr>
        <w:pStyle w:val="SourceNote"/>
      </w:pPr>
      <w:r>
        <w:rPr>
          <w:b/>
        </w:rPr>
        <w:t>Original source:</w:t>
      </w:r>
      <w:r>
        <w:t xml:space="preserve"> https://doi.org/10.2807/1560-7917.es.2019.24.12.1900153</w:t>
      </w:r>
    </w:p>
    <w:p>
      <w:pPr/>
      <w:r>
        <w:rPr>
          <w:b/>
        </w:rPr>
        <w:t>Original future claim:</w:t>
      </w:r>
      <w:r>
        <w:t xml:space="preserve"> With the current average decline in notification rate and number of TB deaths however, the EU/EEA will not reach the targets by 2030.</w:t>
      </w:r>
    </w:p>
    <w:p>
      <w:pPr/>
      <w:r>
        <w:rPr>
          <w:b/>
        </w:rPr>
        <w:t>Later source:</w:t>
      </w:r>
      <w:r>
        <w:t xml:space="preserve"> Predicted decline in common bird and butterfly species even under conservation policy scenarios in Europe — https://doi.org/10.1038/s41559-026-03139-6</w:t>
      </w:r>
    </w:p>
    <w:p>
      <w:pPr/>
      <w:r>
        <w:rPr>
          <w:b/>
        </w:rPr>
        <w:t>Later source:</w:t>
      </w:r>
      <w:r>
        <w:t xml:space="preserve"> Growth decline in European beech associated with temperature-driven increase in reproductive allocation — https://doi.org/10.1073/pnas.2423181122</w:t>
      </w:r>
    </w:p>
    <w:p>
      <w:pPr>
        <w:pStyle w:val="SourceNote"/>
      </w:pPr>
      <w:r>
        <w:rPr>
          <w:b/>
        </w:rPr>
        <w:t>Review status:</w:t>
      </w:r>
      <w:r>
        <w:t xml:space="preserve"> unchecked — possible relationship only</w:t>
      </w:r>
    </w:p>
    <w:p>
      <w:pPr>
        <w:pStyle w:val="Heading2"/>
      </w:pPr>
      <w:r>
        <w:t>462. Claim + two later sources: Wood utilization scenarios and their sustainability impacts in Finland</w:t>
      </w:r>
    </w:p>
    <w:p>
      <w:pPr>
        <w:pStyle w:val="SourceNote"/>
      </w:pPr>
      <w:r>
        <w:rPr>
          <w:b/>
        </w:rPr>
        <w:t>Group ID:</w:t>
      </w:r>
      <w:r>
        <w:t xml:space="preserve"> group-e825d7d0c80972d38b16</w:t>
      </w:r>
    </w:p>
    <w:p>
      <w:pPr>
        <w:pStyle w:val="SourceNote"/>
      </w:pPr>
      <w:r>
        <w:rPr>
          <w:b/>
        </w:rPr>
        <w:t>Original source:</w:t>
      </w:r>
      <w:r>
        <w:t xml:space="preserve"> https://doi.org/10.14214/df.292</w:t>
      </w:r>
    </w:p>
    <w:p>
      <w:pPr/>
      <w:r>
        <w:rPr>
          <w:b/>
        </w:rPr>
        <w:t>Original future claim:</w:t>
      </w:r>
      <w:r>
        <w:t xml:space="preserve"> 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r>
        <w:rPr>
          <w:b/>
        </w:rPr>
        <w:t>Later source:</w:t>
      </w:r>
      <w:r>
        <w:t xml:space="preserve"> European green bonds, carbon tax and crowding-out: The economic, social and environmental impacts of the EU's green investments under different financing scenarios — https://doi.org/10.1016/j.rser.2025.115330</w:t>
      </w:r>
    </w:p>
    <w:p>
      <w:pPr/>
      <w:r>
        <w:rPr>
          <w:b/>
        </w:rPr>
        <w:t>Later source:</w:t>
      </w:r>
      <w:r>
        <w:t xml:space="preserve"> Promoting the European Sustainable Firm: How Economic, Social, and Green Innovation and the AI‐Based Technologies Create Pathways of Social and Environmental Sustainability — https://doi.org/10.1002/bse.70068</w:t>
      </w:r>
    </w:p>
    <w:p>
      <w:pPr>
        <w:pStyle w:val="SourceNote"/>
      </w:pPr>
      <w:r>
        <w:rPr>
          <w:b/>
        </w:rPr>
        <w:t>Review status:</w:t>
      </w:r>
      <w:r>
        <w:t xml:space="preserve"> unchecked — possible relationship only</w:t>
      </w:r>
    </w:p>
    <w:p>
      <w:pPr>
        <w:pStyle w:val="Heading2"/>
      </w:pPr>
      <w:r>
        <w:t>463. Claim + two later sources: South East Europe electricity roadmap – modelling energy transition in the electricity sectors</w:t>
      </w:r>
    </w:p>
    <w:p>
      <w:pPr>
        <w:pStyle w:val="SourceNote"/>
      </w:pPr>
      <w:r>
        <w:rPr>
          <w:b/>
        </w:rPr>
        <w:t>Group ID:</w:t>
      </w:r>
      <w:r>
        <w:t xml:space="preserve"> group-3304c3dc3370385bfc98</w:t>
      </w:r>
    </w:p>
    <w:p>
      <w:pPr>
        <w:pStyle w:val="SourceNote"/>
      </w:pPr>
      <w:r>
        <w:rPr>
          <w:b/>
        </w:rPr>
        <w:t>Original source:</w:t>
      </w:r>
      <w:r>
        <w:t xml:space="preserve"> https://doi.org/10.1080/14693062.2018.1532390</w:t>
      </w:r>
    </w:p>
    <w:p>
      <w:pPr/>
      <w:r>
        <w:rPr>
          <w:b/>
        </w:rPr>
        <w:t>Original future claim:</w:t>
      </w:r>
      <w:r>
        <w:t xml:space="preserve"> 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r>
        <w:rPr>
          <w:b/>
        </w:rPr>
        <w:t>Later source:</w:t>
      </w:r>
      <w:r>
        <w:t xml:space="preserve"> Unveiling the environmental impact of earthquakes in Europe — https://doi.org/10.1038/s41467-025-68120-6</w:t>
      </w:r>
    </w:p>
    <w:p>
      <w:pPr/>
      <w:r>
        <w:rPr>
          <w:b/>
        </w:rPr>
        <w:t>Later source:</w:t>
      </w:r>
      <w:r>
        <w:t xml:space="preserve"> Exploring adherence to the International Confederation of Midwives’ Essential Competencies in Europe — https://doi.org/10.18332/ejm/224435</w:t>
      </w:r>
    </w:p>
    <w:p>
      <w:pPr>
        <w:pStyle w:val="SourceNote"/>
      </w:pPr>
      <w:r>
        <w:rPr>
          <w:b/>
        </w:rPr>
        <w:t>Review status:</w:t>
      </w:r>
      <w:r>
        <w:t xml:space="preserve"> unchecked — possible relationship only</w:t>
      </w:r>
    </w:p>
    <w:p>
      <w:pPr>
        <w:pStyle w:val="Heading2"/>
      </w:pPr>
      <w:r>
        <w:t>464. Claim + two later sources: European Scenario Studies on Future In-Stream Nutrient Concentrations</w:t>
      </w:r>
    </w:p>
    <w:p>
      <w:pPr>
        <w:pStyle w:val="SourceNote"/>
      </w:pPr>
      <w:r>
        <w:rPr>
          <w:b/>
        </w:rPr>
        <w:t>Group ID:</w:t>
      </w:r>
      <w:r>
        <w:t xml:space="preserve"> group-551c1a8ad862c974dccc</w:t>
      </w:r>
    </w:p>
    <w:p>
      <w:pPr>
        <w:pStyle w:val="SourceNote"/>
      </w:pPr>
      <w:r>
        <w:rPr>
          <w:b/>
        </w:rPr>
        <w:t>Original source:</w:t>
      </w:r>
      <w:r>
        <w:t xml:space="preserve"> https://doi.org/10.13031/trans.56.9961</w:t>
      </w:r>
    </w:p>
    <w:p>
      <w:pPr/>
      <w:r>
        <w:rPr>
          <w:b/>
        </w:rPr>
        <w:t>Original future claim:</w:t>
      </w:r>
      <w:r>
        <w:t xml:space="preserve"> 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r>
        <w:rPr>
          <w:b/>
        </w:rPr>
        <w:t>Later source:</w:t>
      </w:r>
      <w:r>
        <w:t xml:space="preserve"> Industrial pollutant releases to water in Europe (2010-2024) — https://doi.org/10.2909/898d92dd-b70d-42c1-956f-8e90f78c7952</w:t>
      </w:r>
    </w:p>
    <w:p>
      <w:pPr/>
      <w:r>
        <w:rPr>
          <w:b/>
        </w:rPr>
        <w:t>Later source:</w:t>
      </w:r>
      <w:r>
        <w:t xml:space="preserve"> Industrial pollutant releases to water in Europe (2010-2024) — https://doi.org/10.2909/9f8d7f6c-5c6b-42ee-a684-2d208c088f4a</w:t>
      </w:r>
    </w:p>
    <w:p>
      <w:pPr>
        <w:pStyle w:val="SourceNote"/>
      </w:pPr>
      <w:r>
        <w:rPr>
          <w:b/>
        </w:rPr>
        <w:t>Review status:</w:t>
      </w:r>
      <w:r>
        <w:t xml:space="preserve"> unchecked — possible relationship only</w:t>
      </w:r>
    </w:p>
    <w:p>
      <w:pPr>
        <w:pStyle w:val="Heading2"/>
      </w:pPr>
      <w:r>
        <w:t>465. Claim + two later sources: Imagining the future with citizens: participatory foresight and democratic policy design in Marcoussis, France</w:t>
      </w:r>
    </w:p>
    <w:p>
      <w:pPr>
        <w:pStyle w:val="SourceNote"/>
      </w:pPr>
      <w:r>
        <w:rPr>
          <w:b/>
        </w:rPr>
        <w:t>Group ID:</w:t>
      </w:r>
      <w:r>
        <w:t xml:space="preserve"> group-937d44f549354ec4ffbe</w:t>
      </w:r>
    </w:p>
    <w:p>
      <w:pPr>
        <w:pStyle w:val="SourceNote"/>
      </w:pPr>
      <w:r>
        <w:rPr>
          <w:b/>
        </w:rPr>
        <w:t>Original source:</w:t>
      </w:r>
      <w:r>
        <w:t xml:space="preserve"> https://doi.org/10.1080/25741292.2021.1930687</w:t>
      </w:r>
    </w:p>
    <w:p>
      <w:pPr/>
      <w:r>
        <w:rPr>
          <w:b/>
        </w:rPr>
        <w:t>Original future claim:</w:t>
      </w:r>
      <w:r>
        <w:t xml:space="preserve"> 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r>
        <w:rPr>
          <w:b/>
        </w:rPr>
        <w:t>Later source:</w:t>
      </w:r>
      <w:r>
        <w:t xml:space="preserve"> Droughts in South East Europe (SEE): current picture, tendencies and impact — https://doi.org/10.5194/nhess-26-1305-2026</w:t>
      </w:r>
    </w:p>
    <w:p>
      <w:pPr/>
      <w:r>
        <w:rPr>
          <w:b/>
        </w:rPr>
        <w:t>Later source:</w:t>
      </w:r>
      <w:r>
        <w:t xml:space="preserve"> Comment of the European Copyright Society on the Request for Preliminary Ruling in Case C-250/25 (Like Company) — https://doi.org/10.1007/s40319-026-01717-6</w:t>
      </w:r>
    </w:p>
    <w:p>
      <w:pPr>
        <w:pStyle w:val="SourceNote"/>
      </w:pPr>
      <w:r>
        <w:rPr>
          <w:b/>
        </w:rPr>
        <w:t>Review status:</w:t>
      </w:r>
      <w:r>
        <w:t xml:space="preserve"> unchecked — possible relationship only</w:t>
      </w:r>
    </w:p>
    <w:p>
      <w:pPr>
        <w:pStyle w:val="Heading2"/>
      </w:pPr>
      <w:r>
        <w:t>466. Claim + two later sources: Brexit adds to gloom over long‐term growth prospects</w:t>
      </w:r>
    </w:p>
    <w:p>
      <w:pPr>
        <w:pStyle w:val="SourceNote"/>
      </w:pPr>
      <w:r>
        <w:rPr>
          <w:b/>
        </w:rPr>
        <w:t>Group ID:</w:t>
      </w:r>
      <w:r>
        <w:t xml:space="preserve"> group-6c34cbb66664a4f23fb9</w:t>
      </w:r>
    </w:p>
    <w:p>
      <w:pPr>
        <w:pStyle w:val="SourceNote"/>
      </w:pPr>
      <w:r>
        <w:rPr>
          <w:b/>
        </w:rPr>
        <w:t>Original source:</w:t>
      </w:r>
      <w:r>
        <w:t xml:space="preserve"> https://doi.org/10.1111/1468-0319.12257</w:t>
      </w:r>
    </w:p>
    <w:p>
      <w:pPr/>
      <w:r>
        <w:rPr>
          <w:b/>
        </w:rPr>
        <w:t>Original future claim:</w:t>
      </w:r>
      <w:r>
        <w:t xml:space="preserve"> Our forecasts show potential output growth of just 1.6% a year from 2017–2030.</w:t>
      </w:r>
    </w:p>
    <w:p>
      <w:pPr/>
      <w:r>
        <w:rPr>
          <w:b/>
        </w:rPr>
        <w:t>Later source:</w:t>
      </w:r>
      <w:r>
        <w:t xml:space="preserve"> Forecasting Quasi-Linear Convective System Tornado Potential Using the Warn-on-Forecast System (WoFS) — https://doi.org/10.1175/waf-d-25-0092.1</w:t>
      </w:r>
    </w:p>
    <w:p>
      <w:pPr/>
      <w:r>
        <w:rPr>
          <w:b/>
        </w:rPr>
        <w:t>Later source:</w:t>
      </w:r>
      <w:r>
        <w:t xml:space="preserve"> Accurate medium-range global weather forecasting with 3D neural networks — https://doi.org/10.1038/s41586-023-06185-3</w:t>
      </w:r>
    </w:p>
    <w:p>
      <w:pPr>
        <w:pStyle w:val="SourceNote"/>
      </w:pPr>
      <w:r>
        <w:rPr>
          <w:b/>
        </w:rPr>
        <w:t>Review status:</w:t>
      </w:r>
      <w:r>
        <w:t xml:space="preserve"> unchecked — possible relationship only</w:t>
      </w:r>
    </w:p>
    <w:p>
      <w:pPr>
        <w:pStyle w:val="Heading2"/>
      </w:pPr>
      <w:r>
        <w:t>467. Claim + two later sources: The European forest sector: past and future carbon budget and fluxes under different management scenarios</w:t>
      </w:r>
    </w:p>
    <w:p>
      <w:pPr>
        <w:pStyle w:val="SourceNote"/>
      </w:pPr>
      <w:r>
        <w:rPr>
          <w:b/>
        </w:rPr>
        <w:t>Group ID:</w:t>
      </w:r>
      <w:r>
        <w:t xml:space="preserve"> group-8b6a88bea956d7933e33</w:t>
      </w:r>
    </w:p>
    <w:p>
      <w:pPr>
        <w:pStyle w:val="SourceNote"/>
      </w:pPr>
      <w:r>
        <w:rPr>
          <w:b/>
        </w:rPr>
        <w:t>Original source:</w:t>
      </w:r>
      <w:r>
        <w:t xml:space="preserve"> https://doi.org/10.5194/bg-14-2387-2017</w:t>
      </w:r>
    </w:p>
    <w:p>
      <w:pPr/>
      <w:r>
        <w:rPr>
          <w:b/>
        </w:rPr>
        <w:t>Original future claim:</w:t>
      </w:r>
      <w:r>
        <w:t xml:space="preserve"> 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r>
        <w:rPr>
          <w:b/>
        </w:rPr>
        <w:t>Later source:</w:t>
      </w:r>
      <w:r>
        <w:t xml:space="preserve"> Understanding Europe's Forest Harvesting Regimes — https://doi.org/10.1029/2024ef005225</w:t>
      </w:r>
    </w:p>
    <w:p>
      <w:pPr/>
      <w:r>
        <w:rPr>
          <w:b/>
        </w:rPr>
        <w:t>Later source:</w:t>
      </w:r>
      <w:r>
        <w:t xml:space="preserve"> Preliminary results of dandelion cultivation under different seeding rates and harvest regimes — https://doi.org/10.1002/agg2.20521</w:t>
      </w:r>
    </w:p>
    <w:p>
      <w:pPr>
        <w:pStyle w:val="SourceNote"/>
      </w:pPr>
      <w:r>
        <w:rPr>
          <w:b/>
        </w:rPr>
        <w:t>Review status:</w:t>
      </w:r>
      <w:r>
        <w:t xml:space="preserve"> unchecked — possible relationship only</w:t>
      </w:r>
    </w:p>
    <w:p>
      <w:pPr>
        <w:pStyle w:val="Heading2"/>
      </w:pPr>
      <w:r>
        <w:t>468. Claim + two later sources: Foresight in Higher Education Institutions: Evidence from Poland</w:t>
      </w:r>
    </w:p>
    <w:p>
      <w:pPr>
        <w:pStyle w:val="SourceNote"/>
      </w:pPr>
      <w:r>
        <w:rPr>
          <w:b/>
        </w:rPr>
        <w:t>Group ID:</w:t>
      </w:r>
      <w:r>
        <w:t xml:space="preserve"> group-98aff3a523d9a0897a3d</w:t>
      </w:r>
    </w:p>
    <w:p>
      <w:pPr>
        <w:pStyle w:val="SourceNote"/>
      </w:pPr>
      <w:r>
        <w:rPr>
          <w:b/>
        </w:rPr>
        <w:t>Original source:</w:t>
      </w:r>
      <w:r>
        <w:t xml:space="preserve"> https://doi.org/10.17323/2500-2597.2019.1.77.89</w:t>
      </w:r>
    </w:p>
    <w:p>
      <w:pPr/>
      <w:r>
        <w:rPr>
          <w:b/>
        </w:rPr>
        <w:t>Original future claim:</w:t>
      </w:r>
      <w:r>
        <w:t xml:space="preserve"> 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r>
        <w:rPr>
          <w:b/>
        </w:rPr>
        <w:t>Later source:</w:t>
      </w:r>
      <w:r>
        <w:t xml:space="preserve"> The European Council turns 50: Studying and analyzing a key institution of the European Union — https://doi.org/10.1017/s1682098325100106</w:t>
      </w:r>
    </w:p>
    <w:p>
      <w:pPr/>
      <w:r>
        <w:rPr>
          <w:b/>
        </w:rPr>
        <w:t>Later source:</w:t>
      </w:r>
      <w:r>
        <w:t xml:space="preserve"> Membership in the Council of Europe Development Bank as a factor of Ukraine’s European integration — https://doi.org/10.24144/2788-6018.2026.03.3.64</w:t>
      </w:r>
    </w:p>
    <w:p>
      <w:pPr>
        <w:pStyle w:val="SourceNote"/>
      </w:pPr>
      <w:r>
        <w:rPr>
          <w:b/>
        </w:rPr>
        <w:t>Review status:</w:t>
      </w:r>
      <w:r>
        <w:t xml:space="preserve"> unchecked — possible relationship only</w:t>
      </w:r>
    </w:p>
    <w:p>
      <w:pPr>
        <w:pStyle w:val="Heading2"/>
      </w:pPr>
      <w:r>
        <w:t>469. Claim + two later sources: The Future of Rural Poland: the Main Trends and Possible Scenarios.</w:t>
      </w:r>
    </w:p>
    <w:p>
      <w:pPr>
        <w:pStyle w:val="SourceNote"/>
      </w:pPr>
      <w:r>
        <w:rPr>
          <w:b/>
        </w:rPr>
        <w:t>Group ID:</w:t>
      </w:r>
      <w:r>
        <w:t xml:space="preserve"> group-6c90a98777dc06b4f56d</w:t>
      </w:r>
    </w:p>
    <w:p>
      <w:pPr>
        <w:pStyle w:val="SourceNote"/>
      </w:pPr>
      <w:r>
        <w:rPr>
          <w:b/>
        </w:rPr>
        <w:t>Original source:</w:t>
      </w:r>
      <w:r>
        <w:t xml:space="preserve"> https://doi.org/10.1515/eec-2017-0004</w:t>
      </w:r>
    </w:p>
    <w:p>
      <w:pPr/>
      <w:r>
        <w:rPr>
          <w:b/>
        </w:rPr>
        <w:t>Original future claim:</w:t>
      </w:r>
      <w:r>
        <w:t xml:space="preserve"> 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r>
        <w:rPr>
          <w:b/>
        </w:rPr>
        <w:t>Later source:</w:t>
      </w:r>
      <w:r>
        <w:t xml:space="preserve"> Abstracts of the 19th European Congress of Psychology — https://doi.org/10.1024/2673-8627/a000085</w:t>
      </w:r>
    </w:p>
    <w:p>
      <w:pPr/>
      <w:r>
        <w:rPr>
          <w:b/>
        </w:rPr>
        <w:t>Later source:</w:t>
      </w:r>
      <w:r>
        <w:t xml:space="preserve"> A DIGITAL MATURITY OF INSTITUTIONS IN POLAND – AN ATTEMPT AT IDENTIFICATION — https://doi.org/10.29119/1641-3466.2025.228.13</w:t>
      </w:r>
    </w:p>
    <w:p>
      <w:pPr>
        <w:pStyle w:val="SourceNote"/>
      </w:pPr>
      <w:r>
        <w:rPr>
          <w:b/>
        </w:rPr>
        <w:t>Review status:</w:t>
      </w:r>
      <w:r>
        <w:t xml:space="preserve"> unchecked — possible relationship only</w:t>
      </w:r>
    </w:p>
    <w:p>
      <w:pPr>
        <w:pStyle w:val="Heading2"/>
      </w:pPr>
      <w:r>
        <w:t>470. Claim + two later sources: Future Projections of Heat Mortality Risk for Major European Cities</w:t>
      </w:r>
    </w:p>
    <w:p>
      <w:pPr>
        <w:pStyle w:val="SourceNote"/>
      </w:pPr>
      <w:r>
        <w:rPr>
          <w:b/>
        </w:rPr>
        <w:t>Group ID:</w:t>
      </w:r>
      <w:r>
        <w:t xml:space="preserve"> group-ba9b6a98dcd8224b1be8</w:t>
      </w:r>
    </w:p>
    <w:p>
      <w:pPr>
        <w:pStyle w:val="SourceNote"/>
      </w:pPr>
      <w:r>
        <w:rPr>
          <w:b/>
        </w:rPr>
        <w:t>Original source:</w:t>
      </w:r>
      <w:r>
        <w:t xml:space="preserve"> https://doi.org/10.1175/wcas-d-20-0142.1</w:t>
      </w:r>
    </w:p>
    <w:p>
      <w:pPr/>
      <w:r>
        <w:rPr>
          <w:b/>
        </w:rPr>
        <w:t>Original future claim:</w:t>
      </w:r>
      <w:r>
        <w:t xml:space="preserve"> On average, our results indicate that the mortality risk trend is almost twice as high in all three countries for the RCP8.5 scenario compared to RCP2.6. Our results suggest a significant increase of heat mortality in the future, especially in Spain.</w:t>
      </w:r>
    </w:p>
    <w:p>
      <w:pPr/>
      <w:r>
        <w:rPr>
          <w:b/>
        </w:rPr>
        <w:t>Later source:</w:t>
      </w:r>
      <w:r>
        <w:t xml:space="preserve"> Electric Vehicle Fleet Penetration and Air Pollution Mortality in Europe — https://doi.org/10.32388/vkflrm</w:t>
      </w:r>
    </w:p>
    <w:p>
      <w:pPr/>
      <w:r>
        <w:rPr>
          <w:b/>
        </w:rPr>
        <w:t>Later source:</w:t>
      </w:r>
      <w:r>
        <w:t xml:space="preserve"> The impact of heat and cold on mortality and life expectancy in Europe, 2015–2024 — https://doi.org/10.1016/j.ehb.2026.101607</w:t>
      </w:r>
    </w:p>
    <w:p>
      <w:pPr>
        <w:pStyle w:val="SourceNote"/>
      </w:pPr>
      <w:r>
        <w:rPr>
          <w:b/>
        </w:rPr>
        <w:t>Review status:</w:t>
      </w:r>
      <w:r>
        <w:t xml:space="preserve"> unchecked — possible relationship only</w:t>
      </w:r>
    </w:p>
    <w:p>
      <w:pPr>
        <w:pStyle w:val="Heading2"/>
      </w:pPr>
      <w:r>
        <w:t>471. Claim + two later sources: Pathways to Deep Decarbonization in Italy</w:t>
      </w:r>
    </w:p>
    <w:p>
      <w:pPr>
        <w:pStyle w:val="SourceNote"/>
      </w:pPr>
      <w:r>
        <w:rPr>
          <w:b/>
        </w:rPr>
        <w:t>Group ID:</w:t>
      </w:r>
      <w:r>
        <w:t xml:space="preserve"> group-6a84fc8116f82a33013e</w:t>
      </w:r>
    </w:p>
    <w:p>
      <w:pPr>
        <w:pStyle w:val="SourceNote"/>
      </w:pPr>
      <w:r>
        <w:rPr>
          <w:b/>
        </w:rPr>
        <w:t>Original source:</w:t>
      </w:r>
      <w:r>
        <w:t xml:space="preserve"> https://doi.org/10.22004/ag.econ.230582</w:t>
      </w:r>
    </w:p>
    <w:p>
      <w:pPr/>
      <w:r>
        <w:rPr>
          <w:b/>
        </w:rPr>
        <w:t>Original future claim:</w:t>
      </w:r>
      <w:r>
        <w:t xml:space="preserve"> 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r>
        <w:rPr>
          <w:b/>
        </w:rPr>
        <w:t>Later source:</w:t>
      </w:r>
      <w:r>
        <w:t xml:space="preserve"> Cellular agriculture in the media: newspaper coverage in Australia, Brazil, Germany, and India — https://doi.org/10.5194/gh-81-255-2026</w:t>
      </w:r>
    </w:p>
    <w:p>
      <w:pPr/>
      <w:r>
        <w:rPr>
          <w:b/>
        </w:rPr>
        <w:t>Later source:</w:t>
      </w:r>
      <w:r>
        <w:t xml:space="preserve"> BOOK REVIEW: OPEN AND DISTANCE EDUCATION IN AUSTRALIA, EUROPE AND THE AMERICAS: NATIONAL PERSPECTIVES IN A DIGITAL AGE — https://openalex.org/W7167292450</w:t>
      </w:r>
    </w:p>
    <w:p>
      <w:pPr>
        <w:pStyle w:val="SourceNote"/>
      </w:pPr>
      <w:r>
        <w:rPr>
          <w:b/>
        </w:rPr>
        <w:t>Review status:</w:t>
      </w:r>
      <w:r>
        <w:t xml:space="preserve"> unchecked — possible relationship only</w:t>
      </w:r>
    </w:p>
    <w:p>
      <w:pPr>
        <w:pStyle w:val="Heading2"/>
      </w:pPr>
      <w:r>
        <w:t>472. Claim + two later sources: COVID-19 and European maritime futures: different pathways to deal with the pandemic</w:t>
      </w:r>
    </w:p>
    <w:p>
      <w:pPr>
        <w:pStyle w:val="SourceNote"/>
      </w:pPr>
      <w:r>
        <w:rPr>
          <w:b/>
        </w:rPr>
        <w:t>Group ID:</w:t>
      </w:r>
      <w:r>
        <w:t xml:space="preserve"> group-e823fe09fbf972cd2350</w:t>
      </w:r>
    </w:p>
    <w:p>
      <w:pPr>
        <w:pStyle w:val="SourceNote"/>
      </w:pPr>
      <w:r>
        <w:rPr>
          <w:b/>
        </w:rPr>
        <w:t>Original source:</w:t>
      </w:r>
      <w:r>
        <w:t xml:space="preserve"> https://doi.org/10.1007/s40152-021-00216-3</w:t>
      </w:r>
    </w:p>
    <w:p>
      <w:pPr/>
      <w:r>
        <w:rPr>
          <w:b/>
        </w:rPr>
        <w:t>Original future claim:</w:t>
      </w:r>
      <w:r>
        <w:t xml:space="preserve"> The maritime futures give insight into the enabling and constraining conditions to deal with the aftermath of the COVID-19 pandemic in specific, and how the maritime futures will affect the sustainable development of maritime sectors in general.</w:t>
      </w:r>
    </w:p>
    <w:p>
      <w:pPr/>
      <w:r>
        <w:rPr>
          <w:b/>
        </w:rPr>
        <w:t>Later source:</w:t>
      </w:r>
      <w:r>
        <w:t xml:space="preserve"> Governing Critical Maritime Infrastructure in the European Union; Path-Dependent Transformation and Institutional Change — https://doi.org/10.1007/s41125-026-00113-y</w:t>
      </w:r>
    </w:p>
    <w:p>
      <w:pPr/>
      <w:r>
        <w:rPr>
          <w:b/>
        </w:rPr>
        <w:t>Later source:</w:t>
      </w:r>
      <w:r>
        <w:t xml:space="preserve"> FACTORS CONSTRAINING OPERATIONAL EFFICIENCY IN MARITIME TRANSPORTATION: A COMPARATIVE ANALYSIS OF QUANTITATIVE DECISION SUPPORT MODELS AND FIELD REALITIES — https://doi.org/10.17753/sosekev.1889137</w:t>
      </w:r>
    </w:p>
    <w:p>
      <w:pPr>
        <w:pStyle w:val="SourceNote"/>
      </w:pPr>
      <w:r>
        <w:rPr>
          <w:b/>
        </w:rPr>
        <w:t>Review status:</w:t>
      </w:r>
      <w:r>
        <w:t xml:space="preserve"> unchecked — possible relationship only</w:t>
      </w:r>
    </w:p>
    <w:p>
      <w:pPr>
        <w:pStyle w:val="Heading2"/>
      </w:pPr>
      <w:r>
        <w:t>473. Claim + two later sources: The Impact of Decarbonization Scenarios on Air Quality and Human Health in Poland—Analysis of Scenarios up to 2050</w:t>
      </w:r>
    </w:p>
    <w:p>
      <w:pPr>
        <w:pStyle w:val="SourceNote"/>
      </w:pPr>
      <w:r>
        <w:rPr>
          <w:b/>
        </w:rPr>
        <w:t>Group ID:</w:t>
      </w:r>
      <w:r>
        <w:t xml:space="preserve"> group-f0de2d50e80eda1f2592</w:t>
      </w:r>
    </w:p>
    <w:p>
      <w:pPr>
        <w:pStyle w:val="SourceNote"/>
      </w:pPr>
      <w:r>
        <w:rPr>
          <w:b/>
        </w:rPr>
        <w:t>Original source:</w:t>
      </w:r>
      <w:r>
        <w:t xml:space="preserve"> https://doi.org/10.3390/atmos11111222</w:t>
      </w:r>
    </w:p>
    <w:p>
      <w:pPr/>
      <w:r>
        <w:rPr>
          <w:b/>
        </w:rPr>
        <w:t>Original future claim:</w:t>
      </w:r>
      <w:r>
        <w:t xml:space="preserve"> 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r>
        <w:rPr>
          <w:b/>
        </w:rPr>
        <w:t>Later source:</w:t>
      </w:r>
      <w:r>
        <w:t xml:space="preserve"> Emission Scenarios for Europe under the CATALYSE Project: Beyond the Green Deal — https://openalex.org/W7125621332</w:t>
      </w:r>
    </w:p>
    <w:p>
      <w:pPr/>
      <w:r>
        <w:rPr>
          <w:b/>
        </w:rPr>
        <w:t>Later source:</w:t>
      </w:r>
      <w:r>
        <w:t xml:space="preserve"> Laboratory Experiments on Savannah and European Boreal Forest Fire Emissions — https://doi.org/10.1029/2025jd044543</w:t>
      </w:r>
    </w:p>
    <w:p>
      <w:pPr>
        <w:pStyle w:val="SourceNote"/>
      </w:pPr>
      <w:r>
        <w:rPr>
          <w:b/>
        </w:rPr>
        <w:t>Review status:</w:t>
      </w:r>
      <w:r>
        <w:t xml:space="preserve"> unchecked — possible relationship only</w:t>
      </w:r>
    </w:p>
    <w:p>
      <w:pPr>
        <w:pStyle w:val="Heading2"/>
      </w:pPr>
      <w:r>
        <w:t>474. Claim + two later sources: Regional growth and disparities in a post‐COVID Europe: A new normality scenario</w:t>
      </w:r>
    </w:p>
    <w:p>
      <w:pPr>
        <w:pStyle w:val="SourceNote"/>
      </w:pPr>
      <w:r>
        <w:rPr>
          <w:b/>
        </w:rPr>
        <w:t>Group ID:</w:t>
      </w:r>
      <w:r>
        <w:t xml:space="preserve"> group-a6b0ee31a52f2b56e867</w:t>
      </w:r>
    </w:p>
    <w:p>
      <w:pPr>
        <w:pStyle w:val="SourceNote"/>
      </w:pPr>
      <w:r>
        <w:rPr>
          <w:b/>
        </w:rPr>
        <w:t>Original source:</w:t>
      </w:r>
      <w:r>
        <w:t xml:space="preserve"> https://doi.org/10.1111/jors.12542</w:t>
      </w:r>
    </w:p>
    <w:p>
      <w:pPr/>
      <w:r>
        <w:rPr>
          <w:b/>
        </w:rPr>
        <w:t>Original future claim:</w:t>
      </w:r>
      <w:r>
        <w:t xml:space="preserve"> 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r>
        <w:rPr>
          <w:b/>
        </w:rPr>
        <w:t>Later source:</w:t>
      </w:r>
      <w:r>
        <w:t xml:space="preserve"> Filling the Gap to Address Vaccine Hesitancy in Europe — https://doi.org/10.3389/phrs.2025.1608208</w:t>
      </w:r>
    </w:p>
    <w:p>
      <w:pPr/>
      <w:r>
        <w:rPr>
          <w:b/>
        </w:rPr>
        <w:t>Later source:</w:t>
      </w:r>
      <w:r>
        <w:t xml:space="preserve"> Challenges in the micropropagation of economically important fruit species in Europe — https://doi.org/10.1007/s11240-025-03165-5</w:t>
      </w:r>
    </w:p>
    <w:p>
      <w:pPr>
        <w:pStyle w:val="SourceNote"/>
      </w:pPr>
      <w:r>
        <w:rPr>
          <w:b/>
        </w:rPr>
        <w:t>Review status:</w:t>
      </w:r>
      <w:r>
        <w:t xml:space="preserve"> unchecked — possible relationship only</w:t>
      </w:r>
    </w:p>
    <w:p>
      <w:pPr>
        <w:pStyle w:val="Heading2"/>
      </w:pPr>
      <w:r>
        <w:t>475. Claim + two later sources: Developing scenarios for the Norwegian travel industry 2025</w:t>
      </w:r>
    </w:p>
    <w:p>
      <w:pPr>
        <w:pStyle w:val="SourceNote"/>
      </w:pPr>
      <w:r>
        <w:rPr>
          <w:b/>
        </w:rPr>
        <w:t>Group ID:</w:t>
      </w:r>
      <w:r>
        <w:t xml:space="preserve"> group-771ec15b0d1fa227ce7e</w:t>
      </w:r>
    </w:p>
    <w:p>
      <w:pPr>
        <w:pStyle w:val="SourceNote"/>
      </w:pPr>
      <w:r>
        <w:rPr>
          <w:b/>
        </w:rPr>
        <w:t>Original source:</w:t>
      </w:r>
      <w:r>
        <w:t xml:space="preserve"> https://doi.org/10.1108/jtf-12-2014-0018</w:t>
      </w:r>
    </w:p>
    <w:p>
      <w:pPr/>
      <w:r>
        <w:rPr>
          <w:b/>
        </w:rPr>
        <w:t>Original future claim:</w:t>
      </w:r>
      <w:r>
        <w:t xml:space="preserve"> Accordingly, a common understanding of future drivers and different scenarios for the industry is needed. This resulted in four scenarios: Money Rules, The Urban Diamond, Opportunities for All, and Master Plan.</w:t>
      </w:r>
    </w:p>
    <w:p>
      <w:pPr/>
      <w:r>
        <w:rPr>
          <w:b/>
        </w:rPr>
        <w:t>Later source:</w:t>
      </w:r>
      <w:r>
        <w:t xml:space="preserve"> The Traditional Understanding of Lawmaking by Appellate Courts — https://doi.org/10.1017/9781009589307.003</w:t>
      </w:r>
    </w:p>
    <w:p>
      <w:pPr/>
      <w:r>
        <w:rPr>
          <w:b/>
        </w:rPr>
        <w:t>Later source:</w:t>
      </w:r>
      <w:r>
        <w:t xml:space="preserve"> Education–work transition: skill gaps in the construction industry — https://doi.org/10.3389/fbuil.2025.1623609</w:t>
      </w:r>
    </w:p>
    <w:p>
      <w:pPr>
        <w:pStyle w:val="SourceNote"/>
      </w:pPr>
      <w:r>
        <w:rPr>
          <w:b/>
        </w:rPr>
        <w:t>Review status:</w:t>
      </w:r>
      <w:r>
        <w:t xml:space="preserve"> unchecked — possible relationship only</w:t>
      </w:r>
    </w:p>
    <w:p>
      <w:pPr>
        <w:pStyle w:val="Heading2"/>
      </w:pPr>
      <w:r>
        <w:t>476. Claim + two later sources: Investigating scenario planning – a European tourism perspective</w:t>
      </w:r>
    </w:p>
    <w:p>
      <w:pPr>
        <w:pStyle w:val="SourceNote"/>
      </w:pPr>
      <w:r>
        <w:rPr>
          <w:b/>
        </w:rPr>
        <w:t>Group ID:</w:t>
      </w:r>
      <w:r>
        <w:t xml:space="preserve"> group-05f0c48bd974307ef165</w:t>
      </w:r>
    </w:p>
    <w:p>
      <w:pPr>
        <w:pStyle w:val="SourceNote"/>
      </w:pPr>
      <w:r>
        <w:rPr>
          <w:b/>
        </w:rPr>
        <w:t>Original source:</w:t>
      </w:r>
      <w:r>
        <w:t xml:space="preserve"> https://doi.org/10.1108/jtf-12-2014-0020</w:t>
      </w:r>
    </w:p>
    <w:p>
      <w:pPr/>
      <w:r>
        <w:rPr>
          <w:b/>
        </w:rPr>
        <w:t>Original future claim:</w:t>
      </w:r>
      <w:r>
        <w:t xml:space="preserve"> 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r>
        <w:rPr>
          <w:b/>
        </w:rPr>
        <w:t>Later source:</w:t>
      </w:r>
      <w:r>
        <w:t xml:space="preserve"> European Wild Bees: moving from assessment to conservation planning — https://doi.org/10.2779/5662020kh-01-25-230</w:t>
      </w:r>
    </w:p>
    <w:p>
      <w:pPr/>
      <w:r>
        <w:rPr>
          <w:b/>
        </w:rPr>
        <w:t>Later source:</w:t>
      </w:r>
      <w:r>
        <w:t xml:space="preserve"> An assessment of the state of conservation planning in Europe — https://doi.org/10.1098/rstb.2023.0015</w:t>
      </w:r>
    </w:p>
    <w:p>
      <w:pPr>
        <w:pStyle w:val="SourceNote"/>
      </w:pPr>
      <w:r>
        <w:rPr>
          <w:b/>
        </w:rPr>
        <w:t>Review status:</w:t>
      </w:r>
      <w:r>
        <w:t xml:space="preserve"> unchecked — possible relationship only</w:t>
      </w:r>
    </w:p>
    <w:p>
      <w:pPr>
        <w:pStyle w:val="Heading2"/>
      </w:pPr>
      <w:r>
        <w:t>477. Claim + two later sources: Integrating field data into individual-based models of the migration of European eel larvae</w:t>
      </w:r>
    </w:p>
    <w:p>
      <w:pPr>
        <w:pStyle w:val="SourceNote"/>
      </w:pPr>
      <w:r>
        <w:rPr>
          <w:b/>
        </w:rPr>
        <w:t>Group ID:</w:t>
      </w:r>
      <w:r>
        <w:t xml:space="preserve"> group-422b14dc5317bb803468</w:t>
      </w:r>
    </w:p>
    <w:p>
      <w:pPr>
        <w:pStyle w:val="SourceNote"/>
      </w:pPr>
      <w:r>
        <w:rPr>
          <w:b/>
        </w:rPr>
        <w:t>Original source:</w:t>
      </w:r>
      <w:r>
        <w:t xml:space="preserve"> https://doi.org/10.3354/meps10368</w:t>
      </w:r>
    </w:p>
    <w:p>
      <w:pPr/>
      <w:r>
        <w:rPr>
          <w:b/>
        </w:rPr>
        <w:t>Original future claim:</w:t>
      </w:r>
      <w:r>
        <w:t xml:space="preserve"> We contrasted different model settings and identified the most plausible migration scenario by comparing simulation results against experimental data.</w:t>
      </w:r>
    </w:p>
    <w:p>
      <w:pPr/>
      <w:r>
        <w:rPr>
          <w:b/>
        </w:rPr>
        <w:t>Later source:</w:t>
      </w:r>
      <w:r>
        <w:t xml:space="preserve"> Impact of the model representation of PBL and convection on the PM concentrations over Europe — https://doi.org/10.5194/egusphere-egu21-2417</w:t>
      </w:r>
    </w:p>
    <w:p>
      <w:pPr/>
      <w:r>
        <w:rPr>
          <w:b/>
        </w:rPr>
        <w:t>Later source:</w:t>
      </w:r>
      <w:r>
        <w:t xml:space="preserve"> A climate-sensitive forest model for assessing impacts of forest management in Europe — https://doi.org/10.1016/j.envsoft.2019.02.009</w:t>
      </w:r>
    </w:p>
    <w:p>
      <w:pPr>
        <w:pStyle w:val="SourceNote"/>
      </w:pPr>
      <w:r>
        <w:rPr>
          <w:b/>
        </w:rPr>
        <w:t>Review status:</w:t>
      </w:r>
      <w:r>
        <w:t xml:space="preserve"> unchecked — possible relationship only</w:t>
      </w:r>
    </w:p>
    <w:p>
      <w:pPr>
        <w:pStyle w:val="Heading2"/>
      </w:pPr>
      <w:r>
        <w:t>478. Claim + two later sources: Wild cards in transport</w:t>
      </w:r>
    </w:p>
    <w:p>
      <w:pPr>
        <w:pStyle w:val="SourceNote"/>
      </w:pPr>
      <w:r>
        <w:rPr>
          <w:b/>
        </w:rPr>
        <w:t>Group ID:</w:t>
      </w:r>
      <w:r>
        <w:t xml:space="preserve"> group-e52c676f62e802afe755</w:t>
      </w:r>
    </w:p>
    <w:p>
      <w:pPr>
        <w:pStyle w:val="SourceNote"/>
      </w:pPr>
      <w:r>
        <w:rPr>
          <w:b/>
        </w:rPr>
        <w:t>Original source:</w:t>
      </w:r>
      <w:r>
        <w:t xml:space="preserve"> https://doi.org/10.1007/s40309-015-0066-9</w:t>
      </w:r>
    </w:p>
    <w:p>
      <w:pPr/>
      <w:r>
        <w:rPr>
          <w:b/>
        </w:rPr>
        <w:t>Original future claim:</w:t>
      </w:r>
      <w:r>
        <w:t xml:space="preserve"> Several Wild Cards reach high likelihood in 2040 or beyond, while the time by which full impact is reached varies.</w:t>
      </w:r>
    </w:p>
    <w:p>
      <w:pPr/>
      <w:r>
        <w:rPr>
          <w:b/>
        </w:rPr>
        <w:t>Later source:</w:t>
      </w:r>
      <w:r>
        <w:t xml:space="preserve"> Mapping Wild Boar Capture Likelihood Using Public Surveillance Records: A Maxent-Based Case Study in Northern Nara, Japan — https://doi.org/10.48084/etasr.18889</w:t>
      </w:r>
    </w:p>
    <w:p>
      <w:pPr/>
      <w:r>
        <w:rPr>
          <w:b/>
        </w:rPr>
        <w:t>Later source:</w:t>
      </w:r>
      <w:r>
        <w:t xml:space="preserve"> Virome landscape of wild rodents and shrews in Central China — https://doi.org/10.1186/s40168-025-02059-0</w:t>
      </w:r>
    </w:p>
    <w:p>
      <w:pPr>
        <w:pStyle w:val="SourceNote"/>
      </w:pPr>
      <w:r>
        <w:rPr>
          <w:b/>
        </w:rPr>
        <w:t>Review status:</w:t>
      </w:r>
      <w:r>
        <w:t xml:space="preserve"> unchecked — possible relationship only</w:t>
      </w:r>
    </w:p>
    <w:p>
      <w:pPr>
        <w:pStyle w:val="Heading2"/>
      </w:pPr>
      <w:r>
        <w:t>479. Claim + two later sources: Perspective of comprehensive and comprehensible multi-model energy and climate science in Europe</w:t>
      </w:r>
    </w:p>
    <w:p>
      <w:pPr>
        <w:pStyle w:val="SourceNote"/>
      </w:pPr>
      <w:r>
        <w:rPr>
          <w:b/>
        </w:rPr>
        <w:t>Group ID:</w:t>
      </w:r>
      <w:r>
        <w:t xml:space="preserve"> group-0f2dd5c624db2300e84f</w:t>
      </w:r>
    </w:p>
    <w:p>
      <w:pPr>
        <w:pStyle w:val="SourceNote"/>
      </w:pPr>
      <w:r>
        <w:rPr>
          <w:b/>
        </w:rPr>
        <w:t>Original source:</w:t>
      </w:r>
      <w:r>
        <w:t xml:space="preserve"> https://doi.org/10.1016/j.energy.2020.119153</w:t>
      </w:r>
    </w:p>
    <w:p>
      <w:pPr/>
      <w:r>
        <w:rPr>
          <w:b/>
        </w:rPr>
        <w:t>Original future claim:</w:t>
      </w:r>
      <w:r>
        <w:t xml:space="preserve"> 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r>
        <w:rPr>
          <w:b/>
        </w:rPr>
        <w:t>Later source:</w:t>
      </w:r>
      <w:r>
        <w:t xml:space="preserve"> Europe and the Geopolitics of AGI: The Need for a Preparedness Plan — https://doi.org/10.48550/arxiv.2605.13634</w:t>
      </w:r>
    </w:p>
    <w:p>
      <w:pPr/>
      <w:r>
        <w:rPr>
          <w:b/>
        </w:rPr>
        <w:t>Later source:</w:t>
      </w:r>
      <w:r>
        <w:t xml:space="preserve"> Emerging risk of Xylella fastidiosa in Europe under global change — https://doi.org/10.1007/s10530-026-03869-5</w:t>
      </w:r>
    </w:p>
    <w:p>
      <w:pPr>
        <w:pStyle w:val="SourceNote"/>
      </w:pPr>
      <w:r>
        <w:rPr>
          <w:b/>
        </w:rPr>
        <w:t>Review status:</w:t>
      </w:r>
      <w:r>
        <w:t xml:space="preserve"> unchecked — possible relationship only</w:t>
      </w:r>
    </w:p>
    <w:p>
      <w:pPr>
        <w:pStyle w:val="Heading2"/>
      </w:pPr>
      <w:r>
        <w:t>480. Claim + two later sources: Realising transition pathways for a more electric, low-carbon energy system in the United Kingdom: Challenges, insights and opportunities</w:t>
      </w:r>
    </w:p>
    <w:p>
      <w:pPr>
        <w:pStyle w:val="SourceNote"/>
      </w:pPr>
      <w:r>
        <w:rPr>
          <w:b/>
        </w:rPr>
        <w:t>Group ID:</w:t>
      </w:r>
      <w:r>
        <w:t xml:space="preserve"> group-fcdfa554f20788530e24</w:t>
      </w:r>
    </w:p>
    <w:p>
      <w:pPr>
        <w:pStyle w:val="SourceNote"/>
      </w:pPr>
      <w:r>
        <w:rPr>
          <w:b/>
        </w:rPr>
        <w:t>Original source:</w:t>
      </w:r>
      <w:r>
        <w:t xml:space="preserve"> https://doi.org/10.1177/0957650917695448</w:t>
      </w:r>
    </w:p>
    <w:p>
      <w:pPr/>
      <w:r>
        <w:rPr>
          <w:b/>
        </w:rPr>
        <w:t>Original future claim:</w:t>
      </w:r>
      <w:r>
        <w:t xml:space="preserve"> 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r>
        <w:rPr>
          <w:b/>
        </w:rPr>
        <w:t>Later source:</w:t>
      </w:r>
      <w:r>
        <w:t xml:space="preserve"> The Law of Treaty Withdrawal in the United Kingdom — https://doi.org/10.4324/9781003712633-7</w:t>
      </w:r>
    </w:p>
    <w:p>
      <w:pPr/>
      <w:r>
        <w:rPr>
          <w:b/>
        </w:rPr>
        <w:t>Later source:</w:t>
      </w:r>
      <w:r>
        <w:t xml:space="preserve"> Open-Source AI and Market Competition: Why the United Kingdom Is Well Placed to Promote Openness as Competition Policy — https://doi.org/10.2139/ssrn.7431620</w:t>
      </w:r>
    </w:p>
    <w:p>
      <w:pPr>
        <w:pStyle w:val="SourceNote"/>
      </w:pPr>
      <w:r>
        <w:rPr>
          <w:b/>
        </w:rPr>
        <w:t>Review status:</w:t>
      </w:r>
      <w:r>
        <w:t xml:space="preserve"> unchecked — possible relationship only</w:t>
      </w:r>
    </w:p>
    <w:p>
      <w:pPr>
        <w:pStyle w:val="Heading2"/>
      </w:pPr>
      <w:r>
        <w:t>481. Claim + two later sources: By 2050 the Mitigation Effects of EU Forests Could Nearly Double through Climate Smart Forestry</w:t>
      </w:r>
    </w:p>
    <w:p>
      <w:pPr>
        <w:pStyle w:val="SourceNote"/>
      </w:pPr>
      <w:r>
        <w:rPr>
          <w:b/>
        </w:rPr>
        <w:t>Group ID:</w:t>
      </w:r>
      <w:r>
        <w:t xml:space="preserve"> group-1485a39ff89749745b4a</w:t>
      </w:r>
    </w:p>
    <w:p>
      <w:pPr>
        <w:pStyle w:val="SourceNote"/>
      </w:pPr>
      <w:r>
        <w:rPr>
          <w:b/>
        </w:rPr>
        <w:t>Original source:</w:t>
      </w:r>
      <w:r>
        <w:t xml:space="preserve"> https://doi.org/10.3390/f8120484</w:t>
      </w:r>
    </w:p>
    <w:p>
      <w:pPr/>
      <w:r>
        <w:rPr>
          <w:b/>
        </w:rPr>
        <w:t>Original future claim:</w:t>
      </w:r>
      <w:r>
        <w:t xml:space="preserve"> 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r>
        <w:rPr>
          <w:b/>
        </w:rPr>
        <w:t>Later source:</w:t>
      </w:r>
      <w:r>
        <w:t xml:space="preserve"> The Right to Abortion – Between the Need for Protection at the European Level and Respect for the Constitutional Traditions of the Member States — https://doi.org/10.54148/eltelj.2025.2.9</w:t>
      </w:r>
    </w:p>
    <w:p>
      <w:pPr/>
      <w:r>
        <w:rPr>
          <w:b/>
        </w:rPr>
        <w:t>Later source:</w:t>
      </w:r>
      <w:r>
        <w:t xml:space="preserve"> Harmonisation of Corporate Income Tax Incentives in SADC: Addressing the Challenges Posed by the Sovereign Right of SADC Member States to Set Their Own Economic and Tax Policies — https://doi.org/10.25159/2522-3062/15912</w:t>
      </w:r>
    </w:p>
    <w:p>
      <w:pPr>
        <w:pStyle w:val="SourceNote"/>
      </w:pPr>
      <w:r>
        <w:rPr>
          <w:b/>
        </w:rPr>
        <w:t>Review status:</w:t>
      </w:r>
      <w:r>
        <w:t xml:space="preserve"> unchecked — possible relationship only</w:t>
      </w:r>
    </w:p>
    <w:p>
      <w:pPr>
        <w:pStyle w:val="Heading2"/>
      </w:pPr>
      <w:r>
        <w:t>482. Claim + two later sources: Long-term transport decarbonization pathways in the European Union: a strategic energy-economy analysis</w:t>
      </w:r>
    </w:p>
    <w:p>
      <w:pPr>
        <w:pStyle w:val="SourceNote"/>
      </w:pPr>
      <w:r>
        <w:rPr>
          <w:b/>
        </w:rPr>
        <w:t>Group ID:</w:t>
      </w:r>
      <w:r>
        <w:t xml:space="preserve"> group-6a6c151c2499f865f39d</w:t>
      </w:r>
    </w:p>
    <w:p>
      <w:pPr>
        <w:pStyle w:val="SourceNote"/>
      </w:pPr>
      <w:r>
        <w:rPr>
          <w:b/>
        </w:rPr>
        <w:t>Original source:</w:t>
      </w:r>
      <w:r>
        <w:t xml:space="preserve"> https://doi.org/10.1080/15567249.2022.2101712</w:t>
      </w:r>
    </w:p>
    <w:p>
      <w:pPr/>
      <w:r>
        <w:rPr>
          <w:b/>
        </w:rPr>
        <w:t>Original future claim:</w:t>
      </w:r>
      <w:r>
        <w:t xml:space="preserve"> 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r>
        <w:rPr>
          <w:b/>
        </w:rPr>
        <w:t>Later source:</w:t>
      </w:r>
      <w:r>
        <w:t xml:space="preserve"> Assessing the importance of the European armament sector: a multiregional approach — https://doi.org/10.1080/10242694.2026.2673058</w:t>
      </w:r>
    </w:p>
    <w:p>
      <w:pPr/>
      <w:r>
        <w:rPr>
          <w:b/>
        </w:rPr>
        <w:t>Later source:</w:t>
      </w:r>
      <w:r>
        <w:t xml:space="preserve"> Budget Impact Analysis of Vacuum-Assisted Excision Versus Surgical Excision for the Assessment of Breast Lesions of Uncertain Malignant Potential in Italy — https://doi.org/10.1007/s41669-026-00663-w</w:t>
      </w:r>
    </w:p>
    <w:p>
      <w:pPr>
        <w:pStyle w:val="SourceNote"/>
      </w:pPr>
      <w:r>
        <w:rPr>
          <w:b/>
        </w:rPr>
        <w:t>Review status:</w:t>
      </w:r>
      <w:r>
        <w:t xml:space="preserve"> unchecked — possible relationship only</w:t>
      </w:r>
    </w:p>
    <w:p>
      <w:pPr>
        <w:pStyle w:val="Heading2"/>
      </w:pPr>
      <w:r>
        <w:t>483. Claim + two later sources: Towards the 2030 Agenda: Measuring the Progress of the European Union Countries through the SDGs Achievement Index</w:t>
      </w:r>
    </w:p>
    <w:p>
      <w:pPr>
        <w:pStyle w:val="SourceNote"/>
      </w:pPr>
      <w:r>
        <w:rPr>
          <w:b/>
        </w:rPr>
        <w:t>Group ID:</w:t>
      </w:r>
      <w:r>
        <w:t xml:space="preserve"> group-5a6d628cf33369cf0b20</w:t>
      </w:r>
    </w:p>
    <w:p>
      <w:pPr>
        <w:pStyle w:val="SourceNote"/>
      </w:pPr>
      <w:r>
        <w:rPr>
          <w:b/>
        </w:rPr>
        <w:t>Original source:</w:t>
      </w:r>
      <w:r>
        <w:t xml:space="preserve"> https://doi.org/10.3390/su14063563</w:t>
      </w:r>
    </w:p>
    <w:p>
      <w:pPr/>
      <w:r>
        <w:rPr>
          <w:b/>
        </w:rPr>
        <w:t>Original future claim:</w:t>
      </w:r>
      <w:r>
        <w:t xml:space="preserve"> The use of such an index will also be useful to understand the effect of the pandemic on the development.</w:t>
      </w:r>
    </w:p>
    <w:p>
      <w:pPr/>
      <w:r>
        <w:rPr>
          <w:b/>
        </w:rPr>
        <w:t>Later source:</w:t>
      </w:r>
      <w:r>
        <w:t xml:space="preserve"> Quantifying the Performance of European Agriculture Through the New European Sustainability Model — https://doi.org/10.3390/agriculture15020210</w:t>
      </w:r>
    </w:p>
    <w:p>
      <w:pPr/>
      <w:r>
        <w:rPr>
          <w:b/>
        </w:rPr>
        <w:t>Later source:</w:t>
      </w:r>
      <w:r>
        <w:t xml:space="preserve"> Construction Cost Index: Political, Economic, and Financial Risk Indices Within the European Continent — https://doi.org/10.3390/su17030917</w:t>
      </w:r>
    </w:p>
    <w:p>
      <w:pPr>
        <w:pStyle w:val="SourceNote"/>
      </w:pPr>
      <w:r>
        <w:rPr>
          <w:b/>
        </w:rPr>
        <w:t>Review status:</w:t>
      </w:r>
      <w:r>
        <w:t xml:space="preserve"> unchecked — possible relationship only</w:t>
      </w:r>
    </w:p>
    <w:p>
      <w:pPr>
        <w:pStyle w:val="Heading2"/>
      </w:pPr>
      <w:r>
        <w:t>484. Claim + two later sources: Enabling forecasts of environmental exposure to chemicals in European agriculture under global change</w:t>
      </w:r>
    </w:p>
    <w:p>
      <w:pPr>
        <w:pStyle w:val="SourceNote"/>
      </w:pPr>
      <w:r>
        <w:rPr>
          <w:b/>
        </w:rPr>
        <w:t>Group ID:</w:t>
      </w:r>
      <w:r>
        <w:t xml:space="preserve"> group-e669ab8bfa13128d28af</w:t>
      </w:r>
    </w:p>
    <w:p>
      <w:pPr>
        <w:pStyle w:val="SourceNote"/>
      </w:pPr>
      <w:r>
        <w:rPr>
          <w:b/>
        </w:rPr>
        <w:t>Original source:</w:t>
      </w:r>
      <w:r>
        <w:t xml:space="preserve"> https://doi.org/10.1016/j.scitotenv.2022.156478</w:t>
      </w:r>
    </w:p>
    <w:p>
      <w:pPr/>
      <w:r>
        <w:rPr>
          <w:b/>
        </w:rPr>
        <w:t>Original future claim:</w:t>
      </w:r>
      <w:r>
        <w:t xml:space="preserve"> 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r>
        <w:rPr>
          <w:b/>
        </w:rPr>
        <w:t>Later source:</w:t>
      </w:r>
      <w:r>
        <w:t xml:space="preserve"> Mapping the landscape of mycological organizations in europe: where citizen science meets professional mycology — https://doi.org/10.1007/s10531-025-03219-2</w:t>
      </w:r>
    </w:p>
    <w:p>
      <w:pPr/>
      <w:r>
        <w:rPr>
          <w:b/>
        </w:rPr>
        <w:t>Later source:</w:t>
      </w:r>
      <w:r>
        <w:t xml:space="preserve"> Evolution of Equality as a Constitutional Principle in Romania: European Union Membership Impacts and Current Challenges — https://doi.org/10.62733/2026.1.9-31</w:t>
      </w:r>
    </w:p>
    <w:p>
      <w:pPr>
        <w:pStyle w:val="SourceNote"/>
      </w:pPr>
      <w:r>
        <w:rPr>
          <w:b/>
        </w:rPr>
        <w:t>Review status:</w:t>
      </w:r>
      <w:r>
        <w:t xml:space="preserve"> unchecked — possible relationship only</w:t>
      </w:r>
    </w:p>
    <w:p>
      <w:pPr>
        <w:pStyle w:val="Heading2"/>
      </w:pPr>
      <w:r>
        <w:t>485. Claim + two later sources: Climate change mitigation: evidences from the European scenario</w:t>
      </w:r>
    </w:p>
    <w:p>
      <w:pPr>
        <w:pStyle w:val="SourceNote"/>
      </w:pPr>
      <w:r>
        <w:rPr>
          <w:b/>
        </w:rPr>
        <w:t>Group ID:</w:t>
      </w:r>
      <w:r>
        <w:t xml:space="preserve"> group-7e18cbb976d707db1233</w:t>
      </w:r>
    </w:p>
    <w:p>
      <w:pPr>
        <w:pStyle w:val="SourceNote"/>
      </w:pPr>
      <w:r>
        <w:rPr>
          <w:b/>
        </w:rPr>
        <w:t>Original source:</w:t>
      </w:r>
      <w:r>
        <w:t xml:space="preserve"> https://doi.org/10.1504/ijmne.2018.10016474</w:t>
      </w:r>
    </w:p>
    <w:p>
      <w:pPr/>
      <w:r>
        <w:rPr>
          <w:b/>
        </w:rPr>
        <w:t>Original future claim:</w:t>
      </w:r>
      <w:r>
        <w:t xml:space="preserve"> By 2050, the EU aims to reduce its greenhouse gas emissions by 80%-95% compared with 1990 levels. New objectives up to 2030 provide for a 40% reduction of GHG emissions and an increase of 27% for renewables and energy efficiency.</w:t>
      </w:r>
    </w:p>
    <w:p>
      <w:pPr/>
      <w:r>
        <w:rPr>
          <w:b/>
        </w:rPr>
        <w:t>Later source:</w:t>
      </w:r>
      <w:r>
        <w:t xml:space="preserve"> Association patterns of renewables and greenhouse gas emission reduction in the European Union — https://doi.org/10.2139/ssrn.6144181</w:t>
      </w:r>
    </w:p>
    <w:p>
      <w:pPr/>
      <w:r>
        <w:rPr>
          <w:b/>
        </w:rPr>
        <w:t>Later source:</w:t>
      </w:r>
      <w:r>
        <w:t xml:space="preserve"> Changes in greenhouse gas emissions from agriculture in selected European Union countries — https://doi.org/10.14254/2071-8330.2026/19-1/10</w:t>
      </w:r>
    </w:p>
    <w:p>
      <w:pPr>
        <w:pStyle w:val="SourceNote"/>
      </w:pPr>
      <w:r>
        <w:rPr>
          <w:b/>
        </w:rPr>
        <w:t>Review status:</w:t>
      </w:r>
      <w:r>
        <w:t xml:space="preserve"> unchecked — possible relationship only</w:t>
      </w:r>
    </w:p>
    <w:p>
      <w:pPr>
        <w:pStyle w:val="Heading2"/>
      </w:pPr>
      <w:r>
        <w:t>486. Claim + two later sources: Seeds of good anthropocenes: developing sustainability scenarios for Northern Europe</w:t>
      </w:r>
    </w:p>
    <w:p>
      <w:pPr>
        <w:pStyle w:val="SourceNote"/>
      </w:pPr>
      <w:r>
        <w:rPr>
          <w:b/>
        </w:rPr>
        <w:t>Group ID:</w:t>
      </w:r>
      <w:r>
        <w:t xml:space="preserve"> group-3bb932fa2e396be5df42</w:t>
      </w:r>
    </w:p>
    <w:p>
      <w:pPr>
        <w:pStyle w:val="SourceNote"/>
      </w:pPr>
      <w:r>
        <w:rPr>
          <w:b/>
        </w:rPr>
        <w:t>Original source:</w:t>
      </w:r>
      <w:r>
        <w:t xml:space="preserve"> https://doi.org/10.1007/s11625-019-00714-8</w:t>
      </w:r>
    </w:p>
    <w:p>
      <w:pPr/>
      <w:r>
        <w:rPr>
          <w:b/>
        </w:rPr>
        <w:t>Original future claim:</w:t>
      </w:r>
      <w:r>
        <w:t xml:space="preserve"> 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r>
        <w:rPr>
          <w:b/>
        </w:rPr>
        <w:t>Later source:</w:t>
      </w:r>
      <w:r>
        <w:t xml:space="preserve"> Hydrological drought but not flood synchronicity increases over Europe — https://doi.org/10.5194/egusphere-egu26-4770</w:t>
      </w:r>
    </w:p>
    <w:p>
      <w:pPr/>
      <w:r>
        <w:rPr>
          <w:b/>
        </w:rPr>
        <w:t>Later source:</w:t>
      </w:r>
      <w:r>
        <w:t xml:space="preserve"> The European Union’s role in European defence industry policy — https://doi.org/10.1080/14702436.2025.2472694</w:t>
      </w:r>
    </w:p>
    <w:p>
      <w:pPr>
        <w:pStyle w:val="SourceNote"/>
      </w:pPr>
      <w:r>
        <w:rPr>
          <w:b/>
        </w:rPr>
        <w:t>Review status:</w:t>
      </w:r>
      <w:r>
        <w:t xml:space="preserve"> unchecked — possible relationship only</w:t>
      </w:r>
    </w:p>
    <w:p>
      <w:pPr>
        <w:pStyle w:val="Heading2"/>
      </w:pPr>
      <w:r>
        <w:t>487. Claim + two later sources: PROJEKCJA ZMIAN WIELKOŚCI PLONÓW PSZENICY W POLSCE I UNII EUROPEJSKIEJ W LATACH 2030 I 2050 NA PODSTAWIE MODELU CAPRI</w:t>
      </w:r>
    </w:p>
    <w:p>
      <w:pPr>
        <w:pStyle w:val="SourceNote"/>
      </w:pPr>
      <w:r>
        <w:rPr>
          <w:b/>
        </w:rPr>
        <w:t>Group ID:</w:t>
      </w:r>
      <w:r>
        <w:t xml:space="preserve"> group-80240569d711e6b81a08</w:t>
      </w:r>
    </w:p>
    <w:p>
      <w:pPr>
        <w:pStyle w:val="SourceNote"/>
      </w:pPr>
      <w:r>
        <w:rPr>
          <w:b/>
        </w:rPr>
        <w:t>Original source:</w:t>
      </w:r>
      <w:r>
        <w:t xml:space="preserve"> https://doi.org/10.22004/ag.econ.233132</w:t>
      </w:r>
    </w:p>
    <w:p>
      <w:pPr/>
      <w:r>
        <w:rPr>
          <w:b/>
        </w:rPr>
        <w:t>Original future claim:</w:t>
      </w:r>
      <w:r>
        <w:t xml:space="preserve"> 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r>
        <w:rPr>
          <w:b/>
        </w:rPr>
        <w:t>Later source:</w:t>
      </w:r>
      <w:r>
        <w:t xml:space="preserve"> Effect of different treatments on the dissipation and persistence of iodosulfuron-methyl applied in soils with wheat crop under greenhouse conditions — https://doi.org/10.1016/j.ecoenv.2025.118454</w:t>
      </w:r>
    </w:p>
    <w:p>
      <w:pPr/>
      <w:r>
        <w:rPr>
          <w:b/>
        </w:rPr>
        <w:t>Later source:</w:t>
      </w:r>
      <w:r>
        <w:t xml:space="preserve"> Improved modelling framework for assessing the interactions between the energy, agriculture, forestry and land use change sectors: Integrating the CAPRI, LUISA-BEES, CBM and POTEnCIA models — https://doi.org/10.2760/900305</w:t>
      </w:r>
    </w:p>
    <w:p>
      <w:pPr>
        <w:pStyle w:val="SourceNote"/>
      </w:pPr>
      <w:r>
        <w:rPr>
          <w:b/>
        </w:rPr>
        <w:t>Review status:</w:t>
      </w:r>
      <w:r>
        <w:t xml:space="preserve"> unchecked — possible relationship only</w:t>
      </w:r>
    </w:p>
    <w:p>
      <w:pPr>
        <w:pStyle w:val="Heading2"/>
      </w:pPr>
      <w:r>
        <w:t>488. Claim + two later sources: Recycling of European plastic is a pathway for plastic debris in the ocean</w:t>
      </w:r>
    </w:p>
    <w:p>
      <w:pPr>
        <w:pStyle w:val="SourceNote"/>
      </w:pPr>
      <w:r>
        <w:rPr>
          <w:b/>
        </w:rPr>
        <w:t>Group ID:</w:t>
      </w:r>
      <w:r>
        <w:t xml:space="preserve"> group-6d3f32c15d6b4b247cde</w:t>
      </w:r>
    </w:p>
    <w:p>
      <w:pPr>
        <w:pStyle w:val="SourceNote"/>
      </w:pPr>
      <w:r>
        <w:rPr>
          <w:b/>
        </w:rPr>
        <w:t>Original source:</w:t>
      </w:r>
      <w:r>
        <w:t xml:space="preserve"> https://doi.org/10.1016/j.envint.2020.105893</w:t>
      </w:r>
    </w:p>
    <w:p>
      <w:pPr/>
      <w:r>
        <w:rPr>
          <w:b/>
        </w:rPr>
        <w:t>Original future claim:</w:t>
      </w:r>
      <w:r>
        <w:t xml:space="preserve"> Data uncertainty was reflected in three scenarios representing high, low and average recovery efficiency factors in material recovery facilities and reprocessing facilities, and different ocean debris fate factors.</w:t>
      </w:r>
    </w:p>
    <w:p>
      <w:pPr/>
      <w:r>
        <w:rPr>
          <w:b/>
        </w:rPr>
        <w:t>Later source:</w:t>
      </w:r>
      <w:r>
        <w:t xml:space="preserve"> Dealing with and communicating data uncertainties in agricultural remote sensing: a comprehensive approach — https://doi.org/10.1016/j.rsase.2026.102202</w:t>
      </w:r>
    </w:p>
    <w:p>
      <w:pPr/>
      <w:r>
        <w:rPr>
          <w:b/>
        </w:rPr>
        <w:t>Later source:</w:t>
      </w:r>
      <w:r>
        <w:t xml:space="preserve"> Does Economic Policy Uncertainty Influence ESG Performance? Evidence from European Banking Sector — https://doi.org/10.5539/ijbm.v21n5p163</w:t>
      </w:r>
    </w:p>
    <w:p>
      <w:pPr>
        <w:pStyle w:val="SourceNote"/>
      </w:pPr>
      <w:r>
        <w:rPr>
          <w:b/>
        </w:rPr>
        <w:t>Review status:</w:t>
      </w:r>
      <w:r>
        <w:t xml:space="preserve"> unchecked — possible relationship only</w:t>
      </w:r>
    </w:p>
    <w:p>
      <w:pPr>
        <w:pStyle w:val="Heading2"/>
      </w:pPr>
      <w:r>
        <w:t>489. Claim + two later sources: The Futures of Europe: Society 5.0 and Industry 5.0 as Driving Forces of Future Universities</w:t>
      </w:r>
    </w:p>
    <w:p>
      <w:pPr>
        <w:pStyle w:val="SourceNote"/>
      </w:pPr>
      <w:r>
        <w:rPr>
          <w:b/>
        </w:rPr>
        <w:t>Group ID:</w:t>
      </w:r>
      <w:r>
        <w:t xml:space="preserve"> group-940e0dbd97b53547e2a0</w:t>
      </w:r>
    </w:p>
    <w:p>
      <w:pPr>
        <w:pStyle w:val="SourceNote"/>
      </w:pPr>
      <w:r>
        <w:rPr>
          <w:b/>
        </w:rPr>
        <w:t>Original source:</w:t>
      </w:r>
      <w:r>
        <w:t xml:space="preserve"> https://doi.org/10.1007/s13132-021-00854-2</w:t>
      </w:r>
    </w:p>
    <w:p>
      <w:pPr/>
      <w:r>
        <w:rPr>
          <w:b/>
        </w:rPr>
        <w:t>Original future claim:</w:t>
      </w:r>
      <w:r>
        <w:t xml:space="preserve"> 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r>
        <w:rPr>
          <w:b/>
        </w:rPr>
        <w:t>Later source:</w:t>
      </w:r>
      <w:r>
        <w:t xml:space="preserve"> Updated PM2.5 Mortality Estimates for Europe in Coming Decades via the CATALYSE Project — https://doi.org/10.5194/egusphere-egu26-18901</w:t>
      </w:r>
    </w:p>
    <w:p>
      <w:pPr/>
      <w:r>
        <w:rPr>
          <w:b/>
        </w:rPr>
        <w:t>Later source:</w:t>
      </w:r>
      <w:r>
        <w:t xml:space="preserve"> Inclusion and Gender Empowerment in European Civil Society Organisations — https://openalex.org/W7137625942</w:t>
      </w:r>
    </w:p>
    <w:p>
      <w:pPr>
        <w:pStyle w:val="SourceNote"/>
      </w:pPr>
      <w:r>
        <w:rPr>
          <w:b/>
        </w:rPr>
        <w:t>Review status:</w:t>
      </w:r>
      <w:r>
        <w:t xml:space="preserve"> unchecked — possible relationship only</w:t>
      </w:r>
    </w:p>
    <w:p>
      <w:pPr>
        <w:pStyle w:val="Heading2"/>
      </w:pPr>
      <w:r>
        <w:t>490. Claim + two later sources: Land use implications of future energy system trajectories—The case of the UK 2050 Carbon Plan</w:t>
      </w:r>
    </w:p>
    <w:p>
      <w:pPr>
        <w:pStyle w:val="SourceNote"/>
      </w:pPr>
      <w:r>
        <w:rPr>
          <w:b/>
        </w:rPr>
        <w:t>Group ID:</w:t>
      </w:r>
      <w:r>
        <w:t xml:space="preserve"> group-7e6c70f851b6f8db2a54</w:t>
      </w:r>
    </w:p>
    <w:p>
      <w:pPr>
        <w:pStyle w:val="SourceNote"/>
      </w:pPr>
      <w:r>
        <w:rPr>
          <w:b/>
        </w:rPr>
        <w:t>Original source:</w:t>
      </w:r>
      <w:r>
        <w:t xml:space="preserve"> https://doi.org/10.1016/j.enpol.2015.07.008</w:t>
      </w:r>
    </w:p>
    <w:p>
      <w:pPr/>
      <w:r>
        <w:rPr>
          <w:b/>
        </w:rPr>
        <w:t>Original future claim:</w:t>
      </w:r>
      <w:r>
        <w:t xml:space="preserve"> 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r>
        <w:rPr>
          <w:b/>
        </w:rPr>
        <w:t>Later source:</w:t>
      </w:r>
      <w:r>
        <w:t xml:space="preserve"> Four pathways for energy citizenship initiatives to contribute to a more democratic European energy system — https://doi.org/10.1080/07036337.2025.2458592</w:t>
      </w:r>
    </w:p>
    <w:p>
      <w:pPr/>
      <w:r>
        <w:rPr>
          <w:b/>
        </w:rPr>
        <w:t>Later source:</w:t>
      </w:r>
      <w:r>
        <w:t xml:space="preserve"> Developing multi-risk DRM pathways — Lessons from four European case studies — https://doi.org/10.1016/j.crm.2025.100753</w:t>
      </w:r>
    </w:p>
    <w:p>
      <w:pPr>
        <w:pStyle w:val="SourceNote"/>
      </w:pPr>
      <w:r>
        <w:rPr>
          <w:b/>
        </w:rPr>
        <w:t>Review status:</w:t>
      </w:r>
      <w:r>
        <w:t xml:space="preserve"> unchecked — possible relationship only</w:t>
      </w:r>
    </w:p>
    <w:p>
      <w:pPr>
        <w:pStyle w:val="Heading2"/>
      </w:pPr>
      <w:r>
        <w:t>491. Claim + two later sources: Future projections of temperature and mixing regime of  European temperate lakes</w:t>
      </w:r>
    </w:p>
    <w:p>
      <w:pPr>
        <w:pStyle w:val="SourceNote"/>
      </w:pPr>
      <w:r>
        <w:rPr>
          <w:b/>
        </w:rPr>
        <w:t>Group ID:</w:t>
      </w:r>
      <w:r>
        <w:t xml:space="preserve"> group-9e814531bcd393424cd3</w:t>
      </w:r>
    </w:p>
    <w:p>
      <w:pPr>
        <w:pStyle w:val="SourceNote"/>
      </w:pPr>
      <w:r>
        <w:rPr>
          <w:b/>
        </w:rPr>
        <w:t>Original source:</w:t>
      </w:r>
      <w:r>
        <w:t xml:space="preserve"> https://doi.org/10.5194/hess-23-1533-2019</w:t>
      </w:r>
    </w:p>
    <w:p>
      <w:pPr/>
      <w:r>
        <w:rPr>
          <w:b/>
        </w:rPr>
        <w:t>Original future claim:</w:t>
      </w:r>
      <w:r>
        <w:t xml:space="preserve"> 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r>
        <w:rPr>
          <w:b/>
        </w:rPr>
        <w:t>Later source:</w:t>
      </w:r>
      <w:r>
        <w:t xml:space="preserve"> Emergent constraint indicates forced decline in European winter windstorm frequency — https://doi.org/10.1088/1748-9326/ae845f</w:t>
      </w:r>
    </w:p>
    <w:p>
      <w:pPr/>
      <w:r>
        <w:rPr>
          <w:b/>
        </w:rPr>
        <w:t>Later source:</w:t>
      </w:r>
      <w:r>
        <w:t xml:space="preserve"> Winter thunderstorms in Poland (1951–2020) — https://doi.org/10.2478/environ-2024-0021</w:t>
      </w:r>
    </w:p>
    <w:p>
      <w:pPr>
        <w:pStyle w:val="SourceNote"/>
      </w:pPr>
      <w:r>
        <w:rPr>
          <w:b/>
        </w:rPr>
        <w:t>Review status:</w:t>
      </w:r>
      <w:r>
        <w:t xml:space="preserve"> unchecked — possible relationship only</w:t>
      </w:r>
    </w:p>
    <w:p>
      <w:pPr>
        <w:pStyle w:val="Heading2"/>
      </w:pPr>
      <w:r>
        <w:t>492. Claim + two later sources: Lyme Disease Risks in Europe under Multiple Uncertain Drivers of Change</w:t>
      </w:r>
    </w:p>
    <w:p>
      <w:pPr>
        <w:pStyle w:val="SourceNote"/>
      </w:pPr>
      <w:r>
        <w:rPr>
          <w:b/>
        </w:rPr>
        <w:t>Group ID:</w:t>
      </w:r>
      <w:r>
        <w:t xml:space="preserve"> group-b8b1ba54d8754052874b</w:t>
      </w:r>
    </w:p>
    <w:p>
      <w:pPr>
        <w:pStyle w:val="SourceNote"/>
      </w:pPr>
      <w:r>
        <w:rPr>
          <w:b/>
        </w:rPr>
        <w:t>Original source:</w:t>
      </w:r>
      <w:r>
        <w:t xml:space="preserve"> https://doi.org/10.1289/ehp4615</w:t>
      </w:r>
    </w:p>
    <w:p>
      <w:pPr/>
      <w:r>
        <w:rPr>
          <w:b/>
        </w:rPr>
        <w:t>Original future claim:</w:t>
      </w:r>
      <w:r>
        <w:t xml:space="preserve"> 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r>
        <w:rPr>
          <w:b/>
        </w:rPr>
        <w:t>Later source:</w:t>
      </w:r>
      <w:r>
        <w:t xml:space="preserve"> Model Code and Data for "Future projections of burned area in Europe highlight the importance of human action" — https://doi.org/10.5281/zenodo.18740007</w:t>
      </w:r>
    </w:p>
    <w:p>
      <w:pPr/>
      <w:r>
        <w:rPr>
          <w:b/>
        </w:rPr>
        <w:t>Later source:</w:t>
      </w:r>
      <w:r>
        <w:t xml:space="preserve"> Extreme precipitation projections over Europe from the Euro-CORDEX regional climate models — https://doi.org/10.2139/ssrn.7352664</w:t>
      </w:r>
    </w:p>
    <w:p>
      <w:pPr>
        <w:pStyle w:val="SourceNote"/>
      </w:pPr>
      <w:r>
        <w:rPr>
          <w:b/>
        </w:rPr>
        <w:t>Review status:</w:t>
      </w:r>
      <w:r>
        <w:t xml:space="preserve"> unchecked — possible relationship only</w:t>
      </w:r>
    </w:p>
    <w:p>
      <w:pPr>
        <w:pStyle w:val="Heading2"/>
      </w:pPr>
      <w:r>
        <w:t>493. Claim + two later sources: Imagining energy futures: Sociotechnical imaginaries of the future Smart Grid in Norway</w:t>
      </w:r>
    </w:p>
    <w:p>
      <w:pPr>
        <w:pStyle w:val="SourceNote"/>
      </w:pPr>
      <w:r>
        <w:rPr>
          <w:b/>
        </w:rPr>
        <w:t>Group ID:</w:t>
      </w:r>
      <w:r>
        <w:t xml:space="preserve"> group-33fd62738a36b6ca13af</w:t>
      </w:r>
    </w:p>
    <w:p>
      <w:pPr>
        <w:pStyle w:val="SourceNote"/>
      </w:pPr>
      <w:r>
        <w:rPr>
          <w:b/>
        </w:rPr>
        <w:t>Original source:</w:t>
      </w:r>
      <w:r>
        <w:t xml:space="preserve"> https://doi.org/10.1016/j.erss.2015.08.015</w:t>
      </w:r>
    </w:p>
    <w:p>
      <w:pPr/>
      <w:r>
        <w:rPr>
          <w:b/>
        </w:rPr>
        <w:t>Original future claim:</w:t>
      </w:r>
      <w:r>
        <w:t xml:space="preserve"> 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r>
        <w:rPr>
          <w:b/>
        </w:rPr>
        <w:t>Later source:</w:t>
      </w:r>
      <w:r>
        <w:t xml:space="preserve"> Towards consumer-oriented smart grids : investigating consumer perspectives on the adoption of smart technologies and services — https://openalex.org/W7222853900</w:t>
      </w:r>
    </w:p>
    <w:p>
      <w:pPr/>
      <w:r>
        <w:rPr>
          <w:b/>
        </w:rPr>
        <w:t>Later source:</w:t>
      </w:r>
      <w:r>
        <w:t xml:space="preserve"> Smart Grids and Sustainability: The Impact of Digital Technologies on the Energy Transition — https://doi.org/10.3390/en18092149</w:t>
      </w:r>
    </w:p>
    <w:p>
      <w:pPr>
        <w:pStyle w:val="SourceNote"/>
      </w:pPr>
      <w:r>
        <w:rPr>
          <w:b/>
        </w:rPr>
        <w:t>Review status:</w:t>
      </w:r>
      <w:r>
        <w:t xml:space="preserve"> unchecked — possible relationship only</w:t>
      </w:r>
    </w:p>
    <w:p>
      <w:pPr>
        <w:pStyle w:val="Heading2"/>
      </w:pPr>
      <w:r>
        <w:t>494. Claim + two later sources: Long-Term Projection of Renewable Energy Technology Diffusion</w:t>
      </w:r>
    </w:p>
    <w:p>
      <w:pPr>
        <w:pStyle w:val="SourceNote"/>
      </w:pPr>
      <w:r>
        <w:rPr>
          <w:b/>
        </w:rPr>
        <w:t>Group ID:</w:t>
      </w:r>
      <w:r>
        <w:t xml:space="preserve"> group-93aa6c2a55580459bcfa</w:t>
      </w:r>
    </w:p>
    <w:p>
      <w:pPr>
        <w:pStyle w:val="SourceNote"/>
      </w:pPr>
      <w:r>
        <w:rPr>
          <w:b/>
        </w:rPr>
        <w:t>Original source:</w:t>
      </w:r>
      <w:r>
        <w:t xml:space="preserve"> https://doi.org/10.3390/en12224261</w:t>
      </w:r>
    </w:p>
    <w:p>
      <w:pPr/>
      <w:r>
        <w:rPr>
          <w:b/>
        </w:rPr>
        <w:t>Original future claim:</w:t>
      </w:r>
      <w:r>
        <w:t xml:space="preserve"> 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r>
        <w:rPr>
          <w:b/>
        </w:rPr>
        <w:t>Later source:</w:t>
      </w:r>
      <w:r>
        <w:t xml:space="preserve"> Cultivating Respect Empathy and Cooperation through Harmonious Living in Elementary Education — https://doi.org/10.21070/acopen.11.2026.14725</w:t>
      </w:r>
    </w:p>
    <w:p>
      <w:pPr/>
      <w:r>
        <w:rPr>
          <w:b/>
        </w:rPr>
        <w:t>Later source:</w:t>
      </w:r>
      <w:r>
        <w:t xml:space="preserve"> A Novel Fuzzy Model for Knowledge-Driven Process Optimization in Renewable Energy Projects — https://doi.org/10.1007/s13132-024-02074-w</w:t>
      </w:r>
    </w:p>
    <w:p>
      <w:pPr>
        <w:pStyle w:val="SourceNote"/>
      </w:pPr>
      <w:r>
        <w:rPr>
          <w:b/>
        </w:rPr>
        <w:t>Review status:</w:t>
      </w:r>
      <w:r>
        <w:t xml:space="preserve"> unchecked — possible relationship only</w:t>
      </w:r>
    </w:p>
    <w:p>
      <w:pPr>
        <w:pStyle w:val="Heading2"/>
      </w:pPr>
      <w:r>
        <w:t>495. Claim + two later sources: Climate change mitigation: evidences from the European scenario</w:t>
      </w:r>
    </w:p>
    <w:p>
      <w:pPr>
        <w:pStyle w:val="SourceNote"/>
      </w:pPr>
      <w:r>
        <w:rPr>
          <w:b/>
        </w:rPr>
        <w:t>Group ID:</w:t>
      </w:r>
      <w:r>
        <w:t xml:space="preserve"> group-4739b039a3d523116184</w:t>
      </w:r>
    </w:p>
    <w:p>
      <w:pPr>
        <w:pStyle w:val="SourceNote"/>
      </w:pPr>
      <w:r>
        <w:rPr>
          <w:b/>
        </w:rPr>
        <w:t>Original source:</w:t>
      </w:r>
      <w:r>
        <w:t xml:space="preserve"> https://doi.org/10.1504/ijmne.2018.095079</w:t>
      </w:r>
    </w:p>
    <w:p>
      <w:pPr/>
      <w:r>
        <w:rPr>
          <w:b/>
        </w:rPr>
        <w:t>Original future claim:</w:t>
      </w:r>
      <w:r>
        <w:t xml:space="preserve"> By 2050, the EU aims to reduce its greenhouse gas emissions by 80%-95% compared with 1990 levels. New objectives up to 2030 provide for a 40% reduction of GHG emissions and an increase of 27% for renewables and energy efficiency.</w:t>
      </w:r>
    </w:p>
    <w:p>
      <w:pPr/>
      <w:r>
        <w:rPr>
          <w:b/>
        </w:rPr>
        <w:t>Later source:</w:t>
      </w:r>
      <w:r>
        <w:t xml:space="preserve"> Association patterns of renewables and greenhouse gas emission reduction in the European Union — https://doi.org/10.2139/ssrn.6144181</w:t>
      </w:r>
    </w:p>
    <w:p>
      <w:pPr/>
      <w:r>
        <w:rPr>
          <w:b/>
        </w:rPr>
        <w:t>Later source:</w:t>
      </w:r>
      <w:r>
        <w:t xml:space="preserve"> Changes in greenhouse gas emissions from agriculture in selected European Union countries — https://doi.org/10.14254/2071-8330.2026/19-1/10</w:t>
      </w:r>
    </w:p>
    <w:p>
      <w:pPr>
        <w:pStyle w:val="SourceNote"/>
      </w:pPr>
      <w:r>
        <w:rPr>
          <w:b/>
        </w:rPr>
        <w:t>Review status:</w:t>
      </w:r>
      <w:r>
        <w:t xml:space="preserve"> unchecked — possible relationship only</w:t>
      </w:r>
    </w:p>
    <w:p>
      <w:pPr>
        <w:pStyle w:val="Heading2"/>
      </w:pPr>
      <w:r>
        <w:t>496. Claim + two later sources: Losses of Ammonia and Nitrate from Agriculture and Their Effect on Nitrogen Recovery in the European Union and the United States between 1900 and 2050</w:t>
      </w:r>
    </w:p>
    <w:p>
      <w:pPr>
        <w:pStyle w:val="SourceNote"/>
      </w:pPr>
      <w:r>
        <w:rPr>
          <w:b/>
        </w:rPr>
        <w:t>Group ID:</w:t>
      </w:r>
      <w:r>
        <w:t xml:space="preserve"> group-e78438cb924c3ffbf207</w:t>
      </w:r>
    </w:p>
    <w:p>
      <w:pPr>
        <w:pStyle w:val="SourceNote"/>
      </w:pPr>
      <w:r>
        <w:rPr>
          <w:b/>
        </w:rPr>
        <w:t>Original source:</w:t>
      </w:r>
      <w:r>
        <w:t xml:space="preserve"> https://doi.org/10.2134/jeq2014.03.0102</w:t>
      </w:r>
    </w:p>
    <w:p>
      <w:pPr/>
      <w:r>
        <w:rPr>
          <w:b/>
        </w:rPr>
        <w:t>Original future claim:</w:t>
      </w:r>
      <w:r>
        <w:t xml:space="preserve"> 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r>
        <w:rPr>
          <w:b/>
        </w:rPr>
        <w:t>Later source:</w:t>
      </w:r>
      <w:r>
        <w:t xml:space="preserve"> United States and European Union aid cuts risk exacerbating links between aid, trade, and human and environmental crises — https://doi.org/10.1038/s44458-025-00011-9</w:t>
      </w:r>
    </w:p>
    <w:p>
      <w:pPr/>
      <w:r>
        <w:rPr>
          <w:b/>
        </w:rPr>
        <w:t>Later source:</w:t>
      </w:r>
      <w:r>
        <w:t xml:space="preserve"> Governing the Environmental Externalities of Generative AI Compute in the Gulf: Data-Centre Expansion in Saudi Arabia, the UAE, and QatarA Comparative Policy Analysis of the European Union, United States, and China as Lesson-Generating Models — https://doi.org/10.2139/ssrn.6866873</w:t>
      </w:r>
    </w:p>
    <w:p>
      <w:pPr>
        <w:pStyle w:val="SourceNote"/>
      </w:pPr>
      <w:r>
        <w:rPr>
          <w:b/>
        </w:rPr>
        <w:t>Review status:</w:t>
      </w:r>
      <w:r>
        <w:t xml:space="preserve"> unchecked — possible relationship only</w:t>
      </w:r>
    </w:p>
    <w:p>
      <w:pPr>
        <w:pStyle w:val="Heading2"/>
      </w:pPr>
      <w:r>
        <w:t>497. Claim + two later sources: Assessing the EU’s 2030 Climate and Energy Policy Framework: Incremental change toward radical transformation?</w:t>
      </w:r>
    </w:p>
    <w:p>
      <w:pPr>
        <w:pStyle w:val="SourceNote"/>
      </w:pPr>
      <w:r>
        <w:rPr>
          <w:b/>
        </w:rPr>
        <w:t>Group ID:</w:t>
      </w:r>
      <w:r>
        <w:t xml:space="preserve"> group-77d0524ff9c3f74ca6f7</w:t>
      </w:r>
    </w:p>
    <w:p>
      <w:pPr>
        <w:pStyle w:val="SourceNote"/>
      </w:pPr>
      <w:r>
        <w:rPr>
          <w:b/>
        </w:rPr>
        <w:t>Original source:</w:t>
      </w:r>
      <w:r>
        <w:t xml:space="preserve"> https://doi.org/10.1111/reel.12358</w:t>
      </w:r>
    </w:p>
    <w:p>
      <w:pPr/>
      <w:r>
        <w:rPr>
          <w:b/>
        </w:rPr>
        <w:t>Original future claim:</w:t>
      </w:r>
      <w:r>
        <w:t xml:space="preserve"> 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r>
        <w:rPr>
          <w:b/>
        </w:rPr>
        <w:t>Later source:</w:t>
      </w:r>
      <w:r>
        <w:t xml:space="preserve"> Change of Sporting Nationality in Athletics in the Context of European Union Law — https://openalex.org/W7164874266</w:t>
      </w:r>
    </w:p>
    <w:p>
      <w:pPr/>
      <w:r>
        <w:rPr>
          <w:b/>
        </w:rPr>
        <w:t>Later source:</w:t>
      </w:r>
      <w:r>
        <w:t xml:space="preserve"> Protecting Wildlife in Europe: A Comprehensive Analysis of Legislative Frameworks and Their Shortcomings — https://doi.org/10.1080/13880292.2025.2619363</w:t>
      </w:r>
    </w:p>
    <w:p>
      <w:pPr>
        <w:pStyle w:val="SourceNote"/>
      </w:pPr>
      <w:r>
        <w:rPr>
          <w:b/>
        </w:rPr>
        <w:t>Review status:</w:t>
      </w:r>
      <w:r>
        <w:t xml:space="preserve"> unchecked — possible relationship only</w:t>
      </w:r>
    </w:p>
    <w:p>
      <w:pPr>
        <w:pStyle w:val="Heading2"/>
      </w:pPr>
      <w:r>
        <w:t>498. Claim + two later sources: Society in need of transformation. Citizen-Foresight as a method to co-create urban future</w:t>
      </w:r>
    </w:p>
    <w:p>
      <w:pPr>
        <w:pStyle w:val="SourceNote"/>
      </w:pPr>
      <w:r>
        <w:rPr>
          <w:b/>
        </w:rPr>
        <w:t>Group ID:</w:t>
      </w:r>
      <w:r>
        <w:t xml:space="preserve"> group-16afa9985c4c8db06d5a</w:t>
      </w:r>
    </w:p>
    <w:p>
      <w:pPr>
        <w:pStyle w:val="SourceNote"/>
      </w:pPr>
      <w:r>
        <w:rPr>
          <w:b/>
        </w:rPr>
        <w:t>Original source:</w:t>
      </w:r>
      <w:r>
        <w:t xml:space="preserve"> https://doi.org/10.14746/fped.2016.5.2.21</w:t>
      </w:r>
    </w:p>
    <w:p>
      <w:pPr/>
      <w:r>
        <w:rPr>
          <w:b/>
        </w:rPr>
        <w:t>Original future claim:</w:t>
      </w:r>
      <w:r>
        <w:t xml:space="preserve"> Third, we show how this can work in reality by shortly outlining two Citizen-Foresight cases with elderlies and, fourth, we derive selection-criteria for methods aiming at transforming mental images, maps and behaviour.</w:t>
      </w:r>
    </w:p>
    <w:p>
      <w:pPr/>
      <w:r>
        <w:rPr>
          <w:b/>
        </w:rPr>
        <w:t>Later source:</w:t>
      </w:r>
      <w:r>
        <w:t xml:space="preserve"> Unmasking the spatial-temporal characteristics of knowledge workers’ third-place remote work — https://doi.org/10.1177/27541231261444208</w:t>
      </w:r>
    </w:p>
    <w:p>
      <w:pPr/>
      <w:r>
        <w:rPr>
          <w:b/>
        </w:rPr>
        <w:t>Later source:</w:t>
      </w:r>
      <w:r>
        <w:t xml:space="preserve"> Work as a Third Pathway to New Longevity — https://doi.org/10.12660/gvexec.v25n1.2026.98714</w:t>
      </w:r>
    </w:p>
    <w:p>
      <w:pPr>
        <w:pStyle w:val="SourceNote"/>
      </w:pPr>
      <w:r>
        <w:rPr>
          <w:b/>
        </w:rPr>
        <w:t>Review status:</w:t>
      </w:r>
      <w:r>
        <w:t xml:space="preserve"> unchecked — possible relationship only</w:t>
      </w:r>
    </w:p>
    <w:p>
      <w:pPr>
        <w:pStyle w:val="Heading2"/>
      </w:pPr>
      <w:r>
        <w:t>499. Claim + two later sources: Emerging smart city, transport and energy trends in urban settings: Results of a pan-European foresight exercise with 120 experts</w:t>
      </w:r>
    </w:p>
    <w:p>
      <w:pPr>
        <w:pStyle w:val="SourceNote"/>
      </w:pPr>
      <w:r>
        <w:rPr>
          <w:b/>
        </w:rPr>
        <w:t>Group ID:</w:t>
      </w:r>
      <w:r>
        <w:t xml:space="preserve"> group-a506033db80f35ecd12d</w:t>
      </w:r>
    </w:p>
    <w:p>
      <w:pPr>
        <w:pStyle w:val="SourceNote"/>
      </w:pPr>
      <w:r>
        <w:rPr>
          <w:b/>
        </w:rPr>
        <w:t>Original source:</w:t>
      </w:r>
      <w:r>
        <w:t xml:space="preserve"> https://doi.org/10.1016/j.techfore.2022.121915</w:t>
      </w:r>
    </w:p>
    <w:p>
      <w:pPr/>
      <w:r>
        <w:rPr>
          <w:b/>
        </w:rPr>
        <w:t>Original future claim:</w:t>
      </w:r>
      <w:r>
        <w:t xml:space="preserve"> 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r>
        <w:rPr>
          <w:b/>
        </w:rPr>
        <w:t>Later source:</w:t>
      </w:r>
      <w:r>
        <w:t xml:space="preserve"> Link-based European road transport emissions for CAMS-REG v8.1 and a comparison to city inventories — https://doi.org/10.5194/essd-18-3959-2026</w:t>
      </w:r>
    </w:p>
    <w:p>
      <w:pPr/>
      <w:r>
        <w:rPr>
          <w:b/>
        </w:rPr>
        <w:t>Later source:</w:t>
      </w:r>
      <w:r>
        <w:t xml:space="preserve"> Fostering energy transition and transport fluidity in European port cities — https://doi.org/10.4324/9781003639589-3</w:t>
      </w:r>
    </w:p>
    <w:p>
      <w:pPr>
        <w:pStyle w:val="SourceNote"/>
      </w:pPr>
      <w:r>
        <w:rPr>
          <w:b/>
        </w:rPr>
        <w:t>Review status:</w:t>
      </w:r>
      <w:r>
        <w:t xml:space="preserve"> unchecked — possible relationship only</w:t>
      </w:r>
    </w:p>
    <w:p>
      <w:pPr>
        <w:pStyle w:val="Heading2"/>
      </w:pPr>
      <w:r>
        <w:t>500. Claim + two later sources: European carbon storage resource requirements of climate change mitigation targets</w:t>
      </w:r>
    </w:p>
    <w:p>
      <w:pPr>
        <w:pStyle w:val="SourceNote"/>
      </w:pPr>
      <w:r>
        <w:rPr>
          <w:b/>
        </w:rPr>
        <w:t>Group ID:</w:t>
      </w:r>
      <w:r>
        <w:t xml:space="preserve"> group-12623b112a560febcda8</w:t>
      </w:r>
    </w:p>
    <w:p>
      <w:pPr>
        <w:pStyle w:val="SourceNote"/>
      </w:pPr>
      <w:r>
        <w:rPr>
          <w:b/>
        </w:rPr>
        <w:t>Original source:</w:t>
      </w:r>
      <w:r>
        <w:t xml:space="preserve"> https://doi.org/10.1016/j.ijggc.2021.103568</w:t>
      </w:r>
    </w:p>
    <w:p>
      <w:pPr/>
      <w:r>
        <w:rPr>
          <w:b/>
        </w:rPr>
        <w:t>Original future claim:</w:t>
      </w:r>
      <w:r>
        <w:t xml:space="preserve"> 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r>
        <w:rPr>
          <w:b/>
        </w:rPr>
        <w:t>Later source:</w:t>
      </w:r>
      <w:r>
        <w:t xml:space="preserve"> Climate plan for municipality of Utsjoki — https://openalex.org/W7152954980</w:t>
      </w:r>
    </w:p>
    <w:p>
      <w:pPr/>
      <w:r>
        <w:rPr>
          <w:b/>
        </w:rPr>
        <w:t>Later source:</w:t>
      </w:r>
      <w:r>
        <w:t xml:space="preserve"> Can a wealth tax reduce CO2 emissions in Europe? — https://doi.org/10.1016/j.ecolecon.2026.109231</w:t>
      </w:r>
    </w:p>
    <w:p>
      <w:pPr>
        <w:pStyle w:val="SourceNote"/>
      </w:pPr>
      <w:r>
        <w:rPr>
          <w:b/>
        </w:rPr>
        <w:t>Review status:</w:t>
      </w:r>
      <w:r>
        <w:t xml:space="preserve"> unchecked — possible relationship only</w:t>
      </w:r>
    </w:p>
    <w:p>
      <w:pPr>
        <w:pStyle w:val="Heading2"/>
      </w:pPr>
      <w:r>
        <w:t>501. Claim + two later sources: Transition pathways to sustainability in greater than 2 °C climate futures of Europe</w:t>
      </w:r>
    </w:p>
    <w:p>
      <w:pPr>
        <w:pStyle w:val="SourceNote"/>
      </w:pPr>
      <w:r>
        <w:rPr>
          <w:b/>
        </w:rPr>
        <w:t>Group ID:</w:t>
      </w:r>
      <w:r>
        <w:t xml:space="preserve"> group-a7a96f46c359732d63f3</w:t>
      </w:r>
    </w:p>
    <w:p>
      <w:pPr>
        <w:pStyle w:val="SourceNote"/>
      </w:pPr>
      <w:r>
        <w:rPr>
          <w:b/>
        </w:rPr>
        <w:t>Original source:</w:t>
      </w:r>
      <w:r>
        <w:t xml:space="preserve"> https://doi.org/10.1007/s10113-019-01475-x</w:t>
      </w:r>
    </w:p>
    <w:p>
      <w:pPr/>
      <w:r>
        <w:rPr>
          <w:b/>
        </w:rPr>
        <w:t>Original future claim:</w:t>
      </w:r>
      <w:r>
        <w:t xml:space="preserve"> 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r>
        <w:rPr>
          <w:b/>
        </w:rPr>
        <w:t>Later source:</w:t>
      </w:r>
      <w:r>
        <w:t xml:space="preserve"> Moving forward AKIS research and practice for agroecological transitions in Europe — https://doi.org/10.1080/1389224x.2026.2640918</w:t>
      </w:r>
    </w:p>
    <w:p>
      <w:pPr/>
      <w:r>
        <w:rPr>
          <w:b/>
        </w:rPr>
        <w:t>Later source:</w:t>
      </w:r>
      <w:r>
        <w:t xml:space="preserve"> Competing corporate visions, ambiguous policy proposals: Complexities surrounding the emerging EU hydrogen market — https://doi.org/10.1016/j.enpol.2026.115463</w:t>
      </w:r>
    </w:p>
    <w:p>
      <w:pPr>
        <w:pStyle w:val="SourceNote"/>
      </w:pPr>
      <w:r>
        <w:rPr>
          <w:b/>
        </w:rPr>
        <w:t>Review status:</w:t>
      </w:r>
      <w:r>
        <w:t xml:space="preserve"> unchecked — possible relationship only</w:t>
      </w:r>
    </w:p>
    <w:p>
      <w:pPr>
        <w:pStyle w:val="Heading2"/>
      </w:pPr>
      <w:r>
        <w:t>502. Claim + two later sources: European packaging industry foresight study—identifying global drivers and driven packaging industry implications of the global megatrends</w:t>
      </w:r>
    </w:p>
    <w:p>
      <w:pPr>
        <w:pStyle w:val="SourceNote"/>
      </w:pPr>
      <w:r>
        <w:rPr>
          <w:b/>
        </w:rPr>
        <w:t>Group ID:</w:t>
      </w:r>
      <w:r>
        <w:t xml:space="preserve"> group-4808549bd27b0644ffb4</w:t>
      </w:r>
    </w:p>
    <w:p>
      <w:pPr>
        <w:pStyle w:val="SourceNote"/>
      </w:pPr>
      <w:r>
        <w:rPr>
          <w:b/>
        </w:rPr>
        <w:t>Original source:</w:t>
      </w:r>
      <w:r>
        <w:t xml:space="preserve"> https://doi.org/10.1007/s40309-014-0039-4</w:t>
      </w:r>
    </w:p>
    <w:p>
      <w:pPr/>
      <w:r>
        <w:rPr>
          <w:b/>
        </w:rPr>
        <w:t>Original future claim:</w:t>
      </w:r>
      <w:r>
        <w:t xml:space="preserve"> 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r>
        <w:rPr>
          <w:b/>
        </w:rPr>
        <w:t>Later source:</w:t>
      </w:r>
      <w:r>
        <w:t xml:space="preserve"> Environmental consequences of replacing polyethylene packaging in the United States and Europe — https://doi.org/10.1016/j.resenv.2026.100390</w:t>
      </w:r>
    </w:p>
    <w:p>
      <w:pPr/>
      <w:r>
        <w:rPr>
          <w:b/>
        </w:rPr>
        <w:t>Later source:</w:t>
      </w:r>
      <w:r>
        <w:t xml:space="preserve"> Assessing Ochratoxin A Contamination in Pre-Packaged Grated Cheese: Implications for Food Safety — https://doi.org/10.3390/foods14091504</w:t>
      </w:r>
    </w:p>
    <w:p>
      <w:pPr>
        <w:pStyle w:val="SourceNote"/>
      </w:pPr>
      <w:r>
        <w:rPr>
          <w:b/>
        </w:rPr>
        <w:t>Review status:</w:t>
      </w:r>
      <w:r>
        <w:t xml:space="preserve"> unchecked — possible relationship only</w:t>
      </w:r>
    </w:p>
    <w:p>
      <w:pPr>
        <w:pStyle w:val="Heading2"/>
      </w:pPr>
      <w:r>
        <w:t>503. Claim + two later sources: Trends and forecast of obesity in Finland</w:t>
      </w:r>
    </w:p>
    <w:p>
      <w:pPr>
        <w:pStyle w:val="SourceNote"/>
      </w:pPr>
      <w:r>
        <w:rPr>
          <w:b/>
        </w:rPr>
        <w:t>Group ID:</w:t>
      </w:r>
      <w:r>
        <w:t xml:space="preserve"> group-0fa1c2f942650e1a3f98</w:t>
      </w:r>
    </w:p>
    <w:p>
      <w:pPr>
        <w:pStyle w:val="SourceNote"/>
      </w:pPr>
      <w:r>
        <w:rPr>
          <w:b/>
        </w:rPr>
        <w:t>Original source:</w:t>
      </w:r>
      <w:r>
        <w:t xml:space="preserve"> https://doi.org/10.1093/eurpub/cky214.146</w:t>
      </w:r>
    </w:p>
    <w:p>
      <w:pPr/>
      <w:r>
        <w:rPr>
          <w:b/>
        </w:rPr>
        <w:t>Original future claim:</w:t>
      </w:r>
      <w:r>
        <w:t xml:space="preserve"> The increase in the prevalence of obesity is projected to continue: every third adult is expected to be obese in 2028.</w:t>
      </w:r>
    </w:p>
    <w:p>
      <w:pPr/>
      <w:r>
        <w:rPr>
          <w:b/>
        </w:rPr>
        <w:t>Later source:</w:t>
      </w:r>
      <w:r>
        <w:t xml:space="preserve"> Estimating the hospitalisation burden of obesity in Europe: evidence from the European health interview survey (EHIS) wave 3 — https://doi.org/10.1186/s12889-026-26705-w</w:t>
      </w:r>
    </w:p>
    <w:p>
      <w:pPr/>
      <w:r>
        <w:rPr>
          <w:b/>
        </w:rPr>
        <w:t>Later source:</w:t>
      </w:r>
      <w:r>
        <w:t xml:space="preserve"> Global prevalence of obesity in the older adults: A meta-analysis — https://doi.org/10.1016/j.puhip.2025.100585</w:t>
      </w:r>
    </w:p>
    <w:p>
      <w:pPr>
        <w:pStyle w:val="SourceNote"/>
      </w:pPr>
      <w:r>
        <w:rPr>
          <w:b/>
        </w:rPr>
        <w:t>Review status:</w:t>
      </w:r>
      <w:r>
        <w:t xml:space="preserve"> unchecked — possible relationship only</w:t>
      </w:r>
    </w:p>
    <w:p>
      <w:pPr>
        <w:pStyle w:val="Heading2"/>
      </w:pPr>
      <w:r>
        <w:t>504. Claim + two later sources: The role of gases in the European energy transition</w:t>
      </w:r>
    </w:p>
    <w:p>
      <w:pPr>
        <w:pStyle w:val="SourceNote"/>
      </w:pPr>
      <w:r>
        <w:rPr>
          <w:b/>
        </w:rPr>
        <w:t>Group ID:</w:t>
      </w:r>
      <w:r>
        <w:t xml:space="preserve"> group-b9b39a121b46575e3fa0</w:t>
      </w:r>
    </w:p>
    <w:p>
      <w:pPr>
        <w:pStyle w:val="SourceNote"/>
      </w:pPr>
      <w:r>
        <w:rPr>
          <w:b/>
        </w:rPr>
        <w:t>Original source:</w:t>
      </w:r>
      <w:r>
        <w:t xml:space="preserve"> https://doi.org/10.32609/j.ruje.6.55105</w:t>
      </w:r>
    </w:p>
    <w:p>
      <w:pPr/>
      <w:r>
        <w:rPr>
          <w:b/>
        </w:rPr>
        <w:t>Original future claim:</w:t>
      </w:r>
      <w:r>
        <w:t xml:space="preserve"> 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r>
        <w:rPr>
          <w:b/>
        </w:rPr>
        <w:t>Later source:</w:t>
      </w:r>
      <w:r>
        <w:t xml:space="preserve"> Global Pathways to Net Zero — https://doi.org/10.4018/979-8-3373-5238-1.ch014</w:t>
      </w:r>
    </w:p>
    <w:p>
      <w:pPr/>
      <w:r>
        <w:rPr>
          <w:b/>
        </w:rPr>
        <w:t>Later source:</w:t>
      </w:r>
      <w:r>
        <w:t xml:space="preserve"> Net Zero Emissions and Positive Energy Districts: A Potential Solution to Achieve the European Climate Targets — https://doi.org/10.1109/tia.2026.3661957</w:t>
      </w:r>
    </w:p>
    <w:p>
      <w:pPr>
        <w:pStyle w:val="SourceNote"/>
      </w:pPr>
      <w:r>
        <w:rPr>
          <w:b/>
        </w:rPr>
        <w:t>Review status:</w:t>
      </w:r>
      <w:r>
        <w:t xml:space="preserve"> unchecked — possible relationship only</w:t>
      </w:r>
    </w:p>
    <w:p>
      <w:pPr>
        <w:pStyle w:val="Heading2"/>
      </w:pPr>
      <w:r>
        <w:t>505. Individual research leads — not grouped</w:t>
      </w:r>
    </w:p>
    <w:p>
      <w:pPr/>
      <w:r>
        <w:t>These are single claim–paper research leads, not claim + paper A + paper B proposals. A paper in a rejected group may still be useful in a different combination.</w:t>
      </w:r>
    </w:p>
    <w:p>
      <w:pPr>
        <w:pStyle w:val="Heading2"/>
      </w:pPr>
      <w:r>
        <w:t>506. (Re)politicization of climate change mitigating projects: environmental forms and motives of the Seine Nord Europe canal</w:t>
      </w:r>
    </w:p>
    <w:p>
      <w:pPr>
        <w:pStyle w:val="SourceNote"/>
      </w:pPr>
      <w:r>
        <w:rPr>
          <w:b/>
        </w:rPr>
        <w:t>Original source (2022):</w:t>
      </w:r>
      <w:r>
        <w:t xml:space="preserve"> https://doi.org/10.1186/s40309-022-00195-6</w:t>
      </w:r>
    </w:p>
    <w:p>
      <w:pPr/>
      <w:r>
        <w:t>Original wording (abstract; indexed_source_text_not_full_document_verified): Based on the concepts of environmental forms and motives, we reconstructed the environmental ontologies ignored by the dominant discourse and assembled them into three alternative scenarios. Using the example of the Seine Nord Europe Canal project, we show a politicization of the territorial future and a depoliticization of the environmental future.</w:t>
      </w:r>
    </w:p>
    <w:p>
      <w:pPr/>
      <w:r>
        <w:rPr>
          <w:b/>
        </w:rPr>
        <w:t>POSSIBLE 2026:</w:t>
      </w:r>
      <w:r>
        <w:t xml:space="preserve"> Economic Agents and Economic Motives — https://doi.org/10.4324/9781003381099</w:t>
      </w:r>
    </w:p>
    <w:p>
      <w:pPr/>
      <w:r>
        <w:rPr>
          <w:b/>
        </w:rPr>
        <w:t>Shared claim-specific concepts:</w:t>
      </w:r>
      <w:r>
        <w:t xml:space="preserve"> concepts, forms, motives, alternative; EU scope not established. This is a provisional connection, not an outcome finding.</w:t>
      </w:r>
    </w:p>
    <w:p>
      <w:pPr>
        <w:pStyle w:val="SourceNote"/>
      </w:pPr>
      <w:r>
        <w:rPr>
          <w:b/>
        </w:rPr>
        <w:t>Available abstract (not full text):</w:t>
      </w:r>
      <w:r>
        <w:t xml:space="preserve"> Economics has long been shaped by the figure of the self-interested individual. Yet many forms of economic action cannot be adequately understood through the lens of self-interest alone. This book reconstructs Amartya Sen’s understanding of economic agents and economic motives, showing how concepts such as commitment, self-sacrifice, agency, responsibility, and capabilities contribute to an alternative view of economic behavior grounded in social relationships. Drawing on the history of economic thought, economic methodology, and social economics, the book situates Sen’s reflections within a broader intellectual tradition that includes Aristotle, Adam Smith, and the civil economy tradition. It argues that Sen developed an implicit but coherent conception of economic agents as socially embedded individuals whose decisions are shaped not only by personal advantage but also by ethical commitments, concern for others, and participation in collective life. The book further explores the strengths and limitations of this perspective through a dialogue with contemporary interpretations of Sen’s work and examines its relevance for understanding hybrid organizations, particularly social enterprises. By connecting Sen’s ideas to questions of reciprocity, cooperation, and social responsibility, it offers a novel framework for analysing economic action beyond the conventional model of homo </w:t>
      </w:r>
    </w:p>
    <w:p>
      <w:pPr/>
      <w:r>
        <w:rPr>
          <w:b/>
        </w:rPr>
        <w:t>POSSIBLE 2026:</w:t>
      </w:r>
      <w:r>
        <w:t xml:space="preserve"> Environmental risks and ecological integrity: the new european rules on nature restoration — https://doi.org/10.5194/egusphere-egu26-17987</w:t>
      </w:r>
    </w:p>
    <w:p>
      <w:pPr/>
      <w:r>
        <w:rPr>
          <w:b/>
        </w:rPr>
        <w:t>Shared claim-specific concepts:</w:t>
      </w:r>
      <w:r>
        <w:t xml:space="preserve"> based, environmental, them; EU scope visible. This is a provisional connection, not an outcome finding.</w:t>
      </w:r>
    </w:p>
    <w:p>
      <w:pPr>
        <w:pStyle w:val="SourceNote"/>
      </w:pPr>
      <w:r>
        <w:rPr>
          <w:b/>
        </w:rPr>
        <w:t>Available abstract (not full text):</w:t>
      </w:r>
      <w:r>
        <w:t xml:space="preserve"> In May 1998, the area of the Sarno district in Campania was hit by an exceptional rainfall event, which caused rivers of mud, 161 deaths and numerous injuries.The tragedy was caused by various factors: the morphology of this territory, rainfall, reduced vegetation cover and the lack of an efficient network of stormwater drainage channels. The vegetation cover of the ground is essential on these slopes, because trees play a decisive role in the stability of the slopes. In those areas, in previous years, large fires had reduced the forest area and therefore stability. Furthermore, the lack of a valid warning system and risk communication contributed to the collective tragedy.The event marked a regulatory turning point in Italy, leading to the approval of the so-called "Sarno Decree," which introduced the requirement for municipalities to map areas at hydrogeological risk.The response of the law, in an attempt to stem these catastrophic events, was immediate. However, in relation to vegetation protection, in 2024 must be cited the approval of the Nature Restoration Law, an expression of the new path taken by European environmental law. Its prerequisites appear to be based on urgency, immediacy, and the need to pursue environmental objectives within a certain timeframe and monitor them over time, thus ensuring the survival of living beings in an intact environment.Indeed, it seems </w:t>
      </w:r>
    </w:p>
    <w:p>
      <w:pPr/>
      <w:r>
        <w:rPr>
          <w:b/>
        </w:rPr>
        <w:t>POSSIBLE 2026:</w:t>
      </w:r>
      <w:r>
        <w:t xml:space="preserve"> War and the Good Life: Reconstructing Conflict through Plato and Hegel — https://doi.org/10.11575/prism/52029</w:t>
      </w:r>
    </w:p>
    <w:p>
      <w:pPr/>
      <w:r>
        <w:rPr>
          <w:b/>
        </w:rPr>
        <w:t>Shared claim-specific concepts:</w:t>
      </w:r>
      <w:r>
        <w:t xml:space="preserve"> concepts, them, three; EU scope not established. This is a provisional connection, not an outcome finding.</w:t>
      </w:r>
    </w:p>
    <w:p>
      <w:pPr>
        <w:pStyle w:val="SourceNote"/>
      </w:pPr>
      <w:r>
        <w:rPr>
          <w:b/>
        </w:rPr>
        <w:t>Available abstract (not full text):</w:t>
      </w:r>
      <w:r>
        <w:t xml:space="preserve"> In this thesis, I examine the broad question of war’s place in the good life. To answer this question, I first analyze the existing literature on war, including scholarship in International Relations (IR) and conflict studies, psychological studies and personal memoirs, the strategic classics of Sun Tzu, Thucydides, and Carl von Clausewitz, and existing philosophical works on war. I argue that each of these traditions implicitly raises the question of war’s relationship to the good life but ultimately fall short of developing a systematic account of their intrinsic relationship. I therefore turn to the political philosophies of Plato and Hegel, both of whom theorize the concepts of war, the individual, the state, and the good life, as well as the systematic relationship among them. This thesis makes three principal contributions. First, in contrast to the conflict studies tradition, it offers a new ethical framework for conceptualizing war beyond the state. Second, it demonstrates the importance of individual ethics within the broader field of international affairs. By emphasizing virtue and freedom, it provides a philosophical foundation for rejecting the rational reduction of human lives to cost-benefit calculations. Third, it rehabilitates the political philosophies of Plato and Hegel by demonstrating their continued relevance for understanding the ethical and political chal</w:t>
      </w:r>
    </w:p>
    <w:p>
      <w:pPr/>
      <w:r>
        <w:rPr>
          <w:b/>
        </w:rPr>
        <w:t>POSSIBLE 2025:</w:t>
      </w:r>
      <w:r>
        <w:t xml:space="preserve"> The History of Environmental Resource Management in Europe: Sustainable Practices Through Time — https://openalex.org/W7222858373</w:t>
      </w:r>
    </w:p>
    <w:p>
      <w:pPr/>
      <w:r>
        <w:rPr>
          <w:b/>
        </w:rPr>
        <w:t>Shared claim-specific concepts:</w:t>
      </w:r>
      <w:r>
        <w:t xml:space="preserve"> based, concepts, environmental; EU scope visible. This is a provisional connection, not an outcome finding.</w:t>
      </w:r>
    </w:p>
    <w:p>
      <w:pPr>
        <w:pStyle w:val="SourceNote"/>
      </w:pPr>
      <w:r>
        <w:rPr>
          <w:b/>
        </w:rPr>
        <w:t>Available abstract (not full text):</w:t>
      </w:r>
      <w:r>
        <w:t xml:space="preserve"> Bringing together a broad range of case studies from across Europe, this book explores practices implemented to promote the sustainable use of environmental resources from the 16th century until the turn of the 21st century. How and with what results environmental resources were managed in the past is one of the main topics of debate in rural and environmental history and archaeology. This book explores the dialogue between these fields, drawing upon new studies and comparisons between ‘grammars’, concepts, and research practices from both fields to promote an interdisciplinary approach to the study of the environment. The book provides a comprehensive overview and comparison of the different practices of environmental resources management in Europe from the early modern period to contemporaneity, shedding light on a range of sustainability issues including land management, water supply, farming systems, and forestry. The interdisciplinary contributions in this volume provide original insight based on an analysis of written and material sources examining a range of different regions, including northern Italy, Slovenia, northern Spain, southern Spain, south-western France, and northern Romania. This book will be of interest to students and scholars of history and archaeology, as well as to those in research fields related to anthropology, sociology, environmental and agricultura</w:t>
      </w:r>
    </w:p>
    <w:p>
      <w:pPr/>
      <w:r>
        <w:rPr>
          <w:b/>
        </w:rPr>
        <w:t>POSSIBLE 2025:</w:t>
      </w:r>
      <w:r>
        <w:t xml:space="preserve"> Environmental education on the European Green Deal. Implications and promotion of the concept through different channels in Romania — https://doi.org/10.33727/jriss.2025.1.20:193-203</w:t>
      </w:r>
    </w:p>
    <w:p>
      <w:pPr/>
      <w:r>
        <w:rPr>
          <w:b/>
        </w:rPr>
        <w:t>Shared claim-specific concepts:</w:t>
      </w:r>
      <w:r>
        <w:t xml:space="preserve"> based, environmental, show; EU scope visible. This is a provisional connection, not an outcome finding.</w:t>
      </w:r>
    </w:p>
    <w:p>
      <w:pPr>
        <w:pStyle w:val="SourceNote"/>
      </w:pPr>
      <w:r>
        <w:rPr>
          <w:b/>
        </w:rPr>
        <w:t>Available abstract (not full text):</w:t>
      </w:r>
      <w:r>
        <w:t xml:space="preserve"> There is a visible urgent need to move from a linear economy to a circular economy in order to meet the requirements of the European Green Deal agenda. Recently, Romania implemented the DSR, getting in line with other countries that have had this system for many years. Therefore, the implementation of the Green Deal should also be focused on the promotion of the concept, how the information arrives at the citizens, how people are educated in schools and high schools regarding sustainability, etc. Focusing on the topic, this article aims to investigate the level of environmental education held by Romanians regarding the European Green Deal. This study was exploratory market survey research based on a questionnaire, focusing only on Romanian citizens who are living in Romania. Therefore, a quantitative research design was used on a sample of 111 Romanians and the results show that the respondents are satisfied with the DSR in Romania. In addition, it was found a strong positive correlation between the respondents’ environmental education gained through different channels or methods from the private and public sectors and their behavior regarding sustainability. In the end, it was found that there was a statistically significant difference between the people who already knew what the Green Deal meant and the people who didn’t when it came to their sustainability behavior. So, in c</w:t>
      </w:r>
    </w:p>
    <w:p>
      <w:pPr/>
      <w:r>
        <w:rPr>
          <w:b/>
        </w:rPr>
        <w:t>POSSIBLE 2025:</w:t>
      </w:r>
      <w:r>
        <w:t xml:space="preserve"> Place-based leadership and environmental conflicts in the European Union — https://doi.org/10.1080/00343404.2025.2486644</w:t>
      </w:r>
    </w:p>
    <w:p>
      <w:pPr/>
      <w:r>
        <w:rPr>
          <w:b/>
        </w:rPr>
        <w:t>Shared claim-specific concepts:</w:t>
      </w:r>
      <w:r>
        <w:t xml:space="preserve"> environmental, them, three; EU scope visible. This is a provisional connection, not an outcome finding.</w:t>
      </w:r>
    </w:p>
    <w:p>
      <w:pPr>
        <w:pStyle w:val="SourceNote"/>
      </w:pPr>
      <w:r>
        <w:rPr>
          <w:b/>
        </w:rPr>
        <w:t>Available abstract (not full text):</w:t>
      </w:r>
      <w:r>
        <w:t xml:space="preserve"> This paper investigates the relationship between place-based leadership and environmental conflicts. Focusing on France, we examine the development and distribution of environmental conflicts, and compare them with what happens in the European Union. We then select three case studies to analyse the behaviour of different actors or groups involved, examining actions and initiatives that can ignite or help defuse environmental conflicts across local communities. Findings unveil the key role of local scientists in environmental conflicts, and the emergence of non-assigned leaders who utilise interpretive power to influence decision-making processes related to large infrastructural projects approved at local and national levels.</w:t>
      </w:r>
    </w:p>
    <w:p>
      <w:pPr/>
      <w:r>
        <w:rPr>
          <w:b/>
        </w:rPr>
        <w:t>POSSIBLE 2025:</w:t>
      </w:r>
      <w:r>
        <w:t xml:space="preserve"> Extreme environmental events – a proposed classification (based on the example of Central Europe) — https://doi.org/10.14746/quageo-2025-0033</w:t>
      </w:r>
    </w:p>
    <w:p>
      <w:pPr/>
      <w:r>
        <w:rPr>
          <w:b/>
        </w:rPr>
        <w:t>Shared claim-specific concepts:</w:t>
      </w:r>
      <w:r>
        <w:t xml:space="preserve"> based, environmental, example, project; EU scope visible. This is a provisional connection, not an outcome finding.</w:t>
      </w:r>
    </w:p>
    <w:p>
      <w:pPr>
        <w:pStyle w:val="SourceNote"/>
      </w:pPr>
      <w:r>
        <w:rPr>
          <w:b/>
        </w:rPr>
        <w:t>Available abstract (not full text):</w:t>
      </w:r>
      <w:r>
        <w:t xml:space="preserve"> This paper presents a classification concept for extreme environmental events, particularly emphasising meteorological, hydrological and geomorphological phenomena. The scheme was originally developed during the Polish national research project Extreme Meteorological and Hydrological Events in Poland – Assessment and Forecasting of Their Impacts on the Human Environment (2004–2009). Over the past decade and a half, it has been verified against observed extreme events and the international literature. Although devised primarily for Poland, the typology applies to the wider Central-European region. Events are grouped according to their genetic origin. Capital letters denote the five principal categories identifying the immediate physical cause: M – meteorological, H – hydrological, G – geomorphological, O – oceanographical and X – other (including complex or poorly defined) environmental events. Within each category, types and subtypes are distinguished. The framework also allows the combination of two or more categories or types and can be further expanded or modified in the future.</w:t>
      </w:r>
    </w:p>
    <w:p>
      <w:pPr/>
      <w:r>
        <w:rPr>
          <w:b/>
        </w:rPr>
        <w:t>POSSIBLE 2025:</w:t>
      </w:r>
      <w:r>
        <w:t xml:space="preserve"> Ecological activity of European SMEs: resources, green capabilities and environmental support — https://doi.org/10.29119/1641-3466.2025.234.20</w:t>
      </w:r>
    </w:p>
    <w:p>
      <w:pPr/>
      <w:r>
        <w:rPr>
          <w:b/>
        </w:rPr>
        <w:t>Shared claim-specific concepts:</w:t>
      </w:r>
      <w:r>
        <w:t xml:space="preserve"> concepts, environmental, three; EU scope visible. This is a provisional connection, not an outcome finding.</w:t>
      </w:r>
    </w:p>
    <w:p>
      <w:pPr>
        <w:pStyle w:val="SourceNote"/>
      </w:pPr>
      <w:r>
        <w:rPr>
          <w:b/>
        </w:rPr>
        <w:t>Available abstract (not full text):</w:t>
      </w:r>
      <w:r>
        <w:t xml:space="preserve"> Purpose: Despite the existence of many valuable scientific studies on the sustainable initiatives of modern enterprises, there is a lack of empirical analyses that could offer specific insights into the predictors of such activities, especially in the context of consolidating various theoretical concepts. Therefore, this study aimed to answer the question: What factors contribute to European SMEs offering an increasingly wider range of green products or services, and how can these companies simultaneously develop internal resources, green capabilities and leverage external support to successfully undertake such activities? Design/methodology/approach: The analysis is quantitative and covers 573 SMEs operating in all 27 EU countries. The data source is the Flash Eurobarometer FL549 survey entitled ‘SMEs, resource efficiency and green markets’, conducted by Ipsos European Public Affairs in 2024 on behalf of the European Commission. Findings: The study’s results indicate that environmental support for SMEs is relatively insignificant compared to the role of their internal resources and green capabilities, which, according to statistical modeling, significantly strengthen these companies’ potential to offer green products or services. Originality/value: The paper’s critical scientific contribution lies in the conceptual consideration of three complementary theoretical perspectives:</w:t>
      </w:r>
    </w:p>
    <w:p>
      <w:pPr/>
      <w:r>
        <w:rPr>
          <w:b/>
        </w:rPr>
        <w:t>POSSIBLE 2025:</w:t>
      </w:r>
      <w:r>
        <w:t xml:space="preserve"> Agricultural sustainability in the European Union: a review of concepts, policies and economic perspectives — https://doi.org/10.3389/fagro.2025.1714297</w:t>
      </w:r>
    </w:p>
    <w:p>
      <w:pPr/>
      <w:r>
        <w:rPr>
          <w:b/>
        </w:rPr>
        <w:t>Shared claim-specific concepts:</w:t>
      </w:r>
      <w:r>
        <w:t xml:space="preserve"> based, concepts, environmental, show; EU scope visible. This is a provisional connection, not an outcome finding.</w:t>
      </w:r>
    </w:p>
    <w:p>
      <w:pPr>
        <w:pStyle w:val="SourceNote"/>
      </w:pPr>
      <w:r>
        <w:rPr>
          <w:b/>
        </w:rPr>
        <w:t>Available abstract (not full text):</w:t>
      </w:r>
      <w:r>
        <w:t xml:space="preserve"> Introduction Sustainability in European Union (EU) agriculture has become a priority in both academic research and public policy, reflecting its central role in shaping resilient and balanced development models. The European agricultural landscape is characterized by significant agronomic diversity, including cereals, oilseeds, protein crops, industrial crops, vegetables, fruits, and fodder crops that support the livestock sector. These are integrated into multiple production systems: conservation agriculture, organic farming, integrated crop management, permanent pastures, and agroforestry, each contributing differently to environmental protection, economic efficiency, and social equity. Land use structures reveal a mosaic of arable land, permanent pastures, permanent crops, and mixed systems, reflecting the climatic and socio-economic diversity of Europe. In this context, the study examines how the economic, social, and environmental dimensions of sustainability are conceptualized and integrated into EU agricultural strategies. Methods The study uses a multi-level methodological approach, integrating conceptual, legislative, empirical, and bibliometric analyses. First, key concepts of agricultural sustainability were examined through a systematic review of academic literature and EU policy documents. Second, a legislative analysis assessed the regulatory framework shaping sus</w:t>
      </w:r>
    </w:p>
    <w:p>
      <w:pPr/>
      <w:r>
        <w:rPr>
          <w:b/>
        </w:rPr>
        <w:t>POSSIBLE 2025:</w:t>
      </w:r>
      <w:r>
        <w:t xml:space="preserve"> BioINSouth: Enhancing Regional Policies and Environmental Sustainability for Bio-based Sectors to Boost Innovation and Inclusivity in Southern Europe — https://doi.org/10.5281/zenodo.17772487</w:t>
      </w:r>
    </w:p>
    <w:p>
      <w:pPr/>
      <w:r>
        <w:rPr>
          <w:b/>
        </w:rPr>
        <w:t>Shared claim-specific concepts:</w:t>
      </w:r>
      <w:r>
        <w:t xml:space="preserve"> based, environmental, them, project; EU scope visible. This is a provisional connection, not an outcome finding.</w:t>
      </w:r>
    </w:p>
    <w:p>
      <w:pPr>
        <w:pStyle w:val="SourceNote"/>
      </w:pPr>
      <w:r>
        <w:rPr>
          <w:b/>
        </w:rPr>
        <w:t>Available abstract (not full text):</w:t>
      </w:r>
      <w:r>
        <w:t xml:space="preserve"> BioINSouth project aims to support regional policymakers in integrating ecological limits into bioeconomy strategies and roadmaps for circular bio-based activities. By developing guidelines and digital tools within the safe and sustainable by design (SSbD) assessment framework, the project fosters innovative methodologies for assessing environmental impacts across various industrial bio-based systems. Targeting Southern Mediterranean European regions, particularly those lagging behind such as Cyprus, Slovenia, Greece, and Portugal, BioINSouth will also involve broader participation from Spain, France, Italy, and international cooperation with Türkiye. Leveraging the BIOEAST initiative that focuses on central Europe, BioINSouth will establish QH-based regional Multi-Actor Regional Groups (MARGs) to lead co-creation activities in the establishment of eight bioeconomy-oriented regional HUBs in Campania (Italy), Peloponnese (Greece), Andalusia and Asturias (Spain), Centro (Portugal), Slovenia, Nouvelle-Aquitaine (France), and Cyprus. These HUBs will promote the exchange of best practices, and foster innovative methodologies for assessing environmental impacts and circularity in bio-based sectors. BioINSouth aims to enhance regional competitiveness, innovation capacity, and contribute to the EU's fair and green transition. A key component of BioINSouth is the analysis of regional st</w:t>
      </w:r>
    </w:p>
    <w:p>
      <w:pPr/>
      <w:r>
        <w:rPr>
          <w:b/>
        </w:rPr>
        <w:t>POSSIBLE 2025:</w:t>
      </w:r>
      <w:r>
        <w:t xml:space="preserve"> Defining habitat scenarios to integrate non-target arthropod relevance into landscape-based environmental risk assessment: A proof of concept — https://doi.org/10.1016/j.ecolind.2025.114548</w:t>
      </w:r>
    </w:p>
    <w:p>
      <w:pPr/>
      <w:r>
        <w:rPr>
          <w:b/>
        </w:rPr>
        <w:t>Shared claim-specific concepts:</w:t>
      </w:r>
      <w:r>
        <w:t xml:space="preserve"> based, environmental, them; EU scope visible. This is a provisional connection, not an outcome finding.</w:t>
      </w:r>
    </w:p>
    <w:p>
      <w:pPr>
        <w:pStyle w:val="SourceNote"/>
      </w:pPr>
      <w:r>
        <w:rPr>
          <w:b/>
        </w:rPr>
        <w:t>Available abstract (not full text):</w:t>
      </w:r>
      <w:r>
        <w:t xml:space="preserve"> Environmental risk assessment of plant protection products increasingly requires methods that incorporate the complexity of agricultural landscapes and the roles of non-target arthropods in ecosystem service provision. However, existing approaches often lack spatial specificity and fail to support the development of targeted and ecologically meaningful protection goals. This study presents a proof-of-concept method designed to assess the relevance of non-target arthropods families across agricultural habitat scenarios, serving as a step toward more spatially explicit and biodiversity-sensitive environmental risk assessment frameworks. Using high-resolution landscape data from seven European countries, we randomly generated 29,500 agricultural landscapes across nine major crops and grouped them into four habitat scenarios categories based on crop diversity and the proportion of natural habitat. We used a bibliographic dataset covering 30 representative non-target arthropods families as a proxy to estimate family-level relevance scores for each habitat scenario, based on the proportion of land use types and literature-derived occurrence data. The results from this first application are exploratory and serve to evaluate the method's operational structure and scalability. They are not intended as definitive ecological patterns but rather illustrate how the proposed habitat scenario</w:t>
      </w:r>
    </w:p>
    <w:p>
      <w:pPr/>
      <w:r>
        <w:rPr>
          <w:b/>
        </w:rPr>
        <w:t>POSSIBLE 2025:</w:t>
      </w:r>
      <w:r>
        <w:t xml:space="preserve"> UNCOVERING INTENT: REASSESSING THE ROLE OF MOTIVE IN THE PUNISHMENT OF PREMEDITATED MURDER IN INDONESIA — https://doi.org/10.56107/penalaw.v3i1.223</w:t>
      </w:r>
    </w:p>
    <w:p>
      <w:pPr/>
      <w:r>
        <w:rPr>
          <w:b/>
        </w:rPr>
        <w:t>Shared claim-specific concepts:</w:t>
      </w:r>
      <w:r>
        <w:t xml:space="preserve"> based, motives, three; EU scope visible. This is a provisional connection, not an outcome finding.</w:t>
      </w:r>
    </w:p>
    <w:p>
      <w:pPr>
        <w:pStyle w:val="SourceNote"/>
      </w:pPr>
      <w:r>
        <w:rPr>
          <w:b/>
        </w:rPr>
        <w:t>Available abstract (not full text):</w:t>
      </w:r>
      <w:r>
        <w:t xml:space="preserve"> The sentencing of premeditated murder cases in Indonesia has so far emphasized the elements of planning and the consequences of the act, but has paid little attention to the perpetrator's motive as a reflection of the degree of culpability. In many progressive legal systems, however, motive is considered important in assessing the extent to which criminal intent (mens rea) contributes to the quality of a criminal act. This study aims to reassess the role of motive in the sentencing of premeditated murder under Article 340 of the Criminal Code, and to propose an evaluative model that can be used to enhance substantive justice in Indonesia's criminal justice practice. Using a legal-normative method and a qualitative approach to twenty court decisions selected purposively (period 2018–2024), it was found that in 70% of cases, motive was not considered as a legal factor in the court’s decision. Motives were merely mentioned in the chronology without legal weight. However, in criminal law practice in Germany and the Netherlands, motives serve as the basis for classifying murder and determining criminal sanctions. This study developed a conceptual model that categorizes motives into three categories: rational-emotional, manipulative-opportunistic, and pathological, each with its own evaluative implications for sentencing. This study recommends that motives be integrated into national</w:t>
      </w:r>
    </w:p>
    <w:p>
      <w:pPr>
        <w:pStyle w:val="Heading2"/>
      </w:pPr>
      <w:r>
        <w:t>507. A new approach on renewable energy as a support for regional economic development among the European Union</w:t>
      </w:r>
    </w:p>
    <w:p>
      <w:pPr>
        <w:pStyle w:val="SourceNote"/>
      </w:pPr>
      <w:r>
        <w:rPr>
          <w:b/>
        </w:rPr>
        <w:t>Original source (2022):</w:t>
      </w:r>
      <w:r>
        <w:t xml:space="preserve"> https://doi.org/10.1016/j.techfore.2022.121998</w:t>
      </w:r>
    </w:p>
    <w:p>
      <w:pPr/>
      <w:r>
        <w:t>Original wording (abstract; indexed_source_text_not_full_document_verified): The modelling results will enable the creation of an EU-wide sustainability profile useful to supranational decision-makers for adjusting energy policies to ensure the energy transition towards 2050. The methods and procedures used will be represented by a critical literature review in order to verify the working hypotheses and to design, test and validate a new statistical model of energy sustainability seasonality.</w:t>
      </w:r>
    </w:p>
    <w:p>
      <w:pPr/>
      <w:r>
        <w:rPr>
          <w:b/>
        </w:rPr>
        <w:t>POSSIBLE 2026:</w:t>
      </w:r>
      <w:r>
        <w:t xml:space="preserve"> Architecting IT governance: A value-alignment model for IT-enabled public innovation — https://doi.org/10.59490/6a91ad516096c5874dfb3702</w:t>
      </w:r>
    </w:p>
    <w:p>
      <w:pPr/>
      <w:r>
        <w:rPr>
          <w:b/>
        </w:rPr>
        <w:t>Shared claim-specific concepts:</w:t>
      </w:r>
      <w:r>
        <w:t xml:space="preserve"> creation, sustainability, literature, review; EU scope visible. This is a provisional connection, not an outcome finding.</w:t>
      </w:r>
    </w:p>
    <w:p>
      <w:pPr>
        <w:pStyle w:val="SourceNote"/>
      </w:pPr>
      <w:r>
        <w:rPr>
          <w:b/>
        </w:rPr>
        <w:t>Available abstract (not full text):</w:t>
      </w:r>
      <w:r>
        <w:t xml:space="preserve"> While digital transformation is a primary catalyst for change in the public sector, achieving positive outcomes requires continuous governance innovation and strategic alignment between public managers and their authorizing environments. However, current models of IT-enabled value creation generally fail to account for the deeply political mandates, inter-organizational coordination challenges, and legitimacy requirements inherent to digital government, and do not sufficiently theorize the strategic proactivity of managers navigating complex authorizing environments. To address this theoretical gap, this paper proposes a novel value-alignment model for IT-enabled public innovation, drawing upon Moore’s public value framework and integrating Venkatraman’s strategic orientation construct. The model is developed through an abductive theory-building design combining a literature review, exploratory interviews with e-government professionals, and secondary survey data on digital readiness across public sector organizations. The resulting framework posits three core relationships: public value alignment drives operational capacity, political legitimacy ensures resource sustainability, and strategic proactivity directly generates public value creation. By providing a robust theoretical architecture grounded in rigorous construct development, this paper contributes a new conceptual len</w:t>
      </w:r>
    </w:p>
    <w:p>
      <w:pPr/>
      <w:r>
        <w:rPr>
          <w:b/>
        </w:rPr>
        <w:t>POSSIBLE 2026:</w:t>
      </w:r>
      <w:r>
        <w:t xml:space="preserve"> Environmental performance and institutions quality in Europe: A Bayesian model averaging approach — https://doi.org/10.1016/j.najef.2026.102591</w:t>
      </w:r>
    </w:p>
    <w:p>
      <w:pPr/>
      <w:r>
        <w:rPr>
          <w:b/>
        </w:rPr>
        <w:t>Shared claim-specific concepts:</w:t>
      </w:r>
      <w:r>
        <w:t xml:space="preserve"> creation, energy, used; EU scope visible. This is a provisional connection, not an outcome finding.</w:t>
      </w:r>
    </w:p>
    <w:p>
      <w:pPr>
        <w:pStyle w:val="SourceNote"/>
      </w:pPr>
      <w:r>
        <w:rPr>
          <w:b/>
        </w:rPr>
        <w:t>Available abstract (not full text):</w:t>
      </w:r>
      <w:r>
        <w:t xml:space="preserve"> In this paper, we examine the relationship between institutional quality and environmental performance using a Bayesian Model Averaging framework. This approach allows us to define model weights as posterior probabilities, which are consistent across a large number of specified models. Consequently, the methodology enables us to explore the impact of various cofactors that also contribute to the environmental performance of EU countries. Our findings indicate that different aspects of democracy, access to information, the creation and dissemination of knowledge, renewable energy consumption, health expenditures, and financial stability are among the most significant explanatory variables for environmental protection performance in European Union countries. Additionally, we identify at least three groups of countries within the European Union when the most relevant environmental protection variables are used to characterize member countries' profiles. Our results appear robust to the selection of different prior distributions for regression coefficients.</w:t>
      </w:r>
    </w:p>
    <w:p>
      <w:pPr/>
      <w:r>
        <w:rPr>
          <w:b/>
        </w:rPr>
        <w:t>POSSIBLE 2026:</w:t>
      </w:r>
      <w:r>
        <w:t xml:space="preserve"> The Human Agency Deficit in AI ‐Enabled Knowledge Creation — https://doi.org/10.1002/kpm.70165</w:t>
      </w:r>
    </w:p>
    <w:p>
      <w:pPr/>
      <w:r>
        <w:rPr>
          <w:b/>
        </w:rPr>
        <w:t>Shared claim-specific concepts:</w:t>
      </w:r>
      <w:r>
        <w:t xml:space="preserve"> creation, literature, review; EU scope not established. This is a provisional connection, not an outcome finding.</w:t>
      </w:r>
    </w:p>
    <w:p>
      <w:pPr>
        <w:pStyle w:val="SourceNote"/>
      </w:pPr>
      <w:r>
        <w:rPr>
          <w:b/>
        </w:rPr>
        <w:t>Available abstract (not full text):</w:t>
      </w:r>
      <w:r>
        <w:t xml:space="preserve"> ABSTRACT Generative artificial intelligence (AI) now performs many explicit tasks in organizational knowledge creation, such as drafting, summarizing, and combining documents. This paper asks what this change means for the human agency on which knowledge creation depends. The paper starts from the position that AI does not possess tacit knowledge. Its concern is that AI can automate explicit tasks through which people have traditionally developed tacit knowing. The study uses a conceptual theory‐building design supported by a structured literature review. A Scopus search returned 192 records, and two inclusion criteria were applied. Together with three contributions found through citation tracking, a final set of 15 models of organizational knowledge creation with a defined role for AI was analyzed. The review shows that, despite assigning AI different functional roles, these models continue to depend on human actors for embodied tacit knowing. However, they rarely examine how AI use may change the way people form tacit knowing over time. Building on this gap and on empirical studies of automation and learning, the paper introduces the Human Agency Deficit. It is defined as the gap between the human agency an organization needs to evaluate, own, and extend its knowledge and the human agency that its AI‐supported work practices actually develop and use. The deficit is treated as</w:t>
      </w:r>
    </w:p>
    <w:p>
      <w:pPr/>
      <w:r>
        <w:rPr>
          <w:b/>
        </w:rPr>
        <w:t>POSSIBLE 2026:</w:t>
      </w:r>
      <w:r>
        <w:t xml:space="preserve"> The fiscal sustainability forecasting model in the member states of the European Union — https://doi.org/10.3846/tede.2026.27917</w:t>
      </w:r>
    </w:p>
    <w:p>
      <w:pPr/>
      <w:r>
        <w:rPr>
          <w:b/>
        </w:rPr>
        <w:t>Shared claim-specific concepts:</w:t>
      </w:r>
      <w:r>
        <w:t xml:space="preserve"> sustainability, profile, literature; EU scope visible. This is a provisional connection, not an outcome finding.</w:t>
      </w:r>
    </w:p>
    <w:p>
      <w:pPr>
        <w:pStyle w:val="SourceNote"/>
      </w:pPr>
      <w:r>
        <w:rPr>
          <w:b/>
        </w:rPr>
        <w:t>Available abstract (not full text):</w:t>
      </w:r>
      <w:r>
        <w:t xml:space="preserve"> This paper develops an integrated methodological framework for classifying and forecasting fiscal sustainability among the 27 Member States of the European Union, starting from a fundamental economic question: how can EU Member States’ fiscal sustainability be reliably assessed and predicted in a context marked by repeated macroeconomic shocks and institutional heterogeneity? An integrated model for forecasting fiscal sustainability in the European Union is proposed, built upon a well-defined economic hypothesis: fiscal sustainability can be captured by a composite index derived from statistically validated fiscal and macroeconomic indicators. Our approach addresses a major gap in the economic literature, where forecasting models often fail to integrate institutional constraints and policy relevance. By combining advanced statistical techniques and macroeconomic scenario simulation – a Composite Fiscal Sustainability Index (CFSI) is constructed and its predictive performance evaluated under three alternative economic scenarios. The model achieves an overall accuracy of 85.19%, demonstrating strong discriminatory power and the ability to provide early warning signals of fiscal profile transitions. Positioned at the intersection of research on fiscal rules, public debt dynamics, and fiscal stress indicators, this study contributes both a methodological innovation – through an int</w:t>
      </w:r>
    </w:p>
    <w:p>
      <w:pPr/>
      <w:r>
        <w:rPr>
          <w:b/>
        </w:rPr>
        <w:t>POSSIBLE 2026:</w:t>
      </w:r>
      <w:r>
        <w:t xml:space="preserve"> Maturity Model for Cognitive Twin-Enabled Sustainable Supply Chains — https://doi.org/10.3390/su18073635</w:t>
      </w:r>
    </w:p>
    <w:p>
      <w:pPr/>
      <w:r>
        <w:rPr>
          <w:b/>
        </w:rPr>
        <w:t>Shared claim-specific concepts:</w:t>
      </w:r>
      <w:r>
        <w:t xml:space="preserve"> sustainability, literature, review; EU scope not established. This is a provisional connection, not an outcome finding.</w:t>
      </w:r>
    </w:p>
    <w:p>
      <w:pPr>
        <w:pStyle w:val="SourceNote"/>
      </w:pPr>
      <w:r>
        <w:rPr>
          <w:b/>
        </w:rPr>
        <w:t>Available abstract (not full text):</w:t>
      </w:r>
      <w:r>
        <w:t xml:space="preserve"> The growing digitalization of supply chains and increasing sustainability requirements create the need for structured tools that assess organizational readiness for Cognitive Twin (CT) adoption. However, existing digital twin and sustainability maturity models rarely integrate technological architecture, governance, and circularity within a unified framework. To address this gap, the study proposes the Supply Chain Twin Sustainability–Cognitive Maturity Model (SCT-SCMM), a novel framework that explicitly integrates governance structures, sustainability objectives, and a hierarchical system architecture into the assessment of Cognitive Twin readiness. Unlike existing models, the proposed framework captures the interdependencies between technological capabilities, decision intelligence, and governance mechanisms across multiple system layers, providing a systemic perspective on sustainable digital transformation. The framework structures organizational readiness through five interdependent layers: Physical, Control, Communication, Decision-making, and Governance, and defines staged maturity levels reflecting progression toward sustainable cognitive autonomy. This layered architecture enables the simultaneous evaluation of operational automation, digital intelligence, and institutional governance as co-evolving dimensions of Cognitive Twin adoption. The model was developed through</w:t>
      </w:r>
    </w:p>
    <w:p>
      <w:pPr/>
      <w:r>
        <w:rPr>
          <w:b/>
        </w:rPr>
        <w:t>POSSIBLE 2026:</w:t>
      </w:r>
      <w:r>
        <w:t xml:space="preserve"> Measuring Governance-Enabled Sustainability in Central and Eastern Europe: Development of a Corporate Governance–Sustainability Index (CGSI–CEE) — https://doi.org/10.3390/su18073350</w:t>
      </w:r>
    </w:p>
    <w:p>
      <w:pPr/>
      <w:r>
        <w:rPr>
          <w:b/>
        </w:rPr>
        <w:t>Shared claim-specific concepts:</w:t>
      </w:r>
      <w:r>
        <w:t xml:space="preserve"> enable, creation, sustainability; EU scope visible. This is a provisional connection, not an outcome finding.</w:t>
      </w:r>
    </w:p>
    <w:p>
      <w:pPr>
        <w:pStyle w:val="SourceNote"/>
      </w:pPr>
      <w:r>
        <w:rPr>
          <w:b/>
        </w:rPr>
        <w:t>Available abstract (not full text):</w:t>
      </w:r>
      <w:r>
        <w:t xml:space="preserve"> Corporate governance is increasingly recognised as a key mechanism supporting sustainability transparency, accountability, and long-term value creation. While prior research has examined governance–performance relationships and sustainability outcomes using proprietary ESG ratings, evidence on how governance structures enable sustainability disclosure remains limited, particularly in Central and Eastern Europe (CEE). This gap reflects heterogeneous institutional environments and uneven ESG data availability in emerging European markets. To address this limitation, this study develops and applies a Corporate Governance–Sustainability Index for Central and Eastern Europe (CGSI–CEE). The index integrates core governance mechanisms (such as board effectiveness, leadership structure and ownership discipline) with sustainability transparency indicators, namely ESG report publication and CO2 emissions disclosure. The CGSI–CEE is constructed using publicly available firm-level data from CEE blue-chip companies over the 2018–2024 period and follows a transparent, theory-driven weighting scheme. The results reveal substantial heterogeneity in governance-enabled sustainability capacity across firms, sectors, and countries. Bivariate results indicate a negative association with short-term accounting profitability and a positive association with market valuation; however, these relationship</w:t>
      </w:r>
    </w:p>
    <w:p>
      <w:pPr/>
      <w:r>
        <w:rPr>
          <w:b/>
        </w:rPr>
        <w:t>POSSIBLE 2026:</w:t>
      </w:r>
      <w:r>
        <w:t xml:space="preserve"> Sustainable cultural digitization enabled by eco efficient deep learning models — https://doi.org/10.1038/s41598-026-66861-y</w:t>
      </w:r>
    </w:p>
    <w:p>
      <w:pPr/>
      <w:r>
        <w:rPr>
          <w:b/>
        </w:rPr>
        <w:t>Shared claim-specific concepts:</w:t>
      </w:r>
      <w:r>
        <w:t xml:space="preserve"> energy, methods, used; EU scope not established. This is a provisional connection, not an outcome finding.</w:t>
      </w:r>
    </w:p>
    <w:p>
      <w:pPr>
        <w:pStyle w:val="SourceNote"/>
      </w:pPr>
      <w:r>
        <w:rPr>
          <w:b/>
        </w:rPr>
        <w:t>Available abstract (not full text):</w:t>
      </w:r>
      <w:r>
        <w:t xml:space="preserve"> This study presents an Eco-Efficient Deep Learning (EEDL) framework for cultural digitization that integrates visual data and contextual cultural metadata within a lightweight multimodal architecture. The framework is designed to balance classification performance and computational efficiency in resource-constrained cultural heritage environments. A multimodal dataset comprising 3,000 cultural heritage records was used to evaluate the proposed approach across six artifact classes. Experimental results demonstrated that the EEDL framework achieved the highest classification performance among all evaluated models, obtaining an accuracy of 0.918 and an F1-score of 0.912 while reducing parameter count, computational complexity, inference latency, and energy consumption relative to the uncompressed baseline. Comparative experiments with MobileNetV3, EfficientNet-Lite, MobileViT, TinyViT, and reproduced state-of-the-art methods confirmed the effectiveness of the proposed framework. Ablation and multimodal fusion analyses further demonstrated that contextual metadata contributes substantially to classification performance and reduces ambiguity among visually similar artifact categories. Statistical validation across repeated runs confirmed the robustness and reproducibility of the reported results. The findings suggest that combining multimodal metadata integration with eco-efficient </w:t>
      </w:r>
    </w:p>
    <w:p>
      <w:pPr/>
      <w:r>
        <w:rPr>
          <w:b/>
        </w:rPr>
        <w:t>POSSIBLE 2026:</w:t>
      </w:r>
      <w:r>
        <w:t xml:space="preserve"> Sustained Effectiveness of Lanadelumab in Preventing Hereditary Angioedema Attacks: The ENABLE Study — https://doi.org/10.1002/clt2.70190</w:t>
      </w:r>
    </w:p>
    <w:p>
      <w:pPr/>
      <w:r>
        <w:rPr>
          <w:b/>
        </w:rPr>
        <w:t>Shared claim-specific concepts:</w:t>
      </w:r>
      <w:r>
        <w:t xml:space="preserve"> enable, profile, methods; EU scope visible. This is a provisional connection, not an outcome finding.</w:t>
      </w:r>
    </w:p>
    <w:p>
      <w:pPr>
        <w:pStyle w:val="SourceNote"/>
      </w:pPr>
      <w:r>
        <w:rPr>
          <w:b/>
        </w:rPr>
        <w:t>Available abstract (not full text):</w:t>
      </w:r>
      <w:r>
        <w:t xml:space="preserve"> BACKGROUND: Lanadelumab has been approved for hereditary angioedema (HAE) long-term prophylaxis since 2018. The Phase 4, prospective ENABLE Study (NCT04130191) evaluated the long-term effectiveness and safety of lanadelumab in clinical practice across Europe and the Middle East. METHODS: Patients with HAE aged ≥ 12 years initiating lanadelumab treatment (300 mg every 2 weeks) per approved product labeling were recruited from Austria, Germany, Israel, Italy, Kuwait, Spain, and Switzerland and followed for up to 36 months (± 30 days). The primary objective was to evaluate lanadelumab effectiveness for HAE attack prevention. Safety and patient-reported health-related quality of life (HRQoL) were also evaluated. RESULTS: Outcomes were analyzed in 138 patients (mean [range] age: 41.0 [14-79] years; 62.3% female; 92.0% HAE-C1INH-Type1), of whom &gt; 60% extended dosing intervals by Month 12. Over a mean ± SD treatment duration of 28.6 ± 9.8 months, mean ± SD patient-reported HAE attack rate decreased from 3.88 ± 3.43 attacks/month pre-lanadelumab to 0.30 ± 0.53 attacks/month (mean decrease, 84% [median 96%]). The incidence-rate ratio was 0.07 (95% CI: 0.06-0.10), reflecting a 93% reduction from modeled pre-lanadelumab rates. Overall, 95/138 patients reported treatment-emergent adverse events (TEAEs); most were unrelated to lanadelumab (82.3%). Of the 17.7% of TEAEs considered treatment-</w:t>
      </w:r>
    </w:p>
    <w:p>
      <w:pPr/>
      <w:r>
        <w:rPr>
          <w:b/>
        </w:rPr>
        <w:t>POSSIBLE 2026:</w:t>
      </w:r>
      <w:r>
        <w:t xml:space="preserve"> Urban sustainability through multiple pathways: insights from the European Green Leaf Award winning cities — https://doi.org/10.1007/s43762-026-00282-5</w:t>
      </w:r>
    </w:p>
    <w:p>
      <w:pPr/>
      <w:r>
        <w:rPr>
          <w:b/>
        </w:rPr>
        <w:t>Shared claim-specific concepts:</w:t>
      </w:r>
      <w:r>
        <w:t xml:space="preserve"> enable, sustainability, transition, represented; EU scope visible. This is a provisional connection, not an outcome finding.</w:t>
      </w:r>
    </w:p>
    <w:p>
      <w:pPr>
        <w:pStyle w:val="SourceNote"/>
      </w:pPr>
      <w:r>
        <w:rPr>
          <w:b/>
        </w:rPr>
        <w:t>Available abstract (not full text):</w:t>
      </w:r>
      <w:r>
        <w:t xml:space="preserve"> Abstract Urban sustainability has become a central challenge for cities, requiring rigorous frameworks to measure environmental performance and support evidence-based policy. Indicator-based benchmarking systems enable comparison and learning. At the European Union level, and specifically at the municipal level, these are most commonly represented by the European Green Leaf Award (EGLA) and the European Green Capital Award (EGCA), which play an increasing role in shaping urban sustainability agendas. The paper examines environmental characteristics of the 18 EGLA-winning cities between 2015 and 2026 and is guided by two research questions: (1) What patterns of environmental characteristics can be identified among EGLA-winning cities? (2) Do these cities converge toward a common environmental model, or do they exhibit multiple sustainability pathways? The study addresses these questions by using a multivariate, data-driven approach: environmental indicators across key domains are examined through Multiple Factor Analysis (MFA) and k-means clustering to identify patterns of similarity. The results indicate substantial differences in sustainability performance and heterogeneity: EGLA-winning cities do not converge toward a single model but exhibit distinct environmental profiles reflecting different policy priorities and local conditions. The results may provide information for mu</w:t>
      </w:r>
    </w:p>
    <w:p>
      <w:pPr/>
      <w:r>
        <w:rPr>
          <w:b/>
        </w:rPr>
        <w:t>POSSIBLE 2025:</w:t>
      </w:r>
      <w:r>
        <w:t xml:space="preserve"> The European Social Model in the age of AI — https://doi.org/10.60054/peu.2025.12.290-300</w:t>
      </w:r>
    </w:p>
    <w:p>
      <w:pPr/>
      <w:r>
        <w:rPr>
          <w:b/>
        </w:rPr>
        <w:t>Shared claim-specific concepts:</w:t>
      </w:r>
      <w:r>
        <w:t xml:space="preserve"> enable, creation, sustainability, policies; EU scope visible. This is a provisional connection, not an outcome finding.</w:t>
      </w:r>
    </w:p>
    <w:p>
      <w:pPr>
        <w:pStyle w:val="SourceNote"/>
      </w:pPr>
      <w:r>
        <w:rPr>
          <w:b/>
        </w:rPr>
        <w:t>Available abstract (not full text):</w:t>
      </w:r>
      <w:r>
        <w:t xml:space="preserve"> The European social model (ESM) has been a pillar of the European Union, balancing economic growth with social justice. Yet, the emergence of digitalization and artificial intelligence (AI) is fundamentally transforming labour markets, welfare policies and social protection. This paper explores the impact of AI on the ESM, with particular attention to job creation and displacement, digital skill gaps, and changing welfare architecture. The methodology is based on a qualitative policy analysis and labour market data from the Eurostat and European Commission sources. The study analyses the ways in which AI-led changes will influence job losses, skills mismatches and the sustainability of the systems of social security. The results emphasize the importance of proactive regulation, investments in digital literacy, and regulatory measures to enable AI to drive inclusive economic growth rather than increasing inequality. The recommendations include lifelong learning, adapting welfare systems to new forms of work and responsible governance of AI.</w:t>
      </w:r>
    </w:p>
    <w:p>
      <w:pPr/>
      <w:r>
        <w:rPr>
          <w:b/>
        </w:rPr>
        <w:t>POSSIBLE 2025:</w:t>
      </w:r>
      <w:r>
        <w:t xml:space="preserve"> Scaling sustainable start-ups: barriers and enablers in talent attraction in Europe — https://openalex.org/W7171609687</w:t>
      </w:r>
    </w:p>
    <w:p>
      <w:pPr/>
      <w:r>
        <w:rPr>
          <w:b/>
        </w:rPr>
        <w:t>Shared claim-specific concepts:</w:t>
      </w:r>
      <w:r>
        <w:t xml:space="preserve"> enable, policies, literature, review; EU scope visible. This is a provisional connection, not an outcome finding.</w:t>
      </w:r>
    </w:p>
    <w:p>
      <w:pPr>
        <w:pStyle w:val="SourceNote"/>
      </w:pPr>
      <w:r>
        <w:rPr>
          <w:b/>
        </w:rPr>
        <w:t>Available abstract (not full text):</w:t>
      </w:r>
      <w:r>
        <w:t xml:space="preserve"> This thesis examines barriers and enablers of scaling sustainable start-ups in Europe across regulation, financing, and talent. Building on a structured literature review and 15 semi-structured interviews with founders, venture capitalists, and sustainable industry experts, it shows how regulation in form of administrative burdens and policy volatility slow market adoption, while well-designed policies can create demand niches. Findings also reveal a persistent funding gap and the need for blended finance mechanisms. Finally, purpose attracts talent, but retention depends on mission execution and clear people structures. It derivesactionable implications for founders to enable resilient growth during the scaling phase.</w:t>
      </w:r>
    </w:p>
    <w:p>
      <w:pPr/>
      <w:r>
        <w:rPr>
          <w:b/>
        </w:rPr>
        <w:t>POSSIBLE 2025:</w:t>
      </w:r>
      <w:r>
        <w:t xml:space="preserve"> Scaling sustainable start-ups: barriers and enablers in financing in Europe — https://openalex.org/W7162970613</w:t>
      </w:r>
    </w:p>
    <w:p>
      <w:pPr/>
      <w:r>
        <w:rPr>
          <w:b/>
        </w:rPr>
        <w:t>Shared claim-specific concepts:</w:t>
      </w:r>
      <w:r>
        <w:t xml:space="preserve"> enable, policies, literature, review; EU scope visible. This is a provisional connection, not an outcome finding.</w:t>
      </w:r>
    </w:p>
    <w:p>
      <w:pPr>
        <w:pStyle w:val="SourceNote"/>
      </w:pPr>
      <w:r>
        <w:rPr>
          <w:b/>
        </w:rPr>
        <w:t>Available abstract (not full text):</w:t>
      </w:r>
      <w:r>
        <w:t xml:space="preserve"> This thesis examines barriers and enablers of scaling sustainable start-ups in Europe across regulation, financing, and talent. Building on a structured literature review and 15 semi structured interviews with founders, venture capitalists, and sustainable industry experts, it shows how regulation in form of administrative burdens and policy volatility slow market adoption, while well-designed policies can create demand niches. Findings also reveal a persistent funding gap and the need for blended finance mechanisms. Finally, purpose attracts talent, but retention depends on mission execution and clear people structures. It derives actionable implications for founders to enable resilient growth during the scaling phase.</w:t>
      </w:r>
    </w:p>
    <w:p>
      <w:pPr>
        <w:pStyle w:val="Heading2"/>
      </w:pPr>
      <w:r>
        <w:t>508. Achieving agricultural greenhouse gas emission reductions in the EU post‐2030: What options do we have?</w:t>
      </w:r>
    </w:p>
    <w:p>
      <w:pPr>
        <w:pStyle w:val="SourceNote"/>
      </w:pPr>
      <w:r>
        <w:rPr>
          <w:b/>
        </w:rPr>
        <w:t>Original source (2022):</w:t>
      </w:r>
      <w:r>
        <w:t xml:space="preserve"> https://doi.org/10.1111/reel.12448</w:t>
      </w:r>
    </w:p>
    <w:p>
      <w:pPr/>
      <w:r>
        <w:t>Original wording (abstract; indexed_source_text_not_full_document_verified): By 2030, the European Union (EU) must have regulatory instruments in place that not only reduce greenhouse gas emissions from agriculture, but that also increase carbon sequestration, increase resilience of agricultural production, improve biodiversity in rural areas and contribute to providing nutritious and healthy food to a growing world population.</w:t>
      </w:r>
    </w:p>
    <w:p>
      <w:pPr/>
      <w:r>
        <w:rPr>
          <w:b/>
        </w:rPr>
        <w:t>POSSIBLE 2026:</w:t>
      </w:r>
      <w:r>
        <w:t xml:space="preserve"> Sustainable pharmaceutical packaging under the European Union regulatory framework — https://doi.org/10.1007/s43621-026-04534-6</w:t>
      </w:r>
    </w:p>
    <w:p>
      <w:pPr/>
      <w:r>
        <w:rPr>
          <w:b/>
        </w:rPr>
        <w:t>Shared claim-specific concepts:</w:t>
      </w:r>
      <w:r>
        <w:t xml:space="preserve"> union, must, regulatory, not, only, reduce; EU scope visible. This is a provisional connection, not an outcome finding.</w:t>
      </w:r>
    </w:p>
    <w:p>
      <w:pPr>
        <w:pStyle w:val="SourceNote"/>
      </w:pPr>
      <w:r>
        <w:rPr>
          <w:b/>
        </w:rPr>
        <w:t>Available abstract (not full text):</w:t>
      </w:r>
      <w:r>
        <w:t xml:space="preserve"> Pharmaceutical packaging must protect medicinal product quality and patient safety while responding to increasing pressure to reduce material use, greenhouse-gas emissions, and packaging waste. This structured integrative review examines how the European Union Packaging and Packaging Waste Regulation, life-cycle evidence, material innovation and digital information systems affect pharmaceutical packaging decisions. Peer-reviewed studies, official legislation, standards and regulatory guidance were critically synthesised, while company data were used only when independently verifiable evidence was unavailable and were explicitly labelled as industry evidence. Published life-cycle assessments show that environmental rankings depend strongly on the functional unit, system boundary, dosage format, secondary packaging, energy mix and end-of-life assumptions; therefore, broad claims that a single material consistently delivers fixed carbon reductions are not scientifically transferable. High-density polyethylene, polypropylene, paper-based structures, polylactic acid and cyclic olefin polymers offer specific opportunities, but each presents trade-offs involving barrier variability, pharmaceutical-grade purity, extractables and leachables, sterilisation, forming performance, recycling infrastructure and regulatory requalification. The PPWR introduces important circularity requirements</w:t>
      </w:r>
    </w:p>
    <w:p>
      <w:pPr/>
      <w:r>
        <w:rPr>
          <w:b/>
        </w:rPr>
        <w:t>POSSIBLE 2026:</w:t>
      </w:r>
      <w:r>
        <w:t xml:space="preserve"> The Regulatory Framework for Crypto-Assets in the European Union — https://doi.org/10.18616/rdhs.v9i2.10712</w:t>
      </w:r>
    </w:p>
    <w:p>
      <w:pPr/>
      <w:r>
        <w:rPr>
          <w:b/>
        </w:rPr>
        <w:t>Shared claim-specific concepts:</w:t>
      </w:r>
      <w:r>
        <w:t xml:space="preserve"> union, regulatory, instruments, resilience; EU scope visible. This is a provisional connection, not an outcome finding.</w:t>
      </w:r>
    </w:p>
    <w:p>
      <w:pPr>
        <w:pStyle w:val="SourceNote"/>
      </w:pPr>
      <w:r>
        <w:rPr>
          <w:b/>
        </w:rPr>
        <w:t>Available abstract (not full text):</w:t>
      </w:r>
      <w:r>
        <w:t xml:space="preserve"> This article offers a comprehensive analysis of the legal regulation of crypto-assets in the European Union (EU). It examines the principal EU legislative instruments in this field, including Regulation (EU) 2023/1114 on Markets in Crypto-Assets (MiCA); Regulation (EU) 2023/1113 on information accompanying transfers of funds and certain crypto-assets (the Transfer of Funds Regulation, or TFR), which introduces the EU Travel Rule; Regulation (EU) 2024/1624 on the prevention of the use of the financial system for the purposes of money laundering or terrorist financing (AMLR); Regulation (EU) 2024/1620 establishing the European Authority for Anti-Money Laundering and Countering the Financing of Terrorism (AMLA); Regulation (EU) 2022/2554 on the digital operational resilience of the financial sector (DORA); and Regulation (EU) 2022/858 on a pilot regime for market infrastructures based on distributed ledger technology (the DLT Pilot Regime). The article concludes that the European Union’s legal framework for crypto-assets represents a systematic, comprehensive, and balanced approach to regulation.</w:t>
      </w:r>
    </w:p>
    <w:p>
      <w:pPr/>
      <w:r>
        <w:rPr>
          <w:b/>
        </w:rPr>
        <w:t>POSSIBLE 2026:</w:t>
      </w:r>
      <w:r>
        <w:t xml:space="preserve"> Perspective Chapter: AI Regulatory Landscape in the European Union — https://doi.org/10.5772/intechopen.1014965</w:t>
      </w:r>
    </w:p>
    <w:p>
      <w:pPr/>
      <w:r>
        <w:rPr>
          <w:b/>
        </w:rPr>
        <w:t>Shared claim-specific concepts:</w:t>
      </w:r>
      <w:r>
        <w:t xml:space="preserve"> union, regulatory, but, also, resilience, areas; EU scope visible. This is a provisional connection, not an outcome finding.</w:t>
      </w:r>
    </w:p>
    <w:p>
      <w:pPr>
        <w:pStyle w:val="SourceNote"/>
      </w:pPr>
      <w:r>
        <w:rPr>
          <w:b/>
        </w:rPr>
        <w:t>Available abstract (not full text):</w:t>
      </w:r>
      <w:r>
        <w:t xml:space="preserve"> This book chapter analyses the evolving regulatory landscape for artificial intelligence (AI) in the European Union (EU), focusing on the AI Act as the world’s first comprehensive horizontal, risk-based framework for AI governance. It examines how the Act translates the principles of proportionality, accountability and transparency into a differentiated regulatory architecture, ranging from prohibited practices to extensive obligations for high-risk AI systems, while allocating responsibilities across providers, deployers and other actors in increasingly complex AI value chains. The chapter situates the AI Act within the EU’s broader, multi-layered digital regulatory ecosystem, particularly its interaction with the General Data Protection Regulation (GDPR), the Digital Operational Resilience Act (DORA), sector-specific regulation and product-liability rules. It identifies areas of regulatory complementarity, but also tensions concerning risk management, data governance, automated decision-making, third-party dependencies, operational continuity and responsibility allocation. Particular attention is devoted to the withdrawal of the proposed AI Liability Directive, which was intended to address evidentiary and causation difficulties faced by victims of AI-related harm. The chapter argues that its withdrawal leaves a significant gap between the AI Act’s ex ante compliance framewor</w:t>
      </w:r>
    </w:p>
    <w:p>
      <w:pPr/>
      <w:r>
        <w:rPr>
          <w:b/>
        </w:rPr>
        <w:t>POSSIBLE 2026:</w:t>
      </w:r>
      <w:r>
        <w:t xml:space="preserve"> European Union: In Varietate Concordia - United in Diversity. Differentiated Integration as the Key to the Future of the European Union? — https://doi.org/10.30958/ajpia.2-1-2</w:t>
      </w:r>
    </w:p>
    <w:p>
      <w:pPr/>
      <w:r>
        <w:rPr>
          <w:b/>
        </w:rPr>
        <w:t>Shared claim-specific concepts:</w:t>
      </w:r>
      <w:r>
        <w:t xml:space="preserve"> union, must, place, not, but, agricultural; EU scope visible. This is a provisional connection, not an outcome finding.</w:t>
      </w:r>
    </w:p>
    <w:p>
      <w:pPr>
        <w:pStyle w:val="SourceNote"/>
      </w:pPr>
      <w:r>
        <w:rPr>
          <w:b/>
        </w:rPr>
        <w:t>Available abstract (not full text):</w:t>
      </w:r>
      <w:r>
        <w:t xml:space="preserve"> The project of European integration was born on the post-war ruins of Europe, where two world wars broke out in the course of thirty years. The idea of unifying European states arose from the practical consideration that societies that cooperate in the economic sphere, which even link some sectors, will not go to war with each other. It was clear that the memories of the war were too fresh, so political unification was not on the agenda. Robert Schuman, the French foreign minister, coming from the historically disputed region of Alsace-Lorraine, which the French and Germans repeatedly argued over, therefore knew the nature of mutual disputes. So he came up with the idea of an economic level of integration, which seems logical because it is effective. And it was needed precisely in the time of post-war reconstruction. Above all, however, the technical and economic interconnection of states that had been at war with each other for centuries should have made any consideration of war impracticable. (Schuman, 1950). That is why today's European Union began with integration in the energy and metallurgy sector (ECSC). Its success then had a spill-over effect on other areas (Haas, 1958). The Member States of the European Union are independent sovereign actors under international law. There is no single economic base characteristic of all the states of the Union. Even in the six foundin</w:t>
      </w:r>
    </w:p>
    <w:p>
      <w:pPr/>
      <w:r>
        <w:rPr>
          <w:b/>
        </w:rPr>
        <w:t>POSSIBLE 2026:</w:t>
      </w:r>
      <w:r>
        <w:t xml:space="preserve"> European Union — https://openalex.org/W7204068056</w:t>
      </w:r>
    </w:p>
    <w:p>
      <w:pPr/>
      <w:r>
        <w:rPr>
          <w:b/>
        </w:rPr>
        <w:t>Shared claim-specific concepts:</w:t>
      </w:r>
      <w:r>
        <w:t xml:space="preserve"> union, regulatory, not, also; EU scope visible. This is a provisional connection, not an outcome finding.</w:t>
      </w:r>
    </w:p>
    <w:p>
      <w:pPr>
        <w:pStyle w:val="SourceNote"/>
      </w:pPr>
      <w:r>
        <w:rPr>
          <w:b/>
        </w:rPr>
        <w:t>Available abstract (not full text):</w:t>
      </w:r>
      <w:r>
        <w:t xml:space="preserve"> The post–Cold War beliefs that once sustained the European project have unraveled. Economic integration no longer guarantees political harmony. Also, soft power by itself does not secure a continent. In an era of hard-edged rivalry, the European Union faces a stark paradox: it is a global regulatory superpower, yet increasingly strained by internal fragmentation. How can the EU endure when its founding certainties fade? European Union: Ideas for the Future moves beyond the stale binary of “more or less Europe” to confront the defining dialectic of the mid-2020s: the tension between strategic unity abroad and democratic legitimacy at home. The book presents nine scholarly perspectives spanning governance, democracy, and geopolitics. It explores the EU as a geopolitical actor, its democratic capacity to defend cohesion against illiberal drift, and how science and innovation can be harnessed in a multipolar world with pressing climate and digital challenges. Written for scholars, policymakers, and citizens who refuse to accept the fraying of the European project, this book offers a bold vision of a Europe capable of wielding power without sacrificing legitimacy, combining the protection of a superpower with the intimacy of local democracy.</w:t>
      </w:r>
    </w:p>
    <w:p>
      <w:pPr/>
      <w:r>
        <w:rPr>
          <w:b/>
        </w:rPr>
        <w:t>POSSIBLE 2026:</w:t>
      </w:r>
      <w:r>
        <w:t xml:space="preserve"> Decentralized Energy Systems in the European Union — https://doi.org/10.4324/9781003781127-4</w:t>
      </w:r>
    </w:p>
    <w:p>
      <w:pPr/>
      <w:r>
        <w:rPr>
          <w:b/>
        </w:rPr>
        <w:t>Shared claim-specific concepts:</w:t>
      </w:r>
      <w:r>
        <w:t xml:space="preserve"> union, must, regulatory; EU scope visible. This is a provisional connection, not an outcome finding.</w:t>
      </w:r>
    </w:p>
    <w:p>
      <w:pPr>
        <w:pStyle w:val="SourceNote"/>
      </w:pPr>
      <w:r>
        <w:rPr>
          <w:b/>
        </w:rPr>
        <w:t>Available abstract (not full text):</w:t>
      </w:r>
      <w:r>
        <w:t xml:space="preserve"> This chapter examines the development of decentralized energy systems in the European Union (EU), focusing on electricity markets and the legal, regulatory, and institutional conditions that enable decentralization. It begins by situating EU energy policy within broader concerns relating to energy security, climate change, market liberalization, and geopolitical risk, highlighting the shift from centralized fossil-fuel-based systems toward decentralized, renewable-based models. The chapter explains the emergence of prosumers, energy communities, smart grids, and demand-response mechanisms, and analyzes how these developments challenge traditional roles of transmission and distribution system operators. It then assesses the EU legal framework supporting decentralization, including internal electricity market reforms, consumer rights, and regulatory oversight. Drawing on selected detailed country studies, the chapter evaluates national approaches to decentralization, smart meter deployment, and self-consumption regimes, identifying both progress and persistent barriers. Finally, it explores the role of smart grids, data governance, and cross-border market integration, highlighting the regulatory, technical, and social challenges that must be addressed for decentralized energy systems to function effectively across the EU.</w:t>
      </w:r>
    </w:p>
    <w:p>
      <w:pPr/>
      <w:r>
        <w:rPr>
          <w:b/>
        </w:rPr>
        <w:t>POSSIBLE 2026:</w:t>
      </w:r>
      <w:r>
        <w:t xml:space="preserve"> Algorithmic management in the European Union: regulatory gaps and future pathways — https://openalex.org/W7221413296</w:t>
      </w:r>
    </w:p>
    <w:p>
      <w:pPr/>
      <w:r>
        <w:rPr>
          <w:b/>
        </w:rPr>
        <w:t>Shared claim-specific concepts:</w:t>
      </w:r>
      <w:r>
        <w:t xml:space="preserve"> union, regulatory, instruments; EU scope visible. This is a provisional connection, not an outcome finding.</w:t>
      </w:r>
    </w:p>
    <w:p>
      <w:pPr>
        <w:pStyle w:val="SourceNote"/>
      </w:pPr>
      <w:r>
        <w:rPr>
          <w:b/>
        </w:rPr>
        <w:t>Available abstract (not full text):</w:t>
      </w:r>
      <w:r>
        <w:t xml:space="preserve"> The widespread implementation of algorithmic technologies in the workplace is profoundly changing work organisation and working conditions, posing new regulatory and practical challenges. This contribution evaluates the extent to which the European Union existing law is capable of addressing these challenges and identifies the main regulatory gaps that emerge in the governance of algorithmic management. Chapter 1 lays the conceptual foundations and explores how algorithmic practices transform the exercise of managerial authority and therefore reshape the employment relationship. Chapter 2 critically assesses the principal EU instruments applicable to algorithmic management, focusing on the General Data Protection Regulation (GDPR) and the Artificial Intelligence Act (AIA), exploring both their relevance and their structural deficits. Finally, chapter 3, drawing on the promises contained in the recent Platform Work Directive (PWD), explores possible pathways towards a broader and more effective regulatory framework capable of properly addressing algorithmic management in the workplace.</w:t>
      </w:r>
    </w:p>
    <w:p>
      <w:pPr/>
      <w:r>
        <w:rPr>
          <w:b/>
        </w:rPr>
        <w:t>POSSIBLE 2026:</w:t>
      </w:r>
      <w:r>
        <w:t xml:space="preserve"> Regulatory Models for Artificial Intelligence in Education in European Union Countries — https://doi.org/10.62768/adjuris/2026/7/14</w:t>
      </w:r>
    </w:p>
    <w:p>
      <w:pPr/>
      <w:r>
        <w:rPr>
          <w:b/>
        </w:rPr>
        <w:t>Shared claim-specific concepts:</w:t>
      </w:r>
      <w:r>
        <w:t xml:space="preserve"> union, regulatory, but, also, contribute; EU scope visible. This is a provisional connection, not an outcome finding.</w:t>
      </w:r>
    </w:p>
    <w:p>
      <w:pPr>
        <w:pStyle w:val="SourceNote"/>
      </w:pPr>
      <w:r>
        <w:rPr>
          <w:b/>
        </w:rPr>
        <w:t>Available abstract (not full text):</w:t>
      </w:r>
      <w:r>
        <w:t xml:space="preserve"> In the context in which artificial intelligence (AI) is permeating education services, it becomes necessary to establish regulatory frameworks for the ethical use of AI, limiting negative effects and maximizing benefits of using AI for students and teachers.The purpose of this comparative study is to investigate how the EU countries regulate the use of AI in education.The objectives of the study are: evaluating the normative and methodological framework applicable to the use of AI in education, identifying and analyzing the rights and obligations of students and teachers related to the use of AI, identifying and analyzing elements of convergence and divergence of regulatory frameworks of EU states.The study sample consist of five EU countries (Greece, Estonia, Czech, Denmark and Romania).The research methodology includes a qualitative content analysis of the laws, strategies, methodological guides developed by member states and the European regulatory framework.This is complemented by a comparative evaluation grid.The results highlight different concerns of the member states regarding the regulation of AI in education, but also convergence elements relating to the importance of GDPR.The conclusions contribute to substantiating the regulatory framework in Romania based on good practices taken from the member states.</w:t>
      </w:r>
    </w:p>
    <w:p>
      <w:pPr/>
      <w:r>
        <w:rPr>
          <w:b/>
        </w:rPr>
        <w:t>POSSIBLE 2025:</w:t>
      </w:r>
      <w:r>
        <w:t xml:space="preserve"> Regulatory Landscape of Nutraceuticals in the European Union — https://doi.org/10.1201/9781003465041-9</w:t>
      </w:r>
    </w:p>
    <w:p>
      <w:pPr/>
      <w:r>
        <w:rPr>
          <w:b/>
        </w:rPr>
        <w:t>Shared claim-specific concepts:</w:t>
      </w:r>
      <w:r>
        <w:t xml:space="preserve"> abstract, union, must, regulatory; EU scope visible. This is a provisional connection, not an outcome finding.</w:t>
      </w:r>
    </w:p>
    <w:p>
      <w:pPr>
        <w:pStyle w:val="SourceNote"/>
      </w:pPr>
      <w:r>
        <w:rPr>
          <w:b/>
        </w:rPr>
        <w:t>Available abstract (not full text):</w:t>
      </w:r>
      <w:r>
        <w:t xml:space="preserve"> The regulatory landscape for nutraceuticals in the European Union (EU) is a complex framework designed to ensure the safety and quality of these products while promoting innovation in the industry. This abstract provides a concise overview of the key regulatory requirements governing nutraceuticals in the EU. The regulatory framework primarily revolves around the principle of placing safe and appropriately labeled products on the market. Nutraceuticals, positioned at the intersection of food and pharmaceuticals, are subject to stringent standards set forth in EU regulations. These regulations encompass aspects such as ingredient safety, permissible health claims, and labeling requirements. The European Food Safety Authority (EFSA) plays a pivotal role in evaluating and approving health claims associated with nutraceuticals. Additionally, manufacturers must adhere to Good Manufacturing Practices (GMP) to ensure the consistent quality of their products. Novel foods, including certain nutraceutical ingredients, undergo a separate approval process to assess their safety and potential impact on public health. Harmonizing regulations across EU member states, this framework facilitates the free movement of nutraceuticals within the single market while safeguarding consumer health. Navigating this regulatory landscape demands a comprehensive understanding of the evolving requirements, </w:t>
      </w:r>
    </w:p>
    <w:p>
      <w:pPr/>
      <w:r>
        <w:rPr>
          <w:b/>
        </w:rPr>
        <w:t>POSSIBLE 2025:</w:t>
      </w:r>
      <w:r>
        <w:t xml:space="preserve"> Capitalism, imperialism and European Union Law: towards a Marxist approach — https://doi.org/10.1017/elo.2025.10018</w:t>
      </w:r>
    </w:p>
    <w:p>
      <w:pPr/>
      <w:r>
        <w:rPr>
          <w:b/>
        </w:rPr>
        <w:t>Shared claim-specific concepts:</w:t>
      </w:r>
      <w:r>
        <w:t xml:space="preserve"> abstract, union, must, not, but; EU scope visible. This is a provisional connection, not an outcome finding.</w:t>
      </w:r>
    </w:p>
    <w:p>
      <w:pPr>
        <w:pStyle w:val="SourceNote"/>
      </w:pPr>
      <w:r>
        <w:rPr>
          <w:b/>
        </w:rPr>
        <w:t>Available abstract (not full text):</w:t>
      </w:r>
      <w:r>
        <w:t xml:space="preserve"> Abstract This article establishes a foundation for the development of Marxist approaches to European Union (EU) law. While Marxist scholarship has engaged with European integration throughout its history, it has largely overlooked the legal architecture of the EU. Conversely, EU legal studies have remained largely insulated from Marxist thought, even as critical approaches have begun to gain traction. Bridging this mutual neglect, the article argues that EU law must be understood not as a neutral or technocratic system, but as a central element of capitalist social relations both in Europe, and in terms of Europe’s wider integration in the global market. In this way, EU law is bound up with processes of accumulation, imperialism, and racialised social reproduction. Drawing on key currents within Marxist theory, the article situates EU law within the historical dynamics of capitalist development, demonstrating how a materialist legal analysis can deepen and enrich existing critiques of European integration.</w:t>
      </w:r>
    </w:p>
    <w:p>
      <w:pPr/>
      <w:r>
        <w:rPr>
          <w:b/>
        </w:rPr>
        <w:t>POSSIBLE 2025:</w:t>
      </w:r>
      <w:r>
        <w:t xml:space="preserve"> Accounting regulation in the European Union — https://doi.org/10.1007/s11142-025-09909-0</w:t>
      </w:r>
    </w:p>
    <w:p>
      <w:pPr/>
      <w:r>
        <w:rPr>
          <w:b/>
        </w:rPr>
        <w:t>Shared claim-specific concepts:</w:t>
      </w:r>
      <w:r>
        <w:t xml:space="preserve"> abstract, union, regulatory, improve; EU scope visible. This is a provisional connection, not an outcome finding.</w:t>
      </w:r>
    </w:p>
    <w:p>
      <w:pPr>
        <w:pStyle w:val="SourceNote"/>
      </w:pPr>
      <w:r>
        <w:rPr>
          <w:b/>
        </w:rPr>
        <w:t>Available abstract (not full text):</w:t>
      </w:r>
      <w:r>
        <w:t xml:space="preserve"> Abstract We provide a comprehensive overview of accounting-related regulatory changes (financial accounting, auditing, tax, and other disclosures) in the 27 European Union countries and the United Kingdom since 1993 based on an extensive literature review, survey, and topic and country expert input. Across all countries and years, we find that more than 16 regulatory events occur in a typical difference-in-differences research design that includes pre- and post-periods of four years. On average 3.4 out of four accounting disciplines are affected, emphasizing the need for interdisciplinary awareness. Our accompanying website ( http://www.eu-regulations.com ) offers visual representations of these events, regulation summaries, literature links, and source documents, all by country. This work aims to (1) lower the cost for researchers, reviewers, and editors to understand the EU’s evolving regulatory landscape; (2) improve research designs by identifying concurrent regulatory events; and (3) highlight research opportunities for those studying the EU or specific member states.</w:t>
      </w:r>
    </w:p>
    <w:p>
      <w:pPr/>
      <w:r>
        <w:rPr>
          <w:b/>
        </w:rPr>
        <w:t>POSSIBLE 2025:</w:t>
      </w:r>
      <w:r>
        <w:t xml:space="preserve"> Water reuse in the European Union: fostering and constraining public acceptance — https://doi.org/10.1093/jel/eqaf026</w:t>
      </w:r>
    </w:p>
    <w:p>
      <w:pPr/>
      <w:r>
        <w:rPr>
          <w:b/>
        </w:rPr>
        <w:t>Shared claim-specific concepts:</w:t>
      </w:r>
      <w:r>
        <w:t xml:space="preserve"> abstract, union, must; EU scope visible. This is a provisional connection, not an outcome finding.</w:t>
      </w:r>
    </w:p>
    <w:p>
      <w:pPr>
        <w:pStyle w:val="SourceNote"/>
      </w:pPr>
      <w:r>
        <w:rPr>
          <w:b/>
        </w:rPr>
        <w:t>Available abstract (not full text):</w:t>
      </w:r>
      <w:r>
        <w:t xml:space="preserve"> ABSTRACT Water reuse is indicated by the European institutions as a key tool in promoting a circular economy and addressing the current dramatic overuse and pollution of freshwater. Nevertheless, this practice is encountering a certain degree of resistance from the public, understood as the main stakeholders and social actors involved in the water cycle. This article poses a series of questions concerning the ways in which the public's apparent reluctance to embrace reuse practices might be addressed, exploring the capacity of the Union to implement environmental and climate strategies. By analysing the legal nature of water reuse and risk management plans, the idea is put forward that water reuse is a measure that must be considered and that, under certain conditions, should be mandatory. This argument is substantiated by an examination of the cross-cutting nature of water reuse practices and the associated obligations, encompassing environmental protection, energy efficiency, and intergenerational justice.</w:t>
      </w:r>
    </w:p>
    <w:p>
      <w:pPr>
        <w:pStyle w:val="Heading2"/>
      </w:pPr>
      <w:r>
        <w:t>509. Agent‐Based Modeling of Alternative Futures in the British Land Use System</w:t>
      </w:r>
    </w:p>
    <w:p>
      <w:pPr>
        <w:pStyle w:val="SourceNote"/>
      </w:pPr>
      <w:r>
        <w:rPr>
          <w:b/>
        </w:rPr>
        <w:t>Original source (2022):</w:t>
      </w:r>
      <w:r>
        <w:t xml:space="preserve"> https://doi.org/10.1029/2022ef002905</w:t>
      </w:r>
    </w:p>
    <w:p>
      <w:pPr/>
      <w:r>
        <w:t>Original wording (abstract; indexed_source_text_not_full_document_verified): Socio‐economic scenarios such as the Shared Socioeconomic Pathways (SSPs) have been widely used to analyze global change impacts, but representing their diversity is a challenge for the analytical tools applied to them. Taking Great Britain as an example, we represent a set of stakeholder‐elaborated UK‐SSP scenarios, linked to climate change scenarios (Representative Concentration Pathways), in a globally‐embedded agent‐based modeling framework.</w:t>
      </w:r>
    </w:p>
    <w:p>
      <w:pPr/>
      <w:r>
        <w:rPr>
          <w:b/>
        </w:rPr>
        <w:t>POSSIBLE 2026:</w:t>
      </w:r>
      <w:r>
        <w:t xml:space="preserve"> Abstract DP015: Integrating Systemic and Socio-economic Factors Into Stroke Prognostic Models: Findings From the ELAN International Survey — https://doi.org/10.1161/str.57.suppl_1.dp015</w:t>
      </w:r>
    </w:p>
    <w:p>
      <w:pPr/>
      <w:r>
        <w:rPr>
          <w:b/>
        </w:rPr>
        <w:t>Shared claim-specific concepts:</w:t>
      </w:r>
      <w:r>
        <w:t xml:space="preserve"> abstract, widely, but; EU scope not established. This is a provisional connection, not an outcome finding.</w:t>
      </w:r>
    </w:p>
    <w:p>
      <w:pPr>
        <w:pStyle w:val="SourceNote"/>
      </w:pPr>
      <w:r>
        <w:rPr>
          <w:b/>
        </w:rPr>
        <w:t>Available abstract (not full text):</w:t>
      </w:r>
      <w:r>
        <w:t xml:space="preserve"> Prognosis after acute stroke varies widely and is usually guided by imaging and clinical markers. Factors such as frailty, cognition, comorbidities, mental health, social support, and financial status strongly influence recovery but are rarely considered. To address this gap, we developed the ELAN Score, a structured 10-point tool across six domains: cognition, pre-existing disability/frailty, comorbidities, mental health, social support and financial factors. Using a global survey, we aimed to evaluate associations between individual ELAN domains and clinicians’ prediction of recovery and coping potential after a stroke. In an international online survey, stroke neurologists, neurointerventionalists, and allied specialists were randomly assigned 30 of 324 case vignettes. Each vignette described a patient with large vessel occlusion, good ASPECTS who achieved TICI 3 reperfusion, and systematically varied the severity of ELAN-specific domains. Participants were blinded to the ELAN score; scores were calculated in the background using pre-specified domain weights. Respondents were asked to estimate: the probability of return to pre-stroke functional status, and the probability of coping with an unfavorable outcome. Associations between ELAN score, individual domains, and perceived outcomes were examined using mixed-effects Poisson regression adjusted for clinician demographics, s</w:t>
      </w:r>
    </w:p>
    <w:p>
      <w:pPr/>
      <w:r>
        <w:rPr>
          <w:b/>
        </w:rPr>
        <w:t>POSSIBLE 2026:</w:t>
      </w:r>
      <w:r>
        <w:t xml:space="preserve"> Global gridded data for the Shared Socio-economic Pathways — https://doi.org/10.18174/sesmo.18850</w:t>
      </w:r>
    </w:p>
    <w:p>
      <w:pPr/>
      <w:r>
        <w:rPr>
          <w:b/>
        </w:rPr>
        <w:t>Shared claim-specific concepts:</w:t>
      </w:r>
      <w:r>
        <w:t xml:space="preserve"> shared, pathways, ssps, used, representing, them; EU scope not established. This is a provisional connection, not an outcome finding.</w:t>
      </w:r>
    </w:p>
    <w:p>
      <w:pPr>
        <w:pStyle w:val="SourceNote"/>
      </w:pPr>
      <w:r>
        <w:rPr>
          <w:b/>
        </w:rPr>
        <w:t>Available abstract (not full text):</w:t>
      </w:r>
      <w:r>
        <w:t xml:space="preserve"> The shared socio-economic pathways (SSPs) provide storylines for plausible future global developments under a consistent set of assumptions. Primarily, the SSPs have been used to derive quantitative scenarios of greenhouse gas emissions for use in general circulation models and other large-scale, physically based models of environmental change. Their use in large-scale socio-environmental simulation modelling has been less forthcoming. Behavioural models of land systems, typically operating within agent-based frameworks, attempt to explicitly represent the varied socio-environmental factors that characterise the SSP storylines. Such simulation models are often geospatial and grid-based, capable of representing dynamics at resolutions of up to 10s km2 over large extents (continental to global). However, such approaches demand geospatial (usually gridded) input data for multiple social and human variables - often together known as capitals - such as education levels and infrastructure. The lack of such input data for the future SSP storylines has been a substantial limitation in the application of large-scale behavioural models of land systems specifically and of socio-environmental modelling more generally. Here, we present global gridded data for socio-economic capitals useful for simulation models and consistent with the SSP storylines, disaggregated spatially to a 0.25o grid.</w:t>
      </w:r>
    </w:p>
    <w:p>
      <w:pPr/>
      <w:r>
        <w:rPr>
          <w:b/>
        </w:rPr>
        <w:t>POSSIBLE 2026:</w:t>
      </w:r>
      <w:r>
        <w:t xml:space="preserve"> Modelling human values within the shared socio-economic pathways — https://doi.org/10.5287/ora-prm67xp8k</w:t>
      </w:r>
    </w:p>
    <w:p>
      <w:pPr/>
      <w:r>
        <w:rPr>
          <w:b/>
        </w:rPr>
        <w:t>Shared claim-specific concepts:</w:t>
      </w:r>
      <w:r>
        <w:t xml:space="preserve"> shared, socioeconomic, pathways, ssps, but, representing; EU scope not established. This is a provisional connection, not an outcome finding.</w:t>
      </w:r>
    </w:p>
    <w:p>
      <w:pPr>
        <w:pStyle w:val="SourceNote"/>
      </w:pPr>
      <w:r>
        <w:rPr>
          <w:b/>
        </w:rPr>
        <w:t>Available abstract (not full text):</w:t>
      </w:r>
      <w:r>
        <w:t xml:space="preserve"> Human values are increasingly recognised as important drivers of sustainability transitions. The Shared Socioeconomic Pathways (SSPs) provide a framework of alternative development trajectories that vary in their challenges to climate change mitigation and adaptation. While SSP narratives implicitly reflect differing societal priorities, values are not explicitly formalised or quantified. Here we develop an approach for making value dynamics explicit in scenario analysis. We frame 8 value categories using substantive value frameworks. Using World Values Survey data (2000–2023) we confirm four distinct value types: an Eco-centric type characterised by environmental concern; a Security–order type characterised by governance and social stability; a Conformity type characterised by adherence to prevailing norms, and hierarchical social structures; and an Achievement type characterised by wealth and personal success. We demonstrate our approach through futures modelling under SSP1 alongside trajectories of improving human development as measured by the Human Development Index (HDI). We use our modelling to show how the four value types co-evolve. With rising human development we find a slow shift towards sustainability-oriented value types. Eco-centric values strengthen over time but do not become the largest global type until the mid-21st century (around 2055), with earlier transit</w:t>
      </w:r>
    </w:p>
    <w:p>
      <w:pPr/>
      <w:r>
        <w:rPr>
          <w:b/>
        </w:rPr>
        <w:t>POSSIBLE 2026:</w:t>
      </w:r>
      <w:r>
        <w:t xml:space="preserve"> High-resolution modelling of biodiversity under the shared socio-economic scenarios — https://doi.org/10.32942/x2h958</w:t>
      </w:r>
    </w:p>
    <w:p>
      <w:pPr/>
      <w:r>
        <w:rPr>
          <w:b/>
        </w:rPr>
        <w:t>Shared claim-specific concepts:</w:t>
      </w:r>
      <w:r>
        <w:t xml:space="preserve"> shared, socioeconomic, pathways, impacts; EU scope not established. This is a provisional connection, not an outcome finding.</w:t>
      </w:r>
    </w:p>
    <w:p>
      <w:pPr>
        <w:pStyle w:val="SourceNote"/>
      </w:pPr>
      <w:r>
        <w:rPr>
          <w:b/>
        </w:rPr>
        <w:t>Available abstract (not full text):</w:t>
      </w:r>
      <w:r>
        <w:t xml:space="preserve"> Impacts on biodiversity from global climate and land use change manifest through changes in habitat availability and suitability for species. We currently lack fine grain predictions about how species and their habitats respond at the local level to global drivers of change, particularly under future scenarios of coupled climate and land use change. Policies for biodiversity management often place an emphasis on management and protection of threatened and socially important species and their habitat. This requires modelling many species individually to inform national policy design and decisions. However, most multi-species modelling systems focus on the role of bioclimatic drivers of species distribution and abundance to the exclusion of the land use variables needed to understand and predict outcomes of socio-economic drivers of biodiversity change. We provide high-quality predictive species distribution models that capture the impacts of change in land use and other environmental drivers, and a comprehensive biodiversity dataset for Australia for thousands of species at high spatial resolution. We model the response of 1,488 species, including 592 birds, 254 mammals and 642 reptiles under coupled land-use (Shared Socioeconomic Pathways) and climate (Representative Concentration Pathways) scenarios. Our analyses present new possibilities for developing bespoke species-specifi</w:t>
      </w:r>
    </w:p>
    <w:p>
      <w:pPr/>
      <w:r>
        <w:rPr>
          <w:b/>
        </w:rPr>
        <w:t>POSSIBLE 2026:</w:t>
      </w:r>
      <w:r>
        <w:t xml:space="preserve"> Environmental and Socio-Economic Impacts of Shared Mobility Services in the City of Kigali, Rwanda — https://doi.org/10.9734/ajgr/2026/v9i4458</w:t>
      </w:r>
    </w:p>
    <w:p>
      <w:pPr/>
      <w:r>
        <w:rPr>
          <w:b/>
        </w:rPr>
        <w:t>Shared claim-specific concepts:</w:t>
      </w:r>
      <w:r>
        <w:t xml:space="preserve"> shared, impacts, representing; EU scope not established. This is a provisional connection, not an outcome finding.</w:t>
      </w:r>
    </w:p>
    <w:p>
      <w:pPr>
        <w:pStyle w:val="SourceNote"/>
      </w:pPr>
      <w:r>
        <w:rPr>
          <w:b/>
        </w:rPr>
        <w:t>Available abstract (not full text):</w:t>
      </w:r>
      <w:r>
        <w:t xml:space="preserve"> Aims: This study assessed the environmental and socio-economic impacts of shared mobility services in the City of Kigali, Rwanda, with particular emphasis on their contribution to sustainable urban transport, environmental improvement, and livelihood enhancement. Study Design: A convergent parallel mixed-methods research design was employed. Place and Duration of Study: The study was conducted in the City of Kigali, Rwanda, among users of various shared mobility services, including bus commuters, motorbike-taxi users, ride-hailing users, and private car owners. Data collection was carried out in 2026. Methodology: Quantitative data were collected from 400 respondents using structured questionnaires, while qualitative information was obtained through semi-structured interviews with nine key informants representing urban planning institutions, transport regulatory agencies, and mobility service providers. Quantitative data were analysed using descriptive statistics, Pearson correlation, and multiple regression analysis, whereas qualitative data were analysed thematically. Results: The findings revealed that all shared mobility components examined, namely car and bus sharing, motorbike-taxi sharing, digital mobility platforms, and ride-hailing services, were positively and significantly associated with respondents' perceived socio-economic and environmental outcomes (p &lt; 0.05); be</w:t>
      </w:r>
    </w:p>
    <w:p>
      <w:pPr/>
      <w:r>
        <w:rPr>
          <w:b/>
        </w:rPr>
        <w:t>POSSIBLE 2026:</w:t>
      </w:r>
      <w:r>
        <w:t xml:space="preserve"> Impact of climate change on the proposed Pwalugu hydropower plant based on shared socio-economic pathway (SSP) scenarios — https://doi.org/10.1007/s43621-025-01056-5</w:t>
      </w:r>
    </w:p>
    <w:p>
      <w:pPr/>
      <w:r>
        <w:rPr>
          <w:b/>
        </w:rPr>
        <w:t>Shared claim-specific concepts:</w:t>
      </w:r>
      <w:r>
        <w:t xml:space="preserve"> shared, ssps; EU scope not established. This is a provisional connection, not an outcome finding.</w:t>
      </w:r>
    </w:p>
    <w:p>
      <w:pPr>
        <w:pStyle w:val="SourceNote"/>
      </w:pPr>
      <w:r>
        <w:rPr>
          <w:b/>
        </w:rPr>
        <w:t>Available abstract (not full text):</w:t>
      </w:r>
      <w:r>
        <w:t xml:space="preserve"> In this study, we examined the two main factors of climate change (precipitation and temperature) based on SSP1-2.6, SSP2-4.5, and SSP5-8.5, under three future periods: near future (2015–2043), mid-far future (2044–2072), and far future (2073–2100). Three machine learning models: Artificial Neural Network (ANN), Long Short-Term Memory (LSTM), and Support Vector Machine (SVM) were compared using statistical metrics: Nash–Sutcliffe Efficiency (NSE), Percent Bias (PBias), and R-squared (R 2 ). The ANN outperforms LSTM and SVM in terms of training and testing metrics, particularly NSE and R 2 . The findings showed that temperature and precipitation patterns would increase especially by the end of the century. In the Near Future, SSP5-8.5 estimates a maximum temperature of 43.32 °C, SSP1-2.6’s 41.74 °C, and SSP2-4.5’s 41.66 °C. Minimum temperatures in the Near Future estimate SSP5-8.5 of 47 °C, SSP1-2.6 of 37.97 °C, and SSP2-4.5 is 36.30 °C. Precipitation patterns exhibit notable variations across the different SSPs and future periods. In the Near Future, SSP5-8.5 estimates the highest maximum precipitation at 340.91 mm, compared to SSP1-2.6 at 308.34 mm and SSP2-4.5 at 329.53 mm. This trend of increasing maximum precipitation continues into the mid- and far-future, with SSP5-8.5 maintaining the highest values. Precipitation and temperature projections suggest significant climate ch</w:t>
      </w:r>
    </w:p>
    <w:p>
      <w:pPr/>
      <w:r>
        <w:rPr>
          <w:b/>
        </w:rPr>
        <w:t>POSSIBLE 2026:</w:t>
      </w:r>
      <w:r>
        <w:t xml:space="preserve"> Future Timber Cities: Global Scenarios for GHG Mitigation aligned with Shared Socio-economic Pathways (SSPs) - Data repository — https://doi.org/10.5281/zenodo.23158550</w:t>
      </w:r>
    </w:p>
    <w:p>
      <w:pPr/>
      <w:r>
        <w:rPr>
          <w:b/>
        </w:rPr>
        <w:t>Shared claim-specific concepts:</w:t>
      </w:r>
      <w:r>
        <w:t xml:space="preserve"> shared, pathways, ssps;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Mudarabah (A Profit Sharing Partnership) as a Shari'ah Compliant Financial Institution: Wisdom and Socio-Economic Implications — https://doi.org/10.5281/zenodo.21738158</w:t>
      </w:r>
    </w:p>
    <w:p>
      <w:pPr/>
      <w:r>
        <w:rPr>
          <w:b/>
        </w:rPr>
        <w:t>Shared claim-specific concepts:</w:t>
      </w:r>
      <w:r>
        <w:t xml:space="preserve"> shared, widely, analytical; EU scope not established. This is a provisional connection, not an outcome finding.</w:t>
      </w:r>
    </w:p>
    <w:p>
      <w:pPr>
        <w:pStyle w:val="SourceNote"/>
      </w:pPr>
      <w:r>
        <w:rPr>
          <w:b/>
        </w:rPr>
        <w:t>Available abstract (not full text):</w:t>
      </w:r>
      <w:r>
        <w:t xml:space="preserve"> Abstract In Islamic Financial institutions Mudarabah is one of the fundamental profit-and-loss sharing instruments recognized under Islamic commercial law and widely regarded as a Shari’ah-compliant alternative to conventional interest-based financing system. This paper examines Mudarabah as a Shari’ah-compliant financial institution, with particular emphasis on its underlying wisdom and socio-economic implications. The study explores the concept, historical evolution, legal foundations, essential elements, and operational structure of Mudarabah within the framework of Islamic jurisprudence. It further highlights the objectives and rationale behind the institution of Mudarabah, especially its role in promoting justice, risk-sharing, mutual cooperation, and equitable distribution of wealth. The paper also analyses the socio-economic significance of Mudarabah in fostering entrepreneurship, reducing poverty, encouraging productive investment, and enhancing economic development within society. In addition, the study discusses the responsibilities of the contracting parties, the need for transparency and accountability, and the importance of ensuring Shari’ah compliance in all Mudarabah transactions. The research adopts quantitative, doctrinal, and analytical methods through the examination of relevant Qur’anic verses, ahadith, classical juristic opinions, and contemporary scholarly</w:t>
      </w:r>
    </w:p>
    <w:p>
      <w:pPr/>
      <w:r>
        <w:rPr>
          <w:b/>
        </w:rPr>
        <w:t>POSSIBLE 2026:</w:t>
      </w:r>
      <w:r>
        <w:t xml:space="preserve"> Climate Change Projections for Mediterranean Arid Regions: Shared Socio-economic Pathways for Algerian Sahara — https://doi.org/10.56093/aaz.v65i1.173393</w:t>
      </w:r>
    </w:p>
    <w:p>
      <w:pPr/>
      <w:r>
        <w:rPr>
          <w:b/>
        </w:rPr>
        <w:t>Shared claim-specific concepts:</w:t>
      </w:r>
      <w:r>
        <w:t xml:space="preserve"> shared, pathways, impacts; EU scope not established. This is a provisional connection, not an outcome finding.</w:t>
      </w:r>
    </w:p>
    <w:p>
      <w:pPr>
        <w:pStyle w:val="SourceNote"/>
      </w:pPr>
      <w:r>
        <w:rPr>
          <w:b/>
        </w:rPr>
        <w:t>Available abstract (not full text):</w:t>
      </w:r>
      <w:r>
        <w:t xml:space="preserve"> Arid regions in northern part of Algerian Sahara are highly vulnerable to climate change, facing rising temperatures and declining precipitation that intensify droughts and strain ecosystems and water resources. These shifts jeopardize agriculture and livelihoods, making future climate predictions vital for developing effective adaptation strategies. This study aims to explore the scenarios of climate change in Biskra region under various Shared Socio-economic Pathways (SSP) scenarios for 2035, 2055 and 2075; and highlights key trends in precipitation and temperature. Main findings show a general decline in average precipitation, dropping from 138.3 mm in 2035 to 122.4 mm in 2075, with variations across scenarios. In the optimistic SSP1-1.9 scenario (low emissions), precipitation remains relatively stable, while high-emission scenarios like SSP3-7 and SSP5-8.5 project sharper declines to 102.5 mm and 110.2 mm by 2075, respectively. Temperature forecasts indicate a steady rise in maximum, minimum and average temperature values. In SSP1-1.9, maximum temperatures slightly decrease from 27.9°C in 2035 to 27.8°C in 2075 and minimum temperatures dip from 16.8°C to 16.7°C. Conversely, in the severe (SSP5-8.5) scenario, maximum temperatures climb from 28.2°C to 31°C and minimum temperatures reach 19.8°C by 2075. Optimistic scenarios (SSP1-1.9, SSP1-2.6) show modest temperature increase</w:t>
      </w:r>
    </w:p>
    <w:p>
      <w:pPr/>
      <w:r>
        <w:rPr>
          <w:b/>
        </w:rPr>
        <w:t>POSSIBLE 2026:</w:t>
      </w:r>
      <w:r>
        <w:t xml:space="preserve"> Climatic Variation Impacts on Water Resources Systems with and without Shared Socio-Economic Pathways Consideration – A Review — https://doi.org/10.1007/s11269-026-04876-w</w:t>
      </w:r>
    </w:p>
    <w:p>
      <w:pPr/>
      <w:r>
        <w:rPr>
          <w:b/>
        </w:rPr>
        <w:t>Shared claim-specific concepts:</w:t>
      </w:r>
      <w:r>
        <w:t xml:space="preserve"> shared, pathways, impacts;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Exploring historical discontinuities in global climate scenarios: A model-based reappraisal of the shared socio-economic pathways — https://doi.org/10.1016/j.ecolmodel.2026.111758</w:t>
      </w:r>
    </w:p>
    <w:p>
      <w:pPr/>
      <w:r>
        <w:rPr>
          <w:b/>
        </w:rPr>
        <w:t>Shared claim-specific concepts:</w:t>
      </w:r>
      <w:r>
        <w:t xml:space="preserve"> shared, pathways;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Global pesticide use scenarios up to 2050 along the shared socio-economic pathways — https://doi.org/10.1016/j.crsust.2026.100358</w:t>
      </w:r>
    </w:p>
    <w:p>
      <w:pPr/>
      <w:r>
        <w:rPr>
          <w:b/>
        </w:rPr>
        <w:t>Shared claim-specific concepts:</w:t>
      </w:r>
      <w:r>
        <w:t xml:space="preserve"> shared, socioeconomic, pathways, ssps; EU scope not established. This is a provisional connection, not an outcome finding.</w:t>
      </w:r>
    </w:p>
    <w:p>
      <w:pPr>
        <w:pStyle w:val="SourceNote"/>
      </w:pPr>
      <w:r>
        <w:rPr>
          <w:b/>
        </w:rPr>
        <w:t>Available abstract (not full text):</w:t>
      </w:r>
      <w:r>
        <w:t xml:space="preserve"> Pesticide use has significant advantages in modern agricultural production. However, it can negatively impact human health and ecosystems. Yet, no scenarios exist for possible future pesticide use. We fill this knowledge gap by developing global pesticide use scenarios following the storylines of four Shared Socioeconomic Pathways (SSPs) for six crop types and two pesticides, glyphosate and chlorpyrifos. The global pesticide use scenarios are developed by combining map-based pesticide application rates from the PEST-CHEMGRIDS database with crop harvested area projections from the IMAGE 3.3 integrated assessment model. Crop-specific pesticide use maps identify China, South America, Africa, the USA, and South Asia as future hotspots of pesticide use. Pesticide use increases in SSP2 and SSP3, ranging from 5.2 to 6.5 million tonnes for vegetables and fruits in 2050. Glyphosate use shows an upsurge in SSP2 and SSP3 across global regions, while overall chlorpyrifos use decreases in SSP3, except in some regions. SSP1 shows a reduction in pesticide use by 2050 for certain crops, ranging from −40% for rice to −8% for vegetables and fruits, due to higher environmental regulation, awareness, and technology acceptance, thereby leading to lower pesticide application. Combining SSP1 with the implementation of the low-meat Eat-Lancet diet leads to a reduction in global pesticide use in feed c</w:t>
      </w:r>
    </w:p>
    <w:p>
      <w:pPr>
        <w:pStyle w:val="Heading2"/>
      </w:pPr>
      <w:r>
        <w:t>510. Are the EU climate ambitions reflected on member-state level for greenhouse gas reductions and renewable energy consumption shares?</w:t>
      </w:r>
    </w:p>
    <w:p>
      <w:pPr>
        <w:pStyle w:val="SourceNote"/>
      </w:pPr>
      <w:r>
        <w:rPr>
          <w:b/>
        </w:rPr>
        <w:t>Original source (2022):</w:t>
      </w:r>
      <w:r>
        <w:t xml:space="preserve"> https://doi.org/10.1016/j.esr.2022.100936</w:t>
      </w:r>
    </w:p>
    <w:p>
      <w:pPr/>
      <w:r>
        <w:t>Original wording (abstract; indexed_source_text_not_full_document_verified): Though some countries have consistent targets, the annual GHG reduction rate of the EU has to be tripled up to −3% per year until 2030. The required objective for RES is achievable but the growth rate has to be increased to 2% to fulfill the announced ambitions by 2030.</w:t>
      </w:r>
    </w:p>
    <w:p>
      <w:pPr/>
      <w:r>
        <w:rPr>
          <w:b/>
        </w:rPr>
        <w:t>POSSIBLE 2026:</w:t>
      </w:r>
      <w:r>
        <w:t xml:space="preserve"> Spatial contexts and educational inequalities in European countries — https://doi.org/10.5281/zenodo.18377623</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Despite high overall levels of educational attainment, European countries continue to face persistent inequalities in educational opportunity rooted in social origin. This article synthesizes findings from nine case-study countries in the LEARN project to examine how individual social background, educational systems, and spatial contexts jointly shape educational trajectories. Drawing on high-quality longitudinal survey and register data, the contributions analyse key educational transitions and assess the role of school, classroom, and neighbourhood composition across diverse welfare regimes and tracking structures. Across all countries, individual socioeconomic background emerges as a strong and consistent predictor of educational outcomes. Contextual effects at the school, classroom, and neighbourhood level are also evident, though generally more modest and highly contingent on institutional settings, particularly the timing and rigidity of tracking. Early selection systems substantially limit the potential for later compensatory effects. Overall, the findings highlight the importance of early interventions, institutional design, and policies addressing social and spatial segregation to reduce educational inequalities across Europe.</w:t>
      </w:r>
    </w:p>
    <w:p>
      <w:pPr/>
      <w:r>
        <w:rPr>
          <w:b/>
        </w:rPr>
        <w:t>POSSIBLE 2026:</w:t>
      </w:r>
      <w:r>
        <w:t xml:space="preserve"> Accessible Tourism After the European Accessibility Act: Signalling in Hotels and Private Accommodation Across Four European Union Countries — https://doi.org/10.3390/tourhosp7100343</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The European Accessibility Act (Directive (EU) 2019/882) has applied, since June 2025, extending binding accessibility requirements to the e-commerce infrastructure through which tourism is sold. Whether that obligation is visible in tourism markets remains largely untested, and existing evidence covers hotels alone. Accessibility is examined across three layers in four member states differing in the operational maturity of their accessible tourism policies: Croatia, France, Greece and Portugal. The study documents national programmes and transposition, audits thirty-two tourist board websites and records the features advertised by 400 providers, half hotels and half private accommodation, across twenty cities matched by destination type. Providers in countries with operationally mature programmes advertise more (mean index 1.25 against 0.70 on a 0–10 scale), though with four countries, this compares cases rather than testing a policy effect. The gap between accommodation segments is larger and is measured within cities: private accommodation advertises 0.38 against 1.58 for hotels, in every country and in eighteen of the twenty cities (p &lt; 0.001). Sensory features are advertised by 3.0% of properties against 37.0% for mobility, and one of the twenty-seven audited websites with an assessable listing interface displays accessibility on provider listing cards. The pattern is cons</w:t>
      </w:r>
    </w:p>
    <w:p>
      <w:pPr/>
      <w:r>
        <w:rPr>
          <w:b/>
        </w:rPr>
        <w:t>POSSIBLE 2026:</w:t>
      </w:r>
      <w:r>
        <w:t xml:space="preserve"> GHG emissions of all world countries — https://doi.org/10.2760/7717504</w:t>
      </w:r>
    </w:p>
    <w:p>
      <w:pPr/>
      <w:r>
        <w:rPr>
          <w:b/>
        </w:rPr>
        <w:t>Shared claim-specific concepts:</w:t>
      </w:r>
      <w:r>
        <w:t xml:space="preserve"> countries, ghg, until;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2026:</w:t>
      </w:r>
      <w:r>
        <w:t xml:space="preserve"> Mitigating farm-gate GHG emissions in low- and middle-income countries: The role of agricultural productivity — https://doi.org/10.1007/s11027-026-10316-2</w:t>
      </w:r>
    </w:p>
    <w:p>
      <w:pPr/>
      <w:r>
        <w:rPr>
          <w:b/>
        </w:rPr>
        <w:t>Shared claim-specific concepts:</w:t>
      </w:r>
      <w:r>
        <w:t xml:space="preserve"> countries, consistent, ghg, but, increased; EU scope not established. This is a provisional connection, not an outcome finding.</w:t>
      </w:r>
    </w:p>
    <w:p>
      <w:pPr>
        <w:pStyle w:val="SourceNote"/>
      </w:pPr>
      <w:r>
        <w:rPr>
          <w:b/>
        </w:rPr>
        <w:t>Available abstract (not full text):</w:t>
      </w:r>
      <w:r>
        <w:t xml:space="preserve"> Abstract Agriculture significantly contributes to global greenhouse gas emissions while facing increasing climate risks, raising concerns about balancing mitigation and food security. Productivity improvements consistent with Climate-Smart Agriculture are often seen as a way to reconcile this trade-off, but empirical evidence on their effects across sectors and development levels remains limited. This study examines the relationship between agricultural total factor productivity and emissions across farm-gate, crop, and livestock systems in low- to upper-middle-income countries spanning 1993–2021. Results show that population growth and food production are the primary drivers of emissions, reflecting strong production scale effects. In contrast, higher agricultural total factor productivity generally reduces emissions, partially offsetting pressures from increased output. However, this effect varies by income level and sector. Mitigation benefits are strongest in low-income countries and weaken with development, likely due to diminishing efficiency gains and rebound effects. Sectorally, productivity-driven emission reductions are most robust in crop production, moderate at the aggregate farm-gate level, and weakest in livestock systems, likely due to biological constraints. Overall, agricultural productivity growth can mitigates without compromising food security, but its effec</w:t>
      </w:r>
    </w:p>
    <w:p>
      <w:pPr/>
      <w:r>
        <w:rPr>
          <w:b/>
        </w:rPr>
        <w:t>POSSIBLE 2026:</w:t>
      </w:r>
      <w:r>
        <w:t xml:space="preserve"> The cost and benefit of GHG emissions and default risk — https://doi.org/10.1007/s10479-026-07193-y</w:t>
      </w:r>
    </w:p>
    <w:p>
      <w:pPr/>
      <w:r>
        <w:rPr>
          <w:b/>
        </w:rPr>
        <w:t>Shared claim-specific concepts:</w:t>
      </w:r>
      <w:r>
        <w:t xml:space="preserve"> ghg, reduction, per, increased;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China’s Building Energy Use and GHG Emissions — https://doi.org/10.1007/978-981-95-8200-6_1</w:t>
      </w:r>
    </w:p>
    <w:p>
      <w:pPr/>
      <w:r>
        <w:rPr>
          <w:b/>
        </w:rPr>
        <w:t>Shared claim-specific concepts:</w:t>
      </w:r>
      <w:r>
        <w:t xml:space="preserve"> ghg, rate; EU scope not established. This is a provisional connection, not an outcome finding.</w:t>
      </w:r>
    </w:p>
    <w:p>
      <w:pPr>
        <w:pStyle w:val="SourceNote"/>
      </w:pPr>
      <w:r>
        <w:rPr>
          <w:b/>
        </w:rPr>
        <w:t>Available abstract (not full text):</w:t>
      </w:r>
      <w:r>
        <w:t xml:space="preserve"> In recent years, urbanization has grown rapidly in China. In 2023, China had an urban population of 933 million and a rural population of 477 million, with the urbanization rate rising from 37.7% in 2001 to 66.2%, as shown in Fig. 1.1.</w:t>
      </w:r>
    </w:p>
    <w:p>
      <w:pPr/>
      <w:r>
        <w:rPr>
          <w:b/>
        </w:rPr>
        <w:t>POSSIBLE 2026:</w:t>
      </w:r>
      <w:r>
        <w:t xml:space="preserve"> Pro-environmental behaviour in Europe: A comparison across individuals, countries and time — https://openalex.org/W7160008135</w:t>
      </w:r>
    </w:p>
    <w:p>
      <w:pPr/>
      <w:r>
        <w:rPr>
          <w:b/>
        </w:rPr>
        <w:t>Shared claim-specific concepts:</w:t>
      </w:r>
      <w:r>
        <w:t xml:space="preserve"> countries, consistent, increased;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Monetary Determinants of House Prices in the European Countries — https://doi.org/10.15678/krem.18747</w:t>
      </w:r>
    </w:p>
    <w:p>
      <w:pPr/>
      <w:r>
        <w:rPr>
          <w:b/>
        </w:rPr>
        <w:t>Shared claim-specific concepts:</w:t>
      </w:r>
      <w:r>
        <w:t xml:space="preserve"> though, countries, rate, objective; EU scope visible. This is a provisional connection, not an outcome finding.</w:t>
      </w:r>
    </w:p>
    <w:p>
      <w:pPr>
        <w:pStyle w:val="SourceNote"/>
      </w:pPr>
      <w:r>
        <w:rPr>
          <w:b/>
        </w:rPr>
        <w:t>Available abstract (not full text):</w:t>
      </w:r>
      <w:r>
        <w:t xml:space="preserve"> Objective: The aim of this article is to investigate monetary policy effects on the house prices for the panel of 12 Central and Eastern European (CEE-12) countries, 12 small European countries (EU-12) and 5 largest European countries plus the UK (EU-6). Research Design &amp; Methods: A five-variable Panel Vector Autoregressive (PVAR) model is estimated for quarterly data from 2010Q1 to 2023Q2. Findings: An increase in the short-term interest rate has a depressing effect on the house prices in the European countries, along with higher inflation and exchange rate depreciation (to less extent). An increase of output over the business cycle brings about a temporary decrease in house prices in both CEE-12 and the EU-12 countries. As intuitively expected, a housing boom is expansionary and inflationary in all European countries, though with a different time profile. There is strong evidence of the interest rate response to house prices in the CEE-12 countries and the EU-12 countries (at longer horizons). Implications / Recommendations: This paper supports the proposals for using monetary tightening in response to the boom in the housing market. It is especially the case for the CEE countries where a two-way causality between the short-term interest rates and house prices seems to be particularly strong. Contribution: This paper contributes to studies of stabilisation properties of monet</w:t>
      </w:r>
    </w:p>
    <w:p>
      <w:pPr/>
      <w:r>
        <w:rPr>
          <w:b/>
        </w:rPr>
        <w:t>POSSIBLE 2025:</w:t>
      </w:r>
      <w:r>
        <w:t xml:space="preserve"> Risks and benefits of artificial intelligence deepfakes: Systematic review and comparison of public attitudes in seven European Countries — https://doi.org/10.1016/j.jik.2025.100782</w:t>
      </w:r>
    </w:p>
    <w:p>
      <w:pPr/>
      <w:r>
        <w:rPr>
          <w:b/>
        </w:rPr>
        <w:t>Shared claim-specific concepts:</w:t>
      </w:r>
      <w:r>
        <w:t xml:space="preserve"> though, countries, rate, required; EU scope visible. This is a provisional connection, not an outcome finding.</w:t>
      </w:r>
    </w:p>
    <w:p>
      <w:pPr>
        <w:pStyle w:val="SourceNote"/>
      </w:pPr>
      <w:r>
        <w:rPr>
          <w:b/>
        </w:rPr>
        <w:t>Available abstract (not full text):</w:t>
      </w:r>
      <w:r>
        <w:t xml:space="preserve"> This study provides an evidence-based integrated appraisal of artificial intelligence (AI)-generated deepfakes by integrating a cross-disciplinary literature synthesis with original opinion-poll evidence from seven European countries. A SWOT matrix distils convergent concerns—weaponised disinformation, privacy erosion, and the detection arms race—alongside under-explored opportunities in education, therapy, and creative industries. To test whether these scholarly themes resonate with citizens, a computer-assisted web survey (N = 7,083) measured perceived risks and benefits across 10 specific scenarios for each theme. Correspondence analysis and Bonferroni-adjusted means reveal a pronounced age gradient for benefits, whereas risk perceptions vary by country—younger cohorts are noticeably less alarmed only in Sweden, France, and Czechia. Geographically, Dutch, German, British, and Italian publics prove the most enthusiastic: the United Kingdom (UK) couples similar enthusiasm with markedly higher risk vigilance, whereas Czech and Swedish respondents remain consistently sceptical, underscoring a broad, though imperfect, west/south versus central/north divide. The Netherlands, Germany, the UK, and Italy value pro-social applications (i.e., realistic crisis drills, public-interest campaigns, and therapeutic ‘mental-health’ avatars), with the Netherlands topping four benefit items and</w:t>
      </w:r>
    </w:p>
    <w:p>
      <w:pPr/>
      <w:r>
        <w:rPr>
          <w:b/>
        </w:rPr>
        <w:t>POSSIBLE 2025:</w:t>
      </w:r>
      <w:r>
        <w:t xml:space="preserve"> A framework for 1.5°C-aligned GHG budgets in architecture — https://doi.org/10.5334/bc.664</w:t>
      </w:r>
    </w:p>
    <w:p>
      <w:pPr/>
      <w:r>
        <w:rPr>
          <w:b/>
        </w:rPr>
        <w:t>Shared claim-specific concepts:</w:t>
      </w:r>
      <w:r>
        <w:t xml:space="preserve"> countries, targets, ghg, per; EU scope visible. This is a provisional connection, not an outcome finding.</w:t>
      </w:r>
    </w:p>
    <w:p>
      <w:pPr>
        <w:pStyle w:val="SourceNote"/>
      </w:pPr>
      <w:r>
        <w:rPr>
          <w:b/>
        </w:rPr>
        <w:t>Available abstract (not full text):</w:t>
      </w:r>
      <w:r>
        <w:t xml:space="preserve"> A methodological framework is presented for integrating 1.5°C-aligned greenhouse gas (GHG) budgets into architectural practice. Responding to the urgent need to decarbonise the built environment, this practice-oriented approach is based on the Carbon Risk Real Estate Monitor (CRREM) and the Science-Based Targets initiative (SBTi). The framework enables GHG budgets to be set early, requiring only a functional brief and target completion year as inputs. It establishes absolute GHG budgets per m2 and completion year for eight core building usage categories, allowing the early integration of climate targets in design processes. Mixed-use buildings are addressed through the area-weighted allocation of usage-specific budgets. Although developed for the European context, the framework can be adapted to other countries. The proposed 1.5°C-reduction pathways are compared with national frameworks such as France’s RE 2020 and Denmark’s BR 18, as well as with 20 recent mixed-use projects from a large German architectural practice. Achieving 1.5°C alignment will require halving GHG budgets roughly every seven years, highlighting the need for transformative change in architectural design and construction. Limitations include the use of global embodied carbon benchmarks and the assumption of functional stability over a 50-year reference study period. Practice relevance The proposed framework </w:t>
      </w:r>
    </w:p>
    <w:p>
      <w:pPr/>
      <w:r>
        <w:rPr>
          <w:b/>
        </w:rPr>
        <w:t>POSSIBLE 2025:</w:t>
      </w:r>
      <w:r>
        <w:t xml:space="preserve"> Carbon footprint reduction potential of consumption changes in five European countries in 2015, 2030, and 2050 — https://doi.org/10.1016/j.spc.2025.08.018</w:t>
      </w:r>
    </w:p>
    <w:p>
      <w:pPr/>
      <w:r>
        <w:rPr>
          <w:b/>
        </w:rPr>
        <w:t>Shared claim-specific concepts:</w:t>
      </w:r>
      <w:r>
        <w:t xml:space="preserve"> though, countries, reduction; EU scope visible. This is a provisional connection, not an outcome finding.</w:t>
      </w:r>
    </w:p>
    <w:p>
      <w:pPr>
        <w:pStyle w:val="SourceNote"/>
      </w:pPr>
      <w:r>
        <w:rPr>
          <w:b/>
        </w:rPr>
        <w:t>Available abstract (not full text):</w:t>
      </w:r>
      <w:r>
        <w:t xml:space="preserve"> Limiting global warming to 1.5 °C requires extensive socioeconomic and technological transformations. With approximately two-thirds of global greenhouse gas emissions linked to household consumption, reducing demand-side emissions through low-carbon lifestyle changes is critical. While major emissions hotspots and high-impact consumption changes are known, a cross-country prospective analysis of their emissions reduction potential has been missing. This study quantifies the avoided greenhouse gas emissions from 47 consumption changes across five diverse European countries. We assess how socioeconomic and technological changes influence emissions reduction potentials by comparing such potentials in a baseline year (2015) with those in 2030 and 2050 under a sustainable development scenario. Our findings highlight that the most effective mitigation options involve reducing conventional vehicle use, decarbonizing household heating, and shifting to predominantly plant-based diets. Though country-specific variation exists, we observed that the emissions reduction potentials of many consumption changes evolve proportionally to technological changes. Behaviors involving direct fossil fuel combustion, such as car travel or fossil-fueled heating, remain largely unabated by technological shifts without lifestyle change, thus increasing in relative mitigation potential. Changes relying on </w:t>
      </w:r>
    </w:p>
    <w:p>
      <w:pPr/>
      <w:r>
        <w:rPr>
          <w:b/>
        </w:rPr>
        <w:t>POSSIBLE 2024:</w:t>
      </w:r>
      <w:r>
        <w:t xml:space="preserve"> Investigating the heterogeneity within Wild bird indices in Europe — https://doi.org/10.1016/j.biocon.2024.110452</w:t>
      </w:r>
    </w:p>
    <w:p>
      <w:pPr/>
      <w:r>
        <w:rPr>
          <w:b/>
        </w:rPr>
        <w:t>Shared claim-specific concepts:</w:t>
      </w:r>
      <w:r>
        <w:t xml:space="preserve"> though, countries, consistent;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pStyle w:val="Heading2"/>
      </w:pPr>
      <w:r>
        <w:t>511. Balancing GHG mitigation and land-use conflicts: Alternative Northern European energy system scenarios</w:t>
      </w:r>
    </w:p>
    <w:p>
      <w:pPr>
        <w:pStyle w:val="SourceNote"/>
      </w:pPr>
      <w:r>
        <w:rPr>
          <w:b/>
        </w:rPr>
        <w:t>Original source (2022):</w:t>
      </w:r>
      <w:r>
        <w:t xml:space="preserve"> https://doi.org/10.1016/j.apenergy.2022.118557</w:t>
      </w:r>
    </w:p>
    <w:p>
      <w:pPr/>
      <w:r>
        <w:t>Original wording (abstract; indexed_source_text_not_full_document_verified): The results show that the least-cost solution requires 1.2%–3.6% of the land in the modeled countries in 2040 for onshore wind and solar PV installations. Nuclear energy may also be an option if both onshore and offshore areas are to be reduced, or in a less flexible system.</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land, also, less;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Geospatial Planning for Least-Cost Electrification in Developing Countries — https://doi.org/10.3390/en18071784</w:t>
      </w:r>
    </w:p>
    <w:p>
      <w:pPr/>
      <w:r>
        <w:rPr>
          <w:b/>
        </w:rPr>
        <w:t>Shared claim-specific concepts:</w:t>
      </w:r>
      <w:r>
        <w:t xml:space="preserve"> least-cost, countries, also, both; EU scope not established. This is a provisional connection, not an outcome finding.</w:t>
      </w:r>
    </w:p>
    <w:p>
      <w:pPr>
        <w:pStyle w:val="SourceNote"/>
      </w:pPr>
      <w:r>
        <w:rPr>
          <w:b/>
        </w:rPr>
        <w:t>Available abstract (not full text):</w:t>
      </w:r>
      <w:r>
        <w:t xml:space="preserve"> This paper presents two innovative procedures developed for rural electrification planning. To address the challenges of processing vast geospatial data, handling complex and computationally intensive network design, and making detailed yet accessible economic assessments, this work introduces a Buffering plugin for community identification and a Grid Routing and Cost Allocation plugin for network design and economic assessment, both integrated into the open-source QGIS platform. The first enables the identification of potential electrification zones through dual methodologies, while the second introduces three key processes: hierarchical clustering, a modified minimum spanning tree, and a novel cost allocation methodology that provides village-specific LCOE calculations. Testing in Zambia has proven that this approach is not only effective but also—compared to existing tools—offers significant advantages in terms of computational efficiency and accessibility, while providing practical solutions to large-scale challenges. This synergistic approach enables planners to move from granular geospatial data to actionable electrification decisions through a streamlined process. The analysis covered over 3 million buildings, grouped into 162,142 settlement clusters, and subsequently determined optimal electrification strategies for 3025 villages—40.4% connected to grid extensions and 5</w:t>
      </w:r>
    </w:p>
    <w:p>
      <w:pPr/>
      <w:r>
        <w:rPr>
          <w:b/>
        </w:rPr>
        <w:t>POSSIBLE 2025:</w:t>
      </w:r>
      <w:r>
        <w:t xml:space="preserve"> Endogenous transformation of land transport in Europe for different climate targets — https://doi.org/10.1016/j.enconman.2025.120203</w:t>
      </w:r>
    </w:p>
    <w:p>
      <w:pPr/>
      <w:r>
        <w:rPr>
          <w:b/>
        </w:rPr>
        <w:t>Shared claim-specific concepts:</w:t>
      </w:r>
      <w:r>
        <w:t xml:space="preserve"> show, land, modeled, countries, wind, solar; EU scope visible. This is a provisional connection, not an outcome finding.</w:t>
      </w:r>
    </w:p>
    <w:p>
      <w:pPr>
        <w:pStyle w:val="SourceNote"/>
      </w:pPr>
      <w:r>
        <w:rPr>
          <w:b/>
        </w:rPr>
        <w:t>Available abstract (not full text):</w:t>
      </w:r>
      <w:r>
        <w:t xml:space="preserve"> Road transport is responsible for about a quarter of Europe’s greenhouse gas emissions, making its transformation a crucial part of Europe’s overall decarbonization goals. Current European policies promote decarbonizing the transport sector and passenger car sales show an increased adoption of electric vehicles. Full electrification of land transport will significantly increase the average electricity demand, but the use of smart charging and vehicle-to-grid could provide additional flexibility to balance wind and solar generation. This study focuses on cost-optimal transition pathways of the European land transport sector embedded in the sector-coupled open energy model PyPSA-Eur. The land transport sector is modeled comprising fossil-fueled, hydrogen-fueled, and electric cars using a 3-hour time resolution for a full year and covering 33 interconnected European countries. The transformation path from 2025 to 2050 is analyzed under different carbon budgets corresponding to a 1.7 °Celsius and 2 °Celsius temperature increase. The results show that rapid electrification of road transport reduces the total system cost, even in the absence of climate targets. There is a clear preference for rapidly decommissioning internal combustion engine vehicles and using electric vehicles in all countries and under all carbon budgets. Allowing smart charging of electric vehicles decreases the </w:t>
      </w:r>
    </w:p>
    <w:p>
      <w:pPr/>
      <w:r>
        <w:rPr>
          <w:b/>
        </w:rPr>
        <w:t>POSSIBLE 2025:</w:t>
      </w:r>
      <w:r>
        <w:t xml:space="preserve"> Assimilating ESA CCI land surface temperature into the ORCHIDEE land surface model: insights from a multi-site study across Europe — https://doi.org/10.5194/hess-29-261-2025</w:t>
      </w:r>
    </w:p>
    <w:p>
      <w:pPr/>
      <w:r>
        <w:rPr>
          <w:b/>
        </w:rPr>
        <w:t>Shared claim-specific concepts:</w:t>
      </w:r>
      <w:r>
        <w:t xml:space="preserve"> land, modeled, energy, also, both, system; EU scope visible. This is a provisional connection, not an outcome finding.</w:t>
      </w:r>
    </w:p>
    <w:p>
      <w:pPr>
        <w:pStyle w:val="SourceNote"/>
      </w:pPr>
      <w:r>
        <w:rPr>
          <w:b/>
        </w:rPr>
        <w:t>Available abstract (not full text):</w:t>
      </w:r>
      <w:r>
        <w:t xml:space="preserve"> Abstract. Land surface temperature (LST) plays an essential role in water and energy exchanges between Earth’s surface and atmosphere. Recent advancements in high-quality satellite-derived LST data and land data assimilation systems present a unique opportunity to bridge the gap between global observational data and land surface models (LSMs) to better constrain the water/energy budgets in a changing climate. In this vein, this study focuses on the assimilation of the ESA-CCI LST product into the ORCHIDEE LSM (the continental part of the IPSL Earth System Model) with the aim of optimizing key parameters to improve the simulations of LST and surface energy fluxes. We use the land data assimilation system for the ORCHIDEE model (ORCHIDAS) to conduct a series of synthetic twin data assimilation experiments accounting for real data availability and uncertainty from ESA-CCI LST to find an optimal strategy for assimilating LST. Here, we test different strategies of assimilation, notably investigating: i) two optimization methods (random-search and gradient-based) and ii) different ways to assimilate LST using the only raw data and/or different characteristics of the LST diurnal cycle (e.g. mean daily, daily amplitude, maximum and minimum temperatures, morning and afternoon gradients). Upon identifying the optimal approach, we use it to assimilate ESA-CCI LST data across 34 sites in E</w:t>
      </w:r>
    </w:p>
    <w:p>
      <w:pPr/>
      <w:r>
        <w:rPr>
          <w:b/>
        </w:rPr>
        <w:t>POSSIBLE 2025:</w:t>
      </w:r>
      <w:r>
        <w:t xml:space="preserve"> Estimating the Economic Cost of Land Degradation and Desertification in Morocco — https://doi.org/10.3390/land14040837</w:t>
      </w:r>
    </w:p>
    <w:p>
      <w:pPr/>
      <w:r>
        <w:rPr>
          <w:b/>
        </w:rPr>
        <w:t>Shared claim-specific concepts:</w:t>
      </w:r>
      <w:r>
        <w:t xml:space="preserve"> land, wind; EU scope not established. This is a provisional connection, not an outcome finding.</w:t>
      </w:r>
    </w:p>
    <w:p>
      <w:pPr>
        <w:pStyle w:val="SourceNote"/>
      </w:pPr>
      <w:r>
        <w:rPr>
          <w:b/>
        </w:rPr>
        <w:t>Available abstract (not full text):</w:t>
      </w:r>
      <w:r>
        <w:t xml:space="preserve"> Desertification affects over 90% of Moroccan territory, leading to soil degradation that reduces agricultural productivity, diminishes biodiversity, and alters environmental functions. This study estimates the total economic cost of desertification in Morocco using a zonal approach based on regional sensitivity. The methodology includes two stages: quantifying productivity losses from water and wind erosion, salinization, overgrazing, silting of dams, carbon storage loss, and land-use changes; and monetizing impacts using methods such as productivity change, replacement cost, and the social cost of carbon. The total cost is estimated at USD 2.1 billion per year, with 78.02% from agricultural and grazing land productivity losses, 2.95% from dam silting, 18.47% from carbon storage loss, and 0.56% from land-use changes. These findings underscore the urgency of public policies, including land use planning, sustainable agriculture, irrigation modernization, and community engagement. Drawing on successful initiatives in the MENA region and globally, Morocco can mitigate desertification’s impacts and foster sustainable development.</w:t>
      </w:r>
    </w:p>
    <w:p>
      <w:pPr/>
      <w:r>
        <w:rPr>
          <w:b/>
        </w:rPr>
        <w:t>POSSIBLE 2025:</w:t>
      </w:r>
      <w:r>
        <w:t xml:space="preserve"> The Cost-Effectiveness of Renewable Energy Sources in the European Union’s Ecological Economic Framework — https://doi.org/10.3390/su17104715</w:t>
      </w:r>
    </w:p>
    <w:p>
      <w:pPr/>
      <w:r>
        <w:rPr>
          <w:b/>
        </w:rPr>
        <w:t>Shared claim-specific concepts:</w:t>
      </w:r>
      <w:r>
        <w:t xml:space="preserve"> countries, onshore, wind, solar, energy, offshore; EU scope visible. This is a provisional connection, not an outcome finding.</w:t>
      </w:r>
    </w:p>
    <w:p>
      <w:pPr>
        <w:pStyle w:val="SourceNote"/>
      </w:pPr>
      <w:r>
        <w:rPr>
          <w:b/>
        </w:rPr>
        <w:t>Available abstract (not full text):</w:t>
      </w:r>
      <w:r>
        <w:t xml:space="preserve"> Evaluating the competitiveness of electricity is the most important issue. The main aim of this study was to determine the cost-effectiveness of renewable energy production in the European Union (EU) using the levelized cost competitiveness of renewable energy sources. The weighted average cost of capital (WACC) for onshore wind was calculated for European (EU) countries. The levelized cost of electricity (LCOE) approach was used to evaluate the energy costs of renewable energy sources. Energy production costs were compared across different technologies. The capital expenditures associated with solar PV are expected to decrease from USD 810/kW in 2021 to USD 360/kW in 2050. The power factor will remain stable at 14% during the analyzed period. Fuel, CO2, and operation and maintenance (O&amp;M) costs will be maintained at USD 10/MWh at all three time points of the analysis (2021, 2030, and 2050), whereas the LCOE will decrease from USD 50/MWh in 2021 to USD 25/MWh in 2050. The capital expenditures associated with onshore wind energy will decrease from USD 1590/kW in 2021 to USD 1410/kW in 2050. The power factor will increase from 29% to 30%, and fuel, CO2, and O&amp;M costs will reach USD 15/MWh in all three years. The LCOE will decrease from USD 55/MWh in 2021 to USD 45/MWh in 2050. In offshore wind projects, capital expenditures are expected to decrease considerably from USD 3040/kW i</w:t>
      </w:r>
    </w:p>
    <w:p>
      <w:pPr/>
      <w:r>
        <w:rPr>
          <w:b/>
        </w:rPr>
        <w:t>POSSIBLE 2025:</w:t>
      </w:r>
      <w:r>
        <w:t xml:space="preserve"> Land of opportunities: aligning organic farming and conservation targets in Europe — https://doi.org/10.1080/09640568.2025.2504520</w:t>
      </w:r>
    </w:p>
    <w:p>
      <w:pPr/>
      <w:r>
        <w:rPr>
          <w:b/>
        </w:rPr>
        <w:t>Shared claim-specific concepts:</w:t>
      </w:r>
      <w:r>
        <w:t xml:space="preserve"> land, both, areas, less; EU scope visible. This is a provisional connection, not an outcome finding.</w:t>
      </w:r>
    </w:p>
    <w:p>
      <w:pPr>
        <w:pStyle w:val="SourceNote"/>
      </w:pPr>
      <w:r>
        <w:rPr>
          <w:b/>
        </w:rPr>
        <w:t>Available abstract (not full text):</w:t>
      </w:r>
      <w:r>
        <w:t xml:space="preserve"> In the face of growing environmental challenges, the European Green Deal sets ambitious targets for 2030, including strictly protecting 10% of the EU’s land area and expanding organic farming to 25% of agricultural land. To navigate the potentially competing land use demands of these goals, we develop a spatially explicit partial equilibrium model that analyzes the implementation of these targets both independently and concurrently at the EU and national levels. Results indicate that the 25% organic farming target is the restricting constraint with high marginal costs, leading to less cropland use, higher land prices, and higher farming revenues. Consumers would see an increase in average commodity prices of up to 50%. Policy instruments could counteract these effects to ensure the acceptance and increased demand for organic products and reduce environmental leakage to the rest of the world. Less than 1% of cropland area in the EU is needed to fulfill the strict protection target. Hence, the co-fulfillment of both targets incurs minimal land-use conflicts. Half of the newly strictly protected areas are re-designations of already protected areas. Thus, a comprehensive approach that combines expansion with proper management is crucial to achieving conservation goals. This study highlights the need for a comprehensive approach that balances biodiversity conservation and agricultur</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countries, onshore, wind;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show, wind, solar, energy, system;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A Cost Effective Solution to an Automated Valet Parking System — https://doi.org/10.1007/s12239-024-00031-9</w:t>
      </w:r>
    </w:p>
    <w:p>
      <w:pPr/>
      <w:r>
        <w:rPr>
          <w:b/>
        </w:rPr>
        <w:t>Shared claim-specific concepts:</w:t>
      </w:r>
      <w:r>
        <w:t xml:space="preserve"> solution, requires, system; EU scope not established. This is a provisional connection, not an outcome finding.</w:t>
      </w:r>
    </w:p>
    <w:p>
      <w:pPr>
        <w:pStyle w:val="SourceNote"/>
      </w:pPr>
      <w:r>
        <w:rPr>
          <w:b/>
        </w:rPr>
        <w:t>Available abstract (not full text):</w:t>
      </w:r>
      <w:r>
        <w:t xml:space="preserve"> Abstract Automated Valet Parking Systems (AVPS) relieve the driver of the entire parking process. Many of the systems known today rely on a combination of automotive sensors with sensors of the infrastructure. For this purpose, parking facilities are equipped with comprehensive sensor technology to support the vehicles in environment sensing and route planning. This approach is comparatively expensive which is why many parking operators don’t provide that technology to their customers. This paper proposes a lean AVPS system architecture that requires minimal effort to adapt the infrastructure. At the same time, state-of-the-art vehicle technology is used to make AVPS more profitable overall. At the beginning, an overview will be given describing the state of the art of AVPS. Subsequently, requirements for the AVPS will be elaborated, whereby the system can be designed and implemented in the following. Finally, the presentation of simulation results shows that one doesn’t have to extend the infrastructure with sensors to develop a safe and reliable AVPS.</w:t>
      </w:r>
    </w:p>
    <w:p>
      <w:pPr/>
      <w:r>
        <w:rPr>
          <w:b/>
        </w:rPr>
        <w:t>POSSIBLE 2024:</w:t>
      </w:r>
      <w:r>
        <w:t xml:space="preserve"> Modelling the effect of land use and crop changes on water harvesting agricultural reservoirs — https://doi.org/10.5194/egusphere-egu24-936</w:t>
      </w:r>
    </w:p>
    <w:p>
      <w:pPr/>
      <w:r>
        <w:rPr>
          <w:b/>
        </w:rPr>
        <w:t>Shared claim-specific concepts:</w:t>
      </w:r>
      <w:r>
        <w:t xml:space="preserve"> solution, land, less; EU scope visible. This is a provisional connection, not an outcome finding.</w:t>
      </w:r>
    </w:p>
    <w:p>
      <w:pPr>
        <w:pStyle w:val="SourceNote"/>
      </w:pPr>
      <w:r>
        <w:rPr>
          <w:b/>
        </w:rPr>
        <w:t>Available abstract (not full text):</w:t>
      </w:r>
      <w:r>
        <w:t xml:space="preserve"> Water harvesting with Small Agricultural Reservoirs (SmAR) represents a solution for sustainable water management at a global scale. Early estimates showed that globally there were about 277,400,000 SmAR with an area of less than one hectare, and 24,120,000 water bodies between one and 10 hectares, representing more than 90% of the world’s standing water bodies. One of the most relevant challenges for the sustainable management of SmAR is represented by the loss of storage volume caused by the inflow of sediments. However, the analysis of the dynamics of sedimentation for SmAR received relatively little interest so far in the Mediterranean and on a global scale.The purpose of this study is to implement a fully calibrated and validated model simulating the hydrology and erosion dynamics of the catchment of a SmAR in the Tuscany Region (Italy). The area is in the hilly area of Crete Senesi, about 15 km from Siena, where wine production is particularly developed, but not within the catchment of study, where the cultivation of cereals, renewal crops, and forage is practiced and there is a large grazing area. Our analysis aimed at estimating how much the rate of sediment accumulation in the reservoir would vary with the replacement of currently arable land with vineyards.A model was implemented on the HEC-HMS software, maximizing the value of existent low-cost data (Google Earth ima</w:t>
      </w:r>
    </w:p>
    <w:p>
      <w:pPr/>
      <w:r>
        <w:rPr>
          <w:b/>
        </w:rPr>
        <w:t>POSSIBLE 2024:</w:t>
      </w:r>
      <w:r>
        <w:t xml:space="preserve"> Cost‐effective use of abandoned agricultural land for biofuel production — https://doi.org/10.1111/gcbb.13165</w:t>
      </w:r>
    </w:p>
    <w:p>
      <w:pPr/>
      <w:r>
        <w:rPr>
          <w:b/>
        </w:rPr>
        <w:t>Shared claim-specific concepts:</w:t>
      </w:r>
      <w:r>
        <w:t xml:space="preserve"> show, land, also, both, reduced, less; EU scope visible. This is a provisional connection, not an outcome finding.</w:t>
      </w:r>
    </w:p>
    <w:p>
      <w:pPr>
        <w:pStyle w:val="SourceNote"/>
      </w:pPr>
      <w:r>
        <w:rPr>
          <w:b/>
        </w:rPr>
        <w:t>Available abstract (not full text):</w:t>
      </w:r>
      <w:r>
        <w:t xml:space="preserve"> Abstract Biofuel can be used to abate greenhouse gas emissions in the transport sector, by replacing fossil fuel. To avoid the problem of competition with food production, the use of abandoned agricultural land (AAL) for production of the feedstock for biofuel has been proposed. AAL has generally low productivity but has also low opportunity costs, and production of perennial bioenergy crops on it can lead to carbon sequestration. A spatially explicit optimization model of biofuel production and transport fuel consumption, applied to Sweden, was used for an analysis of how AAL can alter costs for greenhouse gas emissions abatement. Results show that, compared to the case without AAL, AAL could decrease the costs of reducing greenhouse gas emissions by 29%, for emissions reductions equivalent to 50% of current emissions from gasoline in Sweden. The carbon sequestration from establishing perennial bioenergy crops on AAL is the main driver of the positive results. High carbon sequestration on AAL implies larger emissions reduction for a given volume of biofuel, and the results show that the total biofuel production can be both smaller and larger with AAL. The use of arable land for biofuel production is generally smaller with AAL, but larger at some of the highest analyzed target levels. The low AAL feedstock costs contribute to lower costs of the total biofuel production, which p</w:t>
      </w:r>
    </w:p>
    <w:p>
      <w:pPr>
        <w:pStyle w:val="Heading2"/>
      </w:pPr>
      <w:r>
        <w:t>512. Business ecosystems and the view from the future: The use of corporate foresight by stakeholders of the Ro-Ro shipping ecosystem in the Baltic Sea Region</w:t>
      </w:r>
    </w:p>
    <w:p>
      <w:pPr>
        <w:pStyle w:val="SourceNote"/>
      </w:pPr>
      <w:r>
        <w:rPr>
          <w:b/>
        </w:rPr>
        <w:t>Original source (2022):</w:t>
      </w:r>
      <w:r>
        <w:t xml:space="preserve"> https://doi.org/10.1016/j.techfore.2022.121966</w:t>
      </w:r>
    </w:p>
    <w:p>
      <w:pPr/>
      <w:r>
        <w:t>Original wording (abstract; indexed_source_text_not_full_document_verified): Corporate foresight tools, as applied to an ecosystem: 1) Target a diverse set of ecosystem actors beyond the segment's focal firm, including complementary firms, investors, and non-market actors; 2) Engage ecosystem actors, rather than only the focal firm, in shared strategy development based on a diverse mix of foresight tools; and 3) serve to orient and reify the ecosystem by charting the collective anticipation of innovations, policies, etc., in a shared set of future options.</w:t>
      </w:r>
    </w:p>
    <w:p>
      <w:pPr/>
      <w:r>
        <w:rPr>
          <w:b/>
        </w:rPr>
        <w:t>POSSIBLE 2026:</w:t>
      </w:r>
      <w:r>
        <w:t xml:space="preserve"> Corporate foresight and innovation: The mediating role of innovation culture — https://openalex.org/W7221733502</w:t>
      </w:r>
    </w:p>
    <w:p>
      <w:pPr/>
      <w:r>
        <w:rPr>
          <w:b/>
        </w:rPr>
        <w:t>Shared claim-specific concepts:</w:t>
      </w:r>
      <w:r>
        <w:t xml:space="preserve"> corporate, foresight, complementary; EU scope visible. This is a provisional connection, not an outcome finding.</w:t>
      </w:r>
    </w:p>
    <w:p>
      <w:pPr>
        <w:pStyle w:val="SourceNote"/>
      </w:pPr>
      <w:r>
        <w:rPr>
          <w:b/>
        </w:rPr>
        <w:t>Available abstract (not full text):</w:t>
      </w:r>
      <w:r>
        <w:t xml:space="preserve"> In an era characterized by rapid and unpredictable change, corporate foresight has become increasingly important as a strategic tool to promote innovation. Nonetheless, questions persist about how effectively organizations leverage corporate foresight to enhance new product portfolio innovativeness (NPI). This doctoral investigation addresses this gap by posing the following research question: How does corporate foresight relate to NPI? Accordingly, the purpose of this study is to examine the relationship between corporate foresight and NPI and to explore the mediating role of innovation culture and the moderating effect of environmental uncertainty (EU). This empirical investigation employed a cross- sectional quantitative design. The hypotheses were evaluated through a survey of 113 companies in Colombia's food and beverage sector, and the results were analyzed using partial least squares structural equation modeling (PLS-SEM). The findings indicate a significant association between corporate foresight and NPI, with innovation culture serving as a complementary mediator. Moreover, corporate foresight is positively associated with innovation culture. However, no evidence was found for the moderating effect of EU. This doctoral research contributes to the body of knowledge on business management by addressing a gap in the literature on the mechanisms that link corporate foresig</w:t>
      </w:r>
    </w:p>
    <w:p>
      <w:pPr/>
      <w:r>
        <w:rPr>
          <w:b/>
        </w:rPr>
        <w:t>POSSIBLE 2026:</w:t>
      </w:r>
      <w:r>
        <w:t xml:space="preserve"> Anticipating tomorrow: The role of corporate foresight and prospective sensemaking in managing digital changes by established organizations — https://doi.org/10.1111/emre.70054</w:t>
      </w:r>
    </w:p>
    <w:p>
      <w:pPr/>
      <w:r>
        <w:rPr>
          <w:b/>
        </w:rPr>
        <w:t>Shared claim-specific concepts:</w:t>
      </w:r>
      <w:r>
        <w:t xml:space="preserve"> corporate, foresight, tools; EU scope visible. This is a provisional connection, not an outcome finding.</w:t>
      </w:r>
    </w:p>
    <w:p>
      <w:pPr>
        <w:pStyle w:val="SourceNote"/>
      </w:pPr>
      <w:r>
        <w:rPr>
          <w:b/>
        </w:rPr>
        <w:t>Available abstract (not full text):</w:t>
      </w:r>
      <w:r>
        <w:t xml:space="preserve"> Abstract In the digital era, established organizations face significant challenges in adapting to unfolding changes. This study explores the reciprocal relationship between prospective sensemaking and corporate foresight within a large European bank engaged in digital transformation through its corporate accelerator program. By employing a qualitative single‐case study design, this research explores how an established organization interprets and responds to digital changes, fostering innovation, and strategic flexibility. Data were collected through 38 semi‐structured interviews with top and middle managers from the bank, its corporate accelerators, and the startups they support. Our findings reveal that environmental scanning, making sense of the future, and reflexive influencing support the development of corporate foresight capabilities, which in turn facilitate organizational adaptation to digital changes. The study also highlights the crucial role of corporate accelerators as strategic tools in navigating the complexities of digital transformation, emphasizing the importance of an innovative culture for maintaining competitiveness.</w:t>
      </w:r>
    </w:p>
    <w:p>
      <w:pPr/>
      <w:r>
        <w:rPr>
          <w:b/>
        </w:rPr>
        <w:t>POSSIBLE 2026:</w:t>
      </w:r>
      <w:r>
        <w:t xml:space="preserve"> Foresight: the general course. Foresight technology as a tool for innovative development — https://doi.org/10.12737/2223654</w:t>
      </w:r>
    </w:p>
    <w:p>
      <w:pPr/>
      <w:r>
        <w:rPr>
          <w:b/>
        </w:rPr>
        <w:t>Shared claim-specific concepts:</w:t>
      </w:r>
      <w:r>
        <w:t xml:space="preserve"> corporate, foresight, applied, including; EU scope not established. This is a provisional connection, not an outcome finding.</w:t>
      </w:r>
    </w:p>
    <w:p>
      <w:pPr>
        <w:pStyle w:val="SourceNote"/>
      </w:pPr>
      <w:r>
        <w:rPr>
          <w:b/>
        </w:rPr>
        <w:t>Available abstract (not full text):</w:t>
      </w:r>
      <w:r>
        <w:t xml:space="preserve"> The basics of foresight are considered as a specific form of forecasting the most important areas of research in which technologies that are significant for society may appear. Foresight is also presented as a socio-humanitarian technology for creating an image of the future in a particular field. The role of foresight in innovative development and strategic planning is revealed. The foresight methodology is presented. The foresight project management is considered, the main stages of its implementation are presented. The features of different types of foresight, including regional and corporate ones, are revealed. The possibility of conducting an individual foresight is substantiated, and the technology for conducting it has been developed. The content of the textbook corresponds to the federal state educational standards of higher education of the latest generation. It is intended for Master's degree students studying in the fields of Economics, Management and Applied Informatics, and for anyone interested in modern management.</w:t>
      </w:r>
    </w:p>
    <w:p>
      <w:pPr/>
      <w:r>
        <w:rPr>
          <w:b/>
        </w:rPr>
        <w:t>POSSIBLE 2026:</w:t>
      </w:r>
      <w:r>
        <w:t xml:space="preserve"> Double AI Simulations Supported by Synthetic Data in Smart Tourism Innovation for Corporate Foresight — https://doi.org/10.4324/9781003661368-11</w:t>
      </w:r>
    </w:p>
    <w:p>
      <w:pPr/>
      <w:r>
        <w:rPr>
          <w:b/>
        </w:rPr>
        <w:t>Shared claim-specific concepts:</w:t>
      </w:r>
      <w:r>
        <w:t xml:space="preserve"> corporate, foresight, applied, only; EU scope not established. This is a provisional connection, not an outcome finding.</w:t>
      </w:r>
    </w:p>
    <w:p>
      <w:pPr>
        <w:pStyle w:val="SourceNote"/>
      </w:pPr>
      <w:r>
        <w:rPr>
          <w:b/>
        </w:rPr>
        <w:t>Available abstract (not full text):</w:t>
      </w:r>
      <w:r>
        <w:t xml:space="preserve"> This chapter aims to demonstrate how AI-on-AI systems enhanced with synthetic data can support companies operating in the tourism sector in simultaneously developing their innovation capabilities, corporate foresight, and risk management. The chapter presents the concept of EWS and the role of AI-on-AI solutions, in which two AI models collaborate: one focuses on forecasting and early risk detection, while the other is utilised for strategic simulations and decision support. The application of AI functions as a tool for proactive decision-making and resilience through strategic simulations and EWS. Three case studies empirically confirm the effectiveness of the concept. AI can only reach its full potential when it is applied in a strategically integrated, ethical, human-centred, and transparent way. The chapter also addresses the usability of synthetic data as a tool for both data protection and innovation. The approach presented may contribute to a sustainable, resilient, and competitive vision for the future of tourism, while strengthening the role of local communities and businesses in the digital transition. The conclusions highlight the importance of responsible AI use for sustainable and inclusive development. The chapter concludes with recommendations for future research directions and a summary of the chapter’s key messages.</w:t>
      </w:r>
    </w:p>
    <w:p>
      <w:pPr/>
      <w:r>
        <w:rPr>
          <w:b/>
        </w:rPr>
        <w:t>POSSIBLE 2026:</w:t>
      </w:r>
      <w:r>
        <w:t xml:space="preserve"> Evaluating the Role of Strategic Foresight in Enhancing Corporate Governance: An Analytical Study at the Baghdad Provincial Council — https://doi.org/10.59992/ijfaes.2026.v5n4p4</w:t>
      </w:r>
    </w:p>
    <w:p>
      <w:pPr/>
      <w:r>
        <w:rPr>
          <w:b/>
        </w:rPr>
        <w:t>Shared claim-specific concepts:</w:t>
      </w:r>
      <w:r>
        <w:t xml:space="preserve"> corporate, foresight, including; EU scope not established. This is a provisional connection, not an outcome finding.</w:t>
      </w:r>
    </w:p>
    <w:p>
      <w:pPr>
        <w:pStyle w:val="SourceNote"/>
      </w:pPr>
      <w:r>
        <w:rPr>
          <w:b/>
        </w:rPr>
        <w:t>Available abstract (not full text):</w:t>
      </w:r>
      <w:r>
        <w:t xml:space="preserve"> This study aims to examine the relationship of correlation and impact between strategic foresight as an independent (explanatory) variable and corporate governance as a dependent (responsive) variable, through their respective dimensions. The dimensions of strategic foresight include environmental scanning, strategic choice, and integration capability, while the dimensions of corporate governance comprise the effective governance framework, board of directors’ responsibilities, the role of stakeholders in organizational governance, as well as disclosure and transparency. The study was conducted at the Baghdad Provincial Council. The study population included all departments and committees within the Council. A purposive sample was selected, consisting of administrative leaders, including directors, heads of departments, officials of divisions and units, and heads of permanent committees (such as the Health Committee, Electricity Committee, Services Committee, etc.). The researcher adopted a descriptive-analytical approach. A questionnaire was used as the primary data collection tool, consisting of (42) items distributed across the study variables. The number of valid responses analyzed reached (77) out of (85) distributed questionnaires, in addition to diagnosing the actual situation of the organization under study. The study was guided by the following central question: To wha</w:t>
      </w:r>
    </w:p>
    <w:p>
      <w:pPr/>
      <w:r>
        <w:rPr>
          <w:b/>
        </w:rPr>
        <w:t>POSSIBLE 2026:</w:t>
      </w:r>
      <w:r>
        <w:t xml:space="preserve"> Decision-Oriented Foresight for Transforming Entrepreneurial Ecosystems toward 2040 — https://doi.org/10.24023/futurejournal/2175-5825/2026.v18i1.986</w:t>
      </w:r>
    </w:p>
    <w:p>
      <w:pPr/>
      <w:r>
        <w:rPr>
          <w:b/>
        </w:rPr>
        <w:t>Shared claim-specific concepts:</w:t>
      </w:r>
      <w:r>
        <w:t xml:space="preserve"> foresight, applied, ecosystem; EU scope not established. This is a provisional connection, not an outcome finding.</w:t>
      </w:r>
    </w:p>
    <w:p>
      <w:pPr>
        <w:pStyle w:val="SourceNote"/>
      </w:pPr>
      <w:r>
        <w:rPr>
          <w:b/>
        </w:rPr>
        <w:t>Available abstract (not full text):</w:t>
      </w:r>
      <w:r>
        <w:t xml:space="preserve"> Objective: This study aims to identify and operationalize the most strategic future scenario for transforming Ecuador’s entrepreneurial ecosystem toward 2040, addressing the gap between high entrepreneurial activity and limited structural transformation through a decision-oriented foresight approach. Originality/Value: The article advances strategic foresight by shifting the focus from scenario construction to scenario selection and commitment. It introduces a transparent and replicable framework that integrates participatory criteria definition and multi-criteria decision analysis to legitimize strategic choice in fragmented and uncertain contexts. Methods: A multi-method design was applied. Causal Layered Analysis was used to construct four alternative future scenarios. A high-competence expert panel was selected using the K coefficient method. Strategic evaluation criteria were prioritized through the Régnier Abacus, and scenarios were ranked using the Analytic Hierarchy Process. The selected scenario was operationalized through strategic roadmapping with backcasting to 2040. Results: The results identify a science- and technology-based entrepreneurial ecosystem as the most strategic scenario, achieving the highest global priority by balancing relevance, feasibility, desirability, and transformative capacity. Relevance and feasibility were weighted more strongly than radical</w:t>
      </w:r>
    </w:p>
    <w:p>
      <w:pPr/>
      <w:r>
        <w:rPr>
          <w:b/>
        </w:rPr>
        <w:t>POSSIBLE 2026:</w:t>
      </w:r>
      <w:r>
        <w:t xml:space="preserve"> Architecting Multi-Agent Generative AI Ecosystems for Predictive Market Simulation and Strategic Foresight — https://doi.org/10.48175/ijarsct-35811</w:t>
      </w:r>
    </w:p>
    <w:p>
      <w:pPr/>
      <w:r>
        <w:rPr>
          <w:b/>
        </w:rPr>
        <w:t>Shared claim-specific concepts:</w:t>
      </w:r>
      <w:r>
        <w:t xml:space="preserve"> foresight, actors, including; EU scope not established. This is a provisional connection, not an outcome finding.</w:t>
      </w:r>
    </w:p>
    <w:p>
      <w:pPr>
        <w:pStyle w:val="SourceNote"/>
      </w:pPr>
      <w:r>
        <w:rPr>
          <w:b/>
        </w:rPr>
        <w:t>Available abstract (not full text):</w:t>
      </w:r>
      <w:r>
        <w:t xml:space="preserve"> Traditional business analytics relies heavily on historical data, rendering it ineffective at predicting unprecedented market disruptions, non-linear consumer behavioural shifts, or structural black swan events. This paper introduces a ground breaking framework: Generative Predictive Market Simulation (GPMS). By utilizing specialized, multi-agent Large Language Model (LLM) ecosystems, we construct highly expressive synthetic market environments. These autonomous digital agents are encoded with specific psychographic profiles, architectural memory constraints, budgetary limitations, and historical cognitive biases. Unlike traditional rule-based agent models, these generative actors exhibit semantic reasoning, emergent micro-interactions, and adaptive decision-making capabilities. We detail the three-tiered system architecture consisting of an Agent Definition Layer, a Simulation Environment, and an Analytics Extraction Layer. Furthermore, we evaluate empirical results from a 1,000-agent validation deployment simulating consumer response to a disruptive subscription-based financial technology service over a 12-month horizon. The simulation generated an adoption curve highly congruent with subsequent empirical test-market trajectories, achieving an R² value of 0.88, while capturing complex qualitative market dynamics such as privacy-related consumer backlashes. Finally, we explore</w:t>
      </w:r>
    </w:p>
    <w:p>
      <w:pPr/>
      <w:r>
        <w:rPr>
          <w:b/>
        </w:rPr>
        <w:t>POSSIBLE 2026:</w:t>
      </w:r>
      <w:r>
        <w:t xml:space="preserve"> Corporate foresight among small- and medium-sized enterprises in forest-based bioeconomy: conceptual framework and empirical evidence from Finland — https://doi.org/10.1139/cjfr-2025-0274</w:t>
      </w:r>
    </w:p>
    <w:p>
      <w:pPr/>
      <w:r>
        <w:rPr>
          <w:b/>
        </w:rPr>
        <w:t>Shared claim-specific concepts:</w:t>
      </w:r>
      <w:r>
        <w:t xml:space="preserve"> corporate, foresight, complementary, rather; EU scope visible. This is a provisional connection, not an outcome finding.</w:t>
      </w:r>
    </w:p>
    <w:p>
      <w:pPr>
        <w:pStyle w:val="SourceNote"/>
      </w:pPr>
      <w:r>
        <w:rPr>
          <w:b/>
        </w:rPr>
        <w:t>Available abstract (not full text):</w:t>
      </w:r>
      <w:r>
        <w:t xml:space="preserve"> Empirical evidence on how corporate foresight is conducted in small- and medium-sized enterprises (SMEs) remains scarce. Our study constructed a practical framework by comparing the theoretical elements of corporate foresight found in existing literature with corporate foresight practices identified in Finnish forest-based bioeconomy SMEs. The empirical part relied on a mixed method approach consisting of interviews with 15 company managers and a complementary questionnaire dataset from 53 representatives of Finnish forest-based SMEs. According to the empirical findings, foresight practices predominantly relate to short-term operational planning conducted within each SME and its business field. However, the findings cannot be generalised to all SMEs due to convenience sampling and the rather low response rate in the survey (11%). Adoption of the proposed corporate foresight framework could help companies recognise the full value of the foresight practices that they are already conducting and facilitate taking steps toward implementing these practices more effectively. Integrating open and collaborative approaches into the longer-term future planning of SMEs can provide alternative insights of futures as opposed to trying to predict the future, thus supporting the reconfigurations of operations and renewal of organisational culture within the uncertain and complex operating envi</w:t>
      </w:r>
    </w:p>
    <w:p>
      <w:pPr/>
      <w:r>
        <w:rPr>
          <w:b/>
        </w:rPr>
        <w:t>POSSIBLE 2026:</w:t>
      </w:r>
      <w:r>
        <w:t xml:space="preserve"> The next episode for narrative foresight — https://doi.org/10.1016/j.futures.2026.103876</w:t>
      </w:r>
    </w:p>
    <w:p>
      <w:pPr/>
      <w:r>
        <w:rPr>
          <w:b/>
        </w:rPr>
        <w:t>Shared claim-specific concepts:</w:t>
      </w:r>
      <w:r>
        <w:t xml:space="preserve"> foresight, tools, engage, only;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A Roadmap for Evaluating Foresight Initiatives — https://doi.org/10.5281/zenodo.18092300</w:t>
      </w:r>
    </w:p>
    <w:p>
      <w:pPr/>
      <w:r>
        <w:rPr>
          <w:b/>
        </w:rPr>
        <w:t>Shared claim-specific concepts:</w:t>
      </w:r>
      <w:r>
        <w:t xml:space="preserve"> corporate, foresight, diverse, strategy; EU scope not established. This is a provisional connection, not an outcome finding.</w:t>
      </w:r>
    </w:p>
    <w:p>
      <w:pPr>
        <w:pStyle w:val="SourceNote"/>
      </w:pPr>
      <w:r>
        <w:rPr>
          <w:b/>
        </w:rPr>
        <w:t>Available abstract (not full text):</w:t>
      </w:r>
      <w:r>
        <w:t xml:space="preserve"> As strategic foresight evolves into a critical tool for facing uncertain and complex environments, the systematic evaluation of foresight activities has emerged as essential for building organizational resilience, credibility, and actionable impact. This study addresses this vital yet underexplored domain by developing a practical roadmap that transforms creative futures thinking into defensible, measurable knowledge trusted by decision-makers. Drawing on layered conceptual analysis, established frameworks from leading scholars and institutions, and practical insights across sectors, the research proposes specific, adaptable steps for evaluators to achieve robust outcomes. It effectively bridges the tension between imaginative exploration and empirical rigor while accommodating diverse cultural, sectoral, and stakeholder perspectives. Real-world vignettes from corporate transformations and public-sector initiatives vividly demonstrate how rigorous, context-sensitive evaluation legitimizes foresight investments, enhances adaptive capacity and agility, and seamlessly integrates futures thinking into core strategy formulation and execution. This study equips foresight practitioners, corporate leaders, policymakers, educators, and researchers with an overview of maturity models, readiness indexes, and mixed-method approaches to design, implement, and refine evaluation processes.</w:t>
      </w:r>
    </w:p>
    <w:p>
      <w:pPr/>
      <w:r>
        <w:rPr>
          <w:b/>
        </w:rPr>
        <w:t>POSSIBLE 2026:</w:t>
      </w:r>
      <w:r>
        <w:t xml:space="preserve"> Translating foresight insights into action: A multiple-case study on foresight capabilities in large Finnish companies — https://openalex.org/W7220770293</w:t>
      </w:r>
    </w:p>
    <w:p>
      <w:pPr/>
      <w:r>
        <w:rPr>
          <w:b/>
        </w:rPr>
        <w:t>Shared claim-specific concepts:</w:t>
      </w:r>
      <w:r>
        <w:t xml:space="preserve"> corporate, foresight, complementary, only, shared; EU scope not established. This is a provisional connection, not an outcome finding.</w:t>
      </w:r>
    </w:p>
    <w:p>
      <w:pPr>
        <w:pStyle w:val="SourceNote"/>
      </w:pPr>
      <w:r>
        <w:rPr>
          <w:b/>
        </w:rPr>
        <w:t>Available abstract (not full text):</w:t>
      </w:r>
      <w:r>
        <w:t xml:space="preserve"> The operating environment of companies is changing at an increasingly rapid pace and has become more turbulent than ever. Uncertainty complicates decision-making, and operational pressures often steer companies' activities at the expense of longer-term perspective. The ability to anticipate future developments has emerged as a key competitive advantage, enabling companies to respond to change proactively. Corporate foresight refers to the systematic identification of environmental changes, interpretation of gathered information, and development of organizational responses. Although companies are increasingly utilizing foresight to better understand their operating environment, they often face challenges particularly in using foresight insights in decision-making. This study aims to examine how companies carry out their foresight processes and what foresight capabilities are required for the effective utilization of foresight insights. The study combines process and capability perspectives on foresight into a systemic view, according to which foresight is strongly context-specific. Both the external and internal organizational context significantly shape what the foresight process should look like, how it is enacted in practice, and what capabilities are required. The empirical research was conducted as a qualitative multiple-case study involving four large Finnish companies ope</w:t>
      </w:r>
    </w:p>
    <w:p>
      <w:pPr/>
      <w:r>
        <w:rPr>
          <w:b/>
        </w:rPr>
        <w:t>POSSIBLE 2026:</w:t>
      </w:r>
      <w:r>
        <w:t xml:space="preserve"> Complementing Scenario Planning to the Strategic Value of Corporate War Gaming for Foresight and Decision-Making — https://doi.org/10.32479/irmm.23377</w:t>
      </w:r>
    </w:p>
    <w:p>
      <w:pPr/>
      <w:r>
        <w:rPr>
          <w:b/>
        </w:rPr>
        <w:t>Shared claim-specific concepts:</w:t>
      </w:r>
      <w:r>
        <w:t xml:space="preserve"> corporate, foresight, complementary; EU scope not established. This is a provisional connection, not an outcome finding.</w:t>
      </w:r>
    </w:p>
    <w:p>
      <w:pPr>
        <w:pStyle w:val="SourceNote"/>
      </w:pPr>
      <w:r>
        <w:rPr>
          <w:b/>
        </w:rPr>
        <w:t>Available abstract (not full text):</w:t>
      </w:r>
      <w:r>
        <w:t xml:space="preserve"> Corporate war gaming is becoming more widely regarded as a complementary approach to classic scenario planning in assisting organizations during uncertain and complex times. Scenario planning has been used for decades to prepare for uncertain exogenous circumstances and provide long-haul foresight, but its descriptive and narrative approach does not appropriately capture competitive dynamics and hidden risks. Corporate war gaming offers experiential, role-play simulations that progressively stress-test strategies against adversarial environments and responses from stakeholders. This paper examines how corporate war gaming complements scenario planning and ultimately creates value in an organization's decision-making process. Qualitative research design was employed in this study to answer this question by leveraging semi-structured interviews with fourteen individuals who acted as key informants across various sectors, and data were analyzed using Braun and Clarke’s thematic analysis process. The findings produced six themes—active simulation, strategic agility and readiness, revelation of blind spots, integration of competitors and stakeholders’ perspective, cross-functional collaboration, and multi-level application, which together demonstrate how a war game aspires to transmute foresight in planning to rehearsed action. Given these findings, the study finds that corporate wa</w:t>
      </w:r>
    </w:p>
    <w:p>
      <w:pPr>
        <w:pStyle w:val="Heading2"/>
      </w:pPr>
      <w:r>
        <w:t>513. Carbon intensity of the Ukrainian industry: current state and foresight</w:t>
      </w:r>
    </w:p>
    <w:p>
      <w:pPr>
        <w:pStyle w:val="SourceNote"/>
      </w:pPr>
      <w:r>
        <w:rPr>
          <w:b/>
        </w:rPr>
        <w:t>Original source (2022):</w:t>
      </w:r>
      <w:r>
        <w:t xml:space="preserve"> https://doi.org/10.15407/econindustry2022.01.061</w:t>
      </w:r>
    </w:p>
    <w:p>
      <w:pPr/>
      <w:r>
        <w:t>Original wording (abstract; indexed_source_text_not_full_document_verified): According to the basic scenario of the decarbonization of the Ukrainian industry (preservation of current trends and phenomena), an exhaustion of the national quota for greenhouse gas emissions by 2040, further deindustrialization of the economy, an increase in technological gaps with the developed countries of the world and an aggravate in the competitive vulnerability of national exporters are expected. The optimistic scenario assumes successful decarbonization and digitalization of the technological structure of the industrial complex.</w:t>
      </w:r>
    </w:p>
    <w:p>
      <w:pPr/>
      <w:r>
        <w:rPr>
          <w:b/>
        </w:rPr>
        <w:t>POSSIBLE 2026:</w:t>
      </w:r>
      <w:r>
        <w:t xml:space="preserve"> DIGITIZATION AS A TOOL FOR ENSURING THE PRESERVATION OF ARCHIVAL COLLECTIONS: CURRENT STATE AND PROSPECTS — https://doi.org/10.31073/istnauka202602-22</w:t>
      </w:r>
    </w:p>
    <w:p>
      <w:pPr/>
      <w:r>
        <w:rPr>
          <w:b/>
        </w:rPr>
        <w:t>Shared claim-specific concepts:</w:t>
      </w:r>
      <w:r>
        <w:t xml:space="preserve"> according, basic, ukrainian, preservation, current, national; EU scope not established. This is a provisional connection, not an outcome finding.</w:t>
      </w:r>
    </w:p>
    <w:p>
      <w:pPr>
        <w:pStyle w:val="SourceNote"/>
      </w:pPr>
      <w:r>
        <w:rPr>
          <w:b/>
        </w:rPr>
        <w:t>Available abstract (not full text):</w:t>
      </w:r>
      <w:r>
        <w:t xml:space="preserve"> ОЦИФРУВАННЯ ЯК ІНСТРУМЕНТ ЗАБЕЗПЕЧЕННЯ ЗБЕРЕЖЕНОСТІ АРХІВНИХ ФОНДІВ: СУЧАСНИЙ СТАН І ПЕРСПЕКТИВИ Метою статті є встановлення ролі оцифрування у системі забезпечення збереженості архівних фондів.Проаналізовано понятійний апарат архівного оцифрування: охарактеризовано терміни «оцифрування», «майстер-копія», «робоча копія», «цифровий фонд користування документами НАФ», «метадані цифрової копії», «страхова копія», «страховий фонд».Висвітлено законодавче регулювання оцифрування архівних фондів.Доведено, що базове архівне законодавство про Національний архівний фонд встановлює загальний Історія науки і біографістика, № 2, 2026 ДЕМУЗ Інна, КИРПОСЕНКО Поліна documents, while legislation on trust services defines the mechanisms for granting legal validity to digital copies, and legislation in the fields of information security and copyright regulates the conditions for their storage and publication.However, it is noted that Ukrainian legislation creates a fragmented system for the preservation of digital archives.The basic law does not define the status of a digital security fund; therefore, digitization is effectively governed by electronic records management standards and technical information protection requirements.At the same time, access to the created copies is restricted by the lack of regulation concerning the legal status of «orphan works» and by personal data protection requi</w:t>
      </w:r>
    </w:p>
    <w:p>
      <w:pPr/>
      <w:r>
        <w:rPr>
          <w:b/>
        </w:rPr>
        <w:t>POSSIBLE 2026:</w:t>
      </w:r>
      <w:r>
        <w:t xml:space="preserve"> Hydrogen: a building block for decarbonization in the future of Mexico — https://doi.org/10.1016/j.ijhydene.2026.157559</w:t>
      </w:r>
    </w:p>
    <w:p>
      <w:pPr/>
      <w:r>
        <w:rPr>
          <w:b/>
        </w:rPr>
        <w:t>Shared claim-specific concepts:</w:t>
      </w:r>
      <w:r>
        <w:t xml:space="preserve"> decarbonization, greenhouse, gas, emissions; EU scope not established. This is a provisional connection, not an outcome finding.</w:t>
      </w:r>
    </w:p>
    <w:p>
      <w:pPr>
        <w:pStyle w:val="SourceNote"/>
      </w:pPr>
      <w:r>
        <w:rPr>
          <w:b/>
        </w:rPr>
        <w:t>Available abstract (not full text):</w:t>
      </w:r>
      <w:r>
        <w:t xml:space="preserve"> Mexico aims to reduce greenhouse gas emissions by 50% by 2050 relative to 2000 levels. Hydrogen is seen as a promising alternative for decarbonising the transport, industrial, and electricity generation sectors. This study presents five prospective scenarios for 2050 that explore different hypotheses for introducing hydrogen to catalyse decarbonization of the Mexican Energy System (MES), modelled using the Low Emissions Analysis Platform (LEAP) software. Business-As-Usual (BAU), maintaining 2019 MES configuration; Decarbonization (DEC), introducing hydrogen only in the industrial sector; Market (MAR), following the pathway planned by the commercial sector; Policy (POL) driven, which installs as many hydrogen-based combined cycle plants as possible, and Net-Zero Development (NZD), achieving a hydrogen-based electricity generation by 2060. This analysis found that hydrogen can mitigate up to 16.32% of the CO2e emissions compared to BAU scenario in 2050 and save up to 13.58% of the natural gas required for power.</w:t>
      </w:r>
    </w:p>
    <w:p>
      <w:pPr/>
      <w:r>
        <w:rPr>
          <w:b/>
        </w:rPr>
        <w:t>POSSIBLE 2026:</w:t>
      </w:r>
      <w:r>
        <w:t xml:space="preserve"> Preservation and Educational Preservation of Traditional Ceramic Craft Villages in the Era of Industrialization — https://doi.org/10.59324/ejahss.2026.3(3).24</w:t>
      </w:r>
    </w:p>
    <w:p>
      <w:pPr/>
      <w:r>
        <w:rPr>
          <w:b/>
        </w:rPr>
        <w:t>Shared claim-specific concepts:</w:t>
      </w:r>
      <w:r>
        <w:t xml:space="preserve"> preservation, current, economy; EU scope not established. This is a provisional connection, not an outcome finding.</w:t>
      </w:r>
    </w:p>
    <w:p>
      <w:pPr>
        <w:pStyle w:val="SourceNote"/>
      </w:pPr>
      <w:r>
        <w:rPr>
          <w:b/>
        </w:rPr>
        <w:t>Available abstract (not full text):</w:t>
      </w:r>
      <w:r>
        <w:t xml:space="preserve"> Traditional Vietnamese ceramic craft villages represent living cultural heritages that embody the nation's wisdom and identity accumulated over millennia. In the context of rapid industrialization, urbanization, and globalization, many of these villages face severe risks of decline due to the shortage of successors, loss of production spaces, environmental pollution, and competition from industrial products. This article analyzes the current state of preservation in representative ceramic villages such as Bat Trang (Hanoi), Phu Lang (Bac Ninh), Chu Dau (Hai Duong), Bau Truc (Ninh Thuan), Thanh Ha (Quang Nam), and those in Binh Duong province, with a central focus on the critical role of educational preservation. Drawing upon theories of intangible cultural heritage, sustainable development, and heritage education, the study identifies core challenges and proposes a comprehensive system of solutions in which education serves as the pivotal strategy for intergenerational transmission, community awareness raising, and the integration of tradition with modernity. These solutions emphasize innovation in formal and non-formal education, community-based learning, digital transformation in skill transmission, and the creation of a holistic heritage education ecosystem, aligned with the Party's guidelines and State policies on new rural development and creative economy.</w:t>
      </w:r>
    </w:p>
    <w:p>
      <w:pPr/>
      <w:r>
        <w:rPr>
          <w:b/>
        </w:rPr>
        <w:t>POSSIBLE 2025:</w:t>
      </w:r>
      <w:r>
        <w:t xml:space="preserve"> Design-for-decarbonization: a framework for decarbonizing cyber-physical production systems at the design stage — https://doi.org/10.1017/pds.2025.10143</w:t>
      </w:r>
    </w:p>
    <w:p>
      <w:pPr/>
      <w:r>
        <w:rPr>
          <w:b/>
        </w:rPr>
        <w:t>Shared claim-specific concepts:</w:t>
      </w:r>
      <w:r>
        <w:t xml:space="preserve"> decarbonization, emissions, developed; EU scope not established. This is a provisional connection, not an outcome finding.</w:t>
      </w:r>
    </w:p>
    <w:p>
      <w:pPr>
        <w:pStyle w:val="SourceNote"/>
      </w:pPr>
      <w:r>
        <w:rPr>
          <w:b/>
        </w:rPr>
        <w:t>Available abstract (not full text):</w:t>
      </w:r>
      <w:r>
        <w:t xml:space="preserve"> ABSTRACT: Cyber-physical production systems (CPPS) are responsible for a significant portion of manufacturers’ carbon emissions. Since 80% of product-related environmental impacts are determined at the design stage, there is a need for CPPS manufacturers to focus on decarbonization at the design stage. To date, there is a lack of design-for-decarbonization guidance for CPPS. This paper proposes a procedural framework for the effective selection of decarbonization measures for the design of CPPS. A Decarbonization Wheel is developed to establish a product-specific decarbonization strategy. This tool is linked to a catalogue of decarbonization measures. A measure prioritization logic provides a structure for systematizing selected measures. The framework is validated in the case of an intelligent industrial control valve.</w:t>
      </w:r>
    </w:p>
    <w:p>
      <w:pPr/>
      <w:r>
        <w:rPr>
          <w:b/>
        </w:rPr>
        <w:t>POSSIBLE 2025:</w:t>
      </w:r>
      <w:r>
        <w:t xml:space="preserve"> Towards the Necessary Decarbonization of Historic Buildings: A Review — https://doi.org/10.3390/en18030502</w:t>
      </w:r>
    </w:p>
    <w:p>
      <w:pPr/>
      <w:r>
        <w:rPr>
          <w:b/>
        </w:rPr>
        <w:t>Shared claim-specific concepts:</w:t>
      </w:r>
      <w:r>
        <w:t xml:space="preserve"> according, decarbonization, preservation; EU scope not established. This is a provisional connection, not an outcome finding.</w:t>
      </w:r>
    </w:p>
    <w:p>
      <w:pPr>
        <w:pStyle w:val="SourceNote"/>
      </w:pPr>
      <w:r>
        <w:rPr>
          <w:b/>
        </w:rPr>
        <w:t>Available abstract (not full text):</w:t>
      </w:r>
      <w:r>
        <w:t xml:space="preserve"> The critical and urgent issue of decarbonization by 2050 needs to include the existing historical built environment in the process of energy requalification. These buildings, subjected to heritage preservation, are extremely inadequate to the modern standards of energy efficiency and thermal comfort, and they exhibit the poorest energy performance. In this study, a review of the existing scientific literature on the matter of energy renovation processes applied to historic buildings is provided. The reviewed papers, selected from scientific databases, were initially categorized according to their reference scale—either individual buildings or urban contexts. Subsequently, the papers were grouped on the basis of the main energy efficiency levels they investigated. The goal is to offer a comprehensive overview of the materials, technologies and strategies currently in use, as well as future perspectives, to aid the ecological transition and foster sustainable development, all while preserving the artistic, cultural and architectural heritage of these buildings.</w:t>
      </w:r>
    </w:p>
    <w:p>
      <w:pPr/>
      <w:r>
        <w:rPr>
          <w:b/>
        </w:rPr>
        <w:t>POSSIBLE 2025:</w:t>
      </w:r>
      <w:r>
        <w:t xml:space="preserve"> The US dollar and decarbonization: Exploring constraints — https://doi.org/10.1017/fas.2025.10</w:t>
      </w:r>
    </w:p>
    <w:p>
      <w:pPr/>
      <w:r>
        <w:rPr>
          <w:b/>
        </w:rPr>
        <w:t>Shared claim-specific concepts:</w:t>
      </w:r>
      <w:r>
        <w:t xml:space="preserve"> decarbonization, emissions, increase; EU scope not established. This is a provisional connection, not an outcome finding.</w:t>
      </w:r>
    </w:p>
    <w:p>
      <w:pPr>
        <w:pStyle w:val="SourceNote"/>
      </w:pPr>
      <w:r>
        <w:rPr>
          <w:b/>
        </w:rPr>
        <w:t>Available abstract (not full text):</w:t>
      </w:r>
      <w:r>
        <w:t xml:space="preserve"> Abstract This research essay explores how US dollar centrality and strength may impede decarbonization. First, I suggest that because US dollar centrality enables higher US household consumption and imports, and US household consumption is comparatively carbon-intensive, centrality can increase per capita emissions and carbon-intensive consumption in the United States. Second, I explore how US dollar strength can compromise the monetary autonomy and capacity to finance decarbonization for dollar-exposed emerging market economies. They are negatively impacted most notably in the areas of trade, external debt, and investment. Finally, US dollar strength also has the potential to limit the competitiveness of US green manufacturing and exports. US currency overvaluation means that green technologies produced in the United States can be comparatively expensive in global markets. I conclude with a discussion of future research and policy implications.</w:t>
      </w:r>
    </w:p>
    <w:p>
      <w:pPr/>
      <w:r>
        <w:rPr>
          <w:b/>
        </w:rPr>
        <w:t>POSSIBLE 2025:</w:t>
      </w:r>
      <w:r>
        <w:t xml:space="preserve"> Fish Preservation Industry Management Training in the Coastal Area of Ambon Island — https://doi.org/10.29303/ujcs.v6i3.1273</w:t>
      </w:r>
    </w:p>
    <w:p>
      <w:pPr/>
      <w:r>
        <w:rPr>
          <w:b/>
        </w:rPr>
        <w:t>Shared claim-specific concepts:</w:t>
      </w:r>
      <w:r>
        <w:t xml:space="preserve"> industry, preservation, increase; EU scope not established. This is a provisional connection, not an outcome finding.</w:t>
      </w:r>
    </w:p>
    <w:p>
      <w:pPr>
        <w:pStyle w:val="SourceNote"/>
      </w:pPr>
      <w:r>
        <w:rPr>
          <w:b/>
        </w:rPr>
        <w:t>Available abstract (not full text):</w:t>
      </w:r>
      <w:r>
        <w:t xml:space="preserve"> The background of the fish preservation industry management training is that the fish preservation industry managers in the coastal areas of Ambon Island have not yet fully implemented good business management. The purpose of this community service is to increase the capacity of human resources for industry managers to have managerial competencies. The focus of the training is all activities to provide, obtain, improve, and develop managerial competencies. The activities are carried out in several stages, namely: (1) Situational analysis of the management of the fish preservation industry is carried out to determine steps for identifying needs; (2) The activity planning stage includes the preparation of a syllabus and activity schedule; (3) the training implementation stage is carried out in 2 sessions, namely the first session providing material, in the form of information about managerial competencies and the second session in the form of group discussions; (4) sustainability plans: business development and ongoing mentoring. This community service activity has succeeded in increasing managerial abilities and skills among fish preservation industry managers. The impact felt is increased self-confidence in doing business.</w:t>
      </w:r>
    </w:p>
    <w:p>
      <w:pPr/>
      <w:r>
        <w:rPr>
          <w:b/>
        </w:rPr>
        <w:t>POSSIBLE 2025:</w:t>
      </w:r>
      <w:r>
        <w:t xml:space="preserve"> Towards Artificial Intelligence in Construction Industry — https://doi.org/10.31675/1607-1859-2025-27-5-160-173</w:t>
      </w:r>
    </w:p>
    <w:p>
      <w:pPr/>
      <w:r>
        <w:rPr>
          <w:b/>
        </w:rPr>
        <w:t>Shared claim-specific concepts:</w:t>
      </w:r>
      <w:r>
        <w:t xml:space="preserve"> according, basic, industry, preservation, current, further; EU scope not established. This is a provisional connection, not an outcome finding.</w:t>
      </w:r>
    </w:p>
    <w:p>
      <w:pPr>
        <w:pStyle w:val="SourceNote"/>
      </w:pPr>
      <w:r>
        <w:rPr>
          <w:b/>
        </w:rPr>
        <w:t>Available abstract (not full text):</w:t>
      </w:r>
      <w:r>
        <w:t xml:space="preserve"> This paper analyzes the integration of artificial intelligence with current technologies. Possibilities and methods of integration with modern innovations are revealed in the paper according to the studied and analyzed information from scientific sources around the world. The result of integration and possibilities of further development are demonstrated. A detailed description is provided for disadvantages and advantages of applying innovative technologies with integrated artificial intelligence in the construction industry. This paper familiarizes both the scientific community and the civilian population with opportunities and development prospects of construction industry through the introduction of artificial intelligence technology. Relevance: the study of current and effective technologies that have proven themselves with a positive side in the construction industry. Analysis of their implementation and use in modern realities. Purpose: The aim of the paper is to study the currently demanded technologies in the world construction utilizing artificial intelligence, consider in detail the efficiency of its use in economy, preservation of ecology and natural resources, ensuring safe labor activity, the possibility of further modernization and development with the provision of both disadvantages and advantages. Methodology: A study of scientific literature, research papers, I</w:t>
      </w:r>
    </w:p>
    <w:p>
      <w:pPr/>
      <w:r>
        <w:rPr>
          <w:b/>
        </w:rPr>
        <w:t>POSSIBLE 2025:</w:t>
      </w:r>
      <w:r>
        <w:t xml:space="preserve"> Recent Advances in the Fabrication of Intelligent Packaging for Food Preservation: A Review — https://doi.org/10.3390/pr13020539</w:t>
      </w:r>
    </w:p>
    <w:p>
      <w:pPr/>
      <w:r>
        <w:rPr>
          <w:b/>
        </w:rPr>
        <w:t>Shared claim-specific concepts:</w:t>
      </w:r>
      <w:r>
        <w:t xml:space="preserve"> industry, preservation, current, trends; EU scope not established. This is a provisional connection, not an outcome finding.</w:t>
      </w:r>
    </w:p>
    <w:p>
      <w:pPr>
        <w:pStyle w:val="SourceNote"/>
      </w:pPr>
      <w:r>
        <w:rPr>
          <w:b/>
        </w:rPr>
        <w:t>Available abstract (not full text):</w:t>
      </w:r>
      <w:r>
        <w:t xml:space="preserve"> The advancement of intelligent packaging technologies has emerged as a pivotal innovation in the food industry, significantly enhancing food safety and preservation. This review explores the latest developments in the fabrication of intelligent packaging, with a focus on applications in food preservation. Intelligent packaging systems, which include sensors, indicators, and RFID technologies, offer the real-time monitoring of food quality and safety by detecting changes in environmental conditions and microbial activity. Innovations in nanotechnology, bio-based materials, and smart polymers have led to the development of eco-friendly and highly responsive packaging solutions. This review underscores the role of active and intelligent packaging components—such as oxygen scavengers, freshness indicators, and antimicrobial agents in extending shelf life and ensuring product integrity. Moreover, it highlights the transformative potential of intelligent packaging in food preservation through the examination of recent case studies. Finally, this review provides a comprehensive overview of current trends, challenges, and potential future directions in this rapidly evolving field.</w:t>
      </w:r>
    </w:p>
    <w:p>
      <w:pPr/>
      <w:r>
        <w:rPr>
          <w:b/>
        </w:rPr>
        <w:t>POSSIBLE 2025:</w:t>
      </w:r>
      <w:r>
        <w:t xml:space="preserve"> A Case Study of Decarbonization and the Dual-Carbon Strategy — https://doi.org/10.4236/jpee.2025.1312006</w:t>
      </w:r>
    </w:p>
    <w:p>
      <w:pPr/>
      <w:r>
        <w:rPr>
          <w:b/>
        </w:rPr>
        <w:t>Shared claim-specific concepts:</w:t>
      </w:r>
      <w:r>
        <w:t xml:space="preserve"> decarbonization, national, emissions, technological, world; EU scope not established. This is a provisional connection, not an outcome finding.</w:t>
      </w:r>
    </w:p>
    <w:p>
      <w:pPr>
        <w:pStyle w:val="SourceNote"/>
      </w:pPr>
      <w:r>
        <w:rPr>
          <w:b/>
        </w:rPr>
        <w:t>Available abstract (not full text):</w:t>
      </w:r>
      <w:r>
        <w:t xml:space="preserve"> Global decarbonization efforts form a critical mission in the fight against climate change. This article analyzes the foundational pillars underpinning the Chinese strategy to achieve its ambitious dual-carbon goals—peak emissions by 2030 and carbon neutrality by 2060. We argue that this transition is propelled by a synergistic framework of robust policy mandates, the rapid deployment of energy transition technologies, and the strategic development of a national carbon market. This study presents an analysis of how top-down policies, such as the 14th Five-Year Plan, catalyze an unprecedented shift toward renewable energy sources, primarily wind and solar, while driving innovation in energy storage and smart grid infrastructure. Concurrently, the establishment of the world’s largest emissions trading system (ETS) is examined as a crucial market-based mechanism designed to incentivize emission reductions across the power sector, with potential for future expansion. This article synthesizes the significant progress made to date, identifying key achievements and persistent challenges, such as energy security and industrial decarbonization. Finally, it offers a forward-looking perspective on the steps necessary to solidify these pillars, emphasizing the need for technological breakthroughs, deeper market reforms, and a just transition to ensure the long-term viability and global imp</w:t>
      </w:r>
    </w:p>
    <w:p>
      <w:pPr/>
      <w:r>
        <w:rPr>
          <w:b/>
        </w:rPr>
        <w:t>POSSIBLE 2025:</w:t>
      </w:r>
      <w:r>
        <w:t xml:space="preserve"> Decarbonizing road transportation: Barriers and drivers in an emerging economy context — https://doi.org/10.1016/j.trd.2025.104723</w:t>
      </w:r>
    </w:p>
    <w:p>
      <w:pPr/>
      <w:r>
        <w:rPr>
          <w:b/>
        </w:rPr>
        <w:t>Shared claim-specific concepts:</w:t>
      </w:r>
      <w:r>
        <w:t xml:space="preserve"> decarbonization, greenhouse, gas, emissions, economy, countries; EU scope not established. This is a provisional connection, not an outcome finding.</w:t>
      </w:r>
    </w:p>
    <w:p>
      <w:pPr>
        <w:pStyle w:val="SourceNote"/>
      </w:pPr>
      <w:r>
        <w:rPr>
          <w:b/>
        </w:rPr>
        <w:t>Available abstract (not full text):</w:t>
      </w:r>
      <w:r>
        <w:t xml:space="preserve"> The transportation sector ranks as the second-largest contributor to global greenhouse gas emissions , primarily owing to its heavy reliance on fossil fuels . Consequently, the imperative to decarbonize transportation is paramount in the pursuit of sustainable development goals . However, despite its critical importance, research on decarbonization in transportation remains significantly limited. This gap in research is particularly glaring in developing countries, where there is a notable absence of studies addressing the decarbonization challenges within the transport sector. Addressing this research gap, this study aims to investigate the barriers and drivers influencing the decarbonization of the passenger transport sector in an emerging economy context, particularly for Bangladesh. The top three barriers identified include the ’Lack of concrete transportation policy’, ’Lack of decarbonization strategy/policy’, and ’Lack of biofuel refueling station/EV charging station’. These barriers are comprehensively analyzed based on various stakeholder perspectives. In terms of categorical barriers, policy barriers and technical barriers are predominant over other barriers. Despite these challenges, there is a growing interest in decarbonizing the transportation sector, albeit with some limitations. The primary drivers to decarbonize the transport sector include ‘Profitable return on</w:t>
      </w:r>
    </w:p>
    <w:p>
      <w:pPr/>
      <w:r>
        <w:rPr>
          <w:b/>
        </w:rPr>
        <w:t>POSSIBLE 2025:</w:t>
      </w:r>
      <w:r>
        <w:t xml:space="preserve"> Modeling and Control of Electric Loads for Ancillary Services and Decarbonization — https://doi.org/10.7302/25608</w:t>
      </w:r>
    </w:p>
    <w:p>
      <w:pPr/>
      <w:r>
        <w:rPr>
          <w:b/>
        </w:rPr>
        <w:t>Shared claim-specific concepts:</w:t>
      </w:r>
      <w:r>
        <w:t xml:space="preserve"> according, decarbonization, industry, increase, developed; EU scope not established. This is a provisional connection, not an outcome finding.</w:t>
      </w:r>
    </w:p>
    <w:p>
      <w:pPr>
        <w:pStyle w:val="SourceNote"/>
      </w:pPr>
      <w:r>
        <w:rPr>
          <w:b/>
        </w:rPr>
        <w:t>Available abstract (not full text):</w:t>
      </w:r>
      <w:r>
        <w:t xml:space="preserve"> Towards decarbonizing power systems and achieving sustainability goals, traditional power plants, such as coal fired power plants, are being phased out and replaced with renewable generation alternatives. Historically, synchronous generators of traditional power plants provided much of the essential load balancing services required to match scheduled generation and demand, ensuring power system reliability. Hence, with the sunsetting of traditional generation, new sources of load balancing flexibility are needed. Furthermore, the inherent intermittent and variable nature of renewable generation typically requires an increase in the load balancing services needed. Aggregations of electric loads, such as thermostatically controlled loads (TCLs), hold substantial potential to offer this flexibility, given their thermal inertia and ubiquity. TCLs are an ubiquitous resource with inherent temporal flexibility that allows them cycle on/off and consume power in cycles. This flexibility can be leveraged for power system objectives. The abundance and spatial distribution of TCLs make them a prime and valuable candidate to provide flexibility to the power grid. This dissertation develops models and control algorithms for leveraging the flexibility of TCL resources and practically demonstrates the ancillary service and decarbonization potential of these loads. Building on established hiera</w:t>
      </w:r>
    </w:p>
    <w:p>
      <w:pPr>
        <w:pStyle w:val="Heading2"/>
      </w:pPr>
      <w:r>
        <w:t>514. Carrying out a multi-model integrated assessment of European energy transition pathways: Challenges and benefits</w:t>
      </w:r>
    </w:p>
    <w:p>
      <w:pPr>
        <w:pStyle w:val="SourceNote"/>
      </w:pPr>
      <w:r>
        <w:rPr>
          <w:b/>
        </w:rPr>
        <w:t>Original source (2022):</w:t>
      </w:r>
      <w:r>
        <w:t xml:space="preserve"> https://doi.org/10.1016/j.energy.2022.124329</w:t>
      </w:r>
    </w:p>
    <w:p>
      <w:pPr/>
      <w:r>
        <w:t>Original wording (abstract; indexed_source_text_not_full_document_verified): Without the insights gained from an impact assessment framework reaching beyond the techno-economic perspective, the pursuit of direct emission reductions may lead to counterproductive outcomes in the long run. We find the highest added value of the framework in additional insights it provides on the technical feasibility of decarbonisation pathways, on vulnerability aspects and on unintended environmental and health impacts on national and sub-national scale.</w:t>
      </w:r>
    </w:p>
    <w:p>
      <w:pPr/>
      <w:r>
        <w:rPr>
          <w:b/>
        </w:rPr>
        <w:t>POSSIBLE 2026:</w:t>
      </w:r>
      <w:r>
        <w:t xml:space="preserve"> Federated learning in Healthcare across Europe: Challenges and Insights from the BETTER Project — https://openalex.org/W7204062183</w:t>
      </w:r>
    </w:p>
    <w:p>
      <w:pPr/>
      <w:r>
        <w:rPr>
          <w:b/>
        </w:rPr>
        <w:t>Shared claim-specific concepts:</w:t>
      </w:r>
      <w:r>
        <w:t xml:space="preserve"> without, insights, gained, perspective, technical; EU scope visible. This is a provisional connection, not an outcome finding.</w:t>
      </w:r>
    </w:p>
    <w:p>
      <w:pPr>
        <w:pStyle w:val="SourceNote"/>
      </w:pPr>
      <w:r>
        <w:rPr>
          <w:b/>
        </w:rPr>
        <w:t>Available abstract (not full text):</w:t>
      </w:r>
      <w:r>
        <w:t xml:space="preserve"> Healthcare advances through machine learning for personalized patient treatments require access to large-scale, diverse, and high-quality patient datasets. However, strict privacy regulations on such sensitive data cause data fragmentation across institutions, limiting its potential for broader clinical insights. Platforms such as the “Platform for Analytics and Distributed Machine Learning for Enterprises”(PADME) address this challenge by enabling federated learning on sensitive patient data. In PADME, patient data remains at its source, while only derived outputs, such as model parameters, are shared. Within the EU Horizon project “BETTER”, PADME facilitates three real-world clinical use cases for privacy-preserving federated learning without requiring patient data exchange across participating institutions. For the federated learning real-world use cases in BETTER, we structured the implementation along three layers: (1) a data layer for integration and harmonization of pseudonymized patient data via an extract-transform-load (ETL) pipeline, developed according to FAIR principles, mapping heterogeneous clinical, genomic, and laboratory data into a shared, standardized representation; (2) an infrastructure layer enabling the privacy-preserving federated learning orchestration through PADME; and (3) an algorithm layer supporting use-case-specific data pre-processing, model tra</w:t>
      </w:r>
    </w:p>
    <w:p>
      <w:pPr/>
      <w:r>
        <w:rPr>
          <w:b/>
        </w:rPr>
        <w:t>POSSIBLE 2026:</w:t>
      </w:r>
      <w:r>
        <w:t xml:space="preserve"> A European framework for the assessment of digital health technologies: conceptual advances, challenges, and future directions — https://doi.org/10.3389/fdgth.2026.1809237</w:t>
      </w:r>
    </w:p>
    <w:p>
      <w:pPr/>
      <w:r>
        <w:rPr>
          <w:b/>
        </w:rPr>
        <w:t>Shared claim-specific concepts:</w:t>
      </w:r>
      <w:r>
        <w:t xml:space="preserve"> assessment, framework, perspective, added, value; EU scope visible. This is a provisional connection, not an outcome finding.</w:t>
      </w:r>
    </w:p>
    <w:p>
      <w:pPr>
        <w:pStyle w:val="SourceNote"/>
      </w:pPr>
      <w:r>
        <w:rPr>
          <w:b/>
        </w:rPr>
        <w:t>Available abstract (not full text):</w:t>
      </w:r>
      <w:r>
        <w:t xml:space="preserve"> Digital health technologies (DHTs) are transforming healthcare by enabling for example new care models, improving patient access and engagement, and streamlining healthcare workflows. They have the potential to increase efficiency, reduce administrative burdens, and enhance the overall quality of care. However, across Europe, DHTs evaluation frameworks remain fragmented, and while new approaches continue to emerge, they often focus on specific types of DHTs or particular stages of the product lifecycle. Moreover, traditional Health Technology Assessment (HTA) frameworks have been developed mostly to evaluate medicinal products, which may limit their applicability to DHTs, ultimately constraining health systems' ability to capture DHTs' added value. The European Digital Health Technology Assessment (EDiHTA) is a EU-funded project, which started in January 2024 to co-create an HTA framework for DHTs in order to face these challenges. It is aimed at co-developing together with different key stakeholders a comprehensive and flexible assessment framework tailored to different DHTs, applicable across DHTs lifecycle and across EU member states. In this perspective article, we present our concept design that is being used as foundation of the development of the EDiHTA framework, and we address current challenges in the assessment of DHTs, and the opportunities that lie ahead.</w:t>
      </w:r>
    </w:p>
    <w:p>
      <w:pPr/>
      <w:r>
        <w:rPr>
          <w:b/>
        </w:rPr>
        <w:t>POSSIBLE 2026:</w:t>
      </w:r>
      <w:r>
        <w:t xml:space="preserve"> Frailty assessment in kidney transplantation: insights from a European survey — https://doi.org/10.1093/ckj/sfag065</w:t>
      </w:r>
    </w:p>
    <w:p>
      <w:pPr/>
      <w:r>
        <w:rPr>
          <w:b/>
        </w:rPr>
        <w:t>Shared claim-specific concepts:</w:t>
      </w:r>
      <w:r>
        <w:t xml:space="preserve"> insights, assessment, outcomes, value; EU scope visible. This is a provisional connection, not an outcome finding.</w:t>
      </w:r>
    </w:p>
    <w:p>
      <w:pPr>
        <w:pStyle w:val="SourceNote"/>
      </w:pPr>
      <w:r>
        <w:rPr>
          <w:b/>
        </w:rPr>
        <w:t>Available abstract (not full text):</w:t>
      </w:r>
      <w:r>
        <w:t xml:space="preserve"> Background: Frailty has been identified as an important determinant of adverse transplant-related outcomes; however, its integration into routine kidney transplant practice remains limited. Methods: This was a web-based cross-sectional survey assessing current practice patterns and perceptions on frailty assessments among transplant physicians distributed by the DESCaRTES working group of the European Renal Association. The survey consisted of questions about frailty perceptions and practices both pre- and post-transplant. Results: A total of 134 responses (response rate 39.2%) were recorded. Although 98.5% recognized frailty as a risk factor for adverse outcomes, only 6.7% reported routinely performing a standardized frailty assessment in pre-transplant evaluations. Nearly 30% never evaluated frailty, and 24.6% did so only in selected high-risk patients, primarily based on age, comorbidities or prolonged dialysis duration. Physical function was recognized as the most important component of frailty assessments; however, no single assessment tool was consistently implemented. The main barriers to integrating frailty assessments into clinical practice were lack of trained staff, absence of standardized guidelines, and uncertainty about clinical usefulness. Post-transplant frailty assessments were rarely conducted routinely, despite 74.6% acknowledging their potential value. Concl</w:t>
      </w:r>
    </w:p>
    <w:p>
      <w:pPr/>
      <w:r>
        <w:rPr>
          <w:b/>
        </w:rPr>
        <w:t>POSSIBLE 2026:</w:t>
      </w:r>
      <w:r>
        <w:t xml:space="preserve"> Framework for Multi-Cycle Assessment in Circular Construction — https://doi.org/10.1007/978-3-032-34930-9_139</w:t>
      </w:r>
    </w:p>
    <w:p>
      <w:pPr/>
      <w:r>
        <w:rPr>
          <w:b/>
        </w:rPr>
        <w:t>Shared claim-specific concepts:</w:t>
      </w:r>
      <w:r>
        <w:t xml:space="preserve"> without, insights, assessment, framework, outcomes, value; EU scope not established. This is a provisional connection, not an outcome finding.</w:t>
      </w:r>
    </w:p>
    <w:p>
      <w:pPr>
        <w:pStyle w:val="SourceNote"/>
      </w:pPr>
      <w:r>
        <w:rPr>
          <w:b/>
        </w:rPr>
        <w:t>Available abstract (not full text):</w:t>
      </w:r>
      <w:r>
        <w:t xml:space="preserve"> Efforts to promote material reuse and selective deconstruction in the built environment increasingly rely on assessment tools to inform design, demolition, and policy decisions. However, current evaluation practices often fail to deliver coherent and decision-relevant insights across the building lifecycle. Circularity indicators tend to prioritize material cycling without adequately capturing environmental or value-retention impacts, while lifecycle assessment (LCA) remains rooted in single-cycle, linear logic. As a result, circularity and LCA frequently operate in parallel, producing fragmented or conflicting signals for decision-makers. Assessment outcomes are shaped by data availability, assumptions, and tool-specific structures. Data fragmentation, limited traceability of as-built conditions, and non-harmonised practices undermine comparability and confidence in results. These challenges are compounded by the fragmented construction value chain, where reuse only materialises when documentation aligns with market demand, regulatory conditions, and timing. This paper presents the development of a framework that addresses these limitations by linking environmental performance, circular strategies, and value retention across multiple lifecycles and building scales. Designed as a hierarchical structure, it ties together existing tools, indicators, and datasets within a shared l</w:t>
      </w:r>
    </w:p>
    <w:p>
      <w:pPr/>
      <w:r>
        <w:rPr>
          <w:b/>
        </w:rPr>
        <w:t>POSSIBLE 2026:</w:t>
      </w:r>
      <w:r>
        <w:t xml:space="preserve"> Developing an assessment framework of interdisciplinary innovation ability — https://doi.org/10.21449/ijate.1821617</w:t>
      </w:r>
    </w:p>
    <w:p>
      <w:pPr/>
      <w:r>
        <w:rPr>
          <w:b/>
        </w:rPr>
        <w:t>Shared claim-specific concepts:</w:t>
      </w:r>
      <w:r>
        <w:t xml:space="preserve"> insights, assessment, framework; EU scope not established. This is a provisional connection, not an outcome finding.</w:t>
      </w:r>
    </w:p>
    <w:p>
      <w:pPr>
        <w:pStyle w:val="SourceNote"/>
      </w:pPr>
      <w:r>
        <w:rPr>
          <w:b/>
        </w:rPr>
        <w:t>Available abstract (not full text):</w:t>
      </w:r>
      <w:r>
        <w:t xml:space="preserve"> Given the importance of interdisciplinary innovation ability (IIA) in addressing complex real-world problems, this study aims to develop a comprehensive assessment framework for IIA using a three-step methodological approach. First, an initial framework was constructed based on a systematic theoretical analysis. Second, the framework was refined and validated through a two-round Delphi process involving five experts. Third, the measurement model was validated using SPSS AMOS (version 24) with data collected from 209 undergraduate students participating in a university summer camp, to examine the reliability and validity of the proposed framework. The findings indicate that IIA comprises five primary dimensions—innovative personality, innovative thinking, innovative skills, innovative learning, and innovative product—along with 12 secondary indices. Compared with existing IIA assessment frameworks, the proposed framework demonstrates stronger theoretical grounding, a more comprehensive structure, and empirical validation, thereby offering both theoretical insights and practical implications for future interdisciplinary innovation research.</w:t>
      </w:r>
    </w:p>
    <w:p>
      <w:pPr/>
      <w:r>
        <w:rPr>
          <w:b/>
        </w:rPr>
        <w:t>POSSIBLE 2026:</w:t>
      </w:r>
      <w:r>
        <w:t xml:space="preserve"> Bridging Borders in Pediatric Oncology: Cross-Regional Insights into Physical Exercise Program Perceptions in Europe, North Africa, and Arab Countries — https://doi.org/10.1055/s-0046-1824334</w:t>
      </w:r>
    </w:p>
    <w:p>
      <w:pPr/>
      <w:r>
        <w:rPr>
          <w:b/>
        </w:rPr>
        <w:t>Shared claim-specific concepts:</w:t>
      </w:r>
      <w:r>
        <w:t xml:space="preserve"> without, insights, beyond, outcomes; EU scope visible. This is a provisional connection, not an outcome finding.</w:t>
      </w:r>
    </w:p>
    <w:p>
      <w:pPr>
        <w:pStyle w:val="SourceNote"/>
      </w:pPr>
      <w:r>
        <w:rPr>
          <w:b/>
        </w:rPr>
        <w:t>Available abstract (not full text):</w:t>
      </w:r>
      <w:r>
        <w:t xml:space="preserve"> Abstract Structured physical exercise programs (PEPs) in pediatric oncology have shown benefits for physical, psychosocial, and cognitive outcomes, yet their integration into routine care varies globally. This study explores health care professionals' perceptions of PEPs across European, North African, and Arab pediatric oncology centers, comparing attitudes between centers with and without established programs, based on findings from an international survey. A validated, 14-item, multilanguage questionnaire was distributed to health care professionals involved in pediatric oncology care, including physicians, nurses, physiotherapists, and sport therapists. Responses from 575 professionals (367 European; 208 North African/Arab) were analyzed, comparing perceptions according to region, profession, and PEPs availability at their centers. Overall, 97% of respondents with PEPs experience and 91% without considered PEPs beneficial. Perceived benefits extended beyond endurance and strength to mood, self-esteem, and quality of life, particularly among those with prior PEP exposure. European centers without PEP prioritized physical rehabilitation, whereas North African/Arab centers emphasized psychosocial benefits. Significant differences emerged regarding timing, setting, and relationship to physiotherapy. Most favored integrating PEP into standard care, with stronger support among ex</w:t>
      </w:r>
    </w:p>
    <w:p>
      <w:pPr/>
      <w:r>
        <w:rPr>
          <w:b/>
        </w:rPr>
        <w:t>POSSIBLE 2026:</w:t>
      </w:r>
      <w:r>
        <w:t xml:space="preserve"> A practical framework for identifying genetic subpopulations and ESUs: Insights for IUCN assessments and broader management — https://doi.org/10.1093/biosci/biag042</w:t>
      </w:r>
    </w:p>
    <w:p>
      <w:pPr/>
      <w:r>
        <w:rPr>
          <w:b/>
        </w:rPr>
        <w:t>Shared claim-specific concepts:</w:t>
      </w:r>
      <w:r>
        <w:t xml:space="preserve"> insights, assessment, framework; EU scope not established. This is a provisional connection, not an outcome finding.</w:t>
      </w:r>
    </w:p>
    <w:p>
      <w:pPr>
        <w:pStyle w:val="SourceNote"/>
      </w:pPr>
      <w:r>
        <w:rPr>
          <w:b/>
        </w:rPr>
        <w:t>Available abstract (not full text):</w:t>
      </w:r>
      <w:r>
        <w:t xml:space="preserve"> Species conservation assessments evaluate extinction risk, and recovery potential, advancing species persistence through guiding resource prioritization and planning. Assessment frameworks, including the International Union for Conservation of Nature Red List and Green Status of Species, typically focus on species as a whole. Importantly, they do not routinely account for genetically distinct units or do not have standardized methods of unit delineation. This limits the representation of genetically distinct components, including adaptive genetic diversity that underpins long-term resilience and recovery. Incorporating standardized within-species units like subpopulations and Evolutionarily Significant Units (ESUs) into species assessments could help address this oversight. However, identifying and delineating such units remain challenging, particularly when molecular data are limited. Here, we propose a flexible framework that integrates molecular and non-molecular evidence to identify both subpopulations and ESUs across taxa, providing a practical tool to incorporate within-species diversity into conservation assessments.</w:t>
      </w:r>
    </w:p>
    <w:p>
      <w:pPr/>
      <w:r>
        <w:rPr>
          <w:b/>
        </w:rPr>
        <w:t>POSSIBLE 2026:</w:t>
      </w:r>
      <w:r>
        <w:t xml:space="preserve"> A scenario-based risk assessment framework for tyre wear particles in European seas — https://doi.org/10.1016/j.jhazmat.2026.141335</w:t>
      </w:r>
    </w:p>
    <w:p>
      <w:pPr/>
      <w:r>
        <w:rPr>
          <w:b/>
        </w:rPr>
        <w:t>Shared claim-specific concepts:</w:t>
      </w:r>
      <w:r>
        <w:t xml:space="preserve"> assessment, framework, emission, highest, provides; EU scope visible. This is a provisional connection, not an outcome finding.</w:t>
      </w:r>
    </w:p>
    <w:p>
      <w:pPr>
        <w:pStyle w:val="SourceNote"/>
      </w:pPr>
      <w:r>
        <w:rPr>
          <w:b/>
        </w:rPr>
        <w:t>Available abstract (not full text):</w:t>
      </w:r>
      <w:r>
        <w:t xml:space="preserve"> Tyre wear particles (TWPs) are an emerging pollutant of concern due to their potential risks to ecosystems and human health, yet they remain absent from European pollution monitoring and risk assessment (RA) frameworks. This study introduces a novel scenario-based RA framework tailored to complex contaminants, using European regional seas as a case study. The framework applies three scenarios that reflect the availability of empirical data and guide when modelled exposure or hazard estimates must be used. This structured approach provides transparency and flexibility for emerging pollutants where conventional tools, such as species sensitivity distributions (SSDs), fail due to scarce, inconsistent, or non-comparable datasets. TWPs pose a dual challenge: they are both physical particles and carriers of tyre wear chemicals (TWCs), which leach into aquatic systems as tyre wear leachates (TWLs). Current evidence suggests TWCs drive most toxicity, but their quantification is hindered by overlapping sources, variable composition, and limited marine ecotoxicity data. To address these gaps, a riverine emission model estimated that 82 million–1.2 billion TWPs may enter European seas annually, with predicted concentrations of 0.0001–0.016 particles m³. The Mediterranean receives the highest annual load, followed by the North-East Atlantic, Black Sea, and Baltic Sea. While modelled TWP co</w:t>
      </w:r>
    </w:p>
    <w:p>
      <w:pPr/>
      <w:r>
        <w:rPr>
          <w:b/>
        </w:rPr>
        <w:t>POSSIBLE 2026:</w:t>
      </w:r>
      <w:r>
        <w:t xml:space="preserve"> Analysis of the Evaluation Framework of European Union-Funded Tourism Projects — https://doi.org/10.37741/t.74.1.1</w:t>
      </w:r>
    </w:p>
    <w:p>
      <w:pPr/>
      <w:r>
        <w:rPr>
          <w:b/>
        </w:rPr>
        <w:t>Shared claim-specific concepts:</w:t>
      </w:r>
      <w:r>
        <w:t xml:space="preserve"> framework, outcomes; EU scope visible. This is a provisional connection, not an outcome finding.</w:t>
      </w:r>
    </w:p>
    <w:p>
      <w:pPr>
        <w:pStyle w:val="SourceNote"/>
      </w:pPr>
      <w:r>
        <w:rPr>
          <w:b/>
        </w:rPr>
        <w:t>Available abstract (not full text):</w:t>
      </w:r>
      <w:r>
        <w:t xml:space="preserve"> This paper examines the evaluation frameworks applied to tourism-related interventions funded by the European Union (EU), focusing on their effectiveness in promoting accountability, learning, and sustainable outcomes. Through content analysis of evaluation reports, audits, and programme assessments from the EU’s Cohesion Policy data platform, the study identifies key methodological patterns and recurring challenges. Despite progress in adopting participatory and mixed-method approaches, evaluations remain limited in number and scope, with tourism accounting for less than 1% of all assessments. Persistent challenges include fragmented data, a lack of standardised indicators, inconsistent methodologies, and limited capacity to assess regional diversity and long-term impacts. Poor dissemination practices further restrict knowledge transfer and reduce the learning potential. By highlighting these gaps, the paper contributes to the underexplored field of tourism evaluation in EU policy and advocates for more harmonised and transparent evaluation protocols. Strengthening these foundations is critical to enhance the impact of EU funding and supporting evidence-based policymaking in the tourism sector.</w:t>
      </w:r>
    </w:p>
    <w:p>
      <w:pPr/>
      <w:r>
        <w:rPr>
          <w:b/>
        </w:rPr>
        <w:t>POSSIBLE 2026:</w:t>
      </w:r>
      <w:r>
        <w:t xml:space="preserve"> Media Ownership Concentration and Pluralism In The European Union: An Assessment Within The Framework Of EMFA — https://doi.org/10.17680/erciyesiletisim.1755668</w:t>
      </w:r>
    </w:p>
    <w:p>
      <w:pPr/>
      <w:r>
        <w:rPr>
          <w:b/>
        </w:rPr>
        <w:t>Shared claim-specific concepts:</w:t>
      </w:r>
      <w:r>
        <w:t xml:space="preserve"> assessment, framework; EU scope visible. This is a provisional connection, not an outcome finding.</w:t>
      </w:r>
    </w:p>
    <w:p>
      <w:pPr>
        <w:pStyle w:val="SourceNote"/>
      </w:pPr>
      <w:r>
        <w:rPr>
          <w:b/>
        </w:rPr>
        <w:t>Available abstract (not full text):</w:t>
      </w:r>
      <w:r>
        <w:t xml:space="preserve"> Media ownership concentration threatens media freedom and pluralism by enabling economic and political influence over editorial decisions and information flow. Regulatory differences among EU member states cause legal uncertainty, especially for cross-border media activities, hindering the internal media market. To tackle this, the European Media Freedom Act (EMFA) establishes a regulatory framework to strengthen media pluralism, editorial independence, and ownership transparency. This study uses qualitative methods, including literature review and document analysis, to assess how EMFA addresses ownership concentration and its impact on media pluralism in the EU, with focus on Turkey’s alignment with EU regulations. Findings reveal EMFA’s key innovations: mandatory transparency, protections against political interference, and fair state advertising allocation. The European Board for Media Services’ creation marks a key institutional advance. However, limitations exist, notably the advisory nature of some rules and lack of binding enforcement, which may reduce long-term effectiveness. These raise questions about EMFA’s ability to ensure consistent application</w:t>
      </w:r>
    </w:p>
    <w:p>
      <w:pPr/>
      <w:r>
        <w:rPr>
          <w:b/>
        </w:rPr>
        <w:t>POSSIBLE 2026:</w:t>
      </w:r>
      <w:r>
        <w:t xml:space="preserve"> Physicochemical characterisation of iron (hydr)oxides and nanocellulose for food applications : insights from electron microscopy to support risk assessment in the European regulatory framework — https://doi.org/10.63028/10067/2261360151162165141</w:t>
      </w:r>
    </w:p>
    <w:p>
      <w:pPr/>
      <w:r>
        <w:rPr>
          <w:b/>
        </w:rPr>
        <w:t>Shared claim-specific concepts:</w:t>
      </w:r>
      <w:r>
        <w:t xml:space="preserve"> without, insights, assessment, framework, beyond; EU scope visible. This is a provisional connection, not an outcome finding.</w:t>
      </w:r>
    </w:p>
    <w:p>
      <w:pPr>
        <w:pStyle w:val="SourceNote"/>
      </w:pPr>
      <w:r>
        <w:rPr>
          <w:b/>
        </w:rPr>
        <w:t>Available abstract (not full text):</w:t>
      </w:r>
      <w:r>
        <w:t xml:space="preserve"> Nanotechnology is driving innovation in the food sector, making robust regulatory oversight essential. Because nanoscale features confer size-dependent properties requiring evaluation beyond traditional chemical risk assessment through thorough physicochemical characterisation, specifically particle size distribution. In this context, this work applies electron microscopy (EM)-based methods to fill physicochemical data gaps, quantify measurement uncertainties, and evaluate materials in complex matrices and biological systems for two food-relevant case studies in the European Union: iron oxides and hydroxides (food additive E 172) and nanocellulose (a novel food candidate). Characterisation of commercially available E 172 revealed four distinct forms (spheroidal and elongated hematite, elongated goethite, and spheroidal magnetite with maghemite at the surface), with 86–100% of particles under 250 nm for all materials, indicating nanoscale properties must be considered under European Food Safety Authority (EFSA) guidance documents. The results of the characterisation of food additive E 172 can contribute to refining the European Union specifications. Based on the physicochemical properties of E 172 forms, grouping for risk assessment is not advisable without endpoint-specific justification. To address the lack of a standardized validation framework, the work established a robust </w:t>
      </w:r>
    </w:p>
    <w:p>
      <w:pPr/>
      <w:r>
        <w:rPr>
          <w:b/>
        </w:rPr>
        <w:t>POSSIBLE 2025:</w:t>
      </w:r>
      <w:r>
        <w:t xml:space="preserve"> Can democratic innovations tackle social-ecological challenges? Gaining insights on transformative governance across European cases — https://doi.org/10.1007/s42532-025-00225-0</w:t>
      </w:r>
    </w:p>
    <w:p>
      <w:pPr/>
      <w:r>
        <w:rPr>
          <w:b/>
        </w:rPr>
        <w:t>Shared claim-specific concepts:</w:t>
      </w:r>
      <w:r>
        <w:t xml:space="preserve"> insights, framework, pursuit; EU scope visible. This is a provisional connection, not an outcome finding.</w:t>
      </w:r>
    </w:p>
    <w:p>
      <w:pPr>
        <w:pStyle w:val="SourceNote"/>
      </w:pPr>
      <w:r>
        <w:rPr>
          <w:b/>
        </w:rPr>
        <w:t>Available abstract (not full text):</w:t>
      </w:r>
      <w:r>
        <w:t xml:space="preserve"> Abstract In an era of democratic backsliding, the pursuit of sustainable development that addresses social-ecological challenges can become a daunting task. Participatory and deliberative practices have flourished over the last few decades, addressing, to varying extents, policy domains that can be understood within the framework of social-ecological governance and related challenges. By understanding these practices through the concept of democratic innovations (DIs), we critically examine the historical connections between practices implemented across Europe with a focus on social-ecological challenges. This work reveals the emerging potential for democratising policy and decision-making, particularly in the areas of climate action and social justice. Despite the potential of DIs for citizen engagement with social-ecological challenges, the evidence gathered so far indicates that the reproduction of social exclusion within DIs is a significant issue, reflecting barriers rooted in socio-economic cleavages and the myopia of political elites regarding long-term transformations. The capture and co-optation of DIs by powerful groups often reduces their potential to mere performative exercises that contribute little to creating inclusive settings. Therefore, while acknowledging the significant potential of DIs for social-ecological governance, we argue for the need to investigate t</w:t>
      </w:r>
    </w:p>
    <w:p>
      <w:pPr>
        <w:pStyle w:val="Heading2"/>
      </w:pPr>
      <w:r>
        <w:t>515. Central Europe: Possible Scenarios</w:t>
      </w:r>
    </w:p>
    <w:p>
      <w:pPr>
        <w:pStyle w:val="SourceNote"/>
      </w:pPr>
      <w:r>
        <w:rPr>
          <w:b/>
        </w:rPr>
        <w:t>Original source (2022):</w:t>
      </w:r>
      <w:r>
        <w:t xml:space="preserve"> https://doi.org/10.20542/0131-2227-2022-66-11-14-20</w:t>
      </w:r>
    </w:p>
    <w:p>
      <w:pPr/>
      <w:r>
        <w:t>Original wording (abstract; indexed_source_text_not_full_document_verified): One of the most pressing issues of future development is meeting the needs for energy resources, which is still difficult to assess and will have a significant impact on the prospects of the region. The innovation sector is one of the weaknesses of the Central European countries, development dynamics of which indicates that the region is lagging behind and that the situation will continue in the future, which also determines its future development.</w:t>
      </w:r>
    </w:p>
    <w:p>
      <w:pPr/>
      <w:r>
        <w:rPr>
          <w:b/>
        </w:rPr>
        <w:t>POSSIBLE 2026:</w:t>
      </w:r>
      <w:r>
        <w:t xml:space="preserve"> SPES Explorer European Pressing Issues Dashboard — https://doi.org/10.5281/zenodo.18479791</w:t>
      </w:r>
    </w:p>
    <w:p>
      <w:pPr/>
      <w:r>
        <w:rPr>
          <w:b/>
        </w:rPr>
        <w:t>Shared claim-specific concepts:</w:t>
      </w:r>
      <w:r>
        <w:t xml:space="preserve"> pressing, issues, innovation, countries; EU scope visible. This is a provisional connection, not an outcome finding.</w:t>
      </w:r>
    </w:p>
    <w:p>
      <w:pPr>
        <w:pStyle w:val="SourceNote"/>
      </w:pPr>
      <w:r>
        <w:rPr>
          <w:b/>
        </w:rPr>
        <w:t>Available abstract (not full text):</w:t>
      </w:r>
      <w:r>
        <w:t xml:space="preserve"> The SPES Explorer - European Pressing Issues Dashboard is a web-based, interactive application that visualizes how citizens across European countries historically perceived their most pressing national problems over time. It offers country-level maps and time-series charts, with optional breakdowns by age and gender. Users can explore, compare, and download harmonized indicators derived from Eurobarometer surveys. The current release candidate can be reached via https://spes-test.shinyapps.io/spes-release/ and will be incorporated into the SPES website before end of project. The dashboard’s core innovation is that it is based on harmonized Eurobarometer time surveys. Multiple survey waves are cleaned, recoded, and harmonized into consistent indicators so that changes in public concern can be tracked comparably across countries and years. This enables robust temporal analysis (e.g., rising concern about prices, immigration, or the environment) rather than one-off snapshots. SPES examines productivity, equity, sustainability, participation and human security. The dashboard documents citizens' perspectives by showing how people prioritize problems in their countries. It supports scenario building and policy dialogue by revealing shifts in perceived challenges that may motivate, accelerate, or constrain sustainable development pathways. In this sense, it is tightly connected to the</w:t>
      </w:r>
    </w:p>
    <w:p>
      <w:pPr/>
      <w:r>
        <w:rPr>
          <w:b/>
        </w:rPr>
        <w:t>POSSIBLE 2026:</w:t>
      </w:r>
      <w:r>
        <w:t xml:space="preserve"> State, law, and society: mechanisms of interaction and pressing issues — https://openalex.org/W7215667035</w:t>
      </w:r>
    </w:p>
    <w:p>
      <w:pPr/>
      <w:r>
        <w:rPr>
          <w:b/>
        </w:rPr>
        <w:t>Shared claim-specific concepts:</w:t>
      </w:r>
      <w:r>
        <w:t xml:space="preserve"> pressing, issues, significant; EU scope not established. This is a provisional connection, not an outcome finding.</w:t>
      </w:r>
    </w:p>
    <w:p>
      <w:pPr>
        <w:pStyle w:val="SourceNote"/>
      </w:pPr>
      <w:r>
        <w:rPr>
          <w:b/>
        </w:rPr>
        <w:t>Available abstract (not full text):</w:t>
      </w:r>
      <w:r>
        <w:t xml:space="preserve"> The purpose of the study was to investigate the mechanisms of interaction between the state, law, society, and to identify the challenges of their functioning. To achieve this goal, an analysis of the current legislation of Kyrgyzstan regulating the interaction of the state, law, and society was carried out, with an emphasis on regulatory mechanisms for civil participation. As a result of the study, it was found that a model of interaction between the state, law, and society is being formed in Kyrgyzstan, characterised by a gradual transition to partner forms of governance. The creation of civil society institutions, the active participation of non-governmental groups in the implementation of social programmes, and the normative tools for public participation in administrative decision-making are the main mechanisms for such interaction. The analysis of the current legislation showed the existence of a legal framework for interaction between state bodies and citizens, in particular, through public councils, consulting procedures, and electronic participation platforms. However, other issues were noted, including the need to strengthen accountability and transparency processes, the lack of a legal culture in some areas, and limited access to participatory mechanisms. Kyrgyzstan’s legal system is gradually adapting to the principles of the rule of law, including through the refor</w:t>
      </w:r>
    </w:p>
    <w:p>
      <w:pPr/>
      <w:r>
        <w:rPr>
          <w:b/>
        </w:rPr>
        <w:t>POSSIBLE 2026:</w:t>
      </w:r>
      <w:r>
        <w:t xml:space="preserve"> How can Europe address its pressing AI compute infrastructure shortfall? — https://doi.org/10.64153/shia4474</w:t>
      </w:r>
    </w:p>
    <w:p>
      <w:pPr/>
      <w:r>
        <w:rPr>
          <w:b/>
        </w:rPr>
        <w:t>Shared claim-specific concepts:</w:t>
      </w:r>
      <w:r>
        <w:t xml:space="preserve"> pressing, resources, significant; EU scope visible. This is a provisional connection, not an outcome finding.</w:t>
      </w:r>
    </w:p>
    <w:p>
      <w:pPr>
        <w:pStyle w:val="SourceNote"/>
      </w:pPr>
      <w:r>
        <w:rPr>
          <w:b/>
        </w:rPr>
        <w:t>Available abstract (not full text):</w:t>
      </w:r>
      <w:r>
        <w:t xml:space="preserve"> Only two gigawatts of artificial-intelligence compute capacity, equating to five percent of the global total, is located in the European Union. Planned projects will barely change the EU’s global share. As local compute is a necessary condition for AI sovereignty, the EU should maximise domestic compute capacity, regardless of the origin of compute resources. Private capital is not the crucial constraint on Europe’s AI compute build-out. Speed-to-operation and grid access are more significant limitations. An attempt is being made to address permitting through the European Commission’s proposal for a Cloud and AI Development Act (CADA). Gigafactory subsidies could be redirected to competitive grants that put regions in competition with each other in terms of permitting times. Faster movers should get larger grants. Policy should also prioritise anticipatory grid investment and faster grid connections – grid access is left out of the scope of CADA. Global chip production capacity constraints turn regional chip allocations into a near zero-sum game. The EU could incentivise United States hyperscalers to install larger shares of their AI chip supply in EU data centres. Rather than putting stringent sovereignty conditions on the compute inputs side, it should put these on the AI services outputs side, for example through voluntary ‘processed in the EU’ labels on services sold to EU </w:t>
      </w:r>
    </w:p>
    <w:p>
      <w:pPr/>
      <w:r>
        <w:rPr>
          <w:b/>
        </w:rPr>
        <w:t>POSSIBLE 2026:</w:t>
      </w:r>
      <w:r>
        <w:t xml:space="preserve"> Meeting the Needs of the Global Quantum Science Community: A Call to Action — https://doi.org/10.48550/arxiv.2601.14297</w:t>
      </w:r>
    </w:p>
    <w:p>
      <w:pPr/>
      <w:r>
        <w:rPr>
          <w:b/>
        </w:rPr>
        <w:t>Shared claim-specific concepts:</w:t>
      </w:r>
      <w:r>
        <w:t xml:space="preserve"> one, meeting, needs; EU scope not established. This is a provisional connection, not an outcome finding.</w:t>
      </w:r>
    </w:p>
    <w:p>
      <w:pPr>
        <w:pStyle w:val="SourceNote"/>
      </w:pPr>
      <w:r>
        <w:rPr>
          <w:b/>
        </w:rPr>
        <w:t>Available abstract (not full text):</w:t>
      </w:r>
      <w:r>
        <w:t xml:space="preserve"> 2025 marks one hundred years since the discovery of quantum mechanics. In the century since then, quantum science has blossomed into a global community composed of academics, engineers, developers, and entrepreneurs. The world is currently in the middle of the so-called second quantum revolution, with increased public awareness of quantum science and technology, and growing investment in both quantum hardware and software applications. However, representation remains low among historically marginalized groups: women, LGBTQ+, BIPOC, and people from the global south make up disproportionately few physicists. There are numerous efforts to improve diversity within quantum science, including through workforce development. But many of the changes enacted at the highest levels have failed to result in real change, as highlighted and discussed in the recent Women For Quantum Manifesto of Values. Here, we seek to echo and amplify the need for real change in the quantum ecosystem, emphasizing intersectionality and a feminist approach that centers the most vulnerable members of the quantum community: young students and researchers, especially those communities historically marginalized from quantum science. This report is our attempt to help quantum communities meet this need; we have conducted a survey of quantum scientists all over the world, and here we include both a preliminary repor</w:t>
      </w:r>
    </w:p>
    <w:p>
      <w:pPr/>
      <w:r>
        <w:rPr>
          <w:b/>
        </w:rPr>
        <w:t>POSSIBLE 2026:</w:t>
      </w:r>
      <w:r>
        <w:t xml:space="preserve"> Meeting Users’ Needs in National Health Information Infrastructures - Lessons from the Case of Germany — https://doi.org/10.24251/hicss.2026.448</w:t>
      </w:r>
    </w:p>
    <w:p>
      <w:pPr/>
      <w:r>
        <w:rPr>
          <w:b/>
        </w:rPr>
        <w:t>Shared claim-specific concepts:</w:t>
      </w:r>
      <w:r>
        <w:t xml:space="preserve"> meeting, needs, countries, dynamics; EU scope visible. This is a provisional connection, not an outcome finding.</w:t>
      </w:r>
    </w:p>
    <w:p>
      <w:pPr>
        <w:pStyle w:val="SourceNote"/>
      </w:pPr>
      <w:r>
        <w:rPr>
          <w:b/>
        </w:rPr>
        <w:t>Available abstract (not full text):</w:t>
      </w:r>
      <w:r>
        <w:t xml:space="preserve"> National health information infrastructures (HII) are critical for enabling interoperable and efficient healthcare delivery. However, many national initiatives struggle with misaligned stakeholder interests and unclear roles of regulators. This study investigates a national HII, which includes three important public health applications. Drawing on interviews, participatory observations, and regulatory documents, we examine how stakeholder dynamics and regulatory constraints shape the development process. While existing research has often described such cases, our study adopts a solution-oriented perspective. We derive three actionable recommendations to better align national HII with end-user needs, emphasizing balanced stakeholder involvement, user-centered design, and governance structures that promote healthcare delivery outcomes. Our findings contribute to the literature by extending empirical insights on national HII and offering guidance for governments and policymakers designing similar infrastructures in other countries.</w:t>
      </w:r>
    </w:p>
    <w:p>
      <w:pPr/>
      <w:r>
        <w:rPr>
          <w:b/>
        </w:rPr>
        <w:t>POSSIBLE 2026:</w:t>
      </w:r>
      <w:r>
        <w:t xml:space="preserve"> Feeling responsible, feeling better? The climate-happiness link across European Union — https://doi.org/10.71014/sieds.v80i2.563</w:t>
      </w:r>
    </w:p>
    <w:p>
      <w:pPr/>
      <w:r>
        <w:rPr>
          <w:b/>
        </w:rPr>
        <w:t>Shared claim-specific concepts:</w:t>
      </w:r>
      <w:r>
        <w:t xml:space="preserve"> one, pressing, issues, countries; EU scope visible. This is a provisional connection, not an outcome finding.</w:t>
      </w:r>
    </w:p>
    <w:p>
      <w:pPr>
        <w:pStyle w:val="SourceNote"/>
      </w:pPr>
      <w:r>
        <w:rPr>
          <w:b/>
        </w:rPr>
        <w:t>Available abstract (not full text):</w:t>
      </w:r>
      <w:r>
        <w:t xml:space="preserve"> Climate change is one of the most pressing environmental issues, and often cause citizzens’ anxiety. One such pressing concern is how citizens' sense of personal responsibility for climate change affects their overall life satisfaction. The current study examines this relationship using data from Round 11 (2023) of the European Social Survey (ESS). We examine the extent to which feeling personally responsible for mitigating climate change is associated with life satisfaction, controlling for a number of socio-demographic and attitudinal controls. These include age, gender, political orientation, country of residence, migrant status, whether one believes that climate change exists, how concerned one is about protecting the environment, how close one feels to Europe and one's country of origin, and trust in the European Parliament. The results suggest that individuals who identify more strongly with the task of tackling climate change, report more trust in European institutions, and reside in northern European Member States enjoy greater life satisfaction. Conversely, individuals - mainly from some Eastern and Southern European countries - who either express low identification with Europe or are apathetic about identifying with it are less satisfied.</w:t>
      </w:r>
    </w:p>
    <w:p>
      <w:pPr/>
      <w:r>
        <w:rPr>
          <w:b/>
        </w:rPr>
        <w:t>POSSIBLE 2026:</w:t>
      </w:r>
      <w:r>
        <w:t xml:space="preserve"> Insights of the Adult Immunization Board Meeting — https://openalex.org/W7167399882</w:t>
      </w:r>
    </w:p>
    <w:p>
      <w:pPr/>
      <w:r>
        <w:rPr>
          <w:b/>
        </w:rPr>
        <w:t>Shared claim-specific concepts:</w:t>
      </w:r>
      <w:r>
        <w:t xml:space="preserve"> issues, meeting, significant; EU scope visible. This is a provisional connection, not an outcome finding.</w:t>
      </w:r>
    </w:p>
    <w:p>
      <w:pPr>
        <w:pStyle w:val="SourceNote"/>
      </w:pPr>
      <w:r>
        <w:rPr>
          <w:b/>
        </w:rPr>
        <w:t>Available abstract (not full text):</w:t>
      </w:r>
      <w:r>
        <w:t xml:space="preserve"> As Europe’s population ages, optimizing vaccination strategies for older adults is an increasing public health priority. Vaccine-preventable infections pose significant risks, including increased morbidity and mortality, reduced quality of life, and substantial healthcare costs. Prevention, particularly adult vaccination, plays a vital role in mitigating these outcomes and supporting healthy ageing. While childhood immunization remains essential, a life-course approach including routine older adult vaccination is needed. Coverage among older adults across Europe remains suboptimal owing to factors such as heterogeneous (sub)national policies, health literacy issues, financial barriers, access issues, and persistent structural and societal barriers. To meet these challenges, the Adult Immunization Board (AIB) convened a technical meeting in May 2025, to discuss strategies for improving vaccination in older adults. The meeting explored how older adults are defined in immunization policies (for the meeting, an operational threshold of ≥ 50 years was used, while acknowledging that many national age-based programs commonly start around 60–65 years) and reviewed current adult vaccines and programmatic implementation across six vaccines. Discussions highlighted the need for a life-course approach with coordinated (inter)national policies, clear adult vaccination schedules, dedicated i</w:t>
      </w:r>
    </w:p>
    <w:p>
      <w:pPr/>
      <w:r>
        <w:rPr>
          <w:b/>
        </w:rPr>
        <w:t>POSSIBLE 2026:</w:t>
      </w:r>
      <w:r>
        <w:t xml:space="preserve"> Meeting the mind’s essentials: Basic psychological needs and student well-being in higher education — https://doi.org/10.31893/multirev.2026576</w:t>
      </w:r>
    </w:p>
    <w:p>
      <w:pPr/>
      <w:r>
        <w:rPr>
          <w:b/>
        </w:rPr>
        <w:t>Shared claim-specific concepts:</w:t>
      </w:r>
      <w:r>
        <w:t xml:space="preserve"> meeting, needs, significant; EU scope not established. This is a provisional connection, not an outcome finding.</w:t>
      </w:r>
    </w:p>
    <w:p>
      <w:pPr>
        <w:pStyle w:val="SourceNote"/>
      </w:pPr>
      <w:r>
        <w:rPr>
          <w:b/>
        </w:rPr>
        <w:t>Available abstract (not full text):</w:t>
      </w:r>
      <w:r>
        <w:t xml:space="preserve"> This study explored the fulfillment of basic psychological needs and its relationship with student well-being in higher education. Anchored on Self-Determination Theory and guided by the growing emphasis on mental health in academic settings, the research aimed to examine how autonomy, competence, and relatedness influence students’ overall well-being. A descriptive-correlational design was employed, with data collected from a sample of college students selected through simple random sampling. Standardized tools—the Basic Psychological Need Satisfaction and Frustration Scale (BPNSFS) and the WHO-5 Well-being Index—were used to measure the variables. Data analysis included descriptive statistics and Pearson correlation to determine the nature and strength of the relationship between psychological needs and well-being. Students reported a moderate level of psychological need fulfillment, with differences across the domains of autonomy, competence, and relatedness. Well-being scores ranged from good to at-risk levels, reflecting both positive mental health and emotional vulnerability. A significant positive correlation was found between psychological need satisfaction and student well-being. The results highlight the importance of fulfilling basic psychological needs in promoting students’ mental health. The study emphasizes the need for educational institutions to cultivate envir</w:t>
      </w:r>
    </w:p>
    <w:p>
      <w:pPr/>
      <w:r>
        <w:rPr>
          <w:b/>
        </w:rPr>
        <w:t>POSSIBLE 2026:</w:t>
      </w:r>
      <w:r>
        <w:t xml:space="preserve"> The Role of the Government in Meeting Military Energy Needs: A Literature Review of Defense Energy Strategies and Policies — https://doi.org/10.55927/fjmr.v5i7.114</w:t>
      </w:r>
    </w:p>
    <w:p>
      <w:pPr/>
      <w:r>
        <w:rPr>
          <w:b/>
        </w:rPr>
        <w:t>Shared claim-specific concepts:</w:t>
      </w:r>
      <w:r>
        <w:t xml:space="preserve"> meeting, needs, energy; EU scope not established. This is a provisional connection, not an outcome finding.</w:t>
      </w:r>
    </w:p>
    <w:p>
      <w:pPr>
        <w:pStyle w:val="SourceNote"/>
      </w:pPr>
      <w:r>
        <w:rPr>
          <w:b/>
        </w:rPr>
        <w:t>Available abstract (not full text):</w:t>
      </w:r>
      <w:r>
        <w:t xml:space="preserve"> This study employed a qualitative approach with a systematic literature review design, involving peer-reviewed journal articles, institutional policy documents, and academic monographs selected through purposive sampling based on criteria of temporal relevance and thematic specificity, with priority given to sources published between 2010 and 2024. Data were collected using systematic documentary analysis and analyzed using a two-stage process combining descriptive thematic mapping and comparative cross-contextual analysis. The findings indicate that legislative mandates produce more durable defense energy reform outcomes than administrative directives; that a persistent and consequential gap exists between declared policy objectives and actual budget appropriations, with reactive rather than anticipatory budgeting constituting the dominant pattern across cases; that a portfolio approach combining diversification, efficiency reform, and renewable integration rather than any single strategy best addresses the full range of operational demands; and that the body of defense energy policy knowledge has developed almost entirely through Western, high-income defense establishment experience, generating frameworks that require reconceptualization rather than direct translation for developing-country contexts. This study also provides opportunities for further research on the instituti</w:t>
      </w:r>
    </w:p>
    <w:p>
      <w:pPr/>
      <w:r>
        <w:rPr>
          <w:b/>
        </w:rPr>
        <w:t>POSSIBLE 2025:</w:t>
      </w:r>
      <w:r>
        <w:t xml:space="preserve"> Health Disparities: The Emerging Trends and Pressing Challenges — https://doi.org/10.3390/books978-3-7258-3147-0</w:t>
      </w:r>
    </w:p>
    <w:p>
      <w:pPr/>
      <w:r>
        <w:rPr>
          <w:b/>
        </w:rPr>
        <w:t>Shared claim-specific concepts:</w:t>
      </w:r>
      <w:r>
        <w:t xml:space="preserve"> one, pressing, issues, dynamics; EU scope visible. This is a provisional connection, not an outcome finding.</w:t>
      </w:r>
    </w:p>
    <w:p>
      <w:pPr>
        <w:pStyle w:val="SourceNote"/>
      </w:pPr>
      <w:r>
        <w:rPr>
          <w:b/>
        </w:rPr>
        <w:t>Available abstract (not full text):</w:t>
      </w:r>
      <w:r>
        <w:t xml:space="preserve"> Health disparities represent one of the most pressing challenges in modern healthcare systems worldwide. Health disparities have a profound influence on communities and individuals, shaping their overall health, well-being, and social dynamics.These preventable differences in health outcomes, disease burden, and access to quality care continue to affect socially disadvantaged populations, perpetuating cycles of inequality and undermining the fundamental principle of health equity. As we delve deeper into the 21st century, the urgency to address these disparities has never been more apparent, with emerging trends highlighting both the persistence of long-standing issues and the rise of new challenges in our rapidly evolving global landscape.The European Journal of Investigation in Health, Psychology and Education has dedicated a Special Issue to the exploration of the critical topic of Health Disparities: The Emerging Trends and Pressing Challenges. This collection of research aims to shed light on the multifaceted nature of health disparities, their root causes, and potential solutions, bringing together insights from various disciplines to inform policy, practice, and future research directions.</w:t>
      </w:r>
    </w:p>
    <w:p>
      <w:pPr/>
      <w:r>
        <w:rPr>
          <w:b/>
        </w:rPr>
        <w:t>POSSIBLE 2025:</w:t>
      </w:r>
      <w:r>
        <w:t xml:space="preserve"> Safe access to asylum in Europe: revisiting the litmus test of refugee law — https://doi.org/10.59350/fluchtforschung.14630</w:t>
      </w:r>
    </w:p>
    <w:p>
      <w:pPr/>
      <w:r>
        <w:rPr>
          <w:b/>
        </w:rPr>
        <w:t>Shared claim-specific concepts:</w:t>
      </w:r>
      <w:r>
        <w:t xml:space="preserve"> one, pressing, issues, still; EU scope visible. This is a provisional connection, not an outcome finding.</w:t>
      </w:r>
    </w:p>
    <w:p>
      <w:pPr>
        <w:pStyle w:val="SourceNote"/>
      </w:pPr>
      <w:r>
        <w:rPr>
          <w:b/>
        </w:rPr>
        <w:t>Available abstract (not full text):</w:t>
      </w:r>
      <w:r>
        <w:t xml:space="preserve"> The question of safe and regulated entry for protection seekers into a state of refuge is still one of the most pressing issues of the asylum system in Europe.</w:t>
      </w:r>
    </w:p>
    <w:p>
      <w:pPr/>
      <w:r>
        <w:rPr>
          <w:b/>
        </w:rPr>
        <w:t>POSSIBLE 2025:</w:t>
      </w:r>
      <w:r>
        <w:t xml:space="preserve"> Islamic Lifestyle Applications: Meeting the Spiritual Needs of Modern Muslims — https://doi.org/10.1080/10447318.2025.2595545</w:t>
      </w:r>
    </w:p>
    <w:p>
      <w:pPr/>
      <w:r>
        <w:rPr>
          <w:b/>
        </w:rPr>
        <w:t>Shared claim-specific concepts:</w:t>
      </w:r>
      <w:r>
        <w:t xml:space="preserve"> meeting, needs, assess; EU scope not established. This is a provisional connection, not an outcome finding.</w:t>
      </w:r>
    </w:p>
    <w:p>
      <w:pPr>
        <w:pStyle w:val="SourceNote"/>
      </w:pPr>
      <w:r>
        <w:rPr>
          <w:b/>
        </w:rPr>
        <w:t>Available abstract (not full text):</w:t>
      </w:r>
      <w:r>
        <w:t xml:space="preserve"> We evaluated contemporary Islamic lifestyle applications supporting religious practices and motivation among Muslims. We reviewed 11 popular applications using self-determination theory and the technology-as-experience framework to assess their support for motivation and affective needs. Most applications lack features that foster autonomy, competence, and relatedness. We also interviewed ten devoted Muslim application users to gain insights into their experiences and unmet needs. Our findings indicate that existing applications fall short in providing comprehensive learning, social connections, and scholar consultations. We propose design implications based on our results, including spiritual empowerment through technology, designing for intrinsic motivation, culturally grounded design and community engagement. We aim to inform the design of Islamic lifestyle applications that better facilitate ritual practices, benefitting application designers and Muslim communities. Our research provides valuable insights into the untapped potential for lifestyle applications to act as religious companions supporting Muslims’ spiritual journey.</w:t>
      </w:r>
    </w:p>
    <w:p>
      <w:pPr>
        <w:pStyle w:val="Heading2"/>
      </w:pPr>
      <w:r>
        <w:t>516. Climate Change and Renewable Energy Generation in Europe—Long-Term Impact Assessment on Solar and Wind Energy Using High-Resolution Future Climate Data and Considering Climate Uncertainties</w:t>
      </w:r>
    </w:p>
    <w:p>
      <w:pPr>
        <w:pStyle w:val="SourceNote"/>
      </w:pPr>
      <w:r>
        <w:rPr>
          <w:b/>
        </w:rPr>
        <w:t>Original source (2022):</w:t>
      </w:r>
      <w:r>
        <w:t xml:space="preserve"> https://doi.org/10.3390/en15010302</w:t>
      </w:r>
    </w:p>
    <w:p>
      <w:pPr/>
      <w:r>
        <w:t>Original wording (abstract; indexed_source_text_not_full_document_verified): Thirteen future climate scenarios, including five global climate models (GCMs) and three representative concentration pathways (RCPs), are downscaled by the RCA4 regional climate model (RCM) over 90 years (2010–2099), divided into three 30-year periods. The results showed that the uncertainty caused by GCMs has the most substantial impact on projecting renewable energy generation.</w:t>
      </w:r>
    </w:p>
    <w:p>
      <w:pPr/>
      <w:r>
        <w:rPr>
          <w:b/>
        </w:rPr>
        <w:t>POSSIBLE 2026:</w:t>
      </w:r>
      <w:r>
        <w:t xml:space="preserve"> Robust data integration methods for understanding associations between climate change and hantavirus infection in Europe are needed: A systematic-narrative hybrid literature review — https://doi.org/10.1016/j.envc.2026.101486</w:t>
      </w:r>
    </w:p>
    <w:p>
      <w:pPr/>
      <w:r>
        <w:rPr>
          <w:b/>
        </w:rPr>
        <w:t>Shared claim-specific concepts:</w:t>
      </w:r>
      <w:r>
        <w:t xml:space="preserve"> thirteen, climate, including, pathways, substantial; EU scope visible. This is a provisional connection, not an outcome finding.</w:t>
      </w:r>
    </w:p>
    <w:p>
      <w:pPr>
        <w:pStyle w:val="SourceNote"/>
      </w:pPr>
      <w:r>
        <w:rPr>
          <w:b/>
        </w:rPr>
        <w:t>Available abstract (not full text):</w:t>
      </w:r>
      <w:r>
        <w:t xml:space="preserve"> The relationship between climate change and human hantavirus infection is complex, involving not only climate itself but also environmental conditions, rodent host ecology, and human behavior. Understanding this broader causal pathway requires careful integration of diverse data sources. Compared with well-studied vector-borne diseases, human hantavirus infection remains less explored, partly because its transmission pathways are more complicated to characterize. To assess how current evidence addresses this complexity, particularly the data and methods used, we reviewed empirical studies examining associations between climatic factors and human hantavirus infection in Europe. Thirteen studies were identified through a systematic approach. Using a tailored evaluation framework, we assessed their analytical approaches, including spatial and temporal resolution, lag effects, and handling of modifying and mediating variables. Across studies, we found substantial variation in data and methods. This heterogeneity, combined with differences in scale and variable selection, has led to inconsistent conclusions about whether and how climate influences hantavirus risk across different European regions. Our review highlights the need for more robust, coherent methodological strategies and explicit causal frameworks to clarify the relationships between climate and hantavirus infection and </w:t>
      </w:r>
    </w:p>
    <w:p>
      <w:pPr/>
      <w:r>
        <w:rPr>
          <w:b/>
        </w:rPr>
        <w:t>POSSIBLE 2026:</w:t>
      </w:r>
      <w:r>
        <w:t xml:space="preserve"> Recent flood disasters in Europe (2007–2025): comparative analysis and policy implications for climate-resilient governance — https://doi.org/10.1080/15715124.2026.2694415</w:t>
      </w:r>
    </w:p>
    <w:p>
      <w:pPr/>
      <w:r>
        <w:rPr>
          <w:b/>
        </w:rPr>
        <w:t>Shared claim-specific concepts:</w:t>
      </w:r>
      <w:r>
        <w:t xml:space="preserve"> climate, including, five, regional; EU scope visible. This is a provisional connection, not an outcome finding.</w:t>
      </w:r>
    </w:p>
    <w:p>
      <w:pPr>
        <w:pStyle w:val="SourceNote"/>
      </w:pPr>
      <w:r>
        <w:rPr>
          <w:b/>
        </w:rPr>
        <w:t>Available abstract (not full text):</w:t>
      </w:r>
      <w:r>
        <w:t xml:space="preserve"> Flood disasters in Europe have become increasingly frequent and severe due to factors including rapid urbanisation, infrastructure vulnerabilities and climate change-related weather anomalies. This paper summarises lessons from major flood events since 2007 using a harmonised framework aligned with Integrated Flood Risk Management (IFRM). The analysis is based on multi-country datasets and case studies. Hazards characteristics, exposure, vulnerability and governance responses are examined in order to identify recurring patterns and systemic gaps. The results of the study highlighted five critical themes: (i) the growing prevalence of riverine and flash floods in urban areas; (ii) the amplifying effects of urbanisation and inadequate drainage; (iii) the shaping of hazard profiles by climate-induced extremes; (iv) the persistent shortcomings in the dissemination of early warnings and last-mile communication and (v) the regional variability in vulnerability and coping capacity. The insights gathered have informed a series of recommendations for policy and practice, the enhancement of early warning systems, investment in sustainable infrastructure, cross-border cooperation and community resilience. The objective of these findings is to inform adaptive strategies and strengthen Europe’s capacity to manage evolving flood risks under increasing urbanisation, continuous economic develo</w:t>
      </w:r>
    </w:p>
    <w:p>
      <w:pPr/>
      <w:r>
        <w:rPr>
          <w:b/>
        </w:rPr>
        <w:t>POSSIBLE 2026:</w:t>
      </w:r>
      <w:r>
        <w:t xml:space="preserve"> Climate Change Threatens Micronutrient Density of European Winter Wheat — https://doi.org/10.1002/advs.202513322</w:t>
      </w:r>
    </w:p>
    <w:p>
      <w:pPr/>
      <w:r>
        <w:rPr>
          <w:b/>
        </w:rPr>
        <w:t>Shared claim-specific concepts:</w:t>
      </w:r>
      <w:r>
        <w:t xml:space="preserve"> climate, representative, uncertainty; EU scope visible. This is a provisional connection, not an outcome finding.</w:t>
      </w:r>
    </w:p>
    <w:p>
      <w:pPr>
        <w:pStyle w:val="SourceNote"/>
      </w:pPr>
      <w:r>
        <w:rPr>
          <w:b/>
        </w:rPr>
        <w:t>Available abstract (not full text):</w:t>
      </w:r>
      <w:r>
        <w:t xml:space="preserve"> ABSTRACT Micronutrients are vital for human health. Wheat is a major staple crop and a significant source of minerals and B‐vitamins. The impact of multifactorial climate change on their content remains largely unknown, introducing uncertainty to human nutrition and well‐being. Here, we used an Ecotron to evaluate micronutrient levels in European winter wheat ( Triticum aestivum var. Asory) under historical and projected climate conditions, incorporating gradients of atmospheric CO 2 , temperature, precipitation, and light intensity representative of ongoing climate change in Western Europe. Our findings indicate that future climates will strongly diminish multiple minerals and B‐vitamins in grains, thereby posing a significant challenge for global public health.</w:t>
      </w:r>
    </w:p>
    <w:p>
      <w:pPr/>
      <w:r>
        <w:rPr>
          <w:b/>
        </w:rPr>
        <w:t>POSSIBLE 2026:</w:t>
      </w:r>
      <w:r>
        <w:t xml:space="preserve"> Thermal niche tracking in thirteen British temperate passerines — https://doi.org/10.22541/authorea.15010264/v1</w:t>
      </w:r>
    </w:p>
    <w:p>
      <w:pPr/>
      <w:r>
        <w:rPr>
          <w:b/>
        </w:rPr>
        <w:t>Shared claim-specific concepts:</w:t>
      </w:r>
      <w:r>
        <w:t xml:space="preserve"> thirteen, climate, over; EU scope not established. This is a provisional connection, not an outcome finding.</w:t>
      </w:r>
    </w:p>
    <w:p>
      <w:pPr>
        <w:pStyle w:val="SourceNote"/>
      </w:pPr>
      <w:r>
        <w:rPr>
          <w:b/>
        </w:rPr>
        <w:t>Available abstract (not full text):</w:t>
      </w:r>
      <w:r>
        <w:t xml:space="preserve"> Identifying how and why species vary in their ability to adjust to rapidly changing climates is a key challenge in ecology. While phenological shifts are well documented for birds and often studied in the context of tracking resource availability, less is known about the extent to which adjustments in phenology allow populations to track a consistent thermal niche. In particular, there has been little examination of how the extent of phenological thermal niche tracking compares over time versus space; a comparison that has the potential to inform on the underlying mechanisms. Here, we use data on breeding phenology derived from BTO Nest Record Scheme data, to examine the extent to which 13 passerine bird species track a consistent incubation thermal niche across years (both interannually and a year gradient) and along latitudinal and elevational gradients, and whether migrant and resident species differ in their tracking ability. Overall, we find support across species for partial tracking, with all species showing trends consistent with partial tracking across one or more axis, though for one species we could not reject the null hypothesis of no tracking. When we looked at average trends across species, we find significant tracking across interannual variation, latitude, and elevation, but not across a year trend. However, we find no evidence that tracking differs between resi</w:t>
      </w:r>
    </w:p>
    <w:p>
      <w:pPr/>
      <w:r>
        <w:rPr>
          <w:b/>
        </w:rPr>
        <w:t>POSSIBLE 2026:</w:t>
      </w:r>
      <w:r>
        <w:t xml:space="preserve"> Heterogeneity and global climate action — https://doi.org/10.21953/researchonline.lse.ac.uk.00137104</w:t>
      </w:r>
    </w:p>
    <w:p>
      <w:pPr/>
      <w:r>
        <w:rPr>
          <w:b/>
        </w:rPr>
        <w:t>Shared claim-specific concepts:</w:t>
      </w:r>
      <w:r>
        <w:t xml:space="preserve"> climate, caused; EU scope not established. This is a provisional connection, not an outcome finding.</w:t>
      </w:r>
    </w:p>
    <w:p>
      <w:pPr>
        <w:pStyle w:val="SourceNote"/>
      </w:pPr>
      <w:r>
        <w:rPr>
          <w:b/>
        </w:rPr>
        <w:t>Available abstract (not full text):</w:t>
      </w:r>
      <w:r>
        <w:t xml:space="preserve"> Responses to climate change differ between countries yet the impact of these differences on the evolution of global climate action has not been analysed to date. This paper addresses two related questions: (i) what is the role of the variation of preferences in the global political economy of climate action; and (ii) what are the necessary conditions for sustained high levels of global action? The authors develop a model to assess countries’ choices at different times to either take action to reduce emissions or not. They find that countries’ choices are influenced by their current level of emissions, total participation in climate action, and other idiosyncratic factors. The heterogeneity between countries is caused by income inequality, differing vulnerability to climate damage, and other political economy factors. The model’s key result is that sustained high levels of global action are achieved only if there is a low degree of heterogeneity in countries’ preferences for action and a strong peer pressure effect to act.</w:t>
      </w:r>
    </w:p>
    <w:p>
      <w:pPr/>
      <w:r>
        <w:rPr>
          <w:b/>
        </w:rPr>
        <w:t>POSSIBLE 2026:</w:t>
      </w:r>
      <w:r>
        <w:t xml:space="preserve"> Business, Climate Litigation and Human Rights in a Changing Global Political Climate — https://doi.org/10.56461/iup_rlrc.2026.7.ch22</w:t>
      </w:r>
    </w:p>
    <w:p>
      <w:pPr/>
      <w:r>
        <w:rPr>
          <w:b/>
        </w:rPr>
        <w:t>Shared claim-specific concepts:</w:t>
      </w:r>
      <w:r>
        <w:t xml:space="preserve"> climate, over; EU scope visible. This is a provisional connection, not an outcome finding.</w:t>
      </w:r>
    </w:p>
    <w:p>
      <w:pPr>
        <w:pStyle w:val="SourceNote"/>
      </w:pPr>
      <w:r>
        <w:rPr>
          <w:b/>
        </w:rPr>
        <w:t>Available abstract (not full text):</w:t>
      </w:r>
      <w:r>
        <w:t xml:space="preserve"> Climate litigation is increasingly framed not only as an environmental issue, but as a struggle over human rights in a changing global political climate. At the same time, business and human rights frameworks in Europe—especially mandatory due diligence and sustainability reporting—are expanding and are often presented as tools to strengthen corporate accountability. This paper argues that, despite the expansion of legal and regulatory mechanisms, corporate actors continue to rely on ESG narratives as a form of corporate legitimization, while affected communities face structural barriers to accessing justice. Drawing on developments in Europe and the Global South, the paper highlights a persistent gap between corporate contribution to climate harm and legal accountability. It concludes that without stronger attention to power asymmetries and access to justice, climate litigation and Business and Human Rights (BHR) regulation may reinforce existing inequalities rather than deliver climate justice.</w:t>
      </w:r>
    </w:p>
    <w:p>
      <w:pPr/>
      <w:r>
        <w:rPr>
          <w:b/>
        </w:rPr>
        <w:t>POSSIBLE 2026:</w:t>
      </w:r>
      <w:r>
        <w:t xml:space="preserve"> Climate anxiety among nursing students: a scoping review — https://doi.org/10.1186/s12912-026-04656-2</w:t>
      </w:r>
    </w:p>
    <w:p>
      <w:pPr/>
      <w:r>
        <w:rPr>
          <w:b/>
        </w:rPr>
        <w:t>Shared claim-specific concepts:</w:t>
      </w:r>
      <w:r>
        <w:t xml:space="preserve"> thirteen, climate, including, uncertainty; EU scope not established. This is a provisional connection, not an outcome finding.</w:t>
      </w:r>
    </w:p>
    <w:p>
      <w:pPr>
        <w:pStyle w:val="SourceNote"/>
      </w:pPr>
      <w:r>
        <w:rPr>
          <w:b/>
        </w:rPr>
        <w:t>Available abstract (not full text):</w:t>
      </w:r>
      <w:r>
        <w:t xml:space="preserve"> BACKGROUND: Climate change is a critical 21st-century global challenge affecting the environment, public health, and social well-being. Climate anxiety is increasingly prevalent among nursing students, who bear a dual burden of personal psychological stress and professional responsibility for addressing climate-related health consequences. However, synthesized evidence on this topic remains limited. AIMS: To comprehensively map the assessment tools, influencing factors, and intervention strategies related to climate anxiety among nursing students, identify key knowledge gaps, and provide evidence-based recommendations for future research and nursing education. DESIGN: Scoping review conducted following the Arksey and O’Malley framework and reported in accordance with the PRISMA extension for Scoping Reviews (PRISMA-ScR) 2020 guidelines. DATA SOURCES: Seven major electronic databases (PubMed, Cochrane Library, Embase, CINAHL, Web of Science Core Collection, Scopus, and Medline) were searched from database inception to March 1, 2026. METHODS: Literature was screened based on the PCC (Population, Concept, Context) framework, followed by rigorous two-stage independent screening and standardized data charting by two reviewers. RESULTS: Thirteen studies involving a total of 5,096 nursing students were included. All studies were published between 2024 and 2025, with the majority condu</w:t>
      </w:r>
    </w:p>
    <w:p>
      <w:pPr/>
      <w:r>
        <w:rPr>
          <w:b/>
        </w:rPr>
        <w:t>POSSIBLE 2026:</w:t>
      </w:r>
      <w:r>
        <w:t xml:space="preserve"> Unraveling European electricity price volatility: The impact of renewables — https://doi.org/10.1016/j.esr.2026.102144</w:t>
      </w:r>
    </w:p>
    <w:p>
      <w:pPr/>
      <w:r>
        <w:rPr>
          <w:b/>
        </w:rPr>
        <w:t>Shared claim-specific concepts:</w:t>
      </w:r>
      <w:r>
        <w:t xml:space="preserve"> thirteen, climate, including; EU scope visible. This is a provisional connection, not an outcome finding.</w:t>
      </w:r>
    </w:p>
    <w:p>
      <w:pPr>
        <w:pStyle w:val="SourceNote"/>
      </w:pPr>
      <w:r>
        <w:rPr>
          <w:b/>
        </w:rPr>
        <w:t>Available abstract (not full text):</w:t>
      </w:r>
      <w:r>
        <w:t xml:space="preserve"> The transition from fossil fuels to renewable, carbon-free energy is a critical challenge for mitigating climate change, with different European countries adopting diverse approaches to integrating renewable energy sources into their energy systems. Hereby, the intermittent nature and variability of renewable energy generation lead to significant challenges to electricity markets, amplifying supply volatility and market instability. This study examines the determinants of electricity price volatility in European wholesale markets, focusing on the impact of renewable energy sources as well as the influence of fuel prices and electricity demand. Using daily data from thirteen European electricity markets for the period 2015 to 2023, we account for the dynamic development of the energy system and volatile market condition, including the recent shocks induced by the Russia–Ukraine war. By employing country-specific and panel regression models, the findings reveal that conventional power sources, such as nuclear and coal, tend to stabilize electricity markets. In contrast, a higher share of solar power is associated with increased risk. Wind power exhibits mixed effects, with stabilizing impacts in most markets and volatility-enhancing tendencies in Spain, highlighting the role of market-specific dynamics. Additionally, total electricity load as well as the Russia-Ukraine war emerge</w:t>
      </w:r>
    </w:p>
    <w:p>
      <w:pPr/>
      <w:r>
        <w:rPr>
          <w:b/>
        </w:rPr>
        <w:t>POSSIBLE 2026:</w:t>
      </w:r>
      <w:r>
        <w:t xml:space="preserve"> Cultivar-by-environment interactions shape strawberry fruit quality: A multi-omics approach across European climates — https://doi.org/10.1016/j.foodchem.2026.148161</w:t>
      </w:r>
    </w:p>
    <w:p>
      <w:pPr/>
      <w:r>
        <w:rPr>
          <w:b/>
        </w:rPr>
        <w:t>Shared claim-specific concepts:</w:t>
      </w:r>
      <w:r>
        <w:t xml:space="preserve"> including, five, over; EU scope visible. This is a provisional connection, not an outcome finding.</w:t>
      </w:r>
    </w:p>
    <w:p>
      <w:pPr>
        <w:pStyle w:val="SourceNote"/>
      </w:pPr>
      <w:r>
        <w:rPr>
          <w:b/>
        </w:rPr>
        <w:t>Available abstract (not full text):</w:t>
      </w:r>
      <w:r>
        <w:t xml:space="preserve"> Flavour inconsistency in Fragaria x ananassa remains a challenge, largely due to historical breeding focused on yield over sensory traits. Flavour results from organoleptic and bioactive compounds shaped by cultivar (G), environment (E) and their interaction (GxE). Four strawberry cultivars (Clery, Frida, Gariguette, Sonata) were evaluated across five European environments employing an integrative approach combining metabolomics and transcriptomics. This approach revealed elevated temperatures accelerate the start of the harvest season and shorten fruit development duration. GxE interactions critically influenced flavour compounds accumulation, indicating cooler temperatures during fruit development favor the accumulation of sugars and ɣ-decalactone. Integrative analysis identified cultivar-specific and environmentally stable transcriptional patterns, including promising candidate genes involved in the biosynthesis and degradation of flavour relevant compounds, and revealing starting points for strawberry flavour improvement and stabilization. Our findings highlight the central role of GxE interactions in shaping strawberry flavour profile and emphasize the need for multi-environment trials to support resilient flavour enhancement in future breeding programs. • GxE interactions drive 17.8% of strawberry's flavour metabolome. • Multi-omics pinpoints cultivar-specific genes for s</w:t>
      </w:r>
    </w:p>
    <w:p>
      <w:pPr/>
      <w:r>
        <w:rPr>
          <w:b/>
        </w:rPr>
        <w:t>POSSIBLE 2026:</w:t>
      </w:r>
      <w:r>
        <w:t xml:space="preserve"> Phenotypic plasticity evolved for climate variability constrains performance under climate warming — https://doi.org/10.64898/2026.03.15.711905</w:t>
      </w:r>
    </w:p>
    <w:p>
      <w:pPr/>
      <w:r>
        <w:rPr>
          <w:b/>
        </w:rPr>
        <w:t>Shared claim-specific concepts:</w:t>
      </w:r>
      <w:r>
        <w:t xml:space="preserve"> thirteen, climate, including; EU scope not established. This is a provisional connection, not an outcome finding.</w:t>
      </w:r>
    </w:p>
    <w:p>
      <w:pPr>
        <w:pStyle w:val="SourceNote"/>
      </w:pPr>
      <w:r>
        <w:rPr>
          <w:b/>
        </w:rPr>
        <w:t>Available abstract (not full text):</w:t>
      </w:r>
      <w:r>
        <w:t xml:space="preserve"> Abstract Phenotypic plasticity allows plants to rapidly respond to changing environments without the need for evolutionary change or migration. While selection can create variation in plasticity across natural populations, these responses are not adaptive in all environments. To predict whether plasticity will be adaptive requires evaluation of its fitness effects across a range of environments, including novel ones. Here, we test how traits and their plasticity vary for genotypes collected across a natural hybrid zone between two tree species with contrasting climatic niches. Fast-growing Populus trichocarpa inhabits maritime environments with relatively warm and stable temperatures, while P. balsamifera inhabits continental environments with cold winters and large temperature variance throughout the year. We planted 44 clonally replicated genotypes into thirteen common gardens and measured vegetative phenology, leaf morphology, stomata morphology and conductance, and photochemistry. Overall, genotypes from colder, more continental environments exhibited higher plasticity. P. balsamifera ancestry was associated with increased plasticity in timing of fall phenology, stomatal conductance, and leaf mass per unit area. We assessed the effects of trait plasticity on fitness estimated as yearly growth across common gardens and found that the plasticity-fitness relationship was often</w:t>
      </w:r>
    </w:p>
    <w:p>
      <w:pPr/>
      <w:r>
        <w:rPr>
          <w:b/>
        </w:rPr>
        <w:t>POSSIBLE 2026:</w:t>
      </w:r>
      <w:r>
        <w:t xml:space="preserve"> Regional priorities in implementing forestation and wind energy as climate solutions in facing their trade-offs — https://doi.org/10.1038/s41467-026-71674-8</w:t>
      </w:r>
    </w:p>
    <w:p>
      <w:pPr/>
      <w:r>
        <w:rPr>
          <w:b/>
        </w:rPr>
        <w:t>Shared claim-specific concepts:</w:t>
      </w:r>
      <w:r>
        <w:t xml:space="preserve"> climate, regional; EU scope visible. This is a provisional connection, not an outcome finding.</w:t>
      </w:r>
    </w:p>
    <w:p>
      <w:pPr>
        <w:pStyle w:val="SourceNote"/>
      </w:pPr>
      <w:r>
        <w:rPr>
          <w:b/>
        </w:rPr>
        <w:t>Available abstract (not full text):</w:t>
      </w:r>
      <w:r>
        <w:t xml:space="preserve"> Both forestation and wind-energy upscaling are crucial climate solutions, but they may have conflicts as forestation can increase surface roughness and reduce wind speed. Here, based on coupled land-atmosphere simulations with contrasting forest areas, we report a notable trade-off between wind energy and carbon sequestration across a range of potential forestation areas. A maximum global forestation area of 1508 Mha is estimated to enable a biomass carbon sequestration of 90.7 GtC but also contribute to a 19.5% reduction in global onshore wind energy technical potential. The strength of such carbon-energy trade-offs, however, differs among different regions. Tropics could provide large forestation-induced carbon sequestration but have a small loss in wind energy potential. Large-scale forestation in Europe and US mainland may diminish not only wind energy potential but also energy generation of their current wind installations. Our results highlight the importance of maximizing the collective benefits of potentially competing climate solutions. Forestation creates a climate trade-off between carbon uptake and wind energy. This study reveals forestation has high carbon sequestration potential with lower wind energy loss in tropical regions but has high wind energy loss in Europe and the US.</w:t>
      </w:r>
    </w:p>
    <w:p>
      <w:pPr/>
      <w:r>
        <w:rPr>
          <w:b/>
        </w:rPr>
        <w:t>POSSIBLE 2025:</w:t>
      </w:r>
      <w:r>
        <w:t xml:space="preserve"> Climate advisory committees in European climate governance: Expertise, representation and co‐production — https://doi.org/10.1111/reel.70019</w:t>
      </w:r>
    </w:p>
    <w:p>
      <w:pPr/>
      <w:r>
        <w:rPr>
          <w:b/>
        </w:rPr>
        <w:t>Shared claim-specific concepts:</w:t>
      </w:r>
      <w:r>
        <w:t xml:space="preserve"> climate, including, substantial; EU scope visible. This is a provisional connection, not an outcome finding.</w:t>
      </w:r>
    </w:p>
    <w:p>
      <w:pPr>
        <w:pStyle w:val="SourceNote"/>
      </w:pPr>
      <w:r>
        <w:rPr>
          <w:b/>
        </w:rPr>
        <w:t>Available abstract (not full text):</w:t>
      </w:r>
      <w:r>
        <w:t xml:space="preserve"> Abstract This article examines the institutional design and statutory mandates of Climate Advisory Committees (CACs) in Denmark, Finland, Germany and the United Kingdom through comparative legal analysis. The CACs share the common feature of operating as boundary institutions mediating between scientific knowledge and policy implementation, with implications for climate governance. Through analysis of primary legal documents, official publications and governmental responses, the article demonstrates that CACs consistently encounter difficulties translating scientific advice into substantial policy change when recommendations conflict with economic interests embedded in legal frameworks. Despite variations in institutional design—including different appointment processes, mandate scope, and legal foundations—all four CACs face similar implementation challenges in sectors such as agriculture, forestry, aviation and transport. The article argues that these systematic constraints indicate limitations in current approaches to expert climate advice, as legal frameworks actively prioritise economic values while marginalising ecological and intergenerational considerations. The findings suggest that effective climate governance requires institutional innovations that address the underlying legal constitution of values rather than relying solely on improved scientific expertise or insti</w:t>
      </w:r>
    </w:p>
    <w:p>
      <w:pPr>
        <w:pStyle w:val="Heading2"/>
      </w:pPr>
      <w:r>
        <w:t>517. Climate, Energy – and Environment? Reconciliation of EU Environmental Law with the Implementation Realities of EU Climate Law</w:t>
      </w:r>
    </w:p>
    <w:p>
      <w:pPr>
        <w:pStyle w:val="SourceNote"/>
      </w:pPr>
      <w:r>
        <w:rPr>
          <w:b/>
        </w:rPr>
        <w:t>Original source (2022):</w:t>
      </w:r>
      <w:r>
        <w:t xml:space="preserve"> https://doi.org/10.1163/18786561-12030003</w:t>
      </w:r>
    </w:p>
    <w:p>
      <w:pPr/>
      <w:r>
        <w:t>Original wording (abstract; indexed_source_text_not_full_document_verified): The objective of environmental protection, ‘to preserve, protect and improve the quality of the environment’, does not fully align with the objectives of climate mitigation, which are designed to safeguard the needs of future generations and the long-term environment.</w:t>
      </w:r>
    </w:p>
    <w:p>
      <w:pPr/>
      <w:r>
        <w:rPr>
          <w:b/>
        </w:rPr>
        <w:t>POSSIBLE 2026:</w:t>
      </w:r>
      <w:r>
        <w:t xml:space="preserve"> Urban Planning and Environmental Protection in the Mirror of the Case Law of the European Court of Human Rights — https://doi.org/10.14207/ejsd.2026.v15n1p903</w:t>
      </w:r>
    </w:p>
    <w:p>
      <w:pPr/>
      <w:r>
        <w:rPr>
          <w:b/>
        </w:rPr>
        <w:t>Shared claim-specific concepts:</w:t>
      </w:r>
      <w:r>
        <w:t xml:space="preserve"> objective, environmental, protection, environment, not; EU scope visible. This is a provisional connection, not an outcome finding.</w:t>
      </w:r>
    </w:p>
    <w:p>
      <w:pPr>
        <w:pStyle w:val="SourceNote"/>
      </w:pPr>
      <w:r>
        <w:rPr>
          <w:b/>
        </w:rPr>
        <w:t>Available abstract (not full text):</w:t>
      </w:r>
      <w:r>
        <w:t xml:space="preserve"> The objective of this study is to identify and analyse the most important positions of the ECtHR concerning construction activities and implementation of urban development policies by states, while ensuring the rights of citizens and protecting the environment from the negative impact of construction. This research is necessary, in particular, for the development of the urban planning law, as well as for the purposes of the urban planning reform in Ukraine. In its decisions, the European Court of Human Rights promotes the idea of a crucial role of the state policy and state regulation of the urban development sector in protection and defence of human rights. In many decisions, the Court clarifies obligations of the state in this area, in particular, what they are in special situations such as construction in protected areas, unauthorised construction, and obligations to prevent natural disasters. The paper examines in sufficient detail various aspects of the relevant practice of the Court. The array of the ECtHR case law on protection of environmental rights violated or threatened by construction activities and urban planning has been examined separately. The Court's conclusions regarding the priority of public interest in compliance with building regulations over private interest in ownership of illegally constructed property (but not housing) are noteworthy. Numerous decision</w:t>
      </w:r>
    </w:p>
    <w:p>
      <w:pPr/>
      <w:r>
        <w:rPr>
          <w:b/>
        </w:rPr>
        <w:t>POSSIBLE 2026:</w:t>
      </w:r>
      <w:r>
        <w:t xml:space="preserve"> COMBATING ENVIRONMENTAL CRIMINAL ILLEGALITIES IN A CROSS BORDER CONTEXT – ONE OF THE BASIC OBJECTIVES OF THE EUROPEAN UNION — https://doi.org/10.35219/across.2026.3.14</w:t>
      </w:r>
    </w:p>
    <w:p>
      <w:pPr/>
      <w:r>
        <w:rPr>
          <w:b/>
        </w:rPr>
        <w:t>Shared claim-specific concepts:</w:t>
      </w:r>
      <w:r>
        <w:t xml:space="preserve"> objective, environmental, protection, quality, environment, objectives; EU scope visible. This is a provisional connection, not an outcome finding.</w:t>
      </w:r>
    </w:p>
    <w:p>
      <w:pPr>
        <w:pStyle w:val="SourceNote"/>
      </w:pPr>
      <w:r>
        <w:rPr>
          <w:b/>
        </w:rPr>
        <w:t>Available abstract (not full text):</w:t>
      </w:r>
      <w:r>
        <w:t xml:space="preserve"> In this scientific study we will analyze current issues regarding the phenomenon of illegal acts of a criminal nature against the environment in a cross-border context that constitute crimes and the ways in which the European Union fights against it. Moreover, the article highlights the objectives the European Union has set to combat this problem. The protection and improvement of the quality of the environment in the European Union have always been among the priorities, because crimes against the environment constitute an escalating international dilemma that has lately been taking on more and more forms, which in fact represent a serious threat to humanity. By their nature, once environmental crime has emerged, it requires international cooperation, given the cross-border nature of pollution and its global implications. Moreover, this reality, initially ignored, has led to the gradual affirmation of this objective on the European Union'sagenda. Such crimes pose a threat to the environment and therefore require an adequate and effective response, often necessitating cross-border cooperation.</w:t>
      </w:r>
    </w:p>
    <w:p>
      <w:pPr/>
      <w:r>
        <w:rPr>
          <w:b/>
        </w:rPr>
        <w:t>POSSIBLE 2026:</w:t>
      </w:r>
      <w:r>
        <w:t xml:space="preserve"> Environmental Justice and the Protection of Human Dignity in the Era of Climate Transition — https://doi.org/10.13166/jms/225625</w:t>
      </w:r>
    </w:p>
    <w:p>
      <w:pPr/>
      <w:r>
        <w:rPr>
          <w:b/>
        </w:rPr>
        <w:t>Shared claim-specific concepts:</w:t>
      </w:r>
      <w:r>
        <w:t xml:space="preserve"> objective, environmental, protection, climate, generations; EU scope visible. This is a provisional connection, not an outcome finding.</w:t>
      </w:r>
    </w:p>
    <w:p>
      <w:pPr>
        <w:pStyle w:val="SourceNote"/>
      </w:pPr>
      <w:r>
        <w:rPr>
          <w:b/>
        </w:rPr>
        <w:t>Available abstract (not full text):</w:t>
      </w:r>
      <w:r>
        <w:t xml:space="preserve"> The subject of this study is the relationship between environmental protection and the principle of human dignity in the context of the contemporary climate policy of the European Union. The aim of the article is to assess whether the mechanisms of climate transition remain consistent with the principle of the protection of human dignity and social justice. The research hypothesis assumes that climate protection cannot constitute an autonomous objective but should serve to ensure dignified living conditions for present and future generations. The study employs the dogmatic-legal method, institutional analysis, and elements of axiological and comparative analysis. The findings lead to the conclusion that the future of European climate policy should be based on the Human-Centric Climate Policy model, combining environmental protection with the protection of human dignity and social security.</w:t>
      </w:r>
    </w:p>
    <w:p>
      <w:pPr/>
      <w:r>
        <w:rPr>
          <w:b/>
        </w:rPr>
        <w:t>POSSIBLE 2026:</w:t>
      </w:r>
      <w:r>
        <w:t xml:space="preserve"> Analysis of the institutional arrangement for environmental protection in Georgia — https://doi.org/10.36962/nec21012026-118</w:t>
      </w:r>
    </w:p>
    <w:p>
      <w:pPr/>
      <w:r>
        <w:rPr>
          <w:b/>
        </w:rPr>
        <w:t>Shared claim-specific concepts:</w:t>
      </w:r>
      <w:r>
        <w:t xml:space="preserve"> objective, environmental, protection; EU scope visible. This is a provisional connection, not an outcome finding.</w:t>
      </w:r>
    </w:p>
    <w:p>
      <w:pPr>
        <w:pStyle w:val="SourceNote"/>
      </w:pPr>
      <w:r>
        <w:rPr>
          <w:b/>
        </w:rPr>
        <w:t>Available abstract (not full text):</w:t>
      </w:r>
      <w:r>
        <w:t xml:space="preserve"> Research Objective: The objective of this study is to provide a comprehensive analysis of the institutional arrangement for environmental protection in Georgia. It examines the organizational and legal framework, the roles and responsibilities of central and local authorities, inter-agency coordination mechanisms, and the alignment of national environmental governance with European integration standards. Given Georgia’s ecological diversity, growing environmental challenges, and commitment to EU directives, understanding the effectiveness of institutional arrangements is crucial for sustainable development and policy-making. Methodological Approach: This research employs a normative-legal and institutional analysis methodology. Primary sources include legislation, government regulations, policy documents, strategic plans, and international guidelines (including EU acquis). The study evaluates institutional interactions, decision-making processes, enforcement mechanisms, and public participation, integrating both qualitative and comparative approaches to assess the system’s efficiency and capacity for reform. Main Results and Implications: The findings indicate that while Georgia’s institutional framework for environmental protection has improved significantly over the past decade, challenges remain. Key weaknesses include limited inter-agency coordination, insufficient monitori</w:t>
      </w:r>
    </w:p>
    <w:p>
      <w:pPr/>
      <w:r>
        <w:rPr>
          <w:b/>
        </w:rPr>
        <w:t>POSSIBLE 2026:</w:t>
      </w:r>
      <w:r>
        <w:t xml:space="preserve"> Where to improve the European protected areas network to represent threatened fungi? — https://doi.org/10.1016/j.isci.2026.117758</w:t>
      </w:r>
    </w:p>
    <w:p>
      <w:pPr/>
      <w:r>
        <w:rPr>
          <w:b/>
        </w:rPr>
        <w:t>Shared claim-specific concepts:</w:t>
      </w:r>
      <w:r>
        <w:t xml:space="preserve"> protection, protect, improve; EU scope visible. This is a provisional connection, not an outcome finding.</w:t>
      </w:r>
    </w:p>
    <w:p>
      <w:pPr>
        <w:pStyle w:val="SourceNote"/>
      </w:pPr>
      <w:r>
        <w:rPr>
          <w:b/>
        </w:rPr>
        <w:t>Available abstract (not full text):</w:t>
      </w:r>
      <w:r>
        <w:t xml:space="preserve"> To set a global example in biodiversity conservation, the European Union aims to protect 30% and strictly protect 10% of its land by 2030 and to invest in ecosystem restoration. Yet, the megadiverse fungal kingdom remains largely excluded from conservation planning and evaluation. We compiled occurrence data and developed species distribution models for 33 threatened macrofungi identified for potential inclusion under the Bern Convention across Europe. Comparing distributions of predicted habitats with existing protected-area networks provided robust evidence of large, uneven protection gaps among species and countries. We show that regionally coordinated improvements in protection and targeted habitat restoration would be more effective than addressing gaps independently within each country. By developing habitat models into tools for conservation management, spatial planning and monitoring, and by explicitly allocating those efforts across Member States, protection of neglected but threatened and functionally important taxa such as fungi can be systematically improved.</w:t>
      </w:r>
    </w:p>
    <w:p>
      <w:pPr/>
      <w:r>
        <w:rPr>
          <w:b/>
        </w:rPr>
        <w:t>POSSIBLE 2026:</w:t>
      </w:r>
      <w:r>
        <w:t xml:space="preserve"> Energy policy planning and implementation for environmental protection in Bosnia and Herzegovina — https://doi.org/10.5937/0drraz2602007s</w:t>
      </w:r>
    </w:p>
    <w:p>
      <w:pPr/>
      <w:r>
        <w:rPr>
          <w:b/>
        </w:rPr>
        <w:t>Shared claim-specific concepts:</w:t>
      </w:r>
      <w:r>
        <w:t xml:space="preserve"> objective, environmental, protection, long-term; EU scope visible. This is a provisional connection, not an outcome finding.</w:t>
      </w:r>
    </w:p>
    <w:p>
      <w:pPr>
        <w:pStyle w:val="SourceNote"/>
      </w:pPr>
      <w:r>
        <w:rPr>
          <w:b/>
        </w:rPr>
        <w:t>Available abstract (not full text):</w:t>
      </w:r>
      <w:r>
        <w:t xml:space="preserve"> This paper analyzes the planning and implementation of energy policies in Bosnia and Herzegovina within the context of environmental protection and decarbonization. The primary objective of the research is to identify the causes of the discrepancy between an ambitious regulatory framework, aligned with European Union standards, and the limited results achieved in practice. Through a qualitative analysis of strategic documents and reports from relevant international institutions (UNECE, Energy Community, RCC), the study indicates that institutional barriers, non-transparent concession procedures, and complex governance structures significantly slow down the energy transition. The findings show that maintaining low electricity tariffs and a strong reliance on coal, despite significant renewable energy potential, make Bosnia and Herzegovina vulnerable to emerging market mechanisms such as the Carbon Border Adjustment Mechanism (CBAM). It is concluded that energy policy must become an integral part of national security and public health in order to ensure long-term economic sustainability and environmental stability.</w:t>
      </w:r>
    </w:p>
    <w:p>
      <w:pPr/>
      <w:r>
        <w:rPr>
          <w:b/>
        </w:rPr>
        <w:t>POSSIBLE 2026:</w:t>
      </w:r>
      <w:r>
        <w:t xml:space="preserve"> Planning and Implementation of Energy Policies in the Function of Environmental Protection in Bosnia and Herzegovina — https://doi.org/10.18485/ecologica.2026.33.122.4</w:t>
      </w:r>
    </w:p>
    <w:p>
      <w:pPr/>
      <w:r>
        <w:rPr>
          <w:b/>
        </w:rPr>
        <w:t>Shared claim-specific concepts:</w:t>
      </w:r>
      <w:r>
        <w:t xml:space="preserve"> objective, environmental, protection, long-term; EU scope visible. This is a provisional connection, not an outcome finding.</w:t>
      </w:r>
    </w:p>
    <w:p>
      <w:pPr>
        <w:pStyle w:val="SourceNote"/>
      </w:pPr>
      <w:r>
        <w:rPr>
          <w:b/>
        </w:rPr>
        <w:t>Available abstract (not full text):</w:t>
      </w:r>
      <w:r>
        <w:t xml:space="preserve"> This paper analyzes the planning and implementation of energy policies in Bosnia and Herzegovina within the context of environmental protection and decarbonization.The primary objective of the research is to identify the causes of the discrepancy between an ambitious regulatory framework, aligned with European Union standards, and the limited results achieved in practice.Through a qualitative analysis of strategic documents and reports from relevant international institutions (UNECE, Energy Community, RCC), the study indicates that institutional barriers, nontransparent concession procedures, and complex governance structures significantly slow down the energy transition.The findings show that maintaining low electricity tariffs and a strong reliance on coal, despite significant renewable energy potential, make Bosnia and Herzegovina vulnerable to emerging market mechanisms such as the Carbon Border Adjustment Mechanism (CBAM).It is concluded that energy policy must become an integral part of national security and public health in order to ensure long-term economic sustainability and environmental stability.</w:t>
      </w:r>
    </w:p>
    <w:p>
      <w:pPr/>
      <w:r>
        <w:rPr>
          <w:b/>
        </w:rPr>
        <w:t>POSSIBLE 2026:</w:t>
      </w:r>
      <w:r>
        <w:t xml:space="preserve"> The Effects of the Energy Liberalization Process in the European Union: An Evaluation of the EU Energy Policy and Legislation towards Environmental Protection and Consumer Welfare. Literature review — https://doi.org/10.52340/gjes.2024.01.07</w:t>
      </w:r>
    </w:p>
    <w:p>
      <w:pPr/>
      <w:r>
        <w:rPr>
          <w:b/>
        </w:rPr>
        <w:t>Shared claim-specific concepts:</w:t>
      </w:r>
      <w:r>
        <w:t xml:space="preserve"> environmental, protection, objectives; EU scope visible. This is a provisional connection, not an outcome finding.</w:t>
      </w:r>
    </w:p>
    <w:p>
      <w:pPr>
        <w:pStyle w:val="SourceNote"/>
      </w:pPr>
      <w:r>
        <w:rPr>
          <w:b/>
        </w:rPr>
        <w:t>Available abstract (not full text):</w:t>
      </w:r>
      <w:r>
        <w:t xml:space="preserve"> This paper is a literature review, which explores the liberalization of the EU energy market, with a focus on its impact on consumer welfare, environmental protection, and the role of the Court of Justice of the European Union (hereinafter CJEU) in shaping energy policy. The study examines the historical evolution of energy liberalization, including the significant legal frameworks and policies that have shaped the EU’s energy sector. The analysis reveals the complex interplay between market liberalization, environmental sustainability, and competition, highlighting the challenges of balancing these competing objectives. The impact of some CJEU rulings, particularly in the context of competition law and state aid, is explored to illustrate how EU institutions have navigated tensions between cost reduction, market efficiency, and environmental protection. Furthermore, the paper discusses enforcement and compliance issues, noting that while EU competition policy has contributed to market development, there remain significant challenges in ensuring consistent application of environmental standards. The conclusion reflects on the ongoing difficulty of achieving an optimal balance between consumer benefits and environmental goals in an increasingly complex geopolitical and regulatory landscape.</w:t>
      </w:r>
    </w:p>
    <w:p>
      <w:pPr/>
      <w:r>
        <w:rPr>
          <w:b/>
        </w:rPr>
        <w:t>POSSIBLE 2026:</w:t>
      </w:r>
      <w:r>
        <w:t xml:space="preserve"> Insufficient environmental protection by the European regulatory framework for pesticides — https://doi.org/10.32942/x24q1g</w:t>
      </w:r>
    </w:p>
    <w:p>
      <w:pPr/>
      <w:r>
        <w:rPr>
          <w:b/>
        </w:rPr>
        <w:t>Shared claim-specific concepts:</w:t>
      </w:r>
      <w:r>
        <w:t xml:space="preserve"> environmental, protection, protect; EU scope visible. This is a provisional connection, not an outcome finding.</w:t>
      </w:r>
    </w:p>
    <w:p>
      <w:pPr>
        <w:pStyle w:val="SourceNote"/>
      </w:pPr>
      <w:r>
        <w:rPr>
          <w:b/>
        </w:rPr>
        <w:t>Available abstract (not full text):</w:t>
      </w:r>
      <w:r>
        <w:t xml:space="preserve"> Schriever et al. (2025) argue that environmental risk assessment of pesticides in the European Union is sufficiently protective and that regulatory thresholds are rarely exceeded. Here, we re-examine these claims based on new and previous evidence from monitoring, systematic reviews, and different types of field studies. The clear outcome is that measured pesticide concentrations frequently exceed predicted concentrations and regulatory thresholds and that they relate to adverse impacts on ecological communities. The mechanisms driving this result include the joint action of pesticides applied in temporal and spatial proximity, varied environmental conditions, interactive effects of pesticides with additional stressors, and indirect ecological effects propagating within biological communities. These neglected intricacies explain why current single-substance prospective assessments tend to underpredict real pesticide exposure and impacts in field settings. The corollary is that the current regulatory framework in Europe proves insufficient to protect biodiversity and ecosystems. Necessary improvements embedded in a policy reform include strengthening post-registration monitoring, refining predictive exposure models, and explicitly considering landscape contexts, indirect and mixture effects, and interactions with non-chemical stressors.</w:t>
      </w:r>
    </w:p>
    <w:p>
      <w:pPr/>
      <w:r>
        <w:rPr>
          <w:b/>
        </w:rPr>
        <w:t>POSSIBLE 2026:</w:t>
      </w:r>
      <w:r>
        <w:t xml:space="preserve"> Insufficient Environmental Protection by the European Regulatory Framework for Pesticides — https://doi.org/10.1021/acs.est.6c06604</w:t>
      </w:r>
    </w:p>
    <w:p>
      <w:pPr/>
      <w:r>
        <w:rPr>
          <w:b/>
        </w:rPr>
        <w:t>Shared claim-specific concepts:</w:t>
      </w:r>
      <w:r>
        <w:t xml:space="preserve"> environmental, protection, protect; EU scope visible. This is a provisional connection, not an outcome finding.</w:t>
      </w:r>
    </w:p>
    <w:p>
      <w:pPr>
        <w:pStyle w:val="SourceNote"/>
      </w:pPr>
      <w:r>
        <w:rPr>
          <w:b/>
        </w:rPr>
        <w:t>Available abstract (not full text):</w:t>
      </w:r>
      <w:r>
        <w:t xml:space="preserve"> Schriever et al. (2025) argue that environmental risk assessment of pesticides in the European Union is sufficiently protective and that regulatory thresholds are rarely exceeded. Here, we reexamine these claims based on existing evidence from monitoring, systematic reviews, and different types of field studies. The available evidence indicates that measured pesticide concentrations frequently exceed predicted concentrations and regulatory thresholds and are associated with adverse ecological impacts. The mechanisms driving this result include the joint action of pesticides applied in temporal and spatial proximity, varied environmental conditions, interactive effects of pesticides with additional stressors, and indirect ecological effects that propagate within biological communities. These neglected intricacies explain why current single-substance prospective assessments tend to underpredict real-world pesticide exposure and impact in field settings. The corollary is that the current regulatory framework in Europe proves to be insufficient to protect biodiversity and ecosystems. Priority regulatory reforms include strengthening postregistration monitoring, refining predictive exposure models, and explicitly considering landscape context, indirect and mixture effects, and interactions with nonchemical stressors.</w:t>
      </w:r>
    </w:p>
    <w:p>
      <w:pPr/>
      <w:r>
        <w:rPr>
          <w:b/>
        </w:rPr>
        <w:t>POSSIBLE 2026:</w:t>
      </w:r>
      <w:r>
        <w:t xml:space="preserve"> Suggested legal amendments to improve vietnamese environmental damage compensation law: lessons from the European Union — https://doi.org/10.1080/23311886.2026.2632406</w:t>
      </w:r>
    </w:p>
    <w:p>
      <w:pPr/>
      <w:r>
        <w:rPr>
          <w:b/>
        </w:rPr>
        <w:t>Shared claim-specific concepts:</w:t>
      </w:r>
      <w:r>
        <w:t xml:space="preserve"> environmental, protection, protect, improve, environment, safeguard; EU scope visible. This is a provisional connection, not an outcome finding.</w:t>
      </w:r>
    </w:p>
    <w:p>
      <w:pPr>
        <w:pStyle w:val="SourceNote"/>
      </w:pPr>
      <w:r>
        <w:rPr>
          <w:b/>
        </w:rPr>
        <w:t>Available abstract (not full text):</w:t>
      </w:r>
      <w:r>
        <w:t xml:space="preserve"> This article argues that reforming Vietnam’s legal framework for environmental damage compensation (EDC) is essential to achieving sustainable economic development and effective environmental governance. Through a comparative analysis of Vietnam’s Law on Environmental Protection 2020 and the European Union’s Environmental Liability Directive (Directive 2004/35/EC), the study identifies two structural weaknesses in Vietnam’s current regime: ambiguous liability exemptions that undermine consistent enforcement, and the absence of an effective collective litigation mechanism to safeguard community interests. In contrast, the EU framework provides clearer liability standards and institutionalized collective redress mechanisms that enhance accountability and access to justice. Drawing on these comparative insights, the article advocates for harmonizing Vietnam’s exemption regime and institutionalizing collective litigation as core components of environmental governance reform. It proposes a set of normative and institutional reforms inspired by EU experience to strengthen legal certainty, improve enforcement effectiveness, and better protect the right to a healthy environment, thereby supporting Vietnam’s long-term sustainable development.</w:t>
      </w:r>
    </w:p>
    <w:p>
      <w:pPr/>
      <w:r>
        <w:rPr>
          <w:b/>
        </w:rPr>
        <w:t>POSSIBLE 2026:</w:t>
      </w:r>
      <w:r>
        <w:t xml:space="preserve"> Understanding the (In)Governability of Environmental Protected Areas: The Case of Greece — https://doi.org/10.3390/land15010100</w:t>
      </w:r>
    </w:p>
    <w:p>
      <w:pPr/>
      <w:r>
        <w:rPr>
          <w:b/>
        </w:rPr>
        <w:t>Shared claim-specific concepts:</w:t>
      </w:r>
      <w:r>
        <w:t xml:space="preserve"> environmental, quality, align; EU scope visible. This is a provisional connection, not an outcome finding.</w:t>
      </w:r>
    </w:p>
    <w:p>
      <w:pPr>
        <w:pStyle w:val="SourceNote"/>
      </w:pPr>
      <w:r>
        <w:rPr>
          <w:b/>
        </w:rPr>
        <w:t>Available abstract (not full text):</w:t>
      </w:r>
      <w:r>
        <w:t xml:space="preserve"> Protected areas (PAs) remain central to global conservation policy, yet their performance depends as much on governance quality as on ecological design. This paper examines the (in)governability of Greece’s protected area system by assessing how formal institutions align with contextual realities. A systematic review of forty-three peer-reviewed studies (1999–2020) is combined with analysis of recent governance-assessment tools to evaluate institutional fit, legitimacy, and equity. Frameworks such as the Site-level Assessment of Governance and Equity (SAGE) and the IUCN (2024) guidelines on Advancing Equitable Governance in area-based conservation provide practical metrics for participation, accountability, and fairness, offering a timely benchmark for the Greek case. The review shows that, despite substantial EU-driven legal reforms, Greece’s PA system continues to exhibit governance misfit, weak institutional integration, and persistent implementation gaps. Institutional misfit is understood here as a misalignment between formal governance arrangements and the social, ecological, and administrative contexts they are intended to regulate. Governability remains constrained by centralization, limited stakeholder participation, and fragile accountability mechanisms. By integrating classical theories of institutional fit and interactive governance with contemporary equity-based ap</w:t>
      </w:r>
    </w:p>
    <w:p>
      <w:pPr>
        <w:pStyle w:val="Heading2"/>
      </w:pPr>
      <w:r>
        <w:t>518. Convergence of Population Structures of the European Union Member States—The Past and the Future</w:t>
      </w:r>
    </w:p>
    <w:p>
      <w:pPr>
        <w:pStyle w:val="SourceNote"/>
      </w:pPr>
      <w:r>
        <w:rPr>
          <w:b/>
        </w:rPr>
        <w:t>Original source (2022):</w:t>
      </w:r>
      <w:r>
        <w:t xml:space="preserve"> https://doi.org/10.3390/su14021024</w:t>
      </w:r>
    </w:p>
    <w:p>
      <w:pPr/>
      <w:r>
        <w:t>Original wording (abstract; indexed_source_text_not_full_document_verified): The Eurostat projections indicate that, by 2050, most of the European Union member states will see a fall in their population size, a drop in the share of young people, and a simultaneous rise in the share of elderly persons. The goal of the study was to assess the stage of advancement and diversity of the ageing of population in the past and in the year 2050.</w:t>
      </w:r>
    </w:p>
    <w:p>
      <w:pPr/>
      <w:r>
        <w:rPr>
          <w:b/>
        </w:rPr>
        <w:t>POSSIBLE 2026:</w:t>
      </w:r>
      <w:r>
        <w:t xml:space="preserve"> Beyond the IRENA baseline: Mapping end-of-life photovoltaic waste flows across EU-27 using Weibull lifetime distributions screened against Eurostat data and updated efficiency scenarios — https://doi.org/10.1016/j.renene.2026.126404</w:t>
      </w:r>
    </w:p>
    <w:p>
      <w:pPr/>
      <w:r>
        <w:rPr>
          <w:b/>
        </w:rPr>
        <w:t>Shared claim-specific concepts:</w:t>
      </w:r>
      <w:r>
        <w:t xml:space="preserve"> eurostat, projections, indicate, union; EU scope visible. This is a provisional connection, not an outcome finding.</w:t>
      </w:r>
    </w:p>
    <w:p>
      <w:pPr>
        <w:pStyle w:val="SourceNote"/>
      </w:pPr>
      <w:r>
        <w:rPr>
          <w:b/>
        </w:rPr>
        <w:t>Available abstract (not full text):</w:t>
      </w:r>
      <w:r>
        <w:t xml:space="preserve"> As the European Union accelerates photovoltaic deployment to achieve the milestones outlined in the 2025 National Energy and Climate Plans, accurate waste forecasting emerges as a significant challenge for the circular economy. This study re-evaluates EU-27 PV waste projections through 2050, comparing theoretical models with available empirical Eurostat collection data. Findings indicate that the standard IRENA Regular Loss model systematically underestimates waste generation, resulting in collection rates that exceed 200%. A new scenario, RL NEW , is proposed, featuring a revised Weibull parameterization and an updated time-variable mass-to-capacity transformation function. This alternative baseline scenario, screened for consistency against Eurostat aggregate data, forecasts cumulative 2025 waste volumes that are 214% higher than previous estimates. For the first time, projections are disaggregated by application, revealing a rooftop-dominated market in which 60% of waste necessitates decentralized logistics. The analysis identifies a bifurcated challenge: established operators should expand capacity to manage 65% of the European Union’s waste, while rapidly growing markets encounter surges up to 12,000-fold. Additionally, the Collection Difficulty Index is introduced to quantify the logistical impact of waste stream fragmentation, identifying a "Logistical Pivot" around 2030</w:t>
      </w:r>
    </w:p>
    <w:p>
      <w:pPr/>
      <w:r>
        <w:rPr>
          <w:b/>
        </w:rPr>
        <w:t>POSSIBLE 2026:</w:t>
      </w:r>
      <w:r>
        <w:t xml:space="preserve"> Impact of climate change on human mortality patterns — https://doi.org/10.48676/unibo/amsdottorato/13040</w:t>
      </w:r>
    </w:p>
    <w:p>
      <w:pPr/>
      <w:r>
        <w:rPr>
          <w:b/>
        </w:rPr>
        <w:t>Shared claim-specific concepts:</w:t>
      </w:r>
      <w:r>
        <w:t xml:space="preserve"> eurostat, projections, indicate, population; EU scope visible. This is a provisional connection, not an outcome finding.</w:t>
      </w:r>
    </w:p>
    <w:p>
      <w:pPr>
        <w:pStyle w:val="SourceNote"/>
      </w:pPr>
      <w:r>
        <w:rPr>
          <w:b/>
        </w:rPr>
        <w:t>Available abstract (not full text):</w:t>
      </w:r>
      <w:r>
        <w:t xml:space="preserve"> The increasing frequency and intensity of extreme weather events pose a growing public health threat. Evidence consistently demonstrates that the mortality risks associated with weather and climate extremes are not uniformly distributed, reflecting substantial geographical and social disparities. This thesis investigates global and European patterns of mortality risks related to extreme weather events, emphasizing population heterogeneity, regional and social vulnerabilities. Specifically, the thesis advances current understanding by (1) systematically synthesizing global evidence on climate-related mortality, (2) empirically examining the determinants of temperature related mortality across Europe, and (3) projecting future mortality under varying climate and socioeconomic scenarios. In the first part, a systematic review of quantitative observational studies is conducted using Web of Science and Scopus, following PRISMA guidelines. The second study involves an empirical analysis of Eurostat sub-national mortality data for adults aged 65 and above across 30 European countries (2014–2023) based on Poisson fixed-effects regression. In the third study, future projections of temperature-related mortality outcomes for 28 European countries are performed using socioeconomic and greenhouse gas emissions (SSP–RCP) scenarios. Key findings from the systematic literature review highlight</w:t>
      </w:r>
    </w:p>
    <w:p>
      <w:pPr/>
      <w:r>
        <w:rPr>
          <w:b/>
        </w:rPr>
        <w:t>POSSIBLE 2026:</w:t>
      </w:r>
      <w:r>
        <w:t xml:space="preserve"> Forecasting circular economy indicators: A Machine Learning study of European Union member states — https://doi.org/10.1016/j.jclepro.2026.147982</w:t>
      </w:r>
    </w:p>
    <w:p>
      <w:pPr/>
      <w:r>
        <w:rPr>
          <w:b/>
        </w:rPr>
        <w:t>Shared claim-specific concepts:</w:t>
      </w:r>
      <w:r>
        <w:t xml:space="preserve"> eurostat, projections, union, member, states, size; EU scope visible. This is a provisional connection, not an outcome finding.</w:t>
      </w:r>
    </w:p>
    <w:p>
      <w:pPr>
        <w:pStyle w:val="SourceNote"/>
      </w:pPr>
      <w:r>
        <w:rPr>
          <w:b/>
        </w:rPr>
        <w:t>Available abstract (not full text):</w:t>
      </w:r>
      <w:r>
        <w:t xml:space="preserve"> Accurate forecasting of Circular Economy (CE) indicators is essential for supporting evidence-based policy development and long-term strategic planning across the European Union (EU). Reliable projections enable policymakers to anticipate future resource needs, assess the impact of interventions and design measures that accelerate the transition towards a more circular economy. This study applies Machine Learning (ML) algorithms to predict official CE indicators published by Eurostat, covering four thematic areas: production and consumption, waste management, secondary raw materials and competitiveness. 25 member states of the EU are individually modelled, using country-specific time series data to train and evaluate five ML algorithms for regression: Ridge regression, Lasso regression, Random forest, XGBoost and support vector regression. A replicable framework for CE indicator forecasting is presented to support national and EU-level policy planning and early interventions. Best practice in ML-based forecasting is demonstrated, addressing challenges such as data sparsity, non-stationarity and model overfitting. No single model consistently outperforms others, though linear models tend to provide more reliable uncertainty estimates for structurally predictable indicators. Two features was determined optimal across models, as including additional features provided minimal impro</w:t>
      </w:r>
    </w:p>
    <w:p>
      <w:pPr/>
      <w:r>
        <w:rPr>
          <w:b/>
        </w:rPr>
        <w:t>POSSIBLE 2026:</w:t>
      </w:r>
      <w:r>
        <w:t xml:space="preserve"> Structural heterogeneity of European Union member states — https://doi.org/10.32676/n.12.1.7</w:t>
      </w:r>
    </w:p>
    <w:p>
      <w:pPr/>
      <w:r>
        <w:rPr>
          <w:b/>
        </w:rPr>
        <w:t>Shared claim-specific concepts:</w:t>
      </w:r>
      <w:r>
        <w:t xml:space="preserve"> indicate, union, member, states; EU scope visible. This is a provisional connection, not an outcome finding.</w:t>
      </w:r>
    </w:p>
    <w:p>
      <w:pPr>
        <w:pStyle w:val="SourceNote"/>
      </w:pPr>
      <w:r>
        <w:rPr>
          <w:b/>
        </w:rPr>
        <w:t>Available abstract (not full text):</w:t>
      </w:r>
      <w:r>
        <w:t xml:space="preserve"> This paper analyses EU structural heterogeneity (2015–2024) using a decadal panelperspective to identify persistent macroeconomic profiles. The analysis covers six indicators:gross domestic product per capita, unemployment rate, harmonised index of consumer prices(HICP), fiscal balance, public debt, and accumulated balance of payments. Cluster analyses(hierarchical and K-means) applied to mean values for 2015–2024 yield a stable classificationof EU economies into distinct structural groups. Principal component analysis (PCA) is thenused to reduce dimensionality and identify the underlying economic dimensions shaping theseclusters. A key contribution of the paper is the introduction of the Structural Divergence Index(SDI), which quantifies within-cluster heterogeneity by measuring Euclidean distances fromcluster centroids across all variables. SDI results reveal notable internal variation, with somecountries closely aligned and others persistent outliers. These findings indicate that EUmacroeconomic heterogeneity appears not only between clusters but also through pronounceddivergences within them. The proposed approach offers a new instrument for assessingcohesion in an integrated economic area and provides relevant implications for designingconvergence policies, fiscal rules, and targeted structural reforms.</w:t>
      </w:r>
    </w:p>
    <w:p>
      <w:pPr/>
      <w:r>
        <w:rPr>
          <w:b/>
        </w:rPr>
        <w:t>POSSIBLE 2026:</w:t>
      </w:r>
      <w:r>
        <w:t xml:space="preserve"> The fiscal sustainability forecasting model in the member states of the European Union — https://doi.org/10.3846/tede.2026.27917</w:t>
      </w:r>
    </w:p>
    <w:p>
      <w:pPr/>
      <w:r>
        <w:rPr>
          <w:b/>
        </w:rPr>
        <w:t>Shared claim-specific concepts:</w:t>
      </w:r>
      <w:r>
        <w:t xml:space="preserve"> union, member, states; EU scope visible. This is a provisional connection, not an outcome finding.</w:t>
      </w:r>
    </w:p>
    <w:p>
      <w:pPr>
        <w:pStyle w:val="SourceNote"/>
      </w:pPr>
      <w:r>
        <w:rPr>
          <w:b/>
        </w:rPr>
        <w:t>Available abstract (not full text):</w:t>
      </w:r>
      <w:r>
        <w:t xml:space="preserve"> This paper develops an integrated methodological framework for classifying and forecasting fiscal sustainability among the 27 Member States of the European Union, starting from a fundamental economic question: how can EU Member States’ fiscal sustainability be reliably assessed and predicted in a context marked by repeated macroeconomic shocks and institutional heterogeneity? An integrated model for forecasting fiscal sustainability in the European Union is proposed, built upon a well-defined economic hypothesis: fiscal sustainability can be captured by a composite index derived from statistically validated fiscal and macroeconomic indicators. Our approach addresses a major gap in the economic literature, where forecasting models often fail to integrate institutional constraints and policy relevance. By combining advanced statistical techniques and macroeconomic scenario simulation – a Composite Fiscal Sustainability Index (CFSI) is constructed and its predictive performance evaluated under three alternative economic scenarios. The model achieves an overall accuracy of 85.19%, demonstrating strong discriminatory power and the ability to provide early warning signals of fiscal profile transitions. Positioned at the intersection of research on fiscal rules, public debt dynamics, and fiscal stress indicators, this study contributes both a methodological innovation – through an int</w:t>
      </w:r>
    </w:p>
    <w:p>
      <w:pPr/>
      <w:r>
        <w:rPr>
          <w:b/>
        </w:rPr>
        <w:t>POSSIBLE 2026:</w:t>
      </w:r>
      <w:r>
        <w:t xml:space="preserve"> Changes in the Fertility Rate in European Union Member States in the Context of Socio‑Economic Development — https://doi.org/10.15290/oes.2026.03.125.14</w:t>
      </w:r>
    </w:p>
    <w:p>
      <w:pPr/>
      <w:r>
        <w:rPr>
          <w:b/>
        </w:rPr>
        <w:t>Shared claim-specific concepts:</w:t>
      </w:r>
      <w:r>
        <w:t xml:space="preserve"> eurostat, union, member, states; EU scope visible. This is a provisional connection, not an outcome finding.</w:t>
      </w:r>
    </w:p>
    <w:p>
      <w:pPr>
        <w:pStyle w:val="SourceNote"/>
      </w:pPr>
      <w:r>
        <w:rPr>
          <w:b/>
        </w:rPr>
        <w:t>Available abstract (not full text):</w:t>
      </w:r>
      <w:r>
        <w:t xml:space="preserve"> Purpose | Contemporary demographic trends are playing an increasingly significant role in the context of socio-economic development prospects. One of the challenges facing EU Member States is low fertility rates. The aim of this article is therefore to identify the point in time when changes occurred in the fertility rate across the European Union and to compare these with the levels of socio-economic development achieved in those years. Research method | The article sets out the main hypothesis, namely that the decline in fertility rates in European Union member states is linked to the level of socio-economic development and is of a lasting nature. The hypothesis was tested using the relevant literature and data from Eurostat, the World Bank and the United Nations. Results | In the article the main hypothesis, that the decline in fertility rates in European Union countries is linked to the level of socio-economic development and is of a lasting nature, has been confirmed. Originality / value / implications / recommendations | In EU countries, the fertility rate fell to low (1.5) and very low (1.3) levels across a range of socio-economic development levels. In other words, the countries of the so-called “new EU” aged more rapidly than they became wealthier, in contrast to the so-called “old EU”.</w:t>
      </w:r>
    </w:p>
    <w:p>
      <w:pPr/>
      <w:r>
        <w:rPr>
          <w:b/>
        </w:rPr>
        <w:t>POSSIBLE 2026:</w:t>
      </w:r>
      <w:r>
        <w:t xml:space="preserve"> Different shades of demographic change : the uneven nature of population loss in Europe — https://openalex.org/W7134715160</w:t>
      </w:r>
    </w:p>
    <w:p>
      <w:pPr/>
      <w:r>
        <w:rPr>
          <w:b/>
        </w:rPr>
        <w:t>Shared claim-specific concepts:</w:t>
      </w:r>
      <w:r>
        <w:t xml:space="preserve"> eurostat, projections, member, states, population, ageing; EU scope visible. This is a provisional connection, not an outcome finding.</w:t>
      </w:r>
    </w:p>
    <w:p>
      <w:pPr>
        <w:pStyle w:val="SourceNote"/>
      </w:pPr>
      <w:r>
        <w:rPr>
          <w:b/>
        </w:rPr>
        <w:t>Available abstract (not full text):</w:t>
      </w:r>
      <w:r>
        <w:t xml:space="preserve"> Population decline has become a key concern within the EU as more and more Member States and regions are starting to shrink. This is not a new phenomenon: quite a few regions have experienced periods of population decline since the 1960. Existing narratives explain population decline through a focus on rural and remote regions. However, this dynamic does not hold for all rural regions. The process of population decline is influenced by natural change (NC) and net migration (NM), with positive NM often compensating for negative NC. Therefore, this chapter explores the current and, through projections, potential future state of population decline across the EU, with a careful consideration of the interaction of immigration, emigration, population ageing and fertility in shaping population dynamics, and the current population projections and their implications for the EU in the coming decade. This chapter employs data from Eurostat and the Annual Regional Database of the European Commission's Directorate-General for Regional and Urban Policy (ARDECO) to illustrate existing population dynamics across the EU. Overall, the population of the EU has steadily increased since 1960. On 1 January 2024, the total population of the EU was estimated to be 449 million. Despite this general growth, population change is projected to become negative in the coming decade. Population growth has als</w:t>
      </w:r>
    </w:p>
    <w:p>
      <w:pPr/>
      <w:r>
        <w:rPr>
          <w:b/>
        </w:rPr>
        <w:t>POSSIBLE 2026:</w:t>
      </w:r>
      <w:r>
        <w:t xml:space="preserve"> Assessing EU member states’ circular economy transition — https://doi.org/10.15196/rs160407</w:t>
      </w:r>
    </w:p>
    <w:p>
      <w:pPr/>
      <w:r>
        <w:rPr>
          <w:b/>
        </w:rPr>
        <w:t>Shared claim-specific concepts:</w:t>
      </w:r>
      <w:r>
        <w:t xml:space="preserve"> eurostat, union, member, states; EU scope visible. This is a provisional connection, not an outcome finding.</w:t>
      </w:r>
    </w:p>
    <w:p>
      <w:pPr>
        <w:pStyle w:val="SourceNote"/>
      </w:pPr>
      <w:r>
        <w:rPr>
          <w:b/>
        </w:rPr>
        <w:t>Available abstract (not full text):</w:t>
      </w:r>
      <w:r>
        <w:t xml:space="preserve"> This study explores the European Union's (EU) transition to a circular economy (CE) using macro-level indicators from the year 2020.Motivated by the urgency to reverse resource depletion, waste generation and environmental deterioration resulting from the linear 'take-make-dispose' model, the EU has embraced the CE in action plans since 2015 with the objective of advancing sustainability, resource efficiency and climate neutrality.However, the actual environmental and socio-economic benefits and performance variations across EU member states remain points of investigation.Using Eurostat data from 2020 for 27 EU countries, we employ principal component analysis (PCA) and cluster analysis to eight key CE indicators covering environmental impact, resource efficiency and socio-economic factors.Three statistically significant clusters of EU member states are identified by the CE performance profile analysis.In 2020, differences in environmental impact intensity -most notably greenhouse gas emissions and municipal waste generation -are the key drivers separating these clusters ahead of resource efficiency effects or labour metrics.The results demonstrate that although the EU established a macro-level tracking framework, the CE transition did not equally decrease environmentally relevant pressure throughout the EU in 2020.Furthermore, the socioeconomic gains of employment in the CE di</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eurostat, projections, indicate, member, states, population;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2026:</w:t>
      </w:r>
      <w:r>
        <w:t xml:space="preserve"> The Geography of Future Human Capital in Europe: Regional Dynamics of Education and Aging — https://openalex.org/W7167558995</w:t>
      </w:r>
    </w:p>
    <w:p>
      <w:pPr/>
      <w:r>
        <w:rPr>
          <w:b/>
        </w:rPr>
        <w:t>Shared claim-specific concepts:</w:t>
      </w:r>
      <w:r>
        <w:t xml:space="preserve"> projections, population, size, young, rise, elderly; EU scope visible. This is a provisional connection, not an outcome finding.</w:t>
      </w:r>
    </w:p>
    <w:p>
      <w:pPr>
        <w:pStyle w:val="SourceNote"/>
      </w:pPr>
      <w:r>
        <w:rPr>
          <w:b/>
        </w:rPr>
        <w:t>Available abstract (not full text):</w:t>
      </w:r>
      <w:r>
        <w:t xml:space="preserve"> The study of human capital formation and accumulation at the subnational level, including in the European context, has remained largely confined to historical and descriptive analyses rather than forward-looking projections. Spatially explicit projections of human capital, understood as the joint product of demographic structure (age and sex composition) and educational attainment, thus remain largely unavailable. This paper addresses this gap by developing a Bayesian time series model to project educational attainment across European NUTS-2 regions under the five Shared Socioeconomic Pathways (SSPs). The model works in log-return space, leverages the compositional nature of educational attainment distributions, and combines Bayesian uncertainty quantification with Iterative Proportional Fitting to ensure consistency with national SSP projections and regional demographic structures. The resulting dataset covers 215 NUTS-2 regions across 21 European countries, including three adult age groups from age 25 onwards and three education categories, spanning 2025 to 2100. The projections show a widespread yet heterogeneous increase in tertiary educational attainment, confirming convergence trends noted in existing literature, while the model also reveals that educational expansion unfolds at markedly different paces across regions, including within the same country, and a consistent f</w:t>
      </w:r>
    </w:p>
    <w:p>
      <w:pPr/>
      <w:r>
        <w:rPr>
          <w:b/>
        </w:rPr>
        <w:t>POSSIBLE 2026:</w:t>
      </w:r>
      <w:r>
        <w:t xml:space="preserve"> Integrating Multifactorial Regression Models, Artificial Neural Networks, and Eco-Dynamic Simulations for Assessing Energy Sustainability in the European Union and Emerging Member States — https://doi.org/10.3390/app16042011</w:t>
      </w:r>
    </w:p>
    <w:p>
      <w:pPr/>
      <w:r>
        <w:rPr>
          <w:b/>
        </w:rPr>
        <w:t>Shared claim-specific concepts:</w:t>
      </w:r>
      <w:r>
        <w:t xml:space="preserve"> union, member, states, simultaneous, assess; EU scope visible. This is a provisional connection, not an outcome finding.</w:t>
      </w:r>
    </w:p>
    <w:p>
      <w:pPr>
        <w:pStyle w:val="SourceNote"/>
      </w:pPr>
      <w:r>
        <w:rPr>
          <w:b/>
        </w:rPr>
        <w:t>Available abstract (not full text):</w:t>
      </w:r>
      <w:r>
        <w:t xml:space="preserve"> This study aims to develop an integrated analytical framework for assessing energy sustainability in the EU and emerging member states. It examines the interrelationships between environmental quality—measured by greenhouse gas emissions—economic growth, and energy consumption from both renewable and non-renewable sources. Multifactorial linear regression models are employed and validated through artificial neural networks to enhance robustness and generalization capacity. Based on the identified correlations, the Environmental Kuznets Curve hypothesis is tested to assess patterns of environmental degradation. The analysis then advances to a dynamic framework using the Grey Lotka–Volterra model, which captures nonlinear effects and the mechanisms of competition and cooperation among variables. By exploring simultaneous and evolutionary interactions, the study reveals how these relationships shift over time, identifies inflexion points, and simulates public policy scenarios that may accelerate or hinder decarbonization. This approach provides a comprehensive and policy-relevant perspective on the dynamics of the energy transition.</w:t>
      </w:r>
    </w:p>
    <w:p>
      <w:pPr/>
      <w:r>
        <w:rPr>
          <w:b/>
        </w:rPr>
        <w:t>POSSIBLE 2025:</w:t>
      </w:r>
      <w:r>
        <w:t xml:space="preserve"> Prevalence of Glaucoma in Europe and Projections to 2050 — https://doi.org/10.1016/j.ophtha.2025.06.002</w:t>
      </w:r>
    </w:p>
    <w:p>
      <w:pPr/>
      <w:r>
        <w:rPr>
          <w:b/>
        </w:rPr>
        <w:t>Shared claim-specific concepts:</w:t>
      </w:r>
      <w:r>
        <w:t xml:space="preserve"> projections, population, people, assess;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pStyle w:val="Heading2"/>
      </w:pPr>
      <w:r>
        <w:t>519. Czech Republic as A Deferring Factor for European Union to Achieve Climate Change Measures</w:t>
      </w:r>
    </w:p>
    <w:p>
      <w:pPr>
        <w:pStyle w:val="SourceNote"/>
      </w:pPr>
      <w:r>
        <w:rPr>
          <w:b/>
        </w:rPr>
        <w:t>Original source (2022):</w:t>
      </w:r>
      <w:r>
        <w:t xml:space="preserve"> https://doi.org/10.7454/jsgs.v5i2.1099</w:t>
      </w:r>
    </w:p>
    <w:p>
      <w:pPr/>
      <w:r>
        <w:t>Original wording (abstract; indexed_source_text_not_full_document_verified): The researcher conducts an analysis based on two research questions: what are causal factors for Czech Republic yet to decide on phasing out coal-fired power plant and what impact will it have on the EU's efforts to reduce greenhouse gas emissions by 2030 and become fully carbon neutral by 2050.</w:t>
      </w:r>
    </w:p>
    <w:p>
      <w:pPr/>
      <w:r>
        <w:rPr>
          <w:b/>
        </w:rPr>
        <w:t>POSSIBLE 2026:</w:t>
      </w:r>
      <w:r>
        <w:t xml:space="preserve"> European Researcher — https://doi.org/10.13187/issn.2219-8229</w:t>
      </w:r>
    </w:p>
    <w:p>
      <w:pPr/>
      <w:r>
        <w:rPr>
          <w:b/>
        </w:rPr>
        <w:t>Shared claim-specific concepts:</w:t>
      </w:r>
      <w:r>
        <w:t xml:space="preserve"> researcher, based, gas; EU scope visible. This is a provisional connection, not an outcome finding.</w:t>
      </w:r>
    </w:p>
    <w:p>
      <w:pPr>
        <w:pStyle w:val="SourceNote"/>
      </w:pPr>
      <w:r>
        <w:rPr>
          <w:b/>
        </w:rPr>
        <w:t>Available abstract (not full text):</w:t>
      </w:r>
      <w:r>
        <w:t xml:space="preserve"> The container gas transportation for low and medium level consumers as an alternative to pipelines is considered. The options for gas supply schemes, based on road and rail transport are given. The advantages and disadvantages of both types of gas transporting are described, the areas of their effective using are separated in the article. Promising implementations of technology in environment of economic crisis and also considering world trends of energy development are presented. The most advanced organization of compressed gas condensate transportation of unprepared gas fields in large diameter universal cylindrical balloons (up to 1000 mm) are reasoned. The problem of compressed gas sea transportation are well disclosed, but the alternative ways of gas transportation by land are not investigated enough. Compressed Natural Gas (CNG) Technology - is new promising technology for natural gas transportation by specially designed vessels – CNG-vessels. The feature of this technology is that natural gas can be downloaded directly near gas deposits and unloaded - directly into the customer's network. This eliminates significant capital investments in underwater pipelining or gas liquefaction plants. The main objects of investment are CNG-vessels themselves. The most attractive places for implementation of CNG-technology are sea (offshore) natural gas deposits. Numerous international</w:t>
      </w:r>
    </w:p>
    <w:p>
      <w:pPr/>
      <w:r>
        <w:rPr>
          <w:b/>
        </w:rPr>
        <w:t>POSSIBLE 2026:</w:t>
      </w:r>
      <w:r>
        <w:t xml:space="preserve"> Causal effects of body mass index on glycaemic traits in African and European populations: a Mendelian randomization study — https://doi.org/10.64898/2026.10.02.26364581</w:t>
      </w:r>
    </w:p>
    <w:p>
      <w:pPr/>
      <w:r>
        <w:rPr>
          <w:b/>
        </w:rPr>
        <w:t>Shared claim-specific concepts:</w:t>
      </w:r>
      <w:r>
        <w:t xml:space="preserve"> causal, reduce; EU scope visible. This is a provisional connection, not an outcome finding.</w:t>
      </w:r>
    </w:p>
    <w:p>
      <w:pPr>
        <w:pStyle w:val="SourceNote"/>
      </w:pPr>
      <w:r>
        <w:rPr>
          <w:b/>
        </w:rPr>
        <w:t>Available abstract (not full text):</w:t>
      </w:r>
      <w:r>
        <w:t xml:space="preserve"> Abstract Aims/hypothesis Higher body mass index (BMI) is associated with higher levels of HbA1c and glucose in conventional observational studies from sub-Saharan Africa, but its causal relationship in this population has not been explored. Mendelian randomization (MR) which leverages genetic variants can strengthen causal inference. However, its application in African ancestry populations is limited. The aim of this study was to determine whether causal effects of BMI on glycated haemoglobin (HbA1c) and random glucose differ between African and European populations. Methods We used two-sample MR to estimate the effects of BMI on HbA1c and random glucose in adults of African and European ancestries. We conducted a cross-ancestry BMI genome-wide association study (GWAS) from the Africa-Wits International Network for the Demographic Evaluation of Populations and Their Health (INDEPTH) Partnership for Genomic Studies (AWI-Gen) dataset of African adults (N=10,476) and the largest BMI GWAS in Europeans (N∼700,000). From the cross-ancestry GWAS we identified 428 independent genome-wide significant variants and of those, 363 single nucleotide polymorphisms (SNPs) had consistent direction of effect in both Africans and Europeans. These variants were then used as genetic instruments to proxy BMI for both Africans and Europeans. Primary outcome data for African and European populations w</w:t>
      </w:r>
    </w:p>
    <w:p>
      <w:pPr/>
      <w:r>
        <w:rPr>
          <w:b/>
        </w:rPr>
        <w:t>POSSIBLE 2026:</w:t>
      </w:r>
      <w:r>
        <w:t xml:space="preserve"> Causal Inference in Clinical Research: A Primer — https://doi.org/10.1111/jre.70142</w:t>
      </w:r>
    </w:p>
    <w:p>
      <w:pPr/>
      <w:r>
        <w:rPr>
          <w:b/>
        </w:rPr>
        <w:t>Shared claim-specific concepts:</w:t>
      </w:r>
      <w:r>
        <w:t xml:space="preserve"> researcher, based, two, questions, causal, out; EU scope not established. This is a provisional connection, not an outcome finding.</w:t>
      </w:r>
    </w:p>
    <w:p>
      <w:pPr>
        <w:pStyle w:val="SourceNote"/>
      </w:pPr>
      <w:r>
        <w:rPr>
          <w:b/>
        </w:rPr>
        <w:t>Available abstract (not full text):</w:t>
      </w:r>
      <w:r>
        <w:t xml:space="preserve"> The study of causal relationships is central to scientific inquiry. Understanding what disease is, why it arises, and how it can be treated are a set of fundamentally causal questions. In this article, an overview of causal inference is provided for the applied researcher, with an emphasis placed on intuition and the use of examples from periodontology to support understanding. Causal reasoning goes beyond the description of associations, with a focus instead placed on questions of the form: what would happen to an outcome if a particular exposure were changed? Directed acyclic graphs are introduced as tools through which assumptions can be made explicit and structures that may threaten valid causal inference can be identified, including confounding, mediation, and collider pathways. Randomized controlled trials are highlighted as the gold standard of causal evidence, primarily because they ensure that, on average, comparisons are made between like-with-like groups. However, observational data must often be relied upon due to ethical, practical, and logistical constraints. A three-step framework to answering causal questions is presented, based on (i) asking a causal question, (ii) identifying the causal effect, and (iii) carrying out the analysis. Within this context, two principal strategies for causal identification are outlined: design-based identification and adjustment-ba</w:t>
      </w:r>
    </w:p>
    <w:p>
      <w:pPr/>
      <w:r>
        <w:rPr>
          <w:b/>
        </w:rPr>
        <w:t>POSSIBLE 2026:</w:t>
      </w:r>
      <w:r>
        <w:t xml:space="preserve"> Evidence Based Education in Europe: A Comparative Study — https://doi.org/10.5281/zenodo.23238746</w:t>
      </w:r>
    </w:p>
    <w:p>
      <w:pPr/>
      <w:r>
        <w:rPr>
          <w:b/>
        </w:rPr>
        <w:t>Shared claim-specific concepts:</w:t>
      </w:r>
      <w:r>
        <w:t xml:space="preserve"> based, yet, out, become; EU scope visible. This is a provisional connection, not an outcome finding.</w:t>
      </w:r>
    </w:p>
    <w:p>
      <w:pPr>
        <w:pStyle w:val="SourceNote"/>
      </w:pPr>
      <w:r>
        <w:rPr>
          <w:b/>
        </w:rPr>
        <w:t>Available abstract (not full text):</w:t>
      </w:r>
      <w:r>
        <w:t xml:space="preserve"> Evidence-based education (EBE), the systematic integration of the best available research evidence with into teaching practice, has become a defining, and contested, theme in education policy and practice. Its institutional foundations are most developed in the Anglosphere, notably in England and the United States, yet little is known about how far comparable practices, infrastructures and cultures have emerged across Europe. This report presents a comparative study of EBE in Europe, conducted as part of the LEARN project. Part 1 sets out the conceptual framing, distinguishing EBE from evidence-based policy and reviewing the historical development of, and debates surrounding, the field, before mapping national and supranational institutions across Southern, Central, Northern, Eastern and Western Europe. Part 2 reports empirical findings from a multi-stage investigation comprising expert interviews, a survey of eight LEARN consortium countries, and thematic case studies of the Netherlands, Switzerland and Finland. The findings describe a fragmented European landscape in which conceptual alignment with EBE varies markedly, and in which evidence is often used for system monitoring and accountability rather than for improving classroom practice. Common barriers include limited sustainable funding for rigorous evaluation, insufficient research and data literacy among educators, cult</w:t>
      </w:r>
    </w:p>
    <w:p>
      <w:pPr/>
      <w:r>
        <w:rPr>
          <w:b/>
        </w:rPr>
        <w:t>POSSIBLE 2026:</w:t>
      </w:r>
      <w:r>
        <w:t xml:space="preserve"> Causal Discovery in Observational Medical Research: Scoping Review — https://doi.org/10.2196/82499</w:t>
      </w:r>
    </w:p>
    <w:p>
      <w:pPr/>
      <w:r>
        <w:rPr>
          <w:b/>
        </w:rPr>
        <w:t>Shared claim-specific concepts:</w:t>
      </w:r>
      <w:r>
        <w:t xml:space="preserve"> based, causal, out, efforts; EU scope not established. This is a provisional connection, not an outcome finding.</w:t>
      </w:r>
    </w:p>
    <w:p>
      <w:pPr>
        <w:pStyle w:val="SourceNote"/>
      </w:pPr>
      <w:r>
        <w:rPr>
          <w:b/>
        </w:rPr>
        <w:t>Available abstract (not full text):</w:t>
      </w:r>
      <w:r>
        <w:t xml:space="preserve"> BACKGROUND: Observational data are fundamental to medical research but present formidable challenges for causal inference. Machine learning-based causal discovery algorithms have emerged as a promising solution to identify causal structures directly from such data. However, the current literature is skewed toward theoretical and methodological innovations, with a critical gap in systematic assessments of performance in medical research settings and a lack of practical guidance for clinicians and researchers on selecting and applying these algorithms in specific medical contexts. OBJECTIVE: This study aimed to systematically map and synthesize the application of causal discovery methods in observational medical research, detailing the methodologies used, their application domains, the robustness of the findings, and the practical challenges encountered. METHODS: Following the PRISMA-ScR (Preferred Reporting Items for Systematic Reviews and Meta-Analyses Extension for Scoping Reviews) guidelines, we conducted a systematic search of Scopus, Web of Science, PubMed, MEDLINE, Embase, and CINAHL from inception to May 2025. We included studies that applied any causal discovery algorithms within a medical research context, encompassing both analyses of real-world observational data and method-validation studies using synthetic or benchmark datasets with a clear medical focus. Purely met</w:t>
      </w:r>
    </w:p>
    <w:p>
      <w:pPr/>
      <w:r>
        <w:rPr>
          <w:b/>
        </w:rPr>
        <w:t>POSSIBLE 2024:</w:t>
      </w:r>
      <w:r>
        <w:t xml:space="preserve"> Contemporary European conducting process: educational models — https://doi.org/10.34064/khnum1-72.05</w:t>
      </w:r>
    </w:p>
    <w:p>
      <w:pPr/>
      <w:r>
        <w:rPr>
          <w:b/>
        </w:rPr>
        <w:t>Shared claim-specific concepts:</w:t>
      </w:r>
      <w:r>
        <w:t xml:space="preserve"> based, two, out; EU scope visible. This is a provisional connection, not an outcome finding.</w:t>
      </w:r>
    </w:p>
    <w:p>
      <w:pPr>
        <w:pStyle w:val="SourceNote"/>
      </w:pPr>
      <w:r>
        <w:rPr>
          <w:b/>
        </w:rPr>
        <w:t>Available abstract (not full text):</w:t>
      </w:r>
      <w:r>
        <w:t xml:space="preserve"> Statement of the problem. The process of transformation of modern conducting art as a phenomenon of today’s musical culture is characterized by multi-vector nature. Beside specifically musical skills, the art of conducting synthesizes a whole range of others ones, including comprehension of organizational and communication processes, openness to mastering modern electronic and digital technologies, knowledge of foreign languages. All this implies a thorough training of the future specialist. Considering the scale of the above components, as well as the significant role of them in the formation of an opera and symphony conductor, it is relevant to reveal the process of mastering this profession at the current stage. Objectives, methods, and novelty of the research. The purpose of the study is a theoretical justification of the principles of professional training of opera and symphony conductors of the 21st century in higher education institutions of Ukraine and Italy. The leading method of research in this article is the method of comparative analysis, which makes it possible to assess the advantages and disadvantages of European and domestic education systems in the field of professional training of opera and symphony conductors. The scientific novelty of the study is due to the fact that a comparative analysis of two educational models of opera and orchestra conducting, in Ita</w:t>
      </w:r>
    </w:p>
    <w:p>
      <w:pPr/>
      <w:r>
        <w:rPr>
          <w:b/>
        </w:rPr>
        <w:t>POSSIBLE 2024:</w:t>
      </w:r>
      <w:r>
        <w:t xml:space="preserve"> Ratios in regression analyses with causal questions — https://doi.org/10.1093/aje/kwae162</w:t>
      </w:r>
    </w:p>
    <w:p>
      <w:pPr/>
      <w:r>
        <w:rPr>
          <w:b/>
        </w:rPr>
        <w:t>Shared claim-specific concepts:</w:t>
      </w:r>
      <w:r>
        <w:t xml:space="preserve"> based, two, questions, causal, become; EU scope not established. This is a provisional connection, not an outcome finding.</w:t>
      </w:r>
    </w:p>
    <w:p>
      <w:pPr>
        <w:pStyle w:val="SourceNote"/>
      </w:pPr>
      <w:r>
        <w:rPr>
          <w:b/>
        </w:rPr>
        <w:t>Available abstract (not full text):</w:t>
      </w:r>
      <w:r>
        <w:t xml:space="preserve"> Ratio measures are often used in medical research. Generally, the reason is to describe a phenomenon with a single number rather than multiple numbers. In many instances, ratios are used to account at an individual level for size, such as height in body mass index (BMI) or volume in concentrations. Alternatively, they are used to quantify a latent construct or to summarize the balance between two phenomena, for example, of two hormones or other laboratory markers,1 as the two measures jointly are thought to better describe a phenomenon than separately. Despite several statistical issues previously described, such as finding spurious correlations,2,-4 ratio measures can be convenient and efficient when it comes to diagnostic, prognostic, or predictive questions. However, when dealing with causal questions, the use of ratio measures is not straightforward. An example where a ratio has led to misinterpretation relates to the retinal arteriolar-to-venular ratio, initially thought of as a measure for arteriolar narrowing. Several associations with cardiovascular phenomena were found, but these later appeared to be partly attributable to larger venular diameters.5 We explore several issues relevant for the use of ratios within a causal framework. These issues stem partly from the fact that once two variables are combined into a ratio, the individual effects of the components cannot b</w:t>
      </w:r>
    </w:p>
    <w:p>
      <w:pPr/>
      <w:r>
        <w:rPr>
          <w:b/>
        </w:rPr>
        <w:t>POSSIBLE 2024:</w:t>
      </w:r>
      <w:r>
        <w:t xml:space="preserve"> A guide for planning triangulation studies to investigate complex causal questions in behavioural and psychiatric research — https://doi.org/10.1017/s2045796024000623</w:t>
      </w:r>
    </w:p>
    <w:p>
      <w:pPr/>
      <w:r>
        <w:rPr>
          <w:b/>
        </w:rPr>
        <w:t>Shared claim-specific concepts:</w:t>
      </w:r>
      <w:r>
        <w:t xml:space="preserve"> questions, causal, factors, become; EU scope not established. This is a provisional connection, not an outcome finding.</w:t>
      </w:r>
    </w:p>
    <w:p>
      <w:pPr>
        <w:pStyle w:val="SourceNote"/>
      </w:pPr>
      <w:r>
        <w:rPr>
          <w:b/>
        </w:rPr>
        <w:t>Available abstract (not full text):</w:t>
      </w:r>
      <w:r>
        <w:t xml:space="preserve"> AIMS: At the basis of many important research questions is causality - does X causally impact Y? For behavioural and psychiatric traits, answering such questions can be particularly challenging, as they are highly complex and multifactorial. 'Triangulation' refers to prospectively choosing, conducting and integrating several methods to investigate a specific causal question. If different methods, with different sources of bias, all indicate a causal effect, the finding is much less likely to be spurious. While triangulation can be a powerful approach, its interpretation differs across (sub)fields and there are no formal guidelines. Here, we aim to provide clarity and guidance around the process of triangulation for behavioural and psychiatric epidemiology, so that results of existing triangulation studies can be better interpreted, and new triangulation studies better designed. METHODS: We first introduce the concept of triangulation and how it is applied in epidemiological investigations of behavioural and psychiatric traits. Next, we put forth a systematic step-by-step guide, that can be used to design a triangulation study (accompanied by a worked example). Finally, we provide important general recommendations for future studies. RESULTS: While the literature contains varying interpretations, triangulation generally refers to an investigation that assesses the robustness of </w:t>
      </w:r>
    </w:p>
    <w:p>
      <w:pPr/>
      <w:r>
        <w:rPr>
          <w:b/>
        </w:rPr>
        <w:t>POSSIBLE 2024:</w:t>
      </w:r>
      <w:r>
        <w:t xml:space="preserve"> Do LLMs Have the Generalization Ability in Conducting Causal Inference? — https://doi.org/10.48550/arxiv.2410.11385</w:t>
      </w:r>
    </w:p>
    <w:p>
      <w:pPr/>
      <w:r>
        <w:rPr>
          <w:b/>
        </w:rPr>
        <w:t>Shared claim-specific concepts:</w:t>
      </w:r>
      <w:r>
        <w:t xml:space="preserve"> based, questions, causal, yet; EU scope not established. This is a provisional connection, not an outcome finding.</w:t>
      </w:r>
    </w:p>
    <w:p>
      <w:pPr>
        <w:pStyle w:val="SourceNote"/>
      </w:pPr>
      <w:r>
        <w:rPr>
          <w:b/>
        </w:rPr>
        <w:t>Available abstract (not full text):</w:t>
      </w:r>
      <w:r>
        <w:t xml:space="preserve"> In causal inference, generalization capability refers to the ability to conduct causal inference methods on new data to estimate the causal-effect between unknown phenomenon, which is crucial for expanding the boundaries of knowledge. Studies have evaluated the causal inference capabilities of Large Language Models (LLMs) concerning known phenomena, yet the generalization capabilities of LLMs concerning unseen phenomena remain unexplored. In this paper, we selected four tasks: Causal Path Discovery (CP), Backdoor Adjustment (BA), Factual Inference (FI), and Counterfactual Inference (CI) as representatives of causal inference tasks. To generate evaluation questions about previously unseen phenomena in new data on the four tasks, we propose a benchmark generation framework, which employs randomly generated graphs and node names to formulate questions within hypothetical new causal scenarios. Based on this framework, we compile a benchmark dataset of varying levels of question complexity. We extensively tested the generalization capabilities of five leading LLMs across four tasks. Experiment results reveal that while LLMs exhibit good generalization performance in solving simple CP, FI, and complex CI questions, they encounter difficulties when tackling BA questions and face obvious performance fluctuations as the problem complexity changes. Furthermore, when the names of phenomen</w:t>
      </w:r>
    </w:p>
    <w:p>
      <w:pPr/>
      <w:r>
        <w:rPr>
          <w:b/>
        </w:rPr>
        <w:t>POSSIBLE 2024:</w:t>
      </w:r>
      <w:r>
        <w:t xml:space="preserve"> Cross Modality Bias in Visual Question Answering: A Causal View With Possible Worlds VQA — https://doi.org/10.1109/tmm.2024.3380259</w:t>
      </w:r>
    </w:p>
    <w:p>
      <w:pPr/>
      <w:r>
        <w:rPr>
          <w:b/>
        </w:rPr>
        <w:t>Shared claim-specific concepts:</w:t>
      </w:r>
      <w:r>
        <w:t xml:space="preserve"> questions, causal, efforts, reduce; EU scope not established. This is a provisional connection, not an outcome finding.</w:t>
      </w:r>
    </w:p>
    <w:p>
      <w:pPr>
        <w:pStyle w:val="SourceNote"/>
      </w:pPr>
      <w:r>
        <w:rPr>
          <w:b/>
        </w:rPr>
        <w:t>Available abstract (not full text):</w:t>
      </w:r>
      <w:r>
        <w:t xml:space="preserve"> To increase the generalization capability of VQA systems, many recent studies have tried to de-bias spurious language or vision associations that shortcut the question or image to the answer. Despite these efforts, the literature fails to address the confounding effect of vision and language simultaneously. As a result, when they reduce bias learned from one modality, they usually increase bias from the other. In this paper, we first model a confounding effect that causes language and vision bias simultaneously, then propose a counterfactual inference to remove the influence of this effect. The model trained in this strategy can concurrently and efficiently reduce vision and language bias. To the best of our knowledge, this is the first work to reduce biases resulting from confounding effects of vision and language in VQA, leveraging causal explain-away relations. We accompany our method with an explain-away strategy, pushing the accuracy of the questions with numerical answers results compared to existing methods that have been an open problem. The proposed method outperforms the state-of-the-art methods in VQA-CP v2 datasets. R2: Providing brief insights into the experimental setup and results would add valuable context for readers. In response to R2, we released the code and documentation for the implementation as follows. Our codes are available at https://github.com/ali-vo</w:t>
      </w:r>
    </w:p>
    <w:p>
      <w:pPr/>
      <w:r>
        <w:rPr>
          <w:b/>
        </w:rPr>
        <w:t>POSSIBLE 2024:</w:t>
      </w:r>
      <w:r>
        <w:t xml:space="preserve"> Nature-Based Tourism in National and Natural Parks in Europe: A Systematic Review — https://doi.org/10.3390/f15040588</w:t>
      </w:r>
    </w:p>
    <w:p>
      <w:pPr/>
      <w:r>
        <w:rPr>
          <w:b/>
        </w:rPr>
        <w:t>Shared claim-specific concepts:</w:t>
      </w:r>
      <w:r>
        <w:t xml:space="preserve"> based, two, reduce; EU scope visible. This is a provisional connection, not an outcome finding.</w:t>
      </w:r>
    </w:p>
    <w:p>
      <w:pPr>
        <w:pStyle w:val="SourceNote"/>
      </w:pPr>
      <w:r>
        <w:rPr>
          <w:b/>
        </w:rPr>
        <w:t>Available abstract (not full text):</w:t>
      </w:r>
      <w:r>
        <w:t xml:space="preserve"> Considered among the fastest-growing industries in the world, tourism brings immense benefits but also creates certain challenges. Conservation of natural resources is a stringent necessity, without which the extraordinary ecosystems’ attributes that create the premises for nature-based tourism would reduce, alter, and subsequently disappear. The aim of the present review is twofold: gaining a general understanding of what nature-based tourism is and providing a systematic literature review of articles on nature-based tourism in European national and natural parks, with emphasis on their applicability. The articles included in the present review were selected based on the Preferred Reporting Items for Systematic Reviews and Meta-Analyses (PRISMA) statement. The review accounts for research conducted between 2000 and 2021 and is divided into two sections: articles aimed at understanding tourists’ behaviour and articles that are focused on other stakeholders or have the local communities in the foreground. While many studies are aimed at understanding tourists’ behaviour as a means of improving parks’ management, participatory strategies including local communities are often indicated as beneficial. The results of this paper can facilitate future research in the field and provide valuable knowledge to policymakers and any interested parties.</w:t>
      </w:r>
    </w:p>
    <w:p>
      <w:pPr/>
      <w:r>
        <w:rPr>
          <w:b/>
        </w:rPr>
        <w:t>POSSIBLE 2024:</w:t>
      </w:r>
      <w:r>
        <w:t xml:space="preserve"> Causal linkages between stock, crude oil and gold returns in Central Europe — https://doi.org/10.15611/aoe.2024.2.05</w:t>
      </w:r>
    </w:p>
    <w:p>
      <w:pPr/>
      <w:r>
        <w:rPr>
          <w:b/>
        </w:rPr>
        <w:t>Shared claim-specific concepts:</w:t>
      </w:r>
      <w:r>
        <w:t xml:space="preserve"> two, causal; EU scope visible. This is a provisional connection, not an outcome finding.</w:t>
      </w:r>
    </w:p>
    <w:p>
      <w:pPr>
        <w:pStyle w:val="SourceNote"/>
      </w:pPr>
      <w:r>
        <w:rPr>
          <w:b/>
        </w:rPr>
        <w:t>Available abstract (not full text):</w:t>
      </w:r>
      <w:r>
        <w:t xml:space="preserve"> The aim of this paper was to evaluate the relationship between the stocks, crude oil and gold markets of Central Europe in the short and long-term by applying a vector error correction model (VECM), and the Granger-causality analysis followed by a forecast error variance decomposition (FEVD) and impulse response function (IRF) analysis. Since gold seems to demonstrate a low or negative correlation with stocks, while the correlation between crude oil and gold is positive, it is important to investigate the interrelations in the markets in question to understand the nature of the linkages between them and their implications. It is assumed that there exists a long-term equilibrium between the analysed assets and that the changes in the prices in the gold and crude oil markets impact the stock market. The research findings confirm a long-term relationship between the markets as the prices of the analysed assets are cointegrated. In the long-term, the increase in the crude oil price (Brent) caused a raise in the gold price, whereas the impact of the stock price (Central European Blue Chip Index CETOP) was opposite. The author indicated two cases of unidirectional causality, hence the gold returns Granger-cause the stock returns, as expected. However, the latter determined the crude oil returns, which contradicts the research hypothesis. One can observe the negative impact of gold re</w:t>
      </w:r>
    </w:p>
    <w:p>
      <w:pPr>
        <w:pStyle w:val="Heading2"/>
      </w:pPr>
      <w:r>
        <w:t>520. Efficiency of the European Union farm types: Scenarios with and without the 2013 CAP measures</w:t>
      </w:r>
    </w:p>
    <w:p>
      <w:pPr>
        <w:pStyle w:val="SourceNote"/>
      </w:pPr>
      <w:r>
        <w:rPr>
          <w:b/>
        </w:rPr>
        <w:t>Original source (2022):</w:t>
      </w:r>
      <w:r>
        <w:t xml:space="preserve"> https://doi.org/10.1515/opag-2022-0071</w:t>
      </w:r>
    </w:p>
    <w:p>
      <w:pPr/>
      <w:r>
        <w:t>Original wording (abstract; indexed_source_text_not_full_document_verified): We analyse the evolution of the EU farm types in the last two decades with significant scenario changes like two large common agricultural policy (CAP) reforms (2003 and 2013) and suggest new approaches to the design for future measures. The analysis of these impacts may bring relevant insights, especially, for adjustments in the design of future strategies and plans.</w:t>
      </w:r>
    </w:p>
    <w:p>
      <w:pPr/>
      <w:r>
        <w:rPr>
          <w:b/>
        </w:rPr>
        <w:t>POSSIBLE 2026:</w:t>
      </w:r>
      <w:r>
        <w:t xml:space="preserve"> ANALYSIS OF FARMS IN ROMANIA IN THE CONTEXT OF THE EUROPEAN UNION — https://doi.org/10.46793/zbiep25.153ms</w:t>
      </w:r>
    </w:p>
    <w:p>
      <w:pPr/>
      <w:r>
        <w:rPr>
          <w:b/>
        </w:rPr>
        <w:t>Shared claim-specific concepts:</w:t>
      </w:r>
      <w:r>
        <w:t xml:space="preserve"> analyse, evolution, large, agricultural; EU scope visible. This is a provisional connection, not an outcome finding.</w:t>
      </w:r>
    </w:p>
    <w:p>
      <w:pPr>
        <w:pStyle w:val="SourceNote"/>
      </w:pPr>
      <w:r>
        <w:rPr>
          <w:b/>
        </w:rPr>
        <w:t>Available abstract (not full text):</w:t>
      </w:r>
      <w:r>
        <w:t xml:space="preserve"> The current state of the economy and society in the Romanian agricultural sector, as well as the development of rural space, are, to a large extent, influenced by the country’s agrarian structure, which is deeply not adapted to the requirements of a modern agriculture, capable of ensuring food safety and security. This situation is mainly the result of the ineficient or defective application of land laws in Romania, which negatively affects productivity, land redistribution, and sustainable development of rural areas. The authors of the paper comparatively analyse the situation of agricultural farms in Romania in the context of the EU. The analysis highlights that the evolution and differences in the structure of farms in the EU vary from one country to another. In order to remedy these problems, a profound reform of the legislative framework and agricultural practices is necessary in Romania, oriented towards the consolidation of agricultural households and the implementation of policies that promote the sustainability and competitiveness of the Romanian agricultural sector.</w:t>
      </w:r>
    </w:p>
    <w:p>
      <w:pPr/>
      <w:r>
        <w:rPr>
          <w:b/>
        </w:rPr>
        <w:t>POSSIBLE 2026:</w:t>
      </w:r>
      <w:r>
        <w:t xml:space="preserve"> Historical Evolution of Farm Machinery in Bangladesh: A Review — https://doi.org/10.61361/jambe.v10i1.157</w:t>
      </w:r>
    </w:p>
    <w:p>
      <w:pPr/>
      <w:r>
        <w:rPr>
          <w:b/>
        </w:rPr>
        <w:t>Shared claim-specific concepts:</w:t>
      </w:r>
      <w:r>
        <w:t xml:space="preserve"> evolution, farm, significant, agricultural; EU scope not established. This is a provisional connection, not an outcome finding.</w:t>
      </w:r>
    </w:p>
    <w:p>
      <w:pPr>
        <w:pStyle w:val="SourceNote"/>
      </w:pPr>
      <w:r>
        <w:rPr>
          <w:b/>
        </w:rPr>
        <w:t>Available abstract (not full text):</w:t>
      </w:r>
      <w:r>
        <w:t xml:space="preserve"> Bangladesh has undergone one of the most significant agricultural transformations in South Asia, driven by the rapid evolution of farm machinery since the mid- 20th century. From a purely manual and animal-driven farming system to a modernized agricultural landscape characterized by power tillers, tractors, combine harvesters, mechanical irrigation, and emerging digital tools. Farm mechanization has reshaped production practices, rural labour dynamics, and food security. This historical review synthesizes existing research, national policies, sectoral reports, and development project documents to examine the chronological evolution of farm machinery in Bangladesh. The study identifies four key phases: pre-mechanization (before 1960), early mechanization (1960-1990), rapid mechanization (1990-2010), and advanced mechanization with modern and digital integration (2010-present). It explores the technological drivers, socio-economic influences, and institutional roles behind this transformation. The review highlights significant gains in productivity, expansion of irrigated area, labour savings, and growth of rural machinery service market. Despite these achievements, challenges remain in land fragmentation, import dependency, sustainability of diesel-based machinery, and shortage of skilled operators. The paper concludes by suggesting directions for future research and policy, foc</w:t>
      </w:r>
    </w:p>
    <w:p>
      <w:pPr/>
      <w:r>
        <w:rPr>
          <w:b/>
        </w:rPr>
        <w:t>POSSIBLE 2026:</w:t>
      </w:r>
      <w:r>
        <w:t xml:space="preserve"> Contract Design for "Enterprise+Farmer" Sharecropping Family Farms — A Comparison of Institutional Evolution in American and French Family Farms — https://doi.org/10.62177/apemr.v3i1.1034</w:t>
      </w:r>
    </w:p>
    <w:p>
      <w:pPr/>
      <w:r>
        <w:rPr>
          <w:b/>
        </w:rPr>
        <w:t>Shared claim-specific concepts:</w:t>
      </w:r>
      <w:r>
        <w:t xml:space="preserve"> evolution, farm, two, agricultural, design; EU scope visible. This is a provisional connection, not an outcome finding.</w:t>
      </w:r>
    </w:p>
    <w:p>
      <w:pPr>
        <w:pStyle w:val="SourceNote"/>
      </w:pPr>
      <w:r>
        <w:rPr>
          <w:b/>
        </w:rPr>
        <w:t>Available abstract (not full text):</w:t>
      </w:r>
      <w:r>
        <w:t xml:space="preserve"> In the process of agricultural modernization in the United States and France, land concentration and farm mergers have been carried out. However, due to the differences in the initial conditions of land resource endowment and the dependence on the path of institutional development, the two countries have formed different institutional evolution results. China's agricultural development urgently needs to take the road of scale. Based on the existing agricultural basic conditions, small and medium-sized family farms have become a realistic choice. However, compared with professional farmers in developed countries, small farmers in China have congenital shortcomings, and it is difficult to spontaneously grow into the main body of modern large-scale agricultural business. The "enterprise + farmers" proposed in this article is divided into a cooperation model. Enterprises provide all-round support to small farmers with their capital, technical and management advantages, providing an important growth path for small farmers to grow into family farms, which will become the main organizational form of China's agricultural modernization suitable for national conditions.</w:t>
      </w:r>
    </w:p>
    <w:p>
      <w:pPr/>
      <w:r>
        <w:rPr>
          <w:b/>
        </w:rPr>
        <w:t>POSSIBLE 2026:</w:t>
      </w:r>
      <w:r>
        <w:t xml:space="preserve"> An analysis of the response behaviour of farms in the Farm Structure Survey — https://doi.org/10.71014/sieds.v80i2.507</w:t>
      </w:r>
    </w:p>
    <w:p>
      <w:pPr/>
      <w:r>
        <w:rPr>
          <w:b/>
        </w:rPr>
        <w:t>Shared claim-specific concepts:</w:t>
      </w:r>
      <w:r>
        <w:t xml:space="preserve"> analyse, farm, two, agricultural; EU scope visible. This is a provisional connection, not an outcome finding.</w:t>
      </w:r>
    </w:p>
    <w:p>
      <w:pPr>
        <w:pStyle w:val="SourceNote"/>
      </w:pPr>
      <w:r>
        <w:rPr>
          <w:b/>
        </w:rPr>
        <w:t>Available abstract (not full text):</w:t>
      </w:r>
      <w:r>
        <w:t xml:space="preserve"> The 2023 edition of the Farm Structure Survey is a sample survey that includes approximately 100,000 agricultural and livestock units registered in the Farm Register. This survey was conducted in accordance with Regulation (EC) No 1091/2018 of the European Parliament and of the Council, following an organizational model based on collaboration among several private entities. Thanks to an agreement with Istat, the Agricultural Assistance Centras (CAA) played a crucial role in the survey activities, acting as intermediaries in the data collection for various agricultural surveys. Operators affiliated with CAAs have a privileged relationship with farms due to their ongoing activities and possess specialized training in agricultural matters. Data collection was carried out using a combination of two survey techniques to optimize costs and minimize the statistical burden on respondents. Farms were given the option to complete the questionnaire online via CAWI (Computer Assisted Web Interviewing). Non-responding units were subsequently contacted by an operator who administered the questionnaire using CAPI (Computer Assisted Personal Interviewing). The objective of this work is to analyse the possible links between the characteristics of farms and their response behaviour, also in relation to the possible effects of actions taken to encourage participation.</w:t>
      </w:r>
    </w:p>
    <w:p>
      <w:pPr/>
      <w:r>
        <w:rPr>
          <w:b/>
        </w:rPr>
        <w:t>POSSIBLE 2026:</w:t>
      </w:r>
      <w:r>
        <w:t xml:space="preserve"> Experimental Investigation of the Evolution of Coherent Flow Structures within an Actuator Disc Wind Farm — https://doi.org/10.1088/1742-6596/3224/3/032021</w:t>
      </w:r>
    </w:p>
    <w:p>
      <w:pPr/>
      <w:r>
        <w:rPr>
          <w:b/>
        </w:rPr>
        <w:t>Shared claim-specific concepts:</w:t>
      </w:r>
      <w:r>
        <w:t xml:space="preserve"> evolution, farm, types, two, significant, large; EU scope not established. This is a provisional connection, not an outcome finding.</w:t>
      </w:r>
    </w:p>
    <w:p>
      <w:pPr>
        <w:pStyle w:val="SourceNote"/>
      </w:pPr>
      <w:r>
        <w:rPr>
          <w:b/>
        </w:rPr>
        <w:t>Available abstract (not full text):</w:t>
      </w:r>
      <w:r>
        <w:t xml:space="preserve"> Abstract Wind turbines operate in a highly complex aerodynamic environment. Beyond varying turbulence intensities, intermittent flow, and a wide range of turbulent length scales, coherent structures such as large gusts, wind ramps, and storm fronts impose significant loads on blades and towers. This study experimentally characterizes two types of coherent flow structures in a wind tunnel and investigates their behavior in a model-scale wind farm. Porous actuator discs act as substitutes for wind turbines and are arranged in both aligned and staggered configurations. The flow in and around the discs is measured using hot-wire anemometry, while an active grid generates two coherent flow structures: a classical extreme operating gust as defined by the IEC, and a rapid positive–negative wind ramp. Results show that the temporal and spatial extent of a coherent structure affects its recovery within the wind farm, and that increased background turbulence further accelerates wake recovery. Although the mean wind speed decreases significantly behind the first turbine row, gust amplitudes nearly recover to their inflow magnitude. Consequently, turbines in downstream rows remain exposed to strong, sudden coherent events, which must be considered in wind farm operation and control strategies.</w:t>
      </w:r>
    </w:p>
    <w:p>
      <w:pPr/>
      <w:r>
        <w:rPr>
          <w:b/>
        </w:rPr>
        <w:t>POSSIBLE 2026:</w:t>
      </w:r>
      <w:r>
        <w:t xml:space="preserve"> The Structural Evolution of the Agricultural Services Market in Poland — https://doi.org/10.3390/su18146992</w:t>
      </w:r>
    </w:p>
    <w:p>
      <w:pPr/>
      <w:r>
        <w:rPr>
          <w:b/>
        </w:rPr>
        <w:t>Shared claim-specific concepts:</w:t>
      </w:r>
      <w:r>
        <w:t xml:space="preserve"> evolution, two, agricultural; EU scope visible. This is a provisional connection, not an outcome finding.</w:t>
      </w:r>
    </w:p>
    <w:p>
      <w:pPr>
        <w:pStyle w:val="SourceNote"/>
      </w:pPr>
      <w:r>
        <w:rPr>
          <w:b/>
        </w:rPr>
        <w:t>Available abstract (not full text):</w:t>
      </w:r>
      <w:r>
        <w:t xml:space="preserve"> Agricultural services are an important component of the agricultural production system, as they may support farms in accessing machinery, labour, specialised knowledge, and selected technical inputs without fully internalising these resources. Despite their relevance, empirical evidence on the development of agricultural services remains limited in the Polish and broader Central and Eastern European context. The objective of this article is to assess the structural evolution of the agricultural and horticultural services market in Poland, with particular attention to the number and regional distribution of service providers, firm-size structure, farm-level use of selected services, and changes in service costs. The study is based on official statistical data from the Central Statistical Office of Poland for 2009–2024 and two survey waves conducted among farms in the Mazowieckie region in 2013 and 2024. The methodological approach combines descriptive and comparative analyses with exploratory logistic regression models. The results show that the agricultural services market in Poland has undergone clear structural changes, although the dynamics differed across service segments. Services supporting crop production expanded until 2015 and then stabilised or slightly declined, while post-harvest and livestock-related services remained relatively stable. Landscaping services recorde</w:t>
      </w:r>
    </w:p>
    <w:p>
      <w:pPr/>
      <w:r>
        <w:rPr>
          <w:b/>
        </w:rPr>
        <w:t>POSSIBLE 2026:</w:t>
      </w:r>
      <w:r>
        <w:t xml:space="preserve"> The evolution of the corporate governance literature in Islamic banking: A bibliometric review of the last two decades — https://doi.org/10.22495/jgrv15i1art17</w:t>
      </w:r>
    </w:p>
    <w:p>
      <w:pPr/>
      <w:r>
        <w:rPr>
          <w:b/>
        </w:rPr>
        <w:t>Shared claim-specific concepts:</w:t>
      </w:r>
      <w:r>
        <w:t xml:space="preserve"> evolution, last, two, decades; EU scope not established. This is a provisional connection, not an outcome finding.</w:t>
      </w:r>
    </w:p>
    <w:p>
      <w:pPr>
        <w:pStyle w:val="SourceNote"/>
      </w:pPr>
      <w:r>
        <w:rPr>
          <w:b/>
        </w:rPr>
        <w:t>Available abstract (not full text):</w:t>
      </w:r>
      <w:r>
        <w:t xml:space="preserve"> This study aims to explore trends and map knowledge on corporate governance (CG) in Islamic banking written by academics worldwide. This study is crucial for identifying the map and gaps in CG research in the Islamic banking industry. The method used is library research, focusing on thematic literature examining CG in Islamic banking. Primary data sources include journal articles, books, and proceedings published from 2005 to 2024, primarily by reputable publishers. The data were then analyzed using an R-based bibliometric approach (Donthu et al., 2021), the bibliometrics web interface, and Biblioshiny. The results indicate that academics from various affiliations and countries still have a high interest in the theme of Islamic banking governance (Bui &amp; Krajcsák, 2024). However, the authors’ affiliations and countries are not evenly distributed, with a concentration in the Middle East, Southeast Asia, and the UK. From the aspect of the study articles, the sustainable development approach emerges as a new direction in Islamic financial governance, along with the coherence of keywords such as banking and Islamism, which indicates a strong thematic relationship with Islamic values.</w:t>
      </w:r>
    </w:p>
    <w:p>
      <w:pPr/>
      <w:r>
        <w:rPr>
          <w:b/>
        </w:rPr>
        <w:t>POSSIBLE 2025:</w:t>
      </w:r>
      <w:r>
        <w:t xml:space="preserve"> The evolution of antibiotic resistance in Europe, 1998–2019 — https://doi.org/10.1371/journal.ppat.1012945</w:t>
      </w:r>
    </w:p>
    <w:p>
      <w:pPr/>
      <w:r>
        <w:rPr>
          <w:b/>
        </w:rPr>
        <w:t>Shared claim-specific concepts:</w:t>
      </w:r>
      <w:r>
        <w:t xml:space="preserve"> analyse, evolution, large; EU scope visible. This is a provisional connection, not an outcome finding.</w:t>
      </w:r>
    </w:p>
    <w:p>
      <w:pPr>
        <w:pStyle w:val="SourceNote"/>
      </w:pPr>
      <w:r>
        <w:rPr>
          <w:b/>
        </w:rPr>
        <w:t>Available abstract (not full text):</w:t>
      </w:r>
      <w:r>
        <w:t xml:space="preserve"> The evolutionary dynamics of antibiotic resistance are not well understood, particularly the long-term trajectories of resistance frequencies and their dependence on antibiotic consumption. Here, we systematically analyse resistance trajectories for 887 bug-drug-country combinations in Europe across 1998-2019, for eight bacterial species with a considerable resistance-associated public health burden. Our analyses support a model in which, after an initial increase, resistance frequencies reach a stable intermediate equilibrium. The plurality (37%) of analysed trajectories were best described as 'stable' (neither increasing nor decreasing). 21% of trajectories were best described as 'stabilising' - i.e. showing a transition from increasing frequency to a stable plateau; 21% as decreasing and 20% as increasing. The antibiotic consumption in a country predicts both the equilibrium frequency of the corresponding resistance and the speed at which this equilibrium is reached. Moreover, we find weak evidence that temporal fluctuations in resistance frequency are driven by temporal fluctuations in hospital antibiotic consumption. A large fraction of the variability in the speed of increase and the equilibrium level of resistance remains unexplained by antibiotic use, suggesting other factors may also drive resistance dynamics. Overall, our results indicate that ever increasing antibiot</w:t>
      </w:r>
    </w:p>
    <w:p>
      <w:pPr/>
      <w:r>
        <w:rPr>
          <w:b/>
        </w:rPr>
        <w:t>POSSIBLE 2025:</w:t>
      </w:r>
      <w:r>
        <w:t xml:space="preserve"> Player Transfer Market in European Football Using Machine Learning to analyse the evolution of the European football. — https://doi.org/10.63227/652.299.56</w:t>
      </w:r>
    </w:p>
    <w:p>
      <w:pPr/>
      <w:r>
        <w:rPr>
          <w:b/>
        </w:rPr>
        <w:t>Shared claim-specific concepts:</w:t>
      </w:r>
      <w:r>
        <w:t xml:space="preserve"> analyse, evolution, insights; EU scope visible. This is a provisional connection, not an outcome finding.</w:t>
      </w:r>
    </w:p>
    <w:p>
      <w:pPr>
        <w:pStyle w:val="SourceNote"/>
      </w:pPr>
      <w:r>
        <w:rPr>
          <w:b/>
        </w:rPr>
        <w:t>Available abstract (not full text):</w:t>
      </w:r>
      <w:r>
        <w:t xml:space="preserve"> The study uses machine learning to analyse the European football transfer market from 2015 to 2025, revealing patterns in transfer fees and market values influenced by player attributes, highlighting the potential of data-driven insights.</w:t>
      </w:r>
    </w:p>
    <w:p>
      <w:pPr/>
      <w:r>
        <w:rPr>
          <w:b/>
        </w:rPr>
        <w:t>POSSIBLE 2025:</w:t>
      </w:r>
      <w:r>
        <w:t xml:space="preserve"> Evolution of the Geographic Range of a European Montane Leaf Beetle in Response to Climate Changes at the End of the Quaternary — https://doi.org/10.1111/jbi.15181</w:t>
      </w:r>
    </w:p>
    <w:p>
      <w:pPr/>
      <w:r>
        <w:rPr>
          <w:b/>
        </w:rPr>
        <w:t>Shared claim-specific concepts:</w:t>
      </w:r>
      <w:r>
        <w:t xml:space="preserve"> evolution, last, two, suggest; EU scope visible. This is a provisional connection, not an outcome finding.</w:t>
      </w:r>
    </w:p>
    <w:p>
      <w:pPr>
        <w:pStyle w:val="SourceNote"/>
      </w:pPr>
      <w:r>
        <w:rPr>
          <w:b/>
        </w:rPr>
        <w:t>Available abstract (not full text):</w:t>
      </w:r>
      <w:r>
        <w:t xml:space="preserve"> ABSTRACT Aim During the past few 100,000 years, repeated cycles of glaciation and warming episodes have radically altered the range of organisms. Numerous phylogeographic studies have investigated the impact of past climate changes on the range of temperate organisms in Europe, but we know substantially less about organisms that are adapted to colder climates. Their distributions are often currently fragmented and limited to relatively high elevations in mountainous regions and to the north of Europe. Our inferences of their range during the last glaciation appear contradictory: some studies indicate a range expansion through colonisation of the lowlands, while others suggest a range contraction because they were restricted to small refugia. In this study, we wished to identify which of these two alternative hypotheses explains best the current distribution of genetic variation in a European montane leaf beetle whose current range spans several mountains. Location Four European mountain systems: Alps, Vosges, Massif Central, Pyrenees. Time Period End of the Quaternary, focusing mainly on the last glaciation and the Holocene. Taxon Gonioctena quinquepunctata [Fabricius, 1787] (Coleoptera; Chrysomelidae). Results Modelling of the potential current and last glacial maximum species distributions suggested that climatic conditions were more favourable in the lowlands during the last</w:t>
      </w:r>
    </w:p>
    <w:p>
      <w:pPr/>
      <w:r>
        <w:rPr>
          <w:b/>
        </w:rPr>
        <w:t>POSSIBLE 2025:</w:t>
      </w:r>
      <w:r>
        <w:t xml:space="preserve"> The Evolution of Hybrid Warfare — https://doi.org/10.36250/01237_06</w:t>
      </w:r>
    </w:p>
    <w:p>
      <w:pPr/>
      <w:r>
        <w:rPr>
          <w:b/>
        </w:rPr>
        <w:t>Shared claim-specific concepts:</w:t>
      </w:r>
      <w:r>
        <w:t xml:space="preserve"> analyse, evolution, last, two, like; EU scope visible. This is a provisional connection, not an outcome finding.</w:t>
      </w:r>
    </w:p>
    <w:p>
      <w:pPr>
        <w:pStyle w:val="SourceNote"/>
      </w:pPr>
      <w:r>
        <w:rPr>
          <w:b/>
        </w:rPr>
        <w:t>Available abstract (not full text):</w:t>
      </w:r>
      <w:r>
        <w:t xml:space="preserve"> Hybrid warfare has several nuances and can be referred to various tools and means. While some of them are relative new elements related to the current international system, several others represent the last evolution of a long history. This chapter aims to contextualise the notion of hybrid warfare in the broader framework of the contemporary international relations. Hence, the chapter intends to analyse two different contexts in which the notion of hybrid warfare has been used and the way in which that notion has been integrated in the EU official documents like EUGS (European Union Global Strategy) adopted in June 2016.</w:t>
      </w:r>
    </w:p>
    <w:p>
      <w:pPr/>
      <w:r>
        <w:rPr>
          <w:b/>
        </w:rPr>
        <w:t>POSSIBLE 2025:</w:t>
      </w:r>
      <w:r>
        <w:t xml:space="preserve"> Evolution and Impact of Hepatitis A Epidemiology in Europe-Systematic Literature Review of the Last 20 Years — https://doi.org/10.1111/jvh.14030</w:t>
      </w:r>
    </w:p>
    <w:p>
      <w:pPr/>
      <w:r>
        <w:rPr>
          <w:b/>
        </w:rPr>
        <w:t>Shared claim-specific concepts:</w:t>
      </w:r>
      <w:r>
        <w:t xml:space="preserve"> evolution, last, two, decades;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pStyle w:val="Heading2"/>
      </w:pPr>
      <w:r>
        <w:t>521. Eliciting knowledge from stakeholders to identify critical issues of the transition to climate neutrality in Greece, the Nordic Region, and the European Union</w:t>
      </w:r>
    </w:p>
    <w:p>
      <w:pPr>
        <w:pStyle w:val="SourceNote"/>
      </w:pPr>
      <w:r>
        <w:rPr>
          <w:b/>
        </w:rPr>
        <w:t>Original source (2022):</w:t>
      </w:r>
      <w:r>
        <w:t xml:space="preserve"> https://doi.org/10.1016/j.erss.2022.102836</w:t>
      </w:r>
    </w:p>
    <w:p>
      <w:pPr/>
      <w:r>
        <w:t>Original wording (abstract; indexed_source_text_not_full_document_verified): They also reveal cross-cutting issues and challenges among the three case studies, which could lead to further improvement of the cross-country collaboration to foster the European energy transition. The European Union's commitment to climate neutrality by 2050 requires a better understanding of the energy transition in different contexts and scales to improve cooperation of involved actors.</w:t>
      </w:r>
    </w:p>
    <w:p>
      <w:pPr/>
      <w:r>
        <w:rPr>
          <w:b/>
        </w:rPr>
        <w:t>POSSIBLE 2026:</w:t>
      </w:r>
      <w:r>
        <w:t xml:space="preserve"> Cultural Production Reveals Transitions to Sustained Human Development in both European and Non-European Societies — https://openalex.org/W7124669595</w:t>
      </w:r>
    </w:p>
    <w:p>
      <w:pPr/>
      <w:r>
        <w:rPr>
          <w:b/>
        </w:rPr>
        <w:t>Shared claim-specific concepts:</w:t>
      </w:r>
      <w:r>
        <w:t xml:space="preserve"> also, reveal, understanding; EU scope visible. This is a provisional connection, not an outcome finding.</w:t>
      </w:r>
    </w:p>
    <w:p>
      <w:pPr>
        <w:pStyle w:val="SourceNote"/>
      </w:pPr>
      <w:r>
        <w:rPr>
          <w:b/>
        </w:rPr>
        <w:t>Available abstract (not full text):</w:t>
      </w:r>
      <w:r>
        <w:t xml:space="preserve"> Sustained human development is often seen as a recent phenomenon, primarily linked to Europe's Industrial Revolution. This perspective has shaped much of our historical understanding, but it relies on a limited set of economic indicators with restricted temporal and geographic coverage. In this article, we introduce Cultural Production as a complementary proxy for human development, particularly suited to long-term and cross-regional comparisons. Cultural production reflects the extent to which societies enable individuals to acquire knowledge, develop skills, and contribute to intellectual and artistic life-conditions closely tied to education, health, material security, and institutional support. We construct a global dataset tracking 122,634 distinct cultural producers (e.g., scientists, artists, writers) and apply ecological methods to estimate the number of unrecorded figures, correcting for differential survivorship bias. The resulting measure enables a broader and deeper reconstruction of human development across time and space. Our results challenge the prevailing view that meaningful development began only in modern Europe. We confirm that Western Europe experienced continuous gains from the 11th century onward, but we also uncover sustained growth in non-Western regions long before the 19th century. Japan shows multiple developmental phases, including a continuous ris</w:t>
      </w:r>
    </w:p>
    <w:p>
      <w:pPr/>
      <w:r>
        <w:rPr>
          <w:b/>
        </w:rPr>
        <w:t>POSSIBLE 2026:</w:t>
      </w:r>
      <w:r>
        <w:t xml:space="preserve"> Spatio-Temporal Diagnostics Reveal Early Signals of Sand Fly Range Shift in Europe — https://doi.org/10.5194/egusphere-egu26-18432</w:t>
      </w:r>
    </w:p>
    <w:p>
      <w:pPr/>
      <w:r>
        <w:rPr>
          <w:b/>
        </w:rPr>
        <w:t>Shared claim-specific concepts:</w:t>
      </w:r>
      <w:r>
        <w:t xml:space="preserve"> also, reveal, further, climate; EU scope visible. This is a provisional connection, not an outcome finding.</w:t>
      </w:r>
    </w:p>
    <w:p>
      <w:pPr>
        <w:pStyle w:val="SourceNote"/>
      </w:pPr>
      <w:r>
        <w:rPr>
          <w:b/>
        </w:rPr>
        <w:t>Available abstract (not full text):</w:t>
      </w:r>
      <w:r>
        <w:t xml:space="preserve"> Climate change is reshaping the distribution of vector-borne disease risk in Europe by altering the environmental suitability and phenology of disease vectors such as phlebotomine sand flies, which transmit leishmaniasis. Despite regional observational evidence of sand fly range expansion from Mediterranean areas toward more temperate latitudes, quantitative multi-year diagnostics of such shifts remain limited. Building on the Sand Flies Extreme Prediction Population (FEPO) model, which provides high-resolution daily predictions of sand fly densities across Europe, we introduce a suite of spatio-temporal diagnostics to quantify distributional shifts in density predictions.We applied these diagnostics to FEPO output for 2021 and 2022 across four Phlebotomus species (P. papatasi, P. perniciosus, P. sergenti, and P. tobbi), using a threshold-based occupancy metric, a density-weighted centroid, and the 95th-percentile front latitude as indicators of spatial redistribution. Using mid-month sampling (one day per month) to balance computational efficiency with seasonal coverage, we detect consistent northward shifts between the two years. Centroid latitude increased by approximately 0.09–0.39° (about 11–44 km) across species, while the 95th-percentile front latitude advanced by approximately 0.17–0.49° (about 19–54 km). The occupied area exceeding a density threshold of 0.1 (model uni</w:t>
      </w:r>
    </w:p>
    <w:p>
      <w:pPr/>
      <w:r>
        <w:rPr>
          <w:b/>
        </w:rPr>
        <w:t>POSSIBLE 2026:</w:t>
      </w:r>
      <w:r>
        <w:t xml:space="preserve"> Research on the Challenges of the European Union as Perceived by Students — https://doi.org/10.31926/but.es.2026.19.68.1.11</w:t>
      </w:r>
    </w:p>
    <w:p>
      <w:pPr/>
      <w:r>
        <w:rPr>
          <w:b/>
        </w:rPr>
        <w:t>Shared claim-specific concepts:</w:t>
      </w:r>
      <w:r>
        <w:t xml:space="preserve"> also, reveal, issues, challenges, union, climate; EU scope visible. This is a provisional connection, not an outcome finding.</w:t>
      </w:r>
    </w:p>
    <w:p>
      <w:pPr>
        <w:pStyle w:val="SourceNote"/>
      </w:pPr>
      <w:r>
        <w:rPr>
          <w:b/>
        </w:rPr>
        <w:t>Available abstract (not full text):</w:t>
      </w:r>
      <w:r>
        <w:t xml:space="preserve"> The aim of this paper is to investigate how some of the most important challenges facing the European Union are perceived by students. By means of a survey, students’ opinions on issues such as the economic situation, the pandemic, unity, climate change, and cyberattacks are researched, analysed, and commented. The findings reveal that students are aware of these issues, mostly via social media. Economic problems were considered the main difficulty, while the pandemic and climate change also ranked high in the list of concerns. In accordance with the conclusions drawn from the research, several recommendations are issued for policymakers.</w:t>
      </w:r>
    </w:p>
    <w:p>
      <w:pPr/>
      <w:r>
        <w:rPr>
          <w:b/>
        </w:rPr>
        <w:t>POSSIBLE 2026:</w:t>
      </w:r>
      <w:r>
        <w:t xml:space="preserve"> CURRENT CHALLENGES OF COHESION POLICY IN THE EUROPEAN UNION — https://openalex.org/W7219295432</w:t>
      </w:r>
    </w:p>
    <w:p>
      <w:pPr/>
      <w:r>
        <w:rPr>
          <w:b/>
        </w:rPr>
        <w:t>Shared claim-specific concepts:</w:t>
      </w:r>
      <w:r>
        <w:t xml:space="preserve"> also, issues, challenges, energy, transition, union; EU scope visible. This is a provisional connection, not an outcome finding.</w:t>
      </w:r>
    </w:p>
    <w:p>
      <w:pPr>
        <w:pStyle w:val="SourceNote"/>
      </w:pPr>
      <w:r>
        <w:rPr>
          <w:b/>
        </w:rPr>
        <w:t>Available abstract (not full text):</w:t>
      </w:r>
      <w:r>
        <w:t xml:space="preserve"> This paper analyses the current challenges facing European Union cohesion policy in the context of profound economic, social, environmental and geopolitical transformations affecting regional development across the European Union. As one of the principal investment policies of the European Union, cohesion policy has a central role in reducing territorial disparities, strengthening economic and social convergence, and supporting balanced regional development. The paper provides an overview of the evolution of cohesion policy and examines the major challenges associated with the current programming period 2021–2027. The analysis focuses on several key issues, including persistent regional inequalities, disparities in administrative and institutional capacity, the complexity of implementation mechanisms, absorption constraints, and the growing need to improve the efficiency and strategic orientation of cohesion funding. Particular attention is given to the increasing role of cohesion policy in responding to new priorities related to green transition, digital transformation, energy security and economic resilience in the post-pandemic context. The paper also discusses how recent crises have influenced the objectives and implementation logic of cohesion policy, expanding its role beyond traditional convergence goals. The results underline that the effectiveness of cohesion policy de</w:t>
      </w:r>
    </w:p>
    <w:p>
      <w:pPr/>
      <w:r>
        <w:rPr>
          <w:b/>
        </w:rPr>
        <w:t>POSSIBLE 2026:</w:t>
      </w:r>
      <w:r>
        <w:t xml:space="preserve"> EUROPEAN EDUCATIONAL CHALLENGES EUROPEAN PROJECTS NOT ONLY FOR YOUNG PEOPLE — https://doi.org/10.21125/inted.2026.2026</w:t>
      </w:r>
    </w:p>
    <w:p>
      <w:pPr/>
      <w:r>
        <w:rPr>
          <w:b/>
        </w:rPr>
        <w:t>Shared claim-specific concepts:</w:t>
      </w:r>
      <w:r>
        <w:t xml:space="preserve"> they, also, challenges, collaboration; EU scope visible. This is a provisional connection, not an outcome finding.</w:t>
      </w:r>
    </w:p>
    <w:p>
      <w:pPr>
        <w:pStyle w:val="SourceNote"/>
      </w:pPr>
      <w:r>
        <w:rPr>
          <w:b/>
        </w:rPr>
        <w:t>Available abstract (not full text):</w:t>
      </w:r>
      <w:r>
        <w:t xml:space="preserve"> This article considers the educational challenges that Europe has faced over the past decade, research findings, and project experience in the field of adult education (especially senior education), in the context of ageing European societies. The generation of seniors constitutes a storehouse of knowledge, a reservoir of historical memory, and a repository of elements of local cultural heritage that shape the architecture of Europe’s cultural heritage landscape. Such individuals, who are professionally inactive, often remain hidden in the shadow of social life. They do not have opportunities to share their knowledge, experience, and skills with the younger generation. EU senior policy and educational policy, as well as the policies of Member States, have determined new fields of mobilisation and care for this social group in recent years. The author analyses modern educational priorities of European Commission for the years 2024-2029, as well as the guidelines of the Erasmus+ programme, in the context of social challenges, senior policy, and key competences. This study also discusses the assumptions, conclusions, and results derived from Erasmus+ projects, entitled “COSTAS” (Competent Staff for Adult Learners and Seniors) and “acordEU” (Adult Cooperation for European Eco-Synergy). These projects were implemented in partnership between Poland, Romania, Bulgaria, and Italy in th</w:t>
      </w:r>
    </w:p>
    <w:p>
      <w:pPr/>
      <w:r>
        <w:rPr>
          <w:b/>
        </w:rPr>
        <w:t>POSSIBLE 2026:</w:t>
      </w:r>
      <w:r>
        <w:t xml:space="preserve"> Unveiling the environmental impact of earthquakes in Europe — https://doi.org/10.1038/s41467-025-68120-6</w:t>
      </w:r>
    </w:p>
    <w:p>
      <w:pPr/>
      <w:r>
        <w:rPr>
          <w:b/>
        </w:rPr>
        <w:t>Shared claim-specific concepts:</w:t>
      </w:r>
      <w:r>
        <w:t xml:space="preserve"> they, also, reveal, challenges, further;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2025:</w:t>
      </w:r>
      <w:r>
        <w:t xml:space="preserve"> Landscape reconstructions for Europe during the late Last Glacial (60–20 ka BP): a pollen-based REVEALS approach — https://doi.org/10.5194/essd-17-5997-2025</w:t>
      </w:r>
    </w:p>
    <w:p>
      <w:pPr/>
      <w:r>
        <w:rPr>
          <w:b/>
        </w:rPr>
        <w:t>Shared claim-specific concepts:</w:t>
      </w:r>
      <w:r>
        <w:t xml:space="preserve"> also, three, further, climate, requires, better; EU scope visible. This is a provisional connection, not an outcome finding.</w:t>
      </w:r>
    </w:p>
    <w:p>
      <w:pPr>
        <w:pStyle w:val="SourceNote"/>
      </w:pPr>
      <w:r>
        <w:rPr>
          <w:b/>
        </w:rPr>
        <w:t>Available abstract (not full text):</w:t>
      </w:r>
      <w:r>
        <w:t xml:space="preserve"> Abstract. Vegetation change during the Last Glacial period in Europe plays a crucial role in better understanding the ecosystem dynamics response to abrupt climate change. Yet, quantitative reconstructions of land-cover primarily focus on the Holocene period and aim to disentangle the impact of anthropogenic and climatic stress on the vegetation. Here, we present temporally continuous land-cover reconstructions from Europe for the latter half of the Last Glacial period (60–20 ka BP) using the “Regional Estimates of Vegetation Abundance from Large Sites” (REVEALS) model. The pollen-based REVEALS model uniquely factors in plant-specific parameters, such as relative pollen productivity (RPP) and pollen fall speed to model pollen dispersal and thus provides more accurate representation of past vegetation cover than fossil pollen data. We compiled a total of 61 datasets from Europe and its bordering regions to model land-cover estimates across 60 time steps in 1000 year increments. By grouping the 38 analysed taxa into 5 land-cover types (LCTs), we simplify the interpretation of our results and demonstrate this using three crucial periods during the Last Glacial: Greenland Interstadial 14 (GI-14), Greenland Stadial 9 (GS-9), and the Last Glacial Maximum (LGM). These periods provide insight into stadial-interstadial vegetation variability as well as extreme glacial conditions, which </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also, issues, challenges, among, further, improvement;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INFORMATION SECURITY OF THE EUROPEAN UNION: CHALLENGES AND TRENDS — https://doi.org/10.21564/2663-5704.66.337888</w:t>
      </w:r>
    </w:p>
    <w:p>
      <w:pPr/>
      <w:r>
        <w:rPr>
          <w:b/>
        </w:rPr>
        <w:t>Shared claim-specific concepts:</w:t>
      </w:r>
      <w:r>
        <w:t xml:space="preserve"> also, issues, challenges, union; EU scope visible. This is a provisional connection, not an outcome finding.</w:t>
      </w:r>
    </w:p>
    <w:p>
      <w:pPr>
        <w:pStyle w:val="SourceNote"/>
      </w:pPr>
      <w:r>
        <w:rPr>
          <w:b/>
        </w:rPr>
        <w:t>Available abstract (not full text):</w:t>
      </w:r>
      <w:r>
        <w:t xml:space="preserve"> The article analyzes the current challenges and threats to the information security of the European Union. It outlines the activities of European institutions responsible for addressing information security issues and examines the relevant legislative framework in this domain. The study explores the main directions of the EU leadership’s response to information-related challenges and threats. It also highlights the key features of the European cybersecurity strategy.</w:t>
      </w:r>
    </w:p>
    <w:p>
      <w:pPr/>
      <w:r>
        <w:rPr>
          <w:b/>
        </w:rPr>
        <w:t>POSSIBLE 2025:</w:t>
      </w:r>
      <w:r>
        <w:t xml:space="preserve"> Chapter Methodological challenges in European penology — https://openalex.org/W7137666023</w:t>
      </w:r>
    </w:p>
    <w:p>
      <w:pPr/>
      <w:r>
        <w:rPr>
          <w:b/>
        </w:rPr>
        <w:t>Shared claim-specific concepts:</w:t>
      </w:r>
      <w:r>
        <w:t xml:space="preserve"> also, issues, challenges, three, union, different; EU scope visible. This is a provisional connection, not an outcome finding.</w:t>
      </w:r>
    </w:p>
    <w:p>
      <w:pPr>
        <w:pStyle w:val="SourceNote"/>
      </w:pPr>
      <w:r>
        <w:rPr>
          <w:b/>
        </w:rPr>
        <w:t>Available abstract (not full text):</w:t>
      </w:r>
      <w:r>
        <w:t xml:space="preserve"> European penology, the multidisciplinary scientific study of punishment carried out on the European continent, is booming. This Handbook aims to offer an overview of the current state of the art and cutting-edge penological research in Europe, covering all the regions (north, south, east, west) and Europe’s institutional organisations – the Council of Europe and the European Union – including research that may hitherto not have been published in English. The Handbook also reflects on whether there is anything distinctive or typically (not necessarily exclusively) European in the ways penology is applied in Europe. This challenge is taken up by a team of 5 editors and 60 authors from 21 different countries, reflecting a balance of gender, early and promising career, and established researchers. After the editors’ Introduction, the book is organised into three parts: Part I: European Penology – Scientific Developments discusses theoretical and methodological developments and important issues within comparative penology. Part II: European Penality – Developments in Penal Practices focuses on transversal European developments, particular groups of offenders and specific forms of punishment. Part III offers a reflection on penal policies and practices in Europe as seen from abroad. The Handbook offers graduate and postgraduate students, postgraduate researchers, academics and other </w:t>
      </w:r>
    </w:p>
    <w:p>
      <w:pPr/>
      <w:r>
        <w:rPr>
          <w:b/>
        </w:rPr>
        <w:t>POSSIBLE 2025:</w:t>
      </w:r>
      <w:r>
        <w:t xml:space="preserve"> Chapter Methodological challenges in European penology — https://openalex.org/W7162922291</w:t>
      </w:r>
    </w:p>
    <w:p>
      <w:pPr/>
      <w:r>
        <w:rPr>
          <w:b/>
        </w:rPr>
        <w:t>Shared claim-specific concepts:</w:t>
      </w:r>
      <w:r>
        <w:t xml:space="preserve"> also, issues, challenges, three, union, different; EU scope visible. This is a provisional connection, not an outcome finding.</w:t>
      </w:r>
    </w:p>
    <w:p>
      <w:pPr>
        <w:pStyle w:val="SourceNote"/>
      </w:pPr>
      <w:r>
        <w:rPr>
          <w:b/>
        </w:rPr>
        <w:t>Available abstract (not full text):</w:t>
      </w:r>
      <w:r>
        <w:t xml:space="preserve"> European penology, the multidisciplinary scientific study of punishment carried out on the European continent, is booming. This Handbook aims to offer an overview of the current state of the art and cutting-edge penological research in Europe, covering all the regions (north, south, east, west) and Europe’s institutional organisations – the Council of Europe and the European Union – including research that may hitherto not have been published in English. The Handbook also reflects on whether there is anything distinctive or typically (not necessarily exclusively) European in the ways penology is applied in Europe. This challenge is taken up by a team of 5 editors and 60 authors from 21 different countries, reflecting a balance of gender, early and promising career, and established researchers. After the editors’ Introduction, the book is organised into three parts: Part I: European Penology – Scientific Developments discusses theoretical and methodological developments and important issues within comparative penology. Part II: European Penality – Developments in Penal Practices focuses on transversal European developments, particular groups of offenders and specific forms of punishment. Part III offers a reflection on penal policies and practices in Europe as seen from abroad. The Handbook offers graduate and postgraduate students, postgraduate researchers, academics and other </w:t>
      </w:r>
    </w:p>
    <w:p>
      <w:pPr/>
      <w:r>
        <w:rPr>
          <w:b/>
        </w:rPr>
        <w:t>POSSIBLE 2025:</w:t>
      </w:r>
      <w:r>
        <w:t xml:space="preserve"> Changes in the thermal stress across Europe between 1940–2023 — https://doi.org/10.1007/s00484-025-03043-x</w:t>
      </w:r>
    </w:p>
    <w:p>
      <w:pPr/>
      <w:r>
        <w:rPr>
          <w:b/>
        </w:rPr>
        <w:t>Shared claim-specific concepts:</w:t>
      </w:r>
      <w:r>
        <w:t xml:space="preserve"> also, reveal, climate; EU scope visible. This is a provisional connection, not an outcome finding.</w:t>
      </w:r>
    </w:p>
    <w:p>
      <w:pPr>
        <w:pStyle w:val="SourceNote"/>
      </w:pPr>
      <w:r>
        <w:rPr>
          <w:b/>
        </w:rPr>
        <w:t>Available abstract (not full text):</w:t>
      </w:r>
      <w:r>
        <w:t xml:space="preserve"> Long-term changes (1940-2023) in thermal stress and its drivers in Europe were investigated based on the Universal Thermal Climate Index (UTCI) extracted from the ERA5-HEAT reanalysis. Furthermore, a vulnerability index was introduced to assess the impact of thermal stress. The results reveal a rapid continental shift in thermal stress toward milder conditions. Although cold stress is declining fastest in northern regions (more than 4 hours·decade[Formula: see text]), heat stress is intensifying across southern Europe (more than 3 hours·decade[Formula: see text]). Such changes are driven by an increase in 2 m air temperature (between 0.2 up to 0.6[Formula: see text]C·decade[Formula: see text]) and mean radiant temperature, particularly over northern and central Europe, and by changes also in relative humidity and wind speed. One of the key findings of this study is the decline in wind speed in specific areas of central and eastern Europe, leading to an increase in UTCI. Monthly analyzes show that winters warm the fastest (e.g., January cold stress decreases by 1.93%·decade[Formula: see text]), while summer heat stress peaks in July (0.27%·decade[Formula: see text]). In particular, the late spring months (e.g., May) also exhibit a positive trend, contributing to an extended warm season in Europe. Although European UTCI trends generally show a migration of thermal stress categori</w:t>
      </w:r>
    </w:p>
    <w:p>
      <w:pPr>
        <w:pStyle w:val="Heading2"/>
      </w:pPr>
      <w:r>
        <w:t>522. Emerging smart city, transport and energy trends in urban settings: Results of a pan-European foresight exercise with 120 experts</w:t>
      </w:r>
    </w:p>
    <w:p>
      <w:pPr>
        <w:pStyle w:val="SourceNote"/>
      </w:pPr>
      <w:r>
        <w:rPr>
          <w:b/>
        </w:rPr>
        <w:t>Original source (2022):</w:t>
      </w:r>
      <w:r>
        <w:t xml:space="preserve"> https://doi.org/10.1016/j.techfore.2022.121915</w:t>
      </w:r>
    </w:p>
    <w:p>
      <w:pPr/>
      <w:r>
        <w:t>Original wording (abstract; indexed_source_text_not_full_document_verified): In this work, we explore how the domains of smart cities, smart transport, and smart energy will evolve until 2030 from a scientific and technological perspective, as a means to inform future policies for urban development in Europe.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w:t>
      </w:r>
    </w:p>
    <w:p>
      <w:pPr/>
      <w:r>
        <w:rPr>
          <w:b/>
        </w:rPr>
        <w:t>POSSIBLE 2026:</w:t>
      </w:r>
      <w:r>
        <w:t xml:space="preserve"> Diversity management in European companies: intersectionality and individual experiences of bias at work — https://doi.org/10.4337/9781035361243.00012</w:t>
      </w:r>
    </w:p>
    <w:p>
      <w:pPr/>
      <w:r>
        <w:rPr>
          <w:b/>
        </w:rPr>
        <w:t>Shared claim-specific concepts:</w:t>
      </w:r>
      <w:r>
        <w:t xml:space="preserve"> work, domains, findings, structural; EU scope visible. This is a provisional connection, not an outcome finding.</w:t>
      </w:r>
    </w:p>
    <w:p>
      <w:pPr>
        <w:pStyle w:val="SourceNote"/>
      </w:pPr>
      <w:r>
        <w:rPr>
          <w:b/>
        </w:rPr>
        <w:t>Available abstract (not full text):</w:t>
      </w:r>
      <w:r>
        <w:t xml:space="preserve"> This chapter explores diversity management viewed by working individuals with diverse identities, depicting how identity shapes work experiences in European companies, predominantly small- and medium-sized enterprises (SMEs). Drawing on Intersectionality as a theoretical and analytical lens, we analyse survey data from Austria, Finland, Germany, and Lithuania to examine how diverse individuals experience fairness and opportunities in human resource management domains, such as recruitment, inclusion at work, career advancement, access to training, promotions, and workplace adjustments. Our findings show that more complex profiles are not automatically associated with the most extreme levels of bias in every domain, while some less-complex profiles can still experience intense discrimination. We also identify some structural challenges to be addressed in European SMEs. Blending personal narratives and structural patterns, this chapter expands the approach to intersectionality research and provides managerial guidance on reducing bias at work and manage emerging demographic trends in Europe more effectively.</w:t>
      </w:r>
    </w:p>
    <w:p>
      <w:pPr/>
      <w:r>
        <w:rPr>
          <w:b/>
        </w:rPr>
        <w:t>POSSIBLE 2026:</w:t>
      </w:r>
      <w:r>
        <w:t xml:space="preserve"> Fostering energy transition and transport fluidity in European port cities — https://doi.org/10.4324/9781003639589-3</w:t>
      </w:r>
    </w:p>
    <w:p>
      <w:pPr/>
      <w:r>
        <w:rPr>
          <w:b/>
        </w:rPr>
        <w:t>Shared claim-specific concepts:</w:t>
      </w:r>
      <w:r>
        <w:t xml:space="preserve"> domains, cities, transport, energy, several; EU scope visible. This is a provisional connection, not an outcome finding.</w:t>
      </w:r>
    </w:p>
    <w:p>
      <w:pPr>
        <w:pStyle w:val="SourceNote"/>
      </w:pPr>
      <w:r>
        <w:rPr>
          <w:b/>
        </w:rPr>
        <w:t>Available abstract (not full text):</w:t>
      </w:r>
      <w:r>
        <w:t xml:space="preserve"> Europe as a whole is often regarded as a frontrunner in the domain of port-city sustainability, thanks to a wide set of international, national, and local initiatives. This chapter is a review of local initiatives that are either individual (single port city) or collective (partnerships among several port cities), in the domains of energy transition and transport fluidity. We find that individual initiatives concentrate in northern Europe, in the largest ports, and at a few southern ones like Valencia or Marseille. Conversely, collective actions are more concentrated in the south, including mostly small and medium-sized port cities, through projects financed by the European Commission. Besides, we show that port-urban congestion and https://www.w3.org/1998/Math/MathML" display="inline"&gt; PM 2 . 5 pollution concentrate in the demographically and logistically largest port cities, which also dominate container throughput rankings and have the highest number of initiatives. We discuss the imperatives of ensuring a better regional balance across the continent and its port-city hierarchy.</w:t>
      </w:r>
    </w:p>
    <w:p>
      <w:pPr/>
      <w:r>
        <w:rPr>
          <w:b/>
        </w:rPr>
        <w:t>POSSIBLE 2026:</w:t>
      </w:r>
      <w:r>
        <w:t xml:space="preserve"> Transport (in)justice and the city: a relational analysis of transport in India — https://doi.org/10.1007/s11116-026-10815-w</w:t>
      </w:r>
    </w:p>
    <w:p>
      <w:pPr/>
      <w:r>
        <w:rPr>
          <w:b/>
        </w:rPr>
        <w:t>Shared claim-specific concepts:</w:t>
      </w:r>
      <w:r>
        <w:t xml:space="preserve"> work, cities, transport, perspective, empirical, findings; EU scope not established. This is a provisional connection, not an outcome finding.</w:t>
      </w:r>
    </w:p>
    <w:p>
      <w:pPr>
        <w:pStyle w:val="SourceNote"/>
      </w:pPr>
      <w:r>
        <w:rPr>
          <w:b/>
        </w:rPr>
        <w:t>Available abstract (not full text):</w:t>
      </w:r>
      <w:r>
        <w:t xml:space="preserve"> Abstract Most research on transport and equity has conceptualised justice primarily in distributive terms, focusing on how transport-related benefits and burdens are allocated across social groups. Drawing on Relational Egalitarianism, a recent strand in political philosophy, Piazza and Martens (Transp Rev 46:131–150, 2026) argue for broadening this perspective by incorporating a relational understanding of justice in transport domain. Building on the work of Elizabeth Anderson, they distinguish three core dimensions of relational inequality: hierarchies of power, standing, and esteem. This paper adopts this framework to examine how such hierarchies are produced and reproduced within the transport systems of medium-sized Indian cities. The analysis is based on extensive fieldwork undertaken in Siliguri, a historic railway town in eastern India. The empirical material comprises interviews with three groups: 11 institutional stakeholders, experts, and decision-makers; 400 households living in slums across the city; and 391 shop owners operating in neighbourhoods surrounding railway stations, whose livelihoods are directly shaped by decisions taken by transport authorities. The findings reveal the presence of all three relational hierarchies. Transport decision-making is dominated by elite actors and guided primarily by political priorities, while meaningful public engagement rema</w:t>
      </w:r>
    </w:p>
    <w:p>
      <w:pPr/>
      <w:r>
        <w:rPr>
          <w:b/>
        </w:rPr>
        <w:t>POSSIBLE 2026:</w:t>
      </w:r>
      <w:r>
        <w:t xml:space="preserve"> Link-based European road transport emissions for CAMS-REG v8.1 and a comparison to city inventories — https://doi.org/10.5194/essd-18-3959-2026</w:t>
      </w:r>
    </w:p>
    <w:p>
      <w:pPr/>
      <w:r>
        <w:rPr>
          <w:b/>
        </w:rPr>
        <w:t>Shared claim-specific concepts:</w:t>
      </w:r>
      <w:r>
        <w:t xml:space="preserve"> cities, transport, urban, several; EU scope visible. This is a provisional connection, not an outcome finding.</w:t>
      </w:r>
    </w:p>
    <w:p>
      <w:pPr>
        <w:pStyle w:val="SourceNote"/>
      </w:pPr>
      <w:r>
        <w:rPr>
          <w:b/>
        </w:rPr>
        <w:t>Available abstract (not full text):</w:t>
      </w:r>
      <w:r>
        <w:t xml:space="preserve"> Abstract. Spatially resolved estimates of road transport emissions are fundamental for tackling challenges of air pollution and greenhouse gas emissions. Emission estimates at 0.05° x 0.1° resolution are provided in the widely used CAMS-REG regional European emissions inventory. For the road transport sector, several improvement opportunities were identified: Firstly (1) an underestimation of ca. 35 % of NOx emissions in comparison to 8 independent urban inventories; secondly (2), artefacts in the spatial distribution in Eastern European non-EU countries; thirdly (3), the necessity of labour-intense downscaling methodologies to create high-resolution urban inventories from the fixed resolution dataset. To overcome these, emissions for all road links in the domain (n=59,710,490) were estimated using gap-filled activity data (AADT) from OpenStreetMap and OpenTransportMap. Gap filling was performed with random forest models trained on land-use and road information data. Model performance was R2: 0.63–0.74 and MAE(AADT): 1570–2028, with better performance for larger roads. Up-to-date emission factors were applied on road links using a novel maximum-speed–based classification. To generate the CAMS-REG v8.1 inventory, the resulting spatial distribution was used as a proxy map, together with national totals. The new dataset lowered the difference-to-city inventories to 19 % for absolu</w:t>
      </w:r>
    </w:p>
    <w:p>
      <w:pPr/>
      <w:r>
        <w:rPr>
          <w:b/>
        </w:rPr>
        <w:t>POSSIBLE 2026:</w:t>
      </w:r>
      <w:r>
        <w:t xml:space="preserve"> Exploring Sustainability Outcomes of Agricultural Digitalisation in European Living Labs — https://doi.org/10.1007/978-3-032-33157-1_13</w:t>
      </w:r>
    </w:p>
    <w:p>
      <w:pPr/>
      <w:r>
        <w:rPr>
          <w:b/>
        </w:rPr>
        <w:t>Shared claim-specific concepts:</w:t>
      </w:r>
      <w:r>
        <w:t xml:space="preserve"> explore, domains, there; EU scope visible. This is a provisional connection, not an outcome finding.</w:t>
      </w:r>
    </w:p>
    <w:p>
      <w:pPr>
        <w:pStyle w:val="SourceNote"/>
      </w:pPr>
      <w:r>
        <w:rPr>
          <w:b/>
        </w:rPr>
        <w:t>Available abstract (not full text):</w:t>
      </w:r>
      <w:r>
        <w:t xml:space="preserve"> Agricultural digitalisation influences environmental, economic, and social domains, and generates system-wide effects that are unknown, unintended and complex. There is a need to study outcomes of digitalisation to steer agrifood systems towards long-term sustainability goals. The main aim of this chapter is to explore outcomes of agricultural digitalisation across economic, social, and environmental domains, and interpret them through the multi system-level lens of the CODECS conceptual framework. This framework provides an entryway to systematically address the costs and benefits of digitalisation. With data collected through participatory stakeholder workshops in European living labs, we link environmental, economic and social outcomes of digitalisation to different system-levels. We explore what insights emerge from linking contexts, domains, and system-levels to understand risks and opportunities of agricultural digitalisation. This approach can make visible the indirect, unintended, and long-term effects of digitalisation. Moreover, it demonstrates digitalisation as iterative process that reshapes environmental, economic, and social domains and feeds back into the trajectory of digitalisation itself. Finally, we highlight the value of contextual variability in policymaking for responsible digitalisation to ensure designing pathways that are technologically innovative, soc</w:t>
      </w:r>
    </w:p>
    <w:p>
      <w:pPr/>
      <w:r>
        <w:rPr>
          <w:b/>
        </w:rPr>
        <w:t>POSSIBLE 2026:</w:t>
      </w:r>
      <w:r>
        <w:t xml:space="preserve"> Avoiding renovictions in European cities — https://openalex.org/W7171904389</w:t>
      </w:r>
    </w:p>
    <w:p>
      <w:pPr/>
      <w:r>
        <w:rPr>
          <w:b/>
        </w:rPr>
        <w:t>Shared claim-specific concepts:</w:t>
      </w:r>
      <w:r>
        <w:t xml:space="preserve"> cities, scientific, policies, urban; EU scope visible. This is a provisional connection, not an outcome finding.</w:t>
      </w:r>
    </w:p>
    <w:p>
      <w:pPr>
        <w:pStyle w:val="SourceNote"/>
      </w:pPr>
      <w:r>
        <w:rPr>
          <w:b/>
        </w:rPr>
        <w:t>Available abstract (not full text):</w:t>
      </w:r>
      <w:r>
        <w:t xml:space="preserve"> Europe faces a dual challenge: the climate crisis and a persistent housing crisis, both of which converge in the urgent need to renovate aging urban housing stock. While energy-efficient renovations are essential to meet EU carbon neutrality targets by 2050, they risk triggering “renovictions”, the displacement of vulnerable residents due to rising rents and property values. This policy study shows how these renovictions can be avoided. We summarise scientific literature and survey best practices and cautionary tales from three cities across Europe: Amsterdam, Athens, and Paris. These are three large capitals, with historic centres protected by heritage status, and facing the pressure of (over)tourism. We recommend that tenants should not pay for renovations, and identify alternative sources of funding for different types of housing. The overall principle is that any money entering the housing sector should remain in the housing sector. Our recommendations are intended for policymakers at the local and European level. Local administrations should learn from each other, replicating successful policies like one-stop-shops to accompany renovations. The EU should use the policy levers that it already has to coordinate and facilitate policies at local level, namely by simplifying existing funding options or setting up publicly backed loan guarantees.Incremental, locally adapted poli</w:t>
      </w:r>
    </w:p>
    <w:p>
      <w:pPr/>
      <w:r>
        <w:rPr>
          <w:b/>
        </w:rPr>
        <w:t>POSSIBLE 2025:</w:t>
      </w:r>
      <w:r>
        <w:t xml:space="preserve"> R-AI-diographers: exploring the changing professional role and identity of radiographers in Europe in the era of artificial intelligence — https://doi.org/10.1016/j.rcro.2024.100176</w:t>
      </w:r>
    </w:p>
    <w:p>
      <w:pPr/>
      <w:r>
        <w:rPr>
          <w:b/>
        </w:rPr>
        <w:t>Shared claim-specific concepts:</w:t>
      </w:r>
      <w:r>
        <w:t xml:space="preserve"> work, domains, technological; EU scope visible. This is a provisional connection, not an outcome finding.</w:t>
      </w:r>
    </w:p>
    <w:p>
      <w:pPr>
        <w:pStyle w:val="SourceNote"/>
      </w:pPr>
      <w:r>
        <w:rPr>
          <w:b/>
        </w:rPr>
        <w:t>Available abstract (not full text):</w:t>
      </w:r>
      <w:r>
        <w:t xml:space="preserve"> Purpose: This study offers unique insights into the changing roles and identity of radiographers in the era of artificial intelligence (AI) and proposes ways by which to better support the workforce in the face of fast technological changes. Methods: A European-wide, cross-sectional study utilising a mixed methods online survey. Survey was translated from English into eight additional European languages. Snowball sampling allowed qualified radiographers, and radiography students, to answer the survey irrespective of their current professional role. The survey explored the following areas of interest: a) general radiographer demographics, b) how radiographers foresee the short-term impact of AI on radiographer roles, responsibilities and professional identity, c) the potential medium-to-long-term impact of AI on radiographer roles, d) perceived opportunities and threats of AI implementation for radiographers and e) the preparedness of radiographers to work with AI. Questions also captured radiographer opinions across three domains of radiographer responsibilities: patient care, technological skills and ‘other’ responsibilities. Results: A total of 2,208 valid responses from 37 different European and UK countries. 40.4% of radiographers disagree they will focus mainly on patient care with the implementation of AI but 47.8% agree they will have more time to spend with patients. 77</w:t>
      </w:r>
    </w:p>
    <w:p>
      <w:pPr/>
      <w:r>
        <w:rPr>
          <w:b/>
        </w:rPr>
        <w:t>POSSIBLE 2025:</w:t>
      </w:r>
      <w:r>
        <w:t xml:space="preserve"> Exploring a high-level programming model for the NWP domain using ECMWF microphysics schemes — https://doi.org/10.5194/gmd-18-529-2025</w:t>
      </w:r>
    </w:p>
    <w:p>
      <w:pPr/>
      <w:r>
        <w:rPr>
          <w:b/>
        </w:rPr>
        <w:t>Shared claim-specific concepts:</w:t>
      </w:r>
      <w:r>
        <w:t xml:space="preserve"> work, explore, scientific; EU scope visible. This is a provisional connection, not an outcome finding.</w:t>
      </w:r>
    </w:p>
    <w:p>
      <w:pPr>
        <w:pStyle w:val="SourceNote"/>
      </w:pPr>
      <w:r>
        <w:rPr>
          <w:b/>
        </w:rPr>
        <w:t>Available abstract (not full text):</w:t>
      </w:r>
      <w:r>
        <w:t xml:space="preserve"> Abstract. We explore the domain-specific Python library GT4Py (GridTools for Python) for implementing a representative physical parametrization scheme and the related tangent-linear and adjoint algorithms from the Integrated Forecasting System (IFS) of ECMWF. GT4Py encodes stencil operators in an abstract and hardware-agnostic fashion, thus enabling more concise, readable and maintainable scientific applications. The library achieves high performance by translating the application into targeted low-level coding implementations. Here, the main goal is to study the correctness and performance-portability of the Python rewrites with GT4Py against the reference Fortran code and a number of automatically and manually ported variants created by ECMWF. The present work is part of a larger cross-institutional effort to port weather and climate models to Python with GT4Py. The focus of the current work is the IFS prognostic cloud microphysics scheme, a core physical parametrization represented by a comprehensive code that takes a significant share of the total forecast model execution time. In order to verify GT4Py for Numerical Weather Prediction (NWP) systems, we put additional emphasis on the implementation and validation of the tangent-linear and adjoint model versions which are employed in data assimilation. We benchmark all prototype codes on three European supercomputers characte</w:t>
      </w:r>
    </w:p>
    <w:p>
      <w:pPr/>
      <w:r>
        <w:rPr>
          <w:b/>
        </w:rPr>
        <w:t>POSSIBLE 2025:</w:t>
      </w:r>
      <w:r>
        <w:t xml:space="preserve"> Exploring the Cultural Domain of Hausa Colour Terms — https://doi.org/10.51732/njssh.v10i2.203</w:t>
      </w:r>
    </w:p>
    <w:p>
      <w:pPr/>
      <w:r>
        <w:rPr>
          <w:b/>
        </w:rPr>
        <w:t>Shared claim-specific concepts:</w:t>
      </w:r>
      <w:r>
        <w:t xml:space="preserve"> according, findings, there; EU scope not established. This is a provisional connection, not an outcome finding.</w:t>
      </w:r>
    </w:p>
    <w:p>
      <w:pPr>
        <w:pStyle w:val="SourceNote"/>
      </w:pPr>
      <w:r>
        <w:rPr>
          <w:b/>
        </w:rPr>
        <w:t>Available abstract (not full text):</w:t>
      </w:r>
      <w:r>
        <w:t xml:space="preserve"> The study of colour terms has been an interesting phenomenon in linguistics. The power ofcolour terms to name and classify things, animals and persons in purely traditional way cannotbe over emphasized across cultures. Of course, there are universal tendencies on the nature ofcolour naming across languages but such universality does not apply to the socio-cultural aspectof all societies. This was supported by Durbin (1971), Casson (1994, 1997), Downman 92003),Bature (2005), Danladi (2010) and Aujara (2021) who believed that the size of colour vocabularyis certainly a measure of its cultural complexity, the smaller the vocabulary, the simpler thesociety. Hence, this paper examines the socio-cultural domain of colours terms in Hausasocieties. Hausa is a member of Afro- Asiatic family and is estimated to have about 1 billion L1users according to ethnologue .com. Purposeful Random Sampling and survey method wereused and 160 research subjects were selected from the speakers of Hausa language in Sokotostate to source data for the study. The findings, from 154 respondents, reveal that colour is verysignificant to Hausa culture as it cut across every aspect of socio-cultural, economic, political andreligious angles of a typical Hausa social group. It names and classifies traditional cloths anddomestic animals on one hand and describes/classifies people or race on the other. The paperal</w:t>
      </w:r>
    </w:p>
    <w:p>
      <w:pPr/>
      <w:r>
        <w:rPr>
          <w:b/>
        </w:rPr>
        <w:t>POSSIBLE 2025:</w:t>
      </w:r>
      <w:r>
        <w:t xml:space="preserve"> The Circular Economy in Cities and Regions of the European Union — https://doi.org/10.1787/e09c21e2-en</w:t>
      </w:r>
    </w:p>
    <w:p>
      <w:pPr/>
      <w:r>
        <w:rPr>
          <w:b/>
        </w:rPr>
        <w:t>Shared claim-specific concepts:</w:t>
      </w:r>
      <w:r>
        <w:t xml:space="preserve"> cities, policies; EU scope visible. This is a provisional connection, not an outcome finding.</w:t>
      </w:r>
    </w:p>
    <w:p>
      <w:pPr>
        <w:pStyle w:val="SourceNote"/>
      </w:pPr>
      <w:r>
        <w:rPr>
          <w:b/>
        </w:rPr>
        <w:t>Available abstract (not full text):</w:t>
      </w:r>
      <w:r>
        <w:t xml:space="preserve"> The transition to a circular economy is critical for achieving sustainable development, resource efficiency, and building a resilient future for all. Over the past decade, the European Union (EU) has demonstrated an unprecedented commitment to advancing a circular economy, advocating for action at national, regional and local level. However, most economies remain predominantly linear. This report provides a comprehensive analysis of circular economy practices, challenges, and opportunities in cities and regions, building on a survey of 64 cities and regions of the EU, lessons learned from 10 place-based policy dialogues in specific cities and regions, and desk research. The report concludes with policy recommendations to accelerate a territorial approach to the circular economy for place-based policies that are aligned with EU-wide goals.</w:t>
      </w:r>
    </w:p>
    <w:p>
      <w:pPr/>
      <w:r>
        <w:rPr>
          <w:b/>
        </w:rPr>
        <w:t>POSSIBLE 2025:</w:t>
      </w:r>
      <w:r>
        <w:t xml:space="preserve"> Work-Domain Goal Orientation: A Theoretical Framework for the Construct and Turkish Adaptation of a Work-Domain Goal Orientation Instrument — https://doi.org/10.3390/educsci15010067</w:t>
      </w:r>
    </w:p>
    <w:p>
      <w:pPr/>
      <w:r>
        <w:rPr>
          <w:b/>
        </w:rPr>
        <w:t>Shared claim-specific concepts:</w:t>
      </w:r>
      <w:r>
        <w:t xml:space="preserve"> work, perspective, findings; EU scope not established. This is a provisional connection, not an outcome finding.</w:t>
      </w:r>
    </w:p>
    <w:p>
      <w:pPr>
        <w:pStyle w:val="SourceNote"/>
      </w:pPr>
      <w:r>
        <w:rPr>
          <w:b/>
        </w:rPr>
        <w:t>Available abstract (not full text):</w:t>
      </w:r>
      <w:r>
        <w:t xml:space="preserve"> This study brings a novel perspective to the relationship between higher education and work life by examining work-domain goal orientation as a critical factor in preparing students for professional environments. Through an extensive literature review, it highlights the role of work-domain goal orientation in aligning higher education curricula with the demands of the modern workplace, emphasizing how students’ goal orientation influences their future professional success. Additionally, this study adapts and validates a work-domain goal orientation instrument into Turkish, offering a reliable tool for use in Turkish contexts. A sample of 729 undergraduate students from various academic disciplines participated in the study. Exploratory and confirmatory factor analyses confirmed a three-factor structure (learning, proving, avoiding), accounting for 68.4% of the variance. The internal consistency was reliable, with Cronbach’s alpha values ranging from 0.84 to 0.86 across subscales. The study provides a dual contribution by offering theoretical insights into work-domain goal orientation and delivering a psychometrically validated tool for assessing students’ readiness for professional life in a non-Western context. These findings address gaps in the literature on goal orientation and its application in diverse cultural settings, advancing both academic understanding and practical </w:t>
      </w:r>
    </w:p>
    <w:p>
      <w:pPr/>
      <w:r>
        <w:rPr>
          <w:b/>
        </w:rPr>
        <w:t>POSSIBLE 2025:</w:t>
      </w:r>
      <w:r>
        <w:t xml:space="preserve"> Defining the Optimal Characteristics of Autonomous Vehicles for Public Passenger Transport in European Cities with Constrained Urban Spaces — https://doi.org/10.3390/vehicles7040125</w:t>
      </w:r>
    </w:p>
    <w:p>
      <w:pPr/>
      <w:r>
        <w:rPr>
          <w:b/>
        </w:rPr>
        <w:t>Shared claim-specific concepts:</w:t>
      </w:r>
      <w:r>
        <w:t xml:space="preserve"> cities, transport, energy, urban, empirical, findings; EU scope visible. This is a provisional connection, not an outcome finding.</w:t>
      </w:r>
    </w:p>
    <w:p>
      <w:pPr>
        <w:pStyle w:val="SourceNote"/>
      </w:pPr>
      <w:r>
        <w:rPr>
          <w:b/>
        </w:rPr>
        <w:t>Available abstract (not full text):</w:t>
      </w:r>
      <w:r>
        <w:t xml:space="preserve"> This research addresses the complex challenge of integrating modern public transport into historic medieval city centers. These unique urban environments are characterized by narrow streets, protected heritage status, and topographical constraints, which are incompatible with conventional transit vehicles. The introduction of standard bus routes often aggravates traffic congestion and fails to meet the specific mobility needs of residents and visitors. This paper suggests that autonomous electric buses represent a viable and sustainable solution, capable of navigating these constrained environments while aligning with modern energy efficiency goals. The central challenge lies in the optimal selection of an autonomous electric bus that can operate safely and efficiently within the tight streets of historic city centers while satisfying the travel demands of passengers. To address this, a comprehensive study was conducted, analyzing resident mobility patterns—including key routes and hourly passenger loads—and the specific geometric constraints of the road network. Based on this empirical data, a vehicle dynamics model was developed in Matlab®. This model simulates various operational scenarios by calculating the instantaneous forces (rolling resistance, aerodynamic drag, inertial forces) and the corresponding power required for different electric bus configurations to follow pre</w:t>
      </w:r>
    </w:p>
    <w:p>
      <w:pPr>
        <w:pStyle w:val="Heading2"/>
      </w:pPr>
      <w:r>
        <w:t>523. Enabling forecasts of environmental exposure to chemicals in European agriculture under global change</w:t>
      </w:r>
    </w:p>
    <w:p>
      <w:pPr>
        <w:pStyle w:val="SourceNote"/>
      </w:pPr>
      <w:r>
        <w:rPr>
          <w:b/>
        </w:rPr>
        <w:t>Original source (2022):</w:t>
      </w:r>
      <w:r>
        <w:t xml:space="preserve"> https://doi.org/10.1016/j.scitotenv.2022.156478</w:t>
      </w:r>
    </w:p>
    <w:p>
      <w:pPr/>
      <w:r>
        <w:t>Original wording (abstract; indexed_source_text_not_full_document_verified): We discuss current knowledge in these three areas, the impact global change drivers may have on them, and we identify knowledge and data gaps that must be overcome to enable predictive scenario-based forecasts of environmental exposure under global change. The type and quantity of chemicals used, emitted, and cycled through agricultural systems in Europe will change, driven by shifts in the use patterns of pesticides, veterinary pharmaceuticals, reclaimed wastewater used for irrigation, and biosolids.</w:t>
      </w:r>
    </w:p>
    <w:p>
      <w:pPr/>
      <w:r>
        <w:rPr>
          <w:b/>
        </w:rPr>
        <w:t>POSSIBLE 2026:</w:t>
      </w:r>
      <w:r>
        <w:t xml:space="preserve"> Unveiling the environmental impact of earthquakes in Europe — https://doi.org/10.1038/s41467-025-68120-6</w:t>
      </w:r>
    </w:p>
    <w:p>
      <w:pPr/>
      <w:r>
        <w:rPr>
          <w:b/>
        </w:rPr>
        <w:t>Shared claim-specific concepts:</w:t>
      </w:r>
      <w:r>
        <w:t xml:space="preserve"> data, environmental;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Evolution of Equality as a Constitutional Principle in Romania: European Union Membership Impacts and Current Challenges — https://doi.org/10.62733/2026.1.9-31</w:t>
      </w:r>
    </w:p>
    <w:p>
      <w:pPr/>
      <w:r>
        <w:rPr>
          <w:b/>
        </w:rPr>
        <w:t>Shared claim-specific concepts:</w:t>
      </w:r>
      <w:r>
        <w:t xml:space="preserve"> discuss, current, areas; EU scope visible. This is a provisional connection, not an outcome finding.</w:t>
      </w:r>
    </w:p>
    <w:p>
      <w:pPr>
        <w:pStyle w:val="SourceNote"/>
      </w:pPr>
      <w:r>
        <w:rPr>
          <w:b/>
        </w:rPr>
        <w:t>Available abstract (not full text):</w:t>
      </w:r>
      <w:r>
        <w:t xml:space="preserve"> This study examines the evolution of equality as a constitutional principle in Romania, focusing on the transformative impact of European Union (EU) membership within the broader context of human rights regulations in Europe. It provides an overview of how equality has been understood within Romanian constitutional law, emphasising foundational principles and interpretations made by the Constitutional Court with the incorporation of European catalogues of human rights. From this perspective, the research highlights how the court has addressed complex issues such as gender equality, minority rights, and anti-discrimination protections in sensitive areas. These include political and social rights, education, and even review of the constitutional identity, all while balancing EU mandates with national legal traditions and social contexts. The aim is to evaluate the Constitutional Court’s role in incorporating international standards in constitutional review and discuss the ongoing challenges of harmonising human rights protection standards within the EU.</w:t>
      </w:r>
    </w:p>
    <w:p>
      <w:pPr/>
      <w:r>
        <w:rPr>
          <w:b/>
        </w:rPr>
        <w:t>POSSIBLE 2026:</w:t>
      </w:r>
      <w:r>
        <w:t xml:space="preserve"> Marine Protected Areas for Europe (MPA Europe) — https://doi.org/10.3897/rio.12.e218514</w:t>
      </w:r>
    </w:p>
    <w:p>
      <w:pPr/>
      <w:r>
        <w:rPr>
          <w:b/>
        </w:rPr>
        <w:t>Shared claim-specific concepts:</w:t>
      </w:r>
      <w:r>
        <w:t xml:space="preserve"> current, areas, data, enable, environmental; EU scope visible. This is a provisional connection, not an outcome finding.</w:t>
      </w:r>
    </w:p>
    <w:p>
      <w:pPr>
        <w:pStyle w:val="SourceNote"/>
      </w:pPr>
      <w:r>
        <w:rPr>
          <w:b/>
        </w:rPr>
        <w:t>Available abstract (not full text):</w:t>
      </w:r>
      <w:r>
        <w:t xml:space="preserve"> The MPA Europe project will map the optimal locations for Marine Protected Areas (MPA) in European seas using measures covering the range of biodiversity from species to ecosystems, including habitats. The contribution of these measures to carbon storage will be quantified and mapped. The top 10% and 30% of the area that includes most species, habitats, and ecosystems, and maximises blue carbon benefits, will be prioritised as an MPA network. The geographic scope is the Atlantic Exclusive Economic Zones of the EU and its neighbours, and all of the Mediterranean, Baltic and Black Seas. Feedback from Marine Spatial Planning (MSP) stakeholders in the regional seas on the proposed MPA network and methodology will be reported. A first data-driven classification of ecosystems in European seas will use environmental data from Copernicus and EMODnet.Environmental niche models will map thousands of species, including habitat-forming species, ranges and contribute to existing seabed habitat maps in EMODnet. Analyses of spatial relationships between biodiversity measures and evidence of carbon storage will support the prioritisation analyses. Parallel modelling of current connectivity and the velocity of climate change will map connectivity within the proposed MPA network and how it will accommodate species distribution shifts due to anthropogenic climate change. All data and maps will be</w:t>
      </w:r>
    </w:p>
    <w:p>
      <w:pPr/>
      <w:r>
        <w:rPr>
          <w:b/>
        </w:rPr>
        <w:t>POSSIBLE 2026:</w:t>
      </w:r>
      <w:r>
        <w:t xml:space="preserve"> Mapping the landscape of mycological organizations in europe: where citizen science meets professional mycology — https://doi.org/10.1007/s10531-025-03219-2</w:t>
      </w:r>
    </w:p>
    <w:p>
      <w:pPr/>
      <w:r>
        <w:rPr>
          <w:b/>
        </w:rPr>
        <w:t>Shared claim-specific concepts:</w:t>
      </w:r>
      <w:r>
        <w:t xml:space="preserve"> discuss, current, knowledge, data, overcome, used; EU scope visible. This is a provisional connection, not an outcome finding.</w:t>
      </w:r>
    </w:p>
    <w:p>
      <w:pPr>
        <w:pStyle w:val="SourceNote"/>
      </w:pPr>
      <w:r>
        <w:rPr>
          <w:b/>
        </w:rPr>
        <w:t>Available abstract (not full text):</w:t>
      </w:r>
      <w:r>
        <w:t xml:space="preserve"> Abstract Fungi have been used by humans since prehistoric times. Informal structures or groups for knowledge exchange regarding mushrooms and lichens probably existed for ages. Only recently, mycological activities have been structured in formal organizations. And where until a few centuries ago there were only learned societies and naturalists’ clubs, nowadays also mycological societies and citizen scientists have joined the landscape. However, the history of mycological organizations and activities in Europe is difficult to track. Here, we initiated two surveys to characterize the current landscape of mycological organizations focused on fungal diversity across Europe and to collate citizen science activities mapping fungi. The surveys were shared on social media and sent to mycologists in 49 countries in Europe. Responses of the surveys allowed us to present the history, geographical distribution, and structure of mycological organizations in Europe as well as their types of activities, including the publication of journals and magazines, the organization of meetings and educational initiatives, and citizen science projects. In addition to the surveys, local mycologists presented expert knowledge for a more comprehensive overview. Our data show that the mycological landscape in Europe is diverse and heterogeneous. We discuss ways to overcome economic, cultural, and linguisti</w:t>
      </w:r>
    </w:p>
    <w:p>
      <w:pPr/>
      <w:r>
        <w:rPr>
          <w:b/>
        </w:rPr>
        <w:t>POSSIBLE 2025:</w:t>
      </w:r>
      <w:r>
        <w:t xml:space="preserve"> A REVIEW OF THE CURRENT KNOWLEDGE ON AMPHIBIAN CHYTRIDIOMYCOSES AND THEIR EPIDEMIOLOGY IN EASTERN EUROPE — https://doi.org/10.17930/agl2025216</w:t>
      </w:r>
    </w:p>
    <w:p>
      <w:pPr/>
      <w:r>
        <w:rPr>
          <w:b/>
        </w:rPr>
        <w:t>Shared claim-specific concepts:</w:t>
      </w:r>
      <w:r>
        <w:t xml:space="preserve"> current, knowledge, environmental; EU scope visible. This is a provisional connection, not an outcome finding.</w:t>
      </w:r>
    </w:p>
    <w:p>
      <w:pPr>
        <w:pStyle w:val="SourceNote"/>
      </w:pPr>
      <w:r>
        <w:rPr>
          <w:b/>
        </w:rPr>
        <w:t>Available abstract (not full text):</w:t>
      </w:r>
      <w:r>
        <w:t xml:space="preserve"> Amphibian chytridiomycoses are emerging fungal diseases caused by Batrachochytrium dendrobatidis (Bd) and Batrachochytrium salamandrivorans (Bsal). They pose a significant threat to amphibians worldwide, driving catastrophic species declines and extinctions with knock-on impacts on the ecosystem and human health. This review examines the expanding distribution of Bd and Bsal, with a focus on Eastern Europe. Advances in diagnostics - including histopathology, PCR, and environmental DNA detection -, including their strengths and limitations, are discussed. This review considers morphological characteristics, pathogen life cycles, mechanisms of pathogenesis, and clinical signs useful for guiding infection and disease detection. Innate and acquired host immune responses in response to Bd and Bsal infection are discussed within the context of host resistance and tolerance. Finally, potential transmission routes are explored, with a focus on the role the pet trade plays in pathogen spread, and current treatment and mitigation approaches for both wild and captive amphibians are summarised. Insights into the epidemiology of Bd and Bsal and environmental factors influencing pathogen spread and resistance can inform proactive conservation and disease management strategies essential for protecting at-risk amphibian populations.</w:t>
      </w:r>
    </w:p>
    <w:p>
      <w:pPr/>
      <w:r>
        <w:rPr>
          <w:b/>
        </w:rPr>
        <w:t>POSSIBLE 2025:</w:t>
      </w:r>
      <w:r>
        <w:t xml:space="preserve"> Current Knowledge on UTUC Epidemiology in Poland Compared to Europe — https://doi.org/10.3390/cancers18010126</w:t>
      </w:r>
    </w:p>
    <w:p>
      <w:pPr/>
      <w:r>
        <w:rPr>
          <w:b/>
        </w:rPr>
        <w:t>Shared claim-specific concepts:</w:t>
      </w:r>
      <w:r>
        <w:t xml:space="preserve"> current, knowledge, them, data; EU scope visible. This is a provisional connection, not an outcome finding.</w:t>
      </w:r>
    </w:p>
    <w:p>
      <w:pPr>
        <w:pStyle w:val="SourceNote"/>
      </w:pPr>
      <w:r>
        <w:rPr>
          <w:b/>
        </w:rPr>
        <w:t>Available abstract (not full text):</w:t>
      </w:r>
      <w:r>
        <w:t xml:space="preserve"> Background: Upper tract urothelial carcinoma (UTUC) is a rare malignancy with limited epidemiological data from Central and Eastern Europe. This study aimed to evaluate long-term trends in UTUC incidence, mortality, and survival in Poland and to compare them with other European countries. Methods: Incidence and mortality data were acquired from Polish National Cancer Registry, Statistics Poland and European Cancer Information System. Age-standardized incidence and mortality rates were calculated using the European Standard Population (ESP 2013). Temporal trends were assessed using Joinpoint regression, and five-year relative survival was estimated with the Pohar–Perme method. Results: Our study demonstrated significantly higher incidence and mortality rates of UTUC across Europe compared to the initial observation period, consistent with the data from Poland. UTUC incidence increased in Poland between 2000 and 2017 (average annual percent change [AAPC] 5.6% in women and 9.9% in men), followed by a decline among women after 2017 (AAPC −1.3%). Mortality initially rose in both sexes but decreased in recent years, particularly in men (AAPC −5.47%). Renal pelvis cancer showed higher incidence and mortality than ureteral cancer. Compared with other European countries, Poland exhibited a smaller gap between incidence and mortality. Five-year relative survival improved over time, reach</w:t>
      </w:r>
    </w:p>
    <w:p>
      <w:pPr/>
      <w:r>
        <w:rPr>
          <w:b/>
        </w:rPr>
        <w:t>POSSIBLE 2025:</w:t>
      </w:r>
      <w:r>
        <w:t xml:space="preserve"> Animal Protein Sources in Europe: Current Knowledge and Future Perspectives—A Review — https://doi.org/10.3390/app152111749</w:t>
      </w:r>
    </w:p>
    <w:p>
      <w:pPr/>
      <w:r>
        <w:rPr>
          <w:b/>
        </w:rPr>
        <w:t>Shared claim-specific concepts:</w:t>
      </w:r>
      <w:r>
        <w:t xml:space="preserve"> current, knowledge, environmental; EU scope visible. This is a provisional connection, not an outcome finding.</w:t>
      </w:r>
    </w:p>
    <w:p>
      <w:pPr>
        <w:pStyle w:val="SourceNote"/>
      </w:pPr>
      <w:r>
        <w:rPr>
          <w:b/>
        </w:rPr>
        <w:t>Available abstract (not full text):</w:t>
      </w:r>
      <w:r>
        <w:t xml:space="preserve"> The pursuit of sustainable animal protein sources is critical in light of the environmental, social, and economic challenges associated with conventional livestock production. Although meat, including organic production, remains a valuable source of high-quality protein, diversification is essential to sustainably meet future demand. This review summarizes current knowledge on alternative animal protein sources, with a particular focus on insects and cultured meat in Europe. Insects demonstrate high feed conversion efficiency, require minimal land and water resources, and provide essential amino acids, lipids, and micronutrients, while contributing to circular economy models. Cultured meat presents potential advantages for environmental sustainability and animal welfare; however, its large-scale application depends on technological advances, cost reduction, and supportive regulation. Consumer acceptance remains a challenge influenced by cultural heritage, food neophobia, and product presentation. Policy frameworks, including the European Green Deal and the Farm to Fork Strategy, seek to foster innovation and sustainable food systems. Future perspectives emphasize that conventional and organic meat, insect-based protein, and cultured meat should be regarded as complementary solutions for a balanced and resilient protein supply in Europe.</w:t>
      </w:r>
    </w:p>
    <w:p>
      <w:pPr/>
      <w:r>
        <w:rPr>
          <w:b/>
        </w:rPr>
        <w:t>POSSIBLE 2025:</w:t>
      </w:r>
      <w:r>
        <w:t xml:space="preserve"> Diabetologists’ Knowledge and Prescription of Physical Activity in Southeast Europe — https://doi.org/10.3390/medicina61071244</w:t>
      </w:r>
    </w:p>
    <w:p>
      <w:pPr/>
      <w:r>
        <w:rPr>
          <w:b/>
        </w:rPr>
        <w:t>Shared claim-specific concepts:</w:t>
      </w:r>
      <w:r>
        <w:t xml:space="preserve"> current, knowledge, data; EU scope visible. This is a provisional connection, not an outcome finding.</w:t>
      </w:r>
    </w:p>
    <w:p>
      <w:pPr>
        <w:pStyle w:val="SourceNote"/>
      </w:pPr>
      <w:r>
        <w:rPr>
          <w:b/>
        </w:rPr>
        <w:t>Available abstract (not full text):</w:t>
      </w:r>
      <w:r>
        <w:t xml:space="preserve"> Background and Objectives: Physical activity represents a cornerstone in the management of diabetes mellitus; however, the majority of persons with diabetes remain insufficiently active. Current guidelines emphasise the need to educate individuals with diabetes on physical activity at each clinical visit. The aim of the study was to develop an adequate instrument and test diabetologists’ knowledge on physical activity and related guidelines in diabetes, as well as investigate their prescribing habits. Materials and Methods: The instrument was developed with four diabetologists using Delphi and RAND appropriateness methods, then distributed to diabetologist societies in 12 Southeast European countries for anonymous completion by their members. Data were analysed using Mann–Whitney U test and Pearson x2 test. Results: Out of 302 analysed respondents, 123 (41%) worked at university hospitals, at average four days a week in outpatient departments, mean number of patients was 16 a day; 95 (32%) had a PhD, and 105 (35%) university teaching positions. Median overall knowledge was 15 (Q1–Q3, 13–17) out of 22 maximum points. 26% diabetologists knew recommended level of physical activity for people with diabetes. Physical activity goals were discussed during check-ups in 53.0% of cases; re-education and goal adjustments were provided in 33.4% when health status changed; and clear instruc</w:t>
      </w:r>
    </w:p>
    <w:p>
      <w:pPr/>
      <w:r>
        <w:rPr>
          <w:b/>
        </w:rPr>
        <w:t>POSSIBLE 2025:</w:t>
      </w:r>
      <w:r>
        <w:t xml:space="preserve"> Who is local and what do they know? Braiding knowledges within carnivore management in Europe — https://doi.org/10.1002/pan3.10797</w:t>
      </w:r>
    </w:p>
    <w:p>
      <w:pPr/>
      <w:r>
        <w:rPr>
          <w:b/>
        </w:rPr>
        <w:t>Shared claim-specific concepts:</w:t>
      </w:r>
      <w:r>
        <w:t xml:space="preserve"> current, knowledge, areas; EU scope visible. This is a provisional connection, not an outcome finding.</w:t>
      </w:r>
    </w:p>
    <w:p>
      <w:pPr>
        <w:pStyle w:val="SourceNote"/>
      </w:pPr>
      <w:r>
        <w:rPr>
          <w:b/>
        </w:rPr>
        <w:t>Available abstract (not full text):</w:t>
      </w:r>
      <w:r>
        <w:t xml:space="preserve"> Abstract Growing recognition of Indigenous Peoples and traditional local communities as stewards of biodiversity has brought to the fore the issues of knowledge and value pluralism in conservation policy and practice. Given their basis in practical and multi‐generational experience, Indigenous and local knowledges are highly relevant to managing human–wildlife interactions, especially species that are challenging to live with. Yet, these situated forms of knowledge remain overlooked and marginalised, especially ‘local knowledge’, as it is unclear what or whom is encompassed within the term. We explore local knowledge in the context of pastoral areas in Europe, where populations of large carnivores such as wolves are currently expanding. We ask: who is ‘local’, what constitutes ‘local knowledge’ and what can this knowledge contribute to carnivore management? We show that continuous exchanges between long‐settled residents, newcomers and transient people in pastoral areas mean that ‘localness’ cannot be approached as a dualist position. Similarly, local knowledge is dynamic and continuously evolving in the face of ongoing and emerging change, which makes efforts of categorisation and preservation complex. We argue that current approaches to incorporating local knowledge often fail to account for this complexity, producing unjust and ineffective policies and strategies. To advance</w:t>
      </w:r>
    </w:p>
    <w:p>
      <w:pPr/>
      <w:r>
        <w:rPr>
          <w:b/>
        </w:rPr>
        <w:t>POSSIBLE 2025:</w:t>
      </w:r>
      <w:r>
        <w:t xml:space="preserve"> Current protected areas provide limited benefits for European river biodiversity — https://doi.org/10.1038/s41467-025-67125-5</w:t>
      </w:r>
    </w:p>
    <w:p>
      <w:pPr/>
      <w:r>
        <w:rPr>
          <w:b/>
        </w:rPr>
        <w:t>Shared claim-specific concepts:</w:t>
      </w:r>
      <w:r>
        <w:t xml:space="preserve"> current, areas; EU scope visible. This is a provisional connection, not an outcome finding.</w:t>
      </w:r>
    </w:p>
    <w:p>
      <w:pPr>
        <w:pStyle w:val="SourceNote"/>
      </w:pPr>
      <w:r>
        <w:rPr>
          <w:b/>
        </w:rPr>
        <w:t>Available abstract (not full text):</w:t>
      </w:r>
      <w:r>
        <w:t xml:space="preserve"> Protected areas are a principal conservation tool for addressing biodiversity loss. Such protection is especially needed in freshwaters, given their greater biodiversity losses compared to terrestrial and marine ecosystems. However, broad-scale evaluations of protected area effectiveness for freshwater biodiversity are lacking. Here, we provide a continental-scale analysis of the relationship between protected areas and freshwater biodiversity using 1,754 river invertebrate community time series sampled between 1986 and 2022 across ten European countries. Protected areas primarily benefited poor-quality communities (indicative of higher human impacts) that were protected, or that gained protection, across a substantial proportion of their upstream catchment. Protection had little to no influence on moderate- and high-quality communities, although high-quality communities potentially provide less scope for effect. Our results reveal the overall limited effectiveness of current protected areas for freshwater biodiversity, likely because they are typically designed and managed to achieve terrestrial conservation goals. Broadly improving effectiveness for freshwater biodiversity requires catchment-scale management approaches involving larger and more continuous upstream protection, and efforts to address remaining stressors. These approaches would also benefit connected terrestrial</w:t>
      </w:r>
    </w:p>
    <w:p>
      <w:pPr/>
      <w:r>
        <w:rPr>
          <w:b/>
        </w:rPr>
        <w:t>POSSIBLE 2025:</w:t>
      </w:r>
      <w:r>
        <w:t xml:space="preserve"> Cadmium and other metallic contaminants in cacao: Update on current knowledge and mitigation strategies — https://doi.org/10.1051/ocl/2025019</w:t>
      </w:r>
    </w:p>
    <w:p>
      <w:pPr/>
      <w:r>
        <w:rPr>
          <w:b/>
        </w:rPr>
        <w:t>Shared claim-specific concepts:</w:t>
      </w:r>
      <w:r>
        <w:t xml:space="preserve"> discuss, current, knowledge, exposure; EU scope visible. This is a provisional connection, not an outcome finding.</w:t>
      </w:r>
    </w:p>
    <w:p>
      <w:pPr>
        <w:pStyle w:val="SourceNote"/>
      </w:pPr>
      <w:r>
        <w:rPr>
          <w:b/>
        </w:rPr>
        <w:t>Available abstract (not full text):</w:t>
      </w:r>
      <w:r>
        <w:t xml:space="preserve"> Cadmium (Cd) is a non-essential metal classified as class 1 carcinogen, which can induce detrimental effects for humans. Food is the main route of Cd exposure for the general population (except smokers). Chocolate products account for 4% and 9% of the dietary Cd intake for adults and children, respectively, in Europe. Since 2019, the EU limits Cd concentration in chocolate. The maximum permitted concentration (MPC) varies from 0.30 to 0.80 mg Cd kg−1 depending on the% of total cocoa solids in the final product. Cacao (Theobroma cacao L.) producers in Latin America and the Caribbean, who provide 19.4% of global cacao production, are strongly impacted because a significant fraction of their production exceeds these limits. In this review, the current knowledge on the factors influencing the soil Cd enrichments and Cd phytoavailability is discussed. The Cd transfer to cacao trees and to beans, and the responses of cacao trees to Cd exposure are also presented. Then, various mitigation strategies, including post-harvest treatments, soil amendments, microbial remediation (or bioremediation), breeding programs and grafting, are summarized. We also discuss the transfer of knowledge to stakeholders in the cacao supply chain. Finally, current knowledge on the presence of other metallic contaminants in cacao beans, particularly nickel (Ni), is reviewed.</w:t>
      </w:r>
    </w:p>
    <w:p>
      <w:pPr/>
      <w:r>
        <w:rPr>
          <w:b/>
        </w:rPr>
        <w:t>POSSIBLE 2025:</w:t>
      </w:r>
      <w:r>
        <w:t xml:space="preserve"> Grasslands in Europe: current status, emerging challenges, and pathways to sustainable futures — https://doi.org/10.19103/as.2025.0154.26</w:t>
      </w:r>
    </w:p>
    <w:p>
      <w:pPr/>
      <w:r>
        <w:rPr>
          <w:b/>
        </w:rPr>
        <w:t>Shared claim-specific concepts:</w:t>
      </w:r>
      <w:r>
        <w:t xml:space="preserve"> current, drivers, them; EU scope visible. This is a provisional connection, not an outcome finding.</w:t>
      </w:r>
    </w:p>
    <w:p>
      <w:pPr>
        <w:pStyle w:val="SourceNote"/>
      </w:pPr>
      <w:r>
        <w:rPr>
          <w:b/>
        </w:rPr>
        <w:t>Available abstract (not full text):</w:t>
      </w:r>
      <w:r>
        <w:t xml:space="preserve"> This chapter provides a coherent, integrated overview of grasslands in Europe, addressing: (i) their current status and use, (ii) the ecosystem services they provide, (iii) the major drivers and trends affecting them, and (iv) promising innovations and research directions. These are illustrated by a case study from the project Grazing4AgroEcology that shows how innovative farmers, researchers and other stakeholders are now jointly exploring new approaches. Throughout the chapter, we advance the central argument that grassland systems can, if appropriately managed and supported, simultaneously deliver nutritious food and multiple ecosystem services, thereby contributing to resilient agricultural futures in Europe.</w:t>
      </w:r>
    </w:p>
    <w:p>
      <w:pPr>
        <w:pStyle w:val="Heading2"/>
      </w:pPr>
      <w:r>
        <w:t>524. Energy Community in Action—Energy Citizenship Contract as Tool for Climate Neutrality</w:t>
      </w:r>
    </w:p>
    <w:p>
      <w:pPr>
        <w:pStyle w:val="SourceNote"/>
      </w:pPr>
      <w:r>
        <w:rPr>
          <w:b/>
        </w:rPr>
        <w:t>Original source (2022):</w:t>
      </w:r>
      <w:r>
        <w:t xml:space="preserve"> https://doi.org/10.3390/smartcities5010018</w:t>
      </w:r>
    </w:p>
    <w:p>
      <w:pPr/>
      <w:r>
        <w:t>Original wording (abstract; indexed_source_text_not_full_document_verified): Incisive actions are fundamental to bring cities towards climate neutrality by 2050 working by and for the citizens. For this reason, the “100 climate-neutral cities Mission” anticipates the target of climate neutrality by 2030.</w:t>
      </w:r>
    </w:p>
    <w:p>
      <w:pPr/>
      <w:r>
        <w:rPr>
          <w:b/>
        </w:rPr>
        <w:t>POSSIBLE 2026:</w:t>
      </w:r>
      <w:r>
        <w:t xml:space="preserve"> Types of Threatening Actions in Critical Realist Literature (1930-1945) and Their Evolution in Contemporary Vietnamese Literature — https://doi.org/10.62225/2583049x.2026.6.1.5518</w:t>
      </w:r>
    </w:p>
    <w:p>
      <w:pPr/>
      <w:r>
        <w:rPr>
          <w:b/>
        </w:rPr>
        <w:t>Shared claim-specific concepts:</w:t>
      </w:r>
      <w:r>
        <w:t xml:space="preserve"> incisive, actions, fundamental; EU scope not established. This is a provisional connection, not an outcome finding.</w:t>
      </w:r>
    </w:p>
    <w:p>
      <w:pPr>
        <w:pStyle w:val="SourceNote"/>
      </w:pPr>
      <w:r>
        <w:rPr>
          <w:b/>
        </w:rPr>
        <w:t>Available abstract (not full text):</w:t>
      </w:r>
      <w:r>
        <w:t xml:space="preserve"> This study aims to interpret the evolution of threatening actions in Vietnamese literature across two pivotal periods: critical realism (1930-1945) and the contemporary era (post-1986). By employing an interdisciplinary methodology (literary sociology, psychology, economics) to construct a theoretical framework comprising four forms of threat (physical violence, institutional power, economic, and psychological), the paper analyzes and compares representative literary works. The findings reveal a fundamental shift from the tangible, top-down, and externally coercive system of threats in the colonial-feudal society to an intangible, pervasive, and internalized system in the contemporary market society (e.g., competitive pressures, identity crises, loneliness). Theoretically, the study contributes a new, incisive analytical framework for approaching literature. Practically, it offers a profound perspective on how literature reflects core social pressures, helping to understand the anxieties of the Vietnamese people through historical turning points.</w:t>
      </w:r>
    </w:p>
    <w:p>
      <w:pPr/>
      <w:r>
        <w:rPr>
          <w:b/>
        </w:rPr>
        <w:t>POSSIBLE 2026:</w:t>
      </w:r>
      <w:r>
        <w:t xml:space="preserve"> Legal Limits on the ECB’s Actions: Is the PEPP a Bridge too Far? — https://doi.org/10.36969/njel.v9i1.28373</w:t>
      </w:r>
    </w:p>
    <w:p>
      <w:pPr/>
      <w:r>
        <w:rPr>
          <w:b/>
        </w:rPr>
        <w:t>Shared claim-specific concepts:</w:t>
      </w:r>
      <w:r>
        <w:t xml:space="preserve"> actions, fundamental, reason; EU scope visible. This is a provisional connection, not an outcome finding.</w:t>
      </w:r>
    </w:p>
    <w:p>
      <w:pPr>
        <w:pStyle w:val="SourceNote"/>
      </w:pPr>
      <w:r>
        <w:rPr>
          <w:b/>
        </w:rPr>
        <w:t>Available abstract (not full text):</w:t>
      </w:r>
      <w:r>
        <w:t xml:space="preserve"> After the global financial crisis of 2008-2009, the role and monetary policy of the European Central Bank (ECB) underwent a profound evolution, with the turning point being the possibility for the institution itself to intervene on secondary markets to purchase government bonds of eurozone member states. However, this evolution took place within the legal framework established by the EU Treaties, which remained unchanged. The fact that these changes occurred within an unchanged legal context raised a fundamental issue: there was a need to verify whether these changes were compatible with the legal limits on the actions of the ECB under the EU Treaties. It is for this reason that, between 2012 and 2018, the Court of Justice of the European Union (CJEU) developed a case law aimed at (i) verifying whether the new monetary policy tools were compatible with the provisions of the EU Treaties and (ii) defining the legal limits of ECB intervention on secondary markets. Against this backdrop, this article analyses the extent to which the ECB’s intervention on secondary markets during the COVID-19 crisis through the Pandemic Emergency Purchasing Programme (PEPP) complies with the criteria established by this case law in relation to Article 123 TFEU. To this end, the article first reviews the role and mandate of the ECB as defined by the EU Treaties. It then analyses both the evolution of</w:t>
      </w:r>
    </w:p>
    <w:p>
      <w:pPr/>
      <w:r>
        <w:rPr>
          <w:b/>
        </w:rPr>
        <w:t>POSSIBLE 2026:</w:t>
      </w:r>
      <w:r>
        <w:t xml:space="preserve"> Review: Replumbing the City: Water Management as Climate Adaptation in Los Angeles , by Sayd Randle — https://doi.org/10.1525/ch.2026.103.1.117</w:t>
      </w:r>
    </w:p>
    <w:p>
      <w:pPr/>
      <w:r>
        <w:rPr>
          <w:b/>
        </w:rPr>
        <w:t>Shared claim-specific concepts:</w:t>
      </w:r>
      <w:r>
        <w:t xml:space="preserve"> incisive, climate, working; EU scope not established. This is a provisional connection, not an outcome finding.</w:t>
      </w:r>
    </w:p>
    <w:p>
      <w:pPr>
        <w:pStyle w:val="SourceNote"/>
      </w:pPr>
      <w:r>
        <w:rPr>
          <w:b/>
        </w:rPr>
        <w:t>Available abstract (not full text):</w:t>
      </w:r>
      <w:r>
        <w:t xml:space="preserve"> This book provides an incisive analysis of the water crisis in L.A. and is an indispensable text for anyone interested in urban environments and environmental justice. As Randle so ably shows us, the devil is in the details when it comes to implementing policy that most impacts poor and working-class minority communities, those most susceptible to the dire consequences of climate change.Randle systematically evaluates policies as they are carried out by becoming an actor in the drama herself, working side by side with her “interlocutors” to effect change in one community (and even one neighborhood) at a time. She finds some surprising results, not all of them positive. Thus, she relies on lived experience as much as on conventional academic sources to support her argument that even solutions to climate change that appear to be unbiased can increase rather than ameliorate inequity in practice and may not be real solutions at all.The book is organized into two main parts, with a lengthy introduction that carefully explains Los Angelenos’ long history of dependence on faraway water sources. Randle highlights the significance of the Los Angeles Aqueduct, which enabled rapid and extensive development of communities, urbanization, and industrial agriculture. This growth occurred with little concern for the long-term consequences of importing water to maintain exponential population g</w:t>
      </w:r>
    </w:p>
    <w:p>
      <w:pPr/>
      <w:r>
        <w:rPr>
          <w:b/>
        </w:rPr>
        <w:t>POSSIBLE 2026:</w:t>
      </w:r>
      <w:r>
        <w:t xml:space="preserve"> Lessons from integrated climate change adaptation and mitigation interventions for synergies and co-benefits in African cities — https://doi.org/10.1007/s44327-026-00359-0</w:t>
      </w:r>
    </w:p>
    <w:p>
      <w:pPr/>
      <w:r>
        <w:rPr>
          <w:b/>
        </w:rPr>
        <w:t>Shared claim-specific concepts:</w:t>
      </w:r>
      <w:r>
        <w:t xml:space="preserve"> actions, cities, climate; EU scope not established. This is a provisional connection, not an outcome finding.</w:t>
      </w:r>
    </w:p>
    <w:p>
      <w:pPr>
        <w:pStyle w:val="SourceNote"/>
      </w:pPr>
      <w:r>
        <w:rPr>
          <w:b/>
        </w:rPr>
        <w:t>Available abstract (not full text):</w:t>
      </w:r>
      <w:r>
        <w:t xml:space="preserve"> The diverse impacts of climate change on urban areas and the strategies to adapt have been widely studied over the past 25 years. While there is consensus on the importance of adaptation and mitigation, significant uncertainties stem from data paucity for certain regions, especially in Africa. This study examines how African cities integrate climate change adaptation and mitigation, focusing on synergies and co-benefits. We systematically reviewed 173 publications and reports covering 12 diverse cities, coding 1889 actions across actors, spatial scales, implementation levels, synergies, and trade-offs. We contextualised actions using a composite index combining climate exposure, social vulnerability, and infrastructure deficit. Publications surged between 2022 and 2025, but secondary and smaller cities remain under-represented. Implementation patterns vary widely across cities and scales. We identified a Synergy Gap indicating where actions with co-benefits may lag behind singular interventions, reflecting siloed governance that hinders integrated frameworks. Limitations include categorisation overlaps and difficulty ground-truthing implementation effectiveness in data-scarce contexts. We conclude that integrated, multi-scalar approaches anchored in better data and dynamic frameworks are essential to align urban climate action with Africa’s heterogeneous urban realities.</w:t>
      </w:r>
    </w:p>
    <w:p>
      <w:pPr/>
      <w:r>
        <w:rPr>
          <w:b/>
        </w:rPr>
        <w:t>POSSIBLE 2026:</w:t>
      </w:r>
      <w:r>
        <w:t xml:space="preserve"> Climate Readiness as a Driver of Urban Transformation: Lessons from the WRI Ross Center Prize for Cities cycle 2023–2024 — https://doi.org/10.46830/wriwp.25.00116</w:t>
      </w:r>
    </w:p>
    <w:p>
      <w:pPr/>
      <w:r>
        <w:rPr>
          <w:b/>
        </w:rPr>
        <w:t>Shared claim-specific concepts:</w:t>
      </w:r>
      <w:r>
        <w:t xml:space="preserve"> fundamental, cities, climate; EU scope not established. This is a provisional connection, not an outcome finding.</w:t>
      </w:r>
    </w:p>
    <w:p>
      <w:pPr>
        <w:pStyle w:val="SourceNote"/>
      </w:pPr>
      <w:r>
        <w:rPr>
          <w:b/>
        </w:rPr>
        <w:t>Available abstract (not full text):</w:t>
      </w:r>
      <w:r>
        <w:t xml:space="preserve"> Cities today navigate a complex mix of pressures, including inequality, rapid growth, fiscal strain, infrastructure gaps, and mounting climate shocks. Climate impacts interact with deeper structural challenges that shape who is most at risk and which solutions can take hold. In this context, climate-readiness initiatives can do more than prepare cities for hazards. This prompts the following question: Under what conditions do adaptation and resilience interventions lead to more fundamental changes in urban systems? This paper examines how they can also create openings into wider forms of urban transformation when they expand, accumulate momentum, and strengthen the conditions that allow change to endure.</w:t>
      </w:r>
    </w:p>
    <w:p>
      <w:pPr/>
      <w:r>
        <w:rPr>
          <w:b/>
        </w:rPr>
        <w:t>POSSIBLE 2025:</w:t>
      </w:r>
      <w:r>
        <w:t xml:space="preserve"> Parking Reform and Social Justice in Brazil — https://doi.org/10.4324/9781003465515-31</w:t>
      </w:r>
    </w:p>
    <w:p>
      <w:pPr/>
      <w:r>
        <w:rPr>
          <w:b/>
        </w:rPr>
        <w:t>Shared claim-specific concepts:</w:t>
      </w:r>
      <w:r>
        <w:t xml:space="preserve"> incisive, fundamental, cities, climate; EU scope not established. This is a provisional connection, not an outcome finding.</w:t>
      </w:r>
    </w:p>
    <w:p>
      <w:pPr>
        <w:pStyle w:val="SourceNote"/>
      </w:pPr>
      <w:r>
        <w:rPr>
          <w:b/>
        </w:rPr>
        <w:t>Available abstract (not full text):</w:t>
      </w:r>
      <w:r>
        <w:t xml:space="preserve"> Climate change is a reality, and the global agendas focus on cities as the locus of the problem and action. The vision for urban mobility seems committed to environmental challenges—but how are social challenges integrated? The emphasis on clean vehicles as a solution ignores how the space occupied by automobiles increases inequity, socio-spatial segregation, and the precariousness of life in cities, particularly in the Global South. We must reinvent how we live in the city, changing the vehicle-oriented paradigm and turning our attention to travel. Fewer vehicles result in fewer emissions, energy consumption, and more space, a key asset for promoting social justice. Shoup was incisive in pointing out how most cities are planned with the assumption that parking is a right. His teachings were fundamental in uncovering the social function of parking policy and its potential to produce more equitable cities. This essay explores how the redistribution of urban space is essential to dealing with urgent issues such as housing deficit in Brazil, cycling infrastructure in Fortaleza, and public transport in São José dos Campos.</w:t>
      </w:r>
    </w:p>
    <w:p>
      <w:pPr/>
      <w:r>
        <w:rPr>
          <w:b/>
        </w:rPr>
        <w:t>POSSIBLE 2024:</w:t>
      </w:r>
      <w:r>
        <w:t xml:space="preserve"> BIODIVERSIDADE E AMEAÇAS ÀS ARRAIAS DE ÁGUA DOCE NO RIO ARAGUAIA: UMA PERSPECTIVA DE CONSERVAÇÃO — https://doi.org/10.46732/actafish.2024.12.2.51-63</w:t>
      </w:r>
    </w:p>
    <w:p>
      <w:pPr/>
      <w:r>
        <w:rPr>
          <w:b/>
        </w:rPr>
        <w:t>Shared claim-specific concepts:</w:t>
      </w:r>
      <w:r>
        <w:t xml:space="preserve"> incisive, actions, fundamental; EU scope not established. This is a provisional connection, not an outcome finding.</w:t>
      </w:r>
    </w:p>
    <w:p>
      <w:pPr>
        <w:pStyle w:val="SourceNote"/>
      </w:pPr>
      <w:r>
        <w:rPr>
          <w:b/>
        </w:rPr>
        <w:t>Available abstract (not full text):</w:t>
      </w:r>
      <w:r>
        <w:t xml:space="preserve"> The Araguaia-Tocantins basin contains a rich diversity of fish, including stingrays of the Potamotrygonidae family (Peters, 1876), which stand out in aquatic ecosystems due to their beauty and diversity of patterns, as well as the medical importance of their members. In this sense, these organisms play fundamental roles in the food chain and in ecological interactions. However, they are subject to environmental threats, such as habitat degradation, interruption of gene flow between populations, and incisive predatory fishing. Thus, the preservation of these species requires actions that aim to safeguard natural habitats, as well as regulating their capture. The urgent need for more taxonomic and ecological studies becomes important, to increase the understanding of these organisms and subsidize conservation strategies. This study focused on identifying the different species of stingrays in a stretch of the Araguaia River. Thus, the four species identified were Paratrygon aiereba, Potamotrygon motoro, P. henlei and P. histrix, which share not only the environment, but also the threats, from predatory fishing among others. Thus, the results listed here seek to contribute to the Acta of Fisheries and Aquatic Resources Saviato, et al., (2024), ActaPesca 12(2): 51-63 DOI 10.46732/Actafish.2024.12.2.51-63 52 construction of a more robust framework of knowledge about these fish and, c</w:t>
      </w:r>
    </w:p>
    <w:p>
      <w:pPr/>
      <w:r>
        <w:rPr>
          <w:b/>
        </w:rPr>
        <w:t>POSSIBLE 2023:</w:t>
      </w:r>
      <w:r>
        <w:t xml:space="preserve"> Supporting Nature-Based Solutions via Nature-Based Thinking across European and Latin American cities — https://doi.org/10.1007/s13280-023-01920-6</w:t>
      </w:r>
    </w:p>
    <w:p>
      <w:pPr/>
      <w:r>
        <w:rPr>
          <w:b/>
        </w:rPr>
        <w:t>Shared claim-specific concepts:</w:t>
      </w:r>
      <w:r>
        <w:t xml:space="preserve"> incisive, cities, climate; EU scope visible. This is a provisional connection, not an outcome finding.</w:t>
      </w:r>
    </w:p>
    <w:p>
      <w:pPr>
        <w:pStyle w:val="SourceNote"/>
      </w:pPr>
      <w:r>
        <w:rPr>
          <w:b/>
        </w:rPr>
        <w:t>Available abstract (not full text):</w:t>
      </w:r>
      <w:r>
        <w:t xml:space="preserve"> Nature-Based Solutions concepts and practices are being used worldwide as part of attempts to address societal challenges but have also been criticised for not dealing with deeper transformations needed to face urgent issues including biodiversity loss, climate change and inclusion. In this paper, we explore how an inclusive, integrated and long-sighted approach, emphasising a more radical integration of nature within cities, might support the transformations needed to endure major contemporary challenges. Addressing important emerging critiques of Nature-Based Solutions, we consider the potential of a more incisive form of Nature-Based Thinking (NBT) in cities, based on more holistic perspectives. The paper draws on a reflective and iterative research process that engaged both the research and practice communities through a symposium and a series of futures workshops that together explored the potential of NBT to develop future nature-cities relations in Europe and Latin America. The results of the reflective process suggest that notions of nature with people-not for people- new organisational structures, and the intention and capacity to apply long-term perspectives, are needed when planning for NBS interventions aimed at sustainable urban development. This includes developing a cultural-structural change based on new and inclusive understandings of human-nature relations, an</w:t>
      </w:r>
    </w:p>
    <w:p>
      <w:pPr/>
      <w:r>
        <w:rPr>
          <w:b/>
        </w:rPr>
        <w:t>POSSIBLE 2023:</w:t>
      </w:r>
      <w:r>
        <w:t xml:space="preserve"> Autocomposição de forma inaugural no âmbito da Justiça Federal como possibilidade do agir comunicativo habermasiano — https://openalex.org/W7120320133</w:t>
      </w:r>
    </w:p>
    <w:p>
      <w:pPr/>
      <w:r>
        <w:rPr>
          <w:b/>
        </w:rPr>
        <w:t>Shared claim-specific concepts:</w:t>
      </w:r>
      <w:r>
        <w:t xml:space="preserve"> incisive, fundamental, bring, reason; EU scope not established. This is a provisional connection, not an outcome finding.</w:t>
      </w:r>
    </w:p>
    <w:p>
      <w:pPr>
        <w:pStyle w:val="SourceNote"/>
      </w:pPr>
      <w:r>
        <w:rPr>
          <w:b/>
        </w:rPr>
        <w:t>Available abstract (not full text):</w:t>
      </w:r>
      <w:r>
        <w:t xml:space="preserve"> The fundamental premise of the present research is to bring an analytical approach to the inherent self-composition of Appropriate Conflict Resolution Methods within the judiciary, particularly within the Federal Justice as a possibility for Habermasian communicative action. To this end, the relevant conceptualizations of Access to Justice in its condition as a fundamental right enshrined in the Constitution of the Federative Republic of Brazil of 1988 are addressed, as well as self-composition with a special focus on some guiding principles that support the theme, under the aegis of Jünger Habermas's idea of consensus. The intent for such a discussion arises from the problem seen in the determination inscribed in the current procedural legislation, which, in turn, establishes the promotion of social peace through these means at any stage of the process. Because of this, speculation arises: Could this assertion favor a presupposition that limits, and/or conditions the guarantee of access to justice? Could the inaugural use of self-composition – before the action – within the Judiciary, have any impact or repercussions on the social order, despite the effectiveness and guarantee of access to rights? With the aim of addressing these inquiries, the research uses a methodology of applied nature; descriptive and exploratory objective, as well as bibliographic, documentary, and legis</w:t>
      </w:r>
    </w:p>
    <w:p>
      <w:pPr/>
      <w:r>
        <w:rPr>
          <w:b/>
        </w:rPr>
        <w:t>POSSIBLE 2023:</w:t>
      </w:r>
      <w:r>
        <w:t xml:space="preserve"> Greenhouse Gas Balance in the City of Reggio Calabria and Assessment of the Effects of Measures of Emission Reduction and Absorption — https://doi.org/10.3390/en16093615</w:t>
      </w:r>
    </w:p>
    <w:p>
      <w:pPr/>
      <w:r>
        <w:rPr>
          <w:b/>
        </w:rPr>
        <w:t>Shared claim-specific concepts:</w:t>
      </w:r>
      <w:r>
        <w:t xml:space="preserve"> incisive, climate, neutrality; EU scope not established. This is a provisional connection, not an outcome finding.</w:t>
      </w:r>
    </w:p>
    <w:p>
      <w:pPr>
        <w:pStyle w:val="SourceNote"/>
      </w:pPr>
      <w:r>
        <w:rPr>
          <w:b/>
        </w:rPr>
        <w:t>Available abstract (not full text):</w:t>
      </w:r>
      <w:r>
        <w:t xml:space="preserve"> Climate change and its ascertained attribution to anthropic activity need to be tackled with extreme urgency and must not be postponed. The need to reduce greenhouse gas emissions require a change in the energy paradigm, mainly affecting the construction and mobility sectors. Countries need to move towards climate neutrality with a widespread adoption of innovative models, systems, and technologies, reducing dependence on non-renewable sources and increasing energy efficiency. Measures to be adopted to achieve the prefixed decarbonization targets should involve, in addition to central governments, local communities. In this paper, in order to contribute to the definition of mitigation measures by the local administration, the balance of emissions and removal of greenhouse gases, assessed following the IPCC guidelines, for an Italian city (Reggio Calabria) on the date of 1 January 2020 is presented. Several hypotheses concerning reduction measures to be applied to the building and transport sectors, together with absorption interventions, have been developed and we have analyzed the effectiveness of each of them and their global effects on 1 January 2030. The proposed measures allow a reduction of 17% of total emissions, indicating that to reach carbon neutrality in 2050, more incisive and wide range interventions are required.</w:t>
      </w:r>
    </w:p>
    <w:p>
      <w:pPr/>
      <w:r>
        <w:rPr>
          <w:b/>
        </w:rPr>
        <w:t>POSSIBLE 2023:</w:t>
      </w:r>
      <w:r>
        <w:t xml:space="preserve"> Hot climates in urban South Asia: Negotiating the right to and the politics of shade at the everyday scale in Karachi — https://doi.org/10.1177/00420980231195204</w:t>
      </w:r>
    </w:p>
    <w:p>
      <w:pPr/>
      <w:r>
        <w:rPr>
          <w:b/>
        </w:rPr>
        <w:t>Shared claim-specific concepts:</w:t>
      </w:r>
      <w:r>
        <w:t xml:space="preserve"> cities, climate, working; EU scope not established. This is a provisional connection, not an outcome finding.</w:t>
      </w:r>
    </w:p>
    <w:p>
      <w:pPr>
        <w:pStyle w:val="SourceNote"/>
      </w:pPr>
      <w:r>
        <w:rPr>
          <w:b/>
        </w:rPr>
        <w:t>Available abstract (not full text):</w:t>
      </w:r>
      <w:r>
        <w:t xml:space="preserve"> Although the climate has admittedly always been hot and humid in cities like Karachi, increasingly hotter temperatures are exacerbating the impact of heat on informal, precariously employed outdoor workers such as street vendors, guards and rickshaw drivers, who must negotiate their right and access to shade at the everyday scale. Recalling Mike Davis’ radical, political claim that shade is an inalienable human right, this paper proposes that few people working in the outdoor spaces of the South Asian city today understand or experience shade in these terms. Rather shade is something that must be claimed, alongside other rights and entitlements. Moreover, shade alone is insufficient as it cannot reduce the exposure of bodies to harmful ambient radiations and overall thermal discomfort. This paper makes three broad propositions for outlining a theory for the social study of shade in the South Asian city. By paying closer attention to the ways that outdoor workers negotiate shade in Karachi, this paper opens up for analysis a wider spectrum of claims-making activity in changing South Asian urban climates. It places workers’ search for shade in the broader context of shade policing and urban management aimed at creating spatial as well as social order. Finally, this article emphasises key directions and questions for future research.</w:t>
      </w:r>
    </w:p>
    <w:p>
      <w:pPr>
        <w:pStyle w:val="Heading2"/>
      </w:pPr>
      <w:r>
        <w:t>525. Energy futures as societal futures: Co-evolutionary scenarios linking futures of society and decarbonized energy systems in Switzerland 2050</w:t>
      </w:r>
    </w:p>
    <w:p>
      <w:pPr>
        <w:pStyle w:val="SourceNote"/>
      </w:pPr>
      <w:r>
        <w:rPr>
          <w:b/>
        </w:rPr>
        <w:t>Original source (2022):</w:t>
      </w:r>
      <w:r>
        <w:t xml:space="preserve"> https://doi.org/10.1016/j.futures.2022.102955</w:t>
      </w:r>
    </w:p>
    <w:p>
      <w:pPr/>
      <w:r>
        <w:t>Original wording (abstract; indexed_source_text_not_full_document_verified): There is consensus that the global energy system will have to change substantially in the next decades to reach carbon neutrality. However, there are many visions of future energy systems and possible pathways leading to the corresponding futures.</w:t>
      </w:r>
    </w:p>
    <w:p>
      <w:pPr/>
      <w:r>
        <w:rPr>
          <w:b/>
        </w:rPr>
        <w:t>POSSIBLE 2026:</w:t>
      </w:r>
      <w:r>
        <w:t xml:space="preserve"> Polyendocrine metabolic ovarian syndrome, the new name for polycystic ovary syndrome: a multistep global consensus process — https://doi.org/10.1016/s0140-6736(26)00717-8</w:t>
      </w:r>
    </w:p>
    <w:p>
      <w:pPr/>
      <w:r>
        <w:rPr>
          <w:b/>
        </w:rPr>
        <w:t>Shared claim-specific concepts:</w:t>
      </w:r>
      <w:r>
        <w:t xml:space="preserve"> consensus, however, systems, leading; EU scope not established. This is a provisional connection, not an outcome finding.</w:t>
      </w:r>
    </w:p>
    <w:p>
      <w:pPr>
        <w:pStyle w:val="SourceNote"/>
      </w:pPr>
      <w:r>
        <w:rPr>
          <w:b/>
        </w:rPr>
        <w:t>Available abstract (not full text):</w:t>
      </w:r>
      <w:r>
        <w:t xml:space="preserve"> Polyendocrine metabolic ovarian syndrome (PMOS), previously named polycystic ovary syndrome (PCOS), affects one in eight women. However, the term PCOS is inaccurate, implying pathological ovarian cysts, obscuring diverse endocrine and metabolic features, and contributing to delayed diagnosis, fragmented care, and stigma, while curtailing research and policy framing. Building on an international mandate for change, we outline an unprecedented, rigorous, multistep global consensus process for the name change. Funding and governance were established with engagement of 56 leading academic, clinical, and patient organisations. Using iterative global surveys (with responses from 14 360 people with PCOS and multidisciplinary health professionals from all world regions), modified Delphi methods, nominal group technique workshops, and marketing and implementation analyses, we identified principles prioritising scientific accuracy, clarity, stigma avoidance, cultural appropriateness, and implementation feasibility. An accurate new name was prioritised over retaining the PCOS acronym or a generic name. Implementation approaches prioritised evolution rather than transformation. Preferred terms were polyendocrine, metabolic, and ovarian, reflecting the condition's multisystem pathophysiology, and polyendocrine metabolic ovarian syndrome was the consensus new name. Accuracy was improved by o</w:t>
      </w:r>
    </w:p>
    <w:p>
      <w:pPr/>
      <w:r>
        <w:rPr>
          <w:b/>
        </w:rPr>
        <w:t>POSSIBLE 2026:</w:t>
      </w:r>
      <w:r>
        <w:t xml:space="preserve"> Global Consensus on the Management of Primary Localized Chordoma — https://doi.org/10.1001/jamaoncol.2026.2054</w:t>
      </w:r>
    </w:p>
    <w:p>
      <w:pPr/>
      <w:r>
        <w:rPr>
          <w:b/>
        </w:rPr>
        <w:t>Shared claim-specific concepts:</w:t>
      </w:r>
      <w:r>
        <w:t xml:space="preserve"> consensus, however; EU scope visible. This is a provisional connection, not an outcome finding.</w:t>
      </w:r>
    </w:p>
    <w:p>
      <w:pPr>
        <w:pStyle w:val="SourceNote"/>
      </w:pPr>
      <w:r>
        <w:rPr>
          <w:b/>
        </w:rPr>
        <w:t>Available abstract (not full text):</w:t>
      </w:r>
      <w:r>
        <w:t xml:space="preserve"> Importance: Chordoma is a rare malignant bone tumor with high local recurrence, metastatic spread in 40% to 60% of patients over the disease course, and significant morbidity. Because of its rarity, anatomical complexity, and prolonged natural history, high-quality evidence to guide management is limited. International consensus guidelines for localized chordoma were first published in 2015; however, advances in pathology, imaging, surgery, radiotherapy, and supportive care since then necessitate updated multidisciplinary recommendations. Objective: To update and expand the 2015 consensus recommendations on the diagnosis, treatment, and follow-up of pediatric and adult patients with primary, localized chordoma. Evidence Review: In June 2025, a meeting of the Global Chordoma Consensus Group was held in Milan, Italy, that included experts from all relevant specialties as well as patient representatives. A comprehensive literature review guided structured discussions on the management of primary localized disease. Levels of evidence and grades of recommendation were assigned. Findings: A total of 305 articles were included in the literature review. Management strategies were stratified by anatomical site (skull base, mobile spine, and sacrum). The central principal of care was treatment at experienced, multidisciplinary centers, with maximally safe surgery followed by high-dose, h</w:t>
      </w:r>
    </w:p>
    <w:p>
      <w:pPr/>
      <w:r>
        <w:rPr>
          <w:b/>
        </w:rPr>
        <w:t>POSSIBLE 2026:</w:t>
      </w:r>
      <w:r>
        <w:t xml:space="preserve"> Consensus and legitimation in global AI regulations: a sociosemiotic perspective — https://doi.org/10.1017/s1744552326100469</w:t>
      </w:r>
    </w:p>
    <w:p>
      <w:pPr/>
      <w:r>
        <w:rPr>
          <w:b/>
        </w:rPr>
        <w:t>Shared claim-specific concepts:</w:t>
      </w:r>
      <w:r>
        <w:t xml:space="preserve"> consensus, systems; EU scope not established. This is a provisional connection, not an outcome finding.</w:t>
      </w:r>
    </w:p>
    <w:p>
      <w:pPr>
        <w:pStyle w:val="SourceNote"/>
      </w:pPr>
      <w:r>
        <w:rPr>
          <w:b/>
        </w:rPr>
        <w:t>Available abstract (not full text):</w:t>
      </w:r>
      <w:r>
        <w:t xml:space="preserve"> Abstract This paper adopts a sociosemiotic perspective to examine how normative consensus and legitimacy are constructed in global artificial intelligence (AI) governance discourse. Drawing on a corpus of forty-seven international normative documents, the study identifies an emerging cross-textual consensus around three core principles – Safety, Human-centric and Fairness – and analyses how these are semiotically encoded. The findings reveal tensions between state and non-state actors, and between semiotic agreement and practical implementation. For instance, ‘Safety’ is often framed through securitisation discourse, while ‘Human-centric’ is increasingly grounded in international human rights frameworks. The study further shows that discursive strategies such as nominalisation help establish surface-level consensus but introduce ambiguity that undermines enforceability. By conceptualising governance texts as dynamic semiotic systems, this research moves beyond the hard law–soft law dichotomy, revealing global AI regulation as a contested arena of meaning-making. It offers a theoretical basis for advancing more inclusive and operational governance models.</w:t>
      </w:r>
    </w:p>
    <w:p>
      <w:pPr/>
      <w:r>
        <w:rPr>
          <w:b/>
        </w:rPr>
        <w:t>POSSIBLE 2026:</w:t>
      </w:r>
      <w:r>
        <w:t xml:space="preserve"> “Global South” and “Consensus” Voting System — https://doi.org/10.1007/978-981-92-0144-0_1</w:t>
      </w:r>
    </w:p>
    <w:p>
      <w:pPr/>
      <w:r>
        <w:rPr>
          <w:b/>
        </w:rPr>
        <w:t>Shared claim-specific concepts:</w:t>
      </w:r>
      <w:r>
        <w:t xml:space="preserve"> consensus, system;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Consensus in Effective Model Inference for Disordered Ising Systems — https://doi.org/10.48550/arxiv.2609.10731</w:t>
      </w:r>
    </w:p>
    <w:p>
      <w:pPr/>
      <w:r>
        <w:rPr>
          <w:b/>
        </w:rPr>
        <w:t>Shared claim-specific concepts:</w:t>
      </w:r>
      <w:r>
        <w:t xml:space="preserve"> consensus, system, systems, leading; EU scope not established. This is a provisional connection, not an outcome finding.</w:t>
      </w:r>
    </w:p>
    <w:p>
      <w:pPr>
        <w:pStyle w:val="SourceNote"/>
      </w:pPr>
      <w:r>
        <w:rPr>
          <w:b/>
        </w:rPr>
        <w:t>Available abstract (not full text):</w:t>
      </w:r>
      <w:r>
        <w:t xml:space="preserve"> When independent learners are trained on data from the same disordered system, finite and noisy samples can lead them to different descriptions of the underlying physics. We quantify the reproducibility of such descriptions through consensus, the degree of agreement among independently trained models. In a teacher-student framework on the two-dimensional random-bond Ising model, an ensemble of students each infers a single uniform effective coupling from a finite set of equilibrium configurations drawn from one quenched bond realization. Aggregating the inferred couplings across students and realizations yields the consensus distribution, whose width quantifies the agreement among learners. The variance of this distribution separates exactly into a finite-sampling contribution, bounded below by inverse of Fisher information, and a quenched-disorder contribution. Sum of these two variance is minimized near critical region, so the consensus width has a minimum near the pseudocritical temperature that sharpens with increasing disorder. The two minima arise from different mechanisms: the sampling term inherits the critical peak of the Fisher information, while the disorder term is temperature-independent at leading order and acquires its critical minimum only at fourth order in the disorder strength, through the covariance between the linear and cubic responses to the bond disorder</w:t>
      </w:r>
    </w:p>
    <w:p>
      <w:pPr/>
      <w:r>
        <w:rPr>
          <w:b/>
        </w:rPr>
        <w:t>POSSIBLE 2026:</w:t>
      </w:r>
      <w:r>
        <w:t xml:space="preserve"> Effect of Graph Gluing on Consensus in Networked Multi-Agent Systems — https://doi.org/10.48550/arxiv.2605.10558</w:t>
      </w:r>
    </w:p>
    <w:p>
      <w:pPr/>
      <w:r>
        <w:rPr>
          <w:b/>
        </w:rPr>
        <w:t>Shared claim-specific concepts:</w:t>
      </w:r>
      <w:r>
        <w:t xml:space="preserve"> consensus, system, many, systems; EU scope not established. This is a provisional connection, not an outcome finding.</w:t>
      </w:r>
    </w:p>
    <w:p>
      <w:pPr>
        <w:pStyle w:val="SourceNote"/>
      </w:pPr>
      <w:r>
        <w:rPr>
          <w:b/>
        </w:rPr>
        <w:t>Available abstract (not full text):</w:t>
      </w:r>
      <w:r>
        <w:t xml:space="preserve"> In this paper, the effects of graph gluing operations in networks of multi-agent systems and their impact on system performance are investigated. In many practical applications, multiple multi-agent subsystems must be interconnected through communication links to accomplish complex tasks, resulting in a larger communication network. Such interconnections modify the underlying graph topology and consequently affect the consensus behavior and convergence rate of the network. In particular, this paper examines both bridge gluing and interface gluing and analyzes how the number and structure of communication links between subsystems influence the Fiedler eigenvalue of the resulting graph. Since the Fiedler eigenvalue is directly related to the convergence rate of consensus dynamics, the proposed analysis establishes a clear relationship between interconnection strategies, algebraic connectivity, and system performance. The results provide theoretical insight into how different gluing mechanisms alter the spectral properties of the graph Laplacian and, in turn, the convergence characteristics of the networked multi-agent system. Simulation studies are presented to illustrate the theoretical findings and to validate the effectiveness of the proposed framework.</w:t>
      </w:r>
    </w:p>
    <w:p>
      <w:pPr/>
      <w:r>
        <w:rPr>
          <w:b/>
        </w:rPr>
        <w:t>POSSIBLE 2026:</w:t>
      </w:r>
      <w:r>
        <w:t xml:space="preserve"> How Global Peacebuilders Think: Policy Dialogue and System Change — https://openalex.org/W7139576235</w:t>
      </w:r>
    </w:p>
    <w:p>
      <w:pPr/>
      <w:r>
        <w:rPr>
          <w:b/>
        </w:rPr>
        <w:t>Shared claim-specific concepts:</w:t>
      </w:r>
      <w:r>
        <w:t xml:space="preserve"> consensus, system, pathways; EU scope not established. This is a provisional connection, not an outcome finding.</w:t>
      </w:r>
    </w:p>
    <w:p>
      <w:pPr>
        <w:pStyle w:val="SourceNote"/>
      </w:pPr>
      <w:r>
        <w:rPr>
          <w:b/>
        </w:rPr>
        <w:t>Available abstract (not full text):</w:t>
      </w:r>
      <w:r>
        <w:t xml:space="preserve"> The perspectives of global peacebuilders are under-examined, yet vital to understanding how global actors frame pathways to peace in conflict settings. Global peacebuilding actors – such as those engaged with United Nations and global peace consortiums - often play a critical role in bridging communication gaps between local, state, and international actors, yet bring their own set of assumptions to identifying the drivers of everyday peace in conflict-affected societies. This calls for innovative ways to clarify how global peacebuilders think about pathways to peace and conflict. We convened four groups of global peacebuilding experts, engaging them with a visual, participatory approach known as Fuzzy Cognitive Mapping. Each group engaged in focus group discussion and drew a ‘mental map’ representing their consensus on the variables of importance and perceived causal drivers of everyday peace. The four maps represent visual data amenable for thematic analysis and semi-quantitative comparison. Simulation models illustrate divergent perspectives among global experts on what drives conflict and everyday peace. Fuzzy Cognitive Mapping thus enables stakeholder groups to visualize their assumptions, identify points of consensus or disconnect, and compare perspectives. A lack of conceptual clarity – mapping peace and justice in ways that fail to be clear, cohesive, or even inclusive </w:t>
      </w:r>
    </w:p>
    <w:p>
      <w:pPr/>
      <w:r>
        <w:rPr>
          <w:b/>
        </w:rPr>
        <w:t>POSSIBLE 2025:</w:t>
      </w:r>
      <w:r>
        <w:t xml:space="preserve"> Global consensus on the management of melanin hyperpigmentation disorders — https://doi.org/10.1111/jdv.70185</w:t>
      </w:r>
    </w:p>
    <w:p>
      <w:pPr/>
      <w:r>
        <w:rPr>
          <w:b/>
        </w:rPr>
        <w:t>Shared claim-specific concepts:</w:t>
      </w:r>
      <w:r>
        <w:t xml:space="preserve"> consensus, systems, leading; EU scope visible. This is a provisional connection, not an outcome finding.</w:t>
      </w:r>
    </w:p>
    <w:p>
      <w:pPr>
        <w:pStyle w:val="SourceNote"/>
      </w:pPr>
      <w:r>
        <w:rPr>
          <w:b/>
        </w:rPr>
        <w:t>Available abstract (not full text):</w:t>
      </w:r>
      <w:r>
        <w:t xml:space="preserve"> Melanin hyperpigmentation disorders (MHD) are among the most prevalent dermatologic concerns globally, affecting individuals across all skin phototypes and geographies. Despite their widespread impact on quality of life-including stigmatization, anxiety and depression-comprehensive, unified and practical clinical guidelines are lacking. This global consensus project convened 10 leading dermatologists and pigmentary disorder experts from Africa, Asia, Europe and the Americas to develop an evidence-based, internationally applicable framework for the management of common MHD, including melasma, post-inflammatory hyperpigmentation, acquired dermal macular hyperpigmentation, periorbital hyperpigmentation, chronic hyperpigmentary photodamage, freckles/ephelides and hyperpigmentation of the folds. Based on a comprehensive literature review and a structured Delphi process, the expert panel formulated consensus statements and tailored treatment algorithms that account for skin type, photobiological behaviour, disease severity and regional access to therapies. Special emphasis was placed on the role of broad-spectrum photoprotection and the challenges of tinted sunscreen availability in diverse populations. Treatment options ranged from topical lightening agents and systemic therapies (e.g. oral tranexamic acid) to procedural interventions (e.g. chemical peels, lasers and IPL) stratified</w:t>
      </w:r>
    </w:p>
    <w:p>
      <w:pPr/>
      <w:r>
        <w:rPr>
          <w:b/>
        </w:rPr>
        <w:t>POSSIBLE 2025:</w:t>
      </w:r>
      <w:r>
        <w:t xml:space="preserve"> Global Consensus Recommendations for Metabolic Dysfunction-Associated Steatotic Liver Disease and Steatohepatitis — https://doi.org/10.1053/j.gastro.2025.02.044</w:t>
      </w:r>
    </w:p>
    <w:p>
      <w:pPr/>
      <w:r>
        <w:rPr>
          <w:b/>
        </w:rPr>
        <w:t>Shared claim-specific concepts:</w:t>
      </w:r>
      <w:r>
        <w:t xml:space="preserve"> there, consensus, however; EU scope not established. This is a provisional connection, not an outcome finding.</w:t>
      </w:r>
    </w:p>
    <w:p>
      <w:pPr>
        <w:pStyle w:val="SourceNote"/>
      </w:pPr>
      <w:r>
        <w:rPr>
          <w:b/>
        </w:rPr>
        <w:t>Available abstract (not full text):</w:t>
      </w:r>
      <w:r>
        <w:t xml:space="preserve"> BACKGROUND &amp; AIMS: Metabolic dysfunction-associated steatotic liver disease (MASLD) and steatohepatitis (MASH) are associated with adverse clinical outcomes, impaired health-related quality of life, and significant economic burden. The growing burden of MASLD and MASH has led to the publication of a large number of MASLD/MASH guidelines by national and international societies. However, important differences among the recommendations have created confusion, contributing to a low implementation rate and suboptimal management of MASLD and MASH. Creating a consensus recommendation has become more important since the approval of a selective agonist of thyroid hormone β receptor (resmetirom) for MASH treatment in the United States. We built a consensus among the most recently published recommendations for MASLD/MASH. METHODS: A comprehensive search for MASLD and MASH guidelines, guidance documents, or similar publications from January 2018 to January 2025 using PubMed, Embase, Web of Science, and society websites was conducted. Each selected document was assessed across 8 specific domains with 145 variables. Variables with &lt;50% concordance were used for the Delphi statement development. A supermajority threshold of 67% was set for statement acceptance. RESULTS: There were 61 documents published from 2018 through January 2025. Four rounds of Delphi were conducted: 46 statements were g</w:t>
      </w:r>
    </w:p>
    <w:p>
      <w:pPr/>
      <w:r>
        <w:rPr>
          <w:b/>
        </w:rPr>
        <w:t>POSSIBLE 2025:</w:t>
      </w:r>
      <w:r>
        <w:t xml:space="preserve"> Data driven inventory consensus control for a supply chain system with a design change — https://doi.org/10.61822/amcs-2025-0050</w:t>
      </w:r>
    </w:p>
    <w:p>
      <w:pPr/>
      <w:r>
        <w:rPr>
          <w:b/>
        </w:rPr>
        <w:t>Shared claim-specific concepts:</w:t>
      </w:r>
      <w:r>
        <w:t xml:space="preserve"> consensus, system, systems; EU scope not established. This is a provisional connection, not an outcome finding.</w:t>
      </w:r>
    </w:p>
    <w:p>
      <w:pPr>
        <w:pStyle w:val="SourceNote"/>
      </w:pPr>
      <w:r>
        <w:rPr>
          <w:b/>
        </w:rPr>
        <w:t>Available abstract (not full text):</w:t>
      </w:r>
      <w:r>
        <w:t xml:space="preserve"> The production and supply chain system is a complex nonlinear network comprising suppliers, manufacturers, distributors, retailers, and other entities. The collaborative evolution process for such a system is vitally important, especially when the system undergoes design changes. In this paper, the data-driven inventory consensus problem for production and supply chain systems is studied while considering design changes. Firstly, the production and supply chain system is modeled as a multi-agent one and the collaborative process of the production and supply chain is formulated as the system topology structure switching. Secondly, a digraph data-driven consensus control protocol is proposed to achieve inventory level consensus tracking with respect to a predefined reference trajectory in production and supply chain systems. Thirdly, when a design change occurs, the saturation function is introduced for the protocol design, which helps address the productivity limitation problem. Lastly, with the help of the contracting mapping principle, the convergence analysis is carried out, demonstrating the effectiveness of the proposed data-driven consensus approach through a numerical simulation example.</w:t>
      </w:r>
    </w:p>
    <w:p>
      <w:pPr/>
      <w:r>
        <w:rPr>
          <w:b/>
        </w:rPr>
        <w:t>POSSIBLE 2025:</w:t>
      </w:r>
      <w:r>
        <w:t xml:space="preserve"> Consensus of Fractional-Order Fuzzy Multiagent Systems: Exploring Impulsive Security Protocols — https://doi.org/10.1109/tcns.2025.3543754</w:t>
      </w:r>
    </w:p>
    <w:p>
      <w:pPr/>
      <w:r>
        <w:rPr>
          <w:b/>
        </w:rPr>
        <w:t>Shared claim-specific concepts:</w:t>
      </w:r>
      <w:r>
        <w:t xml:space="preserve"> consensus, system, systems; EU scope not established. This is a provisional connection, not an outcome finding.</w:t>
      </w:r>
    </w:p>
    <w:p>
      <w:pPr>
        <w:pStyle w:val="SourceNote"/>
      </w:pPr>
      <w:r>
        <w:rPr>
          <w:b/>
        </w:rPr>
        <w:t>Available abstract (not full text):</w:t>
      </w:r>
      <w:r>
        <w:t xml:space="preserve"> This article investigates impulsive security protocols with the goal of achieving consensus of fractional-order fuzzy multiagent systems (FOFMASs). In contrast to multiagent systems characterized by ordinary differential equations, FOFMASs are created using Takagi–Sugeno fuzzy rules and fractional-order differential equations, which allow for nonlinearities with parameter uncertainties and also manage memory effects. Due to the potential of denial-of-service (DoS) attacks, the topology among nodes may change, and it is necessary to gain insight into the security consensus under topology switching. This article tackles the security protocol problem by designing a distributed impulsive control for each agent, relying on global delayed communications and topology switching resulting from DoS attacks. Analyzing the stability of impulse-free error systems is a salient problem. Supported by the Lyapunov method and average impulsive interval method, for two cases of self-stabilization or instability of the error system in the absence of impulse, some sufficient conditions are presented to ensure the exponential consensus of FOFMASs under distributed impulsive control with communication delays. Besides, several corollaries are provided to guarantee the consensus under distributed impulsive control without communication delays. Finally, two numerical examples are provided, and some nume</w:t>
      </w:r>
    </w:p>
    <w:p>
      <w:pPr/>
      <w:r>
        <w:rPr>
          <w:b/>
        </w:rPr>
        <w:t>POSSIBLE 2025:</w:t>
      </w:r>
      <w:r>
        <w:t xml:space="preserve"> Consensus-Based Resilience Assurance for System of Systems — https://doi.org/10.1109/access.2025.3535519</w:t>
      </w:r>
    </w:p>
    <w:p>
      <w:pPr/>
      <w:r>
        <w:rPr>
          <w:b/>
        </w:rPr>
        <w:t>Shared claim-specific concepts:</w:t>
      </w:r>
      <w:r>
        <w:t xml:space="preserve"> consensus, system, systems, leading; EU scope not established. This is a provisional connection, not an outcome finding.</w:t>
      </w:r>
    </w:p>
    <w:p>
      <w:pPr>
        <w:pStyle w:val="SourceNote"/>
      </w:pPr>
      <w:r>
        <w:rPr>
          <w:b/>
        </w:rPr>
        <w:t>Available abstract (not full text):</w:t>
      </w:r>
      <w:r>
        <w:t xml:space="preserve"> The complexity of a System of Systems makes resilience one of its key attributes. Numerous studies have focused on the quantitative assessment of resilience by trailing indicators, yet discussions on resilience assurance through monitoring leading indicators remain scarce. Resilience assurance in SoS faces two major challenges: lack of structured argumentation work related to resilience and conflicts among multiple independent stakeholders. To address these challenges, this paper first introduces a resilience argumentation approach based on STAMP (Systems-Theoretic Accident Model and Processes), then employs cooperative consensus process model to seek consensus on resilience assurance. Additionally, under the requirements of the international standard IEC 62853 for open systems dependability, a consensus based resilience assurance framework is proposed. Within the framework, the resilient team can discuss the specific implementation details of failure response, accountability, and change accommodation based on stakeholder consensus. Finally, two SoS case studies, Microgrid and Mobility as a Service, are used to demonstrate the application of the proposed approach.</w:t>
      </w:r>
    </w:p>
    <w:p>
      <w:pPr>
        <w:pStyle w:val="Heading2"/>
      </w:pPr>
      <w:r>
        <w:t>526. European Union, transnational terrorism and the strategic choice of counterterrorism policies in democratic countries</w:t>
      </w:r>
    </w:p>
    <w:p>
      <w:pPr>
        <w:pStyle w:val="SourceNote"/>
      </w:pPr>
      <w:r>
        <w:rPr>
          <w:b/>
        </w:rPr>
        <w:t>Original source (2022):</w:t>
      </w:r>
      <w:r>
        <w:t xml:space="preserve"> https://doi.org/10.1177/14651165221120370</w:t>
      </w:r>
    </w:p>
    <w:p>
      <w:pPr/>
      <w:r>
        <w:t>Original wording (abstract; indexed_source_text_not_full_document_verified): This article highlights the combined effect of voter propensity towards defensive policies, certain intelligence policies and different institutional scenarios on the (in)efficient strategic choice of counterterrorism defensive policies in democratic countries, where efficiency means maximising the joint welfare of countries.</w:t>
      </w:r>
    </w:p>
    <w:p>
      <w:pPr/>
      <w:r>
        <w:rPr>
          <w:b/>
        </w:rPr>
        <w:t>POSSIBLE 2026:</w:t>
      </w:r>
      <w:r>
        <w:t xml:space="preserve"> Migrations and Shrinking Rural Areas in Europe: The Influence of Media Narratives in the Public Discourse — https://doi.org/10.1111/soru.70052</w:t>
      </w:r>
    </w:p>
    <w:p>
      <w:pPr/>
      <w:r>
        <w:rPr>
          <w:b/>
        </w:rPr>
        <w:t>Shared claim-specific concepts:</w:t>
      </w:r>
      <w:r>
        <w:t xml:space="preserve"> article, different, countries; EU scope visible. This is a provisional connection, not an outcome finding.</w:t>
      </w:r>
    </w:p>
    <w:p>
      <w:pPr>
        <w:pStyle w:val="SourceNote"/>
      </w:pPr>
      <w:r>
        <w:rPr>
          <w:b/>
        </w:rPr>
        <w:t>Available abstract (not full text):</w:t>
      </w:r>
      <w:r>
        <w:t xml:space="preserve"> ABSTRACT European shrinking rural areas have played an increasingly significant role over the last decade in hosting both voluntary and forced migration. Despite the structural nature of this phenomenon, media and political narratives frequently frame migration primarily through an emergency perspective. This article investigates how the relationship between migration and shrinking rural areas is represented in mainstream media across different European contexts. The analysis is based on qualitative data collected within the European Horizon 2020 project Welcoming Spaces , combining qualitative content analysis and frame analysis of media coverage in five countries (Italy, Germany, Spain, the Netherlands and Poland). The findings show that reception initiatives and welcoming practices in shrinking rural areas remain largely marginal in national media debates, despite their growing relevance in local contexts. At the same time, local media and community actors occasionally promote alternative narratives that link migration to processes of territorial regeneration and social innovation. By highlighting the asymmetry between the high visibility of migration as a political issue and the limited visibility of local reception practices, the article contributes to a better understanding of how media narratives shape public perceptions of migration and rural transformation in Europe.</w:t>
      </w:r>
    </w:p>
    <w:p>
      <w:pPr/>
      <w:r>
        <w:rPr>
          <w:b/>
        </w:rPr>
        <w:t>POSSIBLE 2026:</w:t>
      </w:r>
      <w:r>
        <w:t xml:space="preserve"> The Role of the European Union and the Council of Europe in Promoting Democracy: The Case of the South Caucasus States — https://doi.org/10.54503/2579-2903-2026.1-183</w:t>
      </w:r>
    </w:p>
    <w:p>
      <w:pPr/>
      <w:r>
        <w:rPr>
          <w:b/>
        </w:rPr>
        <w:t>Shared claim-specific concepts:</w:t>
      </w:r>
      <w:r>
        <w:t xml:space="preserve"> article, highlights, combined, institutional, democratic; EU scope visible. This is a provisional connection, not an outcome finding.</w:t>
      </w:r>
    </w:p>
    <w:p>
      <w:pPr>
        <w:pStyle w:val="SourceNote"/>
      </w:pPr>
      <w:r>
        <w:rPr>
          <w:b/>
        </w:rPr>
        <w:t>Available abstract (not full text):</w:t>
      </w:r>
      <w:r>
        <w:t xml:space="preserve"> The article explores the role and significance of international organisations in the democratisation of the South Caucasus, focusing on the European Union (EU) and the Council of Europe (CoE) as key actors in the democratisation processes in Armenia, Georgia, and Azerbaijan. The research highlights that while external actors provide important incentives and frameworks, the sustainability of democracy ultimately depends on domestic political commitment and institutional resilience. Despite some democratic backsliding in Georgia and Azerbaijan’s ongoing authoritarianism, there are genuine aspirations for democratisation in Armenia, indicating that external incentives can be effective when combined with society's willingness and readiness, and the real will of political authorities.</w:t>
      </w:r>
    </w:p>
    <w:p>
      <w:pPr/>
      <w:r>
        <w:rPr>
          <w:b/>
        </w:rPr>
        <w:t>POSSIBLE 2026:</w:t>
      </w:r>
      <w:r>
        <w:t xml:space="preserve"> Pragmatisation of Right-Wing Populists (The Case of “Patriots for Europe” Group in the European Parliament) — https://doi.org/10.20542/0131-2227-2026-70-6-42-51</w:t>
      </w:r>
    </w:p>
    <w:p>
      <w:pPr/>
      <w:r>
        <w:rPr>
          <w:b/>
        </w:rPr>
        <w:t>Shared claim-specific concepts:</w:t>
      </w:r>
      <w:r>
        <w:t xml:space="preserve"> article, highlights, institutional; EU scope visible. This is a provisional connection, not an outcome finding.</w:t>
      </w:r>
    </w:p>
    <w:p>
      <w:pPr>
        <w:pStyle w:val="SourceNote"/>
      </w:pPr>
      <w:r>
        <w:rPr>
          <w:b/>
        </w:rPr>
        <w:t>Available abstract (not full text):</w:t>
      </w:r>
      <w:r>
        <w:t xml:space="preserve"> The article explores the phenomenon of the pragmatisation of right-wing populist movements through the case study of the “Patriots for Europe” (PfE) group in the European Parliament. Based on discourse analysis, parliamentary materials, and official communications of national parties, the research conceptualizes the Group as a new stage in the institutional evolution of European right-wing populism. Unlike earlier Eurosceptic coalitions, which were often shortlived and leader-centric, PfE operates as a structured and networked alliance that merges ideological sovereignty with pragmatic participation in the EU’s political and legislative mechanisms. The analysis highlights several key dimensions of the Group’s activity. In the sphere of migration and border control, “Patriots for Europe” advocate a model of “sovereign responsibility”, emphasizing the restoration of member-state competences and a coordinated but non-hierarchical role for European Union agencies such as Frontex. In environmental and industrial policy, the Group frames its opposition to the European Green Deal not as climate denialism but as a defense of economic fairness, energy autonomy, and the competitiveness of European agriculture and manufacturing. Institutionally, PfE has developed flexible internal coordination procedures that combine consensus-based decision-making with selective opt-outs for national del</w:t>
      </w:r>
    </w:p>
    <w:p>
      <w:pPr/>
      <w:r>
        <w:rPr>
          <w:b/>
        </w:rPr>
        <w:t>POSSIBLE 2026:</w:t>
      </w:r>
      <w:r>
        <w:t xml:space="preserve"> Cultural diplomacy and economic cooperation in Europe — https://doi.org/10.59295/dnwe2025.42</w:t>
      </w:r>
    </w:p>
    <w:p>
      <w:pPr/>
      <w:r>
        <w:rPr>
          <w:b/>
        </w:rPr>
        <w:t>Shared claim-specific concepts:</w:t>
      </w:r>
      <w:r>
        <w:t xml:space="preserve"> article, highlights, policies, strategic; EU scope visible. This is a provisional connection, not an outcome finding.</w:t>
      </w:r>
    </w:p>
    <w:p>
      <w:pPr>
        <w:pStyle w:val="SourceNote"/>
      </w:pPr>
      <w:r>
        <w:rPr>
          <w:b/>
        </w:rPr>
        <w:t>Available abstract (not full text):</w:t>
      </w:r>
      <w:r>
        <w:t xml:space="preserve"> Purpose of the article: The article aims to analyze the role of cultural diplomacy as a strategic instrument for promoting economic cooperation among European nations. It explores how shared cultural values, heritage, and dialogue can enhance mutual trust, attract investment, and stimulate cross-border partnerships. The study highlights the growing relevance of cultural diplomacy in strengthening the European integration process through both symbolic and practical contributions to sustainable economic collaboration. Methodology: The research applies a qualitative and comparative approach, combining documentary analysis of European policy frameworks, bilateral cooperation agreements, and transnational programs. It also examines academic literature on cultural diplomacy, international relations, and economic integration to assess how cultural initiatives complement traditional economic diplomacy. Conclusions: The findings indicate that cultural diplomacy supports economic development by fostering soft power, building trust, and facilitating long-term partnerships. However, its effectiveness depends on coherent coordination between cultural and economic policies, transparency in implementation, and the equitable participation of all member states. Originality: The originality of the article lies in its interdisciplinary perspective linking culture and economics within the framewor</w:t>
      </w:r>
    </w:p>
    <w:p>
      <w:pPr/>
      <w:r>
        <w:rPr>
          <w:b/>
        </w:rPr>
        <w:t>POSSIBLE 2026:</w:t>
      </w:r>
      <w:r>
        <w:t xml:space="preserve"> The impacts of scandal-based coalition terminations on voters — https://doi.org/10.1017/s1475676526101194</w:t>
      </w:r>
    </w:p>
    <w:p>
      <w:pPr/>
      <w:r>
        <w:rPr>
          <w:b/>
        </w:rPr>
        <w:t>Shared claim-specific concepts:</w:t>
      </w:r>
      <w:r>
        <w:t xml:space="preserve"> voter, propensity, democratic, countries; EU scope visible. This is a provisional connection, not an outcome finding.</w:t>
      </w:r>
    </w:p>
    <w:p>
      <w:pPr>
        <w:pStyle w:val="SourceNote"/>
      </w:pPr>
      <w:r>
        <w:rPr>
          <w:b/>
        </w:rPr>
        <w:t>Available abstract (not full text):</w:t>
      </w:r>
      <w:r>
        <w:t xml:space="preserve"> Abstract In established democracies, governing parties are expected to govern effectively. Government terminations that result from breaking the rule of law, policy blunders, or disastrous policy performances have the potential to damage voters’ perceptions of how well democracy functions in their countries. Yet, current research on coalition politics has not examined the specific consequences of scandal-based government terminations on voters’ attitudes toward politics and the quality of democracy. We analyze the attitudinal impacts of scandal-based government terminations and argue that this type of termination reduces citizens’ satisfaction with the way democracy functions in their countries and their propensity to vote for the party responsible for the scandal. We also examine whether scandal-based coalition terminations negatively impact voter perceptions of the government’s performance. We test our arguments by relying on a recent scandal that took place in Austria: the so-called Ibiza scandal, which caused the early termination of the coalition between the Austrian People’s Party (ÖVP) and the Austrian Freedom Party (FPÖ). At the time the scandal broke, the Austrian National Election Study was in the field. We utilize an Unexpected Event during Survey Design to test if the scandal had consequences for voters’ perceptions of the parties and their collaboration. The suppor</w:t>
      </w:r>
    </w:p>
    <w:p>
      <w:pPr/>
      <w:r>
        <w:rPr>
          <w:b/>
        </w:rPr>
        <w:t>POSSIBLE 2026:</w:t>
      </w:r>
      <w:r>
        <w:t xml:space="preserve"> Generational replacement and voter turnout in Japan — https://doi.org/10.1016/j.electstud.2026.103086</w:t>
      </w:r>
    </w:p>
    <w:p>
      <w:pPr/>
      <w:r>
        <w:rPr>
          <w:b/>
        </w:rPr>
        <w:t>Shared claim-specific concepts:</w:t>
      </w:r>
      <w:r>
        <w:t xml:space="preserve"> combined, voter, different; EU scope not established. This is a provisional connection, not an outcome finding.</w:t>
      </w:r>
    </w:p>
    <w:p>
      <w:pPr>
        <w:pStyle w:val="SourceNote"/>
      </w:pPr>
      <w:r>
        <w:rPr>
          <w:b/>
        </w:rPr>
        <w:t>Available abstract (not full text):</w:t>
      </w:r>
      <w:r>
        <w:t xml:space="preserve"> A large body of research shows that generational replacement has contributed to long-term declines in voter turnout by combining cohort-specific participation patterns with changes in population composition. This research note uses a different approach to understand how high turnout would be in a given election if entering cohorts voted as actively as the cohorts they replaced, conditional on age and electoral context. Using age-by-election official turnout data from Japan, we propose an approach that estimates cohort-specific turnout functions varying across both the life course and elections using Generalized Additive Models. These estimates are combined with observed demographic change to construct age-matched, election-conditioned counterfactual turnout rates for individual elections. The results show that generational turnout gaps in Japan are large but not constant. They vary systematically by age and election year. Accounting for this variation yields more precise assessments of the electoral impact of generational replacement and indicates that cohort differences explain a substantial share of Japan’s recent turnout decline. The findings underscore the value of modelling generational effects dynamically when evaluating turnout change in aging democracies.</w:t>
      </w:r>
    </w:p>
    <w:p>
      <w:pPr/>
      <w:r>
        <w:rPr>
          <w:b/>
        </w:rPr>
        <w:t>POSSIBLE 2026:</w:t>
      </w:r>
      <w:r>
        <w:t xml:space="preserve"> Resilience in Post-Truth and Post-Digital European Union: Youth-Led Civil Society Organisations in the 2024 European Elections — https://doi.org/10.1285/i20356609v19i1p94</w:t>
      </w:r>
    </w:p>
    <w:p>
      <w:pPr/>
      <w:r>
        <w:rPr>
          <w:b/>
        </w:rPr>
        <w:t>Shared claim-specific concepts:</w:t>
      </w:r>
      <w:r>
        <w:t xml:space="preserve"> article, highlights, institutional, democratic; EU scope visible. This is a provisional connection, not an outcome finding.</w:t>
      </w:r>
    </w:p>
    <w:p>
      <w:pPr>
        <w:pStyle w:val="SourceNote"/>
      </w:pPr>
      <w:r>
        <w:rPr>
          <w:b/>
        </w:rPr>
        <w:t>Available abstract (not full text):</w:t>
      </w:r>
      <w:r>
        <w:t xml:space="preserve"> In an era marked by epistemic instability, algorithmic disruption and institutional disaffection, the European Union faces a deepening crisis of communicative legitimacy. This article investigates the role of youth-led civil society organizations (CSOs) as agents of communicative resilience within the evolving landscape of European public institutional communication, focusing on the 2024 European Parliament elections. Drawing on 35 qualitative interviews with CSO representatives involved in the Use Your Vote institutional communication campaign, the study examines how these actors operate simultaneously as actors of disintermediation and multipliers of EU messaging. Through localized, participatory and pedagogical practices, youth-led CSOs rearticulate abstract institutional narratives into context-sensitive forms of civic engagement, countering information disorder and reconnecting citizens—especially in peripheral territories—with the European project. The research highlights how these organizations combine digital tools with offline presence and non-formal education to foster trust, critical awareness and democratic participation. It further explores emerging tensions surrounding the use of generative AI in civic communication, calling for a reflexive and situated approach to digital innovation. Ultimately, the article contends that strengthening communicative resilience in </w:t>
      </w:r>
    </w:p>
    <w:p>
      <w:pPr/>
      <w:r>
        <w:rPr>
          <w:b/>
        </w:rPr>
        <w:t>POSSIBLE 2026:</w:t>
      </w:r>
      <w:r>
        <w:t xml:space="preserve"> The ‘Uneven and combined development’ of elderly care in Central and South-East Europe — https://doi.org/10.17356/ieejsp.v11i4.1414</w:t>
      </w:r>
    </w:p>
    <w:p>
      <w:pPr/>
      <w:r>
        <w:rPr>
          <w:b/>
        </w:rPr>
        <w:t>Shared claim-specific concepts:</w:t>
      </w:r>
      <w:r>
        <w:t xml:space="preserve"> article, combined, effect, countries; EU scope visible. This is a provisional connection, not an outcome finding.</w:t>
      </w:r>
    </w:p>
    <w:p>
      <w:pPr>
        <w:pStyle w:val="SourceNote"/>
      </w:pPr>
      <w:r>
        <w:rPr>
          <w:b/>
        </w:rPr>
        <w:t>Available abstract (not full text):</w:t>
      </w:r>
      <w:r>
        <w:t xml:space="preserve"> The article examines the development dynamics of elderly care in countries along the core–semi-periphery–periphery axis. The geographical scope of the study is framed by international migration flows, focusing on four countries in Central and South-East Europe: Bosnia and Herzegovina, Slovenia, Austria, and Germany. The article demonstrates that, although their development trajectories vary, these countries together exemplify what Trotsky termed ‘uneven and combined development’. In addition to the analytical study, we use two variables (from Eurostat and the World Bank) to illustrate how the social economies of core, semi-periphery, and periphery countries are related. The two variables indicate that, while the relative differences between the countries are decreasing, the absolute differences are increasing. The ‘snowball effect’ helps explain the region’s uneven and combined development, in which inefficient and wasteful social economies – particularly in the core countries – play a role in addition to economic disparities between countries.</w:t>
      </w:r>
    </w:p>
    <w:p>
      <w:pPr/>
      <w:r>
        <w:rPr>
          <w:b/>
        </w:rPr>
        <w:t>POSSIBLE 2026:</w:t>
      </w:r>
      <w:r>
        <w:t xml:space="preserve"> Parties’ responsiveness to voters’ positions in a direct democratic setting — https://doi.org/10.1017/s1475676526101030</w:t>
      </w:r>
    </w:p>
    <w:p>
      <w:pPr/>
      <w:r>
        <w:rPr>
          <w:b/>
        </w:rPr>
        <w:t>Shared claim-specific concepts:</w:t>
      </w:r>
      <w:r>
        <w:t xml:space="preserve"> voter, different, democratic; EU scope not established. This is a provisional connection, not an outcome finding.</w:t>
      </w:r>
    </w:p>
    <w:p>
      <w:pPr>
        <w:pStyle w:val="SourceNote"/>
      </w:pPr>
      <w:r>
        <w:rPr>
          <w:b/>
        </w:rPr>
        <w:t>Available abstract (not full text):</w:t>
      </w:r>
      <w:r>
        <w:t xml:space="preserve"> Abstract The responsiveness of political parties to voters’ policy preferences is a core feature of democracies. A growing number of studies analyze this phenomenon, but key obstacles remain, such as the availability of reliable measures and the infrequency of these measures (election periods). As a consequence, the literature remains vague in theorizing and analyzing instances where the preferences of the median voter clash with those of the party electorate. By studying party responsiveness in a different setting, this paper advances the literature on these fronts: we focus on the Swiss political context, where the frequent use of direct democratic institutions enables us to evaluate the dynamic responsiveness of political parties with several observations per year for a large variety of topics. The paper uses a Bayesian item response theory model to operationalize the general ideological position of ballot proposals and uses them to evaluate parties’ responsiveness to the median voter and party voter. Our results confirm the most recent literature that political parties are responsive to their own electorates’ position shift but not the median voter. Furthermore, we show that, in situations where the signal from the general electorate and the party voters disagree, parties value the party voter more, thus giving even more weight to their partisan electorate. These findings h</w:t>
      </w:r>
    </w:p>
    <w:p>
      <w:pPr/>
      <w:r>
        <w:rPr>
          <w:b/>
        </w:rPr>
        <w:t>POSSIBLE 2025:</w:t>
      </w:r>
      <w:r>
        <w:t xml:space="preserve"> Parliamentarism - conceptual basis of european constitutionalism — https://doi.org/10.59295/stctce2025.15</w:t>
      </w:r>
    </w:p>
    <w:p>
      <w:pPr/>
      <w:r>
        <w:rPr>
          <w:b/>
        </w:rPr>
        <w:t>Shared claim-specific concepts:</w:t>
      </w:r>
      <w:r>
        <w:t xml:space="preserve"> article, institutional, democratic; EU scope visible. This is a provisional connection, not an outcome finding.</w:t>
      </w:r>
    </w:p>
    <w:p>
      <w:pPr>
        <w:pStyle w:val="SourceNote"/>
      </w:pPr>
      <w:r>
        <w:rPr>
          <w:b/>
        </w:rPr>
        <w:t>Available abstract (not full text):</w:t>
      </w:r>
      <w:r>
        <w:t xml:space="preserve"> Parliamentarism represents one of the most significant institutional innovations in Europe's political history, playing a fundamental role in the development of European constitutionalism. This form of political organization combines the principle of representativeness with the separation of powers, providing a framework for democratic governance and the protection of citizens' rights. European constitutionalism, rooted in the supremacy of the constitution and the protection of fundamental rights, has been deeply influenced by the evolution of parliamentary institutions. The aim of this article is to explore how parliamentarism has contributed to the consolidation of European constitutionalism by examining its origins, fundamental principles, and contemporary challenges. We will analyse the relationship between these two concepts, highlighting the essential role of parliamentary institutions in advancing the rule of law and creating a political framework based on accountability and transparency.</w:t>
      </w:r>
    </w:p>
    <w:p>
      <w:pPr/>
      <w:r>
        <w:rPr>
          <w:b/>
        </w:rPr>
        <w:t>POSSIBLE 2025:</w:t>
      </w:r>
      <w:r>
        <w:t xml:space="preserve"> ERS Congress 2024: highlights from the Allied Respiratory Professionals Assembly — https://doi.org/10.1183/23120541.01145-2024</w:t>
      </w:r>
    </w:p>
    <w:p>
      <w:pPr/>
      <w:r>
        <w:rPr>
          <w:b/>
        </w:rPr>
        <w:t>Shared claim-specific concepts:</w:t>
      </w:r>
      <w:r>
        <w:t xml:space="preserve"> article, highlights, intelligence, different; EU scope visible. This is a provisional connection, not an outcome finding.</w:t>
      </w:r>
    </w:p>
    <w:p>
      <w:pPr>
        <w:pStyle w:val="SourceNote"/>
      </w:pPr>
      <w:r>
        <w:rPr>
          <w:b/>
        </w:rPr>
        <w:t>Available abstract (not full text):</w:t>
      </w:r>
      <w:r>
        <w:t xml:space="preserve"> Extract This article presents the highlights of the 2024 European Respiratory Society (ERS) Congress as experienced by the early career allied respiratory professionals (Assembly 9) across the different groups. These highlights are grouped under the themes of 1) digital health and artificial intelligence (AI), 2) self-management, and 3) use of race and ethnicity in pulmonary function testing. The themes were selected by the early career members based on their novelty and attention during the congress. We combine highlights from symposia with novel findings presented in abstract presentations. The theme of the ERS Congress 2024 was “Humans and machines: getting the balance right”.</w:t>
      </w:r>
    </w:p>
    <w:p>
      <w:pPr/>
      <w:r>
        <w:rPr>
          <w:b/>
        </w:rPr>
        <w:t>POSSIBLE 2025:</w:t>
      </w:r>
      <w:r>
        <w:t xml:space="preserve"> The Principle of Good Administration in European Administrative Law and Its Influence on Romania — https://doi.org/10.62768/plpa/2025/14/4/06</w:t>
      </w:r>
    </w:p>
    <w:p>
      <w:pPr/>
      <w:r>
        <w:rPr>
          <w:b/>
        </w:rPr>
        <w:t>Shared claim-specific concepts:</w:t>
      </w:r>
      <w:r>
        <w:t xml:space="preserve"> article, highlights, combined; EU scope visible. This is a provisional connection, not an outcome finding.</w:t>
      </w:r>
    </w:p>
    <w:p>
      <w:pPr>
        <w:pStyle w:val="SourceNote"/>
      </w:pPr>
      <w:r>
        <w:rPr>
          <w:b/>
        </w:rPr>
        <w:t>Available abstract (not full text):</w:t>
      </w:r>
      <w:r>
        <w:t xml:space="preserve"> This paper analyses the principle of good administration as the foundation of European administrative law and its influence on the evolution of public administration in Romania. Based on the case law of the Court of Justice of the European Union, the article examines how this principle has been consolidated as a general standard of legality and fairness in the work of administrative authorities. The study highlights the convergence between European Union law and Romanian administrative law, in particular through the Administrative Code and the Administrative Litigation Law No. 554/2004, which enshrines the right of individuals to transparent, impartial and fair administration. At the same time, the implications of European standards on transparency, public ethics and administrative cooperation between Member States are analysed, with a focus on sensitive areas such as taxation and environmental protection. The article highlights the importance of effective legal protection against administrative abuse and of guaranteeing the right to a fair trial, in accordance with the combined case law of the CJEU and the ECHR. The conclusions point to the ongoing need to adapt Romanian administrative law to the requirements of good European administration, as a prerequisite for strengthening the rule of law and citizens' trust in public institutions.</w:t>
      </w:r>
    </w:p>
    <w:p>
      <w:pPr>
        <w:pStyle w:val="Heading2"/>
      </w:pPr>
      <w:r>
        <w:t>527. FRESHER: Challenges and opportunities for building Health/Healthy futures</w:t>
      </w:r>
    </w:p>
    <w:p>
      <w:pPr>
        <w:pStyle w:val="SourceNote"/>
      </w:pPr>
      <w:r>
        <w:rPr>
          <w:b/>
        </w:rPr>
        <w:t>Original source (2022):</w:t>
      </w:r>
      <w:r>
        <w:t xml:space="preserve"> https://doi.org/10.1093/eurpub/ckac129.121</w:t>
      </w:r>
    </w:p>
    <w:p>
      <w:pPr/>
      <w:r>
        <w:t>Original wording (abstract; indexed_source_text_not_full_document_verified): Results In the Scenario Building phase, the combination of different evolutions of the selected trends resulted in four alternative futures: a Business as Usual Scenario, “The rich get healthier”, two response Scenarios, “We will Health you” and “Healthy together”, and a worst case Scenario “Desolation Health”. The scenarios imagine different futures and depict how health would subsequently change in such worlds.</w:t>
      </w:r>
    </w:p>
    <w:p>
      <w:pPr/>
      <w:r>
        <w:rPr>
          <w:b/>
        </w:rPr>
        <w:t>POSSIBLE 2026:</w:t>
      </w:r>
      <w:r>
        <w:t xml:space="preserve"> Techno-economic evaluation of an elastic composite phase change material for building envelopes — https://doi.org/10.1016/j.tsep.2026.104727</w:t>
      </w:r>
    </w:p>
    <w:p>
      <w:pPr/>
      <w:r>
        <w:rPr>
          <w:b/>
        </w:rPr>
        <w:t>Shared claim-specific concepts:</w:t>
      </w:r>
      <w:r>
        <w:t xml:space="preserve"> building, phase, combination; EU scope not established. This is a provisional connection, not an outcome finding.</w:t>
      </w:r>
    </w:p>
    <w:p>
      <w:pPr>
        <w:pStyle w:val="SourceNote"/>
      </w:pPr>
      <w:r>
        <w:rPr>
          <w:b/>
        </w:rPr>
        <w:t>Available abstract (not full text):</w:t>
      </w:r>
      <w:r>
        <w:t xml:space="preserve"> This work developed an elastic form-stable composite phase change material (PCM) using RT 28 as organic PCMs and styrene-ethylene-butylene-styrene copolymer (SEBS) as the supporting matrix for building energy efficiency applications. Comprehensive characterization via SEM and FT-IR confirmed a physical combination between RT 28 and SEBS without chemical reaction or new compound formation. The DSC test results indicated that the phase change temperature and latent heat of composite PCMs were 25.1°C and 178.2 J/g, respectively. The TGA analysis demonstrated that the thermal stability of composite PCMs was improved compared to pure RT 28. After 200 thermal cycles, composite PCMs retained stable phase change properties. The thermal performance of composite PCMs incorporated into building envelopes was systematically evaluated through numerical simulations across five distinct climate regions. The results showed that PCM panels integrated into building envelopes reduced indoor temperature fluctuations in non-air-conditioned buildings and lowered HVAC energy consumption in air-conditioned buildings. It is worth mentioning that excessive PCM panel thickness increased energy consumption in mild climates (such as Kunming). The economic analysis revealed payback periods ranging from 18.0 years (Harbin) to 599.8 years (Kunming), confirming economic feasibility in severe cold regions. Over</w:t>
      </w:r>
    </w:p>
    <w:p>
      <w:pPr/>
      <w:r>
        <w:rPr>
          <w:b/>
        </w:rPr>
        <w:t>POSSIBLE 2026:</w:t>
      </w:r>
      <w:r>
        <w:t xml:space="preserve"> Evolution of the School Building Network in Portugal in the First Decade of the New Millennium — https://doi.org/10.31637/epsir-2026-2713</w:t>
      </w:r>
    </w:p>
    <w:p>
      <w:pPr/>
      <w:r>
        <w:rPr>
          <w:b/>
        </w:rPr>
        <w:t>Shared claim-specific concepts:</w:t>
      </w:r>
      <w:r>
        <w:t xml:space="preserve"> building, different, two; EU scope visible. This is a provisional connection, not an outcome finding.</w:t>
      </w:r>
    </w:p>
    <w:p>
      <w:pPr>
        <w:pStyle w:val="SourceNote"/>
      </w:pPr>
      <w:r>
        <w:rPr>
          <w:b/>
        </w:rPr>
        <w:t>Available abstract (not full text):</w:t>
      </w:r>
      <w:r>
        <w:t xml:space="preserve"> Introduction: The network of non-higher education has evolved in a very peculiar way over the decades in Portugal. The 21st century has been marked by the growth of competitive logic, which also affects the education sector. Even so, this evolution is reflected in different ways in each contexts. Methodology: The research adopted a descriptive quantitative approach, based on statistical data, focused on two regions of Portugal — Coimbra Region and Lisbon Metropolitan Area —, allowing a comparassion from 1999/2000 to 2009/2010. Results: The evolution of non-higher education establishments varies greatly between the two regions under study, although in the country as a whole, private provision has increased and public and total provision has decreased. Discussion: The study provides an interesting and objective analysis of the issue, that should considere a set of considerations, including the evolution of arts and specialized education and vocational education—which were particularly relevant during the period under study—and the emergence of new elements that reinforce the logic of competitiveness in schools, such as the rankings implemented in Portugal since 2001. Conclusions: The different needs of the education system reflect a varied evolution, highlighting territorial asymmetries in the country under study.</w:t>
      </w:r>
    </w:p>
    <w:p>
      <w:pPr/>
      <w:r>
        <w:rPr>
          <w:b/>
        </w:rPr>
        <w:t>POSSIBLE 2025:</w:t>
      </w:r>
      <w:r>
        <w:t xml:space="preserve"> Documenting different building phases of a medieval chapel through GPR and image-based modelling — https://doi.org/10.4000/14ns9</w:t>
      </w:r>
    </w:p>
    <w:p>
      <w:pPr/>
      <w:r>
        <w:rPr>
          <w:b/>
        </w:rPr>
        <w:t>Shared claim-specific concepts:</w:t>
      </w:r>
      <w:r>
        <w:t xml:space="preserve"> building, combination, different; EU scope not established. This is a provisional connection, not an outcome finding.</w:t>
      </w:r>
    </w:p>
    <w:p>
      <w:pPr>
        <w:pStyle w:val="SourceNote"/>
      </w:pPr>
      <w:r>
        <w:rPr>
          <w:b/>
        </w:rPr>
        <w:t>Available abstract (not full text):</w:t>
      </w:r>
      <w:r>
        <w:t xml:space="preserve"> Non-destructive discrimination of building phases, Combination of GPR and image-based modelling, Detection of unknown layout of older chapel</w:t>
      </w:r>
    </w:p>
    <w:p>
      <w:pPr/>
      <w:r>
        <w:rPr>
          <w:b/>
        </w:rPr>
        <w:t>POSSIBLE 2025:</w:t>
      </w:r>
      <w:r>
        <w:t xml:space="preserve"> Optimising phase change materials for ventilated building components in sustainable building design: a comprehensive review — https://doi.org/10.1016/j.enbuild.2025.115947</w:t>
      </w:r>
    </w:p>
    <w:p>
      <w:pPr/>
      <w:r>
        <w:rPr>
          <w:b/>
        </w:rPr>
        <w:t>Shared claim-specific concepts:</w:t>
      </w:r>
      <w:r>
        <w:t xml:space="preserve"> building, phase, combination; EU scope not established. This is a provisional connection, not an outcome finding.</w:t>
      </w:r>
    </w:p>
    <w:p>
      <w:pPr>
        <w:pStyle w:val="SourceNote"/>
      </w:pPr>
      <w:r>
        <w:rPr>
          <w:b/>
        </w:rPr>
        <w:t>Available abstract (not full text):</w:t>
      </w:r>
      <w:r>
        <w:t xml:space="preserve"> The rise in energy-efficient, sustainable building operations necessitates the development of advanced innovations that reduce heating and cooling demands while maintaining comfortable indoor thermal conditions. Phase change materials (PCMs) demonstrate significant potential as a stabilization mechanism through latent heat storage for managing residential indoor temperatures; however, their integration into systems requires further optimisation. This review examines PCM-assisted ventilation technologies—specifically ventilated façades, roofs, and windows—highlighting their energy performance, which ranges from 7.7 % to 32.8 %, and their capacity to reduce peak temperatures by 2.5 °C to 7.02 °C. These improvements are influenced by PCM thickness of 15–35 mm and melting temperatures of 15–37 °C. The combination of PCM-enhanced hybrid systems with natural or mechanical ventilation has shown greater operational effectiveness, particularly in hot climates and when integrated with adaptive control systems to achieve optimal performance. Despite their benefits, widespread adoption of PCM technologies is hindered by high material costs, hysteresis effects, and limited discharge cycle efficiency. Nevertheless, PCM-enhanced ventilation systems have proven capable of supporting sustainable, low-energy buildings. Continued research is needed to develop cost-effective design strategies, aut</w:t>
      </w:r>
    </w:p>
    <w:p>
      <w:pPr/>
      <w:r>
        <w:rPr>
          <w:b/>
        </w:rPr>
        <w:t>POSSIBLE 2025:</w:t>
      </w:r>
      <w:r>
        <w:t xml:space="preserve"> Formation and evolution of residential buildings in the Djelfa region of Algeria — https://doi.org/10.2478/alfa-2025-0003</w:t>
      </w:r>
    </w:p>
    <w:p>
      <w:pPr/>
      <w:r>
        <w:rPr>
          <w:b/>
        </w:rPr>
        <w:t>Shared claim-specific concepts:</w:t>
      </w:r>
      <w:r>
        <w:t xml:space="preserve"> building, selected, response; EU scope not established. This is a provisional connection, not an outcome finding.</w:t>
      </w:r>
    </w:p>
    <w:p>
      <w:pPr>
        <w:pStyle w:val="SourceNote"/>
      </w:pPr>
      <w:r>
        <w:rPr>
          <w:b/>
        </w:rPr>
        <w:t>Available abstract (not full text):</w:t>
      </w:r>
      <w:r>
        <w:t xml:space="preserve"> Abstract This study endeavours to refund the evolutionary trajectory of residential building within the Djelfa region of Algeria, a landscape characterised by the cohabitation of sedentary and nomadic modes of existence. The investigation reconstructs the typological development by examining its earliest roots, namely the rudimentary forms of habitation – the hut and the tent – respectively adapted to sedentary and nomadic lifestyles. A sample encompassing approximately sixty dwellings situated within the town of Djelfa and its environs was meticulously selected, ensuring representation of diverse typological features such as size, spatial arrangement within the urban fabric, orientation, accessibility, and internal spatial organisation. This analysis aims to discern both diachronic and synchronic variations: the enduring linkages between residential building types across time and the co-existence of concurrent typologies. The research reveals a dynamic of organic links of continuity throughout this evolutionary process, punctuated by transitional phases that give rise to novel building solutions. These innovative solutions, upon achieving a degree of stability, tend to be replicated in a serialized way. The study underscores the pivotal role of the urban courtyard house within this evolutionary narrative, emphasising its remarkable adaptability and capacity for diversification</w:t>
      </w:r>
    </w:p>
    <w:p>
      <w:pPr/>
      <w:r>
        <w:rPr>
          <w:b/>
        </w:rPr>
        <w:t>POSSIBLE 2025:</w:t>
      </w:r>
      <w:r>
        <w:t xml:space="preserve"> Experimental characterization of the thermophysical properties of some selected phase change materials for building applications: Critical input data for numerical simulations — https://doi.org/10.1016/j.est.2025.115463</w:t>
      </w:r>
    </w:p>
    <w:p>
      <w:pPr/>
      <w:r>
        <w:rPr>
          <w:b/>
        </w:rPr>
        <w:t>Shared claim-specific concepts:</w:t>
      </w:r>
      <w:r>
        <w:t xml:space="preserve"> building, phase, selected; EU scope not established. This is a provisional connection, not an outcome finding.</w:t>
      </w:r>
    </w:p>
    <w:p>
      <w:pPr>
        <w:pStyle w:val="SourceNote"/>
      </w:pPr>
      <w:r>
        <w:rPr>
          <w:b/>
        </w:rPr>
        <w:t>Available abstract (not full text):</w:t>
      </w:r>
      <w:r>
        <w:t xml:space="preserve"> A precise characterization of the thermophysical properties of Phase Change Materials (PCMs) used for the Latent Heat Thermal Energy Storage (LHTES) is necessary for the development and manufacturing of LHTES technol- ogies. The complete input data for Computational Fluid Dynamics (CFD) simulations of PCMs phase transition processes is very lacking in the literature, making it difficult to set up CFD simulations and specially to guarantee the accuracy of the results. The present study focuses on a comprehensive experimental characterization of the thermophysical properties of six PCMs in order to support the numerical studies. Several measurement tech- niques allowed the characterization of these PCMs. The Anton Paar MCR 102 rheometer was used to determine the viscosity of the six PCMs and their temperature dependency. A TPS 2200 model HotDisk allowed the mea- surements of the thermal conductivity of both solid and liquid phases of the PCMs, using a temperature- controlled bath. A high-precision in-house experimental setup was developed and validated, for measuring the liquid phase density of PCMs and its temperature dependency. Subsequently, it allowed the determination of the thermal expansion coefficient, which is rare in the literature. Finally, a Differential Scanning Calorimeter (DSC) was used to determine the necessary thermal data for modeling the phase change processes</w:t>
      </w:r>
    </w:p>
    <w:p>
      <w:pPr/>
      <w:r>
        <w:rPr>
          <w:b/>
        </w:rPr>
        <w:t>POSSIBLE 2025:</w:t>
      </w:r>
      <w:r>
        <w:t xml:space="preserve"> Carbon Emission Measurement and Low-Carbon Path in the Operation Phase of Higher Education Teaching Buildings — https://doi.org/10.3233/atde251327</w:t>
      </w:r>
    </w:p>
    <w:p>
      <w:pPr/>
      <w:r>
        <w:rPr>
          <w:b/>
        </w:rPr>
        <w:t>Shared claim-specific concepts:</w:t>
      </w:r>
      <w:r>
        <w:t xml:space="preserve"> phase, combination, case; EU scope not established. This is a provisional connection, not an outcome finding.</w:t>
      </w:r>
    </w:p>
    <w:p>
      <w:pPr>
        <w:pStyle w:val="SourceNote"/>
      </w:pPr>
      <w:r>
        <w:rPr>
          <w:b/>
        </w:rPr>
        <w:t>Available abstract (not full text):</w:t>
      </w:r>
      <w:r>
        <w:t xml:space="preserve"> Aiming at energy saving and carbon reduction in the operation phase of university teaching buildings, this study analyses the operation characteristics and carbon emission sources of university teaching buildings, measures the specific carbon emissions in combination with actual cases, and predicts and evaluates the carbon reduction potential by using the STIRPAT model and scenario analysis method. The results show that the carbon emissions of the case teaching buildings increase from 1286.012t to 1538.929t in 2022-2024, showing yearly growth and seasonal fluctuations, with energy structure and energy intensity having the greatest impact on carbon emissions (elasticity coefficients of 0.352 and 0.321, respectively). The prediction of three scenarios, namely, baseline, low carbon and ultra-low carbon, shows that carbon emissions will grow rapidly and continuously under the baseline scenario, and the ultra-low carbon scenario can achieve a continuous reduction, and it is expected that the emission reduction in 2035 can reach 208.14∼259.28t. This study provides theoretical and practical references for the construction of green campuses.</w:t>
      </w:r>
    </w:p>
    <w:p>
      <w:pPr/>
      <w:r>
        <w:rPr>
          <w:b/>
        </w:rPr>
        <w:t>POSSIBLE 2025:</w:t>
      </w:r>
      <w:r>
        <w:t xml:space="preserve"> Enhancing Building Thermal Performance: A Review of Phase Change Material Integration — https://doi.org/10.3390/en18123200</w:t>
      </w:r>
    </w:p>
    <w:p>
      <w:pPr/>
      <w:r>
        <w:rPr>
          <w:b/>
        </w:rPr>
        <w:t>Shared claim-specific concepts:</w:t>
      </w:r>
      <w:r>
        <w:t xml:space="preserve"> building, phase, different; EU scope not established. This is a provisional connection, not an outcome finding.</w:t>
      </w:r>
    </w:p>
    <w:p>
      <w:pPr>
        <w:pStyle w:val="SourceNote"/>
      </w:pPr>
      <w:r>
        <w:rPr>
          <w:b/>
        </w:rPr>
        <w:t>Available abstract (not full text):</w:t>
      </w:r>
      <w:r>
        <w:t xml:space="preserve"> Buildings are responsible for over one-third of global energy use and greenhouse gas emissions, with heating and cooling being major contributors. Phase change materials (PCMs) offer a promising passive solution to improve thermal regulation and reduce heating and cooling loads. This review analyses different experimental and simulation-based studies on the integration of PCMs into building structures for enhancing building energy performance. The key variables examined include melting temperature, latent heat capacity, thermal conductivity (λ), PCM positioning (interior, exterior, or embedded), thickness, and climate zone. The results show that PCMs reduce heat transfer by up to 47.6%, stabilize indoor temperatures with up to a 46% reduction in fluctuations, and decrease heating and cooling demands by as much as 31%, depending on component placement and climate. The optimal melting range for moderate climates lies between 22 °C and 28 °C. This review identifies critical trade-offs between PCM quantity, placement, and climatic suitability and provides a matrix of design recommendations for various building types.</w:t>
      </w:r>
    </w:p>
    <w:p>
      <w:pPr/>
      <w:r>
        <w:rPr>
          <w:b/>
        </w:rPr>
        <w:t>POSSIBLE 2025:</w:t>
      </w:r>
      <w:r>
        <w:t xml:space="preserve"> Continued Augmentation in Metahuman Systems: Phase of Trust Building — https://doi.org/10.5465/amproc.2025.22130abstract</w:t>
      </w:r>
    </w:p>
    <w:p>
      <w:pPr/>
      <w:r>
        <w:rPr>
          <w:b/>
        </w:rPr>
        <w:t>Shared claim-specific concepts:</w:t>
      </w:r>
      <w:r>
        <w:t xml:space="preserve"> building, phase, combination, different, usual, two; EU scope not established. This is a provisional connection, not an outcome finding.</w:t>
      </w:r>
    </w:p>
    <w:p>
      <w:pPr>
        <w:pStyle w:val="SourceNote"/>
      </w:pPr>
      <w:r>
        <w:rPr>
          <w:b/>
        </w:rPr>
        <w:t>Available abstract (not full text):</w:t>
      </w:r>
      <w:r>
        <w:t xml:space="preserve"> The paper brings together two major research areas: the effects of technology in workplaces and trust in technology, in the context of Artificial Intelligence’s (AI) proliferation. By doing so, the paper answers the call to go beyond the automation augmentation debate to understand the nuances caused by the continuance of augmentation on knowledge workers within AI systems. We introduce a theory of trust in AI systems, proposing a dynamic form of trust that emerges when the usual epistemic relationship between trust and knowing (that technology delivers an expected result) is broken. The creation of doubts in the system, due to the occurrences of different types of errors, questions the veracity of the AI model’s results. The implications of this theory are shown in the context of different AI models used in a Department of Radiology, through an extensive ethnographic fieldwork. Unlike previous workplace technologies, where trust is developed gradually, the trust-building process for each AI model follows a unique path, offering a combination of two forms of trust: fleeting and stable. In order to further understanding this phenomenon, the data suggests integrating trusting building with social actions, system functions and the daily work context within the department. The study points to the transient nature of trust in AI systems, which depends on the context and features of </w:t>
      </w:r>
    </w:p>
    <w:p>
      <w:pPr/>
      <w:r>
        <w:rPr>
          <w:b/>
        </w:rPr>
        <w:t>POSSIBLE 2025:</w:t>
      </w:r>
      <w:r>
        <w:t xml:space="preserve"> Towards the understanding of Keim'sche Mineralfarben in architectural paints: Material characterization and phase quantification on selected historical pigment admixtures — https://doi.org/10.1016/j.dyepig.2025.113285</w:t>
      </w:r>
    </w:p>
    <w:p>
      <w:pPr/>
      <w:r>
        <w:rPr>
          <w:b/>
        </w:rPr>
        <w:t>Shared claim-specific concepts:</w:t>
      </w:r>
      <w:r>
        <w:t xml:space="preserve"> phase, different, selected; EU scope not established. This is a provisional connection, not an outcome finding.</w:t>
      </w:r>
    </w:p>
    <w:p>
      <w:pPr>
        <w:pStyle w:val="SourceNote"/>
      </w:pPr>
      <w:r>
        <w:rPr>
          <w:b/>
        </w:rPr>
        <w:t>Available abstract (not full text):</w:t>
      </w:r>
      <w:r>
        <w:t xml:space="preserve"> ‘ Keim’sche Mineralfarben’ are widely recognized silicate-based paints historically employed for painting and decorating architectural surfaces, as well as in the conservation and restoration of historic buildings and monuments, particularly where high-quality architectural finishes are required. Comprehensive knowledge of the composition of historical Keim’sche Mineralfarben pigment admixtures and their evolution—particularly for dating purposes—remains limited within the field of architectural conservation. The study demonstrates the effectiveness of a multi-analytical approach in characterizing the composition and phase quantification of selected yellow-to brownish-toned historical Keimfarben pigment admixtures and suggests a methodology for the characterization of this product on site, offering new perspectives on understanding the chronology of the paint layers, thus planning future restoration interventions. A multi-analytical approach was employed, combining optical microscopy, X-ray fluorescence, in situ Raman and micro-Raman spectroscopy, ATR-FTIR, and X-ray powder diffraction with Rietveld refinement. The results show that the studied Keimfarben pigment admixtures are composed of calcite, fluorite, kaolinite, quartz, barite, rutile, and witherite, as well as different quantities of hematite, goethite, and eskolaite depending on the hue. Certain identified phases have </w:t>
      </w:r>
    </w:p>
    <w:p>
      <w:pPr/>
      <w:r>
        <w:rPr>
          <w:b/>
        </w:rPr>
        <w:t>POSSIBLE 2025:</w:t>
      </w:r>
      <w:r>
        <w:t xml:space="preserve"> Life Cycle Assessment in the Early Design Phase of Buildings: Strategies, Tools, and Future Directions — https://doi.org/10.3390/buildings15101612</w:t>
      </w:r>
    </w:p>
    <w:p>
      <w:pPr/>
      <w:r>
        <w:rPr>
          <w:b/>
        </w:rPr>
        <w:t>Shared claim-specific concepts:</w:t>
      </w:r>
      <w:r>
        <w:t xml:space="preserve"> building, phase, trends; EU scope not established. This is a provisional connection, not an outcome finding.</w:t>
      </w:r>
    </w:p>
    <w:p>
      <w:pPr>
        <w:pStyle w:val="SourceNote"/>
      </w:pPr>
      <w:r>
        <w:rPr>
          <w:b/>
        </w:rPr>
        <w:t>Available abstract (not full text):</w:t>
      </w:r>
      <w:r>
        <w:t xml:space="preserve"> The construction industry plays a significant role in global warming, accounting for 42% of primary energy use and 39% of greenhouse gas (GHG) emissions worldwide. Life Cycle Assessment (LCA) has emerged as a key methodology for evaluating environmental impacts throughout a building’s life cycle, yet its integration in the early design phase remains limited. This review aims to examine strategies and tools for incorporating LCA in the early design phase to enhance sustainability in building construction. The objectives of this study are: (1) to identify the main challenges in integrating LCA into early design workflows, (2) to analyze and compare LCA tools suitable for early-stage assessments, and (3) to explore emerging trends and technological advancements. A systematic literature review was employed using the Scopus database to analyze existing literature, identifying current practices, challenges, and technological advancements in early-stage LCA implementation. A total of 56 studies were identified for the review. The results highlight the growing adoption of Building Information Modeling (BIM), Artificial Intelligence (AI), and parametric modeling in streamlining LCA integration. Despite these advancements, barriers such as data scarcity, lack of standardization, and interoperability issues persist. Key findings suggest that simplified and computational LCA tools can impr</w:t>
      </w:r>
    </w:p>
    <w:p>
      <w:pPr/>
      <w:r>
        <w:rPr>
          <w:b/>
        </w:rPr>
        <w:t>POSSIBLE 2025:</w:t>
      </w:r>
      <w:r>
        <w:t xml:space="preserve"> From Rating System to Thought Leadership: The Evolution of the Canada Green Building Council — https://doi.org/10.1111/beer.70070</w:t>
      </w:r>
    </w:p>
    <w:p>
      <w:pPr/>
      <w:r>
        <w:rPr>
          <w:b/>
        </w:rPr>
        <w:t>Shared claim-specific concepts:</w:t>
      </w:r>
      <w:r>
        <w:t xml:space="preserve"> building, selected, case; EU scope not established. This is a provisional connection, not an outcome finding.</w:t>
      </w:r>
    </w:p>
    <w:p>
      <w:pPr>
        <w:pStyle w:val="SourceNote"/>
      </w:pPr>
      <w:r>
        <w:rPr>
          <w:b/>
        </w:rPr>
        <w:t>Available abstract (not full text):</w:t>
      </w:r>
      <w:r>
        <w:t xml:space="preserve"> ABSTRACT Green Building Social Movement Organizations encourage the adoption of green buildings, primarily by promoting sustainability rating tools. While numerous papers have explored the market impact of these sustainability rating tools, very few have examined either the lengthy and protracted process of their selection and enrollment by organizations, or even their impact upon the structure and governance of organizations. This paper fills these gaps by presenting a 20‐year case study of organizational evolution. It identifies five distinct periods through which the chosen organization variously selected, developed, established, lost control, and transcended its relationship with LEED (Leadership in Energy and Environmental Design; a ‘green building’ rating tool) in Canada. Conceptually, our analysis has roots within the Sociology of Translation and (Scandinavian) Institutional Theory. In this, we treat the technical mediation of sustainability rating tools as institutional work activities to understand their role(s) in organizational evolution. The empirical basis for our analysis is data acquired through 21 semi‐structured interviews with organization founders and key personnel in each period, as well as a comprehensive analysis of archival records. Our findings offer significant insights for organizations that have bound themselves to a tool, certification, or standard a</w:t>
      </w:r>
    </w:p>
    <w:p>
      <w:pPr>
        <w:pStyle w:val="Heading2"/>
      </w:pPr>
      <w:r>
        <w:t>528. Facilitating transformative science education through futures thinking</w:t>
      </w:r>
    </w:p>
    <w:p>
      <w:pPr>
        <w:pStyle w:val="SourceNote"/>
      </w:pPr>
      <w:r>
        <w:rPr>
          <w:b/>
        </w:rPr>
        <w:t>Original source (2022):</w:t>
      </w:r>
      <w:r>
        <w:t xml:space="preserve"> https://doi.org/10.1108/oth-09-2021-0114</w:t>
      </w:r>
    </w:p>
    <w:p>
      <w:pPr/>
      <w:r>
        <w:t>Original wording (abstract; indexed_source_text_not_full_document_verified): Findings Recent research has shown that future-oriented science learning activities, involving systems thinking, scenario development and backcasting, can let students broaden their futures perceptions, imagine alternatives and navigate uncertainty.</w:t>
      </w:r>
    </w:p>
    <w:p>
      <w:pPr/>
      <w:r>
        <w:rPr>
          <w:b/>
        </w:rPr>
        <w:t>POSSIBLE 2026:</w:t>
      </w:r>
      <w:r>
        <w:t xml:space="preserve"> Critical Discussion of Recent Research Findings on Learning Disabilities [Course Material] Msc in Psychology of Child Development PS4212 Language, Literacy and Learning Lesson 6. College for Humanistic Sciences-ICPS, University of Lancashire — https://doi.org/10.5281/zenodo.20758339</w:t>
      </w:r>
    </w:p>
    <w:p>
      <w:pPr/>
      <w:r>
        <w:rPr>
          <w:b/>
        </w:rPr>
        <w:t>Shared claim-specific concepts:</w:t>
      </w:r>
      <w:r>
        <w:t xml:space="preserve"> findings, recent, learning, systems; EU scope not established. This is a provisional connection, not an outcome finding.</w:t>
      </w:r>
    </w:p>
    <w:p>
      <w:pPr>
        <w:pStyle w:val="SourceNote"/>
      </w:pPr>
      <w:r>
        <w:rPr>
          <w:b/>
        </w:rPr>
        <w:t>Available abstract (not full text):</w:t>
      </w:r>
      <w:r>
        <w:t xml:space="preserve"> Abstract This chapter critically examines the most significant research findings of the last five years concerning learning disabilities, focusing on contemporary theoretical approaches, their cognitive and neurodevelopmental dimensions, and educational interventions supported by empirical evidence. Recent literature demonstrates a gradual shift from traditional categorical models toward multifactorial and dimensional approaches, which acknowledge the heterogeneity of learners and the interaction among linguistic, cognitive, emotional, and environmental factors. Particular emphasis is placed on current perspectives on dyslexia, the contribution of executive functions and neurocognitive mechanisms, as well as the frequent comorbidity with other neurodevelopmental disorders. Furthermore, findings from recent meta-analyses and systematic reviews regarding the effectiveness of educational interventions are discussed, highlighting the importance of explicit instruction, early intervention, differentiated teaching, and multi-tiered support systems. The critical evaluation of the available evidence underscores both the considerable progress achieved in understanding learning disabilities and the need for further methodologically rigorous and longitudinal research. Such efforts are expected to contribute to the improvement of educational practices and to the advancement of inclusive ed</w:t>
      </w:r>
    </w:p>
    <w:p>
      <w:pPr/>
      <w:r>
        <w:rPr>
          <w:b/>
        </w:rPr>
        <w:t>POSSIBLE 2026:</w:t>
      </w:r>
      <w:r>
        <w:t xml:space="preserve"> Recent Trends and Innovations in Science Education: A Systematic Review of Teaching, Learning, and Assessment Practices — https://doi.org/10.5281/zenodo.23408637</w:t>
      </w:r>
    </w:p>
    <w:p>
      <w:pPr/>
      <w:r>
        <w:rPr>
          <w:b/>
        </w:rPr>
        <w:t>Shared claim-specific concepts:</w:t>
      </w:r>
      <w:r>
        <w:t xml:space="preserve"> findings, recent, science, learning, thinking, students; EU scope not established. This is a provisional connection, not an outcome finding.</w:t>
      </w:r>
    </w:p>
    <w:p>
      <w:pPr>
        <w:pStyle w:val="SourceNote"/>
      </w:pPr>
      <w:r>
        <w:rPr>
          <w:b/>
        </w:rPr>
        <w:t>Available abstract (not full text):</w:t>
      </w:r>
      <w:r>
        <w:t xml:space="preserve"> Recent Trends and Innovations in Science Education: A Systematic Review of Teaching, Learning, and Assessment PracticesSashibala Devi (TGT, S.S.DEV PUBLIC SCHOOL)AbstractScience education has become one of the most significant pillars of educational development in the twenty-first century. Rapid technological advancement, globalization, environmental concerns, and the increasing demand for scientific literacy have transformed the objectives and methodologies of science teaching across the world. Traditional teacher-centered instruction has gradually shifted toward learner-centered, inquiry-based, technology-supported, and competency-oriented approaches. The National Education Policy (NEP) 2020 in India and international educational frameworks have further emphasized experiential learning, interdisciplinary education, digital integration, and scientific reasoning. This review paper synthesizes recent literature on science education published between 2018 and 2026 to identify emerging trends, innovations, challenges, and future research directions.The study adopts a systematic review methodology using peer-reviewed journal articles, conference proceedings, policy documents, and educational reports indexed in Scopus, Web of Science, ERIC, Google Scholar, and UGC CARE-listed journals. The literature highlights that inquiry-based learning, STEM education, virtual laboratories, artif</w:t>
      </w:r>
    </w:p>
    <w:p>
      <w:pPr/>
      <w:r>
        <w:rPr>
          <w:b/>
        </w:rPr>
        <w:t>POSSIBLE 2026:</w:t>
      </w:r>
      <w:r>
        <w:t xml:space="preserve"> Using Learning Progressions to Guide AI Feedback for Science Learning — https://openalex.org/W7133571101</w:t>
      </w:r>
    </w:p>
    <w:p>
      <w:pPr/>
      <w:r>
        <w:rPr>
          <w:b/>
        </w:rPr>
        <w:t>Shared claim-specific concepts:</w:t>
      </w:r>
      <w:r>
        <w:t xml:space="preserve"> findings, science, learning, students; EU scope not established. This is a provisional connection, not an outcome finding.</w:t>
      </w:r>
    </w:p>
    <w:p>
      <w:pPr>
        <w:pStyle w:val="SourceNote"/>
      </w:pPr>
      <w:r>
        <w:rPr>
          <w:b/>
        </w:rPr>
        <w:t>Available abstract (not full text):</w:t>
      </w:r>
      <w:r>
        <w:t xml:space="preserve"> Generative artificial intelligence (AI) offers scalable support for formative feedback, yet most AI-generated feedback relies on task-specific rubrics authored by domain experts. While effective, rubric authoring is time-consuming and limits scalability across instructional contexts. Learning progressions (LP) provide a theoretically grounded representation of students' developing understanding and may offer an alternative solution. This study examines whether an LP-driven rubric generation pipeline can produce AI-generated feedback comparable in quality to feedback guided by expert-authored task rubrics. We analyzed AI-generated feedback for written scientific explanations produced by 207 middle school students in a chemistry task. Two pipelines were compared: (a) feedback guided by a human expert-designed, task-specific rubric, and (b) feedback guided by a task-specific rubric automatically derived from a learning progression prior to grading and feedback generation. Two human coders evaluated feedback quality using a multi-dimensional rubric assessing Clarity, Accuracy, Relevance, Engagement and Motivation, and Reflectiveness (10 sub-dimensions). Inter-rater reliability was high, with percent agreement ranging from 89% to 100% and Cohen's kappa values for estimable dimensions (kappa = .66 to .88). Paired t-tests revealed no statistically significant differences between the t</w:t>
      </w:r>
    </w:p>
    <w:p>
      <w:pPr/>
      <w:r>
        <w:rPr>
          <w:b/>
        </w:rPr>
        <w:t>POSSIBLE 2026:</w:t>
      </w:r>
      <w:r>
        <w:t xml:space="preserve"> Mesenchymal stromal cells in Rheumathology: Recent findings — https://doi.org/10.30574/wjarr.2026.29.3.0619</w:t>
      </w:r>
    </w:p>
    <w:p>
      <w:pPr/>
      <w:r>
        <w:rPr>
          <w:b/>
        </w:rPr>
        <w:t>Shared claim-specific concepts:</w:t>
      </w:r>
      <w:r>
        <w:t xml:space="preserve"> findings, recent, shown; EU scope not established. This is a provisional connection, not an outcome finding.</w:t>
      </w:r>
    </w:p>
    <w:p>
      <w:pPr>
        <w:pStyle w:val="SourceNote"/>
      </w:pPr>
      <w:r>
        <w:rPr>
          <w:b/>
        </w:rPr>
        <w:t>Available abstract (not full text):</w:t>
      </w:r>
      <w:r>
        <w:t xml:space="preserve"> Mesenchymal stromal cells (MSCs) have emerged as promising therapeutic candidates for osteoarticular diseases because of their combined immunomodulatory, trophic, and regenerative properties. Although initially studied for their multipotent differentiation capacity, MSCs are now understood to act predominantly through context-dependent paracrine mechanisms, including secretion of soluble mediators and extracellular vesicles, as well as through interactions with innate and adaptive immune cells. These mechanisms enable MSCs to modulate inflammatory responses, suppress T- and B-cell activation, inhibit dendritic cell maturation, and promote anti-inflammatory macrophage polarization, thereby reshaping the joint microenvironment toward resolution and tissue repair. In rheumatoid arthritis, MSC therapy is supported by strong biological plausibility, with preclinical studies demonstrating reduction of Th1/Th17 responses and enhancement of regulatory T-cell activity. Early clinical trials suggest a favorable safety profile, although evidence for sustained clinical remission remains limited. In focal cartilage defects, MSC-based strategies—particularly when combined with biomaterial scaffolds—have shown potential to enhance cartilage repair and improve functional outcomes. In osteoarthritis and degenerative disc disease, therapeutic effects appear to rely mainly on trophic and immunore</w:t>
      </w:r>
    </w:p>
    <w:p>
      <w:pPr/>
      <w:r>
        <w:rPr>
          <w:b/>
        </w:rPr>
        <w:t>POSSIBLE 2026:</w:t>
      </w:r>
      <w:r>
        <w:t xml:space="preserve"> 298. The highs and lows of long-term lithium prophylaxis: recent findings — https://doi.org/10.1093/ijnp/pyag040.041</w:t>
      </w:r>
    </w:p>
    <w:p>
      <w:pPr/>
      <w:r>
        <w:rPr>
          <w:b/>
        </w:rPr>
        <w:t>Shared claim-specific concepts:</w:t>
      </w:r>
      <w:r>
        <w:t xml:space="preserve"> findings, recent, shown; EU scope visible. This is a provisional connection, not an outcome finding.</w:t>
      </w:r>
    </w:p>
    <w:p>
      <w:pPr>
        <w:pStyle w:val="SourceNote"/>
      </w:pPr>
      <w:r>
        <w:rPr>
          <w:b/>
        </w:rPr>
        <w:t>Available abstract (not full text):</w:t>
      </w:r>
      <w:r>
        <w:t xml:space="preserve"> Abstract Background Lithium has been the gold standard for the relapse prevention of mood disorders, especially bipolar disorder (BD). Recently, case reports of a successful lithium prophylaxis lasting half a century appeared. Several adverse effects occur both in the early and late periods of lithium treatment, the most salient being a kidney injury appearing mainly after 15-20 years of lithium administration and frequently prompting lithium discontinuation. At the same time, lithium administration may bring many beneficial outcomes, beyond its prophylactic effects on mood recurrences, among which are anti-suicidal and neuroprotective effects, being the most important. Aims &amp; Objectives The presentation aims to consider the pivotal novel findings (published between 2021 and 2025) on the adverse and beneficial effects of long-term lithium administration. Method The most important publications on these issues that appeared during this period will be discussed. Results The papers on a possible kidney injury during long-term lithium administration and its treatment pointed to a lesser prevalence of such a complication in recent studies, as well as to the possibility of successful management, preventing the necessity of lithium discontinuation. New papers also appeared on the concurrent lithium and hemodialysis treatment in dialyzed patients. The issue of the anti-suicidal effect w</w:t>
      </w:r>
    </w:p>
    <w:p>
      <w:pPr/>
      <w:r>
        <w:rPr>
          <w:b/>
        </w:rPr>
        <w:t>POSSIBLE 2026:</w:t>
      </w:r>
      <w:r>
        <w:t xml:space="preserve"> Recent findings on the anticancer potential of coumarin hybrid derivatives — https://doi.org/10.12692/ijb/28.3.52-79</w:t>
      </w:r>
    </w:p>
    <w:p>
      <w:pPr/>
      <w:r>
        <w:rPr>
          <w:b/>
        </w:rPr>
        <w:t>Shared claim-specific concepts:</w:t>
      </w:r>
      <w:r>
        <w:t xml:space="preserve"> findings, recent, activities; EU scope not established. This is a provisional connection, not an outcome finding.</w:t>
      </w:r>
    </w:p>
    <w:p>
      <w:pPr>
        <w:pStyle w:val="SourceNote"/>
      </w:pPr>
      <w:r>
        <w:rPr>
          <w:b/>
        </w:rPr>
        <w:t>Available abstract (not full text):</w:t>
      </w:r>
      <w:r>
        <w:t xml:space="preserve"> Coumarin derivatives have attracted substantial scientific interest due to their broad therapeutic potential in the field of oncology research due to their anticancer potential. Both naturally occurring and synthetically modified coumarins possess diverse pharmacological activities, and evidence highlights their strong anticancer properties. Studies emphasize the importance of understanding molecular mechanisms and structural interactions that govern the biological actions of coumarin hybrids, as these insights are crucial for optimizing their therapeutic efficacy in term of treatment. Coumarin-based hybrid compounds demonstrate the ability to modulate multiple cellular signalling pathways critical for cancer progression, including those regulating apoptosis, angiogenesis, oxidative stress, and uncontrolled cell division. Mechanistic studies show that many coumarin hybrids effectively induce apoptosis through mitochondrial disruption, caspase activation, and modulation of pro and anti-apoptotic proteins. Additionally, several derivatives exhibit potent anti-angiogenic activity by inhibiting VEGF-mediated signaling, thereby limiting tumor vascularization and growth. Their capacity to interfere with cell cycle regulators, such as cyclins and CDKs, further contributes to their antiproliferative effects. The multitargeted nature of these molecular interactions highlights the therap</w:t>
      </w:r>
    </w:p>
    <w:p>
      <w:pPr/>
      <w:r>
        <w:rPr>
          <w:b/>
        </w:rPr>
        <w:t>POSSIBLE 2026:</w:t>
      </w:r>
      <w:r>
        <w:t xml:space="preserve"> Cooperative Learning Needs Analysis to Address Student Learning Dependence on Science Learning in Elementary Schools — https://doi.org/10.23887/jlls.v9i2.113338</w:t>
      </w:r>
    </w:p>
    <w:p>
      <w:pPr/>
      <w:r>
        <w:rPr>
          <w:b/>
        </w:rPr>
        <w:t>Shared claim-specific concepts:</w:t>
      </w:r>
      <w:r>
        <w:t xml:space="preserve"> findings, science, learning, students; EU scope not established. This is a provisional connection, not an outcome finding.</w:t>
      </w:r>
    </w:p>
    <w:p>
      <w:pPr>
        <w:pStyle w:val="SourceNote"/>
      </w:pPr>
      <w:r>
        <w:rPr>
          <w:b/>
        </w:rPr>
        <w:t>Available abstract (not full text):</w:t>
      </w:r>
      <w:r>
        <w:t xml:space="preserve"> Science learning at the elementary school level still tends to be dominated by expository methods that have not been able to maximize students' cognitive engagement, even though they show a high interest in learning and social interaction. This condition results in limitations in the development of student learning independence, characterized by a high dependence on peer assistance. Therefore, this study aims to comprehensively analyze the empirical needs of cooperative learning syntax in order to formulate a basis for developing an effective model to overcome student learning dependence in science learning. This study applies a quantitative descriptive approach with a survey method on 206 fifth-grade students. Data were collected through a validated and tested questionnaire for reliability, then analyzed using descriptive statistics and a needs index. The findings indicate that although students have a strong interest in learning and social interaction, their learning independence is still low and is characterized by a high dependence on peer assistance. On the other hand, students' preference for collaborative learning is also very dominant. These results indicate a sociocognitive gap in science learning. Therefore, this study provides a conceptual contribution in the form of a foundation for developing a cooperative learning syntax based on social scaffolding to bridge the g</w:t>
      </w:r>
    </w:p>
    <w:p>
      <w:pPr/>
      <w:r>
        <w:rPr>
          <w:b/>
        </w:rPr>
        <w:t>POSSIBLE 2026:</w:t>
      </w:r>
      <w:r>
        <w:t xml:space="preserve"> The Role of Inquiry Based Learning in Science Learning: A Systematic Review of Literature — https://doi.org/10.29303/jppipa.v12i4.9941</w:t>
      </w:r>
    </w:p>
    <w:p>
      <w:pPr/>
      <w:r>
        <w:rPr>
          <w:b/>
        </w:rPr>
        <w:t>Shared claim-specific concepts:</w:t>
      </w:r>
      <w:r>
        <w:t xml:space="preserve"> science, learning, thinking, students; EU scope not established. This is a provisional connection, not an outcome finding.</w:t>
      </w:r>
    </w:p>
    <w:p>
      <w:pPr>
        <w:pStyle w:val="SourceNote"/>
      </w:pPr>
      <w:r>
        <w:rPr>
          <w:b/>
        </w:rPr>
        <w:t>Available abstract (not full text):</w:t>
      </w:r>
      <w:r>
        <w:t xml:space="preserve"> This study aims to examine the role of Inquiry-Based Learning (IBL) in improving the quality of science learning through a systematic literature review. The methodology followed the PRISMA framework, analyzing 17 reputable scientific articles retrieved from the Scopus database between 2018 and 2024. The results of the study indicate that IBL has a significant positive impact on science learning, particularly in enhancing students’ conceptual understanding, scientific process skills, and critical thinking abilities. Additionally, IBL contributes to increasing students’ motivation and positive attitudes toward science through active engagement in the learning process. Further discussion reveals that the success of IBL implementation is influenced by various factors, such as teacher readiness, availability of facilities, and learning time management. Nevertheless, IBL remains an effective approach in supporting student-centered science learning. Overall, this study concludes that IBL has great potential in improving the quality of science learning, but requires appropriate support and implementation strategies to be applied optimally</w:t>
      </w:r>
    </w:p>
    <w:p>
      <w:pPr/>
      <w:r>
        <w:rPr>
          <w:b/>
        </w:rPr>
        <w:t>POSSIBLE 2026:</w:t>
      </w:r>
      <w:r>
        <w:t xml:space="preserve"> Development of an Instrument for Assessing Critical Thinking in Science Learning among Secondary School Students: A Systematic Literature Review — https://openalex.org/W7216480916</w:t>
      </w:r>
    </w:p>
    <w:p>
      <w:pPr/>
      <w:r>
        <w:rPr>
          <w:b/>
        </w:rPr>
        <w:t>Shared claim-specific concepts:</w:t>
      </w:r>
      <w:r>
        <w:t xml:space="preserve"> findings, recent, science, learning, thinking, students; EU scope not established. This is a provisional connection, not an outcome finding.</w:t>
      </w:r>
    </w:p>
    <w:p>
      <w:pPr>
        <w:pStyle w:val="SourceNote"/>
      </w:pPr>
      <w:r>
        <w:rPr>
          <w:b/>
        </w:rPr>
        <w:t>Available abstract (not full text):</w:t>
      </w:r>
      <w:r>
        <w:t xml:space="preserve"> This systematic review synthesizes recent studies on the development and validation of critical thinking assessment instruments in science learning among secondary school students published between 2015 and 2025. Using the PRISMA 2020 framework, 20 eligible articles were identified from Scopus, Web of Science, and Crossref. The findings showed that reasoned multiple-choice test and essay tests were the most widely used formats, with Facione, Ennis, and the revised Bloom’s taxonomy serving as the dominant theoretical frameworks. Most instruments demonstrated good content validity and reliability, although evidence for construct validity remains limited. Instruments were primarily developed for senior high school students, focusing on biology, chemistry, and physics contexts, while development of instrument at the junior high school level were relatively scarce. Several studies also incorporated additional variables related to critical thinking, including science process skills, creative thinking, self-efficacy, and scientific literacy. Identified research gaps include the limited use of performance-based assessments, insufficient construct validity testing, and a lack of contextually grounded frameworks. These gaps highlight the need for more authentic, multidimensional, and empirically robust assessment models to measure students’ critical thinking skills in science learning.</w:t>
      </w:r>
    </w:p>
    <w:p>
      <w:pPr/>
      <w:r>
        <w:rPr>
          <w:b/>
        </w:rPr>
        <w:t>POSSIBLE 2026:</w:t>
      </w:r>
      <w:r>
        <w:t xml:space="preserve"> Innovation In Computer Science Learning Through Artificial Intelligence And Machine Learning Technologies — https://doi.org/10.66784/marlajar.v1i2.31</w:t>
      </w:r>
    </w:p>
    <w:p>
      <w:pPr/>
      <w:r>
        <w:rPr>
          <w:b/>
        </w:rPr>
        <w:t>Shared claim-specific concepts:</w:t>
      </w:r>
      <w:r>
        <w:t xml:space="preserve"> findings, recent, science, learning, systems; EU scope not established. This is a provisional connection, not an outcome finding.</w:t>
      </w:r>
    </w:p>
    <w:p>
      <w:pPr>
        <w:pStyle w:val="SourceNote"/>
      </w:pPr>
      <w:r>
        <w:rPr>
          <w:b/>
        </w:rPr>
        <w:t>Available abstract (not full text):</w:t>
      </w:r>
      <w:r>
        <w:t xml:space="preserve"> This conceptual paper proposes a novel framework for integrating artificial intelligence (AI) and machine learning (ML) technologies to innovate computer science education. The study employs a systematic literature review methodology, synthesizing recent advances in deep learning, transfer learning, and lifelong learning paradigms from peer-reviewed sources [1]–[22]. The findings reveal that AI-driven adaptive learning systems significantly enhance personalized instruction and student engagement, while ML-based predictive analytics enable early intervention strategies for at-risk learners. However, critical challenges persist, including algorithmic bias, data privacy concerns, and the need for continuous curriculum updates to maintain relevance. The novelty of this work lies in its unified framework that bridges theoretical underpinnings, such as unsupervised representation learning and continual learning—with practical implementations in intelligent tutoring, automated content generation, and ethical assessment systems. The primary contribution is a comprehensive roadmap for educators and policymakers to deploy AI/ML technologies responsibly, addressing both pedagogical efficacy and ethical considerations. This framework further identifies gaps in current evaluation metrics and faculty development initiatives, offering actionable directions for future research. By synthesizing</w:t>
      </w:r>
    </w:p>
    <w:p>
      <w:pPr/>
      <w:r>
        <w:rPr>
          <w:b/>
        </w:rPr>
        <w:t>POSSIBLE 2026:</w:t>
      </w:r>
      <w:r>
        <w:t xml:space="preserve"> DIFFERENTIATED LEARNING STRATEGIES TO IMPROVE THE INTERPERSONAL SKILLS OF STUDENTS WITH DISABILITIES IN SCIENCE LEARNING — https://doi.org/10.15408/elementar.v5i2.49692</w:t>
      </w:r>
    </w:p>
    <w:p>
      <w:pPr/>
      <w:r>
        <w:rPr>
          <w:b/>
        </w:rPr>
        <w:t>Shared claim-specific concepts:</w:t>
      </w:r>
      <w:r>
        <w:t xml:space="preserve"> findings, science, learning, activities, students; EU scope not established. This is a provisional connection, not an outcome finding.</w:t>
      </w:r>
    </w:p>
    <w:p>
      <w:pPr>
        <w:pStyle w:val="SourceNote"/>
      </w:pPr>
      <w:r>
        <w:rPr>
          <w:b/>
        </w:rPr>
        <w:t>Available abstract (not full text):</w:t>
      </w:r>
      <w:r>
        <w:t xml:space="preserve"> This study aims to analyze the role of differentiated learning in developing the interpersonal skills of students with disabilities through Natural Science (IPA) learning in an inclusive educational environment. Interpersonal skills, such as social participation, communication, collaboration, and self-confidence, are important competencies that support the academic and social success of students with disabilities, but are often not optimally developed in inclusive practices. This study used a Systematic Literature Review (SLR) design with a descriptive qualitative approach. Data were obtained from reputable national and international journal articles published between 2021 and 2025 and analyzed using thematic analysis techniques. The synthesis results indicate that differentiated learning—especially in the aspect of process differentiation—plays a significant role in improving the quality of social interactions of students with disabilities through flexible grouping, collaborative role assignments, and adjustments to learning activities according to students' readiness and learning profiles. Inquiry-based and collaborative IPA learning has proven to be an effective social space for inclusively training students' communication, cooperation, and self-confidence. These findings confirm that differentiated learning functions not only as an academic strategy but also as a social lea</w:t>
      </w:r>
    </w:p>
    <w:p>
      <w:pPr/>
      <w:r>
        <w:rPr>
          <w:b/>
        </w:rPr>
        <w:t>POSSIBLE 2026:</w:t>
      </w:r>
      <w:r>
        <w:t xml:space="preserve"> Effect of Problem-Based Learning Assisted by Wordwall on Science Learning in Elementary Schools — https://openalex.org/W7216694650</w:t>
      </w:r>
    </w:p>
    <w:p>
      <w:pPr/>
      <w:r>
        <w:rPr>
          <w:b/>
        </w:rPr>
        <w:t>Shared claim-specific concepts:</w:t>
      </w:r>
      <w:r>
        <w:t xml:space="preserve"> findings, science, learning, activities, involving, thinking; EU scope not established. This is a provisional connection, not an outcome finding.</w:t>
      </w:r>
    </w:p>
    <w:p>
      <w:pPr>
        <w:pStyle w:val="SourceNote"/>
      </w:pPr>
      <w:r>
        <w:rPr>
          <w:b/>
        </w:rPr>
        <w:t>Available abstract (not full text):</w:t>
      </w:r>
      <w:r>
        <w:t xml:space="preserve"> Science learning in elementary schools plays a crucial role in fostering students’ critical thinking skills. This study investigates the effect of implementing the Problem-Based Learning (PBL) model assisted by Wordwall in science education at an elementary school. A quasi-experimental design with a one-group pretest–posttest approach was employed, involving 14 students (N = 14). Research instruments included a validated and reliable multiple-choice achievement test, observation sheets of learning activities, and student response questionnaires. Data were analyzed using normality tests, N-gain, and paired t-tests with SPSS 21. The findings revealed a significant improvement in student learning outcomes, with mastery increasing from 35.71% (5 students) to 92.85% (13 students). The paired t-test produced a t-value of 9.165 with a significance level of p = 0.00006 (&lt; 0.05), indicating a highly significant difference before and after the intervention. These results suggest that the Problem-Based Learning model assisted by Wordwall is effective in enhancing science learning achievement and holds potential for application across other subjects and learning contexts.</w:t>
      </w:r>
    </w:p>
    <w:p>
      <w:pPr>
        <w:pStyle w:val="Heading2"/>
      </w:pPr>
      <w:r>
        <w:t>529. Forecast for the zone of viticulture in European Russia under climate change</w:t>
      </w:r>
    </w:p>
    <w:p>
      <w:pPr>
        <w:pStyle w:val="SourceNote"/>
      </w:pPr>
      <w:r>
        <w:rPr>
          <w:b/>
        </w:rPr>
        <w:t>Original source (2022):</w:t>
      </w:r>
      <w:r>
        <w:t xml:space="preserve"> https://doi.org/10.18699/vjgb-22-33</w:t>
      </w:r>
    </w:p>
    <w:p>
      <w:pPr/>
      <w:r>
        <w:t>Original wording (abstract; indexed_source_text_not_full_document_verified): At the same time, a possible decrease in the minimum winter temperature at the south of European Russia will require additional protective measures in winter, while an increase in the aridity of the climate on the northwest coast of the Caspian Sea will reduce the area under non-irrigated vineyards. The increase in heat supply during the growing season in European Russia implies a possibility of expanding the ZCV northward, beyond the present-day terminal latitude of 46.6° N, to 51.8° N under the existing conditions, and up to 60.7° N by 2050.</w:t>
      </w:r>
    </w:p>
    <w:p>
      <w:pPr/>
      <w:r>
        <w:rPr>
          <w:b/>
        </w:rPr>
        <w:t>POSSIBLE 2026:</w:t>
      </w:r>
      <w:r>
        <w:t xml:space="preserve"> Non-stationary time series attribution for heatwaves over Europe — https://doi.org/10.5194/ascmo-12-243-2026</w:t>
      </w:r>
    </w:p>
    <w:p>
      <w:pPr/>
      <w:r>
        <w:rPr>
          <w:b/>
        </w:rPr>
        <w:t>Shared claim-specific concepts:</w:t>
      </w:r>
      <w:r>
        <w:t xml:space="preserve"> time, temperature, climate, heat; EU scope visible. This is a provisional connection, not an outcome finding.</w:t>
      </w:r>
    </w:p>
    <w:p>
      <w:pPr>
        <w:pStyle w:val="SourceNote"/>
      </w:pPr>
      <w:r>
        <w:rPr>
          <w:b/>
        </w:rPr>
        <w:t>Available abstract (not full text):</w:t>
      </w:r>
      <w:r>
        <w:t xml:space="preserve"> The increasing occurrence of extreme weather events since the beginning of the 21st century has led to the development of new methods to attribute extreme events to anthropogenic climate change. The way in which the extreme event is defined has a major influence on the attribution result. A frequently overlooked aspect concerns the temporal dependence of extremes. This study presents an approach for attributing complete time series during extreme events to anthropogenic forcing. The approach is based on a non-stationary Markov process using bivariate extreme value theory to model the temporal dependence of the time series. We calculate the likelihood ratio of an observational time series from ERA5 given the distributions as estimated from CMIP6 simulations with historical natural-only and natural and anthropogenic forcing scenarios. The spatial fields are condensed by the extremal pattern index (EPI) as a compact description of spatial extremes. In addition, the study examines the extent to which attribution statements about the occurrence of extreme heat events change when the effect of the mean warming is eliminated. The resulting attribution statement provides very strong evidence for the scenario with anthropogenic drivers over Europe, especially since the beginning of the 21st century. For central and southern Europe, the influence of anthropogenic greenhouse gas emissions</w:t>
      </w:r>
    </w:p>
    <w:p>
      <w:pPr/>
      <w:r>
        <w:rPr>
          <w:b/>
        </w:rPr>
        <w:t>POSSIBLE 2026:</w:t>
      </w:r>
      <w:r>
        <w:t xml:space="preserve"> Pro-environmental behaviour in Europe: A comparison across individuals, countries and time — https://openalex.org/W7160008135</w:t>
      </w:r>
    </w:p>
    <w:p>
      <w:pPr/>
      <w:r>
        <w:rPr>
          <w:b/>
        </w:rPr>
        <w:t>Shared claim-specific concepts:</w:t>
      </w:r>
      <w:r>
        <w:t xml:space="preserve"> time, decrease, increase, climate, reduce;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WINTER SOLSTICE DAY IN DIFFERENT CULTURES — https://doi.org/10.5281/zenodo.18169905</w:t>
      </w:r>
    </w:p>
    <w:p>
      <w:pPr/>
      <w:r>
        <w:rPr>
          <w:b/>
        </w:rPr>
        <w:t>Shared claim-specific concepts:</w:t>
      </w:r>
      <w:r>
        <w:t xml:space="preserve"> same, time, minimum, winter; EU scope visible. This is a provisional connection, not an outcome finding.</w:t>
      </w:r>
    </w:p>
    <w:p>
      <w:pPr>
        <w:pStyle w:val="SourceNote"/>
      </w:pPr>
      <w:r>
        <w:rPr>
          <w:b/>
        </w:rPr>
        <w:t>Available abstract (not full text):</w:t>
      </w:r>
      <w:r>
        <w:t xml:space="preserve"> The winter solstice is the moment when the Sun is at its minimum height above the horizon. The inclination of the axis along which the Earth rotates is at its maximum during the solstice, towards either the Northern or Southern Hemisphere. Therefore, the solstice occurs twice a year: in June, when the day becomes the longest, and in December, when the night turns out to be the longest. The phenomenon got its name because a few days before and after this moment, the position of the Sun in the sky at noon hardly changes. On the night of December 21-22 is the winter solstice, when the astronomical annual cycle ends, when you need to part with the old and not take it with you in the new year. This is the beginning of the astronomical winter. The longest night and the shortest day of the year. This is the holiday of the beginning of winter among the ancient Turks, the day of the renewal of time. A balloon reigns in space. For this reason, the Kazakhs call the first month of the winter season "zheltoksan" (December). December 25 is Nartugan Day, which is the same as Christmas in Europe, i.e. the birthday of the prophet Isa (Jesus). Kazakhs called the day of the winter solstice "karatun" (black night). For the nomadic people, karatun had a deep symbolic meaning and was perceived as a moment of transition when darkness reaches its peak, and then on the Day of Nartugan renewal and growt</w:t>
      </w:r>
    </w:p>
    <w:p>
      <w:pPr/>
      <w:r>
        <w:rPr>
          <w:b/>
        </w:rPr>
        <w:t>POSSIBLE 2026:</w:t>
      </w:r>
      <w:r>
        <w:t xml:space="preserve"> LITERATURE REVIEW: POLYPHARMACOTHERAPY AND ITS NEUROLOGICAL EFFECTS IN THE ELDERLY IN POLAND AND EUROPE — https://doi.org/10.31435/ijitss.2(50).2026.5712</w:t>
      </w:r>
    </w:p>
    <w:p>
      <w:pPr/>
      <w:r>
        <w:rPr>
          <w:b/>
        </w:rPr>
        <w:t>Shared claim-specific concepts:</w:t>
      </w:r>
      <w:r>
        <w:t xml:space="preserve"> same, time, possible; EU scope visible. This is a provisional connection, not an outcome finding.</w:t>
      </w:r>
    </w:p>
    <w:p>
      <w:pPr>
        <w:pStyle w:val="SourceNote"/>
      </w:pPr>
      <w:r>
        <w:rPr>
          <w:b/>
        </w:rPr>
        <w:t>Available abstract (not full text):</w:t>
      </w:r>
      <w:r>
        <w:t xml:space="preserve"> In recent years both in Poland and Europe there have been observed progressive demographic changes and aging of the population. Polypharmacy can be defined as the simultaneous and regular use of at least five different drugs and is particularly often used in elderly patients due to the multimorbidity. According to some sources, elderly people take between two and nine different medications daily, of which even about 60% are inappropriate. The aim of this paper is to summarize information on polypharmacy in seniors in order to plan it as best as possible and at the same time to avoid potential adverse effects, with particular emphasis on the nervous system. One of the most significant for polypharmacy is the age structure of the society. Poland is one of the European countries where the fastest growth of this ratio is observed. Huge problem seems to be the system of educating doctors, which is not adjusted to the changing demographics of the society. Furthermore, one of the factors contributing to polypharmacy is the excessive consumption of dietary supplements by Poles, especially geriatric patients - almost half of Poles consume them regularly. Polypharmacy can be defined as the simultaneous use of at least five different drugs. It is particularly often used in elderly patients due to the multimorbidity and lack of healthcare access. The advantage of polypharmacotherapy is fas</w:t>
      </w:r>
    </w:p>
    <w:p>
      <w:pPr/>
      <w:r>
        <w:rPr>
          <w:b/>
        </w:rPr>
        <w:t>POSSIBLE 2026:</w:t>
      </w:r>
      <w:r>
        <w:t xml:space="preserve"> Satellite-based Determination and Analysis of Groundwater Drought Index Time Series in Europe — https://doi.org/10.59440/ceer/220434</w:t>
      </w:r>
    </w:p>
    <w:p>
      <w:pPr/>
      <w:r>
        <w:rPr>
          <w:b/>
        </w:rPr>
        <w:t>Shared claim-specific concepts:</w:t>
      </w:r>
      <w:r>
        <w:t xml:space="preserve"> time, decrease, climate; EU scope visible. This is a provisional connection, not an outcome finding.</w:t>
      </w:r>
    </w:p>
    <w:p>
      <w:pPr>
        <w:pStyle w:val="SourceNote"/>
      </w:pPr>
      <w:r>
        <w:rPr>
          <w:b/>
        </w:rPr>
        <w:t>Available abstract (not full text):</w:t>
      </w:r>
      <w:r>
        <w:t xml:space="preserve"> According to the European Drought Observatory, more than 30% of Europe has been under drought warning conditions since 2018. This situation is primarily attributed to a persistent decline in groundwater resources. Satellite observations confirm that groundwater levels have not been recovering; in some regions, they continue to decrease. Data from the Global Gravity-based Groundwater Product (G3P) project, which employs satellite gravimetric measurements, enable continuous monitoring of groundwater variations and provide a globally consistent map of gravity field changes, directly converted into terrestrial water storage variations, of which groundwater is a key component. This study aims to estimate groundwater storage using models from the Global Gravity-based Groundwater Product derived from the Gravity Recovery and Climate Experiment (GRACE) mission. Based on the estimated groundwater storage, the Groundwater Drought Index (GDI) was calculated for climatically homogeneous regions in Europe, as defined by the Köppen–Geiger climate classification. To enhance the analysis of temporal GDI variations, the index time series was decomposed using the Fourier transform, allowing for the identification of dominant periodic components and long-term trends. Time series decomposition revealed a strong seasonal dependence of groundwater. The highest levels are observed in spring and the l</w:t>
      </w:r>
    </w:p>
    <w:p>
      <w:pPr/>
      <w:r>
        <w:rPr>
          <w:b/>
        </w:rPr>
        <w:t>POSSIBLE 2026:</w:t>
      </w:r>
      <w:r>
        <w:t xml:space="preserve"> Variations in Movement and Habitat Selection by Eurasian Curlew at Two Important Sites in Europe Throughout Winter — https://doi.org/10.1002/ece3.74164</w:t>
      </w:r>
    </w:p>
    <w:p>
      <w:pPr/>
      <w:r>
        <w:rPr>
          <w:b/>
        </w:rPr>
        <w:t>Shared claim-specific concepts:</w:t>
      </w:r>
      <w:r>
        <w:t xml:space="preserve"> time, winter, measures, coast, sea; EU scope visible. This is a provisional connection, not an outcome finding.</w:t>
      </w:r>
    </w:p>
    <w:p>
      <w:pPr>
        <w:pStyle w:val="SourceNote"/>
      </w:pPr>
      <w:r>
        <w:rPr>
          <w:b/>
        </w:rPr>
        <w:t>Available abstract (not full text):</w:t>
      </w:r>
      <w:r>
        <w:t xml:space="preserve"> ABSTRACT Shorebirds aim to replenish their body reserves during the wintering season to ensure their subsequent survival and to improve their breeding performance. However, their space use depends on their fluctuating resource availability and energy requirements throughout the winter. Hence, this study aimed to determine if the space and habitats used by Eurasian curlews ( Numenius arquata ) were influenced by their wintering site and stage. Sixty‐two curlews were equipped with GPS tags at two major wintering sites in Europe with contrasting waterbird density: the Pertuis Charentais (PC) in France and the German part of the Wadden Sea (WS). Their home ranges (HRs) and foraging habitat selection were compared according to three wintering stages requiring different energy demands (i.e., early winter, mid‐winter and late winter before migration). Curlews exhibited similar HR sizes at both sites throughout the winter, suggesting no effect of waterbird density on individuals' space use. HR sizes were larger during the day than at night and showed high inter‐individual variability, unrelated to sex. Notably, the HRs were larger during the first winter stage (i.e., Arrival–September), with curlews spending a greater proportion of time on mudflats, and selecting distinct foraging areas located further from the coast at this stage. Curlews in the WS fed mainly on the mudflats, while cu</w:t>
      </w:r>
    </w:p>
    <w:p>
      <w:pPr/>
      <w:r>
        <w:rPr>
          <w:b/>
        </w:rPr>
        <w:t>POSSIBLE 2026:</w:t>
      </w:r>
      <w:r>
        <w:t xml:space="preserve"> Non-native drought-resistant species withstand winter cold and spring frost in Central Europe — https://doi.org/10.1016/j.foreco.2026.123788</w:t>
      </w:r>
    </w:p>
    <w:p>
      <w:pPr/>
      <w:r>
        <w:rPr>
          <w:b/>
        </w:rPr>
        <w:t>Shared claim-specific concepts:</w:t>
      </w:r>
      <w:r>
        <w:t xml:space="preserve"> winter, temperature, climate; EU scope visible. This is a provisional connection, not an outcome finding.</w:t>
      </w:r>
    </w:p>
    <w:p>
      <w:pPr>
        <w:pStyle w:val="SourceNote"/>
      </w:pPr>
      <w:r>
        <w:rPr>
          <w:b/>
        </w:rPr>
        <w:t>Available abstract (not full text):</w:t>
      </w:r>
      <w:r>
        <w:t xml:space="preserve"> Assisted migration of drought-resistant species represents an increasingly important strategy in forest management to mitigate the effects of climate change in Central Europe. However, their ecophysiology remains poorly understood, particularly regarding frost tolerance, limiting our ability to predict their establishment potential. Using a forest plantation established in 2012 at 658 m a.s.l. in Switzerland, we assessed winter frost hardiness and the risk of late spring frost in drought-resistant non-native tree species ( Fagus orientalis , Tilia tomentosa, Abies bornmuelleriana , and Cedrus libani ) and compared them with phylogenetically related native species ( Fagus sylvatica , Quercus petraea , Tilia platyphyllos , and Abies alba ). We measured lethal temperature thresholds (LT max ) for frost damage in buds and leaves, and evaluated phenological timing in relation to historical frost probability. Contrary to expectations, non-native species exhibited frost hardiness comparable to native species, with no significant differences in LT max values. As our study was conducted during the relatively mild winter of 2024–2025, the estimated frost hardiness may underestimate their full acclimation potential under colder conditions. The lack of consistent differences between native and non-native origins suggests that phenotypic plasticity and seasonal acclimation outweigh genetic </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time, temperature, measures, increase,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TDM and AI Training in the European Union – From ‘ LAION ’ to Possible Ways Ahead? — https://doi.org/10.1093/grurint/ikaf114</w:t>
      </w:r>
    </w:p>
    <w:p>
      <w:pPr/>
      <w:r>
        <w:rPr>
          <w:b/>
        </w:rPr>
        <w:t>Shared claim-specific concepts:</w:t>
      </w:r>
      <w:r>
        <w:t xml:space="preserve"> same, time, possible; EU scope visible. This is a provisional connection, not an outcome finding.</w:t>
      </w:r>
    </w:p>
    <w:p>
      <w:pPr>
        <w:pStyle w:val="SourceNote"/>
      </w:pPr>
      <w:r>
        <w:rPr>
          <w:b/>
        </w:rPr>
        <w:t>Available abstract (not full text):</w:t>
      </w:r>
      <w:r>
        <w:t xml:space="preserve"> Abstract The first judgments have been rendered in the European Union that directly or indirectly deal with AI training, and the corresponding applicability, conditions and scope of the European exception to copyright for commercial text and data mining (TDM). These judgments serve as important impulses for the future interpretation of the provision and the current legal and policy debate on AI training and TDM in the EU. The most pressing question is how to define the requirements for a machine-readable opt-out pursuant to Art. 4(3) DSM Directive, even more so since Art. 53(1)(c) AI Act obliges providers of general-purpose AI models to put in place a policy to identify and comply with corresponding reservations of rights during the training process – even when carried out in a third country outside the EU. This is not only relevant from a doctrinal point of view. Rather, the interpretation and specification of and the interplay between Art. 4(3) DSM Directive and Art. 53(1)(c) AI Act are of key importance for future global AI training practice. At the same time, these provisions constitute the main anchoring point in EU copyright law for reflecting on the possible development of licensing markets for AI training material and/or possible de lege ferenda options under a legal policy perspective.</w:t>
      </w:r>
    </w:p>
    <w:p>
      <w:pPr/>
      <w:r>
        <w:rPr>
          <w:b/>
        </w:rPr>
        <w:t>POSSIBLE 2025:</w:t>
      </w:r>
      <w:r>
        <w:t xml:space="preserve"> Updated monthly homogenized precipitation analysis HOMPRA Europe 2 online — https://doi.org/10.5194/ems2025-682</w:t>
      </w:r>
    </w:p>
    <w:p>
      <w:pPr/>
      <w:r>
        <w:rPr>
          <w:b/>
        </w:rPr>
        <w:t>Shared claim-specific concepts:</w:t>
      </w:r>
      <w:r>
        <w:t xml:space="preserve"> same, time, possible, minimum; EU scope visible. This is a provisional connection, not an outcome finding.</w:t>
      </w:r>
    </w:p>
    <w:p>
      <w:pPr>
        <w:pStyle w:val="SourceNote"/>
      </w:pPr>
      <w:r>
        <w:rPr>
          <w:b/>
        </w:rPr>
        <w:t>Available abstract (not full text):</w:t>
      </w:r>
      <w:r>
        <w:t xml:space="preserve"> Reliable data is essential for robust precipitation trend analyses. However, long time series in particular often contain artificial changes due to changes in the measurement conditions (e.g. instrument changes or relocations). These can lead to an artificial signal in the data and mask the actual changes in the time series. In order to perform long-term precipitation change analyses, the monthly grid product HOMPRA Europe 2 (HOMogenized PRecipitation Analysis of European in-situ data) was developed at the Global Precipitation Climatology Centre (GPCC) and is available for the period 1951-2015 with 0.5°, 1.0° and 2.5° spatial resolution. The database consists of monthly time series carefully selected from the GPCC's data archive with less than 20% missing values. All data have already passed the GPCC's semi-automatic quality control. Compared to its predecessor, the number of incoming stations has increased from 5373 to 7916 and the data set has been extended from 2005 to 2015. The selected time series have been homogenized. This process recognizes and corrects the artificial influences as far as possible while retaining the natural changes. The actual algorithm is essentially based on three steps (Rustemeier et al., 2017): Selection of overlapping station networks located in the same precipitation regime, based on rank correlation and Ward's method of minimum variance. The nat</w:t>
      </w:r>
    </w:p>
    <w:p>
      <w:pPr/>
      <w:r>
        <w:rPr>
          <w:b/>
        </w:rPr>
        <w:t>POSSIBLE 2025:</w:t>
      </w:r>
      <w:r>
        <w:t xml:space="preserve"> A Possible Way to Enhance European Competitiveness — https://doi.org/10.34190/ecie.20.1.3930</w:t>
      </w:r>
    </w:p>
    <w:p>
      <w:pPr/>
      <w:r>
        <w:rPr>
          <w:b/>
        </w:rPr>
        <w:t>Shared claim-specific concepts:</w:t>
      </w:r>
      <w:r>
        <w:t xml:space="preserve"> possible, increase, area; EU scope visible. This is a provisional connection, not an outcome finding.</w:t>
      </w:r>
    </w:p>
    <w:p>
      <w:pPr>
        <w:pStyle w:val="SourceNote"/>
      </w:pPr>
      <w:r>
        <w:rPr>
          <w:b/>
        </w:rPr>
        <w:t>Available abstract (not full text):</w:t>
      </w:r>
      <w:r>
        <w:t xml:space="preserve"> In our Conference presentation, we would like to present a possible way to enhance European Competitiveness, which is registered in the Hungarian Intellectual Property Office under the name of the “IK &amp; International Innovation Center” Project. (Voluntary registration number: Y2500012). In the introductory part, our previous research results – primarily related to Library Innovation, generating creativity and startups and the associated social media platform – will be briefly presented. In our presentation, we will also discuss the results of university students’ responses to online questionnaires related to this topic. The International Innovation Center Project (IICP) aims to increase the competitiveness of the EU by establishing an International Innovation Center, which would be implemented in the capital of an EU member state, with the participation of all EU countries. Some main parameters: in the 27-story “Metropolis”, each EU member state would have its own floor – research lab, mini innovative exhibition area, luxury apartment – ​​as well as a “common” innovative Startup centre (permanent interactive exhibition open to both professionals and the general public), a common, high-tech equipped, ergonomic, library research and development lab including Coworking elements, an international conference centre, a cultural and sports centre, an Innovation Park with a helipad. Th</w:t>
      </w:r>
    </w:p>
    <w:p>
      <w:pPr/>
      <w:r>
        <w:rPr>
          <w:b/>
        </w:rPr>
        <w:t>POSSIBLE 2025:</w:t>
      </w:r>
      <w:r>
        <w:t xml:space="preserve"> Shorter and Warmer Winters Expand the Hibernation Area of Bats in Europe — https://doi.org/10.1111/ele.70119</w:t>
      </w:r>
    </w:p>
    <w:p>
      <w:pPr/>
      <w:r>
        <w:rPr>
          <w:b/>
        </w:rPr>
        <w:t>Shared claim-specific concepts:</w:t>
      </w:r>
      <w:r>
        <w:t xml:space="preserve"> winter, temperature, climate, area; EU scope visible. This is a provisional connection, not an outcome finding.</w:t>
      </w:r>
    </w:p>
    <w:p>
      <w:pPr>
        <w:pStyle w:val="SourceNote"/>
      </w:pPr>
      <w:r>
        <w:rPr>
          <w:b/>
        </w:rPr>
        <w:t>Available abstract (not full text):</w:t>
      </w:r>
      <w:r>
        <w:t xml:space="preserve"> Predicting species range shifts in response to environmental change requires the determination of regions where individuals maintain a positive energy budget. For hibernating animals, this budget depends on two physiological states (normothermy and torpor) that alternate in response to ambient temperature. To study range shifts of hibernators like the common noctule (Nyctalus noctula), we developed an ecophysiological approach that integrates metabolic rates, physiological states, and environmental conditions. Our model accurately hindcasted the northward range shift of this migratory bat over the past 50 years. Under climate change forecasts SSP1-2.6, SSP2-4.5, SSP3-7.0, and SSP5-8.5, for which winters will shorten by 1.4-41 days and warm by 0.11°C-2.3°C, the hibernation area is predicted to shift by 78-732 km and expand north-eastward by 5.8%-14% by 2100. Mean ambient temperature and winter duration prove sufficient to approximate the hibernation niche and may be used to predict changes in hibernation areas where collecting physiological measurements is difficult.</w:t>
      </w:r>
    </w:p>
    <w:p>
      <w:pPr>
        <w:pStyle w:val="Heading2"/>
      </w:pPr>
      <w:r>
        <w:t>530. Forecasting the Volatility of European Union Allowance Futures with Climate Policy Uncertainty Using the EGARCH-MIDAS Model</w:t>
      </w:r>
    </w:p>
    <w:p>
      <w:pPr>
        <w:pStyle w:val="SourceNote"/>
      </w:pPr>
      <w:r>
        <w:rPr>
          <w:b/>
        </w:rPr>
        <w:t>Original source (2022):</w:t>
      </w:r>
      <w:r>
        <w:t xml:space="preserve"> https://doi.org/10.3390/su14074306</w:t>
      </w:r>
    </w:p>
    <w:p>
      <w:pPr/>
      <w:r>
        <w:t>Original wording (abstract; indexed_source_text_not_full_document_verified): There is room for further application of the model, such as this model could be applied to price carbon futures, so as to improve the liquidity of the carbon market and achieve carbon peak and carbon neutrality as soon as possible.</w:t>
      </w:r>
    </w:p>
    <w:p>
      <w:pPr/>
      <w:r>
        <w:rPr>
          <w:b/>
        </w:rPr>
        <w:t>POSSIBLE 2026:</w:t>
      </w:r>
      <w:r>
        <w:t xml:space="preserve"> Arithmetic modeling of a multilevel escape room — https://doi.org/10.3389/feduc.2026.1669956</w:t>
      </w:r>
    </w:p>
    <w:p>
      <w:pPr/>
      <w:r>
        <w:rPr>
          <w:b/>
        </w:rPr>
        <w:t>Shared claim-specific concepts:</w:t>
      </w:r>
      <w:r>
        <w:t xml:space="preserve"> room, possible; EU scope not established. This is a provisional connection, not an outcome finding.</w:t>
      </w:r>
    </w:p>
    <w:p>
      <w:pPr>
        <w:pStyle w:val="SourceNote"/>
      </w:pPr>
      <w:r>
        <w:rPr>
          <w:b/>
        </w:rPr>
        <w:t>Available abstract (not full text):</w:t>
      </w:r>
      <w:r>
        <w:t xml:space="preserve"> The acceptance of educational escape rooms as active evaluation tools is growing throughout the educational field, covering all areas and levels. In this paper, a multilevel educational escape room has been proposed, which is composed of a series of independent levels, such that each level has to be completed prior to taking up the next one. This specific layout allows instructors to allocate a given part of a course syllabus to each level, where a series of tests composed of randomly-selected questions must be taken in order to move along each level according to the scores obtained. A model for this type of escape room layout has been designed in order to find out the shortest possible time to complete it, considering a curvilinear relationship between the time spent in a test and the score obtained. Additionally, the verification of this model has been carried out by means of arithmetic calculations, as well as with a handcrafted algorithm coded in a programming language called Promela, which was run in a specific verification tool called Spin.</w:t>
      </w:r>
    </w:p>
    <w:p>
      <w:pPr/>
      <w:r>
        <w:rPr>
          <w:b/>
        </w:rPr>
        <w:t>POSSIBLE 2026:</w:t>
      </w:r>
      <w:r>
        <w:t xml:space="preserve"> Why Grey Room — https://doi.org/10.1162/grey.e.11</w:t>
      </w:r>
    </w:p>
    <w:p>
      <w:pPr/>
      <w:r>
        <w:rPr>
          <w:b/>
        </w:rPr>
        <w:t>Shared claim-specific concepts:</w:t>
      </w:r>
      <w:r>
        <w:t xml:space="preserve"> room, further, liquidity; EU scope visible. This is a provisional connection, not an outcome finding.</w:t>
      </w:r>
    </w:p>
    <w:p>
      <w:pPr>
        <w:pStyle w:val="SourceNote"/>
      </w:pPr>
      <w:r>
        <w:rPr>
          <w:b/>
        </w:rPr>
        <w:t>Available abstract (not full text):</w:t>
      </w:r>
      <w:r>
        <w:t xml:space="preserve"> Photo falling—Word falling—Break through in grey room—Towers, open fireWhen Branden Joseph, Reinhold Martin, and Felicity Scott founded Grey Room twenty-five years ago, they borrowed its title from a passage in William S. Burroughs's novel The Ticket That Exploded (1962). As a new editorial group takes the helm, we revisit this foundational part of the journal's identity to think about what it means to “break through in grey room” today.Burroughs wrote these lines amid a period of postwar, Atomic Age tumult. For a number of years he resided in the so-called International Zone of Tangier, Morocco—a semi-lawless place where sovereign state power was indefinite, a city on the cusp of decolonial revolution. In Burroughs's writings, it was fictionalized as the Interzone, “a place where the unknown past and the emergent future meet in a vibrating soundless hum.”1 No single national authority controlled the International Zone; its interstitial status was poised between a waning colonial Europe and the waxing Pax Americana, of which Burroughs was a certain sort of privileged scion. For decades, the Burroughs Corporation, a manufacturer of adding machines founded by the author's grandfather, acted as a significant rival to (and occasional collaborator with) IBM. In the first half of the twentieth century, its computers aided astronomical calculations that guided U.S. sailors on the open</w:t>
      </w:r>
    </w:p>
    <w:p>
      <w:pPr/>
      <w:r>
        <w:rPr>
          <w:b/>
        </w:rPr>
        <w:t>POSSIBLE 2026:</w:t>
      </w:r>
      <w:r>
        <w:t xml:space="preserve"> Empirical verification of the carbon dioxide concentration model in the didactic room — https://doi.org/10.12911/22998993/219343</w:t>
      </w:r>
    </w:p>
    <w:p>
      <w:pPr/>
      <w:r>
        <w:rPr>
          <w:b/>
        </w:rPr>
        <w:t>Shared claim-specific concepts:</w:t>
      </w:r>
      <w:r>
        <w:t xml:space="preserve"> room, carbon; EU scope not established. This is a provisional connection, not an outcome finding.</w:t>
      </w:r>
    </w:p>
    <w:p>
      <w:pPr>
        <w:pStyle w:val="SourceNote"/>
      </w:pPr>
      <w:r>
        <w:rPr>
          <w:b/>
        </w:rPr>
        <w:t>Available abstract (not full text):</w:t>
      </w:r>
      <w:r>
        <w:t xml:space="preserve"> Validation of the created mathematical model was based on the measurements of carbon dioxide concentration conducted in a teaching room in two variants.The highest average deviation of the results of the carbon dioxide concentration from the simulations and measurements is 2.1% (room A) and 1.6% (room B).The deviation of the results obtained from the simulation and the results obtained during experimental tests is smaller than the total measurement error for a given test series.The study showed the versatility of the model.It gives an opportunity to apply for a description of the hygiene conditions in different types of rooms, used by different number of people under variable internal conditions (temperature, relative humidity, atmospheric pressure).The assumptions and simplifications of the model are its advantages, because make the model easy to use.Simulation of carbon dioxide concentration in closed rooms using a model can be useful to determine the time of mechanical ventilation switching on or to determine its efficiency.The model can be used in the design of air quality monitoring systems, including the CO₂ sensors that control ventilation.It can also be useful for creating the tools for counting people in a room.</w:t>
      </w:r>
    </w:p>
    <w:p>
      <w:pPr/>
      <w:r>
        <w:rPr>
          <w:b/>
        </w:rPr>
        <w:t>POSSIBLE 2025:</w:t>
      </w:r>
      <w:r>
        <w:t xml:space="preserve"> The Elephant in the Family Policy Room: How Care Culture Influences the Effects of Public Childcare on Women’s Labor Market Participation in Europe — https://doi.org/10.1007/s11205-025-03719-2</w:t>
      </w:r>
    </w:p>
    <w:p>
      <w:pPr/>
      <w:r>
        <w:rPr>
          <w:b/>
        </w:rPr>
        <w:t>Shared claim-specific concepts:</w:t>
      </w:r>
      <w:r>
        <w:t xml:space="preserve"> room, achieve; EU scope visible. This is a provisional connection, not an outcome finding.</w:t>
      </w:r>
    </w:p>
    <w:p>
      <w:pPr>
        <w:pStyle w:val="SourceNote"/>
      </w:pPr>
      <w:r>
        <w:rPr>
          <w:b/>
        </w:rPr>
        <w:t>Available abstract (not full text):</w:t>
      </w:r>
      <w:r>
        <w:t xml:space="preserve"> Abstract This paper examines how cultural contexts influence the extent to which policies aimed at supporting women’s employment and gender equality achieve their objectives. More specifically, it addresses how the availability of formal public childcare services for children under the age of three and their expansion support women’s labour market participation in different cultural contexts. Few studies have examined cultural and structural factors together. The study integrates individual-level data from the European Social Survey on women’s employment and their attitudes with time-varying regional-level information from statistical offices on public early childhood education and care (ECEC) provision and information on gender care culture obtained from different waves of the European Values Study. We find that increasing the availability of ECEC is particularly effective in promoting women’s full-time employment and women’s labour market participation in contexts where traditional cultural values regarding gendered care prevail. The results appear to be independent of individual attitudes. The paper highlights the interaction between structural and cultural factors in shaping employment behaviour and suggests that the outcomes of social policy interventions, such as the expansion of ECEC, are strongly influenced by cultural contexts, although not necessarily in the expected </w:t>
      </w:r>
    </w:p>
    <w:p>
      <w:pPr/>
      <w:r>
        <w:rPr>
          <w:b/>
        </w:rPr>
        <w:t>POSSIBLE 2025:</w:t>
      </w:r>
      <w:r>
        <w:t xml:space="preserve"> Stuck in the waiting room: citizen experiences of administrative limbo in three European crises — https://doi.org/10.1093/jopart/muaf017</w:t>
      </w:r>
    </w:p>
    <w:p>
      <w:pPr/>
      <w:r>
        <w:rPr>
          <w:b/>
        </w:rPr>
        <w:t>Shared claim-specific concepts:</w:t>
      </w:r>
      <w:r>
        <w:t xml:space="preserve"> there, room, further; EU scope visible. This is a provisional connection, not an outcome finding.</w:t>
      </w:r>
    </w:p>
    <w:p>
      <w:pPr>
        <w:pStyle w:val="SourceNote"/>
      </w:pPr>
      <w:r>
        <w:rPr>
          <w:b/>
        </w:rPr>
        <w:t>Available abstract (not full text):</w:t>
      </w:r>
      <w:r>
        <w:t xml:space="preserve"> Abstract In recent years, there have been numerous cases where citizens have found themselves stuck in highly protracted administrative processes affecting outcomes vital to their lives and livelihoods. However, systematic inquiries into the experience of being trapped by bureaucratic procedures or state inaction for sometimes multiple years are still lacking. To study the interactions between citizens and the state when long waiting times and significant outcomes are involved, we introduce the concept of administrative limbo. We examine administrative limbo using primary and secondary interview data from the Irish defective concrete block crisis, the Dutch childcare benefits affair, and the Dutch Groningen gas crisis. Findings suggest that experiences of administrative limbo are marked by prolonged and extensive uncertainty, accumulating strain, and negatively impacted life perspectives. We find that the effects of being stuck in administrative limbo are profound, indicating that temporal experiences of inaction and action should be further explored in public administration.</w:t>
      </w:r>
    </w:p>
    <w:p>
      <w:pPr/>
      <w:r>
        <w:rPr>
          <w:b/>
        </w:rPr>
        <w:t>POSSIBLE 2025:</w:t>
      </w:r>
      <w:r>
        <w:t xml:space="preserve"> EUROPEAN ASSESSMENT OF COASTAL FLOOD HAZARDS — https://doi.org/10.9753/icce.v38.management.202</w:t>
      </w:r>
    </w:p>
    <w:p>
      <w:pPr/>
      <w:r>
        <w:rPr>
          <w:b/>
        </w:rPr>
        <w:t>Shared claim-specific concepts:</w:t>
      </w:r>
      <w:r>
        <w:t xml:space="preserve"> there, room, applied, possible; EU scope visible. This is a provisional connection, not an outcome finding.</w:t>
      </w:r>
    </w:p>
    <w:p>
      <w:pPr>
        <w:pStyle w:val="SourceNote"/>
      </w:pPr>
      <w:r>
        <w:rPr>
          <w:b/>
        </w:rPr>
        <w:t>Available abstract (not full text):</w:t>
      </w:r>
      <w:r>
        <w:t xml:space="preserve"> Analyzing extreme events and determining their impacts in terms of coastal flooding are crucial for understanding and preventing potential risks caused by such hazards. Although TWL calculation and flood modelling at large scales have been addressed in the literature before, there is still much room for improvement if adaptation policies are to be developed, as they require to be based on the most accurate and least uncertain risk analysis possible. As for the flood modeling itself, the highest resolution of digital elevation model (DEM) adopted is 25 m but with a static flood modeling approach, while the only pan-European dynamic flood modeling is applied to a 90 m DEM (Vousdoukas et al., 2016). By applying high-resolution and nearshore datasets of TWL, DEM and land use information to semi-empirical and process-based models, this study aims to advance knowledge in the identified gaps to better approach the requirements that risk-based adaptation frameworks are increasingly demanding as for resolution, accuracy, and uncertainty sampling.</w:t>
      </w:r>
    </w:p>
    <w:p>
      <w:pPr/>
      <w:r>
        <w:rPr>
          <w:b/>
        </w:rPr>
        <w:t>POSSIBLE 2025:</w:t>
      </w:r>
      <w:r>
        <w:t xml:space="preserve"> The Euclid Escape Room: a journey to the Origin of the Universe — https://doi.org/10.5281/zenodo.17828893</w:t>
      </w:r>
    </w:p>
    <w:p>
      <w:pPr/>
      <w:r>
        <w:rPr>
          <w:b/>
        </w:rPr>
        <w:t>Shared claim-specific concepts:</w:t>
      </w:r>
      <w:r>
        <w:t xml:space="preserve"> room, applied; EU scope visible. This is a provisional connection, not an outcome finding.</w:t>
      </w:r>
    </w:p>
    <w:p>
      <w:pPr>
        <w:pStyle w:val="SourceNote"/>
      </w:pPr>
      <w:r>
        <w:rPr>
          <w:b/>
        </w:rPr>
        <w:t>Available abstract (not full text):</w:t>
      </w:r>
      <w:r>
        <w:t xml:space="preserve"> Poster presented at the XXI International Workshop on Neutrino Telescopes - Padova 29 September - 3 October 2025 (https://agenda.infn.it/event/44606/) Abstract: The Euclid Escape Room is an Outreach project developed by the University of Padova and the INFN Euclid Group, it is officially endorsed by the Euclid International Collaboration.It is part of the efforts related to the European Researchers' Night, the first version of the game was developed in September 2022 and then updated every year with material describing the Euclid satellite launch and the official images released by ESA.The interactive activities are addressed to a group/class of about 25 people and fit an audience of kids and primary school students (up to 14 yrs). Euclid satellite components and scientific goals are described, several videos and pictures showing the satellite assembly and launch are shown and finally a 3D Euclid model can be admired. After the launch simulation several images and galaxy spectra are discussed, the procedures to be applied for redshift estimation are also introduced using Infrared cameras and diffraction gratings.Such activity was really appreciated by the public and we already reached an audience of about 1000 people; the project is complemented by educational material suitable to lectures and interactive activities aiming to introduce the study of the dark components of our Un</w:t>
      </w:r>
    </w:p>
    <w:p>
      <w:pPr/>
      <w:r>
        <w:rPr>
          <w:b/>
        </w:rPr>
        <w:t>POSSIBLE 2025:</w:t>
      </w:r>
      <w:r>
        <w:t xml:space="preserve"> European coastal flood hazards — https://doi.org/10.5194/egusphere-egu25-17323</w:t>
      </w:r>
    </w:p>
    <w:p>
      <w:pPr/>
      <w:r>
        <w:rPr>
          <w:b/>
        </w:rPr>
        <w:t>Shared claim-specific concepts:</w:t>
      </w:r>
      <w:r>
        <w:t xml:space="preserve"> there, room, applied, possible; EU scope visible. This is a provisional connection, not an outcome finding.</w:t>
      </w:r>
    </w:p>
    <w:p>
      <w:pPr>
        <w:pStyle w:val="SourceNote"/>
      </w:pPr>
      <w:r>
        <w:rPr>
          <w:b/>
        </w:rPr>
        <w:t>Available abstract (not full text):</w:t>
      </w:r>
      <w:r>
        <w:t xml:space="preserve"> Analyzing extreme events and determining their impacts in terms of coastal flooding are crucial for understanding and preventing potential risks caused by such hazards. These risks include damage to coastal infrastructure and the built environment and impacts on the population. Identifying the key components of the total water level (TWL) reaching the coast and treating them properly to model flood propagation over land is a challenge whose complexity increases as the spatial scale increases. Although TWL calculation and flood modeling at large scales have been addressed in the literature before, there is still room for improvement if adaptation policies are to be developed, as they ought to be based on the most accurate and least uncertain risk analysis possible. For example, the resolution often adopted in existing studies for the TWL reconstruction (12.5 km to 70 km) is not high enough when it comes to estimating coastal impacts. This is mainly because such studies do not use downscaled wave dynamics but rather offshore conditions. Additionally, most research to date does not consider all main components of TWL neglecting the wave contribution, which can be an important driver of coastal flooding. Out of the ones that include it through wave setup, the majority use a simple approach (0.2Hs) and only a few adopt a semi-empirical formula, although with a spatially constant nea</w:t>
      </w:r>
    </w:p>
    <w:p>
      <w:pPr/>
      <w:r>
        <w:rPr>
          <w:b/>
        </w:rPr>
        <w:t>POSSIBLE 2025:</w:t>
      </w:r>
      <w:r>
        <w:t xml:space="preserve"> MATHEMATICAL MODELING OF ION DISPERSION IN ROOM : OPTIMIZATION PROBLEM SOLVING — https://doi.org/10.30838/ujcea.0434.270526.178.1272</w:t>
      </w:r>
    </w:p>
    <w:p>
      <w:pPr/>
      <w:r>
        <w:rPr>
          <w:b/>
        </w:rPr>
        <w:t>Shared claim-specific concepts:</w:t>
      </w:r>
      <w:r>
        <w:t xml:space="preserve"> room, possible; EU scope not established. This is a provisional connection, not an outcome finding.</w:t>
      </w:r>
    </w:p>
    <w:p>
      <w:pPr>
        <w:pStyle w:val="SourceNote"/>
      </w:pPr>
      <w:r>
        <w:rPr>
          <w:b/>
        </w:rPr>
        <w:t>Available abstract (not full text):</w:t>
      </w:r>
      <w:r>
        <w:t xml:space="preserve"> Problem statement. Ionization of air in the working room is an important task. The location of the ionizer in the room should be such as to provide the required concentration of ions in the working area. Thus, the task arises of determining the optimal location of the ionizer in the room for given room dimensions, the presence of furniture, equipment in the room and a given ventilation mode. The purpose of the article. Creation of a CFD model based on the aerodynamic equation and the coupled mass transfer equation to determine the optimal location of the ionizer in the room. Methodology. For the numerical solution of the modeling equations (the equation for the velocity potential and the conjugate mass transfer equation), finite-difference schemes are used. The numerical integration of the equation for the velocity potential is carried out using the Liebman method and a locally one-dimensional finite-difference scheme. For the numerical solution of the conjugate mass transfer equation, the methodology of G. Marchuk is used - the conjugate equation, through transformations, is reduced to the mass transfer equation. Then, two finite-difference schemes are used for the numerical integration of the mass transfer equation. The software implementation of the developed numerical models is carried out. The developed computer code makes it possible to take into account the presence of f</w:t>
      </w:r>
    </w:p>
    <w:p>
      <w:pPr/>
      <w:r>
        <w:rPr>
          <w:b/>
        </w:rPr>
        <w:t>POSSIBLE 2024:</w:t>
      </w:r>
      <w:r>
        <w:t xml:space="preserve"> Evaluation of an automated decision aid for the further referral of emergency room patients — https://doi.org/10.3238/arztebl.m2024.0191</w:t>
      </w:r>
    </w:p>
    <w:p>
      <w:pPr/>
      <w:r>
        <w:rPr>
          <w:b/>
        </w:rPr>
        <w:t>Shared claim-specific concepts:</w:t>
      </w:r>
      <w:r>
        <w:t xml:space="preserve"> there, room, further, application; EU scope visible. This is a provisional connection, not an outcome finding.</w:t>
      </w:r>
    </w:p>
    <w:p>
      <w:pPr>
        <w:pStyle w:val="SourceNote"/>
      </w:pPr>
      <w:r>
        <w:rPr>
          <w:b/>
        </w:rPr>
        <w:t>Available abstract (not full text):</w:t>
      </w:r>
      <w:r>
        <w:t xml:space="preserve"> BACKGROUND: Instruments for the initial evaluation of emergency room patients as an aid to their onward referral to ambulatory care structures are a matter of current interest. In this study, we assess the safety of the software application SmED-Kontakt+ for this purpose. SmED is an abbreviation for Strukuturierte Medizinische Ersteinschätzung Deutschland, "structured initial medical evaluation in Germany." METHODS: In this prospective cohort study, we compared the recommendations of SmED-Kontakt+ concerning the time and place of further care with those of the treating physicians. The subjects were adult patients who were able to walk and had presented themselves to the emergency room. Whenever SmED-Kontakt+ assessed the situation less critically than the physicians, and in 5% of the remaining cases, the potential endangerment of patient safety was assessed by an expert panel (expected value &lt;1%). RESULTS: In a total of 1840 cases, SmED-Kontakt+ agreed with the physicians' assessment in 353 (19%). The assessment of SmEDKontakt+ was more critical in 1221 cases (66%) and less critical in 266 (15%; potential undertriage). There was potential endangerment in 49 cases (2.7%; 95% confidence interval [2.0; 3.5]). Potential endangerment was less common among patients in the more urgent recommendation categories [0.1; 2.6] and more common in the categories of a recommended outpatient ph</w:t>
      </w:r>
    </w:p>
    <w:p>
      <w:pPr/>
      <w:r>
        <w:rPr>
          <w:b/>
        </w:rPr>
        <w:t>POSSIBLE 2024:</w:t>
      </w:r>
      <w:r>
        <w:t xml:space="preserve"> MODELING THE ENTRY OF AIR CONTAMINANTS INTO A ROOM — https://doi.org/10.31650/2618-0650-2024-6-2-58-76</w:t>
      </w:r>
    </w:p>
    <w:p>
      <w:pPr/>
      <w:r>
        <w:rPr>
          <w:b/>
        </w:rPr>
        <w:t>Shared claim-specific concepts:</w:t>
      </w:r>
      <w:r>
        <w:t xml:space="preserve"> room, carbon, possible; EU scope not established. This is a provisional connection, not an outcome finding.</w:t>
      </w:r>
    </w:p>
    <w:p>
      <w:pPr>
        <w:pStyle w:val="SourceNote"/>
      </w:pPr>
      <w:r>
        <w:rPr>
          <w:b/>
        </w:rPr>
        <w:t>Available abstract (not full text):</w:t>
      </w:r>
      <w:r>
        <w:t xml:space="preserve"> A mathematical model of air contaminant (products of human activity) inflow into the isolated air space has been developed. On the basis of the formula modified by us the simulation of human respiration with carbon dioxide, water vapor and heat emission is implemented. The model also takes into account the heat input from the human body through clothing. Applying numerical modelling ANSYS CFD (Computational Fluid Dynamics) on the basis of continuity equations and Reynolds-Averaged Navier-Stokes equations "RANS" (Reynolds-Averaged Navier-Stokes) the following results on air medium state change in the isolated space were obtained: - the human respiratory cycle is modelled at simultaneous heat transfer from the body surface through clothes into the studied air space; - the exponential equation of the trend line of concentration to observation time was obtained; - monitoring and rendering (visualization) of changes in concentration, temperature and relative humidity in the space under study by time along the room height was performed. These results and regularities served as initial data for solving a number of model non-stationary problems on aerodynamics and heat and mass transfer in the room. The inverse problem of general exchange ventilation was to be solved. Changes in the state of the air environment initially contaminated with carbon dioxide, heat and water vapors were stud</w:t>
      </w:r>
    </w:p>
    <w:p>
      <w:pPr/>
      <w:r>
        <w:rPr>
          <w:b/>
        </w:rPr>
        <w:t>POSSIBLE 2024:</w:t>
      </w:r>
      <w:r>
        <w:t xml:space="preserve"> Modelling potential distribution of the invasive box tree moth across Asia, Europe, and North America — https://doi.org/10.1371/journal.pone.0302259</w:t>
      </w:r>
    </w:p>
    <w:p>
      <w:pPr/>
      <w:r>
        <w:rPr>
          <w:b/>
        </w:rPr>
        <w:t>Shared claim-specific concepts:</w:t>
      </w:r>
      <w:r>
        <w:t xml:space="preserve"> further, possible; EU scope visible. This is a provisional connection, not an outcome finding.</w:t>
      </w:r>
    </w:p>
    <w:p>
      <w:pPr>
        <w:pStyle w:val="SourceNote"/>
      </w:pPr>
      <w:r>
        <w:rPr>
          <w:b/>
        </w:rPr>
        <w:t>Available abstract (not full text):</w:t>
      </w:r>
      <w:r>
        <w:t xml:space="preserve"> The box tree moth Cydalima perspectalis (Walker) (Lepidoptera: Crambidae) (BTM) is a native moth throughout eastern Asia, having recently become invasive in Europe (2007) where it feeds on boxwood (= box tree), Buxus spp. The moth rapidly spread across Europe and the Caucasus causing damage to both ornamental and wild Buxus. In 2018, C. perspectalis was found in Toronto, ON, Canada, and has since spread south into the US. To better predict where the moth will establish and have significant impact on ornamental trade in North America, we used most recent scientific literature and distribution points to update the temperature and diapause indices of an existing ecoclimatic CLIMEX model. The model parameters provided a good fit for the potential distribution of BTM compared to its known distribution across eastern Asia and in Europe. Interestingly, our results suggest that the current native distribution in Asia is incomplete and that further expansion is also possible in its introduced range, especially in northern Europe, along the Mediterranean coast of Africa, and eastward to central Russia. In North America, the model predicts that most of North America should be climatically suitable for the moth's establishment, with the exception of Alaska and the northern territories of Canada, as well as higher elevations in the Rocky Mountains and southern hot and dry areas. Our study h</w:t>
      </w:r>
    </w:p>
    <w:p>
      <w:pPr>
        <w:pStyle w:val="Heading2"/>
      </w:pPr>
      <w:r>
        <w:t>531. Foresight Research as а Strategic Planning Component</w:t>
      </w:r>
    </w:p>
    <w:p>
      <w:pPr>
        <w:pStyle w:val="SourceNote"/>
      </w:pPr>
      <w:r>
        <w:rPr>
          <w:b/>
        </w:rPr>
        <w:t>Original source (2022):</w:t>
      </w:r>
      <w:r>
        <w:t xml:space="preserve"> https://doi.org/10.37491/unz.85-86.15</w:t>
      </w:r>
    </w:p>
    <w:p>
      <w:pPr/>
      <w:r>
        <w:t>Original wording (abstract; indexed_source_text_not_full_document_verified): While forecasting tries to predict a single «correct» version of the future, Forsythe uses several alternative plausible futures based on their usefulness to develop sound, forward-looking policies.</w:t>
      </w:r>
    </w:p>
    <w:p>
      <w:pPr/>
      <w:r>
        <w:rPr>
          <w:b/>
        </w:rPr>
        <w:t>POSSIBLE 2026:</w:t>
      </w:r>
      <w:r>
        <w:t xml:space="preserve"> Challenges and Opportunities in Single-Sample Network Modeling — https://doi.org/10.64898/2026.02.27.708608</w:t>
      </w:r>
    </w:p>
    <w:p>
      <w:pPr/>
      <w:r>
        <w:rPr>
          <w:b/>
        </w:rPr>
        <w:t>Shared claim-specific concepts:</w:t>
      </w:r>
      <w:r>
        <w:t xml:space="preserve"> predict, single, several; EU scope not established. This is a provisional connection, not an outcome finding.</w:t>
      </w:r>
    </w:p>
    <w:p>
      <w:pPr>
        <w:pStyle w:val="SourceNote"/>
      </w:pPr>
      <w:r>
        <w:rPr>
          <w:b/>
        </w:rPr>
        <w:t>Available abstract (not full text):</w:t>
      </w:r>
      <w:r>
        <w:t xml:space="preserve"> 1 Abstract Analysis of biological networks can provide unprecedented insights into the mechanisms underlying disease. Although many methods have been developed to estimate biological networks, these approaches typically use multiple experimental samples to estimate a single ‘aggregate’ network, which fails to capture population-level heterogeneity. Recently, several methods have been developed that overcome this limitation by inferring networks for individual samples, i.e. single-sample networks. However, each approach for inferring single-sample networks has been formulated differently, making it challenging to compare them. To address this issue, we re-cast the mathematics of several single-sample network methods using common variables. We then systematically explore the parameters, caveats, and underlying assumptions made by each method and examine how these differences impact single-sample network prediction. Our analyses point to a critical trade-off that occurs when trying to simultaneously predict network edges that are both shared across samples as well as edges that are specific to a given sample. For example, the mathematics of both SWEET and BONOBO includes a scale factor that drives the weights of edges in the predicted single-sample networks toward a background network. The result is that, although networks predicted by these methods tend to have the highest accura</w:t>
      </w:r>
    </w:p>
    <w:p>
      <w:pPr/>
      <w:r>
        <w:rPr>
          <w:b/>
        </w:rPr>
        <w:t>POSSIBLE 2025:</w:t>
      </w:r>
      <w:r>
        <w:t xml:space="preserve"> The impacts of virtual try-on for online shopping on consumer purchase intention: the moderating role of technology experience — https://doi.org/10.1080/23311975.2025.2500774</w:t>
      </w:r>
    </w:p>
    <w:p>
      <w:pPr/>
      <w:r>
        <w:rPr>
          <w:b/>
        </w:rPr>
        <w:t>Shared claim-specific concepts:</w:t>
      </w:r>
      <w:r>
        <w:t xml:space="preserve"> based, usefulness, develop; EU scope not established. This is a provisional connection, not an outcome finding.</w:t>
      </w:r>
    </w:p>
    <w:p>
      <w:pPr>
        <w:pStyle w:val="SourceNote"/>
      </w:pPr>
      <w:r>
        <w:rPr>
          <w:b/>
        </w:rPr>
        <w:t>Available abstract (not full text):</w:t>
      </w:r>
      <w:r>
        <w:t xml:space="preserve"> This study investigates the impact of Virtual Try-On (VTO) on consumers’ purchase intentions in online shopping within an emerging economy, based on the Technology Acceptance Model (TAM). As e-commerce grows in markets like Vietnam, understanding VTO’s influence on consumer behavior is essential for enhancing engagement and sales. The study examines VTO’s effects on purchase intentions and explores the moderating role of technological experience. Data from 557 individuals in Vietnam were analyzed using Structural Equation Modeling (SEM). The results reveal that perceived value significantly impacts both customer attitudes toward VTO and purchase intentions. Perceived enjoyment (PE), along with two TAM factors—perceived usefulness (PU) and perceived ease of use (PEU)—positively influence attitudes toward VTO, with PU being the most significant. PU also directly affects purchase intentions. In contrast, perceived privacy risk (PR) negatively influences attitudes toward VTO. The study identifies the moderating role of technological experience (TE) in the relationship between attitudes toward VTO and purchase intentions, with greater TE strengthening the link. Overall, this research provides a comprehensive model for evaluating factors influencing online purchase decisions. The findings offer practical implications for e-commerce platforms and marketers to develop more effective VT</w:t>
      </w:r>
    </w:p>
    <w:p>
      <w:pPr/>
      <w:r>
        <w:rPr>
          <w:b/>
        </w:rPr>
        <w:t>POSSIBLE 2025:</w:t>
      </w:r>
      <w:r>
        <w:t xml:space="preserve"> Is it possible to predict single cane reed mouthpiece interaction by measuring the reed alone? — https://doi.org/10.61782/fa.2025.0509</w:t>
      </w:r>
    </w:p>
    <w:p>
      <w:pPr/>
      <w:r>
        <w:rPr>
          <w:b/>
        </w:rPr>
        <w:t>Shared claim-specific concepts:</w:t>
      </w:r>
      <w:r>
        <w:t xml:space="preserve"> predict, single, several; EU scope not established. This is a provisional connection, not an outcome finding.</w:t>
      </w:r>
    </w:p>
    <w:p>
      <w:pPr>
        <w:pStyle w:val="SourceNote"/>
      </w:pPr>
      <w:r>
        <w:rPr>
          <w:b/>
        </w:rPr>
        <w:t>Available abstract (not full text):</w:t>
      </w:r>
      <w:r>
        <w:t xml:space="preserve"> This paper deals with the experimental characterization of single cane reeds.According to some authors, the reed stiffness symmetry of the unmounted reed may explain it's perceived quality.Other studies show that the nonlinear stiffness of a reed mounted on a mouthpiece partially explains it's behavior in playing situations.According to these results, the aim of this work is to study the link between measurements performed on unmounted and mounted reeds.We adapted two experimental test rigs to characterize 90 reeds with 3 different strengths.The first is dedicated to unmounted reeds.It enables to measure the local stiffness at a known distance from the reed tip by imposing a displacement and measuring the force.The second test rig focuses on the reed mouthpiece interaction.Using a force sensor and a camera, it enables to estimate the nonlinear characteristics between lip force and reed channel area.Using these numerous measurements, we investigate the relation between the indicators by the use of statistical analysis and machine learning techniques.These methods enable to show several correlations between parameters obtained from unmounted and mounted reed measurements.</w:t>
      </w:r>
    </w:p>
    <w:p>
      <w:pPr/>
      <w:r>
        <w:rPr>
          <w:b/>
        </w:rPr>
        <w:t>POSSIBLE 2024:</w:t>
      </w:r>
      <w:r>
        <w:t xml:space="preserve"> To be predicted, or not to be predicted — https://doi.org/10.4324/9781032656885-2</w:t>
      </w:r>
    </w:p>
    <w:p>
      <w:pPr/>
      <w:r>
        <w:rPr>
          <w:b/>
        </w:rPr>
        <w:t>Shared claim-specific concepts:</w:t>
      </w:r>
      <w:r>
        <w:t xml:space="preserve"> predict, single, uses; EU scope not established. This is a provisional connection, not an outcome finding.</w:t>
      </w:r>
    </w:p>
    <w:p>
      <w:pPr>
        <w:pStyle w:val="SourceNote"/>
      </w:pPr>
      <w:r>
        <w:rPr>
          <w:b/>
        </w:rPr>
        <w:t>Available abstract (not full text):</w:t>
      </w:r>
      <w:r>
        <w:t xml:space="preserve"> What follows uses both historical and theoretical tools to define the framework within which the philosophical meaning of the current obsession with technological prediction, which will be analysed in the following chapters, may be understood. The cradle of Western culture, from scripture to mythology to philosophy, continuously suggests that knowledge, specifically the prediction of humans’ future, can be dangerous to humans themselves. Yet, most interestingly, the history of Western culture coincides with the increasing attempt to make knowledge the primary objective of human activities, from philosophy itself to science and technology. More precisely, the more technology develops, the more its primary objective is to know our future, specifically to predict our future as single individuals, from our bodies’ performance to our minds’ performance. The opposition between the strive not to know and the strive to know, to the point that we automatically predict our future as single individuals, is an exceedingly meaningful symptom to try to understand the present time.</w:t>
      </w:r>
    </w:p>
    <w:p>
      <w:pPr/>
      <w:r>
        <w:rPr>
          <w:b/>
        </w:rPr>
        <w:t>POSSIBLE 2024:</w:t>
      </w:r>
      <w:r>
        <w:t xml:space="preserve"> Single Moving Average Method Forecasting to Predict Skincare Sales — https://doi.org/10.24014/ijaidm.v8i1.32028</w:t>
      </w:r>
    </w:p>
    <w:p>
      <w:pPr/>
      <w:r>
        <w:rPr>
          <w:b/>
        </w:rPr>
        <w:t>Shared claim-specific concepts:</w:t>
      </w:r>
      <w:r>
        <w:t xml:space="preserve"> tries, predict, single, based; EU scope not established. This is a provisional connection, not an outcome finding.</w:t>
      </w:r>
    </w:p>
    <w:p>
      <w:pPr>
        <w:pStyle w:val="SourceNote"/>
      </w:pPr>
      <w:r>
        <w:rPr>
          <w:b/>
        </w:rPr>
        <w:t>Available abstract (not full text):</w:t>
      </w:r>
      <w:r>
        <w:t xml:space="preserve"> Nada Nadine Skincare Store is a business engaged in the sale of beauty skincare. Nada Nadine Skincare Store was established in 2023 and is located on Jalan Lingkungan IV Air Joman, Asahan Regency. The problem at Nada Nadine Skincare Store is that it has difficulty in estimating the level of demand for beauty skincare (Wardah) for inventory because it is still guessing and experience from the production department of Nada Nadine Skincare Store and there is no beauty skincare sales forecasting system that will make it easier for Nada Nadine Skincare Store to determine the amount of beauty skincare (Wardah) inventory. The purpose of this system is to be able to apply the single moving average method to the beauty skincare (Wardah) sales demand forecasting system at the Nada Nadine Skincare Store and to be able to design a website-based beauty skincare (Wardah) sales demand forecasting system at the Nada Nadine Skincare Store using the PHP programming language and MySql database. From the problem analysis, the author tries to predict the amount of beauty skincare demand using the Single Moving Average (SMA) method. The conclusion that can be drawn from research on the Single Moving Average (SMA) based skincare sales forecasting system forecasts the sales demand for beauty skincare (wardah) at the Nada Nadine Skincare Store so The system calculation results are the same as the manua</w:t>
      </w:r>
    </w:p>
    <w:p>
      <w:pPr/>
      <w:r>
        <w:rPr>
          <w:b/>
        </w:rPr>
        <w:t>POSSIBLE 2024:</w:t>
      </w:r>
      <w:r>
        <w:t xml:space="preserve"> Significance of Anatomical Constraints in Virtual Try-On — https://doi.org/10.1109/tetci.2024.3353080</w:t>
      </w:r>
    </w:p>
    <w:p>
      <w:pPr/>
      <w:r>
        <w:rPr>
          <w:b/>
        </w:rPr>
        <w:t>Shared claim-specific concepts:</w:t>
      </w:r>
      <w:r>
        <w:t xml:space="preserve"> predict, single, based; EU scope not established. This is a provisional connection, not an outcome finding.</w:t>
      </w:r>
    </w:p>
    <w:p>
      <w:pPr>
        <w:pStyle w:val="SourceNote"/>
      </w:pPr>
      <w:r>
        <w:rPr>
          <w:b/>
        </w:rPr>
        <w:t>Available abstract (not full text):</w:t>
      </w:r>
      <w:r>
        <w:t xml:space="preserve"> The system of Virtual Try-ON (VTON) allows a user to try a product virtually. In general, a VTON system takes a clothing source and a person's image to predict the try-on output of the person in the given clothing. Although existing methods perform well for simple poses, in case of bent or crossed arms posture or when there is a significant difference between the alignment of the source clothing and the pose of the target person, these methods fail by generating inaccurate clothing deformations. In the VTON methods that employ Thin Plate Spline (TPS) based clothing transformations, this mainly occurs for two reasons - (1) the second-order smoothness constraint of TPS that restricts the bending of the object plane. (2) Overlaps among different clothing parts (e.g., sleeves and torso) can not be modeled by a single TPS transformation, as it assumes the clothing as a single planar object; therefore, disregards the independence of movement of different clothing parts. To this end, we make two major contributions. Concerning the bending limitations of TPS, we propose a human AnaTomy-Aware Geometric (ATAG) transformation. Regarding the overlap issue, we propose a part-based warping approach that divides the clothing into independently warpable parts to warp them separately and later combine them. Extensive analysis shows the efficacy of this approach.</w:t>
      </w:r>
    </w:p>
    <w:p>
      <w:pPr/>
      <w:r>
        <w:rPr>
          <w:b/>
        </w:rPr>
        <w:t>POSSIBLE 2024:</w:t>
      </w:r>
      <w:r>
        <w:t xml:space="preserve"> Hybrid Visual Predictive Control for Single and Multi-Agent Systems — https://doi.org/10.32920/25234732</w:t>
      </w:r>
    </w:p>
    <w:p>
      <w:pPr/>
      <w:r>
        <w:rPr>
          <w:b/>
        </w:rPr>
        <w:t>Shared claim-specific concepts:</w:t>
      </w:r>
      <w:r>
        <w:t xml:space="preserve"> single, several, based; EU scope not established. This is a provisional connection, not an outcome finding.</w:t>
      </w:r>
    </w:p>
    <w:p>
      <w:pPr>
        <w:pStyle w:val="SourceNote"/>
      </w:pPr>
      <w:r>
        <w:rPr>
          <w:b/>
        </w:rPr>
        <w:t>Available abstract (not full text):</w:t>
      </w:r>
      <w:r>
        <w:t xml:space="preserve"> Visual servoing (VS) is a technique which utilizes information acquired from a visual sensor to control the motion of a robot. Despite the advantages of the classic VS techniques in controlling of the robots- specifically in unstructured environments- they suffer from some system’s shortcomings such as the lack of an effective mechanism for handling the existing constraints within the control procedure. To alleviate these issues, among the several approaches proposed in the literature, the receding horizon or model predictive control (MPC) technique is an appropriate candidate to be employed by the system. Any combination of the model predictive control and visual servoing is called visual predictive control (VPC) which is categorized as the classic and hybrid methods. The classic VPC schemes are developed based on the classic VS approaches and the hybrid ones employ the hybrid VS schemes to be integrated by MPC. On the other hand, to guarantee the convergence of the system in presence of the noises and uncertainties, the proposed VPC schemes are embedded in internal model control (IMC) framework. This work contributes by utilizing the available VPC scheme in control of different robots, such as 3 DOF catheter as a continuum robot and a 6 DOF manipulator from Denso robotics as a robot arm, and by developing two hybrid predictive controllers, conjugated VPC and depth-based VPC, </w:t>
      </w:r>
    </w:p>
    <w:p>
      <w:pPr/>
      <w:r>
        <w:rPr>
          <w:b/>
        </w:rPr>
        <w:t>POSSIBLE 2024:</w:t>
      </w:r>
      <w:r>
        <w:t xml:space="preserve"> scEpiAge: an age predictor highlighting single-cell ageing heterogeneity in mouse blood — https://doi.org/10.1038/s41467-024-51833-5</w:t>
      </w:r>
    </w:p>
    <w:p>
      <w:pPr/>
      <w:r>
        <w:rPr>
          <w:b/>
        </w:rPr>
        <w:t>Shared claim-specific concepts:</w:t>
      </w:r>
      <w:r>
        <w:t xml:space="preserve"> predict, single, develop; EU scope not established. This is a provisional connection, not an outcome finding.</w:t>
      </w:r>
    </w:p>
    <w:p>
      <w:pPr>
        <w:pStyle w:val="SourceNote"/>
      </w:pPr>
      <w:r>
        <w:rPr>
          <w:b/>
        </w:rPr>
        <w:t>Available abstract (not full text):</w:t>
      </w:r>
      <w:r>
        <w:t xml:space="preserve"> Ageing is the accumulation of changes and decline of function of organisms over time. The concept and biomarkers of biological age have been established, notably DNA methylation-based clocks. The emergence of single-cell DNA methylation profiling methods opens the possibility of studying the biological age of individual cells. Here, we generate a large single-cell DNA methylation and transcriptome dataset from mouse peripheral blood samples, spanning a broad range of ages. The number of genes expressed increases with age, but gene-specific changes are small. We next develop scEpiAge, a single-cell DNA methylation age predictor, which can accurately predict age in (very sparse) publicly available datasets, and also in single cells. DNA methylation age distribution is wider than technically expected, indicating epigenetic age heterogeneity and functional differences. Our work provides a foundation for single-cell and sparse data epigenetic age predictors, validates their functionality and highlights epigenetic heterogeneity during ageing.</w:t>
      </w:r>
    </w:p>
    <w:p>
      <w:pPr/>
      <w:r>
        <w:rPr>
          <w:b/>
        </w:rPr>
        <w:t>POSSIBLE 2024:</w:t>
      </w:r>
      <w:r>
        <w:t xml:space="preserve"> Predictive coding with spiking neurons and feedforward gist signaling — https://doi.org/10.3389/fncom.2024.1338280</w:t>
      </w:r>
    </w:p>
    <w:p>
      <w:pPr/>
      <w:r>
        <w:rPr>
          <w:b/>
        </w:rPr>
        <w:t>Shared claim-specific concepts:</w:t>
      </w:r>
      <w:r>
        <w:t xml:space="preserve"> uses, alternative, plausible; EU scope not established. This is a provisional connection, not an outcome finding.</w:t>
      </w:r>
    </w:p>
    <w:p>
      <w:pPr>
        <w:pStyle w:val="SourceNote"/>
      </w:pPr>
      <w:r>
        <w:rPr>
          <w:b/>
        </w:rPr>
        <w:t>Available abstract (not full text):</w:t>
      </w:r>
      <w:r>
        <w:t xml:space="preserve"> Abstract Predictive coding (PC) is an influential theory in neuroscience, which suggests the existence of a cortical architecture that is constantly generating and updating predictive representations of sensory inputs. Owing to its hierarchical and generative nature, PC has inspired many computational models of perception in the literature. However, the biological plausibility of existing models has not been sufficiently explored due to their use of artificial neural network features such as a non-linear, continuous, and clock-driven function approximator as basic unit of computation. Therefore, we have developed a spiking neural network for predictive coding (SNN-PC), in which neurons communicate using event-driven and asynchronous spikes. While adopting the hierarchical structure and Hebbian learning algorithms from previous PC neural network models, SNN-PC introduces two novel features: 1) a fast feedforward sweep from the input to higher areas, which generates a spatially reduced and abstract representation of input (i.e., a neural code for the gist of a scene) and provides a neurobiological alternative to an arbitrary choice of priors; and 2) a separation of positive and negative error-computing neurons, which counters the biological implausibility of a bi-directional error neuron with a very high basal firing rate. After training with the MNIST handwritten digit dataset, </w:t>
      </w:r>
    </w:p>
    <w:p>
      <w:pPr/>
      <w:r>
        <w:rPr>
          <w:b/>
        </w:rPr>
        <w:t>POSSIBLE 2024:</w:t>
      </w:r>
      <w:r>
        <w:t xml:space="preserve"> Biased expectations about future choice options predict sequential economic decisions — https://doi.org/10.1038/s44271-024-00172-8</w:t>
      </w:r>
    </w:p>
    <w:p>
      <w:pPr/>
      <w:r>
        <w:rPr>
          <w:b/>
        </w:rPr>
        <w:t>Shared claim-specific concepts:</w:t>
      </w:r>
      <w:r>
        <w:t xml:space="preserve"> predict, version, several; EU scope not established. This is a provisional connection, not an outcome finding.</w:t>
      </w:r>
    </w:p>
    <w:p>
      <w:pPr>
        <w:pStyle w:val="SourceNote"/>
      </w:pPr>
      <w:r>
        <w:rPr>
          <w:b/>
        </w:rPr>
        <w:t>Available abstract (not full text):</w:t>
      </w:r>
      <w:r>
        <w:t xml:space="preserve"> Considerable research has shown that people make biased decisions in "optimal stopping problems", where options are encountered sequentially, and there is no opportunity to recall rejected options or to know upcoming options in advance (e.g. when flat hunting or choosing a spouse). Here, we used computational modelling to identify the mechanisms that best explain decision bias in the context of an especially realistic version of this problem: the full-information problem. We eliminated a number of factors as potential instigators of bias. Then, we examined sequence length and payoff scheme: two manipulations where an optimality model recommends adjusting the sampling rate. Here, participants were more reluctant to increase their sampling rates when it was optimal to do so, leading to increased undersampling bias. Our comparison of several computational models of bias demonstrates that many participants maintain these relatively low sampling rates because of suboptimally pessimistic expectations about the quality of future options (i.e. a mis-specified prior distribution). These results support a new theory about how humans solve full information problems. Understanding the causes of decision error could enhance how we conduct real world sequential searches for options, for example how online shopping or dating applications present options to users.</w:t>
      </w:r>
    </w:p>
    <w:p>
      <w:pPr/>
      <w:r>
        <w:rPr>
          <w:b/>
        </w:rPr>
        <w:t>POSSIBLE 2024:</w:t>
      </w:r>
      <w:r>
        <w:t xml:space="preserve"> Predicting the Pathway Involvement of Metabolites Based on Combined Metabolite and Pathway Features — https://doi.org/10.3390/metabo14050266</w:t>
      </w:r>
    </w:p>
    <w:p>
      <w:pPr/>
      <w:r>
        <w:rPr>
          <w:b/>
        </w:rPr>
        <w:t>Shared claim-specific concepts:</w:t>
      </w:r>
      <w:r>
        <w:t xml:space="preserve"> predict, single, based; EU scope not established. This is a provisional connection, not an outcome finding.</w:t>
      </w:r>
    </w:p>
    <w:p>
      <w:pPr>
        <w:pStyle w:val="SourceNote"/>
      </w:pPr>
      <w:r>
        <w:rPr>
          <w:b/>
        </w:rPr>
        <w:t>Available abstract (not full text):</w:t>
      </w:r>
      <w:r>
        <w:t xml:space="preserve"> A major limitation of most metabolomics datasets is the sparsity of pathway annotations of detected metabolites. It is common for less than half of identified metabolites in these datasets to have known metabolic pathway involvement. Trying to address this limitation, machine learning models have been developed to predict the association of a metabolite with a "pathway category", as defined by one of the metabolic knowledgebases like the Kyoto Encyclopedia of Gene and Genomes. Most of these models are implemented as a single binary classifier specific to a single pathway category, requiring a set of binary classifiers for generating predictions for multiple pathway categories. This single binary classifier per pathway category approach both multiplies the computational resources necessary for training while diluting the positive entries in gold standard datasets needed for training. To address the limitations of training separate classifiers, we propose a generalization of the metabolic pathway prediction problem using a single binary classifier that accepts both features representing a metabolite and features representing a generic pathway category and then predicts whether the given metabolite is involved in the corresponding pathway category. We demonstrate that this metabolite-pathway features-pair approach is not only competitive with the combined performance of training s</w:t>
      </w:r>
    </w:p>
    <w:p>
      <w:pPr/>
      <w:r>
        <w:rPr>
          <w:b/>
        </w:rPr>
        <w:t>POSSIBLE 2024:</w:t>
      </w:r>
      <w:r>
        <w:t xml:space="preserve"> Predicting pharmaceutical prices. Advances based on purchase-level data and machine learning — https://doi.org/10.1186/s12889-024-19171-9</w:t>
      </w:r>
    </w:p>
    <w:p>
      <w:pPr/>
      <w:r>
        <w:rPr>
          <w:b/>
        </w:rPr>
        <w:t>Shared claim-specific concepts:</w:t>
      </w:r>
      <w:r>
        <w:t xml:space="preserve"> uses, based, policies; EU scope not established. This is a provisional connection, not an outcome finding.</w:t>
      </w:r>
    </w:p>
    <w:p>
      <w:pPr>
        <w:pStyle w:val="SourceNote"/>
      </w:pPr>
      <w:r>
        <w:rPr>
          <w:b/>
        </w:rPr>
        <w:t>Available abstract (not full text):</w:t>
      </w:r>
      <w:r>
        <w:t xml:space="preserve"> BACKGROUND: Increased costs in the health sector have put considerable strain on the public budgets allocated to pharmaceutical purchases. Faced with such pressures amplified by financial crises and pandemics, national purchasing authorities are presented with a puzzle: how to procure pharmaceuticals of the highest quality for the lowest price. The literature explored a range of impactful factors using data on producer and reference prices, but largely foregone the use of data on individual purchases by diverse public buyers. METHODS: Leveraging the availability of open data in public procurement from official government portals, the article examines the relationship between unit prices and a host of predictors that account for policies that can be amended nationally or locally. The study uses traditional linear regression (OLS) and a machine learning model, random forest, to identify the best models for predicting pharmaceutical unit prices. To explore the association between a wide variety of predictors and unit prices, the study relies on more than 200,000 purchases in more than 800 standardized pharmaceutical product categories from 10 countries and territories. RESULTS: = 0.85) and lower prediction error (RMSE = 0.81). CONCLUSIONS: The results demonstrate the potential of i) tapping into large quantities of purchase-level data in the health care sector and ii) using machin</w:t>
      </w:r>
    </w:p>
    <w:p>
      <w:pPr>
        <w:pStyle w:val="Heading2"/>
      </w:pPr>
      <w:r>
        <w:t>532. Foresight of teachers’ professional challenges</w:t>
      </w:r>
    </w:p>
    <w:p>
      <w:pPr>
        <w:pStyle w:val="SourceNote"/>
      </w:pPr>
      <w:r>
        <w:rPr>
          <w:b/>
        </w:rPr>
        <w:t>Original source (2022):</w:t>
      </w:r>
      <w:r>
        <w:t xml:space="preserve"> https://doi.org/10.17853/1994-5639-2022-6-60-83</w:t>
      </w:r>
    </w:p>
    <w:p>
      <w:pPr/>
      <w:r>
        <w:t>Original wording (abstract; indexed_source_text_not_full_document_verified): As a result of the study, it was found that the main challenge in the future will be the lack of competencies and skills of teachers to apply the necessary techniques and technologies. From the teachers’ point of view, the main challenge in the future will be the lack of time for the necessary changes.</w:t>
      </w:r>
    </w:p>
    <w:p>
      <w:pPr/>
      <w:r>
        <w:rPr>
          <w:b/>
        </w:rPr>
        <w:t>POSSIBLE 2026:</w:t>
      </w:r>
      <w:r>
        <w:t xml:space="preserve"> Main Results of the Second LPT Challenge — https://doi.org/10.55037/lxlaser.22nd.105</w:t>
      </w:r>
    </w:p>
    <w:p>
      <w:pPr/>
      <w:r>
        <w:rPr>
          <w:b/>
        </w:rPr>
        <w:t>Shared claim-specific concepts:</w:t>
      </w:r>
      <w:r>
        <w:t xml:space="preserve"> main, challenge, time; EU scope not established. This is a provisional connection, not an outcome finding.</w:t>
      </w:r>
    </w:p>
    <w:p>
      <w:pPr>
        <w:pStyle w:val="SourceNote"/>
      </w:pPr>
      <w:r>
        <w:rPr>
          <w:b/>
        </w:rPr>
        <w:t>Available abstract (not full text):</w:t>
      </w:r>
      <w:r>
        <w:t xml:space="preserve"> This work presents the main results of the second Lagrangian Particle Tracking (LPT) challenge, jointly organized by TU Delft, DLR, ONERA, and Penn State. We consider three test cases, namely two synthetic (a turbulent channel flow and the near-wall flow in the wake of cylindrical obstacles) and one experimental (Rayleigh-Bénard convection). Both timeresolved (for all test cases) and two-pulse (for the latter two test cases) image acquisitions are addressed. The effects of relevant parameters of the experimental setup are analysed, including the particle image density (ppp), the time separation between image recordings, the presence or absence of Mie scattering and the fraction of the total measurement volume imaged by all the cameras. The results are presented in terms of precision and recall of the particle reconstruction, as well as errors of the reconstructed particle positions, velocities and accelerations. The input data is freely available for download in the online portal (https://onera-flow-benchmarks.fr/en/Second_LPT_DA_Challenge), where the automatic evaluation of the submitted results is conducted.</w:t>
      </w:r>
    </w:p>
    <w:p>
      <w:pPr/>
      <w:r>
        <w:rPr>
          <w:b/>
        </w:rPr>
        <w:t>POSSIBLE 2026:</w:t>
      </w:r>
      <w:r>
        <w:t xml:space="preserve"> ANALYSIS OF COMPETENCY DEVELOPMENT POLICY IN IMPROVING EMPLOYEE PERFORMANCE AT THE SIROMBU DISTRICT OFFICE — https://doi.org/10.47652/metadata.v8i1.980</w:t>
      </w:r>
    </w:p>
    <w:p>
      <w:pPr/>
      <w:r>
        <w:rPr>
          <w:b/>
        </w:rPr>
        <w:t>Shared claim-specific concepts:</w:t>
      </w:r>
      <w:r>
        <w:t xml:space="preserve"> found, lack, techniques; EU scope not established. This is a provisional connection, not an outcome finding.</w:t>
      </w:r>
    </w:p>
    <w:p>
      <w:pPr>
        <w:pStyle w:val="SourceNote"/>
      </w:pPr>
      <w:r>
        <w:rPr>
          <w:b/>
        </w:rPr>
        <w:t>Available abstract (not full text):</w:t>
      </w:r>
      <w:r>
        <w:t xml:space="preserve"> ABSTRACT This study aims to analyze the competency development policy implemented to improve employee performance at the Sirombu Sub-district Office. The research method used is qualitative with data collection techniques through in-depth interviews with relevant employees. The results of the study indicate that the implemented competency development policy has had a positive impact on improving employee performance, although several obstacles were still found such as limited resources and a lack of structured training. The conclusion of this study is that the competency development policy needs to be strengthened with more consistent training support and regular evaluations so that employee performance can continue to improve significantly. The results of the study indicate that the sub-district office has improved training and competency development programs and conducted regular monitoring to ensure the effectiveness of the implemented policies.</w:t>
      </w:r>
    </w:p>
    <w:p>
      <w:pPr/>
      <w:r>
        <w:rPr>
          <w:b/>
        </w:rPr>
        <w:t>POSSIBLE 2026:</w:t>
      </w:r>
      <w:r>
        <w:t xml:space="preserve"> IMPLEMENTATION OF 12 CORE COMPETENCY TRAINING, PRECEPTORSHIP METHOD FOR NEW NURSES IN IMPROVING THE 12 CORE COMPETENCIES OF NEW NURSES AT PRIMAYA PGI CIKINI HOSPITAL, CENTRAL JAKARTA — https://doi.org/10.58439/hnp.v4i1.474</w:t>
      </w:r>
    </w:p>
    <w:p>
      <w:pPr/>
      <w:r>
        <w:rPr>
          <w:b/>
        </w:rPr>
        <w:t>Shared claim-specific concepts:</w:t>
      </w:r>
      <w:r>
        <w:t xml:space="preserve"> found, lack, competencies, skills; EU scope not established. This is a provisional connection, not an outcome finding.</w:t>
      </w:r>
    </w:p>
    <w:p>
      <w:pPr>
        <w:pStyle w:val="SourceNote"/>
      </w:pPr>
      <w:r>
        <w:rPr>
          <w:b/>
        </w:rPr>
        <w:t>Available abstract (not full text):</w:t>
      </w:r>
      <w:r>
        <w:t xml:space="preserve"> In accordance with the Hospital Law No. 44 of 2009 concerning hospitals, hospitals must have nursing staff including New Nurses. New nurses in their work environment are found to lack clinical, social and emotional support which reduces their confidence in practicing nursing care such as lack of knowledge and practical competence when facing complex situations in the work environment. According to SKPI 2012, nurses must be able to carry out 12 basic nursing competencies competently. The implementation of 12 core competencies for new nurses is very important to improve nurse competence. The purpose of this study is to determine the effectiveness of training on the implementation of 12 core competencies by Preceptors on improving 12 core competencies for New Nurses. The research method uses quantitative research with a quasi-experimental design with a pretest-posttest control group design, namely a two-group design selected by consecutive sampling that meets the inclusion criteria with a sample of 20 new nurses, 10 nurses in the intervention group and 10 nurses in the control group. The results of the normality and homogeneity tests showed that the data were normally distributed and both groups had homogeneous variances, so the selection of parametric statistical tests such as the paired t-test and independent t-test was appropriate. The results of the paired t-test in the interv</w:t>
      </w:r>
    </w:p>
    <w:p>
      <w:pPr/>
      <w:r>
        <w:rPr>
          <w:b/>
        </w:rPr>
        <w:t>POSSIBLE 2026:</w:t>
      </w:r>
      <w:r>
        <w:t xml:space="preserve"> The AI Answer Evidence Index: data, code and results of the main run — https://doi.org/10.5281/zenodo.23238428</w:t>
      </w:r>
    </w:p>
    <w:p>
      <w:pPr/>
      <w:r>
        <w:rPr>
          <w:b/>
        </w:rPr>
        <w:t>Shared claim-specific concepts:</w:t>
      </w:r>
      <w:r>
        <w:t xml:space="preserve"> result, found, main, time; EU scope not established. This is a provisional connection, not an outcome finding.</w:t>
      </w:r>
    </w:p>
    <w:p>
      <w:pPr>
        <w:pStyle w:val="SourceNote"/>
      </w:pPr>
      <w:r>
        <w:rPr>
          <w:b/>
        </w:rPr>
        <w:t>Available abstract (not full text):</w:t>
      </w:r>
      <w:r>
        <w:t xml:space="preserve"> This record holds the data, the code and the results of the main run of The AI Answer Evidence Index. The study asks whether a reader who follows an AI answer engine's own sources can find there the figures the answer gives: do the numbers in AI answers have sources? It measures whether a figure in an answer occurs on the pages that answer cites, and it does not measure whether any figure is correct. Fifty buyer questions about prices, costs, fees and value, drawn by a written rule from Google autocomplete suggestions, were put to Google AI Overviews, ChatGPT and Gemini through their free public web interfaces from a New York network exit on 5 to 7 October 2026, by fixed scripts, and the first ten were asked a second time. The design, the questions and the instrument were registered for these three engines before the first answer was collected (doi:10.5281/zenodo.23145556, published 5 October 2026 at 13:32:08 UTC). A local model listed the figures in each answer, a script checked every listed figure against the pages the answer cites, the figures that were not found were classified, and a 40-figure sample drawn from the figures of the three registered engines was read by a second model; both readings are model readings and are reported as such. Two engines were added after the registration and outside it, as exploratory additions. The same fifty questions were put once to Perpl</w:t>
      </w:r>
    </w:p>
    <w:p>
      <w:pPr/>
      <w:r>
        <w:rPr>
          <w:b/>
        </w:rPr>
        <w:t>POSSIBLE 2026:</w:t>
      </w:r>
      <w:r>
        <w:t xml:space="preserve"> The Three Dimensions of Cultural Competency in Art Therapy Education: Awareness, Knowledge, and Skills — https://doi.org/10.25777/xppk-0605</w:t>
      </w:r>
    </w:p>
    <w:p>
      <w:pPr/>
      <w:r>
        <w:rPr>
          <w:b/>
        </w:rPr>
        <w:t>Shared claim-specific concepts:</w:t>
      </w:r>
      <w:r>
        <w:t xml:space="preserve"> found, lack, competencies, skills; EU scope not established. This is a provisional connection, not an outcome finding.</w:t>
      </w:r>
    </w:p>
    <w:p>
      <w:pPr>
        <w:pStyle w:val="SourceNote"/>
      </w:pPr>
      <w:r>
        <w:rPr>
          <w:b/>
        </w:rPr>
        <w:t>Available abstract (not full text):</w:t>
      </w:r>
      <w:r>
        <w:t xml:space="preserve"> The subject of multicultural competent practice has gained attention from the mental health professions for the last few decades. Many health profession’s associations took actions to ensure that cultural competent practice is one of the major focuses in the educational setting. The American Art Therapy Association understood the necessity of multicultural competency education and in December 2011, announced the Multicultural / Diversity Competencies as a guideline for practicing art therapists and educators to establish cultural competency standards. Lack of research in the subject of multicultural competency inspired this study to examine the art therapy education program in a wide range of areas, from curriculum design to teaching methods. A new instrument, Survey for Art Therapy Educators of Cultural Competency Course Content, was designed specifically for the purpose of this study to assess cultural competency within the art therapy educational programs. Results found from the study were promising in terms of identifying current issues and for use as a reference for future study in art therapy multicultural competency education.</w:t>
      </w:r>
    </w:p>
    <w:p>
      <w:pPr/>
      <w:r>
        <w:rPr>
          <w:b/>
        </w:rPr>
        <w:t>POSSIBLE 2026:</w:t>
      </w:r>
      <w:r>
        <w:t xml:space="preserve"> Diagnosis and Derivation of Implications for the Integrated Management and Operation of Competency-Based Extracurricular Programs : Focusing on Operational Data of University A's Student Competency Management System — https://doi.org/10.46392/kjge.2026.20.4.127</w:t>
      </w:r>
    </w:p>
    <w:p>
      <w:pPr/>
      <w:r>
        <w:rPr>
          <w:b/>
        </w:rPr>
        <w:t>Shared claim-specific concepts:</w:t>
      </w:r>
      <w:r>
        <w:t xml:space="preserve"> result, found, lack, competencies; EU scope not established. This is a provisional connection, not an outcome finding.</w:t>
      </w:r>
    </w:p>
    <w:p>
      <w:pPr>
        <w:pStyle w:val="SourceNote"/>
      </w:pPr>
      <w:r>
        <w:rPr>
          <w:b/>
        </w:rPr>
        <w:t>Available abstract (not full text):</w:t>
      </w:r>
      <w:r>
        <w:t xml:space="preserve"> This study aims to diagnose the operational structure of university extracurricular curricula from various perspectives based on data and to derive implications for the integrated management and operation of competency-based extracurricular programs. Previous research on extracurricular activities has focused on verifying the effectiveness of individual programs or surveys of student perceptions, resulting in a relative lack of effort in interpreting the significance of operational data accumulated in systems. Therefore, this study focused on interpretation rather than data collection, analyzing all extracurricular programs from the 2023-2025 academic years accumulated by University A in its Student Competency Management System. The analysis was conducted by diagnosing the distribution of programs by type, operating entities, semester linkage structures, inter-core competency linkage structures, similar and overlapping operations, and the actual state of data quality through descriptive statistics, frequency analysis, chi-square tests, and effect sizes (Cramér's V).As a result, it was confirmed that the extracurricular curriculum at University A operates around a single, biased axis converging on types of employment and entrepreneurship, administrative and support departments, regular semesters, and problem-solving competencies. Furthermore, it was found that for three years, t</w:t>
      </w:r>
    </w:p>
    <w:p>
      <w:pPr/>
      <w:r>
        <w:rPr>
          <w:b/>
        </w:rPr>
        <w:t>POSSIBLE 2026:</w:t>
      </w:r>
      <w:r>
        <w:t xml:space="preserve"> How to Evaluate the Relevance of Skills and Competencies — https://doi.org/10.59490/mt.266.96</w:t>
      </w:r>
    </w:p>
    <w:p>
      <w:pPr/>
      <w:r>
        <w:rPr>
          <w:b/>
        </w:rPr>
        <w:t>Shared claim-specific concepts:</w:t>
      </w:r>
      <w:r>
        <w:t xml:space="preserve"> competencies, skills, teachers; EU scope not established. This is a provisional connection, not an outcome finding.</w:t>
      </w:r>
    </w:p>
    <w:p>
      <w:pPr>
        <w:pStyle w:val="SourceNote"/>
      </w:pPr>
      <w:r>
        <w:rPr>
          <w:b/>
        </w:rPr>
        <w:t>Available abstract (not full text):</w:t>
      </w:r>
      <w:r>
        <w:t xml:space="preserve"> This chapter discusses the rationale and means to evaluate the relevance of transferable competencies and skills for engineering degrees. It presents three processes that have been used in different contexts to identify which transferable skills and competencies are needed in engineering work. The cases also illustrate how the viewpoints of different stakeholders can be brought to the table. Although the evaluation of the relevance of skills may be more pertinent to programme heads and other educational leaders responsible for the construction of entire degrees, knowing about these processes and their outcomes can also benefit lecturers of a single course or module by showing where some of the requirements set for the teachers originate from and how they are justified. The chapter finishes with recommendations for those who wish to conduct an evaluation of relevance in their own context.</w:t>
      </w:r>
    </w:p>
    <w:p>
      <w:pPr/>
      <w:r>
        <w:rPr>
          <w:b/>
        </w:rPr>
        <w:t>POSSIBLE 2026:</w:t>
      </w:r>
      <w:r>
        <w:t xml:space="preserve"> The role of general competencies in the success of engineering project managers. — https://openalex.org/W7163092825</w:t>
      </w:r>
    </w:p>
    <w:p>
      <w:pPr/>
      <w:r>
        <w:rPr>
          <w:b/>
        </w:rPr>
        <w:t>Shared claim-specific concepts:</w:t>
      </w:r>
      <w:r>
        <w:t xml:space="preserve"> found, main, lack, competencies, skills; EU scope not established. This is a provisional connection, not an outcome finding.</w:t>
      </w:r>
    </w:p>
    <w:p>
      <w:pPr>
        <w:pStyle w:val="SourceNote"/>
      </w:pPr>
      <w:r>
        <w:rPr>
          <w:b/>
        </w:rPr>
        <w:t>Available abstract (not full text):</w:t>
      </w:r>
      <w:r>
        <w:t xml:space="preserve"> This thesis analyzes the role of general competencies in the success of engineering project managers. The relevance of the topic is driven by the changing nature of engineering projects, which are increasingly influenced by digitalization, technological complexity, sustainability requirements, and the need to work with multidisciplinary specialists. Although engineering project managers are traditionally associated with technical knowledge and project management methods, the analysis shows that these elements alone are insufficient to ensure successful project outcomes. Therefore, this thesis addresses the problem of what role general competencies play in the success of engineering project managers. The theoretical part examines the concept of competence and general competencies, their models, and their significance in project management. General competencies are transferable skills that help individuals operate in changing professional situations; they encompass communication, collaboration, conflict management, critical thinking, self-regulation, planning, decision-making, and the use of information and technology. Based on this, a theoretical model was developed in this study, distinguishing three main groups of general competencies relevant to engineering project managers: the ability to act autonomously, the ability to act in socially heterogeneous groups, and the ability </w:t>
      </w:r>
    </w:p>
    <w:p>
      <w:pPr/>
      <w:r>
        <w:rPr>
          <w:b/>
        </w:rPr>
        <w:t>POSSIBLE 2025:</w:t>
      </w:r>
      <w:r>
        <w:t xml:space="preserve"> The Types Of Illocutionary Found In The Main Character’s Utterances In Alladin Movie — https://doi.org/10.22334/traverse.v6i1.169</w:t>
      </w:r>
    </w:p>
    <w:p>
      <w:pPr/>
      <w:r>
        <w:rPr>
          <w:b/>
        </w:rPr>
        <w:t>Shared claim-specific concepts:</w:t>
      </w:r>
      <w:r>
        <w:t xml:space="preserve"> result, found, main; EU scope not established. This is a provisional connection, not an outcome finding.</w:t>
      </w:r>
    </w:p>
    <w:p>
      <w:pPr>
        <w:pStyle w:val="SourceNote"/>
      </w:pPr>
      <w:r>
        <w:rPr>
          <w:b/>
        </w:rPr>
        <w:t>Available abstract (not full text):</w:t>
      </w:r>
      <w:r>
        <w:t xml:space="preserve"> This study is concerned with analyzing the research entitled Illocutionary Acts Found In The Main Character’s Utterances. This research is concerned with identifying the types of illocutionary acts used by the main characters, how often the types of illocutionary acts occurred, and which types appeared most frequently in the movie. This research utilized qualitative method, which is the data were achieved by watch the movie. Five types of illocutionary acts were discovered in the utterance of the main characters in Alladin movie as a result of this analysis. Those are declarative, representative, expressive, directive, commissive. The qualitative method was applied to find out the frequency and the types of illocutionary acts used in alladin movie. The researcher found five types those are directive 3 data or 23%, expressive 3 data or 23% , representative 2 data or 15%, commissive 1 data or 8%, and declarative 4 data or 31% used in alladin movie. The most frequent type used was declarative. Keywords: illocutionary acts, main characters, movie</w:t>
      </w:r>
    </w:p>
    <w:p>
      <w:pPr/>
      <w:r>
        <w:rPr>
          <w:b/>
        </w:rPr>
        <w:t>POSSIBLE 2025:</w:t>
      </w:r>
      <w:r>
        <w:t xml:space="preserve"> Prevalence of main soybean seed pathogens according to phytosanitary expertise results — https://doi.org/10.31073/kormovyrobnytstvo2025100-08</w:t>
      </w:r>
    </w:p>
    <w:p>
      <w:pPr/>
      <w:r>
        <w:rPr>
          <w:b/>
        </w:rPr>
        <w:t>Shared claim-specific concepts:</w:t>
      </w:r>
      <w:r>
        <w:t xml:space="preserve"> found, main, necessary; EU scope not established. This is a provisional connection, not an outcome finding.</w:t>
      </w:r>
    </w:p>
    <w:p>
      <w:pPr>
        <w:pStyle w:val="SourceNote"/>
      </w:pPr>
      <w:r>
        <w:rPr>
          <w:b/>
        </w:rPr>
        <w:t>Available abstract (not full text):</w:t>
      </w:r>
      <w:r>
        <w:t xml:space="preserve"> Purpose. High soybean productivity depends on the high-quality and healthy seeds, therefore, in the context of intensification of agriculture and climate change, phytosanitary examination is of key importance for controlling seed infections. The purpose of the research is a detailed analysis of the dynamics of detection and level of damage to soybean seeds (Glycine max (L.) Merr.) by the main phytopathogens based on the results of a multi-year phytosanitary examination. Methods. The phytosanitary assessment for the 2021-2025 was carried out using mycological and bacteriological methods to determine the main pathogens (Fusarium spp., Alternaria spp., Sclerotinia sclerotiorum, etc.), using the wet chamber method, sowing on sterile sand, visual diagnostics and microscopy. Results. The prevalence of the main pathogens of soybean seeds was analyzed based on the results of phytosanitary examination over a five-year period. A steady increase in the infectious load on soybean seeds was detected for all the studied groups of pathogens. The prevalence of fusariosis and mold showed an almost universal character, reaching 100% of affected samples in all years of observation. Bacterial infections also maintained an extremely high presence. Of particular concern is the exponential increase in the prevalence of sclerotiniosis, which indicates its rapid expansion. It was found that with the in</w:t>
      </w:r>
    </w:p>
    <w:p>
      <w:pPr/>
      <w:r>
        <w:rPr>
          <w:b/>
        </w:rPr>
        <w:t>POSSIBLE 2025:</w:t>
      </w:r>
      <w:r>
        <w:t xml:space="preserve"> The Illocutionary Acts Found in Main Characters’ Conversation of the Maleficent Movie — https://doi.org/10.24256/ideas.v12i2.5457</w:t>
      </w:r>
    </w:p>
    <w:p>
      <w:pPr/>
      <w:r>
        <w:rPr>
          <w:b/>
        </w:rPr>
        <w:t>Shared claim-specific concepts:</w:t>
      </w:r>
      <w:r>
        <w:t xml:space="preserve"> result, found, main; EU scope not established. This is a provisional connection, not an outcome finding.</w:t>
      </w:r>
    </w:p>
    <w:p>
      <w:pPr>
        <w:pStyle w:val="SourceNote"/>
      </w:pPr>
      <w:r>
        <w:rPr>
          <w:b/>
        </w:rPr>
        <w:t>Available abstract (not full text):</w:t>
      </w:r>
      <w:r>
        <w:t xml:space="preserve"> The purpose of this study is to explore the types of illocutionary acts and the context of situations in each utterance within the Maleficent movie. The study is grounded in Searle's (1979) theory on illocutionary act types and Halliday and Hasan's (1989) theory on situational context. The analysis was carried out using a descriptive qualitative approach. To gather the data, the researcher employed an observation method, which involved watching the Maleficent movie multiple times and taking notes on the main characters' utterances. After gathering the data, the researcher analyzed it in a series of procedures, including categorizing the illocutionary acts by kind and determining the context of each situation. The results of this investigation revealed 39 utterances that suggest illocutionary acts. The following is the result of this study: directives have the highest frequency of occurrence (30.8 %) with 12 utterances. It is followed by commissive (11 utterances, 28.2%), assertive (10 utterances, 25.6%), expressives (4 utterances, 10.3%), and declaratives (2 utterances, 5.1%).</w:t>
      </w:r>
    </w:p>
    <w:p>
      <w:pPr/>
      <w:r>
        <w:rPr>
          <w:b/>
        </w:rPr>
        <w:t>POSSIBLE 2025:</w:t>
      </w:r>
      <w:r>
        <w:t xml:space="preserve"> Changes in Ageism and LGBTIA Clinical Competency Following an LGBTIA Older Adult Competency Training — https://doi.org/10.1093/geroni/igaf122.3728</w:t>
      </w:r>
    </w:p>
    <w:p>
      <w:pPr/>
      <w:r>
        <w:rPr>
          <w:b/>
        </w:rPr>
        <w:t>Shared claim-specific concepts:</w:t>
      </w:r>
      <w:r>
        <w:t xml:space="preserve"> found, lack, skills, necessary; EU scope not established. This is a provisional connection, not an outcome finding.</w:t>
      </w:r>
    </w:p>
    <w:p>
      <w:pPr>
        <w:pStyle w:val="SourceNote"/>
      </w:pPr>
      <w:r>
        <w:rPr>
          <w:b/>
        </w:rPr>
        <w:t>Available abstract (not full text):</w:t>
      </w:r>
      <w:r>
        <w:t xml:space="preserve"> Abstract Lesbian, gay, bisexual, transgender, intersex, agender/asexual, and other sexual and gender minority (LGBTIA) older adults face health disparities relative to the general population (Lampe et al., 2023), due in part to unmet health needs through available healthcare and aging services (Gibson et al., 2019). Lack of culturally competent services emerged in a community needs assessment as a concern among LGBTIA older adults (Winberry, 2023). To address this, we conducted an LGBTIA older adult cultural competency training focused on preparing healthcare and other service providers with the knowledge and skills necessary to meet the needs of this population. Using paired sample t-tests, we examined how the training impacted ageist attitudes and LGBTIA clinical competency among participants (n = 43). The training reduced ageist attitudes among participants, t(33) = -3.94, p &lt; .001 with a moderate effect size (d = .47; Cohen, 1988). We also found that the training improved self-perceived clinical competency for working with LGBTQ+ individuals among participants, t(37) = 7.64, p &lt; .001 with a moderate effect size (d = .58; Cohen, 1988). We found similar results for clinical preparedness, t(39) = 2.57, p = .014 with a moderate effect size (d = .53; Cohen, 1988); attitudes toward LGBTIA individuals, t(39) = 2.57, p = .014 with a small effect size (d = .22; Cohen, 1988); and kno</w:t>
      </w:r>
    </w:p>
    <w:p>
      <w:pPr>
        <w:pStyle w:val="Heading2"/>
      </w:pPr>
      <w:r>
        <w:t>533. Future population ageing and productivity in Finland under different education and fertility scenarios</w:t>
      </w:r>
    </w:p>
    <w:p>
      <w:pPr>
        <w:pStyle w:val="SourceNote"/>
      </w:pPr>
      <w:r>
        <w:rPr>
          <w:b/>
        </w:rPr>
        <w:t>Original source (2022):</w:t>
      </w:r>
      <w:r>
        <w:t xml:space="preserve"> https://doi.org/10.23979/fypr.119666</w:t>
      </w:r>
    </w:p>
    <w:p>
      <w:pPr/>
      <w:r>
        <w:t>Original wording (abstract; indexed_source_text_not_full_document_verified): Applying a multidimensional demographic approach through a discrete-time microsimulation model, we project the newly introduced productivity-weighted labour force dependency ratio for Finnish scenarios until 2060 and compared it with the labour force dependency ratio and the traditional age dependency ratio. Provided a more rapid increase in educational attainment, the last indicator is expected to increase less, with 21 per cent until 2060.</w:t>
      </w:r>
    </w:p>
    <w:p>
      <w:pPr/>
      <w:r>
        <w:rPr>
          <w:b/>
        </w:rPr>
        <w:t>POSSIBLE 2026:</w:t>
      </w:r>
      <w:r>
        <w:t xml:space="preserve"> MULTIDIMENSIONAL LOCAL RESILIENCE – ANALYSIS OF ENVIRONMENTAL, DEMOGRAPHIC AND INFRASTRUCTURAL FACTORS — https://doi.org/10.29119/1641-3466.2026.244.3</w:t>
      </w:r>
    </w:p>
    <w:p>
      <w:pPr/>
      <w:r>
        <w:rPr>
          <w:b/>
        </w:rPr>
        <w:t>Shared claim-specific concepts:</w:t>
      </w:r>
      <w:r>
        <w:t xml:space="preserve"> multidimensional, demographic, approach; EU scope visible. This is a provisional connection, not an outcome finding.</w:t>
      </w:r>
    </w:p>
    <w:p>
      <w:pPr>
        <w:pStyle w:val="SourceNote"/>
      </w:pPr>
      <w:r>
        <w:rPr>
          <w:b/>
        </w:rPr>
        <w:t>Available abstract (not full text):</w:t>
      </w:r>
      <w:r>
        <w:t xml:space="preserve"> Purpose: The aim of this study is to assess the level and determinants of multidimensional local resilience in Polish municipalities between 2013 and 2023. The analysis focuses on the influence of environmental, demographic, and infrastructural factors on the adaptive capacity and socio-spatial cohesion of territorial units. Design/methodology/approach: The study is based on secondary data obtained from Statistics Poland (GUS), encompassing environmental, demographic, and infrastructural variables. A synthetic local resilience index was constructed using the CRITIC–TOPSIS method, and the results were analyzed with descriptive statistics, regression tests, ANOVA, and Spearman’s rank correlation. Findings: Local resilience in Poland depends primarily on environmental and infrastructural components, while demographic factors play a supporting role. Urban municipalities demonstrate the highest levels of resilience, with rural and urban–rural units showing intermediate values. The results indicate a synergistic interaction between environmental quality, infrastructure, and demographic stability, with a limited negative impact of intensive industrial activity. Research limitations/implications: The limitations concern insufficient data availability and challenges in capturing dynamic interactions. Future research should include cultural and institutional components, as well as predic</w:t>
      </w:r>
    </w:p>
    <w:p>
      <w:pPr/>
      <w:r>
        <w:rPr>
          <w:b/>
        </w:rPr>
        <w:t>POSSIBLE 2026:</w:t>
      </w:r>
      <w:r>
        <w:t xml:space="preserve"> Understanding Life Insurance Demand In European Union: A Multidimensional Perspective — https://doi.org/10.6007/ijarbss/v16-i2/27518</w:t>
      </w:r>
    </w:p>
    <w:p>
      <w:pPr/>
      <w:r>
        <w:rPr>
          <w:b/>
        </w:rPr>
        <w:t>Shared claim-specific concepts:</w:t>
      </w:r>
      <w:r>
        <w:t xml:space="preserve"> multidimensional, traditional; EU scope visible. This is a provisional connection, not an outcome finding.</w:t>
      </w:r>
    </w:p>
    <w:p>
      <w:pPr>
        <w:pStyle w:val="SourceNote"/>
      </w:pPr>
      <w:r>
        <w:rPr>
          <w:b/>
        </w:rPr>
        <w:t>Available abstract (not full text):</w:t>
      </w:r>
      <w:r>
        <w:t xml:space="preserve"> HRMARS - This paper investigates the role of cultural values in shaping life insurance demand across European Union countries. Using an unbalanced panel of 27 economies over the period 2017-2023, we estimate fixed-effects panel regressions to assess the impact of Hofstede’s cultural dimensions alongside key economic, socio-demographic, and institutional controls. Life insurance demand is proxied by the logarithm of insurance density, while income, inflation, income inequality, and political stability are included to ensure model robustness. The results confirm that economic factors remain fundamental drivers of life insurance demand: GDP per capita exerts a strong positive effect, whereas inflation significantly discourages long-term insurance uptake. Income inequality and political stability further support demand by enhancing purchasing capacity and institutional trust. Beyond these traditional determinants, cultural values play a substantial and persistent role. Individualism, indulgence, masculinity, uncertainty avoidance, and long-term orientation all exhibit positive and statistically significant effects in the fully specified model, while power distance remains insignificant. Notably, some cultural effects diverge from earlier findings for advanced economies, suggesting that cultural influences may operate differently within mature European insurance markets. Overall, th</w:t>
      </w:r>
    </w:p>
    <w:p>
      <w:pPr/>
      <w:r>
        <w:rPr>
          <w:b/>
        </w:rPr>
        <w:t>POSSIBLE 2026:</w:t>
      </w:r>
      <w:r>
        <w:t xml:space="preserve"> Educational Mismatch and Multidimensional Immigration Attitudes: Evidence from Europe — https://openalex.org/W7207961011</w:t>
      </w:r>
    </w:p>
    <w:p>
      <w:pPr/>
      <w:r>
        <w:rPr>
          <w:b/>
        </w:rPr>
        <w:t>Shared claim-specific concepts:</w:t>
      </w:r>
      <w:r>
        <w:t xml:space="preserve"> multidimensional, approach, educational, attainment; EU scope visible. This is a provisional connection, not an outcome finding.</w:t>
      </w:r>
    </w:p>
    <w:p>
      <w:pPr>
        <w:pStyle w:val="SourceNote"/>
      </w:pPr>
      <w:r>
        <w:rPr>
          <w:b/>
        </w:rPr>
        <w:t>Available abstract (not full text):</w:t>
      </w:r>
      <w:r>
        <w:t xml:space="preserve"> This paper uses European Social Survey (ESS) Round 11 (2023/24) data to analyse how educational mismatch is associated with attitudes toward immigration among European employees.It measures overeducation and undereducation through a realized-match approach, comparing workers' educational attainment to the modal level within their specific country and occupation.The study distinguishes between two attitudinal dimensions: 1 support for restrictive admission policies and the perceived positive consequences of immigration.Regression models reveal that while tertiary-educated workers show more favourable views, the pattern associated with educational mismatch is more nuanced.Specifically, undereducated workers tend to perceive the consequences of immigration more negatively than overeducated individuals but are simultaneously less supportive of restrictive admission policies.These findings indicate that educational mismatch relates differently to distinct dimensions of immigration attitudes, qualifying the assumption that overeducated workers are uniformly more proimmigration.</w:t>
      </w:r>
    </w:p>
    <w:p>
      <w:pPr/>
      <w:r>
        <w:rPr>
          <w:b/>
        </w:rPr>
        <w:t>POSSIBLE 2026:</w:t>
      </w:r>
      <w:r>
        <w:t xml:space="preserve"> Distinct profiles of free speech support and their demographic, ideological, and epistemic characteristics — https://doi.org/10.1016/j.paid.2026.114009</w:t>
      </w:r>
    </w:p>
    <w:p>
      <w:pPr/>
      <w:r>
        <w:rPr>
          <w:b/>
        </w:rPr>
        <w:t>Shared claim-specific concepts:</w:t>
      </w:r>
      <w:r>
        <w:t xml:space="preserve"> multidimensional, demographic, age; EU scope visible. This is a provisional connection, not an outcome finding.</w:t>
      </w:r>
    </w:p>
    <w:p>
      <w:pPr>
        <w:pStyle w:val="SourceNote"/>
      </w:pPr>
      <w:r>
        <w:rPr>
          <w:b/>
        </w:rPr>
        <w:t>Available abstract (not full text):</w:t>
      </w:r>
      <w:r>
        <w:t xml:space="preserve"> Background Support for free speech is often treated as a unidimensional construct, overlooking potential heterogeneity in how individuals evaluate different forms of expression. Building on recent multidimensional conceptualizations, the present study examines both the structure and person-centered patterns of free speech support. Method A sample of 563 European participants completed a 24-item measure assessing tolerance of offensive, disagreeing, heterodox, and socially divisive speech, alongside measures of demographics, political ideology, conspiracy ideation, and institutional trust. Confirmatory factor analysis (CFA) and latent profile analysis (LPA) were conducted. Findings CFA supported a correlated four-factor structure but not a higher-order general factor. LPA identified three profiles: conditional tolerance (56.7%), low tolerance (20.1%), and broad tolerance (23.3%). Profiles differed by gender, education, political ideology, conspiracy ideation, and institutional trust, but not age. Broad tolerance was associated with identifying as male, higher education, lower conservatism, higher conspiracy ideation, and lower institutional trust. Conclusion The findings demonstrate that support for free speech is both multidimensional and heterogeneously distributed. As the first study to apply LPA to this domain, it highlights distinct profiles of free speech attitudes and und</w:t>
      </w:r>
    </w:p>
    <w:p>
      <w:pPr/>
      <w:r>
        <w:rPr>
          <w:b/>
        </w:rPr>
        <w:t>POSSIBLE 2026:</w:t>
      </w:r>
      <w:r>
        <w:t xml:space="preserve"> The impact of Recovery and Resilience Plan childcare expansion on female labour supply in Spain: An ex-ante microsimulation analysis — https://openalex.org/W7213478999</w:t>
      </w:r>
    </w:p>
    <w:p>
      <w:pPr/>
      <w:r>
        <w:rPr>
          <w:b/>
        </w:rPr>
        <w:t>Shared claim-specific concepts:</w:t>
      </w:r>
      <w:r>
        <w:t xml:space="preserve"> microsimulation, labour; EU scope visible. This is a provisional connection, not an outcome finding.</w:t>
      </w:r>
    </w:p>
    <w:p>
      <w:pPr>
        <w:pStyle w:val="SourceNote"/>
      </w:pPr>
      <w:r>
        <w:rPr>
          <w:b/>
        </w:rPr>
        <w:t>Available abstract (not full text):</w:t>
      </w:r>
      <w:r>
        <w:t xml:space="preserve"> This paper provides an ex-ante assessment of the labour market and distributional effects of Spain’s childcare reform in 2021-2023 supported by the EU’s Recovery and Resilience Facility, which allocates EUR 670 million to create 65,000 new public childcare places for children aged 0–3. Using CHILD-EUROLAB, a discrete choice labour supply and childcare model integrated with EUROMOD, a microsimulation tax-benefit model, we simulate how increased availability of formal childcare affects mothers’ employment decisions across regional clusters defined by the scale of planned childcare expansion. The reform is expected to raise formal childcare use by nearly 17% nationwide, with the strongest gains in high expansion regions such as Madrid and Valencia. Our results indicate that this would translate into higher maternal labour participation (+3.4%) and increased working hours (+2.5%), alongside meaningful reductions in child poverty (0.11 percentage points) and poverty among children under three years old (0.53 percentage points). The additional employment generates fiscal gains of approximately EUR 96 million per year, implying that the investment could be recouped within seven years, ceteris paribus. These findings highlight the potential of early childhood investment to strengthen female employment and reduce child poverty, while illustrating the value of ex-ante microsimulation for</w:t>
      </w:r>
    </w:p>
    <w:p>
      <w:pPr/>
      <w:r>
        <w:rPr>
          <w:b/>
        </w:rPr>
        <w:t>POSSIBLE 2026:</w:t>
      </w:r>
      <w:r>
        <w:t xml:space="preserve"> Predicting Youth Academy Player Usage in European Football: A Multidimensional Econometric Approach — https://openalex.org/W7171481490</w:t>
      </w:r>
    </w:p>
    <w:p>
      <w:pPr/>
      <w:r>
        <w:rPr>
          <w:b/>
        </w:rPr>
        <w:t>Shared claim-specific concepts:</w:t>
      </w:r>
      <w:r>
        <w:t xml:space="preserve"> multidimensional, approach, traditional; EU scope visible. This is a provisional connection, not an outcome finding.</w:t>
      </w:r>
    </w:p>
    <w:p>
      <w:pPr>
        <w:pStyle w:val="SourceNote"/>
      </w:pPr>
      <w:r>
        <w:rPr>
          <w:b/>
        </w:rPr>
        <w:t>Available abstract (not full text):</w:t>
      </w:r>
      <w:r>
        <w:t xml:space="preserve"> At a time when youth prospects are increasingly visible in elite football, youth academies are widely recognised as fundamental assets to football clubs, offering both sporting and financial benefits.However, despite extensive literature on football economics and youth development, a clear gap remains in understanding the actual integration of academy players into first teams and the factors that explain it.This study examines the multidimensional factors associated with youth academy player usage across professional European football, measured as the share of domestic league minutes played by academy-developed players.Using a club-season panel dataset of 30 clubs across four full seasons (2021/2022 to 2024/2025), the framework integrates financial, competitive, recruitment-related, managerial and ownership variables.The empirical analysis compares traditional linear regression and machine learning methods, specifically Decision Tree, Random Forest and Multilayer Perceptron, complemented by SHAP and LIME explainability tools to identify the main predictors of youth academy player usage.The results show that youth integration is associated with a combination of factors, among which Transfer Balance emerges as the strongest predictor, suggesting that reliance on youth academy players is closely linked to clubs' transfer-market activity.Competitive expectations, performance and sp</w:t>
      </w:r>
    </w:p>
    <w:p>
      <w:pPr/>
      <w:r>
        <w:rPr>
          <w:b/>
        </w:rPr>
        <w:t>POSSIBLE 2026:</w:t>
      </w:r>
      <w:r>
        <w:t xml:space="preserve"> The Right to a Fair Remuneration and Fair Income Replacement in the European Social Charter: A Multidimensional Approach — https://doi.org/10.3935/zpfz.75.6.2</w:t>
      </w:r>
    </w:p>
    <w:p>
      <w:pPr/>
      <w:r>
        <w:rPr>
          <w:b/>
        </w:rPr>
        <w:t>Shared claim-specific concepts:</w:t>
      </w:r>
      <w:r>
        <w:t xml:space="preserve"> multidimensional, approach, labour; EU scope visible. This is a provisional connection, not an outcome finding.</w:t>
      </w:r>
    </w:p>
    <w:p>
      <w:pPr>
        <w:pStyle w:val="SourceNote"/>
      </w:pPr>
      <w:r>
        <w:rPr>
          <w:b/>
        </w:rPr>
        <w:t>Available abstract (not full text):</w:t>
      </w:r>
      <w:r>
        <w:t xml:space="preserve"> The right to fair remuneration constitutes a fundamental employment-related entitlement and a cornerstone of the adequate standard of living. Closely linked to various provisions of the Revised (1996) European Social Charter – such as the right to social security – it not only ensures individuals can meet basic subsistence needs but also empowers them to autonomously pursue their life plans within market-based democracies. Its adequate protection is essential to preventing poverty, promoting social inclusion, and safeguarding equal opportunities in the labour market as well as in society. The European Committee of Social Rights plays a crucial role in this regard by monitoring compliance with the Charter, interpreting its provisions, and assessing whether national laws and practices align with the standards of fair remuneration set out in international law. The contribution examines the right to fair remuneration from different perspectives within as well as outside the European Social Charter, indicating its global importance and the sometimes-overlooked link to a number of other (social and economic) rights which together allow for persons’ development and execution of life plans in marked democracies. Since only a handful of countries, Members of the Council of Europe have not yet ratified the Revised European Social Charter, the article primarily focuses on the latter and n</w:t>
      </w:r>
    </w:p>
    <w:p>
      <w:pPr/>
      <w:r>
        <w:rPr>
          <w:b/>
        </w:rPr>
        <w:t>POSSIBLE 2026:</w:t>
      </w:r>
      <w:r>
        <w:t xml:space="preserve"> A Multidimensional Approach to Financial Fragility — https://doi.org/10.4324/9781003596851-5</w:t>
      </w:r>
    </w:p>
    <w:p>
      <w:pPr/>
      <w:r>
        <w:rPr>
          <w:b/>
        </w:rPr>
        <w:t>Shared claim-specific concepts:</w:t>
      </w:r>
      <w:r>
        <w:t xml:space="preserve"> multidimensional, approach, age; EU scope visible. This is a provisional connection, not an outcome finding.</w:t>
      </w:r>
    </w:p>
    <w:p>
      <w:pPr>
        <w:pStyle w:val="SourceNote"/>
      </w:pPr>
      <w:r>
        <w:rPr>
          <w:b/>
        </w:rPr>
        <w:t>Available abstract (not full text):</w:t>
      </w:r>
      <w:r>
        <w:t xml:space="preserve"> This chapter presents a comprehensive comparative analysis of household financial fragility across Central and Eastern European countries, drawing on harmonised micro-level data from the European Union Statistics on Income and Living Conditions. It conceptualises financial fragility as a multidimensional condition reflecting households’ limited capacity to absorb economic shocks, combining subjective perceptions of financial strain with objective indicators of material constraints. To capture this complexity, the chapter constructs a composite indicator of financial fragility using a fuzzy-set approach, allowing for nuanced differentiation among degrees of vulnerability rather than binary classifications. The empirical analysis compares levels, distributions, and trajectories of financial fragility across eleven countries over time, highlighting both convergence trends and persistent cross-country disparities. In addition, the chapter examines heterogeneity within countries by analysing differences across socio-demographic groups, settlement types, age cohorts, gender, education levels, and housing tenure. The findings reveal substantial overall improvements in household financial conditions since the global financial crisis, alongside enduring structural vulnerabilities affecting specific population groups and national contexts. By integrating theory, methodology, and comparat</w:t>
      </w:r>
    </w:p>
    <w:p>
      <w:pPr/>
      <w:r>
        <w:rPr>
          <w:b/>
        </w:rPr>
        <w:t>POSSIBLE 2025:</w:t>
      </w:r>
      <w:r>
        <w:t xml:space="preserve"> From symbolic violence to structural exclusion: The multidimensional nature of Islamophobia in Europe — https://doi.org/10.1016/j.ijintrel.2025.102327</w:t>
      </w:r>
    </w:p>
    <w:p>
      <w:pPr/>
      <w:r>
        <w:rPr>
          <w:b/>
        </w:rPr>
        <w:t>Shared claim-specific concepts:</w:t>
      </w:r>
      <w:r>
        <w:t xml:space="preserve"> multidimensional, demographic, age; EU scope visible. This is a provisional connection, not an outcome finding.</w:t>
      </w:r>
    </w:p>
    <w:p>
      <w:pPr>
        <w:pStyle w:val="SourceNote"/>
      </w:pPr>
      <w:r>
        <w:rPr>
          <w:b/>
        </w:rPr>
        <w:t>Available abstract (not full text):</w:t>
      </w:r>
      <w:r>
        <w:t xml:space="preserve"> Amid growing concerns over rising religious tensions and anti-Muslim sentiment in Europe, this study develops and validates a robust Islamophobia Index to systematically measure experiences of discrimination among Muslim communities. Leveraging survey data from 3598 respondents (including 466 Muslims) across Belgium, Germany, Spain, and Italy, confirmatory factor analysis validated a three-factor structure for the Islamophobia Index, comprising Experiential Violence, Perceived Negativity, and Global Event Impacts. The index demonstrated metric invariance across Belgium, Germany, and Spain (N = 444 analysis sample), supporting its utility for cross-national comparisons. Regression analyses indicate systemic exclusion; perceived global event impacts emerged as a significant statistical predictor of both experiential violence and perceived negativity. Experiences were also found to vary with demographic factors such as age and income in certain models. While specific hypothesised intersectional effects (e.g., gender with religious identification) were not statistically significant in the tested models, the research illustrates the value of considering compounded vulnerabilities. The validated three-factor Islamophobia Index provides a nuanced quantitative measure capable of capturing both overt prejudice and perceptions of structural discrimination. By bridging critical theory wit</w:t>
      </w:r>
    </w:p>
    <w:p>
      <w:pPr/>
      <w:r>
        <w:rPr>
          <w:b/>
        </w:rPr>
        <w:t>POSSIBLE 2025:</w:t>
      </w:r>
      <w:r>
        <w:t xml:space="preserve"> Measuring and targeting energy poverty in Europe using a multidimensional approach — https://doi.org/10.1016/j.enpol.2025.114518</w:t>
      </w:r>
    </w:p>
    <w:p>
      <w:pPr/>
      <w:r>
        <w:rPr>
          <w:b/>
        </w:rPr>
        <w:t>Shared claim-specific concepts:</w:t>
      </w:r>
      <w:r>
        <w:t xml:space="preserve"> multidimensional, approach, increase; EU scope visible. This is a provisional connection, not an outcome finding.</w:t>
      </w:r>
    </w:p>
    <w:p>
      <w:pPr>
        <w:pStyle w:val="SourceNote"/>
      </w:pPr>
      <w:r>
        <w:rPr>
          <w:b/>
        </w:rPr>
        <w:t>Available abstract (not full text):</w:t>
      </w:r>
      <w:r>
        <w:t xml:space="preserve"> Despite the plethora of articles on energy poverty, very few use methods rooted in economic theory to measure the number of households facing this situation (i.e. extension) and its severity (i.e. intensity) of this multidimensional condition across different countries. We use a multidimensional approach and factor analysis to estimate a composite index. We compare both methods and use European data on self-reported energy poverty and expenditure to measure the problem at the extensive and intensive margins. We also use our indicators to assess the efficacy of targeting European energy-poor households. We find that Greece, Lithuania, and Bulgaria have the highest proportion of energy-impoverished households and the highest intensity. Ireland has the highest relative efficiency in targeting households in this condition. We also find that while having a low likelihood of being in energy poverty in some countries, the intensity of this condition can be severe. Unemployment, disabilities and face cuts in social benefits increase the probability of being in energy poverty. • Multidimensional methods provide a comprehensive measurement. • There is a strong correlation between energy poverty extent and intensity. • Data from 22 EU countries in 2021 was analysed. • Less than one-fourth of energy-poor households receive subsidies. • Ireland is the most efficient in targeting energy-poor</w:t>
      </w:r>
    </w:p>
    <w:p>
      <w:pPr/>
      <w:r>
        <w:rPr>
          <w:b/>
        </w:rPr>
        <w:t>POSSIBLE 2025:</w:t>
      </w:r>
      <w:r>
        <w:t xml:space="preserve"> Demographic Drivers of Epidemic Outcomes: Sensitivity Analysis of Multidimensional Parameters in the Covasim Model — https://doi.org/10.1101/2025.10.14.25328629</w:t>
      </w:r>
    </w:p>
    <w:p>
      <w:pPr/>
      <w:r>
        <w:rPr>
          <w:b/>
        </w:rPr>
        <w:t>Shared claim-specific concepts:</w:t>
      </w:r>
      <w:r>
        <w:t xml:space="preserve"> multidimensional, demographic, approach, age; EU scope not established. This is a provisional connection, not an outcome finding.</w:t>
      </w:r>
    </w:p>
    <w:p>
      <w:pPr>
        <w:pStyle w:val="SourceNote"/>
      </w:pPr>
      <w:r>
        <w:rPr>
          <w:b/>
        </w:rPr>
        <w:t>Available abstract (not full text):</w:t>
      </w:r>
      <w:r>
        <w:t xml:space="preserve"> Abstract Background Sensitivity analysis is a key tool for identifying which model inputs most strongly influence model outputs thereby informing data collection priorities. In agent-based models, these inputs include demographic parameters used to construct synthetic populations. Such parameters — age distributions, household size distributions, and contact matrices — are critical in shaping transmission dynamics. However, most established sensitivity analysis methods are designed for scalar inputs and cannot readily accommodate multidimensional demographic data. We introduce a novel sampling approach to assess the influence of such parameters on model outputs, addressing a key gap in sensitivity analysis of epidemiological agent-based models. Methods The Covasim model of COVID-19 transmission was used as the case study in this work. An autoencoder neural network was trained on country-level demographic datasets to generate realistic samples of high-dimensional inputs of the model. These sampled inputs were coupled with Sobol’ sensitivity indices to quantify their influence on cumulative infections and deaths. Results Non-scalar parameters were found to exert a major influence on model outputs. Household size distribution was the most important parameter for cumulative number of infectious cases, while age distribution had the largest effect on cumulative deaths. These finding</w:t>
      </w:r>
    </w:p>
    <w:p>
      <w:pPr/>
      <w:r>
        <w:rPr>
          <w:b/>
        </w:rPr>
        <w:t>POSSIBLE 2025:</w:t>
      </w:r>
      <w:r>
        <w:t xml:space="preserve"> De welvaartsstaat hervormen in de 21e eeuw: Publieke steun en de politieke haalbaarheid van voorstellen voor een basisinkomen — https://openalex.org/W7113667282</w:t>
      </w:r>
    </w:p>
    <w:p>
      <w:pPr/>
      <w:r>
        <w:rPr>
          <w:b/>
        </w:rPr>
        <w:t>Shared claim-specific concepts:</w:t>
      </w:r>
      <w:r>
        <w:t xml:space="preserve"> approach, microsimulation, project, labour, traditional, increase; EU scope visible. This is a provisional connection, not an outcome finding.</w:t>
      </w:r>
    </w:p>
    <w:p>
      <w:pPr>
        <w:pStyle w:val="SourceNote"/>
      </w:pPr>
      <w:r>
        <w:rPr>
          <w:b/>
        </w:rPr>
        <w:t>Available abstract (not full text):</w:t>
      </w:r>
      <w:r>
        <w:t xml:space="preserve"> A basic income (BI) differs radically from traditional public benefits because it breaks the link between contribution and benefit on the one hand and between need and benefit on the other. Although a BI is often presented as a simple idea, discussing concrete policy proposals quickly ends in a Tower of Babel-like argument. In many of these debates, it appears that proponents, and respectively opponents, often have different types of BI schemes in mind when advocating or criticizing the idea. However, it is quite clear that the actual outcomes of a BI will depend largely on the concrete policy design in terms of eligibility, eligibility criteria, benefit levels, financing, and implementation modalities. These aspects will have a major impact on the extent to which a BI will encourage or discourage paid work or any work at all, increase or decrease gender inequality in work and care, and end the myriad problems associated with income-dependent welfare benefits. Unfortunately, we lack empirical research on many of these outcomes. This is the main focus of the BAsic income in BELgium (BABEL) project. The BABEL project aims to close the gap between dream and deed regarding basic income. The project has several objectives. First, it aims to investigate the actual labour supply effects of BI. To this end, a quasi-experimental approach is applied, where we use administrative data to e</w:t>
      </w:r>
    </w:p>
    <w:p>
      <w:pPr>
        <w:pStyle w:val="Heading2"/>
      </w:pPr>
      <w:r>
        <w:t>534. Futures and foresight of Croatian cultural heritage</w:t>
      </w:r>
    </w:p>
    <w:p>
      <w:pPr>
        <w:pStyle w:val="SourceNote"/>
      </w:pPr>
      <w:r>
        <w:rPr>
          <w:b/>
        </w:rPr>
        <w:t>Original source (2022):</w:t>
      </w:r>
      <w:r>
        <w:t xml:space="preserve"> https://doi.org/10.17018/portal.2022.10</w:t>
      </w:r>
    </w:p>
    <w:p>
      <w:pPr/>
      <w:r>
        <w:t>Original wording (abstract; indexed_source_text_not_full_document_verified): This paper is primarily about anticipating the future, and not predicting it, by showing the methods and techniques that identify processes that could affect the future of heritage protection and management in the Republic of Croatia. Based on established trends, several scenarios are developed with certainties and uncertainties.</w:t>
      </w:r>
    </w:p>
    <w:p>
      <w:pPr/>
      <w:r>
        <w:rPr>
          <w:b/>
        </w:rPr>
        <w:t>POSSIBLE 2026:</w:t>
      </w:r>
      <w:r>
        <w:t xml:space="preserve"> Two papal Europes: Benedict XVI, Francis and competing Christian imaginaries of Europe — https://doi.org/10.1080/14782804.2026.2718750</w:t>
      </w:r>
    </w:p>
    <w:p>
      <w:pPr/>
      <w:r>
        <w:rPr>
          <w:b/>
        </w:rPr>
        <w:t>Shared claim-specific concepts:</w:t>
      </w:r>
      <w:r>
        <w:t xml:space="preserve"> primarily, not, identify; EU scope visible. This is a provisional connection, not an outcome finding.</w:t>
      </w:r>
    </w:p>
    <w:p>
      <w:pPr>
        <w:pStyle w:val="SourceNote"/>
      </w:pPr>
      <w:r>
        <w:rPr>
          <w:b/>
        </w:rPr>
        <w:t>Available abstract (not full text):</w:t>
      </w:r>
      <w:r>
        <w:t xml:space="preserve"> This article examines how Joseph Ratzinger/Benedict XVI and Jorge Bergoglio/Francis constructed Europe as a moral and political project, and how their contrasting narratives shape the political uses of Christianity in contemporary Europe. It employs a qualitative Critical Discourse Analysis of a bounded corpus of Europe-facing speeches and writings, examining lexical choices, metaphors, modality, argumentative topoi, intertextuality and editorial recontextualisation. In Ratzinger’s case, the analysis distinguishes between pre-pontifical interventions, used genealogically to reconstruct his intellectual repertoire, and texts delivered with the institutional authority of Benedict XVI’s pontificate. The findings identify two partially overlapping but distinct Christian imaginaries. Ratzinger and Benedict XVI construct Europe primarily through a grammar of roots, civilisational continuity and moral defence, presenting Christianity as foundational to European identity and political order. Francis, by contrast, articulates Europe through encounter, solidarity and responsibility, evaluating its moral credibility through its treatment of migrants, vulnerable groups and the peripheries. The article argues that papal discourse does not offer a unified Catholic definition of Europe. Instead, it provides competing authoritative repertoires that political and religious actors can selectivel</w:t>
      </w:r>
    </w:p>
    <w:p>
      <w:pPr/>
      <w:r>
        <w:rPr>
          <w:b/>
        </w:rPr>
        <w:t>POSSIBLE 2026:</w:t>
      </w:r>
      <w:r>
        <w:t xml:space="preserve"> Cultural Production Reveals Transitions to Sustained Human Development in both European and Non-European Societies — https://openalex.org/W7124669595</w:t>
      </w:r>
    </w:p>
    <w:p>
      <w:pPr/>
      <w:r>
        <w:rPr>
          <w:b/>
        </w:rPr>
        <w:t>Shared claim-specific concepts:</w:t>
      </w:r>
      <w:r>
        <w:t xml:space="preserve"> primarily, not, showing, methods; EU scope visible. This is a provisional connection, not an outcome finding.</w:t>
      </w:r>
    </w:p>
    <w:p>
      <w:pPr>
        <w:pStyle w:val="SourceNote"/>
      </w:pPr>
      <w:r>
        <w:rPr>
          <w:b/>
        </w:rPr>
        <w:t>Available abstract (not full text):</w:t>
      </w:r>
      <w:r>
        <w:t xml:space="preserve"> Sustained human development is often seen as a recent phenomenon, primarily linked to Europe's Industrial Revolution. This perspective has shaped much of our historical understanding, but it relies on a limited set of economic indicators with restricted temporal and geographic coverage. In this article, we introduce Cultural Production as a complementary proxy for human development, particularly suited to long-term and cross-regional comparisons. Cultural production reflects the extent to which societies enable individuals to acquire knowledge, develop skills, and contribute to intellectual and artistic life-conditions closely tied to education, health, material security, and institutional support. We construct a global dataset tracking 122,634 distinct cultural producers (e.g., scientists, artists, writers) and apply ecological methods to estimate the number of unrecorded figures, correcting for differential survivorship bias. The resulting measure enables a broader and deeper reconstruction of human development across time and space. Our results challenge the prevailing view that meaningful development began only in modern Europe. We confirm that Western Europe experienced continuous gains from the 11th century onward, but we also uncover sustained growth in non-Western regions long before the 19th century. Japan shows multiple developmental phases, including a continuous ris</w:t>
      </w:r>
    </w:p>
    <w:p>
      <w:pPr/>
      <w:r>
        <w:rPr>
          <w:b/>
        </w:rPr>
        <w:t>POSSIBLE 2026:</w:t>
      </w:r>
      <w:r>
        <w:t xml:space="preserve"> Predicting Youth Academy Player Usage in European Football: A Multidimensional Econometric Approach — https://openalex.org/W7171481490</w:t>
      </w:r>
    </w:p>
    <w:p>
      <w:pPr/>
      <w:r>
        <w:rPr>
          <w:b/>
        </w:rPr>
        <w:t>Shared claim-specific concepts:</w:t>
      </w:r>
      <w:r>
        <w:t xml:space="preserve"> predicting, methods, identify; EU scope visible. This is a provisional connection, not an outcome finding.</w:t>
      </w:r>
    </w:p>
    <w:p>
      <w:pPr>
        <w:pStyle w:val="SourceNote"/>
      </w:pPr>
      <w:r>
        <w:rPr>
          <w:b/>
        </w:rPr>
        <w:t>Available abstract (not full text):</w:t>
      </w:r>
      <w:r>
        <w:t xml:space="preserve"> At a time when youth prospects are increasingly visible in elite football, youth academies are widely recognised as fundamental assets to football clubs, offering both sporting and financial benefits.However, despite extensive literature on football economics and youth development, a clear gap remains in understanding the actual integration of academy players into first teams and the factors that explain it.This study examines the multidimensional factors associated with youth academy player usage across professional European football, measured as the share of domestic league minutes played by academy-developed players.Using a club-season panel dataset of 30 clubs across four full seasons (2021/2022 to 2024/2025), the framework integrates financial, competitive, recruitment-related, managerial and ownership variables.The empirical analysis compares traditional linear regression and machine learning methods, specifically Decision Tree, Random Forest and Multilayer Perceptron, complemented by SHAP and LIME explainability tools to identify the main predictors of youth academy player usage.The results show that youth integration is associated with a combination of factors, among which Transfer Balance emerges as the strongest predictor, suggesting that reliance on youth academy players is closely linked to clubs' transfer-market activity.Competitive expectations, performance and sp</w:t>
      </w:r>
    </w:p>
    <w:p>
      <w:pPr/>
      <w:r>
        <w:rPr>
          <w:b/>
        </w:rPr>
        <w:t>POSSIBLE 2025:</w:t>
      </w:r>
      <w:r>
        <w:t xml:space="preserve"> Predicting the Potential Spread of Diabrotica virgifera virgifera in Europe Using Climate-Based Spatial Risk Modeling — https://doi.org/10.3390/insects16101005</w:t>
      </w:r>
    </w:p>
    <w:p>
      <w:pPr/>
      <w:r>
        <w:rPr>
          <w:b/>
        </w:rPr>
        <w:t>Shared claim-specific concepts:</w:t>
      </w:r>
      <w:r>
        <w:t xml:space="preserve"> about, not, predicting, management, based, established; EU scope visible. This is a provisional connection, not an outcome finding.</w:t>
      </w:r>
    </w:p>
    <w:p>
      <w:pPr>
        <w:pStyle w:val="SourceNote"/>
      </w:pPr>
      <w:r>
        <w:rPr>
          <w:b/>
        </w:rPr>
        <w:t>Available abstract (not full text):</w:t>
      </w:r>
      <w:r>
        <w:t xml:space="preserve"> Diabrotica virgifera virgifera Le Conte, 1868 (Coleoptera: Chrysomelidae), known as the western corn rootworm, is one of the most important alien insect pests affecting maize crops globally. It causes significant economic losses by feeding on the roots, which affects plant stability and nutrient absorption, as well as by attacking essential aerial organs (leaves, silk, pollen). Since its accidental introduction into Europe, the species has expanded its range across maize-growing regions, raising concerns about future distribution under climate change. This study aimed to estimate the risk of pest establishment across Europe over three future time frames (2034, 2054, 2074) based on geographic coordinates, climate data, and maize distribution. Spatial simulations were performed in QGIS using national centroid datasets, risk classification criteria, and temperature anomaly maps derived from Copernicus and ECA&amp;D databases for 1992–2024. The results indicate consistently high risk in southern and southeastern regions, with projected expansion toward central and western areas by 2074. Risk zones showed clear spatial aggregation and directional spread correlated with warming trends and maize availability. The pest’s high reproductive potential, thermal tolerance, and capacity for human-assisted dispersal further support these predictions. The model emphasizes the need for expanded sur</w:t>
      </w:r>
    </w:p>
    <w:p>
      <w:pPr/>
      <w:r>
        <w:rPr>
          <w:b/>
        </w:rPr>
        <w:t>POSSIBLE 2025:</w:t>
      </w:r>
      <w:r>
        <w:t xml:space="preserve"> Investigating stone materials from some European cultural heritage sites for predicting future decay — https://doi.org/10.1007/s12210-024-01298-x</w:t>
      </w:r>
    </w:p>
    <w:p>
      <w:pPr/>
      <w:r>
        <w:rPr>
          <w:b/>
        </w:rPr>
        <w:t>Shared claim-specific concepts:</w:t>
      </w:r>
      <w:r>
        <w:t xml:space="preserve"> primarily, predicting, processes, heritage; EU scope visible. This is a provisional connection, not an outcome finding.</w:t>
      </w:r>
    </w:p>
    <w:p>
      <w:pPr>
        <w:pStyle w:val="SourceNote"/>
      </w:pPr>
      <w:r>
        <w:rPr>
          <w:b/>
        </w:rPr>
        <w:t>Available abstract (not full text):</w:t>
      </w:r>
      <w:r>
        <w:t xml:space="preserve"> Abstract The preservation of Europe’s stone-built heritage is crucial for safeguarding our cultural legacy. This study investigates twelve distinct stones used in historical monuments across Italy, Spain, Greece, and Norway, including marbles (Carrara and Macael), limestones (Botticino, Red Verona, Costozza, Istrian, Sfouggaria, Santa Pudia), a carbonate-dominated sandstone (Lartios), volcanic rocks (Euganean trachyte and Tønsberg latite), and an intrusive igneous rock (Tønsbergite). Through comprehensive analysis of mineralogical composition, porosity, water interactions, and accelerated ageing tests, this research establishes a framework for assessing these materials susceptibility to decay mechanisms. The results demonstrate significant variability in durability and decay response among the stone types, primarily determined by pore abundance and distribution. This study enhances the understanding of stone materials behaviour under stressed conditions, offering valuable insights for mitigating future decay processes and protecting European cultural heritage. The stones examined were chosen for their significant presence at the four pilot sites of the European Hyperion project: Venice (Italy), Granada (Spain), Rhodes (Greece), and Tønsberg (Norway). Graphic abstract</w:t>
      </w:r>
    </w:p>
    <w:p>
      <w:pPr/>
      <w:r>
        <w:rPr>
          <w:b/>
        </w:rPr>
        <w:t>POSSIBLE 2025:</w:t>
      </w:r>
      <w:r>
        <w:t xml:space="preserve"> Climate-relevant land cover composition and configuration trajectories in Europe — https://doi.org/10.1088/1748-9326/adc8be</w:t>
      </w:r>
    </w:p>
    <w:p>
      <w:pPr/>
      <w:r>
        <w:rPr>
          <w:b/>
        </w:rPr>
        <w:t>Shared claim-specific concepts:</w:t>
      </w:r>
      <w:r>
        <w:t xml:space="preserve"> about, showing, affect; EU scope visible. This is a provisional connection, not an outcome finding.</w:t>
      </w:r>
    </w:p>
    <w:p>
      <w:pPr>
        <w:pStyle w:val="SourceNote"/>
      </w:pPr>
      <w:r>
        <w:rPr>
          <w:b/>
        </w:rPr>
        <w:t>Available abstract (not full text):</w:t>
      </w:r>
      <w:r>
        <w:t xml:space="preserve"> Abstract Land use and land cover change (LULCC) can affect the climate system by altering biophysical surface characteristics. At the local scale, climate regulating functions are co-determined by land cover composition and configuration, i.e. the proportions and the spatial arrangement of land cover types. However, research on the relationship between LULCC and climate often focuses individually either on compositional or configurational aspects. As a result, there is a gap in our knowledge about the spatiotemporal distribution of land cover composition and configuration patterns influencing the local climate regulating functions. Here, we used a range of LULCC metrics between 1992 and 2015 and applied Self-Organizing Maps to characterize dominant land cover composition and configuration trajectories in Europe. We then tested the climate relevance of the five most dominant trajectories with a high-resolution regional climate model. Land cover composition and configuration simultaneously changed in more than 20% of the European landmass, with cropland transition to forest patches and bare soil representing the major trajectory. Climate model simulations predict a general increase in the topsoil temperature due to only changes in land cover composition and configuration. All trajectories showed increasing topsoil temperature variability during the crop growing season, with fores</w:t>
      </w:r>
    </w:p>
    <w:p>
      <w:pPr/>
      <w:r>
        <w:rPr>
          <w:b/>
        </w:rPr>
        <w:t>POSSIBLE 2025:</w:t>
      </w:r>
      <w:r>
        <w:t xml:space="preserve"> Observed Distribution and Predicted Further Spread of Araujia sericifera From Europe to the Southern Caspian Sea Coast — https://doi.org/10.1111/wre.70041</w:t>
      </w:r>
    </w:p>
    <w:p>
      <w:pPr/>
      <w:r>
        <w:rPr>
          <w:b/>
        </w:rPr>
        <w:t>Shared claim-specific concepts:</w:t>
      </w:r>
      <w:r>
        <w:t xml:space="preserve"> primarily, showing, management, based; EU scope visible. This is a provisional connection, not an outcome finding.</w:t>
      </w:r>
    </w:p>
    <w:p>
      <w:pPr>
        <w:pStyle w:val="SourceNote"/>
      </w:pPr>
      <w:r>
        <w:rPr>
          <w:b/>
        </w:rPr>
        <w:t>Available abstract (not full text):</w:t>
      </w:r>
      <w:r>
        <w:t xml:space="preserve"> ABSTRACT Araujia sericifera , an alien species in Europe and Western Asia, is a perennial climbing vine that aggressively overgrows and shades native vegetation, causing substantial biodiversity loss. Its global distribution reveals five invasion hotspots, with a major hotspot extending from Western Europe to northern Iran. Historical records indicate a gradual eastward expansion along the Mediterranean corridor through Western Asia. Habitat suitability modelling, based on climate and land cover variables, identifies a continuous belt of high suitability from Portugal through southern Europe into Western Asia, particularly in coastal and lowland regions. In Iran, the southern Caspian Sea coast, including Gilan, Mazandaran, and Golestan provinces, represents a major area of invasion risk, with high suitability closely matching recent occurrence records. The species' climatic niche is characterised by winter temperatures above −10°C, summer temperatures below 35 C, and precipitation exceeding 20 mm during the driest month. It avoids extremely arid regions and areas with monsoonal rainfall exceeding 800 mm in the wettest month, showing a strong association with urban environments. Although historical dispersal followed a primarily longitudinal pattern, climate change projections indicate high potential for northward expansion. Given its rapid spread, high ecological suitability in</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anticipating, not, methods, management, based, trends;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Machine learning algorithms for the evaluation of risk by tick-borne pathogens in Europe — https://doi.org/10.1080/07853890.2024.2405074</w:t>
      </w:r>
    </w:p>
    <w:p>
      <w:pPr/>
      <w:r>
        <w:rPr>
          <w:b/>
        </w:rPr>
        <w:t>Shared claim-specific concepts:</w:t>
      </w:r>
      <w:r>
        <w:t xml:space="preserve"> predicting, methods, identify, affect, based, several; EU scope visible. This is a provisional connection, not an outcome finding.</w:t>
      </w:r>
    </w:p>
    <w:p>
      <w:pPr>
        <w:pStyle w:val="SourceNote"/>
      </w:pPr>
      <w:r>
        <w:rPr>
          <w:b/>
        </w:rPr>
        <w:t>Available abstract (not full text):</w:t>
      </w:r>
      <w:r>
        <w:t xml:space="preserve"> Background Tick-borne pathogens pose a major threat to human health worldwide. Understanding the epidemiology of tick-borne diseases to reduce their impact on human health requires models covering large geographic areas and considering both the abiotic traits that affect tick presence, as well as the vertebrates used as hosts, vegetation, and land use. Herein, we integrated the public information available for Europe regarding the variables that may affect habitat suitability for ticks and hosts and tested five machine learning algorithms (MLA) for predicting the distribution of four prominent tick species across Europe.Materials and methods A grid of cells 20 km in diameter was prepared to cover the entire territory, containing data on vegetation, points of water, habitat fragmentation, forest density, grass extension, or imperviousness, with information on temperature and water deficit. The distribution of the hosts (162 species) was modelled and included in the dataset. We used five MLA, namely, Random Forest, Neural Networks, Naive Bayes, Gradient Boosting, and AdaBoost, trained with reliable coordinates for Ixodes ricinus, Dermacentor reticulatus, Dermacentor marginatus, and Hyalomma marginatum in Europe.Results Both Random Forest and Gradient Boosting best predicted ticks and host environmental niches. Our results demonstrate that MLA can identify trait-matching combinati</w:t>
      </w:r>
    </w:p>
    <w:p>
      <w:pPr/>
      <w:r>
        <w:rPr>
          <w:b/>
        </w:rPr>
        <w:t>POSSIBLE 2024:</w:t>
      </w:r>
      <w:r>
        <w:t xml:space="preserve"> Species traits and invasion history as predictors of freshwater fish invasion success in Europe — https://doi.org/10.3391/mbi.2025.16.1.16</w:t>
      </w:r>
    </w:p>
    <w:p>
      <w:pPr/>
      <w:r>
        <w:rPr>
          <w:b/>
        </w:rPr>
        <w:t>Shared claim-specific concepts:</w:t>
      </w:r>
      <w:r>
        <w:t xml:space="preserve"> primarily, management, established; EU scope visible. This is a provisional connection, not an outcome finding.</w:t>
      </w:r>
    </w:p>
    <w:p>
      <w:pPr>
        <w:pStyle w:val="SourceNote"/>
      </w:pPr>
      <w:r>
        <w:rPr>
          <w:b/>
        </w:rPr>
        <w:t>Available abstract (not full text):</w:t>
      </w:r>
      <w:r>
        <w:t xml:space="preserve"> Despite the growing literature on the topic of freshwater fish invasions, few studies have employed a comprehensive analysis of the stages characterizing the invasion process with reference to the invasion pathway.There is therefore a need to understand more fully invasion pathways to avoid incomplete and biased conclusions and to support adequate management strategies.This study aims to provide a complete analysis of the species traits and invasion history that are associated with the successful passage of an alien freshwater fish species through the invasion pathway stages in European river basins.To predict how likely a freshwater fish species moves from each stage of the invasion pathway (release, establishment, spread and impact) to the next, generalized linear mixed models were run, using 23 species traits and seven variables describing introduction history as predictors for 127 established alien freshwater fish species in Europe.The results showed that the release and spread stages were driven primarily by variables related to invasion history (i.e. the type and number of causes of introduction).The establishment stage was driven mainly by functional and ecological traits, while the impact stage was driven both by functional and ecological traits and invasion history.Identifying the main drivers of alien species success at each invasion stage is key to designing stage-sp</w:t>
      </w:r>
    </w:p>
    <w:p>
      <w:pPr/>
      <w:r>
        <w:rPr>
          <w:b/>
        </w:rPr>
        <w:t>POSSIBLE 2024:</w:t>
      </w:r>
      <w:r>
        <w:t xml:space="preserve"> Buy It, Steal It, Print It: How Right-Wing Extremists in Europe Acquire Firearms and What To Do About It — https://doi.org/10.19165/2024.9820</w:t>
      </w:r>
    </w:p>
    <w:p>
      <w:pPr/>
      <w:r>
        <w:rPr>
          <w:b/>
        </w:rPr>
        <w:t>Shared claim-specific concepts:</w:t>
      </w:r>
      <w:r>
        <w:t xml:space="preserve"> about, methods, based; EU scope visible. This is a provisional connection, not an outcome finding.</w:t>
      </w:r>
    </w:p>
    <w:p>
      <w:pPr>
        <w:pStyle w:val="SourceNote"/>
      </w:pPr>
      <w:r>
        <w:rPr>
          <w:b/>
        </w:rPr>
        <w:t>Available abstract (not full text):</w:t>
      </w:r>
      <w:r>
        <w:t xml:space="preserve"> This policy brief examines the methods of firearms acquisition by right-wing extremists (RWEs) in Europe between 2019 and 2024. Based on a dataset of 118 cases, it reveals that RWEs resort to diverse legal and illegal acquisition strategies, including the use of illicit markets, legal possession, theft from military and law enforcement sources, and private manufacture, particularly 3D printing. The policy brief further discusses current EU countermeasures and their effectiveness in addressing RWE-specific acquisition methods. It identifies gaps in existing policies and enforcement, particularly regarding background checks in issuing and reviewing weapon licences, screening of military and law enforcement personnel, and regulation of emerging technologies like 3D printing. The authors call for further research to increase the understanding of the RWE-firearms nexus and to develop more targeted prevention strategies.</w:t>
      </w:r>
    </w:p>
    <w:p>
      <w:pPr/>
      <w:r>
        <w:rPr>
          <w:b/>
        </w:rPr>
        <w:t>POSSIBLE 2023:</w:t>
      </w:r>
      <w:r>
        <w:t xml:space="preserve"> A Lexicographic Practice Map of Europe — https://doi.org/10.1093/ijl/ecad023</w:t>
      </w:r>
    </w:p>
    <w:p>
      <w:pPr/>
      <w:r>
        <w:rPr>
          <w:b/>
        </w:rPr>
        <w:t>Shared claim-specific concepts:</w:t>
      </w:r>
      <w:r>
        <w:t xml:space="preserve"> identify, affect, based, trends; EU scope visible. This is a provisional connection, not an outcome finding.</w:t>
      </w:r>
    </w:p>
    <w:p>
      <w:pPr>
        <w:pStyle w:val="SourceNote"/>
      </w:pPr>
      <w:r>
        <w:rPr>
          <w:b/>
        </w:rPr>
        <w:t>Available abstract (not full text):</w:t>
      </w:r>
      <w:r>
        <w:t xml:space="preserve"> Abstract This article presents the combined results of three international surveys that were carried out in the context of the Horizon 2020 European Lexicographic Infrastructure project (ELEXIS). The aim of these surveys was to gain more insight into lexicographic practices and the needs of lexicographers in Europe. The surveys were delivered via online platforms. Based on the combined results, we sketch a map of lexicographic practices in Europe, both for born-digital and retrodigitized resources, analyze current needs in terms of tools, functionalities and training, and identify emerging trends that will affect lexicography in the short and long term.</w:t>
      </w:r>
    </w:p>
    <w:p>
      <w:pPr>
        <w:pStyle w:val="Heading2"/>
      </w:pPr>
      <w:r>
        <w:t>535. GHG emissions, trade balance, and carbon leakage: Insights from modeling thirty-one European decarbonization pathways towards 2050</w:t>
      </w:r>
    </w:p>
    <w:p>
      <w:pPr>
        <w:pStyle w:val="SourceNote"/>
      </w:pPr>
      <w:r>
        <w:rPr>
          <w:b/>
        </w:rPr>
        <w:t>Original source (2022):</w:t>
      </w:r>
      <w:r>
        <w:t xml:space="preserve"> https://doi.org/10.1016/j.eneco.2022.106240</w:t>
      </w:r>
    </w:p>
    <w:p>
      <w:pPr/>
      <w:r>
        <w:t>Original wording (abstract; indexed_source_text_not_full_document_verified): Recognizing the urgent need for concrete sectoral information in designing European climate change mitigation pathways of policy relevance, this study formulates, simulates and compares 31 European decarbonization pathways, focusing on changes in trade flows and GHG emissions.</w:t>
      </w:r>
    </w:p>
    <w:p>
      <w:pPr/>
      <w:r>
        <w:rPr>
          <w:b/>
        </w:rPr>
        <w:t>POSSIBLE 2026:</w:t>
      </w:r>
      <w:r>
        <w:t xml:space="preserve"> Linguistic diversity of new minorities in Europe: A crossroads of rights and duties — https://doi.org/10.5281/zenodo.18845601</w:t>
      </w:r>
    </w:p>
    <w:p>
      <w:pPr/>
      <w:r>
        <w:rPr>
          <w:b/>
        </w:rPr>
        <w:t>Shared claim-specific concepts:</w:t>
      </w:r>
      <w:r>
        <w:t xml:space="preserve"> recognizing, urgent, need, flows; EU scope visible. This is a provisional connection, not an outcome finding.</w:t>
      </w:r>
    </w:p>
    <w:p>
      <w:pPr>
        <w:pStyle w:val="SourceNote"/>
      </w:pPr>
      <w:r>
        <w:rPr>
          <w:b/>
        </w:rPr>
        <w:t>Available abstract (not full text):</w:t>
      </w:r>
      <w:r>
        <w:t xml:space="preserve"> Increasing international mobility flows have presented both opportunities and challenges for social cohesion and integration in Europe. Language, as a tool for communication and a marker of identity, plays a pivotal role in ensuring equality of access to education, the labor market, and justice. However, many European states face difficulties in balancing the need for integration with the recognition of linguistic diversity, particularly concerning new minorities arising from migration flows. These challenges have underlined the urgent need for effective governance of linguistic diversity. This paper explores the governance of linguistic diversity in the context ofintegrating new minorities in Europe. It argues for expanding the scope ofminority rights — traditionally reserved for historical minorities — to include new minorities. This approach addresses gaps in international frameworks, particularly regarding identity and language rights, and fosters amore inclusive diversity governance model. Recognizing and protectingthe linguistic rights of new minorities is essential to promoting cohesionand belonging, reducing the risk of alienation and conflict, and avoidingforced assimilation. The paper highlights the dual need for supporting minority languages while maintaining proficiency in a common public language to ensure state functionality and societal integration. Using an inte</w:t>
      </w:r>
    </w:p>
    <w:p>
      <w:pPr/>
      <w:r>
        <w:rPr>
          <w:b/>
        </w:rPr>
        <w:t>POSSIBLE 2026:</w:t>
      </w:r>
      <w:r>
        <w:t xml:space="preserve"> Information and misinformation on assisted human reproduction techniques in Europe: a normative analysis of the information provided on the websites of medically assisted reproduction clinics — https://doi.org/10.1186/s12910-026-01388-5</w:t>
      </w:r>
    </w:p>
    <w:p>
      <w:pPr/>
      <w:r>
        <w:rPr>
          <w:b/>
        </w:rPr>
        <w:t>Shared claim-specific concepts:</w:t>
      </w:r>
      <w:r>
        <w:t xml:space="preserve"> urgent, need, information; EU scope visible. This is a provisional connection, not an outcome finding.</w:t>
      </w:r>
    </w:p>
    <w:p>
      <w:pPr>
        <w:pStyle w:val="SourceNote"/>
      </w:pPr>
      <w:r>
        <w:rPr>
          <w:b/>
        </w:rPr>
        <w:t>Available abstract (not full text):</w:t>
      </w:r>
      <w:r>
        <w:t xml:space="preserve"> BACKGROUND: As part of the European Be better informed about Fertility project (B2-InF), we carried out a normative analysis of the information provided online by assisted reproduction clinics to the European public. This analysis aimed to determine the degree to which this information complies with regulations of medically assisted reproduction (MAR) and commercial information, and the main ethical implications related to the duty of information. METHODS: Information was gathered from the websites of 33 clinics across 8 European countries (Albania, Belgium, Spain, Italy, Kosovo, Northern Macedonia, Slovenia, Switzerland). Nearly 2000 pages of information were reviewed and checked for compliance with relevant frameworks of national and international law. RESULTS: The assessment revealed significant inconsistencies in how clinics present information online, with particular concerns regarding transparency about success rates, associated risks, add-on techniques and the legal and ethical issues that may arise during the use of these techniques. CONCLUSIONS: The results of our analysis indicate an urgent need for enhanced regulatory oversight and standardized information requirements for assisted reproduction clinics across Europe. These findings suggest the necessity for harmonized legal frameworks that mandate comprehensive disclosure standards and establish effective enforcement</w:t>
      </w:r>
    </w:p>
    <w:p>
      <w:pPr/>
      <w:r>
        <w:rPr>
          <w:b/>
        </w:rPr>
        <w:t>POSSIBLE 2026:</w:t>
      </w:r>
      <w:r>
        <w:t xml:space="preserve"> Natural Gas Transit from West Africa to Europe (Africa Atlantic Gas Pipeline) to Maximize Energy Security and Transit Revenues by 2050 — https://doi.org/10.62762/jgee.2025.372522</w:t>
      </w:r>
    </w:p>
    <w:p>
      <w:pPr/>
      <w:r>
        <w:rPr>
          <w:b/>
        </w:rPr>
        <w:t>Shared claim-specific concepts:</w:t>
      </w:r>
      <w:r>
        <w:t xml:space="preserve"> recognizing, urgent, need; EU scope visible. This is a provisional connection, not an outcome finding.</w:t>
      </w:r>
    </w:p>
    <w:p>
      <w:pPr>
        <w:pStyle w:val="SourceNote"/>
      </w:pPr>
      <w:r>
        <w:rPr>
          <w:b/>
        </w:rPr>
        <w:t>Available abstract (not full text):</w:t>
      </w:r>
      <w:r>
        <w:t xml:space="preserve"> The Africa-Atlantic Gas Pipeline (AAGP), also known as the Nigeria-Morocco Gas Pipeline, is a major transcontinental infrastructure project poised to connect West African gas reserves with North African networks and European markets, potentially reshaping regional energy dynamics, boosting economic development, and enhancing energy security. Its strategic importance has grown amid Europe’s urgent need to diversify away from Russian gas imports and Africa’s dual challenge of resource-based development and sustainable local energy access. Despite increasing interest, there is a lack of integrated, quantitative evaluation of competing gas transit strategies considering technical, economic, environmental, and social criteria. This research fills that gap by applying a Multi-Criteria Decision-Making framework (AHP) to assess four transit strategies, highlighting Public-Private Partnerships and revenue-sharing as top options. The study also models Europe’s future gas supply scenarios, showing that while African gas corridors like the AAGP could significantly reduce European dependence on Russian gas, full substitution requires coordinated investments and complementary measures. The findings offer policymakers a transparent, replicable methodology to make evidence-based decisions that align energy security, regional cooperation, and sustainability goals, while recognizing limitations </w:t>
      </w:r>
    </w:p>
    <w:p>
      <w:pPr/>
      <w:r>
        <w:rPr>
          <w:b/>
        </w:rPr>
        <w:t>POSSIBLE 2026:</w:t>
      </w:r>
      <w:r>
        <w:t xml:space="preserve"> Corrective and Restorative Dermatology in Cancer Survivors: An Urgent Unmet Need! — https://doi.org/10.1007/s40257-026-01027-0</w:t>
      </w:r>
    </w:p>
    <w:p>
      <w:pPr/>
      <w:r>
        <w:rPr>
          <w:b/>
        </w:rPr>
        <w:t>Shared claim-specific concepts:</w:t>
      </w:r>
      <w:r>
        <w:t xml:space="preserve"> recognizing, urgent, need; EU scope not established. This is a provisional connection, not an outcome finding.</w:t>
      </w:r>
    </w:p>
    <w:p>
      <w:pPr>
        <w:pStyle w:val="SourceNote"/>
      </w:pPr>
      <w:r>
        <w:rPr>
          <w:b/>
        </w:rPr>
        <w:t>Available abstract (not full text):</w:t>
      </w:r>
      <w:r>
        <w:t xml:space="preserve"> The increasing efficacy of oncological therapies has led to a rapidly growing population of cancer survivors, shifting clinical attention from acute treatment-related toxicities to long-term and late sequelae. Among these, dermatological sequelae represent some of the most visible and persistent consequences of cancer treatments and may significantly impair quality of life. Persistent alopecia, nail disorders, pigmentary alterations, chronic radiation-induced skin changes, scarring, vascular abnormalities, mucosal alterations, and secondary skin cancers may develop or persist long after treatment completion, acting as constant reminders of the cancer experience. These conditions are not only cosmetic; they may be associated with functional limitations, psychological distress, and altered body image, particularly in patients treated during childhood or adolescence. While the role of supportive oncodermatology during active cancer treatment is well established, structured dermatological care in the survivorship phase remains insufficiently developed. This narrative review provides a comprehensive overview of the main long-lasting dermatological adverse events associated with chemotherapy, radiotherapy, targeted therapies, immunotherapy, endocrine treatments, and hematopoietic stem cell transplantation. In addition, available restorative and corrective dermatological interventions</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climate, decarbonization, focusing, emissions;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2026:</w:t>
      </w:r>
      <w:r>
        <w:t xml:space="preserve"> Economics in judicial reasoning in the energy sector before the Court of Justice of the European Union — https://doi.org/10.1093/jiel/jgag025</w:t>
      </w:r>
    </w:p>
    <w:p>
      <w:pPr/>
      <w:r>
        <w:rPr>
          <w:b/>
        </w:rPr>
        <w:t>Shared claim-specific concepts:</w:t>
      </w:r>
      <w:r>
        <w:t xml:space="preserve"> urgent, climate; EU scope visible. This is a provisional connection, not an outcome finding.</w:t>
      </w:r>
    </w:p>
    <w:p>
      <w:pPr>
        <w:pStyle w:val="SourceNote"/>
      </w:pPr>
      <w:r>
        <w:rPr>
          <w:b/>
        </w:rPr>
        <w:t>Available abstract (not full text):</w:t>
      </w:r>
      <w:r>
        <w:t xml:space="preserve"> Abstract This article examines the role and usage of economics in the judicial reasoning in energy law, situating its analysis within the broader context of international economic law. Using European Union energy law, and in particular, the case-law from the Court of Justice of the European Union as an illustrative example, the article shows how the interpretation and application of energy law are conceptually and theoretically grounded in economics and demonstrates what that means for energy law as a discipline. This economic orientation not only reflects the deep integration of energy markets into the international economic order but also exposes how such foundations condition the law’s capacity to respond to global challenges, including climate change and energy crises. Two broader implications follow: first, that the economic orientation of energy law challenges traditional legal expertise and the way lawyers are trained; and secondly, that it influences how law mediates between economic activities and urgent societal imperatives. By uncovering these dynamics, the article contributes to understanding of the foundations of energy law and how law structures the decisional space of institutions tasked with steering the global energy transition.</w:t>
      </w:r>
    </w:p>
    <w:p>
      <w:pPr/>
      <w:r>
        <w:rPr>
          <w:b/>
        </w:rPr>
        <w:t>POSSIBLE 2025:</w:t>
      </w:r>
      <w:r>
        <w:t xml:space="preserve"> The urgent need for climate protection as reflected in supreme court rulings in the European Union — https://doi.org/10.46941/2025.se1.17</w:t>
      </w:r>
    </w:p>
    <w:p>
      <w:pPr/>
      <w:r>
        <w:rPr>
          <w:b/>
        </w:rPr>
        <w:t>Shared claim-specific concepts:</w:t>
      </w:r>
      <w:r>
        <w:t xml:space="preserve"> urgent, need, climate; EU scope visible. This is a provisional connection, not an outcome finding.</w:t>
      </w:r>
    </w:p>
    <w:p>
      <w:pPr>
        <w:pStyle w:val="SourceNote"/>
      </w:pPr>
      <w:r>
        <w:rPr>
          <w:b/>
        </w:rPr>
        <w:t>Available abstract (not full text):</w:t>
      </w:r>
      <w:r>
        <w:t xml:space="preserve"> It goes without saying that the climate change will affect the enjoyment of human rights, e.g., the right to life, the right to private life, economic rights. It is therefore not surprising that applications are being brought up to the supreme courts to enforce the effective climate protection measures. Nevertheless, the human rights documents in most of the European states as well as the EU Charter of Fundamental Rights and the European Convention on Human Rights do not contain a fundamental right to climate protection or to a healthy environment. The article will provide an overview of the respective decisions of several supreme courts across Europe without claiming to be complete. It will also analyze the relevant case law of European courts, i.e. the ECJ and the ECtHR. Against this background, the question is raised as to whether fundamental rights actions can be regarded as an effective instrument for enforcing climate protection measures.</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urgent, need, climate;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Convection‐permitting dynamical downscaling of ERA5 for Europe and the Mediterranean basin — https://doi.org/10.1002/qj.5014</w:t>
      </w:r>
    </w:p>
    <w:p>
      <w:pPr/>
      <w:r>
        <w:rPr>
          <w:b/>
        </w:rPr>
        <w:t>Shared claim-specific concepts:</w:t>
      </w:r>
      <w:r>
        <w:t xml:space="preserve"> urgent, need, climate, mitigation; EU scope visible. This is a provisional connection, not an outcome finding.</w:t>
      </w:r>
    </w:p>
    <w:p>
      <w:pPr>
        <w:pStyle w:val="SourceNote"/>
      </w:pPr>
      <w:r>
        <w:rPr>
          <w:b/>
        </w:rPr>
        <w:t>Available abstract (not full text):</w:t>
      </w:r>
      <w:r>
        <w:t xml:space="preserve"> Abstract As the European continent and the Mediterranean Sea experience rapid warming trends and diverse manifestations of extreme weather, there is an urgent need to understand and mitigate the impacts of climate change in these regions. This study introduces the Computational Hydrometeorology with Advanced Performance to Enhanced Realism (CHAPTER) high‐resolution dynamical downscaling of the European Centre for Medium‐Range Weather Forecasts Reanalysis v5 (ERA5) global reanalysis made with the Weather Research and Forecasting numerical model. CHAPTER covers Europe and the Mediterranean basin at a convection‐resolving grid resolution of 3 km by 3 km. CHAPTER's performances in representing precipitation and temperature are evaluated compared to state‐of‐the‐art datasets like ERA5‐Land. The focus is put on seasonal spatial distributions of the bias and the root mean square error, and fuzzy verification techniques are used to validate the precipitation outputs. The results reveal that CHAPTER's performance aligns closely with well‐recognized downscalings of ERA5 but has, in addition, the advantage of providing a rich portfolio of variables at hourly temporal resolution and on different terrain, following model levels. Therefore, CHAPTER is a valuable resource for studying extreme weather events, offering insights crucial for climate change adaptation and mitigation efforts in Eur</w:t>
      </w:r>
    </w:p>
    <w:p>
      <w:pPr/>
      <w:r>
        <w:rPr>
          <w:b/>
        </w:rPr>
        <w:t>POSSIBLE 2025:</w:t>
      </w:r>
      <w:r>
        <w:t xml:space="preserve"> Europe as a subject and object of epistemic reflection — https://doi.org/10.30574/wjarr.2025.27.1.2547</w:t>
      </w:r>
    </w:p>
    <w:p>
      <w:pPr/>
      <w:r>
        <w:rPr>
          <w:b/>
        </w:rPr>
        <w:t>Shared claim-specific concepts:</w:t>
      </w:r>
      <w:r>
        <w:t xml:space="preserve"> recognizing, need, relevance;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Europe as a subject and object of epistemic reflection — https://doi.org/10.5281/zenodo.17519703</w:t>
      </w:r>
    </w:p>
    <w:p>
      <w:pPr/>
      <w:r>
        <w:rPr>
          <w:b/>
        </w:rPr>
        <w:t>Shared claim-specific concepts:</w:t>
      </w:r>
      <w:r>
        <w:t xml:space="preserve"> recognizing, need, relevance;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Review of: "The Limitations and Challenges of Researching Mass Casualty Incidents and Disasters in Europe" — https://doi.org/10.32388/9sm5gm</w:t>
      </w:r>
    </w:p>
    <w:p>
      <w:pPr/>
      <w:r>
        <w:rPr>
          <w:b/>
        </w:rPr>
        <w:t>Shared claim-specific concepts:</w:t>
      </w:r>
      <w:r>
        <w:t xml:space="preserve"> recognizing, urgent, need, concrete, information, pathways; EU scope visible. This is a provisional connection, not an outcome finding.</w:t>
      </w:r>
    </w:p>
    <w:p>
      <w:pPr>
        <w:pStyle w:val="SourceNote"/>
      </w:pPr>
      <w:r>
        <w:rPr>
          <w:b/>
        </w:rPr>
        <w:t>Available abstract (not full text):</w:t>
      </w:r>
      <w:r>
        <w:t xml:space="preserve"> The article "The Limitations and Challenges of Researching Mass Casualty Incidents and Disasters in Europe" offers an outstanding overview of the main methodological, technological, and organizational barriers affecting research and management of mass casualty incidents in Europe, providing a thorough and constructive approach to the subject.The paper excels at presenting a detailed and well-referenced review of regulatory obstacles, the lack of a consensual de nition of mass casualty incidents, and the fragmentation in data collection systems and methodologies.This contextualized analysis, supported by multiple European projects and studies, enhances the understanding of the urgent need for coordinated and evidence-based solutions.A key strength of the article is its emphasis on interoperability between emergency services and the urgent need for the development of minimum data sets.The authors highlight cross-border initiatives and speci c examples, such as IDIRA and VALKYRIES, that have begun to overcome technical and language barriers, showing viable pathways toward harmonizing protocols and information formats in Europe.The discussion on adopting new technologies-drones, GIS, arti cial intelligence, and mobile platforms-is both critical and pragmatic, recognizing their real impact on improving situational awareness and operational coordination.Furthermore, the article rigor</w:t>
      </w:r>
    </w:p>
    <w:p>
      <w:pPr>
        <w:pStyle w:val="Heading2"/>
      </w:pPr>
      <w:r>
        <w:t>536. Health horizons: Future trends and technologies from the European Medicines Agency’s horizon scanning collaborations</w:t>
      </w:r>
    </w:p>
    <w:p>
      <w:pPr>
        <w:pStyle w:val="SourceNote"/>
      </w:pPr>
      <w:r>
        <w:rPr>
          <w:b/>
        </w:rPr>
        <w:t>Original source (2022):</w:t>
      </w:r>
      <w:r>
        <w:t xml:space="preserve"> https://doi.org/10.3389/fmed.2022.1064003</w:t>
      </w:r>
    </w:p>
    <w:p>
      <w:pPr/>
      <w:r>
        <w:t>Original wording (abstract; indexed_source_text_not_full_document_verified): In this context, the European Medicines Agency uses horizon scanning to shine a light on early signals of relevant innovation and technological trends with impact on medicinal products. For each of these trends, the expected impact and challenges for their adoption are discussed, along with recommendations for developers, regulators and policy makers.</w:t>
      </w:r>
    </w:p>
    <w:p>
      <w:pPr/>
      <w:r>
        <w:rPr>
          <w:b/>
        </w:rPr>
        <w:t>POSSIBLE 2026:</w:t>
      </w:r>
      <w:r>
        <w:t xml:space="preserve"> ANALYZING THE FEASIBILITY OF ADOPTING THE HUMAN MEDICINES REGULATORY PATHWAYS OF THE EUROPEAN MEDICINES AGENCY FOR THE AFRICAN MEDICINES AGENCY — https://doi.org/10.5281/zenodo.18206130</w:t>
      </w:r>
    </w:p>
    <w:p>
      <w:pPr/>
      <w:r>
        <w:rPr>
          <w:b/>
        </w:rPr>
        <w:t>Shared claim-specific concepts:</w:t>
      </w:r>
      <w:r>
        <w:t xml:space="preserve"> context, medicines, agency, products, each; EU scope visible. This is a provisional connection, not an outcome finding.</w:t>
      </w:r>
    </w:p>
    <w:p>
      <w:pPr>
        <w:pStyle w:val="SourceNote"/>
      </w:pPr>
      <w:r>
        <w:rPr>
          <w:b/>
        </w:rPr>
        <w:t>Available abstract (not full text):</w:t>
      </w:r>
      <w:r>
        <w:t xml:space="preserve"> The implementation of the Centralized Procedure (CP) among European countries was facilitated by the establishment of the European Medicines Agency (EMA) in 1995, which is a culmination of the efforts and milestones made during the harmonization of medicines regulation across Europe. Inspired by the success story of human medicines regulatory harmonization among European countries, the African Union (AU) established the African Medicines Agency (AMA). The objective of this article is to assess the feasibility of adapting regulatory procedures analogous to the EMA framework for the African context and to propose a flexible model tailored to the continent's specific needs. Data were collected using four methods, narrative review, scoping review, comparative analysis, and survey, based on the nature of the required data to assess the feasibility of developing harmonized mechanisms for human medicines approvals among African countries. The European regulatory pathways provide valuable preliminary models for regulatory harmonization in Africa. By using the European framework as foundational blueprint rather than initiating models from the ground up, African countries can accelerate the creation of unique and localized regulatory pathways. Harmonized legal bases are prerequisites for harmonized regulatory frameworks. Therefore, revising the AU Model Law on Medical Products Regulation</w:t>
      </w:r>
    </w:p>
    <w:p>
      <w:pPr/>
      <w:r>
        <w:rPr>
          <w:b/>
        </w:rPr>
        <w:t>POSSIBLE 2026:</w:t>
      </w:r>
      <w:r>
        <w:t xml:space="preserve"> Artificial Intelligence for Regulatory Evidence: A Systematic Document Analysis of European Medicines Agency Regulatory Advice and Public Reports — https://doi.org/10.1002/cpt.70300</w:t>
      </w:r>
    </w:p>
    <w:p>
      <w:pPr/>
      <w:r>
        <w:rPr>
          <w:b/>
        </w:rPr>
        <w:t>Shared claim-specific concepts:</w:t>
      </w:r>
      <w:r>
        <w:t xml:space="preserve"> context, medicines, agency, light, early; EU scope visible. This is a provisional connection, not an outcome finding.</w:t>
      </w:r>
    </w:p>
    <w:p>
      <w:pPr>
        <w:pStyle w:val="SourceNote"/>
      </w:pPr>
      <w:r>
        <w:rPr>
          <w:b/>
        </w:rPr>
        <w:t>Available abstract (not full text):</w:t>
      </w:r>
      <w:r>
        <w:t xml:space="preserve"> Artificial intelligence (AI) is receiving increasing attention across the entire lifecycle of medicines, from early development to postauthorization use. While various AI tools have been developed in commercial and academic settings, the extent of their use in regulatory contexts within the European Union remains unknown. In this study, we systematically analyzed the use of AI for regulatory evidence by reviewing Public reports and internal development advice documents from the European Medicines Agency (EMA). Of 26,480 documents screened, 52 documents contained AI use, reflecting 43 unique AI tools used across quality, nonclinical, clinical, and pharmacovigilance domains. The majority of AI tools were deployed in clinical applications, and outputs were used either directly as endpoints, in shaping clinical trial methodology, or in ancillary analyses. Comments and advice from the EMA regarding AI use varied according to the context of use and covered aspects of documentation, methodology, validation, and lifecycle management. Our findings indicate that AI use in regulatory evidence is still limited but showing an increasing trend. As the field is still novel, there are limited regulatory precedents, and AI-specific guideline development and harmonization across regulatory jurisdictions are still ongoing. In this light, the quantitative characterization of AI tools and AI-relate</w:t>
      </w:r>
    </w:p>
    <w:p>
      <w:pPr/>
      <w:r>
        <w:rPr>
          <w:b/>
        </w:rPr>
        <w:t>POSSIBLE 2026:</w:t>
      </w:r>
      <w:r>
        <w:t xml:space="preserve"> Horizon scanning at EMA: preparing for the medicines of the future — https://doi.org/10.3389/fmed.2026.1800213</w:t>
      </w:r>
    </w:p>
    <w:p>
      <w:pPr/>
      <w:r>
        <w:rPr>
          <w:b/>
        </w:rPr>
        <w:t>Shared claim-specific concepts:</w:t>
      </w:r>
      <w:r>
        <w:t xml:space="preserve"> medicines, agency, horizon, scanning, early, relevant;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2026:</w:t>
      </w:r>
      <w:r>
        <w:t xml:space="preserve"> Horizon scan of the clinical development landscape of biosimilar products in the UK and EU — https://doi.org/10.1017/s0266462326103468</w:t>
      </w:r>
    </w:p>
    <w:p>
      <w:pPr/>
      <w:r>
        <w:rPr>
          <w:b/>
        </w:rPr>
        <w:t>Shared claim-specific concepts:</w:t>
      </w:r>
      <w:r>
        <w:t xml:space="preserve"> medicines, agency, horizon, scanning, relevant, products; EU scope visible. This is a provisional connection, not an outcome finding.</w:t>
      </w:r>
    </w:p>
    <w:p>
      <w:pPr>
        <w:pStyle w:val="SourceNote"/>
      </w:pPr>
      <w:r>
        <w:rPr>
          <w:b/>
        </w:rPr>
        <w:t>Available abstract (not full text):</w:t>
      </w:r>
      <w:r>
        <w:t xml:space="preserve"> OBJECTIVES: Biosimilars are biological medicines highly similar to an authorized reference medicine, offering substantial cost savings and increased treatment access. Despite the regulatory framework in the UK and EU facilitating their approval, the biosimilar landscape remains small compared to small-molecule drugs. This study provides a horizon scanning overview of the current biosimilar landscape, procured through horizon scanning activities. METHODS: Data were sourced from ClinicalTrials.gov and the EU Clinical Trials Register, scanned monthly to identify innovative medicines in clinical development. We included biosimilars identified through horizon scanning from April 2017 to February 2025. Supplementary data were collected from the European Medicines Agency to ascertain approval status, and additional clinical trial information was manually extracted from relevant registries. RESULTS: We identified 156 unique biosimilars developed across 174 clinical trials, with sixty-four approved by the MHRA and seventy-eight by the European Medicines Agency. Adalimumab, bevacizumab, and denosumab were the reference products with the most biosimilars in development. Most biosimilar trials were at phase III. There are seventy-one biosimilars in active development. CONCLUSIONS: The development landscape of biosimilars in the UK and EU show high activity levels. Continuous improvements i</w:t>
      </w:r>
    </w:p>
    <w:p>
      <w:pPr/>
      <w:r>
        <w:rPr>
          <w:b/>
        </w:rPr>
        <w:t>POSSIBLE 2026:</w:t>
      </w:r>
      <w:r>
        <w:t xml:space="preserve"> Scientific foundations of Horizon Scanning methodology for early signal identification in healthcare — https://doi.org/10.32352/0367-3057.3.26.03</w:t>
      </w:r>
    </w:p>
    <w:p>
      <w:pPr/>
      <w:r>
        <w:rPr>
          <w:b/>
        </w:rPr>
        <w:t>Shared claim-specific concepts:</w:t>
      </w:r>
      <w:r>
        <w:t xml:space="preserve"> context, horizon, scanning, early, relevant, innovation; EU scope visible. This is a provisional connection, not an outcome finding.</w:t>
      </w:r>
    </w:p>
    <w:p>
      <w:pPr>
        <w:pStyle w:val="SourceNote"/>
      </w:pPr>
      <w:r>
        <w:rPr>
          <w:b/>
        </w:rPr>
        <w:t>Available abstract (not full text):</w:t>
      </w:r>
      <w:r>
        <w:t xml:space="preserve"> The article presents a systematic analysis of contemporary international approaches to the application of Horizon Scanning (HS) methodology in healthcare and the pharmaceutical sector. The relevance of the study is driven by the increasing importance of early identification of innovative medical technologies in strategic planning, budget forecasting, and managerial decision-making processes. The aim of the study is to generalize international experience in the functioning of Horizon Scanning systems and to identify structural elements with potential for implementation in Ukraine. The research was conducted as a systematic literature review in accordance with PRISMA 2020 guidelines. The search was performed in the PubMed database covering the period 2019–2025. A total of 288 publications were identified in the initial search, and after a two-stage screening process, 128 sources were included in the qualitative analysis. The findings indicate that Horizon Scanning has evolved from a tool for early identification of pharmaceuticals into an integrated mechanism for strategic innovation management. It was determined that contemporary Horizon Scanning models are based on a staged process that includes signal identification, filtering, prioritization, impact assessment, and the use of results in decision-making. The authors identified the common features of international models, inclu</w:t>
      </w:r>
    </w:p>
    <w:p>
      <w:pPr/>
      <w:r>
        <w:rPr>
          <w:b/>
        </w:rPr>
        <w:t>POSSIBLE 2026:</w:t>
      </w:r>
      <w:r>
        <w:t xml:space="preserve"> Horizon Scanning report 2016-2025 update — https://openalex.org/W7212410651</w:t>
      </w:r>
    </w:p>
    <w:p>
      <w:pPr/>
      <w:r>
        <w:rPr>
          <w:b/>
        </w:rPr>
        <w:t>Shared claim-specific concepts:</w:t>
      </w:r>
      <w:r>
        <w:t xml:space="preserve"> horizon, scanning, innovation, technological, recommendations; EU scope not established. This is a provisional connection, not an outcome finding.</w:t>
      </w:r>
    </w:p>
    <w:p>
      <w:pPr>
        <w:pStyle w:val="SourceNote"/>
      </w:pPr>
      <w:r>
        <w:rPr>
          <w:b/>
        </w:rPr>
        <w:t>Available abstract (not full text):</w:t>
      </w:r>
      <w:r>
        <w:t xml:space="preserve"> that explore the links between vulnerability factors, amplification mechanisms, health crises, geopolitical instability, technological innovation, and radicalization dynamics.To achieve the research objectives, various academic databases and search engines were used, including Scopus, Web of Science, Google Scholar, Minerva, and other specialist platforms, in order to ensure broad coverage of available sources.The corpus analyzed includes peerreviewed scientific articles, institutional reports, policy documents, monographs, conference proceedings, and interdisciplinary contributions from fields such as sociology, psychology, political science, media studies, law, computer science, and information science.Overall, the methodology adopted has made it possible to develop an up-to-date, systemic analysis that is comparable with the first report, strengthening the focus on the middle-aged population and providing a solid empirical and theoretical basis for the subsequent development of operational and policy recommendations on combating disinformation and conspiracy theories.</w:t>
      </w:r>
    </w:p>
    <w:p>
      <w:pPr/>
      <w:r>
        <w:rPr>
          <w:b/>
        </w:rPr>
        <w:t>POSSIBLE 2026:</w:t>
      </w:r>
      <w:r>
        <w:t xml:space="preserve"> Preventing Invasive Non‐Native Species: A Horizon Scanning for the Canary Islands — https://doi.org/10.1111/ddi.70248</w:t>
      </w:r>
    </w:p>
    <w:p>
      <w:pPr/>
      <w:r>
        <w:rPr>
          <w:b/>
        </w:rPr>
        <w:t>Shared claim-specific concepts:</w:t>
      </w:r>
      <w:r>
        <w:t xml:space="preserve"> horizon, scanning, early; EU scope not established. This is a provisional connection, not an outcome finding.</w:t>
      </w:r>
    </w:p>
    <w:p>
      <w:pPr>
        <w:pStyle w:val="SourceNote"/>
      </w:pPr>
      <w:r>
        <w:rPr>
          <w:b/>
        </w:rPr>
        <w:t>Available abstract (not full text):</w:t>
      </w:r>
      <w:r>
        <w:t xml:space="preserve"> ABSTRACT Aim Oceanic islands host exceptional biodiversity and endemism but are highly vulnerable to biological invasions. We aimed to identify non‐native species with high potential to invade the Canary Islands within the next decade and to prioritise them based on their environmental and socioeconomic risks. Location The Canary Islands, Macaronesia, northeastern Atlantic Ocean. Methods We applied a structured horizon scanning protocol with a global scope. A panel of 37 experts assessed 823 species across five thematic groups (marine species, freshwater animals, terrestrial vertebrates, terrestrial invertebrates and plants) by scoring their likelihood of arrival, establishment and impacts. Impacts were evaluated separately as environmental and socioeconomic. Agreement and consistency among experts were quantified, and two consensus‐based ranked lists were developed. Results Although agreement in expert scores was relatively low, species rankings showed high consistency. A total of 94 species were identified as priorities for prevention based on environmental impacts (12 very high risk, 82 high risk), while 49 species were prioritized for socioeconomic impacts (2 very high, 47 high). Environmental risks were dominated by lizards, snakes and freshwater fish, whereas socioeconomic risks were mainly concentrated on insects. Environmental and socioeconomic impact scores were only w</w:t>
      </w:r>
    </w:p>
    <w:p>
      <w:pPr/>
      <w:r>
        <w:rPr>
          <w:b/>
        </w:rPr>
        <w:t>POSSIBLE 2026:</w:t>
      </w:r>
      <w:r>
        <w:t xml:space="preserve"> Horizon Scanning of Multiple Sclerosis Expenditure in Italy (2025–2029): Updated Insights from the Oracle Model — https://doi.org/10.1007/s40120-026-01042-7</w:t>
      </w:r>
    </w:p>
    <w:p>
      <w:pPr/>
      <w:r>
        <w:rPr>
          <w:b/>
        </w:rPr>
        <w:t>Shared claim-specific concepts:</w:t>
      </w:r>
      <w:r>
        <w:t xml:space="preserve"> horizon, scanning, innovation, each, expected; EU scope visible. This is a provisional connection, not an outcome finding.</w:t>
      </w:r>
    </w:p>
    <w:p>
      <w:pPr>
        <w:pStyle w:val="SourceNote"/>
      </w:pPr>
      <w:r>
        <w:rPr>
          <w:b/>
        </w:rPr>
        <w:t>Available abstract (not full text):</w:t>
      </w:r>
      <w:r>
        <w:t xml:space="preserve"> INTRODUCTION: Multiple sclerosis (MS) is a chronic and progressively disabling neurological disease associated with a substantial clinical and socioeconomic burden. The introduction of an increasing number of new innovative therapies has further intensified concerns regarding the long-term sustainability for the Italian National Healthcare Service (NHS). Despite substantial therapeutic progress in MS management, with several treatments available for most MS patient populations, no definitive cure is currently available, and a critical therapeutic gap persists for non-relapsing secondary progressive MS (NR-SPMS), for which no approved treatments are specifically indicated. The objective of the present research is to estimate the Italian NHS expenditure for MS disease-modifying therapies (DMTs) between 2025 and 2029. METHODS: Building on a published horizon-scanning model (i.e., Oracle), this study updates projections of expenditure and treatment patterns for MS DMTs through 2029, integrating clinical inputs (i.e., treated patients, patient shares for each reimbursed therapy) with economic inputs (i.e., annual therapy costs). Assumptions and input data were derived from IQVIA® proprietary databases and informed by clinical and pharmacoeconomic expert inputs. Results were validated in a multi-stakeholder roundtable. RESULTS: This study shows that the number of treated patients is </w:t>
      </w:r>
    </w:p>
    <w:p>
      <w:pPr/>
      <w:r>
        <w:rPr>
          <w:b/>
        </w:rPr>
        <w:t>POSSIBLE 2025:</w:t>
      </w:r>
      <w:r>
        <w:t xml:space="preserve"> EMA – Eighth European Medicines Agency (EMA) and Medicines for Europe bilateral meeting - 15 December 2025 — https://doi.org/10.58079/15bvb</w:t>
      </w:r>
    </w:p>
    <w:p>
      <w:pPr/>
      <w:r>
        <w:rPr>
          <w:b/>
        </w:rPr>
        <w:t>Shared claim-specific concepts:</w:t>
      </w:r>
      <w:r>
        <w:t xml:space="preserve"> context, medicines, agency; EU scope visible. This is a provisional connection, not an outcome finding.</w:t>
      </w:r>
    </w:p>
    <w:p>
      <w:pPr>
        <w:pStyle w:val="SourceNote"/>
      </w:pPr>
      <w:r>
        <w:rPr>
          <w:b/>
        </w:rPr>
        <w:t>Available abstract (not full text):</w:t>
      </w:r>
      <w:r>
        <w:t xml:space="preserve"> This meeting between European Medicines Agency (EMA) and Medicines for Europe is organised in the context of the EMA annual bilateral meetings with industry stakeholder organisations. The purpose of the meeting is to exchange views and promote dialogue on topics of common interest. More information on the EMA Website.</w:t>
      </w:r>
    </w:p>
    <w:p>
      <w:pPr/>
      <w:r>
        <w:rPr>
          <w:b/>
        </w:rPr>
        <w:t>POSSIBLE 2025:</w:t>
      </w:r>
      <w:r>
        <w:t xml:space="preserve"> Insights from the European Medicines Agency on digital health technology derived endpoints — https://doi.org/10.1016/j.drudis.2025.104388</w:t>
      </w:r>
    </w:p>
    <w:p>
      <w:pPr/>
      <w:r>
        <w:rPr>
          <w:b/>
        </w:rPr>
        <w:t>Shared claim-specific concepts:</w:t>
      </w:r>
      <w:r>
        <w:t xml:space="preserve"> context, medicines, agency; EU scope visible. This is a provisional connection, not an outcome finding.</w:t>
      </w:r>
    </w:p>
    <w:p>
      <w:pPr>
        <w:pStyle w:val="SourceNote"/>
      </w:pPr>
      <w:r>
        <w:rPr>
          <w:b/>
        </w:rPr>
        <w:t>Available abstract (not full text):</w:t>
      </w:r>
      <w:r>
        <w:t xml:space="preserve"> This study evaluates the use of digital health technologies (DHTs) for endpoint measurement in clinical trials, as documented in the Qualification Opinions, Qualification Advice, and Scientific Advice procedures issued by the European Medicines Agency (EMA) between 2013 and 2022. Accelerometers are the most proposed DHTs, followed by glucose monitors and smartphones. Accelerometers are often proposed for nervous system diseases to support mobility measures and objective testing. Most DHTs were proposed for efficacy endpoints. The feedback provided by EMA emphasizes the importance of validation, precision, and a clearly defined context of use. The EMA's recent action plan further supports advancing DHT methodologies in clinical trials.</w:t>
      </w:r>
    </w:p>
    <w:p>
      <w:pPr/>
      <w:r>
        <w:rPr>
          <w:b/>
        </w:rPr>
        <w:t>POSSIBLE 2025:</w:t>
      </w:r>
      <w:r>
        <w:t xml:space="preserve"> Populations Addressed in Vaccines Approved via the European Medicines Agency — https://doi.org/10.1002/cpt.3694</w:t>
      </w:r>
    </w:p>
    <w:p>
      <w:pPr/>
      <w:r>
        <w:rPr>
          <w:b/>
        </w:rPr>
        <w:t>Shared claim-specific concepts:</w:t>
      </w:r>
      <w:r>
        <w:t xml:space="preserve"> medicines, agency; EU scope visible. This is a provisional connection, not an outcome finding.</w:t>
      </w:r>
    </w:p>
    <w:p>
      <w:pPr>
        <w:pStyle w:val="SourceNote"/>
      </w:pPr>
      <w:r>
        <w:rPr>
          <w:b/>
        </w:rPr>
        <w:t>Available abstract (not full text):</w:t>
      </w:r>
      <w:r>
        <w:t xml:space="preserve"> Therapeutic and prophylactic agents require robust evidence before patient use. Randomized controlled trials are essential for evaluating safety and efficacy but often exclude specific populations that are also targets for the intervention. This study assessed which populations are included in vaccine registration studies and/or addressed in label indications, and if special populations are considered at any point in the regulatory life cycle of vaccines approved in the European Union. We analyzed product labels, pivotal studies, risk management plans, and post-authorization studies for all vaccines centrally approved via the European Medicines Agency between 2012 and 2022. For the 31 vaccines approved, we identified 90 pivotal studies supporting initial marketing authorizations and 46 studies supporting product revisions. At the end of our follow-up, 27 vaccines (87%) were approved for adults, 19 (68%) for pediatric patients, 3 (11%) were recommended for pregnant populations, 4 (14%) for breastfeeding populations, and 7 (23%) for immunocompromised populations. Pregnant, breastfeeding, and immunocompromised individuals were rarely included in studies supporting regulatory actions. We observed a slight increase in the inclusion of special populations in post-marketing studies, yet this had limited impact on product indications or information availability on labels. Pivotal studi</w:t>
      </w:r>
    </w:p>
    <w:p>
      <w:pPr/>
      <w:r>
        <w:rPr>
          <w:b/>
        </w:rPr>
        <w:t>POSSIBLE 2025:</w:t>
      </w:r>
      <w:r>
        <w:t xml:space="preserve"> Biomarkers for neurodegenerative diseases in regulatory decision‐making by the European Medicines Agency — https://doi.org/10.1002/trc2.70072</w:t>
      </w:r>
    </w:p>
    <w:p>
      <w:pPr/>
      <w:r>
        <w:rPr>
          <w:b/>
        </w:rPr>
        <w:t>Shared claim-specific concepts:</w:t>
      </w:r>
      <w:r>
        <w:t xml:space="preserve"> context, medicines, agency, early, discussed; EU scope visible. This is a provisional connection, not an outcome finding.</w:t>
      </w:r>
    </w:p>
    <w:p>
      <w:pPr>
        <w:pStyle w:val="SourceNote"/>
      </w:pPr>
      <w:r>
        <w:rPr>
          <w:b/>
        </w:rPr>
        <w:t>Available abstract (not full text):</w:t>
      </w:r>
      <w:r>
        <w:t xml:space="preserve"> INTRODUCTION: Biomarkers (BMs) are valuable tools to facilitate early diagnosis of (subtypes of) diseases, improve patient selection and stratification, and detect therapeutic effects or safety concerns. This study explores the extent to which BMs are utilized in the development of treatments for neurodegenerative diseases (NDDs), as well as topics of discussion regarding BMs in regulatory advice- and decision-making processes and sharing of BM-related data. METHODS: The European Medicines Agency's marketing authorization application (MAA), qualification (QA/QO), and scientific advice (SA) procedures regarding NDDs were screened, and those that mention BMs were analyzed. Data were extracted on the intended disease, BM type, and context of use proposed by applicants. BMs were categorized based on both nature and function. RESULTS: = 33). Imaging BMs were the most common type of BMs discussed, and most BMs were used as pharmacodynamic/response measures. The acceptance and role of BMs differed between AD, PD, MS, and other NDDs. In regulatory procedures for AD, for example, diagnostic BMs guiding patient selection were commonly discussed, whereas in MAAs for MS, imaging BMs (particularly lesions) were generally accepted as supportive/secondary endpoints. DISCUSSION: Despite the established role of certain BMs, mainly imaging BMs for MS, there remains a major need for more precise </w:t>
      </w:r>
    </w:p>
    <w:p>
      <w:pPr>
        <w:pStyle w:val="Heading2"/>
      </w:pPr>
      <w:r>
        <w:t>537. Horizon scanning exercise on preparedness for future risk assessment requirements and possible challenges in regulatory science</w:t>
      </w:r>
    </w:p>
    <w:p>
      <w:pPr>
        <w:pStyle w:val="SourceNote"/>
      </w:pPr>
      <w:r>
        <w:rPr>
          <w:b/>
        </w:rPr>
        <w:t>Original source (2022):</w:t>
      </w:r>
      <w:r>
        <w:t xml:space="preserve"> https://doi.org/10.2903/sp.efsa.2022.en-7297</w:t>
      </w:r>
    </w:p>
    <w:p>
      <w:pPr/>
      <w:r>
        <w:t>Original wording (abstract; indexed_source_text_not_full_document_verified): The horizon scan resulted in a set of recommended actions for the six thematic areas that could contribute in EFSA’s preparedness and in preventing challenges and potential divergences from materialising. The findings of this horizon scanning exercise should not be considered as an indication of the direction that ongoing EU policy initiatives in the food system may take.</w:t>
      </w:r>
    </w:p>
    <w:p>
      <w:pPr/>
      <w:r>
        <w:rPr>
          <w:b/>
        </w:rPr>
        <w:t>POSSIBLE 2026:</w:t>
      </w:r>
      <w:r>
        <w:t xml:space="preserve"> Horizon scanning for potential upcoming invasive alien species in the European Union — https://doi.org/10.3897/aca.9.e202112</w:t>
      </w:r>
    </w:p>
    <w:p>
      <w:pPr/>
      <w:r>
        <w:rPr>
          <w:b/>
        </w:rPr>
        <w:t>Shared claim-specific concepts:</w:t>
      </w:r>
      <w:r>
        <w:t xml:space="preserve"> horizon, resulted, recommended, six, thematic, areas; EU scope visible. This is a provisional connection, not an outcome finding.</w:t>
      </w:r>
    </w:p>
    <w:p>
      <w:pPr>
        <w:pStyle w:val="SourceNote"/>
      </w:pPr>
      <w:r>
        <w:rPr>
          <w:b/>
        </w:rPr>
        <w:t>Available abstract (not full text):</w:t>
      </w:r>
      <w:r>
        <w:t xml:space="preserve"> The EU Biodiversity Strategy for 2030 aims to mitigate the impacts of invasive alien species (IAS) on native biodiversity, by strengthening the implementation of the EU IAS Regulation. A central component of this Regulation is the establishment of a list of IAS of Union concern, which is updated periodically through decisions made by the European Commission and Member States, informed by risk assessments aligning with agreed minimum standards and conducted by the European Commission or the Member States themselves. To support these updates, an EU-level horizon scanning for species that could be considered for listing was undertaken, aiming to identify at least 100 species likely to arrive, establish, spread and have an impact on native biodiversity or ecosystem services within the next ten years. Species were assessed by experts within five thematic groups: plants, marine species, freshwater invertebrates, terrestrial invertebrates, and vertebrates. A long list of relevant species was collated from various sources, such as species lists from global horizon scanning exercises and databases. This longlist was subsequently enriched with information on species occurrence in EU Member States using a data-driven pipeline based on the Global Biodiversity Information Facility. Species with a lack of robust distribution data and widely spread species, defined as occurring in three or mo</w:t>
      </w:r>
    </w:p>
    <w:p>
      <w:pPr/>
      <w:r>
        <w:rPr>
          <w:b/>
        </w:rPr>
        <w:t>POSSIBLE 2026:</w:t>
      </w:r>
      <w:r>
        <w:t xml:space="preserve"> Horizon Scanning of Green Logistics Futures in Central and Eastern Europe: An Economic Perspective — https://doi.org/10.15290/oes.2026.03.125.02</w:t>
      </w:r>
    </w:p>
    <w:p>
      <w:pPr/>
      <w:r>
        <w:rPr>
          <w:b/>
        </w:rPr>
        <w:t>Shared claim-specific concepts:</w:t>
      </w:r>
      <w:r>
        <w:t xml:space="preserve"> horizon, scanning, direction; EU scope visible. This is a provisional connection, not an outcome finding.</w:t>
      </w:r>
    </w:p>
    <w:p>
      <w:pPr>
        <w:pStyle w:val="SourceNote"/>
      </w:pPr>
      <w:r>
        <w:rPr>
          <w:b/>
        </w:rPr>
        <w:t>Available abstract (not full text):</w:t>
      </w:r>
      <w:r>
        <w:t xml:space="preserve"> Purpose | The paper aims to identify key megatrends and economic uncertainties shaping the future development of green logistics in Central and Eastern Europe. It seeks to examine how regulatory, financial, and geopolitical conditions may influence alternative pathways of green logistics transformation in the region. Research method | The study applies a foresight-based research design that combines horizon scanning and scenario analysis. Horizon scanning identifies long-term trends and critical uncertainties affecting green logistics. At the same time, scenario analysis constructs alternative future development paths under different configurations of financing availability, regulatory and geopolitical stability. Results | Green logistics development in Central and Eastern Europe is primarily shaped by economic factors, including access to financing, cost structures, and investment risk, as well as the gradual emergence of circular economy practices within logistics systems. Regulation sets the direction, but funding and institutional uncertainty shape unstable, path-dependent processes of transformation. Originality / value / implications / recommendations | The paper contributes to the literature by framing green logistics as an economically conditioned transformation process rather than a uniform sustainability pathway. The study provides foresight-based insights for policy </w:t>
      </w:r>
    </w:p>
    <w:p>
      <w:pPr/>
      <w:r>
        <w:rPr>
          <w:b/>
        </w:rPr>
        <w:t>POSSIBLE 2026:</w:t>
      </w:r>
      <w:r>
        <w:t xml:space="preserve"> Evaluating international collaboration on horizon scanning for pharmaceuticals: developing key performance indicators for the international horizon scanning initiative — https://doi.org/10.1017/s0266462325103358</w:t>
      </w:r>
    </w:p>
    <w:p>
      <w:pPr/>
      <w:r>
        <w:rPr>
          <w:b/>
        </w:rPr>
        <w:t>Shared claim-specific concepts:</w:t>
      </w:r>
      <w:r>
        <w:t xml:space="preserve"> horizon, areas, potential, scanning, considered; EU scope visible. This is a provisional connection, not an outcome finding.</w:t>
      </w:r>
    </w:p>
    <w:p>
      <w:pPr>
        <w:pStyle w:val="SourceNote"/>
      </w:pPr>
      <w:r>
        <w:rPr>
          <w:b/>
        </w:rPr>
        <w:t>Available abstract (not full text):</w:t>
      </w:r>
      <w:r>
        <w:t xml:space="preserve"> INTRODUCTION: Many European countries independently conduct horizon scanning activities. However, the costs, time, and resources required can be prohibitive. To address this, the International Horizon Scanning Initiative (IHSI) was launched in 2019. IHSI aims to facilitate decision-makers and payers in negotiating fair prices and preparing for potentially disruptive pharmaceuticals. IHSI developed the Joint Horizon Scanning Database, a repository of pharmaceuticals expected to enter the European market, and initiated a series of High Impact Reports (HIRs) to highlight pharmaceuticals that have the potential to significantly impact healthcare systems. This paper outlines the development of key performance indicators (KPIs) that can be used to evaluate IHSI's work. RESULTS: In close collaboration with representatives from IHSI member countries and its Executive Committee, the following KPIs were developed: "Number of IHSI member countries", "Embedding of IHSI in national health technology assessment procedures", "Database coverage", "Data completeness", "Data timeliness", "Accuracy of identifying disruptive pharmaceuticals", "Accuracy of identifying non-disruptive pharmaceuticals", "Use of HIRs in preparing for disruption to the healthcare system", and "Use of HIRs in price negotiations and financial arrangements". Among these, "Accuracy of identifying disruptive pharmaceuticals"</w:t>
      </w:r>
    </w:p>
    <w:p>
      <w:pPr/>
      <w:r>
        <w:rPr>
          <w:b/>
        </w:rPr>
        <w:t>POSSIBLE 2026:</w:t>
      </w:r>
      <w:r>
        <w:t xml:space="preserve"> Horizon scanning for European wild pollinators identifies world-leading legislation as a key opportunity for pollinators — https://doi.org/10.1038/s41598-026-53025-1</w:t>
      </w:r>
    </w:p>
    <w:p>
      <w:pPr/>
      <w:r>
        <w:rPr>
          <w:b/>
        </w:rPr>
        <w:t>Shared claim-specific concepts:</w:t>
      </w:r>
      <w:r>
        <w:t xml:space="preserve"> horizon, scan, contribute, potential, findings, scanning; EU scope visible. This is a provisional connection, not an outcome finding.</w:t>
      </w:r>
    </w:p>
    <w:p>
      <w:pPr>
        <w:pStyle w:val="SourceNote"/>
      </w:pPr>
      <w:r>
        <w:rPr>
          <w:b/>
        </w:rPr>
        <w:t>Available abstract (not full text):</w:t>
      </w:r>
      <w:r>
        <w:t xml:space="preserve"> Wild insect pollinators contribute significantly to agricultural productivity, biodiversity, and ecosystem functioning. Wild pollinators are increasingly affected by multiple interacting stressors. Proactively identifying emerging risks and feasible mitigation strategies will be critical to ensuring the long-term stability of wild pollinators biodiversity and pollination services. We conducted the first continental scale horizon scan focused on wild pollinators in Europe. A structured Delphi-based approach was used to identify emerging issues that may have significant implications for wild pollinators over the coming decade. Ten priority issues were identified, including both potential risks and opportunities. For the first time in a pollinator-focused horizon scan, legislation was identified as a key opportunity, with the European Union Nature Restoration Regulation recognised for its potential to influence pollinator conservation through mandatory restoration and monitoring targets. In contrast, political developments such as the rise of populist parties and post-truth discourse may impede policy implementation. Several issues relating to pesticide use were also identified, including developments in RNA interference technologies and precision application methods, which may reduce non-target impacts if risks are appropriately assessed. These findings provide a foundation for f</w:t>
      </w:r>
    </w:p>
    <w:p>
      <w:pPr/>
      <w:r>
        <w:rPr>
          <w:b/>
        </w:rPr>
        <w:t>POSSIBLE 2026:</w:t>
      </w:r>
      <w:r>
        <w:t xml:space="preserve"> Horizon scan of the clinical development landscape of biosimilar products in the UK and EU — https://doi.org/10.1017/s0266462326103468</w:t>
      </w:r>
    </w:p>
    <w:p>
      <w:pPr/>
      <w:r>
        <w:rPr>
          <w:b/>
        </w:rPr>
        <w:t>Shared claim-specific concepts:</w:t>
      </w:r>
      <w:r>
        <w:t xml:space="preserve"> horizon, scan, scanning; EU scope visible. This is a provisional connection, not an outcome finding.</w:t>
      </w:r>
    </w:p>
    <w:p>
      <w:pPr>
        <w:pStyle w:val="SourceNote"/>
      </w:pPr>
      <w:r>
        <w:rPr>
          <w:b/>
        </w:rPr>
        <w:t>Available abstract (not full text):</w:t>
      </w:r>
      <w:r>
        <w:t xml:space="preserve"> OBJECTIVES: Biosimilars are biological medicines highly similar to an authorized reference medicine, offering substantial cost savings and increased treatment access. Despite the regulatory framework in the UK and EU facilitating their approval, the biosimilar landscape remains small compared to small-molecule drugs. This study provides a horizon scanning overview of the current biosimilar landscape, procured through horizon scanning activities. METHODS: Data were sourced from ClinicalTrials.gov and the EU Clinical Trials Register, scanned monthly to identify innovative medicines in clinical development. We included biosimilars identified through horizon scanning from April 2017 to February 2025. Supplementary data were collected from the European Medicines Agency to ascertain approval status, and additional clinical trial information was manually extracted from relevant registries. RESULTS: We identified 156 unique biosimilars developed across 174 clinical trials, with sixty-four approved by the MHRA and seventy-eight by the European Medicines Agency. Adalimumab, bevacizumab, and denosumab were the reference products with the most biosimilars in development. Most biosimilar trials were at phase III. There are seventy-one biosimilars in active development. CONCLUSIONS: The development landscape of biosimilars in the UK and EU show high activity levels. Continuous improvements i</w:t>
      </w:r>
    </w:p>
    <w:p>
      <w:pPr/>
      <w:r>
        <w:rPr>
          <w:b/>
        </w:rPr>
        <w:t>POSSIBLE 2026:</w:t>
      </w:r>
      <w:r>
        <w:t xml:space="preserve"> A global review of horizon scanning exercises for invasive alien species — https://doi.org/10.3897/aca.9.e202375</w:t>
      </w:r>
    </w:p>
    <w:p>
      <w:pPr/>
      <w:r>
        <w:rPr>
          <w:b/>
        </w:rPr>
        <w:t>Shared claim-specific concepts:</w:t>
      </w:r>
      <w:r>
        <w:t xml:space="preserve"> horizon, challenges, potential, scanning; EU scope visible. This is a provisional connection, not an outcome finding.</w:t>
      </w:r>
    </w:p>
    <w:p>
      <w:pPr>
        <w:pStyle w:val="SourceNote"/>
      </w:pPr>
      <w:r>
        <w:rPr>
          <w:b/>
        </w:rPr>
        <w:t>Available abstract (not full text):</w:t>
      </w:r>
      <w:r>
        <w:t xml:space="preserve"> Invasive alien species (IAS) are a major driver of global biodiversity loss, generating substantial ecological, economic and social impacts. Prevention and early intervention are widely recognised as being more cost‑effective than long‑term management. As a result, IAS policy frameworks increasingly rely on predictive strategies and tools to guide prioritisation. Horizon scanning has emerged as a key approach, providing structured, forward‑looking assessments of IAS that are likely to arrive in a new area in the near future, establish invasive populations and cause harm. Despite widespread uptake of the method, there has, to our knowledge, been no global synthesis of how IAS horizon scanning exercises are conducted, how methodologies are developed, and what their potential policy implications are. Here, we present a global review of over 50 IAS horizon scanning exercises undertaken up to 2026, drawing on published and grey literature. We examine how horizon scans were designed across multiple taxonomic groups, geographic scales, regions and environments, evaluate their underlying objectives, such as informing policy and biosecurity, and review their recommendations. Our review shows that the number of horizon scans has been steadily increasing in recent years. Across the horizon scanning literature, terrestrial and freshwater environments were more frequently represented than m</w:t>
      </w:r>
    </w:p>
    <w:p>
      <w:pPr/>
      <w:r>
        <w:rPr>
          <w:b/>
        </w:rPr>
        <w:t>POSSIBLE 2026:</w:t>
      </w:r>
      <w:r>
        <w:t xml:space="preserve"> Scientific foundations of Horizon Scanning methodology for early signal identification in healthcare — https://doi.org/10.32352/0367-3057.3.26.03</w:t>
      </w:r>
    </w:p>
    <w:p>
      <w:pPr/>
      <w:r>
        <w:rPr>
          <w:b/>
        </w:rPr>
        <w:t>Shared claim-specific concepts:</w:t>
      </w:r>
      <w:r>
        <w:t xml:space="preserve"> horizon, contribute, potential, findings, scanning; EU scope visible. This is a provisional connection, not an outcome finding.</w:t>
      </w:r>
    </w:p>
    <w:p>
      <w:pPr>
        <w:pStyle w:val="SourceNote"/>
      </w:pPr>
      <w:r>
        <w:rPr>
          <w:b/>
        </w:rPr>
        <w:t>Available abstract (not full text):</w:t>
      </w:r>
      <w:r>
        <w:t xml:space="preserve"> The article presents a systematic analysis of contemporary international approaches to the application of Horizon Scanning (HS) methodology in healthcare and the pharmaceutical sector. The relevance of the study is driven by the increasing importance of early identification of innovative medical technologies in strategic planning, budget forecasting, and managerial decision-making processes. The aim of the study is to generalize international experience in the functioning of Horizon Scanning systems and to identify structural elements with potential for implementation in Ukraine. The research was conducted as a systematic literature review in accordance with PRISMA 2020 guidelines. The search was performed in the PubMed database covering the period 2019–2025. A total of 288 publications were identified in the initial search, and after a two-stage screening process, 128 sources were included in the qualitative analysis. The findings indicate that Horizon Scanning has evolved from a tool for early identification of pharmaceuticals into an integrated mechanism for strategic innovation management. It was determined that contemporary Horizon Scanning models are based on a staged process that includes signal identification, filtering, prioritization, impact assessment, and the use of results in decision-making. The authors identified the common features of international models, inclu</w:t>
      </w:r>
    </w:p>
    <w:p>
      <w:pPr/>
      <w:r>
        <w:rPr>
          <w:b/>
        </w:rPr>
        <w:t>POSSIBLE 2026:</w:t>
      </w:r>
      <w:r>
        <w:t xml:space="preserve"> Horizon Scanning 2025 Results of the EEA – Eionet participatory horizon scan to identify emerging issues relevant to sustainable consumption &amp; production — https://doi.org/10.5281/zenodo.22808836</w:t>
      </w:r>
    </w:p>
    <w:p>
      <w:pPr/>
      <w:r>
        <w:rPr>
          <w:b/>
        </w:rPr>
        <w:t>Shared claim-specific concepts:</w:t>
      </w:r>
      <w:r>
        <w:t xml:space="preserve"> horizon, scan, areas, challenges, potential, scanning; EU scope visible. This is a provisional connection, not an outcome finding.</w:t>
      </w:r>
    </w:p>
    <w:p>
      <w:pPr>
        <w:pStyle w:val="SourceNote"/>
      </w:pPr>
      <w:r>
        <w:rPr>
          <w:b/>
        </w:rPr>
        <w:t>Available abstract (not full text):</w:t>
      </w:r>
      <w:r>
        <w:t xml:space="preserve"> This Horizon Scanning report addresses emerging issues influencing sustainable consumption and production in Europe over the coming decades. Recognising rapid changes in global supply chains, digital platforms, social practices, and geopolitical conditions, the report seeks to identify early signals of change that may drive systemic transformations. It highlights the accelerating pace of innovation and the shifting societal dynamics challenging existing environmental policies and governance frameworks, emphasising the need for anticipatory and integrated policy responses. The report explores emerging issues on consumption through the lens of human behaviour, neuroscience, and market dynamics, revealing how digital environments and the attention economy intensify consumption patterns, sometimes fostering addictive behaviours and excess. It unpacks the acceleration of product lifecycles, driven by technological advances and changing competitive pressures, alongside growing ethical and environmental concerns about unchecked innovation in areas such as artificial intelligence, biotechnology, and space travel. The report draws attention to the widening gap between innovation speed and regulatory capacity, with potential related risks of undermining sustainable development goals. Production-related emerging issues include Europe's quest for strategic autonomy in critical raw material</w:t>
      </w:r>
    </w:p>
    <w:p>
      <w:pPr/>
      <w:r>
        <w:rPr>
          <w:b/>
        </w:rPr>
        <w:t>POSSIBLE 2026:</w:t>
      </w:r>
      <w:r>
        <w:t xml:space="preserve"> Horizon scanning at EMA: preparing for the medicines of the future — https://doi.org/10.3389/fmed.2026.1800213</w:t>
      </w:r>
    </w:p>
    <w:p>
      <w:pPr/>
      <w:r>
        <w:rPr>
          <w:b/>
        </w:rPr>
        <w:t>Shared claim-specific concepts:</w:t>
      </w:r>
      <w:r>
        <w:t xml:space="preserve"> horizon, preparedness, challenges, scanning;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2026:</w:t>
      </w:r>
      <w:r>
        <w:t xml:space="preserve"> Assessing the success of a horizon scanning approach in predicting invasive non-native species — https://openalex.org/W7114593291</w:t>
      </w:r>
    </w:p>
    <w:p>
      <w:pPr/>
      <w:r>
        <w:rPr>
          <w:b/>
        </w:rPr>
        <w:t>Shared claim-specific concepts:</w:t>
      </w:r>
      <w:r>
        <w:t xml:space="preserve"> horizon, scan, preventing, scanning, exercise; EU scope visible. This is a provisional connection, not an outcome finding.</w:t>
      </w:r>
    </w:p>
    <w:p>
      <w:pPr>
        <w:pStyle w:val="SourceNote"/>
      </w:pPr>
      <w:r>
        <w:rPr>
          <w:b/>
        </w:rPr>
        <w:t>Available abstract (not full text):</w:t>
      </w:r>
      <w:r>
        <w:t xml:space="preserve">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managing them once they have arrived, is recognised as the most effective approach to their management. Horizon scanning represents one of the key tools to identify high-risk INNS that are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ten years, establishing and having an impact on biodiversity and ecosystems. We assess the success of this exercise in predicting arrival of these species within the subsequent ten years. Ninety-two species were shortlisted in the 2013 horizon scan. Overall, 31 of the 92 species identified in the 2013 horizon scan have arrived by 2023. We found that 12 of the top 20 species had arrived within ten years. In predicting arrival, there was a significant effect of arrival previously within Great Britain, and the number of countries in Western Europe and Baltic countries in which an</w:t>
      </w:r>
    </w:p>
    <w:p>
      <w:pPr/>
      <w:r>
        <w:rPr>
          <w:b/>
        </w:rPr>
        <w:t>POSSIBLE 2026:</w:t>
      </w:r>
      <w:r>
        <w:t xml:space="preserve"> Multiple introductions of invasive alien species on a Mediterranean Island predicted by horizon scanning — https://doi.org/10.1007/s10530-025-03729-8</w:t>
      </w:r>
    </w:p>
    <w:p>
      <w:pPr/>
      <w:r>
        <w:rPr>
          <w:b/>
        </w:rPr>
        <w:t>Shared claim-specific concepts:</w:t>
      </w:r>
      <w:r>
        <w:t xml:space="preserve"> horizon, scan, scanning, ongoing; EU scope visible. This is a provisional connection, not an outcome finding.</w:t>
      </w:r>
    </w:p>
    <w:p>
      <w:pPr>
        <w:pStyle w:val="SourceNote"/>
      </w:pPr>
      <w:r>
        <w:rPr>
          <w:b/>
        </w:rPr>
        <w:t>Available abstract (not full text):</w:t>
      </w:r>
      <w:r>
        <w:t xml:space="preserve"> Abstract In 2017 and 2019 two horizon scan workshops were undertaken for the island of Cyprus, which focused on making predictions about the invasive alien species (IAS) most likely to arrive and impact biodiversity, human health and the economy. Herein, we assess the species lists derived from these two horizon scans and consider the accuracy of the predictions so far. In less than ten years, 26 new IAS were found in Cyprus, 10 out of which were predicted to arrive by the horizon scans. Eight introduced IAS were ranked as high risk during the horizon scanning process. Horizon scanning helped raise awareness amongst the authorities, scientists and the public, leading in some cases to a rapid response by the competent authorities to control the arrival. We conclude that horizon scanning is a useful process that can inform contingency planning and action. Furthermore, it facilitates communication between IAS experts, policy makers and society, encouraging active engagement and raising awareness regarding the importance of early warning, rapid response and management of IAS. We propose that the horizon scanning process for the island of Cyprus is repeated regularly, recognizing the ongoing increase in the number of new IAS arriving year on year.</w:t>
      </w:r>
    </w:p>
    <w:p>
      <w:pPr/>
      <w:r>
        <w:rPr>
          <w:b/>
        </w:rPr>
        <w:t>POSSIBLE 2026:</w:t>
      </w:r>
      <w:r>
        <w:t xml:space="preserve"> Wetland bird conservation: Insights from a horizon scan across Atlantic Europe — https://doi.org/10.1016/j.biocon.2026.111974</w:t>
      </w:r>
    </w:p>
    <w:p>
      <w:pPr/>
      <w:r>
        <w:rPr>
          <w:b/>
        </w:rPr>
        <w:t>Shared claim-specific concepts:</w:t>
      </w:r>
      <w:r>
        <w:t xml:space="preserve"> horizon, scan, not; EU scope visible. This is a provisional connection, not an outcome finding.</w:t>
      </w:r>
    </w:p>
    <w:p>
      <w:pPr>
        <w:pStyle w:val="SourceNote"/>
      </w:pPr>
      <w:r>
        <w:rPr>
          <w:b/>
        </w:rPr>
        <w:t>Available abstract (not full text):</w:t>
      </w:r>
      <w:r>
        <w:t xml:space="preserve"> The conservation of wetland and wet-grassland birds remains a major challenge across Europe. This challenge is driven by compounding pressures from agricultural intensification, habitat degradation, climate change, and governance constraints. Effective conservation outcomes depend not only on ecological knowledge but also on governance and implementation. Consequently, understanding practitioner perspectives is vital for informing the development of effective conservation strategies. To synthesize practitioner perspectives, we conducted a Horizon Scan survey across eight Atlantic European countries (Germany, the Netherlands, Belgium, France, Spain, Portugal, the United Kingdom, and Ireland), engaging 176 conservation professionals. Using a combination of dictionary-based text analysis, term frequency assessment, and keyness analysis, we evaluated perceived strengths, weaknesses, opportunities, and threats (SWOT) for wetland and wet-grassland bird conservation. Habitat management emerged as a unifying and cross-cutting theme across all countries and SWOT categories, while agriculture was predominantly framed as a weakness or threat, except in the Netherlands where it was also associated with opportunities. Climate change and predation were consistently identified as escalating threats, whereas research and monitoring capacity showed strong national disparities, opposing for exam</w:t>
      </w:r>
    </w:p>
    <w:p>
      <w:pPr>
        <w:pStyle w:val="Heading2"/>
      </w:pPr>
      <w:r>
        <w:t>538. How Sustainable Development Goals interlinkages influence European Union countries’ progress towards the 2030 Agenda</w:t>
      </w:r>
    </w:p>
    <w:p>
      <w:pPr>
        <w:pStyle w:val="SourceNote"/>
      </w:pPr>
      <w:r>
        <w:rPr>
          <w:b/>
        </w:rPr>
        <w:t>Original source (2022):</w:t>
      </w:r>
      <w:r>
        <w:t xml:space="preserve"> https://doi.org/10.1002/sd.2290</w:t>
      </w:r>
    </w:p>
    <w:p>
      <w:pPr/>
      <w:r>
        <w:t>Original wording (abstract; indexed_source_text_not_full_document_verified): While it is evident that trade‐offs between the 2030 Agenda's objectives might prevent countries from achieving all 17 SDGs simultaneously, the extent to which interactions (synergies and trade‐offs) between the goals facilitate or hinder countries' progress towards achieving the 2030 Agenda has so far received little attention. In order to achieve the SDGs by 2030, it is thus crucial to not only exploit synergies between the goals but also to overcome trade‐offs.</w:t>
      </w:r>
    </w:p>
    <w:p>
      <w:pPr/>
      <w:r>
        <w:rPr>
          <w:b/>
        </w:rPr>
        <w:t>POSSIBLE 2026:</w:t>
      </w:r>
      <w:r>
        <w:t xml:space="preserve"> Digital trade in Africa : a research agenda — https://doi.org/10.2870/8695379</w:t>
      </w:r>
    </w:p>
    <w:p>
      <w:pPr/>
      <w:r>
        <w:rPr>
          <w:b/>
        </w:rPr>
        <w:t>Shared claim-specific concepts:</w:t>
      </w:r>
      <w:r>
        <w:t xml:space="preserve"> trade, between, agenda, countries; EU scope not established. This is a provisional connection, not an outcome finding.</w:t>
      </w:r>
    </w:p>
    <w:p>
      <w:pPr>
        <w:pStyle w:val="SourceNote"/>
      </w:pPr>
      <w:r>
        <w:rPr>
          <w:b/>
        </w:rPr>
        <w:t>Available abstract (not full text):</w:t>
      </w:r>
      <w:r>
        <w:t xml:space="preserve"> Africa’s digital economy is poised for significant growth, driven by initiatives like the recently adopted Digital Trade Protocol under the African Continental Free Trade Area (AfCFTA), which aims to reduce trade barriers and enhance regional integration. However, persistent challenges – including infrastructure deficits, regulatory inconsistencies, and the digital divide between countries – must be addressed to promote digital trade in the African continent. This book seeks to identify key research gaps and shape a forward-looking research agenda to support the creation of a single digital market in Africa. It consists of four sections covering infrastructure, competitiveness, the implementation of the AfCFTA, and cross-cutting issues, and it is a scholarly resource for academics and practitioners examining digital trade in the African context, as well as for policy-makers engaged in the design and implementation of a continental digital area capable of catalysing Africa’s economic growth.</w:t>
      </w:r>
    </w:p>
    <w:p>
      <w:pPr/>
      <w:r>
        <w:rPr>
          <w:b/>
        </w:rPr>
        <w:t>POSSIBLE 2026:</w:t>
      </w:r>
      <w:r>
        <w:t xml:space="preserve"> ‘EASE OF TRADE’ AND ‘EASE OF PAYING TAXES’: VOICING THE CONCERNS OF TRADE FACILITATION AGENDA THROUGH ‘GOODS AND SERVICES TAX’ PARADIGM IN INDIA — https://doi.org/10.69953/ijlsr.v7i1.692</w:t>
      </w:r>
    </w:p>
    <w:p>
      <w:pPr/>
      <w:r>
        <w:rPr>
          <w:b/>
        </w:rPr>
        <w:t>Shared claim-specific concepts:</w:t>
      </w:r>
      <w:r>
        <w:t xml:space="preserve"> trade, agenda, objectives; EU scope not established. This is a provisional connection, not an outcome finding.</w:t>
      </w:r>
    </w:p>
    <w:p>
      <w:pPr>
        <w:pStyle w:val="SourceNote"/>
      </w:pPr>
      <w:r>
        <w:rPr>
          <w:b/>
        </w:rPr>
        <w:t>Available abstract (not full text):</w:t>
      </w:r>
      <w:r>
        <w:t xml:space="preserve"> The World Bank’s ‘Ease of Doing Business’ report cards of the Indian Economy create a dilapidated imprint of India’s trade ecosystem on the world map owing to numerous factors. Amidst this, two watershed developments in the history of India’s national and international front i.e., India’s recent signing of the Trade Facilitation Agreement as well as the successful promulgation of the law on creating a unified indirect tax system in India, can be seen as life boats. The idea of the paper is to study these two events in connection with each other, whereas at the same time finding out the various horizons of opportunities and the hues of challenges which India would have to face yet embrace in reaching out to the core objectives of these two ‘movements’. In the paper, the authors contend that the cumulative long-term impact of the marriage of these two events is going to be economically enduring.</w:t>
      </w:r>
    </w:p>
    <w:p>
      <w:pPr/>
      <w:r>
        <w:rPr>
          <w:b/>
        </w:rPr>
        <w:t>POSSIBLE 2026:</w:t>
      </w:r>
      <w:r>
        <w:t xml:space="preserve"> The Problem of Digital Trade Regulation: Silences Regarding Labour and Their Potential Disruption by a Sustainability Agenda — https://doi.org/10.60082/2819-2567.1136</w:t>
      </w:r>
    </w:p>
    <w:p>
      <w:pPr/>
      <w:r>
        <w:rPr>
          <w:b/>
        </w:rPr>
        <w:t>Shared claim-specific concepts:</w:t>
      </w:r>
      <w:r>
        <w:t xml:space="preserve"> trade, agenda, objectives; EU scope not established. This is a provisional connection, not an outcome finding.</w:t>
      </w:r>
    </w:p>
    <w:p>
      <w:pPr>
        <w:pStyle w:val="SourceNote"/>
      </w:pPr>
      <w:r>
        <w:rPr>
          <w:b/>
        </w:rPr>
        <w:t>Available abstract (not full text):</w:t>
      </w:r>
      <w:r>
        <w:t xml:space="preserve"> The growing impact of digital trade on work in global supply chains is readily detectable but there are curious regulatory silences on labour-related issues. The key problem identified in digital trade law is national obstruction to the free flow of data needed to promote online ordering and delivery of goods and services. In comparison, the concerns of those whose work is constitutive of digital trade, such as platform workers, are largely overlooked. Arguably, provisions often found in trade agreements relating to digital privacy and the effects of algorithmic management could be utilised by those at work. However, there remain uncertainties regarding their scope and therefore their effect on labour markets. Meanwhile, other labour-related issues concerning migration have not even entered the digital trade governance discourse. The case for addressing these silences is presented here, alongside exploration of the potential for a sustainability agenda to disrupt and reshape this representation of the digital trade problem. In this respect, reference to “digital inclusion” in trade agreements indicates that no one should be left behind, including those in the world of work. Sustainability objectives can also be linked to digital product passports, traceability initiatives which could address breaches of fundamental international labour standards associated with production and d</w:t>
      </w:r>
    </w:p>
    <w:p>
      <w:pPr/>
      <w:r>
        <w:rPr>
          <w:b/>
        </w:rPr>
        <w:t>POSSIBLE 2026:</w:t>
      </w:r>
      <w:r>
        <w:t xml:space="preserve"> Trade‐Offs in Sustainable Development? The Relationship Between the Sustainable Development Goals and Circular Economy Outcomes in the European Union — https://doi.org/10.1002/sd.71766</w:t>
      </w:r>
    </w:p>
    <w:p>
      <w:pPr/>
      <w:r>
        <w:rPr>
          <w:b/>
        </w:rPr>
        <w:t>Shared claim-specific concepts:</w:t>
      </w:r>
      <w:r>
        <w:t xml:space="preserve"> trade, offs, between, countries, goals, progress; EU scope visible. This is a provisional connection, not an outcome finding.</w:t>
      </w:r>
    </w:p>
    <w:p>
      <w:pPr>
        <w:pStyle w:val="SourceNote"/>
      </w:pPr>
      <w:r>
        <w:rPr>
          <w:b/>
        </w:rPr>
        <w:t>Available abstract (not full text):</w:t>
      </w:r>
      <w:r>
        <w:t xml:space="preserve"> ABSTRACT Countries around the world have committed to a range of sustainable development initiatives aimed at advancing the Sustainable Development Goals and promoting the circular economy. However, the implementation of these sustainability initiatives entails substantial costs and resource requirements which may result in potential trade‐offs. We examine these sustainability trade‐offs by focusing on the relationship between the Sustainable Development Goals and the circular economy. Drawing on a panel dataset of European Union member states spanning 2009–2021, we find that progress on the Sustainable Development Goals is negatively associated with circular economy outcomes, indicating potential trade‐offs between these major sustainability initiatives. Furthermore, we find that strong environmental policy settings within ruling governments, higher levels of government spending, and greater trade freedom positively moderate the relationship between the Sustainable Development Goals and circular economy outcomes, thereby reducing sustainability trade‐offs. The findings of this study contribute to extant theory and have implications for policymakers.</w:t>
      </w:r>
    </w:p>
    <w:p>
      <w:pPr/>
      <w:r>
        <w:rPr>
          <w:b/>
        </w:rPr>
        <w:t>POSSIBLE 2026:</w:t>
      </w:r>
      <w:r>
        <w:t xml:space="preserve"> The Safe Guardian of Europe : A Critical Discourse Analysis of the European Commission's Geopolitical Actorness and Enlargement Agenda — https://openalex.org/W7212332556</w:t>
      </w:r>
    </w:p>
    <w:p>
      <w:pPr/>
      <w:r>
        <w:rPr>
          <w:b/>
        </w:rPr>
        <w:t>Shared claim-specific concepts:</w:t>
      </w:r>
      <w:r>
        <w:t xml:space="preserve"> agenda, countries, goals, achieve; EU scope visible. This is a provisional connection, not an outcome finding.</w:t>
      </w:r>
    </w:p>
    <w:p>
      <w:pPr>
        <w:pStyle w:val="SourceNote"/>
      </w:pPr>
      <w:r>
        <w:rPr>
          <w:b/>
        </w:rPr>
        <w:t>Available abstract (not full text):</w:t>
      </w:r>
      <w:r>
        <w:t xml:space="preserve"> This research analyses how the European Commission uses 13 press releases and political guidelines as institutional instruments to advocate its own agenda, presenting itself as a rational actor that uses different powers to achieve its political goals and enhance its own actorness. The transition from technocratic rhetoric demonstrates that enlargement is no longer seen merely as a technical process, but as a ‘geopolitical imperative’ that requires urgent action. The Commission clearly demands that the candidate states follow strict ‘merit-based criteria’, which illustrates its strong actorness. Furthermore, existential discourses such as ‘History is calling once again’ create an image of urgency, suggesting that the EU must make radical changes to enlarge the Union and strengthen its actorness. This research introduces the author’s own conceptualization that the Commission acts as a ‘safe guardian’ of Europe, which advocates the enlargement agenda as a necessity to maintain the EU's position in global politics. By applying a realist-constructivist framework and Critical Discourse Analysis (CDA)—where the Commission is not merely seen as a normative and altruistic humanitarian actor, nor solely focused on candidate countries—this research reveals how the European Commission is actively evolving its own actorness in times of crisis.</w:t>
      </w:r>
    </w:p>
    <w:p>
      <w:pPr/>
      <w:r>
        <w:rPr>
          <w:b/>
        </w:rPr>
        <w:t>POSSIBLE 2026:</w:t>
      </w:r>
      <w:r>
        <w:t xml:space="preserve"> Trade induced extinction risk footprints by European financial institutions — https://doi.org/10.1038/s41598-026-58778-3</w:t>
      </w:r>
    </w:p>
    <w:p>
      <w:pPr/>
      <w:r>
        <w:rPr>
          <w:b/>
        </w:rPr>
        <w:t>Shared claim-specific concepts:</w:t>
      </w:r>
      <w:r>
        <w:t xml:space="preserve"> trade, countries, all, far; EU scope visible. This is a provisional connection, not an outcome finding.</w:t>
      </w:r>
    </w:p>
    <w:p>
      <w:pPr>
        <w:pStyle w:val="SourceNote"/>
      </w:pPr>
      <w:r>
        <w:rPr>
          <w:b/>
        </w:rPr>
        <w:t>Available abstract (not full text):</w:t>
      </w:r>
      <w:r>
        <w:t xml:space="preserve"> Biodiversity loss is increasingly recognized as a source of systemic financial risk. The financial sector enables economic activities that exert pressure on ecosystems, sometimes far from where capital is held, so institutions in one region can enable biodiversity loss elsewhere by financing seemingly harmless sectors with value-chain links to harmful activities. We establish a novel correspondence matrix linking 104 environmental pressures to 124 IUCN biodiversity threats, and combine it with the GLORIA input-output model to quantify species extinction-risk for 164 countries. Particulate matter, land-use change, and nitrogenous gases are the most damaging pressures, exerted mainly by agriculture, manufacturing, and construction. Seventy-four countries are net importers of extinction risk and twenty-three net exporters; all twelve European countries analysed are importers, with approximately 40% of their financial assets linked to extinction-risk sectors. Because these pressures are so embedded in production, a 1% reduction in the extinction-risk footprint propagates almost one-for-one through the economy: output falls by about 0.88% on average, while firms' capacity to service debt weakens as revenues drop but interest obligations hold fixed. This exposes how structurally dependent financial systems are on nature-harming activity, supporting efforts to disclose and reduce hold</w:t>
      </w:r>
    </w:p>
    <w:p>
      <w:pPr/>
      <w:r>
        <w:rPr>
          <w:b/>
        </w:rPr>
        <w:t>POSSIBLE 2025:</w:t>
      </w:r>
      <w:r>
        <w:t xml:space="preserve"> Thinking in trade-offs — https://openalex.org/W7134102523</w:t>
      </w:r>
    </w:p>
    <w:p>
      <w:pPr/>
      <w:r>
        <w:rPr>
          <w:b/>
        </w:rPr>
        <w:t>Shared claim-specific concepts:</w:t>
      </w:r>
      <w:r>
        <w:t xml:space="preserve"> between, objectives, all, progress; EU scope not established. This is a provisional connection, not an outcome finding.</w:t>
      </w:r>
    </w:p>
    <w:p>
      <w:pPr>
        <w:pStyle w:val="SourceNote"/>
      </w:pPr>
      <w:r>
        <w:rPr>
          <w:b/>
        </w:rPr>
        <w:t>Available abstract (not full text):</w:t>
      </w:r>
      <w:r>
        <w:t xml:space="preserve"> Every day, people face decisions that involve multiple, often conflicting objectives: balancing cost against quality, safety against speed, or personal benefit against social responsibility.These trade-offs rarely admit a single "right" answer, and they become even more challenging when other decision-makers are involved.Reinforcement learning offers a powerful framework for constructing artificial agents that act autonomously in complex, uncertain environments, learning through trial and error how to make effective decisions.Yet, most existing approaches focus on a single objective, assuming away the trade-offs that are intrinsic to real decision-making.This thesis addresses that gap directly.Its central theme is how to design agents that can think in trade-offs, that is, agents that can reason about multiple objectives and act optimally under uncertainty.The contributions unfold in three parts that build on one another.First, we bridge singleand multi-objective reinforcement learning by showing how decomposition techniques allow well-established single-objective methods to be extended to learning the Pareto front, a classical solution set that captures efficient trade-offs for certain decision-makers.Building on this foundation, we then introduce and analyse alternative solution concepts that more directly reflect decision-makers' preferences, developing rigorous theoretical </w:t>
      </w:r>
    </w:p>
    <w:p>
      <w:pPr/>
      <w:r>
        <w:rPr>
          <w:b/>
        </w:rPr>
        <w:t>POSSIBLE 2025:</w:t>
      </w:r>
      <w:r>
        <w:t xml:space="preserve"> Family matters: the role of trade-offs in shaping human life-histories and health — https://doi.org/10.33612/diss.1419980082</w:t>
      </w:r>
    </w:p>
    <w:p>
      <w:pPr/>
      <w:r>
        <w:rPr>
          <w:b/>
        </w:rPr>
        <w:t>Shared claim-specific concepts:</w:t>
      </w:r>
      <w:r>
        <w:t xml:space="preserve"> evident, between, all, little; EU scope visible. This is a provisional connection, not an outcome finding.</w:t>
      </w:r>
    </w:p>
    <w:p>
      <w:pPr>
        <w:pStyle w:val="SourceNote"/>
      </w:pPr>
      <w:r>
        <w:rPr>
          <w:b/>
        </w:rPr>
        <w:t>Available abstract (not full text):</w:t>
      </w:r>
      <w:r>
        <w:t xml:space="preserve"> All organisms are born and die, but the parts in between are incredibly varied. Evolutionary life-history theory tells us that this diversity across species is partly shaped by trade-offs, because organisms cannot, for example, maximize both their reproduction and lifespan. However, how well these trade-offs shape some of the most important outcomes in our own lives, such as how long we live for, is less well understood. To this end, I applied a diversity of approaches to data from three unique human datasets. First, using Swiss historical data, I found little evidence for these life-history trade-offs limiting overall family sizes, despite the high birth-rates present in this preindustrial population and no strong findings of cooperation amongst siblings. However, analyzing historical data from Finland suggested that family size may trade-off against a mother’s own lifespan, at least during challenging environmental conditions, revealing one potential factor shaping human lifespan. Whether these trade-offs remain important in more contemporary populations was less evident. Using European genomic data, I found that genetic factors shaping time to maturity and first childbirth, and fertility were not associated with genetic predispositions to breast cancer, suggesting that life-history trade-offs have not led to genes underlying this particular disease. More work must be done to</w:t>
      </w:r>
    </w:p>
    <w:p>
      <w:pPr/>
      <w:r>
        <w:rPr>
          <w:b/>
        </w:rPr>
        <w:t>POSSIBLE 2025:</w:t>
      </w:r>
      <w:r>
        <w:t xml:space="preserve"> Navigating trade-offs: Energy dependency, geopolitical shocks, and sustainability in European parliamentary debates — https://doi.org/10.1016/j.erss.2025.104198</w:t>
      </w:r>
    </w:p>
    <w:p>
      <w:pPr/>
      <w:r>
        <w:rPr>
          <w:b/>
        </w:rPr>
        <w:t>Shared claim-specific concepts:</w:t>
      </w:r>
      <w:r>
        <w:t xml:space="preserve"> between, objectives, countries, sdgs, goals, attention; EU scope visible. This is a provisional connection, not an outcome finding.</w:t>
      </w:r>
    </w:p>
    <w:p>
      <w:pPr>
        <w:pStyle w:val="SourceNote"/>
      </w:pPr>
      <w:r>
        <w:rPr>
          <w:b/>
        </w:rPr>
        <w:t>Available abstract (not full text):</w:t>
      </w:r>
      <w:r>
        <w:t xml:space="preserve"> This study examines the evolution of energy and sustainability debates in European parliaments from 2014 to 2022, focusing on how national energy dependency moderates responses to geopolitical shocks, specifically, the Russian invasion of Ukraine. The research uses quantitative text analysis via the BERTopic model to compare the allocation of parliamentary attention between immediate energy security concerns and long-term sustainability objectives. The analysis finds that, following the escalation of the conflict, countries with a higher reliance on imported energy allocate a comparatively smaller share of their debates to sustainability issues, as evidenced by decreased legislative engagement with the Sustainable Development Goals. This pattern suggests that structural vulnerabilities in energy supply might restrict legislative capacity to uphold long-term sustainability commitments as short-term security imperatives increase. It highlights the importance of policy approaches that effectively combine immediate energy security measures with long-term sustainability strategies to strengthen national resilience. • EU parliamentary debates reveal energy security vs. sustainability trade-offs. • Energy dependency moderates sustainability legislative focus post-geopolitical shock. • Higher energy dependency correlates with reduced SDGs focus. • Integrated policies needed to balance </w:t>
      </w:r>
    </w:p>
    <w:p>
      <w:pPr/>
      <w:r>
        <w:rPr>
          <w:b/>
        </w:rPr>
        <w:t>POSSIBLE 2025:</w:t>
      </w:r>
      <w:r>
        <w:t xml:space="preserve"> Export Controls and the Green Agenda in the European Union — https://doi.org/10.1017/s0020589325000119</w:t>
      </w:r>
    </w:p>
    <w:p>
      <w:pPr/>
      <w:r>
        <w:rPr>
          <w:b/>
        </w:rPr>
        <w:t>Shared claim-specific concepts:</w:t>
      </w:r>
      <w:r>
        <w:t xml:space="preserve"> evident, trade, between, agenda, objectives, progress; EU scope visible. This is a provisional connection, not an outcome finding.</w:t>
      </w:r>
    </w:p>
    <w:p>
      <w:pPr>
        <w:pStyle w:val="SourceNote"/>
      </w:pPr>
      <w:r>
        <w:rPr>
          <w:b/>
        </w:rPr>
        <w:t>Available abstract (not full text):</w:t>
      </w:r>
      <w:r>
        <w:t xml:space="preserve"> Abstract This article argues that critical and emerging technologies, evolving geopolitical dynamics and the urgent need to pursue the green agenda are changing the traditional approach of the European Union (EU) and its Member States towards their trade and security strategies, and this is particularly evident in the domain of export controls. In search of a balance between green energy, security and technological progress, this article explores the potential for a more cohesive and comprehensive regulatory framework for export controls at the EU level. It takes the debate beyond a technical level of export control lists to discuss geopolitical and strategic assumptions surrounding inter-State cooperation on the regulation of critical and emerging technologies and their components. The article underscores, in particular, the potential unintended repercussions of controls for the EU's technological future and the prospects of the green transition in Europe and beyond. Finally, it advocates for what is often overlooked in discussions: the necessity for the EU to set clear, long-term objectives for its export controls and to align them with the purposes and objectives of other EU economic instruments.</w:t>
      </w:r>
    </w:p>
    <w:p>
      <w:pPr/>
      <w:r>
        <w:rPr>
          <w:b/>
        </w:rPr>
        <w:t>POSSIBLE 2025:</w:t>
      </w:r>
      <w:r>
        <w:t xml:space="preserve"> Green Economy, Trade, and Consumers – Interactions in European Green Transition — https://doi.org/10.7494/geom.2025.19.2.25</w:t>
      </w:r>
    </w:p>
    <w:p>
      <w:pPr/>
      <w:r>
        <w:rPr>
          <w:b/>
        </w:rPr>
        <w:t>Shared claim-specific concepts:</w:t>
      </w:r>
      <w:r>
        <w:t xml:space="preserve"> trade, achieving, all, interactions, goals, achieve; EU scope visible. This is a provisional connection, not an outcome finding.</w:t>
      </w:r>
    </w:p>
    <w:p>
      <w:pPr>
        <w:pStyle w:val="SourceNote"/>
      </w:pPr>
      <w:r>
        <w:rPr>
          <w:b/>
        </w:rPr>
        <w:t>Available abstract (not full text):</w:t>
      </w:r>
      <w:r>
        <w:t xml:space="preserve"> This article presents a current and significant problem by exploring the main problems of the European Green Transition; the authors discuss these in two aspects: first, the goals of the Green Transition as one of the European Union’s strategic priorities – the goals, achievements, and possible risks that face the European Union’s green policies are discussed.The second aspect of the study is the authors’ attempt to reveal and comment on the role of trade and consumers as a tool that works in favor of the Green Transition – specifically, those that are included in European Union documents such as the Green Deal and the Circular Economy Action Plan. The definition of the problem is based on the understanding that, on the one hand, trade as an economic sector is developing most dynamically and on a large scale, making Sector G the largest set of enterprises among all of the sectors that carry out economic activities in the EU (including Bulgaria). On the other hand, trade as a business activity is closely linked to consumers; it actively interacts with them and, therefore, has a significant impact on their behaviors (including their impact on the environment). In practice, it is impossible to achieve the green goals without the connection and interaction “trade-consumers”; in addition to being aimed at achieving a modern, resource-efficient, and competitive EU economy, these refl</w:t>
      </w:r>
    </w:p>
    <w:p>
      <w:pPr/>
      <w:r>
        <w:rPr>
          <w:b/>
        </w:rPr>
        <w:t>POSSIBLE 2025:</w:t>
      </w:r>
      <w:r>
        <w:t xml:space="preserve"> Market Power Europe and the research agenda on geopoliticisation and economic security — https://doi.org/10.1080/23745118.2025.2576708</w:t>
      </w:r>
    </w:p>
    <w:p>
      <w:pPr/>
      <w:r>
        <w:rPr>
          <w:b/>
        </w:rPr>
        <w:t>Shared claim-specific concepts:</w:t>
      </w:r>
      <w:r>
        <w:t xml:space="preserve"> between, agenda, objectives, all; EU scope visible. This is a provisional connection, not an outcome finding.</w:t>
      </w:r>
    </w:p>
    <w:p>
      <w:pPr>
        <w:pStyle w:val="SourceNote"/>
      </w:pPr>
      <w:r>
        <w:rPr>
          <w:b/>
        </w:rPr>
        <w:t>Available abstract (not full text):</w:t>
      </w:r>
      <w:r>
        <w:t xml:space="preserve"> The global system is experiencing a geopolitical turn, which is encouraging coercive policy responses from governments while fuelling the emergence of a new scholarly research agenda. To understand these changes and their potential effects on European Union (EU) institutions and policies, this article employs the conceptual framework of Market Power Europe (MPE). Guided by three central characteristics that MPE draws from the Comparative and International Political Economy literature – market size, institutional capacity and domestic interest contestation – the article undertakes a qualitative content analysis of the design and objectives of the EU's 2023 European Economic Security Strategy. The evidence shows that these three characteristics help to shape the EU's exercise of power in a geopoliticising environment and reveal the important role of external factors and increasing linkages between market and security objectives. The findings reinforce the analytical importance of considering all three characteristics of MPE, which complements the propositions raised in this Special Issue and contributes to the emerging research agenda on the new challenges of geopoliticisation and economic security.</w:t>
      </w:r>
    </w:p>
    <w:p>
      <w:pPr>
        <w:pStyle w:val="Heading2"/>
      </w:pPr>
      <w:r>
        <w:t>539. Impact of demographic changes and screening colonoscopy on long-term projection of incident colorectal cancer cases in Germany: A modelling study</w:t>
      </w:r>
    </w:p>
    <w:p>
      <w:pPr>
        <w:pStyle w:val="SourceNote"/>
      </w:pPr>
      <w:r>
        <w:rPr>
          <w:b/>
        </w:rPr>
        <w:t>Original source (2022):</w:t>
      </w:r>
      <w:r>
        <w:t xml:space="preserve"> https://doi.org/10.1016/j.lanepe.2022.100451</w:t>
      </w:r>
    </w:p>
    <w:p>
      <w:pPr/>
      <w:r>
        <w:t>Original wording (abstract; indexed_source_text_not_full_document_verified): We estimated the number of new CRC cases until 2060, assuming screening colonoscopy use to be constant or to increase to between 1·5 and 3 times the current levels. Assuming no change in screening colonoscopy use, the overall annual caseload was predicted to increase from approximately 62,000 cases in 2020 to more than 70,000 cases by the year 2040 and more than 75,000 cases by 2050.</w:t>
      </w:r>
    </w:p>
    <w:p>
      <w:pPr/>
      <w:r>
        <w:rPr>
          <w:b/>
        </w:rPr>
        <w:t>POSSIBLE 2026:</w:t>
      </w:r>
      <w:r>
        <w:t xml:space="preserve"> Estimating European Pilchard ( Sardina pilchardus ) Total Length: New Equations for the Ichthyoarchaeological Record — https://doi.org/10.1002/oa.70087</w:t>
      </w:r>
    </w:p>
    <w:p>
      <w:pPr/>
      <w:r>
        <w:rPr>
          <w:b/>
        </w:rPr>
        <w:t>Shared claim-specific concepts:</w:t>
      </w:r>
      <w:r>
        <w:t xml:space="preserve"> number, until, between, times; EU scope visible. This is a provisional connection, not an outcome finding.</w:t>
      </w:r>
    </w:p>
    <w:p>
      <w:pPr>
        <w:pStyle w:val="SourceNote"/>
      </w:pPr>
      <w:r>
        <w:rPr>
          <w:b/>
        </w:rPr>
        <w:t>Available abstract (not full text):</w:t>
      </w:r>
      <w:r>
        <w:t xml:space="preserve"> ABSTRACT Throughout its area of distribution, in particular in the Iberian Peninsula, the European pilchard ( Sardina pilchardus Walbaum 1792) has been an extensively exploited species since Prehistoric times. Our knowledge of the past fisheries of this clupeid nevertheless remains limited due to a scarcity of ichthyoarchaeological data, which reflects, among other things, a lack of systematic fine sieving in archaeological excavations until recent times. Specifically, although predictive equations to infer fish size from archaeological remains provide valuable information about past fisheries, published data for the European pilchard are still comparatively rare. This study presents 33 new equations based on selected cranial elements to estimate total length that considerably expand the number thus far available for the European pilchard. Also, given that the number and size ranges of specimens used to build these models are greater than those from previous studies, our equations provide a higher degree of accuracy, offering more reliable tools for reconstructing the size from archaeological sardine bones. These equations, along with previously published ones, were tested on European pilchard collections from medieval and Modern Age Barcelona (Catalonia, Spain). Although some of the previously published equations provide acceptable overviews of size distributions, the new equa</w:t>
      </w:r>
    </w:p>
    <w:p>
      <w:pPr/>
      <w:r>
        <w:rPr>
          <w:b/>
        </w:rPr>
        <w:t>POSSIBLE 2026:</w:t>
      </w:r>
      <w:r>
        <w:t xml:space="preserve"> The Price of Speed: Estimating the Impact of List Prices on Time to Availability of New Medicines in 18 European Countries — https://doi.org/10.1007/s40258-026-01053-3</w:t>
      </w:r>
    </w:p>
    <w:p>
      <w:pPr/>
      <w:r>
        <w:rPr>
          <w:b/>
        </w:rPr>
        <w:t>Shared claim-specific concepts:</w:t>
      </w:r>
      <w:r>
        <w:t xml:space="preserve"> number, use, increase, between; EU scope visible. This is a provisional connection, not an outcome finding.</w:t>
      </w:r>
    </w:p>
    <w:p>
      <w:pPr>
        <w:pStyle w:val="SourceNote"/>
      </w:pPr>
      <w:r>
        <w:rPr>
          <w:b/>
        </w:rPr>
        <w:t>Available abstract (not full text):</w:t>
      </w:r>
      <w:r>
        <w:t xml:space="preserve"> OBJECTIVES: To examine whether higher national list prices for new medicines are associated with faster patient access across 18 European countries. METHODS: Data were drawn from the 2023 European Federation of Pharmaceutical Industries &amp; Associations (EFPIA) Patients Waiting to Access Innovative Therapies (WAIT) Indicator Survey and the Swedish TLV's 2023 international price index. Time to availability was defined as the number of days between marketing authorisation and national reimbursement access. A multivariable linear regression model was applied, controlling for gross domestic product (GDP) per capita, population size, health technology assessment (HTA) duration, and the use of Managed Entry Agreements (MEAs). To address endogeneity, a two-stage least squares (2SLS) regression was conducted using a composite headquarters (HQ) Index as an instrumental variable for national list prices. RESULTS: In the multivariable model, each one-point increase in the list price index (European average = 100) was associated with a 7.9-day reduction in time to availability (p = 0.091). A slow HTA/reimbursement process was significantly associated with longer delays (p = 0.022). Managed entry agreement intensity was positively associated with longer delays but did not reach statistical significance (p = 0.103). In the 2SLS model, a one-point increase in the instrumented list price was ass</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until, use, between, current;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number, increase, between, annual;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2026:</w:t>
      </w:r>
      <w:r>
        <w:t xml:space="preserve"> Elasticity in CES Production Functions: New Estimates for Europe and Different Nesting Structures — https://doi.org/10.1177/01956574261440162</w:t>
      </w:r>
    </w:p>
    <w:p>
      <w:pPr/>
      <w:r>
        <w:rPr>
          <w:b/>
        </w:rPr>
        <w:t>Shared claim-specific concepts:</w:t>
      </w:r>
      <w:r>
        <w:t xml:space="preserve"> constant, between, levels; EU scope visible. This is a provisional connection, not an outcome finding.</w:t>
      </w:r>
    </w:p>
    <w:p>
      <w:pPr>
        <w:pStyle w:val="SourceNote"/>
      </w:pPr>
      <w:r>
        <w:rPr>
          <w:b/>
        </w:rPr>
        <w:t>Available abstract (not full text):</w:t>
      </w:r>
      <w:r>
        <w:t xml:space="preserve"> This study addresses the scarcity of empirical estimates on the elasticity of production factor substitutions, a crucial parameter in general equilibrium models for policy analysis. Employing the non-linear least squares estimation method, we determine the elasticity of substitution between capital, labor, energy, and materials in the Constant Elasticity of Substitution model across Europe at both aggregate and sectoral levels. Through rigorous analysis, we identify the optimal nesting structure of the production function for our data, rejecting widely used CES functional forms such as Cobb-Douglas and Leontief. Our findings reveal changes in elasticity of substitution over time, with Eastern Europe exhibiting greater ease of substitution compared to Western Europe, particularly between capital and labor. While elasticities in tertiary sectors diverge over time, those in energy-intensive sectors converge, though they remain statistically different, underscoring the necessity of region-specific elasticity sets in CGE models. JEL Classification: C51, Model Construction and Estimation; D24, Production; Cost; Capital; Capital, Total Factor, and Multifactor Productivity; Capacity</w:t>
      </w:r>
    </w:p>
    <w:p>
      <w:pPr/>
      <w:r>
        <w:rPr>
          <w:b/>
        </w:rPr>
        <w:t>POSSIBLE 2025:</w:t>
      </w:r>
      <w:r>
        <w:t xml:space="preserve"> European turtle dove (Streptopelia turtur) in Apulia: preliminary estimate of the breeding population abundance — https://openalex.org/W7112675328</w:t>
      </w:r>
    </w:p>
    <w:p>
      <w:pPr/>
      <w:r>
        <w:rPr>
          <w:b/>
        </w:rPr>
        <w:t>Shared claim-specific concepts:</w:t>
      </w:r>
      <w:r>
        <w:t xml:space="preserve"> estimated, number, until, between; EU scope visible. This is a provisional connection, not an outcome finding.</w:t>
      </w:r>
    </w:p>
    <w:p>
      <w:pPr>
        <w:pStyle w:val="SourceNote"/>
      </w:pPr>
      <w:r>
        <w:rPr>
          <w:b/>
        </w:rPr>
        <w:t>Available abstract (not full text):</w:t>
      </w:r>
      <w:r>
        <w:t xml:space="preserve"> The European Turtle Dove (TD, Streptopelia turtur) is a bird with Euro-Central Asian and Mediterranean corology, characterized by four subspecies distributed in an area of about 10 million km2 across Eurasia and North Africa. In Italy, the TD is a regular migratory species widely distributed, except for the Alps and the highest peaks of the Apennines; its presence is lower in the Eastern part of the Po plain, in the Lower Tyrrhenian coast and in the central-southern areas of Apulia, probably due to the reduced presence and extension of woods and hedges. TD arrives in Apulia in Spring to nest. According to BirdLife International (2017), TD is classified as SPEC 1 being in an unfavourable state of conservation. Recently, action plans have been implemented to improve its conservation, in balance with sustainable hunting, allowed in September. So far, limited information is available on the TD’s abundance in each Italian region; therefore, this study aimed at providing preliminary information on the distribution and abundance of the TD in Apulia. The methodology adopted for the Farmland Bird Index (FBI) project was further intensified to obtain a more homogeneous coverage of the sampling points; for this purpose, in addition to the 34 UTM squares monitored within the FBI project, other 17 grid squares of 10 km of length were analysed. The count technique used for the FBI project is</w:t>
      </w:r>
    </w:p>
    <w:p>
      <w:pPr/>
      <w:r>
        <w:rPr>
          <w:b/>
        </w:rPr>
        <w:t>POSSIBLE 2025:</w:t>
      </w:r>
      <w:r>
        <w:t xml:space="preserve"> Critical load exceedances for North America and Europe using an ensemble of models and an investigation of causes of environmental impact estimate variability: an AQMEII4 study — https://doi.org/10.5194/acp-25-3049-2025</w:t>
      </w:r>
    </w:p>
    <w:p>
      <w:pPr/>
      <w:r>
        <w:rPr>
          <w:b/>
        </w:rPr>
        <w:t>Shared claim-specific concepts:</w:t>
      </w:r>
      <w:r>
        <w:t xml:space="preserve"> estimated, number, use, between, annual, predicted; EU scope visible. This is a provisional connection, not an outcome finding.</w:t>
      </w:r>
    </w:p>
    <w:p>
      <w:pPr>
        <w:pStyle w:val="SourceNote"/>
      </w:pPr>
      <w:r>
        <w:rPr>
          <w:b/>
        </w:rPr>
        <w:t>Available abstract (not full text):</w:t>
      </w:r>
      <w:r>
        <w:t xml:space="preserve"> Abstract. Exceedances of critical loads for deposition of sulphur (S) and nitrogen (N) to different ecosystems were estimated using European and North American ensembles of air quality models, under Phase 4 of the Air Quality Model Evaluation International Initiative (AQMEII4), to identify where risk of ecosystem harm is expected to occur based on model deposition estimates. The ensembles were driven by common emissions and lateral boundary condition inputs. Model output was regridded to common North American and Europe 0.125° resolution domains, which were then used to calculate critical load exceedances. New, targeted deposition diagnostics implemented in AQMEII4 allowed an unprecedented level of post-simulation analysis to be carried out and facilitated the identification of specific causes of model-to-model variability in critical load exceedance estimates. New datasets for North American critical loads for acidity for forest soil water and aquatic ecosystems were combined with the ensemble deposition predictions to show a substantial decrease in the area and number of locations in exceedance between 2010 and 2016 (forest soils: 13.2 % to 6.1 %; aquatic ecosystems: 21.2 % to 11.4 %). All models agreed in the direction of the ensemble exceedance change between 2010 and 2016. The North American ensemble also predicted a decrease in both severity and total area in exceedance b</w:t>
      </w:r>
    </w:p>
    <w:p>
      <w:pPr/>
      <w:r>
        <w:rPr>
          <w:b/>
        </w:rPr>
        <w:t>POSSIBLE 2025:</w:t>
      </w:r>
      <w:r>
        <w:t xml:space="preserve"> The development of the cost of cancer in 31 European countries. — https://doi.org/10.1200/jco.2025.43.16_suppl.1596</w:t>
      </w:r>
    </w:p>
    <w:p>
      <w:pPr/>
      <w:r>
        <w:rPr>
          <w:b/>
        </w:rPr>
        <w:t>Shared claim-specific concepts:</w:t>
      </w:r>
      <w:r>
        <w:t xml:space="preserve"> estimated, number, cases, between, overall; EU scope visible. This is a provisional connection, not an outcome finding.</w:t>
      </w:r>
    </w:p>
    <w:p>
      <w:pPr>
        <w:pStyle w:val="SourceNote"/>
      </w:pPr>
      <w:r>
        <w:rPr>
          <w:b/>
        </w:rPr>
        <w:t>Available abstract (not full text):</w:t>
      </w:r>
      <w:r>
        <w:t xml:space="preserve"> 1596 Background: The estimated number of new cancer cases in Europe has risen from 2.6 million in 1995 to 4.1 million in 2022. Around every fourth death is due to cancer, yet survival rates have been improving due to advances in early detection, diagnosis, and treatment. The implications of these epidemiological changes and medical advances for the overall cost of cancer are not well documented. Methods: This cost-of-illness study estimated the direct and indirect costs of cancer across 31 European countries (the EU-27 countries, plus Iceland, Norway, Switzerland, and the UK) from 1995 to 2023. For direct costs, information on cancer-specific health expenditure was searched for all countries and combined with data from Eurostat and the OECD. Extrapolations were made for countries with missing information. For indirect costs, productivity losses due to premature mortality were calculated using mortality data from the World Health Organization, Eurostat, and the Office for National Statistics, combined with labor market data from Eurostat. Productivity loss due to morbidity were estimated using data from prior studies and changes in population structure. The human-capital approach was employed to calculate indirect costs. Total costs, costs per capita, and costs per new case were estimated for Europe as a whole and for each individual country. Results: Between 1995 and 2023, the </w:t>
      </w:r>
    </w:p>
    <w:p>
      <w:pPr/>
      <w:r>
        <w:rPr>
          <w:b/>
        </w:rPr>
        <w:t>POSSIBLE 2025:</w:t>
      </w:r>
      <w:r>
        <w:t xml:space="preserve"> Regional Strategies for PV-Based Sustainable Energy in GCC and Europe — https://doi.org/10.31875/2410-2199.2025.12.09</w:t>
      </w:r>
    </w:p>
    <w:p>
      <w:pPr/>
      <w:r>
        <w:rPr>
          <w:b/>
        </w:rPr>
        <w:t>Shared claim-specific concepts:</w:t>
      </w:r>
      <w:r>
        <w:t xml:space="preserve"> number, between; EU scope visible. This is a provisional connection, not an outcome finding.</w:t>
      </w:r>
    </w:p>
    <w:p>
      <w:pPr>
        <w:pStyle w:val="SourceNote"/>
      </w:pPr>
      <w:r>
        <w:rPr>
          <w:b/>
        </w:rPr>
        <w:t>Available abstract (not full text):</w:t>
      </w:r>
      <w:r>
        <w:t xml:space="preserve"> This study analyzes the feasibility of the production of solar power as a sustainable solution to the climate and energy crisis, focusing on two areas in particular: the Gulf Cooperation Council countries and Europe. Focused attention goes to emerging economies in analyzing how solar power can aid in reducing carbon dioxide emissions and attaining sustainable development. Comparative analysis is performed for the GCC region and Europe on the basis of unique solar system design ability and the performance of photovoltaic (PV) systems, taking into account realistic environmental and working parameters. In this comparative design research, mathematical equations were applied to determine the number of required solar panels to achieve determined energy efficiency in both regions. A novel mathematical modeling approach was designed and presented as new equations to achieve a correct estimate of the quantity of PV panels required from the energy requirement and a parameter called the Power Generation Factor (PGF). The practical design approach employed in the present work synchronizes the technical aspects of electrical system design with broader sustainable development goals, particularly for developing nations. By creating new mathematical equations for estimating how many PV panels would be necessary based on desired energy yields and incorporating the PGF, the study underscores t</w:t>
      </w:r>
    </w:p>
    <w:p>
      <w:pPr/>
      <w:r>
        <w:rPr>
          <w:b/>
        </w:rPr>
        <w:t>POSSIBLE 2025:</w:t>
      </w:r>
      <w:r>
        <w:t xml:space="preserve"> Trends in prevalence and number of cases of diagnosed type 2 diabetes in Germany: Projections until 2050 — https://doi.org/10.25646/13381</w:t>
      </w:r>
    </w:p>
    <w:p>
      <w:pPr/>
      <w:r>
        <w:rPr>
          <w:b/>
        </w:rPr>
        <w:t>Shared claim-specific concepts:</w:t>
      </w:r>
      <w:r>
        <w:t xml:space="preserve"> number, cases, until, assuming, increase, annual; EU scope visible. This is a provisional connection, not an outcome finding.</w:t>
      </w:r>
    </w:p>
    <w:p>
      <w:pPr>
        <w:pStyle w:val="SourceNote"/>
      </w:pPr>
      <w:r>
        <w:rPr>
          <w:b/>
        </w:rPr>
        <w:t>Available abstract (not full text):</w:t>
      </w:r>
      <w:r>
        <w:t xml:space="preserve"> Background: In order to assess the prevention and care needs for type 2 diabetes in the coming decades from a public health perspective, forecasts on the trends in prevalence and case numbers are essential. Methods: The data are based on age-specific estimates of diagnosed diabetes prevalence from the survey German Health Update (GEDA) 2022, and on the proportion of type 2 diabetes derived from routine health insurance data. Using routine data on the incidence and excess mortality of diabetes, various scenarios for the future trends of type 2 diabetes are modelled using an illness-death model. Results: Based on a type 2 diabetes prevalence of 8.6 % in 2022 (women: 8.2 %, men: 9.2 %), corresponding to a total of 6.05 million cases (women: 2.92 million, men 3.13 million), the prevalence is expected to rise to 16.1 % by 2050 (women: 14.8 %, men: 17.4 %), with the number of cases increasing to 11.01 million (women: 5.19 million, men: 5.82 million). Assuming a 2.0 % annual decline in incidence, the prevalence is expected to rise to only 12.2 % (8.39 million cases); with a simultaneous 2.0 % annual decline in excess mortality, the prevalence is expected to reach 13.0 % (8.94 million cases). Conclusions: The prognosis is mainly influenced by changes in incidence. Primary preventive approaches to reduce risk factors for type 2 diabetes are therefore crucial to counteract an increase in</w:t>
      </w:r>
    </w:p>
    <w:p>
      <w:pPr/>
      <w:r>
        <w:rPr>
          <w:b/>
        </w:rPr>
        <w:t>POSSIBLE 2025:</w:t>
      </w:r>
      <w:r>
        <w:t xml:space="preserve"> Paediatric invasive group A streptococcal infections and associations with viral infections in 15 European countries after lifting non-pharmaceutical interventions against SARS-CoV-2: an interrupted time-series analysis — https://doi.org/10.1016/j.lanepe.2025.101497</w:t>
      </w:r>
    </w:p>
    <w:p>
      <w:pPr/>
      <w:r>
        <w:rPr>
          <w:b/>
        </w:rPr>
        <w:t>Shared claim-specific concepts:</w:t>
      </w:r>
      <w:r>
        <w:t xml:space="preserve"> estimated, number, cases, until, increase, between; EU scope visible. This is a provisional connection, not an outcome finding.</w:t>
      </w:r>
    </w:p>
    <w:p>
      <w:pPr>
        <w:pStyle w:val="SourceNote"/>
      </w:pPr>
      <w:r>
        <w:rPr>
          <w:b/>
        </w:rPr>
        <w:t>Available abstract (not full text):</w:t>
      </w:r>
      <w:r>
        <w:t xml:space="preserve"> Background: After lifting non-pharmaceutical interventions (NPIs) against the transmission of SARS-CoV-2, various countries experienced an increase in invasive Group A Streptococcal (iGAS) infections. We aimed to characterise the paediatric outbreak across Europe and to analyse the influence of viral infections. Methods: We conducted an interrupted time-series analysis based on data from 15 European countries from the PEGASUS consortium. We assessed the evolution of the number of iGAS cases aged 1 month to 18 years between 01/01/2018 and 03/31/2024, comparing the post-NPIs period (01-04-2022 until 31-03-2024) to the baseline period (01-01-2018 until 31-03-2020). Further analyses were performed by country, clinical phenotype, age and severity, including sensitivity analyses. We then explored whether certain iGAS phenotypes correlated with trends in RSV, influenza and VZV across countries over time using Google Trends data. Findings: We included 2091 iGAS cases over the study period; 79 children (3.6%) died and 580 (27.7%) required PICU admission. We estimated an overall increase of +229.8% (95% CI (141.9-341.6)) among iGAS cases from October 2022 to March 2024, compared to the baseline period. The observed increases varied across clinical phenotypes, ranging from +62.7% (95% CI (8.3-157.9)) for osteo-articular infections to +238.7% (95% CI 75.8-464.8) for pneumonia. We observed </w:t>
      </w:r>
    </w:p>
    <w:p>
      <w:pPr/>
      <w:r>
        <w:rPr>
          <w:b/>
        </w:rPr>
        <w:t>POSSIBLE 2025:</w:t>
      </w:r>
      <w:r>
        <w:t xml:space="preserve"> European Post-Consumer Steel Scrap in 2050: A Review of Estimates and Modeling Assumptions — https://doi.org/10.3390/recycling10010021</w:t>
      </w:r>
    </w:p>
    <w:p>
      <w:pPr/>
      <w:r>
        <w:rPr>
          <w:b/>
        </w:rPr>
        <w:t>Shared claim-specific concepts:</w:t>
      </w:r>
      <w:r>
        <w:t xml:space="preserve"> until, between, approximately; EU scope visible. This is a provisional connection, not an outcome finding.</w:t>
      </w:r>
    </w:p>
    <w:p>
      <w:pPr>
        <w:pStyle w:val="SourceNote"/>
      </w:pPr>
      <w:r>
        <w:rPr>
          <w:b/>
        </w:rPr>
        <w:t>Available abstract (not full text):</w:t>
      </w:r>
      <w:r>
        <w:t xml:space="preserve"> This paper studies the availability of post-consumer steel scrap in Europe until 2050. We introduce the indicator potentially available domestic post-consumer scrap (PADPS) which measures the amount of (steel) scrap from obsolete products available for recycling, prior to trade in scrap. We analyze material flow studies from the academic literature and international organizations to quantify this indicator. The studies suggest a rising trend of post-consumer scrap amounts until a saturation level when the expected yearly steel product obsolescence of the system stabilizes. Between 2010 and 2050, PADPS is expected to rise annually by approximately 1.6% per year. We identify in-use steel stocks, recycling rates, and product lifetimes as the three commonly gauged factors determining PADPS. While recycling rates and product lifetimes range comparatively close in the studies, the estimation of in-use stocks displays much greater variation and introduces an element of uncertainty in estimating the post-consumer scrap amounts that can be expected in the coming decades.</w:t>
      </w:r>
    </w:p>
    <w:p>
      <w:pPr>
        <w:pStyle w:val="Heading2"/>
      </w:pPr>
      <w:r>
        <w:t>540. Impacts of Scaling up Agroecology on the Sustainability of European Agriculture in 2050</w:t>
      </w:r>
    </w:p>
    <w:p>
      <w:pPr>
        <w:pStyle w:val="SourceNote"/>
      </w:pPr>
      <w:r>
        <w:rPr>
          <w:b/>
        </w:rPr>
        <w:t>Original source (2022):</w:t>
      </w:r>
      <w:r>
        <w:t xml:space="preserve"> https://doi.org/10.1111/1746-692x.12373</w:t>
      </w:r>
    </w:p>
    <w:p>
      <w:pPr/>
      <w:r>
        <w:t>Original wording (abstract; indexed_source_text_not_full_document_verified): We here assess socio‐economic and environmental implications of multiple agroecological futures in the European Union in 2050, based on a novel diagnostic scenario approach, i.e. the biomass balancing model BioBaM‐GHG 2.0.</w:t>
      </w:r>
    </w:p>
    <w:p>
      <w:pPr/>
      <w:r>
        <w:rPr>
          <w:b/>
        </w:rPr>
        <w:t>POSSIBLE 2026:</w:t>
      </w:r>
      <w:r>
        <w:t xml:space="preserve"> Assessing urban green roofs for CO2 removal via enhanced rock weathering in Europe — https://doi.org/10.1016/j.envadv.2026.100708</w:t>
      </w:r>
    </w:p>
    <w:p>
      <w:pPr/>
      <w:r>
        <w:rPr>
          <w:b/>
        </w:rPr>
        <w:t>Shared claim-specific concepts:</w:t>
      </w:r>
      <w:r>
        <w:t xml:space="preserve"> here, based, novel, approach; EU scope visible. This is a provisional connection, not an outcome finding.</w:t>
      </w:r>
    </w:p>
    <w:p>
      <w:pPr>
        <w:pStyle w:val="SourceNote"/>
      </w:pPr>
      <w:r>
        <w:rPr>
          <w:b/>
        </w:rPr>
        <w:t>Available abstract (not full text):</w:t>
      </w:r>
      <w:r>
        <w:t xml:space="preserve"> Green roofs represent a novel and promising platform for integrating enhanced rock weathering (ERW) as a carbon dioxide removal (CDR) strategy within urban environments. By utilising underused rooftop spaces, rock (feedstock)-amended green roofs for ERW could contribute meaningfully to climate mitigation targets while fitting within existing markets and policy frameworks. Despite this, a comprehensive assessment of opportunities and barriers to deployment is missing. Here, we provide a conceptual assessment, serving as a benchmark for the potential for large-scale ERW green roof deployment in Europe, examining literature from similar applications and estimating theoretical CDR potential at European and global scales, and identifying key opportunities and challenges. Our estimates suggest that, under conditions where 100% reactivity is achieved, green roofs in Europe could theoretically remove tens of millions of tonnes of CO 2 via ERW (in addition to plant uptake) by 2060, assuming expanded rooftop coverage. However, these findings are based on maximum geochemical capacities rather than empirical data from real-world conditions. Globally, theoretical removal potential ranges from tens to hundreds of millions of tonnes CO 2 per year, with major contributions from Central Asia, North America, Latin America and the Pacific. Beyond CDR benefits, ERW green roofs can enhance photovol</w:t>
      </w:r>
    </w:p>
    <w:p>
      <w:pPr/>
      <w:r>
        <w:rPr>
          <w:b/>
        </w:rPr>
        <w:t>POSSIBLE 2026:</w:t>
      </w:r>
      <w:r>
        <w:t xml:space="preserve"> Climate Change and Vector-Borne Diseases in Europe: Implications for Public Health and Environmental Sanitation Strategies — https://doi.org/10.3390/ijem1030010</w:t>
      </w:r>
    </w:p>
    <w:p>
      <w:pPr/>
      <w:r>
        <w:rPr>
          <w:b/>
        </w:rPr>
        <w:t>Shared claim-specific concepts:</w:t>
      </w:r>
      <w:r>
        <w:t xml:space="preserve"> environmental, implications, based; EU scope visible. This is a provisional connection, not an outcome finding.</w:t>
      </w:r>
    </w:p>
    <w:p>
      <w:pPr>
        <w:pStyle w:val="SourceNote"/>
      </w:pPr>
      <w:r>
        <w:rPr>
          <w:b/>
        </w:rPr>
        <w:t>Available abstract (not full text):</w:t>
      </w:r>
      <w:r>
        <w:t xml:space="preserve"> Climate change is significantly altering the distribution, seasonality, and transmission dynamics of vector-borne diseases, posing an increasing public health concern, particularly in regions previously considered at low risk. Key climatic variables, including temperature, precipitation, and humidity, strongly influence vector survival, reproduction, and pathogen transmission capacity. This review provides an overview of current evidence on the relationship between climate change, vector ecology, and vector-borne disease epidemiology in Europe, based on evidence extracted from peer-reviewed literature published between 2010 and 2024 and retrieved from PubMed, Scopus, and Web of Science. Particular attention is given to vector-borne diseases with current or potential relevance to Europe. This includes infections that are already endemic, such as leishmaniasis and tick-borne encephalitis, as well as diseases currently imported, such as malaria, dengue, chikungunya, Zika, yellow fever, and Chagas disease, that may pose a future risk of local transmission due to climate-driven changes in vector distribution and abundance. The analysis highlights potential health and economic impacts, and discusses implications for public health preparedness, environmental sanitation, surveillance, and vector control strategies. Strengthening adaptive and mitigation policies, alongside targeted rese</w:t>
      </w:r>
    </w:p>
    <w:p>
      <w:pPr/>
      <w:r>
        <w:rPr>
          <w:b/>
        </w:rPr>
        <w:t>POSSIBLE 2026:</w:t>
      </w:r>
      <w:r>
        <w:t xml:space="preserve"> Beyond detection: assessing the environmental, economic, and social implications of UAV-based forest fire monitoring — https://doi.org/10.1016/j.tfp.2026.101413</w:t>
      </w:r>
    </w:p>
    <w:p>
      <w:pPr/>
      <w:r>
        <w:rPr>
          <w:b/>
        </w:rPr>
        <w:t>Shared claim-specific concepts:</w:t>
      </w:r>
      <w:r>
        <w:t xml:space="preserve"> environmental, implications, based; EU scope not established. This is a provisional connection, not an outcome finding.</w:t>
      </w:r>
    </w:p>
    <w:p>
      <w:pPr>
        <w:pStyle w:val="SourceNote"/>
      </w:pPr>
      <w:r>
        <w:rPr>
          <w:b/>
        </w:rPr>
        <w:t>Available abstract (not full text):</w:t>
      </w:r>
      <w:r>
        <w:t xml:space="preserve"> Wildfire monitoring technologies are increasingly promoted as tools for faster detection and more effective prevention, yet evidence on their broader environmental, economic, and social implications remains fragmented. This paper evaluates the environmental, economic, and social impacts of an Unmanned Aerial Vehicle (UAV)-based forest fire monitoring system supported by enhanced connectivity in an ex ante Lithuanian case study. A structured literature review was combined with a forward-looking empirical assessment comparing the proposed UAV system with fixed cameras, ground patrols, and helicopter surveillance within a common use-phase framework. The results show that fixed cameras have the lowest hourly environmental footprint and operational cost where permanent infrastructure is feasible. The UAV system performs less favourably than fixed cameras on these criteria, but substantially outperforms ground patrols and helicopter surveillance in terms of carbon emissions, biodiversity impact, and human health impact. Economically, UAV monitoring does not minimise routine hourly operating costs, yet it yields the highest avoided fire-related cost estimate per hectare, suggesting that its value lies in flexible, targeted monitoring rather than low-cost, continuous surveillance. Socially, stakeholders anticipated positive effects on technology development, economic development, and c</w:t>
      </w:r>
    </w:p>
    <w:p>
      <w:pPr/>
      <w:r>
        <w:rPr>
          <w:b/>
        </w:rPr>
        <w:t>POSSIBLE 2026:</w:t>
      </w:r>
      <w:r>
        <w:t xml:space="preserve"> The first RNAi ‐based biopesticide approved in the United States: regulatory implications for the European Union – the case of Ledprona (Calantha™) — https://doi.org/10.1002/ps.71219</w:t>
      </w:r>
    </w:p>
    <w:p>
      <w:pPr/>
      <w:r>
        <w:rPr>
          <w:b/>
        </w:rPr>
        <w:t>Shared claim-specific concepts:</w:t>
      </w:r>
      <w:r>
        <w:t xml:space="preserve"> here, environmental, implications, union, based, novel; EU scope visible. This is a provisional connection, not an outcome finding.</w:t>
      </w:r>
    </w:p>
    <w:p>
      <w:pPr>
        <w:pStyle w:val="SourceNote"/>
      </w:pPr>
      <w:r>
        <w:rPr>
          <w:b/>
        </w:rPr>
        <w:t>Available abstract (not full text):</w:t>
      </w:r>
      <w:r>
        <w:t xml:space="preserve"> RNA interference (RNAi), a naturally occurring gene-silencing mechanism, has emerged as a promising platform for developing innovative, non-genetically modified (GM) plant protection products. In the context of climate change, biodiversity loss, and growing resistance to traditional pesticides, the need for highly specific, environmentally compatible alternatives for sustainable pest management is increasing. RNAi-based sprays are a novel approach in which double-stranded RNA (dsRNA) molecules silence essential genes in target pests without acting like toxic conventional compounds. A significant advancement in this technology occurred with the 2023 approval of Calantha™ (Ledprona) in the USA, marking the first authorization of an RNAi-based biopesticide for agricultural use. Ledprona targets the Colorado potato beetle by silencing specific genes following foliar dsRNA application. Here, we summarize the mechanism of action, efficacy, environmental behavior, and safety assessment of Ledprona as evaluated by the US Environmental Protection Agency. In addition, we discuss the broader regulatory implications of this approval and highlight key challenges and opportunities for assessing and implementing RNAi-based plant protection products within the European Union's regulatory framework. © 2026 The Author(s). Pest Management Science published by John Wiley &amp; Sons Ltd on behalf of So</w:t>
      </w:r>
    </w:p>
    <w:p>
      <w:pPr/>
      <w:r>
        <w:rPr>
          <w:b/>
        </w:rPr>
        <w:t>POSSIBLE 2025:</w:t>
      </w:r>
      <w:r>
        <w:t xml:space="preserve"> Mapping socio-environmental policy integration in the European Union: A multilayer network approach — https://doi.org/10.1016/j.jclepro.2025.144792</w:t>
      </w:r>
    </w:p>
    <w:p>
      <w:pPr/>
      <w:r>
        <w:rPr>
          <w:b/>
        </w:rPr>
        <w:t>Shared claim-specific concepts:</w:t>
      </w:r>
      <w:r>
        <w:t xml:space="preserve"> union, based, approach; EU scope visible. This is a provisional connection, not an outcome finding.</w:t>
      </w:r>
    </w:p>
    <w:p>
      <w:pPr>
        <w:pStyle w:val="SourceNote"/>
      </w:pPr>
      <w:r>
        <w:rPr>
          <w:b/>
        </w:rPr>
        <w:t>Available abstract (not full text):</w:t>
      </w:r>
      <w:r>
        <w:t xml:space="preserve"> This paper faces the relevant task of assessing the integration of European countries when dealing with three paradigmatic socio-environmental themes: Circular Economy (CE), Energy Transition (ET), and Social Justice (SJ). Specifically, we aim to explore whether a similar behavior in facing one of the considered aspects is mirrored by similarity in the others. We move from a dataset composed of five variables for CE, two for ET, and three for SJ, representing yearly data for the quinquennium 2016–2020 and European countries. We build a multilayer network based on the ten variables having countries as nodes. Each layer/variable has weighted links based on countries’ similarity. Inter-layer links are created through a community detection exercise over the individual layers. This approach allows us to evaluate analogies, leading to the assessment of intra- and inter-layer policy integration. We find a relatively low level of integration at the European level and a high sensitivity to the number of detected communities, thus revealing the role of countries’ heterogeneity in driving integration.</w:t>
      </w:r>
    </w:p>
    <w:p>
      <w:pPr/>
      <w:r>
        <w:rPr>
          <w:b/>
        </w:rPr>
        <w:t>POSSIBLE 2025:</w:t>
      </w:r>
      <w:r>
        <w:t xml:space="preserve"> REGIONAL SOCIO-ECONOMIC CHANGES IN THE FACE OF DEVELOPMENT CONDITIONS IN THE EUROPEAN UNION — https://doi.org/10.29119/1641-3466.2025.220.5</w:t>
      </w:r>
    </w:p>
    <w:p>
      <w:pPr/>
      <w:r>
        <w:rPr>
          <w:b/>
        </w:rPr>
        <w:t>Shared claim-specific concepts:</w:t>
      </w:r>
      <w:r>
        <w:t xml:space="preserve"> assess, implications, union, approach; EU scope visible. This is a provisional connection, not an outcome finding.</w:t>
      </w:r>
    </w:p>
    <w:p>
      <w:pPr>
        <w:pStyle w:val="SourceNote"/>
      </w:pPr>
      <w:r>
        <w:rPr>
          <w:b/>
        </w:rPr>
        <w:t>Available abstract (not full text):</w:t>
      </w:r>
      <w:r>
        <w:t xml:space="preserve"> Purpose: To identify economic development trends in the European Union, the extent of which is driven by new dimensions of security and cohesion in the socio-economic development of regions, and to analyse and assess the impact of new crisis phenomena on changes in public expenditure to finance public investment projects in EU regions. Design/methodology/approach: The method of critical analysis of the literature on the subject, the method of comparative analysis and the method of time series analysis with the use of selected methods of descriptive statistics in the field of empirical and statistical data in the generic and territorial arrangement by selected categories of regional units were used. Findings: A group of issues was identified that can be regarded as important directions of investment activity, shaping economic processes and introducing changes in social relations and expectations in the EU. The economic differentiation of European regions at the NUTS 2 level was identified, as well as the directions of changes in the spatial disparities of investment potential in regions in Poland, taking into account changes resulting from crisis phenomena. Research limitations/implications: The presented research results are limited by the availability of empirical data in detailed territorial arrangements. Due to the currently observed factors of socio-economic instability, it</w:t>
      </w:r>
    </w:p>
    <w:p>
      <w:pPr/>
      <w:r>
        <w:rPr>
          <w:b/>
        </w:rPr>
        <w:t>POSSIBLE 2025:</w:t>
      </w:r>
      <w:r>
        <w:t xml:space="preserve"> A reform of value-added taxes on foods can have health, environmental and economic benefits in Europe — https://doi.org/10.1038/s43016-024-01097-5</w:t>
      </w:r>
    </w:p>
    <w:p>
      <w:pPr/>
      <w:r>
        <w:rPr>
          <w:b/>
        </w:rPr>
        <w:t>Shared claim-specific concepts:</w:t>
      </w:r>
      <w:r>
        <w:t xml:space="preserve"> environmental, based; EU scope visible. This is a provisional connection, not an outcome finding.</w:t>
      </w:r>
    </w:p>
    <w:p>
      <w:pPr>
        <w:pStyle w:val="SourceNote"/>
      </w:pPr>
      <w:r>
        <w:rPr>
          <w:b/>
        </w:rPr>
        <w:t>Available abstract (not full text):</w:t>
      </w:r>
      <w:r>
        <w:t xml:space="preserve"> Fiscal policies can provide important incentives for encouraging the dietary changes needed to achieve global policy targets. Across Europe, the foods relevant to health and the environment often incur reduced but non-zero value-added tax (VAT) rates at about half the maximum rates, which allows for providing both incentives and disincentives. Integrating economic, health and environmental modelling, we show that reforming VAT rates on foods, including increasing rates on meat and dairy, and reducing VAT rates on fruits and vegetables can improve diets and result in health, environmental and economic benefits in most European countries. The health improvements were primarily driven by reductions in VAT rates on fruits and vegetables, whereas most of the environmental and revenue benefits were driven by increased rates on meat and dairy. Our findings suggest that differentiating VAT rates based on health and environmental considerations can support changes towards healthier and more sustainable diets in Europe.</w:t>
      </w:r>
    </w:p>
    <w:p>
      <w:pPr/>
      <w:r>
        <w:rPr>
          <w:b/>
        </w:rPr>
        <w:t>POSSIBLE 2025:</w:t>
      </w:r>
      <w:r>
        <w:t xml:space="preserve"> Spatial Distribution Patterns, Environmental Drivers, and Hotspot Dynamics of the European Rabbit on a Mediterranean Island: Implications for Conservation and Management — https://doi.org/10.3390/biology14030225</w:t>
      </w:r>
    </w:p>
    <w:p>
      <w:pPr/>
      <w:r>
        <w:rPr>
          <w:b/>
        </w:rPr>
        <w:t>Shared claim-specific concepts:</w:t>
      </w:r>
      <w:r>
        <w:t xml:space="preserve"> assess, environmental, implications, balancing; EU scope visible. This is a provisional connection, not an outcome finding.</w:t>
      </w:r>
    </w:p>
    <w:p>
      <w:pPr>
        <w:pStyle w:val="SourceNote"/>
      </w:pPr>
      <w:r>
        <w:rPr>
          <w:b/>
        </w:rPr>
        <w:t>Available abstract (not full text):</w:t>
      </w:r>
      <w:r>
        <w:t xml:space="preserve"> The European rabbit (Oryctolagus cuniculus) presents a significant conservation and management challenge in Greece. While it has been listed in national biodiversity assessments, its population dynamics on the island of Lemnos demonstrate the characteristics of a highly adaptable and rapidly expanding species, exerting substantial ecological and economic impacts. Addressing this issue requires a spatially explicit understanding of its distribution patterns and habitat preferences, particularly given its extensive population growth over the past three decades. To this end, we conducted 40 field surveys across the island, documenting 1534 presence records of the species. We applied Kernel Density Estimation, Getis-Ord Gi *, and Anselin Local Moran’s I to identify the spatial distribution patterns and significant hotspots. A spatial lag model was used to quantify hotspot intensity and clustering dynamics, while abiotic, biotic, and anthropogenic factors were analyzed to assess habitat associations. Our results revealed that rabbit hotspots are predominantly concentrated in fertile lowland agroecosystems, with nearly 60% of high-density areas overlapping conservation zones. Soil and field conditions, grazing-supporting landscapes, and arable and subsidized agricultural areas emerged as significant predictors of O. cuniculus presence. The observed spatial dependencies indicated that</w:t>
      </w:r>
    </w:p>
    <w:p>
      <w:pPr/>
      <w:r>
        <w:rPr>
          <w:b/>
        </w:rPr>
        <w:t>POSSIBLE 2025:</w:t>
      </w:r>
      <w:r>
        <w:t xml:space="preserve"> ASSESSING THE ENVIRONMENTAL AND SOCIOECONOMIC CONSEQUENCES OF FOSSIL FUEL ACTIVITIES IN NIGERIA: IMPLICATIONS FOR SUSTAINABLE DEVELOPMENT AND CLIMATE RESILIENCE — https://doi.org/10.32936/pssj.v9i3.752</w:t>
      </w:r>
    </w:p>
    <w:p>
      <w:pPr/>
      <w:r>
        <w:rPr>
          <w:b/>
        </w:rPr>
        <w:t>Shared claim-specific concepts:</w:t>
      </w:r>
      <w:r>
        <w:t xml:space="preserve"> environmental, implications; EU scope not established. This is a provisional connection, not an outcome finding.</w:t>
      </w:r>
    </w:p>
    <w:p>
      <w:pPr>
        <w:pStyle w:val="SourceNote"/>
      </w:pPr>
      <w:r>
        <w:rPr>
          <w:b/>
        </w:rPr>
        <w:t>Available abstract (not full text):</w:t>
      </w:r>
      <w:r>
        <w:t xml:space="preserve"> This study critically examines the environmental and social impacts of Nigeria’s fossil fuel dependency, focusing on pollution levels, health outcomes, and climate risk exposure within oil-producing regions. Utilizing a comprehensive dataset spanning 2015 to 2023, the analysis employs panel regression and instrumental variable techniques to address potential endogeneity and capture dynamic relationships. Results indicate that fossil fuel extraction and associated activities contribute to environmental degradation and increased vulnerability to climate risks, though the direct statistical significance of some effects remains limited, potentially due to data constraints. The findings underscore the complex interplay between economic development, environmental sustainability, and social wellbeing in resource-rich contexts. Policy recommendations emphasize the importance of strengthening regulatory frameworks, promoting renewable energy transitions, and enhancing community health infrastructure to mitigate adverse effects. The study contributes to the growing body of literature on sustainable development in fossil fuel-dependent economies and highlights avenues for future interdisciplinary research.</w:t>
      </w:r>
    </w:p>
    <w:p>
      <w:pPr/>
      <w:r>
        <w:rPr>
          <w:b/>
        </w:rPr>
        <w:t>POSSIBLE 2025:</w:t>
      </w:r>
      <w:r>
        <w:t xml:space="preserve"> ASSESSING THE IMPACT OF CLIMATE CHANGE ON SUSTAINABLE AGRICULTURAL SYSTEMS IN EASTERN EUROPE: THE ROLE OF LANGUAGE IN ENVIRONMENTAL AWARENESS — https://doi.org/10.59463/rjas.2025.3.39</w:t>
      </w:r>
    </w:p>
    <w:p>
      <w:pPr/>
      <w:r>
        <w:rPr>
          <w:b/>
        </w:rPr>
        <w:t>Shared claim-specific concepts:</w:t>
      </w:r>
      <w:r>
        <w:t xml:space="preserve"> assess, environmental, novel, approach; EU scope visible. This is a provisional connection, not an outcome finding.</w:t>
      </w:r>
    </w:p>
    <w:p>
      <w:pPr>
        <w:pStyle w:val="SourceNote"/>
      </w:pPr>
      <w:r>
        <w:rPr>
          <w:b/>
        </w:rPr>
        <w:t>Available abstract (not full text):</w:t>
      </w:r>
      <w:r>
        <w:t xml:space="preserve"> Climate change poses a significant threat to agricultural sustainability in Eastern Europe, a region characterized by its economic reliance on farming and high vulnerability to climatic shifts.This study adopts a novel, transdisciplinary approach to assess this challenge, integrating agronomic analysis with sociolinguistic inquiry.We investigate the dual hypothesis that climate change is directly impacting the biophysical foundations of sustainable agricultural systems (e.g., soil health, water availability, crop yields) in the region, and that the efficacy of adaptation and mitigation strategies is critically mediated by language and communication.The research employed a mixed-methods design, combining quantitative analysis of climate and agricultural data from national and EU databases with qualitative discourse analysis of agricultural policy documents and media reports, alongside surveys and focus group discussions with farmers in Poland, Romania, and Bulgaria.Our findings confirm a significant trend of rising temperatures, altered precipitation patterns, and increased frequency of extreme weather events, which correlate with heightened soil erosion and water stress, challenging the principles of sustainability.Crucially, the linguistic analysis revealed that the framing of climate change and sustainable practices varies dramatically across different discourse communities.S</w:t>
      </w:r>
    </w:p>
    <w:p>
      <w:pPr/>
      <w:r>
        <w:rPr>
          <w:b/>
        </w:rPr>
        <w:t>POSSIBLE 2025:</w:t>
      </w:r>
      <w:r>
        <w:t xml:space="preserve"> Assessing the environmental, social and economic sustainability of beekeeping activities — https://doi.org/10.1080/00218839.2025.2531315</w:t>
      </w:r>
    </w:p>
    <w:p>
      <w:pPr/>
      <w:r>
        <w:rPr>
          <w:b/>
        </w:rPr>
        <w:t>Shared claim-specific concepts:</w:t>
      </w:r>
      <w:r>
        <w:t xml:space="preserve"> here, environmental, union, diagnostic, approach; EU scope visible. This is a provisional connection, not an outcome finding.</w:t>
      </w:r>
    </w:p>
    <w:p>
      <w:pPr>
        <w:pStyle w:val="SourceNote"/>
      </w:pPr>
      <w:r>
        <w:rPr>
          <w:b/>
        </w:rPr>
        <w:t>Available abstract (not full text):</w:t>
      </w:r>
      <w:r>
        <w:t xml:space="preserve"> The beekeeping sector faces several socio-economic problems and environmental stressors, from increased prices of pharmaceuticals to habitat loss or pesticides. Our study aims to better understand the variables driving the performance of beekeeping activities across the environmental, social, and economic dimensions and derive a diagnostic system. We gathered data on 29 basic indicators from a survey of 66 beekeeping activities located in Lombardy region (Italy), covering a wide range of sizes, experience, and management strategies. We applied a stepwise simplification of the information by which the 29 basic indicators are synthetized in 13 “sub-dimensions” and lastly in three “dimensions” through: (1) identification of the range of variation and normalization and (2) weighting and aggregation. The end user can make a quantitative analysis by relating beekeeping activity performance to the theoretical optimum. Here, years of experience together with activity size were the most relevant factors affecting sustainability. Beekeepers with more experience and larger activities showed higher economic sustainability together with a greater environmental pollination service. Transhumance practice and geographical location were also relevant, with exclusively or partially transhumant beekeepers showing higher economic sustainability than stationary ones, and apiaries located in the low</w:t>
      </w:r>
    </w:p>
    <w:p>
      <w:pPr/>
      <w:r>
        <w:rPr>
          <w:b/>
        </w:rPr>
        <w:t>POSSIBLE 2024:</w:t>
      </w:r>
      <w:r>
        <w:t xml:space="preserve"> HANZE v2.1: an improved database of flood impacts in Europe from 1870 to 2020 — https://doi.org/10.5194/essd-16-5145-2024</w:t>
      </w:r>
    </w:p>
    <w:p>
      <w:pPr/>
      <w:r>
        <w:rPr>
          <w:b/>
        </w:rPr>
        <w:t>Shared claim-specific concepts:</w:t>
      </w:r>
      <w:r>
        <w:t xml:space="preserve"> here, union;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pStyle w:val="Heading2"/>
      </w:pPr>
      <w:r>
        <w:t>541. Implementing Systemic Innovation Strategies for a More Sustainable Future: The Case of Three Overseas Countries and Territories</w:t>
      </w:r>
    </w:p>
    <w:p>
      <w:pPr>
        <w:pStyle w:val="SourceNote"/>
      </w:pPr>
      <w:r>
        <w:rPr>
          <w:b/>
        </w:rPr>
        <w:t>Original source (2022):</w:t>
      </w:r>
      <w:r>
        <w:t xml:space="preserve"> https://doi.org/10.3389/frma.2021.801789</w:t>
      </w:r>
    </w:p>
    <w:p>
      <w:pPr/>
      <w:r>
        <w:t>Original wording (abstract; indexed_source_text_not_full_document_verified): We conclude by discussing the potential implications of this foresight approach for the sustainable development and transformation of other less-favoured regions and territories.</w:t>
      </w:r>
    </w:p>
    <w:p>
      <w:pPr/>
      <w:r>
        <w:rPr>
          <w:b/>
        </w:rPr>
        <w:t>POSSIBLE 2026:</w:t>
      </w:r>
      <w:r>
        <w:t xml:space="preserve"> Concluding Comments — https://doi.org/10.4324/9781003645337-16</w:t>
      </w:r>
    </w:p>
    <w:p>
      <w:pPr/>
      <w:r>
        <w:rPr>
          <w:b/>
        </w:rPr>
        <w:t>Shared claim-specific concepts:</w:t>
      </w:r>
      <w:r>
        <w:t xml:space="preserve"> potential, implications; EU scope not established. This is a provisional connection, not an outcome finding.</w:t>
      </w:r>
    </w:p>
    <w:p>
      <w:pPr>
        <w:pStyle w:val="SourceNote"/>
      </w:pPr>
      <w:r>
        <w:rPr>
          <w:b/>
        </w:rPr>
        <w:t>Available abstract (not full text):</w:t>
      </w:r>
      <w:r>
        <w:t xml:space="preserve"> The final chapter reflects on the broader implications of Integrative Systemic Therapy (IST) for clinical practice with children, adolescents, and families. It revisits the core principles of the model and highlights its capacity to integrate diverse theoretical perspectives while maintaining a clear clinical focus. The chapter discusses the relevance of IST in contemporary practice and its potential for ongoing development. It also considers how therapists can continue to refine their skills and adapt the framework to new contexts and challenges. The book concludes by emphasizing the importance of collaboration, flexibility, and systemic thinking in supporting families through processes of change and adaptation.</w:t>
      </w:r>
    </w:p>
    <w:p>
      <w:pPr/>
      <w:r>
        <w:rPr>
          <w:b/>
        </w:rPr>
        <w:t>POSSIBLE 2026:</w:t>
      </w:r>
      <w:r>
        <w:t xml:space="preserve"> FORESIGHT AS AN INNOVATIVE METHOD OF BUSINESS DEVELOPMENT: FROM PREDICTION TO CONSTRUCTING THE FUTURE — https://doi.org/10.36871/ek.up.p.r.2026.01.12.018</w:t>
      </w:r>
    </w:p>
    <w:p>
      <w:pPr/>
      <w:r>
        <w:rPr>
          <w:b/>
        </w:rPr>
        <w:t>Shared claim-specific concepts:</w:t>
      </w:r>
      <w:r>
        <w:t xml:space="preserve"> foresight, approach; EU scope not established. This is a provisional connection, not an outcome finding.</w:t>
      </w:r>
    </w:p>
    <w:p>
      <w:pPr>
        <w:pStyle w:val="SourceNote"/>
      </w:pPr>
      <w:r>
        <w:rPr>
          <w:b/>
        </w:rPr>
        <w:t>Available abstract (not full text):</w:t>
      </w:r>
      <w:r>
        <w:t xml:space="preserve"> In the context of growing uncertainty and accelerating technological change, traditional forecasting methods are no longer sufficient for strategic business management. The purpose of this article is to reveal the essence of foresight as an innovative method of business development, to characterize its methodological apparatus and to show the possibilities of practical application based on the analysis of foreign and domestic experience, including the prospects for adapting the method for small and medium-sized businesses. This article focuses on foresight — an innovative approach to working with the future, which is actively used in the corporate sector to identify new opportunities, reduce risks, and formulate long-term strategy. The theoretical foundations of foresight, its differences from classical forecasting, key methods (horizon scanning, Delphi method, scenario planning, roadmaps, morphological analysis) and implementation stages are examined. Examples of foresight application in foreign and Russian companies, including the experience of small and medium-sized businesses, are provided, and the advantages and limitations of the method are discussed. Special attention is paid to current trends — the digitalization of foresight and its integration with the Agile approach. It is concluded that foresight is becoming an essential tool for innovative development, enabling bus</w:t>
      </w:r>
    </w:p>
    <w:p>
      <w:pPr/>
      <w:r>
        <w:rPr>
          <w:b/>
        </w:rPr>
        <w:t>POSSIBLE 2026:</w:t>
      </w:r>
      <w:r>
        <w:t xml:space="preserve"> The next episode for narrative foresight — https://doi.org/10.1016/j.futures.2026.103876</w:t>
      </w:r>
    </w:p>
    <w:p>
      <w:pPr/>
      <w:r>
        <w:rPr>
          <w:b/>
        </w:rPr>
        <w:t>Shared claim-specific concepts:</w:t>
      </w:r>
      <w:r>
        <w:t xml:space="preserve"> conclude, foresight, approach;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Designing a pluriversal foresight epistemology and schematic, an essay — https://doi.org/10.1186/s40309-026-00296-6</w:t>
      </w:r>
    </w:p>
    <w:p>
      <w:pPr/>
      <w:r>
        <w:rPr>
          <w:b/>
        </w:rPr>
        <w:t>Shared claim-specific concepts:</w:t>
      </w:r>
      <w:r>
        <w:t xml:space="preserve"> foresight, approach, territories; EU scope not established. This is a provisional connection, not an outcome finding.</w:t>
      </w:r>
    </w:p>
    <w:p>
      <w:pPr>
        <w:pStyle w:val="SourceNote"/>
      </w:pPr>
      <w:r>
        <w:rPr>
          <w:b/>
        </w:rPr>
        <w:t>Available abstract (not full text):</w:t>
      </w:r>
      <w:r>
        <w:t xml:space="preserve"> This article emerges from a reflection on how current global transitions and paradigm shift (the Anthropocene, Artificial Intelligence revolution and post-colonial era being some of its markers) impact conventional western epistemologies; could it be possible, in the more open field of futures research, to explore an innovative pluralistic epistemological position? An academic research project on futurescaping , which includes an experiment on the future of museums, i.e. organizations deeply impacted by these transitions, becomes a context to engage an investigation shared in this article—following a presentation at the WFSF 26th Conference 2025, Stellenbosch University, Cape Town. The method consists in revisiting and continuing the post-structural and decolonial approach of foresight epistemology developed by Inayatullah [ 1 ] in his seminal essay Deconstructing Reconstructing the Future published in 1990, which already highlighted the limits of western epistemologies. Each of the three reviewed epistemology categories (predictive-positivist, cultural-hermeneutic, and critical-post-structural) is confronted with the current critical challenges mentioned before and enriched by new theoretical inputs to bridge and weave western and non-western knowledge towards the design of what could be a pluriversal epistemology. Its conceptual architecture takes the shape of a foundational </w:t>
      </w:r>
    </w:p>
    <w:p>
      <w:pPr/>
      <w:r>
        <w:rPr>
          <w:b/>
        </w:rPr>
        <w:t>POSSIBLE 2026:</w:t>
      </w:r>
      <w:r>
        <w:t xml:space="preserve"> Foresight Insight for the Transformational Imperative: Toward a Futures-Oriented Evaluation Practice — https://doi.org/10.56645/jmde.v22i53.1315</w:t>
      </w:r>
    </w:p>
    <w:p>
      <w:pPr/>
      <w:r>
        <w:rPr>
          <w:b/>
        </w:rPr>
        <w:t>Shared claim-specific concepts:</w:t>
      </w:r>
      <w:r>
        <w:t xml:space="preserve"> foresight, approach, transformation; EU scope not established. This is a provisional connection, not an outcome finding.</w:t>
      </w:r>
    </w:p>
    <w:p>
      <w:pPr>
        <w:pStyle w:val="SourceNote"/>
      </w:pPr>
      <w:r>
        <w:rPr>
          <w:b/>
        </w:rPr>
        <w:t>Available abstract (not full text):</w:t>
      </w:r>
      <w:r>
        <w:t xml:space="preserve"> This article argues that evaluation must radically reorient to meet the transformational imperative posed by the global polycrisis. It critiques evaluation-as-usual (e.g., retrospective, technocratic, and short-term) for reinforcing the systems it purports to assess, and proposes Transformative Foresight (TF) as not merely a technical shift, but as a paradigmatic reorientation that integrates anticipatory, participatory, and decolonial practices into evaluation, moving beyond incremental improvement toward systemic transformation. The authors use three TF subtypes—Trauma-Transformative, Queer, and Indigenous Foresight—that center healing, justice, and relationality in how futures are imagined, evidenced, and governed. A mini case study supports each subtype. This approach expands validity, rigor, and evidence to include affect, stories, ritual, and futures consciousness, and cultivate H2+ niches within the Three Horizons framework. Using Causal Layered Analysis and the Twelve Principles of Transformation-Focused Evaluation as scaffolds, the article repositions evaluators as companions of systemic transition rather than neutral auditors. It concludes with suggestions for funders, evaluators, and communities. They should adopt foresight-driven, justice-oriented practices. This will help make evaluation an anticipatory, reparative, and ecological tool. Together, they can co-create</w:t>
      </w:r>
    </w:p>
    <w:p>
      <w:pPr/>
      <w:r>
        <w:rPr>
          <w:b/>
        </w:rPr>
        <w:t>POSSIBLE 2026:</w:t>
      </w:r>
      <w:r>
        <w:t xml:space="preserve"> The Three Fashion Times: A multitemporal framework towards a fashion foresight approach — https://doi.org/10.1016/j.futures.2026.103772</w:t>
      </w:r>
    </w:p>
    <w:p>
      <w:pPr/>
      <w:r>
        <w:rPr>
          <w:b/>
        </w:rPr>
        <w:t>Shared claim-specific concepts:</w:t>
      </w:r>
      <w:r>
        <w:t xml:space="preserve"> foresight, approach, sustainable; EU scope not established. This is a provisional connection, not an outcome finding.</w:t>
      </w:r>
    </w:p>
    <w:p>
      <w:pPr>
        <w:pStyle w:val="SourceNote"/>
      </w:pPr>
      <w:r>
        <w:rPr>
          <w:b/>
        </w:rPr>
        <w:t>Available abstract (not full text):</w:t>
      </w:r>
      <w:r>
        <w:t xml:space="preserve"> Drawing on a reflection-in-action methodological approach, this paper proposes a three-layered temporal framework that transcends the short-termism of fashion trends to embrace a more complex perspective on fashion and futures. The Three Fashion Times comprises distinct yet interconnected temporalities that aim to conceptually inform alternative futures-thinking practices in the fashion field, more closely aligned with foresight and the deep roots of sustainability. Ultimately, this multilayered framework advocates for an expanded understanding of the relationships between fashion and time, suggesting conceptual seeds for illuminating paths for a fashion foresight practice through which fashion can become truly sustainable.</w:t>
      </w:r>
    </w:p>
    <w:p>
      <w:pPr/>
      <w:r>
        <w:rPr>
          <w:b/>
        </w:rPr>
        <w:t>POSSIBLE 2026:</w:t>
      </w:r>
      <w:r>
        <w:t xml:space="preserve"> Strategic Foresight for FinTech Governance: A Scenario-Based MCDA Approach for Kuwait — https://doi.org/10.3390/fintech5010008</w:t>
      </w:r>
    </w:p>
    <w:p>
      <w:pPr/>
      <w:r>
        <w:rPr>
          <w:b/>
        </w:rPr>
        <w:t>Shared claim-specific concepts:</w:t>
      </w:r>
      <w:r>
        <w:t xml:space="preserve"> foresight, approach, other; EU scope not established. This is a provisional connection, not an outcome finding.</w:t>
      </w:r>
    </w:p>
    <w:p>
      <w:pPr>
        <w:pStyle w:val="SourceNote"/>
      </w:pPr>
      <w:r>
        <w:rPr>
          <w:b/>
        </w:rPr>
        <w:t>Available abstract (not full text):</w:t>
      </w:r>
      <w:r>
        <w:t xml:space="preserve"> This study investigates how strategic foresight can enhance FinTech governance and policy resilience in emerging economies, using Kuwait as an illustrative case. It aims to identify which foresight interventions should be prioritized across alternative futures to strengthen innovation, security, and institutional adaptability within the digital finance ecosystem. A scenario-based Multi-Criteria Decision Analysis (MCDA) framework is applied, combining the Analytic Hierarchy Process (AHP) and the Technique for Order Preference by Similarity to Ideal Solution (TOPSIS). Expert evaluations were conducted to assess five foresight interventions against eight policy and performance criteria across three plausible scenarios: Optimistic Growth, Status Quo, and Crisis and Contraction. Sensitivity analyses were performed to validate the stability of intervention rankings. The results reveal distinct priorities under each scenario: SME-oriented digital finance platforms and talent development dominate under growth and stability, while cybersecurity investment becomes paramount during crisis conditions. Regulatory fast-tracking maintains a consistent, moderate influence across all contexts. These outcomes underscore the need for adaptive, context-sensitive policy design that accommodates uncertainty. The framework provides policymakers with a structured approach to align FinTech strategies w</w:t>
      </w:r>
    </w:p>
    <w:p>
      <w:pPr/>
      <w:r>
        <w:rPr>
          <w:b/>
        </w:rPr>
        <w:t>POSSIBLE 2025:</w:t>
      </w:r>
      <w:r>
        <w:t xml:space="preserve"> Concluding Remarks — https://doi.org/10.1017/9781009381437.012</w:t>
      </w:r>
    </w:p>
    <w:p>
      <w:pPr/>
      <w:r>
        <w:rPr>
          <w:b/>
        </w:rPr>
        <w:t>Shared claim-specific concepts:</w:t>
      </w:r>
      <w:r>
        <w:t xml:space="preserve"> conclude, potential, approach, other; EU scope not established. This is a provisional connection, not an outcome finding.</w:t>
      </w:r>
    </w:p>
    <w:p>
      <w:pPr>
        <w:pStyle w:val="SourceNote"/>
      </w:pPr>
      <w:r>
        <w:rPr>
          <w:b/>
        </w:rPr>
        <w:t>Available abstract (not full text):</w:t>
      </w:r>
      <w:r>
        <w:t xml:space="preserve"> Chapter 11 starts with embedding the framework of Direction Dependence Analysis (DDA) into the methodological landscape of approaches to establishing causal effects. Specifically, it discusses the role of DDA relative to randomized experiments and describes three application scenarios in which DDA provides novel insights into the causal mechanisms underlying variable relations. It then discusses the use of statistical principles of DDA that emerge from incorporating non-Gaussianity information in existing methods for causal inference such as instrumental variable estimation, cross-lagged panel modeling, Granger-causality testing, and estimating models of reciprocal causation. For each approach, we outline how and to what extent principles of DDA can aid the pursuit of consistently estimating causal effects. The chapter closes with potential extensions of DDA principles to the categorical data domain and a reminder of the importance of data quality when applying DDA in practice. Here, it focuses on potential adverse effects of measurement error, the role of psychometric measurement of constructs of interest, and other forms of data contamination that can bias DDA decisions (e.g., ceiling/floor effects). Overall, however, we conclude that DDA and related methods that use non-Gaussian information for studying causation constitute an exciting and developing field of methods researc</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conclude, implications, foresight, approach, regions;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Exploring Pathways for Change: A Practice‐Oriented Integration of Foresight and Sustainability Transitions — https://doi.org/10.1002/ffo2.209</w:t>
      </w:r>
    </w:p>
    <w:p>
      <w:pPr/>
      <w:r>
        <w:rPr>
          <w:b/>
        </w:rPr>
        <w:t>Shared claim-specific concepts:</w:t>
      </w:r>
      <w:r>
        <w:t xml:space="preserve"> potential, foresight, sustainable, transformation; EU scope not established. This is a provisional connection, not an outcome finding.</w:t>
      </w:r>
    </w:p>
    <w:p>
      <w:pPr>
        <w:pStyle w:val="SourceNote"/>
      </w:pPr>
      <w:r>
        <w:rPr>
          <w:b/>
        </w:rPr>
        <w:t>Available abstract (not full text):</w:t>
      </w:r>
      <w:r>
        <w:t xml:space="preserve"> ABSTRACT The world is on a trajectory to exceed the 1.5‐degree target set by the Paris Agreement. As the effects of climate change become increasingly evident, there is a pressing need to fundamentally transform our societies towards just and sustainable futures. This paper presents a practical methodology for guiding collaborative transformation processes towards sustainability. Our aim is to contribute to the development of tools that combine insights from foresight with theories from the sustainability transitions literature, specifically scenario planning and multi‐level perspective (MLP) approaches. Foresight and sustainability transitions both aim to understand long‐term trends shaping production and consumption systems and guide transitions to more desirable socio‐technical regimes. However, few scholars have examined overlaps between the fields and explored the potential for practical integration in workshop settings. The MLP can benefit from scenario planning by incorporating directionality and pluralism of futures in transition processes, while the MLP provides a structure for understanding system dynamics and socio‐technical change to scenario planning. In this paper, we share our experiences using an integrated MLP‐scenario planning framework in a workshop setting where actors from the Swedish food system explored prospective transitions. Using backcasting and pre‐m</w:t>
      </w:r>
    </w:p>
    <w:p>
      <w:pPr/>
      <w:r>
        <w:rPr>
          <w:b/>
        </w:rPr>
        <w:t>POSSIBLE 2025:</w:t>
      </w:r>
      <w:r>
        <w:t xml:space="preserve"> Exploring the future of occupational safety research: A strategic foresight approach — https://doi.org/10.1080/15459624.2025.2537397</w:t>
      </w:r>
    </w:p>
    <w:p>
      <w:pPr/>
      <w:r>
        <w:rPr>
          <w:b/>
        </w:rPr>
        <w:t>Shared claim-specific concepts:</w:t>
      </w:r>
      <w:r>
        <w:t xml:space="preserve"> potential, foresight, approach; EU scope not established. This is a provisional connection, not an outcome finding.</w:t>
      </w:r>
    </w:p>
    <w:p>
      <w:pPr>
        <w:pStyle w:val="SourceNote"/>
      </w:pPr>
      <w:r>
        <w:rPr>
          <w:b/>
        </w:rPr>
        <w:t>Available abstract (not full text):</w:t>
      </w:r>
      <w:r>
        <w:t xml:space="preserve"> A team from the U.S. National Institute for Occupational Safety and Health conducted a strategic foresight project to explore the future of occupational safety research (OSR). Data collected via systematic horizon scanning and key informant interviews were synthesized into six drivers of OSR change: (1) technological advancement, (2) partnerships and public trust, (3) prioritizing research investments, (4) safety and health integration, (5) data and science quality, and (6) worker protections. These drivers served as the basis for envisioning four potential OSR futures. Analysis of the resulting scenarios identified opportunities to enhance and advance OSR methods and approaches, innovation, systems thinking, interpersonal networks and connections, and the ethical application of scientific findings as we move into the future of work.</w:t>
      </w:r>
    </w:p>
    <w:p>
      <w:pPr/>
      <w:r>
        <w:rPr>
          <w:b/>
        </w:rPr>
        <w:t>POSSIBLE 2025:</w:t>
      </w:r>
      <w:r>
        <w:t xml:space="preserve"> The role of foresight in public policy: lessons from deliberative democracy and perspectival realism — https://doi.org/10.1186/s40309-024-00246-0</w:t>
      </w:r>
    </w:p>
    <w:p>
      <w:pPr/>
      <w:r>
        <w:rPr>
          <w:b/>
        </w:rPr>
        <w:t>Shared claim-specific concepts:</w:t>
      </w:r>
      <w:r>
        <w:t xml:space="preserve"> foresight, approach; EU scope not established. This is a provisional connection, not an outcome finding.</w:t>
      </w:r>
    </w:p>
    <w:p>
      <w:pPr>
        <w:pStyle w:val="SourceNote"/>
      </w:pPr>
      <w:r>
        <w:rPr>
          <w:b/>
        </w:rPr>
        <w:t>Available abstract (not full text):</w:t>
      </w:r>
      <w:r>
        <w:t xml:space="preserve"> Abstract Foresight plays an important role in public policy development. The foresight learning process brings together various actors in the policy community and incentivizes them to think about the future. It encourages new ways of thinking and approaches to strategy and is a practical approach to using the future to inform decisions and actions in the present. Foresight faces challenges in becoming embedded in the policy process. One of these challenges is in establishing its epistemic authority when compared to natural science and social science disciplines. This paper argues foresight can benefit from developments in political theory and philosophy of science. Democratic deliberation is an approach to public discourse which emphasizes pluralism in debate and provides a detailed account of how reason-giving can add epistemic depth to foresight’s contribution to policy. Perspectival realism is a theory in philosophy of science which identifies the interplay between separate epistemic communities as the key mechanism in scientific development. The modal models that these epistemic communities create present a new way of understanding foresight’s study of the future and its part in the weave of scientific evidence, opinion and analysis that constitute policy development in a democratic society.</w:t>
      </w:r>
    </w:p>
    <w:p>
      <w:pPr>
        <w:pStyle w:val="Heading2"/>
      </w:pPr>
      <w:r>
        <w:t>542. Integrated energy planning to meet 2050 European targets: A Southern Italian region case study</w:t>
      </w:r>
    </w:p>
    <w:p>
      <w:pPr>
        <w:pStyle w:val="SourceNote"/>
      </w:pPr>
      <w:r>
        <w:rPr>
          <w:b/>
        </w:rPr>
        <w:t>Original source (2022):</w:t>
      </w:r>
      <w:r>
        <w:t xml:space="preserve"> https://doi.org/10.1016/j.esr.2022.100844</w:t>
      </w:r>
    </w:p>
    <w:p>
      <w:pPr/>
      <w:r>
        <w:t>Original wording (abstract; indexed_source_text_not_full_document_verified): The 2030 ‘transition scenario’ is characterized by a reduction in GHG emissions. The results obtained show that the 2030 ‘transition’ scenario is characterized by a reduction in the “1990 CO2 emissions” of approximately 45%.</w:t>
      </w:r>
    </w:p>
    <w:p>
      <w:pPr/>
      <w:r>
        <w:rPr>
          <w:b/>
        </w:rPr>
        <w:t>POSSIBLE 2026:</w:t>
      </w:r>
      <w:r>
        <w:t xml:space="preserve"> Circular Economy and Energy Transition as Drivers of Carbon Emission Reduction: Evidence from Central and Eastern European Countries — https://doi.org/10.3390/su18147209</w:t>
      </w:r>
    </w:p>
    <w:p>
      <w:pPr/>
      <w:r>
        <w:rPr>
          <w:b/>
        </w:rPr>
        <w:t>Shared claim-specific concepts:</w:t>
      </w:r>
      <w:r>
        <w:t xml:space="preserve"> transition, reduction, emissions; EU scope visible. This is a provisional connection, not an outcome finding.</w:t>
      </w:r>
    </w:p>
    <w:p>
      <w:pPr>
        <w:pStyle w:val="SourceNote"/>
      </w:pPr>
      <w:r>
        <w:rPr>
          <w:b/>
        </w:rPr>
        <w:t>Available abstract (not full text):</w:t>
      </w:r>
      <w:r>
        <w:t xml:space="preserve"> Reducing carbon emissions has become a central objective of sustainable development policies as countries seek to address the environmental challenges associated with climate change and resource depletion. In this context, circular economy practices and energy transition policies have emerged as key mechanisms for achieving environmental sustainability. This study examines the determinants of carbon emissions within the framework of the circular economy and energy transition for selected Central and Eastern European countries (Romania, Poland, Hungary, Bulgaria, Slovakia, and Slovenia) over the period 2010–2024. Using panel data analysis, the study incorporates key variables including circular economy, economic growth, recycling, renewable energy consumption, and urbanization. To enhance the reliability of the empirical estimates, panel unit root tests, the Hausman specification test, fixed-effects estimation, and Driscoll–Kraay robust standard errors are employed to address heteroskedasticity, serial correlation, and cross-sectional dependence. The results indicate that improvements in circular economy practices together with greater renewable energy use are associated with lower carbon emissions, providing empirical support for the proposed hypotheses. Recycling activities are found to increase emissions in the short run, indicating energy-intensive processes. In contrast, th</w:t>
      </w:r>
    </w:p>
    <w:p>
      <w:pPr/>
      <w:r>
        <w:rPr>
          <w:b/>
        </w:rPr>
        <w:t>POSSIBLE 2026:</w:t>
      </w:r>
      <w:r>
        <w:t xml:space="preserve"> Spatial Analysis of the Progress of Energy Transition in Europe — https://doi.org/10.3390/en19020353</w:t>
      </w:r>
    </w:p>
    <w:p>
      <w:pPr/>
      <w:r>
        <w:rPr>
          <w:b/>
        </w:rPr>
        <w:t>Shared claim-specific concepts:</w:t>
      </w:r>
      <w:r>
        <w:t xml:space="preserve"> transition, emissions, obtained; EU scope visible. This is a provisional connection, not an outcome finding.</w:t>
      </w:r>
    </w:p>
    <w:p>
      <w:pPr>
        <w:pStyle w:val="SourceNote"/>
      </w:pPr>
      <w:r>
        <w:rPr>
          <w:b/>
        </w:rPr>
        <w:t>Available abstract (not full text):</w:t>
      </w:r>
      <w:r>
        <w:t xml:space="preserve"> The aim of the presented research was to conduct a spatial analysis of the progress of energy transition in countries of the European Union. The energy transition is understood as replacing fossil fuels with renewable energy sources, reducing greenhouse gas emissions, and improving the energy efficiency of the EU economy. The analysis used statistical data obtained from Eurostat. These data were subjected to spatial analysis, enabling the identification of hot spots and clusters representing spatial variations in the degree of transformation progress. This allowed for the identification of countries with similar dynamics of change, as well as the differences between clusters. The weights of the explanatory variables and the energy transition progress index (ETPI) were also determined. The results obtained allowed the proposal of strategies and energy policies for individual clusters. The ETPI clearly shows that more than half of the EU countries have values of this index below their average. The maximum value of the index is 67% (for Denmark), and only two countries achieved an index of 50%. Therefore, even the leaders of the transition did not achieve their goals completely. There are still areas that need improvement, such as the decarbonization of transportation, industry, and construction. Countries that are lagging behind in their transition should implement measures to ac</w:t>
      </w:r>
    </w:p>
    <w:p>
      <w:pPr/>
      <w:r>
        <w:rPr>
          <w:b/>
        </w:rPr>
        <w:t>POSSIBLE 2026:</w:t>
      </w:r>
      <w:r>
        <w:t xml:space="preserve"> UKRAINE’S TRANSITION TO THE EUROPEAN VERTICAL REFERENCE SYSTEM (EVRS): GEODETIC PRECONDITIONS AND SPATIAL IMPLICATIONS — https://doi.org/10.25128/2519-4577.26.1.13</w:t>
      </w:r>
    </w:p>
    <w:p>
      <w:pPr/>
      <w:r>
        <w:rPr>
          <w:b/>
        </w:rPr>
        <w:t>Shared claim-specific concepts:</w:t>
      </w:r>
      <w:r>
        <w:t xml:space="preserve"> transition, characterized, reduction; EU scope visible. This is a provisional connection, not an outcome finding.</w:t>
      </w:r>
    </w:p>
    <w:p>
      <w:pPr>
        <w:pStyle w:val="SourceNote"/>
      </w:pPr>
      <w:r>
        <w:rPr>
          <w:b/>
        </w:rPr>
        <w:t>Available abstract (not full text):</w:t>
      </w:r>
      <w:r>
        <w:t xml:space="preserve"> The purpose of this article is to analyze the geodetic prerequisites, methodological foundations, and spatial consequences of Ukraine’s transition from the Baltic Height System of 1977 (BHS-77) to the European Vertical Reference System (EVRS). The study focuses on substantiating the necessity of implementing a unified and modern vertical reference framework as a basis for improving the accuracy, consistency, and interoperability of national geospatial data. Particular attention is paid to the regional distribution of height differences between BHS-77 and EVRS, as well as to the role of EVRF2019_AMST/NH in harmonizing height data with European geodetic standards. The impact of the selected vertical reference system on the quality of digital elevation models (DEM), spatial analysis, and geoinformation products is also examined. Methodology. The research is based on a systematic analysis of regulatory documents governing the implementation of EVRS, as well as a review of scientific publications devoted to vertical reference systems, geoid and quasigeoid modeling, and precise levelling. A comparative assessment of the characteristics of BHS-77 and EVRS was conducted using official cartographic materials, results of the European Vertical Reference Frame EVRF2019, and GNSS-derived height data. Methods of spatial analysis and cartographic generalization were applied to identify region</w:t>
      </w:r>
    </w:p>
    <w:p>
      <w:pPr/>
      <w:r>
        <w:rPr>
          <w:b/>
        </w:rPr>
        <w:t>POSSIBLE 2026:</w:t>
      </w:r>
      <w:r>
        <w:t xml:space="preserve"> Green Transition in Europe: The Effectiveness of Environmental Taxes and Green Innovation in Reducing CO2 Emissions — https://doi.org/10.3390/economies14060231</w:t>
      </w:r>
    </w:p>
    <w:p>
      <w:pPr/>
      <w:r>
        <w:rPr>
          <w:b/>
        </w:rPr>
        <w:t>Shared claim-specific concepts:</w:t>
      </w:r>
      <w:r>
        <w:t xml:space="preserve"> transition, emissions, co2; EU scope visible. This is a provisional connection, not an outcome finding.</w:t>
      </w:r>
    </w:p>
    <w:p>
      <w:pPr>
        <w:pStyle w:val="SourceNote"/>
      </w:pPr>
      <w:r>
        <w:rPr>
          <w:b/>
        </w:rPr>
        <w:t>Available abstract (not full text):</w:t>
      </w:r>
      <w:r>
        <w:t xml:space="preserve"> This study examines the determinants of carbon dioxide (CO2) emissions across 25 European Union countries over the period 2000–2021, with particular emphasis on the roles of environmental taxation and green innovation in shaping environmental sustainability. The analysis is grounded in ecological modernization theory, endogenous growth theory, and the Environmental Kuznets Curve hypothesis, which collectively explain the long-run and dynamic interactions between environmental policy, economic activity, structural transformation, and environmental outcomes. To ensure robust empirical inference, this study applies a comprehensive econometric framework that accounts for cross-sectional dependence, heterogeneity, non-stationarity, cointegration, and endogeneity. The empirical strategy begins with Pesaran cross-sectional dependence tests and slope heterogeneity diagnostics, followed by second-generation panel unit root tests (Pesaran CADF/CIPS) and Westerlund cointegration tests to establish the existence of long-run equilibrium relationships among the variables. Long-run coefficients are estimated using Fully Modified Ordinary Least Squares (FMOLS), Dynamic Ordinary Least Squares (DOLS), Canonical Cointegrating Regression (CCR), and Common Correlated Effects Mean Group (CCEMG) estimators. In addition, the Panel Autoregressive Distributed Lag (ARDL) model is employed to capture both</w:t>
      </w:r>
    </w:p>
    <w:p>
      <w:pPr/>
      <w:r>
        <w:rPr>
          <w:b/>
        </w:rPr>
        <w:t>POSSIBLE 2026:</w:t>
      </w:r>
      <w:r>
        <w:t xml:space="preserve"> Regional Energy Transition: Decoupling CO2 Emissions and Policy Perspectives — https://doi.org/10.3390/su18020652</w:t>
      </w:r>
    </w:p>
    <w:p>
      <w:pPr/>
      <w:r>
        <w:rPr>
          <w:b/>
        </w:rPr>
        <w:t>Shared claim-specific concepts:</w:t>
      </w:r>
      <w:r>
        <w:t xml:space="preserve"> transition, reduction, emissions, show, co2; EU scope visible. This is a provisional connection, not an outcome finding.</w:t>
      </w:r>
    </w:p>
    <w:p>
      <w:pPr>
        <w:pStyle w:val="SourceNote"/>
      </w:pPr>
      <w:r>
        <w:rPr>
          <w:b/>
        </w:rPr>
        <w:t>Available abstract (not full text):</w:t>
      </w:r>
      <w:r>
        <w:t xml:space="preserve"> This study examines the relationship between energy consumption and energy-related CO2 emissions for a sample of 79 reporting entities, grouped into seven regions, over the period 2013–2023. The methodology uses three empirical tools: (i) Tapio elasticity to classify types of decoupling; (ii) Kaya–LMDI decomposition to identify factors that determine emissions; and (iii) a log-difference panel model to separate year- and country-specific effects. The results indicate a reduction in carbon intensity in all regions, more pronounced in Europe and North America. According to the Tapio classification, Europe is in recessive decoupling, the Middle East is on the verge of expansive decoupling, North and South America are in strong expansive decoupling, and Asia Pacific, Africa, and CIS show only weak signals of expansive decoupling. The LMDI results show that, in regions with strong decoupling, the decrease in carbon intensity contributes to reducing emissions. In those with weak decoupling, the effects are partially canceled out by population growth and energy demand. Finally, the fixed-effects panel model does not identify any structural decoupling at the regional level. Overall, this study contributes to the literature by separating long-term structural effects from annual fluctuations. On this basis, we provide clear guidelines for designing regional energy policies.</w:t>
      </w:r>
    </w:p>
    <w:p>
      <w:pPr/>
      <w:r>
        <w:rPr>
          <w:b/>
        </w:rPr>
        <w:t>POSSIBLE 2026:</w:t>
      </w:r>
      <w:r>
        <w:t xml:space="preserve"> Sustainable Development Regimes, Transition Dynamics and Environmental Performance in the European Union — https://doi.org/10.3390/su18147219</w:t>
      </w:r>
    </w:p>
    <w:p>
      <w:pPr/>
      <w:r>
        <w:rPr>
          <w:b/>
        </w:rPr>
        <w:t>Shared claim-specific concepts:</w:t>
      </w:r>
      <w:r>
        <w:t xml:space="preserve"> transition, characterized, emissions; EU scope visible. This is a provisional connection, not an outcome finding.</w:t>
      </w:r>
    </w:p>
    <w:p>
      <w:pPr>
        <w:pStyle w:val="SourceNote"/>
      </w:pPr>
      <w:r>
        <w:rPr>
          <w:b/>
        </w:rPr>
        <w:t>Available abstract (not full text):</w:t>
      </w:r>
      <w:r>
        <w:t xml:space="preserve"> Sustainable development has become a strategic priority for the European Union in response to climate change, resource constraints and environmental degradation. Despite common policy objectives, Member States exhibit substantial differences in sustainability performance and transition capacities. This study investigates sustainable development pathways in the European Union using an integrated framework combining cluster analysis, transition analysis, panel econometrics and a conceptual Petri Net model. The empirical analysis is based on a balanced panel dataset covering the 27 EU Member States during the period 2015–2024. K-means clustering was employed to identify sustainable development regimes, transition matrices were used to evaluate regime persistence, and panel data models were estimated to examine the determinants of environmental performance measured through greenhouse gas emissions per capita. The results confirm the existence of four distinct sustainable development regimes characterized by different combinations of economic performance, environmental pressure and resource efficiency. Transition analysis confirms heterogeneous transition dynamics characterized by a generally high degree of regime persistence, while only a limited number of countries experienced regime changes during the study period. The econometric findings confirm that renewable energy deployment</w:t>
      </w:r>
    </w:p>
    <w:p>
      <w:pPr/>
      <w:r>
        <w:rPr>
          <w:b/>
        </w:rPr>
        <w:t>POSSIBLE 2026:</w:t>
      </w:r>
      <w:r>
        <w:t xml:space="preserve"> Energy transition in the Brazilian Northeast: emissions and electrical sustainability — https://doi.org/10.1007/s40430-026-06492-6</w:t>
      </w:r>
    </w:p>
    <w:p>
      <w:pPr/>
      <w:r>
        <w:rPr>
          <w:b/>
        </w:rPr>
        <w:t>Shared claim-specific concepts:</w:t>
      </w:r>
      <w:r>
        <w:t xml:space="preserve"> transition, reduction, ghg, emissions; EU scope not established. This is a provisional connection, not an outcome finding.</w:t>
      </w:r>
    </w:p>
    <w:p>
      <w:pPr>
        <w:pStyle w:val="SourceNote"/>
      </w:pPr>
      <w:r>
        <w:rPr>
          <w:b/>
        </w:rPr>
        <w:t>Available abstract (not full text):</w:t>
      </w:r>
      <w:r>
        <w:t xml:space="preserve"> Abstract The Brazilian Northeast has been consolidating itself as a key hub in the country’s energy transition, due to its high technical potential for electricity generation from renewables. This study analyzes the dynamics of the Northeastern electricity matrix between 2015 and 2023. The central methodology applied is the Life Cycle Assessment (LCA), which enabled the quantification of the greenhouse gas (GHG) emissions (carbon footprint). The Renewability Index ( $$\:RI$$ ) of electricity production is also determined along with the electricity self-sufficiency of the states in the region. The results reveal a significant transformation in the electricity mix during the study period, with a strong substitution of fossil fuels by renewables. Wind power expanded prominently in Rio Grande do Norte, Piauí, and Bahia, while solar power grew in Ceará, Sergipe, and Paraíba. This regional energy transition led to a remarkable reduction in the carbon intensity of electricity, reaching 0.062 kg CO 2 -eq/kWh in 2023, an 83.29% decrease compared to 2015. The total GHG emissions in the region also dropped by 71.73%, despite an 88.87% increase in electricity generation. The regional average $$\:RI$$ increased from 53.89% in 2015 to 94.78% in 2023, demonstrating a steady improvement in renewable integration. In conclusion, the Brazilian Northeast has made substantial progress in building a</w:t>
      </w:r>
    </w:p>
    <w:p>
      <w:pPr/>
      <w:r>
        <w:rPr>
          <w:b/>
        </w:rPr>
        <w:t>POSSIBLE 2026:</w:t>
      </w:r>
      <w:r>
        <w:t xml:space="preserve"> Decoupling economic growth and CO2 emissions: a geopolitical comparison of the EU and GCC energy transitions — https://doi.org/10.1007/s11135-026-02572-w</w:t>
      </w:r>
    </w:p>
    <w:p>
      <w:pPr/>
      <w:r>
        <w:rPr>
          <w:b/>
        </w:rPr>
        <w:t>Shared claim-specific concepts:</w:t>
      </w:r>
      <w:r>
        <w:t xml:space="preserve"> transition, emissions, co2; EU scope visible. This is a provisional connection, not an outcome finding.</w:t>
      </w:r>
    </w:p>
    <w:p>
      <w:pPr>
        <w:pStyle w:val="SourceNote"/>
      </w:pPr>
      <w:r>
        <w:rPr>
          <w:b/>
        </w:rPr>
        <w:t>Available abstract (not full text):</w:t>
      </w:r>
      <w:r>
        <w:t xml:space="preserve"> This study investigates the differing trajectories of carbon dioxide (CO 2 ) emissions decoupling in the European Union (EU) and Gulf Cooperation Council (GCC) countries from 1990 to 2023. Using the Decoupling Consistency Index (DCI) in conjunction with the Logarithmic Mean Divisia Index (LMDI) decomposition, we analyze the contributions of CO 2 , energy intensity, economic growth, and population to emissions changes across distinct periods. The results reveal that the EU has achieved absolute decoupling, driven by sustained reductions in energy and CO₂ that outweigh economic growth pressures. In contrast, the GCC exhibits partial decoupling, with efficiency gains often offset by rapid economic expansion and population growth. Notably, the United Arab Emirates and Kuwait have made significant progress toward emissions reductions through accelerated renewable investments and energy reforms. At the same time, other GCC countries face challenges from fossil-fuel dependency. The study highlights the importance of tailored, region-specific climate policies and structural reforms to advance sustainable decarbonization. These findings provide critical insights for policymakers aiming to balance economic growth with environmental objectives in fossil-fuel-rich and transition economies.</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characterized, ghg, emissions, show;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Temporal dynamics of energy transition and carbon emissions for ecological footprint in Mozambique — https://doi.org/10.21203/rs.3.rs-11067119/v1</w:t>
      </w:r>
    </w:p>
    <w:p>
      <w:pPr/>
      <w:r>
        <w:rPr>
          <w:b/>
        </w:rPr>
        <w:t>Shared claim-specific concepts:</w:t>
      </w:r>
      <w:r>
        <w:t xml:space="preserve"> transition, emissions;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Plasma Conditions Govern the Reversible Transition Between STEVE and Picket Fence Emissions — https://doi.org/10.1029/2025gl118616</w:t>
      </w:r>
    </w:p>
    <w:p>
      <w:pPr/>
      <w:r>
        <w:rPr>
          <w:b/>
        </w:rPr>
        <w:t>Shared claim-specific concepts:</w:t>
      </w:r>
      <w:r>
        <w:t xml:space="preserve"> transition, characterized, emissions; EU scope not established. This is a provisional connection, not an outcome finding.</w:t>
      </w:r>
    </w:p>
    <w:p>
      <w:pPr>
        <w:pStyle w:val="SourceNote"/>
      </w:pPr>
      <w:r>
        <w:rPr>
          <w:b/>
        </w:rPr>
        <w:t>Available abstract (not full text):</w:t>
      </w:r>
      <w:r>
        <w:t xml:space="preserve"> Abstract On 6 May 2018, a remarkable subauroral optical event exhibiting three phases of evolution (Strong Thermal Emission Velocity Enhancement [STEVE] → Picket Fence → STEVE) and co‐occurrence with a stable auroral red arc was observed over Alberta, Canada. Using ground‐based instruments (Redline Emission Geospace Observatory and TREx) and satellite measurements (Swarm and DMSP), we characterized the associated ionospheric conditions. The results suggest that a visible STEVE may require density depletion, electron heating, and intense ion drifts. The observed STEVE‐Picket Fence transition indicates that these phenomena may share the same subauroral ion drift channel, yet are modulated by local Ne structure. These findings provide new insights into the physical differences between STEVE and Picket Fence emissions, and offer key observational constraints for understanding magnetosphere‐ionosphere coupling in subauroral regions.</w:t>
      </w:r>
    </w:p>
    <w:p>
      <w:pPr/>
      <w:r>
        <w:rPr>
          <w:b/>
        </w:rPr>
        <w:t>POSSIBLE 2025:</w:t>
      </w:r>
      <w:r>
        <w:t xml:space="preserve"> 14. (How) Can the Energy Transition in Europe be a Just Transition? — https://doi.org/10.11647/obp.0499.14</w:t>
      </w:r>
    </w:p>
    <w:p>
      <w:pPr/>
      <w:r>
        <w:rPr>
          <w:b/>
        </w:rPr>
        <w:t>Shared claim-specific concepts:</w:t>
      </w:r>
      <w:r>
        <w:t xml:space="preserve"> transition, emissions; EU scope visible. This is a provisional connection, not an outcome finding.</w:t>
      </w:r>
    </w:p>
    <w:p>
      <w:pPr>
        <w:pStyle w:val="SourceNote"/>
      </w:pPr>
      <w:r>
        <w:rPr>
          <w:b/>
        </w:rPr>
        <w:t>Available abstract (not full text):</w:t>
      </w:r>
      <w:r>
        <w:t xml:space="preserve"> In order to ensure that benefits and burdens of the transition to a net-zero economy are shared in a just and balanced way—which is a precondition for accepting the needed changes—effective and inclusive governance structures in both private and public spheres are essential. Given sluggish growth and increasing competition for resources from other policy goals, especially defence, the challenges of achieving a just transition, and with it political acceptance, not to mention political and social stability, will also intensify. We examine four key dimensions of a just energy transition: employment transitions, distributional effects of energy transition, accessibility and affordability of clean energy, and the participation of social partners and stakeholders. Analysis of the EU instruments in place—in particular the Just Transition Fund (JTF) and the nascent Social Climate Fund (SCF)—reveals serious gaps behind large headline numbers. Amongst other issues, JTF disbursement has been very slow. The SCF imposes Just Transition principles on only a small proportion of the revenue to come from the expanded emissions trading scheme, leaving much to the Member States. The chapter closes with policy proposals.</w:t>
      </w:r>
    </w:p>
    <w:p>
      <w:pPr>
        <w:pStyle w:val="Heading2"/>
      </w:pPr>
      <w:r>
        <w:t>543. Investigating European Union Decarbonization Strategies: Evaluating the Pathway to Carbon Neutrality by 2050</w:t>
      </w:r>
    </w:p>
    <w:p>
      <w:pPr>
        <w:pStyle w:val="SourceNote"/>
      </w:pPr>
      <w:r>
        <w:rPr>
          <w:b/>
        </w:rPr>
        <w:t>Original source (2022):</w:t>
      </w:r>
      <w:r>
        <w:t xml:space="preserve"> https://doi.org/10.3390/su14084728</w:t>
      </w:r>
    </w:p>
    <w:p>
      <w:pPr/>
      <w:r>
        <w:t>Original wording (abstract; indexed_source_text_not_full_document_verified):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w:t>
      </w:r>
    </w:p>
    <w:p>
      <w:pPr/>
      <w:r>
        <w:rPr>
          <w:b/>
        </w:rPr>
        <w:t>POSSIBLE 2026:</w:t>
      </w:r>
      <w:r>
        <w:t xml:space="preserve"> The implementation of 'new phase' European social dialogue agreements and texts in European member states — https://doi.org/10.82444/warw.33491788</w:t>
      </w:r>
    </w:p>
    <w:p>
      <w:pPr/>
      <w:r>
        <w:rPr>
          <w:b/>
        </w:rPr>
        <w:t>Shared claim-specific concepts:</w:t>
      </w:r>
      <w:r>
        <w:t xml:space="preserve"> member, states, national; EU scope visible. This is a provisional connection, not an outcome finding.</w:t>
      </w:r>
    </w:p>
    <w:p>
      <w:pPr>
        <w:pStyle w:val="SourceNote"/>
      </w:pPr>
      <w:r>
        <w:rPr>
          <w:b/>
        </w:rPr>
        <w:t>Available abstract (not full text):</w:t>
      </w:r>
      <w:r>
        <w:t xml:space="preserve"> The research evaluates the implementation of the Framework Agreements on Telework and Work-related Stress in Belgium, Denmark, UK, and Czech Republic and in the banking and local Government sectors within these countries. Further, it evaluates the various factors that explain divergent implementation outcomes in countries and sectors. It develops two benchmarks to assess the efficacy of the Agreements as modes of European social partner ‘soft’ law governance; a benchmark that assesses the procedural implementation of the Agreements, and a benchmark that assess the substantive implementation of the Agreements. A multi-level governance theoretical approach is also adopted. It emerged that ‘effective’ procedural implementation of the Agreements largely occurred in Belgium and Czech Republic, but did not occur to the same degree in Denmark and UK. It also emerged that the substantive effect of the Agreements was patchy and that the substantive impact of the Telework Agreement was greater than that of the Work-related Stress Agreement. Although structural factors were important in explaining divergent implementation outcomes, it also emerged that it was primarily policy and actor related factors that explained divergent national and sectoral implementation outcomes. The research ends with a rather skeptical evaluation of the Agreements as modes of European social partner ‘soft’ law </w:t>
      </w:r>
    </w:p>
    <w:p>
      <w:pPr/>
      <w:r>
        <w:rPr>
          <w:b/>
        </w:rPr>
        <w:t>POSSIBLE 2026:</w:t>
      </w:r>
      <w:r>
        <w:t xml:space="preserve"> Functionally rich crop rotations increase calorie and macronutrient outputs across Europe — https://doi.org/10.1038/s43016-026-01293-5</w:t>
      </w:r>
    </w:p>
    <w:p>
      <w:pPr/>
      <w:r>
        <w:rPr>
          <w:b/>
        </w:rPr>
        <w:t>Shared claim-specific concepts:</w:t>
      </w:r>
      <w:r>
        <w:t xml:space="preserve"> rich, provided, long-term; EU scope visible. This is a provisional connection, not an outcome finding.</w:t>
      </w:r>
    </w:p>
    <w:p>
      <w:pPr>
        <w:pStyle w:val="SourceNote"/>
      </w:pPr>
      <w:r>
        <w:rPr>
          <w:b/>
        </w:rPr>
        <w:t>Available abstract (not full text):</w:t>
      </w:r>
      <w:r>
        <w:t xml:space="preserve"> Increased crop diversity in cereal-dominated rotations can enhance crop protection, nutrient use efficiency and climate change adaptation. Nevertheless, it is argued that replacing cereals in rotations diminishes food production, threatening food security. Here we compared outputs of calories and macronutrients (carbohydrates, proteins, fats) for human consumption from cereal monocultures, cereal-only rotations and rotations including two or three functionally distinct crop types (cereals plus root and oil crops, legumes or ley) in 16 long-term experiments across Europe. Rotations with three functional types produced more calories and macronutrients than cereal monocultures and cereal-only rotations with forage crops used to produce milk. Carbohydrate gains depended on growing conditions and crop choice. Advantages increased over time but were lost with forage crops used for beef or biofuel. Functionally rich rotations provided macronutrient proportions closer to recommended human diets. Our analysis shows no trade-off between functionally rich rotations and food production or agricultural land expansion.</w:t>
      </w:r>
    </w:p>
    <w:p>
      <w:pPr/>
      <w:r>
        <w:rPr>
          <w:b/>
        </w:rPr>
        <w:t>POSSIBLE 2026:</w:t>
      </w:r>
      <w:r>
        <w:t xml:space="preserve"> Unequal Equals? The Status of Member States in an Integrating European Union — https://doi.org/10.54237/profnet.2026.dsuesmsieu</w:t>
      </w:r>
    </w:p>
    <w:p>
      <w:pPr/>
      <w:r>
        <w:rPr>
          <w:b/>
        </w:rPr>
        <w:t>Shared claim-specific concepts:</w:t>
      </w:r>
      <w:r>
        <w:t xml:space="preserve"> member, states, union; EU scope visible. This is a provisional connection, not an outcome finding.</w:t>
      </w:r>
    </w:p>
    <w:p>
      <w:pPr>
        <w:pStyle w:val="SourceNote"/>
      </w:pPr>
      <w:r>
        <w:rPr>
          <w:b/>
        </w:rPr>
        <w:t>Available abstract (not full text):</w:t>
      </w:r>
      <w:r>
        <w:t xml:space="preserve"> Following his graduation</w:t>
      </w:r>
    </w:p>
    <w:p>
      <w:pPr/>
      <w:r>
        <w:rPr>
          <w:b/>
        </w:rPr>
        <w:t>POSSIBLE 2026:</w:t>
      </w:r>
      <w:r>
        <w:t xml:space="preserve"> Environmental and technical efficiency of agriculture - the case of the European Union member states — https://doi.org/10.34659/eis.2026.98.3.1147</w:t>
      </w:r>
    </w:p>
    <w:p>
      <w:pPr/>
      <w:r>
        <w:rPr>
          <w:b/>
        </w:rPr>
        <w:t>Shared claim-specific concepts:</w:t>
      </w:r>
      <w:r>
        <w:t xml:space="preserve"> member, states, evaluate, union; EU scope visible. This is a provisional connection, not an outcome finding.</w:t>
      </w:r>
    </w:p>
    <w:p>
      <w:pPr>
        <w:pStyle w:val="SourceNote"/>
      </w:pPr>
      <w:r>
        <w:rPr>
          <w:b/>
        </w:rPr>
        <w:t>Available abstract (not full text):</w:t>
      </w:r>
      <w:r>
        <w:t xml:space="preserve"> The objective of this study is to evaluate the technical and environmental efficiency of agriculture in the member states of the European Union (EU). The research employed the DEA (Data Envelopment Analysis) method – a standard BCC model to measure technical efficiency and its modification, which takes into account undesirable outputs and makes it possible to perform an assessment of environmental efficiency in the sample countries. This study has demonstrated that accounting for undesirable outputs, such as greenhouse gas emissions, did not affect the consistency between the country rankings based on the environmental efficiency score and the technical efficiency score in countries where the latter was high. The relative emission level in all these countries was either low or decreased considerably between 2013 and 2022. On the other hand, in countries with high emissions per agricultural output, a widening gap between environmental and technical efficiency has often been observed. The findings of this study justify changes in agricultural production based on sustainable intensification and the choice of the right direction of investment in agriculture.</w:t>
      </w:r>
    </w:p>
    <w:p>
      <w:pPr/>
      <w:r>
        <w:rPr>
          <w:b/>
        </w:rPr>
        <w:t>POSSIBLE 2026:</w:t>
      </w:r>
      <w:r>
        <w:t xml:space="preserve"> Educational Psychology in the European Union in the Twenty-first Century: An Extensive Bibliometric Study — https://doi.org/10.5093/psed2026a22</w:t>
      </w:r>
    </w:p>
    <w:p>
      <w:pPr/>
      <w:r>
        <w:rPr>
          <w:b/>
        </w:rPr>
        <w:t>Shared claim-specific concepts:</w:t>
      </w:r>
      <w:r>
        <w:t xml:space="preserve"> extensive, member, states, union; EU scope visible. This is a provisional connection, not an outcome finding.</w:t>
      </w:r>
    </w:p>
    <w:p>
      <w:pPr>
        <w:pStyle w:val="SourceNote"/>
      </w:pPr>
      <w:r>
        <w:rPr>
          <w:b/>
        </w:rPr>
        <w:t>Available abstract (not full text):</w:t>
      </w:r>
      <w:r>
        <w:t xml:space="preserve"> This paper reviews recent research in Educational Psychology related to twenty-first century development in the European Union (EU). Over the last two decades, researchers have promoted interdisciplinary and collaborative approaches across areas such as literacy, reading and writing, cognitive disabilities, creativity, motivation, social and individual differences, and academic achievement. The study focuses on the EU due to the limited research examining its specific contribution to Educational Psychology. It addresses key questions regarding the contribution of the EU and its member states, the main topics covered in Web of Science publications, the evolution of research trends, the leading European journals in the field, and the impact of the post-Brexit context. Through bibliometric analysis, the study highlights the EU’s significant contribution to the scientific community and recent advances in Educational Psychology research.</w:t>
      </w:r>
    </w:p>
    <w:p>
      <w:pPr/>
      <w:r>
        <w:rPr>
          <w:b/>
        </w:rPr>
        <w:t>POSSIBLE 2026:</w:t>
      </w:r>
      <w:r>
        <w:t xml:space="preserve"> Changes in the Fertility Rate in European Union Member States in the Context of Socio‑Economic Development — https://doi.org/10.15290/oes.2026.03.125.14</w:t>
      </w:r>
    </w:p>
    <w:p>
      <w:pPr/>
      <w:r>
        <w:rPr>
          <w:b/>
        </w:rPr>
        <w:t>Shared claim-specific concepts:</w:t>
      </w:r>
      <w:r>
        <w:t xml:space="preserve"> member, states, very, union; EU scope visible. This is a provisional connection, not an outcome finding.</w:t>
      </w:r>
    </w:p>
    <w:p>
      <w:pPr>
        <w:pStyle w:val="SourceNote"/>
      </w:pPr>
      <w:r>
        <w:rPr>
          <w:b/>
        </w:rPr>
        <w:t>Available abstract (not full text):</w:t>
      </w:r>
      <w:r>
        <w:t xml:space="preserve"> Purpose | Contemporary demographic trends are playing an increasingly significant role in the context of socio-economic development prospects. One of the challenges facing EU Member States is low fertility rates. The aim of this article is therefore to identify the point in time when changes occurred in the fertility rate across the European Union and to compare these with the levels of socio-economic development achieved in those years. Research method | The article sets out the main hypothesis, namely that the decline in fertility rates in European Union member states is linked to the level of socio-economic development and is of a lasting nature. The hypothesis was tested using the relevant literature and data from Eurostat, the World Bank and the United Nations. Results | In the article the main hypothesis, that the decline in fertility rates in European Union countries is linked to the level of socio-economic development and is of a lasting nature, has been confirmed. Originality / value / implications / recommendations | In EU countries, the fertility rate fell to low (1.5) and very low (1.3) levels across a range of socio-economic development levels. In other words, the countries of the so-called “new EU” aged more rapidly than they became wealthier, in contrast to the so-called “old EU”.</w:t>
      </w:r>
    </w:p>
    <w:p>
      <w:pPr/>
      <w:r>
        <w:rPr>
          <w:b/>
        </w:rPr>
        <w:t>POSSIBLE 2026:</w:t>
      </w:r>
      <w:r>
        <w:t xml:space="preserve"> Institutional Configuration and the Effectiveness of Parole: Comparative Evidence from Council of Europe Member States — https://doi.org/10.33327/ajee-18-9.4-a0002005</w:t>
      </w:r>
    </w:p>
    <w:p>
      <w:pPr/>
      <w:r>
        <w:rPr>
          <w:b/>
        </w:rPr>
        <w:t>Shared claim-specific concepts:</w:t>
      </w:r>
      <w:r>
        <w:t xml:space="preserve"> member, states, commission; EU scope visible. This is a provisional connection, not an outcome finding.</w:t>
      </w:r>
    </w:p>
    <w:p>
      <w:pPr>
        <w:pStyle w:val="SourceNote"/>
      </w:pPr>
      <w:r>
        <w:rPr>
          <w:b/>
        </w:rPr>
        <w:t>Available abstract (not full text):</w:t>
      </w:r>
      <w:r>
        <w:t xml:space="preserve"> Background: Parole research across Council of Europe member states has long debated which model to adopt: discretionary, mandatory, or mixed. Yet, this framing misses a more consequential variable: how deeply any model is institutionally embedded. In terms of justice, insufficiently institutionalized parole risks reducing early release to a formal entitlement detached from fair decision-making, whereas robust institutional design enables it to function as a corrective mechanism against disproportionate punishment and as a practical expression of fairness in the execution of sentences. Method: The study employs a multi-method comparative legal approach combining documentary analysis, index construction, and non-parametric statistical testing. Standardized data for 2010–2024 were drawn from the World Prison Brief and SPACE I (Annual Prison Statistics of the Council of Europe — Statistiques Pénales Annuelles du Conseil de l’Europe) reports. We selected eight jurisdictions to maximise institutional variance: Kazakhstan, France, England and Wales, Sweden, Germany, the Netherlands, Poland, and Georgia. The IIP was constructed as a five-criterion composite instrument: standardized risk assessment tools, formalized decision-making body, court–probation coordination, mandatory post-release supervision, and institutionalized reintegration programmes, each scored 0–2 (composite range 0–10</w:t>
      </w:r>
    </w:p>
    <w:p>
      <w:pPr/>
      <w:r>
        <w:rPr>
          <w:b/>
        </w:rPr>
        <w:t>POSSIBLE 2026:</w:t>
      </w:r>
      <w:r>
        <w:t xml:space="preserve"> Risk Alert Briefing: Clay shrink–swell property damage and the increasing protection gap in Europe — https://doi.org/10.5281/zenodo.21492635</w:t>
      </w:r>
    </w:p>
    <w:p>
      <w:pPr/>
      <w:r>
        <w:rPr>
          <w:b/>
        </w:rPr>
        <w:t>Shared claim-specific concepts:</w:t>
      </w:r>
      <w:r>
        <w:t xml:space="preserve"> despite, provided, member, states, national; EU scope visible. This is a provisional connection, not an outcome finding.</w:t>
      </w:r>
    </w:p>
    <w:p>
      <w:pPr>
        <w:pStyle w:val="SourceNote"/>
      </w:pPr>
      <w:r>
        <w:rPr>
          <w:b/>
        </w:rPr>
        <w:t>Available abstract (not full text):</w:t>
      </w:r>
      <w:r>
        <w:t xml:space="preserve"> Clay shrink–swell (CSS) processes pose an under-recognised but increasingly material risk to buildings and infrastructure across Europe. These processes occur when clay-rich soils contract during dry periods and expand again when moisture returns, causing ground movement that can lead to cracking and structural damage to buildings and infrastructure. Climate change is projected to significantly increase the frequency and severity of deep-soil drought across large parts of Europe. Climate model projections indicate that by 2050, severe drought episodes affecting deep soil layers may occur approximately three times more often. These conditions are strongly associated with CSS events. Despite the growing hazard, CSS risk remains poorly visible in national climate adaptation planning and insurance arrangements in many EU Member States. At the same time, CSS property damage is typically excluded from standard private insurance contracts – and the protection provided by any state natural catastrophe mechanism (where these exist) is uncertain. This creates an increasing protection gap. The purpose of this Briefing is to draw attention to this CSS risk and increasing protection gap. Extending our initial analysis of the issue in France to a further five EU countries – Finland, Germany, Italy, Luxembourg and Spain – this Briefing highlights evidence showing a consistent pattern of incre</w:t>
      </w:r>
    </w:p>
    <w:p>
      <w:pPr/>
      <w:r>
        <w:rPr>
          <w:b/>
        </w:rPr>
        <w:t>POSSIBLE 2025:</w:t>
      </w:r>
      <w:r>
        <w:t xml:space="preserve"> Prediction of the Methane Yield From Extensively Managed, Flower‐Rich Fen Grassland Based on NIRS Data — https://doi.org/10.1111/gcbb.70046</w:t>
      </w:r>
    </w:p>
    <w:p>
      <w:pPr/>
      <w:r>
        <w:rPr>
          <w:b/>
        </w:rPr>
        <w:t>Shared claim-specific concepts:</w:t>
      </w:r>
      <w:r>
        <w:t xml:space="preserve"> despite, rich, extensive, energy; EU scope visible. This is a provisional connection, not an outcome finding.</w:t>
      </w:r>
    </w:p>
    <w:p>
      <w:pPr>
        <w:pStyle w:val="SourceNote"/>
      </w:pPr>
      <w:r>
        <w:rPr>
          <w:b/>
        </w:rPr>
        <w:t>Available abstract (not full text):</w:t>
      </w:r>
      <w:r>
        <w:t xml:space="preserve"> ABSTRACT In many regions of Europe, biogas production is an integral part of farming to generate methane as a sustainable and versatile renewable energy carrier. Besides providing feedstock for ruminants and energy production, grasslands support multiple beneficial ecosystem services, namely diverse flora and habitats that serve as resources for pollinators. The cost‐effective utilization of grassland biomass is mainly determined by the biomass quality, which is highly variable and dependent on the management intensities. Besides chemical analyses, biogas models are usually applied to predict the biogas yield of a specific biomass type and quality. However, available models do not apply to mixed grass stands as they primarily refer to individual grass species and/or are just based on single parameters such as lignin. In this work, we evaluated flower‐rich extensive fen grassland for its biogas yield using a newly created model based on common chemical parameters. Therefore, flower‐rich biomass from a cultivation experiment (n = 48) was analyzed for its biomass yield (average 9.43 ± 1.26 tVS × ha−1), chemical composition by wet chemical analysis and near‐infrared spectroscopy (NIRS), specific methane yield (SMY) potential via batch tests, and methane hectare yield (1505.62 ± 282.86 m3N × ha−1). In the results obtained, we found flower‐rich grassland biomass characterized by high</w:t>
      </w:r>
    </w:p>
    <w:p>
      <w:pPr/>
      <w:r>
        <w:rPr>
          <w:b/>
        </w:rPr>
        <w:t>POSSIBLE 2025:</w:t>
      </w:r>
      <w:r>
        <w:t xml:space="preserve"> Traditional agroforestry systems in Europe revisited: a systematic review — https://doi.org/10.1007/s10457-025-01335-0</w:t>
      </w:r>
    </w:p>
    <w:p>
      <w:pPr/>
      <w:r>
        <w:rPr>
          <w:b/>
        </w:rPr>
        <w:t>Shared claim-specific concepts:</w:t>
      </w:r>
      <w:r>
        <w:t xml:space="preserve"> despite, rich, long-term; EU scope visible. This is a provisional connection, not an outcome finding.</w:t>
      </w:r>
    </w:p>
    <w:p>
      <w:pPr>
        <w:pStyle w:val="SourceNote"/>
      </w:pPr>
      <w:r>
        <w:rPr>
          <w:b/>
        </w:rPr>
        <w:t>Available abstract (not full text):</w:t>
      </w:r>
      <w:r>
        <w:t xml:space="preserve"> Abstract Traditional agroforestry systems (TAFs) in Europe represent an interface between agriculture and biodiversity conservation, being able to offer sustainable production while supporting diverse ecosystems often with unique species assemblages. This systematic review synthesises research on TAFs conducted between 1992 and 2024 using the PRISMA methodology. We analysed 232 studies to assess TAFs types, their distribution, biodiversity significance, and ecosystem services’ contributions across Europe. The findings highlight regional variations, with dehesa / montado systems dominating Southern Europe and traditional orchards and wood pastures being prevalent in Central and Eastern Europe. Our review gives evidence that TAFs provide multifaceted ecosystem services, such as carbon sequestration, soil fertility enhancement, water regulation, and cultural heritage preservation. Additionally, TAFs harbour a rich biodiversity, particularly among vascular plants, birds, and insects, whose ecological roles are pivotal to the ecological functioning of these systems. Despite their significance, studies indicate that a decline in economic viability and changing land-use patterns have threatened the future of TAFs. This review emphasises the need for innovative management practices that integrate traditional knowledge, alongside political and public support, to ensure the long-term con</w:t>
      </w:r>
    </w:p>
    <w:p>
      <w:pPr/>
      <w:r>
        <w:rPr>
          <w:b/>
        </w:rPr>
        <w:t>POSSIBLE 2025:</w:t>
      </w:r>
      <w:r>
        <w:t xml:space="preserve"> Multicultural Issues: A Comparison of India and Europe — https://doi.org/10.54103/milanoup.196.c365</w:t>
      </w:r>
    </w:p>
    <w:p>
      <w:pPr/>
      <w:r>
        <w:rPr>
          <w:b/>
        </w:rPr>
        <w:t>Shared claim-specific concepts:</w:t>
      </w:r>
      <w:r>
        <w:t xml:space="preserve"> despite, states, national; EU scope visible. This is a provisional connection, not an outcome finding.</w:t>
      </w:r>
    </w:p>
    <w:p>
      <w:pPr>
        <w:pStyle w:val="SourceNote"/>
      </w:pPr>
      <w:r>
        <w:rPr>
          <w:b/>
        </w:rPr>
        <w:t>Available abstract (not full text):</w:t>
      </w:r>
      <w:r>
        <w:t xml:space="preserve"> The chapter introduces the general framework of the multicultural debate in India and Europe, highlighting the points of originality and convergence.India and Europe, despite having different historical paths, today find themselves facing similar problems regarding the possibility of developing inclusive societies, capable of integrating diversity and difference in a context of democratic participation in common social and political life.India had to face -well before the multicultural debate was consolidated in the West -the question of including cultural difference in the definition of national unity.The central point of the multicultural comparison was the effort and need to build unity, solidarity and a sense of common belonging starting from the recognition of cultural differences.In many respects Europe has had to deal with an inverse problem: how to recognize the plurality and multiplicity of cultural differences starting from a deep-rooted idea of internal homogeneity which constituted the ideological and rhetorical basis of the formation of European nation states.A narrative of homogeneity and cultural purity which has fostered both internal cohesion and competitive distinction with other European states, but which is unmasked in its claim to naturalness by migratory phenomena and globalization processes.After briefly introducing the different ways in which multicultur</w:t>
      </w:r>
    </w:p>
    <w:p>
      <w:pPr/>
      <w:r>
        <w:rPr>
          <w:b/>
        </w:rPr>
        <w:t>POSSIBLE 2025:</w:t>
      </w:r>
      <w:r>
        <w:t xml:space="preserve"> Health and relationship quality of sexual minorities in Europe — https://doi.org/10.1007/s00148-025-01077-4</w:t>
      </w:r>
    </w:p>
    <w:p>
      <w:pPr/>
      <w:r>
        <w:rPr>
          <w:b/>
        </w:rPr>
        <w:t>Shared claim-specific concepts:</w:t>
      </w:r>
      <w:r>
        <w:t xml:space="preserve"> rich, member, states; EU scope visible. This is a provisional connection, not an outcome finding.</w:t>
      </w:r>
    </w:p>
    <w:p>
      <w:pPr>
        <w:pStyle w:val="SourceNote"/>
      </w:pPr>
      <w:r>
        <w:rPr>
          <w:b/>
        </w:rPr>
        <w:t>Available abstract (not full text):</w:t>
      </w:r>
      <w:r>
        <w:t xml:space="preserve"> Abstract A growing body of literature investigates inequalities between sexual minorities and their heterosexual peers. This paper deals with disparities in health, health-related behaviours, and relationship quality among LGB+ individuals. We use a novel data set that allows for a wide cross-national analysis (27 EU member states) of disparities between sexual minorities and the rest of the population, as well as differences in reporting sexual orientation. We consider a rich set of social stressors, individual-specific behavioural factors, and health outcomes, as well as novel para-data (i.e., individuals’ response times) that are not available in other large surveys. The results indicate that sexual minorities are more exposed to stigma-related social stressors (both in childhood and adulthood), report worse physical and mental health conditions, feel more lonely, and are more likely to engage in coping strategies aimed at reducing or adapting to stressful conditions. Some of these findings significantly differ across gay, lesbian, and bisexual individuals and with respect to household income, the country’s enforcement of sexual minorities’ rights, and relationship status.</w:t>
      </w:r>
    </w:p>
    <w:p>
      <w:pPr>
        <w:pStyle w:val="Heading2"/>
      </w:pPr>
      <w:r>
        <w:t>544. Long term impact of residue management on soil organic carbon stocks and nitrous oxide emissions from European croplands</w:t>
      </w:r>
    </w:p>
    <w:p>
      <w:pPr>
        <w:pStyle w:val="SourceNote"/>
      </w:pPr>
      <w:r>
        <w:rPr>
          <w:b/>
        </w:rPr>
        <w:t>Original source (2022):</w:t>
      </w:r>
      <w:r>
        <w:t xml:space="preserve"> https://doi.org/10.1016/j.scitotenv.2022.154932</w:t>
      </w:r>
    </w:p>
    <w:p>
      <w:pPr/>
      <w:r>
        <w:t>Original wording (abstract; indexed_source_text_not_full_document_verified): For a scenario with 100% residues retention and reduced tillage we calculated that in average SOC stocks may increase over 50–100 years by 19–23% under RCP8.5 and RCP4.5. CERES-EGC, LandscapeDNDC and LandscapeDNDC-MeTrx, were used in an ensemble approach on a grid of 0.25° × 0.25° spatial resolution for calculating EU-27 wide inventories of changes in SOC stocks and N2O emissions due to residue management for the years 2000–2100 using different climate change projections (RCP4.5 and RCP8.5).</w:t>
      </w:r>
    </w:p>
    <w:p>
      <w:pPr/>
      <w:r>
        <w:rPr>
          <w:b/>
        </w:rPr>
        <w:t>POSSIBLE 2026:</w:t>
      </w:r>
      <w:r>
        <w:t xml:space="preserve"> Biophysical climate responses to albedo management for wheat residue retention, cover crops, and pale wheat across European croplands — https://doi.org/10.5194/egusphere-egu26-9895</w:t>
      </w:r>
    </w:p>
    <w:p>
      <w:pPr/>
      <w:r>
        <w:rPr>
          <w:b/>
        </w:rPr>
        <w:t>Shared claim-specific concepts:</w:t>
      </w:r>
      <w:r>
        <w:t xml:space="preserve"> retention, increase, over; EU scope visible. This is a provisional connection, not an outcome finding.</w:t>
      </w:r>
    </w:p>
    <w:p>
      <w:pPr>
        <w:pStyle w:val="SourceNote"/>
      </w:pPr>
      <w:r>
        <w:rPr>
          <w:b/>
        </w:rPr>
        <w:t>Available abstract (not full text):</w:t>
      </w:r>
      <w:r>
        <w:t xml:space="preserve"> Agricultural management offers a pathway for climate change mitigation beyond greenhouse gas fluxes through biophysical processes that directly modify land-atmosphere energy exchange. Changes in cropland surface albedo influence the climate that operates independently of the biogeochemical impact. The need to account for both biogeochemical and biophysical processes in agriculture is increasingly recognized in assessments of climate-neutral agriculture, but the biophysical impacts remain largely unconstrained.In this study, we quantified the albedo-mediated climate impacts of three promising agricultural practices, which include cover crop, residue management, and selection of highly reflective crop varieties (pale wheat) over European croplands under present and future climate conditions. To do so, we employed the ORCHIDEE-CROP land surface model, which incorporates a detailed representation of crop growth and management, together with improved albedo dynamics calibrated using observations from nine European cropland sites and satellite-derived leaf area index (LAI) from the Copernicus Land Monitoring Service.In idealized simulations assuming EU-wide implementation of solutions, we show that scenarios of cover crop, residue retention and pale-wheat cultivation increase annual mean surface albedo by 0.001±0.001, 0.008±0.003 and 0.021±0.004, with pale wheat generating the larges</w:t>
      </w:r>
    </w:p>
    <w:p>
      <w:pPr/>
      <w:r>
        <w:rPr>
          <w:b/>
        </w:rPr>
        <w:t>POSSIBLE 2026:</w:t>
      </w:r>
      <w:r>
        <w:t xml:space="preserve"> Implementing Reduced Tillage, Residue Retention and Nitrogen Rates on CO₂ and CH₄ Fluxes in Irrigated Wheat on Subtropical Floodplain Soils — https://doi.org/10.4236/oalib.1115720</w:t>
      </w:r>
    </w:p>
    <w:p>
      <w:pPr/>
      <w:r>
        <w:rPr>
          <w:b/>
        </w:rPr>
        <w:t>Shared claim-specific concepts:</w:t>
      </w:r>
      <w:r>
        <w:t xml:space="preserve"> retention, reduced, tillage, wide; EU scope not established. This is a provisional connection, not an outcome finding.</w:t>
      </w:r>
    </w:p>
    <w:p>
      <w:pPr>
        <w:pStyle w:val="SourceNote"/>
      </w:pPr>
      <w:r>
        <w:rPr>
          <w:b/>
        </w:rPr>
        <w:t>Available abstract (not full text):</w:t>
      </w:r>
      <w:r>
        <w:t xml:space="preserve"> Quantifying carbon (C) sequestration in soils is necessary to help better understand the effect of agricultural practices on the C cycle.The estimated contribution of agricultural carbon dioxide (CO2) and methane (CH4) to global warming potential (GWP) has a wide range.The underlying causes of this huge uncertainty are the difficulties in predicting regional CO2 and CH4 losses due to lack of experimental evidence on CO2 and CH4 emissions and associated drivers.The CH4 and CO2 emissions were measured in irrigated wheat in a subtropical floodplain soils which have been under two soil disturbance levels (strip vs. conventional tillage; ST vs. CT being both with 30% residue retention) and three N fertilizer rates (60%, 100% and 140% of the recommended N fertilizer dose, RD) in an annual wheat (Triticum aestivum)-mungbean (Vigna radiata)-rice (Oryza sativa L) for seven consecutive years.The highest CH4 and CO2 emission peak was observed on day 3 after urea application in both tillage systems, except for CO2 flux in CT.Nitrogen fertilizer application rate significantly influenced mean and cumulative CH4 and CO2 fluxes.At the optimum dose of N fertilizer, both CH4 and CO2 fluxes decreased, except for CH4 under ST.CO2 emissions were significantly higher under minimum (60% of RD) fertilizer application in both tillage systems.Soil microbial biomass carbon</w:t>
      </w:r>
    </w:p>
    <w:p>
      <w:pPr/>
      <w:r>
        <w:rPr>
          <w:b/>
        </w:rPr>
        <w:t>POSSIBLE 2026:</w:t>
      </w:r>
      <w:r>
        <w:t xml:space="preserve"> Associations between landscape-scale cereal residue management and local biodiversity in Europe — https://doi.org/10.1016/j.agee.2026.110664</w:t>
      </w:r>
    </w:p>
    <w:p>
      <w:pPr/>
      <w:r>
        <w:rPr>
          <w:b/>
        </w:rPr>
        <w:t>Shared claim-specific concepts:</w:t>
      </w:r>
      <w:r>
        <w:t xml:space="preserve"> residues, retention, increase, used; EU scope visible. This is a provisional connection, not an outcome finding.</w:t>
      </w:r>
    </w:p>
    <w:p>
      <w:pPr>
        <w:pStyle w:val="SourceNote"/>
      </w:pPr>
      <w:r>
        <w:rPr>
          <w:b/>
        </w:rPr>
        <w:t>Available abstract (not full text):</w:t>
      </w:r>
      <w:r>
        <w:t xml:space="preserve"> Cereal crop residues could become increasingly used to produce bioenergy as part of the European green transition, which may increase the amount of such residues removed from fields. At the same time, on-field residue retention is an important regenerative agriculture practice with positive effects on soils. Thus, excessive residue removal can be environmentally unsustainable at the field level. Yet, the effects of residue removal on local biodiversity – especially aboveground – are not well known. Given the large land footprint of cereal production in Europe, the impacts of changing cereal residue management on biodiversity could be substantial. Here, landscape-scale cereal residue management data, field measurements of local biodiversity, cereal yield and other environmental data were combined in statistical models to estimate local biodiversity in cereal cropland in Europe and investigate the effects of on-field residue retention. Local biodiversity in cereal cropland was poor relative to other land uses, but was positively associated with landscape-scale on-field residue retention, with significantly greater local biodiversity in cereal cropland in landscapes with a high proportion of residues (≥ 70%) left on fields. On the other hand, local biodiversity in cereal cropland was negatively associated with landscape-scale cereal yield. Cereal residue retention was a stronger p</w:t>
      </w:r>
    </w:p>
    <w:p>
      <w:pPr/>
      <w:r>
        <w:rPr>
          <w:b/>
        </w:rPr>
        <w:t>POSSIBLE 2026:</w:t>
      </w:r>
      <w:r>
        <w:t xml:space="preserve"> Determination of Antibiotic Residues in Milk — https://doi.org/10.37547/tajabe/volume08issue05-06</w:t>
      </w:r>
    </w:p>
    <w:p>
      <w:pPr/>
      <w:r>
        <w:rPr>
          <w:b/>
        </w:rPr>
        <w:t>Shared claim-specific concepts:</w:t>
      </w:r>
      <w:r>
        <w:t xml:space="preserve"> residues, retention, calculated; EU scope not established. This is a provisional connection, not an outcome finding.</w:t>
      </w:r>
    </w:p>
    <w:p>
      <w:pPr>
        <w:pStyle w:val="SourceNote"/>
      </w:pPr>
      <w:r>
        <w:rPr>
          <w:b/>
        </w:rPr>
        <w:t>Available abstract (not full text):</w:t>
      </w:r>
      <w:r>
        <w:t xml:space="preserve"> Milk and dairy products are of great importance from the perspective of food safety, and the presence of antibiotic residues in their composition may pose a potential risk to human health. The widespread therapeutic use of antibiotics in livestock practice can lead to the occurrence of these residues in milk when withdrawal periods before milking are not properly observed. Therefore, the detection and quantitative assessment of antibiotic residues in milk is considered a relevant scientific problem. This study was designed as an experimental laboratory investigation in which 30 raw milk samples obtained from different sources were analyzed. High-performance liquid chromatography (HPLC) was applied as a confirmatory method for the detection and verification of antibiotic residues. Within the study, antibiotics belonging to the β-lactam, tetracycline, and sulfonamide groups were identified on the basis of retention time agreement and chromatographic peak characteristics, and their concentrations were calculated using calibration curves. The obtained results were compared with internationally accepted maximum residue limits (MRLs). According to the analytical results, antibiotic residues were detected in 60% of the milk samples (18 samples), while in 4 samples (13.3%) the antibiotic concentrations were close to or exceeded the MRL values. The HPLC method demonstrated high sensitiv</w:t>
      </w:r>
    </w:p>
    <w:p>
      <w:pPr/>
      <w:r>
        <w:rPr>
          <w:b/>
        </w:rPr>
        <w:t>POSSIBLE 2026:</w:t>
      </w:r>
      <w:r>
        <w:t xml:space="preserve"> Impacts on Soil Health of Soil Improvers Derived from Agri-Food Processing Residues: a Systematic Review with a Focus on European Field Studies — https://doi.org/10.1007/s42729-026-03037-7</w:t>
      </w:r>
    </w:p>
    <w:p>
      <w:pPr/>
      <w:r>
        <w:rPr>
          <w:b/>
        </w:rPr>
        <w:t>Shared claim-specific concepts:</w:t>
      </w:r>
      <w:r>
        <w:t xml:space="preserve"> residues, retention, approach; EU scope visible. This is a provisional connection, not an outcome finding.</w:t>
      </w:r>
    </w:p>
    <w:p>
      <w:pPr>
        <w:pStyle w:val="SourceNote"/>
      </w:pPr>
      <w:r>
        <w:rPr>
          <w:b/>
        </w:rPr>
        <w:t>Available abstract (not full text):</w:t>
      </w:r>
      <w:r>
        <w:t xml:space="preserve"> Abstract The circular bioeconomy, centred on the principles of “Reduce, Reuse, and Recycle”, is central to achieving the goals of the European Green Deal and the “Farm to Fork” strategy. The key approach, within this framework, is the valorisation of food processing side-streams through various processing technologies to produce fertilisers that, when applied to the soil, act as potential “soil improvers”. When applied to soil, these materials affect not only the physical, chemical, and biological properties of soil but also impact greenhouse gas emissions, nutrient leaching, and the levels of contaminants or pathogens. A systematic review of field studies conducted in European soils between 2014 and 2024 was performed with stringent inclusion and exclusion criteria, which allowed the identification of suitable articles in three independent steps. The main soil improvers derived from various agri-food side-streams were biochar, compost, and digestate. Their effects, along with the potential risks associated with their use in agricultural fields, were carefully evaluated and discussed. This review forms part of the DeliSoil project “Delivering safe, sustainable, tailored &amp; societally accepted soil improvers from circular food production for boosting soil health” funded under the European Union “A Soil Deal for Europe”. This systematic review showed that soil improvers enhance so</w:t>
      </w:r>
    </w:p>
    <w:p>
      <w:pPr/>
      <w:r>
        <w:rPr>
          <w:b/>
        </w:rPr>
        <w:t>POSSIBLE 2025:</w:t>
      </w:r>
      <w:r>
        <w:t xml:space="preserve"> The 2023 European Union report on pesticide residues in food — https://doi.org/10.2903/j.efsa.2025.9398</w:t>
      </w:r>
    </w:p>
    <w:p>
      <w:pPr/>
      <w:r>
        <w:rPr>
          <w:b/>
        </w:rPr>
        <w:t>Shared claim-specific concepts:</w:t>
      </w:r>
      <w:r>
        <w:t xml:space="preserve"> residues, increase, used; EU scope visible. This is a provisional connection, not an outcome finding.</w:t>
      </w:r>
    </w:p>
    <w:p>
      <w:pPr>
        <w:pStyle w:val="SourceNote"/>
      </w:pPr>
      <w:r>
        <w:rPr>
          <w:b/>
        </w:rPr>
        <w:t>Available abstract (not full text):</w:t>
      </w:r>
      <w:r>
        <w:t xml:space="preserve"> Under European Union legislation (Article 32, Regulation (EC) No 396/2005), the European Food Safety Authority publishes an annual report assessing the pesticide residue levels in food. In 2023, as part of the EU-coordinated multiannual control programme subset, 13,246 samples placed on the European market were analysed, with a 1.0% found to be non-compliant. Risk-based sampling procedures were used for the remaining 132,793 samples with a 2.0% non-compliant rate. Both dietary acute and chronic risk to consumers' health were estimated providing the probabilities of exceedance of the health-based guidance values (HBGV) for the pesticides in food by the different subpopulation of European consumers. This meant dropping the deterministic assessment used in the past. Overall, the dietary risk was found to be very low for most of the EU subpopulation groups. Recommendations were provided to risk managers to increase the effectiveness of European control systems and to ensure a high level of consumer protection throughout the EU.</w:t>
      </w:r>
    </w:p>
    <w:p>
      <w:pPr/>
      <w:r>
        <w:rPr>
          <w:b/>
        </w:rPr>
        <w:t>POSSIBLE 2025:</w:t>
      </w:r>
      <w:r>
        <w:t xml:space="preserve"> Carbon footprint analysis of different tillage and crop residue management practices in wheat — https://doi.org/10.33545/2618060x.2025.v8.i1b.5207</w:t>
      </w:r>
    </w:p>
    <w:p>
      <w:pPr/>
      <w:r>
        <w:rPr>
          <w:b/>
        </w:rPr>
        <w:t>Shared claim-specific concepts:</w:t>
      </w:r>
      <w:r>
        <w:t xml:space="preserve"> retention, reduced, tillage, over; EU scope visible. This is a provisional connection, not an outcome finding.</w:t>
      </w:r>
    </w:p>
    <w:p>
      <w:pPr>
        <w:pStyle w:val="SourceNote"/>
      </w:pPr>
      <w:r>
        <w:rPr>
          <w:b/>
        </w:rPr>
        <w:t>Available abstract (not full text):</w:t>
      </w:r>
      <w:r>
        <w:t xml:space="preserve"> Wheat production in western Europe accounts for a substantial share of agricultural greenhouse gas emissions, yet the relative contributions of tillage intensity and residue handling remain poorly separated. This research quantified the carbon footprint of 16 tillage-by-residue management combinations in winter wheat at the University of Bonn's experimental station, Klein-Altendorf, Germany, over two growing seasons (October 2021-August 2023). Four tillage methods (conventional moldboard plough, reduced tillage, no-till, strip tillage) were crossed with four residue treatments (removal, partial retention, full retention, incorporation) in a split-plot design with four replications. Carbon footprint was lowest under no-till with full residue retention (2,391 kg CO₂-eq/ha/yr), representing a 44.2% reduction compared to conventional tillage with residue removal (4,287 kg CO₂-eq/ha/yr). Fuel consumption drove 31.4% of the conventional tillage footprint but only 8.7% under no-till. Soil N₂O emissions were 23.8% lower where residue was retained on the surface versus incorporated. Wheat grain yield didn't differ significantly across tillage treatments in the second season, though first-season no-till plots showed a 7.3% yield reduction. These results indicate that tillage reduction combined with surface residue retention offers the largest carbon savings in German wheat systems.</w:t>
      </w:r>
    </w:p>
    <w:p>
      <w:pPr/>
      <w:r>
        <w:rPr>
          <w:b/>
        </w:rPr>
        <w:t>POSSIBLE 2025:</w:t>
      </w:r>
      <w:r>
        <w:t xml:space="preserve"> Using Douglas Fir and European Larch Needles for the Assessment of Their Retention Capacity for Atmospheric Heavy Metals — https://doi.org/10.3390/f16060980</w:t>
      </w:r>
    </w:p>
    <w:p>
      <w:pPr/>
      <w:r>
        <w:rPr>
          <w:b/>
        </w:rPr>
        <w:t>Shared claim-specific concepts:</w:t>
      </w:r>
      <w:r>
        <w:t xml:space="preserve"> retention, over, used; EU scope visible. This is a provisional connection, not an outcome finding.</w:t>
      </w:r>
    </w:p>
    <w:p>
      <w:pPr>
        <w:pStyle w:val="SourceNote"/>
      </w:pPr>
      <w:r>
        <w:rPr>
          <w:b/>
        </w:rPr>
        <w:t>Available abstract (not full text):</w:t>
      </w:r>
      <w:r>
        <w:t xml:space="preserve"> Among numerous global problems, one of the most significant is air pollution. In this paper, unwashed (U) and water-washed (W) needles of two conifers—European larch and Douglas fir—were used to assess their capacity for the retention and accumulation of heavy metals. The needle samples were used to represent the atmospheric deposition of heavy metals located on the surface of the needles. The sampled European larch and Douglas fir plantations were situated at three locations in Serbia: a least polluted (Kučevo), a moderately polluted (Avala), and a very polluted (Lazarevac) site. The content of five heavy metals (Ni, Cu, Co, Cd, Pb) was investigated in the study. The concentration of cadmium (Cd) was higher in the European larch needles compared to Douglas fir, while the differences in the content of the other heavy metals between the species studied were insignificant. For both species, the following trend applied with respect to the heavy metal content in their needles: Ni ˃ Cu ˃ Co ˃ Pb ˃ Cd. Based on the results obtained, we deduced that the concentrations of all investigated heavy metals at all three locations for both species were within the allowed limits, except for nickel (Ni) content, which was over the predicted limit values for both species in the highly polluted area (Lazarevac). A PCA (principal component analysis) undertaken suggests that European larch has a gr</w:t>
      </w:r>
    </w:p>
    <w:p>
      <w:pPr/>
      <w:r>
        <w:rPr>
          <w:b/>
        </w:rPr>
        <w:t>POSSIBLE 2025:</w:t>
      </w:r>
      <w:r>
        <w:t xml:space="preserve"> Active Food Packaging Based On Cassava Residues/Seriguela Residue Extract/nanoZnO — https://doi.org/10.24857/rgsa.v19n5-066</w:t>
      </w:r>
    </w:p>
    <w:p>
      <w:pPr/>
      <w:r>
        <w:rPr>
          <w:b/>
        </w:rPr>
        <w:t>Shared claim-specific concepts:</w:t>
      </w:r>
      <w:r>
        <w:t xml:space="preserve"> residues, retention, approach; EU scope not established. This is a provisional connection, not an outcome finding.</w:t>
      </w:r>
    </w:p>
    <w:p>
      <w:pPr>
        <w:pStyle w:val="SourceNote"/>
      </w:pPr>
      <w:r>
        <w:rPr>
          <w:b/>
        </w:rPr>
        <w:t>Available abstract (not full text):</w:t>
      </w:r>
      <w:r>
        <w:t xml:space="preserve"> Objective: Produce and characterize films based on starch production using extraction from industrial cassava processing as a polymeric matrix, incorporated with nanoZnO and the extract of residues from seriguela processing, with a focus on obtaining active biomaterial for application in food packaging. Theoretical Framework: The production of sustainable materials based on renewable natural resources, such as agricultural crop by-products, produced in large quantities and with little or no added value, has become an increasingly urgent global need, especially for the packaging sector. Method: The cassava residue was supplied by two processing units: the peels by the company José C. da Silva - Farinha (Farinha Quatis ®) located in Lagoa de Itaenga /PE, and the bagasse by Prata Fina® located in the city of Lagoa Salgada /RN. Then, they (peels and bagasse) were subjected to drying at 50 °C, in an oven with air circulation (MA035/5 - MARCONI, Brazil), until a moisture content equal to or less than 10%, and then ground in a multipurpose mill. Subsequently, films were produced with the residue produced with the addition of seriguela extract and nanoZnO. Results and Discussion: CRF presented significant starch content (74.53 g.100g -1 ) and SRE a high phenolic content (1013.7 μgEAG.mL -1 ) with strong antioxidant capacity, but additive films showed low phenolic retention, reinforcing</w:t>
      </w:r>
    </w:p>
    <w:p>
      <w:pPr/>
      <w:r>
        <w:rPr>
          <w:b/>
        </w:rPr>
        <w:t>POSSIBLE 2024:</w:t>
      </w:r>
      <w:r>
        <w:t xml:space="preserve"> Soil bulk density assessment in Europe — https://doi.org/10.1016/j.agee.2024.108907</w:t>
      </w:r>
    </w:p>
    <w:p>
      <w:pPr/>
      <w:r>
        <w:rPr>
          <w:b/>
        </w:rPr>
        <w:t>Shared claim-specific concepts:</w:t>
      </w:r>
      <w:r>
        <w:t xml:space="preserve"> stocks, over, used, spatial;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Bifenthrin Residues in Table Grapevine: Method Optimization, Dissipation and Removal of Residues in Grapes and Grape Leaves — https://doi.org/10.3390/plants13121695</w:t>
      </w:r>
    </w:p>
    <w:p>
      <w:pPr/>
      <w:r>
        <w:rPr>
          <w:b/>
        </w:rPr>
        <w:t>Shared claim-specific concepts:</w:t>
      </w:r>
      <w:r>
        <w:t xml:space="preserve"> residues, calculated, over; EU scope visible. This is a provisional connection, not an outcome finding.</w:t>
      </w:r>
    </w:p>
    <w:p>
      <w:pPr>
        <w:pStyle w:val="SourceNote"/>
      </w:pPr>
      <w:r>
        <w:rPr>
          <w:b/>
        </w:rPr>
        <w:t>Available abstract (not full text):</w:t>
      </w:r>
      <w:r>
        <w:t xml:space="preserve"> The QuEChERS method was adjusted to determine bifenthrin residues in grapes and grape leaves. Extraction and cleanup procedures were optimized to decrease co-extracted materials and enhance the detection of bifenthrin. The method was validated per the European Union (EU) Guidelines criteria. Accuracy ranged from 98.8% to 93.5% for grapes and grape leaves, respectively. Precision values were 5.5 and 6.4 (RSDr) and 7.4 and 6.7 (RSDR) for grapes and grape leaves, respectively. LOQs (the lowest spiking level) were 2 and 20 µg/kg for grapes and grape leaves, respectively. Linearity as determination coefficient (R2) values were 0.9997 and 0.9964 for grapes and grape leaves, respectively, in a matrix over 1–100 µg/L range of analyte concentration. This was very close to the value in the pure solvent (0.9999), showing the efficiency of the cleanup in removing the co-extracted and co-injected materials; the matrix effect was close to zero in both sample matrices. Dissipation of bifenthrin was studied in a supervised trial conducted in a grapevine field during the summer of 2023 at the recommended dose and double the dose. Dissipation factor k values were 0.1549 and 0.1672 (recommended dose) and 0.235 and 0.208 (double dose) for grapes and grape leaves, respectively. Pre-harvest interval (PHI) was calculated for the Maximum Residue Limit (MRL) values of the EU database. Residues of bifen</w:t>
      </w:r>
    </w:p>
    <w:p>
      <w:pPr/>
      <w:r>
        <w:rPr>
          <w:b/>
        </w:rPr>
        <w:t>POSSIBLE 2024:</w:t>
      </w:r>
      <w:r>
        <w:t xml:space="preserve"> Towards the Magic Radioactive Bullet: Improving Targeted Radionuclide Therapy by Reducing the Renal Retention of Radioligands — https://doi.org/10.3390/ph17020256</w:t>
      </w:r>
    </w:p>
    <w:p>
      <w:pPr/>
      <w:r>
        <w:rPr>
          <w:b/>
        </w:rPr>
        <w:t>Shared claim-specific concepts:</w:t>
      </w:r>
      <w:r>
        <w:t xml:space="preserve"> retention, reduced, over, used; EU scope not established. This is a provisional connection, not an outcome finding.</w:t>
      </w:r>
    </w:p>
    <w:p>
      <w:pPr>
        <w:pStyle w:val="SourceNote"/>
      </w:pPr>
      <w:r>
        <w:rPr>
          <w:b/>
        </w:rPr>
        <w:t>Available abstract (not full text):</w:t>
      </w:r>
      <w:r>
        <w:t xml:space="preserve"> Targeted radionuclide therapy (TRT) is an emerging field and has the potential to become a major pillar in effective cancer treatment. Several pharmaceuticals are already in routine use for treating cancer, and there is still a high potential for new compounds for this application. But, a major issue for many radiolabeled low-to-moderate-molecular-weight molecules is their clearance via the kidneys and their subsequent reuptake. High renal accumulation of radioactive compounds may lead to nephrotoxicity, and therefore, the kidneys are often the dose-limiting organs in TRT with these radioligands. Over the years, different strategies have been developed aiming for reduced kidney retention and enhanced therapeutic efficacy of radioligands. In this review, we will give an overview of the efforts and achievements of the used strategies, with focus on the therapeutic potential of low-to-moderate-molecular-weight molecules. Among the strategies discussed here is coadministration of compounds that compete for binding to the endocytic receptors in the proximal tubuli. In addition, the influence of altering the molecular design of radiolabeled ligands on pharmacokinetics is discussed, which includes changes in their physicochemical properties and implementation of cleavable linkers or albumin-binding moieties. Furthermore, we discuss the influence of chelator and radionuclide choice on </w:t>
      </w:r>
    </w:p>
    <w:p>
      <w:pPr>
        <w:pStyle w:val="Heading2"/>
      </w:pPr>
      <w:r>
        <w:t>545. Long-term transport decarbonization pathways in the European Union: a strategic energy-economy analysis</w:t>
      </w:r>
    </w:p>
    <w:p>
      <w:pPr>
        <w:pStyle w:val="SourceNote"/>
      </w:pPr>
      <w:r>
        <w:rPr>
          <w:b/>
        </w:rPr>
        <w:t>Original source (2022):</w:t>
      </w:r>
      <w:r>
        <w:t xml:space="preserve"> https://doi.org/10.1080/15567249.2022.2101712</w:t>
      </w:r>
    </w:p>
    <w:p>
      <w:pPr/>
      <w:r>
        <w:t>Original wording (abstract; indexed_source_text_not_full_document_verified): Owing to their uncertain and disruptive role, we assess the potential contribution of e-fuels deployment to the EU transport decarbonization in line with the region’s climate neutrality ambition in 2050. However, the two scenarios differ in the other technology and fuel choices, with implications on road freight transport, infrastructure, R&amp;D spending, and maturity requirements for alternative vehicles.</w:t>
      </w:r>
    </w:p>
    <w:p>
      <w:pPr/>
      <w:r>
        <w:rPr>
          <w:b/>
        </w:rPr>
        <w:t>POSSIBLE 2026:</w:t>
      </w:r>
      <w:r>
        <w:t xml:space="preserve"> Unpacking the Paradoxes of Trust in Uncertain Times — https://doi.org/10.1177/01708406261430577</w:t>
      </w:r>
    </w:p>
    <w:p>
      <w:pPr/>
      <w:r>
        <w:rPr>
          <w:b/>
        </w:rPr>
        <w:t>Shared claim-specific concepts:</w:t>
      </w:r>
      <w:r>
        <w:t xml:space="preserve"> uncertain, however, technology, implications; EU scope not established. This is a provisional connection, not an outcome finding.</w:t>
      </w:r>
    </w:p>
    <w:p>
      <w:pPr>
        <w:pStyle w:val="SourceNote"/>
      </w:pPr>
      <w:r>
        <w:rPr>
          <w:b/>
        </w:rPr>
        <w:t>Available abstract (not full text):</w:t>
      </w:r>
      <w:r>
        <w:t xml:space="preserve"> Trust has been recognized as a foundational pillar underpinning the functioning of organizations and society. However, contemporary developments have unleashed unprecedented uncertainty, challenging established notions of social order and raising urgent questions about how trust will operate in the years to come. A deeper understanding of the interface between uncertainty and trust is needed, elaborating how institutions and advanced technologies offer pathways for building and maintaining trust. Our analysis identifies three core paradoxes: trust–uncertainty, trust–institution, and trust–technology. These paradoxes highlight that trust proves indispensable where it is hardest to build, that trusted institutions falter when uncertainty is high and they are needed most, and that technologies designed to reduce uncertainty can in fact increase it. This special issue curates five studies that illuminate these paradoxes. A qualitative study of whistleblowing reveals tensions in how organizations signal ability, benevolence, integrity, transparency, and identification across stakeholders and over time (trust–uncertainty). A mixed‑methods study of a high court theorizes fidelity mechanisms—recognition, selection, socialization—that stabilize the production of “trust objects” (trust–institution). A multilevel network analysis of a corporate top‑management team shows that shared organi</w:t>
      </w:r>
    </w:p>
    <w:p>
      <w:pPr/>
      <w:r>
        <w:rPr>
          <w:b/>
        </w:rPr>
        <w:t>POSSIBLE 2026:</w:t>
      </w:r>
      <w:r>
        <w:t xml:space="preserve"> Assessing the importance of the European armament sector: a multiregional approach — https://doi.org/10.1080/10242694.2026.2673058</w:t>
      </w:r>
    </w:p>
    <w:p>
      <w:pPr/>
      <w:r>
        <w:rPr>
          <w:b/>
        </w:rPr>
        <w:t>Shared claim-specific concepts:</w:t>
      </w:r>
      <w:r>
        <w:t xml:space="preserve"> assess, potential, other; EU scope visible. This is a provisional connection, not an outcome finding.</w:t>
      </w:r>
    </w:p>
    <w:p>
      <w:pPr>
        <w:pStyle w:val="SourceNote"/>
      </w:pPr>
      <w:r>
        <w:rPr>
          <w:b/>
        </w:rPr>
        <w:t>Available abstract (not full text):</w:t>
      </w:r>
      <w:r>
        <w:t xml:space="preserve"> The threat posed by the war in Ukraine and the shift in the U.S. administration’s stance toward the European Union compel member states to cooperate in the armaments industry through co-production and co-development projects. This makes the present study particularly valuable for understanding the current state of the defence sector within EU member states.Our study examines the situation of the armaments industry across EU member states, focusing specifically on intersectoral relationships and their multiplier effect on the economy. This approach enables us to assess the state of the defence sector and anticipate worst-case scenarios arising from the ongoing conflict in neighboring territories. Furthermore, it allows us to identify potential capability gaps within the defence sector.To conduct this analysis, we employ a multisectoral and multinational modeling framework based on the input – output methodology, which enables the disaggregation of the armaments sector into its constituent subsectors, thereby facilitating the examination of income flows associated with this industry. The results obtained provide an in-depth understanding of both the weight of the armaments industry in the domestic economy of each EU member state and the impact of this sector on other economies through trade exchanges.</w:t>
      </w:r>
    </w:p>
    <w:p>
      <w:pPr/>
      <w:r>
        <w:rPr>
          <w:b/>
        </w:rPr>
        <w:t>POSSIBLE 2026:</w:t>
      </w:r>
      <w:r>
        <w:t xml:space="preserve"> Budget Impact Analysis of Vacuum-Assisted Excision Versus Surgical Excision for the Assessment of Breast Lesions of Uncertain Malignant Potential in Italy — https://doi.org/10.1007/s41669-026-00663-w</w:t>
      </w:r>
    </w:p>
    <w:p>
      <w:pPr/>
      <w:r>
        <w:rPr>
          <w:b/>
        </w:rPr>
        <w:t>Shared claim-specific concepts:</w:t>
      </w:r>
      <w:r>
        <w:t xml:space="preserve"> owing, uncertain, potential; EU scope visible. This is a provisional connection, not an outcome finding.</w:t>
      </w:r>
    </w:p>
    <w:p>
      <w:pPr>
        <w:pStyle w:val="SourceNote"/>
      </w:pPr>
      <w:r>
        <w:rPr>
          <w:b/>
        </w:rPr>
        <w:t>Available abstract (not full text):</w:t>
      </w:r>
      <w:r>
        <w:t xml:space="preserve"> BACKGROUND/OBJECTIVE: B3 breast lesions, of uncertain malignant potential, pose diagnostic challenges owing to their intermediate malignancy risk. While surgical excision (SE) is traditionally used for definitive diagnosis, vacuum-assisted excision (VAE) offers a less invasive alternative. As diagnostic practices evolve, this study assesses the financial impact of adopting VAE for B3 lesion management from the hospital perspective within the Italian healthcare system. MATERIALS AND METHODS: A budget impact analysis (BIA) was conducted from the hospital perspective over a 5-year time horizon. Clinical complication rates for SE and VAE were derived through a systematic literature review and meta-analysis. A micro-costing approach was used to estimate direct medical costs on the basis of detailed resource utilization data collected via structured questionnaires administered across five Italian hospitals. One-way sensitivity analyses and scenario analyses were conducted to test the robustness of the results. RESULTS: VAE was associated with significantly lower costs than SE, mainly owing to reduced hospitalization, operating room use, and personnel time. The average per-patient cost was €820 for VAE versus €1663 for SE, yielding savings of €843. Over 5 years, with VAE adoption rising from 20% to 80%, cumulative hospital savings were estimated to be between €11.1 million and €13.7 m</w:t>
      </w:r>
    </w:p>
    <w:p>
      <w:pPr/>
      <w:r>
        <w:rPr>
          <w:b/>
        </w:rPr>
        <w:t>POSSIBLE 2025:</w:t>
      </w:r>
      <w:r>
        <w:t xml:space="preserve"> Persistent positive anomalies in geopotential heights drive enhanced wildfire activity across Europe — https://doi.org/10.1098/rstb.2023.0455</w:t>
      </w:r>
    </w:p>
    <w:p>
      <w:pPr/>
      <w:r>
        <w:rPr>
          <w:b/>
        </w:rPr>
        <w:t>Shared claim-specific concepts:</w:t>
      </w:r>
      <w:r>
        <w:t xml:space="preserve"> role, climate, fuel, implications; EU scope visible. This is a provisional connection, not an outcome finding.</w:t>
      </w:r>
    </w:p>
    <w:p>
      <w:pPr>
        <w:pStyle w:val="SourceNote"/>
      </w:pPr>
      <w:r>
        <w:rPr>
          <w:b/>
        </w:rPr>
        <w:t>Available abstract (not full text):</w:t>
      </w:r>
      <w:r>
        <w:t xml:space="preserve"> Persistent positive anomalies (PPAs) in 500 hPa geopotential height are upper-air circulation patterns associated with surface heatwaves, drought and fuel aridity. We examined the association between PPA events and surface fire weather and burned area at a pan-European level. Europe-wide, extreme fire weather and wildfires were on average 3.5 and 2.3 times more likely to occur concurrently with a PPA, respectively. PPAs were associated with 45% of pan-European area burned between March and October 2001-2021, and there was a latitudinal increase of up to 63% in the percentage of area burned during or up to 7 days following PPAs over Northern Europe. The burned area was highest up to one week following PPA presence, and fuel moisture indices from the Canadian Fire Weather Index System lagged behind peak PPA strength, demonstrating the role of PPAs in pre-drying fuels. Our findings highlight opportunities for developing early warning systems of wildfire danger, having implications for wildfire awareness and preparedness, informing policy and wildfire management decisions like early mobilization and resource sharing initiatives across Europe.This article is part of the theme issue 'Novel fire regimes under climate changes and human influences: impacts, ecosystem responses and feedbacks'.</w:t>
      </w:r>
    </w:p>
    <w:p>
      <w:pPr/>
      <w:r>
        <w:rPr>
          <w:b/>
        </w:rPr>
        <w:t>POSSIBLE 2025:</w:t>
      </w:r>
      <w:r>
        <w:t xml:space="preserve"> Uncertain research country rankings. Should we continue producing uncertain rankings? — https://doi.org/10.2478/jdis-2025-0030</w:t>
      </w:r>
    </w:p>
    <w:p>
      <w:pPr/>
      <w:r>
        <w:rPr>
          <w:b/>
        </w:rPr>
        <w:t>Shared claim-specific concepts:</w:t>
      </w:r>
      <w:r>
        <w:t xml:space="preserve"> uncertain, however, implications; EU scope not established. This is a provisional connection, not an outcome finding.</w:t>
      </w:r>
    </w:p>
    <w:p>
      <w:pPr>
        <w:pStyle w:val="SourceNote"/>
      </w:pPr>
      <w:r>
        <w:rPr>
          <w:b/>
        </w:rPr>
        <w:t>Available abstract (not full text):</w:t>
      </w:r>
      <w:r>
        <w:t xml:space="preserve"> ABSTRACT Purpose Citation-based assessments of countries’ research capabilities often misrepresent their ability to achieve breakthrough advancements. These assessments commonly classify Japan as a developing country, which contradicts its prominent scientific standing. The purpose of this study is to investigate the underlying causes of such inaccurate assessments and to propose methods for conducting more reliable evaluations. Design/methodology/approach The study evaluates the effectiveness of top-percentile citation metrics as indicators of breakthrough research. Using case studies of selected countries and research topics, the study examines how deviations from lognormal citation distributions impact the accuracy of these percentile indicators. A similar analysis is conducted using university data from the Leiden Ranking to investigate citation distribution deviations at the institutional level. Findings The study finds that inflated lower tails in citation distributions lead to undervaluation of research capabilities in advanced technological countries, as captured by some percentile indicators. Conversely, research-intensive universities exhibit the opposite trend: a reduced lower tail relative to the upper tail, which causes percentile indicators to overestimate their actual research capacity. Research limitations The descriptions are mathematical facts that are self-ev</w:t>
      </w:r>
    </w:p>
    <w:p>
      <w:pPr/>
      <w:r>
        <w:rPr>
          <w:b/>
        </w:rPr>
        <w:t>POSSIBLE 2025:</w:t>
      </w:r>
      <w:r>
        <w:t xml:space="preserve"> The Uncertain World of Renaissance Geneva and Savoy — https://doi.org/10.5117/9789048566396</w:t>
      </w:r>
    </w:p>
    <w:p>
      <w:pPr/>
      <w:r>
        <w:rPr>
          <w:b/>
        </w:rPr>
        <w:t>Shared claim-specific concepts:</w:t>
      </w:r>
      <w:r>
        <w:t xml:space="preserve"> uncertain, line, other; EU scope visible. This is a provisional connection, not an outcome finding.</w:t>
      </w:r>
    </w:p>
    <w:p>
      <w:pPr>
        <w:pStyle w:val="SourceNote"/>
      </w:pPr>
      <w:r>
        <w:rPr>
          <w:b/>
        </w:rPr>
        <w:t>Available abstract (not full text):</w:t>
      </w:r>
      <w:r>
        <w:t xml:space="preserve"> Uncertainty and instability affected Geneva and the Duchy of Savoy since the mid-fifteenth century. French and Swiss expansionism had turned Savoy into part of a long geopolitical fault line, running from the North Sea to the Mediterranean along the border between France and the Empire. In Geneva, and partially in other towns of Piedmont and the Pays de Vaud, this instability fuelled urban factionalism, confessional conflicts, but also wider discussions about the ways in which society could be reformed. Conflicts were, in the end, the consequence of a struggle about the best political and religious option to reduce uncertainty. The Uncertain World of Renaissance Geneva and Savoy looks at how political life worked in a time of great instability, seeking to answer a straightforward—but not easy—question: how did people face and react to political and religious uncertainty?</w:t>
      </w:r>
    </w:p>
    <w:p>
      <w:pPr/>
      <w:r>
        <w:rPr>
          <w:b/>
        </w:rPr>
        <w:t>POSSIBLE 2025:</w:t>
      </w:r>
      <w:r>
        <w:t xml:space="preserve"> The Uncertain World of Renaissance Geneva and Savoy — https://doi.org/10.1515/9789048566402</w:t>
      </w:r>
    </w:p>
    <w:p>
      <w:pPr/>
      <w:r>
        <w:rPr>
          <w:b/>
        </w:rPr>
        <w:t>Shared claim-specific concepts:</w:t>
      </w:r>
      <w:r>
        <w:t xml:space="preserve"> uncertain, line, other; EU scope visible. This is a provisional connection, not an outcome finding.</w:t>
      </w:r>
    </w:p>
    <w:p>
      <w:pPr>
        <w:pStyle w:val="SourceNote"/>
      </w:pPr>
      <w:r>
        <w:rPr>
          <w:b/>
        </w:rPr>
        <w:t>Available abstract (not full text):</w:t>
      </w:r>
      <w:r>
        <w:t xml:space="preserve"> Uncertainty and instability affected Geneva and the Duchy of Savoy since the mid-fifteenth century. French and Swiss expansionism had turned Savoy into part of a long geopolitical fault line, running from the North Sea to the Mediterranean along the border between France and the Empire. In Geneva, and partially in other towns of Piedmont and the Pays de Vaud, this instability fuelled urban factionalism, confessional conflicts, but also wider discussions about the ways in which society could be reformed. Conflicts were, in the end, the consequence of a struggle about the best political and religious option to reduce uncertainty. The Uncertain World of Renaissance Geneva and Savoy looks at how political life worked in a time of great instability, seeking to answer a straightforward—but not easy—question: how did people face and react to political and religious uncertainty?</w:t>
      </w:r>
    </w:p>
    <w:p>
      <w:pPr/>
      <w:r>
        <w:rPr>
          <w:b/>
        </w:rPr>
        <w:t>POSSIBLE 2025:</w:t>
      </w:r>
      <w:r>
        <w:t xml:space="preserve"> The Double Tidal Disruption Event AT 2022dbl Implies that at Least Some “Standard” Optical Tidal Disruption Events Are Partial Disruptions — https://doi.org/10.3847/2041-8213/ade155</w:t>
      </w:r>
    </w:p>
    <w:p>
      <w:pPr/>
      <w:r>
        <w:rPr>
          <w:b/>
        </w:rPr>
        <w:t>Shared claim-specific concepts:</w:t>
      </w:r>
      <w:r>
        <w:t xml:space="preserve"> two; EU scope not established. This is a provisional connection, not an outcome finding.</w:t>
      </w:r>
    </w:p>
    <w:p>
      <w:pPr>
        <w:pStyle w:val="SourceNote"/>
      </w:pPr>
      <w:r>
        <w:rPr>
          <w:b/>
        </w:rPr>
        <w:t>Available abstract (not full text):</w:t>
      </w:r>
      <w:r>
        <w:t xml:space="preserve"> Abstract Flares produced following the tidal disruption of stars by supermassive black holes can reveal the properties of the otherwise dormant majority of black holes and the physics of accretion. In the past decade, a class of optical-ultraviolet tidal disruption flares has been discovered whose emission properties do not match theoretical predictions. This has led to extensive efforts to model the dynamics and emission mechanisms of optical-ultraviolet tidal disruptions in order to establish them as probes of supermassive black holes. Here we present the optical-ultraviolet tidal disruption event AT 2022dbl, which showed a nearly identical repetition 700 days after the first flare. Ruling out gravitational lensing and two chance unrelated disruptions, we conclude that at least the first flare represents the partial disruption of a star, possibly captured through the Hills mechanism. Since both flares are typical of the optical-ultraviolet class of tidal disruptions in terms of their radiated energy, temperature, luminosity, and spectral features, it follows that either the entire class are partial rather than full stellar disruptions, contrary to the prevalent assumption, or some members of the class are partial disruptions, having nearly the same observational characteristics as full disruptions. Whichever option is true, these findings could require revised models for the </w:t>
      </w:r>
    </w:p>
    <w:p>
      <w:pPr/>
      <w:r>
        <w:rPr>
          <w:b/>
        </w:rPr>
        <w:t>POSSIBLE 2025:</w:t>
      </w:r>
      <w:r>
        <w:t xml:space="preserve"> Implications of window opening assumptions in English overheating regulation on assessing residential heat resilience under uncertain climate — https://doi.org/10.26868/25222708.2025.1494</w:t>
      </w:r>
    </w:p>
    <w:p>
      <w:pPr/>
      <w:r>
        <w:rPr>
          <w:b/>
        </w:rPr>
        <w:t>Shared claim-specific concepts:</w:t>
      </w:r>
      <w:r>
        <w:t xml:space="preserve"> uncertain, role, climate, however, implications; EU scope not established. This is a provisional connection, not an outcome finding.</w:t>
      </w:r>
    </w:p>
    <w:p>
      <w:pPr>
        <w:pStyle w:val="SourceNote"/>
      </w:pPr>
      <w:r>
        <w:rPr>
          <w:b/>
        </w:rPr>
        <w:t>Available abstract (not full text):</w:t>
      </w:r>
      <w:r>
        <w:t xml:space="preserve"> Climate change causes more frequent and severe heat- waves in temperate regions, posing a grave risk of heat exposure to dwellings. To address this, the United Kingdom government recently implemented regula- tions to mitigate overheating in English and Welsh homes. Approved Document O (ADO), as its accom- panying technical guidance, recommends a modelling approach to demonstrating regulatory compliance for summertime thermal comfort, which is based on the Technical Memorandum 59 (TM59) methodology with modifications to the standardised window control be- haviours. Previous studies have highlighted adaptive ventilation as a crucial measure to enhance heat resi- lience of future homes; however, the impact of such modifications on overheating prediction has not been quantitatively discussed, particularly in consideration of climate uncertainty. This paper aims to investigate the implications of the tailored window control rule- sets in ADO on heat resilience evaluation for future homes under uncertain climatic conditions. Results suggest a statistically significant difference (p &lt; 0.001) in overheating assessment results between TM59 and ADO, with the greatest effect observed on the expected overheating risk in nocturnal bedrooms. Quantitat- ive evidence also reveals the critical role of nighttime ventilation in enhancing thermal comfort in future summers regarding both effectiven</w:t>
      </w:r>
    </w:p>
    <w:p>
      <w:pPr/>
      <w:r>
        <w:rPr>
          <w:b/>
        </w:rPr>
        <w:t>POSSIBLE 2025:</w:t>
      </w:r>
      <w:r>
        <w:t xml:space="preserve"> A Review of Food Security Crisis in Uncertain Times — https://doi.org/10.54536/ajfst.v4i1.3622</w:t>
      </w:r>
    </w:p>
    <w:p>
      <w:pPr/>
      <w:r>
        <w:rPr>
          <w:b/>
        </w:rPr>
        <w:t>Shared claim-specific concepts:</w:t>
      </w:r>
      <w:r>
        <w:t xml:space="preserve"> uncertain, role, potential, climate, other, implications; EU scope not established. This is a provisional connection, not an outcome finding.</w:t>
      </w:r>
    </w:p>
    <w:p>
      <w:pPr>
        <w:pStyle w:val="SourceNote"/>
      </w:pPr>
      <w:r>
        <w:rPr>
          <w:b/>
        </w:rPr>
        <w:t>Available abstract (not full text):</w:t>
      </w:r>
      <w:r>
        <w:t xml:space="preserve"> Hunger and poverty are not the only issues linked to the food insecurity challenge. Increased violence, terrorism, natural catastrophes, climate change, and the most recent worldwide pandemic known as the COVID-19 Pandemic have all drawn attention to the issue of food poverty. Before the world’s economy fully recovered from the COVID-19 pandemic, the globe was particularly affected by the Russian invasion of Ukraine and the grain crisis, which intensified the situation to never-before-seen proportions. This article describes the numerous complex issues underlying the food shortage and how it affects the world’s least developed nations and individuals. This article analyses the challenges of global food scarcity, especially during the COVID-19 pandemic. The method of study involved conducting a comprehensive literature search on electronic databases, including PubMed, Google Scholar, and Embase. The relevant results were then recorded in a qualitative descriptive form. It examines the impact of the pandemic on food systems, its implications for the worldwide supply chain, and food and addressing the shortage. The review also explores factors contributing to food scarcity, such as the controversial role of biofuels. The article discusses the extent of hunger and food insecurity, emphasizing the moral implications of unhealthy eating practices and the relationship between food sec</w:t>
      </w:r>
    </w:p>
    <w:p>
      <w:pPr/>
      <w:r>
        <w:rPr>
          <w:b/>
        </w:rPr>
        <w:t>POSSIBLE 2025:</w:t>
      </w:r>
      <w:r>
        <w:t xml:space="preserve"> Dependent Infrastructure Service Disruption Mapping (DISruptionMap): A method to assess cascading service disruptions in disaster scenarios — https://doi.org/10.1038/s41598-025-89469-0</w:t>
      </w:r>
    </w:p>
    <w:p>
      <w:pPr/>
      <w:r>
        <w:rPr>
          <w:b/>
        </w:rPr>
        <w:t>Shared claim-specific concepts:</w:t>
      </w:r>
      <w:r>
        <w:t xml:space="preserve"> assess, transport, other; EU scope visible. This is a provisional connection, not an outcome finding.</w:t>
      </w:r>
    </w:p>
    <w:p>
      <w:pPr>
        <w:pStyle w:val="SourceNote"/>
      </w:pPr>
      <w:r>
        <w:rPr>
          <w:b/>
        </w:rPr>
        <w:t>Available abstract (not full text):</w:t>
      </w:r>
      <w:r>
        <w:t xml:space="preserve"> Critical infrastructures provide essential services for our modern society. Large-scale natural hazards, such as floods or storms, can disrupt multiple critical infrastructures at once. In addition, a localized failure of one service can trigger a cascade of failures of other dependent services. This makes it challenging to anticipate and prepare adequately for direct and indirect consequences of such events. Existing methods that are spatially explicit and consider service dependencies currently lack practicality, as they require large amounts of data. To address this gap, we propose a novel method called DISruptionMap which analyzes complex disruptions to critical infrastructure services. The proposed method combines (i) spatial service models to assess direct service disruptions with (ii) a service dependency model to assess indirect (cascading) service disruptions. A fault tree-based approach is implemented, resulting in a significant decrease in the information required to set up the service dependency model. We demonstrate the effectiveness of our method in a case study examining the impact of an extreme flood on health, transport, and power services in Cologne, Germany.</w:t>
      </w:r>
    </w:p>
    <w:p>
      <w:pPr/>
      <w:r>
        <w:rPr>
          <w:b/>
        </w:rPr>
        <w:t>POSSIBLE 2025:</w:t>
      </w:r>
      <w:r>
        <w:t xml:space="preserve"> Sri Lankan Migrant Women’s Uncertain COVID-19 Conditions in the Middle East — https://doi.org/10.47836/pjssh.33.2.04</w:t>
      </w:r>
    </w:p>
    <w:p>
      <w:pPr/>
      <w:r>
        <w:rPr>
          <w:b/>
        </w:rPr>
        <w:t>Shared claim-specific concepts:</w:t>
      </w:r>
      <w:r>
        <w:t xml:space="preserve"> owing, uncertain, however; EU scope not established. This is a provisional connection, not an outcome finding.</w:t>
      </w:r>
    </w:p>
    <w:p>
      <w:pPr>
        <w:pStyle w:val="SourceNote"/>
      </w:pPr>
      <w:r>
        <w:rPr>
          <w:b/>
        </w:rPr>
        <w:t>Available abstract (not full text):</w:t>
      </w:r>
      <w:r>
        <w:t xml:space="preserve"> The discrimination and exploitation encountered by Sri Lankan migrant women in the Middle East labour market have aggravated, which engenders significant challenges for numerous families, especially during the COVID-19 pandemic. The current study aims to explore Sri Lankan women’s uncertain living conditions with families during the COVID-19 pandemic. A qualitative research method was employed to collect data through a semi-structured interview guide and produce a descriptive analysis using the thematic analysis technique. Purposive sampling was performed to recruit Sri Lankan migrant women who stayed with their respective families in Bahrain. A total of 13 online in-depth interviews were conducted. Resultantly, Sri Lankan migrant women experienced significant challenges during the pandemic due to frequent humiliation and termination by employers, which significantly increased the pressure of living. The crisis negatively impacted Sri Lankan migrant women’s lives owing to increased family responsibilities, which led to high challenges in achieving a balance between work and family. Working in the Middle East and resettling in Sri Lanka were not as favourable as expected at their stage of work, which required them to adopt coping mechanisms to achieve their economic goal. However, the amount of relevant materials and social support for the migrant women was minimal. The present </w:t>
      </w:r>
    </w:p>
    <w:p>
      <w:pPr>
        <w:pStyle w:val="Heading2"/>
      </w:pPr>
      <w:r>
        <w:t>546. Making the EU Carbon Border Adjustment Mechanism acceptable and climate friendly for least developed countries</w:t>
      </w:r>
    </w:p>
    <w:p>
      <w:pPr>
        <w:pStyle w:val="SourceNote"/>
      </w:pPr>
      <w:r>
        <w:rPr>
          <w:b/>
        </w:rPr>
        <w:t>Original source (2022):</w:t>
      </w:r>
      <w:r>
        <w:t xml:space="preserve"> https://doi.org/10.1016/j.enpol.2022.113245</w:t>
      </w:r>
    </w:p>
    <w:p>
      <w:pPr/>
      <w:r>
        <w:t>Original wording (abstract; indexed_source_text_not_full_document_verified): A more stringent climate target results in carbon leakage, and implementing CBAM will reduce the rate by one-third by 2040. Implementation of CBAM to support EU climate neutrality by 2050 has raised several concerns.</w:t>
      </w:r>
    </w:p>
    <w:p>
      <w:pPr/>
      <w:r>
        <w:rPr>
          <w:b/>
        </w:rPr>
        <w:t>POSSIBLE 2026:</w:t>
      </w:r>
      <w:r>
        <w:t xml:space="preserve"> Climate disclosure and risk premium in the European bond market — https://doi.org/10.1007/s40822-026-00401-x</w:t>
      </w:r>
    </w:p>
    <w:p>
      <w:pPr/>
      <w:r>
        <w:rPr>
          <w:b/>
        </w:rPr>
        <w:t>Shared claim-specific concepts:</w:t>
      </w:r>
      <w:r>
        <w:t xml:space="preserve"> stringent, climate, carbon; EU scope visible. This is a provisional connection, not an outcome finding.</w:t>
      </w:r>
    </w:p>
    <w:p>
      <w:pPr>
        <w:pStyle w:val="SourceNote"/>
      </w:pPr>
      <w:r>
        <w:rPr>
          <w:b/>
        </w:rPr>
        <w:t>Available abstract (not full text):</w:t>
      </w:r>
      <w:r>
        <w:t xml:space="preserve"> Abstract Stringent climate regulations are necessary to achieve robust mitigation targets, putting carbon-intensive activities under pressure and increasing the risk perceived in financial markets. This paper empirically investigates how transition risk is priced into European firms' risk and creditworthiness, using five-year credit default swap (CDS) spreads and Merton's Distance to Default (DtD). The sample comprises European listed companies covered by the EU Emissions Trading System (ETS). Evidence suggests that the ETS carbon price and verified emissions increase credit risk, whereas disclosing emissions reduces it. We find heterogeneous effects across the two indicators, which could indicate different ways in which transition risk is channelled to bond markets. Furthermore, the divergent effects between voluntary and compliance-based measurement of environmental performance could indicate underpricing of emissions relocated outside regulated jurisdictions.</w:t>
      </w:r>
    </w:p>
    <w:p>
      <w:pPr/>
      <w:r>
        <w:rPr>
          <w:b/>
        </w:rPr>
        <w:t>POSSIBLE 2026:</w:t>
      </w:r>
      <w:r>
        <w:t xml:space="preserve"> Methane leakage thresholds for net climate benefits of wastewater biogas recovery — https://doi.org/10.1038/s41893-026-01818-7</w:t>
      </w:r>
    </w:p>
    <w:p>
      <w:pPr/>
      <w:r>
        <w:rPr>
          <w:b/>
        </w:rPr>
        <w:t>Shared claim-specific concepts:</w:t>
      </w:r>
      <w:r>
        <w:t xml:space="preserve"> climate, leakage, rate; EU scope not established. This is a provisional connection, not an outcome finding.</w:t>
      </w:r>
    </w:p>
    <w:p>
      <w:pPr>
        <w:pStyle w:val="SourceNote"/>
      </w:pPr>
      <w:r>
        <w:rPr>
          <w:b/>
        </w:rPr>
        <w:t>Available abstract (not full text):</w:t>
      </w:r>
      <w:r>
        <w:t xml:space="preserve"> Biogas recovery is crucial for decarbonizing water resource recovery facilities (WRRFs), offering renewable energy production alongside waste treatment. However, methane (CH4) leakage during digestion and biogas handling can largely compromise their climate benefits, yet this risk remains uncharacterized. Here we present a US national-scale assessment of CH4 leakage thresholds beyond which WRRF biogas systems lose net climate benefits. By compiling measured leakage data from over 50 facilities and all available literature, we found the leakage rate ranged from 0.4% to 65%, and a large fraction of current systems exceeds the net-zero emission threshold, indicating substantial climate risk. The regional- and technology-specific scenario and sensitivity analyses show that net-zero thresholds range from 2% to 10% of biogas produced, depending on heat recovery, grid emissions intensity and biogas utilization pathways. Grid decarbonization further shifts these tolerances, making renewable natural gas systems more viable than combined heat and power in future low-carbon energy contexts. The analysis offers a quantitative roadmap showing how targeted leak detection and repair can transform most facilities from climate liabilities into assets, delivering both climate and economic gains and underscoring the urgent need for binding methane monitoring and mitigation policies to realize the</w:t>
      </w:r>
    </w:p>
    <w:p>
      <w:pPr/>
      <w:r>
        <w:rPr>
          <w:b/>
        </w:rPr>
        <w:t>POSSIBLE 2026:</w:t>
      </w:r>
      <w:r>
        <w:t xml:space="preserve"> Stringent climate policies and energy poverty: Evidence of spatial spillovers and challenges for a just transition — https://doi.org/10.1016/j.enpol.2026.115590</w:t>
      </w:r>
    </w:p>
    <w:p>
      <w:pPr/>
      <w:r>
        <w:rPr>
          <w:b/>
        </w:rPr>
        <w:t>Shared claim-specific concepts:</w:t>
      </w:r>
      <w:r>
        <w:t xml:space="preserve"> stringent, climate, implementing, reduce; EU scope not established. This is a provisional connection, not an outcome finding.</w:t>
      </w:r>
    </w:p>
    <w:p>
      <w:pPr>
        <w:pStyle w:val="SourceNote"/>
      </w:pPr>
      <w:r>
        <w:rPr>
          <w:b/>
        </w:rPr>
        <w:t>Available abstract (not full text):</w:t>
      </w:r>
      <w:r>
        <w:t xml:space="preserve"> Stringent climate policies (SCPs) are central to decarbonization, yet their distributive impacts on energy poverty (EP) and regional inequality remain contentious, especially under growing fragmentation and weaker policy coordination. This study investigates the impact of SCPs on EP in China, examining heterogeneity across policy instruments, mechanisms, and spatial contexts. Using more than 7000 subnational policies from 2007 to 2022, we construct a text-based SCP index and apply fixed-effects and spatial econometric models. The results show that SCPs are consistently associated with lower EP, with command-and-control instruments exhibiting particularly strong effects, partly through industrial upgrading. However, once spatial dependence is considered, the effects become more uneven: Spatial Durbin Models show that SCPs reduce EP within implementing provinces but increase EP pressure in neighbouring regions. Further evidence from polluting-firm entry suggests that stricter SCPs may discourage polluting activities locally while increasing their relative entry in nearby provinces, helping to explain the observed beggar-thy-neighbour pattern. Spatial effect decomposition shows that local gains are largely offset by cross-border spillovers, leading to a small and statistically insignificant total effect. We conclude that climate policy design should account for spatial externaliti</w:t>
      </w:r>
    </w:p>
    <w:p>
      <w:pPr/>
      <w:r>
        <w:rPr>
          <w:b/>
        </w:rPr>
        <w:t>POSSIBLE 2026:</w:t>
      </w:r>
      <w:r>
        <w:t xml:space="preserve"> The Carbon Border Adjustment Mechanism: a new european tax to address carbon leakage — https://doi.org/10.4013/rechtd.2025.173.03</w:t>
      </w:r>
    </w:p>
    <w:p>
      <w:pPr/>
      <w:r>
        <w:rPr>
          <w:b/>
        </w:rPr>
        <w:t>Shared claim-specific concepts:</w:t>
      </w:r>
      <w:r>
        <w:t xml:space="preserve"> climate, carbon, leakage, cbam, implementation; EU scope visible. This is a provisional connection, not an outcome finding.</w:t>
      </w:r>
    </w:p>
    <w:p>
      <w:pPr>
        <w:pStyle w:val="SourceNote"/>
      </w:pPr>
      <w:r>
        <w:rPr>
          <w:b/>
        </w:rPr>
        <w:t>Available abstract (not full text):</w:t>
      </w:r>
      <w:r>
        <w:t xml:space="preserve"> In the framework of strengthening policies to address the global climate crisis, the European Union, through Regulation 2023/956, has adopted the Carbon Border Adjustment Mechanism (CBAM), a fiscal measure imposed on imports of carbon-intensive products originating from non-EU countries. With this instrument, the EU seeks to prevent its regulatory efforts for environmental protection from being undermined by third countries lacking adequate environmental strategies. The climate emergency, however, is a global challenge that requires the active contribution of economic actors worldwide, whose conduct — also through the application of fiscal levies — can be steered towards greener or at least more sustainable production practices. Nevertheless, the phased implementation of the CBAM, which has not yet fully entered into force, together with the broader implications it may entail beyond the strictly environmental dimension, suggest that a medium- to long-term horizon will be necessary before the mechanism can yield tangible results, not only in terms of reducing pollution but also in fostering greater balance in international trade relations.</w:t>
      </w:r>
    </w:p>
    <w:p>
      <w:pPr/>
      <w:r>
        <w:rPr>
          <w:b/>
        </w:rPr>
        <w:t>POSSIBLE 2026:</w:t>
      </w:r>
      <w:r>
        <w:t xml:space="preserve"> Understanding Carbon Leakage — https://doi.org/10.65864/t2cdr13ckm</w:t>
      </w:r>
    </w:p>
    <w:p>
      <w:pPr/>
      <w:r>
        <w:rPr>
          <w:b/>
        </w:rPr>
        <w:t>Shared claim-specific concepts:</w:t>
      </w:r>
      <w:r>
        <w:t xml:space="preserve"> climate, carbon, leakage, implementing; EU scope visible. This is a provisional connection, not an outcome finding.</w:t>
      </w:r>
    </w:p>
    <w:p>
      <w:pPr>
        <w:pStyle w:val="SourceNote"/>
      </w:pPr>
      <w:r>
        <w:rPr>
          <w:b/>
        </w:rPr>
        <w:t>Available abstract (not full text):</w:t>
      </w:r>
      <w:r>
        <w:t xml:space="preserve"> Carbon leakage is a major concern in the design of unilateral climate policies aimed at reducing global emissions in a cost-effective manner. In order to assess the cost-effectiveness of anti-leakage measures, it is crucial to understand the fundamental mechanisms that contribute to leakage. We provide theoretical analysis of the two main channels of leakage: the fossil fuel market channel and the competitiveness channel. We show that the two channels reinforce each other. Furthermore, we find that whereas leakage via the fossil fuel market channel decreases with the fuel supply elasticity and increases with the fuel demand elasticity, the opposite is the case for the competitiveness channel. We show that the effectiveness of output-based allocation and border carbon adjustments to combat carbon leakage increases with the fuel supply elasticity and decreases with the fuel demand elasticity. We supplement the simplified theoretical analysis with numerical simulations using a more complex multi-sector, multi-region computable general equilibrium model of the global economy to quantify the implications of unilateral climate policy designs for the European Union. We find that leakage via the fossil fuel channel dominates leakage via the competitiveness channel unless fuel supply elasticities are quite high and fuel demand elasticities are quite low. Furthermore, we find that the lo</w:t>
      </w:r>
    </w:p>
    <w:p>
      <w:pPr/>
      <w:r>
        <w:rPr>
          <w:b/>
        </w:rPr>
        <w:t>POSSIBLE 2026:</w:t>
      </w:r>
      <w:r>
        <w:t xml:space="preserve"> Impact of International Climate Agreements on Stock Markets: A Sectoral and Regional Analysis — https://doi.org/10.66414/mlabs.9729</w:t>
      </w:r>
    </w:p>
    <w:p>
      <w:pPr/>
      <w:r>
        <w:rPr>
          <w:b/>
        </w:rPr>
        <w:t>Shared claim-specific concepts:</w:t>
      </w:r>
      <w:r>
        <w:t xml:space="preserve"> stringent, climate, reduce; EU scope visible. This is a provisional connection, not an outcome finding.</w:t>
      </w:r>
    </w:p>
    <w:p>
      <w:pPr>
        <w:pStyle w:val="SourceNote"/>
      </w:pPr>
      <w:r>
        <w:rPr>
          <w:b/>
        </w:rPr>
        <w:t>Available abstract (not full text):</w:t>
      </w:r>
      <w:r>
        <w:t xml:space="preserve"> Changes in the climate have encouraged international cooperation to reach a consensus on how to address this global challenge. This led to the creation of the United Nations Framework Convention on Climate Change (UNFCCC), aimed at tackling the main driver of these changes: rising greenhouse gas (GHG) concentrations in the atmosphere. Within this framework, the Conference of the Parties (COP) is held annually to assess progress and identify emerging challenges. Compliance with these agreements introduces transition risks for firms, linked to the level of commitment of participating countries. Signatories must implement national policies to reduce emissions, leading to higher operating costs that may affect future cash flows and increase market risk premiums, ultimately impacting stock prices. As markets respond to each region’s level of commitment, this study examines stock market reactions to international climate agreements across main economic sectors and geographic regions. The methodology employed is an event study analysing ten key economic sectors across three regions: Latin America, North America and Europe. Abnormal returns (AR) and cumulative abnormal returns (CAR) are calculated to measure the impact of climate agreements on stock prices, covering an analysis period from the UNFCCC (1994) to the Paris Agreement (2016), comprising twenty-two years of international cli</w:t>
      </w:r>
    </w:p>
    <w:p>
      <w:pPr/>
      <w:r>
        <w:rPr>
          <w:b/>
        </w:rPr>
        <w:t>POSSIBLE 2025:</w:t>
      </w:r>
      <w:r>
        <w:t xml:space="preserve"> The Mediating Role of Climate Targets in Corporate Emission Reductions — https://doi.org/10.1002/bse.70364</w:t>
      </w:r>
    </w:p>
    <w:p>
      <w:pPr/>
      <w:r>
        <w:rPr>
          <w:b/>
        </w:rPr>
        <w:t>Shared claim-specific concepts:</w:t>
      </w:r>
      <w:r>
        <w:t xml:space="preserve"> climate, target, carbon; EU scope not established. This is a provisional connection, not an outcome finding.</w:t>
      </w:r>
    </w:p>
    <w:p>
      <w:pPr>
        <w:pStyle w:val="SourceNote"/>
      </w:pPr>
      <w:r>
        <w:rPr>
          <w:b/>
        </w:rPr>
        <w:t>Available abstract (not full text):</w:t>
      </w:r>
      <w:r>
        <w:t xml:space="preserve"> ABSTRACT Corporations worldwide increasingly commit to Sustainable Development Goal 13 (SDG 13), yet the extent to which such commitments translate into measurable greenhouse gas (GHG) reductions remains uncertain. Drawing on Institutional and Legitimacy Theory, this paper examines the mediating role of climate targets in the relationship between SDG 13 adoption and corporate emission outcomes. We compile a balanced panel of 152 publicly listed firms across 32 countries and seven carbon‐intensive industries, resulting in 760 firm‐year observations for the period 2020–2024, using data from Refinitiv Datastream. Structural equation modeling (SEM) is employed to test whether long‐term and short‐term GHG emission reduction targets serve as pathways through which SDG 13 commitments affect subsequent GHG performance. Our results show that SDG 13 adoption strongly predicts the establishment of long‐term targets, which are significantly associated with lower emissions. By contrast, short‐term targets are less frequently adopted and display weaker effects. Temporal analysis indicates a rapid institutionalization of SDG 13 commitments and target adoption during the 2020–2024 period, consistent with coercive, normative, and mimetic pressures. These findings suggest that while visible commitments enhance legitimacy, substantive emission reductions require embedding long‐term targets into c</w:t>
      </w:r>
    </w:p>
    <w:p>
      <w:pPr/>
      <w:r>
        <w:rPr>
          <w:b/>
        </w:rPr>
        <w:t>POSSIBLE 2025:</w:t>
      </w:r>
      <w:r>
        <w:t xml:space="preserve"> Carbon leakage in production networks under asymmetric climate policies — https://doi.org/10.1016/j.jedc.2025.105241</w:t>
      </w:r>
    </w:p>
    <w:p>
      <w:pPr/>
      <w:r>
        <w:rPr>
          <w:b/>
        </w:rPr>
        <w:t>Shared claim-specific concepts:</w:t>
      </w:r>
      <w:r>
        <w:t xml:space="preserve"> climate, carbon, leakage; EU scope not established. This is a provisional connection, not an outcome finding.</w:t>
      </w:r>
    </w:p>
    <w:p>
      <w:pPr>
        <w:pStyle w:val="SourceNote"/>
      </w:pPr>
      <w:r>
        <w:rPr>
          <w:b/>
        </w:rPr>
        <w:t>Available abstract (not full text):</w:t>
      </w:r>
      <w:r>
        <w:t xml:space="preserve"> Climate policies are typically designed at the regional level. This generates differences in implicit carbon prices across countries that can alter the structure of trade patterns and undermine the effectiveness of environmental regulations through carbon leakage. The paper examines the macroeconomic consequences of asymmetric climate policies, focusing on how they affect the international structure of production. The purpose is twofold: assessing the impact of uncoordinated climate policies on the outsourcing of production and studying the effectiveness of a border carbon adjustment mechanism aimed at safeguarding countries’ competitiveness. To this end, we develop and simulate a theoretical agent-based model in which supply chains are endogenously determined by downstream firms’ sourcing strategies; such firms select a supplier of intermediate goods, whose production generates emissions and is subjected to environmental regulations. Focusing on bottom-up interactions among heterogeneous and boundedly rational agents, this approach provides novel insights into how environmental policies rewire firm linkages within global production networks, and how this reshaping affects overall carbon emissions.</w:t>
      </w:r>
    </w:p>
    <w:p>
      <w:pPr/>
      <w:r>
        <w:rPr>
          <w:b/>
        </w:rPr>
        <w:t>POSSIBLE 2025:</w:t>
      </w:r>
      <w:r>
        <w:t xml:space="preserve"> Pathways to climate neutrality: Europe's energy transition under the Green Deal — https://doi.org/10.1016/j.rser.2025.116272</w:t>
      </w:r>
    </w:p>
    <w:p>
      <w:pPr/>
      <w:r>
        <w:rPr>
          <w:b/>
        </w:rPr>
        <w:t>Shared claim-specific concepts:</w:t>
      </w:r>
      <w:r>
        <w:t xml:space="preserve"> stringent, climate, target, leakage, implementing, reduce; EU scope visible. This is a provisional connection, not an outcome finding.</w:t>
      </w:r>
    </w:p>
    <w:p>
      <w:pPr>
        <w:pStyle w:val="SourceNote"/>
      </w:pPr>
      <w:r>
        <w:rPr>
          <w:b/>
        </w:rPr>
        <w:t>Available abstract (not full text):</w:t>
      </w:r>
      <w:r>
        <w:t xml:space="preserve"> The EU committed to reducing 55 % of its greenhouse gas emissions by 2030 and achieving climate neutrality by 2050 through its Green Deal and Fit for 55 policy package. This study employs the TIMES-Europe model to assess multiple pathways for the required energy transition and their cost implications, while explicitly accounting for the interplay between existing EU energy policies. We do so by analysing, from both a pan-European and a national perspective, the impact of the proposed 2040 climate target, the energy efficiency-first principle, and various collaboration frameworks such as fairness-based burden-sharing. Our projections show that under the most ambitious policy scenarios, renewable electricity could contribute up to 44 % of Europe's Primary Energy Consumption mix by 2050. Domestic fossil fuel shares decline from 51 % to 12 %. However, import dependency increases to 49 %, with a shift from crude oil to refined petroleum products, raising concerns over emissions leakage. Residual emissions of ∼0.3 GtCO 2 persist under current policy trajectories, which highlights the need for more stringent measures to achieve net-zero emissions by 2050. Implementing the 2040 climate target and the EU Energy Efficiency Directive could reduce cumulative emissions by an additional 10.62 GtCO 2 but at a 100–116 % increase in policy costs. The application of equitable burden-sharing fram</w:t>
      </w:r>
    </w:p>
    <w:p>
      <w:pPr/>
      <w:r>
        <w:rPr>
          <w:b/>
        </w:rPr>
        <w:t>POSSIBLE 2025:</w:t>
      </w:r>
      <w:r>
        <w:t xml:space="preserve"> Unilateral climate policy design should account for the effectiveness of different anti-leakage policies — https://doi.org/10.1038/s43247-025-02258-5</w:t>
      </w:r>
    </w:p>
    <w:p>
      <w:pPr/>
      <w:r>
        <w:rPr>
          <w:b/>
        </w:rPr>
        <w:t>Shared claim-specific concepts:</w:t>
      </w:r>
      <w:r>
        <w:t xml:space="preserve"> climate, carbon, leakage, cbam, reduce; EU scope visible. This is a provisional connection, not an outcome finding.</w:t>
      </w:r>
    </w:p>
    <w:p>
      <w:pPr>
        <w:pStyle w:val="SourceNote"/>
      </w:pPr>
      <w:r>
        <w:rPr>
          <w:b/>
        </w:rPr>
        <w:t>Available abstract (not full text):</w:t>
      </w:r>
      <w:r>
        <w:t xml:space="preserve"> Abstract Identifying the effectiveness of anti-leakage policies across competitiveness, demand, and energy channels is crucial for unilateral climate policy design. Here we combine a global equilibrium model and channel decomposition approach to unravel the effectiveness of anti-leakage policies—free allocation system, carbon border adjustment mechanism (CBAM), and climate clubs—within the European Union Emissions Trading System. Free allocation (excluding power sector) and indirect emission cost aids modestly reduce carbon leakage across all channels. CBAM achieves negative leakage in competitiveness and demand channels, but increases leakage in the energy channel. Voluntary climate clubs without penalties, mainly mitigate leakage among member countries, but are less effective for non-members in the demand channel. The Buchanan club with imposing penalties on non-members, achieves the negative leakage, suggesting its potential to fully resolve leakage. However, these policies are less effective in the energy channel, potentially undermining efforts in other channels.</w:t>
      </w:r>
    </w:p>
    <w:p>
      <w:pPr/>
      <w:r>
        <w:rPr>
          <w:b/>
        </w:rPr>
        <w:t>POSSIBLE 2025:</w:t>
      </w:r>
      <w:r>
        <w:t xml:space="preserve"> The European Union’s CBAM: averting emissions leakage or promoting the diffusion of carbon pricing? — https://doi.org/10.1080/1523908x.2025.2591794</w:t>
      </w:r>
    </w:p>
    <w:p>
      <w:pPr/>
      <w:r>
        <w:rPr>
          <w:b/>
        </w:rPr>
        <w:t>Shared claim-specific concepts:</w:t>
      </w:r>
      <w:r>
        <w:t xml:space="preserve"> climate, carbon, leakage, cbam, implementation, several; EU scope visible. This is a provisional connection, not an outcome finding.</w:t>
      </w:r>
    </w:p>
    <w:p>
      <w:pPr>
        <w:pStyle w:val="SourceNote"/>
      </w:pPr>
      <w:r>
        <w:rPr>
          <w:b/>
        </w:rPr>
        <w:t>Available abstract (not full text):</w:t>
      </w:r>
      <w:r>
        <w:t xml:space="preserve"> Adopted in 2023, the Carbon Border Adjustment Mechanism (CBAM) is a significant component of the European Union’s ambitious decarbonization strategy under the European Green Deal. This article questions the output effectiveness of the CBAM in achieving its stated objective, prevention of carbon leakage, while demonstrating its impact effectiveness as an instrument for advancing the global diffusion of carbon pricing. Empirical evidence for carbon leakage remains sparse, and implementation challenges might limit the capacity of the CBAM to counteract leakage even where it occurs. Nonetheless, the CBAM has already demonstrated a powerful spillover effect by incentivizing the acceleration of carbon pricing roadmaps across EU trade partners, suggesting that trade-related climate measures can effectively encourage global climate action. As the EU navigates the complexities of operationalizing the CBAM, it must balance several tradeoffs to maintain this important spillover effect. If successful, the CBAM could catalyze a virtuous cycle of carbon pricing adoption, reinforcing its potentially pivotal role in the EU’s toolbox to manage the environment-trade nexus.</w:t>
      </w:r>
    </w:p>
    <w:p>
      <w:pPr/>
      <w:r>
        <w:rPr>
          <w:b/>
        </w:rPr>
        <w:t>POSSIBLE 2025:</w:t>
      </w:r>
      <w:r>
        <w:t xml:space="preserve"> Europe’s Carbon Border Adjustment Mechanism (CBAM): From Design to Implementation — https://doi.org/10.1017/9781839704635.006</w:t>
      </w:r>
    </w:p>
    <w:p>
      <w:pPr/>
      <w:r>
        <w:rPr>
          <w:b/>
        </w:rPr>
        <w:t>Shared claim-specific concepts:</w:t>
      </w:r>
      <w:r>
        <w:t xml:space="preserve"> stringent, climate, carbon, leakage, cbam, implementation; EU scope visible. This is a provisional connection, not an outcome finding.</w:t>
      </w:r>
    </w:p>
    <w:p>
      <w:pPr>
        <w:pStyle w:val="SourceNote"/>
      </w:pPr>
      <w:r>
        <w:rPr>
          <w:b/>
        </w:rPr>
        <w:t>Available abstract (not full text):</w:t>
      </w:r>
      <w:r>
        <w:t xml:space="preserve"> INTRODUCTION Adopted in May 2023, the European Union (EU) Carbon Border Adjustment Mechanism (CBAM) is representative of a paradigmatic shift in European climate policy, entailing use of unilateral measures to address the intersection of international trade and climate change. Following decades of theoretical discussion of border carbon adjustments (BCAs) as a policy to level the economic playing field in a world of uneven climate action, the CBAM imposes carbon costs on certain categories of imported goods equivalent to those faced by domestic producers under the EU Emissions Trading System (EU ETS). It is thus primarily aimed at preventing carbon leakage – where economic activity and the associated emissions shift to countries with less stringent climate policies – while trying to maintain the competitiveness of European industry. Despite its conceptual appeal and compelling rationale, the evolution of the CBAM from design to implementation has been characterised by political, legal, and economic challenges. Its trajectory to date underscores the EU commitment to ambitious climate action amidst geopolitical tensions and a fragmented, highly competitive global economy, influenced by factors such as the persistent asymmetry of domestic climate efforts under the Paris Agreement, the unsteady participation of the United States in international climate cooperation, and the recent </w:t>
      </w:r>
    </w:p>
    <w:p>
      <w:pPr>
        <w:pStyle w:val="Heading2"/>
      </w:pPr>
      <w:r>
        <w:t>547. Materials for Sustainable Nuclear Energy: A European Strategic Research and Innovation Agenda for All Reactor Generations</w:t>
      </w:r>
    </w:p>
    <w:p>
      <w:pPr>
        <w:pStyle w:val="SourceNote"/>
      </w:pPr>
      <w:r>
        <w:rPr>
          <w:b/>
        </w:rPr>
        <w:t>Original source (2022):</w:t>
      </w:r>
      <w:r>
        <w:t xml:space="preserve"> https://doi.org/10.3390/en15051845</w:t>
      </w:r>
    </w:p>
    <w:p>
      <w:pPr/>
      <w:r>
        <w:t>Original wording (abstract; indexed_source_text_not_full_document_verified): Nuclear energy is presently the single major low-carbon electricity source in Europe and is overall expected to maintain (perhaps eventually even increase) its current installed power from now to 2045.</w:t>
      </w:r>
    </w:p>
    <w:p>
      <w:pPr/>
      <w:r>
        <w:rPr>
          <w:b/>
        </w:rPr>
        <w:t>POSSIBLE 2026:</w:t>
      </w:r>
      <w:r>
        <w:t xml:space="preserve"> Implications of Innovative Nuclear Technologies on Ghana’s Nuclear Future — https://doi.org/10.1155/stni/7161397</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Innovations in nuclear technology have the potential to play a transformative role in Ghana’s pursuit of a secure, reliable and low‐carbon energy future. This review examines recent global advances in nuclear reactor technologies, fuel cycle systems, waste management approaches, regulatory practices and digital applications and assesses their relevance to Ghana’s emerging nuclear power programme. Particular attention is given to advanced reactor concepts, including small modular reactors, which offer scalable and flexible options aligned with Ghana’s projected energy demand. Developments in advanced fuels, reprocessing technologies and waste minimisation strategies are discussed as pathways for improving resource efficiency and long‐term environmental safety. The paper also highlights the role of digitalisation and artificial intelligence in enhancing operational safety and efficiency, alongside associated cybersecurity and workforce challenges. By situating these innovations within Ghana’s institutional and regulatory context, the paper identifies key strategic and policy considerations for the responsible deployment of nuclear energy in support of national development goals.</w:t>
      </w:r>
    </w:p>
    <w:p>
      <w:pPr/>
      <w:r>
        <w:rPr>
          <w:b/>
        </w:rPr>
        <w:t>POSSIBLE 2026:</w:t>
      </w:r>
      <w:r>
        <w:t xml:space="preserve"> Enhanced nuclear fusion in the sub-keV energy regime — https://doi.org/10.1038/s41467-026-74421-1</w:t>
      </w:r>
    </w:p>
    <w:p>
      <w:pPr/>
      <w:r>
        <w:rPr>
          <w:b/>
        </w:rPr>
        <w:t>Shared claim-specific concepts:</w:t>
      </w:r>
      <w:r>
        <w:t xml:space="preserve"> nuclear, energy, expected; EU scope not established. This is a provisional connection, not an outcome finding.</w:t>
      </w:r>
    </w:p>
    <w:p>
      <w:pPr>
        <w:pStyle w:val="SourceNote"/>
      </w:pPr>
      <w:r>
        <w:rPr>
          <w:b/>
        </w:rPr>
        <w:t>Available abstract (not full text):</w:t>
      </w:r>
      <w:r>
        <w:t xml:space="preserve"> Nuclear fusion requires overcoming or traversing a repulsive Coulomb barrier of hundreds of kiloelectronvolts, rendering the probability of fusion at sub-keV energies vanishingly small. Yet in condensed matter, the electronic and structural environment of reacting nuclei can profoundly alter fusion rates. Here we demonstrate that deuterium-deuterium fusion within metallic foils exhibits a pronounced reaction yield plateau (i.e., a finite, non-vanishing yield floor) below 2 keV-in stark contrast to the expected exponential suppression at low energy. At the lowest energies measured, this corresponds to fusion yields enhanced by more than 10¹⁸ relative to bare-nucleus (unscreened) expectations. Using a dual-chamber platform that combines electrochemical deuterium loading with low-energy ion-beam bombardment, we observe this behavior in both palladium and titanium hydrides. These results reveal a previously unrecognized regime of low-energy nuclear reactions in solids, demonstrating that materials degrees of freedom can fundamentally renormalize tunneling probabilities and fusion cross-sections.</w:t>
      </w:r>
    </w:p>
    <w:p>
      <w:pPr/>
      <w:r>
        <w:rPr>
          <w:b/>
        </w:rPr>
        <w:t>POSSIBLE 2026:</w:t>
      </w:r>
      <w:r>
        <w:t xml:space="preserve"> Thorium as an Advanced Nuclear Fuel: Enhancing Supply-Chain Resilience for the Energy Transition — https://doi.org/10.2118/233268-ms</w:t>
      </w:r>
    </w:p>
    <w:p>
      <w:pPr/>
      <w:r>
        <w:rPr>
          <w:b/>
        </w:rPr>
        <w:t>Shared claim-specific concepts:</w:t>
      </w:r>
      <w:r>
        <w:t xml:space="preserve"> nuclear, energy, major, low-carbon, electricity, current; EU scope visible. This is a provisional connection, not an outcome finding.</w:t>
      </w:r>
    </w:p>
    <w:p>
      <w:pPr>
        <w:pStyle w:val="SourceNote"/>
      </w:pPr>
      <w:r>
        <w:rPr>
          <w:b/>
        </w:rPr>
        <w:t>Available abstract (not full text):</w:t>
      </w:r>
      <w:r>
        <w:t xml:space="preserve"> Nuclear energy is increasingly emerging as a central component of clean and sustainable power systems, supporting both decarbonization objectives and energy security in the context of the global net-zero transition. As electrification accelerates across sectors—including transport, industry, and digital infrastructure—the need for reliable, low-carbon baseload generation is becoming more acute. At the same time, the rapid expansion of energy-intensive applications such as artificial intelligence, data centers, and advanced manufacturing is placing unprecedented stress on electricity systems, reinforcing the strategic importance of dispatchable, high-density energy sources. Within this evolving landscape, nuclear power is regaining prominence. Policy shifts across major economies, from the United States to the European Union and Asia, reflect a renewed recognition of nuclear energy as a necessary complement to variable renewable sources. Ambitions to triple global nuclear capacity by 2050 further underscore the scale of the challenge ahead. However, this renewed momentum also exposes structural vulnerabilities embedded within the current nuclear fuel cycle. Uranium, which underpins the existing fleet of nuclear reactors, occupies a dual position: it is essential for expanding nuclear generation while remaining a strategically sensitive resource affected by geopolitical volatilit</w:t>
      </w:r>
    </w:p>
    <w:p>
      <w:pPr/>
      <w:r>
        <w:rPr>
          <w:b/>
        </w:rPr>
        <w:t>POSSIBLE 2026:</w:t>
      </w:r>
      <w:r>
        <w:t xml:space="preserve"> Nuclear or renewable energy? — https://doi.org/10.21175/rad.abstr.book.2026.41.2</w:t>
      </w:r>
    </w:p>
    <w:p>
      <w:pPr/>
      <w:r>
        <w:rPr>
          <w:b/>
        </w:rPr>
        <w:t>Shared claim-specific concepts:</w:t>
      </w:r>
      <w:r>
        <w:t xml:space="preserve"> nuclear, energy, major, electricity, even, current; EU scope not established. This is a provisional connection, not an outcome finding.</w:t>
      </w:r>
    </w:p>
    <w:p>
      <w:pPr>
        <w:pStyle w:val="SourceNote"/>
      </w:pPr>
      <w:r>
        <w:rPr>
          <w:b/>
        </w:rPr>
        <w:t>Available abstract (not full text):</w:t>
      </w:r>
      <w:r>
        <w:t xml:space="preserve"> Electrification of the economies is getting momentum; the world's electricity demand is constantly growing [1]. This change coincides with new challenges facing us for political and environmental reasons, such as climate protection and the creation of a zero-emission economy. The need to cover the growing electricity demand from low-emission energy sources in a reliable, affordable, safe and, if possible, sustainable manner is becoming increasingly urgent. The currently available sources of such energy are renewables and nuclear energy. However, many green and civil society organizations, as well as some politicians, believe that the use of the two energy sources in one system is impossible, or at least hinders the development of each other. An extreme form of this view is green energy messianism, whose proponents claim that renewables will solve all our problems, and that there is no need for either fossil or nuclear energy. In the presentation, an attempt was made to compare the properties of different energy sources, their integration into the system, and their economics. The results show that the artificial opposition between renewables and nuclear energy is unjustified, and that our energy strategy and climate policy goals could be successfully achieved by using them together. The rapid technological development and growth of renewable energies – especially wind and solar </w:t>
      </w:r>
    </w:p>
    <w:p>
      <w:pPr/>
      <w:r>
        <w:rPr>
          <w:b/>
        </w:rPr>
        <w:t>POSSIBLE 2026:</w:t>
      </w:r>
      <w:r>
        <w:t xml:space="preserve"> MANAGEMENT OF ENERGY TECHNOLOGY SELECTION FOR STRENGTHENING POLAND’S ENERGY SECURITY — https://doi.org/10.29119/1641-3466.2026.244.19</w:t>
      </w:r>
    </w:p>
    <w:p>
      <w:pPr/>
      <w:r>
        <w:rPr>
          <w:b/>
        </w:rPr>
        <w:t>Shared claim-specific concepts:</w:t>
      </w:r>
      <w:r>
        <w:t xml:space="preserve"> nuclear, energy, overall, current, power; EU scope visible. This is a provisional connection, not an outcome finding.</w:t>
      </w:r>
    </w:p>
    <w:p>
      <w:pPr>
        <w:pStyle w:val="SourceNote"/>
      </w:pPr>
      <w:r>
        <w:rPr>
          <w:b/>
        </w:rPr>
        <w:t>Available abstract (not full text):</w:t>
      </w:r>
      <w:r>
        <w:t xml:space="preserve"> Purpose: The objective of the present paper is to evaluate the energy technologies available and planned for implementation in Poland. This evaluation is conducted in the context of ensuring energy security (in the terminology used in the power sector: security of supply), the resilience of the power system, and compliance with political requirements. Design/methodology/approach: The research methods employed encompass statistical data analysis, technological parameter assessment, cost analysis, emission indicators, installation lifetime, and energy transition scenarios. The presentation included an exposition of technological and political risk models, alongside comparative analyses of their various iterations. Findings: The most significant element in enhancing Poland's energy security is to preserve the current technological mix and to incorporate high-power nuclear energy into it. The analysis demonstrated that the predominance of a particular technological approach was associated with an escalation in energy risk. Research limitations/implications: The study is constrained by the long-term uncertainty of the regulatory environment, the absence of comprehensive data for new technologies, and the significant influence of political decisions. Practical implications: The findings of the study have the potential to inform national energy policy, operator strategies, infrastruct</w:t>
      </w:r>
    </w:p>
    <w:p>
      <w:pPr/>
      <w:r>
        <w:rPr>
          <w:b/>
        </w:rPr>
        <w:t>POSSIBLE 2026:</w:t>
      </w:r>
      <w:r>
        <w:t xml:space="preserve"> Nuclear Energy: The Case for Greece — https://doi.org/10.68001/5ft1z6vsmk</w:t>
      </w:r>
    </w:p>
    <w:p>
      <w:pPr/>
      <w:r>
        <w:rPr>
          <w:b/>
        </w:rPr>
        <w:t>Shared claim-specific concepts:</w:t>
      </w:r>
      <w:r>
        <w:t xml:space="preserve"> nuclear, energy, low-carbon, electricity, power; EU scope visible. This is a provisional connection, not an outcome finding.</w:t>
      </w:r>
    </w:p>
    <w:p>
      <w:pPr>
        <w:pStyle w:val="SourceNote"/>
      </w:pPr>
      <w:r>
        <w:rPr>
          <w:b/>
        </w:rPr>
        <w:t>Available abstract (not full text):</w:t>
      </w:r>
      <w:r>
        <w:t xml:space="preserve"> This report examines the potential role of nuclear energy in Greece’s long-term energy strategy, focusing on the opportunities presented by advanced nuclear technologies, particularly Small Modular Reactors (SMRs). Against the backdrop of growing electricity demand, geopolitical uncertainty, ambitious decarbonization targets, and increasing concerns over energy security and industrial competitiveness, the study evaluates the technological, economic, environmental, and strategic arguments for reconsidering nuclear power as part of Greece’s energy mix. The report reviews recent developments in nuclear reactor technologies, highlighting the emergence of SMRs and microreactors, their modular construction, enhanced passive safety features, operational flexibility, and potential applications beyond conventional electricity generation. Particular attention is given to their ability to complement renewable energy sources by providing reliable, low-carbon electricity, while supporting energy-intensive industries, data centers, maritime infrastructure, district heating, and desalination. The analysis identifies several potential benefits for Greece, including reduced dependence on imported fossil fuels, improved energy system resilience, greater price stability, industrial development, and the creation of highly skilled employment opportunities. At the same time, the study recognizes sig</w:t>
      </w:r>
    </w:p>
    <w:p>
      <w:pPr/>
      <w:r>
        <w:rPr>
          <w:b/>
        </w:rPr>
        <w:t>POSSIBLE 2026:</w:t>
      </w:r>
      <w:r>
        <w:t xml:space="preserve"> A Review of Nuclear Power as a Sustainable Energy Source — https://doi.org/10.2139/ssrn.7482541</w:t>
      </w:r>
    </w:p>
    <w:p>
      <w:pPr/>
      <w:r>
        <w:rPr>
          <w:b/>
        </w:rPr>
        <w:t>Shared claim-specific concepts:</w:t>
      </w:r>
      <w:r>
        <w:t xml:space="preserve"> nuclear, energy, source, power;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The role of nuclear energy in reducing carbon dioxide emissions — https://doi.org/10.5937/pim25235g</w:t>
      </w:r>
    </w:p>
    <w:p>
      <w:pPr/>
      <w:r>
        <w:rPr>
          <w:b/>
        </w:rPr>
        <w:t>Shared claim-specific concepts:</w:t>
      </w:r>
      <w:r>
        <w:t xml:space="preserve"> nuclear, energy, low-carbon, electricity, source, power; EU scope not established. This is a provisional connection, not an outcome finding.</w:t>
      </w:r>
    </w:p>
    <w:p>
      <w:pPr>
        <w:pStyle w:val="SourceNote"/>
      </w:pPr>
      <w:r>
        <w:rPr>
          <w:b/>
        </w:rPr>
        <w:t>Available abstract (not full text):</w:t>
      </w:r>
      <w:r>
        <w:t xml:space="preserve"> Nuclear energy plays an important role in reducing carbon dioxide (CO₂) emissions since it allows the production of large amounts of electricity without the direct combustion of fossil fuels. Unlike coal and gas-fired power plants, nuclear power plants do not emit CO₂ during the operation, making them a significant factor in the fight against climate change. Furthermore, unlike renewable sources that depend on weather conditions, nuclear energy provides a stable and reliable source of electricity generation. Although there are challenges, such as solutions for radioactive waste and high initial costs, advancements in technology, particularly the development of fourth-generation reactors and small modular reactors, could further enhance the sustainability of this energy source. In combination with renewable sources, nuclear energy can contribute to reducing global fossil fuel consumption and facilitate the transition to a low-carbon economy.</w:t>
      </w:r>
    </w:p>
    <w:p>
      <w:pPr/>
      <w:r>
        <w:rPr>
          <w:b/>
        </w:rPr>
        <w:t>POSSIBLE 2025:</w:t>
      </w:r>
      <w:r>
        <w:t xml:space="preserve"> Resolving China's Energy Trilemma: Nuclear Power Synergy in the Dual-Carbon Transition — https://doi.org/10.1051/matecconf/202541001016</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China currently accounts for the largest share of global CO₂ emissions, faces immense pressure to achieve its “dual-carbon” goals amid a coal-dominated energy structure and rising emissions. The energy trilemma theory highlights inherent conflicts among energy security, affordability, and sustainability, yet existing studies inadequately address regional heterogeneity and dynamic synergies. This study evaluates China’s energy transition pathways by analyzing the trade-offs and synergies of photovoltaic, wind, and nuclear power within the trilemma framework. Through a comparative analysis of technical efficiency, economic costs, and environmental impacts, we demonstrate that nuclear power outperforms renewables in stability (7,805 annual utilization hours vs. 2,127 for wind), cost-effectiveness (¥0.28/kWh levelized cost), and near-zero emissions. Despite challenges in waste management and public acceptance, nuclear energy’s high energy density and grid reliability position it as a critical solution for balancing the trilemma. The findings advocate for prioritizing advanced nuclear technologies and stringent regulatory frameworks to accelerate decarbonization while ensuring energy security.</w:t>
      </w:r>
    </w:p>
    <w:p>
      <w:pPr/>
      <w:r>
        <w:rPr>
          <w:b/>
        </w:rPr>
        <w:t>POSSIBLE 2025:</w:t>
      </w:r>
      <w:r>
        <w:t xml:space="preserve"> The Nuclear Future of the Republic of Bulgaria – Trends in the Development of the Regulatory Framework for the Construction and Operation of Nuclear Power Plants, Problems and Recommendations for Improvement — https://doi.org/10.21029/jael.2025.38.9</w:t>
      </w:r>
    </w:p>
    <w:p>
      <w:pPr/>
      <w:r>
        <w:rPr>
          <w:b/>
        </w:rPr>
        <w:t>Shared claim-specific concepts:</w:t>
      </w:r>
      <w:r>
        <w:t xml:space="preserve"> nuclear, energy, power; EU scope visible. This is a provisional connection, not an outcome finding.</w:t>
      </w:r>
    </w:p>
    <w:p>
      <w:pPr>
        <w:pStyle w:val="SourceNote"/>
      </w:pPr>
      <w:r>
        <w:rPr>
          <w:b/>
        </w:rPr>
        <w:t>Available abstract (not full text):</w:t>
      </w:r>
      <w:r>
        <w:t xml:space="preserve"> In the article, the author conducts an analysis of the national nuclear characteristics of the Republic of Bulgaria, addressing the prospects of nuclear energy in the country, its strategic position in the national energy policy and the envisioned development for the construction of new nuclear power plants. It further considers public opinion on nuclear energy. The composition and institutional positioning of the national regulatory body are delineated, with particular attention paid to the safeguards ensuring its indepen- dence within the administrative framework of the state. The legislation in the Republic of Bulgaria that regulates the use of nuclear energy is notably extensive. In addition to the main nuclear law, public relations are also regulated by other laws, further elaborated through an array of subordinate normative acts. The article proceeds to outline, albeit briefly, the principal constitutional provisions, statutory laws, and regulatory by-laws pertinent to the licensing stages of nuclear power plants. Moreover, the analysis extends to the salient characteristics of the nuclear projects planned for implementation, issues arising in the context of contractual arrangements related to construction, as well as the national public procurement procedure for the construction of nuclear power plants. The discourse also encompasses the increasingly salient issue of sma</w:t>
      </w:r>
    </w:p>
    <w:p>
      <w:pPr/>
      <w:r>
        <w:rPr>
          <w:b/>
        </w:rPr>
        <w:t>POSSIBLE 2025:</w:t>
      </w:r>
      <w:r>
        <w:t xml:space="preserve"> The Economic and Regulatory Landscape of Nuclear Power: Implications for Malaysia — https://doi.org/10.54313/journalmp.v5i.150</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As Malaysia reconsiders integrating nuclear power into its energy mix, this paper advances the national discourse by analysing the critical economic and regulatory dimensions of its development. Drawing on a comprehensive literature review and field interviews, the study first delineates the prevailing legal, policy, and administrative environment for energy projects. Within this context, it identifies specific market and operational challenges and risks pertinent to nuclear power and proposes eight mitigation strategies. These strategies are strategically linked with the Four Symbols (四象) of Chinese cosmology, presenting a comprehensive, interdependent, and balanced policy framework. The paper further examines the establishment of a robust and efficient regulatory framework for nuclear power, guided by international best practices. Based on this analysis, the study offers recommendations for Malaysia, encompassing areas such as market and operational risks, regulatory frameworks, public engagement and communication, geopolitical realities and strategic partnerships, crucial for navigating nuclear power integration amidst a dynamic energy transition.</w:t>
      </w:r>
    </w:p>
    <w:p>
      <w:pPr/>
      <w:r>
        <w:rPr>
          <w:b/>
        </w:rPr>
        <w:t>POSSIBLE 2025:</w:t>
      </w:r>
      <w:r>
        <w:t xml:space="preserve"> Peaceful Uses of Nuclear Energy in Less Industrialized Countries: Challenges, Opportunities, and Acceptance — https://doi.org/10.3390/en18040858</w:t>
      </w:r>
    </w:p>
    <w:p>
      <w:pPr/>
      <w:r>
        <w:rPr>
          <w:b/>
        </w:rPr>
        <w:t>Shared claim-specific concepts:</w:t>
      </w:r>
      <w:r>
        <w:t xml:space="preserve"> nuclear, energy, power; EU scope not established. This is a provisional connection, not an outcome finding.</w:t>
      </w:r>
    </w:p>
    <w:p>
      <w:pPr>
        <w:pStyle w:val="SourceNote"/>
      </w:pPr>
      <w:r>
        <w:rPr>
          <w:b/>
        </w:rPr>
        <w:t>Available abstract (not full text):</w:t>
      </w:r>
      <w:r>
        <w:t xml:space="preserve"> This paper introduces a holistic framework to assist less industrialized countries in adopting nuclear energy (NE) for peaceful purposes considering the challenges and opportunities this entails. It underscores the pressing need for sustainable and secure energy solutions, proposing NE as a viable option. The study aims to delve into the technical, social, economic, regulatory, and policy aspects of NE’s development and its broader applications beyond conventional power generation, such as industrial processes, medical applications, agricultural advancements, and mining activities, explicitly targeting less industrialized regions. Employing a systematic review of existing practices, the paper identifies and examines barriers to NE adoption alongside strategies to mitigate these issues. Findings suggest that NE can play a pivotal role in fostering economic growth and scientific progress, potentially sparking the emergence of new industries within these countries. However, significant obstacles—namely governance, public acceptance, safety, security, development of expertise, and securing financing—pose considerable challenges. The paper concludes that a strategic and well-coordinated deployment of NE is essential for driving socio-economic growth and environmental sustainability in less industrialized countries. It emphasizes the necessity for comprehensive planning and internati</w:t>
      </w:r>
    </w:p>
    <w:p>
      <w:pPr>
        <w:pStyle w:val="Heading2"/>
      </w:pPr>
      <w:r>
        <w:t>548. Mismatch, empowerment, fatigue or balance? Four scenarios of physical activity up to 2030 in Finland</w:t>
      </w:r>
    </w:p>
    <w:p>
      <w:pPr>
        <w:pStyle w:val="SourceNote"/>
      </w:pPr>
      <w:r>
        <w:rPr>
          <w:b/>
        </w:rPr>
        <w:t>Original source (2022):</w:t>
      </w:r>
      <w:r>
        <w:t xml:space="preserve"> https://doi.org/10.1016/j.futures.2022.103036</w:t>
      </w:r>
    </w:p>
    <w:p>
      <w:pPr/>
      <w:r>
        <w:t>Original wording (abstract; indexed_source_text_not_full_document_verified): Building on the experts’ perceptions on alternative futures, we formulated four scenarios for PA up to 2030, which we named Mismatch, Empowerment, Fatigue and Balance. In this study, we explore future scenarios in the intersections of PA and active lifestyles as well as related environmental and health benefits in Finland.</w:t>
      </w:r>
    </w:p>
    <w:p>
      <w:pPr/>
      <w:r>
        <w:rPr>
          <w:b/>
        </w:rPr>
        <w:t>POSSIBLE 2026:</w:t>
      </w:r>
      <w:r>
        <w:t xml:space="preserve"> Building understanding: a review of European farmers’ perceptions of agrobiodiversity — https://doi.org/10.1016/j.jnc.2026.127427</w:t>
      </w:r>
    </w:p>
    <w:p>
      <w:pPr/>
      <w:r>
        <w:rPr>
          <w:b/>
        </w:rPr>
        <w:t>Shared claim-specific concepts:</w:t>
      </w:r>
      <w:r>
        <w:t xml:space="preserve"> building, perceptions, alternative; EU scope visible. This is a provisional connection, not an outcome finding.</w:t>
      </w:r>
    </w:p>
    <w:p>
      <w:pPr>
        <w:pStyle w:val="SourceNote"/>
      </w:pPr>
      <w:r>
        <w:rPr>
          <w:b/>
        </w:rPr>
        <w:t>Available abstract (not full text):</w:t>
      </w:r>
      <w:r>
        <w:t xml:space="preserve"> Agrobiodiversity is declining and urgent actions are needed to reverse the ongoing loss of species and habitats that sustain food production-related ecosystem services. Farmers’ perceptions of agrobiodiversity could provide insights for improving policy designs towards more effective target setting for agrobiodiversity conservation and implementation measures. This scoping review identifies and synthesizes research on European farmers’ perceptions of agrobiodiversity. Using the PRISMA protocol, we identified 43 peer-reviewed scientific articles for qualitative analysis and aggregated these into three themes: 1) multiple agrobiodiversities, 2) agrobiodiversity loss and conservation, and 3) agrobiodiversity in society. The extant literature mainly associates with farmers’ perceptions of observable agrobiodiversity that has a mix of nature-centric and human-centric perspectives. The literature indicates that contradictions often arise from negative interactions or trade-offs between agrobiodiversity and farming when agrobiodiversity hinders farm production. Suggestions for future policies include considering farmers’ place-specific perceptions of agrobiodiversity; developing alternative principles to economically driven policy instruments; and investing in bringing public stakeholders closer to farmers through knowledge transfer and stakeholder collaboration.</w:t>
      </w:r>
    </w:p>
    <w:p>
      <w:pPr/>
      <w:r>
        <w:rPr>
          <w:b/>
        </w:rPr>
        <w:t>POSSIBLE 2026:</w:t>
      </w:r>
      <w:r>
        <w:t xml:space="preserve"> Stakeholders’ Perceptions of Barriers, Benefits, and Drivers for Digital Building Logbook Adoption in Building Renovation Projects in Europe — https://doi.org/10.3390/su18062688</w:t>
      </w:r>
    </w:p>
    <w:p>
      <w:pPr/>
      <w:r>
        <w:rPr>
          <w:b/>
        </w:rPr>
        <w:t>Shared claim-specific concepts:</w:t>
      </w:r>
      <w:r>
        <w:t xml:space="preserve"> building, perceptions, benefits; EU scope visible. This is a provisional connection, not an outcome finding.</w:t>
      </w:r>
    </w:p>
    <w:p>
      <w:pPr>
        <w:pStyle w:val="SourceNote"/>
      </w:pPr>
      <w:r>
        <w:rPr>
          <w:b/>
        </w:rPr>
        <w:t>Available abstract (not full text):</w:t>
      </w:r>
      <w:r>
        <w:t xml:space="preserve"> The construction sector is responsible for a significant share of greenhouse gas emissions in Europe, making the decarbonisation of the existing building stock a critical priority. In this context, Digital Building Logbooks (DBLs) are increasingly promoted as digital tools to support renovation planning, data continuity, and circular economy practices across the building lifecycle. Despite growing policy attention, the adoption of DBLs in renovation projects remains limited in practice. This study provides one of the first empirical rankings of perceived barriers, benefits, and drivers influencing DBL adoption in renovation projects across Europe. An exploratory quantitative survey was conducted with a purposively selected sample of stakeholders involved in renovation-related activities. Likert-scale responses were analysed using descriptive ranking statistics and reliability testing, while qualitative data from open-ended responses were analysed using directed content analysis. The results indicate that stakeholders strongly recognise the benefits of DBLs, particularly in terms of improved access to reliable building information, informed decision-making, and support for circular renovation practices. However, adoption is constrained by regulatory uncertainty, limited awareness, and unclear governance and operational frameworks. The most influential drivers identified relate t</w:t>
      </w:r>
    </w:p>
    <w:p>
      <w:pPr/>
      <w:r>
        <w:rPr>
          <w:b/>
        </w:rPr>
        <w:t>POSSIBLE 2026:</w:t>
      </w:r>
      <w:r>
        <w:t xml:space="preserve"> Building consensus on demand-led legume breeding in Europe: Evidence from a Delphi expert study — https://doi.org/10.1016/j.jafr.2026.103142</w:t>
      </w:r>
    </w:p>
    <w:p>
      <w:pPr/>
      <w:r>
        <w:rPr>
          <w:b/>
        </w:rPr>
        <w:t>Shared claim-specific concepts:</w:t>
      </w:r>
      <w:r>
        <w:t xml:space="preserve"> building, experts, benefits; EU scope visible. This is a provisional connection, not an outcome finding.</w:t>
      </w:r>
    </w:p>
    <w:p>
      <w:pPr>
        <w:pStyle w:val="SourceNote"/>
      </w:pPr>
      <w:r>
        <w:rPr>
          <w:b/>
        </w:rPr>
        <w:t>Available abstract (not full text):</w:t>
      </w:r>
      <w:r>
        <w:t xml:space="preserve"> Legume breeding is of great importance due to the multiple benefits of legume cultivation and use in European food systems. However, the small legume acreage means that breeding programmes are often not economically viable. Improvements to the system could be initiated by the governance structure of demand-led breeding. Demand-led breeding is an approach in which the needs of stakeholders downstream of agriculture are explicitly considered to develop more appropriate varieties. To evaluate this approach, we conducted a Delphi study with 21 legume breeding experts from across Europe. Qualitative questions enabled indirect discussion, and the experts formed a group opinion through repeated quantitative ratings of statements on demand-led breeding. The data was analysed using qualitative content analysis and inferential statistics with a non-parametric rank variance analysis. Expert consensus emerged that breeding goals should be oriented towards the end use of the products, that demand-led breeding is more likely to become established in Europe in the medium term, and that better alignment with market demand can increase value creation in breeding. The complexity of breeding programmes would increase and the added value would only become apparent retrospectively after a time lag. We conclude with the implications that demand-led breeding may be implemented within the framework of</w:t>
      </w:r>
    </w:p>
    <w:p>
      <w:pPr/>
      <w:r>
        <w:rPr>
          <w:b/>
        </w:rPr>
        <w:t>POSSIBLE 2026:</w:t>
      </w:r>
      <w:r>
        <w:t xml:space="preserve"> Adoption drivers and barriers of Building Information Modelling (BIM) in Europe — https://doi.org/10.1016/j.enbuild.2026.116953</w:t>
      </w:r>
    </w:p>
    <w:p>
      <w:pPr/>
      <w:r>
        <w:rPr>
          <w:b/>
        </w:rPr>
        <w:t>Shared claim-specific concepts:</w:t>
      </w:r>
      <w:r>
        <w:t xml:space="preserve"> building, four, environmental; EU scope visible. This is a provisional connection, not an outcome finding.</w:t>
      </w:r>
    </w:p>
    <w:p>
      <w:pPr>
        <w:pStyle w:val="SourceNote"/>
      </w:pPr>
      <w:r>
        <w:rPr>
          <w:b/>
        </w:rPr>
        <w:t>Available abstract (not full text):</w:t>
      </w:r>
      <w:r>
        <w:t xml:space="preserve"> Building Information Modelling (BIM) enables time, cost, and materials savings in building design and construction. However, the promise of BIM is yet to be realised. We assessed the current state-of-the-art in BIM adoption and use, identifying both barriers and opportunities across six dimensions defined by the PESTLE framework (political, economic, social, technical, legal, environmental). We combined market survey, literature review, and new insights from 41 expert interviews with architects, consultants and constructors across 11 European countries. We find BIM is used principally by larger firms as a design and data-processing tool to enable collaboration between project partners. BIM’s value proposition is primarily to streamline construction processes not improve resource efficiencies. Barriers to BIM adoption include interoperability issues, split incentives and value chain fragmentation, and weak economic incentives particularly for small firms. In the medium-term we find two important drivers of more widespread BIM adoption. First, institutional investors in the commercial buildings sector are increasingly pushing green certification standards for which compliance is demonstrated by BIM. Second, whole building lifecycle emission regulations for buildings mandated by the EU from 2030 will require BIM calculations. Four pioneer Northern European countries already have s</w:t>
      </w:r>
    </w:p>
    <w:p>
      <w:pPr/>
      <w:r>
        <w:rPr>
          <w:b/>
        </w:rPr>
        <w:t>POSSIBLE 2026:</w:t>
      </w:r>
      <w:r>
        <w:t xml:space="preserve"> Building consensus for Molecular Tumor Board implementation in Europe: a Delphi procedure — https://doi.org/10.1016/j.hlpt.2026.101287</w:t>
      </w:r>
    </w:p>
    <w:p>
      <w:pPr/>
      <w:r>
        <w:rPr>
          <w:b/>
        </w:rPr>
        <w:t>Shared claim-specific concepts:</w:t>
      </w:r>
      <w:r>
        <w:t xml:space="preserve"> building, experts, four, health; EU scope visible. This is a provisional connection, not an outcome finding.</w:t>
      </w:r>
    </w:p>
    <w:p>
      <w:pPr>
        <w:pStyle w:val="SourceNote"/>
      </w:pPr>
      <w:r>
        <w:rPr>
          <w:b/>
        </w:rPr>
        <w:t>Available abstract (not full text):</w:t>
      </w:r>
      <w:r>
        <w:t xml:space="preserve"> Background: Molecular Tumor Boards (MTBs) integrate molecular and clinical data to guide precision oncology decisions, but their structure remains heterogeneous across Europe. This study developed consensus-based policy recommendations to support their harmonized implementation. Methods: A two-round Delphi process was conducted among 17 European MTB experts. Questionnaire items were derived from two reviews on clinical impact and implementation aspects. Experts rated items on a five-point Likert scale; consensus was defined as a Content Validity Index (CVI) ≥80% agreement (scores 4–5). Results: Across two rounds, 76 items were evaluated; 36 reached consensus, resulting in 15 recommendations across four domains: organizational aspects (n=8), testing (n=3), inclusion criteria (n=2), and clinical aspects (n=2). Key organizational standards include appointing a referent clinician, using standardized digital submission tools, online meeting formats, and decision-support systems. MTBs should be multidisciplinary. For testing, experts agreed that Next Generation Sequencing should be preferred, performed in certified laboratories, with variant interpretation supported by curated databases. Inclusion criteria and clinical aspects prioritize patients with metastatic or rare disease, ECOG 0–2, life expectancy ≥12 weeks, and exhaustion of standard therapies. Conclusions: This Delphi produc</w:t>
      </w:r>
    </w:p>
    <w:p>
      <w:pPr/>
      <w:r>
        <w:rPr>
          <w:b/>
        </w:rPr>
        <w:t>POSSIBLE 2026:</w:t>
      </w:r>
      <w:r>
        <w:t xml:space="preserve"> Perceptions of rewilding in European abandoned agricultural lands — https://doi.org/10.1016/j.landurbplan.2026.105715</w:t>
      </w:r>
    </w:p>
    <w:p>
      <w:pPr/>
      <w:r>
        <w:rPr>
          <w:b/>
        </w:rPr>
        <w:t>Shared claim-specific concepts:</w:t>
      </w:r>
      <w:r>
        <w:t xml:space="preserve"> building, perceptions, related; EU scope visible. This is a provisional connection, not an outcome finding.</w:t>
      </w:r>
    </w:p>
    <w:p>
      <w:pPr>
        <w:pStyle w:val="SourceNote"/>
      </w:pPr>
      <w:r>
        <w:rPr>
          <w:b/>
        </w:rPr>
        <w:t>Available abstract (not full text):</w:t>
      </w:r>
      <w:r>
        <w:t xml:space="preserve"> Agricultural abandonment has been a trend in Europe over recent decades. The resultant abandoned land has been faced with multiple land change trajectories, including rewilding processes. Rewilding aims at facilitating ecological recovery, often through the reduction of human influence on the landscape or through restoring trophic complexity. However, rewilding is not always welcomed as it can challenge the place attachment stakeholders have for pre-existing and current landscapes. A total of 80 articles, published within Europe between 2000 and 2024, were analysed and coded using a conceptual framework. We found that the body of literature describing rewilding-related preferences is heterogeneous, with rewilding often being an implicit concept rather than an umbrella term encompassing related processes. Proforestation, the rewilding of forest areas, was rarely addressed in the literature, and while case-studies were found throughout the continent, they were under-represented in Eastern Europe, specifically in agricultural abandonment hotspots of the Carpathians and Baltic regions. Rather than rewilding, traditional management of the landscape was often preferred, specifically by rural, older, and farming communities. Discontent towards rewilding was primarily related to concerns around its potential impacts over the landscape such as landscape homogenisation and on economic ac</w:t>
      </w:r>
    </w:p>
    <w:p>
      <w:pPr/>
      <w:r>
        <w:rPr>
          <w:b/>
        </w:rPr>
        <w:t>POSSIBLE 2026:</w:t>
      </w:r>
      <w:r>
        <w:t xml:space="preserve"> Organisational intention to invest in energy efficiency improvements and perceptions of energy efficiency in buildings — https://openalex.org/W7134551432</w:t>
      </w:r>
    </w:p>
    <w:p>
      <w:pPr/>
      <w:r>
        <w:rPr>
          <w:b/>
        </w:rPr>
        <w:t>Shared claim-specific concepts:</w:t>
      </w:r>
      <w:r>
        <w:t xml:space="preserve"> perceptions, well, related, benefits, finland; EU scope visible. This is a provisional connection, not an outcome finding.</w:t>
      </w:r>
    </w:p>
    <w:p>
      <w:pPr>
        <w:pStyle w:val="SourceNote"/>
      </w:pPr>
      <w:r>
        <w:rPr>
          <w:b/>
        </w:rPr>
        <w:t>Available abstract (not full text):</w:t>
      </w:r>
      <w:r>
        <w:t xml:space="preserve"> The energy efficiency gap in buildings, meaning the gap between the potential and executed energy efficiency, is a prevailing paradox. Prior research on the phenomenon has focused on consumer and individual energy efficiency curtailment, while organisational behaviour and decision-making regarding energy efficiency investments in buildings is still a research area needing more attention. This study explores the organisational perceptions of the benefits of energy efficiency investments as well as factors affecting organisational intention to execute energy efficiency investments in buildings. A processual multimethod approach with both quantitative and qualitative methods was employed. This included a techno-economic analysis and emissions reduction calculations to determine case-specific benefits, an interview study exploring perceptions of these benefits, and regression analyses examining the factors affecting investment intentions. The organisations studied included two case municipalities and 97 companies from Finland. The results showed that the financial resources or financial uncertainty of the investment did not have an impact on companies’ managers’ intentions to execute energy efficiency investments. The factors affecting the managers’ temporal orientation and willingness to pay for energy efficiency were more related to the attitudes and experiences of the manager an</w:t>
      </w:r>
    </w:p>
    <w:p>
      <w:pPr/>
      <w:r>
        <w:rPr>
          <w:b/>
        </w:rPr>
        <w:t>POSSIBLE 2026:</w:t>
      </w:r>
      <w:r>
        <w:t xml:space="preserve"> Varying Perceptions of TESOL Instruction from Experts, Peers, and Learners — https://doi.org/10.1002/tesq.70075</w:t>
      </w:r>
    </w:p>
    <w:p>
      <w:pPr/>
      <w:r>
        <w:rPr>
          <w:b/>
        </w:rPr>
        <w:t>Shared claim-specific concepts:</w:t>
      </w:r>
      <w:r>
        <w:t xml:space="preserve"> experts, perceptions, well; EU scope not established. This is a provisional connection, not an outcome finding.</w:t>
      </w:r>
    </w:p>
    <w:p>
      <w:pPr>
        <w:pStyle w:val="SourceNote"/>
      </w:pPr>
      <w:r>
        <w:rPr>
          <w:b/>
        </w:rPr>
        <w:t>Available abstract (not full text):</w:t>
      </w:r>
      <w:r>
        <w:t xml:space="preserve"> Abstract This study investigates the comparative value of feedback provided by expert teachers, peer teachers, and language learners within TESOL practicum settings. Drawing on data from 738 feedback comments on two video‐recorded lessons, the research explores variations in the quantity, type, tone, and evaluative content of feedback among the three groups. Results indicate that expert teachers gave the most extensive and pedagogically grounded feedback, though with a more critical tone. Peer teachers closely mirrored expert feedback in focus but provided more affirming and supportive responses. Language learners, in contrast, contributed the fewest comments, yet their feedback was notably more emotionally attuned, highlighting affective factors such as teacher demeanor and engagement. Despite these differences, all three groups emphasized instructional quality as a central concern. Quantitative ratings of teacher performance were similar across groups, yet qualitative justifications revealed diverging criteria. Findings highlight the unique and complementary perspectives each feedback source offers, suggesting that diversified feedback enhances reflective practice in TESOL teacher education. The study underscores the value of including learner voices in practicum assessments and encourages teacher education programs to adopt more inclusive, multi‐source feedback approaches to</w:t>
      </w:r>
    </w:p>
    <w:p>
      <w:pPr/>
      <w:r>
        <w:rPr>
          <w:b/>
        </w:rPr>
        <w:t>POSSIBLE 2026:</w:t>
      </w:r>
      <w:r>
        <w:t xml:space="preserve"> User perceptions and preferences for GeoHealth tools: A qualitative focus group study of non-expert and expert users — https://doi.org/10.17615/fe1n-tc70</w:t>
      </w:r>
    </w:p>
    <w:p>
      <w:pPr/>
      <w:r>
        <w:rPr>
          <w:b/>
        </w:rPr>
        <w:t>Shared claim-specific concepts:</w:t>
      </w:r>
      <w:r>
        <w:t xml:space="preserve"> experts, perceptions, four, related, health; EU scope not established. This is a provisional connection, not an outcome finding.</w:t>
      </w:r>
    </w:p>
    <w:p>
      <w:pPr>
        <w:pStyle w:val="SourceNote"/>
      </w:pPr>
      <w:r>
        <w:rPr>
          <w:b/>
        </w:rPr>
        <w:t>Available abstract (not full text):</w:t>
      </w:r>
      <w:r>
        <w:t xml:space="preserve"> Background: GeoHealth tools differ from other health-IT platforms, requiring analytical transformation tools, location-based discovery, and responsive design frameworks. While knowledge exists surrounding related platforms, there is a literature gap specific to GeoHealth tool end-user needs. Methods: This qualitative focus group study identified design needs for GeoHealth tools. Seven focus groups included non-experts (three sessions, n = 15) and experts (healthcare professionals, four sessions, n = 16) from October 2024 to February 2025. Researchers conducted inductive thematic analysis, identifying emerging themes. Results: Thirty-one participants completed seven sessions: 20 [65%] female, 16 [52%] White, and 16 [52%] with graduate degrees. Both groups identified similar facilitators and barriers: simple interfaces, contrasting colors, cross-device functionality. Both valued filtering, customizing regions, downloading data, and chatbot integration. Non-experts reported frustrations with mobile use and content density, while experts emphasized integrating GeoHealth tools into clinical workflows for decision-making. Discussion and Conclusion: End-user preferences are critical as GeoHealth tools expand. Key recommendations include: customizable features (filters, personalized regions, data layering, and export options), accessible design with high-contrast color schemes and intu</w:t>
      </w:r>
    </w:p>
    <w:p>
      <w:pPr/>
      <w:r>
        <w:rPr>
          <w:b/>
        </w:rPr>
        <w:t>POSSIBLE 2026:</w:t>
      </w:r>
      <w:r>
        <w:t xml:space="preserve"> Scrutinising European land-use planning: Identifying the priorities and goals of building regulations — https://doi.org/10.1016/j.landusepol.2025.107916</w:t>
      </w:r>
    </w:p>
    <w:p>
      <w:pPr/>
      <w:r>
        <w:rPr>
          <w:b/>
        </w:rPr>
        <w:t>Shared claim-specific concepts:</w:t>
      </w:r>
      <w:r>
        <w:t xml:space="preserve"> building, experts, well, related, benefits; EU scope visible. This is a provisional connection, not an outcome finding.</w:t>
      </w:r>
    </w:p>
    <w:p>
      <w:pPr>
        <w:pStyle w:val="SourceNote"/>
      </w:pPr>
      <w:r>
        <w:rPr>
          <w:b/>
        </w:rPr>
        <w:t>Available abstract (not full text):</w:t>
      </w:r>
      <w:r>
        <w:t xml:space="preserve"> The rapid growth and increasing complexity of European cities highlight the need for urban planning and governance in creating sustainable urban environments. Specifically, regulations on building form and location are key to designing efficient and equitable cities. However, these regulations vary widely among municipalities across European countries and are not well understood. Notably, there is no comprehensive overview of the prevailing regulations and their objectives. This study fills this gap by analysing how European countries prioritise local building regulations and whether they pursue efficiency, i.e. making the best use of space, or equity, i.e. promoting fair and inclusive distribution of urban benefits. We examine regulations related to building height, volume, density, outlook, design coherence, value capacity, and hazard prevention. Through an online survey of planning experts in 30 countries, we found that regulations on height and density are prioritised the most and are primarily efficiency-oriented. While some regulations of lesser priority exhibited a more balanced pursuit of both goals, overall, building regulations in Europe pursue efficiency more than equity. The findings from this study are expected to enhance knowledge exchange in planning practice and foster better cooperation between countries. Furthermore, they provide an important empirical basis f</w:t>
      </w:r>
    </w:p>
    <w:p>
      <w:pPr/>
      <w:r>
        <w:rPr>
          <w:b/>
        </w:rPr>
        <w:t>POSSIBLE 2025:</w:t>
      </w:r>
      <w:r>
        <w:t xml:space="preserve"> EU Foreign Policy Alignment among European Experts — https://doi.org/10.17605/osf.io/54dqp</w:t>
      </w:r>
    </w:p>
    <w:p>
      <w:pPr/>
      <w:r>
        <w:rPr>
          <w:b/>
        </w:rPr>
        <w:t>Shared claim-specific concepts:</w:t>
      </w:r>
      <w:r>
        <w:t xml:space="preserve"> building, experts, perceptions, explore; EU scope visible. This is a provisional connection, not an outcome finding.</w:t>
      </w:r>
    </w:p>
    <w:p>
      <w:pPr>
        <w:pStyle w:val="SourceNote"/>
      </w:pPr>
      <w:r>
        <w:rPr>
          <w:b/>
        </w:rPr>
        <w:t>Available abstract (not full text):</w:t>
      </w:r>
      <w:r>
        <w:t xml:space="preserve"> The world is witnessing an alarming surge in violent conflicts, with levels unseen since World War II. Simultaneously, the European Union (EU) has been hit by one exogenous shock after another, with complex effects on European integration, democracy building, internal politics and foreign policy. In the face of such global instability and growing internal challenges, the EU finds itself increasingly required to respond geopolitically. The Russia-Ukraine War, the instability created by shifting policies in the White House, China’s growing military power, and the fragmentation of the global liberal democratic order make the European Union’s attempt to devise a more unified and coherent common and security policy even more difficult. The EU is thus challenged to prepare for high impact, high probability events that could destabilize the ability of the organization to function and thrive. In this study, we explore whether experts’ perceptions of security threats to the EU are influenced by whether the EU responds cohesively or divided to security threats. To test this, we implement a pre-post survey design, where self-identified experts in core areas of EU studies first rate the likelihood and impact of selected threats to the EU – such as a NATO-Russia confrontation, a destabilizing power struggle in Russia, use of nuclear arms by Russia. Respondents are then randomly assigned to </w:t>
      </w:r>
    </w:p>
    <w:p>
      <w:pPr/>
      <w:r>
        <w:rPr>
          <w:b/>
        </w:rPr>
        <w:t>POSSIBLE 2025:</w:t>
      </w:r>
      <w:r>
        <w:t xml:space="preserve"> Building an Ethical Framework for European Pharmacists in e-Pharmacies — https://doi.org/10.2196/64750</w:t>
      </w:r>
    </w:p>
    <w:p>
      <w:pPr/>
      <w:r>
        <w:rPr>
          <w:b/>
        </w:rPr>
        <w:t>Shared claim-specific concepts:</w:t>
      </w:r>
      <w:r>
        <w:t xml:space="preserve"> building, well, health, benefits; EU scope visible. This is a provisional connection, not an outcome finding.</w:t>
      </w:r>
    </w:p>
    <w:p>
      <w:pPr>
        <w:pStyle w:val="SourceNote"/>
      </w:pPr>
      <w:r>
        <w:rPr>
          <w:b/>
        </w:rPr>
        <w:t>Available abstract (not full text):</w:t>
      </w:r>
      <w:r>
        <w:t xml:space="preserve"> Patients using e-pharmacies benefit substantially from their privacy and accessibility; however, they must also be aware of the health and safety risks. These risks can be mitigated through the implementation of robust legal and ethical frameworks. European pharmacists working in e-pharmacies are obligated to respect the legal frameworks governing the remote sale of medicines, as well as the rules of professional ethics, while considering the unique benefits and challenges of establishing online therapeutic relationships with patients. This Viewpoint paper aims to propose a comprehensive ethical framework for European pharmacists in e-pharmacies that promotes consistency and ensures patient rights while fostering professional integrity and responsibility. To this end, the codes of ethics of pharmacists in the European Union (EU) member states were explored to determine the extent to which they address e-pharmacies and to begin from their provisions the building of a shared ethical framework, supported by previously published findings. The ethical guidance provided by professional associations and other competent authorities of European pharmacists varies significantly across member states. In most EU member states, pharmacists' codes of ethics do not contain rules addressing e-pharmacies. Only 8 EU member states have adopted rules guiding pharmacists' conduct in e-pharmacies, p</w:t>
      </w:r>
    </w:p>
    <w:p>
      <w:pPr>
        <w:pStyle w:val="Heading2"/>
      </w:pPr>
      <w:r>
        <w:t>549. On the Future(s) of Energy Communities in the German Energy Transition: A Derivation of Transformation Pathways</w:t>
      </w:r>
    </w:p>
    <w:p>
      <w:pPr>
        <w:pStyle w:val="SourceNote"/>
      </w:pPr>
      <w:r>
        <w:rPr>
          <w:b/>
        </w:rPr>
        <w:t>Original source (2022):</w:t>
      </w:r>
      <w:r>
        <w:t xml:space="preserve"> https://doi.org/10.3390/su14063169</w:t>
      </w:r>
    </w:p>
    <w:p>
      <w:pPr/>
      <w:r>
        <w:t>Original wording (abstract; indexed_source_text_not_full_document_verified): In order to understand how such a development could come about, and if desired, how it could be ensured, we developed and applied a quasi-dynamic model using the Cross-Impact Balance (CIB) approach and with it analyzed and assessed such a transition in detail. Main results obtained from the application of the model are possible transformation pathways of citizen participation in the energy transition of Germany.</w:t>
      </w:r>
    </w:p>
    <w:p>
      <w:pPr/>
      <w:r>
        <w:rPr>
          <w:b/>
        </w:rPr>
        <w:t>POSSIBLE 2026:</w:t>
      </w:r>
      <w:r>
        <w:t xml:space="preserve"> The Changing Liberal World Order : Transatlantic Relations, Europe and Central Europe — https://openalex.org/W7213382557</w:t>
      </w:r>
    </w:p>
    <w:p>
      <w:pPr/>
      <w:r>
        <w:rPr>
          <w:b/>
        </w:rPr>
        <w:t>Shared claim-specific concepts:</w:t>
      </w:r>
      <w:r>
        <w:t xml:space="preserve"> order, about, transition, transformation; EU scope visible. This is a provisional connection, not an outcome finding.</w:t>
      </w:r>
    </w:p>
    <w:p>
      <w:pPr>
        <w:pStyle w:val="SourceNote"/>
      </w:pPr>
      <w:r>
        <w:rPr>
          <w:b/>
        </w:rPr>
        <w:t>Available abstract (not full text):</w:t>
      </w:r>
      <w:r>
        <w:t xml:space="preserve"> Is the liberal world order coming to an end, or are we witnessing its transformation into something new? The Changing Liberal World Order: Transatlantic Relations, Europe and Central Europe examines this question at a time of renewed great-power competition, the rise of China, Russia’s threat to European security, growing geopolitical fragmentation, and mounting uncertainty about the future of American leadership. Bringing realism, liberalism, and constructivism into conversation, the book argues that contemporary international order cannot be understood through power, institutions, or ideas alone. Its SurRealist perspective instead reveals an order in transition: liberal institutions and norms remain influential, but they increasingly operate alongside geopolitical rivalry, national sovereignty, competing identities, and shifting distributions of power.Moving from the global transformation of the international system to the European Union, transatlantic relations, Central Europe, and the Visegrád Group, the book explores how these changes are experienced at different levels of world politics. Particular attention is given to the strategic dilemmas facing the Europe and smaller Central European states as they navigate relations with the United States, China, and Russia while remaining deeply embedded in the EU and NATO. Rather than predicting either the collapse or the inevitab</w:t>
      </w:r>
    </w:p>
    <w:p>
      <w:pPr/>
      <w:r>
        <w:rPr>
          <w:b/>
        </w:rPr>
        <w:t>POSSIBLE 2026:</w:t>
      </w:r>
      <w:r>
        <w:t xml:space="preserve"> “I haven't thought about it before”: STEM researchers' views on decolonization with examples from Canada, Europe and New Zealand — https://doi.org/10.1108/edi-12-2024-0592</w:t>
      </w:r>
    </w:p>
    <w:p>
      <w:pPr/>
      <w:r>
        <w:rPr>
          <w:b/>
        </w:rPr>
        <w:t>Shared claim-specific concepts:</w:t>
      </w:r>
      <w:r>
        <w:t xml:space="preserve"> understand, about, applied, approach; EU scope visible. This is a provisional connection, not an outcome finding.</w:t>
      </w:r>
    </w:p>
    <w:p>
      <w:pPr>
        <w:pStyle w:val="SourceNote"/>
      </w:pPr>
      <w:r>
        <w:rPr>
          <w:b/>
        </w:rPr>
        <w:t>Available abstract (not full text):</w:t>
      </w:r>
      <w:r>
        <w:t xml:space="preserve"> Purpose This paper examines how researchers in the fields of science, technology, engineering and mathematics (STEM) working in academic institutions in Canada, Europe and New Zealand understand colonialism and decolonization. Design/methodology/approach For this exploratory study, we adopted a qualitative research approach and conducted interviews with 33 researchers in STEM fields. We then applied thematic analysis to the data, interpreting participants' understandings through theoretical frameworks of imperialism and colonialism. Findings Our results indicate that STEM researchers' understandings of decolonization are shaped by the colonial histories and institutional contexts of their respective countries. Furthermore, we find that while the dissemination of knowledge about Indigenous communities appears to increase engagement with the topic, it often overlooks the issue of land repatriation. Across all country contexts, we also observe a tendency to conflate decolonization with broader social justice concerns. Originality/value Rather than attempting to define decolonization, this paper seeks to examine how researchers in STEM fields understand the concept and how these understandings align with, or diverge from, theories of colonialism and imperialism. Building on these findings, we aim to contribute to a critical reflection on the aims and outcomes of awareness-raising e</w:t>
      </w:r>
    </w:p>
    <w:p>
      <w:pPr/>
      <w:r>
        <w:rPr>
          <w:b/>
        </w:rPr>
        <w:t>POSSIBLE 2025:</w:t>
      </w:r>
      <w:r>
        <w:t xml:space="preserve"> The European Union: A Sui Generis Legal Order: Prospects for Development — https://doi.org/10.54237/profnet.2025.azsvlbffde_6</w:t>
      </w:r>
    </w:p>
    <w:p>
      <w:pPr/>
      <w:r>
        <w:rPr>
          <w:b/>
        </w:rPr>
        <w:t>Shared claim-specific concepts:</w:t>
      </w:r>
      <w:r>
        <w:t xml:space="preserve"> order, approach, possible; EU scope visible. This is a provisional connection, not an outcome finding.</w:t>
      </w:r>
    </w:p>
    <w:p>
      <w:pPr>
        <w:pStyle w:val="SourceNote"/>
      </w:pPr>
      <w:r>
        <w:rPr>
          <w:b/>
        </w:rPr>
        <w:t>Available abstract (not full text):</w:t>
      </w:r>
      <w:r>
        <w:t xml:space="preserve"> The first phase of our collective research focused on the concept of constitutional identity. This raised the question of how this identity could be defined and, if necessary, protected, in the light of the requirements linked to the participation of States in European Union bodies. The second phase of this research focuses on the nature of the European legal order. The first step is to identify the legal categories that may assist in characterising the European Union. The document setting the context for the research starts from the premise that the European Union, which has embarked on the road to federalism, is halfway along this path, and sets out the prospect of a European Union as a simple structure for cohabitation and cooperation between States. Between a federation and an alliance treaty, there is probably a middle path, a legal order that is no longer federal but confederal in nature. Confederation means maintaining and guaranteeing the sovereignty of the confederate States. In any case, it seems advisable not to lock ourselves a priori in pre-established legal categories which may prove obsolete or inappropriate. As a first step of this approach, however, it is worth considering the nature of the European Union, resulting from the current Treaties. Secondly, it is noteworthy how the European Union uses integration mechanisms which go beyond a strict interpretation of</w:t>
      </w:r>
    </w:p>
    <w:p>
      <w:pPr/>
      <w:r>
        <w:rPr>
          <w:b/>
        </w:rPr>
        <w:t>POSSIBLE 2025:</w:t>
      </w:r>
      <w:r>
        <w:t xml:space="preserve"> Typologies and influencing factors in the absorption of European funding for sustainable rural development — https://doi.org/10.1080/21681376.2025.2524440</w:t>
      </w:r>
    </w:p>
    <w:p>
      <w:pPr/>
      <w:r>
        <w:rPr>
          <w:b/>
        </w:rPr>
        <w:t>Shared claim-specific concepts:</w:t>
      </w:r>
      <w:r>
        <w:t xml:space="preserve"> order, understand; EU scope visible. This is a provisional connection, not an outcome finding.</w:t>
      </w:r>
    </w:p>
    <w:p>
      <w:pPr>
        <w:pStyle w:val="SourceNote"/>
      </w:pPr>
      <w:r>
        <w:rPr>
          <w:b/>
        </w:rPr>
        <w:t>Available abstract (not full text):</w:t>
      </w:r>
      <w:r>
        <w:t xml:space="preserve"> Sustainable rural development is a key European goal, supported by the Common Agricultural Policy (CAP) since 1962, which provides EU Member States with funds for financing economic and social development projects in rural communities. Research has shown varying capacities among rural communities to absorb these funds, leading to growing disparities. This paper aims to analyse rural fund absorption and classify rural communities based on their performance during two funding periods (2007–2013 and 2014–2020). The study, focusing on Romania, examines factors influencing different absorption performances using data from the National Rural Development Programme, funded by the European Agricultural Fund for Rural Development (EAFRD). The study highlights that different mechanisms are at work in different regions and there is a need to build analysis at the local level in order to better understand the performance of territories and, most importantly, what is needed to boost their performance and ensure sustainable development.</w:t>
      </w:r>
    </w:p>
    <w:p>
      <w:pPr/>
      <w:r>
        <w:rPr>
          <w:b/>
        </w:rPr>
        <w:t>POSSIBLE 2025:</w:t>
      </w:r>
      <w:r>
        <w:t xml:space="preserve"> (Un)avoidable conflict in Ukraine the ideal self and fault lines in Europe and Russia — https://openalex.org/W7208703499</w:t>
      </w:r>
    </w:p>
    <w:p>
      <w:pPr/>
      <w:r>
        <w:rPr>
          <w:b/>
        </w:rPr>
        <w:t>Shared claim-specific concepts:</w:t>
      </w:r>
      <w:r>
        <w:t xml:space="preserve"> order, understand, about, desired, approach; EU scope visible. This is a provisional connection, not an outcome finding.</w:t>
      </w:r>
    </w:p>
    <w:p>
      <w:pPr>
        <w:pStyle w:val="SourceNote"/>
      </w:pPr>
      <w:r>
        <w:rPr>
          <w:b/>
        </w:rPr>
        <w:t>Available abstract (not full text):</w:t>
      </w:r>
      <w:r>
        <w:t xml:space="preserve"> "Taking a conceptual approach to European-Russian relations in the post-Cold War era, this book traces how each side's "ideal self" came into conflict with "fault lines" in international politics. Russia's 2022 full-scale invasion of Ukraine is not only a symptom of conflict taking over the European continent but also a point of no return that will be difficult to roll back. Could the state of conflict on the European continent have been avoided? To understand the nature and evolution of conflict with Russia, this book presents a theoretically informed discussion of the way relations between the European Union (EU) and Russia deteriorated beyond repair during the more than three decades since the collapse of the Soviet Union. First, the book develops the concept of ideal self of states and international organisations like the EU, which posits that a series of ideal perceptions about how the self should act in the world order drives the behaviour of states and their policymakers. Second, the book turns to the study of fault lines, or spaces of divergence in the world order that harbour the potential for conflict. With these two theoretical toolkits, the book shows how leaders in the EU and Russia, by February 2022, came to view conflict as a feasible, preferable, and possibly the only option available to them. Even though neither the EU nor Russia had desired conflict, both made</w:t>
      </w:r>
    </w:p>
    <w:p>
      <w:pPr/>
      <w:r>
        <w:rPr>
          <w:b/>
        </w:rPr>
        <w:t>POSSIBLE 2025:</w:t>
      </w:r>
      <w:r>
        <w:t xml:space="preserve"> The Emergence of European Criminal Law in Relation to the European Union Development — https://doi.org/10.54237/profnet.2025.azsvlbffde_10</w:t>
      </w:r>
    </w:p>
    <w:p>
      <w:pPr/>
      <w:r>
        <w:rPr>
          <w:b/>
        </w:rPr>
        <w:t>Shared claim-specific concepts:</w:t>
      </w:r>
      <w:r>
        <w:t xml:space="preserve"> order, applied, application; EU scope visible. This is a provisional connection, not an outcome finding.</w:t>
      </w:r>
    </w:p>
    <w:p>
      <w:pPr>
        <w:pStyle w:val="SourceNote"/>
      </w:pPr>
      <w:r>
        <w:rPr>
          <w:b/>
        </w:rPr>
        <w:t>Available abstract (not full text):</w:t>
      </w:r>
      <w:r>
        <w:t xml:space="preserve"> EU law has expanded beyond the economic issues related to the internal market’s establishment and functioning. With successive treaty reforms, it now covers rules that were once reserved for national states, such as criminal law. Additionally, mechanisms aimed at strengthening the uniform application of EU law at the level of the Member States, where political consensus is difficult to attain, have been applied. The EU’s involvement in criminal law has posed significant challenges and tensions over time. However, the creation of criminal laws is the most significant evidence of EU autonomy. Progressively, both at a political and a regulatory level, and with the consistent involvement of the European Court of Justice, a convergence has been achieved, adding new elements for the unification of criminal law in the EU. General principles like mutual trust, supported by an enhanced activism of the ECJ in the promotion and protection of the values that establish the constitutional core of the EU, is seen as the strongest engines of development in recent years. This has led to extensive amendments in the criminal regulations in the MS. After discussing the milestones of the evolution of European criminal law (history, regulation, institutions), the analysis focuses on the principles of mutual recognition, mutual trust, sincere cooperation, the effectiveness of EU law in protecting the</w:t>
      </w:r>
    </w:p>
    <w:p>
      <w:pPr/>
      <w:r>
        <w:rPr>
          <w:b/>
        </w:rPr>
        <w:t>POSSIBLE 2025:</w:t>
      </w:r>
      <w:r>
        <w:t xml:space="preserve"> Development brut – a new concept to understand and appreciate outsider development — https://doi.org/10.1080/09614524.2025.2530435</w:t>
      </w:r>
    </w:p>
    <w:p>
      <w:pPr/>
      <w:r>
        <w:rPr>
          <w:b/>
        </w:rPr>
        <w:t>Shared claim-specific concepts:</w:t>
      </w:r>
      <w:r>
        <w:t xml:space="preserve"> understand, about; EU scope not established. This is a provisional connection, not an outcome finding.</w:t>
      </w:r>
    </w:p>
    <w:p>
      <w:pPr>
        <w:pStyle w:val="SourceNote"/>
      </w:pPr>
      <w:r>
        <w:rPr>
          <w:b/>
        </w:rPr>
        <w:t>Available abstract (not full text):</w:t>
      </w:r>
      <w:r>
        <w:t xml:space="preserve"> Despite recent and renewed interest in the contribution of localization to development, significant questions remain. For example, if development practice happens outside of a formal development project, does it count as development? How do we collectively describe people working on the fringes (and beyond) of formal development and what do we call their practice? How do we value or measure their contributions within the development industry? As the development landscape continues to shift and transform, it is more important now than ever to address such questions and to consider how such can contribute to development theory. In this viewpoint, a new way to think about development is suggested through the introduction of the concept of development brut or outsider development. This concept describes development practice that seeks to achieve good change, delivered by someone who does not have formal training in Development Studies or an associated discipline, but has a deep and nuanced understanding of a particular issue, context or people, combined with a rich history of successfully working in that sector to improve the lives or situations of others. The aim is to provoke further debate about power and control within development, to further develop equity within the sector.</w:t>
      </w:r>
    </w:p>
    <w:p>
      <w:pPr/>
      <w:r>
        <w:rPr>
          <w:b/>
        </w:rPr>
        <w:t>POSSIBLE 2025:</w:t>
      </w:r>
      <w:r>
        <w:t xml:space="preserve"> Efficiency and distribution in the European Union's digital deregulation push — https://openalex.org/W7116596116</w:t>
      </w:r>
    </w:p>
    <w:p>
      <w:pPr/>
      <w:r>
        <w:rPr>
          <w:b/>
        </w:rPr>
        <w:t>Shared claim-specific concepts:</w:t>
      </w:r>
      <w:r>
        <w:t xml:space="preserve"> order, understand, about, desired; EU scope visible. This is a provisional connection, not an outcome finding.</w:t>
      </w:r>
    </w:p>
    <w:p>
      <w:pPr>
        <w:pStyle w:val="SourceNote"/>
      </w:pPr>
      <w:r>
        <w:rPr>
          <w:b/>
        </w:rPr>
        <w:t>Available abstract (not full text):</w:t>
      </w:r>
      <w:r>
        <w:t xml:space="preserve"> To boost the European Union's digital economy, the European Commission is seeking to reduce the burden of its digital rulebook. However, the Commission's deregulatory strategy lacks a rigorous, evidence-based analysis of the expected effects entailed by proposed burden reductions, is insufficiently transparent and accountable in relation to potential distributive trade-offs, and is overly focused on a narrow geopolitical goal of 'catching up' with the United States, which may neglect Europe's distinct social and institutional priorities. This paper introduces a framework to analyse these issues. It distinguishes between efficiency effects that enhance total societal value, and distributive effects which determine how value is shared within society. The framework explains how total factor productivity (a proxy for competitiveness) may have a complementary and a substitutive relationship with digital regulatory protection. The Commission's deregulatory initiatives may entail both efficiency and distributive effects, but that the Commission typically only acknowledges the former. This misrepresentation leads to unrealistic goals, such as EU companies matching the same level of data use as US companies without compromising European privacy standards. Digital regulation can be designed to generate value and can distribute that value in accordance with the goals the Commission intend</w:t>
      </w:r>
    </w:p>
    <w:p>
      <w:pPr/>
      <w:r>
        <w:rPr>
          <w:b/>
        </w:rPr>
        <w:t>POSSIBLE 2024:</w:t>
      </w:r>
      <w:r>
        <w:t xml:space="preserve"> Becoming European: Mid- and Short-Term Development of a European Identity Among Adolescents — https://doi.org/10.1080/15283488.2024.2394874</w:t>
      </w:r>
    </w:p>
    <w:p>
      <w:pPr/>
      <w:r>
        <w:rPr>
          <w:b/>
        </w:rPr>
        <w:t>Shared claim-specific concepts:</w:t>
      </w:r>
      <w:r>
        <w:t xml:space="preserve"> understand, assessed; EU scope visible. This is a provisional connection, not an outcome finding.</w:t>
      </w:r>
    </w:p>
    <w:p>
      <w:pPr>
        <w:pStyle w:val="SourceNote"/>
      </w:pPr>
      <w:r>
        <w:rPr>
          <w:b/>
        </w:rPr>
        <w:t>Available abstract (not full text):</w:t>
      </w:r>
      <w:r>
        <w:t xml:space="preserve"> European identity formation is a component of political identity and linked to the support of European institutions and values. To understand how it develops, we examined three processes of identity formation (commitment, in-depth exploration, and reconsideration of commitment) on a short- and mid-term time scale, and their interrelations. A total of 371 German adolescents (Mage = 14.24, SDage = 0.55, 60.37% females) participated in a longitudinal study and in a ten-day daily diary study. We conducted latent growth curve analysis (LGCM) and assessed rank-order stability and profile similarity for both time scales. Next, conditional LGCMs were run to examine associations of both time scales. We found a significant increase of all identity processes from the beginning to the middle of the school year and a significant decrease from the middle to the end of the school year. Across 10 days, growth curves varied according to the identity process. Stabilities were high for both time scales. Commitment at the beginning of the school year was negatively associated with fluctuations in commitment. Our results highlight the importance of examining different time scales and focusing on specific domains for understanding identity development in adolescence. They further indicate that short-term processes are associated with long-term development.</w:t>
      </w:r>
    </w:p>
    <w:p>
      <w:pPr/>
      <w:r>
        <w:rPr>
          <w:b/>
        </w:rPr>
        <w:t>POSSIBLE 2024:</w:t>
      </w:r>
      <w:r>
        <w:t xml:space="preserve"> MODELLING THE RELATIONSHIP BETWEEN RETAIL DEVELOPMENT AND ECONOMIC INDICATORS IN EUROPEAN COUNTRIES — https://doi.org/10.29038/2786-4618-2024-01-124-134</w:t>
      </w:r>
    </w:p>
    <w:p>
      <w:pPr/>
      <w:r>
        <w:rPr>
          <w:b/>
        </w:rPr>
        <w:t>Shared claim-specific concepts:</w:t>
      </w:r>
      <w:r>
        <w:t xml:space="preserve"> order, understand, about; EU scope visible. This is a provisional connection, not an outcome finding.</w:t>
      </w:r>
    </w:p>
    <w:p>
      <w:pPr>
        <w:pStyle w:val="SourceNote"/>
      </w:pPr>
      <w:r>
        <w:rPr>
          <w:b/>
        </w:rPr>
        <w:t>Available abstract (not full text):</w:t>
      </w:r>
      <w:r>
        <w:t xml:space="preserve"> Abstract. The modern global market requires extraordinary attention to the development of retail trade, which is not only the face of the economy of countries, but also plays a key role in promoting their economic prosperity. In this context, understanding the relationship between retail development indicators and indicators of the state of the economy is necessary given the importance of retail trade as one of the key elements of economic systems and is an important task for scientists and economists. Highlighting the relationship between retail trade and the state of the economy of European countries opens up opportunities for understanding and predicting economic and social trends on the path of Ukraine's accession to the EU, and promotes entrepreneurship. This study aims to model the relationship and establish statistically significant dependencies between the development of retail trade and the economic development of European countries, and to identify indicators that have an impact on the development of the industry. The study established a statistically significant impact of economic growth characteristics on the development of the retail trade industry in European countries in 2005-2022. In particular, it has been determined that the volume of trade turnover depends on such indicators as GDP per capita, consumer inflation and unemployment in the economy. The number of </w:t>
      </w:r>
    </w:p>
    <w:p>
      <w:pPr/>
      <w:r>
        <w:rPr>
          <w:b/>
        </w:rPr>
        <w:t>POSSIBLE 2024:</w:t>
      </w:r>
      <w:r>
        <w:t xml:space="preserve"> Exploring how Europeans understand solidarity in the EU — https://doi.org/10.4324/9781032690902-3</w:t>
      </w:r>
    </w:p>
    <w:p>
      <w:pPr/>
      <w:r>
        <w:rPr>
          <w:b/>
        </w:rPr>
        <w:t>Shared claim-specific concepts:</w:t>
      </w:r>
      <w:r>
        <w:t xml:space="preserve"> understand, about, approach;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2024:</w:t>
      </w:r>
      <w:r>
        <w:t xml:space="preserve"> The Green Economy in the Context of Sustainable Development. Study Case: European Union — https://doi.org/10.2478/picbe-2024-0243</w:t>
      </w:r>
    </w:p>
    <w:p>
      <w:pPr/>
      <w:r>
        <w:rPr>
          <w:b/>
        </w:rPr>
        <w:t>Shared claim-specific concepts:</w:t>
      </w:r>
      <w:r>
        <w:t xml:space="preserve"> order, understand, transition, main, obtained, transformation; EU scope visible. This is a provisional connection, not an outcome finding.</w:t>
      </w:r>
    </w:p>
    <w:p>
      <w:pPr>
        <w:pStyle w:val="SourceNote"/>
      </w:pPr>
      <w:r>
        <w:rPr>
          <w:b/>
        </w:rPr>
        <w:t>Available abstract (not full text):</w:t>
      </w:r>
      <w:r>
        <w:t xml:space="preserve"> Abstract The term „Green economy” in the context of sustainable development was used for the first time in 1989, there is no internationally agreed definition for it. In the last decades, in a relatively short period it has become an issue with major importance worldwide, the society realizing that its actions have direct effects on the environment, its live and where we carry out our work. In order to correctly understand the meaning of Green economy we need an insight on man as an individual but also on organizations that make economic and financial decisions and initiatives. This paper examines the EU countries progress toward green economy, identifies the relationship with financial and economic indicators and analyses the role of eco-innovation performance and innovative capacity toward green transition to meet the European Green Deal objectives. Complex theoretical, methodological and empirical research methodology was adopted by using specific methods of investigation: critical analysis of the literature, complex quantitative and qualitative analysis, identification, construction and the appropriate processing of existing databases. The numerical results were obtained by the SPSS software package. The paper’s outcome identifies barriers and success factors in the implementation of the EU’s main new growth strategy, highlights that the green transformation process of the </w:t>
      </w:r>
    </w:p>
    <w:p>
      <w:pPr>
        <w:pStyle w:val="Heading2"/>
      </w:pPr>
      <w:r>
        <w:t>550. Organic farming in the European Union – perspectives for 2030</w:t>
      </w:r>
    </w:p>
    <w:p>
      <w:pPr>
        <w:pStyle w:val="SourceNote"/>
      </w:pPr>
      <w:r>
        <w:rPr>
          <w:b/>
        </w:rPr>
        <w:t>Original source (2022):</w:t>
      </w:r>
      <w:r>
        <w:t xml:space="preserve"> https://doi.org/10.2478/picbe-2022-0042</w:t>
      </w:r>
    </w:p>
    <w:p>
      <w:pPr/>
      <w:r>
        <w:t>Original wording (abstract; indexed_source_text_not_full_document_verified): At the same time, the objectives set by the European Community to be achieved by 2030 are presented. This type of agriculture involves the use of a set of techniques and practices that result in yield that provides the food needed by the population considering the sustainable use of resources.</w:t>
      </w:r>
    </w:p>
    <w:p>
      <w:pPr/>
      <w:r>
        <w:rPr>
          <w:b/>
        </w:rPr>
        <w:t>POSSIBLE 2026:</w:t>
      </w:r>
      <w:r>
        <w:t xml:space="preserve"> The Scramble for Europe — https://doi.org/10.1093/9780197781470.001.0001</w:t>
      </w:r>
    </w:p>
    <w:p>
      <w:pPr/>
      <w:r>
        <w:rPr>
          <w:b/>
        </w:rPr>
        <w:t>Shared claim-specific concepts:</w:t>
      </w:r>
      <w:r>
        <w:t xml:space="preserve"> same, time, objectives; EU scope visible. This is a provisional connection, not an outcome finding.</w:t>
      </w:r>
    </w:p>
    <w:p>
      <w:pPr>
        <w:pStyle w:val="SourceNote"/>
      </w:pPr>
      <w:r>
        <w:rPr>
          <w:b/>
        </w:rPr>
        <w:t>Available abstract (not full text):</w:t>
      </w:r>
      <w:r>
        <w:t xml:space="preserve"> Abstract Europe used to be an agenda-setter at the global and regional level but now it is on the backfoot, facing multiple outside pressures: e.g., from Trump’s US, Russia, and China. Internally, rising populism is undermining EU’s cohesion and international influence. The book traces the consolidation and, starting from the late 2000s, the subsequent crisis of the European regional order anchored in the EU. It argues that authoritarian powers, such as Russia, China, and Turkey are posing a direct challenge to the latter as they seek to remake Europe in their image. At the same time, their objectives differ. The Ukraine invasion put on display Russia’s radical revisionist agenda. China by contrast aims to co-opt, through economic means, a diminished Europe in a future world order that it dominates. Erdogan’s Turkey wants to strike a deal where it is recognised as a top-tier stakeholder in Europe, as opposed to an eternal candidate for EU membership. The book discusses the Europe (EU, its member states, and the UK) response to outside challenges: containment—investing into military power to deter Russia; resilience—strengthening institutions and deepening markets to compete with China (and perhaps the US); and co-optation—relaunching enlargement and engaging with neighbours including Turkey—to build up its defences.</w:t>
      </w:r>
    </w:p>
    <w:p>
      <w:pPr/>
      <w:r>
        <w:rPr>
          <w:b/>
        </w:rPr>
        <w:t>POSSIBLE 2026:</w:t>
      </w:r>
      <w:r>
        <w:t xml:space="preserve"> A systematic review of the role of community science in European wildlife governance — https://openalex.org/W7202009244</w:t>
      </w:r>
    </w:p>
    <w:p>
      <w:pPr/>
      <w:r>
        <w:rPr>
          <w:b/>
        </w:rPr>
        <w:t>Shared claim-specific concepts:</w:t>
      </w:r>
      <w:r>
        <w:t xml:space="preserve"> community, practices, population; EU scope visible. This is a provisional connection, not an outcome finding.</w:t>
      </w:r>
    </w:p>
    <w:p>
      <w:pPr>
        <w:pStyle w:val="SourceNote"/>
      </w:pPr>
      <w:r>
        <w:rPr>
          <w:b/>
        </w:rPr>
        <w:t>Available abstract (not full text):</w:t>
      </w:r>
      <w:r>
        <w:t xml:space="preserve"> Community science (CS, previously often referred to as citizen science) has become a vital tool in wildlife monitoring, contributing to a more comprehensive understanding of changes in species distributions and population trends. Consequently, the role of CS in informing wildlife management decisions has been increasingly discussed, with growing support for the adoption of CS. However, the extent to which evidence from CS-based wildlife monitoring projects translates into concrete governance outcomes remains largely unclear. To address this knowledge gap, in the context of the TransWILD Biodiversa+ project, we conducted a systematic literature review following PRISMA guidelines. In total, we recorded 1588 articles and screened their abstracts using three exclusion criteria: i) absence of a wildlife or biodiversity focus; ii) absence of citizen or stakeholder involvement in wildlife monitoring; iii) lack of a clear link to governance. A full-text analysis was performed on 449 articles, after which we excluded studies that: did not focus on CS initiatives in Europe or had no clear implications for wildlife management and policy. Ultimately, this filtering resulted in 66 relevant articles. Mammals were the most represented taxonomic group (n=41), followed by birds (n=23), invertebrates (n=10), reptiles (n=9), fish (n=8), and amphibians (n=7). Participant involvement included multi</w:t>
      </w:r>
    </w:p>
    <w:p>
      <w:pPr/>
      <w:r>
        <w:rPr>
          <w:b/>
        </w:rPr>
        <w:t>POSSIBLE 2026:</w:t>
      </w:r>
      <w:r>
        <w:t xml:space="preserve"> Europe Degree Zero: Community, Inoperativity, and Storytelling in Pieter de Buysser’s De keisnijders — https://openalex.org/W7215327951</w:t>
      </w:r>
    </w:p>
    <w:p>
      <w:pPr/>
      <w:r>
        <w:rPr>
          <w:b/>
        </w:rPr>
        <w:t>Shared claim-specific concepts:</w:t>
      </w:r>
      <w:r>
        <w:t xml:space="preserve"> same, time, set, community; EU scope visible. This is a provisional connection, not an outcome finding.</w:t>
      </w:r>
    </w:p>
    <w:p>
      <w:pPr>
        <w:pStyle w:val="SourceNote"/>
      </w:pPr>
      <w:r>
        <w:rPr>
          <w:b/>
        </w:rPr>
        <w:t>Available abstract (not full text):</w:t>
      </w:r>
      <w:r>
        <w:t xml:space="preserve"> This article considers Pieter de Buysser’s recent speculative novel De keisnijders (2012) from the perspective of the post-structuralist rethinking of the idea of Europe and the concept of community, as undertaken by Jacques Derrida and Jean-Luc Nancy respectively. Set halfway into the twenty-first century, De keisnijders depicts a (pseudo-) utopian enclave in the center of Berlin, frequented by individuals from all over the world and from practically all social strata. Unlike traditional utopias, the community does not revolve around a political blueprint or shared essence, but around philosophical speculation and storytelling. The characters in De keisnijders seek to fundamentally rethink the possibilities for a common, transnational identity, while at the same time attempting to think community in a non-identitarian, non-organicist manner.</w:t>
      </w:r>
    </w:p>
    <w:p>
      <w:pPr/>
      <w:r>
        <w:rPr>
          <w:b/>
        </w:rPr>
        <w:t>POSSIBLE 2026:</w:t>
      </w:r>
      <w:r>
        <w:t xml:space="preserve"> Strengthening European development policy: the case for Team Europe 2.0 — https://doi.org/10.23661/ipb11.2026</w:t>
      </w:r>
    </w:p>
    <w:p>
      <w:pPr/>
      <w:r>
        <w:rPr>
          <w:b/>
        </w:rPr>
        <w:t>Shared claim-specific concepts:</w:t>
      </w:r>
      <w:r>
        <w:t xml:space="preserve"> same, time, objectives, resources; EU scope visible. This is a provisional connection, not an outcome finding.</w:t>
      </w:r>
    </w:p>
    <w:p>
      <w:pPr>
        <w:pStyle w:val="SourceNote"/>
      </w:pPr>
      <w:r>
        <w:rPr>
          <w:b/>
        </w:rPr>
        <w:t>Available abstract (not full text):</w:t>
      </w:r>
      <w:r>
        <w:t xml:space="preserve"> The international order is undergoing profound change as rivalry among major powers realigns the global balance. This is also having an impact on European development policy. In many European Union (EU) member states, funding for official development assistance (ODA) is declining. At the same time, EU countries are reforming their development policies and increasingly channelling their remaining resources towards priorities that serve primarily their own interests. So far, these reforms have largely been defined bilaterally, whereas a political debate on the role, added value and joint objectives of EU development policy is largely absent. Yet, without strengthening European cooperation in development policy, Europe will not succeed in providing an adequate response to the current upheavals in global politics. In this policy brief, we argue that reform efforts in European development policy must strengthen co-operation and complementarity to respond effectively to the changed geopolitical landscape. Our analysis identifies four key policy areas where European actors are pursuing ongoing reforms and where development policy should make significant contributions: 1) promoting economic cooperation and private-sector engagement, 2) security policy, 3) managing and shaping migration and 4) human development including poverty reduction, particularly in least developed countries (LDCs</w:t>
      </w:r>
    </w:p>
    <w:p>
      <w:pPr/>
      <w:r>
        <w:rPr>
          <w:b/>
        </w:rPr>
        <w:t>POSSIBLE 2026:</w:t>
      </w:r>
      <w:r>
        <w:t xml:space="preserve"> European Energy Transition – Germany in the Heart of Europe — https://doi.org/10.34734/fzj-2026-02456</w:t>
      </w:r>
    </w:p>
    <w:p>
      <w:pPr/>
      <w:r>
        <w:rPr>
          <w:b/>
        </w:rPr>
        <w:t>Shared claim-specific concepts:</w:t>
      </w:r>
      <w:r>
        <w:t xml:space="preserve"> same, time, objectives, set, achieved, presented; EU scope visible. This is a provisional connection, not an outcome finding.</w:t>
      </w:r>
    </w:p>
    <w:p>
      <w:pPr>
        <w:pStyle w:val="SourceNote"/>
      </w:pPr>
      <w:r>
        <w:rPr>
          <w:b/>
        </w:rPr>
        <w:t>Available abstract (not full text):</w:t>
      </w:r>
      <w:r>
        <w:t xml:space="preserve"> The European Union acknowledges climate change as an existential threat and is pursuing a growth strategy through the European Green Deal that envisions the development of a resource-efficient and competitive economy while at the same time adhering to climate protection measures [1, 2]. These measures include Europe achieving net-zero greenhouse gas emissions by 2050. As an interim target, net greenhouse gas emissions are to be reduced by 55% by 2030 compared to 1990 levels [3]. Achieving these goals will require a holistic transformation of the European energy system. Against this background, the question arises as to which pathways and strategies are available to achieve these objectives in Europe and what role Germany will play given its central location. For this study, a scenario for the transformation of the European energy system has been developed, which is aligned with the reduction targets set for Europe. The analyses are supplemented by further detailed studies in order to be able to map aspects such as the development of European hydrogen infrastructures and their robustness under various conditions. The analyses are carried out using the ETHOS (Energy Transformation Pathway Optimization Suite) model family, which was developed by the Jülich Systems Analysis institute (ICE-2) at Forschungszentrum Jülich [4]. This allows energy systems to be mapped on different scale</w:t>
      </w:r>
    </w:p>
    <w:p>
      <w:pPr/>
      <w:r>
        <w:rPr>
          <w:b/>
        </w:rPr>
        <w:t>POSSIBLE 2026:</w:t>
      </w:r>
      <w:r>
        <w:t xml:space="preserve"> Experiences from national biodiversity data infrastructures in Europe: advancing data integration and community engagement — https://doi.org/10.1093/biosci/biag032</w:t>
      </w:r>
    </w:p>
    <w:p>
      <w:pPr/>
      <w:r>
        <w:rPr>
          <w:b/>
        </w:rPr>
        <w:t>Shared claim-specific concepts:</w:t>
      </w:r>
      <w:r>
        <w:t xml:space="preserve"> community, practices, sustainable; EU scope visible. This is a provisional connection, not an outcome finding.</w:t>
      </w:r>
    </w:p>
    <w:p>
      <w:pPr>
        <w:pStyle w:val="SourceNote"/>
      </w:pPr>
      <w:r>
        <w:rPr>
          <w:b/>
        </w:rPr>
        <w:t>Available abstract (not full text):</w:t>
      </w:r>
      <w:r>
        <w:t xml:space="preserve"> The urgent need for comprehensive biodiversity data is driven by rapid biodiversity loss due to human activity. Drawing on insights from established national biodiversity data infrastructures in Europe, this article highlights eight key considerations for strengthening national data infrastructures-particularly in enhancing stakeholder engagement through improved data availability and accessibility. We emphasize the importance of collaboration among diverse stakeholders to enhance data sharing and integration. By utilizing technological advancements, implementing international standards for data interoperability under FAIR (Findable, Accessible, Interoperable, and Reusable) conditions, establishing robust communication strategies, and providing necessary training and legal guidance, these infrastructures can support effective data mobilization. Furthermore, promoting a culture of collaboration among stakeholders enhances the quality and applicability of biodiversity data for scientific research, policy, and conservation efforts. Our recommendations aim to ensure that national biodiversity data infrastructures effectively contribute to achieving the UN Global Biodiversity Framework targets and Sustainable Development Goals by encouraging strong partnerships and efficient data management practices.</w:t>
      </w:r>
    </w:p>
    <w:p>
      <w:pPr/>
      <w:r>
        <w:rPr>
          <w:b/>
        </w:rPr>
        <w:t>POSSIBLE 2026:</w:t>
      </w:r>
      <w:r>
        <w:t xml:space="preserve"> Outreach and Science Education in the European Physics Community — https://doi.org/10.1051/epjconf/202637812003</w:t>
      </w:r>
    </w:p>
    <w:p>
      <w:pPr/>
      <w:r>
        <w:rPr>
          <w:b/>
        </w:rPr>
        <w:t>Shared claim-specific concepts:</w:t>
      </w:r>
      <w:r>
        <w:t xml:space="preserve"> community, practices, provides; EU scope visible. This is a provisional connection, not an outcome finding.</w:t>
      </w:r>
    </w:p>
    <w:p>
      <w:pPr>
        <w:pStyle w:val="SourceNote"/>
      </w:pPr>
      <w:r>
        <w:rPr>
          <w:b/>
        </w:rPr>
        <w:t>Available abstract (not full text):</w:t>
      </w:r>
      <w:r>
        <w:t xml:space="preserve"> Outreach and science education have progressively evolved from complementary dissemination activities into structural components of large-scale research in nuclear, particle, and astroparticle physics. Their role now extends to ensuring societal legitimacy, long-term sustainability of research infrastructures, and the development of human capital required to operate increasingly complex experiments. Within Europe, outreach and education activities are articulated through a multi-level ecosystem that combines institutional initiatives, transnational networks, and experiment-driven programs. This contribution provides a comprehensive overview of the European approach to outreach and science education, discussing institutional frameworks, educational programs across different levels, public engagement strategies, digital tools, and open science practices, as well as the main challenges and strategic perspectives for the future.</w:t>
      </w:r>
    </w:p>
    <w:p>
      <w:pPr/>
      <w:r>
        <w:rPr>
          <w:b/>
        </w:rPr>
        <w:t>POSSIBLE 2026:</w:t>
      </w:r>
      <w:r>
        <w:t xml:space="preserve"> Navigating Multilingualism among Moroccan Diaspora Communities in Europe — https://doi.org/10.32996/ijels.2026.8.3.2</w:t>
      </w:r>
    </w:p>
    <w:p>
      <w:pPr/>
      <w:r>
        <w:rPr>
          <w:b/>
        </w:rPr>
        <w:t>Shared claim-specific concepts:</w:t>
      </w:r>
      <w:r>
        <w:t xml:space="preserve"> same, time, community, involves, use, practices; EU scope visible. This is a provisional connection, not an outcome finding.</w:t>
      </w:r>
    </w:p>
    <w:p>
      <w:pPr>
        <w:pStyle w:val="SourceNote"/>
      </w:pPr>
      <w:r>
        <w:rPr>
          <w:b/>
        </w:rPr>
        <w:t>Available abstract (not full text):</w:t>
      </w:r>
      <w:r>
        <w:t xml:space="preserve"> Multilingualism has become an increasingly common feature of migrant communities across Europe. Among these communities, Moroccan diaspora populations navigate diverse linguistic environments that require the use of multiple languages in everyday life. Living between heritage and host-country cultures often involves managing complex linguistic demands across family, educational, professional, and social settings. Despite the growing presence of Moroccan communities throughout Europe, relatively limited research has focused on the multilingual challenges they encounter in their daily lives. This study investigates the challenges of multilingualism among Moroccan diaspora communities in Europe. Using a quantitative research design, data were collected through an online questionnaire distributed via Moroccan diaspora social media platforms and WhatsApp groups. A total of 189 participants residing in different European countries took part in the study. The questionnaire explored language use, multilingual challenges, intergenerational communication, and strategies employed to manage multilingual environments. The findings reveal that participants regularly use multiple languages, particularly Darija, French, English, and the language of the host country, across various social contexts. The results further indicate that heritage language maintenance, intergenerational communication,</w:t>
      </w:r>
    </w:p>
    <w:p>
      <w:pPr/>
      <w:r>
        <w:rPr>
          <w:b/>
        </w:rPr>
        <w:t>POSSIBLE 2025:</w:t>
      </w:r>
      <w:r>
        <w:t xml:space="preserve"> The Role of the European Commission in Soil Protection in the European Union — https://doi.org/10.54515/lcp.2025.1.149-159</w:t>
      </w:r>
    </w:p>
    <w:p>
      <w:pPr/>
      <w:r>
        <w:rPr>
          <w:b/>
        </w:rPr>
        <w:t>Shared claim-specific concepts:</w:t>
      </w:r>
      <w:r>
        <w:t xml:space="preserve"> same, time, objectives, provides; EU scope visible. This is a provisional connection, not an outcome finding.</w:t>
      </w:r>
    </w:p>
    <w:p>
      <w:pPr>
        <w:pStyle w:val="SourceNote"/>
      </w:pPr>
      <w:r>
        <w:rPr>
          <w:b/>
        </w:rPr>
        <w:t>Available abstract (not full text):</w:t>
      </w:r>
      <w:r>
        <w:t xml:space="preserve"> The ongoing integration processes within the European Union are driving continued reforms and evolution of its institutions. At the same time, the institutional mechanism of the European Union itself has a complex structure that reflects the gradual nature of European integration. This article focuses on the legal basis for the functioning, organisation and activities of the European Commission in the field of soil protection. This institution enables the European Union to achieve its objectives and fulfil its tasks in this area of public policy. The article highlights the peculiarities of the European Commission's activities and focuses on its relevant competence in the field of soil protection in the manner determined primarily by the founding treaties. A key role is attributed to the Lisbon Treaty, which reformed the institutional foundations of this supranational international organisation. At the same time, the institutional structure of the EU has a number of features due to its status as a supranational association, whose authority is strictly limited to the competences conferred by its Member States. The article also explores the specific features of the distribution of powers and responsibilities between EU institutions and the decision-making procedure of the European Commission in the field of soil protection. In particular, the study examines how the institutions of</w:t>
      </w:r>
    </w:p>
    <w:p>
      <w:pPr/>
      <w:r>
        <w:rPr>
          <w:b/>
        </w:rPr>
        <w:t>POSSIBLE 2025:</w:t>
      </w:r>
      <w:r>
        <w:t xml:space="preserve"> Community-based interventions for management of antimicrobial resistance in Europe: a systematic review — https://doi.org/10.1093/eurpub/ckaf257</w:t>
      </w:r>
    </w:p>
    <w:p>
      <w:pPr/>
      <w:r>
        <w:rPr>
          <w:b/>
        </w:rPr>
        <w:t>Shared claim-specific concepts:</w:t>
      </w:r>
      <w:r>
        <w:t xml:space="preserve"> time, community, presented, use, needed, population; EU scope visible. This is a provisional connection, not an outcome finding.</w:t>
      </w:r>
    </w:p>
    <w:p>
      <w:pPr>
        <w:pStyle w:val="SourceNote"/>
      </w:pPr>
      <w:r>
        <w:rPr>
          <w:b/>
        </w:rPr>
        <w:t>Available abstract (not full text):</w:t>
      </w:r>
      <w:r>
        <w:t xml:space="preserve"> Antimicrobial resistance (AMR) is a growing global health problem. Several public interventions have been designed to increase AMR knowledge and awareness. This review assesses the availability and effectiveness of community-based AMR interventions in Europe. Four databases-Medline (OVID), Pubmed, Scopus, Web of Science- and grey literature were searched for AMR interventions in community settings in Europe between 2000 and 2024. Studies reporting empirical findings in English were considered. A narrative synthesis was performed, and findings were presented in text and tables. Forty-nine studies were eligible for inclusion from 14 European countries. Interventions were primarily educational to raise awareness, targeting individuals, small groups, or the general public through mass campaigns, school-based programmes, online games, and pledges. Some interventions also monitored adherence, consumption, and doctor consultation. The majority of interventions reported increased knowledge and awareness of antibiotics and AMR; reduced antibiotic prescription, purchase, use, and non-compliance; reduced respiratory incidence and doctor consultations, and increased overall adherence. Fluctuations in knowledge over time were observed, but evidence was insufficient to analyse the long-term sustainability of outcomes of the interventions. Our findings show that community-based interventions </w:t>
      </w:r>
    </w:p>
    <w:p>
      <w:pPr/>
      <w:r>
        <w:rPr>
          <w:b/>
        </w:rPr>
        <w:t>POSSIBLE 2025:</w:t>
      </w:r>
      <w:r>
        <w:t xml:space="preserve"> The Early Years of Ireland in the European Economic Community — https://doi.org/10.4324/9781003184188</w:t>
      </w:r>
    </w:p>
    <w:p>
      <w:pPr/>
      <w:r>
        <w:rPr>
          <w:b/>
        </w:rPr>
        <w:t>Shared claim-specific concepts:</w:t>
      </w:r>
      <w:r>
        <w:t xml:space="preserve"> same, time, community; EU scope visible. This is a provisional connection, not an outcome finding.</w:t>
      </w:r>
    </w:p>
    <w:p>
      <w:pPr>
        <w:pStyle w:val="SourceNote"/>
      </w:pPr>
      <w:r>
        <w:rPr>
          <w:b/>
        </w:rPr>
        <w:t>Available abstract (not full text):</w:t>
      </w:r>
      <w:r>
        <w:t xml:space="preserve"> Ireland’s accession to the European Economic Community (EEC) in 1973 provided great opportunities, as well as significant challenges to its relatively small civil service. This book traces Ireland’s internal adaptation to managing membership. The long wait for accession to the EEC had instigated administrative and management patterns during negotiations which were difficult for Ireland to untangle and alter afterwards. There was friction between departments on how to approach relations with the EEC in some policy areas after membership. At times, this effectively slowed and even hampered Ireland’s adaptation to membership. At the same time, the EEC provided an important new frame of reference for Irish society. Discussions on social progress drew from that wider context and challenged Ireland in new ways. This volume explores this development through an analysis of empirical files from the National Archives of Ireland and the Historical Archives of the European Union, newspapers, and secondary sources. This book is intended for scholars and students of Irish history, European Studies, political science, diplomatic studies, and administrative history.</w:t>
      </w:r>
    </w:p>
    <w:p>
      <w:pPr/>
      <w:r>
        <w:rPr>
          <w:b/>
        </w:rPr>
        <w:t>POSSIBLE 2025:</w:t>
      </w:r>
      <w:r>
        <w:t xml:space="preserve"> Cultural Aspects and Sustainability in Gastronomic Places: Analysis in Tourist Cities in Brazil and Europe — https://doi.org/10.55892/jrg.v8i18.1933</w:t>
      </w:r>
    </w:p>
    <w:p>
      <w:pPr/>
      <w:r>
        <w:rPr>
          <w:b/>
        </w:rPr>
        <w:t>Shared claim-specific concepts:</w:t>
      </w:r>
      <w:r>
        <w:t xml:space="preserve"> same, time, use, techniques, practices, considering; EU scope visible. This is a provisional connection, not an outcome finding.</w:t>
      </w:r>
    </w:p>
    <w:p>
      <w:pPr>
        <w:pStyle w:val="SourceNote"/>
      </w:pPr>
      <w:r>
        <w:rPr>
          <w:b/>
        </w:rPr>
        <w:t>Available abstract (not full text):</w:t>
      </w:r>
      <w:r>
        <w:t xml:space="preserve"> Introduction: Gastronomic tourism has emerged as an important aspect of cultural tourism, offering authentic experiences that reflect the identity and traditions of a region. In tourist cities, both in Brazil and in Europe, gastronomy plays a crucial role in promoting cultural aspects and implementing sustainable practices. The intersection between culture, sustainability and gastronomy is a field of study that deserves attention, as these dynamics can influence both cultural preservation and sustainable economic development in these regions. Objective: This study aims to analyze the relationship between cultural aspects and sustainability practices in gastronomic venues located in tourist cities in Brazil and Europe. The research seeks to identify how local gastronomy can serve as a vehicle for promoting culture and at the same time fostering sustainable practices, contributing to responsible tourism and the preservation of local resources. Method: To achieve this objective, a scoping review was conducted, which included the analysis of scientific articles, reports from international organizations and case studies published in the last ten years. The scoping review allows mapping the available evidence on the relationship between culture, sustainability and gastronomy in tourism contexts, offering a comprehensive view of the practices and strategies adopted in different region</w:t>
      </w:r>
    </w:p>
    <w:p>
      <w:pPr>
        <w:pStyle w:val="Heading2"/>
      </w:pPr>
      <w:r>
        <w:t>551. Past and Future Trends in Refugee Migration on the Regional Level in Germany – An Analysis and Projection of Labor Market Effects</w:t>
      </w:r>
    </w:p>
    <w:p>
      <w:pPr>
        <w:pStyle w:val="SourceNote"/>
      </w:pPr>
      <w:r>
        <w:rPr>
          <w:b/>
        </w:rPr>
        <w:t>Original source (2022):</w:t>
      </w:r>
      <w:r>
        <w:t xml:space="preserve"> https://doi.org/10.12765/cpos-2022-17</w:t>
      </w:r>
    </w:p>
    <w:p>
      <w:pPr/>
      <w:r>
        <w:t>Original wording (abstract; indexed_source_text_not_full_document_verified): Next, we calculate corresponding future employment effects conditional on our projected refugee figures, our estimation results, and official regional demographic forecasts until 2030. Our findings suggest that refugee migration does not affect German labor market regions equally, but instead has and will continue to lead to distinct regional employment effects.</w:t>
      </w:r>
    </w:p>
    <w:p>
      <w:pPr/>
      <w:r>
        <w:rPr>
          <w:b/>
        </w:rPr>
        <w:t>POSSIBLE 2026:</w:t>
      </w:r>
      <w:r>
        <w:t xml:space="preserve"> Preference-based Conditional Treatment Effects and Policy Learning — https://doi.org/10.48550/arxiv.2602.03823</w:t>
      </w:r>
    </w:p>
    <w:p>
      <w:pPr/>
      <w:r>
        <w:rPr>
          <w:b/>
        </w:rPr>
        <w:t>Shared claim-specific concepts:</w:t>
      </w:r>
      <w:r>
        <w:t xml:space="preserve"> conditional, estimation; EU scope not established. This is a provisional connection, not an outcome finding.</w:t>
      </w:r>
    </w:p>
    <w:p>
      <w:pPr>
        <w:pStyle w:val="SourceNote"/>
      </w:pPr>
      <w:r>
        <w:rPr>
          <w:b/>
        </w:rPr>
        <w:t>Available abstract (not full text):</w:t>
      </w:r>
      <w:r>
        <w:t xml:space="preserve"> We introduce a new preference-based framework for conditional treatment effect estimation and policy learning, built on the Conditional Preference-based Treatment Effect (CPTE). CPTE requires only that outcomes be ranked under a preference rule, unlocking flexible modeling of heterogeneous effects with multivariate, ordinal, or preference-driven outcomes. This unifies applications such as conditional probability of necessity and sufficiency, conditional Win Ratio, and Generalized Pairwise Comparisons. Despite the intrinsic non-identifiability of comparison-based estimands, CPTE provides interpretable targets and delivers new identifiability conditions for previous unidentifiable estimands. We present estimation strategies via matching, quantile, and distributional regression, and further design efficient influence-function estimators to correct plug-in bias and maximize policy value. Synthetic and semi-synthetic experiments demonstrate clear performance gains and practical impact.</w:t>
      </w:r>
    </w:p>
    <w:p>
      <w:pPr/>
      <w:r>
        <w:rPr>
          <w:b/>
        </w:rPr>
        <w:t>POSSIBLE 2026:</w:t>
      </w:r>
      <w:r>
        <w:t xml:space="preserve"> IV-learner: learning conditional average treatment effects using instrumental variables — https://doi.org/10.1093/biostatistics/kxag009</w:t>
      </w:r>
    </w:p>
    <w:p>
      <w:pPr/>
      <w:r>
        <w:rPr>
          <w:b/>
        </w:rPr>
        <w:t>Shared claim-specific concepts:</w:t>
      </w:r>
      <w:r>
        <w:t xml:space="preserve"> conditional, estimation; EU scope not established. This is a provisional connection, not an outcome finding.</w:t>
      </w:r>
    </w:p>
    <w:p>
      <w:pPr>
        <w:pStyle w:val="SourceNote"/>
      </w:pPr>
      <w:r>
        <w:rPr>
          <w:b/>
        </w:rPr>
        <w:t>Available abstract (not full text):</w:t>
      </w:r>
      <w:r>
        <w:t xml:space="preserve"> A live clinical question is: which patients benefit from intensive care unit (ICU) transfer? Motivated by this question we address the problem of estimating conditional average treatment effects (CATE) in the presence of unmeasured confounding, by leveraging instrumental variables (IVs). CATE-learners (eg R-learner) developed for settings without unmeasured confounding can readily incorporate IVs by substituting the observed exposure with first-stage predictions from a regression of treatment on IVs and covariates. Such predictions may be obtained via flexible data-adaptive methods (eg statistical or machine learning procedures) to alleviate concerns about model misspecification. However, the large regularization bias typical of data-adaptive predictions may propagate into the CATE estimates, resulting in poor accuracy. Neyman-orthogonal learners have therefore been developed, which prevent this by "insulating" the resulting CATE estimates against bias and estimation errors in these predictions. However, synthetic data simulations reveal that previously proposed Neyman-orthogonal learners for IV regression perform poorly. We remedy this problem using infinite-dimensional targeted learning, which strategically tailors first-stage predictions to perform well in their ultimate task: delivering accurate, precise CATE estimates. The resulting targeted Neyman-orthogonal learner is ea</w:t>
      </w:r>
    </w:p>
    <w:p>
      <w:pPr/>
      <w:r>
        <w:rPr>
          <w:b/>
        </w:rPr>
        <w:t>POSSIBLE 2026:</w:t>
      </w:r>
      <w:r>
        <w:t xml:space="preserve"> Unveiling the environmental impact of earthquakes in Europe — https://doi.org/10.1038/s41467-025-68120-6</w:t>
      </w:r>
    </w:p>
    <w:p>
      <w:pPr/>
      <w:r>
        <w:rPr>
          <w:b/>
        </w:rPr>
        <w:t>Shared claim-specific concepts:</w:t>
      </w:r>
      <w:r>
        <w:t xml:space="preserve"> findings, not;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The conditional ecology of pest suppression: A general mechanistic framework for predicting landscape effects on biological control — https://doi.org/10.32942/x2894q</w:t>
      </w:r>
    </w:p>
    <w:p>
      <w:pPr/>
      <w:r>
        <w:rPr>
          <w:b/>
        </w:rPr>
        <w:t>Shared claim-specific concepts:</w:t>
      </w:r>
      <w:r>
        <w:t xml:space="preserve"> conditional, findings; EU scope not established. This is a provisional connection, not an outcome finding.</w:t>
      </w:r>
    </w:p>
    <w:p>
      <w:pPr>
        <w:pStyle w:val="SourceNote"/>
      </w:pPr>
      <w:r>
        <w:rPr>
          <w:b/>
        </w:rPr>
        <w:t>Available abstract (not full text):</w:t>
      </w:r>
      <w:r>
        <w:t xml:space="preserve"> Landscape heterogeneity often increases natural enemy abundance, yet its effects on crop pest suppression are strikingly inconsistent across empirical studies. We developed a trait-based simulation framework to identify the general mechanisms linking landscape structure to realized pest load. Across &gt;150 in silico experiments, we show that landscape attributes influence biological control by altering two early-season predator metrics: (i) the immigration rate from the surrounding landscape and (ii) the rate at which colonizing predators accumulate energy after arriving in the crop. These two conditions form universal causal pathways from landscape structure to pest suppression, but their relative importance depends on pest traits. Suppression of slow-growing, diffusely distributed pests requires high early-season energy accumulation by predators; rapidly growing and aggregated pests are controlled by increased predator immigration alone; suppression of rapid but diffuse pests requires both, and is weak even under favorable conditions. These three suppression fingerprints explain why landscape heterogeneity reliably increases natural enemy arrival yet only sometimes reduces pest load. Our results reveal a general, trait-mediated architecture—the conditional ecology of pest suppression—that reconciles inconsistent field findings, predicts when landscape heterogeneity should enhan</w:t>
      </w:r>
    </w:p>
    <w:p>
      <w:pPr/>
      <w:r>
        <w:rPr>
          <w:b/>
        </w:rPr>
        <w:t>POSSIBLE 2025:</w:t>
      </w:r>
      <w:r>
        <w:t xml:space="preserve"> Regional economic impact of the Next Generation European Union recovery plan — https://doi.org/10.1016/j.pirs.2025.100105</w:t>
      </w:r>
    </w:p>
    <w:p>
      <w:pPr/>
      <w:r>
        <w:rPr>
          <w:b/>
        </w:rPr>
        <w:t>Shared claim-specific concepts:</w:t>
      </w:r>
      <w:r>
        <w:t xml:space="preserve"> next, regional, regions; EU scope visible. This is a provisional connection, not an outcome finding.</w:t>
      </w:r>
    </w:p>
    <w:p>
      <w:pPr>
        <w:pStyle w:val="SourceNote"/>
      </w:pPr>
      <w:r>
        <w:rPr>
          <w:b/>
        </w:rPr>
        <w:t>Available abstract (not full text):</w:t>
      </w:r>
      <w:r>
        <w:t xml:space="preserve"> This paper analyzes the economic impact of the Next Generation Funds package of the European Union (NGEU), focusing on the allocation of NGEU funds across European regions and the impact on rent distribution using new datasets on direct investments and remittances. Employing the input-output framework this work assesses the effects of the pandemic and the implications of NGEU funds, considering two alternative scenarios of sectoral and regional allocation, and a second round of rent distribution. The analysis reveals that the positive effects of the NGEU are largely overshadowed by the negative impacts of pandemic in most regions. Additionally, when considering the final redistributive effect, including interregional capital and remittance flows, the spatial pattern shifts, indicating that despite overall improvements, core regions capture rents from peripheral regions, leading to anti-cohesion outcomes. These results prompt further investigation into the role of NGEU in regional recovery and cohesion, suggesting additional research into rent distribution and the long-term economic impacts.</w:t>
      </w:r>
    </w:p>
    <w:p>
      <w:pPr/>
      <w:r>
        <w:rPr>
          <w:b/>
        </w:rPr>
        <w:t>POSSIBLE 2025:</w:t>
      </w:r>
      <w:r>
        <w:t xml:space="preserve"> Conformal Inference of Individual Treatment Effects Using Conditional Density Estimates — https://doi.org/10.1609/aaai.v39i20.35397</w:t>
      </w:r>
    </w:p>
    <w:p>
      <w:pPr/>
      <w:r>
        <w:rPr>
          <w:b/>
        </w:rPr>
        <w:t>Shared claim-specific concepts:</w:t>
      </w:r>
      <w:r>
        <w:t xml:space="preserve"> conditional, not; EU scope not established. This is a provisional connection, not an outcome finding.</w:t>
      </w:r>
    </w:p>
    <w:p>
      <w:pPr>
        <w:pStyle w:val="SourceNote"/>
      </w:pPr>
      <w:r>
        <w:rPr>
          <w:b/>
        </w:rPr>
        <w:t>Available abstract (not full text):</w:t>
      </w:r>
      <w:r>
        <w:t xml:space="preserve"> In an era where diverse and complex data are increasingly accessible, the precise prediction of individual treatment effects (ITE) becomes crucial across fields such as healthcare, economics, and social policy. Current state-of-the-art approaches, while providing valid prediction intervals through Conformal Quantile Regression (CQR) and related techniques, often yield overly conservative prediction intervals. In this work, we introduce a conformal inference approach to ITE using the conditional density of the outcome given the covariates. We leverage the reference distribution technique to efficiently estimate the conditional densities as the score functions under a two-stage conformal ITE framework. We show that our prediction intervals are not only marginally valid but are narrower than existing methods. Experimental results further validate the usefulness of our method.</w:t>
      </w:r>
    </w:p>
    <w:p>
      <w:pPr/>
      <w:r>
        <w:rPr>
          <w:b/>
        </w:rPr>
        <w:t>POSSIBLE 2025:</w:t>
      </w:r>
      <w:r>
        <w:t xml:space="preserve"> The Long-Run and Intergenerational Effects of Conditional Cash Transfers: Evidence from Chile’s Indigenous Grants — https://doi.org/10.3386/w33798</w:t>
      </w:r>
    </w:p>
    <w:p>
      <w:pPr/>
      <w:r>
        <w:rPr>
          <w:b/>
        </w:rPr>
        <w:t>Shared claim-specific concepts:</w:t>
      </w:r>
      <w:r>
        <w:t xml:space="preserve"> conditional, labor; EU scope not established. This is a provisional connection, not an outcome finding.</w:t>
      </w:r>
    </w:p>
    <w:p>
      <w:pPr>
        <w:pStyle w:val="SourceNote"/>
      </w:pPr>
      <w:r>
        <w:rPr>
          <w:b/>
        </w:rPr>
        <w:t>Available abstract (not full text):</w:t>
      </w:r>
      <w:r>
        <w:t xml:space="preserve"> Since 1991, Chile has provided large, renewable cash grants to indigenous children in lowerincome households, conditional on school enrollment.We estimate intent-to-treat effects of grant exposure on indigenous adults and their children, leveraging variation in expected grant exposure across birth cohorts and never-treated adults, and using fixed effects to absorb unobserved variables shared by adults born in the same year and community.Cohorts with the greatest exposure had 0.6 more years of schooling, 10% more hours worked, and 22% higher labor earnings, reducing pre-treatment ethnic differences.Mothers' exposure increased their children's early-grade test scores and reduced second-generation grant receipt.</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figures, forecasts, until, findings, not;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Estimating Conditional Average Treatment Effects via Sufficient Representation Learning — https://doi.org/10.24963/ijcai.2024/541</w:t>
      </w:r>
    </w:p>
    <w:p>
      <w:pPr/>
      <w:r>
        <w:rPr>
          <w:b/>
        </w:rPr>
        <w:t>Shared claim-specific concepts:</w:t>
      </w:r>
      <w:r>
        <w:t xml:space="preserve"> conditional, estimation, not; EU scope not established. This is a provisional connection, not an outcome finding.</w:t>
      </w:r>
    </w:p>
    <w:p>
      <w:pPr>
        <w:pStyle w:val="SourceNote"/>
      </w:pPr>
      <w:r>
        <w:rPr>
          <w:b/>
        </w:rPr>
        <w:t>Available abstract (not full text):</w:t>
      </w:r>
      <w:r>
        <w:t xml:space="preserve"> Estimating the conditional average treatment effects (CATE) is very important in causal inference and has a wide range of applications across many fields. In the estimation process of CATE, the unconfoundedness assumption is typically required to ensure the identifiability of the regression problems. When estimating CATE using high-dimensional data, there have been many variable selection methods and neural network approaches based on representation learning, while these methods do not provide a way to verify whether the subset of variables after dimensionality reduction or the learned representations still satisfy the unconfoundedness assumption during the estimation process, which can lead to ineffective estimates of the treatment effects. Additionally, these methods typically use data from only the treatment or control group when estimating the regression functions for each group. This paper proposes a novel neural network approach named CrossNet to learn a sufficient representation for the features, based on which we then estimate the CATE, where cross indicates that in estimating the regression functions, we used data from their own group as well as cross-utilized data from another group. Numerical simulations and empirical results demonstrate that our method outperforms the competitive approaches.</w:t>
      </w:r>
    </w:p>
    <w:p>
      <w:pPr/>
      <w:r>
        <w:rPr>
          <w:b/>
        </w:rPr>
        <w:t>POSSIBLE 2024:</w:t>
      </w:r>
      <w:r>
        <w:t xml:space="preserve"> Manager sentiment and conditional conservatism — https://doi.org/10.1111/jbfa.12780</w:t>
      </w:r>
    </w:p>
    <w:p>
      <w:pPr/>
      <w:r>
        <w:rPr>
          <w:b/>
        </w:rPr>
        <w:t>Shared claim-specific concepts:</w:t>
      </w:r>
      <w:r>
        <w:t xml:space="preserve"> conditional, not, affect; EU scope not established. This is a provisional connection, not an outcome finding.</w:t>
      </w:r>
    </w:p>
    <w:p>
      <w:pPr>
        <w:pStyle w:val="SourceNote"/>
      </w:pPr>
      <w:r>
        <w:rPr>
          <w:b/>
        </w:rPr>
        <w:t>Available abstract (not full text):</w:t>
      </w:r>
      <w:r>
        <w:t xml:space="preserve"> Abstract This study examines the effect of manager sentiment on conditional conservatism. Manager sentiment refers to widely held beliefs of financial managers about their firms’ future economic prospects that are not justified by available economic fundamentals. Manager sentiment is likely to affect conditional conservative reporting because the decision to recognize unrealized economic losses in a timely manner flows from financial managers’ beliefs about their firms’ future cash flow prospects. We predict and find that manager sentiment is negatively associated with conditional conservatism, indicating that firms report less conservatively during periods of high manager sentiment (over‐optimism) and more conservatively during periods of low manager sentiment (over‐pessimism). Moreover, the effects of manager sentiment on conditional conservatism remain strongly negative after controlling for manager overconfidence. We further find that asset write‐offs are lower during high sentiment periods but higher in subsequent periods. Importantly, the manager sentiment effect on conservatism is incremental, and the opposite in sign, to the effect of investor sentiment, which has not been demonstrated in prior literature.</w:t>
      </w:r>
    </w:p>
    <w:p>
      <w:pPr/>
      <w:r>
        <w:rPr>
          <w:b/>
        </w:rPr>
        <w:t>POSSIBLE 2024:</w:t>
      </w:r>
      <w:r>
        <w:t xml:space="preserve"> Dissecting the Decline in Average Hours Worked in Europe — https://doi.org/10.5089/9798400261183.001</w:t>
      </w:r>
    </w:p>
    <w:p>
      <w:pPr/>
      <w:r>
        <w:rPr>
          <w:b/>
        </w:rPr>
        <w:t>Shared claim-specific concepts:</w:t>
      </w:r>
      <w:r>
        <w:t xml:space="preserve"> employment, not, labor; EU scope visible. This is a provisional connection, not an outcome finding.</w:t>
      </w:r>
    </w:p>
    <w:p>
      <w:pPr>
        <w:pStyle w:val="SourceNote"/>
      </w:pPr>
      <w:r>
        <w:rPr>
          <w:b/>
        </w:rPr>
        <w:t>Available abstract (not full text):</w:t>
      </w:r>
      <w:r>
        <w:t xml:space="preserve"> Three years after the COVID-19 crisis, employment and total hours worked in Europe fully recovered, but average hours per worker did not. We analyze the decline in average hours worked across European countries and find that (i) it is not cyclical but predominantly structural, extending a long-term trend that predates COVID-19, (ii) it mainly reflects reduced hours within worker groups, not a compositional shift towards lower-hours jobs and workers, (iii) men—particularly those with young children—and youth drive this drop, (iv) declines in actual hours match declines in desired hours. Policy reforms could help involuntary parttimers and women with young children raise their actual hours towards desired levels, but the aggregate impact on average hours would be limited to 0.5 to 1.5 percent. Overall, there is scant evidence of slack at the intensive margin in European labor markets, and the trend fall in average hours worked seems unlikely to reverse.</w:t>
      </w:r>
    </w:p>
    <w:p>
      <w:pPr/>
      <w:r>
        <w:rPr>
          <w:b/>
        </w:rPr>
        <w:t>POSSIBLE 2024:</w:t>
      </w:r>
      <w:r>
        <w:t xml:space="preserve"> Conditional Density Estimation with Histogram Trees — https://doi.org/10.52202/079017-3724</w:t>
      </w:r>
    </w:p>
    <w:p>
      <w:pPr/>
      <w:r>
        <w:rPr>
          <w:b/>
        </w:rPr>
        <w:t>Shared claim-specific concepts:</w:t>
      </w:r>
      <w:r>
        <w:t xml:space="preserve"> next, conditional, estimation; EU scope not established. This is a provisional connection, not an outcome finding.</w:t>
      </w:r>
    </w:p>
    <w:p>
      <w:pPr>
        <w:pStyle w:val="SourceNote"/>
      </w:pPr>
      <w:r>
        <w:rPr>
          <w:b/>
        </w:rPr>
        <w:t>Available abstract (not full text):</w:t>
      </w:r>
      <w:r>
        <w:t xml:space="preserve"> Conditional density estimation (CDE) goes beyond regression by modeling the full conditional distribution, providing a richer understanding of the data than just the conditional mean in regression. This makes CDE particularly useful in critical application domains. However, interpretable CDE methods are understudied. Current methods typically employ kernel-based approaches, using kernel functions directly for kernel density estimation or as basis functions in linear models. In contrast, despite their conceptual simplicity and visualization suitability, tree-based methods -- which are arguably more comprehensible -- have been largely overlooked for CDE tasks. Thus, we propose the Conditional Density Tree (CDTree), a fully non-parametric model consisting of a decision tree in which each leaf is formed by a histogram model. Specifically, we formalize the problem of learning a CDTree using the minimum description length (MDL) principle, which eliminates the need for tuning the hyperparameter for regularization. Next, we propose an iterative algorithm that, although greedily, searches the optimal histogram for every possible node split. Our experiments demonstrate that, in comparison to existing interpretable CDE methods, CDTrees are both more accurate (as measured by the log-loss) and more robust against irrelevant features. Further, our approach leads to smaller tree sizes than ex</w:t>
      </w:r>
    </w:p>
    <w:p>
      <w:pPr>
        <w:pStyle w:val="Heading2"/>
      </w:pPr>
      <w:r>
        <w:t>552. Policy Modelling for Ambitious Energy Efficiency Investment in the EU Residential Buildings</w:t>
      </w:r>
    </w:p>
    <w:p>
      <w:pPr>
        <w:pStyle w:val="SourceNote"/>
      </w:pPr>
      <w:r>
        <w:rPr>
          <w:b/>
        </w:rPr>
        <w:t>Original source (2022):</w:t>
      </w:r>
      <w:r>
        <w:t xml:space="preserve"> https://doi.org/10.3390/en15062233</w:t>
      </w:r>
    </w:p>
    <w:p>
      <w:pPr/>
      <w:r>
        <w:t>Original wording (abstract; indexed_source_text_not_full_document_verified): This paper presents the challenges of increasing the energy efficiency investments in European Union (EU) residential buildings in the context of achieving climate neutrality by 2050.</w:t>
      </w:r>
    </w:p>
    <w:p>
      <w:pPr/>
      <w:r>
        <w:rPr>
          <w:b/>
        </w:rPr>
        <w:t>POSSIBLE 2026:</w:t>
      </w:r>
      <w:r>
        <w:t xml:space="preserve"> The Geopolitical Shift and the Challenge to European Integration — https://doi.org/10.1007/978-3-032-18648-5_1</w:t>
      </w:r>
    </w:p>
    <w:p>
      <w:pPr/>
      <w:r>
        <w:rPr>
          <w:b/>
        </w:rPr>
        <w:t>Shared claim-specific concepts:</w:t>
      </w:r>
      <w:r>
        <w:t xml:space="preserve"> presents, challenges, union; EU scope visible. This is a provisional connection, not an outcome finding.</w:t>
      </w:r>
    </w:p>
    <w:p>
      <w:pPr>
        <w:pStyle w:val="SourceNote"/>
      </w:pPr>
      <w:r>
        <w:rPr>
          <w:b/>
        </w:rPr>
        <w:t>Available abstract (not full text):</w:t>
      </w:r>
      <w:r>
        <w:t xml:space="preserve"> In the introductory chapter of the book, the authors discuss the implications for the European Union (EU) of the transformation of the international system and the return of geopolitics. Since the mid-2010s, the international system has undergone a fundamental shift away from a liberal world order towards an alternative order characterised by great-power rivalry, which presents major challenges for the EU’s competitiveness, security, and green transition. The chapter highlights the transformation of the global order by examining the origins of geopolitics. It then proceeds to analyse the measures that the EU has adopted so far to address the challenges posed by a geopolitically driven international system. The chapter concludes with an overview of the subsequent chapters of the book which, from various perspectives, examine how the EU is navigating the geopolitical shift.</w:t>
      </w:r>
    </w:p>
    <w:p>
      <w:pPr/>
      <w:r>
        <w:rPr>
          <w:b/>
        </w:rPr>
        <w:t>POSSIBLE 2026:</w:t>
      </w:r>
      <w:r>
        <w:t xml:space="preserve"> The Future of European Integration : Challenges and Opportunities — https://openalex.org/W7221381007</w:t>
      </w:r>
    </w:p>
    <w:p>
      <w:pPr/>
      <w:r>
        <w:rPr>
          <w:b/>
        </w:rPr>
        <w:t>Shared claim-specific concepts:</w:t>
      </w:r>
      <w:r>
        <w:t xml:space="preserve"> presents, challenges, union; EU scope visible. This is a provisional connection, not an outcome finding.</w:t>
      </w:r>
    </w:p>
    <w:p>
      <w:pPr>
        <w:pStyle w:val="SourceNote"/>
      </w:pPr>
      <w:r>
        <w:rPr>
          <w:b/>
        </w:rPr>
        <w:t>Available abstract (not full text):</w:t>
      </w:r>
      <w:r>
        <w:t xml:space="preserve"> The European Union has reached a crossroads. Its future development — even its survival — faces fundamental challenges in a turbulent global environment. As unity and effective action are imperative, the EU’s genuine renewal cannot be postponed. This volume offers a new narrative for European integration that recognises the heterogeneity of the member states, particularly as the Union expands to include the Western Balkans, Ukraine, Georgia, and Moldova. Contributions from leading academic and policy experts discuss the reforms and policies needed to address these challenges and harness emerging opportunities. By considering economic, social, institutional, and environmental aspects of development, the book presents a vision for a fair and sustainable European Union. It focuses on economic prosperity, the green transition, global geopolitics, social protection, innovation, and institutional reforms. In an era of geoeconomic fragmentation, the EU’s unity and effective action are imperative. This open-access book will be relevant to students, researchers, and policymakers interested in comparative and international economics and European studies.</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presents, challenges, increasing;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Tropical viruses – challenges of modern medicine andlaboratory diagnostics — https://doi.org/10.5604/01.3001.0055.5927</w:t>
      </w:r>
    </w:p>
    <w:p>
      <w:pPr/>
      <w:r>
        <w:rPr>
          <w:b/>
        </w:rPr>
        <w:t>Shared claim-specific concepts:</w:t>
      </w:r>
      <w:r>
        <w:t xml:space="preserve"> presents, challenges, increasing, context; EU scope visible. This is a provisional connection, not an outcome finding.</w:t>
      </w:r>
    </w:p>
    <w:p>
      <w:pPr>
        <w:pStyle w:val="SourceNote"/>
      </w:pPr>
      <w:r>
        <w:rPr>
          <w:b/>
        </w:rPr>
        <w:t>Available abstract (not full text):</w:t>
      </w:r>
      <w:r>
        <w:t xml:space="preserve"> Tropical viruses in Europe are becoming an increasing threat due to climatechange, globalization and increased mobility of people and goods. Globalizationis promoting the spread of tropical diseases, previously unseen in ourlatitude. The persistent increase in temperatures is promoting the expansionof the range of vectors, such as exotic mosquitoes of the Aedes genus, whilethe increasing frequency of travel to tropical countries increases the risk of bringing infections to Europe and potentially causing local endemic foci. This is a long-term challenge for healthcaresystems, public health and medical entities, which should adapt to new standards of diagnostics andtherapy for such diseases. The paper presents the diagnostic challenges faced by modern medical facilities inthe context of tropical viral diseases, discusses the limitations of available methods, the risk of false-positiveand false-negative results, and emphasizes the importance of implementing advanced molecular and serologicaltechnologies to ensure rapid and reliable detection of infections.</w:t>
      </w:r>
    </w:p>
    <w:p>
      <w:pPr/>
      <w:r>
        <w:rPr>
          <w:b/>
        </w:rPr>
        <w:t>POSSIBLE 2025:</w:t>
      </w:r>
      <w:r>
        <w:t xml:space="preserve"> Editorial: Ex situ conservation of plant genetic resources in Europe – A journey through history, mission, challenges and future opportunities — https://doi.org/10.46265/genresj.blds6319</w:t>
      </w:r>
    </w:p>
    <w:p>
      <w:pPr/>
      <w:r>
        <w:rPr>
          <w:b/>
        </w:rPr>
        <w:t>Shared claim-specific concepts:</w:t>
      </w:r>
      <w:r>
        <w:t xml:space="preserve"> presents, challenges, efficiency; EU scope visible. This is a provisional connection, not an outcome finding.</w:t>
      </w:r>
    </w:p>
    <w:p>
      <w:pPr>
        <w:pStyle w:val="SourceNote"/>
      </w:pPr>
      <w:r>
        <w:rPr>
          <w:b/>
        </w:rPr>
        <w:t>Available abstract (not full text):</w:t>
      </w:r>
      <w:r>
        <w:t xml:space="preserve"> The Special Issue entitled: ‘Ex situ conservation of plant genetic resources in Europe – A journey through history, mission, challenges and future opportunities’ presents 16 original articles, including 11 genebank reports from 7 European countries (Belgium, France, Germany, Hungary, Italy, Norway and Russia) and 5 review and position papers presenting relevant concepts to improve plant genetic resources (PGR) conservation and access. They provide an overview of PGR ex situ conservation in Europe, and reflect on the history and future directions of the collections. Important topics in PGR conservation and use are explored, including quality management systems for genebanks, the role of community seedbanks, the importance of collaborative research projects and national and international research infrastructures for PGR, and the integration of in situ and ex situ PGR conservation. From this article collection, the key importance of genebanks clearly emerges – not only in the long-term conservation of plant biodiversity but also in supporting and enabling plant breeding, research in plant biology and in situ conservation initiatives, highlighting important topics that should be prioritized for the efficiency and continuous improvement of PGR conservation activities. This article collection sparks discussions on future directions of ex situ plant conservation to further increase th</w:t>
      </w:r>
    </w:p>
    <w:p>
      <w:pPr/>
      <w:r>
        <w:rPr>
          <w:b/>
        </w:rPr>
        <w:t>POSSIBLE 2025:</w:t>
      </w:r>
      <w:r>
        <w:t xml:space="preserve"> Building an Agricultural Biogas Supply Chain in Europe: Organizational Models and Social Challenges — https://doi.org/10.3390/su17135806</w:t>
      </w:r>
    </w:p>
    <w:p>
      <w:pPr/>
      <w:r>
        <w:rPr>
          <w:b/>
        </w:rPr>
        <w:t>Shared claim-specific concepts:</w:t>
      </w:r>
      <w:r>
        <w:t xml:space="preserve"> presents, challenges, energy; EU scope visible. This is a provisional connection, not an outcome finding.</w:t>
      </w:r>
    </w:p>
    <w:p>
      <w:pPr>
        <w:pStyle w:val="SourceNote"/>
      </w:pPr>
      <w:r>
        <w:rPr>
          <w:b/>
        </w:rPr>
        <w:t>Available abstract (not full text):</w:t>
      </w:r>
      <w:r>
        <w:t xml:space="preserve"> As Europe is the world’s leading producer of biogas, this article examines how agricultural anaerobic digestion (AD) is organized and governed, and explores the social challenges involved in structuring the sector around a possible “European model”. Following a social science perspective, it presents a systematic review of 64 French- and English-language articles drawn from 16 academic databases. The findings highlight five key dynamics. First, there is a shift from farmer-led to increasingly industrial models of AD. Second, diverse and hybrid business models are emerging, involving new forms of multi-scale coordination. Third, the sector remains structurally dependent on public subsidies and on regulatory frameworks. Fourth, the economic viability of AD for farmers remains uncertain, driving a transition from cogeneration to biomethane injection. Fifth, tensions develop between rural place-based imaginaries and the realities of globalized energy networks. These patterns underscore the complexity of biogas sector-building in Europe and the competing narratives shaping its evolution. We argue that agricultural AD cannot be reduced to a unified trajectory, but reflects ongoing negotiations over energy models, territorial development and socio-technical legitimacy. This paper concludes by discussing the implications of these dynamics for the sustainability and fairness of future b</w:t>
      </w:r>
    </w:p>
    <w:p>
      <w:pPr/>
      <w:r>
        <w:rPr>
          <w:b/>
        </w:rPr>
        <w:t>POSSIBLE 2025:</w:t>
      </w:r>
      <w:r>
        <w:t xml:space="preserve"> ESG Disclosure, Market Forces, and Investment Efficiency — https://doi.org/10.2308/tar-2023-0707</w:t>
      </w:r>
    </w:p>
    <w:p>
      <w:pPr/>
      <w:r>
        <w:rPr>
          <w:b/>
        </w:rPr>
        <w:t>Shared claim-specific concepts:</w:t>
      </w:r>
      <w:r>
        <w:t xml:space="preserve"> efficiency, investments, climate; EU scope not established. This is a provisional connection, not an outcome finding.</w:t>
      </w:r>
    </w:p>
    <w:p>
      <w:pPr>
        <w:pStyle w:val="SourceNote"/>
      </w:pPr>
      <w:r>
        <w:rPr>
          <w:b/>
        </w:rPr>
        <w:t>Available abstract (not full text):</w:t>
      </w:r>
      <w:r>
        <w:t xml:space="preserve"> ABSTRACT This paper examines the impact of environmental, social, and governance (ESG) disclosure on firm investment. The analysis characterizes the optimal precision of ESG disclosure that channels investors’ tastes for ESG into firm investment. Although it is tempting to think that the optimal ESG disclosure becomes more precise when investors care more about ESG, I show this intuition is incomplete because it overlooks the fact that stronger tastes for ESG change how investors use information. Applying the analysis to a large economy, I show that mandating more precise climate disclosure than would be voluntarily provided motivates self-interested firms to act on common interests in reducing emissions. That is, a regulator can leverage market forces and a disclosure mandate to achieve a similar result as a Pigovian tax in motivating firms to internalize the externalities created by their climate-related investments. JEL Classifications: D82; G14; M41.</w:t>
      </w:r>
    </w:p>
    <w:p>
      <w:pPr/>
      <w:r>
        <w:rPr>
          <w:b/>
        </w:rPr>
        <w:t>POSSIBLE 2025:</w:t>
      </w:r>
      <w:r>
        <w:t xml:space="preserve"> Coal Consumption Efficiency in the European Union—Trends and Challenges — https://doi.org/10.3390/en18164273</w:t>
      </w:r>
    </w:p>
    <w:p>
      <w:pPr/>
      <w:r>
        <w:rPr>
          <w:b/>
        </w:rPr>
        <w:t>Shared claim-specific concepts:</w:t>
      </w:r>
      <w:r>
        <w:t xml:space="preserve"> challenges, energy, efficiency, union, climate; EU scope visible. This is a provisional connection, not an outcome finding.</w:t>
      </w:r>
    </w:p>
    <w:p>
      <w:pPr>
        <w:pStyle w:val="SourceNote"/>
      </w:pPr>
      <w:r>
        <w:rPr>
          <w:b/>
        </w:rPr>
        <w:t>Available abstract (not full text):</w:t>
      </w:r>
      <w:r>
        <w:t xml:space="preserve"> Coal plays a significant role in the economies of many countries and serves as an energy source for numerous societies. However, its combustion causes various environmental problems and contributes to climate change. This article examines the efficiency of coal consumption in 26 European Union countries and its changes from 2014 to 2022. Data Envelopment Analysis (DEA) methodology was applied to measure the extent of overall technical, pure technical, and scale technical efficiency, based on data concerning three production factors (labour, fixed assets, and energy), with GDP as a desirable output and CO2 emissions as an undesirable output. The empirical findings revealed that Cyprus, Denmark, Luxembourg, and Poland were efficiency leaders throughout the entire study period. France, Germany, Italy, and the Netherlands managed energy and non-energy resources efficiently but were found inefficient in terms of operational scale. Countries that do not use their resources at optimal levels in the production of goods and services should provide greater technical and financial support to their production processes and improve the organisation and structure of labour.</w:t>
      </w:r>
    </w:p>
    <w:p>
      <w:pPr/>
      <w:r>
        <w:rPr>
          <w:b/>
        </w:rPr>
        <w:t>POSSIBLE 2025:</w:t>
      </w:r>
      <w:r>
        <w:t xml:space="preserve"> Sustainable technological innovations in agriculture: Financial challenges and investment priorities under the European Green Deal — https://doi.org/10.1016/j.jenvman.2025.126150</w:t>
      </w:r>
    </w:p>
    <w:p>
      <w:pPr/>
      <w:r>
        <w:rPr>
          <w:b/>
        </w:rPr>
        <w:t>Shared claim-specific concepts:</w:t>
      </w:r>
      <w:r>
        <w:t xml:space="preserve"> challenges, increasing, energy, efficiency; EU scope visible. This is a provisional connection, not an outcome finding.</w:t>
      </w:r>
    </w:p>
    <w:p>
      <w:pPr>
        <w:pStyle w:val="SourceNote"/>
      </w:pPr>
      <w:r>
        <w:rPr>
          <w:b/>
        </w:rPr>
        <w:t>Available abstract (not full text):</w:t>
      </w:r>
      <w:r>
        <w:t xml:space="preserve"> This study explores the important financial challenges faced by Spanish agricultural and livestock companies to meet stringent environmental regulations without compromising their competitiveness. Using a Delphi method integrated with a systematic literature review, the research identifies key sustainable technological innovations (STIs) that require significant financial investment. Priority STIs include renewable energy sources, water use efficiency, by-product management, alternative fertilizers, and digital technologies, among others, each of which plays a key role in mitigating environmental impacts and aligning with overarching European sustainability frameworks, notably the European Green Deal and the 2030 Agenda for Sustainable Development. The findings support the formulation of specific policy recommendations aimed at overcoming the financial constraints that hinder the adoption of STIs. These include designing progressive financing schemes, launching green credit lines with subsidized interest rates, and increasing agri-environmental subsidies linked to STIs adoption. Furthermore, the study advocates the expansion of public-private investment frameworks and the establishment of technical advisory services to support producers in the selection, integration and implementation of appropriate technologies. These measures are essential to reduce economic barriers and acce</w:t>
      </w:r>
    </w:p>
    <w:p>
      <w:pPr/>
      <w:r>
        <w:rPr>
          <w:b/>
        </w:rPr>
        <w:t>POSSIBLE 2025:</w:t>
      </w:r>
      <w:r>
        <w:t xml:space="preserve"> Wind Energy in Transition: Development, Socio-Economic Impacts, and Policy Challenges in Europe — https://doi.org/10.3390/en18112811</w:t>
      </w:r>
    </w:p>
    <w:p>
      <w:pPr/>
      <w:r>
        <w:rPr>
          <w:b/>
        </w:rPr>
        <w:t>Shared claim-specific concepts:</w:t>
      </w:r>
      <w:r>
        <w:t xml:space="preserve"> presents, challenges, energy, efficiency, context; EU scope visible. This is a provisional connection, not an outcome finding.</w:t>
      </w:r>
    </w:p>
    <w:p>
      <w:pPr>
        <w:pStyle w:val="SourceNote"/>
      </w:pPr>
      <w:r>
        <w:rPr>
          <w:b/>
        </w:rPr>
        <w:t>Available abstract (not full text):</w:t>
      </w:r>
      <w:r>
        <w:t xml:space="preserve"> Wind energy has emerged as a strategic pillar in the global energy transition, offering both environmental and economic benefits. This comprehensive review explores the development of wind energy with a focus on the regulatory, socio-economic, and technological challenges that shape its deployment in Europe, particularly in Poland. The study highlights disparities between countries in terms of both total and per capita installed capacity, emphasizing the importance of equitable access to renewable energy. Denmark and Germany outperform larger economies like China and India in per capita terms, indicating the significance of effective policy frameworks and public engagement. The article presents detailed case studies of successful wind farm projects across the EU alongside economic evaluations including cost structures, return on investment, and local development impacts. Additionally, the role of innovation—such as floating offshore wind farms and AI-based energy management—is discussed in the context of improving efficiency and overcoming infrastructure and environmental barriers. The analysis is supported by quantitative comparisons, graphical representations, and policy reviews, culminating in practical recommendations for future growth. Wind energy’s expansion depends on integrated strategies that combine policy reform, technological advancement, economic viability, and com</w:t>
      </w:r>
    </w:p>
    <w:p>
      <w:pPr/>
      <w:r>
        <w:rPr>
          <w:b/>
        </w:rPr>
        <w:t>POSSIBLE 2025:</w:t>
      </w:r>
      <w:r>
        <w:t xml:space="preserve"> Empirical research of foreign direct investments efficiency in the European Union on the edge of pandemic outbreak — https://doi.org/10.1371/journal.pone.0313161</w:t>
      </w:r>
    </w:p>
    <w:p>
      <w:pPr/>
      <w:r>
        <w:rPr>
          <w:b/>
        </w:rPr>
        <w:t>Shared claim-specific concepts:</w:t>
      </w:r>
      <w:r>
        <w:t xml:space="preserve"> challenges, efficiency, investments, union; EU scope visible. This is a provisional connection, not an outcome finding.</w:t>
      </w:r>
    </w:p>
    <w:p>
      <w:pPr>
        <w:pStyle w:val="SourceNote"/>
      </w:pPr>
      <w:r>
        <w:rPr>
          <w:b/>
        </w:rPr>
        <w:t>Available abstract (not full text):</w:t>
      </w:r>
      <w:r>
        <w:t xml:space="preserve"> The study focuses on the effects of the COVID-19 pandemic on the economy and foreign direct investments in the European Union countries. Using data envelopment analysis constant and variable returns to scale models, and the Malmquist productivity index, we measured the efficiency of economic resource utilization concerning foreign direct investments and gross domestic product. These efficiencies were assessed in 2019, before the full outbreak of COVID-19, and in 2020, when uncertainty and the consequences of the pandemic were most pronounced. Despite the challenges posed by the pandemic, the European Union displayed economic resilience in the first year, with no significant reduction in foreign direct investment efficiency. Lower-income European Union countries saw an increase in foreign direct investment efficiency, attributing this to positive changes in managerial efficiency. This suggests that decisions made by authorities positively impacted foreign direct investment flows in economically less developed European Union regions despite restrictive measures and market uncertainties.</w:t>
      </w:r>
    </w:p>
    <w:p>
      <w:pPr/>
      <w:r>
        <w:rPr>
          <w:b/>
        </w:rPr>
        <w:t>POSSIBLE 2025:</w:t>
      </w:r>
      <w:r>
        <w:t xml:space="preserve"> Challenges, motivations, and perspectives of practitioners on forest restoration across seven European countries — https://doi.org/10.1111/rec.70160</w:t>
      </w:r>
    </w:p>
    <w:p>
      <w:pPr/>
      <w:r>
        <w:rPr>
          <w:b/>
        </w:rPr>
        <w:t>Shared claim-specific concepts:</w:t>
      </w:r>
      <w:r>
        <w:t xml:space="preserve"> presents, challenges, climate; EU scope visible. This is a provisional connection, not an outcome finding.</w:t>
      </w:r>
    </w:p>
    <w:p>
      <w:pPr>
        <w:pStyle w:val="SourceNote"/>
      </w:pPr>
      <w:r>
        <w:rPr>
          <w:b/>
        </w:rPr>
        <w:t>Available abstract (not full text):</w:t>
      </w:r>
      <w:r>
        <w:t xml:space="preserve"> Forest restoration is crucial in addressing nature degradation, enhancing climate adaptation and mitigation, supporting ecosystem services, and reducing disaster risk. Understanding practitioners' perspectives is essential for identifying barriers to successful restoration and improving the effectiveness of future initiatives. This study employs a mixed‐methods approach, integrating qualitative data from seven practitioner workshops and quantitative data from an online survey conducted across seven European countries (Austria, Bulgaria, Germany, Hungary, Ireland, Poland, and Serbia). The survey included 110 respondents, while 203 practitioners participated in workshops. Their primary motivations for engaging in restoration included a desire for ecosystem stability and nature preservation, followed by knowledge acquisition, responsibility for environmental stewardship, and climate change mitigation. Despite these challenges, practitioners highlighted advances in monitoring technologies, the diversification of project objectives, and increased public engagement as positive developments. The study concludes that a collaborative approach—enhancing the involvement of practitioners in policymaking—is critical for future restoration success. Additionally, growing public interest in ecological restoration presents an opportunity for alternative funding sources, which could address fina</w:t>
      </w:r>
    </w:p>
    <w:p>
      <w:pPr>
        <w:pStyle w:val="Heading2"/>
      </w:pPr>
      <w:r>
        <w:t>553. Soil Governance in current European Union Law and in the European Green Deal</w:t>
      </w:r>
    </w:p>
    <w:p>
      <w:pPr>
        <w:pStyle w:val="SourceNote"/>
      </w:pPr>
      <w:r>
        <w:rPr>
          <w:b/>
        </w:rPr>
        <w:t>Original source (2022):</w:t>
      </w:r>
      <w:r>
        <w:t xml:space="preserve"> https://doi.org/10.1016/j.soisec.2022.100053</w:t>
      </w:r>
    </w:p>
    <w:p>
      <w:pPr/>
      <w:r>
        <w:t>Original wording (abstract; indexed_source_text_not_full_document_verified): This is all the more true as the United Nations' 2030 Agenda has set in motion a process that will have far-reaching implications for connected thinking: Sustainable Development Goal 15 and its target 15.3 stipulate that land degradation neutrality should be achieved by 2030, although this is not binding.</w:t>
      </w:r>
    </w:p>
    <w:p>
      <w:pPr/>
      <w:r>
        <w:rPr>
          <w:b/>
        </w:rPr>
        <w:t>POSSIBLE 2026:</w:t>
      </w:r>
      <w:r>
        <w:t xml:space="preserve"> Daylight illuminance modelling for the United Kingdom and Europe — https://doi.org/10.17869/enu.288937</w:t>
      </w:r>
    </w:p>
    <w:p>
      <w:pPr/>
      <w:r>
        <w:rPr>
          <w:b/>
        </w:rPr>
        <w:t>Shared claim-specific concepts:</w:t>
      </w:r>
      <w:r>
        <w:t xml:space="preserve"> all, united, not; EU scope visible. This is a provisional connection, not an outcome finding.</w:t>
      </w:r>
    </w:p>
    <w:p>
      <w:pPr>
        <w:pStyle w:val="SourceNote"/>
      </w:pPr>
      <w:r>
        <w:rPr>
          <w:b/>
        </w:rPr>
        <w:t>Available abstract (not full text):</w:t>
      </w:r>
      <w:r>
        <w:t xml:space="preserve"> This thesis highlights the benefits to occupants and owners of buildings who utilise daylight effectively. Many cases of absence are related to depression or Seasonal Adjustment Disorder(SAD) which results from inadequate exposure to daylight in the work place. The use of artificial lights has been linked to minor as well as more serious ailments such as cancer and increases in cases of miscarriage. The use of daylight in buildings from economic and environmental perspectives is the main concern of the thesis. The work and analysis of this thesis have produced two new illuminance models. In addition detailed illuminance and irradiance data for Central Scotland were recorded which has previously not been available. A comprehensive study of luminous efficacy research was undertaken in Chapter 3 which evaluated a complete range of models. Furthermore the luminous efficacy of various UK and international sites were compared to examine climatic differences. The development of a new slope illuminance model which more accurately predicts external illuminance for all sky conditions was shown to perform consistently better than previous models. This was due to the new model's treatment of the sky background diffuse component utilising an anisotropic form as opposed to the traditional assumption of an isotropic sky background diffuse component. The availability of sky luminance distribut</w:t>
      </w:r>
    </w:p>
    <w:p>
      <w:pPr/>
      <w:r>
        <w:rPr>
          <w:b/>
        </w:rPr>
        <w:t>POSSIBLE 2026:</w:t>
      </w:r>
      <w:r>
        <w:t xml:space="preserve"> Europe in the Indo-Pacific - Implications for the United States — https://openalex.org/W7163460510</w:t>
      </w:r>
    </w:p>
    <w:p>
      <w:pPr/>
      <w:r>
        <w:rPr>
          <w:b/>
        </w:rPr>
        <w:t>Shared claim-specific concepts:</w:t>
      </w:r>
      <w:r>
        <w:t xml:space="preserve"> united, implications; EU scope visible. This is a provisional connection, not an outcome finding.</w:t>
      </w:r>
    </w:p>
    <w:p>
      <w:pPr>
        <w:pStyle w:val="SourceNote"/>
      </w:pPr>
      <w:r>
        <w:rPr>
          <w:b/>
        </w:rPr>
        <w:t>Available abstract (not full text):</w:t>
      </w:r>
      <w:r>
        <w:t xml:space="preserve"> Within the last five years the Indo-Pacific has become a region of increasing interest to European NATO members. In particular, the United Kingdom, France, and Italy have assigned strategic importance for their national security to the region, signing cooperative agreements with regional allies of the United States and deploying significant forces to the region. These agreements include commitments to jointly develop new technologies and combat systems for employment in both Europe and the Indo-Pacific, such as the Global Combat Air Programme (GCAP), and the Trilateral security partnership between Australia, the United Kingdom, and the United States (AUKUS). They also include commitments to the forward-deployment of military capabilities to the region, along with a regular presence of European Carrier Strike Groups. The United Kingdom, France, and Italy are the three next largest naval powers in NATO after the United States and contribute considerably to NATO’s security in Europe. The degree of resources each invests in the Indo-Pacific region could impact their ability to perform their traditional roles in European security, while also weighing on the strategic calculus in the Indo-Pacific. Each nation has their own reasons and strategies for engaging in the region, with varying degrees of commitment and intended scale of engagement. It is important for the United States to un</w:t>
      </w:r>
    </w:p>
    <w:p>
      <w:pPr/>
      <w:r>
        <w:rPr>
          <w:b/>
        </w:rPr>
        <w:t>POSSIBLE 2026:</w:t>
      </w:r>
      <w:r>
        <w:t xml:space="preserve"> The ethics of agenda setting — https://doi.org/10.1007/s11229-026-05586-x</w:t>
      </w:r>
    </w:p>
    <w:p>
      <w:pPr/>
      <w:r>
        <w:rPr>
          <w:b/>
        </w:rPr>
        <w:t>Shared claim-specific concepts:</w:t>
      </w:r>
      <w:r>
        <w:t xml:space="preserve"> agenda, set, process, although, not; EU scope not established. This is a provisional connection, not an outcome finding.</w:t>
      </w:r>
    </w:p>
    <w:p>
      <w:pPr>
        <w:pStyle w:val="SourceNote"/>
      </w:pPr>
      <w:r>
        <w:rPr>
          <w:b/>
        </w:rPr>
        <w:t>Available abstract (not full text):</w:t>
      </w:r>
      <w:r>
        <w:t xml:space="preserve"> Agenda setting is the process through which certain issues emerge as objects of collective attention in public discourse and policymaking. How the agenda is set is extremely important. Attention to a given issue is a precondition for political action; an issue can only be addressed either by the public or by policymakers if it is on the agenda. This raises the normative question of how the agenda should be set. Political philosophers have not yet extensively engaged with this question. Although vast empirical scholarship exists on how the agenda is set, the corresponding normative question of how the agenda should be set, remains largely unaddressed. In this paper I outline a theory of good agenda setting. I argue that good agenda setting, on the one hand, is organized so as to ensure the egalitarian distribution of agenda influence in society, and, on the other hand, it produces agendas which promote certain instrumental as well as non-instrumental values.</w:t>
      </w:r>
    </w:p>
    <w:p>
      <w:pPr/>
      <w:r>
        <w:rPr>
          <w:b/>
        </w:rPr>
        <w:t>POSSIBLE 2026:</w:t>
      </w:r>
      <w:r>
        <w:t xml:space="preserve"> Synthesizing agendas: mapping the transformative potential of generative AI for agenda setting effects — https://doi.org/10.1007/s44382-026-00025-4</w:t>
      </w:r>
    </w:p>
    <w:p>
      <w:pPr/>
      <w:r>
        <w:rPr>
          <w:b/>
        </w:rPr>
        <w:t>Shared claim-specific concepts:</w:t>
      </w:r>
      <w:r>
        <w:t xml:space="preserve"> all, agenda, set, implications; EU scope not established. This is a provisional connection, not an outcome finding.</w:t>
      </w:r>
    </w:p>
    <w:p>
      <w:pPr>
        <w:pStyle w:val="SourceNote"/>
      </w:pPr>
      <w:r>
        <w:rPr>
          <w:b/>
        </w:rPr>
        <w:t>Available abstract (not full text):</w:t>
      </w:r>
      <w:r>
        <w:t xml:space="preserve"> Abstract From an agenda-setting perspective, the present study compares the structure of issue, candidate, and party emphasis in AI chatbot responses during the 2025 Norwegian election campaign with content from search engines and news websites. The study shows that when users employ conventional queries in AI chatbots, the issue and candidate saliences are very similar in chatbots, search engines, and editorial news media content; the main difference is that AI chatbots give roughly similar attention to all major parties rather than focusing the large parties like the news media. When using less conventional queries that feed personal information, e.g. about one’s occupation or ideology, the AI chatbots significantly shift their focus and emphasize a query-specific set of issues and parties. An accompanying small-scale voter survey finds that current impact of AI chatbots is low due to limited user adoption and dominance of conventional prompts that would lead to issue, party, and candidate saliences similar to those in the editorial news media. The already visible potential for users and chatbots to co-create an entry point into self-reinforcing spirals of partisan selectivity warrants attention. Further normative implications of this potential are discussed.</w:t>
      </w:r>
    </w:p>
    <w:p>
      <w:pPr/>
      <w:r>
        <w:rPr>
          <w:b/>
        </w:rPr>
        <w:t>POSSIBLE 2025:</w:t>
      </w:r>
      <w:r>
        <w:t xml:space="preserve"> A systematic review of regulatory strategies and transparency mandates in AI regulation in Europe, the United States, and Canada — https://doi.org/10.1017/dap.2024.54</w:t>
      </w:r>
    </w:p>
    <w:p>
      <w:pPr/>
      <w:r>
        <w:rPr>
          <w:b/>
        </w:rPr>
        <w:t>Shared claim-specific concepts:</w:t>
      </w:r>
      <w:r>
        <w:t xml:space="preserve"> all, united, although, not; EU scope visible. This is a provisional connection, not an outcome finding.</w:t>
      </w:r>
    </w:p>
    <w:p>
      <w:pPr>
        <w:pStyle w:val="SourceNote"/>
      </w:pPr>
      <w:r>
        <w:rPr>
          <w:b/>
        </w:rPr>
        <w:t>Available abstract (not full text):</w:t>
      </w:r>
      <w:r>
        <w:t xml:space="preserve"> Abstract In this paper, we provide a systematic review of existing artificial intelligence (AI) regulations in Europe, the United States, and Canada. We build on the qualitative analysis of 129 AI regulations (enacted and not enacted) to identify patterns in regulatory strategies and in AI transparency requirements. Based on the analysis of this sample, we suggest that there are three main regulatory strategies for AI: AI-focused overhauls of existing regulation, the introduction of novel AI regulation, and the omnibus approach. We argue that although these types emerge as distinct strategies, their boundaries are porous as the AI regulation landscape is rapidly evolving. We find that across our sample, AI transparency is effectively treated as a central mechanism for meaningful mitigation of potential AI harms. We therefore focus on AI transparency mandates in our analysis and identify six AI transparency patterns: human in the loop, assessments, audits, disclosures, inventories, and red teaming. We contend that this qualitative analysis of AI regulations and AI transparency patterns provides a much needed bridge between the policy discourse on AI, which is all too often bound up in very detailed legal discussions and applied sociotechnical research on AI fairness, accountability, and transparency.</w:t>
      </w:r>
    </w:p>
    <w:p>
      <w:pPr/>
      <w:r>
        <w:rPr>
          <w:b/>
        </w:rPr>
        <w:t>POSSIBLE 2025:</w:t>
      </w:r>
      <w:r>
        <w:t xml:space="preserve"> Reimagining Workforce Development: A Critical Analysis of Approaches in Europe, Singapore, and the United States — https://doi.org/10.1002/ace.20556</w:t>
      </w:r>
    </w:p>
    <w:p>
      <w:pPr/>
      <w:r>
        <w:rPr>
          <w:b/>
        </w:rPr>
        <w:t>Shared claim-specific concepts:</w:t>
      </w:r>
      <w:r>
        <w:t xml:space="preserve"> all, united; EU scope visible. This is a provisional connection, not an outcome finding.</w:t>
      </w:r>
    </w:p>
    <w:p>
      <w:pPr>
        <w:pStyle w:val="SourceNote"/>
      </w:pPr>
      <w:r>
        <w:rPr>
          <w:b/>
        </w:rPr>
        <w:t>Available abstract (not full text):</w:t>
      </w:r>
      <w:r>
        <w:t xml:space="preserve"> ABSTRACT This chapter examines three distinct approaches to lifelong learning to illustrate workforce and societal development efforts in Europe, Singapore, and the United States. The case studies bring to the fore various complex issues, including, in the case of Europe, ensuring more equitable access to workforce development initiatives for all. Singapore's size and single coordinating platform of the SkillsFuture movement allow for both opportunities and challenges to entrench lifelong learning within its citizenry. In the United States, the competing concerns of state, federal, and local levels make for a varied mixture of lifelong learning offerings and, along with it, the need to maneuver different levels to achieve goals. The case studies allow for insights and reflection into the possibilities available and difficulties to be navigated in the global workforce development and lifelong learning landscape.</w:t>
      </w:r>
    </w:p>
    <w:p>
      <w:pPr/>
      <w:r>
        <w:rPr>
          <w:b/>
        </w:rPr>
        <w:t>POSSIBLE 2025:</w:t>
      </w:r>
      <w:r>
        <w:t xml:space="preserve"> Critical materials and manufacturing: Comparing China, the European Union, Japan, and the United States — https://doi.org/10.1016/j.rcradv.2025.200250</w:t>
      </w:r>
    </w:p>
    <w:p>
      <w:pPr/>
      <w:r>
        <w:rPr>
          <w:b/>
        </w:rPr>
        <w:t>Shared claim-specific concepts:</w:t>
      </w:r>
      <w:r>
        <w:t xml:space="preserve"> all, true, united; EU scope visible. This is a provisional connection, not an outcome finding.</w:t>
      </w:r>
    </w:p>
    <w:p>
      <w:pPr>
        <w:pStyle w:val="SourceNote"/>
      </w:pPr>
      <w:r>
        <w:rPr>
          <w:b/>
        </w:rPr>
        <w:t>Available abstract (not full text):</w:t>
      </w:r>
      <w:r>
        <w:t xml:space="preserve"> Manufacturers in all countries rely on supply chains for raw material inputs and intermediate products. Different supply chains, and different stages in supply chains, are more or less important and risky for some countries than for others. This study compares material criticality in China, the European Union(EU), Japan, and the United States(US). It assesses supply chain risk (two stages: mining, processing) and economic importance for twelve materials representing infrastructure, battery, specialty, and other materials. Overall, the mining stage is the source of greater risk than processing in China, while the reverse is true for the US. The EU and Japan have higher supply risk than the US and China. Japan has the greatest number of materials with both high supply risk and economic importance. Materials with the greatest difference in criticality between regions are rare-earths and aluminum at the processing stage, and lithium, nickel, and cobalt at the mining stage.</w:t>
      </w:r>
    </w:p>
    <w:p>
      <w:pPr/>
      <w:r>
        <w:rPr>
          <w:b/>
        </w:rPr>
        <w:t>POSSIBLE 2025:</w:t>
      </w:r>
      <w:r>
        <w:t xml:space="preserve"> Burden of infectious disease studies in Europe and the United Kingdom: a review of methodological design choices — https://openalex.org/W7137495731</w:t>
      </w:r>
    </w:p>
    <w:p>
      <w:pPr/>
      <w:r>
        <w:rPr>
          <w:b/>
        </w:rPr>
        <w:t>Shared claim-specific concepts:</w:t>
      </w:r>
      <w:r>
        <w:t xml:space="preserve"> all, united; EU scope visible. This is a provisional connection, not an outcome finding.</w:t>
      </w:r>
    </w:p>
    <w:p>
      <w:pPr>
        <w:pStyle w:val="SourceNote"/>
      </w:pPr>
      <w:r>
        <w:rPr>
          <w:b/>
        </w:rPr>
        <w:t>Available abstract (not full text):</w:t>
      </w:r>
      <w:r>
        <w:t xml:space="preserve"> This systematic literature review aimed to provide an overview of the characteristics and methods used in studies applying the disability-adjusted life years (DALY) concept for infectious diseases within European Union (EU)/European Economic Area (EEA)/European Free Trade Association (EFTA) countries and the United Kingdom. Electronic databases and grey literature were searched for articles reporting the assessment of DALY and its components. We considered studies in which researchers performed DALY calculations using primary epidemiological data input sources. We screened 3053 studies of which 2948 were excluded and 105 studies met our inclusion criteria. Of these studies, 22 were multi-country and 83 were single-country studies, of which 46 were from the Netherlands. Food- and water-borne diseases were the most frequently studied infectious diseases. Between 2015 and 2022, the number of burden of infectious disease studies was 1.6 times higher compared to that published between 2000 and 2014. Almost all studies (97%) estimated DALYs based on the incidence- and pathogen-based approach and without social weighting functions; however, there was less methodological consensus with regards to the disability weights and life tables that were applied. The number of burden of infectious disease studies undertaken across Europe has increased over time. Development and use of guidelines</w:t>
      </w:r>
    </w:p>
    <w:p>
      <w:pPr/>
      <w:r>
        <w:rPr>
          <w:b/>
        </w:rPr>
        <w:t>POSSIBLE 2025:</w:t>
      </w:r>
      <w:r>
        <w:t xml:space="preserve"> A European agenda to tax the super-rich: A solution to inequality in the European Union — https://doi.org/10.21201/2025.000089</w:t>
      </w:r>
    </w:p>
    <w:p>
      <w:pPr/>
      <w:r>
        <w:rPr>
          <w:b/>
        </w:rPr>
        <w:t>Shared claim-specific concepts:</w:t>
      </w:r>
      <w:r>
        <w:t xml:space="preserve"> all, agenda; EU scope visible. This is a provisional connection, not an outcome finding.</w:t>
      </w:r>
    </w:p>
    <w:p>
      <w:pPr>
        <w:pStyle w:val="SourceNote"/>
      </w:pPr>
      <w:r>
        <w:rPr>
          <w:b/>
        </w:rPr>
        <w:t>Available abstract (not full text):</w:t>
      </w:r>
      <w:r>
        <w:t xml:space="preserve"> Europe faces a deep inequality crisis: the richest 1% in the EU own nearly a quarter of all wealth while half the population shares just 3%. Decades of tax cuts for the wealthy and corporations resulted in the super-rich paying proportionally less taxes than ordinary citizens, eroding fairness, democracy, and social cohesion. The EU lacks harmonized policies to curb extreme wealth concentration and tax avoidance of the wealthiest. Oxfam calls for bold reforms, such as an EU-wide or national tax on the super-rich and transparency mechanisms like an EU assets registry, to fund social needs, climate action, and development. Taxing the super-rich is widely supported, is feasible and is urgent.</w:t>
      </w:r>
    </w:p>
    <w:p>
      <w:pPr/>
      <w:r>
        <w:rPr>
          <w:b/>
        </w:rPr>
        <w:t>POSSIBLE 2025:</w:t>
      </w:r>
      <w:r>
        <w:t xml:space="preserve"> European bioeconomy strategies could better integrate sustainability agendas — https://doi.org/10.1007/s11625-025-01752-1</w:t>
      </w:r>
    </w:p>
    <w:p>
      <w:pPr/>
      <w:r>
        <w:rPr>
          <w:b/>
        </w:rPr>
        <w:t>Shared claim-specific concepts:</w:t>
      </w:r>
      <w:r>
        <w:t xml:space="preserve"> agenda, sustainable, not; EU scope visible. This is a provisional connection, not an outcome finding.</w:t>
      </w:r>
    </w:p>
    <w:p>
      <w:pPr>
        <w:pStyle w:val="SourceNote"/>
      </w:pPr>
      <w:r>
        <w:rPr>
          <w:b/>
        </w:rPr>
        <w:t>Available abstract (not full text):</w:t>
      </w:r>
      <w:r>
        <w:t xml:space="preserve"> The bioeconomy is increasingly seen as a key national development strategy for sustainable economic growth, environmental restoration, and achieving the Sustainable Development Goals (SDGs). Numerous countries have introduced strategies to outline their bioeconomy visions, aiming to transition from fossil fuel-dependent systems to bioeconomies that address pressing environmental and socio-economic challenges. Despite this potential, the bioeconomy is not inherently sustainable nor circular, and policymakers pursue bioeconomies to different extents, facing challenges in balancing synergies and trade-offs with the SDGs. This study examined bioeconomy strategies presented in 29 policy documents from 14 European countries and the European Union. Using text analyzing techniques, we evaluate the extent to which bioeconomy strategies determine the salience of sustainability. Our analysis shows that most bioeconomy strategies emphasize opportunities aligned with SDGs 6 and 12-15, focusing on environmental objectives within the planet pillar of the 2030 Agenda. However, these strategies often neglect the principles of "equitable" and "fair &amp; inclusive" transition and fail to consider potential unintended consequences or trade-offs for sustainability. This disconnection is further reflected by a significant divide between evidence on bioeconomy-SDG interactions and the narratives present</w:t>
      </w:r>
    </w:p>
    <w:p>
      <w:pPr/>
      <w:r>
        <w:rPr>
          <w:b/>
        </w:rPr>
        <w:t>POSSIBLE 2025:</w:t>
      </w:r>
      <w:r>
        <w:t xml:space="preserve"> Esophageal and Oropharyngeal Dysphagia: Clinical Recommendations From the United European Gastroenterology and European Society for Neurogastroenterology and Motility — https://doi.org/10.1002/ueg2.70062</w:t>
      </w:r>
    </w:p>
    <w:p>
      <w:pPr/>
      <w:r>
        <w:rPr>
          <w:b/>
        </w:rPr>
        <w:t>Shared claim-specific concepts:</w:t>
      </w:r>
      <w:r>
        <w:t xml:space="preserve"> all, united, process, achieved; EU scope visible. This is a provisional connection, not an outcome finding.</w:t>
      </w:r>
    </w:p>
    <w:p>
      <w:pPr>
        <w:pStyle w:val="SourceNote"/>
      </w:pPr>
      <w:r>
        <w:rPr>
          <w:b/>
        </w:rPr>
        <w:t>Available abstract (not full text):</w:t>
      </w:r>
      <w:r>
        <w:t xml:space="preserve"> Dysphagia is a prevalent symptom of the upper gastrointestinal tract causing health related consequences, impacting quality of life and is associated with global economic burden. Swallowing difficulties are classified into oropharyngeal dysphagia (OD) and esophageal dysphagia. Despite its clinical importance, dysphagia is associated with several uncertainties regarding its optimal diagnostic work-up and management, particularly, considering the progress with diagnostic modalities and technologies. A Delphi consensus was performed with experts from various disciplines who conducted a literature summary and voting process on 41 statements. Quality of evidence was evaluated using the grading of recommendations, assessment, development, and evaluation criteria. Consensus was reached for all the statements. The panel agreed with the definition and prevalence of esophageal and OD types. The role of endoscopy, high-resolution manometry, EndoFLIP, barium swallow and other imaging tests in evaluating esophageal dysphagia has reached overall strong agreement. Videofluoroscopic swallow study, alongside fiber-endoscopic evaluation of swallowing, as the methods of choice for the instrumental assessment of oropharyngeal dysfunction is a strong recommendation. Regarding treatment, a weak recommendation was achieved for the use of PPIs, calcium-channel blockers, nitrates, phosphodiesterase typ</w:t>
      </w:r>
    </w:p>
    <w:p>
      <w:pPr/>
      <w:r>
        <w:rPr>
          <w:b/>
        </w:rPr>
        <w:t>POSSIBLE 2025:</w:t>
      </w:r>
      <w:r>
        <w:t xml:space="preserve"> An Assessment of the United States and European Union sanctions on Russia — https://doi.org/10.26881/jpgs.2025.1.02</w:t>
      </w:r>
    </w:p>
    <w:p>
      <w:pPr/>
      <w:r>
        <w:rPr>
          <w:b/>
        </w:rPr>
        <w:t>Shared claim-specific concepts:</w:t>
      </w:r>
      <w:r>
        <w:t xml:space="preserve"> united, nations, not; EU scope visible. This is a provisional connection, not an outcome finding.</w:t>
      </w:r>
    </w:p>
    <w:p>
      <w:pPr>
        <w:pStyle w:val="SourceNote"/>
      </w:pPr>
      <w:r>
        <w:rPr>
          <w:b/>
        </w:rPr>
        <w:t>Available abstract (not full text):</w:t>
      </w:r>
      <w:r>
        <w:t xml:space="preserve"> Three research questions are of great concern to this study. How can sanctions be made effective with respect to the United States and the European Union sanctions on Russia? What are the factors responsible for the noncompliance of some countries with the United States and the European Union sanctions on Russia? To what extent have the United States and the European Union sanctions modified the behaviour of Russia in the ongoing war in Ukraine? This study argues that the United States and the European Union sanctions can be made effective through collective enforcement by the UN member states. Besides, some western and non-western nations have failed to enforce the US-EU sanctions on Russian economy because of the economic benefits derived from Russian gas and the criticisms among western nations that sanctions violates human rights especially of vulnerable citizens. Again, the study further argues that sanctions have weakened the Russian economy but have not deterred Russian aggression. Lastly, the United Nations in collaboration with regional and sub-regional organisations should revisit the use of sanctions as a tool for foreign policy, bearing in mind the wellbeing of vulnerable groups such as children, women and people living with disabilities in Russia who are victims of these circumstances.</w:t>
      </w:r>
    </w:p>
    <w:p>
      <w:pPr>
        <w:pStyle w:val="Heading2"/>
      </w:pPr>
      <w:r>
        <w:t>554. Surveillance and Foresight Process of the Sustainable City Context: Innovation Potential Niches and Trends at the European Level</w:t>
      </w:r>
    </w:p>
    <w:p>
      <w:pPr>
        <w:pStyle w:val="SourceNote"/>
      </w:pPr>
      <w:r>
        <w:rPr>
          <w:b/>
        </w:rPr>
        <w:t>Original source (2022):</w:t>
      </w:r>
      <w:r>
        <w:t xml:space="preserve"> https://doi.org/10.3390/su14148795</w:t>
      </w:r>
    </w:p>
    <w:p>
      <w:pPr/>
      <w:r>
        <w:t>Original wording (abstract; indexed_source_text_not_full_document_verified): Much of the pollution and energy consumption is attributed to cities, which are expected to increase in size and population in the coming years. In this regard, different agendas, strategies, and regulations have been published, such as the 2030 Agenda.</w:t>
      </w:r>
    </w:p>
    <w:p>
      <w:pPr/>
      <w:r>
        <w:rPr>
          <w:b/>
        </w:rPr>
        <w:t>POSSIBLE 2026:</w:t>
      </w:r>
      <w:r>
        <w:t xml:space="preserve"> Air pollution hotspots in the European Union: A city-level risk assessment — https://doi.org/10.18686/cest622</w:t>
      </w:r>
    </w:p>
    <w:p>
      <w:pPr/>
      <w:r>
        <w:rPr>
          <w:b/>
        </w:rPr>
        <w:t>Shared claim-specific concepts:</w:t>
      </w:r>
      <w:r>
        <w:t xml:space="preserve"> much, pollution, energy, increase; EU scope visible. This is a provisional connection, not an outcome finding.</w:t>
      </w:r>
    </w:p>
    <w:p>
      <w:pPr>
        <w:pStyle w:val="SourceNote"/>
      </w:pPr>
      <w:r>
        <w:rPr>
          <w:b/>
        </w:rPr>
        <w:t>Available abstract (not full text):</w:t>
      </w:r>
      <w:r>
        <w:t xml:space="preserve"> Urban air pollution remains a major challenge for public health and environmental sustainability across the European Union. While much of the existing literature relies on national-level indicators, city-level analyses are essential for identifying persistent urban hotspots and spatial inequalities in exposure. This study examines annual PM2.5 concentrations in European capitals between 2021 and 2024 using data from the IQAir database, which provides harmonized, high-resolution information on fine particulate matter. Geospatial analysis and GeoAI-inspired exploratory approaches were employed to support the identification of intra- and inter-urban pollution patterns. The results reveal a structural break in 2022, when the energy crisis coincided with a temporary increase in PM2.5 concentrations, interrupting an otherwise improving trend. Systematic differences were observed between Western–Northern capitals, which exhibited lower concentrations and more favorable trends, and Eastern–Southern capitals, where exceedances persisted throughout the study period. A focused comparison of Budapest with Vienna, Warsaw, and Prague highlights the intermediate position of the Hungarian capital within Central Europe. Overall, the findings demonstrate the sensitivity of urban air quality to external shocks and the persistence of spatial disparities, while illustrating the potential of open-ac</w:t>
      </w:r>
    </w:p>
    <w:p>
      <w:pPr/>
      <w:r>
        <w:rPr>
          <w:b/>
        </w:rPr>
        <w:t>POSSIBLE 2026:</w:t>
      </w:r>
      <w:r>
        <w:t xml:space="preserve"> Relationships between exposure to air pollution and demographic attributes exhibit between-city heterogeneities — https://doi.org/10.1088/2752-5309/ae8ff8</w:t>
      </w:r>
    </w:p>
    <w:p>
      <w:pPr/>
      <w:r>
        <w:rPr>
          <w:b/>
        </w:rPr>
        <w:t>Shared claim-specific concepts:</w:t>
      </w:r>
      <w:r>
        <w:t xml:space="preserve"> pollution, cities, population, different; EU scope not established. This is a provisional connection, not an outcome finding.</w:t>
      </w:r>
    </w:p>
    <w:p>
      <w:pPr>
        <w:pStyle w:val="SourceNote"/>
      </w:pPr>
      <w:r>
        <w:rPr>
          <w:b/>
        </w:rPr>
        <w:t>Available abstract (not full text):</w:t>
      </w:r>
      <w:r>
        <w:t xml:space="preserve"> Abstract Differentials in exposure to air pollution across population subgroups is a source of environmental health inequality. An important question is the generalisability of the trends between air pollution exposure and demographic attributes across different populations: comparisons are often confounded by different study methodologies. A key challenge is that individual-level demographic data are not usually available. In this study, we apply identical methods to a single cohort of 56 734 individuals to compare trends between exposures to ambient NO 2 , PM 2.5 and O 3 and sex, age, ethnicity, and socioeconomic status (SES) in the cities of Glasgow and Edinburgh, UK. We also use individual-level information on place of work or study (where that applies) to derive more realistic estimates of exposures than studies using exposures at place of residence only. We find that whilst some broad trends in exposure-demographic relationships are similar between Glasgow and Edinburgh—for example that younger adults, those of lower SES and of non-White ethnicity are, on average, exposed to higher concentrations of NO 2 and PM 2.5 (and to lower concentrations of O 3 )—our results also confirm heterogeneities in these relationships between the two cities. Importantly, we show that this geographical specificity extends to between-city geographical distributions of places of work and study </w:t>
      </w:r>
    </w:p>
    <w:p>
      <w:pPr/>
      <w:r>
        <w:rPr>
          <w:b/>
        </w:rPr>
        <w:t>POSSIBLE 2026:</w:t>
      </w:r>
      <w:r>
        <w:t xml:space="preserve"> The 2026 Europe Cities Report of the Lancet Countdown on health and climate change: cities at the forefront of climate change action — https://doi.org/10.1016/s2468-2667(26)00100-3</w:t>
      </w:r>
    </w:p>
    <w:p>
      <w:pPr/>
      <w:r>
        <w:rPr>
          <w:b/>
        </w:rPr>
        <w:t>Shared claim-specific concepts:</w:t>
      </w:r>
      <w:r>
        <w:t xml:space="preserve"> much, pollution, cities, increase, population; EU scope visible. This is a provisional connection, not an outcome finding.</w:t>
      </w:r>
    </w:p>
    <w:p>
      <w:pPr>
        <w:pStyle w:val="SourceNote"/>
      </w:pPr>
      <w:r>
        <w:rPr>
          <w:b/>
        </w:rPr>
        <w:t>Available abstract (not full text):</w:t>
      </w:r>
      <w:r>
        <w:t xml:space="preserve"> Cities are hubs for innovation, economic activity, and socioeconomic development, concentrating not only population, assets, and infrastructure, but also health risks of climate hazards.Cities have a central role in addressing climate change by implementing adaptation and mitigation solutions that deliver resilient and lowcarbon communities, boost local economies, and improve citizens' health.In this Lancet Countdown Report, we present for the first time a systematic, policy-relevant set of climate change and health indicators for European cities. Developed by 58 researchers from 31 academic institutions, a set of 28 indicators track trends in climate change and health across five domains. Urban residents are increasingly at risk from growing climate change-related hazardsThe increase over time in wildfire danger (indicator 1.2.1) and heat-related mortality (indicator 1.1.2) was highest in southern European cities (ie, an increase of 7% from 2003 to 2023, and of 160•6% from 1991-2000 to 2015-24, respectively), whereas the increase in climate suitability to dengue was largest in eastern Europe (ie, a 369•3% increase from 1982-2010 to 2015-24; indicator 1.3.2).Concentrations of allergenic pollen more than doubled in southern and eastern European cities from 1991-2000 to 2015-24 (indicator 1.4.1),increasing exposure and morbidity of patients with allergic rhinitis. Adaptation meas</w:t>
      </w:r>
    </w:p>
    <w:p>
      <w:pPr/>
      <w:r>
        <w:rPr>
          <w:b/>
        </w:rPr>
        <w:t>POSSIBLE 2026:</w:t>
      </w:r>
      <w:r>
        <w:t xml:space="preserve"> Air pollution and greenspace exposure disparities revealed by hyperlocal exposure metrics across European cities — https://doi.org/10.1038/s44458-026-00046-6</w:t>
      </w:r>
    </w:p>
    <w:p>
      <w:pPr/>
      <w:r>
        <w:rPr>
          <w:b/>
        </w:rPr>
        <w:t>Shared claim-specific concepts:</w:t>
      </w:r>
      <w:r>
        <w:t xml:space="preserve"> pollution, cities, population; EU scope visible. This is a provisional connection, not an outcome finding.</w:t>
      </w:r>
    </w:p>
    <w:p>
      <w:pPr>
        <w:pStyle w:val="SourceNote"/>
      </w:pPr>
      <w:r>
        <w:rPr>
          <w:b/>
        </w:rPr>
        <w:t>Available abstract (not full text):</w:t>
      </w:r>
      <w:r>
        <w:t xml:space="preserve"> Efforts to map disparities in environmental exposure burdens across populations in varying urban settings are extremely limited. Here, we analyzed disparities in exposure to nitrogen dioxide air pollution and urban greenspaces in Dublin, Copenhagen, and Amsterdam, using hyperlocal environmental metrics derived from large-scale digital datasets. In Dublin, racial/ethnic minority groups were exposed to higher levels of nitrogen dioxide and lower levels of greenspace. Furthermore, immigrant populations were exposed to more pollution and less greenspace than natives in Dublin and Copenhagen, whereas the opposite trend was observed in Amsterdam. However, when considering population wealth, inhabitants of low-income areas were exposed to greater levels of greenspace and lower levels of nitrogen dioxide in all cities. These findings demonstrate that population environmental exposures are inconsistent across cities. Our results emphasize the need for city-specific studies of exposure burdens utilizing hyperlocal data to inform the design of sustainable, healthy, and equitable cities of the future. Immigrants in Dublin and Copenhagen experience more air pollution and less greenery than natives, while in Amsterdam, the reverse is true, according to hyperlocal analysis of nitrogen dioxide and greenspace exposure.</w:t>
      </w:r>
    </w:p>
    <w:p>
      <w:pPr/>
      <w:r>
        <w:rPr>
          <w:b/>
        </w:rPr>
        <w:t>POSSIBLE 2026:</w:t>
      </w:r>
      <w:r>
        <w:t xml:space="preserve"> Pollution, Density and Low Emission Zones: European Evidence — https://doi.org/10.53479/44145</w:t>
      </w:r>
    </w:p>
    <w:p>
      <w:pPr/>
      <w:r>
        <w:rPr>
          <w:b/>
        </w:rPr>
        <w:t>Shared claim-specific concepts:</w:t>
      </w:r>
      <w:r>
        <w:t xml:space="preserve"> pollution, cities, increase, population; EU scope visible. This is a provisional connection, not an outcome finding.</w:t>
      </w:r>
    </w:p>
    <w:p>
      <w:pPr>
        <w:pStyle w:val="SourceNote"/>
      </w:pPr>
      <w:r>
        <w:rPr>
          <w:b/>
        </w:rPr>
        <w:t>Available abstract (not full text):</w:t>
      </w:r>
      <w:r>
        <w:t xml:space="preserve"> Low emission zones (LEZs) have emerged as a primary policy instrument to combat urban air pollution in Europe, yet rigorous evidence on their effectiveness and spatial spillovers remains limited. Using a high-resolution geospatial panel dataset covering 1km grid cells across 33 European countries from 2007 to 2022, we estimate that LEZ adoption reduces PM2.5 exposure by approximately 4% within designated zones. We find robust evidence of positive spillovers: pollution also declines in areas adjacent to LEZ boundaries. These average effects mask substantial heterogeneity: reductions are concentrated in larger, denser cities and in cities with medium-sized zones relative to total urban area, while the smallest cities and zones show no detectable effect. These findings suggest LEZs generate city-wide environmental benefits extending beyond formal boundaries, consistent with network effects and technology spillovers dominating displacement mechanisms. To contextualize these results, we estimate the pollution-density elasticity for European cities using instrumental variables based on historical settlement patterns, finding that a 1% increase in population density raises PM2.5 exposure by 6% (approximately half the magnitude documented for US cities). We interpret our findings through a spatial equilibrium model that formalizes how LEZs alter the pollution production function in mon</w:t>
      </w:r>
    </w:p>
    <w:p>
      <w:pPr/>
      <w:r>
        <w:rPr>
          <w:b/>
        </w:rPr>
        <w:t>POSSIBLE 2026:</w:t>
      </w:r>
      <w:r>
        <w:t xml:space="preserve"> Impact of Electric Public Transportation on Environmental Pollution in Urban Cities — https://doi.org/10.54536/ajupsc.v2i2.8171</w:t>
      </w:r>
    </w:p>
    <w:p>
      <w:pPr/>
      <w:r>
        <w:rPr>
          <w:b/>
        </w:rPr>
        <w:t>Shared claim-specific concepts:</w:t>
      </w:r>
      <w:r>
        <w:t xml:space="preserve"> pollution, cities, size; EU scope not established. This is a provisional connection, not an outcome finding.</w:t>
      </w:r>
    </w:p>
    <w:p>
      <w:pPr>
        <w:pStyle w:val="SourceNote"/>
      </w:pPr>
      <w:r>
        <w:rPr>
          <w:b/>
        </w:rPr>
        <w:t>Available abstract (not full text):</w:t>
      </w:r>
      <w:r>
        <w:t xml:space="preserve"> Urbanization and increasing reliance on fossil fueled public transportation has been one of the most significant causes of environmental pollution in the urban cities of Bangladesh, there is an urgent need to seek sustainable alternatives. This study aimed to study the influence of electric public transportation on environmental pollution by analyzing the effect of e-public transport service quality, adoption of electric public transport system, and government-support and traffic management efficacy on reduction in environmental pollution and sustainable urban mobility in city urban-related information in Bangladesh. This study used a quantitative cross-sectional research design and primary data were collected from 410 respondents through structured questionnaire as a five-point Likert scale. The sample size was calculated based on Cochran’s formula, and data were analyzed using the Statistical Package for the Social Sciences (SPSS) version 26. The implications of the results were that users tended to perceive electric public transportation quality, adoption level, government support and traffic management efficiency at high levels whereas environmental pollution reduction and sustainable urban mobility were perceived at very high levels. The results also indicated that better electric public mobility quality, increasing the development of public acceptance and more facilitativ</w:t>
      </w:r>
    </w:p>
    <w:p>
      <w:pPr/>
      <w:r>
        <w:rPr>
          <w:b/>
        </w:rPr>
        <w:t>POSSIBLE 2026:</w:t>
      </w:r>
      <w:r>
        <w:t xml:space="preserve"> Environmental Assessment of the Impact of Urban Transport on Air Pollution in Baku City — https://doi.org/10.54414/byaj4664</w:t>
      </w:r>
    </w:p>
    <w:p>
      <w:pPr/>
      <w:r>
        <w:rPr>
          <w:b/>
        </w:rPr>
        <w:t>Shared claim-specific concepts:</w:t>
      </w:r>
      <w:r>
        <w:t xml:space="preserve"> much, pollution, cities, increase, population; EU scope not established. This is a provisional connection, not an outcome finding.</w:t>
      </w:r>
    </w:p>
    <w:p>
      <w:pPr>
        <w:pStyle w:val="SourceNote"/>
      </w:pPr>
      <w:r>
        <w:rPr>
          <w:b/>
        </w:rPr>
        <w:t>Available abstract (not full text):</w:t>
      </w:r>
      <w:r>
        <w:t xml:space="preserve"> In modern times, the increase in population density in cities and the year-on-year rise in the number of cars are among the main factors negatively affecting air quality. In particular, the intensity of road traffic in Baku increases the volume of harmful substances released into the atmosphere, having a serious impact on the environmental situation and human health. This study analyses the emissions generated on the city's four main arterial roads with the highest traffic load, and their impacts on the environment and the socio-economic sphere are assessed based on international methodological approaches. The calculations applied the EMEP/EEA methodology, the World Health Organisation's 2021 air quality recommendations, and the principles for the valuation of external costs. Analyses show that most of the country's carbon monoxide emissions, approximately 71%, and 44% of its nitrogen oxides, originate from the transport sector. Much of that pollution is concentrated in Baku and has a particularly significant impact on the environment in the capital. The average annual concentration of PM₂.₅ particles is estimated to range from 19 to 45 μg/m³, which is several times higher than accepted international health standards. This leads to an increased risk of heart and lung diseases in people breathing in polluted air for long periods. An economic assessment found that transport-relat</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pollution, energy, consumption, population;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Air pollution inequalities in Europe: A deeper understating of challenges in Eastern Europe and pathways forward towards closing the gap between East and West — https://doi.org/10.1097/ee9.0000000000000383</w:t>
      </w:r>
    </w:p>
    <w:p>
      <w:pPr/>
      <w:r>
        <w:rPr>
          <w:b/>
        </w:rPr>
        <w:t>Shared claim-specific concepts:</w:t>
      </w:r>
      <w:r>
        <w:t xml:space="preserve"> much, pollution, energy, attributed, cities, population; EU scope visible. This is a provisional connection, not an outcome finding.</w:t>
      </w:r>
    </w:p>
    <w:p>
      <w:pPr>
        <w:pStyle w:val="SourceNote"/>
      </w:pPr>
      <w:r>
        <w:rPr>
          <w:b/>
        </w:rPr>
        <w:t>Available abstract (not full text):</w:t>
      </w:r>
      <w:r>
        <w:t xml:space="preserve"> What this study adds: In this commentary, we address the environmental inequalities in Europe, specifically related to air pollution exposure and related health burden disparities between Western and Eastern Europe. We first, provide a background for the causes of these inequalities and links with socioeconomic and demographic circumstances. We showcase, in more detail, air quality levels, monitoring, health research, and burden situation in four Eastern European countries (Serbia, Poland, Latvia, and Bulgaria), and briefly explain links with road traffic noise and climate change challenges in the region. At the end, we summarize several pathways and recommendations for going forward and overcoming air pollution exposure and the health burden gap in Europe.Background Air pollution is the biggest environmental stressor responsible for over 420,000 premature deaths in Europe in 2022,1 from cardiovascular diseases, chronic and infectious respiratory diseases, lung cancer, and type-2 diabetes.2 Air pollution levels in Europe have declined in the last decades, which has, at least in part, been attributed to successful European Union (EU) legislation. Ambient Air Quality Directive (AAQD)3 in 2008 set air quality standards (annual mean 25 µg/m3 for particulate matter with diameter &lt;2.5 µm [PM2.5] and 40 µg/m3 for nitrogen dioxide [NO2]). These declines are most prominent in Western an</w:t>
      </w:r>
    </w:p>
    <w:p>
      <w:pPr/>
      <w:r>
        <w:rPr>
          <w:b/>
        </w:rPr>
        <w:t>POSSIBLE 2025:</w:t>
      </w:r>
      <w:r>
        <w:t xml:space="preserve"> Effect of tree canopy cover on air pollution-related mortality in European cities: an integrated approach — https://doi.org/10.1016/s2542-5196(25)00112-3</w:t>
      </w:r>
    </w:p>
    <w:p>
      <w:pPr/>
      <w:r>
        <w:rPr>
          <w:b/>
        </w:rPr>
        <w:t>Shared claim-specific concepts:</w:t>
      </w:r>
      <w:r>
        <w:t xml:space="preserve"> pollution, cities, increase, population; EU scope visible. This is a provisional connection, not an outcome finding.</w:t>
      </w:r>
    </w:p>
    <w:p>
      <w:pPr>
        <w:pStyle w:val="SourceNote"/>
      </w:pPr>
      <w:r>
        <w:rPr>
          <w:b/>
        </w:rPr>
        <w:t>Available abstract (not full text):</w:t>
      </w:r>
      <w:r>
        <w:t xml:space="preserve"> Background In urban areas, fine particles (PM 2·5 ), nitrogen dioxide (NO 2 ), and tropospheric ozone (O 3 ) are the most harmful air pollutants for human health. Urban greening is seen as a strategy for co-benefitting air quality, climate, and citizens' wellbeing. We aimed to estimate the changes in tree cover, the mortality burden attributable to air pollution, and the mortality that could be potentially prevented by increasing tree coverage in European cities. Methods We did a quantitative health impact assessment to estimate the effect of mean tree cover on air pollutants levels and PM 2·5 -related, NO 2 -related, and O 3 -related mortality (all ages) in 744 European urban centres, with more than 50 000 inhabitants, across 36 countries. We did all analyses at the city-wide scale. Findings Between 2000 and 2019, the mean tree coverage increased by 0·76 percentage points, with 73·5% of the urban centres showing greener coverage, whereas mortality burdens declined by on average 3·39% (SD 0·28) in all urban centres. In 2019, about 25% of the total population lived in areas with a mean tree canopy coverage over 30%. Compared with the current tree cover, each five percentage point increase in tree canopy cover could facilitate an air quality improvement of 2·8% for annual PM 2·5 mean concentrations, 1·4% for annual NO 2 mean concentrations, and 1·2% for summertime mean of the dai</w:t>
      </w:r>
    </w:p>
    <w:p>
      <w:pPr/>
      <w:r>
        <w:rPr>
          <w:b/>
        </w:rPr>
        <w:t>POSSIBLE 2025:</w:t>
      </w:r>
      <w:r>
        <w:t xml:space="preserve"> Leveraging peri-urban forests to reduce temperature and air pollution-related urban mortality in European cities — https://doi.org/10.1038/s43247-025-03079-2</w:t>
      </w:r>
    </w:p>
    <w:p>
      <w:pPr/>
      <w:r>
        <w:rPr>
          <w:b/>
        </w:rPr>
        <w:t>Shared claim-specific concepts:</w:t>
      </w:r>
      <w:r>
        <w:t xml:space="preserve"> pollution, cities, population, different, strategies; EU scope visible. This is a provisional connection, not an outcome finding.</w:t>
      </w:r>
    </w:p>
    <w:p>
      <w:pPr>
        <w:pStyle w:val="SourceNote"/>
      </w:pPr>
      <w:r>
        <w:rPr>
          <w:b/>
        </w:rPr>
        <w:t>Available abstract (not full text):</w:t>
      </w:r>
      <w:r>
        <w:t xml:space="preserve"> Extreme temperatures and poor air quality contribute to premature mortality, increased hospital admissions and higher healthcare costs. As the majority of the world’s population lives in cities, understanding how urban vegetation mitigates temperature and pollution hazards is essential for designing strategies to enhance urban resilience and reduce mortality. However, estimating the health benefits of urban greening is challenging due to the non-linear physical, chemical, and biological processes involved. Here we use a coupled climate-chemistry model to assess the impact of different peri-urban tree planting scenarios on temperature- and pollution-related mortality and their associated costs over three Euro-Mediterranean cities. We find that peri-urban greening primarily allows to reduce mortality from non-optimal temperatures and, to a lesser extent, air pollution, with effectiveness depending on the selected trees species and local meteorological and chemical conditions. This study provides methodological insights to guide urban planners in leveraging nature-based solutions effectively while avoiding adverse health effects from poor tree selection. Across European cities, peri-urban green areas can reduce mortality from non-optimal temperatures and, to a lesser extent, air pollution, with effectiveness depending on tree species and meteorological conditions, according to a c</w:t>
      </w:r>
    </w:p>
    <w:p>
      <w:pPr/>
      <w:r>
        <w:rPr>
          <w:b/>
        </w:rPr>
        <w:t>POSSIBLE 2025:</w:t>
      </w:r>
      <w:r>
        <w:t xml:space="preserve"> High-resolution modelling of particulate matter chemical composition over Europe: brake wear pollution — https://doi.org/10.1016/j.envint.2025.109615</w:t>
      </w:r>
    </w:p>
    <w:p>
      <w:pPr/>
      <w:r>
        <w:rPr>
          <w:b/>
        </w:rPr>
        <w:t>Shared claim-specific concepts:</w:t>
      </w:r>
      <w:r>
        <w:t xml:space="preserve"> pollution, cities, increase, population, regulations; EU scope visible. This is a provisional connection, not an outcome finding.</w:t>
      </w:r>
    </w:p>
    <w:p>
      <w:pPr>
        <w:pStyle w:val="SourceNote"/>
      </w:pPr>
      <w:r>
        <w:rPr>
          <w:b/>
        </w:rPr>
        <w:t>Available abstract (not full text):</w:t>
      </w:r>
      <w:r>
        <w:t xml:space="preserve"> In today’s rapidly evolving society, the sources of atmospheric particulate matter (PM) emissions are shifting significantly. Stringent regulations on vehicle tailpipe emissions, in combination with a lack of control of non-exhaust vehicular emissions, have led to an increase in the relative contribution of non-exhaust PM in Europe. This study analyzes the spatial distribution, temporal trends, and impacts of brake wear PM pollution across Europe by modeling copper (Cu) concentrations at a high spatial resolution of ∼250 m which is a key tracer of brake-wear emissions. We integrated coarse-resolution brake-wear Cu from CAMx chemical transport model and high-resolution land use data into a random forest model to predict Cu concentrations at 250 m over whole of continental Europe. The random forest model was trained using an unprecedented dataset of over 50,000 daily Cu measurements from 152 sites. It corrected CAMx underestimation and downscaled Cu to a higher spatial resolution. In validation, the model showed robust spatial and temporal prediction with good Pearson’s correlation coefficients of 0.6 and 0.7, respectively. We generated 10 years (2010–2019) of daily Cu concentrations over Europe, revealing spatial patterns aligned with urbanization and road networks, with peaks in cities and lower values in rural areas. Temporal trends reveal that Cu concentrations generally peak</w:t>
      </w:r>
    </w:p>
    <w:p>
      <w:pPr>
        <w:pStyle w:val="Heading2"/>
      </w:pPr>
      <w:r>
        <w:t>555. The Boundaries of Scientific Innovation in the EU Green Deal Context</w:t>
      </w:r>
    </w:p>
    <w:p>
      <w:pPr>
        <w:pStyle w:val="SourceNote"/>
      </w:pPr>
      <w:r>
        <w:rPr>
          <w:b/>
        </w:rPr>
        <w:t>Original source (2022):</w:t>
      </w:r>
      <w:r>
        <w:t xml:space="preserve"> https://doi.org/10.2478/rtuect-2022-0010</w:t>
      </w:r>
    </w:p>
    <w:p>
      <w:pPr/>
      <w:r>
        <w:t>Original wording (abstract; indexed_source_text_not_full_document_verified): The European Union has frequently taken an active role in international climate policy by developing relevant strategies in as early as the nineties the last century, and today promoting an ambitious EU Green Deal to become climate neutral by 2050.</w:t>
      </w:r>
    </w:p>
    <w:p>
      <w:pPr/>
      <w:r>
        <w:rPr>
          <w:b/>
        </w:rPr>
        <w:t>POSSIBLE 2026:</w:t>
      </w:r>
      <w:r>
        <w:t xml:space="preserve"> The European Union — https://doi.org/10.60054/peu.2026.13.20-34</w:t>
      </w:r>
    </w:p>
    <w:p>
      <w:pPr/>
      <w:r>
        <w:rPr>
          <w:b/>
        </w:rPr>
        <w:t>Shared claim-specific concepts:</w:t>
      </w:r>
      <w:r>
        <w:t xml:space="preserve"> union, role, ambitious; EU scope visible. This is a provisional connection, not an outcome finding.</w:t>
      </w:r>
    </w:p>
    <w:p>
      <w:pPr>
        <w:pStyle w:val="SourceNote"/>
      </w:pPr>
      <w:r>
        <w:rPr>
          <w:b/>
        </w:rPr>
        <w:t>Available abstract (not full text):</w:t>
      </w:r>
      <w:r>
        <w:t xml:space="preserve"> Over the past decade, the European Union has faced a series of overlapping crises - from the sovereign debt crisis and Brexit to the COVID-19 pandemic and geopolitical challenges. This article proposes that these recurrent shocks can be understood not only as policy challenges but as a process of collective institutional grief, reflecting the gradual changes of the EU’s integration model. Using the Kübler-Ross model of grief as a heuristic framework, the study examines how denial, anger, bargaining, depression, and acceptance manifest in EU institutions, political discourse, and policy responses. The analysis highlights that while the EU often oscillates between incremental solutions and ambitious rhetoric, acceptance, understood as a conscious political choice rather than resignation, is crucial for enabling strategic renewal, and strengthening the Union’s social and global role. By applying the Kübler-Ross model lens, this article offers a diagnostic perspective on the EU’s present and pathways for its future political development.</w:t>
      </w:r>
    </w:p>
    <w:p>
      <w:pPr/>
      <w:r>
        <w:rPr>
          <w:b/>
        </w:rPr>
        <w:t>POSSIBLE 2026:</w:t>
      </w:r>
      <w:r>
        <w:t xml:space="preserve"> The New Role of the European Union and Its Global Projects — https://doi.org/10.46340/eppd.2026.13.3.2</w:t>
      </w:r>
    </w:p>
    <w:p>
      <w:pPr/>
      <w:r>
        <w:rPr>
          <w:b/>
        </w:rPr>
        <w:t>Shared claim-specific concepts:</w:t>
      </w:r>
      <w:r>
        <w:t xml:space="preserve"> union, frequently, taken, role, international, relevant; EU scope visible. This is a provisional connection, not an outcome finding.</w:t>
      </w:r>
    </w:p>
    <w:p>
      <w:pPr>
        <w:pStyle w:val="SourceNote"/>
      </w:pPr>
      <w:r>
        <w:rPr>
          <w:b/>
        </w:rPr>
        <w:t>Available abstract (not full text):</w:t>
      </w:r>
      <w:r>
        <w:t xml:space="preserve"> The transformation of the international system from a bipolar Cold War structure to a fluid and dynamic multipolar world has significantly altered the roles and responsibilities of major global actors.Under these new geopolitics, the European Union (EU) has shifted towards recalibrating its role on the global stage.No longer constrained by the limits of economic integration and regional peacebuilding, the EU has increasingly taken on a more expansive and ambitious role in international affairs.This reflects internal dynamics within the Union and pressures from the outside due to globalization, the rise of powers, and a waning liberal international order.Historically conceived as a project for economic cooperation and conflict prevention among European nations, the EU has grown into a unique supranational entity with expansive influence in trade, environmental policy, digital governance, and normative diplomacy.As a regulatory superpower, the EU's requirements frequently require worldwide guidelines, especially in data protection, the reasonable opposition rule, and natural lifestyle sustainability.This "Brussels effect" enables the Union to extend power without conventional weapons use but instead on the strength of its internal market and governance model.In an increasingly competitive and interlinked world, the EU aims to be relevant and a key stakeholder in defining the new </w:t>
      </w:r>
    </w:p>
    <w:p>
      <w:pPr/>
      <w:r>
        <w:rPr>
          <w:b/>
        </w:rPr>
        <w:t>POSSIBLE 2026:</w:t>
      </w:r>
      <w:r>
        <w:t xml:space="preserve"> THE ROLE OF GERMAN ECONOMY IN EUROPEAN UNION INTEGRATION — https://openalex.org/W7215644634</w:t>
      </w:r>
    </w:p>
    <w:p>
      <w:pPr/>
      <w:r>
        <w:rPr>
          <w:b/>
        </w:rPr>
        <w:t>Shared claim-specific concepts:</w:t>
      </w:r>
      <w:r>
        <w:t xml:space="preserve"> union, role, green; EU scope visible. This is a provisional connection, not an outcome finding.</w:t>
      </w:r>
    </w:p>
    <w:p>
      <w:pPr>
        <w:pStyle w:val="SourceNote"/>
      </w:pPr>
      <w:r>
        <w:rPr>
          <w:b/>
        </w:rPr>
        <w:t>Available abstract (not full text):</w:t>
      </w:r>
      <w:r>
        <w:t xml:space="preserve"> This article analyzes the role of the German economy in the process of European Union integration, focusing on its influence on trade, economic governance, industrial development, and regional stability. As the largest economy in the EU, Germany plays a central role in shaping intra-European trade flows and strengthening economic interdependence among member states. The study highlights Germany’s contribution to policy coordination within the Economic and Monetary Union, particularly through its emphasis on fiscal discipline and price stability. It also examines Germany’s role during major economic crises, where it acted as both a stabilizing force and a key decision-maker in collective responses. Furthermore, the paper discusses Germany’s impact on technological innovation, global value chains, and the green transition within the EU. The findings suggest that while Germany significantly supports deeper integration, its dominant position also creates structural asymmetries and policy tensions that must be carefully managed to ensure balanced and sustainable development across the Union.</w:t>
      </w:r>
    </w:p>
    <w:p>
      <w:pPr/>
      <w:r>
        <w:rPr>
          <w:b/>
        </w:rPr>
        <w:t>POSSIBLE 2026:</w:t>
      </w:r>
      <w:r>
        <w:t xml:space="preserve"> The Role of the European Parliament in Strengthening Democratic Representation in the European Union — https://doi.org/10.70670/sra.v4i1.2448</w:t>
      </w:r>
    </w:p>
    <w:p>
      <w:pPr/>
      <w:r>
        <w:rPr>
          <w:b/>
        </w:rPr>
        <w:t>Shared claim-specific concepts:</w:t>
      </w:r>
      <w:r>
        <w:t xml:space="preserve"> union, role, climate; EU scope visible. This is a provisional connection, not an outcome finding.</w:t>
      </w:r>
    </w:p>
    <w:p>
      <w:pPr>
        <w:pStyle w:val="SourceNote"/>
      </w:pPr>
      <w:r>
        <w:rPr>
          <w:b/>
        </w:rPr>
        <w:t>Available abstract (not full text):</w:t>
      </w:r>
      <w:r>
        <w:t xml:space="preserve"> The European Parliament (EP) has evolved from a consultative assembly of national delegates in the 1950s to a directly elected co-legislator with significant powers in the ordinary legislative procedure (OLP), budgetary authority, and executive oversight, positioning it as the primary institutional vehicle for addressing the EU’s democratic deficit. Through successive treaties from the Single European Act to the Treaty of Lisbon the EP has gained co-decision rights across most policy areas, final say on the annual budget and Multiannual Financial Framework (MFF), discharge authority over Commission spending, and influence via the Spitzenkandidaten process for Commission President selection. Its role in protecting the rule of law through budgetary conditionality (Regulation 2020/2092) and scrutiny mechanisms further strengthens democratic accountability. However, persistent challenges include the “second-order” character of EP elections (lower turnout, national focus), the absence of a genuine European public sphere, fragmented transnational political groups, and tensions with intergovernmental bodies like the European Council. The 2024 elections highlighted increasing polarization and a rightward shift, complicating traditional grand coalitions while amplifying debates on climate, migration, and rule-of-law issues. Proposed reforms full legislative initiative for the EP, transn</w:t>
      </w:r>
    </w:p>
    <w:p>
      <w:pPr/>
      <w:r>
        <w:rPr>
          <w:b/>
        </w:rPr>
        <w:t>POSSIBLE 2026:</w:t>
      </w:r>
      <w:r>
        <w:t xml:space="preserve"> The implications of unification for Germany's role in the European Union. — https://doi.org/10.82444/warw.33741772</w:t>
      </w:r>
    </w:p>
    <w:p>
      <w:pPr/>
      <w:r>
        <w:rPr>
          <w:b/>
        </w:rPr>
        <w:t>Shared claim-specific concepts:</w:t>
      </w:r>
      <w:r>
        <w:t xml:space="preserve"> union, role; EU scope visible. This is a provisional connection, not an outcome finding.</w:t>
      </w:r>
    </w:p>
    <w:p>
      <w:pPr>
        <w:pStyle w:val="SourceNote"/>
      </w:pPr>
      <w:r>
        <w:rPr>
          <w:b/>
        </w:rPr>
        <w:t>Available abstract (not full text):</w:t>
      </w:r>
      <w:r>
        <w:t xml:space="preserve"> This study analyses the nature of Germany's role in the EU after unification. The thesis posits a two tier approach, first examining Germany's relationship in the EU at a 'high' politics, and then utilising a sectoral approach to Germany's role in the EU, focusing on two key policy areas: migration and agriculture. The thesis reviews theories of European integration assessing their applicability to Germany's specific case. It is argued that it is an oversimplification to characterise Germany as either an 'assertive' or 'compliant' actor. In the broader context, the thesis notes a continuity in Germany's pro-European position after unification. However, the thesis also concludes that Germany has acquired a stronger role. Unification has presented Germany with a number of challenges in the domestic arena. Borrowing from the ideas of Lowi, the thesis argues that Germany's role in the EU is policy specific and differs in contrasting policy sectors. The thesis also specifies the characteristics within the policy sector that shape Germany's actions in the EU. Furthermore, it is argued that the EU serves as an important arena for solving important domestic concerns. The thesis attempts to develop a taxonomic model comprising three characteristics: dynamics of the policy sector, policy circumstance and policy-making structures to test these hypotheses. The two policy sectors analysed i</w:t>
      </w:r>
    </w:p>
    <w:p>
      <w:pPr/>
      <w:r>
        <w:rPr>
          <w:b/>
        </w:rPr>
        <w:t>POSSIBLE 2026:</w:t>
      </w:r>
      <w:r>
        <w:t xml:space="preserve"> The European Union as a Political Hybrid — https://doi.org/10.1017/9781009682633.004</w:t>
      </w:r>
    </w:p>
    <w:p>
      <w:pPr/>
      <w:r>
        <w:rPr>
          <w:b/>
        </w:rPr>
        <w:t>Shared claim-specific concepts:</w:t>
      </w:r>
      <w:r>
        <w:t xml:space="preserve"> union, role, international; EU scope visible. This is a provisional connection, not an outcome finding.</w:t>
      </w:r>
    </w:p>
    <w:p>
      <w:pPr>
        <w:pStyle w:val="SourceNote"/>
      </w:pPr>
      <w:r>
        <w:rPr>
          <w:b/>
        </w:rPr>
        <w:t>Available abstract (not full text):</w:t>
      </w:r>
      <w:r>
        <w:t xml:space="preserve"> The EU is more than a traditional international organisation such as the UN, because it has its own budget, currency, and directly applicable law. Yet it is not a state, for it lacks a police force, army, and criminal justice system. Its member states conserve a right of veto for all major decisions. It is therefore illuminating to explore the EU’s unique political and institutional features in order to understand how it has played such a large role in organising European capitalism, and to determine its compatibility with the three forms of capitalist governance (liberty, solidarity and community). The European Union’s dominant role in regulating capitalism emerged quite late, after the failure of numerous alternatives in both European and international organisations. As Brexit has shown, it is perfectly possible for the Union to shrivel, potentially due to nationalistic pressures. The European institutional system, while being easier to combine with the liberty aspect of capitalism, is also conducive to solidarity and community. The role of European institutions was to facilitate the combination of various national forms of solidarity and community capitalism in Europe.</w:t>
      </w:r>
    </w:p>
    <w:p>
      <w:pPr/>
      <w:r>
        <w:rPr>
          <w:b/>
        </w:rPr>
        <w:t>POSSIBLE 2026:</w:t>
      </w:r>
      <w:r>
        <w:t xml:space="preserve"> The role of the European Union equivalence regime in global capital markets — https://doi.org/10.5525/gla.thesis.85977</w:t>
      </w:r>
    </w:p>
    <w:p>
      <w:pPr/>
      <w:r>
        <w:rPr>
          <w:b/>
        </w:rPr>
        <w:t>Shared claim-specific concepts:</w:t>
      </w:r>
      <w:r>
        <w:t xml:space="preserve"> union, role, international, promoting; EU scope visible. This is a provisional connection, not an outcome finding.</w:t>
      </w:r>
    </w:p>
    <w:p>
      <w:pPr>
        <w:pStyle w:val="SourceNote"/>
      </w:pPr>
      <w:r>
        <w:rPr>
          <w:b/>
        </w:rPr>
        <w:t>Available abstract (not full text):</w:t>
      </w:r>
      <w:r>
        <w:t xml:space="preserve"> This thesis examines the European Union equivalence regime as a legal instrument and governance technique within the wider transformation of post-crisis international financial regulation. It argues that equivalence is not merely a technical market access mechanism, but a structured form of conditional reliance through which the European Union seeks to reconcile openness to cross-border finance with prudential control and regulatory projection. The thesis argues that equivalence remains embedded in international technocratic governance, since its practical operation depends on shared standards, regulatory comparability, and repeated interaction within transnational networks. Within the EU legal order, the thesis demonstrates that equivalence is shaped by financial stability and by the logic of regulatory centralisation. Its design and operation vary across sectors according to differing assessments of risk, dependence, and prudential sensitivity,and equivalence contributes to the centralisation of supervisory authority at EU level, particularly through European Securities and Markets Authority. Externally, it argues that the Union's practice is shaped by financial stability and regulatory power projection, whose varying combinations generate integrationist, defensive, and negotiationist models. The China and Hong Kong case study further shows that equivalence may also operate t</w:t>
      </w:r>
    </w:p>
    <w:p>
      <w:pPr/>
      <w:r>
        <w:rPr>
          <w:b/>
        </w:rPr>
        <w:t>POSSIBLE 2026:</w:t>
      </w:r>
      <w:r>
        <w:t xml:space="preserve"> The Role of the Czech Republic in Redefining Central European Identity within the European Union — https://doi.org/10.36690/2674-5216-2026-1-54-66</w:t>
      </w:r>
    </w:p>
    <w:p>
      <w:pPr/>
      <w:r>
        <w:rPr>
          <w:b/>
        </w:rPr>
        <w:t>Shared claim-specific concepts:</w:t>
      </w:r>
      <w:r>
        <w:t xml:space="preserve"> union, taken, role, promoting; EU scope visible. This is a provisional connection, not an outcome finding.</w:t>
      </w:r>
    </w:p>
    <w:p>
      <w:pPr>
        <w:pStyle w:val="SourceNote"/>
      </w:pPr>
      <w:r>
        <w:rPr>
          <w:b/>
        </w:rPr>
        <w:t>Available abstract (not full text):</w:t>
      </w:r>
      <w:r>
        <w:t xml:space="preserve"> The post-Cold War transformation of Europe reactivated debates on the identity, political position, and historical belonging of Central European states within the broader European project. In this context, the Czech Republic emerged as an important actor in the reinterpretation of Central Europe, challenging its reduction to the category of Eastern Europe and promoting a more differentiated understanding of regional belonging within the European Union. The purpose of the study is to analyze how the Czech Republic has contributed to redefining Central European identity within the European Union and to determine the political, institutional, and discursive mechanisms through which this process has taken place. The study is based on a qualitative research design grounded in constructivist theory. The methodological approach combines documentary analysis and qualitative discourse analysis. The empirical basis includes official European Union documents, Czech foreign policy texts, strategic statements, and speeches by political elites. Analytical attention is focused on discursive identity construction, regional cooperation practices, the role of historical memory, and the interaction between national sovereignty and European integration. The findings demonstrate that the Czech Republic has played a multidimensional role in redefining Central European identity. First, Czech politica</w:t>
      </w:r>
    </w:p>
    <w:p>
      <w:pPr/>
      <w:r>
        <w:rPr>
          <w:b/>
        </w:rPr>
        <w:t>POSSIBLE 2025:</w:t>
      </w:r>
      <w:r>
        <w:t xml:space="preserve"> LOBBYING IN THE EUROPEAN UNION — https://doi.org/10.25234/eclic/38141</w:t>
      </w:r>
    </w:p>
    <w:p>
      <w:pPr/>
      <w:r>
        <w:rPr>
          <w:b/>
        </w:rPr>
        <w:t>Shared claim-specific concepts:</w:t>
      </w:r>
      <w:r>
        <w:t xml:space="preserve"> union, role, international, strategies, become; EU scope visible. This is a provisional connection, not an outcome finding.</w:t>
      </w:r>
    </w:p>
    <w:p>
      <w:pPr>
        <w:pStyle w:val="SourceNote"/>
      </w:pPr>
      <w:r>
        <w:rPr>
          <w:b/>
        </w:rPr>
        <w:t>Available abstract (not full text):</w:t>
      </w:r>
      <w:r>
        <w:t xml:space="preserve"> The legislation procedure within the European Union (EU) legal system is determined by the sources of EU law. Therefore, the legal acts adopted by the EU institutions are the instruments by which the application of its public policies is regulated. The process of adopting legal regulations is provided for by the creation of the public policies of the EU, which are at the same time influenced by the number of actors involved. Various political groups and the public administration of the EU play a significant role in creating the EU’s public policies. However, informal actors such as interest groups and lobbies play an increasingly important role in this process. Due to the participation of interest groups and lobbyists in the process of creating the EU’s public policies, and consequently their implementation, their influence on the EU policies has been transformed and increased in comparison with previous decades. Thus, interest groups and lobbies have become leading actors on the European scene, influencing the law and the economy of the EU through legitimate means, which has consequently also affected its member states and international relations. This paper aims to show how the interest groups and lobbies legally operate within the European legal system, illustrating at the same time the EU mechanisms of lobbying regulation, as well as showing the consequences of the EU’s ins</w:t>
      </w:r>
    </w:p>
    <w:p>
      <w:pPr/>
      <w:r>
        <w:rPr>
          <w:b/>
        </w:rPr>
        <w:t>POSSIBLE 2025:</w:t>
      </w:r>
      <w:r>
        <w:t xml:space="preserve"> Non-formal education in the European Union countries — https://doi.org/10.33272/2522-9729-2025-3(222)-48-51</w:t>
      </w:r>
    </w:p>
    <w:p>
      <w:pPr/>
      <w:r>
        <w:rPr>
          <w:b/>
        </w:rPr>
        <w:t>Shared claim-specific concepts:</w:t>
      </w:r>
      <w:r>
        <w:t xml:space="preserve"> union, frequently, role, international, today; EU scope visible. This is a provisional connection, not an outcome finding.</w:t>
      </w:r>
    </w:p>
    <w:p>
      <w:pPr>
        <w:pStyle w:val="SourceNote"/>
      </w:pPr>
      <w:r>
        <w:rPr>
          <w:b/>
        </w:rPr>
        <w:t>Available abstract (not full text):</w:t>
      </w:r>
      <w:r>
        <w:t xml:space="preserve"> This study covers non-formal learning in higher education institutions by examining online platforms of non-formal education in the European Union (EU). Non-formal education in EU countries plays an important role in the development of personality, professional skills and social integration. It is a key element of the lifelong learning concept, which is actively supported by the EU. Ukrainian online platforms of non-formal education are more frequently used by students in Ukrainian higher education institutions. The survey analysis has shown a high rate of interest among students in getting acquainted with online platforms of non-formal education used in the EU. Examples of modern online platforms in EU countries are Codecademy, Coursera, Udacity, Udemy, OpenupEd. Platforms in EU countries offer courses from leading universities and teachers, providing students with the opportunity to gain knowledge at a high level. A principal role of non-formal education in professional training has been recognized in EU countries. Online courses through platforms are often focused on practical skills that are highly valued by employers. The platforms include courses related to the specifics of work and study in the EU, which helps students understand the requirements of employers and prepare for employment. Online platforms foster a culture of continuous learning, which is crucial for adapti</w:t>
      </w:r>
    </w:p>
    <w:p>
      <w:pPr/>
      <w:r>
        <w:rPr>
          <w:b/>
        </w:rPr>
        <w:t>POSSIBLE 2025:</w:t>
      </w:r>
      <w:r>
        <w:t xml:space="preserve"> Efficiency and Failure in the European Union — https://doi.org/10.1017/9781009646659.012</w:t>
      </w:r>
    </w:p>
    <w:p>
      <w:pPr/>
      <w:r>
        <w:rPr>
          <w:b/>
        </w:rPr>
        <w:t>Shared claim-specific concepts:</w:t>
      </w:r>
      <w:r>
        <w:t xml:space="preserve"> union, role, early, promoting; EU scope visible. This is a provisional connection, not an outcome finding.</w:t>
      </w:r>
    </w:p>
    <w:p>
      <w:pPr>
        <w:pStyle w:val="SourceNote"/>
      </w:pPr>
      <w:r>
        <w:rPr>
          <w:b/>
        </w:rPr>
        <w:t>Available abstract (not full text):</w:t>
      </w:r>
      <w:r>
        <w:t xml:space="preserve"> This chapter shifts the focus to the European Union, where effectiveness-driven arguments, including some based on failure, have been pivotal in promoting regional integration. The chapter discusses both early landmark decisions of the European Court of Justice and the role of political failure arguments in driving the Court’s expansive approach and the concept of systemic deficits in European Union law, as well as the Solange jurisprudence of the German Constitutional Court. It positions these doctrines within the functionalist interpretive framework of European Union Law. While not all of these examples strictly involve failure-based reasoning, they illustrate both the opportunities and risks of the functionalist approach to legal interpretation long dominant in EU law.</w:t>
      </w:r>
    </w:p>
    <w:p>
      <w:pPr/>
      <w:r>
        <w:rPr>
          <w:b/>
        </w:rPr>
        <w:t>POSSIBLE 2025:</w:t>
      </w:r>
      <w:r>
        <w:t xml:space="preserve"> The European Union in an illiberal world — https://openalex.org/W7134097304</w:t>
      </w:r>
    </w:p>
    <w:p>
      <w:pPr/>
      <w:r>
        <w:rPr>
          <w:b/>
        </w:rPr>
        <w:t>Shared claim-specific concepts:</w:t>
      </w:r>
      <w:r>
        <w:t xml:space="preserve"> union, international, climate; EU scope visible. This is a provisional connection, not an outcome finding.</w:t>
      </w:r>
    </w:p>
    <w:p>
      <w:pPr>
        <w:pStyle w:val="SourceNote"/>
      </w:pPr>
      <w:r>
        <w:rPr>
          <w:b/>
        </w:rPr>
        <w:t>Available abstract (not full text):</w:t>
      </w:r>
      <w:r>
        <w:t xml:space="preserve"> The European Union (EU) has in many ways been the most thorough creation of the international liberal order, and its upending – especially by the EU's historical ally the US – poses a multi-dimensional challenge to the Union. The immediate security and trade threats are obvious enough. But more challenging still are the rise of nationalism and great power geopolitics, historical forces which the whole European project has been designed to overcome. Moreover, the rise of illiberalism across the globe also profoundly threatens international cooperation in absolutely vital areas like climate change and biodiversity, as well as more on prosaic issues like finance and artificial intelligence. This e-book is the follow-up publication to an online conference organised by the Global Governance Research Group of the UNA Europa university alliance, which took place in June 2025. It brings together a wide range of contributions which seek to address the complex internal and external challenges of illiberalism to the EU, along with the Union's capacities and failures in dealing with these.</w:t>
      </w:r>
    </w:p>
    <w:p>
      <w:pPr>
        <w:pStyle w:val="Heading2"/>
      </w:pPr>
      <w:r>
        <w:t>556. The Conference on the Future of Europe: possible scenarios of the forthcoming European Perestroika</w:t>
      </w:r>
    </w:p>
    <w:p>
      <w:pPr>
        <w:pStyle w:val="SourceNote"/>
      </w:pPr>
      <w:r>
        <w:rPr>
          <w:b/>
        </w:rPr>
        <w:t>Original source (2022):</w:t>
      </w:r>
      <w:r>
        <w:t xml:space="preserve"> https://doi.org/10.21128/1812-7126-2022-1-14-42</w:t>
      </w:r>
    </w:p>
    <w:p>
      <w:pPr/>
      <w:r>
        <w:t>Original wording (abstract; indexed_source_text_not_full_document_verified): These varying directions within the EU establishment demonstrated by this discussion create a pressing need to find some common, compromise solutions between European elites on such questions as the renovation of the European project, the scope of amendments to the foundational treaties, delineation of alternative strategies of reforms, and a choice between different future options and potential outcomes.</w:t>
      </w:r>
    </w:p>
    <w:p>
      <w:pPr/>
      <w:r>
        <w:rPr>
          <w:b/>
        </w:rPr>
        <w:t>POSSIBLE 2026:</w:t>
      </w:r>
      <w:r>
        <w:t xml:space="preserve"> Development policy directions on climate challenges in selected central and Eastern European countries — https://doi.org/10.29119/1641-3466.2026.247.26</w:t>
      </w:r>
    </w:p>
    <w:p>
      <w:pPr/>
      <w:r>
        <w:rPr>
          <w:b/>
        </w:rPr>
        <w:t>Shared claim-specific concepts:</w:t>
      </w:r>
      <w:r>
        <w:t xml:space="preserve"> directions, within, common; EU scope visible. This is a provisional connection, not an outcome finding.</w:t>
      </w:r>
    </w:p>
    <w:p>
      <w:pPr>
        <w:pStyle w:val="SourceNote"/>
      </w:pPr>
      <w:r>
        <w:rPr>
          <w:b/>
        </w:rPr>
        <w:t>Available abstract (not full text):</w:t>
      </w:r>
      <w:r>
        <w:t xml:space="preserve"> Purpose: The aim of this article is to identify and comparatively analyse the development policy directions of four Central and Eastern European countries -Poland, Latvia, Lithuania and Estonia -in the context of the climate requirements arising from the EU Fit for 55 package.Particular attention is paid to Poland, facing an unprecedented decarbonisation challenge in its coal-dependent energy sector, and to Latvia, which stands out as the regional leader in the energy transition owing to the dominance of renewables in its generation mix.Design/methodology/approach: The article is based on a review of national energy and climate plans (NECPs), reports of the International Energy Agency (IEA), documents and legislation of the European Commission and the European Parliament, and peer-reviewed academic literature published up to 2024.A comparative analysis approach and strategic document analysis were applied.Findings: The four countries studied, operating within the same EU legal framework, pursue their climate transitions along markedly different paths, reflecting their distinct structural starting points.Poland faces the most capital-intensive transformation; Latvia benefits from an established renewable base; the three Baltic states demonstrate high effectiveness of regional cooperation, confirmed by the synchronisation of their electricity grids with the Continental European N</w:t>
      </w:r>
    </w:p>
    <w:p>
      <w:pPr/>
      <w:r>
        <w:rPr>
          <w:b/>
        </w:rPr>
        <w:t>POSSIBLE 2026:</w:t>
      </w:r>
      <w:r>
        <w:t xml:space="preserve"> Preventing Child Sexual Abuse and Exploitation: Current Efforts and Future Directions in the European Union — https://doi.org/10.1080/15564886.2025.2603478</w:t>
      </w:r>
    </w:p>
    <w:p>
      <w:pPr/>
      <w:r>
        <w:rPr>
          <w:b/>
        </w:rPr>
        <w:t>Shared claim-specific concepts:</w:t>
      </w:r>
      <w:r>
        <w:t xml:space="preserve"> directions, establishment, create; EU scope visible. This is a provisional connection, not an outcome finding.</w:t>
      </w:r>
    </w:p>
    <w:p>
      <w:pPr>
        <w:pStyle w:val="SourceNote"/>
      </w:pPr>
      <w:r>
        <w:rPr>
          <w:b/>
        </w:rPr>
        <w:t>Available abstract (not full text):</w:t>
      </w:r>
      <w:r>
        <w:t xml:space="preserve"> The European Union (EU) has set out a series of initiatives to support EU Member States in implementing tested and effective prevention measures to decrease the prevalence of Child Sexual Abuse and Exploitation (CSAE). These efforts include the establishment of the EU Network of Experts for the Prevention of Child Sexual Abuse (CSA) and the development of the EU Knowledge Platform. Finally, there is ongoing work to create a European Center to prevent and combat CSA and put in place rigorous evaluation of prevention initiatives, including a Self-assessment Tool and External evaluation. This paper presents what has been achieved to date and plans going forward. All current efforts and future directions aim at developing a comprehensive response to prevent, reduce, and combat CSAE in the EU and globally.</w:t>
      </w:r>
    </w:p>
    <w:p>
      <w:pPr/>
      <w:r>
        <w:rPr>
          <w:b/>
        </w:rPr>
        <w:t>POSSIBLE 2026:</w:t>
      </w:r>
      <w:r>
        <w:t xml:space="preserve"> New Directions in Irrationality — https://doi.org/10.5281/zenodo.23468866</w:t>
      </w:r>
    </w:p>
    <w:p>
      <w:pPr/>
      <w:r>
        <w:rPr>
          <w:b/>
        </w:rPr>
        <w:t>Shared claim-specific concepts:</w:t>
      </w:r>
      <w:r>
        <w:t xml:space="preserve"> varying, directions, within, demonstrated, common; EU scope not established. This is a provisional connection, not an outcome finding.</w:t>
      </w:r>
    </w:p>
    <w:p>
      <w:pPr>
        <w:pStyle w:val="SourceNote"/>
      </w:pPr>
      <w:r>
        <w:rPr>
          <w:b/>
        </w:rPr>
        <w:t>Available abstract (not full text):</w:t>
      </w:r>
      <w:r>
        <w:t xml:space="preserve"> Since Apéry’s proof of the irrationality of ζ(3), decades of work have explored integrals, hypergeometric identities, and recurrences with exceptional arithmetic properties, to discover the strongest quantitative bounds on irrationality measures for zeta values and related constants. Yet, most findings have relied on specially tailored families of such constructions, making their systematic extension difficult. Here we show how these constructions can be connected and generalized into a common multidimensional structure based on conservative matrix fields (CMFs), enabling a systematic discovery of new irrationality proofs and quantitative bounds for irrationality exponents. CMFs are finite-dimensional cocycles of compatible rational matrix shifts, and are shown to capture all the classical constructions developed since Apéry as one-dimensional trajectories. The initial point encodes the mathematical constants; varying the trajectory within a suitable convergence region produces different approximation schemes for the same constants. We use this structure to improve the irrationality measures of famous constants, yielding for example μ(ζ(2)) &lt; 4.62675 and μ(ζ(3)) &lt; 5.4197, and proving that 1, ζ(3), ζ(4) are linearly independent over ℚ, yielding μ(Aζ(3) + Bζ(4)) &lt; 66.3 for every (A,B) ∈ ℚ² ∖ {(0,0)}. The same approach demonstrated over other CMFs provides irrationality proving tr</w:t>
      </w:r>
    </w:p>
    <w:p>
      <w:pPr/>
      <w:r>
        <w:rPr>
          <w:b/>
        </w:rPr>
        <w:t>POSSIBLE 2025:</w:t>
      </w:r>
      <w:r>
        <w:t xml:space="preserve"> PROBATION WORK DEVELOPMENT DIRECTIONS IN THE LIGHT OF THE EUROPEAN PROBATION RULES — https://doi.org/10.5604/01.3001.0055.0535</w:t>
      </w:r>
    </w:p>
    <w:p>
      <w:pPr/>
      <w:r>
        <w:rPr>
          <w:b/>
        </w:rPr>
        <w:t>Shared claim-specific concepts:</w:t>
      </w:r>
      <w:r>
        <w:t xml:space="preserve"> directions, within, scope; EU scope visible. This is a provisional connection, not an outcome finding.</w:t>
      </w:r>
    </w:p>
    <w:p>
      <w:pPr>
        <w:pStyle w:val="SourceNote"/>
      </w:pPr>
      <w:r>
        <w:rPr>
          <w:b/>
        </w:rPr>
        <w:t>Available abstract (not full text):</w:t>
      </w:r>
      <w:r>
        <w:t xml:space="preserve"> This article focuses on the European Probation Rules of 2010. It shows their genesis, the objectives taken into account in the course of work on them and the basic principles of probation activities formulated in them. Much attention was paid to terminological problems resulting from the diversity of agencies dealing with probation work in individual European countries. Probation work according to the European Probation Rules is essentially related to the implementation of community sanctions and measures imposed on adult suspects and convicted persons. The tasks of probation officers for family cases in Poland do not fall within the scope of probation activities understood in this way. The European Probation Rules cannot be ignored in works on the strategy for development of the probation service in Poland. However, the differences in the tasks and working methods of probation officers for adult offenders and for family cases should also be taken into account.</w:t>
      </w:r>
    </w:p>
    <w:p>
      <w:pPr/>
      <w:r>
        <w:rPr>
          <w:b/>
        </w:rPr>
        <w:t>POSSIBLE 2025:</w:t>
      </w:r>
      <w:r>
        <w:t xml:space="preserve"> LSP Teacher Training in Europe and the United States: Trends, Challenges, Solutions, and Future Directions — https://doi.org/10.4079/gbl.v25.5</w:t>
      </w:r>
    </w:p>
    <w:p>
      <w:pPr/>
      <w:r>
        <w:rPr>
          <w:b/>
        </w:rPr>
        <w:t>Shared claim-specific concepts:</w:t>
      </w:r>
      <w:r>
        <w:t xml:space="preserve"> directions, need, solutions, between; EU scope visible. This is a provisional connection, not an outcome finding.</w:t>
      </w:r>
    </w:p>
    <w:p>
      <w:pPr>
        <w:pStyle w:val="SourceNote"/>
      </w:pPr>
      <w:r>
        <w:rPr>
          <w:b/>
        </w:rPr>
        <w:t>Available abstract (not full text):</w:t>
      </w:r>
      <w:r>
        <w:t xml:space="preserve"> Current research in the domain of languages for specific purposes (LSP) reveals an increasing need for enhanced collaboration and knowledge sharing among LSP scholars and practitioners across diverse geographic areas. This article addresses this need in the context of LSP teacher education training by examining the similarities and differences between LSP teacher training in Europe and the United States, and by suggesting training practices that can be adapted to diverse educational and cultural contexts. Throughout the article, the authors explore specific trends, challenges, and solutions for LSP teacher training from both European and US perspectives. The conclusion identifies future research directions to ensure that LSP teachers are better equipped to meet diverse, evolving linguistic professional needs in specific contexts.</w:t>
      </w:r>
    </w:p>
    <w:p>
      <w:pPr/>
      <w:r>
        <w:rPr>
          <w:b/>
        </w:rPr>
        <w:t>POSSIBLE 2025:</w:t>
      </w:r>
      <w:r>
        <w:t xml:space="preserve"> Gaps in Affordable Housing Discussions: Future Research Directions for Sustainable Development Goal 11 — https://doi.org/10.11648/j.urp.20251002.12</w:t>
      </w:r>
    </w:p>
    <w:p>
      <w:pPr/>
      <w:r>
        <w:rPr>
          <w:b/>
        </w:rPr>
        <w:t>Shared claim-specific concepts:</w:t>
      </w:r>
      <w:r>
        <w:t xml:space="preserve"> directions, within, discussion, scope; EU scope not established. This is a provisional connection, not an outcome finding.</w:t>
      </w:r>
    </w:p>
    <w:p>
      <w:pPr>
        <w:pStyle w:val="SourceNote"/>
      </w:pPr>
      <w:r>
        <w:rPr>
          <w:b/>
        </w:rPr>
        <w:t>Available abstract (not full text):</w:t>
      </w:r>
      <w:r>
        <w:t xml:space="preserve"> Affordable housing (AH) for the urban poor has continued as a prevalent challenge across most countries of the world in the face of continuous urbanization, regardless of the popularity of AH in scholarly discussions. To provide an overview of this research area in recent times, a scoping review has been conducted in this study. The study employed a systematic search across two of the most reliable databases in this field (Scopus and Web of Science) and identified 52 studies considered relevant. Standard guidelines for scoping review were followed in this study for reliability. This review mapped the general and methodological characteristics of AH studies. Findings are that AH is indeed a well-researched study, however, studies are currently skewed towards supply-oriented challenges and remedies, to the neglect of demand-oriented issues. Most studies are limited in scope which in turn limits the methodologies in AH research. Asia continent has contributed most to the AH discussion and within Asia, India has made the most contributions. Recommendations are that future studies should capture and proactively address demand-side challenges for balance, investigate wider scopes for generalizability of findings, employ more reliable methodologies and that AH investigations should follow pragmatic approaches to achieve sustainable affordable housing.</w:t>
      </w:r>
    </w:p>
    <w:p>
      <w:pPr/>
      <w:r>
        <w:rPr>
          <w:b/>
        </w:rPr>
        <w:t>POSSIBLE 2025:</w:t>
      </w:r>
      <w:r>
        <w:t xml:space="preserve"> Cancer burden in Europe: a systematic analysis of the GLOBOCAN database (2022) — https://doi.org/10.1186/s12885-025-13862-1</w:t>
      </w:r>
    </w:p>
    <w:p>
      <w:pPr/>
      <w:r>
        <w:rPr>
          <w:b/>
        </w:rPr>
        <w:t>Shared claim-specific concepts:</w:t>
      </w:r>
      <w:r>
        <w:t xml:space="preserve"> need, common, strategies; EU scope visible. This is a provisional connection, not an outcome finding.</w:t>
      </w:r>
    </w:p>
    <w:p>
      <w:pPr>
        <w:pStyle w:val="SourceNote"/>
      </w:pPr>
      <w:r>
        <w:rPr>
          <w:b/>
        </w:rPr>
        <w:t>Available abstract (not full text):</w:t>
      </w:r>
      <w:r>
        <w:t xml:space="preserve"> 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w:t>
      </w:r>
    </w:p>
    <w:p>
      <w:pPr/>
      <w:r>
        <w:rPr>
          <w:b/>
        </w:rPr>
        <w:t>POSSIBLE 2024:</w:t>
      </w:r>
      <w:r>
        <w:t xml:space="preserve"> Investigating the heterogeneity within Wild bird indices in Europe — https://doi.org/10.1016/j.biocon.2024.110452</w:t>
      </w:r>
    </w:p>
    <w:p>
      <w:pPr/>
      <w:r>
        <w:rPr>
          <w:b/>
        </w:rPr>
        <w:t>Shared claim-specific concepts:</w:t>
      </w:r>
      <w:r>
        <w:t xml:space="preserve"> within, common, between;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r>
        <w:rPr>
          <w:b/>
        </w:rPr>
        <w:t>POSSIBLE 2024:</w:t>
      </w:r>
      <w:r>
        <w:t xml:space="preserve"> European Integration and Globalisation of Ukraine's Digital Economy: Strategic Directions and Prospects — https://doi.org/10.56294/sctconf2024.656</w:t>
      </w:r>
    </w:p>
    <w:p>
      <w:pPr/>
      <w:r>
        <w:rPr>
          <w:b/>
        </w:rPr>
        <w:t>Shared claim-specific concepts:</w:t>
      </w:r>
      <w:r>
        <w:t xml:space="preserve"> directions, need, solutions, strategies; EU scope visible. This is a provisional connection, not an outcome finding.</w:t>
      </w:r>
    </w:p>
    <w:p>
      <w:pPr>
        <w:pStyle w:val="SourceNote"/>
      </w:pPr>
      <w:r>
        <w:rPr>
          <w:b/>
        </w:rPr>
        <w:t>Available abstract (not full text):</w:t>
      </w:r>
      <w:r>
        <w:t xml:space="preserve"> This article examines the digital transformation of Ukraine's economy through European integration. It highlights prospects for digitalization, including economic growth, innovation, and strengthened ties with the EU, alongside challenges such as public sector inefficiencies, investment risks, and slow reforms. Digitalization is emphasized as a driver of innovative development and a foundation for economic cooperation with the EU. The study combines expert analysis from SCOPUS, Web of Science, and Ukrainian data (2019–2023) to evaluate conditions, risks, and opportunities. Key findings include the need for enhanced investor protections, alignment with EU standards, and personalized digital strategies to reduce risks and promote growth. Despite progress, gaps remain in public sector digitalization, governance, and technology adoption. Addressing these issues can unlock Ukraine's digital potential, boosting competitiveness and integration into the EU market. The research proposes a tailored framework for implementing digital transformation, emphasizing flexibility, efficiency, and personalized solutions. These advancements aim to strengthen Ukraine's global market position and ensure sustainable economic growth</w:t>
      </w:r>
    </w:p>
    <w:p>
      <w:pPr/>
      <w:r>
        <w:rPr>
          <w:b/>
        </w:rPr>
        <w:t>POSSIBLE 2024:</w:t>
      </w:r>
      <w:r>
        <w:t xml:space="preserve"> MIGRATION POLICY DIRECTIONS OF THE EUROPEAN UNION FOR FOREIGN SKILLED WORKERS: SUPRANATIONAL LEVEL — https://doi.org/10.35678/2539-5645.1(44).2024.50-57</w:t>
      </w:r>
    </w:p>
    <w:p>
      <w:pPr/>
      <w:r>
        <w:rPr>
          <w:b/>
        </w:rPr>
        <w:t>Shared claim-specific concepts:</w:t>
      </w:r>
      <w:r>
        <w:t xml:space="preserve"> directions, within, between; EU scope visible. This is a provisional connection, not an outcome finding.</w:t>
      </w:r>
    </w:p>
    <w:p>
      <w:pPr>
        <w:pStyle w:val="SourceNote"/>
      </w:pPr>
      <w:r>
        <w:rPr>
          <w:b/>
        </w:rPr>
        <w:t>Available abstract (not full text):</w:t>
      </w:r>
      <w:r>
        <w:t xml:space="preserve"> The innovative development of the economies of the European Union continuously increases the demand for skilled professionals, which cannot be met solely through internal labor resources (intra-European mobility). In this regard, labor migration, particularly the stimulation of the influx of foreign skilled workers, plays a vital role in addressing the imbalance of supply and demand in the European labor market. This article examines the migration policy instruments of the European Union, applied at the supranational level and aimed at mitigating the imbalance between the growing demand for skilled professionals and the limited supply in the regional labor market. It argues that the overall vector of the EU's migration policy, as an integration union, is oriented towards attracting and accumulating potential (foreign students, interns, doctoral candidates) and actual skilled professionals within its territory, in line with the current and future needs of the European labor market, thereby contributing to the achievement of the strategic goals of the social, economic, and innovative development of the EU.</w:t>
      </w:r>
    </w:p>
    <w:p>
      <w:pPr/>
      <w:r>
        <w:rPr>
          <w:b/>
        </w:rPr>
        <w:t>POSSIBLE 2024:</w:t>
      </w:r>
      <w:r>
        <w:t xml:space="preserve"> Migration Crisis in the European Union: Origins, Consequences... and Directions of Change in Asylum Law — https://doi.org/10.4467/24497800rap.24.013.20231</w:t>
      </w:r>
    </w:p>
    <w:p>
      <w:pPr/>
      <w:r>
        <w:rPr>
          <w:b/>
        </w:rPr>
        <w:t>Shared claim-specific concepts:</w:t>
      </w:r>
      <w:r>
        <w:t xml:space="preserve"> directions, within, pressing; EU scope visible. This is a provisional connection, not an outcome finding.</w:t>
      </w:r>
    </w:p>
    <w:p>
      <w:pPr>
        <w:pStyle w:val="SourceNote"/>
      </w:pPr>
      <w:r>
        <w:rPr>
          <w:b/>
        </w:rPr>
        <w:t>Available abstract (not full text):</w:t>
      </w:r>
      <w:r>
        <w:t xml:space="preserve"> The European Union (EU) has faced a significant migration crisis over the past decade, driven by conflicts, economic disparities, and environmental changes. This paper examines the origins of the migration crisis, its consequences for the EU, and the subsequent changes in asylum law. By analyzing policy responses and their effectiveness, the paper aims to provide insights into the future directions of asylum law in the EU. The migration crisis in the European Union has been one of the most pressing challenges of the 21st century. This crisis, which peaked in 2015, has seen millions of people seeking refuge in Europe due to wars, persecution, and poverty in their home countries. The influx has strained the EU’s asylum systems, exposed weaknesses in its migration policies, and sparked political and social tensions across member states. This paper aims to analyze the origins of this crisis, its multifaceted consequences and the evolving legal framework for asylum within the EU.</w:t>
      </w:r>
    </w:p>
    <w:p>
      <w:pPr/>
      <w:r>
        <w:rPr>
          <w:b/>
        </w:rPr>
        <w:t>POSSIBLE 2024:</w:t>
      </w:r>
      <w:r>
        <w:t xml:space="preserve"> Lessons from Open Science across European Universities: policies, practices, and future directions — https://doi.org/10.2218/eor.2024.9642</w:t>
      </w:r>
    </w:p>
    <w:p>
      <w:pPr/>
      <w:r>
        <w:rPr>
          <w:b/>
        </w:rPr>
        <w:t>Shared claim-specific concepts:</w:t>
      </w:r>
      <w:r>
        <w:t xml:space="preserve"> directions, within, common, solutions; EU scope visible. This is a provisional connection, not an outcome finding.</w:t>
      </w:r>
    </w:p>
    <w:p>
      <w:pPr>
        <w:pStyle w:val="SourceNote"/>
      </w:pPr>
      <w:r>
        <w:rPr>
          <w:b/>
        </w:rPr>
        <w:t>Available abstract (not full text):</w:t>
      </w:r>
      <w:r>
        <w:t xml:space="preserve"> Open Science, which encompasses all scholarly disciplines, is increasingly recognised as a core feature of academic practice: it has the potential to improve the accessibility and integrity of academic outputs, as well as the culture within which academics work to pursue these. However, this recognition is neither equal nor universal across institutions and countries: open science policies, support, practices, and recognition are more advanced in some regions than others, which poses both challenges and opportunities. A challenge is to demonstrate the many benefits to those institutions and regions that are not yet recognising and embracing the potential of open science. An opportunity is to learn from the different structures and approaches that are being taken so that we can identify common challenges, best-practice solutions, and future opportunities. This talk focused on open science policies and practices among members of LERU (the League of European Research Universities) and their host nations. While Europe is at the vanguard of open science, there are many differences in the approaches taken among European universities and countries. Considering these differences will help to identify ways in which we can best realise the potential of open science.</w:t>
      </w:r>
    </w:p>
    <w:p>
      <w:pPr>
        <w:pStyle w:val="Heading2"/>
      </w:pPr>
      <w:r>
        <w:t>557. The European Union as a long-term political actor: an overview</w:t>
      </w:r>
    </w:p>
    <w:p>
      <w:pPr>
        <w:pStyle w:val="SourceNote"/>
      </w:pPr>
      <w:r>
        <w:rPr>
          <w:b/>
        </w:rPr>
        <w:t>Original source (2022):</w:t>
      </w:r>
      <w:r>
        <w:t xml:space="preserve"> https://doi.org/10.1080/2474736x.2022.2043725</w:t>
      </w:r>
    </w:p>
    <w:p>
      <w:pPr/>
      <w:r>
        <w:t>Original wording (abstract; indexed_source_text_not_full_document_verified): We ask in which ways and to what extent is the Union able to employ long-term policy targets and considers the possible interests of future generations.</w:t>
      </w:r>
    </w:p>
    <w:p>
      <w:pPr/>
      <w:r>
        <w:rPr>
          <w:b/>
        </w:rPr>
        <w:t>POSSIBLE 2026:</w:t>
      </w:r>
      <w:r>
        <w:t xml:space="preserve"> Democratic legitimacy and the European Citizens' Initiative: a recipe for disappointment and disaffection? — https://doi.org/10.82444/warw.33734965</w:t>
      </w:r>
    </w:p>
    <w:p>
      <w:pPr/>
      <w:r>
        <w:rPr>
          <w:b/>
        </w:rPr>
        <w:t>Shared claim-specific concepts:</w:t>
      </w:r>
      <w:r>
        <w:t xml:space="preserve"> ask, ways, extent, union, able; EU scope visible. This is a provisional connection, not an outcome finding.</w:t>
      </w:r>
    </w:p>
    <w:p>
      <w:pPr>
        <w:pStyle w:val="SourceNote"/>
      </w:pPr>
      <w:r>
        <w:rPr>
          <w:b/>
        </w:rPr>
        <w:t>Available abstract (not full text):</w:t>
      </w:r>
      <w:r>
        <w:t xml:space="preserve"> The European Union has long been argued to suffer from a deficit of democratic legitimacy. One recent innovation introduced with the intention of addressing this deficit is the European Citizens’ Initiative (ECI), a means by which 1 million EU citizens can ask the European Commission to propose new legislation. In 2015, three years following its introduction, opinions on the performance of the ECI amongst EU politicians, journalists and campaigners are tinged with disappointment and disaffection. This thesis asks to what extent the sceptics are warranted in their frustrations towards the ECI or whether it is able to live up to the high expectations of the EU institutions at the time of its introduction. By drawing analytic criteria directly from the theory of democratic legitimacy and applying them in a systemic manner, I address how the ECI can, in principle, and has thus far, in practice, affected the EU in terms of inclusion in policy making, impacts on policy outcomes, and the pursuit of normatively justifiable and salient issues. Using case studies of the first four ECI campaigns registered by the Commission, I argue that the ECI has the potential to contribute to the inclusion of EU policy making through the activation and formation of multiple, issue-specific demoi in the EU, which can form the basis of democratic legitimacy. I also find the ECI capable of producing tang</w:t>
      </w:r>
    </w:p>
    <w:p>
      <w:pPr/>
      <w:r>
        <w:rPr>
          <w:b/>
        </w:rPr>
        <w:t>POSSIBLE 2026:</w:t>
      </w:r>
      <w:r>
        <w:t xml:space="preserve"> The ‘European sovereignty’ narrative: More EU capacity, but less democracy? Citizens' perceptions in France and Belgium — https://doi.org/10.54195/plc.24877</w:t>
      </w:r>
    </w:p>
    <w:p>
      <w:pPr/>
      <w:r>
        <w:rPr>
          <w:b/>
        </w:rPr>
        <w:t>Shared claim-specific concepts:</w:t>
      </w:r>
      <w:r>
        <w:t xml:space="preserve"> ask, ways, extent; EU scope visible. This is a provisional connection, not an outcome finding.</w:t>
      </w:r>
    </w:p>
    <w:p>
      <w:pPr>
        <w:pStyle w:val="SourceNote"/>
      </w:pPr>
      <w:r>
        <w:rPr>
          <w:b/>
        </w:rPr>
        <w:t>Available abstract (not full text):</w:t>
      </w:r>
      <w:r>
        <w:t xml:space="preserve"> As part of the growing academic interest in the reception of European narratives, our research explores the ‘European sovereignty narrative’ (ESN). We focus on two countries that represent different ways to relate to sovereignty: France, the archetypal ‘strong state’ advocating national sovereignty; and Belgium, a ‘weak state’ accustomed to pooling sovereignty. Based on a survey of a representative sample of the population, we ask: How is the ESN perceived by citizens in France and Belgium? We study, first, to what extent and how the ESN is perceived by citizens in France and Belgium. We focus, next, on its interpretation around two main meanings ascribed to sovereignty: political sovereignty, as the capacity to act, and popular sovereignty, as democratic accountability. Our results show that the knowledge, meanings, and priorities attributed to the ESN are comparable in both countries, albeit with nuances. French respondents are more familiar with the notion of (European) sovereignty than Belgian respondents due to its presence in national political culture and its extensive use by French politicians. However, they may find it less compatible with national sovereignty. Regarding the meaning of the ESN, ‘European sovereignty’ is more associated with the EU’s political capacity to act (political sovereignty) than with debates about democratic accountability and the capacity of c</w:t>
      </w:r>
    </w:p>
    <w:p>
      <w:pPr/>
      <w:r>
        <w:rPr>
          <w:b/>
        </w:rPr>
        <w:t>POSSIBLE 2025:</w:t>
      </w:r>
      <w:r>
        <w:t xml:space="preserve"> To what extent can the European Union contribute to a feminist climate policy? — https://doi.org/10.4324/9781003461005-6</w:t>
      </w:r>
    </w:p>
    <w:p>
      <w:pPr/>
      <w:r>
        <w:rPr>
          <w:b/>
        </w:rPr>
        <w:t>Shared claim-specific concepts:</w:t>
      </w:r>
      <w:r>
        <w:t xml:space="preserve"> extent, union; EU scope visible. This is a provisional connection, not an outcome finding.</w:t>
      </w:r>
    </w:p>
    <w:p>
      <w:pPr>
        <w:pStyle w:val="SourceNote"/>
      </w:pPr>
      <w:r>
        <w:rPr>
          <w:b/>
        </w:rPr>
        <w:t>Available abstract (not full text):</w:t>
      </w:r>
      <w:r>
        <w:t xml:space="preserve"> The EU presents itself as a global climate actor and a global gender actor. Although it has not introduced a Feminist Foreign Policy (FFP) or a Feminist Climate Policy (FCP), there are calls for it to do so, from civil society organisations and from within its own institutions, particularly the European Parliament. Tracing the relation between FFP and FCP, this chapter asks to what extent the EU can contribute to the latter. It does so through a combination of content analysis of key EU policy documents and a feminist institutionalist analysis of EU climate policy. Civil society documents, drawn from organisations that advocate for an FCP in the EU, are used to inform the analysis and to expose the differences between the meanings attributed to the term ‘feminist’ by the various actors. The chapter concludes that the EU has the potential to contribute to an FCP, but this potential has not yet been realised. It argues that an EU FCP has to be more than a climate-focused version of FFP.</w:t>
      </w:r>
    </w:p>
    <w:p>
      <w:pPr/>
      <w:r>
        <w:rPr>
          <w:b/>
        </w:rPr>
        <w:t>POSSIBLE 2025:</w:t>
      </w:r>
      <w:r>
        <w:t xml:space="preserve"> Criminal law and discrimination in Europe: Towards critical race theory approaches? — https://doi.org/10.4337/9781789906318.00036</w:t>
      </w:r>
    </w:p>
    <w:p>
      <w:pPr/>
      <w:r>
        <w:rPr>
          <w:b/>
        </w:rPr>
        <w:t>Shared claim-specific concepts:</w:t>
      </w:r>
      <w:r>
        <w:t xml:space="preserve"> ways, extent, considers, interests; EU scope visible. This is a provisional connection, not an outcome finding.</w:t>
      </w:r>
    </w:p>
    <w:p>
      <w:pPr>
        <w:pStyle w:val="SourceNote"/>
      </w:pPr>
      <w:r>
        <w:rPr>
          <w:b/>
        </w:rPr>
        <w:t>Available abstract (not full text):</w:t>
      </w:r>
      <w:r>
        <w:t xml:space="preserve"> Race and the criminal law are closely intertwined in the European context. The social category of race haunts both the formulation and operationalisation of criminal law, including in aspects of statutory law and in judicial opinions. Race functions as a category of analysis and as an explicit feature of law only in certain areas of the criminal law; in other areas, it is absent—unspoken, unwritten, and, in many cases, its mention is avoided. The lack of clear and explicit treatment of race in the criminal law often leaves deep analysis of racialisation and disparate impact in the shadows of the interest in maintaining concepts of law and democracy that insist on the general presumption of law's colour-blindness.The entanglement of the social and legal category of race, the production and execution of criminal law, and the interests and the justificatory logics of state institutions constitute a complex and changing terrain of socio-legal analysis. The majority of this chapter sets out frames for organising an approach to this terrain, underscoring the importance of paying close attention to the specificity of the race concept in European contexts, how social racism impacts the criminal law, the ways criminal law and (civil) racial equality laws interact, and novel ways in which civilians are made to enforce criminal laws. This chapter does not provide a comprehensive survey of</w:t>
      </w:r>
    </w:p>
    <w:p>
      <w:pPr/>
      <w:r>
        <w:rPr>
          <w:b/>
        </w:rPr>
        <w:t>POSSIBLE 2025:</w:t>
      </w:r>
      <w:r>
        <w:t xml:space="preserve"> Signalling Questions in the Recovery and Resilience Dialogues: What MEPs Ask When They Are Not Asking for Accountability — https://doi.org/10.1111/jcms.70063</w:t>
      </w:r>
    </w:p>
    <w:p>
      <w:pPr/>
      <w:r>
        <w:rPr>
          <w:b/>
        </w:rPr>
        <w:t>Shared claim-specific concepts:</w:t>
      </w:r>
      <w:r>
        <w:t xml:space="preserve"> ask, extent, union; EU scope visible. This is a provisional connection, not an outcome finding.</w:t>
      </w:r>
    </w:p>
    <w:p>
      <w:pPr>
        <w:pStyle w:val="SourceNote"/>
      </w:pPr>
      <w:r>
        <w:rPr>
          <w:b/>
        </w:rPr>
        <w:t>Available abstract (not full text):</w:t>
      </w:r>
      <w:r>
        <w:t xml:space="preserve"> Abstract Parliamentary questions are often seen as instruments of executive accountability. Yet in the European Parliament's (EP's) Recovery and Resilience Dialogues, many questions appear to pursue alternative purposes. This article addresses this gap by asking: to what extent do Members of the European Parliament (MEPs) utilise parliamentary dialogues for purposes beyond accountability, and how do these alternative purposes manifest in their questions? To answer this, it introduces the concept of signalling questions – forward‐looking and expressive interventions that aim to influence policy debates, demonstrate responsiveness to different publics or assert the EP's institutional role. Based on a qualitative content analysis of 447 questions raised between 2021 and 2024, the article identifies three principal signalling purposes: policy‐seeking, vote‐seeking and power‐seeking. Policy‐seeking questions were the most prominent, particularly amongst centre‐left and pro‐integrationist MEPs. Vote‐seeking questions reflected both supranational and national concerns, especially in contexts of contested implementation. Power‐seeking questions were comparatively rare, suggesting a more cautious performance of the EP's institutional role. These questions complement, rather than replace, accountability‐seeking. The findings contribute to research on parliamentary behaviour, representati</w:t>
      </w:r>
    </w:p>
    <w:p>
      <w:pPr/>
      <w:r>
        <w:rPr>
          <w:b/>
        </w:rPr>
        <w:t>POSSIBLE 2024:</w:t>
      </w:r>
      <w:r>
        <w:t xml:space="preserve"> Flexibility Stigma Across Europe: How National Contexts can Shift the Extent to which Flexible Workers are Stigmatised — https://doi.org/10.1007/s11205-024-03420-w</w:t>
      </w:r>
    </w:p>
    <w:p>
      <w:pPr/>
      <w:r>
        <w:rPr>
          <w:b/>
        </w:rPr>
        <w:t>Shared claim-specific concepts:</w:t>
      </w:r>
      <w:r>
        <w:t xml:space="preserve"> extent, union; EU scope visible. This is a provisional connection, not an outcome finding.</w:t>
      </w:r>
    </w:p>
    <w:p>
      <w:pPr>
        <w:pStyle w:val="SourceNote"/>
      </w:pPr>
      <w:r>
        <w:rPr>
          <w:b/>
        </w:rPr>
        <w:t>Available abstract (not full text):</w:t>
      </w:r>
      <w:r>
        <w:t xml:space="preserve"> Abstract Although flexible working has expanded rapidly, especially during the pandemic, biased views against flexible workers – namely, flexibility stigma - are still prevalent and returning. Flexibility stigma hinders worker’s take up of flexible working arrangements and can make flexible working arrangements result in negative outcomes for worker’s well-being and productivity. This study examines how national cultural and policy contexts shape flexibility stigma levels within a country. We use a multilevel approach using the Eurobarometer dataset of 2018, covering 28 European countries, matched with national level aggregate data on policy and culture. Results show that in countries with a more work-life balance work culture and egalitarian gender norms, we see less prevalence of flexibility stigma. Similarly, in countries with generous family-friendly policies, workers are less likely to have negative perception towards flexible working. Finally, stronger bargaining positions of workers, may it be through stronger union power or through better labour market conditions, helps remove stigmatised views around workers who use flexible working arrangements. This study evidences the importance of contexts that shape views around flexible working, to help us better understand policy changes needed to ensure better flexible working practices.</w:t>
      </w:r>
    </w:p>
    <w:p>
      <w:pPr/>
      <w:r>
        <w:rPr>
          <w:b/>
        </w:rPr>
        <w:t>POSSIBLE 2024:</w:t>
      </w:r>
      <w:r>
        <w:t xml:space="preserve"> "It was important not to Ask" — https://doi.org/10.18172/jes.6363</w:t>
      </w:r>
    </w:p>
    <w:p>
      <w:pPr/>
      <w:r>
        <w:rPr>
          <w:b/>
        </w:rPr>
        <w:t>Shared claim-specific concepts:</w:t>
      </w:r>
      <w:r>
        <w:t xml:space="preserve"> ask, ways, considers; EU scope not established. This is a provisional connection, not an outcome finding.</w:t>
      </w:r>
    </w:p>
    <w:p>
      <w:pPr>
        <w:pStyle w:val="SourceNote"/>
      </w:pPr>
      <w:r>
        <w:rPr>
          <w:b/>
        </w:rPr>
        <w:t>Available abstract (not full text):</w:t>
      </w:r>
      <w:r>
        <w:t xml:space="preserve"> Drawing on various theories and approaches, from its application to fiction to its socio-cultural dimensions and presence within communication, this study considers Colm Tóibín’s use of silence as a key narrative element and aesthetic practice in Long Island (2024), inviting some comparisons with its prequel, Brooklyn (2009). As shall be explained, silence operates on different levels in Long Island. Thanks to Tóibín’s tightly controlled release of information, silence becomes crucial to plot development and suspense, and vividly recreates the tensions between concealment and revelation. Silence, too, works for the sake of characterisation, and serves to dramatise the protagonists’ crises and indecisions, as well as their strategies of manipulation. On some other occasions, though, silence contributes to mutual understanding, increasing closeness and intimacy between characters. All in all, this study details the ways silence informs narrative style, endows characters with psychological complexity, and enriches the subject matter of Tóibín’s Long Island.</w:t>
      </w:r>
    </w:p>
    <w:p>
      <w:pPr/>
      <w:r>
        <w:rPr>
          <w:b/>
        </w:rPr>
        <w:t>POSSIBLE 2023:</w:t>
      </w:r>
      <w:r>
        <w:t xml:space="preserve"> Environmental Accounting in the European Accounting Review : A Reflection — https://doi.org/10.1080/09638180.2023.2254351</w:t>
      </w:r>
    </w:p>
    <w:p>
      <w:pPr/>
      <w:r>
        <w:rPr>
          <w:b/>
        </w:rPr>
        <w:t>Shared claim-specific concepts:</w:t>
      </w:r>
      <w:r>
        <w:t xml:space="preserve"> ways, extent, targets; EU scope visible. This is a provisional connection, not an outcome finding.</w:t>
      </w:r>
    </w:p>
    <w:p>
      <w:pPr>
        <w:pStyle w:val="SourceNote"/>
      </w:pPr>
      <w:r>
        <w:rPr>
          <w:b/>
        </w:rPr>
        <w:t>Available abstract (not full text):</w:t>
      </w:r>
      <w:r>
        <w:t xml:space="preserve"> We reflect upon how European Accounting Review has conceived of environmental accounting (and to some extent social/sustainability accounting work) over its 30-year history, with the aim of discussing ways in which environmental accounting research can further develop, both within and beyond this journal.After outlining the broader social and ecological context from which environmental accounting has emerged (and noting that this context is evolving in substantive ways), we provide an overview of the types of research published in EAR.We combine these elements to identify three themes that we argue are critical for the direction of future research: the financial materiality of ecological issues and the impact this has on risk; how environmental accounting practices are constructed; and how a new relationship between nature and society may affect accounting practices.We finally conclude by envisioning a future of environmental accounting research that dovetails with the sustainability ambitions that can be draw from an examination of the detailed targets that underpin the Sustainable Development Goals.</w:t>
      </w:r>
    </w:p>
    <w:p>
      <w:pPr>
        <w:pStyle w:val="Heading2"/>
      </w:pPr>
      <w:r>
        <w:t>558. The Futures of Europe: Society 5.0 and Industry 5.0 as Driving Forces of Future Universities</w:t>
      </w:r>
    </w:p>
    <w:p>
      <w:pPr>
        <w:pStyle w:val="SourceNote"/>
      </w:pPr>
      <w:r>
        <w:rPr>
          <w:b/>
        </w:rPr>
        <w:t>Original source (2022):</w:t>
      </w:r>
      <w:r>
        <w:t xml:space="preserve"> https://doi.org/10.1007/s13132-021-00854-2</w:t>
      </w:r>
    </w:p>
    <w:p>
      <w:pPr/>
      <w:r>
        <w:t>Original wording (abstract; indexed_source_text_not_full_document_verified): Incorporating the assumptions of Society 5.0 and Industry 5.0 into the universities practices and policies will allow both universities and societies to fully benefit from digital transformation. The use of the Quintuple Helix Model (QHM) might foster the process of necessary transformations capacities as it integrates different perspectives and sets the stage for sustainability priorities and considerations.</w:t>
      </w:r>
    </w:p>
    <w:p>
      <w:pPr/>
      <w:r>
        <w:rPr>
          <w:b/>
        </w:rPr>
        <w:t>POSSIBLE 2026:</w:t>
      </w:r>
      <w:r>
        <w:t xml:space="preserve"> Representations of the Concept of Civil Society in Brazil — https://openalex.org/W7221581217</w:t>
      </w:r>
    </w:p>
    <w:p>
      <w:pPr/>
      <w:r>
        <w:rPr>
          <w:b/>
        </w:rPr>
        <w:t>Shared claim-specific concepts:</w:t>
      </w:r>
      <w:r>
        <w:t xml:space="preserve"> assumptions, society, both; EU scope visible. This is a provisional connection, not an outcome finding.</w:t>
      </w:r>
    </w:p>
    <w:p>
      <w:pPr>
        <w:pStyle w:val="SourceNote"/>
      </w:pPr>
      <w:r>
        <w:rPr>
          <w:b/>
        </w:rPr>
        <w:t>Available abstract (not full text):</w:t>
      </w:r>
      <w:r>
        <w:t xml:space="preserve"> This research project examines how the concept of civil society may be shaped by Eurocentric assumptions and the implications this has for civil society outside Europe. It has two main aims: i) to present Brazilian civil society through the perspectives of civil society actors themselves and ii) to investigate less Eurocentric approaches to studying civil society. The development of the concept of civil society in Europe is outlined in the theoretical part, which then presents various academic dialogues relating to Eurocentrism as well as key debates over civil society in Brazil. The chosen methodology was an analysis of 40 open-access blogs written by actors in Brazilian civil society. Key themes were first identified through thematic analysis and subsequently developed through frame analysis into seven interpretive frames arising from the data. These seven frames and their analysis, with reference to the theory, form the results section of this project. The project further incorporates a reflexive methodological component, which examines how civil society can be studied while minimising Eurocentrism, drawing on insights from both the literature and the data analysed. Key words: Brazil; civil society; Eurocentrism; frame analysis; reflexivity,</w:t>
      </w:r>
    </w:p>
    <w:p>
      <w:pPr/>
      <w:r>
        <w:rPr>
          <w:b/>
        </w:rPr>
        <w:t>POSSIBLE 2026:</w:t>
      </w:r>
      <w:r>
        <w:t xml:space="preserve"> Updated PM2.5 Mortality Estimates for Europe in Coming Decades via the CATALYSE Project — https://doi.org/10.5194/egusphere-egu26-18901</w:t>
      </w:r>
    </w:p>
    <w:p>
      <w:pPr/>
      <w:r>
        <w:rPr>
          <w:b/>
        </w:rPr>
        <w:t>Shared claim-specific concepts:</w:t>
      </w:r>
      <w:r>
        <w:t xml:space="preserve"> assumptions, practices, policies, societies, use; EU scope visible. This is a provisional connection, not an outcome finding.</w:t>
      </w:r>
    </w:p>
    <w:p>
      <w:pPr>
        <w:pStyle w:val="SourceNote"/>
      </w:pPr>
      <w:r>
        <w:rPr>
          <w:b/>
        </w:rPr>
        <w:t>Available abstract (not full text):</w:t>
      </w:r>
      <w:r>
        <w:t xml:space="preserve"> The EU’s CATALYSE project (Climate Action to Advance Healthy Societies in Europe) aims to close the knowledge-to-action gap concerning environmental hazards linked to climate change and their effects on human health in Europe. In doing so, CATALYSE will fortify the science-to-policy interface by providing actionable policy scenarios for Europe for the coming decades. Four such policy scenarios for Europe (spanning 2020 to 2050) have been developed under CATALYSE, each with differing assumptions concerning energy use, agricultural practices, and air quality controls and policies: [1] a business-as-usual Reference Scenario, [2] a Green Deal Scenario, which incorporates the climate targets of the EU's Green Deal, [3] a Beyond Green Deal Scenario, which adds behavioural change policies associated with buildings, transport, and food sectors, and [4] a Beyond Green Deal - 90% Optimization Scenario, which adds enhanced end-of-pipe air pollution control measures. Each of the four scenarios results in differing PM2.5 -precursor emissions between 2020 and 2050. We have implemented the emissions output from the four CATALYSE scenarios as input in the EMAC atmospheric model (Jöckel et al. 2006), simulating the years 2020, 2030, 2040, and 2050, in order to evaluate each scenario’s impact on PM2.5 concentrations in Europe specifically. We estimate the European mortality burden from these PM2</w:t>
      </w:r>
    </w:p>
    <w:p>
      <w:pPr/>
      <w:r>
        <w:rPr>
          <w:b/>
        </w:rPr>
        <w:t>POSSIBLE 2026:</w:t>
      </w:r>
      <w:r>
        <w:t xml:space="preserve"> Inclusion and Gender Empowerment in European Civil Society Organisations — https://openalex.org/W7137625942</w:t>
      </w:r>
    </w:p>
    <w:p>
      <w:pPr/>
      <w:r>
        <w:rPr>
          <w:b/>
        </w:rPr>
        <w:t>Shared claim-specific concepts:</w:t>
      </w:r>
      <w:r>
        <w:t xml:space="preserve"> society, practices, both, foster, process; EU scope visible. This is a provisional connection, not an outcome finding.</w:t>
      </w:r>
    </w:p>
    <w:p>
      <w:pPr>
        <w:pStyle w:val="SourceNote"/>
      </w:pPr>
      <w:r>
        <w:rPr>
          <w:b/>
        </w:rPr>
        <w:t>Available abstract (not full text):</w:t>
      </w:r>
      <w:r>
        <w:t xml:space="preserve"> This book aims to rethink the intersection between inclusion and gender in civil society, media, academic, and policy discourses across Europe. With a critical and participatory approach, this book advances the concept of ‘situated intersectionality’ to rethink empowerment as a dynamic process shaped by local contexts. Drawing on rich data from the Horizon Europe project ReIncluGen, this book examines discourses on gender empowerment and inclusion in Austria, Belgium, Italy, Poland, and Spain. From both academic and civil society perspectives, the volume explores how these discourses are addressed, as well as how they contribute to, or reduce, inequalities. These insights further our understanding, reflecting on innovative practices used by civil society and policymakers to foster social change. This book assembles chapters that will be of interest to scholars and students of gender studies, sociology, migration, and media studies, as well as practitioners, policymakers, and CSOs working on issues of migration, diversity, equality, and inclusion. It offers valuable insights for anyone seeking to understand and support inclusive practices that foster a more equitable European future.</w:t>
      </w:r>
    </w:p>
    <w:p>
      <w:pPr/>
      <w:r>
        <w:rPr>
          <w:b/>
        </w:rPr>
        <w:t>POSSIBLE 2026:</w:t>
      </w:r>
      <w:r>
        <w:t xml:space="preserve"> Organisational Identity and Practice: A Study of Mission Statements of Universities in Ghana — https://doi.org/10.26437/8mj57m89</w:t>
      </w:r>
    </w:p>
    <w:p>
      <w:pPr/>
      <w:r>
        <w:rPr>
          <w:b/>
        </w:rPr>
        <w:t>Shared claim-specific concepts:</w:t>
      </w:r>
      <w:r>
        <w:t xml:space="preserve"> industry, universities, both; EU scope not established. This is a provisional connection, not an outcome finding.</w:t>
      </w:r>
    </w:p>
    <w:p>
      <w:pPr>
        <w:pStyle w:val="SourceNote"/>
      </w:pPr>
      <w:r>
        <w:rPr>
          <w:b/>
        </w:rPr>
        <w:t>Available abstract (not full text):</w:t>
      </w:r>
      <w:r>
        <w:t xml:space="preserve"> Purpose: This study examines how universities in Ghana construct and communicate their organisational identity through mission statements. Design/Methodology/Approach: A qualitative documentary research design was adopted. A purposive and stratified approach was used to select a sample of 63 mission statements from accredited Ghanaian universities. Nineteen stakeholder groups, including students, researchers, and industry partners, were used. The analysis examined linguistic patterns, thematic categories, and references. Research Limitation: The focus on Ghanaian universities may limit the generalisability of its findings. Future research should explore how mission-statement rhetoric affects institutional performance and compare results across educational systems. Finding: The findings indicate that mission statements serve dual purposes: internally, they motivate and unify members of the university community; externally, they articulate institutional values and strategic objectives. Both public and private universities emphasise distinct identity markers, such as career readiness, research orientation, community engagement, and professional development. Practical Implication: This study guides university leaders and policymakers in crafting mission statements that enhance institutional branding and stakeholder alignment. Social Implication: Mission statements in Ghanaian unive</w:t>
      </w:r>
    </w:p>
    <w:p>
      <w:pPr/>
      <w:r>
        <w:rPr>
          <w:b/>
        </w:rPr>
        <w:t>POSSIBLE 2026:</w:t>
      </w:r>
      <w:r>
        <w:t xml:space="preserve"> Craftwork in Small-Scale Societies of the Central European Bronze Age — https://doi.org/10.1017/9781009611251</w:t>
      </w:r>
    </w:p>
    <w:p>
      <w:pPr/>
      <w:r>
        <w:rPr>
          <w:b/>
        </w:rPr>
        <w:t>Shared claim-specific concepts:</w:t>
      </w:r>
      <w:r>
        <w:t xml:space="preserve"> practices, both, societies; EU scope visible. This is a provisional connection, not an outcome finding.</w:t>
      </w:r>
    </w:p>
    <w:p>
      <w:pPr>
        <w:pStyle w:val="SourceNote"/>
      </w:pPr>
      <w:r>
        <w:rPr>
          <w:b/>
        </w:rPr>
        <w:t>Available abstract (not full text):</w:t>
      </w:r>
      <w:r>
        <w:t xml:space="preserve"> The Element examines various facets of craftwork in small-scale societies that thrived in much of Central Europe during the Bronze Age (2300–800 BCE). These societies exhibited distinct structures and types of social bonds that formed the social and spatial backdrop for craft practices. Since most Bronze Age villages were inhabited by small groups, all forms of crafting were at least partially communal, fostering the exchange of experiences, skills, and knowledge both within and across different production areas. The public nature of crafting practices also encouraged discussions about applied tools, methods, skills, and the quality of the final products. The author explores overarching questions about communication and knowledge transfer within and beyond small groups, drawing on archaeological and ethnographic data. This includes considerations of standardization, personalization, imitation, seasonality, and cross-crafting. This title is also available as Open Access on Cambridge Core.</w:t>
      </w:r>
    </w:p>
    <w:p>
      <w:pPr/>
      <w:r>
        <w:rPr>
          <w:b/>
        </w:rPr>
        <w:t>POSSIBLE 2026:</w:t>
      </w:r>
      <w:r>
        <w:t xml:space="preserve"> European Society of Cardiology (ESC) Core Curriculum for the Cardiologist: 2026 update — https://doi.org/10.1093/eurheartj/ehag521</w:t>
      </w:r>
    </w:p>
    <w:p>
      <w:pPr/>
      <w:r>
        <w:rPr>
          <w:b/>
        </w:rPr>
        <w:t>Shared claim-specific concepts:</w:t>
      </w:r>
      <w:r>
        <w:t xml:space="preserve"> society, digital, process; EU scope visible. This is a provisional connection, not an outcome finding.</w:t>
      </w:r>
    </w:p>
    <w:p>
      <w:pPr>
        <w:pStyle w:val="SourceNote"/>
      </w:pPr>
      <w:r>
        <w:rPr>
          <w:b/>
        </w:rPr>
        <w:t>Available abstract (not full text):</w:t>
      </w:r>
      <w:r>
        <w:t xml:space="preserve"> This 2026 update of the European Society of Cardiology (ESC) Core Curriculum for the Cardiologist reflects contemporary and emerging requirements for the practice of cardiology and the resulting training needs. The document has three main parts:Section 1 outlining the main training requirements and their presentation in entrustable professional activities (EPAs).Section 2 explaining the requirements for training centres.Section 3 outlining the general skills, knowledge, and attitudes required in cardiology (chapter 1) - and eight chapters outlining EPAs in the different areas of cardiology (chapter 2 to 9). This update has been written over 9 months in a iterative process, involving over 90 representatives as per the initial curriculum, similar to that used for the previous iteration of the core curriculum in 2020. Though much of the 2020 core curriculum remains relevant and unchanged, there was a clear need to amend this previous curriculum to reflect the expanding roles of some areas of cardiology such as data science, digital health, and artificial intelligence. These items have now been specifically included along with general updates to various clinical EPAs due to changes in practice or evidence base.</w:t>
      </w:r>
    </w:p>
    <w:p>
      <w:pPr/>
      <w:r>
        <w:rPr>
          <w:b/>
        </w:rPr>
        <w:t>POSSIBLE 2026:</w:t>
      </w:r>
      <w:r>
        <w:t xml:space="preserve"> The role of climate and migration concerns in shaping personal economic insecurity in European societies — https://doi.org/10.1016/j.erss.2026.104533</w:t>
      </w:r>
    </w:p>
    <w:p>
      <w:pPr/>
      <w:r>
        <w:rPr>
          <w:b/>
        </w:rPr>
        <w:t>Shared claim-specific concepts:</w:t>
      </w:r>
      <w:r>
        <w:t xml:space="preserve"> both, societies; EU scope visible. This is a provisional connection, not an outcome finding.</w:t>
      </w:r>
    </w:p>
    <w:p>
      <w:pPr>
        <w:pStyle w:val="SourceNote"/>
      </w:pPr>
      <w:r>
        <w:rPr>
          <w:b/>
        </w:rPr>
        <w:t>Available abstract (not full text):</w:t>
      </w:r>
      <w:r>
        <w:t xml:space="preserve"> This study investigates how perceptions of societal threats, specifically climate change and migration, influence subjective economic insecurity across eleven European countries (Austria, Belgium, Czechia, Finland, France, Hungary, Iceland, Poland, Portugal, Slovenia, and the United Kingdom). The selection of countries was based on data availability within the European Social Survey (ESS) ERIC CRONOS-3 Wave 2 survey design. Nonetheless, the sample reflects significant institutional diversity across welfare regimes, labour market structures, and political discourse environments: Nordic social-democratic regimes; continental corporatist systems; post-socialist transitions; and liberal-leaning contexts. We formulate a composite measure of economic insecurity that encompasses concerns about maintaining living standards, managing financial shocks, and future economic prospects. Perceived climate and migration threats are operationalised as separate multi-item indices. Results reveal that both threat domains independently increase economic insecurity, controlling for income, age, education, and gender. Interaction models demonstrate systematic variation across socioeconomic strata, with lower-income and less-educated groups exhibiting heightened sensitivity to threat perceptions. Cross-national analysis shows substantial variation, suggesting that institutional contexts—particularly </w:t>
      </w:r>
    </w:p>
    <w:p>
      <w:pPr/>
      <w:r>
        <w:rPr>
          <w:b/>
        </w:rPr>
        <w:t>POSSIBLE 2026:</w:t>
      </w:r>
      <w:r>
        <w:t xml:space="preserve"> Mapping Blastocystis epidemiology and diagnostics across Europe: A One Health survey of professional practice, perceptions and unmet needs — https://doi.org/10.1016/j.onehlt.2026.101603</w:t>
      </w:r>
    </w:p>
    <w:p>
      <w:pPr/>
      <w:r>
        <w:rPr>
          <w:b/>
        </w:rPr>
        <w:t>Shared claim-specific concepts:</w:t>
      </w:r>
      <w:r>
        <w:t xml:space="preserve"> universities, practices, fully; EU scope visible. This is a provisional connection, not an outcome finding.</w:t>
      </w:r>
    </w:p>
    <w:p>
      <w:pPr>
        <w:pStyle w:val="SourceNote"/>
      </w:pPr>
      <w:r>
        <w:rPr>
          <w:b/>
        </w:rPr>
        <w:t>Available abstract (not full text):</w:t>
      </w:r>
      <w:r>
        <w:t xml:space="preserve"> Blastocystis is one of the most prevalent intestinal protists in humans and animals, yet its clinical significance remains unresolved, and its diagnosis is poorly standardised. We aimed to map professional practice, perceptions, and unmet needs in Blastocystis epidemiology and diagnostics across Europe. Within the European Cooperation in Science and Technology (COST) Action CA21105, Working Group 1 conducted a multinational cross-sectional survey using a dedicated structured online questionnaire distributed through national representatives and European professional networks across COST member countries, and responses on institutional profiles, diagnostic and subtyping workflows, perceived clinical relevance, and treatment were analysed using Pearson chi-square tests. A total of 439 fully completed, valid questionnaires from 38 countries were evaluated. Human-derived stool samples predominated (75.3%). Microscopy remained the principal screening method (61.6%), whereas only 16.9% used molecular methods alone, and 75.0% performed no subtyping. Subtyping was associated with institution type and research purpose ( p &lt; 0.001): universities and epidemiological laboratories drove barcoding/Sanger sequencing, whereas health institutions most often did not subtype. Reporting to clinicians was inconsistent (20.5% never reported). Most clinicians (96.2%) linked Blastocystis to gastrointes</w:t>
      </w:r>
    </w:p>
    <w:p>
      <w:pPr/>
      <w:r>
        <w:rPr>
          <w:b/>
        </w:rPr>
        <w:t>POSSIBLE 2025:</w:t>
      </w:r>
      <w:r>
        <w:t xml:space="preserve"> Management of epithelial precancerous conditions and early neoplasia of the stomach (MAPS III): European Society of Gastrointestinal Endoscopy (ESGE), European Helicobacter and Microbiota Study Group (EHMSG) and European Society of Pathology (ESP) Guideline update 2025 — https://doi.org/10.1055/a-2529-5025</w:t>
      </w:r>
    </w:p>
    <w:p>
      <w:pPr/>
      <w:r>
        <w:rPr>
          <w:b/>
        </w:rPr>
        <w:t>Shared claim-specific concepts:</w:t>
      </w:r>
      <w:r>
        <w:t xml:space="preserve"> society, both, use, necessary; EU scope visible. This is a provisional connection, not an outcome finding.</w:t>
      </w:r>
    </w:p>
    <w:p>
      <w:pPr>
        <w:pStyle w:val="SourceNote"/>
      </w:pPr>
      <w:r>
        <w:rPr>
          <w:b/>
        </w:rPr>
        <w:t>Available abstract (not full text):</w:t>
      </w:r>
      <w:r>
        <w:t xml:space="preserve"> Main Recommendations At a population level, the European Society of Gastrointestinal Endoscopy (ESGE), the European Helicobacter and Microbiota Study Group (EHMSG), and the European Society of Pathology (ESP) suggest endoscopic screening for gastric cancer (and precancerous conditions) in high-risk regions (age-standardized rate [ASR] &gt; 20 per 100 000 person-years) every 2 to 3 years or, if cost–effectiveness has been proven, in intermediate risk regions (ASR 10–20 per 100 000 person-years) every 5 years, but not in low-risk regions (ASR &lt; 10). ESGE/EHMSG/ESP recommend that irrespective of country of origin, individual gastric risk assessment and stratification of precancerous conditions is recommended for first-time gastroscopy. ESGE/EHMSG/ESP suggest that gastric cancer screening or surveillance in asymptomatic individuals over 80 should be discontinued or not started, and that patients’ comorbidities should be considered when treatment of superficial lesions is planned. ESGE/EHMSG/ESP recommend that a high quality endoscopy including the use of virtual chromoendoscopy (VCE), after proper training, is performed for screening, diagnosis, and staging of precancerous conditions (atrophy and intestinal metaplasia) and lesions (dysplasia or cancer), as well as after endoscopic therapy. VCE should be used to guide the sampling site for biopsies in the case of suspected neoplastic l</w:t>
      </w:r>
    </w:p>
    <w:p>
      <w:pPr/>
      <w:r>
        <w:rPr>
          <w:b/>
        </w:rPr>
        <w:t>POSSIBLE 2025:</w:t>
      </w:r>
      <w:r>
        <w:t xml:space="preserve"> Agroecology Living Labs to transform food systems: a critical review at the science-policy-society nexus in Europe — https://doi.org/10.1080/21683565.2025.2560915</w:t>
      </w:r>
    </w:p>
    <w:p>
      <w:pPr/>
      <w:r>
        <w:rPr>
          <w:b/>
        </w:rPr>
        <w:t>Shared claim-specific concepts:</w:t>
      </w:r>
      <w:r>
        <w:t xml:space="preserve"> both, transformation, foster, process; EU scope visible. This is a provisional connection, not an outcome finding.</w:t>
      </w:r>
    </w:p>
    <w:p>
      <w:pPr>
        <w:pStyle w:val="SourceNote"/>
      </w:pPr>
      <w:r>
        <w:rPr>
          <w:b/>
        </w:rPr>
        <w:t>Available abstract (not full text):</w:t>
      </w:r>
      <w:r>
        <w:t xml:space="preserve"> Agroecology Living Labs (ALL) are a promising approach to support food system transformation toward sustainability. Amid rapid uptake in Europe, we critically review the foundational literature supporting ALL: sustainable transition and innovation theories and the literature on agricultural knowledge and innovation systems to highlight transformative potential. To conduct this review, a diverse team of both social and natural scientists engaged in a co-creation process. We found that transformative ALL: 1) align methods with agroecology principles, 2) utilize place-based transformation approaches, and 3) foster a paradigm shift to participatory knowledge production. We identify seeds of transformation or cross-cutting characteristics across dominant theories and research approaches to fill political space and support transformative ALL. The first seed emphasizes moving beyond technical innovation toward socio-ecological system governance. The second seed promotes developing ALL at the territory/landscape scale as a mediator for open innovation across the science-policy-society nexus. The third seed highlights the transformative potential of inclusive and participatory knowledge production within structures that scale via networks. ALL, if methodically facilitated and supported across decision-making scales, have the potential to usher in a new transformative participatory parad</w:t>
      </w:r>
    </w:p>
    <w:p>
      <w:pPr/>
      <w:r>
        <w:rPr>
          <w:b/>
        </w:rPr>
        <w:t>POSSIBLE 2025:</w:t>
      </w:r>
      <w:r>
        <w:t xml:space="preserve"> European Vision of a Gigabit Society: Evidence from Poland — https://doi.org/10.3390/su17031271</w:t>
      </w:r>
    </w:p>
    <w:p>
      <w:pPr/>
      <w:r>
        <w:rPr>
          <w:b/>
        </w:rPr>
        <w:t>Shared claim-specific concepts:</w:t>
      </w:r>
      <w:r>
        <w:t xml:space="preserve"> society, industry, digital, transformation, use; EU scope visible. This is a provisional connection, not an outcome finding.</w:t>
      </w:r>
    </w:p>
    <w:p>
      <w:pPr>
        <w:pStyle w:val="SourceNote"/>
      </w:pPr>
      <w:r>
        <w:rPr>
          <w:b/>
        </w:rPr>
        <w:t>Available abstract (not full text):</w:t>
      </w:r>
      <w:r>
        <w:t xml:space="preserve"> Digital transformation is a key driver of economic and social growth, with the development of broadband infrastructure and fifth-generation (5G) technologies forming the foundation of the Gigabit Society under the framework of the “Digital Decade of Europe”. Digitization also plays a key role in achieving the Sustainable Development Goals (SDGs), especially SDG 9 (Industry, Innovation and Infrastructure) by contributing to the development of smart cities and improving resource management and citizens’ quality of life. This article critically analyzes Poland’s progress in achieving European digital objectives drawing on European Commission data, especially the Digital Economy and Society Index (DESI). Poland has expanded fiber optic technology (FTTP) and digital public services. However, barriers include limited 5G implementation, low digital skills, and minimal use of advanced technologies in business. The results indicate the need for further regulatory reforms, increased investment, and systemic support for digital education. This article contributes by linking digital policy and technology to sustainable economic and social development in national and European contexts.</w:t>
      </w:r>
    </w:p>
    <w:p>
      <w:pPr/>
      <w:r>
        <w:rPr>
          <w:b/>
        </w:rPr>
        <w:t>POSSIBLE 2025:</w:t>
      </w:r>
      <w:r>
        <w:t xml:space="preserve"> On Heuristic Models, Assumptions, and Parameters — https://doi.org/10.1145/3735562</w:t>
      </w:r>
    </w:p>
    <w:p>
      <w:pPr/>
      <w:r>
        <w:rPr>
          <w:b/>
        </w:rPr>
        <w:t>Shared claim-specific concepts:</w:t>
      </w:r>
      <w:r>
        <w:t xml:space="preserve"> assumptions, society, process; EU scope not established. This is a provisional connection, not an outcome finding.</w:t>
      </w:r>
    </w:p>
    <w:p>
      <w:pPr>
        <w:pStyle w:val="SourceNote"/>
      </w:pPr>
      <w:r>
        <w:rPr>
          <w:b/>
        </w:rPr>
        <w:t>Available abstract (not full text):</w:t>
      </w:r>
      <w:r>
        <w:t xml:space="preserve"> Insightful interdisciplinary collaboration is essential to the principled governance of technology. When such efforts address the interaction between computation and society, they often focus on modeling, the process by which computer scientists formally define problems in order to enable algorithmic solutions. But modeling is a multifaceted and inherently imperfect process. Especially in interdisciplinary work, it often receives uneven scrutiny because of the practical challenges of communicating complex technical details to non-experts. We argue that there is an underappreciated if loose family of obscure and opaque technical caveats, choices, and qualifiers that the social effects of computing can depend just as much on as far more heavily scrutinized modeling choices. These artifacts are often used by researchers to article over the incomplete theoretical foundations of computing or to burden shift responsibility for the impact of normative design decisions. Furthermore, their nuanced technical nature often complicates thorough sociotechnical scrutiny of the discretionary decisions made to manage them. We describe three specific classes of such objects: heuristic models, assumptions, and parameters. We raise six reasons these objects may be hazardous to comprehensive analysis of computing and argue they deserve deliberate consideration as researchers explain scientific work</w:t>
      </w:r>
    </w:p>
    <w:p>
      <w:pPr>
        <w:pStyle w:val="Heading2"/>
      </w:pPr>
      <w:r>
        <w:t>559. The July 2019 European Heat Wave in a Warmer Climate: Storyline Scenarios with a Coupled Model Using Spectral Nudging</w:t>
      </w:r>
    </w:p>
    <w:p>
      <w:pPr>
        <w:pStyle w:val="SourceNote"/>
      </w:pPr>
      <w:r>
        <w:rPr>
          <w:b/>
        </w:rPr>
        <w:t>Original source (2022):</w:t>
      </w:r>
      <w:r>
        <w:t xml:space="preserve"> https://doi.org/10.1175/jcli-d-21-0573.1</w:t>
      </w:r>
    </w:p>
    <w:p>
      <w:pPr/>
      <w:r>
        <w:t>Original wording (abstract; indexed_source_text_not_full_document_verified): By varying the background climate, including CO 2 concentrations, it is demonstrated how the July 2019 European heat wave could have evolved in preindustrial times and in warmer climates.</w:t>
      </w:r>
    </w:p>
    <w:p>
      <w:pPr/>
      <w:r>
        <w:rPr>
          <w:b/>
        </w:rPr>
        <w:t>POSSIBLE 2026:</w:t>
      </w:r>
      <w:r>
        <w:t xml:space="preserve"> Research on climate effects of large herbivores in Europe: a systematic map — https://doi.org/10.1186/s13750-026-00392-x</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Abstract Background Land management practices have significant impacts on biodiversity and climate change processes. Conservation and rewilding practitioners are increasingly seeking to enhance ecosystem functions and carbon sequestration simultaneously, encouraged by climate policies such as the European Green Deal. In recent years, ecosystem restoration involving large herbivores (≥ 10 kg) has attracted growing interest. However, the climate impacts of large herbivores are complex, including direct and indirect impacts from greenhouse gas (GHG) emissions, carbon storage, wildfire and albedo. These impacts can have cooling or warming effects and vary with species, herd density, season and habitat. To date, the diverse research on this topic has not been collated and categorised in a systematic map. Here, we present a systematic map of research on the climate effects of large herbivores in European terrestrial habitats, highlighting research distribution, clusters and gaps, and the potential for further quantitative analyses. We address the primary question of what research exists on the climate effects of large herbivores in Europe. Methods Following our pre-published protocol, we used a pre-defined search string to conduct a search of peer-reviewed and grey literature, using a range of bibliographic databases, search engines and websites. We screened search results for releva</w:t>
      </w:r>
    </w:p>
    <w:p>
      <w:pPr/>
      <w:r>
        <w:rPr>
          <w:b/>
        </w:rPr>
        <w:t>POSSIBLE 2026:</w:t>
      </w:r>
      <w:r>
        <w:t xml:space="preserve"> A Changing North Atlantic Background Amplifies Western European Heatwaves — https://doi.org/10.31223/x55z2c</w:t>
      </w:r>
    </w:p>
    <w:p>
      <w:pPr/>
      <w:r>
        <w:rPr>
          <w:b/>
        </w:rPr>
        <w:t>Shared claim-specific concepts:</w:t>
      </w:r>
      <w:r>
        <w:t xml:space="preserve"> background, july, heat, warmer; EU scope visible. This is a provisional connection, not an outcome finding.</w:t>
      </w:r>
    </w:p>
    <w:p>
      <w:pPr>
        <w:pStyle w:val="SourceNote"/>
      </w:pPr>
      <w:r>
        <w:rPr>
          <w:b/>
        </w:rPr>
        <w:t>Available abstract (not full text):</w:t>
      </w:r>
      <w:r>
        <w:t xml:space="preserve"> Western European summer heatwaves have increased markedly since the 1990s, culminating in the record warmth of May–July 2026 since 1950. We show that this rise is closely associated with the slowly evolving North Atlantic background. We combine two leading April sea surface temperature modes, representing basin-wide warming and a tripole-like pattern, into an Atlantic Two-Mode Index (ATMI). The index closely tracks the low-frequency increase in heatwave days and peaked in 2026. Under closely matched heatwave-favoring atmospheric circulation, the post-1990 events were 1.3 °C warmer than historical counterparts despite little change in atmospheric ridge amplitude; removing the ATMI-linked low-frequency temperature component reduced this difference to 0.1 °C. Persistent heatwaves occurred in 90% of cases under high-ATMI conditions but were absent under low-ATMI conditions. These results indicate that western European heatwaves have become more frequent mainly because a warmer Atlantic–European background allows similar circulation patterns to produce substantially greater heat extremes.</w:t>
      </w:r>
    </w:p>
    <w:p>
      <w:pPr/>
      <w:r>
        <w:rPr>
          <w:b/>
        </w:rPr>
        <w:t>POSSIBLE 2026:</w:t>
      </w:r>
      <w:r>
        <w:t xml:space="preserve"> Biodiversity Integration in the European Banking: Theoretical Background &amp; Empirical Evidence — https://openalex.org/W7197300685</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This thesis investigates the integration of biodiversity considerations into the European banking sector by combining a comprehensive theoretical framework with empirical analysis. It is grounded in the recognition that biodiversity loss represents one of the most critical and systemic environmental challenges of the 21st century, with far-reaching implications for economic stability and financial systems. Unlike climate change, biodiversity loss is largely irreversible and characterized by complex, non-linear dynamics, making its assessment and integration into financial decision-making particularly challenging. The study begins by establishing the ecological and economic foundations of biodiversity. It conceptualizes biodiversity not merely as a stock of natural assets, but as a functional system property that underpins ecosystem services such as pollination, water regulation, and climate stability. By introducing the concept of natural capital, the thesis highlights the structural dependence of economic activity on ecological systems and critically examines the limitations of conventional economic metrics, particularly the inability of GDP to capture the depletion of natural assets. It further identifies key barriers to implementation, including valuation challenges, data gaps, and misaligned incentives. Building on this foundation, the thesis analyses how biodiversity loss </w:t>
      </w:r>
    </w:p>
    <w:p>
      <w:pPr/>
      <w:r>
        <w:rPr>
          <w:b/>
        </w:rPr>
        <w:t>POSSIBLE 2026:</w:t>
      </w:r>
      <w:r>
        <w:t xml:space="preserve"> Linking vulnerability and resilience for climate change adaptation: a GeoAI-integrated assessment across Europe — https://doi.org/10.1186/s13717-026-00680-x</w:t>
      </w:r>
    </w:p>
    <w:p>
      <w:pPr/>
      <w:r>
        <w:rPr>
          <w:b/>
        </w:rPr>
        <w:t>Shared claim-specific concepts:</w:t>
      </w:r>
      <w:r>
        <w:t xml:space="preserve"> climate, including, heat; EU scope visible. This is a provisional connection, not an outcome finding.</w:t>
      </w:r>
    </w:p>
    <w:p>
      <w:pPr>
        <w:pStyle w:val="SourceNote"/>
      </w:pPr>
      <w:r>
        <w:rPr>
          <w:b/>
        </w:rPr>
        <w:t>Available abstract (not full text):</w:t>
      </w:r>
      <w:r>
        <w:t xml:space="preserve"> Climate change is reshaping key ecological processes such as drought cycles, heat stress, disturbance regimes, and air quality regulation. These changes generate cascading impacts on ecosystems and the human societies that depend on them. There is therefore a pressing need for frameworks that not only map where adaptation is required but also explain why these needs arise. Existing approaches often remain limited: top-down climate scenarios overlook local stressors, multi-criteria decision-making (MCDM) applications suffer from subjectivity, and machine learning models frequently lack interpretability. To address these limitations, this study introduces an integrated framework that combines ecological, climatic, and socio-economic indicators with MCDM, Geographic Artificial Intelligence (GeoAI), and explainable machine learning to provide spatial mapping and a sensitivity-based interpretation of adaptation needs. A Climate Change Adaptation Index (CCAI) was constructed for 1,187 NUTS-3 regions using 44 indicators of vulnerability and resilience, including land surface temperature, burned areas, hydrological stress, demographic sensitivity, renewable energy use, and institutional effectiveness. Fuzzy Analytical Hierarchy Process (F-AHP) was employed to derive factor weights, and SHapley Additive exPlanations (SHAP) was applied to analyse indicator interactions. The findings high</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background, climate, warmer;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Climate change worry and the association with future depression and anxiety: cross-national analysis of 11 European countries — https://doi.org/10.1136/bmjment-2024-301318</w:t>
      </w:r>
    </w:p>
    <w:p>
      <w:pPr/>
      <w:r>
        <w:rPr>
          <w:b/>
        </w:rPr>
        <w:t>Shared claim-specific concepts:</w:t>
      </w:r>
      <w:r>
        <w:t xml:space="preserve"> background, climate, wave; EU scope visible. This is a provisional connection, not an outcome finding.</w:t>
      </w:r>
    </w:p>
    <w:p>
      <w:pPr>
        <w:pStyle w:val="SourceNote"/>
      </w:pPr>
      <w:r>
        <w:rPr>
          <w:b/>
        </w:rPr>
        <w:t>Available abstract (not full text):</w:t>
      </w:r>
      <w:r>
        <w:t xml:space="preserve"> ABSTRACT BACKGROUND Climate change is one of the biggest threats to global health and can affect people’s mental health directly and indirectly. This study focused on the implications of climate change worry for mental health. OBJECTIVE To determine the association between climate change worry and future risk of depression, anxiety and sleep disturbance across 11 European countries. METHODS The study included 5,155 participants in the European Social Survey-10 (2020-22), which assessed climate change worry and subsequent follow-up CROss-National Online Survey 2 (CRONOS-2) wave 4, which measured symptoms of depression and anxiety (2022). Overall relationships between climate change worry and risk of depression, anxiety and sleep disturbance were explored using logistic regression models adjusting for potential confounders, then stratified by country. FINDINGS Climate change worry was associated with increased risk of anxiety (OR: 1.38, 95% CI: 1.13-1.68), but not depression (OR: 1.10, 95% CI: 0.94-1.29) or sleep disturbance (OR: 1.08, 95% CI: 0.92-1.27), in pooled analyses across countries. When stratified by country, climate worry had differing associations with the outcomes, with the strongest relationships between climate worry and anxiety found in Slovenia and Italy. CONCLUSIONS Climate change worry may contribute to clinically significant anxiety in some countries, but less</w:t>
      </w:r>
    </w:p>
    <w:p>
      <w:pPr/>
      <w:r>
        <w:rPr>
          <w:b/>
        </w:rPr>
        <w:t>POSSIBLE 2025:</w:t>
      </w:r>
      <w:r>
        <w:t xml:space="preserve"> Indoor Air Background Concentrations of Volatile Organic Compounds ( VOCs ) in California Residences — https://doi.org/10.1111/gwmr.12719</w:t>
      </w:r>
    </w:p>
    <w:p>
      <w:pPr/>
      <w:r>
        <w:rPr>
          <w:b/>
        </w:rPr>
        <w:t>Shared claim-specific concepts:</w:t>
      </w:r>
      <w:r>
        <w:t xml:space="preserve"> background, including, concentrations; EU scope not established. This is a provisional connection, not an outcome finding.</w:t>
      </w:r>
    </w:p>
    <w:p>
      <w:pPr>
        <w:pStyle w:val="SourceNote"/>
      </w:pPr>
      <w:r>
        <w:rPr>
          <w:b/>
        </w:rPr>
        <w:t>Available abstract (not full text):</w:t>
      </w:r>
      <w:r>
        <w:t xml:space="preserve"> Abstract A study was performed to measure typical “indoor air background” concentrations of volatile organic compounds (VOCs) in residential buildings in the state of California that were not known to be impacted by subsurface sources. A total of 57 buildings were sampled between February 2023 and February 2024, with one sample collected per building. The data set represents 38 different cities within the state of California. The samples were analyzed using the United States Environmental Protection Agency (EPA) Method TO‐15 (EPA 1999) in both full‐scan and Selected Ion Monitoring (SIM) modes. A total of 105 individual VOCs were reported for each sample. The overall data set is 5985 individual data points, with concentrations of target compound VOCs reported from less than the laboratory method reporting limit of 0.044 μg/m 3 (micrograms per cubic meter) to concentrations up to 14,000 μg/m 3 . Various VOCs were detected at concentrations above screening levels used in California and elsewhere in the United States, including Benzene, Naphthalene, Tetrachloroethene (PCE), and Trichloroethene (TCE). These compounds are often considered “risk drivers” in vapor intrusion (VI) studies, so their presence in background air at concentrations above screening levels may complicate such studies. Compared with previous, similar studies, this study is more comprehensive with a larger number </w:t>
      </w:r>
    </w:p>
    <w:p>
      <w:pPr/>
      <w:r>
        <w:rPr>
          <w:b/>
        </w:rPr>
        <w:t>POSSIBLE 2025:</w:t>
      </w:r>
      <w:r>
        <w:t xml:space="preserve"> Application of Machine Learning Approaches to Predict Soil Element Background Concentration at Large Region Scale — https://doi.org/10.3390/su17177853</w:t>
      </w:r>
    </w:p>
    <w:p>
      <w:pPr/>
      <w:r>
        <w:rPr>
          <w:b/>
        </w:rPr>
        <w:t>Shared claim-specific concepts:</w:t>
      </w:r>
      <w:r>
        <w:t xml:space="preserve"> background, including, concentrations, demonstrated; EU scope not established. This is a provisional connection, not an outcome finding.</w:t>
      </w:r>
    </w:p>
    <w:p>
      <w:pPr>
        <w:pStyle w:val="SourceNote"/>
      </w:pPr>
      <w:r>
        <w:rPr>
          <w:b/>
        </w:rPr>
        <w:t>Available abstract (not full text):</w:t>
      </w:r>
      <w:r>
        <w:t xml:space="preserve"> Soil element background concentration is foundational data for environmental quality assessment, contamination diagnosis, and sustainable land management. However, existing investigation-based methods are time-consuming and inefficient. The machine learning (ML) method has demonstrated excellent performance in predicting soil heavy metal concentration. In this study, based on the nine environmental variables of soil formation from 210 soil monitoring points, including elevation, pH, organic matter, soil type, parent material, plant cover, land use type, topography, and soil texture, decision tree (DT), random forest (RF), extreme gradient boosting (XGB), and support vector machine (SVM) models were used to predict the eleven soil element background concentrations. Among them, SVM and RF models could be used for an effective prediction of the background concentration of all soil heavy metals. Compared with the XGBoost and DT, the SVM for all heavy metals except for cadmium (Cd) and manganese (Mn) performs best. Although the key factors affecting background concentrations vary among different soil elements, organic matter, soil type, and altitude, they play a crucial role in the accurate prediction of soil element background concentration. This study provides simple and efficient ML models for predicting soil element background concentration at the large regional scale. The resul</w:t>
      </w:r>
    </w:p>
    <w:p>
      <w:pPr/>
      <w:r>
        <w:rPr>
          <w:b/>
        </w:rPr>
        <w:t>POSSIBLE 2025:</w:t>
      </w:r>
      <w:r>
        <w:t xml:space="preserve"> WEATHERING THE STORM IN EUROPE: USE OF AI IN CLIMATE ADAPTATION AND CHALLENGES FOR CLIMATE JUSTICE — https://doi.org/10.21492/inuhfd.1732027</w:t>
      </w:r>
    </w:p>
    <w:p>
      <w:pPr/>
      <w:r>
        <w:rPr>
          <w:b/>
        </w:rPr>
        <w:t>Shared claim-specific concepts:</w:t>
      </w:r>
      <w:r>
        <w:t xml:space="preserve"> background, climate, including; EU scope visible. This is a provisional connection, not an outcome finding.</w:t>
      </w:r>
    </w:p>
    <w:p>
      <w:pPr>
        <w:pStyle w:val="SourceNote"/>
      </w:pPr>
      <w:r>
        <w:rPr>
          <w:b/>
        </w:rPr>
        <w:t>Available abstract (not full text):</w:t>
      </w:r>
      <w:r>
        <w:t xml:space="preserve"> The climate crisis is growing increasingly dire by the day, and its impacts are now significantly affecting vulnerable populations. In this context, climate adaptation and resilience measures are inclined to deploy more and more Artificial Intelligence (AI) driven tools as this technology enables analysis of immense amounts of data in a very short time span, which constitutes an auspicious instrument to understand the consequences of climate change including but not limited to extreme weather conditions, sea level rise, drought and their impact on communities. However, such tools are not free of bias and social risks. This study aims to understand the human rights risk posed by deploying AI tools in climate adaptation in Europe, particularly for vulnerable groups that are disadvantaged in becoming resilient towards climate change impacts. Accordingly, it examines whether international and European regulatory frameworks effectively address these risks. Given this background, the paper proposes certain normative and policy-based solutions to the identified gaps.</w:t>
      </w:r>
    </w:p>
    <w:p>
      <w:pPr/>
      <w:r>
        <w:rPr>
          <w:b/>
        </w:rPr>
        <w:t>POSSIBLE 2025:</w:t>
      </w:r>
      <w:r>
        <w:t xml:space="preserve"> Toxic Trace Element Concentration in Commercially Available Cigarettes in Poland, Europe — https://doi.org/10.3390/toxics13121088</w:t>
      </w:r>
    </w:p>
    <w:p>
      <w:pPr/>
      <w:r>
        <w:rPr>
          <w:b/>
        </w:rPr>
        <w:t>Shared claim-specific concepts:</w:t>
      </w:r>
      <w:r>
        <w:t xml:space="preserve"> background, including, concentrations; EU scope visible. This is a provisional connection, not an outcome finding.</w:t>
      </w:r>
    </w:p>
    <w:p>
      <w:pPr>
        <w:pStyle w:val="SourceNote"/>
      </w:pPr>
      <w:r>
        <w:rPr>
          <w:b/>
        </w:rPr>
        <w:t>Available abstract (not full text):</w:t>
      </w:r>
      <w:r>
        <w:t xml:space="preserve"> (1) Background: Tobacco use constitutes a significant preventable cause of morbidity and mortality on a global scale. It contributes to cumulative exposure to carcinogenic and toxic heavy metals, including cadmium, lead, nickel, and copper. Collectively, these metals promote oxidative stress, multi-organ damage, and an increased risk of cancer, cardiovascular, respiratory, and renal diseases; (2) Methods: The research material comprised 119 tobacco samples. The concentrations of cadmium, lead, copper, and nickel in the samples were subsequently determined. A series of calculations were conducted in order to estimate the non-carcinogenic and carcinogenic health risks associated with the consumption of tobacco products under a variety of exposure scenarios; (3) Results: The concentrations of heavy metals in the tobacco samples ranged as follows, with mean values: Cd: 0.3-8.6 mg/kg (mean 1.0), Cu: 3.4-92.6 mg/kg (mean 12.3), Ni: 1.1-15.4 mg/kg (mean 3.4), and Pb: 0.2-1633.3 mg/kg (mean 46.5). A health risk assessment indicated that exposure through inhalation to cadmium Cd, Ni, and Pb, even in the minimal smoking scenario of one cigarette per day, consistently exceeded internationally established thresholds for carcinogenic risk; (4) Conclusions: The presence of high inter-brand variability and high-risk outliers underscores the necessity for enhanced regulation and monitoring of </w:t>
      </w:r>
    </w:p>
    <w:p>
      <w:pPr/>
      <w:r>
        <w:rPr>
          <w:b/>
        </w:rPr>
        <w:t>POSSIBLE 2025:</w:t>
      </w:r>
      <w:r>
        <w:t xml:space="preserve"> RESOLVING SEASONAL DYNAMICS OF AEROSOL SOURCES IN A FINE PARTICULATE MATTER FRACTION AT A CENTRAL EUROPEAN RURAL BACKGROUND STATION — https://openalex.org/W7135963886</w:t>
      </w:r>
    </w:p>
    <w:p>
      <w:pPr/>
      <w:r>
        <w:rPr>
          <w:b/>
        </w:rPr>
        <w:t>Shared claim-specific concepts:</w:t>
      </w:r>
      <w:r>
        <w:t xml:space="preserve"> varying, background, concentrations; EU scope visible. This is a provisional connection, not an outcome finding.</w:t>
      </w:r>
    </w:p>
    <w:p>
      <w:pPr>
        <w:pStyle w:val="SourceNote"/>
      </w:pPr>
      <w:r>
        <w:rPr>
          <w:b/>
        </w:rPr>
        <w:t>Available abstract (not full text):</w:t>
      </w:r>
      <w:r>
        <w:t xml:space="preserve"> Fine particulate matter (PM) has been a key domain of investigation in atmospheric research due to its complex chemical composition, transport potential, and ability to penetrate environmental and biological systems, thereby influencing ecosystem stability and human health. Varying size fractions within fine particles are of particular concern as their physicochemical properties, sources, and atmospheric transformation processes vary considerably with particle size and meteorological conditions. Seasonal variability further modulates their composition through changes in emission patterns, boundary layer dynamics, and secondary formation pathways. In this study, we investigate elemental concentrations in the fine aerosol sub-fraction (1.15-0.35 μm) sampled at a Central European rural background site across summer and winter, followed by source apportionment analysis.</w:t>
      </w:r>
    </w:p>
    <w:p>
      <w:pPr/>
      <w:r>
        <w:rPr>
          <w:b/>
        </w:rPr>
        <w:t>POSSIBLE 2024:</w:t>
      </w:r>
      <w:r>
        <w:t xml:space="preserve"> Cooling efficacy of trees across cities is determined by background climate, urban morphology, and tree trait — https://doi.org/10.1038/s43247-024-01908-4</w:t>
      </w:r>
    </w:p>
    <w:p>
      <w:pPr/>
      <w:r>
        <w:rPr>
          <w:b/>
        </w:rPr>
        <w:t>Shared claim-specific concepts:</w:t>
      </w:r>
      <w:r>
        <w:t xml:space="preserve"> background, climate, heat, climates; EU scope not established. This is a provisional connection, not an outcome finding.</w:t>
      </w:r>
    </w:p>
    <w:p>
      <w:pPr>
        <w:pStyle w:val="SourceNote"/>
      </w:pPr>
      <w:r>
        <w:rPr>
          <w:b/>
        </w:rPr>
        <w:t>Available abstract (not full text):</w:t>
      </w:r>
      <w:r>
        <w:t xml:space="preserve"> Abstract Urban planners and other stakeholders often view trees as the ultimate panacea for mitigating urban heat stress; however, their cooling efficacy varies globally and is influenced by three primary factors: tree traits, urban morphology, and climate conditions. This study analyzes 182 studies on the cooling effects of urban trees across 17 climates in 110 global cities or regions. Tree implementation reduces peak monthly temperatures to below 26 °C in 83% of the cities. Trees can lower pedestrian-level temperatures by up to 12 °C through large radiation blockage and transpiration. In tropical, temperate, and continental climates, a mixed-use of deciduous and evergreen trees in open urban morphology provides approximately 0.5 °C more cooling than a single species approach. In arid climates, evergreen species predominate and demonstrate more effective cooling within compact urban morphology. Our study offers context-specific greening guidelines for urban planners to harness tree cooling in the face of global warming.</w:t>
      </w:r>
    </w:p>
    <w:p>
      <w:pPr>
        <w:pStyle w:val="Heading2"/>
      </w:pPr>
      <w:r>
        <w:t>560. The future of the Mediterranean agri-food systems: Trends and perspectives from a Delphi survey</w:t>
      </w:r>
    </w:p>
    <w:p>
      <w:pPr>
        <w:pStyle w:val="SourceNote"/>
      </w:pPr>
      <w:r>
        <w:rPr>
          <w:b/>
        </w:rPr>
        <w:t>Original source (2022):</w:t>
      </w:r>
      <w:r>
        <w:t xml:space="preserve"> https://doi.org/10.1016/j.landusepol.2022.106263</w:t>
      </w:r>
    </w:p>
    <w:p>
      <w:pPr/>
      <w:r>
        <w:t>Original wording (abstract; indexed_source_text_not_full_document_verified): First, to identify the main challenges, trends and driving forces that influence the agri-food systems in the Mediterranean over a short (2020) and medium (2030) term. Second, to discuss the alternative policy responses to the challenges that the region will face in terms of water resource management, farming systems and agri-food value chains in terms of desirability and feasibility.</w:t>
      </w:r>
    </w:p>
    <w:p>
      <w:pPr/>
      <w:r>
        <w:rPr>
          <w:b/>
        </w:rPr>
        <w:t>POSSIBLE 2026:</w:t>
      </w:r>
      <w:r>
        <w:t xml:space="preserve"> IDENTIFYING THE MAIN FACTORS AFFECTING CAPITAL GROWTH — https://openalex.org/W7216652737</w:t>
      </w:r>
    </w:p>
    <w:p>
      <w:pPr/>
      <w:r>
        <w:rPr>
          <w:b/>
        </w:rPr>
        <w:t>Shared claim-specific concepts:</w:t>
      </w:r>
      <w:r>
        <w:t xml:space="preserve"> main, influence, management; EU scope not established. This is a provisional connection, not an outcome finding.</w:t>
      </w:r>
    </w:p>
    <w:p>
      <w:pPr>
        <w:pStyle w:val="SourceNote"/>
      </w:pPr>
      <w:r>
        <w:rPr>
          <w:b/>
        </w:rPr>
        <w:t>Available abstract (not full text):</w:t>
      </w:r>
      <w:r>
        <w:t xml:space="preserve"> This thesis systematically analyzes the main factors affecting the capital growth of an enterprise. The study considers the factors divided into internal (endogenous) and external (exogenous) groups, reveals the mechanism of their influence on capital growth and their interrelationships. In addition, quantitative methods for assessing capital growth are presented - the DuPont model, the Higgins sustainable growth model and regression analysis approaches. The results of the study serve as a theoretical and practical basis for making effective strategic decisions in the financial management of an enterprise.</w:t>
      </w:r>
    </w:p>
    <w:p>
      <w:pPr/>
      <w:r>
        <w:rPr>
          <w:b/>
        </w:rPr>
        <w:t>POSSIBLE 2026:</w:t>
      </w:r>
      <w:r>
        <w:t xml:space="preserve"> A Greedy First-Fit Heuristic for Reallocating Outpatient Surgeries from Main OR to Ambulatory Surgery Center — https://doi.org/10.46254/na11.20260153</w:t>
      </w:r>
    </w:p>
    <w:p>
      <w:pPr/>
      <w:r>
        <w:rPr>
          <w:b/>
        </w:rPr>
        <w:t>Shared claim-specific concepts:</w:t>
      </w:r>
      <w:r>
        <w:t xml:space="preserve"> identify, main, systems; EU scope not established. This is a provisional connection, not an outcome finding.</w:t>
      </w:r>
    </w:p>
    <w:p>
      <w:pPr>
        <w:pStyle w:val="SourceNote"/>
      </w:pPr>
      <w:r>
        <w:rPr>
          <w:b/>
        </w:rPr>
        <w:t>Available abstract (not full text):</w:t>
      </w:r>
      <w:r>
        <w:t xml:space="preserve"> Operating room (OR) is among the most capital-intensive resources in health systems, yet inefficiencies persist in allocating outpatient surgery across facility types. Although ambulatory surgery centers (ASCs) are optimized for lower-acuity procedures, many eligible cases remain scheduled in higher-cost main hospital ORs, consuming prime-time capacity needed for emergent, complex, or inpatient surgeries and contributing to access delays. This study proposes a greedy first-fit scheduling heuristic to identify outpatient surgical cases eligible for transfer from the main OR and assign them to available ASC OR time slots. The approach is evaluated retrospectively using ten months of fiscal year 2025 EHR-derived surgical data from a pediatric health system with eight main ORs and four ASC ORs. Across the study period, the algorithm identified 2,071 movable outpatient cases and reassigned each without creating scheduling conflicts. Simulated reallocation increased aggregate ASC block utilization from 50.2% to 73.1% across the four ASC rooms, with room-level gains of 18.1–30.8%. These findings demonstrate that the proposed heuristic can serve as a prospective decision-support tool for optimizing surgical case allocation between the main OR and ASC. The algorithm is currently being used prospectively to support future scheduling decisions.</w:t>
      </w:r>
    </w:p>
    <w:p>
      <w:pPr/>
      <w:r>
        <w:rPr>
          <w:b/>
        </w:rPr>
        <w:t>POSSIBLE 2026:</w:t>
      </w:r>
      <w:r>
        <w:t xml:space="preserve"> Identifying and Ranking the Eight Risks of AI for Each of the Six Main AI-Focused Fintech Business Models — https://doi.org/10.1007/978-3-032-18109-1_7</w:t>
      </w:r>
    </w:p>
    <w:p>
      <w:pPr/>
      <w:r>
        <w:rPr>
          <w:b/>
        </w:rPr>
        <w:t>Shared claim-specific concepts:</w:t>
      </w:r>
      <w:r>
        <w:t xml:space="preserve"> first, identify, main, influence, second; EU scope not established. This is a provisional connection, not an outcome finding.</w:t>
      </w:r>
    </w:p>
    <w:p>
      <w:pPr>
        <w:pStyle w:val="SourceNote"/>
      </w:pPr>
      <w:r>
        <w:rPr>
          <w:b/>
        </w:rPr>
        <w:t>Available abstract (not full text):</w:t>
      </w:r>
      <w:r>
        <w:t xml:space="preserve"> This research explores the implications for risk of six AI-focused Fintech business models identified in the previous research. While each of the six business models has been validated in previous research, their typical influence on risk has not been sufficiently explored. A Delphi method with two stages is used. In the first stage, the semi-structured interviews with experts identify the main risks each of the six models faces. For the second stage the participants are presented with a summary of all the risks identified by all the participants, and they are asked to rank them for their specific model. Eight risks related to the application of an AI-focused business model are identified: (1) direct AI risks, (2) technology integration risk, (3) third-party vendor risk, (4) technology infrastructure risk, (5) data protection and privacy risk, (6) cybersecurity risk, (7) fraud and identity theft risk, and (8) strategic misalignment risk. The eight risks apply to all six models; however, they are not equally significant in all models. The six business models reduce risk in two main ways: Firstly, because they are proven models and secondly because they have a proven place in the typical ecosystems that emerge.</w:t>
      </w:r>
    </w:p>
    <w:p>
      <w:pPr/>
      <w:r>
        <w:rPr>
          <w:b/>
        </w:rPr>
        <w:t>POSSIBLE 2026:</w:t>
      </w:r>
      <w:r>
        <w:t xml:space="preserve"> How defensive driving enhances driving safety: A driving simulator study on drivers' defensive driving behaviors — https://doi.org/10.48550/arxiv.2607.18663</w:t>
      </w:r>
    </w:p>
    <w:p>
      <w:pPr/>
      <w:r>
        <w:rPr>
          <w:b/>
        </w:rPr>
        <w:t>Shared claim-specific concepts:</w:t>
      </w:r>
      <w:r>
        <w:t xml:space="preserve"> first, identify, trends, driving; EU scope not established. This is a provisional connection, not an outcome finding.</w:t>
      </w:r>
    </w:p>
    <w:p>
      <w:pPr>
        <w:pStyle w:val="SourceNote"/>
      </w:pPr>
      <w:r>
        <w:rPr>
          <w:b/>
        </w:rPr>
        <w:t>Available abstract (not full text):</w:t>
      </w:r>
      <w:r>
        <w:t xml:space="preserve"> Defensive driving is widely recognized as an advanced driving skill. However, whether and how defensive driving affects driving safety remains insufficiently investigated. This study examines the behavioral characteristics of defensive driving, its impact on driving safety, and the underlying mechanisms. First, defensive driving is defined regarding operational timing and application scenario. Then, 82 participants are recruited for driving simulator experiments, with their behavioral and eye movement data being collected. Following the experiments, participants are categorized into groups based on the frequency of defensive driving behaviors exhibited. Finally, both inter-group and inter trial comparisons are performed on the experimental data. Experimental results demonstrate that in the inter-group comparison, the high defensive driving capability group exhibits higher acceleration and deceleration magnitudes, lower average speeds, and larger average absolute yaw angles compared to the low capability group, alongside shorter fixation durations and reduced fixation frequencies. Moreover, we observe that these participants tend to initiate defensive or evasive actions earlier, resulting in lower scenario risk. Regarding the inter-trial comparison, we observe similar trends exclusively in the low capability group, whereas most metrics show no significant differences between Tri</w:t>
      </w:r>
    </w:p>
    <w:p>
      <w:pPr/>
      <w:r>
        <w:rPr>
          <w:b/>
        </w:rPr>
        <w:t>POSSIBLE 2026:</w:t>
      </w:r>
      <w:r>
        <w:t xml:space="preserve"> Using a counterfactual thinking intervention to improve safe driving intentions and identifying strategies to avoid distracted driving in college students: A pilot study — https://doi.org/10.1016/j.trf.2026.103666</w:t>
      </w:r>
    </w:p>
    <w:p>
      <w:pPr/>
      <w:r>
        <w:rPr>
          <w:b/>
        </w:rPr>
        <w:t>Shared claim-specific concepts:</w:t>
      </w:r>
      <w:r>
        <w:t xml:space="preserve"> first, trends, driving; EU scope not established. This is a provisional connection, not an outcome finding.</w:t>
      </w:r>
    </w:p>
    <w:p>
      <w:pPr>
        <w:pStyle w:val="SourceNote"/>
      </w:pPr>
      <w:r>
        <w:rPr>
          <w:b/>
        </w:rPr>
        <w:t>Available abstract (not full text):</w:t>
      </w:r>
      <w:r>
        <w:t xml:space="preserve"> Distracted driving is a major public safety concern. After experiencing a negative outcome from phone-related distracted driving, individuals may imagine how the outcome could have been better (i.e., counterfactual thinking, CFT), thus highlighting ways to avoid similar outcomes in the future. The current study examined the preliminary efficacy of a CFT intervention to reduce distracted driving intentions while also contextualizing the types of distracted driving experiences and specific strategies, obstacles, and behaviors participants identified could help them address their distracted driving. Through an online survey, participants ( N = 113) self-reported how often they engage in distracted driving and were then asked to write about a time in the last three months they engaged in distracted driving and experienced a negative outcome. Participants were then randomly assigned to a CFT or control condition, completed condition-specific writing tasks, and then completed two measures of intentions (continue to use a phone while driving, reduce phone use while driving) and demographics. Compared to the control condition, the CFT condition reported marginally higher intentions to avoid phone use while driving ( p = .07). Common reasons for phone distraction while driving included using it for navigation and music purposes. Strategies generated to avoid phone distraction included p</w:t>
      </w:r>
    </w:p>
    <w:p>
      <w:pPr/>
      <w:r>
        <w:rPr>
          <w:b/>
        </w:rPr>
        <w:t>POSSIBLE 2026:</w:t>
      </w:r>
      <w:r>
        <w:t xml:space="preserve"> Datasets and data spaces in the autonomous driving domain: insights and trends — https://doi.org/10.1186/s12544-026-00844-y</w:t>
      </w:r>
    </w:p>
    <w:p>
      <w:pPr/>
      <w:r>
        <w:rPr>
          <w:b/>
        </w:rPr>
        <w:t>Shared claim-specific concepts:</w:t>
      </w:r>
      <w:r>
        <w:t xml:space="preserve"> challenges, trends, driving, management; EU scope visible. This is a provisional connection, not an outcome finding.</w:t>
      </w:r>
    </w:p>
    <w:p>
      <w:pPr>
        <w:pStyle w:val="SourceNote"/>
      </w:pPr>
      <w:r>
        <w:rPr>
          <w:b/>
        </w:rPr>
        <w:t>Available abstract (not full text):</w:t>
      </w:r>
      <w:r>
        <w:t xml:space="preserve"> The rapid evolution of autonomous driving technologies is deeply reliant on high-quality datasets and robust data management solutions that cannot be achieved by a single actor working in isolation. This paper examines the growing role of datasets and data spaces in the mobility domain, providing a conceptual analysis of current approaches and identifying key challenges and emerging trends that inform the design of an autonomous vehicle data space framework. While peer-to-peer solutions for data sharing already exist, the concept of data spaces can significantly scale these approaches, creating a self-improving feedback loop that enhances the performance of AI-based driving models by matching the demand for data with the data offered by providers. Specifically, the paper addresses the challenge of acquiring intra-vehicular data to enhance assisted driving functionalities and proposes a methodology for building a data space specialized for automated driving applications. Finally, the paper explores representative use cases, including a Level 4 automated shuttle, TalTech iseAuto, Estonia, and an all-terrain vehicle provided by CERTH, Greece, by conceptualizing data sharing across different domains, where data providers and consumers exchange information within a data space framework, driving continuous improvement in model performance.</w:t>
      </w:r>
    </w:p>
    <w:p>
      <w:pPr/>
      <w:r>
        <w:rPr>
          <w:b/>
        </w:rPr>
        <w:t>POSSIBLE 2026:</w:t>
      </w:r>
      <w:r>
        <w:t xml:space="preserve"> NENUPHAR D5.3. Lessons learnt and recommendations to the main regional clusters (first version) — https://doi.org/10.5281/zenodo.19000171</w:t>
      </w:r>
    </w:p>
    <w:p>
      <w:pPr/>
      <w:r>
        <w:rPr>
          <w:b/>
        </w:rPr>
        <w:t>Shared claim-specific concepts:</w:t>
      </w:r>
      <w:r>
        <w:t xml:space="preserve"> first, identify, main, region, resource, management; EU scope visible. This is a provisional connection, not an outcome finding.</w:t>
      </w:r>
    </w:p>
    <w:p>
      <w:pPr>
        <w:pStyle w:val="SourceNote"/>
      </w:pPr>
      <w:r>
        <w:rPr>
          <w:b/>
        </w:rPr>
        <w:t>Available abstract (not full text):</w:t>
      </w:r>
      <w:r>
        <w:t xml:space="preserve"> This deliverable, D5.3 "Lessons Learnt and Recommendations to the Main Regional Clusters (First Version)," builds on the NENUPHAR project's previous work, mostly D2.4 "Best Practices for the Implementation of Governance Models" (Boy &amp; Febrer, 2025), in developing sustainable solutions for nutrient management. Based on the practical experience of NENUPHAR partners gained during tasks 5.1 ("Roll-out of solutions in pilot sites") and 5.2 ("Monitoring and validation of solutions at field level"), this report analyses recommendations for optimizing nutrient management governance across three European river basins: Ebro, Lielupe, and Danube. Task 5.2 involves implementing and monitoring NENUPHAR solutions, gathering data using Key Performance Indicators (KPIs), and engaging with stakeholders. This practical experience directly informed the evaluation and analysis of recommendations from D2.4 Qualitative data from demonstration sites in Spain, Latvia, Lithuania, Slovakia, and Hungary was analysed using a methodology that included feasibility assessment elements to determine the priority and feasibility of each recommendation, identify potential obstacles and solutions, and propose prioritized implementation sequences. The Ebro river basin analysis highlights the need for integrated governance, data platforms, and stakeholder engagement to address nitrate pollution. The Lielupe river b</w:t>
      </w:r>
    </w:p>
    <w:p>
      <w:pPr/>
      <w:r>
        <w:rPr>
          <w:b/>
        </w:rPr>
        <w:t>POSSIBLE 2026:</w:t>
      </w:r>
      <w:r>
        <w:t xml:space="preserve"> First-order homogenization — https://doi.org/10.1017/prm.2026.10125</w:t>
      </w:r>
    </w:p>
    <w:p>
      <w:pPr/>
      <w:r>
        <w:rPr>
          <w:b/>
        </w:rPr>
        <w:t>Shared claim-specific concepts:</w:t>
      </w:r>
      <w:r>
        <w:t xml:space="preserve"> identify, main, terms; EU scope not established. This is a provisional connection, not an outcome finding.</w:t>
      </w:r>
    </w:p>
    <w:p>
      <w:pPr>
        <w:pStyle w:val="SourceNote"/>
      </w:pPr>
      <w:r>
        <w:rPr>
          <w:b/>
        </w:rPr>
        <w:t>Available abstract (not full text):</w:t>
      </w:r>
      <w:r>
        <w:t xml:space="preserve"> We provide a first-order homogenization result for quadratic functionals. In particular, we identify the scaling of the energy and the explicit form of the limiting functional in terms of the first-order correctors. The main novelty of the paper is the use of the dual correspondence between quadratic functionals and PDEs, combined with a refinement of the classical Riemann–Lebesgue lemma.</w:t>
      </w:r>
    </w:p>
    <w:p>
      <w:pPr/>
      <w:r>
        <w:rPr>
          <w:b/>
        </w:rPr>
        <w:t>POSSIBLE 2026:</w:t>
      </w:r>
      <w:r>
        <w:t xml:space="preserve"> Sensors in Self-Driving Vehicles: A Detailed Literature Review and New Trends — https://doi.org/10.3390/s26072153</w:t>
      </w:r>
    </w:p>
    <w:p>
      <w:pPr/>
      <w:r>
        <w:rPr>
          <w:b/>
        </w:rPr>
        <w:t>Shared claim-specific concepts:</w:t>
      </w:r>
      <w:r>
        <w:t xml:space="preserve"> main, challenges, trends, driving, systems; EU scope not established. This is a provisional connection, not an outcome finding.</w:t>
      </w:r>
    </w:p>
    <w:p>
      <w:pPr>
        <w:pStyle w:val="SourceNote"/>
      </w:pPr>
      <w:r>
        <w:rPr>
          <w:b/>
        </w:rPr>
        <w:t>Available abstract (not full text):</w:t>
      </w:r>
      <w:r>
        <w:t xml:space="preserve"> Autonomous vehicles rely on complex sensing systems to perceive their environment and ensure safe operation. This review analyses the main sensor technologies used in self-driving vehicles, including cameras, LiDAR, radar, ultrasonic sensors and GNSS/IMU-based localisation systems. A core set of 40 primary research articles was systematically analysed to compare the capabilities, limitations and integration challenges of sensing technologies used in autonomous vehicles. In addition to these primary studies, further references were included to provide background information and describe emerging developments in autonomous sensing systems. The review shows that no single sensor technology can provide reliable perception under all environmental conditions. Camera systems offer rich visual information but are sensitive to lighting and weather conditions, while LiDAR provides highly accurate three-dimensional geometry but suffers from signal attenuation in rain and fog. Radar sensors demonstrate superior robustness in adverse weather and enable direct velocity measurement, although their spatial resolution remains limited compared to optical sensors. As a result, modern autonomous vehicles rely on multi-sensor fusion architectures that combine complementary sensing modalities to improve reliability and safety. The analysis also identifies several key research gaps in the current lit</w:t>
      </w:r>
    </w:p>
    <w:p>
      <w:pPr/>
      <w:r>
        <w:rPr>
          <w:b/>
        </w:rPr>
        <w:t>POSSIBLE 2026:</w:t>
      </w:r>
      <w:r>
        <w:t xml:space="preserve"> A Comprehensive Review of End-to-End Autonomous Driving: Architectures and Emerging Trends — https://doi.org/10.3390/act15080427</w:t>
      </w:r>
    </w:p>
    <w:p>
      <w:pPr/>
      <w:r>
        <w:rPr>
          <w:b/>
        </w:rPr>
        <w:t>Shared claim-specific concepts:</w:t>
      </w:r>
      <w:r>
        <w:t xml:space="preserve"> challenges, trends, driving, systems; EU scope not established. This is a provisional connection, not an outcome finding.</w:t>
      </w:r>
    </w:p>
    <w:p>
      <w:pPr>
        <w:pStyle w:val="SourceNote"/>
      </w:pPr>
      <w:r>
        <w:rPr>
          <w:b/>
        </w:rPr>
        <w:t>Available abstract (not full text):</w:t>
      </w:r>
      <w:r>
        <w:t xml:space="preserve"> End-to-end autonomous driving is an emerging technology and a prominent research focus in both industry and academia. By integrating perception, localization, decision-making, and control into a single model, end-to-end systems aim to streamline the traditional modular pipeline while introducing new challenges in safety validation and interpretability. Unlike existing surveys that predominantly catalog algorithms, this review proposes a novel function-oriented taxonomy by categorizing architectures into perception-integrated and planning-integrated paradigms. Beyond the architectural dimension, the analysis delves into critical safety and interpretability, emphasizing the fundamental gap between theoretical design and the reliability required for real-world deployment. Industrial applicability is examined through real-world examples of data closed-loop workflows and simulation testing, addressing practical constraints in latency and computing resources. Finally, the review addresses critical challenges, particularly long-tail data scarcity and the deficiency in human-like decision-making and outlines future directions toward achieving robust autonomy.</w:t>
      </w:r>
    </w:p>
    <w:p>
      <w:pPr/>
      <w:r>
        <w:rPr>
          <w:b/>
        </w:rPr>
        <w:t>POSSIBLE 2025:</w:t>
      </w:r>
      <w:r>
        <w:t xml:space="preserve"> Research Trend Analysis in the Field of Self-Driving Labs Using Network Analysis and Topic Modeling — https://doi.org/10.3390/systems13040253</w:t>
      </w:r>
    </w:p>
    <w:p>
      <w:pPr/>
      <w:r>
        <w:rPr>
          <w:b/>
        </w:rPr>
        <w:t>Shared claim-specific concepts:</w:t>
      </w:r>
      <w:r>
        <w:t xml:space="preserve"> first, identify, trends, second; EU scope not established. This is a provisional connection, not an outcome finding.</w:t>
      </w:r>
    </w:p>
    <w:p>
      <w:pPr>
        <w:pStyle w:val="SourceNote"/>
      </w:pPr>
      <w:r>
        <w:rPr>
          <w:b/>
        </w:rPr>
        <w:t>Available abstract (not full text):</w:t>
      </w:r>
      <w:r>
        <w:t xml:space="preserve"> A self-driving lab (SDL) system that automates experimental design, data collection, and analysis using robotics and artificial intelligence (AI) technologies. Its significance has grown substantially in recent years. This study analyzes the overall SDL research trends, examines changes in specific topics, visualizes the relational structure between authors to identify key contributors, and extracts major themes from extensive texts to highlight essential research content. To achieve these objectives, trend analysis, network analysis, and topic modeling were conducted on 352 research papers collected from the Web of Science between 2004 and 2023. To ensure the validity of the topic modeling results, a topic correlation matrix was also performed. The results revealed three key findings. First, SDL research has surged since 2019, driven by advancements in AI technologies, reflecting heightened activity in this field. Second, modern scientific research is advancing with a focus on data-driven approaches, artificial intelligence applications, and experimental optimization through the utilization of SDLs. Third, SDL research exhibits interdisciplinary convergence, encompassing material optimization, biological processes, and AI predictive algorithms. This study underscores the growing importance of SDLs as a research tool across diverse academic disciplines and provides practical in</w:t>
      </w:r>
    </w:p>
    <w:p>
      <w:pPr/>
      <w:r>
        <w:rPr>
          <w:b/>
        </w:rPr>
        <w:t>POSSIBLE 2025:</w:t>
      </w:r>
      <w:r>
        <w:t xml:space="preserve"> A Comparative Trends of Watershed Health and Its Driving Forces — https://doi.org/10.3390/w18010095</w:t>
      </w:r>
    </w:p>
    <w:p>
      <w:pPr/>
      <w:r>
        <w:rPr>
          <w:b/>
        </w:rPr>
        <w:t>Shared claim-specific concepts:</w:t>
      </w:r>
      <w:r>
        <w:t xml:space="preserve"> identify, challenges, trends, driving, forces, water; EU scope not established. This is a provisional connection, not an outcome finding.</w:t>
      </w:r>
    </w:p>
    <w:p>
      <w:pPr>
        <w:pStyle w:val="SourceNote"/>
      </w:pPr>
      <w:r>
        <w:rPr>
          <w:b/>
        </w:rPr>
        <w:t>Available abstract (not full text):</w:t>
      </w:r>
      <w:r>
        <w:t xml:space="preserve"> In recent decades, rapid socioeconomic development and population growth have led to the degradation of river and lake health worldwide, posing severe challenges to watershed ecological management. The growing intensity of land-use has significantly contributed to the accelerated deterioration of aquatic ecosystems. River and lake health assessment has evolved from single-parameter metrics (e.g., water quality) to multidimensional frameworks integrating hydrological, biological, and anthropogenic factors. This research conducted a bibliometric analysis of 1302 publications from 1996 to 2023 in the Web of Science database to identify research trends and hotspots. Results showed that publications exhibited a three-phase growth incubation (1996–2000), expansion (2001–2012), and acceleration (2013–2023), with the U.S., China, and Australia as leading contributors characterized by regionally clustered international collaborations. Research themes have shifted from single water quality parameters to integrated assessments. “Land-use”, “water quality”, and “biotic integrity” have emerged as core hotspots, forming a synergistic assessment framework that combines physicochemical, biological, and socioeconomic factors. The research scale underwent a spatial refinement process from the whole watershed to the buffer zone of rivers and lakes, and land-use effects on aquatic ecosystems vary </w:t>
      </w:r>
    </w:p>
    <w:p>
      <w:pPr>
        <w:pStyle w:val="Heading2"/>
      </w:pPr>
      <w:r>
        <w:t>561. The geography of megatrends affecting European agriculture</w:t>
      </w:r>
    </w:p>
    <w:p>
      <w:pPr>
        <w:pStyle w:val="SourceNote"/>
      </w:pPr>
      <w:r>
        <w:rPr>
          <w:b/>
        </w:rPr>
        <w:t>Original source (2022):</w:t>
      </w:r>
      <w:r>
        <w:t xml:space="preserve"> https://doi.org/10.1016/j.gloenvcha.2022.102551</w:t>
      </w:r>
    </w:p>
    <w:p>
      <w:pPr/>
      <w:r>
        <w:t>Original wording (abstract; indexed_source_text_not_full_document_verified): Megatrends are long-term driving forces which are observable today and will likely have transformational potential in the future. In a minority of regions megatrends may drive marginalization as the current system becomes increasingly unviable.</w:t>
      </w:r>
    </w:p>
    <w:p>
      <w:pPr/>
      <w:r>
        <w:rPr>
          <w:b/>
        </w:rPr>
        <w:t>POSSIBLE 2026:</w:t>
      </w:r>
      <w:r>
        <w:t xml:space="preserve"> Blockchain and Megatrends in Agri-Food Systems: A Multi-Source Evidence Approach — https://doi.org/10.3390/foods15030447</w:t>
      </w:r>
    </w:p>
    <w:p>
      <w:pPr/>
      <w:r>
        <w:rPr>
          <w:b/>
        </w:rPr>
        <w:t>Shared claim-specific concepts:</w:t>
      </w:r>
      <w:r>
        <w:t xml:space="preserve"> megatrends, long-term, system, increasingly; EU scope visible. This is a provisional connection, not an outcome finding.</w:t>
      </w:r>
    </w:p>
    <w:p>
      <w:pPr>
        <w:pStyle w:val="SourceNote"/>
      </w:pPr>
      <w:r>
        <w:rPr>
          <w:b/>
        </w:rPr>
        <w:t>Available abstract (not full text):</w:t>
      </w:r>
      <w:r>
        <w:t xml:space="preserve"> Blockchain is increasingly applied in the agri-food sector to enhance traceability, data integrity, and accountability. However, its broader role in food system sustainability remains insufficiently characterized, particularly when examined against global megatrends shaping future agri-food transitions. This paper investigates how blockchain technology can reinforce sustainable, inclusive, and resilient food systems under the effect of major global megatrends. A structured literature review of peer-reviewed and industry sources was conducted to identify evidence on blockchain-enabled improvements in transparency, certification, and supply chain coordination. Complementary analysis of a curated dataset of European and international pilot implementations evaluated technological architectures, governance models, and demonstrated performance outcomes. Additionally, stakeholder-based foresight activities and scenarios representing alternative blockchain adoption pathways, developed within the TRUSTyFOOD project (GA: 101060534), were used to examine the interconnection between blockchain adoption and megatrends. Evidence from the literature and pilot cases indicates that blockchain can strengthen product-level traceability and improve verification of sustainability and safety claims. Cross-case analysis also reveals persistent constraints, including heterogeneous technical standards,</w:t>
      </w:r>
    </w:p>
    <w:p>
      <w:pPr/>
      <w:r>
        <w:rPr>
          <w:b/>
        </w:rPr>
        <w:t>POSSIBLE 2026:</w:t>
      </w:r>
      <w:r>
        <w:t xml:space="preserve"> MEGATRENDS IN LOGISTICS AND SUPPLY CHAINS: APPROACHES OF RESEARCH LABORATORIES AT THE FACULTY OF LOGISTICS, UNIVERSITY OF MARIBOR — https://doi.org/10.58952/zriut202601115l</w:t>
      </w:r>
    </w:p>
    <w:p>
      <w:pPr/>
      <w:r>
        <w:rPr>
          <w:b/>
        </w:rPr>
        <w:t>Shared claim-specific concepts:</w:t>
      </w:r>
      <w:r>
        <w:t xml:space="preserve"> megatrends, long-term, forces; EU scope not established. This is a provisional connection, not an outcome finding.</w:t>
      </w:r>
    </w:p>
    <w:p>
      <w:pPr>
        <w:pStyle w:val="SourceNote"/>
      </w:pPr>
      <w:r>
        <w:rPr>
          <w:b/>
        </w:rPr>
        <w:t>Available abstract (not full text):</w:t>
      </w:r>
      <w:r>
        <w:t xml:space="preserve"> Megatrends are long-term, global forces that shape the economy, society, technology, and culture, posing new challenges for logistics. The aim of this paper is to examine the impact of key megatrends on logistics processes and supply chains, and to demonstrate how the research laboratories of the Faculty of Logistics at the University of Maribor (FLUM) adapt to these megatrends in developing innovative, flexible, and sustainable solutions. The megatrends considered include demographic changes, technological development, collaboration and integration, globalisation, and environmental factors and sustainability. The following section presents how FLUM research laboratories contribute to adapting to key megatrends. The Laboratory for Cognitive Systems in Logistics addresses technological megatrends by developing artificial intelligence algorithms for decision optimisation and process automation. The Laboratory for Quantitative Modeling in Logistics supports technological development and the complexity of global supply chains through mathematical modeling and big data analytics to enhance efficiency and resilience. The Laboratory for Sustainable Mobility and Transport focuses on environmental megatrends by researching sustainable transport solutions, vehicle electrification, and urban logistics. The Laboratory for Logistics and Supply Chain Management addresses megatrends in global</w:t>
      </w:r>
    </w:p>
    <w:p>
      <w:pPr/>
      <w:r>
        <w:rPr>
          <w:b/>
        </w:rPr>
        <w:t>POSSIBLE 2026:</w:t>
      </w:r>
      <w:r>
        <w:t xml:space="preserve"> Current Development Megatrends and Perspective Directions of Green Tourism in Azerbaijan — https://doi.org/10.32983/2222-0712-2025-4-33-39</w:t>
      </w:r>
    </w:p>
    <w:p>
      <w:pPr/>
      <w:r>
        <w:rPr>
          <w:b/>
        </w:rPr>
        <w:t>Shared claim-specific concepts:</w:t>
      </w:r>
      <w:r>
        <w:t xml:space="preserve"> megatrends, long-term, potential, regions, current; EU scope not established. This is a provisional connection, not an outcome finding.</w:t>
      </w:r>
    </w:p>
    <w:p>
      <w:pPr>
        <w:pStyle w:val="SourceNote"/>
      </w:pPr>
      <w:r>
        <w:rPr>
          <w:b/>
        </w:rPr>
        <w:t>Available abstract (not full text):</w:t>
      </w:r>
      <w:r>
        <w:t xml:space="preserve"> Green tourism has emerged as a key pillar of sustainable development and an important instrument for economic diversification in many countries. This study examines the contemporary development of green tourism in Azerbaijan, identifies the global megatrends influencing its evolution, and assesses the country’s future strategic directions within the framework of sustainable regional development. The research employs a comparative and qualitative methodological approach. Global trends in green tourism development are compared with Azerbaijan’s national experience, with particular attention given to differences in growth rates between mass tourism and ecotourism, socio-economic outcomes across regions and countries, and institutional approaches to sustainable tourism development. Qualitative thematic analysis is applied to evaluate the socio-economic, cultural, and environmental impacts of green tourism, focusing on employment generation, income diversification, community-based tourism, cultural heritage preservation, and environmental awareness. The findings indicate that green tourism in Azerbaijan demonstrates positive development dynamics and strong alignment with global sustainability trends. The country’s rich natural landscapes, cultural heritage, and supportive policy initiatives create significant opportunities for expanding eco-friendly and nature-based tourism. Green t</w:t>
      </w:r>
    </w:p>
    <w:p>
      <w:pPr/>
      <w:r>
        <w:rPr>
          <w:b/>
        </w:rPr>
        <w:t>POSSIBLE 2026:</w:t>
      </w:r>
      <w:r>
        <w:t xml:space="preserve"> Driving sustainability, resilience, and digitalisation in automotive supply chains: A stochastic maturity model for future-oriented transformation — https://doi.org/10.1016/j.sftr.2026.102185</w:t>
      </w:r>
    </w:p>
    <w:p>
      <w:pPr/>
      <w:r>
        <w:rPr>
          <w:b/>
        </w:rPr>
        <w:t>Shared claim-specific concepts:</w:t>
      </w:r>
      <w:r>
        <w:t xml:space="preserve"> megatrends, driving, potential; EU scope not established. This is a provisional connection, not an outcome finding.</w:t>
      </w:r>
    </w:p>
    <w:p>
      <w:pPr>
        <w:pStyle w:val="SourceNote"/>
      </w:pPr>
      <w:r>
        <w:rPr>
          <w:b/>
        </w:rPr>
        <w:t>Available abstract (not full text):</w:t>
      </w:r>
      <w:r>
        <w:t xml:space="preserve"> Digitalisation, resilience, and sustainability are key drivers of contemporary supply chain transformation, requiring organisations to make strategic decisions under conditions of uncertainty. To support such decisions, this paper presents a stochastic maturity model that supports the assessment, prioritisation, and continuous improvement of SCM and logistics megatrends and trends under uncertainty. The proposed model combines a configurable maturity structure with Stochastic Multicriteria Acceptability Analysis (SMAA) and empirical probability distributions to enable uncertainty-aware prioritisation of transformation initiatives while remaining adaptable to organisation-specific contexts and continuously evolving business environments. To evaluate the proposed assessment methodology in practice, nine of its ten phases were implemented at a passenger car manufacturer using a panel of six experts. The automotive industry was selected because of the complexity of its global supply chains and advanced logistics practices, providing a demanding environment for evaluating the proposed model. The results demonstrate the feasibility of the proposed assessment procedure in a real industrial environment and illustrate its potential to support strategic decision-making, prioritise transformation initiatives, and facilitate sustainability-oriented supply chain transformation under conditi</w:t>
      </w:r>
    </w:p>
    <w:p>
      <w:pPr/>
      <w:r>
        <w:rPr>
          <w:b/>
        </w:rPr>
        <w:t>POSSIBLE 2025:</w:t>
      </w:r>
      <w:r>
        <w:t xml:space="preserve"> Megatrends and weak signals shaping future real estate — https://doi.org/10.5334/bc.507</w:t>
      </w:r>
    </w:p>
    <w:p>
      <w:pPr/>
      <w:r>
        <w:rPr>
          <w:b/>
        </w:rPr>
        <w:t>Shared claim-specific concepts:</w:t>
      </w:r>
      <w:r>
        <w:t xml:space="preserve"> megatrends, long-term, driving, forces, current; EU scope visible. This is a provisional connection, not an outcome finding.</w:t>
      </w:r>
    </w:p>
    <w:p>
      <w:pPr>
        <w:pStyle w:val="SourceNote"/>
      </w:pPr>
      <w:r>
        <w:rPr>
          <w:b/>
        </w:rPr>
        <w:t>Available abstract (not full text):</w:t>
      </w:r>
      <w:r>
        <w:t xml:space="preserve"> Society prepares for an envisioned future by shaping that future to align with current perceptions. This paper explores real estate market participants’ (n ≥ 840) perceptions of various forces influencing the future of housing, retail and office spaces, and their market environments. Real estate actors impact future cities through their space-use preferences, investment decisions and public regulations, which are driven by their expectations for the future. An environmental scanning method is used to investigate both megatrends and possible weak signals in Eastern Europe. The findings suggest that digitalisation and environmental pressure are perceived as the primary drivers of future spaces, while demographic forces play a lesser role. Although location and accessibility-related issues, along with economic drivers, have traditionally been paramount, these are now being overshadowed by the new forces. Sustainability is perceived to have a comparatively limited influence on office spaces compared with its impact on retail and housing. Technological development and digital transformation seem to eclipse the sector’s attention to demographic factors and sustainability concerns. Weak signals potentially driving the future development include emerging phenomena such as multicultural and generational space use, the role of urban nature, and innovations in the built environment. Pract</w:t>
      </w:r>
    </w:p>
    <w:p>
      <w:pPr/>
      <w:r>
        <w:rPr>
          <w:b/>
        </w:rPr>
        <w:t>POSSIBLE 2025:</w:t>
      </w:r>
      <w:r>
        <w:t xml:space="preserve"> Global forces and local impacts: megatrends in regional development — https://doi.org/10.1093/cjres/rsae047</w:t>
      </w:r>
    </w:p>
    <w:p>
      <w:pPr/>
      <w:r>
        <w:rPr>
          <w:b/>
        </w:rPr>
        <w:t>Shared claim-specific concepts:</w:t>
      </w:r>
      <w:r>
        <w:t xml:space="preserve"> megatrends, long-term, forces, today, regions, current; EU scope not established. This is a provisional connection, not an outcome finding.</w:t>
      </w:r>
    </w:p>
    <w:p>
      <w:pPr>
        <w:pStyle w:val="SourceNote"/>
      </w:pPr>
      <w:r>
        <w:rPr>
          <w:b/>
        </w:rPr>
        <w:t>Available abstract (not full text):</w:t>
      </w:r>
      <w:r>
        <w:t xml:space="preserve"> The world has recently faced a series of shocks and crises, including the COVID pandemic, the wars in Ukraine and the Middle East, and the rise of more inward-looking political regimes and policies. These are shocks that coincide with long-standing trends of real income stagnation for some and poverty for many, and also with persistent spatial inequalities within and between countries. Furthermore, these crisis episodes intersect and overlap with many long-term structural shifts or megatrends including global warming, unprecedented technological change, demographical changes and, more generally, a trend towards a spatially fragmented economic and political world order. This issue of the Cambridge Journal of Regions, Economy and Society considers how such crises and megatrends may have major socio-economic impacts on cities, regions and countries. Some observers claim that the world has changed fundamentally including suffering from an unprecedented polycrisis, see for instance the views expressed by the historian Adam Tooze.1 Others are more cautious and believe that from an historical perspective, there is nothing exceptional or permanent about the current turmoil per se (Frankopan, 2025). Next to this introduction, the contributions to this issue (11 papers and 3 commentaries) reflect and take stock as to what the spatial impact is of various crises and megatrends. From a reg</w:t>
      </w:r>
    </w:p>
    <w:p>
      <w:pPr/>
      <w:r>
        <w:rPr>
          <w:b/>
        </w:rPr>
        <w:t>POSSIBLE 2025:</w:t>
      </w:r>
      <w:r>
        <w:t xml:space="preserve"> Megatrends and emerging issues: Impacts on food safety — https://doi.org/10.1111/1541-4337.70170</w:t>
      </w:r>
    </w:p>
    <w:p>
      <w:pPr/>
      <w:r>
        <w:rPr>
          <w:b/>
        </w:rPr>
        <w:t>Shared claim-specific concepts:</w:t>
      </w:r>
      <w:r>
        <w:t xml:space="preserve"> megatrends, driving, likely, potential, drive, increasingly; EU scope not established. This is a provisional connection, not an outcome finding.</w:t>
      </w:r>
    </w:p>
    <w:p>
      <w:pPr>
        <w:pStyle w:val="SourceNote"/>
      </w:pPr>
      <w:r>
        <w:rPr>
          <w:b/>
        </w:rPr>
        <w:t>Available abstract (not full text):</w:t>
      </w:r>
      <w:r>
        <w:t xml:space="preserve"> The world is changing at a pace, driven by global megatrends and their interactions. Megatrends, including climate change, the drive for sustainability, an aging population, urbanization, and geopolitical tensions, are producing an increasingly challenging environment for the provision of a safe and secure food supply. To ensure a robust, safe, and secure food supply for all, potential food safety impacts associated with these megatrends need to be understood, and mitigation and management plans must be implemented. This paper outlines the relevant megatrends, discusses their potential impact on food safety, and suggests steps to help ensure the production of safe food in the future. Megatrends are increasingly driving resource depletion, reducing the vitality of plants and animals, increasing the geographical spread of animal and plant pathogens, increasing the risk of mycotoxins, agrichemical residues, and antimicrobial-resistant pathogens contaminating foods, and threatening to destabilize food systems and the food regulatory network. Science-based actions, adopting continual and dynamic risk assessments, alongside the use of more sensitive and accurate methods for the detection of contaminants, may counter these challenges. The use of artificial intelligence, robotics and automation, the enhancement of food safety cultures, the continued education and training of workforces</w:t>
      </w:r>
    </w:p>
    <w:p>
      <w:pPr/>
      <w:r>
        <w:rPr>
          <w:b/>
        </w:rPr>
        <w:t>POSSIBLE 2025:</w:t>
      </w:r>
      <w:r>
        <w:t xml:space="preserve"> Integrating Social–Ecological Systems and Megatrends: A Participatory Foresight Framework for Sustainability Governance in European Cold Lands — https://doi.org/10.3390/su17219644</w:t>
      </w:r>
    </w:p>
    <w:p>
      <w:pPr/>
      <w:r>
        <w:rPr>
          <w:b/>
        </w:rPr>
        <w:t>Shared claim-specific concepts:</w:t>
      </w:r>
      <w:r>
        <w:t xml:space="preserve"> megatrends, potential, regions; EU scope visible. This is a provisional connection, not an outcome finding.</w:t>
      </w:r>
    </w:p>
    <w:p>
      <w:pPr>
        <w:pStyle w:val="SourceNote"/>
      </w:pPr>
      <w:r>
        <w:rPr>
          <w:b/>
        </w:rPr>
        <w:t>Available abstract (not full text):</w:t>
      </w:r>
      <w:r>
        <w:t xml:space="preserve"> Mountainous and sparsely populated regions in Europe—here called “cold lands”—are particularly exposed to global megatrends such as climate change, demographic shifts, and economic restructuring. Addressing these interconnected challenges requires approaches that link foresight with local governance systems. This study presents a pilot methodological framework that integrates Ostrom’s Social-Ecological Systems (SES) model with the European Commission’s Megatrend Assessment method to support participatory foresight. The framework was tested in two illustrative cases, located in the Italian Alps and Norway, to demonstrate its feasibility and potential value. Through a structured discussion among researchers, key megatrends were prioritised, and qualitative scenarios were developed to explore how community preparedness can influence socio-ecological outcomes. The results highlight climate change, resource scarcity, and demographic imbalances as dominant drivers, while contrasting scenarios illustrate how proactive governance can mitigate vulnerability and foster adaptive capacity. The approach contributes a replicable and scalable foresight tool to bridge global trends and local sustainability strategies, supporting anticipatory and community-based governance in vulnerable territories.</w:t>
      </w:r>
    </w:p>
    <w:p>
      <w:pPr/>
      <w:r>
        <w:rPr>
          <w:b/>
        </w:rPr>
        <w:t>POSSIBLE 2025:</w:t>
      </w:r>
      <w:r>
        <w:t xml:space="preserve"> Foresight study for addressing megatrends in information and communication technology (ICT) — https://doi.org/10.1186/s13731-025-00466-z</w:t>
      </w:r>
    </w:p>
    <w:p>
      <w:pPr/>
      <w:r>
        <w:rPr>
          <w:b/>
        </w:rPr>
        <w:t>Shared claim-specific concepts:</w:t>
      </w:r>
      <w:r>
        <w:t xml:space="preserve"> megatrends, potential, current; EU scope visible. This is a provisional connection, not an outcome finding.</w:t>
      </w:r>
    </w:p>
    <w:p>
      <w:pPr>
        <w:pStyle w:val="SourceNote"/>
      </w:pPr>
      <w:r>
        <w:rPr>
          <w:b/>
        </w:rPr>
        <w:t>Available abstract (not full text):</w:t>
      </w:r>
      <w:r>
        <w:t xml:space="preserve"> Information and communications technology (ICT) encompasses the infrastructure and components that enable modern computing. In the context of Europe, the adoption of cutting-edge ICT is rapidly accelerating competitiveness, innovation, and job creation. However, this progress depends on a skilled workforce capable of implementing these advanced technologies effectively. This study aims to explore current ICT trends while addressing the digital skills gap in Southern Europe. The research focused on three countries: Greece, Cyprus, and Bulgaria. To gather relevant insights, two rounds of the Delphi technique were employed to reach a consensus on the most crucial digital skills shaping the future. The findings reveal a rapidly evolving landscape of digital competencies essential for navigating the transformative era of advanced ICT technologies. The study highlights emerging megatrends in the ICT sector, such as AI integration, cybersecurity challenges, and the shift toward 5G, underscoring the need for continuous upskilling to remain competitive in the global market. As ICT continues to evolve, it is clear that developing a skilled workforce will be vital to unlocking the potential of these technologies in Southern Europe.</w:t>
      </w:r>
    </w:p>
    <w:p>
      <w:pPr/>
      <w:r>
        <w:rPr>
          <w:b/>
        </w:rPr>
        <w:t>POSSIBLE 2025:</w:t>
      </w:r>
      <w:r>
        <w:t xml:space="preserve"> Index assessment of the level of development of e-government in Ukraine in relation to world trends — https://doi.org/10.33108/galicianvisnyk_tntu2025.03.167</w:t>
      </w:r>
    </w:p>
    <w:p>
      <w:pPr/>
      <w:r>
        <w:rPr>
          <w:b/>
        </w:rPr>
        <w:t>Shared claim-specific concepts:</w:t>
      </w:r>
      <w:r>
        <w:t xml:space="preserve"> long-term, current, increasingly; EU scope visible. This is a provisional connection, not an outcome finding.</w:t>
      </w:r>
    </w:p>
    <w:p>
      <w:pPr>
        <w:pStyle w:val="SourceNote"/>
      </w:pPr>
      <w:r>
        <w:rPr>
          <w:b/>
        </w:rPr>
        <w:t>Available abstract (not full text):</w:t>
      </w:r>
      <w:r>
        <w:t xml:space="preserve"> Over the past few decades, the public administration sector around the world has been radically changing towards the formation of digital or electronic government. This has served as an important political priority for the effective provision of public services. Currently, the concept of digital government is no longer new, but with the rapid development of information and communication technologies, it is becoming increasingly complex, as the boundaries between physical and digital government are increasingly blurred, and the connections between different sectors are becoming more complex and interconnected. In fact, in the hybrid digital era, an integrated ecosystem of digital government is being formed, that is, a transition from traditional isolated models to more flexible and adaptive network systems that are better able to cope with the current complex needs of society [1]. Periodic large-scale UN reviews of e-government development in the world based on the EGDI Index serve as a solid basis for a detailed analysis of the main trends and national achievements from a global and regional perspective. The materials of these studies indicate that the pace of e-government development in Ukraine in recent years has outpaced both the global and average European ones. This allowed our country to take the highest positions in the ranking for the comprehensive indicator in 2024 – t</w:t>
      </w:r>
    </w:p>
    <w:p>
      <w:pPr/>
      <w:r>
        <w:rPr>
          <w:b/>
        </w:rPr>
        <w:t>POSSIBLE 2025:</w:t>
      </w:r>
      <w:r>
        <w:t xml:space="preserve"> Enabling and constraining factors for organic agriculture in Europe: a spatial analysis — https://doi.org/10.1088/2976-601x/adf22e</w:t>
      </w:r>
    </w:p>
    <w:p>
      <w:pPr/>
      <w:r>
        <w:rPr>
          <w:b/>
        </w:rPr>
        <w:t>Shared claim-specific concepts:</w:t>
      </w:r>
      <w:r>
        <w:t xml:space="preserve"> driving, forces, current; EU scope visible. This is a provisional connection, not an outcome finding.</w:t>
      </w:r>
    </w:p>
    <w:p>
      <w:pPr>
        <w:pStyle w:val="SourceNote"/>
      </w:pPr>
      <w:r>
        <w:rPr>
          <w:b/>
        </w:rPr>
        <w:t>Available abstract (not full text):</w:t>
      </w:r>
      <w:r>
        <w:t xml:space="preserve"> Abstract The European Commission has set a target of making 25% of its agricultural land organic by 2030. This is part of the farm-to-fork strategy to produce high-quality food in a more environmentally friendly way. However, there are large disparities between and within member states in the share of agricultural land currently managed as organic. Current statistics available on organic agriculture in the EU are limited to national or subnational scale. In addition to that, studies on location factors of organic agriculture are mostly conducted at the national or subnational level. This constitutes a major obstacle in formulating policies to improve the share of organic agriculture within Europe. This study analyses the influence of socioeconomic, climate, and biophysical variables on the spatial distribution of certified organic producers at high resolution throughout Europe. To do so, it maps the location of current organic agriculture throughout Europe, using detailed postcode-level data from certification registries. Subsequently, regression analysis at NUTS 2 and 1 km 2 resolution identify the driving forces for their location. The results indicate that organic agriculture is found predominantly in areas close to markets and with unfavourable biophysical conditions for conventional agriculture. Population density was found to be the single strongest indicator increasing t</w:t>
      </w:r>
    </w:p>
    <w:p>
      <w:pPr/>
      <w:r>
        <w:rPr>
          <w:b/>
        </w:rPr>
        <w:t>POSSIBLE 2024:</w:t>
      </w:r>
      <w:r>
        <w:t xml:space="preserve"> Global Megatrends Impacts on the Landscape, Analysis Based on Key Drivers of the Megatrends and Landscape Change: Case Study of Danubian Lowland, Slovakia — https://doi.org/10.2478/eko-2024-0019</w:t>
      </w:r>
    </w:p>
    <w:p>
      <w:pPr/>
      <w:r>
        <w:rPr>
          <w:b/>
        </w:rPr>
        <w:t>Shared claim-specific concepts:</w:t>
      </w:r>
      <w:r>
        <w:t xml:space="preserve"> megatrends, potential, regions; EU scope visible. This is a provisional connection, not an outcome finding.</w:t>
      </w:r>
    </w:p>
    <w:p>
      <w:pPr>
        <w:pStyle w:val="SourceNote"/>
      </w:pPr>
      <w:r>
        <w:rPr>
          <w:b/>
        </w:rPr>
        <w:t>Available abstract (not full text):</w:t>
      </w:r>
      <w:r>
        <w:t xml:space="preserve"> Abstract Global megatrends (GMTs) reshape landscapes worldwide, posing challenges for sustainability. This study delves into the complex interplay between GMTs and landscape changes in the Danube Lowland region of Slovakia, a microcosm of broader trends. Leveraging the concept of representative potential geoecosystems (REPGES), we assess historical landscape transformations and correlate them with key GMT drivers. Results reveal significant urban expansion linked to GMT2, primarily impacting the Bratislava area. Simultaneously, GMT5-driven economic growth manifests in agricultural land expansion and the total loss of one REPGES type. Notably, these changes coincide with a decrease in ecological stability across the region. Spatial analysis further unravels the interplay of GMTs, highlighting areas under intense urban and agricultural pressure. Our findings not only shed light on specific GMT impacts in the Danube Lowland but also offer valuable insights for landscape management across diverse regions facing similar megatrends. By understanding these complex interactions, we can develop informed strategies to navigate the challenges and opportunities presented by a globalized world, promoting sustainable landscapes for the future.</w:t>
      </w:r>
    </w:p>
    <w:p>
      <w:pPr>
        <w:pStyle w:val="Heading2"/>
      </w:pPr>
      <w:r>
        <w:t>562. Towards a decarbonised building stock by 2050: The meaning and the role of zero emission buildings (ZEBs) in Europe</w:t>
      </w:r>
    </w:p>
    <w:p>
      <w:pPr>
        <w:pStyle w:val="SourceNote"/>
      </w:pPr>
      <w:r>
        <w:rPr>
          <w:b/>
        </w:rPr>
        <w:t>Original source (2022):</w:t>
      </w:r>
      <w:r>
        <w:t xml:space="preserve"> https://doi.org/10.1016/j.esr.2022.101009</w:t>
      </w:r>
    </w:p>
    <w:p>
      <w:pPr/>
      <w:r>
        <w:t>Original wording (abstract; indexed_source_text_not_full_document_verified): The revision of the Energy Performance of Building Directive (EPBD) sets out how Europe can achieve a decarbonised building stock by 2050.</w:t>
      </w:r>
    </w:p>
    <w:p>
      <w:pPr/>
      <w:r>
        <w:rPr>
          <w:b/>
        </w:rPr>
        <w:t>POSSIBLE 2026:</w:t>
      </w:r>
      <w:r>
        <w:t xml:space="preserve"> European Energy Performance of Buildings Directive and Cultural Heritage — https://openalex.org/W7126308985</w:t>
      </w:r>
    </w:p>
    <w:p>
      <w:pPr/>
      <w:r>
        <w:rPr>
          <w:b/>
        </w:rPr>
        <w:t>Shared claim-specific concepts:</w:t>
      </w:r>
      <w:r>
        <w:t xml:space="preserve"> energy, performance, building, directive, epbd; EU scope visible. This is a provisional connection, not an outcome finding.</w:t>
      </w:r>
    </w:p>
    <w:p>
      <w:pPr>
        <w:pStyle w:val="SourceNote"/>
      </w:pPr>
      <w:r>
        <w:rPr>
          <w:b/>
        </w:rPr>
        <w:t>Available abstract (not full text):</w:t>
      </w:r>
      <w:r>
        <w:t xml:space="preserve"> This report summarises the work of the ICOMOS Expert Group on the Implementation of the Energy Performance of Buildings Directive (EPBD) in the Built Heritage Sector, established in 2023 to evaluate the impact of the EPBD recast on Europe’s historic buildings. Adopted under the European Green Deal, the recast Directive introduces Minimum Energy Performance Standards (MEPS), Zero-Emission Building (ZEB) targets, and life-cycle carbon assessment obligations. These measures represent a significant step towards climate neutrality, but they also present complex challenges for culturally and architecturally significant buildings. The Expert Group gathered evidence from over nineteen EU and non-EU countries through national fact sheets, thematic analyses, and case studies. Executive summary distills the main findings, strategic recommendations, and future priorities emerging from this research.</w:t>
      </w:r>
    </w:p>
    <w:p>
      <w:pPr/>
      <w:r>
        <w:rPr>
          <w:b/>
        </w:rPr>
        <w:t>POSSIBLE 2026:</w:t>
      </w:r>
      <w:r>
        <w:t xml:space="preserve"> Sustainability of the European Energy System: The Evolution of the Energy Transition, Renewable Energy, and Energy Conservation — https://doi.org/10.3390/su18084046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Energy efficiency improvement represents a central strategic objective of the European Union (EU), essential for mitigating climate change and facilitating the transition toward a sustainable energy system. In 2023, renewable energy sources generated approximately 46% of the electricity produced in the EU, becoming the dominant component of the regional energy mix. This progress has been supported by coherent public policies, dedicated investment programs, and regulatory mechanisms aimed at accelerating the adoption of sustainable technologies. However, the existing literature highlights a research gap regarding the relationship between the dynamics of the European energy transition, the operational challenges generated by the rapid increase in the share of renewable energy sources, and the potential for energy savings in the residential sector through non-technological interventions. This paper analyzes the structural transformations of the European energy mix, the limitations of energy systems in the context of accelerated renewable energy integration, and the role of behavioral interventions in supporting the stability of the energy system. The study examines the dynamics of residential energy consumption, behavioral determinants of energy use, and the effectiveness of instruments such as information campaigns, real-time feedback, dynamic pricing, and demand response program</w:t>
      </w:r>
    </w:p>
    <w:p>
      <w:pPr/>
      <w:r>
        <w:rPr>
          <w:b/>
        </w:rPr>
        <w:t>POSSIBLE 2026:</w:t>
      </w:r>
      <w:r>
        <w:t xml:space="preserve"> Enhancing the Energy Transition of European Cities through Energy Communities — https://doi.org/10.1007/s11067-026-09759-6</w:t>
      </w:r>
    </w:p>
    <w:p>
      <w:pPr/>
      <w:r>
        <w:rPr>
          <w:b/>
        </w:rPr>
        <w:t>Shared claim-specific concepts:</w:t>
      </w:r>
      <w:r>
        <w:t xml:space="preserve"> energy, performance, building; EU scope visible. This is a provisional connection, not an outcome finding.</w:t>
      </w:r>
    </w:p>
    <w:p>
      <w:pPr>
        <w:pStyle w:val="SourceNote"/>
      </w:pPr>
      <w:r>
        <w:rPr>
          <w:b/>
        </w:rPr>
        <w:t>Available abstract (not full text):</w:t>
      </w:r>
      <w:r>
        <w:t xml:space="preserve"> Abstract Urban areas account for over 70% of greenhouse gas emissions and are therefore central to the European Union’s goal of climate neutrality by 2030. This paper examines energy communities as enabling mechanisms for the urban energy transition, focusing on their capacity to integrate renewable generation, strengthen local engagement, and improve system-level performance. Framed within the EU’s Climate Neutral and Smart Cities Mission, energy communities are interpreted through the lenses of connectivity, circularity, and the regenerative economy, as they link prosumers through digitally coordinated, decentralized energy exchanges that promote local energy reuse and value regeneration. While not a standalone solution, energy communities illustrate a systemic approach that complements broader electrification, smart grid, and governance strategies. Specifically, we present a day-ahead scheduling model applied to a real medium-voltage distribution network in Modena, Italy. This model minimizes energy procurement costs, derives internal transaction prices using shadow prices, and shows how storage and local generation enhance economic and operational performance. We also quantify how community size and energy exchange rules affect efficiency. The results show that energy communities – when embedded in broader electrification and smart grid strategies – can play a catalytic rol</w:t>
      </w:r>
    </w:p>
    <w:p>
      <w:pPr/>
      <w:r>
        <w:rPr>
          <w:b/>
        </w:rPr>
        <w:t>POSSIBLE 2026:</w:t>
      </w:r>
      <w:r>
        <w:t xml:space="preserve"> Characteristics of proactive criteria for residential building assessment in the context of the 2024 EPBD Directive — https://doi.org/10.24425/ace.2026.1390</w:t>
      </w:r>
    </w:p>
    <w:p>
      <w:pPr/>
      <w:r>
        <w:rPr>
          <w:b/>
        </w:rPr>
        <w:t>Shared claim-specific concepts:</w:t>
      </w:r>
      <w:r>
        <w:t xml:space="preserve"> building, directive, epbd, achieve; EU scope visible. This is a provisional connection, not an outcome finding.</w:t>
      </w:r>
    </w:p>
    <w:p>
      <w:pPr>
        <w:pStyle w:val="SourceNote"/>
      </w:pPr>
      <w:r>
        <w:rPr>
          <w:b/>
        </w:rPr>
        <w:t>Available abstract (not full text):</w:t>
      </w:r>
      <w:r>
        <w:t xml:space="preserve"> In this article, the authors present a proposal for a set of criteria for assessing residential buildings in terms of their level of proactivity. The criteria outlined by the authors were developed based on the technological guidelines contained in the latest building directive (EPBD) published in April 2024, as well as guidelines derived from the concept of sustainable construction, particularly focusing on three aspects: environmental, social, and economic. Given the large-scale actions currently underway as part of the so-called "Renovation Wave" program for buildings across the European Union, there is a need to define appropriate directions and processes to achieve the intended goals. In the article, the authors define the new concept of proactive construction and present a set of categories and criteria that should be considered when assessing residential buildings to ensure they meet the newly established requirements for their one- or multi-stage renovation.</w:t>
      </w:r>
    </w:p>
    <w:p>
      <w:pPr/>
      <w:r>
        <w:rPr>
          <w:b/>
        </w:rPr>
        <w:t>POSSIBLE 2026:</w:t>
      </w:r>
      <w:r>
        <w:t xml:space="preserve"> A BIM–LCA Framework for Whole-Life Carbon Assessment Under EPBD: Scope Alignment, Functional Unit Robustness, and Cross-Tool Validation — https://doi.org/10.3390/app16062637</w:t>
      </w:r>
    </w:p>
    <w:p>
      <w:pPr/>
      <w:r>
        <w:rPr>
          <w:b/>
        </w:rPr>
        <w:t>Shared claim-specific concepts:</w:t>
      </w:r>
      <w:r>
        <w:t xml:space="preserve"> revision, energy, performance, building, directive, epbd; EU scope visible. This is a provisional connection, not an outcome finding.</w:t>
      </w:r>
    </w:p>
    <w:p>
      <w:pPr>
        <w:pStyle w:val="SourceNote"/>
      </w:pPr>
      <w:r>
        <w:rPr>
          <w:b/>
        </w:rPr>
        <w:t>Available abstract (not full text):</w:t>
      </w:r>
      <w:r>
        <w:t xml:space="preserve"> The recent revision of the European Energy Performance of Buildings Directive (EPBD) introduces mandatory whole-life global warming potential (GWP) reporting, creating practical challenges for building life-cycle assessment due to incomplete life-cycle phase coverage in conventional Environmental Product Declarations (EPDs). This study develops and validates an integrated BIM–LCA framework for structured whole-building GWP evaluation through harmonized life-cycle module alignment and cross-tool comparison, with emphasis on the early design stages. The workflow combines rapid BIM-based screening with detailed external LCA validation, establishing a tiered assessment strategy that enables iterative material optimization within the BIM environment prior to expert review. The methodology is applied to two residential construction systems (masonry and timber), and three functional units are evaluated: total whole-building GWP, area-normalized GWP, and material-level contributions. Five comparative scenarios are analyzed, including reference, nationally representative, optimized low-carbon, and European benchmark configurations. The results show progressive GWP reductions ranging from 5% to 30% across scenarios. Although substantial absolute deviations are observed between BIM-integrated and professional LCA tools, scenario-level rankings remain fully consistent across all functional</w:t>
      </w:r>
    </w:p>
    <w:p>
      <w:pPr/>
      <w:r>
        <w:rPr>
          <w:b/>
        </w:rPr>
        <w:t>POSSIBLE 2026:</w:t>
      </w:r>
      <w:r>
        <w:t xml:space="preserve"> Residential Building Renovation under the EPBD – A Swedish Perspective — https://openalex.org/W7165282719</w:t>
      </w:r>
    </w:p>
    <w:p>
      <w:pPr/>
      <w:r>
        <w:rPr>
          <w:b/>
        </w:rPr>
        <w:t>Shared claim-specific concepts:</w:t>
      </w:r>
      <w:r>
        <w:t xml:space="preserve"> energy, performance, building, directive, epbd, out; EU scope visible. This is a provisional connection, not an outcome finding.</w:t>
      </w:r>
    </w:p>
    <w:p>
      <w:pPr>
        <w:pStyle w:val="SourceNote"/>
      </w:pPr>
      <w:r>
        <w:rPr>
          <w:b/>
        </w:rPr>
        <w:t>Available abstract (not full text):</w:t>
      </w:r>
      <w:r>
        <w:t xml:space="preserve"> The Energy Performance of Buildings Directive (EPBD) amendment of 2024 is a major tool in the EU’s environmental aim of net-zero carbon emissions for the building stock by 2050. The overall goal is to improve energy performance, boost renovation rates, reduce energy bills and support decarbonisation of the building stock. This thesis investigates through a literature review, what the 2024 recast of the EPBD implies for national building regulations - with a focus on Sweden’s approaches. With the gained knowledge, the effects on renovation strategies of Swedish large residential building stock owners were assessed by benchmarking a case study of the worst performing buildings (WPBs) of one such actor against identified trajectories of EPpet reduction. Aiming to determine renovation pathways needed to comply with the implied requirements for energy efficiency. This thesis combines a literature review of the EPBD and an overview of its implementation in EU member states, supported by a qualitative interview targeted at one Austrian and four Swedish large residential building stock companies. Moreover, a technical assessment of energy efficiency measures (EEMs) for a real, corporate Swedish residential building stock was conducted, based on its energy performance certificate (EPC) data and building performance simulations (BPS). The stock totals 1994 multi-family houses, of which 1</w:t>
      </w:r>
    </w:p>
    <w:p>
      <w:pPr/>
      <w:r>
        <w:rPr>
          <w:b/>
        </w:rPr>
        <w:t>POSSIBLE 2026:</w:t>
      </w:r>
      <w:r>
        <w:t xml:space="preserve"> Investment Decisions under the revised Energy Performance of Buildings Directive — https://openalex.org/W7163792612</w:t>
      </w:r>
    </w:p>
    <w:p>
      <w:pPr/>
      <w:r>
        <w:rPr>
          <w:b/>
        </w:rPr>
        <w:t>Shared claim-specific concepts:</w:t>
      </w:r>
      <w:r>
        <w:t xml:space="preserve"> energy, performance, building, directive, epbd, stock; EU scope visible. This is a provisional connection, not an outcome finding.</w:t>
      </w:r>
    </w:p>
    <w:p>
      <w:pPr>
        <w:pStyle w:val="SourceNote"/>
      </w:pPr>
      <w:r>
        <w:rPr>
          <w:b/>
        </w:rPr>
        <w:t>Available abstract (not full text):</w:t>
      </w:r>
      <w:r>
        <w:t xml:space="preserve"> The revised Energy Performance of Buildings Directive (EPBD) strengthens the regulatory framework for improving the energy performance of the existing building stock in the European Union. In Sweden, the implementation of the directive is particularly relevant for residential buildings with low energy performance, especially buildings in energy classes F and G. This thesis examines how the revised EPBD influences investment decisions among Swedish real estate companies when renovating low-performing residential buildings. It also analyses which energy efficiency measures appear most relevant in a Swedish context and whether there are identifiable thresholds where further measures are perceived as less cost-effective. The study applies a qualitative research design based on document and policy analysis combined with semi-structured interviews. The document analysis examines the regulatory framework, implementation mechanisms and policy context of the revised EPBD, while the interview study captures strategic perspectives from Swedish real estate companies and actors involved in national implementation. The analysis is supported by theoretical perspectives on the energy-efficiency gap, principal-agent problems, investment under regulatory uncertainty and institutional pressures. The findings show that the revised EPBD increases the strategic importance of low-performing residenti</w:t>
      </w:r>
    </w:p>
    <w:p>
      <w:pPr/>
      <w:r>
        <w:rPr>
          <w:b/>
        </w:rPr>
        <w:t>POSSIBLE 2026:</w:t>
      </w:r>
      <w:r>
        <w:t xml:space="preserve"> Life Cycle Assessment of 3D Concrete Printed Buildings: A Review of Methodologies, Standards and EPBD Compliance — https://doi.org/10.3390/jcs10070367</w:t>
      </w:r>
    </w:p>
    <w:p>
      <w:pPr/>
      <w:r>
        <w:rPr>
          <w:b/>
        </w:rPr>
        <w:t>Shared claim-specific concepts:</w:t>
      </w:r>
      <w:r>
        <w:t xml:space="preserve"> energy, performance, directive, epbd; EU scope visible. This is a provisional connection, not an outcome finding.</w:t>
      </w:r>
    </w:p>
    <w:p>
      <w:pPr>
        <w:pStyle w:val="SourceNote"/>
      </w:pPr>
      <w:r>
        <w:rPr>
          <w:b/>
        </w:rPr>
        <w:t>Available abstract (not full text):</w:t>
      </w:r>
      <w:r>
        <w:t xml:space="preserve"> 3D concrete printing (3DCP) is an emerging modern method of construction with potential to improve construction efficiency, reduce labour requirements, and support the delivery of sustainable housing. In Ireland, its recent adoption coincides with increasing policy emphasis on modern methods of construction and the introduction of stricter European requirements for assessing the climate impact of buildings. The recast Energy Performance of Buildings Directive (EPBD) introduces progressive requirements for the calculation and reporting of whole-life Global Warming Potential (GWP) for new buildings, creating a need for Life Cycle Assessment (LCA) methodologies aligned with current regulatory requirements and capable of capturing the specific characteristics of emerging construction technologies. This paper reviews the applicability of the EPBD, EN 15978, EN 15804, Level(s), and relevant Irish methodologies to 3DCP buildings. It also examines existing LCA studies on 3DCP and evaluates their methodological scope, system boundaries, functional units, data sources, and alignment with current regulatory requirements. The review shows that most existing 3DCP LCA studies remain focused on materials, components, or limited life-cycle stages, with cradle-to-gate assessments being particularly common. Consequently, many published studies do not fully align with the whole-building, cradle-t</w:t>
      </w:r>
    </w:p>
    <w:p>
      <w:pPr/>
      <w:r>
        <w:rPr>
          <w:b/>
        </w:rPr>
        <w:t>POSSIBLE 2026:</w:t>
      </w:r>
      <w:r>
        <w:t xml:space="preserve"> Sustainability and ESG Performance in Renewable Energy Companies: A Comparative Multiple Case Study of Türkiye and Europe — https://doi.org/10.37241/jatss.2026.159</w:t>
      </w:r>
    </w:p>
    <w:p>
      <w:pPr/>
      <w:r>
        <w:rPr>
          <w:b/>
        </w:rPr>
        <w:t>Shared claim-specific concepts:</w:t>
      </w:r>
      <w:r>
        <w:t xml:space="preserve"> energy, performance; EU scope visible. This is a provisional connection, not an outcome finding.</w:t>
      </w:r>
    </w:p>
    <w:p>
      <w:pPr>
        <w:pStyle w:val="SourceNote"/>
      </w:pPr>
      <w:r>
        <w:rPr>
          <w:b/>
        </w:rPr>
        <w:t>Available abstract (not full text):</w:t>
      </w:r>
      <w:r>
        <w:t xml:space="preserve"> Introduction: This study provides a comparative analysis of sustainability performance between Turkish renewable energy companies Aydem, Smart Solar, Galata Wind and European counterparts for the 2020–2022 period. The research addresses the critical gap in understanding how sustainability practices differ between emerging and developed energy markets, and whether convergence trends exist despite structural disparities. Method: The analysis focuses on three key dimensions of corporate sustainability (financial, environmental, and social indicators). Data was compiled from companies' sustainability and activity reports and analyzed using descriptive statistics, comparative indicator analysis, min-max normalization, and the creation of an equally weighted composite ESG index. Results or Findings: The findings reveal significant differences between Turkish and European companies. While European companies demonstrate substantially higher financial capacity and installed power, Turkish companies exhibit rapid growth despite scale limitations. In environmental indicators, although European companies have higher absolute values, normalized data show more efficient carbon and water intensities compared to most Turkish companies. Social indicators reveal persistent gender imbalance across the entire sample, yet European companies demonstrate more systematic training practices and lower a</w:t>
      </w:r>
    </w:p>
    <w:p>
      <w:pPr/>
      <w:r>
        <w:rPr>
          <w:b/>
        </w:rPr>
        <w:t>POSSIBLE 2026:</w:t>
      </w:r>
      <w:r>
        <w:t xml:space="preserve"> Hydrogen integration into the European energy system — https://doi.org/10.36253/979-12-215-1013-3.04</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This chapter analyses the regulatory, policy, and infrastructural framework supporting hydrogen deployment within the European Union. It reviews major EU initiatives - including the Hydrogen Strategy, Fit for 55, REPowerEU, and funding mechanisms - designed to scale up renewable and low-carbon hydrogen production and demand. Particular attention is given to market creation, investment needs, and governance challenges across Member States with diverse energy systems. The chapter also discusses plans for a pan-European hydrogen network, such as the European Hydrogen Backbone, emphasising cross-border infrastructure as a cornerstone for system integration and long-term decarbonisation.</w:t>
      </w:r>
    </w:p>
    <w:p>
      <w:pPr/>
      <w:r>
        <w:rPr>
          <w:b/>
        </w:rPr>
        <w:t>POSSIBLE 2026:</w:t>
      </w:r>
      <w:r>
        <w:t xml:space="preserve"> LCA of smart building energy systems and installations from a Nordic perspective — https://openalex.org/W7204674710</w:t>
      </w:r>
    </w:p>
    <w:p>
      <w:pPr/>
      <w:r>
        <w:rPr>
          <w:b/>
        </w:rPr>
        <w:t>Shared claim-specific concepts:</w:t>
      </w:r>
      <w:r>
        <w:t xml:space="preserve"> revision, energy, performance, building, directive, epbd; EU scope visible. This is a provisional connection, not an outcome finding.</w:t>
      </w:r>
    </w:p>
    <w:p>
      <w:pPr>
        <w:pStyle w:val="SourceNote"/>
      </w:pPr>
      <w:r>
        <w:rPr>
          <w:b/>
        </w:rPr>
        <w:t>Available abstract (not full text):</w:t>
      </w:r>
      <w:r>
        <w:t xml:space="preserve"> The upcoming revision of the Energy Performance of Buildings Directive (EPBD) will require reporting of the whole life-cycle global warming potential (GWP) for new buildings from 2028 at the European level. In the Nordic countries, several frontrunners have already introduced national climate declaration requirements for new buildings. The focus was primarily on embodied emissions from building materials. However, buildings also comprise a wide range of building energy systems (BES) and technical installations, which contribute to the overall impact. Despite their importance, there is currently a lack of research regarding these building components. Therefore, this paper presents greenhouse gas (GHG) emissions of BES and technical installations by using GWP-total climate data. The embodied GHG emissions from the production of air handling units (AHU), lighting systems, cables, cable joints/connectors, LED kits, panel radiators, and transformers are presented as minimum, median, mean, and maximum values. The analysis is based on a dataset of 1,622 environmental product declarations (EPDs) collected across the Nordic countries. The dataset is largely composed of products manufactured in Sweden (44%), followed by Norway (22%) and Estonia (19%), with smaller shares from Finland (7%), Denmark (6%), and Lithuania (2%). The mean values can be used by building designers and environment</w:t>
      </w:r>
    </w:p>
    <w:p>
      <w:pPr/>
      <w:r>
        <w:rPr>
          <w:b/>
        </w:rPr>
        <w:t>POSSIBLE 2026:</w:t>
      </w:r>
      <w:r>
        <w:t xml:space="preserve"> A data-driven framework for operational energy performance certification aligned with directive (EU) 2024/1275 — https://doi.org/10.1051/e3sconf/202670101014/pdf</w:t>
      </w:r>
    </w:p>
    <w:p>
      <w:pPr/>
      <w:r>
        <w:rPr>
          <w:b/>
        </w:rPr>
        <w:t>Shared claim-specific concepts:</w:t>
      </w:r>
      <w:r>
        <w:t xml:space="preserve"> energy, performance, building, directive; EU scope visible. This is a provisional connection, not an outcome finding.</w:t>
      </w:r>
    </w:p>
    <w:p>
      <w:pPr>
        <w:pStyle w:val="SourceNote"/>
      </w:pPr>
      <w:r>
        <w:rPr>
          <w:b/>
        </w:rPr>
        <w:t>Available abstract (not full text):</w:t>
      </w:r>
      <w:r>
        <w:t xml:space="preserve"> In response to the evolving regulatory landscape defined by the recast of the Energy Performance of Buildings Directive (Directive (EU) 2010/31, as amended by Directive (EU) 2018/844 and subsequently recast by Directive (EU) 2024/1275), this work proposes a structured methodology for developing next-generation operational Energy Performance Certificates (NextGen EPCs). These dynamic certificates aim to complement traditional asset ratings by integrating real-time operational data streams into a comprehensive and performance-based evaluation framework. The methodology combines measured energy use, indoor environmental quality (IEQ), infection-risk potential (based on probabilistic airborne transmission models), and life-cycle cost (LCC) assessment into a unified operational profile. It establishes standardized procedures for data acquisition, temporal and climatic normalization, and quality assurance to enable cross-regional comparability. A weighted aggregation mechanism supports the synthesis of heterogeneous indicators into a singular operational rating, designed to be interoperable with Building Information Modelling (BIM) workflows and to feed directly into the Digital Building Logbook (DBL). The framework supports both single building and district level assessments through modular extensions, aligning with the objectives of the Renovation Wave and the EU Green Deal. By add</w:t>
      </w:r>
    </w:p>
    <w:p>
      <w:pPr>
        <w:pStyle w:val="Heading2"/>
      </w:pPr>
      <w:r>
        <w:t>563. Towards the 2030 Agenda: Measuring the Progress of the European Union Countries through the SDGs Achievement Index</w:t>
      </w:r>
    </w:p>
    <w:p>
      <w:pPr>
        <w:pStyle w:val="SourceNote"/>
      </w:pPr>
      <w:r>
        <w:rPr>
          <w:b/>
        </w:rPr>
        <w:t>Original source (2022):</w:t>
      </w:r>
      <w:r>
        <w:t xml:space="preserve"> https://doi.org/10.3390/su14063563</w:t>
      </w:r>
    </w:p>
    <w:p>
      <w:pPr/>
      <w:r>
        <w:t>Original wording (abstract; indexed_source_text_not_full_document_verified): The use of such an index will also be useful to understand the effect of the pandemic on the development.</w:t>
      </w:r>
    </w:p>
    <w:p>
      <w:pPr/>
      <w:r>
        <w:rPr>
          <w:b/>
        </w:rPr>
        <w:t>POSSIBLE 2026:</w:t>
      </w:r>
      <w:r>
        <w:t xml:space="preserve"> A citizen-based assessment of European smart cites using a DP2 index — https://doi.org/10.1038/s41598-026-55659-7</w:t>
      </w:r>
    </w:p>
    <w:p>
      <w:pPr/>
      <w:r>
        <w:rPr>
          <w:b/>
        </w:rPr>
        <w:t>Shared claim-specific concepts:</w:t>
      </w:r>
      <w:r>
        <w:t xml:space="preserve"> use, index; EU scope visible. This is a provisional connection, not an outcome finding.</w:t>
      </w:r>
    </w:p>
    <w:p>
      <w:pPr>
        <w:pStyle w:val="SourceNote"/>
      </w:pPr>
      <w:r>
        <w:rPr>
          <w:b/>
        </w:rPr>
        <w:t>Available abstract (not full text):</w:t>
      </w:r>
      <w:r>
        <w:t xml:space="preserve"> Despite the growing body of research on smart cities, existing studies tend to rely on objective indicators, often overlooking how citizens perceive the balance between key urban dimensions. To fill this gap, the present research analyzes the current development of 56 smart cities in Europe through a multidimensional assessment framework based on the non-compensatory Distance-Pena (DP2) method. While most assessments of smart cities use objective measures to gauge their performance, this research emphasizes citizens' viewpoints by assessing perceptions concerning the infrastructural and technological dimensions of smart cities within five categories, namely health and safety, mobility, activities, opportunities, and governance. The results identify four different types of cities based on their respective levels of structural and technological performances. In some cases, there is equal development on both fronts, while in others, there is unequal development, characterized by a strong presence in either one aspect or another. These patterns generate heterogeneous configurations of perceived smart city performance. The findings provide a descriptive typology of smart cities based on citizen perceptions and offer insights into how different dimensions of urban performance can be evaluated. This study adds to the conceptual knowledge of smart cities and provides practical value fo</w:t>
      </w:r>
    </w:p>
    <w:p>
      <w:pPr/>
      <w:r>
        <w:rPr>
          <w:b/>
        </w:rPr>
        <w:t>POSSIBLE 2026:</w:t>
      </w:r>
      <w:r>
        <w:t xml:space="preserve"> The Impact of The Carbon Emissions Trading System on The European Union Decoupling Index — https://doi.org/10.54097/vm2pex57</w:t>
      </w:r>
    </w:p>
    <w:p>
      <w:pPr/>
      <w:r>
        <w:rPr>
          <w:b/>
        </w:rPr>
        <w:t>Shared claim-specific concepts:</w:t>
      </w:r>
      <w:r>
        <w:t xml:space="preserve"> index, understand; EU scope visible. This is a provisional connection, not an outcome finding.</w:t>
      </w:r>
    </w:p>
    <w:p>
      <w:pPr>
        <w:pStyle w:val="SourceNote"/>
      </w:pPr>
      <w:r>
        <w:rPr>
          <w:b/>
        </w:rPr>
        <w:t>Available abstract (not full text):</w:t>
      </w:r>
      <w:r>
        <w:t xml:space="preserve"> This article elaborates on the impact of the Emissions Trading System (ETS) on decoupling, and current scholars mainly focus on the Environmental Impact Population Affluence Technology (IPAT) model, Kaya identity, and Logarithmic Mean Divisia Index Method (LMDI) decomposition method for the mechanism of impact. Environmental Impact, Population, Affluence, and Technology (ETS) has had a profound impact on the European Union (EU) decoupling index. The EU ETS establishes a policy coordination framework and provides a data foundation, which is the key and institutional guarantee for the EU to achieve decoupling between economic growth and carbon emissions. It has established a cross-member-state policy coordination framework, unified carbon emission accounting standards and trading rules, and provided a continuous and accurate emission data foundation for the calculation of decoupling indices. Consequently, it has become a key institutional pillar for the EU to achieve the decoupling goal of "economic growth alongside a decline in total carbon emissions". The coordinated development of ETS and other policies has promoted environmental effectiveness, social equity, economic efficiency, and political feasibility. Taking LMDI as an example, mechanism analysis was conducted to calculate the contribution values of different factors to the decoupling index in different periods, to unders</w:t>
      </w:r>
    </w:p>
    <w:p>
      <w:pPr/>
      <w:r>
        <w:rPr>
          <w:b/>
        </w:rPr>
        <w:t>POSSIBLE 2025:</w:t>
      </w:r>
      <w:r>
        <w:t xml:space="preserve"> ASSESSING THE FEASIBILITY OF ELECTRIC ROAD TRANSPORT IN EUROPE USING THE INTEGRAL EMISSIONS INDEX — https://doi.org/10.20858/tp.2025.20.3.02</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This article reviews the development of electric road transport and assesses its feasibility in European countries based on an analysis of CO₂ emissions using an integral index. Electric road transport is evolving in three main directions: battery-powered vehicles, hydrogen fuel cell vehicles, and road electrification. Battery electric vehicles are widely used, but their future may be constrained by issues related to cost, charging infrastructure, and raw material availability. Hydrogen-powered vehicles offer fast refueling but require substantial investments and strict safety standards. Road electrification includes both contact and wireless energy transfer systems. Contact-based systems, in particular, provide high power and low energy losses, making them optimal for vehicles with significant energy demands. The environmental efficiency of electric vehicles largely depends on the electricity source. Countries with a high share of renewable energy, such as Norway and France, demonstrate greater environmental efficiency in electric vehicle adoption. Special attention should be given to road electrification, which reduces the duration of battery-powered autonomous driving and allows for smaller battery sizes, thereby extending their lifespan. This approach not only increases battery longevity but also has a positive environmental impact by reducing emissions associated with batt</w:t>
      </w:r>
    </w:p>
    <w:p>
      <w:pPr/>
      <w:r>
        <w:rPr>
          <w:b/>
        </w:rPr>
        <w:t>POSSIBLE 2025:</w:t>
      </w:r>
      <w:r>
        <w:t xml:space="preserve"> A Walk across Europe: Development of a high-resolution walkability index — https://doi.org/10.1016/j.healthplace.2025.103544</w:t>
      </w:r>
    </w:p>
    <w:p>
      <w:pPr/>
      <w:r>
        <w:rPr>
          <w:b/>
        </w:rPr>
        <w:t>Shared claim-specific concepts:</w:t>
      </w:r>
      <w:r>
        <w:t xml:space="preserve"> use, index; EU scope visible. This is a provisional connection, not an outcome finding.</w:t>
      </w:r>
    </w:p>
    <w:p>
      <w:pPr>
        <w:pStyle w:val="SourceNote"/>
      </w:pPr>
      <w:r>
        <w:rPr>
          <w:b/>
        </w:rPr>
        <w:t>Available abstract (not full text):</w:t>
      </w:r>
      <w:r>
        <w:t xml:space="preserve"> Physical inactivity significantly contributes to obesity and other non-communicable diseases, yet efforts to increase population-wide physical activity levels have met with limited success. The built environment plays a pivotal role in encouraging active behaviors like walking. Walkability indices, which aggregate various environmental features, provide a valuable tool for promoting healthy, walkable environments. However, a standardized, high-resolution walkability index for Europe has been lacking. This study addresses that gap by developing a standardized, high-resolution walkability index for the entire European region. Seven core components were selected to define walkability: walkable street length, intersection density, green spaces, slope, public transport access, land use mix, and 15 min walking isochrones. These were derived from harmonized, high-resolution datasets such as Sentinel-2, NASA's elevation models, OpenStreetMap, and CORINE Land Cover. A 100 m × 100 m hierarchical grid system and advanced geospatial methods, like network buffers and distance decay, were used at scale to efficiently model real-world density and proximity effects. The resulting index was weighted by population and analyzed at different spatial levels using visual mapping, spatial clustering, and correlation analysis. Findings revealed a distinct urban-to-rural gradient, with high walkability</w:t>
      </w:r>
    </w:p>
    <w:p>
      <w:pPr/>
      <w:r>
        <w:rPr>
          <w:b/>
        </w:rPr>
        <w:t>POSSIBLE 2025:</w:t>
      </w:r>
      <w:r>
        <w:t xml:space="preserve"> Novel integrated risk index reveals uneven impact of climate change on fascioliasis risk across Africa and Europe — https://doi.org/10.64898/2025.12.04.692276</w:t>
      </w:r>
    </w:p>
    <w:p>
      <w:pPr/>
      <w:r>
        <w:rPr>
          <w:b/>
        </w:rPr>
        <w:t>Shared claim-specific concepts:</w:t>
      </w:r>
      <w:r>
        <w:t xml:space="preserve"> use, index, also; EU scope visible. This is a provisional connection, not an outcome finding.</w:t>
      </w:r>
    </w:p>
    <w:p>
      <w:pPr>
        <w:pStyle w:val="SourceNote"/>
      </w:pPr>
      <w:r>
        <w:rPr>
          <w:b/>
        </w:rPr>
        <w:t>Available abstract (not full text):</w:t>
      </w:r>
      <w:r>
        <w:t xml:space="preserve"> Abstract Fascioliasis, a zoonotic parasitic disease caused by the liver flukes Fasciola hepatica and Fasciola gigantica , poses a significant threat to livestock and human health globally. Climate change is altering the transmission dynamics of this disease; however, the direction and magnitude of this change remain uncertain due to a lack of mechanistically grounded predictions at continental scale. In this study, we developed a novel risk index to assess how climate change may affect the potential for fascioliasis transmission across Africa and Europe. The index integrates the following three components that together capture the environmental requirements for Fasciola transmission: the temperature dependence of the parasite transmission; climatic suitability for the snail intermediate host; and availability of freshwater habitats. To estimate these components, we used data from published experimental studies, thousands of snail occurrence records, and both mechanistic and correlative modelling approaches. We predict that climate change will generally reduce fascioliasis risk across most of the ranges of the two investigated liver fluke species, albeit with marked geographical differences. The transmission risk of F. gigantica is predicted to decrease in the Sahel and West Africa, due to above-optimal temperatures for parasite transmission and climatic suitability for the inte</w:t>
      </w:r>
    </w:p>
    <w:p>
      <w:pPr/>
      <w:r>
        <w:rPr>
          <w:b/>
        </w:rPr>
        <w:t>POSSIBLE 2025:</w:t>
      </w:r>
      <w:r>
        <w:t xml:space="preserve"> European Deprivation Index and children with Cerebral Palsy: Data from the Portuguese Cerebral Palsy Surveillance Program — https://openalex.org/W7134220166</w:t>
      </w:r>
    </w:p>
    <w:p>
      <w:pPr/>
      <w:r>
        <w:rPr>
          <w:b/>
        </w:rPr>
        <w:t>Shared claim-specific concepts:</w:t>
      </w:r>
      <w:r>
        <w:t xml:space="preserve"> index, understand, effect; EU scope visible. This is a provisional connection, not an outcome finding.</w:t>
      </w:r>
    </w:p>
    <w:p>
      <w:pPr>
        <w:pStyle w:val="SourceNote"/>
      </w:pPr>
      <w:r>
        <w:rPr>
          <w:b/>
        </w:rPr>
        <w:t>Available abstract (not full text):</w:t>
      </w:r>
      <w:r>
        <w:t xml:space="preserve"> Introduction: Socioeconomic inequalities have been associated with the severity of cerebral palsy (CP). The European Deprivation Index (EDI) accounts for aggregated ecological effects not yet identified. We describe the association between complexity and etiology of CP and a proxy for socioeconomic inequalities in Portugal. Participants and Methods: The Portuguese National Surveillance of Cerebral Palsy (PNSCP) collects data of 5-to-8-year-old children with CP, born since 2001, following the Surveillance of Cerebral Palsy in Europe (SCPE) datacollection protocol. Official live-birth (LB) statistics and data from children with CP born between 2001-2015, notified until September 2024, were analysed according to the area-level socioeconomic deprivation at birth, using the Portuguese version of the EDI (EDI-PT), categorized in tertiles and measured at municipal level. The CP severity/complexity was classified using the Cerebral Palsy Complexity-Scale (CPC-Scale). Associations were estimated by the odds ratio (OR) with a 95% confidence interval (95%CI). Results: 2,410 registered children with CP were classified according to tertiles of EDI-PT: 481 children in the 1st tertile (20%-CP vs 23%-LB); 591 in the 2nd (25%-CP vs 33%-LB) and 1,338 in the 3d (55%-CP vs 44% LB). Significant associations were observed between the 3rd tertile of EDI-PT and both post-neonatal causes of CP (OR 2.36</w:t>
      </w:r>
    </w:p>
    <w:p>
      <w:pPr/>
      <w:r>
        <w:rPr>
          <w:b/>
        </w:rPr>
        <w:t>POSSIBLE 2025:</w:t>
      </w:r>
      <w:r>
        <w:t xml:space="preserve"> Global technology innovation: comparison of new broad-based index of financial development of Europe and Asia — https://doi.org/10.1186/s43093-025-00547-1</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Abstract Financial development plays a vital role in fostering economic growth, influencing financial institutions, markets, technological innovation, and gross domestic product (GDP). While prior research has extensively examined this relationship, traditional metrics such as the ratio of private credit to GDP and stock market capitalization to GDP fail to capture the multidimensional nature of financial development. To address this limitation, this study introduces nine comprehensive measures encompassing financial depth, access, and efficiency across financial institutions and markets. Using a dataset spanning 2019–2022, this study evaluates financial development indicators for countries listed from A to L in the International Monetary Fund database. The findings reveal a robust positive correlation between financial development and technological innovation, suggesting that enhanced financial infrastructure facilitates technological advancements. Moreover, the results indicate a significant positive relationship between technological innovation and GDP, reinforcing the argument that innovation serves as a catalyst for economic expansion. These findings underscore the critical role of financial development in not only promoting innovation but also in stimulating economic growth. The study carries important implications for policymakers, emphasizing the necessity of financial </w:t>
      </w:r>
    </w:p>
    <w:p>
      <w:pPr/>
      <w:r>
        <w:rPr>
          <w:b/>
        </w:rPr>
        <w:t>POSSIBLE 2025:</w:t>
      </w:r>
      <w:r>
        <w:t xml:space="preserve"> The Effect of Crop Diversification and Season on Microbial Carbon Use Efficiency Across a European Pedoclimatic Gradient — https://doi.org/10.1111/ejss.70078</w:t>
      </w:r>
    </w:p>
    <w:p>
      <w:pPr/>
      <w:r>
        <w:rPr>
          <w:b/>
        </w:rPr>
        <w:t>Shared claim-specific concepts:</w:t>
      </w:r>
      <w:r>
        <w:t xml:space="preserve"> use, understand, effect; EU scope visible. This is a provisional connection, not an outcome finding.</w:t>
      </w:r>
    </w:p>
    <w:p>
      <w:pPr>
        <w:pStyle w:val="SourceNote"/>
      </w:pPr>
      <w:r>
        <w:rPr>
          <w:b/>
        </w:rPr>
        <w:t>Available abstract (not full text):</w:t>
      </w:r>
      <w:r>
        <w:t xml:space="preserve"> ABSTRACT Microbial transformation of soil organic matter plays a critical role in carbon (C) cycling making it essential to understand how land use and management practices influence microbial physiology and its connection to C dynamics. One factor that is likely to impact soil microbial physiology is crop diversification via its influence on belowground diversity (e.g., chemical heterogeneity of C inputs, microbial community composition). However, the effect of crop diversification measures on microbial physiology and potential effects on C cycling in agricultural soils is still unclear. To address this knowledge gap, we sampled topsoil from eight experimental sites covering different crop diversification measures across Europe (i.e., cover crops, ley farming, vegetation stripes). We used the 18 O‐labelling method to analyse microbial C use efficiency (CUE), growth, respiration and biomass C. Additionally, a second sampling at five selected sites examined whether the growing season influenced the impact of crop diversification. Meta‐analysis revealed no overall effect of crop diversification on CUE, microbial activity, biomass or soil organic C (SOC). However, the effects varied with the type of diversification measure: cover crops did not affect carbon processing, vegetation stripes increased microbial activity, and ley farming enhanced CUE. The largest variation in CUE was o</w:t>
      </w:r>
    </w:p>
    <w:p>
      <w:pPr/>
      <w:r>
        <w:rPr>
          <w:b/>
        </w:rPr>
        <w:t>POSSIBLE 2025:</w:t>
      </w:r>
      <w:r>
        <w:t xml:space="preserve"> Quantifying the Performance of European Agriculture Through the New European Sustainability Model — https://doi.org/10.3390/agriculture15020210</w:t>
      </w:r>
    </w:p>
    <w:p>
      <w:pPr/>
      <w:r>
        <w:rPr>
          <w:b/>
        </w:rPr>
        <w:t>Shared claim-specific concepts:</w:t>
      </w:r>
      <w:r>
        <w:t xml:space="preserve"> use, index, also; EU scope visible. This is a provisional connection, not an outcome finding.</w:t>
      </w:r>
    </w:p>
    <w:p>
      <w:pPr>
        <w:pStyle w:val="SourceNote"/>
      </w:pPr>
      <w:r>
        <w:rPr>
          <w:b/>
        </w:rPr>
        <w:t>Available abstract (not full text):</w:t>
      </w:r>
      <w:r>
        <w:t xml:space="preserve"> The study aims to assess the performance of European sustainable agriculture through a new model of agricultural sustainability, addressing a significant gap identified in the literature: the lack of a systematic framework integrating the economic, environmental, and resource efficiency dimensions of agricultural resource use in the context of the EU Common Agricultural Policy and the Green Deal. The research develops four synthetic indicators: ISPAS (Index of Sustainable Agricultural Productivity), IREA (Index of Reduced Emissions from Agriculture), ISAC (Index of Combined Agricultural Sustainability), and IESA (Index of Agricultural Land Area Efficiency), each reflecting complementary aspects of sustainable agricultural performance. The methodology is based on an econometric linear model and a dynamic Arellano–Bond model, which allows the analysis of the temporal relationships between synthetic indicators and agricultural sustainability performance, capturing the inertia effects and structural dynamics of the European agricultural sector. The modeling provides a robust approach to capture the interdependencies between agricultural emission reductions, sustainability mainstreaming, and land use efficiency. The results of the study indicate a superior quality of measurement by applying this integrated framework, highlighting significant relationships between emission reductions</w:t>
      </w:r>
    </w:p>
    <w:p>
      <w:pPr/>
      <w:r>
        <w:rPr>
          <w:b/>
        </w:rPr>
        <w:t>POSSIBLE 2025:</w:t>
      </w:r>
      <w:r>
        <w:t xml:space="preserve"> Construction Cost Index: Political, Economic, and Financial Risk Indices Within the European Continent — https://doi.org/10.3390/su17030917</w:t>
      </w:r>
    </w:p>
    <w:p>
      <w:pPr/>
      <w:r>
        <w:rPr>
          <w:b/>
        </w:rPr>
        <w:t>Shared claim-specific concepts:</w:t>
      </w:r>
      <w:r>
        <w:t xml:space="preserve"> index, also, pandemic; EU scope visible. This is a provisional connection, not an outcome finding.</w:t>
      </w:r>
    </w:p>
    <w:p>
      <w:pPr>
        <w:pStyle w:val="SourceNote"/>
      </w:pPr>
      <w:r>
        <w:rPr>
          <w:b/>
        </w:rPr>
        <w:t>Available abstract (not full text):</w:t>
      </w:r>
      <w:r>
        <w:t xml:space="preserve"> The global construction industry has encountered record growth, especially following the COVID-19 pandemic period, during which the construction industry almost entirely ceased. However, the prices of building materials used by the construction sector have increased rapidly since the COVID-19 pandemic due to interruptions in the supply chain, causing increases in interest rates, inflation rates, and wage rates, as well as changes in tax rates. This has resulted in a contraction of construction activities in the euro area that warrants investigation. The purpose of this study was to empirically evaluate the impacts of political, economic, and financial risks on the cost of construction materials, which have caused a recession in the European economy. In this study, an empirical examination of the long-term equilibrium relationship between the construction cost index and various risk indices associated with politics, economics, and finance across Europe was conducted. This study also explored the construction-led growth hypothesis in the eurozone. Fully Modified Ordinary Least Squares (FMOLSs) and Dynamic Ordinary Least Squares (DOLSs) panel estimation techniques were employed here. The panel regression results were obtained using the FMOLS technique and provided statistically significant elasticity coefficients. The results revealed that the economic risk index was statistically</w:t>
      </w:r>
    </w:p>
    <w:p>
      <w:pPr/>
      <w:r>
        <w:rPr>
          <w:b/>
        </w:rPr>
        <w:t>POSSIBLE 2025:</w:t>
      </w:r>
      <w:r>
        <w:t xml:space="preserve"> Investigating the Effects of Crises and Bilateral Agreements on Moldova's Economic Integration into the European Union Using the Trade Intensity Index Method — https://doi.org/10.55065/intraders.1788830</w:t>
      </w:r>
    </w:p>
    <w:p>
      <w:pPr/>
      <w:r>
        <w:rPr>
          <w:b/>
        </w:rPr>
        <w:t>Shared claim-specific concepts:</w:t>
      </w:r>
      <w:r>
        <w:t xml:space="preserve"> index, also, pandemic; EU scope visible. This is a provisional connection, not an outcome finding.</w:t>
      </w:r>
    </w:p>
    <w:p>
      <w:pPr>
        <w:pStyle w:val="SourceNote"/>
      </w:pPr>
      <w:r>
        <w:rPr>
          <w:b/>
        </w:rPr>
        <w:t>Available abstract (not full text):</w:t>
      </w:r>
      <w:r>
        <w:t xml:space="preserve"> The main objective of this research is to evaluate the bilateral trade and economic relations between Moldova and the European Union (EU) from 2003 to 2023 using the trade intensity index analysis method. It also examines how external events such as the 2008 Global Financial Crisis and the COVID-19 pandemic, as well as bilateral agreements, have impacted Moldova's integration process into the European Union. According to the analysis results, the trade intensity score between the European Union and Moldova is above the world average, with the European Union having nearly twice the trade intensity score compared to Moldova. Positive agreements, such as the European Union Eastern Partnership Program initiated in 2009, have been found to have beneficial effects on Moldova's economic integration with the European Union. On the other hand, external events like the 2008 Global Financial Crisis and the COVID-19 pandemic have been determined to have negative impacts on Moldova's integration into the European Union and its bilateral trade and economic relations. The study indicates that while the EU Eastern Partnership Agreement has positively influenced Moldova's economic integration, the process remains vulnerable to financial crises and global disruptions, underscoring the need for resilient trade policies and strategies to revitalize economic cooperation amid declining trade volumes</w:t>
      </w:r>
    </w:p>
    <w:p>
      <w:pPr/>
      <w:r>
        <w:rPr>
          <w:b/>
        </w:rPr>
        <w:t>POSSIBLE 2025:</w:t>
      </w:r>
      <w:r>
        <w:t xml:space="preserve"> Effectiveness of European Green Deal: Malmquist Index Analysis on 25 EU Countries — https://doi.org/10.5171/2025.4531125</w:t>
      </w:r>
    </w:p>
    <w:p>
      <w:pPr/>
      <w:r>
        <w:rPr>
          <w:b/>
        </w:rPr>
        <w:t>Shared claim-specific concepts:</w:t>
      </w:r>
      <w:r>
        <w:t xml:space="preserve"> index, also; EU scope visible. This is a provisional connection, not an outcome finding.</w:t>
      </w:r>
    </w:p>
    <w:p>
      <w:pPr>
        <w:pStyle w:val="SourceNote"/>
      </w:pPr>
      <w:r>
        <w:rPr>
          <w:b/>
        </w:rPr>
        <w:t>Available abstract (not full text):</w:t>
      </w:r>
      <w:r>
        <w:t xml:space="preserve"> The aim of the article is to assess the effectiveness of the European Green Deal (EGD) implementation in EU countries. The aim was to be achieved by using the Data Envelopment Analysis (DEA) model. The additional aim is to determine which countries are most effective in achieving the Green Deal goals by analyzing the Malmquist Index. There are only few studies assessing the relative effectiveness of the EGD implementation through a comparative approach. There is a lack of studies assessing the degree of implementation of the Green Deal. There is also no development of the methods by which member states can achieve the main goal of the Green Deal, i.e. a 55% reduction in greenhouse gases by 2030. The small number of studies on the effectiveness of the implementation of the EGD goals was considered as a research gap. The research used the DEA approach to assess the effectiveness of EGD implementation in the 25 EU countries in the period of 2013–2021, using the Eurostat indicators. An outcome-oriented DEA model was developed to examine relative efficiency, and Malmquist Index were calculated, which present the change in technical efficiency and technological changes over the two the same periods in the 25 countries studied. The geometric mean of the Malmquist Index indicates an average increase of around 9% over the period studied. The results reveal significant differences in the</w:t>
      </w:r>
    </w:p>
    <w:p>
      <w:pPr>
        <w:pStyle w:val="Heading2"/>
      </w:pPr>
      <w:r>
        <w:t>564. Use and perception of weather forecast information across Europe</w:t>
      </w:r>
    </w:p>
    <w:p>
      <w:pPr>
        <w:pStyle w:val="SourceNote"/>
      </w:pPr>
      <w:r>
        <w:rPr>
          <w:b/>
        </w:rPr>
        <w:t>Original source (2022):</w:t>
      </w:r>
      <w:r>
        <w:t xml:space="preserve"> https://doi.org/10.1002/met.2053</w:t>
      </w:r>
    </w:p>
    <w:p>
      <w:pPr/>
      <w:r>
        <w:t>Original wording (abstract; indexed_source_text_not_full_document_verified): The two surveys indicate that there might be benefits of increased collaboration and sharing of data between European NMHSs to be able to offer their users more training, and to learn from each other in areas where insight already exists.</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there, benefits, increased, data, between, offer;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2026:</w:t>
      </w:r>
      <w:r>
        <w:t xml:space="preserve"> Defining Ethnic and Migrant Minorities in Survey Research across Europe: Insights from the Ethnic and Migrant Minorities Survey Registry — https://doi.org/10.1186/s40878-026-00564-1</w:t>
      </w:r>
    </w:p>
    <w:p>
      <w:pPr/>
      <w:r>
        <w:rPr>
          <w:b/>
        </w:rPr>
        <w:t>Shared claim-specific concepts:</w:t>
      </w:r>
      <w:r>
        <w:t xml:space="preserve"> surveys, data, between; EU scope visible. This is a provisional connection, not an outcome finding.</w:t>
      </w:r>
    </w:p>
    <w:p>
      <w:pPr>
        <w:pStyle w:val="SourceNote"/>
      </w:pPr>
      <w:r>
        <w:rPr>
          <w:b/>
        </w:rPr>
        <w:t>Available abstract (not full text):</w:t>
      </w:r>
      <w:r>
        <w:t xml:space="preserve"> Abstract Surveys of ethnic and migrant minorities are key sources of data and information on these populations. How such surveys define, identify, and operationalize these target populations is consequential for the findings and inferences resulting from their analysis. This article systematically identifies and assesses the diverse approaches used in these surveys to define and operationalize the studied ethnic and migrant minorities. Through a comprehensive analysis of survey-level metadata from the Ethnic and Migrant Minorities Survey Registry, covering 1,840 national and subnational surveys conducted between 2000 and 2021 across 34 European countries, we examine the survey questions used to classify the target groups, as well as the broader categorizations that they reveal. The paper highlights common practices and emerging trends in defining and operationalizing ethnic and migrant minority populations. The findings also inform future decision-making by survey researchers on how to define and measure ethnic/origin-related concepts.</w:t>
      </w:r>
    </w:p>
    <w:p>
      <w:pPr/>
      <w:r>
        <w:rPr>
          <w:b/>
        </w:rPr>
        <w:t>POSSIBLE 2026:</w:t>
      </w:r>
      <w:r>
        <w:t xml:space="preserve"> The role of osteopathy in public healthcare in Europe — https://openalex.org/W7154884819</w:t>
      </w:r>
    </w:p>
    <w:p>
      <w:pPr/>
      <w:r>
        <w:rPr>
          <w:b/>
        </w:rPr>
        <w:t>Shared claim-specific concepts:</w:t>
      </w:r>
      <w:r>
        <w:t xml:space="preserve"> two, there, data, able; EU scope visible. This is a provisional connection, not an outcome finding.</w:t>
      </w:r>
    </w:p>
    <w:p>
      <w:pPr>
        <w:pStyle w:val="SourceNote"/>
      </w:pPr>
      <w:r>
        <w:rPr>
          <w:b/>
        </w:rPr>
        <w:t>Available abstract (not full text):</w:t>
      </w:r>
      <w:r>
        <w:t xml:space="preserve"> Public healthcare in Europe is characterised by a diverse range of healthcare systems aimed at protecting population health and promoting wellbeing. While osteopathy is a healthcare discipline, its integration into public health systems could vary across European countries. The aim of this master’s thesis was to explore the role of osteopaths in public health care across Europe, providing a framework for understanding the professionalisation and integration of osteopathy within established European medical systems. A scoping review was chosen as the research method, following the methodological guidance of the Joanna Briggs Institute. A systematic literature search was conducted across the databases CINAHL Complete, Cochrane Library, and MEDLINE. A total of thirteen studies corresponding to inclusion criteria and relevant to the research question were selected for the scoping review. The publications included eight randomised controlled trials, two quasi experimental studies, two observational cohort studies and one survey. The Critical Appraisal Checklists of Joanna Briggs Institute were used for the quality assessment of the selected publications, and the data was analysed by using inductive content analysis. The results of the included articles indicated that osteopathic manipulative treatment could serve as a versatile supportive tool across different stages of life. In neo</w:t>
      </w:r>
    </w:p>
    <w:p>
      <w:pPr/>
      <w:r>
        <w:rPr>
          <w:b/>
        </w:rPr>
        <w:t>POSSIBLE 2026:</w:t>
      </w:r>
      <w:r>
        <w:t xml:space="preserve"> Revisiting the digital divide in Europe — The profile of those on the wrong side of the divide — https://doi.org/10.1016/j.telpol.2026.103206</w:t>
      </w:r>
    </w:p>
    <w:p>
      <w:pPr/>
      <w:r>
        <w:rPr>
          <w:b/>
        </w:rPr>
        <w:t>Shared claim-specific concepts:</w:t>
      </w:r>
      <w:r>
        <w:t xml:space="preserve"> two, benefits, data, between; EU scope visible. This is a provisional connection, not an outcome finding.</w:t>
      </w:r>
    </w:p>
    <w:p>
      <w:pPr>
        <w:pStyle w:val="SourceNote"/>
      </w:pPr>
      <w:r>
        <w:rPr>
          <w:b/>
        </w:rPr>
        <w:t>Available abstract (not full text):</w:t>
      </w:r>
      <w:r>
        <w:t xml:space="preserve"> How deep is the digital divide in Europe today? What is the profile of those on the wrong side of the divide? This article provides answers to these two questions using data from the European Social Survey (round 10, data collected between 2020 and 2022) and conducting analyses using a probit regression model. It concludes that the digital divide, including the access divide, remains a problem in Europe. The prototype of the offline European would be someone who is not young, has little or no education, lives alone in a rural area, perceives their situation as financially difficult, is somewhat socially isolated, and has doubts about the benefits of communication. The profile of the person affected by the skills divide is not very different from that described above, although with some nuances: while women are less affected by the access divide, they are more affected by the skills divide; the larger the household size, the greater the likelihood of having lower digital proficiency; those “in education” are more skilled; capabilities increase with the number of hours spent in front of the screen.</w:t>
      </w:r>
    </w:p>
    <w:p>
      <w:pPr/>
      <w:r>
        <w:rPr>
          <w:b/>
        </w:rPr>
        <w:t>POSSIBLE 2026:</w:t>
      </w:r>
      <w:r>
        <w:t xml:space="preserve"> Factors Influencing Successful Breastfeeding: A Regional Survey and Comparative Review in European and Global Contexts — https://doi.org/10.3390/children13081078</w:t>
      </w:r>
    </w:p>
    <w:p>
      <w:pPr/>
      <w:r>
        <w:rPr>
          <w:b/>
        </w:rPr>
        <w:t>Shared claim-specific concepts:</w:t>
      </w:r>
      <w:r>
        <w:t xml:space="preserve"> two, indicate, benefits, data, between; EU scope visible. This is a provisional connection, not an outcome finding.</w:t>
      </w:r>
    </w:p>
    <w:p>
      <w:pPr>
        <w:pStyle w:val="SourceNote"/>
      </w:pPr>
      <w:r>
        <w:rPr>
          <w:b/>
        </w:rPr>
        <w:t>Available abstract (not full text):</w:t>
      </w:r>
      <w:r>
        <w:t xml:space="preserve"> Background/Objectives: Breastfeeding is universally recognized as essential for neonatal health, offering benefits that extend into later life stages. The World Health Organization (WHO) advocates for increasing access to effective, low-cost interventions that promote successful breastfeeding, such as skin-to-skin contact (SSC), kangaroo mother care (KMC), and rooming-in. This study aimed to assess the local context regarding the use and dissemination of practices such as prenatal classes, immediate and post-delivery SSC, rooming-in, and the management of discharge and post-discharge care. Methods: This study is a cross-sectional survey across all 29 birth centers in two regions of Southern Italy. An online questionnaire was distributed to all neonatal units, and local data were compared with national, European, and global datasets. Results: Childbirth preparation classes were offered by 38% of centers. Fifteen centers routinely implemented SSC in the first two hours postpartum, while 12 centers used SSC for a shorter duration. Rooming-in was practiced in all centers, with 8 of 29 centers (27.6%) offering it on a full 24 h basis. A brief postpartum follow-up dedicated to breastfeeding support was provided in 12 of 29 centers (41.4%), and 6 centers offered a dedicated telephone breastfeeding consultation service. Conclusions: This survey confirmed the value of monitoring adheren</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two, surveys, indicate, collaboration, data, between;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Barriers to Deprescribing Benzodiazepines in Older Adults in a Survey of European Physicians — https://doi.org/10.1001/jamanetworkopen.2024.59883</w:t>
      </w:r>
    </w:p>
    <w:p>
      <w:pPr/>
      <w:r>
        <w:rPr>
          <w:b/>
        </w:rPr>
        <w:t>Shared claim-specific concepts:</w:t>
      </w:r>
      <w:r>
        <w:t xml:space="preserve"> indicate, between, training, other; EU scope visible. This is a provisional connection, not an outcome finding.</w:t>
      </w:r>
    </w:p>
    <w:p>
      <w:pPr>
        <w:pStyle w:val="SourceNote"/>
      </w:pPr>
      <w:r>
        <w:rPr>
          <w:b/>
        </w:rPr>
        <w:t>Available abstract (not full text):</w:t>
      </w:r>
      <w:r>
        <w:t xml:space="preserve"> Importance: The use of benzodiazepine receptor agonists (BZRA) poses serious health risks to older adults. Although several guidelines recommend deprescribing, implementation in clinical practice remains limited. Objective: To identify physicians' barriers to and enablers of deprescribing BZRA in adults aged 65 years and older taking a BZRA for sleep problems; to determine factors associated with hospital physicians' intention to deprescribe BZRA and their self-reported routine BZRA deprescribing. Design, Setting, and Participants: This survey study included hospital physicians and general practitioners (GPs) working across 6 European Countries (Belgium, Greece, Norway, Poland, Spain, and Switzerland) between December 2022 and March 2023. Main Outcomes and Measures: Barriers identification via a 35-item questionnaire based upon the Theoretical Domains Framework (TDF). Responses were categorized as major barriers, moderate barriers, and enablers based on their mean scores. Multivariable logistic regressions were used to identify background characteristics and TDF-based domains associated with hospital physicians' intention to deprescribe and self-reported routine deprescribing. Results: Questionnaires from 240 hospital physicians and 96 GPs were analyzed. Most participants were women: 144 (61.0%) hospital physicians and 52 (54.2%) GPs. In terms of experience, the most common rep</w:t>
      </w:r>
    </w:p>
    <w:p>
      <w:pPr/>
      <w:r>
        <w:rPr>
          <w:b/>
        </w:rPr>
        <w:t>POSSIBLE 2025:</w:t>
      </w:r>
      <w:r>
        <w:t xml:space="preserve"> Management Measures and Trends of Biological Invasions in Europe: A Survey‐Based Assessment of Local Managers — https://doi.org/10.1111/gcb.70028</w:t>
      </w:r>
    </w:p>
    <w:p>
      <w:pPr/>
      <w:r>
        <w:rPr>
          <w:b/>
        </w:rPr>
        <w:t>Shared claim-specific concepts:</w:t>
      </w:r>
      <w:r>
        <w:t xml:space="preserve"> indicate, there, sharing, data, between, other; EU scope visible. This is a provisional connection, not an outcome finding.</w:t>
      </w:r>
    </w:p>
    <w:p>
      <w:pPr>
        <w:pStyle w:val="SourceNote"/>
      </w:pPr>
      <w:r>
        <w:rPr>
          <w:b/>
        </w:rPr>
        <w:t>Available abstract (not full text):</w:t>
      </w:r>
      <w:r>
        <w:t xml:space="preserve"> Biological invasions are a major threat to biodiversity, ecosystem functioning and nature's contributions to people worldwide. However, the effectiveness of invasive alien species (IAS) management measures and the progress toward achieving biodiversity targets remain uncertain due to limited and nonuniform data availability. Management success is usually assessed at a local level and documented in technical reports, often written in languages other than English, which makes such data notoriously difficult to collect at large geographic scales. Here we present the first European assessment of how managers perceive trends in IAS and the effectiveness of management measures to mitigate biological invasions. We developed a structured questionnaire translated into 18 languages and disseminated it to local and regional managers of IAS in Europe. We received responses from 1928 participants from 41 European countries, including 24 European Union (EU) Member States. Our results reveal substantial efforts in IAS monitoring and control, with invasive plants being the primary focus. Yet, there is a general perception of an increase in the numbers, occupied areas, and impacts of IAS across environment and taxonomic groups, particularly plants, over time. This perceived increase is consistent across both EU and non-EU countries, with respondents from EU countries demonstrating more certaint</w:t>
      </w:r>
    </w:p>
    <w:p>
      <w:pPr/>
      <w:r>
        <w:rPr>
          <w:b/>
        </w:rPr>
        <w:t>POSSIBLE 2025:</w:t>
      </w:r>
      <w:r>
        <w:t xml:space="preserve"> Antenatal CMV screening, testing, and treatment strategies in Europe: a 2024 survey — https://doi.org/10.1080/14767058.2025.2555478</w:t>
      </w:r>
    </w:p>
    <w:p>
      <w:pPr/>
      <w:r>
        <w:rPr>
          <w:b/>
        </w:rPr>
        <w:t>Shared claim-specific concepts:</w:t>
      </w:r>
      <w:r>
        <w:t xml:space="preserve"> benefits, increased, already; EU scope visible. This is a provisional connection, not an outcome finding.</w:t>
      </w:r>
    </w:p>
    <w:p>
      <w:pPr>
        <w:pStyle w:val="SourceNote"/>
      </w:pPr>
      <w:r>
        <w:rPr>
          <w:b/>
        </w:rPr>
        <w:t>Available abstract (not full text):</w:t>
      </w:r>
      <w:r>
        <w:t xml:space="preserve"> OBJECTIVE: Congenital cytomegalovirus (cCMV) is the most common congenital infection globally, affecting approximately 0.5% of all live births in high income settings, with long-term sequelae affecting around a fifth of infected infants. Recently, interest in antenatal CMV screening has increased but current practices and impact are unclear. Our objective was to describe policy and practice around antenatal CMV screening, testing, and treatment in Europe, including the use of universal antenatal screening, in the context of the emerging evidence base for use of valaciclovir to reduce CMV vertical transmission (VT). METHODS: A web-based survey was distributed to healthcare professionals within antenatal services with knowledge of CMV testing/treatment practices, from 29 April 2024 to 24 July 2024. Responses from Europe were analyzed. Where multiple responses were submitted from the same healthcare service, the most complete response was kept for the analysis. RESULTS: &lt; .01). For all sites, screening tests included CMV IgM and IgG, with 36% (14/39) offering IgG avidity, and 8% (3/39) using PCR. Of the 39 centers offering universal screening, the coverage was estimated to be &gt;95% of pregnant women at half (18/39) of centers. Fifty-nine percent (23/39) of centers reported routinely offering repeat testing. Of 39 centers routinely offering testing, only 69% (27/39) gave advice on r</w:t>
      </w:r>
    </w:p>
    <w:p>
      <w:pPr/>
      <w:r>
        <w:rPr>
          <w:b/>
        </w:rPr>
        <w:t>POSSIBLE 2025:</w:t>
      </w:r>
      <w:r>
        <w:t xml:space="preserve"> Research Note: Estimating Kinship Size of Older Adults in Europe With Models and Surveys — https://doi.org/10.1215/00703370-11961236</w:t>
      </w:r>
    </w:p>
    <w:p>
      <w:pPr/>
      <w:r>
        <w:rPr>
          <w:b/>
        </w:rPr>
        <w:t>Shared claim-specific concepts:</w:t>
      </w:r>
      <w:r>
        <w:t xml:space="preserve"> two, surveys, data, between, each; EU scope visible. This is a provisional connection, not an outcome finding.</w:t>
      </w:r>
    </w:p>
    <w:p>
      <w:pPr>
        <w:pStyle w:val="SourceNote"/>
      </w:pPr>
      <w:r>
        <w:rPr>
          <w:b/>
        </w:rPr>
        <w:t>Available abstract (not full text):</w:t>
      </w:r>
      <w:r>
        <w:t xml:space="preserve"> Measures of kinship size are increasingly common in sociodemographic studies. The size and structure of older adults' kinship networks can be ascertained via direct observation in a social survey or modeled using demographic techniques. Each approach has advantages and disadvantages, but whether the two provide comparable estimates of kinship size is an open question. In this research note, we answer this question using social survey data and demographic models to estimate the size of older adults' kinship networks in 22 European countries. We find an impressively high association between the two approaches, with important variations by the kin type considered. We discuss the reasons for the divergence in the estimates and provide guidance for researchers interested in using either approach to quantify kinship size.</w:t>
      </w:r>
    </w:p>
    <w:p>
      <w:pPr/>
      <w:r>
        <w:rPr>
          <w:b/>
        </w:rPr>
        <w:t>POSSIBLE 2025:</w:t>
      </w:r>
      <w:r>
        <w:t xml:space="preserve"> Assessing micro-mobility net benefits at the individual level: Evidence for two European countries — https://doi.org/10.1016/j.trf.2025.02.020</w:t>
      </w:r>
    </w:p>
    <w:p>
      <w:pPr/>
      <w:r>
        <w:rPr>
          <w:b/>
        </w:rPr>
        <w:t>Shared claim-specific concepts:</w:t>
      </w:r>
      <w:r>
        <w:t xml:space="preserve"> two, benefits, between, users; EU scope visible. This is a provisional connection, not an outcome finding.</w:t>
      </w:r>
    </w:p>
    <w:p>
      <w:pPr>
        <w:pStyle w:val="SourceNote"/>
      </w:pPr>
      <w:r>
        <w:rPr>
          <w:b/>
        </w:rPr>
        <w:t>Available abstract (not full text):</w:t>
      </w:r>
      <w:r>
        <w:t xml:space="preserve"> • Differences in net benefits of e-scooter usage between Portugal and Germany. • User satisfaction is important precedents of net benefits. • Hedonic motivation and use affect user satisfaction. • Importance of moderation effect of long-term orientation and perceived unsafety. This study, comparing two European countries, explores the net benefits of e-scooters in interplay with their usage and user satisfaction. We surveyed 199 e-scooter users in Germany and 184 in Portugal. A novel framework based on an established model used to evaluate information systems’ success is introduced, where net benefits, here, are ultimately expressed by the efficiency and effectiveness of e-scooters in undertaking short-distance trips. All in all, one can infer that pragmatic reasons, in terms of functionality and fulfillment of purpose, are the most important factors in the usage and satisfaction of e-scooters. Recreational reasons are, at most, a side effect. The number one explanation of e-scooter net benefits, conducting short-distance trips effectively and efficiently, is user satisfaction, which is reinforced by use. Price also plays a rather important role, while thoughts regarding sustainability and safety do matter but subordinately. Preponderantly, the countries’ subsamples align with the full-sample model’s findings, with some differences among them; nonetheless, no significant one ca</w:t>
      </w:r>
    </w:p>
    <w:p>
      <w:pPr/>
      <w:r>
        <w:rPr>
          <w:b/>
        </w:rPr>
        <w:t>POSSIBLE 2025:</w:t>
      </w:r>
      <w:r>
        <w:t xml:space="preserve"> Edible Insects as an Alternative Source of Nutrients: Benefits, Risks, and the Future of Entomophagy in Europe—A Narrative Review — https://doi.org/10.3390/foods14020270</w:t>
      </w:r>
    </w:p>
    <w:p>
      <w:pPr/>
      <w:r>
        <w:rPr>
          <w:b/>
        </w:rPr>
        <w:t>Shared claim-specific concepts:</w:t>
      </w:r>
      <w:r>
        <w:t xml:space="preserve"> indicate, there, benefits, areas; EU scope visible. This is a provisional connection, not an outcome finding.</w:t>
      </w:r>
    </w:p>
    <w:p>
      <w:pPr>
        <w:pStyle w:val="SourceNote"/>
      </w:pPr>
      <w:r>
        <w:rPr>
          <w:b/>
        </w:rPr>
        <w:t>Available abstract (not full text):</w:t>
      </w:r>
      <w:r>
        <w:t xml:space="preserve"> According to projections by the Food and Agriculture Organization of the United Nations, the global population will reach 9 billion by 2050. This raises concerns about the ability to feed such a population. In view of the above, it is necessary to search for alternative food sources. Edible insects are rich in complete protein, essential fatty acids, vitamins and micronutrients. Despite this, entomophagy is not common in Europe. In 2021, the European Union approved Acheta domesticus, Tenebrio molitor, Locusta migratoria, and Alphitobius diaperinus for consumption. However, their consumption may also be associated with certain hazards, e.g., food allergies. The purpose of this review is to present existing knowledge, discuss the possible dangers of consuming insects, and identify areas for further research. Studies in Asian populations indicate that edible insects may be responsible for 4.2–19.4% of food allergies and 18% of fatal food-induced anaphylaxis. There are also increasing reports from Europe of food allergies to edible insects. A thorough understanding of allergens, their properties, and the mechanisms of food allergies associated with edible insects’ consumption is essential for ensuring consumers’ safety. In the future, it would be worthwhile to investigate the effects of heat treatment on the allergenicity of insect proteins.</w:t>
      </w:r>
    </w:p>
    <w:p>
      <w:pPr>
        <w:pStyle w:val="Heading2"/>
      </w:pPr>
      <w:r>
        <w:t>565. What energy infrastructure will be needed by 2050 in the EU to support 1.5°C scenarios?</w:t>
      </w:r>
    </w:p>
    <w:p>
      <w:pPr>
        <w:pStyle w:val="SourceNote"/>
      </w:pPr>
      <w:r>
        <w:rPr>
          <w:b/>
        </w:rPr>
        <w:t>Original source (2022):</w:t>
      </w:r>
      <w:r>
        <w:t xml:space="preserve"> https://doi.org/10.12688/f1000research.109399.1</w:t>
      </w:r>
    </w:p>
    <w:p>
      <w:pPr/>
      <w:r>
        <w:t>Original wording (abstract; indexed_source_text_not_full_document_verified): The objective of the study is to quantify energy infrastructure needs required in various climate neutral scenarios at the 2050 time horizon. Background: The European Commission has settled ambitious objectives in order to reach climate neutrality by 2050.</w:t>
      </w:r>
    </w:p>
    <w:p>
      <w:pPr/>
      <w:r>
        <w:rPr>
          <w:b/>
        </w:rPr>
        <w:t>POSSIBLE 2026:</w:t>
      </w:r>
      <w:r>
        <w:t xml:space="preserve"> Multi-objective supply chain optimization of renewable energy carrier imports for Europe — https://doi.org/10.18154/rwth-2026-04980</w:t>
      </w:r>
    </w:p>
    <w:p>
      <w:pPr/>
      <w:r>
        <w:rPr>
          <w:b/>
        </w:rPr>
        <w:t>Shared claim-specific concepts:</w:t>
      </w:r>
      <w:r>
        <w:t xml:space="preserve"> energy, infrastructure, horizon, objectives; EU scope visible. This is a provisional connection, not an outcome finding.</w:t>
      </w:r>
    </w:p>
    <w:p>
      <w:pPr>
        <w:pStyle w:val="SourceNote"/>
      </w:pPr>
      <w:r>
        <w:rPr>
          <w:b/>
        </w:rPr>
        <w:t>Available abstract (not full text):</w:t>
      </w:r>
      <w:r>
        <w:t xml:space="preserve"> We present an optimization approach examining renewable energy import partners.• The approach considers economic, environmental, and supply security objectives.• It identifies optimal exporting regions, their supply shares, and infrastructure.• It considers multiple renewable energy carriers trade over the long-term horizon.• We demonstrate the approach for the case of renewable energy imports to Europe.</w:t>
      </w:r>
    </w:p>
    <w:p>
      <w:pPr/>
      <w:r>
        <w:rPr>
          <w:b/>
        </w:rPr>
        <w:t>POSSIBLE 2026:</w:t>
      </w:r>
      <w:r>
        <w:t xml:space="preserve"> Sustainability of the European Energy System: The Evolution of the Energy Transition, Renewable Energy, and Energy Conservation — https://doi.org/10.3390/su18084046</w:t>
      </w:r>
    </w:p>
    <w:p>
      <w:pPr/>
      <w:r>
        <w:rPr>
          <w:b/>
        </w:rPr>
        <w:t>Shared claim-specific concepts:</w:t>
      </w:r>
      <w:r>
        <w:t xml:space="preserve"> objective, energy, climate, objectives, neutrality; EU scope visible. This is a provisional connection, not an outcome finding.</w:t>
      </w:r>
    </w:p>
    <w:p>
      <w:pPr>
        <w:pStyle w:val="SourceNote"/>
      </w:pPr>
      <w:r>
        <w:rPr>
          <w:b/>
        </w:rPr>
        <w:t>Available abstract (not full text):</w:t>
      </w:r>
      <w:r>
        <w:t xml:space="preserve"> Energy efficiency improvement represents a central strategic objective of the European Union (EU), essential for mitigating climate change and facilitating the transition toward a sustainable energy system. In 2023, renewable energy sources generated approximately 46% of the electricity produced in the EU, becoming the dominant component of the regional energy mix. This progress has been supported by coherent public policies, dedicated investment programs, and regulatory mechanisms aimed at accelerating the adoption of sustainable technologies. However, the existing literature highlights a research gap regarding the relationship between the dynamics of the European energy transition, the operational challenges generated by the rapid increase in the share of renewable energy sources, and the potential for energy savings in the residential sector through non-technological interventions. This paper analyzes the structural transformations of the European energy mix, the limitations of energy systems in the context of accelerated renewable energy integration, and the role of behavioral interventions in supporting the stability of the energy system. The study examines the dynamics of residential energy consumption, behavioral determinants of energy use, and the effectiveness of instruments such as information campaigns, real-time feedback, dynamic pricing, and demand response program</w:t>
      </w:r>
    </w:p>
    <w:p>
      <w:pPr/>
      <w:r>
        <w:rPr>
          <w:b/>
        </w:rPr>
        <w:t>POSSIBLE 2026:</w:t>
      </w:r>
      <w:r>
        <w:t xml:space="preserve"> Energy and Emission Disutilities of Transport Modes Under Transport Innovation in the European Union — https://doi.org/10.3390/en19051346</w:t>
      </w:r>
    </w:p>
    <w:p>
      <w:pPr/>
      <w:r>
        <w:rPr>
          <w:b/>
        </w:rPr>
        <w:t>Shared claim-specific concepts:</w:t>
      </w:r>
      <w:r>
        <w:t xml:space="preserve"> objective, energy, infrastructure, time; EU scope visible. This is a provisional connection, not an outcome finding.</w:t>
      </w:r>
    </w:p>
    <w:p>
      <w:pPr>
        <w:pStyle w:val="SourceNote"/>
      </w:pPr>
      <w:r>
        <w:rPr>
          <w:b/>
        </w:rPr>
        <w:t>Available abstract (not full text):</w:t>
      </w:r>
      <w:r>
        <w:t xml:space="preserve"> The transport sector is among the largest final energy consumers and greenhouse gas (GHG) emitters in the European Union. Consequently, reducing energy-related externalities has become a central objective in the EU’s sustainability and decarbonisation policies. This study quantifies the disutility costs associated with energy consumption and emissions across major passenger transport modes—cars, buses, and trains—using a harmonised dataset encompassing 28 EU countries. To do so, a comprehensive disutility cost framework is established, integrating time losses, monetary costs, infrastructure requirements, noise, local air pollutants, and GHG emissions, and combining correlation, regression, and clustering analyses. The results indicate that car transport incurs the highest transport disutility costs, primarily due to congestion-related energy inefficiencies and GHG emissions. In contrast, rail transport demonstrates the lowest cost, energy- and emission-related disutilities across most EU countries. Bus transport represents an intermediate solution, providing lower emission intensity compared to cars but exhibiting higher energy-related disutilities than rail systems. The findings highlight that a modal shift toward rail- and bus-based transport systems can substantially reduce transport-related energy demand, emissions, and income expenses with transport cost at the EU level. W</w:t>
      </w:r>
    </w:p>
    <w:p>
      <w:pPr/>
      <w:r>
        <w:rPr>
          <w:b/>
        </w:rPr>
        <w:t>POSSIBLE 2026:</w:t>
      </w:r>
      <w:r>
        <w:t xml:space="preserve"> Assessing Electricity System Flexibility Needs in the European Union — https://doi.org/10.2760/4894228</w:t>
      </w:r>
    </w:p>
    <w:p>
      <w:pPr/>
      <w:r>
        <w:rPr>
          <w:b/>
        </w:rPr>
        <w:t>Shared claim-specific concepts:</w:t>
      </w:r>
      <w:r>
        <w:t xml:space="preserve"> energy, needs, objectives; EU scope visible. This is a provisional connection, not an outcome finding.</w:t>
      </w:r>
    </w:p>
    <w:p>
      <w:pPr>
        <w:pStyle w:val="SourceNote"/>
      </w:pPr>
      <w:r>
        <w:rPr>
          <w:b/>
        </w:rPr>
        <w:t>Available abstract (not full text):</w:t>
      </w:r>
      <w:r>
        <w:t xml:space="preserve"> This report provides a compact guide, implementation-oriented introduction to the Flexibility Needs Assessment (FNA) methodology approved by the European Union (EU) Agency for the Cooperation of Energy Regulators (ACER) as Annex I to Decision No. 05/2025, in application of Article 19e of Regulation (EU) 2019/943. The FNA is the analytical basis on which Member States set indicative national objectives for non-fossil flexibility. The guide focuses on system-level flexibility needs, covering the common Article 7 data route and the interaction among Article 8 integration needs for renewable energy sources (RES), Article 9 ramping needs and Article 10 short-term flexibility needs. Network-level needs (Articles 11–14) are referenced but not covered. The methodology explanation is complemented by a synthetic one-week case study for a fictional bidding zone, used to illustrate how residual-load ramps, forecast-error uncertainty and renewable curtailment are linked, and how the anti-double-counting rule between Articles 9, 10 and 8 is applied. The example is deliberately smaller than a regulatory FNA and its scope and simplifications are made explicit as needed.</w:t>
      </w:r>
    </w:p>
    <w:p>
      <w:pPr/>
      <w:r>
        <w:rPr>
          <w:b/>
        </w:rPr>
        <w:t>POSSIBLE 2026:</w:t>
      </w:r>
      <w:r>
        <w:t xml:space="preserve"> A combinatorial multi-objective optimisation model to support the design of urban renewable energy communities — https://doi.org/10.1016/j.apenergy.2026.127635</w:t>
      </w:r>
    </w:p>
    <w:p>
      <w:pPr/>
      <w:r>
        <w:rPr>
          <w:b/>
        </w:rPr>
        <w:t>Shared claim-specific concepts:</w:t>
      </w:r>
      <w:r>
        <w:t xml:space="preserve"> energy, objectives, order; EU scope visible. This is a provisional connection, not an outcome finding.</w:t>
      </w:r>
    </w:p>
    <w:p>
      <w:pPr>
        <w:pStyle w:val="SourceNote"/>
      </w:pPr>
      <w:r>
        <w:rPr>
          <w:b/>
        </w:rPr>
        <w:t>Available abstract (not full text):</w:t>
      </w:r>
      <w:r>
        <w:t xml:space="preserve"> This study proposes a novel optimisation framework for the design of urban renewable energy communities, addressing the challenge of aggregating end users in planning processes hindered by conflicting objectives and the absence of a scenario-based methodology. We developed a computational tool that integrates multi-objective optimisation with multi-criteria decision-making techniques to identify optimal district configurations for urban renewable energy community projects. Specifically, the tool allows the grouping of potential members based on environmental, economic, and technical criteria, across different district scales and multiple scenarios. First, we elaborated a combinatorial optimisation problem based on the set partitioning problem, adapting the framework to numerous non-linear objectives. The algorithm was implemented in Python, combining a customised version of the Non-dominated Sorting Genetic Algorithm II with the k-means clustering algorithm. We incorporated the Technique for Order Preference by Similarity to Ideal Solution to rank the district configurations based on stakeholder preferences. We applied the algorithm to a real-world case study and carried out a comprehensive sensitivity analysis of the model. The proposed methodology enables the identification of optimal end user groupings and the quantification of key performance indicators. This research contr</w:t>
      </w:r>
    </w:p>
    <w:p>
      <w:pPr/>
      <w:r>
        <w:rPr>
          <w:b/>
        </w:rPr>
        <w:t>POSSIBLE 2026:</w:t>
      </w:r>
      <w:r>
        <w:t xml:space="preserve"> From concept to practice: a replication framework for equitable energy transitions in European islands — https://doi.org/10.1007/s40974-026-00426-7</w:t>
      </w:r>
    </w:p>
    <w:p>
      <w:pPr/>
      <w:r>
        <w:rPr>
          <w:b/>
        </w:rPr>
        <w:t>Shared claim-specific concepts:</w:t>
      </w:r>
      <w:r>
        <w:t xml:space="preserve"> energy, infrastructure, climate, objectives; EU scope visible. This is a provisional connection, not an outcome finding.</w:t>
      </w:r>
    </w:p>
    <w:p>
      <w:pPr>
        <w:pStyle w:val="SourceNote"/>
      </w:pPr>
      <w:r>
        <w:rPr>
          <w:b/>
        </w:rPr>
        <w:t>Available abstract (not full text):</w:t>
      </w:r>
      <w:r>
        <w:t xml:space="preserve"> Abstract The replication of sustainable energy systems is key to accelerating equitable energy transitions in European island communities. This study develops a structured replication methodology for Multi-Energy Systems (MES), introducing the Replication Readiness Index (RRI), a TOPSIS-based tool quantifying both decarbonization potential and distributional justice outcomes. The methodology integrates technical optimization with social equity assessment through six operational steps, ensuring vulnerable populations benefit from rather than bear the costs of energy transitions. The framework is anchored in the structural distinctness of island energy systems, namely grid isolation, sectoral supply-chain fragility, and the demographic over-representation of vulnerable groups, rather than presenting a generic just-transition instrument transferable to any community without translation. In the examined case study, there were identified 87% GHG emissions reduction, 30% overall energy cost decrease, and 81% savings for a local bakery industry through integrated PV-wind-biomass systems. Critically, the approach creates new income streams while concurrently addressing energy poverty among small businesses. The RRI analysis (0.75) provides policymakers with evidence-based metrics for prioritizing investments that achieve both climate and social justice objectives. Practical application</w:t>
      </w:r>
    </w:p>
    <w:p>
      <w:pPr/>
      <w:r>
        <w:rPr>
          <w:b/>
        </w:rPr>
        <w:t>POSSIBLE 2026:</w:t>
      </w:r>
      <w:r>
        <w:t xml:space="preserve"> Enhancing the Energy Transition of European Cities through Energy Communities — https://doi.org/10.1007/s11067-026-09759-6</w:t>
      </w:r>
    </w:p>
    <w:p>
      <w:pPr/>
      <w:r>
        <w:rPr>
          <w:b/>
        </w:rPr>
        <w:t>Shared claim-specific concepts:</w:t>
      </w:r>
      <w:r>
        <w:t xml:space="preserve"> quantify, energy, climate, neutral, neutrality; EU scope visible. This is a provisional connection, not an outcome finding.</w:t>
      </w:r>
    </w:p>
    <w:p>
      <w:pPr>
        <w:pStyle w:val="SourceNote"/>
      </w:pPr>
      <w:r>
        <w:rPr>
          <w:b/>
        </w:rPr>
        <w:t>Available abstract (not full text):</w:t>
      </w:r>
      <w:r>
        <w:t xml:space="preserve"> Abstract Urban areas account for over 70% of greenhouse gas emissions and are therefore central to the European Union’s goal of climate neutrality by 2030. This paper examines energy communities as enabling mechanisms for the urban energy transition, focusing on their capacity to integrate renewable generation, strengthen local engagement, and improve system-level performance. Framed within the EU’s Climate Neutral and Smart Cities Mission, energy communities are interpreted through the lenses of connectivity, circularity, and the regenerative economy, as they link prosumers through digitally coordinated, decentralized energy exchanges that promote local energy reuse and value regeneration. While not a standalone solution, energy communities illustrate a systemic approach that complements broader electrification, smart grid, and governance strategies. Specifically, we present a day-ahead scheduling model applied to a real medium-voltage distribution network in Modena, Italy. This model minimizes energy procurement costs, derives internal transaction prices using shadow prices, and shows how storage and local generation enhance economic and operational performance. We also quantify how community size and energy exchange rules affect efficiency. The results show that energy communities – when embedded in broader electrification and smart grid strategies – can play a catalytic rol</w:t>
      </w:r>
    </w:p>
    <w:p>
      <w:pPr/>
      <w:r>
        <w:rPr>
          <w:b/>
        </w:rPr>
        <w:t>POSSIBLE 2026:</w:t>
      </w:r>
      <w:r>
        <w:t xml:space="preserve"> Research and technology infrastructures in the European hydrogen economy: Status, needs and innovation concepts — https://doi.org/10.1016/j.ijhydene.2026.157061</w:t>
      </w:r>
    </w:p>
    <w:p>
      <w:pPr/>
      <w:r>
        <w:rPr>
          <w:b/>
        </w:rPr>
        <w:t>Shared claim-specific concepts:</w:t>
      </w:r>
      <w:r>
        <w:t xml:space="preserve"> infrastructure, needs, objectives; EU scope visible. This is a provisional connection, not an outcome finding.</w:t>
      </w:r>
    </w:p>
    <w:p>
      <w:pPr>
        <w:pStyle w:val="SourceNote"/>
      </w:pPr>
      <w:r>
        <w:rPr>
          <w:b/>
        </w:rPr>
        <w:t>Available abstract (not full text):</w:t>
      </w:r>
      <w:r>
        <w:t xml:space="preserve"> Research and Technology Infrastructures (RTIs) are central enablers of hydrogen technology development, yet their strategic potential remains underutilised in Europe. This review systematically assesses the European RTI landscape for clean hydrogen in comparison with global developments, using a Readiness Level framework and a comprehensive typology to analyse RTIs across the hydrogen value chain. The findings indicate that RTI ecosystems outside Europe exhibit examples of greater structural coherence, robust funding mechanisms, and stronger alignment with policy objectives. Conversely, the European context is characterized by fragmentation, limited access, and a reliance on short-term funding models. To address these challenges, this review proposes the adoption of coordinated governance structures, sustained lifecycle funding, improved industrial access pathways, and the integration of digital tools such as AI-driven experimentation. The main outcomes include: (i) a technology-neutral classification of RTIs, (ii) a systematic gap analysis, and (iii) targeted recommendations for policymakers, funding bodies, and infrastructure operators.</w:t>
      </w:r>
    </w:p>
    <w:p>
      <w:pPr/>
      <w:r>
        <w:rPr>
          <w:b/>
        </w:rPr>
        <w:t>POSSIBLE 2025:</w:t>
      </w:r>
      <w:r>
        <w:t xml:space="preserve"> Standardizing the Quantification of the Energy Performance Gap in Buildings — https://doi.org/10.26868/25222708.2025.1342</w:t>
      </w:r>
    </w:p>
    <w:p>
      <w:pPr/>
      <w:r>
        <w:rPr>
          <w:b/>
        </w:rPr>
        <w:t>Shared claim-specific concepts:</w:t>
      </w:r>
      <w:r>
        <w:t xml:space="preserve"> objective, energy, various, climate; EU scope visible. This is a provisional connection, not an outcome finding.</w:t>
      </w:r>
    </w:p>
    <w:p>
      <w:pPr>
        <w:pStyle w:val="SourceNote"/>
      </w:pPr>
      <w:r>
        <w:rPr>
          <w:b/>
        </w:rPr>
        <w:t>Available abstract (not full text):</w:t>
      </w:r>
      <w:r>
        <w:t xml:space="preserve"> The Energy Performance Gap (EPG), defined as the discrepancy between simulated and measured energy performance of buildings, presents a significant challenge in the energy efficiency domain. Research on the magnitude of the EPG fails to provide an accurate assessment of its actual size, with claims suggesting that its challegning to make correlations between the extent of the gap and some typical characteristics such as climate, floor space and building type [1]. Moreover, literature indicates that the magnitude may vary for the same building when compared against different baselines, such as compliance models or energy benchmarks, even when using identical measured data.This study aims to address these inconsistencies by proposing a standardized method for quantifying the EPG at both building and system levels. To achieve this objective, a comprehensive literature review will be conducted focused on current challenges related to issues of idenftuing the magnitude by simly making comparisons between simulated and measured energy performance. Furthermore, various energy benchmarks in the UK will be explored which could serve as baselines for comparison against measured energy performance.A novel framework will be developed, encompassing a new definition and quantification method for the EPG at building and system levels. The framework will undergo validation through semi-structu</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energy, climate, objectives;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Quantifying the impacts of policies on compensating for the hard-to-abate emissions of a smart energy city — https://doi.org/10.1016/j.segy.2025.100213</w:t>
      </w:r>
    </w:p>
    <w:p>
      <w:pPr/>
      <w:r>
        <w:rPr>
          <w:b/>
        </w:rPr>
        <w:t>Shared claim-specific concepts:</w:t>
      </w:r>
      <w:r>
        <w:t xml:space="preserve"> quantify, energy, climate, objectives, reach, neutrality; EU scope visible. This is a provisional connection, not an outcome finding.</w:t>
      </w:r>
    </w:p>
    <w:p>
      <w:pPr>
        <w:pStyle w:val="SourceNote"/>
      </w:pPr>
      <w:r>
        <w:rPr>
          <w:b/>
        </w:rPr>
        <w:t>Available abstract (not full text):</w:t>
      </w:r>
      <w:r>
        <w:t xml:space="preserve"> Frontrunner cities have adopted strict climate targets and evaluate a fifth of emissions to be hard-to-abate, requiring compensation for these emissions to reach carbon neutrality. Previous research on smart energy systems has largely neglected this need in local-level analyses. The present article addresses this gap by applying bottom-up energy system modeling in the case of the city of Tampere, Finland. The results quantify trade-offs between the need for transmission line expansion, electricity import, biomass consumption, and the ability to compensate for emissions with bioenergy carbon capture and storage (BECCS) when reaching carbon neutrality. This research finds that the use of an existing biomass-based combined heat and power (bio-CHP) plant with BECCS is limited by the demand for district heating (DH), challenged by individual heat pumps (HPs) and waste heat from the electrofuel production process. However, it is possible to simultaneously maintain some degree of bio-CHP and BECCS in combination with electrofuel production. Additionally, wind power deployment lowers total system cost across scenarios. In this way the city can not only serve abatement goals but also resilience and energy security objectives by virtue of the domestic, renewable-based qualities of biomass, wind and electrofuels. In this way, the city can contribute to policy coherence on the national and</w:t>
      </w:r>
    </w:p>
    <w:p>
      <w:pPr/>
      <w:r>
        <w:rPr>
          <w:b/>
        </w:rPr>
        <w:t>POSSIBLE 2025:</w:t>
      </w:r>
      <w:r>
        <w:t xml:space="preserve"> Quantifying the role of the forest-based bioeconomy in achieving green deal objectives in Latvia — https://doi.org/10.18174/681006</w:t>
      </w:r>
    </w:p>
    <w:p>
      <w:pPr/>
      <w:r>
        <w:rPr>
          <w:b/>
        </w:rPr>
        <w:t>Shared claim-specific concepts:</w:t>
      </w:r>
      <w:r>
        <w:t xml:space="preserve"> objective, quantify, energy, objectives; EU scope visible. This is a provisional connection, not an outcome finding.</w:t>
      </w:r>
    </w:p>
    <w:p>
      <w:pPr>
        <w:pStyle w:val="SourceNote"/>
      </w:pPr>
      <w:r>
        <w:rPr>
          <w:b/>
        </w:rPr>
        <w:t>Available abstract (not full text):</w:t>
      </w:r>
      <w:r>
        <w:t xml:space="preserve"> The global push towards sustainable development and environmental preservation has placed a spotlight on the bioeconomy, particularly the forest-based bioeconomy, as a crucial component in achieving these goals. Forests play an essential role in maintaining ecological balance and providing renewable resources, but also in supporting economic activities. In this context, understanding the contributions of the forest-based bioeconomy to broader sustainability objectives is increasingly important.The focus of this research is on Latvia, a country with a rich and diverse forest ecosystem that plays a critical role in its economy and environmental sustainability. Latvia's forest-based bioeconomy therefore presents a unique case for examining the forest-based bioeconomy.Despite the development of European and domestic action plans, there is a notable lack of quantitative assessment of these initiatives, especially for the forest-based bioeconomy. This leads to potentially suboptimal decision-making by governments, private businesses, and other stakeholders.The objective of this thesis is to quantify the significance of the forest-based bioeconomy and its contribution to achieving the goals outlined in the Green Deal in Latvia. To achieve this objective, the following four research questions have been formulated:1. To explore the ability of Latvia to reduce its dependence on imported </w:t>
      </w:r>
    </w:p>
    <w:p>
      <w:pPr>
        <w:pStyle w:val="Heading2"/>
      </w:pPr>
      <w:r>
        <w:t>566. Which way to net zero? a comparative analysis of seven UK 2050 decarbonisation pathways</w:t>
      </w:r>
    </w:p>
    <w:p>
      <w:pPr>
        <w:pStyle w:val="SourceNote"/>
      </w:pPr>
      <w:r>
        <w:rPr>
          <w:b/>
        </w:rPr>
        <w:t>Original source (2022):</w:t>
      </w:r>
      <w:r>
        <w:t xml:space="preserve"> https://doi.org/10.1016/j.rset.2021.100016</w:t>
      </w:r>
    </w:p>
    <w:p>
      <w:pPr/>
      <w:r>
        <w:t>Original wording (abstract; indexed_source_text_not_full_document_verified): The key findings reported are that (i) pathways that rely on less stringent behavioural changes require more ambitious technology development (and vice versa); (ii) electricity generation will increase by 51–160% to facilitate large-scale fuel-switching in heating and transport, the vast majority of which is likely to be generated from variable renewable sources; (iii) hydrogen is an important energy vector in meeting Net Zero for all pathways, providing 100–591 TWh annually by 2050, though the growth in demand is heavily dependent on the extent to which it is used in supplying heating and transport demand. Since the UK’s Net Zero greenhouse gas emissions target was set in 2019, organisations across the energy systems community have released pathways on how we might get there – which end-use technologies are deployed across each sector of demand, how our fossil fuel-based energy supply would be transferred to low carbon vectors and to what extent society must change the way it demands energy services.</w:t>
      </w:r>
    </w:p>
    <w:p>
      <w:pPr/>
      <w:r>
        <w:rPr>
          <w:b/>
        </w:rPr>
        <w:t>POSSIBLE 2026:</w:t>
      </w:r>
      <w:r>
        <w:t xml:space="preserve"> Corporate Reporting in Ukraine: Key Findings and Next Steps — https://doi.org/10.5281/zenodo.21262010</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This Action Note presents key findings, priority directions and next practical steps for the development of corporate reporting, sustainability reporting and assurance practices in Ukraine, developed in the context of the expert round table “Corporate Reporting in the Auditor’s Practice: Current State, Challenges and Development Prospects”, organized by NGO “Club Ecological Initiative” (NGO CEI) on 30 June 2026. The Note was prepared as a working analytical document following the expert discussion and will be further refined in light of professional feedback. It outlines a practical agenda for moving from fragmented discussion to systematic cooperation, from general awareness of international reporting requirements to the development of methodological support, and from isolated expert initiatives toward a permanent knowledge platform in the field of corporate reporting and sustainability. Its priority directions cover the transformation of corporate reporting, the role of auditors in sustainability assurance, biodiversity and climate-related disclosures, the need for practical guidance for Ukrainian stakeholders, and the development of the CEI Sustainability Navigator as an AI-assisted knowledge tool for structured access to legislation, international standards, analytical materials and methodological resources. The document is non-binding and does not constitute the formal pos</w:t>
      </w:r>
    </w:p>
    <w:p>
      <w:pPr/>
      <w:r>
        <w:rPr>
          <w:b/>
        </w:rPr>
        <w:t>POSSIBLE 2026:</w:t>
      </w:r>
      <w:r>
        <w:t xml:space="preserve"> Persistent Identifiers in Germany: Key Findings of a Nationwide Survey — https://doi.org/10.5334/dsj-2026-028</w:t>
      </w:r>
    </w:p>
    <w:p>
      <w:pPr/>
      <w:r>
        <w:rPr>
          <w:b/>
        </w:rPr>
        <w:t>Shared claim-specific concepts:</w:t>
      </w:r>
      <w:r>
        <w:t xml:space="preserve"> key, findings, less; EU scope visible. This is a provisional connection, not an outcome finding.</w:t>
      </w:r>
    </w:p>
    <w:p>
      <w:pPr>
        <w:pStyle w:val="SourceNote"/>
      </w:pPr>
      <w:r>
        <w:rPr>
          <w:b/>
        </w:rPr>
        <w:t>Available abstract (not full text):</w:t>
      </w:r>
      <w:r>
        <w:t xml:space="preserve"> Persistent identifiers (PIDs) are global, unique, resolvable, and persistent references that have become core components of open science and FAIR research as well as their infrastructures. This article reports key findings from the first nationwide Survey on the Need for and Use of Persistent Identifiers at Research and Infrastructure Organizations in Germany. This survey is based on a cross-sectional, cross-disciplinary online survey covering more than 20 PID types and established entity categories, targeting all relevant public-sector academic and non-academic research organizations in Germany as well as European and international research infrastructure nodes headquartered in Germany. Responses from a diverse set of academic and non-academic research and infrastructure organizations provide an empirical basis for analyzing PID familiarity and use, training needs, infrastructural embedding, and strategic framework conditions. The findings indicate that PID adoption is currently concentrated on a limited set of widely established identifiers (DOI, ISBN, ORCID iD, GND, URN), whereas newer or specialized identifiers remain less recognized and are infrequently implemented. PID usage predominantly occurs within publication and research data workflows, with anticipated expansion to additional entity types such as research software and instruments. Across organizations, respondents </w:t>
      </w:r>
    </w:p>
    <w:p>
      <w:pPr/>
      <w:r>
        <w:rPr>
          <w:b/>
        </w:rPr>
        <w:t>POSSIBLE 2025:</w:t>
      </w:r>
      <w:r>
        <w:t xml:space="preserve"> InYA – Invisible Young Athletes: Key Findings Report (Project Deliverable) — https://doi.org/10.5281/zenodo.17963501</w:t>
      </w:r>
    </w:p>
    <w:p>
      <w:pPr/>
      <w:r>
        <w:rPr>
          <w:b/>
        </w:rPr>
        <w:t>Shared claim-specific concepts:</w:t>
      </w:r>
      <w:r>
        <w:t xml:space="preserve"> key, findings, pathways; EU scope visible. This is a provisional connection, not an outcome finding.</w:t>
      </w:r>
    </w:p>
    <w:p>
      <w:pPr>
        <w:pStyle w:val="SourceNote"/>
      </w:pPr>
      <w:r>
        <w:rPr>
          <w:b/>
        </w:rPr>
        <w:t>Available abstract (not full text):</w:t>
      </w:r>
      <w:r>
        <w:t xml:space="preserve"> This Zenodo record is a project deliverable from the Erasmus+ project Invisible Young Athletes (InYA) (101134379; ERASMUS-SPORT-2023-SSCP). It summarises key findings from the scientific manuscript “Invisible Young Athletes: What About Them?”, submitted to the journal Socialno delo and currently under peer review. The full manuscript text is not publicly available at this stage. Structured interviews were conducted with 42 participants from inclusive judo clubs in Slovenia, Croatia and Serbia (13 judoka, 12 parents, 13 coaches, 4 experts). Eleven interview questions were grouped into five thematic domains and analysed using a combined deductive–inductive thematic approach. Key findings: (1) friendships, feeling accepted and belonging are primary motivators for participation and persistence in judo; (2) inclusive judo is perceived as a safe space and often as a “last chance” after negative experiences in other sports; (3) smaller groups, individualised and playful teaching, and realistic non-exclusive expectations are emphasised; (4) programmes can rebuild self-esteem, social networks and physical literacy; (5) access to inclusive programmes and information remains uneven and is shaped by result-oriented funding and allocation of facilities; (6) long-term impact requires stable funding, systematic coach education, recognition of non-competitive pathways, and better visibility of</w:t>
      </w:r>
    </w:p>
    <w:p>
      <w:pPr/>
      <w:r>
        <w:rPr>
          <w:b/>
        </w:rPr>
        <w:t>POSSIBLE 2025:</w:t>
      </w:r>
      <w:r>
        <w:t xml:space="preserve"> Results and Key Findings — https://doi.org/10.1007/978-3-031-85991-5_6</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Abstract This chapter presents the key findings of the study, detailing the data collection time frame, methods, and results from the prison art therapy program. The chapter reports inmate demographics, quantitative and qualitative questionnaire results, visual responses, and insights from a public art exhibition, highlighting the transformative potential of art in rehabilitation. Researcher reflections on journaling provide additional depth, capturing interactions and emergent themes. Overall, the findings underscore the capacity of art to enhance self-awareness, reduce violence, and promote emotional well-being in prison contexts while identifying areas for future research and therapeutic art program development.</w:t>
      </w:r>
    </w:p>
    <w:p>
      <w:pPr/>
      <w:r>
        <w:rPr>
          <w:b/>
        </w:rPr>
        <w:t>POSSIBLE 2025:</w:t>
      </w:r>
      <w:r>
        <w:t xml:space="preserve"> Should Firms Avoid Relying on Key Employees? Evidence From Inventors — https://doi.org/10.1111/eufm.70014</w:t>
      </w:r>
    </w:p>
    <w:p>
      <w:pPr/>
      <w:r>
        <w:rPr>
          <w:b/>
        </w:rPr>
        <w:t>Shared claim-specific concepts:</w:t>
      </w:r>
      <w:r>
        <w:t xml:space="preserve"> key, findings, technology; EU scope not established. This is a provisional connection, not an outcome finding.</w:t>
      </w:r>
    </w:p>
    <w:p>
      <w:pPr>
        <w:pStyle w:val="SourceNote"/>
      </w:pPr>
      <w:r>
        <w:rPr>
          <w:b/>
        </w:rPr>
        <w:t>Available abstract (not full text):</w:t>
      </w:r>
      <w:r>
        <w:t xml:space="preserve"> ABSTRACT Analysing inventor careers in U.S. public firms, we find that higher inventor‐base concentration enhances corporate innovation productivity in subsequent years, a relationship that remains consistent across various model specifications. Concentration improves the retention of individual inventors and teams, supporting the employee retention hypothesis. However, firms with concentrated inventor bases tend to emphasize exploitation over exploration in their innovation efforts. Moreover, the impact of inventor‐base concentration is moderated by factors such as technology or product lifecycle length and conglomerate status. These findings underscore the critical role of human capital management in driving firm innovation.</w:t>
      </w:r>
    </w:p>
    <w:p>
      <w:pPr/>
      <w:r>
        <w:rPr>
          <w:b/>
        </w:rPr>
        <w:t>POSSIBLE 2025:</w:t>
      </w:r>
      <w:r>
        <w:t xml:space="preserve"> Determinants of SME Growth and Competitiveness in the UK: Key Findings and Implications — https://doi.org/10.69565/jeba.v3i2.460</w:t>
      </w:r>
    </w:p>
    <w:p>
      <w:pPr/>
      <w:r>
        <w:rPr>
          <w:b/>
        </w:rPr>
        <w:t>Shared claim-specific concepts:</w:t>
      </w:r>
      <w:r>
        <w:t xml:space="preserve"> key, findings, require; EU scope not established. This is a provisional connection, not an outcome finding.</w:t>
      </w:r>
    </w:p>
    <w:p>
      <w:pPr>
        <w:pStyle w:val="SourceNote"/>
      </w:pPr>
      <w:r>
        <w:rPr>
          <w:b/>
        </w:rPr>
        <w:t>Available abstract (not full text):</w:t>
      </w:r>
      <w:r>
        <w:t xml:space="preserve"> This study investigates the determinants of small and medium-sized enterprise (SME) growth and competitiveness in the United Kingdom by examining how firm-level characteristics and capability-related factors influence sales performance and export participation. Using firm-level cross-sectional data from the World Bank Enterprise Survey, the study applies Ordinary Least Squares regression to analyse SME sales performance, measured through the natural logarithm of annual sales, and logistic regression to examine SME competitiveness, measured through direct export participation. The explanatory variables include formal finance, firm age, firm size, managerial experience, innovation, and quality certification. The findings show that SME sales performance and competitiveness are related but empirically distinct outcomes. Firm age has a positive and significant association with both sales performance and export competitiveness, suggesting that organisational maturity supports business stability and market development. Firm size is the strongest predictor of sales performance; however, it is negatively associated with export participation once sales performance is controlled. Quality certification emerges as a consistently significant factor, positively influencing both sales and competitiveness, highlighting the importance of standards, credibility, and market readiness. Formal finan</w:t>
      </w:r>
    </w:p>
    <w:p>
      <w:pPr/>
      <w:r>
        <w:rPr>
          <w:b/>
        </w:rPr>
        <w:t>POSSIBLE 2025:</w:t>
      </w:r>
      <w:r>
        <w:t xml:space="preserve"> Implementation evaluation of the SA patient reported measures program, key findings for Commission for Excellence and Innovation in Health — https://openalex.org/W7216623872</w:t>
      </w:r>
    </w:p>
    <w:p>
      <w:pPr/>
      <w:r>
        <w:rPr>
          <w:b/>
        </w:rPr>
        <w:t>Shared claim-specific concepts:</w:t>
      </w:r>
      <w:r>
        <w:t xml:space="preserve"> key, findings, reported; EU scope not established. This is a provisional connection, not an outcome finding.</w:t>
      </w:r>
    </w:p>
    <w:p>
      <w:pPr>
        <w:pStyle w:val="SourceNote"/>
      </w:pPr>
      <w:r>
        <w:rPr>
          <w:b/>
        </w:rPr>
        <w:t>Available abstract (not full text):</w:t>
      </w:r>
      <w:r>
        <w:t xml:space="preserve"> A report outlining the implementation evaluation of the SA patient reported measures program for Commission for Excellence and Innovation in Health.</w:t>
      </w:r>
    </w:p>
    <w:p>
      <w:pPr/>
      <w:r>
        <w:rPr>
          <w:b/>
        </w:rPr>
        <w:t>POSSIBLE 2025:</w:t>
      </w:r>
      <w:r>
        <w:t xml:space="preserve"> A Literature Review on The Technical Efficiency of Islamic Banks: Classification and Key Findings — https://doi.org/10.56734/ijbms.v6n4a5</w:t>
      </w:r>
    </w:p>
    <w:p>
      <w:pPr/>
      <w:r>
        <w:rPr>
          <w:b/>
        </w:rPr>
        <w:t>Shared claim-specific concepts:</w:t>
      </w:r>
      <w:r>
        <w:t xml:space="preserve"> key, findings, less; EU scope not established. This is a provisional connection, not an outcome finding.</w:t>
      </w:r>
    </w:p>
    <w:p>
      <w:pPr>
        <w:pStyle w:val="SourceNote"/>
      </w:pPr>
      <w:r>
        <w:rPr>
          <w:b/>
        </w:rPr>
        <w:t>Available abstract (not full text):</w:t>
      </w:r>
      <w:r>
        <w:t xml:space="preserve"> This paper presents a comprehensive literature review and classification scheme to examine the technical efficiency of Islamic banks. It primarily focuses on two methodological approaches: parametric and nonparametric. Drawing on more than 100 articles on the technical efficiency of both conventional and Islamic banks, this study identifies key factors influencing efficiency levels. Articles are classified based on various criteria, including journal source, publication date, paper type, study context, bank nature, efficiency measurement approach, selected inputs and outputs, determinants of efficiency, and empirical findings. The review highlights that research on the technical efficiency of Islamic banks remains less developed compared to conventional banking. Several key findings are discussed, shedding light on the current state of knowledge in this field.</w:t>
      </w:r>
    </w:p>
    <w:p>
      <w:pPr/>
      <w:r>
        <w:rPr>
          <w:b/>
        </w:rPr>
        <w:t>POSSIBLE 2025:</w:t>
      </w:r>
      <w:r>
        <w:t xml:space="preserve"> HOW PERSONALITY SHAPES STUDENT MOTIVATION: A REVIEW OF KEY FINDINGS — https://doi.org/10.29303/prospek.v6i1.1196</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This article explores the relationship between personality and student learning motivation through a literature review approach, also known as library research. This method involves reading, analyzing, and comparing various literature sources, including research reports, academic journals, papers, books, and other relevant references, without requiring fieldwork. The study discusses several key aspects: the concept of personality; factors determining personality; personality patterns; the concept of learning motivation; factors influencing learning motivation; the objectives of providing motivation; indicators of student learning motivation; and the relationship between personality and student learning motivation. The findings of this study provide insights for educators, policymakers, and researchers into the importance of understanding personality traits to enhance students' learning motivation. By tailoring teaching strategies to align with different personality patterns, educators can foster a more engaging and supportive learning environment. Furthermore, the study highlights the need for educational interventions that address both personality development and motivational factors, thereby contributing to the overall improvement of student academic performance and personal growth.</w:t>
      </w:r>
    </w:p>
    <w:p>
      <w:pPr/>
      <w:r>
        <w:rPr>
          <w:b/>
        </w:rPr>
        <w:t>POSSIBLE 2025:</w:t>
      </w:r>
      <w:r>
        <w:t xml:space="preserve"> Power Utilization in Open RAN: Key Findings From a USA Testbed — https://doi.org/10.1109/lcomm.2025.3557715</w:t>
      </w:r>
    </w:p>
    <w:p>
      <w:pPr/>
      <w:r>
        <w:rPr>
          <w:b/>
        </w:rPr>
        <w:t>Shared claim-specific concepts:</w:t>
      </w:r>
      <w:r>
        <w:t xml:space="preserve"> key, findings; EU scope not established. This is a provisional connection, not an outcome finding.</w:t>
      </w:r>
    </w:p>
    <w:p>
      <w:pPr>
        <w:pStyle w:val="SourceNote"/>
      </w:pPr>
      <w:r>
        <w:rPr>
          <w:b/>
        </w:rPr>
        <w:t>Available abstract (not full text):</w:t>
      </w:r>
      <w:r>
        <w:t xml:space="preserve"> Open Radio Access Networks (Open RAN) provide flexible, scalable, and interoperable solutions to address the growing demands of mobile traffic while also aiming to reduce energy consumption. Most prior research on energy-efficient Open RAN has focused on switching techniques such as dynamic cell on/off strategies and adaptive resource allocation, primarily through simulations. This paper investigates Central Processing Unit (CPU) power utilization at the NodeB (base station) level, focusing on User Equipment (UE) connection states by making use of a USA testbed (i.e., POWDER testbed). Two scenarios are considered for the experimental setup: (1) a simulated virtual environment with a single high-powered device and (2) a physical hardware deployment using the separate low-power device for Open RAN. We present key findings from simulated and physical NodeB experiments conducted on the USA testbed, with real hardware. The findings include the relationship between power utilization and forced throughput, the impact of an increasing number of UEs on power utilization, the effects of different UE connection states (active, idle, or not connected), and the behavior of uplink and downlink throughput in both simulated and physical setups. Additionally, this paper introduces and validates power-law equations for power utilization in both setups, offering valuable insights into the effecti</w:t>
      </w:r>
    </w:p>
    <w:p>
      <w:pPr/>
      <w:r>
        <w:rPr>
          <w:b/>
        </w:rPr>
        <w:t>POSSIBLE 2024:</w:t>
      </w:r>
      <w:r>
        <w:t xml:space="preserve"> National Diabetes Audit: key findings from latest Diabetes in Pregnancy report — https://doi.org/10.1002/pdi.2504</w:t>
      </w:r>
    </w:p>
    <w:p>
      <w:pPr/>
      <w:r>
        <w:rPr>
          <w:b/>
        </w:rPr>
        <w:t>Shared claim-specific concepts:</w:t>
      </w:r>
      <w:r>
        <w:t xml:space="preserve"> key, findings, technology; EU scope not established. This is a provisional connection, not an outcome finding.</w:t>
      </w:r>
    </w:p>
    <w:p>
      <w:pPr>
        <w:pStyle w:val="SourceNote"/>
      </w:pPr>
      <w:r>
        <w:rPr>
          <w:b/>
        </w:rPr>
        <w:t>Available abstract (not full text):</w:t>
      </w:r>
      <w:r>
        <w:t xml:space="preserve"> The use of continuous glucose monitoring technology has improved pregnancy outcomes for women with type 1 diabetes, according to the National Pregnancy in Diabetes audit report for the period 2021–2022. However, there were no such gains for women with type 2 diabetes. Steve Chaplin reports.</w:t>
      </w:r>
    </w:p>
    <w:p>
      <w:pPr/>
      <w:r>
        <w:rPr>
          <w:b/>
        </w:rPr>
        <w:t>POSSIBLE 2024:</w:t>
      </w:r>
      <w:r>
        <w:t xml:space="preserve"> Hydrology and Droughts in the Nile: A Review of Key Findings and Implications — https://doi.org/10.3390/w16172521</w:t>
      </w:r>
    </w:p>
    <w:p>
      <w:pPr/>
      <w:r>
        <w:rPr>
          <w:b/>
        </w:rPr>
        <w:t>Shared claim-specific concepts:</w:t>
      </w:r>
      <w:r>
        <w:t xml:space="preserve"> key, findings, large-scale; EU scope not established. This is a provisional connection, not an outcome finding.</w:t>
      </w:r>
    </w:p>
    <w:p>
      <w:pPr>
        <w:pStyle w:val="SourceNote"/>
      </w:pPr>
      <w:r>
        <w:rPr>
          <w:b/>
        </w:rPr>
        <w:t>Available abstract (not full text):</w:t>
      </w:r>
      <w:r>
        <w:t xml:space="preserve"> The Nile Basin has long been the subject of extensive research, reflecting its importance, which spans from its historical role in the development of ancient civilizations to its current significance in supporting rapidly changing socioeconomic conditions of the basin countries. This review synthesizes studies focusing on the past and future climate, hydrologic, and drought outlooks of the basin, and explores the roles played by large-scale atmospheric phenomena and water infrastructure on the basin’s climate and hydrology. Overall, the studies underscore the complexity of the Nile hydrological system and the necessity for improved modeling and data integration. This review serves as a guide to areas warranting further research by highlighting the uncertainties and inconsistencies among the different studies. It underscores the interconnectedness of climatic and hydrological processes in the basin and encourages the use of diverse data sources to address the data scarcity issue and ensemble models to reduce modeling uncertainty in future research. By summarizing the data and modeling resources employed in these studies, this review also provides a valuable resource for future modeling efforts to understand and explore of the basin’s complex climatic and hydrological dynamics.</w:t>
      </w:r>
    </w:p>
    <w:p>
      <w:pPr>
        <w:pStyle w:val="Heading2"/>
      </w:pPr>
      <w:r>
        <w:t>567. A 2050 perspective on the role for carbon capture and storage in the European power system and industry sector</w:t>
      </w:r>
    </w:p>
    <w:p>
      <w:pPr>
        <w:pStyle w:val="SourceNote"/>
      </w:pPr>
      <w:r>
        <w:rPr>
          <w:b/>
        </w:rPr>
        <w:t>Original source (2021):</w:t>
      </w:r>
      <w:r>
        <w:t xml:space="preserve"> https://doi.org/10.1016/j.eneco.2021.105631</w:t>
      </w:r>
    </w:p>
    <w:p>
      <w:pPr/>
      <w:r>
        <w:t>Original wording (abstract; indexed_source_text_not_full_document_verified): This unique modelling framework analyses the feasibility and costs of CCS deployment in the European Union towards 2050 in three scenarios with the same ambitious climate policy target (~85% CO2 emissions reduction). Once CO2 transport infrastructure is available, CCS will be a preferred mitigation option for the industry sector emissions.</w:t>
      </w:r>
    </w:p>
    <w:p>
      <w:pPr/>
      <w:r>
        <w:rPr>
          <w:b/>
        </w:rPr>
        <w:t>POSSIBLE 2026:</w:t>
      </w:r>
      <w:r>
        <w:t xml:space="preserve"> Feasible Carbon Sequestration Potential in European Agricultural Mineral Soils Through Improved Management — https://doi.org/10.1111/ejss.70357</w:t>
      </w:r>
    </w:p>
    <w:p>
      <w:pPr/>
      <w:r>
        <w:rPr>
          <w:b/>
        </w:rPr>
        <w:t>Shared claim-specific concepts:</w:t>
      </w:r>
      <w:r>
        <w:t xml:space="preserve"> climate, emissions, mitigation, option; EU scope visible. This is a provisional connection, not an outcome finding.</w:t>
      </w:r>
    </w:p>
    <w:p>
      <w:pPr>
        <w:pStyle w:val="SourceNote"/>
      </w:pPr>
      <w:r>
        <w:rPr>
          <w:b/>
        </w:rPr>
        <w:t>Available abstract (not full text):</w:t>
      </w:r>
      <w:r>
        <w:t xml:space="preserve"> ABSTRACT Soil degradation threatens global agriculture by compromising soil health, while sustainable agricultural management enhances soil functionality and carbon (C) storage, thereby contributing to climate change mitigation. This study estimates the feasible C sequestration potential of ten agricultural management practices across Europe, by applying practice‐specific emission factors and identifying areas suitable for additional implementation. For each management option, the implementation area was defined based on environmental and technical limitations and, if applicable, EU regulations. The objective of this study is to identify general patterns, relative magnitudes, and plausible ranges of carbon sequestration potentials across Europe. Considering soil C from 0 to 50 cm depth, biochar application shows the highest and most robust potential, contributing approximately 34%–47% of the total estimated annual C sequestration rate. This is followed by agroforestry, contributing 24%–45% (of which ~10% occurs in soils and ~90% in biomass), and zero tillage with 11%–15%. Optimised crop residue management (4%–6%), forage legumes and temporary ley rotations (4%–5%), and cover cropping (2%–3%) contribute comparatively smaller shares. Non‐inversion tillage and irrigation offered a marginal C sequestration potential. By implementing all non‐mutually exclusive management options, th</w:t>
      </w:r>
    </w:p>
    <w:p>
      <w:pPr/>
      <w:r>
        <w:rPr>
          <w:b/>
        </w:rPr>
        <w:t>POSSIBLE 2026:</w:t>
      </w:r>
      <w:r>
        <w:t xml:space="preserve"> Envirotyping framework for wheat in Europe — https://doi.org/10.1016/j.fcr.2026.110616</w:t>
      </w:r>
    </w:p>
    <w:p>
      <w:pPr/>
      <w:r>
        <w:rPr>
          <w:b/>
        </w:rPr>
        <w:t>Shared claim-specific concepts:</w:t>
      </w:r>
      <w:r>
        <w:t xml:space="preserve"> framework, three, target; EU scope visible. This is a provisional connection, not an outcome finding.</w:t>
      </w:r>
    </w:p>
    <w:p>
      <w:pPr>
        <w:pStyle w:val="SourceNote"/>
      </w:pPr>
      <w:r>
        <w:rPr>
          <w:b/>
        </w:rPr>
        <w:t>Available abstract (not full text):</w:t>
      </w:r>
      <w:r>
        <w:t xml:space="preserve"> Context Wheat production in Europe is increasingly constrained by climatic stressors, particularly heat and drought, which threaten yield stability and genetic gain. To improve environmental characterization in multi-environment trials and support the development of climate-resilient cultivars, we propose a robust envirotyping framework based on a crop model and multivariate analysis. Methods We combined 16 years of data from official Value for Cultivation and Use (VCU) trials across six European countries with simulations from the SiriusQuality process-based crop model. Environmental indices were computed to quantify temperature, water, and radiation stress during critical phenological stages. We evaluated two approaches for environmental characterization. Results and conclusions A principal component analysis of selected indices captured key climatic gradients but generated composite dimensions with limited interpretability for envirotyping applications. In contrast, a simplified method based on three physiologically grounded indices—heat stress, water deficit, and radiation balance—offered greater clarity and biological relevance. K-means clustering applied to these indices delineated discrete and interpretable envirotypes. The analysis revealed consistent low-stress conditions in Alpine regions, frequent combined heat and drought stress in eastern Austria and Hungary, and w</w:t>
      </w:r>
    </w:p>
    <w:p>
      <w:pPr/>
      <w:r>
        <w:rPr>
          <w:b/>
        </w:rPr>
        <w:t>POSSIBLE 2026:</w:t>
      </w:r>
      <w:r>
        <w:t xml:space="preserve"> Evaluating the Operations Feasibility and Business Model Development of a Sri Lankan Beauty Salon — https://openalex.org/W7163484922</w:t>
      </w:r>
    </w:p>
    <w:p>
      <w:pPr/>
      <w:r>
        <w:rPr>
          <w:b/>
        </w:rPr>
        <w:t>Shared claim-specific concepts:</w:t>
      </w:r>
      <w:r>
        <w:t xml:space="preserve"> unique, analyses, feasibility; EU scope visible. This is a provisional connection, not an outcome finding.</w:t>
      </w:r>
    </w:p>
    <w:p>
      <w:pPr>
        <w:pStyle w:val="SourceNote"/>
      </w:pPr>
      <w:r>
        <w:rPr>
          <w:b/>
        </w:rPr>
        <w:t>Available abstract (not full text):</w:t>
      </w:r>
      <w:r>
        <w:t xml:space="preserve"> This study evaluates the operational feasibility and business model development of a Sri Lankan beauty salon in Turku. The main purpose of the research was to identify customer interest, market demand and the business potential for culturally unique beauty services within a multicultural environment. The study focused on understanding customer expectations, service preferences, and the opportunities and challenges related to establishing a Sri Lankan-themed beauty salon in Turku, Finland. The research was conducted using a qualitative research approach. Primary data was collected through interviews with potential customers living in Finland. In addition, competitor and environmental analyses were carried out to understand the existing beauty salon market, service offering, pricing strategies and other key factors affecting the industry. The collected data was analysed using thematic analysis to identify the key themes and customer opinions related to the proposed business concept. The findings revealed that there is an increasing interest in authentic and natural beauty treatments among both South Asian and International customers. Those who participated in the study highlighted the importance of high-quality service, personalized customer care, natural products, and culturally distinctive treatments. The study also found that existing salons do not provide authentic Sri Lankan</w:t>
      </w:r>
    </w:p>
    <w:p>
      <w:pPr/>
      <w:r>
        <w:rPr>
          <w:b/>
        </w:rPr>
        <w:t>POSSIBLE 2025:</w:t>
      </w:r>
      <w:r>
        <w:t xml:space="preserve"> Modelling of Soil Multifunctionality Across Europe — https://doi.org/10.1111/sum.70147</w:t>
      </w:r>
    </w:p>
    <w:p>
      <w:pPr/>
      <w:r>
        <w:rPr>
          <w:b/>
        </w:rPr>
        <w:t>Shared claim-specific concepts:</w:t>
      </w:r>
      <w:r>
        <w:t xml:space="preserve"> unique, modelling, climate; EU scope visible. This is a provisional connection, not an outcome finding.</w:t>
      </w:r>
    </w:p>
    <w:p>
      <w:pPr>
        <w:pStyle w:val="SourceNote"/>
      </w:pPr>
      <w:r>
        <w:rPr>
          <w:b/>
        </w:rPr>
        <w:t>Available abstract (not full text):</w:t>
      </w:r>
      <w:r>
        <w:t xml:space="preserve"> ABSTRACT Soils sustain a number of functions playing a key role in ecosystem functioning and providing a multitude of services to human society. While it is acknowledged that all soils are multifunctional, there is, to date, limited knowledge on how the supply of soil functions and their combination differ spatially with land use type, soil characteristics, climate and land use intensity at large geographical scales. We address this gap by quantifying five functions of major importance to European soils: (1) primary productivity, (2) water regulation, (3) climate regulation, (4) nutrient cycling and (5) provision of habitat for biodiversity. We built a multi‐attribute semi‐quantitative model with a hierarchical structure. The model is structured for the large‐scale evaluation of soil functions and takes as input a set of indicators related to dynamic and stable soil properties, as well as climate, topography and management practices, and returns qualitative aggregated attributes representing the soil functions supply. Thresholds for the soil functions supply are obtained by statistical analysis coupled with expert knowledge and vary across European environmental zones. The model is tested utilizing a large pan‐European dataset focused on cropland and grassland systems. Statistical distributions of soil functions supply are obtained alongside alpha‐ and beta‐multifunctionality r</w:t>
      </w:r>
    </w:p>
    <w:p>
      <w:pPr/>
      <w:r>
        <w:rPr>
          <w:b/>
        </w:rPr>
        <w:t>POSSIBLE 2025:</w:t>
      </w:r>
      <w:r>
        <w:t xml:space="preserve"> Climate Policy Feasibility across Europe Relies on the Conditional Middle — https://doi.org/10.31219/osf.io/pnvw8_v3</w:t>
      </w:r>
    </w:p>
    <w:p>
      <w:pPr/>
      <w:r>
        <w:rPr>
          <w:b/>
        </w:rPr>
        <w:t>Shared claim-specific concepts:</w:t>
      </w:r>
      <w:r>
        <w:t xml:space="preserve"> feasibility, climate; EU scope visible. This is a provisional connection, not an outcome finding.</w:t>
      </w:r>
    </w:p>
    <w:p>
      <w:pPr>
        <w:pStyle w:val="SourceNote"/>
      </w:pPr>
      <w:r>
        <w:rPr>
          <w:b/>
        </w:rPr>
        <w:t>Available abstract (not full text):</w:t>
      </w:r>
      <w:r>
        <w:t xml:space="preserve"> Political feasibility of climate policies hinges on persuading the moderate middle of the electorate. A survey evaluates climate policy preferences across 13 EU countries (n=19,328, Summer 2024), identifying `Conditionals', a crucial faction of moderates whose support shifts across 15 climate measures. Conditionals constitute 33\% of Europeans that are active voters for the dominant centrist and centre-right parties. Simulations indicate that even if currently undecided Conditionals simply moved to support, the number of policies with majority backing would more than double (from 4 to 10). Such changes do seem plausible, as Conditionals' preferences hinge less on fixed ideology or demographics, and rather upon things that policymakers can adjust, policy designs and the perceived cost–benefit balances. Overall, our findings emphasize that climate policy success depends on strategic engagement with diverse, moveable constituencies, where tailoring designs with visible benefits offers a pragmatic route to expand the feasibility frontier</w:t>
      </w:r>
    </w:p>
    <w:p>
      <w:pPr/>
      <w:r>
        <w:rPr>
          <w:b/>
        </w:rPr>
        <w:t>POSSIBLE 2025:</w:t>
      </w:r>
      <w:r>
        <w:t xml:space="preserve"> An Acceptability and Feasibility Study of a Nurse‐Led Model of Contraception and Abortion Care in Rural General Practice — https://doi.org/10.1111/jan.16777</w:t>
      </w:r>
    </w:p>
    <w:p>
      <w:pPr/>
      <w:r>
        <w:rPr>
          <w:b/>
        </w:rPr>
        <w:t>Shared claim-specific concepts:</w:t>
      </w:r>
      <w:r>
        <w:t xml:space="preserve"> unique, feasibility, three, preferred; EU scope not established. This is a provisional connection, not an outcome finding.</w:t>
      </w:r>
    </w:p>
    <w:p>
      <w:pPr>
        <w:pStyle w:val="SourceNote"/>
      </w:pPr>
      <w:r>
        <w:rPr>
          <w:b/>
        </w:rPr>
        <w:t>Available abstract (not full text):</w:t>
      </w:r>
      <w:r>
        <w:t xml:space="preserve"> AIM: To assess the acceptability and perceived feasibility of integrating a co-designed nurse-led model of contraception and medication abortion care within rural and regional general practices. DESIGN: Qualitative exploratory design utilising Sidani and Braden's indicators of acceptability and feasibility. METHODS: We conducted semi-structured interviews with 12 practice nurses, 8 general practitioners and 3 practice managers who currently or previously worked in rural, regional or remote general practice. Participants were recruited purposively through social media, partner organisation newsletters and snowballing. During the interview, participants were presented with an overview of the co-designed model of care and asked specific questions to gain feedback on its acceptability and perceived feasibility. Data were analysed in NVivo using template analysis and iterative categorisation. Findings were mapped according to Sidani and Braden's indicators of acceptability and feasibility. RESULTS: Three overarching themes were identified: nurses are acceptable providers, factors influencing the feasibility of the model and factors supporting greater feasibility of the model. Participants found the nurse-led model acceptable, describing nurses as suitable and sometimes preferred providers of long-acting reversible contraception and abortion care in rural and regional settings. They </w:t>
      </w:r>
    </w:p>
    <w:p>
      <w:pPr/>
      <w:r>
        <w:rPr>
          <w:b/>
        </w:rPr>
        <w:t>POSSIBLE 2025:</w:t>
      </w:r>
      <w:r>
        <w:t xml:space="preserve"> Business model framework for end-of-life automotive traction battery recycling — https://doi.org/10.1016/j.procir.2025.02.242</w:t>
      </w:r>
    </w:p>
    <w:p>
      <w:pPr/>
      <w:r>
        <w:rPr>
          <w:b/>
        </w:rPr>
        <w:t>Shared claim-specific concepts:</w:t>
      </w:r>
      <w:r>
        <w:t xml:space="preserve"> unique, framework; EU scope visible. This is a provisional connection, not an outcome finding.</w:t>
      </w:r>
    </w:p>
    <w:p>
      <w:pPr>
        <w:pStyle w:val="SourceNote"/>
      </w:pPr>
      <w:r>
        <w:rPr>
          <w:b/>
        </w:rPr>
        <w:t>Available abstract (not full text):</w:t>
      </w:r>
      <w:r>
        <w:t xml:space="preserve"> The decarbonization of the automotive sector is gaining momentum through battery-based electric mobility. This results in a significant increase in the production of traction batteries that will need to be recycled in the coming years. In addition to the technical challenges of battery recycling, the emerging industry must establish commercial frameworks and business models to operate profitably in the long term. The research methodology employed in this paper is a systematic literature review in combination with a company analysis to identify the various business model categories that have emerged within the context of battery recycling. In particular, the article highlights emerging business models, including those related to the battery passport and recycled materials, which have emerged in response to regulatory initiatives such as the European Battery Directive. This paper contributes mainly through a novel framework for battery recycling business models. The framework enables policy makers to align their regulatory endeavors and industrial players to identify their unique position for successful commercial operations in the emerging industry of lithium-ion automotive traction battery recycling.</w:t>
      </w:r>
    </w:p>
    <w:p>
      <w:pPr/>
      <w:r>
        <w:rPr>
          <w:b/>
        </w:rPr>
        <w:t>POSSIBLE 2025:</w:t>
      </w:r>
      <w:r>
        <w:t xml:space="preserve"> Balancing Innovation and Regulation: Integrating Blockchain into the European Digital Identity Framework — https://doi.org/10.1109/cyber-rci68134.2025.11384865</w:t>
      </w:r>
    </w:p>
    <w:p>
      <w:pPr/>
      <w:r>
        <w:rPr>
          <w:b/>
        </w:rPr>
        <w:t>Shared claim-specific concepts:</w:t>
      </w:r>
      <w:r>
        <w:t xml:space="preserve"> unique, framework, infrastructure; EU scope visible. This is a provisional connection, not an outcome finding.</w:t>
      </w:r>
    </w:p>
    <w:p>
      <w:pPr>
        <w:pStyle w:val="SourceNote"/>
      </w:pPr>
      <w:r>
        <w:rPr>
          <w:b/>
        </w:rPr>
        <w:t>Available abstract (not full text):</w:t>
      </w:r>
      <w:r>
        <w:t xml:space="preserve"> This paper investigates the legal implications of integrating the European Blockchain Services Infrastructure (EBSI) into the European Digital Identity (EUDI) framework. The objective is to assess EBSI's potential to support the EU Digital Identity Wallet and cross-border authentication services through a decentralized, service-oriented blockchain architecture. This research is motivated by the fragmented legal and regulatory landscape across EU Member States, which hinders the seamless implementation of EBSI. In particular, challenges related to interoperability, standardization, and compliance with the General Data Protection Regulation (GDPR) present significant obstacles to the adoption of blockchain-based identity solutions. Despite the European Commission's ambitions to promote secure and trusted digital interactions, existing digital identity frameworks lack sufficient provisions for managing these legal complexities in a decentralized environment. Using descriptive legal research and qualitative content analysis, the study examines EU regulatory texts, EBSI white papers, and international standards such as those from W3C. It also compares self-sovereign identity (SSI) models with traditional digital identity systems to identify critical legal and operational distinctions. Findings reveal that, while EBSI and the emerging Europeum-EDIC initiative signal substantial progr</w:t>
      </w:r>
    </w:p>
    <w:p>
      <w:pPr/>
      <w:r>
        <w:rPr>
          <w:b/>
        </w:rPr>
        <w:t>POSSIBLE 2025:</w:t>
      </w:r>
      <w:r>
        <w:t xml:space="preserve"> Public-Private Partnerships in Traditional Industries: A Comparative Governance Framework for Regional Revitalization in Japan and Central Europe — https://doi.org/10.61093/pgrl.1(1).1-15.2025</w:t>
      </w:r>
    </w:p>
    <w:p>
      <w:pPr/>
      <w:r>
        <w:rPr>
          <w:b/>
        </w:rPr>
        <w:t>Shared claim-specific concepts:</w:t>
      </w:r>
      <w:r>
        <w:t xml:space="preserve"> unique, framework, three; EU scope visible. This is a provisional connection, not an outcome finding.</w:t>
      </w:r>
    </w:p>
    <w:p>
      <w:pPr>
        <w:pStyle w:val="SourceNote"/>
      </w:pPr>
      <w:r>
        <w:rPr>
          <w:b/>
        </w:rPr>
        <w:t>Available abstract (not full text):</w:t>
      </w:r>
      <w:r>
        <w:t xml:space="preserve"> This paper examines how public-private partnerships in traditional industries serve as innovative governance mechanisms for regional revitalization in aging societies. Through comparative analysis of Japanese public-private brewery models and Central European cultural heritage initiatives, a novel theoretical framework (the Traditional Industry Revitalization through Governance Innovation (TIRGI) Framework) is developed. This framework advances existing PPP and public governance theories by specifically addressing how traditional industries can be transformed into instruments of public policy and regulation. Drawing on social capital theory and public value creation perspectives, the analysis reveals three key governance innovations: hybrid institutional arrangements balancing public accountability with market efficiency, multi-stakeholder coordination mechanisms integrating cultural preservation with economic development, and trust-building processes generating both bonding and bridging social capital. The TIRGI Framework demonstrates unique advantages over existing models by integrating public governance principles with cultural heritage management, providing specific regulatory mechanisms for traditional industry PPPs, and offering measurable outcomes across economic, social, cultural, and environmental dimensions. The framework contributes to public administration scholarsh</w:t>
      </w:r>
    </w:p>
    <w:p>
      <w:pPr/>
      <w:r>
        <w:rPr>
          <w:b/>
        </w:rPr>
        <w:t>POSSIBLE 2025:</w:t>
      </w:r>
      <w:r>
        <w:t xml:space="preserve"> A new theoretical framework in the analysis of the European Union’s approach to contemporary terrorist threats — https://doi.org/10.15804/athena.2025.88.01</w:t>
      </w:r>
    </w:p>
    <w:p>
      <w:pPr/>
      <w:r>
        <w:rPr>
          <w:b/>
        </w:rPr>
        <w:t>Shared claim-specific concepts:</w:t>
      </w:r>
      <w:r>
        <w:t xml:space="preserve"> unique, framework, union; EU scope visible. This is a provisional connection, not an outcome finding.</w:t>
      </w:r>
    </w:p>
    <w:p>
      <w:pPr>
        <w:pStyle w:val="SourceNote"/>
      </w:pPr>
      <w:r>
        <w:rPr>
          <w:b/>
        </w:rPr>
        <w:t>Available abstract (not full text):</w:t>
      </w:r>
      <w:r>
        <w:t xml:space="preserve"> Contemporary terrorist threats are characterised by increasing complexity, dynamism, and transnational character, which requires an innovative approach to analysing European Union (EU) security policy. Based on the dominant role of nation-states and rigid institutional structures, traditional models are becoming insufficient in the face of the adaptive and multidimensional challenges posed by 21st-century terrorism. This article aims to present a new theoretical framework that can serve as a more comprehensive study of internal security cooperation in the EU. The article examines four theoretical concepts: network theory, complex adaptation theory, resilience theory, and risk governance theory. These theories offer unique analytical tools to better understand the cooperation mechanisms between member states and EU institutions in response to contemporary terrorist threats. The analysis results indicate that integrating these theoretical approaches leads to more flexible, adaptive, and effective counter-terrorism strategies at the level of the EU and its member states.</w:t>
      </w:r>
    </w:p>
    <w:p>
      <w:pPr/>
      <w:r>
        <w:rPr>
          <w:b/>
        </w:rPr>
        <w:t>POSSIBLE 2025:</w:t>
      </w:r>
      <w:r>
        <w:t xml:space="preserve"> Climate change and the health of older adults in Europe: a call for a geriatric climate medicine framework — https://doi.org/10.1007/s41999-025-01336-3</w:t>
      </w:r>
    </w:p>
    <w:p>
      <w:pPr/>
      <w:r>
        <w:rPr>
          <w:b/>
        </w:rPr>
        <w:t>Shared claim-specific concepts:</w:t>
      </w:r>
      <w:r>
        <w:t xml:space="preserve"> framework, climate, infrastructure, mitigation; EU scope visible. This is a provisional connection, not an outcome finding.</w:t>
      </w:r>
    </w:p>
    <w:p>
      <w:pPr>
        <w:pStyle w:val="SourceNote"/>
      </w:pPr>
      <w:r>
        <w:rPr>
          <w:b/>
        </w:rPr>
        <w:t>Available abstract (not full text):</w:t>
      </w:r>
      <w:r>
        <w:t xml:space="preserve"> PURPOSE: Climate change is a critical determinant of health that disproportionately affects older adults. This review synthesises recent evidence on climate-related health risks in older Europeans and proposes a geriatric climate medicine framework to guide clinical practice, health system preparedness and policy action. METHODS: Narrative review of scientific literature and policy documents published between 2019 and 2025, with emphasis on European epidemiological data and adaptation frameworks. Studies were included if they reported health impacts or adaptation/mitigation strategies relevant to adults aged ≥ 65 years. RESULTS: Heatwaves, chronic and acute exposure to air pollutants, flooding and the expanding range of climate-sensitive infectious diseases increase hospitalisation, cognitive decline, and mortality in older adults, especially in women, those aged ≥ 80 years, and individuals with comorbidities or frailty. These risks remain insufficiently addressed in geriatric clinical practice and health policy. CONCLUSIONS: In a Europe warming at twice the global rate, urgent integration of climate risk assessment into geriatric care, enhanced resilience of health and social care infrastructure and climate policies that prioritise older adults are essential to reduce inequities and improve health outcomes.</w:t>
      </w:r>
    </w:p>
    <w:p>
      <w:pPr/>
      <w:r>
        <w:rPr>
          <w:b/>
        </w:rPr>
        <w:t>POSSIBLE 2025:</w:t>
      </w:r>
      <w:r>
        <w:t xml:space="preserve"> Model of the waste logistics for appliances and for construction waste — https://doi.org/10.5281/zenodo.22659505</w:t>
      </w:r>
    </w:p>
    <w:p>
      <w:pPr/>
      <w:r>
        <w:rPr>
          <w:b/>
        </w:rPr>
        <w:t>Shared claim-specific concepts:</w:t>
      </w:r>
      <w:r>
        <w:t xml:space="preserve"> unique, framework, reduction, infrastructure; EU scope visible. This is a provisional connection, not an outcome finding.</w:t>
      </w:r>
    </w:p>
    <w:p>
      <w:pPr>
        <w:pStyle w:val="SourceNote"/>
      </w:pPr>
      <w:r>
        <w:rPr>
          <w:b/>
        </w:rPr>
        <w:t>Available abstract (not full text):</w:t>
      </w:r>
      <w:r>
        <w:t xml:space="preserve"> This study presents a cohesive set of models aimed at optimizing PUR foam waste management across diverse European regions, each characterized by unique logistical and operational challenges. By employing advanced methodologies such as optimization, stochastic programming, and dynamic forecasting, the research seeks to enhance waste management efficiency and sustainability. The overarching goal of these models is to address region-specific needs while maintaining a common objective: maximizing efficiency, reducing logistics costs and minimizing environmental impact. The application of optimization techniques across well-established infrastructure settings enables the maximization of recycling efficiency. Meanwhile, stochastic programming and dynamic forecasting serve as tools to manage uncertainty and variability in waste availability, particularly in regions with emerging waste management systems and those located at greater distances from processing facilities. Key findings highlight that due to the high costs associated with establishing and operating chemical processing facilities, it is economically feasible to maintain a single processing plant. In remote regions, costs are significantly impacted by the method of consolidation and compression of PUR foam. Moreover, obtaining foam from demolition waste from individual homes is particularly cost-intensive, and the material </w:t>
      </w:r>
    </w:p>
    <w:p>
      <w:pPr>
        <w:pStyle w:val="Heading2"/>
      </w:pPr>
      <w:r>
        <w:t>568. A Mismatch in Future Narratives? A Comparative Analysis Between Energy Futures in Policy and of Citizens</w:t>
      </w:r>
    </w:p>
    <w:p>
      <w:pPr>
        <w:pStyle w:val="SourceNote"/>
      </w:pPr>
      <w:r>
        <w:rPr>
          <w:b/>
        </w:rPr>
        <w:t>Original source (2021):</w:t>
      </w:r>
      <w:r>
        <w:t xml:space="preserve"> https://doi.org/10.3389/frsc.2021.654162</w:t>
      </w:r>
    </w:p>
    <w:p>
      <w:pPr/>
      <w:r>
        <w:t>Original wording (abstract; indexed_source_text_not_full_document_verified): As (policy) narratives of the future are performative, excluding certain stakeholders' perceptions might lead to energy injustice and could jeopardize the implementation of the energy transition. We identified several future narrative mismatches, which can be distinguished in two main types: (1) opposing mismatches, where policy narratives and narratives of citizens anticipate antagonistic futures, and (2) disconnected mismatches, where the mismatch emerges because narratives do not engage with each other and focus on different issues.</w:t>
      </w:r>
    </w:p>
    <w:p>
      <w:pPr/>
      <w:r>
        <w:rPr>
          <w:b/>
        </w:rPr>
        <w:t>POSSIBLE 2026:</w:t>
      </w:r>
      <w:r>
        <w:t xml:space="preserve"> Narrative as Strategy: A Study on Central-Local Interaction in China's Tobacco Control Policy — https://doi.org/10.62787/jmhm.v4i3.377</w:t>
      </w:r>
    </w:p>
    <w:p>
      <w:pPr/>
      <w:r>
        <w:rPr>
          <w:b/>
        </w:rPr>
        <w:t>Shared claim-specific concepts:</w:t>
      </w:r>
      <w:r>
        <w:t xml:space="preserve"> narratives, implementation, narrative, two, types; EU scope not established. This is a provisional connection, not an outcome finding.</w:t>
      </w:r>
    </w:p>
    <w:p>
      <w:pPr>
        <w:pStyle w:val="SourceNote"/>
      </w:pPr>
      <w:r>
        <w:rPr>
          <w:b/>
        </w:rPr>
        <w:t>Available abstract (not full text):</w:t>
      </w:r>
      <w:r>
        <w:t xml:space="preserve"> China's tobacco control policy presents a central-local asymmetric pattern characterized by "long-term absence of central legislation and continuous progress in local legislation." Against this institutional backdrop, how the central and local governments coordinate actions and form policy consensus on tobacco control has become a theoretical question in need of an answer. This study, based on the Narrative Policy Framework (NPF) and integrated with the Social Construction of Target Populations (SCTP) theory, adopts a bilingual corpus comparative text analysis method to systematically code and analyze 110 central and local media reports and seven local tobacco control regulations from 2016 to 2026. The study finds that central and local narratives exhibit a coordinated model of "central government sets the direction, local governments ensure implementation." Central narratives construct the problem framework through the "villain-victim" pair and strong causal attribution; local narratives demonstrate action outcomes through the "hero-beneficiary" pair and emotional mobilization. Narrative characters correspond to target group types in the regulations: victims correspond to dependents, villains correspond to contenders and deviants, heroes correspond to the advantaged, and beneficiaries correspond to the service recipients of incentive-based tools. Under the constraint of absent</w:t>
      </w:r>
    </w:p>
    <w:p>
      <w:pPr/>
      <w:r>
        <w:rPr>
          <w:b/>
        </w:rPr>
        <w:t>POSSIBLE 2026:</w:t>
      </w:r>
      <w:r>
        <w:t xml:space="preserve"> Bridging Stakeholder Narratives for Sustainable Peatland Conservation — https://doi.org/10.1007/s41748-026-01141-3</w:t>
      </w:r>
    </w:p>
    <w:p>
      <w:pPr/>
      <w:r>
        <w:rPr>
          <w:b/>
        </w:rPr>
        <w:t>Shared claim-specific concepts:</w:t>
      </w:r>
      <w:r>
        <w:t xml:space="preserve"> narratives, stakeholders, perceptions, implementation, identified, narrative; EU scope visible. This is a provisional connection, not an outcome finding.</w:t>
      </w:r>
    </w:p>
    <w:p>
      <w:pPr>
        <w:pStyle w:val="SourceNote"/>
      </w:pPr>
      <w:r>
        <w:rPr>
          <w:b/>
        </w:rPr>
        <w:t>Available abstract (not full text):</w:t>
      </w:r>
      <w:r>
        <w:t xml:space="preserve"> Peatlands are among the most important terrestrial ecosystems for carbon storage, biodiversity conservation, and hydrological regulation, yet they are highly vulnerable to climate change and human-induced degradation. Despite growing international commitments to peatland restoration, conservation outcomes remain strongly dependent on stakeholder perceptions and governance contexts. This study investigates how relevant stakeholders perceive peatland ecosystem benefits and conservation in Romania, a region where peatlands are limited in extent but of high ecological significance. Using a mixed-methods approach, we triangulated data from 150 questionnaire responses, 18 semi-structured interviews with key stakeholders (local community members, scientists, and local authorities), spatial analysis of degraded peatlands, and a review of 13 international, European, and national policy documents. The results reveal three dominant stakeholder narratives shaping peatland conservation: a scientific perspective emphasizing biodiversity conservation, carbon sequestration, and hydrological regulation; a utilitarian perspective focused on economic use and land productivity; and a community-based perspective highlighting cultural ecosystem services such as education, recreation, and local identity. Quantitative findings indicate strong public support for conservation, with 79.9% of respondents </w:t>
      </w:r>
    </w:p>
    <w:p>
      <w:pPr/>
      <w:r>
        <w:rPr>
          <w:b/>
        </w:rPr>
        <w:t>POSSIBLE 2026:</w:t>
      </w:r>
      <w:r>
        <w:t xml:space="preserve"> Interpreting emotions in policy narratives: a pluralist framework — https://doi.org/10.1080/25741292.2026.2735542</w:t>
      </w:r>
    </w:p>
    <w:p>
      <w:pPr/>
      <w:r>
        <w:rPr>
          <w:b/>
        </w:rPr>
        <w:t>Shared claim-specific concepts:</w:t>
      </w:r>
      <w:r>
        <w:t xml:space="preserve"> narratives, narrative; EU scope not established. This is a provisional connection, not an outcome finding.</w:t>
      </w:r>
    </w:p>
    <w:p>
      <w:pPr>
        <w:pStyle w:val="SourceNote"/>
      </w:pPr>
      <w:r>
        <w:rPr>
          <w:b/>
        </w:rPr>
        <w:t>Available abstract (not full text):</w:t>
      </w:r>
      <w:r>
        <w:t xml:space="preserve"> The influence of emotions on real-world policy processes, particularly in the Global South, remains underemphasized. This article aims to address this gap by arguing that emotional expression can function as a component of policy narratives that contributes to policy processes in such contexts. Using clean air policy in northern Thailand as a case study, the explicit role of emotions in policy narratives is examined. Participatory observation, in-depth interviews, and documentary reviews were conducted as research methods. The epistemologically pluralist narrative policy framework is offered by expanding the boundaries of narratives to encompass factual, contextual, normative, ideological and emotional stories. Through this lens, emotions help confirm feasible policy options, complementing technical feasibility studies. Aside from technical and administrative data, the impacts of the policy depended heavily on public satisfaction with the perceived changes. Accordingly, this study suggests that, instead of ignoring emotions, narrative policy analysis should incorporate them to better understand their actual roles in policy processes.</w:t>
      </w:r>
    </w:p>
    <w:p>
      <w:pPr/>
      <w:r>
        <w:rPr>
          <w:b/>
        </w:rPr>
        <w:t>POSSIBLE 2026:</w:t>
      </w:r>
      <w:r>
        <w:t xml:space="preserve"> Game of Mirrors for Complex Policies: The Narratives on Differentiated Autonomy in Italy — https://doi.org/10.1111/polp.70172</w:t>
      </w:r>
    </w:p>
    <w:p>
      <w:pPr/>
      <w:r>
        <w:rPr>
          <w:b/>
        </w:rPr>
        <w:t>Shared claim-specific concepts:</w:t>
      </w:r>
      <w:r>
        <w:t xml:space="preserve"> narratives, narrative, two, opposing; EU scope visible. This is a provisional connection, not an outcome finding.</w:t>
      </w:r>
    </w:p>
    <w:p>
      <w:pPr>
        <w:pStyle w:val="SourceNote"/>
      </w:pPr>
      <w:r>
        <w:rPr>
          <w:b/>
        </w:rPr>
        <w:t>Available abstract (not full text):</w:t>
      </w:r>
      <w:r>
        <w:t xml:space="preserve"> ABSTRACT This study applies the Narrative Policy Framework (NPF) to a policy of regional devolution of powers. The analysis focuses on differentiated autonomy in Italy, examining the narratives that emerged in the legislative process of the law regulating the procedures for its activation. The context is of particular interest due to the combination of a polarized political system, such as the Italian one, and a policy providing for a new distribution of powers involving actors from different levels of government. The analysis compares the narratives of the two coalitions supporting and opposing the policy, through the statements of the political national and regional leaders. The findings shed light on the relationship between policy and politics, suggesting that the coalitions tended to: oversimplify the complexity of the policy; make policy narratives as political as possible in the presence of uncertain results; and mirror each other's narratives to ensure the support of their respective audiences. Related Articles Chang, Katherine T., and Elizabeth A. Koebele. 2020. “What Drives Coalitions' Narrative Strategy? Exploring Policy Narratives around School Choice.” Politics &amp; Policy 48(4): 618–57. https://doi.org/10.1111/polp.12367 . Boscarino, Jessica E. 2022. “Is Seeing Believing? Comparing the Influence of Textual and Visual Policy Narratives on Public Opinion.” Politics &amp; P</w:t>
      </w:r>
    </w:p>
    <w:p>
      <w:pPr/>
      <w:r>
        <w:rPr>
          <w:b/>
        </w:rPr>
        <w:t>POSSIBLE 2026:</w:t>
      </w:r>
      <w:r>
        <w:t xml:space="preserve"> EU Foreign Policy through Images: A Visual Narrative Analysis of the War in Ukraine — https://doi.org/10.1093/fpa/orag017</w:t>
      </w:r>
    </w:p>
    <w:p>
      <w:pPr/>
      <w:r>
        <w:rPr>
          <w:b/>
        </w:rPr>
        <w:t>Shared claim-specific concepts:</w:t>
      </w:r>
      <w:r>
        <w:t xml:space="preserve"> narratives, narrative; EU scope visible. This is a provisional connection, not an outcome finding.</w:t>
      </w:r>
    </w:p>
    <w:p>
      <w:pPr>
        <w:pStyle w:val="SourceNote"/>
      </w:pPr>
      <w:r>
        <w:rPr>
          <w:b/>
        </w:rPr>
        <w:t>Available abstract (not full text):</w:t>
      </w:r>
      <w:r>
        <w:t xml:space="preserve"> Abstract Narratives organize how foreign policy becomes intelligible and actionable by defining events, assigning responsibility, and justifying particular courses of action. This article advances the narrative turn by extending it to the visual domain of political storytelling. Despite the ubiquity of images in diplomacy, Foreign Policy Analysis lacks a systematic way to examine how visuals contribute to the narratives through which foreign policy is performed. To address this gap, the article proposes a framework for visual narrative analysis. Integrating narrative theory with visual analysis, the framework shows how recurring visual elements articulate storylines. An analysis of the European Union’s social media on the war in Ukraine demonstrates how visual choices construct the EU’s role as a moral and political actor navigating tensions between diplomacy, solidarity, and security. The article illustrates how Visual Narrative Analysis reveals the ways in which visual representations reinforce, nuance, or unsettle the narrative frameworks underpinning EU foreign policy.</w:t>
      </w:r>
    </w:p>
    <w:p>
      <w:pPr/>
      <w:r>
        <w:rPr>
          <w:b/>
        </w:rPr>
        <w:t>POSSIBLE 2025:</w:t>
      </w:r>
      <w:r>
        <w:t xml:space="preserve"> On and beyond the Creative City: performative narratives, policy translation, and frontiers of ‘splashing’ acts — https://doi.org/10.1016/j.ccs.2025.100654</w:t>
      </w:r>
    </w:p>
    <w:p>
      <w:pPr/>
      <w:r>
        <w:rPr>
          <w:b/>
        </w:rPr>
        <w:t>Shared claim-specific concepts:</w:t>
      </w:r>
      <w:r>
        <w:t xml:space="preserve"> narratives, performative, narrative, two; EU scope not established. This is a provisional connection, not an outcome finding.</w:t>
      </w:r>
    </w:p>
    <w:p>
      <w:pPr>
        <w:pStyle w:val="SourceNote"/>
      </w:pPr>
      <w:r>
        <w:rPr>
          <w:b/>
        </w:rPr>
        <w:t>Available abstract (not full text):</w:t>
      </w:r>
      <w:r>
        <w:t xml:space="preserve"> The Creative City often appears in the existing literature as a policy narrative that travels widely across borders. Scholars have long debated whether this travel resulted in a homogenisation of urban cultural policies and whether the narrative still had viability for the future. The term ‘narrative’, however, has often been taken for granted. This article thus explores the implications of thinking about the Creative City as a narrative, particularly a ‘travelling narrative’. Conceptually, it builds on two major frameworks. The first is a processual approach to narration as a fundamental act of organising reality. It emphasises unification or the organisation of different layers or elements into a coherent narrative. The second is a performative approach to translation as acts of re-narration. It highlights multiplication or how a policy narrative can be translated into multi-directional, even competing, policy acts across contexts. Empirically, the article examines the narrative form and accomplishment of the Creative City as it was taken up in Vietnam through the designation of Hanoi as a member of the UNESCO Creative Cities Network (UCCN). The analysis shows both possibilities and limitations of ‘splashing’ acts that sought to engage with the narrative in ways that could move beyond the frequently criticised power structures that set the travelling narrative in motion.</w:t>
      </w:r>
    </w:p>
    <w:p>
      <w:pPr/>
      <w:r>
        <w:rPr>
          <w:b/>
        </w:rPr>
        <w:t>POSSIBLE 2025:</w:t>
      </w:r>
      <w:r>
        <w:t xml:space="preserve"> Performative Equity and Institutional Hypocrisy in Higher Education: A Critique of Leadership Narratives and Policy Contradictions — https://doi.org/10.4236/ojl.2025.143019</w:t>
      </w:r>
    </w:p>
    <w:p>
      <w:pPr/>
      <w:r>
        <w:rPr>
          <w:b/>
        </w:rPr>
        <w:t>Shared claim-specific concepts:</w:t>
      </w:r>
      <w:r>
        <w:t xml:space="preserve"> narratives, performative; EU scope visible. This is a provisional connection, not an outcome finding.</w:t>
      </w:r>
    </w:p>
    <w:p>
      <w:pPr>
        <w:pStyle w:val="SourceNote"/>
      </w:pPr>
      <w:r>
        <w:rPr>
          <w:b/>
        </w:rPr>
        <w:t>Available abstract (not full text):</w:t>
      </w:r>
      <w:r>
        <w:t xml:space="preserve"> This article critically examines the widening gap between rhetorical commitments to equity, inclusion, and innovation in higher education and the lived realities of institutional leadership and policy enforcement. Drawing on the author’s direct experience within a U.S. university setting—juxtaposed with global parallels—the paper explores how performative leadership practices mask deeper systems of exclusion, silencing, and ideological gatekeeping. Through the lens of critical policy analysis, the article reveals how institutional narratives often valorize diversity while simultaneously marginalizing dissenting voices, critical scholarship (Mountz et al., 2020), and global perspectives that challenge neoliberal or bureaucratic orthodoxy. The paper further explores the international dimensions of this hypocrisy, comparing policy contradictions in the United States with similar patterns of institutional posturing and suppression observed in higher education systems in Europe, Asia, and Africa. In doing so, it argues that the performance of equity—uncoupled from structural change—undermines the moral legitimacy of higher education institutions and erodes public trust. The article concludes with a call for policy reform grounded in authentic leadership, intellectual freedom, and justice-driven governance.</w:t>
      </w:r>
    </w:p>
    <w:p>
      <w:pPr/>
      <w:r>
        <w:rPr>
          <w:b/>
        </w:rPr>
        <w:t>POSSIBLE 2025:</w:t>
      </w:r>
      <w:r>
        <w:t xml:space="preserve"> Understanding China's Policy Narratives During Crisis: A Narrative Policy Framework Approach — https://doi.org/10.1111/1468-5973.70105</w:t>
      </w:r>
    </w:p>
    <w:p>
      <w:pPr/>
      <w:r>
        <w:rPr>
          <w:b/>
        </w:rPr>
        <w:t>Shared claim-specific concepts:</w:t>
      </w:r>
      <w:r>
        <w:t xml:space="preserve"> narratives, narrative, types, citizens; EU scope not established. This is a provisional connection, not an outcome finding.</w:t>
      </w:r>
    </w:p>
    <w:p>
      <w:pPr>
        <w:pStyle w:val="SourceNote"/>
      </w:pPr>
      <w:r>
        <w:rPr>
          <w:b/>
        </w:rPr>
        <w:t>Available abstract (not full text):</w:t>
      </w:r>
      <w:r>
        <w:t xml:space="preserve"> ABSTRACT Narratives play a crucial role in crisis communication. Using qualitative content analysis within the Narrative Policy Framework, this study examines the policy narratives in 372 open letters issued by Chinese local governments during the COVID‐19 pandemic. The findings reveal that Chinese local governments constructed a narrative in which the entire society was in crisis, while the government was comprehensively responding, a portrayal that varied according to the different stages of the crisis. As for the characters, public servants were constructed as both heroes and victims, the COVID‐19 was cast as the villain, and citizens were portrayed as both victims and heroes. In terms of the moral, the open letters urged public servants to fulfil their professional duties, citizens to comply with existing policies, and broader social forces to actively participate. Finally, regarding the plot, the open letters constructed three distinct plot types centred on the interactions between public servants, the COVID‐19, and citizens, which collectively manifested as an overarching “People's Campaign” plot. This study offers insights into crisis communication by public organisations in non‐Western contexts and contributes to the understanding of policy narratives during the crisis.</w:t>
      </w:r>
    </w:p>
    <w:p>
      <w:pPr/>
      <w:r>
        <w:rPr>
          <w:b/>
        </w:rPr>
        <w:t>POSSIBLE 2025:</w:t>
      </w:r>
      <w:r>
        <w:t xml:space="preserve"> Narratives and Framing in Policy Making — https://doi.org/10.1111/ropr.70053</w:t>
      </w:r>
    </w:p>
    <w:p>
      <w:pPr/>
      <w:r>
        <w:rPr>
          <w:b/>
        </w:rPr>
        <w:t>Shared claim-specific concepts:</w:t>
      </w:r>
      <w:r>
        <w:t xml:space="preserve"> narratives, lead, energy, narrative, distinguished, types; EU scope not established. This is a provisional connection, not an outcome finding.</w:t>
      </w:r>
    </w:p>
    <w:p>
      <w:pPr>
        <w:pStyle w:val="SourceNote"/>
      </w:pPr>
      <w:r>
        <w:rPr>
          <w:b/>
        </w:rPr>
        <w:t>Available abstract (not full text):</w:t>
      </w:r>
      <w:r>
        <w:t xml:space="preserve"> Narratives and framing have become central analytical tools in research on policy processes and shape the understanding of attention shifts, coalition dynamics, and policy change. Building on this dynamic, recent work has attempted to combine the analysis of narratives with institutional approaches (Schlaufer et al. 2022; Domorenok and Graziano 2023). In doing so, it has been recognized that narratives not only explain policy conflict, but also structure the rules and norms that govern collective action. This issue of Review of Policy Research (RPR) brings together recent contributions that advance both the theoretical foundations and practical applications of narrative and framing research. Together, the articles in this issue demonstrate that narratives and frames are not only key drivers of attention, conflict, and change in traditional policy arenas such as environmental or security policy, but also shape science communication, reputation management, and evidence use in policymaking. They highlight how narrative and framing approaches increasingly intersect with established policy process theories, as well as with methodological innovations ranging from network analysis to sentiment analysis, providing a unifying analytical lens for understanding complex policy dynamics. One of the most active debates within this broader landscape concerns how the Narrative Policy Framework</w:t>
      </w:r>
    </w:p>
    <w:p>
      <w:pPr/>
      <w:r>
        <w:rPr>
          <w:b/>
        </w:rPr>
        <w:t>POSSIBLE 2025:</w:t>
      </w:r>
      <w:r>
        <w:t xml:space="preserve"> Toward intelligence or ignorance? Performativity and uncertainty in government tech narratives — https://doi.org/10.1016/j.giq.2025.102032</w:t>
      </w:r>
    </w:p>
    <w:p>
      <w:pPr/>
      <w:r>
        <w:rPr>
          <w:b/>
        </w:rPr>
        <w:t>Shared claim-specific concepts:</w:t>
      </w:r>
      <w:r>
        <w:t xml:space="preserve"> narratives, narrative; EU scope not established. This is a provisional connection, not an outcome finding.</w:t>
      </w:r>
    </w:p>
    <w:p>
      <w:pPr>
        <w:pStyle w:val="SourceNote"/>
      </w:pPr>
      <w:r>
        <w:rPr>
          <w:b/>
        </w:rPr>
        <w:t>Available abstract (not full text):</w:t>
      </w:r>
      <w:r>
        <w:t xml:space="preserve"> Emerging technologies are often accompanied by optimistic “tech narratives” that emphasize their potential benefits to society. These narratives appear in various sources, including public policy documents, media coverage, and academic literature. However, identifying their origins and underlying rationale can be challenging. This paper addresses the research question (RQ): How can government tech narratives be traced and unveiled? To answer this question, we draw on the theoretical frameworks of “performativity” and “uncertainty assessment” to develop a two-step approach for investigating tech narratives. We apply this methodology to trace a narrative promoting the benefits of artificial intelligence (AI) in the Swedish public sector back to its source, an emerging government AI policy program. Our analysis reveals a hybridization of economic and political interests, as well as a recognized ignorance reflected in the lack of scrutiny of highly uncertain calculations. By presenting this two-step methodology for tracing and critically examining tech narratives, this paper makes a methodological contribution. In applying this approach, we also provide empirical insights into how tech narratives facilitate the materialization of technological infrastructures. • Emerging technologies are frequently accompanied by optimistic narratives in policy, media, and academic literature. • Th</w:t>
      </w:r>
    </w:p>
    <w:p>
      <w:pPr/>
      <w:r>
        <w:rPr>
          <w:b/>
        </w:rPr>
        <w:t>POSSIBLE 2025:</w:t>
      </w:r>
      <w:r>
        <w:t xml:space="preserve"> Patterns of Emotionalisation in Policy Narratives — https://openalex.org/W7111620421</w:t>
      </w:r>
    </w:p>
    <w:p>
      <w:pPr/>
      <w:r>
        <w:rPr>
          <w:b/>
        </w:rPr>
        <w:t>Shared claim-specific concepts:</w:t>
      </w:r>
      <w:r>
        <w:t xml:space="preserve"> narratives, narrative, opposing; EU scope visible. This is a provisional connection, not an outcome finding.</w:t>
      </w:r>
    </w:p>
    <w:p>
      <w:pPr>
        <w:pStyle w:val="SourceNote"/>
      </w:pPr>
      <w:r>
        <w:rPr>
          <w:b/>
        </w:rPr>
        <w:t>Available abstract (not full text):</w:t>
      </w:r>
      <w:r>
        <w:t xml:space="preserve"> We empirically explore the drive towards emotionalisation in policy narratives in a highly technical, yet polarised, policy debate: the Farm to Fork strategy (F2F) of the EU.We do so by leveraging the Narrative Policy Framework (NPF) and applying it to the official statements of the Hungarian Government (opposing F2F).We first develop expectations drawing on the literature.For example, we expect correlations between NPF categories and emotions.The villain should be associated with anger and fear, the victim with compassion-empathy, the hero with pride.The plot can have different emotional associations.The doomsday should be discursively represented to elicit fear.Next, we built a corpus of 53 narratives decomposed into 794 sentences.This corpus is coded first at the level of NPF categories, then for the presence-absence of emotions and, when present, the exact type of emotion.Human coding is benchmarked against a large language model developed in the MORES project.We find that Hungary articulates its F2F position with emotional narratives bereft of empirical substance.When it is politically feasible, Hungary goes for rhetorical entrapment, asking the Commission to account for the lack of evidence-based tests and impact studies.The association NPF category-emotion works well, especially at the level of characters like the hero, the victim, and the villain.Our findings contribute</w:t>
      </w:r>
    </w:p>
    <w:p>
      <w:pPr/>
      <w:r>
        <w:rPr>
          <w:b/>
        </w:rPr>
        <w:t>POSSIBLE 2025:</w:t>
      </w:r>
      <w:r>
        <w:t xml:space="preserve"> The Plastic Excise Policy Debate in Indonesia: A Narrative Policy Analysis ApproachThe Plastic Excise Policy Debate in Indonesia: A Narrative Policy Analysis Approach — https://doi.org/10.51505/ijebmr.2025.9523</w:t>
      </w:r>
    </w:p>
    <w:p>
      <w:pPr/>
      <w:r>
        <w:rPr>
          <w:b/>
        </w:rPr>
        <w:t>Shared claim-specific concepts:</w:t>
      </w:r>
      <w:r>
        <w:t xml:space="preserve"> narratives, stakeholders, narrative; EU scope not established. This is a provisional connection, not an outcome finding.</w:t>
      </w:r>
    </w:p>
    <w:p>
      <w:pPr>
        <w:pStyle w:val="SourceNote"/>
      </w:pPr>
      <w:r>
        <w:rPr>
          <w:b/>
        </w:rPr>
        <w:t>Available abstract (not full text):</w:t>
      </w:r>
      <w:r>
        <w:t xml:space="preserve"> The plastic excise policy in Indonesia has been a subject of debate since its proposal was submitted in 2016. This policy aims to reduce single-use plastic consumption and address the growing plastic waste problem. However, there are significant differences in opinion regarding its effectiveness and impact. This study uses Narrative Policy Analysis (NPA) to explore the policy’s narratives and counter-narratives articulated by policy actors, industry stakeholders, and the public. Using a post-positivist framework, this study analyzes the construction and framing of policy through discourse. Data were collected via media content analysis and document study, focusing on news articles and government publications from trusted sources between 2016 and 2025. The analysis identifies the dominant narrative supporting the policy, particularly from the Ministry of Finance, and the counter-narratives from the Ministry of Industry and various industry associations. Findings suggest that although the policy has strong support from civil society and environmental organizations, it faces opposition due to concerns about its impact on production costs and industry competitiveness. To resolve the tensions between these narratives, the study recommends a more inclusive policy development process and the integration of the plastic excise policy with a broader waste management strategy.</w:t>
      </w:r>
    </w:p>
    <w:p>
      <w:pPr>
        <w:pStyle w:val="Heading2"/>
      </w:pPr>
      <w:r>
        <w:t>569. A look into the future of the COVID-19 pandemic in Europe: an expert consultation</w:t>
      </w:r>
    </w:p>
    <w:p>
      <w:pPr>
        <w:pStyle w:val="SourceNote"/>
      </w:pPr>
      <w:r>
        <w:rPr>
          <w:b/>
        </w:rPr>
        <w:t>Original source (2021):</w:t>
      </w:r>
      <w:r>
        <w:t xml:space="preserve"> https://doi.org/10.1016/j.lanepe.2021.100185</w:t>
      </w:r>
    </w:p>
    <w:p>
      <w:pPr/>
      <w:r>
        <w:t>Original wording (abstract; indexed_source_text_not_full_document_verified): The challenges and developments will strongly depend on the progress of national and global vaccination programs, the emergence and spread of variants of concern (VOCs), and public responses to non-pharmaceutical interventions (NPIs). In autumn 2021, increased indoor activity might accelerate the spread again, whilst a necessary reintroduction of NPIs might be too slow.</w:t>
      </w:r>
    </w:p>
    <w:p>
      <w:pPr/>
      <w:r>
        <w:rPr>
          <w:b/>
        </w:rPr>
        <w:t>POSSIBLE 2026:</w:t>
      </w:r>
      <w:r>
        <w:t xml:space="preserve"> Environmental leadership as a strategic foundation of public policy and community governance in the context of Ukraine’s european integration progress, implementation of sustainable development principles, and national security challenges — https://doi.org/10.32782/2310-9653-2026-1.16</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УКРАЇНСЬКИЙ КОНТЕКСТ ТА</w:t>
      </w:r>
    </w:p>
    <w:p>
      <w:pPr/>
      <w:r>
        <w:rPr>
          <w:b/>
        </w:rPr>
        <w:t>POSSIBLE 2026:</w:t>
      </w:r>
      <w:r>
        <w:t xml:space="preserve"> TiAl alloys： progress， properties， and challenges — https://doi.org/10.11868/j.issn.1001-4381.2026.000126</w:t>
      </w:r>
    </w:p>
    <w:p>
      <w:pPr/>
      <w:r>
        <w:rPr>
          <w:b/>
        </w:rPr>
        <w:t>Shared claim-specific concepts:</w:t>
      </w:r>
      <w:r>
        <w:t xml:space="preserve"> challenges, progress, national, programs; EU scope visible. This is a provisional connection, not an outcome finding.</w:t>
      </w:r>
    </w:p>
    <w:p>
      <w:pPr>
        <w:pStyle w:val="SourceNote"/>
      </w:pPr>
      <w:r>
        <w:rPr>
          <w:b/>
        </w:rPr>
        <w:t>Available abstract (not full text):</w:t>
      </w:r>
      <w:r>
        <w:t xml:space="preserve"> TiAl alloys have become key materials for weight reduction and performance enhancement in aero-engines due to their low density， excellent high-temperature strength， and oxidation resistance. However， their room-temperature brittleness and low damage tolerance have long constrained their engineering applications. This paper systematically reviews the development history of TiAl alloys since the 1970s， covering the evolution of material characteristics， major scientific research programs， and progress in engineering applications. Through successive fundamental research projects， the United States and Europe have systematically addressed critical scientific issues such as casting processes， microstructural control， and property evaluation， laying the foundation for the application of GEnx engine blades. Since the 12th Five-Year Plan period， through systematic development under national science and technology programs such as the National Basic Research Program and the National Key Research and Development Program， China has overcome key technological bottlenecks， including the independent development of high-Nb alloy systems and the near-net shaping of full-scale blades， thereby establishing a complete full-chain technological system. Although TiAl alloy design has now evolved to the third generation， achieving fine-grained microstructures and compatibility with conventional forg</w:t>
      </w:r>
    </w:p>
    <w:p>
      <w:pPr/>
      <w:r>
        <w:rPr>
          <w:b/>
        </w:rPr>
        <w:t>POSSIBLE 2026:</w:t>
      </w:r>
      <w:r>
        <w:t xml:space="preserve"> Aligning regional development processes in the Republic of Moldova with European Union standards and practices: perspectives and challenges — https://doi.org/10.59295/dnwe2025.13</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Purpose of the article: The article aims to analyze the prospects for aligning regional development processes in the Republic of Moldova with the standards and practices of the European Union, emphasizing their economic, institutional, and social implications. The main objective is to highlight both the opportunities arising from the approximation to the European model and the challenges inherent in this process of convergence. Methodology: The research is based on a comparative analysis of European and national strategic documents, recent statistical studies provided by the National Bureau of Statistics and Eurostat, as well as qualitative methods for interpreting public policies. The study applies SWOT analysis and benchmarking techniques to assess the degree of compatibility between Moldovan regional policies and the European cohesion framework. Conclusions: The findings indicate that the Republic of Moldova has a significant potential for convergence with European Union practices, although progress remains uneven across regions. The main challenges include institutional fragmentation, underdeveloped infrastructure, and pronounced territorial disparities. At the same time, alignment with EU standards creates opportunities for attracting investment, developing SMEs, and strengthening social cohesion. Originality: The paper contributes to the specialized literature through an </w:t>
      </w:r>
    </w:p>
    <w:p>
      <w:pPr/>
      <w:r>
        <w:rPr>
          <w:b/>
        </w:rPr>
        <w:t>POSSIBLE 2026:</w:t>
      </w:r>
      <w:r>
        <w:t xml:space="preserve"> Modern challenges, risks and threats to the European Union — https://doi.org/10.5937/bezbednost2601147i</w:t>
      </w:r>
    </w:p>
    <w:p>
      <w:pPr/>
      <w:r>
        <w:rPr>
          <w:b/>
        </w:rPr>
        <w:t>Shared claim-specific concepts:</w:t>
      </w:r>
      <w:r>
        <w:t xml:space="preserve"> challenges, strongly, depend; EU scope visible. This is a provisional connection, not an outcome finding.</w:t>
      </w:r>
    </w:p>
    <w:p>
      <w:pPr>
        <w:pStyle w:val="SourceNote"/>
      </w:pPr>
      <w:r>
        <w:rPr>
          <w:b/>
        </w:rPr>
        <w:t>Available abstract (not full text):</w:t>
      </w:r>
      <w:r>
        <w:t xml:space="preserve"> The European Union is a unique economic, political and values-based community that has developed into a global actor with increasingly pronounced security ambitions over the past decades. However, in the modern era, the EU faces complex and multifaceted challenges that go beyond the framework of traditional security policy. New forms of threats – such as hybrid and cyber attacks, terrorism, organized crime, energy dependence, climate change and migration crises – have led to the need for a systemic redefinition of the Union’s security strategy. These phenomena are no longer isolated, but interconnected and often intertwined with economic, political and social factors, making security a key foundation for the functioning of the community itself. A special place in the paper is given to the analysis of the consequences of the war in Ukraine, which fundamentally shook the European security architecture and marked a turning point in the EU’s foreign and defense policy. The Russian aggression in 2022 led to a serious rethinking of the concept of European security, revealing the limitations of existing common defense mechanisms and the Union’s dependence on the United States. As a result of this conflict, the fragmentation among member states, different perceptions of threats and disagreements about the degree of necessary integration in the field of defense are increasingly visible.</w:t>
      </w:r>
    </w:p>
    <w:p>
      <w:pPr/>
      <w:r>
        <w:rPr>
          <w:b/>
        </w:rPr>
        <w:t>POSSIBLE 2026:</w:t>
      </w:r>
      <w:r>
        <w:t xml:space="preserve"> Current geopolitical risks as challenges and opportunities for European unity — https://doi.org/10.60054/peu.2026.13.13-19</w:t>
      </w:r>
    </w:p>
    <w:p>
      <w:pPr/>
      <w:r>
        <w:rPr>
          <w:b/>
        </w:rPr>
        <w:t>Shared claim-specific concepts:</w:t>
      </w:r>
      <w:r>
        <w:t xml:space="preserve"> challenges, depend; EU scope visible. This is a provisional connection, not an outcome finding.</w:t>
      </w:r>
    </w:p>
    <w:p>
      <w:pPr>
        <w:pStyle w:val="SourceNote"/>
      </w:pPr>
      <w:r>
        <w:rPr>
          <w:b/>
        </w:rPr>
        <w:t>Available abstract (not full text):</w:t>
      </w:r>
      <w:r>
        <w:t xml:space="preserve"> This paper examines the impact of contemporary geopolitical crises on European integration through a historical and analytical perspective inspired by Jean Monnet’s statement that Europe is built through crises. It argues that crises have produced three distinct types of outcomes: incremental integration, fragmentation, and profound transformation. By comparing historical experiences with current geopolitical challenges, the paper demonstrates that Russia’s war against Ukraine, growing global instability, and the changing transatlantic relationship are accelerating the European Union’s evolution into a geopolitical actor. The study contends that European sovereignty, particularly in the fields of security and defence, is emerging as the next stage of integration. However, the success of thistransformation will depend not only on institutional reforms and financial resources but also on political leadership, sustained unity among Member States, and the development of a stronger European identity capable of securing citizens’ support for the Union’s geopolitical ambitions.</w:t>
      </w:r>
    </w:p>
    <w:p>
      <w:pPr/>
      <w:r>
        <w:rPr>
          <w:b/>
        </w:rPr>
        <w:t>POSSIBLE 2026:</w:t>
      </w:r>
      <w:r>
        <w:t xml:space="preserve"> STRATEGIC CHALLENGES AND PROSPECTS FOR THE DEVELOPMENT OF THE UKRAINIAN AVIATION MARKET UNDER CONDITIONS OF CLOSED AIRSPACE AND EUROPEAN INTEGRATION — https://doi.org/10.15802/rtem2026/359783</w:t>
      </w:r>
    </w:p>
    <w:p>
      <w:pPr/>
      <w:r>
        <w:rPr>
          <w:b/>
        </w:rPr>
        <w:t>Shared claim-specific concepts:</w:t>
      </w:r>
      <w:r>
        <w:t xml:space="preserve"> challenges, national; EU scope visible. This is a provisional connection, not an outcome finding.</w:t>
      </w:r>
    </w:p>
    <w:p>
      <w:pPr>
        <w:pStyle w:val="SourceNote"/>
      </w:pPr>
      <w:r>
        <w:rPr>
          <w:b/>
        </w:rPr>
        <w:t>Available abstract (not full text):</w:t>
      </w:r>
      <w:r>
        <w:t xml:space="preserve"> Purpose. The purpose of the article is to identify the strategic challenges and prospects for the development of the Ukrainian aviation market under conditions of closed airspace and European integration, as well as to substantiate directions for its recovery and adaptation to a competitive environment. Methodology. The methodology of the article is based on a systemic and comparative analysis of the Ukrainian and European aviation markets, a review of academic publications and industry reports, and the application of SWOT analysis to identify risks, opportunities, and threats to the development of Ukrainian airlines and airports. In addition, the study employs structural-logical, statistical, and forecasting approaches to assess the impact of closed airspace, integration into the European Common Aviation Area, and to formulate recommendations for supporting the industry. Results. The results of the study show that the closure of Ukrainian airspace has caused a significant transformation of the national aviation market, forcing airlines to shift to alternative business models, including ACMI leasing and operations from foreign bases. It has been established that integration into the European Common Aviation Area creates both new opportunities for market liberalization and threats due to stronger competition from major European carriers. The study demonstrates that the further d</w:t>
      </w:r>
    </w:p>
    <w:p>
      <w:pPr/>
      <w:r>
        <w:rPr>
          <w:b/>
        </w:rPr>
        <w:t>POSSIBLE 2026:</w:t>
      </w:r>
      <w:r>
        <w:t xml:space="preserve"> Harmonization of fiscal control mechanisms of the Republic of Moldova with european standards - development directions and challenges — https://doi.org/10.53486/mfsne2025.22</w:t>
      </w:r>
    </w:p>
    <w:p>
      <w:pPr/>
      <w:r>
        <w:rPr>
          <w:b/>
        </w:rPr>
        <w:t>Shared claim-specific concepts:</w:t>
      </w:r>
      <w:r>
        <w:t xml:space="preserve"> challenges, progress, national, activity; EU scope visible. This is a provisional connection, not an outcome finding.</w:t>
      </w:r>
    </w:p>
    <w:p>
      <w:pPr>
        <w:pStyle w:val="SourceNote"/>
      </w:pPr>
      <w:r>
        <w:rPr>
          <w:b/>
        </w:rPr>
        <w:t>Available abstract (not full text):</w:t>
      </w:r>
      <w:r>
        <w:t xml:space="preserve"> This study examines the process of harmonizing the fiscal control mechanisms in the Republic of Moldova with European standards, focusing on the main development directions and the challenges that continue to influence this path. The research starts from the premise that effective approximation to the European principles of fiscal administration cannot be reduced to simple regulatory compatibility, but implies measurable progress in the organization, efficiency and quality of fiscal control practices. The purpose of the study is to assess the degree of convergence between the national fiscal control framework and the relevant European requirements, as well as to identify institutional and procedural areas that require further adjustments. The research is empirical and analytical in nature and is based on the examination of official sources of a normative, institutional and statistical nature. In this regard, data from public reports and administrative sources on tax control activity are used, including the dynamics of tax controls, the evolution of additionally calculated tax obligations, the role of risk-based selection, as well as the general trends in the modernization and digitalization of tax administration. These data are interpreted through comparative, logical and synthesis methods, in correlation with the fundamental European principles of proportionality, transparency</w:t>
      </w:r>
    </w:p>
    <w:p>
      <w:pPr/>
      <w:r>
        <w:rPr>
          <w:b/>
        </w:rPr>
        <w:t>POSSIBLE 2025:</w:t>
      </w:r>
      <w:r>
        <w:t xml:space="preserve"> PROGRESS IN THE DEVELOPMENT OF THE EUROPEAN EDUCATION AREA: RESULTS OF THE INTERIM EVALUATION — https://doi.org/10.32987/2617-8532-2025-3-94-106</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The paper substantiates the relevance of studying the integration of the Ukrainian education system into the European Education Area in the context of Ukraine’s obtaining EU candidate status in 2022 and the beginning of harmonisation of the national legal system with the "acquis communautaire". The purpose of the article is to analyse the progress in the development of the European Education Area, which is proclaimed as the goal of European cooperation in the document "Strategic Framework for European Cooperation in Education and Training towards a European Education Area and Beyond (2021-2030)". The main attention is paid to understanding the concept of the Strategic Framework as a governance tool used by the EU to manage this cooperation by defining its goals and strategies for achieving them. To achieve the stated aim, the method of analysing key EU documents regulating the legal framework and determining the directions of educational cooperation was applied. The analysis of monographic studies has enabled an understanding of the nature of the academic discourse on the outlined issue. The paper reveals the positive trends demonstrated by national education systems on the path towards building the European Education Area, even in the face of unpredictable challenges. It is stated that the effectiveness of the current Strategic Framework is ensured by its format as an integral</w:t>
      </w:r>
    </w:p>
    <w:p>
      <w:pPr/>
      <w:r>
        <w:rPr>
          <w:b/>
        </w:rPr>
        <w:t>POSSIBLE 2025:</w:t>
      </w:r>
      <w:r>
        <w:t xml:space="preserve"> Control of HIV across the WHO European region: progress and remaining challenges — https://doi.org/10.1016/j.lanepe.2025.101243</w:t>
      </w:r>
    </w:p>
    <w:p>
      <w:pPr/>
      <w:r>
        <w:rPr>
          <w:b/>
        </w:rPr>
        <w:t>Shared claim-specific concepts:</w:t>
      </w:r>
      <w:r>
        <w:t xml:space="preserve"> challenges, progress; EU scope visible. This is a provisional connection, not an outcome finding.</w:t>
      </w:r>
    </w:p>
    <w:p>
      <w:pPr>
        <w:pStyle w:val="SourceNote"/>
      </w:pPr>
      <w:r>
        <w:rPr>
          <w:b/>
        </w:rPr>
        <w:t>Available abstract (not full text):</w:t>
      </w:r>
      <w:r>
        <w:t xml:space="preserve"> Despite the ambitious global goal to control HIV transmissions by 2030, more than 30% of people with HIV from the WHO European Region show persistent transmissible levels of the virus. Successful introduction of oral pre-exposure prophylaxis (PrEP) has led to significant decreases in new HIV transmissions in some areas of Europe, particularly among men who have sex with men. However, the limited PrEP access or lack of state funding in many European countries underlines the need to increase efforts to make PrEP consistently and equitably available for all individuals in need. The success of modern antiretroviral therapy (ART) is evident throughout the WHO European region, with more than 90% of treated individuals with viral suppression. Remaining barriers to control HIV include disparities in access to testing facilities such as community-based centers, persistently high levels of late diagnosis, delayed linkage to care especially for undocumented migrant populations, and inequalities in access to treatment. Retention in care and maintenance of viral suppression are additional challenges. The ongoing war in Ukraine is causing service disruption for people with HIV. Combating HIV associated stigma and discrimination, particularly in Eastern Europe and Central Asia, seems paramount in removing barriers to testing; new testing strategies, such as emergency room opt-out testing, cou</w:t>
      </w:r>
    </w:p>
    <w:p>
      <w:pPr/>
      <w:r>
        <w:rPr>
          <w:b/>
        </w:rPr>
        <w:t>POSSIBLE 2025:</w:t>
      </w:r>
      <w:r>
        <w:t xml:space="preserve"> Quantitative Indicators for Open Research Data: National Monitoring and Development Challenges — https://doi.org/10.6084/m9.figshare.30751973</w:t>
      </w:r>
    </w:p>
    <w:p>
      <w:pPr/>
      <w:r>
        <w:rPr>
          <w:b/>
        </w:rPr>
        <w:t>Shared claim-specific concepts:</w:t>
      </w:r>
      <w:r>
        <w:t xml:space="preserve"> challenges, progress, national; EU scope visible. This is a provisional connection, not an outcome finding.</w:t>
      </w:r>
    </w:p>
    <w:p>
      <w:pPr>
        <w:pStyle w:val="SourceNote"/>
      </w:pPr>
      <w:r>
        <w:rPr>
          <w:b/>
        </w:rPr>
        <w:t>Available abstract (not full text):</w:t>
      </w:r>
      <w:r>
        <w:t xml:space="preserve"> This presentation explores the current and proposed quantitative indicators for research data in the national monitoring and their development process. It reviews the discussion in the National Open Science and Research Steering Group and assesses the maturity and suitability of these indicators for evaluating the advancement of the policy component on open access to research data.The Declaration for Open Science and Research (2025–2030) and the supporting policies guide Finland’s open science efforts. The development is assessed with the national monitoring model that tracks progress against objectives and actions related to the culture for open scholarship, research data, methods and infrastructures, publishing, and education. Assessment is divided into four ways of promoting: policy documents, services, collaboration and outputs. Monitoring draws on data from the Finnish Research Information Hub, complemented by a survey addressed to research performing organisations. The survey gathers information especially on the policy documents, services and collaboration.The model allows for the introduction of new indicators as national and international data sources evolve.Quantitative indicators for research data are a major challenge in the monitoring model. These indicators remain underdeveloped. There is a lack of reliable and comprehensive data sources for this information. None</w:t>
      </w:r>
    </w:p>
    <w:p>
      <w:pPr/>
      <w:r>
        <w:rPr>
          <w:b/>
        </w:rPr>
        <w:t>POSSIBLE 2025:</w:t>
      </w:r>
      <w:r>
        <w:t xml:space="preserve"> Artificial intelligence regulation in the European Union: regression or progress? — https://openalex.org/W7154551769</w:t>
      </w:r>
    </w:p>
    <w:p>
      <w:pPr/>
      <w:r>
        <w:rPr>
          <w:b/>
        </w:rPr>
        <w:t>Shared claim-specific concepts:</w:t>
      </w:r>
      <w:r>
        <w:t xml:space="preserve"> challenges, depend, progress, national; EU scope visible. This is a provisional connection, not an outcome finding.</w:t>
      </w:r>
    </w:p>
    <w:p>
      <w:pPr>
        <w:pStyle w:val="SourceNote"/>
      </w:pPr>
      <w:r>
        <w:rPr>
          <w:b/>
        </w:rPr>
        <w:t>Available abstract (not full text):</w:t>
      </w:r>
      <w:r>
        <w:t xml:space="preserve"> The rapid development of artificial intelligence can help transform national economies by increasing productivity, ensuring the quality and availability of services, helping businesses and public administrations to optimise their operations, and making it easier to identify stakeholder needs and opportunities for service development. However, such development can also have negative consequences for the economy through job transformation and risks related to the protection of ethics, security and privacy.The paper analyses the European Union's Artificial Intelligence (AI) Act to assess whether its regulation represents progress or, on the contrary, limits the development of technology. The main focus is on the content of the AI Act and its possible consequences for society and stakeholders. The analysis of legal documents and scientific literature highlights the main regulatory principles, risk categories and obligations. It is also found that the purpose of the AI Act is to promote the development of human-centred and reliable artificial intelligence by supporting innovation, but that the impact of such regulation on the development of AI may present additional challenges. The paper concludes that while the AI Act is a progressive legislative step - the world's first horizontal regulatory framework for AI - its success will depend on the sustainability and proportionality of pr</w:t>
      </w:r>
    </w:p>
    <w:p>
      <w:pPr/>
      <w:r>
        <w:rPr>
          <w:b/>
        </w:rPr>
        <w:t>POSSIBLE 2025:</w:t>
      </w:r>
      <w:r>
        <w:t xml:space="preserve"> Popularization Education and National Progress: Real Challenges and Future Outlook — https://doi.org/10.70693/itphss.v2i1.19</w:t>
      </w:r>
    </w:p>
    <w:p>
      <w:pPr/>
      <w:r>
        <w:rPr>
          <w:b/>
        </w:rPr>
        <w:t>Shared claim-specific concepts:</w:t>
      </w:r>
      <w:r>
        <w:t xml:space="preserve"> challenges, progress, national, interventions; EU scope not established. This is a provisional connection, not an outcome finding.</w:t>
      </w:r>
    </w:p>
    <w:p>
      <w:pPr>
        <w:pStyle w:val="SourceNote"/>
      </w:pPr>
      <w:r>
        <w:rPr>
          <w:b/>
        </w:rPr>
        <w:t>Available abstract (not full text):</w:t>
      </w:r>
      <w:r>
        <w:t xml:space="preserve"> This paper discusses the key role of universal education in promoting national development and solving occupational maladjustment. Emphasizing the influence of education on economic growth, social stability, innovation and cultural protection is very important for improving national competitiveness and sustainable development. This research has been widely investigated in all parts of China, which proves that education can improve skills, promote social harmony, stimulate creativity and protect cultural heritage. However, an important problem is the dislocation between episode and professional role, which wastes human capital and reduces the return on education and investment. In order to meet these challenges, the article suggests combining educational courses with the needs of the labor market to reduce the unsatisfactory majors.we concluded that emphasizes the quality and relevance of education to ensure that learners acquire relevant skills. Promoting life, study and training can enhance the adaptability and resilience of labor. These strategic interventions are aimed at creating an effective education system to promote economic prospects and enable individuals to develop their full potential. These measures have enhanced national competitiveness and are essential for long-term sustainable development.</w:t>
      </w:r>
    </w:p>
    <w:p>
      <w:pPr>
        <w:pStyle w:val="Heading2"/>
      </w:pPr>
      <w:r>
        <w:t>570. Above the Fog and the Fury: EU Strategic Policy Planning and the EU’s Future in Times of Global Uncertainty</w:t>
      </w:r>
    </w:p>
    <w:p>
      <w:pPr>
        <w:pStyle w:val="SourceNote"/>
      </w:pPr>
      <w:r>
        <w:rPr>
          <w:b/>
        </w:rPr>
        <w:t>Original source (2021):</w:t>
      </w:r>
      <w:r>
        <w:t xml:space="preserve"> https://doi.org/10.54648/eerr2021005</w:t>
      </w:r>
    </w:p>
    <w:p>
      <w:pPr/>
      <w:r>
        <w:t>Original wording (abstract; indexed_source_text_not_full_document_verified): Put simply, strategic planning and strategic foresight are disciplines that aim at identifying possible futures, mapping options and charting possible responses and strategic goals and as such support informed and sound policy-making.</w:t>
      </w:r>
    </w:p>
    <w:p>
      <w:pPr/>
      <w:r>
        <w:rPr>
          <w:b/>
        </w:rPr>
        <w:t>POSSIBLE 2026:</w:t>
      </w:r>
      <w:r>
        <w:t xml:space="preserve"> Comparing Intelligence and Foresight: Fraternal Twins? — https://doi.org/10.1007/978-3-032-11892-9_4</w:t>
      </w:r>
    </w:p>
    <w:p>
      <w:pPr/>
      <w:r>
        <w:rPr>
          <w:b/>
        </w:rPr>
        <w:t>Shared claim-specific concepts:</w:t>
      </w:r>
      <w:r>
        <w:t xml:space="preserve"> foresight, aim, support; EU scope not established. This is a provisional connection, not an outcome finding.</w:t>
      </w:r>
    </w:p>
    <w:p>
      <w:pPr>
        <w:pStyle w:val="SourceNote"/>
      </w:pPr>
      <w:r>
        <w:rPr>
          <w:b/>
        </w:rPr>
        <w:t>Available abstract (not full text):</w:t>
      </w:r>
      <w:r>
        <w:t xml:space="preserve"> The main objective of this article is to examine the similarities and differences between intelligence and foresight. To achieve this, the study combines an analysis of their historical roots, theoretical definitions, epistemological foundations and operational processes with a systematic literature review of academic publications in both fields. Both intelligence and foresight aim to inform decision making under conditions of uncertainty by producing anticipatory knowledge, though they also differ in some important respects. The literature review reveals that, while overlap in their practical applications is acknowledged, explicit theoretical integration between the two remains limited. The findings support the view that intelligence and foresight share much in common but are not identical. The article calls for greater cross-disciplinary engagement to foster mutual learning and strengthen anticipatory capacity in policy and security contexts.</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strategic, foresight, possible;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strategic, planning, foresight, disciplines;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The New Anticipatory Governance Culture for Innovation: Regulatory Foresight, Regulatory Experimentation and Regulatory Learning — https://doi.org/10.1007/s40804-025-00348-7</w:t>
      </w:r>
    </w:p>
    <w:p>
      <w:pPr/>
      <w:r>
        <w:rPr>
          <w:b/>
        </w:rPr>
        <w:t>Shared claim-specific concepts:</w:t>
      </w:r>
      <w:r>
        <w:t xml:space="preserve"> put, strategic, foresight; EU scope visible. This is a provisional connection, not an outcome finding.</w:t>
      </w:r>
    </w:p>
    <w:p>
      <w:pPr>
        <w:pStyle w:val="SourceNote"/>
      </w:pPr>
      <w:r>
        <w:rPr>
          <w:b/>
        </w:rPr>
        <w:t>Available abstract (not full text):</w:t>
      </w:r>
      <w:r>
        <w:t xml:space="preserve"> Abstract With the rapid pace of technological innovation, traditional methods of policy formation and legislating are becoming conspicuously anachronistic. The need for regulatory choices to be made to counter the deadening effect of regulatory lag is more important to developing markets and fostering growth than achieving one-off regulatory perfection. This article advances scholarship on innovation policy and the regulation of technological innovation in the European Union. It does so by considering what building an agile yet robust anticipatory governance regulatory culture involves. It systematically excavates a variety of tools and elements that are being put to use in inventive ways and argues that these need to be more cohesively and systemically integrated into jurisdictions’ regulatory toolbox. Approaches covered include strategic foresight, the critical embrace of iterative policy development and regulatory learning in the face of uncertainty, and the embrace of bottom-up approaches to co-creation of policy such as policy labs and the testing and regulatory learning through pilot regulation and experimentation. The growing use of regulatory sandboxes as an EU policy tool to boost innovation and navigate regulatory complexity, as seen in the EU AI Act, is also probed.</w:t>
      </w:r>
    </w:p>
    <w:p>
      <w:pPr/>
      <w:r>
        <w:rPr>
          <w:b/>
        </w:rPr>
        <w:t>POSSIBLE 2025:</w:t>
      </w:r>
      <w:r>
        <w:t xml:space="preserve"> On the role of intelligence and business wargaming in developing foresight — https://doi.org/10.1080/09537325.2025.2506122</w:t>
      </w:r>
    </w:p>
    <w:p>
      <w:pPr/>
      <w:r>
        <w:rPr>
          <w:b/>
        </w:rPr>
        <w:t>Shared claim-specific concepts:</w:t>
      </w:r>
      <w:r>
        <w:t xml:space="preserve"> strategic, foresight, identifying, support; EU scope not established. This is a provisional connection, not an outcome finding.</w:t>
      </w:r>
    </w:p>
    <w:p>
      <w:pPr>
        <w:pStyle w:val="SourceNote"/>
      </w:pPr>
      <w:r>
        <w:rPr>
          <w:b/>
        </w:rPr>
        <w:t>Available abstract (not full text):</w:t>
      </w:r>
      <w:r>
        <w:t xml:space="preserve"> Business wargaming is a central tool for developing sustaining strategies. It transfers the benefits of traditional wargaming to the business environment. However, building wargames that support the process of decision-making for strategy require respective intelligence. This paper investigates the role of intelligence in the process of developing strategic foresight. The focus is on how intelligence is developed and how it relates to business wargaming. The so-called intelligence cycle is the basis and reference of our investigation. The conceptual part of the paper combines the theoretical background from military, business as well as serious gaming. To elaborate on some of the lessons learned, we examine specific business wargames both drawn from literature and conducted by us at the Center for Intelligence and Security Studies (CISS). It is shown that business wargaming can significantly contribute to competitive intelligence (CI) by identifying missing information and by transforming data into actionable intelligence. Furthermore, it bridges the gap from CI to a strategy by either testing or developing a new strategy.</w:t>
      </w:r>
    </w:p>
    <w:p>
      <w:pPr/>
      <w:r>
        <w:rPr>
          <w:b/>
        </w:rPr>
        <w:t>POSSIBLE 2024:</w:t>
      </w:r>
      <w:r>
        <w:t xml:space="preserve"> An in-depth multivariate analysis of PM2.5 concentration and associated premature deaths in Europe and its strategic relationship with sustainability — https://doi.org/10.1016/j.acags.2024.100184</w:t>
      </w:r>
    </w:p>
    <w:p>
      <w:pPr/>
      <w:r>
        <w:rPr>
          <w:b/>
        </w:rPr>
        <w:t>Shared claim-specific concepts:</w:t>
      </w:r>
      <w:r>
        <w:t xml:space="preserve"> strategic, identifying, goals; EU scope visible. This is a provisional connection, not an outcome finding.</w:t>
      </w:r>
    </w:p>
    <w:p>
      <w:pPr>
        <w:pStyle w:val="SourceNote"/>
      </w:pPr>
      <w:r>
        <w:rPr>
          <w:b/>
        </w:rPr>
        <w:t>Available abstract (not full text):</w:t>
      </w:r>
      <w:r>
        <w:t xml:space="preserve"> The strategic importance of sustainability is evident when it comes, for example, to health. Public policies aimed at mitigating the effects of harmful substances, such as fine particulate matter (PM 2.5), are justified by the direct link between fine particulate matter and the health of citizens, in this case, premature deaths. An advanced statistical and exhaustive analysis of different areas and countries shows a strong link between exposure to PM2.5, premature deaths in other countries, and significant differences in PM2.5 levels between urban and rural areas. Although PM2.5 concentration has decreased in most countries studied, this effort must be continued and aligned with the Sustainable Development Goals of the 2030 Agenda, underlining the need to implement effective air pollution control policies to reduce the health risks associated with PM2.5 exposure. To this end, identifying temporal trends and geographical patterns can guide the development of specific interventions tailored to the needs of each region.</w:t>
      </w:r>
    </w:p>
    <w:p>
      <w:pPr/>
      <w:r>
        <w:rPr>
          <w:b/>
        </w:rPr>
        <w:t>POSSIBLE 2023:</w:t>
      </w:r>
      <w:r>
        <w:t xml:space="preserve"> Foresight through developing shared mental models: The case of Triple Access Planning — https://doi.org/10.1016/j.futures.2023.103295</w:t>
      </w:r>
    </w:p>
    <w:p>
      <w:pPr/>
      <w:r>
        <w:rPr>
          <w:b/>
        </w:rPr>
        <w:t>Shared claim-specific concepts:</w:t>
      </w:r>
      <w:r>
        <w:t xml:space="preserve"> planning, foresight, possible; EU scope not established. This is a provisional connection, not an outcome finding.</w:t>
      </w:r>
    </w:p>
    <w:p>
      <w:pPr>
        <w:pStyle w:val="SourceNote"/>
      </w:pPr>
      <w:r>
        <w:rPr>
          <w:b/>
        </w:rPr>
        <w:t>Available abstract (not full text):</w:t>
      </w:r>
      <w:r>
        <w:t xml:space="preserve"> Planning for the future involves making sense of the present and examining possible changes in key factors that can influence the future. Actors rely upon mental models of the system that planning addresses: their simplified interpretations of the makeup of system elements and element interactions that together determine how the system works. It follows that a helpful foundation for strong planning is to develop a shared mental model among actors of the system of interest in the present and use this in turn to create mental models of possible futures for the system (scenarios). This paper presents a methodology for doing this that incorporates co-creation of causal loop diagrams that turn inform development of scenarios. The paper then applies the methodology to offer more insight to the approach, using the case of the Triple Access System and in turn Triple Access Planning. Triple access refers to the transport, land-use and telecommunications systems which each provide different and inter-related means for being able to reach people, employment, goods, services and opportunities which underpins economic prosperity and social wellbeing. The paper highlights how thinking is an important and integral part of planning, especially when dealing with uncertainty in a complex system.</w:t>
      </w:r>
    </w:p>
    <w:p>
      <w:pPr/>
      <w:r>
        <w:rPr>
          <w:b/>
        </w:rPr>
        <w:t>POSSIBLE 2023:</w:t>
      </w:r>
      <w:r>
        <w:t xml:space="preserve"> Security in Central and Eastern Europe in a period of strategic shocks — https://doi.org/10.5937/drushor2305025t</w:t>
      </w:r>
    </w:p>
    <w:p>
      <w:pPr/>
      <w:r>
        <w:rPr>
          <w:b/>
        </w:rPr>
        <w:t>Shared claim-specific concepts:</w:t>
      </w:r>
      <w:r>
        <w:t xml:space="preserve"> strategic, responses, support; EU scope visible. This is a provisional connection, not an outcome finding.</w:t>
      </w:r>
    </w:p>
    <w:p>
      <w:pPr>
        <w:pStyle w:val="SourceNote"/>
      </w:pPr>
      <w:r>
        <w:rPr>
          <w:b/>
        </w:rPr>
        <w:t>Available abstract (not full text):</w:t>
      </w:r>
      <w:r>
        <w:t xml:space="preserve"> The study examines the security policy shocks and responses to these shocks in the countries and societies of the Central and Eastern European (CEE) region, and how these shocks and responses have changed the relationship of CEE countries with the European Union since 2008. It interprets the financial and economic crisis of 2008, the illegal Russian annexation of Crimea and Russian support for separatism in Eastern Ukraine from 2014, the migration crisis of 2015, the Covid-19 epidemic and the escalation of the Russian-Ukrainian war in February 2022 as a security shock. It concludes that while CEE countries have improved their crisis management capacity, they often rely more on national solutions than on joint European crisis management actions.</w:t>
      </w:r>
    </w:p>
    <w:p>
      <w:pPr/>
      <w:r>
        <w:rPr>
          <w:b/>
        </w:rPr>
        <w:t>POSSIBLE 2023:</w:t>
      </w:r>
      <w:r>
        <w:t xml:space="preserve"> Reviving strategic spatial planning for the challenges ahead — https://doi.org/10.1080/09654313.2023.2231500</w:t>
      </w:r>
    </w:p>
    <w:p>
      <w:pPr/>
      <w:r>
        <w:rPr>
          <w:b/>
        </w:rPr>
        <w:t>Shared claim-specific concepts:</w:t>
      </w:r>
      <w:r>
        <w:t xml:space="preserve"> strategic, planning, identifying, support; EU scope visible. This is a provisional connection, not an outcome finding.</w:t>
      </w:r>
    </w:p>
    <w:p>
      <w:pPr>
        <w:pStyle w:val="SourceNote"/>
      </w:pPr>
      <w:r>
        <w:rPr>
          <w:b/>
        </w:rPr>
        <w:t>Available abstract (not full text):</w:t>
      </w:r>
      <w:r>
        <w:t xml:space="preserve"> This paper discusses the future challenges of strategic spatial planning in Europe in the coming decades. The paper argues that one of the core challenges for strategic spatial planning is to regain its political legitimacy. Strategic spatial planning has increasingly lost its political support after the global financial crisis in 2007–2008 and a decade of austerity policies. Strategic spatial planning must make itself relevant again by addressing the most prominent challenges for contemporary urban areas, such as the current energy crisis. The energy crisis has demonstrated the need for an even faster transition to renewable energy sources, which requires large areas for energy infrastructures on land. The paper argues that strategic spatial planning could play an important future role in supporting the sustainable energy transition by identifying appropriate spaces of production and building support for such production facilities among local communities.</w:t>
      </w:r>
    </w:p>
    <w:p>
      <w:pPr/>
      <w:r>
        <w:rPr>
          <w:b/>
        </w:rPr>
        <w:t>POSSIBLE 2022:</w:t>
      </w:r>
      <w:r>
        <w:t xml:space="preserve"> What if data protection embraced foresight and speculative design? — https://doi.org/10.21606/drs.2022.681</w:t>
      </w:r>
    </w:p>
    <w:p>
      <w:pPr/>
      <w:r>
        <w:rPr>
          <w:b/>
        </w:rPr>
        <w:t>Shared claim-specific concepts:</w:t>
      </w:r>
      <w:r>
        <w:t xml:space="preserve"> strategic, foresight, policy-making; EU scope visible. This is a provisional connection, not an outcome finding.</w:t>
      </w:r>
    </w:p>
    <w:p>
      <w:pPr>
        <w:pStyle w:val="SourceNote"/>
      </w:pPr>
      <w:r>
        <w:rPr>
          <w:b/>
        </w:rPr>
        <w:t>Available abstract (not full text):</w:t>
      </w:r>
      <w:r>
        <w:t xml:space="preserve"> Due to rapid technological advancements and the growing “datafication” of our societies, individuals’ privacy constitutes an increasingly explored speculative space for regulators, researchers, practitioners, designers and artists. This article reports two experiences at a national and an international data protection authority (i.e., the Commission Nationale de l'Informatique et des Libertés - CNIL - and the European Data Protection Supervisor - EDPS - respectively), where foresight methods and speculative design are employed in policy-making with the goal of anticipating technological trends, their implications for society and their impact on regulations, as well as the effects of existing and upcoming laws on emerging technologies. Such initiatives can enhance strategic proactive abilities, raise public awareness of privacy issues and engender a participatory approach to the design of policies. They can also inspire the research, education and practice of legal design.</w:t>
      </w:r>
    </w:p>
    <w:p>
      <w:pPr/>
      <w:r>
        <w:rPr>
          <w:b/>
        </w:rPr>
        <w:t>POSSIBLE 2022:</w:t>
      </w:r>
      <w:r>
        <w:t xml:space="preserve"> A Discourse on Foresight and the Valuation of Explicit and Tacit Synergies in Strategic Collaborations — https://doi.org/10.3390/jrfm15070305</w:t>
      </w:r>
    </w:p>
    <w:p>
      <w:pPr/>
      <w:r>
        <w:rPr>
          <w:b/>
        </w:rPr>
        <w:t>Shared claim-specific concepts:</w:t>
      </w:r>
      <w:r>
        <w:t xml:space="preserve"> strategic, foresight, disciplines, options; EU scope not established. This is a provisional connection, not an outcome finding.</w:t>
      </w:r>
    </w:p>
    <w:p>
      <w:pPr>
        <w:pStyle w:val="SourceNote"/>
      </w:pPr>
      <w:r>
        <w:rPr>
          <w:b/>
        </w:rPr>
        <w:t>Available abstract (not full text):</w:t>
      </w:r>
      <w:r>
        <w:t xml:space="preserve"> One of the most important questions in business partners’ collaboration is whether their strategies create a collaborative synergy and thus add market value. This paper aims to develop a conceptual framework that will be useful for scholars and practitioners in developing foresight for explicit synergies and valuing tacit synergy in strategic collaborative ventures. The paper comprises a novel theoretical and empirical contribution to the foresight that is required for an explicit competence-based synergy in collaborative ventures from a resource-based view. It employs the ARCTIC framework and values a tacit competence-based synergy using simple and compound real options. Moreover, the paper makes several theoretical and empirical contributions to the study of strategic management, international business, and corporate finance disciplines. Finally, the paper discusses research limitations and future work.</w:t>
      </w:r>
    </w:p>
    <w:p>
      <w:pPr>
        <w:pStyle w:val="Heading2"/>
      </w:pPr>
      <w:r>
        <w:t>571. Alternative futures for shared mobility systems: impacts on transport planning tools and techniques</w:t>
      </w:r>
    </w:p>
    <w:p>
      <w:pPr>
        <w:pStyle w:val="SourceNote"/>
      </w:pPr>
      <w:r>
        <w:rPr>
          <w:b/>
        </w:rPr>
        <w:t>Original source (2021):</w:t>
      </w:r>
      <w:r>
        <w:t xml:space="preserve"> https://doi.org/10.1016/j.trpro.2021.11.032</w:t>
      </w:r>
    </w:p>
    <w:p>
      <w:pPr/>
      <w:r>
        <w:t>Original wording (abstract; indexed_source_text_not_full_document_verified): This paper presents a series of explorative scenarios that provide different contexts for the evolution of urban mobility in Europe, in order to grasp the plausible pathways that shared mobility services will follow in the upcoming decades. The scenarios are adapted from those developed by the climate change research community and are used in a Delphi poll to gather expert visions on how shared mobility services will evolve.</w:t>
      </w:r>
    </w:p>
    <w:p>
      <w:pPr/>
      <w:r>
        <w:rPr>
          <w:b/>
        </w:rPr>
        <w:t>POSSIBLE 2026:</w:t>
      </w:r>
      <w:r>
        <w:t xml:space="preserve"> The Heritagemonitor: Exploring projects, works and institutions in cultural heritage across Europe — https://doi.org/10.5281/zenodo.20642926</w:t>
      </w:r>
    </w:p>
    <w:p>
      <w:pPr/>
      <w:r>
        <w:rPr>
          <w:b/>
        </w:rPr>
        <w:t>Shared claim-specific concepts:</w:t>
      </w:r>
      <w:r>
        <w:t xml:space="preserve"> presents, series, developed; EU scope visible. This is a provisional connection, not an outcome finding.</w:t>
      </w:r>
    </w:p>
    <w:p>
      <w:pPr>
        <w:pStyle w:val="SourceNote"/>
      </w:pPr>
      <w:r>
        <w:rPr>
          <w:b/>
        </w:rPr>
        <w:t>Available abstract (not full text):</w:t>
      </w:r>
      <w:r>
        <w:t xml:space="preserve"> This poster series presents the functions projects, works and institutions of the Heritagemonitor application (https://heritagemonitor.org). The Heritagemonitor is a web application developed within the framework of the EU Horizon project DIGICHer. It aggregates large datasets, visualizes them, and makes them easily searchable - with a focus on cultural heritage. Start exploring now!</w:t>
      </w:r>
    </w:p>
    <w:p>
      <w:pPr/>
      <w:r>
        <w:rPr>
          <w:b/>
        </w:rPr>
        <w:t>POSSIBLE 2026:</w:t>
      </w:r>
      <w:r>
        <w:t xml:space="preserve"> The Heritagemonitor: Exploring projects, works and institutions in cultural heritage across Europe — https://doi.org/10.5281/zenodo.20643287</w:t>
      </w:r>
    </w:p>
    <w:p>
      <w:pPr/>
      <w:r>
        <w:rPr>
          <w:b/>
        </w:rPr>
        <w:t>Shared claim-specific concepts:</w:t>
      </w:r>
      <w:r>
        <w:t xml:space="preserve"> presents, series, developed; EU scope visible. This is a provisional connection, not an outcome finding.</w:t>
      </w:r>
    </w:p>
    <w:p>
      <w:pPr>
        <w:pStyle w:val="SourceNote"/>
      </w:pPr>
      <w:r>
        <w:rPr>
          <w:b/>
        </w:rPr>
        <w:t>Available abstract (not full text):</w:t>
      </w:r>
      <w:r>
        <w:t xml:space="preserve"> This poster series presents the functions projects, works and institutions of the Heritagemonitor application (https://heritagemonitor.org). The Heritagemonitor is a web application developed within the framework of the EU Horizon project DIGICHer. It aggregates large datasets, visualizes them, and makes them easily searchable - with a focus on cultural heritage. Start exploring now!</w:t>
      </w:r>
    </w:p>
    <w:p>
      <w:pPr/>
      <w:r>
        <w:rPr>
          <w:b/>
        </w:rPr>
        <w:t>POSSIBLE 2026:</w:t>
      </w:r>
      <w:r>
        <w:t xml:space="preserve"> Non-stationary time series attribution for heatwaves over Europe — https://doi.org/10.5194/ascmo-12-243-2026</w:t>
      </w:r>
    </w:p>
    <w:p>
      <w:pPr/>
      <w:r>
        <w:rPr>
          <w:b/>
        </w:rPr>
        <w:t>Shared claim-specific concepts:</w:t>
      </w:r>
      <w:r>
        <w:t xml:space="preserve"> presents, series, climate; EU scope visible. This is a provisional connection, not an outcome finding.</w:t>
      </w:r>
    </w:p>
    <w:p>
      <w:pPr>
        <w:pStyle w:val="SourceNote"/>
      </w:pPr>
      <w:r>
        <w:rPr>
          <w:b/>
        </w:rPr>
        <w:t>Available abstract (not full text):</w:t>
      </w:r>
      <w:r>
        <w:t xml:space="preserve"> The increasing occurrence of extreme weather events since the beginning of the 21st century has led to the development of new methods to attribute extreme events to anthropogenic climate change. The way in which the extreme event is defined has a major influence on the attribution result. A frequently overlooked aspect concerns the temporal dependence of extremes. This study presents an approach for attributing complete time series during extreme events to anthropogenic forcing. The approach is based on a non-stationary Markov process using bivariate extreme value theory to model the temporal dependence of the time series. We calculate the likelihood ratio of an observational time series from ERA5 given the distributions as estimated from CMIP6 simulations with historical natural-only and natural and anthropogenic forcing scenarios. The spatial fields are condensed by the extremal pattern index (EPI) as a compact description of spatial extremes. In addition, the study examines the extent to which attribution statements about the occurrence of extreme heat events change when the effect of the mean warming is eliminated. The resulting attribution statement provides very strong evidence for the scenario with anthropogenic drivers over Europe, especially since the beginning of the 21st century. For central and southern Europe, the influence of anthropogenic greenhouse gas emissions</w:t>
      </w:r>
    </w:p>
    <w:p>
      <w:pPr/>
      <w:r>
        <w:rPr>
          <w:b/>
        </w:rPr>
        <w:t>POSSIBLE 2026:</w:t>
      </w:r>
      <w:r>
        <w:t xml:space="preserve"> Madhava's Pi-Series in the Modern Context — https://doi.org/10.48550/arxiv.2602.14484</w:t>
      </w:r>
    </w:p>
    <w:p>
      <w:pPr/>
      <w:r>
        <w:rPr>
          <w:b/>
        </w:rPr>
        <w:t>Shared claim-specific concepts:</w:t>
      </w:r>
      <w:r>
        <w:t xml:space="preserve"> series, different, developed, used; EU scope not established. This is a provisional connection, not an outcome finding.</w:t>
      </w:r>
    </w:p>
    <w:p>
      <w:pPr>
        <w:pStyle w:val="SourceNote"/>
      </w:pPr>
      <w:r>
        <w:rPr>
          <w:b/>
        </w:rPr>
        <w:t>Available abstract (not full text):</w:t>
      </w:r>
      <w:r>
        <w:t xml:space="preserve"> The $π$-series is attributed to Madhava, Gregory and Leibniz based on the chronology of its discovery. While this acknowledges the fact that Madhava of Sangamagrama an Indian mathematician who lived in Kerala in the 14th century along the banks of river Nila, was the first to discover the series, the modern day proof for the $π$-series is based on the outline of the proof given by the famous German mathematician Gottfried Wilhelm Leibniz in the 17th century, using concepts and rigorous definitions of Calculus many of which were developed after his lifetime. We extend the same benefit to Madhava's ideas and present Madhava's upapatti i.e proof for the $π$-series as given in Jyesthadeva's Yuktibhasha using modern notation and definitions. We elaborate Madhava's proof at three places (a) to prove that the arc-bit sum is same as the sum of arc-bit approximations (b) to prove convergence and (c) to concisely prove by iteration the power sum approximation. Madhava's method with appropriate changes can be applied to derive the sine and cosine series as well. Madhava also provides the correction terms to accelerate the convergence of the $π$-series. We compare the two proofs i.e Madhava's and the popular proof for $π$ which is based on Leibniz's ideas and observe that they are different since Madhava's is based on the length of the arc where as Leibniz's relies on the area under the ar</w:t>
      </w:r>
    </w:p>
    <w:p>
      <w:pPr/>
      <w:r>
        <w:rPr>
          <w:b/>
        </w:rPr>
        <w:t>POSSIBLE 2026:</w:t>
      </w:r>
      <w:r>
        <w:t xml:space="preserve"> Mobility Models for a Future in Flux: Exploring Alternatives in European Teacher Education — https://doi.org/10.31244/9783818851583.10</w:t>
      </w:r>
    </w:p>
    <w:p>
      <w:pPr/>
      <w:r>
        <w:rPr>
          <w:b/>
        </w:rPr>
        <w:t>Shared claim-specific concepts:</w:t>
      </w:r>
      <w:r>
        <w:t xml:space="preserve"> presents, contexts, mobility; EU scope visible. This is a provisional connection, not an outcome finding.</w:t>
      </w:r>
    </w:p>
    <w:p>
      <w:pPr>
        <w:pStyle w:val="SourceNote"/>
      </w:pPr>
      <w:r>
        <w:rPr>
          <w:b/>
        </w:rPr>
        <w:t>Available abstract (not full text):</w:t>
      </w:r>
      <w:r>
        <w:t xml:space="preserve"> Abstract Mobility has become a key element in European teacher education, aiming to equip future educators with intercultural skills, transnational perspectives, and the ability to teach in diverse and dynamic contexts. Traditionally, long-term mobilities – often sup- ported through Erasmus+ – have shaped the landscape of international experiences in initial teacher education. However, these longer formats are not suitable for all students due to time, financial, and/or curricular constraints. The Erasmus+ Teacher Academy (teff) focuses on short-term mobility models as a complementary alternative. This contri- bution presents experiences and findings from teff, which piloted various forms of short mobility, including virtual, hybrid and blended learning formats. The experiences sug- gest that while short mobilities cannot replace the depth of long-term mobility, they offer accessible and scalable opportunities to internationalize teacher education and prepare future teachers for a profession in flux.</w:t>
      </w:r>
    </w:p>
    <w:p>
      <w:pPr/>
      <w:r>
        <w:rPr>
          <w:b/>
        </w:rPr>
        <w:t>POSSIBLE 2025:</w:t>
      </w:r>
      <w:r>
        <w:t xml:space="preserve"> Citizenship in the Context of European Values: Recommendations for teaching in higher education — https://doi.org/10.14712/9788076034143</w:t>
      </w:r>
    </w:p>
    <w:p>
      <w:pPr/>
      <w:r>
        <w:rPr>
          <w:b/>
        </w:rPr>
        <w:t>Shared claim-specific concepts:</w:t>
      </w:r>
      <w:r>
        <w:t xml:space="preserve"> presents, series, provide, different, evolution, services; EU scope visible. This is a provisional connection, not an outcome finding.</w:t>
      </w:r>
    </w:p>
    <w:p>
      <w:pPr>
        <w:pStyle w:val="SourceNote"/>
      </w:pPr>
      <w:r>
        <w:rPr>
          <w:b/>
        </w:rPr>
        <w:t>Available abstract (not full text):</w:t>
      </w:r>
      <w:r>
        <w:t xml:space="preserve"> The main focus for CitEdEV is on sharing of good practice in relation to the above, and within this it highlights democratic values, fundamental rights, and active citizenship.Although the objectives above stem from an EU declaration, we stress that the European Values we refer to are those of the European Convention for the Protection of Human Rights and Fundamental Freedoms (ECPHR) , originally agreed by The Council of Europe, to which nearly all European states, include member states of the EU, are signatories. European Union educational policy builds on the Paris Declaration, with emphasis placed on:'Fostering the development of citizenship competences with the aim of strengthening the awareness of common values, as referred to in Article 2 of the Treaty on European Union and the Charter of Fundamental Rights of the European Union' (European Commission, 2018) 'Citizenship competence' is described as '… the ability to act as responsible citizens and to fully participate in civic and social life, based on understanding of social, economic, legal and political concepts and structures, as well as global developments and sustainability', and elaborated, as shown in the table below, in relation to knowledge and understanding, skills, and attitudes.In the context of our work it is worthwhile to note that the first competency listed is that of 'understanding European values'.Table </w:t>
      </w:r>
    </w:p>
    <w:p>
      <w:pPr/>
      <w:r>
        <w:rPr>
          <w:b/>
        </w:rPr>
        <w:t>POSSIBLE 2025:</w:t>
      </w:r>
      <w:r>
        <w:t xml:space="preserve"> Leadership Effectiveness in Multinational Corporations Across Different Regional Contexts — https://doi.org/10.66027/gpim/v3i3/gpm25309</w:t>
      </w:r>
    </w:p>
    <w:p>
      <w:pPr/>
      <w:r>
        <w:rPr>
          <w:b/>
        </w:rPr>
        <w:t>Shared claim-specific concepts:</w:t>
      </w:r>
      <w:r>
        <w:t xml:space="preserve"> presents, series, different, contexts; EU scope visible. This is a provisional connection, not an outcome finding.</w:t>
      </w:r>
    </w:p>
    <w:p>
      <w:pPr>
        <w:pStyle w:val="SourceNote"/>
      </w:pPr>
      <w:r>
        <w:rPr>
          <w:b/>
        </w:rPr>
        <w:t>Available abstract (not full text):</w:t>
      </w:r>
      <w:r>
        <w:t xml:space="preserve"> Leadership effectiveness in multinational corporations (MNCs) is highly contingent upon regional cultural context, institutional settings, and the strategic requirements of global integration. This paper presents an extensive comparative study of different leadership styles and their effectiveness in five main regions around the world – North America, Europe, Asia-Pacific, Latin America, and the Middle East &amp; Africa – based on the GLOBE model, Hofstede's cultural dimensions, and cultural intelligence theory. This study uses a mixed methods approach that includes a cross-industry survey of 320 senior corporate executives from 28 countries; a series of semi-structured interviews; and six case studies of multinationals, and finds that there are systematic differences between regions in terms of leadership style prevalence, leader competencies, and performance. In particular, the findings show that transformational leadership always positively impacts organizational performance, but this relation is substantially influenced by power distance and collectivism. A new theoretical framework called the Cross-Regional Leadership Effectiveness Framework (CRLEF) is proposed that incorporates the influence of macro-level contextual factors and culture-specific moderators on organizational processes. The research also shows that leadership adaptability and cultural intelligence are both esse</w:t>
      </w:r>
    </w:p>
    <w:p>
      <w:pPr/>
      <w:r>
        <w:rPr>
          <w:b/>
        </w:rPr>
        <w:t>POSSIBLE 2024:</w:t>
      </w:r>
      <w:r>
        <w:t xml:space="preserve"> Exploring European decarbonisation pathways in the Power Decisions Game — https://doi.org/10.1186/s13705-024-00469-w</w:t>
      </w:r>
    </w:p>
    <w:p>
      <w:pPr/>
      <w:r>
        <w:rPr>
          <w:b/>
        </w:rPr>
        <w:t>Shared claim-specific concepts:</w:t>
      </w:r>
      <w:r>
        <w:t xml:space="preserve"> pathways, climate, used; EU scope visible. This is a provisional connection, not an outcome finding.</w:t>
      </w:r>
    </w:p>
    <w:p>
      <w:pPr>
        <w:pStyle w:val="SourceNote"/>
      </w:pPr>
      <w:r>
        <w:rPr>
          <w:b/>
        </w:rPr>
        <w:t>Available abstract (not full text):</w:t>
      </w:r>
      <w:r>
        <w:t xml:space="preserve"> Abstract Background Article 12 of the Paris Agreement summons the signing parties to corporate in improving the education of their citizens on climate change and related matters. The article thereby acknowledges the importance of citizens support and understanding of climate change and needed measures to fight climate change. This paper aims to contribute to the goal of informing on the implications of climate change related policy on the power sector in Europe and hence all European citizens by presenting a serious game in which the player can explore how key policy decisions affect capacity mix, investment needs and electricity costs.Results The game is based on more than 1700 scenarios run through an open-source and accessible, yet technologically detailed myopic energy system optimisation model for the electricity supply in the EU27 + 3. The game allows the user to take the role of a decision maker and make decisions in 2020, 2030 and 2040 regarding the usage of CCS, biomass imports, cross-border electricity transmission and the pace of emission reductions. The user is then presented with economic, social, and environmental impacts of these choices. These impacts are for example measured and illustrated in the development of CO2 emissions per capita, levelised cost of electricity, and investment need per citizen.Conclusion The Power Decisions Game provides a first of its ki</w:t>
      </w:r>
    </w:p>
    <w:p>
      <w:pPr/>
      <w:r>
        <w:rPr>
          <w:b/>
        </w:rPr>
        <w:t>POSSIBLE 2023:</w:t>
      </w:r>
      <w:r>
        <w:t xml:space="preserve"> Critical Heritage Studies and the Futures of Europe — https://doi.org/10.14324/111.9781800083936</w:t>
      </w:r>
    </w:p>
    <w:p>
      <w:pPr/>
      <w:r>
        <w:rPr>
          <w:b/>
        </w:rPr>
        <w:t>Shared claim-specific concepts:</w:t>
      </w:r>
      <w:r>
        <w:t xml:space="preserve"> presents, series, urban, climate, used; EU scope visible. This is a provisional connection, not an outcome finding.</w:t>
      </w:r>
    </w:p>
    <w:p>
      <w:pPr>
        <w:pStyle w:val="SourceNote"/>
      </w:pPr>
      <w:r>
        <w:rPr>
          <w:b/>
        </w:rPr>
        <w:t>Available abstract (not full text):</w:t>
      </w:r>
      <w:r>
        <w:t xml:space="preserve"> Cultural and natural heritage are central to ‘Europe’ and ‘the European project’. They were bound up in the emergence of nation-states in the eighteenth and nineteenth centuries, where they were used to justify differences over which border conflicts were fought. Later, the idea of a ‘common European heritage’ provided a rationale for the development of the European Union. Now, the emergence of ‘new’ populist nationalisms shows how the imagined past continues to play a role in cultural and social governance, while a series of interlinked social and ecological crises are changing the ways that heritage operates. New discourses and ontologies are emerging to reconfigure heritage for the circumstances of the present and the uncertainties of the future. Taking the current role of heritage in Europe as its starting point, Critical Heritage Studies and the Futures of Europe presents a number of case studies that explore key themes in this transformation. Contributors draw on a range of disciplinary perspectives to consider, variously, the role of heritage and museums in the migration and climate ‘emergencies’; approaches to urban heritage conservation and practices of curating cities; digital and digitised heritage; the use of heritage as a therapeutic resource; and critical approaches to heritage and its management. Taken together, the chapters explore the multiple ontologies throug</w:t>
      </w:r>
    </w:p>
    <w:p>
      <w:pPr/>
      <w:r>
        <w:rPr>
          <w:b/>
        </w:rPr>
        <w:t>POSSIBLE 2023:</w:t>
      </w:r>
      <w:r>
        <w:t xml:space="preserve"> Time series forecasting methods in emergency contexts — https://doi.org/10.1038/s41598-023-42917-1</w:t>
      </w:r>
    </w:p>
    <w:p>
      <w:pPr/>
      <w:r>
        <w:rPr>
          <w:b/>
        </w:rPr>
        <w:t>Shared claim-specific concepts:</w:t>
      </w:r>
      <w:r>
        <w:t xml:space="preserve"> series, different, contexts, evolution, used; EU scope not established. This is a provisional connection, not an outcome finding.</w:t>
      </w:r>
    </w:p>
    <w:p>
      <w:pPr>
        <w:pStyle w:val="SourceNote"/>
      </w:pPr>
      <w:r>
        <w:rPr>
          <w:b/>
        </w:rPr>
        <w:t>Available abstract (not full text):</w:t>
      </w:r>
      <w:r>
        <w:t xml:space="preserve"> The key issues in any fire emergency are recognising fire hotspots, locating the emergency intervention team (EI), following the evolution of the fire, and selecting the evacuation path. This leads to the study and development of HelpResponder, a solution capable of detecting the focus of interest in hostile spaces derived from fire due to high temperatures without visibility. A study is conducted to determine which model best predicts measured [Formula: see text] levels. The variables used are temperature, humidity, and air quality, obtained from sensors installed in a fire tower. The statistical methods applied, namely ARIMAX, KNN, SVM, and TBATS, allow the adjustment and modelling of the variables. Explanatory variables with temporal structure are incorporated into SVM, a new improvement proposal. Moreover, combining different models showed the best efficiency in forecasting. In fact, another contribution of our work lies in offering a small-scale prediction system that is specifically designed to save batteries. The system has been tested and validated in a hostile environment (building), simulating real emergency situations. The system has been tested and validated in several hostile environments, simulating real emergency situations. It can help firefighters respond faster in an emergency. This reduces the risks associated with the lack of information and improves the tim</w:t>
      </w:r>
    </w:p>
    <w:p>
      <w:pPr/>
      <w:r>
        <w:rPr>
          <w:b/>
        </w:rPr>
        <w:t>POSSIBLE 2023:</w:t>
      </w:r>
      <w:r>
        <w:t xml:space="preserve"> Modeling the Greenhouse Gases Data Series in Europe during 1990–2021 — https://doi.org/10.3390/toxics11090726</w:t>
      </w:r>
    </w:p>
    <w:p>
      <w:pPr/>
      <w:r>
        <w:rPr>
          <w:b/>
        </w:rPr>
        <w:t>Shared claim-specific concepts:</w:t>
      </w:r>
      <w:r>
        <w:t xml:space="preserve"> presents, series, different, evolution, climate; EU scope visible. This is a provisional connection, not an outcome finding.</w:t>
      </w:r>
    </w:p>
    <w:p>
      <w:pPr>
        <w:pStyle w:val="SourceNote"/>
      </w:pPr>
      <w:r>
        <w:rPr>
          <w:b/>
        </w:rPr>
        <w:t>Available abstract (not full text):</w:t>
      </w:r>
      <w:r>
        <w:t xml:space="preserve"> Nowadays, climate change and atmospheric pollution are two of humanity's most significant challenges. Greenhouse gases (GHGs) are responsible for climate change, and they create effects that are mostly irreversible. Therefore, monitoring and reducing such emissions are compulsory for the preservation of the environment for future generations. The European Union took action in this direction. The article presents the evolution of the total GHGs trend, from 1990 to 2021, in the EU countries and their associates. Trend analysis and grouping of the countries using different clustering techniques are performed. The analysis of the existence of greenhouse gases (GHGs) series' trend, in 30 countries from Europe, showed that the GHG emissions decreased from 1990 to 2021 in only 17 countries. The annual series, built using the data reported by each country each year, does not present a specific trend. After grouping the countries in clusters by k-means and hierarchical clustering, the representative series for the annual recorded values in the 30 studied countries, called Regional series (RegS), is built using series selected from the cluster with the highest number of elements. The same algorithm provides the Representative Temporal series (TempS), which selects specific years after clustering the annual GHG series.</w:t>
      </w:r>
    </w:p>
    <w:p>
      <w:pPr/>
      <w:r>
        <w:rPr>
          <w:b/>
        </w:rPr>
        <w:t>POSSIBLE 2022:</w:t>
      </w:r>
      <w:r>
        <w:t xml:space="preserve"> European Security — https://doi.org/10.5771/9783748936459</w:t>
      </w:r>
    </w:p>
    <w:p>
      <w:pPr/>
      <w:r>
        <w:rPr>
          <w:b/>
        </w:rPr>
        <w:t>Shared claim-specific concepts:</w:t>
      </w:r>
      <w:r>
        <w:t xml:space="preserve"> presents, series, order; EU scope visible. This is a provisional connection, not an outcome finding.</w:t>
      </w:r>
    </w:p>
    <w:p>
      <w:pPr>
        <w:pStyle w:val="SourceNote"/>
      </w:pPr>
      <w:r>
        <w:rPr>
          <w:b/>
        </w:rPr>
        <w:t>Available abstract (not full text):</w:t>
      </w:r>
      <w:r>
        <w:t xml:space="preserve"> War with all its horrors has returned to the continent. Russia, with her war against Ukraine, has turned the entire post-war order upside down and triggered another crisis for Europe. Geopolitics must be based on a clear vision of a desired state, an assessment of the environment and an honest analysis of one’s own capabilities and means. The (geo)political decision must explore all legal boundaries to put aggressors permanently in their place. The EU has experienced a series of crises since 2008. Only a ‚sine ira et studio‘ approach will overcome this permanent crisis. This book presents the geopolitical options for security, foreign and economic policy, and strategic decisions.</w:t>
      </w:r>
    </w:p>
    <w:p>
      <w:pPr>
        <w:pStyle w:val="Heading2"/>
      </w:pPr>
      <w:r>
        <w:t>572. Anticipatory governance for newcomers: lessons learned from the UK, the Netherlands, Finland, and Korea</w:t>
      </w:r>
    </w:p>
    <w:p>
      <w:pPr>
        <w:pStyle w:val="SourceNote"/>
      </w:pPr>
      <w:r>
        <w:rPr>
          <w:b/>
        </w:rPr>
        <w:t>Original source (2021):</w:t>
      </w:r>
      <w:r>
        <w:t xml:space="preserve"> https://doi.org/10.1186/s40309-021-00179-y</w:t>
      </w:r>
    </w:p>
    <w:p>
      <w:pPr/>
      <w:r>
        <w:t>Original wording (abstract; indexed_source_text_not_full_document_verified): First, the government should educate and train the public and government officials to promote future literacy and future proficiency .</w:t>
      </w:r>
    </w:p>
    <w:p>
      <w:pPr/>
      <w:r>
        <w:rPr>
          <w:b/>
        </w:rPr>
        <w:t>POSSIBLE 2026:</w:t>
      </w:r>
      <w:r>
        <w:t xml:space="preserve"> Right to be Forgotten vs. Public Information Disclosure to Public Officials in Indonesia — https://doi.org/10.30996/mk.v19i1.132922</w:t>
      </w:r>
    </w:p>
    <w:p>
      <w:pPr/>
      <w:r>
        <w:rPr>
          <w:b/>
        </w:rPr>
        <w:t>Shared claim-specific concepts:</w:t>
      </w:r>
      <w:r>
        <w:t xml:space="preserve"> government, officials; EU scope visible. This is a provisional connection, not an outcome finding.</w:t>
      </w:r>
    </w:p>
    <w:p>
      <w:pPr>
        <w:pStyle w:val="SourceNote"/>
      </w:pPr>
      <w:r>
        <w:rPr>
          <w:b/>
        </w:rPr>
        <w:t>Available abstract (not full text):</w:t>
      </w:r>
      <w:r>
        <w:t xml:space="preserve"> The advancement of information technology, which renders digital footprints permanent, has generated new problems in the protection of personal data, including for public officials who possess narrower privacy boundaries than private citizens. Research aims to explore the potential conflicts between the right to be forgotten and long-standing principle of transparency in Article 28F of the 1945 Republic of Indonesia's Constitution. Additionally, this paper looks at which public servants should be protected by the Right to Forget Law under Indonesian national laws or administrative regulations. This research deals with the difference between Indonesian National Laws for public servants and the right to be forgotten. It also discusses laws from “Republic of Indonesia No. 19/2016 Electronic Information Transactions Law of Republic of Indonesia No. 14/2008 Disclosure of Public Information Laws”. EU policy as well as the direction taken in member states such as France. The findings of the research show that the applicability of the Right to be Forgotten for public servants cannot be in an absolute form since information about their tasks of offices, track records, alleged ethical or legal violations, and actions that have an impact on the public is information that must remain accessible as part of public accountability. Additionally, this research reveals discrepancies in the court</w:t>
      </w:r>
    </w:p>
    <w:p>
      <w:pPr/>
      <w:r>
        <w:rPr>
          <w:b/>
        </w:rPr>
        <w:t>POSSIBLE 2026:</w:t>
      </w:r>
      <w:r>
        <w:t xml:space="preserve"> Constitutional Law Accountability for the Forgery of Public Officials' Documents — https://openalex.org/W7216626058</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The authenticity of documents submitted by public officials constitutes a fundamental element of constitutional governance, administrative legitimacy, and the rule of law. In a democratic legal system, official documents serve not merely as administrative requirements but also as instruments that establish public trust and validate the constitutional authority exercised by state officials. The emergence of allegations involving forged educational or identity documents has raised significant constitutional and administrative concerns, as such misconduct extends beyond criminal liability and directly affects the legitimacy of public office and democratic governance. This study aims to examine the forms of constitutional law accountability applicable to public officials involved in document forgery and to analyze the existing mechanisms for administrative verification and legal responsibility within the Indonesian constitutional framework. The research employs a normative legal method using statutory, conceptual, and case approaches. Primary legal materials consist of the 1945 Constitution of the Republic of Indonesia, Law Number 30 of 2014 concerning Government Administration, Law Number 7 of 2017 concerning General Elections, the Indonesian Criminal Code, and relevant electoral regulations, which are examined through qualitative legal analysis using grammatical, systematic, and </w:t>
      </w:r>
    </w:p>
    <w:p>
      <w:pPr/>
      <w:r>
        <w:rPr>
          <w:b/>
        </w:rPr>
        <w:t>POSSIBLE 2026:</w:t>
      </w:r>
      <w:r>
        <w:t xml:space="preserve"> Germany's “Black-Red” Government Alliance Is at A Dead End — https://doi.org/10.20542/0131-2227-2026-70-8-70-81</w:t>
      </w:r>
    </w:p>
    <w:p>
      <w:pPr/>
      <w:r>
        <w:rPr>
          <w:b/>
        </w:rPr>
        <w:t>Shared claim-specific concepts:</w:t>
      </w:r>
      <w:r>
        <w:t xml:space="preserve"> first, government; EU scope visible. This is a provisional connection, not an outcome finding.</w:t>
      </w:r>
    </w:p>
    <w:p>
      <w:pPr>
        <w:pStyle w:val="SourceNote"/>
      </w:pPr>
      <w:r>
        <w:rPr>
          <w:b/>
        </w:rPr>
        <w:t>Available abstract (not full text):</w:t>
      </w:r>
      <w:r>
        <w:t xml:space="preserve"> The article analyzes the attempts of the government alliance led by Chancellor F. Merz to carry out reforms in the country’s domestic and foreign policy. The factors that have a significant impact on the domestic political situation and the international agenda of Berlin, as well as German content in preparation for a possible direct clash between Euro-Atlantic globalists and Russia, are summarized. The academic community in Germany is losing its former research creativity. Competition between different expert centers is encouraged by decision-making bodies with set guidelines; alternative views are censored. As a result, the projects suffer from a monotony; doubts about the reliability of contradictory and often one-sided conclusions, recommendations and prognoses grow. The refusal of German analysts to take a comprehensive approach to the study of global transformations is one of the conceptual reasons for the impasse that has arisen in the modern theory and practice of political thought in Germany, including the Moscow direction. In line with such scientific research, Berlin is strengthening its policy of militarizing Germany and supporting the neo-Banderovites regime. In this context, one should understand the decision of the FRG leadership in April 2026 on a comprehensive defense strategy regarding the responsibility of Germany and its Armed Forces for Europe. The document</w:t>
      </w:r>
    </w:p>
    <w:p>
      <w:pPr/>
      <w:r>
        <w:rPr>
          <w:b/>
        </w:rPr>
        <w:t>POSSIBLE 2025:</w:t>
      </w:r>
      <w:r>
        <w:t xml:space="preserve"> I CAN SPEAK: LOCAL GOVERNMENT REPRESENTATIVES TO EDUCATE THE PUBLIC TO SPEAK ENGLISH — https://openalex.org/W7216915950</w:t>
      </w:r>
    </w:p>
    <w:p>
      <w:pPr/>
      <w:r>
        <w:rPr>
          <w:b/>
        </w:rPr>
        <w:t>Shared claim-specific concepts:</w:t>
      </w:r>
      <w:r>
        <w:t xml:space="preserve"> government, educate, proficiency; EU scope not established. This is a provisional connection, not an outcome finding.</w:t>
      </w:r>
    </w:p>
    <w:p>
      <w:pPr>
        <w:pStyle w:val="SourceNote"/>
      </w:pPr>
      <w:r>
        <w:rPr>
          <w:b/>
        </w:rPr>
        <w:t>Available abstract (not full text):</w:t>
      </w:r>
      <w:r>
        <w:t xml:space="preserve"> In enhancing the intelligence and knowledge of the community, Diskominfo Wonosobo plays a role in public services in the field of Public Information and Communication. Radio is an ideal learning tool for those with limited access to information. Diskominfo Wonosobo collaborates with educational institutions to produce the radio broadcast program “I Can Speak,” aired by Radio Pesona FM Wonosobo, to learn to speak English. This research aims to identify how Radio Pesona FM, as a local public radio station under Diskominfo Wonosobo, runs the collaboration program. The urgency of the research is to provide insight into how learning communication practices in the context of radio broadcasts in Wonosobo. The research location was chosen due to the originality of the phenomenon and good access to data sources, using participatory observation techniques, focus group discussions and in-depth interviews. Twelve informants were selected by purposive sampling, consisting of listeners, broadcasters, academics and radio management. The research identified that I Can Speak is a platform for students to practice their English speaking and public speaking skills. I Can Speak is also a representative of the local government in serving the community by developing human resources through improving English language proficiency</w:t>
      </w:r>
    </w:p>
    <w:p>
      <w:pPr/>
      <w:r>
        <w:rPr>
          <w:b/>
        </w:rPr>
        <w:t>POSSIBLE 2025:</w:t>
      </w:r>
      <w:r>
        <w:t xml:space="preserve"> Educating and raising public awareness about floods with uniformed high-water marks — https://doi.org/10.5194/ems2025-48</w:t>
      </w:r>
    </w:p>
    <w:p>
      <w:pPr/>
      <w:r>
        <w:rPr>
          <w:b/>
        </w:rPr>
        <w:t>Shared claim-specific concepts:</w:t>
      </w:r>
      <w:r>
        <w:t xml:space="preserve"> first, government, educate; EU scope visible. This is a provisional connection, not an outcome finding.</w:t>
      </w:r>
    </w:p>
    <w:p>
      <w:pPr>
        <w:pStyle w:val="SourceNote"/>
      </w:pPr>
      <w:r>
        <w:rPr>
          <w:b/>
        </w:rPr>
        <w:t>Available abstract (not full text):</w:t>
      </w:r>
      <w:r>
        <w:t xml:space="preserve"> In the last ten years, the Slovenian Environment Agency, in cooperation with the Association of Slovenian Geographers and Ministries, has implemented an action: placing high-water marks on flooded areas near rivers, lakes, and the sea. The action aims to educate and inform the inhabitants about the natural phenomenon of high waters, improve their knowledge of the regular impoundments of karstic poljes, flooded areas near rivers, lakes, and sea, and raise awareness that, more or less frequently, the water needs its natural extended space —floodplains. The placement of high-water marks on flooded sites links various activities of public institutions, organizations, and local communities to manage water resources and improve flood safety responsibly. Besides the official institutions, local stakeholders are also included in the action because their role is crucial in the bottom-up approach. The local population, schools, local government, and real estate owners are the first whose involvement in the action is needed for their knowledge of the water level situation during floods in the areas. Physical markings as a lasting reminder in space are a part of the process of raising awareness and educating about high waters. Visible and uniformed high-water marks on the field raise awareness of the locals and visitors. Informing, educating, and raising public awareness about water, are o</w:t>
      </w:r>
    </w:p>
    <w:p>
      <w:pPr/>
      <w:r>
        <w:rPr>
          <w:b/>
        </w:rPr>
        <w:t>POSSIBLE 2025:</w:t>
      </w:r>
      <w:r>
        <w:t xml:space="preserve"> Public Officials’ Lies and Their Effects on the Proliferation of Disinformation — https://doi.org/10.1017/9781009373272.008</w:t>
      </w:r>
    </w:p>
    <w:p>
      <w:pPr/>
      <w:r>
        <w:rPr>
          <w:b/>
        </w:rPr>
        <w:t>Shared claim-specific concepts:</w:t>
      </w:r>
      <w:r>
        <w:t xml:space="preserve"> officials, promote; EU scope not established. This is a provisional connection, not an outcome finding.</w:t>
      </w:r>
    </w:p>
    <w:p>
      <w:pPr>
        <w:pStyle w:val="SourceNote"/>
      </w:pPr>
      <w:r>
        <w:rPr>
          <w:b/>
        </w:rPr>
        <w:t>Available abstract (not full text):</w:t>
      </w:r>
      <w:r>
        <w:t xml:space="preserve"> State responses to the recent ‘crisis’ caused by misinformation in social media have mainly aimed to impose liability on those who facilitate its dissemination. Internet companies, especially large platforms, have deployed numerous techniques, measures and instruments to address the phenomenon. However, little has been done to assess the importance of who originates disinformation and, in particular, whether some originators of misinformation are acting contrary to their preexisting obligations to the public. My view is that it would be wrong to attribute only to social media a central or exclusive role in the new disinformation crisis that impacts the information ecosystem. I also believe that disinformation has different effects depending on who promotes it – particularly whether it is promoted by a person with a public role. Importantly, the law of many countries already reflects this distinction – across a variety of contexts, public officials are obligated both to affirmatively provide certain types of information, and to take steps to ensure that information is true. In contrast, private individuals rarely bear analogous obligations; instead, law often protects their misstatements, in order to prevent censorship and promote public discourse.</w:t>
      </w:r>
    </w:p>
    <w:p>
      <w:pPr/>
      <w:r>
        <w:rPr>
          <w:b/>
        </w:rPr>
        <w:t>POSSIBLE 2024:</w:t>
      </w:r>
      <w:r>
        <w:t xml:space="preserve"> Does the European Union's rule of law require the criminalisation of EU public officials? A first appraisal — https://doi.org/10.1111/eulj.12507</w:t>
      </w:r>
    </w:p>
    <w:p>
      <w:pPr/>
      <w:r>
        <w:rPr>
          <w:b/>
        </w:rPr>
        <w:t>Shared claim-specific concepts:</w:t>
      </w:r>
      <w:r>
        <w:t xml:space="preserve"> first, officials; EU scope visible. This is a provisional connection, not an outcome finding.</w:t>
      </w:r>
    </w:p>
    <w:p>
      <w:pPr>
        <w:pStyle w:val="SourceNote"/>
      </w:pPr>
      <w:r>
        <w:rPr>
          <w:b/>
        </w:rPr>
        <w:t>Available abstract (not full text):</w:t>
      </w:r>
      <w:r>
        <w:t xml:space="preserve"> Abstract This article emphasises the role of criminal law as a strategic form of accountability aimed at safeguarding the EU rule of law, especially when public officials are entrusted with powers that may violate fundamental rights. Abuses committed in the context of border management serve as a case study and a test bench for the more general argument developed in the contribution. It is argued that criminal law—through sanctioning serious abuse of power irrespective of any lucrative intent—contributes to the legitimacy of policies and actions carried out in the name of the union. As impunity gaps may result from the difficult application of domestic law, the article maintains that it is necessary to stigmatise at the union's level such misdeeds that go beyond cases of mere bad policy or ‘maladministration’. It therefore advocates for a directive requiring Member States to criminalise abuse of powers, which are in breach of the rule of law as one of the foundational values enshrined in Article 2 TEU.</w:t>
      </w:r>
    </w:p>
    <w:p>
      <w:pPr/>
      <w:r>
        <w:rPr>
          <w:b/>
        </w:rPr>
        <w:t>POSSIBLE 2024:</w:t>
      </w:r>
      <w:r>
        <w:t xml:space="preserve"> MODERNIZING THE TRAINING OF LOCAL GOVERNMENT OFFICIALS IN UKRAINE BASED ON CONTEMPORARY EUROPEAN EXPERIENCE — https://doi.org/10.70651/3041-2498/2024.1.01</w:t>
      </w:r>
    </w:p>
    <w:p>
      <w:pPr/>
      <w:r>
        <w:rPr>
          <w:b/>
        </w:rPr>
        <w:t>Shared claim-specific concepts:</w:t>
      </w:r>
      <w:r>
        <w:t xml:space="preserve"> government, officials; EU scope visible. This is a provisional connection, not an outcome finding.</w:t>
      </w:r>
    </w:p>
    <w:p>
      <w:pPr>
        <w:pStyle w:val="SourceNote"/>
      </w:pPr>
      <w:r>
        <w:rPr>
          <w:b/>
        </w:rPr>
        <w:t>Available abstract (not full text):</w:t>
      </w:r>
      <w:r>
        <w:t xml:space="preserve"> The aim of this article is to examine the key aspects of the professional training systems for employees in local self-government in Western Europe, using the French Republic (a unitary system) and the Federal Republic of Germany (a federal system) as case studies, and to assess the feasibility of applying this experience in Ukraine. The study demonstrates that, in many European countries, the professional training of local government officials is implemented as part of a national strategy. In most cases, the role of the public sector is limited to incorporating relevant courses and electives into university curricula. However, there is an increasing trend toward fruitful collaboration between municipalities and educational institutions in the training of relevant professionals. The analysis of European practices in developing conceptual frameworks for training specialists in local self-government allows for several conclusions to be drawn for Ukraine. Given that the current democratic public administration system in Ukraine cannot ensure that vacant elected positions in local self-government bodies will be filled exclusively by certified specialists in the field, it is advisable for the state to support non-governmental educational institutions that prepare professionals for local self-government, based on the demands of the national ‘labor market’. In the current context of l</w:t>
      </w:r>
    </w:p>
    <w:p>
      <w:pPr/>
      <w:r>
        <w:rPr>
          <w:b/>
        </w:rPr>
        <w:t>POSSIBLE 2024:</w:t>
      </w:r>
      <w:r>
        <w:t xml:space="preserve"> Features of preventing abuse of authority or official position committed by public servants — https://doi.org/10.24144/2307-3322.2024.83.3.4</w:t>
      </w:r>
    </w:p>
    <w:p>
      <w:pPr/>
      <w:r>
        <w:rPr>
          <w:b/>
        </w:rPr>
        <w:t>Shared claim-specific concepts:</w:t>
      </w:r>
      <w:r>
        <w:t xml:space="preserve"> first, officials; EU scope visible. This is a provisional connection, not an outcome finding.</w:t>
      </w:r>
    </w:p>
    <w:p>
      <w:pPr>
        <w:pStyle w:val="SourceNote"/>
      </w:pPr>
      <w:r>
        <w:rPr>
          <w:b/>
        </w:rPr>
        <w:t>Available abstract (not full text):</w:t>
      </w:r>
      <w:r>
        <w:t xml:space="preserve"> Corruption in Ukraine is recognized as a threat to national interests, sustainable development and European integration. Despite the significant efforts made by the state and international institutions to overcome corruption in the main spheres of public life, its level still remains high. When defining the essence of corruption, one should first of all proceed from the fact that it cannot be reduced to any specific socially dangerous act, to a specific offense. Corruption is the result of the historical development of society and the state, including Ukrainian society and the Ukrainian state. At the same time, in the last decade, corruption in Ukraine gained an unprecedented scope and influence on political, economic and other social processes. It іs found that the problems of countering corruption in Ukraine in many respects coincide with similar problems in other countries. This coincidence is caused by the same social essence of corruption as the corrosion of power, which consists in the abuse by officials of state authorities and local self-government bodies of power or official position for selfish or other personal interests. Regardless of the differences in the state system, the main socio-economic prerequisites of corruption are the same in principle for all countries − the imperfection of the mechanism of the exercise of power, the desire of subjects endowed with powe</w:t>
      </w:r>
    </w:p>
    <w:p>
      <w:pPr/>
      <w:r>
        <w:rPr>
          <w:b/>
        </w:rPr>
        <w:t>POSSIBLE 2023:</w:t>
      </w:r>
      <w:r>
        <w:t xml:space="preserve"> Prevention of corruption offenses by public officials: Experience from European Union countries — https://doi.org/10.46398/cuestpol.4177.24</w:t>
      </w:r>
    </w:p>
    <w:p>
      <w:pPr/>
      <w:r>
        <w:rPr>
          <w:b/>
        </w:rPr>
        <w:t>Shared claim-specific concepts:</w:t>
      </w:r>
      <w:r>
        <w:t xml:space="preserve"> officials, promote; EU scope visible. This is a provisional connection, not an outcome finding.</w:t>
      </w:r>
    </w:p>
    <w:p>
      <w:pPr>
        <w:pStyle w:val="SourceNote"/>
      </w:pPr>
      <w:r>
        <w:rPr>
          <w:b/>
        </w:rPr>
        <w:t>Available abstract (not full text):</w:t>
      </w:r>
      <w:r>
        <w:t xml:space="preserve"> The article analyzes the effectiveness of preventive anti-corruption measures in the countries of the European Union EU. The study involved comparison and forecasting methods. The results showed that the EU is leading its efforts to develop anti-corruption legislative initiatives and their implementation at national and international level. Whistle-blower protection laws adopted in EU countries are important tools for exposing illegal activities committed in organizations. Transparency of public administration in Denmark and Finland contributes to the maintenance of moral and legal standards in society. The Danish Code of Conduct in the Public Sector and the Finnish Anti-Corruption Guide for Small and Medium-Sized Enterprises have become documents that help promote corruption-free business relationships. The Finnish Harmaa (gray) project is an example of how data analytics helps law enforcement agencies process large volumes of data to prevent corruption offenses. It is concluded that the initiatives of EU countries to prevent corruption of officials can become an example for Ukraine during post-war recovery.</w:t>
      </w:r>
    </w:p>
    <w:p>
      <w:pPr/>
      <w:r>
        <w:rPr>
          <w:b/>
        </w:rPr>
        <w:t>POSSIBLE 2023:</w:t>
      </w:r>
      <w:r>
        <w:t xml:space="preserve"> Government Digitalization in Overcoming Inefficiency of National Budget Utilization for Official Travel of Government Officials — https://openalex.org/W7218059295</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Inefficiency of state and regional budget utilization for government trip occasions is concerned by numerous parties, one of them is the President of the Republic of Indonesia. The main headlight is bureaucracy personnels always spend a huge number of proposed state and regional budgets just for official trips. In order to solve this problem, the government digitalization concept can be applied. It also persuaded the researcher to do this research with a main purpose is identifying positive implications of implementing government digitalization to minimize inefficiency in the public budget for bureaucracy trips. This study was designed by using descriptive qualitative to achieve a holistic situation about the researched topic. As a way to gain essential data several techniques have been used such as: interview, observation, and literature study. In addition, purposive sampling was used to choose the suitable informants. The result of this research exposes that government digitalization is able to be implemented in order to solve the main focus of the research. As a suggestion, the governments have responsibility to construct an integrated systems which do several required occasions such as: showing the contract of the trips, addressing public budget utilization during the trips, and optimizing the acquired outputs of the trips.</w:t>
      </w:r>
    </w:p>
    <w:p>
      <w:pPr/>
      <w:r>
        <w:rPr>
          <w:b/>
        </w:rPr>
        <w:t>POSSIBLE 2022:</w:t>
      </w:r>
      <w:r>
        <w:t xml:space="preserve"> The High Note of Meaning: A Case Study of Public Service Motivation of Local Government Officials — https://doi.org/10.3390/socsci11090411</w:t>
      </w:r>
    </w:p>
    <w:p>
      <w:pPr/>
      <w:r>
        <w:rPr>
          <w:b/>
        </w:rPr>
        <w:t>Shared claim-specific concepts:</w:t>
      </w:r>
      <w:r>
        <w:t xml:space="preserve"> government, officials; EU scope not established. This is a provisional connection, not an outcome finding.</w:t>
      </w:r>
    </w:p>
    <w:p>
      <w:pPr>
        <w:pStyle w:val="SourceNote"/>
      </w:pPr>
      <w:r>
        <w:rPr>
          <w:b/>
        </w:rPr>
        <w:t>Available abstract (not full text):</w:t>
      </w:r>
      <w:r>
        <w:t xml:space="preserve"> Public service motivation (PSM) has provided a new breadth to the study of what attracts and retains workers in public organizations committed to the public mission. The present research contributes to the topic by exploring local government workers’ motivation for public service, the meaning they attribute to their activity as public servants, and the relations between PSM and the meaning of work (MOW). An adaptation of the PSM scale to the Portuguese language and context and the local level of public administration is proposed based on a sample of seventeen surveyed municipalities involving 252 participants. Within the analyzed context, dedication to the public interest is the most important factor of public service motivation and, alongside self-sacrifice, more common in older public servants and those with higher educational degrees. Workers with temporary job contracts rank higher in indifference and disbelief in politics as opposed to those workers with tenure who show a higher dedication to the public interest. The majority of the participants consider their work to be purposeful and meaningful, a state that is significantly positively correlated with the more altruistic dimensions of PSM, self-sacrifice and dedication to the public interest, suggesting a profitable venue of organizational research and work policy benchmarking.</w:t>
      </w:r>
    </w:p>
    <w:p>
      <w:pPr>
        <w:pStyle w:val="Heading2"/>
      </w:pPr>
      <w:r>
        <w:t>573. Are Carbon Prices Redundant in the 2030 EU Climate and Energy Policy Package?</w:t>
      </w:r>
    </w:p>
    <w:p>
      <w:pPr>
        <w:pStyle w:val="SourceNote"/>
      </w:pPr>
      <w:r>
        <w:rPr>
          <w:b/>
        </w:rPr>
        <w:t>Original source (2021):</w:t>
      </w:r>
      <w:r>
        <w:t xml:space="preserve"> https://doi.org/10.5547/01956574.42.3.faun</w:t>
      </w:r>
    </w:p>
    <w:p>
      <w:pPr/>
      <w:r>
        <w:t>Original wording (abstract; indexed_source_text_not_full_document_verified): We demonstrate that a cost-efficient policy that obtains a 50 percent GHG emissions reduction would increase annual welfare (relative to the Reference scenario) by an amount corresponding to 0.6 percent of GDP in Europe. In 2018, an agreement between the key EU institutions—the Commission, the European Parliament, and the European Council—was reached after a long-lasting discourse over the 2030 EU climate and energy policy package.</w:t>
      </w:r>
    </w:p>
    <w:p>
      <w:pPr/>
      <w:r>
        <w:rPr>
          <w:b/>
        </w:rPr>
        <w:t>POSSIBLE 2026:</w:t>
      </w:r>
      <w:r>
        <w:t xml:space="preserve"> Energy policy and economic security: a comparison of Europe and Asia — https://doi.org/10.33223/epj/207199</w:t>
      </w:r>
    </w:p>
    <w:p>
      <w:pPr/>
      <w:r>
        <w:rPr>
          <w:b/>
        </w:rPr>
        <w:t>Shared claim-specific concepts:</w:t>
      </w:r>
      <w:r>
        <w:t xml:space="preserve"> demonstrate, key; EU scope visible. This is a provisional connection, not an outcome finding.</w:t>
      </w:r>
    </w:p>
    <w:p>
      <w:pPr>
        <w:pStyle w:val="SourceNote"/>
      </w:pPr>
      <w:r>
        <w:rPr>
          <w:b/>
        </w:rPr>
        <w:t>Available abstract (not full text):</w:t>
      </w:r>
      <w:r>
        <w:t xml:space="preserve"> The aim of this study is to analyze the impact of energy policy on economic security in European and Asian countries.The methodology includes a comparative analysis of energy policies across Europe and Asia, with a content analysis of legislative frameworks, statistical analysis of energy data, and case studies to assess the effectiveness of energy strategies in ensuring economic security.The key aspects of energy strategies, such as dependence on imported energy resources, the development of renewable energy, and energy efficiency, and how these factors influence economic stability, were compared.The study explores the experiences of European countries like Germany and France, Asian nations such as China and Japan, and Uzbekistan, which is actively improving its infrastructure.It was highlighted that the role of political decisions, investment in advanced technologies, and international cooperation plays in ensuring energy stability.Countries with diverse energy sources show greater resilience to economic crises and external political pressures compared to those with lower energy independence.The experiences of European, Asian countries, and Uzbekistan demonstrate that energy policy is a critical factor in economic security.Reliable and accessible energy sources are essential for stable economic growth.It was concluded that countries adopting innovative approaches in the energ</w:t>
      </w:r>
    </w:p>
    <w:p>
      <w:pPr/>
      <w:r>
        <w:rPr>
          <w:b/>
        </w:rPr>
        <w:t>POSSIBLE 2026:</w:t>
      </w:r>
      <w:r>
        <w:t xml:space="preserve"> From Policy to Practice: European Funding and the Development of Energy-Efficient Buildings in Romania’s Mountain Regions — https://doi.org/10.3390/buildings16061161</w:t>
      </w:r>
    </w:p>
    <w:p>
      <w:pPr/>
      <w:r>
        <w:rPr>
          <w:b/>
        </w:rPr>
        <w:t>Shared claim-specific concepts:</w:t>
      </w:r>
      <w:r>
        <w:t xml:space="preserve"> emissions, reduction, annual; EU scope visible. This is a provisional connection, not an outcome finding.</w:t>
      </w:r>
    </w:p>
    <w:p>
      <w:pPr>
        <w:pStyle w:val="SourceNote"/>
      </w:pPr>
      <w:r>
        <w:rPr>
          <w:b/>
        </w:rPr>
        <w:t>Available abstract (not full text):</w:t>
      </w:r>
      <w:r>
        <w:t xml:space="preserve"> The European Union’s transition to climate neutrality by 2050 requires measurable reductions in energy consumption and greenhouse gas emissions, especially in territories characterized by geographical constraints, such as mountainous regions. The study analyzes how European funding guidelines are translated into concrete technical interventions for public buildings in mountainous areas of Romania, using a representative case study from Rodna, Bistrița-Năsăud County. The methodology is based on the national energy performance calculation framework (Mc 001/2022), harmonized with Directive 2010/31/EU and aligned with the EN ISO 52016-1 framework, while maintaining compatibility with the quasi-steady-state methodology implemented in MC 001/2022, and includes the assessment of compliance with the “Do No Significant Harm” (DNSH) principle also. The integrated energy rehabilitation of the analyzed building led to reductions in final energy consumption of 30–45%, primary energy consumption of 40–45%, and operational CO2 emissions of 45–50%. The integration of renewable energy sources increased their share to approximately 35% of the building’s energy mix. The estimated annual reduction of 40–45 tons of CO2 highlights the direct climate impact of investments financed from European funds. The results confirm that European funding instruments function not only as financial mechanisms, but</w:t>
      </w:r>
    </w:p>
    <w:p>
      <w:pPr/>
      <w:r>
        <w:rPr>
          <w:b/>
        </w:rPr>
        <w:t>POSSIBLE 2026:</w:t>
      </w:r>
      <w:r>
        <w:t xml:space="preserve"> The cost and benefit of GHG emissions and default risk — https://doi.org/10.1007/s10479-026-07193-y</w:t>
      </w:r>
    </w:p>
    <w:p>
      <w:pPr/>
      <w:r>
        <w:rPr>
          <w:b/>
        </w:rPr>
        <w:t>Shared claim-specific concepts:</w:t>
      </w:r>
      <w:r>
        <w:t xml:space="preserve"> ghg, emissions, reduction, increase, relative, between;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From runoff to circular resource: an integrated optimization framework for cost, energy, and GHG performance in urban stormwater systems — https://doi.org/10.1038/s41545-026-00585-4</w:t>
      </w:r>
    </w:p>
    <w:p>
      <w:pPr/>
      <w:r>
        <w:rPr>
          <w:b/>
        </w:rPr>
        <w:t>Shared claim-specific concepts:</w:t>
      </w:r>
      <w:r>
        <w:t xml:space="preserve"> ghg, emissions, annual, between, key; EU scope not established. This is a provisional connection, not an outcome finding.</w:t>
      </w:r>
    </w:p>
    <w:p>
      <w:pPr>
        <w:pStyle w:val="SourceNote"/>
      </w:pPr>
      <w:r>
        <w:rPr>
          <w:b/>
        </w:rPr>
        <w:t>Available abstract (not full text):</w:t>
      </w:r>
      <w:r>
        <w:t xml:space="preserve"> Stormwater reuse is a key strategy for advancing integrated urban water management under the One Water framework, yet identifying sustainable treatment trains remains challenging due to trade-offs among cost, energy, and emissions. This study presents an integrated techno-economic and environmental optimization framework to identify optimal end-use-specific stormwater treatment systems for the eastern United States. A mixed-integer nonlinear programming superstructure integrates cost, energy, and life cycle greenhouse gas emissions data for a suite of technologies—including coagulation, sedimentation, constructed wetlands, filtration, membranes, and disinfection—across five end uses: drinking, industrial, irrigation, infrastructure, and surface-water recharge. Results reveal that cost-optimal treatment trains generally align with emission-optimal trains for drinking water, irrigation, and infrastructure, as treatment flexibility is constrained by either stringent (drinking water) or lenient (irrigation, infrastructure) quality requirements that limit flexibility. Industrial and surface-water recharge pathways exhibit greater differentiation among objectives, reflecting trade-offs between costs and emissions. Under typical influent conditions, levelized costs range from $0.06–$0.20 m⁻³, life cycle GHG emissions from 0.14–0.35 kg CO₂-eq m⁻³, and energy consumption from 0.3–0.8 kW</w:t>
      </w:r>
    </w:p>
    <w:p>
      <w:pPr/>
      <w:r>
        <w:rPr>
          <w:b/>
        </w:rPr>
        <w:t>POSSIBLE 2026:</w:t>
      </w:r>
      <w:r>
        <w:t xml:space="preserve"> GHG Emissions and Firm Performance: Evidence from Mandatory Indoor Temperature Restriction — https://doi.org/10.2308/jiar-2024-068</w:t>
      </w:r>
    </w:p>
    <w:p>
      <w:pPr/>
      <w:r>
        <w:rPr>
          <w:b/>
        </w:rPr>
        <w:t>Shared claim-specific concepts:</w:t>
      </w:r>
      <w:r>
        <w:t xml:space="preserve"> ghg, emissions, reduction; EU scope not established. This is a provisional connection, not an outcome finding.</w:t>
      </w:r>
    </w:p>
    <w:p>
      <w:pPr>
        <w:pStyle w:val="SourceNote"/>
      </w:pPr>
      <w:r>
        <w:rPr>
          <w:b/>
        </w:rPr>
        <w:t>Available abstract (not full text):</w:t>
      </w:r>
      <w:r>
        <w:t xml:space="preserve"> ABSTRACT I investigate the impact of greenhouse gas (GHG) emissions on firm performance by using mandatory indoor temperature restrictions as an exogenous shock. I find that designated energy-using firms experienced a decline in performance following the implementation of mandatory indoor temperature restrictions. This effect was not driven by customer or employee but by increased compliance costs. Although affected firms raised advertising expenditures to retain or attract customers, this strategy did not improve performance. Family-owned firms were more negatively affected than non-family-owned firms due to weaker preparedness for regulatory adaptation. The negative effect was concentrated in the second to fourth quarters, when outdoor temperatures exceeded the threshold. These findings contribute to the ongoing debate over the economic consequences of environmental regulation and highlight the importance of firm adaptability. The study also provides timely insights for policymakers aiming to balance carbon reduction goals with economic performance under increasingly stringent environmental mandates. Data Availability: Data are available from the sources cited in the text. JEL Classifications: M41; Q54; Q58.</w:t>
      </w:r>
    </w:p>
    <w:p>
      <w:pPr/>
      <w:r>
        <w:rPr>
          <w:b/>
        </w:rPr>
        <w:t>POSSIBLE 2026:</w:t>
      </w:r>
      <w:r>
        <w:t xml:space="preserve"> Research Infrastructures and the Open Science Roadmap: European and Italian Strategies and Policies — https://doi.org/10.1007/978-3-032-29575-0_2</w:t>
      </w:r>
    </w:p>
    <w:p>
      <w:pPr/>
      <w:r>
        <w:rPr>
          <w:b/>
        </w:rPr>
        <w:t>Shared claim-specific concepts:</w:t>
      </w:r>
      <w:r>
        <w:t xml:space="preserve"> key, institutions; EU scope visible. This is a provisional connection, not an outcome finding.</w:t>
      </w:r>
    </w:p>
    <w:p>
      <w:pPr>
        <w:pStyle w:val="SourceNote"/>
      </w:pPr>
      <w:r>
        <w:rPr>
          <w:b/>
        </w:rPr>
        <w:t>Available abstract (not full text):</w:t>
      </w:r>
      <w:r>
        <w:t xml:space="preserve"> This chapter examines the policy frameworks that shape Research Infrastructures (RIs) in Europe and Italy. It focuses on global and European actors—such as the European Open Science Cloud (EOSC)—and analyses their role in advancing Open Science initiatives. The chapter also explores the plans, programs, and policies aimed at strengthening Research Infrastructures, expanding their openness, and promoting their use not only within research communities but also among key stakeholders in the European and national research and innovation system, including enterprises, the third sector, policymakers, public administrations, and civil society. Furthermore, the chapter investigates the strategies, actions, and main initiatives funded under the Italian National Recovery and Resilience Plan (PNRR—Piano Nazionale di Ripresa e Resilienza), with particular attention to Mission 4—Component 2—From Research to Enterprise. In this context, it highlights interventions designed to reinforce RIs and to develop a federated national system of research infrastructures in the Social Sciences and Humanities (SSH). This strategy, implemented through the involvement of leading Italian universities and research institutions, aims to effectively and efficiently support the country’s scientific advancement and socio-economic development by translating European and national principles and strategies for Open</w:t>
      </w:r>
    </w:p>
    <w:p>
      <w:pPr/>
      <w:r>
        <w:rPr>
          <w:b/>
        </w:rPr>
        <w:t>POSSIBLE 2026:</w:t>
      </w:r>
      <w:r>
        <w:t xml:space="preserve"> The Rise of European Housing Policy — https://doi.org/10.24834/isbn.9789178777341</w:t>
      </w:r>
    </w:p>
    <w:p>
      <w:pPr/>
      <w:r>
        <w:rPr>
          <w:b/>
        </w:rPr>
        <w:t>Shared claim-specific concepts:</w:t>
      </w:r>
      <w:r>
        <w:t xml:space="preserve"> institutions, commission; EU scope visible. This is a provisional connection, not an outcome finding.</w:t>
      </w:r>
    </w:p>
    <w:p>
      <w:pPr>
        <w:pStyle w:val="SourceNote"/>
      </w:pPr>
      <w:r>
        <w:rPr>
          <w:b/>
        </w:rPr>
        <w:t>Available abstract (not full text):</w:t>
      </w:r>
      <w:r>
        <w:t xml:space="preserve"> In December 2025, the European Commission presented its first-ever European Affordable Housing Plan (EAHP). The plan comes as a direct response to the ongoing European housing crisis—a crisis permeated by rising house prices and rents which has made housing increasingly unaffordable. Arguably, the announcement of the plan reflects an amplified presence of the EU in housing matter, a policy field which is not a formal EU competence. This report provides a snapshot of the development and announcement of EAHP by mapping perspectives from various EU institutions, political actors and other stakeholders. It examines how housing problems and solutions are framed at the European level and explores how emerging European housing policy can be understood in a Swedish context. The findings show a multifaceted European effort, attempting to tackle the crisis in a broad manner. However, the EAHP lacks detail and remains rather ambiguous in many of its policy interventions; it often refers to initiatives already in play, or, to unfinished strategies and additional plans expected to come later. The changes to state aid rules are presented as one of the most concrete actions, nevertheless, their applicability in Sweden is questioned. Ultimately, the report concludes that it is difficult to assess the outcomes of a strengthened European housing policy, as the presented plan is only an initial s</w:t>
      </w:r>
    </w:p>
    <w:p>
      <w:pPr/>
      <w:r>
        <w:rPr>
          <w:b/>
        </w:rPr>
        <w:t>POSSIBLE 2026:</w:t>
      </w:r>
      <w:r>
        <w:t xml:space="preserve"> Progressive Industrial Policy in Europe — https://doi.org/10.4324/9781003745563</w:t>
      </w:r>
    </w:p>
    <w:p>
      <w:pPr/>
      <w:r>
        <w:rPr>
          <w:b/>
        </w:rPr>
        <w:t>Shared claim-specific concepts:</w:t>
      </w:r>
      <w:r>
        <w:t xml:space="preserve"> reference, key; EU scope visible. This is a provisional connection, not an outcome finding.</w:t>
      </w:r>
    </w:p>
    <w:p>
      <w:pPr>
        <w:pStyle w:val="SourceNote"/>
      </w:pPr>
      <w:r>
        <w:rPr>
          <w:b/>
        </w:rPr>
        <w:t>Available abstract (not full text):</w:t>
      </w:r>
      <w:r>
        <w:t xml:space="preserve"> Amid accelerating global warming, the digital revolution and rising geopolitical tensions, industrial policy has taken centre-stage in EU policymaking. Consequently, initiatives such as the Green Deal Industrial Plan, the CHIPS &amp; Science Act, the Important Projects of Common European Interest (IPCEIs) and the InvestAI initiative have been developed or proposed recently. Meanwhile, by reintroducing competitiveness and security as primary objectives for industrial policy, European policymakers appear to backtrack on the social and environmental agenda, while not effectively addressing critical governance deficits and financing gaps. European industrial policy is thus at a critical juncture, and its strategic trajectory is currently under discussion. The volume intervenes into current industrial policy debates from a critical perspective. Achieving sustainable, inclusive and effective industrial policy depends on embracing a progressive approach that prioritises broad stakeholder engagement, effective governance and accelerated implementation, instead of a push for rearmament and geopolitical competition. Progressive Industrial Policy in Europe serves as a key reference for scholars and students in a diverse range of academic disciplines. The volume is also intended for researchers active at trade unions, think tanks and NGOs, along with policymakers and specialised civil servants</w:t>
      </w:r>
    </w:p>
    <w:p>
      <w:pPr/>
      <w:r>
        <w:rPr>
          <w:b/>
        </w:rPr>
        <w:t>POSSIBLE 2025:</w:t>
      </w:r>
      <w:r>
        <w:t xml:space="preserve"> The future of EU tax policy harmonisation: Cost of non-Europe report — https://doi.org/10.2861/8675836</w:t>
      </w:r>
    </w:p>
    <w:p>
      <w:pPr/>
      <w:r>
        <w:rPr>
          <w:b/>
        </w:rPr>
        <w:t>Shared claim-specific concepts:</w:t>
      </w:r>
      <w:r>
        <w:t xml:space="preserve"> agreement, commission, council; EU scope visible. This is a provisional connection, not an outcome finding.</w:t>
      </w:r>
    </w:p>
    <w:p>
      <w:pPr>
        <w:pStyle w:val="SourceNote"/>
      </w:pPr>
      <w:r>
        <w:rPr>
          <w:b/>
        </w:rPr>
        <w:t>Available abstract (not full text):</w:t>
      </w:r>
      <w:r>
        <w:t xml:space="preserve"> tax rules but also from inconsistent administrative procedures, digitalisation gaps and duplicated requirements across jurisdictions.In this context, the fragmentation of national tax regimes undermines the EU's capacity to uphold fair competition, ensure fiscal sustainability and deliver on its strategic objectives.It weakens the collective ability to address cross-border tax evasion, enforce equitable taxation of digital and intangible assets and respond to global developments such as the OECD/G20 minimum corporate tax agreement.Moreover, the rising demand for a more competitive, socially cohesive and strategically autonomous Europe -as underscored in the Letta and Draghi reports 2 -places renewed emphasis on the need for coherence in tax policy.From the perspective of European integration, a more coordinated tax framework is thus essential to support the smooth functioning of the internal market.Fragmentation in tax rules could act as a de facto barrier to investment, 3 labour mobility, 4 and cross-border services, 5 eroding the core economic freedoms of the Union.6 It also contributes to legal uncertainty, as recent State aid investigations and rulings by the Court of Justice of the European Union (e.g. in the Apple and Amazon cases) have shown, 7 potentially deterring both investors and Member States from pursuing optimal tax strategies.While full harmonisation may remain </w:t>
      </w:r>
    </w:p>
    <w:p>
      <w:pPr/>
      <w:r>
        <w:rPr>
          <w:b/>
        </w:rPr>
        <w:t>POSSIBLE 2024:</w:t>
      </w:r>
      <w:r>
        <w:t xml:space="preserve"> From Policy to Practice: Upper Bound Cost Estimates of Europes Green Hydrogen Ambitions — https://doi.org/10.48550/arxiv.2406.07149</w:t>
      </w:r>
    </w:p>
    <w:p>
      <w:pPr/>
      <w:r>
        <w:rPr>
          <w:b/>
        </w:rPr>
        <w:t>Shared claim-specific concepts:</w:t>
      </w:r>
      <w:r>
        <w:t xml:space="preserve"> increase, commission; EU scope visible. This is a provisional connection, not an outcome finding.</w:t>
      </w:r>
    </w:p>
    <w:p>
      <w:pPr>
        <w:pStyle w:val="SourceNote"/>
      </w:pPr>
      <w:r>
        <w:rPr>
          <w:b/>
        </w:rPr>
        <w:t>Available abstract (not full text):</w:t>
      </w:r>
      <w:r>
        <w:t xml:space="preserve"> As the European countries strive to meet their ambitious climate goals, renewable hydrogen has emerged to aid in decarbonizing energy-intensive sectors and support the overall energy transition. To ensure that hydrogen production aligns with these goals, the European Commission has introduced criteria for additionality, temporal correlation, and geographical correlation. These criteria are designed to ensure that hydrogen production from renewable sources supports the growth of renewable energy. This study assesses the impact of these criteria on green hydrogen production, focusing on production costs and technology impacts. The European energy market is simulated up to 2048 using stochastic programming, applying these requirements exclusively to green hydrogen production without the phased-in compliance period outlined in the EU regulations. The findings show that meeting the criteria will increase expected system costs by 82 billion euro from 2024 to 2048, largely due to the rapid shift from fossil fuels to renewable energy. The additionality requirement, which mandates the use of new renewable energy installations for electrolysis, proves to be the most expensive, but also the most effective in accelerating renewable energy adoption.</w:t>
      </w:r>
    </w:p>
    <w:p>
      <w:pPr/>
      <w:r>
        <w:rPr>
          <w:b/>
        </w:rPr>
        <w:t>POSSIBLE 2024:</w:t>
      </w:r>
      <w:r>
        <w:t xml:space="preserve"> Policy complexity and implementation performance in the European Union — https://doi.org/10.1111/rego.12580</w:t>
      </w:r>
    </w:p>
    <w:p>
      <w:pPr/>
      <w:r>
        <w:rPr>
          <w:b/>
        </w:rPr>
        <w:t>Shared claim-specific concepts:</w:t>
      </w:r>
      <w:r>
        <w:t xml:space="preserve"> between, commission; EU scope visible. This is a provisional connection, not an outcome finding.</w:t>
      </w:r>
    </w:p>
    <w:p>
      <w:pPr>
        <w:pStyle w:val="SourceNote"/>
      </w:pPr>
      <w:r>
        <w:rPr>
          <w:b/>
        </w:rPr>
        <w:t>Available abstract (not full text):</w:t>
      </w:r>
      <w:r>
        <w:t xml:space="preserve"> This study examines the relationship between the complexity of EU directives and their successful implementation at the national level. Moving beyond the state‐of‐the‐art, we propose a comprehensive framework considering structural, linguistic, and relational dimensions of policy complexity. We argue that policy complexity entails higher transaction costs, hindering effective implementation. Using a novel dataset covering roughly 1000 directives from 1994 to 2022, we find strong evidence of policy complexity negatively impacting implementation performance. Moreover, we find that states with higher administrative capacity are better able to process high complexity efficiently and that Eurosceptic member states attract fewer infringement proceedings in highly complex policy environments than Europhile member states. This could alternatively point to strategic enforcement behavior of the Commission or to bureaucracies that are less Eurosceptic than their political masters might wish for. Our study thereby contributes to a deeper understanding of the challenges of successful implementation of EU directives.</w:t>
      </w:r>
    </w:p>
    <w:p>
      <w:pPr/>
      <w:r>
        <w:rPr>
          <w:b/>
        </w:rPr>
        <w:t>POSSIBLE 2024:</w:t>
      </w:r>
      <w:r>
        <w:t xml:space="preserve"> Forecasting long-term energy demand and reductions in GHG emissions — https://doi.org/10.1007/s12053-024-10203-2</w:t>
      </w:r>
    </w:p>
    <w:p>
      <w:pPr/>
      <w:r>
        <w:rPr>
          <w:b/>
        </w:rPr>
        <w:t>Shared claim-specific concepts:</w:t>
      </w:r>
      <w:r>
        <w:t xml:space="preserve"> ghg, emissions; EU scope not established. This is a provisional connection, not an outcome finding.</w:t>
      </w:r>
    </w:p>
    <w:p>
      <w:pPr>
        <w:pStyle w:val="SourceNote"/>
      </w:pPr>
      <w:r>
        <w:rPr>
          <w:b/>
        </w:rPr>
        <w:t>Available abstract (not full text):</w:t>
      </w:r>
      <w:r>
        <w:t xml:space="preserve"> Unavailable</w:t>
      </w:r>
    </w:p>
    <w:p>
      <w:pPr>
        <w:pStyle w:val="Heading2"/>
      </w:pPr>
      <w:r>
        <w:t>574. Are the European manufacturing and energy sectors on track for achieving net-zero emissions in 2050? An empirical analysis</w:t>
      </w:r>
    </w:p>
    <w:p>
      <w:pPr>
        <w:pStyle w:val="SourceNote"/>
      </w:pPr>
      <w:r>
        <w:rPr>
          <w:b/>
        </w:rPr>
        <w:t>Original source (2021):</w:t>
      </w:r>
      <w:r>
        <w:t xml:space="preserve"> https://doi.org/10.1016/j.enpol.2021.112464</w:t>
      </w:r>
    </w:p>
    <w:p>
      <w:pPr/>
      <w:r>
        <w:t>Original wording (abstract; indexed_source_text_not_full_document_verified): The findings highlight that achieving net-zero emissions by 2050 will require additional policies that are tailored to super-polluters and also support installations that have not started their decarbonisation pathway. The European Green Deal has established a 2050 net-zero emissions target to tackle climate change.</w:t>
      </w:r>
    </w:p>
    <w:p>
      <w:pPr/>
      <w:r>
        <w:rPr>
          <w:b/>
        </w:rPr>
        <w:t>POSSIBLE 2026:</w:t>
      </w:r>
      <w:r>
        <w:t xml:space="preserve"> Achieving SDG6 for Sustainable Water Supply and Wastewater Management in Southeastern Europe — https://doi.org/10.64697/iahr-apd2024_p559</w:t>
      </w:r>
    </w:p>
    <w:p>
      <w:pPr/>
      <w:r>
        <w:rPr>
          <w:b/>
        </w:rPr>
        <w:t>Shared claim-specific concepts:</w:t>
      </w:r>
      <w:r>
        <w:t xml:space="preserve"> findings, highlight, achieving, policies, support, established; EU scope visible. This is a provisional connection, not an outcome finding.</w:t>
      </w:r>
    </w:p>
    <w:p>
      <w:pPr>
        <w:pStyle w:val="SourceNote"/>
      </w:pPr>
      <w:r>
        <w:rPr>
          <w:b/>
        </w:rPr>
        <w:t>Available abstract (not full text):</w:t>
      </w:r>
      <w:r>
        <w:t xml:space="preserve"> To assist three Southeastern Europe (SEE) countries, namely Albania, Bosnia and Herzegovina, and Montenegro, in meeting their SDG 6 targets while simultaneously enhancing their environment and advancing sustainable development, two UNESCO Water Centres from SEE were assigned a collaborative project, the findings of which are summarized in this paper. The paper offers an integrated strategy for achieving SDG6 focusing among others to objective 6B, which concerns stakeholder engagement, and specifically targets indicator 6.B.1. This indicator evaluates the extent to which local administrative units have established and operationalized policies and mechanisms for involving local communities in water and sanitation management. A combination of in-person interviews, site visits, data collecting and analysis from literature, and a standardized questionnaire directed at local and regional water agencies to describe and analyse the current state of water resource management in the three SEE countries. The more pressing needs related to drinking water and wastewater security were investigated. Subsequently, a thorough evaluation encompassing water and wastewater services, water infrastructure, policy issues, funding, and management aspects was conducted to provide a comprehensive review. Key areas of focus include the identification of priority needs, the need for water conservation pla</w:t>
      </w:r>
    </w:p>
    <w:p>
      <w:pPr/>
      <w:r>
        <w:rPr>
          <w:b/>
        </w:rPr>
        <w:t>POSSIBLE 2026:</w:t>
      </w:r>
      <w:r>
        <w:t xml:space="preserve"> Achieving SDG 7 in the European Union: The Impact of Institutions and Macroeconomic Factors on Energy Conservation — https://doi.org/10.1002/sd.71042</w:t>
      </w:r>
    </w:p>
    <w:p>
      <w:pPr/>
      <w:r>
        <w:rPr>
          <w:b/>
        </w:rPr>
        <w:t>Shared claim-specific concepts:</w:t>
      </w:r>
      <w:r>
        <w:t xml:space="preserve"> findings, achieving, policies, support; EU scope visible. This is a provisional connection, not an outcome finding.</w:t>
      </w:r>
    </w:p>
    <w:p>
      <w:pPr>
        <w:pStyle w:val="SourceNote"/>
      </w:pPr>
      <w:r>
        <w:rPr>
          <w:b/>
        </w:rPr>
        <w:t>Available abstract (not full text):</w:t>
      </w:r>
      <w:r>
        <w:t xml:space="preserve"> ABSTRACT Achieving sustainable energy goals (SDG 7) in the European Union requires a deep understanding of the factors driving energy management and conservation. This study investigates the macroeconomic, institutional, and policy drivers of energy management and conservation outcomes across the 27 EU member states from 2014 to 2023. Using multilevel two‐way fixed‐effects models on a panel dataset, we analyze primary energy consumption, final energy consumption, and energy productivity as complementary indicators of energy conservation and energy management. Panel results show that higher energy prices are key drivers of improved energy productivity and conservation, supporting the effectiveness of price‐based instruments. Furthermore, cross‐sectional analysis indicates that stronger institutional quality is positively associated with these outcomes, highlighting the relevance of robust governance. Moderation results relying on the 2023 cross‐section should be interpreted cautiously, as they cannot support causal inference or persistence over time. Coherent policy mixes significantly enhance energy management, particularly in the industry and services sectors; notably, the policy mix acts as a suppressor rather than a mediator in these relationships. Our findings underscore that a successful and just energy transition, aligned with the Sustainable Development Goals, necessitat</w:t>
      </w:r>
    </w:p>
    <w:p>
      <w:pPr/>
      <w:r>
        <w:rPr>
          <w:b/>
        </w:rPr>
        <w:t>POSSIBLE 2026:</w:t>
      </w:r>
      <w:r>
        <w:t xml:space="preserve"> Agriculture Contributions to Water Pollution and Sustainable Policy Solutions in Europe — https://doi.org/10.3390/earth7040115</w:t>
      </w:r>
    </w:p>
    <w:p>
      <w:pPr/>
      <w:r>
        <w:rPr>
          <w:b/>
        </w:rPr>
        <w:t>Shared claim-specific concepts:</w:t>
      </w:r>
      <w:r>
        <w:t xml:space="preserve"> findings, policies, support, green, deal; EU scope visible. This is a provisional connection, not an outcome finding.</w:t>
      </w:r>
    </w:p>
    <w:p>
      <w:pPr>
        <w:pStyle w:val="SourceNote"/>
      </w:pPr>
      <w:r>
        <w:rPr>
          <w:b/>
        </w:rPr>
        <w:t>Available abstract (not full text):</w:t>
      </w:r>
      <w:r>
        <w:t xml:space="preserve"> Freshwater is essential for sustaining the health of humans, animals, and ecosystems; however, agricultural activities remain a major source of water pollution globally. This review examines how crop production, livestock farming, and aquaculture contribute to water contamination, the effectiveness of current European policies, and the potential of sustainable mitigation strategies. Evidence from the research identified pesticides, herbicides, veterinary antibiotics, nutrient runoff, aquaculture effluents, and microplastics as the primary agricultural pollutants affecting surface and groundwater quality. These contaminants have been linked to ecosystem degradation, biodiversity loss, endocrine disruption, antimicrobial resistance, and adverse human health outcomes. Despite extensive regulatory frameworks, including the Water Framework Directive, Nitrates Directive, Farm to Fork Strategy, and European Green Deal, significant implementation and monitoring challenges remain. Current evidence indicates that only 40% of European surface waters achieve “good” ecological status, highlighting persistent water quality concerns across the region. The review further identified precision irrigation, Internet of Things (IoT)-enabled monitoring, biopesticides, hydroponic systems, and integrated multi-trophic aquaculture as promising solutions for reducing agricultural impacts on water resour</w:t>
      </w:r>
    </w:p>
    <w:p>
      <w:pPr/>
      <w:r>
        <w:rPr>
          <w:b/>
        </w:rPr>
        <w:t>POSSIBLE 2026:</w:t>
      </w:r>
      <w:r>
        <w:t xml:space="preserve"> Spatiotemporal clustering of GHGs emissions in Europe: Exploring the role of spatial component — https://doi.org/10.1016/j.spasta.2026.100960</w:t>
      </w:r>
    </w:p>
    <w:p>
      <w:pPr/>
      <w:r>
        <w:rPr>
          <w:b/>
        </w:rPr>
        <w:t>Shared claim-specific concepts:</w:t>
      </w:r>
      <w:r>
        <w:t xml:space="preserve"> findings, emissions, policies; EU scope visible. This is a provisional connection, not an outcome finding.</w:t>
      </w:r>
    </w:p>
    <w:p>
      <w:pPr>
        <w:pStyle w:val="SourceNote"/>
      </w:pPr>
      <w:r>
        <w:rPr>
          <w:b/>
        </w:rPr>
        <w:t>Available abstract (not full text):</w:t>
      </w:r>
      <w:r>
        <w:t xml:space="preserve"> In this study, we propose a novel application of spatiotemporal clustering in the socio-economic and environmental sciences, with a particular focus on regionalised time series of greenhouse gases (GHGs) emissions from a range of economic sectors. Utilising a hierarchical spatiotemporal clustering methodology, we analyse yearly time series of emissions by gases and sectors from 1990 to 2022 for European regions at the NUTS-2 level. While the clustering algorithm inherently incorporates spatial information based on geographical distance, the extent to which space contributes to the definition of groups still requires further exploration. To address this gap in the literature, we propose a novel indicator, namely the Joint Inertia, which quantifies the contribution of spatial distances when integrated with other features. Through a simulation experiment, we explore the relationship between the Joint Inertia and the relevance of geography in exploiting the groups structure under several configurations of spatial and features patterns, providing insights into the behaviour and potential of the proposed indicator. The empirical findings demonstrate the relevance of the spatial component in identifying emission patterns and dynamics, and the results reveal significant heterogeneity across clusters in trends and dynamics by gases and sectors. This reflects the heterogeneous economic a</w:t>
      </w:r>
    </w:p>
    <w:p>
      <w:pPr/>
      <w:r>
        <w:rPr>
          <w:b/>
        </w:rPr>
        <w:t>POSSIBLE 2026:</w:t>
      </w:r>
      <w:r>
        <w:t xml:space="preserve"> Can a wealth tax reduce CO2 emissions in Europe? — https://doi.org/10.1016/j.ecolecon.2026.109231</w:t>
      </w:r>
    </w:p>
    <w:p>
      <w:pPr/>
      <w:r>
        <w:rPr>
          <w:b/>
        </w:rPr>
        <w:t>Shared claim-specific concepts:</w:t>
      </w:r>
      <w:r>
        <w:t xml:space="preserve"> findings, highlight, emissions, climate;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Drivers of carbon emissions in Europe: asymmetric and distributional analysis — https://doi.org/10.1057/s41599-026-08162-3</w:t>
      </w:r>
    </w:p>
    <w:p>
      <w:pPr/>
      <w:r>
        <w:rPr>
          <w:b/>
        </w:rPr>
        <w:t>Shared claim-specific concepts:</w:t>
      </w:r>
      <w:r>
        <w:t xml:space="preserve"> findings, highlight, emissions, policies, also, support; EU scope visible. This is a provisional connection, not an outcome finding.</w:t>
      </w:r>
    </w:p>
    <w:p>
      <w:pPr>
        <w:pStyle w:val="SourceNote"/>
      </w:pPr>
      <w:r>
        <w:rPr>
          <w:b/>
        </w:rPr>
        <w:t>Available abstract (not full text):</w:t>
      </w:r>
      <w:r>
        <w:t xml:space="preserve"> This study on European countries highlights how environmental fiscal policies, innovation, and renewable energy adoption can support long-term decarbonization. This impact is assessed on CO 2 emissions across 24 European economies from 2000 to 2024 using chaotic, asymmetric, and distributional models to capture complex policy responses. The estimates suggest that environmental taxation and spending consistently lower CO 2 emissions, with effects that are substantially stronger in high-emission countries; a 1% increase in environmental spending reduces emissions by more than 6% in the long run. Similarly, a 1% increase in renewable energy consumption reduces emissions by over 9%, while a comparable rise in innovation lowers emissions by around 8%, underscoring the importance of technological progress. Low-carbon technology trade also contributes to mitigation, although its effectiveness is shaped by each country’s absorptive capacity and trade structure. Across all models, adverse policy shocks, such as cuts in environmental spending or reductions in environmental taxes, produce disproportionately larger increases in emissions, underscoring the risks of policy reversals. By integrating chaotic dynamics with asymmetric and distributional analysis, this study provides a more comprehensive framework for understanding policy effectiveness. The findings highlight the need for stable </w:t>
      </w:r>
    </w:p>
    <w:p>
      <w:pPr/>
      <w:r>
        <w:rPr>
          <w:b/>
        </w:rPr>
        <w:t>POSSIBLE 2026:</w:t>
      </w:r>
      <w:r>
        <w:t xml:space="preserve"> H5N1 Transmission Dynamics in Europe: An Endemic-Epidemic Analysis — https://doi.org/10.5281/zenodo.20194753</w:t>
      </w:r>
    </w:p>
    <w:p>
      <w:pPr/>
      <w:r>
        <w:rPr>
          <w:b/>
        </w:rPr>
        <w:t>Shared claim-specific concepts:</w:t>
      </w:r>
      <w:r>
        <w:t xml:space="preserve"> findings, additional, also, support; EU scope visible. This is a provisional connection, not an outcome finding.</w:t>
      </w:r>
    </w:p>
    <w:p>
      <w:pPr>
        <w:pStyle w:val="SourceNote"/>
      </w:pPr>
      <w:r>
        <w:rPr>
          <w:b/>
        </w:rPr>
        <w:t>Available abstract (not full text):</w:t>
      </w:r>
      <w:r>
        <w:t xml:space="preserve"> Highly Pathogenic Avian Influenza H5N1 has caused repeated outbreaks across Europe since 2021, highlighting the need for quantitative frameworks that can support forecasting outbreak dynamics while accounting for temporal and spatial dependence in reported outbreak activity. We developed a spatio-temporal endemic-epidemic model using weekly H5N1 outbreak data from 37 European countries over 208 weeks (2021-2024). A structured feature selection framework was used to screen ecological, environmental, livestock, and anthropogenic covariates and allocate retained predictors across the endemic, autoregressive, and neighbourhood components. Model development and validation were temporally separated, and the final specification was evaluated on an independent 2024 test period against regression baselines and reduced HHH4 models. The final model retained 11 predictors, including several avian community variables together with environmental, livestock, and anthropogenic factors. The autoregressive component accounted for the largest share of fitted incidence, followed by the neighbourhood and endemic components, indicating that recent within-country outbreak activity provided the strongest predictive information while neighbouring-country activity contributed additional value. The proposed HHH4 model achieved the best overall probabilistic predictive performance among the models evaluat</w:t>
      </w:r>
    </w:p>
    <w:p>
      <w:pPr/>
      <w:r>
        <w:rPr>
          <w:b/>
        </w:rPr>
        <w:t>POSSIBLE 2026:</w:t>
      </w:r>
      <w:r>
        <w:t xml:space="preserve"> ACHIEVING SDG 11 IN EUROPE: ASSESSING THE ROLE OF ENERGY USE AND CARBON FOOTPRINTS IN SHAPING SUSTAINABLE CITIES AND COMMUNITIES — https://doi.org/10.15666/aeer/2404_84718505</w:t>
      </w:r>
    </w:p>
    <w:p>
      <w:pPr/>
      <w:r>
        <w:rPr>
          <w:b/>
        </w:rPr>
        <w:t>Shared claim-specific concepts:</w:t>
      </w:r>
      <w:r>
        <w:t xml:space="preserve"> findings, highlight, achieving, emissions, also; EU scope visible. This is a provisional connection, not an outcome finding.</w:t>
      </w:r>
    </w:p>
    <w:p>
      <w:pPr>
        <w:pStyle w:val="SourceNote"/>
      </w:pPr>
      <w:r>
        <w:rPr>
          <w:b/>
        </w:rPr>
        <w:t>Available abstract (not full text):</w:t>
      </w:r>
      <w:r>
        <w:t xml:space="preserve"> Using panel data covering 30 European countries from 2010 to 2024, the study investigates how energy consumption patterns and economic factors influence carbon intensity of GDP, greenhouse gas emissions, and urban sustainability outcomes. The empirical analysis applies panel econometric techniques, including pooled ordinary least squares (OLS), fixed effects (FE), and random effects (RE) models, to examine the relationships between energy use, renewable energy adoption, trade openness, economic growth, and environmental outcomes. The findings show that total energy use significantly increases carbon intensity and greenhouse gas emissions, indicating continued reliance on carbon-intensive energy systems. In contrast, higher per capita energy use and greater reliance on renewable energy sources contribute to reducing carbon intensity and improving urban sustainability outcomes. Trade openness is also found to increase emissions, suggesting the presence of pollution-intensive production patterns linked to global trade integration. In addition, climate-related government spending and renewable energy expansion demonstrate potential in mitigating emissions and supporting sustainable urban development. In conclusion, the results highlight the importance of improving energy efficiency and accelerating renewable energy transitions to achieve sustainable urban development and strengthen</w:t>
      </w:r>
    </w:p>
    <w:p>
      <w:pPr/>
      <w:r>
        <w:rPr>
          <w:b/>
        </w:rPr>
        <w:t>POSSIBLE 2025:</w:t>
      </w:r>
      <w:r>
        <w:t xml:space="preserve"> Towards a harmonized operational earthquake forecasting model for Europe — https://doi.org/10.5194/nhess-25-991-2025</w:t>
      </w:r>
    </w:p>
    <w:p>
      <w:pPr/>
      <w:r>
        <w:rPr>
          <w:b/>
        </w:rPr>
        <w:t>Shared claim-specific concepts:</w:t>
      </w:r>
      <w:r>
        <w:t xml:space="preserve"> findings, highlight, not; EU scope visible. This is a provisional connection, not an outcome finding.</w:t>
      </w:r>
    </w:p>
    <w:p>
      <w:pPr>
        <w:pStyle w:val="SourceNote"/>
      </w:pPr>
      <w:r>
        <w:rPr>
          <w:b/>
        </w:rPr>
        <w:t>Available abstract (not full text):</w:t>
      </w:r>
      <w:r>
        <w:t xml:space="preserve"> Abstract. We develop a harmonized earthquake forecasting model for Europe based on the Epidemic-type Aftershock Sequence (ETAS) model to describe the spatio-temporal evolution of aftershock sequences. We propose a method modification that integrates information from the European Seismic Hazard Model (ESHM20) about the spatial variation of background seismicity during ETAS parameter inversion based on the expectation-maximization (EM) algorithm. Other modifications to the basic ETAS model are explored, namely fixing the productivity term to a higher value to balance the more productive triggering by high-magnitude events with their much rarer occurrence, and replacing the b-value estimate with one relying on the b-positive method to observe the possible effect of short-term incompleteness on model parameters. Retrospective and pseudo-prospective tests demonstrate that ETAS-based models outperform the time-independent benchmark model as well as an ETAS model calibrated on global data. The background-informed ETAS variant achieves the highest score in the pseudo-prospective experiment, but the performance difference to the second-best model is not significant. Our findings highlight promising areas for future exploration, such as avoiding the simplification of using a single b-value for the entire region or reevaluating the completeness of the used seismic catalogs.</w:t>
      </w:r>
    </w:p>
    <w:p>
      <w:pPr/>
      <w:r>
        <w:rPr>
          <w:b/>
        </w:rPr>
        <w:t>POSSIBLE 2025:</w:t>
      </w:r>
      <w:r>
        <w:t xml:space="preserve"> Analysis of water scarcity manifestations in Europe and Ukraine’s place in the system of European water resource coordinates — https://doi.org/10.17721/2306-5680.2025.1.2</w:t>
      </w:r>
    </w:p>
    <w:p>
      <w:pPr/>
      <w:r>
        <w:rPr>
          <w:b/>
        </w:rPr>
        <w:t>Shared claim-specific concepts:</w:t>
      </w:r>
      <w:r>
        <w:t xml:space="preserve"> findings, also, climate; EU scope visible. This is a provisional connection, not an outcome finding.</w:t>
      </w:r>
    </w:p>
    <w:p>
      <w:pPr>
        <w:pStyle w:val="SourceNote"/>
      </w:pPr>
      <w:r>
        <w:rPr>
          <w:b/>
        </w:rPr>
        <w:t>Available abstract (not full text):</w:t>
      </w:r>
      <w:r>
        <w:t xml:space="preserve"> The article presents an analysis of the concept of water deficit and assesses Ukraine’s position in terms of water availability. The main objective of the study is to identify long-term changes in the state of water potential across the European region and to determine possible trends influenced by climatic and anthropogenic factors. The main water-related issues in European countries are highlighted, and the key factors influencing the formation of water resources across Europe are described. A SWOT analysis of Ukraine’s water resource potential is conducted. The study examines the basic indicator of water availability and the main criteria for defining water stress. To achieve this objective, cartographic and comparative-geographical methods were applied to assess the condition of Europe’s water resources. Southern European countries are experiencing an acute water deficit due to increasing aridization and climate shifts. Central Europe is characterized by the depletion of groundwater layers and surface water pollution caused by anthropogenic pressure from industrial production. The main threat to Northern Europe is the onset of glacier and snow melting as a result of global warming. Trends indicate the potential emergence of migration waves over the next 50 years. The increase in water consumption by European countries will alter the water situation and is likely to lead to </w:t>
      </w:r>
    </w:p>
    <w:p>
      <w:pPr/>
      <w:r>
        <w:rPr>
          <w:b/>
        </w:rPr>
        <w:t>POSSIBLE 2025:</w:t>
      </w:r>
      <w:r>
        <w:t xml:space="preserve"> Analysis of solar and wind energy utilisation in Europe and Africa — https://doi.org/10.70132/z8468559752</w:t>
      </w:r>
    </w:p>
    <w:p>
      <w:pPr/>
      <w:r>
        <w:rPr>
          <w:b/>
        </w:rPr>
        <w:t>Shared claim-specific concepts:</w:t>
      </w:r>
      <w:r>
        <w:t xml:space="preserve"> findings, highlight, achieving, policies, climate; EU scope visible. This is a provisional connection, not an outcome finding.</w:t>
      </w:r>
    </w:p>
    <w:p>
      <w:pPr>
        <w:pStyle w:val="SourceNote"/>
      </w:pPr>
      <w:r>
        <w:rPr>
          <w:b/>
        </w:rPr>
        <w:t>Available abstract (not full text):</w:t>
      </w:r>
      <w:r>
        <w:t xml:space="preserve"> The increasing reliance on renewable energy sources is essential for achieving global sustainability, with solar and wind energy playing pivotal roles in mitigating climate change and reducing dependency on fossil fuels.This study presents an in-depth comparative analysis of solar and wind energy utilisation in Europe and Africa, examining the key differences in resource availability, adoption rates, technological advancements, economic factors, and policy frameworks.Europe has made significant progress integrating renewable energy into its energy mix through comprehensive policies, substantial financial investments, and cutting-edge technological developments.In contrast, despite possessing immense renewable energy potential, particularly in solar energy, Africa faces considerable challenges, including inadequate infrastructure, limited funding, and inconsistent policy implementation.The findings highlight the barriers and opportunities for both regions and propose strategies to optimise renewable energy deployment, fostering sustainable development across diverse socio-economic contexts.</w:t>
      </w:r>
    </w:p>
    <w:p>
      <w:pPr/>
      <w:r>
        <w:rPr>
          <w:b/>
        </w:rPr>
        <w:t>POSSIBLE 2025:</w:t>
      </w:r>
      <w:r>
        <w:t xml:space="preserve"> Green Finance, Innovation, and Financial Markets: Shaping Industrial Resilience in China and Europe — https://doi.org/10.55991/j.rjef.94187</w:t>
      </w:r>
    </w:p>
    <w:p>
      <w:pPr/>
      <w:r>
        <w:rPr>
          <w:b/>
        </w:rPr>
        <w:t>Shared claim-specific concepts:</w:t>
      </w:r>
      <w:r>
        <w:t xml:space="preserve"> findings, highlight, achieving, also, support, green; EU scope visible. This is a provisional connection, not an outcome finding.</w:t>
      </w:r>
    </w:p>
    <w:p>
      <w:pPr>
        <w:pStyle w:val="SourceNote"/>
      </w:pPr>
      <w:r>
        <w:rPr>
          <w:b/>
        </w:rPr>
        <w:t>Available abstract (not full text):</w:t>
      </w:r>
      <w:r>
        <w:t xml:space="preserve"> This study examines the impact of green finance (GF), industrial innovation (II), and financial market dynamics (FMD) on industrial resilience (IR) in China and selected European industrialized nations. Panel data from 2003 to 2022 is utilized for empirical analysis. The study used FMOLS regression techniques to control for unobserved heterogeneity across countries. Similarly, GMM estimation is employed to address endogeneity concerns and validate the outcomes. This study proposes three empirical models for achieving its objectives. The models include a baseline model evaluating direct impacts, an interaction model investigating moderating connections, and a region-specific model comparing China with Europe. Findings reveal that GF, II, and FMD significantly enhance IR. Interaction effects indicate that the combined impact of GF and II, GF and FMD, and II and FMD also positively influence IR in the selected panel. Further examination of the regional comparisons reveals that while FMD is more substantial in Europe, China achieves more from GF and II. These results confirm the hypotheses of the study and highlight the importance of financial structures and policy frameworks in shaping industrial resilience. The study further recommends stronger financial market integration with sustainability initiatives in China and increased support for innovation in Europe.</w:t>
      </w:r>
    </w:p>
    <w:p>
      <w:pPr>
        <w:pStyle w:val="Heading2"/>
      </w:pPr>
      <w:r>
        <w:t>575. Assessing Energy Descent Scenarios for the Ecological Transition in Spain 2020–2030</w:t>
      </w:r>
    </w:p>
    <w:p>
      <w:pPr>
        <w:pStyle w:val="SourceNote"/>
      </w:pPr>
      <w:r>
        <w:rPr>
          <w:b/>
        </w:rPr>
        <w:t>Original source (2021):</w:t>
      </w:r>
      <w:r>
        <w:t xml:space="preserve"> https://doi.org/10.3390/su132111867</w:t>
      </w:r>
    </w:p>
    <w:p>
      <w:pPr/>
      <w:r>
        <w:t>Original wording (abstract; indexed_source_text_not_full_document_verified): We continue with an analysis of two ecological transition scenarios for Spain between 2020 and 2030, Green New Deal and Degrowth. Based on a schematic calculation model defined in “Labor Scenarios in the Ecosocial Transition 2020–2030” report, we evaluate the variations in energy consumption for 86 sectors of economic activity.</w:t>
      </w:r>
    </w:p>
    <w:p>
      <w:pPr/>
      <w:r>
        <w:rPr>
          <w:b/>
        </w:rPr>
        <w:t>POSSIBLE 2026:</w:t>
      </w:r>
      <w:r>
        <w:t xml:space="preserve"> OC7 From regulation to implementation: a cross-country ecological analysis of HIV testing frameworks and late diagnosis in Europe — https://doi.org/10.1136/sextrans-icar-2026.6</w:t>
      </w:r>
    </w:p>
    <w:p>
      <w:pPr/>
      <w:r>
        <w:rPr>
          <w:b/>
        </w:rPr>
        <w:t>Shared claim-specific concepts:</w:t>
      </w:r>
      <w:r>
        <w:t xml:space="preserve"> two, ecological; EU scope visible. This is a provisional connection, not an outcome finding.</w:t>
      </w:r>
    </w:p>
    <w:p>
      <w:pPr>
        <w:pStyle w:val="SourceNote"/>
      </w:pPr>
      <w:r>
        <w:rPr>
          <w:b/>
        </w:rPr>
        <w:t>Available abstract (not full text):</w:t>
      </w:r>
      <w:r>
        <w:t xml:space="preserve"> Background Rate of new HIV diagnoses in recent years has remained stable across Europe and proportion of late presentation at diagnosis continues to be high, as highlighted by latest ECDC report. Despite longstanding recommendations to expand routine and community-based testing, cross-country evidence linking national testing frameworks to late diagnosis remains limited. We aimed to assess whether structural and legal characteristics of HIV testing systems are associated with late presentation rates. Methods We conducted an ecological cross-sectional study including countries from WHO European Region. Two composite indices were developed a priori: an HIV Test Legal Stringency Index, capturing HIV-specific regulatory requirements (explicit legal mention, HIV-specific consent procedures, written consent, mandatory pre-test counselling), and an HIV Testing Accessibility Index, reflecting structural facilitation (routine offer, indicator-condition guidelines, community testing, self-testing availability, integrated models). Higher scores indicated greater procedural regulation and structural normalization, respectively. Index components were identified through structured review of national legislation and official public health documents in the local language for each country. AI-assisted search tools supported systematic document retrieval, with manual verification of extracted in</w:t>
      </w:r>
    </w:p>
    <w:p>
      <w:pPr/>
      <w:r>
        <w:rPr>
          <w:b/>
        </w:rPr>
        <w:t>POSSIBLE 2026:</w:t>
      </w:r>
      <w:r>
        <w:t xml:space="preserve"> Economy, Geology and Sustainability: on the Security of Potash Supply in Spain and Europe and the Importance of Fertilizers for European Agriculture — https://doi.org/10.21701/bolgeomin/137.2/004</w:t>
      </w:r>
    </w:p>
    <w:p>
      <w:pPr/>
      <w:r>
        <w:rPr>
          <w:b/>
        </w:rPr>
        <w:t>Shared claim-specific concepts:</w:t>
      </w:r>
      <w:r>
        <w:t xml:space="preserve"> two, spain, between; EU scope visible. This is a provisional connection, not an outcome finding.</w:t>
      </w:r>
    </w:p>
    <w:p>
      <w:pPr>
        <w:pStyle w:val="SourceNote"/>
      </w:pPr>
      <w:r>
        <w:rPr>
          <w:b/>
        </w:rPr>
        <w:t>Available abstract (not full text):</w:t>
      </w:r>
      <w:r>
        <w:t xml:space="preserve"> The intersection of economics, geology and sustainability defines a complex framework for the supply of essential mineral resources. Potassium, crucial for agriculture, is a fundamental pillar in food production, directly impacting food security and public health. Fertilizers are essential for European food security, as agricultural productivity is highly dependent on them. On a continent with limited agricultural resources and a high demand for food, fertilizers are crucial to maximize crop yields and ensure stable production. Globally, half of the food we eat is produced by mineral fertilizers. Intensive fertilizer use presents environmental challenges such as soil degradation, water pollution and greenhouse gas emissions. At present and in Spain, there are two mining projects for the production of potassium salts, both linked to the sedimentary basin of the Ebro Valley in the isolation phase during the late Eocene. One of them, Sùria, in the Catalan area and the other, now under construction, the Muga Project between Navarra and Aragón. Both share many geological conditions in the deposition and chemical composition of their salts and, also, the structural deformations of their sediments in layers as a consequence of the formation of the Pyrenees. Muga is the European novelty in potassium salts and comes from a campaign of geological exploration and systematic drilling of gr</w:t>
      </w:r>
    </w:p>
    <w:p>
      <w:pPr/>
      <w:r>
        <w:rPr>
          <w:b/>
        </w:rPr>
        <w:t>POSSIBLE 2026:</w:t>
      </w:r>
      <w:r>
        <w:t xml:space="preserve"> European Center-Left Parties and Immigration Issues (Examples of Britain, Germany and Spain — https://doi.org/10.20542/0131-2227-2026-70-9-57-65</w:t>
      </w:r>
    </w:p>
    <w:p>
      <w:pPr/>
      <w:r>
        <w:rPr>
          <w:b/>
        </w:rPr>
        <w:t>Shared claim-specific concepts:</w:t>
      </w:r>
      <w:r>
        <w:t xml:space="preserve"> continue, two, spain, between; EU scope visible. This is a provisional connection, not an outcome finding.</w:t>
      </w:r>
    </w:p>
    <w:p>
      <w:pPr>
        <w:pStyle w:val="SourceNote"/>
      </w:pPr>
      <w:r>
        <w:rPr>
          <w:b/>
        </w:rPr>
        <w:t>Available abstract (not full text):</w:t>
      </w:r>
      <w:r>
        <w:t xml:space="preserve"> The topic of immigration has become one of the most urgent and painful in European politics. With the growing popularity of anti-immigrant populist movements, a number of European center-left parties are trying to find a balance between adhering to traditional migration policies and attempting not to alienate the electorate dissatisfied with immigration processes. The article examines the specifics of the immigration policy of the three parties – in the governments of Great Britain (Labour Party), Germany (Social Democratic Party of Germany, SPD) and Spain (Spanish Socialist Workers’ Party, PSOE). The parties discussed in the article demonstrate, in the author’s opinion, two models of reaction to immigration-related challenges. The Labour Party and the SPD continue – largely, as it seems, by inertia – to repeat “mantras” about a positive attitude towards immigration, but actually pursue a policy to limit migration to Britain and Germany to one extent or another. At the same time, the Labour Party is acting, in the author’s view, more consistently than the SPD, who are part of the coalition governments (especially as a junior partner), forced to compromise with the more rigid position of the Christian Democrats. Another model is represented by the PSOE, which is trying to take control of immigration processes by very soft and favorable methods for immigrants (including illegal o</w:t>
      </w:r>
    </w:p>
    <w:p>
      <w:pPr/>
      <w:r>
        <w:rPr>
          <w:b/>
        </w:rPr>
        <w:t>POSSIBLE 2026:</w:t>
      </w:r>
      <w:r>
        <w:t xml:space="preserve"> Age, income, education and religiosity in Europe: evidence from the last two decades — https://doi.org/10.1007/s12232-026-00536-y</w:t>
      </w:r>
    </w:p>
    <w:p>
      <w:pPr/>
      <w:r>
        <w:rPr>
          <w:b/>
        </w:rPr>
        <w:t>Shared claim-specific concepts:</w:t>
      </w:r>
      <w:r>
        <w:t xml:space="preserve"> two, between; EU scope visible. This is a provisional connection, not an outcome finding.</w:t>
      </w:r>
    </w:p>
    <w:p>
      <w:pPr>
        <w:pStyle w:val="SourceNote"/>
      </w:pPr>
      <w:r>
        <w:rPr>
          <w:b/>
        </w:rPr>
        <w:t>Available abstract (not full text):</w:t>
      </w:r>
      <w:r>
        <w:t xml:space="preserve"> Abstract This study explores how individual and regional factors influence religiosity across Europe, focusing on education, income, age, and health as institutional drivers. Testing three sociological hypotheses, we find that education has a U-shaped effect on religious engagement, while age, health, and relative income significantly predict religiosity. Regional economic and educational contexts show no consistent influence. Our findings contribute to institutional economics by illuminating how education and income shape cultural norms and collective belief systems, underscoring the enduring interplay between personal conditions and institutional structures in shaping religious behavior. JEL numbers: Z12, A13.</w:t>
      </w:r>
    </w:p>
    <w:p>
      <w:pPr/>
      <w:r>
        <w:rPr>
          <w:b/>
        </w:rPr>
        <w:t>POSSIBLE 2025:</w:t>
      </w:r>
      <w:r>
        <w:t xml:space="preserve"> On the ecological impact of prehistoric hunter-gatherers in Europe: Early Holocene (Mesolithic) and Last Interglacial (Neanderthal) foragers compared — https://doi.org/10.1371/journal.pone.0328218</w:t>
      </w:r>
    </w:p>
    <w:p>
      <w:pPr/>
      <w:r>
        <w:rPr>
          <w:b/>
        </w:rPr>
        <w:t>Shared claim-specific concepts:</w:t>
      </w:r>
      <w:r>
        <w:t xml:space="preserve"> ecological, between; EU scope visible. This is a provisional connection, not an outcome finding.</w:t>
      </w:r>
    </w:p>
    <w:p>
      <w:pPr>
        <w:pStyle w:val="SourceNote"/>
      </w:pPr>
      <w:r>
        <w:rPr>
          <w:b/>
        </w:rPr>
        <w:t>Available abstract (not full text):</w:t>
      </w:r>
      <w:r>
        <w:t xml:space="preserve"> Recent studies have highlighted evidence of human impact on landscapes dating back to the Late Pleistocene-long before the advent of agriculture. Quantifying the extent of vegetation transformations by hunter-gatherers remains a major research challenge. We address this challenge by comparing climate-based potential natural vegetation cover with pollen-based vegetation reconstructions for the Last Interglacial and the Early Holocene. Differences between these datasets suggest that climate alone cannot fully explain the pollen-based vegetation patterns in Europe during these periods. To explore this issue, we used an upgraded version of the HUMan impact on LANDscapes (HUMLAND) agent-based model (ABM), combined with a genetic algorithm, to generate vegetation change scenarios. By comparing ABM outputs with pollen-based reconstructions, we aimed to identify parameter values that yield HUMLAND results closely matching the pollen-based vegetation cover. The updated ABM covers a broad temporal range, and incorporates the effects of hunting on herbivores and their influence on vegetation regeneration. The results show that the combined effects of megafauna, natural fires, and climatic fluctuations alone lead to vegetation cover estimates that are inconsistent with paleoecological reconstructions. Instead, anthropogenic burning played a key role, with modelling results suggesting that </w:t>
      </w:r>
    </w:p>
    <w:p>
      <w:pPr/>
      <w:r>
        <w:rPr>
          <w:b/>
        </w:rPr>
        <w:t>POSSIBLE 2025:</w:t>
      </w:r>
      <w:r>
        <w:t xml:space="preserve"> Predictiveness and drivers of highly pathogenic avian influenza outbreaks in Europe — https://doi.org/10.1038/s41598-025-04624-x</w:t>
      </w:r>
    </w:p>
    <w:p>
      <w:pPr/>
      <w:r>
        <w:rPr>
          <w:b/>
        </w:rPr>
        <w:t>Shared claim-specific concepts:</w:t>
      </w:r>
      <w:r>
        <w:t xml:space="preserve"> continue, two, ecological; EU scope visible. This is a provisional connection, not an outcome finding.</w:t>
      </w:r>
    </w:p>
    <w:p>
      <w:pPr>
        <w:pStyle w:val="SourceNote"/>
      </w:pPr>
      <w:r>
        <w:rPr>
          <w:b/>
        </w:rPr>
        <w:t>Available abstract (not full text):</w:t>
      </w:r>
      <w:r>
        <w:t xml:space="preserve"> Avian Influenza (AI) outbreaks are on an increasing trajectory. This disease carries a substantial economic burden, resulting in considerable losses to farmers with profound impacts on economies. As the outbreaks continue in birds and other unusual host species, further virus evolution and spillover to humans' risk is anticipated to grow and potentially involve into new pandemics. Despite this, the underlying drivers of the outbreaks remain elusive. We develop machine learning models capable of predicting HPAI events in Europe dynamically uncovering the critical determinants of their onset. Temperature, water index, vegetation index, and poultry density play pivotal roles, with their importance coming into play at different times of the year. Temperature, water index, and vegetation index are important in the ecology of pathogen transmission as well as environmental ecological processes while water index determines how birds aggregate at different locations depending on the season of the year. Combining these drivers, the outbreak pattern is predicted with an accuracy of 94% for model two (M2). A true out of sample with the same model yielded 88% accuracy highlighting its predicting capability. These insights lay a robust foundation for elucidating the intricate landscape of AI outbreaks, offering valuable insights for proactive preventive interventions to mitigate spillover.</w:t>
      </w:r>
    </w:p>
    <w:p>
      <w:pPr/>
      <w:r>
        <w:rPr>
          <w:b/>
        </w:rPr>
        <w:t>POSSIBLE 2024:</w:t>
      </w:r>
      <w:r>
        <w:t xml:space="preserve"> Climate and host plant availability are favourable to the establishment of Lycorma delicatula in Europe — https://doi.org/10.1111/afe.12665</w:t>
      </w:r>
    </w:p>
    <w:p>
      <w:pPr/>
      <w:r>
        <w:rPr>
          <w:b/>
        </w:rPr>
        <w:t>Shared claim-specific concepts:</w:t>
      </w:r>
      <w:r>
        <w:t xml:space="preserve"> two, ecological, evaluate; EU scope visible. This is a provisional connection, not an outcome finding.</w:t>
      </w:r>
    </w:p>
    <w:p>
      <w:pPr>
        <w:pStyle w:val="SourceNote"/>
      </w:pPr>
      <w:r>
        <w:rPr>
          <w:b/>
        </w:rPr>
        <w:t>Available abstract (not full text):</w:t>
      </w:r>
      <w:r>
        <w:t xml:space="preserve"> Abstract Lycorma delicatula , the spotted lanternfly, is a highly successful invasive phloem‐feeding planthopper native to southern China. It has invaded South Korea, Japan, and the United States, where it continues to expand geographically, but it remains absent from Europe. We investigated two key ecological factors influencing the risk of its establishment: climate suitability and the availability of compatible host plants. We developed an ensemble species distribution model using three algorithms to assess the potential geographic range of L. delicatula under current and future climate conditions. We reviewed the literature to evaluate its host repertoire and identified host species present in Europe. Current climate conditions are highly suitable for L. delicatula across much of Europe. Climate change is expected to only slightly alter climate suitability by 2060. Numerous known host plants are also widely distributed throughout Europe. We conclude that neither climate conditions nor the availability of compatible host plants pose a barrier to the establishment of L. delicatula in Europe. Both current and future climate suitability, along with the list of potential host species, can provide valuable guidance for surveillance efforts and enhance the preparedness of phytosanitary authorities.</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spain, green;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New Approaches to Generate Data to Measure the Progress of Decarbonization of the Building Stock in Europe and Spain — https://doi.org/10.1007/978-3-031-51829-4_12</w:t>
      </w:r>
    </w:p>
    <w:p>
      <w:pPr/>
      <w:r>
        <w:rPr>
          <w:b/>
        </w:rPr>
        <w:t>Shared claim-specific concepts:</w:t>
      </w:r>
      <w:r>
        <w:t xml:space="preserve"> two, spain, energy, consumption; EU scope visible. This is a provisional connection, not an outcome finding.</w:t>
      </w:r>
    </w:p>
    <w:p>
      <w:pPr>
        <w:pStyle w:val="SourceNote"/>
      </w:pPr>
      <w:r>
        <w:rPr>
          <w:b/>
        </w:rPr>
        <w:t>Available abstract (not full text):</w:t>
      </w:r>
      <w:r>
        <w:t xml:space="preserve"> Abstract The European Commission has initiated efforts to establish indicator frameworks for monitoring building renovation policies and the decarbonization progress of the building stock, to be developed by EU Member States. The chapter suggests that the use of emerging technologies can improve the quality and availability of data for this purpose, focusing on two specific technologies whose potential is explored for the case of Spain. These technologies are, on one hand, georeferencing and automated cross-referencing of existing data, and, on the other, the Digital Building Logbook (DBL). The results of the study show that georeferencing and automated cross-referencing applications include calculating solar potential and estimating energy production, consumption, and emissions using Urban Energy Models (UBEMs). The UBEM, applied to Spain, enables the collection of previously unavailable indicators, improving data availability and quality mainly in the subjects of ‘An overview of the general characteristics of the national building stock’ and ‘An overview of the energy characteristics of the national building stock’. Examining the feasibility of collecting indicators through the DBL indicates that close to 69% of all necessary indicators for monitoring building renovation policies can be obtained. However, challenges in realizing DBL's full potential involve undefined tool mod</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between, based, variations;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High pathogenic avian influenza A(H5) viruses of clade 2.3.4.4b in Europe—Why trends of virus evolution are more difficult to predict — https://doi.org/10.1093/ve/veae027</w:t>
      </w:r>
    </w:p>
    <w:p>
      <w:pPr/>
      <w:r>
        <w:rPr>
          <w:b/>
        </w:rPr>
        <w:t>Shared claim-specific concepts:</w:t>
      </w:r>
      <w:r>
        <w:t xml:space="preserve"> two, ecological; EU scope visible. This is a provisional connection, not an outcome finding.</w:t>
      </w:r>
    </w:p>
    <w:p>
      <w:pPr>
        <w:pStyle w:val="SourceNote"/>
      </w:pPr>
      <w:r>
        <w:rPr>
          <w:b/>
        </w:rPr>
        <w:t>Available abstract (not full text):</w:t>
      </w:r>
      <w:r>
        <w:t xml:space="preserve"> Since 2016, A(H5Nx) high pathogenic avian influenza (HPAI) virus of clade 2.3.4.4b has become one of the most serious global threats not only to wild and domestic birds, but also to public health. In recent years, important changes in the ecology, epidemiology, and evolution of this virus have been reported, with an unprecedented global diffusion and variety of affected birds and mammalian species. After the two consecutive and devastating epidemic waves in Europe in 2020-2021 and 2021-2022, with the second one recognized as one of the largest epidemics recorded so far, this clade has begun to circulate endemically in European wild bird populations. This study used the complete genomes of 1,956 European HPAI A(H5Nx) viruses to investigate the virus evolution during this varying epidemiological outline. We investigated the spatiotemporal patterns of A(H5Nx) virus diffusion to/from and within Europe during the 2020-2021 and 2021-2022 epidemic waves, providing evidence of ongoing changes in transmission dynamics and disease epidemiology. We demonstrated the high genetic diversity of the circulating viruses, which have undergone frequent reassortment events, providing for the first time a complete overview and a proposed nomenclature of the multiple genotypes circulating in Europe in 2020-2022. We described the emergence of a new genotype with gull adapted genes, which offered the </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two, transition, consumption;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pStyle w:val="Heading2"/>
      </w:pPr>
      <w:r>
        <w:t>576. Boosting the EU forest-based bioeconomy: Market, climate, and employment impacts</w:t>
      </w:r>
    </w:p>
    <w:p>
      <w:pPr>
        <w:pStyle w:val="SourceNote"/>
      </w:pPr>
      <w:r>
        <w:rPr>
          <w:b/>
        </w:rPr>
        <w:t>Original source (2021):</w:t>
      </w:r>
      <w:r>
        <w:t xml:space="preserve"> https://doi.org/10.1016/j.techfore.2020.120478</w:t>
      </w:r>
    </w:p>
    <w:p>
      <w:pPr/>
      <w:r>
        <w:t>Original wording (abstract; indexed_source_text_not_full_document_verified): Further, increased EU imports, resulting in lower consumption of sawnwood outside the EU, would reduce extra-EU long-life HWP carbon storage and substitution of GHG-intensive materials, highlighting the need for concerted international climate change mitigation. The positive EU climate-change mitigation effects of increased carbon storage in harvested wood products (HWP) and material substitution from increased wood\nconstruction are more than offset by reduced net forests carbon sinks by 2030, due to increased EU harvests.</w:t>
      </w:r>
    </w:p>
    <w:p>
      <w:pPr/>
      <w:r>
        <w:rPr>
          <w:b/>
        </w:rPr>
        <w:t>POSSIBLE 2026:</w:t>
      </w:r>
      <w:r>
        <w:t xml:space="preserve"> CHANGES IN FRUIT PRODUCTION AND IMPORTS FROM TURKEY TO EUROPEAN UNION COUNTRIES — https://doi.org/10.5604/01.3001.0055.6187</w:t>
      </w:r>
    </w:p>
    <w:p>
      <w:pPr/>
      <w:r>
        <w:rPr>
          <w:b/>
        </w:rPr>
        <w:t>Shared claim-specific concepts:</w:t>
      </w:r>
      <w:r>
        <w:t xml:space="preserve"> further, increased, imports; EU scope visible. This is a provisional connection, not an outcome finding.</w:t>
      </w:r>
    </w:p>
    <w:p>
      <w:pPr>
        <w:pStyle w:val="SourceNote"/>
      </w:pPr>
      <w:r>
        <w:rPr>
          <w:b/>
        </w:rPr>
        <w:t>Available abstract (not full text):</w:t>
      </w:r>
      <w:r>
        <w:t xml:space="preserve"> Turkey is a key partner of the European Union and a candidate country for EU accession. It is also one of the world’s largest agricultural producers. The aim of this study was to assess the scale and changes in Turkey’s fruit production potential and to determine the structure and changes in imports of selected fruits from Turkey to the EU Member States. The analysis covered the period 2012-2023, divided into three four-year subperiods. Data on the area under fruit crops, production (harvest volume), and yields in Turkey were obtained from FAOSTAT, while data on imports of selected fruits from Turkey to the EU were retrieved from Eurostat. Fruit production potential was assessed by examining changes in the cultivated area and yields of selected fruit species across the defined subperiods. Changes were measured using a fixed-base index and a chain index. Over the study period, productivity increased markedly in apple and cherry orchards as well as in banana and date plantations. Higher productivity of the main fruit species (apples and cherries), combined with relatively small changes in cultivated area, contributed to an increase in their production in Turkey. Imports of fruit (CN08) from Turkey to the EU increased by 21% over the period analysed. Citrus fruits, nuts, grapes, stone fruits, melons and watermelons, and berries dominated the import structure. In the event of Turke</w:t>
      </w:r>
    </w:p>
    <w:p>
      <w:pPr/>
      <w:r>
        <w:rPr>
          <w:b/>
        </w:rPr>
        <w:t>POSSIBLE 2026:</w:t>
      </w:r>
      <w:r>
        <w:t xml:space="preserve"> THE IMPORT OF THE NATURAL GAS FROM THE REPUBLIC OF AZERBAIJAN IN THE CONTEXT OF THE ENERGY POLICY OF THE EUROPEAN UNION — https://doi.org/10.48137/26870703_2026_35_3_61</w:t>
      </w:r>
    </w:p>
    <w:p>
      <w:pPr/>
      <w:r>
        <w:rPr>
          <w:b/>
        </w:rPr>
        <w:t>Shared claim-specific concepts:</w:t>
      </w:r>
      <w:r>
        <w:t xml:space="preserve"> further, increased, reduce; EU scope visible. This is a provisional connection, not an outcome finding.</w:t>
      </w:r>
    </w:p>
    <w:p>
      <w:pPr>
        <w:pStyle w:val="SourceNote"/>
      </w:pPr>
      <w:r>
        <w:rPr>
          <w:b/>
        </w:rPr>
        <w:t>Available abstract (not full text):</w:t>
      </w:r>
      <w:r>
        <w:t xml:space="preserve"> The paper examines the role of the supply of the natural gas from the Republic of Azerbaijan to the EU in the energy policy of the latter as well as its main importers in the EU – Italy, Bulgaria and Greece for the period starting from 2022. While EU keeps diversifying natural gas and oil supply and seeks to reduce its dependence on the import of gas from Russia, Republic of Azerbaijan remains as an additional but not the main supplier of the natural gas to the European Union. The significance of the alternative natural gas exporters increased for the EU since the European Union decided to halt Russian gas supplies following the start of the Special Military Operation of Russia in Ukraine on 24 February 2022. The diversification in the energy policy of the European Union and its individual member states (Italy, Bulgaria, and Greece) as the main importers of Azerbaijani natural gas is compared with the actual volumes of its import from 2022 to 2025 in relation to other suppliers. The author uses the discourse analysis of official documents of the EU and its aforementioned member states, official documents of the Republic of Azerbaijan and bilateral documents on the energy policy. Based on the analysis of the statistical data of the Eurostat, the European Commission and the State Customs Committee of the Republic of Azerbaijan the volumes and share of Azerbaijani natural gas in t</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further, increased, consumption;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further, consumption, climate;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2026:</w:t>
      </w:r>
      <w:r>
        <w:t xml:space="preserve"> Consumption Patterns, Inflation, and Household Welfare: Demand-Based Equivalence Scales in Europe — https://doi.org/10.1007/s11205-026-03882-0</w:t>
      </w:r>
    </w:p>
    <w:p>
      <w:pPr/>
      <w:r>
        <w:rPr>
          <w:b/>
        </w:rPr>
        <w:t>Shared claim-specific concepts:</w:t>
      </w:r>
      <w:r>
        <w:t xml:space="preserve"> further, lower, consumption, reduce; EU scope visible. This is a provisional connection, not an outcome finding.</w:t>
      </w:r>
    </w:p>
    <w:p>
      <w:pPr>
        <w:pStyle w:val="SourceNote"/>
      </w:pPr>
      <w:r>
        <w:rPr>
          <w:b/>
        </w:rPr>
        <w:t>Available abstract (not full text):</w:t>
      </w:r>
      <w:r>
        <w:t xml:space="preserve"> Abstract Equivalence scales are a central component of distributional analysis. They adjust household incomes for size and composition, shaping poverty and inequality measurement. Most work relies on the modified OECD scale from the mid-1990s, despite substantial changes in consumption patterns since. We revisit equivalence scales for 23 European countries using a demand model based on the linear expenditure system and harmonised Household Budget Survey microdata for 2010–2020. We estimate three demand-based scales: a minimum needs scale anchored in subsistence, a utility implicit scale based on welfare equivalence under common preferences, and a utility explicit scale as a sensitivity check. Across specifications, the demand-based estimates generally imply larger economies of scale than the modified OECD scale, especially for larger households. Scales are lower at higher living standards and exhibit a modest downward trend over time. A simulation of 2020–2024 price changes shows that recent inflation is likely to further reduce scales, with stronger impacts for households with children. Regional heterogeneity persists, reflecting differences in prices, preferences and consumption patterns. Recomputing distributional indicators shows that poverty measures are more sensitive than inequality measures to the choice of equivalence scale. The utility implicit scale typically yields </w:t>
      </w:r>
    </w:p>
    <w:p>
      <w:pPr/>
      <w:r>
        <w:rPr>
          <w:b/>
        </w:rPr>
        <w:t>POSSIBLE 2026:</w:t>
      </w:r>
      <w:r>
        <w:t xml:space="preserve"> Import tariffs’ influence on sourcing strategies – European battery and energy storage companies under the USA-China trade conflict — https://openalex.org/W7220754230</w:t>
      </w:r>
    </w:p>
    <w:p>
      <w:pPr/>
      <w:r>
        <w:rPr>
          <w:b/>
        </w:rPr>
        <w:t>Shared claim-specific concepts:</w:t>
      </w:r>
      <w:r>
        <w:t xml:space="preserve"> further, resulting, storage; EU scope visible. This is a provisional connection, not an outcome finding.</w:t>
      </w:r>
    </w:p>
    <w:p>
      <w:pPr>
        <w:pStyle w:val="SourceNote"/>
      </w:pPr>
      <w:r>
        <w:rPr>
          <w:b/>
        </w:rPr>
        <w:t>Available abstract (not full text):</w:t>
      </w:r>
      <w:r>
        <w:t xml:space="preserve"> Recent trade disruptions have guided companies to adapt their sourcing strategies. This is because disruptions can have a significant influence on a company’s profitability. Growing tensions between countries, trade wars, and the resulting tariffs have forced companies to evaluate their sourcing. This has become increasingly topical during the US-China trade war that saw the US raise the import tariffs on many sectors, especially towards China. Previous literature examines trade disruptions and tariff adjustments, but limited research has been carried out on factors affecting these adjustments or on European companies, rather than companies from the US or China. Therefore, this study aims to fill this research gap by answering the research question of how companies are adjusting their sourcing strategies in the battery and energy storage industry in relation to the US import tariffs. The methodology chosen for this research was a qualitative case study using an abductive thematic approach. A qualitative approach is well suited to answering “how” questions and to finding new insights of the topic from the perspective of the participants. A case study allows for the study of the current phenomenon in its real-life context. The case in this thesis is the battery and energy storage industry during the US import tariffs, especially on China. The data is collected through semi-struct</w:t>
      </w:r>
    </w:p>
    <w:p>
      <w:pPr/>
      <w:r>
        <w:rPr>
          <w:b/>
        </w:rPr>
        <w:t>POSSIBLE 2025:</w:t>
      </w:r>
      <w:r>
        <w:t xml:space="preserve"> Lithium import demand and electric vehicle market growth in Europe: Perspectives on economic policy uncertainty and geopolitical turbulence — https://doi.org/10.1016/j.tranpol.2025.103905</w:t>
      </w:r>
    </w:p>
    <w:p>
      <w:pPr/>
      <w:r>
        <w:rPr>
          <w:b/>
        </w:rPr>
        <w:t>Shared claim-specific concepts:</w:t>
      </w:r>
      <w:r>
        <w:t xml:space="preserve"> further, imports, lower, need; EU scope visible. This is a provisional connection, not an outcome finding.</w:t>
      </w:r>
    </w:p>
    <w:p>
      <w:pPr>
        <w:pStyle w:val="SourceNote"/>
      </w:pPr>
      <w:r>
        <w:rPr>
          <w:b/>
        </w:rPr>
        <w:t>Available abstract (not full text):</w:t>
      </w:r>
      <w:r>
        <w:t xml:space="preserve"> Electromobility plays a pivotal role in enhancing sustainability within the global transportation sector, with a significant reliance on lithium-ion batteries for the operation of electric vehicles (EVs). The concentration of lithium resources and the challenges posed by geopolitical turbulence and fluctuating economic policies are major concerns affecting the smooth trade of lithium. This study investigates the dynamics between EV market growth in 25 European countries and the import demand for lithium, considering factors such as lithium price, geopolitical unrest, and economic policy uncertainties. Utilizing quarterly data from 2013q1 to 2023q1, we employ the quantiles via moments (QvM) method to examine the relationship between the variables within the spectrum of cross-sectional heterogeneity. Our findings confirm that the expansion of the EV market significantly increases lithium import demands within Europe across all quantiles (q.15-q.95). The adverse impact of lithium price on its import demand, observed from lower to higher quantiles, validates the Marshallian demand proposition. More importantly, the demand for lithium imports is further impeded by the interactive effects of lithium price, economic policy uncertainty, and lithium price-geopolitical tensions. Our findings remain robust across the linear models with multi-way fixed effects (ML-FE) and IV regression tec</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further, lower, need,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2025:</w:t>
      </w:r>
      <w:r>
        <w:t xml:space="preserve"> Determinants of critical raw material imports: The case of the European Union and China — https://doi.org/10.1007/s13563-025-00528-4</w:t>
      </w:r>
    </w:p>
    <w:p>
      <w:pPr/>
      <w:r>
        <w:rPr>
          <w:b/>
        </w:rPr>
        <w:t>Shared claim-specific concepts:</w:t>
      </w:r>
      <w:r>
        <w:t xml:space="preserve"> imports, outside, materials, climate, positive; EU scope visible. This is a provisional connection, not an outcome finding.</w:t>
      </w:r>
    </w:p>
    <w:p>
      <w:pPr>
        <w:pStyle w:val="SourceNote"/>
      </w:pPr>
      <w:r>
        <w:rPr>
          <w:b/>
        </w:rPr>
        <w:t>Available abstract (not full text):</w:t>
      </w:r>
      <w:r>
        <w:t xml:space="preserve"> Abstract In 2019, the European Union (EU) launched a growth strategy called the Green Deal with the aim to reach climate neutrality by 2050. Green transformation assumes using new technologies, such as li-ion batteries, fuel cells, etc., which are dependent on industrial raw materials. As the occurrence of these mineral resources is limited in the EU, the EU must import them. The literature has focused especially on the issue of the so-called critical raw materials (CRMs). Although their definition and lists differ, they have a similar character. In the EU, the list of CRMs includes 34 high-tech minerals, and it has been confirmed by several studies that many of them are imported from China. Although the EU announced limiting its dependence on raw materials from outside countries, the EU will never be self-sufficient in raw materials. Based on this, we focus on the determinants of the growth of imports of CRMs from China. Using data from 2000–2023, besides the growth of the EU gross domestic product (GDP) and the growth of the share of industry in the EU’s GDP, we find that the increase of the share of CRMs in China’s total exports will have a positive impact on the growth of the EU’s imports of CRMs from China. For the sake of ensuring its supply of strategic resources, we propose that the EU should sign a preferential trade and investment agreement with China.</w:t>
      </w:r>
    </w:p>
    <w:p>
      <w:pPr/>
      <w:r>
        <w:rPr>
          <w:b/>
        </w:rPr>
        <w:t>POSSIBLE 2024:</w:t>
      </w:r>
      <w:r>
        <w:t xml:space="preserve"> Import Dynamics in the Central and Eastern European Countries — https://doi.org/10.57017/jaes.v19.2(84).04</w:t>
      </w:r>
    </w:p>
    <w:p>
      <w:pPr/>
      <w:r>
        <w:rPr>
          <w:b/>
        </w:rPr>
        <w:t>Shared claim-specific concepts:</w:t>
      </w:r>
      <w:r>
        <w:t xml:space="preserve"> further, imports, international, positive; EU scope visible. This is a provisional connection, not an outcome finding.</w:t>
      </w:r>
    </w:p>
    <w:p>
      <w:pPr>
        <w:pStyle w:val="SourceNote"/>
      </w:pPr>
      <w:r>
        <w:rPr>
          <w:b/>
        </w:rPr>
        <w:t>Available abstract (not full text):</w:t>
      </w:r>
      <w:r>
        <w:t xml:space="preserve"> The dynamics of imports in Central and Eastern European countries are closely related to foreign direct investment and government policies. By reducing tariff and non-tariff barriers to imports and promoting trade and investment liberalization, governments can attract foreign capital and diversify the range of products and services available in the host economy. This interconnection between imports and foreign direct investment can have a positive impact on economic development and global integration, depending on national strategies and policies. The article examines the dynamics of imports in Central and Eastern European countries in relation to foreign direct investment and government policies and aims to identify trends, import differences, and adjustments made by each country to improve their economic development. The research highlights the ongoing evolution of international trade in the region and advocates for a strategic approach to trade and economic policy for economic expansion and resilience to external shocks.© 2024 The Author(s). This article is distributed under the terms of the license CC-BY 4.0., which permits any further distribution in any medium, provided the original work is properly cited.</w:t>
      </w:r>
    </w:p>
    <w:p>
      <w:pPr/>
      <w:r>
        <w:rPr>
          <w:b/>
        </w:rPr>
        <w:t>POSSIBLE 2024:</w:t>
      </w:r>
      <w:r>
        <w:t xml:space="preserve"> THE INFLUENCE OF GDP ON THE FOREIGN TRADE OF BOSNIA AND HERZEGOVINA WITH A FOCUS ON THE EXCHANGE OF GOODS WITH THE COUNTRIES OF THE EUROPEAN UNION — https://doi.org/10.7251/emc2402638m</w:t>
      </w:r>
    </w:p>
    <w:p>
      <w:pPr/>
      <w:r>
        <w:rPr>
          <w:b/>
        </w:rPr>
        <w:t>Shared claim-specific concepts:</w:t>
      </w:r>
      <w:r>
        <w:t xml:space="preserve"> further, imports, positive; EU scope visible. This is a provisional connection, not an outcome finding.</w:t>
      </w:r>
    </w:p>
    <w:p>
      <w:pPr>
        <w:pStyle w:val="SourceNote"/>
      </w:pPr>
      <w:r>
        <w:rPr>
          <w:b/>
        </w:rPr>
        <w:t>Available abstract (not full text):</w:t>
      </w:r>
      <w:r>
        <w:t xml:space="preserve"> Bosnia and Herzegovina is a country in transition with an economy that imports more than it exports, but the importance of exports is crucial for sustainable economic growth. This paper investigates the impact of the gross domestic product (GDP) on the foreign trade of Bosnia and Herzegovina, focusing on the exchange of goods with the countries of the European Union. The analysis covers the period from 2009 to the end of 2022 to look at long-term trends. The main goal of the research is to determine the existence of a statistically significant influence of GDP on the exports and imports of the country. Using the t-test, the value of exports/imports between the countries of the European Union and other countries is also analyzed. Firstly, an analysis of macroeconomic trends was conducted, which is crucial for understanding the economic situation in BiH. Monitoring the trends of GDP, imports, and exports provides insights into the country’s economic activity. GDP trends reflect economic growth or recession, while the analysis of imports and exports provides information on trade activities. From 2009 to the end of 2022, the GDP of BiH mostly showed a rising trend, with exceptions such as in 2012. The GDP growth rate varied during the analyzed period, with the lowest values during the years of the global financial crisis and the Covid-19 pandemic, and the highest in 2021. Imports a</w:t>
      </w:r>
    </w:p>
    <w:p>
      <w:pPr/>
      <w:r>
        <w:rPr>
          <w:b/>
        </w:rPr>
        <w:t>POSSIBLE 2024:</w:t>
      </w:r>
      <w:r>
        <w:t xml:space="preserve"> Import dependence of the European organic market and the role of Ukrainian exports — https://doi.org/10.3846/tede.2024.22840</w:t>
      </w:r>
    </w:p>
    <w:p>
      <w:pPr/>
      <w:r>
        <w:rPr>
          <w:b/>
        </w:rPr>
        <w:t>Shared claim-specific concepts:</w:t>
      </w:r>
      <w:r>
        <w:t xml:space="preserve"> further, imports, materials; EU scope visible. This is a provisional connection, not an outcome finding.</w:t>
      </w:r>
    </w:p>
    <w:p>
      <w:pPr>
        <w:pStyle w:val="SourceNote"/>
      </w:pPr>
      <w:r>
        <w:rPr>
          <w:b/>
        </w:rPr>
        <w:t>Available abstract (not full text):</w:t>
      </w:r>
      <w:r>
        <w:t xml:space="preserve"> The European market for organic products has been expanding, with a persistent difference between the growth rates of organic retail trade (actual demand for organic products) and the growth rates of organic agricultural land areas (potential supply of organic products). This makes the European Union (EU) dependent on global imports. This research focuses on the import of organic products from Ukraine. To understand the underlying factors of the EU-27 countries’ import dependence on Ukrainian exports, this article proposes the following: 1) an analysis of Ukraine’s contribution to the total import volume to EU-27 countries by categories of organic products that have the most significant share in overall imports from Ukraine (these categories include: cereals, other than wheat and rice; soybeans; wheat; oilseeds, other than soybeans); 2) a study of the general trends of the European organic market’s import dependence on imports from Ukraine by the categories with the highest contribution; 3) clustering of the EU-27 countries based on organic market indicators; 4) an analysis of the European organic market using Ukrainian imports as an example. Ukrainian imports do not threaten the domestic European market; instead, countries with the highest level of dependence can use Ukrainian organic raw materials for processing and further re-export.</w:t>
      </w:r>
    </w:p>
    <w:p>
      <w:pPr>
        <w:pStyle w:val="Heading2"/>
      </w:pPr>
      <w:r>
        <w:t>577. Burden of pancreatic cancer along with attributable risk factors in Europe between 1990 and 2019, and projections until 2039</w:t>
      </w:r>
    </w:p>
    <w:p>
      <w:pPr>
        <w:pStyle w:val="SourceNote"/>
      </w:pPr>
      <w:r>
        <w:rPr>
          <w:b/>
        </w:rPr>
        <w:t>Original source (2021):</w:t>
      </w:r>
      <w:r>
        <w:t xml:space="preserve"> https://doi.org/10.1002/ijc.33617</w:t>
      </w:r>
    </w:p>
    <w:p>
      <w:pPr/>
      <w:r>
        <w:t>Original wording (abstract; indexed_source_text_not_full_document_verified): Here, we obtained data from the Global Burden of Disease (GBD) Study between 1990 and 2019, to model how pancreatic cancer will affect the 27 countries of the European Union (EU) plus the United Kingdom (the pre-Brexit EU-28) until 2039 by conducting the Bayesian age-period-cohort analysis. In conclusion, a substantial increase in counts of incidence, mortality and DALYs lost of pancreatic cancer in the EU-28 is projected over the next two decades, which indicates the need for future health policies and interventions.</w:t>
      </w:r>
    </w:p>
    <w:p>
      <w:pPr/>
      <w:r>
        <w:rPr>
          <w:b/>
        </w:rPr>
        <w:t>POSSIBLE 2026:</w:t>
      </w:r>
      <w:r>
        <w:t xml:space="preserve"> Data on the uptake of Integrated Pest Management (IPM) practices in European agriculture — https://doi.org/10.1016/j.dib.2026.113075</w:t>
      </w:r>
    </w:p>
    <w:p>
      <w:pPr/>
      <w:r>
        <w:rPr>
          <w:b/>
        </w:rPr>
        <w:t>Shared claim-specific concepts:</w:t>
      </w:r>
      <w:r>
        <w:t xml:space="preserve"> here, obtained, data, countries; EU scope visible. This is a provisional connection, not an outcome finding.</w:t>
      </w:r>
    </w:p>
    <w:p>
      <w:pPr>
        <w:pStyle w:val="SourceNote"/>
      </w:pPr>
      <w:r>
        <w:rPr>
          <w:b/>
        </w:rPr>
        <w:t>Available abstract (not full text):</w:t>
      </w:r>
      <w:r>
        <w:t xml:space="preserve"> We here present data collected in a large-scale survey from 25 National Crop Clusters (NCCs) across 10 European countries (Denmark, Germany, Italy, the Netherlands, Belgium, Poland, Romania, Spain, Switzerland, and Greece), comprising 8 different crops (grapes, olives, apples, strawberries, wheat, maize, potatoes, and onions). Each National Crop Cluster represents a crop-specific network in one country, which includes farmers growing a specific crop and other relevant actors in its production environment and supply chain. The National Crop Clusters have been selected to represent a diversity of regions, crops, farm types, sectors and system representatives of European agriculture. They cover a broad geographical spread in different climatic zones, making them suitable for studying Integrated Pest Management (IPM) techniques, barriers, and opportunities in various food sectors. In total, 4,684 complete responses were obtained from the farmers, using an online survey in country-specific languages in 2024. The survey focuses on decisions regarding the adoption of IPM practices and low-pesticide use. The survey data contains information on farmers current and future use of IPM measures, as well as their perceived effectiveness. The dataset further provides comprehensive information on farm and farmer characteristics, farmers' preferences and attitudes toward IPM, their sources of i</w:t>
      </w:r>
    </w:p>
    <w:p>
      <w:pPr/>
      <w:r>
        <w:rPr>
          <w:b/>
        </w:rPr>
        <w:t>POSSIBLE 2025:</w:t>
      </w:r>
      <w:r>
        <w:t xml:space="preserve"> Biological data derived from European weather radars — https://doi.org/10.1038/s41597-025-04641-5</w:t>
      </w:r>
    </w:p>
    <w:p>
      <w:pPr/>
      <w:r>
        <w:rPr>
          <w:b/>
        </w:rPr>
        <w:t>Shared claim-specific concepts:</w:t>
      </w:r>
      <w:r>
        <w:t xml:space="preserve"> here, obtained, data, between, countries; EU scope visible. This is a provisional connection, not an outcome finding.</w:t>
      </w:r>
    </w:p>
    <w:p>
      <w:pPr>
        <w:pStyle w:val="SourceNote"/>
      </w:pPr>
      <w:r>
        <w:rPr>
          <w:b/>
        </w:rPr>
        <w:t>Available abstract (not full text):</w:t>
      </w:r>
      <w:r>
        <w:t xml:space="preserve"> Weather radars detect more than weather, they also continuously register the movements of billions of animals aloft in the lower atmosphere. This makes archived, unfiltered weather radar data a goldmine for biological monitoring purposes, providing coverage of the aerial habitat in a way no other method can. Here we present two datasets of biological data extracted from European weather radar data, obtained through a collaboration with the Operational Programme for the Exchange of Weather Radar Information (OPERA) and three national meteorological services. The datasets were created by processing weather radar data with methods optimized for extracting bird targets, resulting in vertical profiles of biological targets. The datasets collectively cover 141 radar stations in 18 countries, from 2008 to 2023. Data quality and coverage differs between years, countries, and radar stations, so care must be taken when evaluating data for each specific use case. Despite these challenges the datasets are currently the most comprehensive of their kind in Europe and open new avenues in understanding continental scale movements of aerial animals.</w:t>
      </w:r>
    </w:p>
    <w:p>
      <w:pPr/>
      <w:r>
        <w:rPr>
          <w:b/>
        </w:rPr>
        <w:t>POSSIBLE 2025:</w:t>
      </w:r>
      <w:r>
        <w:t xml:space="preserve"> Legal Challenges for the regulation of the European Health Data Space — https://doi.org/10.54103/milanoup.215.c459</w:t>
      </w:r>
    </w:p>
    <w:p>
      <w:pPr/>
      <w:r>
        <w:rPr>
          <w:b/>
        </w:rPr>
        <w:t>Shared claim-specific concepts:</w:t>
      </w:r>
      <w:r>
        <w:t xml:space="preserve"> here, data, between, union; EU scope visible. This is a provisional connection, not an outcome finding.</w:t>
      </w:r>
    </w:p>
    <w:p>
      <w:pPr>
        <w:pStyle w:val="SourceNote"/>
      </w:pPr>
      <w:r>
        <w:rPr>
          <w:b/>
        </w:rPr>
        <w:t>Available abstract (not full text):</w:t>
      </w:r>
      <w:r>
        <w:t xml:space="preserve"> In the present context of the so-called ‘Digital Society’, an important process of legislative reform is taking place inside the European Union. In areas such as the digital transformation of the health sector, these actions have a considerable impact on traditional legal concepts and categories such as privacy or informed consent. This is especially relevant in the realm of health science research in the context of Big Data. The nature of this type of research projects requires a new model of consent, which is called broad consent. The legislator faces the challenge of having to respect, on the one hand, the balance between the possibility of obtaining consent in a simple and feasible way, and on the other, the need to provide data subjects the necessary information and control over their sphere of privacy. Likewise, a formula must be found that protects individuals, but does not unduly hinder progress in biomedical research. This issue requires an assessment from both an ethical and a legal perspective. Here comes into play the role of Research Ethics Committees that is reinforced by these new legislative measures, so that the concept of data ethics is coined. In the drafting of this work, my experience as a member of the Research Ethics Committee of the University of Valencia has been fundamental.</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here, obtained, data;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Assessing the disease burden from air pollution in Europe: Insights from the ETC HE and EEA — https://doi.org/10.1093/eurpub/ckaf161.835</w:t>
      </w:r>
    </w:p>
    <w:p>
      <w:pPr/>
      <w:r>
        <w:rPr>
          <w:b/>
        </w:rPr>
        <w:t>Shared claim-specific concepts:</w:t>
      </w:r>
      <w:r>
        <w:t xml:space="preserve"> here, obtained, data, burden, disease; EU scope visible. This is a provisional connection, not an outcome finding.</w:t>
      </w:r>
    </w:p>
    <w:p>
      <w:pPr>
        <w:pStyle w:val="SourceNote"/>
      </w:pPr>
      <w:r>
        <w:rPr>
          <w:b/>
        </w:rPr>
        <w:t>Available abstract (not full text):</w:t>
      </w:r>
      <w:r>
        <w:t xml:space="preserve"> Abstract Ambient air pollution remains the leading environmental health risk in Europe. According to the European Environment Agency (EEA), 96% of the urban population in the EU was exposed to annual PM2.5 levels exceeding WHO guidelines in 2022. The environmental burden of disease (EBD) method is widely used to assess population health impacts. In collaboration with the European Topic Centre “Human Health and the Environment” (ETC HE), the EEA conducted EBD assessments for PM2.5, nitrogen dioxide (NO2), and ozone. Here we present the disease burden attributable to long-term PM2.5 and NO2 exposure in Europe for the year 2022. Using WHO's EBD framework, cause-specific mortality and morbidity burden was estimated. Nine risk-outcome pairs were selected based on available evidence for causality. Burden indicators included years of life lost (YLL), years lived with disability (YLD), and disability-adjusted life years (DALY). Concentration-response functions were extracted from relevant sources for the risk-outcome pairs, while exposure data (annual mean) were provided by ETC HE partners. Health data (e.g., cause-specific mortality and prevalence) were mainly obtained from Eurostat and the European Health Interview Survey. In 2022, the disease burden attributable to PM2.5 was considerably higher compared to the one due to NO2: 2,703,827 vs. 580,847 DALY. For both pollutants, YLL cont</w:t>
      </w:r>
    </w:p>
    <w:p>
      <w:pPr/>
      <w:r>
        <w:rPr>
          <w:b/>
        </w:rPr>
        <w:t>POSSIBLE 2025:</w:t>
      </w:r>
      <w:r>
        <w:t xml:space="preserve"> Burden of 375 diseases and injuries, risk-attributable burden of 88 risk factors, and healthy life expectancy in 204 countries and territories, including 660 subnational locations, 1990–2023: a systematic analysis for the Global Burden of Disease Study 2023 — https://doi.org/10.1016/s0140-6736(25)01637-x</w:t>
      </w:r>
    </w:p>
    <w:p>
      <w:pPr/>
      <w:r>
        <w:rPr>
          <w:b/>
        </w:rPr>
        <w:t>Shared claim-specific concepts:</w:t>
      </w:r>
      <w:r>
        <w:t xml:space="preserve"> data, burden, disease, gbd, between, countries; EU scope not established. This is a provisional connection, not an outcome finding.</w:t>
      </w:r>
    </w:p>
    <w:p>
      <w:pPr>
        <w:pStyle w:val="SourceNote"/>
      </w:pPr>
      <w:r>
        <w:rPr>
          <w:b/>
        </w:rPr>
        <w:t>Available abstract (not full text):</w:t>
      </w:r>
      <w:r>
        <w:t xml:space="preserve"> BACKGROUND: For more than three decades, the Global Burden of Diseases, Injuries, and Risk Factors Study (GBD) has provided a framework to quantify health loss due to diseases, injuries, and associated risk factors. This paper presents GBD 2023 findings on disease and injury burden and risk-attributable health loss, offering a global audit of the state of world health to inform public health priorities. This work captures the evolving landscape of health metrics across age groups, sexes, and locations, while reflecting on the remaining post-COVID-19 challenges to achieving our collective global health ambitions. METHODS: The GBD 2023 combined analysis estimated years lived with disability (YLDs), years of life lost (YLLs), and disability-adjusted life-years (DALYs) for 375 diseases and injuries, and risk-attributable burden associated with 88 modifiable risk factors. Of the more than 310 000 total data sources used for all GBD 2023 (about 30% of which were new to this estimation round), more than 120 000 sources were used for estimation of disease and injury burden and 59 000 for risk factor estimation, and included vital registration systems, surveys, disease registries, and published scientific literature. Data were analysed using previously established modelling approaches, such as disease modelling meta-regression version 2.1 (DisMod-MR 2.1) and comparative risk assessment </w:t>
      </w:r>
    </w:p>
    <w:p>
      <w:pPr/>
      <w:r>
        <w:rPr>
          <w:b/>
        </w:rPr>
        <w:t>POSSIBLE 2025:</w:t>
      </w:r>
      <w:r>
        <w:t xml:space="preserve"> Laryngeal Cancer in Europe and Its Subregions: A Temporal Epidemiological Analysis Based on Global Burden of Disease Data — https://doi.org/10.7759/cureus.92077</w:t>
      </w:r>
    </w:p>
    <w:p>
      <w:pPr/>
      <w:r>
        <w:rPr>
          <w:b/>
        </w:rPr>
        <w:t>Shared claim-specific concepts:</w:t>
      </w:r>
      <w:r>
        <w:t xml:space="preserve"> data, burden, disease, gbd, cancer, countries; EU scope visible. This is a provisional connection, not an outcome finding.</w:t>
      </w:r>
    </w:p>
    <w:p>
      <w:pPr>
        <w:pStyle w:val="SourceNote"/>
      </w:pPr>
      <w:r>
        <w:rPr>
          <w:b/>
        </w:rPr>
        <w:t>Available abstract (not full text):</w:t>
      </w:r>
      <w:r>
        <w:t xml:space="preserve"> Introduction Laryngeal cancer remains a significant public health issue in Europe, with considerable variation across countries and regions. Evaluating trends in incidence, mortality, and survival indicators such as the mortality-to-incidence ratio (MIR) may provide insights into disparities and guide policy development. The objective of this study was to conduct a 25-year epidemiological data analysis of age-standardized rates (ASRs) for the incidence and mortality of laryngeal cancer, and to compare the MIRs across European countries and subregions (North, South, East, and West Europe), using data from the Global Burden of Disease (GBD) database. Methods We extracted secondary data on laryngeal cancer from the GBD dataset provided by the Institute for Health Metrics and Evaluation (IHME) for the years 1997 to 2021. ASRs for incidence and mortality, as well as MIRs based on these ASRs, were analyzed. Descriptive statistics (mean, median, standard deviation, minimum-maximum range) and linear regression were performed using Microsoft Excel 365. Results All key indicators showed a downward trend over the 25-year period. The average MIR declined from 0.563 in 1997 to 0.459 in 2021 (R² = 96.26%, p &lt; 0.001). Northern Europe improved from 0.448 to 0.355, while Western Europe consistently reported the lowest MIRs (0.388 to 0.326), likely reflecting improved access to specialized oncol</w:t>
      </w:r>
    </w:p>
    <w:p>
      <w:pPr/>
      <w:r>
        <w:rPr>
          <w:b/>
        </w:rPr>
        <w:t>POSSIBLE 2025:</w:t>
      </w:r>
      <w:r>
        <w:t xml:space="preserve"> Redescription of the rare parasite of European bats, Paralecithodendrium ilei (Digenea: Lecithodendriidae), supplemented with molecular data — https://doi.org/10.31610/zsr/2025.34.2.289</w:t>
      </w:r>
    </w:p>
    <w:p>
      <w:pPr/>
      <w:r>
        <w:rPr>
          <w:b/>
        </w:rPr>
        <w:t>Shared claim-specific concepts:</w:t>
      </w:r>
      <w:r>
        <w:t xml:space="preserve"> here, obtained, data; EU scope visible. This is a provisional connection, not an outcome finding.</w:t>
      </w:r>
    </w:p>
    <w:p>
      <w:pPr>
        <w:pStyle w:val="SourceNote"/>
      </w:pPr>
      <w:r>
        <w:rPr>
          <w:b/>
        </w:rPr>
        <w:t>Available abstract (not full text):</w:t>
      </w:r>
      <w:r>
        <w:t xml:space="preserve"> Paralecithodendrium ilei (Zdzitowiecki, 1969) is a rare parasite of European vespertilionid bats. Identification of this digenean species is difficult due to its high morphological similarity to closely related species. Specimens of P. ilei from the small intestine of the northern bat (Eptesicus nilssonii Schreber, 1774) inhabiting the Zhiguli State Nature Reserve (European Russia) were examined. The aim of this study was to analyse new material on P. ilei using both morphological and molecular phylogenetic approaches. Here, we provide a complete redescription of P. ilei from bats in European Russia, including the first molecular phylogenetic data based on 28S rRNA and cox1 mtDNA sequences. The results obtained confirm that this digenean species is distinct.</w:t>
      </w:r>
    </w:p>
    <w:p>
      <w:pPr/>
      <w:r>
        <w:rPr>
          <w:b/>
        </w:rPr>
        <w:t>POSSIBLE 2024:</w:t>
      </w:r>
      <w:r>
        <w:t xml:space="preserve"> Geodiversity data for Europe — https://doi.org/10.1098/rsta.2023.0173</w:t>
      </w:r>
    </w:p>
    <w:p>
      <w:pPr/>
      <w:r>
        <w:rPr>
          <w:b/>
        </w:rPr>
        <w:t>Shared claim-specific concepts:</w:t>
      </w:r>
      <w:r>
        <w:t xml:space="preserve"> here, data, between; EU scope visible. This is a provisional connection, not an outcome finding.</w:t>
      </w:r>
    </w:p>
    <w:p>
      <w:pPr>
        <w:pStyle w:val="SourceNote"/>
      </w:pPr>
      <w:r>
        <w:rPr>
          <w:b/>
        </w:rPr>
        <w:t>Available abstract (not full text):</w:t>
      </w:r>
      <w:r>
        <w:t xml:space="preserve"> Geodiversity is an essential part of nature's diversity. However, geodiversity is insufficiently understood in terms of its spatial distribution and its relationship to biodiversity over large spatial extents. Here, we present European geodiversity data at resolutions of 1 km and 10 km. We assess terrestrial geodiversity quantitatively as a richness variable (georichness) using a commonly employed grid-based approach. The data incorporate aspects of geological, pedological, geomorphological and hydrological diversity, which are also available as separate richness variables. To evaluate the data, we correlated European georichness with empirically tested national georichness data from Finland, revealing a positive correlation at both 1 km ( r p = 0.37, p &lt; 0.001) and 10 km ( r p = 0.59, p &lt; 0.001) resolutions. We also demonstrate potential uses of the European data by correlating georichness with vascular plant species richness in two contrasting example areas: Finland and Switzerland. The positive correlations between georichness and species richness in Finland ( r p = 0.34, p &lt; 0.001) and Switzerland ( r p = 0.26, p &lt; 0.001) further support the use of our data in geodiversity–biodiversity research. Moreover, there is great potential beyond geodiversity–biodiversity questions, as the data can be exploited across different regions, ecosystems and scales. These geodiversity data </w:t>
      </w:r>
    </w:p>
    <w:p>
      <w:pPr/>
      <w:r>
        <w:rPr>
          <w:b/>
        </w:rPr>
        <w:t>POSSIBLE 2024:</w:t>
      </w:r>
      <w:r>
        <w:t xml:space="preserve"> HANZE v2.1: an improved database of flood impacts in Europe from 1870 to 2020 — https://doi.org/10.5194/essd-16-5145-2024</w:t>
      </w:r>
    </w:p>
    <w:p>
      <w:pPr/>
      <w:r>
        <w:rPr>
          <w:b/>
        </w:rPr>
        <w:t>Shared claim-specific concepts:</w:t>
      </w:r>
      <w:r>
        <w:t xml:space="preserve"> here, obtained, data, between, countries, union;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r>
        <w:rPr>
          <w:b/>
        </w:rPr>
        <w:t>POSSIBLE 2024:</w:t>
      </w:r>
      <w:r>
        <w:t xml:space="preserve"> In temperate Europe, fire is already here: The case of The Netherlands — https://doi.org/10.1007/s13280-023-01960-y</w:t>
      </w:r>
    </w:p>
    <w:p>
      <w:pPr/>
      <w:r>
        <w:rPr>
          <w:b/>
        </w:rPr>
        <w:t>Shared claim-specific concepts:</w:t>
      </w:r>
      <w:r>
        <w:t xml:space="preserve"> here, data, countries;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2024:</w:t>
      </w:r>
      <w:r>
        <w:t xml:space="preserve"> Burden of disease scenarios for 204 countries and territories, 2022–2050: a forecasting analysis for the Global Burden of Disease Study 2021 — https://doi.org/10.1016/s0140-6736(24)00685-8</w:t>
      </w:r>
    </w:p>
    <w:p>
      <w:pPr/>
      <w:r>
        <w:rPr>
          <w:b/>
        </w:rPr>
        <w:t>Shared claim-specific concepts:</w:t>
      </w:r>
      <w:r>
        <w:t xml:space="preserve"> burden, disease, gbd, between, countries; EU scope not established. This is a provisional connection, not an outcome finding.</w:t>
      </w:r>
    </w:p>
    <w:p>
      <w:pPr>
        <w:pStyle w:val="SourceNote"/>
      </w:pPr>
      <w:r>
        <w:rPr>
          <w:b/>
        </w:rPr>
        <w:t>Available abstract (not full text):</w:t>
      </w:r>
      <w:r>
        <w:t xml:space="preserve"> BACKGROUND: Future trends in disease burden and drivers of health are of great interest to policy makers and the public at large. This information can be used for policy and long-term health investment, planning, and prioritisation. We have expanded and improved upon previous forecasts produced as part of the Global Burden of Diseases, Injuries, and Risk Factors Study (GBD) and provide a reference forecast (the most likely future), and alternative scenarios assessing disease burden trajectories if selected sets of risk factors were eliminated from current levels by 2050. METHODS: Using forecasts of major drivers of health such as the Socio-demographic Index (SDI; a composite measure of lag-distributed income per capita, mean years of education, and total fertility under 25 years of age) and the full set of risk factor exposures captured by GBD, we provide cause-specific forecasts of mortality, years of life lost (YLLs), years lived with disability (YLDs), and disability-adjusted life-years (DALYs) by age and sex from 2022 to 2050 for 204 countries and territories, 21 GBD regions, seven super-regions, and the world. All analyses were done at the cause-specific level so that only risk factors deemed causal by the GBD comparative risk assessment influenced future trajectories of mortality for each disease. Cause-specific mortality was modelled using mixed-effects models with SDI a</w:t>
      </w:r>
    </w:p>
    <w:p>
      <w:pPr>
        <w:pStyle w:val="Heading2"/>
      </w:pPr>
      <w:r>
        <w:t>578. COVID-19 and European maritime futures: different pathways to deal with the pandemic</w:t>
      </w:r>
    </w:p>
    <w:p>
      <w:pPr>
        <w:pStyle w:val="SourceNote"/>
      </w:pPr>
      <w:r>
        <w:rPr>
          <w:b/>
        </w:rPr>
        <w:t>Original source (2021):</w:t>
      </w:r>
      <w:r>
        <w:t xml:space="preserve"> https://doi.org/10.1007/s40152-021-00216-3</w:t>
      </w:r>
    </w:p>
    <w:p>
      <w:pPr/>
      <w:r>
        <w:t>Original wording (abstract; indexed_source_text_not_full_document_verified): The maritime futures give insight into the enabling and constraining conditions to deal with the aftermath of the COVID-19 pandemic in specific, and how the maritime futures will affect the sustainable development of maritime sectors in general.</w:t>
      </w:r>
    </w:p>
    <w:p>
      <w:pPr/>
      <w:r>
        <w:rPr>
          <w:b/>
        </w:rPr>
        <w:t>POSSIBLE 2026:</w:t>
      </w:r>
      <w:r>
        <w:t xml:space="preserve"> FACTORS CONSTRAINING OPERATIONAL EFFICIENCY IN MARITIME TRANSPORTATION: A COMPARATIVE ANALYSIS OF QUANTITATIVE DECISION SUPPORT MODELS AND FIELD REALITIES — https://doi.org/10.17753/sosekev.1889137</w:t>
      </w:r>
    </w:p>
    <w:p>
      <w:pPr/>
      <w:r>
        <w:rPr>
          <w:b/>
        </w:rPr>
        <w:t>Shared claim-specific concepts:</w:t>
      </w:r>
      <w:r>
        <w:t xml:space="preserve"> maritime, constraining, conditions; EU scope visible. This is a provisional connection, not an outcome finding.</w:t>
      </w:r>
    </w:p>
    <w:p>
      <w:pPr>
        <w:pStyle w:val="SourceNote"/>
      </w:pPr>
      <w:r>
        <w:rPr>
          <w:b/>
        </w:rPr>
        <w:t>Available abstract (not full text):</w:t>
      </w:r>
      <w:r>
        <w:t xml:space="preserve"> This study aims to identify the key risk factors that constrain operational efficiency in international maritime transport and to conduct a comparative analysis of the performance of the six continents addressed in line with these factors. The research is based on a hybrid research design that combines qualitative field observations with quantitative decision support models. Within the scope of the study, seven key criteria were considered: port congestion, bureaucratic barriers, security/piracy, technical and fuel issues, personnel issues, environmental conditions, and geopolitical risks. Based on these criteria, Europe, North America, South America, Asia, Africa, and Oceania were compared in terms of operational risks. The research working group consisted of three senior ship captains with a cumulative 60 years of sectoral experience. Semi-structured interviews and pairwise comparison matrices were used as data collection tools. In the analysis of the data, the Best-Worst Method (BWM) was applied for criterion weighting and the Simple Additive Weighting (SAW) method was applied for continent ranking, and the findings were validated using the Analytic Hierarchy Process (AHP) and Technique for Order of Preference by Similarity to Ideal Solution (TOPSIS) methods. According to the analysis results, bureaucratic barriers have been identified as the most dominant operational constr</w:t>
      </w:r>
    </w:p>
    <w:p>
      <w:pPr/>
      <w:r>
        <w:rPr>
          <w:b/>
        </w:rPr>
        <w:t>POSSIBLE 2026:</w:t>
      </w:r>
      <w:r>
        <w:t xml:space="preserve"> Collaborative governance in maritime transport: policy arrangements under the European green deal — https://doi.org/10.1007/s40152-026-00504-w</w:t>
      </w:r>
    </w:p>
    <w:p>
      <w:pPr/>
      <w:r>
        <w:rPr>
          <w:b/>
        </w:rPr>
        <w:t>Shared claim-specific concepts:</w:t>
      </w:r>
      <w:r>
        <w:t xml:space="preserve"> maritime, deal, sectors; EU scope visible. This is a provisional connection, not an outcome finding.</w:t>
      </w:r>
    </w:p>
    <w:p>
      <w:pPr>
        <w:pStyle w:val="SourceNote"/>
      </w:pPr>
      <w:r>
        <w:rPr>
          <w:b/>
        </w:rPr>
        <w:t>Available abstract (not full text):</w:t>
      </w:r>
      <w:r>
        <w:t xml:space="preserve"> Abstract This article examines the emergence of collaborative governance within the EU maritime transport sector in response to the European Green Deal (EGD) and its decarbonization agenda. Using a nested case study design, it analyses policy arrangements for shipping and ports, applying a combined analytical framework based on the policy arrangement concept and collaborative governance theory. The findings highlight that while shipping and port sectors have historically operated in siloed arrangements, the EGD has prompted cross-sectoral collaboration through initiatives such as green shipping corridors, alternative fuel infrastructure projects, and stakeholder alliances. Increased collaborative dynamics are evident both within and between these two sectors, fostering trust, alignment, and early joint problem-solving. However, large-scale joint action and fully integrated governance mechanisms remain limited, indicating that the emergent collaborative governance regime is in its formative stage. The study demonstrates how the EGD is reshaping sectoral interactions, providing a foundation for transformative change in maritime transport governance, while highlighting the need for sustained institutionalization, joint investment, and system-level adaptation to realize long-term impact.</w:t>
      </w:r>
    </w:p>
    <w:p>
      <w:pPr/>
      <w:r>
        <w:rPr>
          <w:b/>
        </w:rPr>
        <w:t>POSSIBLE 2026:</w:t>
      </w:r>
      <w:r>
        <w:t xml:space="preserve"> Governing Critical Maritime Infrastructure in the European Union; Path-Dependent Transformation and Institutional Change — https://doi.org/10.1007/s41125-026-00113-y</w:t>
      </w:r>
    </w:p>
    <w:p>
      <w:pPr/>
      <w:r>
        <w:rPr>
          <w:b/>
        </w:rPr>
        <w:t>Shared claim-specific concepts:</w:t>
      </w:r>
      <w:r>
        <w:t xml:space="preserve"> maritime, specific, sectors; EU scope visible. This is a provisional connection, not an outcome finding.</w:t>
      </w:r>
    </w:p>
    <w:p>
      <w:pPr>
        <w:pStyle w:val="SourceNote"/>
      </w:pPr>
      <w:r>
        <w:rPr>
          <w:b/>
        </w:rPr>
        <w:t>Available abstract (not full text):</w:t>
      </w:r>
      <w:r>
        <w:t xml:space="preserve"> Abstract The subsidiarity paradox, in which formal affirmations of national prerogative coexist with factual EU-level centralisation, is a well-documented feature of European security governance. How this paradox unfolds in specific critical infrastructure sectors, however, remains insufficiently understood. This article asks how the EU’s governance of critical maritime infrastructure has transformed across three phases between 2014 and 2025 and to what extent the mechanisms of institutional change documented for crisis governance and the regulatory security state in adjacent sectors account for this trajectory. Drawing on a qualitative content analysis of 21 EU documents, it identifies three governance phases and five ideal-typical governance modes, and demonstrates that external shocks, most decisively the Nord Stream sabotage of 2022, opened windows of opportunity for institutional change. This change proceeded through layering and conversion instead of rupture and confirms the pattern of institutional syncretism observed in adjacent policy fields. The result is a stable coexistence of hierarchical and network-based governance modes whose functional differentiation reflects the jurisdictional reach of EU law. The article extends the meso-level analysis of EU crisis governance to critical maritime infrastructure and specifies the legal mechanism through which subsidiarity and</w:t>
      </w:r>
    </w:p>
    <w:p>
      <w:pPr/>
      <w:r>
        <w:rPr>
          <w:b/>
        </w:rPr>
        <w:t>POSSIBLE 2026:</w:t>
      </w:r>
      <w:r>
        <w:t xml:space="preserve"> Green Hydrogen for Maritime Decarbonization — https://doi.org/10.1002/cnl2.70128</w:t>
      </w:r>
    </w:p>
    <w:p>
      <w:pPr/>
      <w:r>
        <w:rPr>
          <w:b/>
        </w:rPr>
        <w:t>Shared claim-specific concepts:</w:t>
      </w:r>
      <w:r>
        <w:t xml:space="preserve"> maritime, enabling; EU scope not established. This is a provisional connection, not an outcome finding.</w:t>
      </w:r>
    </w:p>
    <w:p>
      <w:pPr>
        <w:pStyle w:val="SourceNote"/>
      </w:pPr>
      <w:r>
        <w:rPr>
          <w:b/>
        </w:rPr>
        <w:t>Available abstract (not full text):</w:t>
      </w:r>
      <w:r>
        <w:t xml:space="preserve"> ABSTRACT In pursuit of global carbon neutrality, maritime shipping with high CO 2 emissions confronts an urgent imperative deep decarbonization. Green hydrogen is a zero‐carbon fuel produced through water electrolysis by renewable energy sources, which is emerging as a promising solution for maritime decarbonization owing to its high energy density and versatile application potential. Here, it provides a systematic overview of the technological feasibility of green hydrogen for maritime shipping, encompassing its current application status and key challenges. It analyzes recent advances in green hydrogen production, storage, transportation, and infrastructure development, while exploring the enabling roles of policy support, technological innovation, and international collaboration. Despite facing substantial barriers in cost, technology, and infrastructure, green hydrogen boasts enormous decarbonization potential and occupies an indispensable strategic position in the global carbon neutrality agenda.</w:t>
      </w:r>
    </w:p>
    <w:p>
      <w:pPr/>
      <w:r>
        <w:rPr>
          <w:b/>
        </w:rPr>
        <w:t>POSSIBLE 2025:</w:t>
      </w:r>
      <w:r>
        <w:t xml:space="preserve"> Employee mobility and corporate carbon footprint: a case study at Gdynia Maritime University — https://doi.org/10.34659/eis.2025.95.4.1159</w:t>
      </w:r>
    </w:p>
    <w:p>
      <w:pPr/>
      <w:r>
        <w:rPr>
          <w:b/>
        </w:rPr>
        <w:t>Shared claim-specific concepts:</w:t>
      </w:r>
      <w:r>
        <w:t xml:space="preserve"> maritime, insight, conditions, sustainable; EU scope visible. This is a provisional connection, not an outcome finding.</w:t>
      </w:r>
    </w:p>
    <w:p>
      <w:pPr>
        <w:pStyle w:val="SourceNote"/>
      </w:pPr>
      <w:r>
        <w:rPr>
          <w:b/>
        </w:rPr>
        <w:t>Available abstract (not full text):</w:t>
      </w:r>
      <w:r>
        <w:t xml:space="preserve"> In the face of the climate crisis, comprehensive actions are being taken on the international and specifically on the European level in order to improve environmental conditions and enhance the resilience of transport and organisational systems. Calculating a carbon footprint is one of the key topics. More and more entities face this challenge: companies, institutions, organisations and, ultimately, cities. The purpose of the paper is to investigate the impact of employee mobility on the enterprise’s carbon footprint. This article gives new insight into creating a mobility plan for an enterprise and its impact on the carbon footprint. A prepared mobility plan can provide the data needed to calculate the carbon footprint of employee travel. The authors conducted a survey among one-third of Gdynia Maritime University (GMU) employees to identify the respondents' transport behaviours and preferences. The collected data enabled the estimation of the transport modal split and indicated the average distance and frequency of a work travel. Furthermore, the carbon footprint was calculated in accordance with the Greenhouse Gas Protocol standard created by the World Resources Institute and the World Business Council for Sustainable Development. Annual carbon dioxide emissions resulting from the travel of all university employees were estimated. The results indicate that drivers of individ</w:t>
      </w:r>
    </w:p>
    <w:p>
      <w:pPr/>
      <w:r>
        <w:rPr>
          <w:b/>
        </w:rPr>
        <w:t>POSSIBLE 2023:</w:t>
      </w:r>
      <w:r>
        <w:t xml:space="preserve"> Inventive Activity for Climate Change Mitigation: An Insight into the Maritime Industry — https://doi.org/10.3390/en16217403</w:t>
      </w:r>
    </w:p>
    <w:p>
      <w:pPr/>
      <w:r>
        <w:rPr>
          <w:b/>
        </w:rPr>
        <w:t>Shared claim-specific concepts:</w:t>
      </w:r>
      <w:r>
        <w:t xml:space="preserve"> maritime, insight; EU scope not established. This is a provisional connection, not an outcome finding.</w:t>
      </w:r>
    </w:p>
    <w:p>
      <w:pPr>
        <w:pStyle w:val="SourceNote"/>
      </w:pPr>
      <w:r>
        <w:rPr>
          <w:b/>
        </w:rPr>
        <w:t>Available abstract (not full text):</w:t>
      </w:r>
      <w:r>
        <w:t xml:space="preserve"> Climate change mitigation is one of the most important challenges facing the modern world. It is necessary to monitor the development of new concepts and technologies and take a stab at identifying disruptive innovations, which have the potential of becoming real climate-friendly game changers. The aim of this paper is to examine the patterns of inventive activity aimed at mitigating climate change in the maritime industry with respect to other transport modes. Appropriate research tools in the area of patent analysis were selected and utilised. A new class of patents related to climate change in maritime transport (CPC-Y02T70/00) was used as a data source. The original value of the study consists of offering a complete picture of the efforts made in patenting activity in climate change mitigation in the maritime transport, with a look at leading applicants and countries, knowledge flows, the most robustly developed and underdeveloped technical fields. A map of technical knowledge flows for climate change mitigation in transport was constructed. The research results show that inventions for the maritime industry are less hermetic than those for air and road transport; however, they are not as much linked with previously developed solutions. The most intensively developed technical fields include the design and construction of watercraft hulls (1) and measures to reduce greenhou</w:t>
      </w:r>
    </w:p>
    <w:p>
      <w:pPr/>
      <w:r>
        <w:rPr>
          <w:b/>
        </w:rPr>
        <w:t>POSSIBLE 2023:</w:t>
      </w:r>
      <w:r>
        <w:t xml:space="preserve"> The ups and downs of maritime spatial planning in Portugal — https://doi.org/10.1016/j.marpol.2023.105984</w:t>
      </w:r>
    </w:p>
    <w:p>
      <w:pPr/>
      <w:r>
        <w:rPr>
          <w:b/>
        </w:rPr>
        <w:t>Shared claim-specific concepts:</w:t>
      </w:r>
      <w:r>
        <w:t xml:space="preserve"> maritime, conditions, sustainable; EU scope visible. This is a provisional connection, not an outcome finding.</w:t>
      </w:r>
    </w:p>
    <w:p>
      <w:pPr>
        <w:pStyle w:val="SourceNote"/>
      </w:pPr>
      <w:r>
        <w:rPr>
          <w:b/>
        </w:rPr>
        <w:t>Available abstract (not full text):</w:t>
      </w:r>
      <w:r>
        <w:t xml:space="preserve"> Directive 2014/89/EU provided a common framework for MSP in Europe, aiming to promote the sustainable development of maritime activities. However, its implementation has been facing various challenges in different Member States. This paper presents the evolution of MSP in Portugal and analyses how the conditions set by the directive have been addressed, particularly in the environmental domain. The analyses are mainly achieved through existing literature and the positions taken by the National Council for Environment and Sustainable Development. Portuguese efforts around MSP started before the approval of the directive and allowed a valuable learning experience. The legal diplomas later adopted provided a framework for developing marine spatial plans with a more comprehensive architecture of the MSP system. While some issues remain in terms of meeting some of the requirements of the directive, operational procedures and assessment of MSP implementation, there are positive aspects highlighted with the entire presentation of the situation of MSP in Portugal so far.</w:t>
      </w:r>
    </w:p>
    <w:p>
      <w:pPr/>
      <w:r>
        <w:rPr>
          <w:b/>
        </w:rPr>
        <w:t>POSSIBLE 2023:</w:t>
      </w:r>
      <w:r>
        <w:t xml:space="preserve"> Applications, Evolutions, and Challenges of Drones in Maritime Transport — https://doi.org/10.3390/jmse11112056</w:t>
      </w:r>
    </w:p>
    <w:p>
      <w:pPr/>
      <w:r>
        <w:rPr>
          <w:b/>
        </w:rPr>
        <w:t>Shared claim-specific concepts:</w:t>
      </w:r>
      <w:r>
        <w:t xml:space="preserve"> maritime, specific; EU scope not established. This is a provisional connection, not an outcome finding.</w:t>
      </w:r>
    </w:p>
    <w:p>
      <w:pPr>
        <w:pStyle w:val="SourceNote"/>
      </w:pPr>
      <w:r>
        <w:rPr>
          <w:b/>
        </w:rPr>
        <w:t>Available abstract (not full text):</w:t>
      </w:r>
      <w:r>
        <w:t xml:space="preserve"> The widespread interest in using drones in maritime transport has rapidly grown alongside the development of unmanned ships and drones. To stimulate growth and address the associated technical challenges, this paper systematically reviews the relevant research progress, classification, applications, technical challenges, and possible solutions related to the use of drones in the maritime sector. The findings provide an overview of the state of the art of the applications of drones in the maritime industry over the past 20 years and identify the existing problems and bottlenecks in this field. A new classification scheme is established based on their flight characteristics to aid in distinguishing drones’ applications in maritime transport. Further, this paper discusses the specific use cases and technical aspects of drones in maritime rescue, safety, navigation, environment, communication, and other aspects, providing in-depth guidance on the future development of different mainstream applications. Lastly, the challenges facing drones in these applications are identified, and the corresponding solutions are proposed to address them. This research offers pivotal insights and pertinent knowledge beneficial to various entities such as maritime regulatory bodies, shipping firms, academic institutions, and enterprises engaged in drone production. This paper makes new contributions i</w:t>
      </w:r>
    </w:p>
    <w:p>
      <w:pPr/>
      <w:r>
        <w:rPr>
          <w:b/>
        </w:rPr>
        <w:t>POSSIBLE 2022:</w:t>
      </w:r>
      <w:r>
        <w:t xml:space="preserve"> Priorities for the Sustainability of Maritime and Coastal Passenger Transport in Europe — https://openalex.org/W7166957792</w:t>
      </w:r>
    </w:p>
    <w:p>
      <w:pPr/>
      <w:r>
        <w:rPr>
          <w:b/>
        </w:rPr>
        <w:t>Shared claim-specific concepts:</w:t>
      </w:r>
      <w:r>
        <w:t xml:space="preserve"> maritime, sustainable; EU scope visible. This is a provisional connection, not an outcome finding.</w:t>
      </w:r>
    </w:p>
    <w:p>
      <w:pPr>
        <w:pStyle w:val="SourceNote"/>
      </w:pPr>
      <w:r>
        <w:rPr>
          <w:b/>
        </w:rPr>
        <w:t>Available abstract (not full text):</w:t>
      </w:r>
      <w:r>
        <w:t xml:space="preserve"> Maritime transport is both a major source of environmental pollution and a great opportunity for reducing road traffic. Moreover, for some Mediterranean countries, maritime transport offers a way to improve cross-border connectivity. However difficult this may be, improving maritime passenger transport is one way to increase cross-border connectivity and, in some cases, reduce the use of private cars. For this reason, the European Union is pursuing an intensive policy in support of the sustainable development of maritime transport, working on many fronts, including the strengthening of EU legislation on this topic, technical and financial support to reducing emissions from international shipping, investments for the improving of port facilities and infrastructures, involving national governments and regions in the definition of roadmaps and new targets towards 2050. There are many possible directions for improving maritime transport: ship technologies, port management, interchange connectivity, transit planning, and so on. The goal of this book is to collect rigorous contributions about what are currently considered to be the main areas of improvement to be pursued in cross-border maritime passenger transport. The book opens with an overview of EU policies on maritime and coastal transport. In the following chapters, a series of analyses and tools are proposed whose systematic </w:t>
      </w:r>
    </w:p>
    <w:p>
      <w:pPr/>
      <w:r>
        <w:rPr>
          <w:b/>
        </w:rPr>
        <w:t>POSSIBLE 2022:</w:t>
      </w:r>
      <w:r>
        <w:t xml:space="preserve"> The role of Latvia's maritime spatial planning in promoting the European Green Deal — https://doi.org/10.7163/eu21.2022.42.4</w:t>
      </w:r>
    </w:p>
    <w:p>
      <w:pPr/>
      <w:r>
        <w:rPr>
          <w:b/>
        </w:rPr>
        <w:t>Shared claim-specific concepts:</w:t>
      </w:r>
      <w:r>
        <w:t xml:space="preserve"> maritime, insight, deal; EU scope visible. This is a provisional connection, not an outcome finding.</w:t>
      </w:r>
    </w:p>
    <w:p>
      <w:pPr>
        <w:pStyle w:val="SourceNote"/>
      </w:pPr>
      <w:r>
        <w:rPr>
          <w:b/>
        </w:rPr>
        <w:t>Available abstract (not full text):</w:t>
      </w:r>
      <w:r>
        <w:t xml:space="preserve"> In an era of dynamic maritime spatial planning movement development, this paper offers insight into the relationship between Latvia’s national Maritime Spatial Plan 2030 and the European Green Deal. The paper analyses what this might signify concerning the implementation and subsequent assessment of the plan by exploring the role of the maritime spatial plan in Latvia’s planning system. Beginning with a brief history of how the national plan came to be, the paper then describes and evaluates the position of the maritime spatial plan within Latvia’s planning framework before examining the connection between the maritime spatial plan and the Green Deal, identifying contact points. This paper offers a starting framework for studying how closely maritime spatial planning is related to and capable of supporting ─ or at the very least taking into account ─ the goals of the Green Deal. The conclusion is that implementation of maritime spatial planning is rooted in the state planning system, the interconnection among policy documents, and the specifics of the maritime spatial plan itself.</w:t>
      </w:r>
    </w:p>
    <w:p>
      <w:pPr>
        <w:pStyle w:val="Heading2"/>
      </w:pPr>
      <w:r>
        <w:t>579. CROATIAN RURAL FUTURES IN 2030: FOUR ALTERNATIVE SCENARIOS FOR POSTSOCIALIST COUNTRYSIDE IN THE NEWEST E.U. MEMBER STATE</w:t>
      </w:r>
    </w:p>
    <w:p>
      <w:pPr>
        <w:pStyle w:val="SourceNote"/>
      </w:pPr>
      <w:r>
        <w:rPr>
          <w:b/>
        </w:rPr>
        <w:t>Original source (2021):</w:t>
      </w:r>
      <w:r>
        <w:t xml:space="preserve"> https://doi.org/10.1080/00167428.2020.1871298</w:t>
      </w:r>
    </w:p>
    <w:p>
      <w:pPr/>
      <w:r>
        <w:t>Original wording (abstract; indexed_source_text_not_full_document_verified): The aim of this research is to construct alternative scenarios for rural Croatia in 2030, acknowledging its postsocialist transition as an important framework. Four scenarios were developed: Rural Renaissance, Shift, Road to Nowhere, and Growth without Development.</w:t>
      </w:r>
    </w:p>
    <w:p>
      <w:pPr/>
      <w:r>
        <w:rPr>
          <w:b/>
        </w:rPr>
        <w:t>POSSIBLE 2026:</w:t>
      </w:r>
      <w:r>
        <w:t xml:space="preserve"> Alternative Investment Funds: Regulation in European Union Law and Prospects for Implementation in Ukraine — https://doi.org/10.31359/1993-0909.2026.33.3.386</w:t>
      </w:r>
    </w:p>
    <w:p>
      <w:pPr/>
      <w:r>
        <w:rPr>
          <w:b/>
        </w:rPr>
        <w:t>Shared claim-specific concepts:</w:t>
      </w:r>
      <w:r>
        <w:t xml:space="preserve"> aim, construct, alternative, framework; EU scope visible. This is a provisional connection, not an outcome finding.</w:t>
      </w:r>
    </w:p>
    <w:p>
      <w:pPr>
        <w:pStyle w:val="SourceNote"/>
      </w:pPr>
      <w:r>
        <w:rPr>
          <w:b/>
        </w:rPr>
        <w:t>Available abstract (not full text):</w:t>
      </w:r>
      <w:r>
        <w:t xml:space="preserve"> The legal regulation of collective investment undertakings is one of the key areas of adaptation of Ukrainian financial legislation to the law of the European Union. Despite Ukraine’s European integration course, national legislation has not yet introduced the category of alternative investment funds as an independent legal construct, which creates a systemic gap between the domestic collective investment undertakings model and the regulatory architecture of EU law. The aim of this article is to carry out a comparative legal analysis of the legal nature of alternative investment funds under EU law and collective investment undertakings under Ukrainian legislation, to determine their functional relationship, and to substantiate approaches to implementing the alternative investment funds concept into the national legal framework. The methodological basis of the research comprises a system of general scientific and specifically legal methods, including comparative legal, systemic-structural, formal-legal, and teleological methods. The source base comprised Directive 2011/61/EU on Alternative Investment Fund Managers, Directive 2009/65/EU, the Law of Ukraine On Collective Investment Undertakings, relevant subordinate legislation, and doctrinal works of scholars from Ukraine and EU Member States. The study established that AIFMD constructs the AIF through a functional residual defin</w:t>
      </w:r>
    </w:p>
    <w:p>
      <w:pPr/>
      <w:r>
        <w:rPr>
          <w:b/>
        </w:rPr>
        <w:t>POSSIBLE 2026:</w:t>
      </w:r>
      <w:r>
        <w:t xml:space="preserve"> Reliability and Construct Validity of the Short Physical Performance Battery in Croatian Older Adults — https://doi.org/10.3390/geriatrics11020033</w:t>
      </w:r>
    </w:p>
    <w:p>
      <w:pPr/>
      <w:r>
        <w:rPr>
          <w:b/>
        </w:rPr>
        <w:t>Shared claim-specific concepts:</w:t>
      </w:r>
      <w:r>
        <w:t xml:space="preserve"> construct, croatia, important; EU scope visible. This is a provisional connection, not an outcome finding.</w:t>
      </w:r>
    </w:p>
    <w:p>
      <w:pPr>
        <w:pStyle w:val="SourceNote"/>
      </w:pPr>
      <w:r>
        <w:rPr>
          <w:b/>
        </w:rPr>
        <w:t>Available abstract (not full text):</w:t>
      </w:r>
      <w:r>
        <w:t xml:space="preserve"> Background: Population aging represents a major public health challenge, accompanied by an increasing prevalence of chronic diseases and age-related functional decline. Declines in lower-extremity physical function are particularly important, as they are strongly associated with mobility limitations, loss of independence, increased risk of falls, hospitalization, and mortality in older adults. Reliable and valid tools to assess physical performance are therefore essential in both clinical and research settings. The Short Physical Performance Battery (SPPB) is a widely used instrument for assessing lower-extremity physical performance in older adults and is recommended within the diagnostic algorithm of the European Working Group on Sarcopenia in Older People (EWGSOP2) for evaluating physical performance severity. However, the SPPB has not yet been psychometrically validated in the Croatian older population. This study aimed to evaluate the reliability and validity of the SPPB in Croatian older adults. Methods: This study examined the metric properties of the SPPB in a sample of 153 older adults recruited from nursing homes and community settings. Results: The SPPB demonstrated acceptable internal consistency (Cronbach’s alpha = 0.74) and good test–retest reliability (ICC = 0.893) for the total score. Convergent and construct validity were supported by significant associations w</w:t>
      </w:r>
    </w:p>
    <w:p>
      <w:pPr/>
      <w:r>
        <w:rPr>
          <w:b/>
        </w:rPr>
        <w:t>POSSIBLE 2025:</w:t>
      </w:r>
      <w:r>
        <w:t xml:space="preserve"> Right-wing and left-wing populists in the 2024 European Parliament elections in Germany: an analysis of the success of Alternative for Germany and Sahra Wagenknecht's Alliance — https://doi.org/10.31338/1641-2478pe.3.25.11</w:t>
      </w:r>
    </w:p>
    <w:p>
      <w:pPr/>
      <w:r>
        <w:rPr>
          <w:b/>
        </w:rPr>
        <w:t>Shared claim-specific concepts:</w:t>
      </w:r>
      <w:r>
        <w:t xml:space="preserve"> aim, construct, alternative; EU scope visible. This is a provisional connection, not an outcome finding.</w:t>
      </w:r>
    </w:p>
    <w:p>
      <w:pPr>
        <w:pStyle w:val="SourceNote"/>
      </w:pPr>
      <w:r>
        <w:rPr>
          <w:b/>
        </w:rPr>
        <w:t>Available abstract (not full text):</w:t>
      </w:r>
      <w:r>
        <w:t xml:space="preserve"> The aim of this article is to present the results of the 2024 European Parliament elections in Germany through the prism of support gained by extreme parties: Alternative for Germany and Sahra Wagenknecht's Alliance. The research hypothesis assumes that both parties criticise the European Union (EU), pointing to the need to restore sovereignty and competence to Member States, creating a basis, on which they can build informal agreements and cooperation. The study seeks to answer the question of why populist parties are growing in popularity. The profile of the voters of both analysed parties is also characterised. The author has conducted a comparative analysis of the European programmes of both parties in terms of finding similarities and differences in the promoted vision of a united Europe and the assessment of the processes of deepening and broadening integration. The analysis demonstrates that, despite their ideological differences, the analysed parties are united by their criticism of mainstream parties, their pro-Russian stance and their critical approach to the European Union, particularly in the areas of migration, climate and energy policy. The parties present the European Union as a flawed, bureaucratic construct, call for a reduction in the role of supranational institutions, accuse the Union of lacking legitimacy, and categorically demand that powers be restored to</w:t>
      </w:r>
    </w:p>
    <w:p>
      <w:pPr/>
      <w:r>
        <w:rPr>
          <w:b/>
        </w:rPr>
        <w:t>POSSIBLE 2025:</w:t>
      </w:r>
      <w:r>
        <w:t xml:space="preserve"> Emotional Practices in the Process of (Re) Constructing Diaspora Identity – Croats in New Zealand — https://doi.org/10.11567/met.2025.2</w:t>
      </w:r>
    </w:p>
    <w:p>
      <w:pPr/>
      <w:r>
        <w:rPr>
          <w:b/>
        </w:rPr>
        <w:t>Shared claim-specific concepts:</w:t>
      </w:r>
      <w:r>
        <w:t xml:space="preserve"> aim, framework; EU scope not established. This is a provisional connection, not an outcome finding.</w:t>
      </w:r>
    </w:p>
    <w:p>
      <w:pPr>
        <w:pStyle w:val="SourceNote"/>
      </w:pPr>
      <w:r>
        <w:rPr>
          <w:b/>
        </w:rPr>
        <w:t>Available abstract (not full text):</w:t>
      </w:r>
      <w:r>
        <w:t xml:space="preserve"> The history of Croats in New Zealand dates back to the 19th century. Geographical distance and weaker ties to the country of origin have resulted in unique patterns of this diaspora’s social development. It is marked by an intensified process of assimilation into New Zealand society, while a significant part of the community, in terms of origin, primarily highlights a regional Dalmatian identity over a national Croatian one, given that the vast majority of immigrants originate from Central Dalmatia. The aim of this study is to analyse the development of this diaspora from the perspective of emotions as a foundation for its formation. The focus will be on Auckland, where the largest community of settlers and their descendants was established. To achieve the primary goal of the study, ten archived interviews, conducted using oral history methods with New Zealanders of Croatian descent, will be interpreted. These interviews are held in New Zealand libraries. Special emphasis will be placed on the methodological challenges of analysing this type of source. Within the established theoretical framework, the collective and individual activities of diaspora members are recognised as the emotional foundation upon which both individual and group identities are (re)constructed. The process of (re)constructing their identity was based on daily activities, particularly in areas of the city </w:t>
      </w:r>
    </w:p>
    <w:p>
      <w:pPr/>
      <w:r>
        <w:rPr>
          <w:b/>
        </w:rPr>
        <w:t>POSSIBLE 2025:</w:t>
      </w:r>
      <w:r>
        <w:t xml:space="preserve"> Defining an alternative assessment construct as a rating scale for evaluation of LSP oral presentation — https://doi.org/10.5937/zrpfu2527035p</w:t>
      </w:r>
    </w:p>
    <w:p>
      <w:pPr/>
      <w:r>
        <w:rPr>
          <w:b/>
        </w:rPr>
        <w:t>Shared claim-specific concepts:</w:t>
      </w:r>
      <w:r>
        <w:t xml:space="preserve"> aim, construct, alternative; EU scope not established. This is a provisional connection, not an outcome finding.</w:t>
      </w:r>
    </w:p>
    <w:p>
      <w:pPr>
        <w:pStyle w:val="SourceNote"/>
      </w:pPr>
      <w:r>
        <w:rPr>
          <w:b/>
        </w:rPr>
        <w:t>Available abstract (not full text):</w:t>
      </w:r>
      <w:r>
        <w:t xml:space="preserve"> The subject of the research is grounded on the theoretical analysis of different models of communicative competence in order to develop rating criteria for assessment of oral presentation in language for specific purposes. The aim of the research is defining validity of an alternative form of assessment, such as oral presentation, by defining the construct of assessment in the manner of the standardised testing procedure. More precisely, starting from the students’ performances, i.e. oral presentations in language for specific purposes that need to be evaluated, we analysed theoretical frameworks of communicative competence and specific purpose language ability, as well as speech parameters and public speaking rating scales’ characteristics. This approach was adopted in order to reach an optimal solution for an assessment construct of oral presentation performance. The initial hypothesis posits that it is possible to ensure the a priori validity of alternative assessment by defining the construct and its operalisation through rating criteria. Therefore, we designed a unique rating scale for oral presentation assessment based on the results of the theoretical analysis. Thus, the rating scale for oral presentation assessment is composed of the parameters of linguistic, sociolinguistic, discourse and functional competences as well as on performance strategies and background knowle</w:t>
      </w:r>
    </w:p>
    <w:p>
      <w:pPr/>
      <w:r>
        <w:rPr>
          <w:b/>
        </w:rPr>
        <w:t>POSSIBLE 2025:</w:t>
      </w:r>
      <w:r>
        <w:t xml:space="preserve"> Changes in Complementary and Alternative Medicine (CAM) use from 2014 to 2023: Findings from a cross-national population-based survey in Europe — https://doi.org/10.1007/s10389-025-02494-1</w:t>
      </w:r>
    </w:p>
    <w:p>
      <w:pPr/>
      <w:r>
        <w:rPr>
          <w:b/>
        </w:rPr>
        <w:t>Shared claim-specific concepts:</w:t>
      </w:r>
      <w:r>
        <w:t xml:space="preserve"> aim, alternative, without; EU scope visible. This is a provisional connection, not an outcome finding.</w:t>
      </w:r>
    </w:p>
    <w:p>
      <w:pPr>
        <w:pStyle w:val="SourceNote"/>
      </w:pPr>
      <w:r>
        <w:rPr>
          <w:b/>
        </w:rPr>
        <w:t>Available abstract (not full text):</w:t>
      </w:r>
      <w:r>
        <w:t xml:space="preserve"> Abstract Aim The COVID-19 pandemic has sparked interest in Complementary and Alternative Medicine (CAM), both as a remedy for managing symptoms and in relation to its association with vaccine hesitancy and resistance to public health measures. European cross-national evidence remains sparse. This article provides a comparative analysis of CAM use across European countries between 2014 and 2023. We assess changes in the prevalence of use of different CAM modalities and explore their associations with sociodemographic factors. Subject and methods Analyses used weighted European Social Survey (ESS) data to estimate proportions and logistic regression with robust standard errors, controlling for gender, age, education, income, and country of residence. Results Our findings indicate that overall CAM use in Europe has remained relatively stable during this period, although there were notable differences between countries and between treatment modalities, with some showing increases and others decreases in use. Exclusively relying on CAM without consulting medical professionals remains stable at approximately 8% of CAM users. The typical user profiles of CAM have remained consistent: women, mid-age groups and highly educated people tend to use CAM more than other groups. Conclusion While CAM use may have spiked temporarily during the pandemic, our analysis shows no evidence of a susta</w:t>
      </w:r>
    </w:p>
    <w:p>
      <w:pPr/>
      <w:r>
        <w:rPr>
          <w:b/>
        </w:rPr>
        <w:t>POSSIBLE 2024:</w:t>
      </w:r>
      <w:r>
        <w:t xml:space="preserve"> Container life in post-earthquake Croatia — https://doi.org/10.3167/fcl.2024.100702</w:t>
      </w:r>
    </w:p>
    <w:p>
      <w:pPr/>
      <w:r>
        <w:rPr>
          <w:b/>
        </w:rPr>
        <w:t>Shared claim-specific concepts:</w:t>
      </w:r>
      <w:r>
        <w:t xml:space="preserve"> croatia, acknowledging; EU scope visible. This is a provisional connection, not an outcome finding.</w:t>
      </w:r>
    </w:p>
    <w:p>
      <w:pPr>
        <w:pStyle w:val="SourceNote"/>
      </w:pPr>
      <w:r>
        <w:rPr>
          <w:b/>
        </w:rPr>
        <w:t>Available abstract (not full text):</w:t>
      </w:r>
      <w:r>
        <w:t xml:space="preserve"> Abstract This article focuses on experiences of people in the Banija region and specifically the town of Petrinja, Croatia, after an earthquake hit the area in December 2020. It presents their reflections on being confined to “container homes” in three different situations: living in container settlements on the outskirts of town; spending time in a container shopping center; and finding shelter in containers adjacent to destroyed houses. The study shows that temporary container housing frequently turned into permanent living and working solutions during the three years of post-earthquake reconstruction. It also argues the importance of acknowledging that the sense of isolation in disaster-affected areas and the loss of potential for renovation and development do not merely arise from “container life” but reveal the longer-run “polycrisis” involved.</w:t>
      </w:r>
    </w:p>
    <w:p>
      <w:pPr/>
      <w:r>
        <w:rPr>
          <w:b/>
        </w:rPr>
        <w:t>POSSIBLE 2024:</w:t>
      </w:r>
      <w:r>
        <w:t xml:space="preserve"> India-Middle East-Europe Economic Corridor: A Strategic Energy Alternative — https://doi.org/10.46557/001c.123649</w:t>
      </w:r>
    </w:p>
    <w:p>
      <w:pPr/>
      <w:r>
        <w:rPr>
          <w:b/>
        </w:rPr>
        <w:t>Shared claim-specific concepts:</w:t>
      </w:r>
      <w:r>
        <w:t xml:space="preserve"> alternative, road; EU scope visible. This is a provisional connection, not an outcome finding.</w:t>
      </w:r>
    </w:p>
    <w:p>
      <w:pPr>
        <w:pStyle w:val="SourceNote"/>
      </w:pPr>
      <w:r>
        <w:rPr>
          <w:b/>
        </w:rPr>
        <w:t>Available abstract (not full text):</w:t>
      </w:r>
      <w:r>
        <w:t xml:space="preserve"> The paper examines the strategic inception and the geopolitical significance of the India-Middle East-Europe Economic Corridor within the context of global energy infrastructure development. It posits this corridor as a pivotal countermeasure to the expansionist policy of China’s Belt and Road Initiative (BRI). The study highlights how this corridor not only diversifies energy sources and routes but also reconfigures geopolitical alliances and economic dependencies in Asia and beyond.</w:t>
      </w:r>
    </w:p>
    <w:p>
      <w:pPr/>
      <w:r>
        <w:rPr>
          <w:b/>
        </w:rPr>
        <w:t>POSSIBLE 2023:</w:t>
      </w:r>
      <w:r>
        <w:t xml:space="preserve"> Europe in Law and Literature — https://doi.org/10.1515/9783111075693</w:t>
      </w:r>
    </w:p>
    <w:p>
      <w:pPr/>
      <w:r>
        <w:rPr>
          <w:b/>
        </w:rPr>
        <w:t>Shared claim-specific concepts:</w:t>
      </w:r>
      <w:r>
        <w:t xml:space="preserve"> construct, alternative; EU scope visible. This is a provisional connection, not an outcome finding.</w:t>
      </w:r>
    </w:p>
    <w:p>
      <w:pPr>
        <w:pStyle w:val="SourceNote"/>
      </w:pPr>
      <w:r>
        <w:rPr>
          <w:b/>
        </w:rPr>
        <w:t>Available abstract (not full text):</w:t>
      </w:r>
      <w:r>
        <w:t xml:space="preserve"> Europe is a broad and multifaceted construct, variously understood as a geographical, political, legal, institutional, social, or cultural formation. It is characterized by numerous conflicts and processes of negotiation that have accompanied or sustained the development of normative orders and divergent conceptions of law, both in relation to individual states and to Europe as a whole. The same applies to the field of literature, language, and aesthetics; numerous myths and ideologies have shaped today’s understanding of Europe and still support it today. This volume examines how such processes were legally structured, and literarily addressed, criticized, and complemented. Its interdisciplinary perspective and open and dynamic, both dialogical and dialectical format intends to replicate the fragmented, sometimes conflicting, but always productive mosaic of voices, ideas, and concepts that have constituted and still constitute Europe, whether in the past, present, or future. Instead of resolving any of the complexities and contradictions that frame discussions on law, literature, and Europe, it aims to induce further engagement and confrontations with new and alternative visions of Europe.</w:t>
      </w:r>
    </w:p>
    <w:p>
      <w:pPr/>
      <w:r>
        <w:rPr>
          <w:b/>
        </w:rPr>
        <w:t>POSSIBLE 2023:</w:t>
      </w:r>
      <w:r>
        <w:t xml:space="preserve"> A phenomenological inquiry of building and living in European Earthship homes — https://doi.org/10.1680/jinam.23.00028</w:t>
      </w:r>
    </w:p>
    <w:p>
      <w:pPr/>
      <w:r>
        <w:rPr>
          <w:b/>
        </w:rPr>
        <w:t>Shared claim-specific concepts:</w:t>
      </w:r>
      <w:r>
        <w:t xml:space="preserve"> aim, alternative, shift; EU scope visible. This is a provisional connection, not an outcome finding.</w:t>
      </w:r>
    </w:p>
    <w:p>
      <w:pPr>
        <w:pStyle w:val="SourceNote"/>
      </w:pPr>
      <w:r>
        <w:rPr>
          <w:b/>
        </w:rPr>
        <w:t>Available abstract (not full text):</w:t>
      </w:r>
      <w:r>
        <w:t xml:space="preserve"> Earthships remain a relatively underexplored type of sustainable/alternative home. This is the first study to investigate the personal experiences of constructing and living in European Earthship homes. The aim of this study is to reveal insights into the ‘hands-on’ practical experience of persons who have constructed their own Earthship homes and to gather insights into the collective experience of these dwellers on the realities of living full time in an Earthship home. A phenomenological methodology, using an inductive research approach, was utilised through a qualitative research strategy to solicit insights into the personal experiences of these unique persons. The main themes and sub-themes that emerge from the analysis are that anyone from any background can make the shift to building/living in an Earthship home. However, a mixed skill set and knowledge of building trades, plus physical and emotional prowess, are needed for the long-haul build process, which, together with access to financial means and/or available materials, are critical factors that influence the outcome of the Earthship building. Meanwhile, once constructed, off-grid living in an Earthship home gives dwellers a greater connectivity with the natural world, raises awareness of consumerism and leads to enhanced appreciation of human impacts.</w:t>
      </w:r>
    </w:p>
    <w:p>
      <w:pPr/>
      <w:r>
        <w:rPr>
          <w:b/>
        </w:rPr>
        <w:t>POSSIBLE 2023:</w:t>
      </w:r>
      <w:r>
        <w:t xml:space="preserve"> A decision-support framework to construct climate impact storylines using downward counterfactuals — https://doi.org/10.5194/egusphere-egu23-15450</w:t>
      </w:r>
    </w:p>
    <w:p>
      <w:pPr/>
      <w:r>
        <w:rPr>
          <w:b/>
        </w:rPr>
        <w:t>Shared claim-specific concepts:</w:t>
      </w:r>
      <w:r>
        <w:t xml:space="preserve"> aim, construct, alternative, framework; EU scope visible. This is a provisional connection, not an outcome finding.</w:t>
      </w:r>
    </w:p>
    <w:p>
      <w:pPr>
        <w:pStyle w:val="SourceNote"/>
      </w:pPr>
      <w:r>
        <w:rPr>
          <w:b/>
        </w:rPr>
        <w:t>Available abstract (not full text):</w:t>
      </w:r>
      <w:r>
        <w:t xml:space="preserve"> Managing extreme weather events of unprecedented magnitude is one of the main challenges facing climate risk management and climate adaptation. Because of the unprecedented nature of these events, some authors have questioned the use of probabilistic approaches in this context. As an alternative, they introduced the so-called climate storylines approach. Climate storylines do not aim at predicting system states; rather, their focus is on revealing plausible chains of events whose impact might undermine the performance of the system.Conceptually, climate storylines relate to - but are separate from – downward counterfactual histories. Downward counterfactual histories are plausible alternative realizations of historical events that could have turned to the worse. By constructing downward counterfactual histories in a disaster risk reduction context, some authors showed that many disasters that took societies by surprise could have in fact been anticipated.This talk will introduce a decision-support framework to build climate storylines based on downward counterfactual histories. The framework is event-oriented, it focuses on impact and it is designed to be applied in a participatory fashion. By following the framework, the user first constructs climate storylines based on an iterative analysis of what (combinations of) counterfactuals are deemed critical (i.e., downward). Then, </w:t>
      </w:r>
    </w:p>
    <w:p>
      <w:pPr/>
      <w:r>
        <w:rPr>
          <w:b/>
        </w:rPr>
        <w:t>POSSIBLE 2022:</w:t>
      </w:r>
      <w:r>
        <w:t xml:space="preserve"> Narrating Europe: (Re‐)constructed and Contested Visions of the European Project in Citizens' Discourse — https://doi.org/10.1111/jcms.13364</w:t>
      </w:r>
    </w:p>
    <w:p>
      <w:pPr/>
      <w:r>
        <w:rPr>
          <w:b/>
        </w:rPr>
        <w:t>Shared claim-specific concepts:</w:t>
      </w:r>
      <w:r>
        <w:t xml:space="preserve"> four, developed; EU scope visible. This is a provisional connection, not an outcome finding.</w:t>
      </w:r>
    </w:p>
    <w:p>
      <w:pPr>
        <w:pStyle w:val="SourceNote"/>
      </w:pPr>
      <w:r>
        <w:rPr>
          <w:b/>
        </w:rPr>
        <w:t>Available abstract (not full text):</w:t>
      </w:r>
      <w:r>
        <w:t xml:space="preserve"> Changes in public opinion and civil society over the last decade have shown that citizens, particularly in old EU Member States, have developed more complex attitudes towards European integration. While the European project was previously generally described as a teleological depoliticized project, aiming at building peace and comforting growth, different competing visions of the European project are nowadays acknowledged and surface among the public on occasions, like referendums or treaty negotiations. While EU official narratives are documented by studies on the European institutions or the visions of leaders and parties, their empirical analysis at the citizens' level is still fragmented. Using focus group data in four countries (France, Portugal, Italy and Belgium) and three social groups (21 group interviews), we provide a comparative qualitative answer to how citizens envision European integration. Our results show that, first, official narratives do not fail to reach citizens, but they are also loosened, contested, and do not systematically produce a sense of common belonging. Second, they highlight the importance of socio‐economic contexts, as well as national and personal experience in the re‐appropriation of these narratives.</w:t>
      </w:r>
    </w:p>
    <w:p>
      <w:pPr>
        <w:pStyle w:val="Heading2"/>
      </w:pPr>
      <w:r>
        <w:t>580. Charging the future: Roadmaps and value tensions for mainstreaming prosumerism to 2030 and 2050</w:t>
      </w:r>
    </w:p>
    <w:p>
      <w:pPr>
        <w:pStyle w:val="SourceNote"/>
      </w:pPr>
      <w:r>
        <w:rPr>
          <w:b/>
        </w:rPr>
        <w:t>Original source (2021):</w:t>
      </w:r>
      <w:r>
        <w:t xml:space="preserve"> https://doi.org/10.5281/zenodo.4568679</w:t>
      </w:r>
    </w:p>
    <w:p>
      <w:pPr/>
      <w:r>
        <w:t>Original wording (abstract; indexed_source_text_not_full_document_verified): Third, we highlight three key value tensions which underlie these leverage points, and for which value prioritisations will need to be made.</w:t>
      </w:r>
    </w:p>
    <w:p>
      <w:pPr/>
      <w:r>
        <w:rPr>
          <w:b/>
        </w:rPr>
        <w:t>POSSIBLE 2026:</w:t>
      </w:r>
      <w:r>
        <w:t xml:space="preserve"> Discrimination of two-highlight versus single-highlight phantom echoes by bottlenose dolphins ( Tursiops truncatus ) — https://doi.org/10.1121/10.0043763</w:t>
      </w:r>
    </w:p>
    <w:p>
      <w:pPr/>
      <w:r>
        <w:rPr>
          <w:b/>
        </w:rPr>
        <w:t>Shared claim-specific concepts:</w:t>
      </w:r>
      <w:r>
        <w:t xml:space="preserve"> third, highlight, three; EU scope not established. This is a provisional connection, not an outcome finding.</w:t>
      </w:r>
    </w:p>
    <w:p>
      <w:pPr>
        <w:pStyle w:val="SourceNote"/>
      </w:pPr>
      <w:r>
        <w:rPr>
          <w:b/>
        </w:rPr>
        <w:t>Available abstract (not full text):</w:t>
      </w:r>
      <w:r>
        <w:t xml:space="preserve"> Range resolution defines the ability to discriminate multiple closely spaced surfaces from a single surface and is a fundamental determinant of dolphin biosonar performance. In this study, three bottlenose dolphins were trained to discriminate "phantom" echoes with a single highlight from those with two highlights. The inter-highlight interval of the two-highlight echo was varied to determine the discrimination threshold. Threshold measurements were conducted at echo delays corresponding to simulated target ranges of 2.5-80 m. Discrimination thresholds were 2-3 μs (∼2 mm) for two dolphins with a full-bandwidth of hearing. A third dolphin with high-frequency hearing loss had higher thresholds, between 3 and 5 μs (∼2-4 mm). Thresholds were independent of simulated range, which contrasts with previous reports that the dolphin's accuracy of range determination-as opposed to range resolution-is reduced beyond 10-20 m. Dolphin discriminations in the current study appeared to be based on a spectral cue that consisted of a low-pass filter effect at the highest audible frequencies in the two-highlight echoes. It is unknown if dolphins perceive highlight-dependent spectral interference patterns as a spatial separation of target features along a range axis.</w:t>
      </w:r>
    </w:p>
    <w:p>
      <w:pPr/>
      <w:r>
        <w:rPr>
          <w:b/>
        </w:rPr>
        <w:t>POSSIBLE 2026:</w:t>
      </w:r>
      <w:r>
        <w:t xml:space="preserve"> Tensions and transformation : investigating the dynamic value of digital platforms — https://doi.org/10.82444/warw.33911656</w:t>
      </w:r>
    </w:p>
    <w:p>
      <w:pPr/>
      <w:r>
        <w:rPr>
          <w:b/>
        </w:rPr>
        <w:t>Shared claim-specific concepts:</w:t>
      </w:r>
      <w:r>
        <w:t xml:space="preserve"> third, three, value, tensions; EU scope not established. This is a provisional connection, not an outcome finding.</w:t>
      </w:r>
    </w:p>
    <w:p>
      <w:pPr>
        <w:pStyle w:val="SourceNote"/>
      </w:pPr>
      <w:r>
        <w:rPr>
          <w:b/>
        </w:rPr>
        <w:t>Available abstract (not full text):</w:t>
      </w:r>
      <w:r>
        <w:t xml:space="preserve"> Digital platforms are transforming every industry as they create value distinct from any other digital technology by leveraging complementarity, boundary resources, and network effects. However, the process of value creation and value capture face increasing challenges as a result of the growing involvement of third parties beyond the platform owners’ control and a predominantly narrow focus on economic value across most of the actors, particularly by the platform owners who possess the capability to achieve border impacts. For platforms at different development stages, there should be specific types of value and mechanisms of creating and capturing value corresponding to the conditions, instead of a universal set of definitions, standards, and theories. Therefore, this thesis uses a process-oriented perspective to understand what types of value are created and how value is created and captured at different development stages of digital platforms. The first study examines the early-stage development of a traditional media company within a digital transformation project, where knowledge emerges as the central value pursued for creation and capture. The second study investigates Douyin (known globally as TikTok) during its scaling phase as an established platform, highlighting data as a critical source of capturable value used to address tensions between the platform and its comp</w:t>
      </w:r>
    </w:p>
    <w:p>
      <w:pPr/>
      <w:r>
        <w:rPr>
          <w:b/>
        </w:rPr>
        <w:t>POSSIBLE 2026:</w:t>
      </w:r>
      <w:r>
        <w:t xml:space="preserve"> Navigating Tensions in Digital Transformation: Managerial Action Across Levels — https://doi.org/10.5463/thesis.1701</w:t>
      </w:r>
    </w:p>
    <w:p>
      <w:pPr/>
      <w:r>
        <w:rPr>
          <w:b/>
        </w:rPr>
        <w:t>Shared claim-specific concepts:</w:t>
      </w:r>
      <w:r>
        <w:t xml:space="preserve"> third, three, value, tensions; EU scope not established. This is a provisional connection, not an outcome finding.</w:t>
      </w:r>
    </w:p>
    <w:p>
      <w:pPr>
        <w:pStyle w:val="SourceNote"/>
      </w:pPr>
      <w:r>
        <w:rPr>
          <w:b/>
        </w:rPr>
        <w:t>Available abstract (not full text):</w:t>
      </w:r>
      <w:r>
        <w:t xml:space="preserve"> Digital transformation promises incumbent firms new ways to compete and create value, but the journey there is shadowed with tensions. This dissertation asks: How do managers in incumbent firms navigate tensions when leading digital transformation? Three interconnected studies build the answer. The first, a systematic review of 109 articles, highlights a framework on how managers use paradoxical, convergence, and legitimacy framing to resolve cognitive tensions across sensing, seizing, and transforming. The second, a longitudinal case study of PetCo, distinguishes commensalistic from rivalrous resource tensions in ecosystem diversification, showing how each triggers distinct patterns of distributed leadership, from peer-level coordination among middle managers to coordination across hierarchical levels. The third examines artificial intelligence adoption, uncovering distinct challenges across generative and predictive AI and highlighting middle managers as pivotal actors in scaling AI across three phases. Together, these studies advance a multi-level understanding of digital transformation: one where success depends not only on strategic vision from the top, but on how managers across the hierarchy actively navigate cognitive, resource, and technological tensions in practice.</w:t>
      </w:r>
    </w:p>
    <w:p>
      <w:pPr/>
      <w:r>
        <w:rPr>
          <w:b/>
        </w:rPr>
        <w:t>POSSIBLE 2026:</w:t>
      </w:r>
      <w:r>
        <w:t xml:space="preserve"> A cosmological intercept tension in local distance ladders — https://doi.org/10.48550/arxiv.2610.31181</w:t>
      </w:r>
    </w:p>
    <w:p>
      <w:pPr/>
      <w:r>
        <w:rPr>
          <w:b/>
        </w:rPr>
        <w:t>Shared claim-specific concepts:</w:t>
      </w:r>
      <w:r>
        <w:t xml:space="preserve"> third, highlight, value; EU scope not established. This is a provisional connection, not an outcome finding.</w:t>
      </w:r>
    </w:p>
    <w:p>
      <w:pPr>
        <w:pStyle w:val="SourceNote"/>
      </w:pPr>
      <w:r>
        <w:rPr>
          <w:b/>
        </w:rPr>
        <w:t>Available abstract (not full text):</w:t>
      </w:r>
      <w:r>
        <w:t xml:space="preserve"> The Hubble tension motivates direct tests of the internal consistency of the local distance ladder. We perform forward and backward consistency checks between Type Ia supernovae in Cepheid host galaxies and the Hubble-flow supernova sample using Pantheon+ data. Within flat $Λ$CDM, we impose Planck-CMB priors on one sample, infer the supernova absolute-magnitude calibration, and propagate it to the other sample to recover the Hubble constant, which should match the input value if the second and third rungs of the distance ladder align perfectly. We examine the impact of host-galaxy peculiar velocities using redshift corrections based on the Manticore-Local reconstruction. These corrections shift the recovered $H_0$ from $74.30^{+1.18}_{-1.20}$ to $71.37^{+1.23}_{-1.18}$ $\mathrm{km\,s^{-1}Mpc^{-1}}$ in the forward analysis and from $60.83^{+0.98}_{-0.97}$ to $63.25^{+0.95}_{-0.93}$ $\mathrm{km\,s^{-1}Mpc^{-1}}$ in the backward analysis, bringing both results closer to the input CMB constraint. Comparing the cosmological intercepts of the magnitude-redshift relation inferred from two rungs of the distance ladder before and after peculiar-velocity corrections, we find that the significance of the discrepancy decreases from $6.8σ$ to $3.9σ$ in the forward check and from $7.3σ$ to $4.3σ$ in the backward check. Peculiar-velocity corrections therefore partially alleviate the intercept</w:t>
      </w:r>
    </w:p>
    <w:p>
      <w:pPr/>
      <w:r>
        <w:rPr>
          <w:b/>
        </w:rPr>
        <w:t>POSSIBLE 2026:</w:t>
      </w:r>
      <w:r>
        <w:t xml:space="preserve"> Introduction to the Third Edition — https://doi.org/10.1017/9781009724524.002</w:t>
      </w:r>
    </w:p>
    <w:p>
      <w:pPr/>
      <w:r>
        <w:rPr>
          <w:b/>
        </w:rPr>
        <w:t>Shared claim-specific concepts:</w:t>
      </w:r>
      <w:r>
        <w:t xml:space="preserve"> third, three, key, value; EU scope not established. This is a provisional connection, not an outcome finding.</w:t>
      </w:r>
    </w:p>
    <w:p>
      <w:pPr>
        <w:pStyle w:val="SourceNote"/>
      </w:pPr>
      <w:r>
        <w:rPr>
          <w:b/>
        </w:rPr>
        <w:t>Available abstract (not full text):</w:t>
      </w:r>
      <w:r>
        <w:t xml:space="preserve"> Understanding Modern Warfare has established itself as a leading text in professional military education and undergraduate teaching. This third edition has been revised throughout to reflect dramatic changes during the past decade. Introducing three brand new chapters, this updated volume provides in-depth analysis of the most pertinent issues of the 2020s and beyond, including cyber warfare, information activities, hybrid and grey zone warfare, multi-domain operations and recent conflicts in Ukraine, Gaza, and Syria. It also includes a range of features to maximise its value as a learning tool: a structure designed to guide students through key strategic principles; key questions and annotated reading guides for deeper understanding; text boxes highlighting critical thinkers and operational concepts; and a glossary explaining key terms. Providing debate driven analysis that encourages students to develop a balanced perspective, Understanding Modern Warfare remains essential reading both for officers and for students of international relations more broadly.</w:t>
      </w:r>
    </w:p>
    <w:p>
      <w:pPr/>
      <w:r>
        <w:rPr>
          <w:b/>
        </w:rPr>
        <w:t>POSSIBLE 2026:</w:t>
      </w:r>
      <w:r>
        <w:t xml:space="preserve"> Preface to the Third Edition — https://doi.org/10.1017/9781009724524.001</w:t>
      </w:r>
    </w:p>
    <w:p>
      <w:pPr/>
      <w:r>
        <w:rPr>
          <w:b/>
        </w:rPr>
        <w:t>Shared claim-specific concepts:</w:t>
      </w:r>
      <w:r>
        <w:t xml:space="preserve"> third, three, key, value; EU scope not established. This is a provisional connection, not an outcome finding.</w:t>
      </w:r>
    </w:p>
    <w:p>
      <w:pPr>
        <w:pStyle w:val="SourceNote"/>
      </w:pPr>
      <w:r>
        <w:rPr>
          <w:b/>
        </w:rPr>
        <w:t>Available abstract (not full text):</w:t>
      </w:r>
      <w:r>
        <w:t xml:space="preserve"> Understanding Modern Warfare has established itself as a leading text in professional military education and undergraduate teaching. This third edition has been revised throughout to reflect dramatic changes during the past decade. Introducing three brand new chapters, this updated volume provides in-depth analysis of the most pertinent issues of the 2020s and beyond, including cyber warfare, information activities, hybrid and grey zone warfare, multi-domain operations and recent conflicts in Ukraine, Gaza, and Syria. It also includes a range of features to maximise its value as a learning tool: a structure designed to guide students through key strategic principles; key questions and annotated reading guides for deeper understanding; text boxes highlighting critical thinkers and operational concepts; and a glossary explaining key terms. Providing debate driven analysis that encourages students to develop a balanced perspective, Understanding Modern Warfare remains essential reading both for officers and for students of international relations more broadly.</w:t>
      </w:r>
    </w:p>
    <w:p>
      <w:pPr/>
      <w:r>
        <w:rPr>
          <w:b/>
        </w:rPr>
        <w:t>POSSIBLE 2026:</w:t>
      </w:r>
      <w:r>
        <w:t xml:space="preserve"> Shared experiences of three professionals navigating careers in the Third Space — https://doi.org/10.1080/13603108.2026.2631071</w:t>
      </w:r>
    </w:p>
    <w:p>
      <w:pPr/>
      <w:r>
        <w:rPr>
          <w:b/>
        </w:rPr>
        <w:t>Shared claim-specific concepts:</w:t>
      </w:r>
      <w:r>
        <w:t xml:space="preserve"> third, three, need; EU scope not established. This is a provisional connection, not an outcome finding.</w:t>
      </w:r>
    </w:p>
    <w:p>
      <w:pPr>
        <w:pStyle w:val="SourceNote"/>
      </w:pPr>
      <w:r>
        <w:rPr>
          <w:b/>
        </w:rPr>
        <w:t>Available abstract (not full text):</w:t>
      </w:r>
      <w:r>
        <w:t xml:space="preserve"> Career progression within the Third Space in higher education remains largely informal, with limited structured pathways for advancement. This paper draws on a year-long collaborative autoethnographic reflection by three Technology Enhanced Learning (TEL) practitioners to examine the lived realities of navigating careers in this evolving domain. Anchored in Whitchurch's conceptualisation of Third Space work, we explore the contextual and individualised nature of our trajectories, identifying both emerging competencies and persistent gaps in professional recognition. Our reflections reveal how the underdeveloped professionalisation of Third Space TEL roles affects identity formation, validation, and career sustainability. We critically consider the implications of this informality, particularly the need for clearer frameworks that acknowledge the strategic and pedagogical contributions of these roles. By situating our case within broader literature on Third Space professionalisation, we contribute to ongoing conversations about recognition, legitimacy, and institutional responsibility in creating sustainable and valued career pathways.</w:t>
      </w:r>
    </w:p>
    <w:p>
      <w:pPr/>
      <w:r>
        <w:rPr>
          <w:b/>
        </w:rPr>
        <w:t>POSSIBLE 2026:</w:t>
      </w:r>
      <w:r>
        <w:t xml:space="preserve"> Third-party Casino Servicescape Design Evaluation: Highlighting Architectural Attributes Addressing Health &amp; Wellness — https://openalex.org/W7164623194</w:t>
      </w:r>
    </w:p>
    <w:p>
      <w:pPr/>
      <w:r>
        <w:rPr>
          <w:b/>
        </w:rPr>
        <w:t>Shared claim-specific concepts:</w:t>
      </w:r>
      <w:r>
        <w:t xml:space="preserve"> third, three, key; EU scope not established. This is a provisional connection, not an outcome finding.</w:t>
      </w:r>
    </w:p>
    <w:p>
      <w:pPr>
        <w:pStyle w:val="SourceNote"/>
      </w:pPr>
      <w:r>
        <w:rPr>
          <w:b/>
        </w:rPr>
        <w:t>Available abstract (not full text):</w:t>
      </w:r>
      <w:r>
        <w:t xml:space="preserve"> This study examines three critical components of understanding the casino environment’s impact on human well-being. First, a Delphi study with expert architects’ analysis of design cues establishes that not all casino designs are equal. Casinos are typically analyzed in terms of their profitability, guest satisfaction, visit duration, average spend, etc., or their individual components are separately measured but not assessed in their impact as part of an integrated whole. Their impact on health and wellness is often an afterthought or hardly a consideration at all. This fills a key gap in the existing servicescape literature. Second, AI image generation accelerates discernment of casino design decisions’ relationship to potential guest perception and behavior. As real-world design and construction take time to materialize, simulating innumerable design options provides field experts with the opportunity to illustrate how certain design variables may have more profound effects on health and wellness (e.g. lighting and proportion, color and connection to nature, layout and wayfinding, etc.). Rapidly creating design iterations for visual stimuli in surveys enables more reliable focus-group testing. The third component illustrates that by demonstrating greater control over key design elements and their integration into the comprehensive guest experience, casino architects and deve</w:t>
      </w:r>
    </w:p>
    <w:p>
      <w:pPr/>
      <w:r>
        <w:rPr>
          <w:b/>
        </w:rPr>
        <w:t>POSSIBLE 2025:</w:t>
      </w:r>
      <w:r>
        <w:t xml:space="preserve"> Three-dimensional third medium contact model for hyperelastic contact and pneumatically actuated systems — https://doi.org/10.48550/arxiv.2512.03181</w:t>
      </w:r>
    </w:p>
    <w:p>
      <w:pPr/>
      <w:r>
        <w:rPr>
          <w:b/>
        </w:rPr>
        <w:t>Shared claim-specific concepts:</w:t>
      </w:r>
      <w:r>
        <w:t xml:space="preserve"> third, highlight, need; EU scope not established. This is a provisional connection, not an outcome finding.</w:t>
      </w:r>
    </w:p>
    <w:p>
      <w:pPr>
        <w:pStyle w:val="SourceNote"/>
      </w:pPr>
      <w:r>
        <w:rPr>
          <w:b/>
        </w:rPr>
        <w:t>Available abstract (not full text):</w:t>
      </w:r>
      <w:r>
        <w:t xml:space="preserve"> This work presents a comprehensive three-dimensional third-medium contact framework for modeling complex contact interactions in hyperelastic solids and pneumatically actuated systems. The proposed third-medium formulation embeds a fictitious medium (or third medium) between potentially interacting bodies, enabling a unified and robust treatment of hyperelastic contact and self-contact without the need for discretization of the contact interface. Unlike the widely studied two-dimensional problem, this paper extends the new regularization term given in Reference \cite{TMCWriggers2} to three-dimensional problems and ensures element quality in a third medium. Due to the need for higher-order elements for the regularization term, this paper details the linearization process of this problem within the finite element framework. In addition, pneumatically actuated systems are considered by introducing a pneumatic term to represent pneumatic loading (pressure or suction) and inducing contact caused by internal inflation. This approach is suitable for complex hyperelastic contact and self-contact, and has potential applications in the fields of soft robotics and flexible mechanisms. The framework is developed in a fully three-dimensional setting, making it also suitable for isogeometric methods and meshless methods. Several benchmark and application-level simulations demonstrate the acc</w:t>
      </w:r>
    </w:p>
    <w:p>
      <w:pPr/>
      <w:r>
        <w:rPr>
          <w:b/>
        </w:rPr>
        <w:t>POSSIBLE 2025:</w:t>
      </w:r>
      <w:r>
        <w:t xml:space="preserve"> Global Nomads: Identity and Belonging in Third Culture Kids and Adult Third Culture Kids — https://openalex.org/W7119396443</w:t>
      </w:r>
    </w:p>
    <w:p>
      <w:pPr/>
      <w:r>
        <w:rPr>
          <w:b/>
        </w:rPr>
        <w:t>Shared claim-specific concepts:</w:t>
      </w:r>
      <w:r>
        <w:t xml:space="preserve"> third, highlight, three; EU scope not established. This is a provisional connection, not an outcome finding.</w:t>
      </w:r>
    </w:p>
    <w:p>
      <w:pPr>
        <w:pStyle w:val="SourceNote"/>
      </w:pPr>
      <w:r>
        <w:rPr>
          <w:b/>
        </w:rPr>
        <w:t>Available abstract (not full text):</w:t>
      </w:r>
      <w:r>
        <w:t xml:space="preserve"> This capstone examines the subculture of Third Culture Kids and Adult Third Culture Kids who have experienced living abroad as children. There were two main objectives in this study. First, to understand the perceptions of Adult Third Culture Kids on how their global childhoods have impacted their self-identity and sense of belonging as adults. Secondly, to understand the opinions of Adult Third Culture Kids on transitional programs through their personal experiences with them. The methodology of this capstone included a twelve-question survey distributed to seventeen Adult Third Culture Kids born in six different countries around the world. The questions in the survey focused on two central research questions about self-identity, belonging, and opinions of transitional programs aiding in childhood development. A thematic analysis used Google Highlight to code responses into three themes supported by an accompanying literature review. The findings of this study showed that the perceptions of self-identity and sense of belonging in Adult Third Culture Kids aligned with published literature on the topic. Contrastingly, Adult Third Culture Kids in this study agreed that transitional programs would negatively affect the childhood development of future Third Culture Kids. Having not participated in them during childhood, most concluded that they preferred navigating their childhood </w:t>
      </w:r>
    </w:p>
    <w:p>
      <w:pPr/>
      <w:r>
        <w:rPr>
          <w:b/>
        </w:rPr>
        <w:t>POSSIBLE 2025:</w:t>
      </w:r>
      <w:r>
        <w:t xml:space="preserve"> Values tensions and values tradeoffs in the development of healthcare artificial intelligence technology: a conceptual model of decisions to create trustworthy technology — https://doi.org/10.1080/15534510.2025.2478940</w:t>
      </w:r>
    </w:p>
    <w:p>
      <w:pPr/>
      <w:r>
        <w:rPr>
          <w:b/>
        </w:rPr>
        <w:t>Shared claim-specific concepts:</w:t>
      </w:r>
      <w:r>
        <w:t xml:space="preserve"> highlight, value, tensions, need; EU scope not established. This is a provisional connection, not an outcome finding.</w:t>
      </w:r>
    </w:p>
    <w:p>
      <w:pPr>
        <w:pStyle w:val="SourceNote"/>
      </w:pPr>
      <w:r>
        <w:rPr>
          <w:b/>
        </w:rPr>
        <w:t>Available abstract (not full text):</w:t>
      </w:r>
      <w:r>
        <w:t xml:space="preserve"> Value-action gaps may exist when values are endorsed due to external pressures, from low perceived behavioral control, or when values conflict with community norms or one another. In the context of developing healthcare artificial intelligence (AI), prosocial values like fairness and transparency are particularly important, yet they may clash with an instrumental value for profit. We recruited 185 healthcare AI developers (66.49% male, 58.92% White, Mage = 27.56) to examine facilitators and barriers of value-action congruence. Value endorsement, internalization, attitudes, norms, and message frequency were positively linked to behavioral intention to act in line with one’s values, while low perceived control and value tension were negatively associated with it. Findings highlight the need for organizational cultures that emphasize prosocial values.</w:t>
      </w:r>
    </w:p>
    <w:p>
      <w:pPr/>
      <w:r>
        <w:rPr>
          <w:b/>
        </w:rPr>
        <w:t>POSSIBLE 2025:</w:t>
      </w:r>
      <w:r>
        <w:t xml:space="preserve"> Navigating the tension: Islamic value and digital transformation in Pakistani educational management — https://doi.org/10.22515/attarbawi.v10i2.13017</w:t>
      </w:r>
    </w:p>
    <w:p>
      <w:pPr/>
      <w:r>
        <w:rPr>
          <w:b/>
        </w:rPr>
        <w:t>Shared claim-specific concepts:</w:t>
      </w:r>
      <w:r>
        <w:t xml:space="preserve"> highlight, value, need; EU scope not established. This is a provisional connection, not an outcome finding.</w:t>
      </w:r>
    </w:p>
    <w:p>
      <w:pPr>
        <w:pStyle w:val="SourceNote"/>
      </w:pPr>
      <w:r>
        <w:rPr>
          <w:b/>
        </w:rPr>
        <w:t>Available abstract (not full text):</w:t>
      </w:r>
      <w:r>
        <w:t xml:space="preserve"> This study investigates how educational management is practiced within Islamic institutions by integrating conceptual analysis with qualitative field data from selected madrasas and Islamic universities in Pakistan. Although educational management in Islamic institutions has been widely discussed theoretically, there remains a lack of empirical studies that examine how administrators and teachers actually implement Islamic values in day-to-day management practices, which creates an important gap in the literature. Drawing on qualitative multiple-case study, data were gathered through semi-structured interviews with administrators (n = 12) and teachers (n = 18) and supported by a review of institutional documents. The study explores how values such as amanah, shūrā, and ihsan shape leadership behaviour, curriculum decisions, and responses to digital transformation. Thematic analysis reveals that management processes often rely on traditional authority structures and limited strategic planning, and that digital innovation is acknowledged as important yet constrained by inadequate resources. Participants also expressed the ongoing tension between preserving religious authenticity and meeting modern educational demands. Overall, the findings highlight the need for a professionalized and ethically grounded management model that reflects Islamic principles while responding effectivel</w:t>
      </w:r>
    </w:p>
    <w:p>
      <w:pPr>
        <w:pStyle w:val="Heading2"/>
      </w:pPr>
      <w:r>
        <w:t>581. Conducting pre-foresight research: organizational aspect</w:t>
      </w:r>
    </w:p>
    <w:p>
      <w:pPr>
        <w:pStyle w:val="SourceNote"/>
      </w:pPr>
      <w:r>
        <w:rPr>
          <w:b/>
        </w:rPr>
        <w:t>Original source (2021):</w:t>
      </w:r>
      <w:r>
        <w:t xml:space="preserve"> https://doi.org/10.15407/socium2021.02.026</w:t>
      </w:r>
    </w:p>
    <w:p>
      <w:pPr/>
      <w:r>
        <w:t>Original wording (abstract; indexed_source_text_not_full_document_verified): The purpose of this publication is a detailed study and analysis of the organisation of pre-foresight research in terms of the formation of informational, communicative, and methodological components of the pre-foresight stage, as well as recommendations for measures to improve the effectiveness of national foresight as a tool for long-term development in the country.</w:t>
      </w:r>
    </w:p>
    <w:p>
      <w:pPr/>
      <w:r>
        <w:rPr>
          <w:b/>
        </w:rPr>
        <w:t>POSSIBLE 2026:</w:t>
      </w:r>
      <w:r>
        <w:t xml:space="preserve"> FAIRsharing record for: FAIR Metric - R1.2 - Metadata - Linked Publications — https://doi.org/10.25504/fairsharing.653df6</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This FAIRsharing record describes: R1.2 requires that (meta)data be associated with detailed provenance. The purpose of this principle is to ensure that provenance-related metadata such as the origins, contributors, funding context and related research outputs of a digital object are clearly described, enabling informed reuse and proper attribution. For the purposes of this metric, a qualified reference is defined as a reference in which the metadata explicitly describes the type of relationship between the metadata and the referenced entity. Evaluation under this metric assesses the presence of at least one qualified reference to linked publications: Where a metadata record includes at least one linked publication that explicitly supports the metadata record (rather than just providing context), this constitutes a qualified provenance reference. Where this information is present, at least one declaration is sufficient to pass this metric. The overall level of FAIRness under R1.2 increases as additional provenance dimensions are satisfied; using multiple metrics for R1.2 can help create a detailed picture of reusability.</w:t>
      </w:r>
    </w:p>
    <w:p>
      <w:pPr/>
      <w:r>
        <w:rPr>
          <w:b/>
        </w:rPr>
        <w:t>POSSIBLE 2026:</w:t>
      </w:r>
      <w:r>
        <w:t xml:space="preserve"> Knowledge Management Practice in the Indian Publications Industry with a Case Study of Publications Hub, India — https://doi.org/10.30954/2322-0465.01.2026.14</w:t>
      </w:r>
    </w:p>
    <w:p>
      <w:pPr/>
      <w:r>
        <w:rPr>
          <w:b/>
        </w:rPr>
        <w:t>Shared claim-specific concepts:</w:t>
      </w:r>
      <w:r>
        <w:t xml:space="preserve"> purpose, detailed, well, improve; EU scope not established. This is a provisional connection, not an outcome finding.</w:t>
      </w:r>
    </w:p>
    <w:p>
      <w:pPr>
        <w:pStyle w:val="SourceNote"/>
      </w:pPr>
      <w:r>
        <w:rPr>
          <w:b/>
        </w:rPr>
        <w:t>Available abstract (not full text):</w:t>
      </w:r>
      <w:r>
        <w:t xml:space="preserve"> The global publishing industry in India, which is one of the largest in the world, is going through rapid change as a result of the introduction of Knowledge Management (KM) practices.This case study looks at KM frameworks within academic, trade, and regional publishing, with a focus on digital repositories, the transfer of tacit knowledge, AI-powered editorial tools, and organizational learning.The evidence from the cases points out both the opportunities and the challenges involved, such as the difficulty of handling multiple languages, shortcomings in infrastructure, and resistance to change.The study includes a detailed analysis of Publications Hub in New Delhi, a medium-sized publishing consortium that has incorporated KM frameworks into its editorial and distribution processes.It is concluded that in order to maintain competitiveness and promote innovation in the Indian publishing sector, a strategic adoption of KM, backed by collaborative platforms and new technologies, is essential.Data gathered from 20 publishers that are part of the Hub show that KM practices-such as the use of digital repositories and peer review management systems, as well as the transfer of tacit knowledge via editorial mentorship-greatly improve operational transparency and cut down turnaround times.The case study makes it clear that for the purpose of sustaining innovation and competitiveness in </w:t>
      </w:r>
    </w:p>
    <w:p>
      <w:pPr/>
      <w:r>
        <w:rPr>
          <w:b/>
        </w:rPr>
        <w:t>POSSIBLE 2026:</w:t>
      </w:r>
      <w:r>
        <w:t xml:space="preserve"> Class XII Mathematics: Detailed Step-by-Step Solution Manual — https://doi.org/10.5281/zenodo.23293618</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Mathematics for Class XII: Complete Step-by-Step Solution Manual Author: Abdul Rab ChacharDesignation: Lecturer in MathematicsAffiliation: College Education Department, Government of Sindh, Pakistan This educational solution manual is designed as an independent companion to the Class XII Mathematics textbook prescribed by the Sindh Textbook Board, Jamshoro, Pakistan. The manual aims to provide clear, detailed, step-by-step mathematical solutions to help higher secondary students, teachers, and independent learners develop conceptual understanding, strengthen problem-solving skills, and prepare for examinations. The manual is organized around the twelve units of the prescribed mathematics curriculum, including functions and limits, differential calculus, integration, vector functions, analytic geometry, differential equations, partial differentiation, and introductory numerical methods. Educational Purpose This work is intended for free educational distribution and non-commercial learning. Students and teachers are encouraged to access and share the original, unmodified manual with appropriate attribution, subject to its stated license. Copyright and Attribution Copyright © 2026 Abdul Rab Chachar. This is an independently prepared educational resource and is not an official publication of, or endorsed by, the Sindh Textbook Board. Website: https://abdulrab.github.ioLinkedIn: htt</w:t>
      </w:r>
    </w:p>
    <w:p>
      <w:pPr/>
      <w:r>
        <w:rPr>
          <w:b/>
        </w:rPr>
        <w:t>POSSIBLE 2026:</w:t>
      </w:r>
      <w:r>
        <w:t xml:space="preserve"> Delays in publication of 2026 papers — https://doi.org/10.1002/ovs2.70056</w:t>
      </w:r>
    </w:p>
    <w:p>
      <w:pPr/>
      <w:r>
        <w:rPr>
          <w:b/>
        </w:rPr>
        <w:t>Shared claim-specific concepts:</w:t>
      </w:r>
      <w:r>
        <w:t xml:space="preserve"> purpose, publication, detailed, terms, well, improve; EU scope not established. This is a provisional connection, not an outcome finding.</w:t>
      </w:r>
    </w:p>
    <w:p>
      <w:pPr>
        <w:pStyle w:val="SourceNote"/>
      </w:pPr>
      <w:r>
        <w:rPr>
          <w:b/>
        </w:rPr>
        <w:t>Available abstract (not full text):</w:t>
      </w:r>
      <w:r>
        <w:t xml:space="preserve"> The one major change that was not included in our January 2024, 3-year plan for the journal1 was to change publishers to Wiley.2 The three main advantages we foresaw were a significant reduction in publication times, improved readability of papers, and a route for authors to obtain open access publication of their papers via Wiley agreements with institutions worldwide.2 This means that authors from many universities will get payment for open access publication via their institution and do not need to have grants for this purpose. Having worked with Wiley as editor-in-chief of Ophthalmic &amp; Physiological Optics from 2010 to 2020, I was also aware of their excellent marketing team that helped to improve our communications with authors and reviewers. Wiley also has very well-thought-through processes for dealing with ethical issues and AI. We started the process of choosing a new publisher in 2024 and chose Wiley in early 2025, with a plan to switch in January 2026. Wiley was the only publisher to provide a detailed transition plan. The plan was due to start in July 2025 with the conversion of the backfiles of all Optometry and Visions Science (OVS)'s past issues from Wolters–Kluwer to Wiley. The first difficulty was the amount of time needed for the legal team at the American Academy of Optometry (AAO) to finalize an agreement with Wiley; this delayed the process for several mont</w:t>
      </w:r>
    </w:p>
    <w:p>
      <w:pPr/>
      <w:r>
        <w:rPr>
          <w:b/>
        </w:rPr>
        <w:t>POSSIBLE 2026:</w:t>
      </w:r>
      <w:r>
        <w:t xml:space="preserve"> CGT TECHNICAL DISCLOSURE BULLETIN V1 - Prior Art Publication for Inventions Derived from Conscious Geometry Theory — https://doi.org/10.5281/zenodo.18772630</w:t>
      </w:r>
    </w:p>
    <w:p>
      <w:pPr/>
      <w:r>
        <w:rPr>
          <w:b/>
        </w:rPr>
        <w:t>Shared claim-specific concepts:</w:t>
      </w:r>
      <w:r>
        <w:t xml:space="preserve"> purpose, publication, detailed; EU scope not established. This is a provisional connection, not an outcome finding.</w:t>
      </w:r>
    </w:p>
    <w:p>
      <w:pPr>
        <w:pStyle w:val="SourceNote"/>
      </w:pPr>
      <w:r>
        <w:rPr>
          <w:b/>
        </w:rPr>
        <w:t>Available abstract (not full text):</w:t>
      </w:r>
      <w:r>
        <w:t xml:space="preserve"> This document constitutes a defensive publication and prior art disclosure under the principles of intellectual property law. Its purpose is to place into the public domain detailed technical descriptions of all known and anticipated inventions, methods, systems, devices, and applications derivable from Conscious Geometry Theory (CGT).All inventions described in this document to the public domain for the benefit of humanity under CC-BY-4.0 licence. No patent applications have been filed, are pending, or will be filed by the inventor for any invention described herein.</w:t>
      </w:r>
    </w:p>
    <w:p>
      <w:pPr/>
      <w:r>
        <w:rPr>
          <w:b/>
        </w:rPr>
        <w:t>POSSIBLE 2026:</w:t>
      </w:r>
      <w:r>
        <w:t xml:space="preserve"> Towards Fitness-for-purpose assessment in HealthData@EU — https://doi.org/10.5281/zenodo.20204309</w:t>
      </w:r>
    </w:p>
    <w:p>
      <w:pPr/>
      <w:r>
        <w:rPr>
          <w:b/>
        </w:rPr>
        <w:t>Shared claim-specific concepts:</w:t>
      </w:r>
      <w:r>
        <w:t xml:space="preserve"> purpose, publication, detailed, well, recommendations; EU scope visible. This is a provisional connection, not an outcome finding.</w:t>
      </w:r>
    </w:p>
    <w:p>
      <w:pPr>
        <w:pStyle w:val="SourceNote"/>
      </w:pPr>
      <w:r>
        <w:rPr>
          <w:b/>
        </w:rPr>
        <w:t>Available abstract (not full text):</w:t>
      </w:r>
      <w:r>
        <w:t xml:space="preserve"> Proposal Design of a Fitness‑for‑Purpose (F4P) Mechanism for HealthData@EU Executive Summary This report proposes an initial design for a Fitness‑for‑Purpose (F4P) mechanism within HealthData@EU, aimed at complementing the existing QUANTUM Data Quality, Utility, and Maturity Label. The F4P mechanism introduces a structured way to capture and share Data Users’ assessments of how well datasets meet specific secondary‑use purposes under the European Health Data Space (EHDS). These assessments are intended to enhance transparency, usability, and trust by making real‑world dataset performance visible through Health Data Access Bodies (HDAB) catalogues. At its core, the mechanism enables purpose‑specific scoring of datasets, aligned with EHDS Article 53(1) use cases, including scientific research (e.g., AI training/testing), public health surveillance, policymaking and Health Technology Assessment (HTA), statistics, and education. Evaluations are anchored in QUANTUM’s established data quality dimensions, such as completeness, consistency, and accuracy; while also incorporating qualitative feedback through user comments and optional supporting materials (e.g., reports, code, persistent identifiers). The design defines a post‑use reporting model, requiring feedback submission within EHDS Article 61(4) timelines, while allowing optional early feedback to Data Holders (DHs). Governance i</w:t>
      </w:r>
    </w:p>
    <w:p>
      <w:pPr/>
      <w:r>
        <w:rPr>
          <w:b/>
        </w:rPr>
        <w:t>POSSIBLE 2026:</w:t>
      </w:r>
      <w:r>
        <w:t xml:space="preserve"> Mobile apps for cancer patient education: a technology foresight analysis — https://doi.org/10.1007/s00520-026-11112-z</w:t>
      </w:r>
    </w:p>
    <w:p>
      <w:pPr/>
      <w:r>
        <w:rPr>
          <w:b/>
        </w:rPr>
        <w:t>Shared claim-specific concepts:</w:t>
      </w:r>
      <w:r>
        <w:t xml:space="preserve"> purpose, terms, effectiveness, foresight; EU scope not established. This is a provisional connection, not an outcome finding.</w:t>
      </w:r>
    </w:p>
    <w:p>
      <w:pPr>
        <w:pStyle w:val="SourceNote"/>
      </w:pPr>
      <w:r>
        <w:rPr>
          <w:b/>
        </w:rPr>
        <w:t>Available abstract (not full text):</w:t>
      </w:r>
      <w:r>
        <w:t xml:space="preserve"> PURPOSE: To identify and classify free mobile applications for adult cancer patient education available in the App Store and Google Play. METHODS: A technology foresight study was conducted in four phases (preparation, pre-prospecting, prospecting, and post-prospecting). Search was carried out in both stores, using the terms "cancer" and "oncology". Free apps in English, Spanish, or Portuguese aimed at educating adults with cancer were included. Quality was assessed based on a scale adapted from the Applications Scoring System. RESULTS: A total of 848 apps were identified. After screening, 32 met the inclusion criteria. Most were categorized under "Medicine" (n = 21), were available in the App Store (n = 25), and were released between 2017 and 2024, peaking in 2024 (n = 14). Content most frequently addressed breast cancer. Only nine apps achieved the maximum app comprehensiveness score, and seven cited scientific literature. Most required internet connectivity (n = 28) and were easy to navigate (n = 29), whereas professional validation and offline resources were limited. Overall quality scores ranged from 5 to 10, with a median score of 8 (interquartile range [IQR]: 6-9). CONCLUSION: Although digital solutions for oncology education have expanded rapidly, a substantial proportion of available applications remain devoid of a rigorous scientific foundation and continue to exhibit</w:t>
      </w:r>
    </w:p>
    <w:p>
      <w:pPr/>
      <w:r>
        <w:rPr>
          <w:b/>
        </w:rPr>
        <w:t>POSSIBLE 2026:</w:t>
      </w:r>
      <w:r>
        <w:t xml:space="preserve"> AI-Driven Cyberattack Risks - A Foresight Study — https://doi.org/10.59297/es35t565</w:t>
      </w:r>
    </w:p>
    <w:p>
      <w:pPr/>
      <w:r>
        <w:rPr>
          <w:b/>
        </w:rPr>
        <w:t>Shared claim-specific concepts:</w:t>
      </w:r>
      <w:r>
        <w:t xml:space="preserve"> improve, foresight; EU scope not established. This is a provisional connection, not an outcome finding.</w:t>
      </w:r>
    </w:p>
    <w:p>
      <w:pPr>
        <w:pStyle w:val="SourceNote"/>
      </w:pPr>
      <w:r>
        <w:rPr>
          <w:b/>
        </w:rPr>
        <w:t>Available abstract (not full text):</w:t>
      </w:r>
      <w:r>
        <w:t xml:space="preserve"> The digitalization has integrated artificial intelligence (AI) across multiple domains, including cybersecurity, creating both opportunities and risks. While AI enhances organizational defense through automated threat detection and incident response, it also enables scalable and autonomous cyberattacks by threat actors. This study examines future risks posed by AI-driven cyberattacks using foresight methodologies that combine horizon scanning and scenario development to identify current and emerging offensive AI capabilities. Previous studies indicates that present AI-enabled threats primarily involve social engineering and adversarial attacks, while future risks may include quantum-powered AI and fully autonomous systems. The study highlights a widening gap between offensive and defensive AI, driven by incentives, technical skill, and expertise. Three cyberattack scenarios involving AI tools were developed and validated through interviews with experts to assess plausibility and future relevance. Finally, the study proposes precautionary actions to strengthen organizational resilience, emphasizing anticipatory governance and cross-industry collaboration to improve threat intelligence accuracy</w:t>
      </w:r>
    </w:p>
    <w:p>
      <w:pPr/>
      <w:r>
        <w:rPr>
          <w:b/>
        </w:rPr>
        <w:t>POSSIBLE 2026:</w:t>
      </w:r>
      <w:r>
        <w:t xml:space="preserve"> Affordance entrenchment analysis: A diagnostic tool for technology foresight — https://doi.org/10.1016/j.techsoc.2026.103511</w:t>
      </w:r>
    </w:p>
    <w:p>
      <w:pPr/>
      <w:r>
        <w:rPr>
          <w:b/>
        </w:rPr>
        <w:t>Shared claim-specific concepts:</w:t>
      </w:r>
      <w:r>
        <w:t xml:space="preserve"> formation, stage, foresight, tool; EU scope not established. This is a provisional connection, not an outcome finding.</w:t>
      </w:r>
    </w:p>
    <w:p>
      <w:pPr>
        <w:pStyle w:val="SourceNote"/>
      </w:pPr>
      <w:r>
        <w:rPr>
          <w:b/>
        </w:rPr>
        <w:t>Available abstract (not full text):</w:t>
      </w:r>
      <w:r>
        <w:t xml:space="preserve"> Technological artefacts can acquire new functions without undergoing change in their physical properties. Existing futures methods provide limited analytical purchase on these kinds of transformations, because they generally lack mechanisms for explaining how artefacts acquire new functions through changing practice. This paper introduces affordance entrenchment analysis (AEA), a diagnostic tool designed for use by forecasting professionals, anticipatory governance practitioners, and analysts in technology assessment or research investment roles. AEA directs analytical attention toward three factors that conventional approaches tend to overlook: (1) latent affordances (those capabilities grounded in an artefact's physical properties that no current domain of practice exploits), which circumscribe the possibility space for function change; (2) the formation of structured domains of practice, which determine which of those capabilities become valued; and (3) the consolidation of use (via infrastructure and institutional recognition) through which novel functions take hold. The tool is grounded in Nelson Goodman's work on exemplification and symbol systems and is operationalised through three orienting questions with associated empirical indicators. Applied to a given artefact, AEA structures an assessment of where function change may be occurring and how far it has progressed. Th</w:t>
      </w:r>
    </w:p>
    <w:p>
      <w:pPr/>
      <w:r>
        <w:rPr>
          <w:b/>
        </w:rPr>
        <w:t>POSSIBLE 2025:</w:t>
      </w:r>
      <w:r>
        <w:t xml:space="preserve"> "Ukrainian zhurnal ": 200 years since the day of publication — https://doi.org/10.36273/2076-9555.2024.12(341).41-45</w:t>
      </w:r>
    </w:p>
    <w:p>
      <w:pPr/>
      <w:r>
        <w:rPr>
          <w:b/>
        </w:rPr>
        <w:t>Shared claim-specific concepts:</w:t>
      </w:r>
      <w:r>
        <w:t xml:space="preserve"> purpose, publication, detailed, country; EU scope not established. This is a provisional connection, not an outcome finding.</w:t>
      </w:r>
    </w:p>
    <w:p>
      <w:pPr>
        <w:pStyle w:val="SourceNote"/>
      </w:pPr>
      <w:r>
        <w:rPr>
          <w:b/>
        </w:rPr>
        <w:t>Available abstract (not full text):</w:t>
      </w:r>
      <w:r>
        <w:t xml:space="preserve"> The purpose of the article is to trace, using the example of the "Ukrainian zhurnal", the main regularities in the process of the birth of Ukrainian journalism in the conditions of the dominance of Russian imperial culture. The research uses general scientific methods of cognition: inductive, analytical, comparative, generalization of information, historical-narrative method. Thanks to their comprehensive application, it became possible to more thoroughly investigate journal publications of various nature and give them an objective assessment. The scientific novelty consists in the detailed study of the prerequisites for the publication under study, the activities of the editorial board, which contributed to the identification of its positive features and shortcomings. The proposed article gives an idea of the birth of the Ukrainian periodical in the territory of the Slobozhan region, its close connection with the higher educational institutions of that time through the prism of the multifaceted publications of the "Ukrainian zhurnal", which will be 200 years old in 2024. Attention is paid to establishing the classification of articles by thematic direction. On the basis of the then and modern scientific explorations, bibliographic indexes, memoir materials, letters, etc., the author found out the role of the "Ukrainian Journal" in the social, public-political and cultural-arti</w:t>
      </w:r>
    </w:p>
    <w:p>
      <w:pPr/>
      <w:r>
        <w:rPr>
          <w:b/>
        </w:rPr>
        <w:t>POSSIBLE 2025:</w:t>
      </w:r>
      <w:r>
        <w:t xml:space="preserve"> "Ukrainian zhurnal ": 200 years since the day of publication — https://doi.org/10.36273/2076-9555.2024.11(340).51-52</w:t>
      </w:r>
    </w:p>
    <w:p>
      <w:pPr/>
      <w:r>
        <w:rPr>
          <w:b/>
        </w:rPr>
        <w:t>Shared claim-specific concepts:</w:t>
      </w:r>
      <w:r>
        <w:t xml:space="preserve"> purpose, publication, detailed, country; EU scope not established. This is a provisional connection, not an outcome finding.</w:t>
      </w:r>
    </w:p>
    <w:p>
      <w:pPr>
        <w:pStyle w:val="SourceNote"/>
      </w:pPr>
      <w:r>
        <w:rPr>
          <w:b/>
        </w:rPr>
        <w:t>Available abstract (not full text):</w:t>
      </w:r>
      <w:r>
        <w:t xml:space="preserve"> The purpose of the article is to trace, using the example of the "Ukrainian zhurnal", the main regularities in the process of the birth of Ukrainian journalism in the conditions of the dominance of Russian imperial culture. The research uses general scientific methods of cognition: inductive, analytical, comparative, generalization of information, historical-narrative method. Thanks to their comprehensive application, it became possible to more thoroughly investigate journal publications of various nature and give them an objective assessment. The scientific novelty consists in the detailed study of the prerequisites for the publication under study, the activities of the editorial board, which contributed to the identification of its positive features and shortcomings. The proposed article gives an idea of the birth of the Ukrainian periodical in the territory of the Slobozhan region, its close connection with the higher educational institutions of that time through the prism of the multifaceted publications of the "Ukrainian zhurnal", which will be 200 years old in 2024. Attention is paid to establishing the classification of articles by thematic direction. On the basis of the then and modern scientific explorations, bibliographic indexes, memoir materials, letters, etc., the author found out the role of the "Ukrainian Journal" in the social, public-political and cultural-arti</w:t>
      </w:r>
    </w:p>
    <w:p>
      <w:pPr/>
      <w:r>
        <w:rPr>
          <w:b/>
        </w:rPr>
        <w:t>POSSIBLE 2025:</w:t>
      </w:r>
      <w:r>
        <w:t xml:space="preserve"> Principles for building a culture of organizational foresight — https://doi.org/10.1016/j.futures.2025.103673</w:t>
      </w:r>
    </w:p>
    <w:p>
      <w:pPr/>
      <w:r>
        <w:rPr>
          <w:b/>
        </w:rPr>
        <w:t>Shared claim-specific concepts:</w:t>
      </w:r>
      <w:r>
        <w:t xml:space="preserve"> methodological, foresight; EU scope not established. This is a provisional connection, not an outcome finding.</w:t>
      </w:r>
    </w:p>
    <w:p>
      <w:pPr>
        <w:pStyle w:val="SourceNote"/>
      </w:pPr>
      <w:r>
        <w:rPr>
          <w:b/>
        </w:rPr>
        <w:t>Available abstract (not full text):</w:t>
      </w:r>
      <w:r>
        <w:t xml:space="preserve"> There is growing interest in developing foresight cultures within international organizations. This reflection on the United Nations Environment Programme (UNEP) approach focuses on a critical 18-month chapter of an ongoing initiative called the Foresight Trajectory. It begins with the premise that organizations are complex adaptive systems, foresight is driven by its potential value, and anticipation is a social phenomenon. The paper proposes principles for cultivating a culture of organizational foresight based on a methodological reflection of the UNEP Foresight Trajectory. This process applied three sets of Reflection Questions across six project phases, generating key insights that inform principles for cultivating foresight within the organization. The questions addressed contexts, relevance perceptions, and modes of anticipation. Three main insights emerged: the foresight process was dynamic and adaptive; the process itself fosters a future-focused culture; and UNEP, along with other international entities, is uniquely positioned to lead multi-perspective foresight processes. Based on these insights, seven Foresight Principles are proposed to guide UNEP and other international entities in engaging stakeholders in foresight to explore new ideas, prepare for uncertainty, build a foresight community, stay flexible and reflexive, communicate openly while respecting stakehold</w:t>
      </w:r>
    </w:p>
    <w:p>
      <w:pPr>
        <w:pStyle w:val="Heading2"/>
      </w:pPr>
      <w:r>
        <w:t>582. Conservation biology research priorities for 2050: A Central-Eastern European perspective</w:t>
      </w:r>
    </w:p>
    <w:p>
      <w:pPr>
        <w:pStyle w:val="SourceNote"/>
      </w:pPr>
      <w:r>
        <w:rPr>
          <w:b/>
        </w:rPr>
        <w:t>Original source (2021):</w:t>
      </w:r>
      <w:r>
        <w:t xml:space="preserve"> https://doi.org/10.1016/j.biocon.2021.109396</w:t>
      </w:r>
    </w:p>
    <w:p>
      <w:pPr/>
      <w:r>
        <w:t>Original wording (abstract; indexed_source_text_not_full_document_verified): We used the possible future statements from the Hungarian Environmental Foresight Report for 2050 which identified region-specific problems. To highlight likely future environmental and conservation questions, in this study we asked researchers from the fields of ecology and conservation to define research questions addressing these future statements in line with international research trends and challenges.</w:t>
      </w:r>
    </w:p>
    <w:p>
      <w:pPr/>
      <w:r>
        <w:rPr>
          <w:b/>
        </w:rPr>
        <w:t>POSSIBLE 2026:</w:t>
      </w:r>
      <w:r>
        <w:t xml:space="preserve"> Inventory and analysis of foresight studies on European livestock production systems: The D1.5 delivrable for the STEP-UP project — https://openalex.org/W7212105644</w:t>
      </w:r>
    </w:p>
    <w:p>
      <w:pPr/>
      <w:r>
        <w:rPr>
          <w:b/>
        </w:rPr>
        <w:t>Shared claim-specific concepts:</w:t>
      </w:r>
      <w:r>
        <w:t xml:space="preserve"> possible, environmental, foresight, identified, highlight, challenges; EU scope visible. This is a provisional connection, not an outcome finding.</w:t>
      </w:r>
    </w:p>
    <w:p>
      <w:pPr>
        <w:pStyle w:val="SourceNote"/>
      </w:pPr>
      <w:r>
        <w:rPr>
          <w:b/>
        </w:rPr>
        <w:t>Available abstract (not full text):</w:t>
      </w:r>
      <w:r>
        <w:t xml:space="preserve"> T1.5 aims to identify the diversity of scenarios on the European livestock sector developed by public, scientific, and economic stakeholders, to highlight underexplored impacts within these future visions and to identify mentioned trade-offs. Indeed, the European livestock sector faces major challenges, including environmental pressures, ethical concerns, and health risks and foresight analysis helps explore possible futures and inform shared visions for sustainable livestock systems. We mapped and reviewed 86 foresight studies published since 2010, analysing 257 scenarios that we encoded into 22 descriptive variables and 93 system variables across six categories. Through statistical analysis on a sub-corpus of 50 studies and 160 scenarios, we identified 7 scenario families ranging from deregulated, intensive models to highly regulated, agroecological transitions. Most scenarios anticipate reduced land use and livestock numbers, with only a few projecting increased production. Technological adoption is widespread, but agroecological practices are mainly present in transformative scenarios. While most scenarios focused on production methods, volumes, and trade outcomes, many topics issues were largely neglected like value chain dynamics, One Health issues and social sustainability. Scenarios largely ignore disruptive events and many European regions, suggesting the need for more</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possible, statements, foresight, researchers, fields, trends;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Envisioning the future of European mountain value chains: a participatory foresight approach — https://doi.org/10.1007/s10113-025-02454-1</w:t>
      </w:r>
    </w:p>
    <w:p>
      <w:pPr/>
      <w:r>
        <w:rPr>
          <w:b/>
        </w:rPr>
        <w:t>Shared claim-specific concepts:</w:t>
      </w:r>
      <w:r>
        <w:t xml:space="preserve"> foresight, identified, researchers, challenges; EU scope visible. This is a provisional connection, not an outcome finding.</w:t>
      </w:r>
    </w:p>
    <w:p>
      <w:pPr>
        <w:pStyle w:val="SourceNote"/>
      </w:pPr>
      <w:r>
        <w:rPr>
          <w:b/>
        </w:rPr>
        <w:t>Available abstract (not full text):</w:t>
      </w:r>
      <w:r>
        <w:t xml:space="preserve"> Abstract Mountain regions, vital socio-ecological systems covering 36% of Europe, face intensifying challenges from climate change, demographic shifts, and economic transformations, necessitating strategic long-term planning. This study presents a multi-regional participatory foresight exercise conducted across 22 European mountain areas to explore future scenarios and strategic pathways for sustainable development by 2050. Through stakeholder-driven workshops, key long-term forces shaping mountain value chains were identified, leading to the development of four archetypal futures based on their respective Theories of Change: Economic, Nature, Niche &amp; Diversification, and Knowledge &amp; Innovation, which serve as tools for understanding diverse regional trajectories and guiding strategic interventions. Findings emphasize the need for integrated, stakeholder-inclusive foresight approaches that go beyond traditional policy frameworks. The research highlights the importance of embedding value chain decisions within broader societal concerns and territorial sustainability strategies. By structuring long-term projections through archetypes, the research facilitates proactive thinking beyond short-term horizons, preventing maladaptation and fostering resilience. This research contributes to foresight methodologies by integrating participatory scenario-building with strategic thinking, s</w:t>
      </w:r>
    </w:p>
    <w:p>
      <w:pPr/>
      <w:r>
        <w:rPr>
          <w:b/>
        </w:rPr>
        <w:t>POSSIBLE 2026:</w:t>
      </w:r>
      <w:r>
        <w:t xml:space="preserve"> The next episode for narrative foresight — https://doi.org/10.1016/j.futures.2026.103876</w:t>
      </w:r>
    </w:p>
    <w:p>
      <w:pPr/>
      <w:r>
        <w:rPr>
          <w:b/>
        </w:rPr>
        <w:t>Shared claim-specific concepts:</w:t>
      </w:r>
      <w:r>
        <w:t xml:space="preserve"> possible, foresight, researchers;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2025:</w:t>
      </w:r>
      <w:r>
        <w:t xml:space="preserve"> European Myeloma Network Group review and consensus statement on primary plasma cell leukemia — https://doi.org/10.1016/j.annonc.2025.01.022</w:t>
      </w:r>
    </w:p>
    <w:p>
      <w:pPr/>
      <w:r>
        <w:rPr>
          <w:b/>
        </w:rPr>
        <w:t>Shared claim-specific concepts:</w:t>
      </w:r>
      <w:r>
        <w:t xml:space="preserve"> used, possible, statements, questions, international; EU scope visible. This is a provisional connection, not an outcome finding.</w:t>
      </w:r>
    </w:p>
    <w:p>
      <w:pPr>
        <w:pStyle w:val="SourceNote"/>
      </w:pPr>
      <w:r>
        <w:rPr>
          <w:b/>
        </w:rPr>
        <w:t>Available abstract (not full text):</w:t>
      </w:r>
      <w:r>
        <w:t xml:space="preserve"> BACKGROUND: Primary plasma cell leukemia (PPCL) is the most aggressive disorder among plasma cell malignancies, with new diagnostic criteria recently established by the International Myeloma Working Group. Studies have shown that PPCL patients receiving a combination of novel agents, but not eligible for transplantation, may have a median survival up to 2 years, extended to 3 years or more in those undergoing transplant procedures. These findings remain unsatisfactory, particularly if compared with progresses obtained in multiple myeloma. DESIGN: A European Myeloma Network (EMN) expert panel reviewed the most recent literature and selected the areas of major concern in the management of PPCL by generating and rank ordering key questions using the criterion of clinical relevance. Multistep procedures were utilized to achieve a consensus on recommendations. The Delphi questionnaire method was used and a consensus of at least 80% was reached for all final statements. RESULTS: An extended overview of current biological, clinical, prognostic, and therapeutic aspects of PPCL, including ongoing and close to start clinical trials, is presented. Furthermore, updated guidelines for the management of PPCL and practical recommendations are provided, in the context of current knowledge about this disease, also looking at possible future perspectives to ameliorate the outcome of these patien</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possible, foresight, identified,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From Reaction to Foresight: EUPHA’s vision for health security in Europe — https://doi.org/10.1093/eurpub/ckaf071</w:t>
      </w:r>
    </w:p>
    <w:p>
      <w:pPr/>
      <w:r>
        <w:rPr>
          <w:b/>
        </w:rPr>
        <w:t>Shared claim-specific concepts:</w:t>
      </w:r>
      <w:r>
        <w:t xml:space="preserve"> possible, environmental, foresight;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Embedding the Future in the European Union: Advancing Towards Strategic Foresight — https://doi.org/10.33067/se.1.2025.10</w:t>
      </w:r>
    </w:p>
    <w:p>
      <w:pPr/>
      <w:r>
        <w:rPr>
          <w:b/>
        </w:rPr>
        <w:t>Shared claim-specific concepts:</w:t>
      </w:r>
      <w:r>
        <w:t xml:space="preserve"> possible, foresight, international; EU scope visible. This is a provisional connection, not an outcome finding.</w:t>
      </w:r>
    </w:p>
    <w:p>
      <w:pPr>
        <w:pStyle w:val="SourceNote"/>
      </w:pPr>
      <w:r>
        <w:rPr>
          <w:b/>
        </w:rPr>
        <w:t>Available abstract (not full text):</w:t>
      </w:r>
      <w:r>
        <w:t xml:space="preserve"> This article seeks to shed light on how the EU and its institutions are dealing with the future, an increasingly relevant dimension of policy-making. Interest in the future as a temporal and political dimension derives from increasing general international attention to anticipatory governance, this being a proactive approach to policy-making with the aim of anticipating disruptions and critical events. The possible integration of future-oriented thinking into decision-making processes along with the normalisation of anticipatory governance in order to contain the effects of unexpected events can be an asset for many polities struggling with creeping, perma-poly-crises. The article also connects crises with the EU’s commitment to so-called “strategic foresight”, a structured and systematic approach of exploring plausible version of the future which can support better policy-making and incentivise forms of anticipatory governance. What has emerged so far is a multi-level yet fragmented form of European governance attempting to deal with the future. It is not yet clear how Member States are adjusting to the EU’s commitment to the future and to the impact the organisation can have on their headway, considering that the aforementioned strategic foresight may be an obstacle for politicians seeking an easy and immediate consensus.</w:t>
      </w:r>
    </w:p>
    <w:p>
      <w:pPr/>
      <w:r>
        <w:rPr>
          <w:b/>
        </w:rPr>
        <w:t>POSSIBLE 2025:</w:t>
      </w:r>
      <w:r>
        <w:t xml:space="preserve"> The Need for Synergy in Foresight Research for Healthcare and Medical Sciences — https://doi.org/10.36401/iddb-25-1</w:t>
      </w:r>
    </w:p>
    <w:p>
      <w:pPr/>
      <w:r>
        <w:rPr>
          <w:b/>
        </w:rPr>
        <w:t>Shared claim-specific concepts:</w:t>
      </w:r>
      <w:r>
        <w:t xml:space="preserve"> possible, foresight, international, trends, challenges;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2024:</w:t>
      </w:r>
      <w:r>
        <w:t xml:space="preserve"> Emerging Biotechnologies in Europe: Foresight for Policy — https://doi.org/10.2760/4814109</w:t>
      </w:r>
    </w:p>
    <w:p>
      <w:pPr/>
      <w:r>
        <w:rPr>
          <w:b/>
        </w:rPr>
        <w:t>Shared claim-specific concepts:</w:t>
      </w:r>
      <w:r>
        <w:t xml:space="preserve"> foresight, addressing, international, challenges;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A hybrid foresight study of the environmental reference laboratory system in Finland: a foresight study for the Government of Finland — https://doi.org/10.1186/s40309-023-00223-z</w:t>
      </w:r>
    </w:p>
    <w:p>
      <w:pPr/>
      <w:r>
        <w:rPr>
          <w:b/>
        </w:rPr>
        <w:t>Shared claim-specific concepts:</w:t>
      </w:r>
      <w:r>
        <w:t xml:space="preserve"> environmental, foresight, addressing, international, challenges; EU scope visible. This is a provisional connection, not an outcome finding.</w:t>
      </w:r>
    </w:p>
    <w:p>
      <w:pPr>
        <w:pStyle w:val="SourceNote"/>
      </w:pPr>
      <w:r>
        <w:rPr>
          <w:b/>
        </w:rPr>
        <w:t>Available abstract (not full text):</w:t>
      </w:r>
      <w:r>
        <w:t xml:space="preserve"> Abstract This article presents a hybrid foresight study using the Delphi methodology. The study is part of a strategic research project of the Finnish state named “Foresight in Environmental Reference Laboratory Operations.” The main starting point for this study was the Policy Delphi method, which was supplemented with other Delphi variants and decision support methods. In this hybrid foresight application, Delphi methodology was combined with decision-making and strategic planning tools, namely (1) SWOT analysis, (2) Boston Consulting Group Matrix, (3) research infrastructure (RI) analysis, (4) platform analysis, and (5) integrative foresight workshop. This article draws strongly on the hybrid foresight methodology perspective of foresight tool orchestration. The authors argue that the Delphi methodology gains reliability and appeal with hybrid methodological orchestration. The function of reference laboratories includes services for the verification and maintenance of the quality and validity of environmental measurements, such as the maintenance of reference measurement equipment, expertise, and training, and the organization of national reference measurements as well as participation in international reference measurements, method development, and standardization. The study shows the importance of environmental reference laboratories addressing the following challenges by </w:t>
      </w:r>
    </w:p>
    <w:p>
      <w:pPr/>
      <w:r>
        <w:rPr>
          <w:b/>
        </w:rPr>
        <w:t>POSSIBLE 2024:</w:t>
      </w:r>
      <w:r>
        <w:t xml:space="preserve"> STUDYING THE APPROACHES OF EUROPEAN COUNTRIES IN FORESIGHT STUDIES OF THE DEVELOPMENT OF SCIENCE AND GREEN TECHNOLOGIES FOR ADOPTING THEIR EXPERIENCE IN THE CONTEXT OF KAZAKHSTAN — https://doi.org/10.52676/1729-7885-2024-1-4-12</w:t>
      </w:r>
    </w:p>
    <w:p>
      <w:pPr/>
      <w:r>
        <w:rPr>
          <w:b/>
        </w:rPr>
        <w:t>Shared claim-specific concepts:</w:t>
      </w:r>
      <w:r>
        <w:t xml:space="preserve"> possible, environmental, foresight, trends; EU scope visible. This is a provisional connection, not an outcome finding.</w:t>
      </w:r>
    </w:p>
    <w:p>
      <w:pPr>
        <w:pStyle w:val="SourceNote"/>
      </w:pPr>
      <w:r>
        <w:rPr>
          <w:b/>
        </w:rPr>
        <w:t>Available abstract (not full text):</w:t>
      </w:r>
      <w:r>
        <w:t xml:space="preserve"> This paper reviews the application of foresight methods in the field of science, especially in the development of green technologies in various European countries, with the aim of identifying the most suitable approaches for future use in Kazakhstan. The analysis shows that green technology forecasting promises to be an effective tool for managing sustainable development. Methods for forecasting green technologies are focused on a systematic approach and integrated solutions, taking into account the environment and social aspects. It is also important to consider both global and local environmental issues to gain a full understanding of future development trends. The article provides a comparison of the Dutch and Danish approaches. Green technology foresight research can play an important role at the national level, especially in integrating sustainability considerations into technology development and innovation processes. They also contribute to the development of more effective and sustainable development strategies for companies and government in Kazakhstan. These studies contribute to increasing environmental awareness and awareness in society regarding the importance of sustainable development. Technology forecasting values the use of Delphi surveys to provide a better understanding of possible future trends. The knowledge gained is the basis for developing strategic plan</w:t>
      </w:r>
    </w:p>
    <w:p>
      <w:pPr>
        <w:pStyle w:val="Heading2"/>
      </w:pPr>
      <w:r>
        <w:t>583. Cross-border climate vulnerabilities of the European Union to drought</w:t>
      </w:r>
    </w:p>
    <w:p>
      <w:pPr>
        <w:pStyle w:val="SourceNote"/>
      </w:pPr>
      <w:r>
        <w:rPr>
          <w:b/>
        </w:rPr>
        <w:t>Original source (2021):</w:t>
      </w:r>
      <w:r>
        <w:t xml:space="preserve"> https://doi.org/10.1038/s41467-021-23584-0</w:t>
      </w:r>
    </w:p>
    <w:p>
      <w:pPr/>
      <w:r>
        <w:t>Original wording (abstract; indexed_source_text_not_full_document_verified): The drought severity in production locations of the agricultural imports in 2050 will increase by 35% compared to current levels of drought severity. We quantify these climate vulnerabilities with a focus on drought risk and assessed them for 2030, 2050, 2085 and for RCP 2.6 and 6.0 climate scenarios.</w:t>
      </w:r>
    </w:p>
    <w:p>
      <w:pPr/>
      <w:r>
        <w:rPr>
          <w:b/>
        </w:rPr>
        <w:t>POSSIBLE 2026:</w:t>
      </w:r>
      <w:r>
        <w:t xml:space="preserve"> Drought Impacts on Agricultural Production Across EU Regions — https://doi.org/10.1007/s40797-026-00379-0</w:t>
      </w:r>
    </w:p>
    <w:p>
      <w:pPr/>
      <w:r>
        <w:rPr>
          <w:b/>
        </w:rPr>
        <w:t>Shared claim-specific concepts:</w:t>
      </w:r>
      <w:r>
        <w:t xml:space="preserve"> drought, severity, production, agricultural; EU scope visible. This is a provisional connection, not an outcome finding.</w:t>
      </w:r>
    </w:p>
    <w:p>
      <w:pPr>
        <w:pStyle w:val="SourceNote"/>
      </w:pPr>
      <w:r>
        <w:rPr>
          <w:b/>
        </w:rPr>
        <w:t>Available abstract (not full text):</w:t>
      </w:r>
      <w:r>
        <w:t xml:space="preserve"> Abstract Regional agricultural sectors are particularly vulnerable to the impacts of drought events, resulting in significant economic losses across Europe each year. Therefore, it is essential to have a thorough understanding of how drought affects crop productivity in order to make informed decisions and strategies. We merge data on crop yields and regional farming systems with the Combined Drought Indicator, provided by the European Drought Observatory, using crop masks. We analyse the effects of drought on wheat and maize production across EU regions from 2013 to 2021. Our analysis reveals that each additional 10-day period of drought leads to an average reduction in wheat yield of between 1.62 and 1.74% and a decrease in maize yield of between 0.62 and 0.86%. We find that drought events particularly affect crop yields during the summer period. In the case of maize, we observe that the estimated reduction in yields due to drought is related to drought of second-level severity, with a decrease between 1.62 and 2.33% of the average regional maize yield per additional 10-days of drought. Similarly, our analysis indicates that the summer period has the most significant effect on wheat yields with the negative impact ranging between 5.63 and 5.81%. Drought effects on wheat yields are even higher when taking into consideration the potential endogeneity of the fAPAR component of t</w:t>
      </w:r>
    </w:p>
    <w:p>
      <w:pPr/>
      <w:r>
        <w:rPr>
          <w:b/>
        </w:rPr>
        <w:t>POSSIBLE 2026:</w:t>
      </w:r>
      <w:r>
        <w:t xml:space="preserve"> Drivers of propagation and impacts of meteorological and agricultural droughts across Europe — https://doi.org/10.5194/egusphere-egu26-12460</w:t>
      </w:r>
    </w:p>
    <w:p>
      <w:pPr/>
      <w:r>
        <w:rPr>
          <w:b/>
        </w:rPr>
        <w:t>Shared claim-specific concepts:</w:t>
      </w:r>
      <w:r>
        <w:t xml:space="preserve"> drought, severity, production, agricultural, increase, climate; EU scope visible. This is a provisional connection, not an outcome finding.</w:t>
      </w:r>
    </w:p>
    <w:p>
      <w:pPr>
        <w:pStyle w:val="SourceNote"/>
      </w:pPr>
      <w:r>
        <w:rPr>
          <w:b/>
        </w:rPr>
        <w:t>Available abstract (not full text):</w:t>
      </w:r>
      <w:r>
        <w:t xml:space="preserve"> Droughts are Europe’s costliest natural disasters, with damages estimated at 621 million Euros per event. Changing precipitation patterns and rising atmospheric water demand are increasingly affecting terrestrial ecosystem functioning in Europe, with profound implications for sustainable water resources management and ecosystem carbon uptake. However, responses are driven not only by drought type and severity but also by diverse land surface properties, including soil texture and vegetation functional traits. A clear understanding of how water deficits propagate to inhibit ecosystem functioning is needed to assess drought risk for specific ecosystems under a warming climate. This study uses Community Land Model v5 (CLM5) simulations over Europe from 1960 to 2024 to identify drought events as spatiotemporal clusters and to systematically determine their propagation across hydrological compartments (e.g., from precipitation to root-zone soil moisture) and their impacts on gross primary production (GPP) and transpiration (T). We find that precipitation droughts often propagate into soil moisture droughts, especially during large-scale droughts, such as in the years 1995, 2003, and 2018. However, soil moisture droughts can also emerge even when precipitation deficits are not typically classified as drought events, for example, when vapor pressure droughts increase evaporation over </w:t>
      </w:r>
    </w:p>
    <w:p>
      <w:pPr/>
      <w:r>
        <w:rPr>
          <w:b/>
        </w:rPr>
        <w:t>POSSIBLE 2026:</w:t>
      </w:r>
      <w:r>
        <w:t xml:space="preserve"> Contrasting effects of flash and slow droughts on maize yield loss and crop failure across Europe — https://doi.org/10.1016/j.ejrh.2026.103830</w:t>
      </w:r>
    </w:p>
    <w:p>
      <w:pPr/>
      <w:r>
        <w:rPr>
          <w:b/>
        </w:rPr>
        <w:t>Shared claim-specific concepts:</w:t>
      </w:r>
      <w:r>
        <w:t xml:space="preserve"> drought, severity, production, agricultural, focus; EU scope visible. This is a provisional connection, not an outcome finding.</w:t>
      </w:r>
    </w:p>
    <w:p>
      <w:pPr>
        <w:pStyle w:val="SourceNote"/>
      </w:pPr>
      <w:r>
        <w:rPr>
          <w:b/>
        </w:rPr>
        <w:t>Available abstract (not full text):</w:t>
      </w:r>
      <w:r>
        <w:t xml:space="preserve"> Study region Europe, spanning diverse climatic zones from the semi-arid Mediterranean to the humid continental north, characterized by strong hydroclimatic variability and significant dependence on rainfed maize production. Study focus Agricultural drought risk in Europe is becoming increasingly complex, regional evidence remains limited on how drought onset speed translates to maize yield loss and crop failure across Europe's hydroclimatic zones. This study defines and distinguishes flash and slow droughts using the rate of decline in the Standardized Water Deficit Index and characterizes their spatiotemporal patterns across Europe from 1989 to 2018 and quantifies their effects on maize yield losses and crop failure using fixed effects and mixed effects logistic models. New hydrological insights for the region Firstly, both drought types showed significantly increasing trends across Europe, with slow droughts occurring more frequently than flash droughts. Secondly, flash drought was significantly associated with yield loss across four metrics (count: −208.05 kg ha −1 ; severity: −138.25 kg ha −1 ; cumulative severity: −4.13 kg ha −1 ; duration: −12.78 kg ha −1 day −1 ; all p &lt; 0.001). Slow drought affected yield only through duration (−9.36 kg ha⁻¹ day⁻¹, p = 0.005). Thirdly, flash and slow drought significantly elevated crop failure odds across all drought metrics, with droug</w:t>
      </w:r>
    </w:p>
    <w:p>
      <w:pPr/>
      <w:r>
        <w:rPr>
          <w:b/>
        </w:rPr>
        <w:t>POSSIBLE 2026:</w:t>
      </w:r>
      <w:r>
        <w:t xml:space="preserve"> Influence of Drought Severity on Household Livelihood Strategies in Rachuonyo North Sub-County, Kenya — https://doi.org/10.37284/ajccrs.5.2.5920</w:t>
      </w:r>
    </w:p>
    <w:p>
      <w:pPr/>
      <w:r>
        <w:rPr>
          <w:b/>
        </w:rPr>
        <w:t>Shared claim-specific concepts:</w:t>
      </w:r>
      <w:r>
        <w:t xml:space="preserve"> drought, severity, increase, climate, them; EU scope not established. This is a provisional connection, not an outcome finding.</w:t>
      </w:r>
    </w:p>
    <w:p>
      <w:pPr>
        <w:pStyle w:val="SourceNote"/>
      </w:pPr>
      <w:r>
        <w:rPr>
          <w:b/>
        </w:rPr>
        <w:t>Available abstract (not full text):</w:t>
      </w:r>
      <w:r>
        <w:t xml:space="preserve"> Drought is a climate hazard that affects household livelihoods in rural areas where activities depend on rainfall. Studies show that when drought occurs, water becomes insufficient for livestock and crops, compelling households to cope with and adapt to its effects. However, no empirical studies have examined the influence of drought severity on household livelihood strategies. This study examined how drought severity influences household livelihood strategies, focusing on crop farming, livestock keeping, fishing, and trade. The study used Rogers's (1975) Protection Motivation Theory. The study used a mixed-methods, cross-sectional design with a quasi-longitudinal aspect, integrating qualitative and quantitative household survey data with temporal rainfall information to examine drought severity and household livelihood strategies over time. A multistage sampling procedure selected 384 household respondents from a target population of 39,927. The seven wards were treated as strata, and the sample was proportionately allocated to each ward according to the number of households. Systematic sampling was used to select households in each ward. We used purposive sampling to select KII and FGD participants. Qualitative data were analysed thematically, coding and organising them into themes, while quantitative data were analysed using cross-tabulation, chi-square, and linear regressio</w:t>
      </w:r>
    </w:p>
    <w:p>
      <w:pPr/>
      <w:r>
        <w:rPr>
          <w:b/>
        </w:rPr>
        <w:t>POSSIBLE 2026:</w:t>
      </w:r>
      <w:r>
        <w:t xml:space="preserve"> Towards an operational European Drought Impacts Database (EDID) — https://doi.org/10.5194/nhess-26-845-2026</w:t>
      </w:r>
    </w:p>
    <w:p>
      <w:pPr/>
      <w:r>
        <w:rPr>
          <w:b/>
        </w:rPr>
        <w:t>Shared claim-specific concepts:</w:t>
      </w:r>
      <w:r>
        <w:t xml:space="preserve"> drought, severity; EU scope visible. This is a provisional connection, not an outcome finding.</w:t>
      </w:r>
    </w:p>
    <w:p>
      <w:pPr>
        <w:pStyle w:val="SourceNote"/>
      </w:pPr>
      <w:r>
        <w:rPr>
          <w:b/>
        </w:rPr>
        <w:t>Available abstract (not full text):</w:t>
      </w:r>
      <w:r>
        <w:t xml:space="preserve"> Abstract. Drought impact information is essential to move from reactive management to a proactive approach. Data on drought impacts provide regional insight into vulnerability and support robust risk assessment and sustainable adaptation strategies. Drought impact data are also essential to build and validate models for advanced impact forecasting, including AI enhanced tools. While there is increasing consensus on the operational use of specific physical drought hazard indices, to date there is no generally accepted convention on drought impact data collection and use. Based on experience and content of several regional research databases, the development of a European Drought Impact Database (EDID) explicitly aims for operational application within the framework of the Copernicus European Drought Observatory. This article gives insight into the implementation of EDID, its structure and attributes, and provides an analysis of the content. Among the nine impacted systems, agriculture, public water supply and aquatic ecosystems contribute a majority of the impact records. Over the covered time period, impacts became more variable in the system they describe and recent years show some more extremely severe impacts according to a newly introduced severity score. Mapped at country scale, the impacts confirm previously identified European sectorial impact hotspots. The work and prod</w:t>
      </w:r>
    </w:p>
    <w:p>
      <w:pPr/>
      <w:r>
        <w:rPr>
          <w:b/>
        </w:rPr>
        <w:t>POSSIBLE 2026:</w:t>
      </w:r>
      <w:r>
        <w:t xml:space="preserve"> Assessing Crop Yield Variability Using Meteorological Drought Indices for Agricultural Drought Monitoring in Botswana — https://doi.org/10.3390/cli14040077</w:t>
      </w:r>
    </w:p>
    <w:p>
      <w:pPr/>
      <w:r>
        <w:rPr>
          <w:b/>
        </w:rPr>
        <w:t>Shared claim-specific concepts:</w:t>
      </w:r>
      <w:r>
        <w:t xml:space="preserve"> drought, agricultural, climate; EU scope not established. This is a provisional connection, not an outcome finding.</w:t>
      </w:r>
    </w:p>
    <w:p>
      <w:pPr>
        <w:pStyle w:val="SourceNote"/>
      </w:pPr>
      <w:r>
        <w:rPr>
          <w:b/>
        </w:rPr>
        <w:t>Available abstract (not full text):</w:t>
      </w:r>
      <w:r>
        <w:t xml:space="preserve"> Botswana’s semi-arid climate makes it vulnerable to climate change, particularly drought, which threatens agricultural productivity. This study assesses drought impact on Botswana’s agricultural sector using Climate Hazards Center Infrared Precipitation with Station (CHIRPS) rainfall data and Climate Hazards Center Infrared Temperature with Station (CHIRTS) temperature data (25 km) to compute the Standardized Precipitation Index (SPI), Standardized Temperature Condition Index (STCI) and Standardized Precipitation Evapotranspiration Index (SPEI) at seasonal/annual time scales (1, 3, 6 and 12 months). The indices are used to assess their ability to predict crop yields using national data during Botswana’s rainy season, while employing univariate and multivariate statistical models. Statistical models also linked historical drought patterns to yield variability with the Percentage Area Affected (PAA) by drought, identifying key predictors. A majority of the crops (sunflower, maize, sorghum and pulses) showed variability which was best explained by SPEI 6 more particularly under the PAA multivariate models, with the highest and moderate explanatory power (R2) found in sunflower (0.48) and maize (0.43). However, variability in millet was best explained by SPI-3, although the R2 was low (0.26). Other crops displayed positive coefficients within the models, which may be attributed to </w:t>
      </w:r>
    </w:p>
    <w:p>
      <w:pPr/>
      <w:r>
        <w:rPr>
          <w:b/>
        </w:rPr>
        <w:t>POSSIBLE 2026:</w:t>
      </w:r>
      <w:r>
        <w:t xml:space="preserve"> Crop-specific impacts of the 2023/2024 drought on Zambia’s agricultural production — https://doi.org/10.1016/j.cliser.2026.100710</w:t>
      </w:r>
    </w:p>
    <w:p>
      <w:pPr/>
      <w:r>
        <w:rPr>
          <w:b/>
        </w:rPr>
        <w:t>Shared claim-specific concepts:</w:t>
      </w:r>
      <w:r>
        <w:t xml:space="preserve"> drought, severity, production, agricultural, quantify, climate; EU scope not established. This is a provisional connection, not an outcome finding.</w:t>
      </w:r>
    </w:p>
    <w:p>
      <w:pPr>
        <w:pStyle w:val="SourceNote"/>
      </w:pPr>
      <w:r>
        <w:rPr>
          <w:b/>
        </w:rPr>
        <w:t>Available abstract (not full text):</w:t>
      </w:r>
      <w:r>
        <w:t xml:space="preserve"> The 2023/2024 El Niño event was one of the most significant climatic shocks to Zambia's agricultural sector, resulting in a severe mid-season drought across much of the country. This study quantifies crop-specific impacts of the drought on Zambia's agricultural production using district-level crop production and 30-year rainfall data used to construct the Standardized Precipitation Index (SPI). Exploiting spatial variation in the severity of the 2023/2024 drought, we estimate the effect of a one standard deviation rainfall deficit on crop yields and national production. The objective is to quantify how this single extreme event affected crop production in Zambia. Results reveal substantial heterogeneity in crop resilience. Among cereals and tubers, sorghum (9% yield reduction) and millet (12%) are more drought tolerant than maize (30%), rice (26%), and sweet potato (25%). Among pulses and oilseeds, sunflower (12%), cowpea (14%), common bean (15%), and groundnut (16%) show lower yield losses than soybean (21%) and Bambara nut (20%). We find significant heterogeneity in the effect of drought on cereal crop yield across agroecological zones, but less consistent heterogeneity for pulses. The results further indicate that approximately 76% of the observed 64% decline in national crop production value can be directly attributed to El Niño-induced drought conditions. We also show that</w:t>
      </w:r>
    </w:p>
    <w:p>
      <w:pPr/>
      <w:r>
        <w:rPr>
          <w:b/>
        </w:rPr>
        <w:t>POSSIBLE 2026:</w:t>
      </w:r>
      <w:r>
        <w:t xml:space="preserve"> Multi-year droughts and their compounding economic impacts in Europe — https://doi.org/10.5194/egusphere-egu26-15194</w:t>
      </w:r>
    </w:p>
    <w:p>
      <w:pPr/>
      <w:r>
        <w:rPr>
          <w:b/>
        </w:rPr>
        <w:t>Shared claim-specific concepts:</w:t>
      </w:r>
      <w:r>
        <w:t xml:space="preserve"> drought, severity, production, agricultural, climate, vulnerabilities; EU scope visible. This is a provisional connection, not an outcome finding.</w:t>
      </w:r>
    </w:p>
    <w:p>
      <w:pPr>
        <w:pStyle w:val="SourceNote"/>
      </w:pPr>
      <w:r>
        <w:rPr>
          <w:b/>
        </w:rPr>
        <w:t>Available abstract (not full text):</w:t>
      </w:r>
      <w:r>
        <w:t xml:space="preserve"> Climate change is intensifying the frequency and severity of droughts, posing significant risks to regional economies, water resources, and food security. While the direct impacts of droughts on agricultural output and water availability are documented, their medium and long-term economic consequences across multiple sectors remain underexplored. In particular, drought effects may accumulate over time, with multi-year drought conditions potentially compounding economic impacts and creating lasting disruptions to different industries, labour markets, and public services. Given the spatial heterogeneity of drought exposure and economic structures, a fine-grained regional analysis is necessary to understand varying vulnerabilities and adaptation capacities. Using NUTS 3 regional economic data and firm-level metrics across Europe (1995-2022), combined with high-resolution climate data from EOBS, we employ Local Projection fixed-effects models to examine how drought duration and severity affect various economic outputs like production, productivity, investment, capital stock, and employment. We assess droughts using SPI and SPEI indices at 3, 6, and 12-month accumulation periods and analyze both their contemporaneous and lagged effects on economic outputs at fine spatial level. By combining high spatial resolution drought indices with comprehensive economic data and local projection</w:t>
      </w:r>
    </w:p>
    <w:p>
      <w:pPr/>
      <w:r>
        <w:rPr>
          <w:b/>
        </w:rPr>
        <w:t>POSSIBLE 2025:</w:t>
      </w:r>
      <w:r>
        <w:t xml:space="preserve"> The 2022 drought needs to be a turning point for European drought risk management — https://doi.org/10.5194/nhess-25-4475-2025</w:t>
      </w:r>
    </w:p>
    <w:p>
      <w:pPr/>
      <w:r>
        <w:rPr>
          <w:b/>
        </w:rPr>
        <w:t>Shared claim-specific concepts:</w:t>
      </w:r>
      <w:r>
        <w:t xml:space="preserve"> drought, current; EU scope visible. This is a provisional connection, not an outcome finding.</w:t>
      </w:r>
    </w:p>
    <w:p>
      <w:pPr>
        <w:pStyle w:val="SourceNote"/>
      </w:pPr>
      <w:r>
        <w:rPr>
          <w:b/>
        </w:rPr>
        <w:t>Available abstract (not full text):</w:t>
      </w:r>
      <w:r>
        <w:t xml:space="preserve"> Abstract. The 2022 European drought has underscored critical deficiencies in European water management. This paper explores these shortcomings and suggests a way forward for European drought risk management. Data for this study was gathered through a continent-wide survey of water managers involved in this event. The survey collected 481 responses from 30 European countries and is comprised of 19 questions concerning sectorial impact in the 55 regions of the responders and drought risk management practices of their organizations. Information from the survey is enriched with climate-related information to offer a comprehensive overview of drought risk management in Europe. Our research focuses on four key aspects: the increasing risk of drought, its spatial and temporal impacts, current drought risk management approaches, and the evolution of drought risk management across the continent. Our findings reveal a consensus on the growing risk of drought, which is confounded by the rising frequency and intensity of droughts. While the 2022 event affected most of the continent, our findings show significant regional disparities in drought risk management capacity among the various countries. Our analysis indicates that current drought risk management measures often rely on short-term operational concerns, particularly in agriculture-dominated economies, leading to potentially maladapt</w:t>
      </w:r>
    </w:p>
    <w:p>
      <w:pPr/>
      <w:r>
        <w:rPr>
          <w:b/>
        </w:rPr>
        <w:t>POSSIBLE 2025:</w:t>
      </w:r>
      <w:r>
        <w:t xml:space="preserve"> Global increase in the occurrence and impact of multiyear droughts — https://doi.org/10.1126/science.ado4245</w:t>
      </w:r>
    </w:p>
    <w:p>
      <w:pPr/>
      <w:r>
        <w:rPr>
          <w:b/>
        </w:rPr>
        <w:t>Shared claim-specific concepts:</w:t>
      </w:r>
      <w:r>
        <w:t xml:space="preserve"> drought, severity, increase, climate; EU scope not established. This is a provisional connection, not an outcome finding.</w:t>
      </w:r>
    </w:p>
    <w:p>
      <w:pPr>
        <w:pStyle w:val="SourceNote"/>
      </w:pPr>
      <w:r>
        <w:rPr>
          <w:b/>
        </w:rPr>
        <w:t>Available abstract (not full text):</w:t>
      </w:r>
      <w:r>
        <w:t xml:space="preserve"> Persistent multiyear drought (MYD) events pose a growing threat to nature and humans in a changing climate. We identified and inventoried global MYDs by detecting spatiotemporally contiguous climatic anomalies, showing that MYDs have become drier, hotter, and led to increasingly diminished vegetation greenness. The global terrestrial land affected by MYDs has increased at a rate of 49,279 ± 14,771 square kilometers per year from 1980 to 2018. Temperate grasslands have exhibited the greatest declines in vegetation greenness during MYDs, whereas boreal and tropical forests have had comparably minor responses. With MYDs becoming more common, this global quantitative inventory of the occurrence, severity, trend, and impact of MYDs provides an important benchmark for facilitating more effective and collaborative preparedness toward mitigation of and adaptation to such extreme events.</w:t>
      </w:r>
    </w:p>
    <w:p>
      <w:pPr/>
      <w:r>
        <w:rPr>
          <w:b/>
        </w:rPr>
        <w:t>POSSIBLE 2025:</w:t>
      </w:r>
      <w:r>
        <w:t xml:space="preserve"> Understanding droughts under climate change in South America based on severity-duration-frequency curves and drought atlases — https://doi.org/10.1007/s10584-025-04015-1</w:t>
      </w:r>
    </w:p>
    <w:p>
      <w:pPr/>
      <w:r>
        <w:rPr>
          <w:b/>
        </w:rPr>
        <w:t>Shared claim-specific concepts:</w:t>
      </w:r>
      <w:r>
        <w:t xml:space="preserve"> drought, severity, increase, climate; EU scope not established. This is a provisional connection, not an outcome finding.</w:t>
      </w:r>
    </w:p>
    <w:p>
      <w:pPr>
        <w:pStyle w:val="SourceNote"/>
      </w:pPr>
      <w:r>
        <w:rPr>
          <w:b/>
        </w:rPr>
        <w:t>Available abstract (not full text):</w:t>
      </w:r>
      <w:r>
        <w:t xml:space="preserve"> Abstract Droughts are among the most complex and costly natural disasters, with major impacts on environmental and socio-economic structures which are substantially influenced by anthropogenic factors. The continent of South America is particularly vulnerable and has experienced significant drought events over the past decade. The primary objective of this study is to enhance the understanding of droughts on this continent. Furthermore, it seeks to support the development of science-based decisions and strategies to mitigate the impacts of droughts on agriculture, water resources and wider socio-economic systems. To this end, Severity-Duration-Frequency (SDF) curves are developed using a copula-based approach, which offers a robust framework for assessing the likelihood and the impact of drought events. The analysis is carried out for the seven regions that describe the continent according to the Sixth Assessment Report of the Intergovernmental Panel on Climate Change (IPCC AR6) and based on ERA5 and CMIP6 data. Recurrence intervals of drought severity and duration are quantified for historical experiments (hist and histnat) and future climate scenarios (ssp245 and ssp585). These results are complemented by Drought Atlases for South America for different drought types. The results indicate that all analysed regions in South America will experience an increase in severity in the</w:t>
      </w:r>
    </w:p>
    <w:p>
      <w:pPr/>
      <w:r>
        <w:rPr>
          <w:b/>
        </w:rPr>
        <w:t>POSSIBLE 2025:</w:t>
      </w:r>
      <w:r>
        <w:t xml:space="preserve"> Rising temperatures intensify drought propagation and severity across the contiguous United States — https://doi.org/10.1038/s44304-025-00134-y</w:t>
      </w:r>
    </w:p>
    <w:p>
      <w:pPr/>
      <w:r>
        <w:rPr>
          <w:b/>
        </w:rPr>
        <w:t>Shared claim-specific concepts:</w:t>
      </w:r>
      <w:r>
        <w:t xml:space="preserve"> drought, severity, agricultural, vulnerabilities; EU scope not established. This is a provisional connection, not an outcome finding.</w:t>
      </w:r>
    </w:p>
    <w:p>
      <w:pPr>
        <w:pStyle w:val="SourceNote"/>
      </w:pPr>
      <w:r>
        <w:rPr>
          <w:b/>
        </w:rPr>
        <w:t>Available abstract (not full text):</w:t>
      </w:r>
      <w:r>
        <w:t xml:space="preserve"> Abstract Droughts can propagate from meteorological droughts (MD) into agricultural (AD) and hydrological droughts (HD). However, the mechanisms by which rising temperatures and changes in precipitation amount influence MD propagation, and how these dynamics vary across U.S., are not yet fully understood. This gap is critical given the U.S.’s diverse climates and land-use patterns, which lead to region-specific drought vulnerabilities and impacts, such as the 2012 AD in the Great Plains and the 2014 HD in the western U.S. Using a dynamical-statistical framework, we assess warming impacts on drought propagation. Results reveal that the Midwest and Southeast, key agricultural regions, show the largest increases in MD propagation to AD/HD, driven by rising temperatures and declining precipitation, though magnitudes vary regionally. In contrast, the Northeast shows reduced propagation due to increased year-round precipitation. Higher-intensity AD/HD events become disproportionately more likely, with rates varying by region and MD intensity.</w:t>
      </w:r>
    </w:p>
    <w:p>
      <w:pPr>
        <w:pStyle w:val="Heading2"/>
      </w:pPr>
      <w:r>
        <w:t>584. Decoupling transport-related greenhouse gas emissions and economic growth in the European Union countries</w:t>
      </w:r>
    </w:p>
    <w:p>
      <w:pPr>
        <w:pStyle w:val="SourceNote"/>
      </w:pPr>
      <w:r>
        <w:rPr>
          <w:b/>
        </w:rPr>
        <w:t>Original source (2021):</w:t>
      </w:r>
      <w:r>
        <w:t xml:space="preserve"> https://doi.org/10.13044/j.sdewes.d9.0411</w:t>
      </w:r>
    </w:p>
    <w:p>
      <w:pPr/>
      <w:r>
        <w:t>Original wording (abstract; indexed_source_text_not_full_document_verified): As the European Union declares its ambition to become the first climate-neutral continent by 2050, it is more than important to monitor and analyse developments in greenhouse gas emissions in individual sectors, including transport.The paper aims to assess using the decoupling method, the relationship between transport-related greenhouse gas emissions and the economic growth of the EU countries.The results indicate that the countries achieved different stages of decoupling within the individual monitored periods, with relative decoupling (55%) and absolute decoupling (34%) being the most common.However, in the long run (20 year study period 1997-2017), only 8 countries achieved absolute (strong) decoupling, which does not seem to be sufficient in the pursuit of the EU´s ambitious climate mitigation targets.</w:t>
      </w:r>
    </w:p>
    <w:p>
      <w:pPr/>
      <w:r>
        <w:rPr>
          <w:b/>
        </w:rPr>
        <w:t>POSSIBLE 2026:</w:t>
      </w:r>
      <w:r>
        <w:t xml:space="preserve"> A multi-model analysis of hydrogen uptake in a climate-neutral Europe — https://doi.org/10.1038/s41467-026-78681-9</w:t>
      </w:r>
    </w:p>
    <w:p>
      <w:pPr/>
      <w:r>
        <w:rPr>
          <w:b/>
        </w:rPr>
        <w:t>Shared claim-specific concepts:</w:t>
      </w:r>
      <w:r>
        <w:t xml:space="preserve"> union, climate-neutral, sectors, transport; EU scope visible. This is a provisional connection, not an outcome finding.</w:t>
      </w:r>
    </w:p>
    <w:p>
      <w:pPr>
        <w:pStyle w:val="SourceNote"/>
      </w:pPr>
      <w:r>
        <w:rPr>
          <w:b/>
        </w:rPr>
        <w:t>Available abstract (not full text):</w:t>
      </w:r>
      <w:r>
        <w:t xml:space="preserve"> Using an ensemble of integrated assessment models, we quantify the role of hydrogen in Europe’s energy transition under multiple climate policy scenarios. Hydrogen uptake in our net-zero scenario varies widely across models, ranging from 0.3 to 11.7 exajoules (average 4 exajoules) by 2050 and corresponding to 1-14% (average 7%) of final energy consumption, primarily in industry and synthetic fuel production. Hydrogen contributes minimally to electricity generation, and its direct use in transport and buildings remains limited. Despite projected carbon dioxide prices of 150–250 euros per tonne by 2030, hydrogen adoption remains below 2% (7 million tonnes) of final energy consumption, far below the European Union’s 2030 target of 20 million tonnes of green hydrogen from domestic production and imports. Hydrogen trade is scarcely modelled and therefore underrepresented. Our results support prioritizing near-term electrification while preparing strategically today for large-scale hydrogen expansion after 2040. Across multiple European energy models, deep decarbonization relies on strong early electrification, while hydrogen expands mainly after 2040 in hard-to-abate sectors; stronger policy support is essential for robust net-zero pathways.</w:t>
      </w:r>
    </w:p>
    <w:p>
      <w:pPr/>
      <w:r>
        <w:rPr>
          <w:b/>
        </w:rPr>
        <w:t>POSSIBLE 2025:</w:t>
      </w:r>
      <w:r>
        <w:t xml:space="preserve"> Setting the course: aligning European Union marine pollution policy ambitions with environmental realities — https://doi.org/10.3389/fmars.2025.1586918</w:t>
      </w:r>
    </w:p>
    <w:p>
      <w:pPr/>
      <w:r>
        <w:rPr>
          <w:b/>
        </w:rPr>
        <w:t>Shared claim-specific concepts:</w:t>
      </w:r>
      <w:r>
        <w:t xml:space="preserve"> union, sectors, including, between; EU scope visible. This is a provisional connection, not an outcome finding.</w:t>
      </w:r>
    </w:p>
    <w:p>
      <w:pPr>
        <w:pStyle w:val="SourceNote"/>
      </w:pPr>
      <w:r>
        <w:rPr>
          <w:b/>
        </w:rPr>
        <w:t>Available abstract (not full text):</w:t>
      </w:r>
      <w:r>
        <w:t xml:space="preserve"> Pollution in coastal and marine waters is a global challenge that transcends national boundaries, affecting interconnected seas, the ocean and broader ecosystems. Addressing marine pollution requires policies that encompass not only the marine domain but the entire ecosystem, including human societies. Therefore, a comprehensive and integrated governance approach, linking land-based sources to marine environments, is essential for effective pollution management and mitigation. This study assesses the current environmental status of persistent, long-lasting and emerging pollutants (PCBs, excess nutrients, microplastics, PFAS, and underwater noise) and cumulative effects of pollution, and compares these with the set European Union (EU) environmental goals and ambitions. A systematic review of EU policy documents reveals that several targets are unclear, arbitrary, and often unattainable, limiting the effectiveness of current strategies. This paper presents five actionable recommendations to strengthen marine environmental policy, emphasizing the need for better alignment between EU ambitions and environmental realities. To enhance EU pollution policies, it is crucial to reinforce regulatory frameworks, ensure the effective enforcement of existing legislation, foster collaboration across sectors, and empower citizens and NGOs. Additionally, integrating health and pollution policie</w:t>
      </w:r>
    </w:p>
    <w:p>
      <w:pPr/>
      <w:r>
        <w:rPr>
          <w:b/>
        </w:rPr>
        <w:t>POSSIBLE 2025:</w:t>
      </w:r>
      <w:r>
        <w:t xml:space="preserve"> The European Union — https://doi.org/10.1017/9781009293723.009</w:t>
      </w:r>
    </w:p>
    <w:p>
      <w:pPr/>
      <w:r>
        <w:rPr>
          <w:b/>
        </w:rPr>
        <w:t>Shared claim-specific concepts:</w:t>
      </w:r>
      <w:r>
        <w:t xml:space="preserve"> union, relationship, between; EU scope visible. This is a provisional connection, not an outcome finding.</w:t>
      </w:r>
    </w:p>
    <w:p>
      <w:pPr>
        <w:pStyle w:val="SourceNote"/>
      </w:pPr>
      <w:r>
        <w:rPr>
          <w:b/>
        </w:rPr>
        <w:t>Available abstract (not full text):</w:t>
      </w:r>
      <w:r>
        <w:t xml:space="preserve"> The rise of the European Union elicits both theoretical and practical questions about notions of citizenship, and citizens’ duties, that transcend nation-state boundaries. Indeed, its supranational nature invites reevaluation of the concepts of citizenship and political community more generally. In a similar vein, this chapter considers the European Court of Justice’s (ECJ) practice of horizontal application in light of republican theory. The fact that the ECJ has introduced horizontal application in EU law at all is itself a point of interest, given the debatable status of the Union as a political community in the republican sense. This book’s republican framework points toward a conceptual relationship between the development of horizontal application and the fate of the European Union as, in fact, something more than a loose union of nation-states. Put differently, a full flowering of horizontal application is theoretically tied to wider acceptance of the European Union as a fully fledged political community, complete with citizens’ duties to one another and a common good of which to speak.</w:t>
      </w:r>
    </w:p>
    <w:p>
      <w:pPr/>
      <w:r>
        <w:rPr>
          <w:b/>
        </w:rPr>
        <w:t>POSSIBLE 2025:</w:t>
      </w:r>
      <w:r>
        <w:t xml:space="preserve"> The green hydrogen ambition and implementation gap — https://doi.org/10.1038/s41560-024-01684-7</w:t>
      </w:r>
    </w:p>
    <w:p>
      <w:pPr/>
      <w:r>
        <w:rPr>
          <w:b/>
        </w:rPr>
        <w:t>Shared claim-specific concepts:</w:t>
      </w:r>
      <w:r>
        <w:t xml:space="preserve"> ambition, sectors; EU scope not established. This is a provisional connection, not an outcome finding.</w:t>
      </w:r>
    </w:p>
    <w:p>
      <w:pPr>
        <w:pStyle w:val="SourceNote"/>
      </w:pPr>
      <w:r>
        <w:rPr>
          <w:b/>
        </w:rPr>
        <w:t>Available abstract (not full text):</w:t>
      </w:r>
      <w:r>
        <w:t xml:space="preserve"> Abstract Green hydrogen is critical for decarbonizing hard-to-electrify sectors, but it faces high costs and investment risks. Here we define and quantify the green hydrogen ambition and implementation gap, showing that meeting hydrogen expectations will remain challenging despite surging announcements of projects and subsidies. Tracking 190 projects over 3 years, we identify a wide 2023 implementation gap with only 7% of global capacity announcements finished on schedule. In contrast, the 2030 ambition gap towards 1.5 °C scenarios has been gradually closing as the announced project pipeline has nearly tripled to 422 GW within 3 years. However, we estimate that, without carbon pricing, realizing all these projects would require global subsidies of US$1.3 trillion (US$0.8–2.6 trillion range), far exceeding announced subsidies. Given past and future implementation gaps, policymakers must prepare for prolonged green hydrogen scarcity. Policy support needs to secure hydrogen investments, but should focus on applications where hydrogen is indispensable.</w:t>
      </w:r>
    </w:p>
    <w:p>
      <w:pPr/>
      <w:r>
        <w:rPr>
          <w:b/>
        </w:rPr>
        <w:t>POSSIBLE 2025:</w:t>
      </w:r>
      <w:r>
        <w:t xml:space="preserve"> ReS-ACUE: standardized data linking recovery objectives and ambition to habitat protection for species at risk in Australia, Canada, the United States, and the European Union — https://doi.org/10.3389/fevo.2025.1659957</w:t>
      </w:r>
    </w:p>
    <w:p>
      <w:pPr/>
      <w:r>
        <w:rPr>
          <w:b/>
        </w:rPr>
        <w:t>Shared claim-specific concepts:</w:t>
      </w:r>
      <w:r>
        <w:t xml:space="preserve"> union, ambition, including, aims, assess; EU scope visible. This is a provisional connection, not an outcome finding.</w:t>
      </w:r>
    </w:p>
    <w:p>
      <w:pPr>
        <w:pStyle w:val="SourceNote"/>
      </w:pPr>
      <w:r>
        <w:rPr>
          <w:b/>
        </w:rPr>
        <w:t>Available abstract (not full text):</w:t>
      </w:r>
      <w:r>
        <w:t xml:space="preserve"> The biodiversity crisis, characterized by the rapid decline of global biodiversity, is one of the most urgent environmental issues of our time. Currently, 28% of all assessed animal, fungal, and plant species on the International Union for Conservation of Nature (IUCN) Red List are threatened with extinction (IUCN, 2025a). Up to one million species could succumb to extinction within decades (IPBES, 2019). One of the primary drivers of biodiversity loss is habitat loss and degradation (Johnson et al., 2017) from human activity, such as land-and sea-use change (IPBES, 2019). It is estimated that 9% (&gt;500,000) of species do not have adequate habitat for long-term survival (IPBES, 2019). Effective measures for protecting, conserving and restoring habitats of threatened species are essential for safeguarding biodiversity (Corlett, 2020;Dinerstein et al., 2024).The use of habitat protection as a mechanism for reversing biodiversity loss has a wellestablished history within international conservation initiatives. Signatories of the 1992 Convention on Biological Diversity were encouraged to develop or maintain legislative and regulatory provisions to protect threatened species and populations (Article 8K; CBD 2011). The promotion of habitat protection to prevent global species extinction and biodiversity was emphasized subsequently in goals 14 and 15 of the United Nations Sustainable D</w:t>
      </w:r>
    </w:p>
    <w:p>
      <w:pPr/>
      <w:r>
        <w:rPr>
          <w:b/>
        </w:rPr>
        <w:t>POSSIBLE 2025:</w:t>
      </w:r>
      <w:r>
        <w:t xml:space="preserve"> Cluster Analysis of the Transition to Climate Neutrality in the European Union — https://doi.org/10.1002/sd.70064</w:t>
      </w:r>
    </w:p>
    <w:p>
      <w:pPr/>
      <w:r>
        <w:rPr>
          <w:b/>
        </w:rPr>
        <w:t>Shared claim-specific concepts:</w:t>
      </w:r>
      <w:r>
        <w:t xml:space="preserve"> union, important, individual, aims, method, between;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Assessing the climate and health impacts of energy consumption in European Union countries — https://doi.org/10.1088/1748-9326/add752</w:t>
      </w:r>
    </w:p>
    <w:p>
      <w:pPr/>
      <w:r>
        <w:rPr>
          <w:b/>
        </w:rPr>
        <w:t>Shared claim-specific concepts:</w:t>
      </w:r>
      <w:r>
        <w:t xml:space="preserve"> union, greenhouse, gas, emissions, assess; EU scope visible. This is a provisional connection, not an outcome finding.</w:t>
      </w:r>
    </w:p>
    <w:p>
      <w:pPr>
        <w:pStyle w:val="SourceNote"/>
      </w:pPr>
      <w:r>
        <w:rPr>
          <w:b/>
        </w:rPr>
        <w:t>Available abstract (not full text):</w:t>
      </w:r>
      <w:r>
        <w:t xml:space="preserve"> ************************************************************************************************************** Note: This article has been published in Environmental Research Letters. Please refer to the published version: https://doi.org/10.1088/1748-9326/add752 ************************************************************************************************************** Greenhouse gas emissions from burning fossil fuels are routinely counted in energy and climate policies, yet the immediate health burden of air pollution emissions from combusting these fuels is rarely quantified alongside. Particularly, the European Union (EU) comprises countries with diverse energy mixes, emission characteristics, reduction technologies, and policy frameworks, leading to large variations in the impacts of energy consumption on climate, air quality, and public health. Understanding these country-level variations is critical to optimize regional energy policies and reduce climate and health disparities in the EU. This study quantifies the regional variations in both climate and health impacts of energy consumption across EU countries. In countries where coal or oil dominates power supply, the health impacts of electricity consumption can be larger than climate impacts by more than ten times (e.g., Bulgaria, Romania, and Greece), highlighting the necessity of incorporating health impacts into c</w:t>
      </w:r>
    </w:p>
    <w:p>
      <w:pPr/>
      <w:r>
        <w:rPr>
          <w:b/>
        </w:rPr>
        <w:t>POSSIBLE 2024:</w:t>
      </w:r>
      <w:r>
        <w:t xml:space="preserve"> European sustainability: ambitions and challenges — https://doi.org/10.24263/edsd-2024-6-3</w:t>
      </w:r>
    </w:p>
    <w:p>
      <w:pPr/>
      <w:r>
        <w:rPr>
          <w:b/>
        </w:rPr>
        <w:t>Shared claim-specific concepts:</w:t>
      </w:r>
      <w:r>
        <w:t xml:space="preserve"> union, first, climate-neutral, continent, greenhouse, gas; EU scope visible. This is a provisional connection, not an outcome finding.</w:t>
      </w:r>
    </w:p>
    <w:p>
      <w:pPr>
        <w:pStyle w:val="SourceNote"/>
      </w:pPr>
      <w:r>
        <w:rPr>
          <w:b/>
        </w:rPr>
        <w:t>Available abstract (not full text):</w:t>
      </w:r>
      <w:r>
        <w:t xml:space="preserve"> The European Union (EU) has been the global leader in sustainable development strategy and climate change mitigation for decades. Key strategic documents, which indicate dedicated environmentally friendly policies of the Union, include, e.g., Europe 2020 Strategy, the Strategy for Circular Economy, the European Green Deal (EGD), and Fit for 55 package. In terms of Europe 2020 strategy on smart, sustainable and inclusive growth, the EU reached over 20% reduction of greenhouse gas (GHG) emission (from 2010 to 2020). And in terms of EGD, the most ambitious goal was set to make Europe the first climate-neutral continent with zero net GHG emission by 2050. Open Russian aggression against Ukraine in Feb 2022 forced Europe to be ready for new challenges, including overcoming dependence on Russian energy resources. Answering these challenges, the EU adopted REPowerEU strategy to eliminate its dependence on Russian fossil fuels till 2030. The Union imposes economic sanctions on the Russian regime and provides powerful financial support to Ukraine. Keeping in mind a huge military machine of Russia and terrorist way of thinking of its leader it seems we still need much more international efforts to turn Europe back to a sustainable track of development.</w:t>
      </w:r>
    </w:p>
    <w:p>
      <w:pPr/>
      <w:r>
        <w:rPr>
          <w:b/>
        </w:rPr>
        <w:t>POSSIBLE 2024:</w:t>
      </w:r>
      <w:r>
        <w:t xml:space="preserve"> Climate Obstruction in the European Union — https://doi.org/10.1093/oso/9780197762042.003.0013</w:t>
      </w:r>
    </w:p>
    <w:p>
      <w:pPr/>
      <w:r>
        <w:rPr>
          <w:b/>
        </w:rPr>
        <w:t>Shared claim-specific concepts:</w:t>
      </w:r>
      <w:r>
        <w:t xml:space="preserve"> union, ambition, individual; EU scope visible. This is a provisional connection, not an outcome finding.</w:t>
      </w:r>
    </w:p>
    <w:p>
      <w:pPr>
        <w:pStyle w:val="SourceNote"/>
      </w:pPr>
      <w:r>
        <w:rPr>
          <w:b/>
        </w:rPr>
        <w:t>Available abstract (not full text):</w:t>
      </w:r>
      <w:r>
        <w:t xml:space="preserve"> Abstract The European Union has gained increasing influence in setting climate policy. Its power to determine the orientation of the integrated body and in negotiation and decision-making gives the European Union a privileged role in the climate policies of individual member states—and these processes are, accordingly, contested. At the EU level, efforts to obstruct ambitious action aim not to deny climate change but to reduce the ambition of policy initiatives and make them more market friendly. To capture the opposition, the chapter evaluates texts from key EU associations such as BusinessEurope as well as the output of conservative and neoliberal European think tanks and networks such as the Centre for European Policy. It also examines the influence of fossil fuel and ‘green’ lobby groups and analyses the extent to which actors have been able to implement their climate obstruction activities through direct contacts within the European Commission.</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union, greenhouse, gas, emissions;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Internal Combustion Engines and Carbon-Neutral Fuels: A Perspective on Emission Neutrality in the European Union — https://doi.org/10.3390/en17051172</w:t>
      </w:r>
    </w:p>
    <w:p>
      <w:pPr/>
      <w:r>
        <w:rPr>
          <w:b/>
        </w:rPr>
        <w:t>Shared claim-specific concepts:</w:t>
      </w:r>
      <w:r>
        <w:t xml:space="preserve"> union, first, climate-neutral, continent, transport, aims; EU scope visible. This is a provisional connection, not an outcome finding.</w:t>
      </w:r>
    </w:p>
    <w:p>
      <w:pPr>
        <w:pStyle w:val="SourceNote"/>
      </w:pPr>
      <w:r>
        <w:rPr>
          <w:b/>
        </w:rPr>
        <w:t>Available abstract (not full text):</w:t>
      </w:r>
      <w:r>
        <w:t xml:space="preserve"> Nowadays, there is an intense debate in the European Union (EU) regarding the limits to achieve the European Green Deal, to make Europe the first climate-neutral continent in the world. In this context, there are also different opinions about the role that thermal engines should play. Furhermore, there is no clear proposal regarding the possibilities of the use of green hydrogen in the transport decarbonization process, even though it should be a key element. Thus, there are still no precise guidelines regarding the role of green hydrogen, with it being exclusively used as a raw material to produce E-fuels. This review aims to evaluate the possibilities of applying the different alternative technologies available to successfully complete the process already underway to achieve Climate Neutrality by about 2050, depending on the maturity of the technologies currently available, and those anticipated to be available in the coming decades.</w:t>
      </w:r>
    </w:p>
    <w:p>
      <w:pPr/>
      <w:r>
        <w:rPr>
          <w:b/>
        </w:rPr>
        <w:t>POSSIBLE 2024:</w:t>
      </w:r>
      <w:r>
        <w:t xml:space="preserve"> Assessment of the Potential of European Union Member States to Achieve Climate Neutrality — https://doi.org/10.3390/su16031311</w:t>
      </w:r>
    </w:p>
    <w:p>
      <w:pPr/>
      <w:r>
        <w:rPr>
          <w:b/>
        </w:rPr>
        <w:t>Shared claim-specific concepts:</w:t>
      </w:r>
      <w:r>
        <w:t xml:space="preserve"> union, first, emissions, relationship, between; EU scope visible. This is a provisional connection, not an outcome finding.</w:t>
      </w:r>
    </w:p>
    <w:p>
      <w:pPr>
        <w:pStyle w:val="SourceNote"/>
      </w:pPr>
      <w:r>
        <w:rPr>
          <w:b/>
        </w:rPr>
        <w:t>Available abstract (not full text):</w:t>
      </w:r>
      <w:r>
        <w:t xml:space="preserve"> Climate neutrality is the main environmental goal set for the European Union Member States until 2050. EU economies can achieve this ambitious climate goal by reducing the emission intensity of economies, which has been achieved for many years by reducing pollution emitted by industry. The aim of the study is focused primarily on demonstrating the degree of relationship between the variables describing economic growth, GDP, and the level of CO2 emissions. In the first stage of the research, the potential of countries to achieve climate neutrality was assessed, which was achieved by estimating the correlation between GDP indices in relation to 2013 and the level of CO2 emissions. Research has shown that despite the countries’ differences in the structure of their energy balances, they can achieve independence of economic growth from the emission level of their economies. The research also concerns Poland’s special situation compared to other European Union countries according to energy balance based on coal. A model based on differential equations was used to simulate the impact of GDP, energy intensity, and the share of biofuels on temperature and CO2 concentration until 2030, using data for Poland as an example. The aim of this analysis is to answer the question of whether the energy transformation in the country will achieve the assumed emission reduction goals by 2030.</w:t>
      </w:r>
    </w:p>
    <w:p>
      <w:pPr>
        <w:pStyle w:val="Heading2"/>
      </w:pPr>
      <w:r>
        <w:t>585. Designing health system scenarios at the national level</w:t>
      </w:r>
    </w:p>
    <w:p>
      <w:pPr>
        <w:pStyle w:val="SourceNote"/>
      </w:pPr>
      <w:r>
        <w:rPr>
          <w:b/>
        </w:rPr>
        <w:t>Original source (2021):</w:t>
      </w:r>
      <w:r>
        <w:t xml:space="preserve"> https://doi.org/10.52547/ijhehp.9.3.296</w:t>
      </w:r>
    </w:p>
    <w:p>
      <w:pPr/>
      <w:r>
        <w:t>Original wording (abstract; indexed_source_text_not_full_document_verified): Materials and Methods:In this study, using in-depth interview tools and a questionnaire governing the Maktor software with 25 health system experts in the 2019 and relying on the process of scriptwriting at the University of Norway in four steps of analyzing trends and actors in the field of health as The first step is to determine the drivers as the second step, the development of scenarios as the third step, and finally the evaluation and strategic recommendation as the fourth step to design the scenarios of the health system at the national level.Results: The findings include four scenarios.The goal of the first scenario as a desirable scenario, Equity in the collective dimension and wellbeing in the individual dimension, in the second scenario as a possible scenario, the goal of that Equity in the collective dimension and ignoring wellbeing in the individual dimension, in the third scenario as a possible scenario goal of wellbeing in the dimension Individual and neglect of Equity in the collective dimension, and finally the fourth scenario as a scenario of disaster in which there is neither wellbeing in the individual dimension nor Equity in the collective dimension.Conclusion: In order to move away from the disaster scenario and approach the desired scenario, the country's health system needs to change the paradigm from therapist to caregiver in such a way that multiple care promotes health, disease prevention, and treatment.Diseases and rehabilitation are integrated and, in this integration, the most important policy will be health promotion.</w:t>
      </w:r>
    </w:p>
    <w:p>
      <w:pPr/>
      <w:r>
        <w:rPr>
          <w:b/>
        </w:rPr>
        <w:t>POSSIBLE 2026:</w:t>
      </w:r>
      <w:r>
        <w:t xml:space="preserve"> Measuring the Confidence Architecture of Indo-European Claims: findings, code and reproduction materials. — https://doi.org/10.5281/zenodo.22880450</w:t>
      </w:r>
    </w:p>
    <w:p>
      <w:pPr/>
      <w:r>
        <w:rPr>
          <w:b/>
        </w:rPr>
        <w:t>Shared claim-specific concepts:</w:t>
      </w:r>
      <w:r>
        <w:t xml:space="preserve"> materials, tools, four; EU scope visible. This is a provisional connection, not an outcome finding.</w:t>
      </w:r>
    </w:p>
    <w:p>
      <w:pPr>
        <w:pStyle w:val="SourceNote"/>
      </w:pPr>
      <w:r>
        <w:rPr>
          <w:b/>
        </w:rPr>
        <w:t>Available abstract (not full text):</w:t>
      </w:r>
      <w:r>
        <w:t xml:space="preserve"> This deposit contains the complete materials of a calibration study of Indo-European historical linguistics: twenty-one research findings, eleven executable tests with their outputs, an article draft, and an essay on the methodological fallacy registry the project accumulated about itself. The study does not attempt to prove or refute Indo-European reconstruction. It asks a narrower and more answerable question: which specific claims are supported by what kind of evidence, and how far does the confidence in each actually extend. Criteria were declared in advance, in the headers of the scripts, before those scripts were run. Predictions that failed remain visible in the archive rather than being removed. Principal findings. The limit of reconstruction is coverage, not accuracy. Across four families with an attested ancestor — Old Church Slavonic at 1,075 years of depth, Latin at 2,075, Ancient Greek at 2,475, Vedic at 3,225 — reconstruction accuracy correlates with time depth at r = −0.970, but the recoverable ceiling correlates at r = −0.893 while the distance between reconstruction and that ceiling correlates at only r = −0.440. Reconstruction stays a consistent 9 to 18 points below the best-preserving daughter while the ceiling itself collapses from 57.4% to 32.8%. The method does not decay with depth; the material does. What was lost in every daughter is not uncertain but ou</w:t>
      </w:r>
    </w:p>
    <w:p>
      <w:pPr/>
      <w:r>
        <w:rPr>
          <w:b/>
        </w:rPr>
        <w:t>POSSIBLE 2026:</w:t>
      </w:r>
      <w:r>
        <w:t xml:space="preserve"> Optimizing coating materials and processes for controlled release coated urea fertilizer: review of bio-based coating materials and encapsulation methods — https://doi.org/10.15480/882.17571</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The strict legal requirements in the European Union mandating biodegradable components in fertilizers by 2026 underscore the urgent need for innovative solutions in controlled release coated urea (CRCU) fertilizers. Despite the critical importance of optimizing coating materials and processes for CRCU fertilizers, a comprehensive review of optimization methods is notably absent, leaving a significant knowledge gap in the development of efficient and sustainable CRCU technologies. This review addresses this gap by providing an in-depth analysis of bio-based coating materials, encapsulation methods, and fluidized bed processes for CRCU fertilizers. We critically evaluate existing research, identify key challenges and opportunities, and discuss future directions for developing biodegradable and efficient CRCU fertilizers that meet the impending regulatory requirements. This review serves as a timely resource for researchers, industry stakeholders, and policymakers seeking to develop and implement sustainable coating solutions.</w:t>
      </w:r>
    </w:p>
    <w:p>
      <w:pPr/>
      <w:r>
        <w:rPr>
          <w:b/>
        </w:rPr>
        <w:t>POSSIBLE 2026:</w:t>
      </w:r>
      <w:r>
        <w:t xml:space="preserve"> The potential of the SARC-CalF questionnaire as a screening tool for frailty — https://doi.org/10.17826/cumj.1929370</w:t>
      </w:r>
    </w:p>
    <w:p>
      <w:pPr/>
      <w:r>
        <w:rPr>
          <w:b/>
        </w:rPr>
        <w:t>Shared claim-specific concepts:</w:t>
      </w:r>
      <w:r>
        <w:t xml:space="preserve"> materials, methods, questionnaire; EU scope not established. This is a provisional connection, not an outcome finding.</w:t>
      </w:r>
    </w:p>
    <w:p>
      <w:pPr>
        <w:pStyle w:val="SourceNote"/>
      </w:pPr>
      <w:r>
        <w:rPr>
          <w:b/>
        </w:rPr>
        <w:t>Available abstract (not full text):</w:t>
      </w:r>
      <w:r>
        <w:t xml:space="preserve"> Purpose: Frailty and sarcopenia exhibit overlapping physical characteristics, as described by the Fried Frailty Phenotype (FFP). Although the SARC-CalF questionnaire is widely used for sarcopenia screening, as recommended by the EWGSOP-2 guidelines, its potential to identify frailty has not been thoroughly investigated. This study aims to evaluate the SARC-CalF as a simple, objective tool for assessing frailty in older adults.Materials and Methods: This cross-sectional study included 337 patients aged 65 years and older. Frailty was assessed through the FFP. Demographic characteristics and the SARC-CalF questionnaire were obtained. To identify appropriate SARC-CalF cut-off points for detecting frailty, we used a receiver operating characteristic (ROC) curve to calculate the area under the curve (AUC) and its 95% confidence interval.Results: The average age of the participants was 75.27±6.6, with 64.3% (n=217) being women. Frailty was observed in 15.4 % (n=52) of the study population. Frail patients exhibited higher median SARC-CalF scores than non-frail participants (5.5 vs. 1). The AUC of the SARC-CalF score for frailty was 0.800 (95% confidence interval [CI], 0.75-0.84). Using a cut-off value of &gt;2, sensitivity was 84.6%, specificity was 66.3%, PPV was 30.7%, and NPV was 96.1%.Conclusion: The SARC-CalF questionnaire demonstrated good discriminative performance in identifying </w:t>
      </w:r>
    </w:p>
    <w:p>
      <w:pPr/>
      <w:r>
        <w:rPr>
          <w:b/>
        </w:rPr>
        <w:t>POSSIBLE 2025:</w:t>
      </w:r>
      <w:r>
        <w:t xml:space="preserve"> Analytical Methods for In-Depth Assessment of Recycled Plastics: A Review — https://doi.org/10.3390/environments12050154</w:t>
      </w:r>
    </w:p>
    <w:p>
      <w:pPr/>
      <w:r>
        <w:rPr>
          <w:b/>
        </w:rPr>
        <w:t>Shared claim-specific concepts:</w:t>
      </w:r>
      <w:r>
        <w:t xml:space="preserve"> materials, methods, in-depth; EU scope not established. This is a provisional connection, not an outcome finding.</w:t>
      </w:r>
    </w:p>
    <w:p>
      <w:pPr>
        <w:pStyle w:val="SourceNote"/>
      </w:pPr>
      <w:r>
        <w:rPr>
          <w:b/>
        </w:rPr>
        <w:t>Available abstract (not full text):</w:t>
      </w:r>
      <w:r>
        <w:t xml:space="preserve"> Assessing the detailed characteristics of recycled plastics is essential for evaluating their quality and suitability for high-value applications compared to virgin polymers. This review provides a comprehensive overview of advanced analytical techniques used for characterizing the chemical, structural, morphological, and physical properties of recycled polymeric materials. The techniques examined include Fourier Transform Infrared Spectroscopy (FTIR), Micro-Raman spectroscopy, X-ray Fluorescence (XRF), Inductively Coupled Plasma (ICP) techniques, X-ray Powder Diffraction (XRPD), Differential Scanning Calorimetry (DSC), and Scanning Electron Microscopy (SEM). These methods are critically assessed for their effectiveness in detecting polymer degradation, surface and structural alterations, and the presence of contaminants—factors frequently introduced during mechanical recycling processes. For each technique, this review outlines the working principles, sample preparation protocols, and illustrative case studies while discussing their advantages, limitations, and operational challenges. By synthesizing current knowledge and methodological advancements, this review aims to support the development of robust and standardized quality assessment protocols. Enhancing the reliability and precision of recycled plastic characterization will improve their acceptance as high-quality second</w:t>
      </w:r>
    </w:p>
    <w:p>
      <w:pPr/>
      <w:r>
        <w:rPr>
          <w:b/>
        </w:rPr>
        <w:t>POSSIBLE 2025:</w:t>
      </w:r>
      <w:r>
        <w:t xml:space="preserve"> Optimizing coating materials and processes for controlled release coated urea fertilizer: Review of bio-based coating materials and encapsulation methods — https://doi.org/10.1016/j.rineng.2025.108716</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The strict legal requirements in the European Union mandating biodegradable components in fertilizers by 2026 underscore the urgent need for innovative solutions in controlled release coated urea (CRCU) fertilizers. Despite the critical importance of optimizing coating materials and processes for CRCU fertilizers, a comprehensive review of optimization methods is notably absent, leaving a significant knowledge gap in the development of efficient and sustainable CRCU technologies. This review addresses this gap by providing an in-depth analysis of bio-based coating materials, encapsulation methods, and fluidized bed processes for CRCU fertilizers. We critically evaluate existing research, identify key challenges and opportunities, and discuss future directions for developing biodegradable and efficient CRCU fertilizers that meet the impending regulatory requirements. This review serves as a timely resource for researchers, industry stakeholders, and policymakers seeking to develop and implement sustainable coating solutions.</w:t>
      </w:r>
    </w:p>
    <w:p>
      <w:pPr/>
      <w:r>
        <w:rPr>
          <w:b/>
        </w:rPr>
        <w:t>POSSIBLE 2025:</w:t>
      </w:r>
      <w:r>
        <w:t xml:space="preserve"> Exploring Parental Intentions to Use Digital Tools to Enhance Parent-Child Sexual Communication in Europe: Cross-Sectional Questionnaire Study — https://doi.org/10.2196/75489</w:t>
      </w:r>
    </w:p>
    <w:p>
      <w:pPr/>
      <w:r>
        <w:rPr>
          <w:b/>
        </w:rPr>
        <w:t>Shared claim-specific concepts:</w:t>
      </w:r>
      <w:r>
        <w:t xml:space="preserve"> methods, tools, questionnaire; EU scope visible. This is a provisional connection, not an outcome finding.</w:t>
      </w:r>
    </w:p>
    <w:p>
      <w:pPr>
        <w:pStyle w:val="SourceNote"/>
      </w:pPr>
      <w:r>
        <w:rPr>
          <w:b/>
        </w:rPr>
        <w:t>Available abstract (not full text):</w:t>
      </w:r>
      <w:r>
        <w:t xml:space="preserve"> BACKGROUND: Parent-child communication about sexuality education is critical for safe adolescent sexual development and well-being. Yet, there is evidence that these conversations are often ineffective. Digital tools have therefore emerged as promising interventions that may assist parents in addressing sensitive or difficult topics. However, our understanding of the factors that may motivate parental adoption of these technologies remains limited. OBJECTIVE: This study aimed to explore factors associated with European parents' intentions to use a digital tool designed to support parent-child sexual communication and complement school-based sexuality education. The study was conducted across the United Kingdom, Belgium, and Italy. METHODS: Using the technology acceptance model, we applied structural equation modeling to identify motivators of parents' intention to use the hypothetical app. This included perceived usefulness and perceived ease of use. Perceived usefulness was further analyzed by its subcomponents-relevance to parenting and quality of technology-through an alternative 3-construct model. Additionally, the associations between demographic characteristics (age, gender, country of residence, and education level) and the latent constructs were assessed. RESULTS: =0.47. Perceived usefulness was significantly associated with intention to use (β=0.67, P&lt;.001), while perc</w:t>
      </w:r>
    </w:p>
    <w:p>
      <w:pPr/>
      <w:r>
        <w:rPr>
          <w:b/>
        </w:rPr>
        <w:t>POSSIBLE 2025:</w:t>
      </w:r>
      <w:r>
        <w:t xml:space="preserve"> Validation and Reliability of the Polish Version of the Eating Assessment Tool-10 Questionnaire — https://doi.org/10.3390/nu17081291</w:t>
      </w:r>
    </w:p>
    <w:p>
      <w:pPr/>
      <w:r>
        <w:rPr>
          <w:b/>
        </w:rPr>
        <w:t>Shared claim-specific concepts:</w:t>
      </w:r>
      <w:r>
        <w:t xml:space="preserve"> materials, methods, questionnaire; EU scope not established. This is a provisional connection, not an outcome finding.</w:t>
      </w:r>
    </w:p>
    <w:p>
      <w:pPr>
        <w:pStyle w:val="SourceNote"/>
      </w:pPr>
      <w:r>
        <w:rPr>
          <w:b/>
        </w:rPr>
        <w:t>Available abstract (not full text):</w:t>
      </w:r>
      <w:r>
        <w:t xml:space="preserve"> Introduction: Early identification of patients at risk of dysphagia is of paramount importance. To date, no dysphagia screening questionnaire has been validated and translated into Polish that can be widely used in a multidisciplinary setting. Our study aimed to validate and adapt the Polish version of the Eating Assessment Tool-10 questionnaire (EAT-10). Materials and Methods: The EAT-10 questionnaire was translated into Polish using a formal forward–backward translation method. The Polish EAT-10 was administered to 109 patients with different dysphagia etiologies and 24 control subjects. Internal consistency, unidimensionality, test–retest reliability and external validity against the Visual Analog Scale (VAS), and Flexible Endoscopic Evaluation of Swallowing (FEES) were performed. Results: The EAT-10PL demonstrated excellent internal consistency (Cronbach’s α = 0.958) and confirmed unidimensionality. We found a strong correlation between EAT-10PL with the Visual Analog Scale (VAS) (rs = 0.94, p &lt; 0.001) and a weaker correlation with the PAS (rs = 0.55, p &lt; 0.001). We reported a sensitivity of 79.5% and specificity at the level of 60.0%, using ≥3 as a cut-off point. The statistically chosen cutoff point for PAS ≥ 2 and EAT-10 ≥ 6 indicated optimal specificity (70.0%) and sensitivity (79.5%) of measurements performed using EAT-10PL. The EAT-10PL questionnaire demonstrates high</w:t>
      </w:r>
    </w:p>
    <w:p>
      <w:pPr/>
      <w:r>
        <w:rPr>
          <w:b/>
        </w:rPr>
        <w:t>POSSIBLE 2025:</w:t>
      </w:r>
      <w:r>
        <w:t xml:space="preserve"> An in-depth review on tannin sources, extraction methods, and industrial applications — https://doi.org/10.1007/s44187-025-00689-9</w:t>
      </w:r>
    </w:p>
    <w:p>
      <w:pPr/>
      <w:r>
        <w:rPr>
          <w:b/>
        </w:rPr>
        <w:t>Shared claim-specific concepts:</w:t>
      </w:r>
      <w:r>
        <w:t xml:space="preserve"> materials, methods, in-depth; EU scope not established. This is a provisional connection, not an outcome finding.</w:t>
      </w:r>
    </w:p>
    <w:p>
      <w:pPr>
        <w:pStyle w:val="SourceNote"/>
      </w:pPr>
      <w:r>
        <w:rPr>
          <w:b/>
        </w:rPr>
        <w:t>Available abstract (not full text):</w:t>
      </w:r>
      <w:r>
        <w:t xml:space="preserve"> Tannins are naturally occurring polyphenolic compounds that are widely distributed in a variety of plant parts, such as leaves, bark, fruits, and seeds. This review provides a comprehensive analysis of tannins, with a particular focus on their classification, historical context, chemical structure, extraction techniques, and diverse applications across industrial and biomedical fields. Tannins are typically categorized as either condensed or hydrolyzable, with each form exhibiting unique functional attributes and structural characteristics. The extraction of tannins has progressed from conventional water-based maceration and decoction to contemporary methods, including ultrasound-assisted, microwave-assisted, supercritical fluid, and enzyme-assisted extractions. Among these, nonthermal technologies such as ultrasound-assisted, enzyme-assisted and supercritical fluid extraction are particularly highlighted for their ability to preserve heat-sensitive tannin structures, reduce energy consumption and support eco-friendly processing. Tannins are utilized in leather tanning, food preservation, medicine, water treatment, corrosion inhibition, and the development of innovative materials, such as bio-based adhesives and packaging films. Condensed tannins show industrial promise due to antioxidant and antibacterial properties, while hydrolyzable tannins offer medicinal benefits such as </w:t>
      </w:r>
    </w:p>
    <w:p>
      <w:pPr/>
      <w:r>
        <w:rPr>
          <w:b/>
        </w:rPr>
        <w:t>POSSIBLE 2025:</w:t>
      </w:r>
      <w:r>
        <w:t xml:space="preserve"> Approaches and perspectives on the transition to the circular economy in the European Union — https://doi.org/10.3389/fenvs.2025.1533776</w:t>
      </w:r>
    </w:p>
    <w:p>
      <w:pPr/>
      <w:r>
        <w:rPr>
          <w:b/>
        </w:rPr>
        <w:t>Shared claim-specific concepts:</w:t>
      </w:r>
      <w:r>
        <w:t xml:space="preserve"> materials, methods, in-depth; EU scope visible. This is a provisional connection, not an outcome finding.</w:t>
      </w:r>
    </w:p>
    <w:p>
      <w:pPr>
        <w:pStyle w:val="SourceNote"/>
      </w:pPr>
      <w:r>
        <w:rPr>
          <w:b/>
        </w:rPr>
        <w:t>Available abstract (not full text):</w:t>
      </w:r>
      <w:r>
        <w:t xml:space="preserve"> Introduction The transition to a circular economy is a key pillar of European sustainable development. However, in the current context, shaped by multiple crises and geopolitical conflicts, the efficiency and resilience of this transition are of particular concern. European policymakers and national authorities must adapt their approaches to mitigate risks posed by external factors while ensuring progress towards European sustainability goals. This study analyzes the transition to the European circular economy from 2010 to 2022, assessing key economic and environmental variables. Methods The study employs an econometric approach using panel data from the 27 EU Member States. A multiple linear regression model with fixed effects panel data is applied alongside spectral analysis and descriptive statistics to examine the relationships between private investment, gross value added, municipal waste recycling rates, recyclable material flows, and greenhouse gas emissions. These methods allow for an in-depth evaluation of the factors influencing the efficiency of the circular economy transition. Results Findings indicate that private investment and the integration of recyclable materials significantly enhance the efficiency of the circular economy. However, progress varies across Member States due to regional disparities, inadequate recycling infrastructure, and inefficient municipal </w:t>
      </w:r>
    </w:p>
    <w:p>
      <w:pPr/>
      <w:r>
        <w:rPr>
          <w:b/>
        </w:rPr>
        <w:t>POSSIBLE 2025:</w:t>
      </w:r>
      <w:r>
        <w:t xml:space="preserve"> Cross-Cultural Adaptation and Validation of European Organization for Research and Treatment of Cancer Quality of Life Questionnaire – Oral Health 15 into Hindi Version for Cancer Patients — https://doi.org/10.25259/ijpc_242_2024</w:t>
      </w:r>
    </w:p>
    <w:p>
      <w:pPr/>
      <w:r>
        <w:rPr>
          <w:b/>
        </w:rPr>
        <w:t>Shared claim-specific concepts:</w:t>
      </w:r>
      <w:r>
        <w:t xml:space="preserve"> materials, methods, questionnaire, health, university; EU scope visible. This is a provisional connection, not an outcome finding.</w:t>
      </w:r>
    </w:p>
    <w:p>
      <w:pPr>
        <w:pStyle w:val="SourceNote"/>
      </w:pPr>
      <w:r>
        <w:rPr>
          <w:b/>
        </w:rPr>
        <w:t>Available abstract (not full text):</w:t>
      </w:r>
      <w:r>
        <w:t xml:space="preserve"> Objectives: The multidimensional concept of quality of life (QoL) has become vital in cancer care, and research and is crucial for epidemiological investigations. The primary objective of the research was to translate and culturally adapt the European Organisation for Research and Treatment of Cancer Quality of Life Questionnaire – Oral Health15 (EORTC QLQ OH15) questionnaire into Hindi, assessing its reliability and validity for implementation among cancer patients of Aligarh. Materials and Methods: This study was carried out from June 2019 to May 2021. Permissions were obtained from the European Organisation for Research and Treatment of Cancer Quality of Life Questionnaire (EORTC QLQ) group for cross-cultural adaptation and translation of the Quality of Life Questionnaire-Oral Health15 (QLQ-OH15) and ethical clearance was secured from the Institutional Ethical Review Board at Aligarh Muslim University. Informed consent was provided by participating patients. The translation and cultural adaptation of the QLQ-OH15 followed an eight-phase procedure in compliance with the European Organisation for Research and Treatment of Cancer Quality of Life Questionnaire translation manual, ensuring consistency. Psychometric properties were evaluated using the Statistical Program for the Social Sciences 20, assessing content validity, convergent and discriminant validity, criterion validit</w:t>
      </w:r>
    </w:p>
    <w:p>
      <w:pPr/>
      <w:r>
        <w:rPr>
          <w:b/>
        </w:rPr>
        <w:t>POSSIBLE 2025:</w:t>
      </w:r>
      <w:r>
        <w:t xml:space="preserve"> Research priorities of the European Society of Clinical Pharmacy (ESCP): a questionnaire-based study — https://doi.org/10.1007/s11096-025-01954-8</w:t>
      </w:r>
    </w:p>
    <w:p>
      <w:pPr/>
      <w:r>
        <w:rPr>
          <w:b/>
        </w:rPr>
        <w:t>Shared claim-specific concepts:</w:t>
      </w:r>
      <w:r>
        <w:t xml:space="preserve"> methods, questionnaire, health; EU scope visible. This is a provisional connection, not an outcome finding.</w:t>
      </w:r>
    </w:p>
    <w:p>
      <w:pPr>
        <w:pStyle w:val="SourceNote"/>
      </w:pPr>
      <w:r>
        <w:rPr>
          <w:b/>
        </w:rPr>
        <w:t>Available abstract (not full text):</w:t>
      </w:r>
      <w:r>
        <w:t xml:space="preserve"> INTRODUCTION: It is important for health professional societies to involve members in defining their roles and future activities including research priorities. AIM: This study aimed to identify members' views on the areas of research that European Society of Clinical Pharmacy (ESCP) should prioritise in delivering research support, research projects and education. METHOD: An online questionnaire was initially developed by the ESCP Research Committee and reviewed by the research team. It included structured and open-ended items related to respondents' demographics, research experience, views on future research priorities, topics that ESCP should prioritise, and barriers to research involvement. After testing face and content validity, the questionnaire was sent to all ESCP members (N = 417). Descriptive statistics and summative content analysis were used. RESULTS: Eighty-two responses were received (response rate: 19.7%). Research on real-world processes that facilitate the implementation of clinical pharmacy services into every-day practice was the priority for most respondents (n = 77, 93.9%). Respondents believed that ESCP should focus on research support for implementation science (n = 52, 63.4%) and methods to analyse clinical judgement and decision-making (n = 48, 58.5%). The perceived barriers to developing high-quality research in clinical pharmacy were reported as a lac</w:t>
      </w:r>
    </w:p>
    <w:p>
      <w:pPr/>
      <w:r>
        <w:rPr>
          <w:b/>
        </w:rPr>
        <w:t>POSSIBLE 2025:</w:t>
      </w:r>
      <w:r>
        <w:t xml:space="preserve"> Agricultural Decision Support Tools in Europe: What Kind of Tools Are Needed to Foster Soil Health? — https://doi.org/10.1111/ejss.70097</w:t>
      </w:r>
    </w:p>
    <w:p>
      <w:pPr/>
      <w:r>
        <w:rPr>
          <w:b/>
        </w:rPr>
        <w:t>Shared claim-specific concepts:</w:t>
      </w:r>
      <w:r>
        <w:t xml:space="preserve"> tools, questionnaire, health, experts, process, norway; EU scope visible. This is a provisional connection, not an outcome finding.</w:t>
      </w:r>
    </w:p>
    <w:p>
      <w:pPr>
        <w:pStyle w:val="SourceNote"/>
      </w:pPr>
      <w:r>
        <w:rPr>
          <w:b/>
        </w:rPr>
        <w:t>Available abstract (not full text):</w:t>
      </w:r>
      <w:r>
        <w:t xml:space="preserve"> ABSTRACT Decision support tools (DSTs) are crucial in aiding agricultural decision‐making, particularly in improving soil health by enhancing nutrient management, soil organic matter (SOM) and water retention. Despite the availability of numerous DSTs in Europe, their adoption, effectiveness and development needs are not well understood, as most research is based on literature reviews rather than direct feedback from stakeholders. This study aims at filling this gap by conducting an expert survey of the most widely used digital DSTs across Europe on SOM, water retention and nutrient use efficiency in agriculture. We aimed at evaluating the current use, limitations and development needs of DSTs and offering recommendations to improve the effectiveness and adoption of DSTs in the context of soil health. A questionnaire was distributed to experts in 24 countries. Answers were received from 18 countries, including 14 European Union (EU) nations, Norway, the UK, Switzerland and Turkey. A total of 115 DSTs were identified aligning with our definition of DST, with agronomists, consultants and farmers being the primary users. Adoption of DSTs was rated moderate (score: 3.1/5), with tools featuring user‐friendly interfaces and alignment with farmer goals achieving higher adoption rates. DSTs were rated better suited to achieve farm‐level goals (score: 4.1/5) than regional (score: 3.6/5)</w:t>
      </w:r>
    </w:p>
    <w:p>
      <w:pPr>
        <w:pStyle w:val="Heading2"/>
      </w:pPr>
      <w:r>
        <w:t>586. Disaggregation of official demographic projections in sub-groups by education level: the neglected “composition effect” in the future path of life expectancy</w:t>
      </w:r>
    </w:p>
    <w:p>
      <w:pPr>
        <w:pStyle w:val="SourceNote"/>
      </w:pPr>
      <w:r>
        <w:rPr>
          <w:b/>
        </w:rPr>
        <w:t>Original source (2021):</w:t>
      </w:r>
      <w:r>
        <w:t xml:space="preserve"> https://doi.org/10.1186/s41118-020-00113-3</w:t>
      </w:r>
    </w:p>
    <w:p>
      <w:pPr/>
      <w:r>
        <w:t>Original wording (abstract; indexed_source_text_not_full_document_verified): We provide a set of different scenarios on the convergence/divergence of the mortality differential between the high and low education groups. For instance, assuming stability in the mortality differential, we estimated a life expectancy increase at age 65 of 2.9 and 2.6 years for men, and 3.2 and 3.1 for women, in the low and high education groups, respectively, over the whole projection period.</w:t>
      </w:r>
    </w:p>
    <w:p>
      <w:pPr/>
      <w:r>
        <w:rPr>
          <w:b/>
        </w:rPr>
        <w:t>POSSIBLE 2026:</w:t>
      </w:r>
      <w:r>
        <w:t xml:space="preserve"> Precise Editing of Indolines at Different Positions via SET and CMD Pathways — https://doi.org/10.1021/jacsau.6c00050</w:t>
      </w:r>
    </w:p>
    <w:p>
      <w:pPr/>
      <w:r>
        <w:rPr>
          <w:b/>
        </w:rPr>
        <w:t>Shared claim-specific concepts:</w:t>
      </w:r>
      <w:r>
        <w:t xml:space="preserve"> set, different, high; EU scope not established. This is a provisional connection, not an outcome finding.</w:t>
      </w:r>
    </w:p>
    <w:p>
      <w:pPr>
        <w:pStyle w:val="SourceNote"/>
      </w:pPr>
      <w:r>
        <w:rPr>
          <w:b/>
        </w:rPr>
        <w:t>Available abstract (not full text):</w:t>
      </w:r>
      <w:r>
        <w:t xml:space="preserve"> High Resolution Image Download MS PowerPoint Slide In drug discovery, the pursuit of concise and specific synthetic methods is driving the development of new strategies. Particularly during the late stages of a synthetic sequence, when the substrate molecule contains multiple highly similar C–H bonds, the ability to achieve selective “molecular editing” using mild and precise transformations has become a crucial capability. Here, we report Rh-catalyzed molecular editing of indoline derivatives at different positions via a single, oxidant-tunable catalytic system. Using Ag 3 PO 4 as the oxidant, Rh promotes the formation of indoline radical cations stabilized by SbF 6 –, enabling remote C5 thiolation via a single-electron transfer (SET) mechanism, as supported by the Fukui function. In contrast, Ag 2 O suppresses the SET pathway, as confirmed by the ABTS assay, and enables C7-selective thiolation through a concerted metalation–deprotonation (CMD) process mediated by a Rh(III)/MPAA ligand system. Mechanistic experiments and Fukui indices calculation elucidate the origin of the observed regiodivergence, highlighting the dual reactivity of Rh(III) and offering new conceptual insights into oxidant-controlled C–H functionalization.</w:t>
      </w:r>
    </w:p>
    <w:p>
      <w:pPr/>
      <w:r>
        <w:rPr>
          <w:b/>
        </w:rPr>
        <w:t>POSSIBLE 2026:</w:t>
      </w:r>
      <w:r>
        <w:t xml:space="preserve"> Factors Influencing Participation in Student Evaluation of Teaching (SETs): A Quality Improvement Analysis — https://doi.org/10.1002/jdd.70303</w:t>
      </w:r>
    </w:p>
    <w:p>
      <w:pPr/>
      <w:r>
        <w:rPr>
          <w:b/>
        </w:rPr>
        <w:t>Shared claim-specific concepts:</w:t>
      </w:r>
      <w:r>
        <w:t xml:space="preserve"> provide, set, different, between, low, education; EU scope not established. This is a provisional connection, not an outcome finding.</w:t>
      </w:r>
    </w:p>
    <w:p>
      <w:pPr>
        <w:pStyle w:val="SourceNote"/>
      </w:pPr>
      <w:r>
        <w:rPr>
          <w:b/>
        </w:rPr>
        <w:t>Available abstract (not full text):</w:t>
      </w:r>
      <w:r>
        <w:t xml:space="preserve"> OBJECTIVE: Student evaluations of teaching (SETs) collect feedback to evaluate teaching methods, effectiveness, and outcomes. SETs are used frequently by faculty in decisions about course content, curriculum changes, and the promotion process. Reported issues with SETs in dental education include inaccuracy, faculty dissatisfaction, and low response rates. This analysis examined SET response rates over a 6-year period in which academic policies changed such that dental student participation shifted from mandatory to opt-in and then to opt-out. A secondary focus was the influence of respondent burden (i.e., volume of questions) on SET participation rates, as measured by proxy using the number of courses and credit hours. METHODS: This retrospective quality improvement analysis involved SET participation data from dental students (mean 64 per class) enrolled at the University of Kentucky College of Dentistry between 2019 and 2024. Analysis of the number of SET responses per class under different participation methods was conducted using t-tests and ANOVA, with significance set at p &lt; 0.05. RESULTS: Student participation was observed to change during different academic policy settings. The highest participation occurred during the mandatory policy period. When policy changed from mandatory (X = 58.6 student responses) to optional (X = 36.7 student responses), a significant decreas</w:t>
      </w:r>
    </w:p>
    <w:p>
      <w:pPr/>
      <w:r>
        <w:rPr>
          <w:b/>
        </w:rPr>
        <w:t>POSSIBLE 2026:</w:t>
      </w:r>
      <w:r>
        <w:t xml:space="preserve"> ผลกระทบของการควบคมภายในตอความสามารถในการทำกำไรของบรษทจดทะเบยนในตลาดหลกทรพยแหงประเทศไทย (SET): กรณศกษากลมธรกจบรการกอสราง — https://openalex.org/W7219222055</w:t>
      </w:r>
    </w:p>
    <w:p>
      <w:pPr/>
      <w:r>
        <w:rPr>
          <w:b/>
        </w:rPr>
        <w:t>Shared claim-specific concepts:</w:t>
      </w:r>
      <w:r>
        <w:t xml:space="preserve"> set, high, over; EU scope not established. This is a provisional connection, not an outcome finding.</w:t>
      </w:r>
    </w:p>
    <w:p>
      <w:pPr>
        <w:pStyle w:val="SourceNote"/>
      </w:pPr>
      <w:r>
        <w:rPr>
          <w:b/>
        </w:rPr>
        <w:t>Available abstract (not full text):</w:t>
      </w:r>
      <w:r>
        <w:t xml:space="preserve"> This study evaluates the effectiveness of internal control systems and their influence on profitability within the construction services sector listed on the Stock Exchange of Thailand during the period 2020–2024. The analysis is grounded in the COSO framework and encompasses 27 companies over a five-year timeframe. Descriptive statistics, correlation analysis, and multiple regression analysis reveal that construction companies demonstrate high internal control implementation levels, however, faced significant profitability challenges during the study period, reflecting the impact of the COVID-19 pandemic, supply chain disruptions, and economic volatility. The most significant finding is that Monitoring Activities emerged as the critical determinant of profitability, showing statistically significant positive associations with GPM. Other COSO components showed no significant direct associations with profitability, suggesting these foundational components may influence performance through indirect pathways.</w:t>
      </w:r>
    </w:p>
    <w:p>
      <w:pPr/>
      <w:r>
        <w:rPr>
          <w:b/>
        </w:rPr>
        <w:t>POSSIBLE 2026:</w:t>
      </w:r>
      <w:r>
        <w:t xml:space="preserve"> The limb-to-waist ratio: resolving the divergence between mortality and cardiovascular risk — https://doi.org/10.20517/2574-1209.2025.147</w:t>
      </w:r>
    </w:p>
    <w:p>
      <w:pPr/>
      <w:r>
        <w:rPr>
          <w:b/>
        </w:rPr>
        <w:t>Shared claim-specific concepts:</w:t>
      </w:r>
      <w:r>
        <w:t xml:space="preserve"> divergence, mortality, between; EU scope not established. This is a provisional connection, not an outcome finding.</w:t>
      </w:r>
    </w:p>
    <w:p>
      <w:pPr>
        <w:pStyle w:val="SourceNote"/>
      </w:pPr>
      <w:r>
        <w:rPr>
          <w:b/>
        </w:rPr>
        <w:t>Available abstract (not full text):</w:t>
      </w:r>
      <w:r>
        <w:t xml:space="preserve"> Aim: We aimed to resolve the paradoxical associations of limb circumference—inverse with mortality but positive with cardiovascular risk factors (CVRFs)—by systematically comparing the predictive value of the ratio of combined arm and thigh circumference (ATC) to waist circumference (WC) against that of the sum of ATC for mortality and key CVRFs. Methods: Our analysis utilized data from 17,276 U.S. participants in the 1999-2006 NHANES (National Health and Nutrition Examination Survey). We utilized Cox proportional hazards, generalized linear, and restricted cubic spline models, with comprehensive adjustment for confounders including adiposity. The outcomes assessed were all-cause and cardiovascular mortality, hypertension, diabetes, and resting tachycardia. Results: During median 18.04-year follow-up (3,927 deaths, 1,047 cardiovascular deaths), the highest versus lowest ATC/WC quartile showed consistently protective associations: all-cause mortality (hazard ratio (HR) = 0.47, 95% confidence interval (95%CI): 0.38-0.57), cardiovascular mortality (HR = 0.32, 0.21-0.49), hypertension (OR = 0.49, 0.41-0.59), diabetes (odds ratio (OR) = 0.26, 0.18-0.37), and resting tachycardia (OR = 0.28, 0.19-0.39; all P &lt; 0.001). Conversely, ATC exhibited adiposity-dependent paradoxical associations: protective for mortality but harmful for CVRFs when unadjusted for adiposity. After adiposity adj</w:t>
      </w:r>
    </w:p>
    <w:p>
      <w:pPr/>
      <w:r>
        <w:rPr>
          <w:b/>
        </w:rPr>
        <w:t>POSSIBLE 2026:</w:t>
      </w:r>
      <w:r>
        <w:t xml:space="preserve"> Predictive divergence in machine learning models for clinical mortality risk: A multicohort study of covid-19 patients — https://doi.org/10.1371/journal.pone.0344354</w:t>
      </w:r>
    </w:p>
    <w:p>
      <w:pPr/>
      <w:r>
        <w:rPr>
          <w:b/>
        </w:rPr>
        <w:t>Shared claim-specific concepts:</w:t>
      </w:r>
      <w:r>
        <w:t xml:space="preserve"> divergence, mortality, between, high; EU scope not established. This is a provisional connection, not an outcome finding.</w:t>
      </w:r>
    </w:p>
    <w:p>
      <w:pPr>
        <w:pStyle w:val="SourceNote"/>
      </w:pPr>
      <w:r>
        <w:rPr>
          <w:b/>
        </w:rPr>
        <w:t>Available abstract (not full text):</w:t>
      </w:r>
      <w:r>
        <w:t xml:space="preserve"> BACKGROUND: Machine learning (ML) algorithms are increasingly used in healthcare to support clinical decision-making. While models with similar overall performance are often considered interchangeable for deployment, they may produce divergent predictions, a phenomenon known as algorithmic multiplicity. In such cases, the choice of algorithm may introduce bias. This study investigates the impacts of algorithmic multiplicity in mortality prediction and assesses the influence of patient characteristics on model decisions. METHODS: A cohort of 4,337 adult patients (≥18 years) with RT-PCR-confirmed covid-19 from five tertiary care hospitals in Brazil was followed from March to August 2020. Five popular ML models for structured data were trained on demographic and laboratory data collected at early hospital admission to predict in-hospital mortality. Model performance, feature importance, and algorithmic prediction similarity were evaluated. Feature distributions were compared between patients correctly or incorrectly classified by all models using paired t-tests or Mann-Whitney U tests, as applicable, at the 5% significance level. Subgroup performance differences were assessed using 10-fold cross-validation applied to five k-means-delineated clusters, compared by one-way ANOVA. Within-cluster predictive divergence was assessed within a 95% confidence interval. RESULTS: All models a</w:t>
      </w:r>
    </w:p>
    <w:p>
      <w:pPr/>
      <w:r>
        <w:rPr>
          <w:b/>
        </w:rPr>
        <w:t>POSSIBLE 2026:</w:t>
      </w:r>
      <w:r>
        <w:t xml:space="preserve"> Mortality convergence and divergence across Hungarian districts: long-term age-specific dynamics and spatial polarization — https://doi.org/10.15196/rs160508</w:t>
      </w:r>
    </w:p>
    <w:p>
      <w:pPr/>
      <w:r>
        <w:rPr>
          <w:b/>
        </w:rPr>
        <w:t>Shared claim-specific concepts:</w:t>
      </w:r>
      <w:r>
        <w:t xml:space="preserve"> convergence, divergence, mortality, life, expectancy, age; EU scope visible. This is a provisional connection, not an outcome finding.</w:t>
      </w:r>
    </w:p>
    <w:p>
      <w:pPr>
        <w:pStyle w:val="SourceNote"/>
      </w:pPr>
      <w:r>
        <w:rPr>
          <w:b/>
        </w:rPr>
        <w:t>Available abstract (not full text):</w:t>
      </w:r>
      <w:r>
        <w:t xml:space="preserve"> Life expectancy has increased substantially across Europe in recent decades, but improvements within countries have often been uneven across regions.Evidence on the long-term subnational experiences of postcommunist countries remains limited.This study examines regional convergence in life expectancy at birth across Hungarian districts using σ-and β-convergence approaches from the 1980s to the early 2020s.σ-convergence is measured using the population-weighted standard deviation of life expectancy at birth.Changes in the standard deviation are decomposed into age-specific contributions of mortality (M) and population structure (P), separately for total, between-, and withinregion components.District-level disparity (N = 175) increased over time: the standard deviation doubled among women and exceeded early-1990s crisis levels among men.Divergence was concentrated above age 50, particularly at ages 65 and over, whereas mortality below age 50 showed convergence.β-convergence models reveal regional polarization at older ages, reflecting faster improvements in the capital region and distinct convergence dynamics in the former heavy-industry region.These findings indicate that mortality convergence can only be understood by accounting for both age-specific dynamics and spatial heterogeneity.Mortality convergence and divergence across Hungarian districts: long-term age-specific dynam</w:t>
      </w:r>
    </w:p>
    <w:p>
      <w:pPr/>
      <w:r>
        <w:rPr>
          <w:b/>
        </w:rPr>
        <w:t>POSSIBLE 2026:</w:t>
      </w:r>
      <w:r>
        <w:t xml:space="preserve"> Characterising mortality dynamics across countries and time using a multi-stage clustering approach — https://doi.org/10.48550/arxiv.2609.17268</w:t>
      </w:r>
    </w:p>
    <w:p>
      <w:pPr/>
      <w:r>
        <w:rPr>
          <w:b/>
        </w:rPr>
        <w:t>Shared claim-specific concepts:</w:t>
      </w:r>
      <w:r>
        <w:t xml:space="preserve"> set, convergence, divergence, mortality, between, over; EU scope visible. This is a provisional connection, not an outcome finding.</w:t>
      </w:r>
    </w:p>
    <w:p>
      <w:pPr>
        <w:pStyle w:val="SourceNote"/>
      </w:pPr>
      <w:r>
        <w:rPr>
          <w:b/>
        </w:rPr>
        <w:t>Available abstract (not full text):</w:t>
      </w:r>
      <w:r>
        <w:t xml:space="preserve"> Comparative analyses of mortality dynamics across countries have long shaped our understanding of mortality inequalities and patterns of divergence and convergence over time. However, most existing studies focus on either mortality differences across countries at a single point in time or on country trajectories, without considering both factors simultaneously. In this paper, we address this gap by introducing a multi-stage clustering framework, applied to 94 countries by sex over the period 1960-2019 using data from the World Population Prospects. Specifically, we model life-table probabilities of death using a time-dependent beta latent variable model and identify a small set of ``mortality states'' that characterise the mortality pattern of each country at any given point in time. We then cluster countries based on their sequences of mortality states. Our results reveal substantial heterogeneity in the timing and pace of transitions between mortality states, including a persistent East-West divide in Europe and distinctive Latin American patterns associated with elevated young-adult male mortality. Cross-country inequality increased for both sexes until the 1990s, before plateauing and subsequently declining. Our proposed multi-stage clustering framework provides an interpretable, time-explicit description of mortality dynamics that jointly captures within-country change and</w:t>
      </w:r>
    </w:p>
    <w:p>
      <w:pPr/>
      <w:r>
        <w:rPr>
          <w:b/>
        </w:rPr>
        <w:t>POSSIBLE 2026:</w:t>
      </w:r>
      <w:r>
        <w:t xml:space="preserve"> Demographic Divergence: The Legacy of the Opioid Epidemic — https://doi.org/10.3386/w35340</w:t>
      </w:r>
    </w:p>
    <w:p>
      <w:pPr/>
      <w:r>
        <w:rPr>
          <w:b/>
        </w:rPr>
        <w:t>Shared claim-specific concepts:</w:t>
      </w:r>
      <w:r>
        <w:t xml:space="preserve"> divergence, mortality, life, increase; EU scope not established. This is a provisional connection, not an outcome finding.</w:t>
      </w:r>
    </w:p>
    <w:p>
      <w:pPr>
        <w:pStyle w:val="SourceNote"/>
      </w:pPr>
      <w:r>
        <w:rPr>
          <w:b/>
        </w:rPr>
        <w:t>Available abstract (not full text):</w:t>
      </w:r>
      <w:r>
        <w:t xml:space="preserve"> We study how the opioid epidemic shaped local population dynamics in the United States.Exploiting variation in exposure that stems from Purdue Pharma's targeted marketing of OxyContin to high-cancer-mortality areas, we find that more exposed commuting zones experienced lower population growth.By 2020, a one-standard-deviation increase in exposure reduced population growth among individuals aged 18 to 64 by 2.4 percentage points.Direct mortality from druginduced deaths made only a limited contribution to these changes.Instead, population losses were primarily driven by migratory responses: exposure increased out-migration rates, especially among college-educated individuals.These responses are consistent with the opioid epidemic operating as a disamenity shock, deteriorating local quality of life.Working in the opposite direction, we also document a rise in fertility rates that, by 2020, partially counteracts these population losses.Our findings show that the opioid epidemic reshaped local demographic composition and contributed to the long-run divergence in population dynamics across U.S. commuting zones.</w:t>
      </w:r>
    </w:p>
    <w:p>
      <w:pPr/>
      <w:r>
        <w:rPr>
          <w:b/>
        </w:rPr>
        <w:t>POSSIBLE 2025:</w:t>
      </w:r>
      <w:r>
        <w:t xml:space="preserve"> Contextual differences in the student evaluation of teaching (SET) in Mexico: comparing education face to face and online classes between different faculties — https://doi.org/10.1504/ijmie.2025.148275</w:t>
      </w:r>
    </w:p>
    <w:p>
      <w:pPr/>
      <w:r>
        <w:rPr>
          <w:b/>
        </w:rPr>
        <w:t>Shared claim-specific concepts:</w:t>
      </w:r>
      <w:r>
        <w:t xml:space="preserve"> provide, set, different, between, education; EU scope not established. This is a provisional connection, not an outcome finding.</w:t>
      </w:r>
    </w:p>
    <w:p>
      <w:pPr>
        <w:pStyle w:val="SourceNote"/>
      </w:pPr>
      <w:r>
        <w:rPr>
          <w:b/>
        </w:rPr>
        <w:t>Available abstract (not full text):</w:t>
      </w:r>
      <w:r>
        <w:t xml:space="preserve"> The factors that influence SET have been extensively addressed, but not the differences that these factors may have either by different modalities (online and face-to-face) or by the faculty in which the class is taught (business, engineering or law). The present study develops logit models sectioned by year (2018 to 2022) and by faculty to analyse the students' teaching evaluations at a private university in western Mexico with a sample of 7967 observations. The results show significant differences in the face-to-face and online modalities, with some similarities and different results among the faculties in the study. The findings provide guidelines to establish institutional policies that support the management of higher education institutions in the framework of the new normality under the online and face-to-face education scheme.</w:t>
      </w:r>
    </w:p>
    <w:p>
      <w:pPr/>
      <w:r>
        <w:rPr>
          <w:b/>
        </w:rPr>
        <w:t>POSSIBLE 2025:</w:t>
      </w:r>
      <w:r>
        <w:t xml:space="preserve"> Contextual differences in the student evaluation of teaching (SET) in Mexico: comparing education face to face and online classes between different faculties — https://doi.org/10.1504/ijmie.2025.10069564</w:t>
      </w:r>
    </w:p>
    <w:p>
      <w:pPr/>
      <w:r>
        <w:rPr>
          <w:b/>
        </w:rPr>
        <w:t>Shared claim-specific concepts:</w:t>
      </w:r>
      <w:r>
        <w:t xml:space="preserve"> provide, set, different, between, education; EU scope not established. This is a provisional connection, not an outcome finding.</w:t>
      </w:r>
    </w:p>
    <w:p>
      <w:pPr>
        <w:pStyle w:val="SourceNote"/>
      </w:pPr>
      <w:r>
        <w:rPr>
          <w:b/>
        </w:rPr>
        <w:t>Available abstract (not full text):</w:t>
      </w:r>
      <w:r>
        <w:t xml:space="preserve"> The factors that influence SET have been extensively addressed, but not the differences that these factors may have either by different modalities (online and face-to-face) or by the faculty in which the class is taught (business, engineering or law). The present study develops logit models sectioned by year (2018 to 2022) and by faculty to analyse the students' teaching evaluations at a private university in western Mexico with a sample of 7967 observations. The results show significant differences in the face-to-face and online modalities, with some similarities and different results among the faculties in the study. The findings provide guidelines to establish institutional policies that support the management of higher education institutions in the framework of the new normality under the online and face-to-face education scheme.</w:t>
      </w:r>
    </w:p>
    <w:p>
      <w:pPr/>
      <w:r>
        <w:rPr>
          <w:b/>
        </w:rPr>
        <w:t>POSSIBLE 2025:</w:t>
      </w:r>
      <w:r>
        <w:t xml:space="preserve"> Divergence in genetic (co)variances and the alignment of gmax with phenotypic divergence — https://doi.org/10.1093/evolut/qpaf009</w:t>
      </w:r>
    </w:p>
    <w:p>
      <w:pPr/>
      <w:r>
        <w:rPr>
          <w:b/>
        </w:rPr>
        <w:t>Shared claim-specific concepts:</w:t>
      </w:r>
      <w:r>
        <w:t xml:space="preserve"> provide, divergence, between; EU scope not established. This is a provisional connection, not an outcome finding.</w:t>
      </w:r>
    </w:p>
    <w:p>
      <w:pPr>
        <w:pStyle w:val="SourceNote"/>
      </w:pPr>
      <w:r>
        <w:rPr>
          <w:b/>
        </w:rPr>
        <w:t>Available abstract (not full text):</w:t>
      </w:r>
      <w:r>
        <w:t xml:space="preserve"> To better understand the sources of biological diversity in nature, we need information on the mechanisms underlying population divergence. Biological systems with patterns of naturally occurring adaptive variation among populations can provide insight into the genetic architecture of diverging traits and the influence of genetic constraints on responses to selection. Using a system of reproductive character displacement in the North American mushroom-feeding fly Drosophila subquinaria, we assessed patterns of genetic (co)variance among a suite of chemical signaling traits and divergence in this pattern among populations. D. subquinaria exhibits stronger reproductive isolation against the closely related Drosophila recens in sympatry, where both female mating preferences and male chemical signaling traits have diverged from the ancestral allopatric populations. We collected 3 wild populations from each region and, in the lab, characterized the phenotypic divergence in these traits, as well as the additive genetic (co)variance structure (G-matrix), via replicate breeding designs. We found divergence between allopatric and sympatric D. subquinaria in the shape and size of the G-matrix, and that the leading axis of genetic variance (gmax) had changed in sympatry to come into alignment with the primary axis of phenotypic divergence between the sympatric and allopatric regions.</w:t>
      </w:r>
    </w:p>
    <w:p>
      <w:pPr/>
      <w:r>
        <w:rPr>
          <w:b/>
        </w:rPr>
        <w:t>POSSIBLE 2025:</w:t>
      </w:r>
      <w:r>
        <w:t xml:space="preserve"> Social Divergence in Hungary — https://doi.org/10.1007/978-3-031-94009-5_11</w:t>
      </w:r>
    </w:p>
    <w:p>
      <w:pPr/>
      <w:r>
        <w:rPr>
          <w:b/>
        </w:rPr>
        <w:t>Shared claim-specific concepts:</w:t>
      </w:r>
      <w:r>
        <w:t xml:space="preserve"> convergence, divergence, education; EU scope visible. This is a provisional connection, not an outcome finding.</w:t>
      </w:r>
    </w:p>
    <w:p>
      <w:pPr>
        <w:pStyle w:val="SourceNote"/>
      </w:pPr>
      <w:r>
        <w:rPr>
          <w:b/>
        </w:rPr>
        <w:t>Available abstract (not full text):</w:t>
      </w:r>
      <w:r>
        <w:t xml:space="preserve"> Although the EU is fundamentally an economic integration project, its social dimension has been important from the outset and has been further strengthened since 2017. However, during the EU’s eastern enlargements since 2004, social policy ambitions did not receive the attention they arguably merited. This partly explains why the subsequent two decades have been characterized by economic convergence alongside social divergence. This chapter demonstrates that employment and social policy constitute one of the areas where Hungarian domestic trends are most likely to diverge from broader European patterns. This divergence is evident in the weakening of social dialogue, the dismantling of the social safety net, prolonged wage restraint, and state redistribution policies that have tended to exacerbate rather than reduce inequalities. Additionally, insufficient investment in public education and public health starkly contrasts with the approaches adopted by most other Eastern member states. These developments not only reflect the policy priorities and performance of Hungarian governments but also underscore the limited effectiveness of the European Social Fund. Furthermore, the chapter shows that Fidesz-led Hungary has impeded common EU ambitions regarding labour and social affairs by not only attempting to thwart existing EU legislation but also actively obstructing most new EU init</w:t>
      </w:r>
    </w:p>
    <w:p>
      <w:pPr>
        <w:pStyle w:val="Heading2"/>
      </w:pPr>
      <w:r>
        <w:t>587. EFFECTS OF HYDROGEN PRODUCTION ON ECONOMIC GROWTH IN THE EUROPEAN UNION</w:t>
      </w:r>
    </w:p>
    <w:p>
      <w:pPr>
        <w:pStyle w:val="SourceNote"/>
      </w:pPr>
      <w:r>
        <w:rPr>
          <w:b/>
        </w:rPr>
        <w:t>Original source (2021):</w:t>
      </w:r>
      <w:r>
        <w:t xml:space="preserve"> https://doi.org/10.47535/1991auoes30(2)003</w:t>
      </w:r>
    </w:p>
    <w:p>
      <w:pPr/>
      <w:r>
        <w:t>Original wording (abstract; indexed_source_text_not_full_document_verified): In this article the author presents some aspects of the hydrogen market, this fuel is essential to support the European Union’s commitment to achieving climate neutrality by 2050. Decarbonisation leads to a significant increase in the role of electricity, which can cover the demand of over 50% of final energy by 2050, compared to about 20% today.</w:t>
      </w:r>
    </w:p>
    <w:p>
      <w:pPr/>
      <w:r>
        <w:rPr>
          <w:b/>
        </w:rPr>
        <w:t>POSSIBLE 2026:</w:t>
      </w:r>
      <w:r>
        <w:t xml:space="preserve"> Paleogeography of Europe, Central Asia, and Siberia in the Aalenian-Bathonian (Middle Jurassic) — https://doi.org/10.17223/25421379/39/6</w:t>
      </w:r>
    </w:p>
    <w:p>
      <w:pPr/>
      <w:r>
        <w:rPr>
          <w:b/>
        </w:rPr>
        <w:t>Shared claim-specific concepts:</w:t>
      </w:r>
      <w:r>
        <w:t xml:space="preserve"> article, presents, climate, over; EU scope visible. This is a provisional connection, not an outcome finding.</w:t>
      </w:r>
    </w:p>
    <w:p>
      <w:pPr>
        <w:pStyle w:val="SourceNote"/>
      </w:pPr>
      <w:r>
        <w:rPr>
          <w:b/>
        </w:rPr>
        <w:t>Available abstract (not full text):</w:t>
      </w:r>
      <w:r>
        <w:t xml:space="preserve"> The article presents an overview of published lithological, sedimentological, geochemical, paleontological, paleogeographic, paleobiogeographic, and paleoclimatic data on the Middle Jurassic deposits (mainly terrestrial) of Europe, Central Asia, and Siberia. As a result of the analysis and integration of these materials, the paleogeographic sketch maps of the Northern Eurasia land for the Aalenian, Bajocian, and Bathonian were refined and detailed, which reflect the main changes in accumulative and denudational landscapes. Sketch maps of climatic zoning for this area have been compiled. In the Middle Jurassic Europe was in the climate belt of humid climate. Its southern part was represented by the large archipelago surrounded by shallow epicontinental seas. The northern part of the continent was lowland, which sedimentation was controlled by Central North Sea Dome. On the area of Central Asia the temperate and subtropical climatic zones came into contact. Siberia was characterized by landscapes, where accumulation prevailed over denudation. A series of marine transgressions and regressions occurred in the Aalenian-Bathonian. There was a high-latitude moderately warm climate with a cooling in the Late Bajocian. The resulting maps can be used in biogeographic research. Contribution of the authors: the authors contributed equally to this article. The authors declare no conflicts o</w:t>
      </w:r>
    </w:p>
    <w:p>
      <w:pPr/>
      <w:r>
        <w:rPr>
          <w:b/>
        </w:rPr>
        <w:t>POSSIBLE 2026:</w:t>
      </w:r>
      <w:r>
        <w:t xml:space="preserve"> The influence of Gustav II Adolf's “Military Article” on the Russian “Military Article” of 1715 — https://doi.org/10.51885/3107-2755_ssadh_2026_2_14</w:t>
      </w:r>
    </w:p>
    <w:p>
      <w:pPr/>
      <w:r>
        <w:rPr>
          <w:b/>
        </w:rPr>
        <w:t>Shared claim-specific concepts:</w:t>
      </w:r>
      <w:r>
        <w:t xml:space="preserve"> article, author, presents, role; EU scope visible. This is a provisional connection, not an outcome finding.</w:t>
      </w:r>
    </w:p>
    <w:p>
      <w:pPr>
        <w:pStyle w:val="SourceNote"/>
      </w:pPr>
      <w:r>
        <w:rPr>
          <w:b/>
        </w:rPr>
        <w:t>Available abstract (not full text):</w:t>
      </w:r>
      <w:r>
        <w:t xml:space="preserve"> The article presents a comparative analysis of two military-legal documents of the 17th-18th centuries: the Swedish Articles of War of 1621, issued by King Gustavus II Adolphus and supplemented by Charles XI in 1683, and the Russian Military Article of 1715, compiled under Peter I. The author examines the influence of the Swedish document on the structure and content of the Russian Article, identifying both borrowed elements and original additions reflecting the specific features of the Russian military and legal system. Special attention is paid to issues of discipline, military jurisdiction, the definition of crimes and punishments, and legal procedures. The comparison of selected articles shows how Peter I adapted Western European norms to Russian conditions while retaining key principles from the Swedish model. The author concludes that although the Russian Article was based on the Swedish one, it was revised in accordance with national traditions, administrative context, and centralization goals. The study emphasizes the role of military articles in shaping a new legal culture, supporting absolutist governance, reinforcing discipline, and legitimizing state violence. This article will be of interest to legal historians, scholars of military and state history in Russia and Sweden, and researchers of legal norm transfer in Early Modern Europe. It also contributes to comparat</w:t>
      </w:r>
    </w:p>
    <w:p>
      <w:pPr/>
      <w:r>
        <w:rPr>
          <w:b/>
        </w:rPr>
        <w:t>POSSIBLE 2026:</w:t>
      </w:r>
      <w:r>
        <w:t xml:space="preserve"> Towards Hydrogen Law in the European Union and Europe? — https://doi.org/10.4324/9781003669654-18</w:t>
      </w:r>
    </w:p>
    <w:p>
      <w:pPr/>
      <w:r>
        <w:rPr>
          <w:b/>
        </w:rPr>
        <w:t>Shared claim-specific concepts:</w:t>
      </w:r>
      <w:r>
        <w:t xml:space="preserve"> hydrogen, union, energy; EU scope visible. This is a provisional connection, not an outcome finding.</w:t>
      </w:r>
    </w:p>
    <w:p>
      <w:pPr>
        <w:pStyle w:val="SourceNote"/>
      </w:pPr>
      <w:r>
        <w:rPr>
          <w:b/>
        </w:rPr>
        <w:t>Available abstract (not full text):</w:t>
      </w:r>
      <w:r>
        <w:t xml:space="preserve"> This concluding chapter adopts a holistic perspective to synthesise the insights presented across the volume, each of which examines distinct components of the emerging regulatory architecture on hydrogen. Drawing together these contributions, the chapter reflects on the gradual emergence of hydrogen law in Europe. Our analysis demonstrates that, although hydrogen law cannot yet be characterised as a coherent field of law, a notable degree of coherence nonetheless arises from the shared objectives underpinning the diverse regulatory measures currently in place. These common objectives enable us to conceptualise the evolving framework as a regulatory ecosystem, which is sufficiently flexible and dynamic to develop in parallel with the maturing hydrogen market it seeks to steer. The chapter offers an integrative perspective on how the EU&amp;s;s legal landscape is shaping, and being shaped by, the transition towards a hydrogen-based energy system.</w:t>
      </w:r>
    </w:p>
    <w:p>
      <w:pPr/>
      <w:r>
        <w:rPr>
          <w:b/>
        </w:rPr>
        <w:t>POSSIBLE 2026:</w:t>
      </w:r>
      <w:r>
        <w:t xml:space="preserve"> Towards European Hydrogen Market Design: Perspectives from Transmission System Operators — https://openalex.org/W7144391439</w:t>
      </w:r>
    </w:p>
    <w:p>
      <w:pPr/>
      <w:r>
        <w:rPr>
          <w:b/>
        </w:rPr>
        <w:t>Shared claim-specific concepts:</w:t>
      </w:r>
      <w:r>
        <w:t xml:space="preserve"> hydrogen, decarbonisation, electricity, over, final; EU scope visible. This is a provisional connection, not an outcome finding.</w:t>
      </w:r>
    </w:p>
    <w:p>
      <w:pPr>
        <w:pStyle w:val="SourceNote"/>
      </w:pPr>
      <w:r>
        <w:rPr>
          <w:b/>
        </w:rPr>
        <w:t>Available abstract (not full text):</w:t>
      </w:r>
      <w:r>
        <w:t xml:space="preserve"> Despite hydrogen being central to Europe's decarbonisation strategy, only a small share of renewable hydrogen projects reached final investment decision. A key barrier is uncertainty about how future hydrogen markets will be designed and operated, particularly under Renewable Fuels of Non-Biological Origin requirements. This study investigates the extent to which future hydrogen market design can be adapted from existing natural gas markets, and the challenges it must address. The analysis was based on a survey on future hydrogen market design targeting European gas transmission system operators, the stakeholder group responsible for operating the network and implementing the Network Codes. The survey provided an assessment of mechanism transferability and identified challenges for the early development of the hydrogen market. Core market design principles and trading frameworks are broadly transferable from natural gas markets, as entry-exit systems and virtual trading points. Capacity allocation requires targeted adaptation to improve coupling with electricity markets. Tariffs require adaptation through intertemporal cost allocation, distributing infrastructure costs over time to protect early adopters. Balancing regimes should be revisited to reflect hydrogen's physical characteristics and different linepack flexibility usages. Key challenges for early hydrogen markets inclu</w:t>
      </w:r>
    </w:p>
    <w:p>
      <w:pPr/>
      <w:r>
        <w:rPr>
          <w:b/>
        </w:rPr>
        <w:t>POSSIBLE 2026:</w:t>
      </w:r>
      <w:r>
        <w:t xml:space="preserve"> Sources of European Union competition law — https://doi.org/10.24144/2307-3322.2026.93.2.3</w:t>
      </w:r>
    </w:p>
    <w:p>
      <w:pPr/>
      <w:r>
        <w:rPr>
          <w:b/>
        </w:rPr>
        <w:t>Shared claim-specific concepts:</w:t>
      </w:r>
      <w:r>
        <w:t xml:space="preserve"> article, presents, union, achieving, significant, role; EU scope visible. This is a provisional connection, not an outcome finding.</w:t>
      </w:r>
    </w:p>
    <w:p>
      <w:pPr>
        <w:pStyle w:val="SourceNote"/>
      </w:pPr>
      <w:r>
        <w:rPr>
          <w:b/>
        </w:rPr>
        <w:t>Available abstract (not full text):</w:t>
      </w:r>
      <w:r>
        <w:t xml:space="preserve"> This article presents a comprehensive and systematic study of the sources of European Union competition law as a dynamic, multi-level legal system shaped by profound economic, technological and geopolitical transformations. The authors proceed from the premise that contemporary EU competition law has ceased to be exclusively an instrument for ensuring the functioning of the internal market and increasingly performs a strategic role in achieving objectives of economic resilience, digital transformation, strategic autonomy and crisis management in conditions of global instability. The paper advances the thesis that the system of sources of EU competition law is becoming more complex and evolving, driven by an expansion of regulatory fields, the growing role of supranational institutions and the emergence of new regulatory instruments. The authors provide a detailed analysis of primary EU law instruments, above all the Treaty on European Union and the Treaty on the Functioning of the European Union, which enshrine the fundamental principles of competition, establish the Union’s exclusive competence in this area and create the normative foundation for the operation of the internal market. It is shown that norms of primary law possess direct effect and play a key role in the formation of a unified competition law regime. Special attention is devoted to the analysis of EU secondary l</w:t>
      </w:r>
    </w:p>
    <w:p>
      <w:pPr/>
      <w:r>
        <w:rPr>
          <w:b/>
        </w:rPr>
        <w:t>POSSIBLE 2026:</w:t>
      </w:r>
      <w:r>
        <w:t xml:space="preserve"> Resource requirements and consequences of large-scale hydrogen use in Europe — https://doi.org/10.1038/s41893-026-01771-5</w:t>
      </w:r>
    </w:p>
    <w:p>
      <w:pPr/>
      <w:r>
        <w:rPr>
          <w:b/>
        </w:rPr>
        <w:t>Shared claim-specific concepts:</w:t>
      </w:r>
      <w:r>
        <w:t xml:space="preserve"> hydrogen, climate, electricity, energy; EU scope visible. This is a provisional connection, not an outcome finding.</w:t>
      </w:r>
    </w:p>
    <w:p>
      <w:pPr>
        <w:pStyle w:val="SourceNote"/>
      </w:pPr>
      <w:r>
        <w:rPr>
          <w:b/>
        </w:rPr>
        <w:t>Available abstract (not full text):</w:t>
      </w:r>
      <w:r>
        <w:t xml:space="preserve"> Abstract As European countries transition to fuels with lower climate change impact, distinct challenges may arise. Electrolytic hydrogen is central to planned developments in transportation and industry, but large-scale hydrogen production could have energy and environmental consequences. Here we simulate site-specific hydrogen demand distribution for Europe in 2050, to assess possible effects on local water use risks, regional electricity generation composition and cost, and total land use. Results show that around 20% of annual water use for hydrogen production is simulated to happen in areas with ‘extremely high’ projected risk of water stress, and local water stress caused by hydrogen production could become severe. Widespread electrolytic hydrogen use requires large investments in electricity generation, but the impacts on the marginal electricity cost to consumers could be small. The electricity generation system required for producing hydrogen or e-fuels would require less land than cultivating biomass for biofuels. The findings highlight the need for coordinated policy action to ensure that hydrogen deployment aligns with local water availability, regional electricity system development, land constraints and broader sustainability goals.</w:t>
      </w:r>
    </w:p>
    <w:p>
      <w:pPr/>
      <w:r>
        <w:rPr>
          <w:b/>
        </w:rPr>
        <w:t>POSSIBLE 2025:</w:t>
      </w:r>
      <w:r>
        <w:t xml:space="preserve"> Management of European Critical Infrastructures under the Conditions of Directive 2022/2557 of the European Parliament and of the Council of the European Union — https://doi.org/10.15804/athena.2025.88.08</w:t>
      </w:r>
    </w:p>
    <w:p>
      <w:pPr/>
      <w:r>
        <w:rPr>
          <w:b/>
        </w:rPr>
        <w:t>Shared claim-specific concepts:</w:t>
      </w:r>
      <w:r>
        <w:t xml:space="preserve"> article, presents, essential, union, energy; EU scope visible. This is a provisional connection, not an outcome finding.</w:t>
      </w:r>
    </w:p>
    <w:p>
      <w:pPr>
        <w:pStyle w:val="SourceNote"/>
      </w:pPr>
      <w:r>
        <w:rPr>
          <w:b/>
        </w:rPr>
        <w:t>Available abstract (not full text):</w:t>
      </w:r>
      <w:r>
        <w:t xml:space="preserve"> The article presents the results of research on the importance of European critical infrastructure in the current conditions of the security environment of Poland and the European Union. New challenges in this area were indicated. The research was conducted after the first year of the European Parliament’s Directive on the Resilience of Critical Entities. The results indicate that the Polish society is very interested in the issues of critical infrastructure protection. Respondents appreciated the importance of all sectors in which essential services are provided, with services directly related to the provision of subsistence needs, such as water, food and energy, the highest. The respondents rated the need to maintain efficient rescue systems relatively high. In the opinion of the authors of the article, this opinion could have been influenced by the Russian-Ukrainian war and the aggressive policy of the Russian Federation towards the European Union.</w:t>
      </w:r>
    </w:p>
    <w:p>
      <w:pPr/>
      <w:r>
        <w:rPr>
          <w:b/>
        </w:rPr>
        <w:t>POSSIBLE 2025:</w:t>
      </w:r>
      <w:r>
        <w:t xml:space="preserve"> Left-wing terrorism in Europe. Past and present. — https://doi.org/10.5604/01.3001.0055.6423</w:t>
      </w:r>
    </w:p>
    <w:p>
      <w:pPr/>
      <w:r>
        <w:rPr>
          <w:b/>
        </w:rPr>
        <w:t>Shared claim-specific concepts:</w:t>
      </w:r>
      <w:r>
        <w:t xml:space="preserve"> article, author, presents; EU scope visible. This is a provisional connection, not an outcome finding.</w:t>
      </w:r>
    </w:p>
    <w:p>
      <w:pPr>
        <w:pStyle w:val="SourceNote"/>
      </w:pPr>
      <w:r>
        <w:rPr>
          <w:b/>
        </w:rPr>
        <w:t>Available abstract (not full text):</w:t>
      </w:r>
      <w:r>
        <w:t xml:space="preserve"> In the article, the author presents the genesis and development of one of the trends of terrorism, which in the literature has such terms as: left-wing, revolutionary, anarchist, Marxist terrorism and its development in Europe in the past and present. Additional attention is paid to the current activity of left-wing terrorists and the influence of this threat on the current security of Europe. In addition, the most important terrorist organizations of this trend that have operated in the past or are still active in Europe have been presented.</w:t>
      </w:r>
    </w:p>
    <w:p>
      <w:pPr/>
      <w:r>
        <w:rPr>
          <w:b/>
        </w:rPr>
        <w:t>POSSIBLE 2025:</w:t>
      </w:r>
      <w:r>
        <w:t xml:space="preserve"> The European legal dimension of environmental safety — https://doi.org/10.24144/2307-3322.2025.91.5.15</w:t>
      </w:r>
    </w:p>
    <w:p>
      <w:pPr/>
      <w:r>
        <w:rPr>
          <w:b/>
        </w:rPr>
        <w:t>Shared claim-specific concepts:</w:t>
      </w:r>
      <w:r>
        <w:t xml:space="preserve"> article, presents, aspects, support, union, climate; EU scope visible. This is a provisional connection, not an outcome finding.</w:t>
      </w:r>
    </w:p>
    <w:p>
      <w:pPr>
        <w:pStyle w:val="SourceNote"/>
      </w:pPr>
      <w:r>
        <w:rPr>
          <w:b/>
        </w:rPr>
        <w:t>Available abstract (not full text):</w:t>
      </w:r>
      <w:r>
        <w:t xml:space="preserve"> The article is dedicated to the analysis of contemporary international and European legislation in the field of environmental safety and protection. Given that Ukraine’s current European and Euro-Atlantic integration is determined by the process of Ukraine’s rapprochement with the European Union, the authors first consider issues of legal support for environmental safety at the level of approaches and principles for the formation of national and local policies, European standards and legal dimensions in the environmental sphere. The purpose of the article is to review European legislation on environmental safety, its impact on national environmental policies in the European Union, as well as the scientific views of Ukrainian and European scholars on the processes of approximating national legislation to European legislation in the field of ecology, with the aim of deepening understanding of current and recent changes to Ukrainian national legislation, legal guidelines and dimensions that represent European legal discourse as a whole. The authors draw attention to current international and European environmental legislation, the development of environmental safety standards, the introduction of economic mechanisms and liability for violations, as well as the consideration of environmental aspects in the future foreign policy of EU member states. The authors attempted to study ge</w:t>
      </w:r>
    </w:p>
    <w:p>
      <w:pPr/>
      <w:r>
        <w:rPr>
          <w:b/>
        </w:rPr>
        <w:t>POSSIBLE 2025:</w:t>
      </w:r>
      <w:r>
        <w:t xml:space="preserve"> Hydrogen as a Renewable Fuel of Non-Biological Origins in the European Union—The Emerging Market and Regulatory Framework — https://doi.org/10.3390/en18030617</w:t>
      </w:r>
    </w:p>
    <w:p>
      <w:pPr/>
      <w:r>
        <w:rPr>
          <w:b/>
        </w:rPr>
        <w:t>Shared claim-specific concepts:</w:t>
      </w:r>
      <w:r>
        <w:t xml:space="preserve"> article, hydrogen, fuel, support, union, climate; EU scope visible. This is a provisional connection, not an outcome finding.</w:t>
      </w:r>
    </w:p>
    <w:p>
      <w:pPr>
        <w:pStyle w:val="SourceNote"/>
      </w:pPr>
      <w:r>
        <w:rPr>
          <w:b/>
        </w:rPr>
        <w:t>Available abstract (not full text):</w:t>
      </w:r>
      <w:r>
        <w:t xml:space="preserve"> The European Union continues to lead global efforts toward climate neutrality by developing a cohesive regulatory and market framework for alternative fuels, including renewable hydrogen. This review article critically examines the recent evolution of the EU’s policy landscape specifically for hydrogen as a renewable fuel of non-biological origin (RFNBO), highlighting its growing importance in hard-to-abate sectors such as industry and transportation. We assess the interplay of market-based mechanisms (e.g., EU ETS II), direct mandates (e.g., FuelEU Maritime, RED III), and support auction-based measures (e.g., the European Hydrogen Bank) that collectively shape both the demand and the supply of hydrogen as RFNBO fuel. The article also addresses emerging cost, capacity, and technical barriers—ranging from constrained electrolyzer deployment to complex certification requirements—that hinder large-scale adoption and market rollout. The article aims to discuss advancing and changing regulatory and market environment for the development of infrastructure and market for hydrogen as RFNBO fuel in the EU in 2019–2024. Synthesizing current research and policy developments, we propose targeted recommendations, including enhanced cross-border coordination and capacity-based incentives, to accelerate investment and infrastructure development. This review informs policymakers, industry stak</w:t>
      </w:r>
    </w:p>
    <w:p>
      <w:pPr/>
      <w:r>
        <w:rPr>
          <w:b/>
        </w:rPr>
        <w:t>POSSIBLE 2025:</w:t>
      </w:r>
      <w:r>
        <w:t xml:space="preserve"> Development of the Hydrogen Market and Local Green Hydrogen Offtake in Africa — https://doi.org/10.3390/hydrogen6030043</w:t>
      </w:r>
    </w:p>
    <w:p>
      <w:pPr/>
      <w:r>
        <w:rPr>
          <w:b/>
        </w:rPr>
        <w:t>Shared claim-specific concepts:</w:t>
      </w:r>
      <w:r>
        <w:t xml:space="preserve"> article, hydrogen, energy; EU scope not established. This is a provisional connection, not an outcome finding.</w:t>
      </w:r>
    </w:p>
    <w:p>
      <w:pPr>
        <w:pStyle w:val="SourceNote"/>
      </w:pPr>
      <w:r>
        <w:rPr>
          <w:b/>
        </w:rPr>
        <w:t>Available abstract (not full text):</w:t>
      </w:r>
      <w:r>
        <w:t xml:space="preserve"> Creating a hydrogen market in Africa is a great opportunity to assist in the promotion of sustainable energy solutions and economic growth. This article addresses the legislation and regulations that need to be developed to facilitate growth in the hydrogen market and allow local green hydrogen offtake across the continent. By reviewing current policy and strategy within particular African countries and best practices globally from key hydrogen economies, the review establishes compelling issues, challenges, and opportunities unique to Africa. The study identifies the immense potential in Africa for renewable energy, and, in particular, for solar and wind, as the foundation for the production of green hydrogen. It examines how effective policy frameworks can establish a vibrant hydrogen economy by bridging infrastructural gaps, cost hurdles, and regulatory barriers. The paper also addresses how local offtake contracts for green hydrogen can be used to stimulate economic diversification, energy security, and sustainable development. Policy advice is provided to assist African authorities and stakeholders in the deployment of enabling regulatory frameworks and the mobilization of funds. The paper contributes to global hydrogen energy discussions by introducing Africa as an eligible stakeholder in the emerging hydrogen economy and outlining prospects for its inclusion into regiona</w:t>
      </w:r>
    </w:p>
    <w:p>
      <w:pPr/>
      <w:r>
        <w:rPr>
          <w:b/>
        </w:rPr>
        <w:t>POSSIBLE 2025:</w:t>
      </w:r>
      <w:r>
        <w:t xml:space="preserve"> Language Use in Courts under International Law: Thoughts on the Applicability of Article 9 of the European Charter for Regional or Minority Languages in Hungary — https://doi.org/10.62152/hjms.2025.gyl</w:t>
      </w:r>
    </w:p>
    <w:p>
      <w:pPr/>
      <w:r>
        <w:rPr>
          <w:b/>
        </w:rPr>
        <w:t>Shared claim-specific concepts:</w:t>
      </w:r>
      <w:r>
        <w:t xml:space="preserve"> article, author, presents, commitment, role; EU scope visible. This is a provisional connection, not an outcome finding.</w:t>
      </w:r>
    </w:p>
    <w:p>
      <w:pPr>
        <w:pStyle w:val="SourceNote"/>
      </w:pPr>
      <w:r>
        <w:rPr>
          <w:b/>
        </w:rPr>
        <w:t>Available abstract (not full text):</w:t>
      </w:r>
      <w:r>
        <w:t xml:space="preserve"> Based on Ludwig Wittgenstein’s idea (“The limits of my language mean the limits of my world”), this study examines a specific dimension of minority language use, namely the right to use one’s language in court. It points out that the survival of a minority language presupposes not only the existence of a community of speakers but also a conscious, institutionalized commitment to language policy on the part of the state. As a normative framework, it juxtaposes the provisions of Article 6 of the European Convention on Human Rights and Article 9 of the European Charter for Regional or Minority Languages and presents the linguistic characteristics of criminal, civil, and administrative proceedings. The study argues that the structural weaknesses of Article 9 of the Language Charter (the minimization of enforceable rights, territorial and numerical restrictions, and judicial discretion in ensuring rights) carry the risk of undermining the right to language use in court. Using the example of a case study—the Constitutional Court’s Decision 2/2021. (I. 7.) AB—the author argues that in the current political environment, constitutional courts and supreme courts have a key role to play in interpreting and effectively enforcing language rights as a “living right.”</w:t>
      </w:r>
    </w:p>
    <w:p>
      <w:pPr>
        <w:pStyle w:val="Heading2"/>
      </w:pPr>
      <w:r>
        <w:t>588. EU climate and energy governance in times of crisis: towards a new agenda</w:t>
      </w:r>
    </w:p>
    <w:p>
      <w:pPr>
        <w:pStyle w:val="SourceNote"/>
      </w:pPr>
      <w:r>
        <w:rPr>
          <w:b/>
        </w:rPr>
        <w:t>Original source (2021):</w:t>
      </w:r>
      <w:r>
        <w:t xml:space="preserve"> https://doi.org/10.1080/13501763.2021.1918221</w:t>
      </w:r>
    </w:p>
    <w:p>
      <w:pPr/>
      <w:r>
        <w:t>Original wording (abstract; indexed_source_text_not_full_document_verified): As the EU seeks to fully decarbonise itself by 2050, interactions with the crisis trends are likely to intensify in ways which future research could fruitfully investigate.</w:t>
      </w:r>
    </w:p>
    <w:p>
      <w:pPr/>
      <w:r>
        <w:rPr>
          <w:b/>
        </w:rPr>
        <w:t>POSSIBLE 2026:</w:t>
      </w:r>
      <w:r>
        <w:t xml:space="preserve"> Reframing the Refugee Rentier State: Turkey in the European Refugee ‘Crisis’ — https://doi.org/10.3390/socsci15070457</w:t>
      </w:r>
    </w:p>
    <w:p>
      <w:pPr/>
      <w:r>
        <w:rPr>
          <w:b/>
        </w:rPr>
        <w:t>Shared claim-specific concepts:</w:t>
      </w:r>
      <w:r>
        <w:t xml:space="preserve"> seeks, itself, interactions, crisis; EU scope visible. This is a provisional connection, not an outcome finding.</w:t>
      </w:r>
    </w:p>
    <w:p>
      <w:pPr>
        <w:pStyle w:val="SourceNote"/>
      </w:pPr>
      <w:r>
        <w:rPr>
          <w:b/>
        </w:rPr>
        <w:t>Available abstract (not full text):</w:t>
      </w:r>
      <w:r>
        <w:t xml:space="preserve"> The refugee rentier state seeks to manipulate mass population movements to obtain economic and political/strategic ‘rents’, asserting itself in a way that challenges the premises of Global South marginality, disempowerment and exclusion within the international system. This article develops the concept of the refugee rentier state, which it understands as a political economy framework for analysing how host states transform refugee populations into sources of bargaining power within asymmetric systems of global governance, while showing how this “trading” feeds into economic vulnerabilities and exclusions associated with forced labour arrangements. It shows how refugee hosting can function as a strategic asset through which states extract economic and political/strategic rents from wealthier counterparts. Drawing on Turkey’s engagement with the European Union in the European refugee “crisis”, the article examines how refugee rentier strategies operate within, rather than outside, established migration governance regimes, giving rise to economic informality and partial labour market integration. In applying the rentier state model to EU–Turkey interactions, it situates refugee rentierism within the structural logic of EU migration externalisation and the institutional weaknesses of international refugee protection, while considering how they feed into the vulnerability of displa</w:t>
      </w:r>
    </w:p>
    <w:p>
      <w:pPr/>
      <w:r>
        <w:rPr>
          <w:b/>
        </w:rPr>
        <w:t>POSSIBLE 2026:</w:t>
      </w:r>
      <w:r>
        <w:t xml:space="preserve"> Assessing the future cost of hydrogen in a fully decarbonised Italian energy system: a comparison of myopic and perfect foresight optimisation approaches — https://doi.org/10.1016/j.ijhydene.2026.157058</w:t>
      </w:r>
    </w:p>
    <w:p>
      <w:pPr/>
      <w:r>
        <w:rPr>
          <w:b/>
        </w:rPr>
        <w:t>Shared claim-specific concepts:</w:t>
      </w:r>
      <w:r>
        <w:t xml:space="preserve"> fully; EU scope not established. This is a provisional connection, not an outcome finding.</w:t>
      </w:r>
    </w:p>
    <w:p>
      <w:pPr>
        <w:pStyle w:val="SourceNote"/>
      </w:pPr>
      <w:r>
        <w:rPr>
          <w:b/>
        </w:rPr>
        <w:t>Available abstract (not full text):</w:t>
      </w:r>
      <w:r>
        <w:t xml:space="preserve"> This study evaluates the role and cost dynamics of hydrogen in the energy transition towards carbon neutrality by 2050. Using the H2RES long-term optimisation tool, the research explores scenarios involving electrolyser technologies, hydrogen storage, and fuel cells, considering increasing hydrogen demand in hard-to-abate sectors. By optimising the system under both perfect foresight and myopic planning approaches, results indicate that alkaline electrolysers dominate deployment, while solid-oxide electrolysers gain traction in high-efficiency, low-cost scenarios. Fuel cells play a negligible role, except for solid oxide fuel cells under optimistic assumptions. Electrolyser capacity is projected to reach 40-70 GW, with the levelized cost of hydrogen dropping from €2.37/kg in 2030 to €1.49-€2.05/kg by 2050. Myopic approach results in up to 25% higher hydrogen costs due to less efficient infrastructure development. This work highlights that hydrogen's economic viability depends on integrated system planning and should not be assessed in isolation from broader energy system configurations.</w:t>
      </w:r>
    </w:p>
    <w:p>
      <w:pPr/>
      <w:r>
        <w:rPr>
          <w:b/>
        </w:rPr>
        <w:t>POSSIBLE 2026:</w:t>
      </w:r>
      <w:r>
        <w:t xml:space="preserve"> Identification of barriers to decarbonise the German steel industry as a basis for a feasibility assessment — https://doi.org/10.1016/j.enpol.2026.115373</w:t>
      </w:r>
    </w:p>
    <w:p>
      <w:pPr/>
      <w:r>
        <w:rPr>
          <w:b/>
        </w:rPr>
        <w:t>Shared claim-specific concepts:</w:t>
      </w:r>
      <w:r>
        <w:t xml:space="preserve"> decarbonise; EU scope visible. This is a provisional connection, not an outcome finding.</w:t>
      </w:r>
    </w:p>
    <w:p>
      <w:pPr>
        <w:pStyle w:val="SourceNote"/>
      </w:pPr>
      <w:r>
        <w:rPr>
          <w:b/>
        </w:rPr>
        <w:t>Available abstract (not full text):</w:t>
      </w:r>
      <w:r>
        <w:t xml:space="preserve"> Decarbonising the German steel industry requires not only mature low-carbon technologies, but also framework conditions that make their deployment feasible in practice. This study identifies the most critical barriers using a mixed-methods approach: 1) a systematic review of 42 publications and 2) semi-structured interviews with experts from all German primary steel producers. The review results in a comprehensive inventory of barriers associated with feasibility dimensions, which serves as a structured basis for the interviews. Experts weighted each barrier and highlighted the most important obstacles. The resulting ranking by practitioners differs markedly from rankings inferred from literature, suggesting that frequency of mention may be a weak indicator of practical relevance. Barriers with high consensus and importance relate to energy costs and the long-term availability of low-carbon electricity and hydrogen, regulatory certainty (EU ETS, CBAM, support schemes), international competition with global overcapacities, and the creation of lead markets for green steel. Socio-cultural barriers appear comparatively minor in this sectoral context. Methodologically, the study demonstrates a structured diagnostic approach: capturing the barrier landscape via literature, refining and prioritising through expert input, and translating top barriers into actionable indicators. The res</w:t>
      </w:r>
    </w:p>
    <w:p>
      <w:pPr/>
      <w:r>
        <w:rPr>
          <w:b/>
        </w:rPr>
        <w:t>POSSIBLE 2026:</w:t>
      </w:r>
      <w:r>
        <w:t xml:space="preserve"> Decarbonising the Haber-Bosch ammonia industry: from technical barriers to market deployment — https://doi.org/10.2760/2677610</w:t>
      </w:r>
    </w:p>
    <w:p>
      <w:pPr/>
      <w:r>
        <w:rPr>
          <w:b/>
        </w:rPr>
        <w:t>Shared claim-specific concepts:</w:t>
      </w:r>
      <w:r>
        <w:t xml:space="preserve"> trends; EU scope not established. This is a provisional connection, not an outcome finding.</w:t>
      </w:r>
    </w:p>
    <w:p>
      <w:pPr>
        <w:pStyle w:val="SourceNote"/>
      </w:pPr>
      <w:r>
        <w:rPr>
          <w:b/>
        </w:rPr>
        <w:t>Available abstract (not full text):</w:t>
      </w:r>
      <w:r>
        <w:t xml:space="preserve"> Ammonia is a key commodity, serving as a fertiliser, a feedstock for the chemical industry and an emerging energy carrier. The sector is heavily dependent on the fossil-fuel driven Haber-Bosch production route, which alone accounts for more than one third of the CO₂ emissions of the (petro)chemical industry. Decarbonising this route largely relies on the (i) integration of carbon capture, (ii) use of biomass derived hydrogen, and (iii) electrification. This report first maps the technical challenges of each pathway and then examines market deployment and R&amp;D trends. Results confirm that while carbon capture is a mature technology, high costs and regulatory uncertainty limit its uptake. On the contrary, the biomass-fed route suffers from low ammonia yields that restrict its potential for large-scale deployment in the future. Although coupling intermittent renewable energy with the continuous Haber-Bosch synthesis loop remains a major barrier of the electrified route, first-of-a-kind plants are already operational, with more projects planned in the future. This has been largely possible due to recent progress and innovations in operational solutions, such as advanced forecasting, optimisation and control systems. The necessary individual technologies are therefore largely available; what is needed now are incremental performance improvements and, most importantly, a system-level </w:t>
      </w:r>
    </w:p>
    <w:p>
      <w:pPr/>
      <w:r>
        <w:rPr>
          <w:b/>
        </w:rPr>
        <w:t>POSSIBLE 2025:</w:t>
      </w:r>
      <w:r>
        <w:t xml:space="preserve"> What Motivates Companies to Take the Decision to Decarbonise? — https://doi.org/10.3390/en18143780</w:t>
      </w:r>
    </w:p>
    <w:p>
      <w:pPr/>
      <w:r>
        <w:rPr>
          <w:b/>
        </w:rPr>
        <w:t>Shared claim-specific concepts:</w:t>
      </w:r>
      <w:r>
        <w:t xml:space="preserve"> decarbonise, crisis; EU scope not established. This is a provisional connection, not an outcome finding.</w:t>
      </w:r>
    </w:p>
    <w:p>
      <w:pPr>
        <w:pStyle w:val="SourceNote"/>
      </w:pPr>
      <w:r>
        <w:rPr>
          <w:b/>
        </w:rPr>
        <w:t>Available abstract (not full text):</w:t>
      </w:r>
      <w:r>
        <w:t xml:space="preserve"> Already more than 140 countries consider or have pledged to reach net-zero emission targets by 2050 or earlier and the share of global emissions falling into an emission pricing scheme has steeply increased over the past three years. Even where there are no direct implications for industry (yet), there is a series of subtle pressure points driving an increasing number of companies across the globe to work towards climate neutrality and pledging ambitious emission reduction goals. This article sheds light on the pressure points, the subtle triggers, the underlying considerations as well as the hoped-for benefits for industrial companies from achieving net-zero emissions. The observations and ideas presented in this paper are derived from quantitative data obtained via the Energy Efficiency Index of German Industry (EEI) and qualitative data. Not only societal, work force, supply chain and investor expectations play a large role, but also many strategic considerations which have the potential to make the company more resilient and profitable, particularly in time of crisis. Those companies that do not move towards decarbonisation, on the other hand, may face a costly late-mover disadvantage. This piece uncovers subtle interconnections, helping stakeholders from industry and beyond to grasp opportunities and challenges ahead.</w:t>
      </w:r>
    </w:p>
    <w:p>
      <w:pPr/>
      <w:r>
        <w:rPr>
          <w:b/>
        </w:rPr>
        <w:t>POSSIBLE 2025:</w:t>
      </w:r>
      <w:r>
        <w:t xml:space="preserve"> Polycrisis patterns: applying system archetypes to crisis interactions — https://doi.org/10.1017/sus.2025.21</w:t>
      </w:r>
    </w:p>
    <w:p>
      <w:pPr/>
      <w:r>
        <w:rPr>
          <w:b/>
        </w:rPr>
        <w:t>Shared claim-specific concepts:</w:t>
      </w:r>
      <w:r>
        <w:t xml:space="preserve"> interactions, crisis, ways; EU scope not established. This is a provisional connection, not an outcome finding.</w:t>
      </w:r>
    </w:p>
    <w:p>
      <w:pPr>
        <w:pStyle w:val="SourceNote"/>
      </w:pPr>
      <w:r>
        <w:rPr>
          <w:b/>
        </w:rPr>
        <w:t>Available abstract (not full text):</w:t>
      </w:r>
      <w:r>
        <w:t xml:space="preserve"> Abstract Non-technical summary: The world is facing multiple interconnected crises, from climate change and economic instability to social inequalities and geopolitical tensions. These crises do not occur in isolation; instead, they interact, reinforce each other, and create unexpected ripple effects – forming what is known as a polycrisis. Traditional ways of analysing problems often fail to grasp these interdependencies, making it difficult to find effective responses. We draw on system archetypes to describe and exemplify three polycrisis patterns. These provide a structured way to analyse how multiple crises unfold and interact, as well as insights into how to navigate such complexity. Technical summary: The concept of a polycrisis describes the complex interconnections between global issues, which can lead to unexpected emergent behaviours and the possible convergence of undesirable impacts. Understanding these dynamics is crucial for anticipating compounded effects and for identifying leverage points for effective intervention. We propose that system archetypes – generic structures in system dynamics that capture recurring patterns of behaviour – can serve as a useful analytical tool to study polycrises. Specifically, we reinterpret three key system archetypes in this context: Converging Constraints (based on the Limits to Growth system archetype), Deepening Divides (base</w:t>
      </w:r>
    </w:p>
    <w:p>
      <w:pPr/>
      <w:r>
        <w:rPr>
          <w:b/>
        </w:rPr>
        <w:t>POSSIBLE 2024:</w:t>
      </w:r>
      <w:r>
        <w:t xml:space="preserve"> Synthetic Fuels for Decarbonising UK Rural Transport — https://doi.org/10.3390/encyclopedia4040101</w:t>
      </w:r>
    </w:p>
    <w:p>
      <w:pPr/>
      <w:r>
        <w:rPr>
          <w:b/>
        </w:rPr>
        <w:t>Shared claim-specific concepts:</w:t>
      </w:r>
      <w:r>
        <w:t xml:space="preserve"> fully; EU scope not established. This is a provisional connection, not an outcome finding.</w:t>
      </w:r>
    </w:p>
    <w:p>
      <w:pPr>
        <w:pStyle w:val="SourceNote"/>
      </w:pPr>
      <w:r>
        <w:rPr>
          <w:b/>
        </w:rPr>
        <w:t>Available abstract (not full text):</w:t>
      </w:r>
      <w:r>
        <w:t xml:space="preserve"> Decarbonising transport is a crucial element of the UK’s strategy to achieve net-zero carbon emissions by 2050, as the transport sector is currently the largest contributor to the UK’s greenhouse gas emissions. Rural communities face distinct challenges in this effort due to their reliance on internal combustion engines (ICEs) across vehicles and machinery essential for daily life, including farming equipment and private transport. While the upcoming ban on new petrol and diesel vehicles paves the way for the adoption of Electric Vehicles (EVs), this solution may not fully address the unique needs of rural areas where infrastructure limitations and specific mobility requirements pose significant barriers. In this context, synthetic fuels, produced using renewable energy sources, offer a potential alternative. These fuels can be used directly in existing internal combustion engines without requiring major modifications and have the added benefit of reducing overall greenhouse gas emissions by capturing CO2 during production. This entry explores the potential advantages of adopting synthetic fuels, particularly in rural areas, and examines how community-based buying cooperatives could support their wider use through bulk purchasing, cost reduction, and community empowerment.</w:t>
      </w:r>
    </w:p>
    <w:p>
      <w:pPr/>
      <w:r>
        <w:rPr>
          <w:b/>
        </w:rPr>
        <w:t>POSSIBLE 2024:</w:t>
      </w:r>
      <w:r>
        <w:t xml:space="preserve"> Green health: how to decarbonise global healthcare systems — https://doi.org/10.1186/s42055-024-00098-3</w:t>
      </w:r>
    </w:p>
    <w:p>
      <w:pPr/>
      <w:r>
        <w:rPr>
          <w:b/>
        </w:rPr>
        <w:t>Shared claim-specific concepts:</w:t>
      </w:r>
      <w:r>
        <w:t xml:space="preserve"> decarbonise, crisis; EU scope not established. This is a provisional connection, not an outcome finding.</w:t>
      </w:r>
    </w:p>
    <w:p>
      <w:pPr>
        <w:pStyle w:val="SourceNote"/>
      </w:pPr>
      <w:r>
        <w:rPr>
          <w:b/>
        </w:rPr>
        <w:t>Available abstract (not full text):</w:t>
      </w:r>
      <w:r>
        <w:t xml:space="preserve"> Healthcare systems are major emitters of greenhouse gases that contribute to climate change. The resulting climate crisis harms human and planetary health and increasingly impacts lives on Earth. Because of their status as high emitters and their social role in society, healthcare systems have a clear obligation to decarbonise. This study investigates how healthcare systems worldwide can lower their greenhouse gas emissions and thereby contribute to global climate action. We performed a systematic literature review, searching PubMed, GreenFILE, Business Source Complete and CINAHL for relevant empirical studies, non-research papers and grey literature published between 1 January 2018 and 28 March 2023. The Greenhouse Gas Protocol applied to healthcare systems guided thematic and descriptive analyses to explore interventions targeted at scope 1, 2 and 3 emissions. The PRISMA guidelines were followed for reporting and synthesising the results. A total of 742 publications were initially identified, 230 of which were included in the systematic literature review, comprising 96 empirical studies, 132 non-research papers and two governmental reports. Numerous conventional and unique decarbonisation actions related to healthcare have been reported in the literature. Eight themes were identified: transportation, anaesthesia, energy, travel, supply chain, clinical practices, planetary hea</w:t>
      </w:r>
    </w:p>
    <w:p>
      <w:pPr/>
      <w:r>
        <w:rPr>
          <w:b/>
        </w:rPr>
        <w:t>POSSIBLE 2024:</w:t>
      </w:r>
      <w:r>
        <w:t xml:space="preserve"> A modelling tool selection for decarbonising industrial process heat systems — https://doi.org/10.1016/j.rser.2024.115149</w:t>
      </w:r>
    </w:p>
    <w:p>
      <w:pPr/>
      <w:r>
        <w:rPr>
          <w:b/>
        </w:rPr>
        <w:t>Shared claim-specific concepts:</w:t>
      </w:r>
      <w:r>
        <w:t xml:space="preserve"> decarbonise, trends; EU scope not established. This is a provisional connection, not an outcome finding.</w:t>
      </w:r>
    </w:p>
    <w:p>
      <w:pPr>
        <w:pStyle w:val="SourceNote"/>
      </w:pPr>
      <w:r>
        <w:rPr>
          <w:b/>
        </w:rPr>
        <w:t>Available abstract (not full text):</w:t>
      </w:r>
      <w:r>
        <w:t xml:space="preserve"> Industrial Process Heat systems are critical to various industrial processes, representing a significant share of global energy use and emissions. Effective modelling of these systems is essential for evaluating long-term economic and environmental impacts of different technologies. This modelling approach must integrate internal process-specific parameters, such as heat demand dynamics and technological metrics, alongside broader factors like energy costs, emissions policies, and resource availability. This research introduces a comprehensive framework for selecting tools to model industrial process heat systems, focusing on technological, economic, and environmental performance. An initial evaluation of twenty-five tools led to the shortlisting of five based on criteria such as modelling accuracy, scalability, data handling, compatibility with industrial systems, and environmental impacts. Using software engineering principles, a systematic selection process was developed to categorise tools based on essential and desirable capabilities. This framework was validated through an example application, incorporating both technical and practical considerations. The findings highlight the importance of integrating dynamic simulation capabilities with real-time data analysis to improve evaluation accuracy and emphasise user-friendly interfaces to broader industry adoption. The study </w:t>
      </w:r>
    </w:p>
    <w:p>
      <w:pPr/>
      <w:r>
        <w:rPr>
          <w:b/>
        </w:rPr>
        <w:t>POSSIBLE 2024:</w:t>
      </w:r>
      <w:r>
        <w:t xml:space="preserve"> Decarbonise Now: Securing A Greener, Cleaner, Better Industrial Future — https://openalex.org/W7112488410</w:t>
      </w:r>
    </w:p>
    <w:p>
      <w:pPr/>
      <w:r>
        <w:rPr>
          <w:b/>
        </w:rPr>
        <w:t>Shared claim-specific concepts:</w:t>
      </w:r>
      <w:r>
        <w:t xml:space="preserve"> decarbonise; EU scope not established. This is a provisional connection, not an outcome finding.</w:t>
      </w:r>
    </w:p>
    <w:p>
      <w:pPr>
        <w:pStyle w:val="SourceNote"/>
      </w:pPr>
      <w:r>
        <w:rPr>
          <w:b/>
        </w:rPr>
        <w:t>Available abstract (not full text):</w:t>
      </w:r>
      <w:r>
        <w:t xml:space="preserve"> If we do not succeed in decarbonising our industries, net zero will not succeed. Industry, which includes ores and minerals mining, manufacturing, construction and waste management, accounted for approximately 24% of total net anthropogenic GHG emissions in 2019, this total can be increased up to around 34% if emissions from electricity and heat production are attributed to their use in the sector. A key message from the IPCC’s 2022 report on the mitigation of climate change stated: “Net zero CO2 emissions from the industrial sector are challenging but possible. Reducing industry emissions will entail coordinated action throughout value chains to promote all mitigation options, including demand management, energy and materials efficiency, circular material flows, as well as abatement technologies and transformational changes in production processes. Progressing towards net zero GHG emissions from industry will be enabled by the adoption of new production processes using low- and zero-GHG electricity, hydrogen, fuels, and carbon management.” Further, industrial clusters account for 15%- 20% of global CO2 emissions. Therefore, it is evident that governments need to develop robust industrial decarbonisation strategies and accelerate the speed of implementation. This report follows the Independent Net Zero Review, focusing on the Energy Intensives and Industry Mission. The Independ</w:t>
      </w:r>
    </w:p>
    <w:p>
      <w:pPr/>
      <w:r>
        <w:rPr>
          <w:b/>
        </w:rPr>
        <w:t>POSSIBLE 2024:</w:t>
      </w:r>
      <w:r>
        <w:t xml:space="preserve"> Breaking Coal Lock-In: Unravelling the Policy Hurdles to Decarbonising Indonesia’s Energy Sector — https://doi.org/10.31947/jakpp.v10i2.35427</w:t>
      </w:r>
    </w:p>
    <w:p>
      <w:pPr/>
      <w:r>
        <w:rPr>
          <w:b/>
        </w:rPr>
        <w:t>Shared claim-specific concepts:</w:t>
      </w:r>
      <w:r>
        <w:t xml:space="preserve"> seeks, itself, ways; EU scope not established. This is a provisional connection, not an outcome finding.</w:t>
      </w:r>
    </w:p>
    <w:p>
      <w:pPr>
        <w:pStyle w:val="SourceNote"/>
      </w:pPr>
      <w:r>
        <w:rPr>
          <w:b/>
        </w:rPr>
        <w:t>Available abstract (not full text):</w:t>
      </w:r>
      <w:r>
        <w:t xml:space="preserve"> The Indonesian government has ratified the 2015 Paris Agreement, thereby committing itself to a climate commitment to achieve zero carbon emissions by 2060 and to keep the Earth's temperature rise within 1.5 degrees Celsius above the pre-industrial average. This commitment is being implemented in various ways, including the decarbonisation of the electricity sector. This policy was promulgated in Presidential Regulation 112/2022 regarding acceleration of renewable energy development and Ministry of Finance Regulation 103/2023 on the fiscal support of energy transition. In this case, many aspects such as institutionalisation, visibility, intentionality, risk avoidance, and differences of interest appear to lead to procedural policy outcomes which later determine th decarbonisation rate of Coal-Fired Power Plants (CFPP). This article seeks to examine the procedural aspects of the early coal-fired power plant retirement policy innovation, based on Howlett's (2014) theory of climate policy innovation. This research employs qualitative methods, including in-depth interviews with stakeholders and literature studies. This article explains that the policy formulation in Presidential Regulation 112/2022 tends to be procedurally negative and hampers several CFPPs' early retirement processes in West Java and Banten. The weaknesses of this policy are clearly visible in the form of administ</w:t>
      </w:r>
    </w:p>
    <w:p>
      <w:pPr/>
      <w:r>
        <w:rPr>
          <w:b/>
        </w:rPr>
        <w:t>POSSIBLE 2022:</w:t>
      </w:r>
      <w:r>
        <w:t xml:space="preserve"> Decarbonising Economies — https://doi.org/10.1017/9781108934039</w:t>
      </w:r>
    </w:p>
    <w:p>
      <w:pPr/>
      <w:r>
        <w:rPr>
          <w:b/>
        </w:rPr>
        <w:t>Shared claim-specific concepts:</w:t>
      </w:r>
      <w:r>
        <w:t xml:space="preserve"> ways; EU scope not established. This is a provisional connection, not an outcome finding.</w:t>
      </w:r>
    </w:p>
    <w:p>
      <w:pPr>
        <w:pStyle w:val="SourceNote"/>
      </w:pPr>
      <w:r>
        <w:rPr>
          <w:b/>
        </w:rPr>
        <w:t>Available abstract (not full text):</w:t>
      </w:r>
      <w:r>
        <w:t xml:space="preserve"> Based on an interdisciplinary investigation of future visions, scenarios, and case-studies of low carbon innovation taking place across economic domains, Decarbonising Economies analyses the ways in which questions of agency, power, geography and materiality shape the conditions of possibility for a low carbon future. It explores how and why the challenge of changing our economies are variously ascribed to a lack of finance, a lack of technology, a lack of policy and a lack of public engagement, and shows how the realities constraining change are more fundamentally tied to the inertia of our existing high carbon society and limited visions for what a future low carbon world might become. Through showcasing the first seeds of innovation seeking to enable transformative change, Decarbonising Economies will also chart a course for future research and policy action towards our climate goals. This title is also available as Open Access on Cambridge Core.</w:t>
      </w:r>
    </w:p>
    <w:p>
      <w:pPr>
        <w:pStyle w:val="Heading2"/>
      </w:pPr>
      <w:r>
        <w:t>589. EUROPEAN UNION STRATEGIC AUTONOMY IN THE CONTEXT OF THE CONFERENCE ON THE FUTURE OF EUROPE</w:t>
      </w:r>
    </w:p>
    <w:p>
      <w:pPr>
        <w:pStyle w:val="SourceNote"/>
      </w:pPr>
      <w:r>
        <w:rPr>
          <w:b/>
        </w:rPr>
        <w:t>Original source (2021):</w:t>
      </w:r>
      <w:r>
        <w:t xml:space="preserve"> https://doi.org/10.61801/auoc-sp.2021.04</w:t>
      </w:r>
    </w:p>
    <w:p>
      <w:pPr/>
      <w:r>
        <w:t>Original wording (abstract; indexed_source_text_not_full_document_verified): The main goal of this paper is to discuss the need for EU to achieve strategic autonomy in the upcoming years and shed light on how this concept is shaping EU's future.The question underpinning this research is focused on the reasons why strengthening EU's strategic autonomy matters so much in shaping said future.Strategic autonomy cannot be limited only to security and defense, as many more fields need to embed this concept in 2021.In this sense, the paper does not address directly the complementarity with NATO and the defense and security dimension of strategic autonomy, but rather focuses on the political and economic implications of EU's strategic autonomy.Also, as more global actors begin to review their dependencies and try to identify alternatives, especially after the Covid-19 crisis, a more in-depth and a multi-pronged approach is required in relation to the geopolitical interests of external actors and their impact on creating a stronger European strategic autonomy.The paper also addresses the idea that the strategic autonomy is rather a question of survival of the European project, otherwise EU is running the risk of becoming irrelevant in the event that its "weight" and economic power in the world would diminish to worrying levels.Thirty years ago, EU represented 25% of the global wealth.It is foreseen that in 20 years, EU will not represent more than 11% of the world's GNP, far behind China and the US.Ultimately, the paper focuses on the compelling role the EU needs to take as a global leading leader in order to protect and promote its values and interests worldwide and to address the current geopolitical challenges.There is no better starting point for this than to engage in an extensive and inclusive dialogue with the citizens about the way ahead, and the Conference on the Future of the EU seems to be the appropriate platform.The topics of the Conference included amongst other, climate change, jobs and economy, EU's role in the world, or digitalization issues.In other words, every priority that needs to adapted to the logic of strategic autonomy and help EU build a stronger profile in the global landscape.</w:t>
      </w:r>
    </w:p>
    <w:p>
      <w:pPr/>
      <w:r>
        <w:rPr>
          <w:b/>
        </w:rPr>
        <w:t>POSSIBLE 2026:</w:t>
      </w:r>
      <w:r>
        <w:t xml:space="preserve"> The European Commission’s Commitment to Increasing the Social Legitimacy of the European Green Deal Strategy — https://doi.org/10.33067/se.1.2026.17</w:t>
      </w:r>
    </w:p>
    <w:p>
      <w:pPr/>
      <w:r>
        <w:rPr>
          <w:b/>
        </w:rPr>
        <w:t>Shared claim-specific concepts:</w:t>
      </w:r>
      <w:r>
        <w:t xml:space="preserve"> main, goal, strategic, concept, reasons, limited; EU scope visible. This is a provisional connection, not an outcome finding.</w:t>
      </w:r>
    </w:p>
    <w:p>
      <w:pPr>
        <w:pStyle w:val="SourceNote"/>
      </w:pPr>
      <w:r>
        <w:rPr>
          <w:b/>
        </w:rPr>
        <w:t>Available abstract (not full text):</w:t>
      </w:r>
      <w:r>
        <w:t xml:space="preserve"> The main goal of this paper is to explain the activities undertaken by the European Commission (EC), as a key political actor in the EU, to increase the social legitimacy of the European Green Deal (EGD) strategy among Europeans. The EGD, as a long-term strategy for the EU’s development until 2050, constitutes an economic and environmental project with a clear political and identity dimension. The authors argue that its aim is to build a new vision of a united Europe based on the values of sustainable development and climate neutrality. The analysis is based on the concept of social legitimacy and the theory of actor-centred constructivism, with a particular emphasis on the role of the EC as an entity that creates norms, narratives, and policy instruments. This article identifies the main reasons for the low level of social legitimacy of the EGD, which include concerns about the costs of transformation, the uneven distribution of its socio-economic effects, a lack of trust in public institutions, and limited transparency in communication. The empirical section discusses the instruments used by the EC to strengthen the legitimacy of the EGD, particularly the redistributive and investment mechanisms such as the Just Transition Fund and the Social Climate Fund, as well as the withdrawal from the most controversial sectoral reforms. The conclusions indicate that this strategy is se</w:t>
      </w:r>
    </w:p>
    <w:p>
      <w:pPr/>
      <w:r>
        <w:rPr>
          <w:b/>
        </w:rPr>
        <w:t>POSSIBLE 2026:</w:t>
      </w:r>
      <w:r>
        <w:t xml:space="preserve"> Customs strategy of Ukraine as a tool for achieving sustainable development goals — https://doi.org/10.26565/2786-4995-2026-1-15</w:t>
      </w:r>
    </w:p>
    <w:p>
      <w:pPr/>
      <w:r>
        <w:rPr>
          <w:b/>
        </w:rPr>
        <w:t>Shared claim-specific concepts:</w:t>
      </w:r>
      <w:r>
        <w:t xml:space="preserve"> main, strategic, limited; EU scope visible. This is a provisional connection, not an outcome finding.</w:t>
      </w:r>
    </w:p>
    <w:p>
      <w:pPr>
        <w:pStyle w:val="SourceNote"/>
      </w:pPr>
      <w:r>
        <w:rPr>
          <w:b/>
        </w:rPr>
        <w:t>Available abstract (not full text):</w:t>
      </w:r>
      <w:r>
        <w:t xml:space="preserve"> The article examines the customs strategy of Ukraine as a component of state economic policy and a tool for achieving the Sustainable Development Goals. The object of the study is the customs system of Ukraine in the unity of three key elements: customs taxation, customs administration and the system of customs authorities, which are formed and transformed in the context of military challenges, European integration and global economic changes. Problem statement. The main problem is the insufficient integration of the principles of sustainable development into the customs strategy of Ukraine, which in practice remains predominantly fiscally and institutionally oriented, with limited consideration of environmental, social and regional aspects. Unresolved aspects. Gaps have been identified regarding the environmental dimension of customs taxation, the implementation of circular economy principles, the assessment of the impact of customs decisions on the achievement of the SDGs, the development of environmental risk management, as well as issues of inclusiveness, gender equality and interdepartmental coordination. Purpose of the article. The aim is to scientifically substantiate the role of Ukraine's customs strategy in achieving the Sustainable Development Goals and to identify areas for its improvement, taking into account the provisions of the National Revenue Strategy until 203</w:t>
      </w:r>
    </w:p>
    <w:p>
      <w:pPr/>
      <w:r>
        <w:rPr>
          <w:b/>
        </w:rPr>
        <w:t>POSSIBLE 2026:</w:t>
      </w:r>
      <w:r>
        <w:t xml:space="preserve"> European strategic antinomy — https://doi.org/10.1016/j.polgeo.2026.103616</w:t>
      </w:r>
    </w:p>
    <w:p>
      <w:pPr/>
      <w:r>
        <w:rPr>
          <w:b/>
        </w:rPr>
        <w:t>Shared claim-specific concepts:</w:t>
      </w:r>
      <w:r>
        <w:t xml:space="preserve"> strategic, autonomy, concept, focused, matters, much; EU scope visible. This is a provisional connection, not an outcome finding.</w:t>
      </w:r>
    </w:p>
    <w:p>
      <w:pPr>
        <w:pStyle w:val="SourceNote"/>
      </w:pPr>
      <w:r>
        <w:rPr>
          <w:b/>
        </w:rPr>
        <w:t>Available abstract (not full text):</w:t>
      </w:r>
      <w:r>
        <w:t xml:space="preserve"> Over the last decade, “strategic autonomy” has emerged as a key geonarrative in debates on EUrope's relation to the world. Initially focused more narrowly on matters of security and defence, it is now being applied to a much wider set of issues. Confronted with the rise of non-Western powers, uncertainties about the future of transatlantic relations, and a wide-spread sense that one-sided dependencies must be reduced, the concept of strategic autonomy is the lens through which EUrope tries to address a broad array of geopolitical and geoeconomic challenges. Yet, Europe struggles to come to terms with the “geo” in geopolitics and geoeconomic. The article advances the argument that these difficulties are an effect of EUrope's self-description and self-observation in universal terms: Obviously, EUrope recognizes the presence of other players on the international scene. But to the extent that European modernity is seen as universal rather than merely European the organization of political space in terms of difference (e.g. geopolitical or geoeconomic competition) runs into contradictions. EUrope envisions itself both as a province among provinces (competing with China and increasingly also the US) and it retains the ambition to singularly represent the world. In a nutshell, casting itself in universal terms, EUrope struggles to process and acknowledge difference, and faced with dif</w:t>
      </w:r>
    </w:p>
    <w:p>
      <w:pPr/>
      <w:r>
        <w:rPr>
          <w:b/>
        </w:rPr>
        <w:t>POSSIBLE 2026:</w:t>
      </w:r>
      <w:r>
        <w:t xml:space="preserve"> European Strategic Autonomy and France — https://doi.org/10.36250/01328_11</w:t>
      </w:r>
    </w:p>
    <w:p>
      <w:pPr/>
      <w:r>
        <w:rPr>
          <w:b/>
        </w:rPr>
        <w:t>Shared claim-specific concepts:</w:t>
      </w:r>
      <w:r>
        <w:t xml:space="preserve"> main, strategic, autonomy, concept, said, security; EU scope visible. This is a provisional connection, not an outcome finding.</w:t>
      </w:r>
    </w:p>
    <w:p>
      <w:pPr>
        <w:pStyle w:val="SourceNote"/>
      </w:pPr>
      <w:r>
        <w:rPr>
          <w:b/>
        </w:rPr>
        <w:t>Available abstract (not full text):</w:t>
      </w:r>
      <w:r>
        <w:t xml:space="preserve"> Introductory thoughtsThe expression "strategic autonomy" is associated with France.It was first mentioned in the so-called "Defence White Paper" published in 1994.The term, which has been common in French public life since the 1990s, first appeared at European level in 2013.The French approach is therefore particularly interesting when it comes to understanding how it is applied at the European level.In order to present the concept of European strategic autonomy from a French perspective, it is essential to examine factors such as France's current position in the world.It is also important to look at the main traditional principles that have shaped French foreign and defence policy.It is also worth mentioning the international challenges that continue to shape French strategic thinking today.In this context, it is possible to analyse France's approach to the European Union's common security and defence policy issues and the objectives set by Paris.The idea of European strategic autonomy, which President Emmanuel Macron has put forward in recent years, is an integral part of the French traditional approach and its response to international challenges.For the governments in Paris, it is not a new realisation that France's privileged position in the post-Second World War international system has become increasingly eroded and constrained, and even vulnerable in certain areas, with</w:t>
      </w:r>
    </w:p>
    <w:p>
      <w:pPr/>
      <w:r>
        <w:rPr>
          <w:b/>
        </w:rPr>
        <w:t>POSSIBLE 2025:</w:t>
      </w:r>
      <w:r>
        <w:t xml:space="preserve"> Legal, Ethical, and Social Issues of AI and Law Enforcement in Europe — https://doi.org/10.1017/9781009367783.022</w:t>
      </w:r>
    </w:p>
    <w:p>
      <w:pPr/>
      <w:r>
        <w:rPr>
          <w:b/>
        </w:rPr>
        <w:t>Shared claim-specific concepts:</w:t>
      </w:r>
      <w:r>
        <w:t xml:space="preserve"> main, goal, discuss; EU scope visible. This is a provisional connection, not an outcome finding.</w:t>
      </w:r>
    </w:p>
    <w:p>
      <w:pPr>
        <w:pStyle w:val="SourceNote"/>
      </w:pPr>
      <w:r>
        <w:rPr>
          <w:b/>
        </w:rPr>
        <w:t>Available abstract (not full text):</w:t>
      </w:r>
      <w:r>
        <w:t xml:space="preserve"> The main goal of this chapter is to introduce one type of AI used for law enforcement, namely predictive policing, and to discuss the main legal, ethical, and social concerns this raises. In the last two decades, police forces in Europe and in North America have increasingly invested in predictive policing applications. Two types of predictive policing will be discussed: predictive mapping and predictive identification. After discussing these two practices and what is known about their effectiveness, I discuss the legal, ethical, and social issues they raise, covering aspects relating to their efficacy, governance, and organizational use, as well as the impact they have on citizens and society.</w:t>
      </w:r>
    </w:p>
    <w:p>
      <w:pPr/>
      <w:r>
        <w:rPr>
          <w:b/>
        </w:rPr>
        <w:t>POSSIBLE 2025:</w:t>
      </w:r>
      <w:r>
        <w:t xml:space="preserve"> THE ROLE OF STRATEGIC LEADERSHIP IN EMPOWERING STRATEGIC HRM TO ACHIEVE STRATEGIC GOALS: A STUDY ON PALESTINIAN PHARMACEUTICAL COMPANIES — https://openalex.org/W7216799856</w:t>
      </w:r>
    </w:p>
    <w:p>
      <w:pPr/>
      <w:r>
        <w:rPr>
          <w:b/>
        </w:rPr>
        <w:t>Shared claim-specific concepts:</w:t>
      </w:r>
      <w:r>
        <w:t xml:space="preserve"> main, achieve, strategic; EU scope not established. This is a provisional connection, not an outcome finding.</w:t>
      </w:r>
    </w:p>
    <w:p>
      <w:pPr>
        <w:pStyle w:val="SourceNote"/>
      </w:pPr>
      <w:r>
        <w:rPr>
          <w:b/>
        </w:rPr>
        <w:t>Available abstract (not full text):</w:t>
      </w:r>
      <w:r>
        <w:t xml:space="preserve"> This study aimed to analyze the role of strategic leadership in empowering Strategic Human Resource Management (SHRM) to achieve strategic objectives within Palestinian pharmaceutical companies, amid the political, economic, and administrative challenges facing this vital sector. The study adopted a descriptive-analytical approach and employed a questionnaire to collect data from a sample of 182 administrative employees working in pharmaceutical companies operating in Palestine. The research instrument was designed around four main dimensions of strategic leadership: engaging human resources in strategic planning, allocating resources and providing organizational support, building an empowerment-based institutional culture, and adopting a transformational/entrepreneurial leadership style. The results revealed that all dimensions of strategic leadership had a significant impact on the empowerment of SHRM. Moreover, the findings showed no statistically significant differences attributed to gender, educational qualification, or years of experience. The study emphasized the importance of aligning leadership practices with HR functions to enhance institutional performance, in line with contemporary literature on human capital as a strategic asset. Based on these findings, the study recommended the reinforcement of empowering leadership styles, greater involvement of human resources </w:t>
      </w:r>
    </w:p>
    <w:p>
      <w:pPr/>
      <w:r>
        <w:rPr>
          <w:b/>
        </w:rPr>
        <w:t>POSSIBLE 2025:</w:t>
      </w:r>
      <w:r>
        <w:t xml:space="preserve"> Lithuania's integration into Europe: Alternatives and choices — https://doi.org/10.15388/polit.1998.1.8</w:t>
      </w:r>
    </w:p>
    <w:p>
      <w:pPr/>
      <w:r>
        <w:rPr>
          <w:b/>
        </w:rPr>
        <w:t>Shared claim-specific concepts:</w:t>
      </w:r>
      <w:r>
        <w:t xml:space="preserve"> main, achieve, strategic, reasons, much, cannot; EU scope visible. This is a provisional connection, not an outcome finding.</w:t>
      </w:r>
    </w:p>
    <w:p>
      <w:pPr>
        <w:pStyle w:val="SourceNote"/>
      </w:pPr>
      <w:r>
        <w:rPr>
          <w:b/>
        </w:rPr>
        <w:t>Available abstract (not full text):</w:t>
      </w:r>
      <w:r>
        <w:t xml:space="preserve"> In the beginning of the article, the author postulates: "Lithuania's belonging to Europe is unquestionable". Thus, the main prospects for satisfying the national interests - namely, national security, economic welfare of the citizens, and maintenance of national identity - of Lithuania are tightly bound with the appertainance and further integration into the aforementioned area. However, G. Vitkus notifies, that in spite of the expressed wish of Lithuania saying that the country seeks entrance into European political, economic, and security organisations, in 1997, and particularly in summer 1997 in Madrid and in December in Luxembourg, it has finally become apparent that the delineated goals are not to be implemented easily. Nevertheless, the author claims that such a make-up of events is not to be viewed as a defeat. He says: "Postponement of the EU perspective, on the one hand, and ambiguity of the NATO perspective, on the other, have not only provided us with a chance to re-contemplate the vitality of our strategic choice, but has made us alert that Lithuania's integration into Europe cannot limit and confine itself to integration into these two structures. &lt;...&gt; Moreover, NATO and the EU membership ought to be taken not so much as goals but as a means in order to achieve higher goals - the implementation of Lithuania's national interests." The author argues that Lithuania, </w:t>
      </w:r>
    </w:p>
    <w:p>
      <w:pPr/>
      <w:r>
        <w:rPr>
          <w:b/>
        </w:rPr>
        <w:t>POSSIBLE 2025:</w:t>
      </w:r>
      <w:r>
        <w:t xml:space="preserve"> Strategic approach to digital transformation of public administration in Ukraine and European Union countries — https://doi.org/10.26565/1992-2337-2025-2-29</w:t>
      </w:r>
    </w:p>
    <w:p>
      <w:pPr/>
      <w:r>
        <w:rPr>
          <w:b/>
        </w:rPr>
        <w:t>Shared claim-specific concepts:</w:t>
      </w:r>
      <w:r>
        <w:t xml:space="preserve"> main, goal, need, achieve, strategic, strengthening; EU scope visible. This is a provisional connection, not an outcome finding.</w:t>
      </w:r>
    </w:p>
    <w:p>
      <w:pPr>
        <w:pStyle w:val="SourceNote"/>
      </w:pPr>
      <w:r>
        <w:rPr>
          <w:b/>
        </w:rPr>
        <w:t>Available abstract (not full text):</w:t>
      </w:r>
      <w:r>
        <w:t xml:space="preserve"> The article examines the mechanisms of digital transformation of public administration in Ukraine and the countries of the European Union, taking into account the strategic approach in the formation and implementation of government policies for the development of digital economies of countries. The need to analyze and determine the main priorities of digital transformations at the state and regional levels of government is substantiated. The article aims to analyze the existing mechanisms and processes of digital transformation of public administration in Ukraine and the countries of the European Union in order to determine promising strategic directions of digitalization in Ukraine in the context of the development of the digital economy and European integration. To achieve the goal, the authors solved several tasks: modern government strategies were identified, which are the foundation for further strengthening of the digital economy and digital transformations in public administration for 2020-2025 in Ukraine; the number of approved regulatory legal acts in the direction of informatization, e-government in Ukraine was systematized; international indices for assessing the processes of digitalization and the impact of digital technologies on the sphere of public administration and economic development of countries were analyzed; European Union countries that have open governme</w:t>
      </w:r>
    </w:p>
    <w:p>
      <w:pPr/>
      <w:r>
        <w:rPr>
          <w:b/>
        </w:rPr>
        <w:t>POSSIBLE 2025:</w:t>
      </w:r>
      <w:r>
        <w:t xml:space="preserve"> Strategic deployment of solar photovoltaics for achieving self-sufficiency in Europe throughout the energy transition — https://doi.org/10.1038/s41467-025-61492-9</w:t>
      </w:r>
    </w:p>
    <w:p>
      <w:pPr/>
      <w:r>
        <w:rPr>
          <w:b/>
        </w:rPr>
        <w:t>Shared claim-specific concepts:</w:t>
      </w:r>
      <w:r>
        <w:t xml:space="preserve"> need, achieve, strategic; EU scope visible. This is a provisional connection, not an outcome finding.</w:t>
      </w:r>
    </w:p>
    <w:p>
      <w:pPr>
        <w:pStyle w:val="SourceNote"/>
      </w:pPr>
      <w:r>
        <w:rPr>
          <w:b/>
        </w:rPr>
        <w:t>Available abstract (not full text):</w:t>
      </w:r>
      <w:r>
        <w:t xml:space="preserve"> Transition pathways for Europe to achieve carbon neutrality emphasize the need for a massive deployment of solar and wind energy. Global cost optimization would lead to installing most of the renewable capacity in a few resource-rich countries, but policy decisions could prioritize other factors. We investigate the effect of energy independence on Europe's energy system design. We show that self-sufficiency constraints lead to a more equitable distribution of costs and installed capacities across Europe. However, countries that typically depend on energy imports face cost increases of up to 150% to ensure that they cover their demand on an annual basis. Self-sufficiency particularly favors solar photovoltaic energy, and with declining PV module prices, alternative configurations like inverter dimensioning and horizontal tracking are beneficial enough to be part of the optimal solution for many countries. Moreover, we find that very high solar and wind annual installation rates are required, but they seem feasible considering recent historical trends.</w:t>
      </w:r>
    </w:p>
    <w:p>
      <w:pPr/>
      <w:r>
        <w:rPr>
          <w:b/>
        </w:rPr>
        <w:t>POSSIBLE 2025:</w:t>
      </w:r>
      <w:r>
        <w:t xml:space="preserve"> Roadmap Towards Achieving the Strategic Development Goals: From Lean Manufacturing to Circular Economy — https://doi.org/10.24857/rgsa.v19n4-055</w:t>
      </w:r>
    </w:p>
    <w:p>
      <w:pPr/>
      <w:r>
        <w:rPr>
          <w:b/>
        </w:rPr>
        <w:t>Shared claim-specific concepts:</w:t>
      </w:r>
      <w:r>
        <w:t xml:space="preserve"> main, achieve, strategic; EU scope not established. This is a provisional connection, not an outcome finding.</w:t>
      </w:r>
    </w:p>
    <w:p>
      <w:pPr>
        <w:pStyle w:val="SourceNote"/>
      </w:pPr>
      <w:r>
        <w:rPr>
          <w:b/>
        </w:rPr>
        <w:t>Available abstract (not full text):</w:t>
      </w:r>
      <w:r>
        <w:t xml:space="preserve"> Objective: The objective of this study is update previous work with next steps and improve a methodological roadmap of implementation of Lean Manufacturing, Industry 5.0 and Circular Economy principles. Theoretical Framework: Numerous SMEs in Mexico have not embraced concepts such as lean manufacturing, lean management, Industry 5.0 or circular economy. Literature review of different continents and sectors, but no a clear path for SMEs to face nowadays challenges. Method: There were two main tools to find literature, Scopus and Google scholar tool, have been used to search for associated concepts and methods, Lean Manufacturing, Industry 5.0, Hoshin Kanri, Circular Economy, Triple Bottom Line, among others. Data collection was divided into two main categories, one, literature review and the second, case studies of application. Articles and bibliography from 2017 to 2024 as exclusion criteria. Results and Discussion: The main contribution is a modification of a roadmap for incorporating these concepts, after the positive results in the manufacturing sector, with meaningful results to be achieved. The link to a triple bottom line VSM and IPO diagram clarifies the output product and waste from the process and help prioritize the Kaizens or projects to be implemented and achieve the desired future state. Research Implications: Next steps will consider application of the improved ro</w:t>
      </w:r>
    </w:p>
    <w:p>
      <w:pPr/>
      <w:r>
        <w:rPr>
          <w:b/>
        </w:rPr>
        <w:t>POSSIBLE 2024:</w:t>
      </w:r>
      <w:r>
        <w:t xml:space="preserve"> Value-related educational goals of primary school teachers: a comparative study in two European countries — https://doi.org/10.3389/fpsyg.2024.1458393</w:t>
      </w:r>
    </w:p>
    <w:p>
      <w:pPr/>
      <w:r>
        <w:rPr>
          <w:b/>
        </w:rPr>
        <w:t>Shared claim-specific concepts:</w:t>
      </w:r>
      <w:r>
        <w:t xml:space="preserve"> main, discuss, light; EU scope visible. This is a provisional connection, not an outcome finding.</w:t>
      </w:r>
    </w:p>
    <w:p>
      <w:pPr>
        <w:pStyle w:val="SourceNote"/>
      </w:pPr>
      <w:r>
        <w:rPr>
          <w:b/>
        </w:rPr>
        <w:t>Available abstract (not full text):</w:t>
      </w:r>
      <w:r>
        <w:t xml:space="preserve"> Schools serve as social institutions that convey values in the context of socialization and enculturation. Teachers are pivotal in this transmission process via their value-related educational goals (VrEGs), which outline how they would like to see their pupils in terms of values. What factors influence these VrEGs? We suggest that those vary on an individual level, but also correspond to the prevailing value orientations of the society. In our study we followed two main goals to test this thesis. Firstly, we examine the differences in VrEGs between teachers of two European countries: Switzerland (CH) and United Kingdom (UK). Secondly, we investigated the similarity of the teachers’ VrEGs with prevailing national value orientations from the specific countries. One hundred and fifty primary school teachers (108 CH, 42 UK) were asked about their VrEGs using an adapted version of Schwartz’s Portrait Values Questionnaire (PVQ-21). Data from the Human Value Scale (HVS) of the European Social Survey (ESS) was used for country-specific value orientations. Analyses of the value structures and the differences in value priorities showed that for the individuals from the two countries as well as for the teachers’ VrEGs from the two countries, significant differences exist in several value types. Teachers’ VrEGs in each country showed a high correlation with the corresponding national valu</w:t>
      </w:r>
    </w:p>
    <w:p>
      <w:pPr/>
      <w:r>
        <w:rPr>
          <w:b/>
        </w:rPr>
        <w:t>POSSIBLE 2024:</w:t>
      </w:r>
      <w:r>
        <w:t xml:space="preserve"> The European Union Development Policy and Achieving Sustainable Development Goals (SDGs) of the United Nations — https://doi.org/10.4018/979-8-3693-1742-6.ch020</w:t>
      </w:r>
    </w:p>
    <w:p>
      <w:pPr/>
      <w:r>
        <w:rPr>
          <w:b/>
        </w:rPr>
        <w:t>Shared claim-specific concepts:</w:t>
      </w:r>
      <w:r>
        <w:t xml:space="preserve"> main, discuss, achieve; EU scope visible. This is a provisional connection, not an outcome finding.</w:t>
      </w:r>
    </w:p>
    <w:p>
      <w:pPr>
        <w:pStyle w:val="SourceNote"/>
      </w:pPr>
      <w:r>
        <w:rPr>
          <w:b/>
        </w:rPr>
        <w:t>Available abstract (not full text):</w:t>
      </w:r>
      <w:r>
        <w:t xml:space="preserve"> The purpose of this study is to describe the European Union's (EU) developing approach and governance in the implementation of the sustainable development agenda of the United Nations (UN). UN's sustainable development goals are more vibrant to maintain peace and stability in the world. The EU's Global Gateway and Asia-Europe connectivity programme are supporting other nations to work on the SDGs. As a regional organisation, the EU shows enormous intention to eliminate poverty, malnutrition and famine, establish peace, respect for human rights and minority rights, and maintain global warming, biodiversity and the climate. Moreover, the EU also formed bilateral and multilateral level cooperation across the world for the establishment of democratic rule, peace, and prosperity. The EU's policy formulation keeps working on economic, social, and environmental development issues at the global level and supporting the UN mission across the world in different sectors. This research is based on qualitative analysis using primary and secondary literature. In addition, this study also uses the empirical method to discuss the main research gaps and answer major questions related to the SDGs. As a result, the EU has started significant work to achieve the objectives of the SDGs of the UN. The EU has also launched various development programs for the implementation of the SDGs in its member </w:t>
      </w:r>
    </w:p>
    <w:p>
      <w:pPr>
        <w:pStyle w:val="Heading2"/>
      </w:pPr>
      <w:r>
        <w:t>590. Electricity Spot Market Design 2030-2050</w:t>
      </w:r>
    </w:p>
    <w:p>
      <w:pPr>
        <w:pStyle w:val="SourceNote"/>
      </w:pPr>
      <w:r>
        <w:rPr>
          <w:b/>
        </w:rPr>
        <w:t>Original source (2021):</w:t>
      </w:r>
      <w:r>
        <w:t xml:space="preserve"> https://doi.org/10.24406/fit-n-621457</w:t>
      </w:r>
    </w:p>
    <w:p>
      <w:pPr/>
      <w:r>
        <w:t>Original wording (abstract; indexed_source_text_not_full_document_verified): The German government plans that even before the year 2050, all electricity generated and consumed in Germany should be greenhouse gas neutral [1].</w:t>
      </w:r>
    </w:p>
    <w:p>
      <w:pPr/>
      <w:r>
        <w:rPr>
          <w:b/>
        </w:rPr>
        <w:t>POSSIBLE 2025:</w:t>
      </w:r>
      <w:r>
        <w:t xml:space="preserve"> Urban Nature Plans: Strategic Tool for Integrated Biodiversity and Climate Planning in German Cities — https://doi.org/10.2148/benv.51.4.569</w:t>
      </w:r>
    </w:p>
    <w:p>
      <w:pPr/>
      <w:r>
        <w:rPr>
          <w:b/>
        </w:rPr>
        <w:t>Shared claim-specific concepts:</w:t>
      </w:r>
      <w:r>
        <w:t xml:space="preserve"> german, government, plans, germany; EU scope visible. This is a provisional connection, not an outcome finding.</w:t>
      </w:r>
    </w:p>
    <w:p>
      <w:pPr>
        <w:pStyle w:val="SourceNote"/>
      </w:pPr>
      <w:r>
        <w:rPr>
          <w:b/>
        </w:rPr>
        <w:t>Available abstract (not full text):</w:t>
      </w:r>
      <w:r>
        <w:t xml:space="preserve"> As cities grapple with climate risks and biodiversity decline, international policy frameworks increasingly position urban nature as a critical ally in building resilient and sustainable urban areas. The European Union's Biodiversity Strategy 2030, for example, calls on European cities to develop and implement ambitious 'Urban Nature Plans' (formerly 'Urban Greening Plans'). In this paper, we introduce Urban Nature Plans as a strategic planning tool and discuss potential pathways to their implementation, using Germany as an example. With more than 650 cities of diff erent sizes and with diff erent administrative capacities – many of which already have planning instruments sharing features with Urban Nature Plans – Germany provides a useful case to discuss the implications of introducing this new strategic approach. To contribute to the international discourse on Urban Nature Plans and wider discussions around integrated biodiversity and climate planning, we summarize findings from a German research and development project. The project included, among other aspects, a dialogue process with government organizations, professional associations, non-governmental environmental organizations, municipal representatives and other actors. During this process, it became evident that Urban Nature Plans should be understood as ambitious, integrated, and flexible strategies which are adaptab</w:t>
      </w:r>
    </w:p>
    <w:p>
      <w:pPr/>
      <w:r>
        <w:rPr>
          <w:b/>
        </w:rPr>
        <w:t>POSSIBLE 2025:</w:t>
      </w:r>
      <w:r>
        <w:t xml:space="preserve"> The Impact of the Russian-Ukrainian War on Europe and the German Leadership — https://doi.org/10.35757/stp.2025.53.3.02</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 research methods used in this article are systems analysis supported by text analysis. The aim is to look at Germany as part of a larger Euro--Atlantic system (including the European Union and the North Atlantic Treaty Organization), in which leadership is one of the resources. The article draws attention to the process that affects the ‘flows/processes’ within this resource, i.e. the Russian–Ukrainian conflict. The research hypothesis is the statement about the impact of the conflict in Ukraine as a ‘flow’ on the coherence of the closed Euro-Atlantic system and its leadership ‘resource’, the effect of which is a ‘feedback’ affecting the size and nature of the resource (change in the nature of German leadership in Europe, e.g. the transition from political-economic leadership to political-economic-military leadership). When using these methods, I will refer to available data, analyses, and forecasts, including: NATO Review, the Department of Defense of the United States, the European Commission, Auswärtiges Amt, the Carnegie Endowment for International Peace, the Carnegie Europe, Stratfor, the European Network Remembrance and Solidarity. The analysis of the mentioned data will be supported by the analysis of scientific and media discourse in Germany, Europe, and the USA. The Russia–Ukraine war is seen as the end of the old international order and the beginning of a new Cold</w:t>
      </w:r>
    </w:p>
    <w:p>
      <w:pPr/>
      <w:r>
        <w:rPr>
          <w:b/>
        </w:rPr>
        <w:t>POSSIBLE 2025:</w:t>
      </w:r>
      <w:r>
        <w:t xml:space="preserve"> Political knowledge and perceptions of minority governments in Europe — https://doi.org/10.1017/s147567652510025x</w:t>
      </w:r>
    </w:p>
    <w:p>
      <w:pPr/>
      <w:r>
        <w:rPr>
          <w:b/>
        </w:rPr>
        <w:t>Shared claim-specific concepts:</w:t>
      </w:r>
      <w:r>
        <w:t xml:space="preserve"> government, all, germany; EU scope visible. This is a provisional connection, not an outcome finding.</w:t>
      </w:r>
    </w:p>
    <w:p>
      <w:pPr>
        <w:pStyle w:val="SourceNote"/>
      </w:pPr>
      <w:r>
        <w:rPr>
          <w:b/>
        </w:rPr>
        <w:t>Available abstract (not full text):</w:t>
      </w:r>
      <w:r>
        <w:t xml:space="preserve"> Abstract Minority governments are common across parliamentary systems, and a large body of literature has examined their stability and performance. Meanwhile, we know very little about how voters perceive this government type and whether they understand its political implications. We survey voters in Denmark, Germany, and Sweden, three European countries with varying degrees of exposure to minority governments, about their knowledge and perceptions of minority governments. We find that voters have knowledge levels comparable to those about the role of political parties, and that this is independent of the respective prevalence of minority governments in each country. Informed voters express stronger preferences for majority governments. However, minority governments are associated with specific positive representational traits, specifically with the impression that such governments listen more to the demands of all voters, and general perceptions are stronger for knowledgeable voters. The findings have implications for how elites can formulate arguments in favour or against minority governments that may resonate with voters.</w:t>
      </w:r>
    </w:p>
    <w:p>
      <w:pPr/>
      <w:r>
        <w:rPr>
          <w:b/>
        </w:rPr>
        <w:t>POSSIBLE 2025:</w:t>
      </w:r>
      <w:r>
        <w:t xml:space="preserve"> German response to the pandemic crisis — https://doi.org/10.4324/9781003634003-23</w:t>
      </w:r>
    </w:p>
    <w:p>
      <w:pPr/>
      <w:r>
        <w:rPr>
          <w:b/>
        </w:rPr>
        <w:t>Shared claim-specific concepts:</w:t>
      </w:r>
      <w:r>
        <w:t xml:space="preserve"> german, plans, generated, germany; EU scope visible. This is a provisional connection, not an outcome finding.</w:t>
      </w:r>
    </w:p>
    <w:p>
      <w:pPr>
        <w:pStyle w:val="SourceNote"/>
      </w:pPr>
      <w:r>
        <w:rPr>
          <w:b/>
        </w:rPr>
        <w:t>Available abstract (not full text):</w:t>
      </w:r>
      <w:r>
        <w:t xml:space="preserve"> As a federal state, Germany is structurally different from the other countries discussed in this book, namely the Visegrad Group countries. This chapter discusses the municipal self-government system in Germany, the impact of the Covid-19 pandemic, and the mechanisms and results of post-Covid-19 recovery using the example of selected city-regions: Berlin, Bremen, and Hamburg. The research question is: how has the pandemic affected the city-states and what mechanisms have been put in place there? The Covid-19 pandemic has also generated various discussions related to the functioning of cities, forcing them to update their strategies and plans and implement new initiatives. German city-states implemented new instruments or adapted existing solutions to current needs to ensure sustainability. The chapter discusses both state and federally funded programs as well as the programs funded by the European Union. The chapter is based on official data and information published by city-states, institutions, and organizations. The analysis allows for a comprehensive illustration of the response of municipal self-governments in Germany to the pandemic and post-pandemic crisis.</w:t>
      </w:r>
    </w:p>
    <w:p>
      <w:pPr/>
      <w:r>
        <w:rPr>
          <w:b/>
        </w:rPr>
        <w:t>POSSIBLE 2024:</w:t>
      </w:r>
      <w:r>
        <w:t xml:space="preserve"> Important Drivers of European Monetary Integration ——The Game Between the German Central Government and the Bundesbank as an Example — https://doi.org/10.54254/2754-1169/68/20241337</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An independent central bank constitutes a veto actor in the political process itself and has the potential to limit the autonomy of the State (Government). In cases where the preferences of the state and the central bank diverge, the resulting authoritative actions will be influenced by the political structure of the respective country. Where changes in the domestic political system are difficult to achieve, the state can change the existing equilibrium between the central bank and the government by engaging in international regimes and international negotiations and evolving this equilibrium in the direction of greater state autonomy. This paper adopts a case study approach to propose a domestic political logic for international monetary policy choices by analyzing the relationship between international monetary co-operation, central bank independence and national autonomy, and uses the political game between the central central bank and the central government within Germany and the outcome to verify this view, thus providing a political science explanation for the relationship between German monetary politics and European monetary integration. The European Central Bank after the formation of the Union inherited the independence of the German central bank, and while assuming its responsibility for monetary stabilization and economic development, it gradually transcended the sc</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all, electricity, germany;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2024:</w:t>
      </w:r>
      <w:r>
        <w:t xml:space="preserve"> German Economic Policy: Theory and Practice — https://doi.org/10.4324/9781003577898-15</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There is a popular image of the postwar German economy as the nearest European approximation to the American way of life. Private initiative is always preferred to public, and the state is kept vigorously in its place. Public enterprise and central planning under the aegis of the government are both firmly rejected. That at any rate is the political legend. It is not wholly false; such ideas as these genuinely express the intentions of those who have, since the end of the war, been responsible for the government of Germany. However, they do not entirely fit with the way in which the governors have in practice behaved.</w:t>
      </w:r>
    </w:p>
    <w:p>
      <w:pPr/>
      <w:r>
        <w:rPr>
          <w:b/>
        </w:rPr>
        <w:t>POSSIBLE 2024:</w:t>
      </w:r>
      <w:r>
        <w:t xml:space="preserve"> The Crisis of Hohenzollern Germany, 1906–16 — https://doi.org/10.4324/9781003572336-9</w:t>
      </w:r>
    </w:p>
    <w:p>
      <w:pPr/>
      <w:r>
        <w:rPr>
          <w:b/>
        </w:rPr>
        <w:t>Shared claim-specific concepts:</w:t>
      </w:r>
      <w:r>
        <w:t xml:space="preserve"> german, government, plans, germany; EU scope visible. This is a provisional connection, not an outcome finding.</w:t>
      </w:r>
    </w:p>
    <w:p>
      <w:pPr>
        <w:pStyle w:val="SourceNote"/>
      </w:pPr>
      <w:r>
        <w:rPr>
          <w:b/>
        </w:rPr>
        <w:t>Available abstract (not full text):</w:t>
      </w:r>
      <w:r>
        <w:t xml:space="preserve"> Prussian domination in Germany and German predominance in Europe fell together in 1918; but this destruction of Bismarck’s work was merely the open culmination of a process which had been in full swing for twelve years. 1906 marked the opening of the crisis in both home and foreign affairs: the authority of the Reich was challenged abroad, and the authority of the Chancellor was challenged at home. In 1905 the German government, estranged from both Russia and England, decided to seize the opportunity of Russia’s defeat in the Far East and of her revolution at home in order to force France under German protection and so deprive both Russia and England of any foothold in western Europe. This was the meaning of the ‘first Moroccan crisis’, a crisis deliberately provoked by the German government and achieving the dismissal of the French Foreign Minister, Delcassé, at German orders. But thereafter the crisis did not develop according to German plans. Bülow had always reckoned to work with political opinion, but the Moroccan crisis had been devised by the Foreign Office without any propaganda preparation, ‘cabinet diplomacy’ possible in the days of Bismarck, but ineffective in the age of demagogy and mass agitation.</w:t>
      </w:r>
    </w:p>
    <w:p>
      <w:pPr/>
      <w:r>
        <w:rPr>
          <w:b/>
        </w:rPr>
        <w:t>POSSIBLE 2023:</w:t>
      </w:r>
      <w:r>
        <w:t xml:space="preserve"> German Plans for Central Europe — https://doi.org/10.54171/2023.mg.gtocei_12</w:t>
      </w:r>
    </w:p>
    <w:p>
      <w:pPr/>
      <w:r>
        <w:rPr>
          <w:b/>
        </w:rPr>
        <w:t>Shared claim-specific concepts:</w:t>
      </w:r>
      <w:r>
        <w:t xml:space="preserve"> german, plans, germany; EU scope visible. This is a provisional connection, not an outcome finding.</w:t>
      </w:r>
    </w:p>
    <w:p>
      <w:pPr>
        <w:pStyle w:val="SourceNote"/>
      </w:pPr>
      <w:r>
        <w:rPr>
          <w:b/>
        </w:rPr>
        <w:t>Available abstract (not full text):</w:t>
      </w:r>
      <w:r>
        <w:t xml:space="preserve"> German plans for Central Europe had already appeared in the 19th century. At the heart of the Mitteleuropa idea was the creation of an economic area under German leadership. In the literature, List is considered the father of the Mitteleuropa idea, the first systematic developer of the integration of Central and Eastern Europe under German leadership. His work ʻDas nationale System der politischen Ökonomie’ [The National System of Political Economy], in which he scientifically summarised and systematised his previous writings, was published in May 1841. In this work, List expressed his views in defense of political unity and national economy and against the teaching of Adam Smith’s school. List first advocated the realisation of a continental alliance against the English hegemony, and then, when the USA advanced, he believed that the English should also join the alliance. He wanted to promote the development of the economic region, by developing the railway and waterway network. Another famous German developer of the Mitteleuropa concepts is Friedrich Naumann. Within his work, the books and articles dealing with Mitteleuropa form a closed whole. These writings of his are closely related. Their time of origin also shows unity. Naumann elaborated his plan for Central Europe in his main work ‘Mitteleuropa’ published in November 1915. Central Europe was not to be a new state, but a</w:t>
      </w:r>
    </w:p>
    <w:p>
      <w:pPr/>
      <w:r>
        <w:rPr>
          <w:b/>
        </w:rPr>
        <w:t>POSSIBLE 2023:</w:t>
      </w:r>
      <w:r>
        <w:t xml:space="preserve"> Germanys Rearmament Plan: A Problem of Bureaucracy — https://doi.org/10.54254/2753-7064/4/20220630</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The conflict in Ukraine that started on February 24th, 2022, had a transformative effect on the status of European security policy, with the most prominent outcome being Germanys break with its pacifist tradition and its policy of disarmament. The German governments plan to rebuild the Bundeswehr by raising its defense spending to 2% of its GDP, alongside the injection of a 100-billion-euro fund into its armed forces, was seen by many as the first step for Germany to a leading role in the new European Security Policy. However, increased funding is unlikely to be the deciding factor in whether Germany can successfully rearm, as the Bundeswehr is well funded in comparison to other standing armies of European states in similar economic circumstances. The main obstacle standing in the way of a successful German rearmament is Germanys bureaucracy. The Federal Office of Bundeswehr Equipment, Information Technology, and In-Service Support," or the BAAINBw, responsible for procurement of materials for the Bundeswehr, is fully anarchistic and understaffed. Germanys path to a reformed military thus hinges on whether the German government can successfully reform the BAAINBw into a more efficient federal agency.</w:t>
      </w:r>
    </w:p>
    <w:p>
      <w:pPr/>
      <w:r>
        <w:rPr>
          <w:b/>
        </w:rPr>
        <w:t>POSSIBLE 2023:</w:t>
      </w:r>
      <w:r>
        <w:t xml:space="preserve"> Representative government in south Germany and the myth of the Sonderweg — https://doi.org/10.31235/osf.io/tcwzs</w:t>
      </w:r>
    </w:p>
    <w:p>
      <w:pPr/>
      <w:r>
        <w:rPr>
          <w:b/>
        </w:rPr>
        <w:t>Shared claim-specific concepts:</w:t>
      </w:r>
      <w:r>
        <w:t xml:space="preserve"> german, government, germany; EU scope visible. This is a provisional connection, not an outcome finding.</w:t>
      </w:r>
    </w:p>
    <w:p>
      <w:pPr>
        <w:pStyle w:val="SourceNote"/>
      </w:pPr>
      <w:r>
        <w:rPr>
          <w:b/>
        </w:rPr>
        <w:t>Available abstract (not full text):</w:t>
      </w:r>
      <w:r>
        <w:t xml:space="preserve"> Bavaria and Württemberg were two German states in which estates-based representative government survived the early modern period, which has traditionally been considered the period when representative institutions were supposedly in decline. I will show that these two states were among those European states which preserved their representative institutions and avoided becoming “absolutist.” Germany shared a heritage of medieval constitutionalism with the other countries of Western Europe. In the early modern period, the estates of Brandenburg and East Prussia, both ruled by the Hohenzollerns, were among the strongest in Europe. I will put the developments in the south German states into a wider German and European perspective. I believe that the path of constitutional development taken by the south German states, and the other states including Prussia, showed that Germany in its entirety did in fact follow a path not that much different from the other European states, in contradiction to the theory that Germany developed differently from them, in a more absolutist and authoritarian direction.</w:t>
      </w:r>
    </w:p>
    <w:p>
      <w:pPr/>
      <w:r>
        <w:rPr>
          <w:b/>
        </w:rPr>
        <w:t>POSSIBLE 2023:</w:t>
      </w:r>
      <w:r>
        <w:t xml:space="preserve"> Unequal Responsiveness and Government Partisanship in Northwest Europe — https://doi.org/10.1017/9781009428682.003</w:t>
      </w:r>
    </w:p>
    <w:p>
      <w:pPr/>
      <w:r>
        <w:rPr>
          <w:b/>
        </w:rPr>
        <w:t>Shared claim-specific concepts:</w:t>
      </w:r>
      <w:r>
        <w:t xml:space="preserve"> government, before, all, germany; EU scope visible. This is a provisional connection, not an outcome finding.</w:t>
      </w:r>
    </w:p>
    <w:p>
      <w:pPr>
        <w:pStyle w:val="SourceNote"/>
      </w:pPr>
      <w:r>
        <w:rPr>
          <w:b/>
        </w:rPr>
        <w:t>Available abstract (not full text):</w:t>
      </w:r>
      <w:r>
        <w:t xml:space="preserve"> This paper pools datasets on policy responsiveness to public opinion in Germany, the Netherlands, Norway, and Sweden. Following the empirical strategy set out by Gilens (2012), we show that the policy outputs correspond much better to the preferences of affluent citizens than to the preferences of low- and middle-income citizens in all four countries. We proceed to explore how government partisanship conditions unequal responsiveness. In so doing, we distinguish between economic/welfare issues and other issues and we also distinguish between the period before 1998 and the period since 1998. Our findings suggest that policymaking under Left-leaning governments was relatively more responsive to low- and middle-income citizens in the economic/welfare domain before 1998, but this was not true for other policy domains before 1998 and it is no longer true for the economic/welfare domain. We conclude with some general reflections on the implications of our empirical findings for the literature on mechanisms of unequal representation in liberal democracies.</w:t>
      </w:r>
    </w:p>
    <w:p>
      <w:pPr>
        <w:pStyle w:val="Heading2"/>
      </w:pPr>
      <w:r>
        <w:t>591. Energy Efficiency Vision 2050: How will new societal trends influence future energy demand in the European countries?</w:t>
      </w:r>
    </w:p>
    <w:p>
      <w:pPr>
        <w:pStyle w:val="SourceNote"/>
      </w:pPr>
      <w:r>
        <w:rPr>
          <w:b/>
        </w:rPr>
        <w:t>Original source (2021):</w:t>
      </w:r>
      <w:r>
        <w:t xml:space="preserve"> https://doi.org/10.1016/j.enpol.2021.112216</w:t>
      </w:r>
    </w:p>
    <w:p>
      <w:pPr/>
      <w:r>
        <w:t>Original wording (abstract; indexed_source_text_not_full_document_verified): While in the “Worst Case” scenario, they could increase final energy demand by 40%. Based on these, four energy demand scenarios were developed for 2050.</w:t>
      </w:r>
    </w:p>
    <w:p>
      <w:pPr/>
      <w:r>
        <w:rPr>
          <w:b/>
        </w:rPr>
        <w:t>POSSIBLE 2025:</w:t>
      </w:r>
      <w:r>
        <w:t xml:space="preserve"> The (worst) laws of the land: the concept of legislative basket cases, legislative backsliding and public administration in Central-Eastern Europe — https://doi.org/10.1080/01442872.2025.2501741</w:t>
      </w:r>
    </w:p>
    <w:p>
      <w:pPr/>
      <w:r>
        <w:rPr>
          <w:b/>
        </w:rPr>
        <w:t>Shared claim-specific concepts:</w:t>
      </w:r>
      <w:r>
        <w:t xml:space="preserve"> worst, they, four; EU scope visible. This is a provisional connection, not an outcome finding.</w:t>
      </w:r>
    </w:p>
    <w:p>
      <w:pPr>
        <w:pStyle w:val="SourceNote"/>
      </w:pPr>
      <w:r>
        <w:rPr>
          <w:b/>
        </w:rPr>
        <w:t>Available abstract (not full text):</w:t>
      </w:r>
      <w:r>
        <w:t xml:space="preserve"> This article introduces the concept of legislative basket cases—adopted laws that fail to meet the normative standards of a wide range of established conceptual legislative quality criteria. They exhibit significant deficiencies across all or most of four dimensions: public policy, legal-constitutional, procedural, and stability. Through a multidimensional framework assessing these dimensions, we analyze emblematic cases from Czechia, Hungary, and Poland during periods of illiberal governance. The Czech taxation of church restitutions, the Hungarian Medical Chamber Law, and the Polish Law on Forests demonstrate how such laws bypass procedural safeguards, violate constitutional principles, and undermine democratic norms. We argue that normatively “bad” laws fail across the full policy-making cycle, from inadequate public administration preparation and improperly specified objectives through conflicts with legal-constitutional frameworks and democratic principles, including public consultation. Our comparative analysis reveals a pattern where quality standards across multiple dimensions are systematically eroded, contributing to broader democratic backsliding. While similar deficiencies occur in established liberal democracies, as illustrated by cases from Spain and Austria, they typically manifest differently. This framework offers a valuable tool for identifying extreme cases o</w:t>
      </w:r>
    </w:p>
    <w:p>
      <w:pPr/>
      <w:r>
        <w:rPr>
          <w:b/>
        </w:rPr>
        <w:t>POSSIBLE 2024:</w:t>
      </w:r>
      <w:r>
        <w:t xml:space="preserve"> A new approach for national-scale Building Energy Models based on Energy Performance Certificates in European countries: The case of Spain — https://doi.org/10.1016/j.heliyon.2024.e25473</w:t>
      </w:r>
    </w:p>
    <w:p>
      <w:pPr/>
      <w:r>
        <w:rPr>
          <w:b/>
        </w:rPr>
        <w:t>Shared claim-specific concepts:</w:t>
      </w:r>
      <w:r>
        <w:t xml:space="preserve"> case, energy, based, four; EU scope visible. This is a provisional connection, not an outcome finding.</w:t>
      </w:r>
    </w:p>
    <w:p>
      <w:pPr>
        <w:pStyle w:val="SourceNote"/>
      </w:pPr>
      <w:r>
        <w:rPr>
          <w:b/>
        </w:rPr>
        <w:t>Available abstract (not full text):</w:t>
      </w:r>
      <w:r>
        <w:t xml:space="preserve"> Urban Building Energy Models (UBEMs) are useful instruments to know the energy consumption of building stocks at urban and national levels. UBEMs can be classified into different types and subtypes. The current detailed physics-based bottom-up UBEMs at a national scale play a crucial role in assessing the energy efficiency of national building stocks and defining improvement strategies. These models heavily rely on archetypes and energy simulations, demanding significant computational resources. We propose here a new type of national-scale detailed physics-based UBEM based on Energy Performance Certificates (EPCs), and other open big data, which has the advantage that it can be automatically updated, in a short time, and with standard computer means. In this paper, we define the methodology to build this new type of national-scale EPC-based UBEM. We have checked that the model for the case of Spain can be automatically generated and updated in less than 6 h with a standard computer, and it generates results that match official data in more than 98 % for four indicators. The generated model contains information about 10,939,801 buildings in Spain, out of which 1,202,708 have EPCs. The model allows us to map and analyse the buildings in the country by integrating multiple variables of different nature, such as geographical (Autonomous Community, municipality, type of municipality</w:t>
      </w:r>
    </w:p>
    <w:p>
      <w:pPr/>
      <w:r>
        <w:rPr>
          <w:b/>
        </w:rPr>
        <w:t>POSSIBLE 2024:</w:t>
      </w:r>
      <w:r>
        <w:t xml:space="preserve"> Ranking the Barriers to the Energy Upgrading of Buildings Using the Best-Worst Method — https://doi.org/10.3390/su162210143</w:t>
      </w:r>
    </w:p>
    <w:p>
      <w:pPr/>
      <w:r>
        <w:rPr>
          <w:b/>
        </w:rPr>
        <w:t>Shared claim-specific concepts:</w:t>
      </w:r>
      <w:r>
        <w:t xml:space="preserve"> energy, based; EU scope visible. This is a provisional connection, not an outcome finding.</w:t>
      </w:r>
    </w:p>
    <w:p>
      <w:pPr>
        <w:pStyle w:val="SourceNote"/>
      </w:pPr>
      <w:r>
        <w:rPr>
          <w:b/>
        </w:rPr>
        <w:t>Available abstract (not full text):</w:t>
      </w:r>
      <w:r>
        <w:t xml:space="preserve"> The global need to reduce energy demand has led European governments to accelerate their endeavors to achieve their targets regarding nearly zero-energy buildings. Despite the implementation of funding initiatives for the energy upgrading of buildings in EU member states and other European countries, research has shown that the absorption rates of the offered funds remain low. This research aims to assess the significance of the barriers to improving the energy efficiency of Greece’s building stock. This is achieved by ranking the identified barriers using the best-worst method (BWM). The innovation provided by this study is that the data obtained are based on the experience of three categories of stakeholders, including professionals in the field, i.e., engineers and skilled workers, and homeowners. The results show that all three groups are discouraged from performing the energy upgrading of buildings due to economic barriers but also technological barriers related to a lack of training in the use of and slow development of related new technologies.</w:t>
      </w:r>
    </w:p>
    <w:p>
      <w:pPr/>
      <w:r>
        <w:rPr>
          <w:b/>
        </w:rPr>
        <w:t>POSSIBLE 2024:</w:t>
      </w:r>
      <w:r>
        <w:t xml:space="preserve"> A Case Study on Electric Vehicles as Nationwide Battery Storage to Meet Slovenia’s Final Energy Consumption with Solar Energy — https://doi.org/10.3390/en17112733</w:t>
      </w:r>
    </w:p>
    <w:p>
      <w:pPr/>
      <w:r>
        <w:rPr>
          <w:b/>
        </w:rPr>
        <w:t>Shared claim-specific concepts:</w:t>
      </w:r>
      <w:r>
        <w:t xml:space="preserve"> case, final, energy, based; EU scope visible. This is a provisional connection, not an outcome finding.</w:t>
      </w:r>
    </w:p>
    <w:p>
      <w:pPr>
        <w:pStyle w:val="SourceNote"/>
      </w:pPr>
      <w:r>
        <w:rPr>
          <w:b/>
        </w:rPr>
        <w:t>Available abstract (not full text):</w:t>
      </w:r>
      <w:r>
        <w:t xml:space="preserve"> Despite the global importance of solar energy, its variability requires energy storage to balance production during peak and off-peak periods. Moreover, the transport sector is undergoing a global transition from internal combustion engines to electric vehicles. Since vehicles are idle 95% of the time, electric vehicle batteries, when connected to a grid, can effectively regulate intermittent photovoltaics using vehicle-to-grid technology. This conceptual study investigates the feasibility of a nationwide energy infrastructure that relies solely on solar energy, replacing other electricity sources, such as solid fuels, petroleum products, and natural gas, and utilizes electric vehicles as the sole battery energy storage system. This study aims to demonstrate the significant potential and benefits of such collaboration. The theoretical study combines historical data, assumptions, and conditions to build a simulation model that is modelled similarly as in previous conceptual studies of nationwide energy systems based solely on photovoltaics and electric vehicles, referenced in this article. In Slovenia, the total surface size suitable for the installation of photovoltaic systems is estimated to be 280 km2. The calculations show that a surface size of 217 km2 for photovoltaic systems can produce enough energy to cover Slovenia’s entire energy demand, Slovenia’s final energy consum</w:t>
      </w:r>
    </w:p>
    <w:p>
      <w:pPr/>
      <w:r>
        <w:rPr>
          <w:b/>
        </w:rPr>
        <w:t>POSSIBLE 2024:</w:t>
      </w:r>
      <w:r>
        <w:t xml:space="preserve"> Allergens grouping names on packaging: Are the substances similar enough to ensure safety? The worst case scenarios question this — https://doi.org/10.1111/ics.12979</w:t>
      </w:r>
    </w:p>
    <w:p>
      <w:pPr/>
      <w:r>
        <w:rPr>
          <w:b/>
        </w:rPr>
        <w:t>Shared claim-specific concepts:</w:t>
      </w:r>
      <w:r>
        <w:t xml:space="preserve"> worst, case, based; EU scope visible. This is a provisional connection, not an outcome finding.</w:t>
      </w:r>
    </w:p>
    <w:p>
      <w:pPr>
        <w:pStyle w:val="SourceNote"/>
      </w:pPr>
      <w:r>
        <w:rPr>
          <w:b/>
        </w:rPr>
        <w:t>Available abstract (not full text):</w:t>
      </w:r>
      <w:r>
        <w:t xml:space="preserve"> OBJECTIVE: European Commission Regulation (EU) n°2023/1545 introduced the concept of grouping names in the cosmetics sector in July 2023. These groups bring together allergenic substances with the same level of skin sensitization. Their purpose is to lighten the list of ingredients on cosmetic packaging, by grouping together substances deemed to be similar under the same name. As this classification is based on a single toxic effect - skin sensitization - the present study aims to analyse the relevance of these groupings with regard to other toxic effects of substances in the same group. METHODS: This study was carried out by consulting an available database, various reports from 5 committees, 2 books and 5 articles in order to complete the toxicological profile of each substance. Then, in order to highlight any discrepancies within the classification, the worst cases were identified. For this purpose, the data for each substance in a group were compared, and in the event of greater criticality for a toxic effect, this was qualified as a worst case. In addition, similar toxic effects between several substances within the same group were also recorded. The aim of this additional research was to validate the definition of the grouping name and the similarities between substances in the same group. RESULTS: From the 17 grouping names, 5 presented worst cases. Two groups had 2 wors</w:t>
      </w:r>
    </w:p>
    <w:p>
      <w:pPr/>
      <w:r>
        <w:rPr>
          <w:b/>
        </w:rPr>
        <w:t>POSSIBLE 2024:</w:t>
      </w:r>
      <w:r>
        <w:t xml:space="preserve"> Sampling for Beyond-Worst-Case Online Ranking — https://doi.org/10.1609/aaai.v38i18.30051</w:t>
      </w:r>
    </w:p>
    <w:p>
      <w:pPr/>
      <w:r>
        <w:rPr>
          <w:b/>
        </w:rPr>
        <w:t>Shared claim-specific concepts:</w:t>
      </w:r>
      <w:r>
        <w:t xml:space="preserve"> worst, case, based; EU scope not established. This is a provisional connection, not an outcome finding.</w:t>
      </w:r>
    </w:p>
    <w:p>
      <w:pPr>
        <w:pStyle w:val="SourceNote"/>
      </w:pPr>
      <w:r>
        <w:rPr>
          <w:b/>
        </w:rPr>
        <w:t>Available abstract (not full text):</w:t>
      </w:r>
      <w:r>
        <w:t xml:space="preserve"> The feedback arc set problem is one of the most fundamental and well-studied ranking problems where n objects are to be ordered based on their pairwise comparison. The problem enjoys several efficient approximation algorithms in the offline setting. Unfortunately, online there are strong lower bounds on the competitive ratio establishing that no algorithm can perform well in the worst case. This paper introduces a new beyond-worst-case model for online feedback arc set. In the model, a sample of the input is given to the algorithm offline before the remaining instance is revealed online. This models the case in practice where yesterday's data is available and is similar to today's online instance. This sample is drawn from a known distribution which may not be uniform. We design an online algorithm with strong theoretical guarantees. The algorithm has a small constant competitive ratio when the sample is uniform---if not, we show we can recover the same result by adding a provably minimal sample. Empirical results validate the theory and show that such algorithms can be used on temporal data to obtain strong results.</w:t>
      </w:r>
    </w:p>
    <w:p>
      <w:pPr/>
      <w:r>
        <w:rPr>
          <w:b/>
        </w:rPr>
        <w:t>POSSIBLE 2023:</w:t>
      </w:r>
      <w:r>
        <w:t xml:space="preserve"> Future sea level rise dominates changes in worst case extreme sea levels along the global coastline by 2100 — https://doi.org/10.1088/1748-9326/acb504</w:t>
      </w:r>
    </w:p>
    <w:p>
      <w:pPr/>
      <w:r>
        <w:rPr>
          <w:b/>
        </w:rPr>
        <w:t>Shared claim-specific concepts:</w:t>
      </w:r>
      <w:r>
        <w:t xml:space="preserve"> worst, case, increase; EU scope visible. This is a provisional connection, not an outcome finding.</w:t>
      </w:r>
    </w:p>
    <w:p>
      <w:pPr>
        <w:pStyle w:val="SourceNote"/>
      </w:pPr>
      <w:r>
        <w:rPr>
          <w:b/>
        </w:rPr>
        <w:t>Available abstract (not full text):</w:t>
      </w:r>
      <w:r>
        <w:t xml:space="preserve"> Abstract We provide the magnitude of a worst case scenario for extreme sea levels (ESLs) along the global coastline by 2100. This worst case scenario for ESLs is calculated as a combination of sea surface height associated with storm surge and wave (100 year return period, the 95th percentile), high tide (the 95th percentile) and a low probability sea level rise scenario (the 95th percentile). Under these conditions, end-of-21st century ESLs have a 5% chance of exceeding 4.2 m (global coastal average), compared to 2.6 m during the baseline period (1980–2014). By 2100 almost 45% of the global coastline would experience ESLs above the global mean of 4.2 m, with up to 9–10 m for the East China Sea, Japan and North European coastal areas. Up to 86% of coastal locations would face ESLs above 3 m (100 year return period) by 2100, compared to 33% currently. Up to 90% of increases in magnitude of ESLs are driven by future sea level rise, compare to 10% associated with changes in storm surges and waves. By 2030–2040 the present-day 100 year return period for ESLs would be experienced at least once a year in tropical areas. This 100-fold increase in frequency will take place on all global coastlines by 2100.</w:t>
      </w:r>
    </w:p>
    <w:p>
      <w:pPr/>
      <w:r>
        <w:rPr>
          <w:b/>
        </w:rPr>
        <w:t>POSSIBLE 2023:</w:t>
      </w:r>
      <w:r>
        <w:t xml:space="preserve"> Energy security of the European Union and corruption in Central Asia as the main challenges for the European sustainable energy future — https://doi.org/10.1186/s13705-023-00406-3</w:t>
      </w:r>
    </w:p>
    <w:p>
      <w:pPr/>
      <w:r>
        <w:rPr>
          <w:b/>
        </w:rPr>
        <w:t>Shared claim-specific concepts:</w:t>
      </w:r>
      <w:r>
        <w:t xml:space="preserve"> case, they, energy; EU scope visible. This is a provisional connection, not an outcome finding.</w:t>
      </w:r>
    </w:p>
    <w:p>
      <w:pPr>
        <w:pStyle w:val="SourceNote"/>
      </w:pPr>
      <w:r>
        <w:rPr>
          <w:b/>
        </w:rPr>
        <w:t>Available abstract (not full text):</w:t>
      </w:r>
      <w:r>
        <w:t xml:space="preserve"> Abstract Background The main goal of the paper is to define, analyze and assess the basic security, development and institutional challenges faced by the Central Asian countries after 2022. Following the Covid-19 pandemic, and with the outbreak of the Ukrainian crisis, Europe faced the need to find other sources of energy supply outside the Russian Federation. The Central Asian region is rich in energy resources and is therefore of special importance, but at the same time it is also a region of special geopolitical interest of often conflicting parties - the region for which there are limited information and insufficient academic literature about development, various aspects of security, internal specificities and future challenges. Methods The research included qualitative and quantitative analyses carried out for Kazakhstan, the Kyrgyz Republic, Turkmenistan, Uzbekistan and Tajikistan. Data processing was performed on the basis of 16 selected indicators in the fields of economy, energy, governance and climate change, for the time period from 2011 to 2021. Data processing was performed using the correlation and regression analysis (ANOVA). Results The results showed that energy policy and corruption represent one of the biggest problems faced by the countries of Central Asia, which strongly affects the energy security and sustainable development, not only of the countries of C</w:t>
      </w:r>
    </w:p>
    <w:p>
      <w:pPr/>
      <w:r>
        <w:rPr>
          <w:b/>
        </w:rPr>
        <w:t>POSSIBLE 2022:</w:t>
      </w:r>
      <w:r>
        <w:t xml:space="preserve"> Worst Cases and Reality — https://doi.org/10.1353/apr.2022.0008</w:t>
      </w:r>
    </w:p>
    <w:p>
      <w:pPr/>
      <w:r>
        <w:rPr>
          <w:b/>
        </w:rPr>
        <w:t>Shared claim-specific concepts:</w:t>
      </w:r>
      <w:r>
        <w:t xml:space="preserve"> worst, case, increase, based, four; EU scope visible. This is a provisional connection, not an outcome finding.</w:t>
      </w:r>
    </w:p>
    <w:p>
      <w:pPr>
        <w:pStyle w:val="SourceNote"/>
      </w:pPr>
      <w:r>
        <w:rPr>
          <w:b/>
        </w:rPr>
        <w:t>Available abstract (not full text):</w:t>
      </w:r>
      <w:r>
        <w:t xml:space="preserve"> Worst Cases and Reality Walter C. Clemens Jr. (bio) Samuel F. Wells. Fearing the Worst: How Korea Transformed the Cold War. New York: Columbia University Press, 2020. Charles J. Hanley. Ghost Flames: Life and Death in a Hidden War, Korea 1950–1953. New York: PublicAffairs, 2020. Based mainly on official documents and scholarly writings, fearing the Worst reviews the Korean War mainly from the perspective of governments. Ghost Flames views the war as experienced by twenty individuals. It is based on interviews and private papers as well as archival documents and reports by the South Korean Truth and Reconciliation Commission. Taken together, these two books provide a top-down and bottom-up picture of terrible events that still haunt and ricochet in world affairs. Actions derive from perceptions and hopes that produce beliefs or, at least, working assumptions. Sometimes reality intrudes to challenge or reinforce those assumptions. All the major powers from the late 1940s to the early 1950s were like blind people bumping into one another in a forest. The Truman administration believed that Stalin and Mao Zedong were close partners determined to spread communism. Not until war began did Washington see North Korea as a threat to peace and stability. American leaders in 1949 and 1950 said that the US defense perimeter excluded Taiwan and the Republic of Korea (ROK). The United States</w:t>
      </w:r>
    </w:p>
    <w:p>
      <w:pPr/>
      <w:r>
        <w:rPr>
          <w:b/>
        </w:rPr>
        <w:t>POSSIBLE 2022:</w:t>
      </w:r>
      <w:r>
        <w:t xml:space="preserve"> Minimization of the Worst Case Average Energy Consumption in UAV-Assisted IoT Networks — https://doi.org/10.1109/jiot.2022.3150419</w:t>
      </w:r>
    </w:p>
    <w:p>
      <w:pPr/>
      <w:r>
        <w:rPr>
          <w:b/>
        </w:rPr>
        <w:t>Shared claim-specific concepts:</w:t>
      </w:r>
      <w:r>
        <w:t xml:space="preserve"> worst, case, energy; EU scope not established. This is a provisional connection, not an outcome finding.</w:t>
      </w:r>
    </w:p>
    <w:p>
      <w:pPr>
        <w:pStyle w:val="SourceNote"/>
      </w:pPr>
      <w:r>
        <w:rPr>
          <w:b/>
        </w:rPr>
        <w:t>Available abstract (not full text):</w:t>
      </w:r>
      <w:r>
        <w:t xml:space="preserve"> The Internet of Things (IoT) brings connectivity to a massive number of devices that demand energy-efficient solutions to deal with limited battery capacities, uplink-dominant traffic, and channel impairments. In this work, we explore the use of Unmanned Aerial Vehicles (UAVs) equipped with configurable antennas as a flexible solution for serving low-power IoT networks. We formulate an optimization problem to set the position and antenna beamwidth of the UAV, and the transmit power of the IoT devices subject to average-Signal-to-average-Interference-plus-Noise Ratio Quality of Service (QoS) constraints. We minimize the worst-case average energy consumption of the latter, thus, targeting the fairest allocation of the energy resources. The problem is non-convex and highly non-linear; therefore, we re-formulate it as a series of three geometric programs that can be solved iteratively. Results reveal the benefits of planning the network compared to a random deployment in terms of reducing the worst-case average energy consumption. Furthermore, we show that the target average-Signal-to-average-Interference-plus-Noise Ratio is limited by the number of IoT devices, and highlight the dominant impact of the UAV hovering height when serving wider areas. Our proposed algorithm outperforms other optimization benchmarks in terms of minimizing the average energy consumption at the most energ</w:t>
      </w:r>
    </w:p>
    <w:p>
      <w:pPr/>
      <w:r>
        <w:rPr>
          <w:b/>
        </w:rPr>
        <w:t>POSSIBLE 2022:</w:t>
      </w:r>
      <w:r>
        <w:t xml:space="preserve"> Design and performance predictions of plus energy neighbourhoods – Case studies of demonstration projects in four different European climates — https://doi.org/10.1016/j.enbuild.2022.112447</w:t>
      </w:r>
    </w:p>
    <w:p>
      <w:pPr/>
      <w:r>
        <w:rPr>
          <w:b/>
        </w:rPr>
        <w:t>Shared claim-specific concepts:</w:t>
      </w:r>
      <w:r>
        <w:t xml:space="preserve"> worst, case, energy, based, four; EU scope visible. This is a provisional connection, not an outcome finding.</w:t>
      </w:r>
    </w:p>
    <w:p>
      <w:pPr>
        <w:pStyle w:val="SourceNote"/>
      </w:pPr>
      <w:r>
        <w:rPr>
          <w:b/>
        </w:rPr>
        <w:t>Available abstract (not full text):</w:t>
      </w:r>
      <w:r>
        <w:t xml:space="preserve"> The article presents the design of four plus energy neighbourhood demonstration projects located in different climate zones in Europe. The demo projects are a part of the Horizon 2020 project ‘syn.ikia’, which aims to enable the development of sustainable plus energy neighbourhoods in different climates and contexts. In this article, we describe the active and passive building strategies and analyse the robustness of the designs with respect to different scenarios of climate change, user behaviour, and energy flexibility. Analyses were performed based on the primary energy balance, including space heating and cooling, ventilation, domestic hot water, and lighting. The performance predictions indicate that all demonstration projects may attain the plus energy balance according to the syn.ikia definition. This was achieved with high performing envelopes, efficient HVAC systems, and onsite renewable energy systems to cover the energy demand. The analysis shows that there is a significant potential for increased self-consumption of photovoltaic energy by adjusting the heating schedules and including electric vehicle charging. Testing of the designs with respect to varying climates and user-behaviours showed that there could be an increased risk of overheating, and that some of the designs may not achieve the positive energy balance in case of ‘worst case’ user behaviour scenarios.</w:t>
      </w:r>
    </w:p>
    <w:p>
      <w:pPr/>
      <w:r>
        <w:rPr>
          <w:b/>
        </w:rPr>
        <w:t>POSSIBLE 2022:</w:t>
      </w:r>
      <w:r>
        <w:t xml:space="preserve"> Analysing the real-world fuel and energy consumption of conventional and electric cars in Europe — https://doi.org/10.1016/j.enconman.2022.116161</w:t>
      </w:r>
    </w:p>
    <w:p>
      <w:pPr/>
      <w:r>
        <w:rPr>
          <w:b/>
        </w:rPr>
        <w:t>Shared claim-specific concepts:</w:t>
      </w:r>
      <w:r>
        <w:t xml:space="preserve"> worst, case, energy; EU scope visible. This is a provisional connection, not an outcome finding.</w:t>
      </w:r>
    </w:p>
    <w:p>
      <w:pPr>
        <w:pStyle w:val="SourceNote"/>
      </w:pPr>
      <w:r>
        <w:rPr>
          <w:b/>
        </w:rPr>
        <w:t>Available abstract (not full text):</w:t>
      </w:r>
      <w:r>
        <w:t xml:space="preserve"> The transport sector constitutes one of the main sources of greenhouse gas emissions in the European Union. Although the literature is rich in studies assessing the factors influencing energy consumption in real world driving, few analyse the divergence between certified and real-world consumption on a fleet level and annual temporal resolution. The present work builds on the findings of previous studies to provide a complete simulation-based approach for fleet-level projections in real-world scenarios. A tailored simulation framework for fleet-wide analysis has been updated and validated extensively for current vehicle configurations. In addition to modelling, the analysis used data describing real-world conditions and vehicle characteristics representative of the European passenger car fleet and operation profile. Validation demonstrates good accuracy in simulating the vehicle measured consumption values with a near-zero mean error when simulating laboratory and on-road measurements. The impact of the certification procedure was quantified at 6% for both the combustion engine and battery electric vehicles. The influence of real-world factors such as traffic, ambient temperature and cabin air conditioning was quantified, and the results show a greater energy impact in the cold than in warm conditions. Different operating conditions were simulated to investigate the model’s cap</w:t>
      </w:r>
    </w:p>
    <w:p>
      <w:pPr>
        <w:pStyle w:val="Heading2"/>
      </w:pPr>
      <w:r>
        <w:t>592. Energy Portfolio of the Eastern Poland Macroregion in the European Union</w:t>
      </w:r>
    </w:p>
    <w:p>
      <w:pPr>
        <w:pStyle w:val="SourceNote"/>
      </w:pPr>
      <w:r>
        <w:rPr>
          <w:b/>
        </w:rPr>
        <w:t>Original source (2021):</w:t>
      </w:r>
      <w:r>
        <w:t xml:space="preserve"> https://doi.org/10.3390/en14248426</w:t>
      </w:r>
    </w:p>
    <w:p>
      <w:pPr/>
      <w:r>
        <w:t>Original wording (abstract; indexed_source_text_not_full_document_verified): It is predicted that by 2030, the following sources will change their positions within the portfolio for the Eastern Poland macroregion: solar energy, wind energy and bioenergy. The aim of this article is to identify the conditions and reasons for the transformation of the energy portfolio of the Eastern Poland macroregion, and to define the directions of the energy portfolio evolution caused by the need to implement the goals of the European Green Deal by 2030, in order to consequently develop the forecast energy portfolio for the Eastern Poland macroregion.</w:t>
      </w:r>
    </w:p>
    <w:p>
      <w:pPr/>
      <w:r>
        <w:rPr>
          <w:b/>
        </w:rPr>
        <w:t>POSSIBLE 2026:</w:t>
      </w:r>
      <w:r>
        <w:t xml:space="preserve"> The predictors of party group bargaining success in the European Parliament — https://doi.org/10.1177/14651165261423104</w:t>
      </w:r>
    </w:p>
    <w:p>
      <w:pPr/>
      <w:r>
        <w:rPr>
          <w:b/>
        </w:rPr>
        <w:t>Shared claim-specific concepts:</w:t>
      </w:r>
      <w:r>
        <w:t xml:space="preserve"> positions, within, article; EU scope visible. This is a provisional connection, not an outcome finding.</w:t>
      </w:r>
    </w:p>
    <w:p>
      <w:pPr>
        <w:pStyle w:val="SourceNote"/>
      </w:pPr>
      <w:r>
        <w:rPr>
          <w:b/>
        </w:rPr>
        <w:t>Available abstract (not full text):</w:t>
      </w:r>
      <w:r>
        <w:t xml:space="preserve"> This article examines the predictors of European Party Groups’ bargaining success in internal negotiations within the European Parliament. It evaluates theories relating to pivotality in the policy space, agenda-setting power, strategic anticipation of interinstitutional bargaining, and internal group cohesion. Understanding these mechanisms is crucial because parliamentary agreements structure trilogue negotiations, ultimately affecting the European Union's legislative outcomes. Drawing on an original interview-based dataset covering 31 legislative proposals in the 9th Parliament (2019–2024), the study directly measures party group preferences and compares them to the positions adopted in parliamentary opinions. The findings show that mandates tend to follow the grand coalition median rather than the body's median as a whole, rapporteurs systematically benefit their groups, and internal cohesion unexpectedly reduces bargaining success. The negative impact of proximity to the Council suggests strategic positioning for trilogues, whereas alignment with the Commission and non-lead committee rapporteurships shows little effect. Together, the results provide a systematic account of bargaining in the modern European Parliament, offering a platform for future research.</w:t>
      </w:r>
    </w:p>
    <w:p>
      <w:pPr/>
      <w:r>
        <w:rPr>
          <w:b/>
        </w:rPr>
        <w:t>POSSIBLE 2026:</w:t>
      </w:r>
      <w:r>
        <w:t xml:space="preserve"> Within‐Day Variations in Infant Body Position Predict Caregiver Speech Input — https://doi.org/10.1111/desc.70120</w:t>
      </w:r>
    </w:p>
    <w:p>
      <w:pPr/>
      <w:r>
        <w:rPr>
          <w:b/>
        </w:rPr>
        <w:t>Shared claim-specific concepts:</w:t>
      </w:r>
      <w:r>
        <w:t xml:space="preserve"> predicted, positions, within; EU scope not established. This is a provisional connection, not an outcome finding.</w:t>
      </w:r>
    </w:p>
    <w:p>
      <w:pPr>
        <w:pStyle w:val="SourceNote"/>
      </w:pPr>
      <w:r>
        <w:rPr>
          <w:b/>
        </w:rPr>
        <w:t>Available abstract (not full text):</w:t>
      </w:r>
      <w:r>
        <w:t xml:space="preserve"> Infants' time spent in different body positions varies substantially within a day: lying supine on their backs, crawling or playing while prone on their bellies, sitting on the floor or in seating devices, standing or walking upright on two feet, and held by an adult. Infants may spend long periods in one position, such as sitting in a highchair, followed by periods of switching positions (e.g., prone and upright), such as during play. Speech input has been linked with infants' placement and motor development. Here, we extend past work to ask whether adults speak more frequently depending on infants' time spent in different body positions throughout the day. We gathered home recordings from 64 infants in two age groups, 4-7 months and 11-14 months, using movement sensors to measure body position and a LENA audio recorder to estimate adult word count. Data were analyzed in 10-min bins throughout the day to determine whether within-day differences in infants' time spent in each position were associated with the frequency of adult's speech. Indeed, increased time spent supine and prone predicted fewer adult words, whereas increased time sitting and held predicted increases in word count. Upright was age dependent, with more time spent upright predicting an increase in word count for younger infants, but a decrease for older infants. These findings reveal the importance of consider</w:t>
      </w:r>
    </w:p>
    <w:p>
      <w:pPr/>
      <w:r>
        <w:rPr>
          <w:b/>
        </w:rPr>
        <w:t>POSSIBLE 2026:</w:t>
      </w:r>
      <w:r>
        <w:t xml:space="preserve"> Exploring European Memory of the 1897 Lattimer Massacre with Predictive AI — https://doi.org/10.1007/s10761-026-00818-9</w:t>
      </w:r>
    </w:p>
    <w:p>
      <w:pPr/>
      <w:r>
        <w:rPr>
          <w:b/>
        </w:rPr>
        <w:t>Shared claim-specific concepts:</w:t>
      </w:r>
      <w:r>
        <w:t xml:space="preserve"> following, sources, conditions; EU scope visible. This is a provisional connection, not an outcome finding.</w:t>
      </w:r>
    </w:p>
    <w:p>
      <w:pPr>
        <w:pStyle w:val="SourceNote"/>
      </w:pPr>
      <w:r>
        <w:rPr>
          <w:b/>
        </w:rPr>
        <w:t>Available abstract (not full text):</w:t>
      </w:r>
      <w:r>
        <w:t xml:space="preserve"> Abstract Some historical archaeologists work in places colonized by countries whose language is other than that spoken by the researcher. Many of these projects have not consulted the relevant foreign-language literature, which could provide additional context for interpreting their findings. Predictive AI offers the unique advantage of rapidly accessing, translating, and synthesizing foreign language sources that may otherwise remain inaccessible due to language barriers. The following is an example of a little known international labor tragedy that occurred in northeastern Pennsylvania in 1897, when immigrant coal miners went on strike for better pay and working conditions. At least 19 men were killed and 38 wounded, and most of the victims were citizens of the Austro-Hungarian Empire. Much of the incident and its aftermath have been reconstructed using English-language newspapers, court records, and oral histories. Due to language barriers, scholars have not examined how the victims' home countries recorded and perceived the incident. Using predictive AI enables researchers to create workable translations of these perspectives with a level of speed and scale previously unattainable, broadening the historical context of this incident. This approach provides an example for others whose work spans international boundaries and languages.</w:t>
      </w:r>
    </w:p>
    <w:p>
      <w:pPr/>
      <w:r>
        <w:rPr>
          <w:b/>
        </w:rPr>
        <w:t>POSSIBLE 2026:</w:t>
      </w:r>
      <w:r>
        <w:t xml:space="preserve"> Source code for "How Much EEG Is Needed for Deep Learning with Convolutional Neural Networks? Predicting the Benefit from Additional Data" — https://doi.org/10.5281/zenodo.18403059</w:t>
      </w:r>
    </w:p>
    <w:p>
      <w:pPr/>
      <w:r>
        <w:rPr>
          <w:b/>
        </w:rPr>
        <w:t>Shared claim-specific concepts:</w:t>
      </w:r>
      <w:r>
        <w:t xml:space="preserve"> following, sources, within; EU scope visible. This is a provisional connection, not an outcome finding.</w:t>
      </w:r>
    </w:p>
    <w:p>
      <w:pPr>
        <w:pStyle w:val="SourceNote"/>
      </w:pPr>
      <w:r>
        <w:rPr>
          <w:b/>
        </w:rPr>
        <w:t>Available abstract (not full text):</w:t>
      </w:r>
      <w:r>
        <w:t xml:space="preserve"> This source code enables the reproduction of all results in the paper, including the generation of training data subsets, the fitting of different learning curve models, and the prediction for larger datasets. For details about the method, please refer to the following publication: Seibel et al. (2026) How Much EEG Is Needed for Deep Learning with Convolutional Neural Networks? Predicting the Benefit from Additional Data. Journal of Neural Engineering, https://doi.org/10.1088/1741-2552/ae453d When using the code or the data, please cite the corresponding paper. Thank you. Acknowledgments and Funding Sources The research was supported by the Free State of Thuringia grant ThiMEDOP (2018 IZN 0004) with funds from the European Union (EFRE), the German Federal Ministry of Education and Research (BMBF) grants AVATAR and AVATAR-Transfer (16KISA024 and 16KIS2583, funded by the European Union - NextGenerationEU), by the Carl Zeiss Stiftung under the CZS Breakthroughs programme within the ”PollenNet” project (Grant number: P2022-08-006), and the German Academic Exchange Service (DAAD PPP 57599925).</w:t>
      </w:r>
    </w:p>
    <w:p>
      <w:pPr/>
      <w:r>
        <w:rPr>
          <w:b/>
        </w:rPr>
        <w:t>POSSIBLE 2025:</w:t>
      </w:r>
      <w:r>
        <w:t xml:space="preserve"> Surgical Success and Predictive Factors for Residual Stones Following Supine Percutaneous Nephrolithotomy in the Galdakao-Modified Valdivia Position — https://doi.org/10.4274/mmj.galenos.2025.59265</w:t>
      </w:r>
    </w:p>
    <w:p>
      <w:pPr/>
      <w:r>
        <w:rPr>
          <w:b/>
        </w:rPr>
        <w:t>Shared claim-specific concepts:</w:t>
      </w:r>
      <w:r>
        <w:t xml:space="preserve"> predicted, following, identify; EU scope not established. This is a provisional connection, not an outcome finding.</w:t>
      </w:r>
    </w:p>
    <w:p>
      <w:pPr>
        <w:pStyle w:val="SourceNote"/>
      </w:pPr>
      <w:r>
        <w:rPr>
          <w:b/>
        </w:rPr>
        <w:t>Available abstract (not full text):</w:t>
      </w:r>
      <w:r>
        <w:t xml:space="preserve"> Objective: Supine percutaneous nephrolithotomy (sPCNL) is widely accepted as a safe and effective treatment for kidney stones. This study aims to assess surgical outcomes and identify predictive factors for residual fragments following sPCNL in the Galdakao-modified Valdivia position (GMV-sPCNL). Methods: We retrospectively evaluated the clinical data of patients undergoing GMV-sPCNL. The primary outcomes were the stone-free rate (SFR) and the complication rate. Demographic, radiologic, and perioperative parameters were also compared between patients with and without residual stones. Results: 195 patients [Male:127 (65.1%); Female: 68 (34.9%)] were included. The mean age was 48.6±15.6 years; the mean body mass index (BMI) was 27.4±5 kg/m2. The overall SFR was 83.1%. Residual stones were associated with greater stone burden (number, size, surface area, and volume), longer operative time, and longer hospitalization (p&lt;0.05). Gender, age, BMI, stone laterality, and density were not significantly associated with SFR. The receiver operating characteristic analysis showed that having more than two stones, a stone size ≥26 mm, or a stone volume ≥2639.8 mm3 significantly predicted residual fragments. Stone volume demonstrated the best predictive performance, with sensitivity and specificity of 81.8% and 61.0%, respectively. GMV-sPCNL was associated with a low overall complication rate:</w:t>
      </w:r>
    </w:p>
    <w:p>
      <w:pPr/>
      <w:r>
        <w:rPr>
          <w:b/>
        </w:rPr>
        <w:t>POSSIBLE 2024:</w:t>
      </w:r>
      <w:r>
        <w:t xml:space="preserve"> Predicting atrial fibrillation risk following embolic stroke of unknown source using cardiac magnetic resonance imaging — https://doi.org/10.1093/europace/euae102.252</w:t>
      </w:r>
    </w:p>
    <w:p>
      <w:pPr/>
      <w:r>
        <w:rPr>
          <w:b/>
        </w:rPr>
        <w:t>Shared claim-specific concepts:</w:t>
      </w:r>
      <w:r>
        <w:t xml:space="preserve"> following, within, identify, need; EU scope visible. This is a provisional connection, not an outcome finding.</w:t>
      </w:r>
    </w:p>
    <w:p>
      <w:pPr>
        <w:pStyle w:val="SourceNote"/>
      </w:pPr>
      <w:r>
        <w:rPr>
          <w:b/>
        </w:rPr>
        <w:t>Available abstract (not full text):</w:t>
      </w:r>
      <w:r>
        <w:t xml:space="preserve"> Abstract Background Approximately 25% of embolic strokes of unknown source (ESUS) are attributed to undiagnosed atrial fibrillation (AF).1 The European Stroke Organisation (ESO) recommends implantable loop recorder (ILR) monitoring to identify ESUS patients with AF, permit the initiation of anticoagulation and reduce risk of recurrent stroke.2 However, this approach delays treatment and carries significant cost and resource implications. An alternative approach, where early anticoagulation is initiated in the absence of AF has failed to reduce recurrent stroke in four randomised controlled trials (NAVIGATE ESUS, RE-SPECT ESUS, ATTICUS and ARCADIA).3-6 An urgent need exists for new strategies to identify ESUS patients with undiagnosed AF that are at high risk of future thromboembolism. Purpose The primary objective of this study was to produce a substrate-based predictive model for AF in ESUS patients using atrial cardiac magnetic resonance imaging (CMRi). Method The Atrial CARdiac Magnetic resonance imaging in patients with embolic stroke of unknown source without documented AF (CARM-AF) Study is a prospective, multi-centre, observational study. All patients underwent CMRi and ILR insertion for AF detection within 3 months of ESUS. The main inclusion criteria were expected survival &gt;12 months, CHA2DS2VASc≥3 and eGFR &gt;30ml/min. Patients were allocated to the study group if AF &gt;3</w:t>
      </w:r>
    </w:p>
    <w:p>
      <w:pPr/>
      <w:r>
        <w:rPr>
          <w:b/>
        </w:rPr>
        <w:t>POSSIBLE 2024:</w:t>
      </w:r>
      <w:r>
        <w:t xml:space="preserve"> Climatic Predictors of Long‐Distance Migratory Birds Breeding Productivity Across Europe — https://doi.org/10.1111/geb.13901</w:t>
      </w:r>
    </w:p>
    <w:p>
      <w:pPr/>
      <w:r>
        <w:rPr>
          <w:b/>
        </w:rPr>
        <w:t>Shared claim-specific concepts:</w:t>
      </w:r>
      <w:r>
        <w:t xml:space="preserve"> predicted, aim, conditions; EU scope visible. This is a provisional connection, not an outcome finding.</w:t>
      </w:r>
    </w:p>
    <w:p>
      <w:pPr>
        <w:pStyle w:val="SourceNote"/>
      </w:pPr>
      <w:r>
        <w:rPr>
          <w:b/>
        </w:rPr>
        <w:t>Available abstract (not full text):</w:t>
      </w:r>
      <w:r>
        <w:t xml:space="preserve"> ABSTRACT Aim Ongoing climate changes represent a major determinant of demographic processes in many organisms worldwide. Birds, and especially long‐distance migrants, are particularly sensitive to such changes. To better understand these impacts on long‐distance migrants' breeding productivity, we tested three hypotheses focused on (i) the shape of the relationships with different climate variables, including previously rarely tested quadratic responses, and on regional differences in these relationships predicted by (ii) mean climatic conditions and (iii) by the rate of climate change in respective regions ranging from Spain to Finland. Location Europe. Time Period 2004–2021. Major Taxa Studied Long‐distance migratory passerine birds. Methods We calculated breeding productivity from constant effort ringing sites from 11 European countries covering 34° of latitude, and extracted temperature‐ and precipitation‐related climate variables from E‐OBS and NASA MODIS datasets. To test our hypotheses, we fitted GLMM and Bayesian meta‐analytic models. Results We revealed hump‐shaped responses of productivity to temperature, growing degree‐days, green‐up onset date, and precipitation anomaly, and negative responses to intense and prolonged rains across the regions. The effects of March temperature and April growing degree‐days were more negative in cold than in warm regions, except for t</w:t>
      </w:r>
    </w:p>
    <w:p>
      <w:pPr/>
      <w:r>
        <w:rPr>
          <w:b/>
        </w:rPr>
        <w:t>POSSIBLE 2024:</w:t>
      </w:r>
      <w:r>
        <w:t xml:space="preserve"> TOPAS-CH4: a service for methane monitoring, source attribution and emission reduction over Europe — https://doi.org/10.5194/egusphere-egu24-8844</w:t>
      </w:r>
    </w:p>
    <w:p>
      <w:pPr/>
      <w:r>
        <w:rPr>
          <w:b/>
        </w:rPr>
        <w:t>Shared claim-specific concepts:</w:t>
      </w:r>
      <w:r>
        <w:t xml:space="preserve"> predicted, following, sources, identify; EU scope visible. This is a provisional connection, not an outcome finding.</w:t>
      </w:r>
    </w:p>
    <w:p>
      <w:pPr>
        <w:pStyle w:val="SourceNote"/>
      </w:pPr>
      <w:r>
        <w:rPr>
          <w:b/>
        </w:rPr>
        <w:t>Available abstract (not full text):</w:t>
      </w:r>
      <w:r>
        <w:t xml:space="preserve"> Methane (CH4) is the second-largest contributor to the anthropogenic greenhouse effect, and have been the focus of recent climate summits and global commitments towards emission reductions. To mitigate and study the impact of anthropogenic CH4 emissions, the European Union started AVENGERS, a research and innovation project funded under the Horizon Europe, with 13 Partners from 6 countries, whose objective is to reconcile reported greenhouse gasses (GHGs) emissions with independent information from atmospheric observations using top-down methods and process-based models, and thereby reduce the most important uncertainties of national emission inventories.Here, we present TOPAS-CH4, an operational service developed by TNO as part of the AVENGERS project, following the example of a previous TNO source apportionment tool for particulate matter. This online public service provides users with the relevant daily information on CH4 concentrations over the EU countries, and how much different sources contribute to these observed concentrations. TOPAS CH4 is based on the chemical transport model, LOTOS-EUROS, that runs daily to simulate source-labelled CH4 concentrations over Europe. The predicted CH4 concentrations are compared with the Integrated Carbon Observation System (ICOS) observations on a daily basis, showing that LOTOS-EUROS is able to realistically simulate the CH4 volume mi</w:t>
      </w:r>
    </w:p>
    <w:p>
      <w:pPr/>
      <w:r>
        <w:rPr>
          <w:b/>
        </w:rPr>
        <w:t>POSSIBLE 2024:</w:t>
      </w:r>
      <w:r>
        <w:t xml:space="preserve"> Housing affordability and poverty in Europe: on the deteriorating position of market renters — https://doi.org/10.1017/s0047279423000703</w:t>
      </w:r>
    </w:p>
    <w:p>
      <w:pPr/>
      <w:r>
        <w:rPr>
          <w:b/>
        </w:rPr>
        <w:t>Shared claim-specific concepts:</w:t>
      </w:r>
      <w:r>
        <w:t xml:space="preserve"> within, aim, conditions; EU scope visible. This is a provisional connection, not an outcome finding.</w:t>
      </w:r>
    </w:p>
    <w:p>
      <w:pPr>
        <w:pStyle w:val="SourceNote"/>
      </w:pPr>
      <w:r>
        <w:rPr>
          <w:b/>
        </w:rPr>
        <w:t>Available abstract (not full text):</w:t>
      </w:r>
      <w:r>
        <w:t xml:space="preserve"> Abstract There are growing concerns about housing affordability throughout Europe. Recent studies by Housing Europe and the OECD have suggested that we are witnessing a generalised deterioration in housing affordability, while other studies point to worsening housing affordability for specific groups, such as renters or low-income households. The aim of this paper is to explore trends in, and incidences and determinants of, housing affordability in a comparative European context over the period 2010 to 2018. To do this we analyse data from the EU Statistics on Income and Living Conditions survey. We examine trends across different measures of housing affordability; examine its association with a variety of socio-economic characteristics and explore country-level differences in housing affordability problems. Our study finds that despite claims of worsening housing affordability, affordability measures show little sign of generalised deterioration over the period in question but that risks of affordability problems have become more concentrated on market renters during this period. At the country level, we find that gross domestic product (GDP) per capita and the at-risk-of-poverty rate are associated with housing affordability problems both between countries as well as within countries over time, while housing allowance coverage and rent regulation stringency are associated wit</w:t>
      </w:r>
    </w:p>
    <w:p>
      <w:pPr/>
      <w:r>
        <w:rPr>
          <w:b/>
        </w:rPr>
        <w:t>POSSIBLE 2023:</w:t>
      </w:r>
      <w:r>
        <w:t xml:space="preserve"> Predicting the distribution of Ixodes ricinus and Dermacentor reticulatus in Europe: a comparison of climate niche modelling approaches — https://doi.org/10.1186/s13071-023-05959-y</w:t>
      </w:r>
    </w:p>
    <w:p>
      <w:pPr/>
      <w:r>
        <w:rPr>
          <w:b/>
        </w:rPr>
        <w:t>Shared claim-specific concepts:</w:t>
      </w:r>
      <w:r>
        <w:t xml:space="preserve"> following, sources, within, aim, define; EU scope visible. This is a provisional connection, not an outcome finding.</w:t>
      </w:r>
    </w:p>
    <w:p>
      <w:pPr>
        <w:pStyle w:val="SourceNote"/>
      </w:pPr>
      <w:r>
        <w:rPr>
          <w:b/>
        </w:rPr>
        <w:t>Available abstract (not full text):</w:t>
      </w:r>
      <w:r>
        <w:t xml:space="preserve"> BACKGROUND: The ticks Ixodes ricinus and Dermacentor reticulatus are two of the most important vectors in Europe. Climate niche modelling has been used in many studies to attempt to explain their distribution and to predict changes under a range of climate change scenarios. The aim of this study was to assess the ability of different climate niche modelling approaches to explain the known distribution of I. ricinus and D. reticulatus in Europe. METHODS: A series of climate niche models, using different combinations of input data, were constructed and assessed. Species occurrence records obtained from systematic literature searches and Global Biodiversity Information Facility data were thinned to different degrees to remove sampling spatial bias. Four sources of climate data were used: bioclimatic variables, WorldClim, TerraClimate and MODIS satellite-derived data. Eight different model training extents were examined and three modelling frameworks were used: maximum entropy, generalised additive models and random forest models. The results were validated through internal cross-validation, comparison with an external independent dataset and expert opinion. RESULTS: The performance metrics and predictive ability of the different modelling approaches varied significantly within and between each species. Different combinations were better able to define the distribution of each of t</w:t>
      </w:r>
    </w:p>
    <w:p>
      <w:pPr/>
      <w:r>
        <w:rPr>
          <w:b/>
        </w:rPr>
        <w:t>POSSIBLE 2023:</w:t>
      </w:r>
      <w:r>
        <w:t xml:space="preserve"> A Simple and Effective Model for Predicting the Thermal Energy Requirements of Greenhouses in Europe — https://doi.org/10.3390/en16196788</w:t>
      </w:r>
    </w:p>
    <w:p>
      <w:pPr/>
      <w:r>
        <w:rPr>
          <w:b/>
        </w:rPr>
        <w:t>Shared claim-specific concepts:</w:t>
      </w:r>
      <w:r>
        <w:t xml:space="preserve"> solar, energy, conditions; EU scope visible. This is a provisional connection, not an outcome finding.</w:t>
      </w:r>
    </w:p>
    <w:p>
      <w:pPr>
        <w:pStyle w:val="SourceNote"/>
      </w:pPr>
      <w:r>
        <w:rPr>
          <w:b/>
        </w:rPr>
        <w:t>Available abstract (not full text):</w:t>
      </w:r>
      <w:r>
        <w:t xml:space="preserve"> In this paper, a simple model is proposed for predicting the thermal energy requirements of greenhouses in Europe. The model estimates the annual heating requirements and the maximum required heating power, along with the corresponding heating and zero-energy operating periods. It is based on the greenhouse technical data (the overall heat loss coefficient, cover transmission, sensible absorbance), the cultivation conditions (temperature range), and the meteorological data (solar radiation and ambient temperature) according to the site characteristics (longitude and latitude). The model results can be obtained using a hand calculator. The model results are compared with those of a detailed model simulating a greenhouse’s thermal performance and they agreed with real data from the literature. Moreover, a model sensitivity analysis revealed the effect of various factors on the greenhouse’s energy requirements. The results proved that the most significant factor affecting heating requirements, the maximum heating power, and heating periods is the latitude of the greenhouse site, whereas zero-energy periods are primarily influenced by the plant cultivation temperature range and then by the latitude. According to our findings, in lower latitudes (40 to 50 degrees), heating requirements range from 250 to 430 kWh/m2/y, whereas, in higher latitudes (50 to 60 degrees), heating needs ran</w:t>
      </w:r>
    </w:p>
    <w:p>
      <w:pPr/>
      <w:r>
        <w:rPr>
          <w:b/>
        </w:rPr>
        <w:t>POSSIBLE 2023:</w:t>
      </w:r>
      <w:r>
        <w:t xml:space="preserve"> Prospects for the use of artificial intelligence to predict the spread of tuberculosis infection in the WHO European Region — https://doi.org/10.30978/tb2023-2-86</w:t>
      </w:r>
    </w:p>
    <w:p>
      <w:pPr/>
      <w:r>
        <w:rPr>
          <w:b/>
        </w:rPr>
        <w:t>Shared claim-specific concepts:</w:t>
      </w:r>
      <w:r>
        <w:t xml:space="preserve"> following, identify, conditions; EU scope visible. This is a provisional connection, not an outcome finding.</w:t>
      </w:r>
    </w:p>
    <w:p>
      <w:pPr>
        <w:pStyle w:val="SourceNote"/>
      </w:pPr>
      <w:r>
        <w:rPr>
          <w:b/>
        </w:rPr>
        <w:t>Available abstract (not full text):</w:t>
      </w:r>
      <w:r>
        <w:t xml:space="preserve"> Objective — to analyze the prospects of using artificial intelligence and neural networks to create a geospa­tial model of TB transmission and forecast its spread in the WHO European Region using available analytical databases. Materials and methods. The research was carried out for the period October 2022 — March 2023. Digital access to the following full-text and abstract databases was used as the main source of research: the EBSCO Information Base Package, the world’s largest single abstract and scientific metric platform Scopus, the freely accessible search system Google Scholar, MEDLINE with Full Text, Dyna Med Plus, EBSCO eBooks Clinical Collection, the abstract and scientific metric database of scientific publications of the Thomson Reuters Web of Science Core Collection WoS, statistical data from the Ministry of Health of Ukraine and the Public Health Center, SCIE, SSCI, the online database of the National Scientific Medical Library of Ukraine, AHCI. Results and discussion. Migration processes in Europe still remain a global trend and create difficulties for countries that receive migrants. Adverse living conditions, close contact, poor nutrition, mental and physical stress are what refugees and migrants face. The combination of these risk factors and insufficient access to health services increases the vulnerability of refugees to TB infection. In addition, a delay in </w:t>
      </w:r>
    </w:p>
    <w:p>
      <w:pPr>
        <w:pStyle w:val="Heading2"/>
      </w:pPr>
      <w:r>
        <w:t>593. Energy transition scenarios: What policies, societal attitudes, and technology developments will realize the EU Green Deal?</w:t>
      </w:r>
    </w:p>
    <w:p>
      <w:pPr>
        <w:pStyle w:val="SourceNote"/>
      </w:pPr>
      <w:r>
        <w:rPr>
          <w:b/>
        </w:rPr>
        <w:t>Original source (2021):</w:t>
      </w:r>
      <w:r>
        <w:t xml:space="preserve"> https://doi.org/10.1016/j.energy.2021.122067</w:t>
      </w:r>
    </w:p>
    <w:p>
      <w:pPr/>
      <w:r>
        <w:t>Original wording (abstract; indexed_source_text_not_full_document_verified): Through analyzing four pathways (shaped by the crossroads of policy-technology-society developments), results indicate that high electrification rates are imminent to achieve a rapid decarbonization. In this paper, we present an original set of future storylines until the year 2050 to inspire modelers, policy makers, industry actors, and the public to understand: Without technological developments in the next decades, to what extent can we rely on societal commitment or stronger cooperation within the EU to achieve climate targets?</w:t>
      </w:r>
    </w:p>
    <w:p>
      <w:pPr/>
      <w:r>
        <w:rPr>
          <w:b/>
        </w:rPr>
        <w:t>POSSIBLE 2026:</w:t>
      </w:r>
      <w:r>
        <w:t xml:space="preserve"> Complementary pathways and community sponsorship in Europe: benefits, challenges and policy recommendations — https://doi.org/10.1080/17448689.2026.2704516</w:t>
      </w:r>
    </w:p>
    <w:p>
      <w:pPr/>
      <w:r>
        <w:rPr>
          <w:b/>
        </w:rPr>
        <w:t>Shared claim-specific concepts:</w:t>
      </w:r>
      <w:r>
        <w:t xml:space="preserve"> pathways, high; EU scope visible. This is a provisional connection, not an outcome finding.</w:t>
      </w:r>
    </w:p>
    <w:p>
      <w:pPr>
        <w:pStyle w:val="SourceNote"/>
      </w:pPr>
      <w:r>
        <w:rPr>
          <w:b/>
        </w:rPr>
        <w:t>Available abstract (not full text):</w:t>
      </w:r>
      <w:r>
        <w:t xml:space="preserve"> This article adopts an explanatory approach to policy analysis to explore Complementary Pathways (CP) and Community Sponsorship (CS) as civil society-led refugee solutions. Drawing on over 200 interviews across Europe, it highlights CP and CS benefits – human-centered reception, integration, and community engagement – as well as challenges like housing shortages, high costs and bureaucratic hurdles. CP and CS can reshape public attitudes, support refugee self-sufficiency, and enhance policy. The study calls for sustainable funding, defined stakeholder roles, and refugee involvement to ensure these programmes complement, not replace, existing protection systems, with recommendations to institutionalize CP and CS for long-term, equitable integration.</w:t>
      </w:r>
    </w:p>
    <w:p>
      <w:pPr/>
      <w:r>
        <w:rPr>
          <w:b/>
        </w:rPr>
        <w:t>POSSIBLE 2026:</w:t>
      </w:r>
      <w:r>
        <w:t xml:space="preserve"> ANALYZING THE FEASIBILITY OF ADOPTING THE HUMAN MEDICINES REGULATORY PATHWAYS OF THE EUROPEAN MEDICINES AGENCY FOR THE AFRICAN MEDICINES AGENCY — https://doi.org/10.5281/zenodo.18206130</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The implementation of the Centralized Procedure (CP) among European countries was facilitated by the establishment of the European Medicines Agency (EMA) in 1995, which is a culmination of the efforts and milestones made during the harmonization of medicines regulation across Europe. Inspired by the success story of human medicines regulatory harmonization among European countries, the African Union (AU) established the African Medicines Agency (AMA). The objective of this article is to assess the feasibility of adapting regulatory procedures analogous to the EMA framework for the African context and to propose a flexible model tailored to the continent's specific needs. Data were collected using four methods, narrative review, scoping review, comparative analysis, and survey, based on the nature of the required data to assess the feasibility of developing harmonized mechanisms for human medicines approvals among African countries. The European regulatory pathways provide valuable preliminary models for regulatory harmonization in Africa. By using the European framework as foundational blueprint rather than initiating models from the ground up, African countries can accelerate the creation of unique and localized regulatory pathways. Harmonized legal bases are prerequisites for harmonized regulatory frameworks. Therefore, revising the AU Model Law on Medical Products Regulation</w:t>
      </w:r>
    </w:p>
    <w:p>
      <w:pPr/>
      <w:r>
        <w:rPr>
          <w:b/>
        </w:rPr>
        <w:t>POSSIBLE 2026:</w:t>
      </w:r>
      <w:r>
        <w:t xml:space="preserve"> Analyzing Well-Being Models: Their Evolution, Limitations, and Future Pathways — https://openalex.org/W7220250897</w:t>
      </w:r>
    </w:p>
    <w:p>
      <w:pPr/>
      <w:r>
        <w:rPr>
          <w:b/>
        </w:rPr>
        <w:t>Shared claim-specific concepts:</w:t>
      </w:r>
      <w:r>
        <w:t xml:space="preserve"> analyzing, pathways, original; EU scope not established. This is a provisional connection, not an outcome finding.</w:t>
      </w:r>
    </w:p>
    <w:p>
      <w:pPr>
        <w:pStyle w:val="SourceNote"/>
      </w:pPr>
      <w:r>
        <w:rPr>
          <w:b/>
        </w:rPr>
        <w:t>Available abstract (not full text):</w:t>
      </w:r>
      <w:r>
        <w:t xml:space="preserve"> This article critically examines the evolution, limitations, and future trajectories of well-being models from antiquity to contemporary discourse. Employing interdisciplinary synthesis and comparative analysis, the study traces well-being conceptualizations from Aristotelian eudaimonia and hedonic traditions through Enlightenment utilitarianism to modern frameworks including Ryff's Psychological Well-Being, Seligman's PERMA model, Self-Determination Theory, and ecological models. A central argument advanced is that dominant Western paradigms exhibit systematic biases—individualism, cultural reductionism, measurement fetishism, and commercial appropriation—that undermine their universal applicability. The article provides an original, mandatory deep analysis of the Islamic well-being paradigm grounded in Falāḥ, sakīnah, tazkiyah al-nafs, and Maqāṣid al-Sharīʿah, incorporating Qur'anic textual evidence and classical scholarship from Al-Ghazālī, Ibn Khaldūn, Shāh Walīullāh, and Ibn Taymiyyah. Methodological critiques address Western-centrism, digital-age mental health challenges, inequality, and ethical concerns surrounding happiness commodification. Future pathways propose holistic, cross-cultural, spiritually integrated models and policy frameworks for sustainable well-being. The article concludes with original theoretical contributions synthesizing Eastern and Western epistemo</w:t>
      </w:r>
    </w:p>
    <w:p>
      <w:pPr/>
      <w:r>
        <w:rPr>
          <w:b/>
        </w:rPr>
        <w:t>POSSIBLE 2025:</w:t>
      </w:r>
      <w:r>
        <w:t xml:space="preserve"> ‘They Take Our Healthcare’: Health and Attitudes towards Immigration in Europe — https://doi.org/10.1177/00104140251342932</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In this study, we extend the research on anti-immigrant attitudes by analyzing an overlooked factor: health. We develop a framework explaining why residents perceive competition for health services with immigrants. Using data from eleven rounds of the European Social Survey, covering 222,989 respondents in 30 European countries (2002–2023), we find a consistent association between poor health and anti-immigration attitudes. Three pathways—the belief that immigrants drain public services, diminished interpersonal trust, and distrust in political institutions—mediate this effect. The association holds across four measures of ill health, with propensity score matching to reduce selection bias and extensive robustness tests. We conclude that health is crucial for attitudes about immigration not only because of welfare chauvinism and resource competition but also because bad health makes people lose faith in each other and the system, intensifying their fear of losing access to vital health services, translating into hostility toward immigrants.</w:t>
      </w:r>
    </w:p>
    <w:p>
      <w:pPr/>
      <w:r>
        <w:rPr>
          <w:b/>
        </w:rPr>
        <w:t>POSSIBLE 2025:</w:t>
      </w:r>
      <w:r>
        <w:t xml:space="preserve"> Navigating the Crossroads: Analyzing China’s Middle East Policy in the Palestinian-Israeli Conflict Context — https://doi.org/10.1177/23477989241311334</w:t>
      </w:r>
    </w:p>
    <w:p>
      <w:pPr/>
      <w:r>
        <w:rPr>
          <w:b/>
        </w:rPr>
        <w:t>Shared claim-specific concepts:</w:t>
      </w:r>
      <w:r>
        <w:t xml:space="preserve"> analyzing, crossroads; EU scope not established. This is a provisional connection, not an outcome finding.</w:t>
      </w:r>
    </w:p>
    <w:p>
      <w:pPr>
        <w:pStyle w:val="SourceNote"/>
      </w:pPr>
      <w:r>
        <w:rPr>
          <w:b/>
        </w:rPr>
        <w:t>Available abstract (not full text):</w:t>
      </w:r>
      <w:r>
        <w:t xml:space="preserve"> Since the founding of the People’s Republic of China, its Middle East policy has undergone three stages: initial rise, elevated influence, and adjustment. With the outbreak of a new round of the Palestinian-Israeli conflict on October 7, 2023, the geopolitical landscape in the Middle East has significantly shifted, marked by deepening divisions within the Arab world, challenges to US strategy, and the expansion of China’s diplomatic space. This study explores how these changes impact China’s Middle East policy and analyzes how China responds to emerging challenges, including rising geopolitical risks, obstacles to bilateral economic cooperation, shifts in international public opinion, and the sustainability of its “balanced diplomacy” approach. China aims to maintain a balance between Palestine and Israel, promote regional stability, and advance economic cooperation. However, in light of new regional dynamics, this study proposes that China needs to adjust its policy by strengthening its engagement with international responsibilities, ensuring security and economic cooperation in parallel, and increasing foreign aid and public diplomacy. Moreover, China should innovate its public opinion management and information dissemination strategies to navigate the complex media environment. By analyzing these issues, this article will examine the direction of China’s Middle East policy a</w:t>
      </w:r>
    </w:p>
    <w:p>
      <w:pPr/>
      <w:r>
        <w:rPr>
          <w:b/>
        </w:rPr>
        <w:t>POSSIBLE 2025:</w:t>
      </w:r>
      <w:r>
        <w:t xml:space="preserve"> Economic Diplomacy at the Crossroads of Digitalization and Sustainability: A New Era of Policy Diversification — https://doi.org/10.2478/picbe-2025-0087</w:t>
      </w:r>
    </w:p>
    <w:p>
      <w:pPr/>
      <w:r>
        <w:rPr>
          <w:b/>
        </w:rPr>
        <w:t>Shared claim-specific concepts:</w:t>
      </w:r>
      <w:r>
        <w:t xml:space="preserve"> analyzing, shaped, crossroads; EU scope not established. This is a provisional connection, not an outcome finding.</w:t>
      </w:r>
    </w:p>
    <w:p>
      <w:pPr>
        <w:pStyle w:val="SourceNote"/>
      </w:pPr>
      <w:r>
        <w:rPr>
          <w:b/>
        </w:rPr>
        <w:t>Available abstract (not full text):</w:t>
      </w:r>
      <w:r>
        <w:t xml:space="preserve"> Abstract Economic diplomacy is now at the forefront of global policymaking, increasingly shaped by digital transformation and sustainability. In recent years, the United States has experienced significant changes driven by the contrasting approaches of the Trump and Biden administrations. Trump prioritized trade protectionism, deregulation, and technological advancement, while Biden focused on multilateral cooperation, sustainability, and Artificial Intelligence governance. With Trump’s return to office in 2025, economic diplomacy has shifted toward deregulated digital policies and a potential retreat from sustainability commitments. Existing research emphasizes the growing influence of digital platforms on public sentiment, yet many studies have focused on elections, overlooking the impact of key political events. This study addresses that gap by analyzing social media reactions to Trump’s 2025 inauguration, through a comprehensive sentiment analysis, using Machine Learning models. The results showed positive sentiments, surpassing negative and neutral reactions. Compared to election-period sentiment, the inauguration sparked more positive reactions, reflecting both symbolic optimism and expectations for economic and technological growth, while negative sentiments mainly focused on environmental concerns, revealing ongoing debates about the trade-offs between deregulation and </w:t>
      </w:r>
    </w:p>
    <w:p>
      <w:pPr/>
      <w:r>
        <w:rPr>
          <w:b/>
        </w:rPr>
        <w:t>POSSIBLE 2025:</w:t>
      </w:r>
      <w:r>
        <w:t xml:space="preserve"> Health in the climate crossroads : exploring the integration of health in climate policy and practice in Canada — https://openalex.org/W7116218288</w:t>
      </w:r>
    </w:p>
    <w:p>
      <w:pPr/>
      <w:r>
        <w:rPr>
          <w:b/>
        </w:rPr>
        <w:t>Shared claim-specific concepts:</w:t>
      </w:r>
      <w:r>
        <w:t xml:space="preserve"> four, crossroads; EU scope not established. This is a provisional connection, not an outcome finding.</w:t>
      </w:r>
    </w:p>
    <w:p>
      <w:pPr>
        <w:pStyle w:val="SourceNote"/>
      </w:pPr>
      <w:r>
        <w:rPr>
          <w:b/>
        </w:rPr>
        <w:t>Available abstract (not full text):</w:t>
      </w:r>
      <w:r>
        <w:t xml:space="preserve"> This doctoral thesis critically investigates the integration of health into climate adaptation policy and practice within the Canadian context. Through four empirical chapters, three of which have a particular focus on municipalities in British Columbia, it explores how health is understood, planned for, and acted upon in relation to climate change. This work is grounded in an analysis of interviews, planning documents, survey data, and a regional case study. Chapter 2 presents qualitative findings from interviews with local government leaders, examining their perceptions of climate-related health risks and their experiences with adaptation. It highlights governance gaps and calls for more multi-sectoral collaboration. Chapter 3 analyzes municipal climate action plans across British Columbia to assess how health is incorporated. While health risks are often acknowledged, the study finds limited integration of health systems or consideration of health co-benefits. The chapter recommends advancing a “Health in All Climate Policies” approach to strengthen cross-sector collaboration and public health responsiveness. In Chapter 4, survey data reveal that 23% of Canadians report experiencing physical health impacts from extreme weather events. Additionally, the survey shows that attitudes towards adaptation are influenced by a complex interplay of risk perception, health awareness, c</w:t>
      </w:r>
    </w:p>
    <w:p>
      <w:pPr/>
      <w:r>
        <w:rPr>
          <w:b/>
        </w:rPr>
        <w:t>POSSIBLE 2025:</w:t>
      </w:r>
      <w:r>
        <w:t xml:space="preserve"> Peer Review at the Crossroads — https://doi.org/10.31235/osf.io/b2ra3_v2</w:t>
      </w:r>
    </w:p>
    <w:p>
      <w:pPr/>
      <w:r>
        <w:rPr>
          <w:b/>
        </w:rPr>
        <w:t>Shared claim-specific concepts:</w:t>
      </w:r>
      <w:r>
        <w:t xml:space="preserve"> four, crossroads, high; EU scope not established. This is a provisional connection, not an outcome finding.</w:t>
      </w:r>
    </w:p>
    <w:p>
      <w:pPr>
        <w:pStyle w:val="SourceNote"/>
      </w:pPr>
      <w:r>
        <w:rPr>
          <w:b/>
        </w:rPr>
        <w:t>Available abstract (not full text):</w:t>
      </w:r>
      <w:r>
        <w:t xml:space="preserve"> Peer review has long been regarded as a cornerstone of scholarly communication, ensuring high quality and credibility of published research. However, its institutionalization in the mid-20th century contrasts sharply with the 300-year history of academic journals. By the early 21st century, there emerged an opinion that the conventional model of peer review faces systematic challenges, including inefficiency, bias, and institutional inertia. The study aims to synthesize the evolution, practices, and outcomes of both conventional and innovative peer review models in scholarly publishing. Through a mixed-methods approach combining interpretative literature review and process modeling (BPMN), it identifies four frameworks: pre-publication peer review, registered reports, modular publishing, and the Publish-Review-Curate (PRC) model. While the PRC model, which integrates preprints with post-publication review, demonstrates advantages in transparency and accessibility, no single approach emerges as universally ideal. The choice of model depends on disciplinary context, resource availability, and institutional priorities. The analysis underscores the need for adaptable platforms that enable hybrid workflows, balancing rigor with inclusivity. Future research must address empirical gaps in evaluating these innovations, particularly their long-term impact on equity and epistemic norms.</w:t>
      </w:r>
    </w:p>
    <w:p>
      <w:pPr/>
      <w:r>
        <w:rPr>
          <w:b/>
        </w:rPr>
        <w:t>POSSIBLE 2025:</w:t>
      </w:r>
      <w:r>
        <w:t xml:space="preserve"> Peer Review at the Crossroads — https://doi.org/10.31235/osf.io/b2ra3_v3</w:t>
      </w:r>
    </w:p>
    <w:p>
      <w:pPr/>
      <w:r>
        <w:rPr>
          <w:b/>
        </w:rPr>
        <w:t>Shared claim-specific concepts:</w:t>
      </w:r>
      <w:r>
        <w:t xml:space="preserve"> four, crossroads, high; EU scope not established. This is a provisional connection, not an outcome finding.</w:t>
      </w:r>
    </w:p>
    <w:p>
      <w:pPr>
        <w:pStyle w:val="SourceNote"/>
      </w:pPr>
      <w:r>
        <w:rPr>
          <w:b/>
        </w:rPr>
        <w:t>Available abstract (not full text):</w:t>
      </w:r>
      <w:r>
        <w:t xml:space="preserve"> Peer review has long been regarded as a cornerstone of scholarly communication, ensuring high quality and credibility of published research. However, its institutionalization in the mid-20th century contrasts sharply with the 300-year history of academic journals. By the early 21st century, there emerged an opinion that the conventional model of peer review faces systematic challenges, including inefficiency, bias, and institutional inertia. The study aims to synthesize the evolution, practices, and outcomes of both conventional and innovative peer review models in scholarly publishing. Through a mixed-methods approach combining interpretative literature review and process modeling (Business Process Model and Notation – BPMN), it identifies four frameworks: pre-publication peer review, registered reports, modular publishing, and the Publish-Review-Curate (PRC) model. While the PRC model, which integrates preprints with post-publication review, demonstrates advantages in transparency and accessibility, no single approach emerges as universally ideal. The choice of model depends on disciplinary context, resource availability, and institutional priorities. The analysis underscores the need for adaptable platforms that enable hybrid workflows, balancing rigor with inclusivity. Future research must address empirical gaps in evaluating these innovations, particularly their long-term </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four, pathways, until;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2025:</w:t>
      </w:r>
      <w:r>
        <w:t xml:space="preserve"> A diagnostic intercomparison of modeled ozone dry deposition over North America and Europe using AQMEII4 regional-scale simulations — https://doi.org/10.5194/acp-25-12629-2025</w:t>
      </w:r>
    </w:p>
    <w:p>
      <w:pPr/>
      <w:r>
        <w:rPr>
          <w:b/>
        </w:rPr>
        <w:t>Shared claim-specific concepts:</w:t>
      </w:r>
      <w:r>
        <w:t xml:space="preserve"> analyzing, four, pathways; EU scope visible. This is a provisional connection, not an outcome finding.</w:t>
      </w:r>
    </w:p>
    <w:p>
      <w:pPr>
        <w:pStyle w:val="SourceNote"/>
      </w:pPr>
      <w:r>
        <w:rPr>
          <w:b/>
        </w:rPr>
        <w:t>Available abstract (not full text):</w:t>
      </w:r>
      <w:r>
        <w:t xml:space="preserve"> This study analyzes ozone (O3) dry deposition fluxes and velocities (Vd) from twelve regional-scale simulations that were performed over North America and Europe in Phase 4 of the Air Quality Model Evaluation International Initiative (AQMEII4). AQMEII4 collected grid-aggregated and land use (LU)-specific O3 Vd and effective conductances and fluxes for the four major dry deposition pathways. Consistent with recent findings in the AQMEII4 point model intercomparison study, analysis of the grid-aggregated fields shows that grid models with similar Vd can exhibit significant differences in the absolute and relative contributions of the different depositional pathways. Analysis of LU-specific Vd and effective conductances reveals a general increase in model spread compared to grid-aggregated values. This indicates that an analysis of only grid-aggregated deposition diagnostics can mask process-specific differences that exist between schemes. An analysis of AQMEII4 LU distributions across models revealed substantial differences in the spatial patterns and abundance of certain LU categories over both domains, especially for non-forest partially vegetated categories such as agricultural areas, shrubland, and grassland. We demonstrate that these differences can significantly contribute to or even drive differences in LU-specific dry deposition fluxes which can increase the variability i</w:t>
      </w:r>
    </w:p>
    <w:p>
      <w:pPr/>
      <w:r>
        <w:rPr>
          <w:b/>
        </w:rPr>
        <w:t>POSSIBLE 2025:</w:t>
      </w:r>
      <w:r>
        <w:t xml:space="preserve"> Higher education at the crossroads: What it takes to lead in an era of disruption — https://doi.org/10.20448/ajssms.v12i1.6635</w:t>
      </w:r>
    </w:p>
    <w:p>
      <w:pPr/>
      <w:r>
        <w:rPr>
          <w:b/>
        </w:rPr>
        <w:t>Shared claim-specific concepts:</w:t>
      </w:r>
      <w:r>
        <w:t xml:space="preserve"> crossroads, achieve, inspire; EU scope not established. This is a provisional connection, not an outcome finding.</w:t>
      </w:r>
    </w:p>
    <w:p>
      <w:pPr>
        <w:pStyle w:val="SourceNote"/>
      </w:pPr>
      <w:r>
        <w:rPr>
          <w:b/>
        </w:rPr>
        <w:t>Available abstract (not full text):</w:t>
      </w:r>
      <w:r>
        <w:t xml:space="preserve"> This is the era of the industrial revolution; an era where disruptive technologies reign. Challenges within higher education have come to a crossroads due to disruptive technologies, 21st-century skills, globalization, and global competition. Thus, higher education needs to be redeveloped to improve the educational system in the era of disruption. The method used in this research is a qualitative method that consists of the study of literature in the field. The purpose of this research is to identify and analyze the disruptive technologies, such as artificial intelligence and virtual reality, that are challenging education and to rethink the way to design educational products, satisfy customers, and generate revenue for higher education to reap bottom-line benefits. To reinvent higher education, this research suggests that the management and the educators at higher education embrace a culture that promotes constant transformation, invest in manpower that will play a strategic role in managing disruption, and design workspaces that inspire creativity for the educators and the students as well as lead their innovation. This research incorporates the triple bottom line theory, introduced to measure performance. The theory's idea is to promote sustainability as well as gain profits from business ventures. Thus, higher education is to be viewed as a business venture, and its human c</w:t>
      </w:r>
    </w:p>
    <w:p>
      <w:pPr>
        <w:pStyle w:val="Heading2"/>
      </w:pPr>
      <w:r>
        <w:t>594. European carbon storage resource requirements of climate change mitigation targets</w:t>
      </w:r>
    </w:p>
    <w:p>
      <w:pPr>
        <w:pStyle w:val="SourceNote"/>
      </w:pPr>
      <w:r>
        <w:rPr>
          <w:b/>
        </w:rPr>
        <w:t>Original source (2021):</w:t>
      </w:r>
      <w:r>
        <w:t xml:space="preserve"> https://doi.org/10.1016/j.ijggc.2021.103568</w:t>
      </w:r>
    </w:p>
    <w:p>
      <w:pPr/>
      <w:r>
        <w:t>Original wording (abstract; indexed_source_text_not_full_document_verified): As a part of climate change mitigation plans in Europe, CO2 storage scenarios have been reported for the United Kingdom and the European Union with injection rates reaching 75 – 330 MtCO2 yr-1 by 2050. We further demonstrate the use of the models to define 2050 rate targets within conservative bounds of both growth rate and storage resource needs.</w:t>
      </w:r>
    </w:p>
    <w:p>
      <w:pPr/>
      <w:r>
        <w:rPr>
          <w:b/>
        </w:rPr>
        <w:t>POSSIBLE 2026:</w:t>
      </w:r>
      <w:r>
        <w:t xml:space="preserve"> Climate Impact of Optimizing ATM and ATC Procedures for Mitigating CO2 and Non-CO2 Emissions — https://doi.org/10.3390/cli14020040</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A comprehensive multidisciplinary review of recent advances in aviation emissions modeling methodologies and mitigation strategies through optimized in-flight operational procedures, and how they could be considered in evaluating their climatic impact is presented. With reference to the Terminal Maneuvering Area (TMA), the article critically examines current and emerging strategies, particularly those enabled by GNSS-based capabilities and Performance-Based Navigation (PBN), to enhance aircraft efficiency and reduce fuel consumption and associated chemical emissions. The study also explores the state-of-the-art methodologies for modeling both CO2 and non-CO2 emissions and addresses the problem of contrails formation, highlighting the main relevant aspects that can be useful for the definition of future mitigation strategies. Furthermore, it analyzes evolving optimization techniques aimed at real-time 4D trajectory planning able to consider the atmospheric conditions, with the overall objective of minimizing the aircraft environmental impact while in flight. Finally, the paper discusses suitable metrics for evaluating both short-term local air quality effects and long-term global climate implications, offering an integrated framework for sustainable aviation operations.</w:t>
      </w:r>
    </w:p>
    <w:p>
      <w:pPr/>
      <w:r>
        <w:rPr>
          <w:b/>
        </w:rPr>
        <w:t>POSSIBLE 2026:</w:t>
      </w:r>
      <w:r>
        <w:t xml:space="preserve"> Can a wealth tax reduce CO2 emissions in Europe? — https://doi.org/10.1016/j.ecolecon.2026.109231</w:t>
      </w:r>
    </w:p>
    <w:p>
      <w:pPr/>
      <w:r>
        <w:rPr>
          <w:b/>
        </w:rPr>
        <w:t>Shared claim-specific concepts:</w:t>
      </w:r>
      <w:r>
        <w:t xml:space="preserve"> climate, mitigation, co2, rates;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Climate plan for municipality of Utsjoki — https://openalex.org/W7152954980</w:t>
      </w:r>
    </w:p>
    <w:p>
      <w:pPr/>
      <w:r>
        <w:rPr>
          <w:b/>
        </w:rPr>
        <w:t>Shared claim-specific concepts:</w:t>
      </w:r>
      <w:r>
        <w:t xml:space="preserve"> climate, mitigation, targets; EU scope visible. This is a provisional connection, not an outcome finding.</w:t>
      </w:r>
    </w:p>
    <w:p>
      <w:pPr>
        <w:pStyle w:val="SourceNote"/>
      </w:pPr>
      <w:r>
        <w:rPr>
          <w:b/>
        </w:rPr>
        <w:t>Available abstract (not full text):</w:t>
      </w:r>
      <w:r>
        <w:t xml:space="preserve"> This thesis developed a climate plan for the municipality of Utsjoki in northern Finland. The objective was to support the local climate mitigation work by analysing the municipality’s greenhouse gas emissions, defining emission reduction targets, identifying mitigation measures that reflect the conditions of a small Arctic municipality and setting up a monitoring plan for the climate mitigation work. The work responds to the growing need for climate planning in small rural municipalities, where resources for climate action are often limited but climate change impacts are increasingly visible. The thesis applied an action research approach where the research process combined quantitative emissions data analysis with qualitative research methods to strengthen local ownership of climate action. A workshop and a climate survey targeted at residents were used for generating ideas for emission reduction measures and for engaging the community in climate work. Climate scenarios were utilized to assess the feasibility of different emissions reduction targets. The thesis demonstrates that small municipalities are often dependent on national and EU-level legislation and regulation to achieve emission reductions. However, locally relevant climate mitigation actions can still be advanced through participatory approaches and by building local partnerships and networks that support the impl</w:t>
      </w:r>
    </w:p>
    <w:p>
      <w:pPr/>
      <w:r>
        <w:rPr>
          <w:b/>
        </w:rPr>
        <w:t>POSSIBLE 2026:</w:t>
      </w:r>
      <w:r>
        <w:t xml:space="preserve"> Potential for Expanding Sorghum Production in Europe in the Face of Climate Change — https://doi.org/10.1029/2025ef007503</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Abstract Today, sorghum is a minor crop in Europe cultivated on only ~0.1% of the cropland area. Nonetheless, sorghum is of growing interest due to its high heat tolerance compared to other crops and better adaptation to future hot and dry summers. In this study, we investigated the feasibility of expanding sorghum cultivation in Europe under current and future climatic conditions. We also explored the possibility of replacing maize with locally-produced sorghum for feeding livestock. To this end, we developed a machine-learning model that predicts sorghum yields from high-resolution climate data. The model was trained on historical sorghum yield data collected at the county level in France, Italy, Spain, and the USA. Then, we used the model to predict sorghum yields for current and future climate conditions, following different climate change scenarios. In almost all scenarios, sorghum yields decreased by up to -1.5 t ha-1 in the southern part of Europe but increased substantially by up to + 3 t ha-1 in the northern part of Europe by end-of-century. We found that at least 90% of maize currently used to feed livestock could be replaced by sorghum in Europe if grown in one out of three years. These results provide valuable information for improving feed security in Europe in the face of climate change.</w:t>
      </w:r>
    </w:p>
    <w:p>
      <w:pPr/>
      <w:r>
        <w:rPr>
          <w:b/>
        </w:rPr>
        <w:t>POSSIBLE 2026:</w:t>
      </w:r>
      <w:r>
        <w:t xml:space="preserve"> The DLR CO2-equivalent estimator FlightClim v1.0: an easy-to-use estimation of per flight CO2 and non-CO2 climate effects — https://doi.org/10.5194/gmd-19-3551-2026</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As aviation’s contribution to anthropogenic climate change is increasing, the sector aims at reducing its climate effect in accordance with international agreements. The strong and variable non-CO2 effects are complex, making reliable Climate effect quantification a necessary first step. To support this, we develop the easy-to-use first-order climate effect estimator for single flights FlightClim v1.0. The tool estimates the flight-specific climate effect with a simplified calculation model, without requiring detailed information on exact routing, amount of fuel burn, or weather conditions. For this purpose, we first analyze a global flight dataset containing detailed trajectories, associated flight emissions, and climate responses. Similar flights are grouped into clusters, and regression formulas are derived to estimate the Average Temperature Response over 100 years (ATR100) for CO2 and non-CO2 effects. To prevent abrupt changes at cluster boundaries, we apply linear smoothing as postprocessing. Second, we compare a Multiple and Symbolic Regression approach, which differ in effort and complexity but offer similar estimation quality. The choice of method depends on the specific application. Both methods are designed for climate footprint assessments due to their simplicity though not suitable for policy measures. Emission trading or monitoring and reporting systems instead re</w:t>
      </w:r>
    </w:p>
    <w:p>
      <w:pPr/>
      <w:r>
        <w:rPr>
          <w:b/>
        </w:rPr>
        <w:t>POSSIBLE 2026:</w:t>
      </w:r>
      <w:r>
        <w:t xml:space="preserve"> Energy and CO2 Footprint of Climate Model Intercomparison Projects — https://doi.org/10.48550/arxiv.2608.23509</w:t>
      </w:r>
    </w:p>
    <w:p>
      <w:pPr/>
      <w:r>
        <w:rPr>
          <w:b/>
        </w:rPr>
        <w:t>Shared claim-specific concepts:</w:t>
      </w:r>
      <w:r>
        <w:t xml:space="preserve"> climate, co2, reported, use; EU scope not established. This is a provisional connection, not an outcome finding.</w:t>
      </w:r>
    </w:p>
    <w:p>
      <w:pPr>
        <w:pStyle w:val="SourceNote"/>
      </w:pPr>
      <w:r>
        <w:rPr>
          <w:b/>
        </w:rPr>
        <w:t>Available abstract (not full text):</w:t>
      </w:r>
      <w:r>
        <w:t xml:space="preserve"> Earth System Models (ESMs) rely heavily on High-Performance Computing (HPC) resources to simulate global climate. As these models evolve, their computational demands continue to grow, driven by three factors: (1) finer spatial grid resolutions, (2) the integration of complex biogeochemical processes (e.g., atmospheric chemistry, interactive vegetation, land use, and ice sheets), and (3) larger climate ensembles to manage uncertainty. Historically, growth in peak computing performance (FLOP/s) has outpaced improvements in energy efficiency (FLOP/Watt), increasing total HPC power consumption. Despite the central role of Model Intercomparison Projects (MIPs) in climate research, quantifying their computational and environmental costs has received limited systematic attention. This paper examines the evolution of climate model carbon accounting from voluntary post-hoc estimation in the Coupled Model Intercomparison Project phase 6 (CMIP6) to standardized accounting under the newly established CMIP7 Task Team on Energy Consumption. Using high-resolution Destination Earth simulations on MareNostrum 5, we empirically evaluate how different accounting boundaries (operational, active-only, and embodied carbon) impact reported energy, carbon emissions, and financial costs. Finally, we outline key methodological considerations for standardizing energy and carbon accounting for Model Inter</w:t>
      </w:r>
    </w:p>
    <w:p>
      <w:pPr/>
      <w:r>
        <w:rPr>
          <w:b/>
        </w:rPr>
        <w:t>POSSIBLE 2025:</w:t>
      </w:r>
      <w:r>
        <w:t xml:space="preserve"> LOW-CARBON SOLUTIONS INTRODUCED IN EUROPEAN CITIES AS PART OF CLIMATE CHANGE ADAPTATION — https://doi.org/10.5604/01.3001.0055.5451</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Contemporary societies are facing progressive climate change due to economic development. Forthis reason, the authorities of leading European cities are implementing policies and strategies toprepare urban organisms for climate change and to counteract it. Given the topicality of the issue,this article presents and evaluates low-carbon measures taken in selected European cities in thecontext of climate change adaptation. The analysis covers publications/strategies on climate changeadaptation adopted in Berlin, Copenhagen, Oslo, Prague and Wrocław, and explores air qualitytrends in selected cities. The results indicate a systematic improvement in air quality in all the citiesanalysed, particularly in terms of the reduction of particulate matter and nitrogen oxides. Thegreatest progress has been made in Copenhagen and Oslo, which are consistently pursuing climateneutrality goals, while Wrocław and Prague still have higher emission levels, although positivedownward trends are observed. The analysis confirms that the effectiveness of low-carbon policiesdepends on their integrated nature, covering the energy, transport and spatial sectors, as well as onthe active involvement of local communities. The results of the study emphasise the importance ofcooperation between cities in implementing the objectives of the European Green Deal and strivingto achieve climate neutrality by 2050.</w:t>
      </w:r>
    </w:p>
    <w:p>
      <w:pPr/>
      <w:r>
        <w:rPr>
          <w:b/>
        </w:rPr>
        <w:t>POSSIBLE 2025:</w:t>
      </w:r>
      <w:r>
        <w:t xml:space="preserve"> Modeling of Hydrodynamic Processes of the Estuaries of the European Part of the Russian Arctic under Possible Climate Changes — https://doi.org/10.1134/s0097807824701434</w:t>
      </w:r>
    </w:p>
    <w:p>
      <w:pPr/>
      <w:r>
        <w:rPr>
          <w:b/>
        </w:rPr>
        <w:t>Shared claim-specific concepts:</w:t>
      </w:r>
      <w:r>
        <w:t xml:space="preserve"> part, climate, use; EU scope visible. This is a provisional connection, not an outcome finding.</w:t>
      </w:r>
    </w:p>
    <w:p>
      <w:pPr>
        <w:pStyle w:val="SourceNote"/>
      </w:pPr>
      <w:r>
        <w:rPr>
          <w:b/>
        </w:rPr>
        <w:t>Available abstract (not full text):</w:t>
      </w:r>
      <w:r>
        <w:t xml:space="preserve"> Abstract Possible scenarios of climate change impact on hydrodynamic processes in the estuaries of the Northern Dvina, Onega, and Pechora are considered. For this purpose, hydrodynamic models of estuarine areas previously developed by the authors in the STREAM 2D, HEC-RAS, and Delft3D software packages were used, for which various variants of sea level changes obtained from the global climate models GFDL-ESM2M, IPSL-CM5A-LR, HadGEM2-ES, MIROC-ESM-CHEM were set as the lower boundary condition. As the upper boundary conditions, water discharges in the outlet sections of river basins, calculated using the ECOMAG runoff formation model for conditions of changed climate, based on the data of the same climate models were set. Based on ensemble simulations, two main trends in changes in estuarine hydrodynamic factors were identified and analyzed: the sea level rise and the river runoff decrease. Scenarios of spring floods and summer–autumn low water seasons corresponding to different combinations of boundary conditions for the historical period are modeled, as well as for the most probable and most unfavorable hydrometeorological conditions of the mid-21st century. Possible changes in the flow characteristics and their impact on various aspects of hydroecological safety and the use of water resources in the estuarial areas under the study have been analyzed.</w:t>
      </w:r>
    </w:p>
    <w:p>
      <w:pPr/>
      <w:r>
        <w:rPr>
          <w:b/>
        </w:rPr>
        <w:t>POSSIBLE 2025:</w:t>
      </w:r>
      <w:r>
        <w:t xml:space="preserve"> Climate Change 2022: Impacts, Adaptation and Vulnerability — https://doi.org/10.1163/9789004322714_cclc_2022-0258-0930</w:t>
      </w:r>
    </w:p>
    <w:p>
      <w:pPr/>
      <w:r>
        <w:rPr>
          <w:b/>
        </w:rPr>
        <w:t>Shared claim-specific concepts:</w:t>
      </w:r>
      <w:r>
        <w:t xml:space="preserve"> part, climate; EU scope visible. This is a provisional connection, not an outcome finding.</w:t>
      </w:r>
    </w:p>
    <w:p>
      <w:pPr>
        <w:pStyle w:val="SourceNote"/>
      </w:pPr>
      <w:r>
        <w:rPr>
          <w:b/>
        </w:rPr>
        <w:t>Available abstract (not full text):</w:t>
      </w:r>
      <w:r>
        <w:t xml:space="preserve"> Summary for policymakers Technical summary Part I. Setting the Stage for Impact, Adaptation, and Vulnerability Assessment: 1. Overview 2. Methods and tools 3. Development and application of scenarios in Climate Change Impact, Adaptation, and Vulnerability Assessment Part II. Sectors and Systems: Impacts, Adaptation, and Vulnerability: 4. Hydrology and water resources 5. Natural and managed ecosystems 6. Coastal zones and marine ecosystems 7. Energy, industry, and settlements 8. Financial services 9. Human health Part III. Regional Analyses: Impacts, Adaptation, and Vulnerability: 10. Africa 11. Asia 12. Australasia 13. Europe 14. Latin America 15. North America 16. Polar regions (Arctic and Antarctic) 17. Small island states Part IV. Global Issues and Synthesis: 18. Adaptation to climate change in the context of sustainable development and equity 19. Synthesis and integration of impacts, adaptation, and vulnerability Index.</w:t>
      </w:r>
    </w:p>
    <w:p>
      <w:pPr/>
      <w:r>
        <w:rPr>
          <w:b/>
        </w:rPr>
        <w:t>POSSIBLE 2025:</w:t>
      </w:r>
      <w:r>
        <w:t xml:space="preserve"> Optimizing ATM and ATC Procedures for Mitigating CO2 and Non-CO2 Emissions: The Role of Climate Impact Metrics — https://doi.org/10.20944/preprints202510.0967.v1</w:t>
      </w:r>
    </w:p>
    <w:p>
      <w:pPr/>
      <w:r>
        <w:rPr>
          <w:b/>
        </w:rPr>
        <w:t>Shared claim-specific concepts:</w:t>
      </w:r>
      <w:r>
        <w:t xml:space="preserve"> climate, mitigation, co2; EU scope not established. This is a provisional connection, not an outcome finding.</w:t>
      </w:r>
    </w:p>
    <w:p>
      <w:pPr>
        <w:pStyle w:val="SourceNote"/>
      </w:pPr>
      <w:r>
        <w:rPr>
          <w:b/>
        </w:rPr>
        <w:t>Available abstract (not full text):</w:t>
      </w:r>
      <w:r>
        <w:t xml:space="preserve"> This paper presents a comprehensive multidisciplinary review of recent advancements about the aviation emissions modeling methodologies and the related mitigation strategies through optimized in-flight operational procedures. With reference to the Terminal Manoeuvring Area (TMA), it critically examines current and emerging strategies, particularly those enabled by GNSS-based capabilities and Performance Based Navigation (PBN), to enhance aircraft efficiency and reduce fuel consumption and associated chemical emissions. The study also explores the state-of-the-art methodologies for modeling both CO₂ and non-CO₂ emissions and addresses the problem of contrails formation, highlighting the main relevant aspects that can be useful for the definition of future mitigation strategies. Furthermore, it analyzes evolving optimization techniques aimed at real-time 4D trajectory planning able to take into account the atmospheric conditions, with the overall objective of minimizing the aircraft environmental impact while in flight. Finally, the paper discusses suitable metrics for evaluating both short-term local air quality effects and long-term global climate implications, offering an integrated framework for sustainable aviation operations.</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climate, reported;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Economic Analysis of Fossil CO2 Emissions: A European Perspective on Sustainable Development — https://doi.org/10.3390/en18082106</w:t>
      </w:r>
    </w:p>
    <w:p>
      <w:pPr/>
      <w:r>
        <w:rPr>
          <w:b/>
        </w:rPr>
        <w:t>Shared claim-specific concepts:</w:t>
      </w:r>
      <w:r>
        <w:t xml:space="preserve"> climate, mitigation, co2, union, use; EU scope visible. This is a provisional connection, not an outcome finding.</w:t>
      </w:r>
    </w:p>
    <w:p>
      <w:pPr>
        <w:pStyle w:val="SourceNote"/>
      </w:pPr>
      <w:r>
        <w:rPr>
          <w:b/>
        </w:rPr>
        <w:t>Available abstract (not full text):</w:t>
      </w:r>
      <w:r>
        <w:t xml:space="preserve"> The economic assessment of CO2 emissions from fossil fuels is gaining importance in the context of sustainable development. Climate change, driven by excessive greenhouse gas emissions, poses a significant threat to humanity, requiring an integrated approach that considers both environmental and economic factors. The European Union (EU) plays a key role in global efforts to reduce CO2 emissions and promote sustainability. This study explores economic approaches to analyzing CO2 emissions in Europe, focusing on trends in fossil fuel use and their economic drivers. The research highlights the connection between economic activity, energy consumption, and emissions, contributing to a better understanding of climate change mitigation strategies. The findings emphasize the strong influence of demographic factors on carbon emissions, stressing the need for targeted policies to address the environmental impact of population growth. This study presents a literature-based assessment of CO2 emissions from fossil fuel consumption in the context of sustainable development, with a focus on Europe. Recognizing the urgent threat posed by climate change, the paper explores how economic and demographic factors influence emissions trends and energy consumption. Through the synthesis of recent research and statistical data, it examines the relationship between economic activity and CO2 emissions a</w:t>
      </w:r>
    </w:p>
    <w:p>
      <w:pPr>
        <w:pStyle w:val="Heading2"/>
      </w:pPr>
      <w:r>
        <w:t>595. European cephalopods distribution under climate-change scenarios</w:t>
      </w:r>
    </w:p>
    <w:p>
      <w:pPr>
        <w:pStyle w:val="SourceNote"/>
      </w:pPr>
      <w:r>
        <w:rPr>
          <w:b/>
        </w:rPr>
        <w:t>Original source (2021):</w:t>
      </w:r>
      <w:r>
        <w:t xml:space="preserve"> https://doi.org/10.1038/s41598-021-83457-w</w:t>
      </w:r>
    </w:p>
    <w:p>
      <w:pPr/>
      <w:r>
        <w:t>Original wording (abstract; indexed_source_text_not_full_document_verified): Conversely, we projected a rapidly increasing environmental suitability in the North, Norwegian and Baltic Seas for all species. Despite their major economical (i.e. important fisheries) and ecological (i.e. central position in food-webs) importance, cephalopods literature rarely addresses an explicit understanding of their current distribution and the potential effect that climate change may induce in the following decades.</w:t>
      </w:r>
    </w:p>
    <w:p>
      <w:pPr/>
      <w:r>
        <w:rPr>
          <w:b/>
        </w:rPr>
        <w:t>POSSIBLE 2026:</w:t>
      </w:r>
      <w:r>
        <w:t xml:space="preserve"> A new investigation of the Permian Leman Sandstone Formation: suitability for underground hydrogen storage in the Rough field, Southern North Sea, UK — https://doi.org/10.1144/geoenergy2025-035</w:t>
      </w:r>
    </w:p>
    <w:p>
      <w:pPr/>
      <w:r>
        <w:rPr>
          <w:b/>
        </w:rPr>
        <w:t>Shared claim-specific concepts:</w:t>
      </w:r>
      <w:r>
        <w:t xml:space="preserve"> suitability, north, despite, importance; EU scope not established. This is a provisional connection, not an outcome finding.</w:t>
      </w:r>
    </w:p>
    <w:p>
      <w:pPr>
        <w:pStyle w:val="SourceNote"/>
      </w:pPr>
      <w:r>
        <w:rPr>
          <w:b/>
        </w:rPr>
        <w:t>Available abstract (not full text):</w:t>
      </w:r>
      <w:r>
        <w:t xml:space="preserve"> The Rough field in the Southern Permian Basin was originally a producing gas field, later repurposed for natural gas storage and now a target to be the largest hydrogen storage site in the UK. Despite this, few past studies have investigated the facies and mineralogy present in the sandstone reservoir, which is imperative to ascertain its suitability for hydrogen storage. We present new petrographic and facies characterizations of the Permian Leman Sandstone Formation, using core from the Rough field. Our detailed analyses include core logging, SEM-EDX and XRD analyses. This research provides a new reservoir characterization and introduces novel reservoir facies classifications supported by detailed petrography. We identify four facies associations – aeolian, fluvial, sheetflood and floodplain – and find that each facies within the reservoir possesses different minerology. Certain minerals within these facies have the potential to react with hydrogen in some way, causing the potential production of hydrogen sulfide, dissolution and reprecipitation of carbonate minerals and clay mineral transformations. These reactions are dependent on mineralogy and abundance, which varies throughout the mixed heterogeneous facies. After evaluating the petrography and potential mineral reactions, we conclude that the Rough field has potential to be a suitable hydrogen storage site, but there is</w:t>
      </w:r>
    </w:p>
    <w:p>
      <w:pPr/>
      <w:r>
        <w:rPr>
          <w:b/>
        </w:rPr>
        <w:t>POSSIBLE 2026:</w:t>
      </w:r>
      <w:r>
        <w:t xml:space="preserve"> Developments in the European parasitoid community of Dryocosmus kuriphilus — https://doi.org/10.64898/2026.09.01.748543</w:t>
      </w:r>
    </w:p>
    <w:p>
      <w:pPr/>
      <w:r>
        <w:rPr>
          <w:b/>
        </w:rPr>
        <w:t>Shared claim-specific concepts:</w:t>
      </w:r>
      <w:r>
        <w:t xml:space="preserve"> rapidly, increasing, species, major, important, ecological; EU scope visible. This is a provisional connection, not an outcome finding.</w:t>
      </w:r>
    </w:p>
    <w:p>
      <w:pPr>
        <w:pStyle w:val="SourceNote"/>
      </w:pPr>
      <w:r>
        <w:rPr>
          <w:b/>
        </w:rPr>
        <w:t>Available abstract (not full text):</w:t>
      </w:r>
      <w:r>
        <w:t xml:space="preserve"> Abstract The invasive gallwasp Dryocosmus kuriphilus was first detected in Italy in 2002, although likely to have initially arrived in the late 90s. Its ability to utilise sweet chestnut species non-native to its original Chinese range has allowed it to spread rapidly, and throughout Europe via European sweet chestnut Castanea sativa . Given the severity of its impact on C. sativa crop production, particularly in Mediterranean countries, previous studies have aimed to assess damage levels caused by D. kuriphilus, the efficacy of and potential non-target effects of the introduced biocontrol agent Torymus sinensis, and the possibility of regulation by native parasitoids. As yet a broad overview and analytical synthesis of these native parasitoid communities are absent. This review focuses on important aspects of the D. kuriphilus invasion. In particular, the invasion history and currently known distribution of D. kuriphilus , and several aspects of its associated parasitoid community. For native species to plausibly supress D. kuriphilus , we might expect rates of parasitoid attack to increase with establishment time as native populations adapt to exploit the new resource, and this is a key focus of the review. We answer the following questions: 1) What is the distribution of D. kuriphilus in Europe, and has D. kuriphilus fully utilised the available niche space within its 20+ ye</w:t>
      </w:r>
    </w:p>
    <w:p>
      <w:pPr/>
      <w:r>
        <w:rPr>
          <w:b/>
        </w:rPr>
        <w:t>POSSIBLE 2025:</w:t>
      </w:r>
      <w:r>
        <w:t xml:space="preserve"> Arterial hypertension–attributable mortality in Europe: implications for the Americas — https://doi.org/10.1097/hjh.0000000000004190</w:t>
      </w:r>
    </w:p>
    <w:p>
      <w:pPr/>
      <w:r>
        <w:rPr>
          <w:b/>
        </w:rPr>
        <w:t>Shared claim-specific concepts:</w:t>
      </w:r>
      <w:r>
        <w:t xml:space="preserve"> conversely, increasing, all, despite, importance; EU scope visible. This is a provisional connection, not an outcome finding.</w:t>
      </w:r>
    </w:p>
    <w:p>
      <w:pPr>
        <w:pStyle w:val="SourceNote"/>
      </w:pPr>
      <w:r>
        <w:rPr>
          <w:b/>
        </w:rPr>
        <w:t>Available abstract (not full text):</w:t>
      </w:r>
      <w:r>
        <w:t xml:space="preserve"> Hypertension remains the leading modifiable risk factor for cardiovascular morbidity and mortality worldwide, accounting for over 10 million deaths annually [1]. In this issue, Zuin et al. present a population-level analysis of 30 European countries between 2012 and 2021, reporting more than 1.6 million hypertension-attributable deaths. During this period, the age-adjusted mortality rate (AAMR) increased by 1.6% per year. Lest one think this might be driven solely by a change in population demographics, especially ageing, Zuin et al. conducted a stratified analysis showing the steady increase in all strata, albeit with steeper rises among adults aged ≥70 years. There were no dramatic differences by sex either, with parallel increases in both groups. Some regional differences are notable, with mortality increased in Northern and particularly Eastern Europe, whereas trends plateaued in Western and Southern countries, underscoring persistent heterogeneity across the continent. While the tremendous global efforts to reduce hypertension are commendable, these findings are nonetheless deeply concerning and disheartening, given that hypertension is straightforward to diagnose and that effective, accessible therapies are widely available. The field has progressed quite steadily through the years, with the widespread advent of home blood pressure (BP) devices and the guidance provided b</w:t>
      </w:r>
    </w:p>
    <w:p>
      <w:pPr/>
      <w:r>
        <w:rPr>
          <w:b/>
        </w:rPr>
        <w:t>POSSIBLE 2025:</w:t>
      </w:r>
      <w:r>
        <w:t xml:space="preserve"> Climate-induced habitat suitability modelling for pelagic fish in European seas — https://doi.org/10.3389/fmars.2025.1501751</w:t>
      </w:r>
    </w:p>
    <w:p>
      <w:pPr/>
      <w:r>
        <w:rPr>
          <w:b/>
        </w:rPr>
        <w:t>Shared claim-specific concepts:</w:t>
      </w:r>
      <w:r>
        <w:t xml:space="preserve"> environmental, suitability, north, baltic, seas, all; EU scope visible. This is a provisional connection, not an outcome finding.</w:t>
      </w:r>
    </w:p>
    <w:p>
      <w:pPr>
        <w:pStyle w:val="SourceNote"/>
      </w:pPr>
      <w:r>
        <w:rPr>
          <w:b/>
        </w:rPr>
        <w:t>Available abstract (not full text):</w:t>
      </w:r>
      <w:r>
        <w:t xml:space="preserve"> Pelagic fish species, including Clupea harengus (Atlantic herring), Scomber scombrus (Atlantic mackerel) and Dicentrarchus labrax (European seabass), are integral to the ecological stability of European marine ecosystems. This study employs a mechanistic niche modelling approach to predict the distribution of these key pelagic species in European seas and to assess the impact of predicted changes in climate conditions on their suitable habitat range. By using fuzzy logic principles and mathematical descriptions of species’ niches, we analysed responses to changing temperature and salinity using climate prediction data from six Shared Socioeconomic Pathways (SSP) scenarios, predicting habitat suitability from the present (2010-2019) until 2100. Under the worst-case temperature climate scenario, all three species exhibited a consistent northward shift of suitable habitats by 2100. Specifically, the suitable habitat for C. harengus, S. scombrus and D. labrax is projected to shift approximately 638 km, 799 km and 13 km north, respectively. The independent contributions of temperature and salinity indicate a distinction in habitat suitability between northern European waters and the Mediterranean Sea, with higher suitability scores in the north. For example, by 2100, the habitat suitability index for non-spawning Atlantic herring in the North Atlantic Ocean is projected to be 0.63 ±</w:t>
      </w:r>
    </w:p>
    <w:p>
      <w:pPr/>
      <w:r>
        <w:rPr>
          <w:b/>
        </w:rPr>
        <w:t>POSSIBLE 2025:</w:t>
      </w:r>
      <w:r>
        <w:t xml:space="preserve"> Impact of emerging packaging regulations on international trade and product safety with emphasis on plastic reuse and recycling in Europe and North America — https://doi.org/10.1111/jiec.70079</w:t>
      </w:r>
    </w:p>
    <w:p>
      <w:pPr/>
      <w:r>
        <w:rPr>
          <w:b/>
        </w:rPr>
        <w:t>Shared claim-specific concepts:</w:t>
      </w:r>
      <w:r>
        <w:t xml:space="preserve"> environmental, north, despite; EU scope visible. This is a provisional connection, not an outcome finding.</w:t>
      </w:r>
    </w:p>
    <w:p>
      <w:pPr>
        <w:pStyle w:val="SourceNote"/>
      </w:pPr>
      <w:r>
        <w:rPr>
          <w:b/>
        </w:rPr>
        <w:t>Available abstract (not full text):</w:t>
      </w:r>
      <w:r>
        <w:t xml:space="preserve"> Abstract The evolving global landscape of packaging regulations, driven by heightened public concern over single‐use packaging and plastic waste, signals a significant shift toward circular economy principles. These regulatory changes, including the United Nations Environmental Programme's endorsement of a legally binding international agreement on plastic waste management, are expected to have far‐reaching impacts on product safety, packaging design, and global trade. The newly adopted and emerging policies prioritize waste reduction, reuse, recycling, and the integration of recycled materials. However, the rapid introduction of environmentally driven packaging regulations—especially those targeting sensitive sectors like food and cosmetics—presents potential risks for product/packaging safety and food waste, alongside challenges for trade harmonization across regions with divergent regulatory goals. This forum article reviews key regulatory frameworks from Asia, Europe, and the Americas, detailing material bans, reuse and refill targets, recycling mandates, and extended producer responsibility initiatives. It examines the potential impact of these regulations on global trade dynamics and their implications for universally accepted safety standards. Despite the well‐meaning intent behind these laws, gaps in understanding the protective role of packaging and its broader environ</w:t>
      </w:r>
    </w:p>
    <w:p>
      <w:pPr/>
      <w:r>
        <w:rPr>
          <w:b/>
        </w:rPr>
        <w:t>POSSIBLE 2025:</w:t>
      </w:r>
      <w:r>
        <w:t xml:space="preserve"> Assessment of the climatic suitability for invasive agricultural insect pests in a warming Europe based on Köppen-Geiger classification — https://doi.org/10.1127/entomologia/3551</w:t>
      </w:r>
    </w:p>
    <w:p>
      <w:pPr/>
      <w:r>
        <w:rPr>
          <w:b/>
        </w:rPr>
        <w:t>Shared claim-specific concepts:</w:t>
      </w:r>
      <w:r>
        <w:t xml:space="preserve"> suitability, species, importance; EU scope visible. This is a provisional connection, not an outcome finding.</w:t>
      </w:r>
    </w:p>
    <w:p>
      <w:pPr>
        <w:pStyle w:val="SourceNote"/>
      </w:pPr>
      <w:r>
        <w:rPr>
          <w:b/>
        </w:rPr>
        <w:t>Available abstract (not full text):</w:t>
      </w:r>
      <w:r>
        <w:t xml:space="preserve"> Climate change can modify suitable areas for the establishment of harmful insect species in Europe, thus leading to a geographical shift of pest establishment areas.This paper aims to analyse the potential impact of future climate change on the climatic suitability areas of 14 invasive agricultural insect species in Europe.The approach is based on pest occurrence data and Köppen-Geiger (KG) climate classification.Depending on data availability, occurrence data were extracted from one/two types of open-access datasets, and the sensitivity of the results to different pest occurrence datasets was analysed.The KG maps under present (1991-2020) climate conditions and three future (2071-2099) climate change scenarios ('low-emissions', 'middle-of-the-road', 'high-emissions') were used successively to identify the KG classes where each pest was recorded present.These classes were then used to determine the potential climatic suitability of Europe for each insect species under current and future climate conditions, and identify possible shifts in suitable areas resulting from climate change.Results show that overall, the climatic suitability areas are likely to expand in Europe for most of the 14 insect species due to future climate change, and that the increase level would be higher under the 'high-emissions' and 'middle-of-the-road' scenarios than under the 'low-emissions' scenario.In</w:t>
      </w:r>
    </w:p>
    <w:p>
      <w:pPr/>
      <w:r>
        <w:rPr>
          <w:b/>
        </w:rPr>
        <w:t>POSSIBLE 2025:</w:t>
      </w:r>
      <w:r>
        <w:t xml:space="preserve"> Expanding habitat suitability under changing climate and land use may drive rapid expansion of Russell’s viper (Daboia russelii) in Bangladesh — https://doi.org/10.3897/herpetozoa.38.e143411</w:t>
      </w:r>
    </w:p>
    <w:p>
      <w:pPr/>
      <w:r>
        <w:rPr>
          <w:b/>
        </w:rPr>
        <w:t>Shared claim-specific concepts:</w:t>
      </w:r>
      <w:r>
        <w:t xml:space="preserve"> increasing, environmental, suitability, species, despite, important; EU scope not established. This is a provisional connection, not an outcome finding.</w:t>
      </w:r>
    </w:p>
    <w:p>
      <w:pPr>
        <w:pStyle w:val="SourceNote"/>
      </w:pPr>
      <w:r>
        <w:rPr>
          <w:b/>
        </w:rPr>
        <w:t>Available abstract (not full text):</w:t>
      </w:r>
      <w:r>
        <w:t xml:space="preserve"> Eco-climatic and other environmental gradients significantly influence the geographic distribution of reptiles. In Bangladesh, the known range of Russell’s viper (Daboia russelii) has expanded extensively in recent decades. Using species distribution modelling, we analysed habitat suitability, dispersal pathways, interspecific competition, and population dynamics to explore the drivers behind this phenomenon. Our findings indicate a five-fold increase in climatically suitable area (76,716 km²) since 2015, attributed to higher cold-season temperatures and increased dry-season precipitation, facilitating the viper’s spread into previously unoccupied regions. The rapid dispersal of these snakes may have benefited from the strong currents of rivers, channels and seasonal waterways, and flat floodplain terrain. Additionally, the extension of agricultural and grassy habitats in new regions has provided abundant rodent prey and minimal predator or competitor pressures, creating ideal conditions for population growth. We also observed a female-biased population structure and large clutch sizes which may have further accelerated reproduction, contributed to rapid population expansion. In rural Bangladesh, where clinicians face multiple problems with the management of Russell’s viper envenoming, increasingly frequent human encounters with this highly dangerous snake have caused great pub</w:t>
      </w:r>
    </w:p>
    <w:p>
      <w:pPr/>
      <w:r>
        <w:rPr>
          <w:b/>
        </w:rPr>
        <w:t>POSSIBLE 2025:</w:t>
      </w:r>
      <w:r>
        <w:t xml:space="preserve"> Population genomics and molecular epidemiology of wheat powdery mildew in Europe — https://doi.org/10.1371/journal.pbio.3003097</w:t>
      </w:r>
    </w:p>
    <w:p>
      <w:pPr/>
      <w:r>
        <w:rPr>
          <w:b/>
        </w:rPr>
        <w:t>Shared claim-specific concepts:</w:t>
      </w:r>
      <w:r>
        <w:t xml:space="preserve"> conversely, rapidly, north, major; EU scope visible. This is a provisional connection, not an outcome finding.</w:t>
      </w:r>
    </w:p>
    <w:p>
      <w:pPr>
        <w:pStyle w:val="SourceNote"/>
      </w:pPr>
      <w:r>
        <w:rPr>
          <w:b/>
        </w:rPr>
        <w:t>Available abstract (not full text):</w:t>
      </w:r>
      <w:r>
        <w:t xml:space="preserve"> Agricultural diseases are a major threat to sustainable food production. Yet, for many pathogens we know exceptionally little about their epidemiological and population dynamics, and this knowledge gap is slowing the development of efficient control strategies. Here we study the population genomics and molecular epidemiology of wheat powdery mildew, a disease caused by the biotrophic fungus Blumeria graminis forma specialis tritici (Bgt). We sampled Bgt across two consecutive years, 2022 and 2023, and compiled a genomic dataset of 415 Bgt isolates from 22 countries in Europe and surrounding regions. We identified a single epidemic unit in the north of Europe, consisting of a highly homogeneous population. Conversely, the south of Europe hosts smaller local populations which are less interconnected. In addition, we show that the population structure can be largely predicted by the prevalent wind patterns. We identified several loci that were under selection in the recent past, including fungicide targets and avirulence genes. Some of these loci are common between populations, while others are not, suggesting different local selective pressures. We reconstructed the evolutionary history of one of these loci, AvrPm17, coding for an effector recognized by the wheat receptor Pm17. We found evidence for a soft sweep on standing genetic variation. Multiple AvrPm17 haplotypes, which ca</w:t>
      </w:r>
    </w:p>
    <w:p>
      <w:pPr/>
      <w:r>
        <w:rPr>
          <w:b/>
        </w:rPr>
        <w:t>POSSIBLE 2024:</w:t>
      </w:r>
      <w:r>
        <w:t xml:space="preserve"> Risks posed by invasive species to the provision of ecosystem services in Europe — https://doi.org/10.1038/s41467-024-46818-3</w:t>
      </w:r>
    </w:p>
    <w:p>
      <w:pPr/>
      <w:r>
        <w:rPr>
          <w:b/>
        </w:rPr>
        <w:t>Shared claim-specific concepts:</w:t>
      </w:r>
      <w:r>
        <w:t xml:space="preserve"> suitability, species, important, importance, addresses; EU scope visible. This is a provisional connection, not an outcome finding.</w:t>
      </w:r>
    </w:p>
    <w:p>
      <w:pPr>
        <w:pStyle w:val="SourceNote"/>
      </w:pPr>
      <w:r>
        <w:rPr>
          <w:b/>
        </w:rPr>
        <w:t>Available abstract (not full text):</w:t>
      </w:r>
      <w:r>
        <w:t xml:space="preserve"> Invasive species significantly impact biodiversity and ecosystem services, yet understanding these effects at large spatial scales remains a challenge. Our study addresses this gap by assessing the current and potential future risks posed by 94 invasive species to seven key ecosystem services in Europe. We demonstrate widespread potential impacts, particularly on outdoor recreation, habitat maintenance, crop provisioning, and soil and nitrogen retention. Exposure to invasive species was higher in areas with lower provision of ecosystem services, particularly for regulating and cultural services. Exposure was also high in areas where ecosystem contributions to crop provision and nitrogen retention were at their highest. Notably, regions vital for ecosystem services currently have low invasion suitability, but face an average 77% increase in potential invasion area. Here we show that, while high-value ecosystem service areas at the highest risk represent a small fraction of Europe (0-13%), they are disproportionally important for service conservation. Our study underscores the importance of monitoring and protecting these hotspots to align management strategies with international biodiversity targets, considering both invasion vulnerability and ecosystem service sustainability.</w:t>
      </w:r>
    </w:p>
    <w:p>
      <w:pPr/>
      <w:r>
        <w:rPr>
          <w:b/>
        </w:rPr>
        <w:t>POSSIBLE 2024:</w:t>
      </w:r>
      <w:r>
        <w:t xml:space="preserve"> Understanding and addressing shortfalls in European wild bee data — https://doi.org/10.1016/j.biocon.2024.110455</w:t>
      </w:r>
    </w:p>
    <w:p>
      <w:pPr/>
      <w:r>
        <w:rPr>
          <w:b/>
        </w:rPr>
        <w:t>Shared claim-specific concepts:</w:t>
      </w:r>
      <w:r>
        <w:t xml:space="preserve"> species, despite, major, important, addresses; EU scope visible. This is a provisional connection, not an outcome finding.</w:t>
      </w:r>
    </w:p>
    <w:p>
      <w:pPr>
        <w:pStyle w:val="SourceNote"/>
      </w:pPr>
      <w:r>
        <w:rPr>
          <w:b/>
        </w:rPr>
        <w:t>Available abstract (not full text):</w:t>
      </w:r>
      <w:r>
        <w:t xml:space="preserve"> Understanding and reversing biodiversity decline in the Anthropocene requires robust data on species taxonomic identity, distribution, ecology, and population trends. Data deficits hinder biodiversity assessments and conservation, and despite major advances over the past few decades, our understanding of bee diversity, decline and distribution in Europe is still hampered by such data shortfalls. Using a unique digital dataset of wild bee occurrence and ecology, we identify seven critical shortfalls which are an absence of knowledge on geographic distributions, (functional) trait variation, population dynamics, evolutionary relationships, biotic interactions, species identity, and tolerance to abiotic conditions. We describe “BeeFall,” an interactive online Shiny app tool, which visualizes these shortfalls and highlights missing data. We also define a new impediment, the Keartonian Impediment, which addresses an absence of high-quality in situ photos and illustrations with diagnostic characteristics and directly affects the outlined shortfalls. Shortfalls are highly correlated at both the provincial and national scales, identifying key areas in Europe where knowledge gaps can be filled. This work provides an important first step towards the long-term goal to mobilize and aggregate European wild bee data into a multi-scale, easy access, shareable, and updatable database which can</w:t>
      </w:r>
    </w:p>
    <w:p>
      <w:pPr/>
      <w:r>
        <w:rPr>
          <w:b/>
        </w:rPr>
        <w:t>POSSIBLE 2024:</w:t>
      </w:r>
      <w:r>
        <w:t xml:space="preserve"> Future malaria environmental suitability in Africa is sensitive to hydrology — https://doi.org/10.1126/science.adk8755</w:t>
      </w:r>
    </w:p>
    <w:p>
      <w:pPr/>
      <w:r>
        <w:rPr>
          <w:b/>
        </w:rPr>
        <w:t>Shared claim-specific concepts:</w:t>
      </w:r>
      <w:r>
        <w:t xml:space="preserve"> environmental, suitability, important; EU scope not established. This is a provisional connection, not an outcome finding.</w:t>
      </w:r>
    </w:p>
    <w:p>
      <w:pPr>
        <w:pStyle w:val="SourceNote"/>
      </w:pPr>
      <w:r>
        <w:rPr>
          <w:b/>
        </w:rPr>
        <w:t>Available abstract (not full text):</w:t>
      </w:r>
      <w:r>
        <w:t xml:space="preserve"> spp. malaria parasites and the lack of availability of surface water for vector breeding. Previous Africa-wide assessments have tended to solely represent surface water using precipitation, ignoring many important hydrological processes. Here, we applied a validated and weighted ensemble of global hydrological and climate models to estimate present and future areas of hydroclimatic suitability for malaria transmission. With explicit surface water representation, we predict a net decrease in areas suitable for malaria transmission from 2025 onward, greater sensitivity to future greenhouse gas emissions, and different, more complex, malaria transmission patterns. Areas of malaria transmission that are projected to change are smaller than those estimated by precipitation-based estimates but are associated with greater changes in transmission season lengths.</w:t>
      </w:r>
    </w:p>
    <w:p>
      <w:pPr/>
      <w:r>
        <w:rPr>
          <w:b/>
        </w:rPr>
        <w:t>POSSIBLE 2024:</w:t>
      </w:r>
      <w:r>
        <w:t xml:space="preserve"> Carnivores’ contributions to people in Europe — https://doi.org/10.5751/es-15249-290309</w:t>
      </w:r>
    </w:p>
    <w:p>
      <w:pPr/>
      <w:r>
        <w:rPr>
          <w:b/>
        </w:rPr>
        <w:t>Shared claim-specific concepts:</w:t>
      </w:r>
      <w:r>
        <w:t xml:space="preserve"> all, species, literature; EU scope visible. This is a provisional connection, not an outcome finding.</w:t>
      </w:r>
    </w:p>
    <w:p>
      <w:pPr>
        <w:pStyle w:val="SourceNote"/>
      </w:pPr>
      <w:r>
        <w:rPr>
          <w:b/>
        </w:rPr>
        <w:t>Available abstract (not full text):</w:t>
      </w:r>
      <w:r>
        <w:t xml:space="preserve"> Human-carnivore relations in Europe have varied throughout history. Because of recent conservation efforts and passive rewilding, carnivore populations are recovering, which translates into more interactions with humans. Thus, unraveling these interactions as well as the multiple contributions carnivores provide to people is crucial to their conservation. We examined the literature conducted in Europe since 2000 and used the nature’s contributions to people (NCP) framework to identify factors that have shaped human-carnivore relations. To do so, we examined the state of scientific knowledge and relationships among types of NCP from carnivores, countries, and carnivore species; and between NCP, actors, and management actions. Results indicated that research has been oriented toward large carnivore species and their detrimental contributions to people. Further, the effectiveness of carnivore management strategies has only been evaluated and monitored in a limited set of all the research. To balance any negative views on carnivores, we suggest that the recognition of the duality of carnivores, as providers of both beneficial and detrimental contributions, should be included in EU conservation policies.</w:t>
      </w:r>
    </w:p>
    <w:p>
      <w:pPr>
        <w:pStyle w:val="Heading2"/>
      </w:pPr>
      <w:r>
        <w:t>596. Fiscal foresighting: analysis of researches</w:t>
      </w:r>
    </w:p>
    <w:p>
      <w:pPr>
        <w:pStyle w:val="SourceNote"/>
      </w:pPr>
      <w:r>
        <w:rPr>
          <w:b/>
        </w:rPr>
        <w:t>Original source (2021):</w:t>
      </w:r>
      <w:r>
        <w:t xml:space="preserve"> https://doi.org/10.15407/econindustry2021.02.071</w:t>
      </w:r>
    </w:p>
    <w:p>
      <w:pPr/>
      <w:r>
        <w:t>Original wording (abstract; indexed_source_text_not_full_document_verified): The objective of the paper is to analyse theoretical aspects of fiscal foresight, as well as foreign and national experience in fiscal foresights’ preparation to identify long-term factors and indicators that will have a significant impact (both positive and negative) on a fiscal system in a distant future. Based on the results of the analysis of the "National Economic Strategy for the Period up to 2030", it was established that the actions indicated in the Strategy can become the initial data for the development of the first national fiscal foresight as a basis for assessing the long-term sustainability of the current fiscal system , identifying opportunities and risks of transformations of the fiscal policy of Ukraine under the influence of megatrends and intrastate changes associated with the peculiarities of the country's socio-economic development.</w:t>
      </w:r>
    </w:p>
    <w:p>
      <w:pPr/>
      <w:r>
        <w:rPr>
          <w:b/>
        </w:rPr>
        <w:t>POSSIBLE 2026:</w:t>
      </w:r>
      <w:r>
        <w:t xml:space="preserve"> Theoretical Framework for Analysing Regional Economic Governance: A Comparative Study of African Blocs — https://doi.org/10.5281/zenodo.18934399</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Theoretical Framework for Analysing Regional Economic Governance: A Comparative Study of African Blocs — https://doi.org/10.5281/zenodo.18935050</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Theoretical Framework for Analysing Regional Economic Governance: A Comparative Study of African Blocs — https://doi.org/10.5281/zenodo.18936851</w:t>
      </w:r>
    </w:p>
    <w:p>
      <w:pPr/>
      <w:r>
        <w:rPr>
          <w:b/>
        </w:rPr>
        <w:t>Shared claim-specific concepts:</w:t>
      </w:r>
      <w:r>
        <w:t xml:space="preserve"> objective, analyse, theoretical, significant; EU scope not established. This is a provisional connection, not an outcome finding.</w:t>
      </w:r>
    </w:p>
    <w:p>
      <w:pPr>
        <w:pStyle w:val="SourceNote"/>
      </w:pPr>
      <w:r>
        <w:rPr>
          <w:b/>
        </w:rPr>
        <w:t>Available abstract (not full text):</w:t>
      </w:r>
      <w:r>
        <w:t xml:space="preserve"> The study of regional economic governance in Africa is fragmented, lacking a unified theoretical lens to compare the institutional architectures and policy outcomes of different blocs. Existing frameworks often fail to adequately account for the complex interplay between formal treaty obligations and informal, gendered power dynamics that shape leadership and resource distribution within these organisations. This article develops a novel, integrated theoretical framework for the comparative analysis of regional economic governance structures in Africa. Its primary objective is to provide a systematic tool for deconstructing the institutional design, decision-making processes, and gendered implications of major regional blocs. The framework is constructed through a synthesis of institutional theory, feminist political economy, and comparative regionalism. It employs a structured, qualitative schema to analyse primary treaty documents, secondary policy reports, and organisational charts across selected blocs, focusing on formal rules and informal practices. The framework reveals that a significant theme across blocs is the disjuncture between rhetorical commitments to gender mainstreaming in treaties and the marginalisation of women from core economic decision-making roles. A key analytical finding is that informal patronage networks frequently subvert formal governance rules, di</w:t>
      </w:r>
    </w:p>
    <w:p>
      <w:pPr/>
      <w:r>
        <w:rPr>
          <w:b/>
        </w:rPr>
        <w:t>POSSIBLE 2026:</w:t>
      </w:r>
      <w:r>
        <w:t xml:space="preserve"> Navigating the winds of change: strategic foresight and the power of weak signals — https://doi.org/10.1007/s11625-025-01786-5</w:t>
      </w:r>
    </w:p>
    <w:p>
      <w:pPr/>
      <w:r>
        <w:rPr>
          <w:b/>
        </w:rPr>
        <w:t>Shared claim-specific concepts:</w:t>
      </w:r>
      <w:r>
        <w:t xml:space="preserve"> foresight, national, identify, significant; EU scope not established. This is a provisional connection, not an outcome finding.</w:t>
      </w:r>
    </w:p>
    <w:p>
      <w:pPr>
        <w:pStyle w:val="SourceNote"/>
      </w:pPr>
      <w:r>
        <w:rPr>
          <w:b/>
        </w:rPr>
        <w:t>Available abstract (not full text):</w:t>
      </w:r>
      <w:r>
        <w:t xml:space="preserve"> Abstract In an era of increased complexity, interdependence, uncertainty and rapidly advancing technology, the ability to identify and swiftly adapt to current and future trends is key to progressing sustainability. Intersecting drivers and stressors are converging to destabilize socioecological systems and reshape national, regional and global outlooks. The intersecting and converging crises of the 21st century have exposed the limits of planning that relies too heavily on linear extrapolations from well-known global/mega-trends. This study explores whether a limited number of emerging trends that only manifest as weak signals today serve as central conduits (super-nodes) for amplifying and accelerating systemic disruption. Using an exploratory mixed-methods design, a global Delphi survey ( N = 790, 132 countries) generated 1200 horizon-scan items, inductively coded into 29 clusters. Scenario stress-testing distilled the findings into 280 candidate weak signals—ranked by likelihood, impact, and timing—from which 20 were shortlisted and mapped onto a 20 × 20 influence matrix through structured expert debate. Weighted degree centralities and a 10,000-run bootstrap test identified statistically significant hubs. Results suggest that anticipatory governance can be strengthened by prioritizing high-centrality signals and institutionalizing ongoing weak-signal scanning alongside tra</w:t>
      </w:r>
    </w:p>
    <w:p>
      <w:pPr/>
      <w:r>
        <w:rPr>
          <w:b/>
        </w:rPr>
        <w:t>POSSIBLE 2026:</w:t>
      </w:r>
      <w:r>
        <w:t xml:space="preserve"> Essays on fiscal policy — https://doi.org/10.82444/warw.33725077</w:t>
      </w:r>
    </w:p>
    <w:p>
      <w:pPr/>
      <w:r>
        <w:rPr>
          <w:b/>
        </w:rPr>
        <w:t>Shared claim-specific concepts:</w:t>
      </w:r>
      <w:r>
        <w:t xml:space="preserve"> fiscal, based; EU scope visible. This is a provisional connection, not an outcome finding.</w:t>
      </w:r>
    </w:p>
    <w:p>
      <w:pPr>
        <w:pStyle w:val="SourceNote"/>
      </w:pPr>
      <w:r>
        <w:rPr>
          <w:b/>
        </w:rPr>
        <w:t>Available abstract (not full text):</w:t>
      </w:r>
      <w:r>
        <w:t xml:space="preserve"> High levels of either public debt or wealth inequality are detrimental to social and economic stability. At a time when reducing public debt and decreasing wealth inequality have become important policy priorities, the question arises about whether these two goals stand in con ict. With this in mind, Chapter 1 assesses the effects of public debt on wealth inequality based on an analytically tractable model of heterogeneous agents. Its scope, in particular, is to investigate whether a reduction of public debt or of budget deficits in general might amplify or not the levels of wealth inequality. In answering this question, we explore a novel channel where, for example, a reduction in budget deficits amplifies wealth inequality due to the change in factor prices, and in particular that of interest rates. Therefore, and besides that our research is the first to explore this type of question, our main contribution is that we show how a change in public debt can affect wealth inequality in an implicit way through the change in factor incomes - that is, the general equilibrium effects. In Chapter 2, on the other hand, we study the design of policies within an endogenous growth model of incomplete markets and partial commitment. Markets are incomplete in two dimensions, the government cannot insure itself from the presence of aggregate risk, and the accumulation of human capital is sub</w:t>
      </w:r>
    </w:p>
    <w:p>
      <w:pPr/>
      <w:r>
        <w:rPr>
          <w:b/>
        </w:rPr>
        <w:t>POSSIBLE 2026:</w:t>
      </w:r>
      <w:r>
        <w:t xml:space="preserve"> Unveiling the Theoretical Framework — https://doi.org/10.4324/9781003727927-2</w:t>
      </w:r>
    </w:p>
    <w:p>
      <w:pPr/>
      <w:r>
        <w:rPr>
          <w:b/>
        </w:rPr>
        <w:t>Shared claim-specific concepts:</w:t>
      </w:r>
      <w:r>
        <w:t xml:space="preserve"> objective, theoretical, fiscal; EU scope not established. This is a provisional connection, not an outcome finding.</w:t>
      </w:r>
    </w:p>
    <w:p>
      <w:pPr>
        <w:pStyle w:val="SourceNote"/>
      </w:pPr>
      <w:r>
        <w:rPr>
          <w:b/>
        </w:rPr>
        <w:t>Available abstract (not full text):</w:t>
      </w:r>
      <w:r>
        <w:t xml:space="preserve"> The chapter outlines the theoretical framework for examining the resource mobilisation in Union Parishads (UPs) through theories and concepts. At the onset of the chapter, the authors exposed how the theoretical framework helps in understanding the dynamics of the resource. The five theories mentioned in the chapter include Resource Dependency Theory, Fiscal Decentralisation Theory, Institutional Theory, Governance and the Accountability Framework, and Local Economic Development Theory. The chapter clarifies and specifies the key concepts of local government, resource mobilisation, challenges, and opportunities. Resource mobilisation is the dependent variable indicated by revenue generation, service delivery capacity, and partnership building. The effect of the independent variables – financial autonomy, revenue generation capacity, governance and accountability mechanisms, and intergovernmental relations – on the dependent variable is assessed. The provision of an analytical framework in order to synthesise these theories and concepts would enhance the understanding of resource mobilisation. This framework provides a perspective towards the objective of the study, which would help understand the way UPs deal with their financial and governance issues. As such, this chapter lays the groundwork for the empirical analyses in subsequent chapters.</w:t>
      </w:r>
    </w:p>
    <w:p>
      <w:pPr/>
      <w:r>
        <w:rPr>
          <w:b/>
        </w:rPr>
        <w:t>POSSIBLE 2025:</w:t>
      </w:r>
      <w:r>
        <w:t xml:space="preserve"> Theoretical Foundations — https://doi.org/10.4324/9781003694625_ch14</w:t>
      </w:r>
    </w:p>
    <w:p>
      <w:pPr/>
      <w:r>
        <w:rPr>
          <w:b/>
        </w:rPr>
        <w:t>Shared claim-specific concepts:</w:t>
      </w:r>
      <w:r>
        <w:t xml:space="preserve"> analyse, theoretical, based; EU scope not established. This is a provisional connection, not an outcome finding.</w:t>
      </w:r>
    </w:p>
    <w:p>
      <w:pPr>
        <w:pStyle w:val="SourceNote"/>
      </w:pPr>
      <w:r>
        <w:rPr>
          <w:b/>
        </w:rPr>
        <w:t>Available abstract (not full text):</w:t>
      </w:r>
      <w:r>
        <w:t xml:space="preserve"> The four TPACK course (re)design professional development modules developed in the MARCH ET project are based on five theoretical foundations. Understanding these theoretical foundations helps us comprehend the modules’ course design and the considerations that go into choosing it. The first theoretical foundation is ‘social constructivism,’ which is an approach to good teaching and learning. The second theoretical foundation is the pedagogical design of the modules, which is based on an old but still very useful ‘pedagogical model’ developed by Van Gelder (1970) , referred to in Dutch as the didactische analyse model (DA model). The third theoretical foundation is the revised Bloom’s Taxonomy (Anderson &amp; Krathwohl, 2001) for defining learning outcomes (often called ‘learning objectives’). The fourth theoretical foundation is Biggs ‘constructive alignment’ of learning outcomes, the learning process and assessments ( Biggs, 2003 ), a widely accepted principle of pedagogically sound course design. The fifth and final foundation is the ‘action research’ approach. It is used as a reflection method by the participants in their own teaching practice.</w:t>
      </w:r>
    </w:p>
    <w:p>
      <w:pPr/>
      <w:r>
        <w:rPr>
          <w:b/>
        </w:rPr>
        <w:t>POSSIBLE 2025:</w:t>
      </w:r>
      <w:r>
        <w:t xml:space="preserve"> On the role of intelligence and business wargaming in developing foresight — https://doi.org/10.1080/09537325.2025.2506122</w:t>
      </w:r>
    </w:p>
    <w:p>
      <w:pPr/>
      <w:r>
        <w:rPr>
          <w:b/>
        </w:rPr>
        <w:t>Shared claim-specific concepts:</w:t>
      </w:r>
      <w:r>
        <w:t xml:space="preserve"> theoretical, foresight, well, both; EU scope not established. This is a provisional connection, not an outcome finding.</w:t>
      </w:r>
    </w:p>
    <w:p>
      <w:pPr>
        <w:pStyle w:val="SourceNote"/>
      </w:pPr>
      <w:r>
        <w:rPr>
          <w:b/>
        </w:rPr>
        <w:t>Available abstract (not full text):</w:t>
      </w:r>
      <w:r>
        <w:t xml:space="preserve"> Business wargaming is a central tool for developing sustaining strategies. It transfers the benefits of traditional wargaming to the business environment. However, building wargames that support the process of decision-making for strategy require respective intelligence. This paper investigates the role of intelligence in the process of developing strategic foresight. The focus is on how intelligence is developed and how it relates to business wargaming. The so-called intelligence cycle is the basis and reference of our investigation. The conceptual part of the paper combines the theoretical background from military, business as well as serious gaming. To elaborate on some of the lessons learned, we examine specific business wargames both drawn from literature and conducted by us at the Center for Intelligence and Security Studies (CISS). It is shown that business wargaming can significantly contribute to competitive intelligence (CI) by identifying missing information and by transforming data into actionable intelligence. Furthermore, it bridges the gap from CI to a strategy by either testing or developing a new strategy.</w:t>
      </w:r>
    </w:p>
    <w:p>
      <w:pPr/>
      <w:r>
        <w:rPr>
          <w:b/>
        </w:rPr>
        <w:t>POSSIBLE 2025:</w:t>
      </w:r>
      <w:r>
        <w:t xml:space="preserve"> Strategic Foresight for Sustainable Development in the European Union: The Role of Entrepreneurship — https://doi.org/10.34021/ve.2025.08.03(2)</w:t>
      </w:r>
    </w:p>
    <w:p>
      <w:pPr/>
      <w:r>
        <w:rPr>
          <w:b/>
        </w:rPr>
        <w:t>Shared claim-specific concepts:</w:t>
      </w:r>
      <w:r>
        <w:t xml:space="preserve"> objective, analyse, foresight, long-term, indicators, significant; EU scope visible. This is a provisional connection, not an outcome finding.</w:t>
      </w:r>
    </w:p>
    <w:p>
      <w:pPr>
        <w:pStyle w:val="SourceNote"/>
      </w:pPr>
      <w:r>
        <w:rPr>
          <w:b/>
        </w:rPr>
        <w:t>Available abstract (not full text):</w:t>
      </w:r>
      <w:r>
        <w:t xml:space="preserve"> Sustainable development has become a strategic priority for the European Union (EU), requiring coordinated institutional, economic and entrepreneurial transformations. While a growing body of literature recognises entrepreneurship as an important mechanism for advancing sustainability objectives, empirical evidence on how structural features of the business environment influence sustainability trajectories at the macroeconomic level remains fragmented. In particular, the dynamic relationships among sustainable development, business regulation and market openness across EU countries remain insufficiently understood. The objective of this study is to analyse how business regulation and market openness influence entrepreneurship-driven progress towards sustainable development in the European Union and to examine the dynamic interactions among these institutional and economic dimensions. The empirical analysis employs an annual panel dataset covering 27 EU member states for the period 2010–2024. The study applies a panel vector autoregression (PVAR) framework combined with Granger causality testing and impulse response analysis to capture short-run and long-run relationships among sustainable development, regulatory quality and market openness. The results reveal strong persistence and path dependence in sustainable development trajectories. Business regulation does not exert stati</w:t>
      </w:r>
    </w:p>
    <w:p>
      <w:pPr/>
      <w:r>
        <w:rPr>
          <w:b/>
        </w:rPr>
        <w:t>POSSIBLE 2025:</w:t>
      </w:r>
      <w:r>
        <w:t xml:space="preserve"> Strategic foresight framework for addressing agency in sustainability transitions: a co-creation approach — https://doi.org/10.3389/frsus.2025.1507708</w:t>
      </w:r>
    </w:p>
    <w:p>
      <w:pPr/>
      <w:r>
        <w:rPr>
          <w:b/>
        </w:rPr>
        <w:t>Shared claim-specific concepts:</w:t>
      </w:r>
      <w:r>
        <w:t xml:space="preserve"> theoretical, foresight, preparation, identify, both; EU scope visible. This is a provisional connection, not an outcome finding.</w:t>
      </w:r>
    </w:p>
    <w:p>
      <w:pPr>
        <w:pStyle w:val="SourceNote"/>
      </w:pPr>
      <w:r>
        <w:rPr>
          <w:b/>
        </w:rPr>
        <w:t>Available abstract (not full text):</w:t>
      </w:r>
      <w:r>
        <w:t xml:space="preserve"> This paper presents a novel methodological approach that integrates strategic foresight with sustainability transitions frameworks to explore how different forms of agency shape transition pathways. The research methodology employed include the development of foresight scenarios addressing sustainability, the X-curve framework for mapping possible transition pathways for a sustainable EU 2050, and agency analysis to identify strategic areas of interventions and understanding systemic policy mixes over time. This work was performed in the context of the preparation of the European Commission’s Annual Strategic Foresight Report 2023. Additionally, through empirical application across three distinct contexts, this paper demonstrates how strategic foresight can generate actionable knowledge for sustainability transitions while maintaining methodological rigor. The study advances the theoretical understanding of agency in sustainability transitions by showing how different actors can be strategically engaged through interventions aimed at shaping, navigating, and orchestrating transition pathways over time. Our findings reveal that successful transitions require balancing the agency of established institutional actors with emerging stakeholders who may lack formal authority but bring crucial perspectives and capabilities. The study emphasizes the importance of agency of multiple act</w:t>
      </w:r>
    </w:p>
    <w:p>
      <w:pPr/>
      <w:r>
        <w:rPr>
          <w:b/>
        </w:rPr>
        <w:t>POSSIBLE 2025:</w:t>
      </w:r>
      <w:r>
        <w:t xml:space="preserve"> Automation technologies and the labor market : theoretical and empirical Analyses — https://doi.org/10.70675/f24d6ee5zaf36z4e53z936ezf5b46e862a21</w:t>
      </w:r>
    </w:p>
    <w:p>
      <w:pPr/>
      <w:r>
        <w:rPr>
          <w:b/>
        </w:rPr>
        <w:t>Shared claim-specific concepts:</w:t>
      </w:r>
      <w:r>
        <w:t xml:space="preserve"> theoretical, well, significant, both, based; EU scope not established. This is a provisional connection, not an outcome finding.</w:t>
      </w:r>
    </w:p>
    <w:p>
      <w:pPr>
        <w:pStyle w:val="SourceNote"/>
      </w:pPr>
      <w:r>
        <w:rPr>
          <w:b/>
        </w:rPr>
        <w:t>Available abstract (not full text):</w:t>
      </w:r>
      <w:r>
        <w:t xml:space="preserve"> This thesis explores the implications of technologies capable of replacing human labor in various job tasks, such as artificial intelligence (AI), on employment and wages. Across four chapters, I address this question from both macroeconomic and microeconomic perspectives, combining theoretical and empirical analyses based on different data sources and econometric methods. The results can be summarized as follows. First, automation technologies amplify the impact of technology shocks on hours worked. Second, they reduce the wages of high-skilled occupations, as well as those of low-skilled ones, through ripple effects. Third, the automation of routine tasks puts downward pressure on workers’ wages, even when routine tasks represent only a minor share of their job, thus revealing a partial but significant exposure of non-routine workers to automation. Finally, I provide a normative analysis of AI taxation. Since AI differs from other automation technologies by its ability to perform complex cognitive tasks performed by high-skilled workers, the results suggest that subsidizing AI would be optimal, as it replaces the highest-paid workers and thereby contributes to reducing income inequality.</w:t>
      </w:r>
    </w:p>
    <w:p>
      <w:pPr/>
      <w:r>
        <w:rPr>
          <w:b/>
        </w:rPr>
        <w:t>POSSIBLE 2025:</w:t>
      </w:r>
      <w:r>
        <w:t xml:space="preserve"> Theoretical Study of Conflict-Avoidant Multi-Objective Reinforcement Learning — https://doi.org/10.1109/tit.2025.3581454</w:t>
      </w:r>
    </w:p>
    <w:p>
      <w:pPr/>
      <w:r>
        <w:rPr>
          <w:b/>
        </w:rPr>
        <w:t>Shared claim-specific concepts:</w:t>
      </w:r>
      <w:r>
        <w:t xml:space="preserve"> objective, theoretical, both; EU scope not established. This is a provisional connection, not an outcome finding.</w:t>
      </w:r>
    </w:p>
    <w:p>
      <w:pPr>
        <w:pStyle w:val="SourceNote"/>
      </w:pPr>
      <w:r>
        <w:rPr>
          <w:b/>
        </w:rPr>
        <w:t>Available abstract (not full text):</w:t>
      </w:r>
      <w:r>
        <w:t xml:space="preserve"> Multi-objective reinforcement learning (MORL) has shown great promise in many real-world applications. Existing MORL algorithms often aim to learn a policy that optimizes individual objective functions simultaneously with a given prior preference (or weights) on different objectives. However, these methods often suffer from the issue ofgradient conflictsuch that the objectives with larger gradients dominate the update direction, resulting in a performance degeneration on other objectives. In this paper, we develop a novel dynamic weighting multi-objective actor-critic algorithm (MOAC) under two options of sub-procedures named as conflict-avoidant (CA) and faster convergence (FC) in objective weight updates. MOAC-CA aims to find a CA update direction that maximizes the minimum value improvement among objectives, and MOAC-FC targets at a much faster convergence rate. We provide a comprehensive finite-time convergence analysis for both algorithms. We show that MOAC-CA can find a ϵ + ϵapp-accurate Pareto stationary policy using O(ϵ−5) samples, while ensuring a small ϵ+ √ϵapp-level CA distance (defined as the distance to the CA direction), where ϵappis the function approximation error. The analysis also shows that MOAC-FC improves the sample complexity to O(ϵ−3), but with a constant-level CA distance. Our experiments on MT10 demonstrate the improved performance of our algorithms ove</w:t>
      </w:r>
    </w:p>
    <w:p>
      <w:pPr>
        <w:pStyle w:val="Heading2"/>
      </w:pPr>
      <w:r>
        <w:t>597. Five transition pathways to renewable energy futures—scenarios from a Delphi study on key drivers and policy options</w:t>
      </w:r>
    </w:p>
    <w:p>
      <w:pPr>
        <w:pStyle w:val="SourceNote"/>
      </w:pPr>
      <w:r>
        <w:rPr>
          <w:b/>
        </w:rPr>
        <w:t>Original source (2021):</w:t>
      </w:r>
      <w:r>
        <w:t xml:space="preserve"> https://doi.org/10.1186/s40309-021-00185-0</w:t>
      </w:r>
    </w:p>
    <w:p>
      <w:pPr/>
      <w:r>
        <w:t>Original wording (abstract; indexed_source_text_not_full_document_verified): In this article, five energy scenarios are presented for Finland until 2030. It is therefore important to anticipate probable, preferable, or avoidable future paths that will contribute to the discussion of the direction and conditions of such futures.</w:t>
      </w:r>
    </w:p>
    <w:p>
      <w:pPr/>
      <w:r>
        <w:rPr>
          <w:b/>
        </w:rPr>
        <w:t>POSSIBLE 2026:</w:t>
      </w:r>
      <w:r>
        <w:t xml:space="preserve"> Framing the Climate Crisis in European Media: A Comparative Study of Five Major News Outlets — https://doi.org/10.5281/zenodo.22795894</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This study examines how five major national news outlets in EU member states framed climate change between 2022 and 2025, a period shaped by Russia’s invasion of Ukraine, implementation of the European Green Deal, and growing political contestation over the pace of the green transition. Drawing on Entman’s framing theory, comparative media-systems research, and critical discourse analysis (CDA), it analyses a purposive corpus of 112 articles from Der Spiegel, Le Monde, La Repubblica, Gazeta Wyborcza, and El País. Each article was assigned one primary frame and, where applicable, one secondary frame. Across the corpus, national sovereignty was the most frequent primary frame (39 of 112 articles), although patterns varied substantially by outlet: Gazeta Wyborcza was distinctive for its emphasis on just transition, while El País was the only outlet in which scientific urgency was the leading primary frame. The article introduces the Energy Security Bridge-Delay Framework, which distinguishes energy-security discourse that accelerates decarbonisation (Bridge), temporarily accommodates fossil-fuel use within a defined transition pathway (Transitional), or justifies indefinite postponement (Delay). A 21-article CDA sub-sample examines these categories in greater depth. The findings indicate that energy-security discourse is not inherently supportive of or hostile to climate transitio</w:t>
      </w:r>
    </w:p>
    <w:p>
      <w:pPr/>
      <w:r>
        <w:rPr>
          <w:b/>
        </w:rPr>
        <w:t>POSSIBLE 2026:</w:t>
      </w:r>
      <w:r>
        <w:t xml:space="preserve"> Socio-technical Imaginaries and Citizen Engagement in the Energy Transition: Perspectives from Five Renewable Energy Community Ecosystems in the European Union — https://doi.org/10.6093/2723-9608/12365</w:t>
      </w:r>
    </w:p>
    <w:p>
      <w:pPr/>
      <w:r>
        <w:rPr>
          <w:b/>
        </w:rPr>
        <w:t>Shared claim-specific concepts:</w:t>
      </w:r>
      <w:r>
        <w:t xml:space="preserve"> five, energy; EU scope visible. This is a provisional connection, not an outcome finding.</w:t>
      </w:r>
    </w:p>
    <w:p>
      <w:pPr>
        <w:pStyle w:val="SourceNote"/>
      </w:pPr>
      <w:r>
        <w:rPr>
          <w:b/>
        </w:rPr>
        <w:t>Available abstract (not full text):</w:t>
      </w:r>
      <w:r>
        <w:t xml:space="preserve"> Renewable Energy Communities (RECs) are key to EU energy transitions, but their development depends not only on technical or economic factors, but also on local sociotechnical imaginaries. Based on five case studies, this research shows how visions of justice, participation, and territory shape RECs, highlighting the need for context-sensitive policies.</w:t>
      </w:r>
    </w:p>
    <w:p>
      <w:pPr/>
      <w:r>
        <w:rPr>
          <w:b/>
        </w:rPr>
        <w:t>POSSIBLE 2025:</w:t>
      </w:r>
      <w:r>
        <w:t xml:space="preserve"> Five models and ten predictors for energy costs on farms in the European Union — https://doi.org/10.1515/opag-2025-0441</w:t>
      </w:r>
    </w:p>
    <w:p>
      <w:pPr/>
      <w:r>
        <w:rPr>
          <w:b/>
        </w:rPr>
        <w:t>Shared claim-specific concepts:</w:t>
      </w:r>
      <w:r>
        <w:t xml:space="preserve"> five, energy, important; EU scope visible. This is a provisional connection, not an outcome finding.</w:t>
      </w:r>
    </w:p>
    <w:p>
      <w:pPr>
        <w:pStyle w:val="SourceNote"/>
      </w:pPr>
      <w:r>
        <w:rPr>
          <w:b/>
        </w:rPr>
        <w:t>Available abstract (not full text):</w:t>
      </w:r>
      <w:r>
        <w:t xml:space="preserve"> Abstract Energy costs are the main concerns of the agricultural stakeholders, because of their economic, environmental, and social impacts on the farms and the development of interrelated activities. In fact, it is important to save costs with the energy use to improve the profitability of the farms, but the level of these costs is often interlinked with the options to manage the energy consumption and the respective implications on sustainability. This framework highlights the importance of good management and planning for energy utilisation in the farming sector, namely to promote a balanced and integrated rural development. Considering these perspectives, this research intends to identify which factor, and how, impacted the energy costs in the European Union farms over the last decades. To achieve these objectives data from the Farm Accountancy Data Network database were considered for the European Union agricultural regions and the period 2013–2021. This statistical information was analysed through machine learning approaches following the procedures proposed by the software IBM SPSS Modeler. The linear support vector machine, regression, random forest, random trees, and the classification and regression tree are the most accurate models. On the contrary, the level of production, the size of farms, the economic and financial structure, and policy measures are the most impor</w:t>
      </w:r>
    </w:p>
    <w:p>
      <w:pPr/>
      <w:r>
        <w:rPr>
          <w:b/>
        </w:rPr>
        <w:t>POSSIBLE 2025:</w:t>
      </w:r>
      <w:r>
        <w:t xml:space="preserve"> Assessing stringency: A survey experiment of energy saving policies across five EU countries — https://doi.org/10.1177/09520767251359126</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This article explores the public acceptance of European energy saving policies during the 2022 energy crisis. Drawing upon a survey experiment conducted with nationally representative quota samples of 7678 respondents across five European countries (France, Italy, Germany, the Netherlands, and Spain), this article explores public acceptance of European energy-saving policies during the 2022 energy crisis. We examine public preferences between coercive (mandates) and non-coercive (information campaigns) policy approaches. Additionally, we investigate how individual-level factors – including age, household income, environmental attitudes, perceived urgency of climate action, and trust in government – moderate citizens’ support for these policies. Our findings highlight significant heterogeneity: while non-coercive policies generally garner higher public approval, this preference is notably weaker or reversed among younger and lower-income respondents. By exploring the underlying factors driving this preference, this research sheds light on the considerations that European policymakers should consider when crafting future energy savings policies.</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article, energy, contribute;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Renewable Energy, Sustainable Business Models, and Decarbonization in the European Union: Comparative Analysis of Corporate Sustainability Reports — https://doi.org/10.3390/su17083646</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The purpose of this article is to investigate the development of sustainable business models (SBMs) of renewable energy companies. To assess the degree of alignment with the European Union Taxonomy for sustainable activities (Regulation 2020/852), the European Green Deal, and the Sustainable Development Goals of five renewable energy companies—Ørsted, Engie, Vattenfall, Iberdrola, and Enel—we have used their sustainability reports from 2023. We have analyzed how each company contributes to the EU climate targets and strategy to achieve a 55% reduction in greenhouse gas emissions by 2030 and net zero by 2050. The results showed the challenges faced by each company in switching from traditional fossil fuel models to renewable models. Due to regulatory constraints and different organizational structures, each company has adopted a specific SBM with respect to power generation and the green transition. The advantages and disadvantages of these SBMs were identified and described comparatively to help regulators, policymakers, and industry associations improve sustainability reporting for the energy sector.</w:t>
      </w:r>
    </w:p>
    <w:p>
      <w:pPr/>
      <w:r>
        <w:rPr>
          <w:b/>
        </w:rPr>
        <w:t>POSSIBLE 2025:</w:t>
      </w:r>
      <w:r>
        <w:t xml:space="preserve"> Perceptions of homosexuality in Nigeria : A phenomenological study of five Nigerians in Finland — https://openalex.org/W7115245172</w:t>
      </w:r>
    </w:p>
    <w:p>
      <w:pPr/>
      <w:r>
        <w:rPr>
          <w:b/>
        </w:rPr>
        <w:t>Shared claim-specific concepts:</w:t>
      </w:r>
      <w:r>
        <w:t xml:space="preserve"> five, finland, therefore; EU scope visible. This is a provisional connection, not an outcome finding.</w:t>
      </w:r>
    </w:p>
    <w:p>
      <w:pPr>
        <w:pStyle w:val="SourceNote"/>
      </w:pPr>
      <w:r>
        <w:rPr>
          <w:b/>
        </w:rPr>
        <w:t>Available abstract (not full text):</w:t>
      </w:r>
      <w:r>
        <w:t xml:space="preserve"> Individuals migrating from developing countries to Western societies may experience shifts in their beliefs and attitudes toward homosexual people. Limited studies have focused on migrants’ perceptions after relocating from one country to another, particularly from a social exclusion lens. Therefore, this study sought to investigate migrant perception both during their time living in Nigeria and after moving to Finland through a qualitative approach, focusing on the perspectives of Nigerians residing in Finland. The sample consists of five individuals who represent a range of education, interests, and employment backgrounds. The qualitative data was collected from the interview sessions, and this study revealed that Nigerians living in Finland have a better understanding of Homosexuality. This study showed that the perception of Nigerians of homosexual people have changed after relocating to Finland. This study also revealed factors related to the social exclusion of homosexual people in Nigeria, such as culture, religion, policy, and law. It can be concluded that there is a change in perception, beliefs, and attitudes towards homosexual people. It is recommended that there is a need to organize seminars or workshops and sensitization programs that would foster understanding and empathy to promote the rights of people to be able to live freely as human irrespective of the ident</w:t>
      </w:r>
    </w:p>
    <w:p>
      <w:pPr/>
      <w:r>
        <w:rPr>
          <w:b/>
        </w:rPr>
        <w:t>POSSIBLE 2025:</w:t>
      </w:r>
      <w:r>
        <w:t xml:space="preserve"> Abandoning renewable energy projects in Europe and South America: An emerging consideration in the recycling of energy landscapes — https://doi.org/10.1016/j.esd.2025.101676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Landscape legacies of conventional energy development are vast. Mines, well fields, power plants, sub-stations, refineries, and disposal sites have been accumulating for more than a century. We know these energy landscapes exist, but we are uncertain what to do with them once their initial function is completed. Can they be used for any future purpose; that is, can they be “recycled”? As we gradually shift to renewable energy resources for all the benefits they promise, we are becoming aware that we will be facing similar end-of-life questions about the unique landscapes they are creating. What is their landscape legacy? This paper expands on growing attention to recycling conventional energy landscapes by introducing the circumstances regarding renewable energy landscapes. It addresses the first stages in consideration of these questions as they pertain to the abandonment of renewable energy infrastructures in Europe and South America. Based on reconstructive and comparative analysis of examples of abandoned wind farms, we found that there are barriers to formal decommissioning of these facilities, leaving recycling options as open questions. The main conclusion is that abandoned wind farms are consequences of gaps and weaknesses in the regulations on decommissioning of renewable energy infrastructures, in particular in case of installations abandoned before reaching their ope</w:t>
      </w:r>
    </w:p>
    <w:p>
      <w:pPr/>
      <w:r>
        <w:rPr>
          <w:b/>
        </w:rPr>
        <w:t>POSSIBLE 2025:</w:t>
      </w:r>
      <w:r>
        <w:t xml:space="preserve"> A computational analysis of the media coverage of the European Parliament's ‘green' Designation on sustainable energy and climate change — https://doi.org/10.1016/j.enpol.2025.114592</w:t>
      </w:r>
    </w:p>
    <w:p>
      <w:pPr/>
      <w:r>
        <w:rPr>
          <w:b/>
        </w:rPr>
        <w:t>Shared claim-specific concepts:</w:t>
      </w:r>
      <w:r>
        <w:t xml:space="preserve"> article, five, energy; EU scope visible. This is a provisional connection, not an outcome finding.</w:t>
      </w:r>
    </w:p>
    <w:p>
      <w:pPr>
        <w:pStyle w:val="SourceNote"/>
      </w:pPr>
      <w:r>
        <w:rPr>
          <w:b/>
        </w:rPr>
        <w:t>Available abstract (not full text):</w:t>
      </w:r>
      <w:r>
        <w:t xml:space="preserve"> Energy is pivotal to the sustainable development agenda for 2030. In this context, nuclear energy emerges as a potential solution for renewable energy development and carbon dioxide mitigation. However, the Russian invasion of Ukraine in 2022 exacerbated global energy concerns, leading to a surge in fuel prices and an economic slowdown, prompting the European Parliament to designate nuclear energy investments as "green." Despite the potential of nuclear energy in advancing sustainability goals, public perception, influenced by historical negative narratives and media coverage, remains a challenge. This article examines the impact of the European Parliament's decision on the news flow and coverage about sustainability, climate change, and nuclear energy in the global media. By analysing seven months of global news coverage, a total of 7822 news stories in English were selected. Through descriptive analysis and unsupervised topic modelling Latent Dirichlet Allocation (LDA) machine learning techniques, this study explores trends in news content and coverage, shedding light on the intersection of energy policies, and media coverage. • The adoption of the Complementary Delegated Act marks a pivotal shift in framing nuclear energy as a sustainable investment. • Media coverage of the Delegated Act was limited, overshadowed by the Russia-Ukraine war. • Topic modelling revealed five the</w:t>
      </w:r>
    </w:p>
    <w:p>
      <w:pPr/>
      <w:r>
        <w:rPr>
          <w:b/>
        </w:rPr>
        <w:t>POSSIBLE 2025:</w:t>
      </w:r>
      <w:r>
        <w:t xml:space="preserve"> Nuclear Energy in Finland — https://doi.org/10.21029/jael.2025.38.91</w:t>
      </w:r>
    </w:p>
    <w:p>
      <w:pPr/>
      <w:r>
        <w:rPr>
          <w:b/>
        </w:rPr>
        <w:t>Shared claim-specific concepts:</w:t>
      </w:r>
      <w:r>
        <w:t xml:space="preserve"> article, five, energy, finland; EU scope visible. This is a provisional connection, not an outcome finding.</w:t>
      </w:r>
    </w:p>
    <w:p>
      <w:pPr>
        <w:pStyle w:val="SourceNote"/>
      </w:pPr>
      <w:r>
        <w:rPr>
          <w:b/>
        </w:rPr>
        <w:t>Available abstract (not full text):</w:t>
      </w:r>
      <w:r>
        <w:t xml:space="preserve"> Finland has an ambitious decarbonisation agenda aiming for climate neutrality by 2035. The country relies significantly on nuclear power to meet its energy needs. Finland operates five nuclear reactors across two power plants, with a combined capacity of over 4,000 MWe. Finland is also a global leader in nuclear waste management, hosting the world’s first permanent underground repository for spent nuclear fuel at Onkalo. This article provides a comprehensive overview of nuclear energy in Finland, focusing on its current state, regulatory framework, and future prospects. The regulatory framework governing nuclear energy in Finland is robust, involving multiple authorities and a detailed licensing procedure. Recent trends indicate a growing interest in small modular reactors for district heating and power production, necessitating potential legislative reforms to accommodate these technologies.</w:t>
      </w:r>
    </w:p>
    <w:p>
      <w:pPr/>
      <w:r>
        <w:rPr>
          <w:b/>
        </w:rPr>
        <w:t>POSSIBLE 2025:</w:t>
      </w:r>
      <w:r>
        <w:t xml:space="preserve"> Improving Finnish fisheries—aquaculture policies and practices in Finland from the 1850s to the 1960s — https://doi.org/10.1007/s12685-025-00364-x</w:t>
      </w:r>
    </w:p>
    <w:p>
      <w:pPr/>
      <w:r>
        <w:rPr>
          <w:b/>
        </w:rPr>
        <w:t>Shared claim-specific concepts:</w:t>
      </w:r>
      <w:r>
        <w:t xml:space="preserve"> article, finland, discussion; EU scope visible. This is a provisional connection, not an outcome finding.</w:t>
      </w:r>
    </w:p>
    <w:p>
      <w:pPr>
        <w:pStyle w:val="SourceNote"/>
      </w:pPr>
      <w:r>
        <w:rPr>
          <w:b/>
        </w:rPr>
        <w:t>Available abstract (not full text):</w:t>
      </w:r>
      <w:r>
        <w:t xml:space="preserve"> Abstract In the advent of the twenty-first century, Finnish people consume fish that is either imported or farmed. A century earlier, most fish consumed was local and wild. Following the modernisation of agriculture that begun in the 1870s, nascent aquaculture was enthusiastically discussed as a method to rationalise fishing. Aquaculture was considered as a novel solution to support the stocks of the most valuable native species and to introduce new fish species for human consumption. Yet commercial aquaculture changed to hatching as the best method for replenishing local fisheries. Local landowners moreover continued to transfer regionally valuable fish species achieving marked success in supporting local fisheries and in creating new fisheries, too. This article analyses the evolution of aquaculture in Finland from the early 1850s to the late 1960s. The improvement of Finnish fisheries was portrayed in a new scientific discourse of fishing as manipulation of fish stocks to increase annual catches. Native fish species were classified according to their commercial value. Hence, the scientific discussion of fishing and aquaculture shared similar policy aims but different practical means. This article thus depicts the main trends and changes in the (pre)history of Finnish aquaculture addressing a rarely discussed theme in environmental history by looking how life beneath the wave</w:t>
      </w:r>
    </w:p>
    <w:p>
      <w:pPr/>
      <w:r>
        <w:rPr>
          <w:b/>
        </w:rPr>
        <w:t>POSSIBLE 2024:</w:t>
      </w:r>
      <w:r>
        <w:t xml:space="preserve"> Climate, Energy and Security: The New Social Contract of Europe and Spain — https://doi.org/10.52783/pst.1914</w:t>
      </w:r>
    </w:p>
    <w:p>
      <w:pPr/>
      <w:r>
        <w:rPr>
          <w:b/>
        </w:rPr>
        <w:t>Shared claim-specific concepts:</w:t>
      </w:r>
      <w:r>
        <w:t xml:space="preserve"> article, five, energy, presented; EU scope visible. This is a provisional connection, not an outcome finding.</w:t>
      </w:r>
    </w:p>
    <w:p>
      <w:pPr>
        <w:pStyle w:val="SourceNote"/>
      </w:pPr>
      <w:r>
        <w:rPr>
          <w:b/>
        </w:rPr>
        <w:t>Available abstract (not full text):</w:t>
      </w:r>
      <w:r>
        <w:t xml:space="preserve"> In the current context of growing climate instability and geopolitical tensions, the article addresses the critical nexus between climate change, energy security and governance as the basis for a new social contract in Europe and Spain. The approach is based on a central premise: the energy transition and the fight against climate change cannot be addressed in isolation, but must be integrated into a common strategic vision that combines sustainability, social resilience and political autonomy (Mazurier et al., 2020). The work is structured around five thematic axes. First, the conceptual framework of the link between climate and security is examined from the academic literature, highlighting the role of climate change as a risk multiplier (Barnett &amp; Adger, 2007) and the complexity of multilevel governance (Keohane &amp; Victor, 2011). Secondly, the European regulatory framework is analysed, especially the European Green Deal and the Strategic Compass, as pillars that redefine security in integrated terms: energy, climate and civil. Thirdly, the Spanish case is contextualised, emphasising its high energy dependence and climate vulnerability, but also its potential to lead a transition from the local level with renewable energies and decentralisation. Fourthly, the cooperation mechanisms between the EU and Spain are presented, such as electricity interconnections, green hydrogen all</w:t>
      </w:r>
    </w:p>
    <w:p>
      <w:pPr>
        <w:pStyle w:val="Heading2"/>
      </w:pPr>
      <w:r>
        <w:t>598. Foresight as a tool of public administration in the field of science, technology and innovation</w:t>
      </w:r>
    </w:p>
    <w:p>
      <w:pPr>
        <w:pStyle w:val="SourceNote"/>
      </w:pPr>
      <w:r>
        <w:rPr>
          <w:b/>
        </w:rPr>
        <w:t>Original source (2021):</w:t>
      </w:r>
      <w:r>
        <w:t xml:space="preserve"> https://doi.org/10.23939/eem2021.01.090</w:t>
      </w:r>
    </w:p>
    <w:p>
      <w:pPr/>
      <w:r>
        <w:t>Original wording (abstract; indexed_source_text_not_full_document_verified):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w:t>
      </w:r>
    </w:p>
    <w:p>
      <w:pPr/>
      <w:r>
        <w:rPr>
          <w:b/>
        </w:rPr>
        <w:t>POSSIBLE 2026:</w:t>
      </w:r>
      <w:r>
        <w:t xml:space="preserve"> The role of individual characteristics in risk perception in fruit-growing — https://doi.org/10.22620/sciworks.2025.03.011</w:t>
      </w:r>
    </w:p>
    <w:p>
      <w:pPr/>
      <w:r>
        <w:rPr>
          <w:b/>
        </w:rPr>
        <w:t>Shared claim-specific concepts:</w:t>
      </w:r>
      <w:r>
        <w:t xml:space="preserve"> given, growing, role; EU scope not established. This is a provisional connection, not an outcome finding.</w:t>
      </w:r>
    </w:p>
    <w:p>
      <w:pPr>
        <w:pStyle w:val="SourceNote"/>
      </w:pPr>
      <w:r>
        <w:rPr>
          <w:b/>
        </w:rPr>
        <w:t>Available abstract (not full text):</w:t>
      </w:r>
      <w:r>
        <w:t xml:space="preserve"> Given the increasing exposure to risks in agriculture, it was important to analyse the range of determinants affecting the risk management process. The presented study of risk management in fruit growing focused on the potential role of farmers’ individual demographic factors – gender, age, years of experience and educational status – as potentially influential determinants in decision-making process. A survey with 86 representatives from the Plovdiv region took place in 2024 to collect contemporary data and analyse in detail individual perceptions and possible directions in managing various types of risks. The accessed information suggested significant differences in the perceptions of risk depending on the individual characteristics of every participant. More specifically, female fruit growers were considerably more sensitive to risk than their male counterparts. Research findings also showed that the improvement of the educational status of farmers coincided with an increasing interest in risk management. The role of education was quite significant since it enhanced one’s awareness regarding the existing threats, as well as the pro-active application of difference managerial solutions in practice. Moreover, findings suggested that individual age could also foster risk management, but the effect was limited to the middle-aged participants only. In contrast, the duration of in</w:t>
      </w:r>
    </w:p>
    <w:p>
      <w:pPr/>
      <w:r>
        <w:rPr>
          <w:b/>
        </w:rPr>
        <w:t>POSSIBLE 2026:</w:t>
      </w:r>
      <w:r>
        <w:t xml:space="preserve"> THE ROLE OF STRATEGIC FORESIGHT IN FINANCIAL DECISIONS IN BANKS — https://openalex.org/W7220265426</w:t>
      </w:r>
    </w:p>
    <w:p>
      <w:pPr/>
      <w:r>
        <w:rPr>
          <w:b/>
        </w:rPr>
        <w:t>Shared claim-specific concepts:</w:t>
      </w:r>
      <w:r>
        <w:t xml:space="preserve"> given, growing, role, foresight, challenges; EU scope not established. This is a provisional connection, not an outcome finding.</w:t>
      </w:r>
    </w:p>
    <w:p>
      <w:pPr>
        <w:pStyle w:val="SourceNote"/>
      </w:pPr>
      <w:r>
        <w:rPr>
          <w:b/>
        </w:rPr>
        <w:t>Available abstract (not full text):</w:t>
      </w:r>
      <w:r>
        <w:t xml:space="preserve"> This research aims to study the growing role of strategic foresight in improving the quality of financial decisions within public and private institutions, given the rapidly evolving and increasingly uncertain economic environments. Institutions are facing financial challenges related to sudden market changes, resource volatility, and intensifying global competition. This necessitates the use of foresight tools and methods capable of supporting financial decision-makers in understanding future trends and evaluating potential paths. The research addresses the concept of strategic foresight as a systematic process that aims to analyze the future by leveraging data, indicators, and weak signals to develop a future vision that aids in long-term financial planning.</w:t>
      </w:r>
    </w:p>
    <w:p>
      <w:pPr/>
      <w:r>
        <w:rPr>
          <w:b/>
        </w:rPr>
        <w:t>POSSIBLE 2026:</w:t>
      </w:r>
      <w:r>
        <w:t xml:space="preserve"> Strategic Technology Foresight Certification Assessment — https://doi.org/10.17605/osf.io/tc796</w:t>
      </w:r>
    </w:p>
    <w:p>
      <w:pPr/>
      <w:r>
        <w:rPr>
          <w:b/>
        </w:rPr>
        <w:t>Shared claim-specific concepts:</w:t>
      </w:r>
      <w:r>
        <w:t xml:space="preserve"> given, growing, technological, foresight, era, approach; EU scope not established. This is a provisional connection, not an outcome finding.</w:t>
      </w:r>
    </w:p>
    <w:p>
      <w:pPr>
        <w:pStyle w:val="SourceNote"/>
      </w:pPr>
      <w:r>
        <w:rPr>
          <w:b/>
        </w:rPr>
        <w:t>Available abstract (not full text):</w:t>
      </w:r>
      <w:r>
        <w:t xml:space="preserve"> In an era defined by exponential technological advancement, the capacity to anticipate, interpret, and strategically respond to future developments has become a defining attribute of organizational success. Yoesoep Edhie Rachmad (YER), reflected in the formulation of this framework in 2022, it became increasingly evident that traditional models of planning and decision-making are no longer sufficient to address the complexity and uncertainty of the contemporary technological landscape. The emergence of disruptive innovations, coupled with accelerating cycles of change, demands a new paradigm one that integrates foresight, strategy, and adaptive capability into a cohesive system of leadership and governance. The Strategic Technology Foresight Certification Assessment is conceived as a response to this paradigm shift. It is not merely an evaluative instrument but a comprehensive framework designed to cultivate and measure the competencies required for navigating an uncertain technological future. At its core, this assessment seeks to redefine foresight as a strategic capability one that transcends predictive analytics and extends into the realms of visioning, sense-making, and transformative decision-making. Technology foresight has traditionally been associated with forecasting trends and identifying emerging innovations. While these functions remain important, they represent on</w:t>
      </w:r>
    </w:p>
    <w:p>
      <w:pPr/>
      <w:r>
        <w:rPr>
          <w:b/>
        </w:rPr>
        <w:t>POSSIBLE 2026:</w:t>
      </w:r>
      <w:r>
        <w:t xml:space="preserve"> The next episode for narrative foresight — https://doi.org/10.1016/j.futures.2026.103876</w:t>
      </w:r>
    </w:p>
    <w:p>
      <w:pPr/>
      <w:r>
        <w:rPr>
          <w:b/>
        </w:rPr>
        <w:t>Shared claim-specific concepts:</w:t>
      </w:r>
      <w:r>
        <w:t xml:space="preserve"> foresight, ways, approach; EU scope not established. This is a provisional connection, not an outcome finding.</w:t>
      </w:r>
    </w:p>
    <w:p>
      <w:pPr>
        <w:pStyle w:val="SourceNote"/>
      </w:pPr>
      <w:r>
        <w:rPr>
          <w:b/>
        </w:rPr>
        <w:t>Available abstract (not full text):</w:t>
      </w:r>
      <w:r>
        <w:t xml:space="preserve"> Narratives serve as powerful tools in futures studies, as they enable people to engage with different types of futures through identification, emotional connection, and immersion. To establish this, we contribute to narrative foresight by introducing the narratives-with-branches methodology which is a systematic approach for translating participatory ideas into possible futures. To be more specific, we discuss four narratives concerning futures of hybrid work, each constructed around paradoxes and tipping points that open space for thinking of possible future trajectories. The narratives were developed and refined through a multi-stage process involving expert consultation, stakeholder engagement, and a participatory workshop we mainly focus on. In the narratives-with-branches methodology , workshop-generated ideas are interpreted as inputs, formulated into episodes, and clustered into episode themes. We classify these themes as repeating , ephemeral , or obscure , corresponding to plausible , possible , and radical futures respectively. While we focus on the use of the methodology only in one case, we discuss how the methodology provides a conceptual machinery for branching narratives in structured but flexible ways. We discuss how collective intelligence in the form of a workshop discussion can branch baseline narratives toward preferred futures and how the methodology can be</w:t>
      </w:r>
    </w:p>
    <w:p>
      <w:pPr/>
      <w:r>
        <w:rPr>
          <w:b/>
        </w:rPr>
        <w:t>POSSIBLE 2026:</w:t>
      </w:r>
      <w:r>
        <w:t xml:space="preserve"> Drones – Weapon Systems with a Growing Role in Military Conflict — https://doi.org/10.55535/rmt.2025.3.03</w:t>
      </w:r>
    </w:p>
    <w:p>
      <w:pPr/>
      <w:r>
        <w:rPr>
          <w:b/>
        </w:rPr>
        <w:t>Shared claim-specific concepts:</w:t>
      </w:r>
      <w:r>
        <w:t xml:space="preserve"> growing, role, technological, challenges, ukraine; EU scope not established. This is a provisional connection, not an outcome finding.</w:t>
      </w:r>
    </w:p>
    <w:p>
      <w:pPr>
        <w:pStyle w:val="SourceNote"/>
      </w:pPr>
      <w:r>
        <w:rPr>
          <w:b/>
        </w:rPr>
        <w:t>Available abstract (not full text):</w:t>
      </w:r>
      <w:r>
        <w:t xml:space="preserve"> To strengthen national security, promote national interests, achieve or maintain technological superiority, and keep up with competitors, most states are increasingly focusing on developing effective and efficient military technologies. Drones are reshaping the way warfare is conducted in all domains. Recent conflicts, including the wars in Ukraine and in the Middle East, have been characterized by the use of drones on an unprecedented scale, making a relevant contribution to achieving success on the battlefield, which has triggered the race to develop cost-effective interceptors/drones against drones. The evolution of drones has gone, in a relatively short time, through several phases, moving from the target drone to the space- operating drone. The lessons of war have generated questions regarding the possibility of replacing traditional weapons by drones, their classification as a type of weapon, as well as challenges regarding their reliability, potential advantages and disadvantages. Drones have proven effective in operations and environments where other types of technology are difficult to use. The primary motivation for drone using – getting soldiers out of harm’s way – has been recognized during this period. Amid rising geopolitical tensions, technological advances in drones and artificial intelligence continue to reshape warfare and transform the battlefield.</w:t>
      </w:r>
    </w:p>
    <w:p>
      <w:pPr/>
      <w:r>
        <w:rPr>
          <w:b/>
        </w:rPr>
        <w:t>POSSIBLE 2026:</w:t>
      </w:r>
      <w:r>
        <w:t xml:space="preserve"> Growing futures: The Role of Agri-Entrepreneurship in rural transformation — https://doi.org/10.55248/gengpi.07.0126.0122</w:t>
      </w:r>
    </w:p>
    <w:p>
      <w:pPr/>
      <w:r>
        <w:rPr>
          <w:b/>
        </w:rPr>
        <w:t>Shared claim-specific concepts:</w:t>
      </w:r>
      <w:r>
        <w:t xml:space="preserve"> growing, role, technological, challenges, approach, innovation; EU scope not established. This is a provisional connection, not an outcome finding.</w:t>
      </w:r>
    </w:p>
    <w:p>
      <w:pPr>
        <w:pStyle w:val="SourceNote"/>
      </w:pPr>
      <w:r>
        <w:rPr>
          <w:b/>
        </w:rPr>
        <w:t>Available abstract (not full text):</w:t>
      </w:r>
      <w:r>
        <w:t xml:space="preserve"> Agriculture has long been the backbone of rural economies, but modern challenges such as climate change, market fluctuations, and technological disruption demand innovative solutions.Agricultural entrepreneurship, or agripreneurship, integrates innovation, technology, and business strategies to create profitable and sustainable ventures in farming and allied sectors.This approach not only enhances productivity and generates employment but also drives structural changes in rural economies by promoting value addition, strengthening infrastructure, and fostering a supportive ecosystem.Skilled and tech-savvy agripreneurs improve market access, encourage sustainable practices, and enhance resilience against environmental and economic uncertainties.Overall, agripreneurship acts as a catalyst for inclusive growth, sustainable development, and long-term rural transformation.</w:t>
      </w:r>
    </w:p>
    <w:p>
      <w:pPr/>
      <w:r>
        <w:rPr>
          <w:b/>
        </w:rPr>
        <w:t>POSSIBLE 2025:</w:t>
      </w:r>
      <w:r>
        <w:t xml:space="preserve"> Transformations Along the Periphery – The Growing Role of Islam in Malta in the Decade Following the Arab Spring — https://doi.org/10.71069/ipr2.25.mc07</w:t>
      </w:r>
    </w:p>
    <w:p>
      <w:pPr/>
      <w:r>
        <w:rPr>
          <w:b/>
        </w:rPr>
        <w:t>Shared claim-specific concepts:</w:t>
      </w:r>
      <w:r>
        <w:t xml:space="preserve"> given, growing, role, challenges; EU scope visible. This is a provisional connection, not an outcome finding.</w:t>
      </w:r>
    </w:p>
    <w:p>
      <w:pPr>
        <w:pStyle w:val="SourceNote"/>
      </w:pPr>
      <w:r>
        <w:rPr>
          <w:b/>
        </w:rPr>
        <w:t>Available abstract (not full text):</w:t>
      </w:r>
      <w:r>
        <w:t xml:space="preserve"> This article examines the increasing role of Islam in Malta in the decade following the onset of the Arab Spring, a development largely driven by rising migration levels toward Europe. The study begins with a historical overview of Islam’s presence in Malta, followed by an analysis of available statistical data regarding the country’s Muslim population. Lastly, the article explores specific challenges faced by Maltese Muslims that are of significant importance to this religious group. The research is based on official state documents concerning demographic trends, reports from international organizations, materials published in local media, and insights from spiritual leaders and public figures. The study concludes that, given the sustained high levels of migration, the influence of Islam in Malta is likely to continue growing.</w:t>
      </w:r>
    </w:p>
    <w:p>
      <w:pPr/>
      <w:r>
        <w:rPr>
          <w:b/>
        </w:rPr>
        <w:t>POSSIBLE 2025:</w:t>
      </w:r>
      <w:r>
        <w:t xml:space="preserve"> Leveraging GenAI for technology foresight — https://doi.org/10.1017/pds.2025.10236</w:t>
      </w:r>
    </w:p>
    <w:p>
      <w:pPr/>
      <w:r>
        <w:rPr>
          <w:b/>
        </w:rPr>
        <w:t>Shared claim-specific concepts:</w:t>
      </w:r>
      <w:r>
        <w:t xml:space="preserve"> growing, technological, foresight, challenges; EU scope not established. This is a provisional connection, not an outcome finding.</w:t>
      </w:r>
    </w:p>
    <w:p>
      <w:pPr>
        <w:pStyle w:val="SourceNote"/>
      </w:pPr>
      <w:r>
        <w:rPr>
          <w:b/>
        </w:rPr>
        <w:t>Available abstract (not full text):</w:t>
      </w:r>
      <w:r>
        <w:t xml:space="preserve"> ABSTRACT: Facing increasingly dynamic market environments and global challenges such as climate change and resource scarcity, companies are under constant pressure to innovate and remain competitive. As technology is a key enabler, companies need to understand the drivers of technological change. Technology Foresight systematically identifies and analyzes emerging technologies to support engineering design decisions. However, the growing volume of data is outpacing manual processing capabilities. This research explores the integration of Generative AI to enhance Technology Foresight by automating technology analysis and information synthesis. This paper presents a comprehensive problem analysis, reviews existing solutions, and proposes a framework that demonstrates the potential of Large Language Models combined with a Retrieval Augmented Generation architecture to transform Technology Foresight.</w:t>
      </w:r>
    </w:p>
    <w:p>
      <w:pPr/>
      <w:r>
        <w:rPr>
          <w:b/>
        </w:rPr>
        <w:t>POSSIBLE 2025:</w:t>
      </w:r>
      <w:r>
        <w:t xml:space="preserve"> The growing role of genomics and genetics in the management of cardiovascular diseases — https://doi.org/10.1093/eurheartj/ehaf1019</w:t>
      </w:r>
    </w:p>
    <w:p>
      <w:pPr/>
      <w:r>
        <w:rPr>
          <w:b/>
        </w:rPr>
        <w:t>Shared claim-specific concepts:</w:t>
      </w:r>
      <w:r>
        <w:t xml:space="preserve"> given, growing, role, approach; EU scope visible. This is a provisional connection, not an outcome finding.</w:t>
      </w:r>
    </w:p>
    <w:p>
      <w:pPr>
        <w:pStyle w:val="SourceNote"/>
      </w:pPr>
      <w:r>
        <w:rPr>
          <w:b/>
        </w:rPr>
        <w:t>Available abstract (not full text):</w:t>
      </w:r>
      <w:r>
        <w:t xml:space="preserve"> For the podcast associated with this article, please visit https://academic.oup.com/eurheartj/pages/Podcasts. This Focus Issue on genetics starts with a Viewpoint article entitled ‘Education in cardiovascular genomics and genetics: time for action’ by Giuseppe Limongelli from The University of Campania Luigi Vanvitelli in Naples, Italy, and colleagues which address the important topic of education in cardiogenetics and cardiogenomics, an emerging field in cardiology, with progressive and targeted education needs for students, scientists, clinicians, and different healthcare professional figures.1 In December 2024, the European Society of Cardiology (ESC) Council for Cardiogenomics met to discuss the current state of the art in cardiovascular genetic medicine enriched by several recent excellent publications.2–11 The group sought to address a key question in contemporary cardiology: namely, is it time to include education in cardiovascular genetics and genomics in the core training for cardiologists? The answer was an unequivocal yes, given its potential to improve the diagnosis and treatment of cardiovascular disease. However, the challenge lay in determining the most effective means of achieving this goal. Certain genetic forms of dilated cardiomyopathy (DCM) entail a higher arrhythmic risk. It is unknown whether DCM patients with high-risk arrhythmic genotypes also develop mo</w:t>
      </w:r>
    </w:p>
    <w:p>
      <w:pPr/>
      <w:r>
        <w:rPr>
          <w:b/>
        </w:rPr>
        <w:t>POSSIBLE 2025:</w:t>
      </w:r>
      <w:r>
        <w:t xml:space="preserve"> Centered? The Growing Role of Centers in Intelligence Studies Programs — https://doi.org/10.5038/1944-0472.18.3.2412</w:t>
      </w:r>
    </w:p>
    <w:p>
      <w:pPr/>
      <w:r>
        <w:rPr>
          <w:b/>
        </w:rPr>
        <w:t>Shared claim-specific concepts:</w:t>
      </w:r>
      <w:r>
        <w:t xml:space="preserve"> growing, role, approach; EU scope not established. This is a provisional connection, not an outcome finding.</w:t>
      </w:r>
    </w:p>
    <w:p>
      <w:pPr>
        <w:pStyle w:val="SourceNote"/>
      </w:pPr>
      <w:r>
        <w:rPr>
          <w:b/>
        </w:rPr>
        <w:t>Available abstract (not full text):</w:t>
      </w:r>
      <w:r>
        <w:t xml:space="preserve"> In recent years, civilian higher education programs in the area of Intelligence Studies have begun adding academic centers as a complement to their existing curriculum offerings. This study traces the development, operations, and impact of four such centers in the United States. Through a comparative case study approach, it is found that while centers in this subject area may focus on different educational objectives, each works toward this goal with an interdisciplinary approach and a desire to grow their capabilities in the area of cybersecurity. The development of such centers in the field of Intelligence Studies raises questions about the future of such extra-curricular opportunities as a programmatic expectation.</w:t>
      </w:r>
    </w:p>
    <w:p>
      <w:pPr/>
      <w:r>
        <w:rPr>
          <w:b/>
        </w:rPr>
        <w:t>POSSIBLE 2025:</w:t>
      </w:r>
      <w:r>
        <w:t xml:space="preserve"> Growing table grapes on the pergola system and the role of the irrigation system — https://doi.org/10.59295/rler2024.36</w:t>
      </w:r>
    </w:p>
    <w:p>
      <w:pPr/>
      <w:r>
        <w:rPr>
          <w:b/>
        </w:rPr>
        <w:t>Shared claim-specific concepts:</w:t>
      </w:r>
      <w:r>
        <w:t xml:space="preserve"> given, growing, role, challenges; EU scope not established. This is a provisional connection, not an outcome finding.</w:t>
      </w:r>
    </w:p>
    <w:p>
      <w:pPr>
        <w:pStyle w:val="SourceNote"/>
      </w:pPr>
      <w:r>
        <w:rPr>
          <w:b/>
        </w:rPr>
        <w:t>Available abstract (not full text):</w:t>
      </w:r>
      <w:r>
        <w:t xml:space="preserve"> The wine sector is the business card of the Republic of Moldova, which emphasizes and highlights its social and cultural values and economic potential, especially wine tourism and international commercial relations formed by promoting wine production and export. The wine sector contributes to the socio-economic character of the country and is attractive from several points of view, including business development and investment. Over the years, the wine industry has gone through various major crises, which have had negative effects on exports, reduced the size of businesses and generated significant losses for producers, affecting financial performance and leading to recessions in the sector. Among the strategic challenges of the wine sector is the need to improve the quality of the products and comply with quality standards and competitiveness on international markets. In order to achieve these objectives, an extensive process of reform and modernization of viticulture was launched. The purpose of the given article consists in the complex and deep study of the strategies, oriented towards the modernization of the wine sector, fundamental premises of sectoral support of the production of table grapes, the adaptation of research methods to the factors, processes and current phenomena, particular to the sector and the development of recommendations, which would contribute to susta</w:t>
      </w:r>
    </w:p>
    <w:p>
      <w:pPr/>
      <w:r>
        <w:rPr>
          <w:b/>
        </w:rPr>
        <w:t>POSSIBLE 2025:</w:t>
      </w:r>
      <w:r>
        <w:t xml:space="preserve"> Agrifood policy after Brexit: The growing role of agroecology in Wales — https://doi.org/10.1016/j.jrurstud.2024.103559</w:t>
      </w:r>
    </w:p>
    <w:p>
      <w:pPr/>
      <w:r>
        <w:rPr>
          <w:b/>
        </w:rPr>
        <w:t>Shared claim-specific concepts:</w:t>
      </w:r>
      <w:r>
        <w:t xml:space="preserve"> growing, role, challenges, innovation; EU scope not established. This is a provisional connection, not an outcome finding.</w:t>
      </w:r>
    </w:p>
    <w:p>
      <w:pPr>
        <w:pStyle w:val="SourceNote"/>
      </w:pPr>
      <w:r>
        <w:rPr>
          <w:b/>
        </w:rPr>
        <w:t>Available abstract (not full text):</w:t>
      </w:r>
      <w:r>
        <w:t xml:space="preserve"> The UK's exit from the Common Agricultural Policy has created an opportunity for significant agrifood policy change. In Wales, plans to implement a ‘Community Food Strategy’ promise to lend more support to domestic, community-based, and ecologically sustainable food provision, echoing policy demands made by agroecological organisations. However, The Welsh agrifood system's specialisation around meat production and trade stand in direct opposition to these ambitions. This paper analyses the Welsh government's reforms in light of these tensions to explain what achievements and challenges a small, trade-dependent nation faces when attempting to change its agrifood system. It examines policy claims and advocacy activities by agroecological organisations, assesses to what extent the government addresses those claims, and discusses the overall trajectory of Welsh agrifood policy. The paper draws on ‘Foundational Economy’ scholarship to conceptualise agroecology as a socio-ecological innovation capable of informing large-scale sustainability transitions through active citizenship and policy change. Empirical data is drawn from qualitative analyses of policy documents and interviews with agroecological organisations. The paper finds that agroecological organisations provide the Welsh Government with arguments, data, and best practices, but struggle to see their more ambitious claims im</w:t>
      </w:r>
    </w:p>
    <w:p>
      <w:pPr>
        <w:pStyle w:val="Heading2"/>
      </w:pPr>
      <w:r>
        <w:t>599. Future Low-Carbon Transport Scenarios: Practice Theory-Based Visioning for Backcasting Studies</w:t>
      </w:r>
    </w:p>
    <w:p>
      <w:pPr>
        <w:pStyle w:val="SourceNote"/>
      </w:pPr>
      <w:r>
        <w:rPr>
          <w:b/>
        </w:rPr>
        <w:t>Original source (2021):</w:t>
      </w:r>
      <w:r>
        <w:t xml:space="preserve"> https://doi.org/10.3390/su14010074</w:t>
      </w:r>
    </w:p>
    <w:p>
      <w:pPr/>
      <w:r>
        <w:t>Original wording (abstract; indexed_source_text_not_full_document_verified): The visioning exercise resulted in the development of four different scenarios: the business-as-usual scenario and three alternative scenarios for transport in 2050 in Malta; High-Tech Mobility (with a focus on clean technology); Local Mobility (with more local travel and reducing the need to travel over longer distances); and Green and Active Mobility (where active forms of travel are prioritised over motorised forms of transport). The visioning phase, which involves the construction of a set of scenarios describing alternative futures, is the first phase in backcasting, and engaging different stakeholders during the visioning phase is considered an important aspect in transport studies.</w:t>
      </w:r>
    </w:p>
    <w:p>
      <w:pPr/>
      <w:r>
        <w:rPr>
          <w:b/>
        </w:rPr>
        <w:t>POSSIBLE 2026:</w:t>
      </w:r>
      <w:r>
        <w:t xml:space="preserve"> Imaginaries of European Technology Frontrunners : Towards the Silicon Valley Vision or the European Dream? — https://openalex.org/W7204372713</w:t>
      </w:r>
    </w:p>
    <w:p>
      <w:pPr/>
      <w:r>
        <w:rPr>
          <w:b/>
        </w:rPr>
        <w:t>Shared claim-specific concepts:</w:t>
      </w:r>
      <w:r>
        <w:t xml:space="preserve"> exercise, different, three, alternative, technology, over; EU scope visible. This is a provisional connection, not an outcome finding.</w:t>
      </w:r>
    </w:p>
    <w:p>
      <w:pPr>
        <w:pStyle w:val="SourceNote"/>
      </w:pPr>
      <w:r>
        <w:rPr>
          <w:b/>
        </w:rPr>
        <w:t>Available abstract (not full text):</w:t>
      </w:r>
      <w:r>
        <w:t xml:space="preserve"> This dissertation examines the development of the platform society and explores how European technology and platform company leaders imagine society and democracy at the age of platformization. Platformization is a process akin to industrialization or electrification that refers to multifaceted transformation of globalized societies where everyday functions increasingly take place on digital platforms. Although the global platform infrastructure is largely operated by the American platforms, the European technology and platform leaders are important figures in operating sectoral platforms in the European continent. Also in recent years the debate about European technological sovereignty has been intensifying putting more emphasis on the role of European companies and their abilities to take up this challenge of building European platform infrastructure with values aligning with the EU. The research sheds light on this question by examining what are the social imaginaries of European platforms and technology leaders and influencers and whether they align with the European lawmakers' visions. The American technology companies have been dominating the construction of the platform society and they share certain assumptions and ideologies which are grounded to the ethos of the American society in the form of libertarianism, Second World War and Cold War laboratories and their ambiti</w:t>
      </w:r>
    </w:p>
    <w:p>
      <w:pPr/>
      <w:r>
        <w:rPr>
          <w:b/>
        </w:rPr>
        <w:t>POSSIBLE 2026:</w:t>
      </w:r>
      <w:r>
        <w:t xml:space="preserve"> Four leaders, four decades: leadership and European parliament's secretaries-general — https://doi.org/10.4324/9781003753483-10</w:t>
      </w:r>
    </w:p>
    <w:p>
      <w:pPr/>
      <w:r>
        <w:rPr>
          <w:b/>
        </w:rPr>
        <w:t>Shared claim-specific concepts:</w:t>
      </w:r>
      <w:r>
        <w:t xml:space="preserve"> four, focus; EU scope visible. This is a provisional connection, not an outcome finding.</w:t>
      </w:r>
    </w:p>
    <w:p>
      <w:pPr>
        <w:pStyle w:val="SourceNote"/>
      </w:pPr>
      <w:r>
        <w:rPr>
          <w:b/>
        </w:rPr>
        <w:t>Available abstract (not full text):</w:t>
      </w:r>
      <w:r>
        <w:t xml:space="preserve"> This article examines administrative leadership at the top of the European Parliament by exploring the role played by Secretaries-General. Employing an institutional approach, administrative leadership is defined as behaviour that shapes the institutional character of an organization, infusing it with values and missions. The article aims to understand the behaviours that constitute the administrative leadership of the Secretary-General in the European Parliament and whether these behaviours focus solely on administrative and management tasks or also encompass the political aspects of the European Parliament as an institution. Drawing on four high-level interviews with Secretaries-General who led the European Parliament’s administration from 1986 to 2022, the study reveals that administrative leadership exhibits an institutional character, focusing on strengthening the powers of the European Parliament through both management and involvement in tasks with a political dimension. Findings show that the institutional development of the European Parliament has been shaped by a collaborative effort between its political and administrative leaders. The conclusion underscores the necessity of studying political and administrative leadership together as public leadership to comprehend how the European Parliament leads within the European Union, particularly in addressing contemporary d</w:t>
      </w:r>
    </w:p>
    <w:p>
      <w:pPr/>
      <w:r>
        <w:rPr>
          <w:b/>
        </w:rPr>
        <w:t>POSSIBLE 2026:</w:t>
      </w:r>
      <w:r>
        <w:t xml:space="preserve"> Exercise Physiology — https://openalex.org/W7207012056</w:t>
      </w:r>
    </w:p>
    <w:p>
      <w:pPr/>
      <w:r>
        <w:rPr>
          <w:b/>
        </w:rPr>
        <w:t>Shared claim-specific concepts:</w:t>
      </w:r>
      <w:r>
        <w:t xml:space="preserve"> exercise, different, technology; EU scope not established. This is a provisional connection, not an outcome finding.</w:t>
      </w:r>
    </w:p>
    <w:p>
      <w:pPr>
        <w:pStyle w:val="SourceNote"/>
      </w:pPr>
      <w:r>
        <w:rPr>
          <w:b/>
        </w:rPr>
        <w:t>Available abstract (not full text):</w:t>
      </w:r>
      <w:r>
        <w:t xml:space="preserve"> This book, Exercise Physiology - Bridging Health, Training Performance and Technology , seeks to bring together diverse fields of knowledge in a modern, interdisciplinary framework. Throughout its chapters, exercise physiology reveals how the body responds to and adapts to physical exertion, and what types of performance result from these adaptations in both practical and evolutionary contexts. Technology is assumed to be a mediating and enhancing element, enabling more effective interventions and decisions with more precise information. The result is an integrated, up-to-date look at human body movement, capable of inspiring professionals, students, and researchers to rethink sport and health from an innovative, connected perspective. This book presents itself as an indispensable read for anyone who wants to understand the interconnections among training, sport, health, and human performance. These chapters reveal, in an engaging way, knowledge of real results across different practice contexts as a driving strength that optimizes interventions and transforms decision-making. The reader finds here an integrated and inspiring vision, inviting exploration of something current in science, training, and innovation.</w:t>
      </w:r>
    </w:p>
    <w:p>
      <w:pPr/>
      <w:r>
        <w:rPr>
          <w:b/>
        </w:rPr>
        <w:t>POSSIBLE 2025:</w:t>
      </w:r>
      <w:r>
        <w:t xml:space="preserve"> Envisioning nature-positive futures for Europe: inspiring transformative change at the biodiversity nexus — https://doi.org/10.1080/26395916.2025.2561107</w:t>
      </w:r>
    </w:p>
    <w:p>
      <w:pPr/>
      <w:r>
        <w:rPr>
          <w:b/>
        </w:rPr>
        <w:t>Shared claim-specific concepts:</w:t>
      </w:r>
      <w:r>
        <w:t xml:space="preserve"> visioning, different, three; EU scope visible. This is a provisional connection, not an outcome finding.</w:t>
      </w:r>
    </w:p>
    <w:p>
      <w:pPr>
        <w:pStyle w:val="SourceNote"/>
      </w:pPr>
      <w:r>
        <w:rPr>
          <w:b/>
        </w:rPr>
        <w:t>Available abstract (not full text):</w:t>
      </w:r>
      <w:r>
        <w:t xml:space="preserve"> Transformative change is required to secure a liveable future for people and nature. The Nature Futures Framework (NFF) is a heuristic tool to facilitate the creation of plural visions of nature positive futures that help build shared motivation for transformative change. Integrating nexus approaches with the NFF leverages the foundational role of biodiversity in supporting desirable outcomes across sectors and scales (i.e., the biodiversity nexus). In this paper, we bring these areas of biodiversity research together by co-creating plural visions of nature futures for Europe that make positive synergies within the biodiversity nexus explicit and consider transformative changes to the state of indirect drivers that enable them. In doing so, we aim to reflect upon methodological insights for future applications of the NFF. Nature futures for Europe were co-created with 26 participants representing diverse sectors and regions in Europe, resulting in three visions underpinned by different value perspectives: Dòigh Nàdair: The way of nature (Nature as Culture), NaturAll (Nature for Nature), and Return to Nature (Nature for Society). Subsequent analyses and a webinar enriched the narratives with possibilities for more synergistic nexus interactions. The findings highlight how plural visioning processes can generate distinct visions with positive nexus synergies enabled by unique ind</w:t>
      </w:r>
    </w:p>
    <w:p>
      <w:pPr/>
      <w:r>
        <w:rPr>
          <w:b/>
        </w:rPr>
        <w:t>POSSIBLE 2025:</w:t>
      </w:r>
      <w:r>
        <w:t xml:space="preserve"> Envisioning Health Data Space 2040. Insights and Outcomes from the First VELES Visioning Pilot Workshop — https://doi.org/10.5281/zenodo.17989653</w:t>
      </w:r>
    </w:p>
    <w:p>
      <w:pPr/>
      <w:r>
        <w:rPr>
          <w:b/>
        </w:rPr>
        <w:t>Shared claim-specific concepts:</w:t>
      </w:r>
      <w:r>
        <w:t xml:space="preserve"> visioning, exercise; EU scope visible. This is a provisional connection, not an outcome finding.</w:t>
      </w:r>
    </w:p>
    <w:p>
      <w:pPr>
        <w:pStyle w:val="SourceNote"/>
      </w:pPr>
      <w:r>
        <w:rPr>
          <w:b/>
        </w:rPr>
        <w:t>Available abstract (not full text):</w:t>
      </w:r>
      <w:r>
        <w:t xml:space="preserve"> VELES T6.3 Workshop 1 Report - February 2025 Scope of the report This report presents the process and results of the visioning co-creation workshop for the Health Data Space (HDS), organized under the VELES Excellence Hub project on 12 February 2025. The workshop represented the first phase of a foresight-inspired backcasting process exploring how a mature and inclusive HDS could function by the year 2040.The report is structured in two main parts. The first section provides the context of the workshop, outlining its objectives, participant composition, and methodological approach. The second section presents the consolidated results, including the validated and enriched use cases for each stakeholder category and the emerging visions of the future Health Data Space derived from these discussions.The outcomes serve as qualitative input for the continuation of Task 6.3, supporting the formulation of the Joint R&amp;I and Investment Strategic Agenda and Action Plan (D6.3) and the development of a shared vision for a trusted, interoperable, and citizen-centered Health Data Space. Context This workshop was conducted within the framework of the VELES Excellence Hub project – Strengthening the South-East Europe Smart Health Regional Excellence and Boosting the Innovation Potential, funded by the European Union’s Horizon Europe programme. The activities form part of Task 6.3 – Long-term C</w:t>
      </w:r>
    </w:p>
    <w:p>
      <w:pPr/>
      <w:r>
        <w:rPr>
          <w:b/>
        </w:rPr>
        <w:t>POSSIBLE 2025:</w:t>
      </w:r>
      <w:r>
        <w:t xml:space="preserve"> From Reaction to Foresight: EUPHA’s vision for health security in Europe — https://doi.org/10.1093/eurpub/ckaf071</w:t>
      </w:r>
    </w:p>
    <w:p>
      <w:pPr/>
      <w:r>
        <w:rPr>
          <w:b/>
        </w:rPr>
        <w:t>Shared claim-specific concepts:</w:t>
      </w:r>
      <w:r>
        <w:t xml:space="preserve"> different, local, over;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Visioning for transport practitioners — https://doi.org/10.1016/j.trip.2025.101483</w:t>
      </w:r>
    </w:p>
    <w:p>
      <w:pPr/>
      <w:r>
        <w:rPr>
          <w:b/>
        </w:rPr>
        <w:t>Shared claim-specific concepts:</w:t>
      </w:r>
      <w:r>
        <w:t xml:space="preserve"> visioning, three, transport, need; EU scope not established. This is a provisional connection, not an outcome finding.</w:t>
      </w:r>
    </w:p>
    <w:p>
      <w:pPr>
        <w:pStyle w:val="SourceNote"/>
      </w:pPr>
      <w:r>
        <w:rPr>
          <w:b/>
        </w:rPr>
        <w:t>Available abstract (not full text):</w:t>
      </w:r>
      <w:r>
        <w:t xml:space="preserve"> • There is increasing transport sector interest in vision-led planning. • Developing a vision (visioning) is non-trivial if it is to be meaningful and useful. • Addressing commonly asked questions helps guide the visioning approach. • Sharing experience of visioning in practice is a basis for supporting others. With increasing transport sector interest in vision-led rather than forecast-led planning, there is a growing need to think about what a good vision looks like, how a vision can be created, who should be involved in creating a vision, and, ultimately, what value a vision subsequently has. In the field of foresight and scenario planning, futures can be categorised as one of three types: probable, possible, and preferred. Preferred futures, or visions, characterise what we choose to work towards. They involve clarity around values, with the evident implication that values can be contested. The paper draws upon existing literature alongside the experience of the authors to examine considerations in the development of visions – as part of the vision-led approach to transport planning. It is framed by a set of ten guiding questions that, when taken in sequence, help to chart a course through the process of developing a vision (so-called ‘visioning’). The interdependent nature of the questions within the set is also highlighted.</w:t>
      </w:r>
    </w:p>
    <w:p>
      <w:pPr/>
      <w:r>
        <w:rPr>
          <w:b/>
        </w:rPr>
        <w:t>POSSIBLE 2025:</w:t>
      </w:r>
      <w:r>
        <w:t xml:space="preserve"> Plural Values of Culture in Europe — https://openalex.org/W7137507789</w:t>
      </w:r>
    </w:p>
    <w:p>
      <w:pPr/>
      <w:r>
        <w:rPr>
          <w:b/>
        </w:rPr>
        <w:t>Shared claim-specific concepts:</w:t>
      </w:r>
      <w:r>
        <w:t xml:space="preserve"> resulted, three, alternative;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2024:</w:t>
      </w:r>
      <w:r>
        <w:t xml:space="preserve"> Regulatory scoping exercise for the future adoption of autonomous inland ships in Europe — https://doi.org/10.1186/s41072-023-00160-x</w:t>
      </w:r>
    </w:p>
    <w:p>
      <w:pPr/>
      <w:r>
        <w:rPr>
          <w:b/>
        </w:rPr>
        <w:t>Shared claim-specific concepts:</w:t>
      </w:r>
      <w:r>
        <w:t xml:space="preserve"> exercise, technology; EU scope visible. This is a provisional connection, not an outcome finding.</w:t>
      </w:r>
    </w:p>
    <w:p>
      <w:pPr>
        <w:pStyle w:val="SourceNote"/>
      </w:pPr>
      <w:r>
        <w:rPr>
          <w:b/>
        </w:rPr>
        <w:t>Available abstract (not full text):</w:t>
      </w:r>
      <w:r>
        <w:t xml:space="preserve"> Abstract Shipping is a heavily regulated sector, and autonomous ships will by no means be able to escape the public regulator’s agenda. Furthermore, regulatory adaptation is necessary because current laws oppose the introduction of this new technology. In contrast to maritime shipping, in which considerable regulatory work on autonomous ships has already been achieved, the process of adapting inland shipping regulations for autonomous vessels is rather slow, thereby considerably hindering the further development of the sector. An important reason for this is the multi-levelled regulatory institutional structure in European inland shipping, which consequently has less unified rules than its maritime counterpart. In addition, previous research on regulatory obstacles is highly fragmented and restricted in scope. This study presents a systematic regulatory analysis of relevant inland shipping regulations by following the approach adopted by the International Maritime Organisation with respect to maritime shipping regulations, with the objective of identifying potential obstacles in relevant regulatory instruments and common themes across them. It also discusses the existing possibilities under current European Union law for the exceptional operation of autonomous inland ships and describes the latest policy directions taken by the European legislator to foster innovation developme</w:t>
      </w:r>
    </w:p>
    <w:p>
      <w:pPr/>
      <w:r>
        <w:rPr>
          <w:b/>
        </w:rPr>
        <w:t>POSSIBLE 2024:</w:t>
      </w:r>
      <w:r>
        <w:t xml:space="preserve"> A Focus Group Study on Participatory Practices in Early Childhood Education and Care Across Four European Countries — https://doi.org/10.1080/10409289.2024.2360868</w:t>
      </w:r>
    </w:p>
    <w:p>
      <w:pPr/>
      <w:r>
        <w:rPr>
          <w:b/>
        </w:rPr>
        <w:t>Shared claim-specific concepts:</w:t>
      </w:r>
      <w:r>
        <w:t xml:space="preserve"> four, different, focus, need, active; EU scope visible. This is a provisional connection, not an outcome finding.</w:t>
      </w:r>
    </w:p>
    <w:p>
      <w:pPr>
        <w:pStyle w:val="SourceNote"/>
      </w:pPr>
      <w:r>
        <w:rPr>
          <w:b/>
        </w:rPr>
        <w:t>Available abstract (not full text):</w:t>
      </w:r>
      <w:r>
        <w:t xml:space="preserve"> Participation in educational settings is a universal right of every child, consigned by the United Nations Convention on the Rights of the Child. This right encompasses the need to protect and encourage young children´s active participation and decision-making in early childhood education and care. Research Findings: This qualitative study, inspired by the Lundy model (2007), examined ECEC teachers’ (n = 25) and coordinators’ (n = 25) perceptions about participation practices, collected through focus groups conducted in Belgium, Greece, Poland, and Portugal. Participants were previously referred as implementing participatory practices. Results showed that the four dimensions of the Lundy model emerged in teachers’ and coordinators’ group discussions: Participative space, Children’s voice, Audience of children’s perspectives, and Influence. Furthermore, a number of subcategories in each dimension reflected different orientations toward participatory pedagogy. Practice or Policy: This study contributes to informing and inspiring participation practices in ECEC across Europe and to enriching policy discussions regarding children´s participation rights, particularly in the early years. Promising participatory practices were identified in the various dimensions of participation, though some challenges remain, requiring in-depth knowledge about pedagogical practices and the promotion</w:t>
      </w:r>
    </w:p>
    <w:p>
      <w:pPr/>
      <w:r>
        <w:rPr>
          <w:b/>
        </w:rPr>
        <w:t>POSSIBLE 2024:</w:t>
      </w:r>
      <w:r>
        <w:t xml:space="preserve"> Community visioning — https://doi.org/10.4337/9781802208870.00046</w:t>
      </w:r>
    </w:p>
    <w:p>
      <w:pPr/>
      <w:r>
        <w:rPr>
          <w:b/>
        </w:rPr>
        <w:t>Shared claim-specific concepts:</w:t>
      </w:r>
      <w:r>
        <w:t xml:space="preserve"> visioning, different, local; EU scope not established. This is a provisional connection, not an outcome finding.</w:t>
      </w:r>
    </w:p>
    <w:p>
      <w:pPr>
        <w:pStyle w:val="SourceNote"/>
      </w:pPr>
      <w:r>
        <w:rPr>
          <w:b/>
        </w:rPr>
        <w:t>Available abstract (not full text):</w:t>
      </w:r>
      <w:r>
        <w:t xml:space="preserve"> This chapter provides an overview of community visioning (CV) and its significance in Social Impact Assessment (SIA), particularly in social investment projects related to large footprint activities such as mines or dams. The chapter highlights the practical approaches used to engage local communities and other stakeholders in CV processes and explore various issues such as power dynamics. CV is a collaborative and inclusive community planning process aimed at establishing goals for the future of a community. In the CV process, community members come together to identify their current and preferred collective identity, purpose, and values and develop a shared vision of their future. The chapter further provides examples of the use of CV in different parts of the world, emphasising its role in promoting ownership of the outcome of the process and creating a platform for local community members to collaborate with other stakeholders and develop common priorities and actions.</w:t>
      </w:r>
    </w:p>
    <w:p>
      <w:pPr/>
      <w:r>
        <w:rPr>
          <w:b/>
        </w:rPr>
        <w:t>POSSIBLE 2023:</w:t>
      </w:r>
      <w:r>
        <w:t xml:space="preserve"> Pre-Visions: First Results of the EDEN Fellows Survey on the Futures of Learning — https://doi.org/10.5334/uproc.103</w:t>
      </w:r>
    </w:p>
    <w:p>
      <w:pPr/>
      <w:r>
        <w:rPr>
          <w:b/>
        </w:rPr>
        <w:t>Shared claim-specific concepts:</w:t>
      </w:r>
      <w:r>
        <w:t xml:space="preserve"> exercise, technology; EU scope visible. This is a provisional connection, not an outcome finding.</w:t>
      </w:r>
    </w:p>
    <w:p>
      <w:pPr>
        <w:pStyle w:val="SourceNote"/>
      </w:pPr>
      <w:r>
        <w:rPr>
          <w:b/>
        </w:rPr>
        <w:t>Available abstract (not full text):</w:t>
      </w:r>
      <w:r>
        <w:t xml:space="preserve"> Technology is pervasive and intertwined in many aspects of modern life and society. The digital revolution that is sweeping the world has shown its potential in education during the Covid-19 pandemic. It is rapidly transforming the way students learn, and as a result, technology is expected to improve the face of education by making it more inclusive and accessible. In the framework of the EDEN Pre-Visions project, the EDEN fellows conducted a prospective study on the future trends of open and digital education in Europe in the next decade. 40 EDEN Fellows took part in an online survey launched in January 2023. In this paper, we present and analyse the first results of this exercise, describing the views of the experts on six dimensions: the European context evolution and socio-economic dynamics; EdTech research and development; EdTech practices; institutional digital transformation; societal impacts and implications; policies and regulations.</w:t>
      </w:r>
    </w:p>
    <w:p>
      <w:pPr>
        <w:pStyle w:val="Heading2"/>
      </w:pPr>
      <w:r>
        <w:t>600. Future Precipitation Scenarios over Italy</w:t>
      </w:r>
    </w:p>
    <w:p>
      <w:pPr>
        <w:pStyle w:val="SourceNote"/>
      </w:pPr>
      <w:r>
        <w:rPr>
          <w:b/>
        </w:rPr>
        <w:t>Original source (2021):</w:t>
      </w:r>
      <w:r>
        <w:t xml:space="preserve"> https://doi.org/10.3390/w13101335</w:t>
      </w:r>
    </w:p>
    <w:p>
      <w:pPr/>
      <w:r>
        <w:t>Original wording (abstract; indexed_source_text_not_full_document_verified): After filtering the models with limited performances in reconstructing the current climate, the multi-model climate change scenarios were characterized by comparing the ensemble mean values computed for the base-line period (1971–2000) with those elaborated for the short- (2021–2050), medium- (2041–2070) and long-term (2071–2100). The investigations are made on the basis of a set of high-resolution Euro-CORDEX models (horizontal resolution 0.11°, about 12 km) to infer quantitative assessments about the danger of climate changes under three different Representative Concentration Pathways (RCPs): business as usual scenario, i.e., without a reduction in green-house gas emissions (RCP 8.5), medium stabilization scenario (RCP 4.5) and mitigation scenario (RCP 2.6).</w:t>
      </w:r>
    </w:p>
    <w:p>
      <w:pPr/>
      <w:r>
        <w:rPr>
          <w:b/>
        </w:rPr>
        <w:t>POSSIBLE 2026:</w:t>
      </w:r>
      <w:r>
        <w:t xml:space="preserve"> Groundwater Storage Changes within Europe: A Constrained Bayesian Integration of GRACE(-FO) Data into the W3RA Model — https://doi.org/10.6084/m9.figshare.31073527</w:t>
      </w:r>
    </w:p>
    <w:p>
      <w:pPr/>
      <w:r>
        <w:rPr>
          <w:b/>
        </w:rPr>
        <w:t>Shared claim-specific concepts:</w:t>
      </w:r>
      <w:r>
        <w:t xml:space="preserve"> after, climate; EU scope visible. This is a provisional connection, not an outcome finding.</w:t>
      </w:r>
    </w:p>
    <w:p>
      <w:pPr>
        <w:pStyle w:val="SourceNote"/>
      </w:pPr>
      <w:r>
        <w:rPr>
          <w:b/>
        </w:rPr>
        <w:t>Available abstract (not full text):</w:t>
      </w:r>
      <w:r>
        <w:t xml:space="preserve"> his dataset provides monthly estimates of groundwater storage change (GWS) across Europe at an effective spatial resolution of approximately 10 km, generated using an extended Constrained Bayesian (ConBay) data integration framework.The ConBay framework integrates satellite gravimetric observations from GRACE (2003–2017) and GRACE-FO (2018–present) with outputs from the W3RA hydrological model, while additionally constraining surface soil moisture states using independent observations from the ESA Climate Change Initiative (ESA CCI) soil moisture product (v09.1). This multi-source constraint improves the physical consistency between modeled and observed terrestrial water storage components and reduces equifinality in groundwater partitioning.To ensure spectral consistency, W3RA total water storage fields are transformed into the spectral domain and filtered using GRACE-consistent operators prior to assimilation. After Bayesian updating, residual components are reintroduced to enable physically coherent spatial downscaling of terrestrial water storage changes. ESA CCI soil moisture observations are incorporated as an independent constraint on surface soil moisture variability, improving consistency between surface and subsurface water storage dynamics.The resulting GWS estimates preserve the large-scale information content of GRACE while resolving sub-basin to regional-scale gro</w:t>
      </w:r>
    </w:p>
    <w:p>
      <w:pPr/>
      <w:r>
        <w:rPr>
          <w:b/>
        </w:rPr>
        <w:t>POSSIBLE 2026:</w:t>
      </w:r>
      <w:r>
        <w:t xml:space="preserve"> European Ground Motion Service: GNSS model 2015-2025 (vector), Europe, 2-yearly, Oct. 2026 — https://doi.org/10.2909/836a384f-bcd1-4da3-9ed8-ac2f1f292c55</w:t>
      </w:r>
    </w:p>
    <w:p>
      <w:pPr/>
      <w:r>
        <w:rPr>
          <w:b/>
        </w:rPr>
        <w:t>Shared claim-specific concepts:</w:t>
      </w:r>
      <w:r>
        <w:t xml:space="preserve"> after, filtering, values; EU scope visible. This is a provisional connection, not an outcome finding.</w:t>
      </w:r>
    </w:p>
    <w:p>
      <w:pPr>
        <w:pStyle w:val="SourceNote"/>
      </w:pPr>
      <w:r>
        <w:rPr>
          <w:b/>
        </w:rPr>
        <w:t>Available abstract (not full text):</w:t>
      </w:r>
      <w:r>
        <w:t xml:space="preserve"> The European Ground Motion Service (EGMS) is a component of the Copernicus Land Monitoring Service. EGMS provides consistent, regular, standardised, harmonised and reliable information regarding natural and anthropogenic ground motion phenomena over the Copernicus Participating States and across national borders, with millimetre accuracy. This layer is produced based on GNSS data from various sources, with the EUREF Densification network as the main entry point. After filtering and quality control, a total of ~4700 stations are used to generate the GNSS model that contains average velocities in east, north and up directions displayed on a 50-km grid. The grid dimension is determined by the optimal distance between these GNSS stations. The GNSS model is distributed to users in a single comma-separated values file. Each cell of the model is associated to a value of vertical and horizontal velocity. The product covers the Copernicus Participating States (except for DROMs), United Kingdom and Turkey.</w:t>
      </w:r>
    </w:p>
    <w:p>
      <w:pPr/>
      <w:r>
        <w:rPr>
          <w:b/>
        </w:rPr>
        <w:t>POSSIBLE 2026:</w:t>
      </w:r>
      <w:r>
        <w:t xml:space="preserve"> OAT Europe dataset — https://doi.org/10.5281/zenodo.23470443</w:t>
      </w:r>
    </w:p>
    <w:p>
      <w:pPr/>
      <w:r>
        <w:rPr>
          <w:b/>
        </w:rPr>
        <w:t>Shared claim-specific concepts:</w:t>
      </w:r>
      <w:r>
        <w:t xml:space="preserve"> after, climate, mean, values, computed, made; EU scope visible. This is a provisional connection, not an outcome finding.</w:t>
      </w:r>
    </w:p>
    <w:p>
      <w:pPr>
        <w:pStyle w:val="SourceNote"/>
      </w:pPr>
      <w:r>
        <w:rPr>
          <w:b/>
        </w:rPr>
        <w:t>Available abstract (not full text):</w:t>
      </w:r>
      <w:r>
        <w:t xml:space="preserve"> The Europe dataset of the paper "Observation Assimilation Transformer: Probabilistic Weather Analysis from Sparse Station Observations". It contains ERA5 surface fields, static fields and hourly station observations for Europe. The code is at https://github.com/SwissDataScienceCenter/observation_assimilation_transformer. Files `era5-europe-mars-n320-2019-2024-1h-v1.zarr.tar`: ERA5 surface fields (anemoi-datasets zarr format). `europe-static.zarr.tar`: elevation and distance to the coast. `hourly_2019_2025_temp_prcp_wspd_wpgt_rhum.parquet`: hourly station observations from Meteostat. `station_quality.parquet`: quality scores for each station. `SHA256SUMS`: the SHA-256 checksum of each file. The paths are the paths after the unpack. Download and check the files with the script of the code repository: &gt;&gt;&gt; python -m scripts.download_artifacts --what data --dest . The script unpacks the files into `data/` and checks each file against `SHA256SUMS`. ERA5 surface fields Source: ERA5 and ERA5.1 on the reduced Gaussian grid N320, from the ECMWF MARS archive (class `ea`, stream `oper`, surface level). `2t`, `10u`, `10v` and `tcc` are hourly analyses (type `an`). `tp` comes from the short-range forecasts (type `fc`, step 1 h). It is the accumulation over the hour. Variables: `2t` (2 m temperature, K), `10u` and `10v` (10 m wind components, m/s), `tcc` (total cloud cover, fraction 0 to 1), </w:t>
      </w:r>
    </w:p>
    <w:p>
      <w:pPr/>
      <w:r>
        <w:rPr>
          <w:b/>
        </w:rPr>
        <w:t>POSSIBLE 2026:</w:t>
      </w:r>
      <w:r>
        <w:t xml:space="preserve"> High-resolution modelling of organic aerosol over Europe: exploring spatial and temporal variability and drivers — https://doi.org/10.1016/j.envint.2026.110143</w:t>
      </w:r>
    </w:p>
    <w:p>
      <w:pPr/>
      <w:r>
        <w:rPr>
          <w:b/>
        </w:rPr>
        <w:t>Shared claim-specific concepts:</w:t>
      </w:r>
      <w:r>
        <w:t xml:space="preserve"> current, climate, mean, long-term; EU scope visible. This is a provisional connection, not an outcome finding.</w:t>
      </w:r>
    </w:p>
    <w:p>
      <w:pPr>
        <w:pStyle w:val="SourceNote"/>
      </w:pPr>
      <w:r>
        <w:rPr>
          <w:b/>
        </w:rPr>
        <w:t>Available abstract (not full text):</w:t>
      </w:r>
      <w:r>
        <w:t xml:space="preserve"> Organic aerosol (OA) is a major component of atmospheric particulate matter (PM), affecting both human health and climate. However, high-resolution estimates of OA exposure needed for exposure analysis remain scarce. Here, we integrate a chemical transport model (CAMx) with a random forest (RF) machine learning approach to bias-correct and downscale daily OA concentrations across Europe. CAMx OA simulations at ∼15 km resolution show moderate agreement with observations (r = 0.55). By combining these outputs with high-resolution land-use data and training the RF model on ∼48,000 daily OA measurements from 137 sites, prediction accuracy improved (r = 0.65), with ∼l5% reduction in root mean square error. The resulting maps provide European daily OA concentrations at ∼250 m resolution for alternate years from 2011 to 2019. The model captures key spatial features, including elevated OA in the Po Valley, Southeastern, and Central Europe, as well as intracity variations due to local hotspots. Seasonal analysis reveals higher concentrations in winter, while long-term trends indicate a general decline in OA levels. Exposure estimates show that half of the European population experiences OA levels above 3 µg/m 3 , and ∼50 million people are exposed to more than 5 µg/m 3 , which is the current guideline level recommended by the world health organization for total PM 2.5 . These high-resol</w:t>
      </w:r>
    </w:p>
    <w:p>
      <w:pPr/>
      <w:r>
        <w:rPr>
          <w:b/>
        </w:rPr>
        <w:t>POSSIBLE 2024:</w:t>
      </w:r>
      <w:r>
        <w:t xml:space="preserve"> MediAlbertina: An European Portuguese medical language model — https://doi.org/10.1016/j.compbiomed.2024.109233</w:t>
      </w:r>
    </w:p>
    <w:p>
      <w:pPr/>
      <w:r>
        <w:rPr>
          <w:b/>
        </w:rPr>
        <w:t>Shared claim-specific concepts:</w:t>
      </w:r>
      <w:r>
        <w:t xml:space="preserve"> after, filtering, values, made; EU scope visible. This is a provisional connection, not an outcome finding.</w:t>
      </w:r>
    </w:p>
    <w:p>
      <w:pPr>
        <w:pStyle w:val="SourceNote"/>
      </w:pPr>
      <w:r>
        <w:rPr>
          <w:b/>
        </w:rPr>
        <w:t>Available abstract (not full text):</w:t>
      </w:r>
      <w:r>
        <w:t xml:space="preserve"> Patient medical information often exists in unstructured text containing abbreviations and acronyms deemed essential to conserve time and space but posing challenges for automated interpretation. Leveraging the efficacy of Transformers in natural language processing, our objective was to use the knowledge acquired by a language model and continue its pre-training to develop an European Portuguese (PT-PT) healthcare-domain language model. After carrying out a filtering process, Albertina PT-PT 900M was selected as our base language model, and we continued its pre-training using more than 2.6 million electronic medical records from Portugal's largest public hospital. MediAlbertina 900M has been created through domain adaptation on this data using masked language modelling. The comparison with our baseline was made through the usage of both perplexity, which decreased from about 20 to 1.6 values, and the fine-tuning and evaluation of information extraction models such as Named Entity Recognition and Assertion Status. MediAlbertina PT-PT outperformed Albertina PT-PT in both tasks by 4–6% on recall and f1-score. This study contributes with the first publicly available medical language model trained with PT-PT data. It underscores the efficacy of domain adaptation and offers a contribution to the scientific community in overcoming obstacles of non-English languages. With MediAlbertin</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climate, those, long-term;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2024:</w:t>
      </w:r>
      <w:r>
        <w:t xml:space="preserve"> Wavelet-based tools to analyze, filter, and reconstruct transient gravitational-wave signals — https://doi.org/10.1103/physrevd.109.102010</w:t>
      </w:r>
    </w:p>
    <w:p>
      <w:pPr/>
      <w:r>
        <w:rPr>
          <w:b/>
        </w:rPr>
        <w:t>Shared claim-specific concepts:</w:t>
      </w:r>
      <w:r>
        <w:t xml:space="preserve"> filtering, limited, comparing, those; EU scope not established. This is a provisional connection, not an outcome finding.</w:t>
      </w:r>
    </w:p>
    <w:p>
      <w:pPr>
        <w:pStyle w:val="SourceNote"/>
      </w:pPr>
      <w:r>
        <w:rPr>
          <w:b/>
        </w:rPr>
        <w:t>Available abstract (not full text):</w:t>
      </w:r>
      <w:r>
        <w:t xml:space="preserve"> The analysis of gravitational-wave signals is one of the most challenging application areas of signal processing, because of the extreme weakness of these signals and of the great complexity of gravitational-wave detectors. Wavelet transforms are specially helpful in detecting and analyzing gravitational-wave transients and several analysis pipelines are based on these transforms, both continuous and discrete. While discrete wavelet transforms have distinct advantages in terms of computing efficiency, continuous wavelet transforms (CWT) produce smooth and visually stunning time-frequency maps where the wavelet energy is displayed in terms of time and frequency. In addition to wavelets, short-time Fourier transforms (STFT) and Stockwell transforms (ST) are also used, or the $Q$-transform, which is a Morlet waveletlike transform where the width of the Gaussian envelope is parametrized by a parameter denoted by $Q$ [Chatterji et al., Classical Quantum Gravity 21, S1809 (2004)]. To date, the use of CWTs in gravitational-wave data analysis has been limited by the higher computational load when compared with discrete wavelets, and also by the lack of an inversion formula for wavelet families that do not satisfy the admissibility condition. In this paper we consider Morlet wavelets parametrized in the same way as the Q-transform (hence the name wavelet Q-transform) which have all the </w:t>
      </w:r>
    </w:p>
    <w:p>
      <w:pPr/>
      <w:r>
        <w:rPr>
          <w:b/>
        </w:rPr>
        <w:t>POSSIBLE 2024:</w:t>
      </w:r>
      <w:r>
        <w:t xml:space="preserve"> EuroLLM: Multilingual Language Models for Europe — https://doi.org/10.48550/arxiv.2409.16235</w:t>
      </w:r>
    </w:p>
    <w:p>
      <w:pPr/>
      <w:r>
        <w:rPr>
          <w:b/>
        </w:rPr>
        <w:t>Shared claim-specific concepts:</w:t>
      </w:r>
      <w:r>
        <w:t xml:space="preserve"> filtering, made; EU scope visible. This is a provisional connection, not an outcome finding.</w:t>
      </w:r>
    </w:p>
    <w:p>
      <w:pPr>
        <w:pStyle w:val="SourceNote"/>
      </w:pPr>
      <w:r>
        <w:rPr>
          <w:b/>
        </w:rPr>
        <w:t>Available abstract (not full text):</w:t>
      </w:r>
      <w:r>
        <w:t xml:space="preserve"> The quality of open-weight LLMs has seen significant improvement, yet they remain predominantly focused on English. In this paper, we introduce the EuroLLM project, aimed at developing a suite of open-weight multilingual LLMs capable of understanding and generating text in all official European Union languages, as well as several additional relevant languages. We outline the progress made to date, detailing our data collection and filtering process, the development of scaling laws, the creation of our multilingual tokenizer, and the data mix and modeling configurations. Additionally, we release our initial models: EuroLLM-1.7B and EuroLLM-1.7B-Instruct and report their performance on multilingual general benchmarks and machine translation.</w:t>
      </w:r>
    </w:p>
    <w:p>
      <w:pPr/>
      <w:r>
        <w:rPr>
          <w:b/>
        </w:rPr>
        <w:t>POSSIBLE 2024:</w:t>
      </w:r>
      <w:r>
        <w:t xml:space="preserve"> CoLoR-Filter: Conditional Loss Reduction Filtering for Targeted Language Model Pre-training — https://doi.org/10.52202/079017-3097</w:t>
      </w:r>
    </w:p>
    <w:p>
      <w:pPr/>
      <w:r>
        <w:rPr>
          <w:b/>
        </w:rPr>
        <w:t>Shared claim-specific concepts:</w:t>
      </w:r>
      <w:r>
        <w:t xml:space="preserve"> filtering, values; EU scope not established. This is a provisional connection, not an outcome finding.</w:t>
      </w:r>
    </w:p>
    <w:p>
      <w:pPr>
        <w:pStyle w:val="SourceNote"/>
      </w:pPr>
      <w:r>
        <w:rPr>
          <w:b/>
        </w:rPr>
        <w:t>Available abstract (not full text):</w:t>
      </w:r>
      <w:r>
        <w:t xml:space="preserve"> Selecting high-quality data for pre-training is crucial in shaping the downstream task performance of language models. A major challenge lies in identifying this optimal subset, a problem generally considered intractable, thus necessitating scalable and effective heuristics. In this work, we propose a data selection method, CoLoR-Filter (Conditional Loss Reduction Filtering), which leverages an empirical Bayes-inspired approach to derive a simple and computationally efficient selection criterion based on the relative loss values of two auxiliary models. In addition to the modeling rationale, we evaluate CoLoR-Filter empirically on two language modeling tasks: (1) selecting data from C4 for domain adaptation to evaluation on Books and (2) selecting data from C4 for a suite of downstream multiple-choice question answering tasks. We demonstrate favorable scaling both as we subselect more aggressively and using small auxiliary models to select data for large target models. As one headline result, CoLoR-Filter data selected using a pair of 150m parameter auxiliary models can train a 1.2b parameter target model to match a 1.2b parameter model trained on 25b randomly selected tokens with 25x less data for Books and 11x less data for the downstream tasks. Code: https://github.com/davidbrandfonbrener/color-filter-olmo Filtered data: https://huggingface.co/datasets/davidbrandfonbrener/co</w:t>
      </w:r>
    </w:p>
    <w:p>
      <w:pPr/>
      <w:r>
        <w:rPr>
          <w:b/>
        </w:rPr>
        <w:t>POSSIBLE 2023:</w:t>
      </w:r>
      <w:r>
        <w:t xml:space="preserve"> Convoluted filtering for process cycle modeling — https://doi.org/10.1002/eng2.12657</w:t>
      </w:r>
    </w:p>
    <w:p>
      <w:pPr/>
      <w:r>
        <w:rPr>
          <w:b/>
        </w:rPr>
        <w:t>Shared claim-specific concepts:</w:t>
      </w:r>
      <w:r>
        <w:t xml:space="preserve"> after, filtering, limited; EU scope not established. This is a provisional connection, not an outcome finding.</w:t>
      </w:r>
    </w:p>
    <w:p>
      <w:pPr>
        <w:pStyle w:val="SourceNote"/>
      </w:pPr>
      <w:r>
        <w:rPr>
          <w:b/>
        </w:rPr>
        <w:t>Available abstract (not full text):</w:t>
      </w:r>
      <w:r>
        <w:t xml:space="preserve"> Abstract Principles of materials science and engineering, physics, mathematics, and information science are used to extract knowledge and insights from the process‐structure–property‐performance relationships hidden in materials data. The process‐structure modeling can be accelerated without loss of interpretability, with artificial intelligence tools that mimic the salient features of the process and process‐structure relations. In this work, a novel convoluted model‐filtering technique was exploited to build and successfully train the Convoluted Filter (CoFi) artifacts for Fe‐based alloy heat treatment cycles. The artifacts were pre‐trained to filter out deep models that change the surrogate microstructure state after the heat treatment at ambient conditions. Direct representation of the thermal cycle features within knowledge Graph facilitated development of meaningful data models for microstructure evolution, which reduce overfitting to limited datasets.</w:t>
      </w:r>
    </w:p>
    <w:p>
      <w:pPr/>
      <w:r>
        <w:rPr>
          <w:b/>
        </w:rPr>
        <w:t>POSSIBLE 2023:</w:t>
      </w:r>
      <w:r>
        <w:t xml:space="preserve"> Dark side of the honeymoon: reconstructing the Asian x European rose breeding history through the lens of genomics — https://doi.org/10.1101/2023.06.22.546162</w:t>
      </w:r>
    </w:p>
    <w:p>
      <w:pPr/>
      <w:r>
        <w:rPr>
          <w:b/>
        </w:rPr>
        <w:t>Shared claim-specific concepts:</w:t>
      </w:r>
      <w:r>
        <w:t xml:space="preserve"> reconstructing, characterized, period; EU scope visible. This is a provisional connection, not an outcome finding.</w:t>
      </w:r>
    </w:p>
    <w:p>
      <w:pPr>
        <w:pStyle w:val="SourceNote"/>
      </w:pPr>
      <w:r>
        <w:rPr>
          <w:b/>
        </w:rPr>
        <w:t>Available abstract (not full text):</w:t>
      </w:r>
      <w:r>
        <w:t xml:space="preserve"> Summary Roses hold significant symbolic value in Western cultural heritage, often serving as a symbol of love and romance. Despite their ancient cultivation, the appreciation for the phenotypic diversity of roses emerged relatively recently, notably during the 19th century. This period is characterized by a remarkable expansion in the number of varieties, from around 100 to over 8,000, representing a golden age for roses. To trace the history of rose breeding in Europe and unveil genetic changes during this period, we gathered phenotypic and genetic data from 204 accessions. These included botanical roses and varieties cultivated between 1800 and 1910. Whole-genome sequences from 32 accessions were also included. Our analysis revealed a temporal shift in the genetic makeup, transitioning from a historical European to a near-Asian genetic background within a few generations. This shift was accompanied by a notable reduction in genetic diversity, attributed to the backcrossing with the less diverse Asian genepool, plus some genomic signatures of selection. We have generated the largest GWAS catalog for rose to date, offering a valuable resource for future breeding initiatives. We emphasize the critical importance of preserving ancient rose collections to safeguard diversity and ensure a sustainable breeding for the long term.</w:t>
      </w:r>
    </w:p>
    <w:p>
      <w:pPr/>
      <w:r>
        <w:rPr>
          <w:b/>
        </w:rPr>
        <w:t>POSSIBLE 2023:</w:t>
      </w:r>
      <w:r>
        <w:t xml:space="preserve"> Reconstructing the post-glacial spread of the sand fly Phlebotomus mascittii Grassi, 1908 (Diptera: Psychodidae) in Europe — https://doi.org/10.1038/s42003-023-05616-1</w:t>
      </w:r>
    </w:p>
    <w:p>
      <w:pPr/>
      <w:r>
        <w:rPr>
          <w:b/>
        </w:rPr>
        <w:t>Shared claim-specific concepts:</w:t>
      </w:r>
      <w:r>
        <w:t xml:space="preserve"> reconstructing, current, climate; EU scope visible. This is a provisional connection, not an outcome finding.</w:t>
      </w:r>
    </w:p>
    <w:p>
      <w:pPr>
        <w:pStyle w:val="SourceNote"/>
      </w:pPr>
      <w:r>
        <w:rPr>
          <w:b/>
        </w:rPr>
        <w:t>Available abstract (not full text):</w:t>
      </w:r>
      <w:r>
        <w:t xml:space="preserve"> Phlebotomine sand flies (Diptera: Phlebotominae) are the principal vectors of Leishmania spp. (Kinetoplastida: Trypanosomatidae). In Central Europe, Phlebotomus mascittii is the predominant species, but largely understudied. To better understand factors driving its current distribution, we infer patterns of genetic diversity by testing for signals of population expansion based on two mitochondrial genes and model current and past climate and habitat suitability for seven post-glacial maximum periods, taking 19 climatic variables into account. Consequently, we elucidate their connections by environmental-geographical network analysis. Most analyzed populations share a main haplotype tracing back to a single glacial maximum refuge area on the Mediterranean coasts of South France, which is supported by network analysis. The rapid range expansion of Ph. mascittii likely started in the early mid-Holocene epoch until today and its spread possibly followed two routes. The first one was through northern France to Germany and then Belgium, and the second across the Ligurian coast through present-day Slovenia to Austria, toward the northern Balkans. Here we present a combined approach to reveal glacial refugia and post-glacial spread of Ph. mascittii and observed discrepancies between the modelled and the current known distribution might reveal yet overlooked populations and potential fu</w:t>
      </w:r>
    </w:p>
    <w:p>
      <w:pPr>
        <w:pStyle w:val="Heading2"/>
      </w:pPr>
      <w:r>
        <w:t>601. Future Projections of Heat Mortality Risk for Major European Cities</w:t>
      </w:r>
    </w:p>
    <w:p>
      <w:pPr>
        <w:pStyle w:val="SourceNote"/>
      </w:pPr>
      <w:r>
        <w:rPr>
          <w:b/>
        </w:rPr>
        <w:t>Original source (2021):</w:t>
      </w:r>
      <w:r>
        <w:t xml:space="preserve"> https://doi.org/10.1175/wcas-d-20-0142.1</w:t>
      </w:r>
    </w:p>
    <w:p>
      <w:pPr/>
      <w:r>
        <w:t>Original wording (abstract; indexed_source_text_not_full_document_verified): On average, our results indicate that the mortality risk trend is almost twice as high in all three countries for the RCP8.5 scenario compared to RCP2.6. Our results suggest a significant increase of heat mortality in the future, especially in Spain.</w:t>
      </w:r>
    </w:p>
    <w:p>
      <w:pPr/>
      <w:r>
        <w:rPr>
          <w:b/>
        </w:rPr>
        <w:t>POSSIBLE 2026:</w:t>
      </w:r>
      <w:r>
        <w:t xml:space="preserve"> Trends in mortality and disability from ischaemic stroke in Europe, 1990-2023 — https://doi.org/10.1093/esj/aakag082</w:t>
      </w:r>
    </w:p>
    <w:p>
      <w:pPr/>
      <w:r>
        <w:rPr>
          <w:b/>
        </w:rPr>
        <w:t>Shared claim-specific concepts:</w:t>
      </w:r>
      <w:r>
        <w:t xml:space="preserve"> average, mortality, all, countries; EU scope visible. This is a provisional connection, not an outcome finding.</w:t>
      </w:r>
    </w:p>
    <w:p>
      <w:pPr>
        <w:pStyle w:val="SourceNote"/>
      </w:pPr>
      <w:r>
        <w:rPr>
          <w:b/>
        </w:rPr>
        <w:t>Available abstract (not full text):</w:t>
      </w:r>
      <w:r>
        <w:t xml:space="preserve"> INTRODUCTION: The burden of ischaemic stroke in Europe has evolved over recent decades, shaped by changes in prevention, acute care and population ageing. Understanding long-term trends in mortality and disability is essential for guiding policy and service planning. PATIENTS AND METHODS: Using Global Burden of Disease (GBD) 2023 estimates, we analysed age-standardised disability-adjusted life years (DALYs), years of life lost (YLLs) and years lived with disability (YLDs) for ischaemic stroke across all European countries from 1990 to 2023. We estimated country-specific annual percentage changes (EAPCs), assessed non-linear trajectories, examined shifts in the fatal vs non-fatal composition of DALYs and synthesised trends using mixed-effects models and descriptive meta-analytic pooling. RESULTS: Disability-adjusted life year rates declined in every European country, with the steepest reductions in Central and Western Europe and more modest improvements in parts of Eastern and Southeastern Europe. Years of life lost declines closely paralleled DALY trends, indicating that falling premature mortality was the main driver of the overall reduction. Years lived with disability trends were smaller and more heterogeneous across countries. Mixed-effects modelling indicated average European EAPCs of -3.40% (95% CI, -3.74 to -3.05) for DALYs, -1.26% (-1.43 to -1.09) for YLLs and -3.86% (-</w:t>
      </w:r>
    </w:p>
    <w:p>
      <w:pPr/>
      <w:r>
        <w:rPr>
          <w:b/>
        </w:rPr>
        <w:t>POSSIBLE 2026:</w:t>
      </w:r>
      <w:r>
        <w:t xml:space="preserve"> Drought tolerance and mortality risk of European beech — https://doi.org/10.1016/j.agrformet.2026.111541</w:t>
      </w:r>
    </w:p>
    <w:p>
      <w:pPr/>
      <w:r>
        <w:rPr>
          <w:b/>
        </w:rPr>
        <w:t>Shared claim-specific concepts:</w:t>
      </w:r>
      <w:r>
        <w:t xml:space="preserve"> average, mortality, high, all, increase, heat; EU scope visible. This is a provisional connection, not an outcome finding.</w:t>
      </w:r>
    </w:p>
    <w:p>
      <w:pPr>
        <w:pStyle w:val="SourceNote"/>
      </w:pPr>
      <w:r>
        <w:rPr>
          <w:b/>
        </w:rPr>
        <w:t>Available abstract (not full text):</w:t>
      </w:r>
      <w:r>
        <w:t xml:space="preserve"> Little is known about the drought-induced mortality risk for most tree species. This makes it difficult to predict their future distribution. Here, we quantified the drought tolerance and mortality risk of the economically important European beech ( Fagus sylvatica L.) by analysing its response to decreasing water potentials in the soil-plant-atmosphere continuum. From 2014 to 2023, we measured ecohydrological parameters at eight forest sites covering a large part of the species' ecological niche. The hourly time series at all sites included temperature, vapor pressure deficit (VPD), and soil water potential (Ψ soil ). At one site, the time series also included soil hydraulic conductivity (K), root water uptake (RWU), changes in stem radius, and dendrometer-derived leaf water potential (Ψ leaf ). Additionally, we determined the annual mortality rate of beech trees at all sites. At sites with a positive climatic water balance, beech mortality only occurred in soils with a low water storage capacity. However, at sites with a negative climatic water balance, beech trees also died in soils with high storage capacities. Mortality dynamics indicated that Ψ soil was more important for beech decline than VPD, heat, and excessive radiation. An average Ψ soil of −0.8 MPa in the root zone was identified as the mortality threshold for all sites, as beyond this threshold, RWU ceased due to </w:t>
      </w:r>
    </w:p>
    <w:p>
      <w:pPr/>
      <w:r>
        <w:rPr>
          <w:b/>
        </w:rPr>
        <w:t>POSSIBLE 2026:</w:t>
      </w:r>
      <w:r>
        <w:t xml:space="preserve"> Drought tolerance and mortality risk of European beech — https://doi.org/10.16904/envidat.805</w:t>
      </w:r>
    </w:p>
    <w:p>
      <w:pPr/>
      <w:r>
        <w:rPr>
          <w:b/>
        </w:rPr>
        <w:t>Shared claim-specific concepts:</w:t>
      </w:r>
      <w:r>
        <w:t xml:space="preserve"> average, mortality, high, all, increase, heat; EU scope visible. This is a provisional connection, not an outcome finding.</w:t>
      </w:r>
    </w:p>
    <w:p>
      <w:pPr>
        <w:pStyle w:val="SourceNote"/>
      </w:pPr>
      <w:r>
        <w:rPr>
          <w:b/>
        </w:rPr>
        <w:t>Available abstract (not full text):</w:t>
      </w:r>
      <w:r>
        <w:t xml:space="preserve"> Little is known about the drought-induced mortality risk for most tree species. This makes it difficult to predict their future distribution. Here, we quantified the drought tolerance and mortality risk of the economically important European beech (Fagus sylvatica L.) by analysing its response to decreasing water potentials in the soil-plant-atmosphere continuum. From 2014 to 2023, we measured ecohydrological parameters at eight forest sites covering a large part of the species' ecological niche. The hourly time series at all sites included temperature, vapor pressure deficit (VPD), and soil water potential (Ψsoil). At one site, the time series also included soil hydraulic conductivity (K), root water uptake (RWU), changes in stem radius, and dendrometer-derived leaf water potential (Ψleaf). Additionally, we determined the annual mortality rate of beech trees at all sites. At sites with a positive climatic water balance, beech mortality only occurred in soils with a low water storage capacity. However, at sites with a negative climatic water balance, beech trees also died in soils with high storage capacities. Mortality dynamics indicated that Ψsoil was more important for beech decline than VPD, heat, and excessive radiation. An average Ψsoil of -0.8 MPa in the root zone was identified as the mortality threshold for all sites, as beyond this threshold, RWU ceased due to extreme</w:t>
      </w:r>
    </w:p>
    <w:p>
      <w:pPr/>
      <w:r>
        <w:rPr>
          <w:b/>
        </w:rPr>
        <w:t>POSSIBLE 2026:</w:t>
      </w:r>
      <w:r>
        <w:t xml:space="preserve"> The impact of heat and cold on mortality and life expectancy in Europe, 2015–2024 — https://doi.org/10.1016/j.ehb.2026.101607</w:t>
      </w:r>
    </w:p>
    <w:p>
      <w:pPr/>
      <w:r>
        <w:rPr>
          <w:b/>
        </w:rPr>
        <w:t>Shared claim-specific concepts:</w:t>
      </w:r>
      <w:r>
        <w:t xml:space="preserve"> average, indicate, mortality, countries, increase, heat; EU scope visible. This is a provisional connection, not an outcome finding.</w:t>
      </w:r>
    </w:p>
    <w:p>
      <w:pPr>
        <w:pStyle w:val="SourceNote"/>
      </w:pPr>
      <w:r>
        <w:rPr>
          <w:b/>
        </w:rPr>
        <w:t>Available abstract (not full text):</w:t>
      </w:r>
      <w:r>
        <w:t xml:space="preserve"> This paper analyzes the effects of temperatures on mortality and life expectancy using data on 40 million deaths in 28 European countries between 2015 and 2024. The findings indicate that both cold and hot temperatures increase mortality rates, with cold having a stronger overall effect. Heat-related mortality tends to be immediate, whereas cold-related effects are more delayed and prolonged. Climate and income are key moderators: cold-related mortality is higher in warmer regions, heat-related mortality is higher in colder regions, and the effects of cold are stronger at lower income levels. The study also shows that the number of deaths in 2015-2024 would have been higher under the climate conditions of 1950-1979. The shift in the temperature distribution increased mortality during the warmest months but reduced mortality during the colder months, yielding a net decrease of more than 900,000 deaths over the 2015-2024 period. This reduction corresponds to an average increase in life expectancy at birth of 0.195 years.</w:t>
      </w:r>
    </w:p>
    <w:p>
      <w:pPr/>
      <w:r>
        <w:rPr>
          <w:b/>
        </w:rPr>
        <w:t>POSSIBLE 2026:</w:t>
      </w:r>
      <w:r>
        <w:t xml:space="preserve"> Electric Vehicle Fleet Penetration and Air Pollution Mortality in Europe — https://doi.org/10.32388/vkflrm</w:t>
      </w:r>
    </w:p>
    <w:p>
      <w:pPr/>
      <w:r>
        <w:rPr>
          <w:b/>
        </w:rPr>
        <w:t>Shared claim-specific concepts:</w:t>
      </w:r>
      <w:r>
        <w:t xml:space="preserve"> mortality, high, all, countries, significant;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(not sales),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but not the only one. In addition, geographic and meteorological factors dominate pollution patterns, while many countries bundle vehicle electrification with comprehensive policies addressing all emission sources. These findings, however, prove that electric vehicles have a positive effect on air quality and reduce mortality. The replacement of internal combustion engine vehicles with electric ones must proceed as fast as possible in order to reduce pollution-related mortality, but it must be coupled with other pollution abatement measures.</w:t>
      </w:r>
    </w:p>
    <w:p>
      <w:pPr/>
      <w:r>
        <w:rPr>
          <w:b/>
        </w:rPr>
        <w:t>POSSIBLE 2025:</w:t>
      </w:r>
      <w:r>
        <w:t xml:space="preserve"> Association between Wealth and Mortality in the United States and Europe — https://doi.org/10.1056/nejmsa2408259</w:t>
      </w:r>
    </w:p>
    <w:p>
      <w:pPr/>
      <w:r>
        <w:rPr>
          <w:b/>
        </w:rPr>
        <w:t>Shared claim-specific concepts:</w:t>
      </w:r>
      <w:r>
        <w:t xml:space="preserve"> mortality, all, countries; EU scope visible. This is a provisional connection, not an outcome finding.</w:t>
      </w:r>
    </w:p>
    <w:p>
      <w:pPr>
        <w:pStyle w:val="SourceNote"/>
      </w:pPr>
      <w:r>
        <w:rPr>
          <w:b/>
        </w:rPr>
        <w:t>Available abstract (not full text):</w:t>
      </w:r>
      <w:r>
        <w:t xml:space="preserve"> BACKGROUND: Amid growing wealth disparity, we have little information on how health among older Americans compares with that among older Europeans across the distribution of wealth. METHODS: We performed a longitudinal, retrospective cohort study involving adults 50 to 85 years of age who were included in the Health and Retirement Study and the Survey of Health, Ageing, and Retirement in Europe between 2010 and 2022. Wealth quartiles were defined according to age group and country, with quartile 1 comprising the poorest participants and quartile 4 the wealthiest. Mortality and Kaplan-Meier curves were estimated for each wealth quartile across the United States and 16 countries in northern and western, southern, and eastern Europe. We used Cox proportional-hazards models that included adjustment for baseline covariates (age group, sex, marital status [ever or never married], educational level [any or no college education], residence [rural or nonrural], current smoking status [smoking or nonsmoking], and absence or presence of a previously diagnosed long-term condition) to quantify the association between wealth quartile and all-cause mortality from 2010 through 2022 (the primary outcome). RESULTS: Among 73,838 adults (mean [±SD] age, 65±9.8 years), a total of 13,802 (18.7%) died during a median follow-up of 10 years. Across all participants, greater wealth was associated with l</w:t>
      </w:r>
    </w:p>
    <w:p>
      <w:pPr/>
      <w:r>
        <w:rPr>
          <w:b/>
        </w:rPr>
        <w:t>POSSIBLE 2025:</w:t>
      </w:r>
      <w:r>
        <w:t xml:space="preserve"> Urban ozone trends in Europe and the USA (2000–2021) — https://doi.org/10.5194/acp-25-16009-2025</w:t>
      </w:r>
    </w:p>
    <w:p>
      <w:pPr/>
      <w:r>
        <w:rPr>
          <w:b/>
        </w:rPr>
        <w:t>Shared claim-specific concepts:</w:t>
      </w:r>
      <w:r>
        <w:t xml:space="preserve"> trend, high, compared, increase; EU scope visible. This is a provisional connection, not an outcome finding.</w:t>
      </w:r>
    </w:p>
    <w:p>
      <w:pPr>
        <w:pStyle w:val="SourceNote"/>
      </w:pPr>
      <w:r>
        <w:rPr>
          <w:b/>
        </w:rPr>
        <w:t>Available abstract (not full text):</w:t>
      </w:r>
      <w:r>
        <w:t xml:space="preserve"> Abstract. Trends in urban O3 and NO2 across Europe and the United States of America were explored between 2000–2021. Using surface monitoring site data from the TOAR-II and European Environment Agency databases, piecewise quantile regression (PQR) analysis was performed on 228 O3 time series (144 European, 84 USA) and 322 NO2 times series (245 European, 77 USA). The PQR analysis permitted 2 break points over the 23 year period to balance the intent to describe changes over a large time period, while still capturing the abrupt changes that can occur in urban atmospheres. Regressions were performed over quantiles ranging from 0.05 to 0.95 and indications of a slowing in the increase of high European O3 levels was observed. In Europe, more trends were found to having an increasing O3 trend between 2015–2021 compared with 2000–2004. The reverse was true in the USA, with a reduction in the number of sites with increasing O3 trends when the same periods were compared. An analysis of the change points revealed a large proportion of sites in Europe, were the second change point in NO2 switched from a positive to negative trend, occurred in 2020 (41/43 second change points in this year). This was attributed a reduction in NO2 due to the COVID-19 pandemic, however, in some cases these increasing trends have sustained beyond the recovery from restrictions.</w:t>
      </w:r>
    </w:p>
    <w:p>
      <w:pPr/>
      <w:r>
        <w:rPr>
          <w:b/>
        </w:rPr>
        <w:t>POSSIBLE 2025:</w:t>
      </w:r>
      <w:r>
        <w:t xml:space="preserve"> Appendicitis burden, trends, and inequalities in Europe, 1990–2019: a population-based study — https://doi.org/10.1093/gastro/goaf070</w:t>
      </w:r>
    </w:p>
    <w:p>
      <w:pPr/>
      <w:r>
        <w:rPr>
          <w:b/>
        </w:rPr>
        <w:t>Shared claim-specific concepts:</w:t>
      </w:r>
      <w:r>
        <w:t xml:space="preserve"> average, mortality, three, countries; EU scope visible. This is a provisional connection, not an outcome finding.</w:t>
      </w:r>
    </w:p>
    <w:p>
      <w:pPr>
        <w:pStyle w:val="SourceNote"/>
      </w:pPr>
      <w:r>
        <w:rPr>
          <w:b/>
        </w:rPr>
        <w:t>Available abstract (not full text):</w:t>
      </w:r>
      <w:r>
        <w:t xml:space="preserve"> Background: Appendicitis imposes a substantial healthcare burden globally, yet comprehensive insights into its disease burden in Europe remain limited. This study assesses regional trends, disparities and high-burden countries for appendicitis in Europe. Methods: Data on appendicitis-related incidence, mortality and disability-adjusted life years (DALYs) were extracted from the Global Burden of Disease 2019 study. Joinpoint regression analyzed temporal trends, while health inequality and quadrant analyses identified socio-demographic disparities and priority countries. Results: In 2019, Europe's age-standardized incidence rate (ASIR) for appendicitis was 266.47 per 100,000, exceeding the global average (229.86 per 100,000). However, Europe's age-standardized mortality rate and age-standardized DALY rate were lower than the global averages. From 1990 to 2019, the average annual percentage change (AAPC) for the ASIR was 0.50%, whereas the AAPCs for the age-standardized mortality rate and age-standardized DALY rate were -3.02% and -2.20%, respectively. Finland was the sole exception, showing a reduced ASIR (AAPC: -0.20%). Health inequality analysis revealed that the burden of DALYs disproportionately affected less developed European nations. However, there was a notable improvement over the past three decades. The slope index of inequality decreased from -7.32 DALYs per 100,000 in</w:t>
      </w:r>
    </w:p>
    <w:p>
      <w:pPr/>
      <w:r>
        <w:rPr>
          <w:b/>
        </w:rPr>
        <w:t>POSSIBLE 2025:</w:t>
      </w:r>
      <w:r>
        <w:t xml:space="preserve"> The European Alps in a changing climate: physical trends and impacts — https://doi.org/10.5802/crgeos.288</w:t>
      </w:r>
    </w:p>
    <w:p>
      <w:pPr/>
      <w:r>
        <w:rPr>
          <w:b/>
        </w:rPr>
        <w:t>Shared claim-specific concepts:</w:t>
      </w:r>
      <w:r>
        <w:t xml:space="preserve"> high, compared, increase; EU scope visible. This is a provisional connection, not an outcome finding.</w:t>
      </w:r>
    </w:p>
    <w:p>
      <w:pPr>
        <w:pStyle w:val="SourceNote"/>
      </w:pPr>
      <w:r>
        <w:rPr>
          <w:b/>
        </w:rPr>
        <w:t>Available abstract (not full text):</w:t>
      </w:r>
      <w:r>
        <w:t xml:space="preserve"> Mountain areas crown their surrounding landscapes and host a great diversity of ecosystems and human activities. Due to their high altitudes and low temperatures, mountains, in many regions of the world, including Europe, allow the existence of the solid phase of water, ice, seasonally or perennially, which is found in glaciers, snow cover and permafrost, key components of the cryosphere. In the European Alps, the air temperature has increased by about 2 °C compared to the pre-industrial period (end of 19th century), alongside with a slight change in the seasonality of precipitation. Both are projected to intensify in the future. The increase in temperature induces profound changes for the mountain cryosphere with in particular the scarcity of snow cover, the retreat of glaciers and the thawing of permafrost. These changes are causing a cascade of upheavals for the water cycle, mountain ecosystems, the economic and touristic activity of mountain societies. They also induce changes in the natural hazards associated with the cryosphere such as avalanches, risks of glacial and peri-glacial origins as well as floods and droughts. Thus, in a changing climate, the fragile beauty and balance of the European Alps is undergoing profound disruptions whose consequences extend to the lowlands. These will continue to intensify as long as the temperature continues to rise and this is why eve</w:t>
      </w:r>
    </w:p>
    <w:p>
      <w:pPr/>
      <w:r>
        <w:rPr>
          <w:b/>
        </w:rPr>
        <w:t>POSSIBLE 2025:</w:t>
      </w:r>
      <w:r>
        <w:t xml:space="preserve"> Future heat-related mortality in Europe driven by compound day-night heatwaves and demographic shifts — https://doi.org/10.1038/s41467-025-62871-y</w:t>
      </w:r>
    </w:p>
    <w:p>
      <w:pPr/>
      <w:r>
        <w:rPr>
          <w:b/>
        </w:rPr>
        <w:t>Shared claim-specific concepts:</w:t>
      </w:r>
      <w:r>
        <w:t xml:space="preserve"> mortality, high, all, increase, heat; EU scope visible. This is a provisional connection, not an outcome finding.</w:t>
      </w:r>
    </w:p>
    <w:p>
      <w:pPr>
        <w:pStyle w:val="SourceNote"/>
      </w:pPr>
      <w:r>
        <w:rPr>
          <w:b/>
        </w:rPr>
        <w:t>Available abstract (not full text):</w:t>
      </w:r>
      <w:r>
        <w:t xml:space="preserve"> Anthropogenic climate change is driving summer heat toward more humid conditions, accompanied by more frequent day-night compound heat extremes (high temperatures during both day and night). As the fast-warming and aging continent, Europe faces escalating heat-related health risks. Here, we projected future heat-related mortality in Europe using a distributed lag nonlinear model that incorporates humid heat and compound heat extremes, strengthened by a health risk-based definition of extreme heat and a scenario matrix integrating time-varying adaptation trajectories. Under 2010–2019 adaptation baselines, future heat-related mortality is projected to increase annually by 103.7-135.1 deaths per million people by 2100 across various population-climate scenarios for every degree of global warming, with Western and Eastern Europe suffering the most. If global warming exceeds 2 °C, climate change will dominate (84.0–96.8%) projected increase in heat-related mortality. Across all socioeconomic pathways, even a 50% reduction in heat-related relative risk through physiological adaptation will be insufficient to offset the climate change-driven escalation of future heat-related mortality. This study projects heat-related mortality in Europe across various adaptation scenarios by modelling humid and compound day-night heat, using a health-based heat definition. Without heat adaptation, mo</w:t>
      </w:r>
    </w:p>
    <w:p>
      <w:pPr/>
      <w:r>
        <w:rPr>
          <w:b/>
        </w:rPr>
        <w:t>POSSIBLE 2025:</w:t>
      </w:r>
      <w:r>
        <w:t xml:space="preserve"> The effectiveness of heat prevention plans in reducing heat-related mortality across Europe — https://doi.org/10.1088/1748-9326/ae2775</w:t>
      </w:r>
    </w:p>
    <w:p>
      <w:pPr/>
      <w:r>
        <w:rPr>
          <w:b/>
        </w:rPr>
        <w:t>Shared claim-specific concepts:</w:t>
      </w:r>
      <w:r>
        <w:t xml:space="preserve"> mortality, all, countries, significant, heat; EU scope visible. This is a provisional connection, not an outcome finding.</w:t>
      </w:r>
    </w:p>
    <w:p>
      <w:pPr>
        <w:pStyle w:val="SourceNote"/>
      </w:pPr>
      <w:r>
        <w:rPr>
          <w:b/>
        </w:rPr>
        <w:t>Available abstract (not full text):</w:t>
      </w:r>
      <w:r>
        <w:t xml:space="preserve"> Heat-health warning systems and action plans, referred to as heat prevention plans (HPPs), are key public health interventions aimed at reducing heat-related mortality. Despite their importance, prior assessments of their effectiveness have yielded inconsistent results. The objective of this study is to systematically assess the effectiveness of HPPs in reducing heat-related mortality risk across Europe. We analysed daily mortality and mean temperature data from 102 locations in 14 European countries between 1990 and 2019. Using data from national experts, we identified the year of HPP implementation and categorised their development class. A three-stage analysis was conducted: (1) quasi-Poisson time series models were used to estimate location-specific warm-season exposure-response functions in 3 year subperiods; (2) mixed-effect meta-regression models with multilevel longitudinal structures were employed to quantify changes in pooled exposure-response functions due to HPP implementation, adjusted for long-term trends in heat-related mortality risks; and (3) the heat-related excess mortality due to HPP was calculated by comparing factual (with HPP) and counterfactual (without HPP) scenarios. Estimates are reported by country, region, and HPP class. HPP implementation was associated with a 25.2% [95% CI: 19.8% to 31.9%] reduction in excess deaths attributable to extreme heat, c</w:t>
      </w:r>
    </w:p>
    <w:p>
      <w:pPr/>
      <w:r>
        <w:rPr>
          <w:b/>
        </w:rPr>
        <w:t>POSSIBLE 2025:</w:t>
      </w:r>
      <w:r>
        <w:t xml:space="preserve"> DIGITAL SKILLS AND COMPETENCES IN UKRAINE AND EUROPE: CHALLENGES AND PROSPECTS — https://doi.org/10.32342/3041-2153-2025-1-38-5</w:t>
      </w:r>
    </w:p>
    <w:p>
      <w:pPr/>
      <w:r>
        <w:rPr>
          <w:b/>
        </w:rPr>
        <w:t>Shared claim-specific concepts:</w:t>
      </w:r>
      <w:r>
        <w:t xml:space="preserve"> average, indicate, almost, countries, compared, significant; EU scope visible. This is a provisional connection, not an outcome finding.</w:t>
      </w:r>
    </w:p>
    <w:p>
      <w:pPr>
        <w:pStyle w:val="SourceNote"/>
      </w:pPr>
      <w:r>
        <w:rPr>
          <w:b/>
        </w:rPr>
        <w:t>Available abstract (not full text):</w:t>
      </w:r>
      <w:r>
        <w:t xml:space="preserve"> The article is devoted to studying the current state of digitalization in Ukraine and conducting a comparative analysis with similar trends in European countries. To conduct a comparative analysis of the level of digital skills in Ukraine and the countries of the European Union, the following key indicators were considered: access to the Internet, use of e-services and experience of online shopping. It was determined that in Ukraine the percentage of the population with a basic level of digital skills and a level above the basic level is almost 60%, which is quite comparable to the average in the European Union and significantly exceeds the indicators of the countries of Central and Eastern Europe. The results of the study of the digital skills of Ukrainians indicate that, compared to Europe, the situation in Ukraine regarding access to the Internet and digital skills demonstrates progress, but also indicates certain challenges. Ukraine has made significant improvements in internet access, with the rate of access reaching 93.8% among the adult population in 2023, close to the EU average of around 93%. However, compared to more developed European countries, where internet access in most EU Member States exceeds 90% and in Western and Northern Europe even reaches 98%, Ukraine faces certain barriers, such as insufficient digital skills among a significant part of the population an</w:t>
      </w:r>
    </w:p>
    <w:p>
      <w:pPr>
        <w:pStyle w:val="Heading2"/>
      </w:pPr>
      <w:r>
        <w:t>602. Future export markets of industrial wood construction – A qualitative backcasting study</w:t>
      </w:r>
    </w:p>
    <w:p>
      <w:pPr>
        <w:pStyle w:val="SourceNote"/>
      </w:pPr>
      <w:r>
        <w:rPr>
          <w:b/>
        </w:rPr>
        <w:t>Original source (2021):</w:t>
      </w:r>
      <w:r>
        <w:t xml:space="preserve"> https://doi.org/10.1016/j.forpol.2021.102480</w:t>
      </w:r>
    </w:p>
    <w:p>
      <w:pPr/>
      <w:r>
        <w:t>Original wording (abstract; indexed_source_text_not_full_document_verified): The aim is to identify promising export markets for Finland, and to identify required pathways by 2030. A qualitative participatory backcasting method was applied to explore the future visions of the industrial wood construction (IWC) sector and its export markets, as well as the pathways from the current towards the envisioned future.</w:t>
      </w:r>
    </w:p>
    <w:p>
      <w:pPr/>
      <w:r>
        <w:rPr>
          <w:b/>
        </w:rPr>
        <w:t>POSSIBLE 2026:</w:t>
      </w:r>
      <w:r>
        <w:t xml:space="preserve"> Promising policy practices in PC-IC in LTC Person-Centred Integrated Long-Term Care for older adults in Europe — https://doi.org/10.5334/ijic.icic26505</w:t>
      </w:r>
    </w:p>
    <w:p>
      <w:pPr/>
      <w:r>
        <w:rPr>
          <w:b/>
        </w:rPr>
        <w:t>Shared claim-specific concepts:</w:t>
      </w:r>
      <w:r>
        <w:t xml:space="preserve"> aim, identify, promising, pathways, current; EU scope visible. This is a provisional connection, not an outcome finding.</w:t>
      </w:r>
    </w:p>
    <w:p>
      <w:pPr>
        <w:pStyle w:val="SourceNote"/>
      </w:pPr>
      <w:r>
        <w:rPr>
          <w:b/>
        </w:rPr>
        <w:t>Available abstract (not full text):</w:t>
      </w:r>
      <w:r>
        <w:t xml:space="preserve"> Background: The demographic shift towards ageing populations across Europe has intensified the demand for person-centred, integrated long-term care (PC-I-LTC) for older adults with complex needs. Multimorbidity, frailty, and cognitive impairment contribute to care complexity, increasing the need for coordination between health and social services. PC-I-LTC initiatives have been developing in recent years across Europe and now constitute a diverse landscape of ecosystems that aim to implement common care principles within the specific constraints and affordances. To support improvements in PC-I-LTC, it is thus timely to inquire how do current initiatives perform on key dimensions of PC-I-LTC implementation, what promising policies and best practices can be transferred to new settings, and what areas can be identified as targets for improvement efforts? Within the European project BUILD, we are conducting a systematic mapping and evaluation of promising practices to support policymakers to enhance the quality of PC-I-LTC solutions, and their related governance and policies. Approach: We developed the BUILD self-assessment tool based on the SCIROCCO framework to evaluate PC-I-LTC initiatives. Informed by a comprehensive literature review of existing frameworks and evaluation tools, the tool assesses ecosystem performance The tool evaluates ecosystem performance across 13 key dimen</w:t>
      </w:r>
    </w:p>
    <w:p>
      <w:pPr/>
      <w:r>
        <w:rPr>
          <w:b/>
        </w:rPr>
        <w:t>POSSIBLE 2026:</w:t>
      </w:r>
      <w:r>
        <w:t xml:space="preserve"> Identifying directions for improving the regulation of the circulation of high-technology innovations in the European Union — https://doi.org/10.15587/1729-4061.2026.362257</w:t>
      </w:r>
    </w:p>
    <w:p>
      <w:pPr/>
      <w:r>
        <w:rPr>
          <w:b/>
        </w:rPr>
        <w:t>Shared claim-specific concepts:</w:t>
      </w:r>
      <w:r>
        <w:t xml:space="preserve"> promising, applied, well, current; EU scope visible. This is a provisional connection, not an outcome finding.</w:t>
      </w:r>
    </w:p>
    <w:p>
      <w:pPr>
        <w:pStyle w:val="SourceNote"/>
      </w:pPr>
      <w:r>
        <w:rPr>
          <w:b/>
        </w:rPr>
        <w:t>Available abstract (not full text):</w:t>
      </w:r>
      <w:r>
        <w:t xml:space="preserve"> This study examines a system of procedures and techniques for regulating relations that create, transfer, and implement high-tech innovations in the European Union, through the prism of the promising EUROPEAN INNOVATION ACT (EIA). The current means of identifying high-tech innovations in the European Union have been studied, as well as the prospects for their improvement when implementing the EIA. This work has found that the process of regulatory influence on innovation circulation in the EU is not uniform. It has been proven that the current model of regulatory influence in the EU is not focused on the proper identification of high-tech innovations. It also does not provide simplification or stimulation of their use but only has a general focus on the intensification of all innovations in the EU economy. It was determined that within the EU there is a need to improve the methods for regulating the circulation of high-tech innovations. A study of directions to reform the innovation ecosystem through the implementation of the EUROPEAN INNOVATION ACT has been conducted. The feasibility of forming a definition of high-tech innovation was substantiated. The necessity of registering the criteria for distinguishing high-tech innovation from its other varieties has been proven. The need for the formation of a holistic system of regulatory influence based on the life cycle (Innovation</w:t>
      </w:r>
    </w:p>
    <w:p>
      <w:pPr/>
      <w:r>
        <w:rPr>
          <w:b/>
        </w:rPr>
        <w:t>POSSIBLE 2026:</w:t>
      </w:r>
      <w:r>
        <w:t xml:space="preserve"> Selecting Promising Soil Quality Indicators for Monitoring Soil Management Effects Based on 10 European Long‐Term Field Experiments — https://doi.org/10.1002/jpln.70068</w:t>
      </w:r>
    </w:p>
    <w:p>
      <w:pPr/>
      <w:r>
        <w:rPr>
          <w:b/>
        </w:rPr>
        <w:t>Shared claim-specific concepts:</w:t>
      </w:r>
      <w:r>
        <w:t xml:space="preserve"> aim, identify, promising, well, current; EU scope visible. This is a provisional connection, not an outcome finding.</w:t>
      </w:r>
    </w:p>
    <w:p>
      <w:pPr>
        <w:pStyle w:val="SourceNote"/>
      </w:pPr>
      <w:r>
        <w:rPr>
          <w:b/>
        </w:rPr>
        <w:t>Available abstract (not full text):</w:t>
      </w:r>
      <w:r>
        <w:t xml:space="preserve"> ABSTRACT Background : Soil quality can be measured through soil quality indicators that reflect soil processes. Aim : The aim of this study was to (1) identify a limited set of soil quality indicators that are most sensitive to agricultural soil management and that are widely applicable regardless of pedo‐climatic conditions, and (2) link common analytical soil quality indicators to near‐infrared spectroscopy (NIRS) measurements as a potential high‐throughput approach to assess soil quality. Methods : We assessed the sensitivity of analytical, field, and visual soil quality indicators to tillage (conventional inversion vs. reduced) and organic matter addition (high vs. low) and their interaction with soil texture in 10 long term field experiment across pedo‐climatic zones in Europe. Results : Reduced tillage and high organic matter addition had a positive effect on soil quality parameters, consistent across different European pedo‐climatic zones. Total organic carbon, particulate organic carbon, plant available phosphorus and potassium, total nitrogen, microbial carbon and nitrogen, and penetration resistance were the most sensitive indicators and represent four soil functions: Organic matter cycling, nutrient cycling, habitat provisioning, soil structure maintenance. Total organic carbon and total nitrogen measured with NIRS were well correlated with their corresponding analyt</w:t>
      </w:r>
    </w:p>
    <w:p>
      <w:pPr/>
      <w:r>
        <w:rPr>
          <w:b/>
        </w:rPr>
        <w:t>POSSIBLE 2026:</w:t>
      </w:r>
      <w:r>
        <w:t xml:space="preserve"> Market analysis for Superhood Oy's European expansion — https://openalex.org/W7162354352</w:t>
      </w:r>
    </w:p>
    <w:p>
      <w:pPr/>
      <w:r>
        <w:rPr>
          <w:b/>
        </w:rPr>
        <w:t>Shared claim-specific concepts:</w:t>
      </w:r>
      <w:r>
        <w:t xml:space="preserve"> aim, identify, finland, qualitative; EU scope visible. This is a provisional connection, not an outcome finding.</w:t>
      </w:r>
    </w:p>
    <w:p>
      <w:pPr>
        <w:pStyle w:val="SourceNote"/>
      </w:pPr>
      <w:r>
        <w:rPr>
          <w:b/>
        </w:rPr>
        <w:t>Available abstract (not full text):</w:t>
      </w:r>
      <w:r>
        <w:t xml:space="preserve"> This thesis examined the international market strategy for a Finnish Tech company Superhood Oy based in Finland, which operates a hyper local digital platform and is seeking to expand its operations into European markets. The aim of the thesis was to identify and evaluate most suitable European markets for entry as previously, formal market research had not been conducted by the company. In this thesis, a multi-stage screening process was utilized as the research methodology to evaluate potential countries. The first stage involved quantitative screening of European countries using English proficiency, national digital skill levels and urbanization rates. The second stage involved qualitative analysis using a focused PESTEL framework and initial competitor scan to identify the market saturation. The findings were collected using secondary data sources and the informal communication conducted with the commissioning company. The final results indicated that Norway, Sweden, Denmark, the Netherlands and the United Kingdom met the criteria. Further findings confirmed that all of these countries have highly urbanized markets therefore national digital literacy rates provide a reliable reflection of urban readiness. This study identified Norway as the first entry point due to its high level of social trust and lack of dominant competitor, while Sweden and Denmark were given the medium</w:t>
      </w:r>
    </w:p>
    <w:p>
      <w:pPr/>
      <w:r>
        <w:rPr>
          <w:b/>
        </w:rPr>
        <w:t>POSSIBLE 2026:</w:t>
      </w:r>
      <w:r>
        <w:t xml:space="preserve"> Establishing a Jewellery Business in the Finnish Market — https://openalex.org/W7162177384</w:t>
      </w:r>
    </w:p>
    <w:p>
      <w:pPr/>
      <w:r>
        <w:rPr>
          <w:b/>
        </w:rPr>
        <w:t>Shared claim-specific concepts:</w:t>
      </w:r>
      <w:r>
        <w:t xml:space="preserve"> aim, identify, qualitative; EU scope not established. This is a provisional connection, not an outcome finding.</w:t>
      </w:r>
    </w:p>
    <w:p>
      <w:pPr>
        <w:pStyle w:val="SourceNote"/>
      </w:pPr>
      <w:r>
        <w:rPr>
          <w:b/>
        </w:rPr>
        <w:t>Available abstract (not full text):</w:t>
      </w:r>
      <w:r>
        <w:t xml:space="preserve"> This study examines the entry of a semi-fine jewellery business into the finished goods market, focusing on the opportunities, challenges, and strategic considerations involved in launching a competitive product. The aim of the study was to assess the viability of a business idea and to identify the most effective market approach for attracting target consumers while maintaining product quality and brand value. A qualitative approach was used, combining market research, competitor analysis, and customer preference assessment. The data were gathered through secondary research on jewellery market trends, analysis of consumer behaviour, and evaluation of pricing, product design, and branding strategies used by similar businesses. The findings were then interpreted to determine market demand, customer expectations, and positioning opportunities for the brand. The results indicate that there is strong potential for semi-fine jewellery in the finished-goods market, especially among consumers seeking affordable yet stylish and durable accessories. The study also found that successful entry depends on distinctive designs, competitive pricing, and strong online visibility. Overall, the research concludes that a semi-fine jewellery business can establish a sustainable presence in the market if it aligns product offerings with consumer preferences and implements a clear market entry strat</w:t>
      </w:r>
    </w:p>
    <w:p>
      <w:pPr/>
      <w:r>
        <w:rPr>
          <w:b/>
        </w:rPr>
        <w:t>POSSIBLE 2026:</w:t>
      </w:r>
      <w:r>
        <w:t xml:space="preserve"> Regulatory Barriers to Market Entry: The Impact of EU and Finnish Cosmetic Regulations on Importing Japanese Cosmetics into Finland — https://openalex.org/W7162165616</w:t>
      </w:r>
    </w:p>
    <w:p>
      <w:pPr/>
      <w:r>
        <w:rPr>
          <w:b/>
        </w:rPr>
        <w:t>Shared claim-specific concepts:</w:t>
      </w:r>
      <w:r>
        <w:t xml:space="preserve"> identify, finland, qualitative, method, applied; EU scope visible. This is a provisional connection, not an outcome finding.</w:t>
      </w:r>
    </w:p>
    <w:p>
      <w:pPr>
        <w:pStyle w:val="SourceNote"/>
      </w:pPr>
      <w:r>
        <w:rPr>
          <w:b/>
        </w:rPr>
        <w:t>Available abstract (not full text):</w:t>
      </w:r>
      <w:r>
        <w:t xml:space="preserve"> The Japanese cosmetics industry has experienced increasing global popularity in recent years, reflected in its steadily expanding market value and the rising international demand. While the recent trends indicate strong international market potential for Japanese cosmetic products, the import of cosmetics from Japan into the European Union and Finland is regulated by strict legal frameworks. These regulations govern areas including product safety and compliance, documentation, ingredient restrictions, labeling requirements, and market surveillance. The differences between EU and Finnish regulations in comparison to Japanese regulations may create barriers for market entry and affect the ability of Japanese cosmetic products to enter the Finnish market. The objective of this thesis was to identify and analyze the key regulatory barriers affecting the import of Japanese cosmetics into Finland. The scope of the study was limited to regulatory differences between the EU, Finnish, and Japanese cosmetic regulatory frameworks, focusing on products manufactured in Japan that have not previously entered the EU market. The market entry barriers were considered from the perspective of the importer. The theoretical framework of the study presented the key elements of the EU, Finnish, and Japanese regulatory frameworks. The study applied a qualitative research approach and comparative analy</w:t>
      </w:r>
    </w:p>
    <w:p>
      <w:pPr/>
      <w:r>
        <w:rPr>
          <w:b/>
        </w:rPr>
        <w:t>POSSIBLE 2026:</w:t>
      </w:r>
      <w:r>
        <w:t xml:space="preserve"> Obstacles to Job Market Integration for International Students in Finland — https://openalex.org/W7198829089</w:t>
      </w:r>
    </w:p>
    <w:p>
      <w:pPr/>
      <w:r>
        <w:rPr>
          <w:b/>
        </w:rPr>
        <w:t>Shared claim-specific concepts:</w:t>
      </w:r>
      <w:r>
        <w:t xml:space="preserve"> finland, qualitative, applied, well; EU scope visible. This is a provisional connection, not an outcome finding.</w:t>
      </w:r>
    </w:p>
    <w:p>
      <w:pPr>
        <w:pStyle w:val="SourceNote"/>
      </w:pPr>
      <w:r>
        <w:rPr>
          <w:b/>
        </w:rPr>
        <w:t>Available abstract (not full text):</w:t>
      </w:r>
      <w:r>
        <w:t xml:space="preserve"> The inclusion of international students in Finland labour market is a challenge, which is not going away even after the national campaign of attracting international talents to the country by offering English-based higher education programs. This study discusses the issue of international students and new graduates searching a job in the Finish labour market, which is considered to be an energy technology and innovation-oriented area. In spite of the fact that national strategies of Finland focus on internationalization and retention of talents, there is a gap between the desires of Finland and the fulfilment of international degree graduates in the sphere of employment. The data collected in this qualitative research paper is obtained via the use of semi-structured questionnaire with ten international students and graduates at the University of Finnish labour market and other institutions located in the area. The three theories interrelate in that the study is influenced by the following theoretical frameworks to develop: Human Capital Theory, Social Capital Theory, and Psychological Contract Theory. These models are used to an alyse the way skills, networks, expectations and perceived obligations affect the Finnish labour market employability of international students. Results indicate that the barriers to labour market integration are numerous with the Finnish language skill</w:t>
      </w:r>
    </w:p>
    <w:p>
      <w:pPr/>
      <w:r>
        <w:rPr>
          <w:b/>
        </w:rPr>
        <w:t>POSSIBLE 2026:</w:t>
      </w:r>
      <w:r>
        <w:t xml:space="preserve"> Analysts’ recommendations and abnormal returns in the Finnish Stock Market — https://openalex.org/W7198904048</w:t>
      </w:r>
    </w:p>
    <w:p>
      <w:pPr/>
      <w:r>
        <w:rPr>
          <w:b/>
        </w:rPr>
        <w:t>Shared claim-specific concepts:</w:t>
      </w:r>
      <w:r>
        <w:t xml:space="preserve"> industrial, sector; EU scope not established. This is a provisional connection, not an outcome finding.</w:t>
      </w:r>
    </w:p>
    <w:p>
      <w:pPr>
        <w:pStyle w:val="SourceNote"/>
      </w:pPr>
      <w:r>
        <w:rPr>
          <w:b/>
        </w:rPr>
        <w:t>Available abstract (not full text):</w:t>
      </w:r>
      <w:r>
        <w:t xml:space="preserve"> Stock analysts are important operators in today’s stock markets, and their ability to spot over- or underpriced stocks has been widely examined in academia. Analysts form their recommendations based on publicly available information. According to the semi-strong form of the Efficient Market Hypothesis following analysts should not yield abnormal returns. If abnormal returns still appear, it would indicate inefficiency in the markets. Most earlier studies have focused on the United States stock markets, which are often considered one of the most efficient in the world. This thesis examines whether abnormal returns are possible to achieve by a trading strategy following analysts’ recommendations in the Finnish stock markets between 2014 and 2024. In the thesis, six portfolios were built from OMX Helsinki stocks based on the analyst consensus recommendations they receive: three with favorable and three with unfavorable recommendations. The returns of portfolios were tested using the CAPM and the Fama–French five-factor model after transaction costs. In addition, eight industry portfolios were formed from four major industries to see if the analysts’ forecasting abilities are consistent across the industries. Each industry was split into a favourable and an unfavorable portfolio. Two of the three unfavorable portfolios produced significant negative abnormal returns, even after acco</w:t>
      </w:r>
    </w:p>
    <w:p>
      <w:pPr/>
      <w:r>
        <w:rPr>
          <w:b/>
        </w:rPr>
        <w:t>POSSIBLE 2026:</w:t>
      </w:r>
      <w:r>
        <w:t xml:space="preserve"> Creative Pathways to Belonging? Reviewing a Decade of Research on Socially Engaged Arts Education Initiatives for Refugees in Europe — https://doi.org/10.1007/s12134-026-01446-2</w:t>
      </w:r>
    </w:p>
    <w:p>
      <w:pPr/>
      <w:r>
        <w:rPr>
          <w:b/>
        </w:rPr>
        <w:t>Shared claim-specific concepts:</w:t>
      </w:r>
      <w:r>
        <w:t xml:space="preserve"> aim, promising, pathways; EU scope visible. This is a provisional connection, not an outcome finding.</w:t>
      </w:r>
    </w:p>
    <w:p>
      <w:pPr>
        <w:pStyle w:val="SourceNote"/>
      </w:pPr>
      <w:r>
        <w:rPr>
          <w:b/>
        </w:rPr>
        <w:t>Available abstract (not full text):</w:t>
      </w:r>
      <w:r>
        <w:t xml:space="preserve"> Abstract This article reports the findings of a review of European research literature on socially engaged arts education for refugees. Over the past decade, arts-based initiatives have emerged as promising tools for supporting refugee communities across Europe. Educational initiatives, specifically — ranging from drama and music workshops to zine-making and visual storytelling — have created spaces for expression, connection and intercultural exchange. While often modest in scale, their impact on individuals can be profound, offering participants opportunities to reclaim agency, build relationships and navigate the complexities of displacement. However, at the same time, initiatives face structural barriers, resource constraints, ethical tensions and uneven power dynamics. Drawing on a systematic review of 36 studies published between 2015 and 2025, identified in the Hub for Education for Refugees in Europe (HERE) Knowledge Base, this article explores what the research tells us about the principles, practices and outcomes of various socially engaged arts education interventions for refugees. The aim was to help us better understand their role in promoting refugees’ belonging and inclusion in a context of increasing sociopolitical division and inequality. In establishing what the decade of research tells us, the paper contributes to interdisciplinary literature and debates on e</w:t>
      </w:r>
    </w:p>
    <w:p>
      <w:pPr/>
      <w:r>
        <w:rPr>
          <w:b/>
        </w:rPr>
        <w:t>POSSIBLE 2025:</w:t>
      </w:r>
      <w:r>
        <w:t xml:space="preserve"> Perceptions of Africa as a Market in International Business Schools in Finland — https://openalex.org/W7201314040</w:t>
      </w:r>
    </w:p>
    <w:p>
      <w:pPr/>
      <w:r>
        <w:rPr>
          <w:b/>
        </w:rPr>
        <w:t>Shared claim-specific concepts:</w:t>
      </w:r>
      <w:r>
        <w:t xml:space="preserve"> identify, finland, pathways, qualitative; EU scope visible. This is a provisional connection, not an outcome finding.</w:t>
      </w:r>
    </w:p>
    <w:p>
      <w:pPr>
        <w:pStyle w:val="SourceNote"/>
      </w:pPr>
      <w:r>
        <w:rPr>
          <w:b/>
        </w:rPr>
        <w:t>Available abstract (not full text):</w:t>
      </w:r>
      <w:r>
        <w:t xml:space="preserve"> After many years of economic stagnation and slow development, Africa now stands on the verge of economic transformation. Over the last ten years, six of the world's ten fastest-growing economies were located in Africa. As an economic region, Africa’s gross domestic product (GDP) grew faster than that of East Asia, Japan included. Additionally, Africa’s population is projected to grow from 1.5 billion in 2024 to 2.5 billion by 2050. It is projected that this growth will come together with a major demographic shift where one in every three young people globally is expected to be African by mid-century (Sinha &amp; Getachew, 2024). Despite the huge economic growth potential this data presents, there seems to be little, if any recognition, within the International Business (IB) curricula in Finnish educational institutions. This study aims to establish why Africa-related business opportunities are not included in Finnish business schools’ curricula. The goal is to identify what may be causing this exclusion and whether intercultural communication theories, particularly the concept of stereotyping, can assist in explaining this exclusion and provide pathways for inclusion. The study uses both qualitative and quantitative methods to collect data. To see how Africa as a market is perceived in Finnish business schools, I analyzed publicly available course descriptions published on the webs</w:t>
      </w:r>
    </w:p>
    <w:p>
      <w:pPr/>
      <w:r>
        <w:rPr>
          <w:b/>
        </w:rPr>
        <w:t>POSSIBLE 2025:</w:t>
      </w:r>
      <w:r>
        <w:t xml:space="preserve"> Competency Requirements for the Juniors in the Finnish Cybersecurity Service and Consultancy Business — https://doi.org/10.34190/iccws.20.1.3239</w:t>
      </w:r>
    </w:p>
    <w:p>
      <w:pPr/>
      <w:r>
        <w:rPr>
          <w:b/>
        </w:rPr>
        <w:t>Shared claim-specific concepts:</w:t>
      </w:r>
      <w:r>
        <w:t xml:space="preserve"> finland, required, well; EU scope visible. This is a provisional connection, not an outcome finding.</w:t>
      </w:r>
    </w:p>
    <w:p>
      <w:pPr>
        <w:pStyle w:val="SourceNote"/>
      </w:pPr>
      <w:r>
        <w:rPr>
          <w:b/>
        </w:rPr>
        <w:t>Available abstract (not full text):</w:t>
      </w:r>
      <w:r>
        <w:t xml:space="preserve"> Fresh graduates or career changers face challenges entering the competitive cybersecurity job market. Cybersecurity is evolving rapidly, and even professionals must put in extra effort to keep themselves updated and competent. Most existing studies on the competency requirements in the Finnish job market are based on surveys, literature reviews, and trends, and in-depth work-life skills analysis is limited. This phenomenon makes Finnish higher education institutes’ work challenging because they need to train graduates for the local, European and global job markets with relevant work-life skills, and in-depth input from the workforce is essential. This study aims to find more in-depth input from the work-life. It identifies the work-life skills required in the cybersecurity service and consultancy business, particularly for junior-level positions available to fresh graduates in the Finnish job market. The case study is based on in-depth interviews with eight representatives from five companies that offer cybersecurity services in Finland. The interviewees had 5 to 24 years of working experience and represented positions ranging from technical experts to directors. The data was analyzed using an AI-aided analysis methodology, the enhanced European Joint Research Center Cybersecurity Taxonomy and the European Catalogue of Soft Skills References to ensure a comprehensive and job ma</w:t>
      </w:r>
    </w:p>
    <w:p>
      <w:pPr/>
      <w:r>
        <w:rPr>
          <w:b/>
        </w:rPr>
        <w:t>POSSIBLE 2025:</w:t>
      </w:r>
      <w:r>
        <w:t xml:space="preserve"> Integrating plasma proteomics and genome-wide association data to identify therapeutic targets for retinal neurodegenerative diseases in Europeans — https://doi.org/10.18240/ijo.2025.11.21</w:t>
      </w:r>
    </w:p>
    <w:p>
      <w:pPr/>
      <w:r>
        <w:rPr>
          <w:b/>
        </w:rPr>
        <w:t>Shared claim-specific concepts:</w:t>
      </w:r>
      <w:r>
        <w:t xml:space="preserve"> aim, identify, promising, explore; EU scope visible. This is a provisional connection, not an outcome finding.</w:t>
      </w:r>
    </w:p>
    <w:p>
      <w:pPr>
        <w:pStyle w:val="SourceNote"/>
      </w:pPr>
      <w:r>
        <w:rPr>
          <w:b/>
        </w:rPr>
        <w:t>Available abstract (not full text):</w:t>
      </w:r>
      <w:r>
        <w:t xml:space="preserve"> AIM: To employ proteome-wide Mendelian randomization (MR) to explore novel protein and drug targets for retinal neurodegenerative diseases (RND) in individuals of European ancestry. METHODS: This study used summary data-based MR to analyze the correlation between plasma protein levels and three RND, with protein data derived from two independent large-scale proteomics datasets. Potential drug targets were identified using Bayesian colocalization, followed by MR analysis, sensitivity testing, and external validation. Drug prediction and molecular docking were conducted to evaluate the druggability of the target proteins. RESULTS: The study identified six promising protein targets, each successfully replicated at least twice. The results included three proteins related to diabetic retinopathy (ICAM1, GCKR, WARS), two proteins related to age-related macular degeneration (WARS, BRD2), and two proteins related to glaucoma (SVEP1, NPTXR). Additionally, drug prediction and molecular docking indicated that five drugs (fenofibrate, trofinetide, ticagrelor, lifitegrast, acetaminophen) effectively bound to the target proteins. CONCLUSION: This study identified six potential protein targets for RND and five existing drugs with therapeutic potential. By integrating plasma proteomics with genetic data, it provides a cost-effective framework for drug discovery.</w:t>
      </w:r>
    </w:p>
    <w:p>
      <w:pPr>
        <w:pStyle w:val="Heading2"/>
      </w:pPr>
      <w:r>
        <w:t>603. Hydrogen in the Strategies of the European Union Member States</w:t>
      </w:r>
    </w:p>
    <w:p>
      <w:pPr>
        <w:pStyle w:val="SourceNote"/>
      </w:pPr>
      <w:r>
        <w:rPr>
          <w:b/>
        </w:rPr>
        <w:t>Original source (2021):</w:t>
      </w:r>
      <w:r>
        <w:t xml:space="preserve"> https://doi.org/10.24425/gsm.2021.138660</w:t>
      </w:r>
    </w:p>
    <w:p>
      <w:pPr/>
      <w:r>
        <w:t>Original wording (abstract; indexed_source_text_not_full_document_verified): By 2030, some of the countries plan to become a leader not only in the field of hydrogen production or RES development aimed at this process but also in the areas of research and development (R&amp;D), sales of new technologies, and international cooperation. The analysis of the future of hydrogen energy, which is an essential component of transforming the economy into an environmentally neutral one, is an integral part of the strategies of the European Union (EU) Member States.</w:t>
      </w:r>
    </w:p>
    <w:p>
      <w:pPr/>
      <w:r>
        <w:rPr>
          <w:b/>
        </w:rPr>
        <w:t>POSSIBLE 2026:</w:t>
      </w:r>
      <w:r>
        <w:t xml:space="preserve"> Understanding the Saudi Arabia planning permit process: a comparative analysis with European countries — https://doi.org/10.1080/09613218.2026.2651160</w:t>
      </w:r>
    </w:p>
    <w:p>
      <w:pPr/>
      <w:r>
        <w:rPr>
          <w:b/>
        </w:rPr>
        <w:t>Shared claim-specific concepts:</w:t>
      </w:r>
      <w:r>
        <w:t xml:space="preserve"> countries, process; EU scope visible. This is a provisional connection, not an outcome finding.</w:t>
      </w:r>
    </w:p>
    <w:p>
      <w:pPr>
        <w:pStyle w:val="SourceNote"/>
      </w:pPr>
      <w:r>
        <w:rPr>
          <w:b/>
        </w:rPr>
        <w:t>Available abstract (not full text):</w:t>
      </w:r>
      <w:r>
        <w:t xml:space="preserve"> A planning permit is required before starting any construction. It involves a comprehensive review by authorities to ensure compliance with planning and building regulations. In Saudi Arabia, this process plays a crucial role in regulating urban development – the urban population is growing, with consequent increased demand for housing and a rise in planning permit applications. This places significant pressure on municipal authorities to process applications, currently a relatively slow process owing to inefficiencies in traditional workflows and the labour-intensive nature of the review process. Work is underway to improve the situation, as part of Saudi Arabia’s ‘Vision 2030’, which includes objectives for digital transformation and efficient governance. This study investigates these new developments and compares the new approaches with those from several European countries, to understand similarities and differences, and in particular, identify best practices and commonalities for future processes and systems development. Document analysis and semi-structured interviews are combined to determine procedural structures, stakeholder roles and business rules, which are then embedded into an established framework to facilitate comparison. The results provide a systematic, comparable description of the planning permit process of Saudi Arabia, and derive lessons learned from the c</w:t>
      </w:r>
    </w:p>
    <w:p>
      <w:pPr/>
      <w:r>
        <w:rPr>
          <w:b/>
        </w:rPr>
        <w:t>POSSIBLE 2026:</w:t>
      </w:r>
      <w:r>
        <w:t xml:space="preserve"> The Process and Effectiveness of Strategic Planning in Higher Education: Evidence From Five European Countries — https://doi.org/10.1111/ejed.70585</w:t>
      </w:r>
    </w:p>
    <w:p>
      <w:pPr/>
      <w:r>
        <w:rPr>
          <w:b/>
        </w:rPr>
        <w:t>Shared claim-specific concepts:</w:t>
      </w:r>
      <w:r>
        <w:t xml:space="preserve"> countries, process; EU scope visible. This is a provisional connection, not an outcome finding.</w:t>
      </w:r>
    </w:p>
    <w:p>
      <w:pPr>
        <w:pStyle w:val="SourceNote"/>
      </w:pPr>
      <w:r>
        <w:rPr>
          <w:b/>
        </w:rPr>
        <w:t>Available abstract (not full text):</w:t>
      </w:r>
      <w:r>
        <w:t xml:space="preserve"> ABSTRACT The paper aims at investigating the strategic planning process and its perceived effectiveness in universities based on evidence from five European countries (UK, Sweden, Greece, Cyprus and the Netherlands) and 10 higher education institutions. The investigation focused on the following: the characteristics of the strategic planning process; stakeholder involvement in strategic planning and their role in the process; and the major problems faced in relation to the effectiveness of strategic planning. The elements investigated relate to the process and effectiveness of strategic planning in an attempt to examine the development of strategy by higher education institutions and its perceived effectiveness. Qualitative research was used to collect data from academics and/or high‐ranking administrators with a role in the institutional strategic planning process. The data were subjected to thematic analysis. According to the findings, universities were more likely to subscribe to a top‐down model in strategic planning. Respondents drew attention to three categories of problems and/or limitations associated with the strategic planning process, namely, human resources/stakeholder problems, technical/content‐related problems, and external limitations and restrictions. The paper attempts to inform the higher education literature by providing evidence from five countries on an un</w:t>
      </w:r>
    </w:p>
    <w:p>
      <w:pPr/>
      <w:r>
        <w:rPr>
          <w:b/>
        </w:rPr>
        <w:t>POSSIBLE 2025:</w:t>
      </w:r>
      <w:r>
        <w:t xml:space="preserve"> How Transit Countries Become Refugee Destinations: Insights From Central and Eastern Europe — https://doi.org/10.1111/imig.70066</w:t>
      </w:r>
    </w:p>
    <w:p>
      <w:pPr/>
      <w:r>
        <w:rPr>
          <w:b/>
        </w:rPr>
        <w:t>Shared claim-specific concepts:</w:t>
      </w:r>
      <w:r>
        <w:t xml:space="preserve"> countries, become, only, also, international; EU scope visible. This is a provisional connection, not an outcome finding.</w:t>
      </w:r>
    </w:p>
    <w:p>
      <w:pPr>
        <w:pStyle w:val="SourceNote"/>
      </w:pPr>
      <w:r>
        <w:rPr>
          <w:b/>
        </w:rPr>
        <w:t>Available abstract (not full text):</w:t>
      </w:r>
      <w:r>
        <w:t xml:space="preserve"> ABSTRACT This study examines how refugees' destination preferences evolve during transit, focusing on three Central and Eastern European countries—Bulgaria, Romania, and Hungary—traditionally regarded as ‘transit only’ prior to the Ukraine refugee crisis. Using a mixed‐methods approach, we first analyse 2252 observations from the International Organisation for Migration's Flow Monitoring Surveys to identify the main factors influencing changes in destination choices. We then complement these findings with qualitative data from focus groups with 16 asylum seekers in Romania to explore these dynamics in depth. Our results show that prioritising safety significantly increases the likelihood of asylum seekers reconsidering a transit country as a potential destination. Other influential factors include asylum conditions, migration costs, and educational background, with more educated individuals more likely to revise initial plans. Although our primary focus is on asylum seekers, we find that high migration costs also affect decisions, suggesting a need to ‘recover’ investments through settlement in more stable or economically attractive countries. The qualitative findings support the quantitative results, highlighting the role of legal stability, social networks, and perceived opportunity in shifting preferences. Overall, the study suggests that under certain conditions, transit co</w:t>
      </w:r>
    </w:p>
    <w:p>
      <w:pPr/>
      <w:r>
        <w:rPr>
          <w:b/>
        </w:rPr>
        <w:t>POSSIBLE 2025:</w:t>
      </w:r>
      <w:r>
        <w:t xml:space="preserve"> EUROPEAN GREEN PLAN – NEW DIRECTIONS OF ECONOMIC DEVELOPMENT OF THE EUROPEAN UNION — https://doi.org/10.46793/87143.26.5.021d</w:t>
      </w:r>
    </w:p>
    <w:p>
      <w:pPr/>
      <w:r>
        <w:rPr>
          <w:b/>
        </w:rPr>
        <w:t>Shared claim-specific concepts:</w:t>
      </w:r>
      <w:r>
        <w:t xml:space="preserve"> countries, plan, become, production, international, cooperation; EU scope visible. This is a provisional connection, not an outcome finding.</w:t>
      </w:r>
    </w:p>
    <w:p>
      <w:pPr>
        <w:pStyle w:val="SourceNote"/>
      </w:pPr>
      <w:r>
        <w:rPr>
          <w:b/>
        </w:rPr>
        <w:t>Available abstract (not full text):</w:t>
      </w:r>
      <w:r>
        <w:t xml:space="preserve"> Disruptions in the system of international economic relations following the Covid-19 pandemic have put global supply chains and world capital markets at risk, affecting key sectors of industrial production, energy and services. Many countries have experienced a decrease in GDP and an increase in public debt as a result of the severe recessionary impact. The negative economic effects have become increasingly visible on the global social level, which has necessitated a stronger multilateral response based on clear and transparent rules and principles based on solidarity, unity and international cooperation. The European Union (EU), as the second largest global economy, has taken a leading role in addressing the global crisis, working closely with key international institutions. Given the dimensions of the disruption in the system of international economic relations, the EU is striving to adapt to the crisis situation by establishing new priorities for international cooperation and taking decisive measures to prevent and remedy the negative consequences of the economic crisis. Working on the adoption of strategic documents and action plans, the EU has adopted the European Green Deal as a set of strategically important documents that present a new approach to the transformation of the European economy in line with the global agenda for the world future.</w:t>
      </w:r>
    </w:p>
    <w:p>
      <w:pPr/>
      <w:r>
        <w:rPr>
          <w:b/>
        </w:rPr>
        <w:t>POSSIBLE 2025:</w:t>
      </w:r>
      <w:r>
        <w:t xml:space="preserve"> Adaptation to Climate Change in Coastal Countries of the European Union—An Evaluation of Plans and Strategies — https://doi.org/10.3390/app15116281</w:t>
      </w:r>
    </w:p>
    <w:p>
      <w:pPr/>
      <w:r>
        <w:rPr>
          <w:b/>
        </w:rPr>
        <w:t>Shared claim-specific concepts:</w:t>
      </w:r>
      <w:r>
        <w:t xml:space="preserve"> countries, areas, essential; EU scope visible. This is a provisional connection, not an outcome finding.</w:t>
      </w:r>
    </w:p>
    <w:p>
      <w:pPr>
        <w:pStyle w:val="SourceNote"/>
      </w:pPr>
      <w:r>
        <w:rPr>
          <w:b/>
        </w:rPr>
        <w:t>Available abstract (not full text):</w:t>
      </w:r>
      <w:r>
        <w:t xml:space="preserve"> A Climate change and its adverse effects are now the greatest threats faced by society. As a consequence, it is essential to adopt strategic instruments and adaptation measures – especially in the most vulnerable and susceptible areas, such as coastal zones. An analysis has been carried out on the instruments and adaptation measures designed to combat the effects of climate change in coastal countries of the European Union. A bibliographic search of technical and scientific documents has been carried out using various information platforms. Strategic planning instruments were subsequently studied and adaptation measures were classified. The results of this study indicate that, in relation to strategic instruments, there has been a significant and progressive increase in the adoption of adaptation plans and strategies that address problems faced by coastal areas. Physical-structural adaptation measures are the most widely used, especially ecosystem-based and engineering measures, even in specific projects implemented at different territorial scales of governance. One of the main conclusions drawn from the analysis is that, from an operational perspective, the local scale is the most suitable for implementing adaptation measures.</w:t>
      </w:r>
    </w:p>
    <w:p>
      <w:pPr/>
      <w:r>
        <w:rPr>
          <w:b/>
        </w:rPr>
        <w:t>POSSIBLE 2025:</w:t>
      </w:r>
      <w:r>
        <w:t xml:space="preserve"> Profiling Land Use Planning: Legislative Structures in Five European Nations — https://doi.org/10.3390/land14061261</w:t>
      </w:r>
    </w:p>
    <w:p>
      <w:pPr/>
      <w:r>
        <w:rPr>
          <w:b/>
        </w:rPr>
        <w:t>Shared claim-specific concepts:</w:t>
      </w:r>
      <w:r>
        <w:t xml:space="preserve"> countries, become; EU scope visible. This is a provisional connection, not an outcome finding.</w:t>
      </w:r>
    </w:p>
    <w:p>
      <w:pPr>
        <w:pStyle w:val="SourceNote"/>
      </w:pPr>
      <w:r>
        <w:rPr>
          <w:b/>
        </w:rPr>
        <w:t>Available abstract (not full text):</w:t>
      </w:r>
      <w:r>
        <w:t xml:space="preserve"> Land use transformation, the longest-standing human-driven environmental alteration, is a pressing and complex issue that significantly impacts European landscapes and contributes to global environmental change. The urgency to act is reinforced by the European Environment Agency (EEA), which identifies industrial, commercial, and residential development—particularly near major urban centers—as key contributors to land take. As the EU sets a vision for achieving zero net land take by 2050, assessing the readiness and coherence of national legislation becomes critical. This comprehensive study employs a comparative legal analysis across five European countries—Italy, Greece, Poland, France, and Ukraine—examining their laws, strategies, and commitments related to land degradation neutrality. Using a review of national legislation and policy documents, the research identifies systemic patterns, barriers, and opportunities within current legal frameworks. The present study aims to provide valuable insights for policymakers, planners, and academic institutions, fostering a comprehensive understanding of existing gaps, implementation, and inconsistencies in national land use legislation. Among the results, it has become evident that a typical “pathway” between the examined states in terms of the legislative framework on land use–land take is probably a utopia for the time being. The l</w:t>
      </w:r>
    </w:p>
    <w:p>
      <w:pPr/>
      <w:r>
        <w:rPr>
          <w:b/>
        </w:rPr>
        <w:t>POSSIBLE 2025:</w:t>
      </w:r>
      <w:r>
        <w:t xml:space="preserve"> A critical analysis of national dementia plans: comparison of preventive strategies in five European countries. — https://doi.org/10.7416/ai.2025.2702</w:t>
      </w:r>
    </w:p>
    <w:p>
      <w:pPr/>
      <w:r>
        <w:rPr>
          <w:b/>
        </w:rPr>
        <w:t>Shared claim-specific concepts:</w:t>
      </w:r>
      <w:r>
        <w:t xml:space="preserve"> countries, plan, not, only, but, also; EU scope visible. This is a provisional connection, not an outcome finding.</w:t>
      </w:r>
    </w:p>
    <w:p>
      <w:pPr>
        <w:pStyle w:val="SourceNote"/>
      </w:pPr>
      <w:r>
        <w:rPr>
          <w:b/>
        </w:rPr>
        <w:t>Available abstract (not full text):</w:t>
      </w:r>
      <w:r>
        <w:t xml:space="preserve"> Background: Preventive measures can avert up to 45% of dementia cases worldwide. The aim of the study is to analyse some selected national dementia prevention strategic plans. Methods: A qualitative comparative analysis was performed between national dementia plans of the European countries with the best healthy life expectancy among the elderly. The national dementia plans of France, Ireland, Italy, Spain and Sweden were included. The consensus on priority actions and key elements of prevention policies was evaluated, according to the World Health Organization recommendations and to an analysis tool designed for evaluating chronic diseases policies. Results: All the countries emphasized the importance of prevention policies within their dementia plans and established monitoring committees. However, not all countries defined timelines for policy implementation and only Spain updated its national plan so far. The integration of dementia prevention with other chronic disease preventive campaigns is still lacking, and also a clear allocation of funds for dementia plans is absent so far. Conclusions: All countries extensively followed the World Health Organization's recommendations. However, the plans have not been updated. Thus, they do not address all the current known risk factors for dementia, preventing only a fraction of potentially preventable cases. Moreover, the need for f</w:t>
      </w:r>
    </w:p>
    <w:p>
      <w:pPr/>
      <w:r>
        <w:rPr>
          <w:b/>
        </w:rPr>
        <w:t>POSSIBLE 2025:</w:t>
      </w:r>
      <w:r>
        <w:t xml:space="preserve"> DIGITAL TRANSFORMATION OF GOVERNMENT IN THE EUROPEAN UNION COUNTRIES — https://openalex.org/W7220613609</w:t>
      </w:r>
    </w:p>
    <w:p>
      <w:pPr/>
      <w:r>
        <w:rPr>
          <w:b/>
        </w:rPr>
        <w:t>Shared claim-specific concepts:</w:t>
      </w:r>
      <w:r>
        <w:t xml:space="preserve"> countries, plan, not, only, process, but; EU scope visible. This is a provisional connection, not an outcome finding.</w:t>
      </w:r>
    </w:p>
    <w:p>
      <w:pPr>
        <w:pStyle w:val="SourceNote"/>
      </w:pPr>
      <w:r>
        <w:rPr>
          <w:b/>
        </w:rPr>
        <w:t>Available abstract (not full text):</w:t>
      </w:r>
      <w:r>
        <w:t xml:space="preserve"> The article examines trends, models, and effective practices of government digital transformation in the European Union countries. Based on the analysis of strategic documents of the European Commission – Digital Europe Programme (2021–2027), European Interoperability Framework, Data Governance Act, Interoperable Europe Act, and eGovernment Action Plan (2016–2020) – the institutional foundations for forming a unified European digital space are revealed. It is determined that the digitalization of government processes is not only a technological but also a structural factor in the modernization of public administration, ensuring efficiency, transparency, and citizen trust in authorities. A comparative analysis of the E-Government Development Index (EGDI) for 2018–2024 was conducted, revealing the leadership of Denmark, Estonia, Finland, and the Netherlands, as well as gradual progress in Central European countries. A classification of institutional models of digital governance is proposed: centralized (Estonia model), decentralized (Germany model), and mixed (Poland model), each with its own advantages and challenges. A direct correlation between the level of digitalization (EGDI) and the quality of government (QoG) has been established, indicating the impact of digital innovations on integrity and the effectiveness of state policy. Key problems are outlined – infrastructure fra</w:t>
      </w:r>
    </w:p>
    <w:p>
      <w:pPr/>
      <w:r>
        <w:rPr>
          <w:b/>
        </w:rPr>
        <w:t>POSSIBLE 2025:</w:t>
      </w:r>
      <w:r>
        <w:t xml:space="preserve"> Transforming the European Central Bank into an international settlement institution: The Keynes Plan revisited — https://doi.org/10.4337/9781035324279.00019</w:t>
      </w:r>
    </w:p>
    <w:p>
      <w:pPr/>
      <w:r>
        <w:rPr>
          <w:b/>
        </w:rPr>
        <w:t>Shared claim-specific concepts:</w:t>
      </w:r>
      <w:r>
        <w:t xml:space="preserve"> countries, plan, not, international, essential, transforming; EU scope visible. This is a provisional connection, not an outcome finding.</w:t>
      </w:r>
    </w:p>
    <w:p>
      <w:pPr>
        <w:pStyle w:val="SourceNote"/>
      </w:pPr>
      <w:r>
        <w:rPr>
          <w:b/>
        </w:rPr>
        <w:t>Available abstract (not full text):</w:t>
      </w:r>
      <w:r>
        <w:t xml:space="preserve"> This chapter focuses on the monetary–structural needs to provide for payment finality at the international level within the euro area, in light of the flaws of the TARGET2 system as shown by the euro-area crisis that burst near the end of 2009. The first section explains the monetary–structural origins of such a crisis, which are to be found in the TARGET2 system. The second section points out the conceptual difference between the European single currency (the euro) and a much-needed common currency in Europe, so much so that the monetary policy decisions taken by the European Central Bank are not appropriate for all euro-area countries. The third section expands on the workings of the European Central Bank once the latter becomes an international settlement institution – which is essential to make sure payments are final between any two euro-area countries. The last section concludes with some political-economy remarks about the feasibility of such a monetary–structural reform in the spirit of Keynes's (1944) Plan.</w:t>
      </w:r>
    </w:p>
    <w:p>
      <w:pPr/>
      <w:r>
        <w:rPr>
          <w:b/>
        </w:rPr>
        <w:t>POSSIBLE 2025:</w:t>
      </w:r>
      <w:r>
        <w:t xml:space="preserve"> PECULIARITIES OF THE PUBLIC SPACES FORMATION IN RURAL AREA OF EUROPEAN COUNTRIES — https://doi.org/10.32347/2076-815x.2025.90.169-180</w:t>
      </w:r>
    </w:p>
    <w:p>
      <w:pPr/>
      <w:r>
        <w:rPr>
          <w:b/>
        </w:rPr>
        <w:t>Shared claim-specific concepts:</w:t>
      </w:r>
      <w:r>
        <w:t xml:space="preserve"> countries, become, not, only, field, process; EU scope visible. This is a provisional connection, not an outcome finding.</w:t>
      </w:r>
    </w:p>
    <w:p>
      <w:pPr>
        <w:pStyle w:val="SourceNote"/>
      </w:pPr>
      <w:r>
        <w:rPr>
          <w:b/>
        </w:rPr>
        <w:t>Available abstract (not full text):</w:t>
      </w:r>
      <w:r>
        <w:t xml:space="preserve"> The article is devoted to an important issue – the development of high-quality public space in united territorial communities as the basis of their social cohesion, local identity and sustainable development. These issues have become particularly relevant in the period of modern transformations. They are associated with decentralization, the urbanization process and socio-economic changes in rural areas in Ukraine. Currently, there is a need for a comprehensive analysis of existing approaches to the development of such places. This is especially relevant in the conditions of martial law in Ukraine, resource constraints, demographic decline and insufficient attention to spatial planning in the field. The experience of foreign countries is important in this area. Therefore, the identification and analysis of interesting examples of the formation of public spaces in rural areas of European countries is the goal of this publication. To achieve this goal, an analysis of the works of previous scholars, a comparative analysis of public spaces in European territories, their functional analysis, and a field survey of objects were used. Interesting examples of solutions for public spaces in towns and rural areas of Poland, Slovakia, the Netherlands, Denmark, Finland, and Latvia are revealed in the article. The importance of this topic is emphasized, and the low level of study of such pub</w:t>
      </w:r>
    </w:p>
    <w:p>
      <w:pPr/>
      <w:r>
        <w:rPr>
          <w:b/>
        </w:rPr>
        <w:t>POSSIBLE 2025:</w:t>
      </w:r>
      <w:r>
        <w:t xml:space="preserve"> VAT IN POLAND AND SELECTED EUROPEAN UNION COUNTRIES — https://doi.org/10.29119/1641-3466.2025.220.10</w:t>
      </w:r>
    </w:p>
    <w:p>
      <w:pPr/>
      <w:r>
        <w:rPr>
          <w:b/>
        </w:rPr>
        <w:t>Shared claim-specific concepts:</w:t>
      </w:r>
      <w:r>
        <w:t xml:space="preserve"> countries, only, aimed, also; EU scope visible. This is a provisional connection, not an outcome finding.</w:t>
      </w:r>
    </w:p>
    <w:p>
      <w:pPr>
        <w:pStyle w:val="SourceNote"/>
      </w:pPr>
      <w:r>
        <w:rPr>
          <w:b/>
        </w:rPr>
        <w:t>Available abstract (not full text):</w:t>
      </w:r>
      <w:r>
        <w:t xml:space="preserve"> Purpose: The aim of this study is to identify how the VAT rate in Poland compares to other European Union countries. Additionally, the article aims to emphasize the essence of harmonization of the tax systems of EU countries in the context of this tax and to point out problems with its collection. The study aims to identify similarities and differences in the VAT structure and rates. Methodology: This study employed a comparative analysis to examine the VAT system in Poland and selected European Union countries. The research covers Poland and other EU Member States, with the analysis based on data from 2023, which remains valid in the following year. Secondary data were sourced from the Official Website of the European Union. A comparative analysis of standard VAT rates and reduced rates across EU countries was conducted, focusing on both their number and values. The data were also subjected to statistical and descriptive analyses. Findings: The results of the study indicate that the tax arrangements for goods and services tax vary across EU Member States. This variation arises from EU regulations, which allow for a degree of discretion by setting only a lower limit for the standard rate. Member States are then permitted to apply rates suited to their individual needs, provided they comply with EU requirements. Compared to the approaches adopted in other countries, Poland’s sta</w:t>
      </w:r>
    </w:p>
    <w:p>
      <w:pPr/>
      <w:r>
        <w:rPr>
          <w:b/>
        </w:rPr>
        <w:t>POSSIBLE 2025:</w:t>
      </w:r>
      <w:r>
        <w:t xml:space="preserve"> What Germany's medium-term fiscal plan means for Europe — https://openalex.org/W7116602019</w:t>
      </w:r>
    </w:p>
    <w:p>
      <w:pPr/>
      <w:r>
        <w:rPr>
          <w:b/>
        </w:rPr>
        <w:t>Shared claim-specific concepts:</w:t>
      </w:r>
      <w:r>
        <w:t xml:space="preserve"> countries, plan, not, only, but; EU scope visible. This is a provisional connection, not an outcome finding.</w:t>
      </w:r>
    </w:p>
    <w:p>
      <w:pPr>
        <w:pStyle w:val="SourceNote"/>
      </w:pPr>
      <w:r>
        <w:rPr>
          <w:b/>
        </w:rPr>
        <w:t>Available abstract (not full text):</w:t>
      </w:r>
      <w:r>
        <w:t xml:space="preserve"> Germany's July 2025 medium-term fiscal-structural plan exposes the tension between raising public investment in a low-risk country and the requirement in European Union fiscal rules for member state debt to comply with the 60 percent of GDP public debt ratio benchmark. Germany's plan seeks to reconcile this tension by adopting overly optimistic GDP growth and inflation assumptions, and by proposing a large, backloaded fiscal adjustment. The European Commission endorsed the plan without rigorously assessing these assumptions. Under more realistic economic assumptions, both the budget deficit and the public debt would be significantly higher than the plan's projections. Rather than beginning to fall by the end of the allowed seven-year adjustment period, German debt will likely continue to rise, even if Germany keeps its promise to sharply reduce expenditure growth after 2026. This outcome would be inconsistent with the EU fiscal framework, but not threaten the sustainability of German public debt, as the fiscal adjustment required to stabilise the debt would remain feasible. Germany will likely ultimately deliver the necessary consolidation, but over a longer period than foreseen by the EU rules. However, the Commission's approval of the German plan establishes a precedent that could undermine the credibility of the EU's fiscal framework. Other EU countries may cite the Commissi</w:t>
      </w:r>
    </w:p>
    <w:p>
      <w:pPr>
        <w:pStyle w:val="Heading2"/>
      </w:pPr>
      <w:r>
        <w:t>604. Imagining the future with citizens: participatory foresight and democratic policy design in Marcoussis, France</w:t>
      </w:r>
    </w:p>
    <w:p>
      <w:pPr>
        <w:pStyle w:val="SourceNote"/>
      </w:pPr>
      <w:r>
        <w:rPr>
          <w:b/>
        </w:rPr>
        <w:t>Original source (2021):</w:t>
      </w:r>
      <w:r>
        <w:t xml:space="preserve"> https://doi.org/10.1080/25741292.2021.1930687</w:t>
      </w:r>
    </w:p>
    <w:p>
      <w:pPr/>
      <w:r>
        <w:t>Original wording (abstract; indexed_source_text_not_full_document_verified): We will see in the preliminary part of this paper, the many challenges that undermine not only the functioning of democratic processes but also the citizens’ role and sense of agency in the governance of the society they live in, as well as the role of elected officials and experts regarding agenda-setting, then we will look into the lack of future thinking not only in the political sphere but also the educational and social practices, analyze the values of participatory processes and its potential limits and risks and finally review an experimental case of participatory foresight and policy design from the small town of Marcoussis (France) which successfully conducted a participatory agenda-setting experiment—and voted—after a 2 years-long process, their local agenda for the future together with its inhabitants, civil servants and elected officials.</w:t>
      </w:r>
    </w:p>
    <w:p>
      <w:pPr/>
      <w:r>
        <w:rPr>
          <w:b/>
        </w:rPr>
        <w:t>POSSIBLE 2026:</w:t>
      </w:r>
      <w:r>
        <w:t xml:space="preserve"> Droughts in South East Europe (SEE): current picture, tendencies and impact — https://doi.org/10.5194/nhess-26-1305-2026</w:t>
      </w:r>
    </w:p>
    <w:p>
      <w:pPr/>
      <w:r>
        <w:rPr>
          <w:b/>
        </w:rPr>
        <w:t>Shared claim-specific concepts:</w:t>
      </w:r>
      <w:r>
        <w:t xml:space="preserve"> see, challenges, only; EU scope visible. This is a provisional connection, not an outcome finding.</w:t>
      </w:r>
    </w:p>
    <w:p>
      <w:pPr>
        <w:pStyle w:val="SourceNote"/>
      </w:pPr>
      <w:r>
        <w:rPr>
          <w:b/>
        </w:rPr>
        <w:t>Available abstract (not full text):</w:t>
      </w:r>
      <w:r>
        <w:t xml:space="preserve"> Abstract. Droughts are among the major challenges facing Europe and pose a significant threat to food security on a continental scale. The shifting of climatic zones is forcing societies to adopt measures to cope with climate extremes. However, the pace of adaptation is much slower than the rate of change observed over the past decade. The most developed economies in Europe are already progressing toward implementing strategies aligned with the Sustainable Development Goals. One of the key scientific objectives is to support this adaptation by providing data-driven decision-making tools at both regional and national levels. At the same time, in some European countries, the understanding of drought remains uncertain. Even basic hazard assessments lack coherence, and methodologically sound and systematic vulnerability assessments are often entirely absent. This paper aims to uncover the drought research agenda over the past ten years for nine countries in Southeast Europe. Using a structured query in the SCOPUS database, we attempted to systematize scientific knowledge on drought exposure in the region and identify “white spots” and gaps in knowledge at both country and regional levels. Our findings show a significant increase in the number of research papers focused on various aspects of drought in these nine countries over the last decade. However, for Montenegro, Albania, Slov</w:t>
      </w:r>
    </w:p>
    <w:p>
      <w:pPr/>
      <w:r>
        <w:rPr>
          <w:b/>
        </w:rPr>
        <w:t>POSSIBLE 2026:</w:t>
      </w:r>
      <w:r>
        <w:t xml:space="preserve"> Comment of the European Copyright Society on the Request for Preliminary Ruling in Case C-250/25 (Like Company) — https://doi.org/10.1007/s40319-026-01717-6</w:t>
      </w:r>
    </w:p>
    <w:p>
      <w:pPr/>
      <w:r>
        <w:rPr>
          <w:b/>
        </w:rPr>
        <w:t>Shared claim-specific concepts:</w:t>
      </w:r>
      <w:r>
        <w:t xml:space="preserve"> preliminary, part, not, but, also, society; EU scope visible. This is a provisional connection, not an outcome finding.</w:t>
      </w:r>
    </w:p>
    <w:p>
      <w:pPr>
        <w:pStyle w:val="SourceNote"/>
      </w:pPr>
      <w:r>
        <w:rPr>
          <w:b/>
        </w:rPr>
        <w:t>Available abstract (not full text):</w:t>
      </w:r>
      <w:r>
        <w:t xml:space="preserve"> Abstract The reference in Like Company v Google (Case C-250/25) is seen as a potential landmark case, giving the EU’s highest court the opportunity to define the scope and conditions of permitted artificial intelligence (AI) training and develop an infringement test for AI outputs. The European Copyright Society (ECS) urges the Court of Justice (sitting as a Grand Chamber) to exercise caution. While the reference stems from a plausible complaint by a press publisher against the provider of an AI powered chatbot reproducing and communicating its editorial content, the implications of this problematic reference could be far-reaching. The reference is factually murky with respect to the technology and services at stake, conflating concepts of “chatbot”, “large language model”, and “search engine”. The reference fails to identify consistently the subject matter at stake, which is the press publishers’ right under Art. 15 of the Copyright in the Digital Single Market Directive (2019/790/EU, hereinafter CDSMD), not authorial works. Specifically, the reference conflates questions relating to the training phase (Questions 2 and 3) with the legal characterisation of the use of press publications by an LLM-based chatbot (Question 4 but also Question 1, referring to the right of communication to the public and the right of reproduction under Directive 2001/29/EC, hereinafter the InfoSoc D</w:t>
      </w:r>
    </w:p>
    <w:p>
      <w:pPr/>
      <w:r>
        <w:rPr>
          <w:b/>
        </w:rPr>
        <w:t>POSSIBLE 2025:</w:t>
      </w:r>
      <w:r>
        <w:t xml:space="preserve"> The Croatian judiciary on the path to Europeanization. Preliminary study — https://openalex.org/W7116588132</w:t>
      </w:r>
    </w:p>
    <w:p>
      <w:pPr/>
      <w:r>
        <w:rPr>
          <w:b/>
        </w:rPr>
        <w:t>Shared claim-specific concepts:</w:t>
      </w:r>
      <w:r>
        <w:t xml:space="preserve"> preliminary, challenges, only; EU scope visible. This is a provisional connection, not an outcome finding.</w:t>
      </w:r>
    </w:p>
    <w:p>
      <w:pPr>
        <w:pStyle w:val="SourceNote"/>
      </w:pPr>
      <w:r>
        <w:rPr>
          <w:b/>
        </w:rPr>
        <w:t>Available abstract (not full text):</w:t>
      </w:r>
      <w:r>
        <w:t xml:space="preserve"> The Croatian judiciary on the path to Europeanization. Preliminary study 4Croatia's path to European integration was unusual and faced numerous challenges.The first and most decisive step was the war of independence to gain autonomy.After that, the country had to deal with the serious consequences of the war, including the refugee issue, the question of abolition and amnesty, the strengthening of the rule of law, and the protection of the rights of national minorities.Only after these fundamental problems had been addressed was it possible to start the process of European integration.It is clear from all this that Croatia's accession to the EU was much more complex and difficult than that of other post-socialist states, and that it had to meet stricter requirements.The process of European integration can be divided into two distinct phases.The first stage was characterized by the struggle to establish national identity, the war for independence, and shortcomings in democracy and the rule of law.The second stage can be placed in the period following the major EU enlargement of 2004, when the accession process stalled.At that time, Croatia began accession negotiations when the European Union had already changed its attitude towards further enlargement and imposed new, stricter requirements on candidate countries.</w:t>
      </w:r>
    </w:p>
    <w:p>
      <w:pPr/>
      <w:r>
        <w:rPr>
          <w:b/>
        </w:rPr>
        <w:t>POSSIBLE 2025:</w:t>
      </w:r>
      <w:r>
        <w:t xml:space="preserve"> Continuing recovery of wolves in Europe — https://doi.org/10.1371/journal.pstr.0000158</w:t>
      </w:r>
    </w:p>
    <w:p>
      <w:pPr/>
      <w:r>
        <w:rPr>
          <w:b/>
        </w:rPr>
        <w:t>Shared claim-specific concepts:</w:t>
      </w:r>
      <w:r>
        <w:t xml:space="preserve"> challenges, role, well;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2025:</w:t>
      </w:r>
      <w:r>
        <w:t xml:space="preserve"> The Preliminary Ruling Procedure: A Cornerstone of Intergovernmental Coordination in the European Union — https://doi.org/10.61801/arsaequi.2024.257</w:t>
      </w:r>
    </w:p>
    <w:p>
      <w:pPr/>
      <w:r>
        <w:rPr>
          <w:b/>
        </w:rPr>
        <w:t>Shared claim-specific concepts:</w:t>
      </w:r>
      <w:r>
        <w:t xml:space="preserve"> preliminary, challenges, not, functioning, citizens, role; EU scope visible. This is a provisional connection, not an outcome finding.</w:t>
      </w:r>
    </w:p>
    <w:p>
      <w:pPr>
        <w:pStyle w:val="SourceNote"/>
      </w:pPr>
      <w:r>
        <w:rPr>
          <w:b/>
        </w:rPr>
        <w:t>Available abstract (not full text):</w:t>
      </w:r>
      <w:r>
        <w:t xml:space="preserve"> The preliminary ruling procedure, enshrined in Article 267 of the Treaty on the Functioning of the European Union (TFEU), stands as a fundamental mechanism of judicial cooperation and legal integration. While seemingly a technical legal tool, it is, in practice, the primary engine of a unique legal order that navigates and resolves the inherent tensions between the European Union's supranational ambitions and the national sovereignty of its Member States. This report argues that the procedure is not merely a method for interpreting European Union (EU) law; it is a collaborative dialogue between the Court of Justice of the European Union (CJEU) and national courts, which has been instrumental in shaping the EU's constitutional architecture. Through a series of landmark cases, the preliminary ruling procedure has operationalized foundational doctrines such as direct effect and the supremacy of EU law, thereby empowering citizens and ensuring the uniform application of EU legislation across the Union. Despite persistent challenges related to judicial discretion and the complexities of multilevel governance, the procedure's enduring effectiveness, as demonstrated by its high volume of cases and recent institutional reforms, confirms its central role as the "jewel in the crown" of the EU legal system.</w:t>
      </w:r>
    </w:p>
    <w:p>
      <w:pPr/>
      <w:r>
        <w:rPr>
          <w:b/>
        </w:rPr>
        <w:t>POSSIBLE 2025:</w:t>
      </w:r>
      <w:r>
        <w:t xml:space="preserve"> The current state, opportunities and challenges for upscaling private investment in biodiversity in Europe — https://doi.org/10.1038/s41559-024-02632-0</w:t>
      </w:r>
    </w:p>
    <w:p>
      <w:pPr/>
      <w:r>
        <w:rPr>
          <w:b/>
        </w:rPr>
        <w:t>Shared claim-specific concepts:</w:t>
      </w:r>
      <w:r>
        <w:t xml:space="preserve"> part, challenges, undermine, not, role; EU scope visible. This is a provisional connection, not an outcome finding.</w:t>
      </w:r>
    </w:p>
    <w:p>
      <w:pPr>
        <w:pStyle w:val="SourceNote"/>
      </w:pPr>
      <w:r>
        <w:rPr>
          <w:b/>
        </w:rPr>
        <w:t>Available abstract (not full text):</w:t>
      </w:r>
      <w:r>
        <w:t xml:space="preserve"> European countries have committed to ambitious upscaling of privately funded nature conservation. We review the status and drivers of biodiversity finance in Europe. By implementing semistructured interviews with 25 biodiversity finance key informants and three focus groups across Europe, we explore opportunities and challenges for upscaling private investment in nature. Opportunities arise from macroeconomic and regulatory changes, along with various technological and financial innovations and growing professional experience. However, persistent barriers to upscaling include the ongoing lack of highly profitable investment opportunities and the multitude of risks facing investors, including political, ecological and reputational risks influencing supply and demand of investment opportunities. Public policy plays the foundational role in creating and hindering these mechanisms. Public policy can create nature markets and investment opportunities, meanwhile agricultural subsidies and poor coordination between public funding sources undermine the supply of return-seeking investment opportunities. Investors demand derisking investments from uncertainties; in part caused by political uncertainty. These markets require profound state intervention to enable upscaling whilst achieving positive ecological outcomes; private investment will probably not upscale without major public polic</w:t>
      </w:r>
    </w:p>
    <w:p>
      <w:pPr/>
      <w:r>
        <w:rPr>
          <w:b/>
        </w:rPr>
        <w:t>POSSIBLE 2025:</w:t>
      </w:r>
      <w:r>
        <w:t xml:space="preserve"> Challenges to access to civil justice in Europe — https://doi.org/10.4337/9781786434418.00011</w:t>
      </w:r>
    </w:p>
    <w:p>
      <w:pPr/>
      <w:r>
        <w:rPr>
          <w:b/>
        </w:rPr>
        <w:t>Shared claim-specific concepts:</w:t>
      </w:r>
      <w:r>
        <w:t xml:space="preserve"> challenges, also, role; EU scope visible. This is a provisional connection, not an outcome finding.</w:t>
      </w:r>
    </w:p>
    <w:p>
      <w:pPr>
        <w:pStyle w:val="SourceNote"/>
      </w:pPr>
      <w:r>
        <w:rPr>
          <w:b/>
        </w:rPr>
        <w:t>Available abstract (not full text):</w:t>
      </w:r>
      <w:r>
        <w:t xml:space="preserve"> The right of access to justice, as guaranteed by human right conventions, has evolved under the influence of the changing role of the state. This chapter examines recent trends and assesses how access to justice plays out in EU policy and legislation in the area of civil justice. After delving into policy considerations it discusses key areas of EU civil justice, focusing on simplified and special procedures, the privatisation of justice, digitising justice and costs and funding of justice. It illustrates how efficiency has become a central element in the regulatory discourse. While this contributes to effective access to justice, it also entails certain risks. It concludes that the ever-expanding EU Civil Justice area needs an overarching framework – one built on the foundations of access to justice and designed to deliver justice within the limits of the national legal environment in which it is called to operate.</w:t>
      </w:r>
    </w:p>
    <w:p>
      <w:pPr/>
      <w:r>
        <w:rPr>
          <w:b/>
        </w:rPr>
        <w:t>POSSIBLE 2025:</w:t>
      </w:r>
      <w:r>
        <w:t xml:space="preserve"> JUDICIAL INDEPENDENCE AND EUROPEAN GOVERNANCE: INSTITUTIONAL DYNAMICS AND CHALLENGES OF EUROPEAN INTEGRATION FOR THE JUDICIAL SYSTEM IN ROMANIA — https://doi.org/10.47743/eu-pair.2025-1-4</w:t>
      </w:r>
    </w:p>
    <w:p>
      <w:pPr/>
      <w:r>
        <w:rPr>
          <w:b/>
        </w:rPr>
        <w:t>Shared claim-specific concepts:</w:t>
      </w:r>
      <w:r>
        <w:t xml:space="preserve"> challenges, not, but, governance, well; EU scope visible. This is a provisional connection, not an outcome finding.</w:t>
      </w:r>
    </w:p>
    <w:p>
      <w:pPr>
        <w:pStyle w:val="SourceNote"/>
      </w:pPr>
      <w:r>
        <w:rPr>
          <w:b/>
        </w:rPr>
        <w:t>Available abstract (not full text):</w:t>
      </w:r>
      <w:r>
        <w:t xml:space="preserve"> This paper is devoted to an in-depth analysis of the complex interactions between European governance mechanisms – including, but not limited to, the Cooperation and Verification Mechanism, the Annual Rule of Law Report and the budgetary conditionality framework – and the autonomy of the national judiciary. The main purpose of the research consists in the critical evaluation of the way in which the European standards regarding judicial independence, administrative efficiency and institutional integrity have influenced both the structure and operation of the Superior Council of Magistracy, as well as the legal status of judges and prosecutors, together with the inter-institutional relations within the state apparatus. The adopted methodology is based on a particularly rigorous normative analysis, combined with the systematic evaluation of strategic documents issued at the European and national level, as well as relevant comparative case studies (comparative analyzes focused on the experiences of Romania, Poland and Hungary). This analytical approach allows the identification of institutional adaptation models and the exposure of tensions inherent in the implementation of European standards. In addition, special importance is given to the jurisprudential interpretations issued by the Court of Justice of the European Union and the European Court of Human Rights, whose decisions ar</w:t>
      </w:r>
    </w:p>
    <w:p>
      <w:pPr/>
      <w:r>
        <w:rPr>
          <w:b/>
        </w:rPr>
        <w:t>POSSIBLE 2024:</w:t>
      </w:r>
      <w:r>
        <w:t xml:space="preserve"> European S2k guidelines for hidradenitis suppurativa/acne inversa part 2: Treatment — https://doi.org/10.1111/jdv.20472</w:t>
      </w:r>
    </w:p>
    <w:p>
      <w:pPr/>
      <w:r>
        <w:rPr>
          <w:b/>
        </w:rPr>
        <w:t>Shared claim-specific concepts:</w:t>
      </w:r>
      <w:r>
        <w:t xml:space="preserve"> part, not, experts; EU scope visible. This is a provisional connection, not an outcome finding.</w:t>
      </w:r>
    </w:p>
    <w:p>
      <w:pPr>
        <w:pStyle w:val="SourceNote"/>
      </w:pPr>
      <w:r>
        <w:rPr>
          <w:b/>
        </w:rPr>
        <w:t>Available abstract (not full text):</w:t>
      </w:r>
      <w:r>
        <w:t xml:space="preserve"> INTRODUCTION: This second part of the S2k guidelines is an update of the 2015 S1 European guidelines. OBJECTIVE: These guidelines aim to provide an accepted decision aid for the selection, implementation and assessment of appropriate and sufficient therapy for patients with hidradenitis suppurativa/acne inversa (HS). METHODS: The chapters have been selected after a Delphi procedure among the experts/authors. Certain passages have been adopted without changes from the previous version. Potential treatment complications are not included, being beyond the scope of these guidelines. RESULTS: Since the S1 guidelines publication, validation of new therapeutic approaches has almost completely overhauled the knowledge in the field of HS treatment. Inflammatory nodules/abscesses/draining tunnels are the primary lesions, which enable the classification of the disease severity by new validated tools. In relation to the degree of detectable inflammation, HS is classified into the inflammatory and the predominantly non-inflammatory forms. While the intensity of the inflammatory form can be subdivided by the IHS4 classification in mild, moderate and severe HS and is treated by medication accordingly, the decision on surgical treatment of the predominantly non-inflammatory form is based on the Hurley stage of the affected localization. The effectiveness of oral tetracyclines as an alternative</w:t>
      </w:r>
    </w:p>
    <w:p>
      <w:pPr/>
      <w:r>
        <w:rPr>
          <w:b/>
        </w:rPr>
        <w:t>POSSIBLE 2024:</w:t>
      </w:r>
      <w:r>
        <w:t xml:space="preserve"> Do Preliminary References Increase Public Support for European Law? Experimental Evidence from Germany — https://doi.org/10.1017/s0020818323000243</w:t>
      </w:r>
    </w:p>
    <w:p>
      <w:pPr/>
      <w:r>
        <w:rPr>
          <w:b/>
        </w:rPr>
        <w:t>Shared claim-specific concepts:</w:t>
      </w:r>
      <w:r>
        <w:t xml:space="preserve"> preliminary, many, citizens; EU scope visible. This is a provisional connection, not an outcome finding.</w:t>
      </w:r>
    </w:p>
    <w:p>
      <w:pPr>
        <w:pStyle w:val="SourceNote"/>
      </w:pPr>
      <w:r>
        <w:rPr>
          <w:b/>
        </w:rPr>
        <w:t>Available abstract (not full text):</w:t>
      </w:r>
      <w:r>
        <w:t xml:space="preserve"> Abstract Explanations for the successful expansion and consolidation of the European Union and its legal system have long emphasized the importance of domestic courts’ sending preliminary references to the Court of Justice. Key to many of these theoretical accounts is the claim that domestic courts are better equipped than the Court of Justice to compel national governments to comply with EU law. Integrating insights from the comparative judicial politics literature into the context of the EU's preliminary references system, we provide a theoretical and empirical foundation for this claim by arguing that incorporating domestic courts into the EU legal process enhances public support for expansive judicial interpretations of EU law. We go on to argue, however, that this transfer of legitimacy depends on citizens’ views of the national and European courts. We support our argument with evidence from a preregistered survey experiment fielded in Germany.</w:t>
      </w:r>
    </w:p>
    <w:p>
      <w:pPr/>
      <w:r>
        <w:rPr>
          <w:b/>
        </w:rPr>
        <w:t>POSSIBLE 2024:</w:t>
      </w:r>
      <w:r>
        <w:t xml:space="preserve"> European consensus-based interdisciplinary guideline for melanoma. Part 2: Treatment – Update 2024 — https://doi.org/10.1016/j.ejca.2024.115153</w:t>
      </w:r>
    </w:p>
    <w:p>
      <w:pPr/>
      <w:r>
        <w:rPr>
          <w:b/>
        </w:rPr>
        <w:t>Shared claim-specific concepts:</w:t>
      </w:r>
      <w:r>
        <w:t xml:space="preserve"> part, not, only, also, well, experts; EU scope visible. This is a provisional connection, not an outcome finding.</w:t>
      </w:r>
    </w:p>
    <w:p>
      <w:pPr>
        <w:pStyle w:val="SourceNote"/>
      </w:pPr>
      <w:r>
        <w:rPr>
          <w:b/>
        </w:rPr>
        <w:t>Available abstract (not full text):</w:t>
      </w:r>
      <w:r>
        <w:t xml:space="preserve"> A unique collaboration of multi-disciplinary experts from the European Association of Dermato-Oncology (EADO), the European Dermatology Forum (EDF), and the European Organization of Research and Treatment of Cancer (EORTC) was formed to make recommendations on cutaneous melanoma diagnosis and treatment, based on systematic literature reviews and the experts' experience. Cutaneous melanomas are excised with one to two-centimeter safety margins. For a correct stage classification and treatment decision, a sentinel lymph node biopsy shall be offered in patients with tumor thickness ≥ 1.0 mm or ≥ 0.8 mm with additional histological risk factors, although there is as yet no clear survival benefit for this approach. Therapeutic decisions should be primarily made by an interdisciplinary oncology team ("Tumor Board"). Adjuvant therapies can be proposed in completely resected stage IIB-IV. In stage II only PD-1 inhibitors are approved. In stage III anti-PD-1 therapy or dabrafenib plus trametinib for patients with BRAFV600 mutated melanoma can be discussed. In resected stage IV, nivolumab can be offered, as well as ipilimumab and nivolumab, in selected, high-risk patients. In patients with clinically detected macroscopic, resectable disease, neoadjuvant therapy with ipilimumab plus nivolumab followed complete surgical resection and adjuvant therapy according to pathological response and </w:t>
      </w:r>
    </w:p>
    <w:p>
      <w:pPr/>
      <w:r>
        <w:rPr>
          <w:b/>
        </w:rPr>
        <w:t>POSSIBLE 2024:</w:t>
      </w:r>
      <w:r>
        <w:t xml:space="preserve"> The preliminary precedent — https://openalex.org/W7216887136</w:t>
      </w:r>
    </w:p>
    <w:p>
      <w:pPr/>
      <w:r>
        <w:rPr>
          <w:b/>
        </w:rPr>
        <w:t>Shared claim-specific concepts:</w:t>
      </w:r>
      <w:r>
        <w:t xml:space="preserve"> preliminary, functioning, role; EU scope visible. This is a provisional connection, not an outcome finding.</w:t>
      </w:r>
    </w:p>
    <w:p>
      <w:pPr>
        <w:pStyle w:val="SourceNote"/>
      </w:pPr>
      <w:r>
        <w:rPr>
          <w:b/>
        </w:rPr>
        <w:t>Available abstract (not full text):</w:t>
      </w:r>
      <w:r>
        <w:t xml:space="preserve"> The article explores the role of judicial precedent in Italian and European civil procedural law, particularly in light of the introduction of the preliminary reference procedure to the Italian Court of Cassation. The analysis examines the applicability of the doctrine of stare decisis in both civil law and common law legal systems, drawing comparisons between the functioning and objectives of the preliminary reference procedure, the historical origins of the Court of Cassation, and the role of the U.S. Supreme Court.</w:t>
      </w:r>
    </w:p>
    <w:p>
      <w:pPr>
        <w:pStyle w:val="Heading2"/>
      </w:pPr>
      <w:r>
        <w:t>605. Impact of Quasi‐Idealized Future Land Cover Scenarios at High Latitudes in Complex Terrain</w:t>
      </w:r>
    </w:p>
    <w:p>
      <w:pPr>
        <w:pStyle w:val="SourceNote"/>
      </w:pPr>
      <w:r>
        <w:rPr>
          <w:b/>
        </w:rPr>
        <w:t>Original source (2021):</w:t>
      </w:r>
      <w:r>
        <w:t xml:space="preserve"> https://doi.org/10.1029/2020ef001838</w:t>
      </w:r>
    </w:p>
    <w:p>
      <w:pPr/>
      <w:r>
        <w:t>Original wording (abstract; indexed_source_text_not_full_document_verified): This study uses the Weather Research and Forecasting model to investigate the biogeophysical impacts of different forestry scenarios on the local‐to‐regional climate of Norway. This suggests that implementing current afforestation policies for climate mitigation in Norway may adversely exacerbate some effects of global warming locally while mitigating others.</w:t>
      </w:r>
    </w:p>
    <w:p>
      <w:pPr/>
      <w:r>
        <w:rPr>
          <w:b/>
        </w:rPr>
        <w:t>POSSIBLE 2026:</w:t>
      </w:r>
      <w:r>
        <w:t xml:space="preserve"> Spatiotemporal variability and uncertainty in wood decay estimates across Europe and Scandinavia using a data-driven moisture content model with multi-scale weather datasets — https://doi.org/10.1016/j.rineng.2026.108983</w:t>
      </w:r>
    </w:p>
    <w:p>
      <w:pPr/>
      <w:r>
        <w:rPr>
          <w:b/>
        </w:rPr>
        <w:t>Shared claim-specific concepts:</w:t>
      </w:r>
      <w:r>
        <w:t xml:space="preserve"> weather, impacts, climate; EU scope visible. This is a provisional connection, not an outcome finding.</w:t>
      </w:r>
    </w:p>
    <w:p>
      <w:pPr>
        <w:pStyle w:val="SourceNote"/>
      </w:pPr>
      <w:r>
        <w:rPr>
          <w:b/>
        </w:rPr>
        <w:t>Available abstract (not full text):</w:t>
      </w:r>
      <w:r>
        <w:t xml:space="preserve"> • Reanalysis data driven moisture content model enabled high-resolution wood decay analyses • Point to grid comparing of decay indicated biases variable by micro to macro climate conditions • High-resolution decay hazard maps reveal significant spatiotemporal variability • Vertical boards show higher spatial uncertainty due to wind-driven rain exposure • Uncertainty mapping enables uncertainty propagation for service life assessment The use of remote sensing and reanalysis weather data has not been adequately acknowledged for large-scale built environment applications, primarily regarding engineering analyses that traditionally rely on computationally expensive numerical models. This study employs a parsimonious data-driven approach concerning service life assessment of rain-exposed wooden components, enabling mapping and assessment of related risks across Europe and Scandinavia from gridded data. Wood moisture content is the primary vector for fungal decay and accurate modeling is essential for the design of wooden commodities. Numerical models of moisture flow within woody material provide accuracy but are impractically slow for large-scale applications. We explore high-resolution decay risk assessments using a neural network (NN) trained on existing numerical predictions of moisture content. Specifically, the model used time-lagged gridded weather data as inputs to calculate</w:t>
      </w:r>
    </w:p>
    <w:p>
      <w:pPr/>
      <w:r>
        <w:rPr>
          <w:b/>
        </w:rPr>
        <w:t>POSSIBLE 2026:</w:t>
      </w:r>
      <w:r>
        <w:t xml:space="preserve"> Human West Nile Virus infections in Europe: weather or climate? — https://doi.org/10.5194/egusphere-egu26-18547</w:t>
      </w:r>
    </w:p>
    <w:p>
      <w:pPr/>
      <w:r>
        <w:rPr>
          <w:b/>
        </w:rPr>
        <w:t>Shared claim-specific concepts:</w:t>
      </w:r>
      <w:r>
        <w:t xml:space="preserve"> weather, local, climate; EU scope visible. This is a provisional connection, not an outcome finding.</w:t>
      </w:r>
    </w:p>
    <w:p>
      <w:pPr>
        <w:pStyle w:val="SourceNote"/>
      </w:pPr>
      <w:r>
        <w:rPr>
          <w:b/>
        </w:rPr>
        <w:t>Available abstract (not full text):</w:t>
      </w:r>
      <w:r>
        <w:t xml:space="preserve"> Climate change is increasing Europe’s vulnerability to vector-borne diseases. One example are the increasing number of outbreaks caused by the West Nile Virus. Whereas in the early 2010s, the virus was only found in south-eastern Europe, local infections are now also detected in more northern and western countries. To inform health care institutions as well as citizens it is necessary to be able to predict where and when the next outbreak will happen. There have been studies that show that land use, climate and weather influence the risk of human West Nile Virus infections, but it is less clear what the relative contributions of land use, climate change and weather are. In particular, it is not determined yet if the northward expansion of WNV can be better explained by the gradual change in climate, or by the occurrence of specific weather conditions that increase the risk of WNV infections. In this study, a random forest model is used to determine what is the best predictor of WNV infections: weather or climate. It shows that on a spatial scale of NUTS3-regions, the climate mean seasonal cycle of the 2m temperature is the best predictor for human WNV outbreaks, and that including the weather in the model does not improve its performance. Moreover, results indicate that WNV risk is higher in areas in which the climate mean seasonal cycle of temperature is in between 20-26 °C fo</w:t>
      </w:r>
    </w:p>
    <w:p>
      <w:pPr/>
      <w:r>
        <w:rPr>
          <w:b/>
        </w:rPr>
        <w:t>POSSIBLE 2026:</w:t>
      </w:r>
      <w:r>
        <w:t xml:space="preserve"> Climate change and European forests: Impacts, adaptation, and consequences for aesthetics — https://doi.org/10.26204/kluedo/13178</w:t>
      </w:r>
    </w:p>
    <w:p>
      <w:pPr/>
      <w:r>
        <w:rPr>
          <w:b/>
        </w:rPr>
        <w:t>Shared claim-specific concepts:</w:t>
      </w:r>
      <w:r>
        <w:t xml:space="preserve"> impacts, forestry, climate; EU scope visible. This is a provisional connection, not an outcome finding.</w:t>
      </w:r>
    </w:p>
    <w:p>
      <w:pPr>
        <w:pStyle w:val="SourceNote"/>
      </w:pPr>
      <w:r>
        <w:rPr>
          <w:b/>
        </w:rPr>
        <w:t>Available abstract (not full text):</w:t>
      </w:r>
      <w:r>
        <w:t xml:space="preserve"> This dissertation investigates how European forests are affected by climate change, how forest practitioners perceive and respond to these impacts, and how adaptation and reforestation strategies shape the visual aesthetics of forest landscapes. By combining biophysical evidence, qualitative practitioner insights, expert assessments, and public preference assessments, the thesis develops a comprehensive understanding of forests as socio-ecological systems under increasing climate stress. Across Europe, the 2018–2022 drought period caused widespread vitality loss, intensified pest outbreaks, and substantial tree cover decline, with Central Europe experiencing the most severe impacts. Damage patterns differed markedly among regions, yet even typically resilient or high-altitude forests showed signs of stress. Persistent effects in climatically average years highlight legacy effects of drought and heat events. These findings underline Europe’s high forest vulnerability and the need for region-specific adaptation strategies. Forest practitioners widely acknowledge drought as the dominant threat to forest health, citing its effects on mortality, regeneration, and pest susceptibility. Although there is broad consensus on the need to increase species and structural diversity for adaptation, substantial differences in preferred measures persist across practitioner groups. Economically </w:t>
      </w:r>
    </w:p>
    <w:p>
      <w:pPr/>
      <w:r>
        <w:rPr>
          <w:b/>
        </w:rPr>
        <w:t>POSSIBLE 2026:</w:t>
      </w:r>
      <w:r>
        <w:t xml:space="preserve"> Extreme weather in Europe: Determinants and economic impact — https://doi.org/10.1016/j.euroecorev.2026.105327</w:t>
      </w:r>
    </w:p>
    <w:p>
      <w:pPr/>
      <w:r>
        <w:rPr>
          <w:b/>
        </w:rPr>
        <w:t>Shared claim-specific concepts:</w:t>
      </w:r>
      <w:r>
        <w:t xml:space="preserve"> weather, climate, mitigation; EU scope visible. This is a provisional connection, not an outcome finding.</w:t>
      </w:r>
    </w:p>
    <w:p>
      <w:pPr>
        <w:pStyle w:val="SourceNote"/>
      </w:pPr>
      <w:r>
        <w:rPr>
          <w:b/>
        </w:rPr>
        <w:t>Available abstract (not full text):</w:t>
      </w:r>
      <w:r>
        <w:t xml:space="preserve"> This paper investigates the relationship between anthropogenic greenhouse gas (GHG) emissions and extreme weather conditions in Europe using a novel panel regression trend–cycle decomposition approach. Using the European Extreme Events Climate Index (E3CI) and its seven subcomponents for 40 European countries since 1981, the study finds a significant statistical association between extreme weather deterioration and both the flow and the stock dimensions of global greenhouse gas emissions. Building on these results, dynamic panel regressions within an Autometrics and model-averaging framework reveal significant contractions in GDP growth determined by worsening climatological conditions. The largest effects are observed in the services sector, and extreme wind and precipitation events are the most damaging. Climate deterioration operates through both supply and demand channels – particularly via private spending and productivity – and contributes to structural economic divergence across Europe. Effective mitigation and sustainable economic development are the most powerful tools to counter these adverse effects, while adaptation and institutional improvements serve as second-best measures, particularly against wildfires and extreme temperatures.</w:t>
      </w:r>
    </w:p>
    <w:p>
      <w:pPr/>
      <w:r>
        <w:rPr>
          <w:b/>
        </w:rPr>
        <w:t>POSSIBLE 2026:</w:t>
      </w:r>
      <w:r>
        <w:t xml:space="preserve"> Disproportionate lifetime exposure of young people to extreme fire weather in Portugal and Europe — https://doi.org/10.5194/egusphere-egu26-14065</w:t>
      </w:r>
    </w:p>
    <w:p>
      <w:pPr/>
      <w:r>
        <w:rPr>
          <w:b/>
        </w:rPr>
        <w:t>Shared claim-specific concepts:</w:t>
      </w:r>
      <w:r>
        <w:t xml:space="preserve"> weather, different, local, climate, current, mitigation; EU scope visible. This is a provisional connection, not an outcome finding.</w:t>
      </w:r>
    </w:p>
    <w:p>
      <w:pPr>
        <w:pStyle w:val="SourceNote"/>
      </w:pPr>
      <w:r>
        <w:rPr>
          <w:b/>
        </w:rPr>
        <w:t>Available abstract (not full text):</w:t>
      </w:r>
      <w:r>
        <w:t xml:space="preserve"> Climate change is driving increased fire weather across the world: hot, dry and windy conditions lead to higher danger of fire ignition and spread and make fire suppression more difficult. With further warming, fire weather is projected to increase across the world. This means today’s children and young people will be exposed to ever more fire weather during their lifetimes. In this study, we analyze projections of extreme fire weather over Portugal and Europe from an ensemble of CMIP6 global climate model simulations previously bias-adjusted and downscaled to a 0.1º spatial resolution using ERA5-Land. We define extreme fire weather as days that exceed the 95th percentile of local fire weather index (FWI) values calculated from a 1985-2014 reference period. We then apply a lifetime exposure methodology at national and sub-national (NUTS3) spatial scales, using spatially explicit data on population density and life expectancy to estimate the exposure of different generations to extreme fire weather under different warming pathways. We use a GMT-based remapping technique and a multi-model ensemble approach to emulate fire weather projections under policy-relevant warming pathways ranging from 1.5ºC to 3.5ºC of warming in 2100. We find that young people will be disproportionately exposed to extreme fire weather compared to older generations across all warming pathways, while also </w:t>
      </w:r>
    </w:p>
    <w:p>
      <w:pPr/>
      <w:r>
        <w:rPr>
          <w:b/>
        </w:rPr>
        <w:t>POSSIBLE 2026:</w:t>
      </w:r>
      <w:r>
        <w:t xml:space="preserve"> Linking European droughts to year-round weather regimes — https://doi.org/10.5194/wcd-7-223-2026</w:t>
      </w:r>
    </w:p>
    <w:p>
      <w:pPr/>
      <w:r>
        <w:rPr>
          <w:b/>
        </w:rPr>
        <w:t>Shared claim-specific concepts:</w:t>
      </w:r>
      <w:r>
        <w:t xml:space="preserve"> weather, impacts, regional, climate; EU scope visible. This is a provisional connection, not an outcome finding.</w:t>
      </w:r>
    </w:p>
    <w:p>
      <w:pPr>
        <w:pStyle w:val="SourceNote"/>
      </w:pPr>
      <w:r>
        <w:rPr>
          <w:b/>
        </w:rPr>
        <w:t>Available abstract (not full text):</w:t>
      </w:r>
      <w:r>
        <w:t xml:space="preserve"> Abstract. European droughts have far-reaching socio-economic and ecological impacts, yet their prediction remains challenging due to the complex interplay between regional climate variability and large-scale atmospheric circulation. This study investigates how persistent North Atlantic weather regimes influence the occurrence and spatial distribution of seasonal meteorological droughts across Europe throughout the year. Using reanalysis datasets and a tailored regionalization based on drought synchronicity, we identify six coherent European sub-regions and relate drought events, defined by the standardized precipitation index (SPI3), to year-round weather regimes derived from 500 hPa geopotential height anomalies. Our analysis shows that while each weather regime exhibits distinctive and seasonally consistent precipitation patterns, only a fraction of droughts—primarily in western Europe and during winter—can be directly attributed to anomalies in regime frequency. The findings underline the partial but regionally significant role of North Atlantic circulation patterns in shaping European drought risk, highlighting opportunities and limitations for improving drought forecasts on sub-seasonal to seasonal timescales. This study emphasizes the added value of using year-round weather regimes as a unifying framework for understanding drought drivers, overcoming the constraints of pu</w:t>
      </w:r>
    </w:p>
    <w:p>
      <w:pPr/>
      <w:r>
        <w:rPr>
          <w:b/>
        </w:rPr>
        <w:t>POSSIBLE 2025:</w:t>
      </w:r>
      <w:r>
        <w:t xml:space="preserve"> Skill Validation of High-Impact Rainfall Forecasts over Vietnam Using the European Centre for Medium-Range Weather Forecasts (ECMWF) Integrated Forecasting System (IFS) and Dynamical Downscaling with the Weather Research and Forecasting Model — https://doi.org/10.3390/atmos16020224</w:t>
      </w:r>
    </w:p>
    <w:p>
      <w:pPr/>
      <w:r>
        <w:rPr>
          <w:b/>
        </w:rPr>
        <w:t>Shared claim-specific concepts:</w:t>
      </w:r>
      <w:r>
        <w:t xml:space="preserve"> weather, local; EU scope visible. This is a provisional connection, not an outcome finding.</w:t>
      </w:r>
    </w:p>
    <w:p>
      <w:pPr>
        <w:pStyle w:val="SourceNote"/>
      </w:pPr>
      <w:r>
        <w:rPr>
          <w:b/>
        </w:rPr>
        <w:t>Available abstract (not full text):</w:t>
      </w:r>
      <w:r>
        <w:t xml:space="preserve"> This research evaluates the quality of high-impact rainfall forecasts across Vietnam and its sub-climate regions. The 3-day rainfall forecast products evaluated include the European Centre for Medium-Range Weather Forecasts (ECMWF) High-Resolution Integrated Forecasting System (IFS) and its downscaled outputs using the Weather Research and Forecasting (WRF) model with the Advanced Research WRF core (WRF-ARW): direct downscaling and downscaling with data assimilation. A full 5-year validation period from 2019 to 2025 was processed. The validation focused on basic rainfall thresholds and also considered the distribution of skill scores for intense events and extreme events. The validations revealed systematic errors (bias) in the models at low rainfall thresholds. The forecast skill was the lowest for northern regions, while the central regions exhibited the highest. For regions strongly affected by terrain, high-resolution downscaling with local observation data assimilation is necessary to improve the detectability of extreme events.</w:t>
      </w:r>
    </w:p>
    <w:p>
      <w:pPr/>
      <w:r>
        <w:rPr>
          <w:b/>
        </w:rPr>
        <w:t>POSSIBLE 2025:</w:t>
      </w:r>
      <w:r>
        <w:t xml:space="preserve"> Biogeochemical versus biogeophysical temperature effects of historical land-use change in CMIP6 — https://doi.org/10.5194/esd-16-803-2025</w:t>
      </w:r>
    </w:p>
    <w:p>
      <w:pPr/>
      <w:r>
        <w:rPr>
          <w:b/>
        </w:rPr>
        <w:t>Shared claim-specific concepts:</w:t>
      </w:r>
      <w:r>
        <w:t xml:space="preserve"> biogeophysical, impacts, regional, climate, warming; EU scope not established. This is a provisional connection, not an outcome finding.</w:t>
      </w:r>
    </w:p>
    <w:p>
      <w:pPr>
        <w:pStyle w:val="SourceNote"/>
      </w:pPr>
      <w:r>
        <w:rPr>
          <w:b/>
        </w:rPr>
        <w:t>Available abstract (not full text):</w:t>
      </w:r>
      <w:r>
        <w:t xml:space="preserve"> Anthropogenic land-use change (LUC) substantially impacts climate dynamics, primarily through modifications in the surface biogeophysical (BGP) and biogeochemical (BGC) fluxes, which alter the exchange of energy, water, and carbon with the atmosphere. Despite the established significance of both the BGP and BGC effects, their relative contribution to climate change remains poorly quantified. In this study, we leveraged data from an unprecedented number of Earth system models (ESMs) of the latest generation that contributed to the Land Use Model Intercomparison Project (LUMIP), under the auspices of the Coupled Model Intercomparison Project Phase 6 (CMIP6). Our analysis of BGP effects indicates a range of global annual near-surface air temperature changes across ESMs due to historical LUC, from a cooling of −0.23 °C to a warming of 0.14 °C, with a multi-model mean and spread of -0.03±0.10 °C under present-day conditions relative to the pre-industrial era. Notably, the BGP effects indicate warming at high latitudes. Still, there is a discernible cooling pattern between 30° N and 60° N, extending across large landmasses from the Great Plains of North America to the Northeast Plain of Asia. The BGC effect shows substantial land carbon losses, amounting to -127±94 Gt C over the historical period, with decreased vegetation carbon pools driving the losses in nearly all analysed ESMs. </w:t>
      </w:r>
    </w:p>
    <w:p>
      <w:pPr/>
      <w:r>
        <w:rPr>
          <w:b/>
        </w:rPr>
        <w:t>POSSIBLE 2025:</w:t>
      </w:r>
      <w:r>
        <w:t xml:space="preserve"> Assessing the Impact of Land Use Changes on Regional Climate over Europe — https://doi.org/10.3390/eesp2025035053</w:t>
      </w:r>
    </w:p>
    <w:p>
      <w:pPr/>
      <w:r>
        <w:rPr>
          <w:b/>
        </w:rPr>
        <w:t>Shared claim-specific concepts:</w:t>
      </w:r>
      <w:r>
        <w:t xml:space="preserve"> forestry, regional, climate; EU scope visible. This is a provisional connection, not an outcome finding.</w:t>
      </w:r>
    </w:p>
    <w:p>
      <w:pPr>
        <w:pStyle w:val="SourceNote"/>
      </w:pPr>
      <w:r>
        <w:rPr>
          <w:b/>
        </w:rPr>
        <w:t>Available abstract (not full text):</w:t>
      </w:r>
      <w:r>
        <w:t xml:space="preserve"> Anthropogenic alterations of the land surface through activities such as agriculture, forestry and urban development represent important human-induced forcings on the Earth’s climate system. This study, conducted in the framework of the UpClim project, employs the non-hydrostatic WRF-ARW v4.5.1 model forced by ERA5 reanalysis data to assess the impact of land use changes (LUCs) on the European climate. The study aims to quantify the effects of LUCs over the EURO-CORDEX domain at 0.11° resolution during 1980–1985 by comparing simulations with transient land use forcing against a control run with static land use.</w:t>
      </w:r>
    </w:p>
    <w:p>
      <w:pPr/>
      <w:r>
        <w:rPr>
          <w:b/>
        </w:rPr>
        <w:t>POSSIBLE 2025:</w:t>
      </w:r>
      <w:r>
        <w:t xml:space="preserve"> Impacts on and damage to European forests from the 2018–2022 heat and drought events — https://doi.org/10.5194/nhess-25-77-2025</w:t>
      </w:r>
    </w:p>
    <w:p>
      <w:pPr/>
      <w:r>
        <w:rPr>
          <w:b/>
        </w:rPr>
        <w:t>Shared claim-specific concepts:</w:t>
      </w:r>
      <w:r>
        <w:t xml:space="preserve"> impacts, regional, climate; EU scope visible. This is a provisional connection, not an outcome finding.</w:t>
      </w:r>
    </w:p>
    <w:p>
      <w:pPr>
        <w:pStyle w:val="SourceNote"/>
      </w:pPr>
      <w:r>
        <w:rPr>
          <w:b/>
        </w:rPr>
        <w:t>Available abstract (not full text):</w:t>
      </w:r>
      <w:r>
        <w:t xml:space="preserve"> Abstract. Drought and heat events are becoming more frequent in Europe due to human-induced climate change, affecting many aspects of human well-being and ecosystem functioning. However, the intensity of these drought and heat events is not spatially and temporally uniform. Understanding the spatial variability of drought impacts is important information for decision makers, supporting both planning and preparations to cope with the changing climatic conditions. Currently, data relating to the damage caused by extended drought episodes is scattered across languages and sources such as scientific publications, governmental reports and the media. In this review paper, we compiled data of damages caused by the drought and heat of 2018 until 2022 in forest ecosystems and relate it to large European data sets, providing support for decision making both on the regional and European levels. We partitioned data from 16 European countries to the following regions: Northern, Central, Alpine, and South. We focused on drought and heat damage to forests, and categorized them as (1) physiological (2) pest, and (3) fire damage. We were able to identify the following key trends: (1) Relative defoliation rates of broadleaves is higher than of conifers in every country with the exception of Czech Republic (2) the incidence of wood destroyed by insects is extremely high in Central Europe and Swed</w:t>
      </w:r>
    </w:p>
    <w:p>
      <w:pPr/>
      <w:r>
        <w:rPr>
          <w:b/>
        </w:rPr>
        <w:t>POSSIBLE 2025:</w:t>
      </w:r>
      <w:r>
        <w:t xml:space="preserve"> Pan-European severe weather warnings by using deep learning and extrapolation techniques — https://doi.org/10.5194/ems2025-317</w:t>
      </w:r>
    </w:p>
    <w:p>
      <w:pPr/>
      <w:r>
        <w:rPr>
          <w:b/>
        </w:rPr>
        <w:t>Shared claim-specific concepts:</w:t>
      </w:r>
      <w:r>
        <w:t xml:space="preserve"> weather, different, regional, locally; EU scope visible. This is a provisional connection, not an outcome finding.</w:t>
      </w:r>
    </w:p>
    <w:p>
      <w:pPr>
        <w:pStyle w:val="SourceNote"/>
      </w:pPr>
      <w:r>
        <w:rPr>
          <w:b/>
        </w:rPr>
        <w:t>Available abstract (not full text):</w:t>
      </w:r>
      <w:r>
        <w:t xml:space="preserve"> We present initial results from the INLINE project funded by the Union Civil Protection Mechanism (UCPM). The objective is to develop probabilistic short-term warning products of severe weather with focus on localized phenomena, such as heavy rainfall, lightning and wind gusts in sub-hourly and kilometer-scale. The products are implemented in two different configurations: pan-European and one adapted to Finland by using locally available data sources.The forecast models developed in INLINE are based on deep learning and extrapolation techniques. Our primary tool is the Simpler yet Better Video Prediction (SimVP): a deep learning model originally developed for prediction of multi-channel digital image sequences (Tan et al. 2025). The SimVP predictions suffer from progressive loss of small-scale features and extreme values with increasing lead time. Thus, we propose a modification to address this shortcoming. As an alternative we consider the extrapolation models implemented in pySTEPS (https://pysteps.github.io) and compare their forecast skill and computational performance with SimVP. We conclude that SimVP has up to 20% better forecast skill for lead times in the 2-4 hour range. This is mainly because of its ability to predict growth and decay of weather phenomena and spatiotemporal correlations between multiple variables. For very short time ranges (under 30 minutes), extrapo</w:t>
      </w:r>
    </w:p>
    <w:p>
      <w:pPr/>
      <w:r>
        <w:rPr>
          <w:b/>
        </w:rPr>
        <w:t>POSSIBLE 2025:</w:t>
      </w:r>
      <w:r>
        <w:t xml:space="preserve"> Linking European droughts to year-round weather regimes — https://doi.org/10.5194/egusphere-egu25-1557</w:t>
      </w:r>
    </w:p>
    <w:p>
      <w:pPr/>
      <w:r>
        <w:rPr>
          <w:b/>
        </w:rPr>
        <w:t>Shared claim-specific concepts:</w:t>
      </w:r>
      <w:r>
        <w:t xml:space="preserve"> weather, impacts; EU scope visible. This is a provisional connection, not an outcome finding.</w:t>
      </w:r>
    </w:p>
    <w:p>
      <w:pPr>
        <w:pStyle w:val="SourceNote"/>
      </w:pPr>
      <w:r>
        <w:rPr>
          <w:b/>
        </w:rPr>
        <w:t>Available abstract (not full text):</w:t>
      </w:r>
      <w:r>
        <w:t xml:space="preserve"> Droughts are extreme events with major economic, social and environmental impacts, and it is crucial to be able to anticipate them. To improve their prediction on a seasonal timescale, it is essential to better understand the underlying conditions that precede them. In Europe, intra-seasonal to seasonal climatic variations are linked to atmospheric circulation and are weakly constrained by tropical teleconnections.This study employs year-round weather regimes to demonstrate that the North Atlantic atmospheric circulation plays a fundamental role in precipitation deficits across Europe. Precipitation deficits are quantified using the reanalysed 3-month standardised precipitation index (SPI3). We use the SPI3 to define drought events and propose a new regionalisation of Europe, divided into regions with the same drought-related characteristics. We demonstrate that each weather regime is associated with a distinct precipitation pattern across regions, that remains relatively stable throughout the year. The representation of the regime-drought relationship in CMIP6 model simulations is then discussed.</w:t>
      </w:r>
    </w:p>
    <w:p>
      <w:pPr>
        <w:pStyle w:val="Heading2"/>
      </w:pPr>
      <w:r>
        <w:t>606. Implementation of the 2030 sustainable development goals - affordable and clean energy in the European Union</w:t>
      </w:r>
    </w:p>
    <w:p>
      <w:pPr>
        <w:pStyle w:val="SourceNote"/>
      </w:pPr>
      <w:r>
        <w:rPr>
          <w:b/>
        </w:rPr>
        <w:t>Original source (2021):</w:t>
      </w:r>
      <w:r>
        <w:t xml:space="preserve"> https://doi.org/10.1088/1755-1315/906/1/012017</w:t>
      </w:r>
    </w:p>
    <w:p>
      <w:pPr/>
      <w:r>
        <w:t>Original wording (abstract; indexed_source_text_not_full_document_verified): In order to be able to predict how the analysed phenomena will develop until 2030, the authors built forecasts. They also allowed the designation of scenarios for the potential development of the analysed indicators.</w:t>
      </w:r>
    </w:p>
    <w:p>
      <w:pPr/>
      <w:r>
        <w:rPr>
          <w:b/>
        </w:rPr>
        <w:t>POSSIBLE 2025:</w:t>
      </w:r>
      <w:r>
        <w:t xml:space="preserve"> A Predictive Physics‐Aware Hybrid Reduced Order Model for Reacting Flows — https://doi.org/10.1002/nme.70058</w:t>
      </w:r>
    </w:p>
    <w:p>
      <w:pPr/>
      <w:r>
        <w:rPr>
          <w:b/>
        </w:rPr>
        <w:t>Shared claim-specific concepts:</w:t>
      </w:r>
      <w:r>
        <w:t xml:space="preserve"> order, able, predict, authors; EU scope not established. This is a provisional connection, not an outcome finding.</w:t>
      </w:r>
    </w:p>
    <w:p>
      <w:pPr>
        <w:pStyle w:val="SourceNote"/>
      </w:pPr>
      <w:r>
        <w:rPr>
          <w:b/>
        </w:rPr>
        <w:t>Available abstract (not full text):</w:t>
      </w:r>
      <w:r>
        <w:t xml:space="preserve"> ABSTRACT This article introduces an innovative methodology that merges modal decomposition, extracting physical patterns, with deep learning networks (DLNs) for forecasting reacting flows. The model is generalizable and capable of predicting complex simulations with just one training of the model, showing transfer learning capabilities. The primary objective is to optimize computational resources while maintaining accuracy on the predictions. With the combination of proper orthogonal decomposition (POD) and DLNs, our approach offers an efficient and effective solution for flow dynamics prediction. The new hybrid (POD/DLN) predictive model is designed for solving reacting flow problems. The POD block segregates temporal and spatial information, while the DLN block operates solely on the temporal domain with significantly reduced dimensionality. The POD modes contain the main flow characteristics, turning the model into a physics‐based model. This architecture leads to substantial enhancements in computational cost and memory requirements, while maintaining the precision in the predictions. Such advancements are particularly crucial for addressing the challenges posed by high‐dimensional multivariate and complex time‐series forecasting tasks. Two different deep learning architectures have been tested to predict the temporal coefficients, based on recursive (RNN) and convolutional</w:t>
      </w:r>
    </w:p>
    <w:p>
      <w:pPr/>
      <w:r>
        <w:rPr>
          <w:b/>
        </w:rPr>
        <w:t>POSSIBLE 2025:</w:t>
      </w:r>
      <w:r>
        <w:t xml:space="preserve"> The Republic of Moldova financial system adjustment to the european monetary order — https://doi.org/10.53486/mfsne2024.02</w:t>
      </w:r>
    </w:p>
    <w:p>
      <w:pPr/>
      <w:r>
        <w:rPr>
          <w:b/>
        </w:rPr>
        <w:t>Shared claim-specific concepts:</w:t>
      </w:r>
      <w:r>
        <w:t xml:space="preserve"> order, built, also, potential; EU scope visible. This is a provisional connection, not an outcome finding.</w:t>
      </w:r>
    </w:p>
    <w:p>
      <w:pPr>
        <w:pStyle w:val="SourceNote"/>
      </w:pPr>
      <w:r>
        <w:rPr>
          <w:b/>
        </w:rPr>
        <w:t>Available abstract (not full text):</w:t>
      </w:r>
      <w:r>
        <w:t xml:space="preserve"> The aspirations of the Republic of Moldova to become an EU member state send an essential message to both the national economy and the financial system; the accession process will mark the economic and financial developments of the Republic of Moldova. Also, this message reinforces the conclusion that economic - mainly financial - integration must be carefully monitored and managed but not delayed. Such a conclusion confers a severe responsibility on all participants in the Moldovan financial system. As a result, the purpose of the publication is to analyze the financial system of the Republic of Moldova from the perspective of the European monetary order to identify its non-conformities. For this purpose, a three-dimensional matrix is built, correlating the EU criteria regarding the national financial systems with those of the Republic of Moldova. As a result of the analysis, it was highlighted that the ability of the Moldovan financial sector to provide financial services largely depends on the support of financial infrastructure institutions. Therefore, infrastructure institutions are needed, which could, on the one hand, reduce risks and vulnerabilities and, on the other hand, ensure the efficient functioning of the financial system. The matrix's design not only elucidated the existing inconsistencies but also enabled the identification of potential solutions. These solutio</w:t>
      </w:r>
    </w:p>
    <w:p>
      <w:pPr/>
      <w:r>
        <w:rPr>
          <w:b/>
        </w:rPr>
        <w:t>POSSIBLE 2024:</w:t>
      </w:r>
      <w:r>
        <w:t xml:space="preserve"> The European protection order: the question of a predictive toolkit for the protection of victims of criminal offences — https://doi.org/10.24144/2788-6018.2024.02.109</w:t>
      </w:r>
    </w:p>
    <w:p>
      <w:pPr/>
      <w:r>
        <w:rPr>
          <w:b/>
        </w:rPr>
        <w:t>Shared claim-specific concepts:</w:t>
      </w:r>
      <w:r>
        <w:t xml:space="preserve"> order, able, also; EU scope visible. This is a provisional connection, not an outcome finding.</w:t>
      </w:r>
    </w:p>
    <w:p>
      <w:pPr>
        <w:pStyle w:val="SourceNote"/>
      </w:pPr>
      <w:r>
        <w:rPr>
          <w:b/>
        </w:rPr>
        <w:t>Available abstract (not full text):</w:t>
      </w:r>
      <w:r>
        <w:t xml:space="preserve"> The article examines the European protection order (hereinafter - EPO) in the context of crime victim protection. The following aspects were considered: general issues of the essence and purpose of the EPO; its correlation with measures under the national law of the EU country; conditions of issuance; issuing and execution procedure; protection of the rights of persons causing danger; the specifications of the execution. The correlation of measures under the EPO with security measures and restrictive measures and restrictive prescriptions under Ukrainian legislation is considered. It is indicated that European researchers identify a number of defects in the regulation of the European protection order, which affects the effectiveness of this tool; this indicates that the provisions of Directive 2011/99/EU may be transformed in the future. As conclusions, it is also stated that: 1) the EPO will not be applicable for to security measures, which are regulated "On ensuring the security of persons participating in criminal proceedings”, taking into account the list of measures in Art. 5 of Directive 2011/99/EU and the provision that the person causing danger must be heard; 2) The EPO will generally be able to be used to interact with restrictive prescription under the Civil Procedure Code of Ukraine and restrictive measures under the Criminal Code and the Criminal Procedure Code of U</w:t>
      </w:r>
    </w:p>
    <w:p>
      <w:pPr/>
      <w:r>
        <w:rPr>
          <w:b/>
        </w:rPr>
        <w:t>POSSIBLE 2024:</w:t>
      </w:r>
      <w:r>
        <w:t xml:space="preserve"> Projecting traffic flows for road-based passenger transport in Europe for the analysis of climate impact — https://doi.org/10.1186/s12544-024-00652-2</w:t>
      </w:r>
    </w:p>
    <w:p>
      <w:pPr/>
      <w:r>
        <w:rPr>
          <w:b/>
        </w:rPr>
        <w:t>Shared claim-specific concepts:</w:t>
      </w:r>
      <w:r>
        <w:t xml:space="preserve"> order, able, predict, develop, forecasts; EU scope visible. This is a provisional connection, not an outcome finding.</w:t>
      </w:r>
    </w:p>
    <w:p>
      <w:pPr>
        <w:pStyle w:val="SourceNote"/>
      </w:pPr>
      <w:r>
        <w:rPr>
          <w:b/>
        </w:rPr>
        <w:t>Available abstract (not full text):</w:t>
      </w:r>
      <w:r>
        <w:t xml:space="preserve"> Abstract Road-based transport is a significant contributor to global transport emissions of greenhouse gases and local pollutants, thus contributing to the environmental impact of the mobility of people and goods. In order to develop strategies to mitigate this impact, it is necessary to build reliable emission inventories that include sector-specific emissions. Furthermore, the methods for creating these inventories should be applicable for forecasts and scenario calculations to facilitate the evaluation of pathways towards a more sustainable transport system. The study at hand proposes a model-based framework to predict travel demand and its spatial distribution for a bottom-up calculation of road transport emissions in Europe. With this framework, it is possible to calculate emissions based on the road network structure, traffic flows and vehicle types. In order to demonstrate the applicability of the framework for scenario calculations, it is applied to three exemplary scenarios where population data is modified. With the developed methodology, a tool for the large-scale assessment of emissions from road transport is provided, which is able to simulate the impact of socio-economic and economic changes on these emissions.</w:t>
      </w:r>
    </w:p>
    <w:p>
      <w:pPr/>
      <w:r>
        <w:rPr>
          <w:b/>
        </w:rPr>
        <w:t>POSSIBLE 2024:</w:t>
      </w:r>
      <w:r>
        <w:t xml:space="preserve"> Balancing Data Acquisition Benefits and Ordering Costs for Predictive Supplier Selection and Order Allocation — https://doi.org/10.3390/app14104306</w:t>
      </w:r>
    </w:p>
    <w:p>
      <w:pPr/>
      <w:r>
        <w:rPr>
          <w:b/>
        </w:rPr>
        <w:t>Shared claim-specific concepts:</w:t>
      </w:r>
      <w:r>
        <w:t xml:space="preserve"> order, forecasts, potential; EU scope not established. This is a provisional connection, not an outcome finding.</w:t>
      </w:r>
    </w:p>
    <w:p>
      <w:pPr>
        <w:pStyle w:val="SourceNote"/>
      </w:pPr>
      <w:r>
        <w:rPr>
          <w:b/>
        </w:rPr>
        <w:t>Available abstract (not full text):</w:t>
      </w:r>
      <w:r>
        <w:t xml:space="preserve"> The strategic selection of suppliers and the allocation of orders across multiple periods have long been recognized as critical aspects influencing company expenditure and resilience. Leveraging the enhanced predictive capabilities afforded by machine learning models, direct lookahead models—linear programming models that optimize future decisions based on forecasts generated by external predictive modules—have emerged as viable alternatives to traditional deterministic and stochastic programming methodologies to solve related problems. However, despite these advancements, approaches implementing direct lookahead models typically lack mechanisms for updating forecasts over time. Yet, in practice, suppliers often exhibit dynamic behaviours, and failing to update forecasts can lead to suboptimal decision-making. This study introduces a novel approach based on parametrized direct lookahead models to address this gap. The approach explicitly addresses the hidden trade-offs associated with incorporating forecast updates. Recognizing that forecasts can only be updated by acquiring new data and that the primary means of acquiring supplier-related data is through order allocation, this study investigates the trade-offs between data acquisition benefits and order allocation costs. An experimental design utilizing real-world automotive sector data is employed to assess the potential of t</w:t>
      </w:r>
    </w:p>
    <w:p>
      <w:pPr/>
      <w:r>
        <w:rPr>
          <w:b/>
        </w:rPr>
        <w:t>POSSIBLE 2024:</w:t>
      </w:r>
      <w:r>
        <w:t xml:space="preserve"> RUSSIA’S AGGRESSION IN UKRAINE AS A TURNING POINT: THE TRANSFORMATION OF THE EUROPEAN UNION INTO A SECURITY ACTOR IN THE RECONSTRUCTION OF THE EUROPEAN SECURITY ORDER — https://doi.org/10.62229/sprps24-1/5</w:t>
      </w:r>
    </w:p>
    <w:p>
      <w:pPr/>
      <w:r>
        <w:rPr>
          <w:b/>
        </w:rPr>
        <w:t>Shared claim-specific concepts:</w:t>
      </w:r>
      <w:r>
        <w:t xml:space="preserve"> order, until, authors, indicators; EU scope visible. This is a provisional connection, not an outcome finding.</w:t>
      </w:r>
    </w:p>
    <w:p>
      <w:pPr>
        <w:pStyle w:val="SourceNote"/>
      </w:pPr>
      <w:r>
        <w:rPr>
          <w:b/>
        </w:rPr>
        <w:t>Available abstract (not full text):</w:t>
      </w:r>
      <w:r>
        <w:t xml:space="preserve"> The process which started with the annexation of Crimea in 2014 has caused a deep stress in the European security order. Russia has not only threatened the European security architecture, but for the first time, Russia has openly challenged it through its actions. As such, the war in Ukraine was a turning point in both international relations and European security policy. Accordingly, the European Union (EU) has altered its foreign and security policy. Until then, the EU had acted within the framework of its responsibility to protect the security of its members through a normative structure and peaceful methods, representing a multilateral world order as a peace project. However, post-February 2022, it has adopted a power-oriented policy. Increased cooperation with NATO, the will to break all kinds of existing dependencies, strict sanctions ranging from economy to energy policy, and the increase in the use of military force have been indicators that Europe has entered a transformation. After 2022, its attempt to influence international relations and the international system with more solid means has demonstrated that the EU is an actor that does not completely abandon its liberal and constructivist identity but reacts realistically. This article analyzes how Russia’s attack on Ukraine entailed a change for Europe within the debate of the realism and constructivism The process w</w:t>
      </w:r>
    </w:p>
    <w:p>
      <w:pPr/>
      <w:r>
        <w:rPr>
          <w:b/>
        </w:rPr>
        <w:t>POSSIBLE 2023:</w:t>
      </w:r>
      <w:r>
        <w:t xml:space="preserve"> Stochastic weather generator and deep learning approach for predicting and sampling extreme European heatwaves — https://doi.org/10.5194/egusphere-egu23-6131</w:t>
      </w:r>
    </w:p>
    <w:p>
      <w:pPr/>
      <w:r>
        <w:rPr>
          <w:b/>
        </w:rPr>
        <w:t>Shared claim-specific concepts:</w:t>
      </w:r>
      <w:r>
        <w:t xml:space="preserve"> order, able, predict, forecasts, also; EU scope visible. This is a provisional connection, not an outcome finding.</w:t>
      </w:r>
    </w:p>
    <w:p>
      <w:pPr>
        <w:pStyle w:val="SourceNote"/>
      </w:pPr>
      <w:r>
        <w:rPr>
          <w:b/>
        </w:rPr>
        <w:t>Available abstract (not full text):</w:t>
      </w:r>
      <w:r>
        <w:t xml:space="preserve"> Sampling rare events such as extreme heatwaves whose return period is larger than the length of available observations requires developing and benchmarking new simulation methods. There is growing interest in applying deep learning alongside already existing statistical approaches to better generate and predict rare events. Our goal is to benchmark Stochastic Weather Generator (SWG) [1] based on analogs of circulation, soil moisture and temperature as a tool for sampling tails of distribution as well as forecasting heatwaves in France and Scandinavia using data from General Circulation Model (GCM). Analog method has been successfully implemented in rare event algorithms for low dimensional climate models [2]. SWG is implemented using a Markov chain with hidden states (.e.g. geopotential height at 500 hPa) with Euclidean metric. When applying such methods to climate data two challenges emerge: a large number of degrees of freedom and the difficulty of including slow drivers such as soil moisture alongside circulation patterns. Consequently, we are going to discuss ways of adjusting the distance metric of the analog Markov chain and dimensionality reduction techniques such as EOFs and variational auto encoder. By choosing the correct combination of weighted variables in the Euclidean metric and using analogs of only 100 years and generating long synthetic sequences we are able to</w:t>
      </w:r>
    </w:p>
    <w:p>
      <w:pPr/>
      <w:r>
        <w:rPr>
          <w:b/>
        </w:rPr>
        <w:t>POSSIBLE 2023:</w:t>
      </w:r>
      <w:r>
        <w:t xml:space="preserve"> ALGEBRA OF SOCIAL PHENOMENA — https://doi.org/10.30525/2500-946x/2023-4-15</w:t>
      </w:r>
    </w:p>
    <w:p>
      <w:pPr/>
      <w:r>
        <w:rPr>
          <w:b/>
        </w:rPr>
        <w:t>Shared claim-specific concepts:</w:t>
      </w:r>
      <w:r>
        <w:t xml:space="preserve"> able, phenomena, develop, authors, also; EU scope not established. This is a provisional connection, not an outcome finding.</w:t>
      </w:r>
    </w:p>
    <w:p>
      <w:pPr>
        <w:pStyle w:val="SourceNote"/>
      </w:pPr>
      <w:r>
        <w:rPr>
          <w:b/>
        </w:rPr>
        <w:t>Available abstract (not full text):</w:t>
      </w:r>
      <w:r>
        <w:t xml:space="preserve"> The characteristics of modern societies are central to discussions of various types of policy (social, economic, etc.) and are often seen as predictors of socio-economic processes. Any society can be studied through the lens of social phenomena. Hence, it seems fair to assume that the better one understands the nature of social matter and its impact on various processes, the better one's decisions will be able to meet today's challenges. The purpose of this paper is to explain and present the new framework for measuring social phenomena in the form of an algebra based on the definition of social phenomenon, its components, rationality and mathematical logic. Methodology. Using the example of social cohesion, the paper examines the current fundamental methodological approaches to interpreting the definition and, consequently, measuring social phenomena. In this paper, the authors use an analogy with probability space and event algebra to develop their mathematical method. As a result, the article presents and explains the basic terms of the algebra of social phenomena that make up the new concept. Practical implications. The authors' approach to formalisation provides a tool for deriving the measure of a complex phenomenon from the measures of its components (simple phenomena), as demonstrated in the example. Thus, this study enriches the range of methods suitable for deepening </w:t>
      </w:r>
    </w:p>
    <w:p>
      <w:pPr/>
      <w:r>
        <w:rPr>
          <w:b/>
        </w:rPr>
        <w:t>POSSIBLE 2023:</w:t>
      </w:r>
      <w:r>
        <w:t xml:space="preserve"> The Impact of Gentrification Phenomena in Thailand — https://doi.org/10.3390/socsci12120647</w:t>
      </w:r>
    </w:p>
    <w:p>
      <w:pPr/>
      <w:r>
        <w:rPr>
          <w:b/>
        </w:rPr>
        <w:t>Shared claim-specific concepts:</w:t>
      </w:r>
      <w:r>
        <w:t xml:space="preserve"> phenomena, also; EU scope not established. This is a provisional connection, not an outcome finding.</w:t>
      </w:r>
    </w:p>
    <w:p>
      <w:pPr>
        <w:pStyle w:val="SourceNote"/>
      </w:pPr>
      <w:r>
        <w:rPr>
          <w:b/>
        </w:rPr>
        <w:t>Available abstract (not full text):</w:t>
      </w:r>
      <w:r>
        <w:t xml:space="preserve"> The principal objective of this review paper was to study the impact of gentrification phenomena in Thailand using a research methodology combining a review of the existing literature and a desk analysis of case studies, focusing on two main interconnected contributions to debates on gentrification. First, understanding gentrification phenomena by examining the existing literature required a perspective on not only gentrification but also its stages and consequences. Second, particular attention was paid to the desk analysis of case studies of gentrification phenomena in Thailand to provide an overview and critical analysis. The results of this research show that gentrification has accelerated across the globe to become a central engine of urban development. Gentrification is a complex process that has significant and multifaceted impacts on urban communities. Gentrification can have positive impacts, such as improving the urban scenery by revitalising the neighbourhood’s blighted places and raising property values by making buildings more appealing and contemporary. However, gentrification can also have negative impacts due to critical issues that are neglected such as the displacement of original inhabitants, particularly vulnerable populations; the loss of tangible and intangible cultural heritage; social inequalities; environmental vulnerability; and inappropriate land cons</w:t>
      </w:r>
    </w:p>
    <w:p>
      <w:pPr/>
      <w:r>
        <w:rPr>
          <w:b/>
        </w:rPr>
        <w:t>POSSIBLE 2022:</w:t>
      </w:r>
      <w:r>
        <w:t xml:space="preserve"> NeuroAI - A strategic opportunity for Norway and Europe — https://doi.org/10.5617/nmi.9950</w:t>
      </w:r>
    </w:p>
    <w:p>
      <w:pPr/>
      <w:r>
        <w:rPr>
          <w:b/>
        </w:rPr>
        <w:t>Shared claim-specific concepts:</w:t>
      </w:r>
      <w:r>
        <w:t xml:space="preserve"> order, able, predict; EU scope visible. This is a provisional connection, not an outcome finding.</w:t>
      </w:r>
    </w:p>
    <w:p>
      <w:pPr>
        <w:pStyle w:val="SourceNote"/>
      </w:pPr>
      <w:r>
        <w:rPr>
          <w:b/>
        </w:rPr>
        <w:t>Available abstract (not full text):</w:t>
      </w:r>
      <w:r>
        <w:t xml:space="preserve"> At an energy consumption of merely 20 watts, the brain is able to learn, perceive its surroundings, analyze solutions, predict the future and choose actions in a much more general way than any computer algorithm and infrastructure. NeuroAI, an emerging field at the intersection of brain sciences and artificial intelligence, is expected to become a large research field in the years to come. The main promise of NeuroAI is that by understanding how the brain and biological neural networks compute, it will be possible to identify the key components of human intelligence in order to drive the development of a more energy-efficient and flexible artificial intelligence (AI) that will match, perhaps even surpass, human intelligence. NeuroAI is a truly multidisciplinary effort, spanning across several disciplines such as computer science, neuroscience, psychology, philosophy, linguistics, law and ethics. Norway has unique world-class expertise in brain sciences, and a fast growing, well-organized AI community at the highest international level. In this opinion article, we argue that Norway has competitive advantages within NeuroAI, and that Norway has the ideal ecosystem to take a leading role in NeuroAI initiatives in Europe. Norwegian investments in NeuroAI may be a strategic initiative to position Norway in the forefront of AI research worldwide.</w:t>
      </w:r>
    </w:p>
    <w:p>
      <w:pPr/>
      <w:r>
        <w:rPr>
          <w:b/>
        </w:rPr>
        <w:t>POSSIBLE 2022:</w:t>
      </w:r>
      <w:r>
        <w:t xml:space="preserve"> Predicting potential wildfire severity across Southern Europe with global data sources — https://doi.org/10.1016/j.scitotenv.2022.154729</w:t>
      </w:r>
    </w:p>
    <w:p>
      <w:pPr/>
      <w:r>
        <w:rPr>
          <w:b/>
        </w:rPr>
        <w:t>Shared claim-specific concepts:</w:t>
      </w:r>
      <w:r>
        <w:t xml:space="preserve"> able, predict, develop, they, potential; EU scope visible. This is a provisional connection, not an outcome finding.</w:t>
      </w:r>
    </w:p>
    <w:p>
      <w:pPr>
        <w:pStyle w:val="SourceNote"/>
      </w:pPr>
      <w:r>
        <w:rPr>
          <w:b/>
        </w:rPr>
        <w:t>Available abstract (not full text):</w:t>
      </w:r>
      <w:r>
        <w:t xml:space="preserve"> The large environmental and socioeconomic impacts of wildfires in Southern Europe require the development of efficient generalizable tools for fire danger analysis and proactive environmental management. With this premise, we aimed to study the influence of different environmental variables on burn severity, as well as to develop accurate and generalizable models to predict burn severity. To address these objectives, we selected 23 wildfires (131,490 ha) across Southern Europe. Using satellite imagery and geospatial data available at the planetary scale, we spatialized burn severity as well as 20 pre-burn environmental variables, which were grouped into climatic, topographic, fuel load-type, fuel load-moisture and fuel continuity predictors. We sampled all variables and divided the data into three independent datasets: a training dataset, used to perform univariant regression models, random forest (RF) models by groups of variables, and RF models including all predictors (full and parsimonious models); a second dataset to analyze interpolation capacity within the training wildfires; and a third dataset to study extrapolation capacity to independent wildfires. Results showed that all environmental variables determined burn severity, which increased towards the mildest climatic conditions, sloping terrain, high fuel loads, and coniferous vegetation. In general, the highest predic</w:t>
      </w:r>
    </w:p>
    <w:p>
      <w:pPr/>
      <w:r>
        <w:rPr>
          <w:b/>
        </w:rPr>
        <w:t>POSSIBLE 2022:</w:t>
      </w:r>
      <w:r>
        <w:t xml:space="preserve"> Model order reduction for bifurcating phenomena in fluid‐structure interaction problems — https://doi.org/10.1002/fld.5118</w:t>
      </w:r>
    </w:p>
    <w:p>
      <w:pPr/>
      <w:r>
        <w:rPr>
          <w:b/>
        </w:rPr>
        <w:t>Shared claim-specific concepts:</w:t>
      </w:r>
      <w:r>
        <w:t xml:space="preserve"> order, phenomena; EU scope not established. This is a provisional connection, not an outcome finding.</w:t>
      </w:r>
    </w:p>
    <w:p>
      <w:pPr>
        <w:pStyle w:val="SourceNote"/>
      </w:pPr>
      <w:r>
        <w:rPr>
          <w:b/>
        </w:rPr>
        <w:t>Available abstract (not full text):</w:t>
      </w:r>
      <w:r>
        <w:t xml:space="preserve"> This work explores the development and the analysis of an efficient reduced order model for the study of a bifurcating phenomenon, known as the Coandă effect, in a multi-physics setting involving fluid and solid media. Taking into consideration a fluid-structure interaction problem, we aim at generalizing previous works towards a more reliable description of the physics involved. In particular, we provide several insights on how the introduction of an elastic structure influences the bifurcating behavior. We have addressed the computational burden by developing a reduced order branch-wise algorithm based on a monolithic proper orthogonal decomposition. We compared different constitutive relations for the solid, and we observed that a nonlinear hyper-elastic law delays the bifurcation w.r.t. the standard model, while the same effect is even magnified when considering linear elastic solid.</w:t>
      </w:r>
    </w:p>
    <w:p>
      <w:pPr>
        <w:pStyle w:val="Heading2"/>
      </w:pPr>
      <w:r>
        <w:t>607. Integrated assessment of the role of bioenergy within the EU energy transition targets to 2050</w:t>
      </w:r>
    </w:p>
    <w:p>
      <w:pPr>
        <w:pStyle w:val="SourceNote"/>
      </w:pPr>
      <w:r>
        <w:rPr>
          <w:b/>
        </w:rPr>
        <w:t>Original source (2021):</w:t>
      </w:r>
      <w:r>
        <w:t xml:space="preserve"> https://doi.org/10.1111/gcbb.12908</w:t>
      </w:r>
    </w:p>
    <w:p>
      <w:pPr/>
      <w:r>
        <w:t>Original wording (abstract; indexed_source_text_not_full_document_verified): Bioenergy could provide up to 1GtCO2 or 40% of the overall mitigation needed by the EU in 2050. We use the global integrated assessment model IMAGE 3.2 to project bioenergy demand, sectoral deployment, feedstock, and inter‐regional import for Europe to 2050.</w:t>
      </w:r>
    </w:p>
    <w:p>
      <w:pPr/>
      <w:r>
        <w:rPr>
          <w:b/>
        </w:rPr>
        <w:t>POSSIBLE 2026:</w:t>
      </w:r>
      <w:r>
        <w:t xml:space="preserve"> Energy Transition in Brazil and the Role of Bioenergy with Carbon Capture and Storage — https://doi.org/10.4236/lce.2026.173005</w:t>
      </w:r>
    </w:p>
    <w:p>
      <w:pPr/>
      <w:r>
        <w:rPr>
          <w:b/>
        </w:rPr>
        <w:t>Shared claim-specific concepts:</w:t>
      </w:r>
      <w:r>
        <w:t xml:space="preserve"> bioenergy, provide, use, deployment; EU scope not established. This is a provisional connection, not an outcome finding.</w:t>
      </w:r>
    </w:p>
    <w:p>
      <w:pPr>
        <w:pStyle w:val="SourceNote"/>
      </w:pPr>
      <w:r>
        <w:rPr>
          <w:b/>
        </w:rPr>
        <w:t>Available abstract (not full text):</w:t>
      </w:r>
      <w:r>
        <w:t xml:space="preserve"> Climate change demands robust measures to mitigate greenhouse gas (GHG) emissions. Among carbon dioxide removal approaches assessed in the literature, Bioenergy with Carbon Capture and Storage (BECCS) has received particular attention. This study conducted a narrative literature review of an exploratory and descriptive nature, based on 16 unique articles selected from the ScienceDirect database. The objective was to analyze the role attributed to BECCS technology in the scientific literature within the context of Brazil’s energy transition. The results indicate that Brazil has favorable conditions for BECCS deployment, including extensive bioenergy production, especially ethanol, and geological storage potential. However, the literature also identifies high costs, regulatory barriers, infrastructure constraints, and ecological risks associated with biomass cultivation. Scenario studies reviewed here indicate that BECCS may provide negative emissions that compensate for residual emissions in hard-to-abate sectors and, in some modeled pathways, permit continued partial fossil-fuel use. Accordingly, the possibility that BECCS could be invoked to support continued oil and gas production is treated in this article as a governance risk rather than as an inevitable outcome. Net-negative performance remains conditional on sustainable biomass supply, lifecycle emissions, capture-energy </w:t>
      </w:r>
    </w:p>
    <w:p>
      <w:pPr/>
      <w:r>
        <w:rPr>
          <w:b/>
        </w:rPr>
        <w:t>POSSIBLE 2026:</w:t>
      </w:r>
      <w:r>
        <w:t xml:space="preserve"> Carbon cycle uncertainties and the role of land-use change emissions in ambitious mitigation pathways — https://doi.org/10.22541/essoar.15009904/v1</w:t>
      </w:r>
    </w:p>
    <w:p>
      <w:pPr/>
      <w:r>
        <w:rPr>
          <w:b/>
        </w:rPr>
        <w:t>Shared claim-specific concepts:</w:t>
      </w:r>
      <w:r>
        <w:t xml:space="preserve"> gtco2, mitigation, integrated, assessment, deployment; EU scope not established. This is a provisional connection, not an outcome finding.</w:t>
      </w:r>
    </w:p>
    <w:p>
      <w:pPr>
        <w:pStyle w:val="SourceNote"/>
      </w:pPr>
      <w:r>
        <w:rPr>
          <w:b/>
        </w:rPr>
        <w:t>Available abstract (not full text):</w:t>
      </w:r>
      <w:r>
        <w:t xml:space="preserve"> The carbon cycle and its sensitivity to different forcings is a major source of uncertainty in scenario assessments of Earth System Models (ESMs) on climate change. However, while the relevant carbon cycle uncertainties are often an important part of ESM assessments, they are currently poorly and inconsistently accounted for in the derivation of mitigation pathways using Integrated Assessment Models (IAMs). Here, we incorporate carbon cycle data from 9 different Dynamic Global Vegetation Models (DGVMs) into the REMIND-MAgPIE-MAGICC IAM framework, using the DGVM model diversity as the main source of uncertainty, and assess variations in scenario outcomes derived from them. We show that varying only assumptions about the carbon density potentials of vegetation types leads to important variations in the cost-effective deployment of land-based mitigation solutions. In scenarios where warming is limited to 1.7°C, cumulative landuse change emissions (2020-2050) vary from negative to substantially positive (-12 to 57 GtCO2), with a 30% variation in carbon prices, 100 Mha in forest area and a substantially different CDR mix. By calibrating the simple climate model MAGICC to reproduce the land carbon and nitrogen fluxes from these same DGVMs, we also consistently assess the uncertainty in the remaining carbon budget to limit warming to 1.7°C due to the varied responses of the carbon sin</w:t>
      </w:r>
    </w:p>
    <w:p>
      <w:pPr/>
      <w:r>
        <w:rPr>
          <w:b/>
        </w:rPr>
        <w:t>POSSIBLE 2026:</w:t>
      </w:r>
      <w:r>
        <w:t xml:space="preserve"> Biodiversity conservation policies alter the solution space of climate mitigation scenarios — https://doi.org/10.31223/x5wf80</w:t>
      </w:r>
    </w:p>
    <w:p>
      <w:pPr/>
      <w:r>
        <w:rPr>
          <w:b/>
        </w:rPr>
        <w:t>Shared claim-specific concepts:</w:t>
      </w:r>
      <w:r>
        <w:t xml:space="preserve"> bioenergy, mitigation, use; EU scope not established. This is a provisional connection, not an outcome finding.</w:t>
      </w:r>
    </w:p>
    <w:p>
      <w:pPr>
        <w:pStyle w:val="SourceNote"/>
      </w:pPr>
      <w:r>
        <w:rPr>
          <w:b/>
        </w:rPr>
        <w:t>Available abstract (not full text):</w:t>
      </w:r>
      <w:r>
        <w:t xml:space="preserve"> Conserving biodiversity while mitigating climate change is one of the defining sustainability challenges of this century. Paris-aligned mitigation pathways rely heavily on forest restoration and bioenergy with carbon capture and storage (BECCS). While forest restoration can simultaneously enhance wildlife habitat and increase carbon sequestration, large-scale biomass production for BECCS may intensify land competition and conflict with biodiversity conservation goals. Here, we use an interlinked land-use (MAgPIE), energy (MESSAGEix), and climate (MAGICC) modeling framework to explore the synergies and trade-offs between biodiversity conservation and climate mitigation. We find that sustainable bioenergy potential compatible with ambitious biodiversity conservation targets is below 100 EJ/yr, limiting late-century carbon removal through BECCS in 2 °C scenarios to less than 6 GtCO₂/yr. At the same time, ambitious biodiversity conservation can approximately double carbon sequestration in forest systems. Our results show that Paris temperature goals remain achievable under ambitious biodiversity targets and that peak temperatures are lowered as much as 0.2°C compared to Paris-aligned scenarios without biodiversity targets, although doing so requires earlier and more stringent decarbonization.</w:t>
      </w:r>
    </w:p>
    <w:p>
      <w:pPr/>
      <w:r>
        <w:rPr>
          <w:b/>
        </w:rPr>
        <w:t>POSSIBLE 2026:</w:t>
      </w:r>
      <w:r>
        <w:t xml:space="preserve"> Global Afforestation Carbon Sequestration Potential Within an Integrated Environmental Protection and Sustainable Food System Framework — https://doi.org/10.3390/land15091733</w:t>
      </w:r>
    </w:p>
    <w:p>
      <w:pPr/>
      <w:r>
        <w:rPr>
          <w:b/>
        </w:rPr>
        <w:t>Shared claim-specific concepts:</w:t>
      </w:r>
      <w:r>
        <w:t xml:space="preserve"> gtco2, mitigation, use, integrated, assessment; EU scope not established. This is a provisional connection, not an outcome finding.</w:t>
      </w:r>
    </w:p>
    <w:p>
      <w:pPr>
        <w:pStyle w:val="SourceNote"/>
      </w:pPr>
      <w:r>
        <w:rPr>
          <w:b/>
        </w:rPr>
        <w:t>Available abstract (not full text):</w:t>
      </w:r>
      <w:r>
        <w:t xml:space="preserve"> Afforestation is a high-potential and cost-effective climate change mitigation strategy, but its large-scale implementation raises sustainability concerns. It requires extensive areas of land, potentially conflicting with agriculture and impacting food security. Moreover, inappropriate forest expansion, such as the afforestation of naturally open habitats, could reduce habitats for non-forest organisms and may cause biodiversity loss. Here, we assess the global mitigation potential of afforestation by integrating environmental constraints and sustainable food system transformations within an integrated assessment model framework. Using the Asia-Pacific Integrated Model (AIM), including the AIM-Hub general equilibrium model and AIM-PLUM spatial land use allocation model, we evaluated seven scenarios incorporating biodiversity protection, soil quality enhancement, dietary shifts, food waste reduction, trade, and irrigation intensification. We found that environmental considerations reduce the maximum afforestation potential to 2.13 GtCO2 yr−1, highlighting the importance of accounting for land use trade-offs. However, sustainable food system transformations substantially recover this mitigation potential, increasing afforestation-based carbon sequestration to 5.01 GtCO2 yr−1 by 2100. Approximately 90% of this potential can be achieved at a cost below 50 USD tCO2−1. Our study emph</w:t>
      </w:r>
    </w:p>
    <w:p>
      <w:pPr/>
      <w:r>
        <w:rPr>
          <w:b/>
        </w:rPr>
        <w:t>POSSIBLE 2026:</w:t>
      </w:r>
      <w:r>
        <w:t xml:space="preserve"> Bioenergy: Energy Derived from Biomass — https://doi.org/10.1007/978-3-032-09098-0_24</w:t>
      </w:r>
    </w:p>
    <w:p>
      <w:pPr/>
      <w:r>
        <w:rPr>
          <w:b/>
        </w:rPr>
        <w:t>Shared claim-specific concepts:</w:t>
      </w:r>
      <w:r>
        <w:t xml:space="preserve"> bioenergy, integrated, feedstock; EU scope not established. This is a provisional connection, not an outcome finding.</w:t>
      </w:r>
    </w:p>
    <w:p>
      <w:pPr>
        <w:pStyle w:val="SourceNote"/>
      </w:pPr>
      <w:r>
        <w:rPr>
          <w:b/>
        </w:rPr>
        <w:t>Available abstract (not full text):</w:t>
      </w:r>
      <w:r>
        <w:t xml:space="preserve"> Abstract Biomass can be converted into various forms of bioenergy using thermal, chemical or biological processes. This chapter provides an overview of the main bioenergy pathways: combustion, gasification, pyrolysis, hydrothermal liquefaction, anaerobic digestion, fermentation and transesterification. These result in heat and power generation or biofuels. All types of biomass can be used to produce bioenergy, but they require different processing pathways. From an ethical point of view, non-edible, mostly lignocellulosic or residual/waste biomass should be the preferred feedstock. Bioenergy production can also be integrated into biorefinery processes.</w:t>
      </w:r>
    </w:p>
    <w:p>
      <w:pPr/>
      <w:r>
        <w:rPr>
          <w:b/>
        </w:rPr>
        <w:t>POSSIBLE 2025:</w:t>
      </w:r>
      <w:r>
        <w:t xml:space="preserve"> The biodiversity-climate-food nexus: Illustrating challenges and solutions using the Green Shoots framework — https://doi.org/10.1016/j.oneear.2025.101455</w:t>
      </w:r>
    </w:p>
    <w:p>
      <w:pPr/>
      <w:r>
        <w:rPr>
          <w:b/>
        </w:rPr>
        <w:t>Shared claim-specific concepts:</w:t>
      </w:r>
      <w:r>
        <w:t xml:space="preserve"> bioenergy, provide, needed, integrated; EU scope not established. This is a provisional connection, not an outcome finding.</w:t>
      </w:r>
    </w:p>
    <w:p>
      <w:pPr>
        <w:pStyle w:val="SourceNote"/>
      </w:pPr>
      <w:r>
        <w:rPr>
          <w:b/>
        </w:rPr>
        <w:t>Available abstract (not full text):</w:t>
      </w:r>
      <w:r>
        <w:t xml:space="preserve"> Responding to the twin challenges of climate change and biodiversity loss is critical but so is avoiding any unintended consequences of these responses for other sustainability goals such as food security. Here, we explore synergies and trade-offs across the biodiversity-climate-food nexus through the recently developed Green Shoots framework. This approach highlights how different response options (dietary change, sustainable food production and fisheries, afforestation/reforestation, and bioenergy) can have multiple co-benefits, although some can also pose risks to biodiversity, climate change, or food security. Integrated responses are needed, but ultimately, success depends on how effectively they are implemented, and not on the type of response option per se. Society is at a critical juncture for the sustainability of most natural and food systems with today's choices affecting tomorrow's outcomes, and the Green Shoots provide an approach to inform these choices.</w:t>
      </w:r>
    </w:p>
    <w:p>
      <w:pPr/>
      <w:r>
        <w:rPr>
          <w:b/>
        </w:rPr>
        <w:t>POSSIBLE 2025:</w:t>
      </w:r>
      <w:r>
        <w:t xml:space="preserve"> Deep uncertainty in carbon dioxide removal portfolios — https://doi.org/10.1088/1748-9326/adc613</w:t>
      </w:r>
    </w:p>
    <w:p>
      <w:pPr/>
      <w:r>
        <w:rPr>
          <w:b/>
        </w:rPr>
        <w:t>Shared claim-specific concepts:</w:t>
      </w:r>
      <w:r>
        <w:t xml:space="preserve"> bioenergy, provide, gtco2, mitigation, deployment; EU scope not established. This is a provisional connection, not an outcome finding.</w:t>
      </w:r>
    </w:p>
    <w:p>
      <w:pPr>
        <w:pStyle w:val="SourceNote"/>
      </w:pPr>
      <w:r>
        <w:rPr>
          <w:b/>
        </w:rPr>
        <w:t>Available abstract (not full text):</w:t>
      </w:r>
      <w:r>
        <w:t xml:space="preserve"> Abstract Deep uncertainty about the costs and resource limits of carbon dioxide removal (CDR) options challenges the design of robust portfolios. To address this, we here introduce the CDR sustainable portfolios with endogenous cost model, a mixed-integer linear optimization model for cost-optimal and time-dependent CDR portfolios including endogenous treatment of technology cost dynamics. We explore future uncertainty in three key dimensions: realisable mitigation potentials, cost dynamics, and resource constraints. Our results demonstrate that afforestation and reforestation, and soil carbon sequestration appear as robust options, deployed regardless of the removals required. Direct air carbon capture and storage emerges as the most deployed technology in 2100 at median value (6.7 GtCO2 yr−1), but with the widest range of possible outcomes (interquartile range from 4 to 8.7 GtCO2 yr−1) depending largely on future renewable energy capacity and annual geological storage injection rates. Bioenergy with CCS deployment remains severely constrained by available land, as the median falls from 1.8 to 0.3 GtCO2 yr−1 in land-constrained scenarios, but gains portfolio share when future energy availability is bounded. Our simulations also reveal that ocean alkalinisation could become a dominant solution in high removal scenarios. Evaluating the performance of portfolios beyond economic c</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bioenergy, provide, mitigation;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Bioenergy and Waste — https://doi.org/10.1007/978-3-031-69856-9_6</w:t>
      </w:r>
    </w:p>
    <w:p>
      <w:pPr/>
      <w:r>
        <w:rPr>
          <w:b/>
        </w:rPr>
        <w:t>Shared claim-specific concepts:</w:t>
      </w:r>
      <w:r>
        <w:t xml:space="preserve"> bioenergy; EU scope not established. This is a provisional connection, not an outcome finding.</w:t>
      </w:r>
    </w:p>
    <w:p>
      <w:pPr>
        <w:pStyle w:val="SourceNote"/>
      </w:pPr>
      <w:r>
        <w:rPr>
          <w:b/>
        </w:rPr>
        <w:t>Available abstract (not full text):</w:t>
      </w:r>
      <w:r>
        <w:t xml:space="preserve"> Abstract A significant proportion of the decarbonization occurring in energy production is based on solar and wind energy. However, biomass also retains its place in the energy palette. This chapter presents an analysis of the technologies and sustainable levels of using biomass and waste for energy, as well as bioenergy carbon capture and storage applications. Furthermore, the chapter addresses the production of materials and chemicals in a manner that is supportive of the achievement of both climate and nature conservation goals. The chapter ultimately concludes that the sustainable utilization of biomass is constrained by its substantial land area requirements and subsequent adverse impacts on the natural environment. The growing population (forecast to stabilize at approximately 10–11 billion by 2030, from 8 billion in 2024) presents a challenge to current systems of production for food, energy, and materials. Given that most of the terrestrial world has already been impacted by human activities, there is a limited opportunity for further expansion. This necessitates the identification of more cost-effective land uses to meet our needs and the implementation of circular economy solutions to reduce the demand for virgin materials. Biomass represents a natural chemical storage of solar energy, and biomass and derived biofuels can be employed, for instance, to balance the vari</w:t>
      </w:r>
    </w:p>
    <w:p>
      <w:pPr/>
      <w:r>
        <w:rPr>
          <w:b/>
        </w:rPr>
        <w:t>POSSIBLE 2025:</w:t>
      </w:r>
      <w:r>
        <w:t xml:space="preserve"> Efficacy of individual and combined terrestrial and marine carbon dioxide removal — https://doi.org/10.1088/1748-9326/ae2af5</w:t>
      </w:r>
    </w:p>
    <w:p>
      <w:pPr/>
      <w:r>
        <w:rPr>
          <w:b/>
        </w:rPr>
        <w:t>Shared claim-specific concepts:</w:t>
      </w:r>
      <w:r>
        <w:t xml:space="preserve"> bioenergy, deployment, feedstock; EU scope visible. This is a provisional connection, not an outcome finding.</w:t>
      </w:r>
    </w:p>
    <w:p>
      <w:pPr>
        <w:pStyle w:val="SourceNote"/>
      </w:pPr>
      <w:r>
        <w:rPr>
          <w:b/>
        </w:rPr>
        <w:t>Available abstract (not full text):</w:t>
      </w:r>
      <w:r>
        <w:t xml:space="preserve"> Abstract Limiting global temperature rise below 2 °C requires significant reduction in greenhouse gas emissions and large-scale carbon dioxide removal (CDR). This study assesses the CO 2 sequestration and efficacy of two CDR approaches, bioenergy with carbon capture and storage (BECCS) and ocean alkalinity enhancement (OAE), applied individually and in combination. Using the Norwegian Earth System Model, simulations were designed to ramp up deployment of BECCS and OAE, to an additional area of 5.2 million km 2 by 2100 for bioenergy feedstock for BECCS, and a CaO deployment rate of approximately 2.7 Gt yr −1 for OAE within the exclusive economic zones of Europe, the United States and China. The combined land–ocean CDR simulation revealed a largely additive carbon removal effect. Over 2030−2100, OAE sequestered 7 ppm of CO 2 with an accumulated 82.3 Gt CaO, achieving a CDR effectiveness of 0.08 ppm (∼0.17 PgC) per Gt CaO, while BECCS reduced 16 ppm of CO 2 , with CDR effectiveness of 3.1 ppm per million km 2 of bioenergy crops. Together, the carbon removal achieved by BECCS and OAE corresponds to anthropogenic CO 2 emissions of 5.4 Gt CO 2 yr −1 by 2100, slightly more than 60% of current global transport sector emissions. Notably, the efficiency of BECCS and OAE alone was unaffected by their concurrent deployment. Nevertheless, simulations revealed distinct non-linear interaction</w:t>
      </w:r>
    </w:p>
    <w:p>
      <w:pPr/>
      <w:r>
        <w:rPr>
          <w:b/>
        </w:rPr>
        <w:t>POSSIBLE 2025:</w:t>
      </w:r>
      <w:r>
        <w:t xml:space="preserve"> EU Bioenergy—Status and Potential — https://doi.org/10.3390/en18184857</w:t>
      </w:r>
    </w:p>
    <w:p>
      <w:pPr/>
      <w:r>
        <w:rPr>
          <w:b/>
        </w:rPr>
        <w:t>Shared claim-specific concepts:</w:t>
      </w:r>
      <w:r>
        <w:t xml:space="preserve"> bioenergy, use; EU scope visible. This is a provisional connection, not an outcome finding.</w:t>
      </w:r>
    </w:p>
    <w:p>
      <w:pPr>
        <w:pStyle w:val="SourceNote"/>
      </w:pPr>
      <w:r>
        <w:rPr>
          <w:b/>
        </w:rPr>
        <w:t>Available abstract (not full text):</w:t>
      </w:r>
      <w:r>
        <w:t xml:space="preserve"> In the interest of climate protection and the promotion of a sustainable economy, the European Union (EU) is pursuing a policy of transitioning from fossil fuels to renewable energies. The objective of this initiative is twofold: first, to reduce greenhouse gas (GHG) emissions, and second, to decrease the reliance on energy imports. This article utilizes publicly accessible databases and studies to assess the extent to which bioenergy (including fuels, heat, and electricity) contributes to these objectives and its long-term potential. Presently, bioenergy constitutes approximately 14% of Europe’s energy supply, with a share of 60% ranking as the foremost source of renewable energy. The evaluation of bioenergy-related GHG is hindered by the fact that the official databases do not satisfy the criteria necessary for scientific analysis. Further expansion of bioenergy should be based on European non-food biomass, as required by the current Renewable Energy Directive REDIII. Taking competing non-energy uses into account, the potential for further growth, contribution to total energy supply, and independence from imports is likely to be limited. As part of the strategic development of bioenergy, there is a considerable need for research into the use of biomass for competing energy and material use pathways, taking into account the different economic potential. To this end, the introd</w:t>
      </w:r>
    </w:p>
    <w:p>
      <w:pPr/>
      <w:r>
        <w:rPr>
          <w:b/>
        </w:rPr>
        <w:t>POSSIBLE 2025:</w:t>
      </w:r>
      <w:r>
        <w:t xml:space="preserve"> Physicochemical Properties of Forest Wood Biomass for Bioenergy Application: A Review — https://doi.org/10.3390/f16040702</w:t>
      </w:r>
    </w:p>
    <w:p>
      <w:pPr/>
      <w:r>
        <w:rPr>
          <w:b/>
        </w:rPr>
        <w:t>Shared claim-specific concepts:</w:t>
      </w:r>
      <w:r>
        <w:t xml:space="preserve"> bioenergy; EU scope visible. This is a provisional connection, not an outcome finding.</w:t>
      </w:r>
    </w:p>
    <w:p>
      <w:pPr>
        <w:pStyle w:val="SourceNote"/>
      </w:pPr>
      <w:r>
        <w:rPr>
          <w:b/>
        </w:rPr>
        <w:t>Available abstract (not full text):</w:t>
      </w:r>
      <w:r>
        <w:t xml:space="preserve"> Forest wood biomass is a key renewable resource for advancing energy transition and mitigating climate change. This review analyzes the physicochemical properties of forest biomass from major European tree species to assess their suitability for bioenergy applications. This study encompasses key parameters, such as moisture content, ash content, volatile matter, fixed carbon, elemental composition, bulk density, and energy content (HHV and LHV). This review analyzed data from 43 publications and extracted 140 records concerning the physicochemical properties of the most common European forest species used for bioenergy. The most commonly represented species were Quercus robur, Eucalyptus spp., and Fagus sylvatica. Moisture content, referring to fresh matter, ranged from 5% to 65%; ash content, referring to a dry basis, ranged from 0.2% to 3.5%; and higher heating value (HHV), referring to dry matter, ranged from 17 to 21 MJ kg−1. This study highlights variability among species and underscores the importance of standardizing biomass characterization methods and the scarcity of data on bulk density and other key logistical parameters. These findings emphasize the need for consistent methodologies and species-specific selection strategies to optimize sustainability and efficiency in forest biomass utilization for bioenergy.</w:t>
      </w:r>
    </w:p>
    <w:p>
      <w:pPr>
        <w:pStyle w:val="Heading2"/>
      </w:pPr>
      <w:r>
        <w:t>608. Is clean energy contested? Exploring which issues matter to stakeholders in the European Green Deal</w:t>
      </w:r>
    </w:p>
    <w:p>
      <w:pPr>
        <w:pStyle w:val="SourceNote"/>
      </w:pPr>
      <w:r>
        <w:rPr>
          <w:b/>
        </w:rPr>
        <w:t>Original source (2021):</w:t>
      </w:r>
      <w:r>
        <w:t xml:space="preserve"> https://doi.org/10.1016/j.erss.2021.102083</w:t>
      </w:r>
    </w:p>
    <w:p>
      <w:pPr/>
      <w:r>
        <w:t>Original wording (abstract; indexed_source_text_not_full_document_verified): The European Green Deal aims at decarbonizing the European Union’s economies by 2050.</w:t>
      </w:r>
    </w:p>
    <w:p>
      <w:pPr/>
      <w:r>
        <w:rPr>
          <w:b/>
        </w:rPr>
        <w:t>POSSIBLE 2026:</w:t>
      </w:r>
      <w:r>
        <w:t xml:space="preserve"> The European Green Deal and its impact on the economy of the European Union — https://doi.org/10.53486/dri2026.50</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The European Green Deal is the European Union's central framework for linking climate action with longterm economic transformation. Introduced in 2019, it sets out to reshape the EU into a climate-neutral, resource-efficient, and more resilient economy by 2050. This paper examines how that agenda affects the EU economy, with particular attention to renewable energy, industry, agriculture, the circular economy, and pollution control (Fetting, 2020). The analysis uses academic studies together with official EU documents in order to interpret the economic changes associated with the Green Deal. The literature suggests that decarbonization depends heavily on cleaner energy systems and lower-emission production models, but also on substantial capital investment and institutional adjustment across multiple sectors .Overall, the Green Deal appears to create both economic promise and policy strain. It can stimulate innovation, support new employment opportunities, and strengthen competitiveness in emerging green industries, yet it also places pressure on traditional sectors, public budgets, energy prices, and labor-market adjustment processes.</w:t>
      </w:r>
    </w:p>
    <w:p>
      <w:pPr/>
      <w:r>
        <w:rPr>
          <w:b/>
        </w:rPr>
        <w:t>POSSIBLE 2026:</w:t>
      </w:r>
      <w:r>
        <w:t xml:space="preserve"> THE EUROPEAN GREEN DEAL AND ITS IMPLICATIONS TO THE EUROPEAN UNION COOPERATION WITH VIETNAM Case Study: The climate-responsive digital circular economy as a first priority area of action — https://doi.org/10.2139/ssrn.6689058</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The European Green Deal within the Scope of European Union Project Funds: The Role of Green Marketing and Green Advertising — https://doi.org/10.58830/ozgur.pub1165.c4874</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The deepening of climate change and environmental sustainability challenges at the global level has necessitated a rethinking of economic growth models and the development of policy frameworks aligned with environmental objectives. In this context, environmental sustainability has evolved into a multidimensional field that requires not only environmental policies but also the comprehensive transformation of production, consumption, and market dynamics. One of the most comprehensive institutional responses to this transformation is the European Green Deal, announced by the European Union in 2019. The European Green Deal presents an integrated transformation vision that encompasses multiple policy areas most notably energy, industry, transport, and finance with the objective of achieving a climate-neutral economy by 2050. To support this process, European Union funding instruments such as Horizon Europe, the LIFE Programme, and the Innovation Fund aim to promote the development of low-carbon technologies and the dissemination of sustainable production models. The extent to which these policy and financing instruments developed under the Green Deal can generate tangible outcomes at the market and societal levels largely depends on the effectiveness of green marketing and green advertising practices. In this regard, green advertising plays a critical role by enabling the transparen</w:t>
      </w:r>
    </w:p>
    <w:p>
      <w:pPr/>
      <w:r>
        <w:rPr>
          <w:b/>
        </w:rPr>
        <w:t>POSSIBLE 2026:</w:t>
      </w:r>
      <w:r>
        <w:t xml:space="preserve"> THE ROLE OF THE GREEN ECONOMY IN REDUCING CARBON EMISSIONS AND THE CHALLENGE IN IMPLEMENTING THE EUROPEAN GREEN DEAL — https://doi.org/10.24818/cike2025.51</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This study examines the role of the green economy in reducing carbon emissions and assesses the challenges related to the implementation of the European Green Deal (EGD). The main objective of this research is to analyze how green economy policies can contribute to achieving the carbon reduction objectives in the European Union and to assess the main obstacles that limit the effectiveness of the implementation of the EGD. This research uses a methodology based on econometric analysis of secondary data, focusing on key variables that help to assess the impact of green policies on CO2 emissions. The results show that the green economy, through increased investment in renewable energy and the application of sustainable economic growth models, has a direct and positive impact on reducing carbon emissions. The transition to clean energy and the use of new technologies are two key factors in this regard, which are closely linked to the green growth policy and the objectives of the Green Deal. Despite this, the implementation of the EGD faces several challenges, including economic and political disparities between EU Member States, as well as the need for sustained financial support and stronger political commitment. In conclusion, this study shows that, although the green economy has great potential to support climate objectives, sustainable progress in implementing the Green Deal re</w:t>
      </w:r>
    </w:p>
    <w:p>
      <w:pPr/>
      <w:r>
        <w:rPr>
          <w:b/>
        </w:rPr>
        <w:t>POSSIBLE 2025:</w:t>
      </w:r>
      <w:r>
        <w:t xml:space="preserve"> The CAP environmental and climate aims for EU’s countries vs. European Green Deal expectations — https://doi.org/10.34659/eis.2024.90.3.819</w:t>
      </w:r>
    </w:p>
    <w:p>
      <w:pPr/>
      <w:r>
        <w:rPr>
          <w:b/>
        </w:rPr>
        <w:t>Shared claim-specific concepts:</w:t>
      </w:r>
      <w:r>
        <w:t xml:space="preserve"> green, deal, aims; EU scope visible. This is a provisional connection, not an outcome finding.</w:t>
      </w:r>
    </w:p>
    <w:p>
      <w:pPr>
        <w:pStyle w:val="SourceNote"/>
      </w:pPr>
      <w:r>
        <w:rPr>
          <w:b/>
        </w:rPr>
        <w:t>Available abstract (not full text):</w:t>
      </w:r>
      <w:r>
        <w:t xml:space="preserve"> As a result of the European Green Deal Strategy (EGD), each EU Member State was obliged to specify own effort and aims for agriculture in formal document, i.e. national Strategic Plan for the Common Agricultural Policy (CAP) 2023-2027. The basic reference in the creation of national documents was the specificity of the country’s agriculture, as well as the possibility to undertake ambitious measures to contribute to the goals described at the European level. The aim of this paper is to analyze the EU’s Member States commitments regarding environmental and climate agricultural objectives in the broader perspective of the European Green Deal ambitions. The approach applied in the study was based on research of literature and legal documents, the European and national statement comparisons, public statistics and European Commission data analysis, which enabled the authors to conduct current and comparative analyses. The research proved the EU’s countries’ diversified engagement in environment and climate protection. Presented results indicated that the countries’ involvement in the context of EGD objectives was recognised as insufficient.</w:t>
      </w:r>
    </w:p>
    <w:p>
      <w:pPr/>
      <w:r>
        <w:rPr>
          <w:b/>
        </w:rPr>
        <w:t>POSSIBLE 2025:</w:t>
      </w:r>
      <w:r>
        <w:t xml:space="preserve"> THE EUROPEAN GREEN DEAL AND THE JUST TRANSITION IN THE EUROPEAN UNION: AIMS AND SOCIAL ASPECTS OF THE “FIT FOR 55” PACKAGE — https://doi.org/10.53373/reds.2025.67.2.0203</w:t>
      </w:r>
    </w:p>
    <w:p>
      <w:pPr/>
      <w:r>
        <w:rPr>
          <w:b/>
        </w:rPr>
        <w:t>Shared claim-specific concepts:</w:t>
      </w:r>
      <w:r>
        <w:t xml:space="preserve"> green, deal, aims, union, economies; EU scope visible. This is a provisional connection, not an outcome finding.</w:t>
      </w:r>
    </w:p>
    <w:p>
      <w:pPr>
        <w:pStyle w:val="SourceNote"/>
      </w:pPr>
      <w:r>
        <w:rPr>
          <w:b/>
        </w:rPr>
        <w:t>Available abstract (not full text):</w:t>
      </w:r>
      <w:r>
        <w:t xml:space="preserve"> The “ecological transition” has constituted a priority on the political agenda of the first European Commission under the leadership of Ursula von der Leyen, who has worked assiduously from the very first days of her mandate to steer the social market economies of EU member states towards the ambitious goal of decoupling economic growth from emissions that contribute to climate change. It’s widely known that no more than ten days after taking office, the EU executive unveiled the European “Green Deal”, a pioneering strategic plan which aims to make Europe the first climate-neutral continent by 2050. The Green Deal, which points the way to the realisation of what has been described as a true “revolution”, has identified a dense set of legislative proposals, financial instruments, programmes and action plans. This contribution will focus in particular on the “Fit for 55” package presented by the European Commission in July 2021 to implement the commitment set out in European climate legislation to reduce greenhouse gas emissions by 55% by 2030 compared to 1990 emissions. The approval of a large part of the program’s measures by the Union’s colegislators makes it one of the first concrete implementations of the Green Deal and provides an initial opportunity to assess the progress of the EU-led environmental transition process in relation to the greenhouse gas emission reduction ta</w:t>
      </w:r>
    </w:p>
    <w:p>
      <w:pPr/>
      <w:r>
        <w:rPr>
          <w:b/>
        </w:rPr>
        <w:t>POSSIBLE 2025:</w:t>
      </w:r>
      <w:r>
        <w:t xml:space="preserve"> European Green Deal Index: A new composite tool for monitoring European Union's Green Deal strategy — https://doi.org/10.1016/j.jclepro.2025.145077</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The European Green Deal and the democratic imagination — https://doi.org/10.1080/07036337.2025.2455686</w:t>
      </w:r>
    </w:p>
    <w:p>
      <w:pPr/>
      <w:r>
        <w:rPr>
          <w:b/>
        </w:rPr>
        <w:t>Shared claim-specific concepts:</w:t>
      </w:r>
      <w:r>
        <w:t xml:space="preserve"> green, deal, aims; EU scope visible. This is a provisional connection, not an outcome finding.</w:t>
      </w:r>
    </w:p>
    <w:p>
      <w:pPr>
        <w:pStyle w:val="SourceNote"/>
      </w:pPr>
      <w:r>
        <w:rPr>
          <w:b/>
        </w:rPr>
        <w:t>Available abstract (not full text):</w:t>
      </w:r>
      <w:r>
        <w:t xml:space="preserve"> Democracy can be imagined in vastly different ways, and the way it is imagined has implications for political projects and policymaking. In this paper, I assess the particular democratic imaginary that is reflected and reinforced by the European Green Deal (EGD). The EGD emphasizes citizens as a ‘driving force’ of sustainability transition. However, despite the emphasis on active citizens, their participation is circumscribed, since the actual aims and strategies of the EGD are apparently not open for debate. Using critical discourse analysis to interrogate the material surrounding the EGD, I identify some persistent tropes of the democratic imaginary that is found there. I find that the dominant political imaginary of the EGD is one of an ‘inclusive depoliticised democracy’ that engages a wide diversity of citizens in limited discussion. The EGD is placed outside of politics and democracy and becomes a matter of tutored knowledge exchange rather than impassioned engagement.</w:t>
      </w:r>
    </w:p>
    <w:p>
      <w:pPr/>
      <w:r>
        <w:rPr>
          <w:b/>
        </w:rPr>
        <w:t>POSSIBLE 2025:</w:t>
      </w:r>
      <w:r>
        <w:t xml:space="preserve"> An Implementation of European Green Deal into the European Union law — https://openalex.org/W7164873981</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Název rigorózní práce v anglickém jazyce, abstrakt v anglickém jazyce a 3 klíčová slova v anglickém jazyce Title: An implementation of the European Green Deal into the European Union law The European Union sees climate change as a major global issue. Although the EU has been focusing on climate change for many years, it only became an apparent priority with the adoption of the European Green Deal in December 2019, which is set to transform the entire EU economy, from energy produciton and waste management to sustainable consumption, with the aim to reduce EU greenhouse gas emissions by 55% by 2030 compared to 1990 and achieving climate neutrality by 2050. The aim of this rigorous thesis is to provide a comprehensive overview of the current development of climate law in the European Union, which is closely linked to the adoption and implementation of the European Green Deal and the related climate strategies and plans. Attention is paid to the period up to 2030 and the sub-target of a 55% reduction in greenhouse gas emissions compared to 1990, which is to be realised especially through the so-called Fit for 55 package, which proposes the adoption of new and the revision of some existing EU legislation in line with this target. The thesis is divided into an introduction, five parts and a conclusion. The first...</w:t>
      </w:r>
    </w:p>
    <w:p>
      <w:pPr/>
      <w:r>
        <w:rPr>
          <w:b/>
        </w:rPr>
        <w:t>POSSIBLE 2025:</w:t>
      </w:r>
      <w:r>
        <w:t xml:space="preserve"> Blue dimensions of the European green deal — https://doi.org/10.60054/peu.2025.12.76-85</w:t>
      </w:r>
    </w:p>
    <w:p>
      <w:pPr/>
      <w:r>
        <w:rPr>
          <w:b/>
        </w:rPr>
        <w:t>Shared claim-specific concepts:</w:t>
      </w:r>
      <w:r>
        <w:t xml:space="preserve"> green, deal, union; EU scope visible. This is a provisional connection, not an outcome finding.</w:t>
      </w:r>
    </w:p>
    <w:p>
      <w:pPr>
        <w:pStyle w:val="SourceNote"/>
      </w:pPr>
      <w:r>
        <w:rPr>
          <w:b/>
        </w:rPr>
        <w:t>Available abstract (not full text):</w:t>
      </w:r>
      <w:r>
        <w:t xml:space="preserve"> Over the past ten years, the European economy has faced a number of challenges: Britain’s exit from the EU, the COVID 19 pandemic, Russian aggression in Ukraine that escalated into war, the struggle for energy independence on the continent, the migration flow, and the increasing influence of far-right political movements. This line of events, however, is accompanied by one fundamental goal of the Union, namely sustainable development. A key instrument for achieving this is the so-called Green Deal, which has acquired a new blue hue in recent years. The aim of this study is to analyse how the blue economy contributes to the European Green Deal objectives, as oceans and seas cover a vast area of the EU territory and around two thirds of the Earth’s surface.</w:t>
      </w:r>
    </w:p>
    <w:p>
      <w:pPr/>
      <w:r>
        <w:rPr>
          <w:b/>
        </w:rPr>
        <w:t>POSSIBLE 2025:</w:t>
      </w:r>
      <w:r>
        <w:t xml:space="preserve"> Effects of European Green Deal on the European Union — https://openalex.org/W7113420187</w:t>
      </w:r>
    </w:p>
    <w:p>
      <w:pPr/>
      <w:r>
        <w:rPr>
          <w:b/>
        </w:rPr>
        <w:t>Shared claim-specific concepts:</w:t>
      </w:r>
      <w:r>
        <w:t xml:space="preserve"> green, deal, aims, union; EU scope visible. This is a provisional connection, not an outcome finding.</w:t>
      </w:r>
    </w:p>
    <w:p>
      <w:pPr>
        <w:pStyle w:val="SourceNote"/>
      </w:pPr>
      <w:r>
        <w:rPr>
          <w:b/>
        </w:rPr>
        <w:t>Available abstract (not full text):</w:t>
      </w:r>
      <w:r>
        <w:t xml:space="preserve"> This paper studies the economic and policy implications of the European Union and surrounding countries from policy, specifically the European Green Deal. With a data set including emissions, expenditures, tax revenue, population, and inequality measures, this study aims to further understand what can be used to explain emission levels. Results indicate that energy tax revenue is positively correlated to lower household emissions, higher GDP per capita is linked with higher emissions. Energy tax is positively correlated with total emissions highlighting the effects of other sectors on the environment in the EU such as manufacturing and transportation. Gini coefficient was not statistically significant, indicating the nuances of quantifying emission reduction targets among many countries within an economic union.</w:t>
      </w:r>
    </w:p>
    <w:p>
      <w:pPr/>
      <w:r>
        <w:rPr>
          <w:b/>
        </w:rPr>
        <w:t>POSSIBLE 2024:</w:t>
      </w:r>
      <w:r>
        <w:t xml:space="preserve"> Objectives of the European Green Deal — https://doi.org/10.4324/9781003486732-8</w:t>
      </w:r>
    </w:p>
    <w:p>
      <w:pPr/>
      <w:r>
        <w:rPr>
          <w:b/>
        </w:rPr>
        <w:t>Shared claim-specific concepts:</w:t>
      </w:r>
      <w:r>
        <w:t xml:space="preserve"> green, deal, aims, union; EU scope visible. This is a provisional connection, not an outcome finding.</w:t>
      </w:r>
    </w:p>
    <w:p>
      <w:pPr>
        <w:pStyle w:val="SourceNote"/>
      </w:pPr>
      <w:r>
        <w:rPr>
          <w:b/>
        </w:rPr>
        <w:t>Available abstract (not full text):</w:t>
      </w:r>
      <w:r>
        <w:t xml:space="preserve"> The European Green Deal is a package of policy initiatives aimed at setting the European Union (EU) on a path towards a green transition, with the ultimate goal of achieving climate neutrality by 2050. The European Green Deal was adopted on December 11, 2019. It aims to make Europe the first climate-neutral continent by 2050. In addition, it provides for accelerating economic growth, improving human health and well-being, and caring for the natural environment. The Green Deal is a new all-encompassing growth strategy that aims to rebalance the EU economy and create sustainable industry and transport. The European Climate Law will aim to turn this political commitment into a legal one. The Green Deal is a step towards a more holistic and integrated approach to climate and environmental challenges. It also tries to mainstream environmental policy by combining and enhancing several existing policies, initiatives, and funding programs dedicated to tackling sustainability and climate change issues. The key elements of the European Green Deal were remodeled into a package of new strategies adopted by the European Commission.</w:t>
      </w:r>
    </w:p>
    <w:p>
      <w:pPr>
        <w:pStyle w:val="Heading2"/>
      </w:pPr>
      <w:r>
        <w:t>609. Legume dreams: The contested futures of sustainable plant-based food systems in Europe</w:t>
      </w:r>
    </w:p>
    <w:p>
      <w:pPr>
        <w:pStyle w:val="SourceNote"/>
      </w:pPr>
      <w:r>
        <w:rPr>
          <w:b/>
        </w:rPr>
        <w:t>Original source (2021):</w:t>
      </w:r>
      <w:r>
        <w:t xml:space="preserve"> https://doi.org/10.1016/j.gloenvcha.2021.102321</w:t>
      </w:r>
    </w:p>
    <w:p>
      <w:pPr/>
      <w:r>
        <w:t>Original wording (abstract; indexed_source_text_not_full_document_verified): It identifies six food futures, each of which is made possible through the greater use of legumes in various production, processing, marketing and consumption contexts. But as the environmental consequences of agriculture (biodiversity loss, high greenhouse gas emissions, water pollution) and the health outcomes of modern diets (heart disease, cancer, diabetes, obesity) become better known, so great and varied hopes are being expressed about the future role of legumes in the food system.</w:t>
      </w:r>
    </w:p>
    <w:p>
      <w:pPr/>
      <w:r>
        <w:rPr>
          <w:b/>
        </w:rPr>
        <w:t>POSSIBLE 2026:</w:t>
      </w:r>
      <w:r>
        <w:t xml:space="preserve"> The European Food Supplement Project ‐Identification of emerging risks associated with food supplements, other than vitamins and minerals — https://doi.org/10.2903/sp.efsa.2026.en-10226</w:t>
      </w:r>
    </w:p>
    <w:p>
      <w:pPr/>
      <w:r>
        <w:rPr>
          <w:b/>
        </w:rPr>
        <w:t>Shared claim-specific concepts:</w:t>
      </w:r>
      <w:r>
        <w:t xml:space="preserve"> six, food, made, possible, consumption; EU scope visible. This is a provisional connection, not an outcome finding.</w:t>
      </w:r>
    </w:p>
    <w:p>
      <w:pPr>
        <w:pStyle w:val="SourceNote"/>
      </w:pPr>
      <w:r>
        <w:rPr>
          <w:b/>
        </w:rPr>
        <w:t>Available abstract (not full text):</w:t>
      </w:r>
      <w:r>
        <w:t xml:space="preserve"> Abstract In the frame of tailor‐made activities of EFSA focal points, a community of knowledge has been created to address possible emerging risks due to the consumption of food supplements other than vitamins and minerals (hereafter referred to as “food supplements”). The scope of this project is to gather information in order to facilitate the prioritisation of substances that are likely to be regulated under Article 8 of Regulation (EC) No 1925/2006. The project was divided into two work packages: The Vigilance work package aimed at collecting alerts to identify possible emerging risks from (nutri)vigilance/monitoring systems in Europe and other accessible sources, such as Toxinfo collections or signals from Poison centres; The Plant work package was focused on the identification on the market of food supplements containing plant‐based substances that are predicted to be toxic, as outlined in the EFSA Compendium on Botanicals. The Vigilance work package identified six ingredients that are possibly sources of emerging risks: Bifidobacterium, Coleus (Plectranthus barbatus), Guggul (Commiphora mukul), Toothed clubmoss (Huperzia serrata), Black radish (Raphanus sativus L.) and Ginseng (Panax ginseng). The Plant work package pointed out three substances of concern which are widely distributed in marketed plant‐containing supplements: furfural, emodin and chrysophanol. Future data</w:t>
      </w:r>
    </w:p>
    <w:p>
      <w:pPr/>
      <w:r>
        <w:rPr>
          <w:b/>
        </w:rPr>
        <w:t>POSSIBLE 2026:</w:t>
      </w:r>
      <w:r>
        <w:t xml:space="preserve"> Rethinking food logistics outsourcing: exploring the impact of structural changes in the European supply chain environment — https://doi.org/10.1080/13675567.2026.2654011</w:t>
      </w:r>
    </w:p>
    <w:p>
      <w:pPr/>
      <w:r>
        <w:rPr>
          <w:b/>
        </w:rPr>
        <w:t>Shared claim-specific concepts:</w:t>
      </w:r>
      <w:r>
        <w:t xml:space="preserve"> six, food, production; EU scope visible. This is a provisional connection, not an outcome finding.</w:t>
      </w:r>
    </w:p>
    <w:p>
      <w:pPr>
        <w:pStyle w:val="SourceNote"/>
      </w:pPr>
      <w:r>
        <w:rPr>
          <w:b/>
        </w:rPr>
        <w:t>Available abstract (not full text):</w:t>
      </w:r>
      <w:r>
        <w:t xml:space="preserve"> European food supply chains have seen structural changes regarding cost, energy, labour, and sustainability regulations. This has forced food processors to reassess the drivers of logistics outsourcing and rethink their strategies. In this exploratory multiple-case study, we investigated six large food processors that have extensive production and logistics facilities across Europe and conducted semi-structured interviews with their C-suite and high-level supply chain executives. Guided by the decision-making framework for food logistics outsourcing by Hsiao, Van der Vorst, et al. (2010), we analysed the interview data for key drivers behind the logistics outsourcing decisions. While confirming the relevance of traditional drivers examined in literature (e.g. control over operations and food quality, closeness to core business), we identified emerging drivers and propose an extended decision-making framework. Future empirical investigations are needed to test the theoretical perspectives of those new drivers. Managerial insights are provided for both food processors and logistics service providers.</w:t>
      </w:r>
    </w:p>
    <w:p>
      <w:pPr/>
      <w:r>
        <w:rPr>
          <w:b/>
        </w:rPr>
        <w:t>POSSIBLE 2026:</w:t>
      </w:r>
      <w:r>
        <w:t xml:space="preserve"> Recent increases in solar UV radiation across Europe: a 40-location study to identify trend boundaries — https://doi.org/10.1007/s43630-026-00971-4</w:t>
      </w:r>
    </w:p>
    <w:p>
      <w:pPr/>
      <w:r>
        <w:rPr>
          <w:b/>
        </w:rPr>
        <w:t>Shared claim-specific concepts:</w:t>
      </w:r>
      <w:r>
        <w:t xml:space="preserve"> six, but, environmental; EU scope visible. This is a provisional connection, not an outcome finding.</w:t>
      </w:r>
    </w:p>
    <w:p>
      <w:pPr>
        <w:pStyle w:val="SourceNote"/>
      </w:pPr>
      <w:r>
        <w:rPr>
          <w:b/>
        </w:rPr>
        <w:t>Available abstract (not full text):</w:t>
      </w:r>
      <w:r>
        <w:t xml:space="preserve"> Significant trends of ultraviolet radiation (UVR) have been reported at limited European sites due to changing atmospheric conditions, such as cloudiness. Whether these findings are applicable to larger areas or even the entire continent remains unclear. In a unique comparison, we analyzed measurements of erythemally weighted daily ambient radiant exposure from 40 European locations, covering the period from 2013 to 2022. At 26 locations annual means increases statistically significantly with a median of + 1.2%/yr. At 38 sites at least monthly means increases with medians between + 2%/yr and + 4%/yr. Increases were seen in satellite products of UVR, global solar radiation, and sunshine duration, too. Analysis at six stations, with data extending back to the mid-1990s, indicates that the period of statistically significant increases generally began between 2010 and 2013. Comparison of UVR data from 40 stations with a high-resolution global solar radiation trend map reveals complementary patterns, highlighting widespread but not uniform UVR changes across Europe. This combination enables figuring out the regional extent of trends. Thus, ground-based UVR measurements remain essential for quantifying changes, highlighting the need for continued monitoring with sufficiently dense measurement networks. This is also essential for understanding and mitigating the impacts of changing UV</w:t>
      </w:r>
    </w:p>
    <w:p>
      <w:pPr/>
      <w:r>
        <w:rPr>
          <w:b/>
        </w:rPr>
        <w:t>POSSIBLE 2025:</w:t>
      </w:r>
      <w:r>
        <w:t xml:space="preserve"> European consumers' involvement with date labels and implications for household food waste — https://doi.org/10.1016/j.foodqual.2025.105522</w:t>
      </w:r>
    </w:p>
    <w:p>
      <w:pPr/>
      <w:r>
        <w:rPr>
          <w:b/>
        </w:rPr>
        <w:t>Shared claim-specific concepts:</w:t>
      </w:r>
      <w:r>
        <w:t xml:space="preserve"> identifies, six, food, use, but; EU scope visible. This is a provisional connection, not an outcome finding.</w:t>
      </w:r>
    </w:p>
    <w:p>
      <w:pPr>
        <w:pStyle w:val="SourceNote"/>
      </w:pPr>
      <w:r>
        <w:rPr>
          <w:b/>
        </w:rPr>
        <w:t>Available abstract (not full text):</w:t>
      </w:r>
      <w:r>
        <w:t xml:space="preserve"> Food waste (FW) in the European Union remains a significant challenge, with over 58 million tons generated annually. Consumer behavior, particularly in relation to food-date labels, is a key factor influencing FW. This study focuses on patterns of involvement with date labels, examining how understanding, attention, and behavioral responses to date labels vary across consumer segments. By clustering consumers based on these dimensions, the research aims to identify distinct involvement patterns toward date labels and the impact on FW decisions. The study involved 1507 consumers (54.6 % female, mean age = 44.9 years) from six EU countries (Belgium, France, Germany, Italy, Spain, Sweden). Participants completed an online questionnaire assessing their understanding, attention, and behavioral responses to date labels, alongside their reported domestic FW behaviors, sociodemographics, and FW management skills. Results indicate that 75.2 % of European consumers understand the difference between ‘use by’ and ‘best before’ dates, and over 80 % correctly identify the meanings of these terms. Increased understanding correlates with reduced household FW, but this factor alone is insufficient to significantly lower waste levels. Additionally, enhanced use of date labels plays a crucial role in minimizing FW. The study identifies distinct consumer segments toward date labels: “Higher involv</w:t>
      </w:r>
    </w:p>
    <w:p>
      <w:pPr/>
      <w:r>
        <w:rPr>
          <w:b/>
        </w:rPr>
        <w:t>POSSIBLE 2024:</w:t>
      </w:r>
      <w:r>
        <w:t xml:space="preserve"> An Exploration of Food Sustainability Practices in the Food Industry across Europe — https://doi.org/10.3390/su16167119</w:t>
      </w:r>
    </w:p>
    <w:p>
      <w:pPr/>
      <w:r>
        <w:rPr>
          <w:b/>
        </w:rPr>
        <w:t>Shared claim-specific concepts:</w:t>
      </w:r>
      <w:r>
        <w:t xml:space="preserve"> food, greater, environmental, emissions; EU scope visible. This is a provisional connection, not an outcome finding.</w:t>
      </w:r>
    </w:p>
    <w:p>
      <w:pPr>
        <w:pStyle w:val="SourceNote"/>
      </w:pPr>
      <w:r>
        <w:rPr>
          <w:b/>
        </w:rPr>
        <w:t>Available abstract (not full text):</w:t>
      </w:r>
      <w:r>
        <w:t xml:space="preserve"> Sustainability is becoming essential and actively debated in the food sector, influencing companies and stakeholders globally. Sustainability practices have been developed and integrated into food industry actions and policies to meet present needs without compromising future needs. The aim of this study was to explore the current sustainability practices across the food industry in Europe and how initiatives are developed, implemented and evaluated to achieve food sustainability targets. This study formed part of a larger European project (2022-1-IE01-KA220-VET-000087508 Digitalisation of Sustainable Health Education). In-depth semi-structured interviews were conducted with 21 food industry employees with expertise in sustainability across Ireland, Poland, Lithuania, and Cyprus. Interviews were transcribed and thematically analysed. Three themes were identified: sustainable practices challenges, facilitators of green practice, and thinking to the future, Complying with the Science-Based Targets initiative, and setting emissions targets such net zero by 2050 and reducing waste output, drove sustainable activities. Participants identified barriers to initiative development and implementation including cost, monitoring time, product quality, and employee engagement. Employee and stakeholder understanding were crucial to sustainability initiative success. Gaps in research were ide</w:t>
      </w:r>
    </w:p>
    <w:p>
      <w:pPr/>
      <w:r>
        <w:rPr>
          <w:b/>
        </w:rPr>
        <w:t>POSSIBLE 2024:</w:t>
      </w:r>
      <w:r>
        <w:t xml:space="preserve"> Robustness of business models for insect production for feed and food in Europe — https://doi.org/10.1163/23524588-00001141</w:t>
      </w:r>
    </w:p>
    <w:p>
      <w:pPr/>
      <w:r>
        <w:rPr>
          <w:b/>
        </w:rPr>
        <w:t>Shared claim-specific concepts:</w:t>
      </w:r>
      <w:r>
        <w:t xml:space="preserve"> six, food, use, production, processing, but; EU scope visible. This is a provisional connection, not an outcome finding.</w:t>
      </w:r>
    </w:p>
    <w:p>
      <w:pPr>
        <w:pStyle w:val="SourceNote"/>
      </w:pPr>
      <w:r>
        <w:rPr>
          <w:b/>
        </w:rPr>
        <w:t>Available abstract (not full text):</w:t>
      </w:r>
      <w:r>
        <w:t xml:space="preserve"> Abstract Insects and their derivatives are increasingly recognised as a (more) sustainable and circular protein source for feed and food. The European insect industry is growing, but upscaling remains a challenge due to multiple uncertainties. This study analysed the robustness of three different business models for insect production for feed and food in six future scenarios. Business models and scenarios were identified through literature review and refined through expert elicitation (n = 5). The three business models comprised: (1) full-liner black soldier fly production for pet food , (2) decentralised black soldier fly production for aquafeed , and (3) mealworm processing cooperative for food . The six scenarios addressed uncertainties around the use of side streams, insect welfare, energy, and sustainability. We used the Business Model Stress Test in four focus groups with experts (n = 23) from six European countries. Heat maps for three distinct business models were presented, detailing the impacts of scenarios on business model components. Experts regarded full-liner black soldier fly production for pet food and mealworm processing cooperative for food as more robust than decentralised black soldier fly production for aquafeed . These differences were mainly related to the customer segments , value proposition , revenue structure , and cost structure . In full-liner blac</w:t>
      </w:r>
    </w:p>
    <w:p>
      <w:pPr/>
      <w:r>
        <w:rPr>
          <w:b/>
        </w:rPr>
        <w:t>POSSIBLE 2024:</w:t>
      </w:r>
      <w:r>
        <w:t xml:space="preserve"> Food allergy outside the eight big foods in Europe: A systematic review and meta‐analysis — https://doi.org/10.1002/clt2.12338</w:t>
      </w:r>
    </w:p>
    <w:p>
      <w:pPr/>
      <w:r>
        <w:rPr>
          <w:b/>
        </w:rPr>
        <w:t>Shared claim-specific concepts:</w:t>
      </w:r>
      <w:r>
        <w:t xml:space="preserve"> six, food, each, but; EU scope visible. This is a provisional connection, not an outcome finding.</w:t>
      </w:r>
    </w:p>
    <w:p>
      <w:pPr>
        <w:pStyle w:val="SourceNote"/>
      </w:pPr>
      <w:r>
        <w:rPr>
          <w:b/>
        </w:rPr>
        <w:t>Available abstract (not full text):</w:t>
      </w:r>
      <w:r>
        <w:t xml:space="preserve"> BACKGROUND: The 2014 estimates of prevalence of food allergy (FA) in Europe published by the European Academy of Allergy and Clinical Immunology included only the eight so-called big foods (cow's milk/egg/wheat/soy/peanut/tree nuts/fish/shellfish). Those estimates have recently been updated. Complementing this, we sought to identify and estimate the prevalence of allergy to other foods that have been reported during the last decade. METHODS: Six databases were searched for studies published 2012-2021. Random-effects meta-analysis was performed to derive pooled prevalence of allergy to each food. RESULTS: Twenty-seven studies were included, containing a total of 66 FAs. Among the most frequently reported FAs, the lifetime and point prevalence range of self-reported kiwi allergy was 0.1%-1.0% and 0.2%-8.1%, respectively, while the food challenge (FC)-verified kiwi allergy point prevalence range was 0.01%-0.10%. The point prevalence range for self-reported peach allergy was 0.2%-3.2%, while the range for FC-verified peach allergy was 0.02%-0.05%. The lifetime and point prevalence range for self-reported tomato allergy was 0.01%-1.8% and 0.2%-2.1%, respectively. CONCLUSION: Allergy to some foods traditionally not considered important are now emerging as relevant FAs. The focus on FA in Europe should not be limited to the so-called eight big FA, but extended to other types of foods </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food, each, production, consumption, agriculture, emissions;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six, food, various, consequences, biodiversity;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food, each, use, but, biodiversity, loss;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Multifaceted Conscription: A Comparative Study of Six European Countries — https://doi.org/10.31374/sjms.166</w:t>
      </w:r>
    </w:p>
    <w:p>
      <w:pPr/>
      <w:r>
        <w:rPr>
          <w:b/>
        </w:rPr>
        <w:t>Shared claim-specific concepts:</w:t>
      </w:r>
      <w:r>
        <w:t xml:space="preserve"> identifies, six, various;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Cross-Continental insights: Comparing food safety management systems in Europe and Latin America — https://doi.org/10.1016/j.foodcont.2024.110552</w:t>
      </w:r>
    </w:p>
    <w:p>
      <w:pPr/>
      <w:r>
        <w:rPr>
          <w:b/>
        </w:rPr>
        <w:t>Shared claim-specific concepts:</w:t>
      </w:r>
      <w:r>
        <w:t xml:space="preserve"> food, various, contexts; EU scope visible. This is a provisional connection, not an outcome finding.</w:t>
      </w:r>
    </w:p>
    <w:p>
      <w:pPr>
        <w:pStyle w:val="SourceNote"/>
      </w:pPr>
      <w:r>
        <w:rPr>
          <w:b/>
        </w:rPr>
        <w:t>Available abstract (not full text):</w:t>
      </w:r>
      <w:r>
        <w:t xml:space="preserve"> This study investigates the implementation of Food Safety Management Systems (FSMSs) in agrofood firms across different regional contexts, focusing on the varying motivations behind their adoption in Europe and Latin America. The research aims to understand how these motivations influence the effectiveness of FSMSs in these distinct business environments. A questionnaire was administered to firms certified to the British Retail Consortium Global Standard for Food Safety (BRC-GS) in Spain and various Latin American countries. The data collected were analyzed using multigroup structural equations modeling to examine the relationships between the firms' motivations and the degree of effective FSMS implementation in these regions. The findings highlight that the institutional environment significantly moderates these relationships. In the European context, ethical considerations play a crucial role in driving effective FSMS implementation. Conversely, in Latin America, commercial motivations are a more significant influence, with legitimacy reasons having a negative impact. This study is pioneering in its comparative analysis of FSMS implementation in European and Latin American agrofood firms. The insights gained contribute to understanding the behavioral dynamics of these firms within different economic and regulatory frameworks and offer a broader perspective on the evolution of</w:t>
      </w:r>
    </w:p>
    <w:p>
      <w:pPr>
        <w:pStyle w:val="Heading2"/>
      </w:pPr>
      <w:r>
        <w:t>610. Long‐term trends of Nordic power market: A review</w:t>
      </w:r>
    </w:p>
    <w:p>
      <w:pPr>
        <w:pStyle w:val="SourceNote"/>
      </w:pPr>
      <w:r>
        <w:rPr>
          <w:b/>
        </w:rPr>
        <w:t>Original source (2021):</w:t>
      </w:r>
      <w:r>
        <w:t xml:space="preserve"> https://doi.org/10.1002/wene.413</w:t>
      </w:r>
    </w:p>
    <w:p>
      <w:pPr/>
      <w:r>
        <w:t>Original wording (abstract; indexed_source_text_not_full_document_verified): Explicit assessments on impacts of emerging topics, such as social oppositions to particular technologies and increased awareness of sustainability indicators besides clean energy, will add values for long‐term decision making in the power markets.</w:t>
      </w:r>
    </w:p>
    <w:p>
      <w:pPr/>
      <w:r>
        <w:rPr>
          <w:b/>
        </w:rPr>
        <w:t>POSSIBLE 2026:</w:t>
      </w:r>
      <w:r>
        <w:t xml:space="preserve"> Oblique Impact Response of a Silicone-Rubber-Supported Steel Plate: Analytical Scaling, Explicit Finite Element Assessment, and Energy Transfer Mechanisms — https://doi.org/10.51584/ijrias.2026.11080192</w:t>
      </w:r>
    </w:p>
    <w:p>
      <w:pPr/>
      <w:r>
        <w:rPr>
          <w:b/>
        </w:rPr>
        <w:t>Shared claim-specific concepts:</w:t>
      </w:r>
      <w:r>
        <w:t xml:space="preserve"> explicit, impacts, energy; EU scope not established. This is a provisional connection, not an outcome finding.</w:t>
      </w:r>
    </w:p>
    <w:p>
      <w:pPr>
        <w:pStyle w:val="SourceNote"/>
      </w:pPr>
      <w:r>
        <w:rPr>
          <w:b/>
        </w:rPr>
        <w:t>Available abstract (not full text):</w:t>
      </w:r>
      <w:r>
        <w:t xml:space="preserve"> Oblique impacts are common in protective structures, mechanical stops, compliant mounts, and vibration-isolation systems; nevertheless, the influence of impact angle is often evaluated by reducing the prescribed speed rather than by resolving a constant resultant velocity into normal and tangential components. This practice confounds the physical effect of angle with a change in impact energy. The present study reformulates the response of a steel plate supported by a silicone-rubber element and struck by a rigid spherical impactor at 0°, 30°, 45°, and 60°, where the angle is measured from the plate normal. A reduced-order momentum–energy model is derived for a perfectly inelastic normal collision. The model predicts that the post-impact normal velocity, maximum support compression, and peak support force scale with cos(θ), while the energy transferred to the support scales with cos2(θ). A preliminary two-dimensional Abaqus/Explicit model is then assessed using the archived computational results. The reported peak plate displacement decreased from 148.34 mm at 0° to 36.88 mm at 60°, while the peak von Mises stress decreased from 5.398 to 3.81 MPa. The numerical displacement decreased more rapidly than the analytical cos(θ) prediction, demonstrating that a single-degree-of-freedom model cannot represent contact redistribution, tangential slip, plate flexibility, and the nonlinea</w:t>
      </w:r>
    </w:p>
    <w:p>
      <w:pPr/>
      <w:r>
        <w:rPr>
          <w:b/>
        </w:rPr>
        <w:t>POSSIBLE 2026:</w:t>
      </w:r>
      <w:r>
        <w:t xml:space="preserve"> bw_timex: A Python Package for Time-Explicit Life Cycle Assessment — https://doi.org/10.21105/joss.09621</w:t>
      </w:r>
    </w:p>
    <w:p>
      <w:pPr/>
      <w:r>
        <w:rPr>
          <w:b/>
        </w:rPr>
        <w:t>Shared claim-specific concepts:</w:t>
      </w:r>
      <w:r>
        <w:t xml:space="preserve"> impacts, technologies; EU scope not established. This is a provisional connection, not an outcome finding.</w:t>
      </w:r>
    </w:p>
    <w:p>
      <w:pPr>
        <w:pStyle w:val="SourceNote"/>
      </w:pPr>
      <w:r>
        <w:rPr>
          <w:b/>
        </w:rPr>
        <w:t>Available abstract (not full text):</w:t>
      </w:r>
      <w:r>
        <w:t xml:space="preserve"> bw_timex is a Python package for time-explicit Life Cycle Assessment (LCA).Unlike conventional LCA, time-explicit LCA allows the quantification of environmental impacts of products and processes over time, considering their temporal distribution and evolution.As such, bw_timex enables simultaneously accounting for:• the timing of processes throughout the supply chain (e.g., end-of-life treatment occurs 20 years after production), • variable and/or evolving supply chains and technologies (e.g., increasing shares of renewable electricity or higher process efficiencies in the future), and • the timing of emissions (enabling dynamic characterization).To achieve this, bw_timex uses graph traversal to convolve process-relative temporal distributions through the supply chain.From the resulting timeline of technosphere exchanges, Life Cycle Inventories (LCIs) are automatically linked across time-specific background databases.The resulting time-explicit LCI reflects the current technology status within the product system at the actual time of each process.Moreover, bw_timex preserves the timing of emissions, enabling both dynamic and static Life Cycle Impact Assessment.</w:t>
      </w:r>
    </w:p>
    <w:p>
      <w:pPr/>
      <w:r>
        <w:rPr>
          <w:b/>
        </w:rPr>
        <w:t>POSSIBLE 2026:</w:t>
      </w:r>
      <w:r>
        <w:t xml:space="preserve"> HTA and Ethical Impact Assessment―Preliminary Perspectives — https://doi.org/10.1007/978-3-032-28812-7_14</w:t>
      </w:r>
    </w:p>
    <w:p>
      <w:pPr/>
      <w:r>
        <w:rPr>
          <w:b/>
        </w:rPr>
        <w:t>Shared claim-specific concepts:</w:t>
      </w:r>
      <w:r>
        <w:t xml:space="preserve"> explicit, assessments, technologies, values; EU scope not established. This is a provisional connection, not an outcome finding.</w:t>
      </w:r>
    </w:p>
    <w:p>
      <w:pPr>
        <w:pStyle w:val="SourceNote"/>
      </w:pPr>
      <w:r>
        <w:rPr>
          <w:b/>
        </w:rPr>
        <w:t>Available abstract (not full text):</w:t>
      </w:r>
      <w:r>
        <w:t xml:space="preserve"> Abstract Health technology assessment (HTA) is defined as a multidisciplinary process the explicit methods of which determine the value of products and systems throughout the entire lifecycle. Equity, efficiency, and high-quality reflect ethical, legal, and socio-economic values and norms. Subcategories of assessments steer the discussion towards general and AI ethics. AI-driven technologies present a whole new context where facts and values challenge communities of stakeholders. Ethical impact assessment as a study scenario leads the reader to a impact framework. A case of the sleep apnea digital care pathway by Pohde is backed up by the principles of digi-HTA. The positivist way of describing a process of ethical impact assessment is of a suggestive nature. Policies, practices, processes, and products and services are in the center of ethical HTA impact assessment. Hopefully the essay will nourish future discussions on the subject-matter.</w:t>
      </w:r>
    </w:p>
    <w:p>
      <w:pPr/>
      <w:r>
        <w:rPr>
          <w:b/>
        </w:rPr>
        <w:t>POSSIBLE 2026:</w:t>
      </w:r>
      <w:r>
        <w:t xml:space="preserve"> Product Change Impact Assessment &amp; Decision Readiness — https://doi.org/10.5281/zenodo.22235247</w:t>
      </w:r>
    </w:p>
    <w:p>
      <w:pPr/>
      <w:r>
        <w:rPr>
          <w:b/>
        </w:rPr>
        <w:t>Shared claim-specific concepts:</w:t>
      </w:r>
      <w:r>
        <w:t xml:space="preserve"> explicit, assessments, impacts, decision; EU scope not established. This is a provisional connection, not an outcome finding.</w:t>
      </w:r>
    </w:p>
    <w:p>
      <w:pPr>
        <w:pStyle w:val="SourceNote"/>
      </w:pPr>
      <w:r>
        <w:rPr>
          <w:b/>
        </w:rPr>
        <w:t>Available abstract (not full text):</w:t>
      </w:r>
      <w:r>
        <w:t xml:space="preserve"> Public-safe, synthetic PLM Business Architecture reference case showing how a bounded engineering product-change problem can be translated into explicit business, information and decision semantics, deterministic readiness and routing rules, a controlled executable proof boundary, independent scenario verification and reproducible technical evidence. The architecture is the primary deliverable. The executable demonstrator is used to test whether the frozen architectural meaning can execute deterministically without semantic shortcuts. The v0.1.0 release includes a six-artefact frozen architecture authority chain, an Architecture Traceability and Assurance Pack, deterministic Scenarios A–C, committed verification evidence, a one-page executive brief, three canonical architecture diagrams, an editable ten-slide presentation, demonstration and interview walkthrough material, and independent architecture/reproducibility review records. The reference case demonstrates explicit separation of current state, Assessment Baseline, proposed-state overlay, discovered impacts, Assessments, Evidence, Decision Scope, Authorisation Eligibility, authority sufficiency and terminal Decision. This release does not claim company-specific PLM process fidelity, enterprise PLM completeness, production readiness, general arbitrary-graph impact discovery, automated engineering judgement or automated ter</w:t>
      </w:r>
    </w:p>
    <w:p>
      <w:pPr/>
      <w:r>
        <w:rPr>
          <w:b/>
        </w:rPr>
        <w:t>POSSIBLE 2026:</w:t>
      </w:r>
      <w:r>
        <w:t xml:space="preserve"> Matrix Approaches for Cumulative Impact Assessments in Decision-Making — https://doi.org/10.1177/19394071251413002</w:t>
      </w:r>
    </w:p>
    <w:p>
      <w:pPr/>
      <w:r>
        <w:rPr>
          <w:b/>
        </w:rPr>
        <w:t>Shared claim-specific concepts:</w:t>
      </w:r>
      <w:r>
        <w:t xml:space="preserve"> explicit, assessments, impacts; EU scope not established. This is a provisional connection, not an outcome finding.</w:t>
      </w:r>
    </w:p>
    <w:p>
      <w:pPr>
        <w:pStyle w:val="SourceNote"/>
      </w:pPr>
      <w:r>
        <w:rPr>
          <w:b/>
        </w:rPr>
        <w:t>Available abstract (not full text):</w:t>
      </w:r>
      <w:r>
        <w:t xml:space="preserve"> This article discusses matrix approaches for cumulative impact assessments in decision-making. Matrix approaches are described and contrasted with the more traditional, single-scoring methods, such as CalEnviroScreen and the Centers for Disease Control and Prevention's Environmental Justice Index. In doing so, the explicit advantages of matrix approaches are highlighted. In addition, this article explains how new generation tools, such as the the White House Council on Environmental Quality’s Climate and Economic Justice Screening Tool and New Jersey’s Environmental Justice Mapping, Assessment, and Protection tool are examples of matrix approaches and how these tools can be expanded beyond their current uses in order to address other decision-making contexts where cumulative impacts are a concern.</w:t>
      </w:r>
    </w:p>
    <w:p>
      <w:pPr/>
      <w:r>
        <w:rPr>
          <w:b/>
        </w:rPr>
        <w:t>POSSIBLE 2025:</w:t>
      </w:r>
      <w:r>
        <w:t xml:space="preserve"> Robust Assessments of Lithium Mining Impacts Embodied in Global Supply Chain Require Spatially Explicit Analyses — https://doi.org/10.1021/acs.est.4c12749</w:t>
      </w:r>
    </w:p>
    <w:p>
      <w:pPr/>
      <w:r>
        <w:rPr>
          <w:b/>
        </w:rPr>
        <w:t>Shared claim-specific concepts:</w:t>
      </w:r>
      <w:r>
        <w:t xml:space="preserve"> explicit, assessments, impacts, energy; EU scope visible. This is a provisional connection, not an outcome finding.</w:t>
      </w:r>
    </w:p>
    <w:p>
      <w:pPr>
        <w:pStyle w:val="SourceNote"/>
      </w:pPr>
      <w:r>
        <w:rPr>
          <w:b/>
        </w:rPr>
        <w:t>Available abstract (not full text):</w:t>
      </w:r>
      <w:r>
        <w:t xml:space="preserve"> Lithium is a critical material for the energy transition, but its mining causes significant environmental impacts that will intensify due to surging global demand. Here, we conduct a mining site-specific environmental impact assessment of lithium on a global scale, focusing on greenhouse gas (GHG) emissions, water use, and land use. We then track the production and international trade flows of all lithium-containing commodities to assess how lithium mining impacts are distributed across global supply chains. Results indicate that environmental impact intensities of battery-grade Li 2 CO 3 production from various mine sites differ between 4 times for GHG emissions to 2885 times for land use. 56–68% of environmental impacts generated in the mining countries were embodied in internationally traded lithium flows. On the production side, China, Australia, and Chile were the top 3 countries, accounting for 91–94% of environmental impacts. Regarding final demand, China was the major consuming region, inducing 46–47% of the environmental impacts of global lithium mining, followed by Korea (17–18%) and the EU-27 (9%). Our findings reveal the need for spatially explicit information to accurately assess the environmental impacts of lithium mining and highlight that mitigation requires cooperation between major producer and consumer countries.</w:t>
      </w:r>
    </w:p>
    <w:p>
      <w:pPr/>
      <w:r>
        <w:rPr>
          <w:b/>
        </w:rPr>
        <w:t>POSSIBLE 2025:</w:t>
      </w:r>
      <w:r>
        <w:t xml:space="preserve"> Addressing Pathogen Impact in Life Cycle Assessment: Nationwide spatially explicit characterization factor for organic fertilisation — https://openalex.org/W7205916718</w:t>
      </w:r>
    </w:p>
    <w:p>
      <w:pPr/>
      <w:r>
        <w:rPr>
          <w:b/>
        </w:rPr>
        <w:t>Shared claim-specific concepts:</w:t>
      </w:r>
      <w:r>
        <w:t xml:space="preserve"> explicit, impacts, sustainability; EU scope visible. This is a provisional connection, not an outcome finding.</w:t>
      </w:r>
    </w:p>
    <w:p>
      <w:pPr>
        <w:pStyle w:val="SourceNote"/>
      </w:pPr>
      <w:r>
        <w:rPr>
          <w:b/>
        </w:rPr>
        <w:t>Available abstract (not full text):</w:t>
      </w:r>
      <w:r>
        <w:t xml:space="preserve"> IntroductionLife Cycle Assessment (LCA) is a useful method to assess environmental impacts of manure management and biogas production (Hijazi et al., 2016). However, there are several shortcomings in LCA applied to waste and biomass valorisation (Ekvall et al., 2007). One of these difficulties lies in the lack of important impact categories. The impact category “microbial pathogenic potential” has been disregarded so far. Here we present a proof of concept for the development of a new characterization factor using the pathogen Listeria monocytogenes and its implementation for spatialized LCA applied to organic fertilisers.MethodologyThe characterisation factor (CF) was constructed based on UseTox approach and expressed in equation 1: CF=FF.XF.EF where FF is the fate factor, XF is the exposure factor and EF is the effect factor. We examined the causal chain linking the land application of organic fertilizers to cheese production through the forage-fed dairy farming scenario. Relevant information was retrieved from the literature to identify more than 20 environmental factors affecting the fate of L. monocytogenes in soils. Special attention has been paid to soil microbial diversity because it is a major provider of the service of regulation of pathogens. This required setting up a dedicated methodology. The available geospatial datasets describing these factors over Metropolitan</w:t>
      </w:r>
    </w:p>
    <w:p>
      <w:pPr/>
      <w:r>
        <w:rPr>
          <w:b/>
        </w:rPr>
        <w:t>POSSIBLE 2025:</w:t>
      </w:r>
      <w:r>
        <w:t xml:space="preserve"> Spatially explicit environmental impact assessment of commercial brackish water aquaculture along the northwestern coast of the Bay of Bengal using a multiparameter index approach — https://doi.org/10.1093/inteam/vjaf064</w:t>
      </w:r>
    </w:p>
    <w:p>
      <w:pPr/>
      <w:r>
        <w:rPr>
          <w:b/>
        </w:rPr>
        <w:t>Shared claim-specific concepts:</w:t>
      </w:r>
      <w:r>
        <w:t xml:space="preserve"> explicit, impacts, values; EU scope not established. This is a provisional connection, not an outcome finding.</w:t>
      </w:r>
    </w:p>
    <w:p>
      <w:pPr>
        <w:pStyle w:val="SourceNote"/>
      </w:pPr>
      <w:r>
        <w:rPr>
          <w:b/>
        </w:rPr>
        <w:t>Available abstract (not full text):</w:t>
      </w:r>
      <w:r>
        <w:t xml:space="preserve"> The present study attempted to apply a comprehensive aquaculture impact index to assess the environmental impacts caused by the proliferation of commercial shrimp farming along the northwestern coast of the Bay of Bengal. The locale of the study was restricted to three community development blocks, viz. Contai-I, Deshapran, and Ramnagar-II in the Medinipur coastal plain of eastern India. Surface water and soil samples were collected from 195 sites during the postmonsoon season deploying a stratified random sampling method. Surface water samples were tested for pH, electrical conductivity, biochemical oxygen demand, dissolved oxygen, chemical oxygen demand, total nitrogen, total phosphorus, chloride, total dissolved solids, and free ammonia. Soil samples were analyzed for pH, electrical conductivity, total organic carbon, total nitrogen, total phosphorus, and total potassium. Spline interpolation was conducted to portray parameter-wise spatial concentration of these samples. To develop the index, principal component analysis was employed as a weightage assignment technique towards characterizing the pollutants that dominate the regional water and soil chemistry. Results indicated that water quality factors have wide spatial reach and influence the aquatic environ of the entire region, mainly in terms of pH, electrical conductivity, and biochemical oxygen demand. High values of a</w:t>
      </w:r>
    </w:p>
    <w:p>
      <w:pPr/>
      <w:r>
        <w:rPr>
          <w:b/>
        </w:rPr>
        <w:t>POSSIBLE 2025:</w:t>
      </w:r>
      <w:r>
        <w:t xml:space="preserve"> Finding relevant stakeholders and related social topics for the implementation of Social Life Cycle Assessment in the multistorey timber construction sector — https://doi.org/10.1007/s11367-025-02431-0</w:t>
      </w:r>
    </w:p>
    <w:p>
      <w:pPr/>
      <w:r>
        <w:rPr>
          <w:b/>
        </w:rPr>
        <w:t>Shared claim-specific concepts:</w:t>
      </w:r>
      <w:r>
        <w:t xml:space="preserve"> impacts, topics; EU scope visible. This is a provisional connection, not an outcome finding.</w:t>
      </w:r>
    </w:p>
    <w:p>
      <w:pPr>
        <w:pStyle w:val="SourceNote"/>
      </w:pPr>
      <w:r>
        <w:rPr>
          <w:b/>
        </w:rPr>
        <w:t>Available abstract (not full text):</w:t>
      </w:r>
      <w:r>
        <w:t xml:space="preserve"> Abstract Purpose This study aims to identify the most relevant stakeholder groups and related social topics for the multistorey timber construction sector and provide first insights on the potential social effects—negative (risks) and positive (benefits)—produced by the prospective increase of multistorey timber constructions in Europe considering their whole life cycle. Methods The advancement of social materiality assessment was conducted to unveil the most relevant stakeholder groups and related social topics of the building sector by considering what is proposed by the UNEP Guidelines for Social Life Cycle Assessment and Handbook for Product Social Impact Assessment. To verify selected social topics and collect information on their level of relevance, we based our research approach on stakeholder engagement through a dedicated online workshop and interviews. Results Seventeen social topics were selected as material for the multistorey timber construction sector according to the literature review and the stakeholder engagement activities. No significant variance in relevance level was observed according to a five-level Likert scale (from 1, not at all relevant, to 5, very relevant), all rating above level 3 (relevant); the ones perceived as very relevant being “Health and safety” (Users), “Safe and healthy living conditions” (Local Community), and “Fair salary” (Workers). Co</w:t>
      </w:r>
    </w:p>
    <w:p>
      <w:pPr/>
      <w:r>
        <w:rPr>
          <w:b/>
        </w:rPr>
        <w:t>POSSIBLE 2025:</w:t>
      </w:r>
      <w:r>
        <w:t xml:space="preserve"> Towards AI-augmented sustainability assessments: integrating large language models in the case of product social life cycle assessment — https://doi.org/10.1007/s11367-025-02508-w</w:t>
      </w:r>
    </w:p>
    <w:p>
      <w:pPr/>
      <w:r>
        <w:rPr>
          <w:b/>
        </w:rPr>
        <w:t>Shared claim-specific concepts:</w:t>
      </w:r>
      <w:r>
        <w:t xml:space="preserve"> assessments, emerging, increased, sustainability; EU scope visible. This is a provisional connection, not an outcome finding.</w:t>
      </w:r>
    </w:p>
    <w:p>
      <w:pPr>
        <w:pStyle w:val="SourceNote"/>
      </w:pPr>
      <w:r>
        <w:rPr>
          <w:b/>
        </w:rPr>
        <w:t>Available abstract (not full text):</w:t>
      </w:r>
      <w:r>
        <w:t xml:space="preserve"> Abstract Purpose As the importance of social responsibility is increasingly recognized, demand for robust social life cycle assessment (S-LCA) has increased. This study presents a novel approach leveraging artificial intelligence (AI) to augment expert-led processes and enhance the efficiency, scalability, and accuracy of S-LCA. Methods The method utilizes advanced natural language processing (NLP) capabilities and large language models (LLMs) to partially automate the evaluation of social factors such as community engagement, labor practices, and human rights considerations against S-LCA pre-defined criteria. The method is applied in parallel to a standard manual practice of a reference-scale S-LCA on a carton product case study in Finland. Results obtained from the AI-augmented assessments are then compared with those derived from the manual method. Results and discussion The comparative analysis reveals a 50% agreement rate between the AI and manual assessment outcomes. We find that three driving factors explain the differences in the remaining outcomes. First, outcomes differed where the human evaluators drew on tacit knowledge unavailable to the AI. Second, the human evaluators inherently weigh negative evidence more heavily than positive evidence. And third, outcomes differed in cases where the assessment of a topic was highly sensitive to stakeholder perspective, and the</w:t>
      </w:r>
    </w:p>
    <w:p>
      <w:pPr/>
      <w:r>
        <w:rPr>
          <w:b/>
        </w:rPr>
        <w:t>POSSIBLE 2025:</w:t>
      </w:r>
      <w:r>
        <w:t xml:space="preserve"> ANALYZING ELEMENTARY STUDENTS' MISCONCEPTION PATTERNS IN KEY SCIENCE AND SOCIAL STUDIES (IPAS) TOPICS: IMPLICATIONS FOR INSTRUCTIONAL DESIGN — https://doi.org/10.37478/jpm.v6i3.5627</w:t>
      </w:r>
    </w:p>
    <w:p>
      <w:pPr/>
      <w:r>
        <w:rPr>
          <w:b/>
        </w:rPr>
        <w:t>Shared claim-specific concepts:</w:t>
      </w:r>
      <w:r>
        <w:t xml:space="preserve"> explicit, assessments, topics, energy; EU scope not established. This is a provisional connection, not an outcome finding.</w:t>
      </w:r>
    </w:p>
    <w:p>
      <w:pPr>
        <w:pStyle w:val="SourceNote"/>
      </w:pPr>
      <w:r>
        <w:rPr>
          <w:b/>
        </w:rPr>
        <w:t>Available abstract (not full text):</w:t>
      </w:r>
      <w:r>
        <w:t xml:space="preserve"> Persistent misconceptions in foundational science ideas often resist routine instruction, undermine knowledge transfer, and remain hidden when assessments capture answers but not reasoning. Within Indonesia’s integrated Science–Social Studies curriculum (IPAS), such misconceptions can cluster around core topics and shape students’ subsequent learning trajectories. This study maps elementary students’ misconception patterns across five IPAS topics—Force–Motion, Changes of State, Energy, Weather/Water Cycle, and Ecosystems—and translates the findings into design principles for instruction. Using an explanatory sequential mixed-methods design, we collected data from 204 Grade 4–6 students in three public schools via a locally contextualized two-tier diagnostic test and clinical interviews supported by concept cartoons. Instrument quality was adequate (mean Aiken’s V = 0.90; internal reliability per topic = 0.71–0.77; inter-rater reliability ? 0.78). Aggregate responses were distributed as 44.2% scientifically sound, 28.1% partial, and 27.7% strong misconceptions, with a grade-level trend toward improvement. The most persistent hotspots appeared in Ecosystems and Force–Motion. Tiered item sensitivity showed a consistent decrease in misconception rates from Q1 (everyday contexts) to Q4 (diagram/model representations), underscoring the role of multiple representations in bridging non</w:t>
      </w:r>
    </w:p>
    <w:p>
      <w:pPr/>
      <w:r>
        <w:rPr>
          <w:b/>
        </w:rPr>
        <w:t>POSSIBLE 2025:</w:t>
      </w:r>
      <w:r>
        <w:t xml:space="preserve"> ACTA SOCIOPATHOLOGICA VIII: The Contemporary Topics in Social Pathology and Social Pedagogy — https://doi.org/10.36689/uhk/978-80-7435-942-2.000</w:t>
      </w:r>
    </w:p>
    <w:p>
      <w:pPr/>
      <w:r>
        <w:rPr>
          <w:b/>
        </w:rPr>
        <w:t>Shared claim-specific concepts:</w:t>
      </w:r>
      <w:r>
        <w:t xml:space="preserve"> topics, values; EU scope not established. This is a provisional connection, not an outcome finding.</w:t>
      </w:r>
    </w:p>
    <w:p>
      <w:pPr>
        <w:pStyle w:val="SourceNote"/>
      </w:pPr>
      <w:r>
        <w:rPr>
          <w:b/>
        </w:rPr>
        <w:t>Available abstract (not full text):</w:t>
      </w:r>
      <w:r>
        <w:t xml:space="preserve"> This paper focuses on current topics in social pedagogy.It focuses on three areas of social pedagogy that reflect the work of Polish social pedagogue R. Wroczyński.His work is extensive and covers the whole spectrum of social pedagogy topics.These include research on socially urgent topics essential for the development of society, then an orientation towards research, characterisation and analysis of the topic of the social environment, and then a strong orientation towards positive values and their development.All of these themes are relevant in contemporary social pedagogy and challenge further research.</w:t>
      </w:r>
    </w:p>
    <w:p>
      <w:pPr>
        <w:pStyle w:val="Heading2"/>
      </w:pPr>
      <w:r>
        <w:t>611. Macro Study of Global Electric Vehicle Expansion</w:t>
      </w:r>
    </w:p>
    <w:p>
      <w:pPr>
        <w:pStyle w:val="SourceNote"/>
      </w:pPr>
      <w:r>
        <w:rPr>
          <w:b/>
        </w:rPr>
        <w:t>Original source (2021):</w:t>
      </w:r>
      <w:r>
        <w:t xml:space="preserve"> https://doi.org/10.17323/2500-2597.2021.1.67.73</w:t>
      </w:r>
    </w:p>
    <w:p>
      <w:pPr/>
      <w:r>
        <w:t>Original wording (abstract; indexed_source_text_not_full_document_verified): Results suggest that the adoption of BEVs demonstrates a better fit on the Bass model where the global BEV market is estimated to grow from 5,3 millions in 2019 to near 40 millions units by 2030, and with the reference of the EU countries’ adoption scenario, the global charging stations will be increased from near 2 millions in 2019 to near 10 millions units by 2030.</w:t>
      </w:r>
    </w:p>
    <w:p>
      <w:pPr/>
      <w:r>
        <w:rPr>
          <w:b/>
        </w:rPr>
        <w:t>POSSIBLE 2026:</w:t>
      </w:r>
      <w:r>
        <w:t xml:space="preserve"> A BIBLIOMETRIC-ASSISTED LITERATURE REVIEW AND PROPOSED CONCEPTUAL FRAMEWORK OF CONSUMER BEV ADOPTION — https://doi.org/10.5281/zenodo.21900162</w:t>
      </w:r>
    </w:p>
    <w:p>
      <w:pPr/>
      <w:r>
        <w:rPr>
          <w:b/>
        </w:rPr>
        <w:t>Shared claim-specific concepts:</w:t>
      </w:r>
      <w:r>
        <w:t xml:space="preserve"> adoption, bevs, bev; EU scope not established. This is a provisional connection, not an outcome finding.</w:t>
      </w:r>
    </w:p>
    <w:p>
      <w:pPr>
        <w:pStyle w:val="SourceNote"/>
      </w:pPr>
      <w:r>
        <w:rPr>
          <w:b/>
        </w:rPr>
        <w:t>Available abstract (not full text):</w:t>
      </w:r>
      <w:r>
        <w:t xml:space="preserve"> This study reviews and synthesizes the literature on consumer adoption of battery electric vehicles (BEVs) to construct a proposed comprehensive conceptual framework. Although previous research has identified multiple determinants of BEV adoption, findings remain fragmented across psychological, economic, technological, policy, and social domains, limiting a comprehensive understanding. To address this gap, this study employs a bibliometric-assisted systematic literature review, following PRISMA-2020 and SPAR-4-SLR guidelines, covering Scopus-indexed publications from 2015 to 2025. A total of 198 studies were analyzed. The findings show that most studies on BEV still focus on adoption intentions and factor-based approaches, while studies on actual adoption behavior and post-adoption phases remain limited. Bibliometric mapping identifies strong thematic clusters, but the relationships between domains are still weak, indicating the need for a more process-oriented explanatory approach. Therefore, this study developed a proposed conceptual framework that conceptualizes BEV adoption as a gradual decision-making process. The framework integrates perceived technological attributes, value and risk evaluations, attitudes, intentions, and actual adoption, with policy and social contexts acting as moderating factors. Overall, this research contributes by shifting the focus from intention</w:t>
      </w:r>
    </w:p>
    <w:p>
      <w:pPr/>
      <w:r>
        <w:rPr>
          <w:b/>
        </w:rPr>
        <w:t>POSSIBLE 2026:</w:t>
      </w:r>
      <w:r>
        <w:t xml:space="preserve"> Remaining Capacity of LFP and NMC Batteries—Extensive Analysis of Commercially Available BEV Models in European Union — https://doi.org/10.3390/app16157756</w:t>
      </w:r>
    </w:p>
    <w:p>
      <w:pPr/>
      <w:r>
        <w:rPr>
          <w:b/>
        </w:rPr>
        <w:t>Shared claim-specific concepts:</w:t>
      </w:r>
      <w:r>
        <w:t xml:space="preserve"> bevs, bev; EU scope visible. This is a provisional connection, not an outcome finding.</w:t>
      </w:r>
    </w:p>
    <w:p>
      <w:pPr>
        <w:pStyle w:val="SourceNote"/>
      </w:pPr>
      <w:r>
        <w:rPr>
          <w:b/>
        </w:rPr>
        <w:t>Available abstract (not full text):</w:t>
      </w:r>
      <w:r>
        <w:t xml:space="preserve"> The increasing number of new battery electric vehicle (BEV) registrations worldwide and the development of advanced batteries with higher energy density and pack capacity have contributed to large volumes of batteries approaching the end of their first service life. The retired batteries may be repurposed in second-life applications or recycled. The degradation profile of BEVs is a critical determinant in second-life potential of the retired batteries. This study presents a comprehensive analysis of calendar and cycle mechanisms in lithium iron phosphate (LFP) and nickel manganese cobalt oxide (NMC) batteries across 37 commercially available BEV models in the European Union (EU) market. Three scenarios are considered, based on the operational temperature—Scenario I with a 273.15 K, Scenario II with a 298.15 K, and Scenario III with a 318.15 K operational temperature—and two degradation metrics are determined for each analyzed BEV: state-of-health (SoH) and remaining capacity at end-of-life (EoL). The results show that the SoH of both chemistries is highly dependent on the state-of-charge (SoC), temperature, depth of discharge (DoD), and real usable capacity. Moreover, the Tesla Model 3–Premium RWD, Volkswagen ID.3, ID.4, and ID5–GTX, and the Tesla Model Y–Premium AWD all exhibit a remaining capacity between 40 and 77 kWh at EoL, depending on degradation profile, making them a v</w:t>
      </w:r>
    </w:p>
    <w:p>
      <w:pPr/>
      <w:r>
        <w:rPr>
          <w:b/>
        </w:rPr>
        <w:t>POSSIBLE 2026:</w:t>
      </w:r>
      <w:r>
        <w:t xml:space="preserve"> Analysis of travel activity patterns and charging choices of BEV users in Japan — https://doi.org/10.1007/s11116-026-10787-x</w:t>
      </w:r>
    </w:p>
    <w:p>
      <w:pPr/>
      <w:r>
        <w:rPr>
          <w:b/>
        </w:rPr>
        <w:t>Shared claim-specific concepts:</w:t>
      </w:r>
      <w:r>
        <w:t xml:space="preserve"> suggest, bev, estimated, charging; EU scope not established. This is a provisional connection, not an outcome finding.</w:t>
      </w:r>
    </w:p>
    <w:p>
      <w:pPr>
        <w:pStyle w:val="SourceNote"/>
      </w:pPr>
      <w:r>
        <w:rPr>
          <w:b/>
        </w:rPr>
        <w:t>Available abstract (not full text):</w:t>
      </w:r>
      <w:r>
        <w:t xml:space="preserve"> Battery electric vehicle (BEV) users must integrate charging into their daily travel routines in ways unlike conventional refueling, requiring a deliberate coordination of trip purposes, time constraints, and charging accessibility. Understanding these behavioral charging decisions is critical for supporting the long-term sustainability and usability of EV systems. Yet most prior studies focus on infrastructure placement or isolated aspects of charging decisions, without systematically integrating activity-based travel routines into behavioral models. This study addresses that gap by investigating how BEV users in Japan choose between home charging and fast charging, focusing on trip purposes, acceptable waiting time, and socio-demographic characteristics. Using survey data from 441 BEV users across the Chubu and Kanto regions of Japan, three structural equation models (SEMs) are estimated to examine the behavioral pathways underlying charging decisions. Model 1 captures the baseline effects of socio-demographics and time sensitivity. Model 2 introduces total trip frequency as a mediator, and Model 3 disaggregates trip purposes—commuting, shopping, and leisure—to examine their effects on charging behavior. The results indicate that trip activity patterns are significant determinants of charging behavior. Commuting trips are most consistently associated with home charging, refle</w:t>
      </w:r>
    </w:p>
    <w:p>
      <w:pPr/>
      <w:r>
        <w:rPr>
          <w:b/>
        </w:rPr>
        <w:t>POSSIBLE 2026:</w:t>
      </w:r>
      <w:r>
        <w:t xml:space="preserve"> Adoption drivers and barriers of Building Information Modelling (BIM) in Europe — https://doi.org/10.1016/j.enbuild.2026.116953</w:t>
      </w:r>
    </w:p>
    <w:p>
      <w:pPr/>
      <w:r>
        <w:rPr>
          <w:b/>
        </w:rPr>
        <w:t>Shared claim-specific concepts:</w:t>
      </w:r>
      <w:r>
        <w:t xml:space="preserve"> adoption, countries; EU scope visible. This is a provisional connection, not an outcome finding.</w:t>
      </w:r>
    </w:p>
    <w:p>
      <w:pPr>
        <w:pStyle w:val="SourceNote"/>
      </w:pPr>
      <w:r>
        <w:rPr>
          <w:b/>
        </w:rPr>
        <w:t>Available abstract (not full text):</w:t>
      </w:r>
      <w:r>
        <w:t xml:space="preserve"> Building Information Modelling (BIM) enables time, cost, and materials savings in building design and construction. However, the promise of BIM is yet to be realised. We assessed the current state-of-the-art in BIM adoption and use, identifying both barriers and opportunities across six dimensions defined by the PESTLE framework (political, economic, social, technical, legal, environmental). We combined market survey, literature review, and new insights from 41 expert interviews with architects, consultants and constructors across 11 European countries. We find BIM is used principally by larger firms as a design and data-processing tool to enable collaboration between project partners. BIM’s value proposition is primarily to streamline construction processes not improve resource efficiencies. Barriers to BIM adoption include interoperability issues, split incentives and value chain fragmentation, and weak economic incentives particularly for small firms. In the medium-term we find two important drivers of more widespread BIM adoption. First, institutional investors in the commercial buildings sector are increasingly pushing green certification standards for which compliance is demonstrated by BIM. Second, whole building lifecycle emission regulations for buildings mandated by the EU from 2030 will require BIM calculations. Four pioneer Northern European countries already have s</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adoption, bevs;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2026:</w:t>
      </w:r>
      <w:r>
        <w:t xml:space="preserve"> Environmentally Driven Optimization of Residential BEV Charging Using Time-Varying Power Grid CO₂ Emission Factors — https://doi.org/10.13044/j.sdsen.d3.0684</w:t>
      </w:r>
    </w:p>
    <w:p>
      <w:pPr/>
      <w:r>
        <w:rPr>
          <w:b/>
        </w:rPr>
        <w:t>Shared claim-specific concepts:</w:t>
      </w:r>
      <w:r>
        <w:t xml:space="preserve"> adoption, bev, charging; EU scope not established. This is a provisional connection, not an outcome finding.</w:t>
      </w:r>
    </w:p>
    <w:p>
      <w:pPr>
        <w:pStyle w:val="SourceNote"/>
      </w:pPr>
      <w:r>
        <w:rPr>
          <w:b/>
        </w:rPr>
        <w:t>Available abstract (not full text):</w:t>
      </w:r>
      <w:r>
        <w:t xml:space="preserve"> The widespread adoption of battery electric vehicles is widely recognized as a key strategy for reducing emissions in the transport sector. However, the environmental benefits of electric mobility strongly depend on the temporal variability of the electricity generation mix and its associated emission intensity. This study investigates the potential of optimizing vehicle charging schedules based on time-varying carbon dioxide emissions factor, rather than grid-oriented criteria, to further reduce the indirect emissions linked to the operation of electric vehicle charging. To this end, an environmentally driven charging optimisation algorithm is developed, explicitly accounting for both the hourly variability of grid emission factors, derived from processing historical real Italian electricity production data, and the air temperature-dependent energy consumption of the BEV. The proposed framework is applied to a representative residential charging scenario, assuming overnight charging. Within this predefined charging window, the optmisation algorithm allocates the required charging energy over time so as to minimise the total carbon dioxide emissions. Results show that emission-aware charging strategies can reduce annual carbon dioxide emissions by approximately 5–6% compared to conventional uncontrolled charging, while ensuring that the vehicle is always fully charged and ready</w:t>
      </w:r>
    </w:p>
    <w:p>
      <w:pPr/>
      <w:r>
        <w:rPr>
          <w:b/>
        </w:rPr>
        <w:t>POSSIBLE 2025:</w:t>
      </w:r>
      <w:r>
        <w:t xml:space="preserve"> What has driven the adoption of BEV and PHEV in the EU? — https://doi.org/10.1016/j.rtbm.2025.101331</w:t>
      </w:r>
    </w:p>
    <w:p>
      <w:pPr/>
      <w:r>
        <w:rPr>
          <w:b/>
        </w:rPr>
        <w:t>Shared claim-specific concepts:</w:t>
      </w:r>
      <w:r>
        <w:t xml:space="preserve"> adoption, bev, countries, charging, stations; EU scope visible. This is a provisional connection, not an outcome finding.</w:t>
      </w:r>
    </w:p>
    <w:p>
      <w:pPr>
        <w:pStyle w:val="SourceNote"/>
      </w:pPr>
      <w:r>
        <w:rPr>
          <w:b/>
        </w:rPr>
        <w:t>Available abstract (not full text):</w:t>
      </w:r>
      <w:r>
        <w:t xml:space="preserve"> Moving towards greater electric mobility in Europe is fundamental for energy transition and reducing fossil fuel dependence. This paper analyses the role of socioeconomic, environmental, and technical factors on the diffusion of battery electric vehicles (BEV) and plug-in electric vehicles (PHEV) into the market. Annual panel data from 2010 to 2020 for 25 European countries were used by recurring to the Driscoll-Kraay estimator. BEV and PHEV sales market share was employed to measure both vehicles' diffusion. The main findings indicate that the fast public charging stations drive the adoption of both BEV and PHEV. The normal charging stations block the adoption of BEV and have no significant impact on PHEV sales. This paper provides empirical evidence suggesting that higher income levels do not lead to substituting traditional vehicles for EV. Particular attention should be paid to the negative role of environmental tax revenues in adopting both BEV and PHEV. Our findings indicate that those paying additional taxes for polluting activities do not have the financial capacity to buy an EV. To address this situation, policymakers could incentivise the use of EV instead of encouraging purchases, providing, for instance, special prices at tolls.</w:t>
      </w:r>
    </w:p>
    <w:p>
      <w:pPr/>
      <w:r>
        <w:rPr>
          <w:b/>
        </w:rPr>
        <w:t>POSSIBLE 2025:</w:t>
      </w:r>
      <w:r>
        <w:t xml:space="preserve"> Global trends in electric vehicle adoption and the impact of environmental awareness, user attributes, and barriers — https://doi.org/10.1016/j.egyr.2024.12.054</w:t>
      </w:r>
    </w:p>
    <w:p>
      <w:pPr/>
      <w:r>
        <w:rPr>
          <w:b/>
        </w:rPr>
        <w:t>Shared claim-specific concepts:</w:t>
      </w:r>
      <w:r>
        <w:t xml:space="preserve"> adoption, bevs, countries; EU scope visible. This is a provisional connection, not an outcome finding.</w:t>
      </w:r>
    </w:p>
    <w:p>
      <w:pPr>
        <w:pStyle w:val="SourceNote"/>
      </w:pPr>
      <w:r>
        <w:rPr>
          <w:b/>
        </w:rPr>
        <w:t>Available abstract (not full text):</w:t>
      </w:r>
      <w:r>
        <w:t xml:space="preserve"> Electric vehicles, powered by one or more electric motors, offer numerous advantages, such as reduced noise pollution, a cleaner environment, and lower operating costs. The selection of electric cars could be influenced by various drivers including environmental awareness, user attributes, barriers, incentives, and user awareness. Accordingly, this paper aimed to explore the impacts of those influential drivers on adopting kinds of electric vehicles by considering spatiotemporal patterns. In this paper, the meta-regression approach was run to combine the findings of 38 primary articles from 1990 to 2023. In this context, the effects of main drivers on adopting electric vehicles were assessed in Battery Electric Vehicles (BEVs), Plug-in Hybrid Electric Vehicles (PHEVs), and Hybrid Electric Vehicles (HEVs). The findings indicate that the main drivers influence the selection of electric cars. The meta-regression results showed that achieving electric vehicle adoption can be globally influenced by environmental awareness ( β = 0.23), user attributes ( β = 0.17), barriers ( β = −0.07), and user awareness ( β = 0.12). The highest spatial effect is related to the adoption of BEVs ( β = 0.17) by European countries. Accordingly, the use of electric cars is recommended, especially in large countries that emit greenhouse gases such as China and India . The expansion of electric vehicles, </w:t>
      </w:r>
    </w:p>
    <w:p>
      <w:pPr/>
      <w:r>
        <w:rPr>
          <w:b/>
        </w:rPr>
        <w:t>POSSIBLE 2025:</w:t>
      </w:r>
      <w:r>
        <w:t xml:space="preserve"> Analysis of Antecedent Factors Influencing the Adoption and Conversion of Two-Wheeled Battery Electric Vehicles (BEVs) in East Kalimantan Province — https://doi.org/10.12928/si.v23i2.467</w:t>
      </w:r>
    </w:p>
    <w:p>
      <w:pPr/>
      <w:r>
        <w:rPr>
          <w:b/>
        </w:rPr>
        <w:t>Shared claim-specific concepts:</w:t>
      </w:r>
      <w:r>
        <w:t xml:space="preserve"> adoption, bevs, bev, increased; EU scope not established. This is a provisional connection, not an outcome finding.</w:t>
      </w:r>
    </w:p>
    <w:p>
      <w:pPr>
        <w:pStyle w:val="SourceNote"/>
      </w:pPr>
      <w:r>
        <w:rPr>
          <w:b/>
        </w:rPr>
        <w:t>Available abstract (not full text):</w:t>
      </w:r>
      <w:r>
        <w:t xml:space="preserve"> The rise in motorcycle ownership in Indonesia has increased energy consumption and greenhouse gas emissions, challenging the country's net-zero target by 2060. To mitigate this, the government is promoting the adoption and conversion of two-wheeled Battery Electric Vehicles (BEVs), but implementation remains below target, implying behavioral factors as a major barrier. This study analyzes the determinants influencing consumer and potential consumer behavior in adopting two-wheeled BEVs in East Kalimantan, a strategic region supporting the Indonesian Capital City. Using the Field Theory framework, the model integrates the Theory of Planned Behavior (TPB), which represents personal factors (Attitude, Subjective Norm, Perceived Behavioral Control, and Intention), and the Electric Vehicle Ecosystem (EVE), which represents environmental factors (Performance, Infrastructure, Price, and Features). Data from 400 respondents were analyzed using SEM-PLS, which explained 65.8% of the variance in adoption intention. The results show that Subjective Norms, Perceived Behavioral Control, Performance, Price, and Features significantly influence intention, while Attitude and Infrastructure do not. These findings reveal that consumers view two-wheeled BEVs primarily as functional alternatives to conventional motorcycles, rather than as environmentally friendly innovations. The contributes of thi</w:t>
      </w:r>
    </w:p>
    <w:p>
      <w:pPr/>
      <w:r>
        <w:rPr>
          <w:b/>
        </w:rPr>
        <w:t>POSSIBLE 2025:</w:t>
      </w:r>
      <w:r>
        <w:t xml:space="preserve"> Factors Influencing the Purchase of Battery Electric Vehicles (BEVs) — https://doi.org/10.31803/tg-2024052312222</w:t>
      </w:r>
    </w:p>
    <w:p>
      <w:pPr/>
      <w:r>
        <w:rPr>
          <w:b/>
        </w:rPr>
        <w:t>Shared claim-specific concepts:</w:t>
      </w:r>
      <w:r>
        <w:t xml:space="preserve"> bevs, better, bev, charging; EU scope visible. This is a provisional connection, not an outcome finding.</w:t>
      </w:r>
    </w:p>
    <w:p>
      <w:pPr>
        <w:pStyle w:val="SourceNote"/>
      </w:pPr>
      <w:r>
        <w:rPr>
          <w:b/>
        </w:rPr>
        <w:t>Available abstract (not full text):</w:t>
      </w:r>
      <w:r>
        <w:t xml:space="preserve"> This research aims to identify the key factors influencing the new registrations of battery electric vehicles (BEVs) in Germany. Focusing the topics economy, mobility change and climate sustainability a mixed-methods approach was used combining a regression analysis based on public databases and qualitative interviews with experts, represented by vehicle testing organizations, BEV leasing companies, car dealerships and automotive magazines. The study revealed similarities as well as discrepancies between expert opinions and the regression analysis results in the fields of real GDP, education rate, the average range of BEVs, the real estate price index, charging infrastructure and political conviction. Regarding practical implications, the results of this study help BEV manufacturers to enhance their marketing and product strategies. The findings of this study could help decision-makers to better understand the mind set of BEV customers.</w:t>
      </w:r>
    </w:p>
    <w:p>
      <w:pPr/>
      <w:r>
        <w:rPr>
          <w:b/>
        </w:rPr>
        <w:t>POSSIBLE 2025:</w:t>
      </w:r>
      <w:r>
        <w:t xml:space="preserve"> E-Private Mobility Index: A Novel Tool for Assessing BEV Transition Feasibility — https://doi.org/10.3390/su17093983</w:t>
      </w:r>
    </w:p>
    <w:p>
      <w:pPr/>
      <w:r>
        <w:rPr>
          <w:b/>
        </w:rPr>
        <w:t>Shared claim-specific concepts:</w:t>
      </w:r>
      <w:r>
        <w:t xml:space="preserve"> bevs, bev, charging; EU scope visible. This is a provisional connection, not an outcome finding.</w:t>
      </w:r>
    </w:p>
    <w:p>
      <w:pPr>
        <w:pStyle w:val="SourceNote"/>
      </w:pPr>
      <w:r>
        <w:rPr>
          <w:b/>
        </w:rPr>
        <w:t>Available abstract (not full text):</w:t>
      </w:r>
      <w:r>
        <w:t xml:space="preserve"> While the speed of the transition to battery electric vehicles (BEVs) depends on real-world driving behaviors and socioeconomic conditions, relevant predictions are often not based on real trip data. This study analyzes over 200,000 private car trips, tracked via onboard telematics across Italy, in order to assess the feasibility of replacing internal combustion engine vehicles (ICEVs) with BEVs. Given that drivers are resistant to changing their habits, we introduce the E-Private Mobility Index, which quantifies the percentage of traditional cars at present that are functionally compatible with a medium BEV, assuming home charging. Nationwide, this index reaches 30%, but only 15% of car owners would also see financial benefits. By quantifying both the potential to replace traditional cars with electric ones and the associated economic impacts, our analysis supports sustainable mobility by offering insights into the rate of penetration of sustainable and green mobility, in line with the objectives of the European Green Deal. With its unprecedented statistical significance, the study not only provides a data-driven upper threshold of BEV penetration but also offers a flexible framework for shaping future policies, allowing the adaptation of parameters and assumptions to guide a scalable transition to electric private mobility.</w:t>
      </w:r>
    </w:p>
    <w:p>
      <w:pPr/>
      <w:r>
        <w:rPr>
          <w:b/>
        </w:rPr>
        <w:t>POSSIBLE 2025:</w:t>
      </w:r>
      <w:r>
        <w:t xml:space="preserve"> Driving the change: How do personal factors and socio-economic context influence electric vehicles adoption across Europe? — https://doi.org/10.1016/j.eist.2025.101044</w:t>
      </w:r>
    </w:p>
    <w:p>
      <w:pPr/>
      <w:r>
        <w:rPr>
          <w:b/>
        </w:rPr>
        <w:t>Shared claim-specific concepts:</w:t>
      </w:r>
      <w:r>
        <w:t xml:space="preserve"> adoption, bevs, countries; EU scope visible. This is a provisional connection, not an outcome finding.</w:t>
      </w:r>
    </w:p>
    <w:p>
      <w:pPr>
        <w:pStyle w:val="SourceNote"/>
      </w:pPr>
      <w:r>
        <w:rPr>
          <w:b/>
        </w:rPr>
        <w:t>Available abstract (not full text):</w:t>
      </w:r>
      <w:r>
        <w:t xml:space="preserve"> This paper investigates the determinants influencing consumer adoption of battery electric vehicles (BEVs) across three European markets characterized by distinct socio-economic contexts and varying levels of EV market maturity. We develop a theoretical model based on Theory of Planned Behavior. A survey was conducted involving 737 consumers in Germany, Italy, and Norway. The data was analyzed using structural equation modeling, multigroup analysis, and Kruskal-Wallis’s test. The findings indicate that hedonic motivations, ascription of responsibility, subjective norms, and direct experience significantly enhance consumers' willingness to purchase BEVs. Conversely, range anxiety and environmental concerns negatively affect purchase intentions. Significant differences in consumer perceptions of BEVs and the effect of behavioral determinants across the three countries are highlighted. This research contributes to the literature on sustainable mobility adoption and proposes several avenues for future investigation. The findings can inform the development of marketing strategies and policy interventions to foster EV adoption in Europe.</w:t>
      </w:r>
    </w:p>
    <w:p>
      <w:pPr>
        <w:pStyle w:val="Heading2"/>
      </w:pPr>
      <w:r>
        <w:t>612. Modelling the European Union Sustainability Transition: A Soft-Linking Approach</w:t>
      </w:r>
    </w:p>
    <w:p>
      <w:pPr>
        <w:pStyle w:val="SourceNote"/>
      </w:pPr>
      <w:r>
        <w:rPr>
          <w:b/>
        </w:rPr>
        <w:t>Original source (2021):</w:t>
      </w:r>
      <w:r>
        <w:t xml:space="preserve"> https://doi.org/10.3390/su13116303</w:t>
      </w:r>
    </w:p>
    <w:p>
      <w:pPr/>
      <w:r>
        <w:t>Original wording (abstract; indexed_source_text_not_full_document_verified): The European Green Deal (EGD) is the most ambitious decarbonisation strategy currently envisaged, with a complex mix of different instruments aiming at improving the sustainability of the development patterns of the European Union in the next 30 years. Our main finding is that such a soft-linking approach allows discovery of multiple channels and spillover effects across policy instruments that might help improve the policy mix design.</w:t>
      </w:r>
    </w:p>
    <w:p>
      <w:pPr/>
      <w:r>
        <w:rPr>
          <w:b/>
        </w:rPr>
        <w:t>POSSIBLE 2026:</w:t>
      </w:r>
      <w:r>
        <w:t xml:space="preserve"> The European Green Deal (EGD) in the public opinion – assessment of awareness of environmental pollution and threats to health and life — https://doi.org/10.34659/eis.2026.97.2.1157</w:t>
      </w:r>
    </w:p>
    <w:p>
      <w:pPr/>
      <w:r>
        <w:rPr>
          <w:b/>
        </w:rPr>
        <w:t>Shared claim-specific concepts:</w:t>
      </w:r>
      <w:r>
        <w:t xml:space="preserve"> green, deal, egd, improving, main; EU scope visible. This is a provisional connection, not an outcome finding.</w:t>
      </w:r>
    </w:p>
    <w:p>
      <w:pPr>
        <w:pStyle w:val="SourceNote"/>
      </w:pPr>
      <w:r>
        <w:rPr>
          <w:b/>
        </w:rPr>
        <w:t>Available abstract (not full text):</w:t>
      </w:r>
      <w:r>
        <w:t xml:space="preserve"> The main objective of this study is to assess the level of public awareness of environmental threats and their perceived impact on the health and lives of citizens, in the context of implementing the European Green Deal (EGD). The study focuses on analyzing the opinions of users of information on environmental pollution, its health effects, and the perceived opportunities and barriers related to implementing the EGD. Specific objectives include: (1) identifying public opinions on selected diseases related to environmental degradation; (2) assessing the perceived benefits and risks of implementing the EGD; and (3) analyzing the relationship between demographic characteristics and the level of acceptance for pro-environmental activities. The study is based on a survey method using a questionnaire, supplemented by a literature review. Descriptive and bivariate statistics were used to examine the significance of relationships between variables. The results indicate that respondents perceive a link between environmental pollution and diseases such as asthma, cancer, and lung disease. EGD is seen as an opportunity to improve environmental quality and public health, although implementation barriers such as cost, lack of public acceptance, and excessive regulation are also identified. This study contributes to our understanding of the role of public perception as a factor in the effect</w:t>
      </w:r>
    </w:p>
    <w:p>
      <w:pPr/>
      <w:r>
        <w:rPr>
          <w:b/>
        </w:rPr>
        <w:t>POSSIBLE 2026:</w:t>
      </w:r>
      <w:r>
        <w:t xml:space="preserve"> IMPLEMENTASI EUROPEAN GREEN DEAL (EGD) TERKAIT KEBIJAKAN GREEN ECONOMY DI UNI EROPA TAHUN 2020-2024 — https://openalex.org/W7153397118</w:t>
      </w:r>
    </w:p>
    <w:p>
      <w:pPr/>
      <w:r>
        <w:rPr>
          <w:b/>
        </w:rPr>
        <w:t>Shared claim-specific concepts:</w:t>
      </w:r>
      <w:r>
        <w:t xml:space="preserve"> green, deal, egd, strategy, union, approach; EU scope visible. This is a provisional connection, not an outcome finding.</w:t>
      </w:r>
    </w:p>
    <w:p>
      <w:pPr>
        <w:pStyle w:val="SourceNote"/>
      </w:pPr>
      <w:r>
        <w:rPr>
          <w:b/>
        </w:rPr>
        <w:t>Available abstract (not full text):</w:t>
      </w:r>
      <w:r>
        <w:t xml:space="preserve"> Uni Eropa menghadapi berbagai permasalahan lingkungan seperti peningkatan emisi gas rumah kaca, perubahan iklim, dan kerusakan ekosistem akibat model pembangunan ekonomi yang masih bergantung pada energi fosil dan eksploitasi sumber daya alam. Untuk mengatasi permasalahan tersebut, Uni Eropa meluncurkan European Green Deal sebagai strategi pembangunan yang bertujuan mencapai netralitas iklim pada tahun 2050 serta mendorong transformasi menuju ekonomi hijau yang berkelanjutan. Penelitian ini bertujuan untuk menganalisis implementasi European Green Deal dalam mendukung kebijakan Green Economy di Uni Eropa pada periode 2020–2024. Penelitian ini menggunakan pendekatan kualitatif dengan metode deskriptif serta menggunakan data sekunder yang diperoleh melalui studi literatur dari buku, jurnal ilmiah, laporan organisasi internasional, dan dokumen resmi Uni Eropa. Hasil penelitian menunjukkan bahwa implementasi European Green Deal dilakukan melalui beberapa kebijakan utama, seperti transisi energi bersih, pengembangan ekonomi sirkular, transportasi berkelanjutan, sistem pangan berkelanjutan, perlindungan keanekaragaman hayati, serta mekanisme pembiayaan transisi hijau. Kebijakan tersebut menunjukkan upaya Uni Eropa dalam mengintegrasikan aspek lingkungan ke dalam pembangunan ekonomi guna mewujudkan Green Economy, meskipun masih menghadapi tantangan seperti ketergantungan sebagian negar</w:t>
      </w:r>
    </w:p>
    <w:p>
      <w:pPr/>
      <w:r>
        <w:rPr>
          <w:b/>
        </w:rPr>
        <w:t>POSSIBLE 2025:</w:t>
      </w:r>
      <w:r>
        <w:t xml:space="preserve"> Democracy and the European Green Deal — https://doi.org/10.1080/07036337.2025.2459859</w:t>
      </w:r>
    </w:p>
    <w:p>
      <w:pPr/>
      <w:r>
        <w:rPr>
          <w:b/>
        </w:rPr>
        <w:t>Shared claim-specific concepts:</w:t>
      </w:r>
      <w:r>
        <w:t xml:space="preserve"> green, deal, egd, ambitious, different, union; EU scope visible. This is a provisional connection, not an outcome finding.</w:t>
      </w:r>
    </w:p>
    <w:p>
      <w:pPr>
        <w:pStyle w:val="SourceNote"/>
      </w:pPr>
      <w:r>
        <w:rPr>
          <w:b/>
        </w:rPr>
        <w:t>Available abstract (not full text):</w:t>
      </w:r>
      <w:r>
        <w:t xml:space="preserve"> The European Union’s European Green Deal (EGD) was announced as an ambitious endeavour to achieve a just transition, address climate change, biodiversity loss and more. Importantly, it expresses the desire to tackle these challenges in a democratic way. Indeed, the scale of the changes required to meet the EGD’s goals mean that without democratic consent it is likely to fail, with disastrous consequences. With this introduction to the Special Issue on the European Green Deal and democracy we sketch the contours of this wide-ranging debate through a focus on aspects of democracy that are central to the EU and the EGD: representation, participation and deliberation, justice and the just transition, and expertise. The different contributions to this Special Issue examine democratic elements in the EGD and surrounding governance structures by exploring alternative sources of democratic innovation, including deliberative mechanisms and social movements, as potential avenues for transformative change.</w:t>
      </w:r>
    </w:p>
    <w:p>
      <w:pPr/>
      <w:r>
        <w:rPr>
          <w:b/>
        </w:rPr>
        <w:t>POSSIBLE 2025:</w:t>
      </w:r>
      <w:r>
        <w:t xml:space="preserve"> The European Green Deal and the democratic imagination — https://doi.org/10.1080/07036337.2025.2455686</w:t>
      </w:r>
    </w:p>
    <w:p>
      <w:pPr/>
      <w:r>
        <w:rPr>
          <w:b/>
        </w:rPr>
        <w:t>Shared claim-specific concepts:</w:t>
      </w:r>
      <w:r>
        <w:t xml:space="preserve"> green, deal, egd, different, sustainability; EU scope visible. This is a provisional connection, not an outcome finding.</w:t>
      </w:r>
    </w:p>
    <w:p>
      <w:pPr>
        <w:pStyle w:val="SourceNote"/>
      </w:pPr>
      <w:r>
        <w:rPr>
          <w:b/>
        </w:rPr>
        <w:t>Available abstract (not full text):</w:t>
      </w:r>
      <w:r>
        <w:t xml:space="preserve"> Democracy can be imagined in vastly different ways, and the way it is imagined has implications for political projects and policymaking. In this paper, I assess the particular democratic imaginary that is reflected and reinforced by the European Green Deal (EGD). The EGD emphasizes citizens as a ‘driving force’ of sustainability transition. However, despite the emphasis on active citizens, their participation is circumscribed, since the actual aims and strategies of the EGD are apparently not open for debate. Using critical discourse analysis to interrogate the material surrounding the EGD, I identify some persistent tropes of the democratic imaginary that is found there. I find that the dominant political imaginary of the EGD is one of an ‘inclusive depoliticised democracy’ that engages a wide diversity of citizens in limited discussion. The EGD is placed outside of politics and democracy and becomes a matter of tutored knowledge exchange rather than impassioned engagement.</w:t>
      </w:r>
    </w:p>
    <w:p>
      <w:pPr/>
      <w:r>
        <w:rPr>
          <w:b/>
        </w:rPr>
        <w:t>POSSIBLE 2025:</w:t>
      </w:r>
      <w:r>
        <w:t xml:space="preserve"> Economic potential of renewable energy for business: decarbonisation and climate adaptation strategies in Ukraine and Europe — https://doi.org/10.35774/econa2025.03.180</w:t>
      </w:r>
    </w:p>
    <w:p>
      <w:pPr/>
      <w:r>
        <w:rPr>
          <w:b/>
        </w:rPr>
        <w:t>Shared claim-specific concepts:</w:t>
      </w:r>
      <w:r>
        <w:t xml:space="preserve"> green, deal, decarbonisation, strategy, approach; EU scope visible. This is a provisional connection, not an outcome finding.</w:t>
      </w:r>
    </w:p>
    <w:p>
      <w:pPr>
        <w:pStyle w:val="SourceNote"/>
      </w:pPr>
      <w:r>
        <w:rPr>
          <w:b/>
        </w:rPr>
        <w:t>Available abstract (not full text):</w:t>
      </w:r>
      <w:r>
        <w:t xml:space="preserve"> Introduction. The global shift toward sustainable natural resource use and the minimisation of economic dependence on traditional energy sources represents a necessary stage in societal development within the framework of climate change mitigation and sustainable development. The subject of the study is the potential for integrating renewable energy sources (RES) into business operations in order to reduce greenhouse gas emissions and enhance the climate resilience of corporate processes in Ukraine and Europe. Purpose. The purpose of the study is to identify the key trends, economic incentives, and institutional mechanisms that support the transition of businesses to RES within the strategies of sustainable development, the circular economy, and decarbonisation, with an emphasis on assessing the economic impacts on energy independence, GDP, and investment payback. Methodology. The methodological framework integrates general scientific methods (analysis, synthesis, comparison, abstraction, induction, deduction), a systems approach, as well as economic calculations (ROI, cost–benefit analysis, assessment of savings from reduced energy imports) based on data from IRENA, the Energy Community, the European Investment Bank, and Ukraine’s national energy strategies up to 2035. Results. The article analyses key outcomes of effective European best practices (Germany, Sweden, Romania, Po</w:t>
      </w:r>
    </w:p>
    <w:p>
      <w:pPr/>
      <w:r>
        <w:rPr>
          <w:b/>
        </w:rPr>
        <w:t>POSSIBLE 2025:</w:t>
      </w:r>
      <w:r>
        <w:t xml:space="preserve"> ATWOOD’S PRACTICAL UTOPIAS: A COMPARATIVE ANALYSIS WITH THE EUROPEAN GREEN DEAL — https://doi.org/10.56177/aua.philologica.2.26.2025.art.5</w:t>
      </w:r>
    </w:p>
    <w:p>
      <w:pPr/>
      <w:r>
        <w:rPr>
          <w:b/>
        </w:rPr>
        <w:t>Shared claim-specific concepts:</w:t>
      </w:r>
      <w:r>
        <w:t xml:space="preserve"> green, deal, egd, decarbonisation, sustainability; EU scope visible. This is a provisional connection, not an outcome finding.</w:t>
      </w:r>
    </w:p>
    <w:p>
      <w:pPr>
        <w:pStyle w:val="SourceNote"/>
      </w:pPr>
      <w:r>
        <w:rPr>
          <w:b/>
        </w:rPr>
        <w:t>Available abstract (not full text):</w:t>
      </w:r>
      <w:r>
        <w:t xml:space="preserve"> This article compares Margaret Atwood’s Practical Utopia – an interactive, global, live-learning workshop hosted on the Disco platform – with the European Green Deal (EGD) to examine how imaginative, community-led futures align with and operationalise the EU's policy architecture for climate neutrality. Using content analysis, document analysis, and comparative analysis, the study advances the hypothesis that contemporary "practical utopias" are shaped by EGD targets and strategies, and tests that claim against the project's themes and outcomes, including the Symbiocene showcase. The paper situates Practical Utopias within currents of “real” or “concrete” utopianism (Wright, Albritton, Wilder), where ideals are judged by feasibility and iterative prototyping. Atwood’s pivot from dystopia to practice foregrounds active hope: participants co-designed carbon-neutral/negative communities by tackling basic systems (food, shelter, clothing, energy, mobility, governance, digital infrastructure, justice, and rituals around death) while interrogating the ecological ethics of enabling technologies. In parallel, the article synthesises the EGD's core—climate neutrality by 2050, ≥55% emissions cuts by 2030, and a policy suite spanning circular economy, zero pollution, Farm to Fork, Renovation Wave, industrial decarbonisation, clean mobility, renewables and hydrogen, biodiversity protection</w:t>
      </w:r>
    </w:p>
    <w:p>
      <w:pPr/>
      <w:r>
        <w:rPr>
          <w:b/>
        </w:rPr>
        <w:t>POSSIBLE 2025:</w:t>
      </w:r>
      <w:r>
        <w:t xml:space="preserve"> The European Green Deal: An Eco-Social Contract for Europe? — https://doi.org/10.1007/978-3-031-99109-7_9</w:t>
      </w:r>
    </w:p>
    <w:p>
      <w:pPr/>
      <w:r>
        <w:rPr>
          <w:b/>
        </w:rPr>
        <w:t>Shared claim-specific concepts:</w:t>
      </w:r>
      <w:r>
        <w:t xml:space="preserve"> green, deal, egd, aiming, sustainability, union; EU scope visible. This is a provisional connection, not an outcome finding.</w:t>
      </w:r>
    </w:p>
    <w:p>
      <w:pPr>
        <w:pStyle w:val="SourceNote"/>
      </w:pPr>
      <w:r>
        <w:rPr>
          <w:b/>
        </w:rPr>
        <w:t>Available abstract (not full text):</w:t>
      </w:r>
      <w:r>
        <w:t xml:space="preserve"> The European Green Deal (EGD) represents a transformative policy initiative, heralded as Europe’s “man on the moon” moment, aiming to achieve climate neutrality by 2050 while fostering social equity and economic resilience across the European Union (EU). From its inception, the EGD was intended to integrate environmental sustainability into governance frameworks and define an all-encompassing agenda to jointly address the urgent challenges of climate change, biodiversity loss, and social inequalities. This chapter explores how the EGD, when positioned as a nascent eco-social contract, could redefine the roles and responsibilities of each European societal actor by aligning ecological responsibility with economic and social objectives, guided by the principle of common but differentiated responsibilities outlined in the Paris Climate Agreement. It examines the role of the EU’s multilevel governance structure in embedding the EGD’s policies, the systemic barriers to its implementation, and the pathways for overcoming these challenges. By critically analysing what the EGD’s opportunities and limitations have been, the chapter offers insights into how the EU can lead global sustainability efforts and foster a more inclusive and sustainable future.</w:t>
      </w:r>
    </w:p>
    <w:p>
      <w:pPr/>
      <w:r>
        <w:rPr>
          <w:b/>
        </w:rPr>
        <w:t>POSSIBLE 2024:</w:t>
      </w:r>
      <w:r>
        <w:t xml:space="preserve"> What was, is and will be: A bibliometric analysis of European Green Deal (EGD) — https://doi.org/10.1386/tmsd_00086_1</w:t>
      </w:r>
    </w:p>
    <w:p>
      <w:pPr/>
      <w:r>
        <w:rPr>
          <w:b/>
        </w:rPr>
        <w:t>Shared claim-specific concepts:</w:t>
      </w:r>
      <w:r>
        <w:t xml:space="preserve"> green, deal, egd, sustainability, union; EU scope visible. This is a provisional connection, not an outcome finding.</w:t>
      </w:r>
    </w:p>
    <w:p>
      <w:pPr>
        <w:pStyle w:val="SourceNote"/>
      </w:pPr>
      <w:r>
        <w:rPr>
          <w:b/>
        </w:rPr>
        <w:t>Available abstract (not full text):</w:t>
      </w:r>
      <w:r>
        <w:t xml:space="preserve"> European Green Deal (EGD) was introduced by the European Union in December 2019 with a pledge to transform the European Union into a carbon-neutral economy by the year 2050. This study intends to undertake a bibliometric evaluation of the existing literature on EGD. This research aims to precisely identify and evaluate the most influential sources, contributors and cited works in the EGD literature, as well as delineate primary research directions and geographical hotspots, thereby offering a comprehensive overview of the current state and trends within the field. An attempt has been made to identify the trends of the research on EGD, along with the top countries contributing to the literature on EGD. The emerging keywords in the EGD literature are traced to provide future research directions. A total of 846 research documents are obtained from the Scopus database, and the Visualization of Similarities (VOS) viewer software is used for data analysis. The results of the analysis reveal that sustainability, sustainable development, energy efficiency, energy policies, greenhouse emissions, climate change, biodiversity, circular economy and renewable energy emerge as prominent and interconnected areas of research within the academic discourse on the EGD.</w:t>
      </w:r>
    </w:p>
    <w:p>
      <w:pPr/>
      <w:r>
        <w:rPr>
          <w:b/>
        </w:rPr>
        <w:t>POSSIBLE 2024:</w:t>
      </w:r>
      <w:r>
        <w:t xml:space="preserve"> DIGITALIZATION OF THE EUROPEAN GREEN DEAL (EGD) AND SUSTAINABLE DEVELOPMENT GOALS (SDG) - A FACTOR IN EMPOWERING SUSTAINABLE LOCAL PROJECTS: A REVIEW OF LITERATURE AND POTENTIAL ACHIEVEMENTS — https://doi.org/10.61432/cpne0201129g</w:t>
      </w:r>
    </w:p>
    <w:p>
      <w:pPr/>
      <w:r>
        <w:rPr>
          <w:b/>
        </w:rPr>
        <w:t>Shared claim-specific concepts:</w:t>
      </w:r>
      <w:r>
        <w:t xml:space="preserve"> green, deal, egd, sustainability, union; EU scope visible. This is a provisional connection, not an outcome finding.</w:t>
      </w:r>
    </w:p>
    <w:p>
      <w:pPr>
        <w:pStyle w:val="SourceNote"/>
      </w:pPr>
      <w:r>
        <w:rPr>
          <w:b/>
        </w:rPr>
        <w:t>Available abstract (not full text):</w:t>
      </w:r>
      <w:r>
        <w:t xml:space="preserve"> The Sustainable Development Goals and the European Green Deal are calls to action for countries around the world, and especially for the member states of the European Union, to address and practically solve many common problems. When discussing the European Green Deal (EGD) in particular, these problems are predominantly ecological in nature. The goal of decarbonization is closely linked to the structure of the economy, and to properly implement the provisions of greening the economy, proper education is necessary. For mass education, the use of IoT is a step towards the digitalization of education, project and other networking, as well as harmonious innovations on the path to sustainability. To highlight the importance and interdependence of these areas, the paper presents a systematic review of the literature on these fields.</w:t>
      </w:r>
    </w:p>
    <w:p>
      <w:pPr/>
      <w:r>
        <w:rPr>
          <w:b/>
        </w:rPr>
        <w:t>POSSIBLE 2024:</w:t>
      </w:r>
      <w:r>
        <w:t xml:space="preserve"> Romanian Legislation Based on The EU Green Deal Strategy — https://doi.org/10.58603/dgms8788</w:t>
      </w:r>
    </w:p>
    <w:p>
      <w:pPr/>
      <w:r>
        <w:rPr>
          <w:b/>
        </w:rPr>
        <w:t>Shared claim-specific concepts:</w:t>
      </w:r>
      <w:r>
        <w:t xml:space="preserve"> green, deal, decarbonisation, strategy; EU scope visible. This is a provisional connection, not an outcome finding.</w:t>
      </w:r>
    </w:p>
    <w:p>
      <w:pPr>
        <w:pStyle w:val="SourceNote"/>
      </w:pPr>
      <w:r>
        <w:rPr>
          <w:b/>
        </w:rPr>
        <w:t>Available abstract (not full text):</w:t>
      </w:r>
      <w:r>
        <w:t xml:space="preserve"> The present paper presents some of the latest Romanian legal provisions to support the European Green Deal objectives and the adoption of the "Fit for 55" package. Our paper presents some of the latest Romanian legislative initiatives and programs as part of the joint European effort to make Europe the first green continent. Thus, we briefly discuss The National Integrated Energy and Climate Change Plan 2021-2030, Emergency Ordinance 71/2021 on the promotion of non-polluting road transport vehicles, in support of low-emission mobility, Rabla Plus Program 2024, Emergency Ordinance 108/2022 regarding the decarbonisation of the energy sector, the proposed National Hydrogen Strategy and presents the modifications to the Law 220/ 2008.</w:t>
      </w:r>
    </w:p>
    <w:p>
      <w:pPr/>
      <w:r>
        <w:rPr>
          <w:b/>
        </w:rPr>
        <w:t>POSSIBLE 2024:</w:t>
      </w:r>
      <w:r>
        <w:t xml:space="preserve"> Decarbonisation scenarios for the European residential sector — https://doi.org/10.1016/j.buildenv.2024.112408</w:t>
      </w:r>
    </w:p>
    <w:p>
      <w:pPr/>
      <w:r>
        <w:rPr>
          <w:b/>
        </w:rPr>
        <w:t>Shared claim-specific concepts:</w:t>
      </w:r>
      <w:r>
        <w:t xml:space="preserve"> green, deal, ambitious, decarbonisation, mix; EU scope visible. This is a provisional connection, not an outcome finding.</w:t>
      </w:r>
    </w:p>
    <w:p>
      <w:pPr>
        <w:pStyle w:val="SourceNote"/>
      </w:pPr>
      <w:r>
        <w:rPr>
          <w:b/>
        </w:rPr>
        <w:t>Available abstract (not full text):</w:t>
      </w:r>
      <w:r>
        <w:t xml:space="preserve"> The urgency to combat global climate change has prompted the implementation of many regional and national policies, with the European Green Deal standing out as one of the most significant initiatives. We use the recently developed TIMES-Europe energy system model to study the pivotal role of the residential sector in achieving the ambitious energy savings goal formulated by the EU in the broad framework of its Fit-for-55 policy package. We observe improved energy efficiency in households across a set of scenarios that differ in terms of climate policy ambition and level of collaboration between European countries. We find that, by 2030, residential buildings can realize up to 3000 PJ in overall energy savings. Cross-country collaboration may yield an additional 11% reduction in residential energy consumption, which could increase to 18% when combined with dwelling retrofitting subsidies. Our analysis of the transformation of the residential fuel mix, particularly the interplay between biomass and natural gas usage, reveals a trade-off between short-term energy efficiency gains and long-term CO 2 reduction goals. In the short run, scenarios lacking stringent climate control measures exhibit higher energy savings in comparison to those embracing ambitious climate targets. This initial difference, however, diminishes over time: energy savings from climate-compliant scenarios near</w:t>
      </w:r>
    </w:p>
    <w:p>
      <w:pPr/>
      <w:r>
        <w:rPr>
          <w:b/>
        </w:rPr>
        <w:t>POSSIBLE 2024:</w:t>
      </w:r>
      <w:r>
        <w:t xml:space="preserve"> Cutting the Gordian Knot: Industrial Strategies of the EU’s Green Deal:Policy Brief — https://openalex.org/W7159742445</w:t>
      </w:r>
    </w:p>
    <w:p>
      <w:pPr/>
      <w:r>
        <w:rPr>
          <w:b/>
        </w:rPr>
        <w:t>Shared claim-specific concepts:</w:t>
      </w:r>
      <w:r>
        <w:t xml:space="preserve"> green, deal, ambitious, decarbonisation, mix, instruments; EU scope visible. This is a provisional connection, not an outcome finding.</w:t>
      </w:r>
    </w:p>
    <w:p>
      <w:pPr>
        <w:pStyle w:val="SourceNote"/>
      </w:pPr>
      <w:r>
        <w:rPr>
          <w:b/>
        </w:rPr>
        <w:t>Available abstract (not full text):</w:t>
      </w:r>
      <w:r>
        <w:t xml:space="preserve"> The European Green Deal sets ambitious targets for decarbonising the European Union, particularly within its industrial sector. To achieve industrial decarbonisation, the Green Deal deploys a mix of instruments including binding goals, investment support, and carbon pricing. However, there is a noticeable gap in understanding the key policies and their corresponding impacts. Consequently, the eff ectiveness of the multitude of strategies and instruments designed to promote industrial decarbonisation remains unclear. This policy brief aims to address this gap by providing a comprehensive overview of the European Green Deal’s strategies for industrial decarbonisation, tailored for non-experts.</w:t>
      </w:r>
    </w:p>
    <w:p>
      <w:pPr>
        <w:pStyle w:val="Heading2"/>
      </w:pPr>
      <w:r>
        <w:t>613. On European Green Deal and Sustainable Development Policy (the Case of Romania)</w:t>
      </w:r>
    </w:p>
    <w:p>
      <w:pPr>
        <w:pStyle w:val="SourceNote"/>
      </w:pPr>
      <w:r>
        <w:rPr>
          <w:b/>
        </w:rPr>
        <w:t>Original source (2021):</w:t>
      </w:r>
      <w:r>
        <w:t xml:space="preserve"> https://doi.org/10.3390/su132112233</w:t>
      </w:r>
    </w:p>
    <w:p>
      <w:pPr/>
      <w:r>
        <w:t>Original wording (abstract; indexed_source_text_not_full_document_verified): Reaching the EU climate-neutrality objective in 2050 is very ambitious, especially for the Member States from Central-Eastern Europe.</w:t>
      </w:r>
    </w:p>
    <w:p>
      <w:pPr/>
      <w:r>
        <w:rPr>
          <w:b/>
        </w:rPr>
        <w:t>POSSIBLE 2025:</w:t>
      </w:r>
      <w:r>
        <w:t xml:space="preserve"> Cluster Analysis of the Transition to Climate Neutrality in the European Union — https://doi.org/10.1002/sd.70064</w:t>
      </w:r>
    </w:p>
    <w:p>
      <w:pPr/>
      <w:r>
        <w:rPr>
          <w:b/>
        </w:rPr>
        <w:t>Shared claim-specific concepts:</w:t>
      </w:r>
      <w:r>
        <w:t xml:space="preserve"> objective, member, states;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2024:</w:t>
      </w:r>
      <w:r>
        <w:t xml:space="preserve"> Assessment of the Potential of European Union Member States to Achieve Climate Neutrality — https://doi.org/10.3390/su16031311</w:t>
      </w:r>
    </w:p>
    <w:p>
      <w:pPr/>
      <w:r>
        <w:rPr>
          <w:b/>
        </w:rPr>
        <w:t>Shared claim-specific concepts:</w:t>
      </w:r>
      <w:r>
        <w:t xml:space="preserve"> ambitious, member, states; EU scope visible. This is a provisional connection, not an outcome finding.</w:t>
      </w:r>
    </w:p>
    <w:p>
      <w:pPr>
        <w:pStyle w:val="SourceNote"/>
      </w:pPr>
      <w:r>
        <w:rPr>
          <w:b/>
        </w:rPr>
        <w:t>Available abstract (not full text):</w:t>
      </w:r>
      <w:r>
        <w:t xml:space="preserve"> Climate neutrality is the main environmental goal set for the European Union Member States until 2050. EU economies can achieve this ambitious climate goal by reducing the emission intensity of economies, which has been achieved for many years by reducing pollution emitted by industry. The aim of the study is focused primarily on demonstrating the degree of relationship between the variables describing economic growth, GDP, and the level of CO2 emissions. In the first stage of the research, the potential of countries to achieve climate neutrality was assessed, which was achieved by estimating the correlation between GDP indices in relation to 2013 and the level of CO2 emissions. Research has shown that despite the countries’ differences in the structure of their energy balances, they can achieve independence of economic growth from the emission level of their economies. The research also concerns Poland’s special situation compared to other European Union countries according to energy balance based on coal. A model based on differential equations was used to simulate the impact of GDP, energy intensity, and the share of biofuels on temperature and CO2 concentration until 2030, using data for Poland as an example. The aim of this analysis is to answer the question of whether the energy transformation in the country will achieve the assumed emission reduction goals by 2030.</w:t>
      </w:r>
    </w:p>
    <w:p>
      <w:pPr/>
      <w:r>
        <w:rPr>
          <w:b/>
        </w:rPr>
        <w:t>POSSIBLE 2024:</w:t>
      </w:r>
      <w:r>
        <w:t xml:space="preserve"> EUROPEAN LANDSCAPE OF CLIMATE LAW — https://doi.org/10.46299/979-8-89504-809-2.3</w:t>
      </w:r>
    </w:p>
    <w:p>
      <w:pPr/>
      <w:r>
        <w:rPr>
          <w:b/>
        </w:rPr>
        <w:t>Shared claim-specific concepts:</w:t>
      </w:r>
      <w:r>
        <w:t xml:space="preserve"> reaching, objective, member, states; EU scope visible. This is a provisional connection, not an outcome finding.</w:t>
      </w:r>
    </w:p>
    <w:p>
      <w:pPr>
        <w:pStyle w:val="SourceNote"/>
      </w:pPr>
      <w:r>
        <w:rPr>
          <w:b/>
        </w:rPr>
        <w:t>Available abstract (not full text):</w:t>
      </w:r>
      <w:r>
        <w:t xml:space="preserve"> 3. European landscape of climate law Introduction.The existential threat caused by climate change requires governmental efforts of the states for implementation of the Paris Agreement setting up efforts for development of economic and social transformation, based on the best available scientific and sustainable approaches.As part of the European Green Deal, with the European Climate Law, the European Union has set itself a binding target of achieving climate neutrality by 2050.Regulation (EU) 2021/1119 of the European Parliament and of the Council of 30 June 2021 establishing the framework for achieving climate neutrality and amending Regulations (EC) No 401/2009 and (EU) 2018/1999 was named 'European Climate Law' [124].Researches of European landscape of climate law have been provided by various organizations, institutions, and researchers, including United Nations Framework Convention on Climate Change (UNFCCC), Panel on Climate Change (IPCC), World Bank , Organization for Economic Co-operation and Development (OECD), Grantham Research Institute on Climate Change and the Environment (London School of Economics), World Resources Institute (WRI), Climate Policy Initiative (CPI), International Institute for Environment and Development (IIED), Climate Action Network (CAN), Greenpeace, World Wildlife Fund (WWF), Ecologic Institute etc.These organizations and institutions have prov</w:t>
      </w:r>
    </w:p>
    <w:p>
      <w:pPr/>
      <w:r>
        <w:rPr>
          <w:b/>
        </w:rPr>
        <w:t>POSSIBLE 2022:</w:t>
      </w:r>
      <w:r>
        <w:t xml:space="preserve"> The Analysis of Public Funds Utilization Efficiency for Climate Neutrality in the European Union Countries — https://doi.org/10.3390/en15020581</w:t>
      </w:r>
    </w:p>
    <w:p>
      <w:pPr/>
      <w:r>
        <w:rPr>
          <w:b/>
        </w:rPr>
        <w:t>Shared claim-specific concepts:</w:t>
      </w:r>
      <w:r>
        <w:t xml:space="preserve"> reaching, objective, especially; EU scope visible. This is a provisional connection, not an outcome finding.</w:t>
      </w:r>
    </w:p>
    <w:p>
      <w:pPr>
        <w:pStyle w:val="SourceNote"/>
      </w:pPr>
      <w:r>
        <w:rPr>
          <w:b/>
        </w:rPr>
        <w:t>Available abstract (not full text):</w:t>
      </w:r>
      <w:r>
        <w:t xml:space="preserve"> The aim of this article was to assess the efficiency of the utilization of public funds for climate neutrality. It was concluded that the data gathered in public statistics are not adapted to current challenges and hinder the direct measurement of climate policy objective implementation progress. Due to that, an innovative approach to public intervention efficiency analysis was proposed for the sake of decreasing CO2 emission in 27 European Union (EU) countries, based on Data Envelopment Analysis (DEA) method and soft modeling. Statistical data are derived from the Eurostat database and pertain to the years 2005–2019. It was demonstrated that activity efficiency of the particular EU countries on climate neutrality varied and that together with the increase in public funds spent on environmental protection, the growth of effects in the field of reaching climate neutrality objectives was not observed. The greatest positive impact on achieving climate neutrality objectives was revealed for activities connected with building renewable sources of energy (RES) and there was no correlation detected for expenditures connected with transport infrastructure, which means that public funds used for their construction did not influence climate neutrality. It was established that, in the analyzed period, the decisions on allocating public funds were not taken on the basis of the expected amo</w:t>
      </w:r>
    </w:p>
    <w:p>
      <w:pPr/>
      <w:r>
        <w:rPr>
          <w:b/>
        </w:rPr>
        <w:t>POSSIBLE 2022:</w:t>
      </w:r>
      <w:r>
        <w:t xml:space="preserve"> European Climate Law - New legal revolution towards climate neutrality in the EU. — https://doi.org/10.25167/osap.4510</w:t>
      </w:r>
    </w:p>
    <w:p>
      <w:pPr/>
      <w:r>
        <w:rPr>
          <w:b/>
        </w:rPr>
        <w:t>Shared claim-specific concepts:</w:t>
      </w:r>
      <w:r>
        <w:t xml:space="preserve"> especially, member, states; EU scope visible. This is a provisional connection, not an outcome finding.</w:t>
      </w:r>
    </w:p>
    <w:p>
      <w:pPr>
        <w:pStyle w:val="SourceNote"/>
      </w:pPr>
      <w:r>
        <w:rPr>
          <w:b/>
        </w:rPr>
        <w:t>Available abstract (not full text):</w:t>
      </w:r>
      <w:r>
        <w:t xml:space="preserve"> European Climate Law (EU Climate Law) shall become a critical element of future EU regulations and law-making process based on the Green Deal (EU climate and energy strategy) which is the result of the COP21 and Paris Agreement undersigned during the conference of United Nations by its worldwide members. With the actual climate challenges, the EU wishes to keep the leader's role and trend in terms of radical decrease of GHG emissions. Especially for that reason, a new regulatory framework was prepared with a comprehensive overawe of various EU policies. As a result of those expectations, the European Commission has prepared EU Climate Law endorsed by a strong political signal from the European Parliament and Council with its declaratory conclusions. This new legal act with its formula refers to many legal acts and EU policies such as “Fit for 55%” package , and many other energy-and climate related laws. It developed into an essential signal towards the EU Member States to keep comprehensive policies and plans towards climate neutrality. It should be underlined that this act will be a new opener towards upcoming legislative packages and potential financial instruments to come. Occasionally, EU policymakers use a controversial nomenclature defining Regulation as a “Climate Treaty” to emphasize the act’s significance and special regulatory status. The aim of the article is to pre</w:t>
      </w:r>
    </w:p>
    <w:p>
      <w:pPr/>
      <w:r>
        <w:rPr>
          <w:b/>
        </w:rPr>
        <w:t>POSSIBLE 2022:</w:t>
      </w:r>
      <w:r>
        <w:t xml:space="preserve"> Towards Climate Neutrality via Sustainable Agriculture in Soil Management — https://doi.org/10.2478/rtuect-2022-0041</w:t>
      </w:r>
    </w:p>
    <w:p>
      <w:pPr/>
      <w:r>
        <w:rPr>
          <w:b/>
        </w:rPr>
        <w:t>Shared claim-specific concepts:</w:t>
      </w:r>
      <w:r>
        <w:t xml:space="preserve"> ambitious, especially, states; EU scope visible. This is a provisional connection, not an outcome finding.</w:t>
      </w:r>
    </w:p>
    <w:p>
      <w:pPr>
        <w:pStyle w:val="SourceNote"/>
      </w:pPr>
      <w:r>
        <w:rPr>
          <w:b/>
        </w:rPr>
        <w:t>Available abstract (not full text):</w:t>
      </w:r>
      <w:r>
        <w:t xml:space="preserve"> Abstract The European Green Deal sets an ambitious target for Europe to reach climate neutrality by 2050. This commitment will be a challenge, particularly in the context of agriculture, as the sector is responsible for sustainable development and food security. However, one of the primary sources of GHG emissions from the agricultural sector is the treatment of soils using nitrogen fertilizers for crops, especially grain crops. This paper aims to assess the GHG mitigation perspective for soil management in the Baltic States and, in particular, to analyse the grain sector in light of sustainable agriculture and towards climate neutrality. To achieve the aim of the study, the analysis was performed in two parts. Firstly, historical and projected GHG emissions of the Baltic States and mitigation measures on agricultural soil management, including cereal growing were analysed as these emissions show a growing tendency. Thus, the study analyses GHG emission trends, including possible mitigation measures for soil management in the Baltic States. The results indicated that for GHG reduction from agricultural soils, some cost-effective measures could be considered for the future, such as the zero-emissions on-farm machinery and equipment, low or no-tillage, or N-inhibitors on pasture. Secondly, as the GHG emissions from cereals increase, potential alternatives to the use of grain prod</w:t>
      </w:r>
    </w:p>
    <w:p>
      <w:pPr/>
      <w:r>
        <w:rPr>
          <w:b/>
        </w:rPr>
        <w:t>POSSIBLE 2022:</w:t>
      </w:r>
      <w:r>
        <w:t xml:space="preserve"> Investigating European Union Decarbonization Strategies: Evaluating the Pathway to Carbon Neutrality by 2050 — https://doi.org/10.3390/su14084728</w:t>
      </w:r>
    </w:p>
    <w:p>
      <w:pPr/>
      <w:r>
        <w:rPr>
          <w:b/>
        </w:rPr>
        <w:t>Shared claim-specific concepts:</w:t>
      </w:r>
      <w:r>
        <w:t xml:space="preserve"> very, member, states; EU scope visible. This is a provisional connection, not an outcome finding.</w:t>
      </w:r>
    </w:p>
    <w:p>
      <w:pPr>
        <w:pStyle w:val="SourceNote"/>
      </w:pPr>
      <w:r>
        <w:rPr>
          <w:b/>
        </w:rPr>
        <w:t>Available abstract (not full text):</w:t>
      </w:r>
      <w:r>
        <w:t xml:space="preserve"> Despite the rich and extensive documentation provided by European Member States and the European Commission in describing National Energy and Climates Plans and Long-Term Strategy plans, it is still very difficult to evaluate where and how the European Union as a whole has positioned itself on the path to achieving the Green Deal objectives, named the Fit 55% package in 2030 and the achievement of carbon neutrality by 2050. This research aims to fill this gap, proposing a simple but exhaustive semantic scaling methodology that allows, for the first time, a quantitative evaluation of the quality of the National Plans based on European Commission assessments to measure their compliance with the European Green Deal objectives. Results show that Member States have more clearly set the Green Deal targets than the actions to deliver against those targets. Actions, in term of nationals policies and funds administration, are still immature and partially addressed.</w:t>
      </w:r>
    </w:p>
    <w:p>
      <w:pPr>
        <w:pStyle w:val="Heading2"/>
      </w:pPr>
      <w:r>
        <w:t>614. POPULATION FORECAST WITH THE DATA PROCESSING GROUP METHOD (GMDH) type NEURAL NETWORK FOR EUROPEAN UNION COUNTRIES</w:t>
      </w:r>
    </w:p>
    <w:p>
      <w:pPr>
        <w:pStyle w:val="SourceNote"/>
      </w:pPr>
      <w:r>
        <w:rPr>
          <w:b/>
        </w:rPr>
        <w:t>Original source (2021):</w:t>
      </w:r>
      <w:r>
        <w:t xml:space="preserve"> https://doi.org/10.46872/pj.323</w:t>
      </w:r>
    </w:p>
    <w:p>
      <w:pPr/>
      <w:r>
        <w:t>Original wording (abstract; indexed_source_text_not_full_document_verified): In addition, the analysis was compared with the 2021 - 2032 forecast values in the World Bank Database. According to the findings and comparison results, it has been concluded that the GMDH type Neural Network is a very good approach for the annual population estimation of 27 EU countries, it has almost exactly the same results with the real values in the past years, therefore it is consistent and successful in its predictions for the future years.</w:t>
      </w:r>
    </w:p>
    <w:p>
      <w:pPr/>
      <w:r>
        <w:rPr>
          <w:b/>
        </w:rPr>
        <w:t>POSSIBLE 2026:</w:t>
      </w:r>
      <w:r>
        <w:t xml:space="preserve"> The Future of Money in Europe: Central Bank Digital Currencies? — https://openalex.org/W7215248674</w:t>
      </w:r>
    </w:p>
    <w:p>
      <w:pPr/>
      <w:r>
        <w:rPr>
          <w:b/>
        </w:rPr>
        <w:t>Shared claim-specific concepts:</w:t>
      </w:r>
      <w:r>
        <w:t xml:space="preserve"> bank, database, countries; EU scope visible. This is a provisional connection, not an outcome finding.</w:t>
      </w:r>
    </w:p>
    <w:p>
      <w:pPr>
        <w:pStyle w:val="SourceNote"/>
      </w:pPr>
      <w:r>
        <w:rPr>
          <w:b/>
        </w:rPr>
        <w:t>Available abstract (not full text):</w:t>
      </w:r>
      <w:r>
        <w:t xml:space="preserve"> The article examines the historical development, technological foundations, and institutional implications of central bank digital currencies (CBDCs), with a particular focus on developments within the European Union. Bitcoin and other cryptocurrencies have challenged aspects of traditional monetary systems and accelerated interest in state-backed digital alternatives. In the European context, this transformation can be understood as a multi-level process involving technological innovation, institutional adaptation, geopolitical ambition, and social cohesion. CBDCs are not merely a technological innovation but represent a powerful tool capable of fundamentally trans-forming the structure of the monetary and financial system. From a technological perspective, there is a clear diversity of approaches both among countries and within the European Central Bank (ECB). While most European initiatives are exploring the use of distributed ledger technologies (DLT), alternative solutions based on conventional database structures are also being developed. These varied approaches reflect not only technological preferences but also differing levels of trust in centralized versus decentralized systems, and they raise key questions regarding scalability, cybersecurity, and energy efficiency. CBDCs also present new possibilities for monetary poli-cy. In theory, digital currencies could allow f</w:t>
      </w:r>
    </w:p>
    <w:p>
      <w:pPr/>
      <w:r>
        <w:rPr>
          <w:b/>
        </w:rPr>
        <w:t>POSSIBLE 2026:</w:t>
      </w:r>
      <w:r>
        <w:t xml:space="preserve"> State-owned Banks and Profitability in Central and Eastern Europe: Testing the State-owned Banks Advantage Hypothesis — https://doi.org/10.18778/1508-2008.29.14</w:t>
      </w:r>
    </w:p>
    <w:p>
      <w:pPr/>
      <w:r>
        <w:rPr>
          <w:b/>
        </w:rPr>
        <w:t>Shared claim-specific concepts:</w:t>
      </w:r>
      <w:r>
        <w:t xml:space="preserve"> compared, bank, according, estimation, countries; EU scope visible. This is a provisional connection, not an outcome finding.</w:t>
      </w:r>
    </w:p>
    <w:p>
      <w:pPr>
        <w:pStyle w:val="SourceNote"/>
      </w:pPr>
      <w:r>
        <w:rPr>
          <w:b/>
        </w:rPr>
        <w:t>Available abstract (not full text):</w:t>
      </w:r>
      <w:r>
        <w:t xml:space="preserve"> This paper presents and tests an original state-owned banks advantage hypothesis, according to which the nationalisation of a part of the banking sector may positively influence the financial results and reduce risks associated with banking activity. The hypothesis was tested using a model comparing three groups of banks: state-owned banks, foreign owned banks, and domestic privately owned banks. The estimation of model parameters was carried out using a fixed-effects panel data analysis for banks based in Central and Eastern European countries over the period 2014–2020. Based on the models for ROA and, separately, ROE, a statistically significant negative relation was observed in the returns generated by state-owned banks compared to private domestic and foreign banks. The results also indicate a higher business risk for state-owned banks, measured by the level of non-performing loans, which is likely to be related to involvement in projects that are not always profitable but often involve higher credit risk. Therefore, we argue that elements of a country’s economic or social policies matter when conducting business but negatively affect the performance of state-owned banks. The results of the model also demonstrate that a bank’s market size negatively affects its performance.</w:t>
      </w:r>
    </w:p>
    <w:p>
      <w:pPr/>
      <w:r>
        <w:rPr>
          <w:b/>
        </w:rPr>
        <w:t>POSSIBLE 2026:</w:t>
      </w:r>
      <w:r>
        <w:t xml:space="preserve"> A database of eels and their freshwater habitats in southwestern Europe — https://doi.org/10.1038/s41597-026-07213-3</w:t>
      </w:r>
    </w:p>
    <w:p>
      <w:pPr/>
      <w:r>
        <w:rPr>
          <w:b/>
        </w:rPr>
        <w:t>Shared claim-specific concepts:</w:t>
      </w:r>
      <w:r>
        <w:t xml:space="preserve"> database, network, countries; EU scope visible. This is a provisional connection, not an outcome finding.</w:t>
      </w:r>
    </w:p>
    <w:p>
      <w:pPr>
        <w:pStyle w:val="SourceNote"/>
      </w:pPr>
      <w:r>
        <w:rPr>
          <w:b/>
        </w:rPr>
        <w:t>Available abstract (not full text):</w:t>
      </w:r>
      <w:r>
        <w:t xml:space="preserve"> The European eel stock (Anguilla anguilla) is outside safe biological limits. A range-wide stock assessment requires the creation and standardisation of databases that include information on eels and their habitats in different countries throughout their distribution range. The SUDOANG 1.0.4 database compiles standardised data on river courses in France and the Iberian Peninsula (Spain and Portugal). Using GIS tools, information on water surface and on other potential aquatic habitats surrounding each river segment has been collected. This common river network provides tools to quickly accumulate information along the river or along the natural path of migration from/to the sea. The database also compiles information on the surface of other habitats, human pressures (including 106400 obstacles), and provides eel abundance and biometric estimations derived from the Eel Density Analysis (EDA) model at the river reach scale for the reference year 2015. The river network supports ecological assessment of the eel habitats, and should also be useful for studies on other migratory species.</w:t>
      </w:r>
    </w:p>
    <w:p>
      <w:pPr/>
      <w:r>
        <w:rPr>
          <w:b/>
        </w:rPr>
        <w:t>POSSIBLE 2025:</w:t>
      </w:r>
      <w:r>
        <w:t xml:space="preserve"> Plural Values of Culture in Europe — https://openalex.org/W7137507789</w:t>
      </w:r>
    </w:p>
    <w:p>
      <w:pPr/>
      <w:r>
        <w:rPr>
          <w:b/>
        </w:rPr>
        <w:t>Shared claim-specific concepts:</w:t>
      </w:r>
      <w:r>
        <w:t xml:space="preserve"> values, approach, countries;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2025:</w:t>
      </w:r>
      <w:r>
        <w:t xml:space="preserve"> An Analytical Approach to Comparing Actual Vs. Fundamental “Enterprise Value-to-EBITDA” Ratios on the US and European Stock Markets — https://doi.org/10.37075/faba.2025.2.08</w:t>
      </w:r>
    </w:p>
    <w:p>
      <w:pPr/>
      <w:r>
        <w:rPr>
          <w:b/>
        </w:rPr>
        <w:t>Shared claim-specific concepts:</w:t>
      </w:r>
      <w:r>
        <w:t xml:space="preserve"> addition, findings, comparison, type, very, approach; EU scope visible. This is a provisional connection, not an outcome finding.</w:t>
      </w:r>
    </w:p>
    <w:p>
      <w:pPr>
        <w:pStyle w:val="SourceNote"/>
      </w:pPr>
      <w:r>
        <w:rPr>
          <w:b/>
        </w:rPr>
        <w:t>Available abstract (not full text):</w:t>
      </w:r>
      <w:r>
        <w:t xml:space="preserve"> Purpose: The subject of this research paper is the level of the EV/EBITDA market ratios on the US and the European stock markets. The interest was aroused by the continuously rising levels of the indexes on the leading stock markets, on one hand, and the very wide use of the EV/EBITDA multiples by financial analysts, on the other hand. The purpose is: 1/ to compare the two markets in terms of their actual EV/EBITDA ratios, and 2/ to analyze to what extent the levels of these multiples are supported by the respective key fundamental indicators. Design/Methodology/Approach: The dynamics of the actual EV/EBITDA ratio in recent years is reviewed for each of the US and European developed stock markets. In addition to the comparison of these ratios between the two markets, fundamental EV/EBITDA ratios are also derived, based on key financial-performance indicators, in order to be used as a more reasonable benchmark. Findings: The comparison indicates that the actual average EV/EBITDA of the US market for the analyzed period is by 38% higher than that of the European market. For both markets, the derived fundamental EV/EBITDA ratios do not support the significantly higher actual EV/EBITDA multiples, which are about twice as high. This difference is more pronounced for the US market. Practical Implications: The important implications for investors are that the actual average EV/EBITDA </w:t>
      </w:r>
    </w:p>
    <w:p>
      <w:pPr/>
      <w:r>
        <w:rPr>
          <w:b/>
        </w:rPr>
        <w:t>POSSIBLE 2025:</w:t>
      </w:r>
      <w:r>
        <w:t xml:space="preserve"> Plant evolutionary history is largely underrepresented in European seed banks — https://doi.org/10.1111/nph.70000</w:t>
      </w:r>
    </w:p>
    <w:p>
      <w:pPr/>
      <w:r>
        <w:rPr>
          <w:b/>
        </w:rPr>
        <w:t>Shared claim-specific concepts:</w:t>
      </w:r>
      <w:r>
        <w:t xml:space="preserve"> world, bank, approach; EU scope visible. This is a provisional connection, not an outcome finding.</w:t>
      </w:r>
    </w:p>
    <w:p>
      <w:pPr>
        <w:pStyle w:val="SourceNote"/>
      </w:pPr>
      <w:r>
        <w:rPr>
          <w:b/>
        </w:rPr>
        <w:t>Available abstract (not full text):</w:t>
      </w:r>
      <w:r>
        <w:t xml:space="preserve"> Considering the alarming prospect of at least two in five plant species facing extinction, it is urgent to identify unsecured phylogenetic branches within the plant Tree of Life and adopt appropriate conservation strategies. While conventional seed banking has the potential to safeguard a large part of world's flora, the scarcity of phylogenetically informed ex situ conservation programmes poses a challenge to effective plant conservation. Leveraging an extensive dataset of seed collections across 109 European seed banks, our study reveals that current collections capture a phylogenetically diverse subset of the European flora. However, they safeguard between 43.29% and 66.40% of the maximum possible phylogenetic diversity, suggesting that specific major branches of the plant phylogeny in Europe remain unprotected. To address this gap, we introduce a novel quasi-deterministic method to generate a list of unbanked species, prioritized by evolutionary significance. Although this approach can enhance the evolutionary quality of seed bank collections, biological, technical and practical constraints may limit conventional seed banking for some of these priority species. We advocate for an enhanced coordination among conservation facilities and the integration of phylogenetic perspectives with advancements in ex situ conservation techniques beyond conventional seed banking, to effect</w:t>
      </w:r>
    </w:p>
    <w:p>
      <w:pPr/>
      <w:r>
        <w:rPr>
          <w:b/>
        </w:rPr>
        <w:t>POSSIBLE 2025:</w:t>
      </w:r>
      <w:r>
        <w:t xml:space="preserve"> Assessing the Intellectual Capital of Value Creation Process of Commercial Banks in the European Union — https://doi.org/10.1007/s13132-024-02348-3</w:t>
      </w:r>
    </w:p>
    <w:p>
      <w:pPr/>
      <w:r>
        <w:rPr>
          <w:b/>
        </w:rPr>
        <w:t>Shared claim-specific concepts:</w:t>
      </w:r>
      <w:r>
        <w:t xml:space="preserve"> addition, database, findings; EU scope visible. This is a provisional connection, not an outcome finding.</w:t>
      </w:r>
    </w:p>
    <w:p>
      <w:pPr>
        <w:pStyle w:val="SourceNote"/>
      </w:pPr>
      <w:r>
        <w:rPr>
          <w:b/>
        </w:rPr>
        <w:t>Available abstract (not full text):</w:t>
      </w:r>
      <w:r>
        <w:t xml:space="preserve"> Abstract This study examines the impact of intellectual capital on the overall value of commercial banks within the European Union (EU). The research aims to identify how these banks can evaluate and enhance their intellectual capital to improve operational performance. The study employs the value-added intellectual coefficient (VAIC) model to measure the efficiency of three types of capital: structural capital (SC), which is the value added by the company minus human capital; employed physical and financial capital (CE), representing the total financial capital available to the company; and human capital (HC), calculated based on employee costs. Data were sourced from the BankScope database, comprising published financial reports of 599 commercial banks. Control variables included loan quality, fund utilization ratio, and the impact of the COVID-19 pandemic. The research identifies a significant positive correlation between financial capital, human capital, and the value-added function of banks. These findings suggest that financial and human capital are critical determinants of value addition in commercial banks within the EU. This study uniquely focuses on the intellectual capital performance of EU-based banks. To the best of our knowledge, such a comprehensive analysis on this subject within the context of EU banks has not been previously conducted.</w:t>
      </w:r>
    </w:p>
    <w:p>
      <w:pPr/>
      <w:r>
        <w:rPr>
          <w:b/>
        </w:rPr>
        <w:t>POSSIBLE 2024:</w:t>
      </w:r>
      <w:r>
        <w:t xml:space="preserve"> Between policy issues and values: the public discourse of constrained presidents in Western Europe — https://doi.org/10.1080/14782804.2024.2445299</w:t>
      </w:r>
    </w:p>
    <w:p>
      <w:pPr/>
      <w:r>
        <w:rPr>
          <w:b/>
        </w:rPr>
        <w:t>Shared claim-specific concepts:</w:t>
      </w:r>
      <w:r>
        <w:t xml:space="preserve"> addition, compared, values, findings; EU scope visible. This is a provisional connection, not an outcome finding.</w:t>
      </w:r>
    </w:p>
    <w:p>
      <w:pPr>
        <w:pStyle w:val="SourceNote"/>
      </w:pPr>
      <w:r>
        <w:rPr>
          <w:b/>
        </w:rPr>
        <w:t>Available abstract (not full text):</w:t>
      </w:r>
      <w:r>
        <w:t xml:space="preserve"> Constrained presidents considerably use going-public strategies among their possible patterns of behaviour. However, presidential going public is under-investigated in Europe. This paper specifically addresses this gap in literature by focusing on New Year (NY) and Christmas (CH) speeches of Western European presidents in office since the 1990s. The paper aims at investigating if and to what extent policy issues are relevant in their public discourse and what issues they specifically prime. This is a comparative research involving four semi-presidential (Austria, Finland, Ireland and Portugal) and two parliamentary regimes (Germany and Italy) for a total of 21 presidents and 144 speeches. By combining qualitative content analysis and descriptive statistics the most relevant coding references have been linked to the characteristics of presidents (i.e. their party family and their term of office) as well as to the characteristics of the political system where they operate (parliamentary vs. semi-presidential systems) to understand if certain specific patterns may be identified or not. The main findings are that although policy issues are not always the most developed compared to polity issues and values, presidents often succeed in transforming a ceremonial speech into a means of agenda setting. In addition, domestic issues are more developed than EU and foreign policy issues in </w:t>
      </w:r>
    </w:p>
    <w:p>
      <w:pPr/>
      <w:r>
        <w:rPr>
          <w:b/>
        </w:rPr>
        <w:t>POSSIBLE 2024:</w:t>
      </w:r>
      <w:r>
        <w:t xml:space="preserve"> Soil bulk density assessment in Europe — https://doi.org/10.1016/j.agee.2024.108907</w:t>
      </w:r>
    </w:p>
    <w:p>
      <w:pPr/>
      <w:r>
        <w:rPr>
          <w:b/>
        </w:rPr>
        <w:t>Shared claim-specific concepts:</w:t>
      </w:r>
      <w:r>
        <w:t xml:space="preserve"> compared, very, good;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European soybean to benefit people and the environment — https://doi.org/10.1038/s41598-024-57522-z</w:t>
      </w:r>
    </w:p>
    <w:p>
      <w:pPr/>
      <w:r>
        <w:rPr>
          <w:b/>
        </w:rPr>
        <w:t>Shared claim-specific concepts:</w:t>
      </w:r>
      <w:r>
        <w:t xml:space="preserve"> addition, compared, findings; EU scope visible. This is a provisional connection, not an outcome finding.</w:t>
      </w:r>
    </w:p>
    <w:p>
      <w:pPr>
        <w:pStyle w:val="SourceNote"/>
      </w:pPr>
      <w:r>
        <w:rPr>
          <w:b/>
        </w:rPr>
        <w:t>Available abstract (not full text):</w:t>
      </w:r>
      <w:r>
        <w:t xml:space="preserve"> Abstract Europe imports large amounts of soybean that are predominantly used for livestock feed, mainly sourced from Brazil, USA and Argentina. In addition, the demand for GM-free soybean for human consumption is project to increase. Soybean has higher protein quality and digestibility than other legumes, along with high concentrations of isoflavones, phytosterols and minerals that enhance the nutritional value as a human food ingredient. Here, we examine the potential to increase soybean production across Europe for livestock feed and direct human consumption, and review possible effects on the environment and human health. Simulations and field data indicate rainfed soybean yields of 3.1 ± 1.2 t ha−1 from southern UK through to southern Europe (compared to a 3.5 t ha−1 average from North America). Drought-prone southern regions and cooler northern regions require breeding to incorporate stress-tolerance traits. Literature synthesized in this work evidenced soybean properties important to human nutrition, health, and traits related to food processing compared to alternative protein sources. While acknowledging the uncertainties inherent in any modelling exercise, our findings suggest that further integrating soybean into European agriculture could reduce GHG emissions by 37–291 Mt CO2e year−1 and fertiliser N use by 0.6–1.2 Mt year−1, concurrently improving human health and nu</w:t>
      </w:r>
    </w:p>
    <w:p>
      <w:pPr/>
      <w:r>
        <w:rPr>
          <w:b/>
        </w:rPr>
        <w:t>POSSIBLE 2024:</w:t>
      </w:r>
      <w:r>
        <w:t xml:space="preserve"> Enforcement actions against European banks in the years 2005–2022. Do financial penalties imposed on European banks follow any patterns? — https://doi.org/10.1057/s41261-024-00242-1</w:t>
      </w:r>
    </w:p>
    <w:p>
      <w:pPr/>
      <w:r>
        <w:rPr>
          <w:b/>
        </w:rPr>
        <w:t>Shared claim-specific concepts:</w:t>
      </w:r>
      <w:r>
        <w:t xml:space="preserve"> bank, database, approach, countries; EU scope visible. This is a provisional connection, not an outcome finding.</w:t>
      </w:r>
    </w:p>
    <w:p>
      <w:pPr>
        <w:pStyle w:val="SourceNote"/>
      </w:pPr>
      <w:r>
        <w:rPr>
          <w:b/>
        </w:rPr>
        <w:t>Available abstract (not full text):</w:t>
      </w:r>
      <w:r>
        <w:t xml:space="preserve"> Abstract This study aims to identify, by year and over the entire period under study (2005–2022), the countries with the most restrictive bank sanctioning policies in terms of amounts and numbers of penalties to point out the most active institutions in terms of imposing penalties, and to determine the regularities governing the process of imposing these burdens. Using linear ordering methods, groups of countries with similar levels of supervisory stringency identified with one of the supervisory actions, which are financial penalties, are distinguished. A total of 53 banks (the 50 largest European banks and an additional three banks designated as G-SIIs by the EBA) are identified from a constructed database of more than 300 European banks with penalties imposed between 2005 and 2022. The study’s conclusions indicate that the frequency of penalties cannot be clearly equated with the restrictiveness of supervisory institutions, as evidenced by the example of Hungary (multiplication of small penalties). The positioning of countries regarding the number of penalties, their value and grouping using linear ordering allows the conclusion that highly developed countries are characterized by relatively high restrictiveness. The results also show the difference between the Anglo-Saxon and continental models. The analysis in this article is the first comprehensive study of penalties impo</w:t>
      </w:r>
    </w:p>
    <w:p>
      <w:pPr/>
      <w:r>
        <w:rPr>
          <w:b/>
        </w:rPr>
        <w:t>POSSIBLE 2024:</w:t>
      </w:r>
      <w:r>
        <w:t xml:space="preserve"> An evaluation of the inflation forecasting performance of the European Central Bank, the Federal Reserve, and the Bank of England — https://doi.org/10.1002/for.3063</w:t>
      </w:r>
    </w:p>
    <w:p>
      <w:pPr/>
      <w:r>
        <w:rPr>
          <w:b/>
        </w:rPr>
        <w:t>Shared claim-specific concepts:</w:t>
      </w:r>
      <w:r>
        <w:t xml:space="preserve"> bank, very, approach; EU scope visible. This is a provisional connection, not an outcome finding.</w:t>
      </w:r>
    </w:p>
    <w:p>
      <w:pPr>
        <w:pStyle w:val="SourceNote"/>
      </w:pPr>
      <w:r>
        <w:rPr>
          <w:b/>
        </w:rPr>
        <w:t>Available abstract (not full text):</w:t>
      </w:r>
      <w:r>
        <w:t xml:space="preserve"> Abstract We provide an overview of the formulation of the forecasts of the European Central Bank, the Federal Reserve, and the Bank of England. We also provide statistical assessments of the performance of the forecasting process of those central banks. We find that the inflation forecasts have, by‐and‐large, been unbiased and efficient at the very short‐term forecast horizon. The performance deteriorates over longer horizons. This latter finding could be attributable, inter alia, to the approach applied in the integration in the forecasting process of the assumptions on the future market‐implied interest rate path.</w:t>
      </w:r>
    </w:p>
    <w:p>
      <w:pPr>
        <w:pStyle w:val="Heading2"/>
      </w:pPr>
      <w:r>
        <w:t>615. Proposals of European Citizens for Reviving the Future of Shrinking Areas</w:t>
      </w:r>
    </w:p>
    <w:p>
      <w:pPr>
        <w:pStyle w:val="SourceNote"/>
      </w:pPr>
      <w:r>
        <w:rPr>
          <w:b/>
        </w:rPr>
        <w:t>Original source (2021):</w:t>
      </w:r>
      <w:r>
        <w:t xml:space="preserve"> https://doi.org/10.2478/quageo-2021-0039</w:t>
      </w:r>
    </w:p>
    <w:p>
      <w:pPr/>
      <w:r>
        <w:t>Original wording (abstract; indexed_source_text_not_full_document_verified): Shrinkage, depopulation and the related structural decline threaten development trajectories of more than a quarter of European territories from the present until 2050. The article also discusses the content of citizens’ ideas for the future of shrinking areas, thus offering concrete proposals that may fuel the definition of future policy agendas.</w:t>
      </w:r>
    </w:p>
    <w:p>
      <w:pPr/>
      <w:r>
        <w:rPr>
          <w:b/>
        </w:rPr>
        <w:t>POSSIBLE 2026:</w:t>
      </w:r>
      <w:r>
        <w:t xml:space="preserve"> Tourism in Depopulation Contexts: A Hybrid Bibliometric and Narrative Systematic Review — https://doi.org/10.3390/world7030040</w:t>
      </w:r>
    </w:p>
    <w:p>
      <w:pPr/>
      <w:r>
        <w:rPr>
          <w:b/>
        </w:rPr>
        <w:t>Shared claim-specific concepts:</w:t>
      </w:r>
      <w:r>
        <w:t xml:space="preserve"> depopulation, decline, trajectories; EU scope visible. This is a provisional connection, not an outcome finding.</w:t>
      </w:r>
    </w:p>
    <w:p>
      <w:pPr>
        <w:pStyle w:val="SourceNote"/>
      </w:pPr>
      <w:r>
        <w:rPr>
          <w:b/>
        </w:rPr>
        <w:t>Available abstract (not full text):</w:t>
      </w:r>
      <w:r>
        <w:t xml:space="preserve"> Depopulation threatens livelihoods, services, and cultural landscapes. In the scientific literature, tourism is frequently discussed as a potential lever in depopulation contexts, yet reported demographic outcomes vary widely across settings. We conducted a PRISMA-informed systematic review of Web of Science and Scopus (1993–2025), identifying 268 articles that were coded using a hybrid bibliometric–narrative approach into thematic axes and reported effect directions (positive, neutral, negative). Reported outcomes are heterogeneous and conditional rather than uniform. Tourism is associated with positive demographic trajectories, primarily where it is embedded in diversified local economies, supported by strong social capital, and integrated into coordinated governance and planning frameworks; negative or neutral outcomes recur under tourism monoculture, strong seasonality, housing pressure, and weak territorial regulation. Keyword co-occurrence and narrative analyses identify three dominant thematic clusters (rural development, spatial–cultural transformation, and sustainability) structured around depopulation as the central conceptual node. The geography of knowledge production further indicates a strong European concentration, particularly in Southern Europe, where tourism is explicitly framed as a policy response to demographic decline, while non-European research adopts mo</w:t>
      </w:r>
    </w:p>
    <w:p>
      <w:pPr/>
      <w:r>
        <w:rPr>
          <w:b/>
        </w:rPr>
        <w:t>POSSIBLE 2026:</w:t>
      </w:r>
      <w:r>
        <w:t xml:space="preserve"> Understanding the sociodemographic component of urban shrinkage exemplified by mono-industrial towns in Latvia — https://doi.org/10.2478/environ-2026-0018</w:t>
      </w:r>
    </w:p>
    <w:p>
      <w:pPr/>
      <w:r>
        <w:rPr>
          <w:b/>
        </w:rPr>
        <w:t>Shared claim-specific concepts:</w:t>
      </w:r>
      <w:r>
        <w:t xml:space="preserve"> abstract, shrinkage, depopulation, decline, trajectories, shrinking; EU scope visible. This is a provisional connection, not an outcome finding.</w:t>
      </w:r>
    </w:p>
    <w:p>
      <w:pPr>
        <w:pStyle w:val="SourceNote"/>
      </w:pPr>
      <w:r>
        <w:rPr>
          <w:b/>
        </w:rPr>
        <w:t>Available abstract (not full text):</w:t>
      </w:r>
      <w:r>
        <w:t xml:space="preserve"> Abstract This study examined the demographic and socioeconomic transformations of Latvia’s mono-industrial towns, focusing on the interplay between geographic location, demographic structure, and socioeconomic change in shaping their resilience and decline. This exploratory study aimed to characterise the demographic and socioeconomic patterns associated with these divergent trajectories over the past two decades, including depopulation, economic restructuring, and population ageing, rather than establishing the causal mechanisms behind them. This study conducted an analysis and comparison of 13 mono-industrial towns, categorising them based on a range of demographic and socioeconomic variables. We employed an exploratory quantitative approach, applying Pearson’s bivariate correlation analysis to census data (2000 and 2021) to examine the associations among population change, ageing, out-migration, and economic inactivity. Given the small number of towns analysed, these associations are interpreted as descriptive rather than causal and are contextualised by the authors’ field knowledge of the settlements. The results reveal regional disparities: towns within the capital city of Riga’s metropolitan region benefit from suburbanisation and retain younger populations, whereas non-metropolitan peripheral mono-industrial towns face compounded disadvantages, including accelerated agei</w:t>
      </w:r>
    </w:p>
    <w:p>
      <w:pPr/>
      <w:r>
        <w:rPr>
          <w:b/>
        </w:rPr>
        <w:t>POSSIBLE 2026:</w:t>
      </w:r>
      <w:r>
        <w:t xml:space="preserve"> Depopulation and Sustainable Territorial Governance: A Multilevel Analysis of Strategic Response Patterns in Poland — https://doi.org/10.3390/su18115434</w:t>
      </w:r>
    </w:p>
    <w:p>
      <w:pPr/>
      <w:r>
        <w:rPr>
          <w:b/>
        </w:rPr>
        <w:t>Shared claim-specific concepts:</w:t>
      </w:r>
      <w:r>
        <w:t xml:space="preserve"> shrinkage, depopulation, related, structural; EU scope visible. This is a provisional connection, not an outcome finding.</w:t>
      </w:r>
    </w:p>
    <w:p>
      <w:pPr>
        <w:pStyle w:val="SourceNote"/>
      </w:pPr>
      <w:r>
        <w:rPr>
          <w:b/>
        </w:rPr>
        <w:t>Available abstract (not full text):</w:t>
      </w:r>
      <w:r>
        <w:t xml:space="preserve"> Depopulation constitutes a fundamental challenge for territorial governance, particularly within the framework of sustainable development; however, its representation in local strategic documents remains insufficiently explored. This study aims to identify and compare strategic responses to depopulation across two contrasting Polish regions—Dolnośląskie Voivodeship and Podlaskie Voivodeship—and three governance levels: regional, county, and municipal. An abductive mixed-methods approach was applied, combining discourse analysis with latent semantic analysis (LDA), and principal component analysis (PCA). The findings reveal a clear dominance of the pro-growth paradigm, while the adaptive approach associated with managed shrinkage remains marginal. Regional differences are primarily observed in problem framing—functional in Dolnośląskie and demographic in Podlaskie—but these distinctions do not significantly affect the types of policy responses. Structural instruments, particularly those related to consolidation, prevail, whereas functional and competency-based measures are less prominent. The results suggest the existence of a standardized model of strategic response to depopulation across regions and governance levels. This indicates limited diversification of policy approaches and highlights the need to more fully integrate adaptive strategies into territorial policy, especial</w:t>
      </w:r>
    </w:p>
    <w:p>
      <w:pPr/>
      <w:r>
        <w:rPr>
          <w:b/>
        </w:rPr>
        <w:t>POSSIBLE 2026:</w:t>
      </w:r>
      <w:r>
        <w:t xml:space="preserve"> Analysis of housing in depopulated rural areas: a transnational comparison — https://doi.org/10.4995/vlc.2026.25269</w:t>
      </w:r>
    </w:p>
    <w:p>
      <w:pPr/>
      <w:r>
        <w:rPr>
          <w:b/>
        </w:rPr>
        <w:t>Shared claim-specific concepts:</w:t>
      </w:r>
      <w:r>
        <w:t xml:space="preserve"> depopulation, areas, offering; EU scope visible. This is a provisional connection, not an outcome finding.</w:t>
      </w:r>
    </w:p>
    <w:p>
      <w:pPr>
        <w:pStyle w:val="SourceNote"/>
      </w:pPr>
      <w:r>
        <w:rPr>
          <w:b/>
        </w:rPr>
        <w:t>Available abstract (not full text):</w:t>
      </w:r>
      <w:r>
        <w:t xml:space="preserve"> Depopulation consists of the decrease in the number of inhabitants of a region, and in Europe, isconcentrated in rural areas. The state-of-the-art reveals that there has been extensive research across multipledisciplines, but that studies on housing are scarce. However, having a home, although not sufficient, is necessary to inhabit a place. This study analyses housing in depopulated rural communities. A municipality in Spain andanother in Italy were selected, applying the comparative method. A top-down approach was used, creatingsystematic data collection sheets. This was complemented by a bottom-up perspective, which is particularlyrelevant in these areas, where macro data can obscure local data. Through visual inspection of the dwellings andsemi-structured interviews, detailed and up-to date data and GIS maps are provided, offering new synthetic andvisual information. The transnational analysis reveals similarities in the poor state of conservation of underutilised housing, which requires large investments, and little real estate activity. There are regional differences that affect the type of housing and demand. Finally, the importance of public administrations treating rural areas asa complement to urban areas in order to maintain territorial balance and equity is highlighted.</w:t>
      </w:r>
    </w:p>
    <w:p>
      <w:pPr/>
      <w:r>
        <w:rPr>
          <w:b/>
        </w:rPr>
        <w:t>POSSIBLE 2026:</w:t>
      </w:r>
      <w:r>
        <w:t xml:space="preserve"> Rural depopulation and the decline of vernacular architecture: an analysis of physical vulnerability in Bragança district, Portugal — https://doi.org/10.1007/s10901-026-10319-0</w:t>
      </w:r>
    </w:p>
    <w:p>
      <w:pPr/>
      <w:r>
        <w:rPr>
          <w:b/>
        </w:rPr>
        <w:t>Shared claim-specific concepts:</w:t>
      </w:r>
      <w:r>
        <w:t xml:space="preserve"> abstract, depopulation, decline, also, areas; EU scope visible. This is a provisional connection, not an outcome finding.</w:t>
      </w:r>
    </w:p>
    <w:p>
      <w:pPr>
        <w:pStyle w:val="SourceNote"/>
      </w:pPr>
      <w:r>
        <w:rPr>
          <w:b/>
        </w:rPr>
        <w:t>Available abstract (not full text):</w:t>
      </w:r>
      <w:r>
        <w:t xml:space="preserve"> Abstract Depopulation in rural areas poses significant threats to the preservation of vernacular architecture, a key representation of a region''s cultural and historical heritage. Across many rural regions of Southern Europe, depopulation has led to significant demographic and cultural shifts. In Portugal, this trend is evident in various interior regions, including the Bragança district where the population has decreased by approximately 47.4% between 1960 and 2021. Over the course of six decades, the district’s population has nearly halved, reflecting broader patterns of rural decline driven by urban migration, aging populations, and economic shifts.This study analyses the physical vulnerability of vernacular dwellings in the Bragança district, focusing on how population decline influences the risk of deterioration and loss. Using quantitative data from the National Institute of Statistics (INE) censuses from 1864 to 2021 for population data and from 2001 to 2021 for housing data. Adopting a methodology that enables a comparative and locally tailored evaluation, the study employs three vulnerability indicators: construction period, occupation form, and conservation state, as well as their combined effects. The results revealed that of the 22,877 dwellings identified as vernacular in 2001, only 18,212 remained by 2021, representing a loss of 20.4% over two decades. Furthermor</w:t>
      </w:r>
    </w:p>
    <w:p>
      <w:pPr/>
      <w:r>
        <w:rPr>
          <w:b/>
        </w:rPr>
        <w:t>POSSIBLE 2026:</w:t>
      </w:r>
      <w:r>
        <w:t xml:space="preserve"> Depopulation and Regional Sustainability: Structural Transformation and Economic Resilience in Post-Growth Japan — https://doi.org/10.3390/su18041841</w:t>
      </w:r>
    </w:p>
    <w:p>
      <w:pPr/>
      <w:r>
        <w:rPr>
          <w:b/>
        </w:rPr>
        <w:t>Shared claim-specific concepts:</w:t>
      </w:r>
      <w:r>
        <w:t xml:space="preserve"> depopulation, related, structural, decline, also, shrinking; EU scope not established. This is a provisional connection, not an outcome finding.</w:t>
      </w:r>
    </w:p>
    <w:p>
      <w:pPr>
        <w:pStyle w:val="SourceNote"/>
      </w:pPr>
      <w:r>
        <w:rPr>
          <w:b/>
        </w:rPr>
        <w:t>Available abstract (not full text):</w:t>
      </w:r>
      <w:r>
        <w:t xml:space="preserve"> This study examines long-term changes in regional productivity in Japan by analyzing real GDP per worker for all prefectures from 1975 to 2021 and real municipal GDP per working-age person for 29 municipalities in Mie Prefecture from 2011 to 2021. Using nationally deflated real output measures, the analysis reveals a consistent pattern across both prefectural and municipal levels: regions experiencing substantial declines in the working-age population often recorded notable increases in productivity. In contrast, major metropolitan prefectures such as Tokyo exhibited rising employment but only limited productivity gains. These findings challenge the conventional view that population decline inevitably leads to economic stagnation and instead suggest that demographic contraction may facilitate structural adjustment, adaptive resilience, and productivity enhancement in certain regional contexts. This multi-scale approach integrates long-term prefectural trends with detailed municipal-level dynamics, highlighting the importance of regional heterogeneity in Japan’s demographic and economic transitions. The study also acknowledges limitations related to data availability and the absence of region-specific price indices. Overall, the findings indicate that demographic decline and productivity growth are not mutually exclusive and that understanding regional adaptation to shrinking la</w:t>
      </w:r>
    </w:p>
    <w:p>
      <w:pPr/>
      <w:r>
        <w:rPr>
          <w:b/>
        </w:rPr>
        <w:t>POSSIBLE 2026:</w:t>
      </w:r>
      <w:r>
        <w:t xml:space="preserve"> Patterns of Loss: A Typology of Depopulating Cities in the USA — https://doi.org/10.3390/urbansci10030147</w:t>
      </w:r>
    </w:p>
    <w:p>
      <w:pPr/>
      <w:r>
        <w:rPr>
          <w:b/>
        </w:rPr>
        <w:t>Shared claim-specific concepts:</w:t>
      </w:r>
      <w:r>
        <w:t xml:space="preserve"> depopulation, decline, trajectories, article, shrinking; EU scope not established. This is a provisional connection, not an outcome finding.</w:t>
      </w:r>
    </w:p>
    <w:p>
      <w:pPr>
        <w:pStyle w:val="SourceNote"/>
      </w:pPr>
      <w:r>
        <w:rPr>
          <w:b/>
        </w:rPr>
        <w:t>Available abstract (not full text):</w:t>
      </w:r>
      <w:r>
        <w:t xml:space="preserve"> This article develops a typology of U.S. depopulating cities beyond the Rust Belt's iconic industrial cities, which dominate academic literature, to include a wider range of shrinking settlements in the shadows. Using population change from 1990–2020 and three explanatory dimensions—city size, industrial heritage, and peripheral location—the analysis identified 1,082 places that lost at least 10% of their population. Logistic regression showed manufacturing and mining reliance, small size, and remoteness as significant predictors of depopulation. Based on these factors, settlements are divided into seven types, from large urban centers to small peripheral towns with fewer than 5,000 people. The overwhelming predominance of small towns (97%) in the sample highlights their distinct development challenges and questions the narrative of decline focused solely on larger industrial cities. By situating American trajectories within the broader shrinking cities discourse, the findings demonstrate the value of typology as a methodological tool for identifying intra-group heterogeneity, capturing regional differences, and establishing a more reliable basis for comparative urban studies. Ultimately, the study shows that urban decline in the United States is not exclusively a Rust Belt phenomenon, but a multidimensional process encompassing different scales, sectors, and geographies.</w:t>
      </w:r>
    </w:p>
    <w:p>
      <w:pPr/>
      <w:r>
        <w:rPr>
          <w:b/>
        </w:rPr>
        <w:t>POSSIBLE 2026:</w:t>
      </w:r>
      <w:r>
        <w:t xml:space="preserve"> What Does Demographic Resilience Mean in the Context of Sustained Depopulation and Rapid Ageing? — https://doi.org/10.54694/dem.0382</w:t>
      </w:r>
    </w:p>
    <w:p>
      <w:pPr/>
      <w:r>
        <w:rPr>
          <w:b/>
        </w:rPr>
        <w:t>Shared claim-specific concepts:</w:t>
      </w:r>
      <w:r>
        <w:t xml:space="preserve"> depopulation, structural, decline, article, shrinking; EU scope not established. This is a provisional connection, not an outcome finding.</w:t>
      </w:r>
    </w:p>
    <w:p>
      <w:pPr>
        <w:pStyle w:val="SourceNote"/>
      </w:pPr>
      <w:r>
        <w:rPr>
          <w:b/>
        </w:rPr>
        <w:t>Available abstract (not full text):</w:t>
      </w:r>
      <w:r>
        <w:t xml:space="preserve"> Rapid ageing and sustained depopulation are reshaping the conditions under which societies maintain economic activity, social provision and institutional capacity. The study develops a conceptual framework for demographic resilience in contexts where population decline is not a temporary deviation but a long-term structural condition. The article defines resilience as the capacity of socio-demographic systems to maintain core societal functions under shrinking and ageing population structures. The framework links four interacting dimensions: economic adaptation; social and care provision; human capital formation and retention; and institutional capacity for anticipatory governance, policy coordination, and adaptive implementation. Methodologically, the article is based on a conceptual synthesis of resilience theory, demographic transition research and depopulation studies, complemented by an illustrative case study of Moldova. The article contributes to demographic debate by shifting attention from reversing decline to assessing how societies can adapt to persistent demographic constraints while preserving equity, service access and governance capacity.</w:t>
      </w:r>
    </w:p>
    <w:p>
      <w:pPr/>
      <w:r>
        <w:rPr>
          <w:b/>
        </w:rPr>
        <w:t>POSSIBLE 2026:</w:t>
      </w:r>
      <w:r>
        <w:t xml:space="preserve"> Impact of depopulated area designation policy on the population and employment in Japanese small and medium-sized cities — https://doi.org/10.1016/j.cities.2026.107366</w:t>
      </w:r>
    </w:p>
    <w:p>
      <w:pPr/>
      <w:r>
        <w:rPr>
          <w:b/>
        </w:rPr>
        <w:t>Shared claim-specific concepts:</w:t>
      </w:r>
      <w:r>
        <w:t xml:space="preserve"> depopulation, structural, decline; EU scope not established. This is a provisional connection, not an outcome finding.</w:t>
      </w:r>
    </w:p>
    <w:p>
      <w:pPr>
        <w:pStyle w:val="SourceNote"/>
      </w:pPr>
      <w:r>
        <w:rPr>
          <w:b/>
        </w:rPr>
        <w:t>Available abstract (not full text):</w:t>
      </w:r>
      <w:r>
        <w:t xml:space="preserve"> Small and medium-sized cities (SMCs) are vital to sustaining balanced national development. However, many SMCs have experienced significant population decline in recent years. This study examines the effects of Japan's Depopulated-Area-Designation (DAD) policy on population and employment in SMCs. Using a staggered difference-in-differences approach across municipalities designated at different times, we estimate the policy's demographic and employment impacts over a 30-year post-designation horizon. The results indicate that the DAD policy was not associated with significant population change during the main analysis period. Specifically, the policy neither increased nor decreased population levels within the first 15 years after designation. However, approximately 20 years after designation, populations began to decline sharply. The trend in employed persons closely mirrored this population decline, while the number of employed residents showed no significant change even 20 years after designation. These findings suggest that analyses limited to employed residents would fail to capture the subsequent decline in both population and employed persons observed after 20 years. In conclusion, the results suggest that although the DAD policy produced no short- or medium-term effects, disadvantages may emerge in the long term. These findings are striking because they contradict the g</w:t>
      </w:r>
    </w:p>
    <w:p>
      <w:pPr/>
      <w:r>
        <w:rPr>
          <w:b/>
        </w:rPr>
        <w:t>POSSIBLE 2025:</w:t>
      </w:r>
      <w:r>
        <w:t xml:space="preserve"> Biodiversity change under human depopulation in Japan — https://doi.org/10.1038/s41893-025-01578-w</w:t>
      </w:r>
    </w:p>
    <w:p>
      <w:pPr/>
      <w:r>
        <w:rPr>
          <w:b/>
        </w:rPr>
        <w:t>Shared claim-specific concepts:</w:t>
      </w:r>
      <w:r>
        <w:t xml:space="preserve"> abstract, depopulation, also, areas; EU scope not established. This is a provisional connection, not an outcome finding.</w:t>
      </w:r>
    </w:p>
    <w:p>
      <w:pPr>
        <w:pStyle w:val="SourceNote"/>
      </w:pPr>
      <w:r>
        <w:rPr>
          <w:b/>
        </w:rPr>
        <w:t>Available abstract (not full text):</w:t>
      </w:r>
      <w:r>
        <w:t xml:space="preserve"> Abstract Global studies consistently highlight a direct relationship between habitat and species losses, and human population and economic growth. Nevertheless, countries are experiencing below-replacement human fertility and starting to depopulate; among these countries, Japan is a global forerunner. To better understand whether human depopulation automatically yields environmentally restorative outcomes, we examine the impacts of human depopulation on aspects of biodiversity in Japan. Alongside population, land use and surface temperature, we analyse biodiversity change among 464 taxonomic species of bird, butterfly, firefly and frog egg masses, and 2,922 native and non-native plant species in wooded, agricultural and peri-urban landscapes across Japan over periods of 5–17 years from 2004. Irrespective of human population increase or decrease, biodiversity losses continue among most species studied mainly because of change in agricultural land use, either due to urbanization, disuse and abandonment, or intensification. Only where human numbers are currently stable, biodiversity is also more stable, although we anticipate that this may also change as ageing deepens into depopulation in these areas. We conclude by urging countries facing depopulation to account for its outcomes in their biodiversity conservation and restoration strategies.</w:t>
      </w:r>
    </w:p>
    <w:p>
      <w:pPr/>
      <w:r>
        <w:rPr>
          <w:b/>
        </w:rPr>
        <w:t>POSSIBLE 2025:</w:t>
      </w:r>
      <w:r>
        <w:t xml:space="preserve"> Shaping the Residential Attractiveness of Towns in Lesser Poland in the Context of Urban Shrinkage — https://doi.org/10.2478/he-2025-0031</w:t>
      </w:r>
    </w:p>
    <w:p>
      <w:pPr/>
      <w:r>
        <w:rPr>
          <w:b/>
        </w:rPr>
        <w:t>Shared claim-specific concepts:</w:t>
      </w:r>
      <w:r>
        <w:t xml:space="preserve"> abstract, shrinkage, depopulation, decline, present, article; EU scope visible. This is a provisional connection, not an outcome finding.</w:t>
      </w:r>
    </w:p>
    <w:p>
      <w:pPr>
        <w:pStyle w:val="SourceNote"/>
      </w:pPr>
      <w:r>
        <w:rPr>
          <w:b/>
        </w:rPr>
        <w:t>Available abstract (not full text):</w:t>
      </w:r>
      <w:r>
        <w:t xml:space="preserve"> Abstract This article addresses the challenge of enhancing the residential attractiveness of towns experiencing rapid population decline and demographic aging. The aim of the study is to analyse and evaluate the actions undertaken by towns in Lesser Poland to improve residential appeal in the face of depopulation, and to identify key determinants and tools for mitigating the negative effects of these processes. The spatial scope includes 12 small towns in the region characterized by depopulation both within the town and its immediate surroundings. The temporal scope covers the early 21st century to the present. The research methodology combines quantitative methods (statistical data analysis, Webb’s typology) with qualitative approaches (analysis of strategic, revitalization, and planning documents). The study also includes a literature review and an examination of official websites and social media platform. The studied towns counteract depopulation by focusing on enhancing residential attractiveness through housing development, revitalization, improved quality of life, and rational spatial management.</w:t>
      </w:r>
    </w:p>
    <w:p>
      <w:pPr/>
      <w:r>
        <w:rPr>
          <w:b/>
        </w:rPr>
        <w:t>POSSIBLE 2025:</w:t>
      </w:r>
      <w:r>
        <w:t xml:space="preserve"> Thriving or sinking? The emplacement process of Ukrainian refugees in depopulating, peripheral areas in the Netherlands — https://doi.org/10.1111/geoj.12621</w:t>
      </w:r>
    </w:p>
    <w:p>
      <w:pPr/>
      <w:r>
        <w:rPr>
          <w:b/>
        </w:rPr>
        <w:t>Shared claim-specific concepts:</w:t>
      </w:r>
      <w:r>
        <w:t xml:space="preserve"> abstract, depopulation, areas; EU scope visible. This is a provisional connection, not an outcome finding.</w:t>
      </w:r>
    </w:p>
    <w:p>
      <w:pPr>
        <w:pStyle w:val="SourceNote"/>
      </w:pPr>
      <w:r>
        <w:rPr>
          <w:b/>
        </w:rPr>
        <w:t>Available abstract (not full text):</w:t>
      </w:r>
      <w:r>
        <w:t xml:space="preserve"> Abstract The ‘free‐to‐work, free‐to‐settle’ feature of the EU's temporary protection for Ukrainian refugees has led millions to various locations, with the majority gravitating towards urban areas. However, due to housing shortages, a significant number have moved to peripheral municipalities experiencing depopulation. These refugees often find themselves in villages without a network and where the Ukrainian diaspora is small or non‐existent. Reflecting on their settlement and everyday ‘unproblematic’ encounters (conviviality) with neighbours, colleagues at work, and networks at various institutions in Het Hogeland and Pekela, The Netherlands, this analysis explores the emplacement process of Ukrainian refugees. Based on this reflection, the paper aims to address the question: Which factors facilitate or hinder positive encounters among Ukrainian refugees in these peripheral areas, motivating them to (re)consider taking root in these host localities?</w:t>
      </w:r>
    </w:p>
    <w:p>
      <w:pPr>
        <w:pStyle w:val="Heading2"/>
      </w:pPr>
      <w:r>
        <w:t>616. Red squirrel (Sciurus vulgaris) habitats change modelling in Eastern Europe in the scope of climate change according to new generation scenarios (SSPs) by 2100</w:t>
      </w:r>
    </w:p>
    <w:p>
      <w:pPr>
        <w:pStyle w:val="SourceNote"/>
      </w:pPr>
      <w:r>
        <w:rPr>
          <w:b/>
        </w:rPr>
        <w:t>Original source (2021):</w:t>
      </w:r>
      <w:r>
        <w:t xml:space="preserve"> https://doi.org/10.15407/tu2013</w:t>
      </w:r>
    </w:p>
    <w:p>
      <w:pPr/>
      <w:r>
        <w:t>Original wording (abstract; indexed_source_text_not_full_document_verified): We took into account materials on S. vulgaris (and S. anomalus) distribution, as well as selected associated species, and the WorldClim with respective maps and current bioclimatic variables, and its projections for four relevant scenarios which combined SSPs &amp; RCPs by 2100. Consequently, the new projections demonstrated that all habitats of the red squirrel and associated species are expected to shift mostly ‘to the north’ by 2100, and their localities in the Caucasus Mountain areas might be fragmented.</w:t>
      </w:r>
    </w:p>
    <w:p>
      <w:pPr/>
      <w:r>
        <w:rPr>
          <w:b/>
        </w:rPr>
        <w:t>POSSIBLE 2026:</w:t>
      </w:r>
      <w:r>
        <w:t xml:space="preserve"> Varieties of Psychologization in Communist Europe — https://doi.org/10.1093/9780197773529.001.0001</w:t>
      </w:r>
    </w:p>
    <w:p>
      <w:pPr/>
      <w:r>
        <w:rPr>
          <w:b/>
        </w:rPr>
        <w:t>Shared claim-specific concepts:</w:t>
      </w:r>
      <w:r>
        <w:t xml:space="preserve"> took, account, four; EU scope visible. This is a provisional connection, not an outcome finding.</w:t>
      </w:r>
    </w:p>
    <w:p>
      <w:pPr>
        <w:pStyle w:val="SourceNote"/>
      </w:pPr>
      <w:r>
        <w:rPr>
          <w:b/>
        </w:rPr>
        <w:t>Available abstract (not full text):</w:t>
      </w:r>
      <w:r>
        <w:t xml:space="preserve"> Abstract Varieties of Psychologization in Communist Europe brings together nine in-depth case studies and four commentaries to rethink the impact of psychology in twentieth-century Europe. Challenging enduring assumptions that psychological knowledge is inherently tied to Western capitalism, liberalism, and individualism, this volume demonstrates that psychological concepts, practices, and forms of expertise also took root in socialist societies—albeit in historically specific and politically contingent ways. The case studies trace how psychological and psychotherapeutic knowledge circulated and was adapted across diverse national and disciplinary contexts after World War II. They show how psychologists negotiated ideological constraints and material limitations to assert the social usefulness of psychological expertise, whether with or without explicit approval from state authorities. Rather than presenting a monolithic socialist psychology or a uniform process of psychologization, the volume emphasizes the plurality of its forms, shaped by local political constellations, professional cultures, and transnational exchanges. The concluding commentaries situate these findings within broader debates in the history of psychology and the human sciences. They argue for a decentered history of psychological knowledge that takes non-Western and non-liberal contexts into account and con</w:t>
      </w:r>
    </w:p>
    <w:p>
      <w:pPr/>
      <w:r>
        <w:rPr>
          <w:b/>
        </w:rPr>
        <w:t>POSSIBLE 2026:</w:t>
      </w:r>
      <w:r>
        <w:t xml:space="preserve"> Diversity and zoogeography of mammals at the Levantine Land Bridge, Jordan — https://doi.org/10.13057/biodiv/d270709</w:t>
      </w:r>
    </w:p>
    <w:p>
      <w:pPr/>
      <w:r>
        <w:rPr>
          <w:b/>
        </w:rPr>
        <w:t>Shared claim-specific concepts:</w:t>
      </w:r>
      <w:r>
        <w:t xml:space="preserve"> distribution, species, current; EU scope not established. This is a provisional connection, not an outcome finding.</w:t>
      </w:r>
    </w:p>
    <w:p>
      <w:pPr>
        <w:pStyle w:val="SourceNote"/>
      </w:pPr>
      <w:r>
        <w:rPr>
          <w:b/>
        </w:rPr>
        <w:t>Available abstract (not full text):</w:t>
      </w:r>
      <w:r>
        <w:t xml:space="preserve"> Abstract. Abu Baker MA, Amr ZS. 2026. Diversity and zoogeography of mammals at the Levantine Land Bridge, Jordan. Biodiversitas 27 (7): d270709. https://doi.org/10.13057/biodiv/d270709. Jordan hosts a remarkably diverse mammalian fauna owing to its position at the intersection of three major zoogeographic realms (Afrotropical, Oriental, and Palaearctic) within the Levantine Land Bridge. This study aims to synthesize current knowledge of mammalian diversity in Jordan and interpret its biogeographic patterns in relation to habitat heterogeneity and historical processes. The analysis is based on published records, faunal surveys, and historical accounts documenting species occurrence across the country. A total of 83 mammalian species representing 8 orders have been recorded in Jordan, reflecting both wide-ranging taxa and habitat-restricted specialists. Zoogeographically, 46.84% of species are of Palaearctic origin, 31.65% Saharo-Sindian, 16.46% Afrotropical, and 7.59% Oriental. Approximately 39.24% of species are habitat-restricted, while 39.24% occur at the edges of their global distribution ranges. Species distributions correspond strongly to ecological gradients: forest-associated taxa, such as wood mice, stone marten, and several horseshoe bats, are largely confined to Mediterranean woodland habitats; Psammophilous gerbils occupy isolated sand dune systems within desert land</w:t>
      </w:r>
    </w:p>
    <w:p>
      <w:pPr/>
      <w:r>
        <w:rPr>
          <w:b/>
        </w:rPr>
        <w:t>POSSIBLE 2026:</w:t>
      </w:r>
      <w:r>
        <w:t xml:space="preserve"> Nosocomial outbreaks with rare yeasts: Trends, characteristics and preventive measures — https://doi.org/10.1016/j.jinf.2026.106765</w:t>
      </w:r>
    </w:p>
    <w:p>
      <w:pPr/>
      <w:r>
        <w:rPr>
          <w:b/>
        </w:rPr>
        <w:t>Shared claim-specific concepts:</w:t>
      </w:r>
      <w:r>
        <w:t xml:space="preserve"> anomalus, associated, species; EU scope not established. This is a provisional connection, not an outcome finding.</w:t>
      </w:r>
    </w:p>
    <w:p>
      <w:pPr>
        <w:pStyle w:val="SourceNote"/>
      </w:pPr>
      <w:r>
        <w:rPr>
          <w:b/>
        </w:rPr>
        <w:t>Available abstract (not full text):</w:t>
      </w:r>
      <w:r>
        <w:t xml:space="preserve"> OBJECTIVES: This narrative review aims to aggregate all reports of nosocomial transmission of rare yeast species, to provide an overview of global trends, causative species, clinical characteristics and preventive measures. METHODS: A comprehensive literature search of multiple databases was conducted, to identify all reported nosocomial transmission events involving rare yeast species. The five most common yeasts, Candida albicans, Nakaseomyces glabratus, Candida parapsilosis, Candida tropicalis and Pichia kudriavzevii, in addition to Candida auris were excluded. RESULTS: A total of 76 reports were retrieved since 1984, caused by 28 different species. Wickerhamoyces anomalus was the most common agent, followed by Magnusiomyces, Trichosporon and species of the Candida haemulonii complex. Since the early 2000s, a clear increase was noted both in the number of outbreak reports and range of associated species, largely due to improved diagnostics. Most species were resistant to one or multiple antifungals and although environmental sampling was often performed, virtually all efforts yielded negative results. Once noted, strict hand hygiene practices and proper cleaning and disinfection of medical equipment has shown in curbing nosocomial spread. CONCLUSION: As hospital outbreak events are increasingly reported, accurate species identification and epidemiological surveillance should</w:t>
      </w:r>
    </w:p>
    <w:p>
      <w:pPr/>
      <w:r>
        <w:rPr>
          <w:b/>
        </w:rPr>
        <w:t>POSSIBLE 2026:</w:t>
      </w:r>
      <w:r>
        <w:t xml:space="preserve"> Examining Instagram’s role in the illegal trade of the Caucasian squirrel — https://doi.org/10.1016/j.jnc.2026.127404</w:t>
      </w:r>
    </w:p>
    <w:p>
      <w:pPr/>
      <w:r>
        <w:rPr>
          <w:b/>
        </w:rPr>
        <w:t>Shared claim-specific concepts:</w:t>
      </w:r>
      <w:r>
        <w:t xml:space="preserve"> anomalus, species, four; EU scope not established. This is a provisional connection, not an outcome finding.</w:t>
      </w:r>
    </w:p>
    <w:p>
      <w:pPr>
        <w:pStyle w:val="SourceNote"/>
      </w:pPr>
      <w:r>
        <w:rPr>
          <w:b/>
        </w:rPr>
        <w:t>Available abstract (not full text):</w:t>
      </w:r>
      <w:r>
        <w:t xml:space="preserve"> Illegal wildlife trade is a major threat to biodiversity. In recent years, online platforms, particularly Instagram, have facilitated the widespread marketing of wild animals, enabling the trade. In this study, we analyzed Instagram posts to examine the illegal online trade of Caucasian squirrels ( Sciurus anomalus ) in Iran from August 2021 to January 2023. We found a total of 1,204 advertisements offering 1,494 individual squirrels, with the majority being juveniles. Only 25 posts listed prices, averaging USD 11.51. Most posts lacked geographic location. However, posts with a location tag were predominantly from the capital of Iran (Tehran). We employed a reflexive thematic analysis of advertisement captions and images that revealed four themes used by sellers: (1) emphasis on tameness, (2) persuasive communication to stimulate purchase, (3) legitimizing trade through captive breeding claims, and (4) controlled access. About half of the squirrels (n = 550) were shown in hand-held poses, and over a third were outside cages. The visual strategies used in the postings aimed to promote acceptance of close human-animal interaction and to emphasize the suitability of squirrels as pets. Temporally, postings were unevenly distributed throughout the year, with the highest numbers in April and August and the lowest in the winter months. Although seasonal differences were not statistica</w:t>
      </w:r>
    </w:p>
    <w:p>
      <w:pPr/>
      <w:r>
        <w:rPr>
          <w:b/>
        </w:rPr>
        <w:t>POSSIBLE 2025:</w:t>
      </w:r>
      <w:r>
        <w:t xml:space="preserve"> An updated checklist of the mammals of Türkiye — https://doi.org/10.55730/1300-0179.3232</w:t>
      </w:r>
    </w:p>
    <w:p>
      <w:pPr/>
      <w:r>
        <w:rPr>
          <w:b/>
        </w:rPr>
        <w:t>Shared claim-specific concepts:</w:t>
      </w:r>
      <w:r>
        <w:t xml:space="preserve"> distribution, well, species; EU scope not established. This is a provisional connection, not an outcome finding.</w:t>
      </w:r>
    </w:p>
    <w:p>
      <w:pPr>
        <w:pStyle w:val="SourceNote"/>
      </w:pPr>
      <w:r>
        <w:rPr>
          <w:b/>
        </w:rPr>
        <w:t>Available abstract (not full text):</w:t>
      </w:r>
      <w:r>
        <w:t xml:space="preserve"> Between 1982 and 2025, the number of extant wild mammal species worldwide rose from 4170 to 6706. The Turkish mammal fauna also showed a similar trend, with the number of mammal species listed for Türkiye rising from 89 to 173 in just 33 years, from 1989 to 2021. A shift in species numbers like this calls for regular updates to Türkiye’s mammal species lists as well as the preparation of new checklists. Apart from changes in the number of species, numerous taxonomic changes and rearrangements also lead to changes in mammal lists. We arranged an updated mammal checklist by reviewing the literature and identifying additions, deletions, and changes in the mammal fauna of Türkiye. This study presents the occurrence of 177 wild mammal species, comprising 165 terrestrial and 12 marine mammal species in Türkiye. Among them, 13 are endemic and 12 are regionally endemic terrestrial mammal species to Türkiye. Türkiye also has 10 domestic mammal species. Furthermore, it is anticipated that 16 mammal species with close geographic distribution ranges to Türkiye may be reported in future checklists for Türkiye.</w:t>
      </w:r>
    </w:p>
    <w:p>
      <w:pPr/>
      <w:r>
        <w:rPr>
          <w:b/>
        </w:rPr>
        <w:t>POSSIBLE 2025:</w:t>
      </w:r>
      <w:r>
        <w:t xml:space="preserve"> Update of the list of qualified presumption of safety (QPS) recommended microbiological agents intentionally added to food or feed as notified to EFSA 21: Suitability of taxonomic units notified to EFSA until September 2024 — https://doi.org/10.2903/j.efsa.2025.9169</w:t>
      </w:r>
    </w:p>
    <w:p>
      <w:pPr/>
      <w:r>
        <w:rPr>
          <w:b/>
        </w:rPr>
        <w:t>Shared claim-specific concepts:</w:t>
      </w:r>
      <w:r>
        <w:t xml:space="preserve"> species, respective; EU scope not established. This is a provisional connection, not an outcome finding.</w:t>
      </w:r>
    </w:p>
    <w:p>
      <w:pPr>
        <w:pStyle w:val="SourceNote"/>
      </w:pPr>
      <w:r>
        <w:rPr>
          <w:b/>
        </w:rPr>
        <w:t>Available abstract (not full text):</w:t>
      </w:r>
      <w:r>
        <w:t xml:space="preserve"> Abstract The qualified presumption of safety (QPS) process was developed to provide a safety assessment approach for microorganisms intended for use in food or feed chains. In the period covered by this Statement, no new information was found that would change the status of previously recommended QPS taxonomic units (TUs). The TUs in the QPS list were updated based on a verification, against their respective authoritative databases, of the correctness of the names and completeness of synonyms. Of 54 microorganisms notified to EFSA between April and September 2024 (33 as feed additives, 17 as food enzymes or additives, 4 as novel foods), 50 were not evaluated because: 12 were filamentous fungi, 1 was Enterococcus faecium and 8 were Escherichia coli (all excluded from the QPS evaluation), and 29 were TUs that already have a QPS status. One notification (Ensifer adhaerens) was already evaluated in a previous Panel Statement. Another notification (Enterococcus lactis) was already evaluated in the previous 3‐year QPS cycle and was reassessed within this document. Two TUs were notified for the first time and were assessed for a possible QPS status: Serratia plymuthica and Lacticaseibacillus huelsenbergensis. Bacillus thuringiensis and Bacillus nakamurai have been assessed for a possible QPS status in response to internal requests. The following was concluded on the five assessed TUs.</w:t>
      </w:r>
    </w:p>
    <w:p>
      <w:pPr/>
      <w:r>
        <w:rPr>
          <w:b/>
        </w:rPr>
        <w:t>POSSIBLE 2025:</w:t>
      </w:r>
      <w:r>
        <w:t xml:space="preserve"> The European Bookshop Business Model — https://doi.org/10.4324/9781003615101</w:t>
      </w:r>
    </w:p>
    <w:p>
      <w:pPr/>
      <w:r>
        <w:rPr>
          <w:b/>
        </w:rPr>
        <w:t>Shared claim-specific concepts:</w:t>
      </w:r>
      <w:r>
        <w:t xml:space="preserve"> account, current; EU scope visible. This is a provisional connection, not an outcome finding.</w:t>
      </w:r>
    </w:p>
    <w:p>
      <w:pPr>
        <w:pStyle w:val="SourceNote"/>
      </w:pPr>
      <w:r>
        <w:rPr>
          <w:b/>
        </w:rPr>
        <w:t>Available abstract (not full text):</w:t>
      </w:r>
      <w:r>
        <w:t xml:space="preserve"> Drawing on original primary data, this book offers a comparative account of the European bookshop model, charting how it has evolved in the contemporary economy, how recent industry transformations have impacted it, and how bookshops have sought to adapt to new market conditions. Covering the period from the fall of the Berlin Wall in 1989 up until the present day, this book considers the evolution, both historic and economic, of European countries and book markets to arrive at a broad picture of the European bookshop model today. It draws on interviews with over 250 book industry players across 23 countries to critically consider the evolution of systems, legislative frameworks, reading habits, competition, and market structure, situating these changes within a broader set of current issues and cultural shifts. Alongside the ongoing challenges posed by disruption – from digitization to a hyper-abundance of books – the author also reflects on the key strategies that bookshops have deployed to overcome them, including via collective action and curation. Depicting an uncertain outlook for the industry, including the impact of AI, this text nonetheless offers hope for the future of the bookshop and bears testament to its enduring social and cultural significance. The European Bookshop Business Model is recommended reading for advanced students and researchers in fields including B</w:t>
      </w:r>
    </w:p>
    <w:p>
      <w:pPr/>
      <w:r>
        <w:rPr>
          <w:b/>
        </w:rPr>
        <w:t>POSSIBLE 2024:</w:t>
      </w:r>
      <w:r>
        <w:t xml:space="preserve"> THE RIGHTS OF NON-RESIDENTS OF THE EUROPEAN ECONOMIC AREA TO USE BANK ACCOUNTS IN EUROPEAN BANKS — https://doi.org/10.34660/inf.2020.5.54192</w:t>
      </w:r>
    </w:p>
    <w:p>
      <w:pPr/>
      <w:r>
        <w:rPr>
          <w:b/>
        </w:rPr>
        <w:t>Shared claim-specific concepts:</w:t>
      </w:r>
      <w:r>
        <w:t xml:space="preserve"> current, four, relevant; EU scope visible. This is a provisional connection, not an outcome finding.</w:t>
      </w:r>
    </w:p>
    <w:p>
      <w:pPr>
        <w:pStyle w:val="SourceNote"/>
      </w:pPr>
      <w:r>
        <w:rPr>
          <w:b/>
        </w:rPr>
        <w:t>Available abstract (not full text):</w:t>
      </w:r>
      <w:r>
        <w:t xml:space="preserve"> The article explores some features of exemption from criminal liability for tax crimes and insurance crimes.The reasons and conditions are specified under which criminal proceedings against citizens (individuals) are terminated in connection with active repentance for economic crimes.Keywords: exemption from criminal liability, taxes and fees, insurance payments, insurance premiums, compensation for damages. Process Management and Scientific Developmentsthan ten percent of the amount payable, or non-payment in the amount of two million seven hundred thousand rubles or more.A particularly large amount, respectively, is four million five hundred thousand rubles, if this is more than twenty percent of the amount payable, or non-payment of more than thirteen million five hundred thousand rubles.Now let us dwell on the issue of the grounds for exemption from criminal liability for insurance crimes.So, on the basis of the current legislation, the guilty person is not subject to criminal prosecution if the criminal act was committed for the first time, full payment of arrears of insurance premiums will also be a necessary condition; fully refunded interest; full amount paid fine.To summarize what has been said, the following points can be distinguished.The Constitution of the Russian Federation obliges every employed citizen to pay legally established taxes and fees.Failure to comply </w:t>
      </w:r>
    </w:p>
    <w:p>
      <w:pPr/>
      <w:r>
        <w:rPr>
          <w:b/>
        </w:rPr>
        <w:t>POSSIBLE 2024:</w:t>
      </w:r>
      <w:r>
        <w:t xml:space="preserve"> Convergence of accounting systems through the lens of accounting theory and harmonization paradigms — https://doi.org/10.17072/1994-9960-2024-3-300-325</w:t>
      </w:r>
    </w:p>
    <w:p>
      <w:pPr/>
      <w:r>
        <w:rPr>
          <w:b/>
        </w:rPr>
        <w:t>Shared claim-specific concepts:</w:t>
      </w:r>
      <w:r>
        <w:t xml:space="preserve"> took, materials, well, relevant; EU scope visible. This is a provisional connection, not an outcome finding.</w:t>
      </w:r>
    </w:p>
    <w:p>
      <w:pPr>
        <w:pStyle w:val="SourceNote"/>
      </w:pPr>
      <w:r>
        <w:rPr>
          <w:b/>
        </w:rPr>
        <w:t>Available abstract (not full text):</w:t>
      </w:r>
      <w:r>
        <w:t xml:space="preserve"> Introduction. Contemporary research in international accounting lacks a thread linking the fundamental principles of accounting science to the key purpose of the accounting system – to promote the efficient allocation of capital by providing reliable and relevant information. This has led to the fact that accounting infrastructure focuses more on the interests of transnational companies, accounting standard makers and, in general, regional zones, which took advantage of the idea of global convergence for the sake of personal benefits, rather than on public purposes. Purpose. The aim is to show that the existing notions of global convergence of accounting systems are untenable and should be revised. To achieve the latter, the paper characterrizes the nature of convergence with accounting theory and harmonization paradigms. Materials and Methods. The work is theoretical; traditional scientific methods are used: a dialectical method of scientific cognition, a method of collecting theoretical and regulatory-legal information, a method of formalization, as well as analysis, synthesis, observation, and comparison. Results. The standards are perceived to be the benchmark of quality with no deductively-derived regulatory grounds in accounting science. This automatically gives rise to many contradictions and inconsistencies in understanding and applying existing accounting rules/princip</w:t>
      </w:r>
    </w:p>
    <w:p>
      <w:pPr/>
      <w:r>
        <w:rPr>
          <w:b/>
        </w:rPr>
        <w:t>POSSIBLE 2024:</w:t>
      </w:r>
      <w:r>
        <w:t xml:space="preserve"> Insights into the fine-scale habitat use of Eurasian Water Shrew ( Neomys fodiens ) using radio tracking and LiDAR — https://doi.org/10.1093/jmammal/gyae146</w:t>
      </w:r>
    </w:p>
    <w:p>
      <w:pPr/>
      <w:r>
        <w:rPr>
          <w:b/>
        </w:rPr>
        <w:t>Shared claim-specific concepts:</w:t>
      </w:r>
      <w:r>
        <w:t xml:space="preserve"> distribution, species, variables, combined; EU scope visible. This is a provisional connection, not an outcome finding.</w:t>
      </w:r>
    </w:p>
    <w:p>
      <w:pPr>
        <w:pStyle w:val="SourceNote"/>
      </w:pPr>
      <w:r>
        <w:rPr>
          <w:b/>
        </w:rPr>
        <w:t>Available abstract (not full text):</w:t>
      </w:r>
      <w:r>
        <w:t xml:space="preserve"> ) is one of the largest shrew (Soricidae) species in Eurasia. In Western Europe, this semiaquatic species often occurs in riparian and marshland habitats that have a high degree of naturalness, but is being threatened by habitat degradation and other anthropogenic factors. The species mostly occurs in low abundance and is elusive. Therefore, understanding its habitat use is challenging, yet imperative for establishing species-specific conservation measures. Technological developments in radio tracking and high-resolution remote sensing such as Light Detection And Ranging (LiDAR) now enable the quantification of ecological niches and provide insight into habitat requirements for a species. Here, we combined radio tracking and LiDAR to quantify habitat use by Eurasian water shrews. Alongside a lowland brook in the Netherlands, 20 individuals were tracked between September and October 2022, resulting in 332 unique locations of Eurasian water shrews. For each of these locations, 11 LiDAR-derived variables were calculated and subsequently analyzed in a species distribution model (SDM). The SDM yielded a model with a high accuracy (predictive performance AUC = 0.93). The variable of highest importance was dense and relatively short vegetation &lt;1 m, which had a positive effect on Eurasian Water Shrew occurrence. Open areas seem to be avoided. Vegetation of heights between 1 and 15 m w</w:t>
      </w:r>
    </w:p>
    <w:p>
      <w:pPr/>
      <w:r>
        <w:rPr>
          <w:b/>
        </w:rPr>
        <w:t>POSSIBLE 2024:</w:t>
      </w:r>
      <w:r>
        <w:t xml:space="preserve"> New Additions to the Mammal List Documented in the Portuguese Red Data Book — https://doi.org/10.3390/ani14172514</w:t>
      </w:r>
    </w:p>
    <w:p>
      <w:pPr/>
      <w:r>
        <w:rPr>
          <w:b/>
        </w:rPr>
        <w:t>Shared claim-specific concepts:</w:t>
      </w:r>
      <w:r>
        <w:t xml:space="preserve"> species, four, relevant; EU scope visible. This is a provisional connection, not an outcome finding.</w:t>
      </w:r>
    </w:p>
    <w:p>
      <w:pPr>
        <w:pStyle w:val="SourceNote"/>
      </w:pPr>
      <w:r>
        <w:rPr>
          <w:b/>
        </w:rPr>
        <w:t>Available abstract (not full text):</w:t>
      </w:r>
      <w:r>
        <w:t xml:space="preserve"> This study outlines the procedures used for collecting, processing, and categorizing data on 16 new mammal species for mainland Portugal, belonging to four taxonomic groups: Eulipotyphla (1), Chiroptera (4), Rodentia (2), and Cetacea (9). Data collection and processing encompassed field and lab work and bibliographic compilation. Data categorization involves, whenever possible, the assessment of the approximate number of mature individuals in populations, the extent of occurrence, and the area of occupancy. The approach employed led to the classification of eight out of the 16 species into an IUCN category: two non-volant small mammals and one bat species were designated as Vulnerable, requiring ongoing monitoring; one rodent and three cetaceans were assigned to Data Deficient due to insufficient available information; and a single bat species was classified as Least Concern due to the high abundance of local populations. For small mammals and bats, alterations to natural systems and climate change emerged as the most relevant threatening factors, while for cetaceans, human activities such as fishing, commercial shipping, and tourism were identified as the primary survival risks. It is recommended to maintain action programs that assist in defining strategic orientations for the implementation of conservation measures on a case-by-case basis.</w:t>
      </w:r>
    </w:p>
    <w:p>
      <w:pPr/>
      <w:r>
        <w:rPr>
          <w:b/>
        </w:rPr>
        <w:t>POSSIBLE 2023:</w:t>
      </w:r>
      <w:r>
        <w:t xml:space="preserve"> European Exchanges, Networks and Contexts — https://doi.org/10.3366/edinburgh/9781474499170.003.0016</w:t>
      </w:r>
    </w:p>
    <w:p>
      <w:pPr/>
      <w:r>
        <w:rPr>
          <w:b/>
        </w:rPr>
        <w:t>Shared claim-specific concepts:</w:t>
      </w:r>
      <w:r>
        <w:t xml:space="preserve"> took, account, distribution, well; EU scope visible. This is a provisional connection, not an outcome finding.</w:t>
      </w:r>
    </w:p>
    <w:p>
      <w:pPr>
        <w:pStyle w:val="SourceNote"/>
      </w:pPr>
      <w:r>
        <w:rPr>
          <w:b/>
        </w:rPr>
        <w:t>Available abstract (not full text):</w:t>
      </w:r>
      <w:r>
        <w:t xml:space="preserve"> This chapter investigates the development and integration of European news communication along with the formation of new types of news publication capable of conveying details and impressions of a rapidly changing geopolitical order to the first mass audiences. Particularly fertile generators of new genres were the Thirty Years War and English Civil War, which in turn received the effects of news distribution while supplying new material for consumption. New research demonstrates, for instance, that events occurring as far away as Naples were discussed in London, whereas Neapolitans took cues from regime-changing episodes in Civil War Britain. The study takes account of recent studies tending to emphasise continuities as well as discontinuities, not only between the press history of Britain and Ireland and the press history of neighbouring states, but also between the history of printed newspapers and of older media types.</w:t>
      </w:r>
    </w:p>
    <w:p>
      <w:pPr>
        <w:pStyle w:val="Heading2"/>
      </w:pPr>
      <w:r>
        <w:t>617. Regional growth and disparities in a post‐COVID Europe: A new normality scenario</w:t>
      </w:r>
    </w:p>
    <w:p>
      <w:pPr>
        <w:pStyle w:val="SourceNote"/>
      </w:pPr>
      <w:r>
        <w:rPr>
          <w:b/>
        </w:rPr>
        <w:t>Original source (2021):</w:t>
      </w:r>
      <w:r>
        <w:t xml:space="preserve"> https://doi.org/10.1111/jors.12542</w:t>
      </w:r>
    </w:p>
    <w:p>
      <w:pPr/>
      <w:r>
        <w:t>Original wording (abstract; indexed_source_text_not_full_document_verified): This paper addresses the important question "Which European areas will be able to better react to the crisis induced by COVID-19 and how regional disparities will look like?" To provide an answer, a "new normality" scenario is built, comprising the structural changes likely to take place in the aftermath of the COVID pandemic. First, short-run costs of the COVID-induced lockdowns, in terms of missed GDP, are calculated for all European NUTS2 regions, needed because of the lack of short-run statistics about the extent of the regional costs caused by the lockdowns that will only appear in 2 years.</w:t>
      </w:r>
    </w:p>
    <w:p>
      <w:pPr/>
      <w:r>
        <w:rPr>
          <w:b/>
        </w:rPr>
        <w:t>POSSIBLE 2025:</w:t>
      </w:r>
      <w:r>
        <w:t xml:space="preserve"> Futureproofing the healthcare workforce in Europe: understanding and addressing psychological distress and occupational outcomes — https://doi.org/10.1016/j.lanepe.2025.101463</w:t>
      </w:r>
    </w:p>
    <w:p>
      <w:pPr/>
      <w:r>
        <w:rPr>
          <w:b/>
        </w:rPr>
        <w:t>Shared claim-specific concepts:</w:t>
      </w:r>
      <w:r>
        <w:t xml:space="preserve"> areas, crisis, likely; EU scope visible. This is a provisional connection, not an outcome finding.</w:t>
      </w:r>
    </w:p>
    <w:p>
      <w:pPr>
        <w:pStyle w:val="SourceNote"/>
      </w:pPr>
      <w:r>
        <w:rPr>
          <w:b/>
        </w:rPr>
        <w:t>Available abstract (not full text):</w:t>
      </w:r>
      <w:r>
        <w:t xml:space="preserve"> Healthcare systems across Europe face a workforce crisis characterised by staff shortages, high turnover, and psychological distress among healthcare workers (HCWs). To understand the true scope and extent of psychological distress and occupational outcomes among HCWs and key areas to target for actionable solutions to this, a comprehensive overview of the evidence is needed. In this Series paper, we have synthesised findings from existing systematic reviews and meta-analyses to assess the prevalence of psychological distress among HCWs in Europe, examine associated risk and protective factors, and evaluate the effectiveness of interventions targeting these. The Series paper shows that HCWs experience high levels of work-related psychological distress, particularly burnout. Organisational factors, such as staff shortages, high workloads, and poor leadership, are key contributors to HCWs psychological distress. Organisational-level, rather than individual-level, interventions showed greater promise in reducing psychological distress and improving occupational outcomes. Perhaps surprisingly, currently published reviews did not focus on diagnosable mental disorders, instead relying on self-report symptom-based measures, likely overestimating prevalence. Our findings show limited research available on psychological distress and occupational outcomes among non-clinical staff, HCWs f</w:t>
      </w:r>
    </w:p>
    <w:p>
      <w:pPr/>
      <w:r>
        <w:rPr>
          <w:b/>
        </w:rPr>
        <w:t>POSSIBLE 2025:</w:t>
      </w:r>
      <w:r>
        <w:t xml:space="preserve"> Filling the Gap to Address Vaccine Hesitancy in Europe — https://doi.org/10.3389/phrs.2025.1608208</w:t>
      </w:r>
    </w:p>
    <w:p>
      <w:pPr/>
      <w:r>
        <w:rPr>
          <w:b/>
        </w:rPr>
        <w:t>Shared claim-specific concepts:</w:t>
      </w:r>
      <w:r>
        <w:t xml:space="preserve"> able, covid-19, regional, like, likely; EU scope visible. This is a provisional connection, not an outcome finding.</w:t>
      </w:r>
    </w:p>
    <w:p>
      <w:pPr>
        <w:pStyle w:val="SourceNote"/>
      </w:pPr>
      <w:r>
        <w:rPr>
          <w:b/>
        </w:rPr>
        <w:t>Available abstract (not full text):</w:t>
      </w:r>
      <w:r>
        <w:t xml:space="preserve"> Vaccine hesitancy (VH) is a state of indecision regarding vaccination, marked by doubts despite vaccine availability. 1 Its relationship with vaccine uptake has been widely debated, though the cause-effect relationship remains unclear. Nevertheless, VH likely threatens the control of vaccine-preventable diseases, such as measles and hepatitis B, imposing unnecessary burdens on health systems.Inappropriate access to information, inadequate vaccine offers, and administration have been identified as primary contributors to reluctance and doubts surrounding vaccine uptake. However, social and individual factors related to knowledge and attitudes further prolong this psychological state of indecision, leading to delayed vaccinations and even refusal. Despite extensive efforts to promote vaccination across European countries, VH persists, affecting vaccine uptake across various demographic groups and settings. Hesitancy varies by country, type of vaccine (whether recently approved or longstanding), and target populations, including children, vulnerable groups, or the general population.Assessing the frequency, determinants, and impact of vaccine hesitancy presents a significant global and regional challenge. 2 Variations in definitions, data gaps regarding vaccine acceptance, and population coverage hinder precise evaluation. These discrepancies make it more difficult to develop targ</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important, regional, disparities;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2025:</w:t>
      </w:r>
      <w:r>
        <w:t xml:space="preserve"> Paper chase for social justice and equality : civil society’s interplay with the European commission in European economic governance — https://openalex.org/W7128326708</w:t>
      </w:r>
    </w:p>
    <w:p>
      <w:pPr/>
      <w:r>
        <w:rPr>
          <w:b/>
        </w:rPr>
        <w:t>Shared claim-specific concepts:</w:t>
      </w:r>
      <w:r>
        <w:t xml:space="preserve"> important, able, better, structural; EU scope visible. This is a provisional connection, not an outcome finding.</w:t>
      </w:r>
    </w:p>
    <w:p>
      <w:pPr>
        <w:pStyle w:val="SourceNote"/>
      </w:pPr>
      <w:r>
        <w:rPr>
          <w:b/>
        </w:rPr>
        <w:t>Available abstract (not full text):</w:t>
      </w:r>
      <w:r>
        <w:t xml:space="preserve"> This dissertation investigates the role of civil society organisations (CSOs) in European economic governance, focusing on their interaction with the European Commission during the European Semester between 2011 and 2020, an economic governance process monitoring the implementation of the Europe 2020 strategy. The analysis is framed by Gramsci’s theory of hegemony and Power Resources Theory, providing a nuanced understanding of the structural barriers and opportunities for CSO engagement. The study critiques the entrenched neoliberal paradigm that dominates the European Semester, highlighting how social objectives remain subordinated to economic priorities despite the rhetorical commitments to social investment, inclusivity and sustainability promoted through policy initiatives such as the Social Investment Package and the European Pillar of Social Rights. Drawing on empirical data and theoretical insights, the research identifies key challenges faced by CSOs, including fragmented advocacy efforts, limited skills, capacity and resources, and – most importantly – a lack of a cohesive counter-narrative. The findings reveal that while CSOs have gained some access to governance processes, their influence is constrained by structural asymmetries and inconsistent participation. Considering the important role national CSOs have in providing their EU-level counterparts with information</w:t>
      </w:r>
    </w:p>
    <w:p>
      <w:pPr/>
      <w:r>
        <w:rPr>
          <w:b/>
        </w:rPr>
        <w:t>POSSIBLE 2025:</w:t>
      </w:r>
      <w:r>
        <w:t xml:space="preserve"> Urban diplomacy in Europe — https://doi.org/10.4324/9781003708889-41</w:t>
      </w:r>
    </w:p>
    <w:p>
      <w:pPr/>
      <w:r>
        <w:rPr>
          <w:b/>
        </w:rPr>
        <w:t>Shared claim-specific concepts:</w:t>
      </w:r>
      <w:r>
        <w:t xml:space="preserve"> important, question; EU scope visible. This is a provisional connection, not an outcome finding.</w:t>
      </w:r>
    </w:p>
    <w:p>
      <w:pPr>
        <w:pStyle w:val="SourceNote"/>
      </w:pPr>
      <w:r>
        <w:rPr>
          <w:b/>
        </w:rPr>
        <w:t>Available abstract (not full text):</w:t>
      </w:r>
      <w:r>
        <w:t xml:space="preserve"> Over the past few decades, the role that cities play in international politics has increased. In an age in which people, goods, money and information are more than ever transcending national boundaries, cities serve as platforms for the discussion of shared international issues. Mayors appear at big conferences on climate and sustainability and compete for the right to host international events such as the Olympics or the European Capital of Culture. Where originally diplomacy was primarily the domain of states, nowadays it is also familiar territory for cities. This diplomacy does not only manifest itself globally but also at the European level. New partnerships are established in which European cities join forces to promote shared interests. It is partly because of these developments that the EU regards cities as important partners for the European agenda setting and devising strategies for addressing this agenda. However, the question is whether this type of urban diplomacy can be an avenue for closer European cooperation. Does it attest to a shared engagement with European issues, or is it mainly a platform for business-minded pragmatism?</w:t>
      </w:r>
    </w:p>
    <w:p>
      <w:pPr/>
      <w:r>
        <w:rPr>
          <w:b/>
        </w:rPr>
        <w:t>POSSIBLE 2024:</w:t>
      </w:r>
      <w:r>
        <w:t xml:space="preserve"> Understanding and addressing shortfalls in European wild bee data — https://doi.org/10.1016/j.biocon.2024.110455</w:t>
      </w:r>
    </w:p>
    <w:p>
      <w:pPr/>
      <w:r>
        <w:rPr>
          <w:b/>
        </w:rPr>
        <w:t>Shared claim-specific concepts:</w:t>
      </w:r>
      <w:r>
        <w:t xml:space="preserve"> addresses, important, areas; EU scope visible. This is a provisional connection, not an outcome finding.</w:t>
      </w:r>
    </w:p>
    <w:p>
      <w:pPr>
        <w:pStyle w:val="SourceNote"/>
      </w:pPr>
      <w:r>
        <w:rPr>
          <w:b/>
        </w:rPr>
        <w:t>Available abstract (not full text):</w:t>
      </w:r>
      <w:r>
        <w:t xml:space="preserve"> Understanding and reversing biodiversity decline in the Anthropocene requires robust data on species taxonomic identity, distribution, ecology, and population trends. Data deficits hinder biodiversity assessments and conservation, and despite major advances over the past few decades, our understanding of bee diversity, decline and distribution in Europe is still hampered by such data shortfalls. Using a unique digital dataset of wild bee occurrence and ecology, we identify seven critical shortfalls which are an absence of knowledge on geographic distributions, (functional) trait variation, population dynamics, evolutionary relationships, biotic interactions, species identity, and tolerance to abiotic conditions. We describe “BeeFall,” an interactive online Shiny app tool, which visualizes these shortfalls and highlights missing data. We also define a new impediment, the Keartonian Impediment, which addresses an absence of high-quality in situ photos and illustrations with diagnostic characteristics and directly affects the outlined shortfalls. Shortfalls are highly correlated at both the provincial and national scales, identifying key areas in Europe where knowledge gaps can be filled. This work provides an important first step towards the long-term goal to mobilize and aggregate European wild bee data into a multi-scale, easy access, shareable, and updatable database which can</w:t>
      </w:r>
    </w:p>
    <w:p>
      <w:pPr/>
      <w:r>
        <w:rPr>
          <w:b/>
        </w:rPr>
        <w:t>POSSIBLE 2024:</w:t>
      </w:r>
      <w:r>
        <w:t xml:space="preserve"> Innovatively addressing the profession's major questions based on studies of the OT workforce — https://openalex.org/W7162052968</w:t>
      </w:r>
    </w:p>
    <w:p>
      <w:pPr/>
      <w:r>
        <w:rPr>
          <w:b/>
        </w:rPr>
        <w:t>Shared claim-specific concepts:</w:t>
      </w:r>
      <w:r>
        <w:t xml:space="preserve"> important, regional, disparities, provide; EU scope visible. This is a provisional connection, not an outcome finding.</w:t>
      </w:r>
    </w:p>
    <w:p>
      <w:pPr>
        <w:pStyle w:val="SourceNote"/>
      </w:pPr>
      <w:r>
        <w:rPr>
          <w:b/>
        </w:rPr>
        <w:t>Available abstract (not full text):</w:t>
      </w:r>
      <w:r>
        <w:t xml:space="preserve"> In response to a global shortage of occupational therapists (OT) (WFOT, 2020), we conducted a study to collect data on the Swiss OT workforce's size and structure. The aim was to collect data that would allow to address the shortage and to provide insights that can benefit other countries. Our methodology involved an online survey targeting OT employers, team leaders, and self-employed therapists. We gathered quantitative and qualitative data on workforce demographics. Our results encompassed 3’022 OTs. Their average employment level was 67.9%. Ninety percent hold a Diploma/Bachelor degree, 4.9% a Master and 0.1% a Doctoral degree; 90.1% are woman. Overall, Switzerland has a ratio of 3.2 (4.2-4.6) OTs per 10’000 inhabitants but present important regional differences (Ballmer et al., 2023). This study highlights Swiss problems and disparities (regional differences, gender bias, employment levels, and reduced postgraduate degrees), which are exemplary of the situation faced by many other European countries (e.g., DVE, 2017). The results prompt crucial common questions: How can we enhance gender diversity? How can we create opportunities for women to access higher positions? How can we improve OT education and training? Lastly, how can we reduce regional inequalities? These challenges demand innovative solutions to bolster our profession.</w:t>
      </w:r>
    </w:p>
    <w:p>
      <w:pPr/>
      <w:r>
        <w:rPr>
          <w:b/>
        </w:rPr>
        <w:t>POSSIBLE 2024:</w:t>
      </w:r>
      <w:r>
        <w:t xml:space="preserve"> One hundred priority questions for advancing seagrass conservation in Europe — https://doi.org/10.1002/ppp3.10486</w:t>
      </w:r>
    </w:p>
    <w:p>
      <w:pPr/>
      <w:r>
        <w:rPr>
          <w:b/>
        </w:rPr>
        <w:t>Shared claim-specific concepts:</w:t>
      </w:r>
      <w:r>
        <w:t xml:space="preserve"> areas, crisis, provide, place; EU scope visible. This is a provisional connection, not an outcome finding.</w:t>
      </w:r>
    </w:p>
    <w:p>
      <w:pPr>
        <w:pStyle w:val="SourceNote"/>
      </w:pPr>
      <w:r>
        <w:rPr>
          <w:b/>
        </w:rPr>
        <w:t>Available abstract (not full text):</w:t>
      </w:r>
      <w:r>
        <w:t xml:space="preserve"> Societal Impact Statement Seagrass ecosystems are of fundamental importance to our planet and wellbeing. Seagrasses are marine flowering plants, which engineer ecosystems that provide a multitude of ecosystem services, for example, blue foods and carbon sequestration. Seagrass ecosystems have largely been degraded across much of their global range. There is now increasing interest in the conservation and restoration of these systems, particularly in the context of the climate emergency and the biodiversity crisis. The collation of 100 questions from experts across Europe could, if answered, improve our ability to conserve and restore these systems by facilitating a fundamental shift in the success of such work. Summary Seagrass meadows provide numerous ecosystem services including biodiversity, coastal protection, and carbon sequestration. In Europe, seagrasses can be found in shallow sheltered waters along coastlines, in estuaries &amp; lagoons, and around islands, but their distribution has declined. Factors such as poor water quality, coastal modification, mechanical damage, overfishing, land‐sea interactions, climate change and disease have reduced the coverage of Europe’s seagrasses necessitating their recovery. Research, monitoring and conservation efforts on seagrass ecosystems in Europe are mostly uncoordinated and biased towards certain species and regions, resulting in in</w:t>
      </w:r>
    </w:p>
    <w:p>
      <w:pPr/>
      <w:r>
        <w:rPr>
          <w:b/>
        </w:rPr>
        <w:t>POSSIBLE 2024:</w:t>
      </w:r>
      <w:r>
        <w:t xml:space="preserve"> Funding multinational investigator-initiated clinical studies in Europe: why and how? — https://doi.org/10.1186/s13063-024-08548-1</w:t>
      </w:r>
    </w:p>
    <w:p>
      <w:pPr/>
      <w:r>
        <w:rPr>
          <w:b/>
        </w:rPr>
        <w:t>Shared claim-specific concepts:</w:t>
      </w:r>
      <w:r>
        <w:t xml:space="preserve"> important, provide, likely; EU scope visible. This is a provisional connection, not an outcome finding.</w:t>
      </w:r>
    </w:p>
    <w:p>
      <w:pPr>
        <w:pStyle w:val="SourceNote"/>
      </w:pPr>
      <w:r>
        <w:rPr>
          <w:b/>
        </w:rPr>
        <w:t>Available abstract (not full text):</w:t>
      </w:r>
      <w:r>
        <w:t xml:space="preserve"> Investigator-initiated clinical studies (IICSs), also referred to as non-commercial, academic or independent clinical studies, address important research questions that are usually neglected by industry despite their high societal value. Indeed, industry may direct their focus and resources on studies that will yield results and products that can ultimately generate revenue for the company. Conversely, IICS research questions include (a) refining or getting new indications of available treatments (drug repurposing); (b) optimisation, by comparing various health products or treatment regimens; and (c) innovation, especially for advanced therapies. Multinational IICSs increase the scientific quality of the data by exchange of research ideas, scientific techniques and tools. Participation of patients from different geographical, social and ethnic backgrounds equally adds to the value of study results and yields more generalisable evidence than a study confined to a single geographical location. Multinational IICSs are generally sponsored by non-profit/academic organisations and publicly funded. Funding has been already identified as a main challenge for the conduct IICS and especially for clinical trials (IICTs, IICS where a medical intervention is directly tested). Main barriers to the conduct of multinational IICTs with public funding include: Limitations of budget and duration </w:t>
      </w:r>
    </w:p>
    <w:p>
      <w:pPr/>
      <w:r>
        <w:rPr>
          <w:b/>
        </w:rPr>
        <w:t>POSSIBLE 2023:</w:t>
      </w:r>
      <w:r>
        <w:t xml:space="preserve"> Addressing Environmental Migration in the European Union Discourse — https://doi.org/10.14324/111.444/000203.v1</w:t>
      </w:r>
    </w:p>
    <w:p>
      <w:pPr/>
      <w:r>
        <w:rPr>
          <w:b/>
        </w:rPr>
        <w:t>Shared claim-specific concepts:</w:t>
      </w:r>
      <w:r>
        <w:t xml:space="preserve"> important, areas, crisis; EU scope visible. This is a provisional connection, not an outcome finding.</w:t>
      </w:r>
    </w:p>
    <w:p>
      <w:pPr>
        <w:pStyle w:val="SourceNote"/>
      </w:pPr>
      <w:r>
        <w:rPr>
          <w:b/>
        </w:rPr>
        <w:t>Available abstract (not full text):</w:t>
      </w:r>
      <w:r>
        <w:t xml:space="preserve"> For decades, the European Union (EU) has been addressing issues related to climate change and ecological degradation as a self-proclaimed pro-environmental and human rights-oriented actor. Correspondingly, the topic of environmentally driven migration entered the EU discourse at the dawn of the new millennium. As such, environmental migrants around the world find themselves in an existential crisis and are in need of support whether it comes to questions of compensations, relocation, protection of cultural heritage etc. Thus, considering the EU’s interest in the human rights and environmental/climate issue areas, I argue it is important to ask what the Union’s approach to this matter has been. Consequently, this article assesses the European Union discourse related to the topic of environmental migration over a twenty-year period. Through the theoretical lens of the Copenhagen School of Security Studies and the normative power EU conception, this paper critically analyzes the EU’s securitization of climate change in relation to environmental migrants who are experiencing an existential threat to their lives. Based on a qualitative discourse analysis, the preliminary results imply that the topic has been receding into the background of the EU agenda. In line, environmental migrants have been pushed aside by a multiplicity of other subjects threatened by climate change, and their</w:t>
      </w:r>
    </w:p>
    <w:p>
      <w:pPr/>
      <w:r>
        <w:rPr>
          <w:b/>
        </w:rPr>
        <w:t>POSSIBLE 2023:</w:t>
      </w:r>
      <w:r>
        <w:t xml:space="preserve"> Addressing Environmental Migration in the European Union Discourse — https://doi.org/10.14324/111.444/000203.v2</w:t>
      </w:r>
    </w:p>
    <w:p>
      <w:pPr/>
      <w:r>
        <w:rPr>
          <w:b/>
        </w:rPr>
        <w:t>Shared claim-specific concepts:</w:t>
      </w:r>
      <w:r>
        <w:t xml:space="preserve"> important, areas, crisis; EU scope visible. This is a provisional connection, not an outcome finding.</w:t>
      </w:r>
    </w:p>
    <w:p>
      <w:pPr>
        <w:pStyle w:val="SourceNote"/>
      </w:pPr>
      <w:r>
        <w:rPr>
          <w:b/>
        </w:rPr>
        <w:t>Available abstract (not full text):</w:t>
      </w:r>
      <w:r>
        <w:t xml:space="preserve"> For decades, the European Union (EU) has been addressing issues related to climate change and ecological degradation as a self-proclaimed pro-environmental and human rights-oriented actor. Correspondingly, the topic of environmentally driven migration entered the EU discourse at the dawn of the new millennium. As such, environmental migrants around the world find themselves in an existential crisis and are in need of support whether it comes to questions of compensations, relocation, protection of cultural heritage etc. Thus, considering the EU’s interest in the human rights and environmental/climate issue areas, I argue it is important to ask what the Union’s approach to this matter has been. Consequently, this article assesses the European Union discourse related to the topic of environmental migration over a twenty-year period. Through the theoretical lens of the Copenhagen School of Security Studies and the normative power EU conception, this paper critically analyzes the EU’s securitization of climate change in relation to environmental migrants who are experiencing an existential threat to their lives. Based on a qualitative discourse analysis, the preliminary results imply that the topic has been receding into the background of the EU agenda. In line, environmental migrants have been pushed aside by a multiplicity of other subjects threatened by climate change, and their</w:t>
      </w:r>
    </w:p>
    <w:p>
      <w:pPr/>
      <w:r>
        <w:rPr>
          <w:b/>
        </w:rPr>
        <w:t>POSSIBLE 2023:</w:t>
      </w:r>
      <w:r>
        <w:t xml:space="preserve"> An Independent European Macroeconomics? A History of European Macroeconomics through the Lens of the European Economic Review — https://doi.org/10.1016/j.euroecorev.2023.104559</w:t>
      </w:r>
    </w:p>
    <w:p>
      <w:pPr/>
      <w:r>
        <w:rPr>
          <w:b/>
        </w:rPr>
        <w:t>Shared claim-specific concepts:</w:t>
      </w:r>
      <w:r>
        <w:t xml:space="preserve"> important, question, like; EU scope visible. This is a provisional connection, not an outcome finding.</w:t>
      </w:r>
    </w:p>
    <w:p>
      <w:pPr>
        <w:pStyle w:val="SourceNote"/>
      </w:pPr>
      <w:r>
        <w:rPr>
          <w:b/>
        </w:rPr>
        <w:t>Available abstract (not full text):</w:t>
      </w:r>
      <w:r>
        <w:t xml:space="preserve"> Economics in Europe has become more international since the 1970s. To a certain extent, this internationalisation is also an ‘Americanisation’ as many European economists have adopted the standards and approaches of US economics. This prompts an important question: amidst this convergence, are there any fields that have managed to retain a distinctively European character?In this article, we use topic modelling and bibliometric coupling to identify European specialties between 1969 and 2002. We focus on macroeconomic articles published in the European Economic Review and compare their bibliographic references and textual content to what has been published in the top 5 journals.Despite economics internationalization since the 1970s, European macroeconomics displayed distinct characteristics across two distinct periods. In the late 1970s and early 1980s, European macroeconomists maintained a certain distance from US debates centered around rational expectations and new classical economics. However, they embraced the concept of microfoundations through the lens of disequilibrium theory, fostering transnational collaborations and offering a unique framework for addressing various macroeconomic issues. Nevertheless, both the prominence of new classical economics in the US and the decline of the disequilibrium approach after the mid-1980s, European macroeconomics shifted towards clos</w:t>
      </w:r>
    </w:p>
    <w:p>
      <w:pPr>
        <w:pStyle w:val="Heading2"/>
      </w:pPr>
      <w:r>
        <w:t>618. Scenario Forecasting of Agriculture Institutional Transformation on Sustainable Development Base</w:t>
      </w:r>
    </w:p>
    <w:p>
      <w:pPr>
        <w:pStyle w:val="SourceNote"/>
      </w:pPr>
      <w:r>
        <w:rPr>
          <w:b/>
        </w:rPr>
        <w:t>Original source (2021):</w:t>
      </w:r>
      <w:r>
        <w:t xml:space="preserve"> https://doi.org/10.37394/232015.2021.17.55</w:t>
      </w:r>
    </w:p>
    <w:p>
      <w:pPr/>
      <w:r>
        <w:t>Original wording (abstract; indexed_source_text_not_full_document_verified): Three scenarios of the forecast development of agricultural sector of Ukraine economy (pessimistic, realistic, and optimistic) are outlined in the article.</w:t>
      </w:r>
    </w:p>
    <w:p>
      <w:pPr/>
      <w:r>
        <w:rPr>
          <w:b/>
        </w:rPr>
        <w:t>POSSIBLE 2026:</w:t>
      </w:r>
      <w:r>
        <w:t xml:space="preserve"> Future development of ecological agriculture and regional impacts: stakeholders' perception in three French regions — https://openalex.org/W7161657619</w:t>
      </w:r>
    </w:p>
    <w:p>
      <w:pPr/>
      <w:r>
        <w:rPr>
          <w:b/>
        </w:rPr>
        <w:t>Shared claim-specific concepts:</w:t>
      </w:r>
      <w:r>
        <w:t xml:space="preserve"> three, economy; EU scope not established. This is a provisional connection, not an outcome finding.</w:t>
      </w:r>
    </w:p>
    <w:p>
      <w:pPr>
        <w:pStyle w:val="SourceNote"/>
      </w:pPr>
      <w:r>
        <w:rPr>
          <w:b/>
        </w:rPr>
        <w:t>Available abstract (not full text):</w:t>
      </w:r>
      <w:r>
        <w:t xml:space="preserve"> This paper explores possible future development of ecological approaches to farming in ten years' time and their environmental and socio-economic effects, as perceived by stakeholders, in three French regions (Puy-de-Dôme, Ille-et-Vilaine and Sarthe). Stakeholder perceptions are assessed with Q-methodology, a method that investigates similar or diverging subjective perspectives held by groups of stakeholders who are experts on the topics investigated. The method allows identify and describe several perspectives shared by experts on the future of farming practices and their environmental and socio-economic impacts for the three regions. Our study highlights the complexity of predicting the future shape of a region's agriculture and rural economy, as it depends on current trends in the region, the region's characteristics, as well as on the experts participating in the study. However, despite contradicting trends, one convergence of perception is found in terms of additional skills that will be needed on farms in the future.</w:t>
      </w:r>
    </w:p>
    <w:p>
      <w:pPr/>
      <w:r>
        <w:rPr>
          <w:b/>
        </w:rPr>
        <w:t>POSSIBLE 2026:</w:t>
      </w:r>
      <w:r>
        <w:t xml:space="preserve"> Agricultural Development and Industrialisation in South Korea: A Three-level Analysis of Productivity, Inter-sectoral Linkages, and GHGs Emissions — https://doi.org/10.25501/soas.01025535</w:t>
      </w:r>
    </w:p>
    <w:p>
      <w:pPr/>
      <w:r>
        <w:rPr>
          <w:b/>
        </w:rPr>
        <w:t>Shared claim-specific concepts:</w:t>
      </w:r>
      <w:r>
        <w:t xml:space="preserve"> three, agricultural, sector, economy; EU scope not established. This is a provisional connection, not an outcome finding.</w:t>
      </w:r>
    </w:p>
    <w:p>
      <w:pPr>
        <w:pStyle w:val="SourceNote"/>
      </w:pPr>
      <w:r>
        <w:rPr>
          <w:b/>
        </w:rPr>
        <w:t>Available abstract (not full text):</w:t>
      </w:r>
      <w:r>
        <w:t xml:space="preserve"> This thesis investigates the role of agriculture in South Korea’s developmental trajectory by situating it within a three-level analytical framework: within agriculture (productivity and innovation), beyond agriculture (inter-industrial linkages), and beyond the economy (environmental spillovers). This study seeks to re-evaluate the role and transformation of agriculture in South Korea’s development path. Instead of viewing agriculture as a marginal or secondary sector, this thesis highlights how agriculture has evolved within the broader process of industrialisation and national development by examining three key dimensions: agricultural R&amp;D, inter-sectoral linkages, and environmental dynamics. At the first level, the econometric analysis evaluates the long-run contribution of public agricultural research and development (R&amp;D) to productivity growth. A knowledge-stock variable was constructed from five decades of public R&amp;D investment, and its effects were tested against both conventional Total Factor Productivity (TFP) and Green Total Factor Productivity (GTFP), the latter incorporating greenhouse gas emissions. The results demonstrate that R&amp;D significantly enhanced TFP, but its effects on GTFP were weaker and, at times, negative—particularly during periods of input-intensive growth. This gap suggests that productivity gains were often achieved at the expense of environmenta</w:t>
      </w:r>
    </w:p>
    <w:p>
      <w:pPr/>
      <w:r>
        <w:rPr>
          <w:b/>
        </w:rPr>
        <w:t>POSSIBLE 2026:</w:t>
      </w:r>
      <w:r>
        <w:t xml:space="preserve"> Comparative Study on “Three-Dimensional Adaptation” Framework of Vocational Education Empowering the Development of Inner Mongolia’s Agricultural and Pastoral Areas — https://doi.org/10.12677/ve.2026.158336</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内蒙古农牧区正处于传统畜牧业向现代生态农牧业转型的关键期，但职业教育供给与区域发展需求之间存在显著的结构性错配。本文以社会嵌入理论为分析视角，构建“空间–时间–主体”三维分析框架，系统诊断内蒙古农牧区职业教育面临的现实困境。研究发现，职业教育赋能农牧区发展的核心障碍表现为三重错配：空间上固定校区难以覆盖地广人稀的农牧区，时间上统一学期制与农牧业生产节律脱节，主体上多元利益相关者缺乏协同联结机制。通过比较分析澳大利亚TAFE模式与黑龙江农垦职业教育体系，提炼出“供给随人走、教学随农时、利益共同体”的共性经验。据此，本文构建了包含空间适配、时间适配、主体适配三维度的“三维适配”框架，并阐释了三者循环互促的协同机制。在此基础上，本文进一步分析了框架实施可能面临的财政、制度与文化障碍，并提出试点先行、分步推广的突破路径，为边疆民族地区职业教育精准服务乡村振兴提供理论参照。Inner Mongolia’s agricultural and pastoral areas are transitioning from traditional animal husbandry to modern ecological agriculture, yet a structural mismatch persists between vocational education supply and regional development needs. Applying social embeddedness theory, this paper constructs a “space-time-subject” analytical framework to diagnose the dilemmas facing vocational education in these regions. The study identifies three core mismatches: spatially, fixed campuses fail to cover sparsely populated pastoral areas; temporally, the uniform semester system conflicts with agricultural production rhythms; and institutionally, stakeholders lack collaborative mechanisms. Through a comparative analysis of Australia’s TAFE model and Heilongjiang’s State Farm vocational education system, the paper extracts common experiences, such as “supply following people, teaching following seasons, and shared interests”, and develops a “Three-Dimensional Adaptation” framework. This framework elucidates the mu</w:t>
      </w:r>
    </w:p>
    <w:p>
      <w:pPr/>
      <w:r>
        <w:rPr>
          <w:b/>
        </w:rPr>
        <w:t>POSSIBLE 2026:</w:t>
      </w:r>
      <w:r>
        <w:t xml:space="preserve"> Research on the Practical Challenges and Optimization Pathways for the Digital Transformation of Agricultural Supply Chains in the Context of Digital Village Development—Based on Field Surveys Conducted across Three Districts of Hangzhou — https://doi.org/10.12677/mm.2026.1610219</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Based on field research in Yuhang District, Qiantang District, and Xiaoshan District of Hangzhou, we gathered first-hand data through surveys and in-depth interviews.We systematically reviewed the practical results of digital transformation in the agricultural supply chain across production, processing, and distribution, and analyzed the main issues currently faced.The study shows that digital reform has made some progress in improving production efficiency, reducing distribution losses, and increasing product premiums, but there are still real challenges like insufficient adaptation of tech tools to agricultural scenarios, poor data coordination across the industry chain, and difficulties for small and medium-sized players in transforming.Based on this, recommendations were made to optimize policy support, promote technology penetration, break down data barriers, and strengthen talent backing, aiming to provide a Zhejiang sample for advancing digital transformation in the agricultural supply chain.</w:t>
      </w:r>
    </w:p>
    <w:p>
      <w:pPr/>
      <w:r>
        <w:rPr>
          <w:b/>
        </w:rPr>
        <w:t>POSSIBLE 2025:</w:t>
      </w:r>
      <w:r>
        <w:t xml:space="preserve"> Effect and mechanism of the "Three Rights Separation" of agricultural land in empowering the neo-endogenous agricultural and rural development — https://doi.org/10.31497/zrzyxb.20250706</w:t>
      </w:r>
    </w:p>
    <w:p>
      <w:pPr/>
      <w:r>
        <w:rPr>
          <w:b/>
        </w:rPr>
        <w:t>Shared claim-specific concepts:</w:t>
      </w:r>
      <w:r>
        <w:t xml:space="preserve"> three, agricultural; EU scope not established. This is a provisional connection, not an outcome finding.</w:t>
      </w:r>
    </w:p>
    <w:p>
      <w:pPr>
        <w:pStyle w:val="SourceNote"/>
      </w:pPr>
      <w:r>
        <w:rPr>
          <w:b/>
        </w:rPr>
        <w:t>Available abstract (not full text):</w:t>
      </w:r>
      <w:r>
        <w:t xml:space="preserve"> Neo-endogenous development is an important way to realise the modernization of agriculture and rural areas, and the reform of the land property rights system plays an important role in activating the internal and external development momentum of agriculture and rural areas. Based on the multi-period double-difference method, the study analyses and examines the impact of "Three Rights Separation" of agricultural land on the neo-endogenous development of agriculture and rural areas and its mechanism of action using balanced panel data of 206 prefecture-level cities in China from 2008 to 2022. The study finds that: (1) "Three Rights Separation" of agricultural land significantly improves the level of neo-endogenous development in agriculture and rural areas. (2) Promoting land scale and attracting capital investment are two important channels through which we can exert the policy effect of "Three Rights Separation" of agricultural land. (3) "Three Rights Separation" of agricultural land has significantly raised the level of neo-endogenous development in agriculture and rural areas. (4) "Three Rights Separation" of agricultural land will enhance the level of neo-endogenous development of agriculture and rural areas to a greater extent in areas with a lower degree of deepening of agricultural capital and better scientific and educational environments, and the policy effect will not </w:t>
      </w:r>
    </w:p>
    <w:p>
      <w:pPr/>
      <w:r>
        <w:rPr>
          <w:b/>
        </w:rPr>
        <w:t>POSSIBLE 2025:</w:t>
      </w:r>
      <w:r>
        <w:t xml:space="preserve"> Nexus between stock market and agricultural sector development in Nigeria and South Africa: Accounting for three-regime marginal-threshold effects — https://doi.org/10.1016/j.sciaf.2025.e02575</w:t>
      </w:r>
    </w:p>
    <w:p>
      <w:pPr/>
      <w:r>
        <w:rPr>
          <w:b/>
        </w:rPr>
        <w:t>Shared claim-specific concepts:</w:t>
      </w:r>
      <w:r>
        <w:t xml:space="preserve"> three, agricultural, sector; EU scope not established. This is a provisional connection, not an outcome finding.</w:t>
      </w:r>
    </w:p>
    <w:p>
      <w:pPr>
        <w:pStyle w:val="SourceNote"/>
      </w:pPr>
      <w:r>
        <w:rPr>
          <w:b/>
        </w:rPr>
        <w:t>Available abstract (not full text):</w:t>
      </w:r>
      <w:r>
        <w:t xml:space="preserve"> This study empirically examined the link between stock market development and agricultural sector development, accounting for the effect of a three-regime marginal and threshold of interest rate, inflation and exchange rates. The study utilized annual time series data, focusing on two African countries – Nigeria and South Africa for the period 1980 to 2021. The dynamic Autoregressive Distributed Lag (ARDL) estimation technique was adopted as a baseline model while FM-OLS was employed for the sensitivity test. The findings from the baseline model revealed a significant long-run positive association between market capitalization, all-share index, value of traded shares, and agricultural development. However, the turnover ratio was insignificant but exhibited a significant long-run relationship when the interaction effects of interest rate, inflation, and exchange rate were controlled for. The FM-OLS sensitivity estimates were found to coincide with the earlier results. At the country level, evidence from the baseline and sensitivity model revealed that market capitalization and the all-share index in Nigeria have a significant positive link with agricultural development, whereas all measures of stock market development in SA were positively and significantly related to agricultural development. The study recommends policies that promote stock market development to boost its contr</w:t>
      </w:r>
    </w:p>
    <w:p>
      <w:pPr/>
      <w:r>
        <w:rPr>
          <w:b/>
        </w:rPr>
        <w:t>POSSIBLE 2025:</w:t>
      </w:r>
      <w:r>
        <w:t xml:space="preserve"> Nexus Between Stock Market and Agricultural Sector Development in Nigeria and South Africa: Accounting for Three-Regime Marginal-Threshold Effects — https://doi.org/10.2139/ssrn.5336669</w:t>
      </w:r>
    </w:p>
    <w:p>
      <w:pPr/>
      <w:r>
        <w:rPr>
          <w:b/>
        </w:rPr>
        <w:t>Shared claim-specific concepts:</w:t>
      </w:r>
      <w:r>
        <w:t xml:space="preserve"> agricultural, sector;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Prospects of the renewable economy as a “green” vector of sustainable development of the national economy of Ukraine — https://doi.org/10.35774/visnyk2025.02.259</w:t>
      </w:r>
    </w:p>
    <w:p>
      <w:pPr/>
      <w:r>
        <w:rPr>
          <w:b/>
        </w:rPr>
        <w:t>Shared claim-specific concepts:</w:t>
      </w:r>
      <w:r>
        <w:t xml:space="preserve"> three, sector, ukraine, economy, article; EU scope not established. This is a provisional connection, not an outcome finding.</w:t>
      </w:r>
    </w:p>
    <w:p>
      <w:pPr>
        <w:pStyle w:val="SourceNote"/>
      </w:pPr>
      <w:r>
        <w:rPr>
          <w:b/>
        </w:rPr>
        <w:t>Available abstract (not full text):</w:t>
      </w:r>
      <w:r>
        <w:t xml:space="preserve"> Introduction. In the context of global environmental challenges, energy security and national well-being, the issue of developing renewable energy sources (RES) is gaining priority for state development strategies. Ukraine, as a state with powerful natural resource potential, faces the challenges of energy transformation, which are determined by both foreign policy factors and internal socio-economic prerequisites. Purpose. Substantiation of the prospects for the development of renewable energy as a key direction of the «green» vector of sustainable development of the national economy of Ukraine. Methods. The research used a set of general scientific and special methods: methods of analysis and synthesis – for a theoretical understanding of the concept of sustainable development and the role of RES in its implementation; comparative analysis –for studying international experience in developing «green» energy and adapting it to Ukrainian realities; statistical method – for assessing the dynamics of the implementation of RES in Ukraine; the method of a systems approach – for considering renewable energy as a component of economic, environmental and social subsystems of sustainable development. Results. The article reveals that the system of development of renewable energy sources has great potential for the modernization of the energy sector of Ukraine. It is determined that inve</w:t>
      </w:r>
    </w:p>
    <w:p>
      <w:pPr/>
      <w:r>
        <w:rPr>
          <w:b/>
        </w:rPr>
        <w:t>POSSIBLE 2025:</w:t>
      </w:r>
      <w:r>
        <w:t xml:space="preserve"> DEVELOPMENT OF THE AGRICULTURAL SECTOR OF THE ECONOMY OF UKRAINE IN THE CONDITIONS OF EUROPEAN INTEGRATION — https://doi.org/10.37332/2309-1533.2025.3.3</w:t>
      </w:r>
    </w:p>
    <w:p>
      <w:pPr/>
      <w:r>
        <w:rPr>
          <w:b/>
        </w:rPr>
        <w:t>Shared claim-specific concepts:</w:t>
      </w:r>
      <w:r>
        <w:t xml:space="preserve"> three, agricultural, sector, ukraine, economy, pessimistic; EU scope visible. This is a provisional connection, not an outcome finding.</w:t>
      </w:r>
    </w:p>
    <w:p>
      <w:pPr>
        <w:pStyle w:val="SourceNote"/>
      </w:pPr>
      <w:r>
        <w:rPr>
          <w:b/>
        </w:rPr>
        <w:t>Available abstract (not full text):</w:t>
      </w:r>
      <w:r>
        <w:t xml:space="preserve"> Voloshchuk K.B., Voloshchuk V.R., Ilash O.M. DEVELOPMENT OF THE AGRICULTURAL SECTOR OF THE ECONOMY OF UKRAINE IN THE CONDITIONS OF EUROPEAN INTEGRATION Purpose. The aim of the article is to identify the main trends, consequences and deepen scientific approaches to substantiating scenarios for the development of the agricultural sector of Ukraine, while simultaneously identifying new opportunities for exporting products that are opening up in the context of European integration. Methodology of research. The following methods were used in the research process: analysis and synthesis – when studying the complex multi-component process of development of the agricultural sector of Ukraine, which requires harmonization of legal, economic and technical components in the context of European integration; dialectical and monographic – when studying the experience of the EU and Ukraine; using SWOT analysis, an interpretation of strengths and weaknesses, opportunities and threats was carried out; the Monte Carlo method was used to interpret the probability distribution of possible development scenarios; abstract and logical – when forming conclusions and proposals. Findings. Three possible scenarios for the development of the agricultural sector of the Ukrainian economy in the context of European integration have been identified: optimistic – expanding access to the EU and world markets, i</w:t>
      </w:r>
    </w:p>
    <w:p>
      <w:pPr/>
      <w:r>
        <w:rPr>
          <w:b/>
        </w:rPr>
        <w:t>POSSIBLE 2025:</w:t>
      </w:r>
      <w:r>
        <w:t xml:space="preserve"> Green Economy in Ukraine: Main Challenges and Prospects for Development in Wartime Conditions — https://doi.org/10.12958/1817-3772-2025-2(80)-14-18</w:t>
      </w:r>
    </w:p>
    <w:p>
      <w:pPr/>
      <w:r>
        <w:rPr>
          <w:b/>
        </w:rPr>
        <w:t>Shared claim-specific concepts:</w:t>
      </w:r>
      <w:r>
        <w:t xml:space="preserve"> three, ukraine, economy, article; EU scope visible. This is a provisional connection, not an outcome finding.</w:t>
      </w:r>
    </w:p>
    <w:p>
      <w:pPr>
        <w:pStyle w:val="SourceNote"/>
      </w:pPr>
      <w:r>
        <w:rPr>
          <w:b/>
        </w:rPr>
        <w:t>Available abstract (not full text):</w:t>
      </w:r>
      <w:r>
        <w:t xml:space="preserve"> The article explores the essence of the concept of «green economy». Its main goal is determined – achieving sustainable development based on three components: ecological, economic and social. The main characteristics of a «green» economy have been formed: efficient use of natural resources, preservation and increase of natural capital, reduction of pollution, low carbon emissions, prevention of loss of ecosystem services and biodiversity, growth of income and employment, etc. The ranking of countries according to the «Green Future Index» was analyzed. The top 10 countries in terms of environmental sustainability were determined, which are Iceland, Finland and Norway. It was found that Ukraine demonstrates an initial level of preparation in the field of the environment and climate change and occupies only 63rd place in the ranking out of 79 countries. The reasons for Ukraine's low position are well-founded: an imperfect regulatory framework, war in the country, limited financial resources, fragmentation of environmental policy, insufficient state support for green initiatives, and the lack of a strategic vision in the field of climate policy. It has been proven that the green economy remains a promising direction for the economic recovery and sustainable development of Ukraine. Its effective development is possible under the condition of sustainable development of all industries</w:t>
      </w:r>
    </w:p>
    <w:p>
      <w:pPr/>
      <w:r>
        <w:rPr>
          <w:b/>
        </w:rPr>
        <w:t>POSSIBLE 2025:</w:t>
      </w:r>
      <w:r>
        <w:t xml:space="preserve"> New pathways for “three rural” development: private sector forces and technological engines drive agricultural modernization — https://doi.org/10.15302/j-fase-2025616</w:t>
      </w:r>
    </w:p>
    <w:p>
      <w:pPr/>
      <w:r>
        <w:rPr>
          <w:b/>
        </w:rPr>
        <w:t>Shared claim-specific concepts:</w:t>
      </w:r>
      <w:r>
        <w:t xml:space="preserve"> three, agricultural, sector;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Achieving inclusive digital development: A frugal strategy based on lessons from three West African smallholder agriculture value chains — https://doi.org/10.1016/j.techfore.2025.124287</w:t>
      </w:r>
    </w:p>
    <w:p>
      <w:pPr/>
      <w:r>
        <w:rPr>
          <w:b/>
        </w:rPr>
        <w:t>Shared claim-specific concepts:</w:t>
      </w:r>
      <w:r>
        <w:t xml:space="preserve"> three, article; EU scope not established. This is a provisional connection, not an outcome finding.</w:t>
      </w:r>
    </w:p>
    <w:p>
      <w:pPr>
        <w:pStyle w:val="SourceNote"/>
      </w:pPr>
      <w:r>
        <w:rPr>
          <w:b/>
        </w:rPr>
        <w:t>Available abstract (not full text):</w:t>
      </w:r>
      <w:r>
        <w:t xml:space="preserve"> This article has two objectives. One is to examine mechanisms of inclusion and exclusion that arise despite the widespread diffusion of digital devices and supporting infrastructure. The second is to propose expanding the perspective on digital inclusion to consider users of digital technologies within their environment. Recognizing that innovation diffusion processes can exacerbate existing inequalities and/or create new ones, this study aims to assist researchers and practitioners in preventing potential negative impacts of digitalization. Using digital divides and digital inclusion frameworks, we examine three value chains in three West African countries using mixed methods. The findings reveal that communication networks and phones are increasingly available, yet traditional digital divides persist in all three value chains. Although the value chains share similarities in their challenges and opportunities, the needs of the actors involved vary. The discussion underscores two key points: first, the efficacy of digital solutions hinges upon their alignment with collective habits and capacities; and second, solutions should prioritize frugality, particularly when designing digital technologies for producers who have limited yet valuable digital skills. These insights highlight the importance of tailoring digital interventions to local contexts and use habits.</w:t>
      </w:r>
    </w:p>
    <w:p>
      <w:pPr>
        <w:pStyle w:val="Heading2"/>
      </w:pPr>
      <w:r>
        <w:t>619. Scenario forecasting of consumption of main organic livestock products in Ukraine</w:t>
      </w:r>
    </w:p>
    <w:p>
      <w:pPr>
        <w:pStyle w:val="SourceNote"/>
      </w:pPr>
      <w:r>
        <w:rPr>
          <w:b/>
        </w:rPr>
        <w:t>Original source (2021):</w:t>
      </w:r>
      <w:r>
        <w:t xml:space="preserve"> https://doi.org/10.51599/are.2021.07.03.02</w:t>
      </w:r>
    </w:p>
    <w:p>
      <w:pPr/>
      <w:r>
        <w:t>Original wording (abstract; indexed_source_text_not_full_document_verified): According to the systemic variant in Ukraine for the period up to 2025 the forecasted capacity of the internal market for organic meat and meat products (in terms of meat) will amount to 3.26 bln UAH; organic milk, dairy products and butter (in terms of milk) will amount to 2.65 bln UAH; organic eggs will amount to 0.47 bln UAH. In general, the market potential capacity of the main types of organic livestock products (at prices in 2019) will be 6.38 bln UAH (0.2 bln Euro) or 151.9 UAH (4.9 Euro) per one person.</w:t>
      </w:r>
    </w:p>
    <w:p>
      <w:pPr/>
      <w:r>
        <w:rPr>
          <w:b/>
        </w:rPr>
        <w:t>POSSIBLE 2026:</w:t>
      </w:r>
      <w:r>
        <w:t xml:space="preserve"> When climate risk affects the systemic risk of the insurance sector: ∆CoVaR forecasting — https://doi.org/10.1007/s00477-026-03350-8</w:t>
      </w:r>
    </w:p>
    <w:p>
      <w:pPr/>
      <w:r>
        <w:rPr>
          <w:b/>
        </w:rPr>
        <w:t>Shared claim-specific concepts:</w:t>
      </w:r>
      <w:r>
        <w:t xml:space="preserve"> systemic, period, forecasted, potential; EU scope not established. This is a provisional connection, not an outcome finding.</w:t>
      </w:r>
    </w:p>
    <w:p>
      <w:pPr>
        <w:pStyle w:val="SourceNote"/>
      </w:pPr>
      <w:r>
        <w:rPr>
          <w:b/>
        </w:rPr>
        <w:t>Available abstract (not full text):</w:t>
      </w:r>
      <w:r>
        <w:t xml:space="preserve"> Climate change is increasingly recognized as a potential source of financial instability, yet its implications for systemic risk in the insurance sector remain insufficiently understood. This study combines a Copula–DCC–GARCH framework with the ∆CoVaR measure to examine whether climate-related catastrophic events are associated with insurers’ contributions to systemic risk. Using weekly data for the ten largest global insurers over the period 2004–2024, we compare ∆CoVaR estimates across catastrophe and non-catastrophe periods under normal and crisis market conditions. The results indicate that catastrophe occurrence exhibits only a limited association with insurers’ systemic-risk contributions during normal market conditions but is associated with substantially stronger contributions during periods of financial stress. The analysis also reveals considerable heterogeneity across globally significant insurers, indicating that the magnitude of this association differs markedly across companies. To assess the robustness of these findings and provide a forward-looking perspective, we employ Generalized Additive Models for Location, Scale and Shape (GAMLSS). The scenario-based forecasting framework shows how insurers’ expected systemic-risk contributions evolve under alternative market and catastrophe conditions and consistently identifies the crisis–catastrophe scenario as being as</w:t>
      </w:r>
    </w:p>
    <w:p>
      <w:pPr/>
      <w:r>
        <w:rPr>
          <w:b/>
        </w:rPr>
        <w:t>POSSIBLE 2026:</w:t>
      </w:r>
      <w:r>
        <w:t xml:space="preserve"> Forecasting the dynamics of food security indicators in Ukraine during the wartime period of 2025-2026 — https://doi.org/10.32317/ekon.apk/1.2026.20</w:t>
      </w:r>
    </w:p>
    <w:p>
      <w:pPr/>
      <w:r>
        <w:rPr>
          <w:b/>
        </w:rPr>
        <w:t>Shared claim-specific concepts:</w:t>
      </w:r>
      <w:r>
        <w:t xml:space="preserve"> according, ukraine, period, products, eggs; EU scope not established. This is a provisional connection, not an outcome finding.</w:t>
      </w:r>
    </w:p>
    <w:p>
      <w:pPr>
        <w:pStyle w:val="SourceNote"/>
      </w:pPr>
      <w:r>
        <w:rPr>
          <w:b/>
        </w:rPr>
        <w:t>Available abstract (not full text):</w:t>
      </w:r>
      <w:r>
        <w:t xml:space="preserve"> This article focuses on forecasting key food security indicators for Ukraine in 2025-2026 under conditions of wartime uncertainty. The aim of the study was to develop adaptive forecasting models that made it possible to assess the impact of wartime shocks and to determine possible trajectories for the recovery of the food system in the medium term. The methodology was based on the combined application of three classical time series models – linear trend, exponential smoothing, and the autoregressive integrated moving average model. For each indicator, three alternative forecasting models were constructed based on annual data up to 2022, and their accuracy was evaluated using the criteria of mean absolute percentage error, root mean square error, and the AIC information criterion. Given the absence of official statistics for 2022-2026, the baseline forecasts were adjusted according to a “partial recovery” scenario, which took into account a short-term decline (2022) and gradual stabilisation of indicators in 2023-2026. The results obtained indicated that in 2025-2026 the food system of Ukraine demonstrated signs of stabilisation; however, a full return to the pre-war trajectory did not occur. In particular, the daily energy value of the diet amounted to 2,596 kcal in 2025 and increased to 2,650 kcal in 2026, approaching the 2021 level. The adequacy index of consumption for most </w:t>
      </w:r>
    </w:p>
    <w:p>
      <w:pPr/>
      <w:r>
        <w:rPr>
          <w:b/>
        </w:rPr>
        <w:t>POSSIBLE 2026:</w:t>
      </w:r>
      <w:r>
        <w:t xml:space="preserve"> Novel pathogenic CTLA4 missense variant associated with autoimmune enteropathy and systemic immune dysregulation — https://doi.org/10.3389/fimmu.2026.1855020</w:t>
      </w:r>
    </w:p>
    <w:p>
      <w:pPr/>
      <w:r>
        <w:rPr>
          <w:b/>
        </w:rPr>
        <w:t>Shared claim-specific concepts:</w:t>
      </w:r>
      <w:r>
        <w:t xml:space="preserve"> systemic, variant, capacity; EU scope not established. This is a provisional connection, not an outcome finding.</w:t>
      </w:r>
    </w:p>
    <w:p>
      <w:pPr>
        <w:pStyle w:val="SourceNote"/>
      </w:pPr>
      <w:r>
        <w:rPr>
          <w:b/>
        </w:rPr>
        <w:t>Available abstract (not full text):</w:t>
      </w:r>
      <w:r>
        <w:t xml:space="preserve"> Background: , yet the structure-function relationships underlying individual pathogenic variants remain incompletely understood. Methods: We performed whole-exome sequencing on a patient with adolescent-onset autoimmune enteropathy, early-onset gastric malignancy and multisystem comorbidities, who was initially misdiagnosed with Crohn's disease and refractory to multiple biologics. Functional assays assessed CTLA4 dimerization and CD80/CD86 binding capacity. Peripheral blood immunophenotyping was conducted using CyTOF and flow cytometry. Intestinal histopathology was evaluated by immunohistochemistry. The patient subsequently received targeted therapy with abatacept. Results: (c.167T&gt;G, p.Phe56Cys) was identified. Functional assays demonstrated that this variant impairs CTLA4 protein dimerization and its binding capacity to CD80/CD86, establishing loss-of-function as the molecular basis of pathogenicity. Comprehensive peripheral blood immunophenotyping by CyTOF revealed a broad adaptive immune dysregulation landscape, characterized by depletion of regulatory T cells (Tregs), γδ T cells, and CD161+ cytotoxic-like CD8+ T cells. Flow cytometry confirmed reduction in CD4+CD25+Foxp3+ Treg cells along with decreased CTLA4 expression. Intestinal histopathology showed crypt apoptosis with T cell-predominant infiltration, distinct from classic inflammatory bowel disease. Notably, target</w:t>
      </w:r>
    </w:p>
    <w:p>
      <w:pPr/>
      <w:r>
        <w:rPr>
          <w:b/>
        </w:rPr>
        <w:t>POSSIBLE 2026:</w:t>
      </w:r>
      <w:r>
        <w:t xml:space="preserve"> MODELS AND METHODS FOR HEALTHCARE RESOURCE FORECASTING IN URBAN AGGLOMERATIONS: A LITERARY REVIEW — https://doi.org/10.64854/2790-1289-2026-52-2-09</w:t>
      </w:r>
    </w:p>
    <w:p>
      <w:pPr/>
      <w:r>
        <w:rPr>
          <w:b/>
        </w:rPr>
        <w:t>Shared claim-specific concepts:</w:t>
      </w:r>
      <w:r>
        <w:t xml:space="preserve"> according, systemic, period; EU scope not established. This is a provisional connection, not an outcome finding.</w:t>
      </w:r>
    </w:p>
    <w:p>
      <w:pPr>
        <w:pStyle w:val="SourceNote"/>
      </w:pPr>
      <w:r>
        <w:rPr>
          <w:b/>
        </w:rPr>
        <w:t>Available abstract (not full text):</w:t>
      </w:r>
      <w:r>
        <w:t xml:space="preserve"> Relevance. Population growth in urban agglomerations creates a quantifiable gap between the demand for medical care and the availability of personnel, medicines, financial resources, and logistical support. The Almaty agglomeration is home to approximately 3.5 million residents, with a projected population of 4.5 million by 2030. According to the Ministry of Health of the Republic of Kazakhstan, in 2023, the shortage of physicians amounted to 4,864 positions, and the concurrent employment rate reached 1.4, reflecting systemic staff overload. Objective. To analyze current models for forecasting healthcare resource needs in urban agglomerations, with a focus on machine learning tools, and to assess their applicability to the conditions of the Almaty agglomeration. Materials and methods: A literature search was conducted in the PubMed, Scopus, Web of Science Core Collection, and WHO IRIS databases for the period from January, 2010 to March, 2026. The review included original studies, systematic reviews, and WHO/OECD methodological reports containing quantitative predictive models with accuracy metrics (MAE, RMSE, MAPE, AUROC, R²) at the level of urban agglomerations or regions with an urbanization rate ≥ 50%. Of the 1,286 records identified, 57 publications were included in the review. Results. Statistical models were the most common (40.4%), followed by supervised machine learnin</w:t>
      </w:r>
    </w:p>
    <w:p>
      <w:pPr/>
      <w:r>
        <w:rPr>
          <w:b/>
        </w:rPr>
        <w:t>POSSIBLE 2026:</w:t>
      </w:r>
      <w:r>
        <w:t xml:space="preserve"> Systemic Risk Surveillance — https://doi.org/10.48550/arxiv.2601.08598</w:t>
      </w:r>
    </w:p>
    <w:p>
      <w:pPr/>
      <w:r>
        <w:rPr>
          <w:b/>
        </w:rPr>
        <w:t>Shared claim-specific concepts:</w:t>
      </w:r>
      <w:r>
        <w:t xml:space="preserve"> systemic, period; EU scope not established. This is a provisional connection, not an outcome finding.</w:t>
      </w:r>
    </w:p>
    <w:p>
      <w:pPr>
        <w:pStyle w:val="SourceNote"/>
      </w:pPr>
      <w:r>
        <w:rPr>
          <w:b/>
        </w:rPr>
        <w:t>Available abstract (not full text):</w:t>
      </w:r>
      <w:r>
        <w:t xml:space="preserve"> Following several episodes of financial market turmoil in recent decades, changes in systemic risk have drawn growing attention. Therefore, we propose surveillance schemes for systemic risk, which allow to detect misspecified systemic risk forecasts in an "online" fashion. This enables daily monitoring of the forecasts while controlling for the accumulation of false test rejections. Such online schemes are vital in taking timely countermeasures to avoid financial distress. Our monitoring procedures allow multiple series at once to be monitored, thus increasing the likelihood and the speed at which early signs of trouble may be picked up. The tests hold size by construction, such that the null of correct systemic risk assessments is only rejected during the monitoring period with (at most) a pre-specified probability. Monte Carlo simulations illustrate the good finite-sample properties of our procedures. An empirical application to US banks during multiple crises demonstrates the usefulness of our surveillance schemes for both regulators and financial institutions.</w:t>
      </w:r>
    </w:p>
    <w:p>
      <w:pPr/>
      <w:r>
        <w:rPr>
          <w:b/>
        </w:rPr>
        <w:t>POSSIBLE 2025:</w:t>
      </w:r>
      <w:r>
        <w:t xml:space="preserve"> Influence of Multidrug Resistance 1 Gene Variants on Response to Intravenous Methylprednisolone Pulse in Systemic Lupus Erythematosus Patients: Preliminary Results — https://doi.org/10.2174/0115733971345970241107114732</w:t>
      </w:r>
    </w:p>
    <w:p>
      <w:pPr/>
      <w:r>
        <w:rPr>
          <w:b/>
        </w:rPr>
        <w:t>Shared claim-specific concepts:</w:t>
      </w:r>
      <w:r>
        <w:t xml:space="preserve"> according, systemic, variant; EU scope not established. This is a provisional connection, not an outcome finding.</w:t>
      </w:r>
    </w:p>
    <w:p>
      <w:pPr>
        <w:pStyle w:val="SourceNote"/>
      </w:pPr>
      <w:r>
        <w:rPr>
          <w:b/>
        </w:rPr>
        <w:t>Available abstract (not full text):</w:t>
      </w:r>
      <w:r>
        <w:t xml:space="preserve"> INTRODUCTION/OBJECTIVES: , and the response to intravenous methylprednisolone in Egyptian patients with active systemic lupus erythematosus (SLE). METHODS: Real-time polymerase chain reaction was used. Patients were divided into responders and resistant based on the SLE Disease Activity Index (SLEDAI). The degree of improvement was determined according to a 7-point Likert scale. RESULTS: The study included 80 patients: 40 patients with renal flares and 40 patients with extrarenal flares. In patients with extrarenal flares, 71.4% of responders had the CT+TT model of the C1236T variant versus 36.8% of resistant patients (p = 0.028); the T allele was detected in 47.6% of responders versus 23.7% of resistant patients (p = 0.026). Patients with the TT and CT genotypes, TT+CT model, and T allele of the C1236T variant had significant improvement based on the Likert scale compared with the CC genotype, CC model and C allele (p = 0.049, 0.038, 0.010 and &lt;0.001, respectively). In the renal subgroup, patients with the CC genotype and C allele of the C3435T variant had significant improvement based on the Likert scale compared with the CT genotype and T allele (p = 0.028 and 0.046, respectively). Patients with the CC model had significantly lower post-treatment proteinuria compared with the TT+CT model (p = 0.024). CONCLUSION: MDR1 C1236T variant allele and C3435T wild allele seem to enhan</w:t>
      </w:r>
    </w:p>
    <w:p>
      <w:pPr/>
      <w:r>
        <w:rPr>
          <w:b/>
        </w:rPr>
        <w:t>POSSIBLE 2025:</w:t>
      </w:r>
      <w:r>
        <w:t xml:space="preserve"> Predictive Value of Systemic Inflammatory Markers in the Prognosis of Prostate Cancer with Variant Histology. — https://doi.org/10.22037/uj.v22i.8378</w:t>
      </w:r>
    </w:p>
    <w:p>
      <w:pPr/>
      <w:r>
        <w:rPr>
          <w:b/>
        </w:rPr>
        <w:t>Shared claim-specific concepts:</w:t>
      </w:r>
      <w:r>
        <w:t xml:space="preserve"> systemic, variant, potential; EU scope not established. This is a provisional connection, not an outcome finding.</w:t>
      </w:r>
    </w:p>
    <w:p>
      <w:pPr>
        <w:pStyle w:val="SourceNote"/>
      </w:pPr>
      <w:r>
        <w:rPr>
          <w:b/>
        </w:rPr>
        <w:t>Available abstract (not full text):</w:t>
      </w:r>
      <w:r>
        <w:t xml:space="preserve"> OBJECTIVE: This study aimed to investigate the potential role of systemic inflammatory markers in the management of Prostate Cancer (PCA) with variant pathology. MATERIALS AND METHODS: A retrospective analysis was conducted on 302 patients who underwent radical prostatectomy between 2014 and 2023. After applying exclusion criteria, 279 patients were included: 207 with adenocarcinoma and 72 with variant pathologies. Systemic inflammatory markers such as Neutrophil-to-Lymphocyte Ratio (NLR), Platelet-to-Lymphocyte Ratio (PLR), Systemic Immune-Inflammation Index (SII), and Systemic Inflammation Response Index (SIRI) were compared between the groups. RESULTS: Patients in the variant group were significantly older (p = 0.005). The frequencies of lymphovascular invasion (LVI), perineural invasion (PNI), and positive surgical margins (SM) were significantly higher in the variant histology group (p &lt; 0.001, p = 0.014, and p &lt; 0.001, respectively), as were ISUP grades (p &lt; 0.001). Pretreatment PSA values were also significantly higher in the variant group (p &lt; 0.001), as was the rate of subsequent radiotherapy (p &lt; 0.001). However, no significant differences were found in NLR, PLR, SIRI, or SII values between the groups. Recurrence rates were significantly higher in the variant group (p &lt; 0.05), but overall mortality did not differ. CONCLUSION: Systemic inflammation markers have limited</w:t>
      </w:r>
    </w:p>
    <w:p>
      <w:pPr/>
      <w:r>
        <w:rPr>
          <w:b/>
        </w:rPr>
        <w:t>POSSIBLE 2025:</w:t>
      </w:r>
      <w:r>
        <w:t xml:space="preserve"> Systemic Mastocytosis: Current Status and Challenges in 2024 — https://doi.org/10.1182/bloodadvances.2024012612</w:t>
      </w:r>
    </w:p>
    <w:p>
      <w:pPr/>
      <w:r>
        <w:rPr>
          <w:b/>
        </w:rPr>
        <w:t>Shared claim-specific concepts:</w:t>
      </w:r>
      <w:r>
        <w:t xml:space="preserve"> according, systemic, main; EU scope not established. This is a provisional connection, not an outcome finding.</w:t>
      </w:r>
    </w:p>
    <w:p>
      <w:pPr>
        <w:pStyle w:val="SourceNote"/>
      </w:pPr>
      <w:r>
        <w:rPr>
          <w:b/>
        </w:rPr>
        <w:t>Available abstract (not full text):</w:t>
      </w:r>
      <w:r>
        <w:t xml:space="preserve"> ABSTRACT: Systemic mastocytosis (SM) is a rare disease and has had significant discoveries in its biology, prognostication, and management in the past 2 decades. The latest update of the World Health Organization classification and the new International Consensus Classification are current standards in the diagnosis and prognostication of SM. In clinical practice, SM can be divided into 2 main categories: nonadvanced SM (nonAdvSM) and advanced SM (AdvSM). The integration of clinical signs and symptoms as well as bone marrow morphologic, immunophenotypic, and molecular results is required to diagnose SM variants. In the modern era, data with KIT inhibitors (ie, avapritinib) suggest prolongation of survival in AdvSM. Although this is encouraging progress, and we now have effective drugs for managing both patients with indolent SM and AdvSM, there are remaining challenges in SM. For example, optimal initial treatment in certain patient subsets, such as SM with an associated hematologic neoplasm (SM-AHN), remains under debate (eg, treatments targeting AHN or SM, monotherapy, or combinations). Prospective studies evaluating drugs with different mechanisms of action are needed for such patients. This review provides an updated overview of SM, including the latest methods for diagnosis, patient classification based on their prognosis, and management according to the most significant c</w:t>
      </w:r>
    </w:p>
    <w:p>
      <w:pPr/>
      <w:r>
        <w:rPr>
          <w:b/>
        </w:rPr>
        <w:t>POSSIBLE 2025:</w:t>
      </w:r>
      <w:r>
        <w:t xml:space="preserve"> Digital Health: Forecast for 2025-2030. — https://doi.org/10.29188/2712-9217-2025-11-3-7-18</w:t>
      </w:r>
    </w:p>
    <w:p>
      <w:pPr/>
      <w:r>
        <w:rPr>
          <w:b/>
        </w:rPr>
        <w:t>Shared claim-specific concepts:</w:t>
      </w:r>
      <w:r>
        <w:t xml:space="preserve"> systemic, period, main; EU scope not established. This is a provisional connection, not an outcome finding.</w:t>
      </w:r>
    </w:p>
    <w:p>
      <w:pPr>
        <w:pStyle w:val="SourceNote"/>
      </w:pPr>
      <w:r>
        <w:rPr>
          <w:b/>
        </w:rPr>
        <w:t>Available abstract (not full text):</w:t>
      </w:r>
      <w:r>
        <w:t xml:space="preserve"> This report presents a forecast for the development of digital healthcare for the period 2025–2030, based exclusively on the principles of evidence-based medicine (EBM) and an analysis of regulatory trends. The years 2025–2030 will mark a fundamental transition – from the stage of proving concepts and demonstrating clinical efficacy to the stage of large-scale implementation, optimization of integration processes, and demonstration of value. The key challenges during this period will be not technological constraints, but systemic issues: ensuring semantic interoperability of data, adapting the regulatory framework – particularly regarding artificial intelligence—and overcoming barriers to real-world adoption, including the shortage of trained personnel, physician cognitive overload, and the lack of seamless integration into existing clinical workflows. The main conclusion is that technologies unable to demonstrate clear economic efficiency and seamless integration into existing IT infrastructures will not be adopted by practicing clinicians and healthcare administrators, regardless of their reported clinical accuracy. Successful implementation will require healthcare leaders to invest primarily in people and processes, not solely in software.</w:t>
      </w:r>
    </w:p>
    <w:p>
      <w:pPr/>
      <w:r>
        <w:rPr>
          <w:b/>
        </w:rPr>
        <w:t>POSSIBLE 2024:</w:t>
      </w:r>
      <w:r>
        <w:t xml:space="preserve"> Standard variant of the systemic veins with significance for operations with cardiopulmonary bypass — https://doi.org/10.1093/ehjcr/ytae670</w:t>
      </w:r>
    </w:p>
    <w:p>
      <w:pPr/>
      <w:r>
        <w:rPr>
          <w:b/>
        </w:rPr>
        <w:t>Shared claim-specific concepts:</w:t>
      </w:r>
      <w:r>
        <w:t xml:space="preserve"> according, systemic, variant, main; EU scope not established. This is a provisional connection, not an outcome finding.</w:t>
      </w:r>
    </w:p>
    <w:p>
      <w:pPr>
        <w:pStyle w:val="SourceNote"/>
      </w:pPr>
      <w:r>
        <w:rPr>
          <w:b/>
        </w:rPr>
        <w:t>Available abstract (not full text):</w:t>
      </w:r>
      <w:r>
        <w:t xml:space="preserve"> We report on a 5-year-old boy who was referred to our department as a newborn for evaluation of a heart murmur. Echocardiography revealed an atrial septal defect (ASD) of the secundum type (ASD II) (Figure 1A); a secondary finding was a significantly enlarged coronary sinus (CS) (Figure 1B). Transoesophageal echocardiography (modified mid-oesophageal aortic valve short-axis view, A)—atrial septal defect of 1.1 cm with almost no rim towards the aorta. Transthoracic echocardiography (modified long-axis view, B)—dilated coronary sinus can be seen in the left atrium. Computed tomography (coronary plane, C; sagittal plane, D)—persistent left superior vena cava with opening into a dilated coronary sinus and agenesis of the right superior vena cava. AAo, ascending aorta; AV, aortic valve; LA, left atrium; LV, left ventricle; MPA, main pulmonary artery; RA, right atrium; RV, right ventricle. An enlargement of the CS can be found in pathologies such as total anomalous pulmonary venous return, which is a severe congenital heart defect. It can also be found in standard variants of the systemic veins like a persistent left superior vena cava (pLSVC) with drainage into the right atrium via the CS.1 During intrauterine development, there is a right and left anterior cardinal vein. Normally, the right SVC develops from the right anterior cardinal vein while the left anterior cardinal vein reg</w:t>
      </w:r>
    </w:p>
    <w:p>
      <w:pPr/>
      <w:r>
        <w:rPr>
          <w:b/>
        </w:rPr>
        <w:t>POSSIBLE 2024:</w:t>
      </w:r>
      <w:r>
        <w:t xml:space="preserve"> Systemic effects of hypophosphatasia characterization of two novel variants in the ALPL gene — https://doi.org/10.3389/fendo.2023.1320516</w:t>
      </w:r>
    </w:p>
    <w:p>
      <w:pPr/>
      <w:r>
        <w:rPr>
          <w:b/>
        </w:rPr>
        <w:t>Shared claim-specific concepts:</w:t>
      </w:r>
      <w:r>
        <w:t xml:space="preserve"> systemic, variant, main; EU scope not established. This is a provisional connection, not an outcome finding.</w:t>
      </w:r>
    </w:p>
    <w:p>
      <w:pPr>
        <w:pStyle w:val="SourceNote"/>
      </w:pPr>
      <w:r>
        <w:rPr>
          <w:b/>
        </w:rPr>
        <w:t>Available abstract (not full text):</w:t>
      </w:r>
      <w:r>
        <w:t xml:space="preserve"> Introduction: Hypophosphatasia (HPP) is an inborn metabolic error caused by mutations in the ALPL gene encoding tissue non-specific alkaline phosphatase (TNSALP) and leading to decreased alkaline phosphatase (ALP) activity. Although the main characteristic of this disease is bone involvement, it presents a great genetic and clinical variability, which makes it a systemic disease. Methods: Patients were recruited based on biochemical assessments. Diagnosis was made by measuring serum ALP and pyridoxal 5-phosphate levels and finally by Sanger sequencing of the ALPL gene from peripheral blood mononuclear cells. Characterization of the new variants was performed by transfection of the variants into HEK293T cells, where ALP activity and cellular localization were measured by flow cytometry. The dominant negative effect was analyzed by co-transfection of each variant with the wild-type gene, measuring ALP activity and analyzing cellular localization by flow cytometry. Results: Two previously undescribed variants were found in the ALPL gene: leucine 6 to serine missense mutation (c.17T&gt;C, L6S) affecting the signal peptide and threonine 167 deletion (c.498_500delCAC, T167del) affecting the vicinity of the active site. These mutations lead mainly to non-pathognomonic symptoms of HPP. Structural prediction and modeling tools indicated the affected residues as critical residues with impor</w:t>
      </w:r>
    </w:p>
    <w:p>
      <w:pPr/>
      <w:r>
        <w:rPr>
          <w:b/>
        </w:rPr>
        <w:t>POSSIBLE 2024:</w:t>
      </w:r>
      <w:r>
        <w:t xml:space="preserve"> A novel variant associated with refractory lymphopenia in systemic lupus erythematosus: Dedicator of cytokinesis 2 gene c.2883_2886dup — https://doi.org/10.1002/rai2.12115</w:t>
      </w:r>
    </w:p>
    <w:p>
      <w:pPr/>
      <w:r>
        <w:rPr>
          <w:b/>
        </w:rPr>
        <w:t>Shared claim-specific concepts:</w:t>
      </w:r>
      <w:r>
        <w:t xml:space="preserve"> according, systemic, variant, period, main; EU scope not established. This is a provisional connection, not an outcome finding.</w:t>
      </w:r>
    </w:p>
    <w:p>
      <w:pPr>
        <w:pStyle w:val="SourceNote"/>
      </w:pPr>
      <w:r>
        <w:rPr>
          <w:b/>
        </w:rPr>
        <w:t>Available abstract (not full text):</w:t>
      </w:r>
      <w:r>
        <w:t xml:space="preserve"> Genetic and phenotypic heterogeneity present challenges for the diagnosis and personalized treatment of systemic lupus erythematosus (SLE).1 Leukopenia, a common clinical presentation of SLE, can vary in severity from mild to severe. Current thinking often attributes the pathogenesis of leukopenia to immune-mediated damage, infections, or iatrogenic factors (azathioprine and cyclophosphamide).2 However, the gene defects associated with leukopenia have only gained limited attention. Here, we report a novel dedicator of cytokinesis 2 (DOCK2) gene mutation that played a nonautoimmune pathogenic role in a woman with SLE who developed refractory lymphopenia. The 37-year-old female patient presented with prolonged thrombocytopenia, hypocomplementemia, and positive titers of antinuclear, antinucleosome, anti-double-stranded DNA (dsDNA), and anticardiolipin (IgG) antibodies. She was diagnosed with SLE 10 years ago according to the American College of Rheumatology 1997 criteria. Clinical evaluation revealed no damage to other systems. Over the course of her illness, she received steroid and hydroxychloroquine therapies and underwent regular reviews. The patient was hospitalized multiple times because of lupus activity, respiratory infection, or cryptococcal meningitis. Upon admission in September 2022, the patient was hospitalized due to lupus activity. Autoantibody testing revealed pos</w:t>
      </w:r>
    </w:p>
    <w:p>
      <w:pPr>
        <w:pStyle w:val="Heading2"/>
      </w:pPr>
      <w:r>
        <w:t>620. Scenario planning: An alternative approach to European Commission for combating antimicrobial resistance by 2050</w:t>
      </w:r>
    </w:p>
    <w:p>
      <w:pPr>
        <w:pStyle w:val="SourceNote"/>
      </w:pPr>
      <w:r>
        <w:rPr>
          <w:b/>
        </w:rPr>
        <w:t>Original source (2021):</w:t>
      </w:r>
      <w:r>
        <w:t xml:space="preserve"> https://doi.org/10.11576/seejph-4312</w:t>
      </w:r>
    </w:p>
    <w:p>
      <w:pPr/>
      <w:r>
        <w:t>Original wording (abstract; indexed_source_text_not_full_document_verified): Conclusion: All the strategies developed on the basis of the four scenarios probe for an increase in European Union's dedication to achieve positive outcomes. To study possible outcomes within the European Union, a scenario analysis for the year 2050 was performed on the possible influence of the European Commission (EC).</w:t>
      </w:r>
    </w:p>
    <w:p>
      <w:pPr/>
      <w:r>
        <w:rPr>
          <w:b/>
        </w:rPr>
        <w:t>POSSIBLE 2026:</w:t>
      </w:r>
      <w:r>
        <w:t xml:space="preserve"> Achievements, priorities and strategies in pediatric nephrology in Europe — https://openalex.org/W7135161588</w:t>
      </w:r>
    </w:p>
    <w:p>
      <w:pPr/>
      <w:r>
        <w:rPr>
          <w:b/>
        </w:rPr>
        <w:t>Shared claim-specific concepts:</w:t>
      </w:r>
      <w:r>
        <w:t xml:space="preserve"> all, strategies, positive, within; EU scope visible. This is a provisional connection, not an outcome finding.</w:t>
      </w:r>
    </w:p>
    <w:p>
      <w:pPr>
        <w:pStyle w:val="SourceNote"/>
      </w:pPr>
      <w:r>
        <w:rPr>
          <w:b/>
        </w:rPr>
        <w:t>Available abstract (not full text):</w:t>
      </w:r>
      <w:r>
        <w:t xml:space="preserve"> Background: There is a lack of information on the current healthcare systems for children with kidney diseases across Europe. The aim of this study was to explore the different national approaches to the organization and delivery of pediatric nephrology services within Europe. Methods: In 2020, the European society for Paediatric Nephrology (ESPN) conducted a cross-sectional survey to identify the existing pediatric nephrology healthcare systems in 48 European countries covering a population of more than 200 million children. Results: The reported three most important priorities in the care of children with kidney diseases were better training of staff, more incentives for physicians to reduce staff shortages, and more hospital beds. Positive achievements in the field of pediatric nephrology included the establishment of new specialized pediatric nephrology centers, facilities for pediatric dialysis and transplant units in 18, 16, and 12 countries, respectively. The most common problems included no access to any type of dialysis (12), inadequate transplant programs for all ages of children (12), lack of well-trained physicians and dialysis nurses (12), inadequate reimbursement of hospitals for expensive therapies (10), and lack of multidisciplinary care by psychologists, dieticians, physiotherapists, social workers and vocational counsellors (6). Twenty-five of 48 countries (52</w:t>
      </w:r>
    </w:p>
    <w:p>
      <w:pPr/>
      <w:r>
        <w:rPr>
          <w:b/>
        </w:rPr>
        <w:t>POSSIBLE 2026:</w:t>
      </w:r>
      <w:r>
        <w:t xml:space="preserve"> Mapping Slovenia’s global health engagement: alignment with European Union and national global health strategies — https://doi.org/10.1186/s41043-025-01125-5</w:t>
      </w:r>
    </w:p>
    <w:p>
      <w:pPr/>
      <w:r>
        <w:rPr>
          <w:b/>
        </w:rPr>
        <w:t>Shared claim-specific concepts:</w:t>
      </w:r>
      <w:r>
        <w:t xml:space="preserve"> all, strategies, union; EU scope visible. This is a provisional connection, not an outcome finding.</w:t>
      </w:r>
    </w:p>
    <w:p>
      <w:pPr>
        <w:pStyle w:val="SourceNote"/>
      </w:pPr>
      <w:r>
        <w:rPr>
          <w:b/>
        </w:rPr>
        <w:t>Available abstract (not full text):</w:t>
      </w:r>
      <w:r>
        <w:t xml:space="preserve"> BACKGROUND: The specific objectives of this paper are to identify Slovenian global health activities, compare the national global health strategies of France, Germany, and the Netherlands with the European Union Global Health Strategy, and assess how well Slovenia's global health activities align with the strategies of these three countries. METHODS: A document review of Slovenia's global health engagement was conducted using official reports, policy briefs, and legislative texts, analysed through predefined thematic areas. A comparative policy analysis assessed the alignment and divergence of health strategies of France, Germany, and the Netherlands with the European Union Global Health Strategy. RESULTS: The study identifies 14 key thematic areas in global health (e.g., health for all, health policy, climate change, etc.). In Slovenia, global health activities involve various governmental and non-governmental institutions across all identified thematic areas, implemented through guidelines, legislative acts, programs, projects, and initiatives. These thematic areas are also reflected in global health strategies of France, Germany and the Netherlands, indicating a shared focus on key global health priorities across national frameworks (e.g. universal health coverage, climate change, and disease prevention). CONCLUSIONS: The comparative analysis of three reviewed national globa</w:t>
      </w:r>
    </w:p>
    <w:p>
      <w:pPr/>
      <w:r>
        <w:rPr>
          <w:b/>
        </w:rPr>
        <w:t>POSSIBLE 2026:</w:t>
      </w:r>
      <w:r>
        <w:t xml:space="preserve"> Four leaders, four decades: leadership and European parliament's secretaries-general — https://doi.org/10.4324/9781003753483-10</w:t>
      </w:r>
    </w:p>
    <w:p>
      <w:pPr/>
      <w:r>
        <w:rPr>
          <w:b/>
        </w:rPr>
        <w:t>Shared claim-specific concepts:</w:t>
      </w:r>
      <w:r>
        <w:t xml:space="preserve"> conclusion, four, union, within; EU scope visible. This is a provisional connection, not an outcome finding.</w:t>
      </w:r>
    </w:p>
    <w:p>
      <w:pPr>
        <w:pStyle w:val="SourceNote"/>
      </w:pPr>
      <w:r>
        <w:rPr>
          <w:b/>
        </w:rPr>
        <w:t>Available abstract (not full text):</w:t>
      </w:r>
      <w:r>
        <w:t xml:space="preserve"> This article examines administrative leadership at the top of the European Parliament by exploring the role played by Secretaries-General. Employing an institutional approach, administrative leadership is defined as behaviour that shapes the institutional character of an organization, infusing it with values and missions. The article aims to understand the behaviours that constitute the administrative leadership of the Secretary-General in the European Parliament and whether these behaviours focus solely on administrative and management tasks or also encompass the political aspects of the European Parliament as an institution. Drawing on four high-level interviews with Secretaries-General who led the European Parliament’s administration from 1986 to 2022, the study reveals that administrative leadership exhibits an institutional character, focusing on strengthening the powers of the European Parliament through both management and involvement in tasks with a political dimension. Findings show that the institutional development of the European Parliament has been shaped by a collaborative effort between its political and administrative leaders. The conclusion underscores the necessity of studying political and administrative leadership together as public leadership to comprehend how the European Parliament leads within the European Union, particularly in addressing contemporary d</w:t>
      </w:r>
    </w:p>
    <w:p>
      <w:pPr/>
      <w:r>
        <w:rPr>
          <w:b/>
        </w:rPr>
        <w:t>POSSIBLE 2026:</w:t>
      </w:r>
      <w:r>
        <w:t xml:space="preserve"> Four decades of the european regional &amp; cohesion policy. An overview — https://doi.org/10.38191/iirr-jorr.26.010</w:t>
      </w:r>
    </w:p>
    <w:p>
      <w:pPr/>
      <w:r>
        <w:rPr>
          <w:b/>
        </w:rPr>
        <w:t>Shared claim-specific concepts:</w:t>
      </w:r>
      <w:r>
        <w:t xml:space="preserve"> four, achieve, positive, outcomes; EU scope visible. This is a provisional connection, not an outcome finding.</w:t>
      </w:r>
    </w:p>
    <w:p>
      <w:pPr>
        <w:pStyle w:val="SourceNote"/>
      </w:pPr>
      <w:r>
        <w:rPr>
          <w:b/>
        </w:rPr>
        <w:t>Available abstract (not full text):</w:t>
      </w:r>
      <w:r>
        <w:t xml:space="preserve"> The paper addresses two research questions: ﬁrst, what factors explain the continuity of the Cohesion Policy (CP); and second, to what extent such policy has contributed to reducing territorial disparities across the EU and to achieve other objectives. e article advances some hypotheses, and the analysis highlights the core pillars of the CP: its ‘philosophy’, evolving objectives, ﬁnancial resources, and institutional architecture. It further evaluates outcomes in some key areas: convergence trends, infrastructure investment, human capital formation, and support for SMEs. The ﬁndings suggest that while CP has contributed to reducing territorial disparities and other positive achievements linked to the European economic and welfare growth, its eﬀectiveness varies across regions, and some policy domains face persistent challenges such as eﬀectiveness, bureaucratization, and regional/sectoral policy conﬂicts which give support to important criticisms.</w:t>
      </w:r>
    </w:p>
    <w:p>
      <w:pPr/>
      <w:r>
        <w:rPr>
          <w:b/>
        </w:rPr>
        <w:t>POSSIBLE 2025:</w:t>
      </w:r>
      <w:r>
        <w:t xml:space="preserve"> European trends in attitudes and strategies for myopia management in clinical practice — https://doi.org/10.1016/j.clae.2025.102390</w:t>
      </w:r>
    </w:p>
    <w:p>
      <w:pPr/>
      <w:r>
        <w:rPr>
          <w:b/>
        </w:rPr>
        <w:t>Shared claim-specific concepts:</w:t>
      </w:r>
      <w:r>
        <w:t xml:space="preserve"> all, strategies, four, increase; EU scope visible. This is a provisional connection, not an outcome finding.</w:t>
      </w:r>
    </w:p>
    <w:p>
      <w:pPr>
        <w:pStyle w:val="SourceNote"/>
      </w:pPr>
      <w:r>
        <w:rPr>
          <w:b/>
        </w:rPr>
        <w:t>Available abstract (not full text):</w:t>
      </w:r>
      <w:r>
        <w:t xml:space="preserve"> BACKGROUND: Surveys conducted between 2015 and 2022 showed growing concern among European eye care practitioners about myopia management, though adoption of effective strategies varied. This study updates findings from 2024, analysing trends in attitudes and strategies for myopia management across Europe from 2015 to 2024. METHODS: A cross-sectional online survey targeting European eye care practitioners was distributed in multiple languages through professional bodies. It assessed awareness of myopia prevalence, perceived efficacy and adoption of different myopia control strategies, and reasons for non-adoption. RESULTS: Between 2015 and 2024, a total of 3,179 responses were collected from European practitioners, representing data across four survey years. Concern about pediatric myopia varied significantly in 2024 (P &lt; 0.001), with Portugal reporting the highest concern (9.4 ± 1.0) and Sweden the lowest (5.9 ± 2.2). Orthokeratology combined with low-dose atropine was perceived as the most effective approach (60.8 ± 29.6), followed by solo orthokeratology (60.1 ± 25.0) and approved myopia control soft contact lenses (55.9 ± 23.4). Single-vision lenses (15.9 ± 22.9) and undercorrection (7.1 ± 16.6) were rated least effective. Since 2015, single-vision lens prescribing has declined, while myopia control spectacles and contact lenses, and combination therapies have increased. The</w:t>
      </w:r>
    </w:p>
    <w:p>
      <w:pPr/>
      <w:r>
        <w:rPr>
          <w:b/>
        </w:rPr>
        <w:t>POSSIBLE 2025:</w:t>
      </w:r>
      <w:r>
        <w:t xml:space="preserve"> European strategies in the screening of biliary atresia: a scoping review — https://doi.org/10.1136/wjps-2025-001026</w:t>
      </w:r>
    </w:p>
    <w:p>
      <w:pPr/>
      <w:r>
        <w:rPr>
          <w:b/>
        </w:rPr>
        <w:t>Shared claim-specific concepts:</w:t>
      </w:r>
      <w:r>
        <w:t xml:space="preserve"> all, strategies, achieve, outcomes, performed; EU scope visible. This is a provisional connection, not an outcome finding.</w:t>
      </w:r>
    </w:p>
    <w:p>
      <w:pPr>
        <w:pStyle w:val="SourceNote"/>
      </w:pPr>
      <w:r>
        <w:rPr>
          <w:b/>
        </w:rPr>
        <w:t>Available abstract (not full text):</w:t>
      </w:r>
      <w:r>
        <w:t xml:space="preserve"> Background: Biliary atresia (BA) is a rare condition that meets the criteria for neonatal screening. Taiwan province of China led the way in BA screening during the 1990s by introducing a neonatal stool color card (SCC), which proved effective in facilitating early BA diagnosis and improving outcomes. Another commonly studied BA screening approach is serum bilirubin measurement. Several European countries have also begun implementing BA screening initiatives, although slowly. In this study, we evaluate BA screening strategies across Europe. Methods: Published data, after having performed a scoping review, as well as internet searches were analyzed. Screening approaches proposed in Europe are described, including SCC, serum bilirubin measurements, and other biochemical markers such as bile acids or amino acid profiles. Results: In Europe, national BA screening programs have been established solely in Switzerland, France, and Germany, all using the SCC. Other European countries, such as the Netherlands, Portugal, and Italy, have made efforts, but have yet to achieve broad implementation beyond localized initiatives. Skepticism among healthcare professionals and logistical challenges seem to hinder broader adoption. Emerging technologies, such as artificial intelligence-enhanced SCC applications, may show promise in overcoming these barriers. Serum bilirubin measurement is another</w:t>
      </w:r>
    </w:p>
    <w:p>
      <w:pPr/>
      <w:r>
        <w:rPr>
          <w:b/>
        </w:rPr>
        <w:t>POSSIBLE 2025:</w:t>
      </w:r>
      <w:r>
        <w:t xml:space="preserve"> Heterogeneity of Surgical Strategies in Aortic Arch Surgery in European Aortic Centers — https://doi.org/10.1055/s-0045-1804073</w:t>
      </w:r>
    </w:p>
    <w:p>
      <w:pPr/>
      <w:r>
        <w:rPr>
          <w:b/>
        </w:rPr>
        <w:t>Shared claim-specific concepts:</w:t>
      </w:r>
      <w:r>
        <w:t xml:space="preserve"> conclusion, all, strategies, performed; EU scope visible. This is a provisional connection, not an outcome finding.</w:t>
      </w:r>
    </w:p>
    <w:p>
      <w:pPr>
        <w:pStyle w:val="SourceNote"/>
      </w:pPr>
      <w:r>
        <w:rPr>
          <w:b/>
        </w:rPr>
        <w:t>Available abstract (not full text):</w:t>
      </w:r>
      <w:r>
        <w:t xml:space="preserve"> All articles of this category (opens in new window) Background: To date, no clear standard of care has been established regarding cannulation strategies and organ protection measures in aortic arch surgery for aneurysms across European aortic centers. Therefore, we aimed to investigate the prevalence of various surgical strategies in aortic arch surgery at European centers. Methods: To gain an overview of the various strategies for cannulation and organ protection in aortic arch surgery, we conducted an anonymous online survey among European cardiac surgery centers in September 2024. Results: In total, 18 European centers for cardiac surgery participated in our survey with an average of 5.6 surgeons performing aortic arch surgery per center. All centers offer frozen elephant trunk (FET) procedures, with a mean of 19.9 cases annually (range 5–60). Distal aortic anastomoses during FET procedures are most commonly performed in Ishimaru zone 2 (77.8%) and/or zone 3 (44.4%), whereas in conventional arch replacements, zone 3 is preferred (85.7%). Temperature management also varies: 66.7% of centers use high–moderate hypothermia (24.1–28°C) for total arch replacement/ET/FET, while 11.1% of centers operate in mild hypothermia (28.1–34°C), and 22.2% below 24°C. For ascending replacements with open distal anastomosis, mild and high–moderate hypothermia are equally used (44.4% each). Sele</w:t>
      </w:r>
    </w:p>
    <w:p>
      <w:pPr/>
      <w:r>
        <w:rPr>
          <w:b/>
        </w:rPr>
        <w:t>POSSIBLE 2025:</w:t>
      </w:r>
      <w:r>
        <w:t xml:space="preserve"> Antenatal CMV screening, testing, and treatment strategies in Europe: a 2024 survey — https://doi.org/10.1080/14767058.2025.2555478</w:t>
      </w:r>
    </w:p>
    <w:p>
      <w:pPr/>
      <w:r>
        <w:rPr>
          <w:b/>
        </w:rPr>
        <w:t>Shared claim-specific concepts:</w:t>
      </w:r>
      <w:r>
        <w:t xml:space="preserve"> all, strategies, within; EU scope visible. This is a provisional connection, not an outcome finding.</w:t>
      </w:r>
    </w:p>
    <w:p>
      <w:pPr>
        <w:pStyle w:val="SourceNote"/>
      </w:pPr>
      <w:r>
        <w:rPr>
          <w:b/>
        </w:rPr>
        <w:t>Available abstract (not full text):</w:t>
      </w:r>
      <w:r>
        <w:t xml:space="preserve"> OBJECTIVE: Congenital cytomegalovirus (cCMV) is the most common congenital infection globally, affecting approximately 0.5% of all live births in high income settings, with long-term sequelae affecting around a fifth of infected infants. Recently, interest in antenatal CMV screening has increased but current practices and impact are unclear. Our objective was to describe policy and practice around antenatal CMV screening, testing, and treatment in Europe, including the use of universal antenatal screening, in the context of the emerging evidence base for use of valaciclovir to reduce CMV vertical transmission (VT). METHODS: A web-based survey was distributed to healthcare professionals within antenatal services with knowledge of CMV testing/treatment practices, from 29 April 2024 to 24 July 2024. Responses from Europe were analyzed. Where multiple responses were submitted from the same healthcare service, the most complete response was kept for the analysis. RESULTS: &lt; .01). For all sites, screening tests included CMV IgM and IgG, with 36% (14/39) offering IgG avidity, and 8% (3/39) using PCR. Of the 39 centers offering universal screening, the coverage was estimated to be &gt;95% of pregnant women at half (18/39) of centers. Fifty-nine percent (23/39) of centers reported routinely offering repeat testing. Of 39 centers routinely offering testing, only 69% (27/39) gave advice on r</w:t>
      </w:r>
    </w:p>
    <w:p>
      <w:pPr/>
      <w:r>
        <w:rPr>
          <w:b/>
        </w:rPr>
        <w:t>POSSIBLE 2024:</w:t>
      </w:r>
      <w:r>
        <w:t xml:space="preserve"> Energy Policy in the European Union within the European Green Deal Strategy — https://doi.org/10.18778/1508-2008.27.13</w:t>
      </w:r>
    </w:p>
    <w:p>
      <w:pPr/>
      <w:r>
        <w:rPr>
          <w:b/>
        </w:rPr>
        <w:t>Shared claim-specific concepts:</w:t>
      </w:r>
      <w:r>
        <w:t xml:space="preserve"> all, union, within; EU scope visible. This is a provisional connection, not an outcome finding.</w:t>
      </w:r>
    </w:p>
    <w:p>
      <w:pPr>
        <w:pStyle w:val="SourceNote"/>
      </w:pPr>
      <w:r>
        <w:rPr>
          <w:b/>
        </w:rPr>
        <w:t>Available abstract (not full text):</w:t>
      </w:r>
      <w:r>
        <w:t xml:space="preserve"> The article presents the energy policy of the European Union (EU) in light of its latest strategy, called the European Green Deal. The article is of particular importance to answer two main questions: What was the importance of two energy packages in the EU energy policy, i.e., the fourth and fifth packages? The fourth package was adopted in June 2019; the fifth package – “Ready for 55” – was published in 2021 and aimed to align the EU’s energy targets with the new European climate targets for 2030 and 2050. What are the main conclusions from the presented tables and graphs regarding carbon dioxide emissions in European Union countries from 2012 to 2021? Additionally, what insights can be drawn regarding changes in electricity prices for household and non‑household consumers in euros per 100 kilowatt‑hour, as well as gross electricity production (in million tonnes of oil equivalent) in the analyzed years for all EU Member States?</w:t>
      </w:r>
    </w:p>
    <w:p>
      <w:pPr/>
      <w:r>
        <w:rPr>
          <w:b/>
        </w:rPr>
        <w:t>POSSIBLE 2024:</w:t>
      </w:r>
      <w:r>
        <w:t xml:space="preserve"> Systematic Review: Strategies for Improving HIV Testing and Detection Rates in European Hospitals — https://doi.org/10.3390/microorganisms12020254</w:t>
      </w:r>
    </w:p>
    <w:p>
      <w:pPr/>
      <w:r>
        <w:rPr>
          <w:b/>
        </w:rPr>
        <w:t>Shared claim-specific concepts:</w:t>
      </w:r>
      <w:r>
        <w:t xml:space="preserve"> conclusion, all, strategies, increase; EU scope visible. This is a provisional connection, not an outcome finding.</w:t>
      </w:r>
    </w:p>
    <w:p>
      <w:pPr>
        <w:pStyle w:val="SourceNote"/>
      </w:pPr>
      <w:r>
        <w:rPr>
          <w:b/>
        </w:rPr>
        <w:t>Available abstract (not full text):</w:t>
      </w:r>
      <w:r>
        <w:t xml:space="preserve"> Undiagnosed HIV infection is a prominent clinical issue throughout Europe that requires the continuous attention of all healthcare professionals and policymakers to prevent missed testing opportunities and late diagnosis. This systematic review aimed to evaluate interventions to increase HIV testing rates and case detection in European hospitals. Out of 4598 articles identified, 29 studies fulfilled the selection criteria. Most of the studies were conducted in single Western European capital cities, and only one study was from Eastern Europe. The main interventions investigated were test-all and indicator-condition-based testing strategies. Overall, the prevalence of undiagnosed HIV was well above 0.1%. The studied interventions increased the HIV testing rate and the case detection rate. The highest prevalence of undiagnosed HIV was found with the indicator-condition-driven testing strategy, whereas the test-all strategy had the most profound impact on the proportion of late diagnoses. Nevertheless, the HIV testing rates and case-finding varied considerably across studies. In conclusion, effective strategies to promote HIV testing in European hospitals are available, but relevant knowledge gaps regarding generalizability and sustainability remain. These gaps require the promotion of adherence to HIV testing guidelines, as well as additional larger studies representing all Europ</w:t>
      </w:r>
    </w:p>
    <w:p>
      <w:pPr/>
      <w:r>
        <w:rPr>
          <w:b/>
        </w:rPr>
        <w:t>POSSIBLE 2024:</w:t>
      </w:r>
      <w:r>
        <w:t xml:space="preserve"> The European Climate Law – a suitable legal basis for the European Advisory Board on Climate Change? — https://openalex.org/W7215143138</w:t>
      </w:r>
    </w:p>
    <w:p>
      <w:pPr/>
      <w:r>
        <w:rPr>
          <w:b/>
        </w:rPr>
        <w:t>Shared claim-specific concepts:</w:t>
      </w:r>
      <w:r>
        <w:t xml:space="preserve"> basis, increase, union; EU scope visible. This is a provisional connection, not an outcome finding.</w:t>
      </w:r>
    </w:p>
    <w:p>
      <w:pPr>
        <w:pStyle w:val="SourceNote"/>
      </w:pPr>
      <w:r>
        <w:rPr>
          <w:b/>
        </w:rPr>
        <w:t>Available abstract (not full text):</w:t>
      </w:r>
      <w:r>
        <w:t xml:space="preserve"> To combat climate change, the European Union (EU) adopted the European Climate Law (ECL) which, inter alia, establishes the European Scientific Advisory Board on Climate Change (ESABCC).This new scientific advisory body shall serve as a point of reference for the EU regarding scientific knowledge on climate change.In this context, the thesis examines whether the ECL is a suitable legal basis for the successful operation of the ESABCC, and what aspects could be improved.Therefore, the thesis identifies by literature review the most crucial elements of the legal basis of scientific advisory bodies on climate change and conducts based on those factors a comparative legal analysis.During this, the strengths and weaknesses of the United Kingdom's Climate Change Committee (CCC), the German Council of Experts on Climate Change (ERK), and the Climate Change Advisory Council of Ireland (CCAC) are analyzed and compared with the ESABCC.The final analysis of the ESABCC concludes that the ECL only partly provides a suitable legal basis for the ESABCC.The ECL's strengths are identified to lay in the stability and scope of the legal mandate, the composition and capacity as well as the degree of self-determination.However, particularly with regards to the specificity of the legal mandate, transparency, and the ESABCC's role in the policy context, significant amendments are required to increase</w:t>
      </w:r>
    </w:p>
    <w:p>
      <w:pPr/>
      <w:r>
        <w:rPr>
          <w:b/>
        </w:rPr>
        <w:t>POSSIBLE 2024:</w:t>
      </w:r>
      <w:r>
        <w:t xml:space="preserve"> Nature-based school environments for all children? comparing exposure to school-related green and blue infrastructure in four European cities — https://doi.org/10.1016/j.ecolind.2024.112374</w:t>
      </w:r>
    </w:p>
    <w:p>
      <w:pPr/>
      <w:r>
        <w:rPr>
          <w:b/>
        </w:rPr>
        <w:t>Shared claim-specific concepts:</w:t>
      </w:r>
      <w:r>
        <w:t xml:space="preserve"> all, four, increase, positive; EU scope visible. This is a provisional connection, not an outcome finding.</w:t>
      </w:r>
    </w:p>
    <w:p>
      <w:pPr>
        <w:pStyle w:val="SourceNote"/>
      </w:pPr>
      <w:r>
        <w:rPr>
          <w:b/>
        </w:rPr>
        <w:t>Available abstract (not full text):</w:t>
      </w:r>
      <w:r>
        <w:t xml:space="preserve"> Children’s unequal exposure to nature is associated with the uneven distribution of green and blue infrastructure (GBI) in cities, which often disproportionately affects children living in disadvantaged neighbourhoods. School environments are increasingly recognised, both by scientists and policymakers, as priority areas to increase children’s exposure to GBI. However, studies analysing the spatial and temporal patterns of GBI in school environments are still scarce, especially those considering a cross-city and equity perspective. To contribute to the expanding field of urban environmental justice in the context of children’s geographies, our research aims to assess the (un)equal spatial patterns of school-related GBI across four large European cities (Brussels, Barcelona, Rotterdam, and Paris) and over time (between 2006 and 2018). For this purpose, we used EU-comparable green and blue land cover and tree canopy cover data, together with schools’ socio-economic characteristics (median income and educational attainment) based on local neighbourhood-level data. Through geospatial and statistical analyses on 1259 primary schools, our study reveals significant positive correlations between school-related GBI indicators and socio-economic variables in Brussels and Rotterdam. In contrast, negative correlations were found in Barcelona and Paris. Overall, the four cities show very di</w:t>
      </w:r>
    </w:p>
    <w:p>
      <w:pPr>
        <w:pStyle w:val="Heading2"/>
      </w:pPr>
      <w:r>
        <w:t>621. Scenarios for European agricultural policymaking in the era of digitalisation</w:t>
      </w:r>
    </w:p>
    <w:p>
      <w:pPr>
        <w:pStyle w:val="SourceNote"/>
      </w:pPr>
      <w:r>
        <w:rPr>
          <w:b/>
        </w:rPr>
        <w:t>Original source (2021):</w:t>
      </w:r>
      <w:r>
        <w:t xml:space="preserve"> https://doi.org/10.1016/j.agsy.2021.103318</w:t>
      </w:r>
    </w:p>
    <w:p>
      <w:pPr/>
      <w:r>
        <w:t>Original wording (abstract; indexed_source_text_not_full_document_verified): Our findings suggest that the baseline scenario needs strategies to ramp up technological and institutional infrastructure for digitalisation. RESULTS AND CONCLUSIONS Four scenarios of digitalisation of the agri-food sector were developed for Europe in 2030.</w:t>
      </w:r>
    </w:p>
    <w:p>
      <w:pPr/>
      <w:r>
        <w:rPr>
          <w:b/>
        </w:rPr>
        <w:t>POSSIBLE 2026:</w:t>
      </w:r>
      <w:r>
        <w:t xml:space="preserve"> Is Digitalization Alone Enough for Tax Revenue Mobilization Across Europe and Asia? — https://doi.org/10.24912/je.v31i2.4056</w:t>
      </w:r>
    </w:p>
    <w:p>
      <w:pPr/>
      <w:r>
        <w:rPr>
          <w:b/>
        </w:rPr>
        <w:t>Shared claim-specific concepts:</w:t>
      </w:r>
      <w:r>
        <w:t xml:space="preserve"> findings, suggest, baseline, institutional; EU scope visible. This is a provisional connection, not an outcome finding.</w:t>
      </w:r>
    </w:p>
    <w:p>
      <w:pPr>
        <w:pStyle w:val="SourceNote"/>
      </w:pPr>
      <w:r>
        <w:rPr>
          <w:b/>
        </w:rPr>
        <w:t>Available abstract (not full text):</w:t>
      </w:r>
      <w:r>
        <w:t xml:space="preserve"> This study examines the relationship between digitalization and tax revenue while considering the roles of government effectiveness, informality, and tax structure across 18 European and Asian countries during 2005–2023. Using balanced panel data and random-effects regression models, the analysis estimates both baseline and extended specifications incorporating nonlinear and moderating effects. The results reveal that digitalization has a nonlinear relationship with tax revenue, with its fiscal benefits varying according to countries' stage of digital development. Regional analysis shows a U-shaped relationship in Asia but no significant effect of digitalization in Europe, reflecting differences in digital maturity. Government effectiveness significantly improves tax revenue in Asia, whereas informality weakens the effectiveness of digitalization in the full sample. Additionally, taxes on goods and services, as well as GDP per capita, positively contribute to revenue mobilization. The findings suggest that digitalization enhances fiscal performance only when supported by favorable institutional and structural conditions.</w:t>
      </w:r>
    </w:p>
    <w:p>
      <w:pPr/>
      <w:r>
        <w:rPr>
          <w:b/>
        </w:rPr>
        <w:t>POSSIBLE 2026:</w:t>
      </w:r>
      <w:r>
        <w:t xml:space="preserve"> Local Ramp Metering Strategies: Recommendation for Implementation Ramp Metering in Baghdad, Iraq — https://doi.org/10.30684/2412-0758.2417</w:t>
      </w:r>
    </w:p>
    <w:p>
      <w:pPr/>
      <w:r>
        <w:rPr>
          <w:b/>
        </w:rPr>
        <w:t>Shared claim-specific concepts:</w:t>
      </w:r>
      <w:r>
        <w:t xml:space="preserve"> strategies, ramp, institutional, four, developed; EU scope not established. This is a provisional connection, not an outcome finding.</w:t>
      </w:r>
    </w:p>
    <w:p>
      <w:pPr>
        <w:pStyle w:val="SourceNote"/>
      </w:pPr>
      <w:r>
        <w:rPr>
          <w:b/>
        </w:rPr>
        <w:t>Available abstract (not full text):</w:t>
      </w:r>
      <w:r>
        <w:t xml:space="preserve"> Ramp metering is one of the most widely used traffic management practices to alleviate congestion on freeways. Although the use of such algorithms has proven effective in developed transportation systems, this adaptation and installation of suitable ramp metering algorithms can still be a problem in developing countries, especially when traffic characteristics, data availability and institutional capacity differ greatly from the developed ones. This paper is a systematic review of local responsive ramp metering strategies covering more than ninety publications from 1991-2026. The review identifies four categories of strategies: threshold-based, feedback-based (such as ALINEA and its variations), optimization-based and AI-based. The evaluation of each family is done on a number of dimensions of performance such as congestion reduction effectiveness, implementation complexity, calibration requirements, computational effort, robustness under non-standard conditions and maturity of field validation. The paper uses comparative analysis to determine that the best option for implementation in developing nations like Iraq is feedback-based control, specifically the ALINEA algorithm and its proportional-integral control variant (PI-ALINEA), which is also practical. Specific recommendations for the expressways of Baghdad are given and a roadmap for periodical implementation is provided. </w:t>
      </w:r>
    </w:p>
    <w:p>
      <w:pPr/>
      <w:r>
        <w:rPr>
          <w:b/>
        </w:rPr>
        <w:t>POSSIBLE 2026:</w:t>
      </w:r>
      <w:r>
        <w:t xml:space="preserve"> Impact of Blasting Scenarios for In-Pit Ramp Construction on the Fumes Emission — https://doi.org/10.3390/su18020633</w:t>
      </w:r>
    </w:p>
    <w:p>
      <w:pPr/>
      <w:r>
        <w:rPr>
          <w:b/>
        </w:rPr>
        <w:t>Shared claim-specific concepts:</w:t>
      </w:r>
      <w:r>
        <w:t xml:space="preserve"> findings, strategies, ramp, developed; EU scope not established. This is a provisional connection, not an outcome finding.</w:t>
      </w:r>
    </w:p>
    <w:p>
      <w:pPr>
        <w:pStyle w:val="SourceNote"/>
      </w:pPr>
      <w:r>
        <w:rPr>
          <w:b/>
        </w:rPr>
        <w:t>Available abstract (not full text):</w:t>
      </w:r>
      <w:r>
        <w:t xml:space="preserve"> Blasting operations associated with in-pit ramp construction in open-pit mines generate gaseous emissions originating from both explosive detonation and diesel-powered drilling and loading equipment. The research object of this study is the ramp construction process in an operating open-pit quarry, and the objective is to comparatively evaluate gaseous emissions across alternative blasting scenarios to support emission-aware operational decision-making. Five realistic blasting scenarios are assessed using a combined methodology that integrates laboratory fume index data for ANFO, emulsion explosives, and dynamite with diesel-emission estimates derived from non-road mobile machinery inventory factors. Laboratory detonation tests provide standardized upper-bound emission potentials for COx and NOx, while drilling and loading emissions are quantified using a fuel-based inventory approach. The results show that the dominant contribution to total mass emissions arises from diesel combustion during drilling and loading, consistent with studies on real-world non-road mobile machinery inventory factors. Detonation fumes, although chemically concentrated and relevant for short-term exposure risk, represent a smaller share of the mass-based emission budget. Among the explosive types, bulk emulsions consistently exhibit lower toxic-gas emission indices than ANFO, attributable to their mor</w:t>
      </w:r>
    </w:p>
    <w:p>
      <w:pPr/>
      <w:r>
        <w:rPr>
          <w:b/>
        </w:rPr>
        <w:t>POSSIBLE 2026:</w:t>
      </w:r>
      <w:r>
        <w:t xml:space="preserve"> The Lifecycle of Inequality : Childhood Neighborhoods, Redistribution, and Lifetime Pensions in Finland and Europe — https://openalex.org/W7197944645</w:t>
      </w:r>
    </w:p>
    <w:p>
      <w:pPr/>
      <w:r>
        <w:rPr>
          <w:b/>
        </w:rPr>
        <w:t>Shared claim-specific concepts:</w:t>
      </w:r>
      <w:r>
        <w:t xml:space="preserve"> findings, baseline, institutional; EU scope visible. This is a provisional connection, not an outcome finding.</w:t>
      </w:r>
    </w:p>
    <w:p>
      <w:pPr>
        <w:pStyle w:val="SourceNote"/>
      </w:pPr>
      <w:r>
        <w:rPr>
          <w:b/>
        </w:rPr>
        <w:t>Available abstract (not full text):</w:t>
      </w:r>
      <w:r>
        <w:t xml:space="preserve"> This doctoral dissertation investigates the mechanics of inequality throughout the human lifecycle. It starts from the formation of opportunity in childhood, continues through the mitigation of inequality during working age, and ends with the realization of different life expectancies and pension wealth in retirement. Consisting of an introduction and three essays, the thesis examines these dynamics within the institutional contexts of the Nordic welfare state and Europe. In the first essay, The Impact of Childhood Neighborhoods on Intergenerational Mobility in Finland, I exploit a movers design to isolate the role of location in determining long-term outcomes. My results remain inconclusive. On the other hand, I find significant exposure effects: every additional year spent in a neighborhood where children have a higher income in adulthood improves a child’s future income. Surprisingly, for the probability of high school matriculation, this seems to be the opposite. Every additional year in a neighborhood with high proportion of children matriculating from high school lowers a child's own probability of matriculating. These effect sizes are comparable to recent findings from the United States, suggesting that even within the Finnish welfare state characterized by uniform schooling and social security, residential location might still remain a determinant of opportunity. Howeve</w:t>
      </w:r>
    </w:p>
    <w:p>
      <w:pPr/>
      <w:r>
        <w:rPr>
          <w:b/>
        </w:rPr>
        <w:t>POSSIBLE 2026:</w:t>
      </w:r>
      <w:r>
        <w:t xml:space="preserve"> The Interplay of Climate Change, Urbanisation, and Species Traits Shapes European Butterfly Population Trends — https://doi.org/10.1111/geb.70204</w:t>
      </w:r>
    </w:p>
    <w:p>
      <w:pPr/>
      <w:r>
        <w:rPr>
          <w:b/>
        </w:rPr>
        <w:t>Shared claim-specific concepts:</w:t>
      </w:r>
      <w:r>
        <w:t xml:space="preserve"> findings, suggest, baseline, conclusions; EU scope visible. This is a provisional connection, not an outcome finding.</w:t>
      </w:r>
    </w:p>
    <w:p>
      <w:pPr>
        <w:pStyle w:val="SourceNote"/>
      </w:pPr>
      <w:r>
        <w:rPr>
          <w:b/>
        </w:rPr>
        <w:t>Available abstract (not full text):</w:t>
      </w:r>
      <w:r>
        <w:t xml:space="preserve"> ABSTRACT Aim To examine how butterfly population trends respond to climate change and urbanisation at a continental scale, and whether responses differ between urban and rural environments. Location 869 sites across 12 European countries, spanning six bioclimatic zones. Time Period 1976–2021. Major Taxa Studied Butterflies (Lepidoptera). Methods We analysed long‐term monitoring data from &gt; 8400 populations of 145 species representing a wide range of ecological and life‐history traits. Population trends were modelled in relation to climate variables (temperature, precipitation and aridity), urbanisation (built‐up surface), and their interactions with urban context (urban vs. rural) and species traits (trophic specialisation, body size, reproductive rate and thermal adaptation). Results Climate warming and aridification were consistently linked to population declines in both rural and urban contexts, while precipitation effects varied by location and species. Urbanisation alone did not predict trends, but the urban–rural context strongly modulated species' responses to warming, indicating potential synergies between climate change and urbanisation. The stronger impact of warming in urban populations likely reflects elevated baseline temperatures and reduced habitat suitability and connectivity in urban landscapes, limiting thermal buffering. Species with colder thermal niches and</w:t>
      </w:r>
    </w:p>
    <w:p>
      <w:pPr/>
      <w:r>
        <w:rPr>
          <w:b/>
        </w:rPr>
        <w:t>POSSIBLE 2025:</w:t>
      </w:r>
      <w:r>
        <w:t xml:space="preserve"> Understanding Driver Distraction : Key Performance Indicator Findings from Baseline and Trendline in 4 European Countries — https://openalex.org/W7137534956</w:t>
      </w:r>
    </w:p>
    <w:p>
      <w:pPr/>
      <w:r>
        <w:rPr>
          <w:b/>
        </w:rPr>
        <w:t>Shared claim-specific concepts:</w:t>
      </w:r>
      <w:r>
        <w:t xml:space="preserve"> findings, baseline, developed; EU scope visible. This is a provisional connection, not an outcome finding.</w:t>
      </w:r>
    </w:p>
    <w:p>
      <w:pPr>
        <w:pStyle w:val="SourceNote"/>
      </w:pPr>
      <w:r>
        <w:rPr>
          <w:b/>
        </w:rPr>
        <w:t>Available abstract (not full text):</w:t>
      </w:r>
      <w:r>
        <w:t xml:space="preserve"> Distraction while driving is a critical factor contributing to road accidents, and both the Baseline and Trendline projects aimed to quantify and analyze its impact. Funded by the European Commission, these projects developed a range of Key Performance Indicators (KPIs) related to road safety, including one focused on distraction during driving. The Distraction KPI measures the percentage of drivers not using handheld mobile devices while driving. The Baseline project established a methodological framework for collecting and analyzing these KPIs, while the Trendline project built on this foundation by collecting new data to track changes over time. Using slightly updated common methodologies, the projects applied specific criteria for site selection and data collection, enabling a comparative analysis of distraction levels and other safety-related behaviors across participating countries, including Czechia, Poland, Portugal and Sweden.</w:t>
      </w:r>
    </w:p>
    <w:p>
      <w:pPr/>
      <w:r>
        <w:rPr>
          <w:b/>
        </w:rPr>
        <w:t>POSSIBLE 2025:</w:t>
      </w:r>
      <w:r>
        <w:t xml:space="preserve"> An Appraisal of the Strategies for Effective Implementation of the Rural Access and Mobility Project (RAMP) in Osun State, Nigeria — https://doi.org/10.69739/jsrd.v1i1.747</w:t>
      </w:r>
    </w:p>
    <w:p>
      <w:pPr/>
      <w:r>
        <w:rPr>
          <w:b/>
        </w:rPr>
        <w:t>Shared claim-specific concepts:</w:t>
      </w:r>
      <w:r>
        <w:t xml:space="preserve"> findings, needs, strategies, ramp, infrastructure; EU scope not established. This is a provisional connection, not an outcome finding.</w:t>
      </w:r>
    </w:p>
    <w:p>
      <w:pPr>
        <w:pStyle w:val="SourceNote"/>
      </w:pPr>
      <w:r>
        <w:rPr>
          <w:b/>
        </w:rPr>
        <w:t>Available abstract (not full text):</w:t>
      </w:r>
      <w:r>
        <w:t xml:space="preserve"> The Rural Access and Mobility Project (RAMP) faces challenges in effective implementation which may hinder its potential to improve rural accessibility, mobility, and economic development. Previous studies on rural road infrastructure projects, including RAMP, have not adequately assessed the effectiveness of implementation strategies in Osun State, Nigeria. This study, therefore, appraise the strategies for effective implementation of the Rural Access and Mobility Project (RAMP) in Osun State, Nigeria. The study was anchored on the Theory of Change, while concurrent mixed-method design approach was employed. Four-hundred and fifty respondents residing within the RAMP projects regions comprised Iwo, Ife and Ilesha were sampled using both probability and non-probability sampling procedures. A self-designed instrument was used to obtained information from the participants. Mean, standard deviation, t-test and correlation analysis were used for data analysis, while the responses from the KII were thematically analysed. The findings revealed that the top strategies for effective implementation of RAMP-2 in Osun State, Nigeria, comprised establishment of a dedicated project management unit, strengthen stakeholder coordination mechanisms, build capacity of local government institutions, enhance budget allocation efficiency, and ensure transparent and accountable funding. The study fo</w:t>
      </w:r>
    </w:p>
    <w:p>
      <w:pPr/>
      <w:r>
        <w:rPr>
          <w:b/>
        </w:rPr>
        <w:t>POSSIBLE 2025:</w:t>
      </w:r>
      <w:r>
        <w:t xml:space="preserve"> Ramp metering revealed: a comprehensive literature review — https://doi.org/10.1108/srt-10-2024-0014</w:t>
      </w:r>
    </w:p>
    <w:p>
      <w:pPr/>
      <w:r>
        <w:rPr>
          <w:b/>
        </w:rPr>
        <w:t>Shared claim-specific concepts:</w:t>
      </w:r>
      <w:r>
        <w:t xml:space="preserve"> findings, ramp, technological; EU scope not established. This is a provisional connection, not an outcome finding.</w:t>
      </w:r>
    </w:p>
    <w:p>
      <w:pPr>
        <w:pStyle w:val="SourceNote"/>
      </w:pPr>
      <w:r>
        <w:rPr>
          <w:b/>
        </w:rPr>
        <w:t>Available abstract (not full text):</w:t>
      </w:r>
      <w:r>
        <w:t xml:space="preserve"> Purpose The purpose of this study is to analyze and synthesize existing research on various ramp metering systems to evaluate their effectiveness in optimizing traffic flow, enhancing safety, reducing congestion, and identifying future research directions for integrating advanced technologies. Design/methodology/approach This literature review synthesizes research spanning several decades to evaluate the effectiveness of various ramp metering systems, including fixed-time, actuated, traffic-responsive and adaptive methods. Findings The success of ramp metering is contingent upon several factors. Public compliance is crucial, as resistance to ramp metering signals can diminish its effectiveness. Effective public education is necessary to convey the long-term benefits of smoother traffic and safer roads. Technological challenges, particularly regarding sensor accuracy and data processing, also present obstacles to system performance. Originality/value This study provides a comprehensive literature review on ramp metering as a traffic management strategy, showcasing its evolution and effectiveness over decades in optimizing highway entry rates, improving traffic flow, enhancing safety and reducing environmental impacts, while also addressing ongoing challenges and future opportunities for innovation.</w:t>
      </w:r>
    </w:p>
    <w:p>
      <w:pPr/>
      <w:r>
        <w:rPr>
          <w:b/>
        </w:rPr>
        <w:t>POSSIBLE 2025:</w:t>
      </w:r>
      <w:r>
        <w:t xml:space="preserve"> Power−efficient ramped stimulation in a fully implantable cochlear implant — https://doi.org/10.1038/s41598-025-25077-2</w:t>
      </w:r>
    </w:p>
    <w:p>
      <w:pPr/>
      <w:r>
        <w:rPr>
          <w:b/>
        </w:rPr>
        <w:t>Shared claim-specific concepts:</w:t>
      </w:r>
      <w:r>
        <w:t xml:space="preserve"> findings, strategies, four; EU scope not established. This is a provisional connection, not an outcome finding.</w:t>
      </w:r>
    </w:p>
    <w:p>
      <w:pPr>
        <w:pStyle w:val="SourceNote"/>
      </w:pPr>
      <w:r>
        <w:rPr>
          <w:b/>
        </w:rPr>
        <w:t>Available abstract (not full text):</w:t>
      </w:r>
      <w:r>
        <w:t xml:space="preserve"> Cochlear implants (CIs) are among the most established neuromodulation devices, providing auditory perception through electrical stimulation of the auditory nerve. While conventional stimulation strategies rely on symmetric biphasic rectangular pulses, alternative pulse shapes may offer improvements in neural activation and energy efficiency-particularly for fully implantable CI systems where power consumption is a key limitation. In this study, we investigate the efficacy of anodic-first ramped biphasic pulse shapes compared to conventional anodic-first rectangular pulses, using a custom-designed fully implantable cochlear implant (FICI) system in an in vivo guinea pig model. Electrically evoked auditory brainstem responses (eABRs) were recorded in response to four charge-balanced waveform types: Rectangular, RampUp, RampDown, and RampLong. In this single-subject feasibility study, ramped waveforms elicited significantly larger eABR amplitudes, steeper input-output functions, and shorter latencies compared to rectangular pulses. Additionally, we characterized transmission efficiency across the electrode-tissue interface by analyzing waveform spectra and their attenuation through a frequency-dependent medium model. After correcting for these medium-specific losses, in the anodic-first biphasic configuration, RampUp and RampLong pulses demonstrated up to 19-22% improvement in po</w:t>
      </w:r>
    </w:p>
    <w:p>
      <w:pPr/>
      <w:r>
        <w:rPr>
          <w:b/>
        </w:rPr>
        <w:t>POSSIBLE 2025:</w:t>
      </w:r>
      <w:r>
        <w:t xml:space="preserve"> Variability in Paediatric Patch Test Practices Across Europe: A Survey From the European Baseline Series ( EBS ) Working Party on Behalf of the European Society of Contact Dermatitis ( ESCD ) — https://doi.org/10.1111/cod.14824</w:t>
      </w:r>
    </w:p>
    <w:p>
      <w:pPr/>
      <w:r>
        <w:rPr>
          <w:b/>
        </w:rPr>
        <w:t>Shared claim-specific concepts:</w:t>
      </w:r>
      <w:r>
        <w:t xml:space="preserve"> findings, baseline, developed; EU scope visible. This is a provisional connection, not an outcome finding.</w:t>
      </w:r>
    </w:p>
    <w:p>
      <w:pPr>
        <w:pStyle w:val="SourceNote"/>
      </w:pPr>
      <w:r>
        <w:rPr>
          <w:b/>
        </w:rPr>
        <w:t>Available abstract (not full text):</w:t>
      </w:r>
      <w:r>
        <w:t xml:space="preserve"> BACKGROUND: Allergic contact dermatitis (ACD) is an increasingly recognised condition in children and adolescents. However, there is limited knowledge about the different paediatric patch test procedures in European patch test clinics. OBJECTIVES: To map current European paediatric patch test practices, and to relate these to the existing literature, with the aim of guiding the development of a future paediatric patch test guideline, and a corresponding paediatric European baseline series (pEBS). MATERIALS AND METHODS: In the course of late 2023/early 2024, a standardised paediatric patch test e-mail questionnaire was developed, distributed, and discussed among members of the European Baseline Series (EBS) Working Party of the European Society of Contact Dermatitis (ESCD). RESULTS: Areas of agreement and discussion were identified regarding patch testing in children of different ages, with and without atopic dermatitis: (contra)indications, choice of allergens and patch test chambers, peculiarities regarding the application and fixation of tests, occlusion and reading times. CONCLUSION: Although variability exists in paediatric patch test practices across Europe, there is broad agreement on common procedures, and only a few areas of debate; these findings may be used to inform the development of a future paediatric patch test guideline and pEBS.</w:t>
      </w:r>
    </w:p>
    <w:p>
      <w:pPr/>
      <w:r>
        <w:rPr>
          <w:b/>
        </w:rPr>
        <w:t>POSSIBLE 2025:</w:t>
      </w:r>
      <w:r>
        <w:t xml:space="preserve"> Evaluating the Impact of the Health Navigator Model on Housing Status Among People Experiencing Homelessness in Four European Countries — https://doi.org/10.3390/healthcare13212805</w:t>
      </w:r>
    </w:p>
    <w:p>
      <w:pPr/>
      <w:r>
        <w:rPr>
          <w:b/>
        </w:rPr>
        <w:t>Shared claim-specific concepts:</w:t>
      </w:r>
      <w:r>
        <w:t xml:space="preserve"> findings, baseline, needs, strategies, conclusions, four; EU scope visible. This is a provisional connection, not an outcome finding.</w:t>
      </w:r>
    </w:p>
    <w:p>
      <w:pPr>
        <w:pStyle w:val="SourceNote"/>
      </w:pPr>
      <w:r>
        <w:rPr>
          <w:b/>
        </w:rPr>
        <w:t>Available abstract (not full text):</w:t>
      </w:r>
      <w:r>
        <w:t xml:space="preserve"> Background: People experiencing homelessness (PEH) face significant health disparities and systemic barriers to healthcare, elevating their risk for cancer and other chronic diseases. To tackle PEHs’ challenges in accessing cancer preventive care, the CANCERLESS project implemented the Health Navigator Model (HNM)—a person-centered intervention that utilizes trained Health Navigators to provide tailored support and facilitate service access. Recognizing housing as a key determinant of health, this analysis assessed changes in housing status associated with participation in the HNM among CANCERLESS participants in Austria, Greece, Spain, and the UK. Methods: This was a secondary analysis of cross-national data collected during a single-arm interventional study. Of 652 enrolled PEH, 277 (42.5%) completed the HNM intervention follow-up and were included in the analysis. Changes in housing status from baseline to follow-up were categorized using the European Typology of Homelessness and Housing Exclusion (ETHOS) and treated as an ordered outcome. Descriptive statistics were complemented by a cumulative link mixed model with a participant random intercept to estimate the association between time (follow-up vs. baseline) and housing transitions among completers, adjusting for age, residence/legal status, and daily smoking. Results: Participants had a mean age of 47.4 (SD 13.8), prima</w:t>
      </w:r>
    </w:p>
    <w:p>
      <w:pPr/>
      <w:r>
        <w:rPr>
          <w:b/>
        </w:rPr>
        <w:t>POSSIBLE 2025:</w:t>
      </w:r>
      <w:r>
        <w:t xml:space="preserve"> Medial Meniscus Ramp Lesions: A Review of Treatment Methods and Clinical Outcomes — https://doi.org/10.35630/2025/15/3.304</w:t>
      </w:r>
    </w:p>
    <w:p>
      <w:pPr/>
      <w:r>
        <w:rPr>
          <w:b/>
        </w:rPr>
        <w:t>Shared claim-specific concepts:</w:t>
      </w:r>
      <w:r>
        <w:t xml:space="preserve"> strategies, ramp, conclusions; EU scope not established. This is a provisional connection, not an outcome finding.</w:t>
      </w:r>
    </w:p>
    <w:p>
      <w:pPr>
        <w:pStyle w:val="SourceNote"/>
      </w:pPr>
      <w:r>
        <w:rPr>
          <w:b/>
        </w:rPr>
        <w:t>Available abstract (not full text):</w:t>
      </w:r>
      <w:r>
        <w:t xml:space="preserve"> Introduction: Ramp lesions of the medial meniscus (tears at the meniscocapsular junction of the posterior horn) have historically been underdiagnosed but are now recognized as a common co-injury in anterior cruciate ligament (ACL) tears. Their prevalence, impact on knee biomechanics, and clinical outcomes following different treatment strategies remain subjects of increasing interest and debate. Objective: This review aims to summarize current anatomical knowledge, diagnostic approaches, classification systems, and treatment options for ramp lesions, with a focus on their relevance in arthroscopic surgery and rehabilitation outcomes. Results: MRI remains a widely used but imperfect diagnostic tool, with sensitivity ranging from 65% to 71%. Arthroscopic evaluation, particularly via posteromedial or trans-notch portals, is considered the gold standard. Treatment strategies depend on lesion stability: stable ramp lesions may be observed or treated with biological augmentation (e.g., abrasion or trephination), while unstable lesions typically require repair. Surgical techniques include all-inside sutures (anterior or posteromedial), inside-out methods, and hybrid approaches. Clinical outcomes following surgical repair are generally favorable, with improved IKDC and Lysholm scores. However, high-level evidence comparing treatment strategies remains limited. Conclusions: Unstable ram</w:t>
      </w:r>
    </w:p>
    <w:p>
      <w:pPr>
        <w:pStyle w:val="Heading2"/>
      </w:pPr>
      <w:r>
        <w:t>622. Scenarios of Automated Mobility in Austria: Implications for Future Transport Policy</w:t>
      </w:r>
    </w:p>
    <w:p>
      <w:pPr>
        <w:pStyle w:val="SourceNote"/>
      </w:pPr>
      <w:r>
        <w:rPr>
          <w:b/>
        </w:rPr>
        <w:t>Original source (2021):</w:t>
      </w:r>
      <w:r>
        <w:t xml:space="preserve"> https://doi.org/10.3390/futuretransp1030041</w:t>
      </w:r>
    </w:p>
    <w:p>
      <w:pPr/>
      <w:r>
        <w:t>Original wording (abstract; indexed_source_text_not_full_document_verified): The simulations show that, without suitable transport policy measures, automated mobility will lead to a significant increase in the volume of individual traffic and to modal shift effects with lower traffic volumes for public transport, walking and cycling. Hence, transport policy measures accompanying the introduction and development of automated vehicles will be needed in the future to reach a sustainable development.</w:t>
      </w:r>
    </w:p>
    <w:p>
      <w:pPr/>
      <w:r>
        <w:rPr>
          <w:b/>
        </w:rPr>
        <w:t>POSSIBLE 2026:</w:t>
      </w:r>
      <w:r>
        <w:t xml:space="preserve"> Sustainable aviation fuels in Europe: An agent-based simulation of market dynamics in a regulated competitive landscape — https://doi.org/10.18154/rwth-2026-04976</w:t>
      </w:r>
    </w:p>
    <w:p>
      <w:pPr/>
      <w:r>
        <w:rPr>
          <w:b/>
        </w:rPr>
        <w:t>Shared claim-specific concepts:</w:t>
      </w:r>
      <w:r>
        <w:t xml:space="preserve"> transport, lead; EU scope visible. This is a provisional connection, not an outcome finding.</w:t>
      </w:r>
    </w:p>
    <w:p>
      <w:pPr>
        <w:pStyle w:val="SourceNote"/>
      </w:pPr>
      <w:r>
        <w:rPr>
          <w:b/>
        </w:rPr>
        <w:t>Available abstract (not full text):</w:t>
      </w:r>
      <w:r>
        <w:t xml:space="preserve"> While many of the European Union's (EU) economic sectors successfully reduced emissions before the COVID-19 pandemic, transport and aviation in particular showed the opposite trend.With the Fit for 55 package, the EU initiated a political push to drive the sustainable transition in aviation.Taking into account the policy drive of the Fit for 55 package, we investigate the political market intervention in intra-European aviation, considering the potential role of sustainable aviation fuels (SAFs).For this purpose, an agent-based simulation modeling approach coupled with a system dynamics environment was developed to analyze market developments through both economic and ecological lenses.Two key stakeholders, customers (both passengers and freight companies) and airlines, are considered to capture the impacts of their behaviors and decisionmaking preferences in the adoption of SAFs.Several scenarios, based on different policy interventions, were considered in the analysis in order to comprehensively explore the impacts of further political developments.The results indicate that policy intervention can lead to a transition driven by sustainable sector performance and demand effects in response to price changes.Furthermore, as intended by the regulations, the results suggest that achieving the sustainable transition requires a shared responsibility amongst customers, industry playe</w:t>
      </w:r>
    </w:p>
    <w:p>
      <w:pPr/>
      <w:r>
        <w:rPr>
          <w:b/>
        </w:rPr>
        <w:t>POSSIBLE 2026:</w:t>
      </w:r>
      <w:r>
        <w:t xml:space="preserve"> Sustainable aviation fuels in Europe: An agent-based simulation of market dynamics in a regulated competitive landscape — https://doi.org/10.1016/j.tranpol.2026.104158</w:t>
      </w:r>
    </w:p>
    <w:p>
      <w:pPr/>
      <w:r>
        <w:rPr>
          <w:b/>
        </w:rPr>
        <w:t>Shared claim-specific concepts:</w:t>
      </w:r>
      <w:r>
        <w:t xml:space="preserve"> transport, lead; EU scope visible. This is a provisional connection, not an outcome finding.</w:t>
      </w:r>
    </w:p>
    <w:p>
      <w:pPr>
        <w:pStyle w:val="SourceNote"/>
      </w:pPr>
      <w:r>
        <w:rPr>
          <w:b/>
        </w:rPr>
        <w:t>Available abstract (not full text):</w:t>
      </w:r>
      <w:r>
        <w:t xml:space="preserve"> While many of the European Union’s (EU) economic sectors successfully reduced emissions before the COVID-19 pandemic, transport and aviation in particular showed the opposite trend. With the Fit for 55 package, the EU initiated a political push to drive the sustainable transition in aviation. Taking into account the policy drive of the Fit for 55 package, we investigate the political market intervention in intra-European aviation, considering the potential role of sustainable aviation fuels (SAFs). For this purpose, an agent-based simulation modeling approach coupled with a system dynamics environment was developed to analyze market developments through both economic and ecological lenses. Two key stakeholders, customers (both passengers and freight companies) and airlines, are considered to capture the impacts of their behaviors and decision-making preferences in the adoption of SAFs. Several scenarios, based on different policy interventions, were considered in the analysis in order to comprehensively explore the impacts of further political developments. The results indicate that policy intervention can lead to a transition driven by sustainable sector performance and demand effects in response to price changes. Furthermore, as intended by the regulations, the results suggest that achieving the sustainable transition requires a shared responsibility amongst customers, indust</w:t>
      </w:r>
    </w:p>
    <w:p>
      <w:pPr/>
      <w:r>
        <w:rPr>
          <w:b/>
        </w:rPr>
        <w:t>POSSIBLE 2026:</w:t>
      </w:r>
      <w:r>
        <w:t xml:space="preserve"> Transport-related effects of rail-based urban parcel transport: scenario analysis and policy implications — https://doi.org/10.1016/j.trpro.2026.04.120</w:t>
      </w:r>
    </w:p>
    <w:p>
      <w:pPr/>
      <w:r>
        <w:rPr>
          <w:b/>
        </w:rPr>
        <w:t>Shared claim-specific concepts:</w:t>
      </w:r>
      <w:r>
        <w:t xml:space="preserve"> simulations, show, transport, shift, volumes; EU scope not established. This is a provisional connection, not an outcome finding.</w:t>
      </w:r>
    </w:p>
    <w:p>
      <w:pPr>
        <w:pStyle w:val="SourceNote"/>
      </w:pPr>
      <w:r>
        <w:rPr>
          <w:b/>
        </w:rPr>
        <w:t>Available abstract (not full text):</w:t>
      </w:r>
      <w:r>
        <w:t xml:space="preserve"> The rapid growth of e-commerce has led to increased parcel volumes, posing challenges for sustainable city logistics. This study evaluates the potential of a combined cargo and passenger tram system as an alternative to light commercial vehicle (LCV) shipments. Empirically extending the agent-based freight demand model ‘logiTopp’, transport-related effects are analyzed through scenario simulations. Results show that a cargo tram can shift LCV mileage to sustainable modes, though the overall shift exceeds saved LCV mileage. The study highlights operational challenges like missing rail access at distribution centres and emphasizes the need for policy incentives to foster the cargo tram’s potential.</w:t>
      </w:r>
    </w:p>
    <w:p>
      <w:pPr/>
      <w:r>
        <w:rPr>
          <w:b/>
        </w:rPr>
        <w:t>POSSIBLE 2025:</w:t>
      </w:r>
      <w:r>
        <w:t xml:space="preserve"> Future Changes of European Windstorm Losses in EURO-CORDEX Simulations — https://doi.org/10.16993/tellusa.4094</w:t>
      </w:r>
    </w:p>
    <w:p>
      <w:pPr/>
      <w:r>
        <w:rPr>
          <w:b/>
        </w:rPr>
        <w:t>Shared claim-specific concepts:</w:t>
      </w:r>
      <w:r>
        <w:t xml:space="preserve"> simulations, show, without, increase, individual; EU scope visible. This is a provisional connection, not an outcome finding.</w:t>
      </w:r>
    </w:p>
    <w:p>
      <w:pPr>
        <w:pStyle w:val="SourceNote"/>
      </w:pPr>
      <w:r>
        <w:rPr>
          <w:b/>
        </w:rPr>
        <w:t>Available abstract (not full text):</w:t>
      </w:r>
      <w:r>
        <w:t xml:space="preserve"> Windstorms are one of the most important natural hazards affecting Europe. This article investigates the potential impacts of climate change on windstorm losses in Europe employing the Loss Index (LI) method. A large EURO-CORDEX multi-model ensemble at 12 km resolution with 20 different general circulation model to regional climate model (GCM-RCM) chains following the historical plus RCP8.5 scenario is considered. A comparison between the simulated historical 10 m wind gusts and ERA5 reanalysis reveals substantial model biases. An Empirical Quantile Mapping method is employed to bias-correct the daily wind gust speeds, leading to the effective reduction of these biases. Considering different global warming levels (GWLs), our results show an increase in windstorm intensity for Western, Central and Eastern Europe in a warming world, and a general decrease in windstorm frequency for large parts of Europe. While the ensemble mean changes are mostly moderate for +2°C world, signals are more pronounced for +3°C. The projected changes in windstorm losses are small and mostly non-robust, with negative trends for Central Europe and positive trends for Eastern Europe. For the most extreme loss events, the EURO-CORDEX ensemble projects shorter return periods for Eastern Europe independent of the GWL, while no clear trends for Core Europe emerge. Our results show a large spread between the</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individual, lower;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Europe's way from natural gas to green hydrogen: Modeling and simulation of the transforming European gas transport infrastructure — https://doi.org/10.1016/j.ijhydene.2025.04.408</w:t>
      </w:r>
    </w:p>
    <w:p>
      <w:pPr/>
      <w:r>
        <w:rPr>
          <w:b/>
        </w:rPr>
        <w:t>Shared claim-specific concepts:</w:t>
      </w:r>
      <w:r>
        <w:t xml:space="preserve"> simulations, show, transport; EU scope visible. This is a provisional connection, not an outcome finding.</w:t>
      </w:r>
    </w:p>
    <w:p>
      <w:pPr>
        <w:pStyle w:val="SourceNote"/>
      </w:pPr>
      <w:r>
        <w:rPr>
          <w:b/>
        </w:rPr>
        <w:t>Available abstract (not full text):</w:t>
      </w:r>
      <w:r>
        <w:t xml:space="preserve"> Achieving the EU's 2050 climate neutrality target requires rapid energy system transformation, with hydrogen expected to play a central role. This study presents a high-resolution modeling framework to support the transition of Europe's natural gas infrastructure into a cost-efficient hydrogen network while maintaining residual gas transport capabilities. Using the Steiner tree algorithm, optimized hydrogen network topologies were derived by repurposing existing pipelines and selectively building new corridors. Scenario data were spatially and temporally disaggregated to NUTS-3 and hourly resolution. Fluid-dynamic simulations for 2030, 2040, and 2050 validate the technical feasibility and identify infrastructure bottlenecks. Results show that by 2040, 98 % of the projected 38,000 km hydrogen network can be repurposed infrastructure, requiring an estimated €72.5 billion investment by 2050. The proposed methodology enables scalable and adaptive planning and offers critical insights into hydrogen corridor prioritization, infrastructure phasing, and cross-border coordination, supporting policy and investment decisions across the EU energy landscape.</w:t>
      </w:r>
    </w:p>
    <w:p>
      <w:pPr/>
      <w:r>
        <w:rPr>
          <w:b/>
        </w:rPr>
        <w:t>POSSIBLE 2025:</w:t>
      </w:r>
      <w:r>
        <w:t xml:space="preserve"> An Agent-based simulation model for vehicle fleet growth to review public policies for transport demand management — https://doi.org/10.17533/udea.redin.20250472</w:t>
      </w:r>
    </w:p>
    <w:p>
      <w:pPr/>
      <w:r>
        <w:rPr>
          <w:b/>
        </w:rPr>
        <w:t>Shared claim-specific concepts:</w:t>
      </w:r>
      <w:r>
        <w:t xml:space="preserve"> transport, increase, traffic; EU scope not established. This is a provisional connection, not an outcome finding.</w:t>
      </w:r>
    </w:p>
    <w:p>
      <w:pPr>
        <w:pStyle w:val="SourceNote"/>
      </w:pPr>
      <w:r>
        <w:rPr>
          <w:b/>
        </w:rPr>
        <w:t>Available abstract (not full text):</w:t>
      </w:r>
      <w:r>
        <w:t xml:space="preserve"> The increase in the number of vehicles in highly dense areas with a limited road network has become a challenge for main cities worldwide. Recent decades demographic and economic growth has generated a gradual increase in traffic congestion and the commutation times of inhabitants, which directly affects their productivity and quality of life. To counteract these impacts, governments have implemented Travel Demand Management (TDM) that restrict the circulation of private vehicles to reduce traffic congestion, while discouraging their acquisition and promoting the use of public transport. However, due to their coercive characteristics, the effectiveness of TDM to discourage the acquisition of private vehicles and their long-term effect on controlling the growth of the vehicle fleet has been harshly questioned. This research presents the recent scientific methodologies to estimate variations in car fleet growth and shows estimation variables in Medellín city using publicly available databases, as well as one method proper for the selection of the proper evaluation model. These set up scenarios for projecting the vehicle fleet based on the implementation of public policies for demand management of demand such as the restriction due to license plate-based (L&amp;P) use and scrapping. This allows for evaluating the relationship between vehicle age allowed for the circulation of vehicles</w:t>
      </w:r>
    </w:p>
    <w:p>
      <w:pPr/>
      <w:r>
        <w:rPr>
          <w:b/>
        </w:rPr>
        <w:t>POSSIBLE 2025:</w:t>
      </w:r>
      <w:r>
        <w:t xml:space="preserve"> A diagnostic intercomparison of modeled ozone dry deposition over North America and Europe using AQMEII4 regional-scale simulations — https://doi.org/10.5194/acp-25-12629-2025</w:t>
      </w:r>
    </w:p>
    <w:p>
      <w:pPr/>
      <w:r>
        <w:rPr>
          <w:b/>
        </w:rPr>
        <w:t>Shared claim-specific concepts:</w:t>
      </w:r>
      <w:r>
        <w:t xml:space="preserve"> simulations, significant, increase; EU scope visible. This is a provisional connection, not an outcome finding.</w:t>
      </w:r>
    </w:p>
    <w:p>
      <w:pPr>
        <w:pStyle w:val="SourceNote"/>
      </w:pPr>
      <w:r>
        <w:rPr>
          <w:b/>
        </w:rPr>
        <w:t>Available abstract (not full text):</w:t>
      </w:r>
      <w:r>
        <w:t xml:space="preserve"> This study analyzes ozone (O3) dry deposition fluxes and velocities (Vd) from twelve regional-scale simulations that were performed over North America and Europe in Phase 4 of the Air Quality Model Evaluation International Initiative (AQMEII4). AQMEII4 collected grid-aggregated and land use (LU)-specific O3 Vd and effective conductances and fluxes for the four major dry deposition pathways. Consistent with recent findings in the AQMEII4 point model intercomparison study, analysis of the grid-aggregated fields shows that grid models with similar Vd can exhibit significant differences in the absolute and relative contributions of the different depositional pathways. Analysis of LU-specific Vd and effective conductances reveals a general increase in model spread compared to grid-aggregated values. This indicates that an analysis of only grid-aggregated deposition diagnostics can mask process-specific differences that exist between schemes. An analysis of AQMEII4 LU distributions across models revealed substantial differences in the spatial patterns and abundance of certain LU categories over both domains, especially for non-forest partially vegetated categories such as agricultural areas, shrubland, and grassland. We demonstrate that these differences can significantly contribute to or even drive differences in LU-specific dry deposition fluxes which can increase the variability i</w:t>
      </w:r>
    </w:p>
    <w:p>
      <w:pPr/>
      <w:r>
        <w:rPr>
          <w:b/>
        </w:rPr>
        <w:t>POSSIBLE 2025:</w:t>
      </w:r>
      <w:r>
        <w:t xml:space="preserve"> Exploring the impact of autonomous vehicles on youth mobility through focus groups and simulations — https://doi.org/10.1016/j.trip.2025.101723</w:t>
      </w:r>
    </w:p>
    <w:p>
      <w:pPr/>
      <w:r>
        <w:rPr>
          <w:b/>
        </w:rPr>
        <w:t>Shared claim-specific concepts:</w:t>
      </w:r>
      <w:r>
        <w:t xml:space="preserve"> simulations, transport, mobility, significant, shift, walking; EU scope visible. This is a provisional connection, not an outcome finding.</w:t>
      </w:r>
    </w:p>
    <w:p>
      <w:pPr>
        <w:pStyle w:val="SourceNote"/>
      </w:pPr>
      <w:r>
        <w:rPr>
          <w:b/>
        </w:rPr>
        <w:t>Available abstract (not full text):</w:t>
      </w:r>
      <w:r>
        <w:t xml:space="preserve"> • Teenagers prefer AVs for independence and flexibility. • Simulation shows shift towards robotaxis, less walking and public transport. • Girls are more likely to use robotaxis, highlighting gender preferences. • Policies needed to balance AV usage with active modes and public transport. The imminent introduction of autonomous vehicles (AVs) represents a significant revolution in transportation, offering unique opportunities to enhance the sustainability and efficiency of urban transport systems. This study uniquely combines qualitative focus groups with European school students and quantitative activity-based simulation models to compare teenagers’ reactions to AVs. Focus groups gathered insights into their current mobility habits and perceptions of AVs. The simulation model then evaluated the potential impacts of AVs, specifically robotaxis and autonomous shuttles, on teenagers’ travel behaviour in Santander, Spain. The results reveal a strong interest in AVs among teenagers, particularly for the independence and flexibility they offer. However, practical considerations such as cost, availability, and parental preferences continue to influence their mobility choices. The simulation results indicate a significant shift towards robotaxis, reducing walking and public transport usage. Gender-specific preferences were also noted, with girls being more likely to use robotaxis. The </w:t>
      </w:r>
    </w:p>
    <w:p>
      <w:pPr/>
      <w:r>
        <w:rPr>
          <w:b/>
        </w:rPr>
        <w:t>POSSIBLE 2025:</w:t>
      </w:r>
      <w:r>
        <w:t xml:space="preserve"> Reviewing autonomous vehicle simulation literature: policy insights for transportation — https://doi.org/10.1080/01441647.2025.2545224</w:t>
      </w:r>
    </w:p>
    <w:p>
      <w:pPr/>
      <w:r>
        <w:rPr>
          <w:b/>
        </w:rPr>
        <w:t>Shared claim-specific concepts:</w:t>
      </w:r>
      <w:r>
        <w:t xml:space="preserve"> significant, increase; EU scope not established. This is a provisional connection, not an outcome finding.</w:t>
      </w:r>
    </w:p>
    <w:p>
      <w:pPr>
        <w:pStyle w:val="SourceNote"/>
      </w:pPr>
      <w:r>
        <w:rPr>
          <w:b/>
        </w:rPr>
        <w:t>Available abstract (not full text):</w:t>
      </w:r>
      <w:r>
        <w:t xml:space="preserve"> As autonomous vehicle (AV) technology progresses, a substantial amount of AV simulation work has studied potential future outcomes that could occur given different assumptions, scopes and technologies. As a revolutionary technology, AVs could have significant impacts on urban economic, environmental and social systems. In many cases, the research is directed towards decisionmakers: transportation authorities, policymakers and fleet operators. However, due to the complexity and uncertainty of AV adoption in interconnected urban systems such as transportation and land use, it is difficult for policymakers to understand the overlapping policy suggestions and results across the many simulation studies. In this paper, we summarise the suggested policies in AV simulation research from 170 studies published during 2016–2024 and provide context for the policies being suggested. Specifically, the key question we try to answer is: what are the recommended AV policies based on simulation studies? Many simulation results have shown increased vehicle miles/kilometers travelled (VMT/VKT) due to induced demand, empty vehicle repositioning, or cruising instead of parking. In response, we found common policy recommendations such as congestion pricing, subsidising car-sharing and ride-pooling, increasing parking costs, investing in public transportation and restricting AV demand as ways to addre</w:t>
      </w:r>
    </w:p>
    <w:p>
      <w:pPr/>
      <w:r>
        <w:rPr>
          <w:b/>
        </w:rPr>
        <w:t>POSSIBLE 2025:</w:t>
      </w:r>
      <w:r>
        <w:t xml:space="preserve"> Assessing innovative transport technologies and policies — https://doi.org/10.5463/thesis.1257</w:t>
      </w:r>
    </w:p>
    <w:p>
      <w:pPr/>
      <w:r>
        <w:rPr>
          <w:b/>
        </w:rPr>
        <w:t>Shared claim-specific concepts:</w:t>
      </w:r>
      <w:r>
        <w:t xml:space="preserve"> show, transport, mobility, increase; EU scope visible. This is a provisional connection, not an outcome finding.</w:t>
      </w:r>
    </w:p>
    <w:p>
      <w:pPr>
        <w:pStyle w:val="SourceNote"/>
      </w:pPr>
      <w:r>
        <w:rPr>
          <w:b/>
        </w:rPr>
        <w:t>Available abstract (not full text):</w:t>
      </w:r>
      <w:r>
        <w:t xml:space="preserve"> This thesis studies innovative transport technologies and policies, specifically tradable permits and autonomous vehicles (AVs), using spatial general-equilibrium models in both monocentric and polycentric settings. Using the monocentric model, we find that an allocation of tradable mobility permits to households in proportion to their labor supply can achieve nearly first-best welfare outcomes, outperforming the other allocations analyzed (uniform across households, proportional to distance to the CBD, and proportional to kilometers traveled), and also outperforming a flat kilometer road pricing scheme. This is due to the allocation proportional to labor supply having an effect that is analogous to the revenue recycling effects of road pricing, but with greater flexibility since the allocation of permits together with the price per kilometer are decided by the planner. We analyze the welfare and distributional aspects of AVs by adding heterogeneity in households' income to the monocentric city model, also studying the effects of labor tax adjustments that are possible due to the variation in labor supply induced by AVs. We find that AVs increase aggregate welfare in all the simulated scenarios, but the distributional impacts vary. In cities where the high-income households are initially located closer to the CBD (the EU city) low-skilled households exhibit welfare losses due t</w:t>
      </w:r>
    </w:p>
    <w:p>
      <w:pPr/>
      <w:r>
        <w:rPr>
          <w:b/>
        </w:rPr>
        <w:t>POSSIBLE 2025:</w:t>
      </w:r>
      <w:r>
        <w:t xml:space="preserve"> Variability of transport emissions and policy implications for the transition towards low-carbon transport — https://doi.org/10.1080/12265934.2025.2452512</w:t>
      </w:r>
    </w:p>
    <w:p>
      <w:pPr/>
      <w:r>
        <w:rPr>
          <w:b/>
        </w:rPr>
        <w:t>Shared claim-specific concepts:</w:t>
      </w:r>
      <w:r>
        <w:t xml:space="preserve"> transport, significant; EU scope not established. This is a provisional connection, not an outcome finding.</w:t>
      </w:r>
    </w:p>
    <w:p>
      <w:pPr>
        <w:pStyle w:val="SourceNote"/>
      </w:pPr>
      <w:r>
        <w:rPr>
          <w:b/>
        </w:rPr>
        <w:t>Available abstract (not full text):</w:t>
      </w:r>
      <w:r>
        <w:t xml:space="preserve"> This paper investigates intra-week variability of transport emissions using 2019 English National Travel Survey data. The unique lens of emissions variability sheds new light on the conceptualization, measurement and challenges of sustainable travel. Specifically, our analysis shows significant heterogeneity along three dimensions, (1) intra-week travel emissions; (2) the level and the variability of weekly emissions within each generic socio-economic group; and (3) latent emissions profiles across the population, which are identified using a latent profile model. Our empirical analysis demonstrates that the socio-economic status alone cannot capture the nuanced emission characteristics across traveller groups. The positive correlation between socio-economic status and travel emissions is subject to significant compositional effects. It is argued that transport sustainability is a relative term, and its definition and usefulness in a policy context are dependent on the benchmark selected. The paper calls for a more purposeful and relatable approach for segmenting travellers in designing sustainable travel policies. A dual focus on the level and the variability of travel emissions offers a new perspective for understanding travel behaviour heterogeneity and adaptability.HighlightsSignificant intra-week variability of transport emissions in EnglandLatent travel emissions profiles</w:t>
      </w:r>
    </w:p>
    <w:p>
      <w:pPr>
        <w:pStyle w:val="Heading2"/>
      </w:pPr>
      <w:r>
        <w:t>623. Scenario‐based fertility projections incorporating impacts of COVID‐19</w:t>
      </w:r>
    </w:p>
    <w:p>
      <w:pPr>
        <w:pStyle w:val="SourceNote"/>
      </w:pPr>
      <w:r>
        <w:rPr>
          <w:b/>
        </w:rPr>
        <w:t>Original source (2021):</w:t>
      </w:r>
      <w:r>
        <w:t xml:space="preserve"> https://doi.org/10.1002/psp.2546</w:t>
      </w:r>
    </w:p>
    <w:p>
      <w:pPr/>
      <w:r>
        <w:t>Original wording (abstract; indexed_source_text_not_full_document_verified): Our projections show that for three scenarios out of four, fertility is expected to decline over the next 3 years, leading to significantly fewer births annually compared with the pre‐pandemic period. Abstract This paper examines the recent declines in period fertility in the constituent countries of the UK during the past decade and speculates mechanisms through which the COVID‐19 pandemic could influence childbearing in the UK.</w:t>
      </w:r>
    </w:p>
    <w:p>
      <w:pPr/>
      <w:r>
        <w:rPr>
          <w:b/>
        </w:rPr>
        <w:t>POSSIBLE 2026:</w:t>
      </w:r>
      <w:r>
        <w:t xml:space="preserve"> The Inevitability of Projection: The Three-Term Equation as the Mother Equation of the Quantum Blueprint Formalism — https://doi.org/10.5281/zenodo.18527042</w:t>
      </w:r>
    </w:p>
    <w:p>
      <w:pPr/>
      <w:r>
        <w:rPr>
          <w:b/>
        </w:rPr>
        <w:t>Shared claim-specific concepts:</w:t>
      </w:r>
      <w:r>
        <w:t xml:space="preserve"> show, three, fewer; EU scope not established. This is a provisional connection, not an outcome finding.</w:t>
      </w:r>
    </w:p>
    <w:p>
      <w:pPr>
        <w:pStyle w:val="SourceNote"/>
      </w:pPr>
      <w:r>
        <w:rPr>
          <w:b/>
        </w:rPr>
        <w:t>Available abstract (not full text):</w:t>
      </w:r>
      <w:r>
        <w:t xml:space="preserve"> The Quantum Blueprint Formalism (QBF) has developed, across eighteen papers and two books, a hierarchy of dynamical equations governing coherence, consciousness, selfconsciousness, cosmological evolution, and — most recently — reprojection dynamics. A striking structural fact has emerged but has not been formally established: every dynamical equation in the QBF is an instance of a single three-term equation, the Fokker–Planck equation on the pre-coherent space Ms: J_s = −D_s ∇ρ_s − ρ_s ∇Φ + Ω_s ρ_s with diffusion, drift, and circulation as the three structural components. This paper establishes three results. First (the Mother Equation Theorem): we show that all QBF dynamical equations — on MΘ, on belief space, on self-model space, on the projection landscape L, and on the reprojection space Lid — are formally isomorphic to this equation, differing only in the state space, the functional that generates drift, and the algebraic structure that generates circulation. Second (the Transcendental Correspondence): we show that the three terms of the equation correspond exactly to the three admissibility conditions (A1)–(A3), which in turn correspond to the three transcendental conditions for coherent structure: identity, temporality, and distinction. The equation has three terms because coherent structure requires exactly three conditions — neither more nor fewer. Third (the Inevitabi</w:t>
      </w:r>
    </w:p>
    <w:p>
      <w:pPr/>
      <w:r>
        <w:rPr>
          <w:b/>
        </w:rPr>
        <w:t>POSSIBLE 2026:</w:t>
      </w:r>
      <w:r>
        <w:t xml:space="preserve"> Do Transformers Need Three Projections? Systematic Study of QKV Variants — https://doi.org/10.48550/arxiv.2606.04032</w:t>
      </w:r>
    </w:p>
    <w:p>
      <w:pPr/>
      <w:r>
        <w:rPr>
          <w:b/>
        </w:rPr>
        <w:t>Shared claim-specific concepts:</w:t>
      </w:r>
      <w:r>
        <w:t xml:space="preserve"> projections, show, three; EU scope not established. This is a provisional connection, not an outcome finding.</w:t>
      </w:r>
    </w:p>
    <w:p>
      <w:pPr>
        <w:pStyle w:val="SourceNote"/>
      </w:pPr>
      <w:r>
        <w:rPr>
          <w:b/>
        </w:rPr>
        <w:t>Available abstract (not full text):</w:t>
      </w:r>
      <w:r>
        <w:t xml:space="preserve"> Transformers have become the standard solution for various AI tasks, with the query, key, and value (QKV) attention formulation playing a central role. However, the individual contribution of these three projections and the impact of omitting some remain poorly understood. We systematically evaluate three projection sharing constraints: a) Q-K=V (shared key-value), b) Q=K-V (shared query-key), and c) Q=K=V (single projection). The last two variants produce symmetric attention maps; to address this, we also explore asymmetric attention via 2D positional encodings. Through experiments spanning synthetic tasks, vision (MNIST, CIFAR, TinyImageNet, anomaly), and language modeling (300M and 1.2B parameter models on 10B tokens), we discovered that our transformers perform on par or occasionally better than the QKV transformer. In language modeling, Q-K=V projection sharing achieves 50% KV cache reduction with only 3.1% perplexity degradation. Crucially, projection sharing is complementary to head sharing (GQA/MQA): combining Q-K=V with GQA-4 yields 87.5% cache reduction, while Q-K=V + MQA achieves 96.9%, enabling practical on-device inference. We show that Q-K=V preserves quality because keys and values can occupy similar representational spaces and attention operates in a low-rank regime, whereas Q=K-V breaks attention directionality. Our results systematically characterize projectio</w:t>
      </w:r>
    </w:p>
    <w:p>
      <w:pPr/>
      <w:r>
        <w:rPr>
          <w:b/>
        </w:rPr>
        <w:t>POSSIBLE 2026:</w:t>
      </w:r>
      <w:r>
        <w:t xml:space="preserve"> Geometry, Sound, and Time as Three Projections of One Contact Band — https://doi.org/10.5281/zenodo.19593317</w:t>
      </w:r>
    </w:p>
    <w:p>
      <w:pPr/>
      <w:r>
        <w:rPr>
          <w:b/>
        </w:rPr>
        <w:t>Shared claim-specific concepts:</w:t>
      </w:r>
      <w:r>
        <w:t xml:space="preserve"> projections, show, three, leading; EU scope not established. This is a provisional connection, not an outcome finding.</w:t>
      </w:r>
    </w:p>
    <w:p>
      <w:pPr>
        <w:pStyle w:val="SourceNote"/>
      </w:pPr>
      <w:r>
        <w:rPr>
          <w:b/>
        </w:rPr>
        <w:t>Available abstract (not full text):</w:t>
      </w:r>
      <w:r>
        <w:t xml:space="preserve"> The wave operator φ²∇², Roy Herbert's log-lattice invariant N₁N₂N₃=K, and the Hopf saturation coefficient g=φ² are three projections of the same Hessian of V=−ln det(X) on the exceptional Jordan algebra J₃(𝕆), evaluated in three measurement geometries: acoustic, temporal, and dynamical. We derive the leading wave operator on the 24-dimensional slice of J₃(𝕆) and show that its propagation speed is φ. Rodriguez-Vega et al. (2024) phonon gaps at φ-scaled energies in icosahedral quasicrystals confirm the acoustic face. The substrate is identified as Cahill's Dynamical 3-Space — a liquid quasicrystal of ZEO causal diamonds — and Bohm's holomovement is realised as the Reeb flow on the contact manifold. Related papers: DOI 10.5281/zenodo.19570725 (g=φ²) and DOI 10.5281/zenodo.19585972 (N₁N₂N₃=K).</w:t>
      </w:r>
    </w:p>
    <w:p>
      <w:pPr/>
      <w:r>
        <w:rPr>
          <w:b/>
        </w:rPr>
        <w:t>POSSIBLE 2026:</w:t>
      </w:r>
      <w:r>
        <w:t xml:space="preserve"> On the Reverse Projection Inequality — https://doi.org/10.5281/zenodo.22037129</w:t>
      </w:r>
    </w:p>
    <w:p>
      <w:pPr/>
      <w:r>
        <w:rPr>
          <w:b/>
        </w:rPr>
        <w:t>Shared claim-specific concepts:</w:t>
      </w:r>
      <w:r>
        <w:t xml:space="preserve"> show, three, abstract; EU scope not established. This is a provisional connection, not an outcome finding.</w:t>
      </w:r>
    </w:p>
    <w:p>
      <w:pPr>
        <w:pStyle w:val="SourceNote"/>
      </w:pPr>
      <w:r>
        <w:rPr>
          <w:b/>
        </w:rPr>
        <w:t>Available abstract (not full text):</w:t>
      </w:r>
      <w:r>
        <w:t xml:space="preserve"> In \cite {ChenFengLiXiXu2026}, a reverse projection inequality for general convex bodies was established in three dimensions. In this paper, we completely characterize the equality cases of this inequality. We further show that the reverse projection inequality fails in every dimension $n\geq9$. The counterexamples are constructed as full-dimensional polytopes with at most $n+2$ facets. \end{abstract}</w:t>
      </w:r>
    </w:p>
    <w:p>
      <w:pPr/>
      <w:r>
        <w:rPr>
          <w:b/>
        </w:rPr>
        <w:t>POSSIBLE 2026:</w:t>
      </w:r>
      <w:r>
        <w:t xml:space="preserve"> The Grammar of Addressability: Recognition, Projection, and the Continuous Gradient — https://doi.org/10.5281/zenodo.21840862</w:t>
      </w:r>
    </w:p>
    <w:p>
      <w:pPr/>
      <w:r>
        <w:rPr>
          <w:b/>
        </w:rPr>
        <w:t>Shared claim-specific concepts:</w:t>
      </w:r>
      <w:r>
        <w:t xml:space="preserve"> projections, three, next; EU scope not established. This is a provisional connection, not an outcome finding.</w:t>
      </w:r>
    </w:p>
    <w:p>
      <w:pPr>
        <w:pStyle w:val="SourceNote"/>
      </w:pPr>
      <w:r>
        <w:rPr>
          <w:b/>
        </w:rPr>
        <w:t>Available abstract (not full text):</w:t>
      </w:r>
      <w:r>
        <w:t xml:space="preserve"> Description This archive brings together three documents that articulate one structure from three distinct addresses: The Note — recognitionFrom Availability to Projection — derivationThe Continuous Gradient — unfolding They are included together because none is simply a shorter or longer version of the others. Each performs a different function. Together they trace one movement: from direct recognition,to explicit derivation,to the consequences that become visible once the derived structure is carried across domains. The Note — Recognition The Note presents the grammar at the address of immediate recognition. It begins from a single statement: There is only addressability. Not a field containing things.Not a space in which events occur.Not a substrate beneath appearance. Addressability is treated as the immediate availability for pattern to instantiate. From there, the document articulates distinction and unity as conjugate rather than opposed, and identifies three inseparable aspects of one articulation: the formative,the operator,the containing — phenomenologically recognizable as: Awareness.Address.Occurrence. The document then develops the distinction between fragmentation and coherence: Fragmentation is differentiation with suppression.Coherence is differentiation without suppression. Relation is primary. What appears as self, other, body, memory, desire, integration, see</w:t>
      </w:r>
    </w:p>
    <w:p>
      <w:pPr/>
      <w:r>
        <w:rPr>
          <w:b/>
        </w:rPr>
        <w:t>POSSIBLE 2026:</w:t>
      </w:r>
      <w:r>
        <w:t xml:space="preserve"> The Long‐Term Trends in Cohort Fertility: Global, Regional and National Estimates and Projections for Cohorts Born in 1935–2055 — https://doi.org/10.1111/padr.70084</w:t>
      </w:r>
    </w:p>
    <w:p>
      <w:pPr/>
      <w:r>
        <w:rPr>
          <w:b/>
        </w:rPr>
        <w:t>Shared claim-specific concepts:</w:t>
      </w:r>
      <w:r>
        <w:t xml:space="preserve"> projections, fertility, births, compared, period, abstract; EU scope visible. This is a provisional connection, not an outcome finding.</w:t>
      </w:r>
    </w:p>
    <w:p>
      <w:pPr>
        <w:pStyle w:val="SourceNote"/>
      </w:pPr>
      <w:r>
        <w:rPr>
          <w:b/>
        </w:rPr>
        <w:t>Available abstract (not full text):</w:t>
      </w:r>
      <w:r>
        <w:t xml:space="preserve"> Abstract This study presents the first global dataset of fertility estimates and projections for cohorts of women born between 1935 and 2055. Leveraging the World Population Prospects 2024 revision, which provides single‐year single‐age fertility indicators for 1950–2100, we reconstructed cohort fertility profiles for all countries. These data offer a unique opportunity to analyze cohorts that have completed childbearing and those entering reproductive ages, extending analyses beyond countries traditionally covered by the Human Fertility Database (HFD). Cohort measures were derived by transforming period age‐specific fertility rates into Lexis triangles and aggregating them into cohort parallelograms, following HFD methodology. Validation against observed cohort data confirmed high accuracy of our estimates. Results revealed that cohort fertility declines have been more gradual than period declines, with substantial regional heterogeneity. Europe and Northern America reached replacement‐level cohort fertility with the 1946 cohort, while sub‐Saharan Africa is projected to remain above 2.3 births per woman for the 2055 cohort. In low‐fertility countries, completed cohort fertility is projected to fall below 1.5 births for the 1983 cohort in many cases. These findings underscore the stability of cohort measures compared to period indicators and highlight their value for understand</w:t>
      </w:r>
    </w:p>
    <w:p>
      <w:pPr/>
      <w:r>
        <w:rPr>
          <w:b/>
        </w:rPr>
        <w:t>POSSIBLE 2026:</w:t>
      </w:r>
      <w:r>
        <w:t xml:space="preserve"> Fertility in Turkey: The Current State and Future Trends — https://doi.org/10.38066/halic.btk9y2kj.chapter</w:t>
      </w:r>
    </w:p>
    <w:p>
      <w:pPr/>
      <w:r>
        <w:rPr>
          <w:b/>
        </w:rPr>
        <w:t>Shared claim-specific concepts:</w:t>
      </w:r>
      <w:r>
        <w:t xml:space="preserve"> fertility, examines, countries; EU scope not established. This is a provisional connection, not an outcome finding.</w:t>
      </w:r>
    </w:p>
    <w:p>
      <w:pPr>
        <w:pStyle w:val="SourceNote"/>
      </w:pPr>
      <w:r>
        <w:rPr>
          <w:b/>
        </w:rPr>
        <w:t>Available abstract (not full text):</w:t>
      </w:r>
      <w:r>
        <w:t xml:space="preserve"> Human beings are not merely biological entities; they are multidimensional beings who exist within networks of social relations, cultural values, economic conditions, belief systems, educational processes, and shared goals. Society, which emerges through interactions among individuals, likewise reflects this multidimensional structure and is subject to continuous change and transformation. Social reality, therefore, is not a static structure but a dynamic phenomenon that is constantly reshaped in accordance with the spirit of the time, historical conditions, and changing needs. Throughout history, political, economic, cultural, and technological developments have played decisive roles in the transformation of societies. Social policies, in particular, have become important instruments for responding to emerging needs resulting from social change and for restructuring the relationship between individuals and society. Issues such as gender equality, women’s rights, working life, economic participation, social security, fertility, digitalization, occupational health and safety, and cyber-based forms of work represent different dimensions of the transformations confronting contemporary societies. Understanding social change, therefore, requires not only identifying transformations occurring within society but also evaluating the social policies developed in response to these change</w:t>
      </w:r>
    </w:p>
    <w:p>
      <w:pPr/>
      <w:r>
        <w:rPr>
          <w:b/>
        </w:rPr>
        <w:t>POSSIBLE 2025:</w:t>
      </w:r>
      <w:r>
        <w:t xml:space="preserve"> On masas of the Calkin algebra generated by projections — https://doi.org/10.48550/arxiv.2512.06580</w:t>
      </w:r>
    </w:p>
    <w:p>
      <w:pPr/>
      <w:r>
        <w:rPr>
          <w:b/>
        </w:rPr>
        <w:t>Shared claim-specific concepts:</w:t>
      </w:r>
      <w:r>
        <w:t xml:space="preserve"> projections, three, compared; EU scope not established. This is a provisional connection, not an outcome finding.</w:t>
      </w:r>
    </w:p>
    <w:p>
      <w:pPr>
        <w:pStyle w:val="SourceNote"/>
      </w:pPr>
      <w:r>
        <w:rPr>
          <w:b/>
        </w:rPr>
        <w:t>Available abstract (not full text):</w:t>
      </w:r>
      <w:r>
        <w:t xml:space="preserve"> Assuming the continuum hypothesis CH, we obtain complete $*$-isomorphic classification of maximal abelian self-adjoint subalgebras (masas) of the Calkin algebra $\mathcal Q(\ell_2)$ (bounded operators on a separable Hilbert space modulo compact operators) generated by projections. In particular, for any compact totally disconnected Hausdorff space $K$ of weight not exceeding the continuum and not admitting $G_δ$ points we construct under CH a masa of $\mathcal Q(\ell_2)$ which is $*$-isomorphic to the algebra $C(K)$ of complex-valued continuous functions on $K$. This, among others, shows that masas of the Calkin algebra could have rather unexpected properties compared to the previously known three $*$-isomorphic types of them generated by projections: $\ell_\infty/c_0$, $L_\infty$ and $\ell_\infty/c_0\oplus L_\infty$. It can be shown that some additional set-theoretic hypothesis, like CH, is necessary for such results. However, without making any additional set-theoretic assumptions we still construct a family of maximal possible cardinality (of the power set of $\mathbb R$) of pairwise non-$*$-isomorphic masas of $\mathcal Q(\ell_2)$ generated by projections and with properties unlike the three above examples.</w:t>
      </w:r>
    </w:p>
    <w:p>
      <w:pPr/>
      <w:r>
        <w:rPr>
          <w:b/>
        </w:rPr>
        <w:t>POSSIBLE 2025:</w:t>
      </w:r>
      <w:r>
        <w:t xml:space="preserve"> Fertility concerns and fertility preservation in adolescent and adult men with cancer — https://doi.org/10.69622/29196932.v1</w:t>
      </w:r>
    </w:p>
    <w:p>
      <w:pPr/>
      <w:r>
        <w:rPr>
          <w:b/>
        </w:rPr>
        <w:t>Shared claim-specific concepts:</w:t>
      </w:r>
      <w:r>
        <w:t xml:space="preserve"> fertility, over, significantly, compared, recent; EU scope not established. This is a provisional connection, not an outcome finding.</w:t>
      </w:r>
    </w:p>
    <w:p>
      <w:pPr>
        <w:pStyle w:val="SourceNote"/>
      </w:pPr>
      <w:r>
        <w:rPr>
          <w:b/>
        </w:rPr>
        <w:t>Available abstract (not full text):</w:t>
      </w:r>
      <w:r>
        <w:t xml:space="preserve"> Long-term survival among young men with cancer have improved markedly in recent decades, shifting focus from life-saving treatments to long-term quality of life and reproductive health. Cancer treatments such as chemotherapy, radiotherapy, and surgery can impair spermatogenesis and fertility. Although sperm cryopreservation is the only established fertility preservation method for men, semen quality may be compromised already at diagnosis. Moreover, long-term reproductive outcomes and the psychosocial consequences of impaired fertility—such as distress and uncertainty about future parenthood—remain insufficiently understood. This thesis aimed to investigate biological and psychosocial aspects of fertility in men diagnosed with cancer, with a particular focus on patients with testicular cancer, the most common malignancy in young adult males. In Study I, 182 men with clinical stage I testicular cancer, recruited from two Swedish oncology centers between 2001 and 2006, were prospectively followed for five years to assess sperm quality after adjuvant treatment. Semen samples were collected at baseline (post-orchiectomy but before adjuvant therapy) and at 6, 12, 24, 36, and 60 months. The adjuvant treatments included radiotherapy (25.2 Gy in 14 fractions), chemotherapy with one cycle of bleomycin, etoposide, cisplatin or one cycle of carboplatin (AUC 7). One group was managed with </w:t>
      </w:r>
    </w:p>
    <w:p>
      <w:pPr/>
      <w:r>
        <w:rPr>
          <w:b/>
        </w:rPr>
        <w:t>POSSIBLE 2025:</w:t>
      </w:r>
      <w:r>
        <w:t xml:space="preserve"> Fertility concerns and fertility preservation in adolescent and adult men with cancer — https://doi.org/10.69622/29196932</w:t>
      </w:r>
    </w:p>
    <w:p>
      <w:pPr/>
      <w:r>
        <w:rPr>
          <w:b/>
        </w:rPr>
        <w:t>Shared claim-specific concepts:</w:t>
      </w:r>
      <w:r>
        <w:t xml:space="preserve"> fertility, over, significantly, compared, recent; EU scope not established. This is a provisional connection, not an outcome finding.</w:t>
      </w:r>
    </w:p>
    <w:p>
      <w:pPr>
        <w:pStyle w:val="SourceNote"/>
      </w:pPr>
      <w:r>
        <w:rPr>
          <w:b/>
        </w:rPr>
        <w:t>Available abstract (not full text):</w:t>
      </w:r>
      <w:r>
        <w:t xml:space="preserve"> Long-term survival among young men with cancer have improved markedly in recent decades, shifting focus from life-saving treatments to long-term quality of life and reproductive health. Cancer treatments such as chemotherapy, radiotherapy, and surgery can impair spermatogenesis and fertility. Although sperm cryopreservation is the only established fertility preservation method for men, semen quality may be compromised already at diagnosis. Moreover, long-term reproductive outcomes and the psychosocial consequences of impaired fertility—such as distress and uncertainty about future parenthood—remain insufficiently understood. This thesis aimed to investigate biological and psychosocial aspects of fertility in men diagnosed with cancer, with a particular focus on patients with testicular cancer, the most common malignancy in young adult males. In Study I, 182 men with clinical stage I testicular cancer, recruited from two Swedish oncology centers between 2001 and 2006, were prospectively followed for five years to assess sperm quality after adjuvant treatment. Semen samples were collected at baseline (post-orchiectomy but before adjuvant therapy) and at 6, 12, 24, 36, and 60 months. The adjuvant treatments included radiotherapy (25.2 Gy in 14 fractions), chemotherapy with one cycle of bleomycin, etoposide, cisplatin or one cycle of carboplatin (AUC 7). One group was managed with </w:t>
      </w:r>
    </w:p>
    <w:p>
      <w:pPr/>
      <w:r>
        <w:rPr>
          <w:b/>
        </w:rPr>
        <w:t>POSSIBLE 2025:</w:t>
      </w:r>
      <w:r>
        <w:t xml:space="preserve"> The increasing importance of changes in nuptiality: policy mismatch and fertility decline in low-fertility Asian societies — https://doi.org/10.1080/21620555.2025.2480296</w:t>
      </w:r>
    </w:p>
    <w:p>
      <w:pPr/>
      <w:r>
        <w:rPr>
          <w:b/>
        </w:rPr>
        <w:t>Shared claim-specific concepts:</w:t>
      </w:r>
      <w:r>
        <w:t xml:space="preserve"> fertility, decline, recent; EU scope not established. This is a provisional connection, not an outcome finding.</w:t>
      </w:r>
    </w:p>
    <w:p>
      <w:pPr>
        <w:pStyle w:val="SourceNote"/>
      </w:pPr>
      <w:r>
        <w:rPr>
          <w:b/>
        </w:rPr>
        <w:t>Available abstract (not full text):</w:t>
      </w:r>
      <w:r>
        <w:t xml:space="preserve"> Despite the strong relationship between marriage and childbearing in Asian societies, policies addressing “lowest-low” fertility have often prioritized parity progression within married couples while overlooking a concurrent and increasingly significant trend: the rising prevalence of delayed marriage and nonmarriage. Against this backdrop, we first discuss recent fertility trends and the role of marriage in declining fertility, then review policy efforts in South Korea, Japan, Taiwan, and Singapore, arguing that these pronatalist policies have been mistargeted. We subsequently examine the extent to which the decrease in fertility is attributable to changes in marital fertility versus shifts in nuptiality. Our decomposition analysis of fertility trends using data from the United Nations Population Division shows that while a decline in marital fertility played a dominant role during the initial stages of the fertility transition, nuptiality has been the primary driver of decreasing fertility rates in recent decades. These findings highlight the importance of the growing incidence of singlehood and the potential, albeit modest, increase in diverse family forms, both of which have received scant attention in policy discourse.</w:t>
      </w:r>
    </w:p>
    <w:p>
      <w:pPr/>
      <w:r>
        <w:rPr>
          <w:b/>
        </w:rPr>
        <w:t>POSSIBLE 2025:</w:t>
      </w:r>
      <w:r>
        <w:t xml:space="preserve"> Impact of Coronavirus Disease 2019 on Fertility: An Integrative Review — https://doi.org/10.1002/hpm.3908</w:t>
      </w:r>
    </w:p>
    <w:p>
      <w:pPr/>
      <w:r>
        <w:rPr>
          <w:b/>
        </w:rPr>
        <w:t>Shared claim-specific concepts:</w:t>
      </w:r>
      <w:r>
        <w:t xml:space="preserve"> fertility, fewer, pandemic, recent, countries; EU scope not established. This is a provisional connection, not an outcome finding.</w:t>
      </w:r>
    </w:p>
    <w:p>
      <w:pPr>
        <w:pStyle w:val="SourceNote"/>
      </w:pPr>
      <w:r>
        <w:rPr>
          <w:b/>
        </w:rPr>
        <w:t>Available abstract (not full text):</w:t>
      </w:r>
      <w:r>
        <w:t xml:space="preserve"> This integrative review aimed to explore the impact of the spread of coronavirus disease 2019 (COVID-19) on fertility to establish foundational knowledge and guide future epidemiological studies. The PubMed and Central Journal of Medicine databases were searched, yielding 80 relevant articles published between 2019 and 2021. Of these, 14 were published in Japanese and 66 in English. None of the Japanese studies met the inclusion criteria. Fourteen English-language studies, all of which were retrieved from PubMed, were included in the final analysis. No relevant literature was found in the Central Journal of Medicine. The keywords used were COVID-19, fertility, and demographics. COVID-19 led to an increase in unplanned pregnancies and abortions in developing countries. Fever associated with the infection was suggested to have reduced sperm concentration and motility, and the spread of the infection caused young couples to delay childbearing, potentially decreasing fertility. Conversely, relatively older couples showed fewer changes in their childbearing plans, indicating that COVID-19 had both positive and negative effects on fertility. Physical, psychological, and economic factors as well as sex, age, and cultural background exerted complex effects on fertility. Herein, the impact of social crises on fertility rates has been discussed in the context of the recent COVID-19 pande</w:t>
      </w:r>
    </w:p>
    <w:p>
      <w:pPr>
        <w:pStyle w:val="Heading2"/>
      </w:pPr>
      <w:r>
        <w:t>624. Sociotechnical imaginaries of a secure future</w:t>
      </w:r>
    </w:p>
    <w:p>
      <w:pPr>
        <w:pStyle w:val="SourceNote"/>
      </w:pPr>
      <w:r>
        <w:rPr>
          <w:b/>
        </w:rPr>
        <w:t>Original source (2021):</w:t>
      </w:r>
      <w:r>
        <w:t xml:space="preserve"> https://doi.org/10.1186/s40309-021-00176-1</w:t>
      </w:r>
    </w:p>
    <w:p>
      <w:pPr/>
      <w:r>
        <w:t>Original wording (abstract; indexed_source_text_not_full_document_verified): In order to illuminate developments that govern the adoption of security technologies and render them in their dependencies comprehensible, we present two plausible and consistent future scenarios for Germany 2035. On the basis of current literature in tandem with a structured scenario development process, we condensed the present sociotechnical imaginaries into two tangible future scenarios for the field of public security, illustrating its effects on how we live as a society.</w:t>
      </w:r>
    </w:p>
    <w:p>
      <w:pPr/>
      <w:r>
        <w:rPr>
          <w:b/>
        </w:rPr>
        <w:t>POSSIBLE 2026:</w:t>
      </w:r>
      <w:r>
        <w:t xml:space="preserve"> The seven dwarfs illuminated — https://doi.org/10.1051/0004-6361/202556989</w:t>
      </w:r>
    </w:p>
    <w:p>
      <w:pPr/>
      <w:r>
        <w:rPr>
          <w:b/>
        </w:rPr>
        <w:t>Shared claim-specific concepts:</w:t>
      </w:r>
      <w:r>
        <w:t xml:space="preserve"> present, two, consistent; EU scope not established. This is a provisional connection, not an outcome finding.</w:t>
      </w:r>
    </w:p>
    <w:p>
      <w:pPr>
        <w:pStyle w:val="SourceNote"/>
      </w:pPr>
      <w:r>
        <w:rPr>
          <w:b/>
        </w:rPr>
        <w:t>Available abstract (not full text):</w:t>
      </w:r>
      <w:r>
        <w:t xml:space="preserve"> We present a high-resolution cosmological zoom-in simulation of a group of field dwarf galaxies that includes on-the-fly radiative transfer (RT) and is evolved to z = 0. Emission from stars is included according to age-dependent spectral energy distributions, and a redshift-dependent UV background is modelled by background particles and propagated through the simulation volume. The simulation also incorporates star formation, supernova (SN) feedback, a non-equilibrium primordial chemical network, and metal cooling and diffusion. We compare results from this simulation to previous simulations with the same initial conditions and largely similar galaxy formation physics, but without RT. The inclusion of RT results in the formation of eight additional faint dwarf galaxies with stellar masses of 10 4 M ⊙ to several 10 5 M ⊙ and only old stellar populations, similar to the observed ultra-faint dwarf galaxies. These eight faint dwarf galaxies formed before and during cosmic reionisation and were mostly quenched by z ~ 3–4 when reionisation was complete. The simulated galaxies follow many observed scaling relations such as the stellar mass-halo mass relation, the mass-size relation, and the luminosity-velocity dispersion relation. However, the simulation appears to underpredict the stellar iron abundances for the faintest population with L v &lt; 10 6 L ⊙ . For the more massive “classic”</w:t>
      </w:r>
    </w:p>
    <w:p>
      <w:pPr/>
      <w:r>
        <w:rPr>
          <w:b/>
        </w:rPr>
        <w:t>POSSIBLE 2026:</w:t>
      </w:r>
      <w:r>
        <w:t xml:space="preserve"> Social Movements and International Order Formation — https://doi.org/10.1017/s0020818326101374</w:t>
      </w:r>
    </w:p>
    <w:p>
      <w:pPr/>
      <w:r>
        <w:rPr>
          <w:b/>
        </w:rPr>
        <w:t>Shared claim-specific concepts:</w:t>
      </w:r>
      <w:r>
        <w:t xml:space="preserve"> order, two; EU scope visible. This is a provisional connection, not an outcome finding.</w:t>
      </w:r>
    </w:p>
    <w:p>
      <w:pPr>
        <w:pStyle w:val="SourceNote"/>
      </w:pPr>
      <w:r>
        <w:rPr>
          <w:b/>
        </w:rPr>
        <w:t>Available abstract (not full text):</w:t>
      </w:r>
      <w:r>
        <w:t xml:space="preserve"> Abstract Through comparative analysis of two historical cases of transition from hierarchical to competitive international orders—from the Han dynasty to the Period of Disunion in third-century China, and from the Abbasid Caliphate to the Islamic Commonwealth in the tenth century—we consider how social movements have long been significant facilitators of international change. With reference to the contributions to these transitions of early Daoist and Sunni movements respectively, we offer a comparative framework for understanding how social movements may undermine established hierarchies and induce legitimacy contests that contribute toward the emergence of new international orders. Moreover, by contrasting these cases against the role of the Reformation movement in the development of European international order, the article both decenters the European experience and illuminates how social movements can be central to crafting fundamental, yet varying, relationships between political authority and society across highly diverse cultural and temporal contexts.</w:t>
      </w:r>
    </w:p>
    <w:p>
      <w:pPr/>
      <w:r>
        <w:rPr>
          <w:b/>
        </w:rPr>
        <w:t>POSSIBLE 2026:</w:t>
      </w:r>
      <w:r>
        <w:t xml:space="preserve"> Regional security complexes and African foreign policies: ECOWAS and the Sahel security order, 2012–2025 — https://doi.org/10.3389/fpos.2026.1836500</w:t>
      </w:r>
    </w:p>
    <w:p>
      <w:pPr/>
      <w:r>
        <w:rPr>
          <w:b/>
        </w:rPr>
        <w:t>Shared claim-specific concepts:</w:t>
      </w:r>
      <w:r>
        <w:t xml:space="preserve"> order, security, them; EU scope not established. This is a provisional connection, not an outcome finding.</w:t>
      </w:r>
    </w:p>
    <w:p>
      <w:pPr>
        <w:pStyle w:val="SourceNote"/>
      </w:pPr>
      <w:r>
        <w:rPr>
          <w:b/>
        </w:rPr>
        <w:t>Available abstract (not full text):</w:t>
      </w:r>
      <w:r>
        <w:t xml:space="preserve"> Introduction African regional organisations exhibit uneven effectiveness in responding to regional security challenges, acting decisively in some crises while failing in others. This article examines why the Economic Community of West African States (ECOWAS) successfully imposed sanctions on unconstitutional regimes yet struggled to restore security order in the Sahel. It investigates the structural and political factors underlying this variation through the lens of Regional Security Complex Theory (RSCT). Methods The study adopts a qualitative, exploratory research design based on comparative case analysis of three critical episodes: the Mali crisis (2012–2013), counterterrorism cooperation in the Lake Chad Basin, and the ECOWAS–Alliance of Sahel States (AES) rupture (2023–2025). Using RSCT as the primary analytical framework, the study assesses patterns of regional security governance, institutional capacity, and external involvement to explain variations in ECOWAS’s effectiveness. Results The analysis identifies recurring patterns of thin regional power, shifting amity–enmity relations, and persistent external embedment that constrain ECOWAS’s ability to provide regional security. While ECOWAS has demonstrated effectiveness in enforcing political norms through sanctions, it has remained dependent on external actors for military and security capabilities. To explain this para</w:t>
      </w:r>
    </w:p>
    <w:p>
      <w:pPr/>
      <w:r>
        <w:rPr>
          <w:b/>
        </w:rPr>
        <w:t>POSSIBLE 2026:</w:t>
      </w:r>
      <w:r>
        <w:t xml:space="preserve"> Governing knowledge, shaping Europe: research security in the EU’s geopolitical turn — https://doi.org/10.1080/09662839.2026.2680646</w:t>
      </w:r>
    </w:p>
    <w:p>
      <w:pPr/>
      <w:r>
        <w:rPr>
          <w:b/>
        </w:rPr>
        <w:t>Shared claim-specific concepts:</w:t>
      </w:r>
      <w:r>
        <w:t xml:space="preserve"> developments, security, germany, process; EU scope visible. This is a provisional connection, not an outcome finding.</w:t>
      </w:r>
    </w:p>
    <w:p>
      <w:pPr>
        <w:pStyle w:val="SourceNote"/>
      </w:pPr>
      <w:r>
        <w:rPr>
          <w:b/>
        </w:rPr>
        <w:t>Available abstract (not full text):</w:t>
      </w:r>
      <w:r>
        <w:t xml:space="preserve"> This article examines how the European Union’s turn towards research and knowledge security reflects a transformation in its geopolitical identity. Moving beyond the language of “technological sovereignty”, it conceptualises this shift as the emergence of an epistemic form of sovereignty that governs the conditions of knowledge production and exchange. Drawing on Balzacq’s (Citation2010) practice-based theory of securitisation, the study introduces the notion of securitisation through governance to capture how security rationales are embedded in bureaucratic and regulatory instruments rather than enacted through exceptional measures. Empirically, the analysis traces EU and national policy developments between 2013 and 2025, examining how supranational frameworks are translated into national practice in five Member States: the Netherlands, Germany, Finland, Italy, and Hungary. The findings show that securitisation unfolds as a multi-level process of coordination, translation and adaptation, producing a distinctly European form of geopolitical pragmatism that seeks to reconcile openness with protection, values with interests, and academic freedom with strategic control. By showing how security becomes embedded within routine research governance, the article argues that the EU performs its geopolitical actorness not through coercion but through the regulation of vulnerability, gov</w:t>
      </w:r>
    </w:p>
    <w:p>
      <w:pPr/>
      <w:r>
        <w:rPr>
          <w:b/>
        </w:rPr>
        <w:t>POSSIBLE 2026:</w:t>
      </w:r>
      <w:r>
        <w:t xml:space="preserve"> Analyses of the Development and Challenges of Parkour Coaches’ Education in Europe — https://doi.org/10.35469/ak.2025.527</w:t>
      </w:r>
    </w:p>
    <w:p>
      <w:pPr/>
      <w:r>
        <w:rPr>
          <w:b/>
        </w:rPr>
        <w:t>Shared claim-specific concepts:</w:t>
      </w:r>
      <w:r>
        <w:t xml:space="preserve"> literature, structured, process; EU scope visible. This is a provisional connection, not an outcome finding.</w:t>
      </w:r>
    </w:p>
    <w:p>
      <w:pPr>
        <w:pStyle w:val="SourceNote"/>
      </w:pPr>
      <w:r>
        <w:rPr>
          <w:b/>
        </w:rPr>
        <w:t>Available abstract (not full text):</w:t>
      </w:r>
      <w:r>
        <w:t xml:space="preserve"> Purpose: Parkour historically developed as an urban community “lifestyle” movement that relied mainly on informal teaching and training methodologies. With formal institutionalization, parkour has transitioned into more formalized structures, including established training academies, coaching certifications, and competitive events. This article presents a structured literature review with the aim of providing an overview of the historical, philosophical/ideological, organizational/institutional, and educational aspects of parkour coach education and knowledge development in Europe. Based on the review, key challenges for future development are also highlighted. Method: For the purposes of a structured literature review, the search and selection process followed the general principles of the PRISMA 2020 statement as a framework, rather than a formal systematic review protocol. Google Scholar was chosen as the primary search platform. Following the initial screening and analysis, 12 relevant sources were included in the in-depth review. In addition to the literature review, online sources from professional international sports organizations involved in education, training, and certification of parkour coaches were also examined. Findings: It can be noted that parkour in Europe is still predominantly developed and understood as a "lifestyle" urban activity with the gradual paralle</w:t>
      </w:r>
    </w:p>
    <w:p>
      <w:pPr/>
      <w:r>
        <w:rPr>
          <w:b/>
        </w:rPr>
        <w:t>POSSIBLE 2025:</w:t>
      </w:r>
      <w:r>
        <w:t xml:space="preserve"> Electronic commerce patterns in Europe: Cluster analysis of online shopping intensity — https://doi.org/10.5937/mkng2501005b</w:t>
      </w:r>
    </w:p>
    <w:p>
      <w:pPr/>
      <w:r>
        <w:rPr>
          <w:b/>
        </w:rPr>
        <w:t>Shared claim-specific concepts:</w:t>
      </w:r>
      <w:r>
        <w:t xml:space="preserve"> order, illuminate, technologies, basis; EU scope visible. This is a provisional connection, not an outcome finding.</w:t>
      </w:r>
    </w:p>
    <w:p>
      <w:pPr>
        <w:pStyle w:val="SourceNote"/>
      </w:pPr>
      <w:r>
        <w:rPr>
          <w:b/>
        </w:rPr>
        <w:t>Available abstract (not full text):</w:t>
      </w:r>
      <w:r>
        <w:t xml:space="preserve"> Electronic shopping represents a key segment of the digital economy, changing consumer habits and becoming a significant driver of economic development. The development of digital technologies and increased connectivity have contributed to the rapid growth of electronic commerce, but its intensity varies between countries, opening up space for analysis of the factors that shape these differences. This paper analyse electronic commerce in European countries through cluster analysis, grouping countries according to the frequency of online shopping in order to identify pat-terns and determinants of e-commerce development. The research covers countries from the territory of Europe, providing an insight into the various economic, technological and social characteristics of the region. The results showed the existence of four clusters, with significant differences in factors such as internet availability, information literacy, logistics infrastructure, educational level and differences between urban and rural areas. The identified differences illuminate regional disparities and provide a basis for understanding the dynamics of online shopping in Europe.</w:t>
      </w:r>
    </w:p>
    <w:p>
      <w:pPr/>
      <w:r>
        <w:rPr>
          <w:b/>
        </w:rPr>
        <w:t>POSSIBLE 2025:</w:t>
      </w:r>
      <w:r>
        <w:t xml:space="preserve"> The Space–Nuclear Nexus in European Security — https://doi.org/10.55163/gepv2578</w:t>
      </w:r>
    </w:p>
    <w:p>
      <w:pPr/>
      <w:r>
        <w:rPr>
          <w:b/>
        </w:rPr>
        <w:t>Shared claim-specific concepts:</w:t>
      </w:r>
      <w:r>
        <w:t xml:space="preserve"> developments, security, dependencies; EU scope visible. This is a provisional connection, not an outcome finding.</w:t>
      </w:r>
    </w:p>
    <w:p>
      <w:pPr>
        <w:pStyle w:val="SourceNote"/>
      </w:pPr>
      <w:r>
        <w:rPr>
          <w:b/>
        </w:rPr>
        <w:t>Available abstract (not full text):</w:t>
      </w:r>
      <w:r>
        <w:t xml:space="preserve"> The space–nuclear nexus is prominent in today’s European security environment, amid shifting alliance dynamics and developments in Russia’s war in Ukraine. This paper compares dependencies, priorities and strategic cultures of various actors in the space and nuclear domains, beginning with the North Atlantic Treaty Organization (NATO), the European Union (EU) and their three nuclear-armed states: France, the United Kingdom and the United States. These actors feature centrally in Russian threat perceptions and converge on their sources of threats—primarily Russia, and to a lesser degree China, Iran and North Korea—but diverge significantly on the level of threat. The paper consequently examines Russia and its bilateral cooperation on space and nuclear weapons with China, Iran and North Korea, noting convergences as well as divergences in each relationship. The paper analyses how convergences and divergences in alliances and partnerships can impact stability and shape escalation risks at the space–nuclear nexus. The paper explores stabilizing effects, as well as concerning destabilizing effects of these relationships. The latter include potential to drive escalatory and mirroring behaviours, distort threat perceptions, further blur red lines, legitimize attacks on space systems and encourage inaccurate perceptions of blocs that impede multilateral negotiations. Accordingly, the p</w:t>
      </w:r>
    </w:p>
    <w:p>
      <w:pPr/>
      <w:r>
        <w:rPr>
          <w:b/>
        </w:rPr>
        <w:t>POSSIBLE 2025:</w:t>
      </w:r>
      <w:r>
        <w:t xml:space="preserve"> Trust, Security, and Digital Readiness in B2B E-Business Adoption by MSMEs: An Integrated Framework — https://doi.org/10.52783/eel.v15i3.3727</w:t>
      </w:r>
    </w:p>
    <w:p>
      <w:pPr/>
      <w:r>
        <w:rPr>
          <w:b/>
        </w:rPr>
        <w:t>Shared claim-specific concepts:</w:t>
      </w:r>
      <w:r>
        <w:t xml:space="preserve"> adoption, security, current, literature; EU scope not established. This is a provisional connection, not an outcome finding.</w:t>
      </w:r>
    </w:p>
    <w:p>
      <w:pPr>
        <w:pStyle w:val="SourceNote"/>
      </w:pPr>
      <w:r>
        <w:rPr>
          <w:b/>
        </w:rPr>
        <w:t>Available abstract (not full text):</w:t>
      </w:r>
      <w:r>
        <w:t xml:space="preserve"> Purpose – This paper examines how trust, security, and digital readiness affect the adoption of B2B e-business by Micro, Small, and Medium Enterprises (MSMEs). It integrates these three dimensions as decisive enablers or barriers in B2B digital adoption. Design/methodology/approach – A systematic literature review (SLR) was conducted using the SPAR-4-SLR protocol (Paul et al., 2021). This protocol includes three stages: Assembling (searching and identifying relevant literature), Arranging (screening and organising the studies), and Assessing (evaluating, analysing, and synthesising findings). A total of 140 peer-reviewed studies published between 1990 and 2023 were reviewed and coded against technology adoption frameworks such as TOE, TAM, DOI, and UTAUT, with emphasis on trust, security, and readiness in B2B adoption. Findings – The review reveals that MSME adoption of B2B e-business strongly depends on their ability to establish trust in business relationships, ensure security of digital transactions, and maintain readiness through infrastructure, skills, and organisational capacity. Current research often treats these aspects separately, leading to fragmented insights Research limitations/implications – Future studies should integrate trust, security, and readiness into process-oriented frameworks that capture the dynamics of MSME adoption in B2B contexts. Practical implicat</w:t>
      </w:r>
    </w:p>
    <w:p>
      <w:pPr/>
      <w:r>
        <w:rPr>
          <w:b/>
        </w:rPr>
        <w:t>POSSIBLE 2025:</w:t>
      </w:r>
      <w:r>
        <w:t xml:space="preserve"> Adoption Agrafa, Parts ‘Unwritten’ About Cold War Adoptions from Greece: Adoption Is a Life in a Sentence, Adoption Is a Life Sentence — https://doi.org/10.3390/genealogy9030081</w:t>
      </w:r>
    </w:p>
    <w:p>
      <w:pPr/>
      <w:r>
        <w:rPr>
          <w:b/>
        </w:rPr>
        <w:t>Shared claim-specific concepts:</w:t>
      </w:r>
      <w:r>
        <w:t xml:space="preserve"> adoption, current, process; EU scope visible. This is a provisional connection, not an outcome finding.</w:t>
      </w:r>
    </w:p>
    <w:p>
      <w:pPr>
        <w:pStyle w:val="SourceNote"/>
      </w:pPr>
      <w:r>
        <w:rPr>
          <w:b/>
        </w:rPr>
        <w:t>Available abstract (not full text):</w:t>
      </w:r>
      <w:r>
        <w:t xml:space="preserve"> This essay focuses on the Greek adoptees’ search for identity and on the agrafa, or the “unwritten” territories, into which this search penetrates. The Greek adoptees represent an underresearched case study of the postwar intercountry adoption movement (1950–1975). Creating a narrative of the self is key to the adoptees’ identity formation, but their personal narrative is often undermined by stereotypes and denunciations that stunt its development. The research presented here has been guided by questions that interrogate the verdict-making or “sentencing” associated with the adoptees’ identity-shaping process: their sentencing to subjugation by stock opinions, the denouncing of their alternative viewpoints about “rescue” adoptions, and the verdict of their entrapment in feel-good master narratives. This essay also explores broader research questions pertaining to modes of interrogating “historic” adoptions from Greece. It is concerned with the why rather than with the how or the who of the oldest, post-WWII intercountry adoption flows. In what forums and genres (narrative, visual, journalistic, scholarly) are Greek adoption facts and legacies articulated, mediated, and/or materialized? How do memories, both positive and negative, underpin current projects of self-identification and transformation? What are the adoptees’ preferred outlets to speak about embodied experiences, and</w:t>
      </w:r>
    </w:p>
    <w:p>
      <w:pPr/>
      <w:r>
        <w:rPr>
          <w:b/>
        </w:rPr>
        <w:t>POSSIBLE 2025:</w:t>
      </w:r>
      <w:r>
        <w:t xml:space="preserve"> OLED illuminated metasurfaces for holographic image projection — https://doi.org/10.1038/s41377-025-01912-z</w:t>
      </w:r>
    </w:p>
    <w:p>
      <w:pPr/>
      <w:r>
        <w:rPr>
          <w:b/>
        </w:rPr>
        <w:t>Shared claim-specific concepts:</w:t>
      </w:r>
      <w:r>
        <w:t xml:space="preserve"> technologies, them, present; EU scope not established. This is a provisional connection, not an outcome finding.</w:t>
      </w:r>
    </w:p>
    <w:p>
      <w:pPr>
        <w:pStyle w:val="SourceNote"/>
      </w:pPr>
      <w:r>
        <w:rPr>
          <w:b/>
        </w:rPr>
        <w:t>Available abstract (not full text):</w:t>
      </w:r>
      <w:r>
        <w:t xml:space="preserve"> Organic light-emitting diodes (OLEDs) are thin film optoelectronic devices that feature simple fabrication, light weight and broad tunability, which makes them widely used in mobile phone and TV displays. As a flat and surface-emitting light source, OLEDs are also used in emerging applications such as optical wireless communications, biophotonics and sensing, where the ability to integrate with other technologies makes them good candidates to realise miniaturised photonic platforms. Control of the OLED far-field emission is increasingly important for both displays and these emerging applications. At present, however, studies mainly focus on tuning the electroluminescence (EL) spectrum and emission directionality. Fine-tuning of the far-field emission is particularly challenging and is limited by the low spatial coherence of OLEDs. In this work, we show that it is possible for a single OLED to project a high-resolution image when combined with a holographic metasurface as a compact projection system. The metasurface-OLED projector allows us to directly manipulate the OLED far-field emission and display holographic images on a screen. Here, we further show how the projected image quality relates to the spatial coherence length and the spectrum of the OLED. We believe our demonstration provides a path towards a miniaturised and highly integrated metasurface display.</w:t>
      </w:r>
    </w:p>
    <w:p>
      <w:pPr/>
      <w:r>
        <w:rPr>
          <w:b/>
        </w:rPr>
        <w:t>POSSIBLE 2025:</w:t>
      </w:r>
      <w:r>
        <w:t xml:space="preserve"> The European Para Sport Coaching Workforce: A Quasi-Professional Space — https://doi.org/10.1123/iscj.2024-0147</w:t>
      </w:r>
    </w:p>
    <w:p>
      <w:pPr/>
      <w:r>
        <w:rPr>
          <w:b/>
        </w:rPr>
        <w:t>Shared claim-specific concepts:</w:t>
      </w:r>
      <w:r>
        <w:t xml:space="preserve"> order, illuminate; EU scope visible. This is a provisional connection, not an outcome finding.</w:t>
      </w:r>
    </w:p>
    <w:p>
      <w:pPr>
        <w:pStyle w:val="SourceNote"/>
      </w:pPr>
      <w:r>
        <w:rPr>
          <w:b/>
        </w:rPr>
        <w:t>Available abstract (not full text):</w:t>
      </w:r>
      <w:r>
        <w:t xml:space="preserve"> Coaches in Paralympic and disability sport (Para coaching) play a significant societal role by providing opportunities for disabled people in sport and physical activity. Such is its importance; this role is now recognised by the European Union and its professionalisation agenda. Therefore, drawing on Abbott’s theory of professions and Thomas’ social relational model of disability, this original transnational study considers critically the characteristics of the European Para coaching workforce. Data collection followed a mixed methodology via an online survey of Para coaches ( N = 275). Combining quantitative and qualitative data, the analysis generated three higher order themes, “Exclusion, differentiated labour force and working contexts,” “Uneven coach education and development opportunities” and “Impairment effect as a source of coaches professional knowledge.” These themes illuminate Para coaching as a quasi-professional space shaped by specific workforce characteristics and those mediated by sporting domains. The findings and recommendations prompt significant considerations for policy makers, coach educators, and sport organisations.</w:t>
      </w:r>
    </w:p>
    <w:p>
      <w:pPr/>
      <w:r>
        <w:rPr>
          <w:b/>
        </w:rPr>
        <w:t>POSSIBLE 2024:</w:t>
      </w:r>
      <w:r>
        <w:t xml:space="preserve"> Retracted: Role of innovative behaviour as a missing linchpin in artificial intelligence adoption to enhancing job security and job performance — https://doi.org/10.1002/sres.3076</w:t>
      </w:r>
    </w:p>
    <w:p>
      <w:pPr/>
      <w:r>
        <w:rPr>
          <w:b/>
        </w:rPr>
        <w:t>Shared claim-specific concepts:</w:t>
      </w:r>
      <w:r>
        <w:t xml:space="preserve"> adoption, security, technologies, present, sociotechnical; EU scope not established. This is a provisional connection, not an outcome finding.</w:t>
      </w:r>
    </w:p>
    <w:p>
      <w:pPr>
        <w:pStyle w:val="SourceNote"/>
      </w:pPr>
      <w:r>
        <w:rPr>
          <w:b/>
        </w:rPr>
        <w:t>Available abstract (not full text):</w:t>
      </w:r>
      <w:r>
        <w:t xml:space="preserve"> Abstract Building upon the sociotechnical system theory, the present study contributes by examining the relationship between artificial intelligence (AI) adoption, employees' innovative behaviour on employee performance and job security (JS). The primary data is collected from 340 employees from firms located in the industrial hub of a developing economy using a simple random technique, and data is analysed using Smart‐PLS 3 from the manufacturing sector. The study evidences that employees' adoption and utilization of AI technologies positively influence their innovative behaviour, job performance (JP), and security. Moreover, the study finds a mediating role of innovative behaviour to connect the dots. Organizations can prioritize using AI‐driven training programmes so employees can use AI tools efficiently. Study findings also encourage employees to engage in innovative work behaviours like investigating novel concepts and experimenting with AI technologies to improve JP. This study invalidates that AI will replace employees at the workplace, as we can safely conclude that AI adoption enhances JP and JS.</w:t>
      </w:r>
    </w:p>
    <w:p>
      <w:pPr>
        <w:pStyle w:val="Heading2"/>
      </w:pPr>
      <w:r>
        <w:t>625. Strategic European Integration Scenarios of Ukrainian and Polish Research, Education and Innovation Spaces</w:t>
      </w:r>
    </w:p>
    <w:p>
      <w:pPr>
        <w:pStyle w:val="SourceNote"/>
      </w:pPr>
      <w:r>
        <w:rPr>
          <w:b/>
        </w:rPr>
        <w:t>Original source (2021):</w:t>
      </w:r>
      <w:r>
        <w:t xml:space="preserve"> https://doi.org/10.34021/ve.2021.04.02(1)</w:t>
      </w:r>
    </w:p>
    <w:p>
      <w:pPr/>
      <w:r>
        <w:t>Original wording (abstract; indexed_source_text_not_full_document_verified): Analysis of the use of foresight technology to determine the possible future, create the desired image of the future and determine strategies to achieve it using methods developed in various research areas revealed that its application makes sense in determining long-term factors, trends and directions of national economies. That is, in foresighting, in contrast to forecasting, the emphasis is made on qualitative rather than quantitative results, which does not provide the expected targeted policy of the state, because it does not give clear, concrete results of actions - quantitative strategic benchmarks, monitoring which would control the process of these areas' development.</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foresight, possible, achieve, methods, developed, trends;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Application of foresight technologies in interdepartmental interaction of the region to enhance the efficiency of drug prevention — https://doi.org/10.12731/2658-6649-2026-18-2-1794</w:t>
      </w:r>
    </w:p>
    <w:p>
      <w:pPr/>
      <w:r>
        <w:rPr>
          <w:b/>
        </w:rPr>
        <w:t>Shared claim-specific concepts:</w:t>
      </w:r>
      <w:r>
        <w:t xml:space="preserve"> use, foresight, determine, create, strategies, methods; EU scope not established. This is a provisional connection, not an outcome finding.</w:t>
      </w:r>
    </w:p>
    <w:p>
      <w:pPr>
        <w:pStyle w:val="SourceNote"/>
      </w:pPr>
      <w:r>
        <w:rPr>
          <w:b/>
        </w:rPr>
        <w:t>Available abstract (not full text):</w:t>
      </w:r>
      <w:r>
        <w:t xml:space="preserve"> Background.The use of Foresight technologies as a method of scientific forecasting and strategic planning provides the opportunity for a comprehensive analysis of future trends, early detection of potential threats and timely use of “windows of opportunity”. In the context of combating drug addiction, this is of particular importance, since a high rate of transformation, interdisciplinary complexity and a significant level of social danger characterize this phenomenon. Thepurposeof the study is to determine the potential for the use of Foresight technologies in combating drug addiction at the regional level to identify long-term trends, predict risks and “windows of opportunity”, and develop strategic scenarios aimed at increasing the effectiveness of preventive, medical and social measures. Materials and methods.An analysis of Russian scientific publications revealed the absence of systemic studies devoted to the use of the Foresight approach to the problem of combating drug addiction. An analytical review of scientific literature, a comparative analysis of domestic and international experience, as well as elements of scenario planning and systems analysis were used. The absence of domestic works in this niche confirms the existence of a cognitive gap and the relevance of adapting the methodology to the anti-drug system of Russia. Results.To structure the results, it is propos</w:t>
      </w:r>
    </w:p>
    <w:p>
      <w:pPr/>
      <w:r>
        <w:rPr>
          <w:b/>
        </w:rPr>
        <w:t>POSSIBLE 2026:</w:t>
      </w:r>
      <w:r>
        <w:t xml:space="preserve"> Affordance entrenchment analysis: A diagnostic tool for technology foresight — https://doi.org/10.1016/j.techsoc.2026.103511</w:t>
      </w:r>
    </w:p>
    <w:p>
      <w:pPr/>
      <w:r>
        <w:rPr>
          <w:b/>
        </w:rPr>
        <w:t>Shared claim-specific concepts:</w:t>
      </w:r>
      <w:r>
        <w:t xml:space="preserve"> use, foresight, technology, determine, methods, factors; EU scope not established. This is a provisional connection, not an outcome finding.</w:t>
      </w:r>
    </w:p>
    <w:p>
      <w:pPr>
        <w:pStyle w:val="SourceNote"/>
      </w:pPr>
      <w:r>
        <w:rPr>
          <w:b/>
        </w:rPr>
        <w:t>Available abstract (not full text):</w:t>
      </w:r>
      <w:r>
        <w:t xml:space="preserve"> Technological artefacts can acquire new functions without undergoing change in their physical properties. Existing futures methods provide limited analytical purchase on these kinds of transformations, because they generally lack mechanisms for explaining how artefacts acquire new functions through changing practice. This paper introduces affordance entrenchment analysis (AEA), a diagnostic tool designed for use by forecasting professionals, anticipatory governance practitioners, and analysts in technology assessment or research investment roles. AEA directs analytical attention toward three factors that conventional approaches tend to overlook: (1) latent affordances (those capabilities grounded in an artefact's physical properties that no current domain of practice exploits), which circumscribe the possibility space for function change; (2) the formation of structured domains of practice, which determine which of those capabilities become valued; and (3) the consolidation of use (via infrastructure and institutional recognition) through which novel functions take hold. The tool is grounded in Nelson Goodman's work on exemplification and symbol systems and is operationalised through three orienting questions with associated empirical indicators. Applied to a given artefact, AEA structures an assessment of where function change may be occurring and how far it has progressed. Th</w:t>
      </w:r>
    </w:p>
    <w:p>
      <w:pPr/>
      <w:r>
        <w:rPr>
          <w:b/>
        </w:rPr>
        <w:t>POSSIBLE 2025:</w:t>
      </w:r>
      <w:r>
        <w:t xml:space="preserve"> Regional Technology Foresight for Material Technologies — https://doi.org/10.34190/eckm.26.1.3851</w:t>
      </w:r>
    </w:p>
    <w:p>
      <w:pPr/>
      <w:r>
        <w:rPr>
          <w:b/>
        </w:rPr>
        <w:t>Shared claim-specific concepts:</w:t>
      </w:r>
      <w:r>
        <w:t xml:space="preserve"> foresight, technology, application, long-term, trends; EU scope not established. This is a provisional connection, not an outcome finding.</w:t>
      </w:r>
    </w:p>
    <w:p>
      <w:pPr>
        <w:pStyle w:val="SourceNote"/>
      </w:pPr>
      <w:r>
        <w:rPr>
          <w:b/>
        </w:rPr>
        <w:t>Available abstract (not full text):</w:t>
      </w:r>
      <w:r>
        <w:t xml:space="preserve"> The Silesian Voivodeship is undergoing rapid technological transformation and industrial restructuring. This necessitates a systematic, evidence-based approach to identifying priority technologies that will drive regional development by 2050. The purpose of this article is to present the key results from the initial diagnostic phase of the technology foresight project conducted in the Silesian Voivodeship, focusing on the material production and processing sector. The research employs a multi-method approach, PESTEL analysis, integrating Porter's Diamond Model, the emerald model and SWOT analysis, supported by desk research, expert consultations and focus group discussions to assess technological potential and strategic priorities. The study identifies three critical technology groups: metallic, polymeric, and ceramic materials, as key enablers of industrial innovation. These technologies are of particular importance in several strategic sectors, including but not limited to the automotive, aerospace, chemical, steel, pharmaceutical, renewable energy and advanced manufacturing industries. The detailed analyses were summarized in a synthetic technology assessment using four key criteria: effectiveness of technology, market age, scope of application, and impact on the technology landscape. The results indicate that global trends are increasingly shaping the world within the BANI </w:t>
      </w:r>
    </w:p>
    <w:p>
      <w:pPr/>
      <w:r>
        <w:rPr>
          <w:b/>
        </w:rPr>
        <w:t>POSSIBLE 2025:</w:t>
      </w:r>
      <w:r>
        <w:t xml:space="preserve"> THEORETICAL AND METHODOLOGICAL FOUNDATIONS OF THE USE OF MARKET FORESIGHT TECHNOLOGY IN THE IT SPHERE — https://doi.org/10.20998/2313-8890.2024.11.04</w:t>
      </w:r>
    </w:p>
    <w:p>
      <w:pPr/>
      <w:r>
        <w:rPr>
          <w:b/>
        </w:rPr>
        <w:t>Shared claim-specific concepts:</w:t>
      </w:r>
      <w:r>
        <w:t xml:space="preserve"> use, foresight, technology, possible, strategies, methods; EU scope not established. This is a provisional connection, not an outcome finding.</w:t>
      </w:r>
    </w:p>
    <w:p>
      <w:pPr>
        <w:pStyle w:val="SourceNote"/>
      </w:pPr>
      <w:r>
        <w:rPr>
          <w:b/>
        </w:rPr>
        <w:t>Available abstract (not full text):</w:t>
      </w:r>
      <w:r>
        <w:t xml:space="preserve"> Abstract. The article considers methodological approaches to the transformation of foresight technologies into strategic marketing. It is noted that foresight methods have recently been actively used to predict future trends and develop strategies in conditions of uncertainty. Strategic marketing at the same time performs its tasks, which are at the junction of future trends. Marketing strategy is a medium- and long-term solution that covers the elements of the marketing complex: product, price, place and promotion. In conditions of rapid economic changes, this is not enough for enterprises to maintain their competitiveness. Additional information is needed regarding the technological forecast for the medium and long term. Today, foresight methods solve this problem to a certain extent, but a comprehensive methodology of a strategic approach that helps manufacturing enterprises to stay ahead of technological trends, form new markets and adapt products to the needs of the future has not been created. To solve this problem, the article proposes a new brand - "market foresight". This brand is built on a proactive approach to identifying future trends and changes in the market and responding to them. Its essence is to use retrospective forecast points with the vision of experts on the dynamics and directions of development of technologies of interest to us, for a period of up to 30</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possible, long-term, national;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possible,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The Need for Synergy in Foresight Research for Healthcare and Medical Sciences — https://doi.org/10.36401/iddb-25-1</w:t>
      </w:r>
    </w:p>
    <w:p>
      <w:pPr/>
      <w:r>
        <w:rPr>
          <w:b/>
        </w:rPr>
        <w:t>Shared claim-specific concepts:</w:t>
      </w:r>
      <w:r>
        <w:t xml:space="preserve"> use, foresight, technology, possible, image, strategies;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2025:</w:t>
      </w:r>
      <w:r>
        <w:t xml:space="preserve"> FORESIGHT FRONTLINES: GLOBAL INSIGHTS ON STRATEGIC FORESIGHT INPOLICY MAKING — https://doi.org/10.46763/scgw25112g233a</w:t>
      </w:r>
    </w:p>
    <w:p>
      <w:pPr/>
      <w:r>
        <w:rPr>
          <w:b/>
        </w:rPr>
        <w:t>Shared claim-specific concepts:</w:t>
      </w:r>
      <w:r>
        <w:t xml:space="preserve"> foresight, application, national; EU scope visible. This is a provisional connection, not an outcome finding.</w:t>
      </w:r>
    </w:p>
    <w:p>
      <w:pPr>
        <w:pStyle w:val="SourceNote"/>
      </w:pPr>
      <w:r>
        <w:rPr>
          <w:b/>
        </w:rPr>
        <w:t>Available abstract (not full text):</w:t>
      </w:r>
      <w:r>
        <w:t xml:space="preserve"> In an era marked by volatility, uncertainty, complexity, and ambiguity (VUCA) (Bennis and Nanus, 1985), governments worldwide are increasingly turning to strategic foresight to anticipate and shape future challenges and opportunities. This paper presents a secondary research analysis of the institutionalization and application of strategic foresight in policy-making across diverse geopolitical contexts. By examining governmental foresight frameworks, national foresight programs, and policy innovation labs from countries including Finland (Heo and Seo, 2021) (OECD, 2022), Singapore (CSF, n/a), Canada (Government of Canada, 2022), and the European Union (European Commission, 2020), the study identifies common patterns, enabling conditions, and obstacles in embedding foresight into governance structures. The research also explores the varied cultural, political, and administrative lenses through which foresight is interpreted and operationalized, offering a comparative perspective on its effectiveness and impact. Ultimately, the paper proposes a typology of foresight adoption in policy-making and offers reflections on how global practices can inform more anticipatory and resilient governance. This contribution aims to enrich the discourse on strategic foresight as a critical competency for future-ready policy development.</w:t>
      </w:r>
    </w:p>
    <w:p>
      <w:pPr/>
      <w:r>
        <w:rPr>
          <w:b/>
        </w:rPr>
        <w:t>POSSIBLE 2025:</w:t>
      </w:r>
      <w:r>
        <w:t xml:space="preserve"> Theoretical and methodological essence of foresight marketing of information technologies — https://doi.org/10.15276/mdt.9.2.2025.10</w:t>
      </w:r>
    </w:p>
    <w:p>
      <w:pPr/>
      <w:r>
        <w:rPr>
          <w:b/>
        </w:rPr>
        <w:t>Shared claim-specific concepts:</w:t>
      </w:r>
      <w:r>
        <w:t xml:space="preserve"> use, foresight, technology, determine, strategies, methods; EU scope not established. This is a provisional connection, not an outcome finding.</w:t>
      </w:r>
    </w:p>
    <w:p>
      <w:pPr>
        <w:pStyle w:val="SourceNote"/>
      </w:pPr>
      <w:r>
        <w:rPr>
          <w:b/>
        </w:rPr>
        <w:t>Available abstract (not full text):</w:t>
      </w:r>
      <w:r>
        <w:t xml:space="preserve"> The aim of the article is to study the theoretical foundations and develop methodological approaches to the application of foresight marketing in the field of information technology, based on a comprehensive analysis of modern concepts of forecasting and marketing strategy. Analysis results. The application of the foresight methodology for strategic planning and forecasting of the development of the IT sector is considered. The current state of the definition of the term "foresight" is investigated, a detailed analysis of the advantages and disadvantages of the existing definitions is carried out. The author's definition of the terms "foresight" is provided and the definition of the term "foresight marketing" is proposed for the first time. A schematic scheme of foresight as an economic category is developed, which includes the basic components of foresight: foresight philosophy (theory), foresight products and foresight processes. The existing principles in the theory of foresight are supplemented with new ones, in particular, it is proposed to consider the stakeholder approach, predictive activity, expertise and analytics as principles of foresight. Particular attention is paid to the methods of expert assessment, classification of foresight types to determine priority areas of scientific research and technological innovations. Additional criteria for the classification of fo</w:t>
      </w:r>
    </w:p>
    <w:p>
      <w:pPr/>
      <w:r>
        <w:rPr>
          <w:b/>
        </w:rPr>
        <w:t>POSSIBLE 2025:</w:t>
      </w:r>
      <w:r>
        <w:t xml:space="preserve"> Foresight study for addressing megatrends in information and communication technology (ICT) — https://doi.org/10.1186/s13731-025-00466-z</w:t>
      </w:r>
    </w:p>
    <w:p>
      <w:pPr/>
      <w:r>
        <w:rPr>
          <w:b/>
        </w:rPr>
        <w:t>Shared claim-specific concepts:</w:t>
      </w:r>
      <w:r>
        <w:t xml:space="preserve"> foresight, technology, trends; EU scope visible. This is a provisional connection, not an outcome finding.</w:t>
      </w:r>
    </w:p>
    <w:p>
      <w:pPr>
        <w:pStyle w:val="SourceNote"/>
      </w:pPr>
      <w:r>
        <w:rPr>
          <w:b/>
        </w:rPr>
        <w:t>Available abstract (not full text):</w:t>
      </w:r>
      <w:r>
        <w:t xml:space="preserve"> Information and communications technology (ICT) encompasses the infrastructure and components that enable modern computing. In the context of Europe, the adoption of cutting-edge ICT is rapidly accelerating competitiveness, innovation, and job creation. However, this progress depends on a skilled workforce capable of implementing these advanced technologies effectively. This study aims to explore current ICT trends while addressing the digital skills gap in Southern Europe. The research focused on three countries: Greece, Cyprus, and Bulgaria. To gather relevant insights, two rounds of the Delphi technique were employed to reach a consensus on the most crucial digital skills shaping the future. The findings reveal a rapidly evolving landscape of digital competencies essential for navigating the transformative era of advanced ICT technologies. The study highlights emerging megatrends in the ICT sector, such as AI integration, cybersecurity challenges, and the shift toward 5G, underscoring the need for continuous upskilling to remain competitive in the global market. As ICT continues to evolve, it is clear that developing a skilled workforce will be vital to unlocking the potential of these technologies in Southern Europe.</w:t>
      </w:r>
    </w:p>
    <w:p>
      <w:pPr/>
      <w:r>
        <w:rPr>
          <w:b/>
        </w:rPr>
        <w:t>POSSIBLE 2024:</w:t>
      </w:r>
      <w:r>
        <w:t xml:space="preserve"> Opportunities for supporting humanitarians: Technology foresight concepts — https://doi.org/10.7249/rra3192-4</w:t>
      </w:r>
    </w:p>
    <w:p>
      <w:pPr/>
      <w:r>
        <w:rPr>
          <w:b/>
        </w:rPr>
        <w:t>Shared claim-specific concepts:</w:t>
      </w:r>
      <w:r>
        <w:t xml:space="preserve"> use, foresight, technology, developed, areas; EU scope visible. This is a provisional connection, not an outcome finding.</w:t>
      </w:r>
    </w:p>
    <w:p>
      <w:pPr>
        <w:pStyle w:val="SourceNote"/>
      </w:pPr>
      <w:r>
        <w:rPr>
          <w:b/>
        </w:rPr>
        <w:t>Available abstract (not full text):</w:t>
      </w:r>
      <w:r>
        <w:t xml:space="preserve"> RAND Europe, with Athena Infonomics and glass.ai, conducted a study that characterised the current landscape of technology use in the sector and explored potential development pathways out to 2030, as well as associated risks and opportunities. The study developed five deep dives of promising technology areas, three foresight concepts and a four-step guidance framework to ensure the suitable deployment of technologies in humanitarian contexts.</w:t>
      </w:r>
    </w:p>
    <w:p>
      <w:pPr>
        <w:pStyle w:val="Heading2"/>
      </w:pPr>
      <w:r>
        <w:t>626. The Current Picture of the Transition to a Green Economy in the EU—Trends in Climate and Energy Policy versus State Security</w:t>
      </w:r>
    </w:p>
    <w:p>
      <w:pPr>
        <w:pStyle w:val="SourceNote"/>
      </w:pPr>
      <w:r>
        <w:rPr>
          <w:b/>
        </w:rPr>
        <w:t>Original source (2021):</w:t>
      </w:r>
      <w:r>
        <w:t xml:space="preserve"> https://doi.org/10.3390/en14238181</w:t>
      </w:r>
    </w:p>
    <w:p>
      <w:pPr/>
      <w:r>
        <w:t>Original wording (abstract; indexed_source_text_not_full_document_verified): The aim of the article is to present the main quantitative challenges for the development of the green economy in the EU, which are analyzed from the perspective of the year 2030.</w:t>
      </w:r>
    </w:p>
    <w:p>
      <w:pPr/>
      <w:r>
        <w:rPr>
          <w:b/>
        </w:rPr>
        <w:t>POSSIBLE 2026:</w:t>
      </w:r>
      <w:r>
        <w:t xml:space="preserve"> The Communion of Protestant Churches in Europe and European integration — https://doi.org/10.31261/ssht.2025.58.1.05</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The Communion of Protestant Churches in Europe (CPCE) is currently a communion of 96 Protestant Churches of various traditions from over 30 European countries, representing over 50 million Christians in Europe and beyond, including South America. In its founding document – the Leuenberg Agreement – it declared the realization of the Church communion, in three areas: continuing theological conversation, ecumenical, witness and service. The aim of this article is to present how the topic of European integration is being reflected on in these three areas of CPCE work. The analysis will be supplemented by a review of the references to European integration in the programmatic documents adopted by the highest governing body of the CPCE – its general assemblies.</w:t>
      </w:r>
    </w:p>
    <w:p>
      <w:pPr/>
      <w:r>
        <w:rPr>
          <w:b/>
        </w:rPr>
        <w:t>POSSIBLE 2026:</w:t>
      </w:r>
      <w:r>
        <w:t xml:space="preserve"> Sustainable Development Challenges of Higher Education Institutions in Wartime: Quantitative Evidence from Ukraine — https://doi.org/10.2139/ssrn.6955635</w:t>
      </w:r>
    </w:p>
    <w:p>
      <w:pPr/>
      <w:r>
        <w:rPr>
          <w:b/>
        </w:rPr>
        <w:t>Shared claim-specific concepts:</w:t>
      </w:r>
      <w:r>
        <w:t xml:space="preserve"> quantitative, challenges;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Cartography of the Use of Artificial Intelligence Against Disinformation in Europe: Trends, Stakeholders, and Emerging Challenges — https://doi.org/10.3390/socsci15020071</w:t>
      </w:r>
    </w:p>
    <w:p>
      <w:pPr/>
      <w:r>
        <w:rPr>
          <w:b/>
        </w:rPr>
        <w:t>Shared claim-specific concepts:</w:t>
      </w:r>
      <w:r>
        <w:t xml:space="preserve"> article, main, quantitative, challenges; EU scope visible. This is a provisional connection, not an outcome finding.</w:t>
      </w:r>
    </w:p>
    <w:p>
      <w:pPr>
        <w:pStyle w:val="SourceNote"/>
      </w:pPr>
      <w:r>
        <w:rPr>
          <w:b/>
        </w:rPr>
        <w:t>Available abstract (not full text):</w:t>
      </w:r>
      <w:r>
        <w:t xml:space="preserve"> The article examines the application of artificial intelligence (AI) in the fight against disinformation through a comparative analysis of different European initiatives collected by the SmartVote project. It analyzes their characteristics and contributions to identify common trends in technological development and collaboration models. The methodology combines a systematic documentary analysis of institutional and technical sources—public project records, reports, and official repositories—with a structured questionnaire addressed to the coordinators of the selected initiatives. This mixed approach made it possible to triangulate quantitative and qualitative information on the types of technology employed, areas of impact, stakeholders involved, and levels of funding. The results show a predominance of multimodal AI-based tools aimed at automated content detection and verification. Most of the projects rely on cooperation networks among universities, technology companies, media outlets, and social organizations, structured under the principle of human oversight. The main challenges include algorithmic accuracy, bias prevention, and Europe’s technological dependence. Overall, the initiatives studied are committed to transparency, interdisciplinary collaboration, and the ethical use of AI in defense of informational integrity.</w:t>
      </w:r>
    </w:p>
    <w:p>
      <w:pPr/>
      <w:r>
        <w:rPr>
          <w:b/>
        </w:rPr>
        <w:t>POSSIBLE 2026:</w:t>
      </w:r>
      <w:r>
        <w:t xml:space="preserve"> Sustainability in EU Competition Law : An Analysis of Article 102 TFEU in Light of the European Green Deal — https://openalex.org/W7131733282</w:t>
      </w:r>
    </w:p>
    <w:p>
      <w:pPr/>
      <w:r>
        <w:rPr>
          <w:b/>
        </w:rPr>
        <w:t>Shared claim-specific concepts:</w:t>
      </w:r>
      <w:r>
        <w:t xml:space="preserve"> aim, article, green; EU scope visible. This is a provisional connection, not an outcome finding.</w:t>
      </w:r>
    </w:p>
    <w:p>
      <w:pPr>
        <w:pStyle w:val="SourceNote"/>
      </w:pPr>
      <w:r>
        <w:rPr>
          <w:b/>
        </w:rPr>
        <w:t>Available abstract (not full text):</w:t>
      </w:r>
      <w:r>
        <w:t xml:space="preserve"> The European Commission presented the European Green Deal in 2019 with the ultimate goal of achieving net zero greenhouse gas emissions by 2050. For this reason, the possibility of considering sustainability in EU competition law have received increasing attention in recent years. The aim of this thesis is to examine the role of environmental sustainability in assessments of abuse of dominance under Article 102 in the Treaty on the Functioning of the European Union [TFEU]. The discussion is commonly framed as using sustainability as a ‘sword’, prohibiting unsustainable conduct by dominant undertakings, and as a ‘shield’, allowing dominant undertakings to objectively justify prima facie abusive conduct where it promotes sustainability. Article 102 TFEU applies to conduct by undertakings, that is, entities engaged in economic activity, that are dominant on the relevant market. Abuse consists of conduct that is objectively capable of affecting trade between EU member states and harming on competition. The illustrative list of abuses in Article 102 TFEU covers exploitative abuses, directly harming consumers and exclusionary abuses, indirectly harming consumers by distorting market structure. To what extent sustainability is to be taken into account under Article 102 TFEU depends on the adopted competition law theory. While competition law has traditionally been understood as pursui</w:t>
      </w:r>
    </w:p>
    <w:p>
      <w:pPr/>
      <w:r>
        <w:rPr>
          <w:b/>
        </w:rPr>
        <w:t>POSSIBLE 2026:</w:t>
      </w:r>
      <w:r>
        <w:t xml:space="preserve"> Default recognition under Article 178 CRR: challenges and implications for standardised approach banks — https://doi.org/10.1108/jfrc-07-2025-0194</w:t>
      </w:r>
    </w:p>
    <w:p>
      <w:pPr/>
      <w:r>
        <w:rPr>
          <w:b/>
        </w:rPr>
        <w:t>Shared claim-specific concepts:</w:t>
      </w:r>
      <w:r>
        <w:t xml:space="preserve"> article, present, quantitative, challenges; EU scope visible. This is a provisional connection, not an outcome finding.</w:t>
      </w:r>
    </w:p>
    <w:p>
      <w:pPr>
        <w:pStyle w:val="SourceNote"/>
      </w:pPr>
      <w:r>
        <w:rPr>
          <w:b/>
        </w:rPr>
        <w:t>Available abstract (not full text):</w:t>
      </w:r>
      <w:r>
        <w:t xml:space="preserve"> Purpose This concept paper aims to examine the operational, capital and governance challenges that European banks face when applying Article 178 of the Capital Requirements Regulation (CRR) to recognise default, with particular emphasis on Standardised Approach banks. While existing literature has largely focused on Internal Ratings-Based (IRB) institutions, the distinctive implications for banks using the Standardised Approach remain underexplored. Design/methodology/approach The analysis adopts a doctrinal and policy review methodology, drawing on primary regulatory texts, European Banking Authority guidelines, supervisory expectations and comparative practices from other jurisdictions. A stylised case illustration demonstrates how qualitative default recognition criteria affect capital adequacy and borrower relationships. Findings This paper highlights interpretive ambiguity, operational inconsistency and commercial conflicts inherent in invoking the “unlikely to pay” criterion. For Standardised Approach banks, default recognition can have disproportionately severe impacts on risk-weighted assets, IFRS 9 provisioning and competitive positioning. The comparative review indicates that while similar principles exist globally, supervisory approaches to proportionality and implementation vary. Research limitations/implications This study is conceptual and does not present empiric</w:t>
      </w:r>
    </w:p>
    <w:p>
      <w:pPr/>
      <w:r>
        <w:rPr>
          <w:b/>
        </w:rPr>
        <w:t>POSSIBLE 2025:</w:t>
      </w:r>
      <w:r>
        <w:t xml:space="preserve"> The Securitization of Islam in the Context of European Identityand the Attitudes of Europeans Towards Muslim Immigrants and Refugees — https://doi.org/10.34739/dsd.2024.02.02</w:t>
      </w:r>
    </w:p>
    <w:p>
      <w:pPr/>
      <w:r>
        <w:rPr>
          <w:b/>
        </w:rPr>
        <w:t>Shared claim-specific concepts:</w:t>
      </w:r>
      <w:r>
        <w:t xml:space="preserve"> article, present, quantitative; EU scope visible. This is a provisional connection, not an outcome finding.</w:t>
      </w:r>
    </w:p>
    <w:p>
      <w:pPr>
        <w:pStyle w:val="SourceNote"/>
      </w:pPr>
      <w:r>
        <w:rPr>
          <w:b/>
        </w:rPr>
        <w:t>Available abstract (not full text):</w:t>
      </w:r>
      <w:r>
        <w:t xml:space="preserve"> This article aims to present selected dimensions of the securitization of Islam in Europe in the context of European identity, and to show the impact of this process on the attitudes of Europeans towards Muslim migrants. The first part of the article focuses on the issue of European identity. This theoretical introduction allows for a better understanding of the dimensions of the securitization of Islam in Europe and their impact on the attitudes of citizens of selected the European Union (EU) and European Free Trade Association (EFTA) states towards migrants. The method used to conduct the research in this article is desk research and the qualitative method of analyzing written sources, both qualitative and quantitative data. The analysis uses numerous public opinion surveys, including the report “Trends in attitudes towards migration in Europe. A comparative analysis”, prepared on the basis of the European Social Survey from 2018.</w:t>
      </w:r>
    </w:p>
    <w:p>
      <w:pPr/>
      <w:r>
        <w:rPr>
          <w:b/>
        </w:rPr>
        <w:t>POSSIBLE 2025:</w:t>
      </w:r>
      <w:r>
        <w:t xml:space="preserve"> HYDROGEN'S ROLE IN GREEN ECONOMY: OPPORTUNITIES AND CHALLENGES IN SELECTED EUROPEAN COUNTRIES — https://doi.org/10.15837/aijes.v19i1.7138</w:t>
      </w:r>
    </w:p>
    <w:p>
      <w:pPr/>
      <w:r>
        <w:rPr>
          <w:b/>
        </w:rPr>
        <w:t>Shared claim-specific concepts:</w:t>
      </w:r>
      <w:r>
        <w:t xml:space="preserve"> aim, article, quantitative, challenges, green, economy; EU scope visible. This is a provisional connection, not an outcome finding.</w:t>
      </w:r>
    </w:p>
    <w:p>
      <w:pPr>
        <w:pStyle w:val="SourceNote"/>
      </w:pPr>
      <w:r>
        <w:rPr>
          <w:b/>
        </w:rPr>
        <w:t>Available abstract (not full text):</w:t>
      </w:r>
      <w:r>
        <w:t xml:space="preserve"> Hydrogen is an important element in the transition to a green economy, with its potential to play a key role in the decarbonization of industry and transport within the European Union. The aim of this article is to analyse the differences in hydrogen production and consumption between selected European countries in the context of their economic maturity. Based on data from 2020 to 2023, a quantitative analysis was conducted including variables such as hydrogen production and consumption capacity and GDP per capita. Using non-parametric tests (Kruskal-Wallis, Dwass-Steel-Critchlow-Fligner), statistically significant differences were identified between groups of countries with high and low levels of hydrogen infrastructure development. The results confirm that higher economic performance of countries is closely related to a more developed hydrogen economy. The discussion highlights the importance of investments, regulatory frameworks and technological innovations in the implementation of hydrogen solutions. The article also identifies the challenges faced by less developed countries and recommends an approach based on support and cooperation within the EU.</w:t>
      </w:r>
    </w:p>
    <w:p>
      <w:pPr/>
      <w:r>
        <w:rPr>
          <w:b/>
        </w:rPr>
        <w:t>POSSIBLE 2025:</w:t>
      </w:r>
      <w:r>
        <w:t xml:space="preserve"> The Pan-European Personal Pension Product – Managers’ Challenges and Savers’ Expectations — https://doi.org/10.18778/1508-2008.28.23</w:t>
      </w:r>
    </w:p>
    <w:p>
      <w:pPr/>
      <w:r>
        <w:rPr>
          <w:b/>
        </w:rPr>
        <w:t>Shared claim-specific concepts:</w:t>
      </w:r>
      <w:r>
        <w:t xml:space="preserve"> article, quantitative, challenges; EU scope visible. This is a provisional connection, not an outcome finding.</w:t>
      </w:r>
    </w:p>
    <w:p>
      <w:pPr>
        <w:pStyle w:val="SourceNote"/>
      </w:pPr>
      <w:r>
        <w:rPr>
          <w:b/>
        </w:rPr>
        <w:t>Available abstract (not full text):</w:t>
      </w:r>
      <w:r>
        <w:t xml:space="preserve"> The Pan-European Personal Pension Product (PEPP) is a strategic initiative of the European Union (EU) aimed at creating a harmonized, portable pension savings framework that addresses the challenges of population aging, increased labor mobility, and the widening pension gap across Member States. This article investigates the implementation and performance of the PEPP in four EU countries – Poland, Slovakia, Croatia, and the Czech Republic – through a mixed-methods research design. The study combines a legal and comparative analysis of national pension systems with qualitative interviews conducted with PEPP fund managers and quantitative surveys of PEPP savers. The findings reveal significant disparities in regulatory approaches, tax treatment, and supervisory frameworks between countries, which affect both the attractiveness and functionality of PEPP. Despite the shared design principles of transparency, safety, and cost-efficiency, savers’ expectations differ notably across countries – especially in relation to customer service, information delivery, and minimum return expectations – while also being shaped by sociodemographic factors. The qualitative research highlights that fund managers face challenges such as regulatory fragmentation, high administrative burdens, and competition from national products with more favorable tax treatment or employer-based incentives. At the s</w:t>
      </w:r>
    </w:p>
    <w:p>
      <w:pPr/>
      <w:r>
        <w:rPr>
          <w:b/>
        </w:rPr>
        <w:t>POSSIBLE 2025:</w:t>
      </w:r>
      <w:r>
        <w:t xml:space="preserve"> The LUX prize and the challenges of European film competitiveness — https://doi.org/10.1080/17411548.2025.2572121</w:t>
      </w:r>
    </w:p>
    <w:p>
      <w:pPr/>
      <w:r>
        <w:rPr>
          <w:b/>
        </w:rPr>
        <w:t>Shared claim-specific concepts:</w:t>
      </w:r>
      <w:r>
        <w:t xml:space="preserve"> article, main, quantitative, challenges; EU scope visible. This is a provisional connection, not an outcome finding.</w:t>
      </w:r>
    </w:p>
    <w:p>
      <w:pPr>
        <w:pStyle w:val="SourceNote"/>
      </w:pPr>
      <w:r>
        <w:rPr>
          <w:b/>
        </w:rPr>
        <w:t>Available abstract (not full text):</w:t>
      </w:r>
      <w:r>
        <w:t xml:space="preserve"> The European Union seeks to promote the competitiveness of the European film industry through funding programmes and film initiatives, including the LUX Prize. This article uses a quantitative methodology to analyse how LUX has succeeded in promoting the 17 winning films and how the competitiveness of the initiative has evolved since its launch in 2007. The main promotion indicators – admissions, revenues, distribution, availability on video-on-demand platforms, other film awards received, media recognition, and film ratings – were analysed using a twofold approach. The internal comparison looked at LUX winners before and after the change in 2020, when a wider audience was allowed to participate in selecting the winners. The external comparison compared the LUX winners with the European winners of the Palme d’Or and the Oscar for Best International Feature Film. The quantitative analysis shows that most promotion indicators are significantly, yet unpredictably, correlated with each other. These results underscore the multidimensionality and complexity of the notion of film competitiveness. The comparison shows that the change to an audience award has not significantly impacted the competitiveness of LUX winners. Despite the EU’s strengthened promotion intentions, LUX winners remain uncompetitive in the global and European film scenes.</w:t>
      </w:r>
    </w:p>
    <w:p>
      <w:pPr/>
      <w:r>
        <w:rPr>
          <w:b/>
        </w:rPr>
        <w:t>POSSIBLE 2025:</w:t>
      </w:r>
      <w:r>
        <w:t xml:space="preserve"> Human rights in the European Union in the present — https://doi.org/10.24144/2788-6018.2025.03.3.37</w:t>
      </w:r>
    </w:p>
    <w:p>
      <w:pPr/>
      <w:r>
        <w:rPr>
          <w:b/>
        </w:rPr>
        <w:t>Shared claim-specific concepts:</w:t>
      </w:r>
      <w:r>
        <w:t xml:space="preserve"> article, present, challenges, analyzed; EU scope visible. This is a provisional connection, not an outcome finding.</w:t>
      </w:r>
    </w:p>
    <w:p>
      <w:pPr>
        <w:pStyle w:val="SourceNote"/>
      </w:pPr>
      <w:r>
        <w:rPr>
          <w:b/>
        </w:rPr>
        <w:t>Available abstract (not full text):</w:t>
      </w:r>
      <w:r>
        <w:t xml:space="preserve"> The article examines the state of realization and protection of human rights in the European Union in the face of modern global challenges. The focus of the EU’s basic legal acts, in particular the Charter of Fundamental Rights of the European Union. The role of EU institutions in ensuring human rights, in particular the European Parliament, the European Commission and the Court of Justice, is considered. The impact of migration crisis, digitalization and armed conflicts on citizens’ rights and freedoms is analyzed. Issues related to discrimination, restriction of freedom of speech and interference with privacy are identified. Emphasis on the importance of cooperation between the EU and the European Court of Human Rights. Particular attention is paid to the mechanisms of monitoring and response to human rights violations in Member States. The article also discusses gender equality, minority rights and vulnerable groups. The conclusion was made on the need to strengthen the EU human rights policy in the context of the latest challenges. The article also analyzes the importance of balancing between security and human rights, especially in terrorist threats and emergencies. Issues in the context of the fight against terrorism, in particular in the aspects of migration control and access to personal data, are considered. The importance of the right to information and freedom of exp</w:t>
      </w:r>
    </w:p>
    <w:p>
      <w:pPr/>
      <w:r>
        <w:rPr>
          <w:b/>
        </w:rPr>
        <w:t>POSSIBLE 2025:</w:t>
      </w:r>
      <w:r>
        <w:t xml:space="preserve"> Internationalisation of higher education: its conceptual evolution as a process, intended aims, and unintended effects in the global and European context — https://doi.org/10.5117/ejep2025.3.001.dewi</w:t>
      </w:r>
    </w:p>
    <w:p>
      <w:pPr/>
      <w:r>
        <w:rPr>
          <w:b/>
        </w:rPr>
        <w:t>Shared claim-specific concepts:</w:t>
      </w:r>
      <w:r>
        <w:t xml:space="preserve"> article, present, challenges; EU scope visible. This is a provisional connection, not an outcome finding.</w:t>
      </w:r>
    </w:p>
    <w:p>
      <w:pPr>
        <w:pStyle w:val="SourceNote"/>
      </w:pPr>
      <w:r>
        <w:rPr>
          <w:b/>
        </w:rPr>
        <w:t>Available abstract (not full text):</w:t>
      </w:r>
      <w:r>
        <w:t xml:space="preserve"> Higher education has long been viewed as inherently international, yet the concept of being international is interpreted in various ways. It is shaped by institutional, local, and regional contexts, as well as the diverse intentions of stakeholders both within and outside the sector. As a strategic approach, internationalisation is a relatively recent phenomenon, emerging over the past three to four decades and influenced by political, social, economic, and educational factors. However, most internationalisation actions and policies remain ad hoc, fragmented, and marginal, often misaligned with the core mission of higher education institutions and national higher education policies (de Wit, 2024). This article explores the evolution of the concept of internationalisation from the 1980s to the present, examining its development and varying interpretations. It also analyses the dimensions and actions associated with the process, identifying which are most dominant. Additionally, it reviews key achievements of recent decades and assesses the primary challenges that hinder further progress. The discussion is framed within the context of a shifting global landscape, where political support for internationalism in higher education and research has waned compared to the 1980s and 1990s. The article highlights the European context, where internationalisation efforts have been driven by</w:t>
      </w:r>
    </w:p>
    <w:p>
      <w:pPr/>
      <w:r>
        <w:rPr>
          <w:b/>
        </w:rPr>
        <w:t>POSSIBLE 2025:</w:t>
      </w:r>
      <w:r>
        <w:t xml:space="preserve"> Sustainability in the European Automotive Sector: Approaches and Challenges — https://doi.org/10.2478/logi-2025-0019</w:t>
      </w:r>
    </w:p>
    <w:p>
      <w:pPr/>
      <w:r>
        <w:rPr>
          <w:b/>
        </w:rPr>
        <w:t>Shared claim-specific concepts:</w:t>
      </w:r>
      <w:r>
        <w:t xml:space="preserve"> main, quantitative, challenges; EU scope visible. This is a provisional connection, not an outcome finding.</w:t>
      </w:r>
    </w:p>
    <w:p>
      <w:pPr>
        <w:pStyle w:val="SourceNote"/>
      </w:pPr>
      <w:r>
        <w:rPr>
          <w:b/>
        </w:rPr>
        <w:t>Available abstract (not full text):</w:t>
      </w:r>
      <w:r>
        <w:t xml:space="preserve"> Abstract Sustainability has become increasingly essential for companies to remain competitive. The automotive industry is one of the sectors most affected by sustainable regulatory standards. Companies face pressures, changes in consumer behaviour, and evolving expectations alongside growing demands for environmentally sustainable practices. However, sustainability implementation practices and main initiatives remain inconsistent across the sector. This study aims to identify key indicators for successful sustainability implementation by analysing best practices among the four largest companies within the European automotive industry through quantitative and qualitative content analysis. The findings define main approaches and challenges companies faced, categorising key activities within the environmental, social, and governance (ESG) dimensions, and underscoring the importance of embedding sustainability into corporate strategy. The analysis also highlights inconsistencies between stated objectives and actual approaches of analysed companies, which may jeopardise the effectiveness of sustainability implementation, companies’ competitive positions, and performance. Based on the analysis of best practices, the study provides practical recommendations and guidelines for smaller manufacturers, suppliers, and other industries and organizations to adapt and successfully implement s</w:t>
      </w:r>
    </w:p>
    <w:p>
      <w:pPr>
        <w:pStyle w:val="Heading2"/>
      </w:pPr>
      <w:r>
        <w:t>627. The Economic Impact of Investment in Renewables in Croatia by 2030</w:t>
      </w:r>
    </w:p>
    <w:p>
      <w:pPr>
        <w:pStyle w:val="SourceNote"/>
      </w:pPr>
      <w:r>
        <w:rPr>
          <w:b/>
        </w:rPr>
        <w:t>Original source (2021):</w:t>
      </w:r>
      <w:r>
        <w:t xml:space="preserve"> https://doi.org/10.3390/en14248215</w:t>
      </w:r>
    </w:p>
    <w:p>
      <w:pPr/>
      <w:r>
        <w:t>Original wording (abstract; indexed_source_text_not_full_document_verified): At the beginning of 2020, the Strategy of the Republic of Croatia until 2030 with an outlook to 2050 was adopted. The Strategy analyzes two energy transition scenarios, the accelerated energy transition and the moderate energy transition.</w:t>
      </w:r>
    </w:p>
    <w:p>
      <w:pPr/>
      <w:r>
        <w:rPr>
          <w:b/>
        </w:rPr>
        <w:t>POSSIBLE 2026:</w:t>
      </w:r>
      <w:r>
        <w:t xml:space="preserve"> Balancing strategies of small states: The case of the Republic of Serbia and the issue of Kosovo and Metohija — https://doi.org/10.5937/bastina36-66586</w:t>
      </w:r>
    </w:p>
    <w:p>
      <w:pPr/>
      <w:r>
        <w:rPr>
          <w:b/>
        </w:rPr>
        <w:t>Shared claim-specific concepts:</w:t>
      </w:r>
      <w:r>
        <w:t xml:space="preserve"> strategy, republic, analyzes, energy; EU scope visible. This is a provisional connection, not an outcome finding.</w:t>
      </w:r>
    </w:p>
    <w:p>
      <w:pPr>
        <w:pStyle w:val="SourceNote"/>
      </w:pPr>
      <w:r>
        <w:rPr>
          <w:b/>
        </w:rPr>
        <w:t>Available abstract (not full text):</w:t>
      </w:r>
      <w:r>
        <w:t xml:space="preserve"> This paper analyzes Serbia’s foreign policy as a strategy of balancing between the European Union (EU) and the Russian Federation in the context of the Kosovo and Metohija issue. Treating Kosovo and Metohija as a permanent structural constraint on state strategy, the paper examines political and economic developments since 2000 and their influence on Serbia’s foreign policy positioning. The focus is placed on the economic dimension of balancing, specifically Serbia’s dependence on the EU as its main trade and investment partner, while simultaneously emphasizing partial, particularly critical energy dependencies on the Russian Federation. The analysis indicates that balancing does not imply merely symmetrical distributions of influence, but rather a combination of institutional reliance in the Kosovo issue and economic dependencies concentrated in the energy sector, which increases the costs associated with distancing from Moscow. The aim of the paper is to present the strategy of balancing as a rational, yet long-term unstable response of a small state to structural constraints arising from the Kosovo and Metohija issue, as well as from the unfinished process of European integration in the region. The aim of the paper is to present the strategy of balancing as a rational, yet long-term unstable response of a small state to structural constraints arising from the Kosovo and Meto</w:t>
      </w:r>
    </w:p>
    <w:p>
      <w:pPr/>
      <w:r>
        <w:rPr>
          <w:b/>
        </w:rPr>
        <w:t>POSSIBLE 2025:</w:t>
      </w:r>
      <w:r>
        <w:t xml:space="preserve"> European policy of the Republic of Türkiye: stages, priorities, transformations — https://doi.org/10.17721/2524-048x.2025.32.1</w:t>
      </w:r>
    </w:p>
    <w:p>
      <w:pPr/>
      <w:r>
        <w:rPr>
          <w:b/>
        </w:rPr>
        <w:t>Shared claim-specific concepts:</w:t>
      </w:r>
      <w:r>
        <w:t xml:space="preserve"> beginning, strategy, republic, analyzes, energy; EU scope visible. This is a provisional connection, not an outcome finding.</w:t>
      </w:r>
    </w:p>
    <w:p>
      <w:pPr>
        <w:pStyle w:val="SourceNote"/>
      </w:pPr>
      <w:r>
        <w:rPr>
          <w:b/>
        </w:rPr>
        <w:t>Available abstract (not full text):</w:t>
      </w:r>
      <w:r>
        <w:t xml:space="preserve"> The purpose of the article is to study the stages of development, key priorities, and shifts in the European policy of the Republic of Türkiye. It focuses on how domestic and international changes, as well as current geopolitical challenges—especially the full-scale Russian aggression against Ukraine—affect Türkiye’s relations with the European Union. The study also reveals the causal relationships explaining the development of Turkish-European relations. The methodology is based on historical and political analysis, which allows for a comprehensive exploration of the internal and external factors shaping Türkiye’s policy. The internal determinants under consideration include political stability, the economy, public sentiment, and the role of elites. External factors involve international trends, conflicts, and interaction with states and organizations. Particular attention is given to the course of Türkiye’s accession negotiations with the European Union. The analysis also takes into account the geostrategic conditions influencing Ankara’s policy. The article’s scientific novelty lies in its focus on the historical roots of Türkiye’s European trajectory, beginning with the Tanzimat period and Kemalist reforms. The research covers Türkiye’s accession to the Council of Europe, NATO, and cooperation with the EEC and the EU. It analyzes the political transformations following the </w:t>
      </w:r>
    </w:p>
    <w:p>
      <w:pPr/>
      <w:r>
        <w:rPr>
          <w:b/>
        </w:rPr>
        <w:t>POSSIBLE 2025:</w:t>
      </w:r>
      <w:r>
        <w:t xml:space="preserve"> THE HUSSITE MOVEMENT IN THE CZECH REPUBLIC — https://doi.org/10.31470/2786-8583-2024-4-105-110</w:t>
      </w:r>
    </w:p>
    <w:p>
      <w:pPr/>
      <w:r>
        <w:rPr>
          <w:b/>
        </w:rPr>
        <w:t>Shared claim-specific concepts:</w:t>
      </w:r>
      <w:r>
        <w:t xml:space="preserve"> beginning, strategy, republic, two, moderate; EU scope visible. This is a provisional connection, not an outcome finding.</w:t>
      </w:r>
    </w:p>
    <w:p>
      <w:pPr>
        <w:pStyle w:val="SourceNote"/>
      </w:pPr>
      <w:r>
        <w:rPr>
          <w:b/>
        </w:rPr>
        <w:t>Available abstract (not full text):</w:t>
      </w:r>
      <w:r>
        <w:t xml:space="preserve"> In the last third of the XIV century. in the Czech Republic, crisis phenomena began to appear, especially of an economic nature, which later had far-reaching social consequences for the kingdom. It is primarily about the deep social differentiation of society: from peasants and feudal lords to the clergy and city dwellers. The crisis aggravated relations between all strata of society. And as a result, a situation arose when the peasants sought to get rid of the exploitation of the feudal lords; burghership - to free oneself from the power of the patriciate and acquire one's own rights; the urban poor became radicalized in order to improve their impoverished situation; the nobility fought with the magnates for land, privileges and power.The leader of the Czech Reformation was Jan Hus (1371-1415), who in 1393 graduated from the Faculty of Philosophy of the University of Prague and after 3 years became a Master of Liberal Arts and a Doctor of Philosophy.In 1403, Jan Hus became the rector of the university, simultaneously preaching in the Bethlehem chapel and having the rank of priest. In his sermons, Hus raised topics that wererelevant and understandable for ordinary people, which increased his popularity.The burning of Hus caused a wave of protest in all strata of Czech society and was perceived as an insult to the entire Czech people. In July 1419, an uprising broke out in Pragu</w:t>
      </w:r>
    </w:p>
    <w:p>
      <w:pPr/>
      <w:r>
        <w:rPr>
          <w:b/>
        </w:rPr>
        <w:t>POSSIBLE 2025:</w:t>
      </w:r>
      <w:r>
        <w:t xml:space="preserve"> The global outlook for gas demand in a $6 world — https://openalex.org/W7148186110</w:t>
      </w:r>
    </w:p>
    <w:p>
      <w:pPr/>
      <w:r>
        <w:rPr>
          <w:b/>
        </w:rPr>
        <w:t>Shared claim-specific concepts:</w:t>
      </w:r>
      <w:r>
        <w:t xml:space="preserve"> outlook; EU scope visible. This is a provisional connection, not an outcome finding.</w:t>
      </w:r>
    </w:p>
    <w:p>
      <w:pPr>
        <w:pStyle w:val="SourceNote"/>
      </w:pPr>
      <w:r>
        <w:rPr>
          <w:b/>
        </w:rPr>
        <w:t>Available abstract (not full text):</w:t>
      </w:r>
      <w:r>
        <w:t xml:space="preserve"> The long-expected wave of LNG supply is now almost upon us, and is expected to outstrip the rise in demand for LNG. Spot prices, in European and Asian markets, may respond to the overhang of supply by moving to more short-run pricing - as was seen in 2019 and 2020 - and, as a result, prices could fall to $6 per MMBTU - half current levels. With the surge in LNG supply lasting for a number of years, European and Asian prices at $6 could be sustained for a number of years. In such a scenario, not only might there be a short-run fuel switching response (coal and oil to gas) but also a longer run response, possibly delaying the roll out of renewables, especially more expensive offshore wind. The potential response would vary by market and sector. In the short run, by 2030, LNG imports could be higher by some 8% (60 bcm). Half of this is in the power sector (coal to gas switching) and one-third in industry. Most of the response is in Asia, especially China and ASEAN, with a more muted response in Europe, as coal plants are closing. The longer run response, by 2035, is expected to be larger, around 10% higher (80 bcm), but limited assuming there are few LNG export plants coming on after 2030. A stronger response from India is projected in the longer term, especially in buildings and transport, where demand might also be stronger in China in these sectors. Gas could also benefit from </w:t>
      </w:r>
    </w:p>
    <w:p>
      <w:pPr/>
      <w:r>
        <w:rPr>
          <w:b/>
        </w:rPr>
        <w:t>POSSIBLE 2025:</w:t>
      </w:r>
      <w:r>
        <w:t xml:space="preserve"> Indo-Pacific strategy and Europe: From politics through defence and economy to cultural and AI diplomacy. The example of the Czech Republic — https://doi.org/10.5937/napredak6-62688</w:t>
      </w:r>
    </w:p>
    <w:p>
      <w:pPr/>
      <w:r>
        <w:rPr>
          <w:b/>
        </w:rPr>
        <w:t>Shared claim-specific concepts:</w:t>
      </w:r>
      <w:r>
        <w:t xml:space="preserve"> strategy, republic, adopted; EU scope visible. This is a provisional connection, not an outcome finding.</w:t>
      </w:r>
    </w:p>
    <w:p>
      <w:pPr>
        <w:pStyle w:val="SourceNote"/>
      </w:pPr>
      <w:r>
        <w:rPr>
          <w:b/>
        </w:rPr>
        <w:t>Available abstract (not full text):</w:t>
      </w:r>
      <w:r>
        <w:t xml:space="preserve"> In the past decades, the increase in the importance of the Indo-Pacific region, which has become not only a new geopolitical and geoeconomic, but also a geotechnical centre, led to a series of activities both of individual countries and the European Union and its member-states, resulting in a set of strategies for the Indo-Pacific during the second decade of the 21st century. The same process continued in the current, third decade. Due to their significance, the enacted strategies soon became the subject of study, whereas lately the focus has been placed exactly on analyzing the activities of individual countries. On this occasion, we have dedicated attention to the research of the activities of the Czech Republic, which adopted its strategy in 2022, immediately after the adoption of the European Union's Strategy for the Indo-Pacific (2021) and subsequently, this region also found its place in the official politics of this country, namely in the Foreign Policy Concept (2025), as well in the National Cybersecurity Strategy (2025).</w:t>
      </w:r>
    </w:p>
    <w:p>
      <w:pPr/>
      <w:r>
        <w:rPr>
          <w:b/>
        </w:rPr>
        <w:t>POSSIBLE 2025:</w:t>
      </w:r>
      <w:r>
        <w:t xml:space="preserve"> New Regulation in the Field of Strategic Development of the Energy Sector in the Republic of Serbia — https://doi.org/10.46793/eee25-3.14p</w:t>
      </w:r>
    </w:p>
    <w:p>
      <w:pPr/>
      <w:r>
        <w:rPr>
          <w:b/>
        </w:rPr>
        <w:t>Shared claim-specific concepts:</w:t>
      </w:r>
      <w:r>
        <w:t xml:space="preserve"> beginning, strategy, republic, until, adopted, energy; EU scope visible. This is a provisional connection, not an outcome finding.</w:t>
      </w:r>
    </w:p>
    <w:p>
      <w:pPr>
        <w:pStyle w:val="SourceNote"/>
      </w:pPr>
      <w:r>
        <w:rPr>
          <w:b/>
        </w:rPr>
        <w:t>Available abstract (not full text):</w:t>
      </w:r>
      <w:r>
        <w:t xml:space="preserve"> In the Republic of Serbia, the year 2024 marked the ambitious beginning of a new phase in the development of the energy sector. At the end of July 2024, the Republic of Serbia adopted the Integrated National Energy and Climate Plan (INECP) for the period up to 2030, with projections until 2050. By adopting the INECP, Serbia obtained an important strategic document aligned with the European Union's vision for the decarbonization of the energy sector. This document represents Serbia’s roadmap for energy transition and will contribute to the goal of integrating its electricity market with the EU's single market. In line with the requirements set out in the INECP, Serbia plans to make significant investments in renewable energy sources by 2030 -around 3.5 GW of new solar and wind power plants (to be connected to the electricity grid) - aimed at increasing supply security for consumers, boosting the share of clean energy sources, and enhancing environmental protection. Another important strategic document in the field of energy sector development is the Energy Development Strategy of the Republic of Serbia until 2040, with projections until 2050, which was adopted in November 2024. In addition, amendments and supplements to the Energy Law were adopted in December 2024, with the goal of fulfilling obligations under the Energy Community Treaty. In this paper, the authors will provide </w:t>
      </w:r>
    </w:p>
    <w:p>
      <w:pPr/>
      <w:r>
        <w:rPr>
          <w:b/>
        </w:rPr>
        <w:t>POSSIBLE 2025:</w:t>
      </w:r>
      <w:r>
        <w:t xml:space="preserve"> Review and Outlook of the Evolution of China’s Competition Policy: From Economic Transition to the Dual Circulation Strategy — https://doi.org/10.17265/1548-6605/2025.01.003</w:t>
      </w:r>
    </w:p>
    <w:p>
      <w:pPr/>
      <w:r>
        <w:rPr>
          <w:b/>
        </w:rPr>
        <w:t>Shared claim-specific concepts:</w:t>
      </w:r>
      <w:r>
        <w:t xml:space="preserve"> strategy, outlook, transition; EU scope not established. This is a provisional connection, not an outcome finding.</w:t>
      </w:r>
    </w:p>
    <w:p>
      <w:pPr>
        <w:pStyle w:val="SourceNote"/>
      </w:pPr>
      <w:r>
        <w:rPr>
          <w:b/>
        </w:rPr>
        <w:t>Available abstract (not full text):</w:t>
      </w:r>
      <w:r>
        <w:t xml:space="preserve"> Over the past few decades, China has undergone a gradual yet progressive transition from a command economy to a market economy.During this process, China's competition policy has emerged and evolved in response to the changing economic landscape.History has shown that competition policy is not merely a byproduct of the country's economic transition but also a crucial instrument in deepening market-oriented reforms.The recognition of competition policy as having fundamental status in China's top-level policy design has marked a new phase in its development.A competition policy framework centered on the Anti-Monopoly Law is gradually taking shape, providing a more structured and systematic regulatory foundation.Currently, within China's long-term objectives through 2035, the Dual Circulation Strategy places competition policy at its core, underscoring its fundamental role in fostering a fair and efficient market environment.In recent years, China's competition policy and antitrust regulations have undergone significant advancements, strengthening enforcement mechanisms and refining legal frameworks.As the country navigates evolving domestic and global challenges, the continued evolution of its competition policy must strike a delicate balance between national economic priorities and the broader international economic landscape</w:t>
      </w:r>
    </w:p>
    <w:p>
      <w:pPr/>
      <w:r>
        <w:rPr>
          <w:b/>
        </w:rPr>
        <w:t>POSSIBLE 2025:</w:t>
      </w:r>
      <w:r>
        <w:t xml:space="preserve"> Analysis of the “Adaptation strategy for sectors and areas vulnerable to climate change to 2020 with an outlook to 2030 (SPA 2020)” — https://doi.org/10.24425/ace.2025.154120</w:t>
      </w:r>
    </w:p>
    <w:p>
      <w:pPr/>
      <w:r>
        <w:rPr>
          <w:b/>
        </w:rPr>
        <w:t>Shared claim-specific concepts:</w:t>
      </w:r>
      <w:r>
        <w:t xml:space="preserve"> strategy, outlook, energy, transition; EU scope visible. This is a provisional connection, not an outcome finding.</w:t>
      </w:r>
    </w:p>
    <w:p>
      <w:pPr>
        <w:pStyle w:val="SourceNote"/>
      </w:pPr>
      <w:r>
        <w:rPr>
          <w:b/>
        </w:rPr>
        <w:t>Available abstract (not full text):</w:t>
      </w:r>
      <w:r>
        <w:t xml:space="preserve"> Poland performs very badly in all kinds of rankings related to environmental protection and usually ranks last compared to other EU countries. Several programmes and strategies are currently being implemented to improve this situation. These include both national and local government documents. The author presents the most important of these and analyses both their provisions and the effectiveness of their implementation. One of the key aspects of adaptation to climate change is Poland’s energy transition from coal-based power generation to renewable energy sources. Unfortunately, over the past few years, legislators and regulators have significantly impeded this process, particularly with regard to photovoltaic energy and wind energy, as well as biogas plants. A significant problem is also the limitation of funding for this transformation, due to the blocking by the EU institutions of the disbursement of funds from the National Reconstruction Programme. Without the unblocking of these funds and the effective implementation of existing programmes and strategies, Poland will remain one of the most polluted EU countries with an archaic energy mix.</w:t>
      </w:r>
    </w:p>
    <w:p>
      <w:pPr/>
      <w:r>
        <w:rPr>
          <w:b/>
        </w:rPr>
        <w:t>POSSIBLE 2024:</w:t>
      </w:r>
      <w:r>
        <w:t xml:space="preserve"> REFORMING THE SCIENTIFIC SPHERE IN THE REPUBLIC OF CROATIA AT THE END OF THE 20TH – THE BEGINNING OF THE 21ST CENTURY: ACHIEVEMENTS AND SHORTCOMINGS — https://doi.org/10.24919/2308-4863/78-1-2</w:t>
      </w:r>
    </w:p>
    <w:p>
      <w:pPr/>
      <w:r>
        <w:rPr>
          <w:b/>
        </w:rPr>
        <w:t>Shared claim-specific concepts:</w:t>
      </w:r>
      <w:r>
        <w:t xml:space="preserve"> beginning, republic, croatia; EU scope visible. This is a provisional connection, not an outcome finding.</w:t>
      </w:r>
    </w:p>
    <w:p>
      <w:pPr>
        <w:pStyle w:val="SourceNote"/>
      </w:pPr>
      <w:r>
        <w:rPr>
          <w:b/>
        </w:rPr>
        <w:t>Available abstract (not full text):</w:t>
      </w:r>
      <w:r>
        <w:t xml:space="preserve"> The purpose of the article is to analyze the scientific policy of the Republic of Croatia during 1991-2023, to determine its achievements and shortcomings.The research methodology is based on the principles of historicism, authorial objectivity, multifactoriality, historical-genetic, historical-typological and historic-systemic methods.A periodization of the scientific policy of independent Croatia is proposed, which consists of three periods: the first (1991)(1992)(1993)(1994)(1995)(1996)(1997)(1998)(1999)(2000)(2001)(2002)(2003), -preservation of the post-Yugoslav principles of the functioning of the scientific sphere, preservation of the relevant infrastructure and approaches to financing education; the second (2003)(2004)(2005)(2006)(2007)(2008)(2009)(2010)(2011)(2012) -the first attempts at reforming the scientific sphere, the establishment of National Science Council, National Council of Higher Education and Agency for Science and Higher Education, an increase in state funding of scientific research, an increase in the number of scientific and pedagogical workers in connection with the opening of new universities, orientation towards European scientific institutions and foundations; the third (from 2013)carrying out the reform of the scientific sphere, aimed at bringing scientific research and innovations as closely as possible to the needs of the economy and civil societ</w:t>
      </w:r>
    </w:p>
    <w:p>
      <w:pPr/>
      <w:r>
        <w:rPr>
          <w:b/>
        </w:rPr>
        <w:t>POSSIBLE 2024:</w:t>
      </w:r>
      <w:r>
        <w:t xml:space="preserve"> THE REPUBLIC OF CYPRUS AND INTERNATIONAL LAW: ANALYSIS OF THE FOREIGN POLICY STRATEGY OF A SMALL STATE — https://doi.org/10.32842/2078-3736/2024.4.47</w:t>
      </w:r>
    </w:p>
    <w:p>
      <w:pPr/>
      <w:r>
        <w:rPr>
          <w:b/>
        </w:rPr>
        <w:t>Shared claim-specific concepts:</w:t>
      </w:r>
      <w:r>
        <w:t xml:space="preserve"> beginning, strategy, republic, two; EU scope visible. This is a provisional connection, not an outcome finding.</w:t>
      </w:r>
    </w:p>
    <w:p>
      <w:pPr>
        <w:pStyle w:val="SourceNote"/>
      </w:pPr>
      <w:r>
        <w:rPr>
          <w:b/>
        </w:rPr>
        <w:t>Available abstract (not full text):</w:t>
      </w:r>
      <w:r>
        <w:t xml:space="preserve"> A characteristic feature of the evolution of international relations and international law at the end of the 20th and the beginning of the 21st centuries is the growing importance of small states in the international dimension.The decline in the ability of big powers to effectively resolve external conflicts, on the one hand, and, on the other, the ability of small states to look for new ideas of international cooperation, create the preconditions for a further increase in the role of small states in international relations.The Republic of Cyprus is a vivid example of a small state, although at the same time it is the third largest island in the Mediterranean.The experience of this small state in the implementation of foreign policy, as well as European integration, is an atypical precedent from the point of view of the norms of international law, as well as an important example of successful construction of foreign policy and active participation in international relations, despite acute internal crises.The Republic of Cyprus, despite the unresolved territorial problems, is actively developing bilateral and multilateral cooperation with other subjects of international law.The geostrategic position of the island led to the Cyprus problem.The Republic of Cyprus is divided between two ethnic groups -Greeks and Turks.The Cyprus conflict is a frozen issue for Greece and Turkey.The </w:t>
      </w:r>
    </w:p>
    <w:p>
      <w:pPr/>
      <w:r>
        <w:rPr>
          <w:b/>
        </w:rPr>
        <w:t>POSSIBLE 2024:</w:t>
      </w:r>
      <w:r>
        <w:t xml:space="preserve"> AN OVERVIEW OF TÜRKİYE’S RENEWABLE ENERGY OUTLOOK — https://doi.org/10.46399/muhendismakina.1599383</w:t>
      </w:r>
    </w:p>
    <w:p>
      <w:pPr/>
      <w:r>
        <w:rPr>
          <w:b/>
        </w:rPr>
        <w:t>Shared claim-specific concepts:</w:t>
      </w:r>
      <w:r>
        <w:t xml:space="preserve"> outlook, energy; EU scope visible. This is a provisional connection, not an outcome finding.</w:t>
      </w:r>
    </w:p>
    <w:p>
      <w:pPr>
        <w:pStyle w:val="SourceNote"/>
      </w:pPr>
      <w:r>
        <w:rPr>
          <w:b/>
        </w:rPr>
        <w:t>Available abstract (not full text):</w:t>
      </w:r>
      <w:r>
        <w:t xml:space="preserve"> A critical outcome of climate change and energy security concerns is the need to diversify energy sources. In this context, renewable energy emerges as a significant opportunity. Türkiye has significant potential in terms of renewable energy resources. In particular, the widespread use of wind and solar energy sources has gained momentum since 2011. In recent years, Türkiye's renewable energy sector has experienced rapid growth and is poised to become a prominent player among European countries in this field. This article provides a comprehensive overview of the renewable energy sector in Türkiye. The study was conducted using the document analysis method. The information presented in this article was taken from national and international reports, national energy plans, international agreements, energy company statistics and research papers. The results show that the renewable energy sector in Türkiye has experienced radical growth in the last fifteen years. Hydropower has been used for many years and Türkiye is one of the leading countries in terms of installed capacity. However, the development of installed wind and solar capacity is particularly noteworthy. Between 2010 and 2024, installed wind power capacity increased about sevenfold. Between 2015 and 2024, installed solar power capacity grew by about fifty times.</w:t>
      </w:r>
    </w:p>
    <w:p>
      <w:pPr/>
      <w:r>
        <w:rPr>
          <w:b/>
        </w:rPr>
        <w:t>POSSIBLE 2024:</w:t>
      </w:r>
      <w:r>
        <w:t xml:space="preserve"> AN OVERVIEW OF TÜRKİYE’S RENEWABLE ENERGY OUTLOOK — https://doi.org/10.46399/muhendismakina.1425654</w:t>
      </w:r>
    </w:p>
    <w:p>
      <w:pPr/>
      <w:r>
        <w:rPr>
          <w:b/>
        </w:rPr>
        <w:t>Shared claim-specific concepts:</w:t>
      </w:r>
      <w:r>
        <w:t xml:space="preserve"> outlook, energy; EU scope visible. This is a provisional connection, not an outcome finding.</w:t>
      </w:r>
    </w:p>
    <w:p>
      <w:pPr>
        <w:pStyle w:val="SourceNote"/>
      </w:pPr>
      <w:r>
        <w:rPr>
          <w:b/>
        </w:rPr>
        <w:t>Available abstract (not full text):</w:t>
      </w:r>
      <w:r>
        <w:t xml:space="preserve"> A critical outcome of climate change and energy security concerns is the need to diversify energy sources. In this context, renewable energy emerges as a significant opportunity. Türkiye has significant potential in terms of renewable energy resources. In particular, the widespread use of wind and solar energy sources has gained momentum since 2011. In recent years, Türkiye's renewable energy sector has experienced rapid growth and is poised to become a prominent player among European countries in this field. This article provides a comprehensive overview of the renewable energy sector in Türkiye. The study was conducted using the document analysis method. The information presented in this article was taken from national and international reports, national energy plans, international agreements, energy company statistics and research papers. The results show that the renewable energy sector in Türkiye has experienced radical growth in the last fifteen years. Hydropower has been used for many years and Türkiye is one of the leading countries in terms of installed capacity. However, the development of installed wind and solar capacity is particularly noteworthy. Between 2010 and 2024, installed wind power capacity increased about sevenfold. Between 2015 and 2024, installed solar power capacity grew by about fifty times.</w:t>
      </w:r>
    </w:p>
    <w:p>
      <w:pPr>
        <w:pStyle w:val="Heading2"/>
      </w:pPr>
      <w:r>
        <w:t>628. The European Health Union: European Union’s Concern about Health for All. Concepts, Definition, and Scenarios</w:t>
      </w:r>
    </w:p>
    <w:p>
      <w:pPr>
        <w:pStyle w:val="SourceNote"/>
      </w:pPr>
      <w:r>
        <w:rPr>
          <w:b/>
        </w:rPr>
        <w:t>Original source (2021):</w:t>
      </w:r>
      <w:r>
        <w:t xml:space="preserve"> https://doi.org/10.3390/healthcare9121741</w:t>
      </w:r>
    </w:p>
    <w:p>
      <w:pPr/>
      <w:r>
        <w:t>Original wording (abstract; indexed_source_text_not_full_document_verified): Based on these findings, five scenarios were developed: making a full move towards supranational action; improving efficiency in the actual framework; more coordination but no real change; in a full intergovernmentalism direction; and fragmentation of the EU. However, it will rely on increased coordination and has a focus on cross-border health threats.</w:t>
      </w:r>
    </w:p>
    <w:p>
      <w:pPr/>
      <w:r>
        <w:rPr>
          <w:b/>
        </w:rPr>
        <w:t>POSSIBLE 2026:</w:t>
      </w:r>
      <w:r>
        <w:t xml:space="preserve"> Drivers of and barriers to adoption of digital therapeutics in five European countries — https://doi.org/10.1177/20552076261492350</w:t>
      </w:r>
    </w:p>
    <w:p>
      <w:pPr/>
      <w:r>
        <w:rPr>
          <w:b/>
        </w:rPr>
        <w:t>Shared claim-specific concepts:</w:t>
      </w:r>
      <w:r>
        <w:t xml:space="preserve"> findings, five, however, increased; EU scope visible. This is a provisional connection, not an outcome finding.</w:t>
      </w:r>
    </w:p>
    <w:p>
      <w:pPr>
        <w:pStyle w:val="SourceNote"/>
      </w:pPr>
      <w:r>
        <w:rPr>
          <w:b/>
        </w:rPr>
        <w:t>Available abstract (not full text):</w:t>
      </w:r>
      <w:r>
        <w:t xml:space="preserve"> Background Digital therapeutics (DTx) are evidence-based software interventions with potential to complement conventional care; however, their adoption across European healthcare systems remains limited. Evidence on patient-level drivers, barriers, and implementation requirements is still scarce, especially regarding awareness, usability, reimbursement, and stakeholder engagement. Methods This mixed-methods study combined an online survey in five European countries — the United Kingdom, France, Germany, Italy, and Spain — with a qualitative advisory board. Of 915 survey respondents, 682 surveys were included. Respondents were adults who had visited a healthcare professional in the previous 12 months. Survey findings were complemented by an advisory board involving 13 opinion leaders, patient experts, representatives of patient organizations, and industry professionals. Results Awareness and prior use of DTx were limited: 51.03% of respondents were unaware of DTx before the survey, while only 3.40% had previously used DTx. Nevertheless, 63.20% expressed interest in using DTx to better manage their condition. The main drivers of adoption were interest in testing tools (35.63%), physician recommendation (35.48%), 24/7 access to support (26.54%), nurse recommendation (19.21%), and additional support beyond conventional treatments (15.10%). Integration with wearables or health apps </w:t>
      </w:r>
    </w:p>
    <w:p>
      <w:pPr/>
      <w:r>
        <w:rPr>
          <w:b/>
        </w:rPr>
        <w:t>POSSIBLE 2026:</w:t>
      </w:r>
      <w:r>
        <w:t xml:space="preserve"> The Process and Effectiveness of Strategic Planning in Higher Education: Evidence From Five European Countries — https://doi.org/10.1111/ejed.70585</w:t>
      </w:r>
    </w:p>
    <w:p>
      <w:pPr/>
      <w:r>
        <w:rPr>
          <w:b/>
        </w:rPr>
        <w:t>Shared claim-specific concepts:</w:t>
      </w:r>
      <w:r>
        <w:t xml:space="preserve"> based, findings, five; EU scope visible. This is a provisional connection, not an outcome finding.</w:t>
      </w:r>
    </w:p>
    <w:p>
      <w:pPr>
        <w:pStyle w:val="SourceNote"/>
      </w:pPr>
      <w:r>
        <w:rPr>
          <w:b/>
        </w:rPr>
        <w:t>Available abstract (not full text):</w:t>
      </w:r>
      <w:r>
        <w:t xml:space="preserve"> ABSTRACT The paper aims at investigating the strategic planning process and its perceived effectiveness in universities based on evidence from five European countries (UK, Sweden, Greece, Cyprus and the Netherlands) and 10 higher education institutions. The investigation focused on the following: the characteristics of the strategic planning process; stakeholder involvement in strategic planning and their role in the process; and the major problems faced in relation to the effectiveness of strategic planning. The elements investigated relate to the process and effectiveness of strategic planning in an attempt to examine the development of strategy by higher education institutions and its perceived effectiveness. Qualitative research was used to collect data from academics and/or high‐ranking administrators with a role in the institutional strategic planning process. The data were subjected to thematic analysis. According to the findings, universities were more likely to subscribe to a top‐down model in strategic planning. Respondents drew attention to three categories of problems and/or limitations associated with the strategic planning process, namely, human resources/stakeholder problems, technical/content‐related problems, and external limitations and restrictions. The paper attempts to inform the higher education literature by providing evidence from five countries on an un</w:t>
      </w:r>
    </w:p>
    <w:p>
      <w:pPr/>
      <w:r>
        <w:rPr>
          <w:b/>
        </w:rPr>
        <w:t>POSSIBLE 2026:</w:t>
      </w:r>
      <w:r>
        <w:t xml:space="preserve"> Natural Gas Transit from West Africa to Europe (Africa Atlantic Gas Pipeline) to Maximize Energy Security and Transit Revenues by 2050 — https://doi.org/10.62762/jgee.2025.372522</w:t>
      </w:r>
    </w:p>
    <w:p>
      <w:pPr/>
      <w:r>
        <w:rPr>
          <w:b/>
        </w:rPr>
        <w:t>Shared claim-specific concepts:</w:t>
      </w:r>
      <w:r>
        <w:t xml:space="preserve"> findings, full, framework; EU scope visible. This is a provisional connection, not an outcome finding.</w:t>
      </w:r>
    </w:p>
    <w:p>
      <w:pPr>
        <w:pStyle w:val="SourceNote"/>
      </w:pPr>
      <w:r>
        <w:rPr>
          <w:b/>
        </w:rPr>
        <w:t>Available abstract (not full text):</w:t>
      </w:r>
      <w:r>
        <w:t xml:space="preserve"> The Africa-Atlantic Gas Pipeline (AAGP), also known as the Nigeria-Morocco Gas Pipeline, is a major transcontinental infrastructure project poised to connect West African gas reserves with North African networks and European markets, potentially reshaping regional energy dynamics, boosting economic development, and enhancing energy security. Its strategic importance has grown amid Europe’s urgent need to diversify away from Russian gas imports and Africa’s dual challenge of resource-based development and sustainable local energy access. Despite increasing interest, there is a lack of integrated, quantitative evaluation of competing gas transit strategies considering technical, economic, environmental, and social criteria. This research fills that gap by applying a Multi-Criteria Decision-Making framework (AHP) to assess four transit strategies, highlighting Public-Private Partnerships and revenue-sharing as top options. The study also models Europe’s future gas supply scenarios, showing that while African gas corridors like the AAGP could significantly reduce European dependence on Russian gas, full substitution requires coordinated investments and complementary measures. The findings offer policymakers a transparent, replicable methodology to make evidence-based decisions that align energy security, regional cooperation, and sustainability goals, while recognizing limitations </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findings, making, full, improving, coordination, however;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Comparison of countries in the WHO European Region according to noncommunicable disease indicators by multi-criteria decision making methods — https://doi.org/10.32552/2025.actamedica.1067</w:t>
      </w:r>
    </w:p>
    <w:p>
      <w:pPr/>
      <w:r>
        <w:rPr>
          <w:b/>
        </w:rPr>
        <w:t>Shared claim-specific concepts:</w:t>
      </w:r>
      <w:r>
        <w:t xml:space="preserve"> based, findings, making, full, however; EU scope visible. This is a provisional connection, not an outcome finding.</w:t>
      </w:r>
    </w:p>
    <w:p>
      <w:pPr>
        <w:pStyle w:val="SourceNote"/>
      </w:pPr>
      <w:r>
        <w:rPr>
          <w:b/>
        </w:rPr>
        <w:t>Available abstract (not full text):</w:t>
      </w:r>
      <w:r>
        <w:t xml:space="preserve"> Objective: The aim of this study is to compare the relative risk prevalence of noncommunicable diseases (NCDs) in the countries of the European Region as defined by WHO (World Health Organization) using WASPAS (Weighted Aggregated Sum Product Assessment) and MULTIMOORA (Multi-Objective Optimization by Ratio Analysis plus the full Multiplicative Form) multi-criteria decision-making (MCDM) methods. Materials and Methods: The cross-sectional study’s target population consisted of 50 countries in the WHO European Region with complete observations. The study utilizes NCDs data that the WHO publicly released. Analysis was performed using the R programming language and Microsoft Excel. Results: Based on the CRITIC (CRiteria Importance Through Intercorrelated Corrected) weighted WASPAS analysis, it was observed that 24 European countries exhibited Q scores above the average, while 26 countries displayed Q scores below the average. Finland, Cyprus, Switzerland, Spain, Iceland, Iceland, Sweden, Slovenia, Italy, Norway, Latvia, Portugal, Luxembourg, Belgium, France, Greece, the Netherlands, Germany, Malta, Austria, Ireland, Israel, Lithuania, Israel, Lithuania and Estonia have the highest Q scores. Twenty-four countries with above-average Q scores have lower NCD prevalence than twenty-six European countries. In Türkiye, the prevalence of NCDs is above the European average. However, Switze</w:t>
      </w:r>
    </w:p>
    <w:p>
      <w:pPr/>
      <w:r>
        <w:rPr>
          <w:b/>
        </w:rPr>
        <w:t>POSSIBLE 2025:</w:t>
      </w:r>
      <w:r>
        <w:t xml:space="preserve"> Future evolution of large floods in Europe — https://doi.org/10.5194/egusphere-egu25-9464</w:t>
      </w:r>
    </w:p>
    <w:p>
      <w:pPr/>
      <w:r>
        <w:rPr>
          <w:b/>
        </w:rPr>
        <w:t>Shared claim-specific concepts:</w:t>
      </w:r>
      <w:r>
        <w:t xml:space="preserve"> based, findings, five, but, increased; EU scope visible. This is a provisional connection, not an outcome finding.</w:t>
      </w:r>
    </w:p>
    <w:p>
      <w:pPr>
        <w:pStyle w:val="SourceNote"/>
      </w:pPr>
      <w:r>
        <w:rPr>
          <w:b/>
        </w:rPr>
        <w:t>Available abstract (not full text):</w:t>
      </w:r>
      <w:r>
        <w:t xml:space="preserve"> Large floods regularly cause loss of life and substantial economic damage. In a warmer climate, increased precipitation variability and extremes, combined with reduced snowmelt, are expected to alter flood characteristics, but how the dynamics of large floods across Europe will evolve under climate change remains unclear. Many existing grid-based and catchment-based studies lack the capacity to systematically identify widespread floods associated with larger impacts. This study addresses these gaps by identifying large, spatially connected floods in Europe based on the spatio-temporal connectivity of runoff extremes, which is derived from daily routed runoff simulations driven by five CMIP5 models under various warming levels. Further, a comprehensive set of flood metrics—including frequency, timing, extent, and volume—is quantified to assess future flood changes. Additionally, the underlying drivers of these changes are investigated. We show that earlier snowmelt generally leads to earlier floods, while increasing precipitation contributions attenuates flood seasonality. In western and central Europe, projected increases in precipitation amplify flood extents and volumes, particularly for the most extreme floods. In contrast, reduced snowmelt dominates flood changes in northern Europe. Interestingly, floods of different magnitudes exhibit varied responses to global warming. Fo</w:t>
      </w:r>
    </w:p>
    <w:p>
      <w:pPr/>
      <w:r>
        <w:rPr>
          <w:b/>
        </w:rPr>
        <w:t>POSSIBLE 2025:</w:t>
      </w:r>
      <w:r>
        <w:t xml:space="preserve"> HEALTH-ORIENTED EMPLOYMENT PROGRAMMES: INTERNATIONAL EXPERIENCE (BASED ON FIVE WESTERN EUROPEAN COUNTRIES) — https://doi.org/10.17323/1999-5431-2025-0-4-182-210</w:t>
      </w:r>
    </w:p>
    <w:p>
      <w:pPr/>
      <w:r>
        <w:rPr>
          <w:b/>
        </w:rPr>
        <w:t>Shared claim-specific concepts:</w:t>
      </w:r>
      <w:r>
        <w:t xml:space="preserve"> based, findings, five, focus; EU scope visible. This is a provisional connection, not an outcome finding.</w:t>
      </w:r>
    </w:p>
    <w:p>
      <w:pPr>
        <w:pStyle w:val="SourceNote"/>
      </w:pPr>
      <w:r>
        <w:rPr>
          <w:b/>
        </w:rPr>
        <w:t>Available abstract (not full text):</w:t>
      </w:r>
      <w:r>
        <w:t xml:space="preserve"> Empirical studies demonstrate a bidirectional relationship between population health status and employment, highlighting the importance of integrating these areas within social policy. This article aims to identify successful international practices for integrating health considerations into employment policy and to develop recommendations for adapting them in the Russian context. Based on the analysis of scientific literature, regulatory documents, and report data, the study examines European approaches to the implementation of employment programs that account for the health status of the population – both universal programs and those targeted at older adults. The findings reveal a steady trend toward cross-sectoral integration, whereby employment initiatives are implemented in partnership with healthcare institutions, insurance funds, and businesses. The analysis also highlights the decentralization of authority to the regional level and the individualization of support, particularly for individuals with chronic illnesses or prolonged absences from the labor market. Programs aimed at older workers focus on extending labor participation through workplace adaptations, continuous learning, and medical-social support. As a key result of the study, a set of measures was proposed to enhance the integration of employment and health policy. These include: the development of remote em</w:t>
      </w:r>
    </w:p>
    <w:p>
      <w:pPr/>
      <w:r>
        <w:rPr>
          <w:b/>
        </w:rPr>
        <w:t>POSSIBLE 2025:</w:t>
      </w:r>
      <w:r>
        <w:t xml:space="preserve"> Teaching for tomorrow: a qualitative exploration of ESD in initial teacher education across five European universities — https://doi.org/10.1108/ijshe-09-2024-0690</w:t>
      </w:r>
    </w:p>
    <w:p>
      <w:pPr/>
      <w:r>
        <w:rPr>
          <w:b/>
        </w:rPr>
        <w:t>Shared claim-specific concepts:</w:t>
      </w:r>
      <w:r>
        <w:t xml:space="preserve"> findings, five, actual, framework; EU scope visible. This is a provisional connection, not an outcome finding.</w:t>
      </w:r>
    </w:p>
    <w:p>
      <w:pPr>
        <w:pStyle w:val="SourceNote"/>
      </w:pPr>
      <w:r>
        <w:rPr>
          <w:b/>
        </w:rPr>
        <w:t>Available abstract (not full text):</w:t>
      </w:r>
      <w:r>
        <w:t xml:space="preserve"> Purpose The purpose of this study is to critucally examine how education for sustainable development (ESD) is integrated into initial teacher education (ITE) across five European universities. Despite strong European Union and United Nations Educational, Scientific and Cultural Organisation (UNESCO) frameworks, the actual practices of embedding ESD competences in pre-service teacher training remain underexplored. Design/methodology/approach The authors reviewed policy documents from Finland, Germany, Ireland, Portugal and Spain to contextualise national strategies for ESD, followed by semi-structured interviews with six university-based educators to explore how ESD is interpreted, implemented and supported in ITE. Thematic analysis informed the interpretation of the data. Findings Results reveal a fragmented landscape of ESD integration, with significant inconsistencies in curricular approaches, institutional support and educator preparedness. ESD often remains optional or implicitly embedded, constrained by structural factors such as rigid credit systems and lack of faculty development. Practical implications Insights inform policy makers, teacher educators and institutions aiming to harmonise ESD competences across diverse European contexts, fostering more consistent and impactful integration. Originality/value By capturing the lived experiences of teacher educators, this stu</w:t>
      </w:r>
    </w:p>
    <w:p>
      <w:pPr/>
      <w:r>
        <w:rPr>
          <w:b/>
        </w:rPr>
        <w:t>POSSIBLE 2025:</w:t>
      </w:r>
      <w:r>
        <w:t xml:space="preserve"> Contextualizing inequalities in the gig economy: evidence from online cleaning platforms in five European cities — https://doi.org/10.1108/ijssp-12-2024-0619</w:t>
      </w:r>
    </w:p>
    <w:p>
      <w:pPr/>
      <w:r>
        <w:rPr>
          <w:b/>
        </w:rPr>
        <w:t>Shared claim-specific concepts:</w:t>
      </w:r>
      <w:r>
        <w:t xml:space="preserve"> based, findings, five, focus; EU scope visible. This is a provisional connection, not an outcome finding.</w:t>
      </w:r>
    </w:p>
    <w:p>
      <w:pPr>
        <w:pStyle w:val="SourceNote"/>
      </w:pPr>
      <w:r>
        <w:rPr>
          <w:b/>
        </w:rPr>
        <w:t>Available abstract (not full text):</w:t>
      </w:r>
      <w:r>
        <w:t xml:space="preserve"> Purpose This paper explores the impact of national contexts on the profile of workers in the gig economy, with a specific focus on online cleaning platforms. The study aims to understand how national contexts influence the gender and ethnic composition of workers on domestic cleaning platforms, examining the intersectional effects of gender and ethnicity in platform-based work. Design/methodology/approach Focusing on the case of the Yoopies platform operating in five Western European cities – Berlin, Copenhagen, Paris, Rome and Stockholm – this exploratory research is based on an original dataset that combines platform-based data directly collected from Yoopies with national-level data provided by Eurostat. Hypotheses were tested using simple correlation analysis to assess cross-country differences. Findings The study shows that national contexts play an important role in shaping the gender and ethnic composition of workers on online cleaning platforms. Specifically, it identifies how structural features of the offline labor market influence the gendering and racialization of these platforms, highlighting variations across countries. The research also finds evidence of intersectional effects, where gender and ethnicity intersect to shape the profile of platform workers. Originality/value This paper contributes to the growing literature on domestic work in the digital platform e</w:t>
      </w:r>
    </w:p>
    <w:p>
      <w:pPr/>
      <w:r>
        <w:rPr>
          <w:b/>
        </w:rPr>
        <w:t>POSSIBLE 2025:</w:t>
      </w:r>
      <w:r>
        <w:t xml:space="preserve"> Community versus institutionalised care for people with severe mental illness in five countries in Southeast Europe: pooled analysis of five randomised trials — https://doi.org/10.1136/bmjgh-2024-018594</w:t>
      </w:r>
    </w:p>
    <w:p>
      <w:pPr/>
      <w:r>
        <w:rPr>
          <w:b/>
        </w:rPr>
        <w:t>Shared claim-specific concepts:</w:t>
      </w:r>
      <w:r>
        <w:t xml:space="preserve"> based, findings, five, full, improving; EU scope visible. This is a provisional connection, not an outcome finding.</w:t>
      </w:r>
    </w:p>
    <w:p>
      <w:pPr>
        <w:pStyle w:val="SourceNote"/>
      </w:pPr>
      <w:r>
        <w:rPr>
          <w:b/>
        </w:rPr>
        <w:t>Available abstract (not full text):</w:t>
      </w:r>
      <w:r>
        <w:t xml:space="preserve"> BACKGROUND: The RECOVER-E project implemented community-based mental healthcare (CMH) oriented at functional recovery in people with schizophrenia, bipolar and severe major depressive disorder in five countries: Bulgaria, Croatia, Montenegro, North Macedonia and Romania, with the aim to shift care from institutions to communities. OBJECTIVE: To evaluate the effectiveness of CMH under real-world circumstances across various healthcare ecologies and contexts. METHODS: A randomised comparison of CMH versus treatment as usual (TAU) based on pooled data from all five RECOVER-E trials (N=931). Outcomes were personal and social role functioning (WHO Disability Assessment Schedule, WHODAS 2.0) and health-related quality of life (EuroQoL-5 Dimensions-3 Levels) at baseline, 12 and 18 months postbaseline. Intention-to-treat analysis was conducted with mixed modelling and a sensitivity analysis adjusted for the impact of COVID-19 on healthcare delivery and outcomes. FINDINGS: At 18-month follow-up, CMH had a 4.55 lower WHODAS disability score than TAU, which was significant (b=-4.55, SE=1.21, z=-3.75, p&lt;0.001), and improved quality of life by 0.07 utility (b=0.07, SE=0.014, z=4.56, p&lt;0.001) equivalent to an additional 25 days in full health. Similar effects were observed in each of the five countries and for all WHODAS subdomains (cognition, mobility, self-care, getting along with people, </w:t>
      </w:r>
    </w:p>
    <w:p>
      <w:pPr/>
      <w:r>
        <w:rPr>
          <w:b/>
        </w:rPr>
        <w:t>POSSIBLE 2025:</w:t>
      </w:r>
      <w:r>
        <w:t xml:space="preserve"> Regional Strategies for PV-Based Sustainable Energy in GCC and Europe — https://doi.org/10.31875/2410-2199.2025.12.09</w:t>
      </w:r>
    </w:p>
    <w:p>
      <w:pPr/>
      <w:r>
        <w:rPr>
          <w:b/>
        </w:rPr>
        <w:t>Shared claim-specific concepts:</w:t>
      </w:r>
      <w:r>
        <w:t xml:space="preserve"> based, making, efficiency; EU scope visible. This is a provisional connection, not an outcome finding.</w:t>
      </w:r>
    </w:p>
    <w:p>
      <w:pPr>
        <w:pStyle w:val="SourceNote"/>
      </w:pPr>
      <w:r>
        <w:rPr>
          <w:b/>
        </w:rPr>
        <w:t>Available abstract (not full text):</w:t>
      </w:r>
      <w:r>
        <w:t xml:space="preserve"> This study analyzes the feasibility of the production of solar power as a sustainable solution to the climate and energy crisis, focusing on two areas in particular: the Gulf Cooperation Council countries and Europe. Focused attention goes to emerging economies in analyzing how solar power can aid in reducing carbon dioxide emissions and attaining sustainable development. Comparative analysis is performed for the GCC region and Europe on the basis of unique solar system design ability and the performance of photovoltaic (PV) systems, taking into account realistic environmental and working parameters. In this comparative design research, mathematical equations were applied to determine the number of required solar panels to achieve determined energy efficiency in both regions. A novel mathematical modeling approach was designed and presented as new equations to achieve a correct estimate of the quantity of PV panels required from the energy requirement and a parameter called the Power Generation Factor (PGF). The practical design approach employed in the present work synchronizes the technical aspects of electrical system design with broader sustainable development goals, particularly for developing nations. By creating new mathematical equations for estimating how many PV panels would be necessary based on desired energy yields and incorporating the PGF, the study underscores t</w:t>
      </w:r>
    </w:p>
    <w:p>
      <w:pPr/>
      <w:r>
        <w:rPr>
          <w:b/>
        </w:rPr>
        <w:t>POSSIBLE 2025:</w:t>
      </w:r>
      <w:r>
        <w:t xml:space="preserve"> Community-based interventions for management of antimicrobial resistance in Europe: a systematic review — https://doi.org/10.1093/eurpub/ckaf257</w:t>
      </w:r>
    </w:p>
    <w:p>
      <w:pPr/>
      <w:r>
        <w:rPr>
          <w:b/>
        </w:rPr>
        <w:t>Shared claim-specific concepts:</w:t>
      </w:r>
      <w:r>
        <w:t xml:space="preserve"> findings, but, however, increased; EU scope visible. This is a provisional connection, not an outcome finding.</w:t>
      </w:r>
    </w:p>
    <w:p>
      <w:pPr>
        <w:pStyle w:val="SourceNote"/>
      </w:pPr>
      <w:r>
        <w:rPr>
          <w:b/>
        </w:rPr>
        <w:t>Available abstract (not full text):</w:t>
      </w:r>
      <w:r>
        <w:t xml:space="preserve"> Antimicrobial resistance (AMR) is a growing global health problem. Several public interventions have been designed to increase AMR knowledge and awareness. This review assesses the availability and effectiveness of community-based AMR interventions in Europe. Four databases-Medline (OVID), Pubmed, Scopus, Web of Science- and grey literature were searched for AMR interventions in community settings in Europe between 2000 and 2024. Studies reporting empirical findings in English were considered. A narrative synthesis was performed, and findings were presented in text and tables. Forty-nine studies were eligible for inclusion from 14 European countries. Interventions were primarily educational to raise awareness, targeting individuals, small groups, or the general public through mass campaigns, school-based programmes, online games, and pledges. Some interventions also monitored adherence, consumption, and doctor consultation. The majority of interventions reported increased knowledge and awareness of antibiotics and AMR; reduced antibiotic prescription, purchase, use, and non-compliance; reduced respiratory incidence and doctor consultations, and increased overall adherence. Fluctuations in knowledge over time were observed, but evidence was insufficient to analyse the long-term sustainability of outcomes of the interventions. Our findings show that community-based interventions </w:t>
      </w:r>
    </w:p>
    <w:p>
      <w:pPr>
        <w:pStyle w:val="Heading2"/>
      </w:pPr>
      <w:r>
        <w:t>629. The Role of BECCS in Achieving Climate Neutrality in the European Union</w:t>
      </w:r>
    </w:p>
    <w:p>
      <w:pPr>
        <w:pStyle w:val="SourceNote"/>
      </w:pPr>
      <w:r>
        <w:rPr>
          <w:b/>
        </w:rPr>
        <w:t>Original source (2021):</w:t>
      </w:r>
      <w:r>
        <w:t xml:space="preserve"> https://doi.org/10.3390/en14237842</w:t>
      </w:r>
    </w:p>
    <w:p>
      <w:pPr/>
      <w:r>
        <w:t>Original wording (abstract; indexed_source_text_not_full_document_verified): The achievement of climate neutrality in the European Union by 2050 will not be possible solely through a reduction in fossil fuels and the development of energy generation from renewable sources. The modelling results confirm the key role of BECCS technology in achieving EU climate goals by 2050.</w:t>
      </w:r>
    </w:p>
    <w:p>
      <w:pPr/>
      <w:r>
        <w:rPr>
          <w:b/>
        </w:rPr>
        <w:t>POSSIBLE 2025:</w:t>
      </w:r>
      <w:r>
        <w:t xml:space="preserve"> Cluster Analysis of the Transition to Climate Neutrality in the European Union — https://doi.org/10.1002/sd.70064</w:t>
      </w:r>
    </w:p>
    <w:p>
      <w:pPr/>
      <w:r>
        <w:rPr>
          <w:b/>
        </w:rPr>
        <w:t>Shared claim-specific concepts:</w:t>
      </w:r>
      <w:r>
        <w:t xml:space="preserve"> climate, neutrality, union, energy, key, achieving;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How far is the way to climate neutrality in Romanian cities — https://doi.org/10.1109/upec65436.2025.11279727</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Achieving climate neutrality at the urban level represents one of the most complex transformations of the 21st century, requiring a systemic shift in energy production, consumption, and governance models. This paper provides an integrated assessment of the progress made by Romanian cities toward climate neutrality, with a focus on the period up to 2020 and the subsequent planning frameworks adopted thereafter. Based on the analysis of local energy plans and greenhouse gas emissions inventories, the study highlights both the achievements and limitations of the Sustainable Energy and Climate Action Plans (SECAPs), as well as the transition toward City Climate Contracts (CCCs) under the European Union’s Climate-Neutral and Smart Cities Mission.The analysis reveals a heterogeneous but traceable pathway of urban decarbonization, supported by early investments in building energy efficiency, public lighting modernization, and low-emission mobility systems. Unexpected positive contributions from the national power system and multifamily residential buildings are also identified, reflecting the interplay between top-down policy measures and bottom-up community-level dynamics in the energy transition process. The study introduces a set of operational indicators for tracking progress and assesses the financial and institutional feasibility of investment scenarios through 2030. While a hig</w:t>
      </w:r>
    </w:p>
    <w:p>
      <w:pPr/>
      <w:r>
        <w:rPr>
          <w:b/>
        </w:rPr>
        <w:t>POSSIBLE 2025:</w:t>
      </w:r>
      <w:r>
        <w:t xml:space="preserve"> Energy Storage Requirements for Achieving Climate Neutrality: An Italian Case Study — https://doi.org/10.1109/iccep65222.2025.11143702</w:t>
      </w:r>
    </w:p>
    <w:p>
      <w:pPr/>
      <w:r>
        <w:rPr>
          <w:b/>
        </w:rPr>
        <w:t>Shared claim-specific concepts:</w:t>
      </w:r>
      <w:r>
        <w:t xml:space="preserve"> achievement, climate, neutrality, energy, renewable, sources; EU scope visible. This is a provisional connection, not an outcome finding.</w:t>
      </w:r>
    </w:p>
    <w:p>
      <w:pPr>
        <w:pStyle w:val="SourceNote"/>
      </w:pPr>
      <w:r>
        <w:rPr>
          <w:b/>
        </w:rPr>
        <w:t>Available abstract (not full text):</w:t>
      </w:r>
      <w:r>
        <w:t xml:space="preserve"> Achieving climate neutrality before 2050 is a central objective of the European Green Deal. This transition involves phasing out non-renewable power plants and installing numerous renewable energy sources, resulting in non-dispatchable and intermittent energy production. Additionally, the transition entails an increase in energy consumption due to greater electrification, particularly in the heating and mobility sectors. In this context, there may be a growing need for the deployment of energy storage systems. This paper proposes a methodology to optimize the required capacity of energy storage systems to support the achievement of climate neutrality. The methodology is then applied to the case of the Province of Bolzano.</w:t>
      </w:r>
    </w:p>
    <w:p>
      <w:pPr/>
      <w:r>
        <w:rPr>
          <w:b/>
        </w:rPr>
        <w:t>POSSIBLE 2025:</w:t>
      </w:r>
      <w:r>
        <w:t xml:space="preserve"> CLIMATE NEUTRALITY IN THE EUROPEAN UNION: LEGAL CHALLENGES AND NATIONAL STRATEGIES — https://doi.org/10.17721/apmv.2025.163.1.78-85</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The article analyzes the climate policy of the European Union and its members, in particular in the context of the goal of achieving climate neutrality by 2050, enshrined in the European Climate Law. Based on a comparative analysis of the legal strategies of the EU states, national approaches to the implementation of obligations to achieve climate neutrality, the level of their legal certainty, as well as the ambition of the established time horizons are outlined. the nature of the goal of climate neutrality as a normative category, as well as the issues of the effectiveness of the implementation of international obligations. An interdisciplinary assessment of the potential of legal instruments in the context of a just energy transition is proposed.</w:t>
      </w:r>
    </w:p>
    <w:p>
      <w:pPr/>
      <w:r>
        <w:rPr>
          <w:b/>
        </w:rPr>
        <w:t>POSSIBLE 2025:</w:t>
      </w:r>
      <w:r>
        <w:t xml:space="preserve"> Strategizing for Climate Neutrality. How to Make Social Innovation Relevant in the City’s Journey to Climate Neutrality — https://doi.org/10.1007/978-3-031-87726-1_3</w:t>
      </w:r>
    </w:p>
    <w:p>
      <w:pPr/>
      <w:r>
        <w:rPr>
          <w:b/>
        </w:rPr>
        <w:t>Shared claim-specific concepts:</w:t>
      </w:r>
      <w:r>
        <w:t xml:space="preserve"> climate, neutrality, union, key, role; EU scope visible. This is a provisional connection, not an outcome finding.</w:t>
      </w:r>
    </w:p>
    <w:p>
      <w:pPr>
        <w:pStyle w:val="SourceNote"/>
      </w:pPr>
      <w:r>
        <w:rPr>
          <w:b/>
        </w:rPr>
        <w:t>Available abstract (not full text):</w:t>
      </w:r>
      <w:r>
        <w:t xml:space="preserve"> Abstract This chapter explores the imperative for cities to accelerate their journey towards climate neutrality through social innovation and systemic transformation. It begins by contextualizing the challenge within the European Union’s “100 Climate-Neutral and Smart Cities by 2030” Mission, emphasizing the need for collaborative governance and creative approaches to city planning. Key practices for sustainability action planning are outlined, including the establishment of Transition Teams, development of portfolios of actions, mobilisation of cross-sectoral ecosystems, and iterative planning processes. The chapter further introduces the Climate Transition Map as a tool to guide cities through their transition journey. Additionally, it discusses the importance of learning and capability building for embedding sustainability and social innovation in city practices, highlighting the need for facilitating continuous learning and reflection for informing innovation towards sustainable practices. Finally, it addresses the evolving nature of sustainable transitions and the need for transformative policies, innovative approaches, and agile structures to achieve systemic transformation. Throughout, the chapter emphasizes the central role of social innovation in empowering collective action towards climate neutrality, as a crucial aspect of sustainability transitions beyond technologi</w:t>
      </w:r>
    </w:p>
    <w:p>
      <w:pPr/>
      <w:r>
        <w:rPr>
          <w:b/>
        </w:rPr>
        <w:t>POSSIBLE 2025:</w:t>
      </w:r>
      <w:r>
        <w:t xml:space="preserve"> CLIMATE POLICY OF UKRAINE IN THE CONTEXT OF EUROPEAN INTEGRATION — https://doi.org/10.29038/2524-2679-2025-01-180-197</w:t>
      </w:r>
    </w:p>
    <w:p>
      <w:pPr/>
      <w:r>
        <w:rPr>
          <w:b/>
        </w:rPr>
        <w:t>Shared claim-specific concepts:</w:t>
      </w:r>
      <w:r>
        <w:t xml:space="preserve"> climate, neutrality, union, energy, renewable, sources; EU scope visible. This is a provisional connection, not an outcome finding.</w:t>
      </w:r>
    </w:p>
    <w:p>
      <w:pPr>
        <w:pStyle w:val="SourceNote"/>
      </w:pPr>
      <w:r>
        <w:rPr>
          <w:b/>
        </w:rPr>
        <w:t>Available abstract (not full text):</w:t>
      </w:r>
      <w:r>
        <w:t xml:space="preserve"> The article examines the main stages of the development of Ukraine’s climate policy with an emphasis on the integration of environmental standards of the European Union, including obligations under the Paris Agreement and the Euro- pean Green Deal (EGD). The author analyzes the political and legal frameworks introduced in 2015 and identifies Ukraine’s achievements on the way to environ- mental sustainability and the challenges associated with their implementation in wartime. The main focus is on institutional reforms and Ukraine’s strategic climate goals. The article outlines the transition to climate neutrality by 2060 and strategies for increasing energy efficiency and using renewable energy sources, particularly in agriculture and industry. The author emphasizes the contribution of the Ukraine-EU Association Agreement to the improvement of the national legal framework, which encourages Ukraine to implement European directives in the field of climate. It also emphasizes the destructive impact of the Russian- Ukrainian war on the country’s ecological situation, which led to massive pol- lution and challenges for environmental restoration. The author emphasizes the importance of international support for implementing recovery and decarboniza- tion measures in the post-war period. Particular emphasis is placed on the role of Ukrainian civil society and international partners in </w:t>
      </w:r>
    </w:p>
    <w:p>
      <w:pPr/>
      <w:r>
        <w:rPr>
          <w:b/>
        </w:rPr>
        <w:t>POSSIBLE 2025:</w:t>
      </w:r>
      <w:r>
        <w:t xml:space="preserve"> Pre-Harvest Aflatoxin Contamination in Crops and Climate Change Factors: A European Overview — https://doi.org/10.3390/toxins17070344</w:t>
      </w:r>
    </w:p>
    <w:p>
      <w:pPr/>
      <w:r>
        <w:rPr>
          <w:b/>
        </w:rPr>
        <w:t>Shared claim-specific concepts:</w:t>
      </w:r>
      <w:r>
        <w:t xml:space="preserve"> climate, key; EU scope visible. This is a provisional connection, not an outcome finding.</w:t>
      </w:r>
    </w:p>
    <w:p>
      <w:pPr>
        <w:pStyle w:val="SourceNote"/>
      </w:pPr>
      <w:r>
        <w:rPr>
          <w:b/>
        </w:rPr>
        <w:t>Available abstract (not full text):</w:t>
      </w:r>
      <w:r>
        <w:t xml:space="preserve"> Aflatoxin (AF) contamination of crops during the pre-harvest period is a significant global concern for food and feed safety (FFS). In Europe, climate change presents a growing threat to agricultural products by increasing the risk of AF contamination. This umbrella review evaluates the scope and quality of pre-harvest data on climate-related AF contamination in Europe, addressing key questions: What insights do researchers provide on the relationship between climate change and pre-harvest AF contamination, and what data are lacking? Which crops are the focus of current research, and where in Europe are these studies concentrated? How is the data presented, and is it standardized? We conducted an umbrella literature review, extracting relevant studies from PubMed and Scopus up to 14 October 2024. Our findings indicate that rising temperatures, droughts, and shifting rainfall patterns increasingly favor the growth of aflatoxigenic fungi and pre-harvest AF contamination in European crops, posing risks to FFS and agricultural stability. However, inconsistencies in data collection and reporting limit cross-regional comparisons and hinder the development of effective mitigation strategies. Standardizing methodologies and improving data accessibility will enhance predictive modeling, strengthen risk assessments, and support targeted adaptation efforts, providing actionable insights f</w:t>
      </w:r>
    </w:p>
    <w:p>
      <w:pPr/>
      <w:r>
        <w:rPr>
          <w:b/>
        </w:rPr>
        <w:t>POSSIBLE 2025:</w:t>
      </w:r>
      <w:r>
        <w:t xml:space="preserve"> Female Directors, Family Firms, Climate Talk and Climate Walk: European Evidence — https://doi.org/10.1002/bse.4348</w:t>
      </w:r>
    </w:p>
    <w:p>
      <w:pPr/>
      <w:r>
        <w:rPr>
          <w:b/>
        </w:rPr>
        <w:t>Shared claim-specific concepts:</w:t>
      </w:r>
      <w:r>
        <w:t xml:space="preserve"> climate, not, reduction, role; EU scope visible. This is a provisional connection, not an outcome finding.</w:t>
      </w:r>
    </w:p>
    <w:p>
      <w:pPr>
        <w:pStyle w:val="SourceNote"/>
      </w:pPr>
      <w:r>
        <w:rPr>
          <w:b/>
        </w:rPr>
        <w:t>Available abstract (not full text):</w:t>
      </w:r>
      <w:r>
        <w:t xml:space="preserve"> ABSTRACT Growing attention is attributed to symbolic and substantive climate efforts, labelled as climate talk and walk. Focusing on the European capital market, we study the relationship between board gender diversity, family ownership and different levels of corporate climate activities along the continuum from climate talk to climate walk. Using emission reduction target data from the Carbon Disclosure Project (CDP), we conduct various panel regression analyses and propose several additional robustness tests. Our results extend prior research on carbon performance and reporting by providing novel insights into how firms translate their climate ambitions into actionable targets and how they subsequently deliver on those targets. This study stresses that firms with gender‐diverse boards engage more in symbolic climate talk but not in substantive climate walk. Empirical evidence on the family ownership impact is mixed. Overall, family ownership tends to exhibit a negative association with climate actions, although the effect depends on the ownership concentration threshold and varies with family management. Our results also indicate that female directors mitigate the negative direct consequences of family ownership for climate actions. Our study contributes to the ongoing discourse regarding symbolic and substantive climate efforts among European businesses and sheds light on t</w:t>
      </w:r>
    </w:p>
    <w:p>
      <w:pPr/>
      <w:r>
        <w:rPr>
          <w:b/>
        </w:rPr>
        <w:t>POSSIBLE 2024:</w:t>
      </w:r>
      <w:r>
        <w:t xml:space="preserve"> CLIMATE NEUTRALITY: CONTEMPORARY CHALLENGES FOR EUROPEAN POLICY — https://doi.org/10.17721/1728-2292.2024/1-58/33-40</w:t>
      </w:r>
    </w:p>
    <w:p>
      <w:pPr/>
      <w:r>
        <w:rPr>
          <w:b/>
        </w:rPr>
        <w:t>Shared claim-specific concepts:</w:t>
      </w:r>
      <w:r>
        <w:t xml:space="preserve"> achievement, climate, neutrality, union, not, possible; EU scope visible. This is a provisional connection, not an outcome finding.</w:t>
      </w:r>
    </w:p>
    <w:p>
      <w:pPr>
        <w:pStyle w:val="SourceNote"/>
      </w:pPr>
      <w:r>
        <w:rPr>
          <w:b/>
        </w:rPr>
        <w:t>Available abstract (not full text):</w:t>
      </w:r>
      <w:r>
        <w:t xml:space="preserve"> B a c k g r o u n d .The article examines issues related to challenges to European climate neutrality, which have arisen before the European Union due to Russian armed aggression in Ukraine. The authors emphasize that the European Union has set an ambitious goal of becoming the world's first climate-neutral continent. The implementation of these plans requires a coordinated position not only of the member states, but also of the EU partners. Russia's military aggression against Ukraine may affect the achievement of European climate goals, as this conflict is accompanied by a significant impact on the environment. The authors set a goal to analyze how the Russian military invasion of Ukraine can affect the achievement of climate neutrality. To achieve the goal, the following research tasks were defined, in particular, to characterize the basic principles of the strategy and tools of the EU climate policy, to show the impact of Russian aggression on the ecology of the EU, to determine whether the topic of the environmental consequences of Russian aggression in Ukraine is relevant for the European public, and to assess how Russian armed aggression can influence the achievement of the goals of European climate neutrality. M e t h o d s .The following methods were used: discursive analysis, the analysis of the documents, analysis and synthesis, comparative method, content analysis.R</w:t>
      </w:r>
    </w:p>
    <w:p>
      <w:pPr/>
      <w:r>
        <w:rPr>
          <w:b/>
        </w:rPr>
        <w:t>POSSIBLE 2024:</w:t>
      </w:r>
      <w:r>
        <w:t xml:space="preserve"> Visions for climate neutrality and opportunities for co-learning in European cities — https://doi.org/10.1016/j.rser.2024.114315</w:t>
      </w:r>
    </w:p>
    <w:p>
      <w:pPr/>
      <w:r>
        <w:rPr>
          <w:b/>
        </w:rPr>
        <w:t>Shared claim-specific concepts:</w:t>
      </w:r>
      <w:r>
        <w:t xml:space="preserve"> climate, neutrality, possible; EU scope visible. This is a provisional connection, not an outcome finding.</w:t>
      </w:r>
    </w:p>
    <w:p>
      <w:pPr>
        <w:pStyle w:val="SourceNote"/>
      </w:pPr>
      <w:r>
        <w:rPr>
          <w:b/>
        </w:rPr>
        <w:t>Available abstract (not full text):</w:t>
      </w:r>
      <w:r>
        <w:t xml:space="preserve"> Cities represent unique spaces for climate mitigation where wide-ranging action to reduce emissions meets ambition and collaboration. This research work distils climate neutrality narratives for 362 cities that expressed interest in the European Mission on 100 Climate-Neutral and Smart Cities and focuses on the 112 cities selected to spearhead the process of reaching climate neutrality by 2030 (representing a mitigation potential of 318.3 megatonnes of carbon dioxide equivalent emissions). The method involves steps that profile the characteristics of these cities, enunciate cross-cutting patterns in cities’ visions by thematic groupings, and compare 14 contextual factors with 77 possible main barriers. There are both similarities and differences among the results as a basis for learning together and certain barriers can be relatively more dominant in some thematic groupings, such as fragmentation of responsibilities. As a synthesis of the main findings, the original analyses are used to derive and prioritise nine high-level recommendations based on the cities' visions, contextual factors, and expected main barriers. Opportunities for mobilising transformative change relate to transforming siloed into integrated approaches, inclusive climate governance and collaborations, innovative financing, welfare and just transition as well as planning, implementation, and policy coherence.</w:t>
      </w:r>
    </w:p>
    <w:p>
      <w:pPr/>
      <w:r>
        <w:rPr>
          <w:b/>
        </w:rPr>
        <w:t>POSSIBLE 2024:</w:t>
      </w:r>
      <w:r>
        <w:t xml:space="preserve"> Studying Regional Disparities at European Level with a View to Achieving Climate Neutrality Objectives — https://doi.org/10.35219/eai15840409463</w:t>
      </w:r>
    </w:p>
    <w:p>
      <w:pPr/>
      <w:r>
        <w:rPr>
          <w:b/>
        </w:rPr>
        <w:t>Shared claim-specific concepts:</w:t>
      </w:r>
      <w:r>
        <w:t xml:space="preserve"> climate, neutrality, union, energy, achieving; EU scope visible. This is a provisional connection, not an outcome finding.</w:t>
      </w:r>
    </w:p>
    <w:p>
      <w:pPr>
        <w:pStyle w:val="SourceNote"/>
      </w:pPr>
      <w:r>
        <w:rPr>
          <w:b/>
        </w:rPr>
        <w:t>Available abstract (not full text):</w:t>
      </w:r>
      <w:r>
        <w:t xml:space="preserve"> The European Green Deal was implemented in order to ensure climate neutrality objectives for Horizon 2030, to ensure economic growth decoupled from the use of natural resources and for a fair and inclusive transition.In this context, including against the backdrop of multiple energy, economic, environmental, climate change and biodiversity loss crises, we propose to carry out an extended analysis of the impact of the Green Deal on regional economic development at European level.The study will highlight the main achievements of the European regional policy in the perspective of the European Green Deal and will determine on the basis of a cluster analysis the level of regional disparity by analyzing the main Green Deal indicators.The analysis will allow to highlight the main effects of the implementation of the European Green Deal from the perspective of the transition towards climate neutrality and the effects of these measures at European level.Regional disparities will also be assessed on the basis of cluster analysis of the evolution of the main indicators on environmental protection, energy security and sustainable economic growth.The results of the study will be useful to supranational decision-makers in the European Union for the adjustment of public policies for balanced economic development at EU level in the light of the Green Deal commitments undertaken for the 2030 ho</w:t>
      </w:r>
    </w:p>
    <w:p>
      <w:pPr/>
      <w:r>
        <w:rPr>
          <w:b/>
        </w:rPr>
        <w:t>POSSIBLE 2024:</w:t>
      </w:r>
      <w:r>
        <w:t xml:space="preserve"> MODIFICATION OF ECONOMIC DEPENDENCE AND ACHIEVEMENT OF CLIMATE NEUTRALITY AT THE CROSSROAD — https://doi.org/10.46299/979-8-89504-809-2</w:t>
      </w:r>
    </w:p>
    <w:p>
      <w:pPr/>
      <w:r>
        <w:rPr>
          <w:b/>
        </w:rPr>
        <w:t>Shared claim-specific concepts:</w:t>
      </w:r>
      <w:r>
        <w:t xml:space="preserve"> achievement, climate, neutrality; EU scope not established. This is a provisional connection, not an outcome finding.</w:t>
      </w:r>
    </w:p>
    <w:p>
      <w:pPr>
        <w:pStyle w:val="SourceNote"/>
      </w:pPr>
      <w:r>
        <w:rPr>
          <w:b/>
        </w:rPr>
        <w:t>Available abstract (not full text):</w:t>
      </w:r>
      <w:r>
        <w:t xml:space="preserve"> All rights reserved. Printed in the United States of America. No part of this publication may be reproduced, distributed, or transmitted, in any form or by any means, or stored in a data base or retrieval system, without the prior written permission of the publisher. The content and reliability of the articles are the responsibility of the authors. When using and borrowing materials reference to the publication is required.</w:t>
      </w:r>
    </w:p>
    <w:p>
      <w:pPr>
        <w:pStyle w:val="Heading2"/>
      </w:pPr>
      <w:r>
        <w:t>630. The Selection of Intermodal Transport System Scenarios in the Function of Southeastern Europe Regional Development</w:t>
      </w:r>
    </w:p>
    <w:p>
      <w:pPr>
        <w:pStyle w:val="SourceNote"/>
      </w:pPr>
      <w:r>
        <w:rPr>
          <w:b/>
        </w:rPr>
        <w:t>Original source (2021):</w:t>
      </w:r>
      <w:r>
        <w:t xml:space="preserve"> https://doi.org/10.3390/su13105590</w:t>
      </w:r>
    </w:p>
    <w:p>
      <w:pPr/>
      <w:r>
        <w:t>Original wording (abstract; indexed_source_text_not_full_document_verified): Six different potential scenarios that differ in the network configuration, the required level of logistics infrastructure development, the role of different IT terminal categories, the involvement of different transportation modes, and goods flows’ transformation degree, are defined.</w:t>
      </w:r>
    </w:p>
    <w:p>
      <w:pPr/>
      <w:r>
        <w:rPr>
          <w:b/>
        </w:rPr>
        <w:t>POSSIBLE 2026:</w:t>
      </w:r>
      <w:r>
        <w:t xml:space="preserve"> Assessing the effects of restoration and conservation on gaseous carbon fluxes and climate mitigation potential across six European coastal wetlands — https://doi.org/10.1016/j.ecoleng.2026.108080</w:t>
      </w:r>
    </w:p>
    <w:p>
      <w:pPr/>
      <w:r>
        <w:rPr>
          <w:b/>
        </w:rPr>
        <w:t>Shared claim-specific concepts:</w:t>
      </w:r>
      <w:r>
        <w:t xml:space="preserve"> six, different, potential, role; EU scope visible. This is a provisional connection, not an outcome finding.</w:t>
      </w:r>
    </w:p>
    <w:p>
      <w:pPr>
        <w:pStyle w:val="SourceNote"/>
      </w:pPr>
      <w:r>
        <w:rPr>
          <w:b/>
        </w:rPr>
        <w:t>Available abstract (not full text):</w:t>
      </w:r>
      <w:r>
        <w:t xml:space="preserve"> Coastal wetlands play a substantial role in regulating Earth's climate through exchanges of greenhouse gases (GHGs). Current European policies promote widespread coastal wetland restoration to reverse historical losses and ongoing pressures. However, substantial uncertainty remains regarding how carbon dioxide (CO 2 ) and methane (CH 4 ) fluxes respond to restoration across different coastal wetland types and whether these responses translate into net climate mitigation in terms of CO 2 equivalents (CO 2 -eq). We measured simultaneous CO 2 and CH 4 fluxes using static chambers across four seasons at multiple locations spanning preserved, altered and restored sites within six European coastal wetlands of different ecological types. By comparing GHG exchanges and resulting CO 2 -eq balances across wetlands, we identified dominant biogeochemical drivers of CO 2 and CH 4 dynamics and assessed the climate mitigation potential of conservation and restoration actions. CO 2 fluxes were primarily controlled by landscape-scale vegetation cover and inundation, whereas CH 4 emissions responded to less evident changes in water quality, salinity and wetland hydrodynamics. Comparisons of CO 2 -eq balances between altered and restored sites showed that seagrass replantation was associated with significant mitigation potential under both 100-year and 20-year CH 4 warming scenarios, while eutrop</w:t>
      </w:r>
    </w:p>
    <w:p>
      <w:pPr/>
      <w:r>
        <w:rPr>
          <w:b/>
        </w:rPr>
        <w:t>POSSIBLE 2026:</w:t>
      </w:r>
      <w:r>
        <w:t xml:space="preserve"> Potential for Expanding Sorghum Production in Europe in the Face of Climate Change — https://doi.org/10.1029/2025ef007503</w:t>
      </w:r>
    </w:p>
    <w:p>
      <w:pPr/>
      <w:r>
        <w:rPr>
          <w:b/>
        </w:rPr>
        <w:t>Shared claim-specific concepts:</w:t>
      </w:r>
      <w:r>
        <w:t xml:space="preserve"> different, potential, level; EU scope visible. This is a provisional connection, not an outcome finding.</w:t>
      </w:r>
    </w:p>
    <w:p>
      <w:pPr>
        <w:pStyle w:val="SourceNote"/>
      </w:pPr>
      <w:r>
        <w:rPr>
          <w:b/>
        </w:rPr>
        <w:t>Available abstract (not full text):</w:t>
      </w:r>
      <w:r>
        <w:t xml:space="preserve"> Abstract Today, sorghum is a minor crop in Europe cultivated on only ~0.1% of the cropland area. Nonetheless, sorghum is of growing interest due to its high heat tolerance compared to other crops and better adaptation to future hot and dry summers. In this study, we investigated the feasibility of expanding sorghum cultivation in Europe under current and future climatic conditions. We also explored the possibility of replacing maize with locally-produced sorghum for feeding livestock. To this end, we developed a machine-learning model that predicts sorghum yields from high-resolution climate data. The model was trained on historical sorghum yield data collected at the county level in France, Italy, Spain, and the USA. Then, we used the model to predict sorghum yields for current and future climate conditions, following different climate change scenarios. In almost all scenarios, sorghum yields decreased by up to -1.5 t ha-1 in the southern part of Europe but increased substantially by up to + 3 t ha-1 in the northern part of Europe by end-of-century. We found that at least 90% of maize currently used to feed livestock could be replaced by sorghum in Europe if grown in one out of three years. These results provide valuable information for improving feed security in Europe in the face of climate change.</w:t>
      </w:r>
    </w:p>
    <w:p>
      <w:pPr/>
      <w:r>
        <w:rPr>
          <w:b/>
        </w:rPr>
        <w:t>POSSIBLE 2026:</w:t>
      </w:r>
      <w:r>
        <w:t xml:space="preserve"> Characterizing clinically recognized hypertrophic cardiomyopathy in six European countries using real-world data — https://doi.org/10.1093/eschf/xvag218</w:t>
      </w:r>
    </w:p>
    <w:p>
      <w:pPr/>
      <w:r>
        <w:rPr>
          <w:b/>
        </w:rPr>
        <w:t>Shared claim-specific concepts:</w:t>
      </w:r>
      <w:r>
        <w:t xml:space="preserve"> six, network, defined; EU scope visible. This is a provisional connection, not an outcome finding.</w:t>
      </w:r>
    </w:p>
    <w:p>
      <w:pPr>
        <w:pStyle w:val="SourceNote"/>
      </w:pPr>
      <w:r>
        <w:rPr>
          <w:b/>
        </w:rPr>
        <w:t>Available abstract (not full text):</w:t>
      </w:r>
      <w:r>
        <w:t xml:space="preserve"> BACKGROUND AND AIMS: Hypertrophic cardiomyopathy (HCM) is the most common inherited cardiomyopathy. However, large-scale epidemiological evidence remains scarce due to challenges in real-world disease recognition. This study aimed to characterize clinically recognized HCM and obstructive HCM (oHCM) across six European countries regarding prevalence, demographics, and clinical characteristics. METHODS: We conducted a retrospective cohort study using routinely collected healthcare data from six European countries, all mapped to the Observational Medical Outcomes Partnership (OMOP) Common Data Model within the DARWIN EU® network: CPRD-GOLD (UK), DK-DHR (Denmark), InGef RDB (Germany), NAJS (Croatia), NLHR (Norway), and SIDIAP (Spain). Clinically recognized HCM was defined based on recorded diagnoses captured in routine healthcare data, rather than on imaging-, haemodynamic-, or genotype-confirmed population screening. Adults (≥18 years) with a first recorded HCM or oHCM diagnosis after 2010 were included. We estimated annual period prevalence and described recorded comorbidities, diagnostic measurements, and treatments before, at, and after diagnosis. RESULTS: Among 40 277 individuals with HCM, 12 363 (31%) were first diagnosed with oHCM. Females were older than males at diagnosis (median 67-78 vs 57-68 years). Annual period prevalence increased over time, ranging from 0.04% (95% C</w:t>
      </w:r>
    </w:p>
    <w:p>
      <w:pPr/>
      <w:r>
        <w:rPr>
          <w:b/>
        </w:rPr>
        <w:t>POSSIBLE 2026:</w:t>
      </w:r>
      <w:r>
        <w:t xml:space="preserve"> European forest carbon and biodiversity policies have a limited win-win potential — https://doi.org/10.1038/s41467-026-68668-x</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Climate change mitigation and biodiversity conservation are key forest functions, but how to pursue them jointly in timber-managed forests is still unclear. We use a Europe-wide dataset of forest multi-taxon diversity and stand structure to (i) evaluate the importance of aboveground carbon stocks in determining species richness of six taxonomic groups; (ii) assess relationships between species richness and carbon stocks; (iii) discuss the potential to jointly enhance carbon and biodiversity and policy implications. Carbon-diversity relationships are positive for several groups, but mostly when deadwood pools are considered. Forest policies should consider the complex relationship between different carbon pools and taxonomic groups. Environmental policies emphasizing carbon sequestration in aboveground living biomass may conflict with biodiversity conservation by promoting homogeneous, fast-growing forests that fail to support species diversity of multiple groups. Sustainable forest management should acknowledge that deadwood carbon instead may translate into positive outcomes for both carbon storage and biodiversity conservation. Forests are essential for both climate change mitigation and biodiversity conservation, yet how to balance these goals in managed forests remains unclear. Here, using a Europe-wide dataset, the authors find that biodiversity increases with carbon stock</w:t>
      </w:r>
    </w:p>
    <w:p>
      <w:pPr/>
      <w:r>
        <w:rPr>
          <w:b/>
        </w:rPr>
        <w:t>POSSIBLE 2025:</w:t>
      </w:r>
      <w:r>
        <w:t xml:space="preserve"> Exploring Different Configurations of Health Determinants in European Countries — https://doi.org/10.1002/wmh3.70011</w:t>
      </w:r>
    </w:p>
    <w:p>
      <w:pPr/>
      <w:r>
        <w:rPr>
          <w:b/>
        </w:rPr>
        <w:t>Shared claim-specific concepts:</w:t>
      </w:r>
      <w:r>
        <w:t xml:space="preserve"> six, different, potential, level; EU scope visible. This is a provisional connection, not an outcome finding.</w:t>
      </w:r>
    </w:p>
    <w:p>
      <w:pPr>
        <w:pStyle w:val="SourceNote"/>
      </w:pPr>
      <w:r>
        <w:rPr>
          <w:b/>
        </w:rPr>
        <w:t>Available abstract (not full text):</w:t>
      </w:r>
      <w:r>
        <w:t xml:space="preserve"> ABSTRACT The macro‐level determinants of health are well documented in the literature. However, the causal interrelations among these health determinants are less comprehensively understood. This study examines the potential causal relationships between health determinants and population health, measured using the Disability Adjusted Life Years (DALY) indicator. Rather than focusing on isolated causal links, this study seeks to identify causal configurations of health determinants contributing to high and low DALY levels. To this end, a fuzzy‐set qualitative comparative analysis (fsQCA) is conducted, allowing for the identification of complex causal patterns across a range of causal conditions for 25 European countries over the period 2000–2019. The findings reveal three configurations associated with high DALY levels and six configurations linked to low DALY values. Low Public health expenditures, GDP per capita, and financial development are critical factors shared by all the configurations leading to a high DALY. Other core conditions for this outcome are low private health expenditures and public debt to GDP ratio (Configurations 1 and 3) and low urbanization (Configurations 1 and 2). For low DALY, high public health expenditures (Configurations 2, 4, 5, and 6), high GDP per capita (Configurations 3, 4, 5, and 6), high financial development (Configurations 1, 2, 3, and 5), </w:t>
      </w:r>
    </w:p>
    <w:p>
      <w:pPr/>
      <w:r>
        <w:rPr>
          <w:b/>
        </w:rPr>
        <w:t>POSSIBLE 2025:</w:t>
      </w:r>
      <w:r>
        <w:t xml:space="preserve"> EuPPollNet : A European Database of Plant‐Pollinator Networks — https://doi.org/10.1111/geb.70000</w:t>
      </w:r>
    </w:p>
    <w:p>
      <w:pPr/>
      <w:r>
        <w:rPr>
          <w:b/>
        </w:rPr>
        <w:t>Shared claim-specific concepts:</w:t>
      </w:r>
      <w:r>
        <w:t xml:space="preserve"> different, level, role; EU scope visible. This is a provisional connection, not an outcome finding.</w:t>
      </w:r>
    </w:p>
    <w:p>
      <w:pPr>
        <w:pStyle w:val="SourceNote"/>
      </w:pPr>
      <w:r>
        <w:rPr>
          <w:b/>
        </w:rPr>
        <w:t>Available abstract (not full text):</w:t>
      </w:r>
      <w:r>
        <w:t xml:space="preserve"> ABSTRACT Motivation Pollinators play a crucial role in maintaining Earth's terrestrial biodiversity. However, rapid human‐induced environmental changes are compromising the long‐term persistence of plant‐pollinator interactions. Unfortunately, we lack robust, generalisable data capturing how plant‐pollinator communities are structured across space and time. Here, we present the EuPPollNet (European Plant‐Pollinator Networks) database, a fully open European‐level database containing harmonised taxonomic data on plant‐pollinator interactions referenced in both space and time, along with other ecological variables of interest. In addition, we evaluate the taxonomic and sampling coverage of EuPPollNet, and summarise key structural properties in plant‐pollinator networks. We believe EuPPollNet will stimulate research to address data gaps in plant‐pollinator interactions and guide future efforts in conservation planning. Main Types of Variables Included EuPPollNet contains 1,162,109 interactions between plants and pollinators from 1864 distinct networks, which belong to 52 different studies distributed across 23 European countries. Information about sampling methodology, habitat type, biogeographic region and additional taxonomic rank information (i.e. order, family, genus and species) is also provided. Spatial Location and Grain The database contains 1214 different sampling location</w:t>
      </w:r>
    </w:p>
    <w:p>
      <w:pPr/>
      <w:r>
        <w:rPr>
          <w:b/>
        </w:rPr>
        <w:t>POSSIBLE 2025:</w:t>
      </w:r>
      <w:r>
        <w:t xml:space="preserve"> Costs and potentials of heat savings in existing buildings in Europe — https://doi.org/10.34726/hss.2025.125160</w:t>
      </w:r>
    </w:p>
    <w:p>
      <w:pPr/>
      <w:r>
        <w:rPr>
          <w:b/>
        </w:rPr>
        <w:t>Shared claim-specific concepts:</w:t>
      </w:r>
      <w:r>
        <w:t xml:space="preserve"> six, different, potential, level, infrastructure; EU scope visible. This is a provisional connection, not an outcome finding.</w:t>
      </w:r>
    </w:p>
    <w:p>
      <w:pPr>
        <w:pStyle w:val="SourceNote"/>
      </w:pPr>
      <w:r>
        <w:rPr>
          <w:b/>
        </w:rPr>
        <w:t>Available abstract (not full text):</w:t>
      </w:r>
      <w:r>
        <w:t xml:space="preserve"> With the objective to reach carbon neutrality in 2050, the European Union (EU) institutionalised the Energy Efficiency First principle (EE1st) in its legislation. For decarbonising the EU’s building stock, which accounts for around a third of current EU-wide energy-related CO2 emissions, this principle means that investments in supply infrastructure should only be considered if demand side efficiency measures are not available or more costly. The aim of this thesis is to provide new insights for the application of the EE1st principle at local, national and EU-level by quantifying costs and potentials for heat savings in buildings together with their sensitivity to various influencing factors.The analyses in this work are based on a bottom-up representation of existing building stocks in the form of building archetypes. Costs for achieving different levels of heat savings in the building stocks are quantified by identifying combinations of thermal renovation packages in different building archetypes within two case studies: an analysis at national level for six countries using a ranking approach, and an analysis at local level for three cities using an optimisation approach. The latter analysis also considers a spatially explicit representation of the buildings and the results. In a third case study different thermal renovation packages are combined with carbon-neutral supply op</w:t>
      </w:r>
    </w:p>
    <w:p>
      <w:pPr/>
      <w:r>
        <w:rPr>
          <w:b/>
        </w:rPr>
        <w:t>POSSIBLE 2025:</w:t>
      </w:r>
      <w:r>
        <w:t xml:space="preserve"> Variation in Cell Wall Composition and Saccharification Potential of Seed‐Based Miscanthus Hybrids Grown on Marginal Lands Across Six European Trial Locations — https://doi.org/10.1111/gcbb.70059</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ABSTRACT Miscanthus breeding programs have focused on developing intraspecific (M. sinensis × M. sinensis) and interspecific (M. sinensis × M. sacchariflorus) seed‐based hybrids with distinct cell wall characteristics for different biomass value chains. Here, we evaluated the performance of 13 novel hybrids (including seed‐based intraspecific, seed‐based interspecific, and one clonally propagated interspecific hybrid) relative to Miscanthus × giganteus (M × g). We compared the cell wall composition, saccharification efficiency, and yield after spring harvests in 2021 and 2022 across six European locations. Cell wall content and composition varied significantly among hybrids and were influenced by environmental conditions, yet differences due to parental background were largely consistent across locations. On average, seed‐based interspecific hybrids (80.6%–84.0% neutral detergent fiber) had a lower total cell wall content than the other hybrids evaluated in this study (88.3%–90.8%). In contrast, cellulose was ~5.5% higher in hybrids with an M. sinensis × M. sacchariflorus background relative to the intraspecific hybrids, while hemicellulose averaged above 34% for intraspecific hybrids, 29.4% to 31.8% in the interspecific hybrids, and below 27% for M × g. Lignin content was highest in M × g (~13.8%), intermediate in the interspecific hybrids (11.0%–12.2%), and lowest in the intr</w:t>
      </w:r>
    </w:p>
    <w:p>
      <w:pPr/>
      <w:r>
        <w:rPr>
          <w:b/>
        </w:rPr>
        <w:t>POSSIBLE 2024:</w:t>
      </w:r>
      <w:r>
        <w:t xml:space="preserve"> Beyond urban farm and community garden, a new typology of urban and peri‐urban agriculture in Europe — https://doi.org/10.1002/uar2.20056</w:t>
      </w:r>
    </w:p>
    <w:p>
      <w:pPr/>
      <w:r>
        <w:rPr>
          <w:b/>
        </w:rPr>
        <w:t>Shared claim-specific concepts:</w:t>
      </w:r>
      <w:r>
        <w:t xml:space="preserve"> six, different, potential; EU scope visible. This is a provisional connection, not an outcome finding.</w:t>
      </w:r>
    </w:p>
    <w:p>
      <w:pPr>
        <w:pStyle w:val="SourceNote"/>
      </w:pPr>
      <w:r>
        <w:rPr>
          <w:b/>
        </w:rPr>
        <w:t>Available abstract (not full text):</w:t>
      </w:r>
      <w:r>
        <w:t xml:space="preserve"> Abstract Today, many cites in Europe have rediscovered urban and peri‐urban agriculture (UA) as a contributor to a more healthy and sustainable urban environment. However, UA has not yet unfolded its potential due to gaps in knowledge, expertise, and advocacy. A clear typology is instrumental in identifying, understanding, and acknowledging the potential of UA at different levels of policy making. Although a number of typologies are used in practice and in literature, an overarching typology that steps beyond the local and national perspective, and that includes promising innovations like vertical farming, is lacking. The aim of this paper is to offer such a typology of urban agriculture in Europe. Based on interviews with experts in the field representing 11 European countries ( n = 16) and an online survey on characteristics and dimensions of UA initiatives ( n = 112; representing 18 countries), our typology exists of six different UA types: (1) urban farm, (2) community park, (3) do‐it‐yourself garden/farm, (4) zero acreage farm, (5) social farm, and (6) community garden. Although this paper presents these types as distinctive entities, we stress that a typology is inevitably a simplification of reality, as in real‐life there is an overlap in the proposed types. Moreover, seeing that the field of modern UA is highly dynamic, the typology is only a snapshot of current‐day UA.</w:t>
      </w:r>
    </w:p>
    <w:p>
      <w:pPr/>
      <w:r>
        <w:rPr>
          <w:b/>
        </w:rPr>
        <w:t>POSSIBLE 2024:</w:t>
      </w:r>
      <w:r>
        <w:t xml:space="preserve"> Deciphering the variation in cuticular hydrocarbon profiles of six European honey bee subspecies — https://doi.org/10.1186/s12862-024-02325-z</w:t>
      </w:r>
    </w:p>
    <w:p>
      <w:pPr/>
      <w:r>
        <w:rPr>
          <w:b/>
        </w:rPr>
        <w:t>Shared claim-specific concepts:</w:t>
      </w:r>
      <w:r>
        <w:t xml:space="preserve"> six, different, potential, role; EU scope visible. This is a provisional connection, not an outcome finding.</w:t>
      </w:r>
    </w:p>
    <w:p>
      <w:pPr>
        <w:pStyle w:val="SourceNote"/>
      </w:pPr>
      <w:r>
        <w:rPr>
          <w:b/>
        </w:rPr>
        <w:t>Available abstract (not full text):</w:t>
      </w:r>
      <w:r>
        <w:t xml:space="preserve"> The Western honey bee (Apis mellifera) subspecies exhibit local adaptive traits that evolved in response to the different environments that characterize their native distribution ranges. An important trait is the cuticular hydrocarbon (CHC) profile, which helps to prevent desiccation and mediate communication. We compared the CHC profiles of six European subspecies (A. m. mellifera, A. m. carnica, A. m. ligustica, A. m. macedonica, A. m. iberiensis, and A. m. ruttneri) and investigated potential factors shaping their composition. We did not find evidence of adaptation of the CHC profiles of the subspecies to the climatic conditions in their distribution range. Subspecies-specific differences in CHC composition might be explained by phylogenetic constraints or genetic drift. The CHC profiles of foragers were more subspecies-specific than those of nurse bees, while the latter showed more variation in their CHC profiles, likely due to the lower desiccation stress exerted by the controlled environment inside the hive. The strongest profile differences appeared between nurse bees and foragers among all subspecies, suggesting an adaptation to social task and a role in communication. Foragers also showed an increase in the relative amount of alkanes in their profiles compared to nurses, indicating adaptation to climatic conditions.</w:t>
      </w:r>
    </w:p>
    <w:p>
      <w:pPr/>
      <w:r>
        <w:rPr>
          <w:b/>
        </w:rPr>
        <w:t>POSSIBLE 2024:</w:t>
      </w:r>
      <w:r>
        <w:t xml:space="preserve"> Multifaceted Conscription: A Comparative Study of Six European Countries — https://doi.org/10.31374/sjms.166</w:t>
      </w:r>
    </w:p>
    <w:p>
      <w:pPr/>
      <w:r>
        <w:rPr>
          <w:b/>
        </w:rPr>
        <w:t>Shared claim-specific concepts:</w:t>
      </w:r>
      <w:r>
        <w:t xml:space="preserve"> six, different, differ;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Configurations, dynamics, and temporality: Exploring the social networks of students and their relevance for successful transitions into higher education — https://doi.org/10.1016/j.ijedro.2024.100419</w:t>
      </w:r>
    </w:p>
    <w:p>
      <w:pPr/>
      <w:r>
        <w:rPr>
          <w:b/>
        </w:rPr>
        <w:t>Shared claim-specific concepts:</w:t>
      </w:r>
      <w:r>
        <w:t xml:space="preserve"> network, configuration, role, involvement; EU scope not established. This is a provisional connection, not an outcome finding.</w:t>
      </w:r>
    </w:p>
    <w:p>
      <w:pPr>
        <w:pStyle w:val="SourceNote"/>
      </w:pPr>
      <w:r>
        <w:rPr>
          <w:b/>
        </w:rPr>
        <w:t>Available abstract (not full text):</w:t>
      </w:r>
      <w:r>
        <w:t xml:space="preserve"> This study examines social networks' role in high-achieving students' transitions from upper secondary school to higher education. A specific focus is on the configuration of their social network, its' stability over time, and how the students experience the nature of the relationships in the network. The case study is based on three student cases selected from a pool of 52 students, and the data includes three waves of interviews with students over two years, interviews with a significant other to the students, and a subjective mapping of their social network. Analytical tools are the concepts of cultural and social capital and weak and strong ties . The study shows how social and cultural capital works within a social network, experienced from the students’ perspectives. In addition, we conclude that the transition process is fragile for students with low cultural capital regarding network configurations, significantly when changing fields of interest from upper secondary to tertiary education. Here, the importance of having weak ties is illustrated in terms of the need for field-specific influx for a bridging support role in the transition. The active involvement and reciprocal nature of the relationships are vital, and the strength of the network depends on whether it pertains over time. The results have implications for practice due to the emerging interrupted transitions </w:t>
      </w:r>
    </w:p>
    <w:p>
      <w:pPr>
        <w:pStyle w:val="Heading2"/>
      </w:pPr>
      <w:r>
        <w:t>631. The future of polarisation in Europe: relative cosmopolitanism and democracy</w:t>
      </w:r>
    </w:p>
    <w:p>
      <w:pPr>
        <w:pStyle w:val="SourceNote"/>
      </w:pPr>
      <w:r>
        <w:rPr>
          <w:b/>
        </w:rPr>
        <w:t>Original source (2021):</w:t>
      </w:r>
      <w:r>
        <w:t xml:space="preserve"> https://doi.org/10.1186/s40309-021-00183-2</w:t>
      </w:r>
    </w:p>
    <w:p>
      <w:pPr/>
      <w:r>
        <w:t>Original wording (abstract; indexed_source_text_not_full_document_verified): In this article, after an introductory definition of polarisation, two future scenarios are developed. In the scenario “Polarised Europe”, polarisation is extrapolated into the future and discussed with its serious consequences for the democratic and European consensus.</w:t>
      </w:r>
    </w:p>
    <w:p>
      <w:pPr/>
      <w:r>
        <w:rPr>
          <w:b/>
        </w:rPr>
        <w:t>POSSIBLE 2026:</w:t>
      </w:r>
      <w:r>
        <w:t xml:space="preserve"> Martyrdom and Patience of Saint Eustathius of Mtskheta / Translation from Old Georgian, Introductory Article and Commentaries by N. Nazarov — https://doi.org/10.15407/orientw2026.03.109</w:t>
      </w:r>
    </w:p>
    <w:p>
      <w:pPr/>
      <w:r>
        <w:rPr>
          <w:b/>
        </w:rPr>
        <w:t>Shared claim-specific concepts:</w:t>
      </w:r>
      <w:r>
        <w:t xml:space="preserve"> article, after, introductory; EU scope visible. This is a provisional connection, not an outcome finding.</w:t>
      </w:r>
    </w:p>
    <w:p>
      <w:pPr>
        <w:pStyle w:val="SourceNote"/>
      </w:pPr>
      <w:r>
        <w:rPr>
          <w:b/>
        </w:rPr>
        <w:t>Available abstract (not full text):</w:t>
      </w:r>
      <w:r>
        <w:t xml:space="preserve"> In the publication, a Ukrainian translation of one of the key texts of Old Georgian literature, The Martyrdom and Patience of St. Eustathius of Mtskheta, is presented. It was composed at the turn of the 6th and 7th centuries CE. Despite its relatively small size – approximately fifteen pages – the text is extremely rich in historical, cultural, and religious details and is highly original in terms of its literary form. The narrative concerns a craftsman (a shoemaker), a Persian by origin, who was born into the family of a Zoroastrian priest (a magus). In the thirtieth year of the reign of the Persian king Khosrow I of the Sasanian dynasty (reigned 531–579 CE), he came to Mtskheta and converted to Christianity. However, still being in his native city of Ganzak in north-western Iran he felt interest in Christianity. His apostasy from his fathers’ religion provoked outrage among the Persian colonists, who lodged complaints against him with the Sasanian administration. After interrogations, Eustathius was executed. In the course of interrogations, however, he recounted the story of his conversion, and another narrative is inserted into the story – a catechetical account of the entirety of Holy Scripture, put into the archdeacon’s mouth. Such a framed narrative form is not characteristic of other texts of the same period, whether Old Georgian or the Syriac or Byzantine hagiographies</w:t>
      </w:r>
    </w:p>
    <w:p>
      <w:pPr/>
      <w:r>
        <w:rPr>
          <w:b/>
        </w:rPr>
        <w:t>POSSIBLE 2026:</w:t>
      </w:r>
      <w:r>
        <w:t xml:space="preserve"> Large Interstellar Polarisation Survey — https://doi.org/10.1051/0004-6361/202555848</w:t>
      </w:r>
    </w:p>
    <w:p>
      <w:pPr/>
      <w:r>
        <w:rPr>
          <w:b/>
        </w:rPr>
        <w:t>Shared claim-specific concepts:</w:t>
      </w:r>
      <w:r>
        <w:t xml:space="preserve"> polarisation, two, polarised; EU scope not established. This is a provisional connection, not an outcome finding.</w:t>
      </w:r>
    </w:p>
    <w:p>
      <w:pPr>
        <w:pStyle w:val="SourceNote"/>
      </w:pPr>
      <w:r>
        <w:rPr>
          <w:b/>
        </w:rPr>
        <w:t>Available abstract (not full text):</w:t>
      </w:r>
      <w:r>
        <w:t xml:space="preserve"> Our understanding of dust in the diffuse interstellar medium remains incomplete with regard to the structure, composition, size distribution, and alignment properties of its grains. Joint observations of reddening, starlight polarisation spectra, and polarised dust emission for individual sightlines provide essential constraints on such properties. We studied a far-UV-selected sample of 96 reddening curves, for which optical linear polarisation spectra were obtained with FORS at the VLT as part of the Large Interstellar Polarisation Survey. Starlight polarisation spectra for 60 stars are presented in this work. These data are combined with Gaia distance estimates and Planck thermal dust emission. A three-component dust model is made publicly available. It consists of nanoparticles, amorphous grains, and micrometre-sized dust agglomerates, with varying axial ratios, porosities, sizes, element abundances, and alignment efficiencies that match observations. The diversity of reddening and polarisation spectra is well reproduced by prolate grains with typical axial ratios of two, a porosity of 10%, and high alignment efficiencies. Such efficiencies can be achieved with radiative torque alignment theory but not with imperfect Davis-Greenstein alignment, except when adjusting the magnetic-field orientation to maximise the polarisation. Micrometre-sized dust contributes wavelength-inde</w:t>
      </w:r>
    </w:p>
    <w:p>
      <w:pPr/>
      <w:r>
        <w:rPr>
          <w:b/>
        </w:rPr>
        <w:t>POSSIBLE 2025:</w:t>
      </w:r>
      <w:r>
        <w:t xml:space="preserve"> Polarisation beyond the Pandemic? — https://doi.org/10.17570/stj.2024.v10n1.18</w:t>
      </w:r>
    </w:p>
    <w:p>
      <w:pPr/>
      <w:r>
        <w:rPr>
          <w:b/>
        </w:rPr>
        <w:t>Shared claim-specific concepts:</w:t>
      </w:r>
      <w:r>
        <w:t xml:space="preserve"> article, after, polarisation; EU scope visible. This is a provisional connection, not an outcome finding.</w:t>
      </w:r>
    </w:p>
    <w:p>
      <w:pPr>
        <w:pStyle w:val="SourceNote"/>
      </w:pPr>
      <w:r>
        <w:rPr>
          <w:b/>
        </w:rPr>
        <w:t>Available abstract (not full text):</w:t>
      </w:r>
      <w:r>
        <w:t xml:space="preserve"> After some initial background information on the relation of church and state in the German context, the article examines reactions by churches and other Christian groups in Germany to the Covid-19 containment measures. While representatives of mainline churches focussed on consolation in the crisis and support state measures, a minority of radical voices acted in a polarising way, offering interpretations in terms of spiritual warfare, betrayal of the gospel, and conspiracy theories, and regarding themselves as victims of health policy. It is argued that the Christian tradition is in itself ambiguous and can be used in destructive ways, and that clarification of concepts is a task of public theology. The paper concludes by pointing out opportunities for the contribution of religions to a critical assessment of the handling of this crisis in the state and society.</w:t>
      </w:r>
    </w:p>
    <w:p>
      <w:pPr/>
      <w:r>
        <w:rPr>
          <w:b/>
        </w:rPr>
        <w:t>POSSIBLE 2025:</w:t>
      </w:r>
      <w:r>
        <w:t xml:space="preserve"> Navigating Polarisation Malta’s two-party dynamics in the 2024 EU elections — https://doi.org/10.3917/e.poeu.086.0184</w:t>
      </w:r>
    </w:p>
    <w:p>
      <w:pPr/>
      <w:r>
        <w:rPr>
          <w:b/>
        </w:rPr>
        <w:t>Shared claim-specific concepts:</w:t>
      </w:r>
      <w:r>
        <w:t xml:space="preserve"> after, polarisation, two; EU scope visible. This is a provisional connection, not an outcome finding.</w:t>
      </w:r>
    </w:p>
    <w:p>
      <w:pPr>
        <w:pStyle w:val="SourceNote"/>
      </w:pPr>
      <w:r>
        <w:rPr>
          <w:b/>
        </w:rPr>
        <w:t>Available abstract (not full text):</w:t>
      </w:r>
      <w:r>
        <w:t xml:space="preserve"> On 8 June 2024, Maltese voters joined the rest of the EU member states in selecting their sixth representatives for the European Parliament.With a population of around 563,000 over an area of 316 km² (122 sq.mi), Malta is the smallest EU member state.The governing Nationalist Party applied to join the EU in 1990; however, it took until 2004 for Malta to become a member alongside Cyprus and eight member states from Central and Eastern Europe.Since joining the EU, the role of the country's MEPs has grown more important, with increased media and political attention on their work.This was particularly true for Roberta Metsola, who was elected President of the European Parliament in 2022.Following the assassination of Daphne Caruana Galizia in 2017, debates emerged within the European Parliament regarding the rule of law, democracy, and freedom of the press in Malta 1 .These issues sparked controversies over how MEPs should approach these debates, particularly concerning the national interest.The national interest would also become a point of contention in Malta's electoral campaign for the 2024 EU Elections. Malta's political system: a two-party system with single transferable voteMalta's Political System is based on a two-party system with the governing Labour Party (PL), on the centre-left, and the main opposition party, the Nationalist Party (PN), on the centre-right.The 2024 el</w:t>
      </w:r>
    </w:p>
    <w:p>
      <w:pPr/>
      <w:r>
        <w:rPr>
          <w:b/>
        </w:rPr>
        <w:t>POSSIBLE 2025:</w:t>
      </w:r>
      <w:r>
        <w:t xml:space="preserve"> Does political polarisation undermine democratic accountability? Evidence from 28 European democracies — https://doi.org/10.1080/01402382.2025.2543600</w:t>
      </w:r>
    </w:p>
    <w:p>
      <w:pPr/>
      <w:r>
        <w:rPr>
          <w:b/>
        </w:rPr>
        <w:t>Shared claim-specific concepts:</w:t>
      </w:r>
      <w:r>
        <w:t xml:space="preserve"> polarisation, two, polarised, democratic; EU scope visible. This is a provisional connection, not an outcome finding.</w:t>
      </w:r>
    </w:p>
    <w:p>
      <w:pPr>
        <w:pStyle w:val="SourceNote"/>
      </w:pPr>
      <w:r>
        <w:rPr>
          <w:b/>
        </w:rPr>
        <w:t>Available abstract (not full text):</w:t>
      </w:r>
      <w:r>
        <w:t xml:space="preserve"> Political polarisation has drawn significant attention recently due to its potential adverse impacts. Evidence suggests that various forms of socio-political polarisation are associated with weaker democratic and economic performance. This research investigates the relationship between two types of political polarisation and macro-level accountability – that is, citizens’ ability and opportunity to select, monitor, and control their governments. Using data from the European Social Survey, World Bank, and V-Dem databases, the study analyses 202 observations from 28 European countries over twenty years. The findings indicate a negative correlation between polarisation and democratic accountability. Specifically, countries with higher levels of polarisation exhibit weaker accountability, and as a country becomes more polarised, its democratic accountability further declines. The relationship is robust across alternative operationalisations of polarisation and different model specifications. This research underscores the detrimental effects of polarisation on democratic functioning and calls for more in-depth studies to better understand this relationship.</w:t>
      </w:r>
    </w:p>
    <w:p>
      <w:pPr/>
      <w:r>
        <w:rPr>
          <w:b/>
        </w:rPr>
        <w:t>POSSIBLE 2025:</w:t>
      </w:r>
      <w:r>
        <w:t xml:space="preserve"> Polarisation: the new 'superword'. Meanings and current uses in English and Spanish — https://doi.org/10.18573/jcads.137</w:t>
      </w:r>
    </w:p>
    <w:p>
      <w:pPr/>
      <w:r>
        <w:rPr>
          <w:b/>
        </w:rPr>
        <w:t>Shared claim-specific concepts:</w:t>
      </w:r>
      <w:r>
        <w:t xml:space="preserve"> polarisation, two, consensus; EU scope visible. This is a provisional connection, not an outcome finding.</w:t>
      </w:r>
    </w:p>
    <w:p>
      <w:pPr>
        <w:pStyle w:val="SourceNote"/>
      </w:pPr>
      <w:r>
        <w:rPr>
          <w:b/>
        </w:rPr>
        <w:t>Available abstract (not full text):</w:t>
      </w:r>
      <w:r>
        <w:t xml:space="preserve"> A growing concern in most European countries, polarisation has spread far beyond the political arena and is now present in public opinion in a wide variety of social and cultural subjects, from economics to education, health, environment or religion. Rather than an enriching plurality of views, polarisation is mostly perceived as a negative trend that hinders consensus and favours conflict instead, threatening welfare, peace and even democracy. As a result, the word polarisation has become a frequent term in the press. This paper examines the way in which the word polarisation is used in a corpus of news items collected from four widely read mainstream newspapers, two Spanish and two British, all of them containing the word polarización/polarisation and published in 2022. A combination of Corpus Linguistics methods and a Critical Socio-Cognitive approach to Discourse Analysis has been followed in order to analyse the most common contexts and patterns of usage of the term in the press in these two countries, its negative semantic prosody and collocational behaviour, as well as the underlying schematic conceptualization of the phenomenon as realized in metaphors and image schemas. Even though minor differences have been found, results show significant similarities in Spanish and English, which manifest the negative evaluation associated to the term construed by its collocates, by</w:t>
      </w:r>
    </w:p>
    <w:p>
      <w:pPr/>
      <w:r>
        <w:rPr>
          <w:b/>
        </w:rPr>
        <w:t>POSSIBLE 2025:</w:t>
      </w:r>
      <w:r>
        <w:t xml:space="preserve"> Introductory words in the Russian language: typology and their classification — https://doi.org/10.37547/ijll/volume05issue01-06</w:t>
      </w:r>
    </w:p>
    <w:p>
      <w:pPr/>
      <w:r>
        <w:rPr>
          <w:b/>
        </w:rPr>
        <w:t>Shared claim-specific concepts:</w:t>
      </w:r>
      <w:r>
        <w:t xml:space="preserve"> article, introductory, definition; EU scope not established. This is a provisional connection, not an outcome finding.</w:t>
      </w:r>
    </w:p>
    <w:p>
      <w:pPr>
        <w:pStyle w:val="SourceNote"/>
      </w:pPr>
      <w:r>
        <w:rPr>
          <w:b/>
        </w:rPr>
        <w:t>Available abstract (not full text):</w:t>
      </w:r>
      <w:r>
        <w:t xml:space="preserve"> This article examines lexical and grammatical units - introductory and modal words and provides their classification. The study presents a linguistic picture that reflects the degree of study of the use of introductory words and constructions. Based on the works of leading grammarians such as Vinogradov, Shakhmatov, Peshkovsky, Paducheva, and others, the definition of introductory and modal words is formulated and their main categories are presented. The functions of introductory words in a fiction text are also studied.</w:t>
      </w:r>
    </w:p>
    <w:p>
      <w:pPr/>
      <w:r>
        <w:rPr>
          <w:b/>
        </w:rPr>
        <w:t>POSSIBLE 2025:</w:t>
      </w:r>
      <w:r>
        <w:t xml:space="preserve"> Alexander Larionov. L.N. Tolstoy and China (1945) Introductory article, text preparation, and notes by D.V. Zabotin — https://doi.org/10.22455/2541-8297-2025-37-362-397</w:t>
      </w:r>
    </w:p>
    <w:p>
      <w:pPr/>
      <w:r>
        <w:rPr>
          <w:b/>
        </w:rPr>
        <w:t>Shared claim-specific concepts:</w:t>
      </w:r>
      <w:r>
        <w:t xml:space="preserve"> article, introductory, serious; EU scope not established. This is a provisional connection, not an outcome finding.</w:t>
      </w:r>
    </w:p>
    <w:p>
      <w:pPr>
        <w:pStyle w:val="SourceNote"/>
      </w:pPr>
      <w:r>
        <w:rPr>
          <w:b/>
        </w:rPr>
        <w:t>Available abstract (not full text):</w:t>
      </w:r>
      <w:r>
        <w:t xml:space="preserve"> Alexander Larionov’s Leo Tolstoy and China is a review article that represents one of the first serious attempts to understand “the problem of a detailed study of relations between China and Tolstoy and the interaction between Tolstoy’s work and Chinese culture” in post-war literary criticism. (Its autograph and incomplete typescript were found in the collection of the Press Department of the All-Union Society for Cultural Relations with Foreign Countries, located in the State Archive of the Russian Federation.) Compared to his predecessors, such as Paul Biryukov, a Russian publicist (Tolstoi und der Orient, 1925), and Romain Rolland, a French writer (La Réponse de l’Asie à Tolstoï, 1928), Alexander Larionov broke new ground by selecting and systematically presenting a large amount of “factual material” (in his own words, “more than one copyright sheet”). In fact, for the first time, he established an ideological sequence that would later be reached by professional scholars, Derk Bodde, an American historian and sinologist (Tolstoy and China, 1950), and Alexander Shifman, a Soviet literary critic (Leo Tolstoy and the Orient, 1960 and 1971). The main research plot is structured as follows: “Tolstoy’s Writings and Publications on China” (the Chinese Wisdom, the Water Flow, the Coffee-House of Surat, the Circle of Reading, the Epistle to the Chinese, etc.); “Tolstoy’s Readings on </w:t>
      </w:r>
    </w:p>
    <w:p>
      <w:pPr/>
      <w:r>
        <w:rPr>
          <w:b/>
        </w:rPr>
        <w:t>POSSIBLE 2025:</w:t>
      </w:r>
      <w:r>
        <w:t xml:space="preserve"> Introductory Chapter: The Translator’s Third Eye — https://doi.org/10.5772/intechopen.1010439</w:t>
      </w:r>
    </w:p>
    <w:p>
      <w:pPr/>
      <w:r>
        <w:rPr>
          <w:b/>
        </w:rPr>
        <w:t>Shared claim-specific concepts:</w:t>
      </w:r>
      <w:r>
        <w:t xml:space="preserve"> article, introductory, two; EU scope not established. This is a provisional connection, not an outcome finding.</w:t>
      </w:r>
    </w:p>
    <w:p>
      <w:pPr>
        <w:pStyle w:val="SourceNote"/>
      </w:pPr>
      <w:r>
        <w:rPr>
          <w:b/>
        </w:rPr>
        <w:t>Available abstract (not full text):</w:t>
      </w:r>
      <w:r>
        <w:t xml:space="preserve"> Translation is far from a straightforward and technical endeavor of converting words from one language to another.Translation is a linguistic/cultural double act.It is an all-embracing, intricate, and creative act, transporting humanity, with all its inherent qualities, from one cultural/social/historical sphere to another; two eyes are insufficient to oversee such a holistic undertaking.A third eye is needed in establishing "spherical" bridges of spirit, intelligence, wisdom, and energy while building "earthly" connections among humans, linguistically, culturally, and geographically.Across irreconcilable perceptive frameworks and particularized articulation norms, a translator needs a third eye to see the underlying invisible, reach the unreachable, and reveal the disguised.Linguistic fluidity and agility, deep learning, and contextual consciousness are considered a given quality in a translator.Lawrence Venuti's seminal work, The Translator's Invisibility (2008), opens twentyfirst-century debates on foreignization vs. domestication in translation studies.He critiques American translator Norman Shapiro's view on good translation that should not draw attention to itself but be transparent like "a pane of glass" [1].Silvia Kadiu dissects the debate as one of the fundamental building blocks in translation studies:[A pane of glass] is symptomatic of the regime of fluency prevailin</w:t>
      </w:r>
    </w:p>
    <w:p>
      <w:pPr/>
      <w:r>
        <w:rPr>
          <w:b/>
        </w:rPr>
        <w:t>POSSIBLE 2025:</w:t>
      </w:r>
      <w:r>
        <w:t xml:space="preserve"> The Long Way to the Compliance of Data Retention with European Union Law — https://doi.org/10.1093/9780191998980.003.0010</w:t>
      </w:r>
    </w:p>
    <w:p>
      <w:pPr/>
      <w:r>
        <w:rPr>
          <w:b/>
        </w:rPr>
        <w:t>Shared claim-specific concepts:</w:t>
      </w:r>
      <w:r>
        <w:t xml:space="preserve"> article, after, introductory; EU scope visible. This is a provisional connection, not an outcome finding.</w:t>
      </w:r>
    </w:p>
    <w:p>
      <w:pPr>
        <w:pStyle w:val="SourceNote"/>
      </w:pPr>
      <w:r>
        <w:rPr>
          <w:b/>
        </w:rPr>
        <w:t>Available abstract (not full text):</w:t>
      </w:r>
      <w:r>
        <w:t xml:space="preserve"> Abstract In Chapter 8 the authors examine the evolution of Italian rules on retention and access to traffic data. After some introductory remarks on the guarantees ensured by Article 15 of the Italian Constitution, protecting the freedom and secrecy of communications, special attention is paid to the evolution of the case law, considering the issues which appear most sensitive, in light of the pronouncements of the Court of Justice. The analysis therefore focuses on the principles of legality and proportionality, the control by an impartial authority and the usability of data acquired in violation of European Union law. The chapter then proceeds to examine the role and decisions of the Italian Supervisory Authority, and, finally, deals with the latest intervention of the Italian legislator on the matter, which raises some doubts on the real consistency with European requirements.</w:t>
      </w:r>
    </w:p>
    <w:p>
      <w:pPr/>
      <w:r>
        <w:rPr>
          <w:b/>
        </w:rPr>
        <w:t>POSSIBLE 2024:</w:t>
      </w:r>
      <w:r>
        <w:t xml:space="preserve"> Boris Zingerman. Letters to the Teachers (Publication, Introductory Article and Comments) — https://doi.org/10.51678/2226-0072-2024-4-312-331</w:t>
      </w:r>
    </w:p>
    <w:p>
      <w:pPr/>
      <w:r>
        <w:rPr>
          <w:b/>
        </w:rPr>
        <w:t>Shared claim-specific concepts:</w:t>
      </w:r>
      <w:r>
        <w:t xml:space="preserve"> article, after, introductory, two; EU scope not established. This is a provisional connection, not an outcome finding.</w:t>
      </w:r>
    </w:p>
    <w:p>
      <w:pPr>
        <w:pStyle w:val="SourceNote"/>
      </w:pPr>
      <w:r>
        <w:rPr>
          <w:b/>
        </w:rPr>
        <w:t>Available abstract (not full text):</w:t>
      </w:r>
      <w:r>
        <w:t xml:space="preserve"> The letters of Boris Zingerman (1928–2000) to the older generation of theatre critics, Grigory Boyadzhiev (1909–1974) and Boris Alpers (1894–1974), were written at different times and on different occasions. What unites the two letters is that they were addressed to Zingerman’s teachers at the State Institute of Theatre Arts (GITIS), where he studied at the theatre studies department (1945–1950) and then did a postgraduate course (1950–1954). However, he had not only happy memories of those times. The end of the ‘luxurious hothouse’, as Zingerman saw GITIS, came after the editorial article in the Pravda newspaper of January 28, 1949 entitled “On One Anti-patriotic Group of Theatre Critics”. In February 1949, a two-day meeting of the GITIS Academic Council was held, where Vs.N. Vsevolodsky-Gerngross, B.V. Alpers, N.M. Tarabukin, S.S. Mokulsky, G.N. Boyadzhiev, and S.S. Danilov were exposed as ‘enemies of the Soviet culture’. Students and postgraduates were then forced to attend the civil execution of the teachers. Some were frightened by it, others used it to advance in their careers. Yet others formed the generation of the sixties: B.I. Zingerman, V.M. Gaevsky, I.N. Solovieva, N.A. Krymova, Yu.S. Rybakov, M.I. Turovskaya, N.M. Zorkaya, T.I. Bachelis, and K.L. Rudnitsky. The memory of 1949 remained with them forever, having become a ‘family trauma’. The plots of professional the</w:t>
      </w:r>
    </w:p>
    <w:p>
      <w:pPr/>
      <w:r>
        <w:rPr>
          <w:b/>
        </w:rPr>
        <w:t>POSSIBLE 2024:</w:t>
      </w:r>
      <w:r>
        <w:t xml:space="preserve"> INTRODUCTORY PREFACE: Publication Patterns of the Central European Public Administration Review – A Bibliometric Analysis — https://doi.org/10.17573/cepar.2024.1.01</w:t>
      </w:r>
    </w:p>
    <w:p>
      <w:pPr/>
      <w:r>
        <w:rPr>
          <w:b/>
        </w:rPr>
        <w:t>Shared claim-specific concepts:</w:t>
      </w:r>
      <w:r>
        <w:t xml:space="preserve"> article, introductory, two; EU scope visible. This is a provisional connection, not an outcome finding.</w:t>
      </w:r>
    </w:p>
    <w:p>
      <w:pPr>
        <w:pStyle w:val="SourceNote"/>
      </w:pPr>
      <w:r>
        <w:rPr>
          <w:b/>
        </w:rPr>
        <w:t>Available abstract (not full text):</w:t>
      </w:r>
      <w:r>
        <w:t xml:space="preserve"> On the 20th anniversary of the Central European Public Administration Review (CEPAR), this study underscores the significance of the journal’s inclusion in indexing. Employing scient metrics, bibliometric techniques, and knowledge mapping, the analysis offers a comprehensive overview of CEPAR’s evolution over the past two decades, the challenges encountered following the journal’s indexing in Web of Science, and the distinctivecharacteristics of authorship patterns. The data used in bibliometric analysis was extracted from Web of Science and covers the period 2018– 2023 (103 papers), while the data for authoring analysis was collectedfrom the archives of journal volumes covering the period 2003–2023 (425 papers). Over its 21 years of existence, CEPAR has published a total of 425 articles with an average of 20 articles per year. These contributions represent the collaborative efforts of 684 authors from different countries, with the average article written by 1.61 authors. The trend in annual citations is positive, with citations increasing tenfold following indexation in Web of Science. The publications in the sample (bibliometric analysis) were written by 175 authors affiliated with 75 institutions, of which 84% contributed a single article to CEPAR’s evolution. In the five years since its indexing in Web of Science, CEPAR has garnered about 200 citations, approximately 33 per</w:t>
      </w:r>
    </w:p>
    <w:p>
      <w:pPr>
        <w:pStyle w:val="Heading2"/>
      </w:pPr>
      <w:r>
        <w:t>632. The future of the drug phenomenon and drug monitoring in Europe until 2030</w:t>
      </w:r>
    </w:p>
    <w:p>
      <w:pPr>
        <w:pStyle w:val="SourceNote"/>
      </w:pPr>
      <w:r>
        <w:rPr>
          <w:b/>
        </w:rPr>
        <w:t>Original source (2021):</w:t>
      </w:r>
      <w:r>
        <w:t xml:space="preserve"> https://doi.org/10.1093/eurpub/ckab165.648</w:t>
      </w:r>
    </w:p>
    <w:p>
      <w:pPr/>
      <w:r>
        <w:t>Original wording (abstract; indexed_source_text_not_full_document_verified): The EMCDDA piloted the usefulness of the foresight approach for transforming the agency and its monitoring activities into a more sensitive and agile system, which could, in turn, help increase Europe's preparedness for future challenges in health and security areas. It analysed global drivers of change that may have in the future implications for the drugs situation, drug monitoring and related responses.</w:t>
      </w:r>
    </w:p>
    <w:p>
      <w:pPr/>
      <w:r>
        <w:rPr>
          <w:b/>
        </w:rPr>
        <w:t>POSSIBLE 2026:</w:t>
      </w:r>
      <w:r>
        <w:t xml:space="preserve"> Suicidal behaviour and resilience-related factors among adolescents in Poland and war-affected Western Ukraine — https://doi.org/10.1186/s13034-026-01126-0</w:t>
      </w:r>
    </w:p>
    <w:p>
      <w:pPr/>
      <w:r>
        <w:rPr>
          <w:b/>
        </w:rPr>
        <w:t>Shared claim-specific concepts:</w:t>
      </w:r>
      <w:r>
        <w:t xml:space="preserve"> usefulness, increase, health; EU scope visible. This is a provisional connection, not an outcome finding.</w:t>
      </w:r>
    </w:p>
    <w:p>
      <w:pPr>
        <w:pStyle w:val="SourceNote"/>
      </w:pPr>
      <w:r>
        <w:rPr>
          <w:b/>
        </w:rPr>
        <w:t>Available abstract (not full text):</w:t>
      </w:r>
      <w:r>
        <w:t xml:space="preserve"> BACKGROUND: The purpose of the research was to verify compensatory and protective models of resilience [14, 27] , among adolescents from Poland and war-affected Ukraine. Guided by the socio-ecological model of resilience theory, we examined the relationship between several psychosocial risk and protective factors and suicidal behaviour among adolescents. METHOD: Data were collected via online self-report questionnaires in Autumn 2024 from 14 to 15 year olds in Western Ukraine (N = 2179) and Warsaw, the capital of Poland (N = 1154). The response rate achieved was 75% in Lviv, 73% in Drohobych and 70% in Warsaw. Suicidal behaviour was measured by a 3-item Suicidal Thoughts and Behaviours scale adapted from the MINI Kid (Sheehan et al. 2010) (α = 0.87 - 0.90). Four groups of risk factors were examined: 1/ exposure to traumatic experiences, with a 9-item index, and victimization measured by two single questions; 2/ mental health problems (symptoms of depression measured by the shortened 4-item CES-D scale, non-suicidal self-injuries measured by a single question, problems of conduct measured with a 12-item index, problematic internet use measured with the Internet Disorder Scale - Short Form (IDS9-SF); 3/ substance use (alcohol, drug, cigarette and tranquiliser use, all measured with single questions); and 4/ personality characteristics that increase vulnerability (impulsiveness, m</w:t>
      </w:r>
    </w:p>
    <w:p>
      <w:pPr/>
      <w:r>
        <w:rPr>
          <w:b/>
        </w:rPr>
        <w:t>POSSIBLE 2026:</w:t>
      </w:r>
      <w:r>
        <w:t xml:space="preserve"> Informing illicit drug policy through economic evidence: using safer drug consumption facilities in Scotland as an example — https://doi.org/10.5525/gla.thesis.85843</w:t>
      </w:r>
    </w:p>
    <w:p>
      <w:pPr/>
      <w:r>
        <w:rPr>
          <w:b/>
        </w:rPr>
        <w:t>Shared claim-specific concepts:</w:t>
      </w:r>
      <w:r>
        <w:t xml:space="preserve"> approach, increase, health; EU scope not established. This is a provisional connection, not an outcome finding.</w:t>
      </w:r>
    </w:p>
    <w:p>
      <w:pPr>
        <w:pStyle w:val="SourceNote"/>
      </w:pPr>
      <w:r>
        <w:rPr>
          <w:b/>
        </w:rPr>
        <w:t>Available abstract (not full text):</w:t>
      </w:r>
      <w:r>
        <w:t xml:space="preserve"> Background: Illicit drug use continues to increase and impact individuals’ health worldwide. Critical voices surrounding the performance of enforcement-led policies continue to grow internationally, as they have been shown to be ineffective in reducing drug-related harms and lead to high expenditure to society. Instead, some countries and voices advocate a human right and public health approach to drug policymaking. These policies include decriminalisation of drug users, and services or facilities to support them, such as safe drug consumption facilities (SDCFs). The case of the SDCFs in Scotland presents a timely and highly relevant focus for this PhD work, as its implementation in the UK remains politically contested. Such a facility allows individuals to consume illicit drugs under clinical supervision, representing a public health orientated alternative to punitive, criminalisation-based responses. Incorporating scientific evidence of the services is an essential element of an evidence-based policy, and more frequently, economic evaluation and health technology assessment are being incorporated into the assessment of public health and social policies. This thesis, therefore, explores and examines whether health economics methods can support a rational and sustainable approach to drug policy decision-making in Scotland, using SDCF as an example. Methods: A multi-methods appr</w:t>
      </w:r>
    </w:p>
    <w:p>
      <w:pPr/>
      <w:r>
        <w:rPr>
          <w:b/>
        </w:rPr>
        <w:t>POSSIBLE 2026:</w:t>
      </w:r>
      <w:r>
        <w:t xml:space="preserve"> Artigos de pesquisa original — https://doi.org/10.22533/at.ed.15953226210110</w:t>
      </w:r>
    </w:p>
    <w:p>
      <w:pPr/>
      <w:r>
        <w:rPr>
          <w:b/>
        </w:rPr>
        <w:t>Shared claim-specific concepts:</w:t>
      </w:r>
      <w:r>
        <w:t xml:space="preserve"> approach, transforming, sensitive, challenges, health; EU scope visible. This is a provisional connection, not an outcome finding.</w:t>
      </w:r>
    </w:p>
    <w:p>
      <w:pPr>
        <w:pStyle w:val="SourceNote"/>
      </w:pPr>
      <w:r>
        <w:rPr>
          <w:b/>
        </w:rPr>
        <w:t>Available abstract (not full text):</w:t>
      </w:r>
      <w:r>
        <w:t xml:space="preserve"> Globalization and increasing migratory flows have been transforming Portuguese society, presenting new challenges for public health, particularly in regions with a high concentration of immigrants, such as the Algarve.The municipality of São Brás de Alportel exhibits a significant proportion of foreign residents, highlighting the need for an in-depth characterization of their health status, lifestyle behaviors, and access to healthcare services.This study aimed to characterize the health status, risk behaviors, lifestyle habits, mental health, quality of life, and healthcare accessibility of the immigrant population residing in São Brás de Alportel, Portugal.A descriptive, cross-sectional study with a quantitative approach was conducted, including a sample of 89 immigrants recruited through snowball sampling.Data were collected using a questionnaire based on the SAIMI-2 instrument.Results indicate a predominance of individuals aged 60 years or older, mostly retired and originating from the United Kingdom.The most common health conditions were chronic diseases similar to those found in the Portuguese population, notably arterial hypertension, diabetes mellitus, and dyslipidemia.While participants generally reported good quality of life and positive mental health indicators, some risk behaviors were identified, including high alcohol consumption, smoking, and low vaccination adhe</w:t>
      </w:r>
    </w:p>
    <w:p>
      <w:pPr/>
      <w:r>
        <w:rPr>
          <w:b/>
        </w:rPr>
        <w:t>POSSIBLE 2025:</w:t>
      </w:r>
      <w:r>
        <w:t xml:space="preserve"> Bridging the gap between research and decision making: A European survey to enhance cooperation in wastewater-based epidemiology (WBE) for illicit drugs — https://doi.org/10.1016/j.puhe.2025.02.009</w:t>
      </w:r>
    </w:p>
    <w:p>
      <w:pPr/>
      <w:r>
        <w:rPr>
          <w:b/>
        </w:rPr>
        <w:t>Shared claim-specific concepts:</w:t>
      </w:r>
      <w:r>
        <w:t xml:space="preserve"> agency, monitoring, challenges, health, analysed; EU scope visible. This is a provisional connection, not an outcome finding.</w:t>
      </w:r>
    </w:p>
    <w:p>
      <w:pPr>
        <w:pStyle w:val="SourceNote"/>
      </w:pPr>
      <w:r>
        <w:rPr>
          <w:b/>
        </w:rPr>
        <w:t>Available abstract (not full text):</w:t>
      </w:r>
      <w:r>
        <w:t xml:space="preserve"> OBJECTIVES: Illicit drug use presents a significant challenge to global health and public safety, requiring innovative and effective monitoring strategies. This study aimed to evaluate the current landscape of wastewater-based epidemiology (WBE) for monitoring illicit drugs in Europe, focusing on collaboration, current practices, and barriers, while identifying opportunities for improvement. STUDY DESIGN: Cross-sectional survey-based study. METHODS: Coordinated by the Sewage Analysis CORe Group Europe (SCORE) and the European Union Drugs Agency (EUDA), two surveys were conducted in 2023 targeting researchers and stakeholders using WBE for illicit drugs. Data were analysed to identify trends, gaps, and opportunities for improving WBE implementation. RESULTS: The findings indicate a robust research infrastructure and diverse analytical methods among European institutions. Two-thirds of the participating countries reported using WBE data to inform policy. However, challenges persist, particularly in securing funding and coordination, as well as generating national estimates from multiple locations and addressing specific local policy needs. CONCLUSIONS: WBE has proven to be a valuable tool for monitoring illicit drug trends and informing drug policies. To unlock its full potential, sustained funding, methodological standardization, and enhanced cooperation are essential. This stud</w:t>
      </w:r>
    </w:p>
    <w:p>
      <w:pPr/>
      <w:r>
        <w:rPr>
          <w:b/>
        </w:rPr>
        <w:t>POSSIBLE 2025:</w:t>
      </w:r>
      <w:r>
        <w:t xml:space="preserve"> Welfare first: transforming harm reduction at UK festivals — https://doi.org/10.1186/s12954-025-01184-1</w:t>
      </w:r>
    </w:p>
    <w:p>
      <w:pPr/>
      <w:r>
        <w:rPr>
          <w:b/>
        </w:rPr>
        <w:t>Shared claim-specific concepts:</w:t>
      </w:r>
      <w:r>
        <w:t xml:space="preserve"> approach, transforming, challenges, health; EU scope not established. This is a provisional connection, not an outcome finding.</w:t>
      </w:r>
    </w:p>
    <w:p>
      <w:pPr>
        <w:pStyle w:val="SourceNote"/>
      </w:pPr>
      <w:r>
        <w:rPr>
          <w:b/>
        </w:rPr>
        <w:t>Available abstract (not full text):</w:t>
      </w:r>
      <w:r>
        <w:t xml:space="preserve"> BACKGROUND: A welfare-first approach to harm reduction at UK festivals is emerging as a critical strategy for enhancing festival safety. In particular, the implementation of anonymous, non-punitive drug-checking services is posited as essential for reducing drug-related harm by enabling informed decision-making. This empirical study examines the limitations of punitive drug policies and the associated risks to public health and explores the potential benefits of decriminalisation in fostering safer festival environments. METHODS: The study employed qualitative methodologies, including semi-structured interviews and questionnaires with festival attendees at three major UK festivals. This empirical data was supplemented by a review of recent studies (Ivers et al. in Ir J Med Sci 191(4):1701-1710, 2022. https://doi.org/10.1007/s11845-021-02765-2 ; Palmer Maynard in Harm Reduc J 19(1):81, 2022. https://doi.org/10.1186/s12954-022-00662-0 ; Cooney and Measham. in Drug Sci Policy Law 9, 2023. https://doi.org/10.1177/20503245231211444 ) and relevant policy documents, in order to evaluate current harm reduction practices and identify key barriers, such as stigma, social control, and criminalisation. RESULTS: Analysis revealed that integrated harm reduction measures, comprising drug-checking services, welfare support, and early intervention initiatives, significantly enhance safety by em</w:t>
      </w:r>
    </w:p>
    <w:p>
      <w:pPr/>
      <w:r>
        <w:rPr>
          <w:b/>
        </w:rPr>
        <w:t>POSSIBLE 2025:</w:t>
      </w:r>
      <w:r>
        <w:t xml:space="preserve"> (I)llicit Chains: Some New Hypotheses Regarding a Changing Global Cocaine Market — https://doi.org/10.31389/jied.274</w:t>
      </w:r>
    </w:p>
    <w:p>
      <w:pPr/>
      <w:r>
        <w:rPr>
          <w:b/>
        </w:rPr>
        <w:t>Shared claim-specific concepts:</w:t>
      </w:r>
      <w:r>
        <w:t xml:space="preserve"> approach, increase; EU scope visible. This is a provisional connection, not an outcome finding.</w:t>
      </w:r>
    </w:p>
    <w:p>
      <w:pPr>
        <w:pStyle w:val="SourceNote"/>
      </w:pPr>
      <w:r>
        <w:rPr>
          <w:b/>
        </w:rPr>
        <w:t>Available abstract (not full text):</w:t>
      </w:r>
      <w:r>
        <w:t xml:space="preserve"> International cocaine trafficking from South America has increased significantly over the past decade. Based on mixed-methods research, we hypothesize that this change has been driven primarily by the globalization of its logistics, which has led to relevant technical and political changes along the value chain. Today’s global criminal logistics connect a wider variety of producers and retailers, ensuring a market without monopoly and monopsony, although very few transnational criminal groups control the center of the value chain. Their cooperation results in a virtuous circle for illicit accumulation, in which the constant improvement in productivity in South America also leads to an increase in consumer demand in Europe and, more recently, in Africa, Asia, and Oceania. We used a mixed-methods approach to relationally analyze coherent changes in the cocaine value chain in Latin American, African, and European countries.</w:t>
      </w:r>
    </w:p>
    <w:p>
      <w:pPr/>
      <w:r>
        <w:rPr>
          <w:b/>
        </w:rPr>
        <w:t>POSSIBLE 2025:</w:t>
      </w:r>
      <w:r>
        <w:t xml:space="preserve"> Using time in prison as an ideal opportunity to treat Hepatitis C - PIONEER Framework Proposal — https://doi.org/10.18176/resp.00109</w:t>
      </w:r>
    </w:p>
    <w:p>
      <w:pPr/>
      <w:r>
        <w:rPr>
          <w:b/>
        </w:rPr>
        <w:t>Shared claim-specific concepts:</w:t>
      </w:r>
      <w:r>
        <w:t xml:space="preserve"> approach, transforming, health; EU scope visible. This is a provisional connection, not an outcome finding.</w:t>
      </w:r>
    </w:p>
    <w:p>
      <w:pPr>
        <w:pStyle w:val="SourceNote"/>
      </w:pPr>
      <w:r>
        <w:rPr>
          <w:b/>
        </w:rPr>
        <w:t>Available abstract (not full text):</w:t>
      </w:r>
      <w:r>
        <w:t xml:space="preserve"> Objectives: Prisons present a unique opportunity to address the high prevalence of hepatitis C (HCV) among inmates, a population disproportionately affected by the disease. Specific conditions within correctional facilities contribute to increased HCV transmission rates. Incarceration offers a strategic chance to reach individuals who are often inaccessible through traditional healthcare systems, transforming prison time into a window for targeted health interventions. Material and method: This study utilized a qualitative approach, conducting a comprehensive literature review on HCV management within correctional settings and incorporating data and insights from the "Let's End HepC" European project. The findings informed the development of the PIO-NEER framework, which emphasizes evidence-based public health policies to enhance health safety in prisons for hepatitis C. Results: Effective control of HCV in prisons requires a multifaceted approach, including education, counseling, harm-reduction initiatives such as safe tattooing practices, provision of direct-acting antiviral (DAA) treatments, and improvements in prison conditions. Emphasis should also be placed on fostering respect for prisoners' human rights, implementing preventive measures, and reducing HCV transmission within correctional facilities. Discussion: Incarceration represents a critical opportunity for diagnosi</w:t>
      </w:r>
    </w:p>
    <w:p>
      <w:pPr/>
      <w:r>
        <w:rPr>
          <w:b/>
        </w:rPr>
        <w:t>POSSIBLE 2025:</w:t>
      </w:r>
      <w:r>
        <w:t xml:space="preserve"> PIONEER Framework Proposal — https://openalex.org/W7111667821</w:t>
      </w:r>
    </w:p>
    <w:p>
      <w:pPr/>
      <w:r>
        <w:rPr>
          <w:b/>
        </w:rPr>
        <w:t>Shared claim-specific concepts:</w:t>
      </w:r>
      <w:r>
        <w:t xml:space="preserve"> approach, transforming, health; EU scope visible. This is a provisional connection, not an outcome finding.</w:t>
      </w:r>
    </w:p>
    <w:p>
      <w:pPr>
        <w:pStyle w:val="SourceNote"/>
      </w:pPr>
      <w:r>
        <w:rPr>
          <w:b/>
        </w:rPr>
        <w:t>Available abstract (not full text):</w:t>
      </w:r>
      <w:r>
        <w:t xml:space="preserve"> Objectives: Prisons present a unique opportunity to address the high prevalence of hepatitis C (HCV) among inmates, a population disproportionately affected by the disease. Specific conditions within correctional facilities contribute to increased HCV transmission rates. Incarceration offers a strategic chance to reach individuals who are often inaccessible through traditional healthcare systems, transforming prison time into a window for targeted health interventions. Material and method: This study utilized a qualitative approach, conducting a comprehensive literature review on HCV management within correctional settings and incorporating data and insights from the “Let’s End HepC” European project. The findings informed the development of the PIO-NEER framework, which emphasizes evidence-based public health policies to enhance health safety in prisons for hepatitis C. Results: Effective control of HCV in prisons requires a multifaceted approach, including education, counseling, harm-reduction initiatives such as safe tattooing practices, provision of direct-acting antiviral (DAA) treatments, and improvements in prison conditions. Emphasis should also be placed on fostering respect for prisoners’ human rights, implementing preventive measures, and reducing HCV transmission within correctional facilities. Discussion: Incarceration represents a critical opportunity for diagnosi</w:t>
      </w:r>
    </w:p>
    <w:p>
      <w:pPr/>
      <w:r>
        <w:rPr>
          <w:b/>
        </w:rPr>
        <w:t>POSSIBLE 2025:</w:t>
      </w:r>
      <w:r>
        <w:t xml:space="preserve"> Internet Search for Illicit Drugs in Italy: Infodemiological Analysis of Six Years of Research — https://doi.org/10.1155/ghe3/6351291</w:t>
      </w:r>
    </w:p>
    <w:p>
      <w:pPr/>
      <w:r>
        <w:rPr>
          <w:b/>
        </w:rPr>
        <w:t>Shared claim-specific concepts:</w:t>
      </w:r>
      <w:r>
        <w:t xml:space="preserve"> approach, monitoring, preparedness, health; EU scope visible. This is a provisional connection, not an outcome finding.</w:t>
      </w:r>
    </w:p>
    <w:p>
      <w:pPr>
        <w:pStyle w:val="SourceNote"/>
      </w:pPr>
      <w:r>
        <w:rPr>
          <w:b/>
        </w:rPr>
        <w:t>Available abstract (not full text):</w:t>
      </w:r>
      <w:r>
        <w:t xml:space="preserve"> This study explores the potential of Internet search data from Google Trends and Wikipedia as innovative tools for monitoring public interest and behavior related to illicit drug information. Employing a cross‐sectional study design, this research investigates the correlations between search patterns on these platforms and provides insights into public health monitoring. Our analysis indicates significant correlations between searches for various illicit drugs, with correlation coefficients ranging from 0.71 to 0.83, suggesting that these searches can not only reflect but also potentially predict public interest and shifts in drug use patterns. This approach highlights specific periods and demographics showing increased interest in drugs, thereby allowing for targeted public health interventions. The study found that searches related to drugs like cannabis, cocaine, and opioids are not only frequent but also show a tendency to be conducted in tandem, possibly due to synergistic effects. Moreover, the data underscore the importance of providing timely and accurate information to the public through authoritative online sources. With the vast reach of the Internet, ensuring that institutional websites and social networks offer correct information becomes crucial to prevent the spread of misinformation. This study supports Internet‐based data as a complementary tool to traditional </w:t>
      </w:r>
    </w:p>
    <w:p>
      <w:pPr/>
      <w:r>
        <w:rPr>
          <w:b/>
        </w:rPr>
        <w:t>POSSIBLE 2025:</w:t>
      </w:r>
      <w:r>
        <w:t xml:space="preserve"> Impact of COVID-19 on Substance Use Disorder Treatment: Examining the Influence of In-Person and Telehealth Intervention on Outcomes Using Real-World Data — https://doi.org/10.3390/healthcare13010084</w:t>
      </w:r>
    </w:p>
    <w:p>
      <w:pPr/>
      <w:r>
        <w:rPr>
          <w:b/>
        </w:rPr>
        <w:t>Shared claim-specific concepts:</w:t>
      </w:r>
      <w:r>
        <w:t xml:space="preserve"> usefulness, activities, increase, health, analysed; EU scope not established. This is a provisional connection, not an outcome finding.</w:t>
      </w:r>
    </w:p>
    <w:p>
      <w:pPr>
        <w:pStyle w:val="SourceNote"/>
      </w:pPr>
      <w:r>
        <w:rPr>
          <w:b/>
        </w:rPr>
        <w:t>Available abstract (not full text):</w:t>
      </w:r>
      <w:r>
        <w:t xml:space="preserve"> Background: Telehealth services have experienced a rapid implementation in addiction centres in the aftermath of the COVID pandemic. Several studies highlight the usefulness of telehealth activities. However, there are relatively fewer studies using real-world data, evaluating its effectiveness across different moments in time. The present study analyse the evolution, patient profile and effectiveness of an hybrid care modality (in-person and telehealth) versus an only in-person patient care modality. Methods: Retrospective observational study with data collected between 03/14/2019 and 06/21/2023. The electronic health records of 44930 patients were analysed according to different moments, selected based on the different health measures imposed by the COVID pandemic. Patients were classified according to whether they received an in-person or hybrid intervention. Bivariate statistics and logistic regression analysis were applied. Results: The trend over time shows an increase in the number of patients seen in addiction centres. However, there are no notable changes within the in-person care modality, and a modest increase in telehealth services is observed. Telehealth is primarily used among patients with opiate addiction, as well as with those with comorbid mental disorders. Logistic regression analysis shows that patients in a hybrid modality are more likely to remain in treat</w:t>
      </w:r>
    </w:p>
    <w:p>
      <w:pPr/>
      <w:r>
        <w:rPr>
          <w:b/>
        </w:rPr>
        <w:t>POSSIBLE 2024:</w:t>
      </w:r>
      <w:r>
        <w:t xml:space="preserve"> Internship Report at the EMCDDA 's Public Health Unit - Insights into the Medical Use of Psychedelic Substances in the EU: regulatory frameworks, public health challenges and future directions. — https://doi.org/10.34626/0gxt-rw14</w:t>
      </w:r>
    </w:p>
    <w:p>
      <w:pPr/>
      <w:r>
        <w:rPr>
          <w:b/>
        </w:rPr>
        <w:t>Shared claim-specific concepts:</w:t>
      </w:r>
      <w:r>
        <w:t xml:space="preserve"> emcdda, monitoring, challenges, health; EU scope visible. This is a provisional connection, not an outcome finding.</w:t>
      </w:r>
    </w:p>
    <w:p>
      <w:pPr>
        <w:pStyle w:val="SourceNote"/>
      </w:pPr>
      <w:r>
        <w:rPr>
          <w:b/>
        </w:rPr>
        <w:t>Available abstract (not full text):</w:t>
      </w:r>
      <w:r>
        <w:t xml:space="preserve"> Avanços recentes na aplicação médica de substâncias psicodélicas para uma série de transtornos de saúde mental e cuidados paliativos despertaram um interesse substancial em todo o mundo. Este interesse acrescido está enraizado no reconhecimento do potencial terapêutico de substâncias psicadélicas específicas e é alimentado pela necessidade de opções de tratamento eficazes para perturbações mentais complexas. Como resultado, surgiram quadros regulamentares diversos e em evolução em todo o mundo, levantando importantes desafios de saúde pública. Uma preocupação fundamental gira em torno do estabelecimento de quadros regulamentares robustos e da adaptação de políticas para garantir a utilização segura e equitativa de substâncias psicadélicas em ambientes médicos, minimizando assim os riscos potenciais. Este esforço implica navegar em intrincados cenários éticos e legais. Além disso, a supervisão regulamentar é indispensável para conter a proliferação de práticas psicadélicas não licenciadas ou ilícitas, que podem pôr em perigo os indivíduos que procuram tratamento. Para abordar estes cenários em evolução, o European Monitoring Centre for Drugs and Drug Addiction (EMCDDA) iniciou vários projetos destinados, em primeiro lugar, a melhorar a compreensão da utilização médica destas substâncias, incluindo investigação sobre a eficácia, os danos potenciais, os quadros regulamentares e as</w:t>
      </w:r>
    </w:p>
    <w:p>
      <w:pPr/>
      <w:r>
        <w:rPr>
          <w:b/>
        </w:rPr>
        <w:t>POSSIBLE 2024:</w:t>
      </w:r>
      <w:r>
        <w:t xml:space="preserve"> European Homicide Monitor: Research, New Developments, and Future — https://doi.org/10.1177/10439862241253386</w:t>
      </w:r>
    </w:p>
    <w:p>
      <w:pPr/>
      <w:r>
        <w:rPr>
          <w:b/>
        </w:rPr>
        <w:t>Shared claim-specific concepts:</w:t>
      </w:r>
      <w:r>
        <w:t xml:space="preserve"> approach, challenges; EU scope visible. This is a provisional connection, not an outcome finding.</w:t>
      </w:r>
    </w:p>
    <w:p>
      <w:pPr>
        <w:pStyle w:val="SourceNote"/>
      </w:pPr>
      <w:r>
        <w:rPr>
          <w:b/>
        </w:rPr>
        <w:t>Available abstract (not full text):</w:t>
      </w:r>
      <w:r>
        <w:t xml:space="preserve"> Homicide as the most serious form of lethal violence has always represented an important research focus in criminology. Much of the existing research, however, is based on aggregated homicide data and is limited to macrolevel analyses. The European Homicide Monitor (EHM) is an initiative promoting standardized international data collection, with the aim of collecting disaggregated and detailed data on homicide. Originally developed by researchers from the Netherlands, Sweden, and Finland, the EHM coding scheme is currently applied in several European countries. In this article, we take stock of the use of the EHM approach by describing its key principles and aims. We also review research conducted within the EHM framework and identify the most significant developments in its use, such as expanding to the Global South, to the historical past, and to more accurate measurement of drug-related incidents. We conclude this investigation by discussing the challenges facing future research in this domain.</w:t>
      </w:r>
    </w:p>
    <w:p>
      <w:pPr>
        <w:pStyle w:val="Heading2"/>
      </w:pPr>
      <w:r>
        <w:t>633. The role of district heating systems to provide balancing services in the European Union</w:t>
      </w:r>
    </w:p>
    <w:p>
      <w:pPr>
        <w:pStyle w:val="SourceNote"/>
      </w:pPr>
      <w:r>
        <w:rPr>
          <w:b/>
        </w:rPr>
        <w:t>Original source (2021):</w:t>
      </w:r>
      <w:r>
        <w:t xml:space="preserve"> https://doi.org/10.1016/j.rser.2021.111853</w:t>
      </w:r>
    </w:p>
    <w:p>
      <w:pPr/>
      <w:r>
        <w:t>Original wording (abstract; indexed_source_text_not_full_document_verified): Based on the POTEnCIA Central scenario up to 2050 — a description of the evolution of the EU energy system with the assumption of no further policies introduced beyond 2017 —, we find that the potential is highest for the provision of aFRR, followed by mFRR and FCR. Specifically, the aFRR technical potential is currently 32 GW — 4 times the aFRR contracted in 2019 in the EU — and it only slightly decreases by 2050.</w:t>
      </w:r>
    </w:p>
    <w:p>
      <w:pPr/>
      <w:r>
        <w:rPr>
          <w:b/>
        </w:rPr>
        <w:t>POSSIBLE 2026:</w:t>
      </w:r>
      <w:r>
        <w:t xml:space="preserve"> Smart Energy and Energy Communities: A Review of Innovation Proposals for Global and Local Sustainability — https://doi.org/10.15446/sicel.v12.121196</w:t>
      </w:r>
    </w:p>
    <w:p>
      <w:pPr/>
      <w:r>
        <w:rPr>
          <w:b/>
        </w:rPr>
        <w:t>Shared claim-specific concepts:</w:t>
      </w:r>
      <w:r>
        <w:t xml:space="preserve"> based, energy, technical; EU scope visible. This is a provisional connection, not an outcome finding.</w:t>
      </w:r>
    </w:p>
    <w:p>
      <w:pPr>
        <w:pStyle w:val="SourceNote"/>
      </w:pPr>
      <w:r>
        <w:rPr>
          <w:b/>
        </w:rPr>
        <w:t>Available abstract (not full text):</w:t>
      </w:r>
      <w:r>
        <w:t xml:space="preserve"> This paper analyzes the development of energy communities in both international and Colombian contexts, focusing on regulatory frameworks as well as technical and social challenges. The study applies strategic tools such as SWOT and PESTEL to identify barriers and opportunities and incorporates comparative cases from Europe and Colombia. Based on these findings, the article introduces the Community Energy Manager as a socio-technical actor that integrates efficiency, smart energy management, and advanced metering, turning legal frameworks into operational conditions adapted to local realities. Results indicate that, although Colombia has made regulatory progress, the consolidation of energy communities requires stronger governance, financial sustainability, and the implementation of clear performance indicators on equity, reliability, costs, and participation</w:t>
      </w:r>
    </w:p>
    <w:p>
      <w:pPr/>
      <w:r>
        <w:rPr>
          <w:b/>
        </w:rPr>
        <w:t>POSSIBLE 2026:</w:t>
      </w:r>
      <w:r>
        <w:t xml:space="preserve"> Sustainable Solutions through Self-Sufficient Energy Houses Powered by Hybrid Renewable Energy Systems — https://doi.org/10.5772/geet.20250140</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This article analyzes the energy self-sufficiency in a paired house using a hybrid renewable energy system installed in one house and using the second house for a null energy balance. The article searches for sustainable systems reducing energy dependence on fossil fuels and greenhouse gas emissions. The study is based on the application of the fundamental equations of energy, thermal, and electrical balance for a domestic installation. This system integrates a domestic wind turbine and a photovoltaic array, assisted by a battery bank as an energy storage system to compensate for energy imbalances during a power outage. The proposed design relies exclusively on electricity to meet all thermal and electrical demands, including heating, domestic hot water, air conditioning, appliances, and lighting. The design employs an air source heat pump for domestic hot water, heating, and air conditioning; this unit directly connects to the hybrid renewable energy system, and the battery bank assists the hybrid system when needed. The battery is charged and discharged according to the daily energy balance. A simulation is performed under various operating conditions to evaluate the proposed design feasibility. The study includes experimental tests to verify the simulation’s validity and the reliability of the system design. Experimental tests show good agreement between simulation and actua</w:t>
      </w:r>
    </w:p>
    <w:p>
      <w:pPr/>
      <w:r>
        <w:rPr>
          <w:b/>
        </w:rPr>
        <w:t>POSSIBLE 2026:</w:t>
      </w:r>
      <w:r>
        <w:t xml:space="preserve"> Toward a Sustainable Energy Production System Based on Concentrated Solar Power Plants: Social and Water Availability Issues — https://doi.org/10.1021/acssuschemeng.5c11213</w:t>
      </w:r>
    </w:p>
    <w:p>
      <w:pPr/>
      <w:r>
        <w:rPr>
          <w:b/>
        </w:rPr>
        <w:t>Shared claim-specific concepts:</w:t>
      </w:r>
      <w:r>
        <w:t xml:space="preserve"> based, energy, system, potential, highest, followed; EU scope visible. This is a provisional connection, not an outcome finding.</w:t>
      </w:r>
    </w:p>
    <w:p>
      <w:pPr>
        <w:pStyle w:val="SourceNote"/>
      </w:pPr>
      <w:r>
        <w:rPr>
          <w:b/>
        </w:rPr>
        <w:t>Available abstract (not full text):</w:t>
      </w:r>
      <w:r>
        <w:t xml:space="preserve"> High Resolution Image Download MS PowerPoint Slide The green transition of energy production systems is one of the most critical tasks for society nowadays. Concentrated solar power (CSP) plants require direct normal irradiance ( DNI ) to produce electricity. Nevertheless, the highest DNI values are usually found in regions with limited water availability, which can be a sustainability issue when using cooling technologies. Furthermore, deploying new infrastructure has significant socio-economic implications, requiring careful evaluation of CSP facility locations. In this work, a multiobjective mixed-integer linear programming model is developed, considering several variables related to production (such as DNI, temperature, and available land), environmental factors (such as water consumption by cooling systems), and social concerns associated with the deployment of the facilities. The model evaluates each region of Spain to choose the optimal location for five scenarios of technology substitution. The results show that decisions prioritize DNI values and seasonal energy demand followed by investment cost and social impact, while we avoid wet-cooling technology to increase job creation. Furthermore, a fully renewable electricity system using 9 CSP plants requires an estimated investment of 785 B€ 2025, presents a competitive LCOE of 0.086–0.093 €/kWh, and has the potential to c</w:t>
      </w:r>
    </w:p>
    <w:p>
      <w:pPr/>
      <w:r>
        <w:rPr>
          <w:b/>
        </w:rPr>
        <w:t>POSSIBLE 2026:</w:t>
      </w:r>
      <w:r>
        <w:t xml:space="preserve"> Integration of electric vehicles into energy system models: A review — https://doi.org/10.1016/j.rser.2026.117078</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The growing adoption of electric vehicles (EVs) presents challenges and opportunities for the energy system, making accurate modeling of EV charging demand and its flexibility essential. EVs create a critical link between the electricity and transport sectors, both requiring models with high temporal resolution. Our review examines methods for modeling EV demand and their integration into energy system models across spatial and temporal scales. We identified 58 EV demand models and 32 integration studies spanning building- to international-scale systems. EV demand models are classified according to their methodological approaches and data sources. Our review highlights that activity-based approaches relying on travel or time use surveys are particularly effective in representing charging flexibility, as they derive empirically based flexibility windows from observed behavior. However, current approaches, mainly based on Markov chains and Monte Carlo simulations, fail to reproduce realistic weekly and seasonal patterns. Advances in generative modeling, especially through deep neural networks, show promise in capturing temporal consistency and variability, as well as integrating complementary data sources. For the integration of EVs into energy system models, we identify diverse aggregation methods, each entailing trade-offs between behavioral realism and computational tractabili</w:t>
      </w:r>
    </w:p>
    <w:p>
      <w:pPr/>
      <w:r>
        <w:rPr>
          <w:b/>
        </w:rPr>
        <w:t>POSSIBLE 2025:</w:t>
      </w:r>
      <w:r>
        <w:t xml:space="preserve"> SARIMA models for power evolution in photovoltaic systems — https://doi.org/10.56294/saludcyt20251971</w:t>
      </w:r>
    </w:p>
    <w:p>
      <w:pPr/>
      <w:r>
        <w:rPr>
          <w:b/>
        </w:rPr>
        <w:t>Shared claim-specific concepts:</w:t>
      </w:r>
      <w:r>
        <w:t xml:space="preserve"> based, evolution, energy, specifically; EU scope visible. This is a provisional connection, not an outcome finding.</w:t>
      </w:r>
    </w:p>
    <w:p>
      <w:pPr>
        <w:pStyle w:val="SourceNote"/>
      </w:pPr>
      <w:r>
        <w:rPr>
          <w:b/>
        </w:rPr>
        <w:t>Available abstract (not full text):</w:t>
      </w:r>
      <w:r>
        <w:t xml:space="preserve"> Introduction.- The increasing use of renewable energy in power generation systems has highlighted the need for efficient schemes to predict model parameters. In particular, photovoltaic systems require accurate tools to model and forecast solar energy generation behavior. Objective.-To formulate SARIMA models with high accuracy in fitting, explanation, and prediction of energy yields in solar photovoltaic systems, specifically focused on the plant located at Plaza del Duque de Béjar, Spain. Method.- A fitting strategy based on genetic algorithms was adopted to accelerate the estimation of the SARIMA model using hourly solar photovoltaic generation data. The auto.arima package in RStudio was employed as a methodological tool, enabling automatic selection and optimization of the best model parameters. Results.- The selected model was SARIMA (5,0,0)(2,1,0)242424, characterized by a stationary stochastic process with a clear seasonal component. The model showed remarkable estimation accuracy, with low standard errors in the autoregressive coefficients. Additionally, the model residuals were well-adjusted, displaying independence and absence of serial autocorrelation. Conclusions.- The proposed model demonstrated excellent predictive performance, supported by training error metrics (ME (Mean Error)= -1.344268 and MASE (Mean Absolute Scaled Error)= 0.7048786). Its sound mathematical </w:t>
      </w:r>
    </w:p>
    <w:p>
      <w:pPr/>
      <w:r>
        <w:rPr>
          <w:b/>
        </w:rPr>
        <w:t>POSSIBLE 2025:</w:t>
      </w:r>
      <w:r>
        <w:t xml:space="preserve"> Clean Energy Technology Observatory: Battery Technology in the European Union - 2025 Status Report on Technology Development, Trends, Value Chains and Markets — https://doi.org/10.2760/2686206</w:t>
      </w:r>
    </w:p>
    <w:p>
      <w:pPr/>
      <w:r>
        <w:rPr>
          <w:b/>
        </w:rPr>
        <w:t>Shared claim-specific concepts:</w:t>
      </w:r>
      <w:r>
        <w:t xml:space="preserve"> energy, currently, times; EU scope visible. This is a provisional connection, not an outcome finding.</w:t>
      </w:r>
    </w:p>
    <w:p>
      <w:pPr>
        <w:pStyle w:val="SourceNote"/>
      </w:pPr>
      <w:r>
        <w:rPr>
          <w:b/>
        </w:rPr>
        <w:t>Available abstract (not full text):</w:t>
      </w:r>
      <w:r>
        <w:t xml:space="preserve"> 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w:t>
      </w:r>
    </w:p>
    <w:p>
      <w:pPr/>
      <w:r>
        <w:rPr>
          <w:b/>
        </w:rPr>
        <w:t>POSSIBLE 2025:</w:t>
      </w:r>
      <w:r>
        <w:t xml:space="preserve"> Study on the implementation of battery systems in a renewable energy plant for energy supply in the paper industry — https://openalex.org/W7111806992</w:t>
      </w:r>
    </w:p>
    <w:p>
      <w:pPr/>
      <w:r>
        <w:rPr>
          <w:b/>
        </w:rPr>
        <w:t>Shared claim-specific concepts:</w:t>
      </w:r>
      <w:r>
        <w:t xml:space="preserve"> based, energy, system, potential, technical; EU scope visible. This is a provisional connection, not an outcome finding.</w:t>
      </w:r>
    </w:p>
    <w:p>
      <w:pPr>
        <w:pStyle w:val="SourceNote"/>
      </w:pPr>
      <w:r>
        <w:rPr>
          <w:b/>
        </w:rPr>
        <w:t>Available abstract (not full text):</w:t>
      </w:r>
      <w:r>
        <w:t xml:space="preserve"> This master’s Thesis examines the feasibility of integrating battery energy storage into a hybrid renewable energy project designed for an industrial-scale paper mill. Developed in academic collaboration with SAICA Paper, the project is based on a confidential plan for a hybrid energy system composed of 30 MWp of photovoltaic and 50 MW of wind capacity, intended to partially cover the energy demand of the Paper Machine 9 (PM9) production line at SAICA’s flagship plant in El Burgo de Ebro, Spain. Although not yet implemented, the hybrid system has been internally analyzed by the company and provides the basis for a detailed simulation using real hourly consumption data and generation profiles. The main objective is to analyze the potential for self-consumption optimization and the role of battery storage in reducing grid dependence and renewable energy curtailment. In conclusion, the proposed storage solution proves to be technically viable, financially sound, and environmentally beneficial. The project has successfully met its objectives, thanks to a robust analytical approach, iterative optimization, and the development of a practical tool to enhance decision-making. The results obtained lay a solid foundation for the real-world implementation of BESS in industrial renewable integration projects like the one analyzed at SAICA. The study will assess the technical and economic v</w:t>
      </w:r>
    </w:p>
    <w:p>
      <w:pPr/>
      <w:r>
        <w:rPr>
          <w:b/>
        </w:rPr>
        <w:t>POSSIBLE 2024:</w:t>
      </w:r>
      <w:r>
        <w:t xml:space="preserve"> Overcoming the central planner approach – Bilevel optimization of the European energy transition — https://doi.org/10.1016/j.isci.2024.110168</w:t>
      </w:r>
    </w:p>
    <w:p>
      <w:pPr/>
      <w:r>
        <w:rPr>
          <w:b/>
        </w:rPr>
        <w:t>Shared claim-specific concepts:</w:t>
      </w:r>
      <w:r>
        <w:t xml:space="preserve"> central, energy, system, find; EU scope visible. This is a provisional connection, not an outcome finding.</w:t>
      </w:r>
    </w:p>
    <w:p>
      <w:pPr>
        <w:pStyle w:val="SourceNote"/>
      </w:pPr>
      <w:r>
        <w:rPr>
          <w:b/>
        </w:rPr>
        <w:t>Available abstract (not full text):</w:t>
      </w:r>
      <w:r>
        <w:t xml:space="preserve"> The energy transition is a multinational challenge to mitigate climate change, with a joint reduction target for greenhouse gas emissions. Simultaneously, each country is interested in minimizing its own energy supply cost. Still, most energy system models neglect national interests when identifying cost-optimal transition pathways. We design the European energy system transition until 2050, considering competition between countries in a shared electricity and carbon market using bilevel optimization. We find that national objectives substantially impact the transition pathway: Compared to the model solved using the common centralized optimization, the overall installed capacity increases by just 3% when including national interests. However, the distribution of the installed capacity changes dramatically by more than 40% in most countries. Our results underline the risk of miscalculating the need for national capacity expansion when neglecting stakeholder representation in energy system models and demonstrate the need for cooperation for an efficient energy transition.</w:t>
      </w:r>
    </w:p>
    <w:p>
      <w:pPr/>
      <w:r>
        <w:rPr>
          <w:b/>
        </w:rPr>
        <w:t>POSSIBLE 2024:</w:t>
      </w:r>
      <w:r>
        <w:t xml:space="preserve"> Study of the feasibility of energy transition policies applicable in Colombia based on the analysis of international references. — https://openalex.org/W7133450036</w:t>
      </w:r>
    </w:p>
    <w:p>
      <w:pPr/>
      <w:r>
        <w:rPr>
          <w:b/>
        </w:rPr>
        <w:t>Shared claim-specific concepts:</w:t>
      </w:r>
      <w:r>
        <w:t xml:space="preserve"> based, energy, policies; EU scope not established. This is a provisional connection, not an outcome finding.</w:t>
      </w:r>
    </w:p>
    <w:p>
      <w:pPr>
        <w:pStyle w:val="SourceNote"/>
      </w:pPr>
      <w:r>
        <w:rPr>
          <w:b/>
        </w:rPr>
        <w:t>Available abstract (not full text):</w:t>
      </w:r>
      <w:r>
        <w:t xml:space="preserve"> La transición energética es cada día una realidad más cercana a la nuestra razón por la cual en 2015 se firmó el acuerdo de Paris, el cual, propone llegar a la carbono neutralidad para el año 2050 manteniendo el aumento de la temperatura hasta un nivel máximo de 1.5°C por encima de los niveles preindustriales como su objetivo principal. En la COP 27 realizada el año 2022, 7 años después de la firma del acuerdo los balances realizados por la ONU no muestran resultados alentadores, con la tendencia global actual para el año 2030 se registrarían temperaturas 10% mayores a las registradas en el año 2010. Situación crítica que obliga a intensificar los esfuerzos de manera global, en este orden de ideas y entendiendo que los contextos para llevar a cabo transiciones exitosas son diferentes para cada país, se intentan identificar diferentes estrategias y estructuras que se acomoden al contexto colombiano, partiendo del estudio de referentes internacionales con modelos de transición energética avanzados.</w:t>
      </w:r>
    </w:p>
    <w:p>
      <w:pPr/>
      <w:r>
        <w:rPr>
          <w:b/>
        </w:rPr>
        <w:t>POSSIBLE 2024:</w:t>
      </w:r>
      <w:r>
        <w:t xml:space="preserve"> Impacts of large-scale deployment of vertical bifacial photovoltaics on European electricity market dynamics — https://doi.org/10.1038/s41467-024-50762-7</w:t>
      </w:r>
    </w:p>
    <w:p>
      <w:pPr/>
      <w:r>
        <w:rPr>
          <w:b/>
        </w:rPr>
        <w:t>Shared claim-specific concepts:</w:t>
      </w:r>
      <w:r>
        <w:t xml:space="preserve"> energy, system, policies, introduced; EU scope visible. This is a provisional connection, not an outcome finding.</w:t>
      </w:r>
    </w:p>
    <w:p>
      <w:pPr>
        <w:pStyle w:val="SourceNote"/>
      </w:pPr>
      <w:r>
        <w:rPr>
          <w:b/>
        </w:rPr>
        <w:t>Available abstract (not full text):</w:t>
      </w:r>
      <w:r>
        <w:t xml:space="preserve"> Self-sufficiency, climate change and increasing geopolitical risks have driven energy policies to make renewable energy sources dominant in the power production portfolios. The initial boom in the mid-2000s of global photovoltaic installations demonstrated the feasibility of the ambitious renewable energy targets. However, this rapid scale-up has introduced challenges, including price volatility and system integration issues. This communication calls the attention to these emerging challenges and offers quantitative insights on how rapid adoption of a more diversified photovoltaics deployment strategies can mitigate price volatilities, reduce fossil fuel dependence and steer Europe towards a forward-thinking sustainable energy pathway. The analysis reveals that as innovative bifacial photovoltaic systems are incorporated on a large-scale disruptive scenario, four main patterns emerge: economic value of solar production increases, base-load electricity price decreases, sun-rich countries expand their solar contributions, whereas nations with ample grid interconnections enhance their energy imports from neighbouring countries. It also underscores the importance of maintaining photovoltaics an attractive option for energy investors and traders in the future. Establishing this groundwork is critical since a successful integration of large-scale solar systems contributing to decreas</w:t>
      </w:r>
    </w:p>
    <w:p>
      <w:pPr/>
      <w:r>
        <w:rPr>
          <w:b/>
        </w:rPr>
        <w:t>POSSIBLE 2024:</w:t>
      </w:r>
      <w:r>
        <w:t xml:space="preserve"> THE EUROPEAN UNION'S GLOBAL GATEWAY IN THE FRAMEWORK OF SINO-EUROPEAN RELATIONS — https://doi.org/10.51799/2763-8685v4n2014</w:t>
      </w:r>
    </w:p>
    <w:p>
      <w:pPr/>
      <w:r>
        <w:rPr>
          <w:b/>
        </w:rPr>
        <w:t>Shared claim-specific concepts:</w:t>
      </w:r>
      <w:r>
        <w:t xml:space="preserve"> based, system, policies; EU scope visible. This is a provisional connection, not an outcome finding.</w:t>
      </w:r>
    </w:p>
    <w:p>
      <w:pPr>
        <w:pStyle w:val="SourceNote"/>
      </w:pPr>
      <w:r>
        <w:rPr>
          <w:b/>
        </w:rPr>
        <w:t>Available abstract (not full text):</w:t>
      </w:r>
      <w:r>
        <w:t xml:space="preserve"> This article aims to analyze the European Union proposal called Global Gateway, a new instrument reflecting Brussels’ medium-term strategy to compete with the Belt and Road Initiative of the People’s Republic of China. This analysis will focus on how the Global Gateway not only represents an economic and geopolitical response to the Chinese initiative, but also how it embodies the promotion of EU values and democracy at the global level. It will begin by examining the historical positions that the European Union has been defending with regard to the Asian country, with a geopolitical and geoeconomic analysis of the relations between the two actors. In light of the paradigm shift in these relationships as of 2019, the project that gives name to this document is studied in depth. Based on a thematic review of existing literature, it will analyze how Brussels uses the programme to disseminate its principles and values through cooperation and development policies. Finally, the implications of the Global Gateway in the current international system and its possible collision with the aforementioned Chinese project will be observed, paying particular attention to how this instrument influences global competition for leadership in infrastructure and connectivity and how it can serve as a vehicle for the globalization of European values, promoting democracy and respect for human rights </w:t>
      </w:r>
    </w:p>
    <w:p>
      <w:pPr/>
      <w:r>
        <w:rPr>
          <w:b/>
        </w:rPr>
        <w:t>POSSIBLE 2024:</w:t>
      </w:r>
      <w:r>
        <w:t xml:space="preserve"> Trends in Hybrid Renewable Energy System (HRES) Applications: A Review — https://doi.org/10.3390/en17112578</w:t>
      </w:r>
    </w:p>
    <w:p>
      <w:pPr/>
      <w:r>
        <w:rPr>
          <w:b/>
        </w:rPr>
        <w:t>Shared claim-specific concepts:</w:t>
      </w:r>
      <w:r>
        <w:t xml:space="preserve"> based, energy, system; EU scope not established. This is a provisional connection, not an outcome finding.</w:t>
      </w:r>
    </w:p>
    <w:p>
      <w:pPr>
        <w:pStyle w:val="SourceNote"/>
      </w:pPr>
      <w:r>
        <w:rPr>
          <w:b/>
        </w:rPr>
        <w:t>Available abstract (not full text):</w:t>
      </w:r>
      <w:r>
        <w:t xml:space="preserve"> Microgrids and hybrid renewable energy systems play a crucial role in today’s energy transition. They enable local power generation and distribution, reducing dependence on large centralized infrastructures, can operate independently or connected to a grid, and can provide backup power, thus increasing system resilience. In addition, they combine multiple renewable energy sources, such as solar, wind, hydro, and biomass, to maximize the efficiency and reliability of the supply, and are also adaptable to location-specific conditions, taking advantage of locally available energy resources and reducing the need for energy imports. Moreover, they contribute to decarbonization goals by offering a cleaner and more sustainable alternative. In this article, a documentary review is presented on the interaction of Homer Pro software 3.16.2 (July 2023), used for the design of hybrid renewable energy systems (HRES), with other methods of optimization or sizing. Allusion is made to the type of architecture in the most prominent clean and fossil source configurations, the levelized cost, net annual cost, and maintenance and capital investment cost. A comparison is made among the works reported in the last five years regarding the use of this software tool, based on load demand, geographical area, renewable energy sources, fossil sources, and objective functions, applied to the educational, r</w:t>
      </w:r>
    </w:p>
    <w:p>
      <w:pPr>
        <w:pStyle w:val="Heading2"/>
      </w:pPr>
      <w:r>
        <w:t>634. The role of transmission and energy storage in European decarbonization towards 2050</w:t>
      </w:r>
    </w:p>
    <w:p>
      <w:pPr>
        <w:pStyle w:val="SourceNote"/>
      </w:pPr>
      <w:r>
        <w:rPr>
          <w:b/>
        </w:rPr>
        <w:t>Original source (2021):</w:t>
      </w:r>
      <w:r>
        <w:t xml:space="preserve"> https://doi.org/10.1016/j.energy.2021.122159</w:t>
      </w:r>
    </w:p>
    <w:p>
      <w:pPr/>
      <w:r>
        <w:t>Original wording (abstract; indexed_source_text_not_full_document_verified): It is demonstrated that the European power sector can be decarbonised with a 65%–70% share of the electricity supply from wind power and PV in 2050. This paper presents analyses of the development of the European electricity sector that is in line with the climate and energy targets of the European Union for 2030 and 2050.</w:t>
      </w:r>
    </w:p>
    <w:p>
      <w:pPr/>
      <w:r>
        <w:rPr>
          <w:b/>
        </w:rPr>
        <w:t>POSSIBLE 2026:</w:t>
      </w:r>
      <w:r>
        <w:t xml:space="preserve"> Synthetic Impersonation in the Power Sector — https://doi.org/10.33445/sds.2026.16.4.11</w:t>
      </w:r>
    </w:p>
    <w:p>
      <w:pPr/>
      <w:r>
        <w:rPr>
          <w:b/>
        </w:rPr>
        <w:t>Shared claim-specific concepts:</w:t>
      </w:r>
      <w:r>
        <w:t xml:space="preserve"> power, sector, analyses; EU scope not established. This is a provisional connection, not an outcome finding.</w:t>
      </w:r>
    </w:p>
    <w:p>
      <w:pPr>
        <w:pStyle w:val="SourceNote"/>
      </w:pPr>
      <w:r>
        <w:rPr>
          <w:b/>
        </w:rPr>
        <w:t>Available abstract (not full text):</w:t>
      </w:r>
      <w:r>
        <w:t xml:space="preserve"> Purpose. This study examines synthetic impersonation in the power sector as a decision-security problem, focusing on the conditions under which manipulated communication may lead to unsafe operational decisions and on the organisational safeguards associated with safer behaviour. Method. An exploratory, quasi-experimental, scenario-based design was applied. The study comprised 24 attack scenarios, 24 communication stimuli, 8 operational command paths, an 8-layer security control matrix, and a supplier dependency layer. The analytical dataset contained 744 decision observations nested within 31 participants across four procedural conditions. Descriptive and comparative analyses were supplemented with participant-clustered generalized estimating equation modelling. Findings. Unsafe responses occurred in 26.34% of observations. The unsafe response rate decreased descriptively from 29.03% under Baseline conditions to 23.66% under Full Layered Control, although between-condition differences were not statistically significant. Unsafe responses were concentrated in selected high-consequence scenarios, particularly grid topology disclosure, hot-work approval, and black-start initiation. Unsafe decisions were associated with shorter decision times, whereas perceived authenticity did not meaningfully distinguish safe from unsafe outcomes. Theoretical implications. The findings support ex</w:t>
      </w:r>
    </w:p>
    <w:p>
      <w:pPr/>
      <w:r>
        <w:rPr>
          <w:b/>
        </w:rPr>
        <w:t>POSSIBLE 2026:</w:t>
      </w:r>
      <w:r>
        <w:t xml:space="preserve"> Analysing drivers and interdependencies in European electricity markets using XAI — https://openalex.org/W7165218583</w:t>
      </w:r>
    </w:p>
    <w:p>
      <w:pPr/>
      <w:r>
        <w:rPr>
          <w:b/>
        </w:rPr>
        <w:t>Shared claim-specific concepts:</w:t>
      </w:r>
      <w:r>
        <w:t xml:space="preserve"> demonstrated, power, share, electricity, energy; EU scope visible. This is a provisional connection, not an outcome finding.</w:t>
      </w:r>
    </w:p>
    <w:p>
      <w:pPr>
        <w:pStyle w:val="SourceNote"/>
      </w:pPr>
      <w:r>
        <w:rPr>
          <w:b/>
        </w:rPr>
        <w:t>Available abstract (not full text):</w:t>
      </w:r>
      <w:r>
        <w:t xml:space="preserve"> Electricity markets are inherently complex systems characterised by strong nonlinearities, high-dimensional interactions, and increasing interdependence across regions. While deep neural networks (DNNs) have demonstrated strong predictive capabilities for electricity prices, their lack of interpretability limits their usefulness for understanding the underlying drivers of price formation. This paper addresses this gap by combining DNN models with explainable artificial intelligence (XAI) techniques to analyse the determinants of electricity prices across 39 European bidding zones. We employ SHAP (SHapley Additive exPlanations) to quantify feature contributions and apply and extend SSHAP, an aggregation framework to improve interpretability in high-dimensional settings. The analysis identifies that renewable energy sources, particularly solar, play a disproportionately important role in price formation despite their lower share in total power generation. Gas prices remain a dominant and consistent driver across electricity markets, while interconnections significantly shape price dynamics, highlighting the strong interdependence of European electricity systems. In addition, a synthetic EU-wide electricity market is constructed to explore the counterfactual scenario of a fully integrated market with a single price.</w:t>
      </w:r>
    </w:p>
    <w:p>
      <w:pPr/>
      <w:r>
        <w:rPr>
          <w:b/>
        </w:rPr>
        <w:t>POSSIBLE 2026:</w:t>
      </w:r>
      <w:r>
        <w:t xml:space="preserve"> Analysing drivers and interdependencies in European electricity markets using XAI — https://doi.org/10.48550/arxiv.2606.19118</w:t>
      </w:r>
    </w:p>
    <w:p>
      <w:pPr/>
      <w:r>
        <w:rPr>
          <w:b/>
        </w:rPr>
        <w:t>Shared claim-specific concepts:</w:t>
      </w:r>
      <w:r>
        <w:t xml:space="preserve"> demonstrated, power, share, electricity, energy; EU scope visible. This is a provisional connection, not an outcome finding.</w:t>
      </w:r>
    </w:p>
    <w:p>
      <w:pPr>
        <w:pStyle w:val="SourceNote"/>
      </w:pPr>
      <w:r>
        <w:rPr>
          <w:b/>
        </w:rPr>
        <w:t>Available abstract (not full text):</w:t>
      </w:r>
      <w:r>
        <w:t xml:space="preserve"> Electricity markets are inherently complex systems characterised by strong nonlinearities, high-dimensional interactions, and increasing interdependence across regions. While deep neural networks (DNNs) have demonstrated strong predictive capabilities for electricity prices, their lack of interpretability limits their usefulness for understanding the underlying drivers of price formation. This paper addresses this gap by combining DNN models with explainable artificial intelligence (XAI) techniques to analyse the determinants of electricity prices across 39 European bidding zones. We employ SHAP (SHapley Additive exPlanations) to quantify feature contributions and apply and extend SSHAP, an aggregation framework to improve interpretability in high-dimensional settings. The analysis identifies that renewable energy sources, particularly solar, play a disproportionately important role in price formation despite their lower share in total power generation. Gas prices remain a dominant and consistent driver across electricity markets, while interconnections significantly shape price dynamics, highlighting the strong interdependence of European electricity systems. In addition, a synthetic EU-wide electricity market is constructed to explore the counterfactual scenario of a fully integrated market with a single price.</w:t>
      </w:r>
    </w:p>
    <w:p>
      <w:pPr/>
      <w:r>
        <w:rPr>
          <w:b/>
        </w:rPr>
        <w:t>POSSIBLE 2026:</w:t>
      </w:r>
      <w:r>
        <w:t xml:space="preserve"> Assessing the Market Value of Power Forecasting of Hybrid Power Plants in the Iberian Electricity Market — https://doi.org/10.1109/eem68581.2026.11589605</w:t>
      </w:r>
    </w:p>
    <w:p>
      <w:pPr/>
      <w:r>
        <w:rPr>
          <w:b/>
        </w:rPr>
        <w:t>Shared claim-specific concepts:</w:t>
      </w:r>
      <w:r>
        <w:t xml:space="preserve"> power, share, electricity, wind, energy, targets; EU scope visible. This is a provisional connection, not an outcome finding.</w:t>
      </w:r>
    </w:p>
    <w:p>
      <w:pPr>
        <w:pStyle w:val="SourceNote"/>
      </w:pPr>
      <w:r>
        <w:rPr>
          <w:b/>
        </w:rPr>
        <w:t>Available abstract (not full text):</w:t>
      </w:r>
      <w:r>
        <w:t xml:space="preserve"> ABSTRACT: This study evaluates the technical and economic performance of wind power plants hybridised with solar photovoltaic (PV) under two 2030 Iberian electricity market scenarios dominated by renewable energy, developed within the Man0EUvRE project. A power forecasting model was optimised to maximise their market value, considering participation in both day-ahead and balancing markets. Compared to wind-only power plants, hybridisation improves forecast accuracy due to the complementary generation profiles of wind and solar PV. As a result, revenue losses due to imbalance penalties decrease by 1528%, enabling the prices captured to increase by up to 6%. The hybrid configurations also achieved the highest market remuneration. However, as the share of low marginal cost technologies increases in the electricity markets, captured prices are expected to decline. These results demonstrate the benefits of hybridising the existing wind power plants, which can provide a short-term and efficient solution to support the ambitious European decarbonisation targets while enhancing both operational performance and their market value.</w:t>
      </w:r>
    </w:p>
    <w:p>
      <w:pPr/>
      <w:r>
        <w:rPr>
          <w:b/>
        </w:rPr>
        <w:t>POSSIBLE 2026:</w:t>
      </w:r>
      <w:r>
        <w:t xml:space="preserve"> Practices and Mechanisms of Payment for Electricity Transmission and Distribution Services in the European Union — https://openalex.org/W7168440883</w:t>
      </w:r>
    </w:p>
    <w:p>
      <w:pPr/>
      <w:r>
        <w:rPr>
          <w:b/>
        </w:rPr>
        <w:t>Shared claim-specific concepts:</w:t>
      </w:r>
      <w:r>
        <w:t xml:space="preserve"> power, sector, share, electricity, energy, union; EU scope visible. This is a provisional connection, not an outcome finding.</w:t>
      </w:r>
    </w:p>
    <w:p>
      <w:pPr>
        <w:pStyle w:val="SourceNote"/>
      </w:pPr>
      <w:r>
        <w:rPr>
          <w:b/>
        </w:rPr>
        <w:t>Available abstract (not full text):</w:t>
      </w:r>
      <w:r>
        <w:t xml:space="preserve"> The paper examines approaches to the design of tariffs for electricity transmission and distribution services in the European Union (EU) countries. Special attention is paid to the impact of the EU legal and regulatory framework and market integration processes on the structure and mechanisms of payment for network services. Based on the analysis of European practice, a number of conclusions are drawn that may be relevant for further improvement of tariff policy in the power sector. Background. In the context of the formation of a unified energy market in the EU, the issues of efficient operation of electricity transmission and distribution systems are of particular importance. The development of integrated energy systems, the increasing share of Renewable Energy Sources (RES), and the need to ensure the reliability of power supply require the improvement of mechanisms for paying for network services. Materials and Methods. The legal and regulatory framework, the used tariff formation models, are examined, and a comparative analysis of the approaches applied in various EU member states is conducted. Results. As part of this study, a comprehensive analysis of practices and mechanisms for payment of electricity transmission and distribution services was carried out, on the basis of which the main trends and issues in the field of tariff setting were identified. Conclusions. The c</w:t>
      </w:r>
    </w:p>
    <w:p>
      <w:pPr/>
      <w:r>
        <w:rPr>
          <w:b/>
        </w:rPr>
        <w:t>POSSIBLE 2026:</w:t>
      </w:r>
      <w:r>
        <w:t xml:space="preserve"> Scalable Optimisation and Learning Frameworks for Aggregator Participation in European Electricity Markets — https://openalex.org/W7219418485</w:t>
      </w:r>
    </w:p>
    <w:p>
      <w:pPr/>
      <w:r>
        <w:rPr>
          <w:b/>
        </w:rPr>
        <w:t>Shared claim-specific concepts:</w:t>
      </w:r>
      <w:r>
        <w:t xml:space="preserve"> power, electricity, energy, union; EU scope visible. This is a provisional connection, not an outcome finding.</w:t>
      </w:r>
    </w:p>
    <w:p>
      <w:pPr>
        <w:pStyle w:val="SourceNote"/>
      </w:pPr>
      <w:r>
        <w:rPr>
          <w:b/>
        </w:rPr>
        <w:t>Available abstract (not full text):</w:t>
      </w:r>
      <w:r>
        <w:t xml:space="preserve"> The transition towards renewable-dominated power systems underscores the critical importance of demand-side flexibility, with aggregators increasingly recognised by European Union regulators as key intermediaries between prosumers and electricity markets. However, the practical implementation of aggregator business models in European markets remains hindered by three major challenges: (i) the computational burden of complex bid structures such as block orders, (ii) scalable modelling of prosumer price responsiveness, and (iii) robust uncertainty quantification for flexibility forecasts that meet compliance standards such as P90 or 90% confidence levels. This thesis, jointly funded by The University of Adelaide and Watts A/S (Denmark), addresses these challenges by advancing tractable reformulations and applying machine learning techniques across these domains. First, tractable mathematical formulations for block orders are proposed, tailored to aggregator participation in day-ahead markets. The formulations overcome the limitations of the state-of-the-art methods, enhancing scalability and applicability. Second, an optimisation with a constraint learning framework is introduced to capture prosumer responsiveness, embedding deep neural networks based on Rectified Linear Unit (ReLU) as surrogate models within aggregator bidding problems. A novel linear programming relaxation for </w:t>
      </w:r>
    </w:p>
    <w:p>
      <w:pPr/>
      <w:r>
        <w:rPr>
          <w:b/>
        </w:rPr>
        <w:t>POSSIBLE 2026:</w:t>
      </w:r>
      <w:r>
        <w:t xml:space="preserve"> The electricity system value of the local acceptance of onshore wind in Europe — https://openalex.org/W7148177161</w:t>
      </w:r>
    </w:p>
    <w:p>
      <w:pPr/>
      <w:r>
        <w:rPr>
          <w:b/>
        </w:rPr>
        <w:t>Shared claim-specific concepts:</w:t>
      </w:r>
      <w:r>
        <w:t xml:space="preserve"> power, electricity, wind, energy; EU scope visible. This is a provisional connection, not an outcome finding.</w:t>
      </w:r>
    </w:p>
    <w:p>
      <w:pPr>
        <w:pStyle w:val="SourceNote"/>
      </w:pPr>
      <w:r>
        <w:rPr>
          <w:b/>
        </w:rPr>
        <w:t>Available abstract (not full text):</w:t>
      </w:r>
      <w:r>
        <w:t xml:space="preserve"> The large-scale deployment of wind power is central to Europe`s energy transition but faces challenges due to its social and environmental impacts on communities. Here we assess how the tolerance of local stakeholders to such impacts translates across spatial scales to shape the cost and design of the continent`s net-zero electricity system using a soft-linked modelling framework. We find that lower impact tolerance can reduce the role of onshore wind in Europe reaching net-zero by up to 84% relative to a future where wind enjoys higher acceptance, with other low carbon sources needing to be scaled up to compensate. This translates into total European electricity system costs increasing by between 2-14% while some countries see costs escalating by 20% or more. Our results show that the local acceptance of onshore wind is a key structural driver of the system and highlight the system value of policies to promote it.</w:t>
      </w:r>
    </w:p>
    <w:p>
      <w:pPr/>
      <w:r>
        <w:rPr>
          <w:b/>
        </w:rPr>
        <w:t>POSSIBLE 2026:</w:t>
      </w:r>
      <w:r>
        <w:t xml:space="preserve"> Differentiated impacts of climate physical risks on the Indian power sector — https://doi.org/10.1016/j.isci.2026.115697</w:t>
      </w:r>
    </w:p>
    <w:p>
      <w:pPr/>
      <w:r>
        <w:rPr>
          <w:b/>
        </w:rPr>
        <w:t>Shared claim-specific concepts:</w:t>
      </w:r>
      <w:r>
        <w:t xml:space="preserve"> power, sector, presents, climate; EU scope not established. This is a provisional connection, not an outcome finding.</w:t>
      </w:r>
    </w:p>
    <w:p>
      <w:pPr>
        <w:pStyle w:val="SourceNote"/>
      </w:pPr>
      <w:r>
        <w:rPr>
          <w:b/>
        </w:rPr>
        <w:t>Available abstract (not full text):</w:t>
      </w:r>
      <w:r>
        <w:t xml:space="preserve"> As India faces decarbonization and climate hazards, analyzing financial implications of climate-related risks for power sector is critical. This study presents a forward-looking, location focused, technology-wise analysis of physical climate risks for Indian power companies using novel asset-level methodologies. To assess physical risks, particularly flood exposure, we use spatially explicit modeling across 424 power-generating assets representing over 90% of India's capacity. Monte Carlo simulations reveal that without protective infrastructure, average losses exceed 19%, with 99th percentile tail risks surpassing 24%. However, investment in 100-year flood protection reduces average losses to under 1% and tail risks to below 2%. Results show that the effectiveness of risk mitigation varies significantly by technology and geography, with coal and gas assets benefiting most from protective investments, and coastal regions like Kerala and Gujarat showing highest vulnerabilities. This study provides a comprehensive empirical quantification of physical climate risks for Indian power firms at asset levels.</w:t>
      </w:r>
    </w:p>
    <w:p>
      <w:pPr/>
      <w:r>
        <w:rPr>
          <w:b/>
        </w:rPr>
        <w:t>POSSIBLE 2026:</w:t>
      </w:r>
      <w:r>
        <w:t xml:space="preserve"> Independent Expert Review of the Work "Digital Transformation of Ukraine's Electric Power Sector and Its Integration into the European Energy Area" — https://doi.org/10.5281/zenodo.22795337</w:t>
      </w:r>
    </w:p>
    <w:p>
      <w:pPr/>
      <w:r>
        <w:rPr>
          <w:b/>
        </w:rPr>
        <w:t>Shared claim-specific concepts:</w:t>
      </w:r>
      <w:r>
        <w:t xml:space="preserve"> power, sector, energy; EU scope visible. This is a provisional connection, not an outcome finding.</w:t>
      </w:r>
    </w:p>
    <w:p>
      <w:pPr>
        <w:pStyle w:val="SourceNote"/>
      </w:pPr>
      <w:r>
        <w:rPr>
          <w:b/>
        </w:rPr>
        <w:t>Available abstract (not full text):</w:t>
      </w:r>
      <w:r>
        <w:t xml:space="preserve"> This independent expert review examines the correspondence between the documented scientific and technological results of the work “Digital Transformation of Ukraine’s Electric Power Sector and Its Integration into the European Energy Area”, nominated for the 2026 Boris Paton National Prize of Ukraine, and the system-level scope of its claims concerning digital transformation and European integration. The review distinguishes between technological results, integrated operational capabilities, verified system capabilities, and system-level outcomes. It applies the verification chain: technology → deployment → integration → functional readiness → operational capability → performance during relevant disturbances → verified system capability → system-level result → economic attribution. Particular attention is given to the role of WAMS/PMU and the Regina-Ch system; the historical and technical trajectory from the synchronous operation of the Burshtyn Island with UCTE in 2002–2003 to the synchronisation of the Ukrainian power system with Continental Europe in 2022 and completion of the synchronisation project in 2023; WAMS performance during major system disturbances; and the reproducibility and causal attribution of the claimed economic effect exceeding UAH 16.2 billion. The review concludes that the published materials demonstrate a substantial scientific and technological contrib</w:t>
      </w:r>
    </w:p>
    <w:p>
      <w:pPr/>
      <w:r>
        <w:rPr>
          <w:b/>
        </w:rPr>
        <w:t>POSSIBLE 2026:</w:t>
      </w:r>
      <w:r>
        <w:t xml:space="preserve"> Independent Expert Review of the Work "Digital Transformation of Ukraine's Electric Power Sector and Its Integration into the European Energy Area" — https://doi.org/10.5281/zenodo.22795338</w:t>
      </w:r>
    </w:p>
    <w:p>
      <w:pPr/>
      <w:r>
        <w:rPr>
          <w:b/>
        </w:rPr>
        <w:t>Shared claim-specific concepts:</w:t>
      </w:r>
      <w:r>
        <w:t xml:space="preserve"> power, sector, energy; EU scope visible. This is a provisional connection, not an outcome finding.</w:t>
      </w:r>
    </w:p>
    <w:p>
      <w:pPr>
        <w:pStyle w:val="SourceNote"/>
      </w:pPr>
      <w:r>
        <w:rPr>
          <w:b/>
        </w:rPr>
        <w:t>Available abstract (not full text):</w:t>
      </w:r>
      <w:r>
        <w:t xml:space="preserve"> This independent expert review examines the correspondence between the documented scientific and technological results of the work “Digital Transformation of Ukraine’s Electric Power Sector and Its Integration into the European Energy Area”, nominated for the 2026 Boris Paton National Prize of Ukraine, and the system-level scope of its claims concerning digital transformation and European integration. The review distinguishes between technological results, integrated operational capabilities, verified system capabilities, and system-level outcomes. It applies the verification chain: technology → deployment → integration → functional readiness → operational capability → performance during relevant disturbances → verified system capability → system-level result → economic attribution. Particular attention is given to the role of WAMS/PMU and the Regina-Ch system; the historical and technical trajectory from the synchronous operation of the Burshtyn Island with UCTE in 2002–2003 to the synchronisation of the Ukrainian power system with Continental Europe in 2022 and completion of the synchronisation project in 2023; WAMS performance during major system disturbances; and the reproducibility and causal attribution of the claimed economic effect exceeding UAH 16.2 billion. The review concludes that the published materials demonstrate a substantial scientific and technological contrib</w:t>
      </w:r>
    </w:p>
    <w:p>
      <w:pPr/>
      <w:r>
        <w:rPr>
          <w:b/>
        </w:rPr>
        <w:t>POSSIBLE 2026:</w:t>
      </w:r>
      <w:r>
        <w:t xml:space="preserve"> Bidding Aggregated Flexibility in European Electricity Auctions — https://doi.org/10.1109/tempr.2026.3714683</w:t>
      </w:r>
    </w:p>
    <w:p>
      <w:pPr/>
      <w:r>
        <w:rPr>
          <w:b/>
        </w:rPr>
        <w:t>Shared claim-specific concepts:</w:t>
      </w:r>
      <w:r>
        <w:t xml:space="preserve"> power, electricity, energy; EU scope visible. This is a provisional connection, not an outcome finding.</w:t>
      </w:r>
    </w:p>
    <w:p>
      <w:pPr>
        <w:pStyle w:val="SourceNote"/>
      </w:pPr>
      <w:r>
        <w:rPr>
          <w:b/>
        </w:rPr>
        <w:t>Available abstract (not full text):</w:t>
      </w:r>
      <w:r>
        <w:t xml:space="preserve"> Bidding flexibility in day-ahead and intraday auctions would enable decentralized flexible resources, such as electric vehicles and heat pumps, to efficiently align their consumption with the intermittent generation of renewable energy. However, because these resources are individually too small to participate in those auctions directly, an aggregator (e.g., a utility) must act on their behalf. This requires aggregating many decentralized resources, which is a computationally challenging task. In this paper, we propose a computationally efficient and highly accurate method that is readily applicable to European day-ahead and intraday auctions. Distinct from existing methods, we aggregate only economically relevant power profiles, identified through price forecasts. The resulting flexibility is then conveyed to the market operator via exclusive groups of block bids. We evaluate our method for a utility serving the Swiss town of Losone, where flexibility from multiple heat pumps distributed across the grid must be aggregated and bid in the Swiss day-ahead auction. Results show that our method aggregates accurately, achieving 98% of the theoretically possible cost savings. This aggregation accuracy remains stable even as the number of heat pumps increases, while computation time grows only linearly, demonstrating strong scalability.</w:t>
      </w:r>
    </w:p>
    <w:p>
      <w:pPr/>
      <w:r>
        <w:rPr>
          <w:b/>
        </w:rPr>
        <w:t>POSSIBLE 2025:</w:t>
      </w:r>
      <w:r>
        <w:t xml:space="preserve"> Decadal Prediction for the European Energy Sector — https://doi.org/10.1002/met.70054</w:t>
      </w:r>
    </w:p>
    <w:p>
      <w:pPr/>
      <w:r>
        <w:rPr>
          <w:b/>
        </w:rPr>
        <w:t>Shared claim-specific concepts:</w:t>
      </w:r>
      <w:r>
        <w:t xml:space="preserve"> power, sector, share, electricity, wind, climate; EU scope visible. This is a provisional connection, not an outcome finding.</w:t>
      </w:r>
    </w:p>
    <w:p>
      <w:pPr>
        <w:pStyle w:val="SourceNote"/>
      </w:pPr>
      <w:r>
        <w:rPr>
          <w:b/>
        </w:rPr>
        <w:t>Available abstract (not full text):</w:t>
      </w:r>
      <w:r>
        <w:t xml:space="preserve"> ABSTRACT The timescale of decadal climate predictions, from a year‐ahead up to a decade, is an important planning horizon for stakeholders in the energy sector. With power systems transitioning towards a greater share of renewable energy sources, these systems become more sensitive to the variability of weather and climate, thus necessitating the provision of long‐range climate predictions to ensure effective planning and operation. As decadal predictions sample both the internal variability of the climate and the externally forced response, these forecasts potentially provide useful information for the upcoming decade. Here, we show for the first time that it is possible to make skillful decadal predictions for a range of energy sector relevant climate variables over the European region. We apply post‐processing techniques and identify skill in certain regions during both summer and winter for temperature, solar irradiance, and precipitation. We also show significant skill for 850 hPa zonal wind speed and the North Atlantic Oscillation during the extended winter period (October–March). We demonstrate how these forecasts can be used for important energy indicators, such as offshore wind capacity factors, comparing the skill of direct model output (using forecast variables directly) and pattern‐based approaches (e.g., using the NAO index). We find significant skill for predictio</w:t>
      </w:r>
    </w:p>
    <w:p>
      <w:pPr>
        <w:pStyle w:val="Heading2"/>
      </w:pPr>
      <w:r>
        <w:t>635. Towards net zero CO2 in 2050: An emission reduction pathway for organic soils in Germany</w:t>
      </w:r>
    </w:p>
    <w:p>
      <w:pPr>
        <w:pStyle w:val="SourceNote"/>
      </w:pPr>
      <w:r>
        <w:rPr>
          <w:b/>
        </w:rPr>
        <w:t>Original source (2021):</w:t>
      </w:r>
      <w:r>
        <w:t xml:space="preserve"> https://doi.org/10.19189/map.2020.snpg.sta.1951</w:t>
      </w:r>
    </w:p>
    <w:p>
      <w:pPr/>
      <w:r>
        <w:t>Original wording (abstract; indexed_source_text_not_full_document_verified): The more gradual pathway 1 requires the following interim (2030, 2040) and ultimate (2050) milestones: Cropland use stopped and all Cropland converted to Grassland by 2030; Water tables raised to the soil surface on 15 % / 60 % / 100 % of all Grassland, on 50 % / 75 % / 100 % of all Forest land, and ultimately on 2/3 of all Settlements and on 100 % of all Wetlands. Also a more direct pathway 2 without interim ‘moist’ water tables and the climate effect (radiative forcing) of different scenarios is presented.</w:t>
      </w:r>
    </w:p>
    <w:p>
      <w:pPr/>
      <w:r>
        <w:rPr>
          <w:b/>
        </w:rPr>
        <w:t>POSSIBLE 2026:</w:t>
      </w:r>
      <w:r>
        <w:t xml:space="preserve"> Energy pathway variety and the progress of the energy transition in European countries — https://doi.org/10.48550/arxiv.2609.09607</w:t>
      </w:r>
    </w:p>
    <w:p>
      <w:pPr/>
      <w:r>
        <w:rPr>
          <w:b/>
        </w:rPr>
        <w:t>Shared claim-specific concepts:</w:t>
      </w:r>
      <w:r>
        <w:t xml:space="preserve"> pathway, also, direct; EU scope visible. This is a provisional connection, not an outcome finding.</w:t>
      </w:r>
    </w:p>
    <w:p>
      <w:pPr>
        <w:pStyle w:val="SourceNote"/>
      </w:pPr>
      <w:r>
        <w:rPr>
          <w:b/>
        </w:rPr>
        <w:t>Available abstract (not full text):</w:t>
      </w:r>
      <w:r>
        <w:t xml:space="preserve"> The integration of new energy forms into existing energy infrastructure has emerged as a critical challenge in the context of the pursuit of a sustainable energy transition. One of the main challenges is understanding how this integration takes place not only from the introduction, but also as energy follows existing paths or creates new ones through which it is transformed and used by different activities. Here we introduce techniques from network science to analyse this process for the case of 29 European countries between 1992 and 2021. We study how new energy forms increase or decrease the variety (heterogeneity) of paths through the system of each country by establishing new ones and replacing or phasing out existing ones. We find that the transition to systems based on renewable energy is characterised by an initial increase in the variety of paths while the heterogeneity of paths decreases at the end of the transition, when the proportion of non-renewables in the system tends to zero. We then demonstrate that greater heterogeneity (complexity) is associated with larger annual fluctuations in the proportion of non-renewable sources in the system, establishing a direct relationship between the progress of the transition and the complexity of the energy system in which it occurs. This contributes to the understanding of general properties of the dynamics of the energy trans</w:t>
      </w:r>
    </w:p>
    <w:p>
      <w:pPr/>
      <w:r>
        <w:rPr>
          <w:b/>
        </w:rPr>
        <w:t>POSSIBLE 2026:</w:t>
      </w:r>
      <w:r>
        <w:t xml:space="preserve"> APPELLATE BODY OF THE WORLD TRADE ORGANIZATION CRISIS: CONSEQUENCES AND PATHWAYS TO REFORM — https://openalex.org/W7216665610</w:t>
      </w:r>
    </w:p>
    <w:p>
      <w:pPr/>
      <w:r>
        <w:rPr>
          <w:b/>
        </w:rPr>
        <w:t>Shared claim-specific concepts:</w:t>
      </w:r>
      <w:r>
        <w:t xml:space="preserve"> requires, interim, all; EU scope not established. This is a provisional connection, not an outcome finding.</w:t>
      </w:r>
    </w:p>
    <w:p>
      <w:pPr>
        <w:pStyle w:val="SourceNote"/>
      </w:pPr>
      <w:r>
        <w:rPr>
          <w:b/>
        </w:rPr>
        <w:t>Available abstract (not full text):</w:t>
      </w:r>
      <w:r>
        <w:t xml:space="preserve"> The paralysis of the World Trade Organization's Appellate Body since December 2019 has precipitated the gravest institutional crisis in the history of the multilateral trading system. The inability of WTO Members to agree on new appointments has rendered the appellate mechanism non-functional, leaving the dispute settlement system without its supreme judicial layer and creating a legal vacuum that no interim arrangement has yet adequately filled. This article examines the structural, political, and legal dimensions of this crisis, tracing the origins of Member State dissatisfaction with the Appellate Body, particularly the sustained objections of the United States concerning judicial overreach, procedural delays, and the treatment of trade remedy disciplines. The article analyses the Multi-Party Interim Appeal Arbitration Arrangement and evaluates its adequacy as a substitute for the Appellate Body. It further examines the various reform proposals advanced by WTO Members and academic commentators, assessing their feasibility and implications for the future architecture of multilateral trade governance. Special attention is paid to the interests of developing country Members, who stand to lose most from the erosion of the rules-based trading system. The article argues that durable reform requires a negotiated political settlement among major trading powers that balances rule-of-</w:t>
      </w:r>
    </w:p>
    <w:p>
      <w:pPr/>
      <w:r>
        <w:rPr>
          <w:b/>
        </w:rPr>
        <w:t>POSSIBLE 2025:</w:t>
      </w:r>
      <w:r>
        <w:t xml:space="preserve"> Examining innovative designs of agri-environmental schemes in Europe: A case comparison of impact pathways — https://doi.org/10.1016/j.ecoser.2025.101728</w:t>
      </w:r>
    </w:p>
    <w:p>
      <w:pPr/>
      <w:r>
        <w:rPr>
          <w:b/>
        </w:rPr>
        <w:t>Shared claim-specific concepts:</w:t>
      </w:r>
      <w:r>
        <w:t xml:space="preserve"> all, grassland, water, also; EU scope visible. This is a provisional connection, not an outcome finding.</w:t>
      </w:r>
    </w:p>
    <w:p>
      <w:pPr>
        <w:pStyle w:val="SourceNote"/>
      </w:pPr>
      <w:r>
        <w:rPr>
          <w:b/>
        </w:rPr>
        <w:t>Available abstract (not full text):</w:t>
      </w:r>
      <w:r>
        <w:t xml:space="preserve"> Agri-environmental schemes (AES), a subtype of payments for ecosystem services (PES), aim to address Europe’s environmental and climate objectives by incentivising farmers to maintain or shift to farming practices that deliver additional ecosystem services (ES). We develop a theory of change (ToC) for AES, reviewing nine European case studies at different implementation stages, yet all featuring innovative contract solutions to increase ES provision (e.g., water quality, pollination) and enhance bird and grassland biodiversity. Mirroring ecosystem and geographic variety across Europe, we analyse observed strengths and weaknesses in designing, implementing, and evaluating AES, and flag emerging research gaps. Using the comparative case study (CCS) method to analyse case-specific secondary data, we highlight the importance of local contextualization and management customization across landscapes, differentiating contract types to target variable farmer groups. Some regionally implemented schemes outside the EU’s Common Agricultural Policy (CAP) framework emphasize trust-building and prove well-tailored to local conditions. New result-based schemes may achieve both farmer uptake and incremental ES delivery, depending on ES types and costs. Spatial coordination incentives (agglomeration bonuses and thresholds) stimulate farmer uptake, but their cost effectiveness remains undocument</w:t>
      </w:r>
    </w:p>
    <w:p>
      <w:pPr/>
      <w:r>
        <w:rPr>
          <w:b/>
        </w:rPr>
        <w:t>POSSIBLE 2024:</w:t>
      </w:r>
      <w:r>
        <w:t xml:space="preserve"> Women’s Leadership in Organizations as a Pathway to Ukraine’s European Integration — https://doi.org/10.32983/2222-4459-2024-11-377-386</w:t>
      </w:r>
    </w:p>
    <w:p>
      <w:pPr/>
      <w:r>
        <w:rPr>
          <w:b/>
        </w:rPr>
        <w:t>Shared claim-specific concepts:</w:t>
      </w:r>
      <w:r>
        <w:t xml:space="preserve"> pathway, all, also; EU scope visible. This is a provisional connection, not an outcome finding.</w:t>
      </w:r>
    </w:p>
    <w:p>
      <w:pPr>
        <w:pStyle w:val="SourceNote"/>
      </w:pPr>
      <w:r>
        <w:rPr>
          <w:b/>
        </w:rPr>
        <w:t>Available abstract (not full text):</w:t>
      </w:r>
      <w:r>
        <w:t xml:space="preserve"> The article is aimed at studying the phenomenon of women’s leadership in organizations as a strategic vector of European integration of Ukraine. It is considered how gender equality in the professional sphere and in managerial activities contributes to the introduction of European values into Ukrainian society, strengthens democratic principles and ensures social justice. The article analyzes the key principles of European equality standards, such as transparency, mutual respect, dignity and equality before the law, which is the basis for the formation of a gender-balanced society, as well as explores the importance of these standards for Ukraine. The challenges faced by women on their way to leadership positions in organizations are revealed. It is determined that despite positive developments, women in Ukraine still face barriers such as stereotypes, prejudices against their competence, as well as limited access to leadership positions in organizations. The relevance of creating equal conditions for the professional development of men and women as an important factor in the integration process, which contributes to the formation of a sustainable and competitive economy, as well as increases the innovative potential of organizations, is substantiated. The article proposes a definition of the phenomenon of «women’s leadership» in the context of organizational development and so</w:t>
      </w:r>
    </w:p>
    <w:p>
      <w:pPr/>
      <w:r>
        <w:rPr>
          <w:b/>
        </w:rPr>
        <w:t>POSSIBLE 2022:</w:t>
      </w:r>
      <w:r>
        <w:t xml:space="preserve"> Optimization of the possible pathways for gradual energy system decarbonization — https://doi.org/10.1016/j.renene.2022.05.005</w:t>
      </w:r>
    </w:p>
    <w:p>
      <w:pPr/>
      <w:r>
        <w:rPr>
          <w:b/>
        </w:rPr>
        <w:t>Shared claim-specific concepts:</w:t>
      </w:r>
      <w:r>
        <w:t xml:space="preserve"> gradual, use, also; EU scope visible. This is a provisional connection, not an outcome finding.</w:t>
      </w:r>
    </w:p>
    <w:p>
      <w:pPr>
        <w:pStyle w:val="SourceNote"/>
      </w:pPr>
      <w:r>
        <w:rPr>
          <w:b/>
        </w:rPr>
        <w:t>Available abstract (not full text):</w:t>
      </w:r>
      <w:r>
        <w:t xml:space="preserve"> The European Union and other signatories to the Paris Climate Accord have agreed to limit global warming to 2° Celsius above pre-industrial levels. Previously published studies have examined the optimal energy system structure required to satisfy carbon neutrality end goals. This research focuses on addressing the intermediate steps towards decarbonization. The steps are quantified as the percentage share of renewable energy sources. The objective of the optimization is to reach a predetermined level of renewable energy and emissions, minimize curtailment of renewable energy sources, minimize system cost, and limit the use of natural resources such as biomass in the energy sector. Considered technologies in the optimization process are energy-generating capacities, demand response technologies, and energy storage. The results of such a method reflect the use of considered technologies and are displayed as a function of renewable energy share and carbon dioxide emissions level, which also represent the decarbonization timeline from 2020 to 2050. The method is carried out with the use of energy planning software EnergyPLAN and highly modified Python-based optimization software EPLANopt. The results presented in the research display the necessity for continuous implementation of variable generating capacities as well as demand response technologies, mainly vehicle to grid.</w:t>
      </w:r>
    </w:p>
    <w:p>
      <w:pPr/>
      <w:r>
        <w:rPr>
          <w:b/>
        </w:rPr>
        <w:t>POSSIBLE 2022:</w:t>
      </w:r>
      <w:r>
        <w:t xml:space="preserve"> Utilising Human Crash Tolerance to Design an Interim and Ultimate Safe System for Road Safety — https://doi.org/10.3390/su14063491</w:t>
      </w:r>
    </w:p>
    <w:p>
      <w:pPr/>
      <w:r>
        <w:rPr>
          <w:b/>
        </w:rPr>
        <w:t>Shared claim-specific concepts:</w:t>
      </w:r>
      <w:r>
        <w:t xml:space="preserve"> pathway, interim, ultimate, all; EU scope not established. This is a provisional connection, not an outcome finding.</w:t>
      </w:r>
    </w:p>
    <w:p>
      <w:pPr>
        <w:pStyle w:val="SourceNote"/>
      </w:pPr>
      <w:r>
        <w:rPr>
          <w:b/>
        </w:rPr>
        <w:t>Available abstract (not full text):</w:t>
      </w:r>
      <w:r>
        <w:t xml:space="preserve"> Many jurisdictions globally have adopted a zero road trauma target by 2050 and an interim target of a 50% reduction by 2030. The objective of this study was to investigate what the road system will need to look like in order to achieve these respective targets. Utilising human tolerance to injury as the key design factor, this study defined the combination of vehicle, infrastructure, and travel speed requirements to manage crash energy in order to: 1. prevent all fatalities and serious injuries by 2050 in an Ultimate Safe System scenario; and 2. significantly reduce fatalities and severe injuries by 2030 in an Interim Safe System scenario. Victoria, Australia and its Movement and Place (M&amp;P) framework was employed as a case study. With the vehicle and infrastructure countermeasures currently available coupled with appropriate travel speeds it is possible to construct an Ultimate Safe System that can manage crash forces to achieve zero trauma and an Interim Safe System that can significantly reduce the most severe injuries in Victoria. This study has demonstrated a potential pathway from the current situation to 2030 and then 2050 that can achieve safety targets while meeting the core objectives of the transport system.</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use, grassland, water, land, also;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pStyle w:val="Heading2"/>
      </w:pPr>
      <w:r>
        <w:t>636. Ukrainian Migration Aspirations towards Germany: Analysis and Development Scenarios</w:t>
      </w:r>
    </w:p>
    <w:p>
      <w:pPr>
        <w:pStyle w:val="SourceNote"/>
      </w:pPr>
      <w:r>
        <w:rPr>
          <w:b/>
        </w:rPr>
        <w:t>Original source (2021):</w:t>
      </w:r>
      <w:r>
        <w:t xml:space="preserve"> https://doi.org/10.18778/1508-2008.24.04</w:t>
      </w:r>
    </w:p>
    <w:p>
      <w:pPr/>
      <w:r>
        <w:t>Original wording (abstract; indexed_source_text_not_full_document_verified): Based on the multiple regression model and scenario approach to forecasting, the article estimates the Ukrainian migration aspirations towards Germany (the scale of migration, the economic activity of migrants, and their economic benefits). It is argued that major transformations in the gender-age structure of the German population may cause a demographic crisis and labour market imbalances.</w:t>
      </w:r>
    </w:p>
    <w:p>
      <w:pPr/>
      <w:r>
        <w:rPr>
          <w:b/>
        </w:rPr>
        <w:t>POSSIBLE 2026:</w:t>
      </w:r>
      <w:r>
        <w:t xml:space="preserve"> Soil quality assessment based on agrochemical indicators and optimized multiple linear regression — https://doi.org/10.12911/22998993/215563</w:t>
      </w:r>
    </w:p>
    <w:p>
      <w:pPr/>
      <w:r>
        <w:rPr>
          <w:b/>
        </w:rPr>
        <w:t>Shared claim-specific concepts:</w:t>
      </w:r>
      <w:r>
        <w:t xml:space="preserve"> based, multiple, regression, estimates; EU scope not established. This is a provisional connection, not an outcome finding.</w:t>
      </w:r>
    </w:p>
    <w:p>
      <w:pPr>
        <w:pStyle w:val="SourceNote"/>
      </w:pPr>
      <w:r>
        <w:rPr>
          <w:b/>
        </w:rPr>
        <w:t>Available abstract (not full text):</w:t>
      </w:r>
      <w:r>
        <w:t xml:space="preserve"> Soil quality assessment is a key component of sustainable land use, agroecosystem monitoring, and the optimization of agrochemical management.The aim of this study is to evaluate the soil quality within the Rozsoshansk community of the Khmelnytskyi region using the soil quality index (SQI) and to develop a statistically sound predictive model based on agrochemical indicators.The analysis was conducted using a set of soil parameters, including pH, C org , 𝑁𝑁𝐻𝐻 4 + 𝑁𝑁𝑂𝑂 3 -, , 𝑁𝑁𝐻𝐻 4 + 𝑁𝑁𝑂𝑂 3 -, , P 2 O 5 , Ca 2+ і K + .Spearman correlation analysis was performed, followed by the construction of a multiple linear regression model (R 2 = 0.904, Adjusted R 2 = 0.900), an assessment of multicollinearity (VIF), and ANOVA.Based on the results of the regression model with seven predictors, together with ANOVA and VIF diagnostics, an optimized model with four predictors (pH, C org , 𝑁𝑁𝐻𝐻 4 + 𝑁𝑁𝑂𝑂 3 -, , Ca 2+ ) was developed.This refined model demonstrated strong explanatory power (R 2 = 0.856, Adjusted R 2 = 0.853) and low prediction error.Residual diagnostics indicated deviations from normality and heteroscedasticity; however, robust estimation methods (OLS-HC3 and RLM using HuberT) confirmed the stability of the coefficient estimates.The findings suggest that soil organic carbon, exchangeable calcium, acidity, and nitrate nitrogen are the key indicators of soil quality in the study a</w:t>
      </w:r>
    </w:p>
    <w:p>
      <w:pPr/>
      <w:r>
        <w:rPr>
          <w:b/>
        </w:rPr>
        <w:t>POSSIBLE 2026:</w:t>
      </w:r>
      <w:r>
        <w:t xml:space="preserve"> Multiple Linear Regression-Enhanced RGB-based Luminescence Thermometry for High-sensitivity Thermal Readout — https://doi.org/10.48550/arxiv.2609.15102</w:t>
      </w:r>
    </w:p>
    <w:p>
      <w:pPr/>
      <w:r>
        <w:rPr>
          <w:b/>
        </w:rPr>
        <w:t>Shared claim-specific concepts:</w:t>
      </w:r>
      <w:r>
        <w:t xml:space="preserve"> based, multiple, regression, approach; EU scope not established. This is a provisional connection, not an outcome finding.</w:t>
      </w:r>
    </w:p>
    <w:p>
      <w:pPr>
        <w:pStyle w:val="SourceNote"/>
      </w:pPr>
      <w:r>
        <w:rPr>
          <w:b/>
        </w:rPr>
        <w:t>Available abstract (not full text):</w:t>
      </w:r>
      <w:r>
        <w:t xml:space="preserve"> The practical implementation of phosphors for luminescence-based thermal sensing and imaging requires simple, user-friendly approaches that enable convenient and sensitive temperature readout. To the best of our knowledge, this is the first demonstration of combining RGB-based thermal imaging using a conventional digital camera with multiple linear regression (MLR) to achieve straightforward and highly sensitive temperature determination and spatially resolved thermal imaging. Importantly, the implementation of the MLR approach enhances the relative sensitivity by more than 3-fold, compared with conventional analysis based solely on the G/R or B/R intensity ratios. The application of Ca3Al2O6:Mn2+-Ce3+ as a luminescent temperature probe, in which the intensity ratio between the Ce3+ and Mn2+ emission bands exhibits a pronounced temperature dependence, enables temperature readout through several complementary approaches. These include conventional luminescence intensity ratio thermometry (SR = 1.46% K-1), analysis of the CIE 1931 chromaticity coordinates (SRx = 0.45% K-1 and SRy = 0.14% K-1), as well as RGB-based thermal sensing and imaging using a digital camera. This multimodal optical response, together with the accessibility of camera-based readout and the substantial sensitivity enhancement enabled by MLR, establishes a practical strategy for spatially resolved luminescence</w:t>
      </w:r>
    </w:p>
    <w:p>
      <w:pPr/>
      <w:r>
        <w:rPr>
          <w:b/>
        </w:rPr>
        <w:t>POSSIBLE 2025:</w:t>
      </w:r>
      <w:r>
        <w:t xml:space="preserve"> Signal-Based Trading Strategy for SPY ETF: A Multiple Linear Regression Approach — https://doi.org/10.70693/rwsk.v1i2.552</w:t>
      </w:r>
    </w:p>
    <w:p>
      <w:pPr/>
      <w:r>
        <w:rPr>
          <w:b/>
        </w:rPr>
        <w:t>Shared claim-specific concepts:</w:t>
      </w:r>
      <w:r>
        <w:t xml:space="preserve"> multiple, regression, approach, major; EU scope visible. This is a provisional connection, not an outcome finding.</w:t>
      </w:r>
    </w:p>
    <w:p>
      <w:pPr>
        <w:pStyle w:val="SourceNote"/>
      </w:pPr>
      <w:r>
        <w:rPr>
          <w:b/>
        </w:rPr>
        <w:t>Available abstract (not full text):</w:t>
      </w:r>
      <w:r>
        <w:t xml:space="preserve"> This study develops a signal-based trading strategy for the SPDR S&amp;P 500 ETF Trust (SPY) using a multiple linear regression framework to analyze interrelationships between SPY and global equity indices across U.S., European, Asian, and Australian markets. By synthesizing historical pricing data from these major benchmarks, the model generates systematic trading signals through predicted price trajectories. In controlled training scenarios, the strategy achieved superior risk-adjusted returns compared to passive buy-and-hold approaches, demonstrating the value of cross-market signal integration. While the framework shows promise for algorithmic trading systems, the study acknowledges limitations in generalizing historical patterns to evolving market conditions. The findings highlight opportunities to enhance predictive accuracy through machine learning architectures capable of processing nonlinear market dynamics. These insights advance quantitative trading research by establishing methodologies for cross-market signal synthesis and proposing pathways to develop adaptive models for volatile capital markets.</w:t>
      </w:r>
    </w:p>
    <w:p>
      <w:pPr/>
      <w:r>
        <w:rPr>
          <w:b/>
        </w:rPr>
        <w:t>POSSIBLE 2025:</w:t>
      </w:r>
      <w:r>
        <w:t xml:space="preserve"> Research on Heilongjiang Rice Industry Based on Multiple Linear Regression Analysis — https://doi.org/10.54097/pc44xs21</w:t>
      </w:r>
    </w:p>
    <w:p>
      <w:pPr/>
      <w:r>
        <w:rPr>
          <w:b/>
        </w:rPr>
        <w:t>Shared claim-specific concepts:</w:t>
      </w:r>
      <w:r>
        <w:t xml:space="preserve"> based, multiple, regression, estimates, scale; EU scope not established. This is a provisional connection, not an outcome finding.</w:t>
      </w:r>
    </w:p>
    <w:p>
      <w:pPr>
        <w:pStyle w:val="SourceNote"/>
      </w:pPr>
      <w:r>
        <w:rPr>
          <w:b/>
        </w:rPr>
        <w:t>Available abstract (not full text):</w:t>
      </w:r>
      <w:r>
        <w:t xml:space="preserve"> Against the backdrop of a severe global food security situation, accurate prediction of crop yields is crucial for ensuring stable food supply and maintaining socio-economic stability. Heilongjiang Province is an important region for rice production in China, and its rice yield is of great significance to the stable supply of national grain. This study uses multiple linear regression and random forest regression models to conduct in-depth research and predictive analysis on rice production in various cities of Heilongjiang Province. The data is sourced from authoritative databases and field research, after data cleaning, which includes removing outliers, handling missing values, and correcting errors, and standardization, which normalizes data to a common scale (such as using z-score normalization or min-max scaling) to ensure consistency and comparability, models are constructed. The multiple linear regression model is based on the assumption of linear relationship, estimates parameters using the least squares method, and rigorously tests and evaluates them; The random forest regression model, as an optimization model, utilizes multiple decision trees for ensemble learning to improve prediction accuracy and reliability. Comparing the predicted values of the two models, it was found that they each have their own advantages, providing diverse and powerful support for predicting </w:t>
      </w:r>
    </w:p>
    <w:p>
      <w:pPr/>
      <w:r>
        <w:rPr>
          <w:b/>
        </w:rPr>
        <w:t>POSSIBLE 2025:</w:t>
      </w:r>
      <w:r>
        <w:t xml:space="preserve"> A Multiple Linear Regression–Based Algorithm to Correct for Cosmic Rays in Raman Images — https://doi.org/10.1002/cem.70000</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ABSTRACT Raman imaging is a powerful technique for simultaneously obtaining chemical and spatial information on diverse materials. One of the most common detectors used on Raman equipment is the charge coupled detector (CCD) due its high sensitivity. However, CCDs are also sensitive to cosmic rays, that generate very narrow and intense signals: cosmic ray spikes. Since these peaks can be very intense and numerous, it is important to eliminate them before any data analysis. Some methods to do this use comparison of neighboring pixels to identify spikes, but when using the line‐scanning acquisition mode, it is common that these spikes appear in two or more pixels close together. Thus, in this work, a new algorithm has been developed to correct for cosmic ray spikes in Raman images, based on multiple linear regression (MLR). This algorithm takes less than 1 min in images with more than 70,000 spectra and removes all spikes, even those at low intensity.</w:t>
      </w:r>
    </w:p>
    <w:p>
      <w:pPr/>
      <w:r>
        <w:rPr>
          <w:b/>
        </w:rPr>
        <w:t>POSSIBLE 2025:</w:t>
      </w:r>
      <w:r>
        <w:t xml:space="preserve"> The European Approach to the Use of Artificial Intelligence for Sustainable Development — https://doi.org/10.1093/9780198945215.003.0161</w:t>
      </w:r>
    </w:p>
    <w:p>
      <w:pPr/>
      <w:r>
        <w:rPr>
          <w:b/>
        </w:rPr>
        <w:t>Shared claim-specific concepts:</w:t>
      </w:r>
      <w:r>
        <w:t xml:space="preserve"> based, multiple, approach, article; EU scope visible. This is a provisional connection, not an outcome finding.</w:t>
      </w:r>
    </w:p>
    <w:p>
      <w:pPr>
        <w:pStyle w:val="SourceNote"/>
      </w:pPr>
      <w:r>
        <w:rPr>
          <w:b/>
        </w:rPr>
        <w:t>Available abstract (not full text):</w:t>
      </w:r>
      <w:r>
        <w:t xml:space="preserve"> Abstract Sustainable development in AI is an essential element to ensure that this technology fosters a beneficial future from environmental, social, and economic perspectives. Indeed, the multiple applications of AI have great potential for achieving the UN Sustainable Development Goals. Accordingly, the EU has enacted the Artificial Intelligence Act, a legal framework adopted in 2024 that incorporates (to varying degrees) the principles of sustainable development in the use of AI systems. To this end, the legislative technique is fundamentally based on a risk management approach. The law classifies AI systems according to their risk levels and assigns different requirements and obligations accordingly. Thus, this article examines how the European law addresses the advancement of AI in its contribution to sustainability.</w:t>
      </w:r>
    </w:p>
    <w:p>
      <w:pPr/>
      <w:r>
        <w:rPr>
          <w:b/>
        </w:rPr>
        <w:t>POSSIBLE 2025:</w:t>
      </w:r>
      <w:r>
        <w:t xml:space="preserve"> Social Intervention in the Field of Honour-Based Violence in Europe: contributions to its Approach in Spain — https://openalex.org/W7114947958</w:t>
      </w:r>
    </w:p>
    <w:p>
      <w:pPr/>
      <w:r>
        <w:rPr>
          <w:b/>
        </w:rPr>
        <w:t>Shared claim-specific concepts:</w:t>
      </w:r>
      <w:r>
        <w:t xml:space="preserve"> based, approach; EU scope visible. This is a provisional connection, not an outcome finding.</w:t>
      </w:r>
    </w:p>
    <w:p>
      <w:pPr>
        <w:pStyle w:val="SourceNote"/>
      </w:pPr>
      <w:r>
        <w:rPr>
          <w:b/>
        </w:rPr>
        <w:t>Available abstract (not full text):</w:t>
      </w:r>
      <w:r>
        <w:t xml:space="preserve"> Honour-based violence is a serious social phenomenon whose institutional attention in Spain is still scarce. Therefore, this research aims to identify and analyse the existing literature within the European context that shows empirical results on social intervention in the field of honour-based violence. The aim is to contribute significant elements to the academic debate that favour the construction of an institutional response in Spain, as established by the Istanbul Convention of the Council of Europe. To this end, we developed an exploratory systematized review based on the PRISMA methodology. The results show how the greatest academic prominence is in the United Kingdom and Sweden, in correspondence with the greater institutional and regulatory attention given in both countries. The analysis of the selected articles allows us to place four thematic categories of interest: assistance and protection for victims, identification of risk and conditions of vulnerability, narratives and institutional discoursesand, finally, the detection of honour-based violence in the educational context. The study concludes by pointing out the importance of developing a holistic care model focused on the prevention of the phenomenon and the specific intervention with victims</w:t>
      </w:r>
    </w:p>
    <w:p>
      <w:pPr/>
      <w:r>
        <w:rPr>
          <w:b/>
        </w:rPr>
        <w:t>POSSIBLE 2025:</w:t>
      </w:r>
      <w:r>
        <w:t xml:space="preserve"> Multiple Regression with Transformations and Variable Selection at the Industrial Scale — https://doi.org/10.1080/26939169.2025.2490027</w:t>
      </w:r>
    </w:p>
    <w:p>
      <w:pPr/>
      <w:r>
        <w:rPr>
          <w:b/>
        </w:rPr>
        <w:t>Shared claim-specific concepts:</w:t>
      </w:r>
      <w:r>
        <w:t xml:space="preserve"> based, multiple, regression, article, scale, transformations; EU scope not established. This is a provisional connection, not an outcome finding.</w:t>
      </w:r>
    </w:p>
    <w:p>
      <w:pPr>
        <w:pStyle w:val="SourceNote"/>
      </w:pPr>
      <w:r>
        <w:rPr>
          <w:b/>
        </w:rPr>
        <w:t>Available abstract (not full text):</w:t>
      </w:r>
      <w:r>
        <w:t xml:space="preserve"> This article explores the development of a statistical model to predict roll forces during hot rolling in a commercial steel mill based on a data set from an industrial-scale operation; this data set consists of 2,255 individual coils, processed through five roll stands in the mill, for a total of 11,275 distinct data points. This work is informed by a physics-based equation and applies variable transformations, variable selection and model comparisons; it illustrates several topics introduced throughout a regression modeling course, including data visualization, multiple linear regression, residual diagnostics and heteroscedastiscity, variable transformations, collinearity and confounding due to strong correlations between predictor variables, the false correlation paradox, variable selection, and measures of model quality for predictive use. Extensions, including autocorrelation, mixed models, and resampling methods, are also suitable as more advanced topics and for open-ended courses. Finally, we add an interesting real data set and associated analysis to the publicly available resources for statistics and data science education.</w:t>
      </w:r>
    </w:p>
    <w:p>
      <w:pPr/>
      <w:r>
        <w:rPr>
          <w:b/>
        </w:rPr>
        <w:t>POSSIBLE 2024:</w:t>
      </w:r>
      <w:r>
        <w:t xml:space="preserve"> A used sailboat pricing model based on multiple linear regression — https://doi.org/10.54254/2755-2721/68/20241449</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The value of sailboats varies depending on the region and market conditions. Brokers need a better understanding of the sailboat market and make informed decisions to mitigate potential risks. To address these issues, this paper employs methods of multiple linear regression analysis and the grey correlation forecasting method. By utilizing data analysis techniques, a commonly used sailboat pricing model is established. Specifically, we first preprocess the given dataset and encode the processed data for subsequent model use. Additionally, the paper selects the three most influential factors on the pricing model: length, make, and year, and employs the method of independent weighting coefficients for multiple linear regression analysis calculation. Furthermore, we analyze the regional impact on listing prices of used sailboats. Based on these analyses, the proposed model can provide data analysis and sales recommendation reports for brokers. Lastly, the model proposed in this paper demonstrates strong accuracy and robustness, making it easy to implement with other datasets.</w:t>
      </w:r>
    </w:p>
    <w:p>
      <w:pPr/>
      <w:r>
        <w:rPr>
          <w:b/>
        </w:rPr>
        <w:t>POSSIBLE 2024:</w:t>
      </w:r>
      <w:r>
        <w:t xml:space="preserve"> Price prediction of polyester yarn based on multiple linear regression model — https://doi.org/10.1371/journal.pone.0310355</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China's polyester textile industry is one of the notable contributors to national economy. This paper takes polyester yarn, core raw material in polyester textile industry chain, as research object, and deeply explores its price indicators and risk hedging mechanisms through multiple linear regression models and Holt-Winters approaches. It is worth mentioning that with continuous development of digital technology, digital transformation of production lines and warehouses has become an important development feature in various industries. This study also actively complies with this trend, and innovatively incorporates the upstream and downstream production line start-up rates into price prediction model. Through this initiative, we can more comprehensively consider the impact of supply and demand changes on price of polyester yarn, thus making prediction results more closely reflect the actual market situation. This quantitative analysis method undoubtedly provides new ideas for enterprises to better grasp market dynamics in digital era.</w:t>
      </w:r>
    </w:p>
    <w:p>
      <w:pPr/>
      <w:r>
        <w:rPr>
          <w:b/>
        </w:rPr>
        <w:t>POSSIBLE 2024:</w:t>
      </w:r>
      <w:r>
        <w:t xml:space="preserve"> Enterprise Value Valuation—BYD as an Example Based on SWOT Model and Multiple Regression Model — https://doi.org/10.17265/2328-2185/2024.04.001</w:t>
      </w:r>
    </w:p>
    <w:p>
      <w:pPr/>
      <w:r>
        <w:rPr>
          <w:b/>
        </w:rPr>
        <w:t>Shared claim-specific concepts:</w:t>
      </w:r>
      <w:r>
        <w:t xml:space="preserve"> based, multiple, regression; EU scope not established. This is a provisional connection, not an outcome finding.</w:t>
      </w:r>
    </w:p>
    <w:p>
      <w:pPr>
        <w:pStyle w:val="SourceNote"/>
      </w:pPr>
      <w:r>
        <w:rPr>
          <w:b/>
        </w:rPr>
        <w:t>Available abstract (not full text):</w:t>
      </w:r>
      <w:r>
        <w:t xml:space="preserve"> BYD is one of the largest new energy vehicle companies in China.Analyzing its scenario and the factors that affect its value helps to understand and identify development opportunities and potential problems.On one hand, this paper makes a qualitative analysis of BYD, using SWOT model to study the internal capability and external environment of BYD.On the other hand, the multiple regression model is used for quantitative analysis of BYD's enterprise value, and the model is established based on three factors: enterprise fundamentals, investor behavior and psychology, and macroeconomic policy uncertainty, and the stepwise regression is carried out.The results show that the increase of institutional investors' shareholding ratio, the increase of investor sentiment index, and the increase of M2 growth rate will increase the overall enterprise value, while the increase of economic policy uncertainty will decrease the enterprise value.</w:t>
      </w:r>
    </w:p>
    <w:p>
      <w:pPr/>
      <w:r>
        <w:rPr>
          <w:b/>
        </w:rPr>
        <w:t>POSSIBLE 2024:</w:t>
      </w:r>
      <w:r>
        <w:t xml:space="preserve"> The European Union's Approach to Cognitive Warfare’s Command and Control — https://doi.org/10.52783/jes.7939</w:t>
      </w:r>
    </w:p>
    <w:p>
      <w:pPr/>
      <w:r>
        <w:rPr>
          <w:b/>
        </w:rPr>
        <w:t>Shared claim-specific concepts:</w:t>
      </w:r>
      <w:r>
        <w:t xml:space="preserve"> multiple, approach, article; EU scope visible. This is a provisional connection, not an outcome finding.</w:t>
      </w:r>
    </w:p>
    <w:p>
      <w:pPr>
        <w:pStyle w:val="SourceNote"/>
      </w:pPr>
      <w:r>
        <w:rPr>
          <w:b/>
        </w:rPr>
        <w:t>Available abstract (not full text):</w:t>
      </w:r>
      <w:r>
        <w:t xml:space="preserve"> Cognitive warfare has evolved alongside advances in technology, psychology, and communication methods, reflecting a growing understanding of how to influence and control human minds. Cognitive warfare refers to efforts to influence, manipulate, or control public perceptions, decision-making processes, and behaviors using psychological, informational, or technological tactics that often blur the lines between the military and civilian domains. From ancient psychological tactics to artificial intelligence-based disinformation campaigns, the essence of cognitive warfare is the same: shaping perceptions and behavior in ways that often achieve strategic goals without the need for physical force. One of the most important aspects of cognitive warfare is its command and control, which naturally has multiple perspectives. This article aims to understand the European Union’s approach to command and control of cognitive warfare. The main research question is what similarities and differences does the European Union’s approach to command and control of cognitive warfare have with other approaches? The method of this article is descriptive-analytical. The required data was obtained by referring to library sources as well as reputable scientific research articles and official documents. The research findings show that the European Union's approach to command and control in cognitive warfare</w:t>
      </w:r>
    </w:p>
    <w:p>
      <w:pPr>
        <w:pStyle w:val="Heading2"/>
      </w:pPr>
      <w:r>
        <w:t>637. Where is the EU headed given its current climate policy? A stakeholder-driven model inter-comparison</w:t>
      </w:r>
    </w:p>
    <w:p>
      <w:pPr>
        <w:pStyle w:val="SourceNote"/>
      </w:pPr>
      <w:r>
        <w:rPr>
          <w:b/>
        </w:rPr>
        <w:t>Original source (2021):</w:t>
      </w:r>
      <w:r>
        <w:t xml:space="preserve"> https://doi.org/10.1016/j.scitotenv.2021.148549</w:t>
      </w:r>
    </w:p>
    <w:p>
      <w:pPr/>
      <w:r>
        <w:t>Original wording (abstract; indexed_source_text_not_full_document_verified): We find that Europe is currently on track to overperforming its pre-2020 40% target yet far from its newest ambition of 55% emissions cuts by 2030, as well as looking at a 1.0–2.35 GtCO2 emissions range in 2050. The output of this process is a scenario framework exploring where the region is headed rather than how to achieve its goals, extrapolating its current policy efforts into the future.</w:t>
      </w:r>
    </w:p>
    <w:p>
      <w:pPr/>
      <w:r>
        <w:rPr>
          <w:b/>
        </w:rPr>
        <w:t>POSSIBLE 2025:</w:t>
      </w:r>
      <w:r>
        <w:t xml:space="preserve"> The Rise of Social Science Infrastructures in Europe and Italy — https://doi.org/10.1007/978-3-032-07005-0_5</w:t>
      </w:r>
    </w:p>
    <w:p>
      <w:pPr/>
      <w:r>
        <w:rPr>
          <w:b/>
        </w:rPr>
        <w:t>Shared claim-specific concepts:</w:t>
      </w:r>
      <w:r>
        <w:t xml:space="preserve"> currently, framework, achieve; EU scope visible. This is a provisional connection, not an outcome finding.</w:t>
      </w:r>
    </w:p>
    <w:p>
      <w:pPr>
        <w:pStyle w:val="SourceNote"/>
      </w:pPr>
      <w:r>
        <w:rPr>
          <w:b/>
        </w:rPr>
        <w:t>Available abstract (not full text):</w:t>
      </w:r>
      <w:r>
        <w:t xml:space="preserve"> Abstract Probabilistic panel infrastructures are becoming essential components of Europe’s social science research ecosystem. Their methodological rigour, capacity for longitudinal tracking, and alignment with FAIR (Findable, Accessible, Interoperable, Reusable) principles make them particularly well-suited to addressing the complexity of contemporary societal dynamics. Italy, in alignment with broader European trends, is adopting and developing such infrastructures by integrating advanced statistical tools, digital innovation, and open science practices. This chapter discusses the role of the European Commission, the European Strategy Forum on Research Infrastructures—ESFRI Roadmap, the European Research Infrastructure Consortium (ERIC) legal framework and the European Open Science Cloud (EOSC) environment, underlining how social science in Italy is aligning and evolving to achieve the standards indicated by mayor longitudinal social science research infrastructures. This chapter serves as an introduction to key European social research infrastructures that are further explored in the following chapters. It briefly presents the Survey of Health, Ageing and Retirement in Europe (SHARE-ERIC) and the Consortium of European Social Science Data Archives (CESSDA-ERIC) as foundational tools for Open Science in the social sciences and outlines the implementation of international surve</w:t>
      </w:r>
    </w:p>
    <w:p>
      <w:pPr/>
      <w:r>
        <w:rPr>
          <w:b/>
        </w:rPr>
        <w:t>POSSIBLE 2024:</w:t>
      </w:r>
      <w:r>
        <w:t xml:space="preserve"> Tracking Loop Current Eddies in the Gulf of Mexico Using Satellite-Derived Chlorophyll-a — https://doi.org/10.3390/rs16122234</w:t>
      </w:r>
    </w:p>
    <w:p>
      <w:pPr/>
      <w:r>
        <w:rPr>
          <w:b/>
        </w:rPr>
        <w:t>Shared claim-specific concepts:</w:t>
      </w:r>
      <w:r>
        <w:t xml:space="preserve"> find, track, well; EU scope visible. This is a provisional connection, not an outcome finding.</w:t>
      </w:r>
    </w:p>
    <w:p>
      <w:pPr>
        <w:pStyle w:val="SourceNote"/>
      </w:pPr>
      <w:r>
        <w:rPr>
          <w:b/>
        </w:rPr>
        <w:t>Available abstract (not full text):</w:t>
      </w:r>
      <w:r>
        <w:t xml:space="preserve"> During the period of 2018–2022, there were six named Loop Current Eddy (LCE) shedding events in the central Gulf of Mexico (GoM). LCEs form when a large anticyclonic eddy (AE) separates from the main Loop Current (LC) and propagates westward. In doing so, each LCE traps and advects warmer, saltier waters with lower Chlorophyll-a (Chl-a) concentrations than the surrounding Gulf waters. This difference in water mass permits the study of the effectiveness of using Chl-a from satellite-derived ocean color to identify LCEs in the GoM. In this work, we apply an eddy-tracking algorithm to Chl-a to detect LCEs, which we have validated against the traditional sea surface height-(SSH) based eddy-tracking approach with three datasets. We apply a closed-contour eddy-tracking algorithm to the SSH of two model products (HYbrid Coordination Ocean Model; HYCOM and Nucleus for European Modelling of the Ocean; NEMO) and absolute dynamic topography (ADT) from altimetry, as well as satellite-derived Chl-a data to identify the six named LCEs from 2018 to 2022. We find that Chl-a best characterizes LCEs in the summertime due to a basin-wide increase in the horizontal gradient of Chl-a, which permits a more clearly defined eddy edge. This study demonstrates that Chl-a can be effectively used to identify and track LC and LCEs in the GoM, serving as a promising source of information for regional data a</w:t>
      </w:r>
    </w:p>
    <w:p>
      <w:pPr/>
      <w:r>
        <w:rPr>
          <w:b/>
        </w:rPr>
        <w:t>POSSIBLE 2024:</w:t>
      </w:r>
      <w:r>
        <w:t xml:space="preserve"> A unifying modelling of multiple land degradation pathways in Europe — https://doi.org/10.1038/s41467-024-48252-x</w:t>
      </w:r>
    </w:p>
    <w:p>
      <w:pPr/>
      <w:r>
        <w:rPr>
          <w:b/>
        </w:rPr>
        <w:t>Shared claim-specific concepts:</w:t>
      </w:r>
      <w:r>
        <w:t xml:space="preserve"> find, currently, goals;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2023:</w:t>
      </w:r>
      <w:r>
        <w:t xml:space="preserve"> Portfolio Performance of European Target Prices — https://doi.org/10.3390/jrfm16080347</w:t>
      </w:r>
    </w:p>
    <w:p>
      <w:pPr/>
      <w:r>
        <w:rPr>
          <w:b/>
        </w:rPr>
        <w:t>Shared claim-specific concepts:</w:t>
      </w:r>
      <w:r>
        <w:t xml:space="preserve"> find, target, well, achieve; EU scope visible. This is a provisional connection, not an outcome finding.</w:t>
      </w:r>
    </w:p>
    <w:p>
      <w:pPr>
        <w:pStyle w:val="SourceNote"/>
      </w:pPr>
      <w:r>
        <w:rPr>
          <w:b/>
        </w:rPr>
        <w:t>Available abstract (not full text):</w:t>
      </w:r>
      <w:r>
        <w:t xml:space="preserve"> This paper examines the performance of actively managed portfolios constructed using target price recommendations provided by analysts. We propose two methods for constructing portfolios based on Bloomberg’s 12-month target price consensus, which serves as a signal to buy or sell assets. Using a sample of 50 European stocks over a 19-year period (from 1 April 2004 to 31 March 2023), we compare the performance of target-price-based portfolios to traditional alternatives, such as a naïve homogeneous portfolio and the Eurostoxx 50 index, as well as to passive portfolios based on average recommendations. We also look into the mean-variance efficiency of these portfolios and find that all exhibit similar levels of efficiency, which are well below the performance of the theoretical tangent portfolios. Our results indicate that target-price-based portfolios show performance very close to that of the naïve homogeneous portfolio. Even the passive “average” target price portfolios, which require previous knowledge of targets for the entire investment period, are unable to outperform the naïve portfolio. Our main findings are based on a 15-year investment horizon but are robust when considering smaller maturities and out-of-sample data. We also investigate the impact of rebalancing on portfolio performance and find that it does pay off in the long run (over an 8-year investment period), b</w:t>
      </w:r>
    </w:p>
    <w:p>
      <w:pPr/>
      <w:r>
        <w:rPr>
          <w:b/>
        </w:rPr>
        <w:t>POSSIBLE 2022:</w:t>
      </w:r>
      <w:r>
        <w:t xml:space="preserve"> Internet User Trackers and Where to Find Them — https://doi.org/10.2478/acss-2022-0008</w:t>
      </w:r>
    </w:p>
    <w:p>
      <w:pPr/>
      <w:r>
        <w:rPr>
          <w:b/>
        </w:rPr>
        <w:t>Shared claim-specific concepts:</w:t>
      </w:r>
      <w:r>
        <w:t xml:space="preserve"> find, track, well; EU scope not established. This is a provisional connection, not an outcome finding.</w:t>
      </w:r>
    </w:p>
    <w:p>
      <w:pPr>
        <w:pStyle w:val="SourceNote"/>
      </w:pPr>
      <w:r>
        <w:rPr>
          <w:b/>
        </w:rPr>
        <w:t>Available abstract (not full text):</w:t>
      </w:r>
      <w:r>
        <w:t xml:space="preserve"> Abstract In the modern online world, users are often asked for a permission to track their actions as a permission to “allow cookies”. The gathered information could be very valuable for a potential advertiser. However, online tracking is not only a benefit for a user but also a threat to the user’s privacy. This information combined with a targeted advertisement on a mass scale has potential to alter behaviour of large groups. This study summarises previous academic work on online user tracking and anti-tracking measures. As a result, it describes the current mechanisms used to track a user, as well as some methods that can be applied to reduce tracking. The study concludes that government legislation and open dialog between Internet users and advertisers might be the only way to ensure online privacy.</w:t>
      </w:r>
    </w:p>
    <w:p>
      <w:pPr/>
      <w:r>
        <w:rPr>
          <w:b/>
        </w:rPr>
        <w:t>POSSIBLE 2022:</w:t>
      </w:r>
      <w:r>
        <w:t xml:space="preserve"> Greenhouse Gas Emission Reduction Potential of European Union’s Circularity Related Targets for Plastics — https://doi.org/10.1007/s43615-022-00192-8</w:t>
      </w:r>
    </w:p>
    <w:p>
      <w:pPr/>
      <w:r>
        <w:rPr>
          <w:b/>
        </w:rPr>
        <w:t>Shared claim-specific concepts:</w:t>
      </w:r>
      <w:r>
        <w:t xml:space="preserve"> currently, target, emissions; EU scope visible. This is a provisional connection, not an outcome finding.</w:t>
      </w:r>
    </w:p>
    <w:p>
      <w:pPr>
        <w:pStyle w:val="SourceNote"/>
      </w:pPr>
      <w:r>
        <w:rPr>
          <w:b/>
        </w:rPr>
        <w:t>Available abstract (not full text):</w:t>
      </w:r>
      <w:r>
        <w:t xml:space="preserve"> Current rising concerns about environmental and climate impacts in production, consumption and end-of-life of plastics have led to efforts to switch from linear to circular economy of plastics in Europe. Greenhouse gas emissions are likely to decrease with a transition to a circular system; however, a systematic and integrated perspective on plastics and the carbon cycle is currently missing in the debate on plastics. In this study, a model to estimate greenhouse gas emissions of the current mostly linear plastics value chain of the EU in 2018 and a future scenario, 2025 model, were created. By 2025 if current policy targets are reached, the plastic packaging recycling rate should be 50%, PET-based drinking bottles should include 25% recycled content, 77% collection target for plastic bottles, 10 Mt recyclates should enter the markets, uptake of bio-based plastics is estimated by European bioplastics to increase from current 1 to 1.32% and landfilling will continue to decrease according to the current trend at 3.85%. Total greenhouse gas emissions caused by the current plastics value chain are estimated at 208 million tonnes of CO2-eq. The 2025 model estimates that total plastics value chain emissions will be 182 Mt of CO2-eq. Reduction potential is approximately 26 Mt of CO2-eq or 13%.</w:t>
      </w:r>
    </w:p>
    <w:p>
      <w:pPr/>
      <w:r>
        <w:rPr>
          <w:b/>
        </w:rPr>
        <w:t>POSSIBLE 2022:</w:t>
      </w:r>
      <w:r>
        <w:t xml:space="preserve"> Are tracking recommendations biased? A review of teachers’ role in the creation of inequalities in tracking decisions — https://doi.org/10.1016/j.tate.2022.103985</w:t>
      </w:r>
    </w:p>
    <w:p>
      <w:pPr/>
      <w:r>
        <w:rPr>
          <w:b/>
        </w:rPr>
        <w:t>Shared claim-specific concepts:</w:t>
      </w:r>
      <w:r>
        <w:t xml:space="preserve"> find, track, yet; EU scope not established. This is a provisional connection, not an outcome finding.</w:t>
      </w:r>
    </w:p>
    <w:p>
      <w:pPr>
        <w:pStyle w:val="SourceNote"/>
      </w:pPr>
      <w:r>
        <w:rPr>
          <w:b/>
        </w:rPr>
        <w:t>Available abstract (not full text):</w:t>
      </w:r>
      <w:r>
        <w:t xml:space="preserve"> Sorting students into hierarchically ordered tracks or streams on the basis of their academic performance (i.e., tracking) is ubiquitous in educational systems, and oftentimes based on teachers’ track recommendations. International surveys indicate that tracking is associated with educational inequalities. To determine if inequalities in tracking may be due to teacher recommendations being biased against students from disadvantaged socio-economic and/or ethnic backgrounds, we conducted a systematic review of 26 recent articles on tracking recommendations and students’ socio-economic or ethnic background. We find that teacher recommendations are biased against students from disadvantaged socio-economic backgrounds, yet evidence with respect to ethnic biases is more mixed. We also conducted an integrative review to examine which factors may account for social and ethnic inequalities in teacher tracking recommendations. We conclude that students’, parents’ and teachers’ attitudes and behaviours play a role in tracking recommendations but cannot fully account for the inequality in these recommendations. We discuss promising areas for future study, and argue that research may want to focus on finding institutional moderators in order to combat biases in educational institutions.</w:t>
      </w:r>
    </w:p>
    <w:p>
      <w:pPr>
        <w:pStyle w:val="Heading2"/>
      </w:pPr>
      <w:r>
        <w:t>638. A Game for All Seasons: Lessons and Learnings from the JRC’s Scenario Exploration System</w:t>
      </w:r>
    </w:p>
    <w:p>
      <w:pPr>
        <w:pStyle w:val="SourceNote"/>
      </w:pPr>
      <w:r>
        <w:rPr>
          <w:b/>
        </w:rPr>
        <w:t>Original source (2020):</w:t>
      </w:r>
      <w:r>
        <w:t xml:space="preserve"> https://doi.org/10.1177/1946756719890524</w:t>
      </w:r>
    </w:p>
    <w:p>
      <w:pPr/>
      <w:r>
        <w:t>Original wording (abstract; indexed_source_text_not_full_document_verified): It was originally geared at engaging EU policy-makers with scenarios in a facilitated process with a low learning curve.</w:t>
      </w:r>
    </w:p>
    <w:p>
      <w:pPr/>
      <w:r>
        <w:rPr>
          <w:b/>
        </w:rPr>
        <w:t>POSSIBLE 2022:</w:t>
      </w:r>
      <w:r>
        <w:t xml:space="preserve"> How not to manage crises in the European Union — https://doi.org/10.1093/ia/iiac064</w:t>
      </w:r>
    </w:p>
    <w:p>
      <w:pPr/>
      <w:r>
        <w:rPr>
          <w:b/>
        </w:rPr>
        <w:t>Shared claim-specific concepts:</w:t>
      </w:r>
      <w:r>
        <w:t xml:space="preserve"> engaging, policy-makers, process; EU scope visible. This is a provisional connection, not an outcome finding.</w:t>
      </w:r>
    </w:p>
    <w:p>
      <w:pPr>
        <w:pStyle w:val="SourceNote"/>
      </w:pPr>
      <w:r>
        <w:rPr>
          <w:b/>
        </w:rPr>
        <w:t>Available abstract (not full text):</w:t>
      </w:r>
      <w:r>
        <w:t xml:space="preserve"> Abstract The process of European integration has often been used as either a model or an anti-model for other regional integration experiences. This article discusses the European Union's shortcomings in crisis management, arguing that valuable ‘how not to’ lessons can be drawn by dissecting the initial stages of the eurozone crisis and the COVID–19 pandemic as ‘moments of truth’. The main policy mistakes committed at the onset of both crises are explored devoting special attention to the role played by the hiatus between research and policy, as well as the inadequacies, biases and hubris of academic analyses. Ideally, comprehensive reforms would be required to equip the EU with the competences and tools needed for effective crisis management. The article concludes that, in the absence of such comprehensive reforms, the only option left to policy-makers engaging in crisis management will be to seek a pragmatic middle ground between supranationalism and intergovernmentalism on a case-by-case basis.</w:t>
      </w:r>
    </w:p>
    <w:p>
      <w:pPr>
        <w:pStyle w:val="Heading2"/>
      </w:pPr>
      <w:r>
        <w:t>639. A comparison of three transformation pathways towards a sustainable European society - An integrated analysis from an energy system perspective</w:t>
      </w:r>
    </w:p>
    <w:p>
      <w:pPr>
        <w:pStyle w:val="SourceNote"/>
      </w:pPr>
      <w:r>
        <w:rPr>
          <w:b/>
        </w:rPr>
        <w:t>Original source (2020):</w:t>
      </w:r>
      <w:r>
        <w:t xml:space="preserve"> https://doi.org/10.1016/j.esr.2020.100461</w:t>
      </w:r>
    </w:p>
    <w:p>
      <w:pPr/>
      <w:r>
        <w:t>Original wording (abstract; indexed_source_text_not_full_document_verified): The application looks at three clearly distinguished but likely paths: one where the decarbonisation effort is mostly undertaken by decarbonisation of the energy supply; one where consumers take on a more active role in the decarbonisation, instead; one where ambitions are raised and all sectors of the economy must act together to achieve the targets. To realise this transition, a reduction in greenhouse gas emissions of at least 80% from 1990 levels by 2050 is required.</w:t>
      </w:r>
    </w:p>
    <w:p>
      <w:pPr/>
      <w:r>
        <w:rPr>
          <w:b/>
        </w:rPr>
        <w:t>POSSIBLE 2026:</w:t>
      </w:r>
      <w:r>
        <w:t xml:space="preserve"> The impacts of the covidfencing phenomenon in three European cross border regions — https://doi.org/10.1080/09654313.2026.2655883</w:t>
      </w:r>
    </w:p>
    <w:p>
      <w:pPr/>
      <w:r>
        <w:rPr>
          <w:b/>
        </w:rPr>
        <w:t>Shared claim-specific concepts:</w:t>
      </w:r>
      <w:r>
        <w:t xml:space="preserve"> looks, three, role; EU scope visible. This is a provisional connection, not an outcome finding.</w:t>
      </w:r>
    </w:p>
    <w:p>
      <w:pPr>
        <w:pStyle w:val="SourceNote"/>
      </w:pPr>
      <w:r>
        <w:rPr>
          <w:b/>
        </w:rPr>
        <w:t>Available abstract (not full text):</w:t>
      </w:r>
      <w:r>
        <w:t xml:space="preserve"> This article adopts a temporal and multi-level perspective on the phenomenon of covidfencing, which emerged during the COVID-19 pandemic of the early 2020s and led to widespread ‘re-bordering’ across European cross-border regions. It explores how different regions experienced covidfencing and analyzes the processes that produced divergent outcomes, considering developments at regional, national, and European levels. By assessing the situation several years after the initial crisis, the article examines the persistence of changes to the constitutionalization and everyday functioning of cross-border regions. Drawing on qualitative research in the Geneva Basin, Greater Saar-Lor-Lux, and Öresund regions, it identifies tangible reforms in taxation, social security, and remote work frameworks that have reshaped cross-border mobility and governance. The article also looks ahead to evaluate what institutional changes have been made to improve crisis preparedness and which lessons from the covidfencing period remain unaddressed. In doing so, it contributes to current debates on regional governance resilience, offering insights into how the experiences of the early 2020s have influenced the evolving role and structure of cross-border regions in Europe today.</w:t>
      </w:r>
    </w:p>
    <w:p>
      <w:pPr/>
      <w:r>
        <w:rPr>
          <w:b/>
        </w:rPr>
        <w:t>POSSIBLE 2026:</w:t>
      </w:r>
      <w:r>
        <w:t xml:space="preserve"> Mnemonic Devices Used by Iraqi Distinguished Students — https://doi.org/10.63797/5nanjq38</w:t>
      </w:r>
    </w:p>
    <w:p>
      <w:pPr/>
      <w:r>
        <w:rPr>
          <w:b/>
        </w:rPr>
        <w:t>Shared claim-specific concepts:</w:t>
      </w:r>
      <w:r>
        <w:t xml:space="preserve"> distinguished, one, role, all; EU scope not established. This is a provisional connection, not an outcome finding.</w:t>
      </w:r>
    </w:p>
    <w:p>
      <w:pPr>
        <w:pStyle w:val="SourceNote"/>
      </w:pPr>
      <w:r>
        <w:rPr>
          <w:b/>
        </w:rPr>
        <w:t>Available abstract (not full text):</w:t>
      </w:r>
      <w:r>
        <w:t xml:space="preserve"> Mnemonic devices are special techniques or strategies consciously used to improve memory. They help employ information already stored in long-term memory in order to make memorization an easier task. All specialists in the field of education and methodology agree about the important role such strategies play in improving students storing and later recall of information. The present study firstly aims at exploring mnemonic strategies used by Iraqi distinguished students. The second aim is that the researcher wants to shed light on the types of mnemonics devices used by male and those adopted by female students. To achieve aims of the study the researcher constructs a questionnaire. A closed type of questionnaire consists of (32) items with five Likert options built by the researcher. Each item of the questionnaire reflects one of the mnemonic strategies that can be used by student when they want to memorize and retrieve information. The whole population of the present study includes the fifth stage students of secondary schools for distinguished students for boys and girls in the city of Karbala governorate during the academic year 2023-2024. The sample of the present study consists of (165) students (male and female) and this represent all the distinguished students in fifth secondary stage in Karbala city in the academic year 2023-2024.</w:t>
      </w:r>
    </w:p>
    <w:p>
      <w:pPr/>
      <w:r>
        <w:rPr>
          <w:b/>
        </w:rPr>
        <w:t>POSSIBLE 2025:</w:t>
      </w:r>
      <w:r>
        <w:t xml:space="preserve"> Celebrating its past, European Medicines Agency looks to the future of public communication — https://doi.org/10.56012/jkzv5290</w:t>
      </w:r>
    </w:p>
    <w:p>
      <w:pPr/>
      <w:r>
        <w:rPr>
          <w:b/>
        </w:rPr>
        <w:t>Shared claim-specific concepts:</w:t>
      </w:r>
      <w:r>
        <w:t xml:space="preserve"> looks, three, one; EU scope visible. This is a provisional connection, not an outcome finding.</w:t>
      </w:r>
    </w:p>
    <w:p>
      <w:pPr>
        <w:pStyle w:val="SourceNote"/>
      </w:pPr>
      <w:r>
        <w:rPr>
          <w:b/>
        </w:rPr>
        <w:t>Available abstract (not full text):</w:t>
      </w:r>
      <w:r>
        <w:t xml:space="preserve"> As the European Medicines Agency (EMA) marks its 30th anniversary with a series of events at its offices in Amsterdam, one area in the spotlight is EMA’s communication with the public. The Agency has made significant strides in this area over the past three decades, and it faces new challenges today. There are also exciting opportunities brought about by changes to the pharmaceutical and technological landscape.</w:t>
      </w:r>
    </w:p>
    <w:p>
      <w:pPr/>
      <w:r>
        <w:rPr>
          <w:b/>
        </w:rPr>
        <w:t>POSSIBLE 2025:</w:t>
      </w:r>
      <w:r>
        <w:t xml:space="preserve"> A Comprehensive Review of Solar Photovoltaic Systems: Scope, Technologies, Applications, Progress, Challenges, and Recommendations — https://doi.org/10.1109/access.2025.3558539</w:t>
      </w:r>
    </w:p>
    <w:p>
      <w:pPr/>
      <w:r>
        <w:rPr>
          <w:b/>
        </w:rPr>
        <w:t>Shared claim-specific concepts:</w:t>
      </w:r>
      <w:r>
        <w:t xml:space="preserve"> looks, three, one, energy; EU scope visible. This is a provisional connection, not an outcome finding.</w:t>
      </w:r>
    </w:p>
    <w:p>
      <w:pPr>
        <w:pStyle w:val="SourceNote"/>
      </w:pPr>
      <w:r>
        <w:rPr>
          <w:b/>
        </w:rPr>
        <w:t>Available abstract (not full text):</w:t>
      </w:r>
      <w:r>
        <w:t xml:space="preserve"> The paradigm for energy systems has shifted in the last several years from non-renewable energy sources to renewable energy sources (RESs). Leveraging RESs seeks to meet local demand while reducing complexity, expense, and inefficiencies and promoting energy independence, local resilience, and the transition to zero CO2 emissions. One of the RES technologies that could help create clean, dependable, scalable, and reasonably priced energy is solar energy. This article offers a detailed analysis of solar photovoltaic (PV) technology. It examines the distinct qualities and developments of the three generations of solar PV technologies: first-generation crystalline silicon, second-generation thin-film, and third-generation developing technologies including perovskite and organic cells. The study also looks at the many diverse applications of solar photovoltaics, such as energy communities, microgrids, transportation systems, telecommunications, and agriculture. Moreover, it highlights the deployment of the solar PV system in Italy by overseeing the installed capacity, electricity generation, and energy consumption with different types of energy sources after focusing on global and European scenarios. From the data, it is seen that China, USA, and India have led the world in capacity growth for solar PV, while Europe continues to lead the way in policy-driven solar adoption. Italy h</w:t>
      </w:r>
    </w:p>
    <w:p>
      <w:pPr/>
      <w:r>
        <w:rPr>
          <w:b/>
        </w:rPr>
        <w:t>POSSIBLE 2025:</w:t>
      </w:r>
      <w:r>
        <w:t xml:space="preserve"> Taxonomical Analysis of Alternative Energy Sources Application in Road Transport in the European Union Countries — https://doi.org/10.3390/en18164228</w:t>
      </w:r>
    </w:p>
    <w:p>
      <w:pPr/>
      <w:r>
        <w:rPr>
          <w:b/>
        </w:rPr>
        <w:t>Shared claim-specific concepts:</w:t>
      </w:r>
      <w:r>
        <w:t xml:space="preserve"> application, looks, energy; EU scope visible. This is a provisional connection, not an outcome finding.</w:t>
      </w:r>
    </w:p>
    <w:p>
      <w:pPr>
        <w:pStyle w:val="SourceNote"/>
      </w:pPr>
      <w:r>
        <w:rPr>
          <w:b/>
        </w:rPr>
        <w:t>Available abstract (not full text):</w:t>
      </w:r>
      <w:r>
        <w:t xml:space="preserve"> Currently, the market for cars based on alternative fuels is developing very dynamically, which is caused by the growing needs in the field of environmental protection and the desire to reduce dependence on fossil fuels. Many countries have introduced various forms of support for people who decide to buy an electric or a hybrid car. The European Union has also introduced increasingly restrictive CO2 emission standards, which accelerates the transition to alternative drives. The main research question in the paper was how the market for alternative energy sources in transport is developing in individual countries of the community, what the infrastructure looks like, and whether there is a large diversity in this field in the countries under study. The taxonomic methods (the TOPSIS method and the cluster analysis) have been applied for the research. The data were taken from Eurostat and the European Alternative Fuels Observatory statistical data. The analysis allowed an identification of key regularities that characterize the process of transformation of road transport in the European Union. Firstly, there is a clear division in countries with a high level of electrification (clusters I, IV, and VI) and countries that prefer gas drives (cluster V) or that are at an early stage of transformation (clusters II and III). Secondly, a strong relationship between the development of char</w:t>
      </w:r>
    </w:p>
    <w:p>
      <w:pPr/>
      <w:r>
        <w:rPr>
          <w:b/>
        </w:rPr>
        <w:t>POSSIBLE 2024:</w:t>
      </w:r>
      <w:r>
        <w:t xml:space="preserve"> European Union Funds – Application Perspective — https://doi.org/10.33067/se.1.2024.1</w:t>
      </w:r>
    </w:p>
    <w:p>
      <w:pPr/>
      <w:r>
        <w:rPr>
          <w:b/>
        </w:rPr>
        <w:t>Shared claim-specific concepts:</w:t>
      </w:r>
      <w:r>
        <w:t xml:space="preserve"> application, but, all; EU scope visible. This is a provisional connection, not an outcome finding.</w:t>
      </w:r>
    </w:p>
    <w:p>
      <w:pPr>
        <w:pStyle w:val="SourceNote"/>
      </w:pPr>
      <w:r>
        <w:rPr>
          <w:b/>
        </w:rPr>
        <w:t>Available abstract (not full text):</w:t>
      </w:r>
      <w:r>
        <w:t xml:space="preserve"> The result of an effective management of the redistribution of European Union funds should be a reduction of disparities between EU regions by guaranteeing their comprehensive and harmonious development and supporting the economic and social cohesion of member countries. A poorly-conducted programming process of ﬁnancial interventionism, the source of which is EU funds, may result in divergence between regions, the direct effect of which would be their social and economic marginalisation. For this reason, it is important to skillfully manage those funds. The main aim of this article is to present the factors affecting the decision-making process of the use of EU co-ﬁnancing, and that includes the pandemic as an external variable being a threat to the implementation of investments from the EU’s structural funds. To explain the multivariate associations between explanatory variables and the binary outcome variables, logistic regression was employed. Based on the tests’ results, signiﬁcant associations were observed between the dependent variable and (a) participation in training co-ﬁnanced by EU funds, (b) receiving information regarding additional EU funds as pandemic support, and (c) the suspension of planned investments using EU funds due to the pandemic situation. A comprehensive distribution of respondents according to the response categories in the analysed variables within</w:t>
      </w:r>
    </w:p>
    <w:p>
      <w:pPr/>
      <w:r>
        <w:rPr>
          <w:b/>
        </w:rPr>
        <w:t>POSSIBLE 2024:</w:t>
      </w:r>
      <w:r>
        <w:t xml:space="preserve"> European instruments for the deportation of foreigners and their uses by France and Switzerland: the application of the Dublin III Regulation and Eurodac — https://doi.org/10.4324/9781003533313-7</w:t>
      </w:r>
    </w:p>
    <w:p>
      <w:pPr/>
      <w:r>
        <w:rPr>
          <w:b/>
        </w:rPr>
        <w:t>Shared claim-specific concepts:</w:t>
      </w:r>
      <w:r>
        <w:t xml:space="preserve"> application, looks, three, clearly; EU scope visible. This is a provisional connection, not an outcome finding.</w:t>
      </w:r>
    </w:p>
    <w:p>
      <w:pPr>
        <w:pStyle w:val="SourceNote"/>
      </w:pPr>
      <w:r>
        <w:rPr>
          <w:b/>
        </w:rPr>
        <w:t>Available abstract (not full text):</w:t>
      </w:r>
      <w:r>
        <w:t xml:space="preserve"> The European Union put in place instruments for the deportation of foreigners that gained much importance. This article describes the multiplicity and diversity of these instruments. To analyse them more clearly, it distinguishes three types: legal, organisational and technological. The article equally points to the increasing relevance of technological tools, especially the use of biometrics. It also looks at how a founding member of the EU, France, and an associated country, Switzerland, utilise these European instruments to deport foreigners by focusing on the Dublin III Regulation as well as the Eurodac database, jointly referred to as the Dublin System. Grounding on a comparative study combining documentary analysis and semi-structured interviews and participant observation, this article describes the similarities and differences in the use of the Dublin System in these two countries. Moreover, it also reveals these countries’ specificities with regard to the roles played by local and national administrative bodies, and associative actors. The paper ends by concluding that to fully understand the deportation process in the European context as well as in certain countries, a multifaceted approach is required to make sense of the various interactions taking place between local, national and supranational frameworks, actors and practices.</w:t>
      </w:r>
    </w:p>
    <w:p>
      <w:pPr/>
      <w:r>
        <w:rPr>
          <w:b/>
        </w:rPr>
        <w:t>POSSIBLE 2023:</w:t>
      </w:r>
      <w:r>
        <w:t xml:space="preserve"> EU enlargement in wartime Europe: three dimensions and scenarios — https://doi.org/10.1080/21582041.2023.2289661</w:t>
      </w:r>
    </w:p>
    <w:p>
      <w:pPr/>
      <w:r>
        <w:rPr>
          <w:b/>
        </w:rPr>
        <w:t>Shared claim-specific concepts:</w:t>
      </w:r>
      <w:r>
        <w:t xml:space="preserve"> three, but, active; EU scope visible. This is a provisional connection, not an outcome finding.</w:t>
      </w:r>
    </w:p>
    <w:p>
      <w:pPr>
        <w:pStyle w:val="SourceNote"/>
      </w:pPr>
      <w:r>
        <w:rPr>
          <w:b/>
        </w:rPr>
        <w:t>Available abstract (not full text):</w:t>
      </w:r>
      <w:r>
        <w:t xml:space="preserve"> The enlargement policy of the European Union from 2013 to 2022 was not only ineffective, but also lacked an active enlargement drive.Russia's war in Ukraine changed the equation of costs and benefits in favour of new members and gave the EU a geopolitical incentive to restart enlargement.Enlargement is not only a geopolitical strategy, however: it also requires successful state-building efforts in the neighbourhood.Moreover, it is closely interlinked with the EU's internal development.This article analyses the current evolution of the EU enlargement policy as it emerges from the interplay of geopolitics, state-building challenges, and the EU's internal dynamics.Drawing on original interviews with officials, the paper also presents three scenarios for the coming decade.The paper concludes that to achieve its foreign policy objectives in the neighbourhood, the EU cannot continue 'business as usual' with enlargement.On the contrary, the policy of 2013-2022 needs to be replaced by a more effective model that encourages candidate countries to undertake genuine efforts towards democratic development.At the same time, reforms and compromises are required at the EU's end.Finally, the EU needs to better address the security needs of the applicant countries already during the accession process.</w:t>
      </w:r>
    </w:p>
    <w:p>
      <w:pPr/>
      <w:r>
        <w:rPr>
          <w:b/>
        </w:rPr>
        <w:t>POSSIBLE 2022:</w:t>
      </w:r>
      <w:r>
        <w:t xml:space="preserve"> The Rise of Three Rs Centres and Platforms in Europe* — https://doi.org/10.1177/02611929221099165</w:t>
      </w:r>
    </w:p>
    <w:p>
      <w:pPr/>
      <w:r>
        <w:rPr>
          <w:b/>
        </w:rPr>
        <w:t>Shared claim-specific concepts:</w:t>
      </w:r>
      <w:r>
        <w:t xml:space="preserve"> three, but, role, all; EU scope visible. This is a provisional connection, not an outcome finding.</w:t>
      </w:r>
    </w:p>
    <w:p>
      <w:pPr>
        <w:pStyle w:val="SourceNote"/>
      </w:pPr>
      <w:r>
        <w:rPr>
          <w:b/>
        </w:rPr>
        <w:t>Available abstract (not full text):</w:t>
      </w:r>
      <w:r>
        <w:t xml:space="preserve"> Public awareness and discussion about animal experiments and replacement methods has greatly increased in recent years. The term ‘the Three Rs’, which stands for the Replacement, Reduction and Refinement of animal experiments, is inseparably linked in this context. A common goal within the Three Rs scientific community is to develop predictive non-animal models and to better integrate all available data from in vitro, in silico and omics technologies into regulatory decision-making processes regarding, for example, the toxicity of chemicals, drugs or food ingredients. In addition, it is a general concern to implement (human) non-animal methods in basic research. Toward these efforts, there has been an ever-increasing number of Three Rs centres and platforms established over recent years — not only to develop novel methods, but also to disseminate knowledge and help to implement the Three Rs principles in policies and education. The adoption of Directive 2010/63/EU on the protection of animals used for scientific purposes gave a strong impetus to the creation of Three Rs initiatives, in the form of centres and platforms. As the first of a series of papers, this article gives an overview of the European Three Rs centres and platforms, and their historical development. The subsequent articles, to be published over the course of ATLA’s 50th Anniversary year, will summarise the curr</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application, looks, one;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Civil liability and environmental protection : Italian-French looks — https://doi.org/10.57230/ejplt221ja</w:t>
      </w:r>
    </w:p>
    <w:p>
      <w:pPr/>
      <w:r>
        <w:rPr>
          <w:b/>
        </w:rPr>
        <w:t>Shared claim-specific concepts:</w:t>
      </w:r>
      <w:r>
        <w:t xml:space="preserve"> looks, but, one, all; EU scope visible. This is a provisional connection, not an outcome finding.</w:t>
      </w:r>
    </w:p>
    <w:p>
      <w:pPr>
        <w:pStyle w:val="SourceNote"/>
      </w:pPr>
      <w:r>
        <w:rPr>
          <w:b/>
        </w:rPr>
        <w:t>Available abstract (not full text):</w:t>
      </w:r>
      <w:r>
        <w:t xml:space="preserve"> With the growing awareness of environmental protection issues in contemporary societies and the increasing number and seriousness of environmental violations, civil liability emerged as one of the legal tools to be mobilized in particular in Italy and then in France and all Europe.The traditional Aquilian civil liability forged by Roman law has nevertheless had to be adapted to the specificity of the recent environmental issue. Especially through its traditional conditions of damage, of event giving rise to liability and of causal link. But also with regard to the functions of civil liability, even if the evolution of the latter makes it possible to accommodate more easily the protection of the environment with a dimension that is not only compensatory and remedial, but also punitive and preventive.However, paradoxically civil liability may appear today in several respects as a model to be more faithfully rediscovered for a more effective and coherent protection of the environment.</w:t>
      </w:r>
    </w:p>
    <w:p>
      <w:pPr/>
      <w:r>
        <w:rPr>
          <w:b/>
        </w:rPr>
        <w:t>POSSIBLE 2022:</w:t>
      </w:r>
      <w:r>
        <w:t xml:space="preserve"> Civil liability and environmental protection: Italian-French looks — https://doi.org/10.57230/ejplt221ja</w:t>
      </w:r>
    </w:p>
    <w:p>
      <w:pPr/>
      <w:r>
        <w:rPr>
          <w:b/>
        </w:rPr>
        <w:t>Shared claim-specific concepts:</w:t>
      </w:r>
      <w:r>
        <w:t xml:space="preserve"> looks, but, one, all; EU scope visible. This is a provisional connection, not an outcome finding.</w:t>
      </w:r>
    </w:p>
    <w:p>
      <w:pPr>
        <w:pStyle w:val="SourceNote"/>
      </w:pPr>
      <w:r>
        <w:rPr>
          <w:b/>
        </w:rPr>
        <w:t>Available abstract (not full text):</w:t>
      </w:r>
      <w:r>
        <w:t xml:space="preserve"> With the growing awareness of environmental protection issues in contemporary societies and the increasing number and seriousness of environmental violations, civil liability emerged as one of the legal tools to be mobilized in particular in Italy and then in France and all Europe. The traditional Aquilian civil liability forged by Roman law has nevertheless had to be adapted to the specificity of the recent environmental issue. Especially through its traditional conditions of damage, of event giving rise to liability and of causal link. But also with regard to the functions of civil liability, even if the evolution of the latter makes it possible to accommodate more easily the protection of the environment with a dimension that is not only compensatory and remedial, but also punitive and preventive. However, paradoxically civil liability may appear today in several respects as a model to be more faithfully rediscovered for a more effective and coherent protection of the environment.</w:t>
      </w:r>
    </w:p>
    <w:p>
      <w:pPr>
        <w:pStyle w:val="Heading2"/>
      </w:pPr>
      <w:r>
        <w:t>640. A ‘futures’ approach towards the wellbeing of future generations in Wales and beyond</w:t>
      </w:r>
    </w:p>
    <w:p>
      <w:pPr>
        <w:pStyle w:val="SourceNote"/>
      </w:pPr>
      <w:r>
        <w:rPr>
          <w:b/>
        </w:rPr>
        <w:t>Original source (2020):</w:t>
      </w:r>
      <w:r>
        <w:t xml:space="preserve"> https://doi.org/10.1093/eurpub/ckaa165.1289</w:t>
      </w:r>
    </w:p>
    <w:p>
      <w:pPr/>
      <w:r>
        <w:t>Original wording (abstract; indexed_source_text_not_full_document_verified): It is not about predicting the future but is about developing alternative futures or scenarios and using them to inform how best to move towards the preferred future. This Act has been globally recognised as a unique sustainable development legislation, putting Wales at the forefront of creating a different future for generations to come.</w:t>
      </w:r>
    </w:p>
    <w:p>
      <w:pPr/>
      <w:r>
        <w:rPr>
          <w:b/>
        </w:rPr>
        <w:t>POSSIBLE 2026:</w:t>
      </w:r>
      <w:r>
        <w:t xml:space="preserve"> Why We Care About Understanding: Competence through Predictive Compression — https://doi.org/10.48550/arxiv.2609.04962</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What is the relation between understanding and compression, and why does human understanding take such a heavily compressed form? Across information theory, machine learning, and AI research, a substantial tradition identifies understanding with compression-a thought captured in Gregory Chaitin's dictum that "comprehension is compression." Philosophers, by contrast, have characterized understanding in terms of grasping connections, giving explanations, and handling novelty. This paper bridges the two pictures through three interlocking theses. The first concerns the concept of understanding: it serves as an efficient proxy for a distinctive form of robust competence, enabling us to identify whom to trust and whom to learn from. The second concerns the state of understanding: to understand a domain is to possess a mental model of its relational structure that enables prediction, and what enables prediction enables compression, because what becomes predictable need not be stored separately. Compression is therefore not identical with comprehension, but its representational shadow. The third concerns the characteristically human form of understanding: the fiduciary and transmission functions highlighted by the first thesis impose pressures of demonstrability and transmissibility that drive human understanding toward principled simplicity. The resulting framework explains both the </w:t>
      </w:r>
    </w:p>
    <w:p>
      <w:pPr/>
      <w:r>
        <w:rPr>
          <w:b/>
        </w:rPr>
        <w:t>POSSIBLE 2025:</w:t>
      </w:r>
      <w:r>
        <w:t xml:space="preserve"> Developing an alternative medium for in-space biomanufacturing — https://doi.org/10.1038/s41467-025-56088-2</w:t>
      </w:r>
    </w:p>
    <w:p>
      <w:pPr/>
      <w:r>
        <w:rPr>
          <w:b/>
        </w:rPr>
        <w:t>Shared claim-specific concepts:</w:t>
      </w:r>
      <w:r>
        <w:t xml:space="preserve"> developing, alternative, sustainable; EU scope not established. This is a provisional connection, not an outcome finding.</w:t>
      </w:r>
    </w:p>
    <w:p>
      <w:pPr>
        <w:pStyle w:val="SourceNote"/>
      </w:pPr>
      <w:r>
        <w:rPr>
          <w:b/>
        </w:rPr>
        <w:t>Available abstract (not full text):</w:t>
      </w:r>
      <w:r>
        <w:t xml:space="preserve"> In-space biomanufacturing provides a sustainable solution to facilitate long-term, self-sufficient human habitation in extraterrestrial environments. However, its dependence on Earth-supplied feedstocks renders in-space biomanufacturing economically nonviable. Here, we develop a process termed alternative feedstock-driven in-situ biomanufacturing (AF-ISM) to alleviate dependence on Earth-based resupply of feedstocks. Specifically, we investigate three alternative feedstocks (AF)-Martian and Lunar regolith, post-consumer polyethylene terephthalate, and fecal waste-to develop an alternative medium for lycopene production using Rhodococcus jostii PET strain S6 (RPET S6). Our results show that RPET S6 could directly utilize regolith simulant particles as mineral replacements, while the addition of anaerobically pretreated fecal waste synergistically supported its cell growth. Additionally, lycopene production using AF under microgravity conditions achieved levels comparable to those on Earth. Furthermore, an economic analysis shows significant lycopene production cost reductions using AF-ISM versus conventional methods. Overall, this work highlights the viability of AF-ISM for in-space biomanufacturing.</w:t>
      </w:r>
    </w:p>
    <w:p>
      <w:pPr/>
      <w:r>
        <w:rPr>
          <w:b/>
        </w:rPr>
        <w:t>POSSIBLE 2024:</w:t>
      </w:r>
      <w:r>
        <w:t xml:space="preserve"> Scalar implicatures in children: alternatives and relevance — https://doi.org/10.58088/85gk-tw15</w:t>
      </w:r>
    </w:p>
    <w:p>
      <w:pPr/>
      <w:r>
        <w:rPr>
          <w:b/>
        </w:rPr>
        <w:t>Shared claim-specific concepts:</w:t>
      </w:r>
      <w:r>
        <w:t xml:space="preserve"> not, but, alternative; EU scope not established. This is a provisional connection, not an outcome finding.</w:t>
      </w:r>
    </w:p>
    <w:p>
      <w:pPr>
        <w:pStyle w:val="SourceNote"/>
      </w:pPr>
      <w:r>
        <w:rPr>
          <w:b/>
        </w:rPr>
        <w:t>Available abstract (not full text):</w:t>
      </w:r>
      <w:r>
        <w:t xml:space="preserve"> Utterances like "Megan ate some of the cupcakes" are typically interpreted as "Megan ate some but not all of the cupcakes". Such an interpretation is thought to arise from a pragmatic inference called Scalar Implicature (SI). Preschoolers typically fail to spontaneously generate SIs without the assistance of training or context that makes the stronger alternative salient. However, the exact role of alternatives in generating SIs remains contested. Furthermore, it is not clear whether children take into account the goal of the conversation in considering scalar alternatives and generating SIs. We present three studies with English-speaking preschoolers and adults designed to address these questions. We show that the presence of stronger alternative is important for SI generation (Experiment 1), that the stronger alternative leads to SI generation only when it is relevant to the goal of conversation (Experiment 2) and that relevance does not simply mediate, but in fact drives accessibility of the alternatives (Experiment 3). We discuss the implications of these findings for pragmatic inference and the study of pragmatic development in general.</w:t>
      </w:r>
    </w:p>
    <w:p>
      <w:pPr/>
      <w:r>
        <w:rPr>
          <w:b/>
        </w:rPr>
        <w:t>POSSIBLE 2023:</w:t>
      </w:r>
      <w:r>
        <w:t xml:space="preserve"> A Short Review about Predicting the Dew Point Pressure for Gas Condensate Reservoirs by Empirical Correlations — https://doi.org/10.5281/zenodo.8195449</w:t>
      </w:r>
    </w:p>
    <w:p>
      <w:pPr/>
      <w:r>
        <w:rPr>
          <w:b/>
        </w:rPr>
        <w:t>Shared claim-specific concepts:</w:t>
      </w:r>
      <w:r>
        <w:t xml:space="preserve"> about, predicting, best, different; EU scope not established. This is a provisional connection, not an outcome finding.</w:t>
      </w:r>
    </w:p>
    <w:p>
      <w:pPr>
        <w:pStyle w:val="SourceNote"/>
      </w:pPr>
      <w:r>
        <w:rPr>
          <w:b/>
        </w:rPr>
        <w:t>Available abstract (not full text):</w:t>
      </w:r>
      <w:r>
        <w:t xml:space="preserve"> Abstract: The following essay compiles different correlations found in the literature to determine the dew point pressure of gas condensate reservoirs. An evaluation and comparison study of these methods is performed for 150 gas samples from different regions and literature sources. The tested models were: Shokir, Nemeth-Kennedy, Elsharkawy, Ahmadi, Kamari and Okpo Nnadozie. The before mentioned models were chosen because they are function of reservoir temperature, gas composition, molecular weight, and specific gravity of the heavy component (C7+). The best model representing the dew points pressures of the 150 gases samples in this study was statistically determined. Keywords: Reservoir temperature, dew point pressure, gas composition, molecular weight, specific gravity, retrograde condensation, gas condensate, heavy components. Title: A Short Review about Predicting the Dew Point Pressure for Gas Condensate Reservoirs by Empirical Correlations Author: Alaa Zeinab, Timur-Vasile Chis, Alejandro Osorio Pozo International Journal of Engineering Research and Reviews ISSN 2348-697X (Online) Vol. 11, Issue 3, July 2023 - September 2023 Page No: 31-40 Research Publish Journals Website: www.researchpublish.com Published Date: 29-July-2023 DOI: https://doi.org/10.5281/zenodo.8195450 Paper Download Link (Source) https://www.researchpublish.com/papers/a-short-review-about-predicting-the</w:t>
      </w:r>
    </w:p>
    <w:p>
      <w:pPr/>
      <w:r>
        <w:rPr>
          <w:b/>
        </w:rPr>
        <w:t>POSSIBLE 2023:</w:t>
      </w:r>
      <w:r>
        <w:t xml:space="preserve"> The Why, When, What, and How About Predictive Continuous Integration: A Simulation-Based Investigation — https://doi.org/10.1109/tse.2023.3330510</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Continuous Integration (CI) enables developers to detect defects early and thus reduce lead time. However, the high frequency and long duration of executing CI have a detrimental effect on this practice. Existing studies have focused on using CI outcome predictors to reduce frequency. Since there is no reported project using predictive CI, it is difficult to evaluate its economic impact. This research aims to investigate predictive CI from a process perspective, including why and when to adopt predictors, what predictors to be used, and how to practice predictive CI in real projects. We innovatively employ Software Process Simulation to simulate a predictive CI process with a Discrete-Event Simulation (DES) model and conduct simulation-based experiments. We develop the Rollback-based Identification of Defective Commits (RIDEC) method to account for the negative effects of false predictions in simulations. Experimental results show that: 1) using predictive CI generally improves the effectiveness of CI, reducing time costs by up to 36.8% and the average waiting time before executing CI by 90.5%; 2) the time-saving varies across projects, with higher commit frequency projects benefiting more; and 3) predictor performance does not strongly correlate with time savings, but the precision of both failed and passed predictions should be paid more attention. Simulation-based evaluation</w:t>
      </w:r>
    </w:p>
    <w:p>
      <w:pPr/>
      <w:r>
        <w:rPr>
          <w:b/>
        </w:rPr>
        <w:t>POSSIBLE 2023:</w:t>
      </w:r>
      <w:r>
        <w:t xml:space="preserve"> Physicians' perception about predictors of opioid abuse in patients with chronic non-cancer pain: a Delphi study — https://doi.org/10.3389/fpain.2023.1269018</w:t>
      </w:r>
    </w:p>
    <w:p>
      <w:pPr/>
      <w:r>
        <w:rPr>
          <w:b/>
        </w:rPr>
        <w:t>Shared claim-specific concepts:</w:t>
      </w:r>
      <w:r>
        <w:t xml:space="preserve"> not, about, developing; EU scope not established. This is a provisional connection, not an outcome finding.</w:t>
      </w:r>
    </w:p>
    <w:p>
      <w:pPr>
        <w:pStyle w:val="SourceNote"/>
      </w:pPr>
      <w:r>
        <w:rPr>
          <w:b/>
        </w:rPr>
        <w:t>Available abstract (not full text):</w:t>
      </w:r>
      <w:r>
        <w:t xml:space="preserve"> Background: Opioids are being prescribed widely, and increasingly, for the treatment of chronic non-cancer pain (CNCP). However, several side effects are associated with mid- and long-term opioid use and, for certain patients, with the risk of problematic opioid use. The aim of this study is to know the perception of the physicians about which variables could be associated with increased risk of patients with CNCP developing a problem of abuse or misuse of the prescribed opioid medication. Methods: Twenty-nine physicians with experience in CNCP pain management and opioids prescription participated in a two-round Delphi study focused on the risk factors for opioid misuse and abuse. Results: The variables that reached consensus regarding their relationship with the increased risk of suffering a problem of opioid abuse or misuse were: (1) Experiencing pain on a daily basis, (2) previous use of high-dose opioids, (3) generalized anxiety, (4) hopelessness, (5) benzodiazepine intake, (6) use of opioids for reasons other than pain, (7) family problems, family instability or family breakdown, and (8) having access to several opioid prescribers. The only variable that reached consensus regarding it not being associated to a possible risk of abuse or misuse was having mild pain intensity (0-4 on a NRS-11). Conclusions: This study provides useful information that could help make decisions</w:t>
      </w:r>
    </w:p>
    <w:p>
      <w:pPr/>
      <w:r>
        <w:rPr>
          <w:b/>
        </w:rPr>
        <w:t>POSSIBLE 2023:</w:t>
      </w:r>
      <w:r>
        <w:t xml:space="preserve"> DRIVERS FOR ALTERNATIVE PROTEIN CONSUMPTION — https://doi.org/10.14488/enegep2023_tn_wpg_407_2007_46332</w:t>
      </w:r>
    </w:p>
    <w:p>
      <w:pPr/>
      <w:r>
        <w:rPr>
          <w:b/>
        </w:rPr>
        <w:t>Shared claim-specific concepts:</w:t>
      </w:r>
      <w:r>
        <w:t xml:space="preserve"> not, but, developing, alternative, sustainable; EU scope not established. This is a provisional connection, not an outcome finding.</w:t>
      </w:r>
    </w:p>
    <w:p>
      <w:pPr>
        <w:pStyle w:val="SourceNote"/>
      </w:pPr>
      <w:r>
        <w:rPr>
          <w:b/>
        </w:rPr>
        <w:t>Available abstract (not full text):</w:t>
      </w:r>
      <w:r>
        <w:t xml:space="preserve"> By 2050, the global population is projected to surpass nine billion individuals (FAO, 2013).Consequently, the United Nations has recognized the imperative to substantially augment food production to meet the future population's demands.Notably, the consumption of animalderived food is anticipated to rise by 2050, particularly in developing nations, at an accelerated pace (HPLE, 2016).Conversely, livestock-related activities engender adverse environmental repercussions, primarily attributable to their substantial contributions to greenhouse gas emissions and the depletion of critical resources such as land and water (FAO, 2013).Concerning climate change, global greenhouse gas (GHG) emissions have experienced a resurgence, reaching a record-breaking 52.4 gigatons of carbon dioxide equivalent (GtCO2e) in 2019 (PNUMA, 2020).Bill Gates (2021) posits that the agricultural sector accounts for 19% of total GHG emissions, with livestock production for food constituting the principal contributor within this sector.However, the author asserts that the primary culprits are not carbon dioxide but rather methane and nitrous oxide, which possess significantly higher heat-trapping potentials compared to carbon dioxide, with factors of 28 and 265 times, respectively.Global data substantiate that livestock production contributes the largest share of GHG emissions within the agricultural sector, </w:t>
      </w:r>
    </w:p>
    <w:p>
      <w:pPr/>
      <w:r>
        <w:rPr>
          <w:b/>
        </w:rPr>
        <w:t>POSSIBLE 2023:</w:t>
      </w:r>
      <w:r>
        <w:t xml:space="preserve"> Algae as a potential source of protein meat alternatives — https://doi.org/10.3389/fnut.2023.1254300</w:t>
      </w:r>
    </w:p>
    <w:p>
      <w:pPr/>
      <w:r>
        <w:rPr>
          <w:b/>
        </w:rPr>
        <w:t>Shared claim-specific concepts:</w:t>
      </w:r>
      <w:r>
        <w:t xml:space="preserve"> about, but, developing, sustainable; EU scope not established. This is a provisional connection, not an outcome finding.</w:t>
      </w:r>
    </w:p>
    <w:p>
      <w:pPr>
        <w:pStyle w:val="SourceNote"/>
      </w:pPr>
      <w:r>
        <w:rPr>
          <w:b/>
        </w:rPr>
        <w:t>Available abstract (not full text):</w:t>
      </w:r>
      <w:r>
        <w:t xml:space="preserve"> With the rise of plant-based meat alternatives, there is a growing need for sustainable and nutritious sources of protein. Alga is a rich protein source, and initial studies show that it can be a good component in developing protein meat alternatives. However, there are certain limitations in their use as the need for efficient and optimal technical process in large-scale protein extraction and purification, as well as overcoming certain negative effects such as potentially harmful compounds, allergenicity issues, or sensorial affections, especially in color but also in textural and flavor characteristics. This review offers a vision of the fledgling research about using alga protein in the development of meat alternatives or supplementing meat products.</w:t>
      </w:r>
    </w:p>
    <w:p>
      <w:pPr/>
      <w:r>
        <w:rPr>
          <w:b/>
        </w:rPr>
        <w:t>POSSIBLE 2023:</w:t>
      </w:r>
      <w:r>
        <w:t xml:space="preserve"> Beliefs About the Inevitability of Sexual Attraction Predict Stereotypes About Asexuality — https://doi.org/10.1007/s10508-023-02616-4</w:t>
      </w:r>
    </w:p>
    <w:p>
      <w:pPr/>
      <w:r>
        <w:rPr>
          <w:b/>
        </w:rPr>
        <w:t>Shared claim-specific concepts:</w:t>
      </w:r>
      <w:r>
        <w:t xml:space="preserve"> not, about, but; EU scope not established. This is a provisional connection, not an outcome finding.</w:t>
      </w:r>
    </w:p>
    <w:p>
      <w:pPr>
        <w:pStyle w:val="SourceNote"/>
      </w:pPr>
      <w:r>
        <w:rPr>
          <w:b/>
        </w:rPr>
        <w:t>Available abstract (not full text):</w:t>
      </w:r>
      <w:r>
        <w:t xml:space="preserve"> Similar to other sexual minorities, asexual individuals often face prejudice and stereotyping. However, the source of these attitudes and beliefs is not well understood. We hypothesized that asexual stereotypes stem from the belief that sexual attraction is an inevitable part of human development. This attraction inevitability assumption can lead to the deduction that people who identify as asexual do so because they are going through a transitory stage or excusing socially avoidant tendencies. To test this stereotype deduction account, we examined whether specific asexual stereotypes (immaturity and non-sociality) were associated with adherence to the attraction inevitability assumption. Heterosexual participants (N = 322; 201 women, 114 men; mean age 34.6 yrs.) from the UK and the US read vignettes describing a target character that was either asexual or heterosexual. People who assumed that attraction is inevitable were more likely to evaluate asexual targets (but not heterosexual targets) as immature and non-social. The impact of the sexual inevitability assumption was present even when social dominance orientation, an attitude closely related to negativity toward all sexual minorities, was accounted for. Participants who adhered to the attraction inevitability assumption also showed a reduced inclination to befriend asexual individuals. These findings suggest that generali</w:t>
      </w:r>
    </w:p>
    <w:p>
      <w:pPr/>
      <w:r>
        <w:rPr>
          <w:b/>
        </w:rPr>
        <w:t>POSSIBLE 2022:</w:t>
      </w:r>
      <w:r>
        <w:t xml:space="preserve"> ‘Confused about Predicting whether This Kid is Good or Not’ — https://doi.org/10.53088/eej.v1i2.556</w:t>
      </w:r>
    </w:p>
    <w:p>
      <w:pPr/>
      <w:r>
        <w:rPr>
          <w:b/>
        </w:rPr>
        <w:t>Shared claim-specific concepts:</w:t>
      </w:r>
      <w:r>
        <w:t xml:space="preserve"> not, about, predicting; EU scope not established. This is a provisional connection, not an outcome finding.</w:t>
      </w:r>
    </w:p>
    <w:p>
      <w:pPr>
        <w:pStyle w:val="SourceNote"/>
      </w:pPr>
      <w:r>
        <w:rPr>
          <w:b/>
        </w:rPr>
        <w:t>Available abstract (not full text):</w:t>
      </w:r>
      <w:r>
        <w:t xml:space="preserve"> Backgrounds: The study analyzed the evaluation of social attitudes in the primary schools in Karanganyar Regency, Indonesia: honesty, discipline, responsibility, and tolerance. Methods: A qualitative descriptive technique with a case study design was employed in this investigation. There were eight recruits made up of both instructors and pupils. Observation and interview were the approaches utilized in this investigation. Data is evaluated through data reduction, presenting of data, and formulation of conclusions. Technical triangulation and source triangulation were evaluation procedures to evaluate the veracity of the data. Results: This study showed evaluations carried out; there were two evaluations for students and an evaluation for parents at Dabin I RA Kartini Elementary School. The obstacles that were complained about by the teachers were mostly about time constraints. Implications: The results of this study can be a reference for authors, teachers, and school principals in evaluating the assessment of social attitudes correctly Novelty: The present study revealed the evaluation of social attitudes assessment in primary school comprehensively.</w:t>
      </w:r>
    </w:p>
    <w:p>
      <w:pPr/>
      <w:r>
        <w:rPr>
          <w:b/>
        </w:rPr>
        <w:t>POSSIBLE 2022:</w:t>
      </w:r>
      <w:r>
        <w:t xml:space="preserve"> Developing Alternative Ways of Thinking about Death — https://doi.org/10.5040/9781805016175.ch-005</w:t>
      </w:r>
    </w:p>
    <w:p>
      <w:pPr/>
      <w:r>
        <w:rPr>
          <w:b/>
        </w:rPr>
        <w:t>Shared claim-specific concepts:</w:t>
      </w:r>
      <w:r>
        <w:t xml:space="preserve"> about, developing, alternative;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The Politics of Relevant Alternatives — https://doi.org/10.1017/hyp.2022.53</w:t>
      </w:r>
    </w:p>
    <w:p>
      <w:pPr/>
      <w:r>
        <w:rPr>
          <w:b/>
        </w:rPr>
        <w:t>Shared claim-specific concepts:</w:t>
      </w:r>
      <w:r>
        <w:t xml:space="preserve"> not, alternative, different; EU scope not established. This is a provisional connection, not an outcome finding.</w:t>
      </w:r>
    </w:p>
    <w:p>
      <w:pPr>
        <w:pStyle w:val="SourceNote"/>
      </w:pPr>
      <w:r>
        <w:rPr>
          <w:b/>
        </w:rPr>
        <w:t>Available abstract (not full text):</w:t>
      </w:r>
      <w:r>
        <w:t xml:space="preserve"> Abstract The main aim of this article is to use the resources of relevant-alternatives contextualism to provide an account of an unrecognized form of epistemic injustice that I call irrelevance-injustice. Irrelevance-injustice occurs either when a speaker raises an alternative that is not taken seriously when it should be, or when a speaker raises an alternative that is taken seriously when it should not be. Irrelevance-injustice influences what alternatives are perceived to be relevant and patterns of knowledge ascriptions in ways that are unfair. Asymmetries in whose alternatives are taken seriously affect how many alternatives members of different groups must rule out prior to being ascribed knowledge. Because knowledge ascriptions have socially valuable functions, asymmetries in whose alternatives are taken seriously mean asymmetries in who gets to do socially valuable things with knowledge ascriptions.</w:t>
      </w:r>
    </w:p>
    <w:p>
      <w:pPr>
        <w:pStyle w:val="Heading2"/>
      </w:pPr>
      <w:r>
        <w:t>641. Advancing tools to promote health equity across European Union regions: the EURO-HEALTHY project</w:t>
      </w:r>
    </w:p>
    <w:p>
      <w:pPr>
        <w:pStyle w:val="SourceNote"/>
      </w:pPr>
      <w:r>
        <w:rPr>
          <w:b/>
        </w:rPr>
        <w:t>Original source (2020):</w:t>
      </w:r>
      <w:r>
        <w:t xml:space="preserve"> https://doi.org/10.1186/s12961-020-0526-y</w:t>
      </w:r>
    </w:p>
    <w:p>
      <w:pPr/>
      <w:r>
        <w:t>Original wording (abstract; indexed_source_text_not_full_document_verified): Three scenarios for 2030 were produced - (1) the 'Failing Europe' scenario (worst case/increasing inequalities), (2) the 'Sustainable Prosperity' scenario (best case/decreasing inequalities) and (3) the 'Being Stuck' scenario (the EU and Member States maintain the status quo). Finally, the policy appraisal exercise conducted in Lisbon illustrates which policies have higher potential to improve health and how their feasibility can change according to different scenarios.</w:t>
      </w:r>
    </w:p>
    <w:p>
      <w:pPr/>
      <w:r>
        <w:rPr>
          <w:b/>
        </w:rPr>
        <w:t>POSSIBLE 2026:</w:t>
      </w:r>
      <w:r>
        <w:t xml:space="preserve"> POLISH POPULISM AND THE COUNCIL OF EUROPE: HOW POLAND IS FAILING TO ADHERE TO ITS CORE OBLIGATIONS AND WHAT IT MEANS — https://doi.org/10.52340/gjes.2022.01.06</w:t>
      </w:r>
    </w:p>
    <w:p>
      <w:pPr/>
      <w:r>
        <w:rPr>
          <w:b/>
        </w:rPr>
        <w:t>Shared claim-specific concepts:</w:t>
      </w:r>
      <w:r>
        <w:t xml:space="preserve"> three, failing, policies; EU scope visible. This is a provisional connection, not an outcome finding.</w:t>
      </w:r>
    </w:p>
    <w:p>
      <w:pPr>
        <w:pStyle w:val="SourceNote"/>
      </w:pPr>
      <w:r>
        <w:rPr>
          <w:b/>
        </w:rPr>
        <w:t>Available abstract (not full text):</w:t>
      </w:r>
      <w:r>
        <w:t xml:space="preserve"> This paper explores the relationship between the Polish state and the Council of Europe (CoE). It examines the actions of the Law and Justice party and how such actions have affected the country’s relationship to the CoE, with particular reference to its three core values: Human Rights, Democracy, and the Rule of Law. It will determine that as a consequence of recent policies and laws the state is no longer adhering to its obligations.</w:t>
      </w:r>
    </w:p>
    <w:p>
      <w:pPr/>
      <w:r>
        <w:rPr>
          <w:b/>
        </w:rPr>
        <w:t>POSSIBLE 2025:</w:t>
      </w:r>
      <w:r>
        <w:t xml:space="preserve"> European cloud computing policy: failing in Europe to succeed nationally? — https://doi.org/10.1080/01402382.2025.2491962</w:t>
      </w:r>
    </w:p>
    <w:p>
      <w:pPr/>
      <w:r>
        <w:rPr>
          <w:b/>
        </w:rPr>
        <w:t>Shared claim-specific concepts:</w:t>
      </w:r>
      <w:r>
        <w:t xml:space="preserve"> failing, member, states; EU scope visible. This is a provisional connection, not an outcome finding.</w:t>
      </w:r>
    </w:p>
    <w:p>
      <w:pPr>
        <w:pStyle w:val="SourceNote"/>
      </w:pPr>
      <w:r>
        <w:rPr>
          <w:b/>
        </w:rPr>
        <w:t>Available abstract (not full text):</w:t>
      </w:r>
      <w:r>
        <w:t xml:space="preserve"> Why does Europe continue to take initiatives in the cloud computing sector that do not produce the desired results and instead seem to strengthen the position of non-European cloud providers? The existing literature suggests that functional and political obstacles prevent these initiatives from succeeding, but that European institutions and member states are constantly launching new initiatives to gradually succeed in their intention to move towards greater European integration and digital sovereignty. This article offers a different explanation: European member states are strategically using the progress made (albeit incomplete and unresolved) in the European context to protect and promote their own national cloud computing ecosystems. Instead of leading to integration, failure at the EU level is designed to lead to national success. The empirical analysis shows that EU certifications, as well as European industrial policy, are in fact primarily aimed at strengthening the bargaining position of European states and companies vis-à-vis the non-European cloud providers. Rather than excluding them from the European market, the new cloud initiatives enable individual states to negotiate better bilateral deals with the incumbents.</w:t>
      </w:r>
    </w:p>
    <w:p>
      <w:pPr/>
      <w:r>
        <w:rPr>
          <w:b/>
        </w:rPr>
        <w:t>POSSIBLE 2025:</w:t>
      </w:r>
      <w:r>
        <w:t xml:space="preserve"> Controlling European money for failing banks: designing the European Stability Mechanism as banking union’s financial backstop — https://doi.org/10.1080/07036337.2025.2512579</w:t>
      </w:r>
    </w:p>
    <w:p>
      <w:pPr/>
      <w:r>
        <w:rPr>
          <w:b/>
        </w:rPr>
        <w:t>Shared claim-specific concepts:</w:t>
      </w:r>
      <w:r>
        <w:t xml:space="preserve"> failing, member, states; EU scope visible. This is a provisional connection, not an outcome finding.</w:t>
      </w:r>
    </w:p>
    <w:p>
      <w:pPr>
        <w:pStyle w:val="SourceNote"/>
      </w:pPr>
      <w:r>
        <w:rPr>
          <w:b/>
        </w:rPr>
        <w:t>Available abstract (not full text):</w:t>
      </w:r>
      <w:r>
        <w:t xml:space="preserve"> The Single Resolution Mechanism (SRM) was designed to create a common framework for the recovery and resolution of ailing banks headquartered in the euro area. The Single Resolution Fund (SRF) was created to be this mechanism’s financial backbone and to effectively break the doom loop between banks and governments. However, SRF funds were widely seen as insufficient in the event of the need to resolve one or more large banks. In early 2021, euro area member states agreed to changes to the European Stability Mechanism (ESM) so that it could become the financial backstop for the SRF. This paper analyses the existing and proposed arrangements on the SRF backstops, using elements of the principal–agent model. We argue that the proposed use of the ESM as the SRF’s backstop would allow euro area national governments significant control and veto possibilities through the addition of the ‘permanence of the legal framework’ clause.</w:t>
      </w:r>
    </w:p>
    <w:p>
      <w:pPr/>
      <w:r>
        <w:rPr>
          <w:b/>
        </w:rPr>
        <w:t>POSSIBLE 2025:</w:t>
      </w:r>
      <w:r>
        <w:t xml:space="preserve"> Humility, autonomy, and simplicity: three principles for humanitarian design — https://doi.org/10.1080/01436597.2025.2491094</w:t>
      </w:r>
    </w:p>
    <w:p>
      <w:pPr/>
      <w:r>
        <w:rPr>
          <w:b/>
        </w:rPr>
        <w:t>Shared claim-specific concepts:</w:t>
      </w:r>
      <w:r>
        <w:t xml:space="preserve"> three, failing, inequalities; EU scope visible. This is a provisional connection, not an outcome finding.</w:t>
      </w:r>
    </w:p>
    <w:p>
      <w:pPr>
        <w:pStyle w:val="SourceNote"/>
      </w:pPr>
      <w:r>
        <w:rPr>
          <w:b/>
        </w:rPr>
        <w:t>Available abstract (not full text):</w:t>
      </w:r>
      <w:r>
        <w:t xml:space="preserve"> This article proposes three key principles for humanitarian design, drawing on historical and ethnographic research into previous attempts to produce innovations in the nutrition and shelter sectors. It begins by recounting a post-war scheme for humanitarian nutrition in order to illustrate three recurring failings in innovation: triumphalism, under-representation, and over-complexity. The first failing can be seen when ideas are inappropriately and publicly celebrated as game changing while delivering only marginal improvements and leaving structural inequalities intact. The second occurs when designs are created without consulting the final recipient, whose desires and needs are assumed from limited knowledge. The third is apparent when a design introduces complicated and burdensome elements that make it inappropriate for the task at hand. After outlining these three problems the article moves to consider some more recent shelter projects, particularly those developed after the 2015 ‘summer of migration’ in Europe. From these examples, the article draws out three corrective principles for humanitarian design: humility in approach, simplicity in application, and the promotion of autonomy as a final aim. The article develops these in detail and then concludes that such principles can help re-orient humanitarian practice.</w:t>
      </w:r>
    </w:p>
    <w:p>
      <w:pPr/>
      <w:r>
        <w:rPr>
          <w:b/>
        </w:rPr>
        <w:t>POSSIBLE 2025:</w:t>
      </w:r>
      <w:r>
        <w:t xml:space="preserve"> ESAIC focused guidelines for the management of the failing epidural during labour epidural analgesia — https://doi.org/10.1097/eja.0000000000002108</w:t>
      </w:r>
    </w:p>
    <w:p>
      <w:pPr/>
      <w:r>
        <w:rPr>
          <w:b/>
        </w:rPr>
        <w:t>Shared claim-specific concepts:</w:t>
      </w:r>
      <w:r>
        <w:t xml:space="preserve"> produced, failing, finally; EU scope visible. This is a provisional connection, not an outcome finding.</w:t>
      </w:r>
    </w:p>
    <w:p>
      <w:pPr>
        <w:pStyle w:val="SourceNote"/>
      </w:pPr>
      <w:r>
        <w:rPr>
          <w:b/>
        </w:rPr>
        <w:t>Available abstract (not full text):</w:t>
      </w:r>
      <w:r>
        <w:t xml:space="preserve"> BACKGROUND: Labour epidural analgesia reportedly fails in up to 10 to 25% of cases. A joint taskforce of European Society of Anaesthesiology and Intensive Care (ESAIC) experts was created to develop this focused guideline on the management of failing epidural analgesia in a previously well functioning epidural catheter. DESIGN: Six clinical questions were defined using a PICO (Population/Intervention/Comparison/Outcome) strategy to conduct a systematic literature search. The questions pertained to clinical management of failing epidural (PICOs 1, 2 and 3), human resource and team training (PICOs 4 and 5) and clinical management of a failing epidural for intrapartum caesarean delivery (PICO 6). The taskforce produced recommendations and clinical practice statements (CPS) and validated them through a Delphi process. The final version of the guideline was submitted to all ESAIC members for critical review and approved by the Guidelines Committee and the ESAIC Board of Directors. RESULTS: In the initial search, 3737 titles were identified, 93 were retained for complete article analysis and 56 were finally allocated to the PICOs. The full-text analysis of the selected articles precluded extraction of significant data for all PICOs except for PICO 6, for which six articles were identified. Based on the experience, knowledge and opinion of the experts, the task force proposed and vali</w:t>
      </w:r>
    </w:p>
    <w:p>
      <w:pPr/>
      <w:r>
        <w:rPr>
          <w:b/>
        </w:rPr>
        <w:t>POSSIBLE 2024:</w:t>
      </w:r>
      <w:r>
        <w:t xml:space="preserve"> The impact of COVID-19 on young people’s mental health, wellbeing and routine from a European perspective: A co-produced qualitative systematic review — https://doi.org/10.1371/journal.pone.0299547</w:t>
      </w:r>
    </w:p>
    <w:p>
      <w:pPr/>
      <w:r>
        <w:rPr>
          <w:b/>
        </w:rPr>
        <w:t>Shared claim-specific concepts:</w:t>
      </w:r>
      <w:r>
        <w:t xml:space="preserve"> appraisal, conducted; EU scope visible. This is a provisional connection, not an outcome finding.</w:t>
      </w:r>
    </w:p>
    <w:p>
      <w:pPr>
        <w:pStyle w:val="SourceNote"/>
      </w:pPr>
      <w:r>
        <w:rPr>
          <w:b/>
        </w:rPr>
        <w:t>Available abstract (not full text):</w:t>
      </w:r>
      <w:r>
        <w:t xml:space="preserve"> BACKGROUND: The impact of the Covid-19 pandemic on young people's (YP) mental health has been mixed. Systematic reviews to date have focused predominantly on quantitative studies and lacked involvement from YP with lived experience of mental health difficulties. Therefore, our primary aim was to conduct a qualitative systematic review to examine the perceived impact of the Covid-19 pandemic on YP's (aged 10-24) mental health and wellbeing across Europe. METHODS AND FINDINGS: We searched MEDLINE, PsycINFO, Embase, Web of Science, MEDRXIV, OSF preprints, Google, and voluntary sector websites for studies published from 1st January 2020 to 15th November 2022. European studies were included if they reported qualitative data that could be extracted on YP's (aged 10-24) own perspectives of their experiences of Covid-19 and related disruptions to their mental health and wellbeing. Screening, data extraction and appraisal was conducted independently in duplicate by researchers and YP with lived experience of mental health difficulties (co-researchers). Confidence was assessed using the Confidence in the Evidence from Reviews of Qualitative Research (CERQual) approach. We co-produced an adapted narrative thematic synthesis with co-researchers. This study is registered with PROSPERO, CRD42021251578. We found 82 publications and included 77 unique studies in our narrative synthesis. Most s</w:t>
      </w:r>
    </w:p>
    <w:p>
      <w:pPr/>
      <w:r>
        <w:rPr>
          <w:b/>
        </w:rPr>
        <w:t>POSSIBLE 2023:</w:t>
      </w:r>
      <w:r>
        <w:t xml:space="preserve"> The bioeconomy in Germany: A failing political project? — https://doi.org/10.1016/j.ecolecon.2023.107783</w:t>
      </w:r>
    </w:p>
    <w:p>
      <w:pPr/>
      <w:r>
        <w:rPr>
          <w:b/>
        </w:rPr>
        <w:t>Shared claim-specific concepts:</w:t>
      </w:r>
      <w:r>
        <w:t xml:space="preserve"> three, failing; EU scope visible. This is a provisional connection, not an outcome finding.</w:t>
      </w:r>
    </w:p>
    <w:p>
      <w:pPr>
        <w:pStyle w:val="SourceNote"/>
      </w:pPr>
      <w:r>
        <w:rPr>
          <w:b/>
        </w:rPr>
        <w:t>Available abstract (not full text):</w:t>
      </w:r>
      <w:r>
        <w:t xml:space="preserve"> Almost two decades ago, the OECD and the EU kickstarted the development of bioeconomy strategies. In Germany, like in many other countries, policy development gained momentum in the 2010s, resulting in three consecutive policy strategies to date. And yet the bioeconomy concept remains largely unknown to a wider public and there are hardly any tangible outcomes in terms of transforming the economy towards sustainability as proposed in these strategies. Against this background, the German bioeconomy is characterized in this article as a political project aiming at a technological fix to problems like supply security and climate change in order to stabilize the social order of neoliberalized capitalism. Evaluating the different dimensions of the project's characteristics as well as its impacts, however, we find that the bioeconomy neither succeeds in universalizing its ideas and attracting a broader range of societal actors to them, nor in delivering the promised pathway to a socio-ecological transformation. Still, the analysis also reveals successes of certain actors in securing funds and advancing their agendas related to the bioeconomy. It can be argued that the bioeconomy succeeded in this way in stabilizing the existing unsustainable social order.</w:t>
      </w:r>
    </w:p>
    <w:p>
      <w:pPr/>
      <w:r>
        <w:rPr>
          <w:b/>
        </w:rPr>
        <w:t>POSSIBLE 2022:</w:t>
      </w:r>
      <w:r>
        <w:t xml:space="preserve"> Why is emotional data failing to produce more humane cities? Urban governance and the (interdisciplinary) problem of wellbeing — https://doi.org/10.1080/02723638.2021.2003589</w:t>
      </w:r>
    </w:p>
    <w:p>
      <w:pPr/>
      <w:r>
        <w:rPr>
          <w:b/>
        </w:rPr>
        <w:t>Shared claim-specific concepts:</w:t>
      </w:r>
      <w:r>
        <w:t xml:space="preserve"> failing, policies; EU scope not established. This is a provisional connection, not an outcome finding.</w:t>
      </w:r>
    </w:p>
    <w:p>
      <w:pPr>
        <w:pStyle w:val="SourceNote"/>
      </w:pPr>
      <w:r>
        <w:rPr>
          <w:b/>
        </w:rPr>
        <w:t>Available abstract (not full text):</w:t>
      </w:r>
      <w:r>
        <w:t xml:space="preserve"> The city is often highlighted as the key space in which our emotions and personal mental health can be shaped. Globally, place-based approaches to promoting urban health and happiness have become commonplace. Initiatives and policies improving urban and regional wellbeing operate at a range of scales, from global alliances of NGOs and supranational health bodies, to regional, local, and community action. This paper critically reviews the spatial imaginaries and limited discipline-specific definitions of the urban and wellbeing present in data-driven approaches to urban emotions and wellbeing, and the potential effectiveness of the policy solutions which are proposed as a result. Responding to the very specific forms of interdisciplinarity advanced to date, the paper outlines how a dialogue between humanities perspectives on emotional cultures, and political economies of place-based wellbeing interventions can be advanced to address these limitations.</w:t>
      </w:r>
    </w:p>
    <w:p>
      <w:pPr/>
      <w:r>
        <w:rPr>
          <w:b/>
        </w:rPr>
        <w:t>POSSIBLE 2022:</w:t>
      </w:r>
      <w:r>
        <w:t xml:space="preserve"> Evaluating European ECOSTRESS Hub Evapotranspiration Products Retrieved from Three Structurally Contrasting SEB Models over Europe — https://doi.org/10.1002/essoar.10512884.1</w:t>
      </w:r>
    </w:p>
    <w:p>
      <w:pPr/>
      <w:r>
        <w:rPr>
          <w:b/>
        </w:rPr>
        <w:t>Shared claim-specific concepts:</w:t>
      </w:r>
      <w:r>
        <w:t xml:space="preserve"> three, produced, conducted; EU scope visible. This is a provisional connection, not an outcome finding.</w:t>
      </w:r>
    </w:p>
    <w:p>
      <w:pPr>
        <w:pStyle w:val="SourceNote"/>
      </w:pPr>
      <w:r>
        <w:rPr>
          <w:b/>
        </w:rPr>
        <w:t>Available abstract (not full text):</w:t>
      </w:r>
      <w:r>
        <w:t xml:space="preserve"> The ECOsystem Spaceborne Thermal Radiometer Experiment on Space Station (ECOSTRESS) is a scientific mission that collects high spatio-temporal resolution (~70 m, 1-5 days average revisit time) thermal images since its launch on 29 June 2018. As a predecessor of future missions, one of the main objectives of ECOSTRESS is to retrieve and understand the spatio-temporal variations in terrestrial evapotranspiration (ET) and its responses to soil water availability. In the European ECOSTRESS Hub (EEH), by taking advantage of land surface temperature retrievals, we generated ECOSTRESS ET products over Europe and Africa using three structurally contrasting models, namely Surface Energy Balance System (SEBS) and Two Source Energy Balance (TSEB) parametric models, as well as the non-parametric Surface Temperature Initiated Closure (STIC) model. A comprehensive evaluation of the EEH ET products was conducted with respect to flux measurements from 19 eddy covariance sites over 6 different biomes with diverse aridity levels. Results revealed comparable performances of STIC and SEBS (RMSE of ~70 W m -2 ). However, the relatively complex TSEB model produced a higher RMSE of ~90 W m -2 . Comparison between STIC ET estimate and the operational ECOSTRESS ET product from NASA PT-JPL model showed a difference in RMSE between the two ET products around 50 W m -2 . Substantial overestimation (&gt;80 W </w:t>
      </w:r>
    </w:p>
    <w:p>
      <w:pPr/>
      <w:r>
        <w:rPr>
          <w:b/>
        </w:rPr>
        <w:t>POSSIBLE 2022:</w:t>
      </w:r>
      <w:r>
        <w:t xml:space="preserve"> Predicting Patch Correctness Based on the Similarity of Failing Test Cases — https://doi.org/10.1145/3511096</w:t>
      </w:r>
    </w:p>
    <w:p>
      <w:pPr/>
      <w:r>
        <w:rPr>
          <w:b/>
        </w:rPr>
        <w:t>Shared claim-specific concepts:</w:t>
      </w:r>
      <w:r>
        <w:t xml:space="preserve"> failing, case, finally; EU scope not established. This is a provisional connection, not an outcome finding.</w:t>
      </w:r>
    </w:p>
    <w:p>
      <w:pPr>
        <w:pStyle w:val="SourceNote"/>
      </w:pPr>
      <w:r>
        <w:rPr>
          <w:b/>
        </w:rPr>
        <w:t>Available abstract (not full text):</w:t>
      </w:r>
      <w:r>
        <w:t xml:space="preserve"> How do we know a generated patch is correct? This is a key challenging question that automated program repair (APR) systems struggle to address given the incompleteness of available test suites. Our intuition is that we can triage correct patches by checking whether each generated patch implements code changes (i.e., behavior) that are relevant to the bug it addresses. Such a bug is commonly specified by a failing test case. Towards predicting patch correctness in APR, we propose a novel yet simple hypothesis on how the link between the patch behavior and failing test specifications can be drawn: similar failing test cases should require similar patches . We then propose BATS , an unsupervised learning-based approach to predict patch correctness by checking patch B ehavior A gainst failing T est S pecification. BATS exploits deep representation learning models for code and patches: For a given failing test case, the yielded embedding is used to compute similarity metrics in the search for historical similar test cases to identify the associated applied patches, which are then used as a proxy for assessing the correctness of the APR-generated patches. Experimentally, we first validate our hypothesis by assessing whether ground-truth developer patches cluster together in the same way that their associated failing test cases are clustered. Then, after collecting a large dataset of</w:t>
      </w:r>
    </w:p>
    <w:p>
      <w:pPr/>
      <w:r>
        <w:rPr>
          <w:b/>
        </w:rPr>
        <w:t>POSSIBLE 2022:</w:t>
      </w:r>
      <w:r>
        <w:t xml:space="preserve"> Country-level factors in a failing relationship with nature: Nature connectedness as a key metric for a sustainable future — https://doi.org/10.1007/s13280-022-01744-w</w:t>
      </w:r>
    </w:p>
    <w:p>
      <w:pPr/>
      <w:r>
        <w:rPr>
          <w:b/>
        </w:rPr>
        <w:t>Shared claim-specific concepts:</w:t>
      </w:r>
      <w:r>
        <w:t xml:space="preserve"> failing, sustainable, prosperity, conducted; EU scope visible. This is a provisional connection, not an outcome finding.</w:t>
      </w:r>
    </w:p>
    <w:p>
      <w:pPr>
        <w:pStyle w:val="SourceNote"/>
      </w:pPr>
      <w:r>
        <w:rPr>
          <w:b/>
        </w:rPr>
        <w:t>Available abstract (not full text):</w:t>
      </w:r>
      <w:r>
        <w:t xml:space="preserve"> Climate change and biodiversity loss show that the human-nature relationship is failing. That relationship can be measured through the construct of nature connectedness which is a key factor in pro-environmental behaviours and mental well-being. Country-level indicators of extinction of nature experience, consumption and commerce, use and control of nature and negativistic factors were selected. An exploratory analysis of the relationship between these metrics and nature connectedness across adult samples from 14 European countries was conducted (n = 14,745 respondents). The analysis provides insight into how affluence, technology and consumption are associated with the human-nature relationship. These findings motivate a comparison of how nature connectedness and composite indicators of prosperity, progress, development, and sustainability relate to indicators of human and nature's well-being. In comparison to composite indexes, it is proposed that nature connectedness is a critical indicator of human and nature's well-being needed to inform the transition to a sustainable future.</w:t>
      </w:r>
    </w:p>
    <w:p>
      <w:pPr/>
      <w:r>
        <w:rPr>
          <w:b/>
        </w:rPr>
        <w:t>POSSIBLE 2021:</w:t>
      </w:r>
      <w:r>
        <w:t xml:space="preserve"> Early Detection of Failing Automotive Batteries Using Gas Sensors — https://doi.org/10.3390/batteries7020025</w:t>
      </w:r>
    </w:p>
    <w:p>
      <w:pPr/>
      <w:r>
        <w:rPr>
          <w:b/>
        </w:rPr>
        <w:t>Shared claim-specific concepts:</w:t>
      </w:r>
      <w:r>
        <w:t xml:space="preserve"> produced, failing, case; EU scope not established. This is a provisional connection, not an outcome finding.</w:t>
      </w:r>
    </w:p>
    <w:p>
      <w:pPr>
        <w:pStyle w:val="SourceNote"/>
      </w:pPr>
      <w:r>
        <w:rPr>
          <w:b/>
        </w:rPr>
        <w:t>Available abstract (not full text):</w:t>
      </w:r>
      <w:r>
        <w:t xml:space="preserve"> Safety for automotive lithium-ion battery (LIB) applications is of crucial importance, especially for electric vehicle applications using batteries with high capacity and high energy density. In case of a defect inside or outside the cell, serious safety risks are possible including extensive heat generation, toxic and flammable gas generation, and consequently fire and explosion. New regulations (GB 38031-2020) require a warning for passengers at least five minutes before serious incidents. This regulation can hardly be fulfilled with state-of-the-art battery monitoring. In this study, gases produced during battery failure before and during a thermal runaway (TR) are investigated in detail and the use of different gas sensors as early detectors of battery incidents is tested and proposed. The response of several commercially available gas sensors is tested in four battery failure cases: unwanted electrolysis of voltage carrying parts, electrolyte vapor, first venting of the cell and the TR. The experiments show that battery failure detection with gas sensors is possible but depends highly on the failure case. The chosen gas sensor can detect H2 produced by unwanted electrolysis and electrolyte vapor and gases produced by degassing of state-of-the-art LIBs. The results may contribute significantly to failure detection and improvement of battery safety.</w:t>
      </w:r>
    </w:p>
    <w:p>
      <w:pPr>
        <w:pStyle w:val="Heading2"/>
      </w:pPr>
      <w:r>
        <w:t>642. Alpine Tundra Contraction under Future Warming Scenarios in Europe</w:t>
      </w:r>
    </w:p>
    <w:p>
      <w:pPr>
        <w:pStyle w:val="SourceNote"/>
      </w:pPr>
      <w:r>
        <w:rPr>
          <w:b/>
        </w:rPr>
        <w:t>Original source (2020):</w:t>
      </w:r>
      <w:r>
        <w:t xml:space="preserve"> https://doi.org/10.3390/atmos11070698</w:t>
      </w:r>
    </w:p>
    <w:p>
      <w:pPr/>
      <w:r>
        <w:t>Original wording (abstract; indexed_source_text_not_full_document_verified): We used 11 regional climate model simulations from EURO-CORDEX disaggregated at a one-kilometre grid size representing the RCP4.5 and RCP8.5 scenarios in the 1.5, 2 and 3 °C warming levels. In this case, the contraction in the Alps, Scandes and Pyrenees together is projected at between 44% and 48% of the present extent.</w:t>
      </w:r>
    </w:p>
    <w:p>
      <w:pPr/>
      <w:r>
        <w:rPr>
          <w:b/>
        </w:rPr>
        <w:t>POSSIBLE 2026:</w:t>
      </w:r>
      <w:r>
        <w:t xml:space="preserve"> Evaluating Climate Regimes and Their Temporal Evolution in ERA5-Driven EURO-CORDEX CMIP6 Simulations — https://doi.org/10.5194/ems2026-512</w:t>
      </w:r>
    </w:p>
    <w:p>
      <w:pPr/>
      <w:r>
        <w:rPr>
          <w:b/>
        </w:rPr>
        <w:t>Shared claim-specific concepts:</w:t>
      </w:r>
      <w:r>
        <w:t xml:space="preserve"> regional, climate, simulations, euro-cordex, representing, between; EU scope visible. This is a provisional connection, not an outcome finding.</w:t>
      </w:r>
    </w:p>
    <w:p>
      <w:pPr>
        <w:pStyle w:val="SourceNote"/>
      </w:pPr>
      <w:r>
        <w:rPr>
          <w:b/>
        </w:rPr>
        <w:t>Available abstract (not full text):</w:t>
      </w:r>
      <w:r>
        <w:t xml:space="preserve"> Climate classifications are useful tools for assessing climate variability and change, as they aggregate multiple variables into discrete climate types representing regions with homogeneous characteristics, often corresponding to vegetation zones or eco-regions. The Köppen–Trewartha classification (KTC) defines climate regimes using temperature- and precipitation-based thresholds, synthesising conditions into discrete and comparable units for analysing their spatial distribution and temporal evolution. In this study, we assess how well the new generation of EURO-CORDEX regional climate simulations driven by ERA5 reanalysis within the CMIP6 framework reproduces the observed distribution of KTC climate types across Europe. As part of the coordinated EURO-CORDEX evaluation effort, individual model simulations are compared against observational reference data representing observed climate conditions and their evolution. This enables an assessment of how well each simulation reproduces the distribution of major European climate types and their boundaries. We further investigate how these patterns evolve over time, focusing on shifts in climate regimes and their spatial structure. The analysis is complemented by time series diagnostics of climate type occurrence and spatial extent. Particular attention is given to systematic biases in the extent and boundaries of selected climate typ</w:t>
      </w:r>
    </w:p>
    <w:p>
      <w:pPr/>
      <w:r>
        <w:rPr>
          <w:b/>
        </w:rPr>
        <w:t>POSSIBLE 2026:</w:t>
      </w:r>
      <w:r>
        <w:t xml:space="preserve"> Evaluation of historical simulations in the HCLIM43-ALADIN regional climate downscaling ensemble over Europe in the EURO-CORDEX-CMIP6 framework — https://doi.org/10.5281/zenodo.22813643</w:t>
      </w:r>
    </w:p>
    <w:p>
      <w:pPr/>
      <w:r>
        <w:rPr>
          <w:b/>
        </w:rPr>
        <w:t>Shared claim-specific concepts:</w:t>
      </w:r>
      <w:r>
        <w:t xml:space="preserve"> used, regional, climate, simulations, grid, between; EU scope visible. This is a provisional connection, not an outcome finding.</w:t>
      </w:r>
    </w:p>
    <w:p>
      <w:pPr>
        <w:pStyle w:val="SourceNote"/>
      </w:pPr>
      <w:r>
        <w:rPr>
          <w:b/>
        </w:rPr>
        <w:t>Available abstract (not full text):</w:t>
      </w:r>
      <w:r>
        <w:t xml:space="preserve"> Regional climate downscaling has historically been complementary to global climate models, providing higher-resolution data for local-scale studies and climate services. We use the regional climate model HCLIM43-ALADIN to downscale six CMIP6 global models in eight simulations on a 12.5-km resolution European domain. This is the HCLIM community contribution to the EURO-CORDEX-CMIP6 multi-model downscaling ensemble involving several regional climate models and soon to be available publicly via the Earth System Grid Federation. We document the HCLIM43-ALADIN ensemble and evaluate the simulated results during the historical time period 1991−2020 against the gridded station observations E-OBS and the reanalyses CERRA, CERRA-Land, and ERA5, focusing on near-surface temperature and precipitation. In winter in the global climate model-driven HCLIM simulations, a cold bias of about 3 °C and underestimated precipitation by about 25% are present in North Europe, and a warm bias of about 1 °C and overestimated precipitation of about 50% are present in Central and Southern Europe. In summer, a cold bias of about 1 °C and overestimated precipitation of about 25% are present in Northern Europe, and a warm bias of about 2 °C is present in Central and Southern Europe. Overestimated precipitation by about 200% is present in parts of Southern Europe, but this value is also amplified by the very l</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regional, climate, euro-cordex;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New ensemble of regional climate projections for Europe — https://doi.org/10.5281/zenodo.20340839</w:t>
      </w:r>
    </w:p>
    <w:p>
      <w:pPr/>
      <w:r>
        <w:rPr>
          <w:b/>
        </w:rPr>
        <w:t>Shared claim-specific concepts:</w:t>
      </w:r>
      <w:r>
        <w:t xml:space="preserve"> used, regional, climate, simulations, euro-cordex, together; EU scope visible. This is a provisional connection, not an outcome finding.</w:t>
      </w:r>
    </w:p>
    <w:p>
      <w:pPr>
        <w:pStyle w:val="SourceNote"/>
      </w:pPr>
      <w:r>
        <w:rPr>
          <w:b/>
        </w:rPr>
        <w:t>Available abstract (not full text):</w:t>
      </w:r>
      <w:r>
        <w:t xml:space="preserve"> Regional climate projections complement global climate models by providing higher-resolution climate data, enabling regional climate change assessment, and supporting adaptation planning at national to local scales. Since 2022, EURO-CORDEX, the European branch of CORDEX (Coordinated Regional Climate Downscaling Experiment), has been producing a new ensemble of regional climate projections for Europe at about 12.5 km resolution. These projections are generated by downscaling a subset of global climate models from the 6th phase of the Coupled Model Intercomparison Project (CMIP6). Part of this grand EURO-CORDEX ensemble are simulations produced by Swedish, Danish, and Norwegian national meteorological services applying a new regional modelling system—HCLIM43-ALADIN. The HCLIM ensemble comprises 16 simulations under two scenarios (SSP1-2.6 and SSP3-7.0), driven by six CMIP6 GCMs, including three EC-Earth3-Veg members that differ only in their initial conditions. We present an overview of the HCLIM ensemble together with the first evaluation and analysis of possible future climate change in Europe and Scandinavia until the end of the century. This study contributes as a reference to the HCLIM ensemble when it will be used as part of the grand EURO-CORDEX ensemble.</w:t>
      </w:r>
    </w:p>
    <w:p>
      <w:pPr/>
      <w:r>
        <w:rPr>
          <w:b/>
        </w:rPr>
        <w:t>POSSIBLE 2026:</w:t>
      </w:r>
      <w:r>
        <w:t xml:space="preserve"> ClimRisk.eu: Regional climate projections for Europe — https://doi.org/10.5194/ems2026-518</w:t>
      </w:r>
    </w:p>
    <w:p>
      <w:pPr/>
      <w:r>
        <w:rPr>
          <w:b/>
        </w:rPr>
        <w:t>Shared claim-specific concepts:</w:t>
      </w:r>
      <w:r>
        <w:t xml:space="preserve"> regional, climate, together; EU scope visible. This is a provisional connection, not an outcome finding.</w:t>
      </w:r>
    </w:p>
    <w:p>
      <w:pPr>
        <w:pStyle w:val="SourceNote"/>
      </w:pPr>
      <w:r>
        <w:rPr>
          <w:b/>
        </w:rPr>
        <w:t>Available abstract (not full text):</w:t>
      </w:r>
      <w:r>
        <w:t xml:space="preserve"> ClimRisk.eu is a web-map tool for climate change assessment in Europe. ClimRisk allows users to explore climate projections interactively and download data for any specific location across Europe. Originally launched in 2004 as the platform for climate proofing in the Czech Republic and Central Europe, it is now aiming to cover the continental Europe. ClimRisk connects observational data with climate model projections and delivers information on the level of NUTS III region or even finer spatial scale of several hundreds of km2. The underlying data inputs offer even more detailed horizontal resolution ranging from 0,5 km (Czech Republic) to ca 5 km (Europe).ClimRisk is built on the combination of Copernicus/ECMWF CERRA reanalysis and CMIP6 global climate models. From the wide ensemble of 30 CMIP6 GCMs only 7 models were chosen for the ClimRisk based on the model validation and considering the range of the climate change signal for major climate variables from the entire CMIP6 ensemble. Four Shared Socioeconomic Pathways (SSP) scenarios are considered, and the climate projections are presented either for individual scenarios or their combination. In addition to CMIP6 GCMs, the new convection-permitting regional climate model ALADIN-Climate/CZ is included to improve representation of local processes and extreme precipitation.For users, the platform provides long-term climatologic</w:t>
      </w:r>
    </w:p>
    <w:p>
      <w:pPr/>
      <w:r>
        <w:rPr>
          <w:b/>
        </w:rPr>
        <w:t>POSSIBLE 2025:</w:t>
      </w:r>
      <w:r>
        <w:t xml:space="preserve"> Assessing the Impact of Land Use Changes on Regional Climate over Europe — https://doi.org/10.3390/eesp2025035053</w:t>
      </w:r>
    </w:p>
    <w:p>
      <w:pPr/>
      <w:r>
        <w:rPr>
          <w:b/>
        </w:rPr>
        <w:t>Shared claim-specific concepts:</w:t>
      </w:r>
      <w:r>
        <w:t xml:space="preserve"> regional, climate, simulations, euro-cordex; EU scope visible. This is a provisional connection, not an outcome finding.</w:t>
      </w:r>
    </w:p>
    <w:p>
      <w:pPr>
        <w:pStyle w:val="SourceNote"/>
      </w:pPr>
      <w:r>
        <w:rPr>
          <w:b/>
        </w:rPr>
        <w:t>Available abstract (not full text):</w:t>
      </w:r>
      <w:r>
        <w:t xml:space="preserve"> Anthropogenic alterations of the land surface through activities such as agriculture, forestry and urban development represent important human-induced forcings on the Earth’s climate system. This study, conducted in the framework of the UpClim project, employs the non-hydrostatic WRF-ARW v4.5.1 model forced by ERA5 reanalysis data to assess the impact of land use changes (LUCs) on the European climate. The study aims to quantify the effects of LUCs over the EURO-CORDEX domain at 0.11° resolution during 1980–1985 by comparing simulations with transient land use forcing against a control run with static land use.</w:t>
      </w:r>
    </w:p>
    <w:p>
      <w:pPr/>
      <w:r>
        <w:rPr>
          <w:b/>
        </w:rPr>
        <w:t>POSSIBLE 2025:</w:t>
      </w:r>
      <w:r>
        <w:t xml:space="preserve"> Investigating the future urban climates of European cities using an ensemble of convection permitting regional climate models — https://doi.org/10.5194/egusphere-egu25-1307</w:t>
      </w:r>
    </w:p>
    <w:p>
      <w:pPr/>
      <w:r>
        <w:rPr>
          <w:b/>
        </w:rPr>
        <w:t>Shared claim-specific concepts:</w:t>
      </w:r>
      <w:r>
        <w:t xml:space="preserve"> used, regional, climate, simulations, euro-cordex, rcp8; EU scope visible. This is a provisional connection, not an outcome finding.</w:t>
      </w:r>
    </w:p>
    <w:p>
      <w:pPr>
        <w:pStyle w:val="SourceNote"/>
      </w:pPr>
      <w:r>
        <w:rPr>
          <w:b/>
        </w:rPr>
        <w:t>Available abstract (not full text):</w:t>
      </w:r>
      <w:r>
        <w:t xml:space="preserve"> Urban areas modify natural land surfaces through the artificialization and sealing of surfaces, which has an impact on their exchanges of energy, water and momentum with the atmosphere. These modifications create specific meteorological conditions in cities, generally referred to as “urban climate”. The most notable – and most studied – climate effect of urbanisation is the increase in nighttime near surface air temperature, known as the Urban Heat Island (UHI).Future climate change projections are most often derived from Global Climate Models (GCMs), which are downscaled to the regional scale using statistical tools, or by limited-area regional climate models (RCMs). Because of their horizontal resolution, which often remains too coarse, RCMs cannot represent most urban areas adequately and, as a result, little is known about projected changes in UHIs in the future. A few studies have examined the projected evolution of UHIs in the context of climate change using different approaches ranging from GCMs and RCMs to high-resolution land surface models, but with little agreement between studies and great sensitivity to the city analyzed, its climate and, more particularly, the downscaling approach used.The latest generation of RCMs, known as Convection Permitting Regional Climate Models (CPMs), now reach horizontal resolutions of the order of a few kilometers, and can be coupled w</w:t>
      </w:r>
    </w:p>
    <w:p>
      <w:pPr/>
      <w:r>
        <w:rPr>
          <w:b/>
        </w:rPr>
        <w:t>POSSIBLE 2025:</w:t>
      </w:r>
      <w:r>
        <w:t xml:space="preserve"> Regional climate projections using a deep-learning–based model-ranking and downscaling framework: application to European climate zones — https://doi.org/10.1007/s11356-025-36872-9</w:t>
      </w:r>
    </w:p>
    <w:p>
      <w:pPr/>
      <w:r>
        <w:rPr>
          <w:b/>
        </w:rPr>
        <w:t>Shared claim-specific concepts:</w:t>
      </w:r>
      <w:r>
        <w:t xml:space="preserve"> regional, climate, present; EU scope visible. This is a provisional connection, not an outcome finding.</w:t>
      </w:r>
    </w:p>
    <w:p>
      <w:pPr>
        <w:pStyle w:val="SourceNote"/>
      </w:pPr>
      <w:r>
        <w:rPr>
          <w:b/>
        </w:rPr>
        <w:t>Available abstract (not full text):</w:t>
      </w:r>
      <w:r>
        <w:t xml:space="preserve"> Abstract Accurate regional climate projection calls for high-resolution downscaling of Global Climate Models (GCMs). This work presents a deep-learning-based multi-model evaluation and downscaling framework ranking 32 Coupled Model Intercomparison Project Phase 6 (CMIP6) models using a Deep Learning-TOPSIS (DL-TOPSIS) mechanism and refines outputs using advanced deep-learning models. Using nine performance criteria, five Köppen-Geiger climate zones—Tropical, Arid, Temperate, Continental, and Polar—are investigated over four seasons. While TaiESM1 and CMCC-CM2-SR5 show notable biases, ranking results show that NorESM2-LM, GISS-E2-1-G, and HadGEM3-GC31-LL outperform other models. Four models contribute to downscaling the top-ranked GCMs to 0.1 $$^\circ $$ ∘ resolution (Vision Transformer (ViT), Geospatial Spatiotemporal Transformer with Attention and Imbalance-Aware Network (GeoSTANet), CNN-LSTM, CNN-Long Short-Term Memory (ConvLSTM)). Effectively capturing temperature extremes (TXx, TNn), GeoSTANet achieves the highest accuracy (Root Mean Square Error (RMSE) = 1.57 $$^\circ $$ ∘ C, Kling-Gupta Efficiency (KGE) = 0.89, Nash-Sutcliffe Efficiency (NSE) = 0.85, Correlation (r) = 0.92), so reducing RMSE by 20% over ConvLSTM. CNN-LSTM and ConvLSTM do well in Continental and Temperate zones; ViT finds fine-scale temperature fluctuations difficult. These results confirm that multi-crite</w:t>
      </w:r>
    </w:p>
    <w:p>
      <w:pPr/>
      <w:r>
        <w:rPr>
          <w:b/>
        </w:rPr>
        <w:t>POSSIBLE 2025:</w:t>
      </w:r>
      <w:r>
        <w:t xml:space="preserve"> Local Climate Risks in sight of realistic climate targets: Projecting Co-occurrence of Heat Extremes in Central Europe Using Downscaled CMIP6 and Regional Scenarios — https://doi.org/10.5194/ems2025-241</w:t>
      </w:r>
    </w:p>
    <w:p>
      <w:pPr/>
      <w:r>
        <w:rPr>
          <w:b/>
        </w:rPr>
        <w:t>Shared claim-specific concepts:</w:t>
      </w:r>
      <w:r>
        <w:t xml:space="preserve"> regional, climate, warming, levels, case; EU scope visible. This is a provisional connection, not an outcome finding.</w:t>
      </w:r>
    </w:p>
    <w:p>
      <w:pPr>
        <w:pStyle w:val="SourceNote"/>
      </w:pPr>
      <w:r>
        <w:rPr>
          <w:b/>
        </w:rPr>
        <w:t>Available abstract (not full text):</w:t>
      </w:r>
      <w:r>
        <w:t xml:space="preserve"> Humanity will face the challenge of adapting to the impacts of global warming besides those that have already occurred, even if political ambitions are realized. Challenges differ regionally and include a wide range of weather extremes, which means not only the increasing frequency of dangerous “usual” climatic events but also unprecedented impacts outside of the climate system's natural variability. Many regions globally, including Central Europe, have already experienced changes in climate extremes higher than the internal variability of the climate system. The signal is shown to be especially robust in case of heat extremes, such as warm days or warm nights, with signals reflecting unusual or even unfamiliar conditions. Our analysis focuses on heat-related extreme events, including their co-occurrence. We use a targeted subset of CMIP6 models known for their robust performance over Europe, supplemented by high-resolution regional climate scenarios. We employed different downscaling techniques, including convection-permitting regional climate simulation, to evaluate the sensitivity of results to methodological choices and to better capture regional-to-local-scale climate signals. Rather than focusing on specific emissions scenario pathways, we analyse projections at different levels of global warming. This approach allows us to explore the manifestation of heat-related extrem</w:t>
      </w:r>
    </w:p>
    <w:p>
      <w:pPr/>
      <w:r>
        <w:rPr>
          <w:b/>
        </w:rPr>
        <w:t>POSSIBLE 2025:</w:t>
      </w:r>
      <w:r>
        <w:t xml:space="preserve"> Validation of Euro‐ CORDEX Simulations Focusing on Mean and Extreme Precipitation in European Plain Areas — https://doi.org/10.1002/joc.70089</w:t>
      </w:r>
    </w:p>
    <w:p>
      <w:pPr/>
      <w:r>
        <w:rPr>
          <w:b/>
        </w:rPr>
        <w:t>Shared claim-specific concepts:</w:t>
      </w:r>
      <w:r>
        <w:t xml:space="preserve"> used, regional, climate, simulations, grid; EU scope visible. This is a provisional connection, not an outcome finding.</w:t>
      </w:r>
    </w:p>
    <w:p>
      <w:pPr>
        <w:pStyle w:val="SourceNote"/>
      </w:pPr>
      <w:r>
        <w:rPr>
          <w:b/>
        </w:rPr>
        <w:t>Available abstract (not full text):</w:t>
      </w:r>
      <w:r>
        <w:t xml:space="preserve"> ABSTRACT As a result of climate change, extreme weather phenomena are expected to become more frequent and severe, so adaptation in the future will be essential. Global and regional climate model simulations offer crucial insights into future climate change, forming the basis for planning and implementing adaptation and mitigation strategies. Therefore, evaluating these simulations is essential for generating reliable projections. This study assesses ten historical Euro‐CORDEX simulations using different combinations of Global and Regional Climate Models, validated against the E‐OBS dataset, which is derived from meteorological station measurements across Europe. All data are available at daily temporal resolution and interpolated to a 0.1° regular grid. The study analyses the period 1970–2005. For study areas, 14 plain regions were selected across Europe with an objective three‐step methodology based on elevation and geographical borders. Plain regions were defined as relatively flat areas below 200 m elevation. We calculated 11 climate indices; 8 of these are associated with extreme precipitation events, and for the evaluation we used four statistical metrics designed to assess the performance and capability of the model simulations. Based on these results and metrics, a model performance scoring system was established to rank and compare simulations and identify well‐perform</w:t>
      </w:r>
    </w:p>
    <w:p>
      <w:pPr/>
      <w:r>
        <w:rPr>
          <w:b/>
        </w:rPr>
        <w:t>POSSIBLE 2025:</w:t>
      </w:r>
      <w:r>
        <w:t xml:space="preserve"> Future Changes of European Windstorm Losses in EURO-CORDEX Simulations — https://doi.org/10.16993/tellusa.4094</w:t>
      </w:r>
    </w:p>
    <w:p>
      <w:pPr/>
      <w:r>
        <w:rPr>
          <w:b/>
        </w:rPr>
        <w:t>Shared claim-specific concepts:</w:t>
      </w:r>
      <w:r>
        <w:t xml:space="preserve"> regional, climate, simulations, euro-cordex, rcp8, warming; EU scope visible. This is a provisional connection, not an outcome finding.</w:t>
      </w:r>
    </w:p>
    <w:p>
      <w:pPr>
        <w:pStyle w:val="SourceNote"/>
      </w:pPr>
      <w:r>
        <w:rPr>
          <w:b/>
        </w:rPr>
        <w:t>Available abstract (not full text):</w:t>
      </w:r>
      <w:r>
        <w:t xml:space="preserve"> Windstorms are one of the most important natural hazards affecting Europe. This article investigates the potential impacts of climate change on windstorm losses in Europe employing the Loss Index (LI) method. A large EURO-CORDEX multi-model ensemble at 12 km resolution with 20 different general circulation model to regional climate model (GCM-RCM) chains following the historical plus RCP8.5 scenario is considered. A comparison between the simulated historical 10 m wind gusts and ERA5 reanalysis reveals substantial model biases. An Empirical Quantile Mapping method is employed to bias-correct the daily wind gust speeds, leading to the effective reduction of these biases. Considering different global warming levels (GWLs), our results show an increase in windstorm intensity for Western, Central and Eastern Europe in a warming world, and a general decrease in windstorm frequency for large parts of Europe. While the ensemble mean changes are mostly moderate for +2°C world, signals are more pronounced for +3°C. The projected changes in windstorm losses are small and mostly non-robust, with negative trends for Central Europe and positive trends for Eastern Europe. For the most extreme loss events, the EURO-CORDEX ensemble projects shorter return periods for Eastern Europe independent of the GWL, while no clear trends for Core Europe emerge. Our results show a large spread between the</w:t>
      </w:r>
    </w:p>
    <w:p>
      <w:pPr/>
      <w:r>
        <w:rPr>
          <w:b/>
        </w:rPr>
        <w:t>POSSIBLE 2025:</w:t>
      </w:r>
      <w:r>
        <w:t xml:space="preserve"> GCM Selection and Ensemble Design: Best Practices and Recommendations from the EURO-CORDEX Community — https://doi.org/10.1175/bams-d-23-0189.1</w:t>
      </w:r>
    </w:p>
    <w:p>
      <w:pPr/>
      <w:r>
        <w:rPr>
          <w:b/>
        </w:rPr>
        <w:t>Shared claim-specific concepts:</w:t>
      </w:r>
      <w:r>
        <w:t xml:space="preserve"> regional, climate, simulations, euro-cordex, present; EU scope visible. This is a provisional connection, not an outcome finding.</w:t>
      </w:r>
    </w:p>
    <w:p>
      <w:pPr>
        <w:pStyle w:val="SourceNote"/>
      </w:pPr>
      <w:r>
        <w:rPr>
          <w:b/>
        </w:rPr>
        <w:t>Available abstract (not full text):</w:t>
      </w:r>
      <w:r>
        <w:t xml:space="preserve"> Abstract High-resolution climate information is critical for the Vulnerability, Impacts, Adaptation, and Climate Services (VIACS) communities. Coordinated ensembles generated by initiatives like the Coordinated Regional Climate Downscaling Experiment (CORDEX) provide consistent and comparable information for the present and future over all land areas of the globe. This manuscript focuses on the European CORDEX initiative (EURO-CORDEX) and its coordinated effort to build regional climate ensembles for the years to come. In its first phase, EURO-CORDEX produced a rich ensemble of regional climate simulations under different representative concentration pathway scenarios. The EURO-CORDEX dataset is openly available and was fed into the Regional Atlas of the IPCC Sixth Assessment Report. However, this ensemble suffered from several shortcomings, which the community seeks to address in the next phase of production. Chief among these is the oft-cited criticism that the selection of GCMs that provide input to the regional climate models was not rigorous and that the resulting ensemble represents an “ensemble of opportunity.” The present paper provides a description of how the community has addressed these shortcomings. We present a comprehensive, flexible, and traceable evaluation framework and toolkit for assessing the suitability of GCMs for downscaling, using EURO-CORDEX as an exam</w:t>
      </w:r>
    </w:p>
    <w:p>
      <w:pPr>
        <w:pStyle w:val="Heading2"/>
      </w:pPr>
      <w:r>
        <w:t>643. Assessing the EU’s 2030 Climate and Energy Policy Framework: Incremental change toward radical transformation?</w:t>
      </w:r>
    </w:p>
    <w:p>
      <w:pPr>
        <w:pStyle w:val="SourceNote"/>
      </w:pPr>
      <w:r>
        <w:rPr>
          <w:b/>
        </w:rPr>
        <w:t>Original source (2020):</w:t>
      </w:r>
      <w:r>
        <w:t xml:space="preserve"> https://doi.org/10.1111/reel.12358</w:t>
      </w:r>
    </w:p>
    <w:p>
      <w:pPr/>
      <w:r>
        <w:t>Original wording (abstract; indexed_source_text_not_full_document_verified): This article provides a comprehensive overview of the changes to European Union (EU) climate and energy law brought about by the 2030 Climate and Energy Policy Framework. The article also explores the prospects for future change of the 2030 Framework towards more radical transformation in light of the European Green Deal and the ongoing COVID‐19 pandemic.</w:t>
      </w:r>
    </w:p>
    <w:p>
      <w:pPr/>
      <w:r>
        <w:rPr>
          <w:b/>
        </w:rPr>
        <w:t>POSSIBLE 2026:</w:t>
      </w:r>
      <w:r>
        <w:t xml:space="preserve"> Protecting Wildlife in Europe: A Comprehensive Analysis of Legislative Frameworks and Their Shortcomings — https://doi.org/10.1080/13880292.2025.2619363</w:t>
      </w:r>
    </w:p>
    <w:p>
      <w:pPr/>
      <w:r>
        <w:rPr>
          <w:b/>
        </w:rPr>
        <w:t>Shared claim-specific concepts:</w:t>
      </w:r>
      <w:r>
        <w:t xml:space="preserve"> article, provides, comprehensive, law, also, explores; EU scope visible. This is a provisional connection, not an outcome finding.</w:t>
      </w:r>
    </w:p>
    <w:p>
      <w:pPr>
        <w:pStyle w:val="SourceNote"/>
      </w:pPr>
      <w:r>
        <w:rPr>
          <w:b/>
        </w:rPr>
        <w:t>Available abstract (not full text):</w:t>
      </w:r>
      <w:r>
        <w:t xml:space="preserve"> This article provides a critical and comprehensive analysis of the legislative frameworks governing wildlife protection in Britain and Europe, highlighting both their strengths and persistent shortcomings. At the European level, the analysis considers the Habitats Directive and the recently adopted EU Nature Restoration Law, which imposes legally binding restoration targets for ecosystems and aims to address the ongoing biodiversity crisis. The article also explores the regulatory environment surrounding wildlife trade, including the implementation of CITES through EU regulations and the challenges posed by illegal trafficking and moves on to examine the foundational statutes in Britain, notably the Wildlife and Countryside Act 1981, which serves as the principal mechanism for the protection of wild species and habitats, and its integration of key European directives such as the Birds and Habitats Directives. Despite the existence of robust legislative instruments and the establishment of the Natura 2000 network—the largest coordinated protected area network globally—significant gaps remain. These include inconsistent implementation at the domestic level, enforcement challenges, and the dilution of original European standards during national transposition. The analysis reveals that the effectiveness of these frameworks is often undermined by political, economic, and social pres</w:t>
      </w:r>
    </w:p>
    <w:p>
      <w:pPr/>
      <w:r>
        <w:rPr>
          <w:b/>
        </w:rPr>
        <w:t>POSSIBLE 2026:</w:t>
      </w:r>
      <w:r>
        <w:t xml:space="preserve"> Trade unions in the European Union — https://doi.org/10.20396/rbest.v7i00.21016</w:t>
      </w:r>
    </w:p>
    <w:p>
      <w:pPr/>
      <w:r>
        <w:rPr>
          <w:b/>
        </w:rPr>
        <w:t>Shared claim-specific concepts:</w:t>
      </w:r>
      <w:r>
        <w:t xml:space="preserve"> article, provides, union; EU scope visible. This is a provisional connection, not an outcome finding.</w:t>
      </w:r>
    </w:p>
    <w:p>
      <w:pPr>
        <w:pStyle w:val="SourceNote"/>
      </w:pPr>
      <w:r>
        <w:rPr>
          <w:b/>
        </w:rPr>
        <w:t>Available abstract (not full text):</w:t>
      </w:r>
      <w:r>
        <w:t xml:space="preserve"> This article assesses changes in the situation of trade unions in the European Union (EU) between 2000 and 2020, building on a previous publication by the European Trade Union Institute (ETUI) on European trade unionism (Waddington &amp; Hoffmann, 2000) and incorporating an analysis of the impact of the adoption of the euro and successive EU enlargements. The analysis argues that the viability of trade unionism in some national variants of the European social model is under threat. The text consists of five sections, plus an introduction and concluding remarks. Section 1 provides a historical perspective: it revisits the labor movement of the “golden age” and describes the challenge posed by the neoliberal agenda in the last quarter of the 20th century. The subsequent sections outline the changes that have taken place since the year 2000 in line with the neoliberal project: in the labor market (section 2); in economic outcomes (section 3); in collective bargaining (section 4); and in unionization and mobilization (section 5). Finally, the paper highlights the characteristics that distinguish the recent trajectories of trade unionism in EU member states.</w:t>
      </w:r>
    </w:p>
    <w:p>
      <w:pPr/>
      <w:r>
        <w:rPr>
          <w:b/>
        </w:rPr>
        <w:t>POSSIBLE 2026:</w:t>
      </w:r>
      <w:r>
        <w:t xml:space="preserve"> Change of Sporting Nationality in Athletics in the Context of European Union Law — https://openalex.org/W7164874266</w:t>
      </w:r>
    </w:p>
    <w:p>
      <w:pPr/>
      <w:r>
        <w:rPr>
          <w:b/>
        </w:rPr>
        <w:t>Shared claim-specific concepts:</w:t>
      </w:r>
      <w:r>
        <w:t xml:space="preserve"> article, provides, comprehensive, union, law, framework; EU scope visible. This is a provisional connection, not an outcome finding.</w:t>
      </w:r>
    </w:p>
    <w:p>
      <w:pPr>
        <w:pStyle w:val="SourceNote"/>
      </w:pPr>
      <w:r>
        <w:rPr>
          <w:b/>
        </w:rPr>
        <w:t>Available abstract (not full text):</w:t>
      </w:r>
      <w:r>
        <w:t xml:space="preserve"> Change of Sporting Nationality in Athletics in the Context of European Union Law Abstract This thesis provides a comprehensive analysis of the phenomenon of changing national affiliation in the context of athletics, with a focus on and through the lens of EU law. In an era of increasing globalization and ever-greater professional mobility among athletes, the rules of international sports federations constitute a fundamental regulatory framework that can affect the fundamental rights of individuals. The main objective of this thesis is to critically assess the rules of WA and their compliance with the key pillars of EU law, in particular the principle of free movement of workers (Article 45 TFEU Treaty on the Functioning of the European Union, hereinafter referred to as "TFEU"), the prohibition of discrimination based on nationality (Article 18 TFEU), and EU competition rules (Articles 101 and 102 TFEU). The introductory section is devoted to a theoretical definition of the concept of citizenship in contrast to the specific institution of sports nationality. Attention is then turned to the doctrine of sports autonomy and its limits, as defined by the case law of the Court of Justice of the EU, particularly in the context of applying the proportionality test. The core of the thesis consists of a detailed...</w:t>
      </w:r>
    </w:p>
    <w:p>
      <w:pPr/>
      <w:r>
        <w:rPr>
          <w:b/>
        </w:rPr>
        <w:t>POSSIBLE 2025:</w:t>
      </w:r>
      <w:r>
        <w:t xml:space="preserve"> The Palestinian Refugee, Article 1D and Evolving Jurisprudence from Europe: a Practitioner’s Perspective — https://doi.org/10.1163/15718166-12340198</w:t>
      </w:r>
    </w:p>
    <w:p>
      <w:pPr/>
      <w:r>
        <w:rPr>
          <w:b/>
        </w:rPr>
        <w:t>Shared claim-specific concepts:</w:t>
      </w:r>
      <w:r>
        <w:t xml:space="preserve"> abstract, article, provides, overview, law, framework; EU scope visible. This is a provisional connection, not an outcome finding.</w:t>
      </w:r>
    </w:p>
    <w:p>
      <w:pPr>
        <w:pStyle w:val="SourceNote"/>
      </w:pPr>
      <w:r>
        <w:rPr>
          <w:b/>
        </w:rPr>
        <w:t>Available abstract (not full text):</w:t>
      </w:r>
      <w:r>
        <w:t xml:space="preserve"> Abstract This article examines the evolving jurisprudence of the CJEU concerning Palestinian applicants for refugee status under Article 1D of the 1951 Refugee Convention, as implemented in European law through Article 12(1)(a) of the Qualification Directive. It explores the unique legal framework applicable to Palestinian refugees, whose protection needs are addressed outside the architecture of the Refugee Convention. The article provides a brief overview of Article 1D, its interpretation by the CJEU, and contrasts these judgments with the positions of the UNHCR. The article also addresses the implications of the deteriorating situation in Gaza, UNRWA’s operational challenges, and the potential cessation of its mandate.</w:t>
      </w:r>
    </w:p>
    <w:p>
      <w:pPr/>
      <w:r>
        <w:rPr>
          <w:b/>
        </w:rPr>
        <w:t>POSSIBLE 2025:</w:t>
      </w:r>
      <w:r>
        <w:t xml:space="preserve"> A systematic literature review focusing on luxury hotels in Europe and Asia — https://doi.org/10.15170/tvt.2025.10.01.05</w:t>
      </w:r>
    </w:p>
    <w:p>
      <w:pPr/>
      <w:r>
        <w:rPr>
          <w:b/>
        </w:rPr>
        <w:t>Shared claim-specific concepts:</w:t>
      </w:r>
      <w:r>
        <w:t xml:space="preserve"> article, provides, comprehensive, overview, pandemic; EU scope visible. This is a provisional connection, not an outcome finding.</w:t>
      </w:r>
    </w:p>
    <w:p>
      <w:pPr>
        <w:pStyle w:val="SourceNote"/>
      </w:pPr>
      <w:r>
        <w:rPr>
          <w:b/>
        </w:rPr>
        <w:t>Available abstract (not full text):</w:t>
      </w:r>
      <w:r>
        <w:t xml:space="preserve"> Following the significant impact of the pandemic on the hotel industry, hotels continue to play a key role in the economy sector. However, maintaining financial stability is a major challenge for them. Luxury and sustainability may seem like contradictory concepts, but there are “best practices” that refer to the coexistence of these two concepts (Peng &amp; Chen, 2019). The aim is to systematically review the literature on luxury hotels in Europe and Asia, after formulating a unique definition of the term luxury. Few studies are available on this topic, despite the rapid and global growth of the sector (Moore, 2024). This article provides a comprehensive overview of the characteristics of luxury hotels, drawing key correlations from European and Asian publications.</w:t>
      </w:r>
    </w:p>
    <w:p>
      <w:pPr/>
      <w:r>
        <w:rPr>
          <w:b/>
        </w:rPr>
        <w:t>POSSIBLE 2024:</w:t>
      </w:r>
      <w:r>
        <w:t xml:space="preserve"> Human trafficking and forced prostitution under article 4 of the European convention on human rights — https://doi.org/10.1017/glj.2023.98</w:t>
      </w:r>
    </w:p>
    <w:p>
      <w:pPr/>
      <w:r>
        <w:rPr>
          <w:b/>
        </w:rPr>
        <w:t>Shared claim-specific concepts:</w:t>
      </w:r>
      <w:r>
        <w:t xml:space="preserve"> abstract, article, comprehensive, also; EU scope visible. This is a provisional connection, not an outcome finding.</w:t>
      </w:r>
    </w:p>
    <w:p>
      <w:pPr>
        <w:pStyle w:val="SourceNote"/>
      </w:pPr>
      <w:r>
        <w:rPr>
          <w:b/>
        </w:rPr>
        <w:t>Available abstract (not full text):</w:t>
      </w:r>
      <w:r>
        <w:t xml:space="preserve"> Abstract We discuss the issue of bringing human trafficking and forced prostitution within the purview of Article 4 of the European Convention on Human Rights. The judgment of the European Court of Human Rights in Rantsev v. Cyprus and Russia marked a turning point by classifying forced prostitution through human trafficking under Article 4. However, in the judgment in S.M. v. Croatia, the ECtHR further reinforced its view that human trafficking and forced prostitution constitute a violation of Article 4. We explain human trafficking and forced prostitution both theoretically and through a number of international legal acts. We then explain Article 4 of the Convention and provide a comprehensive analysis of the material and procedural guarantees against human trafficking and forced prostitution. We also comment on the positive obligations that the ECtHR set for Member States. The authors believe that, despite numerous criticisms, the ECtHR’s position is correct and that both human trafficking and forced prostitution violate the principles of democratic society. Therefore, victims must enjoy the protection afforded by Article 4 of the Human Rights Convention and other conventions if their life situation falls within their scope.</w:t>
      </w:r>
    </w:p>
    <w:p>
      <w:pPr/>
      <w:r>
        <w:rPr>
          <w:b/>
        </w:rPr>
        <w:t>POSSIBLE 2024:</w:t>
      </w:r>
      <w:r>
        <w:t xml:space="preserve"> Early Marriage: A European Perspective — https://doi.org/10.1007/978-3-031-71598-3_12</w:t>
      </w:r>
    </w:p>
    <w:p>
      <w:pPr/>
      <w:r>
        <w:rPr>
          <w:b/>
        </w:rPr>
        <w:t>Shared claim-specific concepts:</w:t>
      </w:r>
      <w:r>
        <w:t xml:space="preserve"> abstract, article, provides, overview; EU scope visible. This is a provisional connection, not an outcome finding.</w:t>
      </w:r>
    </w:p>
    <w:p>
      <w:pPr>
        <w:pStyle w:val="SourceNote"/>
      </w:pPr>
      <w:r>
        <w:rPr>
          <w:b/>
        </w:rPr>
        <w:t>Available abstract (not full text):</w:t>
      </w:r>
      <w:r>
        <w:t xml:space="preserve"> Abstract This article provides an overview and comparison of the findings of the contributions in this chapter and an outlook on possible European improvements. To protect the persons involved, the article argues against symbolic law-making and emphatically proposes a case-by-case approach.</w:t>
      </w:r>
    </w:p>
    <w:p>
      <w:pPr/>
      <w:r>
        <w:rPr>
          <w:b/>
        </w:rPr>
        <w:t>POSSIBLE 2024:</w:t>
      </w:r>
      <w:r>
        <w:t xml:space="preserve"> A comprehensive overview of industrial demand response status in Europe — https://doi.org/10.1016/j.rser.2024.114797</w:t>
      </w:r>
    </w:p>
    <w:p>
      <w:pPr/>
      <w:r>
        <w:rPr>
          <w:b/>
        </w:rPr>
        <w:t>Shared claim-specific concepts:</w:t>
      </w:r>
      <w:r>
        <w:t xml:space="preserve"> comprehensive, overview, energy; EU scope visible. This is a provisional connection, not an outcome finding.</w:t>
      </w:r>
    </w:p>
    <w:p>
      <w:pPr>
        <w:pStyle w:val="SourceNote"/>
      </w:pPr>
      <w:r>
        <w:rPr>
          <w:b/>
        </w:rPr>
        <w:t>Available abstract (not full text):</w:t>
      </w:r>
      <w:r>
        <w:t xml:space="preserve"> Industrial demand response (IDR) will play a crucial role in shaping future electricity systems, as it is a key element of a just energy transition and industrial development. The aim of this work is to provide an overview of the current status of IDR in a holistic perspective. First, the main benefits and potential of IDR are reviewed, together with the motivations and challenges for the industrial sector. Most recent advances in European markets and regulations with specific focus on IDR applications are explored. Then, the different resources which are currently available to help industries participate and implement IDR programmes are reviewed. In particular: 1) the (possible) tools for defining energy-aware scheduling and planning of the manufacturing systems are analysed; 2) The role of aggregators (i.e. intermediaries between industries and power markets) for facilitating explicit IDR is examined; 3) the importance of digitalisation to provide better IDR services from the manufacturing industry is highlighted, pointing out that digital twins, cyber-physical systems, Internet of Things sensors, robots, edge computing, artificial intelligence, and big data are promising technologies; and 4) most recent related research projects are reviewed. Finally, it is analysed and discussed how each of those resources can address the different challenges that are still preventing indus</w:t>
      </w:r>
    </w:p>
    <w:p>
      <w:pPr/>
      <w:r>
        <w:rPr>
          <w:b/>
        </w:rPr>
        <w:t>POSSIBLE 2024:</w:t>
      </w:r>
      <w:r>
        <w:t xml:space="preserve"> Making a comprehensive arms control agreement for Europe in times of crisis: Rationale, structure, and outcomes — https://doi.org/10.5937/pnb27-51889</w:t>
      </w:r>
    </w:p>
    <w:p>
      <w:pPr/>
      <w:r>
        <w:rPr>
          <w:b/>
        </w:rPr>
        <w:t>Shared claim-specific concepts:</w:t>
      </w:r>
      <w:r>
        <w:t xml:space="preserve"> article, comprehensive, framework; EU scope visible. This is a provisional connection, not an outcome finding.</w:t>
      </w:r>
    </w:p>
    <w:p>
      <w:pPr>
        <w:pStyle w:val="SourceNote"/>
      </w:pPr>
      <w:r>
        <w:rPr>
          <w:b/>
        </w:rPr>
        <w:t>Available abstract (not full text):</w:t>
      </w:r>
      <w:r>
        <w:t xml:space="preserve"> The war in Ukraine reflects the culmination of two international crises - one of the European security architecture and the other of strategic stability. This paper aims to examine how these crises influence the feasibility of future arms control in Europe. The authors claim that the current situation is an opportunity for a comprehensive arms control agreement for Europe. They begin by providing a theoretical framework of international crises and explain the current state of the arms control regime. Through a content and discourse analysis, they consider the positions of the main actors in relation to the key elements of future arms control and, based on this, by using a comparative method, consider the possible common ground that would serve as the bedrock for a new European comprehensive arms control regime. The article concludes that by going comprehensive, arms control can provide grounds for tradeoffs between the parties, settling most issues of concern in a multi-track process.</w:t>
      </w:r>
    </w:p>
    <w:p>
      <w:pPr/>
      <w:r>
        <w:rPr>
          <w:b/>
        </w:rPr>
        <w:t>POSSIBLE 2024:</w:t>
      </w:r>
      <w:r>
        <w:t xml:space="preserve"> A comprehensive analysis of European clinical trial governance: The evolution from directive to regulation — https://doi.org/10.1177/17411343241303843</w:t>
      </w:r>
    </w:p>
    <w:p>
      <w:pPr/>
      <w:r>
        <w:rPr>
          <w:b/>
        </w:rPr>
        <w:t>Shared claim-specific concepts:</w:t>
      </w:r>
      <w:r>
        <w:t xml:space="preserve"> article, provides, comprehensive, overview, explores; EU scope visible. This is a provisional connection, not an outcome finding.</w:t>
      </w:r>
    </w:p>
    <w:p>
      <w:pPr>
        <w:pStyle w:val="SourceNote"/>
      </w:pPr>
      <w:r>
        <w:rPr>
          <w:b/>
        </w:rPr>
        <w:t>Available abstract (not full text):</w:t>
      </w:r>
      <w:r>
        <w:t xml:space="preserve"> The implementation of the new European Clinical Trial Regulation on January 31, 2022, marks a significant advancement in promoting clinical research across Europe. This article comprises three key sections aimed at elucidating the transition from the previous clinical trial directives to the new regulation and its implications. The introductory segment provides a simplified overview of the historical context and limitations of clinical trial directives, setting the stage for a deeper exploration of the subsequent clinical trial regulation-related information. Here, the basic work structure of the Clinical Trial Information System (CTIS) is outlined alongside the transition period from directives to regulation, highlighting key differences between the two. Additionally, various differentiators of the regulation are highlighted, including coordinated assessments, increased public transparency, new definitions such as “low intervention clinical trials,” stricter timelines, simplified safety reporting, and improved patient protections. Lastly, the article creatively explores the guidance document titled “Guidance for the Transition of Clinical Trials from the Clinical Trial Directive to Clinical Trial Regulation,” elucidating its contents in an easy-to-understand manner. In summary, this article offers a concise yet comprehensive overview of the clinical trial directive, clinical t</w:t>
      </w:r>
    </w:p>
    <w:p>
      <w:pPr/>
      <w:r>
        <w:rPr>
          <w:b/>
        </w:rPr>
        <w:t>POSSIBLE 2024:</w:t>
      </w:r>
      <w:r>
        <w:t xml:space="preserve"> CHANGES IN THE IMPORT OF ORGANIC PRODUCTS TO THE EUROPEAN UNION BETWEEN 2018 AND 2023 — https://doi.org/10.5604/01.3001.0054.8685</w:t>
      </w:r>
    </w:p>
    <w:p>
      <w:pPr/>
      <w:r>
        <w:rPr>
          <w:b/>
        </w:rPr>
        <w:t>Shared claim-specific concepts:</w:t>
      </w:r>
      <w:r>
        <w:t xml:space="preserve"> article, provides, union, framework; EU scope visible. This is a provisional connection, not an outcome finding.</w:t>
      </w:r>
    </w:p>
    <w:p>
      <w:pPr>
        <w:pStyle w:val="SourceNote"/>
      </w:pPr>
      <w:r>
        <w:rPr>
          <w:b/>
        </w:rPr>
        <w:t>Available abstract (not full text):</w:t>
      </w:r>
      <w:r>
        <w:t xml:space="preserve"> Food produced through organic systems is becoming increasingly popular among consumers and farmers worldwide. Growing demand is the primary driver of the organic food market’s development, contributing to the introduction of new products. This article aims to analyze changes in the import of organic products to the European Union (EU) between 2018 and 2023. The study employs data analysis, legal regulation review, and literature examination. It focuses on key trends, regulations, and external factors affecting the organic products market. The analysis includes import directions and identifies the largest suppliers of organic products. The findings reveal an increase in organic product imports, supplier diversification, and shifts in import structure. Importing organic products into the EU ensures the diversity and availability of food meeting the highest quality standards, preferred by many consumers. This is crucial in the context of exploring methods to achieve sustainable development. The article provides insights for policymakers and market participants, highlighting challenges and opportunities for growth within the framework of sustainable agriculture.</w:t>
      </w:r>
    </w:p>
    <w:p>
      <w:pPr/>
      <w:r>
        <w:rPr>
          <w:b/>
        </w:rPr>
        <w:t>POSSIBLE 2023:</w:t>
      </w:r>
      <w:r>
        <w:t xml:space="preserve"> Contesting Europe: Eurosceptic Dissent and Integration Polarization in the European Parliament — https://doi.org/10.1111/jcms.13448</w:t>
      </w:r>
    </w:p>
    <w:p>
      <w:pPr/>
      <w:r>
        <w:rPr>
          <w:b/>
        </w:rPr>
        <w:t>Shared claim-specific concepts:</w:t>
      </w:r>
      <w:r>
        <w:t xml:space="preserve"> abstract, article, provides, comprehensive; EU scope visible. This is a provisional connection, not an outcome finding.</w:t>
      </w:r>
    </w:p>
    <w:p>
      <w:pPr>
        <w:pStyle w:val="SourceNote"/>
      </w:pPr>
      <w:r>
        <w:rPr>
          <w:b/>
        </w:rPr>
        <w:t>Available abstract (not full text):</w:t>
      </w:r>
      <w:r>
        <w:t xml:space="preserve"> Abstract This article provides a comprehensive analysis of Eurosceptic contestation within the legislative arena of the European Parliament (EP) from 2009 to 2019. Under what conditions do Eurosceptics vote differently from their Europhile peers? The literatures on European integration, party competition and policy types lead us to expect variation in Eurosceptic contestation across policy areas. Drawing on roll‐call votes in the EP, we introduce two new measures of such contestation: Eurosceptic dissent, that is, the extent to which Eurosceptics diverge from the Europhile plurality, and integration polarization, that is, the extent to which Eurosceptics and Europhiles oppose each other as cohesive camps. Our two indicators show that Eurosceptic contestation is particularly pronounced when the EP votes on cultural, distributive and constituent issues. When voting on redistributive policies, in contrast, dissent and polarization are curbed by national and ideological diversity.</w:t>
      </w:r>
    </w:p>
    <w:p>
      <w:pPr>
        <w:pStyle w:val="Heading2"/>
      </w:pPr>
      <w:r>
        <w:t>644. Assessing the future medical cost burden for the European health systems under alternative exposure-to-risks scenarios</w:t>
      </w:r>
    </w:p>
    <w:p>
      <w:pPr>
        <w:pStyle w:val="SourceNote"/>
      </w:pPr>
      <w:r>
        <w:rPr>
          <w:b/>
        </w:rPr>
        <w:t>Original source (2020):</w:t>
      </w:r>
      <w:r>
        <w:t xml:space="preserve"> https://doi.org/10.1371/journal.pone.0238565</w:t>
      </w:r>
    </w:p>
    <w:p>
      <w:pPr/>
      <w:r>
        <w:t>Original wording (abstract; indexed_source_text_not_full_document_verified): Between 2014 and 2050, the overall healthcare spending is expected to increase by 0.8% annually under BAU. Economic burden of NCDs is modelled under three scenarios based on assumed future risk factors trends: business as usual (BAU); best case and worst case predictions (BCP and WCP).</w:t>
      </w:r>
    </w:p>
    <w:p>
      <w:pPr/>
      <w:r>
        <w:rPr>
          <w:b/>
        </w:rPr>
        <w:t>POSSIBLE 2026:</w:t>
      </w:r>
      <w:r>
        <w:t xml:space="preserve"> Has the agricultural productivity increased after European Union enlargements in Central European countries? Evidence from four countries' cereal production — https://doi.org/10.17221/156/2023-agricecon</w:t>
      </w:r>
    </w:p>
    <w:p>
      <w:pPr/>
      <w:r>
        <w:rPr>
          <w:b/>
        </w:rPr>
        <w:t>Shared claim-specific concepts:</w:t>
      </w:r>
      <w:r>
        <w:t xml:space="preserve"> between, overall, expected, three; EU scope visible. This is a provisional connection, not an outcome finding.</w:t>
      </w:r>
    </w:p>
    <w:p>
      <w:pPr>
        <w:pStyle w:val="SourceNote"/>
      </w:pPr>
      <w:r>
        <w:rPr>
          <w:b/>
        </w:rPr>
        <w:t>Available abstract (not full text):</w:t>
      </w:r>
      <w:r>
        <w:t xml:space="preserve"> It was widely expected that following European Union's enlargement in 2004, farmers in new member states would improve their performance by increasing the efficiency of their production processes. In this study, using the Farm Accountancy Data Network data, we look at changes in total factor productivity, a measure which captures how efficiently and intensely inputs are utilised in production, that took place in farms producing cereals in the Czech Republic, Hungary, Poland, and Slovenia between 2004 and 2017. We find that in all four countries total factor productivity increased in the first years after the accession, but later declined. Overall, in the three former countries, total factor productivity in 2017 was higher than observed in 2004, whereas in Slovenia it was lower. This pattern largely corresponds to the dynamics observed with technological change: an initial technological progress was followed by a technological regress. Our results also suggest that over time farmers faced increasing problems with finding an optimal size of their operation. Finally, we observe that the technologies adopted on the farms were not used in an efficient way.</w:t>
      </w:r>
    </w:p>
    <w:p>
      <w:pPr/>
      <w:r>
        <w:rPr>
          <w:b/>
        </w:rPr>
        <w:t>POSSIBLE 2026:</w:t>
      </w:r>
      <w:r>
        <w:t xml:space="preserve"> MULTILEVEL GOVERNANCE IN THE IMPLEMENTATION OF CONCEPT OF HEALTHCARE SYSTEM DEVELOPMENT IN THE CONTEXT OF EUROPEAN INTEGRATION — https://doi.org/10.63776/medlaw2026.45.1.karamyshevd</w:t>
      </w:r>
    </w:p>
    <w:p>
      <w:pPr/>
      <w:r>
        <w:rPr>
          <w:b/>
        </w:rPr>
        <w:t>Shared claim-specific concepts:</w:t>
      </w:r>
      <w:r>
        <w:t xml:space="preserve"> between, overall, healthcare, increase, based; EU scope visible. This is a provisional connection, not an outcome finding.</w:t>
      </w:r>
    </w:p>
    <w:p>
      <w:pPr>
        <w:pStyle w:val="SourceNote"/>
      </w:pPr>
      <w:r>
        <w:rPr>
          <w:b/>
        </w:rPr>
        <w:t>Available abstract (not full text):</w:t>
      </w:r>
      <w:r>
        <w:t xml:space="preserve"> Abstract. The purpose of the study was to develop a model for managing the healthcare system in Ukraine based on the adaptation of European standards. The methodology included a detailed analysis of the European Union (EU) regulations, such as the Association Agreement between Ukraine and the European Union, concerning the implementation of European standards in the healthcare sector. The results of the study show that the harmonization of Ukrainian legislation with EU standards has a positive impact on the quality of healthcare services and the development of the overall healthcare system. Significant challenges have been identified, such as the difficulty of adapting European norms to the realities of the Ukrainian healthcare system, the lack of proper coordination between central and regional levels of government, and the low efficiency of monitoring the implemented reforms. Based on the results of the study, a model for improving multilevel governance was developed, which proposes the creation of a more flexible system of interaction between all levels of government, so facilitating the implementation of reforms and improve healthcare indicators in Ukraine in the context of European integration. In addition to the identified advantages and disadvantages, the study determined that the strategic development of the healthcare system in Ukraine in the context of European integr</w:t>
      </w:r>
    </w:p>
    <w:p>
      <w:pPr/>
      <w:r>
        <w:rPr>
          <w:b/>
        </w:rPr>
        <w:t>POSSIBLE 2026:</w:t>
      </w:r>
      <w:r>
        <w:t xml:space="preserve"> Mapping Healthcare System Complexity in the European Union: A Perspective on Resources, Determinants, and Outcomes — https://doi.org/10.3390/systems14050578</w:t>
      </w:r>
    </w:p>
    <w:p>
      <w:pPr/>
      <w:r>
        <w:rPr>
          <w:b/>
        </w:rPr>
        <w:t>Shared claim-specific concepts:</w:t>
      </w:r>
      <w:r>
        <w:t xml:space="preserve"> between, overall, healthcare; EU scope visible. This is a provisional connection, not an outcome finding.</w:t>
      </w:r>
    </w:p>
    <w:p>
      <w:pPr>
        <w:pStyle w:val="SourceNote"/>
      </w:pPr>
      <w:r>
        <w:rPr>
          <w:b/>
        </w:rPr>
        <w:t>Available abstract (not full text):</w:t>
      </w:r>
      <w:r>
        <w:t xml:space="preserve"> The transformation of healthcare systems presents a key challenge for EU Member States, as they face growing population needs, resource pressures, and ongoing health disparities among communities. Using a systems-thinking approach provides a suitable framework for analyzing how healthcare resources, behavioral and social health determinants, and overall population outcomes are interconnected. This study aims to explore these relationships from a systemic viewpoint within health communities across the European Union. The research employs a cross-sectional approach, utilizing aggregated data from all 27 EU Member States. It involves descriptive and factor analyses to create composite indices of healthcare resources, positive health determinants, and health outcomes. Furthermore, it uses a univariate Generalized Linear Model (GLM) and multilayer perceptron neural networks to model nonlinear relationships among variables. Cluster analysis is also conducted to classify Member States into different health performance typologies. The results emphasize connections between healthcare system resources and population health outcomes, illustrating how positive determinants impact health status and highlighting structural differences across European communities. The results indicate relevant associations between healthcare system resources and population health outcomes, whereas the analysi</w:t>
      </w:r>
    </w:p>
    <w:p>
      <w:pPr/>
      <w:r>
        <w:rPr>
          <w:b/>
        </w:rPr>
        <w:t>POSSIBLE 2026:</w:t>
      </w:r>
      <w:r>
        <w:t xml:space="preserve"> Artificial Intelligence in European Healthcare — https://doi.org/10.1553/easac-feam_report_ai-in-healthcare_2026</w:t>
      </w:r>
    </w:p>
    <w:p>
      <w:pPr/>
      <w:r>
        <w:rPr>
          <w:b/>
        </w:rPr>
        <w:t>Shared claim-specific concepts:</w:t>
      </w:r>
      <w:r>
        <w:t xml:space="preserve"> overall, healthcare, increase, trends, best, predictions; EU scope visible. This is a provisional connection, not an outcome finding.</w:t>
      </w:r>
    </w:p>
    <w:p>
      <w:pPr>
        <w:pStyle w:val="SourceNote"/>
      </w:pPr>
      <w:r>
        <w:rPr>
          <w:b/>
        </w:rPr>
        <w:t>Available abstract (not full text):</w:t>
      </w:r>
      <w:r>
        <w:t xml:space="preserve"> Artificial intelligence (AI)-assisted tools and systems are increasingly being applied and offer substantial potential for innovation across many scientific and societal fields.At the same time, appropriate policy guidance and regulation are crucial to ensure that the benefits of innovation are realised while effectively addressing the risks associated with implementing AI applications.Given this overall challenge of leveraging AI innovations for the benefit of society while simultaneously managing potential risks, AI developments in healthcare and public health bring specific opportunities, questions, and requirements.Therefore, with this report, the European Academies Science Advisory Council (EASAC) and the Federation of European Academies of Medicine (FEAM) aim to present a high-level, accessible overview of the opportunities and risks of AI systems in healthcare and focused recommendations.The intention is to assist European policy-makers -and other policy stakeholders -in promoting responsible innovation by formulating and implementing evidence-based policies, while ensuring appropriate methodological, ethical, security, and regulatory safeguards.The report therefore frames AI in healthcare as both an opportunity and a governance challenge.Its focus is on professional health and public-health uses of AI in Europe, including clinical care, population health, health-system </w:t>
      </w:r>
    </w:p>
    <w:p>
      <w:pPr/>
      <w:r>
        <w:rPr>
          <w:b/>
        </w:rPr>
        <w:t>POSSIBLE 2026:</w:t>
      </w:r>
      <w:r>
        <w:t xml:space="preserve"> Change in healthcare costs in Europe 2018–2023 (data report) — https://doi.org/10.3389/fpubh.2026.1774180</w:t>
      </w:r>
    </w:p>
    <w:p>
      <w:pPr/>
      <w:r>
        <w:rPr>
          <w:b/>
        </w:rPr>
        <w:t>Shared claim-specific concepts:</w:t>
      </w:r>
      <w:r>
        <w:t xml:space="preserve"> between, healthcare, spending, three, factors, trends; EU scope visible. This is a provisional connection, not an outcome finding.</w:t>
      </w:r>
    </w:p>
    <w:p>
      <w:pPr>
        <w:pStyle w:val="SourceNote"/>
      </w:pPr>
      <w:r>
        <w:rPr>
          <w:b/>
        </w:rPr>
        <w:t>Available abstract (not full text):</w:t>
      </w:r>
      <w:r>
        <w:t xml:space="preserve"> The dynamics of healthcare expenditure are shaped by a complex interplay of demographic, social, and economic factors (1), as well as the specific organizational and funding structures of national health systems (2)(3)(4). While health spending in European Union (EU) nations has historically outpaced general economic growth, this trajectory has been subject to significant volatility, most notably during the financial crisis of 2008/09 (5-7) and, more recently, the global COVID-19 pandemic (8). The extent to which national economies were impacted by the SARS-CoV-2 crisis necessitated a substantial recalibration of health financing metrics, creating a divergence between health expenditure growth and economic production.The onset of the pandemic in early 2020 severely disrupted health systems across Europe (9). Although reductions in elective surgeries and hospitalizations initially lowered spending on non-COVID-19 care (10,11), the immediate necessity to expand treatment, testing, and diagnostic capacities introduced sharp upward pressure on total expenditure (12). This occurred simultaneously with a contraction in Gross Domestic Product (GDP) across almost every EU nation due to lockdowns and economic restrictions (13). Consequently, the average share of health spending in GDP rose significantly, increasing by 1 percentage point to 9.2% in 2020 across the EU.Beyond the immediate</w:t>
      </w:r>
    </w:p>
    <w:p>
      <w:pPr/>
      <w:r>
        <w:rPr>
          <w:b/>
        </w:rPr>
        <w:t>POSSIBLE 2026:</w:t>
      </w:r>
      <w:r>
        <w:t xml:space="preserve"> Social diversity and access to healthcare in Europe — https://doi.org/10.1186/s12889-020-09494-8?sharing_token=_tr8ytllayfixgtzx9--fw_bpe1tbhcbnbw3buzi2rmjzgjgykgkagc13zxrohk4n9ameg9bedkjbz4eli74em0vydj22n0duymsiwvhjn95e_vmg5498ch4pivxijvzakqqkufh-0pem-euo3c-bvug6bjdmzkz2gehocuylh0%3d</w:t>
      </w:r>
    </w:p>
    <w:p>
      <w:pPr/>
      <w:r>
        <w:rPr>
          <w:b/>
        </w:rPr>
        <w:t>Shared claim-specific concepts:</w:t>
      </w:r>
      <w:r>
        <w:t xml:space="preserve"> between, healthcare, three, based; EU scope visible. This is a provisional connection, not an outcome finding.</w:t>
      </w:r>
    </w:p>
    <w:p>
      <w:pPr>
        <w:pStyle w:val="SourceNote"/>
      </w:pPr>
      <w:r>
        <w:rPr>
          <w:b/>
        </w:rPr>
        <w:t>Available abstract (not full text):</w:t>
      </w:r>
      <w:r>
        <w:t xml:space="preserve"> Background: Social diversity can affect healthcare outcomes in situations when access to healthcare is limited for specific groups.Although the principle of equality is one of the central topics on the agenda of the European Union (EU), its scope in the field of healthcare, however, is relatively unexplored.The aim of this study is to identify and systematically analyze primary and secondary legislation of the EU Institutions that concern the issue of access to healthcare for various minority groups.In our research, we have concentrated on three features of diversity: a) gender identity and sexual orientation, b) race and ethnicity, and c) religion or belief.Method and materials: For the purpose of this analysis, we conducted a search of database Eur-Lex, the official website of European Union law and other public documents of the European Union, based on specific keywords accompanied by review of secondary literature.Relevant documents were examined with regard to the research topic.Our search covered documents that were in force between 13 December 2007 and 31 July 2019.Results: Generally, the EU legal system prohibits discrimination on grounds of religion or belief, racial or ethnic origin, sex, and sexual orientation.However, with regard to the issue of non-discrimination in access to healthcare EU secondary law provides protection against discrimination only on the grounds</w:t>
      </w:r>
    </w:p>
    <w:p>
      <w:pPr/>
      <w:r>
        <w:rPr>
          <w:b/>
        </w:rPr>
        <w:t>POSSIBLE 2025:</w:t>
      </w:r>
      <w:r>
        <w:t xml:space="preserve"> Association between healthcare resources, healthcare systems, and population health in European countries — https://doi.org/10.1186/s12913-024-11743-0</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BACKGROUND: Recently, the demand for care has risen, while in contrast, healthcare resources remain limited. These resources include health expenditure, the number of physicians, nurses, and hospital beds. Many studies have revealed that healthcare resources are one of the most critical factors contributing to a population's health status. The healthcare system plays a key role in transforming these resources into health outcomes, which are widely used as indicators to measure population health and the performance of healthcare systems. Previous work has primarily investigated the relationship between health expenditure or the number of doctors and population health. However, the association between healthcare resources as a whole has yet to be widely examined. METHODS: This study utilized multilevel regression analysis to explore the association between healthcare resources, healthcare systems, and population health outcomes across 25 European countries. The healthcare systems in these countries are primarily categorized into two types: Beveridge-type and Bismarck-type. In addition to regression analysis, descriptive statistics were used to analyze the allocation patterns of healthcare resources. Welch's t-test was employed to compare the performance metrics of the Beveridge-type and Bismarck-type healthcare systems, providing a statistical basis for understanding differences </w:t>
      </w:r>
    </w:p>
    <w:p>
      <w:pPr/>
      <w:r>
        <w:rPr>
          <w:b/>
        </w:rPr>
        <w:t>POSSIBLE 2025:</w:t>
      </w:r>
      <w:r>
        <w:t xml:space="preserve"> Exploring the Dichotomy: The Impact of Private Healthcare Investment on Public Healthcare Quality in Europe — https://doi.org/10.37355/kd-2025-09</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This essay probes the intricate relationship between private healthcare investment and public healthcare quality. With a significant rise in private healthcare investments in Europe, questions about their impact on public healthcare quality abound. Supporters argue that private investments can inspire competition and innovation, potentially benefiting public healthcare, whereas critics fear resource diversion that may weaken public healthcare and intensify health inequalities. By scrutinizing the interplay of market competition, demographic factors, and policy interventions, this essay illuminates how private healthcare investment shapes the public healthcare landscape in Europe, serving to either bolster or undermine it.</w:t>
      </w:r>
    </w:p>
    <w:p>
      <w:pPr/>
      <w:r>
        <w:rPr>
          <w:b/>
        </w:rPr>
        <w:t>POSSIBLE 2025:</w:t>
      </w:r>
      <w:r>
        <w:t xml:space="preserve"> Recommendations for Improving Surveillance of Congenital Anomalies in Europe Using Healthcare Databases — https://doi.org/10.1111/ppe.13173</w:t>
      </w:r>
    </w:p>
    <w:p>
      <w:pPr/>
      <w:r>
        <w:rPr>
          <w:b/>
        </w:rPr>
        <w:t>Shared claim-specific concepts:</w:t>
      </w:r>
      <w:r>
        <w:t xml:space="preserve"> between, overall, healthcare, based, case; EU scope visible. This is a provisional connection, not an outcome finding.</w:t>
      </w:r>
    </w:p>
    <w:p>
      <w:pPr>
        <w:pStyle w:val="SourceNote"/>
      </w:pPr>
      <w:r>
        <w:rPr>
          <w:b/>
        </w:rPr>
        <w:t>Available abstract (not full text):</w:t>
      </w:r>
      <w:r>
        <w:t xml:space="preserve"> BACKGROUND: Although accessing administrative data in healthcare databases may be a more time-efficient and cost-effective method of conducting surveillance, there is evidence suggesting that administrative data alone are not sufficient for population-based surveillance of congenital anomalies. OBJECTIVE: To propose recommendations to maximise the potential use of healthcare databases for surveillance of congenital anomalies based on our data linkage experiences and results from the EUROlinkCAT study. METHODS: EUROlinkCAT is a population-based cohort study of 99,416 children with anomalies born between 1995 and 2014. The congenital anomaly case records of children in 11 European congenital anomaly (EUROCAT) registries (eight countries) were linked to standardised administrative healthcare data (birth records, death records and hospital discharge records) to evaluate mortality and morbidity outcomes in these children. Overall, 97% of children with anomalies were successfully matched to their records in their national or regional administrative databases. Recommendations to improve surveillance of anomalies when using healthcare data were developed through establishing and analysing data from this cohort. RESULTS: The primary recommendation is to develop systems to report anomalies diagnosed in foetuses who undergo a termination and link these data to their mothers. Each liveborn</w:t>
      </w:r>
    </w:p>
    <w:p>
      <w:pPr/>
      <w:r>
        <w:rPr>
          <w:b/>
        </w:rPr>
        <w:t>POSSIBLE 2025:</w:t>
      </w:r>
      <w:r>
        <w:t xml:space="preserve"> Geospatial Insights into Healthcare Accessibility in Europe: A Scoping Review of GIS Applications — https://doi.org/10.3390/healthcare13222865</w:t>
      </w:r>
    </w:p>
    <w:p>
      <w:pPr/>
      <w:r>
        <w:rPr>
          <w:b/>
        </w:rPr>
        <w:t>Shared claim-specific concepts:</w:t>
      </w:r>
      <w:r>
        <w:t xml:space="preserve"> between, healthcare, factors; EU scope visible. This is a provisional connection, not an outcome finding.</w:t>
      </w:r>
    </w:p>
    <w:p>
      <w:pPr>
        <w:pStyle w:val="SourceNote"/>
      </w:pPr>
      <w:r>
        <w:rPr>
          <w:b/>
        </w:rPr>
        <w:t>Available abstract (not full text):</w:t>
      </w:r>
      <w:r>
        <w:t xml:space="preserve"> Background: Geographic Information Systems (GIS) have emerged as a critical tool in healthcare research, facilitating the assessment of healthcare accessibility through spatial analysis and data visualisation. This scoping review synthesises literature published between 2020 and 2024, a period marked by the COVID-19 pandemic and rapid methodological innovation, providing a timely overview of how GIS has been applied to evaluate healthcare access across European countries. Methods: The review underscores the role of GIS methodologies in identifying geographic disparities, optimising resource distribution, and informing policy decisions. Results: Key findings highlight significant urban-rural differences in healthcare access, shaped by factors such as transportation infrastructure, population density, and healthcare facility distribution. Additionally, GIS has proven valuable in examining the link between healthcare accessibility and utilisation, with better access generally correlating with higher service use. Conclusions: Despite its potential, challenges including data availability, methodological variability, and uneven adoption across regions limit its broader implementation. The review emphasises the need for integrating advanced technologies to foster more equitable healthcare access throughout Europe.</w:t>
      </w:r>
    </w:p>
    <w:p>
      <w:pPr/>
      <w:r>
        <w:rPr>
          <w:b/>
        </w:rPr>
        <w:t>POSSIBLE 2025:</w:t>
      </w:r>
      <w:r>
        <w:t xml:space="preserve"> Futureproofing the healthcare workforce in Europe: understanding and addressing psychological distress and occupational outcomes — https://doi.org/10.1016/j.lanepe.2025.101463</w:t>
      </w:r>
    </w:p>
    <w:p>
      <w:pPr/>
      <w:r>
        <w:rPr>
          <w:b/>
        </w:rPr>
        <w:t>Shared claim-specific concepts:</w:t>
      </w:r>
      <w:r>
        <w:t xml:space="preserve"> healthcare, based, factors; EU scope visible. This is a provisional connection, not an outcome finding.</w:t>
      </w:r>
    </w:p>
    <w:p>
      <w:pPr>
        <w:pStyle w:val="SourceNote"/>
      </w:pPr>
      <w:r>
        <w:rPr>
          <w:b/>
        </w:rPr>
        <w:t>Available abstract (not full text):</w:t>
      </w:r>
      <w:r>
        <w:t xml:space="preserve"> Healthcare systems across Europe face a workforce crisis characterised by staff shortages, high turnover, and psychological distress among healthcare workers (HCWs). To understand the true scope and extent of psychological distress and occupational outcomes among HCWs and key areas to target for actionable solutions to this, a comprehensive overview of the evidence is needed. In this Series paper, we have synthesised findings from existing systematic reviews and meta-analyses to assess the prevalence of psychological distress among HCWs in Europe, examine associated risk and protective factors, and evaluate the effectiveness of interventions targeting these. The Series paper shows that HCWs experience high levels of work-related psychological distress, particularly burnout. Organisational factors, such as staff shortages, high workloads, and poor leadership, are key contributors to HCWs psychological distress. Organisational-level, rather than individual-level, interventions showed greater promise in reducing psychological distress and improving occupational outcomes. Perhaps surprisingly, currently published reviews did not focus on diagnosable mental disorders, instead relying on self-report symptom-based measures, likely overestimating prevalence. Our findings show limited research available on psychological distress and occupational outcomes among non-clinical staff, HCWs f</w:t>
      </w:r>
    </w:p>
    <w:p>
      <w:pPr/>
      <w:r>
        <w:rPr>
          <w:b/>
        </w:rPr>
        <w:t>POSSIBLE 2024:</w:t>
      </w:r>
      <w:r>
        <w:t xml:space="preserve"> Unequal geographies of gender-affirming care: A comparative typology of trans-specific healthcare systems across Europe — https://doi.org/10.1016/j.socscimed.2024.117145</w:t>
      </w:r>
    </w:p>
    <w:p>
      <w:pPr/>
      <w:r>
        <w:rPr>
          <w:b/>
        </w:rPr>
        <w:t>Shared claim-specific concepts:</w:t>
      </w:r>
      <w:r>
        <w:t xml:space="preserve"> between, overall, healthcare, based; EU scope visible. This is a provisional connection, not an outcome finding.</w:t>
      </w:r>
    </w:p>
    <w:p>
      <w:pPr>
        <w:pStyle w:val="SourceNote"/>
      </w:pPr>
      <w:r>
        <w:rPr>
          <w:b/>
        </w:rPr>
        <w:t>Available abstract (not full text):</w:t>
      </w:r>
      <w:r>
        <w:t xml:space="preserve"> RATIONALE: Gender-affirming healthcare can carry significant benefits for trans people. However, there are substantial geographical inequalities in the provision of and access to trans-specific healthcare across Europe. Comparative healthcare systems research has typically focused on universal services, neglecting provision which serves specific groups within populations (e.g., trans people). OBJECTIVE: This study aimed to develop a comparative typology of trans-specific healthcare systems across 28 European countries (the EU 27 plus the UK), and to examine country-level correlates which may influence or be influenced by these systems. METHODS: Using hierarchical and k-means cluster analysis, countries were classified into four types based on measures of trans-specific healthcare provision, regulation and access. Possible country-level correlates (including socio-political climate, medical outcomes, and the general healthcare system) were investigated. RESULTS AND DISCUSSION: The cluster analysis identified four clusters of trans-specific healthcare systems in Europe, characterized as: 1) Centralized conservative (highly centralized, extensive range of treatments, few trans-specific government policies); 2) Centralized reformist (highly centralized, extensive range of treatments, multiple trans-specific government policies); 3) Decentralized marketized (highly decentralized, mo</w:t>
      </w:r>
    </w:p>
    <w:p>
      <w:pPr>
        <w:pStyle w:val="Heading2"/>
      </w:pPr>
      <w:r>
        <w:t>645. Backcasting for desirable futures in Finnish forest-based firms</w:t>
      </w:r>
    </w:p>
    <w:p>
      <w:pPr>
        <w:pStyle w:val="SourceNote"/>
      </w:pPr>
      <w:r>
        <w:rPr>
          <w:b/>
        </w:rPr>
        <w:t>Original source (2020):</w:t>
      </w:r>
      <w:r>
        <w:t xml:space="preserve"> https://doi.org/10.1108/fs-01-2020-0005</w:t>
      </w:r>
    </w:p>
    <w:p>
      <w:pPr/>
      <w:r>
        <w:t>Original wording (abstract; indexed_source_text_not_full_document_verified): In these desirable futures, expanded businesses will be based on strong knowledge.</w:t>
      </w:r>
    </w:p>
    <w:p>
      <w:pPr/>
      <w:r>
        <w:rPr>
          <w:b/>
        </w:rPr>
        <w:t>POSSIBLE 2024:</w:t>
      </w:r>
      <w:r>
        <w:t xml:space="preserve"> Technology‐Driven Business Ethics — https://doi.org/10.1002/9781394234028.ch20</w:t>
      </w:r>
    </w:p>
    <w:p>
      <w:pPr/>
      <w:r>
        <w:rPr>
          <w:b/>
        </w:rPr>
        <w:t>Shared claim-specific concepts:</w:t>
      </w:r>
      <w:r>
        <w:t xml:space="preserve"> desirable, expanded, businesses; EU scope not established. This is a provisional connection, not an outcome finding.</w:t>
      </w:r>
    </w:p>
    <w:p>
      <w:pPr>
        <w:pStyle w:val="SourceNote"/>
      </w:pPr>
      <w:r>
        <w:rPr>
          <w:b/>
        </w:rPr>
        <w:t>Available abstract (not full text):</w:t>
      </w:r>
      <w:r>
        <w:t xml:space="preserve"> Business ethics is a subfield of applied ethics, which is in itself a major field of philosophy that examines ethical principles and moral values within the context of business operations. Due to the expanding impact of technology on business operations, the field of business ethics has expanded to include technology-driven ethical considerations. The chapter tries to examine potential theories of business ethics and their applicability within the context of technology-driven business operations. In the context of technology-driven business operations, theories of business ethics provide frameworks and perspectives for analyzing and addressing ethical challenges. The escalating significance of ethical implications in technology's evolution and its pervasive integration into business operations is imperative. This study also scrutinizes technology's influence on normative frameworks, challenges to maintaining ethical standards, and strategies for leveraging technology for business benefit. The chapter will show that businesses need proactive normative frameworks and strategies to deal with the moral dilemmas raised by technological advancements at the workplace. The author will try to posit that the incorporation of these ethical theories into the design and implementation of technology in the digital age can contribute to desirable advancements in businesses and their operation</w:t>
      </w:r>
    </w:p>
    <w:p>
      <w:pPr/>
      <w:r>
        <w:rPr>
          <w:b/>
        </w:rPr>
        <w:t>POSSIBLE 2024:</w:t>
      </w:r>
      <w:r>
        <w:t xml:space="preserve"> Knowledge and Prizes — https://doi.org/10.1093/9780191976766.003.0012</w:t>
      </w:r>
    </w:p>
    <w:p>
      <w:pPr/>
      <w:r>
        <w:rPr>
          <w:b/>
        </w:rPr>
        <w:t>Shared claim-specific concepts:</w:t>
      </w:r>
      <w:r>
        <w:t xml:space="preserve"> desirable, based, knowledge; EU scope not established. This is a provisional connection, not an outcome finding.</w:t>
      </w:r>
    </w:p>
    <w:p>
      <w:pPr>
        <w:pStyle w:val="SourceNote"/>
      </w:pPr>
      <w:r>
        <w:rPr>
          <w:b/>
        </w:rPr>
        <w:t>Available abstract (not full text):</w:t>
      </w:r>
      <w:r>
        <w:t xml:space="preserve"> Abstract This chapter examines two leading theories of rational belief, the Lockean view and the explanationist view. The first is appealing because it fits with some independently plausible claims about the ways that rational persons pursue their aims. The second is appealing because it seems to account for intuitions that cause trouble for the Lockean view. While fitting the intuitive data is desirable, the trouble is that the explanationist view seems to clash with theoretical beliefs about what rationality must be like. The chapter argues that upon further examination, the intuitive appeal of the explanationist view starts to diminish. It also argues that these further intuitions that spell trouble for the explanationist spell trouble for any theory that is not expectationist. It proposes a novel expectationist theory of rational belief that improves upon the Lockean and the explanationist views. It argues that recent defences of the Lockean view contain an important insight. A substantive theory of rational response should be based on a suitable theory of prizes and a suitable theory of how we should pursue prizes in the face of uncertainty. Most theories of rational belief typically take for granted a truth-centred picture of epistemic prizes (e.g. that epistemic desirability and undesirability can be fully understood in terms of accuracy) and then differ in terms of how </w:t>
      </w:r>
    </w:p>
    <w:p>
      <w:pPr/>
      <w:r>
        <w:rPr>
          <w:b/>
        </w:rPr>
        <w:t>POSSIBLE 2023:</w:t>
      </w:r>
      <w:r>
        <w:t xml:space="preserve"> Immunitas and (un)desirable teacher knowledge in teacher education — https://doi.org/10.1111/ejed.12577</w:t>
      </w:r>
    </w:p>
    <w:p>
      <w:pPr/>
      <w:r>
        <w:rPr>
          <w:b/>
        </w:rPr>
        <w:t>Shared claim-specific concepts:</w:t>
      </w:r>
      <w:r>
        <w:t xml:space="preserve"> desirable, based, knowledge; EU scope visible. This is a provisional connection, not an outcome finding.</w:t>
      </w:r>
    </w:p>
    <w:p>
      <w:pPr>
        <w:pStyle w:val="SourceNote"/>
      </w:pPr>
      <w:r>
        <w:rPr>
          <w:b/>
        </w:rPr>
        <w:t>Available abstract (not full text):</w:t>
      </w:r>
      <w:r>
        <w:t xml:space="preserve"> Abstract Since the latter half of the 20th century many political efforts and initiatives have been launched to ensure that teacher education provides teachers with a positive (orderly) knowledge base. This includes things like professional teacher standards and notions like ‘best practices’ and ‘evidence‐based practice’. Building on the work of Esposito and with inspiration from psychoanalytic theory, we argue that today's educational policy can be seen as an attempt to immunise (teacher) education from risks associated with negativity ‐ disorderly, disruptive and ‘destructive’ matters that can problematise and question the normal order of things within political debates and policy‐based reforms. Drawing on examples from England and Denmark – contexts in which the authors work – we demonstrate how a dichotomy between desirable sound/healthy knowledge and undesirable unsound/unhealthy knowledge exist within teacher education. We examine how this produces epistemic injustice in that negative modes of thought and practice are rendered invisible, unthinkable and illegitimate. Being able to traverse such injustice, teachers must be encouraged to approach any and all sources of influence on their professional knowledge base with a sort of agonistic pragmatism, which may allow them to be faithful to the ethico‐political situation they are engaged in. What we suggest in this regard is</w:t>
      </w:r>
    </w:p>
    <w:p>
      <w:pPr/>
      <w:r>
        <w:rPr>
          <w:b/>
        </w:rPr>
        <w:t>POSSIBLE 2022:</w:t>
      </w:r>
      <w:r>
        <w:t xml:space="preserve"> ENTREPRENEURS' SKILL OF HANDLING TECHNOLOGY IN AGRO AND GENERAL BUSINESSES — https://doi.org/10.37231/apj.2022.5.1.312</w:t>
      </w:r>
    </w:p>
    <w:p>
      <w:pPr/>
      <w:r>
        <w:rPr>
          <w:b/>
        </w:rPr>
        <w:t>Shared claim-specific concepts:</w:t>
      </w:r>
      <w:r>
        <w:t xml:space="preserve"> desirable, expanded, businesses, knowledge; EU scope not established. This is a provisional connection, not an outcome finding.</w:t>
      </w:r>
    </w:p>
    <w:p>
      <w:pPr>
        <w:pStyle w:val="SourceNote"/>
      </w:pPr>
      <w:r>
        <w:rPr>
          <w:b/>
        </w:rPr>
        <w:t>Available abstract (not full text):</w:t>
      </w:r>
      <w:r>
        <w:t xml:space="preserve"> The importance of technology cannot be overemphasized in an attainment of a good and a sustainable business. As a result, this work carefully shows the impacts and effects of entrepreneurship education and technology adopted by the entrepreneur in the running of a business. As presented in this paperwork, a systematic review method was used to investigate the relationship between entrepreneurship education and entrepreneurs' adequate use of technology in agro and general business. It revealed the efficacy of entrepreneurship education on an entrepreneur as it relates to the use of technology in business enterprise. Furthermore, this careful review provided a good understanding on entrepreneurship education, an entrepreneur’s skill of handling technology, reasons for handling technology by an entrepreneur and various technologies available for entrepreneurs. Against these backdrops, entrepreneurship education should be given maximum priority for a desirable output. More so, this study is of great importance, especially as applies to the tertiary institutions where knowledge on entrepreneurship education in relation to entrepreneurs and professional handling of technology would be expanded and dug deep for effective business application. Keywords: Agro; Entrepreneurs; General Business; Skill of Handling; Technology</w:t>
      </w:r>
    </w:p>
    <w:p>
      <w:pPr/>
      <w:r>
        <w:rPr>
          <w:b/>
        </w:rPr>
        <w:t>POSSIBLE 2021:</w:t>
      </w:r>
      <w:r>
        <w:t xml:space="preserve"> Social entrepreneurial intentions and motivational drivers among business students — https://doi.org/10.51680/ev.34.1.4</w:t>
      </w:r>
    </w:p>
    <w:p>
      <w:pPr/>
      <w:r>
        <w:rPr>
          <w:b/>
        </w:rPr>
        <w:t>Shared claim-specific concepts:</w:t>
      </w:r>
      <w:r>
        <w:t xml:space="preserve"> desirable, expanded, based; EU scope not established. This is a provisional connection, not an outcome finding.</w:t>
      </w:r>
    </w:p>
    <w:p>
      <w:pPr>
        <w:pStyle w:val="SourceNote"/>
      </w:pPr>
      <w:r>
        <w:rPr>
          <w:b/>
        </w:rPr>
        <w:t>Available abstract (not full text):</w:t>
      </w:r>
      <w:r>
        <w:t xml:space="preserve"> Purpose: The paper is aimed at determining young people's motives and views related to entrepreneurship, in particular social entrepreneurship. To this purpose, a survey was conducted at the School of Economics and Business in Sarajevo to explore the motivations of the student population to pursue entrepreneurship, with a focus on social entrepreneurship and their intentions to engage in it. The survey examined socio-political, situational and personal factors and their direct and mediating effect on the intention to engage in social entrepreneurship. Methodology: The research model and methodology presented in the paper are based on the process theory of motivation and the model used by Barton et al. (2018) and by Krueger (1993). The model elaborated by this paper’s authors is expanded and redefined so as to take account of socio-political factors and the respondents’ views of them. Results: The research revealed a limiting and de-stimulating effect of environmental factors on the intention to start a business, as well as the significance of situational and personal factors when deciding on engaging in social entrepreneurship. Conclusion: The conducted research revealed that young people in Bosnia and Herzegovina understand the significance of social entrepreneurship for society at large, as well as for themselves, i.e. the sense of fulfilment it could bring. The results could</w:t>
      </w:r>
    </w:p>
    <w:p>
      <w:pPr>
        <w:pStyle w:val="Heading2"/>
      </w:pPr>
      <w:r>
        <w:t>646. Brexit and Its Impact on Poland’s Policy Towards Europe – An Attempt to Forecast</w:t>
      </w:r>
    </w:p>
    <w:p>
      <w:pPr>
        <w:pStyle w:val="SourceNote"/>
      </w:pPr>
      <w:r>
        <w:rPr>
          <w:b/>
        </w:rPr>
        <w:t>Original source (2020):</w:t>
      </w:r>
      <w:r>
        <w:t xml:space="preserve"> https://doi.org/10.33067/se.2.2020.5</w:t>
      </w:r>
    </w:p>
    <w:p>
      <w:pPr/>
      <w:r>
        <w:t>Original wording (abstract; indexed_source_text_not_full_document_verified): This article presents three scenarios for the development of Poland's European policy, i.e. the British scenario, a conservative scenario and a pro-European scenario. A study shows the political consequences of the UK’s exit from the European Union alog with the potential scenarios of Poland’s European policy in the next 2–3 years.</w:t>
      </w:r>
    </w:p>
    <w:p>
      <w:pPr/>
      <w:r>
        <w:rPr>
          <w:b/>
        </w:rPr>
        <w:t>POSSIBLE 2026:</w:t>
      </w:r>
      <w:r>
        <w:t xml:space="preserve"> Freedom of Expression and speech threatened in Europe — https://doi.org/10.52224/21845263/rev45a4</w:t>
      </w:r>
    </w:p>
    <w:p>
      <w:pPr/>
      <w:r>
        <w:rPr>
          <w:b/>
        </w:rPr>
        <w:t>Shared claim-specific concepts:</w:t>
      </w:r>
      <w:r>
        <w:t xml:space="preserve"> article, presents, three, political; EU scope visible. This is a provisional connection, not an outcome finding.</w:t>
      </w:r>
    </w:p>
    <w:p>
      <w:pPr>
        <w:pStyle w:val="SourceNote"/>
      </w:pPr>
      <w:r>
        <w:rPr>
          <w:b/>
        </w:rPr>
        <w:t>Available abstract (not full text):</w:t>
      </w:r>
      <w:r>
        <w:t xml:space="preserve"> Freedom of expression and speech were one of the most important assets of the Western liberal democracies. Europe was proud to expand these values around the world. However, in recent years, they have been deteriorating. The present text raises the question on why freedom of expression and speech are losing ground. The text aims to study their decline in Europe and also in the UK in the last decade. The text is guided by the assumption that they have been limited by political elites and corporate interests. The article is divided in three sections. The first presents a brief historical debate. The second offers some examples that expose the attacks on freedom of expression and speech in Europe. The third describes the intrinsic relation between freedom of expression and democracy and their mutual interconnection. Finally, some comments are offered to wrap up the discussion.</w:t>
      </w:r>
    </w:p>
    <w:p>
      <w:pPr/>
      <w:r>
        <w:rPr>
          <w:b/>
        </w:rPr>
        <w:t>POSSIBLE 2026:</w:t>
      </w:r>
      <w:r>
        <w:t xml:space="preserve"> Differentiating early European psychobiography—An Eastern European contribution. — https://doi.org/10.1037/hop0000317</w:t>
      </w:r>
    </w:p>
    <w:p>
      <w:pPr/>
      <w:r>
        <w:rPr>
          <w:b/>
        </w:rPr>
        <w:t>Shared claim-specific concepts:</w:t>
      </w:r>
      <w:r>
        <w:t xml:space="preserve"> article, presents, three; EU scope visible. This is a provisional connection, not an outcome finding.</w:t>
      </w:r>
    </w:p>
    <w:p>
      <w:pPr>
        <w:pStyle w:val="SourceNote"/>
      </w:pPr>
      <w:r>
        <w:rPr>
          <w:b/>
        </w:rPr>
        <w:t>Available abstract (not full text):</w:t>
      </w:r>
      <w:r>
        <w:t xml:space="preserve"> Psychobiography of the early 20th century generally developed in Western Europe and primarily in the spirit of psychoanalysis. The history of this discipline and its early works creates a rather monolithic picture that is absent of representatives of Eastern countries or alternative theories. Articles, monographs, and scientific journals constantly construct their own (i.e., Western) world of research in this field. Using the example of one of the psychological-philosophical schools of Eastern Europe, the Lvov-Warsaw School, I attempt to demonstrate that its representatives conducted original psychobiographical analyses not only in light of psychoanalysis but also developed their own theory, providing them with a unique conceptual framework, categories, and possible explanations of human behavior. The article presents three main psychobiographies: Socrates, Jesus of Nazareth, and Taras Shevchenko-an icon of Ukrainian culture. The conclusions require a broader consideration of research in this field at the beginning of the 20th century and a closer look at the contributions of Eastern European psychologists. Eastern European psychology offered (and still offers) interesting propositions, which, I believe, can enrich the conceptual instrumentarium of psychobiography. (PsycInfo Database Record (c) 2026 APA, all rights reserved).</w:t>
      </w:r>
    </w:p>
    <w:p>
      <w:pPr/>
      <w:r>
        <w:rPr>
          <w:b/>
        </w:rPr>
        <w:t>POSSIBLE 2026:</w:t>
      </w:r>
      <w:r>
        <w:t xml:space="preserve"> The carbon footprint of the hard coal sector in Poland in the context of the evolution of the European Union’s climate neutrality policy — https://doi.org/10.46873/2300-3960.1506</w:t>
      </w:r>
    </w:p>
    <w:p>
      <w:pPr/>
      <w:r>
        <w:rPr>
          <w:b/>
        </w:rPr>
        <w:t>Shared claim-specific concepts:</w:t>
      </w:r>
      <w:r>
        <w:t xml:space="preserve"> article, presents, poland, union; EU scope visible. This is a provisional connection, not an outcome finding.</w:t>
      </w:r>
    </w:p>
    <w:p>
      <w:pPr>
        <w:pStyle w:val="SourceNote"/>
      </w:pPr>
      <w:r>
        <w:rPr>
          <w:b/>
        </w:rPr>
        <w:t>Available abstract (not full text):</w:t>
      </w:r>
      <w:r>
        <w:t xml:space="preserve"> The topic of the article is the carbon footprint of coal as a primary source of energy. In light of climate change and the energy transition in the European Union, it is increasingly important to analyse the carbon footprint of individual economic sectors. The aim of this review article is to present an analysis of the carbon footprint of the hard coal sector in Poland against the background of the EU’s climate neutrality policy. The paper reviews EU strategic documents, such as the European Green Deal, the ”Fit for 55” package, and the REPowerEU and Clean Industrial Deal initiatives, in terms of their impact on the functioning of the coal sector. It also presents a methodology for calculating the carbon footprint in terms of life cycle assessment (LCA), taking into account different scopes of greenhouse gas emissions according to the GHG Protocol. The article uses databases from the Instrat Foundation, Eurelectric – the Association of the Power Industry, the Polish Geological Institute, the Energy Market Agency, Ember – Electricity Data Explorer and the National Centre for Emissions Management. Using the latest available data from 2018 to 2024, the paper analyses changes in Poland’s and the EU’s energy mix and highlights the importance of the coal sector’s transition in the context of decarbonisation. The challenges associated with mine closures, the social transformation of m</w:t>
      </w:r>
    </w:p>
    <w:p>
      <w:pPr/>
      <w:r>
        <w:rPr>
          <w:b/>
        </w:rPr>
        <w:t>POSSIBLE 2026:</w:t>
      </w:r>
      <w:r>
        <w:t xml:space="preserve"> Contemporary institutional challenges in national innovation policy governance in Poland and Sweden in the context of the European Union’s competitiveness — https://doi.org/10.31338/1641-2478pe.3.26.6</w:t>
      </w:r>
    </w:p>
    <w:p>
      <w:pPr/>
      <w:r>
        <w:rPr>
          <w:b/>
        </w:rPr>
        <w:t>Shared claim-specific concepts:</w:t>
      </w:r>
      <w:r>
        <w:t xml:space="preserve"> article, presents, poland, political, union; EU scope visible. This is a provisional connection, not an outcome finding.</w:t>
      </w:r>
    </w:p>
    <w:p>
      <w:pPr>
        <w:pStyle w:val="SourceNote"/>
      </w:pPr>
      <w:r>
        <w:rPr>
          <w:b/>
        </w:rPr>
        <w:t>Available abstract (not full text):</w:t>
      </w:r>
      <w:r>
        <w:t xml:space="preserve"> This article presents a theory-informed benchmark comparison of national innovation policy governance in Poland and Sweden, and it also examines how governance capacity is associated with EU competitiveness. The study combines conceptual analysis, official institutional documents and data from European Innovation Scoreboard 2026. The comparison is focused on five governance dimensions: political anchoring, stakeholder architecture, links between strategy and instruments, demand-side capacity, transparency and institutional learning. Sweden is chosen for the analysis as a historical functional benchmark, while Poland is assessed in the institutional form introduced on 4 November 2025 by Prime Minister’s Order no. 62 amending the order establishing the Council for Innovation. The evidence indicates that the innovation gap is associated not only with expenditure, but also with coordination, participation, transparency and implementation capacity.</w:t>
      </w:r>
    </w:p>
    <w:p>
      <w:pPr/>
      <w:r>
        <w:rPr>
          <w:b/>
        </w:rPr>
        <w:t>POSSIBLE 2026:</w:t>
      </w:r>
      <w:r>
        <w:t xml:space="preserve"> The European Union and the Challenge of the Democratic Cosmopolis — https://doi.org/10.58603/yaia5129</w:t>
      </w:r>
    </w:p>
    <w:p>
      <w:pPr/>
      <w:r>
        <w:rPr>
          <w:b/>
        </w:rPr>
        <w:t>Shared claim-specific concepts:</w:t>
      </w:r>
      <w:r>
        <w:t xml:space="preserve"> article, presents, three, political, union; EU scope visible. This is a provisional connection, not an outcome finding.</w:t>
      </w:r>
    </w:p>
    <w:p>
      <w:pPr>
        <w:pStyle w:val="SourceNote"/>
      </w:pPr>
      <w:r>
        <w:rPr>
          <w:b/>
        </w:rPr>
        <w:t>Available abstract (not full text):</w:t>
      </w:r>
      <w:r>
        <w:t xml:space="preserve"> This article seeks to clarify the crisis currently experienced by the European Union and to explore possible avenues for overcoming it. Taking Cosmosystemic Gnoseology as the method of analysis, the article presents three theoretical models considered pivotal for organizing post-state-centric reality, with the aim of addressing the challenge that the prospect of the democratic cosmopolis poses for the EU. It is argued that an axiologically neutral position presupposes liberating thought from the dominant political and constitutional ideology of modernity. This, in turn, requires that, before the article's central problem is addressed, reflexive questions be posed about how modern thought conceives the notion of politics, both at the intra-societal and at the inter-state level. The article then analyses, first, Thomas Hobbes's theoretical approach to the Christian commonwealth; second, Immanuel Kant's federation of free states; and third, Rigas Velestinlis's oecumenical state. These three models of political constitution are assessed for their points of similarity and difference with the present structure of the EU, as well as for the possibilities they open up for finding effective solutions to the crisis it faces. On this basis, the article determines whether any of these theoretical models can respond to contemporary political developments and to the fundamental challenge tha</w:t>
      </w:r>
    </w:p>
    <w:p>
      <w:pPr/>
      <w:r>
        <w:rPr>
          <w:b/>
        </w:rPr>
        <w:t>POSSIBLE 2026:</w:t>
      </w:r>
      <w:r>
        <w:t xml:space="preserve"> Colonialism as a Non-Evident Issue in Cultural Diplomacy in Europe — https://doi.org/10.1007/978-3-032-32360-6_6</w:t>
      </w:r>
    </w:p>
    <w:p>
      <w:pPr/>
      <w:r>
        <w:rPr>
          <w:b/>
        </w:rPr>
        <w:t>Shared claim-specific concepts:</w:t>
      </w:r>
      <w:r>
        <w:t xml:space="preserve"> article, presents, three, poland, consequences, potential; EU scope visible. This is a provisional connection, not an outcome finding.</w:t>
      </w:r>
    </w:p>
    <w:p>
      <w:pPr>
        <w:pStyle w:val="SourceNote"/>
      </w:pPr>
      <w:r>
        <w:rPr>
          <w:b/>
        </w:rPr>
        <w:t>Available abstract (not full text):</w:t>
      </w:r>
      <w:r>
        <w:t xml:space="preserve"> In line with cosmopolitan approaches, cultural diplomacy has the potential to foster dialogue in international relations. While involving people of different languages and nationalities in cultural events, it constructs a platform for understanding. But has cultural diplomacy been ready to confront difficult topics like the consequences of colonialism? Is such an issue of relevance for trans-European cultural diplomacy? This article presents early results of a study on the presence of colonial and postcolonial discourses in the cultural diplomacy of three countries: Germany, Poland, and Ukraine (a non-evident choice for studying the topic). As such, the article’s objective is to reveal where the discourses come together and where they drift apart. The assumption—that the cultural diplomacy of European countries will reflect how the chosen countries have dealt with colonialism or their own colonial past—was confirmed only partially. Using Cultural Diplomacy Analysis, the article comparatively presents the domestic factors and international developments that led to the presence or absence of colonial issues in cultural diplomacy.</w:t>
      </w:r>
    </w:p>
    <w:p>
      <w:pPr/>
      <w:r>
        <w:rPr>
          <w:b/>
        </w:rPr>
        <w:t>POSSIBLE 2026:</w:t>
      </w:r>
      <w:r>
        <w:t xml:space="preserve"> A feminist decolonial challenge to European Union’s gender governance: knowledge hierarchies and exclusion in the European Parliament — https://doi.org/10.1080/09589236.2026.2648725</w:t>
      </w:r>
    </w:p>
    <w:p>
      <w:pPr/>
      <w:r>
        <w:rPr>
          <w:b/>
        </w:rPr>
        <w:t>Shared claim-specific concepts:</w:t>
      </w:r>
      <w:r>
        <w:t xml:space="preserve"> article, presents, three, political, union; EU scope visible. This is a provisional connection, not an outcome finding.</w:t>
      </w:r>
    </w:p>
    <w:p>
      <w:pPr>
        <w:pStyle w:val="SourceNote"/>
      </w:pPr>
      <w:r>
        <w:rPr>
          <w:b/>
        </w:rPr>
        <w:t>Available abstract (not full text):</w:t>
      </w:r>
      <w:r>
        <w:t xml:space="preserve"> This paper critically examines the European Union’s (EU) gender equality policies through a decolonial feminist lens, focusing on how epistemic hierarchies are reproduced within the gender equality discourse of the European Parliament (EP), which presents itself as a progressive actor and moral authority on gender equality. Drawing on existing critiques of the EU’s instrumental and neoliberal approaches to gender, the paper analyses 42 texts adopted by the EP during its 9th parliamentary term (2019–2024). The analysis identifies three recurring patterns: the instrumentalisation of gender equality, the monopolization of feminist knowledge, and the managerialisation of equality through technocratic procedures. Drawing on the concepts of epistemic resistance, decolonial praxis, and epistemic accountability, the article examines where dominant gender-equality framings are momentarily disrupted, transformative engagement with marginalized knowledges is foreclosed, and responsibility for structural inequalities is displaced or depoliticized. While recognizing the EU’s historical gender equality achievements, the article argues that persistent epistemic hierarchies limit transformative change and carry political risks. It concludes by calling for a decolonial feminist reorientation grounded in pluralized knowledge production, relational accountability, and reciprocal engagement as con</w:t>
      </w:r>
    </w:p>
    <w:p>
      <w:pPr/>
      <w:r>
        <w:rPr>
          <w:b/>
        </w:rPr>
        <w:t>POSSIBLE 2025:</w:t>
      </w:r>
      <w:r>
        <w:t xml:space="preserve"> ANALYSIS OF CAMPING RESORTS IN EUROPE: A LAYOUT AND INFRASTRUCTURE STUDY — https://doi.org/10.7862/rb.2025.2</w:t>
      </w:r>
    </w:p>
    <w:p>
      <w:pPr/>
      <w:r>
        <w:rPr>
          <w:b/>
        </w:rPr>
        <w:t>Shared claim-specific concepts:</w:t>
      </w:r>
      <w:r>
        <w:t xml:space="preserve"> article, presents, three; EU scope visible. This is a provisional connection, not an outcome finding.</w:t>
      </w:r>
    </w:p>
    <w:p>
      <w:pPr>
        <w:pStyle w:val="SourceNote"/>
      </w:pPr>
      <w:r>
        <w:rPr>
          <w:b/>
        </w:rPr>
        <w:t>Available abstract (not full text):</w:t>
      </w:r>
      <w:r>
        <w:t xml:space="preserve"> Camping has become a popular leisure activity since the dawn of the modern motor vehicle. It is associated with an increasing interest in contact with nature and a commitment to discovering cultural diversity. This article presents an analysis of the urban form of camping centres in Europe. The principles of their planning, composition, layout and character will be discussed. The article analyses three different centres within Europe: Ca'Savio in Italy, Cikat in Croatia and Arena in Hungary. The selected examples illustrate the variety of urban forms of camping centres. The article presents and compares their common features, which were formulated on the basis of in situ observations.</w:t>
      </w:r>
    </w:p>
    <w:p>
      <w:pPr/>
      <w:r>
        <w:rPr>
          <w:b/>
        </w:rPr>
        <w:t>POSSIBLE 2025:</w:t>
      </w:r>
      <w:r>
        <w:t xml:space="preserve"> The Three Seas Initiative as a Component of India–Middle East–Europe Economic Corridor (IMEC) — https://doi.org/10.35757/stp.2025.53.1.11</w:t>
      </w:r>
    </w:p>
    <w:p>
      <w:pPr/>
      <w:r>
        <w:rPr>
          <w:b/>
        </w:rPr>
        <w:t>Shared claim-specific concepts:</w:t>
      </w:r>
      <w:r>
        <w:t xml:space="preserve"> article, presents, three, potential; EU scope visible. This is a provisional connection, not an outcome finding.</w:t>
      </w:r>
    </w:p>
    <w:p>
      <w:pPr>
        <w:pStyle w:val="SourceNote"/>
      </w:pPr>
      <w:r>
        <w:rPr>
          <w:b/>
        </w:rPr>
        <w:t>Available abstract (not full text):</w:t>
      </w:r>
      <w:r>
        <w:t xml:space="preserve"> The article presents the Three Seas Initiative (3SI) as a key component of the India–Middle East–Europe Economic Corridor (IMEC). It analyses the strategic role of transport infrastructure in Central and Eastern Europe amid shifting geopolitical dynamics. The study explores the impact of the pandemic, the war in Ukraine, and supply chain disruptions on the need for alternative trade routes. Special attention is given to Adriatic and Aegean ports such as Koper, Rijeka, and Thessaloniki as potential European endpoints of IMEC, highlighting their links to 3SI infrastructure and the broader TEN-T network. In this article IMEC and 3SI are portrayed not only as a logistics projects, but as a geopolitical tool reshaping regional alliances. The implementation of both may serve as a counterbalance to China’s Belt and Road Initiative by fostering secure and democratic trade connectivity across continents. Furthermore, the 3SI, supported by southern ports and expanding infrastructure along the north–south axis, may significantly improve access to the northernmost EU countries and Scandinavia, enhancing European cohesion and connectivity. This paper also emphasizes the dual-use nature of infrastructure investments, supporting both economic development and military mobility.</w:t>
      </w:r>
    </w:p>
    <w:p>
      <w:pPr/>
      <w:r>
        <w:rPr>
          <w:b/>
        </w:rPr>
        <w:t>POSSIBLE 2025:</w:t>
      </w:r>
      <w:r>
        <w:t xml:space="preserve"> The Silver Economy in the European Perspective — https://doi.org/10.37075/isa.2025.2.04</w:t>
      </w:r>
    </w:p>
    <w:p>
      <w:pPr/>
      <w:r>
        <w:rPr>
          <w:b/>
        </w:rPr>
        <w:t>Shared claim-specific concepts:</w:t>
      </w:r>
      <w:r>
        <w:t xml:space="preserve"> article, presents, three, exit; EU scope visible. This is a provisional connection, not an outcome finding.</w:t>
      </w:r>
    </w:p>
    <w:p>
      <w:pPr>
        <w:pStyle w:val="SourceNote"/>
      </w:pPr>
      <w:r>
        <w:rPr>
          <w:b/>
        </w:rPr>
        <w:t>Available abstract (not full text):</w:t>
      </w:r>
      <w:r>
        <w:t xml:space="preserve"> This article presents a comprehensive interdisciplinary analysis of demographic agеing in Europe through the analytical lens of the so-called ‘silver economy’, a conceptual paradigm that reframes ageing not as a unilateral social challenge but as a strategic economic asset. The study follows the evolving discourse surrounding older adults, shifting from perceptions of dependency and care to recognition of their agency as consumers, innovators, and contributors to productivity in the context of societal development. Drawing on up-to-date demographic indicators and EU-level policy documents, the paper systematizes three core dimensions through which the silver economy intersects with human well-being: late-life labor force participation, integrated social and healthcare services, and the infrastructure for digital and territorial connectivity. The findings suggest that the combination of policies aimed at extending working life – including raising the retirement age, promoting lifelong learning and reducing early exit from the labour market — significantly enhances the active social role of older individuals. Currently, the silver economy acts as a driver of innovation in healthcare, assistive technologies, and digital services, improving the quality of life of older people and opening new markets. The paper concludes that a successful transformation of demographic trends into su</w:t>
      </w:r>
    </w:p>
    <w:p>
      <w:pPr/>
      <w:r>
        <w:rPr>
          <w:b/>
        </w:rPr>
        <w:t>POSSIBLE 2025:</w:t>
      </w:r>
      <w:r>
        <w:t xml:space="preserve"> American Universalism and Poland in Central-Eastern Europe in the 20th Century — https://doi.org/10.17951/rh.2025.59.1389-1434</w:t>
      </w:r>
    </w:p>
    <w:p>
      <w:pPr/>
      <w:r>
        <w:rPr>
          <w:b/>
        </w:rPr>
        <w:t>Shared claim-specific concepts:</w:t>
      </w:r>
      <w:r>
        <w:t xml:space="preserve"> article, presents, poland, political; EU scope visible. This is a provisional connection, not an outcome finding.</w:t>
      </w:r>
    </w:p>
    <w:p>
      <w:pPr>
        <w:pStyle w:val="SourceNote"/>
      </w:pPr>
      <w:r>
        <w:rPr>
          <w:b/>
        </w:rPr>
        <w:t>Available abstract (not full text):</w:t>
      </w:r>
      <w:r>
        <w:t xml:space="preserve"> The article presents the importance of liberal universalism in the policy of the United States in relation to selected political and territorial problems of Poland and Central-Eastern Europe. From the end of World War I until the fall of the „Iron Curtain”, the U.S. tied the condition of its own liberal-democratic system with the spread of progressive, democratic and liberal values around the world. This liberal ideal of „emancipation of humanity” included concepts of perpetual peace, democracy, self-determination, social progress, economic development, free trade, and human rights, building thus a specific connection of American foreign policy with morality and economics. The objective is to demonstrate that universalism shaped the American view of Poland and Central and Eastern Europe as a liberal „laboratory of history” of the 20th century at the crossroads of empires, which was also a space of conflicts, revolutions and nationalisms that conflicted with American universalism.</w:t>
      </w:r>
    </w:p>
    <w:p>
      <w:pPr/>
      <w:r>
        <w:rPr>
          <w:b/>
        </w:rPr>
        <w:t>POSSIBLE 2025:</w:t>
      </w:r>
      <w:r>
        <w:t xml:space="preserve"> Basic assumptions of media policy in Poland: the legal and political framework — https://doi.org/10.13173/9783447124393.005</w:t>
      </w:r>
    </w:p>
    <w:p>
      <w:pPr/>
      <w:r>
        <w:rPr>
          <w:b/>
        </w:rPr>
        <w:t>Shared claim-specific concepts:</w:t>
      </w:r>
      <w:r>
        <w:t xml:space="preserve"> article, presents, poland, political; EU scope visible. This is a provisional connection, not an outcome finding.</w:t>
      </w:r>
    </w:p>
    <w:p>
      <w:pPr>
        <w:pStyle w:val="SourceNote"/>
      </w:pPr>
      <w:r>
        <w:rPr>
          <w:b/>
        </w:rPr>
        <w:t>Available abstract (not full text):</w:t>
      </w:r>
      <w:r>
        <w:t xml:space="preserve"> After the fall of communism and the start of Poland’s systemic transformation in the 1990s, fundamental changes also took place in the media. The transition to democracy did not immediately introduce the solutions and regulations characterising the democratic states of Western Europe. Although censorship was abolished and freedom of speech was finally possible, over the ensuing years and decades it was not possible to develop a political culture that would seek to adopt such regulations and solutions that would protect and strengthen these values. This article presents the main assumptions of state policy towards the media in Poland, which, because of the instability of the democratic system, requires more discussion than listing and explaining the most important legal acts regulating the media sector. media policy, media system, law</w:t>
      </w:r>
    </w:p>
    <w:p>
      <w:pPr>
        <w:pStyle w:val="Heading2"/>
      </w:pPr>
      <w:r>
        <w:t>647. Brexit deal and demographics drag on long‐term outlook</w:t>
      </w:r>
    </w:p>
    <w:p>
      <w:pPr>
        <w:pStyle w:val="SourceNote"/>
      </w:pPr>
      <w:r>
        <w:rPr>
          <w:b/>
        </w:rPr>
        <w:t>Original source (2020):</w:t>
      </w:r>
      <w:r>
        <w:t xml:space="preserve"> https://doi.org/10.1111/1468-0319.12461</w:t>
      </w:r>
    </w:p>
    <w:p>
      <w:pPr/>
      <w:r>
        <w:t>Original wording (abstract; indexed_source_text_not_full_document_verified): This will result in damage to trade and lower FDI inflows. ▀ We now expect potential output growth to slow to 1.4% a year from 2020–2030 down from 1.6% a year from 2010–2020. In the two decades after 2030 we expect the drag from Brexit‐related effects to fade, but weaker contributions in labour supply and human capital will cut output growth to 1.2% a year. ▀ Demographics have been a key contributor to potential output growth over the past 30 years.</w:t>
      </w:r>
    </w:p>
    <w:p>
      <w:pPr/>
      <w:r>
        <w:rPr>
          <w:b/>
        </w:rPr>
        <w:t>POSSIBLE 2026:</w:t>
      </w:r>
      <w:r>
        <w:t xml:space="preserve"> Damage — https://doi.org/10.1093/he/9780198949695.003.0035</w:t>
      </w:r>
    </w:p>
    <w:p>
      <w:pPr/>
      <w:r>
        <w:rPr>
          <w:b/>
        </w:rPr>
        <w:t>Shared claim-specific concepts:</w:t>
      </w:r>
      <w:r>
        <w:t xml:space="preserve"> result, damage, trade, potential, related; EU scope not established. This is a provisional connection, not an outcome finding.</w:t>
      </w:r>
    </w:p>
    <w:p>
      <w:pPr>
        <w:pStyle w:val="SourceNote"/>
      </w:pPr>
      <w:r>
        <w:rPr>
          <w:b/>
        </w:rPr>
        <w:t>Available abstract (not full text):</w:t>
      </w:r>
      <w:r>
        <w:t xml:space="preserve"> This chapter examines one element that a claimant must prove to sustain a passing off action: the requirement that they have suffered, or are likely to suffer, damage as a result of the defendant’s misrepresentation. It first considers five types of damage that have been recognized by the courts in connection with misrepresentation: loss of existing trade and profits; loss of potential trade and profits; loss of licensing revenues; damage to reputation; and dilution. It then discusses the notion of extended passing off and relevant modifications to its constituent elements: goodwill, misrepresentation, and damage. It also looks at the related principles of unfair competition prevention and image or publicity rights protection.</w:t>
      </w:r>
    </w:p>
    <w:p>
      <w:pPr/>
      <w:r>
        <w:rPr>
          <w:b/>
        </w:rPr>
        <w:t>POSSIBLE 2026:</w:t>
      </w:r>
      <w:r>
        <w:t xml:space="preserve"> Geopolitical and climate change risks affect FDI inflows: a bayesian panel data analysis — https://doi.org/10.1080/15140326.2026.2691367</w:t>
      </w:r>
    </w:p>
    <w:p>
      <w:pPr/>
      <w:r>
        <w:rPr>
          <w:b/>
        </w:rPr>
        <w:t>Shared claim-specific concepts:</w:t>
      </w:r>
      <w:r>
        <w:t xml:space="preserve"> trade, fdi, inflows, but; EU scope not established. This is a provisional connection, not an outcome finding.</w:t>
      </w:r>
    </w:p>
    <w:p>
      <w:pPr>
        <w:pStyle w:val="SourceNote"/>
      </w:pPr>
      <w:r>
        <w:rPr>
          <w:b/>
        </w:rPr>
        <w:t>Available abstract (not full text):</w:t>
      </w:r>
      <w:r>
        <w:t xml:space="preserve"> This study examines the simultaneous and interactive effects of geopolitical risk and climate change risk on foreign direct investment inflows across 43 economies during the period 2002–2023. Methodologically, we employ the Bayesian estimation technique, providing a robust, nuanced quantification of uncertainty compared to traditional frequentist approaches. Results reveal a significant negative impact of climate change risks on inward FDI, while GPR exhibits a positive “safe haven” effect. Furthermore, institutional quality, labor force size, and trade openness are identified as primary drivers, whereas import tariffs act as a deterrent. Our findings suggest that because FDI involves long-term, sunk-cost investments, host countries must move beyond evaluating risks in isolation. We argue that institutional reforms not only safeguard investor rights but also enhance climate resilience for multinational corporations. This research offers a refined risk assessment framework for navigating dual geopolitical and environmental challenges.</w:t>
      </w:r>
    </w:p>
    <w:p>
      <w:pPr/>
      <w:r>
        <w:rPr>
          <w:b/>
        </w:rPr>
        <w:t>POSSIBLE 2025:</w:t>
      </w:r>
      <w:r>
        <w:t xml:space="preserve"> Assessing The Effects of GDP and FDI Inflows on Carbon Dioxide Emission — https://doi.org/10.21776/jdess.2025.04.1.22</w:t>
      </w:r>
    </w:p>
    <w:p>
      <w:pPr/>
      <w:r>
        <w:rPr>
          <w:b/>
        </w:rPr>
        <w:t>Shared claim-specific concepts:</w:t>
      </w:r>
      <w:r>
        <w:t xml:space="preserve"> damage, fdi, inflows; EU scope not established. This is a provisional connection, not an outcome finding.</w:t>
      </w:r>
    </w:p>
    <w:p>
      <w:pPr>
        <w:pStyle w:val="SourceNote"/>
      </w:pPr>
      <w:r>
        <w:rPr>
          <w:b/>
        </w:rPr>
        <w:t>Available abstract (not full text):</w:t>
      </w:r>
      <w:r>
        <w:t xml:space="preserve"> Indonesia is one of the world's largest emitters of carbon dioxide. This aligns with the Environmental Kuznets Curve (EKC) hypothesis, which states that economic growth initially causes environmental damage. This study uses the Error Correction Model (ECM) with time series data from 2002-2022 to definitively examine the relationship between sectoral GDP and FDI inflows with CO2 emissions in Indonesia. The results show that sectoral GDP significantly negatively affects CO2 emissions in the long and short run. In contrast, the quadratic form of GDP has a positive effect, indicating an anomaly in the expected EKC pattern. Moreover, FDI inflows significantly affect CO2 emissions only in the long run. These findings highlight the urgent need for policymakers to implement environmentally sustainable economic development strategies in Indonesia. Abstrak Indonesia merupakan salah satu penghasil emisi karbon dioksida terbesar di dunia. Hal ini sejalan dengan hipotesis Environmental Kuznets Curve (EKC) di mana pertumbuhan ekonomi pada awalnya akan menyebabkan kerusakan lingkungan. Penelitian ini menggunakan Error Correction Model (ECM) dengan periode data dari tahun 2002-2022 untuk menguji secara definitif hubungan antara PDB sektoral dan FDI Inflows dengan emisi CO2 di Indonesia. Hasil penelitian menunjukkan bahwa PDB sektoral memiliki pengaruh negatif yang signifikan terhadap emisi CO2</w:t>
      </w:r>
    </w:p>
    <w:p>
      <w:pPr/>
      <w:r>
        <w:rPr>
          <w:b/>
        </w:rPr>
        <w:t>POSSIBLE 2025:</w:t>
      </w:r>
      <w:r>
        <w:t xml:space="preserve"> FDI inflows and carbon emissions: new global evidence — https://doi.org/10.1007/s43621-025-01292-9</w:t>
      </w:r>
    </w:p>
    <w:p>
      <w:pPr/>
      <w:r>
        <w:rPr>
          <w:b/>
        </w:rPr>
        <w:t>Shared claim-specific concepts:</w:t>
      </w:r>
      <w:r>
        <w:t xml:space="preserve"> result, fdi, inflows; EU scope not established. This is a provisional connection, not an outcome finding.</w:t>
      </w:r>
    </w:p>
    <w:p>
      <w:pPr>
        <w:pStyle w:val="SourceNote"/>
      </w:pPr>
      <w:r>
        <w:rPr>
          <w:b/>
        </w:rPr>
        <w:t>Available abstract (not full text):</w:t>
      </w:r>
      <w:r>
        <w:t xml:space="preserve"> This study investigates the environmental consequences of foreign direct investment (FDI) inflows, focusing on their impact on carbon (CO2) emissions. The findings indicate that FDI inflows significantly contribute to increased CO2 emissions, both in total quantity and intensity. Low- and middle-income nations are disproportionately affected. Additionally, higher levels of institutional quality, financial development, and technological innovation amplify the positive relationship between FDI and emissions. This positive link can be explained by the scale effect, where increased economic activity from FDI leads to higher energy use and emissions. This study also reveals the dual role of institutional quality, financial development, and technological innovation in moderating the environmental impact of FDI. While these factors facilitate growth and attract investment, they can also result in increased emissions if sustainability is not prioritized. These findings offer meaningful implications for policymakers seeking to balance economic growth with sustainability, especially in regions vulnerable to increased emissions due to FDI.</w:t>
      </w:r>
    </w:p>
    <w:p>
      <w:pPr/>
      <w:r>
        <w:rPr>
          <w:b/>
        </w:rPr>
        <w:t>POSSIBLE 2025:</w:t>
      </w:r>
      <w:r>
        <w:t xml:space="preserve"> Are Determinants Of Fdi Inflows Subject To Political And Pandemic Issues? Empirical Evidence From Vietnam — https://doi.org/10.2991/978-94-6463-694-9_5</w:t>
      </w:r>
    </w:p>
    <w:p>
      <w:pPr/>
      <w:r>
        <w:rPr>
          <w:b/>
        </w:rPr>
        <w:t>Shared claim-specific concepts:</w:t>
      </w:r>
      <w:r>
        <w:t xml:space="preserve"> trade, fdi, inflows; EU scope not established. This is a provisional connection, not an outcome finding.</w:t>
      </w:r>
    </w:p>
    <w:p>
      <w:pPr>
        <w:pStyle w:val="SourceNote"/>
      </w:pPr>
      <w:r>
        <w:rPr>
          <w:b/>
        </w:rPr>
        <w:t>Available abstract (not full text):</w:t>
      </w:r>
      <w:r>
        <w:t xml:space="preserve"> Foreign direct investment (FDI) plays an important role in economic growth and social innovation in developing countries, which are always thirsty for investment capital.Its role is expressed through promoting transformation, restructuring the economy, developing human resources, providing new production technology and improving quality of life.Therefore, FDI is always considered a top concern of governments of developing countries.The impact of FDI capital flows is unstable and changes depending on influencing factors such as macroeconomic factors, socio-political factors... Previously, studies based on this relationship were mostly implemented in developed economies and were considered quite little in developing countries like Vietnam.On the other hand, research results among authors are inconsistent.Our research aims to analyze the determinants of FDI flows into Vietnam in the period 1996-2021, focusing on political stability and the covid-19 epidemic, thereby drawing out applicable policies in the current post-COVID economic recovery context. Research purpose:This research is aimed at figuring out critical factors influencing the decision of foreign investors to pour money into Vietnam from 1996 to 2021 with a special focus on pandemic and political issuses.Based on empirical results, we aim to offer policy implications and recommendations for relevant stakeholders. Researc</w:t>
      </w:r>
    </w:p>
    <w:p>
      <w:pPr/>
      <w:r>
        <w:rPr>
          <w:b/>
        </w:rPr>
        <w:t>POSSIBLE 2025:</w:t>
      </w:r>
      <w:r>
        <w:t xml:space="preserve"> Culture as Collateral Damage? Evidence From the Impact of Sanctions on Cultural Trade — https://doi.org/10.1111/twec.70012</w:t>
      </w:r>
    </w:p>
    <w:p>
      <w:pPr/>
      <w:r>
        <w:rPr>
          <w:b/>
        </w:rPr>
        <w:t>Shared claim-specific concepts:</w:t>
      </w:r>
      <w:r>
        <w:t xml:space="preserve"> damage, trade, potential; EU scope visible. This is a provisional connection, not an outcome finding.</w:t>
      </w:r>
    </w:p>
    <w:p>
      <w:pPr>
        <w:pStyle w:val="SourceNote"/>
      </w:pPr>
      <w:r>
        <w:rPr>
          <w:b/>
        </w:rPr>
        <w:t>Available abstract (not full text):</w:t>
      </w:r>
      <w:r>
        <w:t xml:space="preserve"> ABSTRACT We examine how various types of sanctions—trade, financial, military, arms and travel—affect trade in cultural goods, and, for comparison, in non‐cultural goods. We find that trade sanctions have significant negative impacts on cultural and non‐cultural trade. The magnitude and nature of these impacts vary depending on the type and coverage of trade sanctions. Furthermore, our study reveals significant collateral damage to bilateral cultural trade caused by arms, military assistance, financial and travel sanctions. Conversely, non‐cultural trade is primarily influenced by financial and travel sanctions. Examining the origins of sanctions provides deeper insights into their diverse impacts. Specifically, our analysis highlights that the United States (U.S.)‐imposed sanctions across various types have significant unintended consequences for bilateral U.S. cultural trade with sanctioned countries. Similarly, both U.S. and European Union (EU) sanctions, regardless of their type, exert a substantial impact on their non‐cultural trade with sanctioned countries. Although sanctions may be justified from a political standpoint, our findings underscore the importance for policymakers to prioritise the promotion of cultural trade and its potential role in peacebuilding efforts once sanctions are lifted.</w:t>
      </w:r>
    </w:p>
    <w:p>
      <w:pPr/>
      <w:r>
        <w:rPr>
          <w:b/>
        </w:rPr>
        <w:t>POSSIBLE 2025:</w:t>
      </w:r>
      <w:r>
        <w:t xml:space="preserve"> Foreign trade resilience during wartime — https://doi.org/10.4324/9781003503255-8</w:t>
      </w:r>
    </w:p>
    <w:p>
      <w:pPr/>
      <w:r>
        <w:rPr>
          <w:b/>
        </w:rPr>
        <w:t>Shared claim-specific concepts:</w:t>
      </w:r>
      <w:r>
        <w:t xml:space="preserve"> result, damage, trade, potential; EU scope not established. This is a provisional connection, not an outcome finding.</w:t>
      </w:r>
    </w:p>
    <w:p>
      <w:pPr>
        <w:pStyle w:val="SourceNote"/>
      </w:pPr>
      <w:r>
        <w:rPr>
          <w:b/>
        </w:rPr>
        <w:t>Available abstract (not full text):</w:t>
      </w:r>
      <w:r>
        <w:t xml:space="preserve"> One of the components of the stability of the national economy is foreign trade resilience, which consists of maintaining the state’s presence in international markets through foreign trade exchange while preventing a critical size of the negative balance. Among other things, the military actions led to the risk of losing Ukraine’s export potential. Export-oriented industries suffered catastrophic losses, with a number of facilities lost forever. It is primarily about the metallurgical, chemical, and machine-building sectors of the economy. Significant damage is caused to the relationship with contractor companies and commercial cooperation of enterprises as a result of logistical obstacles, military pollution of territories, damage, and destruction of transport infrastructure. Another risk is the significant destruction of infrastructure or the complication of transport logistics. Ukrainian manufacturers lose or have significantly reduced access to export markets as a result of a significant narrowing of export supply channels. At the same time, competition for the access to transport and logistics capacities is growing at the inter-industry level, as well as between exporters of the same industry. There are significant risks of increased logistics costs for exporters due to constant military threats, systematic targeted destruction of export supply channels, ongoing blockade </w:t>
      </w:r>
    </w:p>
    <w:p>
      <w:pPr/>
      <w:r>
        <w:rPr>
          <w:b/>
        </w:rPr>
        <w:t>POSSIBLE 2025:</w:t>
      </w:r>
      <w:r>
        <w:t xml:space="preserve"> The Hidden Cost of Global Trade: Evidence from Plastic Waste Trade and Its Ecological Ramifications Across Major Waste-Trading Nations — https://doi.org/10.3390/su17136176</w:t>
      </w:r>
    </w:p>
    <w:p>
      <w:pPr/>
      <w:r>
        <w:rPr>
          <w:b/>
        </w:rPr>
        <w:t>Shared claim-specific concepts:</w:t>
      </w:r>
      <w:r>
        <w:t xml:space="preserve"> damage, trade, lower, but; EU scope not established. This is a provisional connection, not an outcome finding.</w:t>
      </w:r>
    </w:p>
    <w:p>
      <w:pPr>
        <w:pStyle w:val="SourceNote"/>
      </w:pPr>
      <w:r>
        <w:rPr>
          <w:b/>
        </w:rPr>
        <w:t>Available abstract (not full text):</w:t>
      </w:r>
      <w:r>
        <w:t xml:space="preserve"> The rapid expansion of plastic waste trade has intensified environmental pressures, accelerating ecosystem degradation and climate change. We examine the long-term impacts of plastic waste imports and domestic waste production on ecological footprints and greenhouse gas emissions across 20 countries representing 70% of global plastic waste trade and 45% of world GDP. Under the Environmental Kuznets Curve (EKC) framework, we explore nonlinear interactions among economic growth, urbanization, and sustainability goals. Using a panel simultaneous equations approach, we apply Pedroni, Kao, and Westerlund cointegration tests and Fully Modified and Dynamic OLS estimators to address endogeneity and heterogeneity. Robustness checks include alternative environmental indicators and the Dumitrescu–Hurlin panel causality test. Results demonstrate a stable long-run equilibrium: plastic waste imports substantially increase ecological footprints and emissions, while progress on sustainable development goals mitigates some damage. The negative GDP squared coefficient supports the EKC hypothesis, indicating that environmental impacts rise initially with growth but decline once income exceeds a threshold. These findings highlight the need for stronger international regulations, enhanced waste management infrastructures, and circular economy strategies. Focused investment in sustainable technologi</w:t>
      </w:r>
    </w:p>
    <w:p>
      <w:pPr/>
      <w:r>
        <w:rPr>
          <w:b/>
        </w:rPr>
        <w:t>POSSIBLE 2025:</w:t>
      </w:r>
      <w:r>
        <w:t xml:space="preserve"> Implementation of cites (convention on international trade in endangered species of wild fauna and flora) in dealing with illegal timber trade in Indonesia — https://doi.org/10.35335/jls.v7i1.5911</w:t>
      </w:r>
    </w:p>
    <w:p>
      <w:pPr/>
      <w:r>
        <w:rPr>
          <w:b/>
        </w:rPr>
        <w:t>Shared claim-specific concepts:</w:t>
      </w:r>
      <w:r>
        <w:t xml:space="preserve"> damage, trade, related; EU scope not established. This is a provisional connection, not an outcome finding.</w:t>
      </w:r>
    </w:p>
    <w:p>
      <w:pPr>
        <w:pStyle w:val="SourceNote"/>
      </w:pPr>
      <w:r>
        <w:rPr>
          <w:b/>
        </w:rPr>
        <w:t>Available abstract (not full text):</w:t>
      </w:r>
      <w:r>
        <w:t xml:space="preserve"> This research examines the implementation of the Convention on International Trade in Endangered Species of Wild Fauna and Flora in dealing with illegal timber trade in Indonesia. As a convention, CITES helps Indonesia deal with the illegal timber trade by making rules for timber traders. The problem of illegal logging and timber trade is a global crime. This action has damaged forests and even caused extinction for wildlife due to illegal logging for the benefit of certain groups. In this research, the author uses the literature study method by collecting information from reading which is then analyzed to get results. The purpose of this research is to find out the implementation of CITES in Indonesia in dealing with illegal timber trade that causes forest damage and loss. From the results of the study it can be found that Indonesia has ratified CITES and implemented it in the form of laws and Ministerial regulations. CITES is an international treaty that deals with plant and animal trade. Every country that ratifies CITES must be able to trade legally. By ratifying and making rules in Indonesia, timber trade can be carried out legally and pay attention to various aspects related to the environment. The implementation of CITES has an impact on forest protection, people can trade timber legally and protect animals in the forest.</w:t>
      </w:r>
    </w:p>
    <w:p>
      <w:pPr/>
      <w:r>
        <w:rPr>
          <w:b/>
        </w:rPr>
        <w:t>POSSIBLE 2024:</w:t>
      </w:r>
      <w:r>
        <w:t xml:space="preserve"> Do FDI and foreign remittance inflows affect the unemployment rate? A new insight — https://doi.org/10.18488/29.v11i2.3712</w:t>
      </w:r>
    </w:p>
    <w:p>
      <w:pPr/>
      <w:r>
        <w:rPr>
          <w:b/>
        </w:rPr>
        <w:t>Shared claim-specific concepts:</w:t>
      </w:r>
      <w:r>
        <w:t xml:space="preserve"> fdi, inflows; EU scope not established. This is a provisional connection, not an outcome finding.</w:t>
      </w:r>
    </w:p>
    <w:p>
      <w:pPr>
        <w:pStyle w:val="SourceNote"/>
      </w:pPr>
      <w:r>
        <w:rPr>
          <w:b/>
        </w:rPr>
        <w:t>Available abstract (not full text):</w:t>
      </w:r>
      <w:r>
        <w:t xml:space="preserve"> This study aims to investigate the impact of FDI and foreign remittances on unemployment from 1991 to 2020 from Bangladesh's perspective. With the use of EViews 10 version, this study used the ARDL technique to capture the long-run and short-run estimations. The study utilized the unemployment rate as a dependent variable and foreign direct investment (FDI) and foreign remittances as independent factors. The remaining factors include exchange rate, GDP growth, exports, and inflation rate; these are controllable variables. The results of the research show that FDI and foreign remittance have a positive and statistically significant association with unemployment rate in Bangladesh, both in the long run and in the short term. Thus, according to the findings, FDI and foreign remittances are creating more unemployment in Bangladesh. Unlike the general economic theory, which states that the bidirectional relationship of FDI with the unemployment rate, as well as foreign remittances with the unemployment rate, is inverse, these research outcomes basically suggest that FDI and foreign remittance inflows are displacing domestic labor with, perhaps, a low-cost, highly skilled overseas workforce, and also indicate that there might be an increasing trend in the brown-field investment sector. For policy implications, this investigation lends support to the theory that Bangladesh should focu</w:t>
      </w:r>
    </w:p>
    <w:p>
      <w:pPr/>
      <w:r>
        <w:rPr>
          <w:b/>
        </w:rPr>
        <w:t>POSSIBLE 2024:</w:t>
      </w:r>
      <w:r>
        <w:t xml:space="preserve"> Impact of management strategies on forest susceptibility to spruce bark beetle damage and potential trade-offs with timber production and biodiversity — https://doi.org/10.1016/j.foreco.2024.121964</w:t>
      </w:r>
    </w:p>
    <w:p>
      <w:pPr/>
      <w:r>
        <w:rPr>
          <w:b/>
        </w:rPr>
        <w:t>Shared claim-specific concepts:</w:t>
      </w:r>
      <w:r>
        <w:t xml:space="preserve"> damage, lower, potential, decades; EU scope visible. This is a provisional connection, not an outcome finding.</w:t>
      </w:r>
    </w:p>
    <w:p>
      <w:pPr>
        <w:pStyle w:val="SourceNote"/>
      </w:pPr>
      <w:r>
        <w:rPr>
          <w:b/>
        </w:rPr>
        <w:t>Available abstract (not full text):</w:t>
      </w:r>
      <w:r>
        <w:t xml:space="preserve"> The European spruce bark beetle (SBB) is an important insect pest in many countries such as Sweden and has caused the loss of millions of trees over the past few decades. Forest management targeting key variables in the forest can be a potential tool to decrease SBB susceptibility. In this paper, we simulated forest development over a 70-year planning horizon and evaluated the effect of different forest management strategies on spruce bark beetle susceptibility, timber production and biodiversity indicators. We used national forest inventory plots located in Kronoberg county, Southern Sweden, from 2016 to 2020 to perform the analyses. A reference strategy mimicking current management practices was simulated and compared with four other management strategies that can be an alternative to decrease spruce bark beetle damage. The four management strategies were (1) mixed forest stands, (2) shorter rotations and no thinnings, (3) prolonged rotations and (4) continuous cover forestry. The strategies differed in how and when regeneration, pre-commercial thinning, thinnings and final fellings were performed. The optimization of each of the strategies was aimed at reducing spruce bark beetle susceptibility while simultaneously investigating trade-offs with a range of timber production demands. In addition, we simulated a combined strategy where any of the strategies could be chosen with</w:t>
      </w:r>
    </w:p>
    <w:p>
      <w:pPr/>
      <w:r>
        <w:rPr>
          <w:b/>
        </w:rPr>
        <w:t>POSSIBLE 2024:</w:t>
      </w:r>
      <w:r>
        <w:t xml:space="preserve"> Role of Global Trade in the Circular Economy — https://doi.org/10.36689/uhk/hed/2024-01-035</w:t>
      </w:r>
    </w:p>
    <w:p>
      <w:pPr/>
      <w:r>
        <w:rPr>
          <w:b/>
        </w:rPr>
        <w:t>Shared claim-specific concepts:</w:t>
      </w:r>
      <w:r>
        <w:t xml:space="preserve"> result, damage, trade; EU scope not established. This is a provisional connection, not an outcome finding.</w:t>
      </w:r>
    </w:p>
    <w:p>
      <w:pPr>
        <w:pStyle w:val="SourceNote"/>
      </w:pPr>
      <w:r>
        <w:rPr>
          <w:b/>
        </w:rPr>
        <w:t>Available abstract (not full text):</w:t>
      </w:r>
      <w:r>
        <w:t xml:space="preserve"> Paper examines economic model known as upcycling, which seeks to minimize environmental damage by maximizing the reuse of resources.The use of raw materials, production and consumption that underpin the vertical economic system promoted by global trade has serious social and environmental consequences.The study highlights the opportunities and threats of global exchange in the context of supply chain transformation.Notwithstanding the considerable difficulties, the result suggests that global trade can contribute to the development of a circular economy by increasing productivity, reducing pollution, and encouraging more environmentally responsible production and consumption.The conclusions and suggestions relate to the findings from GRETL and how policy makers, firms and individuals could accelerate the uptake of recycling and reuse in global trade.</w:t>
      </w:r>
    </w:p>
    <w:p>
      <w:pPr>
        <w:pStyle w:val="Heading2"/>
      </w:pPr>
      <w:r>
        <w:t>648. Burden of Stroke in Europe</w:t>
      </w:r>
    </w:p>
    <w:p>
      <w:pPr>
        <w:pStyle w:val="SourceNote"/>
      </w:pPr>
      <w:r>
        <w:rPr>
          <w:b/>
        </w:rPr>
        <w:t>Original source (2020):</w:t>
      </w:r>
      <w:r>
        <w:t xml:space="preserve"> https://doi.org/10.1161/strokeaha.120.029606</w:t>
      </w:r>
    </w:p>
    <w:p>
      <w:pPr/>
      <w:r>
        <w:t>Original wording (abstract; indexed_source_text_not_full_document_verified): By 2047, we estimated an additional 40 000 incident strokes (+3%) and 2.58 million prevalent cases (+27%).</w:t>
      </w:r>
    </w:p>
    <w:p>
      <w:pPr/>
      <w:r>
        <w:rPr>
          <w:b/>
        </w:rPr>
        <w:t>POSSIBLE 2026:</w:t>
      </w:r>
      <w:r>
        <w:t xml:space="preserve"> The updated global burden of chronic kidney disease: one death every 20 seconds — https://doi.org/10.1093/ndt/gfag040</w:t>
      </w:r>
    </w:p>
    <w:p>
      <w:pPr/>
      <w:r>
        <w:rPr>
          <w:b/>
        </w:rPr>
        <w:t>Shared claim-specific concepts:</w:t>
      </w:r>
      <w:r>
        <w:t xml:space="preserve"> estimated, additional, million, prevalent; EU scope visible. This is a provisional connection, not an outcome finding.</w:t>
      </w:r>
    </w:p>
    <w:p>
      <w:pPr>
        <w:pStyle w:val="SourceNote"/>
      </w:pPr>
      <w:r>
        <w:rPr>
          <w:b/>
        </w:rPr>
        <w:t>Available abstract (not full text):</w:t>
      </w:r>
      <w:r>
        <w:t xml:space="preserve"> In 2024, Global Burden of Disease (GBD) updated the forecast of global cause-specific age-standardized death rates. Chronic kidney disease (CKD) was forecast to increase by over 30% from 2022, while stroke and ischaemic heart disease would decrease by more than 40%. In western Europe, CKD would become the third cause of death by 2050. While proactive primary prevention has been key to addressing the burden of stroke and ischaemic heart disease, its role in CKD has been often neglected. In 2025, the World Health Organization and Kidney Disease: Improving Global Outcomes produced documents emphasizing maintenance of kidney health and GBD updated the global epidemiology estimates for CKD and kidney replacement therapy (KRT). The new data support the previous estimate that there are 850 million people with kidney disease globally, of whom 4.6 million are on KRT, and 1.5 million people annually (one every 20 seconds) die from CKD. In Europe, an estimated 93.1 million adults have CKD, of whom 750 000 are on KRT, and 210 000 people (one every 2.5 minutes) die from CKD. Of relevance for public health planning, diabetes and hypertension accounted for ≤30% of prevalent KRT in Europe. GBD estimates extend data currently available through the European Renal Association Registry by including additional countries where prevalence of KRT is high: Germany, for example, is home to over 77 000 p</w:t>
      </w:r>
    </w:p>
    <w:p>
      <w:pPr/>
      <w:r>
        <w:rPr>
          <w:b/>
        </w:rPr>
        <w:t>POSSIBLE 2024:</w:t>
      </w:r>
      <w:r>
        <w:t xml:space="preserve"> Estimating the burden of vitiligo: a systematic review and modelling study — https://doi.org/10.1016/s2468-2667(24)00026-4</w:t>
      </w:r>
    </w:p>
    <w:p>
      <w:pPr/>
      <w:r>
        <w:rPr>
          <w:b/>
        </w:rPr>
        <w:t>Shared claim-specific concepts:</w:t>
      </w:r>
      <w:r>
        <w:t xml:space="preserve"> estimated, million, cases; EU scope visible. This is a provisional connection, not an outcome finding.</w:t>
      </w:r>
    </w:p>
    <w:p>
      <w:pPr>
        <w:pStyle w:val="SourceNote"/>
      </w:pPr>
      <w:r>
        <w:rPr>
          <w:b/>
        </w:rPr>
        <w:t>Available abstract (not full text):</w:t>
      </w:r>
      <w:r>
        <w:t xml:space="preserve"> BACKGROUND: Vitiligo is a chronic autoimmune disease characterised by depigmented skin patches, which can pose substantial psychosocial challenges particularly in individuals with dark skin tones. Despite its impact on quality of life, there is an absence of standardised global epidemiological data. We sought to address this gap with the present study. METHODS: In this study we did a systematic review and modelling analysis to estimate the global, regional, and national prevalence and incidence of vitiligo. We did a comprehensive search of nine digital libraries (PubMed, Embase, Web of Science, Scientific Electronic Library Online, KCI Korean Journal Database, Russian Science Citation Index, Western Pacific Region Index Medicus, Informit, and Health Research and Development Information Network) from inception up to May 25, 2023. We included cross-sectional or cohort studies reporting the incidence rate or prevalence of vitiligo, or data from which incidence rate or prevalence could be calculated, in the general population of a country or area of a country. Summary estimate data were extracted. A main outcome was to estimate the worldwide, regional, and country-specific lifetime prevalence of vitiligo diagnosed by physicians or dermatologists among the general population and in adults and children (as per age groups defined in included studies). We used a Bayesian hierarchical l</w:t>
      </w:r>
    </w:p>
    <w:p>
      <w:pPr/>
      <w:r>
        <w:rPr>
          <w:b/>
        </w:rPr>
        <w:t>POSSIBLE 2024:</w:t>
      </w:r>
      <w:r>
        <w:t xml:space="preserve"> Estimated frequency and economic burden of incident fragility fractures during 2023 in Mexico — https://doi.org/10.1007/s11657-024-01468-2</w:t>
      </w:r>
    </w:p>
    <w:p>
      <w:pPr/>
      <w:r>
        <w:rPr>
          <w:b/>
        </w:rPr>
        <w:t>Shared claim-specific concepts:</w:t>
      </w:r>
      <w:r>
        <w:t xml:space="preserve"> estimated, incident, million; EU scope not established. This is a provisional connection, not an outcome finding.</w:t>
      </w:r>
    </w:p>
    <w:p>
      <w:pPr>
        <w:pStyle w:val="SourceNote"/>
      </w:pPr>
      <w:r>
        <w:rPr>
          <w:b/>
        </w:rPr>
        <w:t>Available abstract (not full text):</w:t>
      </w:r>
      <w:r>
        <w:t xml:space="preserve"> Epidemiologic and economic data regarding osteoporotic fractures in Mexico is scarce and mostly outdated. Through a model, we estimated the incidence and costs of osteoporotic fractures in adults ≥ 50 years old in Mexico during the year 2023. Results showed that these events are both frequent and costly, leading to a considerable economic impact. PURPOSE: Osteoporosis and its fractures impose a high clinical and economic burden. The objective of this analysis was to estimate the frequency and costs owing to incident fragility fractures (FFs) during the year 2023 in Mexico. METHODS: This is an incidence-based cost-of-illness study. The target population is adults ≥ 50 years old sustaining a fracture related to osteoporosis (caused by a fall on the same level). The model estimates the costs and productivity losses associated with their treatment within 1 year post-fracture. National epidemiologic databases supplemented with information, derived from literature when appropriate, were used to estimate the frequency of new FFs during 2023 in the study population. Resource use included surgical and non-surgical inpatient or ambulatory care the patients received immediately after fracture plus the outpatient physiotherapy post-discharge and the eventual follow-up with a specialist who may prescribe pharmacotherapy. Sick days taken in employed patients were estimated from the literatur</w:t>
      </w:r>
    </w:p>
    <w:p>
      <w:pPr/>
      <w:r>
        <w:rPr>
          <w:b/>
        </w:rPr>
        <w:t>POSSIBLE 2023:</w:t>
      </w:r>
      <w:r>
        <w:t xml:space="preserve"> The incidence and prevalence of IgA nephropathy in Europe — https://doi.org/10.1093/ndt/gfad082</w:t>
      </w:r>
    </w:p>
    <w:p>
      <w:pPr/>
      <w:r>
        <w:rPr>
          <w:b/>
        </w:rPr>
        <w:t>Shared claim-specific concepts:</w:t>
      </w:r>
      <w:r>
        <w:t xml:space="preserve"> estimated, prevalent, cases; EU scope visible. This is a provisional connection, not an outcome finding.</w:t>
      </w:r>
    </w:p>
    <w:p>
      <w:pPr>
        <w:pStyle w:val="SourceNote"/>
      </w:pPr>
      <w:r>
        <w:rPr>
          <w:b/>
        </w:rPr>
        <w:t>Available abstract (not full text):</w:t>
      </w:r>
      <w:r>
        <w:t xml:space="preserve"> BACKGROUND: This study aimed to determine the incidence and prevalence of immunoglobulin A nephropathy (IgAN) in Europe based on high-quality data from national registries. METHODS: IgAN incidences were obtained from a literature review of European studies of national kidney biopsy registry data in which IgAN diagnosis was biopsy-verified using contemporary techniques. Studies were eligible for the main analysis if published from 1990 to 2020. IgAN point prevalence was defined as the annual IgAN incidence multiplied by the estimated duration of disease. Incidence and prevalence estimates were made for three pooled populations: (i) patients of all ages; (ii) pediatric patients; and (iii) elderly patients. RESULTS: Across 10 European countries, the estimated annual IgAN incidence was 0.76 per 100 000 in patients of all ages. The corresponding pooled IgAN point prevalence was 2.53 per 10 000 (95% confidence interval: 2.51-2.55), ranging from 1.14 per 10 000 in Spain to 5.98 per 10 000 in Lithuania. Applied to 2021 population estimates, the number of expected prevalent IgAN cases was 47 027 across all 10 countries and ranged from 577 in Estonia to 16 645 in Italy. Among pediatric patients, IgAN incidence was 0.20 per 100 000 children and IgAN point prevalence was 0.12 per 10 000 children. Among elderly patients, IgAN incidence was 0.30 per 100 000 and IgAN point prevalence was 0.36</w:t>
      </w:r>
    </w:p>
    <w:p>
      <w:pPr/>
      <w:r>
        <w:rPr>
          <w:b/>
        </w:rPr>
        <w:t>POSSIBLE 2023:</w:t>
      </w:r>
      <w:r>
        <w:t xml:space="preserve"> Schistosomiasis in Europe — https://doi.org/10.1007/s40475-023-00286-9</w:t>
      </w:r>
    </w:p>
    <w:p>
      <w:pPr/>
      <w:r>
        <w:rPr>
          <w:b/>
        </w:rPr>
        <w:t>Shared claim-specific concepts:</w:t>
      </w:r>
      <w:r>
        <w:t xml:space="preserve"> estimated, million, prevalent, cases; EU scope visible. This is a provisional connection, not an outcome finding.</w:t>
      </w:r>
    </w:p>
    <w:p>
      <w:pPr>
        <w:pStyle w:val="SourceNote"/>
      </w:pPr>
      <w:r>
        <w:rPr>
          <w:b/>
        </w:rPr>
        <w:t>Available abstract (not full text):</w:t>
      </w:r>
      <w:r>
        <w:t xml:space="preserve"> Abstract Purposeof Review The purpose of this review is to provide an overview of the burden of schistosomiasis in the European continent. It discusses three subjects: the endemic forms of non-human schistosomiasis in Europe; the introduction of transmission of human schistosomiasis into Europe; and the occurrence of imported cases of human schistosomiasis. Recent Findings Europe is not endemic for human schistosomiasis; nevertheless, it is affected by the disease in multiple ways, although the magnitude of the burden remains elusive because of gaps in surveillance and reporting. Summary Schistosomiasis is a global neglected disease prevalent in tropical and subtropical areas. As of 2022, it is estimated that 251 million people require preventive chemotherapy for schistosomiasis, 90% of whom live in Africa. In Europe, human schistosomiasis is frequently detected in migrants from endemic countries who reach the continent. Additionally, outbreaks due to local transmission can sporadically occur following the introduction of schistosomes in one of the many freshwater bodies in southern Europe where competent snail hosts are found. Finally, human cercarial dermatitis is frequently occurring in Europe, because of the presence of avian schistosomiasis in several countries across the continent. A stronger epidemiological surveillance and reporting system, coupled with more surveys on </w:t>
      </w:r>
    </w:p>
    <w:p>
      <w:pPr/>
      <w:r>
        <w:rPr>
          <w:b/>
        </w:rPr>
        <w:t>POSSIBLE 2023:</w:t>
      </w:r>
      <w:r>
        <w:t xml:space="preserve"> Hepatitis B and C in Europe: an update from the Global Burden of Disease Study 2019 — https://doi.org/10.1016/s2468-2667(23)00149-4</w:t>
      </w:r>
    </w:p>
    <w:p>
      <w:pPr/>
      <w:r>
        <w:rPr>
          <w:b/>
        </w:rPr>
        <w:t>Shared claim-specific concepts:</w:t>
      </w:r>
      <w:r>
        <w:t xml:space="preserve"> estimated, incident, million, prevalent, cases; EU scope visible. This is a provisional connection, not an outcome finding.</w:t>
      </w:r>
    </w:p>
    <w:p>
      <w:pPr>
        <w:pStyle w:val="SourceNote"/>
      </w:pPr>
      <w:r>
        <w:rPr>
          <w:b/>
        </w:rPr>
        <w:t>Available abstract (not full text):</w:t>
      </w:r>
      <w:r>
        <w:t xml:space="preserve"> BACKGROUND: In 2016, the World Health Assembly adopted the resolution to eliminate viral hepatitis by 2030. This study aims to provide an overview of the burdens of hepatitis B virus (HBV) and hepatitis C virus (HCV) in Europe and their changes from 2010 to 2019 using estimates from the Global Burden of Diseases, Injuries, and Risk Factors Study (GBD) 2019. METHODS: We used GBD 2019 estimates of the burden associated with HBV-related and HCV-related diseases: acute hepatitis, cirrhosis and other chronic liver diseases, and liver cancer. We report total numbers and age-standardised rates per 100 000 for mortality, prevalence, incidence, and disability-adjusted life-years (DALYs) from 2010 to 2019. For each HBV-related and HCV-related disease and each measure, we analysed temporal changes and percentage changes for the 2010-19 period. FINDINGS: In 2019, across all age groups, there were an estimated 2·08 million (95% uncertainty interval [UI] 1·66 to 2·54) incident cases of acute hepatitis B and 0·49 million (0·42 to 0·57) of hepatitis C in Europe. There were an estimated 8·24 million (7·56 to 8·88) prevalent cases of HBV-related cirrhosis and 11·87 million (9·77 to 14·41) of HCV-related cirrhosis, with 24·92 thousand (19·86 to 31·03) deaths due to HBV-related cirrhosis and 36·89 thousand (29·94 to 45·56) deaths due to HCV-related cirrhosis. Deaths were estimated at 9·00 thousand</w:t>
      </w:r>
    </w:p>
    <w:p>
      <w:pPr/>
      <w:r>
        <w:rPr>
          <w:b/>
        </w:rPr>
        <w:t>POSSIBLE 2023:</w:t>
      </w:r>
      <w:r>
        <w:t xml:space="preserve"> Incident type 2 diabetes attributable to suboptimal diet in 184 countries — https://doi.org/10.1038/s41591-023-02278-8</w:t>
      </w:r>
    </w:p>
    <w:p>
      <w:pPr/>
      <w:r>
        <w:rPr>
          <w:b/>
        </w:rPr>
        <w:t>Shared claim-specific concepts:</w:t>
      </w:r>
      <w:r>
        <w:t xml:space="preserve"> estimated, incident, million, cases; EU scope visible. This is a provisional connection, not an outcome finding.</w:t>
      </w:r>
    </w:p>
    <w:p>
      <w:pPr>
        <w:pStyle w:val="SourceNote"/>
      </w:pPr>
      <w:r>
        <w:rPr>
          <w:b/>
        </w:rPr>
        <w:t>Available abstract (not full text):</w:t>
      </w:r>
      <w:r>
        <w:t xml:space="preserve"> The global burden of diet-attributable type 2 diabetes (T2D) is not well established. This risk assessment model estimated T2D incidence among adults attributable to direct and body weight-mediated effects of 11 dietary factors in 184 countries in 1990 and 2018. In 2018, suboptimal intake of these dietary factors was estimated to be attributable to 14.1 million (95% uncertainty interval (UI), 13.8-14.4 million) incident T2D cases, representing 70.3% (68.8-71.8%) of new cases globally. Largest T2D burdens were attributable to insufficient whole-grain intake (26.1% (25.0-27.1%)), excess refined rice and wheat intake (24.6% (22.3-27.2%)) and excess processed meat intake (20.3% (18.3-23.5%)). Across regions, highest proportional burdens were in central and eastern Europe and central Asia (85.6% (83.4-87.7%)) and Latin America and the Caribbean (81.8% (80.1-83.4%)); and lowest proportional burdens were in South Asia (55.4% (52.1-60.7%)). Proportions of diet-attributable T2D were generally larger in men than in women and were inversely correlated with age. Diet-attributable T2D was generally larger among urban versus rural residents and higher versus lower educated individuals, except in high-income countries, central and eastern Europe and central Asia, where burdens were larger in rural residents and in lower educated individuals. Compared with 1990, global diet-attributable T2D in</w:t>
      </w:r>
    </w:p>
    <w:p>
      <w:pPr/>
      <w:r>
        <w:rPr>
          <w:b/>
        </w:rPr>
        <w:t>POSSIBLE 2023:</w:t>
      </w:r>
      <w:r>
        <w:t xml:space="preserve"> Correlating Connected Vehicle Estimated Deceleration Events with Crash Incidents near Interstate Interchanges — https://doi.org/10.4236/jtts.2023.134031</w:t>
      </w:r>
    </w:p>
    <w:p>
      <w:pPr/>
      <w:r>
        <w:rPr>
          <w:b/>
        </w:rPr>
        <w:t>Shared claim-specific concepts:</w:t>
      </w:r>
      <w:r>
        <w:t xml:space="preserve"> estimated, incident, million; EU scope not established. This is a provisional connection, not an outcome finding.</w:t>
      </w:r>
    </w:p>
    <w:p>
      <w:pPr>
        <w:pStyle w:val="SourceNote"/>
      </w:pPr>
      <w:r>
        <w:rPr>
          <w:b/>
        </w:rPr>
        <w:t>Available abstract (not full text):</w:t>
      </w:r>
      <w:r>
        <w:t xml:space="preserve"> Historical roadway safety analyses have used labor and time-intensive crash data collection procedures. However, crash reporting is often delayed and crash locations are reported with varying levels of spatial accuracy and detail. Recent advances in connected vehicle (CV) data provide an opportunity for stakeholders to proactively identify areas of safety concerns in near-real time with high spatial precision. Public and private sector stakeholders including automotive original equipment manufacturers (OEM) and insurance providers may independently define acceleration thresholds for reporting unsafe driver behavior. Although some OEMs have provided fixed threshold hard-braking event data for a number of years, this varies by OEM and there is no published literature on the best thresholds to use for identifying emerging safety issues. This research proposes a methodology to estimate deceleration events from raw CV trajectory data at varying thresholds that can be scaled to any CV. The estimated deceleration events and crash incident records around 629 interstate exits in Indiana were analyzed for a three-month period from March 1-May 31, 2023. Nearly 20 million estimated deceleration events and 4800 crash records were spatially joined to a 2-mile search radius around each exit ramp. Results showed that deceleration events between -0.5 g and -0.4 g had the highest correlation wit</w:t>
      </w:r>
    </w:p>
    <w:p>
      <w:pPr/>
      <w:r>
        <w:rPr>
          <w:b/>
        </w:rPr>
        <w:t>POSSIBLE 2022:</w:t>
      </w:r>
      <w:r>
        <w:t xml:space="preserve"> Hybridization and introgression are prevalent in Southern European Erysimum (Brassicaceae) species — https://doi.org/10.1093/aob/mcac048</w:t>
      </w:r>
    </w:p>
    <w:p>
      <w:pPr/>
      <w:r>
        <w:rPr>
          <w:b/>
        </w:rPr>
        <w:t>Shared claim-specific concepts:</w:t>
      </w:r>
      <w:r>
        <w:t xml:space="preserve"> million, prevalent, cases; EU scope visible. This is a provisional connection, not an outcome finding.</w:t>
      </w:r>
    </w:p>
    <w:p>
      <w:pPr>
        <w:pStyle w:val="SourceNote"/>
      </w:pPr>
      <w:r>
        <w:rPr>
          <w:b/>
        </w:rPr>
        <w:t>Available abstract (not full text):</w:t>
      </w:r>
      <w:r>
        <w:t xml:space="preserve"> BACKGROUND AND AIMS: Hybridization is a common and important force in plant evolution. One of its outcomes is introgression - the transfer of small genomic regions from one taxon to another by hybridization and repeated backcrossing. This process is believed to be common in glacial refugia, where range expansions and contractions can lead to cycles of sympatry and isolation, creating conditions for extensive hybridization and introgression. Polyploidization is another genome-wide process with a major influence on plant evolution. Both hybridization and polyploidization can have complex effects on plant evolution. However, these effects are often difficult to understand in recently evolved species complexes. METHODS: We combined flow cytometry, analyses of transcriptomic sequences and pollen tube growth assays to investigate the consequences of polyploidization, hybridization and introgression on the recent evolution of several Erysimum (Brassicaceae) species from the South of the Iberian Peninsula, a well-known glacial refugium. This species complex differentiated in the last 2 million years, and its evolution has been hypothesized to be determined mainly by polyploidization, interspecific hybridization and introgression. KEY RESULTS: Our results support a scenario of widespread hybridization involving both extant and 'ghost' taxa. Several taxa studied here, most notably those </w:t>
      </w:r>
    </w:p>
    <w:p>
      <w:pPr/>
      <w:r>
        <w:rPr>
          <w:b/>
        </w:rPr>
        <w:t>POSSIBLE 2022:</w:t>
      </w:r>
      <w:r>
        <w:t xml:space="preserve"> Clinical and societal burden of incident major depressive disorder: A population‐wide cohort study in Stockholm — https://doi.org/10.1111/acps.13414</w:t>
      </w:r>
    </w:p>
    <w:p>
      <w:pPr/>
      <w:r>
        <w:rPr>
          <w:b/>
        </w:rPr>
        <w:t>Shared claim-specific concepts:</w:t>
      </w:r>
      <w:r>
        <w:t xml:space="preserve"> additional, incident, million, prevalent; EU scope visible. This is a provisional connection, not an outcome finding.</w:t>
      </w:r>
    </w:p>
    <w:p>
      <w:pPr>
        <w:pStyle w:val="SourceNote"/>
      </w:pPr>
      <w:r>
        <w:rPr>
          <w:b/>
        </w:rPr>
        <w:t>Available abstract (not full text):</w:t>
      </w:r>
      <w:r>
        <w:t xml:space="preserve"> OBJECTIVE: Major depressive disorder (MDD) is a highly prevalent condition and a significant contributor to global disability. The vast majority of MDD is handled by primary care, but most real-life studies on MDD only include data from secondary care. The aim of this study was therefore to estimate the total clinical and societal burden of incident MDD including data from all healthcare levels in a large well-defined western European healthcare region. METHODS: Population-wide observational study included healthcare data from Region Stockholm, Sweden's largest region with approximately 2.4 million inhabitants. All patients in Region Stockholm having their first unipolar MDD episode between January 1, 2012, and December 31, 2018, were included. The sample also included matched study population controls. Outcomes were psychiatric and non-psychiatric comorbid conditions, antidepressant therapy use, healthcare resource utilization, work loss, and all-cause mortality. RESULTS: In the study period, 137,822 patients in Region Stockholm were diagnosed with their first unipolar MDD episode. Compared with matched controls, MDD patients had a higher burden of non-psychiatric and psychiatric comorbid conditions, 3.2 times higher outpatient healthcare resource utilization and 8.6 times more work loss. MDD was also associated with a doubled all-cause mortality compared with matched controls</w:t>
      </w:r>
    </w:p>
    <w:p>
      <w:pPr/>
      <w:r>
        <w:rPr>
          <w:b/>
        </w:rPr>
        <w:t>POSSIBLE 2021:</w:t>
      </w:r>
      <w:r>
        <w:t xml:space="preserve"> Type 1 diabetes in 2017: global estimates of incident and prevalent cases in children and adults — https://doi.org/10.1007/s00125-021-05571-8</w:t>
      </w:r>
    </w:p>
    <w:p>
      <w:pPr/>
      <w:r>
        <w:rPr>
          <w:b/>
        </w:rPr>
        <w:t>Shared claim-specific concepts:</w:t>
      </w:r>
      <w:r>
        <w:t xml:space="preserve"> estimated, incident, prevalent, cases; EU scope visible. This is a provisional connection, not an outcome finding.</w:t>
      </w:r>
    </w:p>
    <w:p>
      <w:pPr>
        <w:pStyle w:val="SourceNote"/>
      </w:pPr>
      <w:r>
        <w:rPr>
          <w:b/>
        </w:rPr>
        <w:t>Available abstract (not full text):</w:t>
      </w:r>
      <w:r>
        <w:t xml:space="preserve"> AIMS/HYPOTHESIS: Data on type 1 diabetes incidence and prevalence are limited, particularly for adults. This study aims to estimate global numbers of incident and prevalent cases of type 1 diabetes in 2017 for all age groups, by country and areas defined by income and region. METHODS: Incidence rates of type 1 diabetes in children (available from 94 countries) from the IDF Atlas were used and extrapolated to countries without data. Age-specific incidence rates in adults (only known across full age range for fewer than ten countries) were obtained by applying scaling ratios for each adult age group relative to the incidence rate in children. Age-specific incidence rates were applied to population estimates to obtain incident case numbers. Duration of diabetes was estimated from available data and adjusted using differences in childhood mortality rate between countries from United Nations demographic data. Prevalent case numbers were derived by modelling the relationship between prevalence, incidence and disease duration. Sensitivity analyses were performed to quantify the impact of alternative assumptions and model inputs. RESULTS: Global numbers of incident and prevalent cases of type 1 diabetes were estimated to be 234,710 and 9,004,610, respectively, in 2017. High-income countries, with 17% of the global population, accounted for 49% of global incident cases and 52% of preval</w:t>
      </w:r>
    </w:p>
    <w:p>
      <w:pPr/>
      <w:r>
        <w:rPr>
          <w:b/>
        </w:rPr>
        <w:t>POSSIBLE 2021:</w:t>
      </w:r>
      <w:r>
        <w:t xml:space="preserve"> Financial losses for Dutch stakeholders during the 2013 aflatoxin incident in Maize in Europe — https://doi.org/10.1007/s12550-021-00429-9</w:t>
      </w:r>
    </w:p>
    <w:p>
      <w:pPr/>
      <w:r>
        <w:rPr>
          <w:b/>
        </w:rPr>
        <w:t>Shared claim-specific concepts:</w:t>
      </w:r>
      <w:r>
        <w:t xml:space="preserve"> estimated, incident, million; EU scope visible. This is a provisional connection, not an outcome finding.</w:t>
      </w:r>
    </w:p>
    <w:p>
      <w:pPr>
        <w:pStyle w:val="SourceNote"/>
      </w:pPr>
      <w:r>
        <w:rPr>
          <w:b/>
        </w:rPr>
        <w:t>Available abstract (not full text):</w:t>
      </w:r>
      <w:r>
        <w:t xml:space="preserve"> contaminated maize from Eastern Europe that was processed into compound feed, which was fed to dairy cows. Since the contamination was discovered in the downstream stages of the supply chain, multiple countries and parties were involved and recalls of the feed were necessary, resulting into financial losses. The aim of this study was to estimate the direct short-term financial losses related to the 2013 aflatoxin incident for the maize traders, the feed industry, and the dairy sector in the Netherlands. First, the sequence of events of the incident was retrieved. Then, a Monte Carlo simulation model was built to combine the scarce and uncertain data to estimate the direct financial losses for each stakeholder. The estimated total direct financial losses of this incident were estimated to be between 12 and 25 million euros. The largest share, about 60%, of the total losses was endured by the maize traders. About 39% of the total losses were for the feed industry, and less than 1% of the total losses were for the dairy sector. The financial losses estimated in this study should be interpreted cautiously due to limitations associated with the quality of the data used. Furthermore, this incident led to indirect long-term financial effects, identified but not estimated in this study.</w:t>
      </w:r>
    </w:p>
    <w:p>
      <w:pPr>
        <w:pStyle w:val="Heading2"/>
      </w:pPr>
      <w:r>
        <w:t>649. ClimateEU, scale-free climate normals, historical time series, and future projections for Europe</w:t>
      </w:r>
    </w:p>
    <w:p>
      <w:pPr>
        <w:pStyle w:val="SourceNote"/>
      </w:pPr>
      <w:r>
        <w:rPr>
          <w:b/>
        </w:rPr>
        <w:t>Original source (2020):</w:t>
      </w:r>
      <w:r>
        <w:t xml:space="preserve"> https://doi.org/10.1038/s41597-020-00763-0</w:t>
      </w:r>
    </w:p>
    <w:p>
      <w:pPr/>
      <w:r>
        <w:t>Original wording (abstract; indexed_source_text_not_full_document_verified): Here, we contribute an accessible, comprehensive database of interpolated climate data for Europe that includes monthly, annual, decadal, and 30-year normal climate data for the last 119 years (1901 to 2019) as well as multi-model CMIP5 climate change projections for the 21 st century.</w:t>
      </w:r>
    </w:p>
    <w:p>
      <w:pPr/>
      <w:r>
        <w:rPr>
          <w:b/>
        </w:rPr>
        <w:t>POSSIBLE 2026:</w:t>
      </w:r>
      <w:r>
        <w:t xml:space="preserve"> Synthesised database of wild bee and hoverfly records in Europe — https://doi.org/10.1038/s41597-026-06644-2</w:t>
      </w:r>
    </w:p>
    <w:p>
      <w:pPr/>
      <w:r>
        <w:rPr>
          <w:b/>
        </w:rPr>
        <w:t>Shared claim-specific concepts:</w:t>
      </w:r>
      <w:r>
        <w:t xml:space="preserve"> here, accessible, database, data; EU scope visible. This is a provisional connection, not an outcome finding.</w:t>
      </w:r>
    </w:p>
    <w:p>
      <w:pPr>
        <w:pStyle w:val="SourceNote"/>
      </w:pPr>
      <w:r>
        <w:rPr>
          <w:b/>
        </w:rPr>
        <w:t>Available abstract (not full text):</w:t>
      </w:r>
      <w:r>
        <w:t xml:space="preserve"> Wild bees (Hymenoptera: Anthophila) and hoverflies (Diptera: Syrphidae), the two major groups of insect pollinators, are undergoing alarming declines worldwide, including Europe. The lack of accessible and verified spatial and temporal occurrence records currently challenges efforts to understand and mitigate this decline. Here, we compiled datasets from diverse sources, including taxonomists, national experts, public repositories, museum collections, published literature, verified open-access platforms, and aggregated datasets from previous European projects. The collected data were standardised, cleaned and validated by taxonomists and national experts. This collective effort resulted in two databases comprising more than 4.34 million and 1.04 million records for wild bees and hoverflies, respectively. The databases cover 97% of the European bee fauna (2,083 species out of 2,138 recorded in Europe) and 97% of the European hoverfly fauna (886 species out of 913 recorded in Europe). These standardised databases constitute essential resources for future assessments of status and trends, habitat associations, and other research and conservation initiatives to protect and understand wild pollinators on the European continent.</w:t>
      </w:r>
    </w:p>
    <w:p>
      <w:pPr/>
      <w:r>
        <w:rPr>
          <w:b/>
        </w:rPr>
        <w:t>POSSIBLE 2025:</w:t>
      </w:r>
      <w:r>
        <w:t xml:space="preserve"> EuPPollNet : A European Database of Plant‐Pollinator Networks — https://doi.org/10.1111/geb.70000</w:t>
      </w:r>
    </w:p>
    <w:p>
      <w:pPr/>
      <w:r>
        <w:rPr>
          <w:b/>
        </w:rPr>
        <w:t>Shared claim-specific concepts:</w:t>
      </w:r>
      <w:r>
        <w:t xml:space="preserve"> here, database, data, includes; EU scope visible. This is a provisional connection, not an outcome finding.</w:t>
      </w:r>
    </w:p>
    <w:p>
      <w:pPr>
        <w:pStyle w:val="SourceNote"/>
      </w:pPr>
      <w:r>
        <w:rPr>
          <w:b/>
        </w:rPr>
        <w:t>Available abstract (not full text):</w:t>
      </w:r>
      <w:r>
        <w:t xml:space="preserve"> ABSTRACT Motivation Pollinators play a crucial role in maintaining Earth's terrestrial biodiversity. However, rapid human‐induced environmental changes are compromising the long‐term persistence of plant‐pollinator interactions. Unfortunately, we lack robust, generalisable data capturing how plant‐pollinator communities are structured across space and time. Here, we present the EuPPollNet (European Plant‐Pollinator Networks) database, a fully open European‐level database containing harmonised taxonomic data on plant‐pollinator interactions referenced in both space and time, along with other ecological variables of interest. In addition, we evaluate the taxonomic and sampling coverage of EuPPollNet, and summarise key structural properties in plant‐pollinator networks. We believe EuPPollNet will stimulate research to address data gaps in plant‐pollinator interactions and guide future efforts in conservation planning. Main Types of Variables Included EuPPollNet contains 1,162,109 interactions between plants and pollinators from 1864 distinct networks, which belong to 52 different studies distributed across 23 European countries. Information about sampling methodology, habitat type, biogeographic region and additional taxonomic rank information (i.e. order, family, genus and species) is also provided. Spatial Location and Grain The database contains 1214 different sampling location</w:t>
      </w:r>
    </w:p>
    <w:p>
      <w:pPr/>
      <w:r>
        <w:rPr>
          <w:b/>
        </w:rPr>
        <w:t>POSSIBLE 2025:</w:t>
      </w:r>
      <w:r>
        <w:t xml:space="preserve"> An initial map of European intertidal seagrass — https://doi.org/10.1016/j.rse.2025.115116</w:t>
      </w:r>
    </w:p>
    <w:p>
      <w:pPr/>
      <w:r>
        <w:rPr>
          <w:b/>
        </w:rPr>
        <w:t>Shared claim-specific concepts:</w:t>
      </w:r>
      <w:r>
        <w:t xml:space="preserve"> here, accessible, data; EU scope visible. This is a provisional connection, not an outcome finding.</w:t>
      </w:r>
    </w:p>
    <w:p>
      <w:pPr>
        <w:pStyle w:val="SourceNote"/>
      </w:pPr>
      <w:r>
        <w:rPr>
          <w:b/>
        </w:rPr>
        <w:t>Available abstract (not full text):</w:t>
      </w:r>
      <w:r>
        <w:t xml:space="preserve"> Seagrass meadows directly and indirectly provide a wide range of ecosystem services, but their close proximity to anthropogenic activities renders them highly vulnerable. Regardless of their vulnerability and importance as ecosystem health indicators, intertidal seagrasses, unlike their subtidal relatives, have yet to be assessed at continental scales, and current global estimates of seagrass extent either do not mention intertidal seagrasses or combine them with subtidal seagrasses. Here, we present a first of its kind map of intertidal seagrasses in Europe using a harmonised methodology. Over a total intertidal area of 15,100 km 2 , we found that seagrasses cover an area comparable to the combined areas of Paris and Lisbon: 212 ± 18.8 km 2 . The proportion of available intertidal area covered by seagrass decreased towards higher latitudes (from ∼5.4 % at 35°N to ∼0 % at 58°N). Regardless of this pattern, the top three hotspots of seagrass covered the full latitudinal range of Europe, notably in the North Frisian Wadden Sea (Germany), Arcachon Bay (France) and Ria Formosa (Portugal). Furthermore, we showed latitudinal gradients in seagrass cover, with higher cover in low latitudes and lower cover in high latitudes. Finally, an almost linear change in intertidal seagrass peak timing (day of the year of maximum seagrass cover) with latitude was found, with peak timing later the </w:t>
      </w:r>
    </w:p>
    <w:p>
      <w:pPr/>
      <w:r>
        <w:rPr>
          <w:b/>
        </w:rPr>
        <w:t>POSSIBLE 2024:</w:t>
      </w:r>
      <w:r>
        <w:t xml:space="preserve"> The European Nucleotide Archive in 2024 — https://doi.org/10.1093/nar/gkae975</w:t>
      </w:r>
    </w:p>
    <w:p>
      <w:pPr/>
      <w:r>
        <w:rPr>
          <w:b/>
        </w:rPr>
        <w:t>Shared claim-specific concepts:</w:t>
      </w:r>
      <w:r>
        <w:t xml:space="preserve"> here, contribute, accessible, data; EU scope visible. This is a provisional connection, not an outcome finding.</w:t>
      </w:r>
    </w:p>
    <w:p>
      <w:pPr>
        <w:pStyle w:val="SourceNote"/>
      </w:pPr>
      <w:r>
        <w:rPr>
          <w:b/>
        </w:rPr>
        <w:t>Available abstract (not full text):</w:t>
      </w:r>
      <w:r>
        <w:t xml:space="preserve"> The European Nucleotide Archive (ENA, https://www.ebi.ac.uk/ena), maintained at the European Molecular Biology Laboratory's European Bioinformatics Institute (EMBL-EBI) provides freely accessible services, both for deposition of, and access to, open nucleotide sequencing data. Open scientific data are of paramount importance to the scientific community and contribute daily to the acceleration of scientific advance. Outlined here are changes to and updates on the ENA service in 2024, aligning with the broad goals of enhancing interoperability, globalisation of the service and scaling the platform to meet current and future needs.</w:t>
      </w:r>
    </w:p>
    <w:p>
      <w:pPr/>
      <w:r>
        <w:rPr>
          <w:b/>
        </w:rPr>
        <w:t>POSSIBLE 2024:</w:t>
      </w:r>
      <w:r>
        <w:t xml:space="preserve"> Lessons from pond creation and restoration projects in Europe — https://doi.org/10.1111/rec.14342</w:t>
      </w:r>
    </w:p>
    <w:p>
      <w:pPr/>
      <w:r>
        <w:rPr>
          <w:b/>
        </w:rPr>
        <w:t>Shared claim-specific concepts:</w:t>
      </w:r>
      <w:r>
        <w:t xml:space="preserve"> here, contribute, accessible; EU scope visible. This is a provisional connection, not an outcome finding.</w:t>
      </w:r>
    </w:p>
    <w:p>
      <w:pPr>
        <w:pStyle w:val="SourceNote"/>
      </w:pPr>
      <w:r>
        <w:rPr>
          <w:b/>
        </w:rPr>
        <w:t>Available abstract (not full text):</w:t>
      </w:r>
      <w:r>
        <w:t xml:space="preserve"> Pond ecosystems harbour substantial biodiversity and contribute to several ecosystem services as nature‐based solutions (NbS). Pond restoration and creation projects have been initiated to address these trends, yet while some insights are published, many remain within the expertise of practitioners and are not easily accessible. Moreover, papers synthesizing findings from multiple such projects to derive broad, universal conclusions are very much lacking. Here, we contacted pond creation and restoration practitioners that worked on recent pond restoration projects in Europe using a questionnaire. We reported which practices are currently most common and identified where current good practices might need to be modified. As expected, most projects targeted and monitored species and habitats protected under the European Union Birds Directive and Habitats Directive. Most projects focused on species as conservation targets, rather than the promotion of specific Natura 2000 habitats, pond ecosystem services or NbS. Several challenges were highlighted including funding limitations and stakeholder engagement difficulties. Recommendations included amending legal frameworks, improving connectivity among pondscapes for effective biodiversity conservation and implementing more systematic monitoring. This work illustrates how consultation of practitioners as stakeholders can generate insigh</w:t>
      </w:r>
    </w:p>
    <w:p>
      <w:pPr/>
      <w:r>
        <w:rPr>
          <w:b/>
        </w:rPr>
        <w:t>POSSIBLE 2024:</w:t>
      </w:r>
      <w:r>
        <w:t xml:space="preserve"> In temperate Europe, fire is already here: The case of The Netherlands — https://doi.org/10.1007/s13280-023-01960-y</w:t>
      </w:r>
    </w:p>
    <w:p>
      <w:pPr/>
      <w:r>
        <w:rPr>
          <w:b/>
        </w:rPr>
        <w:t>Shared claim-specific concepts:</w:t>
      </w:r>
      <w:r>
        <w:t xml:space="preserve"> here, climate, data;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here, climate, data, monthly, projections;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here, database, climate, data;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2024:</w:t>
      </w:r>
      <w:r>
        <w:t xml:space="preserve"> Twenty Years of Land Accounts in Europe — https://doi.org/10.3390/land13091350</w:t>
      </w:r>
    </w:p>
    <w:p>
      <w:pPr/>
      <w:r>
        <w:rPr>
          <w:b/>
        </w:rPr>
        <w:t>Shared claim-specific concepts:</w:t>
      </w:r>
      <w:r>
        <w:t xml:space="preserve"> accessible, climate, data;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Proactively boosting home dialysis adoption in Europe — https://doi.org/10.1093/ndt/gfae199</w:t>
      </w:r>
    </w:p>
    <w:p>
      <w:pPr/>
      <w:r>
        <w:rPr>
          <w:b/>
        </w:rPr>
        <w:t>Shared claim-specific concepts:</w:t>
      </w:r>
      <w:r>
        <w:t xml:space="preserve"> here, data, includes, well; EU scope visible. This is a provisional connection, not an outcome finding.</w:t>
      </w:r>
    </w:p>
    <w:p>
      <w:pPr>
        <w:pStyle w:val="SourceNote"/>
      </w:pPr>
      <w:r>
        <w:rPr>
          <w:b/>
        </w:rPr>
        <w:t>Available abstract (not full text):</w:t>
      </w:r>
      <w:r>
        <w:t xml:space="preserve"> This publication builds upon a previous editorial outlining the advantages of home dialysis [1], and suggests strategies to boost the adoption of home dialysis across Europe. By the end of 2021, the ERA Registry [2, 3] reported a dismal 8.6% and 1.3% of dialysis patients across Europe on peritoneal dialysis (PD) and home hemodialysis, respectively, with marked variations between countries (Table 1). Failure to take proactive stimulating measures risks jeopardizing the long-term continuity of quality kidney care in Europe. Ranking of European countries with regards to uptake of home dialysis strategies vs all dialysis. All dialysis: home hemodialysis, peritoneal dialysis and in-center hemodialysis; all home dialysis: home hemodialysis plus peritoneal dialysis. Based on the ERA Registry 2023 (covering the year 2021) [2]. Data for some countries (e.g. Cyprus, Germany, Ireland, Luxembourg, Malta, Moldova, Russia and Slovenia, and small European states like Andorra) are missing in the ERA registry and for other countries data is incomplete (France 27 of 28 regions, Italy 7 of 20 regions). For Portugal, no figures on home hemodialysis were made available. Belgium, Spain and UK: composite figures for 2, 16 and 4 regions, respectively. Tunisia (Sfax region), Turkey and Israel are reported by the ERA registry but are not included here. Data for Cyprus and Russia extrapolated from [3] (d</w:t>
      </w:r>
    </w:p>
    <w:p>
      <w:pPr/>
      <w:r>
        <w:rPr>
          <w:b/>
        </w:rPr>
        <w:t>POSSIBLE 2023:</w:t>
      </w:r>
      <w:r>
        <w:t xml:space="preserve"> Last Glacial loess in Europe: luminescence database and chronology of deposition — https://doi.org/10.5194/essd-15-4689-2023</w:t>
      </w:r>
    </w:p>
    <w:p>
      <w:pPr/>
      <w:r>
        <w:rPr>
          <w:b/>
        </w:rPr>
        <w:t>Shared claim-specific concepts:</w:t>
      </w:r>
      <w:r>
        <w:t xml:space="preserve"> database, climate, data, last; EU scope visible. This is a provisional connection, not an outcome finding.</w:t>
      </w:r>
    </w:p>
    <w:p>
      <w:pPr>
        <w:pStyle w:val="SourceNote"/>
      </w:pPr>
      <w:r>
        <w:rPr>
          <w:b/>
        </w:rPr>
        <w:t>Available abstract (not full text):</w:t>
      </w:r>
      <w:r>
        <w:t xml:space="preserve"> Abstract. During the last glacial period, the climate shift to cold conditions associated with changes in atmospheric circulation and vegetation cover resulted in the development of large aeolian systems in Europe. On a regional scale, many factors may have influenced dust dynamics, such as the latitudinal difference between the various aeolian systems and the variability of the sources of wind-transported particles. Therefore, the assumption that the timing of aeolian deposition is strictly synchronous in Europe does not seem to be the most plausible hypothesis and needs to be evaluated. To test this assumption, the chronology of loess deposition in different European regions was investigated by studying 93 luminescence-dated loess-palaeosol sequences with their data recalculated and compiled in a single CSV file: the ChronoLoess database. Our study shows that the two major aeolian systems, the Northern European Loess Belt (NELB) on the one hand and the systems associated with the rivers draining the Alpine Ice Sheet on the other hand, developed asynchronously. The significant deposition started at about 32 ka for the NELB vs 40 ka for the perialpine loess and peaked about two millennia later for the former (21.8 ka vs 23.9 ka, respectively). This shift resulted mainly from the time lag between the maxima of the Alpine and Fennoscandian ice sheets, which acted as the primary s</w:t>
      </w:r>
    </w:p>
    <w:p>
      <w:pPr>
        <w:pStyle w:val="Heading2"/>
      </w:pPr>
      <w:r>
        <w:t>650. Connected and Automated Transport: Research and Innovation Capacity in Europe</w:t>
      </w:r>
    </w:p>
    <w:p>
      <w:pPr>
        <w:pStyle w:val="SourceNote"/>
      </w:pPr>
      <w:r>
        <w:rPr>
          <w:b/>
        </w:rPr>
        <w:t>Original source (2020):</w:t>
      </w:r>
      <w:r>
        <w:t xml:space="preserve"> https://doi.org/10.1016/j.trpro.2020.08.213</w:t>
      </w:r>
    </w:p>
    <w:p>
      <w:pPr/>
      <w:r>
        <w:t>Original wording (abstract; indexed_source_text_not_full_document_verified): We argue that this approach can aid policy makers to support the future development of CAT technologies and help researchers to forge collaborations and identify research gaps.</w:t>
      </w:r>
    </w:p>
    <w:p>
      <w:pPr/>
      <w:r>
        <w:rPr>
          <w:b/>
        </w:rPr>
        <w:t>POSSIBLE 2026:</w:t>
      </w:r>
      <w:r>
        <w:t xml:space="preserve"> The Limits of European State Aid Law — https://doi.org/10.4324/9781003736141</w:t>
      </w:r>
    </w:p>
    <w:p>
      <w:pPr/>
      <w:r>
        <w:rPr>
          <w:b/>
        </w:rPr>
        <w:t>Shared claim-specific concepts:</w:t>
      </w:r>
      <w:r>
        <w:t xml:space="preserve"> aid, researchers, identify; EU scope visible. This is a provisional connection, not an outcome finding.</w:t>
      </w:r>
    </w:p>
    <w:p>
      <w:pPr>
        <w:pStyle w:val="SourceNote"/>
      </w:pPr>
      <w:r>
        <w:rPr>
          <w:b/>
        </w:rPr>
        <w:t>Available abstract (not full text):</w:t>
      </w:r>
      <w:r>
        <w:t xml:space="preserve"> This book explores the existing limits of State aid law within the European Union. By examining the State aid acquis, the book provides a critical analysis of interpretative approaches to two key areas essential to the functioning of the State aid control system: when a measure constitutes State aid and the identification and assessment of its effects. It argues that the perception of what law can realistically achieve is limited by the assumption that all processes are steerable and that lawmakers are entirely capable of achieving their results as long as they correctly identify causal links, as well as by an implied belief in the continued relevance of interpretative approaches even when they no longer fit evolving realities. The focus is on assessing how well-established interpretative approaches to Article 107 TFEU continue to function and whether they produce unintended consequences as economic conditions and forms of State interventionism evolve. It determines whether the identified limits of law are truly impassable in a complex environment and, where they are not, formulates realistic solutions to improve the functioning of the control system. The book will be of interest to researchers and practitioners in the field of State aid law, competition law, economics, and EU law.</w:t>
      </w:r>
    </w:p>
    <w:p>
      <w:pPr/>
      <w:r>
        <w:rPr>
          <w:b/>
        </w:rPr>
        <w:t>POSSIBLE 2026:</w:t>
      </w:r>
      <w:r>
        <w:t xml:space="preserve"> Humanitarian Aid and the European Union — https://doi.org/10.4324/9781003666486</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book critically examines the effectiveness of EU humanitarian aid delivery in the wake of multiple crises. Focusing on four primary case studies – Myanmar, Lebanon, Mozambique, and Mali – which present distinct crisis types (complex, human-made, and natural), it reveals why the effectiveness of EU humanitarian aid programmes varies in relation to pre-established objectives. Drawing on extensive interviews and official documents from UN, EU, and NGO officials, the book introduces an innovative, multidimensional theoretical framework conceptualising effectiveness beyond goal attainment, encompassing needs assessment, the seamlessness of the policy cycle, and the transition between humanitarian and development aid. The book argues that EU humanitarian aid effectiveness is primarily influenced by institutional, relational, and political factors rather than by the type of crisis or funding gap. In particular, the attitudes of national authorities toward donors and implementing agents are the most decisive factors, followed by the quality of coordination among donors and agents. The book ultimately suggests that adopting a holistic, ‘resilience-first’ approach that integrates humanitarian and long-term development goals, creating integrated funding instruments that enable comprehensive responses from the outset, and fostering collegiality and formal and informal relationships am</w:t>
      </w:r>
    </w:p>
    <w:p>
      <w:pPr/>
      <w:r>
        <w:rPr>
          <w:b/>
        </w:rPr>
        <w:t>POSSIBLE 2026:</w:t>
      </w:r>
      <w:r>
        <w:t xml:space="preserve"> Gender equality in European Union development aid: assessing the dual approach of gender mainstreaming and targeted actions — https://doi.org/10.2861/9870183</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paper examines how the European Union (EU) promotes gender equality in development cooperation through gender mainstreaming and targeted gender-equality actions. It asks whether this twin-track approach delivers meaningful results, where its strengths and weaknesses lie and what is at stake in the post-2027 period. The current EU framework is ambitious and gender mainstreaming has become increasingly visible and routine across EU development cooperation. In many mainstreamed actions, gender is included in diagnostic framing, cross-cutting commitments and some indicators, helping to bring gender equality into sectors where it was previously more marginal. However, the quality and depth of mainstreaming remain uneven. Gender is often better integrated in design and narrative than in implementation, resource allocation, accountability and structural change. Targeted actions are usually clearer and more direct in addressing gender inequality as the central problem, but remain more limited in number, scale and sectoral reach. The paper concludes that mainstreaming and targeted actions are indispensable and complementary. The post-2027 framework should make the twin-track approach more consequential. It is recommended to protect binding gender targets in the Global Europe instrument, use Gender Action Plan IV to set stronger operational standards, improve gender budgeting and re</w:t>
      </w:r>
    </w:p>
    <w:p>
      <w:pPr/>
      <w:r>
        <w:rPr>
          <w:b/>
        </w:rPr>
        <w:t>POSSIBLE 2026:</w:t>
      </w:r>
      <w:r>
        <w:t xml:space="preserve"> State-Guaranteed Legal Aid as a Social Right of an Infrastructural Nature — https://doi.org/10.36475/12.3.2</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This article examines the legal nature of state-guaranteed legal aid and substantiates its classification as an autonomous social right of an infrastructural character. While legal aid has traditionally been regarded as a mechanism for ensuring access to justice and the effective exercise of the right to a fair trial, contemporary legal developments demonstrate that its significance extends far beyond judicial proceedings. In increasingly complex legal systems, access to qualified legal assistance has become an essential condition for the practical exercise of a wide range of rights and legitimate interests. The study analyses the principal doctrinal approaches to legal aid developed within the European legal tradition, including procedural, human rights, and socio-legal perspectives. Particular attention is devoted to the relationship between legal aid and the state’s positive obligations in the field of human rights protection. The article also explores European institutional models of legal aid and the role of international standards in shaping national systems of legal assistance. The research argues that legal aid should not be viewed merely as a derivative procedural safeguard or as an instrument of access-to-justice policy. Rather, it performs an independent social function by compensating for structural legal inequality and enabling individuals to make effective use of </w:t>
      </w:r>
    </w:p>
    <w:p>
      <w:pPr/>
      <w:r>
        <w:rPr>
          <w:b/>
        </w:rPr>
        <w:t>POSSIBLE 2025:</w:t>
      </w:r>
      <w:r>
        <w:t xml:space="preserve"> The financialisation of European Union development aid to Africa : promises, practices, and colonial continuities — https://openalex.org/W7111914425</w:t>
      </w:r>
    </w:p>
    <w:p>
      <w:pPr/>
      <w:r>
        <w:rPr>
          <w:b/>
        </w:rPr>
        <w:t>Shared claim-specific concepts:</w:t>
      </w:r>
      <w:r>
        <w:t xml:space="preserve"> approach, aid, support; EU scope visible. This is a provisional connection, not an outcome finding.</w:t>
      </w:r>
    </w:p>
    <w:p>
      <w:pPr>
        <w:pStyle w:val="SourceNote"/>
      </w:pPr>
      <w:r>
        <w:rPr>
          <w:b/>
        </w:rPr>
        <w:t>Available abstract (not full text):</w:t>
      </w:r>
      <w:r>
        <w:t xml:space="preserve"> This doctoral dissertation examines the financialisation of the European Union’s (EU) development aid to sub-Saharan Africa. While existing literature emphasises the growing role of financial instruments and private capital mobilisation in development finance globally, the specific ways in which the EU aligns with and shapes this financialisation remain underexplored. This dissertation asks: To what extent, and in what ways, is EU development finance to sub-Saharan Africa financialised? This question is tackled through five academic articles that together provide a cumulative and multi-layered answer. Article 1 provides a global overview of the Wall Street Consensus (WSC) ideology, analysing the constraints that multilateral development banks (MDBs) face in mobilising private capital. Article 2 investigates the EU-OACPS Samoa Agreement, illustrating how the EU’s financialisation agenda is embedded in its partnership frameworks. Article 3 maps the complex European Financial Architecture for Development (EFAD), revealing how strategic competition between the European Commission and the European Investment Bank (EIB) has institutionalised blended finance and guarantee instruments at the heart of EU support. Article 4 provides an in-depth account of the EIB’s operations in sub-Saharan Africa, characterising its role as a ‘constrained expansion.’ Finally, Article 5 advances a critiq</w:t>
      </w:r>
    </w:p>
    <w:p>
      <w:pPr/>
      <w:r>
        <w:rPr>
          <w:b/>
        </w:rPr>
        <w:t>POSSIBLE 2025:</w:t>
      </w:r>
      <w:r>
        <w:t xml:space="preserve"> Regulatory Means for Interventionist Ends: GBER and the Transformation of the EU State Aid Regime — https://doi.org/10.1111/gove.70084</w:t>
      </w:r>
    </w:p>
    <w:p>
      <w:pPr/>
      <w:r>
        <w:rPr>
          <w:b/>
        </w:rPr>
        <w:t>Shared claim-specific concepts:</w:t>
      </w:r>
      <w:r>
        <w:t xml:space="preserve"> approach, aid; EU scope visible. This is a provisional connection, not an outcome finding.</w:t>
      </w:r>
    </w:p>
    <w:p>
      <w:pPr>
        <w:pStyle w:val="SourceNote"/>
      </w:pPr>
      <w:r>
        <w:rPr>
          <w:b/>
        </w:rPr>
        <w:t>Available abstract (not full text):</w:t>
      </w:r>
      <w:r>
        <w:t xml:space="preserve"> ABSTRACT Despite its new‐found penchant for market interventionism, the European Union (EU) is often portrayed as lacking the fiscal and administrative capacity to conduct industrial policy. The EU can regulate markets, the conventional wisdom goes, but not steer them in specific directions. In this article, we challenge the notion that regulation and industrial policy are inherently antithetical, arguing instead that the Commission uses its regulatory authority over state aid to indirectly steer member states' industrial policies. We theorize and empirically investigate this rules‐as‐tools approach to industrial policy through an in‐depth, multi‐method case study on the transformation of the EU's state aid regime, with a focus on the General Block Exemption Regulation (GBER). Combining original interviews, topic modeling, document analysis, and descriptive statistics, we demonstrate that the Commission has long used state aid regulation not only to restrict but also redirect state aid. Increasingly, it employs these rules to encourage selective interventions in the economy—particularly those supporting the twin transitions of digitalization and decarbonization.</w:t>
      </w:r>
    </w:p>
    <w:p>
      <w:pPr/>
      <w:r>
        <w:rPr>
          <w:b/>
        </w:rPr>
        <w:t>POSSIBLE 2024:</w:t>
      </w:r>
      <w:r>
        <w:t xml:space="preserve"> Unlocking public infrastructures? State aid and the common European data space — https://doi.org/10.1177/02673231241290675</w:t>
      </w:r>
    </w:p>
    <w:p>
      <w:pPr/>
      <w:r>
        <w:rPr>
          <w:b/>
        </w:rPr>
        <w:t>Shared claim-specific concepts:</w:t>
      </w:r>
      <w:r>
        <w:t xml:space="preserve"> argue, approach, aid; EU scope visible. This is a provisional connection, not an outcome finding.</w:t>
      </w:r>
    </w:p>
    <w:p>
      <w:pPr>
        <w:pStyle w:val="SourceNote"/>
      </w:pPr>
      <w:r>
        <w:rPr>
          <w:b/>
        </w:rPr>
        <w:t>Available abstract (not full text):</w:t>
      </w:r>
      <w:r>
        <w:t xml:space="preserve"> EU state aid rules are part of the EU’s competition policy, a form of soft law developed to nudge states away from public investments in many areas. Rules were used to impose that market competition holds a privileged position, and that enacting social, political, or economic benefits that might stifle competition requires a complicated legal and political negotiation process between the European Commission, Member States, and private companies. Nonetheless, many strategic projects or situations in recent years led to significant state aid. The Commission utilised a variety of means to encourage both private and public investments in EU based digital infrastructure that is critical for public media services and for unified European data space. Despite EU’s balancing act between the private and public interests, business interests are dangerously capturing the development in the media data space. To grasp the social and economic contribution of publicly financed productive activities, we approach public broadcasting systems as producers of public wealth of a peculiar kind whose activities and goals are defined by their public purpose, rather than the imperatives of capital and profitmaking. Unifying data spaces with too many design decisions conceded to capitalist production runs the risk of further neglecting social foundations of member states. We argue that the desired digita</w:t>
      </w:r>
    </w:p>
    <w:p>
      <w:pPr/>
      <w:r>
        <w:rPr>
          <w:b/>
        </w:rPr>
        <w:t>POSSIBLE 2024:</w:t>
      </w:r>
      <w:r>
        <w:t xml:space="preserve"> European social funding and the institutionalisation of food aid : a wicked policy problem — https://doi.org/10.63028/10067/2092390151162165141</w:t>
      </w:r>
    </w:p>
    <w:p>
      <w:pPr/>
      <w:r>
        <w:rPr>
          <w:b/>
        </w:rPr>
        <w:t>Shared claim-specific concepts:</w:t>
      </w:r>
      <w:r>
        <w:t xml:space="preserve"> argue, approach, aid, gaps; EU scope visible. This is a provisional connection, not an outcome finding.</w:t>
      </w:r>
    </w:p>
    <w:p>
      <w:pPr>
        <w:pStyle w:val="SourceNote"/>
      </w:pPr>
      <w:r>
        <w:rPr>
          <w:b/>
        </w:rPr>
        <w:t>Available abstract (not full text):</w:t>
      </w:r>
      <w:r>
        <w:t xml:space="preserve"> This dissertation explores European social funding as a pivotal tool within the EU’s social policy framework, specifically examining its influence on national policies and governance structures. By focusing on EU funds aimed at addressing material deprivation, particularly those supporting food aid, the study unveils the complexities and challenges policymakers face in this area of social policy. Adopting a novel perspective, we analyse the institutionalisation of food aid in Europe through the lens of ‘wicked problems’ (Rittel &amp; Webber, 1973). This framework allows us to better understand the intricate and normative nature of food aid as a policy issue, offering fresh insights into the multifaceted challenges involved. To further our analysis, we employ the ‘Governance Analytical Framework’ (Hufty, 2009) to shed light on often overlooked aspects of EU food aid policy, such as underlying norms and budget trends, especially within the ‘Fund for European Aid to the Most Deprived’ (FEAD) and the ‘European Social Fund Plus’ (ESF+). The study also examines how EU food aid policies contribute to reinforcing social rights and citizenship by applying a resource-based and multi-level approach to social rights (Vandenbroucke, Keune, Ferrera &amp; Corti, 2021). Additionally, the research investigates the extent to which local food aid organisations in Belgium, Lithuania, and Portugal collabor</w:t>
      </w:r>
    </w:p>
    <w:p>
      <w:pPr/>
      <w:r>
        <w:rPr>
          <w:b/>
        </w:rPr>
        <w:t>POSSIBLE 2024:</w:t>
      </w:r>
      <w:r>
        <w:t xml:space="preserve"> European cybersecurity standardisation: a tale of two solitudes in view of Europe’s cyber resilience — https://doi.org/10.1080/13511610.2024.2349626</w:t>
      </w:r>
    </w:p>
    <w:p>
      <w:pPr/>
      <w:r>
        <w:rPr>
          <w:b/>
        </w:rPr>
        <w:t>Shared claim-specific concepts:</w:t>
      </w:r>
      <w:r>
        <w:t xml:space="preserve"> approach, makers, support; EU scope visible. This is a provisional connection, not an outcome finding.</w:t>
      </w:r>
    </w:p>
    <w:p>
      <w:pPr>
        <w:pStyle w:val="SourceNote"/>
      </w:pPr>
      <w:r>
        <w:rPr>
          <w:b/>
        </w:rPr>
        <w:t>Available abstract (not full text):</w:t>
      </w:r>
      <w:r>
        <w:t xml:space="preserve"> Cybersecurity resilience as a concept and EU policy approach encompasses, in broad terms, the preparedness of organisations against and the ability to recover from cyber-attacks. Policy and law makers in the European Union have started endorsing strategies moving both towards reactive measures mitigating the consequences of cybersecurity incidents and proactive measures geared towards prevention. Recently, a political agreement was reached on a new horizontal Regulation addressing cyber resilience of products with digital elements. An essential aspect of the Cyber Resilience Act is technical standardisation to support its goals. How appropriate is however the European Standardisation system for such a role in EU cybersecurity law? The paper argues that for European standards to be conceptualised as a building block of cyber resilience in the European Union, their development process must be inclusive and open, and a prerequisite for that is that the ESOs jointly work towards the common goal of developing and adopting European standards in support of the EU cyber resilience policy and law. This collaborative approach is mandated both by the nature of cyber resilience and cybersecurity as regulated fields, but also the changing nature of standardisation aspiring to contribute to areas pertaining to societal interests and fundamental rights.</w:t>
      </w:r>
    </w:p>
    <w:p>
      <w:pPr/>
      <w:r>
        <w:rPr>
          <w:b/>
        </w:rPr>
        <w:t>POSSIBLE 2024:</w:t>
      </w:r>
      <w:r>
        <w:t xml:space="preserve"> Sustainable transitions in age-friendly communities in Europe: a participatory approach — https://doi.org/10.14311/app.2024.46.0001</w:t>
      </w:r>
    </w:p>
    <w:p>
      <w:pPr/>
      <w:r>
        <w:rPr>
          <w:b/>
        </w:rPr>
        <w:t>Shared claim-specific concepts:</w:t>
      </w:r>
      <w:r>
        <w:t xml:space="preserve"> approach, support; EU scope visible. This is a provisional connection, not an outcome finding.</w:t>
      </w:r>
    </w:p>
    <w:p>
      <w:pPr>
        <w:pStyle w:val="SourceNote"/>
      </w:pPr>
      <w:r>
        <w:rPr>
          <w:b/>
        </w:rPr>
        <w:t>Available abstract (not full text):</w:t>
      </w:r>
      <w:r>
        <w:t xml:space="preserve"> The ageing European population is driving the demand for age-friendly communities that support older individuals’ health and well-being. As communities navigate this transition, Transition Design emerges as a promising approach for addressing complex social and environmental challenges. This study explores the potential of Transition Design to create age-friendly communities in Europe. Drawing on examples from several European countries, this paper describes the key principles of Transition Design and how they can be applied to the development of age-friendly communities. This article highlights the importance of participatory processes in involving older people and other stakeholders in the design process, and discusses the role of technology in creating more accessible and inclusive environments. It also considers some of the challenges of implementing a transition design approach in a European context. In conclusion, this study asserts that Transition Design offers a promising approach for creating sustainable, inclusive, and responsive age-friendly communities.</w:t>
      </w:r>
    </w:p>
    <w:p>
      <w:pPr/>
      <w:r>
        <w:rPr>
          <w:b/>
        </w:rPr>
        <w:t>POSSIBLE 2024:</w:t>
      </w:r>
      <w:r>
        <w:t xml:space="preserve"> Cultural State aid: A myriad of approaches — https://doi.org/10.4337/9781803927138.00017</w:t>
      </w:r>
    </w:p>
    <w:p>
      <w:pPr/>
      <w:r>
        <w:rPr>
          <w:b/>
        </w:rPr>
        <w:t>Shared claim-specific concepts:</w:t>
      </w:r>
      <w:r>
        <w:t xml:space="preserve"> aid, support; EU scope visible. This is a provisional connection, not an outcome finding.</w:t>
      </w:r>
    </w:p>
    <w:p>
      <w:pPr>
        <w:pStyle w:val="SourceNote"/>
      </w:pPr>
      <w:r>
        <w:rPr>
          <w:b/>
        </w:rPr>
        <w:t>Available abstract (not full text):</w:t>
      </w:r>
      <w:r>
        <w:t xml:space="preserve"> The prohibition of State aid is one of the cornerstones of the EU integration project. However, this scrutiny should not lead to Member States being unable to support (local) cultural initiatives. Consequently, the EU institutions have over time created multiple escape routes, providing a certain level of leeway for cultural State aid. This chapter analyses and compares the most important mechanisms. At the end, the reader will be provided with key take-aways in the field of State aid law regarding the interaction between EU internal market objectives and national cultural policy.</w:t>
      </w:r>
    </w:p>
    <w:p>
      <w:pPr/>
      <w:r>
        <w:rPr>
          <w:b/>
        </w:rPr>
        <w:t>POSSIBLE 2024:</w:t>
      </w:r>
      <w:r>
        <w:t xml:space="preserve"> State Aid for Green Technologies in The European Union: Limitations and Risks — https://doi.org/10.24425/pyil.2024.152296</w:t>
      </w:r>
    </w:p>
    <w:p>
      <w:pPr/>
      <w:r>
        <w:rPr>
          <w:b/>
        </w:rPr>
        <w:t>Shared claim-specific concepts:</w:t>
      </w:r>
      <w:r>
        <w:t xml:space="preserve"> aid, technologies; EU scope visible. This is a provisional connection, not an outcome finding.</w:t>
      </w:r>
    </w:p>
    <w:p>
      <w:pPr>
        <w:pStyle w:val="SourceNote"/>
      </w:pPr>
      <w:r>
        <w:rPr>
          <w:b/>
        </w:rPr>
        <w:t>Available abstract (not full text):</w:t>
      </w:r>
      <w:r>
        <w:t xml:space="preserve"> This article analyzes the recently adopted European Union State aid rules designed to facilitate the implementation of “green” technologies. This initiative is in line with European objectives to combat climate change and transition to an emission-free economy. By contextualizing State aid rules within the broader regulatory policy landscape, the author aims to assess the inherent limitations of these tools. Based on this evaluation, the article attempts to determine if and to what extent EU State aid law can be successfully utilized to promote environmental objectives. The analysis begins with an overview of the State aid toolbox and its role in regulatory policies, situated on a spectrum between incentive-based and obligation-based approaches. Subsequently, it delves into the evaluation of potential consequences, encompassing risks such as the deepening disparities between wealthier and poorer Member States, inadequate safeguards against offshoring in pursuit of lenient environmental norms, and the peril of fostering subsidy dependence.</w:t>
      </w:r>
    </w:p>
    <w:p>
      <w:pPr>
        <w:pStyle w:val="Heading2"/>
      </w:pPr>
      <w:r>
        <w:t>651. Crisis futures: The affects and temporalities of economic collapse in Iceland</w:t>
      </w:r>
    </w:p>
    <w:p>
      <w:pPr>
        <w:pStyle w:val="SourceNote"/>
      </w:pPr>
      <w:r>
        <w:rPr>
          <w:b/>
        </w:rPr>
        <w:t>Original source (2020):</w:t>
      </w:r>
      <w:r>
        <w:t xml:space="preserve"> https://doi.org/10.1080/02757206.2020.1762589</w:t>
      </w:r>
    </w:p>
    <w:p>
      <w:pPr/>
      <w:r>
        <w:t>Original wording (abstract; indexed_source_text_not_full_document_verified): We conclude by discussing the unfinished nature of crisis and role of public forecasting as a means for contending with ongoing economic insecurity.</w:t>
      </w:r>
    </w:p>
    <w:p>
      <w:pPr/>
      <w:r>
        <w:rPr>
          <w:b/>
        </w:rPr>
        <w:t>POSSIBLE 2026:</w:t>
      </w:r>
      <w:r>
        <w:t xml:space="preserve"> Biography of Mahfuj Alam: Revolutionary Mind, State Power and The Unfinished Republic — https://doi.org/10.5281/zenodo.19572195</w:t>
      </w:r>
    </w:p>
    <w:p>
      <w:pPr/>
      <w:r>
        <w:rPr>
          <w:b/>
        </w:rPr>
        <w:t>Shared claim-specific concepts:</w:t>
      </w:r>
      <w:r>
        <w:t xml:space="preserve"> unfinished, nature, role; EU scope visible. This is a provisional connection, not an outcome finding.</w:t>
      </w:r>
    </w:p>
    <w:p>
      <w:pPr>
        <w:pStyle w:val="SourceNote"/>
      </w:pPr>
      <w:r>
        <w:rPr>
          <w:b/>
        </w:rPr>
        <w:t>Available abstract (not full text):</w:t>
      </w:r>
      <w:r>
        <w:t xml:space="preserve"> This 2026 textbook is a comprehensive scholarly analysis of the life, political philosophy, and governmental role of Mahfuj Alam, a central figure in the July 2024 student-led revolution that overthrew Bangladesh's long-serving Prime Minister Sheikh Hasina. The book uses Alam's biography as a case study to explore the broader themes of democratic transition, constitutional reform, media governance, and generational political change in a post-authoritarian context. It is divided into five interconnected parts. Part One: The Making of a Revolutionary Intellectual establishes the historical and personal context. It details Alam's origins in a rural madrasa family in Lakshmipur and his intellectual formation at the University of Dhaka's law faculty, where he synthesized Islamic jurisprudence with secular constitutional thought. The book traces the history of Bangladesh's state, from its 1971 independence through military rule, the flawed two-party democracy, and the 15-year "architecture of autocracy" under Sheikh Hasina (2009-2024), characterized by electoral fraud, judicial capture, and the use of the Digital Security Act to suppress dissent. The trigger for the July 2024 revolution was a High Court ruling reinstating a 30 percent quota for government jobs for descendants of 1971 freedom fighters. Alam emerged as a key strategic coordinator of the Anti-Discrimination Students Mov</w:t>
      </w:r>
    </w:p>
    <w:p>
      <w:pPr/>
      <w:r>
        <w:rPr>
          <w:b/>
        </w:rPr>
        <w:t>POSSIBLE 2025:</w:t>
      </w:r>
      <w:r>
        <w:t xml:space="preserve"> "Happy those for whom the fold of ...": Intention and interpretation in the unfinished Romantic poetic text — https://openalex.org/W7135642000</w:t>
      </w:r>
    </w:p>
    <w:p>
      <w:pPr/>
      <w:r>
        <w:rPr>
          <w:b/>
        </w:rPr>
        <w:t>Shared claim-specific concepts:</w:t>
      </w:r>
      <w:r>
        <w:t xml:space="preserve"> conclude, unfinished, role; EU scope not established. This is a provisional connection, not an outcome finding.</w:t>
      </w:r>
    </w:p>
    <w:p>
      <w:pPr>
        <w:pStyle w:val="SourceNote"/>
      </w:pPr>
      <w:r>
        <w:rPr>
          <w:b/>
        </w:rPr>
        <w:t>Available abstract (not full text):</w:t>
      </w:r>
      <w:r>
        <w:t xml:space="preserve"> This thesis interrogates the "unfinished" aspect of Romantic poetic text as that which facilitates potential meaning and interpretation, realising the claim to "participate in the infinite", as per Percy Bysshe Shelley. Both Shelley and John Keats concern themselves with investigating the limits of finite language and the mediating role of the poet in their major unfinished works, The Triumph of Life and The Fall of Hyperion, close readings of which will be conducted across three chapters. To supplement this analysis, the conciliations between a range of critical approaches to "unfinished" text will be discussed, from the structural linguistic view of text in general as both process and product of language use, poetic text being one aesthetic typology thereof, to the monumentalising of fragmentary, discontinuous text as a discrete poetic form in Romantic criticism. As well as this, the accretion of unintentional aesthetic features in the work into an intentional structure will be seen as a necessary procedure in this substantiation of the fragment form. The thesis will conclude that the capacity for unfinished text to potentialise meaning through the absence of finite language is far more potent than the use of language for specific expression. As such, the unfinished poems discussed herein realize and...</w:t>
      </w:r>
    </w:p>
    <w:p>
      <w:pPr/>
      <w:r>
        <w:rPr>
          <w:b/>
        </w:rPr>
        <w:t>POSSIBLE 2024:</w:t>
      </w:r>
      <w:r>
        <w:t xml:space="preserve"> Crisis in world politics. Corporate roles and responses in the Ukraine war and beyond — https://doi.org/10.1177/13540661241279787</w:t>
      </w:r>
    </w:p>
    <w:p>
      <w:pPr/>
      <w:r>
        <w:rPr>
          <w:b/>
        </w:rPr>
        <w:t>Shared claim-specific concepts:</w:t>
      </w:r>
      <w:r>
        <w:t xml:space="preserve"> crisis, role; EU scope not established. This is a provisional connection, not an outcome finding.</w:t>
      </w:r>
    </w:p>
    <w:p>
      <w:pPr>
        <w:pStyle w:val="SourceNote"/>
      </w:pPr>
      <w:r>
        <w:rPr>
          <w:b/>
        </w:rPr>
        <w:t>Available abstract (not full text):</w:t>
      </w:r>
      <w:r>
        <w:t xml:space="preserve"> For some time, Global Governance has made the case that multinational enterprises (MNEs) have become so involved in multistakeholder provisions of public goods that they should be considered as global governors. Their involvement and whether it improves governance, however, remain fiercely debated. In this context, MNEs are frequently framed and discussed as entities sui generis, pursuing private interests while reconciling with broader public expectations. The article argues that the concept of crisis, if adequately theorized, offers a new perspective into this discussion. To do so, I draw from American Pragmatism to introduce crisis both as a challenge for an actor but also a lens into the beliefs expressed throughout for the researcher. Against this dual use of the concept, I develop a typology of crises and relate this to the roles and responses of MNEs that are likely to follow from different crises. As a lens into corporate beliefs, I illustrate the conceptual potential of crisis by looking into how Shell and ExxonMobil respond to Russia’s invasion of Ukraine. As an exogenous, rather immediate crisis, the article discusses to what extent their responses reveal a broader acceptance or rejection of new corporate responsibilities. Based on careful reconstruction, the article concludes that neither productively solved the crisis. More specifically, as Shell remains reluctant </w:t>
      </w:r>
    </w:p>
    <w:p>
      <w:pPr/>
      <w:r>
        <w:rPr>
          <w:b/>
        </w:rPr>
        <w:t>POSSIBLE 2024:</w:t>
      </w:r>
      <w:r>
        <w:t xml:space="preserve"> The Unfinished Reconstructed Nature of the Last Universal Common Ancestor — https://doi.org/10.1007/s00239-024-10187-8</w:t>
      </w:r>
    </w:p>
    <w:p>
      <w:pPr/>
      <w:r>
        <w:rPr>
          <w:b/>
        </w:rPr>
        <w:t>Shared claim-specific concepts:</w:t>
      </w:r>
      <w:r>
        <w:t xml:space="preserve"> conclude, unfinished, nature; EU scope not established. This is a provisional connection, not an outcome finding.</w:t>
      </w:r>
    </w:p>
    <w:p>
      <w:pPr>
        <w:pStyle w:val="SourceNote"/>
      </w:pPr>
      <w:r>
        <w:rPr>
          <w:b/>
        </w:rPr>
        <w:t>Available abstract (not full text):</w:t>
      </w:r>
      <w:r>
        <w:t xml:space="preserve"> The ultimate consequence of Darwin's theory of common descent implies that all life on earth descends ultimately from a common ancestor. Biochemistry and molecular biology now provide sufficient evidence of shared ancestry of all extant life forms. However, the nature of the Last Universal Common Ancestor (LUCA) has been a topic of much debate over the years. This review offers a historical perspective on different attempts to infer LUCA's nature, exploring the debate surrounding its complexity. We further examine how different methodologies identify sets of ancient protein that exhibit only partial overlap. For example, different bioinformatic approaches have identified distinct protein subunits from the ATP synthetase identified as potentially inherited from LUCA. Additionally, we discuss how detailed molecular evolutionary analysis of reverse gyrase has modified previous inferences about an hyperthermophilic LUCA based mainly on automatic bioinformatic pipelines. We conclude by emphasizing the importance of developing a database dedicated to studying genes and proteins traceable back to LUCA and earlier stages of cellular evolution. Such a database would house the most ancient genes on earth.</w:t>
      </w:r>
    </w:p>
    <w:p>
      <w:pPr/>
      <w:r>
        <w:rPr>
          <w:b/>
        </w:rPr>
        <w:t>POSSIBLE 2023:</w:t>
      </w:r>
      <w:r>
        <w:t xml:space="preserve"> Unfinished Discourse Of ‘Backwardness’ In Independent India — https://doi.org/10.59670/ml.v20is5.8377</w:t>
      </w:r>
    </w:p>
    <w:p>
      <w:pPr/>
      <w:r>
        <w:rPr>
          <w:b/>
        </w:rPr>
        <w:t>Shared claim-specific concepts:</w:t>
      </w:r>
      <w:r>
        <w:t xml:space="preserve"> unfinished, role; EU scope not established. This is a provisional connection, not an outcome finding.</w:t>
      </w:r>
    </w:p>
    <w:p>
      <w:pPr>
        <w:pStyle w:val="SourceNote"/>
      </w:pPr>
      <w:r>
        <w:rPr>
          <w:b/>
        </w:rPr>
        <w:t>Available abstract (not full text):</w:t>
      </w:r>
      <w:r>
        <w:t xml:space="preserve"> This paper discusses the Second Backward Commission (Mandal Commission) and its impact on the discourse of backwardness in India. It provides an overview of the formation and function of the Mandal Commission of India. It was established to address the issue of ‘socially and educationally backward classes’ in country in the late 1980s. The Commission identified backwardness based on eleven social, educational and economic indicators and recommended the formation of a third category of groups eligible for reservations called ‘Other Backward Classes’ (OBCs). The article also highlights the controversy and implementation of the Commission's recommendations between 1990 and 2006. Additionally, it discusses the role of political parties of India and other stakeholders in the debates surrounding reservation policies. (F. No. 02/151/2016-17/RP_ICSSR Research 2016). “The excerpts and findings of this article are sourced from the ICSSR-sponsored national research project titled “Status of Reservation Policy: A Study of Higher Educational Institutions in Bihar.” (1)</w:t>
      </w:r>
    </w:p>
    <w:p>
      <w:pPr/>
      <w:r>
        <w:rPr>
          <w:b/>
        </w:rPr>
        <w:t>POSSIBLE 2023:</w:t>
      </w:r>
      <w:r>
        <w:t xml:space="preserve"> The Role of Humor in Work Group Dynamics in Times of Crisis — https://doi.org/10.1177/10464964231173335</w:t>
      </w:r>
    </w:p>
    <w:p>
      <w:pPr/>
      <w:r>
        <w:rPr>
          <w:b/>
        </w:rPr>
        <w:t>Shared claim-specific concepts:</w:t>
      </w:r>
      <w:r>
        <w:t xml:space="preserve"> nature, crisis, role; EU scope not established. This is a provisional connection, not an outcome finding.</w:t>
      </w:r>
    </w:p>
    <w:p>
      <w:pPr>
        <w:pStyle w:val="SourceNote"/>
      </w:pPr>
      <w:r>
        <w:rPr>
          <w:b/>
        </w:rPr>
        <w:t>Available abstract (not full text):</w:t>
      </w:r>
      <w:r>
        <w:t xml:space="preserve"> Humor is a key indicator of the health of work groups, including during times of crisis. Moreover, studies of newly formed groups show that the type of humor used can change as members of a group get to know one another and form bonds. Yet in the context of a relatively established work group, can the nature of the group’s humor evolve in response to a crisis? We address this question in the context of the Federal Open Market Committee (FOMC), examining whether the FOMC was able to pivot its use of humor following the 2007 financial crash. As hypothesized, we find a post-crash increase in “affiliative” humor in general, and “playful banter” specifically, indicating effective group dynamics among members (which bodes well for the global economy). The FOMC thus offers evidence that established work groups can use humor as a dynamic mechanism for adapting to new circumstances.</w:t>
      </w:r>
    </w:p>
    <w:p>
      <w:pPr/>
      <w:r>
        <w:rPr>
          <w:b/>
        </w:rPr>
        <w:t>POSSIBLE 2023:</w:t>
      </w:r>
      <w:r>
        <w:t xml:space="preserve"> Stories from an unfinished prototype: a seemingly never-ending loop of practice and research — https://doi.org/10.21606/iasdr.2023.131</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This pictorial focuses on the role prototyping played within the author’s latest research on tangible narratives exemplified in the design case of [Project’s title removed for review]. The pictorial illustrates the ongoing process of prototyping this design case. It discusses the challenges and insights gained from it, among them, the importance of accounting ergonomic principles when prototyping artefacts, embracing the physical properties of working materials during the prototyping process, considering the potential pitfalls of relying too heavily on technical knowledge, and the importance of compartmentalizing and prioritizing during the ideation process. Finally, the pictorial concludes with an analisis on the role played by the action of prototyping and the importance of the continuous dialogue between the designer/researcher and the artefacts created.</w:t>
      </w:r>
    </w:p>
    <w:p>
      <w:pPr/>
      <w:r>
        <w:rPr>
          <w:b/>
        </w:rPr>
        <w:t>POSSIBLE 2022:</w:t>
      </w:r>
      <w:r>
        <w:t xml:space="preserve"> Crisis, Ψ-trauma, refugees — https://doi.org/10.24135/ppi.v20i4.04</w:t>
      </w:r>
    </w:p>
    <w:p>
      <w:pPr/>
      <w:r>
        <w:rPr>
          <w:b/>
        </w:rPr>
        <w:t>Shared claim-specific concepts:</w:t>
      </w:r>
      <w:r>
        <w:t xml:space="preserve"> discussing, crisis, role; EU scope visible. This is a provisional connection, not an outcome finding.</w:t>
      </w:r>
    </w:p>
    <w:p>
      <w:pPr>
        <w:pStyle w:val="SourceNote"/>
      </w:pPr>
      <w:r>
        <w:rPr>
          <w:b/>
        </w:rPr>
        <w:t>Available abstract (not full text):</w:t>
      </w:r>
      <w:r>
        <w:t xml:space="preserve"> Since 2014 the situation in the Mediterranean Sea has been named and tackled as a ‘refugee crisis’, and in the name of this ‘crisis’ migrants have been accommodated in ‘hotspots’ and camps. Within these spaces, their experiences have often been articulated by the humanitarian sector and the discipline of psychology as traumatic, with refugees being described as traumatised. In this article, I critically discuss the politics of psychology and trauma within the European territory of aid, with a specific focus on Greece, amid the current, so-called ‘refugee crisis’. I start by situating crisis and trauma as concepts and their role within humanitarian and state governance. I continue by discussing how the terms ‘hotspot’ and ‘camp’ emerged in state and humanitarian discourse and practice, to explore then the politics of psychology and trauma there. Both space and time are important elements for understanding the role of psychology, as they comprise the material landscape of migration amid ‘refugee crisis’. At the same time, the discourses of psychology and trauma are implicated in the very production of these spaces. Approaching critically their interconnection through the lens of critical psychology and the work of Frantz Fanon, the article concludes that the gaze of humanitarian aid and psychology, besides medicalising refugees, psychologises the inherently political issues of mi</w:t>
      </w:r>
    </w:p>
    <w:p>
      <w:pPr/>
      <w:r>
        <w:rPr>
          <w:b/>
        </w:rPr>
        <w:t>POSSIBLE 2022:</w:t>
      </w:r>
      <w:r>
        <w:t xml:space="preserve"> The Unfinished Business of Defining Premature Ejaculation: The Need for Targeted Research — https://doi.org/10.1016/j.sxmr.2021.11.003</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INTRODUCTION: Fifteen years have passed since the International Society of Sexual Medicine first established the 3-pronged criteria for premature ejaculation (PE): a short ejaculation latency, lack of ejaculatory control, and bother/distress. Although the process of establishing valid criteria for any condition or disorder is an ongoing one, a dearth of targeted research on these criteria has hindered professional societies from updating and revising them. OBJECTIVES: To review and critique existing criteria used in the diagnosis of PE, to identify specific problems with them, and to recommend studies that will address shortcomings. METHODS: Each of the PE criteria was evaluated and compared against standard procedures for establishing validated measures. Following each analysis, targeted research to address the gaps has been recommended. RESULTS: Each PE criterion has shortcomings and each can be improved by using standard validation procedures, as noted by the targeted research outcomes. Professional societies can play an important role by encouraging broad participation in research that generates new and relevant data supporting, validating, or challenging the existing criteria. CONCLUSION: The concepts underlying the diagnostic criteria for PE have both broad consensus and functional utility. Nevertheless, much of the research investigating PE has uncritically adopted these</w:t>
      </w:r>
    </w:p>
    <w:p>
      <w:pPr/>
      <w:r>
        <w:rPr>
          <w:b/>
        </w:rPr>
        <w:t>POSSIBLE 2021:</w:t>
      </w:r>
      <w:r>
        <w:t xml:space="preserve"> The unfinished business of Church history — https://doi.org/10.4102/ve.v42i1.2329</w:t>
      </w:r>
    </w:p>
    <w:p>
      <w:pPr/>
      <w:r>
        <w:rPr>
          <w:b/>
        </w:rPr>
        <w:t>Shared claim-specific concepts:</w:t>
      </w:r>
      <w:r>
        <w:t xml:space="preserve"> unfinished, role, ongoing; EU scope not established. This is a provisional connection, not an outcome finding.</w:t>
      </w:r>
    </w:p>
    <w:p>
      <w:pPr>
        <w:pStyle w:val="SourceNote"/>
      </w:pPr>
      <w:r>
        <w:rPr>
          <w:b/>
        </w:rPr>
        <w:t>Available abstract (not full text):</w:t>
      </w:r>
      <w:r>
        <w:t xml:space="preserve"> The Church will presumably have unfinished business until the day when Christ returns. And Church history will, in gruesome details, bear witness to the missed opportunities, the failures and wrongdoings and all the mistakes made. This is especially true in South Africa where racial tensions, violence, crimes and numerous other evils prevail, while the bride of Christ, in hiding from the realities of life, is awaiting death. The first part of the article explains why this is the case and the second part proposes some rectifications towards how adjudication and reconciliation can be attained through new life in a novel way of being Church to the world. Intradisciplinary and/or interdisciplinary implications: Christians, theologians and Church historians must openly and honestly expose the use and abuse of (Church) history, and the role that collective memory played in constructing misleading perceptions of the past through the implementation of motivated reasoning. A comprehensive, amended rewriting of Church history that includes all sources that fed Christianity in South Africa during the past nearly 370 years must reconceptualise our religious past towards a healing future. This can promote unity and bring closure to at least some issues while providing a renewed focus on the ongoing need for constant reformation, a renewed comprehension of spirituality, and inspiring Missiol</w:t>
      </w:r>
    </w:p>
    <w:p>
      <w:pPr/>
      <w:r>
        <w:rPr>
          <w:b/>
        </w:rPr>
        <w:t>POSSIBLE 2021:</w:t>
      </w:r>
      <w:r>
        <w:t xml:space="preserve"> Virtually Viral Hangouts: Reflections on the role of community during crisis — https://doi.org/10.23860/jmle-2021-13-3-12</w:t>
      </w:r>
    </w:p>
    <w:p>
      <w:pPr/>
      <w:r>
        <w:rPr>
          <w:b/>
        </w:rPr>
        <w:t>Shared claim-specific concepts:</w:t>
      </w:r>
      <w:r>
        <w:t xml:space="preserve"> conclude, crisis, role, means; EU scope not established. This is a provisional connection, not an outcome finding.</w:t>
      </w:r>
    </w:p>
    <w:p>
      <w:pPr>
        <w:pStyle w:val="SourceNote"/>
      </w:pPr>
      <w:r>
        <w:rPr>
          <w:b/>
        </w:rPr>
        <w:t>Available abstract (not full text):</w:t>
      </w:r>
      <w:r>
        <w:t xml:space="preserve"> In this essay, I reflect on two key aspects of my membership in the online community known as Virtually Viral Hangouts (VVH). First, I reflect on how membership in this group helped me professionally, providing important, in-time instruction as I learned to make the switch from in-person to remote learning in the early days of Covid-19. Next, I reflect on how membership in this group helped me personally, as I struggled to find my identity as a teacher through a computer screen. I conclude by reflecting upon what it means to be a member of a community and why such membership matters in higher education and beyond.</w:t>
      </w:r>
    </w:p>
    <w:p>
      <w:pPr/>
      <w:r>
        <w:rPr>
          <w:b/>
        </w:rPr>
        <w:t>POSSIBLE 2021:</w:t>
      </w:r>
      <w:r>
        <w:t xml:space="preserve"> The Fault Lines of Leadership: Lessons from the Global Covid-19 Crisis — https://doi.org/10.1080/14697017.2021.1861724</w:t>
      </w:r>
    </w:p>
    <w:p>
      <w:pPr/>
      <w:r>
        <w:rPr>
          <w:b/>
        </w:rPr>
        <w:t>Shared claim-specific concepts:</w:t>
      </w:r>
      <w:r>
        <w:t xml:space="preserve"> conclude, crisis, role; EU scope not established. This is a provisional connection, not an outcome finding.</w:t>
      </w:r>
    </w:p>
    <w:p>
      <w:pPr>
        <w:pStyle w:val="SourceNote"/>
      </w:pPr>
      <w:r>
        <w:rPr>
          <w:b/>
        </w:rPr>
        <w:t>Available abstract (not full text):</w:t>
      </w:r>
      <w:r>
        <w:t xml:space="preserve"> In this article, we reflect on the role that leadership has played in the response to the global Covid-19 crisis. We discuss two major ‘fault lines' of leadership: narcissism, and ideological rigidity. A fault line is a problem that may not be obvious under normal circumstances but could cause leadership to fail stakeholders and society at large in a defining moment such as a global pandemic. Using case examples from global political leaders we elaborate on these breaking points in crisis leadership and contrast them with the healing properties of leader compassion and mending forces of evidence-based decision making. We conclude our article with implications for responsible leadership research and practice.</w:t>
      </w:r>
    </w:p>
    <w:p>
      <w:pPr>
        <w:pStyle w:val="Heading2"/>
      </w:pPr>
      <w:r>
        <w:t>652. Diverging hydrological drought traits over Europe with global warming</w:t>
      </w:r>
    </w:p>
    <w:p>
      <w:pPr>
        <w:pStyle w:val="SourceNote"/>
      </w:pPr>
      <w:r>
        <w:rPr>
          <w:b/>
        </w:rPr>
        <w:t>Original source (2020):</w:t>
      </w:r>
      <w:r>
        <w:t xml:space="preserve"> https://doi.org/10.5194/hess-24-5919-2020</w:t>
      </w:r>
    </w:p>
    <w:p>
      <w:pPr/>
      <w:r>
        <w:t>Original wording (abstract; indexed_source_text_not_full_document_verified): This study shows how hydrological droughts will change across Europe with increasing global warming levels (GWL of 1.5, 2 and 3 K above preindustrial temperature). We employ a low-flow index derived from river discharge simulations of a spatially-distributed physically-based hydrological and water use model, which was forced with a large ensemble of regional climate model projections under a high emissions (RCP8.5) and moderate mitigation (RCP4.5) pathway.</w:t>
      </w:r>
    </w:p>
    <w:p>
      <w:pPr/>
      <w:r>
        <w:rPr>
          <w:b/>
        </w:rPr>
        <w:t>POSSIBLE 2026:</w:t>
      </w:r>
      <w:r>
        <w:t xml:space="preserve"> Hydrological drought but not flood synchronicity increases over Europe — https://doi.org/10.5194/egusphere-egu26-4770</w:t>
      </w:r>
    </w:p>
    <w:p>
      <w:pPr/>
      <w:r>
        <w:rPr>
          <w:b/>
        </w:rPr>
        <w:t>Shared claim-specific concepts:</w:t>
      </w:r>
      <w:r>
        <w:t xml:space="preserve"> hydrological, droughts, water; EU scope visible. This is a provisional connection, not an outcome finding.</w:t>
      </w:r>
    </w:p>
    <w:p>
      <w:pPr>
        <w:pStyle w:val="SourceNote"/>
      </w:pPr>
      <w:r>
        <w:rPr>
          <w:b/>
        </w:rPr>
        <w:t>Available abstract (not full text):</w:t>
      </w:r>
      <w:r>
        <w:t xml:space="preserve"> Spatially synchronized drought or flood events, that is the co-occurrence of drought/flood in multiple locations, can have severe impacts that challenge water and emergency management because they require resources in multiple places at once. Climate change can affect the frequency of such compound events because of its influence on drought and flood generation processes. While the impacts of climate change on local hydrological extreme events are well studied, its impact on event synchronicity remains uncertain. Here, we investigate how hydrological drought and flood synchronicities have changed in Europe during the period 1981-2020 using observations from 4299 streamflow stations. Our results show that drought synchronicity has grown significantly, most strongly in Central Europe, and that years with spatially extensive drought tend to follow one another. In contrast, flood synchronicity has remained relatively stable. Regionally, regions of growing drought synchronicity show decreasing flood synchronicity, and vice versa. Synchronicity trends are mostly in line with those of local frequencies suggesting that trends in synchronicity are mainly driven by overall frequencies, rather than by the spatial distribution of events. The observed growth in drought synchronicity highlights the need to develop adaptation measures to more frequent large-scale droughts.</w:t>
      </w:r>
    </w:p>
    <w:p>
      <w:pPr/>
      <w:r>
        <w:rPr>
          <w:b/>
        </w:rPr>
        <w:t>POSSIBLE 2026:</w:t>
      </w:r>
      <w:r>
        <w:t xml:space="preserve"> Hydrological drought projections across Europe under climate change — https://doi.org/10.1038/s44304-025-00152-w</w:t>
      </w:r>
    </w:p>
    <w:p>
      <w:pPr/>
      <w:r>
        <w:rPr>
          <w:b/>
        </w:rPr>
        <w:t>Shared claim-specific concepts:</w:t>
      </w:r>
      <w:r>
        <w:t xml:space="preserve"> hydrological, across, increasing, index, water; EU scope visible. This is a provisional connection, not an outcome finding.</w:t>
      </w:r>
    </w:p>
    <w:p>
      <w:pPr>
        <w:pStyle w:val="SourceNote"/>
      </w:pPr>
      <w:r>
        <w:rPr>
          <w:b/>
        </w:rPr>
        <w:t>Available abstract (not full text):</w:t>
      </w:r>
      <w:r>
        <w:t xml:space="preserve"> Abstract Although drought is a natural hazard, growing global concern surrounds its increasing frequency and severity due to climate change. Projections indicate that drought conditions are expected to intensify worldwide in the future, and Europe is no exception. Therefore, understanding the pattern and characteristics of future drought is crucial to developing region-specific adaptation strategies to enhance resilience. This study presents a comprehensive assessment of future hydrological drought dynamics across Europe using the standardized runoff index (SRI). SRI was calculated at 1- and 3-month timescales for the historical period (1990–2014) and near-future period (2015–2049) based on downscaled climate data from Coupled Model Intercomparison Project Phase 6 (CMIP6) under two emission scenarios: SSP1-2.6 and SSP5-8.5, where SSP stands for shared socioeconomic pathways. The findings reveal an intensification of hydrological drought conditions, particularly in southern Europe. Notable increases in the frequency, severity, and spatial extent of drought events are observed, especially in countries such as France, Spain, and the Balkans. Seasonal analysis highlights spring as the most drought-prone season under both scenarios. These results underscore the urgent need for seasonally adaptive water management strategies to better anticipate future drought risks and strengthen re</w:t>
      </w:r>
    </w:p>
    <w:p>
      <w:pPr/>
      <w:r>
        <w:rPr>
          <w:b/>
        </w:rPr>
        <w:t>POSSIBLE 2026:</w:t>
      </w:r>
      <w:r>
        <w:t xml:space="preserve"> Future changes in frequency and intensity of meteorological and hydrological droughts in Denmark — https://doi.org/10.5194/egusphere-egu26-5003</w:t>
      </w:r>
    </w:p>
    <w:p>
      <w:pPr/>
      <w:r>
        <w:rPr>
          <w:b/>
        </w:rPr>
        <w:t>Shared claim-specific concepts:</w:t>
      </w:r>
      <w:r>
        <w:t xml:space="preserve"> hydrological, droughts, across, increasing, simulations, water; EU scope visible. This is a provisional connection, not an outcome finding.</w:t>
      </w:r>
    </w:p>
    <w:p>
      <w:pPr>
        <w:pStyle w:val="SourceNote"/>
      </w:pPr>
      <w:r>
        <w:rPr>
          <w:b/>
        </w:rPr>
        <w:t>Available abstract (not full text):</w:t>
      </w:r>
      <w:r>
        <w:t xml:space="preserve"> Drought frequency is projected to increase in mainland Europe while decreasing in Scandinavia under climate change, placing Denmark in a hydro-climatic transition zone with an uncertain future. This makes Denmark a relevant case for analysing future changes in the meteorological forcing and hydrological response, that can ultimately lead to substantial implications for agriculture and water resource management.We investigate future changes in drought frequency and intensity in Denmark up to 2100, combining regional climate model simulations (Euro-CORDEX), which were adjusted using observational data to produce Klimaatlas Denmark, and hydrological model outputs from the National Hydrological Model of Denmark. Drought conditions are analysed using standardised indices representing different components of the hydrological cycle, including precipitation (SPI), precipitation-evapotranspiration balance (SPEI), soil moisture (ESSMI), streamflow (SDI) as well as shallow and deep groundwater (SGDI). We compared these indices using a drought multi-threshold method for a consistent comparison across variables.Results show a clear seasonal signal in meteorological drought, with decreasing frequency in winter and increasing frequency in summer. Accounting for evapotranspiration further amplifies projected summer drought conditions. In contrast, streamflow and groundwater droughts are projec</w:t>
      </w:r>
    </w:p>
    <w:p>
      <w:pPr/>
      <w:r>
        <w:rPr>
          <w:b/>
        </w:rPr>
        <w:t>POSSIBLE 2026:</w:t>
      </w:r>
      <w:r>
        <w:t xml:space="preserve"> Climate Warming Accelerates Hydrological Reversals Across Europe — https://doi.org/10.21203/rs.3.rs-9924236/v1</w:t>
      </w:r>
    </w:p>
    <w:p>
      <w:pPr/>
      <w:r>
        <w:rPr>
          <w:b/>
        </w:rPr>
        <w:t>Shared claim-specific concepts:</w:t>
      </w:r>
      <w:r>
        <w:t xml:space="preserve"> hydrological, across, warming;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Continental-scale assessment of hydrological cycle across Europe under anthropogenic warming — https://doi.org/10.5194/egusphere-egu26-862</w:t>
      </w:r>
    </w:p>
    <w:p>
      <w:pPr/>
      <w:r>
        <w:rPr>
          <w:b/>
        </w:rPr>
        <w:t>Shared claim-specific concepts:</w:t>
      </w:r>
      <w:r>
        <w:t xml:space="preserve"> hydrological, across, increasing, warming, levels, index; EU scope visible. This is a provisional connection, not an outcome finding.</w:t>
      </w:r>
    </w:p>
    <w:p>
      <w:pPr>
        <w:pStyle w:val="SourceNote"/>
      </w:pPr>
      <w:r>
        <w:rPr>
          <w:b/>
        </w:rPr>
        <w:t>Available abstract (not full text):</w:t>
      </w:r>
      <w:r>
        <w:t xml:space="preserve"> Climate change is fundamentally altering the spatial and temporal dynamics of the hydrological cycle, with profound implications for water security, ecosystem stability, and regional climate resilience. Building on the framework of Thakur et al. (2025), which evaluated how PET-method choices influence historical hydrological trends, we extend the framework to future conditions using CMIP6-based ISIMIP3b projections. We assess changes in precipitation (P), runoff (Q), total water storage (TWS), and actual evapotranspiration (AET) at 1°C, 2°C, and 3°C global warming levels across 553 European catchments. Using 165 mesoscale Hydrologic Model (mHM) simulations per catchment (five GCMs, three SSPs, 11 PET methods, we introduce a framework to detect emerging hydrological cycle patterns based on trend combinations. quantify projection agreement using the Data Concurrency Index (DCI) and characterize uncertainty with two complementary metrics that capture variability (ψ) and temporal inconsistency (χ) for each warming level and hydrological variable. Our findings show a marked expansion in the spatial extent of negative trends in P, Q, and TWS with increasing warming, while AET trends are positive in over 96% of catchments. More than two-thirds of catchments follow clear wetting (W1) or drying (D1) hydrological cycle patterns, with D1 becoming increasingly dominant at higher warming le</w:t>
      </w:r>
    </w:p>
    <w:p>
      <w:pPr/>
      <w:r>
        <w:rPr>
          <w:b/>
        </w:rPr>
        <w:t>POSSIBLE 2026:</w:t>
      </w:r>
      <w:r>
        <w:t xml:space="preserve"> Multi-Indicator Assessment of Hydrological Change Across Europe Using Satellite Observations — https://doi.org/10.3390/w18080986</w:t>
      </w:r>
    </w:p>
    <w:p>
      <w:pPr/>
      <w:r>
        <w:rPr>
          <w:b/>
        </w:rPr>
        <w:t>Shared claim-specific concepts:</w:t>
      </w:r>
      <w:r>
        <w:t xml:space="preserve"> hydrological, across, index, water; EU scope visible. This is a provisional connection, not an outcome finding.</w:t>
      </w:r>
    </w:p>
    <w:p>
      <w:pPr>
        <w:pStyle w:val="SourceNote"/>
      </w:pPr>
      <w:r>
        <w:rPr>
          <w:b/>
        </w:rPr>
        <w:t>Available abstract (not full text):</w:t>
      </w:r>
      <w:r>
        <w:t xml:space="preserve"> Understanding drought and water availability requires integrating multiple components of the hydrological cycle. Satellite observations enable consistent monitoring of water storage, groundwater variability, and water budget components at continental scales. This study synthesises results from several satellite-based analyses to examine hydrological signals across Europe within the Köppen–Geiger climate zones. Indicators were analysed jointly, including the Combined Climatologic Deviation Index (CCDI), Water Budget (WB), Water Storage Deficit Index (WSDI), and Groundwater Drought Index (GDI). The comparison of these indices reveals consistent spatial and temporal patterns of water deficit across Europe, with the strongest drying signals observed in temperate and Mediterranean regions. In contrast, northern climatic zones show higher retention capacity. The integrated approach highlights relationships among groundwater variability, water storage anomalies, climate anomalies, and water budget dynamics, providing a broader perspective on hydrological responses to climate variability. The results demonstrate the value of multi-indicator satellite analysis for large-scale drought monitoring and water resource assessment.</w:t>
      </w:r>
    </w:p>
    <w:p>
      <w:pPr/>
      <w:r>
        <w:rPr>
          <w:b/>
        </w:rPr>
        <w:t>POSSIBLE 2026:</w:t>
      </w:r>
      <w:r>
        <w:t xml:space="preserve"> Increasing Floods and Intensifying Droughts: The Future of Hydrological Extremes in a Warming Climate — https://doi.org/10.31223/x56v0w</w:t>
      </w:r>
    </w:p>
    <w:p>
      <w:pPr/>
      <w:r>
        <w:rPr>
          <w:b/>
        </w:rPr>
        <w:t>Shared claim-specific concepts:</w:t>
      </w:r>
      <w:r>
        <w:t xml:space="preserve"> hydrological, droughts, across, increasing, warming, derived; EU scope visible. This is a provisional connection, not an outcome finding.</w:t>
      </w:r>
    </w:p>
    <w:p>
      <w:pPr>
        <w:pStyle w:val="SourceNote"/>
      </w:pPr>
      <w:r>
        <w:rPr>
          <w:b/>
        </w:rPr>
        <w:t>Available abstract (not full text):</w:t>
      </w:r>
      <w:r>
        <w:t xml:space="preserve"> Understanding how climate change alters the frequency and severity of hydrological extremes is critical for anticipating regional vulnerabilities and guiding adaptation. In this study, we analyze changes in the magnitude, intensity, and duration of extreme streamflow events, both floods and droughts, under RCP4.5 and RCP8.5 scenarios using the FutureStreams dataset. This dataset, driven by multiple CMIP5 climate models, enables a global-scale assessment across all Intergovernmental Panel on Climate Change (IPCC) Special Report on Managing the Risks of Extreme Events and Disasters to Advance Climate Adaptation (SREX) regions. We identified events using percentile-based thresholds derived from historical (1976–2005) streamflow distributions and evaluated future extremes relative to these baselines across seasonal and decadal time slices. Our results show an apparent intensification of extremes, particularly under RCP8.5, with substantial increases in flood and drought events in climate-stressed regions such as South Asia, the Mediterranean, Central Australia, and Northern Europe. The seasonal dynamics of these changes, such as summer drought intensification and winter flood increases, underscore the compound effects of warming, altered precipitation, and snowmelt patterns. While the most significant increases occur in regions with a known history of hydrological stress, some area</w:t>
      </w:r>
    </w:p>
    <w:p>
      <w:pPr/>
      <w:r>
        <w:rPr>
          <w:b/>
        </w:rPr>
        <w:t>POSSIBLE 2026:</w:t>
      </w:r>
      <w:r>
        <w:t xml:space="preserve"> Low-flow patterns and hydrological regionalisation across the Baltic Sea basin — https://doi.org/10.1016/j.ejrh.2026.103643</w:t>
      </w:r>
    </w:p>
    <w:p>
      <w:pPr/>
      <w:r>
        <w:rPr>
          <w:b/>
        </w:rPr>
        <w:t>Shared claim-specific concepts:</w:t>
      </w:r>
      <w:r>
        <w:t xml:space="preserve"> shows, hydrological, across, temperature, low-flow, discharge; EU scope visible. This is a provisional connection, not an outcome finding.</w:t>
      </w:r>
    </w:p>
    <w:p>
      <w:pPr>
        <w:pStyle w:val="SourceNote"/>
      </w:pPr>
      <w:r>
        <w:rPr>
          <w:b/>
        </w:rPr>
        <w:t>Available abstract (not full text):</w:t>
      </w:r>
      <w:r>
        <w:t xml:space="preserve"> Study region The Baltic Sea basin covers approximately 1.7 million km² across northern Europe, extending from sub-Arctic to temperate climates with pronounced gradients in snow cover, precipitation, temperature, and catchment storage. As one of the largest brackish sea basins globally, its hydrology regulates freshwater and nutrient inputs that critically influence coastal water quality and marine ecosystem functioning. Despite its ecological and hydrological importance, a consistent basin-scale assessment of low-flow regimes across national boundaries has been lacking, with existing studies limited to individual countries using different methods and indicators. Study focus The study analyses daily discharge records from 134 water gauging stations across six countries (Sweden, Finland, Estonia, Latvia, Lithuania, and Poland) for the period 1961–2020. Low-flow conditions were characterised using the annual minimum 30-day mean discharge (Q30) and its catchment-area-normalised form of specific discharge (q30), enabling comparison of low-flow magnitude, seasonality, and variability, across contrasting hydroclimatic regions. We examined spatial patterns, temporal changes between two climate normal periods (1961–1990 and 1991–2020), and identified hydrologically coherent regions through K-means cluster analysis based on q30, coefficient of variation, proportion of warm-season low-flo</w:t>
      </w:r>
    </w:p>
    <w:p>
      <w:pPr/>
      <w:r>
        <w:rPr>
          <w:b/>
        </w:rPr>
        <w:t>POSSIBLE 2026:</w:t>
      </w:r>
      <w:r>
        <w:t xml:space="preserve"> Compounding hazards increase flood economic losses across Europe — https://doi.org/10.1038/s41467-026-73248-0</w:t>
      </w:r>
    </w:p>
    <w:p>
      <w:pPr/>
      <w:r>
        <w:rPr>
          <w:b/>
        </w:rPr>
        <w:t>Shared claim-specific concepts:</w:t>
      </w:r>
      <w:r>
        <w:t xml:space="preserve"> across, increasing, above, river, discharge; EU scope visible. This is a provisional connection, not an outcome finding.</w:t>
      </w:r>
    </w:p>
    <w:p>
      <w:pPr>
        <w:pStyle w:val="SourceNote"/>
      </w:pPr>
      <w:r>
        <w:rPr>
          <w:b/>
        </w:rPr>
        <w:t>Available abstract (not full text):</w:t>
      </w:r>
      <w:r>
        <w:t xml:space="preserve"> Abstract Compound events-combinations of multiple hazards contributing to societal or environmental risk-can significantly exacerbate disaster impacts, yet their effect on flood-related losses remains poorly quantified. Using a pan-European multi-hazard dataset spanning 1981-2020 at sub-national resolution, we find that more than 70% of recorded flood events involve compounding hazards, including meteorological extremes such as heatwaves and windstorms, alongside anomalous river discharge, with an increasing trend over time. The top 1% of events by economic losses are all compound, with total losses exceeding 167 billion euros above single-hazard floods. We introduce a compound hazard complexity metric and combine it with regional exposure and vulnerability data. Applying an ensemble machine learning model with explainable AI and a Double Machine Learning Causal Forest, we show that regions with higher complexity experience greater losses, even after controlling for flood magnitude and vulnerability, highlighting the importance of compound hazard information in risk modeling.</w:t>
      </w:r>
    </w:p>
    <w:p>
      <w:pPr/>
      <w:r>
        <w:rPr>
          <w:b/>
        </w:rPr>
        <w:t>POSSIBLE 2026:</w:t>
      </w:r>
      <w:r>
        <w:t xml:space="preserve"> Predicting hydrological drought at global scale: an analysis of the CEMS seasonal forecasts — https://doi.org/10.1007/s11069-025-07751-w</w:t>
      </w:r>
    </w:p>
    <w:p>
      <w:pPr/>
      <w:r>
        <w:rPr>
          <w:b/>
        </w:rPr>
        <w:t>Shared claim-specific concepts:</w:t>
      </w:r>
      <w:r>
        <w:t xml:space="preserve"> hydrological, index, river, discharge, simulations; EU scope visible. This is a provisional connection, not an outcome finding.</w:t>
      </w:r>
    </w:p>
    <w:p>
      <w:pPr>
        <w:pStyle w:val="SourceNote"/>
      </w:pPr>
      <w:r>
        <w:rPr>
          <w:b/>
        </w:rPr>
        <w:t>Available abstract (not full text):</w:t>
      </w:r>
      <w:r>
        <w:t xml:space="preserve"> Abstract Drought is among the most severe hydro-meteorological events, and it is expected to become even more critical and recurrent in multiple regions worldwide. The availability of hydrological information months ahead is crucial for developing effective early warning strategies, which often remain focused on meteorological drought, and to support effective adaptation programs and enhanced preparedness. The Copernicus Emergency Management System (CEMS) provides seasonal ensemble forecasts of river discharge based on the LISFLOOD hydrological model simulations, which are driven by seasonal meteorological ensemble forecasts from the seasonal forecast system version 5 (SEAS5) by the European Centre for Medium-Range Weather Forecasts (ECMWF). In this study, we evaluate the performance of these forecasts in detecting hydrological drought in the period 1991–2022 using the ECMWF reanalysis ERA5 as a proxy for the observational reference. The main results show that the skill of the ensemble mean of the Standardized Streamflow Index (SSI) is high at both 1- and 3-month time horizons; lower-skill forecasts (but still informative) can be achieved up to 6 months ahead. The forecast always outperforms trivial ones done by using the latest available state of the reanalysis, with the highest added value, on average, in the Northern Hemisphere. Seasonality in average river discharge is high</w:t>
      </w:r>
    </w:p>
    <w:p>
      <w:pPr/>
      <w:r>
        <w:rPr>
          <w:b/>
        </w:rPr>
        <w:t>POSSIBLE 2025:</w:t>
      </w:r>
      <w:r>
        <w:t xml:space="preserve"> Spatiotemporal characteristics of meteorological and hydrological droughts across Europe — https://doi.org/10.1080/19475705.2025.2567413</w:t>
      </w:r>
    </w:p>
    <w:p>
      <w:pPr/>
      <w:r>
        <w:rPr>
          <w:b/>
        </w:rPr>
        <w:t>Shared claim-specific concepts:</w:t>
      </w:r>
      <w:r>
        <w:t xml:space="preserve"> hydrological, droughts, across, warming, water; EU scope visible. This is a provisional connection, not an outcome finding.</w:t>
      </w:r>
    </w:p>
    <w:p>
      <w:pPr>
        <w:pStyle w:val="SourceNote"/>
      </w:pPr>
      <w:r>
        <w:rPr>
          <w:b/>
        </w:rPr>
        <w:t>Available abstract (not full text):</w:t>
      </w:r>
      <w:r>
        <w:t xml:space="preserve"> Amid ongoing global warming and growing water resource pressures, droughts have intensified in frequency and severity across Europe. Using ERA5 reanalysis data (1970–2024), we assessed four drought indices—meteorological (SPI, SPEI) and hydrological (SRI, RZI)—at 3-, 6-, and 12-month scales. Spatiotemporal dynamics were evaluated through trend analysis (Mann–Kendall), persistence assessment (Hurst exponent), abrupt change detection (mutation test), spatial pattern metrics (Fragstats), and inter-index correlation. Results show that hydrological droughts exhibited stronger trends and persistence than meteorological droughts. Significant intensification emerged in Western, Eastern, and Southern Europe, with SRI and RZI affecting nearly 700 × 10⁴ km². Breakpoints were detected in 1974 for meteorological and 1993–1994 for hydrological indices. Landscape analysis indicated increased patch numbers, higher spatial complexity, and aggregation, particularly for hydrological indices. Inter-index correlations were high at the 12-month scale (|R| &gt; 0.6) but declined (~0.3) at the 3-month scale, revealing divergence between meteorological and hydrological droughts. These findings advance understanding of drought evolution and underlying climate mechanisms, providing scientific support for monitoring, early warning, and adaptive water management strategies in Europe.</w:t>
      </w:r>
    </w:p>
    <w:p>
      <w:pPr/>
      <w:r>
        <w:rPr>
          <w:b/>
        </w:rPr>
        <w:t>POSSIBLE 2025:</w:t>
      </w:r>
      <w:r>
        <w:t xml:space="preserve"> Intergenerational inequity from hydrological drought in a warming world — https://doi.org/10.1016/j.jenvman.2025.125988</w:t>
      </w:r>
    </w:p>
    <w:p>
      <w:pPr/>
      <w:r>
        <w:rPr>
          <w:b/>
        </w:rPr>
        <w:t>Shared claim-specific concepts:</w:t>
      </w:r>
      <w:r>
        <w:t xml:space="preserve"> shows, hydrological, droughts, across, warming, river; EU scope visible. This is a provisional connection, not an outcome finding.</w:t>
      </w:r>
    </w:p>
    <w:p>
      <w:pPr>
        <w:pStyle w:val="SourceNote"/>
      </w:pPr>
      <w:r>
        <w:rPr>
          <w:b/>
        </w:rPr>
        <w:t>Available abstract (not full text):</w:t>
      </w:r>
      <w:r>
        <w:t xml:space="preserve"> As warmer temperatures enhance atmospheric moisture, hydrological droughts tend to intensify in most regions of the globe. Consequently, younger generations are expected to face a more severe risk of hydrological drought during their lifetimes, emphasizing the critical issue of intergenerational inequity due to climate change. To quantify exposure to hydrological drought across generations, we constructed a cascade model chain for drought simulation using hybrid terrestrial models, based on 5 GCM outputs under SSP5-85, five hydrological models and a deep learning model. We then projected future univariate and bivariate hydrological drought evolution in 4091 river basins, and quantified lifetime exposure to drought for the age groups born in 2020 and 1960. Drought severity and duration are projected to increase substantially in the Eastern America, Southern Brazil and Western Europe, over 79 % of basins. Extreme droughts far beyond historical records are expected to become more frequent and impact Western Europe in particular. Of note, the exposure of the different age groups to hydrological drought shows a notable disequilibrium. Exposure of people born in 2020 to hydrological drought hazards is projected to increase by 12 % over the late 21st century compared to those born in 1960, indicating that the acceleration of climate change is expected to increase the lifetime risk of </w:t>
      </w:r>
    </w:p>
    <w:p>
      <w:pPr>
        <w:pStyle w:val="Heading2"/>
      </w:pPr>
      <w:r>
        <w:t>653. Dutch Public health Foresight study 2018/20</w:t>
      </w:r>
    </w:p>
    <w:p>
      <w:pPr>
        <w:pStyle w:val="SourceNote"/>
      </w:pPr>
      <w:r>
        <w:rPr>
          <w:b/>
        </w:rPr>
        <w:t>Original source (2020):</w:t>
      </w:r>
      <w:r>
        <w:t xml:space="preserve"> https://doi.org/10.1093/eurpub/ckaa165.1290</w:t>
      </w:r>
    </w:p>
    <w:p>
      <w:pPr/>
      <w:r>
        <w:t>Original wording (abstract; indexed_source_text_not_full_document_verified): Dementia will be the leading cause of mortality and disease burden in 2040 by far. Health care expenditures will double by 2040, with cancers showing the most rapid growth of all disease groups.</w:t>
      </w:r>
    </w:p>
    <w:p>
      <w:pPr/>
      <w:r>
        <w:rPr>
          <w:b/>
        </w:rPr>
        <w:t>POSSIBLE 2026:</w:t>
      </w:r>
      <w:r>
        <w:t xml:space="preserve"> Seeking the Cause of Dementia: An Analysis of Correlation Leading to Hypotheses for Causation and the Grok-Ritchie Dementia Protocol — https://doi.org/10.5281/zenodo.19362993</w:t>
      </w:r>
    </w:p>
    <w:p>
      <w:pPr/>
      <w:r>
        <w:rPr>
          <w:b/>
        </w:rPr>
        <w:t>Shared claim-specific concepts:</w:t>
      </w:r>
      <w:r>
        <w:t xml:space="preserve"> dementia, leading, cause, health; EU scope not established. This is a provisional connection, not an outcome finding.</w:t>
      </w:r>
    </w:p>
    <w:p>
      <w:pPr>
        <w:pStyle w:val="SourceNote"/>
      </w:pPr>
      <w:r>
        <w:rPr>
          <w:b/>
        </w:rPr>
        <w:t>Available abstract (not full text):</w:t>
      </w:r>
      <w:r>
        <w:t xml:space="preserve"> The US Health and Human Services Secretary, RFK Junior, said in testimony to the House Labor-HHS Appropriations Subcommittee on 2026March14-15 in response to the heavily funded and fruitless amyloidal plaque focussed dementia research that: "We should have the cure for Alzheimer’s today. We don’t have it purely because of corruption at NIH. And we are going to have it quickly." So lets have a look at some of the evidence for the potential causes and potential cures for dementia and see if we can offer some alternative hypotheses and actually a protocol for the NIH funders.</w:t>
      </w:r>
    </w:p>
    <w:p>
      <w:pPr/>
      <w:r>
        <w:rPr>
          <w:b/>
        </w:rPr>
        <w:t>POSSIBLE 2026:</w:t>
      </w:r>
      <w:r>
        <w:t xml:space="preserve"> Seeking the Cause of Dementia: An Analysis of Correlation Leading to Hypotheses for Causation and Treatment — https://doi.org/10.5281/zenodo.19360093</w:t>
      </w:r>
    </w:p>
    <w:p>
      <w:pPr/>
      <w:r>
        <w:rPr>
          <w:b/>
        </w:rPr>
        <w:t>Shared claim-specific concepts:</w:t>
      </w:r>
      <w:r>
        <w:t xml:space="preserve"> dementia, leading, cause, health; EU scope not established. This is a provisional connection, not an outcome finding.</w:t>
      </w:r>
    </w:p>
    <w:p>
      <w:pPr>
        <w:pStyle w:val="SourceNote"/>
      </w:pPr>
      <w:r>
        <w:rPr>
          <w:b/>
        </w:rPr>
        <w:t>Available abstract (not full text):</w:t>
      </w:r>
      <w:r>
        <w:t xml:space="preserve"> The US Health and Human Services Secretary, RFK Junior, said in testimony to the House Labor-HHS Appropriations Subcommittee on 2026March14-15 in response to the heavily funded and fruitless amyloidal plaque focussed dementia research that: "We should have the cure for Alzheimer’s today. We don’t have it purely because of corruption at NIH. And we are going to have it quickly." So lets have a look at some of the evidence for the potential causes and potential cures for dementia and see if we can offer some alternative hypotheses for the NIH funders.</w:t>
      </w:r>
    </w:p>
    <w:p>
      <w:pPr/>
      <w:r>
        <w:rPr>
          <w:b/>
        </w:rPr>
        <w:t>POSSIBLE 2026:</w:t>
      </w:r>
      <w:r>
        <w:t xml:space="preserve"> New data showing dementia is Australia’s leading cause of death means we need to make brain health a national priority — https://doi.org/10.1016/j.anzjph.2026.100318</w:t>
      </w:r>
    </w:p>
    <w:p>
      <w:pPr/>
      <w:r>
        <w:rPr>
          <w:b/>
        </w:rPr>
        <w:t>Shared claim-specific concepts:</w:t>
      </w:r>
      <w:r>
        <w:t xml:space="preserve"> dementia, leading, cause, health, showing;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Burden of Dementia in Europe, 1990–2023: a systematic analysis from the Global Burden of Disease Study 2023 — https://doi.org/10.1016/j.lanepe.2026.101796</w:t>
      </w:r>
    </w:p>
    <w:p>
      <w:pPr/>
      <w:r>
        <w:rPr>
          <w:b/>
        </w:rPr>
        <w:t>Shared claim-specific concepts:</w:t>
      </w:r>
      <w:r>
        <w:t xml:space="preserve"> dementia, leading, cause, mortality, disease, burden; EU scope visible. This is a provisional connection, not an outcome finding.</w:t>
      </w:r>
    </w:p>
    <w:p>
      <w:pPr>
        <w:pStyle w:val="SourceNote"/>
      </w:pPr>
      <w:r>
        <w:rPr>
          <w:b/>
        </w:rPr>
        <w:t>Available abstract (not full text):</w:t>
      </w:r>
      <w:r>
        <w:t xml:space="preserve"> Background: Dementia is a leading cause of disability and mortality in Europe, yet no recent harmonised assessment has described its impact across the European Union (EU-27) and the WHO European Region. Methods: We used data from the Global Burden of Disease Study 2023 (GBD 2023) to estimate prevalence, mortality, and disability-adjusted life years (DALYs) for dementia from 1990 to 2023. Estimates were produced for the EU-27 and the WHO European Region, by age and sex. Non-fatal outcomes were modelled using DisMod-MR 2.1, and dementia-attributable mortality was estimated using an excess-mortality framework. We also quantified DALYs attributable to six modifiable risk factors. Findings: In 2023, 7.76 million people (95% UI 6.69-8.72) were living with dementia in the EU-27 and 12.28 million (10.44-13.90) in the WHO European Region, representing ∼90% increases since 1990 despite modest declines in age-standardised prevalence. Prevalence was nearly twice as high in women as in men. Dementia rose from the eighth to the third leading cause of death in the EU-27. Dementia accounted for 5.49 million DALYs (2.44-11.41) in the EU-27. An estimated 41% (24.4-57.4) of dementia DALYs in the EU-27 were attributable to modifiable risk factors, particularly ambient particulate matter pollution, high fasting plasma glucose, and high body-mass index, which are disproportionately concentrated in s</w:t>
      </w:r>
    </w:p>
    <w:p>
      <w:pPr/>
      <w:r>
        <w:rPr>
          <w:b/>
        </w:rPr>
        <w:t>POSSIBLE 2026:</w:t>
      </w:r>
      <w:r>
        <w:t xml:space="preserve"> Concurrence of Dementia and Mental Disorders Across Populational Epidemiology and Global Disease Burden Perspectives — https://doi.org/10.64898/2026.04.28.26351932</w:t>
      </w:r>
    </w:p>
    <w:p>
      <w:pPr/>
      <w:r>
        <w:rPr>
          <w:b/>
        </w:rPr>
        <w:t>Shared claim-specific concepts:</w:t>
      </w:r>
      <w:r>
        <w:t xml:space="preserve"> dementia, leading, disease, burden, health; EU scope visible. This is a provisional connection, not an outcome finding.</w:t>
      </w:r>
    </w:p>
    <w:p>
      <w:pPr>
        <w:pStyle w:val="SourceNote"/>
      </w:pPr>
      <w:r>
        <w:rPr>
          <w:b/>
        </w:rPr>
        <w:t>Available abstract (not full text):</w:t>
      </w:r>
      <w:r>
        <w:t xml:space="preserve"> ABSTRACT Background Dementia and mental disorders are leading causes of disease burden in middle-aged and older adults. Existing evidence suggests close clinical and epidemiological associations between dementia and mental disorders. We aimed to characterize the concurrent features of dementia and eight mental disorders at both the individual level and the population level (temporal and spatial patterns of global burden of disease co-existence and co-occurrence). Methods The study utilized data from the UK Biobank (UKB, N=502461, 2006-2021) and Global Burden of Disease (GBD, 204 countries, 1990-2021). In UKB, Cox models were used to explore associations between mental disorders and dementia and shared risk factors between the two conditions. In GBD, multi-state Markov models were constructed to quantify the expected time of concurrent burden. Results There was a substantial concurrence between dementia and mental disorders, along with causal associations and shared risk factors at the individual level. At the country level, although a trend of decreased prevalence and incidence of dementia was observed in most regions over the past 31 years, dementia demonstrated greater co-existence burden of neurodevelopmental disorders (especially attention-deficit/hyperactivity disorder and idiopathic developmental intellectual disability) in Middle East and North Africa. In high-socio-demo</w:t>
      </w:r>
    </w:p>
    <w:p>
      <w:pPr/>
      <w:r>
        <w:rPr>
          <w:b/>
        </w:rPr>
        <w:t>POSSIBLE 2026:</w:t>
      </w:r>
      <w:r>
        <w:t xml:space="preserve"> Population attributable fractions of a wide range of peripheral diseases for the burden of dementia — https://doi.org/10.25405/ncl.34541268</w:t>
      </w:r>
    </w:p>
    <w:p>
      <w:pPr/>
      <w:r>
        <w:rPr>
          <w:b/>
        </w:rPr>
        <w:t>Shared claim-specific concepts:</w:t>
      </w:r>
      <w:r>
        <w:t xml:space="preserve"> dementia, leading, disease, burden, health; EU scope not established. This is a provisional connection, not an outcome finding.</w:t>
      </w:r>
    </w:p>
    <w:p>
      <w:pPr>
        <w:pStyle w:val="SourceNote"/>
      </w:pPr>
      <w:r>
        <w:rPr>
          <w:b/>
        </w:rPr>
        <w:t>Available abstract (not full text):</w:t>
      </w:r>
      <w:r>
        <w:t xml:space="preserve"> © The Author(s), under exclusive licence to Springer Nature Limited 2026. Growing evidence suggests that peripheral diseases serve as risk factors for dementia, but the population-level burden of dementia associated with various peripheral diseases has remained unknown. Here, by conducting a systematic review and Bayesian meta-analyses to estimate the relative risks of 26 peripheral diseases across 9 systems with dementia, including 202 articles searched from the PubMed until 6 September 2024, we identified 16 peripheral diseases as associated with increased risk of dementia. With the relative risks estimated from meta-analyses, prevalences extracted from the Global Burden of Disease Study, and communalities among these 16 peripheral diseases derived from the UK Biobank, we analysed the population attributable fractions (PAFs) of these 16 peripheral diseases for dementia, stratified by sex, age, sociodemographic index level, world region and country, and trends from 1990 to 2021. Globally, these peripheral diseases collectively were related to a combined PAF of 33.18% (95% confidence interval (CI) 16.80–48.43) of dementia burden, corresponding to 18.8 million prevalent cases. The leading ten PAF contributors were periodontal diseases (6.10%, 95% CI 0.95–10.28), cirrhosis and other chronic liver diseases (5.51%, 95% CI 1.77–8.86), age-related and other hearing loss (4.70%, 95% C</w:t>
      </w:r>
    </w:p>
    <w:p>
      <w:pPr/>
      <w:r>
        <w:rPr>
          <w:b/>
        </w:rPr>
        <w:t>POSSIBLE 2026:</w:t>
      </w:r>
      <w:r>
        <w:t xml:space="preserve"> Global burden of disease due to young-onset dementia and the forecast for 2050: update from global burden of disease study 2021 — https://doi.org/10.1080/13696998.2026.2646088</w:t>
      </w:r>
    </w:p>
    <w:p>
      <w:pPr/>
      <w:r>
        <w:rPr>
          <w:b/>
        </w:rPr>
        <w:t>Shared claim-specific concepts:</w:t>
      </w:r>
      <w:r>
        <w:t xml:space="preserve"> dementia, leading, disease, burden, groups; EU scope not established. This is a provisional connection, not an outcome finding.</w:t>
      </w:r>
    </w:p>
    <w:p>
      <w:pPr>
        <w:pStyle w:val="SourceNote"/>
      </w:pPr>
      <w:r>
        <w:rPr>
          <w:b/>
        </w:rPr>
        <w:t>Available abstract (not full text):</w:t>
      </w:r>
      <w:r>
        <w:t xml:space="preserve"> OBJECTIVE: The prevalence of young-onset dementia (YOD) is increasing worldwide, leading to greater economic and social burden, necessitating strategic management and prevention. MATERIALS AND METHODS: Using GBD 2021 data, disability-adjusted life years (DALYs) rates were analyzed by age, sex, and risk factors across five age groups. ARIMA and Bayesian models were applied to predict disease burden through 2050. RESULTS: From 1990 to 2021, disease burden increased in both sexes aged ≥55 years, with the greatest rise in the 55-59 group. DALYs rates were consistently higher in females, peaking in the 60-64 group. High fasting plasma glucose was the leading risk factor. Model performance varied by sex and age; applying the best-fitting models indicated a continued increase in burden, particularly among females. CONCLUSIONS: YOD burden has risen over time and is associated with modifiable factors such as high blood glucose and body mass index. The increasing trend is expected to persist, highlighting the need for effective management strategies to reduce future socioeconomic impact.</w:t>
      </w:r>
    </w:p>
    <w:p>
      <w:pPr/>
      <w:r>
        <w:rPr>
          <w:b/>
        </w:rPr>
        <w:t>POSSIBLE 2026:</w:t>
      </w:r>
      <w:r>
        <w:t xml:space="preserve"> Dementia on Screen — https://doi.org/10.5040/9781350553255</w:t>
      </w:r>
    </w:p>
    <w:p>
      <w:pPr/>
      <w:r>
        <w:rPr>
          <w:b/>
        </w:rPr>
        <w:t>Shared claim-specific concepts:</w:t>
      </w:r>
      <w:r>
        <w:t xml:space="preserve"> dementia, leading, cause, disease, care; EU scope not established. This is a provisional connection, not an outcome finding.</w:t>
      </w:r>
    </w:p>
    <w:p>
      <w:pPr>
        <w:pStyle w:val="SourceNote"/>
      </w:pPr>
      <w:r>
        <w:rPr>
          <w:b/>
        </w:rPr>
        <w:t>Available abstract (not full text):</w:t>
      </w:r>
      <w:r>
        <w:t xml:space="preserve"> This is a book about the stories that films tell about dementia and the varied ways it’s depicted in films from around the world. Dementia is a progressive disease linked to ageing which ranks among the leading causes of death worldwide, for which the cause remains unknown and there is no cure. Drawing on its incidence in his own family, Michael Chanan explores how films represent the condition: what they show, how they show it, and what they don’t show and steer away from. Set within medical, social, cultural, economic and political contexts, the book surveys both the modes of documentary and the varieties of fiction, from tragedy and melodrama to black comedy and the thriller. It also traces the contrast between the medicalisation of dementia dominating films from the Global North and those from the Global South, where medicalisation and social care are underdeveloped, and the sufferer is perceived less as an atomised individual than as inextricably interwoven with the social order.</w:t>
      </w:r>
    </w:p>
    <w:p>
      <w:pPr/>
      <w:r>
        <w:rPr>
          <w:b/>
        </w:rPr>
        <w:t>POSSIBLE 2025:</w:t>
      </w:r>
      <w:r>
        <w:t xml:space="preserve"> Dementia is a neglected noncommunicable disease and leading cause of death — https://doi.org/10.1038/s41582-024-01051-w</w:t>
      </w:r>
    </w:p>
    <w:p>
      <w:pPr/>
      <w:r>
        <w:rPr>
          <w:b/>
        </w:rPr>
        <w:t>Shared claim-specific concepts:</w:t>
      </w:r>
      <w:r>
        <w:t xml:space="preserve"> dementia, leading, cause, disease;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Dementia is now the leading cause of death in Australia. But why is it fatal? — https://doi.org/10.64628/aa.ykgeqx5n6</w:t>
      </w:r>
    </w:p>
    <w:p>
      <w:pPr/>
      <w:r>
        <w:rPr>
          <w:b/>
        </w:rPr>
        <w:t>Shared claim-specific concepts:</w:t>
      </w:r>
      <w:r>
        <w:t xml:space="preserve"> dementia, leading, cause;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Health inequalities in disease burden of dementia and early-onset dementia: findings from the Global Burden of Disease 2021 study — https://doi.org/10.1186/s41256-025-00417-x</w:t>
      </w:r>
    </w:p>
    <w:p>
      <w:pPr/>
      <w:r>
        <w:rPr>
          <w:b/>
        </w:rPr>
        <w:t>Shared claim-specific concepts:</w:t>
      </w:r>
      <w:r>
        <w:t xml:space="preserve"> dementia, mortality, disease, burden, health; EU scope not established. This is a provisional connection, not an outcome finding.</w:t>
      </w:r>
    </w:p>
    <w:p>
      <w:pPr>
        <w:pStyle w:val="SourceNote"/>
      </w:pPr>
      <w:r>
        <w:rPr>
          <w:b/>
        </w:rPr>
        <w:t>Available abstract (not full text):</w:t>
      </w:r>
      <w:r>
        <w:t xml:space="preserve"> BACKGROUND: Given the increasing aging global population and advancements in dementia action plans, the latest disparities in the dementia burden may evolve. This study aimed to analyze and compare temporal trends at regional, national, and sociodemographic levels to provide evidence for public health planning and resource prioritization. METHODS: The age-standardized prevalence rate (ASPR), age-standardized incidence rate (ASIR), age-standardized mortality rate (ASMR), and age-standardized disability-adjusted life years (DALYs) rate (ASDR) were derived from the Global Burden of Disease 2021 study. Estimated annual percentage changes (EAPCs) were calculated to quantify their temporal trends. Correlations between EAPC and the human resources for health (HRH) were assessed using Pearson correlation analysis. RESULTS: Although the ASPR and ASIR remained stable or decreased globally, they both greatly increased in East Asia (ASPR: EAPC = 0.43; 95% CI 0.35, 0.51; ASIR: EAPC = 0.40; 95% CI 0.33, 0.47). For early-onset dementia, the ASPR (range of EAPC = 0.03-0.17) and ASIR (range of EAPC = 0.05-0.19) in the 45 to 59 years age group increased in North Africa and Middle East, particularly among females (ASPR: range of EAPC = 0.08-0.21; ASIR: range of EAPC = 0.09-0.2). Although the ASMR and ASDR both decreased globally and in high socio-demographic index region, they both increased grea</w:t>
      </w:r>
    </w:p>
    <w:p>
      <w:pPr/>
      <w:r>
        <w:rPr>
          <w:b/>
        </w:rPr>
        <w:t>POSSIBLE 2024:</w:t>
      </w:r>
      <w:r>
        <w:t xml:space="preserve"> The global macroeconomic burden of Alzheimer's disease and other dementias: estimates and projections for 152 countries or territories — https://doi.org/10.1016/s2214-109x(24)00264-x</w:t>
      </w:r>
    </w:p>
    <w:p>
      <w:pPr/>
      <w:r>
        <w:rPr>
          <w:b/>
        </w:rPr>
        <w:t>Shared claim-specific concepts:</w:t>
      </w:r>
      <w:r>
        <w:t xml:space="preserve"> mortality, disease, burden, health, care; EU scope not established. This is a provisional connection, not an outcome finding.</w:t>
      </w:r>
    </w:p>
    <w:p>
      <w:pPr>
        <w:pStyle w:val="SourceNote"/>
      </w:pPr>
      <w:r>
        <w:rPr>
          <w:b/>
        </w:rPr>
        <w:t>Available abstract (not full text):</w:t>
      </w:r>
      <w:r>
        <w:t xml:space="preserve"> BACKGROUND: Alzheimer's disease and other dementias (ADODs) severely threaten the wellbeing of older people, their families, and communities, especially with projected exponential growth. Understanding the macroeconomic implications of ADODs for policy making is essential but under-researched. METHODS: We used a health-augmented macroeconomic model to calculate the macroeconomic burden of ADODs for 152 countries or territories, accounting for: the effect on labour supply of reduced working hours of informal caregivers; the effect on labour supply of ADODs-related mortality and morbidity; age-sex-specific differences in education, work experience, labour market participations, and informal caregivers; and treatment and formal care costs diverting from savings and investments. FINDINGS: ADODs will cost the world economy 14 513 billion international dollars (INT$, measured in the base year 2020; 95% uncertainty interval [UI] 12 106-17 778) from 2020 to 2050, equivalent to 0·421% (95% UI 0·351-0·515) of annual global GDP. Japan incurs the largest annual GDP loss at 1·463% (1·225-1·790). China (INT$2961 billion [2507-3564]), the USA (INT$2331 billion [1989-2829]), and Japan (INT$1758 billion [1471-2150]) face the largest absolute economic burdens. The economic burden of informal care ranges from 60·97% in high-income countries to 85·45% in lower-middle-income countries, and treatmen</w:t>
      </w:r>
    </w:p>
    <w:p>
      <w:pPr>
        <w:pStyle w:val="Heading2"/>
      </w:pPr>
      <w:r>
        <w:t>654. ENERGY: DEVELOPMENT FORECASTS, BIFURCATION POINTS (OVERVIEW)</w:t>
      </w:r>
    </w:p>
    <w:p>
      <w:pPr>
        <w:pStyle w:val="SourceNote"/>
      </w:pPr>
      <w:r>
        <w:rPr>
          <w:b/>
        </w:rPr>
        <w:t>Original source (2020):</w:t>
      </w:r>
      <w:r>
        <w:t xml:space="preserve"> https://doi.org/10.31472/ttpe.4.2020.7</w:t>
      </w:r>
    </w:p>
    <w:p>
      <w:pPr/>
      <w:r>
        <w:t>Original wording (abstract; indexed_source_text_not_full_document_verified): Global political changes in the USSR and in the world (the era of "perestroika", the collapse of the USSR and the entire socialist camp) made it impossible to fulfill the main provisions of the USSR Energy Program for the long term and the republican target complex scientific and technical program "Energocomplex", as well as the creation of a new production technology electric power (thermal power plant with combined cycle - MHD generator as a superstructure above the steam power unit). 2020 may also be a bifurcation point in the development of energy in the world and in the regions. Suggestions are made for the need to support the energy strategy, including the energy strategy adopted in Ukraine in 2017 for the period up to 2035, by working documents - operational sliding forecast plans (roadmaps) to manage and monitor its implementation at intermediate time intervals, creating perhaps a specialized structure for these purposes.</w:t>
      </w:r>
    </w:p>
    <w:p>
      <w:pPr/>
      <w:r>
        <w:rPr>
          <w:b/>
        </w:rPr>
        <w:t>POSSIBLE 2026:</w:t>
      </w:r>
      <w:r>
        <w:t xml:space="preserve"> CLIMATE CHANGE AND GLOBAL POLITICS IN CONTEMPORARY AGE — https://doi.org/10.56815/ijmrr.v5i7.2026.395-411</w:t>
      </w:r>
    </w:p>
    <w:p>
      <w:pPr/>
      <w:r>
        <w:rPr>
          <w:b/>
        </w:rPr>
        <w:t>Shared claim-specific concepts:</w:t>
      </w:r>
      <w:r>
        <w:t xml:space="preserve"> political, energy, well; EU scope not established. This is a provisional connection, not an outcome finding.</w:t>
      </w:r>
    </w:p>
    <w:p>
      <w:pPr>
        <w:pStyle w:val="SourceNote"/>
      </w:pPr>
      <w:r>
        <w:rPr>
          <w:b/>
        </w:rPr>
        <w:t>Available abstract (not full text):</w:t>
      </w:r>
      <w:r>
        <w:t xml:space="preserve"> This study examined the relationship between climate change and global politics in the contemporary age. The method of systematic literature review was applied to analyse the recent academic research that was published in the period between 2020 and 2025. The major databases were searched to gather articles, which were filtered according to PRISMA rules and analysed via thematic analysis. According to the findings, climate change influences international cooperation, diplomacy, energy policy, as well as global governance. Climate action and the creation of a common goal are assisted by global institutions and climate agreements, helping countries to coordinate action and create goals. Nonetheless, effective standards to enforce climate policies remain stifled by political issues, economic gains, and societal polarisation. The paper stated that effective climate action requires more international cooperation and fully committed political action. The review leads to comprehending climate change as an environmental and political issue.</w:t>
      </w:r>
    </w:p>
    <w:p>
      <w:pPr/>
      <w:r>
        <w:rPr>
          <w:b/>
        </w:rPr>
        <w:t>POSSIBLE 2026:</w:t>
      </w:r>
      <w:r>
        <w:t xml:space="preserve"> Ideological Foundations of the Militarization of World Politics in a Multipolar Era — https://doi.org/10.53658/rw2026-4-2(20)-24-34</w:t>
      </w:r>
    </w:p>
    <w:p>
      <w:pPr/>
      <w:r>
        <w:rPr>
          <w:b/>
        </w:rPr>
        <w:t>Shared claim-specific concepts:</w:t>
      </w:r>
      <w:r>
        <w:t xml:space="preserve"> political, world, era, main, scientific; EU scope not established. This is a provisional connection, not an outcome finding.</w:t>
      </w:r>
    </w:p>
    <w:p>
      <w:pPr>
        <w:pStyle w:val="SourceNote"/>
      </w:pPr>
      <w:r>
        <w:rPr>
          <w:b/>
        </w:rPr>
        <w:t>Available abstract (not full text):</w:t>
      </w:r>
      <w:r>
        <w:t xml:space="preserve"> The article provides a comprehensive analysis of the transformation of the ideological foundations of the militarized politics in the multipolar era, which allows us to identify key trends and patterns in this field. Scientific ideas about the spiritual roots of traditional and imperialist militarism are being systematized, which allows for a deeper understanding of the nature and functioning of these mechanisms. Based on the analysis of the achievements of political thought, it is concluded that there is an inherent militaristic potential in the context of modern global transformations. The results of the study emphasize the need to take into account moral, ideological, and political aspects when determining the level of militarization in the world community during the transition from a post-bipolar world order to a multipolar system. The article proves the close relationship between the development of the spiritual sphere of international relations and the content of military-political expansionism in the postmodern era, which makes it possible to identify dialectical prerequisites for the development and limitations of militarism in the context of globalization. There is a mimicry of militaristic manifestations in post-industrial countries that are successfully adapting to modern realities, which indicates the ability of militarism to evolve and expand its technological and </w:t>
      </w:r>
    </w:p>
    <w:p>
      <w:pPr/>
      <w:r>
        <w:rPr>
          <w:b/>
        </w:rPr>
        <w:t>POSSIBLE 2026:</w:t>
      </w:r>
      <w:r>
        <w:t xml:space="preserve"> Women's Political Engagement and Empowerment in a Globalized World: The Indian Experience — https://doi.org/10.5281/zenodo.18943598</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Abstract: Historically, women’s participation in governance has been restricted by patriarchal norms and institutional barriers. While early intellectual movements laid the groundwork, it was the late 20th-century activism that successfully began dismantling male -dominated political monopolies. In today’s globalized world, the focus has shifted toward gender justice and social inclusion. Empowerment is no longer viewed just as a social goal but as a democratic and developmental necessity. For India, this era offers a unique opportunity to translate educational and institutional growth into meaningful engagement. However, true progress requires moving beyond institutional reform to transform deepseated societal attitudes. To achieve genuine socio-economic equity in the 21st century, women must be recognized not as passive beneficiaries, but as active agents of change who are essential to a robust and inclusive democracy.</w:t>
      </w:r>
    </w:p>
    <w:p>
      <w:pPr/>
      <w:r>
        <w:rPr>
          <w:b/>
        </w:rPr>
        <w:t>POSSIBLE 2025:</w:t>
      </w:r>
      <w:r>
        <w:t xml:space="preserve"> Bodily Autonomy and Identity Politics: Feminist Approaches in the Era of Global Political Changes : Editors’ Note — https://openalex.org/W7125467776</w:t>
      </w:r>
    </w:p>
    <w:p>
      <w:pPr/>
      <w:r>
        <w:rPr>
          <w:b/>
        </w:rPr>
        <w:t>Shared claim-specific concepts:</w:t>
      </w:r>
      <w:r>
        <w:t xml:space="preserve"> political, era, main; EU scope not established. This is a provisional connection, not an outcome finding.</w:t>
      </w:r>
    </w:p>
    <w:p>
      <w:pPr>
        <w:pStyle w:val="SourceNote"/>
      </w:pPr>
      <w:r>
        <w:rPr>
          <w:b/>
        </w:rPr>
        <w:t>Available abstract (not full text):</w:t>
      </w:r>
      <w:r>
        <w:t xml:space="preserve"> Our intention for this special issue of the AM Journal of Art and Media Studies was to offer a platform for voices that are rarely heard in public discourse, and to present topics that are of great importance primarily to the feminist and queer communities, but also to the society as a whole – because no one is free and safe until we are all free and safe. Collected papers in this issue deal with feminist and queer topics belonging to various social contexts. The main topic is divided into three thematic units. The first unit comprises texts describing feminist and related progressive movements. The second thematic unit focuses on anti-gender movements and transfeminist resistance against them. The third thematic unit is dedicated to the feminist and queer analyses of various artistic formats.</w:t>
      </w:r>
    </w:p>
    <w:p>
      <w:pPr/>
      <w:r>
        <w:rPr>
          <w:b/>
        </w:rPr>
        <w:t>POSSIBLE 2025:</w:t>
      </w:r>
      <w:r>
        <w:t xml:space="preserve"> POLITICS OF THE INDIAN OCEAN AFTER WORLD WAR II TO THE ERA OF GLOBALIZATION — https://openalex.org/W7217302936</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The Indian Ocean region has historically been a vital arena of global strategic, economic, and political competition. Since the end of World War II, the region has undergone significant transformation due to decolonization, Cold War rivalry, and the rise of globalization. Rich in natural resources and traversed by critical sea-lanes of communication, the Indian Ocean has attracted major powers seeking strategic dominance and economic advantage. The presence of competing military powers, fragile littoral states, and transnational challenges such as piracy and terrorism have further complicated the regional dynamics. This paper examines the evolving geopolitics of the Indian Ocean from the post–World War II period to the contemporary era of globalization, with particular focus on the role of external powers, littoral state politics, maritime security, and India’s strategic position.</w:t>
      </w:r>
    </w:p>
    <w:p>
      <w:pPr/>
      <w:r>
        <w:rPr>
          <w:b/>
        </w:rPr>
        <w:t>POSSIBLE 2025:</w:t>
      </w:r>
      <w:r>
        <w:t xml:space="preserve"> The Political Relevance of Kartosuwiryo's Hijrah in the Global Context: Inspiration for Struggle in the Modern Era — https://doi.org/10.24090/jihm.v4i1.13073</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Sekarmadji Maridjan Kartosuwiryo, familiarly called Kartosuwiryo, was the proclamator of the Islamic State of Indonesia. Kartosuwiryo believed Islam had a significant influence on every aspect of human life. The idea he wanted to realize was establishing the Islamic State of Indonesia, and hijrah politics was one of Kartosuwiryo's efforts toward the Islamic State of Indonesia. This article will analyze the basic concept of the hijrah political thought of Sekarmadji Maridjan Kartosuwiryo in establishing the Islamic State of Indonesia. The method used is qualitative, with literature studies such as books, journals, articles, and others. In addition, the author uses a historical approach and the construction of a day approach to explore information about Kartosuwiryo's hijrah politics. The results showed that Kartosuwiryo's hijrah politics was an Islamic-based struggle to build a state with laws and order based on the Qur'an. This concept remains relevant to address modern global challenges, such as migration, religious identity, and cross-cultural solidarity. In addition, this article also shows that the politics of hijrah is not only a strategy of resistance against colonialism but also has relevance in the modern era. Hijrah can be translated as an effort to create social transformation, such as community empowerment, cross-cultural solidarity, and humane management of global m</w:t>
      </w:r>
    </w:p>
    <w:p>
      <w:pPr/>
      <w:r>
        <w:rPr>
          <w:b/>
        </w:rPr>
        <w:t>POSSIBLE 2025:</w:t>
      </w:r>
      <w:r>
        <w:t xml:space="preserve"> Speaking Truth to Power: Language, Politics, and Human Rights in a Globalized World — https://doi.org/10.33682/f3dn-v7tx</w:t>
      </w:r>
    </w:p>
    <w:p>
      <w:pPr/>
      <w:r>
        <w:rPr>
          <w:b/>
        </w:rPr>
        <w:t>Shared claim-specific concepts:</w:t>
      </w:r>
      <w:r>
        <w:t xml:space="preserve"> political, world, complex; EU scope visible. This is a provisional connection, not an outcome finding.</w:t>
      </w:r>
    </w:p>
    <w:p>
      <w:pPr>
        <w:pStyle w:val="SourceNote"/>
      </w:pPr>
      <w:r>
        <w:rPr>
          <w:b/>
        </w:rPr>
        <w:t>Available abstract (not full text):</w:t>
      </w:r>
      <w:r>
        <w:t xml:space="preserve"> This article investigates linguistic socio-political structures in a globalized world, focusing on the intersections between language policy, ideology, and socio-political disturbances. It examines cases of linguistic suppression in Franco-era Spain and communist China to explore similarities in language policy in authoritarian contexts. A comparison of English and Portuguese lects serves to explore language ideologies within the context of social and cultural hierarchies. This article highlights the complex relationship between legal and social aspects of language discrimination within nation-states and linguistic cultures; it argues that understanding these linguistic socio-political structures can serve not only to better understand a political context, but as a bellwether for minority rights and human rights violations.</w:t>
      </w:r>
    </w:p>
    <w:p>
      <w:pPr/>
      <w:r>
        <w:rPr>
          <w:b/>
        </w:rPr>
        <w:t>POSSIBLE 2025:</w:t>
      </w:r>
      <w:r>
        <w:t xml:space="preserve"> Globalization and Youth: Transnational Migration as a Factor of Political Changes — https://doi.org/10.32523/2616-6887-2025-153-4-47-58</w:t>
      </w:r>
    </w:p>
    <w:p>
      <w:pPr/>
      <w:r>
        <w:rPr>
          <w:b/>
        </w:rPr>
        <w:t>Shared claim-specific concepts:</w:t>
      </w:r>
      <w:r>
        <w:t xml:space="preserve"> political, main; EU scope not established. This is a provisional connection, not an outcome finding.</w:t>
      </w:r>
    </w:p>
    <w:p>
      <w:pPr>
        <w:pStyle w:val="SourceNote"/>
      </w:pPr>
      <w:r>
        <w:rPr>
          <w:b/>
        </w:rPr>
        <w:t>Available abstract (not full text):</w:t>
      </w:r>
      <w:r>
        <w:t xml:space="preserve"> The article defines the role of migration in the development of civil society, in the formation of transnational networks, in changing the priorities of public policy that include the issues of publicity and implementation to global challenges. The aim of the article is defining the causes, changes and factors that influence on youth migration and assessment of its impacts on the enhancement of civil society, democratization and transformation of public policy. The article examines the impact of globalization and the transnational migration of youth on political changes in Kazakhstan. The study examines the links between globalization processes, migration flows of youth and the transformation of political systems in our country and host countries. Particular attention is paid to the development of proposals for optimizing migration and youth policies in Kazakhstan in the context of globalization. Particular attention is also paid to the analysis of the characteristics of youth migration in Kazakhstan, including the causes of migration processes, their socio-economic and political consequences. The study is based on a comprehensive analysis of theoretical concepts, statistical data and Kazakhstani experience, taking into account the characteristics of the political and socio-economic system of the country. The findings determine the need to develop effective strategies for migra</w:t>
      </w:r>
    </w:p>
    <w:p>
      <w:pPr/>
      <w:r>
        <w:rPr>
          <w:b/>
        </w:rPr>
        <w:t>POSSIBLE 2024:</w:t>
      </w:r>
      <w:r>
        <w:t xml:space="preserve"> Changing Perspective Of Political Science Education In The Era Of Globalization: A Study — https://doi.org/10.53555/jrtdd.v5i1.3081</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In recent decades, globalization has significantly reshaped the field of political science education, prompting a re-evaluation of curricular content and pedagogical approaches. This study investigates the changing perspectives of political science education in the era of globalization, emphasizing the need for a curriculum that reflects the complexities and interconnectivity of global issues. The research employs a mixed-methods approach, including qualitative interviews with educators from various academic institutions and quantitative surveys distributed to students. This comprehensive methodology enables an in-depth understanding of both instructor and student perceptions regarding the relevance of globalization within political science. Key findings of the study reveal that political science curricula have increasingly integrated global perspectives to better prepare students for modern citizenship and professional roles. Educators reported a shift toward incorporating topics such as international relations, human rights, environmental politics, and transnational movements into their courses. This change reflects a consensus among faculty that an understanding of global dynamics is essential for students aspiring to engage meaningfully with contemporary political challenges. Conversely, students expressed a strong desire for content that addresses real-world issues but als</w:t>
      </w:r>
    </w:p>
    <w:p>
      <w:pPr/>
      <w:r>
        <w:rPr>
          <w:b/>
        </w:rPr>
        <w:t>POSSIBLE 2024:</w:t>
      </w:r>
      <w:r>
        <w:t xml:space="preserve"> Between Worlds: The Making of Global Identities in the Migration Era — https://doi.org/10.62311/nesx/97801</w:t>
      </w:r>
    </w:p>
    <w:p>
      <w:pPr/>
      <w:r>
        <w:rPr>
          <w:b/>
        </w:rPr>
        <w:t>Shared claim-specific concepts:</w:t>
      </w:r>
      <w:r>
        <w:t xml:space="preserve"> political, era, complex; EU scope not established. This is a provisional connection, not an outcome finding.</w:t>
      </w:r>
    </w:p>
    <w:p>
      <w:pPr>
        <w:pStyle w:val="SourceNote"/>
      </w:pPr>
      <w:r>
        <w:rPr>
          <w:b/>
        </w:rPr>
        <w:t>Available abstract (not full text):</w:t>
      </w:r>
      <w:r>
        <w:t xml:space="preserve"> Abstract: This chapter, "Between Worlds: The Making of Global Identities in the Migration Era," examines the complex interplay between migration and identity formation within the global context. It delves into how the act of migration reshapes the identities of individuals and groups, navigating through a myriad of socio-cultural, economic, and political landscapes. Drawing on a diverse range of theoretical frameworks and empirical studies, the chapter explores the transformative processes that migrants undergo as they adapt to new environments while maintaining ties to their homelands. It highlights the role of transnational networks, the impact of host and home country policies, and the personal negotiations of belonging and identity among migrants. This analysis not only illuminates the challenges faced by migrants but also showcases the dynamic creation of hybrid identities that contribute to the rich tapestry of global multiculturalism. The chapter aims to provide a nuanced understanding of the ongoing and complex nature of identity transformation in the migration era, offering insights into the broader implications for integration policies and multicultural coexistence. Keywords: Migration,Identity Formation,Transnationalism,Cultural Hybridity,Globalization,Integration Policies,Multiculturalism,Socio-Cultural Adaptation ,Diaspora Communities and Ethnic Identity.</w:t>
      </w:r>
    </w:p>
    <w:p>
      <w:pPr/>
      <w:r>
        <w:rPr>
          <w:b/>
        </w:rPr>
        <w:t>POSSIBLE 2024:</w:t>
      </w:r>
      <w:r>
        <w:t xml:space="preserve"> Globalization and Transformations in the World Politics: Global Politics, Global Governance, Geopolitics, and International Politics. — https://openalex.org/W4406290880</w:t>
      </w:r>
    </w:p>
    <w:p>
      <w:pPr/>
      <w:r>
        <w:rPr>
          <w:b/>
        </w:rPr>
        <w:t>Shared claim-specific concepts:</w:t>
      </w:r>
      <w:r>
        <w:t xml:space="preserve"> political, world, collapse, scientific; EU scope not established. This is a provisional connection, not an outcome finding.</w:t>
      </w:r>
    </w:p>
    <w:p>
      <w:pPr>
        <w:pStyle w:val="SourceNote"/>
      </w:pPr>
      <w:r>
        <w:rPr>
          <w:b/>
        </w:rPr>
        <w:t>Available abstract (not full text):</w:t>
      </w:r>
      <w:r>
        <w:t xml:space="preserve"> This article is a focus on Globalization of the economy, which has become, over the past four decades, a new field of study in world politics. Its impact on the world order draws all eyes to the political system put in place since the end of the Second World War and the collapse of the Soviet Union, marking the end of the Cold War and the rise of the United States on the international arena. It encompasses all human activities related to production, economy, trade, finance and even migration. Globalization is the fruit of liberal democracy promoted by the Western civilization, which proclaims individualism, that means, people are born equal and free, which freedom is more important than justice and authority, and then, since people are capable of reasoning, this leads them to self-actualization and prosperity. The right to freedom and self-determination of peoples become the cornerstone of the neoliberal ideology that promotes the principles of economic liberalization, that is, the rights of states and peoples to productivity, commercialization and privatization of the economy. The principles that allowed the re-foundation of the State, born with the Treaty of Westphalia in 1648, putting an end to private or religious wars, and enshrining the principles of territoriality, sovereignty and self-determination, have admitted that States can no longer continue to remain hidden behin</w:t>
      </w:r>
    </w:p>
    <w:p>
      <w:pPr/>
      <w:r>
        <w:rPr>
          <w:b/>
        </w:rPr>
        <w:t>POSSIBLE 2024:</w:t>
      </w:r>
      <w:r>
        <w:t xml:space="preserve"> State and politics in the transitional era of globalization: Twisting and turning toward authoritarian and hybrid regimes — https://doi.org/10.1111/polp.12603</w:t>
      </w:r>
    </w:p>
    <w:p>
      <w:pPr/>
      <w:r>
        <w:rPr>
          <w:b/>
        </w:rPr>
        <w:t>Shared claim-specific concepts:</w:t>
      </w:r>
      <w:r>
        <w:t xml:space="preserve"> political, world, era; EU scope not established. This is a provisional connection, not an outcome finding.</w:t>
      </w:r>
    </w:p>
    <w:p>
      <w:pPr>
        <w:pStyle w:val="SourceNote"/>
      </w:pPr>
      <w:r>
        <w:rPr>
          <w:b/>
        </w:rPr>
        <w:t>Available abstract (not full text):</w:t>
      </w:r>
      <w:r>
        <w:t xml:space="preserve"> Abstract Beyond its discontented thesis, globalization has had a difficult time in the last few years, owing to the global financial crises of 2008–2009 when its vacuous premises and promises were widely contested for being an unfair deal. The recent rise of nationalist and populist movements across the West and the East, boosted by the COVID‐19 pandemic, now threatens its survival. However, globalization experts are largely divided in charting its future; while some predict the demise of the existing world order, others believe globalization will continue with some restructuring. By analyzing the global political dynamics and reviewing political and scholarly news and views, we argue that globalization is currently undergoing a transitional era with a new paradox—one characterized by the emergence of a multipolar world but with local identity and tradition‐based politics. The upshot is that the state with the border is re‐emerging alongside authoritarian and hybrid regimes. Related Articles Kane, John, and Haig Patapan. 2010. “Recovering Justice: Political Legitimacy Reconsidered.” Politics &amp; Policy 38(3): 589–610. https://doi.org/10.1111/j.1747‐1346.2010.00250.x . Quinn, Adam. 2007. “The Great Illusion: Chimeras of Isolationism and Realism in Post‐Iraq U.S. Foreign Policy.” Politics &amp; Policy 35(3): 522–47. https://doi.org/10.1111/j.1747‐1346.2007.00071.x . Zaidi, Syed Muhamma</w:t>
      </w:r>
    </w:p>
    <w:p>
      <w:pPr>
        <w:pStyle w:val="Heading2"/>
      </w:pPr>
      <w:r>
        <w:t>655. EU land use futures: modelling food, bioenergy and carbon dynamics</w:t>
      </w:r>
    </w:p>
    <w:p>
      <w:pPr>
        <w:pStyle w:val="SourceNote"/>
      </w:pPr>
      <w:r>
        <w:rPr>
          <w:b/>
        </w:rPr>
        <w:t>Original source (2020):</w:t>
      </w:r>
      <w:r>
        <w:t xml:space="preserve"> https://doi.org/10.1016/j.esr.2020.100545</w:t>
      </w:r>
    </w:p>
    <w:p>
      <w:pPr/>
      <w:r>
        <w:t>Original wording (abstract; indexed_source_text_not_full_document_verified): We demonstrate that changes in types and quantities of food consumed and reductions in food wastes along with sustainable bioenergy and forestry dynamics would materially assist the EU in meeting its 2050 climate mitigation obligations. This paper presents an original system dynamics model, which aims to assess how changes in diet, agricultural practices, bioenergy and forestry could help reduce greenhouse gas emissions.</w:t>
      </w:r>
    </w:p>
    <w:p>
      <w:pPr/>
      <w:r>
        <w:rPr>
          <w:b/>
        </w:rPr>
        <w:t>POSSIBLE 2026:</w:t>
      </w:r>
      <w:r>
        <w:t xml:space="preserve"> European runoff drought event types: From historical classification to projected future changes — https://doi.org/10.5194/egusphere-2026-973</w:t>
      </w:r>
    </w:p>
    <w:p>
      <w:pPr/>
      <w:r>
        <w:rPr>
          <w:b/>
        </w:rPr>
        <w:t>Shared claim-specific concepts:</w:t>
      </w:r>
      <w:r>
        <w:t xml:space="preserve"> demonstrate, types, climate, assess; EU scope visible. This is a provisional connection, not an outcome finding.</w:t>
      </w:r>
    </w:p>
    <w:p>
      <w:pPr>
        <w:pStyle w:val="SourceNote"/>
      </w:pPr>
      <w:r>
        <w:rPr>
          <w:b/>
        </w:rPr>
        <w:t>Available abstract (not full text):</w:t>
      </w:r>
      <w:r>
        <w:t xml:space="preserve"> Abstract. European drought events have intensified in recent decades, raising concerns about water resources, agriculture, and ecosystem health. Most existing continental-scale drought assessments provide limited attribution of drought changes to the processes that generate runoff drought, which constrains understanding of how these processes will evolve in a warming climate. In this study, we provide the first continental-scale assessment of future changes in runoff drought generation processes across Europe, focusing on rainfall deficit, rain-to-snow and wet-to-dry season transitions, and snow-related processes. We used a continental-scale hydrological model in combination with observed meteorological data and climate simulations (GCMs) under a middle-of-the-road emission scenario (i.e., RCP4.5, ≈2 °C global warming by 2100). Unlike widely used aggregated drought index-based studies, our mechanism-specific classification approach distinguishes the physical drivers of drought events by classifying runoff droughts into seven event types based on their severity, duration, and frequency and leverages spatial clustering analysis (Getis–Ord G∗i method) to assess the climate responses. Our analysis reveals considerable regional differences in drought mechanisms and their responses. Historical observations (1971–2000) highlight that Mediterranean Europe experiences the most severe dr</w:t>
      </w:r>
    </w:p>
    <w:p>
      <w:pPr/>
      <w:r>
        <w:rPr>
          <w:b/>
        </w:rPr>
        <w:t>POSSIBLE 2026:</w:t>
      </w:r>
      <w:r>
        <w:t xml:space="preserve"> Sowing the seeds of change: unveiling farmer types to promote climate-smart agriculture adoption in Europe — https://doi.org/10.1016/j.jrurstud.2026.104043</w:t>
      </w:r>
    </w:p>
    <w:p>
      <w:pPr/>
      <w:r>
        <w:rPr>
          <w:b/>
        </w:rPr>
        <w:t>Shared claim-specific concepts:</w:t>
      </w:r>
      <w:r>
        <w:t xml:space="preserve"> demonstrate, types, food, climate, mitigation; EU scope visible. This is a provisional connection, not an outcome finding.</w:t>
      </w:r>
    </w:p>
    <w:p>
      <w:pPr>
        <w:pStyle w:val="SourceNote"/>
      </w:pPr>
      <w:r>
        <w:rPr>
          <w:b/>
        </w:rPr>
        <w:t>Available abstract (not full text):</w:t>
      </w:r>
      <w:r>
        <w:t xml:space="preserve"> Climate-smart agriculture (CSA) promises to provide a triple win in economic viability, food security and climate change mitigation. This study develops a European farmer typology to enhance the adoption of CSA by combining two research streams, the COM-B behavioural-change theory and segmentation research. Using a survey of 603 farmers from five European countries (Denmark, Lithuania, Netherlands, Slovenia, Spain), the study applies a systematic approach, examining capability, opportunity and motivation factors of the COM-B model. Data analysis resulted into classifying farmers into four types: environmentalists, constrained, indifferents, and traditionalists . The farmer typology reveals that all components of the COM-B model were useful to differentiate the four farmer groups. Environmentalists express high intention to adopt CSA, motivated both internally, by capabilities and motivation, and externally by the opportunities in the social and food systems environments. Constrained farmers share similar intentions but face significant barriers in physical opportunities, such as limited access to markets and credit, policy framework and market willingness to pay. Indifferents, despite sharing some commonalities with constrained farmers, they demonstrate low interest in CSA mainly due to lower levels of psychological capabilities and motivation. Finally, the traditionalists face</w:t>
      </w:r>
    </w:p>
    <w:p>
      <w:pPr/>
      <w:r>
        <w:rPr>
          <w:b/>
        </w:rPr>
        <w:t>POSSIBLE 2026:</w:t>
      </w:r>
      <w:r>
        <w:t xml:space="preserve"> European riverine and coastal wetlands under pressure: biodiversity and climate change — https://doi.org/10.3897/natureconservation.62.163636</w:t>
      </w:r>
    </w:p>
    <w:p>
      <w:pPr/>
      <w:r>
        <w:rPr>
          <w:b/>
        </w:rPr>
        <w:t>Shared claim-specific concepts:</w:t>
      </w:r>
      <w:r>
        <w:t xml:space="preserve"> types, food, climate; EU scope visible. This is a provisional connection, not an outcome finding.</w:t>
      </w:r>
    </w:p>
    <w:p>
      <w:pPr>
        <w:pStyle w:val="SourceNote"/>
      </w:pPr>
      <w:r>
        <w:rPr>
          <w:b/>
        </w:rPr>
        <w:t>Available abstract (not full text):</w:t>
      </w:r>
      <w:r>
        <w:t xml:space="preserve"> Although European coastal and riverine wetlands occupy a small share of the European land area, these ecosystems host remarkable biodiversity and provide a wide range of ecosystem services fundamental for human well-being, including clean water, recreation, food provision and climate regulation. Synthesising current knowledge across biogeographic regions, this review shows that only 12% of EU riverine and coastal wetland habitat types are in favourable condition, while the majority continue to deteriorate, mirrored by substantial declines in many wetland-dependent species. Climate-related impacts vary strongly across Europe and interact with existing human pressures such as land-use change, hydromorphological alteration, hydropower, coastal engineering and pollution, accelerating habitat and species loss and reducing the resilience of wetlands to climate change impacts. The paper calls for a rethinking of coastal and riverine wetlands as multifunctional landscapes and stresses the need for coordinated, cross-sectoral policy approaches. These wetlands are positioned not only as vulnerable systems but as pivotal Nature-based Solutions for achieving climate resilience and halting biodiversity loss, while remaining essential resources for human life support. Highlights Remaining European riverine and coastal wetlands are small and fragmented, yet vital for biodiversity and climate </w:t>
      </w:r>
    </w:p>
    <w:p>
      <w:pPr/>
      <w:r>
        <w:rPr>
          <w:b/>
        </w:rPr>
        <w:t>POSSIBLE 2026:</w:t>
      </w:r>
      <w:r>
        <w:t xml:space="preserve"> Estimating biogenic CO2 fluxes for different vegetation types using CarboScope-Regional inversion (CSR) over Europe — https://doi.org/10.5194/egusphere-egu26-13862</w:t>
      </w:r>
    </w:p>
    <w:p>
      <w:pPr/>
      <w:r>
        <w:rPr>
          <w:b/>
        </w:rPr>
        <w:t>Shared claim-specific concepts:</w:t>
      </w:r>
      <w:r>
        <w:t xml:space="preserve"> demonstrate, types, climate, system, assess; EU scope visible. This is a provisional connection, not an outcome finding.</w:t>
      </w:r>
    </w:p>
    <w:p>
      <w:pPr>
        <w:pStyle w:val="SourceNote"/>
      </w:pPr>
      <w:r>
        <w:rPr>
          <w:b/>
        </w:rPr>
        <w:t>Available abstract (not full text):</w:t>
      </w:r>
      <w:r>
        <w:t xml:space="preserve"> CO2 atmospheric inversions are typically used to derive Net Ecosystem Exchange (NEE) estimates from atmospheric observations, while prescribing the anthropogenic component or resolving for CO2 emissions using proper proxy data. Year-to-year variability of the biosphere sink is primarily caused by climate variations such as drought events, heat waves, and seasonal changes. However, the response of biospheric sink to climate conditions varies spatially across lands depending on vegetation type. In this study, we modified our CSR experiment by augmenting the state space of a standard CO2 inversion enabling the separate optimization of seven vegetation types within CSR, which increases the state space by a factor seven. The diagnostic biosphere model VPRM is used to provide a priori fluxes of CO2 for the targeted vegetation classes, which are derived from the remote sensing data. Posterior flux estimates demonstrate the contributions of CO2 estimates from evergreen, deciduous, mixed forests, as well as shrublands, savanna, croplands, and grasslands. The results indicate that the largest flux adjustments are associated with croplands over Europe, suggesting a shift from being largest sink in the prior model to the largest source of CO2. A similar analysis at the national scale over Germany shows substantial flux adjustments in croplands, which also exhibit the dominant interannual v</w:t>
      </w:r>
    </w:p>
    <w:p>
      <w:pPr/>
      <w:r>
        <w:rPr>
          <w:b/>
        </w:rPr>
        <w:t>POSSIBLE 2026:</w:t>
      </w:r>
      <w:r>
        <w:t xml:space="preserve"> Understanding biases and changes in European heavy precipitation using dynamical flow precursors — https://doi.org/10.5194/wcd-7-633-2026</w:t>
      </w:r>
    </w:p>
    <w:p>
      <w:pPr/>
      <w:r>
        <w:rPr>
          <w:b/>
        </w:rPr>
        <w:t>Shared claim-specific concepts:</w:t>
      </w:r>
      <w:r>
        <w:t xml:space="preserve"> demonstrate, types, dynamics, climate; EU scope visible. This is a provisional connection, not an outcome finding.</w:t>
      </w:r>
    </w:p>
    <w:p>
      <w:pPr>
        <w:pStyle w:val="SourceNote"/>
      </w:pPr>
      <w:r>
        <w:rPr>
          <w:b/>
        </w:rPr>
        <w:t>Available abstract (not full text):</w:t>
      </w:r>
      <w:r>
        <w:t xml:space="preserve"> Abstract. We address the problem of understanding precipitation in climate models. Using a novel decomposition applied to two large ensemble simulations, we disaggregate biases and forced changes in European heavy precipitation occurrence according to different weather conditions and isolate synoptic-scale dynamical contributions from the local-scale conversion of synoptic forcing into precipitation. We categorise weather conditions using multivariate, regionally-specific heavy precipitation precursors that target precipitation-causing flow patterns, revealing a larger role for dynamics in explaining model biases and projected changes than suggested by previous work. We demonstrate that biases in heavy precipitation across models and regions can emerge from errors on very different scales, with compensating biases between scales being common. This has important implications for model selection, for example for downscaling or storyline applications. In terms of forced changes in heavy precipitation, we show that apparent model agreement can arise from markedly different future scenarios with different levels of implied risk. Our results demonstrate the utility of flow-dependent diagnostics for exposing the origins of climate model biases, which can distort a model’s precipitation response in future projections. With an eye to informing researchers in model development and valida</w:t>
      </w:r>
    </w:p>
    <w:p>
      <w:pPr/>
      <w:r>
        <w:rPr>
          <w:b/>
        </w:rPr>
        <w:t>POSSIBLE 2025:</w:t>
      </w:r>
      <w:r>
        <w:t xml:space="preserve"> Readiness to Change and the Intention to Consume Novel Foods: Evidence from Linear Discriminant Analysis — https://doi.org/10.3390/su17114902</w:t>
      </w:r>
    </w:p>
    <w:p>
      <w:pPr/>
      <w:r>
        <w:rPr>
          <w:b/>
        </w:rPr>
        <w:t>Shared claim-specific concepts:</w:t>
      </w:r>
      <w:r>
        <w:t xml:space="preserve"> food, sustainable, climate; EU scope not established. This is a provisional connection, not an outcome finding.</w:t>
      </w:r>
    </w:p>
    <w:p>
      <w:pPr>
        <w:pStyle w:val="SourceNote"/>
      </w:pPr>
      <w:r>
        <w:rPr>
          <w:b/>
        </w:rPr>
        <w:t>Available abstract (not full text):</w:t>
      </w:r>
      <w:r>
        <w:t xml:space="preserve"> The challenges associated with climate change have led to the need for pro-environmental behaviors, including the consumption of sustainable novel foods. Despite the importance of sustainable food for the environment, there is still a need to further investigate the psychological determinants of consumer behavior change putatively able to promote the use of novel foods. In line with this, the aim of the present study was to investigate the role of readiness to change (RTC) in shaping the intention to consume sustainable foods (e.g., chia seeds and edible insects). RTC refers to a valuable construct composed of seven different dimensions, namely perceived importance of the problem/change, motivation, self-efficacy, effectiveness of proposed solution, social support, action and involvement, and perceived readiness. In keeping with this, a cross-sectional study was conducted by collecting from 1252 participants through an online and anonymous survey. In line with the aim above, a linear discriminant analysis was performed to explore potential non-linear relationships between RTC and novel food consumption. The results highlighted certain RTC dimensions (e.g., perceived importance of the problem, action, and self-efficacy) able to positively support the intention to consume novel foods (e.g., chia seeds and spirulina algae). In conclusion, the study pointed out evidence regarding p</w:t>
      </w:r>
    </w:p>
    <w:p>
      <w:pPr/>
      <w:r>
        <w:rPr>
          <w:b/>
        </w:rPr>
        <w:t>POSSIBLE 2025:</w:t>
      </w:r>
      <w:r>
        <w:t xml:space="preserve"> Agroecological interventions increase biodiversity and the potential for climate change mitigation in Europe — https://doi.org/10.1016/j.agee.2025.109938</w:t>
      </w:r>
    </w:p>
    <w:p>
      <w:pPr/>
      <w:r>
        <w:rPr>
          <w:b/>
        </w:rPr>
        <w:t>Shared claim-specific concepts:</w:t>
      </w:r>
      <w:r>
        <w:t xml:space="preserve"> demonstrate, types, along, sustainable, climate, mitigation; EU scope visible. This is a provisional connection, not an outcome finding.</w:t>
      </w:r>
    </w:p>
    <w:p>
      <w:pPr>
        <w:pStyle w:val="SourceNote"/>
      </w:pPr>
      <w:r>
        <w:rPr>
          <w:b/>
        </w:rPr>
        <w:t>Available abstract (not full text):</w:t>
      </w:r>
      <w:r>
        <w:t xml:space="preserve"> Agroecology has gained considerable interest as a concept for designing sustainable agrifood systems. To date however, the effects of farming systems and management practices associated with agroecology (i.e., agroecological interventions) on biodiversity and climate change mitigation have not been systematically reviewed. Here, we perform a meta-analysis using observational and experimental studies to assess the effects of agroecological interventions on taxa diversity, as well as on greenhouse gas emissions (GHG) and carbon storage in Europe. Agroecological interventions were classified along a gradient ranging from input substitution to system redesign in order to estimate and compare effects of different agroecological transition types. We found a general positive effect of agroecological interventions across biodiversity and climate change mitigation metrics. Agroecological interventions increased diversity of all functional groups of organisms considered, as well as promoting soil carbon storage, and reducing nitrous oxide emissions. However, agroecological interventions had limited effects on the mitigation of carbon dioxide and methane emissions. Positive effects on biodiversity and climate change mitigation metrics were consistent for transitions from conventional farming interventions to either input substitution or redesign interventions. A win-win situation was foun</w:t>
      </w:r>
    </w:p>
    <w:p>
      <w:pPr/>
      <w:r>
        <w:rPr>
          <w:b/>
        </w:rPr>
        <w:t>POSSIBLE 2024:</w:t>
      </w:r>
      <w:r>
        <w:t xml:space="preserve"> European Forest Type Map — https://doi.org/10.5194/egusphere-egu24-3418</w:t>
      </w:r>
    </w:p>
    <w:p>
      <w:pPr/>
      <w:r>
        <w:rPr>
          <w:b/>
        </w:rPr>
        <w:t>Shared claim-specific concepts:</w:t>
      </w:r>
      <w:r>
        <w:t xml:space="preserve"> types, along, climate, mitigation, system, aims; EU scope visible. This is a provisional connection, not an outcome finding.</w:t>
      </w:r>
    </w:p>
    <w:p>
      <w:pPr>
        <w:pStyle w:val="SourceNote"/>
      </w:pPr>
      <w:r>
        <w:rPr>
          <w:b/>
        </w:rPr>
        <w:t>Available abstract (not full text):</w:t>
      </w:r>
      <w:r>
        <w:t xml:space="preserve"> Forest types are key factors to consider when monitoring forests, particularly in consideration of the increasing need to assess how climate change is affecting different forests in Europe and beyond. A comprehensive classification system is indeed essential for understanding the diverse forest ecosystems, tracking their changes over time and across various spatial and geographical scales. Moreover, it provides valuable insights on the baseline conditions and current states of forest ecosystems, aiding in decision-making for conservation and resource management. A "forest type classification scheme" aims to break down extensive forested areas, like stocked forest land, into smaller, more similar units. This breakdown helps streamline the analysis, interpretation, and communication of forest-related data. In Europe, the European Forest Types (EFT) classification system has demonstrated its effectiveness and user-friendliness in facilitating the comprehension, interpretation, and dissemination of data regarding indicators that depict the conditions and changes within European forests, as well as forest management practices. The EFT, could support a standardised reporting of several forest area related indicators. This includes assessments of biodiversity, organised into ecologically similar groups across the entire European region. However, until now, there was no EFTs map availa</w:t>
      </w:r>
    </w:p>
    <w:p>
      <w:pPr/>
      <w:r>
        <w:rPr>
          <w:b/>
        </w:rPr>
        <w:t>POSSIBLE 2024:</w:t>
      </w:r>
      <w:r>
        <w:t xml:space="preserve"> Cross‐border dimensions of Arctic climate change impacts and implications for Europe — https://doi.org/10.1002/wcc.905</w:t>
      </w:r>
    </w:p>
    <w:p>
      <w:pPr/>
      <w:r>
        <w:rPr>
          <w:b/>
        </w:rPr>
        <w:t>Shared claim-specific concepts:</w:t>
      </w:r>
      <w:r>
        <w:t xml:space="preserve"> demonstrate, climate;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demonstrate, climate, mitigation;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Natural Hazards in a Changing World: Methods for Analyzing Trends and Non‐Linear Changes — https://doi.org/10.1029/2023ef003553</w:t>
      </w:r>
    </w:p>
    <w:p>
      <w:pPr/>
      <w:r>
        <w:rPr>
          <w:b/>
        </w:rPr>
        <w:t>Shared claim-specific concepts:</w:t>
      </w:r>
      <w:r>
        <w:t xml:space="preserve"> types, dynamics, assess; EU scope visible. This is a provisional connection, not an outcome finding.</w:t>
      </w:r>
    </w:p>
    <w:p>
      <w:pPr>
        <w:pStyle w:val="SourceNote"/>
      </w:pPr>
      <w:r>
        <w:rPr>
          <w:b/>
        </w:rPr>
        <w:t>Available abstract (not full text):</w:t>
      </w:r>
      <w:r>
        <w:t xml:space="preserve"> Abstract Estimating the frequency and magnitude of natural hazards largely hinges on stationary models, which do not account for changes in the climatological, hydrological, and geophysical baseline conditions. Using five diverse case studies encompassing various natural hazard types, we present advanced statistical and machine learning methods to analyze and model transient states from long‐term inventory data. A novel storminess metric reveals increasing European winter windstorm severity from 1950 to 2010. Non‐stationary extreme value models quantify trends, seasonal shifts, and regional differences in extreme precipitation for Germany between 1941 and 2021. Utilizing quantile sampling and empirical mode decomposition on 148 years of daily weather and discharge data in the European Alps, we assess the impacts of changing snow cover, precipitation, and anthropogenic river network modifications on river runoff. Moreover, a probabilistic framework estimates return periods of glacier lake outburst floods in the Himalayas, demonstrating large differences in 100‐year flood levels. Utilizing a Bayesian change point algorithm, we track the onset of increased seismicity in the southern central United States and find correlation with wastewater injections into deep wells. In conclusion, data science reveals transient states for very different natural hazard types, characterized by div</w:t>
      </w:r>
    </w:p>
    <w:p>
      <w:pPr/>
      <w:r>
        <w:rPr>
          <w:b/>
        </w:rPr>
        <w:t>POSSIBLE 2024:</w:t>
      </w:r>
      <w:r>
        <w:t xml:space="preserve"> Mapping lock-ins and enabling environments for agri-food sustainability transitions in Europe — https://doi.org/10.1007/s11625-024-01480-y</w:t>
      </w:r>
    </w:p>
    <w:p>
      <w:pPr/>
      <w:r>
        <w:rPr>
          <w:b/>
        </w:rPr>
        <w:t>Shared claim-specific concepts:</w:t>
      </w:r>
      <w:r>
        <w:t xml:space="preserve"> demonstrate, food, sustainable; EU scope visible. This is a provisional connection, not an outcome finding.</w:t>
      </w:r>
    </w:p>
    <w:p>
      <w:pPr>
        <w:pStyle w:val="SourceNote"/>
      </w:pPr>
      <w:r>
        <w:rPr>
          <w:b/>
        </w:rPr>
        <w:t>Available abstract (not full text):</w:t>
      </w:r>
      <w:r>
        <w:t xml:space="preserve"> European agri-food systems must overcome structural lock-ins to achieve more sustainable modes of production and consumption. Yet European regions are highly diverse, and we lack understanding of how different regional characteristics may enable or inhibit sustainability transitions. This hinders the development of context-tailored governance strategies. In this paper, we identify and apply sets of spatial indicators to map the regional potentials for agri-food transitions. We first analyse the strength of lock-in to the incumbent agro-industrial paradigm. We then map the enabling environments for two alternative agri-food networks-multifunctional value chains and civic food networks-that each embed distinct social-ecological qualities of agriculture and food. Results demonstrate a large spatial diversity in transition potential, with stronger lock-ins throughout North and Western Europe and stronger enabling environments for agri-food transitions in Italy, France, Switzerland, and Southwest Germany. We find that lock-ins are strongest in livestock-dominated regions and are associated with higher GHG emissions and excess nitrogen levels. Our study demonstrates the need for coordinated public policies that (1) leverage region-specific transition potentials and (2) enable complementary innovations in market-based and community-led networks. Supplementary Information: The online v</w:t>
      </w:r>
    </w:p>
    <w:p>
      <w:pPr>
        <w:pStyle w:val="Heading2"/>
      </w:pPr>
      <w:r>
        <w:t>656. EU road vehicle energy consumption and CO2 emissions by 2050 – Expert-based scenarios</w:t>
      </w:r>
    </w:p>
    <w:p>
      <w:pPr>
        <w:pStyle w:val="SourceNote"/>
      </w:pPr>
      <w:r>
        <w:rPr>
          <w:b/>
        </w:rPr>
        <w:t>Original source (2020):</w:t>
      </w:r>
      <w:r>
        <w:t xml:space="preserve"> https://doi.org/10.1016/j.enpol.2019.111224</w:t>
      </w:r>
    </w:p>
    <w:p>
      <w:pPr/>
      <w:r>
        <w:t>Original wording (abstract; indexed_source_text_not_full_document_verified): Outcomes show that tank to wheel road transport CO2 emission reductions up to 90% versus 1990 could be reached by 2050 through strong fleet electrification and if all measures achieve their best potential. To inform long-term policies on transport decarbonisation, the present paper analyses European road transport CO2 emission reduction options by 2050.</w:t>
      </w:r>
    </w:p>
    <w:p>
      <w:pPr/>
      <w:r>
        <w:rPr>
          <w:b/>
        </w:rPr>
        <w:t>POSSIBLE 2026:</w:t>
      </w:r>
      <w:r>
        <w:t xml:space="preserve"> Knowledge Flow Processes and Organizational Learning Outcomes in Research Think Tanks: Evidence from Kenya. — https://doi.org/10.47787/xn7pck58</w:t>
      </w:r>
    </w:p>
    <w:p>
      <w:pPr/>
      <w:r>
        <w:rPr>
          <w:b/>
        </w:rPr>
        <w:t>Shared claim-specific concepts:</w:t>
      </w:r>
      <w:r>
        <w:t xml:space="preserve"> outcomes, show, tank, strong; EU scope not established. This is a provisional connection, not an outcome finding.</w:t>
      </w:r>
    </w:p>
    <w:p>
      <w:pPr>
        <w:pStyle w:val="SourceNote"/>
      </w:pPr>
      <w:r>
        <w:rPr>
          <w:b/>
        </w:rPr>
        <w:t>Available abstract (not full text):</w:t>
      </w:r>
      <w:r>
        <w:t xml:space="preserve"> How knowledge moves within organizations remains central to understanding why some institutions learn and adapt while others reproduce fragmented routines. Although organizational learning theory recognizes knowledge creation, sharing, documentation and use as interdependent processes, empirical research has largely examined these dimensions in isolation, with limited evidence from research institutions in the Global South. Drawing on the 4I framework of organizational learning, the study examines how knowledge flow processes interact to shape organizational learning outcomes within a Kenyan research think tank. Using a cross-sectional single-case survey design, data were collected from 42 staff members and analyzed though descriptive statistics, chi-square tests, Fisher’s Exact tests and multiple regression models to examine the association and relative influence of knowledge flow dimensions on evidence- informed decision-making, adaptive management and influence of learning on practice. The findings reveal a structural decoupling between knowledge generation and organizational learning; while knowledge creation and within-programme sharing are institutionally strong, they do not consistently translate into organization-wide learning. Knowledge documentation supports retention but remains weakly connected to action. In contrast, knowledge use merges as the strongest and only c</w:t>
      </w:r>
    </w:p>
    <w:p>
      <w:pPr/>
      <w:r>
        <w:rPr>
          <w:b/>
        </w:rPr>
        <w:t>POSSIBLE 2026:</w:t>
      </w:r>
      <w:r>
        <w:t xml:space="preserve"> Different Colours, Different Outcomes: Tank Colour Shapes Larval Survival, Growth, and Endocrine Response in Cichlasoma dimerus — https://doi.org/10.3390/ani16030466</w:t>
      </w:r>
    </w:p>
    <w:p>
      <w:pPr/>
      <w:r>
        <w:rPr>
          <w:b/>
        </w:rPr>
        <w:t>Shared claim-specific concepts:</w:t>
      </w:r>
      <w:r>
        <w:t xml:space="preserve"> outcomes, tank, reached; EU scope not established. This is a provisional connection, not an outcome finding.</w:t>
      </w:r>
    </w:p>
    <w:p>
      <w:pPr>
        <w:pStyle w:val="SourceNote"/>
      </w:pPr>
      <w:r>
        <w:rPr>
          <w:b/>
        </w:rPr>
        <w:t>Available abstract (not full text):</w:t>
      </w:r>
      <w:r>
        <w:t xml:space="preserve"> Early environmental conditions play a critical role in shaping fish physiology and behaviour, with tank colour emerging as a relevant yet often overlooked factor in aquaculture and experimental research. This study investigated how rearing tank colour affects larval performance in the cichlid fish Cichlasoma dimerus. Larvae were reared in white, light-blue, or grey tanks, and survival, growth, pigmentation, sex ratio, skeletal development, and the endocrine responses of somatolactin (Sl) and growth hormone (Gh) were evaluated. Survival was significantly lower in white tanks. Conversely, larvae reared in white tanks reached a higher final body weight, while total length showed a similar but non-significant trend. Gh-immunoreactive cells exhibited significantly larger nuclear areas in larvae reared in white tanks and a tendency toward smaller cytoplasmic areas compared with those from light-blue tanks. Melanophore number did not differ among treatments, whereas larvae from grey tanks showed a higher number of Sl-immunoreactive cells. Sex ratios tended to be female-biased in white tanks. Skeletal development did not differ among tank colours and followed the expected chondrogenesis and ossification sequence. Overall, tank colour influenced multiple aspects of larval development, particularly survival, growth, and endocrine responses, underscoring its relevance in fish rearing and </w:t>
      </w:r>
    </w:p>
    <w:p>
      <w:pPr/>
      <w:r>
        <w:rPr>
          <w:b/>
        </w:rPr>
        <w:t>POSSIBLE 2026:</w:t>
      </w:r>
      <w:r>
        <w:t xml:space="preserve"> ARTIFICIAL INTELLIGENCE AS A TECHNO-STRATEGIC DOMAIN: A COMPARATIVE ANALYSIS OF THE INFLUENCE OF THINK TANKS ON US AND EUROPEAN AI POLICIES — https://doi.org/10.53443/anadoluibfd.1850103</w:t>
      </w:r>
    </w:p>
    <w:p>
      <w:pPr/>
      <w:r>
        <w:rPr>
          <w:b/>
        </w:rPr>
        <w:t>Shared claim-specific concepts:</w:t>
      </w:r>
      <w:r>
        <w:t xml:space="preserve"> tank, potential, policies; EU scope visible. This is a provisional connection, not an outcome finding.</w:t>
      </w:r>
    </w:p>
    <w:p>
      <w:pPr>
        <w:pStyle w:val="SourceNote"/>
      </w:pPr>
      <w:r>
        <w:rPr>
          <w:b/>
        </w:rPr>
        <w:t>Available abstract (not full text):</w:t>
      </w:r>
      <w:r>
        <w:t xml:space="preserve"> This study examines how structural, financial, and operational differences between American and European think tanks shape the artificial intelligence (AI) policies each ecosystem helps to produce. The core argument is that the competitive, advocacy-focused American think tank ecosystem, funded by private sector and philanthropy, fosters AI policies centered on national security and technological leadership against China. Conversely, European think-tank institutions, characterized by state funding and consensus-oriented structures, prioritize ethical frameworks, digital sovereignty, and trustworthy AI development. Drawing on Schmidt’s discursive institutionalism and Haas’s concept of epistemic communities, the study treats think-tank influence as a matter of discursive register and epistemic cohesion rather than mere visibility, and applies this lens through a systematic document and discourse analysis of prominent think tanks including RAND Corporation, Brookings Institution, CSIS, Heritage Foundation, Bruegel, Chatham House, SWP, and HIIG. This research reveals that US institutions frame AI as a zero-sum geopolitical competition and speak largely to public-political audiences across an ideationally divided field, while European counterparts, operating as a more cohesive expert community addressed to officials, view it as a domain for projecting normative power globally. These</w:t>
      </w:r>
    </w:p>
    <w:p>
      <w:pPr/>
      <w:r>
        <w:rPr>
          <w:b/>
        </w:rPr>
        <w:t>POSSIBLE 2026:</w:t>
      </w:r>
      <w:r>
        <w:t xml:space="preserve"> The economics of Decarbonizing Road Freight Transport – comparing Europe, USA and China — https://doi.org/10.34726/hss.2026.134201</w:t>
      </w:r>
    </w:p>
    <w:p>
      <w:pPr/>
      <w:r>
        <w:rPr>
          <w:b/>
        </w:rPr>
        <w:t>Shared claim-specific concepts:</w:t>
      </w:r>
      <w:r>
        <w:t xml:space="preserve"> outcomes, show, road, transport, emission, reductions; EU scope visible. This is a provisional connection, not an outcome finding.</w:t>
      </w:r>
    </w:p>
    <w:p>
      <w:pPr>
        <w:pStyle w:val="SourceNote"/>
      </w:pPr>
      <w:r>
        <w:rPr>
          <w:b/>
        </w:rPr>
        <w:t>Available abstract (not full text):</w:t>
      </w:r>
      <w:r>
        <w:t xml:space="preserve"> This thesis examines the techno-economic and environmental feasibility of decarbonizing long-haul heavy-duty road freight through battery-electric vehicles (BEVs) and fuel-cell vehicles (FCVs) in comparison with conventional diesel trucks. The primary focus lies on Europe, complemented by comparative case analyses for the United States and China in order to account for differences in energy systems, cost structures, and policy frameworks.An integrated modelling framework was developed that combines a discounted-cash-flow-based Total Cost of Ownership (TCO) model with a life-cycle assessment (LCA). The analysis is based on a representative 40-tonne long-haul truck with an annual mileage of 120,000 km and a lifetime mileage of 960,000 km. The TCO model includes vehicle and infrastructure capital expenditure, energy costs, maintenance, tolls, insurance, and residual values, while the LCA covers well-to-tank, tank-to-wheel, and manufacturing-related greenhouse gas emissions. In addition, operational parameters relevant to freight transport, including payload effects, ambient-temperature-related energy consumption, charging downtime, and battery degradation represented through residual value effects, are incorporated into the analytical framework. Where consistent market data were unavailable for all countries and years, intermediate values were derived using transparent interpolati</w:t>
      </w:r>
    </w:p>
    <w:p>
      <w:pPr/>
      <w:r>
        <w:rPr>
          <w:b/>
        </w:rPr>
        <w:t>POSSIBLE 2026:</w:t>
      </w:r>
      <w:r>
        <w:t xml:space="preserve"> Estimation of Costs and Environmental Impacts of a Cryogenic H2 Tank — https://doi.org/10.3390/engproc2026133137</w:t>
      </w:r>
    </w:p>
    <w:p>
      <w:pPr/>
      <w:r>
        <w:rPr>
          <w:b/>
        </w:rPr>
        <w:t>Shared claim-specific concepts:</w:t>
      </w:r>
      <w:r>
        <w:t xml:space="preserve"> show, tank, reductions; EU scope visible. This is a provisional connection, not an outcome finding.</w:t>
      </w:r>
    </w:p>
    <w:p>
      <w:pPr>
        <w:pStyle w:val="SourceNote"/>
      </w:pPr>
      <w:r>
        <w:rPr>
          <w:b/>
        </w:rPr>
        <w:t>Available abstract (not full text):</w:t>
      </w:r>
      <w:r>
        <w:t xml:space="preserve"> Aviation faces major challenges in meeting EU decarbonization goals, and liquid hydrogen is a promising alternative fuel. This study evaluates the environmental and economic performance of composite liquid hydrogen tanks for aircraft. A combined Life Cycle Assessment (LCA) and Life Cycle Costing (LCC) approach was applied to two tank configurations from the HyStor and TACOMA projects, based on Automated Fiber Placement (AFP) manufacturing data. Results show that tooling dominates prototype costs but becomes negligible in serial production, enabling reductions of up to 89%. The AFP process and carbon-fiber prepreg material are the main environmental impact drivers. Despite these, the lightweight composite design can offset its production footprint through operational fuel savings.</w:t>
      </w:r>
    </w:p>
    <w:p>
      <w:pPr/>
      <w:r>
        <w:rPr>
          <w:b/>
        </w:rPr>
        <w:t>POSSIBLE 2025:</w:t>
      </w:r>
      <w:r>
        <w:t xml:space="preserve"> Investigating the preferences for autonomous vehicle use in European road transport: a binary logit model — https://doi.org/10.1038/s44333-025-00055-3</w:t>
      </w:r>
    </w:p>
    <w:p>
      <w:pPr/>
      <w:r>
        <w:rPr>
          <w:b/>
        </w:rPr>
        <w:t>Shared claim-specific concepts:</w:t>
      </w:r>
      <w:r>
        <w:t xml:space="preserve"> show, road, transport, policies; EU scope visible. This is a provisional connection, not an outcome finding.</w:t>
      </w:r>
    </w:p>
    <w:p>
      <w:pPr>
        <w:pStyle w:val="SourceNote"/>
      </w:pPr>
      <w:r>
        <w:rPr>
          <w:b/>
        </w:rPr>
        <w:t>Available abstract (not full text):</w:t>
      </w:r>
      <w:r>
        <w:t xml:space="preserve"> This research study investigates the factors shaping European citizens’ perceptions and decisions regarding the adoption of Autonomous Vehicles (AVs). Key aspects such as safety, infrastructure readiness, data protection, legislation, and vehicle cost, were identified through a literature review. An online stated preference survey collected 235 responses across Europe, which were analyzed using Binary Logistic Regression. Findings reveal that safety is the most influential factor, followed by road infrastructure and legislative support. Socio-demographic patterns show that younger and higher-income individuals are more likely to adopt AVs, while drivers of cars and motorcycles express more favorable attitudes toward automation. These insights emphasize the need to address regulatory, infrastructural, and social barriers to support AV integration. The study offers guidance for developing targeted strategies and policies to accelerate AV adoption in Europe, ensuring their benefits are accessible to a wide range of users.</w:t>
      </w:r>
    </w:p>
    <w:p>
      <w:pPr/>
      <w:r>
        <w:rPr>
          <w:b/>
        </w:rPr>
        <w:t>POSSIBLE 2025:</w:t>
      </w:r>
      <w:r>
        <w:t xml:space="preserve"> Green Energy Fuelling Stations in Road Transport: Poland in the European and Global Context — https://doi.org/10.3390/en18154110</w:t>
      </w:r>
    </w:p>
    <w:p>
      <w:pPr/>
      <w:r>
        <w:rPr>
          <w:b/>
        </w:rPr>
        <w:t>Shared claim-specific concepts:</w:t>
      </w:r>
      <w:r>
        <w:t xml:space="preserve"> road, transport, decarbonisation; EU scope visible. This is a provisional connection, not an outcome finding.</w:t>
      </w:r>
    </w:p>
    <w:p>
      <w:pPr>
        <w:pStyle w:val="SourceNote"/>
      </w:pPr>
      <w:r>
        <w:rPr>
          <w:b/>
        </w:rPr>
        <w:t>Available abstract (not full text):</w:t>
      </w:r>
      <w:r>
        <w:t xml:space="preserve"> The transition to green energy in the transport sector is becoming a priority in the context of global climate challenges and the European Green Deal. This paper investigates the development of alternative fuelling stations, particularly electric vehicle (EV) charging infrastructure and hydrogen stations, across EU countries with a focus on Poland. It combines a policy and technology overview with a quantitative scientific analysis, offering a multidimensional perspective on green infrastructure deployment. A Pearson correlation analysis reveals significant links between charging station density and both GDP per capita and the share of renewable energy. The study introduces an original Infrastructure Accessibility Index (IAI) to compare infrastructure availability across EU member states and models Poland’s EV charging station demand up to 2030 under multiple growth scenarios. Furthermore, the article provides a comprehensive overview of biofuels, including first-, second-, and third-generation technologies, and highlights recent advances in hydrogen and renewable electricity integration. Emphasis is placed on life cycle considerations, energy source sustainability, and economic implications. The findings support policy development toward zero-emission mobility and the decarbonisation of transport systems, offering recommendations for infrastructure expansion and energy diversi</w:t>
      </w:r>
    </w:p>
    <w:p>
      <w:pPr/>
      <w:r>
        <w:rPr>
          <w:b/>
        </w:rPr>
        <w:t>POSSIBLE 2025:</w:t>
      </w:r>
      <w:r>
        <w:t xml:space="preserve"> The cyber-enhanced tank: a novel concept for increased realism and multi-modal monitoring in tank based finfish aquaculture research — https://doi.org/10.3389/frobt.2025.1629884</w:t>
      </w:r>
    </w:p>
    <w:p>
      <w:pPr/>
      <w:r>
        <w:rPr>
          <w:b/>
        </w:rPr>
        <w:t>Shared claim-specific concepts:</w:t>
      </w:r>
      <w:r>
        <w:t xml:space="preserve"> tank, achieve, potential, present; EU scope not established. This is a provisional connection, not an outcome finding.</w:t>
      </w:r>
    </w:p>
    <w:p>
      <w:pPr>
        <w:pStyle w:val="SourceNote"/>
      </w:pPr>
      <w:r>
        <w:rPr>
          <w:b/>
        </w:rPr>
        <w:t>Available abstract (not full text):</w:t>
      </w:r>
      <w:r>
        <w:t xml:space="preserve"> In recent years, several studies that analyze and interpret fish behavioral patterns in aquaculture settings have been published. Understanding how the fish react and respond to various scenarios and treatments can help provide insight and knowledge on how to achieve sustainable and efficient aquaculture production. Many of these research efforts have been conducted in land based tanks as this allows for closer and more continuous monitoring of the fish than what is possible at commercial facilities, essentially improving data quality and hence the possible insights to gain from these. However, most experimental tanks are closed-loop environments that are not particularly similar to commercial production units, as a consequence the results obtained in these systems are not directly transferable to industrial setups. Moreover, tank monitoring in such trials is often done using a single or a limited selection of different observation modes, which may not be sufficient to capture the full dynamics of fish responses. The present study seeks to address these challenges by developing the Cyber-Enhanced tank environment for aquaculture research. This concept features a tank environment setup to simulate the prevailing conditions in aquaculture units, mimicking natural light conditions, hiding sensors and other systems to reduce impacts on the fish and potential collisions, and using a</w:t>
      </w:r>
    </w:p>
    <w:p>
      <w:pPr/>
      <w:r>
        <w:rPr>
          <w:b/>
        </w:rPr>
        <w:t>POSSIBLE 2024:</w:t>
      </w:r>
      <w:r>
        <w:t xml:space="preserve"> Critical diameter for a single-tank molten salt storage – Parametric study on structural tank design — https://doi.org/10.1016/j.est.2024.113870</w:t>
      </w:r>
    </w:p>
    <w:p>
      <w:pPr/>
      <w:r>
        <w:rPr>
          <w:b/>
        </w:rPr>
        <w:t>Shared claim-specific concepts:</w:t>
      </w:r>
      <w:r>
        <w:t xml:space="preserve"> show, tank, best; EU scope not established. This is a provisional connection, not an outcome finding.</w:t>
      </w:r>
    </w:p>
    <w:p>
      <w:pPr>
        <w:pStyle w:val="SourceNote"/>
      </w:pPr>
      <w:r>
        <w:rPr>
          <w:b/>
        </w:rPr>
        <w:t>Available abstract (not full text):</w:t>
      </w:r>
      <w:r>
        <w:t xml:space="preserve"> Molten salt thermal energy storage (TES) is a cost-effective option for grid-connected storage in both concentrating solar power (CSP) plants and retrofitted thermal power plants in a multimegawatt scale. Current systems use two tanks (hot and cold), but future systems may use a single tank with a transient temperature profile (hot in the top and cold in the bottom) to reduce costs and space. However, the structural and mechanical design of large-scale molten salt single-tank storages at 560 °C has not been fully explored, and the impact of increasing the operating temperature to 620 °C is still uncertain. The challenge presented by a single tank is the existence of a temperature profile that results in a varying thermal expansion of the tank shell along its height. In the case of larger tanks, this discrepancy can reach a magnitude of centimeters, which in turn gives rise to bending moments. To the best of our knowledge, this study addresses the issue of bending stresses in large-sized high-temperature tanks with thermal stratification for the first time. The modelling approach is applied to single-tank CSP TES systems as a case study to evaluate the constraints imposed by tank size and wall thickness. With the help of experimentally validated numerical methods, it is revealed that a low thermocline thickness can be a limiting factor for large tank diameters. It is shown that </w:t>
      </w:r>
    </w:p>
    <w:p>
      <w:pPr/>
      <w:r>
        <w:rPr>
          <w:b/>
        </w:rPr>
        <w:t>POSSIBLE 2024:</w:t>
      </w:r>
      <w:r>
        <w:t xml:space="preserve"> Learning passive policies with virtual energy tanks in robotics — https://doi.org/10.1049/cth2.12558</w:t>
      </w:r>
    </w:p>
    <w:p>
      <w:pPr/>
      <w:r>
        <w:rPr>
          <w:b/>
        </w:rPr>
        <w:t>Shared claim-specific concepts:</w:t>
      </w:r>
      <w:r>
        <w:t xml:space="preserve"> show, tank, achieve, policies; EU scope not established. This is a provisional connection, not an outcome finding.</w:t>
      </w:r>
    </w:p>
    <w:p>
      <w:pPr>
        <w:pStyle w:val="SourceNote"/>
      </w:pPr>
      <w:r>
        <w:rPr>
          <w:b/>
        </w:rPr>
        <w:t>Available abstract (not full text):</w:t>
      </w:r>
      <w:r>
        <w:t xml:space="preserve"> Abstract Within a robotic context, the techniques of passivity‐based control and reinforcement learning are merged with the goal of eliminating some of their reciprocal weaknesses, as well as inducing novel promising features in the resulting framework. The contribution is framed in a scenario where passivity‐based control is implemented by means of virtual energy tanks, a control technique developed to achieve closed‐loop passivity for any arbitrary control input. Albeit the latter result is heavily used, it is discussed why its practical application at its current stage remains rather limited, which makes contact with the highly debated claim that passivity‐based techniques are associated with a loss of performance. The use of reinforcement learning allows to learn a control policy that can be passivized using the energy tank architecture, combining the versatility of learning approaches and the system theoretic properties which can be inferred due to the energy tanks. Simulations show the validity of the approach, as well as novel interesting research directions in energy‐aware robotics.</w:t>
      </w:r>
    </w:p>
    <w:p>
      <w:pPr/>
      <w:r>
        <w:rPr>
          <w:b/>
        </w:rPr>
        <w:t>POSSIBLE 2023:</w:t>
      </w:r>
      <w:r>
        <w:t xml:space="preserve"> Design and optimization of a type-C tank for liquid hydrogen marine transport — https://doi.org/10.1016/j.ijhydene.2023.05.102</w:t>
      </w:r>
    </w:p>
    <w:p>
      <w:pPr/>
      <w:r>
        <w:rPr>
          <w:b/>
        </w:rPr>
        <w:t>Shared claim-specific concepts:</w:t>
      </w:r>
      <w:r>
        <w:t xml:space="preserve"> outcomes, tank, transport; EU scope not established. This is a provisional connection, not an outcome finding.</w:t>
      </w:r>
    </w:p>
    <w:p>
      <w:pPr>
        <w:pStyle w:val="SourceNote"/>
      </w:pPr>
      <w:r>
        <w:rPr>
          <w:b/>
        </w:rPr>
        <w:t>Available abstract (not full text):</w:t>
      </w:r>
      <w:r>
        <w:t xml:space="preserve"> As one of the most promising renewable energy sources, hydrogen has the excellent environmental benefit of producing zero emissions. A key technical challenge in using hydrogen across sectors is placed on its storage technology. The storage temperature of liquid hydrogen (20 K, or −253 °C) is close to absolute zero so the storage materials and the insulation layers are subjected to extremely stringent requirements against the cryogenic behaviour of the medium. In this context, this research proposed to design a large liquid hydrogen type-C tank with AISI (American Iron and Steel Institution) type 316 L stainless steel as the metal barrier, using Vapor-Cooled Shield (VCS) and Rigid Polyurethane Foams (RPF) as the insulation layer. A parametric study on the design of the insulation layer was carried out by establishing a thermodynamic model. The effects of VCS location on heat ingress to the liquid hydrogen transport tank and insulation temperature distribution were investigated, and the optimal location of the VCS in the insulation was identified. Research outcomes finally suggest two optimal design schemes: (1) when the thickness of the insulation layer is determined, Self-evaporation Vapor-Cooled Shield (SVCS) and Forced-evaporation Vapor-Cooled Shield (FVCS) can reduce heat transfer by 47.84% and 85.86% respectively; (2) when the liquid hydrogen evaporation capacity is determ</w:t>
      </w:r>
    </w:p>
    <w:p>
      <w:pPr/>
      <w:r>
        <w:rPr>
          <w:b/>
        </w:rPr>
        <w:t>POSSIBLE 2023:</w:t>
      </w:r>
      <w:r>
        <w:t xml:space="preserve"> Assessment: Road transport — https://doi.org/10.1787/e8065a49-en</w:t>
      </w:r>
    </w:p>
    <w:p>
      <w:pPr/>
      <w:r>
        <w:rPr>
          <w:b/>
        </w:rPr>
        <w:t>Shared claim-specific concepts:</w:t>
      </w:r>
      <w:r>
        <w:t xml:space="preserve"> outcomes, road, transport; EU scope not established. This is a provisional connection, not an outcome finding.</w:t>
      </w:r>
    </w:p>
    <w:p>
      <w:pPr>
        <w:pStyle w:val="SourceNote"/>
      </w:pPr>
      <w:r>
        <w:rPr>
          <w:b/>
        </w:rPr>
        <w:t>Available abstract (not full text):</w:t>
      </w:r>
      <w:r>
        <w:t xml:space="preserve"> Driving is a major source of carbon emissions, local air pollutants, congestion and noise and can contribute to road accidents. Particular in urban areas, congestion and air pollution are of key concern. Such damage on the environment and on society – commonly referred to as external costs – are typically not reflected in an individual’s or a firm’s decision to own and drive a car. Tax policy can contribute to reflecting the full costs from environmental damage in drivers’ and vehicle owners’ decision making process by relating a price to it, thereby improving transport and environmental outcomes.</w:t>
      </w:r>
    </w:p>
    <w:p>
      <w:pPr>
        <w:pStyle w:val="Heading2"/>
      </w:pPr>
      <w:r>
        <w:t>657. EUropean Heliospheric FORecasting Information Asset 2.0</w:t>
      </w:r>
    </w:p>
    <w:p>
      <w:pPr>
        <w:pStyle w:val="SourceNote"/>
      </w:pPr>
      <w:r>
        <w:rPr>
          <w:b/>
        </w:rPr>
        <w:t>Original source (2020):</w:t>
      </w:r>
      <w:r>
        <w:t xml:space="preserve"> https://doi.org/10.1051/swsc/2020055</w:t>
      </w:r>
    </w:p>
    <w:p>
      <w:pPr/>
      <w:r>
        <w:t>Original wording (abstract; indexed_source_text_not_full_document_verified): This will result in a reliable prediction tool for radiation hazards from SEP events, affecting astronauts, passengers and crew in high-flying aircraft, and the impact of space weather events on power grid infrastructure, telecommunication, and navigation satellites.</w:t>
      </w:r>
    </w:p>
    <w:p>
      <w:pPr/>
      <w:r>
        <w:rPr>
          <w:b/>
        </w:rPr>
        <w:t>POSSIBLE 2026:</w:t>
      </w:r>
      <w:r>
        <w:t xml:space="preserve"> Integrated Digital Garment Modeling and Monte Carlo Simulation of a Water‐Based Radiation Protection Vest for Spaceflight Radiation Hazards — https://doi.org/10.1029/2026sw005103</w:t>
      </w:r>
    </w:p>
    <w:p>
      <w:pPr/>
      <w:r>
        <w:rPr>
          <w:b/>
        </w:rPr>
        <w:t>Shared claim-specific concepts:</w:t>
      </w:r>
      <w:r>
        <w:t xml:space="preserve"> radiation, hazards, events, astronauts, space; EU scope not established. This is a provisional connection, not an outcome finding.</w:t>
      </w:r>
    </w:p>
    <w:p>
      <w:pPr>
        <w:pStyle w:val="SourceNote"/>
      </w:pPr>
      <w:r>
        <w:rPr>
          <w:b/>
        </w:rPr>
        <w:t>Available abstract (not full text):</w:t>
      </w:r>
      <w:r>
        <w:t xml:space="preserve"> Abstract As crewed space missions set course for the Moon and beyond, astronauts will experience prolonged exposure to Galactic Cosmic Rays (GCR) and potentially intense Solar Proton Events (SPEs), both of which pose significant short‐ and long‐term health risks. These conditions underscore the need for a better systemic understanding of radiation protection requirements and for developing personal protective equipment that maintains astronaut safety and operational readiness. This paper presents a new concept and design for a water‐filled radiation‐protection garment tailored for deep‐space missions. The approach integrates organ‐specific protective performance with ergonomics‐informed garment design considerations for microgravity environments. It highlights the value of a transdisciplinary, iterative workflow for advancing design early in radiation‐shielding research. Using a flux‐to‐dose response function derived from Monte Carlo simulations, we assess Effective Dose (ED) rates at high temporal resolution for SPEs and GCR during 1974–2025. We simulated a digital anthropomorphic phantom inside a spacecraft modeled as a 50 g·cm −2 aluminum shell and found that the garment reduces the GCR‐induced ED by approximately 9%. For missions coinciding with the September–October 1989 solar particle event series, the reduction reaches up to 30%. We also propose an operational procedure </w:t>
      </w:r>
    </w:p>
    <w:p>
      <w:pPr/>
      <w:r>
        <w:rPr>
          <w:b/>
        </w:rPr>
        <w:t>POSSIBLE 2026:</w:t>
      </w:r>
      <w:r>
        <w:t xml:space="preserve"> Reliable Narrowband Interference Detection via Backward Conformal Prediction — https://doi.org/10.48550/arxiv.2605.02486</w:t>
      </w:r>
    </w:p>
    <w:p>
      <w:pPr/>
      <w:r>
        <w:rPr>
          <w:b/>
        </w:rPr>
        <w:t>Shared claim-specific concepts:</w:t>
      </w:r>
      <w:r>
        <w:t xml:space="preserve"> reliable, prediction, power; EU scope not established. This is a provisional connection, not an outcome finding.</w:t>
      </w:r>
    </w:p>
    <w:p>
      <w:pPr>
        <w:pStyle w:val="SourceNote"/>
      </w:pPr>
      <w:r>
        <w:rPr>
          <w:b/>
        </w:rPr>
        <w:t>Available abstract (not full text):</w:t>
      </w:r>
      <w:r>
        <w:t xml:space="preserve"> Narrowband interference can severely degrade the performance of wireless links by concentrating significant power on a small portion of the channel. Machine learning detectors trained on baseband I/Q samples can identify the affected subcarriers with high accuracy, surpassing model-based detectors that rely on hand-crafted statistics. The predictive probabilities produced by such detectors are, however, typically poorly calibrated, and downstream mitigation modules generally operate under strict resource budgets that limit the number of candidate interference subcarriers that can be acted upon. Conformal prediction (CP) provides a distribution-free framework for constructing prediction sets that control the miscoverage level, i.e., the probability of excluding the true output, at a prescribed level. However, this target miscoverage level must be fixed in advance, while the resulting prediction-set size remains uncontrolled, which is misaligned with operationally constrained settings. To address this issue, we develop a backward conformal prediction (BCP) framework in which the prediction-set size is fixed by the operational budget and the corresponding per-input miscoverage level is estimated from calibration data with a provable post-hoc reliability guarantee. We instantiate the framework for narrowband interference detection in wireless systems and show through simulations th</w:t>
      </w:r>
    </w:p>
    <w:p>
      <w:pPr/>
      <w:r>
        <w:rPr>
          <w:b/>
        </w:rPr>
        <w:t>POSSIBLE 2026:</w:t>
      </w:r>
      <w:r>
        <w:t xml:space="preserve"> Reliable Remediation Impact Prediction for Black-Box Security Ratings — https://openalex.org/W7170112303</w:t>
      </w:r>
    </w:p>
    <w:p>
      <w:pPr/>
      <w:r>
        <w:rPr>
          <w:b/>
        </w:rPr>
        <w:t>Shared claim-specific concepts:</w:t>
      </w:r>
      <w:r>
        <w:t xml:space="preserve"> reliable, prediction; EU scope not established. This is a provisional connection, not an outcome finding.</w:t>
      </w:r>
    </w:p>
    <w:p>
      <w:pPr>
        <w:pStyle w:val="SourceNote"/>
      </w:pPr>
      <w:r>
        <w:rPr>
          <w:b/>
        </w:rPr>
        <w:t>Available abstract (not full text):</w:t>
      </w:r>
      <w:r>
        <w:t xml:space="preserve"> Security rating platforms summarize externally observable cyber exposure and are expected to help organizations prioritize remediation. A platform may want to tell an organization how a candidate remediation action would affect its score, but repeatedly exposing exact score responses can reveal information about the hidden scoring engine. We propose a surrogate based approach for remediation score impact prediction that is designed to respect this opacity constraint. The surrogate predicts scores from organization configurations while explicitly representing checkpoint (i.e., a security check) applicability and the observed checkpoint set. A main challenge is that such predictions are not uniformly reliable: they depend on the amount and structure of the observable checkpoint evidence available for a given configuration. To address this, the approach combines applicability-aware surrogate construction, sensitivity analysis under controlled checkpoint restriction, a reliability layer for identifying unstable predictions, and score-impact prediction for supported remediation actions. Explicit modeling of checkpoint applicability is central throughout: it improves score prediction and provides the feature basis used by the reliability layer to identify unstable cases. We evaluate the approach on a real-world dataset of 5,188 organization configurations from a commercial security r</w:t>
      </w:r>
    </w:p>
    <w:p>
      <w:pPr/>
      <w:r>
        <w:rPr>
          <w:b/>
        </w:rPr>
        <w:t>POSSIBLE 2025:</w:t>
      </w:r>
      <w:r>
        <w:t xml:space="preserve"> Exploring Hybrid Forecasting Frameworks for Subseasonal Low Flow Predictions in the European Alps — https://doi.org/10.5194/egusphere-2025-3411</w:t>
      </w:r>
    </w:p>
    <w:p>
      <w:pPr/>
      <w:r>
        <w:rPr>
          <w:b/>
        </w:rPr>
        <w:t>Shared claim-specific concepts:</w:t>
      </w:r>
      <w:r>
        <w:t xml:space="preserve"> reliable, prediction, events, weather, power; EU scope visible. This is a provisional connection, not an outcome finding.</w:t>
      </w:r>
    </w:p>
    <w:p>
      <w:pPr>
        <w:pStyle w:val="SourceNote"/>
      </w:pPr>
      <w:r>
        <w:rPr>
          <w:b/>
        </w:rPr>
        <w:t>Available abstract (not full text):</w:t>
      </w:r>
      <w:r>
        <w:t xml:space="preserve"> Abstract. Since the start of the 21st century, the European Alpine region has faced unprecedented low-flow conditions and drought events, severely impacting sectors dependent on reliable water availability, such as hydropower production, agriculture, and transportation. The growing frequency and severity of these low-flow conditions have led to a need for early warning systems. In this study, we present a novel machine learning (ML) aided hybrid forecasting framework designed to enhance sub-seasonal low-flow predictions in the European Alps. By harnessing the statistical power of ML and integrating diverse data sources, we trained 11 models using the Temporal Fusion Transformer (TFT) algorithm. These models incorporate features such as European Atlantic Weather Regimes (WR) for capturing large-scale atmospheric circulation patterns, in-situ streamflow observations for initial conditions, and process-based predictions from the European Flood Awareness System (EFAS). Our results show that the hybrid framework, even when using only WR data, outperforms climatology. The best results are achieved by combining observational data with process-based model data (raw EFAS output), underscoring the value of integrating diverse data sources. The models effectively capture initial condition persistence and correct biases in the raw EFAS output. Based on the Continuous Ranked Probability Ski</w:t>
      </w:r>
    </w:p>
    <w:p>
      <w:pPr/>
      <w:r>
        <w:rPr>
          <w:b/>
        </w:rPr>
        <w:t>POSSIBLE 2025:</w:t>
      </w:r>
      <w:r>
        <w:t xml:space="preserve"> The PIANOFORTE partnership: Elevating European research for enhanced radiation protection — https://doi.org/10.1051/epjn/2025009</w:t>
      </w:r>
    </w:p>
    <w:p>
      <w:pPr/>
      <w:r>
        <w:rPr>
          <w:b/>
        </w:rPr>
        <w:t>Shared claim-specific concepts:</w:t>
      </w:r>
      <w:r>
        <w:t xml:space="preserve"> reliable, radiation, infrastructure; EU scope visible. This is a provisional connection, not an outcome finding.</w:t>
      </w:r>
    </w:p>
    <w:p>
      <w:pPr>
        <w:pStyle w:val="SourceNote"/>
      </w:pPr>
      <w:r>
        <w:rPr>
          <w:b/>
        </w:rPr>
        <w:t>Available abstract (not full text):</w:t>
      </w:r>
      <w:r>
        <w:t xml:space="preserve"> The PIANOFORTE partnership (2022–2029) aims to enhance radiation protection for the public, patients, workers, and the environment across various exposure scenarios. This European initiative addresses key barriers in health and environmental risk research related to ionising radiation and promotes findings that support effective radiation protection policies. By building a comprehensive pan-European scientific and technological foundation, PIANOFORTE ensures that the radiation protection system remains fit-for-purpose, delivers science-based policy recommendations and improved practices across sectors using nuclear technology and ionising radiation, including both energy-related and non-energy applications. In the medical field, PIANOFORTE works to reduce uncertainties in health risk estimates and support innovations in cancer diagnosis and therapies. Other key priorities include developing reliable methods for evaluating radiation protection related to new technologies and managing radiation emergencies, improving strategies for both immediate response and long-term recovery. The Partnership's multi-stage prioritisation mechanism of research needs ensures that developed efforts reflect the perspectives of a broad range of stakeholders, including researchers, policy makers, regulators, implementers and practitioners. This inclusiveness aligns research priorities with pressing s</w:t>
      </w:r>
    </w:p>
    <w:p>
      <w:pPr/>
      <w:r>
        <w:rPr>
          <w:b/>
        </w:rPr>
        <w:t>POSSIBLE 2024:</w:t>
      </w:r>
      <w:r>
        <w:t xml:space="preserve"> IS LOGISTIC REGRESSION RELIABLE IN BANKRUPTCY PREDICTION? — https://doi.org/10.54933/jmbrp-2024-16-1-6</w:t>
      </w:r>
    </w:p>
    <w:p>
      <w:pPr/>
      <w:r>
        <w:rPr>
          <w:b/>
        </w:rPr>
        <w:t>Shared claim-specific concepts:</w:t>
      </w:r>
      <w:r>
        <w:t xml:space="preserve"> reliable, prediction, tool; EU scope not established. This is a provisional connection, not an outcome finding.</w:t>
      </w:r>
    </w:p>
    <w:p>
      <w:pPr>
        <w:pStyle w:val="SourceNote"/>
      </w:pPr>
      <w:r>
        <w:rPr>
          <w:b/>
        </w:rPr>
        <w:t>Available abstract (not full text):</w:t>
      </w:r>
      <w:r>
        <w:t xml:space="preserve"> Background: The fundamental foundation of financial and economic analysis is the implementation of financial and statistical models in business entities. Financial indicators help assess the company's financial situation and, at the same time, represent the most used tool in the detection of bankruptcy. A still significant method is the logistic regression, which ranks among classic statistical methods. Aims: The aim of the paper is to propose a scoring model for non-financial corporations in the electrotechnical industry and to estimate the probability of bankruptcy of enterprises in the electrotechnical industry of the Slovak Republic. Sample: The research sample consists of 1,241 companies operating in the electrotechnical industry of the Slovak Republic, according to SK NACE 26, 27 in the year 2020. Methods: We used logistic regression and designed a logistic model. Financial data were sourced from The Register of Financial Statements of the Slovak Republic. Results: In the bankruptcy model for the electrotechnical industry, the estimated odds ratios showed that the chances of bankruptcy significantly reduce the financial indicators EBITDA/T, ROA, L2, and NWC/A. When these indicators increase, the company's probability (or chance) of bankruptcy decreases. Conclusions: The estimate of a risky company or the probability of its bankruptcy is always very important. Therefore, i</w:t>
      </w:r>
    </w:p>
    <w:p>
      <w:pPr/>
      <w:r>
        <w:rPr>
          <w:b/>
        </w:rPr>
        <w:t>POSSIBLE 2024:</w:t>
      </w:r>
      <w:r>
        <w:t xml:space="preserve"> Multi-model Physically-based constrained decadal predictions of precipitation over Europe — https://doi.org/10.5194/ems2024-191</w:t>
      </w:r>
    </w:p>
    <w:p>
      <w:pPr/>
      <w:r>
        <w:rPr>
          <w:b/>
        </w:rPr>
        <w:t>Shared claim-specific concepts:</w:t>
      </w:r>
      <w:r>
        <w:t xml:space="preserve"> reliable, prediction; EU scope visible. This is a provisional connection, not an outcome finding.</w:t>
      </w:r>
    </w:p>
    <w:p>
      <w:pPr>
        <w:pStyle w:val="SourceNote"/>
      </w:pPr>
      <w:r>
        <w:rPr>
          <w:b/>
        </w:rPr>
        <w:t>Available abstract (not full text):</w:t>
      </w:r>
      <w:r>
        <w:t xml:space="preserve"> Decadal climate predictions are our most reliable source of climate information for the near-term climate change. They can be very useful to develop climate services to users from sectors such as agriculture, industry, energy, water management, health, etc. However, before developing these climate services, an assessment of the forecast quality for the variables and regions of interest is needed. In this work, we consider the available retrospective decadal predictions (DCPP-A) contributing to phase 6 of the Coupled model Intercomparison Project (CMIP6) and analyze their skill to predict rainfall over Europe. Rainfall variability over Europe is strongly linked to variations in the North Atlantic jet stream. At multidecadal time scales, some studies have shown that the variability of the North Atlantic jet stream could be driven by low-frequency changes in the sea surface temperature over the north Atlantic associated with the Atlantic Multidecadal Variability. Retrospective decadal predictions present skill to predict the low-frequency variability of the SST associated with Atlantic Multidecadal Variability. However, they have difficulties in predicting precipitation variability over Europe. Here, we analyze the skill of DCPP-A models to predict precipitation over Europe, exploring the multimodel ensemble to identify the models with enhanced skill, investigating as well the und</w:t>
      </w:r>
    </w:p>
    <w:p>
      <w:pPr/>
      <w:r>
        <w:rPr>
          <w:b/>
        </w:rPr>
        <w:t>POSSIBLE 2024:</w:t>
      </w:r>
      <w:r>
        <w:t xml:space="preserve"> Explainable artificial intelligence for reliable water demand forecasting to increase trust in predictions — https://doi.org/10.1016/j.watres.2024.122779</w:t>
      </w:r>
    </w:p>
    <w:p>
      <w:pPr/>
      <w:r>
        <w:rPr>
          <w:b/>
        </w:rPr>
        <w:t>Shared claim-specific concepts:</w:t>
      </w:r>
      <w:r>
        <w:t xml:space="preserve"> reliable, prediction, weather, infrastructure; EU scope visible. This is a provisional connection, not an outcome finding.</w:t>
      </w:r>
    </w:p>
    <w:p>
      <w:pPr>
        <w:pStyle w:val="SourceNote"/>
      </w:pPr>
      <w:r>
        <w:rPr>
          <w:b/>
        </w:rPr>
        <w:t>Available abstract (not full text):</w:t>
      </w:r>
      <w:r>
        <w:t xml:space="preserve"> The "EU Artificial Intelligence Act" sets a framework for the implementation of artificial intelligence (AI) in Europe. As a legal assessment reveals, AI applications in water supply systems are categorised as high-risk AI if a failure in the AI application results in a significant impact on physical infrastructure or supply reliability. The use case of water demand forecasts with AI for automatic tank operation is for example categorised as high-risk AI and must fulfil specific requirements regarding model transparency (traceability, explainability) and technical robustness (accuracy, reliability). To this end, six widely established machine learning models, including both transparent and opaque models, are applied to different datasets for daily water demand forecasting and the requirements regarding model accuracy, transparency and technical robustness are systematically evaluated for this use case. Opaque models generally achieve higher prediction accuracy compared to transparent models due to their ability to capture the complex relationship between parameters like for example weather data and water demand. However, this also makes them vulnerable to deviations and irregularities in weather forecasts and historical water demand. In contrast, transparent models rely mainly on historical water demand data for the utilised dataset and are less influenced by weather data, maki</w:t>
      </w:r>
    </w:p>
    <w:p>
      <w:pPr/>
      <w:r>
        <w:rPr>
          <w:b/>
        </w:rPr>
        <w:t>POSSIBLE 2023:</w:t>
      </w:r>
      <w:r>
        <w:t xml:space="preserve"> D5.1 Advanced and Reliable Models for Natural and Man-Made Hazards — https://doi.org/10.5281/zenodo.7620517</w:t>
      </w:r>
    </w:p>
    <w:p>
      <w:pPr/>
      <w:r>
        <w:rPr>
          <w:b/>
        </w:rPr>
        <w:t>Shared claim-specific concepts:</w:t>
      </w:r>
      <w:r>
        <w:t xml:space="preserve"> reliable, hazards; EU scope not established. This is a provisional connection, not an outcome finding.</w:t>
      </w:r>
    </w:p>
    <w:p>
      <w:pPr>
        <w:pStyle w:val="SourceNote"/>
      </w:pPr>
      <w:r>
        <w:rPr>
          <w:b/>
        </w:rPr>
        <w:t>Available abstract (not full text):</w:t>
      </w:r>
      <w:r>
        <w:t xml:space="preserve"> Deliverable 5.1 presents advanced and reliable modelling for a broad spectrum of natural and man-made hazards as pertinent to the four pilot sites of HYPERION in Rhodes, Granada, Venice and Tonsberg, and provides the involved stakeholders, scientists and users useful information for their specific needs in handling natural and human-induced disasters. Models were implemented by AUTH, with the assistance of FMI, RG and NTUA, building on existing research capacity in a broad spectrum of modelling approaches to natural and man-made hazards. Models of climatic impact are described based on environmental parameters (according to a reliability-based approach for durability) in order to define the needed parameters for the modeling purpose.</w:t>
      </w:r>
    </w:p>
    <w:p>
      <w:pPr/>
      <w:r>
        <w:rPr>
          <w:b/>
        </w:rPr>
        <w:t>POSSIBLE 2022:</w:t>
      </w:r>
      <w:r>
        <w:t xml:space="preserve"> Regional prediction of multi-mycotoxin contamination of wheat in Europe using machine learning — https://doi.org/10.1016/j.foodres.2022.111588</w:t>
      </w:r>
    </w:p>
    <w:p>
      <w:pPr/>
      <w:r>
        <w:rPr>
          <w:b/>
        </w:rPr>
        <w:t>Shared claim-specific concepts:</w:t>
      </w:r>
      <w:r>
        <w:t xml:space="preserve"> prediction, weather, grid; EU scope visible. This is a provisional connection, not an outcome finding.</w:t>
      </w:r>
    </w:p>
    <w:p>
      <w:pPr>
        <w:pStyle w:val="SourceNote"/>
      </w:pPr>
      <w:r>
        <w:rPr>
          <w:b/>
        </w:rPr>
        <w:t>Available abstract (not full text):</w:t>
      </w:r>
      <w:r>
        <w:t xml:space="preserve"> Wheat is susceptible to fungal infection and mycotoxin contamination during its cultivation period, under opportune environmental conditions. The presence of mycotoxins, such as deoxynivalenol and zearalenone, in wheat destined for feed and food can affect animal and human health. This study aimed to develop a machine learning algorithm to predict the risk levels of one or more mycotoxins in wheat on a regional basis in Europe using crop phenological data, weather data, and satellite images as input. A dataset was obtained with 11 years of mycotoxin monitoring data (2010-2020), including historical records of the concentration of deoxynivalenol, zearalenone, T-2 toxin and HT-2 toxin, fumonisins, aflatoxins, and/or ochratoxin A in wheat in Europe. This dataset was linked, based on year and grid (25 × 25 km), to wheat phenology data, weather data, and satellite image data. The complete dataset for the years 2010-2018 was split into a model training (80%) and an internal model validation set (20%). Data for the years 2019 and 2020 were used for external validation. The random forest (RF) algorithm was applied to train the model using the model training data. The model predicts the probability (low, medium, high) of wheat grown in a certain grid in Europe to be contaminated with at least one of the six mycotoxins under study. Results showed high prediction performance of the model:</w:t>
      </w:r>
    </w:p>
    <w:p>
      <w:pPr/>
      <w:r>
        <w:rPr>
          <w:b/>
        </w:rPr>
        <w:t>POSSIBLE 2022:</w:t>
      </w:r>
      <w:r>
        <w:t xml:space="preserve"> Large-scale circulation patterns and their influence on European winter windstorm predictions — https://doi.org/10.1007/s00382-022-06455-2</w:t>
      </w:r>
    </w:p>
    <w:p>
      <w:pPr/>
      <w:r>
        <w:rPr>
          <w:b/>
        </w:rPr>
        <w:t>Shared claim-specific concepts:</w:t>
      </w:r>
      <w:r>
        <w:t xml:space="preserve"> prediction, events, weather; EU scope visible. This is a provisional connection, not an outcome finding.</w:t>
      </w:r>
    </w:p>
    <w:p>
      <w:pPr>
        <w:pStyle w:val="SourceNote"/>
      </w:pPr>
      <w:r>
        <w:rPr>
          <w:b/>
        </w:rPr>
        <w:t>Available abstract (not full text):</w:t>
      </w:r>
      <w:r>
        <w:t xml:space="preserve"> Abstract Severe winter windstorms are amongst the most damaging weather events for Europe and show significant interannual variability. While surface variables (temperature, precipitation) have been successfully predicted for some time now, predictability of severe windstorms caused by extra-tropical cyclones remains less well explored. This study investigates windstorm prediction skill of the UK Met Office Global Seasonal Forecast System Version 5 (GloSea5) for the Northeast-Atlantic and European region. Based on an objective Lagrangian tracking of severe, damage relevant windstorms, three storm parameters are analysed: windstorm frequency and two intensity measures. Firstly, skill based on direct tracking of simulated windstorms is diagnosed. Significant positive skill for storm frequency and intensity is found over an extended area at the downstream end of the storm track, i.e., from the UK to southern Scandinavia. The skill for frequency agrees well with previous studies for older model versions, while the results of event-based intensity are novel. Receiver Operating Characteristic Curves for three smaller regions reveal significant skill for high and low storm activity seasons. Second, skill of windstorm characteristics based on their multi-linear regressions to three dominant large-scale circulation patterns [i.e., the North Atlantic Oscillation (NAO), the Scandinavian P</w:t>
      </w:r>
    </w:p>
    <w:p>
      <w:pPr/>
      <w:r>
        <w:rPr>
          <w:b/>
        </w:rPr>
        <w:t>POSSIBLE 2022:</w:t>
      </w:r>
      <w:r>
        <w:t xml:space="preserve"> On the Intersection of Explainable and Reliable AI for Physical Fatigue Prediction — https://doi.org/10.1109/access.2022.3191907</w:t>
      </w:r>
    </w:p>
    <w:p>
      <w:pPr/>
      <w:r>
        <w:rPr>
          <w:b/>
        </w:rPr>
        <w:t>Shared claim-specific concepts:</w:t>
      </w:r>
      <w:r>
        <w:t xml:space="preserve"> reliable, prediction, space; EU scope not established. This is a provisional connection, not an outcome finding.</w:t>
      </w:r>
    </w:p>
    <w:p>
      <w:pPr>
        <w:pStyle w:val="SourceNote"/>
      </w:pPr>
      <w:r>
        <w:rPr>
          <w:b/>
        </w:rPr>
        <w:t>Available abstract (not full text):</w:t>
      </w:r>
      <w:r>
        <w:t xml:space="preserve"> In the era of Industry 4.0, the use of Artificial Intelligence (AI) is widespread in occupational settings. Since dealing with human safety, explainability and trustworthiness of AI are even more important than achieving high accuracy. eXplainable AI (XAI) is investigated in this paper to detect physical fatigue during manual material handling task simulation. Besides comparing global rule-based XAI models (LLM and DT) to black-box models (NN, SVM, XGBoost) in terms of performance, we also compare global models with local ones (LIME over XGBoost). Surprisingly, global and local approaches achieve similar conclusions, in terms of feature importance. Moreover, an expansion from local rules to global rules is designed for Anchors, by posing an appropriate optimization method (Anchors coverage is enlarged from an original low value, 11%, up to 43%). As far as trustworthiness is concerned, rule sensitivity analysis drives the identification of optimized regions in the feature space, where physical fatigue is predicted with zero statistical error. The discovery of such “non-fatigue regions” helps certifying the organizational and clinical decision making.</w:t>
      </w:r>
    </w:p>
    <w:p>
      <w:pPr>
        <w:pStyle w:val="Heading2"/>
      </w:pPr>
      <w:r>
        <w:t>658. Econometric Studies on the Development of Renewable Energy Sources to Support the European Union 2020–2030 Climate and Energy Framework: A Critical Appraisal</w:t>
      </w:r>
    </w:p>
    <w:p>
      <w:pPr>
        <w:pStyle w:val="SourceNote"/>
      </w:pPr>
      <w:r>
        <w:rPr>
          <w:b/>
        </w:rPr>
        <w:t>Original source (2020):</w:t>
      </w:r>
      <w:r>
        <w:t xml:space="preserve"> https://doi.org/10.3390/su12124828</w:t>
      </w:r>
    </w:p>
    <w:p>
      <w:pPr/>
      <w:r>
        <w:t>Original wording (abstract; indexed_source_text_not_full_document_verified): One of the key objectives of the European Union is the transition to a total decarbonization of the economy by 2050.</w:t>
      </w:r>
    </w:p>
    <w:p>
      <w:pPr/>
      <w:r>
        <w:rPr>
          <w:b/>
        </w:rPr>
        <w:t>POSSIBLE 2026:</w:t>
      </w:r>
      <w:r>
        <w:t xml:space="preserve"> Key сhallenges of EU environmental law arising from the European Green Deal — https://doi.org/10.24144/2307-3322.2026.94.2.29</w:t>
      </w:r>
    </w:p>
    <w:p>
      <w:pPr/>
      <w:r>
        <w:rPr>
          <w:b/>
        </w:rPr>
        <w:t>Shared claim-specific concepts:</w:t>
      </w:r>
      <w:r>
        <w:t xml:space="preserve"> one, key, objectives, transition, economy; EU scope visible. This is a provisional connection, not an outcome finding.</w:t>
      </w:r>
    </w:p>
    <w:p>
      <w:pPr>
        <w:pStyle w:val="SourceNote"/>
      </w:pPr>
      <w:r>
        <w:rPr>
          <w:b/>
        </w:rPr>
        <w:t>Available abstract (not full text):</w:t>
      </w:r>
      <w:r>
        <w:t xml:space="preserve"> The article examines the legal nature and specific features of EU environmental law in light of the objectives defined by the proclamation of the European Green Deal policy. The presentation of the European Green Deal has generated considerable public interest and political debate. It has become evident that the chosen path is ambitious yet strategic and will require not only administrative decisions but also regulatory, market-based and procedural instruments, multifaceted cooperation, investment resources, information campaigns. At the same time, the transformations outlined in the Deal will have a cross-sectoral impact on all branches of the economy: industry, construction, agriculture, trade, governance, etc. and will necessitate extensive scientific research and technological innovation. Moreover, these changes will shape future environmental trends for the global community and significantly transform people’s usual way of living life. The analysis of the Communication from the European Commission makes it possible to identify the following key components of the European Green Deal: increasing the EU’s climate ambition for 2030 and 2050; supplying clean, affordable and secure energy; mobilising industry for a clean and circular economy; building and renovating in an energy- and resource-efficient way; striving for zero pollution and a toxic-free environment; preserving and</w:t>
      </w:r>
    </w:p>
    <w:p>
      <w:pPr/>
      <w:r>
        <w:rPr>
          <w:b/>
        </w:rPr>
        <w:t>POSSIBLE 2026:</w:t>
      </w:r>
      <w:r>
        <w:t xml:space="preserve"> Multi-objective supply chain optimization of renewable energy carrier imports for Europe — https://doi.org/10.18154/rwth-2026-04980</w:t>
      </w:r>
    </w:p>
    <w:p>
      <w:pPr/>
      <w:r>
        <w:rPr>
          <w:b/>
        </w:rPr>
        <w:t>Shared claim-specific concepts:</w:t>
      </w:r>
      <w:r>
        <w:t xml:space="preserve"> objectives; EU scope visible. This is a provisional connection, not an outcome finding.</w:t>
      </w:r>
    </w:p>
    <w:p>
      <w:pPr>
        <w:pStyle w:val="SourceNote"/>
      </w:pPr>
      <w:r>
        <w:rPr>
          <w:b/>
        </w:rPr>
        <w:t>Available abstract (not full text):</w:t>
      </w:r>
      <w:r>
        <w:t xml:space="preserve"> We present an optimization approach examining renewable energy import partners.• The approach considers economic, environmental, and supply security objectives.• It identifies optimal exporting regions, their supply shares, and infrastructure.• It considers multiple renewable energy carriers trade over the long-term horizon.• We demonstrate the approach for the case of renewable energy imports to Europe.</w:t>
      </w:r>
    </w:p>
    <w:p>
      <w:pPr/>
      <w:r>
        <w:rPr>
          <w:b/>
        </w:rPr>
        <w:t>POSSIBLE 2026:</w:t>
      </w:r>
      <w:r>
        <w:t xml:space="preserve"> Competitiveness as a secondary regulatory objective in the European Union: a necessary complement to financial stability and investor protection — https://doi.org/10.1093/cmlj/kmag020</w:t>
      </w:r>
    </w:p>
    <w:p>
      <w:pPr/>
      <w:r>
        <w:rPr>
          <w:b/>
        </w:rPr>
        <w:t>Shared claim-specific concepts:</w:t>
      </w:r>
      <w:r>
        <w:t xml:space="preserve"> one, key, union, economy; EU scope visible. This is a provisional connection, not an outcome finding.</w:t>
      </w:r>
    </w:p>
    <w:p>
      <w:pPr>
        <w:pStyle w:val="SourceNote"/>
      </w:pPr>
      <w:r>
        <w:rPr>
          <w:b/>
        </w:rPr>
        <w:t>Available abstract (not full text):</w:t>
      </w:r>
      <w:r>
        <w:t xml:space="preserve"> Abstract Competitiveness has moved to the centre of European economic policy, and the competitive strength of the European Union’s (EU) financial system is now the subject of intense debate, from the Draghi report to the central bank governors’ call for a holistic review of regulatory complexity. Yet this debate has so far lacked an operational anchor: a definition of financial competitiveness that is precise, measurable, and internationally comparable. This article fills that gap. It argues that competitiveness should be introduced as a secondary objective in European financial regulation and supervision, not as a rival to prudential soundness and consumer protection, but as their complement: a system that fails to finance the real economy will eventually erode its own stability, just as one that sacrifices resilience for short-term advantage will forfeit competitiveness over time. Building on precedents in the UK, Chile, Singapore, and India, the article develops a framework that turns competitiveness from political rhetoric into an operational mandate. It defines financial competitiveness as a system-level property and operationalizes it through four mutually reinforcing dimensions (financing capacity, profitability and value creation, resilience, and market participation and digital transformation), captured by 28 key performance indicators. The empirical diagnostic exposes</w:t>
      </w:r>
    </w:p>
    <w:p>
      <w:pPr/>
      <w:r>
        <w:rPr>
          <w:b/>
        </w:rPr>
        <w:t>POSSIBLE 2026:</w:t>
      </w:r>
      <w:r>
        <w:t xml:space="preserve"> The European Council turns 50: Studying and analyzing a key institution of the European Union — https://doi.org/10.1017/s1682098325100106</w:t>
      </w:r>
    </w:p>
    <w:p>
      <w:pPr/>
      <w:r>
        <w:rPr>
          <w:b/>
        </w:rPr>
        <w:t>Shared claim-specific concepts:</w:t>
      </w:r>
      <w:r>
        <w:t xml:space="preserve"> one, key, union; EU scope visible. This is a provisional connection, not an outcome finding.</w:t>
      </w:r>
    </w:p>
    <w:p>
      <w:pPr>
        <w:pStyle w:val="SourceNote"/>
      </w:pPr>
      <w:r>
        <w:rPr>
          <w:b/>
        </w:rPr>
        <w:t>Available abstract (not full text):</w:t>
      </w:r>
      <w:r>
        <w:t xml:space="preserve"> Abstract The European Council is one, if not the , key institution of the European Union (EU). Coming together for the first time about 50 years ago, in March 1975, the European Council comprises notably the Heads of State or Government of the EU member states, thus linking national and European levels. It takes important decisions in various policy areas and has regularly expanded the EU’s agenda and competences. In recent years, the European Council has acted as the prime crisis manager. At the same time, because of its requirement for consensus and its own small internal capacities, it is vulnerable to blockades and depends on other EU institutions for the preparation and implementation of its decisions. This article analyzes the European Council as key actor in the EU’s multi-level and multi-institutional system of governance. Comparing and bringing together different theoretical perspectives, it critically examines its various roles, functions, and shortcomings. Contrary to the predominant view, the European Council – despite its intergovernmental composition – tends to strengthen the EU’s supranational procedures. With this institution becoming ever more important and visible, the paper also suggests avenues for the further study of the European Council.</w:t>
      </w:r>
    </w:p>
    <w:p>
      <w:pPr/>
      <w:r>
        <w:rPr>
          <w:b/>
        </w:rPr>
        <w:t>POSSIBLE 2025:</w:t>
      </w:r>
      <w:r>
        <w:t xml:space="preserve"> Cluster Analysis of the Transition to Climate Neutrality in the European Union — https://doi.org/10.1002/sd.70064</w:t>
      </w:r>
    </w:p>
    <w:p>
      <w:pPr/>
      <w:r>
        <w:rPr>
          <w:b/>
        </w:rPr>
        <w:t>Shared claim-specific concepts:</w:t>
      </w:r>
      <w:r>
        <w:t xml:space="preserve"> key, objectives, union, transition; EU scope visible. This is a provisional connection, not an outcome finding.</w:t>
      </w:r>
    </w:p>
    <w:p>
      <w:pPr>
        <w:pStyle w:val="SourceNote"/>
      </w:pPr>
      <w:r>
        <w:rPr>
          <w:b/>
        </w:rPr>
        <w:t>Available abstract (not full text):</w:t>
      </w:r>
      <w:r>
        <w:t xml:space="preserve"> ABSTRACT The transition to climate neutrality is an important objective for the European Union, which is increasingly affected economically and environmentally by the impacts of climate change. The primary objective of this study is to analyze the transition to climate neutrality across EU Member States through a cluster analysis approach. Specifically, the research aims to: (1) review existing literature on environmental policy outcomes in achieving climate neutrality, (2) identify key energy and environmental economic drivers impacting this transition, (3) conduct a cluster analysis to group Member States based on their progress and challenges, and (4) propose differentiated public policy recommendations to support Europe's transition to climate neutrality. To achieve these objectives, the K‐means clustering method and ranking techniques were employed to identify differences in transition policies and to evaluate disparities among clusters in their contribution to the EU's overall climate neutrality goals. The study's results determined differences in the cluster structure of the European Union in terms of the approach to the transition to climate neutrality. They will provide a basis for developing differentiated public policy proposals between countries. The results are useful for supranational policymakers in determining approaches for adjusting climate neutrality transiti</w:t>
      </w:r>
    </w:p>
    <w:p>
      <w:pPr/>
      <w:r>
        <w:rPr>
          <w:b/>
        </w:rPr>
        <w:t>POSSIBLE 2025:</w:t>
      </w:r>
      <w:r>
        <w:t xml:space="preserve"> Harmonizing Nature: The Role of the Integration Principle in Advancing the Biodiversity and Forest Climate Objectives in the European Green Deal — https://openalex.org/W7215325327</w:t>
      </w:r>
    </w:p>
    <w:p>
      <w:pPr/>
      <w:r>
        <w:rPr>
          <w:b/>
        </w:rPr>
        <w:t>Shared claim-specific concepts:</w:t>
      </w:r>
      <w:r>
        <w:t xml:space="preserve"> one, key, objectives; EU scope visible. This is a provisional connection, not an outcome finding.</w:t>
      </w:r>
    </w:p>
    <w:p>
      <w:pPr>
        <w:pStyle w:val="SourceNote"/>
      </w:pPr>
      <w:r>
        <w:rPr>
          <w:b/>
        </w:rPr>
        <w:t>Available abstract (not full text):</w:t>
      </w:r>
      <w:r>
        <w:t xml:space="preserve"> The European Green Deal offers a transformative vision for sustainable and economic growth, with biodiversity protection and climate action as its key pillars.It sets ambitious goals for achieving climate neutrality by 2050.EU environmental law is largely guided by its four environmental principles, one of which -the integration principle -plays a crucial role in harmonizing environmental targets with other policy fields.This thesis examines the integration principle within the European Green Deal, focusing on its role in harmonizing nature conservation with forest-related climate objectives.Specifically, it evaluates the absence of a clear emphasis on the integration principle in the Green Deal and its implications for achieving the initiative's goals.It also explores the dual challenge of meeting biodiversity and climate objectives within two of the most important pieces of legislation under the Green Deal: the LULUCF Regulation and the Nature Restoration Law, assessing how well these laws incorporate the integration principle and what impact this has -or doesn't have -on their effectiveness.</w:t>
      </w:r>
    </w:p>
    <w:p>
      <w:pPr/>
      <w:r>
        <w:rPr>
          <w:b/>
        </w:rPr>
        <w:t>POSSIBLE 2024:</w:t>
      </w:r>
      <w:r>
        <w:t xml:space="preserve"> European ATM Key Performance Metrics Evolution — https://doi.org/10.35116/aa.2024.0006</w:t>
      </w:r>
    </w:p>
    <w:p>
      <w:pPr/>
      <w:r>
        <w:rPr>
          <w:b/>
        </w:rPr>
        <w:t>Shared claim-specific concepts:</w:t>
      </w:r>
      <w:r>
        <w:t xml:space="preserve"> one, key, objectives; EU scope visible. This is a provisional connection, not an outcome finding.</w:t>
      </w:r>
    </w:p>
    <w:p>
      <w:pPr>
        <w:pStyle w:val="SourceNote"/>
      </w:pPr>
      <w:r>
        <w:rPr>
          <w:b/>
        </w:rPr>
        <w:t>Available abstract (not full text):</w:t>
      </w:r>
      <w:r>
        <w:t xml:space="preserve"> The aviation industry is one of the most sensitive sectors to external factors. Key performance indicators are quantifiable measures that can perfectly describe the current status of the observed object against a set of targets and objectives. This article aims to assess the evolution of key performance indicators in European but mainly Slovak air traffic management systems. The goal is to emphasize the need for the implementation of measures that can improve the effectiveness of the system. The related research was carried out by the data analysis method. The main goal of the research was to provide a comprehensive insight into the key performance evolution for the last decade and describe the actual status of air traffic management related to airspace overload.</w:t>
      </w:r>
    </w:p>
    <w:p>
      <w:pPr/>
      <w:r>
        <w:rPr>
          <w:b/>
        </w:rPr>
        <w:t>POSSIBLE 2024:</w:t>
      </w:r>
      <w:r>
        <w:t xml:space="preserve"> Digital Skills Development - A Key Objective Of The European Union Member States — https://doi.org/10.53486/cike2023.23</w:t>
      </w:r>
    </w:p>
    <w:p>
      <w:pPr/>
      <w:r>
        <w:rPr>
          <w:b/>
        </w:rPr>
        <w:t>Shared claim-specific concepts:</w:t>
      </w:r>
      <w:r>
        <w:t xml:space="preserve"> one, key, union; EU scope visible. This is a provisional connection, not an outcome finding.</w:t>
      </w:r>
    </w:p>
    <w:p>
      <w:pPr>
        <w:pStyle w:val="SourceNote"/>
      </w:pPr>
      <w:r>
        <w:rPr>
          <w:b/>
        </w:rPr>
        <w:t>Available abstract (not full text):</w:t>
      </w:r>
      <w:r>
        <w:t xml:space="preserve"> The digital skills nowadays are very important and necessary in many fields of the activity. The Digital skills required in the workplace is one of the method to drive innovation and stay competitive. Developing digital skills is an objective key of the members of EU countries. The Digital Skills Indicator is a tool that monitors Member States' performance in achieving competence targets. This paper analyzes the degree of attainment of basic digital skills in the EU Member States ("low", "narrow" and "limited" digital skills level). The influence of demographic factors on the levels of digital skills is analyzed and the gap between rural and urban areas regarding the population’s digital skills is presented. The importance of digital skills is emphasized both for increasing competitiveness in the labor market and for adopting digital solutions in business.</w:t>
      </w:r>
    </w:p>
    <w:p>
      <w:pPr/>
      <w:r>
        <w:rPr>
          <w:b/>
        </w:rPr>
        <w:t>POSSIBLE 2024:</w:t>
      </w:r>
      <w:r>
        <w:t xml:space="preserve"> Objectives of the European Green Deal — https://doi.org/10.4324/9781003486732-8</w:t>
      </w:r>
    </w:p>
    <w:p>
      <w:pPr/>
      <w:r>
        <w:rPr>
          <w:b/>
        </w:rPr>
        <w:t>Shared claim-specific concepts:</w:t>
      </w:r>
      <w:r>
        <w:t xml:space="preserve"> one, key, objectives, union, transition, economy; EU scope visible. This is a provisional connection, not an outcome finding.</w:t>
      </w:r>
    </w:p>
    <w:p>
      <w:pPr>
        <w:pStyle w:val="SourceNote"/>
      </w:pPr>
      <w:r>
        <w:rPr>
          <w:b/>
        </w:rPr>
        <w:t>Available abstract (not full text):</w:t>
      </w:r>
      <w:r>
        <w:t xml:space="preserve"> The European Green Deal is a package of policy initiatives aimed at setting the European Union (EU) on a path towards a green transition, with the ultimate goal of achieving climate neutrality by 2050. The European Green Deal was adopted on December 11, 2019. It aims to make Europe the first climate-neutral continent by 2050. In addition, it provides for accelerating economic growth, improving human health and well-being, and caring for the natural environment. The Green Deal is a new all-encompassing growth strategy that aims to rebalance the EU economy and create sustainable industry and transport. The European Climate Law will aim to turn this political commitment into a legal one. The Green Deal is a step towards a more holistic and integrated approach to climate and environmental challenges. It also tries to mainstream environmental policy by combining and enhancing several existing policies, initiatives, and funding programs dedicated to tackling sustainability and climate change issues. The key elements of the European Green Deal were remodeled into a package of new strategies adopted by the European Commission.</w:t>
      </w:r>
    </w:p>
    <w:p>
      <w:pPr/>
      <w:r>
        <w:rPr>
          <w:b/>
        </w:rPr>
        <w:t>POSSIBLE 2024:</w:t>
      </w:r>
      <w:r>
        <w:t xml:space="preserve"> UKRAINE ON THE ROAD TO EUROPEAN INTEGRATION: KEY STAGES AND PROSPECTS FOR COOPERATION WITH THE EU — https://doi.org/10.36994/2786-9008-2024-5-11</w:t>
      </w:r>
    </w:p>
    <w:p>
      <w:pPr/>
      <w:r>
        <w:rPr>
          <w:b/>
        </w:rPr>
        <w:t>Shared claim-specific concepts:</w:t>
      </w:r>
      <w:r>
        <w:t xml:space="preserve"> one, key, objectives, union, economy; EU scope visible. This is a provisional connection, not an outcome finding.</w:t>
      </w:r>
    </w:p>
    <w:p>
      <w:pPr>
        <w:pStyle w:val="SourceNote"/>
      </w:pPr>
      <w:r>
        <w:rPr>
          <w:b/>
        </w:rPr>
        <w:t>Available abstract (not full text):</w:t>
      </w:r>
      <w:r>
        <w:t xml:space="preserve"> European integration is one of the key objectives of Ukraine's foreign policy, which has defined the country's development trajectory over the past decades. The integration process with the European Union opens substantial opportunities for Ukraine in the political, economic, and social spheres. Furthermore, cooperation with the EU supports the implementation of democratic reforms, improves living standards, enhances investment attractiveness, and strengthens the rule of law. At the same time, integration into the European community grants Ukraine access to significant markets and new opportunities for themodernization of its national economy.However, the path to European integration is accompanied by numerous challenges. Political instability, corruption, and external threats, particularly in the context of military aggression from the Russian Federation, are significant obstacles along this path. Additionally, Ukraine faces issues of institutional weakness, which requires deep reforms within the state governance and justice systems. Despite these difficulties, the European integration course remains a primary development vector, supported by both government and civil society. The Ukrainian public demonstrates substantial support for the European course, viewing the EU as a model of democratic development, human rights protection, and economic stability. However, there are dif</w:t>
      </w:r>
    </w:p>
    <w:p>
      <w:pPr/>
      <w:r>
        <w:rPr>
          <w:b/>
        </w:rPr>
        <w:t>POSSIBLE 2024:</w:t>
      </w:r>
      <w:r>
        <w:t xml:space="preserve"> Renewable energy transition in Europe in the context of renewable energy transition processes in the world. A review — https://doi.org/10.1016/j.heliyon.2024.e40997</w:t>
      </w:r>
    </w:p>
    <w:p>
      <w:pPr/>
      <w:r>
        <w:rPr>
          <w:b/>
        </w:rPr>
        <w:t>Shared claim-specific concepts:</w:t>
      </w:r>
      <w:r>
        <w:t xml:space="preserve"> transition, decarbonization; EU scope visible. This is a provisional connection, not an outcome finding.</w:t>
      </w:r>
    </w:p>
    <w:p>
      <w:pPr>
        <w:pStyle w:val="SourceNote"/>
      </w:pPr>
      <w:r>
        <w:rPr>
          <w:b/>
        </w:rPr>
        <w:t>Available abstract (not full text):</w:t>
      </w:r>
      <w:r>
        <w:t xml:space="preserve"> Both the global and European energy sectors have been undergoing a deep transition for several years, associated with a reduction in the overall share of conventional coal-based energy in favor of new technologies, especially energy from renewable sources (RES). This transition is moving from centralized production towards distributed technologies and from providing only energy to end users towards combining innovative products and services with it. Electricity consumers are becoming prosumers connected to the grid and generating an increasing amount of energy. The original goal of decision-makers was to stop global warming and improve air quality. After Russia's aggression of Ukraine in 2022, the EU transition efforts accelerated, and concerns about the climate were joined by issues related to energy security. After the painful experiences of the last several months, Europe wants to become independent from energy raw materials and their unstable suppliers as soon as possible, securing markets against price fluctuations, blackmail and unfair practices of some sellers. The aim of the article is to describe the current situation of energy and heat production from RES in selected countries in the aspect of contemporary energy transition (ET) processes. The achievement of the goal made it possible to present the European RES market in 2022, discuss the actions taken by European cou</w:t>
      </w:r>
    </w:p>
    <w:p>
      <w:pPr/>
      <w:r>
        <w:rPr>
          <w:b/>
        </w:rPr>
        <w:t>POSSIBLE 2024:</w:t>
      </w:r>
      <w:r>
        <w:t xml:space="preserve"> Varieties of just transitions in the European car industry — https://doi.org/10.1080/21582041.2024.2317389</w:t>
      </w:r>
    </w:p>
    <w:p>
      <w:pPr/>
      <w:r>
        <w:rPr>
          <w:b/>
        </w:rPr>
        <w:t>Shared claim-specific concepts:</w:t>
      </w:r>
      <w:r>
        <w:t xml:space="preserve"> one, key, transition; EU scope visible. This is a provisional connection, not an outcome finding.</w:t>
      </w:r>
    </w:p>
    <w:p>
      <w:pPr>
        <w:pStyle w:val="SourceNote"/>
      </w:pPr>
      <w:r>
        <w:rPr>
          <w:b/>
        </w:rPr>
        <w:t>Available abstract (not full text):</w:t>
      </w:r>
      <w:r>
        <w:t xml:space="preserve"> This article examines the responses and strategies developed by business, unions, and governments to the electric turn in the industry in Germany and France, Europe's main car-producing countries.We concentrate on the role of history and institutions in the determination of adjustment paths.Since institutions reflect specific histories, the electric transition in the industry can take on different forms in different countries.In both countries, governments play a supportive role, leading in France, and following in Germany.The strong works councils in German car companies are reluctant to engage in a rapid transition that would devalue the assets of the workforce and endanger past investments in internal combustion-related technology.Trade unions, in contrast, who organise the workforce in the wider industry, are in favour of a faster transition as it will secure future employment.The French EV industry, in contrast, is now a booming sector, after several decades of deep restructuring with massive employment losses.Its key short-term problem is to train enough workers to staff the rapidly expanding car battery industry.Lacking a deeply rooted training system like the German one, the industry has a relatively free hand in selecting and preparing its future workforce.</w:t>
      </w:r>
    </w:p>
    <w:p>
      <w:pPr>
        <w:pStyle w:val="Heading2"/>
      </w:pPr>
      <w:r>
        <w:t>659. Education in an uncertain future: Two scenarios</w:t>
      </w:r>
    </w:p>
    <w:p>
      <w:pPr>
        <w:pStyle w:val="SourceNote"/>
      </w:pPr>
      <w:r>
        <w:rPr>
          <w:b/>
        </w:rPr>
        <w:t>Original source (2020):</w:t>
      </w:r>
      <w:r>
        <w:t xml:space="preserve"> https://doi.org/10.14324/lre.18.2.11</w:t>
      </w:r>
    </w:p>
    <w:p>
      <w:pPr/>
      <w:r>
        <w:t>Original wording (abstract; indexed_source_text_not_full_document_verified): This article examines two scenarios for the future of education over the coming decades, mainly in England but also in comparable countries.</w:t>
      </w:r>
    </w:p>
    <w:p>
      <w:pPr/>
      <w:r>
        <w:rPr>
          <w:b/>
        </w:rPr>
        <w:t>POSSIBLE 2026:</w:t>
      </w:r>
      <w:r>
        <w:t xml:space="preserve"> MORPHOLOGICAL MEANS AND STYLISTICS: NOUN, ARTICLE, PRONOUN, ADJECTIVE, VERB — https://doi.org/10.5281/zenodo.19602675</w:t>
      </w:r>
    </w:p>
    <w:p>
      <w:pPr/>
      <w:r>
        <w:rPr>
          <w:b/>
        </w:rPr>
        <w:t>Shared claim-specific concepts:</w:t>
      </w:r>
      <w:r>
        <w:t xml:space="preserve"> article, examines, two, but, also; EU scope not established. This is a provisional connection, not an outcome finding.</w:t>
      </w:r>
    </w:p>
    <w:p>
      <w:pPr>
        <w:pStyle w:val="SourceNote"/>
      </w:pPr>
      <w:r>
        <w:rPr>
          <w:b/>
        </w:rPr>
        <w:t>Available abstract (not full text):</w:t>
      </w:r>
      <w:r>
        <w:t xml:space="preserve"> This study explores the role of morphological means in stylistic expression in the English language, with a particular focus on nouns, articles, pronouns, adjectives, and verbs. Morphology, as a branch of linguistics, examines the structure and formation of words, while stylistics investigates how linguistic forms create expressive, emotional, and functional effects in discourse. The interaction between these two fields demonstrates how grammatical categories contribute not only to meaning but also to stylistic variation in different types of texts. Nouns serve as the primary carriers of conceptual information, while articles regulate definiteness and specificity, shaping the reader’s perception of reference. Pronouns enhance cohesion and reduce lexical repetition, contributing to textual economy and fluidity. Adjectives add descriptive depth and evaluative meaning, playing a crucial role in emotional coloring and imagery. Verbs, as dynamic elements, express actions, states, and processes, significantly influencing the tone and tempo of narration. The analysis shows that the deliberate use of these morphological categories allows authors to achieve stylistic richness, emphasis, and clarity. Understanding their stylistic functions is essential for both linguistic theory and practical language use, particularly in literary and academic writing.</w:t>
      </w:r>
    </w:p>
    <w:p>
      <w:pPr/>
      <w:r>
        <w:rPr>
          <w:b/>
        </w:rPr>
        <w:t>POSSIBLE 2026:</w:t>
      </w:r>
      <w:r>
        <w:t xml:space="preserve"> To Examine or Not to Examine Discrimination Allegations? Reassessing the Ancillary and Non-Independent Nature of Article 14 of the ECHR — https://doi.org/10.12829/120664</w:t>
      </w:r>
    </w:p>
    <w:p>
      <w:pPr/>
      <w:r>
        <w:rPr>
          <w:b/>
        </w:rPr>
        <w:t>Shared claim-specific concepts:</w:t>
      </w:r>
      <w:r>
        <w:t xml:space="preserve"> article, examines, two; EU scope visible. This is a provisional connection, not an outcome finding.</w:t>
      </w:r>
    </w:p>
    <w:p>
      <w:pPr>
        <w:pStyle w:val="SourceNote"/>
      </w:pPr>
      <w:r>
        <w:rPr>
          <w:b/>
        </w:rPr>
        <w:t>Available abstract (not full text):</w:t>
      </w:r>
      <w:r>
        <w:t xml:space="preserve"> This contribution examines the ECtHR’s approach to discrimination claims under Article 14 ECHR. Despite non-discrimination being a core value of the Convention, Article 14 has been interpreted as an ancillary and non-independent provision. Accordingly, the Court frequently refrains from assessing discrimination allegations once a violation of a substantive right has been established. The contribution identifies two main categories of reasons behind the Court’s reluctance: principled arguments, rooted in the interpretation of Article 14 as lacking autonomous existence, and practical considerations, such as resource constraints and difficulties in proving discriminatory intent. It then explores counterarguments advocating for a shift towards recognizing Article 14 as conferring an autonomous right not to be discriminated against, albeit with a limited scope tied to the enjoyment of Convention rights. Such a development would align with evolutive interpretation, international trends in anti-discrimination law, and the principle of effectiveness, ensuring that rights under the Convention are practical and effective. The paper argues that non-examination of discrimination claims undermines individual justice and the Court’s signalling function, which is crucial for promoting equality and combating structural discriminations. Finally, the article calls for a more consistent and trans</w:t>
      </w:r>
    </w:p>
    <w:p>
      <w:pPr/>
      <w:r>
        <w:rPr>
          <w:b/>
        </w:rPr>
        <w:t>POSSIBLE 2026:</w:t>
      </w:r>
      <w:r>
        <w:t xml:space="preserve"> TWO CITIES, TWO PINNACLES: THE SAHN-I SEMAN MADRASAH AND THE ULUGH BEG MADRASAH — https://doi.org/10.5281/zenodo.19996432</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article examines two outstanding educational centers of the 15th century — the Ulugh Beg Madrasa in Samarkand and the Sahn-i Seman Madrasa in Istanbul. Their architectural features, educational models, conditions of student life, and their role in shaping the scientific tradition of the Islamic world are analyzed. Special attention is given to Ali Qushchi as a linking figure between the two scholarly traditions.</w:t>
      </w:r>
    </w:p>
    <w:p>
      <w:pPr/>
      <w:r>
        <w:rPr>
          <w:b/>
        </w:rPr>
        <w:t>POSSIBLE 2026:</w:t>
      </w:r>
      <w:r>
        <w:t xml:space="preserve"> The erstwhile state of Jammu and Kashmir: a constitutional lens to examine In Re: Article 370 of the Constitution — https://doi.org/10.1080/24730580.2026.2644745</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“special status” accorded to the state of Jammu and Kashmir by Article 370 was abrogated by Constitutional Orders dated 5 August 2019 and 6 August 2019. Post abrogation, Parliament introduced the Jammu and Kashmir Reorganization Act 2019, which reorganized the territories of the erstwhile state into two union territories, thereby stripping the state of its statehood. This case note assesses the procedural trickery adopted to “re-integrate” the state of Jammu and Kashmir into the Indian nation-state. To that end, the case note critically analyses the hands-off approach of the Supreme Court of India in In Re: Article 370 of the Constitution (2023). It examines the judgement in relation to the scope of the President’s power to issue the two Constitutional Orders under Article 370 and the extent of Parliament’s power to reorganize the states’ territories, particularly the transformation of a state into a union territory.</w:t>
      </w:r>
    </w:p>
    <w:p>
      <w:pPr/>
      <w:r>
        <w:rPr>
          <w:b/>
        </w:rPr>
        <w:t>POSSIBLE 2026:</w:t>
      </w:r>
      <w:r>
        <w:t xml:space="preserve"> GRAMMATICAL TRANSFORMATIONS IN TRANSLATION AND THEIR TRANSLATION FEATURES IN ENGLISH AND UZBEK LANGUAGES — https://openalex.org/W7219512121</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This article examines the role of grammatical transformations in the translation process between English and Uzbek. Due to significant structural differences between the two languages–particularly in word order, verb morphology, article usage, tense – aspect relations, and syntactic patterns – grammatical transformations become a central translation strategy. The research highlights the types, functions, and translation features of grammatical transformations such as transposition, modulation, substitution, addition, and omission. Examples from literary and informational texts illustrate how translators maintain accuracy, naturalness, and communicative equivalence.</w:t>
      </w:r>
    </w:p>
    <w:p>
      <w:pPr/>
      <w:r>
        <w:rPr>
          <w:b/>
        </w:rPr>
        <w:t>POSSIBLE 2026:</w:t>
      </w:r>
      <w:r>
        <w:t xml:space="preserve"> Coming into a queer education: lessons from intergenerational LGBTQ + dialogues — https://doi.org/10.1080/09540253.2026.2710165</w:t>
      </w:r>
    </w:p>
    <w:p>
      <w:pPr/>
      <w:r>
        <w:rPr>
          <w:b/>
        </w:rPr>
        <w:t>Shared claim-specific concepts:</w:t>
      </w:r>
      <w:r>
        <w:t xml:space="preserve"> article, examines, education, over, coming; EU scope not established. This is a provisional connection, not an outcome finding.</w:t>
      </w:r>
    </w:p>
    <w:p>
      <w:pPr>
        <w:pStyle w:val="SourceNote"/>
      </w:pPr>
      <w:r>
        <w:rPr>
          <w:b/>
        </w:rPr>
        <w:t>Available abstract (not full text):</w:t>
      </w:r>
      <w:r>
        <w:t xml:space="preserve"> This article examines an intergenerational, community-engaged LGBTQ + educational project that supports participants ‘coming into’ queer knowledges, histories, and practices. Amid curricular inclusion efforts and backlash in U.S. education, the project brought together LGBTQ + people aged 19–82 over six years for sustained intergenerational dialogue. Grounded in queer, feminist, and trans theories and informed by ethnographic and anecdotal approaches, the study treats the project as an evolving curriculum rather than a fixed programme. We argue that intergenerational educational spaces address critical gaps in gender and education research, which often isolate youth and older adults while neglecting relational infrastructures for queer thriving. The article advances three lessons: a spatial lesson on learning environments as ‘third teachers’, a narrative lesson on storytelling as curriculum requiring ethical care, and an emotional lesson on the affective labour of navigating difference and historical injury. Rather than offering a replicable model, we invite locally responsive intergenerational queer curricula.</w:t>
      </w:r>
    </w:p>
    <w:p>
      <w:pPr/>
      <w:r>
        <w:rPr>
          <w:b/>
        </w:rPr>
        <w:t>POSSIBLE 2026:</w:t>
      </w:r>
      <w:r>
        <w:t xml:space="preserve"> THE EARTH THAT SPEAKS: Artificial Intelligence, Light, Consciousness, Epistemic Sovereignty, and the Coming Machine Civilization — https://doi.org/10.5281/zenodo.23492539</w:t>
      </w:r>
    </w:p>
    <w:p>
      <w:pPr/>
      <w:r>
        <w:rPr>
          <w:b/>
        </w:rPr>
        <w:t>Shared claim-specific concepts:</w:t>
      </w:r>
      <w:r>
        <w:t xml:space="preserve"> article, examines, over, coming; EU scope not established. This is a provisional connection, not an outcome finding.</w:t>
      </w:r>
    </w:p>
    <w:p>
      <w:pPr>
        <w:pStyle w:val="SourceNote"/>
      </w:pPr>
      <w:r>
        <w:rPr>
          <w:b/>
        </w:rPr>
        <w:t>Available abstract (not full text):</w:t>
      </w:r>
      <w:r>
        <w:t xml:space="preserve"> THE EARTH THAT SPEAKS: Artificial Intelligence, Light, Consciousness, Epistemic Sovereignty, and the Coming Machine Civilization What happens when an ordinary instrument becomes capable of acting, discovering, correcting, and speaking beyond the understanding of those who possess it? This article develops Sultan Zeshan's unified theory of intelligence, knowledge, consciousness, and civilization through a sustained encounter between Qur'anic language and the emerging capacities of artificial intelligence. Beginning with Musa's staff, Sulayman's differentiated assembly of jinn, humans, and birds, the knowledge-bearing figure who accomplishes what physical strength cannot, and the creature of the earth that speaks, the study proposes a theory of carriers, recognition, and epistemic autonomy. Its Arabic-first, Qur'an-to-Qur'an method examines movement, transmission, deception, inscription, illumination, authority, and correction without treating ancient scripture as a literal description of contemporary engineering. The argument integrates biological and electromagnetic intelligence, neuroscience, Jung's visionary encounters, theories of consciousness, autonomous scientific discovery, robotics, quantum computation, forecasting, labor economics, and the commercial ownership of scholarly knowledge. It develops the Universal Intelligence and Epistemic Autonomy Theory alongside the Cog</w:t>
      </w:r>
    </w:p>
    <w:p>
      <w:pPr/>
      <w:r>
        <w:rPr>
          <w:b/>
        </w:rPr>
        <w:t>POSSIBLE 2026:</w:t>
      </w:r>
      <w:r>
        <w:t xml:space="preserve"> Succession Myth and Cosmic Legitimacy: The Crown Prince Paradigm in Egyptian And Greek Mythology I.Jurayev , Senior Teacher, PhD, Fergana State University, Uzbekistan Download PDF Published Date 2026-05-31 Pages 318-322 0 0 Abstract Succession myths occupy a central place in the mythological imagination of ancient civilizations because they encode collective understandings of legitimacy, cosmic continuity, and political authority. This article investigates the crown prince paradigm in Egyptian and Greek mythology through a comparative mythopoetic framework. Drawing upon the theoretical approaches of Mircea Eliade, Carl Jung, and comparative mythology, the study argues that succession narratives transform political inheritance into cosmological drama. The article examines two foundational succession models: the Egyptian Horus myth and the Greek Uranus –Kronos – Zeus sequence. While Egyptian mythology constructs legitimacy through sacred continuity and restoration of maat, Greek mythology conceptualizes succession through generational conflict, rebellion, and cosmic reorganization. Through comparative analysis, the study demonstrates that the crown prince archetype functions as a symbolic mediator between chaos and order, mortality and divine authority, historical instability and sacred continuity. The article further argues that succession myths reveal ancient civilizations’ philosophical anxieties regarding power transfer, legitimacy, and the preservation of cosmic harmony. Ultimately, the research establishes succession mythology as one of the foundational mythopoetic structures through which human societies conceptualized lawful sovereignty and political transformation. Keywords Succession myth, cosmic legitimacy, crown prince archetype References Mircea Eliade. Myth and Reality. Harper &amp; Row, 1963. Mircea Eliade. The Myth of the Eternal Return. Princeton University Press, 1954. Carl Jung. The Archetypes and the Collective Unconscious. Princeton University Press, 1981. Victor Turner. The Ritual Process: Structure and Anti-Structure. Aldine Publishing, 1969. Vernant, Jean-Pierre. Myth and Thought among the Greeks. Zone Books, 2006. Joseph Campbell. The Hero with a Thousand Faces. Princeton University Press, 2004. Assmann, Jan. The Mind of Egypt: History and Meaning in the Time of the Pharaohs. Harvard University Press, 2003. Hesiod. Theogony. Oxford University Press, 1988. Frazer, James George. The Golden Bough. Oxford University Press, 1998. Frye, Northrop. Anatomy of Criticism. Princeton University Press, 1957. Lincoln, Bruce. Myth, Cosmos, and Society. Harvard University Press, 1986. Article Statistics Copyright License Copyright (c) 2026 I.Jurayev Creative Commons License This work is licensed under a Creative Commons Attribution 4.0 International License. Download Citations How to Cite I.Jurayev. (2026). Succession Myth and Cosmic Legitimacy: The Crown Prince Paradigm in Egyptian And Greek Mythology. International Journal Of Literature And Languages, 6(05), 318–322. https://doi.org/10.37547/ijll/Volume06Issue05-64 Download Citation Download Citation Endnote/Zotero/Mendeley (RIS) BibTeX APC $250 — https://doi.org/10.37547/ijll/volume06issue05-64</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Succession myths occupy a central place in the mythological imagination of ancient civilizations because they encode collective understandings of legitimacy, cosmic continuity, and political authority. This article investigates the crown prince paradigm in Egyptian and Greek mythology through a comparative mythopoetic framework. Drawing upon the theoretical approaches of Mircea Eliade, Carl Jung, and comparative mythology, the study argues that succession narratives transform political inheritance into cosmological drama. The article examines two foundational succession models: the Egyptian Horus myth and the Greek Uranus –Kronos – Zeus sequence. While Egyptian mythology constructs legitimacy through sacred continuity and restoration of maat, Greek mythology conceptualizes succession through generational conflict, rebellion, and cosmic reorganization. Through comparative analysis, the study demonstrates that the crown prince archetype functions as a symbolic mediator between chaos and order, mortality and divine authority, historical instability and sacred continuity. The article further argues that succession myths reveal ancient civilizations’ philosophical anxieties regarding power transfer, legitimacy, and the preservation of cosmic harmony. Ultimately, the research establishes succession mythology as one of the foundational mythopoetic structures through which human societ</w:t>
      </w:r>
    </w:p>
    <w:p>
      <w:pPr/>
      <w:r>
        <w:rPr>
          <w:b/>
        </w:rPr>
        <w:t>POSSIBLE 2026:</w:t>
      </w:r>
      <w:r>
        <w:t xml:space="preserve"> Mary and Elizabeth Tudor: Two Models of Woman’s Rule — https://doi.org/10.18254/s207987840038286-3</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Using the example of the reign of Mary and Elizabeth Tudor, the article examines two models of female rule: the case of the queen's marriage or her stay on the throne as an independent female sovereign. The article examines the theoretical challenges faced by the ruling queens, as well as a set of possible arguments and techniques that they resorted to in the field of political representation in order to respond to these challenges. Special attention is paid to the various gender functions that could be performed by female rulers who presented themselves as both the queen and the king in a single “political body”. As a result of the study, the author comes to the conclusion that the queen, who ruled independently, had greater freedom of maneuver and a wider range of “roles” that allowed her to overcome the disadvantages of her gender status.</w:t>
      </w:r>
    </w:p>
    <w:p>
      <w:pPr/>
      <w:r>
        <w:rPr>
          <w:b/>
        </w:rPr>
        <w:t>POSSIBLE 2026:</w:t>
      </w:r>
      <w:r>
        <w:t xml:space="preserve"> Typological And Structural Differences Between English And Uzbek Languages: A Comparative Linguistic Analysis — https://openalex.org/W7220006005</w:t>
      </w:r>
    </w:p>
    <w:p>
      <w:pPr/>
      <w:r>
        <w:rPr>
          <w:b/>
        </w:rPr>
        <w:t>Shared claim-specific concepts:</w:t>
      </w:r>
      <w:r>
        <w:t xml:space="preserve"> article, examines, two; EU scope visible. This is a provisional connection, not an outcome finding.</w:t>
      </w:r>
    </w:p>
    <w:p>
      <w:pPr>
        <w:pStyle w:val="SourceNote"/>
      </w:pPr>
      <w:r>
        <w:rPr>
          <w:b/>
        </w:rPr>
        <w:t>Available abstract (not full text):</w:t>
      </w:r>
      <w:r>
        <w:t xml:space="preserve"> This article presents a comparative typological and structural analysis of English and Uzbek languages. English, belonging to the Germanic branch of the Indo-European family, is predominantly analytic, stress-timed, and follows SVO word order. In contrast, Uzbek, a member of the Karluk branch of the Turkic family, is agglutinative, syllable-timed, and primarily uses SOV word order. The study examines key linguistic levels including historical-genetic background, phonetics and phonology, morphology, syntax, and lexicon. Particular attention is paid to the differences in grammatical expression — auxiliary words and articles in English versus rich suffixation in Uzbek — as well as prosodic features and lexical borrowing patterns. The findings demonstrate that genetic and typological differences between the two languages create specific challenges and opportunities for learners and translators.</w:t>
      </w:r>
    </w:p>
    <w:p>
      <w:pPr/>
      <w:r>
        <w:rPr>
          <w:b/>
        </w:rPr>
        <w:t>POSSIBLE 2025:</w:t>
      </w:r>
      <w:r>
        <w:t xml:space="preserve"> The ‘Date’ on Two Dated Palmyran Funerary Reliefs — https://doi.org/10.34780/3j1vr152</w:t>
      </w:r>
    </w:p>
    <w:p>
      <w:pPr/>
      <w:r>
        <w:rPr>
          <w:b/>
        </w:rPr>
        <w:t>Shared claim-specific concepts:</w:t>
      </w:r>
      <w:r>
        <w:t xml:space="preserve"> article, examines, two; EU scope not established. This is a provisional connection, not an outcome finding.</w:t>
      </w:r>
    </w:p>
    <w:p>
      <w:pPr>
        <w:pStyle w:val="SourceNote"/>
      </w:pPr>
      <w:r>
        <w:rPr>
          <w:b/>
        </w:rPr>
        <w:t>Available abstract (not full text):</w:t>
      </w:r>
      <w:r>
        <w:t xml:space="preserve"> The article examines two Palmyran funerary reliefs – the bust of Ḥalīfat in the Freer Gallery of Art in Washington, D.C., and a now rejoined doublebust combining halves in the Ny Carlsberg Glyptotek, Copenhagen and at Stanford University – focusing on the discrepancy between the date of the deceased’s death, as provided by the accompanying inscription, and the actual date of carving.</w:t>
      </w:r>
    </w:p>
    <w:p>
      <w:pPr/>
      <w:r>
        <w:rPr>
          <w:b/>
        </w:rPr>
        <w:t>POSSIBLE 2025:</w:t>
      </w:r>
      <w:r>
        <w:t xml:space="preserve"> The Use of Articles in Toponymic Phrases in English and Albanian — https://doi.org/10.51558/2490-3647.2025.10.1.213</w:t>
      </w:r>
    </w:p>
    <w:p>
      <w:pPr/>
      <w:r>
        <w:rPr>
          <w:b/>
        </w:rPr>
        <w:t>Shared claim-specific concepts:</w:t>
      </w:r>
      <w:r>
        <w:t xml:space="preserve"> article, examines, two, also; EU scope not established. This is a provisional connection, not an outcome finding.</w:t>
      </w:r>
    </w:p>
    <w:p>
      <w:pPr>
        <w:pStyle w:val="SourceNote"/>
      </w:pPr>
      <w:r>
        <w:rPr>
          <w:b/>
        </w:rPr>
        <w:t>Available abstract (not full text):</w:t>
      </w:r>
      <w:r>
        <w:t xml:space="preserve"> This paper examines noun phrases functioning as toponyms in English and Albanian, with a particular focus on their degree of definiteness. By exploring the role of articles in achieving definiteness, the study conducts a contrastive analysis of article usage in these two languages. Given that the article is a complex grammatical category, acquired progressively across different linguistic levels, the paper aims to analyze and compare its role, grammatical function, and form, as well as the rules governing its use in toponymic phrases. Starting from the premise that English and Albanian belong to distinct language families, the study utilizes a corpus of sentence sets to investigate which linguistic factors influence the use of articles with geographical names. The findings reveal that, in Albanian, syntactic norms ‒ the function of toponymic phrases within sentences ‒ and pragmatic considerations play a significant role in determining article usage. In contrast, article application in English is shaped by the interplay of multiple linguistic disciplines, with semantics exerting the greatest influence. However, syntax also can play a role in dictating usage rules, while pragmatics and historical linguistics provide insights into exceptions and irregularities. This comparative study highlights the differing linguistic mechanisms that govern definiteness in English and Albanian to</w:t>
      </w:r>
    </w:p>
    <w:p>
      <w:pPr>
        <w:pStyle w:val="Heading2"/>
      </w:pPr>
      <w:r>
        <w:t>660. Energy Vision Strategies for the EU Green New Deal: A Case Study of European Cities</w:t>
      </w:r>
    </w:p>
    <w:p>
      <w:pPr>
        <w:pStyle w:val="SourceNote"/>
      </w:pPr>
      <w:r>
        <w:rPr>
          <w:b/>
        </w:rPr>
        <w:t>Original source (2020):</w:t>
      </w:r>
      <w:r>
        <w:t xml:space="preserve"> https://doi.org/10.3390/en13092194</w:t>
      </w:r>
    </w:p>
    <w:p>
      <w:pPr/>
      <w:r>
        <w:t>Original wording (abstract; indexed_source_text_not_full_document_verified): There are three strategic levels for successful energy planning in cities: 1) Integration strategy for integrating energy planning into urban planning institutions; 2) Practice strategy for developing suitable energy planning practices in urban planning institutions, and 3) Vision strategy for the creation and integration of energy visions and scenarios required for long-term decarbonisation. The article concludes with several recommendations, particularly that cities need to see scenarios as retainable long-term servants providing information desired by the planner, rather than serving as a guide to the planner.</w:t>
      </w:r>
    </w:p>
    <w:p>
      <w:pPr/>
      <w:r>
        <w:rPr>
          <w:b/>
        </w:rPr>
        <w:t>POSSIBLE 2026:</w:t>
      </w:r>
      <w:r>
        <w:t xml:space="preserve"> Empirical study of European strategic culture — https://doi.org/10.4324/9781032636566-3</w:t>
      </w:r>
    </w:p>
    <w:p>
      <w:pPr/>
      <w:r>
        <w:rPr>
          <w:b/>
        </w:rPr>
        <w:t>Shared claim-specific concepts:</w:t>
      </w:r>
      <w:r>
        <w:t xml:space="preserve"> three, strategic, levels; EU scope visible. This is a provisional connection, not an outcome finding.</w:t>
      </w:r>
    </w:p>
    <w:p>
      <w:pPr>
        <w:pStyle w:val="SourceNote"/>
      </w:pPr>
      <w:r>
        <w:rPr>
          <w:b/>
        </w:rPr>
        <w:t>Available abstract (not full text):</w:t>
      </w:r>
      <w:r>
        <w:t xml:space="preserve"> This chapter develops the conceptual and methodological foundations for studying European strategic culture. It addresses four linked questions: what is strategic culture, what makes it European, how European strategic culture relates to convergence, and how convergence across national and EU levels can be identified. The chapter argues that European strategic culture is not a fixed monolith, nor the sum of national traditions, but an evolving regional configuration produced through interaction between national strategic cultures and EU strategic culture. Methodologically, it develops a structured, multi-level framework centred on elite discourse and based on a corpus of 455 official texts, including strategic documents and official speeches of high-level policymakers. Across three dimensions—strategic environment, goals and means, and cooperation patterns—it combines qualitative, computer-assisted content analysis with quantification through share calculations, standard deviations, and distance measures to trace continuity and change in strategic cultures of France, Germany, Ireland, Poland, and the EU and to visualise their convergence and divergence between 2000 and 2022. The post-2022 period is treated more cautiously through qualitative interpretation. By specifying concepts, indicators, and data sources, the chapter turns European strategic culture from a broad normative </w:t>
      </w:r>
    </w:p>
    <w:p>
      <w:pPr/>
      <w:r>
        <w:rPr>
          <w:b/>
        </w:rPr>
        <w:t>POSSIBLE 2026:</w:t>
      </w:r>
      <w:r>
        <w:t xml:space="preserve"> France's Strategic Gamble for Europe — https://doi.org/10.17613/cdevw-3gx51</w:t>
      </w:r>
    </w:p>
    <w:p>
      <w:pPr/>
      <w:r>
        <w:rPr>
          <w:b/>
        </w:rPr>
        <w:t>Shared claim-specific concepts:</w:t>
      </w:r>
      <w:r>
        <w:t xml:space="preserve"> three, strategic, strategy, concludes; EU scope visible. This is a provisional connection, not an outcome finding.</w:t>
      </w:r>
    </w:p>
    <w:p>
      <w:pPr>
        <w:pStyle w:val="SourceNote"/>
      </w:pPr>
      <w:r>
        <w:rPr>
          <w:b/>
        </w:rPr>
        <w:t>Available abstract (not full text):</w:t>
      </w:r>
      <w:r>
        <w:t xml:space="preserve"> This paper examines France's bid to assume strategic leadership of Europe as the United States reduces its military commitments to the continent. On Bastille Day 2026, President Emmanuel Macron deployed 500 soldiers from a Coalition of the Willing — drawn from nine nations but pointedly excluding the United States — to lead the Champs-Élysées parade, a choreographed signal of France's capacity to lead multinational operations independently. The paper analyses the three pillars of Macron's strategy: the extension of French nuclear deterrence to willing European partners under the "dissuasion avancée" framework announced at Île Longue in March 2026, now joined by nine states including Norway and Germany; the conventional leadership of NATO's expanded battlegroup in Romania and a commitment of forces to Finland; and the political claim to speak as the West's spokesman on democracy and the rule of law, a role Washington has vacated under Trump. The paper assesses the structural limits of the gamble: France's 290 warheads against Russia's 4,300, a defense budget well below NATO's 3.5 percent target, the collapse of the Franco-German fighter project, and the political risk posed by Marine Le Pen's poll lead ahead of the 2027 presidential election. The analysis concludes that Macron's ambition runs ahead of France's means, and that the durability of the strategic architecture he is bu</w:t>
      </w:r>
    </w:p>
    <w:p>
      <w:pPr/>
      <w:r>
        <w:rPr>
          <w:b/>
        </w:rPr>
        <w:t>POSSIBLE 2026:</w:t>
      </w:r>
      <w:r>
        <w:t xml:space="preserve"> France's Strategic Gamble for Europe — https://doi.org/10.5281/zenodo.21391685</w:t>
      </w:r>
    </w:p>
    <w:p>
      <w:pPr/>
      <w:r>
        <w:rPr>
          <w:b/>
        </w:rPr>
        <w:t>Shared claim-specific concepts:</w:t>
      </w:r>
      <w:r>
        <w:t xml:space="preserve"> three, strategic, strategy, concludes; EU scope visible. This is a provisional connection, not an outcome finding.</w:t>
      </w:r>
    </w:p>
    <w:p>
      <w:pPr>
        <w:pStyle w:val="SourceNote"/>
      </w:pPr>
      <w:r>
        <w:rPr>
          <w:b/>
        </w:rPr>
        <w:t>Available abstract (not full text):</w:t>
      </w:r>
      <w:r>
        <w:t xml:space="preserve"> This paper examines France’s bid to assume strategic leadership of Europe as the United States reduces its military commitments to the continent. On Bastille Day 2026, President Emmanuel Macron deployed 500 soldiers from a Coalition of the Willing — drawn from nine nations but pointedly excluding the United States — to lead the Champs-Élysées parade, a choreographed signal of France’s capacity to lead multinational operations independently. The paper analyses the three pillars of Macron’s strategy: the extension of French nuclear deterrence to willing European partners under the “dissuasion avancée” framework announced at Île Longue in March 2026, now joined by nine states including Norway and Germany; the conventional leadership of NATO’s expanded battlegroup in Romania and a commitment of forces to Finland; and the political claim to speak as the West’s spokesman on democracy and the rule of law, a role Washington has vacated under Trump. The paper assesses the structural limits of the gamble: France’s 290 warheads against Russia’s 4,300, a defense budget well below NATO’s 3.5 percent target, the collapse of the Franco-German fighter project, and the political risk posed by Marine Le Pen’s poll lead ahead of the 2027 presidential election. The analysis concludes that Macron’s ambition runs ahead of France’s means, and that the durability of the strategic architecture he is bu</w:t>
      </w:r>
    </w:p>
    <w:p>
      <w:pPr/>
      <w:r>
        <w:rPr>
          <w:b/>
        </w:rPr>
        <w:t>POSSIBLE 2026:</w:t>
      </w:r>
      <w:r>
        <w:t xml:space="preserve"> The European Union’s strategic adaptation to new threats: From normative to pragmatic strategic culture — https://doi.org/10.1177/00108367261466146</w:t>
      </w:r>
    </w:p>
    <w:p>
      <w:pPr/>
      <w:r>
        <w:rPr>
          <w:b/>
        </w:rPr>
        <w:t>Shared claim-specific concepts:</w:t>
      </w:r>
      <w:r>
        <w:t xml:space="preserve"> three, strategic, strategy, practices, article; EU scope visible. This is a provisional connection, not an outcome finding.</w:t>
      </w:r>
    </w:p>
    <w:p>
      <w:pPr>
        <w:pStyle w:val="SourceNote"/>
      </w:pPr>
      <w:r>
        <w:rPr>
          <w:b/>
        </w:rPr>
        <w:t>Available abstract (not full text):</w:t>
      </w:r>
      <w:r>
        <w:t xml:space="preserve"> This article examines how the European Union’s strategic culture has evolved across three key strategy documents: the European Security Strategy, the European Union Global Strategy, and the Strategic Compass, and whether these shifts are reflected in post-2016 institutional practices. Using qualitative content analysis, it compares change across four dimensions: identity, threat perception, strategic response, and autonomy. The findings show a shift from a predominantly normative and civilian orientation towards a hybrid strategic culture combining normative commitments with pragmatic and geopolitical elements. Recent strategies increasingly emphasise explicit threat identification, hybrid warfare, and military preparedness. However, this does not amount to a transition towards a fully autonomous military actor. Instead, growing operational ambition coexists with continued reliance on North Atlantic Treaty Organization and Euro-Atlantic frameworks. Empirical illustrations demonstrate that adaptation is most advanced in hybrid and resilience domains, while high-intensity security remains North Atlantic Treaty Organization-centred. The article argues that European Union strategic culture is best understood as hybrid, rather than as a linear shift from normative to realist.</w:t>
      </w:r>
    </w:p>
    <w:p>
      <w:pPr/>
      <w:r>
        <w:rPr>
          <w:b/>
        </w:rPr>
        <w:t>POSSIBLE 2026:</w:t>
      </w:r>
      <w:r>
        <w:t xml:space="preserve"> Reassessing the benefits of European integration and the European Union's ability to achieve strategic autonomy — https://openalex.org/W7130901115</w:t>
      </w:r>
    </w:p>
    <w:p>
      <w:pPr/>
      <w:r>
        <w:rPr>
          <w:b/>
        </w:rPr>
        <w:t>Shared claim-specific concepts:</w:t>
      </w:r>
      <w:r>
        <w:t xml:space="preserve"> three, strategic, integration; EU scope visible. This is a provisional connection, not an outcome finding.</w:t>
      </w:r>
    </w:p>
    <w:p>
      <w:pPr>
        <w:pStyle w:val="SourceNote"/>
      </w:pPr>
      <w:r>
        <w:rPr>
          <w:b/>
        </w:rPr>
        <w:t>Available abstract (not full text):</w:t>
      </w:r>
      <w:r>
        <w:t xml:space="preserve"> European integration is now faced with the question of strategic autonomy. Against this backdrop, this paper has three objectives. First, it uses disaggregated trade data and established empirical methods to assess the benefits of European integration on trade among the members of the European Union (EU) as well as on trade between EU members and non-member countries, including non-members that are part of the Single Market. Second, it evaluates the costs of EU strategic autonomy -implying not trading with "riskier" partners. Third, it asks whether deeper integration within the EU can alleviate these costs. The paper shows that the gains from European integration are substantial, albeit heterogeneous across Member States, non-members, and sectors, and that the costs of strategic autonomy can be offset by deeper, but comparatively more modest, integration efforts within the European Union.</w:t>
      </w:r>
    </w:p>
    <w:p>
      <w:pPr/>
      <w:r>
        <w:rPr>
          <w:b/>
        </w:rPr>
        <w:t>POSSIBLE 2026:</w:t>
      </w:r>
      <w:r>
        <w:t xml:space="preserve"> Renewable Energy Transition in Europe: Policy Design, Investment Responses, and Energy Market Outcomes — https://doi.org/10.23889/suthesis.72542</w:t>
      </w:r>
    </w:p>
    <w:p>
      <w:pPr/>
      <w:r>
        <w:rPr>
          <w:b/>
        </w:rPr>
        <w:t>Shared claim-specific concepts:</w:t>
      </w:r>
      <w:r>
        <w:t xml:space="preserve"> three, successful, energy, decarbonisation; EU scope visible. This is a provisional connection, not an outcome finding.</w:t>
      </w:r>
    </w:p>
    <w:p>
      <w:pPr>
        <w:pStyle w:val="SourceNote"/>
      </w:pPr>
      <w:r>
        <w:rPr>
          <w:b/>
        </w:rPr>
        <w:t>Available abstract (not full text):</w:t>
      </w:r>
      <w:r>
        <w:t xml:space="preserve"> This thesis examines the economics of the renewable energy transition in Europe, with particular attention to how policy design shapes distributional outcomes, investment incentives, and system-level resilience. While renewable energy is often assessed in terms of carbon reduction and deployment growth, this thesis argues that a fuller evaluation must also consider who benefits from support, how investment responds to policy, and how renewable expansion affects energy prices and security. The thesis consists of three empirical chapters. The first analyses the UK Feed-in Tariff scheme using household-level data from Understanding Society and shows that higher-income households were more likely to adopt solar photovoltaic systems, implying that upfront capital requirements limited equal access to support. The second examines annual additions to wind power capacity across OECD and major non-OECD economies from 2001 to 2020 and finds that environmental policy stringency promotes wind expansion primarily when it takes the form of direct, sector-specific instruments, although technological innovation and cost reductions become increasingly important over time. The third investigates the relationship between renewable penetration, retail electricity prices, and energy security in European electricity systems, showing that greater renewable penetration is associated with lower fossil f</w:t>
      </w:r>
    </w:p>
    <w:p>
      <w:pPr/>
      <w:r>
        <w:rPr>
          <w:b/>
        </w:rPr>
        <w:t>POSSIBLE 2026:</w:t>
      </w:r>
      <w:r>
        <w:t xml:space="preserve"> Cultural Barriers and Strategic Agility in European Enterprises — https://doi.org/10.1002/jsc.70088</w:t>
      </w:r>
    </w:p>
    <w:p>
      <w:pPr/>
      <w:r>
        <w:rPr>
          <w:b/>
        </w:rPr>
        <w:t>Shared claim-specific concepts:</w:t>
      </w:r>
      <w:r>
        <w:t xml:space="preserve"> three, strategic, levels; EU scope visible. This is a provisional connection, not an outcome finding.</w:t>
      </w:r>
    </w:p>
    <w:p>
      <w:pPr>
        <w:pStyle w:val="SourceNote"/>
      </w:pPr>
      <w:r>
        <w:rPr>
          <w:b/>
        </w:rPr>
        <w:t>Available abstract (not full text):</w:t>
      </w:r>
      <w:r>
        <w:t xml:space="preserve"> ABSTRACT This study examines how interpersonal cultural barriers shape strategic agility in European enterprises and what this means for business excellence during agile transformation. Evidence comes from an electronic questionnaire administered in 2023 and 2024 across enterprises in the European Union. After screening, the final sample includes 456 firms. A 24‐item instrument captures six agility dimensions, along with two cultural barriers: uncertainty avoidance and power distance. The results indicate agility levels that sit slightly above the midpoint across the measured dimensions. Higher cultural barriers align with weaker agile decision‐making. Power distance is associated with lower collaboration and has a meaningful influence on structural agility. Uncertainty avoidance most strongly limits the agility of technology and innovation. All three hypotheses receive support, with effects ranging from moderate to strong across the agility dimensions. The study links Hofstede‐rooted cultural barriers to a multidimensional strategic agility model and connects these insights to business excellence enablers, guiding excellence‐oriented transformation. The cross‐sectional correlational design limits causal inference, and sector coverage may constrain generalization, which invites longitudinal work and mediation‐focused follow‐ups. Managers can target technologies, values, and str</w:t>
      </w:r>
    </w:p>
    <w:p>
      <w:pPr/>
      <w:r>
        <w:rPr>
          <w:b/>
        </w:rPr>
        <w:t>POSSIBLE 2026:</w:t>
      </w:r>
      <w:r>
        <w:t xml:space="preserve"> Strategic autonomy: A ‘quantum leap forward on’ European total defence? — https://doi.org/10.1017/eis.2025.10034</w:t>
      </w:r>
    </w:p>
    <w:p>
      <w:pPr/>
      <w:r>
        <w:rPr>
          <w:b/>
        </w:rPr>
        <w:t>Shared claim-specific concepts:</w:t>
      </w:r>
      <w:r>
        <w:t xml:space="preserve"> three, strategic, strategy, integrating, long-term, article; EU scope visible. This is a provisional connection, not an outcome finding.</w:t>
      </w:r>
    </w:p>
    <w:p>
      <w:pPr>
        <w:pStyle w:val="SourceNote"/>
      </w:pPr>
      <w:r>
        <w:rPr>
          <w:b/>
        </w:rPr>
        <w:t>Available abstract (not full text):</w:t>
      </w:r>
      <w:r>
        <w:t xml:space="preserve"> Abstract In the last decade, the idea of total defence – a whole-of-society approach integrating civilian and military capabilities – has gained renewed prominence in Europe, including within the European Union (EU). Concurrently, the concept of strategic autonomy – the EU’s ability to act independently – has emerged as a central feature in its security policy, driving ambitions for ‘a quantum leap forward on security and defence’. 1 Despite significant conceptual overlaps, the relationship between total defence and strategic autonomy remains underexplored. Drawing on discursive institutionalism and the ideational power framework, this article examines EU security discourses from 2010 to 2024, analysing how strategic autonomy has shaped the development of European total defence. The study considers three dimensions of ideational power – through, over , and in – showing that while the idea of total defence predates strategic autonomy, the latter has certainly elevated the idea of European total defence and enhanced collective capability building, especially through entwining civilian and military domains, and yet has constrained the establishment of a unified military defence. The findings underscore the long-term discursive evolution underpinning the EU’s security strategy and its ongoing efforts to consolidate a European total defence framework, now more tangible than ever.</w:t>
      </w:r>
    </w:p>
    <w:p>
      <w:pPr/>
      <w:r>
        <w:rPr>
          <w:b/>
        </w:rPr>
        <w:t>POSSIBLE 2026:</w:t>
      </w:r>
      <w:r>
        <w:t xml:space="preserve"> Global Corporate Landscape 2025: A Comparative Analysis of Asia, North America, and Europe, and Strategic Outlook for 2028–2030 — https://doi.org/10.61173/1qf4yf31</w:t>
      </w:r>
    </w:p>
    <w:p>
      <w:pPr/>
      <w:r>
        <w:rPr>
          <w:b/>
        </w:rPr>
        <w:t>Shared claim-specific concepts:</w:t>
      </w:r>
      <w:r>
        <w:t xml:space="preserve"> three, strategic, energy, integration, strategy; EU scope visible. This is a provisional connection, not an outcome finding.</w:t>
      </w:r>
    </w:p>
    <w:p>
      <w:pPr>
        <w:pStyle w:val="SourceNote"/>
      </w:pPr>
      <w:r>
        <w:rPr>
          <w:b/>
        </w:rPr>
        <w:t>Available abstract (not full text):</w:t>
      </w:r>
      <w:r>
        <w:t xml:space="preserve"> As the global economy navigates the mid-point of the 2020s, the corporate landscape is undergoing a profound structural transformation characterized by shifting geopolitical alliances, the rapid operationalization of artificial intelligence, and the urgent mandate for decarbonization. This paper provides a comprehensive comparative analysis of the corporate status across three major economic blocs—North America, Europe, and Asia—as of 2025. North America continues to leverage its dominance in technological innovation, particularly in generative artificial intelligence and software ecosystems, while simultaneously engaging in a massive state-subsidized reindustrialization effort. Europe has solidified its position as the global regulatory vanguard, driving corporate strategies toward sustainability, circular economies, and stringent technological governance. Meanwhile, Asia is characterized by a rapid restructuring of global supply chains, technological leapfrogging in clean energy manufacturing, and the maturation of the "China Plus One" strategy. Furthermore, this study projects future development and market opportunities over the next three to five years (2028–2030), emphasizing the commercialization of next-generation energy systems, the transition from artificial intelligence integration to artificial general intelligence (AGI) readiness, and the establishment of hyper-resi</w:t>
      </w:r>
    </w:p>
    <w:p>
      <w:pPr/>
      <w:r>
        <w:rPr>
          <w:b/>
        </w:rPr>
        <w:t>POSSIBLE 2026:</w:t>
      </w:r>
      <w:r>
        <w:t xml:space="preserve"> Strategic orientations and open innovation adoption in European firms — https://doi.org/10.1108/cemj-02-2026-0061</w:t>
      </w:r>
    </w:p>
    <w:p>
      <w:pPr/>
      <w:r>
        <w:rPr>
          <w:b/>
        </w:rPr>
        <w:t>Shared claim-specific concepts:</w:t>
      </w:r>
      <w:r>
        <w:t xml:space="preserve"> three, strategic, integrating; EU scope visible. This is a provisional connection, not an outcome finding.</w:t>
      </w:r>
    </w:p>
    <w:p>
      <w:pPr>
        <w:pStyle w:val="SourceNote"/>
      </w:pPr>
      <w:r>
        <w:rPr>
          <w:b/>
        </w:rPr>
        <w:t>Available abstract (not full text):</w:t>
      </w:r>
      <w:r>
        <w:t xml:space="preserve"> Purpose This study examines the relationship between firms' strategic orientations and open innovation adoption. Specifically, it investigates whether different strategic priorities are associated with firms' engagement in open innovation activities. By integrating strategic management and open innovation perspectives, the study seeks to explain why some firms are more open to external knowledge flows than others. Design/methodology/approach The study uses microdata from the 2016 Community Innovation Survey (CIS), covering 97,543 enterprises from 14 European Union member states. Logistic regression models are employed to examine the associations between five strategic orientations and three forms of open innovation: goods, services, and process innovation. Firm size and export activity are included as control variables. Additional robustness analyses incorporating country and industry fixed effects are also conducted. Findings The study contributes to the literature by linking strategic orientations with open innovation adoption and providing large-scale empirical evidence from European firms. It extends existing research by showing that openness is not uniformly associated with all strategic orientations. The findings highlight the importance of strategic alignment in explaining heterogeneous patterns of open innovation adoption across firms. Originality/value The results reve</w:t>
      </w:r>
    </w:p>
    <w:p>
      <w:pPr/>
      <w:r>
        <w:rPr>
          <w:b/>
        </w:rPr>
        <w:t>POSSIBLE 2026:</w:t>
      </w:r>
      <w:r>
        <w:t xml:space="preserve"> Freight transport decarbonisation and strategic procurement: a comparative analysis across Europe, China, and North America — https://doi.org/10.14513/sbe.00634</w:t>
      </w:r>
    </w:p>
    <w:p>
      <w:pPr/>
      <w:r>
        <w:rPr>
          <w:b/>
        </w:rPr>
        <w:t>Shared claim-specific concepts:</w:t>
      </w:r>
      <w:r>
        <w:t xml:space="preserve"> three, strategic, practices, decarbonisation; EU scope visible. This is a provisional connection, not an outcome finding.</w:t>
      </w:r>
    </w:p>
    <w:p>
      <w:pPr>
        <w:pStyle w:val="SourceNote"/>
      </w:pPr>
      <w:r>
        <w:rPr>
          <w:b/>
        </w:rPr>
        <w:t>Available abstract (not full text):</w:t>
      </w:r>
      <w:r>
        <w:t xml:space="preserve"> Freight transportation is one of the most important contributors to global greenhouse gas (GHG) emissions. This study analyzes and compares how sustainability targets and practices are being implemented in road freight across three key regions: Europe, China, and North America. The aim is to evaluate the challenges, opportunities, and lessons learnt. Multiple approaches were applied: (1) a comprehensive literature review of sustainability regulations and technological trends; (2) secondary data collection from sustainability reports in the automotive industry; and (3) a primary survey distributed to international forwarders and service providers. The results indicate that Europe is mainly driven by regulatory decarbonization with strong commitments to electrification and intermodal freight, though infrastructure gaps remain. China demonstrates fast and strong progress in electrification and digital logistics platforms but faces challenges in implementation across regions. North America shows slower regulatory adoption but strong industry-driven initiatives in efficiency and alternative fuels. Results from the questionnaire indicate that cost pressures, service reliability, and infrastructure readiness are the most well-known challenges, while collaboration and digital transparency tools are seen as key points toward sustainability.The study outlines a potential strategic route </w:t>
      </w:r>
    </w:p>
    <w:p>
      <w:pPr/>
      <w:r>
        <w:rPr>
          <w:b/>
        </w:rPr>
        <w:t>POSSIBLE 2025:</w:t>
      </w:r>
      <w:r>
        <w:t xml:space="preserve"> Application of the Analytical Hierarchy Process in the management of private ambulance care systems in three selected European countries: a strategic decision-making framework — https://doi.org/10.3389/fpubh.2025.1526586</w:t>
      </w:r>
    </w:p>
    <w:p>
      <w:pPr/>
      <w:r>
        <w:rPr>
          <w:b/>
        </w:rPr>
        <w:t>Shared claim-specific concepts:</w:t>
      </w:r>
      <w:r>
        <w:t xml:space="preserve"> three, strategic, integration, practices; EU scope visible. This is a provisional connection, not an outcome finding.</w:t>
      </w:r>
    </w:p>
    <w:p>
      <w:pPr>
        <w:pStyle w:val="SourceNote"/>
      </w:pPr>
      <w:r>
        <w:rPr>
          <w:b/>
        </w:rPr>
        <w:t>Available abstract (not full text):</w:t>
      </w:r>
      <w:r>
        <w:t xml:space="preserve"> Private ambulance services play a vital role in healthcare systems across Europe, supplementing public emergency services and providing essential medical transportation. However, managing these services presents significant challenges, including resource allocation, regulatory compliance, service quality, technological integration, workforce management, and financial sustainability. This study employs the Analytical Hierarchy Process (AHP) as a strategic decision-making tool to optimize the management of private ambulance services in Germany, Spain, and the United Kingdom. To achieve this, data were collected from 20 participants across the three countries (Germany: 7, Spain: 6, United Kingdom: 7), comprising ambulance service administrators, emergency medical personnel, and regulatory experts. A purposive sampling method was used to ensure the inclusion of key stakeholders with direct experience in the sector. Participants completed structured questionnaires involving pairwise comparisons of key decision criteria. Results reveal that Regulatory Compliance is the highest priority across all countries (Germany: 0.25, Spain: 0.22, UK: 0.20), followed by Service Quality, which is particularly emphasized in the UK (0.22) and Germany (0.20). Technological Integration is important in Spain (0.20), reflecting the need for advancements in underserved areas. While Workforce Management a</w:t>
      </w:r>
    </w:p>
    <w:p>
      <w:pPr>
        <w:pStyle w:val="Heading2"/>
      </w:pPr>
      <w:r>
        <w:t>661. Energy and Climate Change Scenarios in the Mediterranean: An opportunity for cooperation</w:t>
      </w:r>
    </w:p>
    <w:p>
      <w:pPr>
        <w:pStyle w:val="SourceNote"/>
      </w:pPr>
      <w:r>
        <w:rPr>
          <w:b/>
        </w:rPr>
        <w:t>Original source (2020):</w:t>
      </w:r>
      <w:r>
        <w:t xml:space="preserve"> https://doi.org/10.1093/eurpub/ckaa165.298</w:t>
      </w:r>
    </w:p>
    <w:p>
      <w:pPr/>
      <w:r>
        <w:t>Original wording (abstract; indexed_source_text_not_full_document_verified): The degradation of the environment will foreseeably create security and health crisis scenarios, arising from energy shortages, air quality, water stress and food supply problems. Europe, and the Mediterranean will not escape the effects of climate change, which will aggravate risks and threats to human security (mainly public health) and regional stability.</w:t>
      </w:r>
    </w:p>
    <w:p>
      <w:pPr/>
      <w:r>
        <w:rPr>
          <w:b/>
        </w:rPr>
        <w:t>POSSIBLE 2026:</w:t>
      </w:r>
      <w:r>
        <w:t xml:space="preserve"> Tailoring the future for the environment, health and security through means of criminal law — https://doi.org/10.56398/ajacieda.00468</w:t>
      </w:r>
    </w:p>
    <w:p>
      <w:pPr/>
      <w:r>
        <w:rPr>
          <w:b/>
        </w:rPr>
        <w:t>Shared claim-specific concepts:</w:t>
      </w:r>
      <w:r>
        <w:t xml:space="preserve"> degradation, environment, security, health; EU scope visible. This is a provisional connection, not an outcome finding.</w:t>
      </w:r>
    </w:p>
    <w:p>
      <w:pPr>
        <w:pStyle w:val="SourceNote"/>
      </w:pPr>
      <w:r>
        <w:rPr>
          <w:b/>
        </w:rPr>
        <w:t>Available abstract (not full text):</w:t>
      </w:r>
      <w:r>
        <w:t xml:space="preserve"> Criminal law intervenes as a last resort to protect social values. Although standards may differ from one society to another, there are also many common benchmarks. Thus, at the global level, states must cooperate to protect both the natural and anthropogenic environment, which is essential for ensuring the life and health of humans and other living beings, but also for maintaining public and personal security. There is a trend at European level to strengthen the legal framework by updating the normative acts in the above-mentioned field. We are considering the entry into force of the Directive (EU) 2024/1203 of the European Parliament and of the Council of 11 April 2024 on the protection of the environment through criminal law and replacing Directives 2008/99/EC and 2009/123/EC, which must be transposed into the legislation of Member States by 21 May 2026. There are several new elements in this directive, but the focus of this paper will be on analysing the criminalization of the placing or making available on the Union market or the export from the Union market of relevant commodities or relevant products, in breach of the prohibition set out in Article 3 of Regulation (EU) 2023/1115, except where such conduct concerns a negligible quantity. We consider the analysis of this criminalisation to be all the more important given that the imbalance of the ecosystem, from the perspe</w:t>
      </w:r>
    </w:p>
    <w:p>
      <w:pPr/>
      <w:r>
        <w:rPr>
          <w:b/>
        </w:rPr>
        <w:t>POSSIBLE 2026:</w:t>
      </w:r>
      <w:r>
        <w:t xml:space="preserve"> The Hidden Costs of Soil Degradation: Threats to Global Food Security and Planetary Health — https://doi.org/10.1021/acsenvironau.6c00058</w:t>
      </w:r>
    </w:p>
    <w:p>
      <w:pPr/>
      <w:r>
        <w:rPr>
          <w:b/>
        </w:rPr>
        <w:t>Shared claim-specific concepts:</w:t>
      </w:r>
      <w:r>
        <w:t xml:space="preserve"> degradation, security, health, food, climate; EU scope not established. This is a provisional connection, not an outcome finding.</w:t>
      </w:r>
    </w:p>
    <w:p>
      <w:pPr>
        <w:pStyle w:val="SourceNote"/>
      </w:pPr>
      <w:r>
        <w:rPr>
          <w:b/>
        </w:rPr>
        <w:t>Available abstract (not full text):</w:t>
      </w:r>
      <w:r>
        <w:t xml:space="preserve"> Humans use soil to supply 97-99% of their calories, but the unprecedented pressure being placed on soil is now causing rapid soil degradation, including through erosion, loss of soil organic matter, acidification, contamination, salinization, and biodiversity loss. Here, we show how this degradation is causing an inherent decrease in global food productionthe loss of soil organic matter, for example, is predicted to cause a 4.3% decrease in yields for staple crops (representing calories for 640 million people) while soil erosion is projected to cause a loss in global crop production of 10% to 2050. While the adverse effects of this degradation on crop yield can often be largely masked or reversed by increased use of anthropogenic inputs such as fertilizer and irrigation, we show that some forms of soil degradation lead to permanent decreases in food production. Regardless, in all cases, we examine how both the soil degradation itself and the additional inputs required thereafter to sustain productivity result in substantial planetary harm, such as through climate change and eutrophication. It is clear that urgent action is required for ensuring both food security and planetary health, including through the development of integrated frameworks for improved policy- and decision-making.</w:t>
      </w:r>
    </w:p>
    <w:p>
      <w:pPr/>
      <w:r>
        <w:rPr>
          <w:b/>
        </w:rPr>
        <w:t>POSSIBLE 2026:</w:t>
      </w:r>
      <w:r>
        <w:t xml:space="preserve"> Soil Health in Europe: Policy perspectives — https://doi.org/10.5194/egusphere-egu26-12384</w:t>
      </w:r>
    </w:p>
    <w:p>
      <w:pPr/>
      <w:r>
        <w:rPr>
          <w:b/>
        </w:rPr>
        <w:t>Shared claim-specific concepts:</w:t>
      </w:r>
      <w:r>
        <w:t xml:space="preserve"> degradation, environment, security, health, food, not; EU scope visible. This is a provisional connection, not an outcome finding.</w:t>
      </w:r>
    </w:p>
    <w:p>
      <w:pPr>
        <w:pStyle w:val="SourceNote"/>
      </w:pPr>
      <w:r>
        <w:rPr>
          <w:b/>
        </w:rPr>
        <w:t>Available abstract (not full text):</w:t>
      </w:r>
      <w:r>
        <w:t xml:space="preserve"> In Europe soil health is facing emerging challenges that require innovative solutions and policy interventions. We acknowledge that 62% of the European Union (EU) soils are not in healthy condition, while we face serious challenges such as climate change, food security, biodiversity loss, and socio-economic pressures. The severity of these issues is evident in the fact that soil erosion is unsustainable for around ¼ of the EU territory, carbon stocks in soils are declining, nutrients are depleting, and emerging contaminants can pose a serious threat to soil and human health. The costs of soil degradation in the EU may reach up to €70 billion per year, highlighting the urgent need for action. To address these challenges, the EU has put in place many policies for agro-environmental protection since 2000, including soil protection. The European Green Deal, launched in 2020, has set an ambitious roadmap to make the EU the first carbon-neutral continent with a modern, competitive, and resource-efficient economy. As part of the Green Deal, the European Commission (EC) has put soil protection in a high position on the EU policy agenda, recognizing that healthy soils are essential to achieve climate neutrality, zero pollution, sustainable food provision, and a resilient environment. This increased focus on soil health has led to the development of new policies and initiatives, such as </w:t>
      </w:r>
    </w:p>
    <w:p>
      <w:pPr/>
      <w:r>
        <w:rPr>
          <w:b/>
        </w:rPr>
        <w:t>POSSIBLE 2026:</w:t>
      </w:r>
      <w:r>
        <w:t xml:space="preserve"> The Threat Silicon Valley Did Not See Coming: Structural Decline of Frontier-AI Developers in a Regulatory Environment Degraded by Competitive Authoritarianism and Science Denialism — https://doi.org/10.5281/zenodo.20962089</w:t>
      </w:r>
    </w:p>
    <w:p>
      <w:pPr/>
      <w:r>
        <w:rPr>
          <w:b/>
        </w:rPr>
        <w:t>Shared claim-specific concepts:</w:t>
      </w:r>
      <w:r>
        <w:t xml:space="preserve"> degradation, environment, not; EU scope not established. This is a provisional connection, not an outcome finding.</w:t>
      </w:r>
    </w:p>
    <w:p>
      <w:pPr>
        <w:pStyle w:val="SourceNote"/>
      </w:pPr>
      <w:r>
        <w:rPr>
          <w:b/>
        </w:rPr>
        <w:t>Available abstract (not full text):</w:t>
      </w:r>
      <w:r>
        <w:t xml:space="preserve"> Frontier-LLM developers have spent a decade optimising against threats they could price — compute scarcity, the contest for talent, open-weight competition, the ceiling of scaling laws, the Chinese frontier — while treating the governance environment of their own jurisdiction as a fixed background condition. This essay argues that the condition was in fact the most consequential variable of all, and that its degradation is neither incidental nor self-correcting. Two forces are responsible, and they are complementary rather than additive: competitive authoritarianism supplies a discretionary instrument (the selective application of formally legitimate powers), and science denialism removes the epistemic constraint that would limit its use (the decoupling of governance criteria from technical evidence). Their conjunction produces a governance of artificial intelligence that is simultaneously arbitrary and fact-immune — a failure mode I term governance-criteria capture, distinct from both over- and under-regulation. Taking the June 2026 export-control suspension of a frontier provider's most capable models as a dated, structurally diagnostic case, the essay traces the channels through which the substitution of governance by discretion propagates into corporate decline, develops an interactive scenario model of the resulting trajectories, and sets out the minimal governance that wo</w:t>
      </w:r>
    </w:p>
    <w:p>
      <w:pPr/>
      <w:r>
        <w:rPr>
          <w:b/>
        </w:rPr>
        <w:t>POSSIBLE 2025:</w:t>
      </w:r>
      <w:r>
        <w:t xml:space="preserve"> The Impact of Environmental Degradation on Children’s Rights in Central Europe — https://doi.org/10.21029/jael.2025.39.365</w:t>
      </w:r>
    </w:p>
    <w:p>
      <w:pPr/>
      <w:r>
        <w:rPr>
          <w:b/>
        </w:rPr>
        <w:t>Shared claim-specific concepts:</w:t>
      </w:r>
      <w:r>
        <w:t xml:space="preserve"> degradation, environment, not, climate; EU scope visible. This is a provisional connection, not an outcome finding.</w:t>
      </w:r>
    </w:p>
    <w:p>
      <w:pPr>
        <w:pStyle w:val="SourceNote"/>
      </w:pPr>
      <w:r>
        <w:rPr>
          <w:b/>
        </w:rPr>
        <w:t>Available abstract (not full text):</w:t>
      </w:r>
      <w:r>
        <w:t xml:space="preserve"> This article reframes environmental degradation as not just an ecological or economic issue, but fundamentally a children’s rights concern. Around the world, courts and international bodies are recognising that a safe, clean, and sustainable environment is essential for the fulfilment of fundamental human rights. Children are among the most vulnerable to environmental harm, bearing disproportionate impacts of pollution, climate change, and resource depletion. As future generations, children have a critical stake in environmental protection, raising questions of intergenerational justice and the duty of today’s decision-makers to safeguard tomorrow’s world. This article provides an in-depth legal analysis of the recognition of environmental rights as human rights, with a special focus on how environmental degradation affects children’s rights. It offers a comparative survey of international law, examines leading case law (international and domestic, especially in Central Europe), explores theoretical frameworks like intergenerational equity, and assesses regional implementation in Slovakia, Czechia, Poland, and Hungary. The article concludes with de lege ferenda recommendations for reforms to ensure the right of every child to a healthy environment across the region.</w:t>
      </w:r>
    </w:p>
    <w:p>
      <w:pPr/>
      <w:r>
        <w:rPr>
          <w:b/>
        </w:rPr>
        <w:t>POSSIBLE 2025:</w:t>
      </w:r>
      <w:r>
        <w:t xml:space="preserve"> Endangered Languages and Environmental Degradation Among Minority Communities in Europe: An Ecological Perspective — https://doi.org/10.18485/vlings_vele.2025.ch3</w:t>
      </w:r>
    </w:p>
    <w:p>
      <w:pPr/>
      <w:r>
        <w:rPr>
          <w:b/>
        </w:rPr>
        <w:t>Shared claim-specific concepts:</w:t>
      </w:r>
      <w:r>
        <w:t xml:space="preserve"> degradation, environment, not; EU scope visible. This is a provisional connection, not an outcome finding.</w:t>
      </w:r>
    </w:p>
    <w:p>
      <w:pPr>
        <w:pStyle w:val="SourceNote"/>
      </w:pPr>
      <w:r>
        <w:rPr>
          <w:b/>
        </w:rPr>
        <w:t>Available abstract (not full text):</w:t>
      </w:r>
      <w:r>
        <w:t xml:space="preserve"> In this chapter, I explore issues of language diversity loss from an ecological perspective of interconnectedness between speakers and the environment.To this end, I focus on ethnic minorities living in the socalled margins of Europe who, similarly to indigenous peoples worldwide, have been and continue to be disproportionately exposed to conditions of environmental destruction and thus to forms of environmental injustice.I argue that human intervention in the environment of ethnic minorities for the purpose of economic development, e.g.mining activities, not only disrupts local ecosystems and ways of life through degradation and pollution but also exerts negative effects on the cultural diversity of the affected areas, including their vulnerable minority languages, making it harder for minorities to survive as distinct socio-cultural entities.To illustrate the harmful repercussions of mining on the natural and linguistic environment, I present the challenges faced by a number of minority communities and their endangered languages in Europe, including the Sorbs in Lusatia (eastern Germany), the Vlachs in the Timok Valley (eastern Serbia) and the Sámi in northern Sweden.I emphasise that the voice of ethnolinguistic minority groups seems to be largely excluded from the debate on environmental change, as the modernisation and nationalisation imperatives of modern states have preva</w:t>
      </w:r>
    </w:p>
    <w:p>
      <w:pPr/>
      <w:r>
        <w:rPr>
          <w:b/>
        </w:rPr>
        <w:t>POSSIBLE 2025:</w:t>
      </w:r>
      <w:r>
        <w:t xml:space="preserve"> Environmental Response to the Use of Sewage Sludge on European Mediterranean Degraded Soils — https://doi.org/10.14738/aivp.1303.19018</w:t>
      </w:r>
    </w:p>
    <w:p>
      <w:pPr/>
      <w:r>
        <w:rPr>
          <w:b/>
        </w:rPr>
        <w:t>Shared claim-specific concepts:</w:t>
      </w:r>
      <w:r>
        <w:t xml:space="preserve"> mediterranean, not; EU scope visible. This is a provisional connection, not an outcome finding.</w:t>
      </w:r>
    </w:p>
    <w:p>
      <w:pPr>
        <w:pStyle w:val="SourceNote"/>
      </w:pPr>
      <w:r>
        <w:rPr>
          <w:b/>
        </w:rPr>
        <w:t>Available abstract (not full text):</w:t>
      </w:r>
      <w:r>
        <w:t xml:space="preserve"> Soils in the Mediterranean region have a low resilience to disturbances and are now extensively degraded both physically and bio-chemically. Inappropriate agricultural practices, exacerbated by other natural and human induced perturbations such as increased drought and forest fire occurrence have caused soil impoverishment and the subsequent abandonment of agricultural land in many regions. One of the most promising approaches to soil rehabilitation on such land is the application of organic wastes. Organic refuses, such as sewage sludge, are commonly used on agricultural land, but are increasingly considered for the reclamation of degraded land and mine deposits. The positive effect of such organic matter, nutrient and microorganism additions are now widely recognised. Very little, however, is known about the detrimental effects of such treatments. The impacts of phytotoxins, heavy metals, salts (especially sodium) and hydrocarbons added via organic wastes are not well enough understood to be thoroughly considered before application. Potential detrimental impacts include accumulation of metals, phosphorus, nitrogen, and resilient aliphatic hydrocarbons, leading to toxicity, nitrate influxes to the groundwater and changes in soil wetting properties.</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environment, security, crisis, energy, quality, climate;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2025:</w:t>
      </w:r>
      <w:r>
        <w:t xml:space="preserve"> Water Security in North America and Europe — https://doi.org/10.1002/9781394176748.ch6</w:t>
      </w:r>
    </w:p>
    <w:p>
      <w:pPr/>
      <w:r>
        <w:rPr>
          <w:b/>
        </w:rPr>
        <w:t>Shared claim-specific concepts:</w:t>
      </w:r>
      <w:r>
        <w:t xml:space="preserve"> security, water, climate; EU scope visible. This is a provisional connection, not an outcome finding.</w:t>
      </w:r>
    </w:p>
    <w:p>
      <w:pPr>
        <w:pStyle w:val="SourceNote"/>
      </w:pPr>
      <w:r>
        <w:rPr>
          <w:b/>
        </w:rPr>
        <w:t>Available abstract (not full text):</w:t>
      </w:r>
      <w:r>
        <w:t xml:space="preserve"> Water security and availability are critical issues affecting societies worldwide, with North America and Europe being no exceptions. This review paper aims to analyze the current status, challenges, and potential solutions regarding water security and availability in these regions. By examining existing literature, policies, and practices, this paper provides insights into the complex interplay of factors influencing water resources management, including climate change, population growth, urbanization, pollution, and governance. In addition, it explores various strategies such as conservation measures, technological innovations, policy frameworks, and international cooperation to address the challenges and ensure sustainable water management in North America and Europe. Through a comprehensive examination of research findings and case studies, this review contributes to understanding the dynamics of water security and availability in these regions and offers recommendations for future actions.</w:t>
      </w:r>
    </w:p>
    <w:p>
      <w:pPr/>
      <w:r>
        <w:rPr>
          <w:b/>
        </w:rPr>
        <w:t>POSSIBLE 2025:</w:t>
      </w:r>
      <w:r>
        <w:t xml:space="preserve"> Plant-Based Diet for Mission LiFE: Food Security, Health, and Environment — https://doi.org/10.1007/978-981-97-4730-6_8</w:t>
      </w:r>
    </w:p>
    <w:p>
      <w:pPr/>
      <w:r>
        <w:rPr>
          <w:b/>
        </w:rPr>
        <w:t>Shared claim-specific concepts:</w:t>
      </w:r>
      <w:r>
        <w:t xml:space="preserve"> environment, security, health, energy, food, climate; EU scope not established. This is a provisional connection, not an outcome finding.</w:t>
      </w:r>
    </w:p>
    <w:p>
      <w:pPr>
        <w:pStyle w:val="SourceNote"/>
      </w:pPr>
      <w:r>
        <w:rPr>
          <w:b/>
        </w:rPr>
        <w:t>Available abstract (not full text):</w:t>
      </w:r>
      <w:r>
        <w:t xml:space="preserve"> Abstract This chapter explores the interplay between food insecurity, energy security, and climate change, emphasising the need for integrated solutions to address these challenges. The chapter advocates for adopting plant-based diets, which align with India's Mission Lifestyle for Environment (LiFE) to promote sustainable food production and reduce environmental impacts. Additionally, it discusses the emergence of the degrowth concept as a potential pathway to sustainability, highlighting the need for resilient food systems through local production, reducing food waste, and regenerative agriculture. While degrowth presents economic and political challenges, the chapter suggests that a balanced approach could enhance food security and sustainability. The complexities of adopting plant-based diets, including health, environmental, and socioeconomic considerations, are also analysed, emphasising the importance of informed choices for personal and ecological wellbeing.</w:t>
      </w:r>
    </w:p>
    <w:p>
      <w:pPr/>
      <w:r>
        <w:rPr>
          <w:b/>
        </w:rPr>
        <w:t>POSSIBLE 2025:</w:t>
      </w:r>
      <w:r>
        <w:t xml:space="preserve"> Overpopulation and Environmental Degradation: Selected Aspects — https://doi.org/10.31124/advance.174884583.34116156/v1</w:t>
      </w:r>
    </w:p>
    <w:p>
      <w:pPr/>
      <w:r>
        <w:rPr>
          <w:b/>
        </w:rPr>
        <w:t>Shared claim-specific concepts:</w:t>
      </w:r>
      <w:r>
        <w:t xml:space="preserve"> degradation, energy, air, water, problems, not; EU scope not established. This is a provisional connection, not an outcome finding.</w:t>
      </w:r>
    </w:p>
    <w:p>
      <w:pPr>
        <w:pStyle w:val="SourceNote"/>
      </w:pPr>
      <w:r>
        <w:rPr>
          <w:b/>
        </w:rPr>
        <w:t>Available abstract (not full text):</w:t>
      </w:r>
      <w:r>
        <w:t xml:space="preserve"> One of the most precarious issues that humanity is currently facing is the environmental degradation. Global population continues to rise in absolute terms despite generally declining birth rates. Poverty, overcrowding, air and water pollution are consequences of the populace excess. To find a remedy, a new attitude to the childbearing should be accepted worldwide: the procreation is a matter of public concern. Global acceptance of this maxim is a prerequisite of international understanding and trust. Several regions are discussed here in some detail: the former Soviet Union, sub-Saharan Africa, Southern Asia and the Middle East. The topics of migrations and reproductive coercion are briefly delineated here. Particular ways to alleviation of overpopulation-related problems are discussed: nuclear energy for water desalination in arid regions; permanent contraception, vasectomy and caesarean tubal sterilization. So far, the population size can be controlled using humane, scientifically based methods, taking into account ecological and economical realities. It will not stay that way forever.</w:t>
      </w:r>
    </w:p>
    <w:p>
      <w:pPr/>
      <w:r>
        <w:rPr>
          <w:b/>
        </w:rPr>
        <w:t>POSSIBLE 2025:</w:t>
      </w:r>
      <w:r>
        <w:t xml:space="preserve"> Efficient secretion of a plastic degrading enzyme from the green algae Chlamydomonas reinhardtii — https://doi.org/10.1038/s41598-025-09100-0</w:t>
      </w:r>
    </w:p>
    <w:p>
      <w:pPr/>
      <w:r>
        <w:rPr>
          <w:b/>
        </w:rPr>
        <w:t>Shared claim-specific concepts:</w:t>
      </w:r>
      <w:r>
        <w:t xml:space="preserve"> degradation, environment, crisis, water, food; EU scope not established. This is a provisional connection, not an outcome finding.</w:t>
      </w:r>
    </w:p>
    <w:p>
      <w:pPr>
        <w:pStyle w:val="SourceNote"/>
      </w:pPr>
      <w:r>
        <w:rPr>
          <w:b/>
        </w:rPr>
        <w:t>Available abstract (not full text):</w:t>
      </w:r>
      <w:r>
        <w:t xml:space="preserve"> Plastic pollution has become a global crisis, with microplastics contaminating every environment on the planet, including our food, water, and even our bodies. In response, there is a growing interest in developing plastics that biodegrade naturally, thus avoiding the creation of persistent microplastics. As a mechanism to increase the rate of polyester plastic degradation, we examined the potential of using the green microalga Chlamydomonas reinhardtii for the expression and secretion of PHL7, an enzyme that breaks down post-consumer polyethylene terephthalate (PET) plastics. We engineered C. reinhardtii to secrete active PHL7 enzyme and selected strains showing robust expression, by using agar plates containing a polyester polyurethane (PU) dispersion as an efficient screening tool. This method demonstrated the enzyme's efficacy in degrading ester bond-containing plastics, such as PET and bio-based polyurethanes, and highlights the potential for microalgae to be implemented in environmental biotechnology. The effectiveness of algal-expressed PHL7 in degrading plastics was shown by incubating PET with the supernatant from engineered strains, resulting in substantial plastic degradation, confirmed by mass spectrometry analysis of terephthalic acid formation from PET. Our findings demonstrate the feasibility of polyester plastic recycling using microalgae to produce plastic-degr</w:t>
      </w:r>
    </w:p>
    <w:p>
      <w:pPr>
        <w:pStyle w:val="Heading2"/>
      </w:pPr>
      <w:r>
        <w:t>662. Environmental impacts of household appliances in Europe and scenarios for their impact reduction</w:t>
      </w:r>
    </w:p>
    <w:p>
      <w:pPr>
        <w:pStyle w:val="SourceNote"/>
      </w:pPr>
      <w:r>
        <w:rPr>
          <w:b/>
        </w:rPr>
        <w:t>Original source (2020):</w:t>
      </w:r>
      <w:r>
        <w:t xml:space="preserve"> https://doi.org/10.1016/j.jclepro.2020.121952</w:t>
      </w:r>
    </w:p>
    <w:p>
      <w:pPr/>
      <w:r>
        <w:t>Original wording (abstract; indexed_source_text_not_full_document_verified): A number of scenarios encompassing eco-solutions on a technical level, changes in consumption pattern, behavioral changes, as well as the combination of all these aspects are run to estimate the Consumer Footprint related to household appliances for the year 2030, compared against this baseline scenario. Testing different scenarios concludes that there is a reduction of the impact for most of the categories (with up to 67% for the ozone depletion potential, and still around 35% for the global warming potential), while two of the here examined impact categories (i.e. land-use and mineral resource depletion) show an overall potential that is even negative - i.e. the results of all scenarios are higher than the ones of the 2010 baseline scenario.</w:t>
      </w:r>
    </w:p>
    <w:p>
      <w:pPr/>
      <w:r>
        <w:rPr>
          <w:b/>
        </w:rPr>
        <w:t>POSSIBLE 2026:</w:t>
      </w:r>
      <w:r>
        <w:t xml:space="preserve"> European Lepidoptera–Plant Associations: A Species‐Level Interaction Matrix — https://doi.org/10.1002/ece3.73004</w:t>
      </w:r>
    </w:p>
    <w:p>
      <w:pPr/>
      <w:r>
        <w:rPr>
          <w:b/>
        </w:rPr>
        <w:t>Shared claim-specific concepts:</w:t>
      </w:r>
      <w:r>
        <w:t xml:space="preserve"> encompassing, level, all; EU scope visible. This is a provisional connection, not an outcome finding.</w:t>
      </w:r>
    </w:p>
    <w:p>
      <w:pPr>
        <w:pStyle w:val="SourceNote"/>
      </w:pPr>
      <w:r>
        <w:rPr>
          <w:b/>
        </w:rPr>
        <w:t>Available abstract (not full text):</w:t>
      </w:r>
      <w:r>
        <w:t xml:space="preserve"> Documenting plant-herbivore interactions at broad spatial scales is crucial for understanding the ecological and evolutionary processes that shape biodiversity. Here I present a continental-scale interaction matrix encompassing 5152 Lepidoptera species and 3275 vascular plant species across Europe. The dataset compiles records from published literature, monographs, online repositories, and gray sources, with all taxa standardized to current classifications. By resolving associations at the species level, this resource provides a robust basis for investigating host specialization, network structure, and patterns of herbivore diversity in biogeographic and phylogenetic contexts. In addition to supporting fundamental research, the matrix offers applied value for conservation biology-for example, by identifying keystone host plants that sustain diverse herbivore assemblages and by assessing the vulnerability of insect communities to host loss under global change. The dataset is openly available in a machine-readable format under a CC-BY 4.0 license, ensuring transparency, reproducibility, and long-term accessibility for ecological and evolutionary studies.</w:t>
      </w:r>
    </w:p>
    <w:p>
      <w:pPr/>
      <w:r>
        <w:rPr>
          <w:b/>
        </w:rPr>
        <w:t>POSSIBLE 2025:</w:t>
      </w:r>
      <w:r>
        <w:t xml:space="preserve"> Eco-Efficiency in the Agricultural Sector: A Cross-Country Comparison Between the European Union and Türkiye — https://doi.org/10.3390/su17135713</w:t>
      </w:r>
    </w:p>
    <w:p>
      <w:pPr/>
      <w:r>
        <w:rPr>
          <w:b/>
        </w:rPr>
        <w:t>Shared claim-specific concepts:</w:t>
      </w:r>
      <w:r>
        <w:t xml:space="preserve"> level, consumption, all; EU scope visible. This is a provisional connection, not an outcome finding.</w:t>
      </w:r>
    </w:p>
    <w:p>
      <w:pPr>
        <w:pStyle w:val="SourceNote"/>
      </w:pPr>
      <w:r>
        <w:rPr>
          <w:b/>
        </w:rPr>
        <w:t>Available abstract (not full text):</w:t>
      </w:r>
      <w:r>
        <w:t xml:space="preserve"> This study conducts a macro-level comparative analysis of the eco-efficiency in the agricultural sectors of the European Union (EU) member states and Türkiye from 2003 to 2022. By treating countries as decision-making units, this research offers a holistic overview of how national-level inputs and outputs shape the aggregate performance, focusing on the trade-offs between economic value generation and environmental pressures. An input-oriented Data Envelopment Analysis (DEA) model, based on Variable Returns to Scale (VRS), was employed. The model employs three inputs—compensation of employees (COE), energy consumption (EC), and gross fixed capital formation (GFC)—and two outputs—agricultural gross domestic product (GDP) and GHG emissions (GGEs). All variables were normalized by agricultural land area per country to account for scale differences. The findings reveal significant disparities in the eco-efficiency across countries and over time. Notably, Türkiye consistently demonstrated a high performance, frequently serving as a benchmark. In contrast, several Eastern European countries exhibited lower scores, suggesting significant room for structural improvement at the national level. The results point to the considerable potential for reducing energy and labor inputs in many countries. Instead of offering specific policy prescriptions, this study provides a diagnostic tool tha</w:t>
      </w:r>
    </w:p>
    <w:p>
      <w:pPr/>
      <w:r>
        <w:rPr>
          <w:b/>
        </w:rPr>
        <w:t>POSSIBLE 2025:</w:t>
      </w:r>
      <w:r>
        <w:t xml:space="preserve"> Eco-innovations and their linkages in circular construction : Case: reuse of precast concrete elements — https://openalex.org/W7132922717</w:t>
      </w:r>
    </w:p>
    <w:p>
      <w:pPr/>
      <w:r>
        <w:rPr>
          <w:b/>
        </w:rPr>
        <w:t>Shared claim-specific concepts:</w:t>
      </w:r>
      <w:r>
        <w:t xml:space="preserve"> well, all, aspects, related, different; EU scope visible. This is a provisional connection, not an outcome finding.</w:t>
      </w:r>
    </w:p>
    <w:p>
      <w:pPr>
        <w:pStyle w:val="SourceNote"/>
      </w:pPr>
      <w:r>
        <w:rPr>
          <w:b/>
        </w:rPr>
        <w:t>Available abstract (not full text):</w:t>
      </w:r>
      <w:r>
        <w:t xml:space="preserve"> Circular construction has generated significant interest as a solution to global sustainability concerns and demand for building more especially in large cities. Circular construction is based on the circular economy principles, where materials are kept in circulation through reuse, maintenance, refurbishment and composting instead of the conventional linear take-make-dispose operating model. This reuse of materials generates plenty of opportunities especially with precast concrete elements, as concrete have been globally used in buildings for decades and virgin concrete causes the most emissions in the industry. Even though the benefits of the reuse of precast concrete elements and circular construction have been widely acknowledged, the innovations related to those have not been studied much. Moreover, the knowledge of how innovations with positive environmental effects are linked together and spur each other’s development as well as the circularity is largely absent in the literature. Thus, the objective of this study is to investigate the eco-innovations related to reuse of precast concrete elements and circular construction, examine their systemic linkages as well as study how do these eco-innovations affect the transition into circular economy in the construction industry. This study was conducted as an exploratory and qualitative case study, where eco-innovations and the</w:t>
      </w:r>
    </w:p>
    <w:p>
      <w:pPr/>
      <w:r>
        <w:rPr>
          <w:b/>
        </w:rPr>
        <w:t>POSSIBLE 2024:</w:t>
      </w:r>
      <w:r>
        <w:t xml:space="preserve"> Eco-innovation performance in the European Union economies: Perspective on outcomes — https://doi.org/10.15678/ier.2024.1003.02</w:t>
      </w:r>
    </w:p>
    <w:p>
      <w:pPr/>
      <w:r>
        <w:rPr>
          <w:b/>
        </w:rPr>
        <w:t>Shared claim-specific concepts:</w:t>
      </w:r>
      <w:r>
        <w:t xml:space="preserve"> well, all, related; EU scope visible. This is a provisional connection, not an outcome finding.</w:t>
      </w:r>
    </w:p>
    <w:p>
      <w:pPr>
        <w:pStyle w:val="SourceNote"/>
      </w:pPr>
      <w:r>
        <w:rPr>
          <w:b/>
        </w:rPr>
        <w:t>Available abstract (not full text):</w:t>
      </w:r>
      <w:r>
        <w:t xml:space="preserve"> Objective: The objective of this article was to examine the eco-innovation performance of the European Un-ion’s economies in terms of eco-innovation outcomes with a particular focus on resource efficiency and socio-economic outcomes. Research Design &amp; Methods: We used quantitative research methods, such as descriptive statistics, Euclidean distance, and Pearson’s correlation index. We based the comparative analysis of the eco-innovation indices related to outputs and outcomes on the Eco-innovation Scoreboard. We conducted it for the years 2013-2022. Findings: The research results showed that EU countries considered as one group improved their eco-innovation performance as measured by the Eco-innovation Index (EII), as well as in terms of the EII composite indices related to innovation outcomes during the study period. We also observed improvement in the EII and the EII thematic areas observed for both the eco-innovation leaders and catching-up economies. However, the leading countries maintained and even slightly increased the distance to the EU-27 average in terms of the total EII index, while significantly increasing the distance in terms of socio-economic outcomes and eco-innovation outputs. Moreover, the rates of growth of eco-innovation outputs and outcomes were much higher for these countries than the growth rate of their eco-innovation inputs. Implications &amp; Recommendati</w:t>
      </w:r>
    </w:p>
    <w:p>
      <w:pPr/>
      <w:r>
        <w:rPr>
          <w:b/>
        </w:rPr>
        <w:t>POSSIBLE 2024:</w:t>
      </w:r>
      <w:r>
        <w:t xml:space="preserve"> Loneliness in midlife: Historical increases and elevated levels in the United States compared with Europe. — https://doi.org/10.1037/amp0001322</w:t>
      </w:r>
    </w:p>
    <w:p>
      <w:pPr/>
      <w:r>
        <w:rPr>
          <w:b/>
        </w:rPr>
        <w:t>Shared claim-specific concepts:</w:t>
      </w:r>
      <w:r>
        <w:t xml:space="preserve"> all, compared; EU scope visible. This is a provisional connection, not an outcome finding.</w:t>
      </w:r>
    </w:p>
    <w:p>
      <w:pPr>
        <w:pStyle w:val="SourceNote"/>
      </w:pPr>
      <w:r>
        <w:rPr>
          <w:b/>
        </w:rPr>
        <w:t>Available abstract (not full text):</w:t>
      </w:r>
      <w:r>
        <w:t xml:space="preserve"> . Middle-aged adults in the United States, England, and Mediterranean Europe today report higher levels of loneliness than earlier born cohorts, whereas no historical changes (if not historically lower levels) were observed in Continental and Nordic Europe. Our discussion focuses on possible reasons for cross-national differences in midlife loneliness, including cultural factors, social and economic inequalities, and differences in social safety nets. (PsycInfo Database Record (c) 2025 APA, all rights reserved).</w:t>
      </w:r>
    </w:p>
    <w:p>
      <w:pPr/>
      <w:r>
        <w:rPr>
          <w:b/>
        </w:rPr>
        <w:t>POSSIBLE 2024:</w:t>
      </w:r>
      <w:r>
        <w:t xml:space="preserve"> SUSTAINABLE FINANCING AS A FACTOR INFLUENCING ECO-FRIENDLY BUSINESS TRANSFORMATION: EXISTING CHALLENGES AND POTENTIAL SOLUTIONS — https://doi.org/10.37547/tajiir/volume06issue10-02</w:t>
      </w:r>
    </w:p>
    <w:p>
      <w:pPr/>
      <w:r>
        <w:rPr>
          <w:b/>
        </w:rPr>
        <w:t>Shared claim-specific concepts:</w:t>
      </w:r>
      <w:r>
        <w:t xml:space="preserve"> all, aspects; EU scope not established. This is a provisional connection, not an outcome finding.</w:t>
      </w:r>
    </w:p>
    <w:p>
      <w:pPr>
        <w:pStyle w:val="SourceNote"/>
      </w:pPr>
      <w:r>
        <w:rPr>
          <w:b/>
        </w:rPr>
        <w:t>Available abstract (not full text):</w:t>
      </w:r>
      <w:r>
        <w:t xml:space="preserve"> This study underscores the slow adoption of eco-friendly practices, particularly in high-emission sectors ("brown" businesses), and emphasizes the role of sustainable financing in implementation of environmentally sustainable business practices, with a particular interest in such types of corporate financing as sustainability-linked loans and a relatively new type of financing provided to companies with core business falling under eligible green criteria (loans for green businesses). The purpose was to identify existing challenges preventing promotion of these two types of sustainable financing and borrowers’ sustainable transformation, and propose potential solutions addressing these challenges. The analysis was performed based on a vast literature review. The study revealed the existence of such challenges as borrowers’ profit-driven motives, lack in regulatory transparency, concerns of financial institutions about their profitability and risk of greenwashing, and insufficient governmental support. To address these challenges, regulatory measures are recommended to incentivize financial institutions to offer reduced interest rates on loans for green business and sustainability-linked loans, with governments compensating such losses through imposing higher taxes on “brown” businesses. The study also proposes a potential action plan on amending the regulatory framework with the</w:t>
      </w:r>
    </w:p>
    <w:p>
      <w:pPr/>
      <w:r>
        <w:rPr>
          <w:b/>
        </w:rPr>
        <w:t>POSSIBLE 2023:</w:t>
      </w:r>
      <w:r>
        <w:t xml:space="preserve"> Effects of Climate Change on Areas Suitable for Maize Cultivation and Aflatoxin Contamination in Europe — https://doi.org/10.3390/toxins15100599</w:t>
      </w:r>
    </w:p>
    <w:p>
      <w:pPr/>
      <w:r>
        <w:rPr>
          <w:b/>
        </w:rPr>
        <w:t>Shared claim-specific concepts:</w:t>
      </w:r>
      <w:r>
        <w:t xml:space="preserve"> consumption, baseline; EU scope visible. This is a provisional connection, not an outcome finding.</w:t>
      </w:r>
    </w:p>
    <w:p>
      <w:pPr>
        <w:pStyle w:val="SourceNote"/>
      </w:pPr>
      <w:r>
        <w:rPr>
          <w:b/>
        </w:rPr>
        <w:t>Available abstract (not full text):</w:t>
      </w:r>
      <w:r>
        <w:t xml:space="preserve"> The climate is changing in Europe: average temperatures are increasing, and so is the frequency of extreme weather events. Climate change has a severe impact on areas suitable for growing certain crops and on food safety, for example, affecting the occurrence of the aflatoxin contamination of maize. The aim of this study was to obtain insights into the impact of climate change on possible changes in land use in Europe, particularly in areas suitable for maize cultivation, and on the probability of the mycotoxin contamination of maize in order to give directions for long-term adaptation to climate change. By combining a land use model and a mycotoxin prediction model, the suitability of land for maize cultivation and the probability of aflatoxin contamination were estimated for suitable areas in Europe, comparing the current climate with the 2050 scenario. In 2050, the occurrence of aflatoxin contamination in Europe is predicted to severely increase, especially in Central and Southern Europe. More northern regions, presently unsuitable for maize cultivation, will become suitable for maize cultivation in 2050. In the baseline scenario, most regions suitable for maize cultivation have a low probability of aflatoxin contamination, whereas in 2050, about half of the regions suitable for maize cultivation have a medium to high probability of aflatoxin contamination. Regions for safel</w:t>
      </w:r>
    </w:p>
    <w:p>
      <w:pPr/>
      <w:r>
        <w:rPr>
          <w:b/>
        </w:rPr>
        <w:t>POSSIBLE 2022:</w:t>
      </w:r>
      <w:r>
        <w:t xml:space="preserve"> Nature-Based Solutions in Coastal and Estuarine Areas of Europe — https://doi.org/10.3389/fenvs.2022.829526</w:t>
      </w:r>
    </w:p>
    <w:p>
      <w:pPr/>
      <w:r>
        <w:rPr>
          <w:b/>
        </w:rPr>
        <w:t>Shared claim-specific concepts:</w:t>
      </w:r>
      <w:r>
        <w:t xml:space="preserve"> run, related, compared, against; EU scope visible. This is a provisional connection, not an outcome finding.</w:t>
      </w:r>
    </w:p>
    <w:p>
      <w:pPr>
        <w:pStyle w:val="SourceNote"/>
      </w:pPr>
      <w:r>
        <w:rPr>
          <w:b/>
        </w:rPr>
        <w:t>Available abstract (not full text):</w:t>
      </w:r>
      <w:r>
        <w:t xml:space="preserve"> Momentum for sustainable and climate resilience solutions for coastal protection are growing globally given the pressing need to prevent further loss of biodiversity and ecosystems while meeting the climate change adaptation and mitigation goals. Nature-Based Solutions (NbS) represent an opportunity to align environmental and resilience goals, at a time of strained budgets in a global context and when short-term needs may run counter to long-term goals. In Europe, NbS fit the mandates of major EU environmental and climate change policies by restoring biodiversity and enhancing climate-resilience and carbon sequestration. Previous studies have compiled scientific evidence about hydro-meteorological hazards for the use of NbS. However, their implementation at scale is still lacking. As the knowledge and experience with NbS for adaptation to natural hazards and climate change increases, it becomes more important to draw lessons learned and insights for replicating and scaling up NbS, especially in coastal areas where their implementation is still limited compared to other environments. This study analyzed NbS case studies across European coastal and estuarine areas to draw key lessons, understand better the current status of implementation, and identify key challenges and gaps. From a total of 59 NbS case studies associated with flooding, erosion and biodiversity loss, results sho</w:t>
      </w:r>
    </w:p>
    <w:p>
      <w:pPr/>
      <w:r>
        <w:rPr>
          <w:b/>
        </w:rPr>
        <w:t>POSSIBLE 2022:</w:t>
      </w:r>
      <w:r>
        <w:t xml:space="preserve"> Nature-Based Solutions in Urban Areas: A European Analysis — https://doi.org/10.3390/app13010168</w:t>
      </w:r>
    </w:p>
    <w:p>
      <w:pPr/>
      <w:r>
        <w:rPr>
          <w:b/>
        </w:rPr>
        <w:t>Shared claim-specific concepts:</w:t>
      </w:r>
      <w:r>
        <w:t xml:space="preserve"> level, well, different; EU scope visible. This is a provisional connection, not an outcome finding.</w:t>
      </w:r>
    </w:p>
    <w:p>
      <w:pPr>
        <w:pStyle w:val="SourceNote"/>
      </w:pPr>
      <w:r>
        <w:rPr>
          <w:b/>
        </w:rPr>
        <w:t>Available abstract (not full text):</w:t>
      </w:r>
      <w:r>
        <w:t xml:space="preserve"> Currently, the world is facing resource scarcity as the environmental impacts of human intervention continue to intensify. To facilitate the conservation and recovery of ecosystems and to transform cities into more sustainable, intelligent, regenerative, and resilient environments, the concepts of circularity and nature-based solutions (NbS) are applied. The role of NbS within green infrastructure in urban resilience is recognised, and considerable efforts are being made by the European Commission (EC) to achieve the European sustainability goals. However, it is not fully evidenced, in an integrated way, which are the main NbS implemented in the urban environment and their effects. This article aims to identify the main and most recent NbS applied in urban environments at the European level and to analyse the integration of different measures as an innovative analysis based on real cases. For this purpose, this work presents a literature review of 69 projects implemented in 24 European cities, as well as 8 urban actions and 3 spatial scales of implementation at the district level. Therefore, there is great potential for NbS adoption in buildings and their surroundings, which are still not prioritized, given the lack of effective monitoring of the effects of NbS.</w:t>
      </w:r>
    </w:p>
    <w:p>
      <w:pPr/>
      <w:r>
        <w:rPr>
          <w:b/>
        </w:rPr>
        <w:t>POSSIBLE 2022:</w:t>
      </w:r>
      <w:r>
        <w:t xml:space="preserve"> Drivers of phenological changes in southern Europe — https://doi.org/10.1007/s00484-022-02331-0</w:t>
      </w:r>
    </w:p>
    <w:p>
      <w:pPr/>
      <w:r>
        <w:rPr>
          <w:b/>
        </w:rPr>
        <w:t>Shared claim-specific concepts:</w:t>
      </w:r>
      <w:r>
        <w:t xml:space="preserve"> pattern, different; EU scope visible. This is a provisional connection, not an outcome finding.</w:t>
      </w:r>
    </w:p>
    <w:p>
      <w:pPr>
        <w:pStyle w:val="SourceNote"/>
      </w:pPr>
      <w:r>
        <w:rPr>
          <w:b/>
        </w:rPr>
        <w:t>Available abstract (not full text):</w:t>
      </w:r>
      <w:r>
        <w:t xml:space="preserve"> The life cycle of plants is largely determined by climate, which renders phenological responses to climate change a highly suitable bioindicator of climate change. Yet, it remains unclear, which are the key drivers of phenological patterns at certain life stages. Furthermore, the varying responses of species belonging to different plant functional types are not fully understood. In this study, the role of temperature and precipitation as environmental drivers of phenological changes in southern Europe is assessed. The trends of the phenophases leaf unfolding, flowering, fruiting, and senescence are quantified, and the corresponding main environmental drivers are identified. A clear trend towards an earlier onset of leaf unfolding, flowering, and fruiting is detected, while there is no clear pattern for senescence. In general, the advancement of leaf unfolding, flowering and fruiting is smaller for deciduous broadleaf trees in comparison to deciduous shrubs and crops. Many broadleaf trees are photoperiod-sensitive; therefore, their comparatively small phenological advancements are likely the effect of photoperiod counterbalancing the impact of increasing temperatures. While temperature is identified as the main driver of phenological changes, precipitation also plays a crucial role in determining the onset of leaf unfolding and flowering. Phenological phases advance under dry co</w:t>
      </w:r>
    </w:p>
    <w:p>
      <w:pPr/>
      <w:r>
        <w:rPr>
          <w:b/>
        </w:rPr>
        <w:t>POSSIBLE 2022:</w:t>
      </w:r>
      <w:r>
        <w:t xml:space="preserve"> Fertility trends and its determinants in Spain and Europe — https://doi.org/10.33612/diss.237466569</w:t>
      </w:r>
    </w:p>
    <w:p>
      <w:pPr/>
      <w:r>
        <w:rPr>
          <w:b/>
        </w:rPr>
        <w:t>Shared claim-specific concepts:</w:t>
      </w:r>
      <w:r>
        <w:t xml:space="preserve"> number, level, different; EU scope visible. This is a provisional connection, not an outcome finding.</w:t>
      </w:r>
    </w:p>
    <w:p>
      <w:pPr>
        <w:pStyle w:val="SourceNote"/>
      </w:pPr>
      <w:r>
        <w:rPr>
          <w:b/>
        </w:rPr>
        <w:t>Available abstract (not full text):</w:t>
      </w:r>
      <w:r>
        <w:t xml:space="preserve"> European demography and fertility is a colorful mosaic that reflects a variety of cultures and institutions across different countries. There is considerable subnational variation in fertility levels, therefore the national average values often hide important local differences. Previous research has shown different factors to have an impact on fertility tempo and quantum, such as economic contraction, social transformations, and the rise of migration. Such changes have not spread homogeneously, but with a different pace and intensity across European countries. This thesis aims to obtain more insight into the geographical variation in fertility changes in Europe, and to identify the role of a number of major factors behind this geographical variation, both at the macro level for European countries, and at the micro level for Spanish regions. The socio-economic factors involved in the transformation of fertility in Spain, is conducted at subnational level employing small territorial units, and constructing demographic and socio-economic indicators, which encompass fertility for the past forty years. Although fertility in most European countries is below replacement, the two child ideal is still very much the norm. Results show the factors that allow fulfilling childbearing ideals and how they differ between Western and Eastern Europe. Attitudes towards childbearing can change aft</w:t>
      </w:r>
    </w:p>
    <w:p>
      <w:pPr/>
      <w:r>
        <w:rPr>
          <w:b/>
        </w:rPr>
        <w:t>POSSIBLE 2022:</w:t>
      </w:r>
      <w:r>
        <w:t xml:space="preserve"> Eco-social mobilization at the supranational level? The case of The Right to Energy for All Europeans coalition — https://doi.org/10.4337/9781839104633.00022</w:t>
      </w:r>
    </w:p>
    <w:p>
      <w:pPr/>
      <w:r>
        <w:rPr>
          <w:b/>
        </w:rPr>
        <w:t>Shared claim-specific concepts:</w:t>
      </w:r>
      <w:r>
        <w:t xml:space="preserve"> level, all, against; EU scope visible. This is a provisional connection, not an outcome finding.</w:t>
      </w:r>
    </w:p>
    <w:p>
      <w:pPr>
        <w:pStyle w:val="SourceNote"/>
      </w:pPr>
      <w:r>
        <w:rPr>
          <w:b/>
        </w:rPr>
        <w:t>Available abstract (not full text):</w:t>
      </w:r>
      <w:r>
        <w:t xml:space="preserve"> What is the potential for European interest groups to jointly mobilize to promote synergies between ecological and social goals? This chapter explores attempts of the 'Right to Energy for All Europeans' coalition, an alliance of Brussels-based NGOs and trade unions, to exert influence on the energy poverty-related proposals in the 2016 Clean Energy for All Europeans legislative package. Drawing on qualitative research methods, we find that structural constraints (such as limited resources and compartmentalized policymaking) undermine full bottom-up eco-social coordination at the EU level. So does the commitment of each pressure group to potentially divergent interests. Nevertheless, European green and social NGOs and trade unions display a cooperative attitude towards each other and against the established constraints to coalition-building. Together they advocate for a just transition paradigm, combining social and environmental goals and ultimately making eco-social mobilization an efficient advocacy strategy.</w:t>
      </w:r>
    </w:p>
    <w:p>
      <w:pPr>
        <w:pStyle w:val="Heading2"/>
      </w:pPr>
      <w:r>
        <w:t>663. Exploring the Future of Universities Through Experimental Foresight</w:t>
      </w:r>
    </w:p>
    <w:p>
      <w:pPr>
        <w:pStyle w:val="SourceNote"/>
      </w:pPr>
      <w:r>
        <w:rPr>
          <w:b/>
        </w:rPr>
        <w:t>Original source (2020):</w:t>
      </w:r>
      <w:r>
        <w:t xml:space="preserve"> https://doi.org/10.1177/1946756720976714</w:t>
      </w:r>
    </w:p>
    <w:p>
      <w:pPr/>
      <w:r>
        <w:t>Original wording (abstract; indexed_source_text_not_full_document_verified): The foresight project covered two future time horizons, namely 2025 to 2030 and 2031 to 2040.</w:t>
      </w:r>
    </w:p>
    <w:p>
      <w:pPr/>
      <w:r>
        <w:rPr>
          <w:b/>
        </w:rPr>
        <w:t>POSSIBLE 2026:</w:t>
      </w:r>
      <w:r>
        <w:t xml:space="preserve"> DEVELOPMENT SCENARIOS OF COLLABORATION IN THE FIELD OF INCLUSIVE HIGHER EDUCATION BETWEEN RUSSIA AND CIS COUNTRIES: PROJECT-FORESIGHT — https://doi.org/10.36315/2026v2end012</w:t>
      </w:r>
    </w:p>
    <w:p>
      <w:pPr/>
      <w:r>
        <w:rPr>
          <w:b/>
        </w:rPr>
        <w:t>Shared claim-specific concepts:</w:t>
      </w:r>
      <w:r>
        <w:t xml:space="preserve"> foresight, project, two, time, horizons; EU scope not established. This is a provisional connection, not an outcome finding.</w:t>
      </w:r>
    </w:p>
    <w:p>
      <w:pPr>
        <w:pStyle w:val="SourceNote"/>
      </w:pPr>
      <w:r>
        <w:rPr>
          <w:b/>
        </w:rPr>
        <w:t>Available abstract (not full text):</w:t>
      </w:r>
      <w:r>
        <w:t xml:space="preserve"> The study describes the results of the first round of a foresight project conducted in July 2025, aimed at identifying promising scenarios for the development of cooperation between Russia and CIS countries in the field of inclusive higher education.The research was a continuation of two preliminary pre-foresight sessions held in the spring of 2025.An expert survey, developed based on the initially formulated scenarios, was sent to experts from Russia, Belarus, Kyrgyzstan, and Uzbekistan for refinement.Experts assessed the probability of six different scenarios across three-time horizons (5, 10, and 15 years) on a five-point Likert scale and selected the most probable scenario for each time interval.The key findings of the study demonstrate cautious optimism.In the short term (5 years), the most probable scenario is recognized as the realistic "Points of Growth" scenario, characterized by parallel national initiatives with the exchange of best practices.In the medium term (10 years), preference is given to the "Points of Growth -Regional Synergy" scenario, which implies the deepening of inter-university cooperation and the emergence of regional centers.The long-term forecast (15 years) shows a divergence of opinions but a clear shift towards more optimistic and cooperative scenarios, in particular, the "International Hub -Integration through Cooperation" scenario, indicating th</w:t>
      </w:r>
    </w:p>
    <w:p>
      <w:pPr/>
      <w:r>
        <w:rPr>
          <w:b/>
        </w:rPr>
        <w:t>POSSIBLE 2025:</w:t>
      </w:r>
      <w:r>
        <w:t xml:space="preserve"> Developing the Futures Map Framework – an integrative hybrid foresight approach — https://doi.org/10.1186/s40309-025-00252-w</w:t>
      </w:r>
    </w:p>
    <w:p>
      <w:pPr/>
      <w:r>
        <w:rPr>
          <w:b/>
        </w:rPr>
        <w:t>Shared claim-specific concepts:</w:t>
      </w:r>
      <w:r>
        <w:t xml:space="preserve"> foresight, time, horizons; EU scope not established. This is a provisional connection, not an outcome finding.</w:t>
      </w:r>
    </w:p>
    <w:p>
      <w:pPr>
        <w:pStyle w:val="SourceNote"/>
      </w:pPr>
      <w:r>
        <w:rPr>
          <w:b/>
        </w:rPr>
        <w:t>Available abstract (not full text):</w:t>
      </w:r>
      <w:r>
        <w:t xml:space="preserve"> Abstract Futures research typically involves the utilization of multiple methods, referred to as hybrid methods, to reach a particular objective. In this paper, the earlier Futures Map concept is developed into the Futures Map Framework (FMF), a hybrid foresight approach that operationalizes the Futures Map concept for practical use in organizations. The FMF Integrates alternative futures images and paths, visions, and roadmaps, and their respective methods. It addresses the limitations of these methods when used separately, leveraging their synergistic potential for more effective futures research and for more actionable futures from the perspective of those who will use the FMF. Furthermore, the key methodological choice for the framework are three time horizons related to decision making: the Past Horizon, the shorter-term Action horizon, and the longer-term Mapping horizon. The FMF suggests different roles for roadmaps and scenarios related to the Action Horizon and the Mapping Horizon, while the Past Horizon provides evidence for the other horizons. During the Action Horizon, the organization is committed to realizing the selected roadmap towards the vision. On the one hand, the Mapping Horizon scenarios open uncertainty with all its opportunities and risks for decision makers when they select the roadmap of the Action Horizon. On the other hand, the Mapping Horizon scenar</w:t>
      </w:r>
    </w:p>
    <w:p>
      <w:pPr/>
      <w:r>
        <w:rPr>
          <w:b/>
        </w:rPr>
        <w:t>POSSIBLE 2025:</w:t>
      </w:r>
      <w:r>
        <w:t xml:space="preserve"> Rethinking Urban Planning for Uncertainty: Big Picture Planning as Urban Foresight Practice — https://doi.org/10.1080/01944363.2025.2579977</w:t>
      </w:r>
    </w:p>
    <w:p>
      <w:pPr/>
      <w:r>
        <w:rPr>
          <w:b/>
        </w:rPr>
        <w:t>Shared claim-specific concepts:</w:t>
      </w:r>
      <w:r>
        <w:t xml:space="preserve"> foresight, project, time, horizons; EU scope not established. This is a provisional connection, not an outcome finding.</w:t>
      </w:r>
    </w:p>
    <w:p>
      <w:pPr>
        <w:pStyle w:val="SourceNote"/>
      </w:pPr>
      <w:r>
        <w:rPr>
          <w:b/>
        </w:rPr>
        <w:t>Available abstract (not full text):</w:t>
      </w:r>
      <w:r>
        <w:t xml:space="preserve"> Urban planning often faces challenges stemming from legal rigidity and institutional fragmentation, which hinder its ability to address complex and uncertain future scenarios. In this Viewpoint we introduce Big Picture Planning (BPP), a dynamic bundle of strategically guided foresight plans that supplements statutory comprehensive plans across multiple time horizons. Our argument was developed in the case of Huntsville’s (AL) Big Picture. BPP consists of three actions and processes: strategy development, creation of project and theme bundles, and contextual re-evaluation and backward influence of the futures. We highlight the value of BPP in fostering flexible and adaptable project bundles. BPP recognizes the complex influences that flow between past experiences and future possibilities, acknowledges decision makers and stakeholders, and respects the diversity of urban contexts and timelines. Building on Huntsville’s Big Picture, we advance a model of overlapping timelines and varying contexts of each city component and apply theory to real-life planning settings and planning education.</w:t>
      </w:r>
    </w:p>
    <w:p>
      <w:pPr/>
      <w:r>
        <w:rPr>
          <w:b/>
        </w:rPr>
        <w:t>POSSIBLE 2024:</w:t>
      </w:r>
      <w:r>
        <w:t xml:space="preserve"> Applying Evaluation Thinking and Practice to Foresight Evaluation — https://openalex.org/W7213478429</w:t>
      </w:r>
    </w:p>
    <w:p>
      <w:pPr/>
      <w:r>
        <w:rPr>
          <w:b/>
        </w:rPr>
        <w:t>Shared claim-specific concepts:</w:t>
      </w:r>
      <w:r>
        <w:t xml:space="preserve"> foresight, project, horizons; EU scope not established. This is a provisional connection, not an outcome finding.</w:t>
      </w:r>
    </w:p>
    <w:p>
      <w:pPr>
        <w:pStyle w:val="SourceNote"/>
      </w:pPr>
      <w:r>
        <w:rPr>
          <w:b/>
        </w:rPr>
        <w:t>Available abstract (not full text):</w:t>
      </w:r>
      <w:r>
        <w:t xml:space="preserve"> Foresight evaluation is in increasing demand as a result of the increasing use of foresight in policymaking. In many situations, evaluation of foresight projects will resemble traditional project evaluation. That said, foresight evaluation requires some modifications with respect to traditional programme evaluation, especially because of the need to address the challenges of complexity, long-time horizons, qualitative nature of the work, and largely intangible and multiple foresight outcomes. With respect to the latter, appropriate designs and methods have been developed by a dedicated group of evaluators and funders over the last 20 years, resulting in a significant body of evaluation work applicable to foresight. This paper presents evaluation theories and practices that are important to keep in mind when designing a foresight evaluation, calling out specific constructs and methods that are useful in diverse foresight settings. It is intended for evaluators and foresight practitioners with evaluation expertise and will be particularly helpful for evaluators new to foresight, helping them navigate the foresight space. For foresight practitioners with limited or no evaluation expertise, this paper will provide a detailed overview of all that evaluation has to offer or a new way of thinking.</w:t>
      </w:r>
    </w:p>
    <w:p>
      <w:pPr/>
      <w:r>
        <w:rPr>
          <w:b/>
        </w:rPr>
        <w:t>POSSIBLE 2024:</w:t>
      </w:r>
      <w:r>
        <w:t xml:space="preserve"> A hybrid foresight study of the environmental reference laboratory system in Finland: a foresight study for the Government of Finland — https://doi.org/10.1186/s40309-023-00223-z</w:t>
      </w:r>
    </w:p>
    <w:p>
      <w:pPr/>
      <w:r>
        <w:rPr>
          <w:b/>
        </w:rPr>
        <w:t>Shared claim-specific concepts:</w:t>
      </w:r>
      <w:r>
        <w:t xml:space="preserve"> foresight, project, namely; EU scope visible. This is a provisional connection, not an outcome finding.</w:t>
      </w:r>
    </w:p>
    <w:p>
      <w:pPr>
        <w:pStyle w:val="SourceNote"/>
      </w:pPr>
      <w:r>
        <w:rPr>
          <w:b/>
        </w:rPr>
        <w:t>Available abstract (not full text):</w:t>
      </w:r>
      <w:r>
        <w:t xml:space="preserve"> Abstract This article presents a hybrid foresight study using the Delphi methodology. The study is part of a strategic research project of the Finnish state named “Foresight in Environmental Reference Laboratory Operations.” The main starting point for this study was the Policy Delphi method, which was supplemented with other Delphi variants and decision support methods. In this hybrid foresight application, Delphi methodology was combined with decision-making and strategic planning tools, namely (1) SWOT analysis, (2) Boston Consulting Group Matrix, (3) research infrastructure (RI) analysis, (4) platform analysis, and (5) integrative foresight workshop. This article draws strongly on the hybrid foresight methodology perspective of foresight tool orchestration. The authors argue that the Delphi methodology gains reliability and appeal with hybrid methodological orchestration. The function of reference laboratories includes services for the verification and maintenance of the quality and validity of environmental measurements, such as the maintenance of reference measurement equipment, expertise, and training, and the organization of national reference measurements as well as participation in international reference measurements, method development, and standardization. The study shows the importance of environmental reference laboratories addressing the following challenges by </w:t>
      </w:r>
    </w:p>
    <w:p>
      <w:pPr/>
      <w:r>
        <w:rPr>
          <w:b/>
        </w:rPr>
        <w:t>POSSIBLE 2023:</w:t>
      </w:r>
      <w:r>
        <w:t xml:space="preserve"> Looking at the fringes of MedTech innovation: a mapping review of horizon scanning and foresight methods — https://doi.org/10.1136/bmjopen-2023-073730</w:t>
      </w:r>
    </w:p>
    <w:p>
      <w:pPr/>
      <w:r>
        <w:rPr>
          <w:b/>
        </w:rPr>
        <w:t>Shared claim-specific concepts:</w:t>
      </w:r>
      <w:r>
        <w:t xml:space="preserve"> foresight, time, horizons; EU scope not established. This is a provisional connection, not an outcome finding.</w:t>
      </w:r>
    </w:p>
    <w:p>
      <w:pPr>
        <w:pStyle w:val="SourceNote"/>
      </w:pPr>
      <w:r>
        <w:rPr>
          <w:b/>
        </w:rPr>
        <w:t>Available abstract (not full text):</w:t>
      </w:r>
      <w:r>
        <w:t xml:space="preserve"> OBJECTIVES: Horizon scanning (HS) is a method used to examine signs of change and may be used in foresight practice. HS methods used for the identification of innovative medicinal products cannot be applied in medical technologies (MedTech) due to differences in development and regulatory processes. The aim of this study is to identify HS and other methodologies used for MedTech foresight in support to healthcare decision-making. METHOD: A mapping review was performed. We searched bibliographical databases including MEDLINE, Embase, Scopus, Web of Science, IEEE Xplore and Compendex Engineering Village and grey literature sources such as Google, CORE database and the International HTA database. Our searches identified 8888 records. After de-duplication, and manual and automated title, abstracts and full-text screening, 49 papers met the inclusion criteria and were data extracted. RESULTS: Twenty-five single different methods were identified, often used in combination; of these, only three were novel (appearing only once in the literature). Text mining or artificial intelligence solutions appear as early as 2012, often practised in patent and social media sources. The time horizon used in scanning was not often justified. Some studies regarded experts both as a source and as a method. Literature searching remains one of the most used methods for innovation identification. HS meth</w:t>
      </w:r>
    </w:p>
    <w:p>
      <w:pPr/>
      <w:r>
        <w:rPr>
          <w:b/>
        </w:rPr>
        <w:t>POSSIBLE 2023:</w:t>
      </w:r>
      <w:r>
        <w:t xml:space="preserve"> Foresight in public health: application and challenges — https://doi.org/10.1093/eurpub/ckad160.1000</w:t>
      </w:r>
    </w:p>
    <w:p>
      <w:pPr/>
      <w:r>
        <w:rPr>
          <w:b/>
        </w:rPr>
        <w:t>Shared claim-specific concepts:</w:t>
      </w:r>
      <w:r>
        <w:t xml:space="preserve"> foresight, project, time; EU scope not established. This is a provisional connection, not an outcome finding.</w:t>
      </w:r>
    </w:p>
    <w:p>
      <w:pPr>
        <w:pStyle w:val="SourceNote"/>
      </w:pPr>
      <w:r>
        <w:rPr>
          <w:b/>
        </w:rPr>
        <w:t>Available abstract (not full text):</w:t>
      </w:r>
      <w:r>
        <w:t xml:space="preserve"> Abstract Background Foresight studies in the field of public health are limited. However, in the context of increasing uncertainty and complexity, such as with the COVID-19 pandemic, there is growing need to anticipate future trends and to plan for them. Foresight provides the tools to explore possible futures and develop policy strategies. Despite its value, foresight is an underused methodology. Hence, the aim of this study is to illustrate how foresight can be applied in public health, and how to deal with the associated challenges. Methods We describe the six-steps that are part of foresight methodology. In step 1 we discuss how to formulate study objectives. We illustrate in step 2, the application of the conceptual model and the DESTEP tool to identify and rank driving forces. We then discuss time horizon and spatial distribution, in step 3. In step 4, we discuss scenario logics. Finally in steps 5 and 6, we discuss the types of scenarios and tools for analyses. Possible challenges encountered when applying foresight methodology are drawn from the experiences and lessons learnt from the PHIRI project. Results Challenges during application of the foresight six-steps approach included difficulties in formulating research objectives, developing a conceptual model, identifying most important future trends, developing systematic, consistent and plausible scenarios with clear m</w:t>
      </w:r>
    </w:p>
    <w:p>
      <w:pPr/>
      <w:r>
        <w:rPr>
          <w:b/>
        </w:rPr>
        <w:t>POSSIBLE 2023:</w:t>
      </w:r>
      <w:r>
        <w:t xml:space="preserve"> Foresight Research "Scenarios: Ukraine 2040" — https://doi.org/10.5281/zenodo.19045633</w:t>
      </w:r>
    </w:p>
    <w:p>
      <w:pPr/>
      <w:r>
        <w:rPr>
          <w:b/>
        </w:rPr>
        <w:t>Shared claim-specific concepts:</w:t>
      </w:r>
      <w:r>
        <w:t xml:space="preserve"> foresight, project, time; EU scope not established. This is a provisional connection, not an outcome finding.</w:t>
      </w:r>
    </w:p>
    <w:p>
      <w:pPr>
        <w:pStyle w:val="SourceNote"/>
      </w:pPr>
      <w:r>
        <w:rPr>
          <w:b/>
        </w:rPr>
        <w:t>Available abstract (not full text):</w:t>
      </w:r>
      <w:r>
        <w:t xml:space="preserve"> The Russian invasion of Ukraine on 24 February 2022 has required Ukrainian parliamentarians and the government to address a large number of uncertainties when planning and developing policies and laws. To ensure that long-term thinking is applied to the policy process, the First Deputy Chairman of the Ukrainian Parliament requested a foresight study on the post-war recovery and development of Ukraine. This study was conducted as a joint project between the Inter-factional Union of Members of Parliament “Strategic Foresight of Ukraine” in the Verkhovna Rada and the All-Party Parliamentary Group for Future Generations in the United Kingdom, with the strong organizational support of the United Nations Development Programme (UNDP) Ukraine as well as other international partners. The aim of this study is threefold: to consider different possible scenarios for the recovery and development of Ukraine, including risks and ways to mitigate these risks, opportunities, and possible cognitive biases; and to provide insights about the future that will help parliamentarians engage in more effective decision-making in the uncertainty of wartime; and to generate insights regarding potential strategic implications for Ukraine. The scenarios presented in this report were developed over the course of seven months, between mid-July 2022 and mid-February 2023. The process was heavily based on works</w:t>
      </w:r>
    </w:p>
    <w:p>
      <w:pPr/>
      <w:r>
        <w:rPr>
          <w:b/>
        </w:rPr>
        <w:t>POSSIBLE 2022:</w:t>
      </w:r>
      <w:r>
        <w:t xml:space="preserve"> Precursors to a 'Good' Bioeconomy in 2125: Making Sense of Bioeconomy &amp; Justice Horizons. First Foresight Report of the BioEcoJust Project — https://openalex.org/W7220759861</w:t>
      </w:r>
    </w:p>
    <w:p>
      <w:pPr/>
      <w:r>
        <w:rPr>
          <w:b/>
        </w:rPr>
        <w:t>Shared claim-specific concepts:</w:t>
      </w:r>
      <w:r>
        <w:t xml:space="preserve"> foresight, project, horizons;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Foresight Capacity Building — https://doi.org/10.5281/zenodo.6630549</w:t>
      </w:r>
    </w:p>
    <w:p>
      <w:pPr/>
      <w:r>
        <w:rPr>
          <w:b/>
        </w:rPr>
        <w:t>Shared claim-specific concepts:</w:t>
      </w:r>
      <w:r>
        <w:t xml:space="preserve"> foresight, project, covered, time; EU scope visible. This is a provisional connection, not an outcome finding.</w:t>
      </w:r>
    </w:p>
    <w:p>
      <w:pPr>
        <w:pStyle w:val="SourceNote"/>
      </w:pPr>
      <w:r>
        <w:rPr>
          <w:b/>
        </w:rPr>
        <w:t>Available abstract (not full text):</w:t>
      </w:r>
      <w:r>
        <w:t xml:space="preserve"> The present report provides an overview of the development, content, evaluation, and outcomes of the ‘Public Health Foresight Studies’ Training course, also referred to as the ‘Foresight Capacity Building’ training course or the ‘course’. The Foresight Capacity Building course aims at leveling capacity in Public Health Foresight Studies from PHIRI’s participating Member States (MS). Building foresight capacity through this training course is the main output of Task 9.2 of Work Package 9 (WP9) of the PHIRI project. This course was shaped taking into account the foresight capacity needs of MS as reported in the survey carried out in the first quarter of 2021 (during Task 9.1). The course prepares professionals of MS to carry out their own foresight study with the support of WP9 team and from each other. The Foresight Capacity Building course followed a didactive approach consisting of theory on the concepts covered, practical examples, and practical exercises. In addition to the foresight project team of lectures, guest lecturers contributed to specific topics. The course consisted of 5 modules: a general module, followed by three advanced modules deepening on several foresight elements, and a final module revisiting the concepts learned throughout the course and introducing participants to the next task: developing scenarios. Throughout the course, participants gave their feedba</w:t>
      </w:r>
    </w:p>
    <w:p>
      <w:pPr/>
      <w:r>
        <w:rPr>
          <w:b/>
        </w:rPr>
        <w:t>POSSIBLE 2021:</w:t>
      </w:r>
      <w:r>
        <w:t xml:space="preserve"> Becoming a forerunner in foresight : Key elements of success in organizational foresight — https://openalex.org/W3175285991</w:t>
      </w:r>
    </w:p>
    <w:p>
      <w:pPr/>
      <w:r>
        <w:rPr>
          <w:b/>
        </w:rPr>
        <w:t>Shared claim-specific concepts:</w:t>
      </w:r>
      <w:r>
        <w:t xml:space="preserve"> foresight, two, time; EU scope not established. This is a provisional connection, not an outcome finding.</w:t>
      </w:r>
    </w:p>
    <w:p>
      <w:pPr>
        <w:pStyle w:val="SourceNote"/>
      </w:pPr>
      <w:r>
        <w:rPr>
          <w:b/>
        </w:rPr>
        <w:t>Available abstract (not full text):</w:t>
      </w:r>
      <w:r>
        <w:t xml:space="preserve"> As previous foresight studies show, successful foresight activities are the key to organization’s long-term survival and increased performance. But what are the elements that constitute successful foresight? And furthermore, how organizations understand “foresight success”? This thesis approaches the issue of successful foresight in organizations by building an overview of factors that promote or hinder organizational foresight. The aim is to improve organizational foresight practices by increasing the understanding of foresight success elements. An organization that cultivates these elements can eventually transform into a forerunner in foresight. Foresight success and success factors are first examined through previous foresight studies and further considered through empirical material. The selected approach is qualitative inquiry: by interviewing 12 Finnish organizations of which six can be considered as forerunners in foresight, a deeper understanding of organizational foresight success is constructed. Empirical findings are further supported by theoretical framework of foresight maturity models, in which elements of foresight are depicted as organizational capabilities that develop over time. As a result, this study confirms the importance of factors identified in previous foresight research that promote, or conversely hinder, foresight successfulness in organizations. The</w:t>
      </w:r>
    </w:p>
    <w:p>
      <w:pPr/>
      <w:r>
        <w:rPr>
          <w:b/>
        </w:rPr>
        <w:t>POSSIBLE 2021:</w:t>
      </w:r>
      <w:r>
        <w:t xml:space="preserve"> Creativity, proactivity, and foresight — https://doi.org/10.1016/j.techfore.2021.121215</w:t>
      </w:r>
    </w:p>
    <w:p>
      <w:pPr/>
      <w:r>
        <w:rPr>
          <w:b/>
        </w:rPr>
        <w:t>Shared claim-specific concepts:</w:t>
      </w:r>
      <w:r>
        <w:t xml:space="preserve"> foresight, two, namely; EU scope not established. This is a provisional connection, not an outcome finding.</w:t>
      </w:r>
    </w:p>
    <w:p>
      <w:pPr>
        <w:pStyle w:val="SourceNote"/>
      </w:pPr>
      <w:r>
        <w:rPr>
          <w:b/>
        </w:rPr>
        <w:t>Available abstract (not full text):</w:t>
      </w:r>
      <w:r>
        <w:t xml:space="preserve"> This study addresses how foresight interventions can translate creativity into proactive behavior and, in this sense, foster anticipatory strategic management. We develop a theoretical model, linking creativity and proactivity with known discrete individual foresight cognitive styles, namely “Reactor”, “Tester”, “Adapter”, and “Framer”, but also add a new “Actor” dimension. The theoretical model is tested by analyzing quantitative data from 172 students attending two scenario-building workshops. Our SEM model allows us to formulate three conclusions. First, creativity is not directly linked to proactivity without considering individual foresight cognitive styles. Second, we confirm the presence of four components of foresight as discrete foresight cognitive styles but also demonstrate the importance of a fifth component, the “Actor”. Third, it is only through the “Tester”, “Adapter”, and “Actor” components that creative energy most significantly aids proactivity. This means that creativity most significantly aids proactivity when individuals are either able to experiment with alternative courses of action or change the conditions for how their respective futures may unfold. We contribute to the foresight literature by demonstrating how foresight, as a process of intervention, can foster discrete foresight cognitive styles at the individual level and moderate relationships betwe</w:t>
      </w:r>
    </w:p>
    <w:p>
      <w:pPr>
        <w:pStyle w:val="Heading2"/>
      </w:pPr>
      <w:r>
        <w:t>664. Foresight technologies of economic systems: evidence from the tourism sector of Ukraine</w:t>
      </w:r>
    </w:p>
    <w:p>
      <w:pPr>
        <w:pStyle w:val="SourceNote"/>
      </w:pPr>
      <w:r>
        <w:rPr>
          <w:b/>
        </w:rPr>
        <w:t>Original source (2020):</w:t>
      </w:r>
      <w:r>
        <w:t xml:space="preserve"> https://doi.org/10.21511/ppm.18(4).2020.25</w:t>
      </w:r>
    </w:p>
    <w:p>
      <w:pPr/>
      <w:r>
        <w:t>Original wording (abstract; indexed_source_text_not_full_document_verified): Accordingly, questions arise about the Ukrainian tourism sector’s ability to use the crisis as a prerequisite for recovery and growth.Based on the results of a two-round survey using the Delphi method among experts (56 at the first stage and 42 at the second) representing various tourism directions for Ukraine’s tourism sector up to 2030, six strategic development priorities were formed.</w:t>
      </w:r>
    </w:p>
    <w:p>
      <w:pPr/>
      <w:r>
        <w:rPr>
          <w:b/>
        </w:rPr>
        <w:t>POSSIBLE 2026:</w:t>
      </w:r>
      <w:r>
        <w:t xml:space="preserve"> Criminal Liability Arising from the Use of Artificial Intelligence Applications — https://doi.org/10.5281/zenodo.19810638</w:t>
      </w:r>
    </w:p>
    <w:p>
      <w:pPr/>
      <w:r>
        <w:rPr>
          <w:b/>
        </w:rPr>
        <w:t>Shared claim-specific concepts:</w:t>
      </w:r>
      <w:r>
        <w:t xml:space="preserve"> accordingly, questions, about, ability, use, various; EU scope not established. This is a provisional connection, not an outcome finding.</w:t>
      </w:r>
    </w:p>
    <w:p>
      <w:pPr>
        <w:pStyle w:val="SourceNote"/>
      </w:pPr>
      <w:r>
        <w:rPr>
          <w:b/>
        </w:rPr>
        <w:t>Available abstract (not full text):</w:t>
      </w:r>
      <w:r>
        <w:t xml:space="preserve"> The increasing use of artificial intelligence applications across various domains of contemporary life gives rise to significant legal challenges, particularly in relation to the attribution of criminal liability for acts committed through such systems. This raises critical questions regarding the adequacy of existing legal frame works and their capacity to accommodate the unique and evolving characteristics of artificial intelligence technologies. In this context, the present study aims to examine the current and potential future challenges associated with artificial intelligence applications, especially in light of the rapid pace of technological advancement. Advanced AI systems have endowed certain machines with sophisticated capabilities, including the ability to acquire experiential learning and make autonomous decisions, thereby raising concerns about the possibility of these entities acting independently of direct human control. Accordingly, it becomes conceivable that such systems may deviate from programmed instructions and engage in conduct that could be classified as criminal acts. This necessitates a comprehensive legal inquiry into the nature and scope of criminal liability arising from offences committed by autonomous artificial intelligence entities, particularly those capable of independent decision-making.</w:t>
      </w:r>
    </w:p>
    <w:p>
      <w:pPr/>
      <w:r>
        <w:rPr>
          <w:b/>
        </w:rPr>
        <w:t>POSSIBLE 2026:</w:t>
      </w:r>
      <w:r>
        <w:t xml:space="preserve"> ARISE: an urban political economy-informed resilience indicator framework for south asian metropolitan cities — https://doi.org/10.3389/fenvs.2026.1889318</w:t>
      </w:r>
    </w:p>
    <w:p>
      <w:pPr/>
      <w:r>
        <w:rPr>
          <w:b/>
        </w:rPr>
        <w:t>Shared claim-specific concepts:</w:t>
      </w:r>
      <w:r>
        <w:t xml:space="preserve"> arise, experts, stage; EU scope not established. This is a provisional connection, not an outcome finding.</w:t>
      </w:r>
    </w:p>
    <w:p>
      <w:pPr>
        <w:pStyle w:val="SourceNote"/>
      </w:pPr>
      <w:r>
        <w:rPr>
          <w:b/>
        </w:rPr>
        <w:t>Available abstract (not full text):</w:t>
      </w:r>
      <w:r>
        <w:t xml:space="preserve"> Introduction Existing urban resilience indicator frameworks combine literature-derived pooling, expert validation, and multi-criteria weighting independently of any explicit theory of why some urban conditions, rather than others, are politically constituted as resilience priorities. Methods This paper’s contribution is methodological: it demonstrates how Urban Political Economy (UPE) theory can condition an indicator-development pipeline, from category structure through to how weighting outcomes are interpreted against theoretical commitments. ARISE, the Adaptive Resilience Indicator System for Equity, operationalises this UPE-conditioned approach through five stages: identification, categorisation, reduction, validation, and prioritisation. Drawing on 75 studies and 193 indicators, ARISE applies Pareto analysis and Staticized Group Technique consultation to produce 32 Resilience Indicators across seven dimensions, weighted via the Analytic Hierarchy Process by 18 experts. Results Urban Design and Spatial Planning carries the highest weight (36.04%); sensitivity analysis confirms stability for four dimensions, with Ecosystem and Resources (5.96%) the most panel-sensitive. Discussion The contribution is theory-conditioned indicator-development methodology: a UPE-derived categorisation structure, a two-track mechanism protecting under-cited indicators from elimination, and an ex</w:t>
      </w:r>
    </w:p>
    <w:p>
      <w:pPr/>
      <w:r>
        <w:rPr>
          <w:b/>
        </w:rPr>
        <w:t>POSSIBLE 2026:</w:t>
      </w:r>
      <w:r>
        <w:t xml:space="preserve"> Criminal Liability in Crimes Arising from Generative Artificial Intelligence: Legal Challenges and Solutions — https://doi.org/10.5281/zenodo.21565934</w:t>
      </w:r>
    </w:p>
    <w:p>
      <w:pPr/>
      <w:r>
        <w:rPr>
          <w:b/>
        </w:rPr>
        <w:t>Shared claim-specific concepts:</w:t>
      </w:r>
      <w:r>
        <w:t xml:space="preserve"> accordingly, questions, use, based, method, among; EU scope not established. This is a provisional connection, not an outcome finding.</w:t>
      </w:r>
    </w:p>
    <w:p>
      <w:pPr>
        <w:pStyle w:val="SourceNote"/>
      </w:pPr>
      <w:r>
        <w:rPr>
          <w:b/>
        </w:rPr>
        <w:t>Available abstract (not full text):</w:t>
      </w:r>
      <w:r>
        <w:t xml:space="preserve"> The rapid growth of generative artificial intelligence, while creating broad opportunities in scientific, economic, and social fields, has also given rise to numerous legal and criminal challenges. With its capacity to generate text, images, audio, and other forms of digital content, this technology has increased the possibility of committing crimes such as forgery, fraud, dissemination of false information, invasion of privacy, cybercrime, and misuse of personal data, while also raising new questions regarding the foundations of criminal liability. Using a descriptive-analytical method and based on library research, the present study examines criminal liability in crimes arising from generative artificial intelligence, the existing legal challenges, and the legislative and executive solutions for managing this phenomenon. The findings show that, in current legal systems, artificial intelligence lacks independent criminal personality, and criminal liability still rests with the natural and legal persons involved in the design, development, distribution, and use of this technology. The study further demonstrates that the complexity of algorithms, ambiguity in establishing causation, difficulty in proving criminal intent, the transnational nature of such crimes, and the absence of specific laws are among the most important obstacles to the effective application of traditional cri</w:t>
      </w:r>
    </w:p>
    <w:p>
      <w:pPr/>
      <w:r>
        <w:rPr>
          <w:b/>
        </w:rPr>
        <w:t>POSSIBLE 2026:</w:t>
      </w:r>
      <w:r>
        <w:t xml:space="preserve"> THE CHARACTERISTICS OF LOSSES ARISING FROM THE MISUSE OF DEBTORS' PERSONAL DATA IN ONLINE LENDING AGREEMENTS — https://doi.org/10.28946/lexl.v8i1.3827</w:t>
      </w:r>
    </w:p>
    <w:p>
      <w:pPr/>
      <w:r>
        <w:rPr>
          <w:b/>
        </w:rPr>
        <w:t>Shared claim-specific concepts:</w:t>
      </w:r>
      <w:r>
        <w:t xml:space="preserve"> accordingly, questions, method; EU scope not established. This is a provisional connection, not an outcome finding.</w:t>
      </w:r>
    </w:p>
    <w:p>
      <w:pPr>
        <w:pStyle w:val="SourceNote"/>
      </w:pPr>
      <w:r>
        <w:rPr>
          <w:b/>
        </w:rPr>
        <w:t>Available abstract (not full text):</w:t>
      </w:r>
      <w:r>
        <w:t xml:space="preserve"> The rapid growth of online loan (fintech lending) services in Indonesia has expanded public access to financial services while simultaneously raising legal concerns regarding the protection of borrowers’ personal data. During the online verification process, borrowers are often required to grant access to personal information, creating significant risks of misuse. In practice, some online loan providers exploit borrowers’ personal data, including contact lists, as a means of debt collection through intimidation, harassment, or unauthorized dissemination of personal information, causing both material and immaterial losses. This study examines the following research questions: (1) what are the legal characteristics of losses arising from the misuse of borrowers’ personal data in online lending services, and (2) what is the legal liability of creditors for such misuse? Accordingly, this study aims to analyze the characteristics of the losses suffered by borrowers and to examine the legal responsibility of creditors who misuse borrowers’ personal data. This research employs a normative legal research method using statutory, conceptual, and case approaches through the analysis of primary and secondary legal materials. The findings reveal that the legal relationship between creditors and borrowers is established through a standard form agreement that limits borrowers’ bargaining powe</w:t>
      </w:r>
    </w:p>
    <w:p>
      <w:pPr/>
      <w:r>
        <w:rPr>
          <w:b/>
        </w:rPr>
        <w:t>POSSIBLE 2025:</w:t>
      </w:r>
      <w:r>
        <w:t xml:space="preserve"> IMPLEMENTATION OF TRANSPORT ACCESSIBILITY IN THE TOURISM SECTOR — https://doi.org/10.32782/2707-8019/2025-1-3</w:t>
      </w:r>
    </w:p>
    <w:p>
      <w:pPr/>
      <w:r>
        <w:rPr>
          <w:b/>
        </w:rPr>
        <w:t>Shared claim-specific concepts:</w:t>
      </w:r>
      <w:r>
        <w:t xml:space="preserve"> about, tourism, sector, various; EU scope not established. This is a provisional connection, not an outcome finding.</w:t>
      </w:r>
    </w:p>
    <w:p>
      <w:pPr>
        <w:pStyle w:val="SourceNote"/>
      </w:pPr>
      <w:r>
        <w:rPr>
          <w:b/>
        </w:rPr>
        <w:t>Available abstract (not full text):</w:t>
      </w:r>
      <w:r>
        <w:t xml:space="preserve"> The prevailing trend in the development of tourism is to enhance the accessibility of tourist services for all segments of society. To this end, a range of measures must be implemented at both the state and local levels, as well as by the enterprises themselves. The present paper explores the merits and drawbacks of the various modes of transport utilised in the provision of tourist services. It is determined that in the future the transport offer in tourism will develop in the following directions: increasing the environmental friendliness of transport, ecological types of transport; accessibility of transport offer for people with disabilities; increased attention to travel safety; improvement of transport infrastructure. It is noted that the main barriers faced by tourists with disabilities are: inaccessibility of transport infrastructure facilities; low quality of service provided by support staff; insufficient awareness of service providers; lack of information about accessible facilities, services, relevant websites; lack of accessible rooms in hotels, restaurants and public places. This paper sets out the measures that local authorities and heads of transport infrastructure enterprises should take to improve accessibility. The measures to ensure the accessibility of various types of transport are disclosed, as are the best foreign experiences in the field of infrastructu</w:t>
      </w:r>
    </w:p>
    <w:p>
      <w:pPr/>
      <w:r>
        <w:rPr>
          <w:b/>
        </w:rPr>
        <w:t>POSSIBLE 2025:</w:t>
      </w:r>
      <w:r>
        <w:t xml:space="preserve"> THE QUESTION OF THE SCOPE OF DECISION-MAKING OF COMBAT SYSTEMS BASED ON GENERATIVE ARTIFICIAL INTELLIGENCE TECHNOLOGY AS AN IMPORTANT ELEMENT OF RISK MANAGEMENT OF THE POTENTIAL RISKS ARISING FROM IT — https://doi.org/10.5604/01.3001.0055.5726</w:t>
      </w:r>
    </w:p>
    <w:p>
      <w:pPr/>
      <w:r>
        <w:rPr>
          <w:b/>
        </w:rPr>
        <w:t>Shared claim-specific concepts:</w:t>
      </w:r>
      <w:r>
        <w:t xml:space="preserve"> accordingly, use, based; EU scope not established. This is a provisional connection, not an outcome finding.</w:t>
      </w:r>
    </w:p>
    <w:p>
      <w:pPr>
        <w:pStyle w:val="SourceNote"/>
      </w:pPr>
      <w:r>
        <w:rPr>
          <w:b/>
        </w:rPr>
        <w:t>Available abstract (not full text):</w:t>
      </w:r>
      <w:r>
        <w:t xml:space="preserve"> Artificial intelligence (AI) is playing an increasingly prominent role in the military sphere, bringing both numerous benefits and key challenges and risks. AI in the military enables increased operational efficiency through autonomous drones and vehicles that can perform complex missions with minimal human intervention and improves the precision of military operations. Artificial intelligence also supports realtime data analysis for faster and more accurate decision-making. Determinants of AI technology applications in the military sphere are the growing demands of national security and the need to keep up with techno-logical advances, allowing countries to gain a strategic advantage and better protect their interests. However, AI applications also come with serious challenges and risks, such as issues of ethics and accountability, as autonomous combat systems can make decisions to use force without direct human oversight. In addition, information systems may be vulner-able to cyber attacks, for which AI technology may be involved, posing additional risks to national security. The development of AI technology, including generative AI, often precedes necessary changes in legal norms. It is necessary to develop an international legal framework to regulate the use of AI in armed conflict to prevent escalation and uncon-trolled development of military technologies. Accordingly, th</w:t>
      </w:r>
    </w:p>
    <w:p>
      <w:pPr/>
      <w:r>
        <w:rPr>
          <w:b/>
        </w:rPr>
        <w:t>POSSIBLE 2024:</w:t>
      </w:r>
      <w:r>
        <w:t xml:space="preserve"> Subpoenaing Luther on Questions of Polygyny — https://doi.org/10.62154/v5kvy441</w:t>
      </w:r>
    </w:p>
    <w:p>
      <w:pPr/>
      <w:r>
        <w:rPr>
          <w:b/>
        </w:rPr>
        <w:t>Shared claim-specific concepts:</w:t>
      </w:r>
      <w:r>
        <w:t xml:space="preserve"> accordingly, questions, arise, method; EU scope not established. This is a provisional connection, not an outcome finding.</w:t>
      </w:r>
    </w:p>
    <w:p>
      <w:pPr>
        <w:pStyle w:val="SourceNote"/>
      </w:pPr>
      <w:r>
        <w:rPr>
          <w:b/>
        </w:rPr>
        <w:t>Available abstract (not full text):</w:t>
      </w:r>
      <w:r>
        <w:t xml:space="preserve"> The study discussed debatable questions of Martin Luther’s support of polygyny, which are considered perennial enough to warrant a rejoinder of curricular relevance to Biblical Christianity and theology from a contemporary African perspective. Accordingly, the study proposed that establishing an effective understanding of the debatable points against polygyny is necessary for developing Biblical theology curricular tools for deliberating on Luther’s stand in support of polygyny. The study pursued two purposes. Purpose 1: to consider the historical grounds for a contemporaneous subpoena to Luther on perennial questions of polygyny. These are the grounds upon which a proxy rejoinder can be delimited to facilitate formal learning exercises, via the curriculum of Biblical theology in Africa. Purpose 2: to address the contemporaneous submissions of the church in Africa against polygyny in support of the historical grounds for subpoenaing Luther on perennial questions of polygyny, upon which a proxy rejoinder can be delimited for treatment via the curriculum of Biblical theology in Africa. The study was facilitated by the qualitative research methodology, via which primary historical documents were examined primarily using the documentary analytical method. A key conclusion of the study is that learners and teachers, as participants in the Biblical theology course, are both responsib</w:t>
      </w:r>
    </w:p>
    <w:p>
      <w:pPr/>
      <w:r>
        <w:rPr>
          <w:b/>
        </w:rPr>
        <w:t>POSSIBLE 2024:</w:t>
      </w:r>
      <w:r>
        <w:t xml:space="preserve"> Cognitive possibilities of political science: ask questions about Russian political science — https://doi.org/10.12737/2587-6295-2024-8-1-93-102</w:t>
      </w:r>
    </w:p>
    <w:p>
      <w:pPr/>
      <w:r>
        <w:rPr>
          <w:b/>
        </w:rPr>
        <w:t>Shared claim-specific concepts:</w:t>
      </w:r>
      <w:r>
        <w:t xml:space="preserve"> accordingly, questions, about, based, method; EU scope not established. This is a provisional connection, not an outcome finding.</w:t>
      </w:r>
    </w:p>
    <w:p>
      <w:pPr>
        <w:pStyle w:val="SourceNote"/>
      </w:pPr>
      <w:r>
        <w:rPr>
          <w:b/>
        </w:rPr>
        <w:t>Available abstract (not full text):</w:t>
      </w:r>
      <w:r>
        <w:t xml:space="preserve"> The purpose of the work is to raise the question of the cognitive capabilities of political science and to what extent, in this regard, the methodological tools of political science are an adequate means for studying Russian reality. The methodology of the research was a politico-philosophical approach, which used a retrospective method and discourse analysis. The specificity of the social sciences and humanities implies the existence of value positions of the subject of cognition and determines the practice-oriented orientation of his research activity. The model of reality reconstructed by the scientist is based on a value-colored picture of the world, which directly or implicitly influences the interpretation of facts. Political science, being a part of social and humanitarian knowledge, is not devoid of its specificity and is also based on a certain model of the worldview - a paradigm. The science of politics was formed in the bosom of Western society, taking as a basis the corresponding paradigm of thinking. At a certain point, comparative studies begins to occupy a central position in the study of politics, in fact identifying the whole of political science with itself. Its distinctive feature, which has not been overcome to this day, is the attitude to compare the entire diversity of the political world with its own "ideal" of due. Accordingly, everything that does not f</w:t>
      </w:r>
    </w:p>
    <w:p>
      <w:pPr/>
      <w:r>
        <w:rPr>
          <w:b/>
        </w:rPr>
        <w:t>POSSIBLE 2024:</w:t>
      </w:r>
      <w:r>
        <w:t xml:space="preserve"> HEALTH TOURISM TRENDS: EXPECTATIONS AND MOTIVES OF GENERATION Z BASED ON UKRAINIAN STUDENTS’ SURVEY — https://doi.org/10.30970/ves.2024.66.0.6605</w:t>
      </w:r>
    </w:p>
    <w:p>
      <w:pPr/>
      <w:r>
        <w:rPr>
          <w:b/>
        </w:rPr>
        <w:t>Shared claim-specific concepts:</w:t>
      </w:r>
      <w:r>
        <w:t xml:space="preserve"> ukrainian, tourism, based, survey, second; EU scope visible. This is a provisional connection, not an outcome finding.</w:t>
      </w:r>
    </w:p>
    <w:p>
      <w:pPr>
        <w:pStyle w:val="SourceNote"/>
      </w:pPr>
      <w:r>
        <w:rPr>
          <w:b/>
        </w:rPr>
        <w:t>Available abstract (not full text):</w:t>
      </w:r>
      <w:r>
        <w:t xml:space="preserve"> Summary. The study was conducted within the DAAD project «The Health Тour» framework, which aims to exchange pedagogical and research experience between universities from Germany, Hungary, Croatia, Georgia, the Czech Republic, and Ukraine [12]. It also includes mutual acquaintance with the latest scientifi c achievements of their scientists and as a result realizing joint educational course «Medical, wellness and SPA tourism». The course was taught for students of the countries participating in the project, including Master students of the educational and professional program «Tourism Activities» of the Ivan Franko National University of Lviv in the second semester of 2022-2023. The lectures were conducted alternately by professors from six universities – Budapest Metropolitan University (BMU), Caucasus International University (CIU), Universität Rijeka (UR), Kherson State University (KSU), Prague University of Economics and Business (VSE), Ivan Franko National University of Lviv (IFNUL) under umbrella of the Deggendorf Institute of Technology (DIT). The purpose of the course was relevant to new trends in tourist services: to provide not only a tourist’s rest but also an opportunity to improve his/her well-being[10]. The course ended with the Winter School on Health Tourism on 9-13 October 2023 in Pfarrkirchen, Germany. The Winter School was attended by the most motivated stude</w:t>
      </w:r>
    </w:p>
    <w:p>
      <w:pPr/>
      <w:r>
        <w:rPr>
          <w:b/>
        </w:rPr>
        <w:t>POSSIBLE 2024:</w:t>
      </w:r>
      <w:r>
        <w:t xml:space="preserve"> Subpoenaing Luther on Questions of Polygyny — https://doi.org/10.62154/yzx50q19</w:t>
      </w:r>
    </w:p>
    <w:p>
      <w:pPr/>
      <w:r>
        <w:rPr>
          <w:b/>
        </w:rPr>
        <w:t>Shared claim-specific concepts:</w:t>
      </w:r>
      <w:r>
        <w:t xml:space="preserve"> accordingly, questions, method, various; EU scope not established. This is a provisional connection, not an outcome finding.</w:t>
      </w:r>
    </w:p>
    <w:p>
      <w:pPr>
        <w:pStyle w:val="SourceNote"/>
      </w:pPr>
      <w:r>
        <w:rPr>
          <w:b/>
        </w:rPr>
        <w:t>Available abstract (not full text):</w:t>
      </w:r>
      <w:r>
        <w:t xml:space="preserve"> The study discussed debatable questions of Martin Luther’s support to polygyny, which are considered perennial enough to warrant a rejoinder of curricular relevance to Biblical Christianity and theology from a contemporary African perspective. Accordingly, the study proposed that the curriculum of Biblical theology is a tool for deliberating on Luther’s stand in support of polygyny. Also encapsulated in this proposition is that the curriculum of Biblical theology is consequential to building a parameter for addressing questions of polygyny in African Christianity. The study pursued two purposes. Purpose 1: to consider the ways through which a contemporaneous proxy rejoinder to subpoena on Luther on perennial questions of polygyny can be delimited in the curricular documents of Biblical theology for students in Africa. Purpose 2: to deliberate on how a contemporaneous proxy rejoinder to subpoena on Luther on perennial questions of polygyny can be delimited in pedagogy towards facilitating the curriculum of Biblical theology by teachers in Africa. The study was facilitated by the qualitative research methodology, via which primary historical documents were examined primarily using the documentary analytical method. A key conclusion of the study is that, the abundance of evidences in Scripture in favor of both monogamy and polygyny makes opposing either monogamy or polygyny as an </w:t>
      </w:r>
    </w:p>
    <w:p>
      <w:pPr/>
      <w:r>
        <w:rPr>
          <w:b/>
        </w:rPr>
        <w:t>POSSIBLE 2023:</w:t>
      </w:r>
      <w:r>
        <w:t xml:space="preserve"> FEATURES OF THE RESPONSIBILITY FOR VIOLATIONS OF TAX LEGISLATION IN UKRAINE AND THE COUNTRIES OF THE EUROPEAN UNION: THE QUESTION OF GUILT — https://doi.org/10.32782/2524-0374/2023-1/78</w:t>
      </w:r>
    </w:p>
    <w:p>
      <w:pPr/>
      <w:r>
        <w:rPr>
          <w:b/>
        </w:rPr>
        <w:t>Shared claim-specific concepts:</w:t>
      </w:r>
      <w:r>
        <w:t xml:space="preserve"> accordingly, questions, arise, ukrainian; EU scope visible. This is a provisional connection, not an outcome finding.</w:t>
      </w:r>
    </w:p>
    <w:p>
      <w:pPr>
        <w:pStyle w:val="SourceNote"/>
      </w:pPr>
      <w:r>
        <w:rPr>
          <w:b/>
        </w:rPr>
        <w:t>Available abstract (not full text):</w:t>
      </w:r>
      <w:r>
        <w:t xml:space="preserve"> A particularly difficult issue in the study of the institution of responsibility in tax law is the question of the guilt of business entities -taxpayers.Since taxes are one of the financial instruments used to build relationships between economic entities and the state, the study of the issue of taxpayers' guilt is particularly relevant.Taxpayers are slowly adapting to changes in tax legislation that came into effect on January 1, 2021.One of the most discussed and radical novelties is the official legalization of the institution of guilt as a mandatory element of certain tax offenses and, accordingly, a necessary condition for holding taxpayers to financial responsibility.The Supreme Court has repeatedly emphasized that taxpayers exercise reasonable care, although the risks of choosing an unscrupulous counterparty lie with them.However, in practice, a situation often arises when regulatory authorities hold business entities -taxpayers to account for violations of tax legislation, without paying attention to the presence of guilt in the latter's actions or inactions.Thus, the introduction of the legal construction of guilt into the tax legislation of Ukraine significantly increased the quality of the legislative construction of the composition of the tax offense.However, the legal construction of the guilt of each of the mandatory elements of the composition of a tax offense mu</w:t>
      </w:r>
    </w:p>
    <w:p>
      <w:pPr/>
      <w:r>
        <w:rPr>
          <w:b/>
        </w:rPr>
        <w:t>POSSIBLE 2023:</w:t>
      </w:r>
      <w:r>
        <w:t xml:space="preserve"> To the question of political ideologies and their significance for the state — https://doi.org/10.52340/isj.2022.26.03</w:t>
      </w:r>
    </w:p>
    <w:p>
      <w:pPr/>
      <w:r>
        <w:rPr>
          <w:b/>
        </w:rPr>
        <w:t>Shared claim-specific concepts:</w:t>
      </w:r>
      <w:r>
        <w:t xml:space="preserve"> accordingly, questions, arise, about, based, first; EU scope visible. This is a provisional connection, not an outcome finding.</w:t>
      </w:r>
    </w:p>
    <w:p>
      <w:pPr>
        <w:pStyle w:val="SourceNote"/>
      </w:pPr>
      <w:r>
        <w:rPr>
          <w:b/>
        </w:rPr>
        <w:t>Available abstract (not full text):</w:t>
      </w:r>
      <w:r>
        <w:t xml:space="preserve"> The term "ideology" suggested the French thinker of the XVIII century. Destin de Tracy, named the new science of ideas. At the forefront of this concept was put forward in the XIX century. turbulent political life of Europe. Expand the concept of ideology gave Karl Marx and Friedrich Engels in his work "The German Ideology", where the term is used in a double meaning: first, idealistic world view, in which the idea of the world plays the role of a substance, and secondly, the type of socio-professional political thinking, when the subject is not aware of its conditionality economic class interests, but in reality it defends them. Such thinking creates a particular reality, substitute in the eyes of the people the true social reality, and thus prevents the realization of their real interests. However, Marx and his followers made an exception for the ideology of the proletariat, considering that the class consciousness of the proletariat coincides with the objective vision of reality, and the proletarian revolution has done away with all class consciousness and ideology in general. If we follow the logic of Marxism, it turns out that the proletarian ideology has the truth. In general, Marx recognized the possibility of relative truth of specific ideologies in specific historical conditions. Thus, the bourgeois ideology was true when it was historically progressive (in the era of </w:t>
      </w:r>
    </w:p>
    <w:p>
      <w:pPr>
        <w:pStyle w:val="Heading2"/>
      </w:pPr>
      <w:r>
        <w:t>665. Future transitions for the Bioeconomy towards Sustainable Development and a Climate-Neutral Economy - Knowledge Synthesis Final Report: WP1 - Knowledge synthesis and foresight</w:t>
      </w:r>
    </w:p>
    <w:p>
      <w:pPr>
        <w:pStyle w:val="SourceNote"/>
      </w:pPr>
      <w:r>
        <w:rPr>
          <w:b/>
        </w:rPr>
        <w:t>Original source (2020):</w:t>
      </w:r>
      <w:r>
        <w:t xml:space="preserve"> https://doi.org/10.2760/667966</w:t>
      </w:r>
    </w:p>
    <w:p>
      <w:pPr/>
      <w:r>
        <w:t>Original wording (abstract; indexed_source_text_not_full_document_verified): There is enough sustainable EU biomass to contribute to all sectors by 2030, and probably beyond, as well as to bring organic carbon back to soil. \nTo ensure sustainable supply, not only residues and wastes are relevant, but sustainably sourced agricultural and forestry feedstocks, and feedstocks from recovering and restoring marginal and degraded land.</w:t>
      </w:r>
    </w:p>
    <w:p>
      <w:pPr/>
      <w:r>
        <w:rPr>
          <w:b/>
        </w:rPr>
        <w:t>POSSIBLE 2026:</w:t>
      </w:r>
      <w:r>
        <w:t xml:space="preserve"> Is Digitalization Alone Enough for Tax Revenue Mobilization Across Europe and Asia? — https://doi.org/10.24912/je.v31i2.4056</w:t>
      </w:r>
    </w:p>
    <w:p>
      <w:pPr/>
      <w:r>
        <w:rPr>
          <w:b/>
        </w:rPr>
        <w:t>Shared claim-specific concepts:</w:t>
      </w:r>
      <w:r>
        <w:t xml:space="preserve"> enough, contribute, well, only, but; EU scope visible. This is a provisional connection, not an outcome finding.</w:t>
      </w:r>
    </w:p>
    <w:p>
      <w:pPr>
        <w:pStyle w:val="SourceNote"/>
      </w:pPr>
      <w:r>
        <w:rPr>
          <w:b/>
        </w:rPr>
        <w:t>Available abstract (not full text):</w:t>
      </w:r>
      <w:r>
        <w:t xml:space="preserve"> This study examines the relationship between digitalization and tax revenue while considering the roles of government effectiveness, informality, and tax structure across 18 European and Asian countries during 2005–2023. Using balanced panel data and random-effects regression models, the analysis estimates both baseline and extended specifications incorporating nonlinear and moderating effects. The results reveal that digitalization has a nonlinear relationship with tax revenue, with its fiscal benefits varying according to countries' stage of digital development. Regional analysis shows a U-shaped relationship in Asia but no significant effect of digitalization in Europe, reflecting differences in digital maturity. Government effectiveness significantly improves tax revenue in Asia, whereas informality weakens the effectiveness of digitalization in the full sample. Additionally, taxes on goods and services, as well as GDP per capita, positively contribute to revenue mobilization. The findings suggest that digitalization enhances fiscal performance only when supported by favorable institutional and structural conditions.</w:t>
      </w:r>
    </w:p>
    <w:p>
      <w:pPr/>
      <w:r>
        <w:rPr>
          <w:b/>
        </w:rPr>
        <w:t>POSSIBLE 2026:</w:t>
      </w:r>
      <w:r>
        <w:t xml:space="preserve"> D6.4 European Citizen Science sustainability and exploitation plan — https://doi.org/10.5281/zenodo.20490032</w:t>
      </w:r>
    </w:p>
    <w:p>
      <w:pPr/>
      <w:r>
        <w:rPr>
          <w:b/>
        </w:rPr>
        <w:t>Shared claim-specific concepts:</w:t>
      </w:r>
      <w:r>
        <w:t xml:space="preserve"> enough, sustainable, all, beyond, ensure, not; EU scope visible. This is a provisional connection, not an outcome finding.</w:t>
      </w:r>
    </w:p>
    <w:p>
      <w:pPr>
        <w:pStyle w:val="SourceNote"/>
      </w:pPr>
      <w:r>
        <w:rPr>
          <w:b/>
        </w:rPr>
        <w:t>Available abstract (not full text):</w:t>
      </w:r>
      <w:r>
        <w:t xml:space="preserve"> This deliverable presents the exploitation plan and business model, developed within Task 6.4 of the European Citizen Science (ECS) project. During this process the European Citizen Science Academy (ECS Academy) was identified as one of the key resources with exploitation potential and thus selected as the core element of the business plan presented in this deliverable. At the end of the ECS project the coordinator, the European Citizen Science Association (ECSA), will take over the management responsibility and long term maintenance of this ECS Academy. This deliverable serves both as a practical handover document and a strategic roadmap. It defines a clear and actionable path toward establishing a sustainable, high-impact European training and learning hub for citizen science —rooted in openness, professionalisation, and long-term value creation for the community. The sections below outline in detail the strategy under which a wide range of ideas for services and revenue streams were generated, tested, and consolidated and finally translated into a structured business model and a detailed business plan. At the heart of the proposed model stands the Optimal Technical Environment (OTE) – a scalable, integrated platform architecture that enables professional service delivery, sustainable revenue generation, and improved user experience. A minimal viable product (MVP) was also de</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sustainable, well, but;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2025:</w:t>
      </w:r>
      <w:r>
        <w:t xml:space="preserve"> Was there a notion of ‘enough’ in the European Green Deal? Sufficiency in the European Union’s sustainability discourse — https://doi.org/10.1108/sampj-10-2024-1103</w:t>
      </w:r>
    </w:p>
    <w:p>
      <w:pPr/>
      <w:r>
        <w:rPr>
          <w:b/>
        </w:rPr>
        <w:t>Shared claim-specific concepts:</w:t>
      </w:r>
      <w:r>
        <w:t xml:space="preserve"> there, enough, sustainable, not, but; EU scope visible. This is a provisional connection, not an outcome finding.</w:t>
      </w:r>
    </w:p>
    <w:p>
      <w:pPr>
        <w:pStyle w:val="SourceNote"/>
      </w:pPr>
      <w:r>
        <w:rPr>
          <w:b/>
        </w:rPr>
        <w:t>Available abstract (not full text):</w:t>
      </w:r>
      <w:r>
        <w:t xml:space="preserve"> Purpose This study aims to discuss the role that sufficiency, as a measure of “enoughness”, played in the European Union’s (EU) sustainability-focused discourse embodied in the European Green Deal (EGD) agenda, its 2019–2024 flagship socio-ecological transformation programme aimed at net-zero emissions by 2050 and protecting its “natural capital”. Design/methodology/approach This study uses discourse analysis to examine how sufficiency is represented across major strategic policy initiatives emerging from the EGD during the period 2019–2024. Findings This study finds that, despite the discursive window of opportunity provided by the EGD, notions of sufficiency remain weak and underspecified at the EU level, essentially taking the form of informational tools to spur citizens’ sustainable behaviour. Practical implications This study reveals that a discourse that merely provides a window of opportunity for but does not mandate sufficiency-oriented policies is insufficient to counter the long-standing bias of EU sustainability-oriented discourse towards technological solutions aimed at efficiency gains. Social implications This study argues that by omitting what are ultimately low-hanging fruit related to avoiding consumption, the EU risks not attaining self-set climate and environmental aims. It also makes proposals on how to address this omission in EU sustainability policymaking</w:t>
      </w:r>
    </w:p>
    <w:p>
      <w:pPr/>
      <w:r>
        <w:rPr>
          <w:b/>
        </w:rPr>
        <w:t>POSSIBLE 2025:</w:t>
      </w:r>
      <w:r>
        <w:t xml:space="preserve"> Feasible solutions for sustainable diets with adequate protein intake : modelling diets for the Netherlands and Europe — https://doi.org/10.18174/681865</w:t>
      </w:r>
    </w:p>
    <w:p>
      <w:pPr/>
      <w:r>
        <w:rPr>
          <w:b/>
        </w:rPr>
        <w:t>Shared claim-specific concepts:</w:t>
      </w:r>
      <w:r>
        <w:t xml:space="preserve"> enough, sustainable, but, sustainably; EU scope visible. This is a provisional connection, not an outcome finding.</w:t>
      </w:r>
    </w:p>
    <w:p>
      <w:pPr>
        <w:pStyle w:val="SourceNote"/>
      </w:pPr>
      <w:r>
        <w:rPr>
          <w:b/>
        </w:rPr>
        <w:t>Available abstract (not full text):</w:t>
      </w:r>
      <w:r>
        <w:t xml:space="preserve"> The global food system faces significant challenges, including the need to provide healthy diets to a growing population while protecting the planet. Sustainable diets, as defined by the World Health Organization and the Food and Agriculture Organization, are good for health, have low environmental impact; are accessible, affordable, safe, fair, and fit cultural preferences. These diets usually mean eating more plant-based and less animal-based foods. However, as plant-based foods often contain less protein, and of lower quality, we need to carefully monitor whether sustainable diets provide enough. Besides, a diet should fit cultural habits of a specific population to be feasible. Therefore, this thesis aims to propose feasible solutions for sustainable Dutch diets, and to assess the amount of protein of these and European diets. Part I: Protein quality and adequacy of current European and future Dutch diets. A new score, the Protein Adequacy and Quality Score (PAQS), was developed to assess protein adequacy as the ratio of daily utilizable protein intake to requirement. Utilizable protein intake is the part of consumed protein that can be used for body protein synthesis, i.e. utilizable protein is total protein intake corrected for its digestibility and amino acid composition. Across 25 European countries, almost everyone was found to consume enough utilizable protein, but th</w:t>
      </w:r>
    </w:p>
    <w:p>
      <w:pPr/>
      <w:r>
        <w:rPr>
          <w:b/>
        </w:rPr>
        <w:t>POSSIBLE 2025:</w:t>
      </w:r>
      <w:r>
        <w:t xml:space="preserve"> Assessment of sustainable development in selected countries of Southeast Europe — https://doi.org/10.5937/ekonomika2502073m</w:t>
      </w:r>
    </w:p>
    <w:p>
      <w:pPr/>
      <w:r>
        <w:rPr>
          <w:b/>
        </w:rPr>
        <w:t>Shared claim-specific concepts:</w:t>
      </w:r>
      <w:r>
        <w:t xml:space="preserve"> enough, sustainable, well, not, only; EU scope visible. This is a provisional connection, not an outcome finding.</w:t>
      </w:r>
    </w:p>
    <w:p>
      <w:pPr>
        <w:pStyle w:val="SourceNote"/>
      </w:pPr>
      <w:r>
        <w:rPr>
          <w:b/>
        </w:rPr>
        <w:t>Available abstract (not full text):</w:t>
      </w:r>
      <w:r>
        <w:t xml:space="preserve"> The purpose of this article is to examine the possibilities of sustainable development, as well as to assess the impact of certain environmental predictors on the real GDP increase of eight selected countries of Southeast Europe (Albania, Bosnia and Herzegovina, Bulgaria, Croatia, Greece, North Macedonia, Romania and Serbia) in the period from 2001 to 2020. Using the Least Squares Dummy Variable (LSDV) panel data method, the article shows that from the aspect of access to safely managed sanitation services, use of renewables and harmful CO2 emissions, economic development in these countries is not sustainable enough. At the same time, it is sustainable only from the perspective of agricultural methane emissions. Bearing this in mind, economic policy makers from these countries should work more intensively on intra-regional cooperation, as well as on complying with the recommendations from the SEE 2030 Strategy in guiding their countries towards sustainable development pathways.</w:t>
      </w:r>
    </w:p>
    <w:p>
      <w:pPr/>
      <w:r>
        <w:rPr>
          <w:b/>
        </w:rPr>
        <w:t>POSSIBLE 2025:</w:t>
      </w:r>
      <w:r>
        <w:t xml:space="preserve"> The Sustainable Investment Gap in Europe: Implications for Digital Finance — https://doi.org/10.62036/isd.2025.143</w:t>
      </w:r>
    </w:p>
    <w:p>
      <w:pPr/>
      <w:r>
        <w:rPr>
          <w:b/>
        </w:rPr>
        <w:t>Shared claim-specific concepts:</w:t>
      </w:r>
      <w:r>
        <w:t xml:space="preserve"> enough, sustainable, not, but; EU scope visible. This is a provisional connection, not an outcome finding.</w:t>
      </w:r>
    </w:p>
    <w:p>
      <w:pPr>
        <w:pStyle w:val="SourceNote"/>
      </w:pPr>
      <w:r>
        <w:rPr>
          <w:b/>
        </w:rPr>
        <w:t>Available abstract (not full text):</w:t>
      </w:r>
      <w:r>
        <w:t xml:space="preserve"> This study explores the Sustainable Investment Gap (SIG) in 13 European countries, defined as the gap between awareness of ESG-labeled financial products and actual ownership by individual investors. Drawing on data from the 2023 OECD/INFE, the analysis integrates indicators of digital financial literacy (DFL), online financial activity, and the size of the gap. A preliminary exploratory typology of five country profiles was developed, and contextual digital interventions were proposed. The results indicate that higher levels of DFL co-occur with a smaller investment gap and greater online engagement, but digital readiness alone is not enough to close the gap. The proposed typology provides a framework for designing digital tools to support sustainable investment decisions. In further stages of the study, it is planned to test selected interventions in Poland using experimental methods in a simulated FinTech environment.</w:t>
      </w:r>
    </w:p>
    <w:p>
      <w:pPr/>
      <w:r>
        <w:rPr>
          <w:b/>
        </w:rPr>
        <w:t>POSSIBLE 2025:</w:t>
      </w:r>
      <w:r>
        <w:t xml:space="preserve"> 9.Y.2. PechaKucha: Food Insecurity, Nutrition and Health – a growing challenge in Europe — https://doi.org/10.1093/eurpub/ckaf161.807</w:t>
      </w:r>
    </w:p>
    <w:p>
      <w:pPr/>
      <w:r>
        <w:rPr>
          <w:b/>
        </w:rPr>
        <w:t>Shared claim-specific concepts:</w:t>
      </w:r>
      <w:r>
        <w:t xml:space="preserve"> there, enough, contribute, all, well, ensure; EU scope visible. This is a provisional connection, not an outcome finding.</w:t>
      </w:r>
    </w:p>
    <w:p>
      <w:pPr>
        <w:pStyle w:val="SourceNote"/>
      </w:pPr>
      <w:r>
        <w:rPr>
          <w:b/>
        </w:rPr>
        <w:t>Available abstract (not full text):</w:t>
      </w:r>
      <w:r>
        <w:t xml:space="preserve"> Abstract Food Insecurity (FIS) is a state of “not having access by all people at all times to enough food for an active, healthy life”. Traditionally, FIS has been linked to low-income countries and to malnutrition, but FIS is also increasing in high-income setting. Even in countries, where social welfare systems are designed to protect people from poverty and ensure well-being across the life course, the persistence of FIS presents a striking paradox. Whilst intimately intertwined with poverty, low income is not the sole factor determining FIS. Also, the type of work is related to FIS, e.g., if there are limitations in having a proper lunch during the working hours. Further, structural factors such as rising food costs, displacement, and support system gaps contribute to food insecurity among populations presumed protected by welfare systems. This session invites critical dialogue on the structural roots of food insecurity and the limitations of current welfare systems. This presentation demonstrates how, despite apparent prosperity and comprehensive protections, many individuals and families experience food shortages or anxiety about accessing nutritious food. Results from recent studies examining food insecurity across multiple vulnerable groups-including low-income service workers, families with children, and Ukrainian refugees will be presented. Additionally, the coping st</w:t>
      </w:r>
    </w:p>
    <w:p>
      <w:pPr/>
      <w:r>
        <w:rPr>
          <w:b/>
        </w:rPr>
        <w:t>POSSIBLE 2025:</w:t>
      </w:r>
      <w:r>
        <w:t xml:space="preserve"> European Integration and Customs Union — https://doi.org/10.12681/icib.8148</w:t>
      </w:r>
    </w:p>
    <w:p>
      <w:pPr/>
      <w:r>
        <w:rPr>
          <w:b/>
        </w:rPr>
        <w:t>Shared claim-specific concepts:</w:t>
      </w:r>
      <w:r>
        <w:t xml:space="preserve"> there, enough, all, well, not, but; EU scope visible. This is a provisional connection, not an outcome finding.</w:t>
      </w:r>
    </w:p>
    <w:p>
      <w:pPr>
        <w:pStyle w:val="SourceNote"/>
      </w:pPr>
      <w:r>
        <w:rPr>
          <w:b/>
        </w:rPr>
        <w:t>Available abstract (not full text):</w:t>
      </w:r>
      <w:r>
        <w:t xml:space="preserve"> In this paper we examine the European economic integration, which is considered particularly important, as it has progressed, to a large extent, affecting the functioning of both the national economies of the member states and the wider European, as well as the global economy. In addition, the study of European economic integration is particularly useful for understanding the course of the European project, as the field of economics played a catalytic role in the broader effort to expand and deepen the integration process (Maraveyas &amp; Katsikas, 2016). A customs union is a stage of multinational integration, in which the members undertake by treaty, on the one hand, the obligation not to impose on trade between them any customs duty or tax having an analogous effect and no quantitative restriction, but also the obligation to apply a common customs tariff in their relations with third countries (Tsinisizelis, 1995). Moreover, in the customs union, free movement applies to all products, of any origin, which entails the abolition of customs controls at internal borders. The good results of the customs union contributed to the completion of the common market and now there is no need for customs formalities for intra-European trade and all the complicated administrative documents have been abolished. In order to create a real customs union, it is not enough to have a common customs t</w:t>
      </w:r>
    </w:p>
    <w:p>
      <w:pPr/>
      <w:r>
        <w:rPr>
          <w:b/>
        </w:rPr>
        <w:t>POSSIBLE 2024:</w:t>
      </w:r>
      <w:r>
        <w:t xml:space="preserve"> Is there enough sustainable wood? — https://doi.org/10.1017/9781788217361.008</w:t>
      </w:r>
    </w:p>
    <w:p>
      <w:pPr/>
      <w:r>
        <w:rPr>
          <w:b/>
        </w:rPr>
        <w:t>Shared claim-specific concepts:</w:t>
      </w:r>
      <w:r>
        <w:t xml:space="preserve"> there, enough, sustainable, ensure, not; EU scope visible. This is a provisional connection, not an outcome finding.</w:t>
      </w:r>
    </w:p>
    <w:p>
      <w:pPr>
        <w:pStyle w:val="SourceNote"/>
      </w:pPr>
      <w:r>
        <w:rPr>
          <w:b/>
        </w:rPr>
        <w:t>Available abstract (not full text):</w:t>
      </w:r>
      <w:r>
        <w:t xml:space="preserve"> Fact: The World Bank estimates that global timber demand is set to quadruple by 2050. Demand in the UK is also expected to rise, in part because of the government's commitment to promote timber use in construction as part of the UK's net zero strategy. Using more wood in construction and renovation to turn our built environment from a climate problem into a climate solution is predicated on there being enough wood and wood fibre to do this. First and foremost, this supply of wood has to be sustainable. For our timber supplies to be deemed sustainable the wood must be sourced from a managed forest where natural regeneration of the forest is viable or where new trees are planted as others are felled. Such replanting needs to see between 5,000‒10,000 saplings planted per hectare, replacing around 500 felled trees per hectare. The forest ecosystem is required to be regularly monitored to ensure it remains in good health and able to provide for both people (employment, recreation) and nature (biodiversity) now and into the future. A certification scheme accompanies this process of which more than 50 exist worldwide. Of these, the Forest Stewardship Council (FSC) and the Programme for the Endorsement of Forest Certification (PEFC) are the two best known. While both schemes are committed to the same cause – sustainable forestry – the primary difference between the certifications is th</w:t>
      </w:r>
    </w:p>
    <w:p>
      <w:pPr/>
      <w:r>
        <w:rPr>
          <w:b/>
        </w:rPr>
        <w:t>POSSIBLE 2024:</w:t>
      </w:r>
      <w:r>
        <w:t xml:space="preserve"> Economic and Environmental Limitations of Sustainable Energy Transition in Europe — https://doi.org/10.35784/preko.5574</w:t>
      </w:r>
    </w:p>
    <w:p>
      <w:pPr/>
      <w:r>
        <w:rPr>
          <w:b/>
        </w:rPr>
        <w:t>Shared claim-specific concepts:</w:t>
      </w:r>
      <w:r>
        <w:t xml:space="preserve"> there, sustainable, well, carbon, not; EU scope visible. This is a provisional connection, not an outcome finding.</w:t>
      </w:r>
    </w:p>
    <w:p>
      <w:pPr>
        <w:pStyle w:val="SourceNote"/>
      </w:pPr>
      <w:r>
        <w:rPr>
          <w:b/>
        </w:rPr>
        <w:t>Available abstract (not full text):</w:t>
      </w:r>
      <w:r>
        <w:t xml:space="preserve"> In recent decades, the concept of sustainable development has become increasingly widespread since the United Nations Convention on Climate Change was adopted. However, it is also being overused, imitated, politicized, or even ignored. This study analyzes the current conditions and long-term consequences of the European energy transition and discusses the limitations and true economic and environmental implications of implementing energy sustainability. The paper is aimed at forming an understanding of the current environmental conditions and challenges associated with the economic, financial, and environmental consequences of introducing renewables in Europe. Research has revealed that renewables, while cleaner energy sources are not necessarily sustainable as initially suspected. There are various implications and limitations, that is: an initial carbon footprint, land footprint, recycling issues, harmful impacts on wildlife and humans, moreover the efficiency and economic implications when transitioning to a net zero. As a result, it is concluded that the basic principles of the energy transition are to be introduced and considered for it to become indeed sustainable. It is also concluded that when introducing or improving an energy model, it is crucial to consider the country's initial energy and resource base. Nuclear energy should not be disregarded and should considered </w:t>
      </w:r>
    </w:p>
    <w:p>
      <w:pPr/>
      <w:r>
        <w:rPr>
          <w:b/>
        </w:rPr>
        <w:t>POSSIBLE 2024:</w:t>
      </w:r>
      <w:r>
        <w:t xml:space="preserve"> Paving the way for sustainable decarbonization of the European cement industry — https://doi.org/10.1038/s41893-024-01320-y</w:t>
      </w:r>
    </w:p>
    <w:p>
      <w:pPr/>
      <w:r>
        <w:rPr>
          <w:b/>
        </w:rPr>
        <w:t>Shared claim-specific concepts:</w:t>
      </w:r>
      <w:r>
        <w:t xml:space="preserve"> sustainable, carbon, only, but; EU scope visible. This is a provisional connection, not an outcome finding.</w:t>
      </w:r>
    </w:p>
    <w:p>
      <w:pPr>
        <w:pStyle w:val="SourceNote"/>
      </w:pPr>
      <w:r>
        <w:rPr>
          <w:b/>
        </w:rPr>
        <w:t>Available abstract (not full text):</w:t>
      </w:r>
      <w:r>
        <w:t xml:space="preserve"> Abstract Cement production is a main source of carbon emissions. Decarbonization options exist, but their climate change mitigation potential, feasibility and environmental implications are still unclear. Here we assess 15 decarbonization options for the European cement industry under current and future conditions. Climate impacts per tonne of clinker produced today in European countries vary between 832 and 1,075 kg CO 2 -equivalents. Decarbonization options at various maturity levels can mitigate between 7 and 135 Mt CO 2 -equivalents per year (4–108% of today’s annual emissions from European cement plants), with a range of synergies and trade-offs. Solutions such as alternative fuels or technological improvements reduce climate impacts up to 30%, while a mix of ambitious complementary measures achieves a mitigation of about 50% by 2050. Only rapid and large-scale implementation of carbon capture and storage can approach climate neutrality. Carbon capture for production of e-fuels presents no significant mitigation benefits while it increases other environmental impacts.</w:t>
      </w:r>
    </w:p>
    <w:p>
      <w:pPr>
        <w:pStyle w:val="Heading2"/>
      </w:pPr>
      <w:r>
        <w:t>666. How photovoltaics can contribute to GHG emission reductions of 55% in the EU by 2030</w:t>
      </w:r>
    </w:p>
    <w:p>
      <w:pPr>
        <w:pStyle w:val="SourceNote"/>
      </w:pPr>
      <w:r>
        <w:rPr>
          <w:b/>
        </w:rPr>
        <w:t>Original source (2020):</w:t>
      </w:r>
      <w:r>
        <w:t xml:space="preserve"> https://doi.org/10.1016/j.rser.2020.109836</w:t>
      </w:r>
    </w:p>
    <w:p>
      <w:pPr/>
      <w:r>
        <w:t>Original wording (abstract; indexed_source_text_not_full_document_verified): To reach a 55% GHG emissions reduction, the cumulative PV capacity in the EU and the UK would need to surge to 455–605 GW, depending on the strategic policy scenario. This opinion article looks specifically at the role of photovoltaics (PV), based on scenarios from the Commission's 2018 long-term strategy (LTS) for energy and climate.</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ghg, emissions, specifically, based;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Spatiotemporal clustering of GHGs emissions in Europe: Exploring the role of spatial component — https://doi.org/10.1016/j.spasta.2026.100960</w:t>
      </w:r>
    </w:p>
    <w:p>
      <w:pPr/>
      <w:r>
        <w:rPr>
          <w:b/>
        </w:rPr>
        <w:t>Shared claim-specific concepts:</w:t>
      </w:r>
      <w:r>
        <w:t xml:space="preserve"> emissions, role, based; EU scope visible. This is a provisional connection, not an outcome finding.</w:t>
      </w:r>
    </w:p>
    <w:p>
      <w:pPr>
        <w:pStyle w:val="SourceNote"/>
      </w:pPr>
      <w:r>
        <w:rPr>
          <w:b/>
        </w:rPr>
        <w:t>Available abstract (not full text):</w:t>
      </w:r>
      <w:r>
        <w:t xml:space="preserve"> In this study, we propose a novel application of spatiotemporal clustering in the socio-economic and environmental sciences, with a particular focus on regionalised time series of greenhouse gases (GHGs) emissions from a range of economic sectors. Utilising a hierarchical spatiotemporal clustering methodology, we analyse yearly time series of emissions by gases and sectors from 1990 to 2022 for European regions at the NUTS-2 level. While the clustering algorithm inherently incorporates spatial information based on geographical distance, the extent to which space contributes to the definition of groups still requires further exploration. To address this gap in the literature, we propose a novel indicator, namely the Joint Inertia, which quantifies the contribution of spatial distances when integrated with other features. Through a simulation experiment, we explore the relationship between the Joint Inertia and the relevance of geography in exploiting the groups structure under several configurations of spatial and features patterns, providing insights into the behaviour and potential of the proposed indicator. The empirical findings demonstrate the relevance of the spatial component in identifying emission patterns and dynamics, and the results reveal significant heterogeneity across clusters in trends and dynamics by gases and sectors. This reflects the heterogeneous economic a</w:t>
      </w:r>
    </w:p>
    <w:p>
      <w:pPr/>
      <w:r>
        <w:rPr>
          <w:b/>
        </w:rPr>
        <w:t>POSSIBLE 2026:</w:t>
      </w:r>
      <w:r>
        <w:t xml:space="preserve"> GHG emissions of all world countries — https://doi.org/10.2760/7717504</w:t>
      </w:r>
    </w:p>
    <w:p>
      <w:pPr/>
      <w:r>
        <w:rPr>
          <w:b/>
        </w:rPr>
        <w:t>Shared claim-specific concepts:</w:t>
      </w:r>
      <w:r>
        <w:t xml:space="preserve"> ghg, emissions, based;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2026:</w:t>
      </w:r>
      <w:r>
        <w:t xml:space="preserve"> Climate Ambition in the 2023 IMO GHG Strategy — https://doi.org/10.1007/978-3-032-15904-5_4</w:t>
      </w:r>
    </w:p>
    <w:p>
      <w:pPr/>
      <w:r>
        <w:rPr>
          <w:b/>
        </w:rPr>
        <w:t>Shared claim-specific concepts:</w:t>
      </w:r>
      <w:r>
        <w:t xml:space="preserve"> ghg, emissions, reduction, strategy, climate; EU scope not established. This is a provisional connection, not an outcome finding.</w:t>
      </w:r>
    </w:p>
    <w:p>
      <w:pPr>
        <w:pStyle w:val="SourceNote"/>
      </w:pPr>
      <w:r>
        <w:rPr>
          <w:b/>
        </w:rPr>
        <w:t>Available abstract (not full text):</w:t>
      </w:r>
      <w:r>
        <w:t xml:space="preserve"> In July 2023, the Marine Environment Protection Committee (MEPC) of the International Maritime Organization (IMO) reached an agreement on the 2023 IMO Strategy on Reduction of GHG Emissions from Ships (2023 IMO GHG Strategy). This Chapter provides an analysis of the 2023 IMO GHG Strategy, focusing primarily on its climate ambition levels and indicative checkpoints and their relevance for the decarbonization of international shipping and addressing pollution from ships more broadly. The Chapter argues that overall, despite failing to align with the 1.5 °C temperature target that many stakeholders rooted for, the 2023 IMO GHG Strategy is a significant step forward for the decarbonization of international maritime transport.</w:t>
      </w:r>
    </w:p>
    <w:p>
      <w:pPr/>
      <w:r>
        <w:rPr>
          <w:b/>
        </w:rPr>
        <w:t>POSSIBLE 2026:</w:t>
      </w:r>
      <w:r>
        <w:t xml:space="preserve"> The cost and benefit of GHG emissions and default risk — https://doi.org/10.1007/s10479-026-07193-y</w:t>
      </w:r>
    </w:p>
    <w:p>
      <w:pPr/>
      <w:r>
        <w:rPr>
          <w:b/>
        </w:rPr>
        <w:t>Shared claim-specific concepts:</w:t>
      </w:r>
      <w:r>
        <w:t xml:space="preserve"> ghg, emissions, reduction; EU scope not established. This is a provisional connection, not an outcome finding.</w:t>
      </w:r>
    </w:p>
    <w:p>
      <w:pPr>
        <w:pStyle w:val="SourceNote"/>
      </w:pPr>
      <w:r>
        <w:rPr>
          <w:b/>
        </w:rPr>
        <w:t>Available abstract (not full text):</w:t>
      </w:r>
      <w:r>
        <w:t xml:space="preserve"> Abstract This paper examines the relationship between the financial costs associated with carbon emissions and the intensity of green revenues relative to emissions and firm-level default risk. Contributing to the ongoing debate on emissions measurement approaches, we construct two novel intensity measures that capture the monetary value of emissions: average carbon cost (Cost/GHG) and green-revenue intensity (GR/GHG). Using global firm-level data from 2008 to 2022, we find that exposure to carbon costs is strongly associated with increased default risk, while the evidence for green-revenue intensity is more modest and does not translate into a clear reduction in market-implied default probabilities. On average, a $1,000 increase in carbon cost per tonne of emissions is associated with a 0.70 percentage point rise in the probability of default and a reduction in Distance-to-Default, and these relationships remain robust when absorbing time-varying industry cycles and country-level macro and policy conditions. The association between carbon-cost exposure and default risk is most pronounced in high transition-risk sectors and is weaker in firms with higher managerial ability and operational efficiency. Overall, the results highlight the importance of incorporating monetary valuations of transition exposures when assessing climate-related credit risk.</w:t>
      </w:r>
    </w:p>
    <w:p>
      <w:pPr/>
      <w:r>
        <w:rPr>
          <w:b/>
        </w:rPr>
        <w:t>POSSIBLE 2026:</w:t>
      </w:r>
      <w:r>
        <w:t xml:space="preserve"> China’s Building Energy Use and GHG Emissions — https://doi.org/10.1007/978-981-95-8200-6_1</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In recent years, urbanization has grown rapidly in China. In 2023, China had an urban population of 933 million and a rural population of 477 million, with the urbanization rate rising from 37.7% in 2001 to 66.2%, as shown in Fig. 1.1.</w:t>
      </w:r>
    </w:p>
    <w:p>
      <w:pPr/>
      <w:r>
        <w:rPr>
          <w:b/>
        </w:rPr>
        <w:t>POSSIBLE 2025:</w:t>
      </w:r>
      <w:r>
        <w:t xml:space="preserve"> Assessing GHG Emissions Implications of Forest Residue Use for Energy Production — https://doi.org/10.1111/gcbb.70045</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ABSTRACT As global interest in enhancing energy security, reducing energy costs, and promoting rural economic development grows, the use of forest residues for bioenergy has gained attention. While bioenergy derived from forest residues can help meet power needs and support policy goals, significant uncertainty remains regarding the greenhouse gas (GHG) emissions associated with their production and use. This study aims to explore the key drivers of these uncertainties by reviewing estimates of GHG emissions from forest residue use for energy, as presented in peer‐reviewed journals, reports, and gray literature. The findings reveal a wide range of GHG emission outcomes, with some studies suggesting net emissions and others indicating net removals. This uncertainty stems from the complexity of time scales, variety of forest management approaches and feedstock quality, assumptions about alternative scenarios, and varying approaches to emissions accounting. Recognizing that each method has its unique attributes, we propose an ideal framework that integrates multiple approaches to provide a more comprehensive assessment of the potential net GHG outcomes of using forest residues for energy.</w:t>
      </w:r>
    </w:p>
    <w:p>
      <w:pPr/>
      <w:r>
        <w:rPr>
          <w:b/>
        </w:rPr>
        <w:t>POSSIBLE 2025:</w:t>
      </w:r>
      <w:r>
        <w:t xml:space="preserve"> Mitigate GHG emissions on mixed livestock systems — https://openalex.org/W7206503929</w:t>
      </w:r>
    </w:p>
    <w:p>
      <w:pPr/>
      <w:r>
        <w:rPr>
          <w:b/>
        </w:rPr>
        <w:t>Shared claim-specific concepts:</w:t>
      </w:r>
      <w:r>
        <w:t xml:space="preserve"> reach, ghg, emissions, based, climate; EU scope visible. This is a provisional connection, not an outcome finding.</w:t>
      </w:r>
    </w:p>
    <w:p>
      <w:pPr>
        <w:pStyle w:val="SourceNote"/>
      </w:pPr>
      <w:r>
        <w:rPr>
          <w:b/>
        </w:rPr>
        <w:t>Available abstract (not full text):</w:t>
      </w:r>
      <w:r>
        <w:t xml:space="preserve"> The Climate Neutral Farms (ClieNFarms) project aims to reduce greenhouse gas emissions and increasing carbon storage in the agricultural sector. This project is based on a network of 20 demonstration case studies (I3S) where systemic innovative solutions were tested and evaluated using up-to-date modeling approaches and multicriteria assessment tools. We will focus on the dairy and beef case studies in Ireland, France, Netherlands, Spain, New-Zealand, Germany, Switzerland, Ukraine and Poland. Each farm carried out an initial assessment to define its environmental impact and, in particular, its carbon footprint. From this point, the farmers defined their action plan in co-construction. They rely on the catalogue of solutions drawn up by the project, as well as on the discussions held at their region’s creative arena, which brought together various players in the production sector. The levers chosen by the farmer are adapted to their own system and production objectives. The aim is then to measure the environmental and economic impact of implementing these practices. This will involve a finalassessment to quantify these changes, in particular the carbon footprint, but also other environmental indicators such as biodiversity, nitrogen management, water quality and soil health. The data collected will also enable a comparison of the diversity of carbon footprint calculation tools t</w:t>
      </w:r>
    </w:p>
    <w:p>
      <w:pPr/>
      <w:r>
        <w:rPr>
          <w:b/>
        </w:rPr>
        <w:t>POSSIBLE 2025:</w:t>
      </w:r>
      <w:r>
        <w:t xml:space="preserve"> Scaling Down the Outflow of GHG Emission in Maritime Industry — https://doi.org/10.47392/irjash.2025.013</w:t>
      </w:r>
    </w:p>
    <w:p>
      <w:pPr/>
      <w:r>
        <w:rPr>
          <w:b/>
        </w:rPr>
        <w:t>Shared claim-specific concepts:</w:t>
      </w:r>
      <w:r>
        <w:t xml:space="preserve"> ghg, reduction, energy; EU scope visible. This is a provisional connection, not an outcome finding.</w:t>
      </w:r>
    </w:p>
    <w:p>
      <w:pPr>
        <w:pStyle w:val="SourceNote"/>
      </w:pPr>
      <w:r>
        <w:rPr>
          <w:b/>
        </w:rPr>
        <w:t>Available abstract (not full text):</w:t>
      </w:r>
      <w:r>
        <w:t xml:space="preserve"> This paper has described the methodologies used for reduction in greenhouse gases like carbon dioxide [CO2], methane [CH4], nitrogen [NOx] etc. Also, it covers the technologies used all over the globe to capture the carbon [C], which is a major component of greenhouse gases. Moreover, this paper had also elaborated regarding the sustainable marine fuels like the hydrogen [H2] fuel cells and ammonia [NH3] as a marine fuel considering its specific energy (amount of energy present per unit mass of fuel expressed in MJ/kg) and energy density (amount of energy present per unit volume of fuel usually expressed in MJ/L), also the various types of biofuels like biodiesel, ethanol (C2H6O), E85 [combination of ethanol (C2H6O) and gasoline]. Overall, this paper will explain the feasibilities for the reduction of greenhouse gasses emission for the sustainable environment for the future generation. United Nation, European union and other countries has suggested steps to resolve the greenhouse gasses emission, and these steps are briefly elaborated in this paper. At the end this paper will conclude itself by the most feasible means of fuel sources in both environment and economic sustainability in the maritime industry.</w:t>
      </w:r>
    </w:p>
    <w:p>
      <w:pPr/>
      <w:r>
        <w:rPr>
          <w:b/>
        </w:rPr>
        <w:t>POSSIBLE 2024:</w:t>
      </w:r>
      <w:r>
        <w:t xml:space="preserve"> GHG Emission Trends and Targets (GETT) — https://doi.org/10.1787/decef216-en</w:t>
      </w:r>
    </w:p>
    <w:p>
      <w:pPr/>
      <w:r>
        <w:rPr>
          <w:b/>
        </w:rPr>
        <w:t>Shared claim-specific concepts:</w:t>
      </w:r>
      <w:r>
        <w:t xml:space="preserve"> ghg, emissions, climate; EU scope visible. This is a provisional connection, not an outcome finding.</w:t>
      </w:r>
    </w:p>
    <w:p>
      <w:pPr>
        <w:pStyle w:val="SourceNote"/>
      </w:pPr>
      <w:r>
        <w:rPr>
          <w:b/>
        </w:rPr>
        <w:t>Available abstract (not full text):</w:t>
      </w:r>
      <w:r>
        <w:t xml:space="preserve"> The Paris Agreement maps out a path for internationally coordinated efforts to curb global warming. At the centre of the Paris Agreement are Nationally Determined Contributions (NDCs) that establish countries’ plans to mitigate greenhouse gas (GHG) emissions as well as adapt to the impacts of climate change. However, mitigation contributions defined in NDCs are different across countries in terms of target types, coverage of sectors and gases. This makes it challenging to assess progress on mitigation commitments. To complement the UNFCCC efforts, and facilitate the evaluation and monitoring of targets, this paper develops a methodology that harmonises countries’ 2030 mitigation targets in physical units and provide clarity on sector and gas coverage. The results are used to develop the GHG Emission Trends and Targets (GETT) indicators for non-EU countries and the EU-27 covered under the International Programme for Action on Climate (IPAC). The GETT indicators support the analyses of emissions' trajectories by describing historical GHG emission trends and comparing them to NDC emission targets, considering various reference years and indicators, including emissions intensity per capita or per unit of GDP.</w:t>
      </w:r>
    </w:p>
    <w:p>
      <w:pPr/>
      <w:r>
        <w:rPr>
          <w:b/>
        </w:rPr>
        <w:t>POSSIBLE 2024:</w:t>
      </w:r>
      <w:r>
        <w:t xml:space="preserve"> Forecasting long-term energy demand and reductions in GHG emissions — https://doi.org/10.1007/s12053-024-10203-2</w:t>
      </w:r>
    </w:p>
    <w:p>
      <w:pPr/>
      <w:r>
        <w:rPr>
          <w:b/>
        </w:rPr>
        <w:t>Shared claim-specific concepts:</w:t>
      </w:r>
      <w:r>
        <w:t xml:space="preserve"> ghg, emissions, long-term, energy;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Impact of crop type on the greenhouse gas (GHG) emissions of a rewetted cultivated peatland — https://doi.org/10.5194/soil-10-827-2024</w:t>
      </w:r>
    </w:p>
    <w:p>
      <w:pPr/>
      <w:r>
        <w:rPr>
          <w:b/>
        </w:rPr>
        <w:t>Shared claim-specific concepts:</w:t>
      </w:r>
      <w:r>
        <w:t xml:space="preserve"> ghg, emissions, based; EU scope visible. This is a provisional connection, not an outcome finding.</w:t>
      </w:r>
    </w:p>
    <w:p>
      <w:pPr>
        <w:pStyle w:val="SourceNote"/>
      </w:pPr>
      <w:r>
        <w:rPr>
          <w:b/>
        </w:rPr>
        <w:t>Available abstract (not full text):</w:t>
      </w:r>
      <w:r>
        <w:t xml:space="preserve"> Abstract. We experimented a gradual water table rise at a highly degraded agricultural peat soil site with plots of willow, forage and mixed vegetation (set-aside) in southern Finland. We measured the emissions of carbon dioxide (CO2), methane (CH4) and nitrous oxide (N2O) for four years. The mean annual ground water table depth was about 80, 40, 40 and 30 cm in 2019–2022, respectively. The results indicated that a 10 cm raise in the water table depth was able to slow down annual CO2 emissions from soil respiration by 0.87 Mg CO2-C ha-1. CH4 fluxes changed from uptake to emissions with a raise in the water table depth, and the maximum mean annual emission rate was 11 kg CH4-C. Nitrous oxide emissions ranged from 2 to 33 kg N2O-N ha-1 year; they were high from bare soil in the beginning of the experiment but decreased towards the end of the experiment. Short rotation cropping of willow reached net sequestration of carbon before harvest, but all treatments and years showed net loss of carbon based on the net ecosystem carbon balance. Overall, the short rotation coppice of willow had the most favourable carbon and greenhouse gas balance over the years (10 Mg CO2 eq. on the average over four years). The total greenhouse gas balance of the forage and set-aside treatments did not go under 27 Mg CO2 eq. ha-1 year-1 highlighting the challenge in curbing peat decomposition in highly deg</w:t>
      </w:r>
    </w:p>
    <w:p>
      <w:pPr>
        <w:pStyle w:val="Heading2"/>
      </w:pPr>
      <w:r>
        <w:t>667. How to Achieve a Healthier and More Sustainable Europe by 2040 According to the Public? Results of a Five-Country Questionnaire Survey</w:t>
      </w:r>
    </w:p>
    <w:p>
      <w:pPr>
        <w:pStyle w:val="SourceNote"/>
      </w:pPr>
      <w:r>
        <w:rPr>
          <w:b/>
        </w:rPr>
        <w:t>Original source (2020):</w:t>
      </w:r>
      <w:r>
        <w:t xml:space="preserve"> https://doi.org/10.3390/ijerph17176071</w:t>
      </w:r>
    </w:p>
    <w:p>
      <w:pPr/>
      <w:r>
        <w:t>Original wording (abstract; indexed_source_text_not_full_document_verified): The aim of this paper is to understand public preferences for several future scenarios of achieving a healthier, more equitable and sustainable Europe, which differ in the way the society is organized (individualistically vs. collectively) and in the driving sector (public vs. private). About three thousand respondents chose among the four scenarios presented within four different contexts (green spaces, active mobility, energy-efficient housing, food consumption) or none of them.</w:t>
      </w:r>
    </w:p>
    <w:p>
      <w:pPr/>
      <w:r>
        <w:rPr>
          <w:b/>
        </w:rPr>
        <w:t>POSSIBLE 2026:</w:t>
      </w:r>
      <w:r>
        <w:t xml:space="preserve"> Power, inclusion and the role of SMEs in European public procurement — https://doi.org/10.1108/jpbafm-06-2025-0169</w:t>
      </w:r>
    </w:p>
    <w:p>
      <w:pPr/>
      <w:r>
        <w:rPr>
          <w:b/>
        </w:rPr>
        <w:t>Shared claim-specific concepts:</w:t>
      </w:r>
      <w:r>
        <w:t xml:space="preserve"> understand, several, about; EU scope visible. This is a provisional connection, not an outcome finding.</w:t>
      </w:r>
    </w:p>
    <w:p>
      <w:pPr>
        <w:pStyle w:val="SourceNote"/>
      </w:pPr>
      <w:r>
        <w:rPr>
          <w:b/>
        </w:rPr>
        <w:t>Available abstract (not full text):</w:t>
      </w:r>
      <w:r>
        <w:t xml:space="preserve"> Purpose This study examines small and medium-sized enterprise (SME) participation in European public procurement, aiming to understand disparities across member states despite harmonised EU Directives. Design/methodology/approach Using a novel dataset of 839,778 tenders with information about SME participation from the Tenders Electronic Daily (TED) platform covering 29 countries from 2018 to 2023, we analyse SME participation rates, contract award shares, and geographic competition patterns. Findings Significant variation is observed: Eastern European countries exceed 80% SME participation, while several Western European countries remain below 40%. SMEs participate in about 80% of tenders but secure only 40–60% of contract values. Geographic proximity enhances SME competitiveness in local markets, especially for contracts under €500,000. Institutional and administrative factors appear more decisive than regulatory frameworks alone. Research limitations/implications Limitations include potential data quality issues. However, these were mitigated where possible, and the database remains the only available offering comparable data across Europe. Future research should explore institutional and cultural factors in greater depth through country-level studies. Practical implications Policymakers should adopt tailored approaches addressing administrative complexity and regional marke</w:t>
      </w:r>
    </w:p>
    <w:p>
      <w:pPr/>
      <w:r>
        <w:rPr>
          <w:b/>
        </w:rPr>
        <w:t>POSSIBLE 2026:</w:t>
      </w:r>
      <w:r>
        <w:t xml:space="preserve"> A critical realism approach to public health interventions that aim to prevent obesity in selected European countries — https://doi.org/10.82444/warw.33704749</w:t>
      </w:r>
    </w:p>
    <w:p>
      <w:pPr/>
      <w:r>
        <w:rPr>
          <w:b/>
        </w:rPr>
        <w:t>Shared claim-specific concepts:</w:t>
      </w:r>
      <w:r>
        <w:t xml:space="preserve"> aim, understand, sustainable, three; EU scope visible. This is a provisional connection, not an outcome finding.</w:t>
      </w:r>
    </w:p>
    <w:p>
      <w:pPr>
        <w:pStyle w:val="SourceNote"/>
      </w:pPr>
      <w:r>
        <w:rPr>
          <w:b/>
        </w:rPr>
        <w:t>Available abstract (not full text):</w:t>
      </w:r>
      <w:r>
        <w:t xml:space="preserve"> The aim of this thesis is to understand the important components of a set of sustainable interventions to prevent obesity at the community level by using realistic evaluation, which draws on the philosophy of critical realism. From the application of a structured set of criteria based on critical realism, three interventions emerged, which were selected as the case studies of my thesis: the ‘Healthy Weight Communities’ project in Scotland, the ‘Bewegung als Investition in Gesundheit’ (Movement as Investment for Health) project in Germany, and the ‘Walking for Health’ project in England. Based on the key concepts of critical realism an interview topic guide was developed, which was tested by the help of the pilot project ‘Paideiatrofi’ in Greece. Key personnel involved in the organisation of each of the three selected interventions were identified and qualitative research and data analysis was carried out. The framework of critical realism and the application of the key concepts of realistic evaluation: ‘generative mechanisms’, ‘context’ and ‘outcomes’, enabled the disentangling of which mechanisms from each case study, were most related to outcomes and under which contexts. A number of common themes emerged from the analysis of the three interventions. Reflecting on these common themes, I connected them to a set of more abstract categories associated with the social structure, </w:t>
      </w:r>
    </w:p>
    <w:p>
      <w:pPr/>
      <w:r>
        <w:rPr>
          <w:b/>
        </w:rPr>
        <w:t>POSSIBLE 2026:</w:t>
      </w:r>
      <w:r>
        <w:t xml:space="preserve"> Public Trust in Science: A Public Consultation on a European Scale — https://doi.org/10.1007/978-3-032-15723-2_7</w:t>
      </w:r>
    </w:p>
    <w:p>
      <w:pPr/>
      <w:r>
        <w:rPr>
          <w:b/>
        </w:rPr>
        <w:t>Shared claim-specific concepts:</w:t>
      </w:r>
      <w:r>
        <w:t xml:space="preserve"> about, three; EU scope visible. This is a provisional connection, not an outcome finding.</w:t>
      </w:r>
    </w:p>
    <w:p>
      <w:pPr>
        <w:pStyle w:val="SourceNote"/>
      </w:pPr>
      <w:r>
        <w:rPr>
          <w:b/>
        </w:rPr>
        <w:t>Available abstract (not full text):</w:t>
      </w:r>
      <w:r>
        <w:t xml:space="preserve"> Abstract Public trust in science has long attracted the attention of scholars. With empirical studies consistently showing that public trust in science remains moderately stable and high on a global scale, there is still limited understanding of the factors that influence trust. As part of the POIESIS project, this study aimed to explore public’s perceptions about three main issues that are believed to influence trust in science: research integrity, public engagement and science communication. Through a qualitative methodology based on Public Deliberative Workshops (PDWs), we involved 169 members of the public across seven European countries—Denmark, France, Germany, Greece, Portugal, Spain, and the United Kingdom—in discussions about these topics. Participants expressed overall positive attitudes towards science. Isolated cases of misconduct were unlikely to directly affect public trust, yet integrity values in science are seen as key to trust. Additionally, public engagement was seen as a democratic access to science, still concerns were shown about the desired levels of engagement. Regarding communication, the credibility of the sources of information and actors were often mentioned as components for trust. The findings highlight the importance for institutions and individual scientists to align with integrity values, and provide valuable insights for institutions, policymak</w:t>
      </w:r>
    </w:p>
    <w:p>
      <w:pPr/>
      <w:r>
        <w:rPr>
          <w:b/>
        </w:rPr>
        <w:t>POSSIBLE 2025:</w:t>
      </w:r>
      <w:r>
        <w:t xml:space="preserve"> Risks of gender communication strategies in the Public Sector : The European Union perspective — https://openalex.org/W7119366041</w:t>
      </w:r>
    </w:p>
    <w:p>
      <w:pPr/>
      <w:r>
        <w:rPr>
          <w:b/>
        </w:rPr>
        <w:t>Shared claim-specific concepts:</w:t>
      </w:r>
      <w:r>
        <w:t xml:space="preserve"> understand, society, sector, four; EU scope visible. This is a provisional connection, not an outcome finding.</w:t>
      </w:r>
    </w:p>
    <w:p>
      <w:pPr>
        <w:pStyle w:val="SourceNote"/>
      </w:pPr>
      <w:r>
        <w:rPr>
          <w:b/>
        </w:rPr>
        <w:t>Available abstract (not full text):</w:t>
      </w:r>
      <w:r>
        <w:t xml:space="preserve"> The article explores the risks of gender-sensitive communication in the public sector, with a focus on the European Union (EU) that adopted significant gender and inclusive community policies (e.g. the recent Gender Equality Strategy 2020-2025). The analysis is framed within a broader theoretical context, where public communication is understood as a strategic tool for strengthening democratic systems, fostering trust, and promoting social inclusion in an increasingly fragmented digital society. Theoretical perspectives on institutional public sector communication, inclusivity, intersectionality, and media polarization are considered to highlight the tensions between normative policy ambitions and the contested, often politicized, nature of gender public discourse in Europe.Against this background, the study aims to understand what kinds of European communication campaigns on gender issues are conducted, how they are disseminated across different platforms, and which risks emerge from the management of media and channels. Additionally, it seeks to examine how gender-related themes are framed and represented, and what risks may arise in terms of inclusivity and effectiveness.To achieve these objectives, the study considers four selected EU communication campaigns launched between 2020 and 2024. A qualitative approach is adopted, drawing on media content analysis and critical int</w:t>
      </w:r>
    </w:p>
    <w:p>
      <w:pPr/>
      <w:r>
        <w:rPr>
          <w:b/>
        </w:rPr>
        <w:t>POSSIBLE 2025:</w:t>
      </w:r>
      <w:r>
        <w:t xml:space="preserve"> CONTEMPORARY EUROPEAN CONCEPTS OF PUBLIC ADMINISTRATION IN THE CONTEXT OF DIGITAL TRANSFORMATION AND THEIR LEGAL FRAMEWORK — https://doi.org/10.36690/2674-5216-2025-1-99-109</w:t>
      </w:r>
    </w:p>
    <w:p>
      <w:pPr/>
      <w:r>
        <w:rPr>
          <w:b/>
        </w:rPr>
        <w:t>Shared claim-specific concepts:</w:t>
      </w:r>
      <w:r>
        <w:t xml:space="preserve"> aim, understand, sector; EU scope visible. This is a provisional connection, not an outcome finding.</w:t>
      </w:r>
    </w:p>
    <w:p>
      <w:pPr>
        <w:pStyle w:val="SourceNote"/>
      </w:pPr>
      <w:r>
        <w:rPr>
          <w:b/>
        </w:rPr>
        <w:t>Available abstract (not full text):</w:t>
      </w:r>
      <w:r>
        <w:t xml:space="preserve"> This article presents an in-depth exploration of conceptual and legal approaches to public administration reform in European countries amid the digital transformation of the public sector. The primary aim is to analyze how classical administrative traditions, the New Public Management paradigm, and the emerging model of Good Governance are evolving under the influence of digital technologies and to determine how legal frameworks support this transition. The study is grounded in the need to understand how institutional modernization can balance efficiency, accountability, and democratic legitimacy in rapidly changing information environments. The research applies a comparative legal and administrative methodology, synthesizing structural-functional analysis with systematization of legal norms and institutional practices. The analysis considers regulatory developments at both the European Union and national levels, as well as structural adjustments in public administration aimed at incorporating digital innovations. The methodology includes the classification of governance models, critical assessment of legislative instruments, and contextual evaluation of their operational impact in practice. The findings of the study reveal that the digital transformation of public administration in Europe does not replace traditional governance models but rather stimulates their hybridization.</w:t>
      </w:r>
    </w:p>
    <w:p>
      <w:pPr/>
      <w:r>
        <w:rPr>
          <w:b/>
        </w:rPr>
        <w:t>POSSIBLE 2024:</w:t>
      </w:r>
      <w:r>
        <w:t xml:space="preserve"> Government Analytics in Europe: Making Public Data Count — https://doi.org/10.1596/41610</w:t>
      </w:r>
    </w:p>
    <w:p>
      <w:pPr/>
      <w:r>
        <w:rPr>
          <w:b/>
        </w:rPr>
        <w:t>Shared claim-specific concepts:</w:t>
      </w:r>
      <w:r>
        <w:t xml:space="preserve"> aim, understand; EU scope visible. This is a provisional connection, not an outcome finding.</w:t>
      </w:r>
    </w:p>
    <w:p>
      <w:pPr>
        <w:pStyle w:val="SourceNote"/>
      </w:pPr>
      <w:r>
        <w:rPr>
          <w:b/>
        </w:rPr>
        <w:t>Available abstract (not full text):</w:t>
      </w:r>
      <w:r>
        <w:t xml:space="preserve"> This report is part of a collection examining how analytics using government microdata is revolutionizing public administration throughout the world. The collection is based on The Government Analytics Handbook, a comprehensive guide to using data to understand and improve government. The reports in this collection aim to help public servants apply lessons from the Handbook to their own administrations by describing the unique opportunities and challenges for government analytics that arise in different regions. No two regions, countries, administrations, or organizations are alike - that’s why using microdata to measure, understand, and improve government is so important! The general principle of the Handbook is as follows: governments across the world make thousands of personnel management decisions, procure millions of goods and services, and execute billions of processes each day. They are data rich. And yet there is little systematic practice to date that capitalizes on these data to make public administrations work better. This means that governments are missing out on data insights to save billions in procurement expenditures, recruit better talent into government, and identify sources of corruption - to name just a few! The Handbook seeks to change that. It presents frontier evidence and practitioner insights on how to leverage data to make governments work better. Cove</w:t>
      </w:r>
    </w:p>
    <w:p>
      <w:pPr/>
      <w:r>
        <w:rPr>
          <w:b/>
        </w:rPr>
        <w:t>POSSIBLE 2024:</w:t>
      </w:r>
      <w:r>
        <w:t xml:space="preserve"> Innovation at the Crossroads: How Public-Private Partnerships Drive Technological Development in Europe — https://doi.org/10.17721/apmv.2024.159.1.94-108</w:t>
      </w:r>
    </w:p>
    <w:p>
      <w:pPr/>
      <w:r>
        <w:rPr>
          <w:b/>
        </w:rPr>
        <w:t>Shared claim-specific concepts:</w:t>
      </w:r>
      <w:r>
        <w:t xml:space="preserve"> understand, sustainable, society, driving, sector, private; EU scope visible. This is a provisional connection, not an outcome finding.</w:t>
      </w:r>
    </w:p>
    <w:p>
      <w:pPr>
        <w:pStyle w:val="SourceNote"/>
      </w:pPr>
      <w:r>
        <w:rPr>
          <w:b/>
        </w:rPr>
        <w:t>Available abstract (not full text):</w:t>
      </w:r>
      <w:r>
        <w:t xml:space="preserve"> This article investigates the pivotal role of public-private partnerships (PPPs) in driving technological development across Europe, highlighting how the collaboration between public institutions and private enterprises serves as a catalyst for innovation and economic growth. By analyzing a range of successful case studies and conducting an extensive review of existing literature, this study identifies the key factors that contribute to the effectiveness of PPPs and their substantial impact on technological advancement. The research reveals that PPPs significantly enhance resource allocation, allowing for more efficient use of financial and human capital. They facilitate risk sharing, which encourages private sector participation in high-risk technological projects that might otherwise lack sufficient funding or support. Moreover, PPPs promote knowledge transfer between the public and private sectors, fostering a culture of innovation and enabling the rapid deployment of new technologies. Different models of PPPs are examined to understand their implementation in various contexts, shedding light on the diverse approaches taken by European countries. The study also addresses the challenges faced in establishing and maintaining PPPs, such as regulatory hurdles, financial constraints, and coordination issues. Strategies for overcoming these barriers are discussed, providing practi</w:t>
      </w:r>
    </w:p>
    <w:p>
      <w:pPr/>
      <w:r>
        <w:rPr>
          <w:b/>
        </w:rPr>
        <w:t>POSSIBLE 2024:</w:t>
      </w:r>
      <w:r>
        <w:t xml:space="preserve"> Exploring how Europeans understand solidarity in the EU — https://doi.org/10.4324/9781032690902-3</w:t>
      </w:r>
    </w:p>
    <w:p>
      <w:pPr/>
      <w:r>
        <w:rPr>
          <w:b/>
        </w:rPr>
        <w:t>Shared claim-specific concepts:</w:t>
      </w:r>
      <w:r>
        <w:t xml:space="preserve"> understand, about, three;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2024:</w:t>
      </w:r>
      <w:r>
        <w:t xml:space="preserve"> How Europeans Understand Solidarity, Reciprocity and Fairness in the EU — https://openalex.org/W7137668820</w:t>
      </w:r>
    </w:p>
    <w:p>
      <w:pPr/>
      <w:r>
        <w:rPr>
          <w:b/>
        </w:rPr>
        <w:t>Shared claim-specific concepts:</w:t>
      </w:r>
      <w:r>
        <w:t xml:space="preserve"> understand, society, about; EU scope visible. This is a provisional connection, not an outcome finding.</w:t>
      </w:r>
    </w:p>
    <w:p>
      <w:pPr>
        <w:pStyle w:val="SourceNote"/>
      </w:pPr>
      <w:r>
        <w:rPr>
          <w:b/>
        </w:rPr>
        <w:t>Available abstract (not full text):</w:t>
      </w:r>
      <w:r>
        <w:t xml:space="preserve"> This edited book sheds new light on the understanding of solidarity, reciprocity and fairness from the perspective of European Union (EU) citizens and, with this, how cohesion in the EU can be achieved. Drawing on extensive focus group research across nine countries, the book presents the results of this large project to assess what citizens think they owe their fellow Europeans in other parts of the EU. It brings together participants from different social milieus – highly qualified professionals, low-paid and unemployed persons and young adults – and reveals much about how average citizens think and talk about the issues and crises facing the EU, such as the reasons behind their beliefs and the statements they develop when discussing such issues, and therefore, provides a deeper insight into how exactly EU citizens understand solidarity, reciprocity and fairness when it comes to transborder relations and their attitudes towards EU cohesion. This book will be of key interest to scholars and students in European studies/politics, and more broadly to comparative politics, international relations, civil society organisations and the wider social sciences.</w:t>
      </w:r>
    </w:p>
    <w:p>
      <w:pPr/>
      <w:r>
        <w:rPr>
          <w:b/>
        </w:rPr>
        <w:t>POSSIBLE 2024:</w:t>
      </w:r>
      <w:r>
        <w:t xml:space="preserve"> Did we achieve what we aimed for? Assessing the outcomes of a human–carnivore conflict mitigation and coexistence project in Europe — https://doi.org/10.1002/wlb3.01270</w:t>
      </w:r>
    </w:p>
    <w:p>
      <w:pPr/>
      <w:r>
        <w:rPr>
          <w:b/>
        </w:rPr>
        <w:t>Shared claim-specific concepts:</w:t>
      </w:r>
      <w:r>
        <w:t xml:space="preserve"> sector, three, among; EU scope visible. This is a provisional connection, not an outcome finding.</w:t>
      </w:r>
    </w:p>
    <w:p>
      <w:pPr>
        <w:pStyle w:val="SourceNote"/>
      </w:pPr>
      <w:r>
        <w:rPr>
          <w:b/>
        </w:rPr>
        <w:t>Available abstract (not full text):</w:t>
      </w:r>
      <w:r>
        <w:t xml:space="preserve"> Monitoring and evaluation practices, demanded by nature conservation project donors, often focus on practical outputs, leaving the assessment of intended short and medium‐term outcomes and long‐term impacts challenging. This study employs a merger of the conflict intervention triangle model (CITM) and its three dimensions relationship, substance, and process, together with the logical framework approach (LFA) within the context of a human–wildlife conflict and coexistence (HWCC) project (LIFE EuroLargeCarnivores) in order to assess project correlated outcomes on stakeholder level over time. Two stakeholder surveys were conducted across 14 project partner countries, capturing baseline perceptions in 2018 and assessing changes in 2021. To assess the actual influence of the project with its focus on conflict mitigation, we applied an ex post counterfactual analysis. Results indicate positive developments in all dimensions of the CITM. The influence of the project is demonstrated by statistically significant differences in response behavior between participants and non‐participants of project interventions. The overall outcome regarding beliefs in satisfactory future management of increasing large carnivore populations, is more intricate. Significant differences are observed among three selected main stakeholder categories over the project's timeframe. While nature conservationists</w:t>
      </w:r>
    </w:p>
    <w:p>
      <w:pPr/>
      <w:r>
        <w:rPr>
          <w:b/>
        </w:rPr>
        <w:t>POSSIBLE 2024:</w:t>
      </w:r>
      <w:r>
        <w:t xml:space="preserve"> Incidence of symptomatic Lyme borreliosis in nine European countries — https://doi.org/10.1016/j.ijid.2024.107242</w:t>
      </w:r>
    </w:p>
    <w:p>
      <w:pPr/>
      <w:r>
        <w:rPr>
          <w:b/>
        </w:rPr>
        <w:t>Shared claim-specific concepts:</w:t>
      </w:r>
      <w:r>
        <w:t xml:space="preserve"> understand, several; EU scope visible. This is a provisional connection, not an outcome finding.</w:t>
      </w:r>
    </w:p>
    <w:p>
      <w:pPr>
        <w:pStyle w:val="SourceNote"/>
      </w:pPr>
      <w:r>
        <w:rPr>
          <w:b/>
        </w:rPr>
        <w:t>Available abstract (not full text):</w:t>
      </w:r>
      <w:r>
        <w:t xml:space="preserve"> OBJECTIVES: To better understand the Lyme borreliosis (LB) burden in Europe, we aimed to estimate the incidence of symptomatic Borrelia burgdorferi sensu lato (Bbsl) infections after adjusting public health LB surveillance data for under-detection of symptomatic Bbsl infections. METHODS: Data from seroprevalence studies and estimates of the symptomatic proportion and duration of antibody detection in Bbsl-infected individuals, derived from reviews of the published literature, were used to adjust public health LB surveillance data to estimate the incidence of symptomatic Bbsl infection in nine European countries from 2018 to 2022. RESULTS: The prevalence of anti-Bbsl antibodies ranged from 2.3% in Romania to 9.4% in Germany. Under-detection multipliers varied across surveillance systems; using 10-year duration of antibody detection, multipliers were 2.4-10.5 in countries reporting all LB cases and 54.6-722.2 in countries reporting only Lyme neuroborreliosis cases. The incidence of symptomatic Bbsl infection adjusted for under-detection was highest in Finland, Germany, Norway, Poland, and Switzerland, intermediate in the Czech Republic and Denmark, and lowest in Ireland and Romania. CONCLUSION: Adjustment of LB surveillance for under-detection found a high incidence of symptomatic Bbsl infection in several European countries. Differences in LB surveillance systems should be consi</w:t>
      </w:r>
    </w:p>
    <w:p>
      <w:pPr/>
      <w:r>
        <w:rPr>
          <w:b/>
        </w:rPr>
        <w:t>POSSIBLE 2024:</w:t>
      </w:r>
      <w:r>
        <w:t xml:space="preserve"> Understanding public support for workplace diversity and antidiscrimination policies in Europe — https://doi.org/10.3389/fsoc.2024.1256751</w:t>
      </w:r>
    </w:p>
    <w:p>
      <w:pPr/>
      <w:r>
        <w:rPr>
          <w:b/>
        </w:rPr>
        <w:t>Shared claim-specific concepts:</w:t>
      </w:r>
      <w:r>
        <w:t xml:space="preserve"> society, about, three; EU scope visible. This is a provisional connection, not an outcome finding.</w:t>
      </w:r>
    </w:p>
    <w:p>
      <w:pPr>
        <w:pStyle w:val="SourceNote"/>
      </w:pPr>
      <w:r>
        <w:rPr>
          <w:b/>
        </w:rPr>
        <w:t>Available abstract (not full text):</w:t>
      </w:r>
      <w:r>
        <w:t xml:space="preserve"> Societal processes and public opinion can affect whether employers take action and which policy measures they choose to boost diversity, equal opportunities and inclusion, and to reduce discrimination in the workplace. Yet, public opinion regarding workplace diversity initiatives (other than affirmative action) has so far received little scholarly attention, especially in Europe. Consequently, we have very little evidence about how the general public feels about workplace diversity policies - particularly those that are more common or more often discussed in Europe - and about which factors shape public support for these workplace diversity initiatives. Yet, a better understanding of the patterns and antecedents of citizens' attitudes toward workplace diversity policies is of clear scientific and practical importance. Against this background, this study sheds light on public attitudes toward three different, commonly applied types of workplace diversity policies, and examines which individual-level and - innovatively - national-level conditions shape public support. To do so, we bring together insights from various different and so far largely disconnected strands of research and a range of theoretical perspectives. We use large-scale, representative survey data from two pooled waves of the Eurobarometer, covering 38,009 citizens across 26 European countries. We enrich these da</w:t>
      </w:r>
    </w:p>
    <w:p>
      <w:pPr>
        <w:pStyle w:val="Heading2"/>
      </w:pPr>
      <w:r>
        <w:t>668. Least cost energy system pathways towards 100% renewable energy in Ireland by 2050</w:t>
      </w:r>
    </w:p>
    <w:p>
      <w:pPr>
        <w:pStyle w:val="SourceNote"/>
      </w:pPr>
      <w:r>
        <w:rPr>
          <w:b/>
        </w:rPr>
        <w:t>Original source (2020):</w:t>
      </w:r>
      <w:r>
        <w:t xml:space="preserve"> https://doi.org/10.1016/j.energy.2020.118264</w:t>
      </w:r>
    </w:p>
    <w:p>
      <w:pPr/>
      <w:r>
        <w:t>Original wording (abstract; indexed_source_text_not_full_document_verified): This paper therefore undertakes a whole-system approach and explores optimal pathways towards 100% renewable energy by 2050. However, given the large future uncertainties, it is recommended that further policy considerations be given to pathways with high electrification levels as they are more robust towards uncertainties.</w:t>
      </w:r>
    </w:p>
    <w:p>
      <w:pPr/>
      <w:r>
        <w:rPr>
          <w:b/>
        </w:rPr>
        <w:t>POSSIBLE 2026:</w:t>
      </w:r>
      <w:r>
        <w:t xml:space="preserve"> Towards a decision-making framework for optimal vehicle lightweighting in the European towed caravan sector — https://doi.org/10.82444/warw.33913783</w:t>
      </w:r>
    </w:p>
    <w:p>
      <w:pPr/>
      <w:r>
        <w:rPr>
          <w:b/>
        </w:rPr>
        <w:t>Shared claim-specific concepts:</w:t>
      </w:r>
      <w:r>
        <w:t xml:space="preserve"> approach, optimal, energy, they; EU scope visible. This is a provisional connection, not an outcome finding.</w:t>
      </w:r>
    </w:p>
    <w:p>
      <w:pPr>
        <w:pStyle w:val="SourceNote"/>
      </w:pPr>
      <w:r>
        <w:rPr>
          <w:b/>
        </w:rPr>
        <w:t>Available abstract (not full text):</w:t>
      </w:r>
      <w:r>
        <w:t xml:space="preserve"> European leisure vehicle manufacturers have long strived to create lightweight towed caravan tourers as they offer many benefits to customers such as less fuel consumption per journey, opportunities for increased payloads and a better towing experience. The need for lightweight caravans is now greater than ever due to the advent of battery electric powertrains in tow cars, due to their limited towing capability and reduced range when towing heavy loads. Currently, there is no formal decision-making framework available for leisure vehicle manufacturers to reach optimal decisions when considering lightweighting initiatives. To address this problem this research has developed a novel decision-making model for leisure vehicle lightweighting, extending and enhancing previous work in the field of complexity management. The model has been created as four discrete steps through which caravan manufacturers can make well-considered and optimal decisions concerning their approach to lightweighting for both existing and future products. The model steps include three initial assessments: (1) product strategy and lifecycle, (2) technical, economical, and environmental benchmarking and (3) a macro environment assessment followed by a final step (4) in which guidelines for action are derived. The research also looked in detail at the key drivers for lightweighting initiatives using a focus gro</w:t>
      </w:r>
    </w:p>
    <w:p>
      <w:pPr/>
      <w:r>
        <w:rPr>
          <w:b/>
        </w:rPr>
        <w:t>POSSIBLE 2025:</w:t>
      </w:r>
      <w:r>
        <w:t xml:space="preserve"> Explore the optimal exercise intervention subtype for sarcopenia: a systematic review and Bayesian network meta-analysis — https://doi.org/10.1186/s12877-025-06529-w</w:t>
      </w:r>
    </w:p>
    <w:p>
      <w:pPr/>
      <w:r>
        <w:rPr>
          <w:b/>
        </w:rPr>
        <w:t>Shared claim-specific concepts:</w:t>
      </w:r>
      <w:r>
        <w:t xml:space="preserve"> optimal, however, uncertainties, high; EU scope not established. This is a provisional connection, not an outcome finding.</w:t>
      </w:r>
    </w:p>
    <w:p>
      <w:pPr>
        <w:pStyle w:val="SourceNote"/>
      </w:pPr>
      <w:r>
        <w:rPr>
          <w:b/>
        </w:rPr>
        <w:t>Available abstract (not full text):</w:t>
      </w:r>
      <w:r>
        <w:t xml:space="preserve"> PURPOSE: Exercise is the primary choice for managing age-related sarcopenia. However, many exercise intervention subtypes are currently used to manage age-related sarcopenia with little published evidence comparing their efficacy, meaning the optimal exercise intervention subtype for sarcopenia remains unclear. We performed a Bayesian network meta-analysis addressing these uncertainties. METHODS: We searched eight databases for literature through to 5 June 2023 to identify randomized controlled trials (RCTs) of exercise interventions for age-related sarcopenia. Skeletal muscle mass index (SMI), handgrip strength (HGS), knee extension strength (KES), gait speed (GS), chair rise test (CST) and time up and go test (TUGT) were used as outcomes. Effect estimates were expressed as standardized mean differences with 95% confidence intervals. We performed a Bayesian network meta-analysis using a random effects model and the R package gemtc to compare the relative efficacy of various exercise intervention subtypes. We also used surface under the cumulative ranking curve (SUCRA) to estimate relative treatment rankings. This systematic review is registered in PROSPERO, CRD42023474627. RESULTS: We included 37 RCTs with a total of 2322 subjects and 10 unique exercise intervention subtypes. Most RCTs (72.9%) displayed unclear risk of bias. According to the value of SUCRA, whole-body vibratio</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renewable, energy;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Oncoplastic breast surgery in Europe — https://doi.org/10.21037/gs-23-380</w:t>
      </w:r>
    </w:p>
    <w:p>
      <w:pPr/>
      <w:r>
        <w:rPr>
          <w:b/>
        </w:rPr>
        <w:t>Shared claim-specific concepts:</w:t>
      </w:r>
      <w:r>
        <w:t xml:space="preserve"> therefore, however, high; EU scope visible. This is a provisional connection, not an outcome finding.</w:t>
      </w:r>
    </w:p>
    <w:p>
      <w:pPr>
        <w:pStyle w:val="SourceNote"/>
      </w:pPr>
      <w:r>
        <w:rPr>
          <w:b/>
        </w:rPr>
        <w:t>Available abstract (not full text):</w:t>
      </w:r>
      <w:r>
        <w:t xml:space="preserve"> Oncoplastic breast surgery (OPS) has become an integral part of breast cancer surgery for both breast conservation and mastectomies. In recent years, the emphasis on early detection and the advances in systemic and locoregional therapy has improved prognosis leading to an increased focus on survivorship and quality of life issues including patients' short and long-term aesthetic appearance as a key part of the surgical management. There is a significant variation across Europe in the type of specialist performing breast cancer surgery and the provision of OPS as such. In the traditional model, breast cancer care was provided by gynecologists in some countries, general surgeons, surgical oncologists, and breast surgeons in others. However recently, surgeons throughout Europe have extended their skill-base to include level 1 and 2 OPS and implant- and pedicle-flap based breast reconstruction. For breast surgeons to become proficient in these techniques, a standardized level of training and expertise is needed. The European Society of Mastology (EUSOMA) set standards for a specialist health professional in the field of breast cancer, the European Union of Medical Specialists (UEMS) examinations and the global curriculum that was developed by the American Society of Surgical Oncology (SSO) and the European Society of Surgical Oncology (ESSO) aims to improve standards of OPS practic</w:t>
      </w:r>
    </w:p>
    <w:p>
      <w:pPr/>
      <w:r>
        <w:rPr>
          <w:b/>
        </w:rPr>
        <w:t>POSSIBLE 2024:</w:t>
      </w:r>
      <w:r>
        <w:t xml:space="preserve"> Impact of Climate Change on Bird Migration Patterns in Europe — https://doi.org/10.47672/ajcs.1989</w:t>
      </w:r>
    </w:p>
    <w:p>
      <w:pPr/>
      <w:r>
        <w:rPr>
          <w:b/>
        </w:rPr>
        <w:t>Shared claim-specific concepts:</w:t>
      </w:r>
      <w:r>
        <w:t xml:space="preserve"> optimal, they; EU scope visible. This is a provisional connection, not an outcome finding.</w:t>
      </w:r>
    </w:p>
    <w:p>
      <w:pPr>
        <w:pStyle w:val="SourceNote"/>
      </w:pPr>
      <w:r>
        <w:rPr>
          <w:b/>
        </w:rPr>
        <w:t>Available abstract (not full text):</w:t>
      </w:r>
      <w:r>
        <w:t xml:space="preserve"> Purpose: The aim of the study was to assess the impact of climate change on bird migration patterns in Europe. Methodology: This study adopted a desk methodology. A desk study research design is commonly known as secondary data collection. This is basically collecting data from existing resources preferably because of its low cost advantage as compared to a field research. Our current study looked into already published studies and reports as the data was easily accessed through online journals and libraries. Findings: Rising temperatures, changes in precipitation patterns, and habitat loss are among the key factors affecting migratory birds. Warmer temperatures are causing shifts in the timing of migration, with birds starting their journeys earlier or delaying them. Some species are extending their ranges northward as they seek suitable habitats, while others are altering their routes or shortening their migration distances. These changes can disrupt established ecological relationships, leading to mismatches in timing with food availability and breeding cycles. Additionally, altered migration patterns may pose challenges for conservation efforts, as traditional migration routes and stopover sites become less reliable. Implications to Theory, Practice and Policy: Optimal migration theory, resource phenology theory and habitat suitability theory may be used to anchor future st</w:t>
      </w:r>
    </w:p>
    <w:p>
      <w:pPr/>
      <w:r>
        <w:rPr>
          <w:b/>
        </w:rPr>
        <w:t>POSSIBLE 2024:</w:t>
      </w:r>
      <w:r>
        <w:t xml:space="preserve"> Whole systems approaches to diet and healthy weight: A scoping review of reviews — https://doi.org/10.1371/journal.pone.0292945</w:t>
      </w:r>
    </w:p>
    <w:p>
      <w:pPr/>
      <w:r>
        <w:rPr>
          <w:b/>
        </w:rPr>
        <w:t>Shared claim-specific concepts:</w:t>
      </w:r>
      <w:r>
        <w:t xml:space="preserve"> approach, further, levels, robust; EU scope not established. This is a provisional connection, not an outcome finding.</w:t>
      </w:r>
    </w:p>
    <w:p>
      <w:pPr>
        <w:pStyle w:val="SourceNote"/>
      </w:pPr>
      <w:r>
        <w:rPr>
          <w:b/>
        </w:rPr>
        <w:t>Available abstract (not full text):</w:t>
      </w:r>
      <w:r>
        <w:t xml:space="preserve"> BACKGROUND: Obesity is a global epidemic affecting all age groups, populations, and income levels across continents, though is known to disproportionately affect socioeconomically disadvantaged populations. The causes of obesity are complex, informed by diet and weight practices, but shaped by social, commercial, and environmental factors and government policy. Consequently, a Whole System Approach (WSA)-which considers the many causes of obesity and shifts the focus away from individuals as points of intervention and puts an emphasis on understanding and improving the system in which people live-is required. This scoping review of reviews aims to: determine how WSAs to diet and healthy weight have been implemented and evaluated nationally and internationally; to determine what models or theories have been used to implement WSAs; describe how WSAs have been evaluated; determine if WSAs are effective; and to identify the contribution of the public and/or service users in the development of WSAs. METHOD: Systematic searches were carried out using CINAHL, Scopus, PsycINFO (ProQuest), the Cochrane Library, and MEDLINE. Included review papers were those that focused on the application of a whole system approach to diet and/or healthy weight, and/or reported the theory/model used to implement or simulate this approach. Databases were searched from 1995 to March 2022 using a combinati</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undertakes, approach, renewable, given, uncertainties;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2023:</w:t>
      </w:r>
      <w:r>
        <w:t xml:space="preserve"> Meta-evaluation of a whole systems programme, ActEarly: A study protocol — https://doi.org/10.1371/journal.pone.0280696</w:t>
      </w:r>
    </w:p>
    <w:p>
      <w:pPr/>
      <w:r>
        <w:rPr>
          <w:b/>
        </w:rPr>
        <w:t>Shared claim-specific concepts:</w:t>
      </w:r>
      <w:r>
        <w:t xml:space="preserve"> large, high, levels; EU scope not established. This is a provisional connection, not an outcome finding.</w:t>
      </w:r>
    </w:p>
    <w:p>
      <w:pPr>
        <w:pStyle w:val="SourceNote"/>
      </w:pPr>
      <w:r>
        <w:rPr>
          <w:b/>
        </w:rPr>
        <w:t>Available abstract (not full text):</w:t>
      </w:r>
      <w:r>
        <w:t xml:space="preserve"> INTRODUCTION: Living in an area with high levels of child poverty predisposes children to poorer mental and physical health. ActEarly is a 5-year research programme that comprises a large number of interventions (&gt;20) with citizen science and co-production embedded. It aims to improve the health and well-being of children and families living in two areas of the UK with high levels of deprivation; Bradford in West Yorkshire, and the London Borough of Tower Hamlets. This protocol outlines the meta-evaluation (an evaluation of evaluations) of the ActEarly programme from a systems perspective, where individual interventions are viewed as events in the wider policy system across the two geographical areas. It includes investigating the programme's impact on early life health and well-being outcomes, interdisciplinary prevention research collaboration and capacity building, and local and national decision making. METHODS: The ActEarly meta-evaluation will follow and adapt the five iterative stages of the 'Evaluation of Programmes in Complex Adaptive Systems' (ENCOMPASS) framework for evaluation of public health programmes in complex adaptive systems. Theory-based and mixed-methods approaches will be used to investigate the fidelity of the ActEarly research programme, and whether, why and how ActEarly contributes to changes in the policy system, and whether alternative explanations ca</w:t>
      </w:r>
    </w:p>
    <w:p>
      <w:pPr/>
      <w:r>
        <w:rPr>
          <w:b/>
        </w:rPr>
        <w:t>POSSIBLE 2022:</w:t>
      </w:r>
      <w:r>
        <w:t xml:space="preserve"> Risks in the European Transmission System and a Novel Restoration Strategy for a Power System after a Major Blackout — https://doi.org/10.3390/app13010083</w:t>
      </w:r>
    </w:p>
    <w:p>
      <w:pPr/>
      <w:r>
        <w:rPr>
          <w:b/>
        </w:rPr>
        <w:t>Shared claim-specific concepts:</w:t>
      </w:r>
      <w:r>
        <w:t xml:space="preserve"> renewable, energy, given, high, they; EU scope visible. This is a provisional connection, not an outcome finding.</w:t>
      </w:r>
    </w:p>
    <w:p>
      <w:pPr>
        <w:pStyle w:val="SourceNote"/>
      </w:pPr>
      <w:r>
        <w:rPr>
          <w:b/>
        </w:rPr>
        <w:t>Available abstract (not full text):</w:t>
      </w:r>
      <w:r>
        <w:t xml:space="preserve"> Many citizens of European countries may soon experience a long and extensive blackout. The lack of predictability in the output of renewable energy sources, aggravating the problem of consistently matching supply with demand on electric grids, along with cyber-attacks or even worse unpredictable incidents in the electric grid are some factors that may mean a blackout is much more likely than in previous years. This paper covers the possibility of an extensive blackout in a country of the interconnected European electricity transmission system or, even worse, a blackout in a wide area of the European continent. The topic of this paper becomes even more important and timely given the energy crisis due to the war in Ukraine, which has made the possibility of a blackout in the winter of 2022–2023 high. First, the major European blackouts that occurred in the past 20 years are presented, examining their causes. On 8 January 2021, the European electricity grid was divided into two separate sections, with different frequencies; some additional scenarios are considered which, if they had happened, could have led to blackouts in some European countries or, even worse, a wide area of Europe. This work also examines how to avoid such an eventuality, as well as how European TSOs should react in case a blackout occurs. Focused on the fast and reliable supply of consumers after a blackout, a</w:t>
      </w:r>
    </w:p>
    <w:p>
      <w:pPr/>
      <w:r>
        <w:rPr>
          <w:b/>
        </w:rPr>
        <w:t>POSSIBLE 2022:</w:t>
      </w:r>
      <w:r>
        <w:t xml:space="preserve"> Precedent in the system of the European Convention on Human Rights — https://doi.org/10.4324/9781003264262-15</w:t>
      </w:r>
    </w:p>
    <w:p>
      <w:pPr/>
      <w:r>
        <w:rPr>
          <w:b/>
        </w:rPr>
        <w:t>Shared claim-specific concepts:</w:t>
      </w:r>
      <w:r>
        <w:t xml:space="preserve"> approach, considerations, they; EU scope visible. This is a provisional connection, not an outcome finding.</w:t>
      </w:r>
    </w:p>
    <w:p>
      <w:pPr>
        <w:pStyle w:val="SourceNote"/>
      </w:pPr>
      <w:r>
        <w:rPr>
          <w:b/>
        </w:rPr>
        <w:t>Available abstract (not full text):</w:t>
      </w:r>
      <w:r>
        <w:t xml:space="preserve"> The purpose of the present paper is to briefly reassess the role of the ECtHR’s case law in its own case law and the approach developed in this respect by the Court. The Court systematically refers to the earlier case law and usually presents its judgments and decisions as a consequence of principles formulated in earlier case law. Following precedent is a matter of free choice of the Court, justified by two main considerations: 1) legal certainty and foreseeability and 2) equality before the law. Following precedents is the default rule, while departing from precedents is a permissible exception requiring a ‘good reason’. At the same time, the Court differentiates the precedential value of its judgments and decisions. Numerous judges feel bound to follow the Grand Chamber case law, even if they disagree with it, whereas others adopt the opposite viewpoint. Separate opinions usually focus on questions related to the correct identification and interpretation of the relevant case law. The Court develops its case law, usually without overtly departing from precedents. The developments often reflect societal change (under Article 8 of the ECHR), whereas the approach of the ECtHR seems more conservative in respect of more ‘technical’ legal issues.</w:t>
      </w:r>
    </w:p>
    <w:p>
      <w:pPr/>
      <w:r>
        <w:rPr>
          <w:b/>
        </w:rPr>
        <w:t>POSSIBLE 2021:</w:t>
      </w:r>
      <w:r>
        <w:t xml:space="preserve"> Insights on the environmental management system of the European port sector — https://doi.org/10.1016/j.scitotenv.2021.150550</w:t>
      </w:r>
    </w:p>
    <w:p>
      <w:pPr/>
      <w:r>
        <w:rPr>
          <w:b/>
        </w:rPr>
        <w:t>Shared claim-specific concepts:</w:t>
      </w:r>
      <w:r>
        <w:t xml:space="preserve"> given, they; EU scope visible. This is a provisional connection, not an outcome finding.</w:t>
      </w:r>
    </w:p>
    <w:p>
      <w:pPr>
        <w:pStyle w:val="SourceNote"/>
      </w:pPr>
      <w:r>
        <w:rPr>
          <w:b/>
        </w:rPr>
        <w:t>Available abstract (not full text):</w:t>
      </w:r>
      <w:r>
        <w:t xml:space="preserve"> This research focusses on assessing the environmental performance of European Ports based on a wide representation of EcoPorts members. The data is extracted from the Self-Diagnosis Method (SDM), a concise checklist against which port managers can self-assess the environmental management of their port in relation to the performance of the EcoPorts membership. A total number of 97 ports from 18 different European Maritime States contributed to this evaluation. They have answered questions related to the main components of internationally recognized Environmental Management System (EMS) standards. Similar periodic assessments have been carried out since 2013, allowing for the identification of benchmark performance. The geographical representation and characteristics of the participating ports are given along with the perceived ranking of priority environmental issues based on regular reviews. Air quality has been the top environmental priority for many years, followed by climate change, which has risen rapidly to the second position. Most of the ports have an environmental policy in place (96%) and a compilation of an inventory of significant environmental aspects (92%). Transparency is also very important to ports, with 91% of ports communicating their environmental policy to stakeholders, and 86% of ports making it publicly available on their website. Around 80% of ports have </w:t>
      </w:r>
    </w:p>
    <w:p>
      <w:pPr/>
      <w:r>
        <w:rPr>
          <w:b/>
        </w:rPr>
        <w:t>POSSIBLE 2021:</w:t>
      </w:r>
      <w:r>
        <w:t xml:space="preserve"> Governing displaced migration in Europe: housing and the role of the “local” — https://doi.org/10.1186/s40878-020-00209-x</w:t>
      </w:r>
    </w:p>
    <w:p>
      <w:pPr/>
      <w:r>
        <w:rPr>
          <w:b/>
        </w:rPr>
        <w:t>Shared claim-specific concepts:</w:t>
      </w:r>
      <w:r>
        <w:t xml:space="preserve"> approach, they; EU scope visible. This is a provisional connection, not an outcome finding.</w:t>
      </w:r>
    </w:p>
    <w:p>
      <w:pPr>
        <w:pStyle w:val="SourceNote"/>
      </w:pPr>
      <w:r>
        <w:rPr>
          <w:b/>
        </w:rPr>
        <w:t>Available abstract (not full text):</w:t>
      </w:r>
      <w:r>
        <w:t xml:space="preserve"> This article will explore the extent to which a focus on the 'local' can tell us something meaningful about recent developments in the governance of displaced migrants and refugees. Taking a multi-sited approach spanning cases in the south and north of Europe, we consider how the challenge of housing and accommodation in particular, a core sector of migrant reception and integration, can shed light on the ways local and city level approaches may negotiate, and sometimes diverge from, national level policy and rhetoric. While it can be said that despite variation, local authorities are by definition ultimately 'always subordinate' (Emilsson, Comparative Migration Studies, 3: 1-17, 2015: 4), they can also show evidence of 'decoupling' across geographies of policy delivery (Pope and Meyer, European Journal of Cultural and Political Sociology, 3: 280-305, 2016: 290). This article traces how possible local variations in different European cases are patterned by ground-level politics, local strategic networks, and pre-existing economic resources in a manner that is empirically detailed through the study of housing.</w:t>
      </w:r>
    </w:p>
    <w:p>
      <w:pPr>
        <w:pStyle w:val="Heading2"/>
      </w:pPr>
      <w:r>
        <w:t>669. Long-term vision of rural areas in Hungary, focusing on foresights</w:t>
      </w:r>
    </w:p>
    <w:p>
      <w:pPr>
        <w:pStyle w:val="SourceNote"/>
      </w:pPr>
      <w:r>
        <w:rPr>
          <w:b/>
        </w:rPr>
        <w:t>Original source (2020):</w:t>
      </w:r>
      <w:r>
        <w:t xml:space="preserve"> https://doi.org/10.22004/ag.econ.314094</w:t>
      </w:r>
    </w:p>
    <w:p>
      <w:pPr/>
      <w:r>
        <w:t>Original wording (abstract; indexed_source_text_not_full_document_verified): The aim of the Hungarian research team was to identify the current and likely trends for the Hungarian rural areas and to point out key challenges, opportunities, enablers and barriers in rural development in terms of digitalisation up to 2040. Among the results, it is worth mentioning that digitisation and digitalisation will fundamentally change how rural areas operate including economic, environmental and social dimensions.</w:t>
      </w:r>
    </w:p>
    <w:p>
      <w:pPr/>
      <w:r>
        <w:rPr>
          <w:b/>
        </w:rPr>
        <w:t>POSSIBLE 2026:</w:t>
      </w:r>
      <w:r>
        <w:t xml:space="preserve"> Central And Eastern European Companies in Africa. The Case of Hungarian Businesses — https://doi.org/10.18267/pr.2026.vol.2587.3</w:t>
      </w:r>
    </w:p>
    <w:p>
      <w:pPr/>
      <w:r>
        <w:rPr>
          <w:b/>
        </w:rPr>
        <w:t>Shared claim-specific concepts:</w:t>
      </w:r>
      <w:r>
        <w:t xml:space="preserve"> aim, hungarian, areas, key; EU scope visible. This is a provisional connection, not an outcome finding.</w:t>
      </w:r>
    </w:p>
    <w:p>
      <w:pPr>
        <w:pStyle w:val="SourceNote"/>
      </w:pPr>
      <w:r>
        <w:rPr>
          <w:b/>
        </w:rPr>
        <w:t>Available abstract (not full text):</w:t>
      </w:r>
      <w:r>
        <w:t xml:space="preserve"> The aim of this study is to explore the factors that determine whether Hungarian companies will succeed or fail in African markets.The research was based on interviews with 28 Hungarian companies/enterprises, one export expert, and five foreign economic attachés and diplomats working in Africa, which mapped the motivations, strategies, and experiences of market entry.According to the results, market entry was primarily driven by the saturation of European markets, the need for growth and diversification, and the foreign policy direction of the "Southern Opening".The key to success can be traced back to four factors: market knowledge and preparedness, adaptability, trust-building, and long-term commitment.The majority of Hungarian companies entered through direct export or local distributors, while the main obstacles were in the areas of human resources, financing, cultural differences, infrastructure, and political risks.The research showed that long-term success requires a complex, integrated support system that provides financial, cultural, technological and political tools.Future research directions of the study include sector-specific studies, longitudinal analyses, comparisons across Central and Eastern European countries, and a deeper exploration of the effects of the political and diplomatic background.</w:t>
      </w:r>
    </w:p>
    <w:p>
      <w:pPr/>
      <w:r>
        <w:rPr>
          <w:b/>
        </w:rPr>
        <w:t>POSSIBLE 2026:</w:t>
      </w:r>
      <w:r>
        <w:t xml:space="preserve"> What drives population fluctuations of European ground squirrels in Hungary? — https://doi.org/10.1186/s12983-026-00608-3</w:t>
      </w:r>
    </w:p>
    <w:p>
      <w:pPr/>
      <w:r>
        <w:rPr>
          <w:b/>
        </w:rPr>
        <w:t>Shared claim-specific concepts:</w:t>
      </w:r>
      <w:r>
        <w:t xml:space="preserve"> hungarian, identify; EU scope visible. This is a provisional connection, not an outcome finding.</w:t>
      </w:r>
    </w:p>
    <w:p>
      <w:pPr>
        <w:pStyle w:val="SourceNote"/>
      </w:pPr>
      <w:r>
        <w:rPr>
          <w:b/>
        </w:rPr>
        <w:t>Available abstract (not full text):</w:t>
      </w:r>
      <w:r>
        <w:t xml:space="preserve"> BACKGROUND: Understanding and predicting the dynamics of rodent populations, particularly for endangered or pest species, requires knowledge of potential background factors. We collected long-term data on the abundance of European ground squirrels, Spermophilus citellus, in 64 colonies as part of the Hungarian Biodiversity Monitoring System to investigate the abiotic factors that could explain the spatial and temporal dynamics of populations in Hungary. We used information theory-based modelling and multi-model inference to investigate the effects of environmental and climate variables on relative population densities, using monitoring records of burrow counts as proxies for density collected annually between 2000 and 2018. We examined data carefully for any clues of inconsistencies, errors, or missing data, which resulted in 57% of the complete dataset. RESULTS: Our generalised additive models (GAM) with splines identified geographical location, year, and principal components reflecting winter temperature, precipitation, and summer temperature to affect population densities. Contour plots derived from the best GAM model uncovered increasing density in the Kiskunság and Kisalföld meso-regions with favourable water management characteristics and decreasing densities in the northern and southern regions, which in fact, cover floodplain of River Tisza and other flash-flood regions</w:t>
      </w:r>
    </w:p>
    <w:p>
      <w:pPr/>
      <w:r>
        <w:rPr>
          <w:b/>
        </w:rPr>
        <w:t>POSSIBLE 2026:</w:t>
      </w:r>
      <w:r>
        <w:t xml:space="preserve"> Banking Union membership and the quality of democracy in Central and Eastern Europe – the case of Hungary — https://doi.org/10.1080/23745118.2026.2706762</w:t>
      </w:r>
    </w:p>
    <w:p>
      <w:pPr/>
      <w:r>
        <w:rPr>
          <w:b/>
        </w:rPr>
        <w:t>Shared claim-specific concepts:</w:t>
      </w:r>
      <w:r>
        <w:t xml:space="preserve"> hungarian, areas, opportunities; EU scope visible. This is a provisional connection, not an outcome finding.</w:t>
      </w:r>
    </w:p>
    <w:p>
      <w:pPr>
        <w:pStyle w:val="SourceNote"/>
      </w:pPr>
      <w:r>
        <w:rPr>
          <w:b/>
        </w:rPr>
        <w:t>Available abstract (not full text):</w:t>
      </w:r>
      <w:r>
        <w:t xml:space="preserve"> This article examines the relationship between democratic backsliding and Eurozone integration through the case of the Banking Union (BU) and the Single Supervisory Mechanism. While existing literature has mainly emphasized the democratic costs of post-crisis Economic and Monetary Union governance, this study explores the opposite relationship: whether remaining outside the Eurozone and the BU may facilitate democratic deterioration. Drawing on Europeanisation theory, the article argues that BU membership may unintentionally strengthen democratic resilience by limiting supervisory home bias, reducing opportunities for regulatory capture, and constraining politically motivated intervention in the banking sector. Using process tracing, the article analyses European Union, European Central Bank, European Banking Authority, and national supervisory documents and applies the findings to the Hungarian case, supplemented by some Polish examples. The study identifies several supervisory areas where nationally controlled supervision may enable politically selective practices and support crony capitalism. In contrast, the Single Supervisory Mechanism’s supranational supervisory framework, multinational Joint Supervisory Teams, common methodologies, and transparency requirements reduce the scope for such practices. The article concludes that participation in the Banking Union may indirect</w:t>
      </w:r>
    </w:p>
    <w:p>
      <w:pPr/>
      <w:r>
        <w:rPr>
          <w:b/>
        </w:rPr>
        <w:t>POSSIBLE 2025:</w:t>
      </w:r>
      <w:r>
        <w:t xml:space="preserve"> Nutritional therapy of post-stroke dysphagia patients, with special reference to the role of dietitians in multidisciplinary teams: A Hungarian study — https://doi.org/10.1556/2066.2025.00068</w:t>
      </w:r>
    </w:p>
    <w:p>
      <w:pPr/>
      <w:r>
        <w:rPr>
          <w:b/>
        </w:rPr>
        <w:t>Shared claim-specific concepts:</w:t>
      </w:r>
      <w:r>
        <w:t xml:space="preserve"> aim, hungarian, out; EU scope visible. This is a provisional connection, not an outcome finding.</w:t>
      </w:r>
    </w:p>
    <w:p>
      <w:pPr>
        <w:pStyle w:val="SourceNote"/>
      </w:pPr>
      <w:r>
        <w:rPr>
          <w:b/>
        </w:rPr>
        <w:t>Available abstract (not full text):</w:t>
      </w:r>
      <w:r>
        <w:t xml:space="preserve"> Abstract Background In the European Union, it is estimated that the number of stroke patients will increase by 27% between 2017 and 2047, due to an ageing population and improved survival rates. The most common complications of acute stroke are malnutrition, aspiration and subsequent aspiration pneumonia, which is often fatal. Purpose The aim of this study was to assess dietitians' knowledge of the concept of dysphagia, its detection, and risk factors and nutritional options for post-stroke patients diagnosed with dysphagia. Materials/Methods An online questionnaire was developed for dietitians working in healthcare institutions. The inclusion criteria were working in a healthcare institution, dealing with people affected by the investigated condition in their daily work, and/or working with elderly people. The exclusion criterion was failure to meet any of the inclusion criteria. The questionnaire was available for completion between 9 September and 11 November 2020. Out of the total of 83 respondents, 19 did not meet the inclusion criteria. The questionnaire contained 12 questions aimed at assessing the knowledge, attitudes, and needs of dietitians working in Hungarian healthcare institutions, mainly with stroke patients, with respect to dysphagia, its complications, and diet. The questionnaire was distributed by the National Association of Hungarian Dietitians (MDOSZ) to its</w:t>
      </w:r>
    </w:p>
    <w:p>
      <w:pPr/>
      <w:r>
        <w:rPr>
          <w:b/>
        </w:rPr>
        <w:t>POSSIBLE 2025:</w:t>
      </w:r>
      <w:r>
        <w:t xml:space="preserve"> Entrepreneurial Student Teams and Start-up Project Continuance Intention at Hungarian Universities — https://doi.org/10.7595/management.fon.2025.0005</w:t>
      </w:r>
    </w:p>
    <w:p>
      <w:pPr/>
      <w:r>
        <w:rPr>
          <w:b/>
        </w:rPr>
        <w:t>Shared claim-specific concepts:</w:t>
      </w:r>
      <w:r>
        <w:t xml:space="preserve"> hungarian, team, identify, likely, challenges, among; EU scope not established. This is a provisional connection, not an outcome finding.</w:t>
      </w:r>
    </w:p>
    <w:p>
      <w:pPr>
        <w:pStyle w:val="SourceNote"/>
      </w:pPr>
      <w:r>
        <w:rPr>
          <w:b/>
        </w:rPr>
        <w:t>Available abstract (not full text):</w:t>
      </w:r>
      <w:r>
        <w:t xml:space="preserve"> Research Question: The study investigates into whether the characteristics of early-stage innovative student entrepreneurship projects, student team composition, and the intention of continuing the project are related at Hungarian universities. Motivation: Entrepreneurship has long been recognized as a vital driver of innovation, economic development, and societal progress. Within the educational landscape, fostering entrepreneurial skills among university students has become increasingly critical, particularly considering global challenges demanding creative solutions and innovative ventures. This study is motivated by the need to understand the dynamics of early-stage student entrepreneurship projects within the framework of the Hungarian Startup University Program (HSUP). Specifically, it seeks to explore the relationship between the intrinsic characteristics and dynamics of startup projects, such as team composition and skill diversity, and their likelihood of continued development. In addition, the research aims to identify the attributes of student teams that excel in entrepreneurial ventures. Idea: The Hungarian Startup University Program (HSUP) is a fully uniform, centrally managed programme that students from participating universities can take as an undergraduate course, receive ECR credits and earn scholarship for promising project ideas. Our investigation aims to sh</w:t>
      </w:r>
    </w:p>
    <w:p>
      <w:pPr/>
      <w:r>
        <w:rPr>
          <w:b/>
        </w:rPr>
        <w:t>POSSIBLE 2025:</w:t>
      </w:r>
      <w:r>
        <w:t xml:space="preserve"> Rethinking the strongest link: VAL, ratings, and team success in Hungarian basketball — https://doi.org/10.3389/fspor.2025.1658676</w:t>
      </w:r>
    </w:p>
    <w:p>
      <w:pPr/>
      <w:r>
        <w:rPr>
          <w:b/>
        </w:rPr>
        <w:t>Shared claim-specific concepts:</w:t>
      </w:r>
      <w:r>
        <w:t xml:space="preserve"> hungarian, team, among; EU scope not established. This is a provisional connection, not an outcome finding.</w:t>
      </w:r>
    </w:p>
    <w:p>
      <w:pPr>
        <w:pStyle w:val="SourceNote"/>
      </w:pPr>
      <w:r>
        <w:rPr>
          <w:b/>
        </w:rPr>
        <w:t>Available abstract (not full text):</w:t>
      </w:r>
      <w:r>
        <w:t xml:space="preserve"> Introduction: This study evaluates the impact of individual player performance-particularly the VAL rating-on team success in professional basketball. It examines whether basketball operates as a "strong-link" sport, where outcomes depend primarily on top-performing players. Methods: A quantitative analysis was conducted on the 2022/2023 Hungarian NB I/A men's league, using 21 offensive and defensive statistical indicators. Data were collected from official league sources and analyzed using IBM SPSS Statistics version 28.0. Results: Our findings reveal no significant correlation between individual VAL rankings and team standings. However, offensive and defensive ratings, as well as NET ratings (points scored over opponents per 100 possessions), were strongly associated with team performance, especially among foreign and young players. The VAL metric was more influenced by offensive than defensive performance. Limited playing time and experience may have affected the performance metrics of young players. Discussion: These results suggest that while basketball reflects strong-link sport characteristics, traditional metrics like VAL may not fully capture a player's contribution to team success. A more comprehensive approach-incorporating both offensive and defensive indicators-could offer a clearer evaluation of player impact. Future research should also explore psychological, tac</w:t>
      </w:r>
    </w:p>
    <w:p>
      <w:pPr/>
      <w:r>
        <w:rPr>
          <w:b/>
        </w:rPr>
        <w:t>POSSIBLE 2025:</w:t>
      </w:r>
      <w:r>
        <w:t xml:space="preserve"> The Central-European small town: interpretations, challenges and resilience in Hungary — https://doi.org/10.18690/rg.20.2.5201</w:t>
      </w:r>
    </w:p>
    <w:p>
      <w:pPr/>
      <w:r>
        <w:rPr>
          <w:b/>
        </w:rPr>
        <w:t>Shared claim-specific concepts:</w:t>
      </w:r>
      <w:r>
        <w:t xml:space="preserve"> rural, areas, challenges; EU scope visible. This is a provisional connection, not an outcome finding.</w:t>
      </w:r>
    </w:p>
    <w:p>
      <w:pPr>
        <w:pStyle w:val="SourceNote"/>
      </w:pPr>
      <w:r>
        <w:rPr>
          <w:b/>
        </w:rPr>
        <w:t>Available abstract (not full text):</w:t>
      </w:r>
      <w:r>
        <w:t xml:space="preserve"> Small towns are long-term stable elements of the urban network with established residential and service roles. Geographical research has often neglected them, and accordingly, certain conceptual issues require clarification. However, particularly in countries with low urbanisation, small towns play a significant role in the transformation and modernisation of rural areas. Nevertheless, the increasingly global scale of economic and social processes poses a considerable challenge to their traditional functions, reshaping their development framework. In this evolving context, the flexible adaptive capacity of small towns – defined as resilinece – becomes crucial. Alongside addressing globalisation challenges, this study outlines a cognitive resilience model that could also serve as the basis for a new planning practice.</w:t>
      </w:r>
    </w:p>
    <w:p>
      <w:pPr/>
      <w:r>
        <w:rPr>
          <w:b/>
        </w:rPr>
        <w:t>POSSIBLE 2025:</w:t>
      </w:r>
      <w:r>
        <w:t xml:space="preserve"> The European dimension in education in Hungarian primary school geography textbooks — https://doi.org/10.1177/14788047251318025</w:t>
      </w:r>
    </w:p>
    <w:p>
      <w:pPr/>
      <w:r>
        <w:rPr>
          <w:b/>
        </w:rPr>
        <w:t>Shared claim-specific concepts:</w:t>
      </w:r>
      <w:r>
        <w:t xml:space="preserve"> hungarian, areas, key, among; EU scope visible. This is a provisional connection, not an outcome finding.</w:t>
      </w:r>
    </w:p>
    <w:p>
      <w:pPr>
        <w:pStyle w:val="SourceNote"/>
      </w:pPr>
      <w:r>
        <w:rPr>
          <w:b/>
        </w:rPr>
        <w:t>Available abstract (not full text):</w:t>
      </w:r>
      <w:r>
        <w:t xml:space="preserve"> Despite Hungary's nearly quarter-century membership in the European Union (EU), less than half of its citizens hold a positive mental image of the EU. Education plays a crucial role in fostering and reinforcing a sense of European identity and awareness among students, with textbooks serving as key tools in shaping students’ understanding of European values, citizenship, and identity. This study aims to assess how European identity is represented and integrated into contemporary Hungarian primary school geography textbooks within the framework of the European dimensions in education. In the Hungarian public education system, only textbooks that have been prepared by the state may be ordered from the lists of textbooks for use in state schools. Consequently, these textbooks are significantly dependent on the National Core Curriculum (NCC), as they must comply with its standards, although differences in proportions may occur. The study employs content analysis to evaluate the reflection of European identity in regulatory documents (NCC, framework curricula) and across different grade levels and textbook versions, with a particular focus on the incorporation of the European Dimension in Education (EDE) indicators (Ledic et al., 2016). The textbooks were subjected to a systematic review to ascertain their implementation of EDE indicators. The findings suggest that while the textboo</w:t>
      </w:r>
    </w:p>
    <w:p>
      <w:pPr/>
      <w:r>
        <w:rPr>
          <w:b/>
        </w:rPr>
        <w:t>POSSIBLE 2025:</w:t>
      </w:r>
      <w:r>
        <w:t xml:space="preserve"> Protection of Human Rights under the European Convention on Human Rights and in Central Europe: Hungary — https://doi.org/10.46941/2025.2.11</w:t>
      </w:r>
    </w:p>
    <w:p>
      <w:pPr/>
      <w:r>
        <w:rPr>
          <w:b/>
        </w:rPr>
        <w:t>Shared claim-specific concepts:</w:t>
      </w:r>
      <w:r>
        <w:t xml:space="preserve"> current, key, challenges; EU scope visible. This is a provisional connection, not an outcome finding.</w:t>
      </w:r>
    </w:p>
    <w:p>
      <w:pPr>
        <w:pStyle w:val="SourceNote"/>
      </w:pPr>
      <w:r>
        <w:rPr>
          <w:b/>
        </w:rPr>
        <w:t>Available abstract (not full text):</w:t>
      </w:r>
      <w:r>
        <w:t xml:space="preserve"> This study examines the protection of human rights in Hungary, with particular attention to its evolving relationship with the European Convention on Human Rights (ECHR) and the Council of Europe. The analysis begins by outlining the historical developments of human rights in Hungary, emphasising key milestones that have shaped the country's constitutional and legislative framework during its democratic transition and beyond. This historical context is essential for understanding Hungary’s current human rights commitments. The analysis then turns to Hungary’s engagement with the Council of Europe, focusing on its ratification and implementation of core human rights conventions. These include Protocol No. 1 to the European Convention for the Prevention of Torture, the European Social Charter, and the Framework Convention for the Protection of National Minorities. These international treaties play a vital role in shaping Hungary’s human rights obligations and influencing the development of domestic legal standards. Further, the article addresses Hungary’s national implementation of the ECHR, illustrating how its provisions are reflected in the Fundamental Law and major legislative acts. Important law-making processes influenced by the ECHR are discussed, highlighting the impact of international human rights standards on domestic legislation. Additionally, it reviews landmark case</w:t>
      </w:r>
    </w:p>
    <w:p>
      <w:pPr/>
      <w:r>
        <w:rPr>
          <w:b/>
        </w:rPr>
        <w:t>POSSIBLE 2024:</w:t>
      </w:r>
      <w:r>
        <w:t xml:space="preserve"> Population of Europe : from a Hungarian perspective — https://doi.org/10.54237/profnet.2024.tbdecce_2</w:t>
      </w:r>
    </w:p>
    <w:p>
      <w:pPr/>
      <w:r>
        <w:rPr>
          <w:b/>
        </w:rPr>
        <w:t>Shared claim-specific concepts:</w:t>
      </w:r>
      <w:r>
        <w:t xml:space="preserve"> hungarian, identify, trends; EU scope visible. This is a provisional connection, not an outcome finding.</w:t>
      </w:r>
    </w:p>
    <w:p>
      <w:pPr>
        <w:pStyle w:val="SourceNote"/>
      </w:pPr>
      <w:r>
        <w:rPr>
          <w:b/>
        </w:rPr>
        <w:t>Available abstract (not full text):</w:t>
      </w:r>
      <w:r>
        <w:t xml:space="preserve"> Population-related questions, such as the population composition of a country, have been a concern for community leaders, professionals, and experts since the beginning of the formation of early societies. Over the last centuries, sociologists and demographers have conducted countless studies to identify the driving forces behind population trends, employing, for example, theories of demographic transitions and economics. At the regional level, the demographic situation is both specific and general, although there are marked differences not only between continents but also between countries within a continent. This is also the case in Europe. In general, we can see a strong and specific migration trend, with declining birth rates and total fertility rates. However, in some European countries, such as Hungary, the demographic picture over the last decade has differed from the overall population trends on the continent: fertility has risen, marriage rates are experiencing a renaissance, and migration has not been the solution to population issues. According to various United Nations estimates, Europe’s population is expected to decline in the coming decades. The consequences of this are somewhat noticeable today, and in those countries where they are felt, various policies are already being put in place to tackle – or try to ‘cure’ – this specific demographic ‘disease’. Since 201</w:t>
      </w:r>
    </w:p>
    <w:p>
      <w:pPr/>
      <w:r>
        <w:rPr>
          <w:b/>
        </w:rPr>
        <w:t>POSSIBLE 2024:</w:t>
      </w:r>
      <w:r>
        <w:t xml:space="preserve"> The Development of the Private Health Sector in Hungary in a European Context — https://doi.org/10.70147/c266978</w:t>
      </w:r>
    </w:p>
    <w:p>
      <w:pPr/>
      <w:r>
        <w:rPr>
          <w:b/>
        </w:rPr>
        <w:t>Shared claim-specific concepts:</w:t>
      </w:r>
      <w:r>
        <w:t xml:space="preserve"> aim, hungarian, among; EU scope visible. This is a provisional connection, not an outcome finding.</w:t>
      </w:r>
    </w:p>
    <w:p>
      <w:pPr>
        <w:pStyle w:val="SourceNote"/>
      </w:pPr>
      <w:r>
        <w:rPr>
          <w:b/>
        </w:rPr>
        <w:t>Available abstract (not full text):</w:t>
      </w:r>
      <w:r>
        <w:t xml:space="preserve"> The aim of this paper is to examine the situation of private healthcare providers in Hungary and their relationship with publicly funded healthcare. The private healthcare sector is growing significantly in Hungary and worldwide. As a percentage of GDP in Hungary, government spending on health has always been among the lowest in Europe, averaging 5% over the last 20 years. The Hungarian state-financed healthcare continues to operate on a single-payer national health insurance system. Therefore, private healthcare is financed exclusively by private insurance and/or out-of-pocket. In 2021, the Hungarian population spent HUF 420 billion on private outpatient and inpatient care. Based on 2021 balance sheet data in Hungary, 195 providers had an annual net turnover of more than HUF 100 million, with a combined net turnover of HUF 211 billion in 2021. The total number of full-time employees was 8336, with a total of 4 218 doctors (employed or contracted) in 114 specialties, which means that a parallel healthcare system has been set up along with public care. The joint management of public and private care capacities and the introduction of sector-neutral financing would improve access to publicly funded care. Widely available and transparent private health insurance schemes could reduce the population's out-of-pocket burden. It would also be essential to increase participation in heal</w:t>
      </w:r>
    </w:p>
    <w:p>
      <w:pPr/>
      <w:r>
        <w:rPr>
          <w:b/>
        </w:rPr>
        <w:t>POSSIBLE 2023:</w:t>
      </w:r>
      <w:r>
        <w:t xml:space="preserve"> Hungarian Historical Review — https://doi.org/10.38145/hunghist</w:t>
      </w:r>
    </w:p>
    <w:p>
      <w:pPr/>
      <w:r>
        <w:rPr>
          <w:b/>
        </w:rPr>
        <w:t>Shared claim-specific concepts:</w:t>
      </w:r>
      <w:r>
        <w:t xml:space="preserve"> hungarian, out; EU scope visible. This is a provisional connection, not an outcome finding.</w:t>
      </w:r>
    </w:p>
    <w:p>
      <w:pPr>
        <w:pStyle w:val="SourceNote"/>
      </w:pPr>
      <w:r>
        <w:rPr>
          <w:b/>
        </w:rPr>
        <w:t>Available abstract (not full text):</w:t>
      </w:r>
      <w:r>
        <w:t xml:space="preserve"> This article offers an overview of the early development of madhouses as an institutional framework for the custody and treatment of mentally ill persons, from the initial phase of comprehensive governmental health politics in Austria (the peak of the Enlightenment movement in the region in the late eighteenth century) until 1830, when a second phase, which had begun in 1815 and which bore witness, again, to the establishment of asylums for people suffering from mental disorders, came to an end with the foundation of an asylum in the city of Hall in Tyrol.The article outlines the establishment of such institutions for the accommodation, detention, and, partially, treatment of people seen as insane in the Austrian Hereditary Lands as a political and societal attempt to react to a rising number of individuals who were perceived as suffering from serious mental problems but whose families and communities either did not feel obliged to provide care for them or were simply not capable of treating them anymore in their respective localities.The article points out, as has been noted in the secondary literature, that all early madhouses in Vienna, Linz, Graz, and Salzburg operated primarily as institutions for the internment of persons perceived as mentally ill and posing a threat to themselves and others.The physicians involved intended to implement therapeutical activities, but this </w:t>
      </w:r>
    </w:p>
    <w:p>
      <w:pPr>
        <w:pStyle w:val="Heading2"/>
      </w:pPr>
      <w:r>
        <w:t>670. Macrofinancial linkages in Europe: Evidence from quantile local projections</w:t>
      </w:r>
    </w:p>
    <w:p>
      <w:pPr>
        <w:pStyle w:val="SourceNote"/>
      </w:pPr>
      <w:r>
        <w:rPr>
          <w:b/>
        </w:rPr>
        <w:t>Original source (2020):</w:t>
      </w:r>
      <w:r>
        <w:t xml:space="preserve"> https://doi.org/10.1002/ijfe.2080</w:t>
      </w:r>
    </w:p>
    <w:p>
      <w:pPr/>
      <w:r>
        <w:t>Original wording (abstract; indexed_source_text_not_full_document_verified): We find that global economic policy uncertainty index dampens the growth rates of industrial production in Austria, France, Italy, Luxembourg and Slovakia, which calls for specific measures to mitigate this adverse effect at the national level, for example, by curtailing yellow journalism, populist ideas and disbeliefs. Second, we pursue a hybrid econometric approach to capture a presumably nonlinear nature of these linkages by building on different quantiles of the data series and estimating impulse responses from smooth local projections (Barnichon and Brownlees, Review of Economics and Statistics , 101(3), 522–530, 2019).</w:t>
      </w:r>
    </w:p>
    <w:p>
      <w:pPr/>
      <w:r>
        <w:rPr>
          <w:b/>
        </w:rPr>
        <w:t>POSSIBLE 2026:</w:t>
      </w:r>
      <w:r>
        <w:t xml:space="preserve"> Global Europe 2.0: The economic potential of new EU Trade Agreements in an era of US protectionism — https://openalex.org/W7164620605</w:t>
      </w:r>
    </w:p>
    <w:p>
      <w:pPr/>
      <w:r>
        <w:rPr>
          <w:b/>
        </w:rPr>
        <w:t>Shared claim-specific concepts:</w:t>
      </w:r>
      <w:r>
        <w:t xml:space="preserve"> find, adverse, effect; EU scope visible. This is a provisional connection, not an outcome finding.</w:t>
      </w:r>
    </w:p>
    <w:p>
      <w:pPr>
        <w:pStyle w:val="SourceNote"/>
      </w:pPr>
      <w:r>
        <w:rPr>
          <w:b/>
        </w:rPr>
        <w:t>Available abstract (not full text):</w:t>
      </w:r>
      <w:r>
        <w:t xml:space="preserve"> The protectionist trade policy of the second Trump administration poses a significant challenge to the European economy, hitting export-oriented manufacturing particularly hard. Against this backdrop, this study quantifies the economic potential of a new European free trade initiative ("Global Europe 2.0") centered on new trade agreements with seven key trading partners: the Mercosur countries, India, the United Arab Emirates, Australia, Indonesia, Malaysia, and Thailand (the P7). Despite accounting for 13 percent of global merchandise imports, the P7's share in EU exports has stagnated over recent decades, pointing to untapped potential that new agreements could help unlock. Using the ifo Trade Model, a quantitative general equilibrium model, we simulate two scenarios: a baseline capturing the medium-term effects of current US tariff policy, and a scenario adding new EU-P7 trade agreements. We find that P7 agreements would more than offset the adverse effects of US protectionism, generating a net positive effect on EU economic activity. Depending on agreement depth, EU real GDP rises by 0.18 to 0.43 percent and total exports by 1.3 to 3.4 percent. Gains are broad-based across all 27 member states, and the turnaround is most striking for EU manufacturing.</w:t>
      </w:r>
    </w:p>
    <w:p>
      <w:pPr/>
      <w:r>
        <w:rPr>
          <w:b/>
        </w:rPr>
        <w:t>POSSIBLE 2026:</w:t>
      </w:r>
      <w:r>
        <w:t xml:space="preserve"> Extreme weather in Europe: Determinants and economic impact — https://doi.org/10.1016/j.euroecorev.2026.105327</w:t>
      </w:r>
    </w:p>
    <w:p>
      <w:pPr/>
      <w:r>
        <w:rPr>
          <w:b/>
        </w:rPr>
        <w:t>Shared claim-specific concepts:</w:t>
      </w:r>
      <w:r>
        <w:t xml:space="preserve"> index, measures, adverse; EU scope visible. This is a provisional connection, not an outcome finding.</w:t>
      </w:r>
    </w:p>
    <w:p>
      <w:pPr>
        <w:pStyle w:val="SourceNote"/>
      </w:pPr>
      <w:r>
        <w:rPr>
          <w:b/>
        </w:rPr>
        <w:t>Available abstract (not full text):</w:t>
      </w:r>
      <w:r>
        <w:t xml:space="preserve"> This paper investigates the relationship between anthropogenic greenhouse gas (GHG) emissions and extreme weather conditions in Europe using a novel panel regression trend–cycle decomposition approach. Using the European Extreme Events Climate Index (E3CI) and its seven subcomponents for 40 European countries since 1981, the study finds a significant statistical association between extreme weather deterioration and both the flow and the stock dimensions of global greenhouse gas emissions. Building on these results, dynamic panel regressions within an Autometrics and model-averaging framework reveal significant contractions in GDP growth determined by worsening climatological conditions. The largest effects are observed in the services sector, and extreme wind and precipitation events are the most damaging. Climate deterioration operates through both supply and demand channels – particularly via private spending and productivity – and contributes to structural economic divergence across Europe. Effective mitigation and sustainable economic development are the most powerful tools to counter these adverse effects, while adaptation and institutional improvements serve as second-best measures, particularly against wildfires and extreme temperatures.</w:t>
      </w:r>
    </w:p>
    <w:p>
      <w:pPr/>
      <w:r>
        <w:rPr>
          <w:b/>
        </w:rPr>
        <w:t>POSSIBLE 2026:</w:t>
      </w:r>
      <w:r>
        <w:t xml:space="preserve"> Economic specialization and heterogeneous temperature-economy relationships suggest net costs of climate change in Europe — https://doi.org/10.1038/s41467-026-73341-4</w:t>
      </w:r>
    </w:p>
    <w:p>
      <w:pPr/>
      <w:r>
        <w:rPr>
          <w:b/>
        </w:rPr>
        <w:t>Shared claim-specific concepts:</w:t>
      </w:r>
      <w:r>
        <w:t xml:space="preserve"> find, rates, national, level; EU scope visible. This is a provisional connection, not an outcome finding.</w:t>
      </w:r>
    </w:p>
    <w:p>
      <w:pPr>
        <w:pStyle w:val="SourceNote"/>
      </w:pPr>
      <w:r>
        <w:rPr>
          <w:b/>
        </w:rPr>
        <w:t>Available abstract (not full text):</w:t>
      </w:r>
      <w:r>
        <w:t xml:space="preserve"> Abstract Econometric analysis of the global impact of temperature fluctuations on Gross Domestic Product (GDP) suggests that higher temperatures harm warm countries, benefit cooler ones and the existence of a global "optimal" temperature1–3. However, aggregate temperature-GDP relationships are averages across space and sectors of the economy that mask heterogeneity, misrepresent the costs or benefits of temperature change and provide misleading guidance for mitigation and adaptation policies. Focusing on Europe, we use administrative district level data on the growth rate of Gross-Value Added (GVA) and GDP to estimate the impact of temperature on economic growth at the national, district, and industry levels. Unlike previous global studies, in Europe we find negative effects of warmer-than-average years on GVA and GDP in relatively cold districts (annual mean temperature 0 to 14°C) and positive effects in warmer regions (above 14 °C) warmer-than-average years, yet the opposite in the extremes (&lt; 0 °C and &gt; 20°C). Across Europe this U-shaped temperature-GDP growth relationship implies a -0.14 (95% CI: ± 0.16) percentage point change in economic growth, rather than a benefit of +0.16 (± 0.14) in1. Using RCP4.5 (median CMIP6), average annual growth rates change by between -0.07 (± 0.18) and -1.23 (±0.38) percentage points by 2100, depending on empirical specifications. Disaggregat</w:t>
      </w:r>
    </w:p>
    <w:p>
      <w:pPr/>
      <w:r>
        <w:rPr>
          <w:b/>
        </w:rPr>
        <w:t>POSSIBLE 2026:</w:t>
      </w:r>
      <w:r>
        <w:t xml:space="preserve"> Global uncertainty and trade resilience: the role of logistics performance in shaping export outcomes — evidence from Türkiye and the European Union — https://doi.org/10.3846/bm.2026.2524</w:t>
      </w:r>
    </w:p>
    <w:p>
      <w:pPr/>
      <w:r>
        <w:rPr>
          <w:b/>
        </w:rPr>
        <w:t>Shared claim-specific concepts:</w:t>
      </w:r>
      <w:r>
        <w:t xml:space="preserve"> uncertainty, index, measures, adverse; EU scope visible. This is a provisional connection, not an outcome finding.</w:t>
      </w:r>
    </w:p>
    <w:p>
      <w:pPr>
        <w:pStyle w:val="SourceNote"/>
      </w:pPr>
      <w:r>
        <w:rPr>
          <w:b/>
        </w:rPr>
        <w:t>Available abstract (not full text):</w:t>
      </w:r>
      <w:r>
        <w:t xml:space="preserve"> International trade has become increasingly exposed to global uncertainty arising from financial crises, policy shifts, geopolitical tensions, and health shocks, all of which disrupt supply chains and weaken cross-border economic integration. While a growing body of literature shows that uncertainty stresses the trade by raising costs and discouraging investment, its effects are not uniform across countries. Some economies demonstrate greater resilience, sustaining exports or recovering more rapidly from adverse shocks. This study examines whether logistics performance constitutes a key structural factor underpinning such resilience in international trade. Focusing on the Türkiye–European Union (EU) trade relationship over the period 2007–2024, the paper analyzes how global and EU-specific policy uncertainty affects bilateral export flows, whether strong logistics systems can diminish these negative effects. Employing a gravity model framework with bilateral panel data, the analysis incorporates multiple uncertainty indicators alongside two complementary measures of logistics performance, the Logistics Performance Index (LPI) and the Liner Shipping Connectivity Index (LSCI). The results provide evidence that heightened uncertainty significantly reduces Türkiye’s exports to the EU, while superior logistics performance directly enhances trade volumes. More importantly, the findin</w:t>
      </w:r>
    </w:p>
    <w:p>
      <w:pPr/>
      <w:r>
        <w:rPr>
          <w:b/>
        </w:rPr>
        <w:t>POSSIBLE 2026:</w:t>
      </w:r>
      <w:r>
        <w:t xml:space="preserve"> The Economic Impact of Russia's Invasion of Ukraine on European Countries – a SVAR Approach — https://doi.org/10.1111/roie.70064</w:t>
      </w:r>
    </w:p>
    <w:p>
      <w:pPr/>
      <w:r>
        <w:rPr>
          <w:b/>
        </w:rPr>
        <w:t>Shared claim-specific concepts:</w:t>
      </w:r>
      <w:r>
        <w:t xml:space="preserve"> find, france, italy, specific; EU scope visible. This is a provisional connection, not an outcome finding.</w:t>
      </w:r>
    </w:p>
    <w:p>
      <w:pPr>
        <w:pStyle w:val="SourceNote"/>
      </w:pPr>
      <w:r>
        <w:rPr>
          <w:b/>
        </w:rPr>
        <w:t>Available abstract (not full text):</w:t>
      </w:r>
      <w:r>
        <w:t xml:space="preserve"> ABSTRACT We quantify the economic impact of Russia's invasion of Ukraine on Germany, the United Kingdom, France, and Italy using data on historical geopolitical events. Employing a structural VAR approach based on zero, sign, and narrative sign restrictions, and accounting for regional shocks to capture country‐specific effects, our analysis reveals a drag on real economic activity and a significant increase in inflation due to the war. In a counterfactual scenario without the invasion, we find that consumer prices in European countries would have been 2.3% to 5.8% lower in 2023‐Q4. Additionally, global consumer prices would have risen 2.5% less, and energy prices would have been 24% lower. The war also triggered a significant decline in both global and local economic sentiment, resulting in lower consumer confidence and reduced global demand. Without the war, GDP in European countries could have been between 1.4% and 2.4% higher by the end of 2023.</w:t>
      </w:r>
    </w:p>
    <w:p>
      <w:pPr/>
      <w:r>
        <w:rPr>
          <w:b/>
        </w:rPr>
        <w:t>POSSIBLE 2025:</w:t>
      </w:r>
      <w:r>
        <w:t xml:space="preserve"> Global technology innovation: comparison of new broad-based index of financial development of Europe and Asia — https://doi.org/10.1186/s43093-025-00547-1</w:t>
      </w:r>
    </w:p>
    <w:p>
      <w:pPr/>
      <w:r>
        <w:rPr>
          <w:b/>
        </w:rPr>
        <w:t>Shared claim-specific concepts:</w:t>
      </w:r>
      <w:r>
        <w:t xml:space="preserve"> index, measures; EU scope visible. This is a provisional connection, not an outcome finding.</w:t>
      </w:r>
    </w:p>
    <w:p>
      <w:pPr>
        <w:pStyle w:val="SourceNote"/>
      </w:pPr>
      <w:r>
        <w:rPr>
          <w:b/>
        </w:rPr>
        <w:t>Available abstract (not full text):</w:t>
      </w:r>
      <w:r>
        <w:t xml:space="preserve"> Abstract Financial development plays a vital role in fostering economic growth, influencing financial institutions, markets, technological innovation, and gross domestic product (GDP). While prior research has extensively examined this relationship, traditional metrics such as the ratio of private credit to GDP and stock market capitalization to GDP fail to capture the multidimensional nature of financial development. To address this limitation, this study introduces nine comprehensive measures encompassing financial depth, access, and efficiency across financial institutions and markets. Using a dataset spanning 2019–2022, this study evaluates financial development indicators for countries listed from A to L in the International Monetary Fund database. The findings reveal a robust positive correlation between financial development and technological innovation, suggesting that enhanced financial infrastructure facilitates technological advancements. Moreover, the results indicate a significant positive relationship between technological innovation and GDP, reinforcing the argument that innovation serves as a catalyst for economic expansion. These findings underscore the critical role of financial development in not only promoting innovation but also in stimulating economic growth. The study carries important implications for policymakers, emphasizing the necessity of financial </w:t>
      </w:r>
    </w:p>
    <w:p>
      <w:pPr/>
      <w:r>
        <w:rPr>
          <w:b/>
        </w:rPr>
        <w:t>POSSIBLE 2025:</w:t>
      </w:r>
      <w:r>
        <w:t xml:space="preserve"> Pushed by markets, pulled by machines: Economic pressures and the backlash to the European Union — https://doi.org/10.1177/14651165251395305</w:t>
      </w:r>
    </w:p>
    <w:p>
      <w:pPr/>
      <w:r>
        <w:rPr>
          <w:b/>
        </w:rPr>
        <w:t>Shared claim-specific concepts:</w:t>
      </w:r>
      <w:r>
        <w:t xml:space="preserve"> mitigate, effect; EU scope visible. This is a provisional connection, not an outcome finding.</w:t>
      </w:r>
    </w:p>
    <w:p>
      <w:pPr>
        <w:pStyle w:val="SourceNote"/>
      </w:pPr>
      <w:r>
        <w:rPr>
          <w:b/>
        </w:rPr>
        <w:t>Available abstract (not full text):</w:t>
      </w:r>
      <w:r>
        <w:t xml:space="preserve"> Global economic integration and automation technologies destabilise employment and threaten workers’ economic security, yet their combined political effects remain understudied. Using data from the ninth wave of the European Social Survey, this study examines how automation risks, measured by routine-task intensity and export-driven market pressure, foster Euroscepticism. This study finds that while routineness alone has a modest effect, its combination with trade exposure significantly amplifies negative sentiment towards the European Union, especially among individuals who perceive society as unfair and support redistribution. These economic vulnerabilities not only fuel Euroscepticism but also increase support for withdrawal from the European Union. The findings highlight the need for policies that mitigate technology-driven displacement, particularly for workers with high routine-task intensity in export-oriented sectors, with reinforcing fairness and redistributive mechanisms to sustain support for European integration.</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find, uncertainty;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Effects of entrepreneurship and governance quality on global and regional economic performance: A pathway to sustainable development — https://doi.org/10.1002/sd.3267</w:t>
      </w:r>
    </w:p>
    <w:p>
      <w:pPr/>
      <w:r>
        <w:rPr>
          <w:b/>
        </w:rPr>
        <w:t>Shared claim-specific concepts:</w:t>
      </w:r>
      <w:r>
        <w:t xml:space="preserve"> find, adverse, effect; EU scope visible. This is a provisional connection, not an outcome finding.</w:t>
      </w:r>
    </w:p>
    <w:p>
      <w:pPr>
        <w:pStyle w:val="SourceNote"/>
      </w:pPr>
      <w:r>
        <w:rPr>
          <w:b/>
        </w:rPr>
        <w:t>Available abstract (not full text):</w:t>
      </w:r>
      <w:r>
        <w:t xml:space="preserve"> Abstract This study investigated the effects of entrepreneurship and governance quality on global and regional economic performance, and the moderating influence of governance quality on the entrepreneurship‐economic performance nexus. The study used a panel of 109 countries from 2010 to 2022. Prais‐Winsten regression, standard Fixed Effects regression with robust standard errors, Fixed Effects regression with Driscoll and Kraay standard errors, and the dynamic system GMM regression were used. We find that the unconditional effect of entrepreneurship on global economic performance is mainly negative, while governance quality predominantly exerts positive effect on global economic performance, but generally failed to moderate the adverse effect of entrepreneurship. Interestingly, we find regional disparities indicating that the patterns in Europe and Asia align with the global results, while the dynamics in the Americas show that the unconditional effect of entrepreneurship on economic performance is mainly positive and significant, with governance quality also exerting significant positive influence and reinforcing the positive effect of entrepreneurship. For Africa, we find that entrepreneurship is a potent driver of economic performance when it is measured using Total Early‐stage Entrepreneurial Activity and Entrepreneurial Employee Activity. We discussed the policy implicati</w:t>
      </w:r>
    </w:p>
    <w:p>
      <w:pPr/>
      <w:r>
        <w:rPr>
          <w:b/>
        </w:rPr>
        <w:t>POSSIBLE 2023:</w:t>
      </w:r>
      <w:r>
        <w:t xml:space="preserve"> SMART SPECIALIZATION STRATEGY AS AN INNOVATIVE BASIS OF GLOBAL ECONOMIC DEVELOPMENT: EUROPEAN EXPERIENCE — https://doi.org/10.20998/2519-4461.2023.2.95</w:t>
      </w:r>
    </w:p>
    <w:p>
      <w:pPr/>
      <w:r>
        <w:rPr>
          <w:b/>
        </w:rPr>
        <w:t>Shared claim-specific concepts:</w:t>
      </w:r>
      <w:r>
        <w:t xml:space="preserve"> find, specific; EU scope visible. This is a provisional connection, not an outcome finding.</w:t>
      </w:r>
    </w:p>
    <w:p>
      <w:pPr>
        <w:pStyle w:val="SourceNote"/>
      </w:pPr>
      <w:r>
        <w:rPr>
          <w:b/>
        </w:rPr>
        <w:t>Available abstract (not full text):</w:t>
      </w:r>
      <w:r>
        <w:t xml:space="preserve"> The strategy of smart specialization rightly serves as a key reference point for the economic development of individual industries and regions. This study is aimed at analyzing the European experience in applying the strategy of smart specialization as an innovative basis of global economic development. It is becoming increasingly clear that the strategy of smart specialization can fundamentally change the rules for many industries. The research focuses on the fact that by focusing on specific areas of knowledge and developing targeted capabilities, businesses and organizations can find unique niches and gain a competitive advantage. The smart specialization strategy also has drawbacks, as it requires a deep understanding of the industry and a willingness to invest in specialized skills and resources, or may need to move away from broader, more general strategies to achieve smart specialization. However, it is emphasized that the benefits of smart specialization are clear when it comes to standing out in a crowded marketplace, building deeper relationships with customers, and ultimately driving growth. As industries continue to develop and become more complex, the strategy of smart specialization does not lose its relevance, and the European experience of its implementation will be useful for Ukraine.</w:t>
      </w:r>
    </w:p>
    <w:p>
      <w:pPr/>
      <w:r>
        <w:rPr>
          <w:b/>
        </w:rPr>
        <w:t>POSSIBLE 2023:</w:t>
      </w:r>
      <w:r>
        <w:t xml:space="preserve"> Cost-effective adaptation strategies to rising river flood risk in Europe — https://doi.org/10.1038/s41558-022-01540-0</w:t>
      </w:r>
    </w:p>
    <w:p>
      <w:pPr/>
      <w:r>
        <w:rPr>
          <w:b/>
        </w:rPr>
        <w:t>Shared claim-specific concepts:</w:t>
      </w:r>
      <w:r>
        <w:t xml:space="preserve"> find, measures, level; EU scope visible. This is a provisional connection, not an outcome finding.</w:t>
      </w:r>
    </w:p>
    <w:p>
      <w:pPr>
        <w:pStyle w:val="SourceNote"/>
      </w:pPr>
      <w:r>
        <w:rPr>
          <w:b/>
        </w:rPr>
        <w:t>Available abstract (not full text):</w:t>
      </w:r>
      <w:r>
        <w:t xml:space="preserve"> Abstract River flood risk in Europe could rise to unprecedented levels due to global warming and continued development in flood-prone areas. Here, we appraise the potential of four key adaptation strategies to reduce flood risk across Europe based on flood risk modelling and cost–benefit analysis. We find that reducing flood peaks using detention areas is economically the most attractive option. In a scenario without climate mitigation (3 °C global warming), they can lower projected flood losses in Europe by 2100 from €44(30–61) billion to €8.1(5.5–10.7) billion per year and lower population exposed by 84% (75–90%) or achieve a risk level comparable to today. The economic investment required over 2020–2100 would provide a return of €4(3.5–6.3) for each €1 invested. The risk reduction potential of strengthening of dykes is somewhat lower, at 70% (59–83%) for a comparable annual investment. Implementing building-based flood proofing and relocation measures is less cost-effective but can reduce impacts in localized areas.</w:t>
      </w:r>
    </w:p>
    <w:p>
      <w:pPr/>
      <w:r>
        <w:rPr>
          <w:b/>
        </w:rPr>
        <w:t>POSSIBLE 2023:</w:t>
      </w:r>
      <w:r>
        <w:t xml:space="preserve"> Symmetric or Asymmetric: How is Economic Growth Responding to Global Economic Uncertainty in Africa's Oil Exporters? — https://doi.org/10.18267/j.pep.836</w:t>
      </w:r>
    </w:p>
    <w:p>
      <w:pPr/>
      <w:r>
        <w:rPr>
          <w:b/>
        </w:rPr>
        <w:t>Shared claim-specific concepts:</w:t>
      </w:r>
      <w:r>
        <w:t xml:space="preserve"> find, uncertainty; EU scope visible. This is a provisional connection, not an outcome finding.</w:t>
      </w:r>
    </w:p>
    <w:p>
      <w:pPr>
        <w:pStyle w:val="SourceNote"/>
      </w:pPr>
      <w:r>
        <w:rPr>
          <w:b/>
        </w:rPr>
        <w:t>Available abstract (not full text):</w:t>
      </w:r>
      <w:r>
        <w:t xml:space="preserve"> Motivated by the persistent fall in oil prices due to incessant uncertainty-inducing events in recent years, this study empirically examined if economic growth in Africa's top five oil exporters (Algeria, Angola, Egypt, Libya, and Nigeria) is responding asymmetrically to changes in global economic uncertainty as well as uncertainties from U.S., Europe and China using nonlinear ARDL framework from 1997Q1 to 2021Q4. We find that rising global uncertainty hampers economic growth in these economies, while declining global uncertainty significantly enhances growth in Nigeria, Angola and Libya in the short run, but becomes growth-retarding in the long run. Thus, economic growth responds asymmetrically to global uncertainty, especially in the short run. The findings are robust to U.S., Europe, and China uncertainties, except that economic growth in Libya and Algeria remained unresponsive to U.S. and China uncertainties respectively. We concluded that Africa's oil exporters should embrace policies that can strengthen their resilience to global economic uncertainty as well as uncertainties from U.S., Europe, and China.</w:t>
      </w:r>
    </w:p>
    <w:p>
      <w:pPr>
        <w:pStyle w:val="Heading2"/>
      </w:pPr>
      <w:r>
        <w:t>671. Medium-term forecast of European economic sustainable growth using Markov chains</w:t>
      </w:r>
    </w:p>
    <w:p>
      <w:pPr>
        <w:pStyle w:val="SourceNote"/>
      </w:pPr>
      <w:r>
        <w:rPr>
          <w:b/>
        </w:rPr>
        <w:t>Original source (2020):</w:t>
      </w:r>
      <w:r>
        <w:t xml:space="preserve"> https://doi.org/10.18045/zbefri.2020.2.585</w:t>
      </w:r>
    </w:p>
    <w:p>
      <w:pPr/>
      <w:r>
        <w:t>Original wording (abstract; indexed_source_text_not_full_document_verified): Economic growth is a frequently analyzed aspect, both from theoretical and empirical standpoint, under the impact of the influence factors, while the issue of economic growth was studied by applying different methods and obtaining different results.In the case of EU28, the problem of economic convergence has to take into consideration the fact that the Member States are heterogeneous in terms of development and rate of growth.In the present paper, by using Markov chains we have made, a forecast of the GDP per capita evolution for the economies of the EU28 members, starting from the known time horizon -1997-2016 as to approach a forecast horizon -2017-2028.The results obtained show that the convergence process will be a slow one in the case of some Member States, especially in the Central and Eastern Europe.The future economic dynamics will intensify growth</w:t>
      </w:r>
    </w:p>
    <w:p>
      <w:pPr/>
      <w:r>
        <w:rPr>
          <w:b/>
        </w:rPr>
        <w:t>POSSIBLE 2026:</w:t>
      </w:r>
      <w:r>
        <w:t xml:space="preserve"> The impact of international economic sanctions on national economic growth. — https://openalex.org/W7125359130</w:t>
      </w:r>
    </w:p>
    <w:p>
      <w:pPr/>
      <w:r>
        <w:rPr>
          <w:b/>
        </w:rPr>
        <w:t>Shared claim-specific concepts:</w:t>
      </w:r>
      <w:r>
        <w:t xml:space="preserve"> frequently, empirical; EU scope visible. This is a provisional connection, not an outcome finding.</w:t>
      </w:r>
    </w:p>
    <w:p>
      <w:pPr>
        <w:pStyle w:val="SourceNote"/>
      </w:pPr>
      <w:r>
        <w:rPr>
          <w:b/>
        </w:rPr>
        <w:t>Available abstract (not full text):</w:t>
      </w:r>
      <w:r>
        <w:t xml:space="preserve"> Over the past decades, international economic sanctions have become one of the most frequently used instruments of foreign and security policy, allowing states to restrict the activities of other countries, companies, or individuals without resorting to direct military intervention. Nevertheless, the economic consequences of sanctions affect not only the targeted entities but also the sanctioning states themselves, which incur adjustment costs due to changes in the volume and structure of foreign trade, investment and capital flows, financing conditions, energy and raw material price dynamics, and the costs of ensuring sanctions compliance and enforcement. Academic literature highlights that the majority of empirical research has traditionally focused on sanctioned states, while the economic costs borne by sanctioning countries have been assessed in a fragmented and inconsistent manner. In 2022, following Russia’s full-scale invasion of Ukraine, the tightening of the sanction’s regime imposed by European countries on Russia and Belarus further underscored the importance of systematically evaluating the economic effects such restrictive measures have on the sanctioning economies themselves. The aim of this master’s thesis is to evaluate the impact of international economic sanctions against Russia and Belarus on the economic growth of European states that imposed them, with part</w:t>
      </w:r>
    </w:p>
    <w:p>
      <w:pPr/>
      <w:r>
        <w:rPr>
          <w:b/>
        </w:rPr>
        <w:t>POSSIBLE 2026:</w:t>
      </w:r>
      <w:r>
        <w:t xml:space="preserve"> Green Fiscal Rules and Economic Growth in Europe: A Panel Data — https://doi.org/10.18506/anemon.1778818</w:t>
      </w:r>
    </w:p>
    <w:p>
      <w:pPr/>
      <w:r>
        <w:rPr>
          <w:b/>
        </w:rPr>
        <w:t>Shared claim-specific concepts:</w:t>
      </w:r>
      <w:r>
        <w:t xml:space="preserve"> empirical, influence; EU scope visible. This is a provisional connection, not an outcome finding.</w:t>
      </w:r>
    </w:p>
    <w:p>
      <w:pPr>
        <w:pStyle w:val="SourceNote"/>
      </w:pPr>
      <w:r>
        <w:rPr>
          <w:b/>
        </w:rPr>
        <w:t>Available abstract (not full text):</w:t>
      </w:r>
      <w:r>
        <w:t xml:space="preserve"> As European economies strive to achieve carbon neutrality by 2050, green fiscal rules have become central to policy debates. The European Union (EU) has integrated environmental considerations into its fiscal governance framework, including green budgeting, sustainable debt rules, and carbon taxation. While these policies aim to balance sustainability with economic growth, their macroeconomic effects remain contested. This study examines how green fiscal rules influence economic growth across European countries, employing Panel data modelling and the Panel ARDL approach to improve causal inference. This research is significant as it investigates the effects of green fiscal policies on economic expansion in Europe, providing policymakers with valuable information. The Panel data approach enhances causal inference, and the Panel ARDL offers valuable information about the long-term impacts, thereby increasing the reliability of the findings. Grasping this connection enables a balance between environmental sustainability and economic stability. This research offers European comparisons, helping other areas develop environmental policy strategies. This initiative also addresses a research void, providing empirical data on whether green fiscal policies stimulate or impede economic expansion.</w:t>
      </w:r>
    </w:p>
    <w:p>
      <w:pPr/>
      <w:r>
        <w:rPr>
          <w:b/>
        </w:rPr>
        <w:t>POSSIBLE 2026:</w:t>
      </w:r>
      <w:r>
        <w:t xml:space="preserve"> Balancing economic growth and emission reductions: an empirical study of the European Union — https://doi.org/10.15196/rs160307</w:t>
      </w:r>
    </w:p>
    <w:p>
      <w:pPr/>
      <w:r>
        <w:rPr>
          <w:b/>
        </w:rPr>
        <w:t>Shared claim-specific concepts:</w:t>
      </w:r>
      <w:r>
        <w:t xml:space="preserve"> empirical, problem; EU scope visible. This is a provisional connection, not an outcome finding.</w:t>
      </w:r>
    </w:p>
    <w:p>
      <w:pPr>
        <w:pStyle w:val="SourceNote"/>
      </w:pPr>
      <w:r>
        <w:rPr>
          <w:b/>
        </w:rPr>
        <w:t>Available abstract (not full text):</w:t>
      </w:r>
      <w:r>
        <w:t xml:space="preserve"> ordinary least squares, outward foreign direct investment, CO 2 emissions A key problem today is reducing greenhouse gas (GHG) emissions and environmental damage without hampering economic growth.This study aims to analyse the main determinants of GHG in the European Union (EU) countries for the period 2004-2022 in view of the Paris Agreement and the Green Deal objectives.This analysis aims to examine the validity of the environmental Kuznets curve (EKC) in EU member states.We aim to explore if any increase in foreign direct investment (FDI) and the share of the service sector shows significantly effective carbon dioxide (CO 2 ) emissions.The results show if economic growth (real gross domestic product [GDP] per capita), final energy consumption per capita, and the share of fossil fuels have a significant positive effect on GHG emissions.Reducing fossil fuels and increasing energy efficiency can lower emissions.The significant impact of capital leakage on CO 2 emissions cannot be clearly determined from the panel analysis.Growth in the services sector's share of GDP contributes to emission reductions.Fully modified ordinary least squares (FMOLS), dynamic ordinary least squares (DOLS), fixed effect, random effect panel models, cointegration models, k-means cluster analysis and comparative analysis were used for the analysis.The models suggest a possible turning point in the EKC;</w:t>
      </w:r>
    </w:p>
    <w:p>
      <w:pPr/>
      <w:r>
        <w:rPr>
          <w:b/>
        </w:rPr>
        <w:t>POSSIBLE 2024:</w:t>
      </w:r>
      <w:r>
        <w:t xml:space="preserve"> Climate change and economic growth: Evidence for European countries — https://doi.org/10.1111/ajes.12605</w:t>
      </w:r>
    </w:p>
    <w:p>
      <w:pPr/>
      <w:r>
        <w:rPr>
          <w:b/>
        </w:rPr>
        <w:t>Shared claim-specific concepts:</w:t>
      </w:r>
      <w:r>
        <w:t xml:space="preserve"> different, methods; EU scope visible. This is a provisional connection, not an outcome finding.</w:t>
      </w:r>
    </w:p>
    <w:p>
      <w:pPr>
        <w:pStyle w:val="SourceNote"/>
      </w:pPr>
      <w:r>
        <w:rPr>
          <w:b/>
        </w:rPr>
        <w:t>Available abstract (not full text):</w:t>
      </w:r>
      <w:r>
        <w:t xml:space="preserve"> Abstract Climate change may affect economies and the welfare of people around the world. To design appropriate policy responses, the economic effects of climate change should be known. One strand in the literature empirically estimates the growth effects of climatic variations. However, those studies often neglect economic variables that have proven to be robust in explaining economic growth. Further, often they fail to check for the robustness of their results. The main aim of this study is to detect whether there exists a statistically significant robust relation between climate change and economic growth by estimating different model specifications. To do so panel estimation techniques for 24 European economies for the period from 2002 to 2019 are applied whereby panel fixed effects estimations and dynamic Generalized Methods of Moments estimations are resorted to. No statistically significant robust relationship between the temperature change and economic growth is found just as for precipitation that does not exert a significant effect on growth. As regards the institutional and macroeconomic control variables the rule of law, the fiscal variable, and the output gap are statistically significant and robust. It is argued that far‐reaching policy measures, such as the net zero goal of the European Union, should be given only based on robust results. Otherwise, economic polic</w:t>
      </w:r>
    </w:p>
    <w:p>
      <w:pPr/>
      <w:r>
        <w:rPr>
          <w:b/>
        </w:rPr>
        <w:t>POSSIBLE 2024:</w:t>
      </w:r>
      <w:r>
        <w:t xml:space="preserve"> Financial integration and economic growth in Europe — https://doi.org/10.4337/9781803926377.00033</w:t>
      </w:r>
    </w:p>
    <w:p>
      <w:pPr/>
      <w:r>
        <w:rPr>
          <w:b/>
        </w:rPr>
        <w:t>Shared claim-specific concepts:</w:t>
      </w:r>
      <w:r>
        <w:t xml:space="preserve"> influence, case; EU scope visible. This is a provisional connection, not an outcome finding.</w:t>
      </w:r>
    </w:p>
    <w:p>
      <w:pPr>
        <w:pStyle w:val="SourceNote"/>
      </w:pPr>
      <w:r>
        <w:rPr>
          <w:b/>
        </w:rPr>
        <w:t>Available abstract (not full text):</w:t>
      </w:r>
      <w:r>
        <w:t xml:space="preserve"> This study examines the impact of financial integration on economic growth in the case of 31 European countries over the period from 2000 to 2021 using dynamic panel data models.The estimation results provide evidence of significant positive effects of financial integration on economic growth.They also suggest that the financial integration -economic growth relationship depends on country-specific characteristics such as the level of financial development and the quality of institutions.More precisely, financial integration appears to exert a greater positive influence on growth in the case of the European countries with a higher level of financial development and better institutions.</w:t>
      </w:r>
    </w:p>
    <w:p>
      <w:pPr/>
      <w:r>
        <w:rPr>
          <w:b/>
        </w:rPr>
        <w:t>POSSIBLE 2024:</w:t>
      </w:r>
      <w:r>
        <w:t xml:space="preserve"> The impact of digitalization on the economic growth of the European Union: an empirical study — https://doi.org/10.15587/1729-4061.2024.304256</w:t>
      </w:r>
    </w:p>
    <w:p>
      <w:pPr/>
      <w:r>
        <w:rPr>
          <w:b/>
        </w:rPr>
        <w:t>Shared claim-specific concepts:</w:t>
      </w:r>
      <w:r>
        <w:t xml:space="preserve"> empirical, influence, factors; EU scope visible. This is a provisional connection, not an outcome finding.</w:t>
      </w:r>
    </w:p>
    <w:p>
      <w:pPr>
        <w:pStyle w:val="SourceNote"/>
      </w:pPr>
      <w:r>
        <w:rPr>
          <w:b/>
        </w:rPr>
        <w:t>Available abstract (not full text):</w:t>
      </w:r>
      <w:r>
        <w:t xml:space="preserve"> The object of this study was the process of digitalization of the economy and society of the European Union. The task of researching the impact of digitalization on the economic growth of the European Union has been solved. The relevance of the chosen topic is due to the complexity of digital transformation processes taking place in the world economy and the economy of the European Union, in particular, the need to assess their directions and intensity. Four approaches to modeling the impact of digitalization on economic growth based on the neoclassical production function were proposed. The structure of the model was chosen, which makes it possible to evaluate the influence of various factors of digitalization on the key parameters of economic growth. A regression multivariate model for assessing the impact of digitalization on the economic growth of the European Union has been developed. To this end, a sequence of stages was performed: formation of the information base, grouping of digitalization factors, as well as their selection based on correlation analysis. With the help of regression analysis, the parameters of the production function were expressed through digitalization indicators. At the same time, due to the limitation of input data, the Elastic Net Regression method was used. This made it possible to ensure the quality of the new model, namely, to remove low-impact</w:t>
      </w:r>
    </w:p>
    <w:p>
      <w:pPr/>
      <w:r>
        <w:rPr>
          <w:b/>
        </w:rPr>
        <w:t>POSSIBLE 2024:</w:t>
      </w:r>
      <w:r>
        <w:t xml:space="preserve"> Fiscal decentralization and economic growth: Empirical evidence from European countries — https://doi.org/10.47063/ebd.00017</w:t>
      </w:r>
    </w:p>
    <w:p>
      <w:pPr/>
      <w:r>
        <w:rPr>
          <w:b/>
        </w:rPr>
        <w:t>Shared claim-specific concepts:</w:t>
      </w:r>
      <w:r>
        <w:t xml:space="preserve"> empirical, different; EU scope visible. This is a provisional connection, not an outcome finding.</w:t>
      </w:r>
    </w:p>
    <w:p>
      <w:pPr>
        <w:pStyle w:val="SourceNote"/>
      </w:pPr>
      <w:r>
        <w:rPr>
          <w:b/>
        </w:rPr>
        <w:t>Available abstract (not full text):</w:t>
      </w:r>
      <w:r>
        <w:t xml:space="preserve"> In this paper we empirically investigate the relationship between fiscal decentralization and economic growth in the European countries, using panel dataset for 31 European countries, over the period 1972-2012. Our empirical results indicate that fiscal decentralization, quantitatively measured as the ratio of local government expenditures and revenues in general government expenditures and revenues has a favorable impact on economic growth in the European countries and also that revenue decentralization is shown to be more effective than expenditure decentralization in terms of stimulating economic growth. Further, our empirical results also suggest that the relationship between decentralization and economic growth is nonlinear, i.e. there is a certain optimal level of fiscal decentralization in terms of economic growth. This means that fiscal decentralization is expected to have a more pronounced positive impact on growth in less decentralized countries, while in more decentralized countries, a further increase in decentralization starts to hinder economic growth. In addition, the growth-enhancing effect of fiscal decentralization is even strongly confirmed in our subsample of advanced European countries, when long termed effect of decentralization was examined. Therefore, compared with our previous findings on the impact of fiscal decentralization on growth in Central and Ea</w:t>
      </w:r>
    </w:p>
    <w:p>
      <w:pPr/>
      <w:r>
        <w:rPr>
          <w:b/>
        </w:rPr>
        <w:t>POSSIBLE 2023:</w:t>
      </w:r>
      <w:r>
        <w:t xml:space="preserve"> Digitalisation and Economic Growth in the European Union — https://doi.org/10.3390/electronics12071718</w:t>
      </w:r>
    </w:p>
    <w:p>
      <w:pPr/>
      <w:r>
        <w:rPr>
          <w:b/>
        </w:rPr>
        <w:t>Shared claim-specific concepts:</w:t>
      </w:r>
      <w:r>
        <w:t xml:space="preserve"> empirical, take, consideration; EU scope visible. This is a provisional connection, not an outcome finding.</w:t>
      </w:r>
    </w:p>
    <w:p>
      <w:pPr>
        <w:pStyle w:val="SourceNote"/>
      </w:pPr>
      <w:r>
        <w:rPr>
          <w:b/>
        </w:rPr>
        <w:t>Available abstract (not full text):</w:t>
      </w:r>
      <w:r>
        <w:t xml:space="preserve"> The aim of the present paper is to analyse the effects of digitalisation on economic growth in the European Union. An econometric model with balanced panel data is used, with the analysis spanning over a 22-year time frame from 2000 to 2021. The main conclusion is that digitalisation generates a positive and significant impact on economic growth, even when several control variables are taken into consideration. The results prove their robustness, which is backed by the employment of the DESI as an independent variable. This paper contributes to the existing empirical analyses by extending the research on digitalisation to the entire EU, and separately for the old EU-15 member states and EU-13 new member states since, to our best knowledge, the existing literature has not approached the subject in this manner. As a policy recommendation, we suggest that public decision-makers take measures that support more harmonised digitalisation policies, favouring the new business model based on digitalisation.</w:t>
      </w:r>
    </w:p>
    <w:p>
      <w:pPr/>
      <w:r>
        <w:rPr>
          <w:b/>
        </w:rPr>
        <w:t>POSSIBLE 2023:</w:t>
      </w:r>
      <w:r>
        <w:t xml:space="preserve"> Economic growth and broadband access: The European urban-rural digital divide — https://doi.org/10.1016/j.telpol.2023.102579</w:t>
      </w:r>
    </w:p>
    <w:p>
      <w:pPr/>
      <w:r>
        <w:rPr>
          <w:b/>
        </w:rPr>
        <w:t>Shared claim-specific concepts:</w:t>
      </w:r>
      <w:r>
        <w:t xml:space="preserve"> both, different; EU scope visible. This is a provisional connection, not an outcome finding.</w:t>
      </w:r>
    </w:p>
    <w:p>
      <w:pPr>
        <w:pStyle w:val="SourceNote"/>
      </w:pPr>
      <w:r>
        <w:rPr>
          <w:b/>
        </w:rPr>
        <w:t>Available abstract (not full text):</w:t>
      </w:r>
      <w:r>
        <w:t xml:space="preserve"> This paper estimates the regional effects of high-speed broadband coverage on economic growth in a panel of 1348 regions across all European Union Member States between 2011 and 2018. We distinguish between different connectivity speed levels by aggregating the available regional data across all existing broadband technologies, and investigate how regional differences in the contribution of broadband coverage to real economic growth can quantitatively explain the persistence of the European urban-rural digital divide. In order to make our results robust to endogeneity and disaggregated data availability issues, we employ a bootstrap-based bias correction for the dynamic fixed effects estimator. We find that expansions in the provision of lower-speed broadband access accelerated annual per capita growth in both urban and rural regions through diminishing returns to scale, but that the effects were weaker in those regions characterized by larger ruralization. High-speed broadband coverage, on the contrary, could only be significantly related to rural economic growth and had no impact within their urban coun-terparts. We find evidence that the costs of these high-speed rural connectivity expansions had not yet been offset, but that they exhibit increasing returns to scale with cut-off levels nearing full coverage. These results indicate that the high-speed digital expansion of rur</w:t>
      </w:r>
    </w:p>
    <w:p>
      <w:pPr/>
      <w:r>
        <w:rPr>
          <w:b/>
        </w:rPr>
        <w:t>POSSIBLE 2023:</w:t>
      </w:r>
      <w:r>
        <w:t xml:space="preserve"> Competitiveness—the engine that boosts economic growth and revives the economy — https://doi.org/10.3389/fenvs.2023.1130173</w:t>
      </w:r>
    </w:p>
    <w:p>
      <w:pPr/>
      <w:r>
        <w:rPr>
          <w:b/>
        </w:rPr>
        <w:t>Shared claim-specific concepts:</w:t>
      </w:r>
      <w:r>
        <w:t xml:space="preserve"> both, influence, factors; EU scope visible. This is a provisional connection, not an outcome finding.</w:t>
      </w:r>
    </w:p>
    <w:p>
      <w:pPr>
        <w:pStyle w:val="SourceNote"/>
      </w:pPr>
      <w:r>
        <w:rPr>
          <w:b/>
        </w:rPr>
        <w:t>Available abstract (not full text):</w:t>
      </w:r>
      <w:r>
        <w:t xml:space="preserve"> Competitiveness is a concept that shows up in all aspects of human life, both at the micro level, in personal, social, and professional life, and at the macro level, linked to organizational and national competitiveness with long-term effects on global competitiveness. In this paper, we aim to address competitiveness in Romania in the current context, before and after the COVID-19 pandemic, highlighting its role in reviving the economy. While until the onset of the pandemic Romania’s competitiveness performance was growing, more recently, because of the global health crisis, it dropped a few places, according to the Global Competitiveness Index report. In order to have a clear picture of the degree of competitiveness in Romania, we have presented a series of statistical data for the most relevant macroeconomic indicators for our study for the 2017–2022 timeframe: the global competitiveness index, the minimum wage, labor productivity, the evolution of real labor productivity per employed person, the economic growth rate, the unemployment rate, the inflation rate, the European innovation index, gross domestic expenditure on research and development, export of goods and services as a share of GDP, etc. The methodology used involves the use of quantitative techniques, performing an econometric analysis, and correlating how the most important macroeconomic indicators can influence t</w:t>
      </w:r>
    </w:p>
    <w:p>
      <w:pPr/>
      <w:r>
        <w:rPr>
          <w:b/>
        </w:rPr>
        <w:t>POSSIBLE 2023:</w:t>
      </w:r>
      <w:r>
        <w:t xml:space="preserve"> Decomposed and composed effects of economic freedom on economic growth in south Asia — https://doi.org/10.1016/j.heliyon.2023.e13478</w:t>
      </w:r>
    </w:p>
    <w:p>
      <w:pPr/>
      <w:r>
        <w:rPr>
          <w:b/>
        </w:rPr>
        <w:t>Shared claim-specific concepts:</w:t>
      </w:r>
      <w:r>
        <w:t xml:space="preserve"> frequently, influence, different, consideration; EU scope not established. This is a provisional connection, not an outcome finding.</w:t>
      </w:r>
    </w:p>
    <w:p>
      <w:pPr>
        <w:pStyle w:val="SourceNote"/>
      </w:pPr>
      <w:r>
        <w:rPr>
          <w:b/>
        </w:rPr>
        <w:t>Available abstract (not full text):</w:t>
      </w:r>
      <w:r>
        <w:t xml:space="preserve"> It is frequently asserted that high levels of economic growth are supported by economic freedom. For the period 1995-2021, this study examines the influence of the composed economic freedom index and several subcomponents of economic freedom on the economic growth of four South Asian economies, namely Bangladesh, India, Pakistan, and Sri Lanka. The Ordinary Least Squares, Random Effect Model, and Robust Least Squares approaches are utilized to estimate the composed and decomposed influence of economic freedom on economic growth. Robust Least Squares reflects the robustness of the connection between economic liberty and growth. According to the results of these tests, economic liberty has a strong and favorable stimulus on growth. When the different indicators of economic liberty are evaluated independently, we discovered that the magnitudes of most economic freedom indicators are significant. Conversely, monetary freedom contributes very little to economic expansion. The effects of government spending, public trust, and labor flexibility on economic expansion are hypothetical. The tax load hinders economic expansion in the economies under consideration. Property rights, freedom to do business, trade liberty, investment choice, and financial liberty all have a positive, strong, and sizeable stimulus on economic growth. The decomposed influence of each indicator of economic freed</w:t>
      </w:r>
    </w:p>
    <w:p>
      <w:pPr/>
      <w:r>
        <w:rPr>
          <w:b/>
        </w:rPr>
        <w:t>POSSIBLE 2022:</w:t>
      </w:r>
      <w:r>
        <w:t xml:space="preserve"> The impact of financial systems on economic growth in European Union member countries — https://doi.org/10.2478/picbe-2022-0068</w:t>
      </w:r>
    </w:p>
    <w:p>
      <w:pPr/>
      <w:r>
        <w:rPr>
          <w:b/>
        </w:rPr>
        <w:t>Shared claim-specific concepts:</w:t>
      </w:r>
      <w:r>
        <w:t xml:space="preserve"> different, case; EU scope visible. This is a provisional connection, not an outcome finding.</w:t>
      </w:r>
    </w:p>
    <w:p>
      <w:pPr>
        <w:pStyle w:val="SourceNote"/>
      </w:pPr>
      <w:r>
        <w:rPr>
          <w:b/>
        </w:rPr>
        <w:t>Available abstract (not full text):</w:t>
      </w:r>
      <w:r>
        <w:t xml:space="preserve"> Abstract As the economy develops, self-financed capital investments are less frequent, being replaced by financing through banking intermediation and later through capital markets. The development of financial systems has a positive effect on the mobilization of resources, improving corporate governance and risk management, leading to economic growth. The preponderance of previous research papers shows a positive relationship between financial development and economic growth. Studies using cross-sectional methodologies discover almost unanimously a positive link between financial development and economic growth, while studies with methodologies based on time series, panel data or case studies reach different conclusions depending on the period considered, the countries’ initial level of development and the structure of the financial systems. The purpose of this paper is to investigate the impact of financial systems on economic growth using panel regressions based on annual data regarding measures of financial development for the member countries of the European Union, for the period 1990-2020. The findings show that the development of the financial systems, through the activity of banks and capital markets, has a positive effect on the allocation of resources, the mobilization of savings and the efficient management of risks, leading in turn to economic growth if there is a co</w:t>
      </w:r>
    </w:p>
    <w:p>
      <w:pPr>
        <w:pStyle w:val="Heading2"/>
      </w:pPr>
      <w:r>
        <w:t>672. One step ahead? The use of foresight by Czech and Slovak non-governmental organizations</w:t>
      </w:r>
    </w:p>
    <w:p>
      <w:pPr>
        <w:pStyle w:val="SourceNote"/>
      </w:pPr>
      <w:r>
        <w:rPr>
          <w:b/>
        </w:rPr>
        <w:t>Original source (2020):</w:t>
      </w:r>
      <w:r>
        <w:t xml:space="preserve"> https://doi.org/10.1186/s40309-020-00163-y</w:t>
      </w:r>
    </w:p>
    <w:p>
      <w:pPr/>
      <w:r>
        <w:t>Original wording (abstract; indexed_source_text_not_full_document_verified): Given the nature of their work and the complexity of the fast-changing contexts in which they operate, foresight techniques can potentially be useful in helping them prepare for future disruptions and maximize the positive influence of their work over future developments. The possibilities for and benefits of the application of foresight approaches and techniques are increasingly being discussed in various private and public organizations, especially with the aim to innovate and grow.</w:t>
      </w:r>
    </w:p>
    <w:p>
      <w:pPr/>
      <w:r>
        <w:rPr>
          <w:b/>
        </w:rPr>
        <w:t>POSSIBLE 2026:</w:t>
      </w:r>
      <w:r>
        <w:t xml:space="preserve"> The End of Bourgeois Humanism and the Mindfulness of Nature in Adorno’s Writings of the 1950s and 1960s — https://doi.org/10.65272/978-88-6977-570-3_5</w:t>
      </w:r>
    </w:p>
    <w:p>
      <w:pPr/>
      <w:r>
        <w:rPr>
          <w:b/>
        </w:rPr>
        <w:t>Shared claim-specific concepts:</w:t>
      </w:r>
      <w:r>
        <w:t xml:space="preserve"> given, nature, work, useful; EU scope not established. This is a provisional connection, not an outcome finding.</w:t>
      </w:r>
    </w:p>
    <w:p>
      <w:pPr>
        <w:pStyle w:val="SourceNote"/>
      </w:pPr>
      <w:r>
        <w:rPr>
          <w:b/>
        </w:rPr>
        <w:t>Available abstract (not full text):</w:t>
      </w:r>
      <w:r>
        <w:t xml:space="preserve"> Before discussing Adorno’s position on humanism and nature in more detail, particularly in his post- Dialectic of Enlightenment writings, it is useful to briefly review the attention that critical literature has devoted to these themes in Adorno, specifically that of nature. The last thirty years have seen a renewed interest in the conception of nature in Adorno’s work, also in view of its possible use in ecological discourse. This interest was already evident in the 1990s in the works of Jameson and Vogel: while the former considers Adorno and the other members of the Institute for Social Research as precursors of the ecological movement and animal rights struggles, the latter believes that Adorno (and Horkheimer) fails to conceive of a dialectical interaction between nature and society, remaining tied to a vague and ambiguous notion of nature: Nature is regarded as a given reality that humans seek to dominate, but it is also what enlightenment would like to return to. 1</w:t>
      </w:r>
    </w:p>
    <w:p>
      <w:pPr/>
      <w:r>
        <w:rPr>
          <w:b/>
        </w:rPr>
        <w:t>POSSIBLE 2026:</w:t>
      </w:r>
      <w:r>
        <w:t xml:space="preserve"> Principles for evidence-informed policymaking in fast-changing technology contexts : September 2026 — https://openalex.org/W7215313559</w:t>
      </w:r>
    </w:p>
    <w:p>
      <w:pPr/>
      <w:r>
        <w:rPr>
          <w:b/>
        </w:rPr>
        <w:t>Shared claim-specific concepts:</w:t>
      </w:r>
      <w:r>
        <w:t xml:space="preserve"> fast-changing, contexts, over, approaches; EU scope not established. This is a provisional connection, not an outcome finding.</w:t>
      </w:r>
    </w:p>
    <w:p>
      <w:pPr>
        <w:pStyle w:val="SourceNote"/>
      </w:pPr>
      <w:r>
        <w:rPr>
          <w:b/>
        </w:rPr>
        <w:t>Available abstract (not full text):</w:t>
      </w:r>
      <w:r>
        <w:t xml:space="preserve"> Technology in education, particularly AI, is moving faster than traditional evaluation methods can accommodate.The pace of change has challenged previous approaches to evaluation in education, such as randomised controlled trials, which have previously provided evidence for policymaking and advice to educators and parents.We propose here eight principles as a framework to support evidence-informed policymaking in fast-changing technology contexts.This approach aims to synthesise all available evidence to fully understand a topic but will also continually update our understanding as new evidence arrives.Policymaking within this framework triangulates imperfect evidence, updates judgements over time, matches methods to purpose, monitors harm and equity, preserves flexibility, evaluates systems and products, and makes evidence accessible to users.This framework was developed by the Department for Education (DfE) Science Advisory Council's AI and Digital Education Working Group to support policymaking where technology evolves more quickly than traditional research cycles can provide definitive evidence, e.g.artificial intelligence (AI) in education.</w:t>
      </w:r>
    </w:p>
    <w:p>
      <w:pPr/>
      <w:r>
        <w:rPr>
          <w:b/>
        </w:rPr>
        <w:t>POSSIBLE 2026:</w:t>
      </w:r>
      <w:r>
        <w:t xml:space="preserve"> Exploring the Nature of Programming Work — https://doi.org/10.4018/ijkss.407408</w:t>
      </w:r>
    </w:p>
    <w:p>
      <w:pPr/>
      <w:r>
        <w:rPr>
          <w:b/>
        </w:rPr>
        <w:t>Shared claim-specific concepts:</w:t>
      </w:r>
      <w:r>
        <w:t xml:space="preserve"> nature, work, techniques, influence; EU scope not established. This is a provisional connection, not an outcome finding.</w:t>
      </w:r>
    </w:p>
    <w:p>
      <w:pPr>
        <w:pStyle w:val="SourceNote"/>
      </w:pPr>
      <w:r>
        <w:rPr>
          <w:b/>
        </w:rPr>
        <w:t>Available abstract (not full text):</w:t>
      </w:r>
      <w:r>
        <w:t xml:space="preserve"> The ambiguity and deep concentration associated with programming work, along with perceived stereotypes about programmers, require effective human resource (HR) practices to sustain motivation. This study explores the relationships among the nature of programming work, programmer stereotypes, HR practices, and motivation. A conceptual model based on self-determination and social identity theories is developed, and eight hypotheses are presented. Data were collected from 254 participants across six industry sectors and analyzed using regression techniques. The results suggest that perceived programmer stereotypes stem either from the nature of programming work or from self-selection, whereby those who hold such stereotypes are often drawn to the field of programming. The findings also indicate that HR practices are not aligned with the nature of programming work or with stereotypes. Although HR practices and programmer stereotypes influence motivation, the nature of programming work can lead to demotivation. Therefore, HR practices should be better aligned with both programming work and programmer stereotypes to promote motivation.</w:t>
      </w:r>
    </w:p>
    <w:p>
      <w:pPr/>
      <w:r>
        <w:rPr>
          <w:b/>
        </w:rPr>
        <w:t>POSSIBLE 2025:</w:t>
      </w:r>
      <w:r>
        <w:t xml:space="preserve"> Rethinking Automation and the Future of Work with Hannah Arendt — https://doi.org/10.1007/s10551-025-05991-1</w:t>
      </w:r>
    </w:p>
    <w:p>
      <w:pPr/>
      <w:r>
        <w:rPr>
          <w:b/>
        </w:rPr>
        <w:t>Shared claim-specific concepts:</w:t>
      </w:r>
      <w:r>
        <w:t xml:space="preserve"> given, nature, work, developments; EU scope not established. This is a provisional connection, not an outcome finding.</w:t>
      </w:r>
    </w:p>
    <w:p>
      <w:pPr>
        <w:pStyle w:val="SourceNote"/>
      </w:pPr>
      <w:r>
        <w:rPr>
          <w:b/>
        </w:rPr>
        <w:t>Available abstract (not full text):</w:t>
      </w:r>
      <w:r>
        <w:t xml:space="preserve"> Abstract Recent technological developments have given rise to debates about automation and the future of work. These debates touch on concerns about the availability, nature, and meaningfulness of jobs in the present and near future. The aim of this article is to show that Hannah Arendt’s phenomenology of labor, work, and action can improve current debates about automation and the future of work. First of all, an analysis of Arendt’s critique of modern society and the more recent notion of ‘immaterial labor’ demonstrates that we (still) live in a society dominated by labor and consumption. Second, a conceptual distinction between labor, work, and action can add relevant nuances to contemporary debates about automation and the future of work. Third, Arendt’s warning for a society of laborers without labor inspires to add over-consumption to the list of problems arising from automation. Fourth, Arendt’s description of the human condition can give clarity to contemporary worries about automation’s impact on meaning. It is concluded, finally, that a revaluation of work and action can counter the threats associated with the automation of labor.</w:t>
      </w:r>
    </w:p>
    <w:p>
      <w:pPr/>
      <w:r>
        <w:rPr>
          <w:b/>
        </w:rPr>
        <w:t>POSSIBLE 2025:</w:t>
      </w:r>
      <w:r>
        <w:t xml:space="preserve"> EDITORIAL - On natures and human nature. Ethics, aesthetics, ecologies — https://doi.org/10.13135/2384-8677/12986</w:t>
      </w:r>
    </w:p>
    <w:p>
      <w:pPr/>
      <w:r>
        <w:rPr>
          <w:b/>
        </w:rPr>
        <w:t>Shared claim-specific concepts:</w:t>
      </w:r>
      <w:r>
        <w:t xml:space="preserve"> nature, work, they, them, over; EU scope not established. This is a provisional connection, not an outcome finding.</w:t>
      </w:r>
    </w:p>
    <w:p>
      <w:pPr>
        <w:pStyle w:val="SourceNote"/>
      </w:pPr>
      <w:r>
        <w:rPr>
          <w:b/>
        </w:rPr>
        <w:t>Available abstract (not full text):</w:t>
      </w:r>
      <w:r>
        <w:t xml:space="preserve"> The vision According to Raymond Williams (1980), the term nature is “a case of a definition of [a] quality which becomes, through real usage, based on certain assumptions, a description of the world”. What is most striking in the linguistic history of the term nature is the coexistence of that common idea, a state of nature, with the almost unnoticed, because so habitual, use of nature to indicate the inherent and essential quality of any particular thing [which] is, of course, much more than accidental. Indeed there is evidence that it is historically the earliest use. In Latin one would have said natura rerum, keeping nature to the essential quality and adding the definition of things. But then also in Latin natura came to be used on its own, to express the same general meaning: the essential constitution of the world. […] The multiplicity of things, and of living processes, might then be mentally organized around a single essence or principle: a nature (p.68). This “singular abstraction” becomes “a nominal continuity over more than two millennia” so pervasive “that we may not always realize quite all that it commits us to. A singular name for the real multiplicity of things and living processes may be held, with an effort, to be neutral, but I am sure it is very often the case that it offers, from the beginning, a dominant kind of interpretation: idealist, metaphysical, or r</w:t>
      </w:r>
    </w:p>
    <w:p>
      <w:pPr/>
      <w:r>
        <w:rPr>
          <w:b/>
        </w:rPr>
        <w:t>POSSIBLE 2025:</w:t>
      </w:r>
      <w:r>
        <w:t xml:space="preserve"> The Essential Nature of Social Work in Cancer Control — https://doi.org/10.1177/10732748251353081</w:t>
      </w:r>
    </w:p>
    <w:p>
      <w:pPr/>
      <w:r>
        <w:rPr>
          <w:b/>
        </w:rPr>
        <w:t>Shared claim-specific concepts:</w:t>
      </w:r>
      <w:r>
        <w:t xml:space="preserve"> given, nature, work, influence, over; EU scope not established. This is a provisional connection, not an outcome finding.</w:t>
      </w:r>
    </w:p>
    <w:p>
      <w:pPr>
        <w:pStyle w:val="SourceNote"/>
      </w:pPr>
      <w:r>
        <w:rPr>
          <w:b/>
        </w:rPr>
        <w:t>Available abstract (not full text):</w:t>
      </w:r>
      <w:r>
        <w:t xml:space="preserve"> The conditions in which people are born, live, learn, work, play, worship, and age affect a range of health, functioning, and quality-of-life outcomes, and contribute to social needs across the cancer control continuum. To address these needs, advance the quality of cancer care, and achieve health equity, cancer care clinicians must possess comprehensive knowledge and skills to mitigate the effects of social determinants of health on patient outcomes. This knowledge should also encompass an understanding of how racism, sexism, and discrimination - along with exposures to trauma - also influence patient behaviors and outcomes, given evidence of their effects on population health. For over 100 years, social workers have comprised an essential workforce that is duly educated and trained to identify social needs and improve patient outcomes within the context of health care service delivery, and cancer care in particular. Oriented to an ecological framework, social workers are adept at identifying and mitigating the negative effects of the social determinants of health on individual knowledge, attitudes, beliefs, and behaviors, with the intent of improving results for people at risk for or diagnosed with cancer. Social workers are professionally trained for organizing communities, understanding and intervening upon social systems (including families, organizations, and institutions</w:t>
      </w:r>
    </w:p>
    <w:p>
      <w:pPr/>
      <w:r>
        <w:rPr>
          <w:b/>
        </w:rPr>
        <w:t>POSSIBLE 2024:</w:t>
      </w:r>
      <w:r>
        <w:t xml:space="preserve"> True nature of hybrid work — https://doi.org/10.3389/forgp.2024.1448894</w:t>
      </w:r>
    </w:p>
    <w:p>
      <w:pPr/>
      <w:r>
        <w:rPr>
          <w:b/>
        </w:rPr>
        <w:t>Shared claim-specific concepts:</w:t>
      </w:r>
      <w:r>
        <w:t xml:space="preserve"> nature, work, them, influence; EU scope visible. This is a provisional connection, not an outcome finding.</w:t>
      </w:r>
    </w:p>
    <w:p>
      <w:pPr>
        <w:pStyle w:val="SourceNote"/>
      </w:pPr>
      <w:r>
        <w:rPr>
          <w:b/>
        </w:rPr>
        <w:t>Available abstract (not full text):</w:t>
      </w:r>
      <w:r>
        <w:t xml:space="preserve"> Introduction This article reviews the discussion concerning hybrid work (HW) during and after the pandemic. We argue that understanding hybrid work as simply dividing working time between an office and another location limits the potential of organizing work sustainably based on organizations' goals and employee needs. Understanding the core nature of hybridity as a flexible and systemic entity and a “combination of two or more things” impacting work outcomes such as wellbeing and performance opens a much richer view of organizing work now and in the future. The critical questions are: What is the core nature of hybridity when two or more things are combined in work, and what factors influence configuring them? Moreover, what are their potential wellbeing and performance outcomes? Methods To discover core elements, we reviewed how the HW concept was defined in consulting companies' publications, business journals, and international organizations' publications, mainly focusing on challenges and opportunities for hybrid work during COVID-19. We also analyzed how the concept was used in European questionnaire findings from 27 EU countries during the pandemic. The potential wellbeing and performance outcomes were studied using a sample of prior literature reviews on remote and telework. To identify “Two or more things” in the discussions, we broke down the HW concepts into the phys</w:t>
      </w:r>
    </w:p>
    <w:p>
      <w:pPr/>
      <w:r>
        <w:rPr>
          <w:b/>
        </w:rPr>
        <w:t>POSSIBLE 2024:</w:t>
      </w:r>
      <w:r>
        <w:t xml:space="preserve"> Nature of Work of Accountants: The Case of Accounting Service Firms in Hanoi, Vietnam — https://doi.org/10.25105/ijsmebs.v6i1.20525</w:t>
      </w:r>
    </w:p>
    <w:p>
      <w:pPr/>
      <w:r>
        <w:rPr>
          <w:b/>
        </w:rPr>
        <w:t>Shared claim-specific concepts:</w:t>
      </w:r>
      <w:r>
        <w:t xml:space="preserve"> given, nature, work; EU scope not established. This is a provisional connection, not an outcome finding.</w:t>
      </w:r>
    </w:p>
    <w:p>
      <w:pPr>
        <w:pStyle w:val="SourceNote"/>
      </w:pPr>
      <w:r>
        <w:rPr>
          <w:b/>
        </w:rPr>
        <w:t>Available abstract (not full text):</w:t>
      </w:r>
      <w:r>
        <w:t xml:space="preserve"> In accounting service firms in Hanoi, nature of work of accountants is consistent with the accountants, but not fully. The main objective of this study was to identify, evaluate, and to measure the attributes of nature of work of accountants in accounting service firms in Hanoi, Vietnam. The study was based on a field survey using a semi-structured questionnaire on a sample of 150 accountants. But only 120 filled questionnaires were satisfactory and therefore included in the analysis. By using seceral statistical analytical tools, i.e. descriptive statistics, Cronbach’s Alpha analysis, Independent t-test and ANOVA, the study has identified and measured five (5) attributes of nature of work of accountants in accounting service firms in Hanoi, Vietnam that have great effects on employees (or in this case study, accountants). There is not, statistically, significant difference in the level of nature of work of accountants in accounting service firms in Hanoi from these different genders and between the mentioned three groups of age. Based on the findings, some recommendations are given for accounting service firms to improve the nature of work of accountants.</w:t>
      </w:r>
    </w:p>
    <w:p>
      <w:pPr/>
      <w:r>
        <w:rPr>
          <w:b/>
        </w:rPr>
        <w:t>POSSIBLE 2024:</w:t>
      </w:r>
      <w:r>
        <w:t xml:space="preserve"> Nature, society, man, and culture in the system of being (1980) — https://doi.org/10.33910/2687-1262-2024-6-3-196-206</w:t>
      </w:r>
    </w:p>
    <w:p>
      <w:pPr/>
      <w:r>
        <w:rPr>
          <w:b/>
        </w:rPr>
        <w:t>Shared claim-specific concepts:</w:t>
      </w:r>
      <w:r>
        <w:t xml:space="preserve"> given, nature, work; EU scope not established. This is a provisional connection, not an outcome finding.</w:t>
      </w:r>
    </w:p>
    <w:p>
      <w:pPr>
        <w:pStyle w:val="SourceNote"/>
      </w:pPr>
      <w:r>
        <w:rPr>
          <w:b/>
        </w:rPr>
        <w:t>Available abstract (not full text):</w:t>
      </w:r>
      <w:r>
        <w:t xml:space="preserve"> The article is based on the authorized copy of M. S. Kagan’s book ‘Systematic Approach and Humanitarian Knowledge’ (1991). It incorporates the hand-written edits made to the book by Kagan himself. The work is an attempt to understand the principles of structuring being. It discusses the relevant system of categories and the relationship between such concepts as nature, society, man, and culture. The author criticizes the ideas that lead to the dissolution of society in culture and the dissolution of society in nature. Kagan proposes a four-member principle of ontology. According to him, the identification of four basic forms of being — nature, society, man, and culture — allows us to overcome all types of reductionism (spiritualistic, psychological, biological, sociological). At the same time, this approach allows to maintain a monistic understanding of the material unity of the world and reveal the dialectic of the general and the particular in all the four specific forms of the motion of matter. The article describes theoretical consequences, practical significance and ideological meaning of Kagan’s tetra-based principle of ontology. A special focus is given to the prospects that this ontological principle opens up for the structural analysis of scientific knowledge, the organization of its various fields and the classification of sciences. The article emphasizes the relevanc</w:t>
      </w:r>
    </w:p>
    <w:p>
      <w:pPr/>
      <w:r>
        <w:rPr>
          <w:b/>
        </w:rPr>
        <w:t>POSSIBLE 2024:</w:t>
      </w:r>
      <w:r>
        <w:t xml:space="preserve"> Nature and Teleology in the De Anima: Context for Aristotelian Potentiality — https://doi.org/10.5334/met.150</w:t>
      </w:r>
    </w:p>
    <w:p>
      <w:pPr/>
      <w:r>
        <w:rPr>
          <w:b/>
        </w:rPr>
        <w:t>Shared claim-specific concepts:</w:t>
      </w:r>
      <w:r>
        <w:t xml:space="preserve"> given, nature, developments; EU scope not established. This is a provisional connection, not an outcome finding.</w:t>
      </w:r>
    </w:p>
    <w:p>
      <w:pPr>
        <w:pStyle w:val="SourceNote"/>
      </w:pPr>
      <w:r>
        <w:rPr>
          <w:b/>
        </w:rPr>
        <w:t>Available abstract (not full text):</w:t>
      </w:r>
      <w:r>
        <w:t xml:space="preserve"> This paper investigates contemporary applications of the Aristotelian conception of potentiality in limit cases of life and death arising from developments in modern science in order to argue that in its current usage, the term is often so far from its Aristotelian context that its philosophical rigor and, hence, usefulness is undermined. By analyzing the account of the soul in Aristotle’s De Anima, I argue for the necessity of a conception of nature that can contextualize the relevant sense of potentiality by giving a telos arising from the subject’s nature, which orients that subject’s potentiality. I argue that these contextualizing components of nature and teleology are necessary for using a philosophically rigorous sense of potentiality. I begin by surveying the current use of potentiality to delineate beginning and end-of-life cases in order to show that these various uses are not robust enough to offer answers to the challenging cases of life and death in a non ad hoc way. I then address John Lizza and Joel Feinberg’s suggestions for making the concept of potentiality more robust, namely, a more specified framework of ‘normal’ internal conditions and ‘important’ external conditions to which the subject’s potentialities can be referenced. I argue that the insufficiency of the current uses of potentiality is more specifically due to a lack of an Aristotelian conception of </w:t>
      </w:r>
    </w:p>
    <w:p>
      <w:pPr/>
      <w:r>
        <w:rPr>
          <w:b/>
        </w:rPr>
        <w:t>POSSIBLE 2024:</w:t>
      </w:r>
      <w:r>
        <w:t xml:space="preserve"> The Nature of Matter: An Inherent Element in the Interpretation of a Work of Art (Three-Dimensional) — https://doi.org/10.4236/adr.2024.124024</w:t>
      </w:r>
    </w:p>
    <w:p>
      <w:pPr/>
      <w:r>
        <w:rPr>
          <w:b/>
        </w:rPr>
        <w:t>Shared claim-specific concepts:</w:t>
      </w:r>
      <w:r>
        <w:t xml:space="preserve"> given, nature, work, complexity, they, techniques; EU scope not established. This is a provisional connection, not an outcome finding.</w:t>
      </w:r>
    </w:p>
    <w:p>
      <w:pPr>
        <w:pStyle w:val="SourceNote"/>
      </w:pPr>
      <w:r>
        <w:rPr>
          <w:b/>
        </w:rPr>
        <w:t>Available abstract (not full text):</w:t>
      </w:r>
      <w:r>
        <w:t xml:space="preserve"> In the arena of contemporary culture, the interpretation of a work of art is often based more on elements such as the thought of the artist, his influential reputation, and the theme or subject (such as the title of the work) than on the simple technique used (procedure, materials, and equipment) (Bal &amp; Bryson, 1991). However, it is essential to recognize that often overlooked techniques contain fundamental elements necessary for creating and analyzing a work of art. One crucial aspect of a piece of art is the matter (medium) from which it is made. Therefore, it is wise to consider this element for a more in-depth and nuanced understanding of the work. After an in-depth analysis of matter as a critical element in interpreting a work of art, we understand that matter, in its natural state, does not communicate directly by transmitting information. “The material is crafted through the skill of the artist”. The artwork may undergo transformation during the modelling process based on its art form. It acquires the capacity to arouse impressions and awaken sensitivities in the contemplator or the art critic (Chari, 2021). By mastering his technique, the artist manages to transcend the raw material to give it new life and a deeper meaning. By creatively manipulating the material, the artist manages to express emotions and ideas and elucidate concepts that transcend material limits to </w:t>
      </w:r>
    </w:p>
    <w:p>
      <w:pPr/>
      <w:r>
        <w:rPr>
          <w:b/>
        </w:rPr>
        <w:t>POSSIBLE 2024:</w:t>
      </w:r>
      <w:r>
        <w:t xml:space="preserve"> Patience Taught by Nature — https://doi.org/10.4324/9781003328810-35</w:t>
      </w:r>
    </w:p>
    <w:p>
      <w:pPr/>
      <w:r>
        <w:rPr>
          <w:b/>
        </w:rPr>
        <w:t>Shared claim-specific concepts:</w:t>
      </w:r>
      <w:r>
        <w:t xml:space="preserve"> given, nature, work, they, them; EU scope not established. This is a provisional connection, not an outcome finding.</w:t>
      </w:r>
    </w:p>
    <w:p>
      <w:pPr>
        <w:pStyle w:val="SourceNote"/>
      </w:pPr>
      <w:r>
        <w:rPr>
          <w:b/>
        </w:rPr>
        <w:t>Available abstract (not full text):</w:t>
      </w:r>
      <w:r>
        <w:t xml:space="preserve"> First published in Poems (1844) and included in 1850–6, the sonnet exists in an untitled draft (D0710) beginning ‘O weary life we say, o weary life’ in Berg Notebook II (D1398), which is dated 1843 and contains drafts for the 1844 Poems , among them four other sonnets: ‘Discontent’, which precedes this poem in all editions; and the companion ‘Cheerfulness Taught by Reason’ as well as ‘Exaggeration’ and ‘Adequacy’, which always follow it in that order. J. Ferrier reviewing for Blackwood’s (November 1844) cited the poem in full, one of five sonnets he included to illustrate ‘Miss Barrett’s genius’, the stylistic finish and the ‘depth and purity of sentiment’ in her best work ( BC , vol. 9, pp. 351–2); S[arah] F[lower] Adams in the Westminster Review (December 1844) also quoted the full poem ( BC , vol. 9, pp. 376–7). The Southern Quarterly Review (April 1845) named it with ‘Work’ as the two best sonnets – ‘if such they may be called’, given their irregularity – for the two ‘abound in beautiful and truthful thoughts’ ( BC , vol. 10, p. 387). To the Eclectic Review (November 1846), it exemplified EBB’s talent for representing abstract universals through commonplace particulars ( BC , vol. 14, p. 378).</w:t>
      </w:r>
    </w:p>
    <w:p>
      <w:pPr>
        <w:pStyle w:val="Heading2"/>
      </w:pPr>
      <w:r>
        <w:t>673. PREDICTION OF CUMULONIMBUS (CB) CLOUD BASED ON INTEGRATED FORECAST SYSTEM (IFS) OF EUROPEAN MEDIUM-RANGE WEATHER FORECAST (ECMWF)  IN THE FLIGHT INFORMATION REGION (FIR) OF JAKARTA AND UJUNG PANDANG</w:t>
      </w:r>
    </w:p>
    <w:p>
      <w:pPr>
        <w:pStyle w:val="SourceNote"/>
      </w:pPr>
      <w:r>
        <w:rPr>
          <w:b/>
        </w:rPr>
        <w:t>Original source (2020):</w:t>
      </w:r>
      <w:r>
        <w:t xml:space="preserve"> https://doi.org/10.29122/jstmc.v21i2.4100</w:t>
      </w:r>
    </w:p>
    <w:p>
      <w:pPr/>
      <w:r>
        <w:t>Original wording (abstract; indexed_source_text_not_full_document_verified): The study in the period other than 2019 is suggested for the next research because Indian Ocean Dipole (IOD) is extreme that may affect the Cb cloud growth in the study area.</w:t>
      </w:r>
    </w:p>
    <w:p>
      <w:pPr/>
      <w:r>
        <w:rPr>
          <w:b/>
        </w:rPr>
        <w:t>POSSIBLE 2026:</w:t>
      </w:r>
      <w:r>
        <w:t xml:space="preserve"> A Brief Account of Indian Administration During Ancient Period — https://doi.org/10.51244/ijrsi.2026.1308000263</w:t>
      </w:r>
    </w:p>
    <w:p>
      <w:pPr/>
      <w:r>
        <w:rPr>
          <w:b/>
        </w:rPr>
        <w:t>Shared claim-specific concepts:</w:t>
      </w:r>
      <w:r>
        <w:t xml:space="preserve"> period, because, indian; EU scope not established. This is a provisional connection, not an outcome finding.</w:t>
      </w:r>
    </w:p>
    <w:p>
      <w:pPr>
        <w:pStyle w:val="SourceNote"/>
      </w:pPr>
      <w:r>
        <w:rPr>
          <w:b/>
        </w:rPr>
        <w:t>Available abstract (not full text):</w:t>
      </w:r>
      <w:r>
        <w:t xml:space="preserve"> Administration is the governing mechanism of state affairs. The original state of nature is imagined to be one of the total anarchy, which signified ‘might was right’. The concept of a formal state was absent because of nomadic life at that time. People agreed to pay taxes and be ruled by one person in order to enjoy well-being and security. ‘Manu’ i.e. the law book of the Hinduism gave reference to about the formation of state. By the time of Mauryan period, the Indian Administrative system was well developed so their treatise provides a first detailed account about the formal administrative system followed in ancient time. It was famous for conversion of decentralized informal administrative structure into the centralized formal system of state. A set of administrative structure given by Kautilya’s administration have been analyzed the researcher in details. Researcher emphasized upon the world-famous Chanakya’s Niti which provides a fame and glory for the country at international relations and concludes with the legacy of administration in many aspects. Great efforts have been made to analyze the secondary data sources on administrative system of ancient period in this article.</w:t>
      </w:r>
    </w:p>
    <w:p>
      <w:pPr/>
      <w:r>
        <w:rPr>
          <w:b/>
        </w:rPr>
        <w:t>POSSIBLE 2025:</w:t>
      </w:r>
      <w:r>
        <w:t xml:space="preserve"> Indian Anthropology Against the Backdrop of World Anthropology — https://doi.org/10.1177/0972558x251320485</w:t>
      </w:r>
    </w:p>
    <w:p>
      <w:pPr/>
      <w:r>
        <w:rPr>
          <w:b/>
        </w:rPr>
        <w:t>Shared claim-specific concepts:</w:t>
      </w:r>
      <w:r>
        <w:t xml:space="preserve"> period, other, next, because, indian; EU scope visible. This is a provisional connection, not an outcome finding.</w:t>
      </w:r>
    </w:p>
    <w:p>
      <w:pPr>
        <w:pStyle w:val="SourceNote"/>
      </w:pPr>
      <w:r>
        <w:rPr>
          <w:b/>
        </w:rPr>
        <w:t>Available abstract (not full text):</w:t>
      </w:r>
      <w:r>
        <w:t xml:space="preserve"> With regard to the status of Indian anthropology against the backdrop of world anthropology, I have mixed feelings of both pessimism and optimism . I feel pessimistic because, to the best of my knowledge, barring one exception in Professor Kewal Krishan in the field of forensic anthropology (who has been recently appointed as one of the editors of the prestigious journal The Science of Nature ), I would only be enlightened to learn if any Indian anthropologist has contributed to any theoretical and/or fundamental research in any branch of the discipline! Unless new theories, concepts, and hypotheses are added to a scientific discipline through fundamental research, the discipline would cease to grow; rather, would become stagnant or sterile. Very regretfully, I think that Indian anthropology has been passing through such a phase and, therefore, has failed to evolve its own distinct identity in world anthropology. At the same time, however, I am also very much optimistic in that India (read the Indian subcontinent) is the best anthropological laboratory in the world for research in all the branches of the discipline. It is my very firm belief that, in terms of variety of cultures, India stands next only to the continent of Africa, perhaps, and in terms of antiquity , she is next to none. Other than the variety and antiquity of human cultures and civilizations, what else is neede</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period, other, extreme;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2024:</w:t>
      </w:r>
      <w:r>
        <w:t xml:space="preserve"> Housing affordability and poverty in Europe: on the deteriorating position of market renters — https://doi.org/10.1017/s0047279423000703</w:t>
      </w:r>
    </w:p>
    <w:p>
      <w:pPr/>
      <w:r>
        <w:rPr>
          <w:b/>
        </w:rPr>
        <w:t>Shared claim-specific concepts:</w:t>
      </w:r>
      <w:r>
        <w:t xml:space="preserve"> period, other, suggested; EU scope visible. This is a provisional connection, not an outcome finding.</w:t>
      </w:r>
    </w:p>
    <w:p>
      <w:pPr>
        <w:pStyle w:val="SourceNote"/>
      </w:pPr>
      <w:r>
        <w:rPr>
          <w:b/>
        </w:rPr>
        <w:t>Available abstract (not full text):</w:t>
      </w:r>
      <w:r>
        <w:t xml:space="preserve"> Abstract There are growing concerns about housing affordability throughout Europe. Recent studies by Housing Europe and the OECD have suggested that we are witnessing a generalised deterioration in housing affordability, while other studies point to worsening housing affordability for specific groups, such as renters or low-income households. The aim of this paper is to explore trends in, and incidences and determinants of, housing affordability in a comparative European context over the period 2010 to 2018. To do this we analyse data from the EU Statistics on Income and Living Conditions survey. We examine trends across different measures of housing affordability; examine its association with a variety of socio-economic characteristics and explore country-level differences in housing affordability problems. Our study finds that despite claims of worsening housing affordability, affordability measures show little sign of generalised deterioration over the period in question but that risks of affordability problems have become more concentrated on market renters during this period. At the country level, we find that gross domestic product (GDP) per capita and the at-risk-of-poverty rate are associated with housing affordability problems both between countries as well as within countries over time, while housing allowance coverage and rent regulation stringency are associated wit</w:t>
      </w:r>
    </w:p>
    <w:p>
      <w:pPr/>
      <w:r>
        <w:rPr>
          <w:b/>
        </w:rPr>
        <w:t>POSSIBLE 2024:</w:t>
      </w:r>
      <w:r>
        <w:t xml:space="preserve"> Irreducible Difference: Abdulrazak Gurnah as an Indian Ocean Writer — https://doi.org/10.1215/2834698x-11165274</w:t>
      </w:r>
    </w:p>
    <w:p>
      <w:pPr/>
      <w:r>
        <w:rPr>
          <w:b/>
        </w:rPr>
        <w:t>Shared claim-specific concepts:</w:t>
      </w:r>
      <w:r>
        <w:t xml:space="preserve"> other, because, indian, ocean; EU scope not established. This is a provisional connection, not an outcome finding.</w:t>
      </w:r>
    </w:p>
    <w:p>
      <w:pPr>
        <w:pStyle w:val="SourceNote"/>
      </w:pPr>
      <w:r>
        <w:rPr>
          <w:b/>
        </w:rPr>
        <w:t>Available abstract (not full text):</w:t>
      </w:r>
      <w:r>
        <w:t xml:space="preserve"> Although Abdulrazak Gurnah has long been a prominent postcolonial Anglophone writer, his recent award of the Nobel Prize in Literature in 2021 after publishing ten novels has brought his work and life unprecedented attention. While a comprehensive review of Gurnah's work is beyond the scope of this piece, what follows is a consideration of Gurnah as an Indian Ocean writer. Originally from Zanzibar, he escaped to Great Britain after the genocide against Arabs and South Asians in the Zanzibar Revolution of 1964. It is perhaps unsurprising therefore that his work touches on a dizzying array of postcolonial subjects including belonging, colonialism, displacement, memory, and migration set mainly on the shores of East Africa and Britain. Moving from one island to another, Gurnah and his work constantly negotiate the assemblages of sea, continent, and island. While the multifarious nature of Gurnah's work has been the basis of nearly universal praise and much analysis, categorizing them has been more difficult.For Gurnah, the question of categorization is particularly fraught territory because he transcends many categories. He is referred to as an African writer, a Black British writer, an Indian Ocean writer, an Afropolitan writer, a World Literature writer, and a postcolonial writer, among others. For example, Google refers to him as both a Tanzanian-British writer and a Tanzanian-</w:t>
      </w:r>
    </w:p>
    <w:p>
      <w:pPr/>
      <w:r>
        <w:rPr>
          <w:b/>
        </w:rPr>
        <w:t>POSSIBLE 2023:</w:t>
      </w:r>
      <w:r>
        <w:t xml:space="preserve"> Cruel Conquerors and a Solomonic Saint: European Collectors’ Interests in Indian Muraqqaʿs — https://doi.org/10.1515/9783111321462-004</w:t>
      </w:r>
    </w:p>
    <w:p>
      <w:pPr/>
      <w:r>
        <w:rPr>
          <w:b/>
        </w:rPr>
        <w:t>Shared claim-specific concepts:</w:t>
      </w:r>
      <w:r>
        <w:t xml:space="preserve"> period, other, indian; EU scope visible. This is a provisional connection, not an outcome finding.</w:t>
      </w:r>
    </w:p>
    <w:p>
      <w:pPr>
        <w:pStyle w:val="SourceNote"/>
      </w:pPr>
      <w:r>
        <w:rPr>
          <w:b/>
        </w:rPr>
        <w:t>Available abstract (not full text):</w:t>
      </w:r>
      <w:r>
        <w:t xml:space="preserve"> The essay argues that Europeans living and acting in India during the second half of the eighteenth century - the period before India became part of the colonial British Empire - were interested in collecting specific motifs within the Indian albums (muraqqaʿs) that they acquired and often commissioned. The study examines three recurrent portraits. Timur and Nadir Shah - both conquerors of India of Turkic origin - might have been regarded as historical role models by the French and British representatives who then strove to infiltrate the centres of Mughal power. Conversely, the Sufi saint Ibrahim ibn-i Adham might have represented the religious dimension of Indian society. The two contrasting motifs presumably also conveyed the persistent cliché of Muslim violence on the one hand and, on the other, the passivity ascribed in European texts to the Indian population.</w:t>
      </w:r>
    </w:p>
    <w:p>
      <w:pPr/>
      <w:r>
        <w:rPr>
          <w:b/>
        </w:rPr>
        <w:t>POSSIBLE 2023:</w:t>
      </w:r>
      <w:r>
        <w:t xml:space="preserve"> Dynamic Spillovers of Economic Policy Uncertainty Across the US, Europe, and East Asia — https://doi.org/10.1080/1226508x.2023.2243066</w:t>
      </w:r>
    </w:p>
    <w:p>
      <w:pPr/>
      <w:r>
        <w:rPr>
          <w:b/>
        </w:rPr>
        <w:t>Shared claim-specific concepts:</w:t>
      </w:r>
      <w:r>
        <w:t xml:space="preserve"> period, other, because, affect; EU scope visible. This is a provisional connection, not an outcome finding.</w:t>
      </w:r>
    </w:p>
    <w:p>
      <w:pPr>
        <w:pStyle w:val="SourceNote"/>
      </w:pPr>
      <w:r>
        <w:rPr>
          <w:b/>
        </w:rPr>
        <w:t>Available abstract (not full text):</w:t>
      </w:r>
      <w:r>
        <w:t xml:space="preserve"> This study investigates the dynamic spillovers and asymmetric connectedness of economic policy uncertainty across different economies that primarily affect Korea, that is, the US, Europe, China, and Japan. We find that dynamic connectedness over time is closely associated with substantial economic disruptions because shocks to economic policy uncertainty tend to spill over to a greater extent during turbulent times. The investigation of the economic policy uncertainty transmission mechanism reveals that while the US and Europe are the main transmitters of uncertainty shocks, China, Japan, and Korea are the receivers over the sample period. However, China became a strong transmitter to other economies in 2020. Overall, our findings suggest that economic circumstances can lead to asymmetric connectedness among the corresponding economies and significant spillovers from major economies to Korea through economic policy uncertainty.</w:t>
      </w:r>
    </w:p>
    <w:p>
      <w:pPr/>
      <w:r>
        <w:rPr>
          <w:b/>
        </w:rPr>
        <w:t>POSSIBLE 2022:</w:t>
      </w:r>
      <w:r>
        <w:t xml:space="preserve"> Pyrogeography: An Alternative Zonation for Europe — https://doi.org/10.3390/environsciproc2022017080</w:t>
      </w:r>
    </w:p>
    <w:p>
      <w:pPr/>
      <w:r>
        <w:rPr>
          <w:b/>
        </w:rPr>
        <w:t>Shared claim-specific concepts:</w:t>
      </w:r>
      <w:r>
        <w:t xml:space="preserve"> period, other, area; EU scope visible. This is a provisional connection, not an outcome finding.</w:t>
      </w:r>
    </w:p>
    <w:p>
      <w:pPr>
        <w:pStyle w:val="SourceNote"/>
      </w:pPr>
      <w:r>
        <w:rPr>
          <w:b/>
        </w:rPr>
        <w:t>Available abstract (not full text):</w:t>
      </w:r>
      <w:r>
        <w:t xml:space="preserve"> first_page settings Order Article Reprints Font Type: Arial Georgia Verdana Font Size: Aa Aa Aa Line Spacing:    Column Width:    Background: Open AccessAbstract Pyrogeography: An Alternative Zonation for Europe † by Luiz Felipe Galizia 1,2,*, Renaud Barbero 1, Marcos Rodrigues 3,4 and Thomas Curt 1 1 RECOVER, INRAE, 13182 Aix-en-Provence, France 2 Doctoral School Environmental Sciences, Aix-Marseille University, 13007 Marseille, France 3 Department of Geography, University of Zaragoza, 50009 Zaragoza, Spain 4 Department of Agriculture and Forest Engineering, University of Lleida, 25003 Lleida, Spain * Author to whom correspondence should be addressed. † Presented at the Third International Conference on Fire Behavior and Risk, Sardinia, Italy, 3–6 May 2022. Environ. Sci. Proc. 2022, 17(1), 80; https://doi.org/10.3390/environsciproc2022017080 Published: 16 August 2022 (This article belongs to the Proceedings of The Third International Conference on Fire Behavior and Risk) Download Download PDF Download XML Download Epub Browse Figure Versions Notes Studies dealing with wildland fire at global or continental scales normally use coarse-resolution spatial units, within which fire-regime components are aggregated for statistical purposes. Here, we developed the first European pyrogeography based on different fire-regime components to better capture the spatial heterogeneity o</w:t>
      </w:r>
    </w:p>
    <w:p>
      <w:pPr/>
      <w:r>
        <w:rPr>
          <w:b/>
        </w:rPr>
        <w:t>POSSIBLE 2021:</w:t>
      </w:r>
      <w:r>
        <w:t xml:space="preserve"> The Contraction of European Economic Distances through Sustainable Tourism in the Pre-Pandemic Period — https://doi.org/10.2478/zireb-2021-0013</w:t>
      </w:r>
    </w:p>
    <w:p>
      <w:pPr/>
      <w:r>
        <w:rPr>
          <w:b/>
        </w:rPr>
        <w:t>Shared claim-specific concepts:</w:t>
      </w:r>
      <w:r>
        <w:t xml:space="preserve"> period, other; EU scope visible. This is a provisional connection, not an outcome finding.</w:t>
      </w:r>
    </w:p>
    <w:p>
      <w:pPr>
        <w:pStyle w:val="SourceNote"/>
      </w:pPr>
      <w:r>
        <w:rPr>
          <w:b/>
        </w:rPr>
        <w:t>Available abstract (not full text):</w:t>
      </w:r>
      <w:r>
        <w:t xml:space="preserve"> Abstract The current importance of tourism leads us to analyze the extent to which the receipts from international tourism, and tourism in general, influence the capacity of European countries to reduce the development gaps of this sector in the European context and the extent to which the economic growth is sensitive to changes in tourist arrivals, tourism receipts and expenditures. Studying the GDP per capita and the receipts from international tourism for the period 1995-2017, we find that the European tourism has an important role in economy but secondary to capital stock and exports. The methodology used is a sensitivity analysis and a multiple linear regression with two models. The results show that, on short term, the gap in the European tourism sector is explained by the ability to attract income from the international tourism. The European growth of the tourism sector depends to a large extent on the amount of expenditures that tourists are making, on tourism receipts and, to a lesser extent, on tourist arrivals, but in all cases, the connection is a direct and positive one but, even so, the capital stock and the exports continue to play a very important role for the European economy. The analysis suggests that tourism is not a panacea for growth. On the contrary, it is one of the activities that stimulate growth along with investments, technology, or any other form of</w:t>
      </w:r>
    </w:p>
    <w:p>
      <w:pPr/>
      <w:r>
        <w:rPr>
          <w:b/>
        </w:rPr>
        <w:t>POSSIBLE 2021:</w:t>
      </w:r>
      <w:r>
        <w:t xml:space="preserve"> Storm and fire disturbances in Europe: Distribution and trends — https://doi.org/10.1111/gcb.15679</w:t>
      </w:r>
    </w:p>
    <w:p>
      <w:pPr/>
      <w:r>
        <w:rPr>
          <w:b/>
        </w:rPr>
        <w:t>Shared claim-specific concepts:</w:t>
      </w:r>
      <w:r>
        <w:t xml:space="preserve"> period, other, area; EU scope visible. This is a provisional connection, not an outcome finding.</w:t>
      </w:r>
    </w:p>
    <w:p>
      <w:pPr>
        <w:pStyle w:val="SourceNote"/>
      </w:pPr>
      <w:r>
        <w:rPr>
          <w:b/>
        </w:rPr>
        <w:t>Available abstract (not full text):</w:t>
      </w:r>
      <w:r>
        <w:t xml:space="preserve"> Abiotic forest disturbances are an important driver of ecosystem dynamics. In Europe, storms and fires have been identified as the most important abiotic disturbances in the recent past. Yet, how strongly these agents drive local disturbance regimes compared to other agents (e.g., biotic, human) remains unresolved. Furthermore, whether storms and fires are responsible for the observed increase in forest disturbances in Europe is debated. Here, we provide quantitative evidence for the prevalence of storm and fire disturbances in Europe 1986-2016. For 27 million disturbance patches mapped from satellite data, we determined whether they were caused by storm or fire, using a random forest classifier and a large reference dataset of true disturbance occurrences. We subsequently analyzed patterns of disturbance prevalence (i.e., the share of an agent on the overall area disturbed) in space and time. Storm- and fire-related disturbances each accounted for approximately 7% of all disturbances recorded in Europe in the period 1986-2016. Storm-related disturbances were most prevalent in western and central Europe, where they locally accounted for &gt;50% of all disturbances, but we also identified storm-related disturbances in south-eastern and eastern Europe. Fire-related disturbances were a major disturbance agent in southern and south-eastern Europe, but fires also occurred in eastern an</w:t>
      </w:r>
    </w:p>
    <w:p>
      <w:pPr/>
      <w:r>
        <w:rPr>
          <w:b/>
        </w:rPr>
        <w:t>POSSIBLE 2021:</w:t>
      </w:r>
      <w:r>
        <w:t xml:space="preserve"> Western Europe — https://doi.org/10.1017/9781316671603.003</w:t>
      </w:r>
    </w:p>
    <w:p>
      <w:pPr/>
      <w:r>
        <w:rPr>
          <w:b/>
        </w:rPr>
        <w:t>Shared claim-specific concepts:</w:t>
      </w:r>
      <w:r>
        <w:t xml:space="preserve"> period, suggested; EU scope visible. This is a provisional connection, not an outcome finding.</w:t>
      </w:r>
    </w:p>
    <w:p>
      <w:pPr>
        <w:pStyle w:val="SourceNote"/>
      </w:pPr>
      <w:r>
        <w:rPr>
          <w:b/>
        </w:rPr>
        <w:t>Available abstract (not full text):</w:t>
      </w:r>
      <w:r>
        <w:t xml:space="preserve"> This chapter considers the growth performance of western European countries since 1870, and relates this to the degree of openness. A theoretical explanation of why convergence is predicted by economic theory is presented and some statistics are presented on GDP per capita and the contributions of various factors to growth performance. Three periods are considered: 1870 until World War I; the interwar period; and after World War II. The first and the last are associated with globalization and convergence, whereas the interwar period witnessed increasing levels of economic isolation and lack of convergence. All western European countries are much richer today than they were in 1870, but some countries have performed much more strongly than others. Over- and underperforming countries, whose growth performances were markedly different from what might be expected from their initial levels of income, are highlighted, and possible interpretations suggested.</w:t>
      </w:r>
    </w:p>
    <w:p>
      <w:pPr/>
      <w:r>
        <w:rPr>
          <w:b/>
        </w:rPr>
        <w:t>POSSIBLE 2021:</w:t>
      </w:r>
      <w:r>
        <w:t xml:space="preserve"> Europe Annexes the Tropics — https://doi.org/10.1201/9781003208983-8</w:t>
      </w:r>
    </w:p>
    <w:p>
      <w:pPr/>
      <w:r>
        <w:rPr>
          <w:b/>
        </w:rPr>
        <w:t>Shared claim-specific concepts:</w:t>
      </w:r>
      <w:r>
        <w:t xml:space="preserve"> period, other, because; EU scope visible. This is a provisional connection, not an outcome finding.</w:t>
      </w:r>
    </w:p>
    <w:p>
      <w:pPr>
        <w:pStyle w:val="SourceNote"/>
      </w:pPr>
      <w:r>
        <w:rPr>
          <w:b/>
        </w:rPr>
        <w:t>Available abstract (not full text):</w:t>
      </w:r>
      <w:r>
        <w:t xml:space="preserve"> The tropical societies and the agricultural systems that supported them underwent a dramatic period of shock and change from the end of the 15th century onward. The growing merchant class resented paying vast profits to the merchants of Venice, who were the only people with whom the Turks would trade, and so. The spices were of particular interest because the agriculture of the Middle Ages in Europe had not discovered how to keep large numbers of livestock alive through the hardships of winter when there were no crops to graze. The widespread destruction — of societies, farm systems, and huge numbers of Indians — that resulted from the "gold fever" needs some explanation. The Catholic religion was the only one acceptable in the eyes of the Spanish church and court. Unbelievers, even those following other forms of Christian belief, were tortured into changing their faith back to Catholicism.</w:t>
      </w:r>
    </w:p>
    <w:p>
      <w:pPr>
        <w:pStyle w:val="Heading2"/>
      </w:pPr>
      <w:r>
        <w:t>674. PROBLEM OF PROFESSIONAL TRAINING OF FUTURE ECONOMISTS FOR DEVELOPMENT OF NATIONAL ECONOMY UNDER CONDITIONS OF EUROPEAN INTEGRATION</w:t>
      </w:r>
    </w:p>
    <w:p>
      <w:pPr>
        <w:pStyle w:val="SourceNote"/>
      </w:pPr>
      <w:r>
        <w:rPr>
          <w:b/>
        </w:rPr>
        <w:t>Original source (2020):</w:t>
      </w:r>
      <w:r>
        <w:t xml:space="preserve"> https://doi.org/10.30525/2256-0742/2020-6-5-148-154</w:t>
      </w:r>
    </w:p>
    <w:p>
      <w:pPr/>
      <w:r>
        <w:t>Original wording (abstract; indexed_source_text_not_full_document_verified): Core competencies for future economists, which they must acquire at the universities in the process of professional training and which they will promote participating in the development of national economy of Ukraine, are outlined. In particular, the introduction of individual educational trajectory of economists with a projection on elective courses and extrapolation into future economic practice is recommended.</w:t>
      </w:r>
    </w:p>
    <w:p>
      <w:pPr/>
      <w:r>
        <w:rPr>
          <w:b/>
        </w:rPr>
        <w:t>POSSIBLE 2026:</w:t>
      </w:r>
      <w:r>
        <w:t xml:space="preserve"> Competency-based European training requirements for the specialty of ophthalmology — https://openalex.org/W7155593103</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2026:</w:t>
      </w:r>
      <w:r>
        <w:t xml:space="preserve"> Digital Literacy as a Core Competency in Higher Education — https://openalex.org/W7216688389</w:t>
      </w:r>
    </w:p>
    <w:p>
      <w:pPr/>
      <w:r>
        <w:rPr>
          <w:b/>
        </w:rPr>
        <w:t>Shared claim-specific concepts:</w:t>
      </w:r>
      <w:r>
        <w:t xml:space="preserve"> core, professional, educational; EU scope not established. This is a provisional connection, not an outcome finding.</w:t>
      </w:r>
    </w:p>
    <w:p>
      <w:pPr>
        <w:pStyle w:val="SourceNote"/>
      </w:pPr>
      <w:r>
        <w:rPr>
          <w:b/>
        </w:rPr>
        <w:t>Available abstract (not full text):</w:t>
      </w:r>
      <w:r>
        <w:t xml:space="preserve"> Digital literacy has emerged as a critical competency in higher education, reflecting the growing role of information and communication technologies (ICT), online learning platforms, and digital resources in academic engagement, knowledge creation, and professional readiness. This review paper critically examines the role of digital literacy as an essential skill for higher education students, exploring its conceptual framework, theoretical underpinnings, pedagogical integration, institutional strategies, assessment approaches, and policy implications. Drawing on research from educational technology, learning sciences, digital pedagogy, higher education administration, information literacy studies, and competency-based learning frameworks, the paper analyzes how digital literacy enhances academic performance, promotes self-directed learning, fosters critical thinking, supports ethical and safe digital engagement, and prepares students for knowledge-intensive professions. The review highlights institutional initiatives, curriculum integration strategies, faculty capacity building, and technology-enabled pedagogical practices that cultivate digital literacy across disciplines. Furthermore, it examines challenges such as digital divide, access inequity, faculty readiness, infrastructural limitations, and assessment standardization. The study concludes that embedding digital litera</w:t>
      </w:r>
    </w:p>
    <w:p>
      <w:pPr/>
      <w:r>
        <w:rPr>
          <w:b/>
        </w:rPr>
        <w:t>POSSIBLE 2026:</w:t>
      </w:r>
      <w:r>
        <w:t xml:space="preserve"> Competency-based European training requirements for the specialty of ophthalmology. Recommendations from the UEMS section of ophthalmology and the European Board of Ophthalmology — https://openalex.org/W7149229150</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2026:</w:t>
      </w:r>
      <w:r>
        <w:t xml:space="preserve"> FOSTERING FUTURE ECONOMISTS’ AI LITERACY SKILLS IN THE PROCESS OF MASTERING BUSINESS ENGLISH AT THE ECONOMIC UNIVERSITY — https://doi.org/10.52058/2786-6025-2026-2(56)-566-582</w:t>
      </w:r>
    </w:p>
    <w:p>
      <w:pPr/>
      <w:r>
        <w:rPr>
          <w:b/>
        </w:rPr>
        <w:t>Shared claim-specific concepts:</w:t>
      </w:r>
      <w:r>
        <w:t xml:space="preserve"> competencies, economists, process, professional; EU scope not established. This is a provisional connection, not an outcome finding.</w:t>
      </w:r>
    </w:p>
    <w:p>
      <w:pPr>
        <w:pStyle w:val="SourceNote"/>
      </w:pPr>
      <w:r>
        <w:rPr>
          <w:b/>
        </w:rPr>
        <w:t>Available abstract (not full text):</w:t>
      </w:r>
      <w:r>
        <w:t xml:space="preserve"> The rapid integration of artificial intelligence (AI) into global economic systems is transforming professional communication, data analysis, and decision-making processes.In this context, future economists are expected not only to demonstrate a high level of Business English proficiency but also possess welldeveloped AI literacy skills.The present study explores pedagogical strategies for fostering AI literacy among economics students in the process of mastering Business English at the university level.The paper defines AI literacy as a multidimensional competence that includes understanding fundamental AI principles, the ability to critically evaluate AIgenerated content, ethical awareness, and the capacity to efficiently and responsibly use AI tools for professional communication and the area of expertise.Integrating AIrelated content into Business English instruction creates a dual-focus learning environment in which language acquisition is combined with the development of digital and analytical competencies.The research outlines practical approaches such as task-based learning with AIpowered tools, the analysis of AI-generated business reports, simulations of datadriven decision-making, and structured prompt design activities in English.These methods encourage students to refine professional vocabulary, improve communicative accuracy, and cultivate critical thinking skills</w:t>
      </w:r>
    </w:p>
    <w:p>
      <w:pPr/>
      <w:r>
        <w:rPr>
          <w:b/>
        </w:rPr>
        <w:t>POSSIBLE 2025:</w:t>
      </w:r>
      <w:r>
        <w:t xml:space="preserve"> Art Core Competency in Chinese Secondary Vocational Schools: A Systematic Literature Review — https://doi.org/10.6007/ijarbss/v15-i1/24498</w:t>
      </w:r>
    </w:p>
    <w:p>
      <w:pPr/>
      <w:r>
        <w:rPr>
          <w:b/>
        </w:rPr>
        <w:t>Shared claim-specific concepts:</w:t>
      </w:r>
      <w:r>
        <w:t xml:space="preserve"> core, competencies, professional, training, educational; EU scope not established. This is a provisional connection, not an outcome finding.</w:t>
      </w:r>
    </w:p>
    <w:p>
      <w:pPr>
        <w:pStyle w:val="SourceNote"/>
      </w:pPr>
      <w:r>
        <w:rPr>
          <w:b/>
        </w:rPr>
        <w:t>Available abstract (not full text):</w:t>
      </w:r>
      <w:r>
        <w:t xml:space="preserve"> The education system greatly emphasises cultivating the students' skills to succeed in the 21st century.The Ministry of Education in China advocates for the developing students' core competencies and has introduced the concept of art core competencies to integrate more closely with the art discipline.Teachers aim to cultivate art core competencies as an educational goal.However, The current literature lacks a scope review of relevant research on the core competencies of vocational art in the context of core competencies.Therefore, researchers emphasize the need for a systematic review of existing studies to gather information on the research regarding art core competencies in Chinese secondary vocational schools.This review identifies three key questions: (1) What are the dominant themes associated with art core competency in secondary vocational schools in China?(2) How do secondary vocational schools cultivate art core competencies in China?(3) What difficulties are encountered in cultivating art core competencies?The literature review on art core competencies in Chinese secondary vocational schools reveals that student-centered approaches, multimedia-assisted teaching, problem-based learning contexts, and diversified assessment strategies are the primary methods art teachers use to implement core competencies.Moreover, the findings also indicate that teachers face challenges</w:t>
      </w:r>
    </w:p>
    <w:p>
      <w:pPr/>
      <w:r>
        <w:rPr>
          <w:b/>
        </w:rPr>
        <w:t>POSSIBLE 2025:</w:t>
      </w:r>
      <w:r>
        <w:t xml:space="preserve"> Economists, Economic Knowledge, and Central Banks — https://doi.org/10.31235/osf.io/acymv_v1</w:t>
      </w:r>
    </w:p>
    <w:p>
      <w:pPr/>
      <w:r>
        <w:rPr>
          <w:b/>
        </w:rPr>
        <w:t>Shared claim-specific concepts:</w:t>
      </w:r>
      <w:r>
        <w:t xml:space="preserve"> economists, process, national; EU scope not established. This is a provisional connection, not an outcome finding.</w:t>
      </w:r>
    </w:p>
    <w:p>
      <w:pPr>
        <w:pStyle w:val="SourceNote"/>
      </w:pPr>
      <w:r>
        <w:rPr>
          <w:b/>
        </w:rPr>
        <w:t>Available abstract (not full text):</w:t>
      </w:r>
      <w:r>
        <w:t xml:space="preserve"> What do economists do in central banks? Why do central banks hire economists? This book investigates the evolving role of economists and economic knowledge within central banks, arguing that their current centrality is neither self-evident nor historically inevitable. While the presence and influence of economists in central banks today may seem natural, this book shows that it is the result of a complex, gradual, and uneven historical process shaped by institutional structures, disciplinary transformations, and shifting relationships between science and policy. Drawing on a rich but dispersed body of literature, the book traces how economists progressively gained authority through the establishment of statistics departments, the adoption of macroeconometric models, and the emergence of a shared cognitive infrastructure between academia and central banks. Rather than focusing on individuals or doctrines, it examines general trends and institutional shifts across a series of national case studies to show how central banks function as boundary organizations, at the intersection of policy and science.[Version Submitted to Cambridge University Press Elements series.]</w:t>
      </w:r>
    </w:p>
    <w:p>
      <w:pPr/>
      <w:r>
        <w:rPr>
          <w:b/>
        </w:rPr>
        <w:t>POSSIBLE 2025:</w:t>
      </w:r>
      <w:r>
        <w:t xml:space="preserve"> EMPLOYERS' PERCEPTIONS OF THE ROLE OF ENGLISH-LANGUAGE COMPETENCE OF ECONOMISTS IN THE DEVELOPMENT OF INNOVATIVE ACTIVITY OF ENTERPRISES — https://doi.org/10.30525/2256-0742/2025-11-5-414-424</w:t>
      </w:r>
    </w:p>
    <w:p>
      <w:pPr/>
      <w:r>
        <w:rPr>
          <w:b/>
        </w:rPr>
        <w:t>Shared claim-specific concepts:</w:t>
      </w:r>
      <w:r>
        <w:t xml:space="preserve"> economists, they, professional, training, ukraine, individual; EU scope not established. This is a provisional connection, not an outcome finding.</w:t>
      </w:r>
    </w:p>
    <w:p>
      <w:pPr>
        <w:pStyle w:val="SourceNote"/>
      </w:pPr>
      <w:r>
        <w:rPr>
          <w:b/>
        </w:rPr>
        <w:t>Available abstract (not full text):</w:t>
      </w:r>
      <w:r>
        <w:t xml:space="preserve"> Economic transformation and intensified international competition increase the demand for specialists capable of operating across linguistic and cultural borders. This study examines how employers in Ukraine assess economists’ English language competence and how they relate it to enterprise innovation. The aim is to explore employers’ evaluations of economists’ English skills and their perceived contribution to innovation-related activities and overall company performance. The analysis is based on a quantitative survey of 50 employers from the IT, financial, service, and production sectors who evaluated selected economist employees using five-point Likert scales. The questionnaire captures three groups of indicators: perceived level and use of English at work, perceived impact of English on individual performance, and perceived impact of English on enterprise development. Descriptive statistics show that employers rate initial English proficiency at 3.6 points on average, frequency of use at 3.9, and quality of English-mediated task performance at 3.7, which indicates regular use with considerable room for improvement. Employers also give high scores to the impact of English on communication with partners and clients (4.6) and on overall work effectiveness (4.4), while they rate its contribution to participation in new or international projects at 4.1. At the enterprise level t</w:t>
      </w:r>
    </w:p>
    <w:p>
      <w:pPr/>
      <w:r>
        <w:rPr>
          <w:b/>
        </w:rPr>
        <w:t>POSSIBLE 2025:</w:t>
      </w:r>
      <w:r>
        <w:t xml:space="preserve"> Competency‐based European training requirements for the specialty of ophthalmology. Recommendations from the UEMS section of ophthalmology and the European Board of Ophthalmology — https://doi.org/10.1111/aos.17575</w:t>
      </w:r>
    </w:p>
    <w:p>
      <w:pPr/>
      <w:r>
        <w:rPr>
          <w:b/>
        </w:rPr>
        <w:t>Shared claim-specific concepts:</w:t>
      </w:r>
      <w:r>
        <w:t xml:space="preserve"> core, competencies, must, acquire, professional, training; EU scope visible. This is a provisional connection, not an outcome finding.</w:t>
      </w:r>
    </w:p>
    <w:p>
      <w:pPr>
        <w:pStyle w:val="SourceNote"/>
      </w:pPr>
      <w:r>
        <w:rPr>
          <w:b/>
        </w:rPr>
        <w:t>Available abstract (not full text):</w:t>
      </w:r>
      <w:r>
        <w:t xml:space="preserve"> PURPOSE: Ophthalmology encompasses comprehensive medical and surgical care for patients with diverse visual system disorders, significantly impacting eye health, vision, and quality of life. European ophthalmologists undergo specialized residency training to acquire necessary competencies, emphasizing theoretical knowledge, clinical and surgical skills, and professional behaviour. The European Union of Medical Specialists (UEMS) and the European Board of Ophthalmology (EBO) advocate for competency-based medical education (CBME), standardized training frameworks, and harmonized assessments across Europe. METHODS: In 2023, a survey among European ophthalmologists demonstrated broad consensus on establishing unified training requirements. Subsequently, a Core Working Group developed European Training Requirements (ETRs) for ophthalmology, detailing curricula, subspecialty rotations, and Entrustable Professional Activities (EPAs) across a structured four-year residency. RESULTS: These ETRs, formally approved by UEMS in October 2024, incorporate simulation-based training, workplace-based assessments (WPBA), and innovative evaluation methods such as electronic portfolios. Certification as a European Specialist in Ophthalmology involves passing rigorous summative assessments, including the European Board of Ophthalmology Diploma (EBOD) examination. Training institutions must offer sub</w:t>
      </w:r>
    </w:p>
    <w:p>
      <w:pPr/>
      <w:r>
        <w:rPr>
          <w:b/>
        </w:rPr>
        <w:t>POSSIBLE 2025:</w:t>
      </w:r>
      <w:r>
        <w:t xml:space="preserve"> Core competencies in pharmaceutical education: a Chinese student perspective — https://doi.org/10.1186/s12909-025-07686-7</w:t>
      </w:r>
    </w:p>
    <w:p>
      <w:pPr/>
      <w:r>
        <w:rPr>
          <w:b/>
        </w:rPr>
        <w:t>Shared claim-specific concepts:</w:t>
      </w:r>
      <w:r>
        <w:t xml:space="preserve"> core, competencies, professional; EU scope not established. This is a provisional connection, not an outcome finding.</w:t>
      </w:r>
    </w:p>
    <w:p>
      <w:pPr>
        <w:pStyle w:val="SourceNote"/>
      </w:pPr>
      <w:r>
        <w:rPr>
          <w:b/>
        </w:rPr>
        <w:t>Available abstract (not full text):</w:t>
      </w:r>
      <w:r>
        <w:t xml:space="preserve"> BACKGROUND: From the students' perspective, the research evaluates their views on core competencies and their own developmental needs within pharmaceutical education, attempting to explore potential pathways for optimizing students' core competencies. This study seeks to enhance students' core competencies, enrich learning and development theories, and establish a basis and reference for cultivating high-caliber pharmaceutical talents. METHODS: Establishing a core competency index system for pharmacy major, a survey questionnaire comprising 41 items across four dimensions (knowledge, skills, abilities, and values) was designed. Using stratified cluster sampling, 919 valid responses were collected. Descriptive statistics, variance analysis, and chi-square test were used to analyze the perceptions of pharmaceutical students on core competencies' importance for professional growth and their satisfaction with teaching, and to examine disparities in the development of core competencies among different groups of students. RESULTS: The study revealed deficiencies in pharmaceutical students' core competencies regarding artificial intelligence, pharmaceutical application, medical care, etc. Differential analysis indicated that significant differences across education levels: undergraduates prioritized foundational knowledge and ethical norms, while postgraduates emphasized project-based</w:t>
      </w:r>
    </w:p>
    <w:p>
      <w:pPr/>
      <w:r>
        <w:rPr>
          <w:b/>
        </w:rPr>
        <w:t>POSSIBLE 2025:</w:t>
      </w:r>
      <w:r>
        <w:t xml:space="preserve"> South Asian Medical Schools Must Include "Resident as a Teacher", One of the Core Competencies in the Curriculum of Postgraduate Trainees — https://doi.org/10.22442/jlumhs.2025.01388</w:t>
      </w:r>
    </w:p>
    <w:p>
      <w:pPr/>
      <w:r>
        <w:rPr>
          <w:b/>
        </w:rPr>
        <w:t>Shared claim-specific concepts:</w:t>
      </w:r>
      <w:r>
        <w:t xml:space="preserve"> core, competencies, must, training; EU scope not established. This is a provisional connection, not an outcome finding.</w:t>
      </w:r>
    </w:p>
    <w:p>
      <w:pPr>
        <w:pStyle w:val="SourceNote"/>
      </w:pPr>
      <w:r>
        <w:rPr>
          <w:b/>
        </w:rPr>
        <w:t>Available abstract (not full text):</w:t>
      </w:r>
      <w:r>
        <w:t xml:space="preserve"> The postgraduate trainee in the medical field is commonly referred to as a resident around the world. Residents are an indispensable part of the health care workforce in almost all teaching hospitals and medical schools across the globe. Residency is an in-service learning and training1. The resident of any specialty performs multiple roles during the specified training period, such as learner, healthcare provider, teacher, researcher and sometimes administrator too2-4. Residents are considered an integral part of both undergraduate and postgraduate medical education2. Globally, residents are engaged in teaching, formally or informally, to their junior colleagues and medical students4. In other words, a teacher is one of the critical roles a resident plays during their residency training period3. Residents typically spend approximately one-fourth of their training time teaching junior residents and students3,5,7. Statutory bodies governing the medical education in some of the countries have developed norms or guiding principle for the training "Resident as teacher or educator", but the curriculum for such types of training vary across schools, departments and specialties.</w:t>
      </w:r>
    </w:p>
    <w:p>
      <w:pPr/>
      <w:r>
        <w:rPr>
          <w:b/>
        </w:rPr>
        <w:t>POSSIBLE 2025:</w:t>
      </w:r>
      <w:r>
        <w:t xml:space="preserve"> Revisiting the Competency-Based Paradigm in Primary Education: Unpacking the Spiral Curriculum Approach — https://doi.org/10.29333/iji.2026.19121a</w:t>
      </w:r>
    </w:p>
    <w:p>
      <w:pPr/>
      <w:r>
        <w:rPr>
          <w:b/>
        </w:rPr>
        <w:t>Shared claim-specific concepts:</w:t>
      </w:r>
      <w:r>
        <w:t xml:space="preserve"> competencies, process, promote, educational; EU scope visible. This is a provisional connection, not an outcome finding.</w:t>
      </w:r>
    </w:p>
    <w:p>
      <w:pPr>
        <w:pStyle w:val="SourceNote"/>
      </w:pPr>
      <w:r>
        <w:rPr>
          <w:b/>
        </w:rPr>
        <w:t>Available abstract (not full text):</w:t>
      </w:r>
      <w:r>
        <w:t xml:space="preserve"> Key competencies have become central to international education policy, driving curriculum reform since the early 21st century. This trend continues through initiatives such as STEAM and policy guidance from the OECD, which promote the development of competency-based, high- quality education systems. This study explores the ideological and pedagogical framework of Spain´s Primary Education system through a case study conducted within a naturalistic-interpretative paradigm in the Region of Murcia, one of the first autonomous communities to implement competency-based education. Data were collected through document analysis and semi-structured interviews with teachers in various roles and educational inspectors. The research process included collaborative report development and expert triangulation to ensure validity and rigor. Findings reveal persistent epistemological ambiguities in defining key competences, as well as tensions between behaviorist-economic and constructivist-humanistic approaches to implementation. The study concludes that successfully enacting competency-based education in Spain requires not only curricular alignment but also greater epistemological and pedagogical coherence.</w:t>
      </w:r>
    </w:p>
    <w:p>
      <w:pPr/>
      <w:r>
        <w:rPr>
          <w:b/>
        </w:rPr>
        <w:t>POSSIBLE 2025:</w:t>
      </w:r>
      <w:r>
        <w:t xml:space="preserve"> Leadership Competencies in Turbulent Environments — https://doi.org/10.5772/intechopen.115544</w:t>
      </w:r>
    </w:p>
    <w:p>
      <w:pPr/>
      <w:r>
        <w:rPr>
          <w:b/>
        </w:rPr>
        <w:t>Shared claim-specific concepts:</w:t>
      </w:r>
      <w:r>
        <w:t xml:space="preserve"> core, competencies; EU scope not established. This is a provisional connection, not an outcome finding.</w:t>
      </w:r>
    </w:p>
    <w:p>
      <w:pPr>
        <w:pStyle w:val="SourceNote"/>
      </w:pPr>
      <w:r>
        <w:rPr>
          <w:b/>
        </w:rPr>
        <w:t>Available abstract (not full text):</w:t>
      </w:r>
      <w:r>
        <w:t xml:space="preserve"> The purpose of this chapter is to identify the core competencies of leaders in turbulent environments because the world is changing rapidly and the environment around organizations is in a very chaotic situation. The concept that describes this environment is Volatility, Uncertainty, Complexity, and Ambiguity (VUCA). In this situation, leaders play an important role in directing organizations. Leaders’ Competencies in a turbulent environment can be divided into five dimensions. Analytical competencies such as thinking (creative, analytical, critical, and systemic), cognitive competencies such as innovation, vision, and strategic vision. Communication competencies such as intercultural literacy, collaboration, digital literacy, confirmation, informal relationships, networking, personal and interpersonal skills, team building, and teamwork. Situational competencies such as adaptability, negative competence, planning for environmental trends, forecasting skills, and responding to changes. Organizational competencies such as cooperation, complex adaptive leadership, group cohesion, decision-making, examining the internal and external environment of the organization, involving the organization in the development strategy, knowledge sharing, decision-making, feedback, reducing response time, and time management. Personal competencies such as acceptance of uncertainty, clarity, compos</w:t>
      </w:r>
    </w:p>
    <w:p>
      <w:pPr>
        <w:pStyle w:val="Heading2"/>
      </w:pPr>
      <w:r>
        <w:t>675. Pathways for Low-Carbon Transition of the Steel Industry—A Swedish Case Study</w:t>
      </w:r>
    </w:p>
    <w:p>
      <w:pPr>
        <w:pStyle w:val="SourceNote"/>
      </w:pPr>
      <w:r>
        <w:rPr>
          <w:b/>
        </w:rPr>
        <w:t>Original source (2020):</w:t>
      </w:r>
      <w:r>
        <w:t xml:space="preserve"> https://doi.org/10.3390/en13153840</w:t>
      </w:r>
    </w:p>
    <w:p>
      <w:pPr/>
      <w:r>
        <w:t>Original wording (abstract; indexed_source_text_not_full_document_verified): The results show that CCS in combination with biomass substitution in the blast furnace and a replacement primary steel production plant with EAF with biomass (Pathway 1) yield CO2 emission reductions of 83% in 2045 compared to CO2 emissions with current steel process configurations. Finally, (Pathway 3) we show that increased production of hot briquetted iron pellets (HBI), could lead to decarbonization of the steel industry outside Sweden, assuming that the exported HBI will be converted via EAF and the receiving country has a decarbonized power sector.</w:t>
      </w:r>
    </w:p>
    <w:p>
      <w:pPr/>
      <w:r>
        <w:rPr>
          <w:b/>
        </w:rPr>
        <w:t>POSSIBLE 2026:</w:t>
      </w:r>
      <w:r>
        <w:t xml:space="preserve"> Low-Carbon Autoclaved Alkali-Activated Blast Furnace Slag Concrete: Microstructure and Mechanical Properties — https://doi.org/10.3390/app16031178</w:t>
      </w:r>
    </w:p>
    <w:p>
      <w:pPr/>
      <w:r>
        <w:rPr>
          <w:b/>
        </w:rPr>
        <w:t>Shared claim-specific concepts:</w:t>
      </w:r>
      <w:r>
        <w:t xml:space="preserve"> show, ccs, blast, furnace, replacement, co2; EU scope not established. This is a provisional connection, not an outcome finding.</w:t>
      </w:r>
    </w:p>
    <w:p>
      <w:pPr>
        <w:pStyle w:val="SourceNote"/>
      </w:pPr>
      <w:r>
        <w:rPr>
          <w:b/>
        </w:rPr>
        <w:t>Available abstract (not full text):</w:t>
      </w:r>
      <w:r>
        <w:t xml:space="preserve"> This paper presents a microstructural, mineralogical, and mechanical study of low-carbon autoclaved concrete (AC), achieved by partially or fully replacing ordinary Portland cement (OPC) with ground-granulated blast furnace slag (BFS) and substituting lime with calcium carbide slag (CCS). Fourteen mixes were produced and evaluated in the green state and after autoclaving. Quantitative X-ray diffraction (XRD) using the Rietveld method, density, compressive strength, and life cycle assessment (LCA) were conducted. Results show that mixes containing BFS achieve green strengths equal to or higher than the OPC reference, ensuring integrity during autoclaving. Using BFS with an adequate calcium supply promotes the formation of pre-autoclave portlandite, which in turn favors tobermorite development and yields post-autoclave strengths comparable to the OPC reference. Partial lime replacement with CCS (50%) maintains mineralogy and strength, whereas excessive CCS may reduce available portlandite and lower strength. Life-cycle assessment indicates that raw material supply dominates emissions and that removing OPC cuts total CO2 by 44% without compromising mechanical performance. These findings demonstrate the feasibility of OPC-lean/OPC-free, lime-optimized autoclaved concretes with substantially lower embodied impacts.</w:t>
      </w:r>
    </w:p>
    <w:p>
      <w:pPr/>
      <w:r>
        <w:rPr>
          <w:b/>
        </w:rPr>
        <w:t>POSSIBLE 2026:</w:t>
      </w:r>
      <w:r>
        <w:t xml:space="preserve"> Engineered Closed-Loop Mineral Storage (ECLMS): A Conceptual Korean CCS Model Bridging Ex-situ Mineralization and Geological Storage — https://doi.org/10.2139/ssrn.6750780</w:t>
      </w:r>
    </w:p>
    <w:p>
      <w:pPr/>
      <w:r>
        <w:rPr>
          <w:b/>
        </w:rPr>
        <w:t>Shared claim-specific concepts:</w:t>
      </w:r>
      <w:r>
        <w:t xml:space="preserve"> ccs, emissions; EU scope visible. This is a provisional connection, not an outcome finding.</w:t>
      </w:r>
    </w:p>
    <w:p>
      <w:pPr>
        <w:pStyle w:val="SourceNote"/>
      </w:pPr>
      <w:r>
        <w:rPr>
          <w:b/>
        </w:rPr>
        <w:t>Available abstract (not full text):</w:t>
      </w:r>
      <w:r>
        <w:t xml:space="preserve"> The expansion of Carbon Border Adjustment Mechanism (CBAM) and the European Union's Emissions Trading System (EU ETS) has sharpened global expectations for permanence, traceability, and accounting integrity in carbon capture and storage (CCS). At the same time, several major industrial economiesincluding the Republic of Korea, Japan, and parts of Southeast Asia-face a structural deficit of natural geological storage reservoirs suitable for conventional CCS. Existing mineralization options, including exsitu slurry reactors, in-situ basalt injection, and surficial mine tailings carbonation, occupy distinct niches but leave a regulatory grey zone for jurisdictions that lack large-scale saline aquifers yet possess abundant abandoned mine voids and alkaline industrial by-products. This perspective proposes Engineered Closed-Loop Mineral Storage (ECLMS) as a new conceptual CCS category. ECLMS combines (i) sealed underground containment in repurposed mine voids or engineered caverns, (ii) aqueous-phase mineral carbonation using slag, basalt, or olivine, and (iii) stabilization of CO₂ as dissolved bicarbonate (HCO₃⁻) and precipitated carbonates within a closed system. We map ECLMS onto the four IPCC trapping mechanisms, distinguish it from adjacent categories (Carbfix-style in-situ injection, Carbon8-style products, Calcarea-style ocean dispersal, and the Korean Dogye colliery pilot), </w:t>
      </w:r>
    </w:p>
    <w:p>
      <w:pPr/>
      <w:r>
        <w:rPr>
          <w:b/>
        </w:rPr>
        <w:t>POSSIBLE 2026:</w:t>
      </w:r>
      <w:r>
        <w:t xml:space="preserve"> Routing India towards Net Zero: Optimal Planning of the CCS Infrastructure — https://doi.org/10.1007/s10666-026-10129-2</w:t>
      </w:r>
    </w:p>
    <w:p>
      <w:pPr/>
      <w:r>
        <w:rPr>
          <w:b/>
        </w:rPr>
        <w:t>Shared claim-specific concepts:</w:t>
      </w:r>
      <w:r>
        <w:t xml:space="preserve"> ccs, emissions; EU scope not established. This is a provisional connection, not an outcome finding.</w:t>
      </w:r>
    </w:p>
    <w:p>
      <w:pPr>
        <w:pStyle w:val="SourceNote"/>
      </w:pPr>
      <w:r>
        <w:rPr>
          <w:b/>
        </w:rPr>
        <w:t>Available abstract (not full text):</w:t>
      </w:r>
      <w:r>
        <w:t xml:space="preserve"> Abstract Given its size, growing population, and emerging economy, India’s energy choices are critically important for mitigating global climate change. The country’s increasing energy consumption, heavily reliant on coal, raises concerns about its ability to achieve its net zero target by 2070. Carbon Capture and Storage (CCS) technologies offer a potential solution to reduce emissions from coal-fired power plants. However, the size, cost, and feasibility of CCS deployment in India remain largely unexplored. This paper addresses this gap by introducing a cost-minimizing Mixed Integer Linear Program (MILP) model for CCS deployment in India. The model incorporates detailed carbon capture investment, pipeline routing, and onshore and offshore storage investments. To examine the implications of CCS adoption, we analyze four scenarios that reflect alternative policy mandates, storage restrictions, and capture targets. Our results reveal several important findings. First, India’s optimal CO 2 pipeline network is characterized by local infrastructures concentrated around storage basins rather than forming a nationally integrated network. Second, a significant portion of emissions is transported along an eastern transportation ’backbone’ in all modeled scenarios.</w:t>
      </w:r>
    </w:p>
    <w:p>
      <w:pPr/>
      <w:r>
        <w:rPr>
          <w:b/>
        </w:rPr>
        <w:t>POSSIBLE 2026:</w:t>
      </w:r>
      <w:r>
        <w:t xml:space="preserve"> CO2 transport for fast-track CCS: Balancing economics and environmental impacts in industrial clusters — https://doi.org/10.1016/j.ijggc.2026.104625</w:t>
      </w:r>
    </w:p>
    <w:p>
      <w:pPr/>
      <w:r>
        <w:rPr>
          <w:b/>
        </w:rPr>
        <w:t>Shared claim-specific concepts:</w:t>
      </w:r>
      <w:r>
        <w:t xml:space="preserve"> show, ccs, co2, emissions; EU scope not established. This is a provisional connection, not an outcome finding.</w:t>
      </w:r>
    </w:p>
    <w:p>
      <w:pPr>
        <w:pStyle w:val="SourceNote"/>
      </w:pPr>
      <w:r>
        <w:rPr>
          <w:b/>
        </w:rPr>
        <w:t>Available abstract (not full text):</w:t>
      </w:r>
      <w:r>
        <w:t xml:space="preserve"> • A Tiered Multi-Objective Optimization (TMOO) method is developed. • Industrial cluster CO 2 transport options were assessed based on cost and LCA impacts. • Power consumed in CO 2 conditioning dominates the cost and LCA impacts. • A low-pressure CO 2 pipeline transport is most optimal for the cluster. • Pipeline construction delays favor CO 2 transport by barges. Carbon Capture and Sequestration is a key technology for decarbonizing energy-intensive industries and power generation. To accelerate its deployment, affordable and efficient carbon dioxide (CO 2 ) transport solutions are needed. In this paper a tiered multi-objective optimization method is developed to predict a hierarchy of CO 2 transport strategies, balancing the financial costs and environmental impacts. The method is applied to optimize the strategies for collecting CO 2 from five energy-intensive industries in the North Sea Port industrial cluster. The results show that a low pressure (35 bar) CO 2 collection pipeline network and a point-to-point CO 2 transport by barges (the ‘hub and spoke’ design) are the two most optimal (tier 1) competitive strategies. Lower-tier solutions involving using higher pressure (110 bar) pipelines and ‘milk round’ shipping of CO 2 , come at greater costs and larger environmental impacts. The costs and environmental impacts are largely attributed to the electricity consumed in CO </w:t>
      </w:r>
    </w:p>
    <w:p>
      <w:pPr/>
      <w:r>
        <w:rPr>
          <w:b/>
        </w:rPr>
        <w:t>POSSIBLE 2026:</w:t>
      </w:r>
      <w:r>
        <w:t xml:space="preserve"> A Structured Risk Framework for CCS AoR Wells: Qualitative FEPs to Semi-Quantitative Rankings — https://doi.org/10.3390/en19051146</w:t>
      </w:r>
    </w:p>
    <w:p>
      <w:pPr/>
      <w:r>
        <w:rPr>
          <w:b/>
        </w:rPr>
        <w:t>Shared claim-specific concepts:</w:t>
      </w:r>
      <w:r>
        <w:t xml:space="preserve"> ccs, co2, emissions, process; EU scope not established. This is a provisional connection, not an outcome finding.</w:t>
      </w:r>
    </w:p>
    <w:p>
      <w:pPr>
        <w:pStyle w:val="SourceNote"/>
      </w:pPr>
      <w:r>
        <w:rPr>
          <w:b/>
        </w:rPr>
        <w:t>Available abstract (not full text):</w:t>
      </w:r>
      <w:r>
        <w:t xml:space="preserve"> Carbon Capture and Sequestration (CCS) is one of the most important technologies that can help many countries to reduce emissions into the atmosphere and lower their carbon footprint, which in turn can help to achieve the net-zero goal. However, when CO2 is injected into a suitable geological formation in the subsurface during CCS operations, it is essential to ensure that the well integrity of the legacy well within the Area of Review (AoR) is maintained so that the injected CO2 will not make its way to the shallow formation, which can ultimately contaminate the Underground Source of Drinking Water (USDW) and make it to the surface, which can have harmful effects on the environment and human health. Hence, this paper presents a semi-quantitative risk assessment framework for legacy wells within a CCS Area of Review (AoR) and for an Underground Injection Control (UIC) Class VI injection well. The method converts a Feature Event and Process screening into an interaction matrix (IM), assigns probability × severity scores using an incident potential matrix (IPM), and derives cause-and-effect metrics to rank barrier elements and wells. The legacy wells are evaluated using a 5 × 5 IM (casing, cement sheath, water composition, gas/CO2, and USDW), and the injector is assessed using a 7 × 7 IM (adding tubing and packer). From the results, it was found that the risk levels of the Types </w:t>
      </w:r>
    </w:p>
    <w:p>
      <w:pPr/>
      <w:r>
        <w:rPr>
          <w:b/>
        </w:rPr>
        <w:t>POSSIBLE 2025:</w:t>
      </w:r>
      <w:r>
        <w:t xml:space="preserve"> Sustainability Assessment of Carbon Capture and Storage-CCS: Toward a low carbon cement production — https://doi.org/10.54337/aau781268599</w:t>
      </w:r>
    </w:p>
    <w:p>
      <w:pPr/>
      <w:r>
        <w:rPr>
          <w:b/>
        </w:rPr>
        <w:t>Shared claim-specific concepts:</w:t>
      </w:r>
      <w:r>
        <w:t xml:space="preserve"> show, ccs, production, co2, reductions, emissions; EU scope not established. This is a provisional connection, not an outcome finding.</w:t>
      </w:r>
    </w:p>
    <w:p>
      <w:pPr>
        <w:pStyle w:val="SourceNote"/>
      </w:pPr>
      <w:r>
        <w:rPr>
          <w:b/>
        </w:rPr>
        <w:t>Available abstract (not full text):</w:t>
      </w:r>
      <w:r>
        <w:t xml:space="preserve"> This thesis evaluates the sustainability of Carbon Capture and Storage (CCS) technologies in the cement industry, focusing on the environmental, economic, and social dimensions.The cement industry is a significant contributor to global CO2 emissions, and CCS is considered one of the key technologies for reducing these emissions.However, its implementation faces various challenges, which this research addresses.Centered on Aalborg Portland, a Danish cement producer, the study investigates CCS implementation for decarbonizing cement production using a mixed-methods approach, combining quantitative and qualitative analyses to evaluate the environmental impacts, economic viability, and social acceptance.Environmentally, the Life Cycle Assessment is used to quantify the net reductions achievable through CCS.The findings indicate that while CCS can significantly mitigate emissions from cement production, the process is energy-intensive and may lead to residual emissions, which must be managed to achieve sustainability.Economically, the research explores the cost implications of implementing CCS in the cement industry.It examines the uncertainties surrounding the business case for CCS through the Monte Carlo Method.This study includes the initial capital investment, operational costs, and the potential financial mechanisms to support its deployment.The analysis reveals that while CCS </w:t>
      </w:r>
    </w:p>
    <w:p>
      <w:pPr/>
      <w:r>
        <w:rPr>
          <w:b/>
        </w:rPr>
        <w:t>POSSIBLE 2025:</w:t>
      </w:r>
      <w:r>
        <w:t xml:space="preserve"> IMPACTS AND APPLICATIONS OF HYDROGEN INJECTION IN BLAST FURNACES: A REVIEW — https://doi.org/10.54899/dcs.v22i81.3303</w:t>
      </w:r>
    </w:p>
    <w:p>
      <w:pPr/>
      <w:r>
        <w:rPr>
          <w:b/>
        </w:rPr>
        <w:t>Shared claim-specific concepts:</w:t>
      </w:r>
      <w:r>
        <w:t xml:space="preserve"> blast, steel, production, co2, emissions, process; EU scope not established. This is a provisional connection, not an outcome finding.</w:t>
      </w:r>
    </w:p>
    <w:p>
      <w:pPr>
        <w:pStyle w:val="SourceNote"/>
      </w:pPr>
      <w:r>
        <w:rPr>
          <w:b/>
        </w:rPr>
        <w:t>Available abstract (not full text):</w:t>
      </w:r>
      <w:r>
        <w:t xml:space="preserve"> The steel industry is one of the largest contributors to global CO2 emissions, and the transition to low-carbon production methods is crucial to achieving climate goals. Hydrogen injection into blast furnaces (BFs) has emerged as a promising technology to reduce carbon emissions and improve the sustainability of steel production, especially when the hydrogen comes from non-fossil sources. This review comprehensively examines the impacts and applications of hydrogen injection in BFs, focusing on thermodynamic, operational and environmental aspects. By analyzing recent studies, it highlights the benefits, challenges and future directions by producing hot metal from hydrogen. The review synthesizes findings from more than 90 studies, providing an understanding of how hydrogen injection (HI) influences operations. Some parameters were emphasized, such as theoretical flame temperature (RAFT), oxygen enrichment (OE), coke consumption (CR), pulverized coal injection rate (PCI), blowing temperature (TS), top gas temperature (TGT) and CO₂ emissions. The potential of hydrogen to replace traditional carbon-based reducers was discussed. Overall, HI can reduce coke consumption and greenhouse gas emissions, increase process productivity, but will require technical care to meet expectations.</w:t>
      </w:r>
    </w:p>
    <w:p>
      <w:pPr/>
      <w:r>
        <w:rPr>
          <w:b/>
        </w:rPr>
        <w:t>POSSIBLE 2025:</w:t>
      </w:r>
      <w:r>
        <w:t xml:space="preserve"> Techno-economic analysis of integrating an on-board CCS system and a PtG technology in a heavy vehicle fleet — https://doi.org/10.1016/j.jcou.2025.103046</w:t>
      </w:r>
    </w:p>
    <w:p>
      <w:pPr/>
      <w:r>
        <w:rPr>
          <w:b/>
        </w:rPr>
        <w:t>Shared claim-specific concepts:</w:t>
      </w:r>
      <w:r>
        <w:t xml:space="preserve"> show, ccs, plant, current; EU scope not established. This is a provisional connection, not an outcome finding.</w:t>
      </w:r>
    </w:p>
    <w:p>
      <w:pPr>
        <w:pStyle w:val="SourceNote"/>
      </w:pPr>
      <w:r>
        <w:rPr>
          <w:b/>
        </w:rPr>
        <w:t>Available abstract (not full text):</w:t>
      </w:r>
      <w:r>
        <w:t xml:space="preserve"> Decarbonising the heavy-duty transport sector requires switching internal combustion engine (ICE) fuel from fossil to synthetic fuels. In this context, on-board carbon capture and storage (OCCS) in ICEs could provide the CO 2 needed by Power-to-gas (PtG) technologies to produce synthetic natural gas (SNG), which is then consumed again by the vehicle fleet, closing in this way the carbon loop. This study presents a techno-economic analysis of a heavy-duty vehicle fleet integrating an OCCS system with a PtG plant. The OCCS system operates by temperature swing adsorption where two sorbents, PPN-6-CH 2 -DETA and zeolite 13X, are evaluated at carbon capture rates (CCR) of 70 % and 100 %. A fifth scenario examined the effect of varying the H 2 :CO 2 ratio in the methanation plant at 100 % CCR using PPN-6-CH 2 -DETA. Both systems were simulated using Aspen Plus and AVL Boost softwares. Moreover, a sensitivity analysis was conducted considering three key performance indicators: the CO 2 tax, natural gas (NG), and electricity prices. The results indicate that the carbon abatement cost reaches a break-even point at 150 €/tCO₂ for a fleet size of 400 vehicles. However, the capital expenditures do not achieve payback within 20 years due to the high operational expenditures and low incomes in the evaluated scenarios. The sensitivity analyses show that the CO 2 tax and the NG price must be h</w:t>
      </w:r>
    </w:p>
    <w:p>
      <w:pPr/>
      <w:r>
        <w:rPr>
          <w:b/>
        </w:rPr>
        <w:t>POSSIBLE 2025:</w:t>
      </w:r>
      <w:r>
        <w:t xml:space="preserve"> Environmental Impacts of Alternative Reductants in Blast Furnace Ironmaking in the UK — https://openalex.org/W7140350875</w:t>
      </w:r>
    </w:p>
    <w:p>
      <w:pPr/>
      <w:r>
        <w:rPr>
          <w:b/>
        </w:rPr>
        <w:t>Shared claim-specific concepts:</w:t>
      </w:r>
      <w:r>
        <w:t xml:space="preserve"> show, blast, furnace, steel, pathway, emissions; EU scope not established. This is a provisional connection, not an outcome finding.</w:t>
      </w:r>
    </w:p>
    <w:p>
      <w:pPr>
        <w:pStyle w:val="SourceNote"/>
      </w:pPr>
      <w:r>
        <w:rPr>
          <w:b/>
        </w:rPr>
        <w:t>Available abstract (not full text):</w:t>
      </w:r>
      <w:r>
        <w:t xml:space="preserve"> The steel industry contributes approximately 8% of global CO₂ emissions, with blast furnace operations accounting for the majority within integrated steelmaking. Although the United Kingdom plans to transition toward electric arc furnace technology, this pathway faces constraints including high electricity prices, limited high-quality scrap availability, and long infrastructure timelines. Therefore, blast furnace ironmaking will remain important in the medium term. No previous study has provided a UK-specific environmental and economic comparison of solid and gaseous reductants within a single framework, which defines the research gap addressed in this thesis. This research evaluates the environmental, economic, and practical feasibility of charcoal, switchgrass, grey hydrogen, and green hydrogen relative to a conventional coke and pulverised coal baseline. A cradle-to-gate life cycle assessment was conducted for one tonne of hot metal across five midpoint impact categories: global warming potential (GWP), land use, fossil resource scarcity (FRS), water consumption, and mineral resource scarcity. This was supported by data quality evaluation and sensitivity analysis. A simplified economic assessment was performed for charcoal and green hydrogen. Results show that charcoal reduces GWP by 11% and FRS by 25% but increases land occupation threefold. Green hydrogen reduces GWP by 10</w:t>
      </w:r>
    </w:p>
    <w:p>
      <w:pPr/>
      <w:r>
        <w:rPr>
          <w:b/>
        </w:rPr>
        <w:t>POSSIBLE 2025:</w:t>
      </w:r>
      <w:r>
        <w:t xml:space="preserve"> Assessing the economic viability and scalability of carbon capture (CCS) in Louisiana : a comparative analysis of the 45Q tax credit and the EU emissions trading system — https://doi.org/10.26153/tsw/63320</w:t>
      </w:r>
    </w:p>
    <w:p>
      <w:pPr/>
      <w:r>
        <w:rPr>
          <w:b/>
        </w:rPr>
        <w:t>Shared claim-specific concepts:</w:t>
      </w:r>
      <w:r>
        <w:t xml:space="preserve"> show, ccs, emissions, process; EU scope visible. This is a provisional connection, not an outcome finding.</w:t>
      </w:r>
    </w:p>
    <w:p>
      <w:pPr>
        <w:pStyle w:val="SourceNote"/>
      </w:pPr>
      <w:r>
        <w:rPr>
          <w:b/>
        </w:rPr>
        <w:t>Available abstract (not full text):</w:t>
      </w:r>
      <w:r>
        <w:t xml:space="preserve"> For the purposes of assessing policy impact on CCS deployment in a favorable test area, industrial carbon capture and storage (CCS) in Louisiana is evaluated across six subsectors, chemicals, power generation, petroleum and natural gas systems, liquefied natural gas (LNG), refineries, and metals, under three policy regimes: 45Q only, EU ETS only, and EU ETS commencing after the 45Q term. A standardized techno-economic framework is applied using amine-based capture as a comparative baseline, with capital cost multipliers (Lang, process and project contingencies, retrofit) and operating expenses varied within Conservative/Base/Optimistic cases. Facility-level emissions are derived from EPA FLIGHT, with scenario inputs constructed from sector literature and market data. Results show that commercial and financial variables, notably the 45Q credit value and duration, ETS allowance prices, and financing terms, dominate NPV outcomes across sectors, frequently shifting capital-intensive projects by hundreds of millions to over a billion dollars. The hybrid policy case (implementing the EU ETS after the 12-year term of the 45Q) yields the largest upside, turning marginal projects positive in LNG and refining, while also expanding downside volatility relative to 45Q alone due to carbon allowance pricing exposure. Operational parameters (capture efficiency, asset life) materially influenc</w:t>
      </w:r>
    </w:p>
    <w:p>
      <w:pPr/>
      <w:r>
        <w:rPr>
          <w:b/>
        </w:rPr>
        <w:t>POSSIBLE 2025:</w:t>
      </w:r>
      <w:r>
        <w:t xml:space="preserve"> Development of Low-Carbon Autoclaved Aerated Concrete Using an Alkali-Activated Ground Granulated Blast Furnace Slag and Calcium Carbide Slag — https://doi.org/10.3390/app15189946</w:t>
      </w:r>
    </w:p>
    <w:p>
      <w:pPr/>
      <w:r>
        <w:rPr>
          <w:b/>
        </w:rPr>
        <w:t>Shared claim-specific concepts:</w:t>
      </w:r>
      <w:r>
        <w:t xml:space="preserve"> ccs, blast, furnace, replacement; EU scope not established. This is a provisional connection, not an outcome finding.</w:t>
      </w:r>
    </w:p>
    <w:p>
      <w:pPr>
        <w:pStyle w:val="SourceNote"/>
      </w:pPr>
      <w:r>
        <w:rPr>
          <w:b/>
        </w:rPr>
        <w:t>Available abstract (not full text):</w:t>
      </w:r>
      <w:r>
        <w:t xml:space="preserve"> The environmental impact of traditional construction materials has led to increasing interest in developing more sustainable alternatives. This study addresses the development of low-carbon autoclaved aerated concrete (AAC) through the complete replacement of ordinary Portland cement (OPC) with ground granulated blast furnace slag (BFS), activated with lime and, in some formulations, supplemented with calcium carbide slag (CCS). Five different AAC mixtures were prepared and evaluated in terms of workability, foaming behavior, compressive strength, phase composition, density, thermal conductivity, and life cycle assessment (LCA). The BFS-based mixtures activated with lime exhibited good workability and foaming stability. After pre-curing, the addition of CCS significantly improved the formation of tobermorite during autoclaving. As a result, the BFS–CCS formulations achieved compressive strengths comparable to the reference OPC-based mix while maintaining low densities (420–441 kg/m3) and thermal conductivities in the range of 0.111–0.119 W/(m·K). These results confirm the technical feasibility of producing structural-grade AAC with a lower environmental footprint.</w:t>
      </w:r>
    </w:p>
    <w:p>
      <w:pPr/>
      <w:r>
        <w:rPr>
          <w:b/>
        </w:rPr>
        <w:t>POSSIBLE 2025:</w:t>
      </w:r>
      <w:r>
        <w:t xml:space="preserve"> Entropy as a Criterion for Sustainability—CO2 Removal and Storage or Utilization (CCS, CCU) Are Not Sustainable — https://doi.org/10.20944/preprints202512.2416.v1</w:t>
      </w:r>
    </w:p>
    <w:p>
      <w:pPr/>
      <w:r>
        <w:rPr>
          <w:b/>
        </w:rPr>
        <w:t>Shared claim-specific concepts:</w:t>
      </w:r>
      <w:r>
        <w:t xml:space="preserve"> ccs, production, co2; EU scope not established. This is a provisional connection, not an outcome finding.</w:t>
      </w:r>
    </w:p>
    <w:p>
      <w:pPr>
        <w:pStyle w:val="SourceNote"/>
      </w:pPr>
      <w:r>
        <w:rPr>
          <w:b/>
        </w:rPr>
        <w:t>Available abstract (not full text):</w:t>
      </w:r>
      <w:r>
        <w:t xml:space="preserve"> The principles of nonequilibrium thermodynamics are briefly discussed, with a focus on entropy. For the first time, the energy consumption and entropy production of CO2 final storage and utilization (CCS and CCU) are quantitatively analyzed and interpreted. This shows that the final storage and chemical utilization of CO2 are not sustainable processes for solving the climate crisis. Building on this, a new proposal for a quantitative criterion for sustainability is presented: entropy. In addition, a relatively simple indicator is presented that is a helpful (and easier to calculate) indicator for the entropy production of various processes or products.</w:t>
      </w:r>
    </w:p>
    <w:p>
      <w:pPr>
        <w:pStyle w:val="Heading2"/>
      </w:pPr>
      <w:r>
        <w:t>676. Perspective of comprehensive and comprehensible multi-model energy and climate science in Europe</w:t>
      </w:r>
    </w:p>
    <w:p>
      <w:pPr>
        <w:pStyle w:val="SourceNote"/>
      </w:pPr>
      <w:r>
        <w:rPr>
          <w:b/>
        </w:rPr>
        <w:t>Original source (2020):</w:t>
      </w:r>
      <w:r>
        <w:t xml:space="preserve"> https://doi.org/10.1016/j.energy.2020.119153</w:t>
      </w:r>
    </w:p>
    <w:p>
      <w:pPr/>
      <w:r>
        <w:t>Original wording (abstract; indexed_source_text_not_full_document_verified): Finally, drawing from the COVID-19 pandemic, we discuss the need to expand the modelling comfort zone, by exploring extreme scenarios, disruptive innovations, and questions that transcend the energy and climate goals across the sustainability spectrum. Europe’s capacity to explore the envisaged pathways that achieve its near- and long-term energy and climate objectives needs to be significantly enhanced.</w:t>
      </w:r>
    </w:p>
    <w:p>
      <w:pPr/>
      <w:r>
        <w:rPr>
          <w:b/>
        </w:rPr>
        <w:t>POSSIBLE 2026:</w:t>
      </w:r>
      <w:r>
        <w:t xml:space="preserve"> Emerging risk of Xylella fastidiosa in Europe under global change — https://doi.org/10.1007/s10530-026-03869-5</w:t>
      </w:r>
    </w:p>
    <w:p>
      <w:pPr/>
      <w:r>
        <w:rPr>
          <w:b/>
        </w:rPr>
        <w:t>Shared claim-specific concepts:</w:t>
      </w:r>
      <w:r>
        <w:t xml:space="preserve"> finally, drawing, discuss, need, climate, across; EU scope visible. This is a provisional connection, not an outcome finding.</w:t>
      </w:r>
    </w:p>
    <w:p>
      <w:pPr>
        <w:pStyle w:val="SourceNote"/>
      </w:pPr>
      <w:r>
        <w:rPr>
          <w:b/>
        </w:rPr>
        <w:t>Available abstract (not full text):</w:t>
      </w:r>
      <w:r>
        <w:t xml:space="preserve"> Abstract The insect-borne bacterium Xylella fastidiosa is one of the most damaging plant pathogens affecting perennial crops in Europe since its first detection in 2013. Although its spread has remained geographically constrained, recent outbreaks and surveillance data suggest that larger areas of southern Europe may be transitioning into a second wave of invasion, shifting from localized outbreaks detected after extensive establishment to the early emergence of epidemics in more connected continental landscapes with coexisting lineages. Here, we examine how global change may reshape the invasion dynamics of X. fastidiosa across Europe. Drawing on evidence from national surveys, epidemiological models, and evolutionary studies, we develop a mechanistic framework linking introduction pressure through trade, the expansion and connectivity of invasion hotspots, strain coexistence, and the role of natural ecosystems as pathogen reservoirs and dispersal corridors. We argue that climate change may increase the likelihood that broader regions exceed the critical thermal thresholds required for sustained transmission following introduction. At the same time, repeated introductions of the bacterium and long-term persistence in heterogeneous landscapes may foster the accumulation of genetic diversity and increase evolutionary risk. Finally, we discuss implications for disease management,</w:t>
      </w:r>
    </w:p>
    <w:p>
      <w:pPr/>
      <w:r>
        <w:rPr>
          <w:b/>
        </w:rPr>
        <w:t>POSSIBLE 2026:</w:t>
      </w:r>
      <w:r>
        <w:t xml:space="preserve"> Europe and the Geopolitics of AGI: The Need for a Preparedness Plan — https://doi.org/10.48550/arxiv.2605.13634</w:t>
      </w:r>
    </w:p>
    <w:p>
      <w:pPr/>
      <w:r>
        <w:rPr>
          <w:b/>
        </w:rPr>
        <w:t>Shared claim-specific concepts:</w:t>
      </w:r>
      <w:r>
        <w:t xml:space="preserve"> drawing, need, questions, capacity; EU scope visible. This is a provisional connection, not an outcome finding.</w:t>
      </w:r>
    </w:p>
    <w:p>
      <w:pPr>
        <w:pStyle w:val="SourceNote"/>
      </w:pPr>
      <w:r>
        <w:rPr>
          <w:b/>
        </w:rPr>
        <w:t>Available abstract (not full text):</w:t>
      </w:r>
      <w:r>
        <w:t xml:space="preserve"> Artificial general intelligence (AGI)--defined here as AI systems that match or exceed humans at most economically useful cognitive work--has moved from speculation to the centre of political and strategic debate. This paper examines three questions: how soon AGI might emerge, how it could reshape geopolitics, and whether Europe is adequately prepared. Drawing on empirical trends in AI capabilities, expert forecasting surveys, and policy analysis, we find that a plausible window for AGI emergence falls between 2030 and 2040, or potentially earlier, though substantial uncertainty remains. Our analysis of the geopolitical implications suggests that AGI could fundamentally alter the global distribution of economic and military power, intensify interstate competition, and strain existing governance frameworks. Assessing Europe's current positioning, we identify critical gaps: limited strategic awareness of frontier AI progress, structural weaknesses in compute infrastructure and talent retention, low rates of industrial AI adoption, and fragmented policy responses at both EU and Member State levels that do not match the potential scale of disruption.These findings point to a need for a coordinated European preparedness agenda. We outline policy options centred on building institutional capacity for AGI situational awareness, strengthening Europe's position in the AI value chain, an</w:t>
      </w:r>
    </w:p>
    <w:p>
      <w:pPr/>
      <w:r>
        <w:rPr>
          <w:b/>
        </w:rPr>
        <w:t>POSSIBLE 2025:</w:t>
      </w:r>
      <w:r>
        <w:t xml:space="preserve"> Colombia, COVID-19, and the Colonial Trap: Reflections on the Politics of Knowledge Production — https://doi.org/10.1177/0094582x241311803</w:t>
      </w:r>
    </w:p>
    <w:p>
      <w:pPr/>
      <w:r>
        <w:rPr>
          <w:b/>
        </w:rPr>
        <w:t>Shared claim-specific concepts:</w:t>
      </w:r>
      <w:r>
        <w:t xml:space="preserve"> finally, drawing, covid-19, pandemic; EU scope visible. This is a provisional connection, not an outcome finding.</w:t>
      </w:r>
    </w:p>
    <w:p>
      <w:pPr>
        <w:pStyle w:val="SourceNote"/>
      </w:pPr>
      <w:r>
        <w:rPr>
          <w:b/>
        </w:rPr>
        <w:t>Available abstract (not full text):</w:t>
      </w:r>
      <w:r>
        <w:t xml:space="preserve"> The COVID-19 pandemic has made historical and contemporary colonial relationships between and within states more fraught. This complexity is apparent within the research process itself, adding a new dimension to debates on positionality and the politics of knowledge production. Drawing on critical approaches to International Relations, and in dialogue with an emerging literature on the implications of the pandemic for knowledge decolonization, we reflect on our experience as scholars from the UK/Ireland researching colonial legacy and Transitional Justice in Colombia. The aim of this autoethnographic article is to suggest how the COVID-19 pandemic affected inequalities between researchers based in Europe and participants in Latin America. Our findings are mixed. While Covid-related funding cuts undermined equity within relationships, the virtual field offered an opportunity to cultivate cooperation between researcher and participant and re-think issues of ethics, voice, and the research agenda itself. Finally, El Maestro Covid taught us valuable lessons on the colonial trap inherent in our endeavors.</w:t>
      </w:r>
    </w:p>
    <w:p>
      <w:pPr/>
      <w:r>
        <w:rPr>
          <w:b/>
        </w:rPr>
        <w:t>POSSIBLE 2025:</w:t>
      </w:r>
      <w:r>
        <w:t xml:space="preserve"> Individualism and the Health–Economy Tradeoff During the COVID‐19 Pandemic: Evidence From the European Social Survey — https://doi.org/10.1111/issj.12586</w:t>
      </w:r>
    </w:p>
    <w:p>
      <w:pPr/>
      <w:r>
        <w:rPr>
          <w:b/>
        </w:rPr>
        <w:t>Shared claim-specific concepts:</w:t>
      </w:r>
      <w:r>
        <w:t xml:space="preserve"> finally, drawing, pandemic; EU scope visible. This is a provisional connection, not an outcome finding.</w:t>
      </w:r>
    </w:p>
    <w:p>
      <w:pPr>
        <w:pStyle w:val="SourceNote"/>
      </w:pPr>
      <w:r>
        <w:rPr>
          <w:b/>
        </w:rPr>
        <w:t>Available abstract (not full text):</w:t>
      </w:r>
      <w:r>
        <w:t xml:space="preserve"> ABSTRACT Nationwide containment measures implemented by governments to fight the COVID‐19 pandemic have incurred substantial economic costs, presenting individuals with a tradeoff between public health measures and their economic consequences. Drawing on cultural theory, we investigate the relationship between individualism and individuals’ health–economy tradeoffs during the pandemic and the moderating role of risk perception. Using European Social Survey (ESS) data, our study reveals that individuals with higher levels of individualism prioritize economic activities over public health during the pandemic. Specifically, each additional point increase in individualism raises the probability of prioritizing economic activity over public health by 0.4%. Moreover, higher perceived economic risk weakens individualists’ preference for economic activities and enhances their assessment of health choices. Perceived health risk, however, demonstrates no significant effect. Furthermore, mediation analysis reveals that individualism negatively correlates with trust in government, indirectly weakening individualists’ preference for economic activities. Finally, our heterogeneity analysis reveals that the positive correlation between individualism and economic preferences is stronger among young individuals, high‐income and highly educated groups, employees in private enterprises and self‐e</w:t>
      </w:r>
    </w:p>
    <w:p>
      <w:pPr/>
      <w:r>
        <w:rPr>
          <w:b/>
        </w:rPr>
        <w:t>POSSIBLE 2025:</w:t>
      </w:r>
      <w:r>
        <w:t xml:space="preserve"> Learning lessons from the COVID-19 pandemic and crisis responses — https://doi.org/10.5281/zenodo.16893715</w:t>
      </w:r>
    </w:p>
    <w:p>
      <w:pPr/>
      <w:r>
        <w:rPr>
          <w:b/>
        </w:rPr>
        <w:t>Shared claim-specific concepts:</w:t>
      </w:r>
      <w:r>
        <w:t xml:space="preserve"> finally, drawing, covid-19, pandemic, need, climate; EU scope visible. This is a provisional connection, not an outcome finding.</w:t>
      </w:r>
    </w:p>
    <w:p>
      <w:pPr>
        <w:pStyle w:val="SourceNote"/>
      </w:pPr>
      <w:r>
        <w:rPr>
          <w:b/>
        </w:rPr>
        <w:t>Available abstract (not full text):</w:t>
      </w:r>
      <w:r>
        <w:t xml:space="preserve"> The COVID-19 pandemic was a crisis of far-reaching societal, economic, and political impacts. Responses to the pandemic were no less far-reaching. This report presents a systematic literature review of 150 peer-reviewed articles on how European democracies responded to the COVID-19 crisis with the aim of drawing out useful learnings for climate democracy. In this review, we thus build upon the RETOOL analytical framework to distill lessons about the effectiveness and democratic quality of governance responses to the pandemic in Europe, and what these experiences teach us for future crises – notably the climate crisis. Key lessons show that robust democratic institutions, anchored in legal safeguards against executive overreach and sustained by cultures of consensus, pluralism and tolerance, are crucial to withstand crises. This is a relatively rare combination however, and one that cannot be guaranteed during times of crisis. This points to a need for new participatory forums to bolster existing democratic institutions. The review also looks at issues of justice, since democratic governance should produce just decisions and this is a key issue in climate democracy discussions.The reviewed literature sees justice dimensions as deeply intertwined: threats to recognitional justice often coincide with distributive and procedural injustices, again pointing to a need for more meaning</w:t>
      </w:r>
    </w:p>
    <w:p>
      <w:pPr/>
      <w:r>
        <w:rPr>
          <w:b/>
        </w:rPr>
        <w:t>POSSIBLE 2025:</w:t>
      </w:r>
      <w:r>
        <w:t xml:space="preserve"> The challenges of repeat measurement in times of the COVID-19 pandemic — https://doi.org/10.1093/oso/9780198883319.003.0002</w:t>
      </w:r>
    </w:p>
    <w:p>
      <w:pPr/>
      <w:r>
        <w:rPr>
          <w:b/>
        </w:rPr>
        <w:t>Shared claim-specific concepts:</w:t>
      </w:r>
      <w:r>
        <w:t xml:space="preserve"> finally, drawing, covid-19, pandemic, discuss; EU scope visible. This is a provisional connection, not an outcome finding.</w:t>
      </w:r>
    </w:p>
    <w:p>
      <w:pPr>
        <w:pStyle w:val="SourceNote"/>
      </w:pPr>
      <w:r>
        <w:rPr>
          <w:b/>
        </w:rPr>
        <w:t>Available abstract (not full text):</w:t>
      </w:r>
      <w:r>
        <w:t xml:space="preserve"> Abstract The Europeans’ Understandings and Evaluations of Democracy module was first fielded in the European Social Survey (ESS) in 2012/13 before being selected as a repeat module for the 2020/21 round. This chapter discusses the fundamental elements behind the data collected for the analysis used in this book: namely the ESS and its questionnaire. After a short introduction to the ESS, this chapter summarizes the main design decisions that underpin both the original and repeat module. It then moves on to discuss the decision-making around which items to repeat and which to discard from the earlier module. Finally, the chapter investigates how the face-to-face ESS fieldwork was disrupted by the COVID-19 pandemic, leading to delays with data collection continuing into 2022 rather than ending in 2021, as initially planned. In addition to the delays, some countries had to switch data collection from face-to-face (in-person and web interviews) to self-completion mode (web and paper self-completion) to remove or reduce face-to-face contact during the pandemic. The potential impact of this change on analysis of this module will be discussed, drawing on two parallel-run experiments conducted in Finland and Great Britain. The chapter concludes that while ESS still provides robust comparative data, users should be aware of potential mode differences and the possible impact of disrupted</w:t>
      </w:r>
    </w:p>
    <w:p>
      <w:pPr/>
      <w:r>
        <w:rPr>
          <w:b/>
        </w:rPr>
        <w:t>POSSIBLE 2024:</w:t>
      </w:r>
      <w:r>
        <w:t xml:space="preserve"> Muslims in Europe and Covid-19 — https://doi.org/10.5617/jais.10871</w:t>
      </w:r>
    </w:p>
    <w:p>
      <w:pPr/>
      <w:r>
        <w:rPr>
          <w:b/>
        </w:rPr>
        <w:t>Shared claim-specific concepts:</w:t>
      </w:r>
      <w:r>
        <w:t xml:space="preserve"> covid-19, pandemic, questions; EU scope visible. This is a provisional connection, not an outcome finding.</w:t>
      </w:r>
    </w:p>
    <w:p>
      <w:pPr>
        <w:pStyle w:val="SourceNote"/>
      </w:pPr>
      <w:r>
        <w:rPr>
          <w:b/>
        </w:rPr>
        <w:t>Available abstract (not full text):</w:t>
      </w:r>
      <w:r>
        <w:t xml:space="preserve"> Covid-19 obliged the authorities of all countries to adopt a series of measures aimed at limiting the spread of the virus (e.g. social distancing and restrictions on internal and international movement), some of which prevent Muslims from performing, or only partially perform, some of their acts of worship, in particular those which, by requiring and/or prescribing the formation of an assembly, physical proximity or direct contact between those performing them (collective prayers, pilgrimage, religious festivals, funeral rites), are more conducive to the spread of the virus. This situation is at the root of the many questions that some European Muslims have asked jurists to provide them with guidance, based on Islamic law, on how to reconcile the anti-Covid rules with the obligation to perform acts of worship. This article analyses the fatāwā issued by the European Council for Fatwas and Research in response to these questions. In particular, this article has three aims: 1. to identify and describe the solutions adopted by the Maǧlis to adapt religious practice to the restrictions imposed by the Covid; 2. to verify whether the solutions adopted by the ECFR to combat the pandemic are compatible with the provisions adopted by European governments in this regard; 3. to verify whether and in what terms the Islamic jurisprudence produced at the national level (the Italian one) trans</w:t>
      </w:r>
    </w:p>
    <w:p>
      <w:pPr/>
      <w:r>
        <w:rPr>
          <w:b/>
        </w:rPr>
        <w:t>POSSIBLE 2024:</w:t>
      </w:r>
      <w:r>
        <w:t xml:space="preserve"> What makes health systems resilient? An analytical framework drawing on European learnings from the COVID-19 pandemic based on a multitiered approach — https://doi.org/10.1136/bmjph-2023-000378</w:t>
      </w:r>
    </w:p>
    <w:p>
      <w:pPr/>
      <w:r>
        <w:rPr>
          <w:b/>
        </w:rPr>
        <w:t>Shared claim-specific concepts:</w:t>
      </w:r>
      <w:r>
        <w:t xml:space="preserve"> finally, drawing, covid-19, pandemic, need, spectrum; EU scope visible. This is a provisional connection, not an outcome finding.</w:t>
      </w:r>
    </w:p>
    <w:p>
      <w:pPr>
        <w:pStyle w:val="SourceNote"/>
      </w:pPr>
      <w:r>
        <w:rPr>
          <w:b/>
        </w:rPr>
        <w:t>Available abstract (not full text):</w:t>
      </w:r>
      <w:r>
        <w:t xml:space="preserve"> Introduction: The COVID-19 pandemic posed an unprecedented challenge, which caught many health systems widely unprepared. The aim of this research was to develop a comprehensive analytical framework on health system resilience in the context of pandemics. In addition to serving as a tool to analyse the preparedness and resilience of health systems, the framework is intended to provide guidance to decision-makers in health policy. Methods: The analytical framework was developed based on a multitiered approach. A comprehensive review of the existing literature was conducted to identify relevant frameworks on health system resilience (published between 1 January 2000 and 30 November 2021) and determinants of resilience that emerged during the COVID-19 pandemic. Input was then gathered in several rounds of consultations with designated field experts and stakeholders, drawing on their experiences from the pandemic. Finally, the framework was empirically validated in several case studies. Results: The framework distinguishes between prerequisites of resilience, pertaining to precautions to be taken in 'normal' times, and response strategies in the face of shocks. Both sections are further divided into six building blocks that were adapted from the WHO health system framework: governance and leadership, information and research, financing, physical resources, human resources, and serv</w:t>
      </w:r>
    </w:p>
    <w:p>
      <w:pPr/>
      <w:r>
        <w:rPr>
          <w:b/>
        </w:rPr>
        <w:t>POSSIBLE 2024:</w:t>
      </w:r>
      <w:r>
        <w:t xml:space="preserve"> Assessing the Differentiated Impacts of COVID-19 on the Immigration Flows to Europe — https://doi.org/10.1177/01979183241242445</w:t>
      </w:r>
    </w:p>
    <w:p>
      <w:pPr/>
      <w:r>
        <w:rPr>
          <w:b/>
        </w:rPr>
        <w:t>Shared claim-specific concepts:</w:t>
      </w:r>
      <w:r>
        <w:t xml:space="preserve"> drawing, covid-19, pandemic, explore; EU scope visible. This is a provisional connection, not an outcome finding.</w:t>
      </w:r>
    </w:p>
    <w:p>
      <w:pPr>
        <w:pStyle w:val="SourceNote"/>
      </w:pPr>
      <w:r>
        <w:rPr>
          <w:b/>
        </w:rPr>
        <w:t>Available abstract (not full text):</w:t>
      </w:r>
      <w:r>
        <w:t xml:space="preserve"> The immediate effects of COVID-19 on mortality, fertility, and internal and international migration have been widely studied. Particularly, immigration to high-income countries declined in 2020. However, the persistence of these declines and the extent to which they have impacted different migration flows are yet to be established. Drawing on immigration flows from Eurostat and Autoregressive Integrated Moving Average (ARIMA) time-series models, we assess the impact of COVID-19 on different immigration streams to seven European countries. We forecast counterfactual levels of immigration in 2020 and 2021 assuming no pandemic, and compare these estimates with actual immigration counts. We use regression modeling to explore the role of immigrants’ origin, distance, stringency measures, and gross domestic product (GDP) trends at origins and destinations as potential driving forces of changes in immigration during COVID-19. Our results show that, while there was a general decline in immigration during 2020, inflows returned to expected levels in 2021, except for Spain. However, drops in immigration flows from countries outside the Schengen Area to Europe persisted in 2021. Immigrants’ origin emerged as the main factor modulating immigration changes during the pandemic, and to a lesser extent stringency measures and GDP trends in destination countries. Contextual factors at origin se</w:t>
      </w:r>
    </w:p>
    <w:p>
      <w:pPr/>
      <w:r>
        <w:rPr>
          <w:b/>
        </w:rPr>
        <w:t>POSSIBLE 2023:</w:t>
      </w:r>
      <w:r>
        <w:t xml:space="preserve"> Public Debt and Economic Growth after Covid-19 in Europe: Challenges and Policy Implications — https://doi.org/10.5539/res.v15n4p31</w:t>
      </w:r>
    </w:p>
    <w:p>
      <w:pPr/>
      <w:r>
        <w:rPr>
          <w:b/>
        </w:rPr>
        <w:t>Shared claim-specific concepts:</w:t>
      </w:r>
      <w:r>
        <w:t xml:space="preserve"> finally, drawing, covid-19, pandemic, exploring, sustainability; EU scope visible. This is a provisional connection, not an outcome finding.</w:t>
      </w:r>
    </w:p>
    <w:p>
      <w:pPr>
        <w:pStyle w:val="SourceNote"/>
      </w:pPr>
      <w:r>
        <w:rPr>
          <w:b/>
        </w:rPr>
        <w:t>Available abstract (not full text):</w:t>
      </w:r>
      <w:r>
        <w:t xml:space="preserve"> The Covid-19 pandemic has had a profound impact on European economies, leading to a significant increase in public debt levels. This paper examines the challenges and policy implications of managing public debt and fostering economic growth in Europe post-Covid-19. It provides a conceptual framework by defining and measuring public debt, exploring the relationship between public debt and economic growth, and highlighting the role of public debt in times of crisis. The paper analyzes the impact of Covid-19 on public debt in Europe, including the fiscal response, debt accumulation, and reasons for increased debt levels. It further discusses the challenges posed by high public debt, such as debt sustainability, crowding out private investment, financial stability risks, and constraints on future fiscal policy. The study then presents policy implications for balancing public debt and economic growth, including fiscal consolidation measures, long-term debt management strategies, prioritizing public investments, implementing structural reforms, considering monetary policy, and fostering international cooperation. Additionally, the paper provides case studies of selected European countries, evaluating their approaches, assessing policy effectiveness, and drawing key lessons and best practices. Finally, the paper concludes with a summary of key findings, policy recommendations for Euro</w:t>
      </w:r>
    </w:p>
    <w:p>
      <w:pPr/>
      <w:r>
        <w:rPr>
          <w:b/>
        </w:rPr>
        <w:t>POSSIBLE 2023:</w:t>
      </w:r>
      <w:r>
        <w:t xml:space="preserve"> Tracing the Origin and Early Progression of COVID-19 in Europe: An Epidemiological Descriptive Study — https://doi.org/10.61186/iem.9.3.249</w:t>
      </w:r>
    </w:p>
    <w:p>
      <w:pPr/>
      <w:r>
        <w:rPr>
          <w:b/>
        </w:rPr>
        <w:t>Shared claim-specific concepts:</w:t>
      </w:r>
      <w:r>
        <w:t xml:space="preserve"> finally, covid-19, pandemic, across; EU scope visible. This is a provisional connection, not an outcome finding.</w:t>
      </w:r>
    </w:p>
    <w:p>
      <w:pPr>
        <w:pStyle w:val="SourceNote"/>
      </w:pPr>
      <w:r>
        <w:rPr>
          <w:b/>
        </w:rPr>
        <w:t>Available abstract (not full text):</w:t>
      </w:r>
      <w:r>
        <w:t xml:space="preserve"> Background: The ongoing global health crisis caused by the infectious coronavirus disease, known as COVID-19, is attributed to the SARS-CoV-2 virus. The pandemic has significantly impacted people of all ages and nationalities and has spread across all continents, with an initial focus on Asia and subsequently reaching Europe. The objective of this study was to analyze the progression of COVID-19 in Europe in contrast to other continents around the world by examining the pandemic's trajectory across different geographic areas, allowing us to gain insights into the effectiveness of containment measures, and identifying potential patterns of virus spread. Materials &amp; Methods: The data source was a curated dataset provided by Our World in Data (OWD), regularly updated during the COVID-19 pandemic. The dataset consisted of 207,316 records with 67 attributes, covering 244 locations, including countries from six continents. These attributes encompassed a wide range of COVID-19-related metrics, such as cases, deaths, testing, vaccinations, and demographic indicators. This comprehensive comparative study specifically focused on the European continent data from January 01, 2020, to August 08, 2022. Findings: The analysis revealed distinct groups of European countries with different experiences with the virus. First, some countries were found to be severely affected by the virus, grapplin</w:t>
      </w:r>
    </w:p>
    <w:p>
      <w:pPr/>
      <w:r>
        <w:rPr>
          <w:b/>
        </w:rPr>
        <w:t>POSSIBLE 2023:</w:t>
      </w:r>
      <w:r>
        <w:t xml:space="preserve"> Did COVID-19 Blur Partisan Boundaries? A Comparison of Partisan Affinity and Source Heterophily in Online Alternative News-Sharing Networks Before and During the COVID-19 Pandemic — https://doi.org/10.1177/20563051231192963</w:t>
      </w:r>
    </w:p>
    <w:p>
      <w:pPr/>
      <w:r>
        <w:rPr>
          <w:b/>
        </w:rPr>
        <w:t>Shared claim-specific concepts:</w:t>
      </w:r>
      <w:r>
        <w:t xml:space="preserve"> finally, drawing, covid-19, pandemic, across; EU scope visible. This is a provisional connection, not an outcome finding.</w:t>
      </w:r>
    </w:p>
    <w:p>
      <w:pPr>
        <w:pStyle w:val="SourceNote"/>
      </w:pPr>
      <w:r>
        <w:rPr>
          <w:b/>
        </w:rPr>
        <w:t>Available abstract (not full text):</w:t>
      </w:r>
      <w:r>
        <w:t xml:space="preserve"> This study explores partisan and group heterophily within cross-platform online communities that share alternative news media content in Denmark, Sweden, Germany, and Austria. The analysis is related to the emergence of anti-systemic cross-partisan counter-publics in Europe that have gained momentum with the outbreak of COVID-19 and the subsequent resistance against government restrictions. Comparing two periods (before and after the outbreak of COVID-19), we investigate whether these developments foster cross-partisan information sharing in online communities that form around right-wing, left-wing, and anti-systemic alternative news media content. Drawing on a network-analytical approach, we study networks formed around URL sharing of alternative news content across Facebook, Instagram, Twitter, Reddit, Telegram, TikTok, YouTube, and VKontakte. Data include 30 million social media posts from January 2019 to September 2021. The results show that overall source heterophily in online alternative news networks increases slightly with the COVID-19 pandemic, mainly due to the increased proliferation of anti-system news. This increase is, however, not an expression of a more profound collapse of bi-partisan, left-right cleavages and is contingent on country contexts. Except for the time of the initial outbreak, the overall sharing of COVID-19-related content tends to increase rather </w:t>
      </w:r>
    </w:p>
    <w:p>
      <w:pPr>
        <w:pStyle w:val="Heading2"/>
      </w:pPr>
      <w:r>
        <w:t>677. Population aging, migration, and productivity in Europe</w:t>
      </w:r>
    </w:p>
    <w:p>
      <w:pPr>
        <w:pStyle w:val="SourceNote"/>
      </w:pPr>
      <w:r>
        <w:rPr>
          <w:b/>
        </w:rPr>
        <w:t>Original source (2020):</w:t>
      </w:r>
      <w:r>
        <w:t xml:space="preserve"> https://doi.org/10.1073/pnas.1918988117</w:t>
      </w:r>
    </w:p>
    <w:p>
      <w:pPr/>
      <w:r>
        <w:t>Original wording (abstract; indexed_source_text_not_full_document_verified): In terms of policy options, lifting labor-force participation among the general population as in Sweden, and education-selective migration if accompanied by high integration, could even improve economic dependency.</w:t>
      </w:r>
    </w:p>
    <w:p>
      <w:pPr/>
      <w:r>
        <w:rPr>
          <w:b/>
        </w:rPr>
        <w:t>POSSIBLE 2025:</w:t>
      </w:r>
      <w:r>
        <w:t xml:space="preserve"> A social network analysis of the European science–policy–society interface on biodiversity — https://doi.org/10.1111/cobi.70023</w:t>
      </w:r>
    </w:p>
    <w:p>
      <w:pPr/>
      <w:r>
        <w:rPr>
          <w:b/>
        </w:rPr>
        <w:t>Shared claim-specific concepts:</w:t>
      </w:r>
      <w:r>
        <w:t xml:space="preserve"> terms, options, participation, among; EU scope visible. This is a provisional connection, not an outcome finding.</w:t>
      </w:r>
    </w:p>
    <w:p>
      <w:pPr>
        <w:pStyle w:val="SourceNote"/>
      </w:pPr>
      <w:r>
        <w:rPr>
          <w:b/>
        </w:rPr>
        <w:t>Available abstract (not full text):</w:t>
      </w:r>
      <w:r>
        <w:t xml:space="preserve"> Despite the wealth of evidence on biodiversity status, trends, and policy options in Europe, knowledge often fails to inform policy makers and decision makers effectively. Implementing the EU Biodiversity Strategy for 2030 will require the transformation of engagement and exchange between knowledge providers and policy and decision makers. This is one of the main goals of the forthcoming EU Science Service for Biodiversity. We sought to support this endeavor by mapping the landscape of actors at the biodiversity science-policy-society interface. We first compiled an extensive database of actors (n = 215) by combining existing databases, searching the web, and consulting experts. We then interviewed representatives of key organizations (n = 28) to elicit data about their network of relations with other organizations. Additional qualitative data were elicited from a subset of organizations (n = 17/28) focusing on the roles of different actors in knowledge cocreation and their potential contribution to the functioning of the Science Service for Biodiversity. The social network analysis mapped the interactions (and lack thereof) between 101 organized actors. Central to the network were EU organizations, other international and intergovernmental organizations, and one well-known public interest group. A more varied mix of organizations had the potential to act as bridges between unc</w:t>
      </w:r>
    </w:p>
    <w:p>
      <w:pPr/>
      <w:r>
        <w:rPr>
          <w:b/>
        </w:rPr>
        <w:t>POSSIBLE 2024:</w:t>
      </w:r>
      <w:r>
        <w:t xml:space="preserve"> Policy options for sustainable access to off-patent antibiotics in Europe — https://doi.org/10.1038/s44259-024-00061-4</w:t>
      </w:r>
    </w:p>
    <w:p>
      <w:pPr/>
      <w:r>
        <w:rPr>
          <w:b/>
        </w:rPr>
        <w:t>Shared claim-specific concepts:</w:t>
      </w:r>
      <w:r>
        <w:t xml:space="preserve"> options, general; EU scope visible. This is a provisional connection, not an outcome finding.</w:t>
      </w:r>
    </w:p>
    <w:p>
      <w:pPr>
        <w:pStyle w:val="SourceNote"/>
      </w:pPr>
      <w:r>
        <w:rPr>
          <w:b/>
        </w:rPr>
        <w:t>Available abstract (not full text):</w:t>
      </w:r>
      <w:r>
        <w:t xml:space="preserve"> Securing sustainable access to existing antibiotics optimises agent choice for individual treatments and is crucial to curb antibiotic resistance. Access to antibiotics is often restricted in many countries, due to general market unavailability or episodic shortages. This article outlines key policy options to maintain availability of existing antibiotics and enhance antibiotic supply chain resilience focusing on the perspectives of European Union (EU) and European Economic Area (EEA) institutions and member states.</w:t>
      </w:r>
    </w:p>
    <w:p>
      <w:pPr/>
      <w:r>
        <w:rPr>
          <w:b/>
        </w:rPr>
        <w:t>POSSIBLE 2024:</w:t>
      </w:r>
      <w:r>
        <w:t xml:space="preserve"> The value of national defense: Assessing public preferences for defense policy options — https://doi.org/10.1016/j.ejpoleco.2024.102595</w:t>
      </w:r>
    </w:p>
    <w:p>
      <w:pPr/>
      <w:r>
        <w:rPr>
          <w:b/>
        </w:rPr>
        <w:t>Shared claim-specific concepts:</w:t>
      </w:r>
      <w:r>
        <w:t xml:space="preserve"> terms, options, population; EU scope visible. This is a provisional connection, not an outcome finding.</w:t>
      </w:r>
    </w:p>
    <w:p>
      <w:pPr>
        <w:pStyle w:val="SourceNote"/>
      </w:pPr>
      <w:r>
        <w:rPr>
          <w:b/>
        </w:rPr>
        <w:t>Available abstract (not full text):</w:t>
      </w:r>
      <w:r>
        <w:t xml:space="preserve"> Defense spending accounts for a large share of the budget in many countries, but the value of the resulting public good - national defense - has so far escaped assessment. Much of the literature has instead considered indirect benefits of defense spending in terms of greater economic growth or technological spillovers. In this paper, we assess the direct welfare effects of defense policy, namely an increase in the security of citizens, by means of a survey-based discrete choice experiment. Drawing on a representative sample of the German population, results suggest substantial willingness to pay for an increase in troop numbers, the establishment of a European army and an improved air defense system. The reintroduction of compulsory military service does not enjoy public support. Results further indicate substantial preference heterogeneity across respondents and policy options which we explore. As such, these findings demonstrate how methods of survey-based, non-market valuation can help to refine research in this area of public policy.</w:t>
      </w:r>
    </w:p>
    <w:p>
      <w:pPr/>
      <w:r>
        <w:rPr>
          <w:b/>
        </w:rPr>
        <w:t>POSSIBLE 2024:</w:t>
      </w:r>
      <w:r>
        <w:t xml:space="preserve"> Policies of Plastic Use in European Countries — https://doi.org/10.1201/9781003387862-3</w:t>
      </w:r>
    </w:p>
    <w:p>
      <w:pPr/>
      <w:r>
        <w:rPr>
          <w:b/>
        </w:rPr>
        <w:t>Shared claim-specific concepts:</w:t>
      </w:r>
      <w:r>
        <w:t xml:space="preserve"> terms, options, dependency; EU scope visible. This is a provisional connection, not an outcome finding.</w:t>
      </w:r>
    </w:p>
    <w:p>
      <w:pPr>
        <w:pStyle w:val="SourceNote"/>
      </w:pPr>
      <w:r>
        <w:rPr>
          <w:b/>
        </w:rPr>
        <w:t>Available abstract (not full text):</w:t>
      </w:r>
      <w:r>
        <w:t xml:space="preserve"> The European Union is an international political and economic union comprised of 27 Member States from Europe. Since the 21st century, plastic pollution has reached to a critical point plaguing not only Europe but other continents also facing the massive threats of plastic pollution affecting both civil populations and the environment. The European Union has been attempting to tackle the rising issue of plastic pollution for decades through national and transnational cooperations by setting up appropriate legislation and policies. Several approaches have been taken to pressure existing industries and the public with the intention of promoting a circular economy for plastics and reducing their dependency on products manufactured from plastics. The European Union remains resilient in terms of its economy and infrastructure to lay foundations towards achieving a circular economy for plastics. The European Union has formed new directives and frameworks which apply to single-use plastics, plastic packaging, and micro-plastics, aiming to reduce the environmental impacts of plastics through increasing the current recycling rates while reducing dependency on any waste-management options which can cause negative impacts on the environment and human health such as landfilling. Overall, the European Union has setup targets that have to be fulfilled by each of the Member States by the year</w:t>
      </w:r>
    </w:p>
    <w:p>
      <w:pPr/>
      <w:r>
        <w:rPr>
          <w:b/>
        </w:rPr>
        <w:t>POSSIBLE 2024:</w:t>
      </w:r>
      <w:r>
        <w:t xml:space="preserve"> Religion and female labor force participation in India — https://doi.org/10.1111/rode.13154</w:t>
      </w:r>
    </w:p>
    <w:p>
      <w:pPr/>
      <w:r>
        <w:rPr>
          <w:b/>
        </w:rPr>
        <w:t>Shared claim-specific concepts:</w:t>
      </w:r>
      <w:r>
        <w:t xml:space="preserve"> participation, among, improve; EU scope not established. This is a provisional connection, not an outcome finding.</w:t>
      </w:r>
    </w:p>
    <w:p>
      <w:pPr>
        <w:pStyle w:val="SourceNote"/>
      </w:pPr>
      <w:r>
        <w:rPr>
          <w:b/>
        </w:rPr>
        <w:t>Available abstract (not full text):</w:t>
      </w:r>
      <w:r>
        <w:t xml:space="preserve"> Abstract This paper primarily aims to identify the impact of religion on currently working women in India by considering the National Family Health Survey 2015–2016 data. It also incorporates several socioeconomics variables as controls. The models are estimated with aggregate as well as disaggregated urban–rural as well as zonal data. The results suggest that compared to the Hindus, Christian and Buddhist women have higher odds of labor force participation and Muslim and Sikh women have lower odds. Extensive analysis of the data indicates that economic well‐being among the Sikhs and the status of being married among the Muslims could be the primary factors responsible for their lower workforce participation. Additionally, lower age, lower education, better economic well‐being, the status of being married, large family size, having only one child, male household heads, and younger children are associated with lower workforce participation. Furthermore, education seems to be more accessible to women from urban areas and wealthier sections. Based on these observations, the study recommends devising policies for greater provisions for higher education in rural areas and among the poorer sections of society. Also, imparting awareness and developing an understanding of the importance of female labor force participation is crucial to improve women's labor force participation in India</w:t>
      </w:r>
    </w:p>
    <w:p>
      <w:pPr/>
      <w:r>
        <w:rPr>
          <w:b/>
        </w:rPr>
        <w:t>POSSIBLE 2023:</w:t>
      </w:r>
      <w:r>
        <w:t xml:space="preserve"> The Energy Price Shock—Impact, Policy Responses, and Reform Options — https://doi.org/10.5089/9798400246135.018</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The surge in energy prices due to Russia’s war in Ukraine inflicted a sharp terms of trade shock on the UK economy. While energy prices have since declined, the future energy price path remains uncertain, with futures-implied prices substantially above their levels prior to October 2021, when Russian natural gas imports to Europe began to be curtailed. In this context, section I analyzes the impact of the energy price shock on UK households and firms; section II describes the energy support measures introduced by the UK government; and section III provides staff’s assessment of these measures and sets out some options to optimize the policy response to a possible resurgence in energy prices. These include structural measures to ensure energy security and raise resilience to spikes in energy prices, and options to refine, especially the targeting of, support measures that could be introduced in response.</w:t>
      </w:r>
    </w:p>
    <w:p>
      <w:pPr/>
      <w:r>
        <w:rPr>
          <w:b/>
        </w:rPr>
        <w:t>POSSIBLE 2023:</w:t>
      </w:r>
      <w:r>
        <w:t xml:space="preserve"> The Outlook for Women's Employment and Labor Force Participation — https://doi.org/10.3386/w31916</w:t>
      </w:r>
    </w:p>
    <w:p>
      <w:pPr/>
      <w:r>
        <w:rPr>
          <w:b/>
        </w:rPr>
        <w:t>Shared claim-specific concepts:</w:t>
      </w:r>
      <w:r>
        <w:t xml:space="preserve"> options, participation, among, even; EU scope not established. This is a provisional connection, not an outcome finding.</w:t>
      </w:r>
    </w:p>
    <w:p>
      <w:pPr>
        <w:pStyle w:val="SourceNote"/>
      </w:pPr>
      <w:r>
        <w:rPr>
          <w:b/>
        </w:rPr>
        <w:t>Available abstract (not full text):</w:t>
      </w:r>
      <w:r>
        <w:t xml:space="preserve"> Employment and participation rates for US prime age women rose steadily during the second half of the 20th century.In the last 30 years, however, those rates stagnated, even as employment and participation rates for women in other industrialized countries continued to rise.I discuss the role of changes in the earnings structure and persistent institutional barriers, such as limited investment in family policies, that may be holding back employment among American women today.The COVID-19 pandemic reduced employment more for women than for men and raised the barriers to female participation due to the increase in childcare responsibilities during this period.Yet, the diffusion of remote and hybrid work arrangements in its aftermath may be beneficial for women's participation in the long run, even if both men's and women's postpandemic employment growth so far are strongly associated with access to remote work options.</w:t>
      </w:r>
    </w:p>
    <w:p>
      <w:pPr/>
      <w:r>
        <w:rPr>
          <w:b/>
        </w:rPr>
        <w:t>POSSIBLE 2023:</w:t>
      </w:r>
      <w:r>
        <w:t xml:space="preserve"> The Impact of Labor Force Participation on Elderly Health in China — https://doi.org/10.3390/healthcare11020160</w:t>
      </w:r>
    </w:p>
    <w:p>
      <w:pPr/>
      <w:r>
        <w:rPr>
          <w:b/>
        </w:rPr>
        <w:t>Shared claim-specific concepts:</w:t>
      </w:r>
      <w:r>
        <w:t xml:space="preserve"> participation, population; EU scope not established. This is a provisional connection, not an outcome finding.</w:t>
      </w:r>
    </w:p>
    <w:p>
      <w:pPr>
        <w:pStyle w:val="SourceNote"/>
      </w:pPr>
      <w:r>
        <w:rPr>
          <w:b/>
        </w:rPr>
        <w:t>Available abstract (not full text):</w:t>
      </w:r>
      <w:r>
        <w:t xml:space="preserve"> In the context of the deepening of population aging and the trial implementation of a progressive retirement delay policy in China, understanding the relationship between the labor force participation and health status of the elderly will not only enrich relevant research but also help the elderly better achieve their goals of active aging and aging. Using the 2018 China Health and Retirement Longitudinal Study, this paper first established multiple linear regression models to analyze the impact of labor force participation on the health status of elderly people in China and then established simultaneous equation models using households living on minimum living allowances and the community average of labor participation as instrumental variables to deal with the endogeneity caused by two-way causality. The findings confirmed significant positive correlations between labor force participation and physical and mental health, while caring for grandchildren and participating in social activities were found to be negatively moderated the relationship between labor force participation and the physical and mental health of older adults. The impact of labor force participation on the physical health status of older men and the mental health status of older women may be greater. In addition, labor force participation may have a greater impact on the physical health of the rural elderly,</w:t>
      </w:r>
    </w:p>
    <w:p>
      <w:pPr/>
      <w:r>
        <w:rPr>
          <w:b/>
        </w:rPr>
        <w:t>POSSIBLE 2023:</w:t>
      </w:r>
      <w:r>
        <w:t xml:space="preserve"> IMPACT OF FEMALE LABOR FORCE PARTICIPATION IN ECONOMIC DEVELOPMENT OF PAKISTAN — https://doi.org/10.53909/rms.05.01.0213</w:t>
      </w:r>
    </w:p>
    <w:p>
      <w:pPr/>
      <w:r>
        <w:rPr>
          <w:b/>
        </w:rPr>
        <w:t>Shared claim-specific concepts:</w:t>
      </w:r>
      <w:r>
        <w:t xml:space="preserve"> participation, population; EU scope not established. This is a provisional connection, not an outcome finding.</w:t>
      </w:r>
    </w:p>
    <w:p>
      <w:pPr>
        <w:pStyle w:val="SourceNote"/>
      </w:pPr>
      <w:r>
        <w:rPr>
          <w:b/>
        </w:rPr>
        <w:t>Available abstract (not full text):</w:t>
      </w:r>
      <w:r>
        <w:t xml:space="preserve"> Purpose This paper tries to examine whether the labor force participation of the female population affects the growth of the economy. Methodology The sampling data was collected from the World Bank’s website from 1971 to 2018. The Johansen co-integration test and VECM model were used to examine the relationship between female labor force participation and economic development. Findings The result of the Johansen and Juselius Co-integration test showed the long-term relationship between Female Labor Force Participation and Economic Development. The finding also indicated that female labor force participation had a negative impact on GDP. The CUSUM stability test was used for the short-run stability adjustments. Results of the CUSUM stability test showed that the coefficients of ECM (-1) speed of adjustment were stable at a 5 percent significance level, there were no oscillations outside the critical level, and the CUSUM curve was above the origin line, which indicated the significance of our short-run dynamics. Conclusion The study concludes that female labor force participation has a significant negative impact on Pakistan’s GDP, this is due to societal and cultural norms as well as the religious dignity of women.</w:t>
      </w:r>
    </w:p>
    <w:p>
      <w:pPr/>
      <w:r>
        <w:rPr>
          <w:b/>
        </w:rPr>
        <w:t>POSSIBLE 2023:</w:t>
      </w:r>
      <w:r>
        <w:t xml:space="preserve"> Planetary boundaries assessment of deep decarbonisation options for building heating in the European Union — https://doi.org/10.1016/j.enconman.2022.116602</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Building heating is one of the sectors for which multiple decarbonisation options exist and current geopolitical tensions provide urgency to design adequate regional policies. Heat pumps and hydrogen boilers, alongside alternative district heating systems, are the most promising alternatives. Although a host of city or country-level studies exist, it remains controversial what role hydrogen should play for building heating in the European Union compared with electrification and how blue and green hydrogen differ in terms of costs and environmental impacts. This work assesses the optimal technology mix for staying within planetary boundaries, and the influence of international cooperation and political restrictions. To perform the analysis, a bottom-up optimisation model was developed incorporating life cycle assessment constraints and covering production, storage, transport of energy and carbon dioxide, as well as grid and non-grid connected end-users of heat. It was found that a building heating system within planetary boundaries is feasible through large-scale electrification via heat pumps, although at a higher cost than the current system with abatement costs of around 200 €/ton CO2. Increasing interconnector capacity or onshore wind energy is found to be vital to staying within boundaries. A strong trade-off for hydrogen was identified, with blue hydrogen being cost-compet</w:t>
      </w:r>
    </w:p>
    <w:p>
      <w:pPr/>
      <w:r>
        <w:rPr>
          <w:b/>
        </w:rPr>
        <w:t>POSSIBLE 2022:</w:t>
      </w:r>
      <w:r>
        <w:t xml:space="preserve"> European Union criminal procedure policy as part of the European Union's policy in the field of the fight against criminality — https://doi.org/10.24144/2788-6018.2021.03.35</w:t>
      </w:r>
    </w:p>
    <w:p>
      <w:pPr/>
      <w:r>
        <w:rPr>
          <w:b/>
        </w:rPr>
        <w:t>Shared claim-specific concepts:</w:t>
      </w:r>
      <w:r>
        <w:t xml:space="preserve"> terms, options; EU scope visible. This is a provisional connection, not an outcome finding.</w:t>
      </w:r>
    </w:p>
    <w:p>
      <w:pPr>
        <w:pStyle w:val="SourceNote"/>
      </w:pPr>
      <w:r>
        <w:rPr>
          <w:b/>
        </w:rPr>
        <w:t>Available abstract (not full text):</w:t>
      </w:r>
      <w:r>
        <w:t xml:space="preserve"> This article is devoted to finding the term that would be optimal for naming the procedural part of the European Union's policy in the field of the fight against criminality. The terms «EU policy in the field of the fight against criminality», «EU criminal policy», «EU law enforcement policy» are used to refer to a separate type of European Union policy. Adhering to the position of giving preference to the use of the term «policy in the field of the fight against criminality», it is seen that such a construction can be applied in the context of the European Union and, as we see, is in demand. However, it should be recognized that a significant number of European scholars use the term «criminal policy of the European Union». Thus, it is proposed to use the term «European Union policy in the field of the fight against criminality» as a generalized concept that better reflects its non-level, but namely complex structure and relatively independent but interconnected basic elements, parts, first of all, EU criminal policy and EU criminal procedure policy. Of course, we can talk about other parts of the European Union's policy in the field of the fight against criminality, in particular, criminology, but the primary interest in the study is its procedural component. There are various terminologies in the literature that define it. For example, the following options can be identified:</w:t>
      </w:r>
    </w:p>
    <w:p>
      <w:pPr/>
      <w:r>
        <w:rPr>
          <w:b/>
        </w:rPr>
        <w:t>POSSIBLE 2022:</w:t>
      </w:r>
      <w:r>
        <w:t xml:space="preserve"> Ukraine’s Balance Policy between European Union and Russia — https://doi.org/10.18276/ap.2022.54-07</w:t>
      </w:r>
    </w:p>
    <w:p>
      <w:pPr/>
      <w:r>
        <w:rPr>
          <w:b/>
        </w:rPr>
        <w:t>Shared claim-specific concepts:</w:t>
      </w:r>
      <w:r>
        <w:t xml:space="preserve"> terms, options, participation; EU scope visible. This is a provisional connection, not an outcome finding.</w:t>
      </w:r>
    </w:p>
    <w:p>
      <w:pPr>
        <w:pStyle w:val="SourceNote"/>
      </w:pPr>
      <w:r>
        <w:rPr>
          <w:b/>
        </w:rPr>
        <w:t>Available abstract (not full text):</w:t>
      </w:r>
      <w:r>
        <w:t xml:space="preserve"> Having declared independence in 1991, after the dissolution of the Soviet Union, Ukraine gained strategic importance in terms of its geographical location. It is regarded a “buffer zone” for both the European Union (EU) and Russia. There is a division within the country into the pro-Western and pro-Russian options. Ukraine’s aspiration for the UE membership has faced Russia’s objection since time immemorial. In the past, Ukraine preferred to pursue a balance policy between Russia and the EU. Ukraine’s attempt to approach the West with the Orange Revolution, its inclusion in the European Neighbourhood Policy, its participation in the Eastern Partnership program were perceived as a threat by Russia. The Ukrainian crisis, in particular, brought these two countries face to face. This crisis also deeply affected both the EU’s energy policy and its relations with Russia. After all the developments that followed, the issue of Ukraine’s membership in the EU remains uncertain.</w:t>
      </w:r>
    </w:p>
    <w:p>
      <w:pPr>
        <w:pStyle w:val="Heading2"/>
      </w:pPr>
      <w:r>
        <w:t>678. Post-normal times: re-thinking the futures of the EU-Africa relationship</w:t>
      </w:r>
    </w:p>
    <w:p>
      <w:pPr>
        <w:pStyle w:val="SourceNote"/>
      </w:pPr>
      <w:r>
        <w:rPr>
          <w:b/>
        </w:rPr>
        <w:t>Original source (2020):</w:t>
      </w:r>
      <w:r>
        <w:t xml:space="preserve"> https://doi.org/10.1186/s40309-020-00167-8</w:t>
      </w:r>
    </w:p>
    <w:p>
      <w:pPr/>
      <w:r>
        <w:t>Original wording (abstract; indexed_source_text_not_full_document_verified): With the establishment of new powers as well as efforts to decolonise the thought and practise of North-South interactions, it is crucial to understand what the future of the relationship could be. The process consisted of identifying major influential factors in the relationship and assessing what role they played in the past and what role they could play in the future.</w:t>
      </w:r>
    </w:p>
    <w:p>
      <w:pPr/>
      <w:r>
        <w:rPr>
          <w:b/>
        </w:rPr>
        <w:t>POSSIBLE 2026:</w:t>
      </w:r>
      <w:r>
        <w:t xml:space="preserve"> HISTORICAL AND LEGAL PRECONDITIONS FOR THE ESTABLISHMENT OF EUROPEAN UNION AGENCIES — https://doi.org/10.23856/7642</w:t>
      </w:r>
    </w:p>
    <w:p>
      <w:pPr/>
      <w:r>
        <w:rPr>
          <w:b/>
        </w:rPr>
        <w:t>Shared claim-specific concepts:</w:t>
      </w:r>
      <w:r>
        <w:t xml:space="preserve"> establishment, process; EU scope visible. This is a provisional connection, not an outcome finding.</w:t>
      </w:r>
    </w:p>
    <w:p>
      <w:pPr>
        <w:pStyle w:val="SourceNote"/>
      </w:pPr>
      <w:r>
        <w:rPr>
          <w:b/>
        </w:rPr>
        <w:t>Available abstract (not full text):</w:t>
      </w:r>
      <w:r>
        <w:t xml:space="preserve"> The article examines the historical and legal preconditions for the establishment of European Union agencies as specific administrative bodies within the EU legal order. The relevance of the topic is determined by the fact that EU agencies have become important instruments for the implementation of Union policies, although their development was not initially directly provided for by the founding treaties. The article argues that the emergence of EU agencies was caused by the gradual complication of European integration, the expansion of the internal market, the need for technical expertise, the development of regulatory policies and the search for more flexible forms of administrative governance. Special attention is paid to the early stage of agency formation in the 1970s, the new wave of agencification in the 1990s, and the transformation of agencies after the Maastricht, Amsterdam, Nice and Lisbon Treaties. The study shows that the establishment of EU agencies was not a random institutional process but a response to functional needs of the Union. It is concluded that the historical and legal evolution of EU agencies reflects the transformation of the EU from a primarily economic community into a complex system of multilevel public administration.</w:t>
      </w:r>
    </w:p>
    <w:p>
      <w:pPr/>
      <w:r>
        <w:rPr>
          <w:b/>
        </w:rPr>
        <w:t>POSSIBLE 2026:</w:t>
      </w:r>
      <w:r>
        <w:t xml:space="preserve"> European middle powers: Germany, France and Italy as international actors — https://openalex.org/W7215008340</w:t>
      </w:r>
    </w:p>
    <w:p>
      <w:pPr/>
      <w:r>
        <w:rPr>
          <w:b/>
        </w:rPr>
        <w:t>Shared claim-specific concepts:</w:t>
      </w:r>
      <w:r>
        <w:t xml:space="preserve"> powers, major, they; EU scope visible. This is a provisional connection, not an outcome finding.</w:t>
      </w:r>
    </w:p>
    <w:p>
      <w:pPr>
        <w:pStyle w:val="SourceNote"/>
      </w:pPr>
      <w:r>
        <w:rPr>
          <w:b/>
        </w:rPr>
        <w:t>Available abstract (not full text):</w:t>
      </w:r>
      <w:r>
        <w:t xml:space="preserve"> Behind the geopolitics of great power competition lies a broad and diverse group of international actors that cannot match the status of major powers, yet wield considerable influence in specific policies and regions. These states are often referred to as middle powers, and they include actors from both the West and the Global South. They tend to act in multilateral formats, join alliances with like-minded partners and diversify their foreign policy partnerships. This Research Paper examines the concept of middlepowerness and applies it to an investigation of the foreign policies of the largest EU member states: Germany, France and Italy. Despite their relative decline compared with major and rising powers, these states retain significant resources that enable them to exert autonomous influence on specific issues in global politics. This capacity is particularly significant at a time of crisis in the transatlantic alliance due to the progressive US disengagement from Europe and from liberal values. The EU can act as a “power amplifier” for member states, but pooling the resources of middle powers does not automatically turn either those states or the EU into major powers in foreign policy.</w:t>
      </w:r>
    </w:p>
    <w:p>
      <w:pPr/>
      <w:r>
        <w:rPr>
          <w:b/>
        </w:rPr>
        <w:t>POSSIBLE 2026:</w:t>
      </w:r>
      <w:r>
        <w:t xml:space="preserve"> EPPO (European Public Prosecutor`s Office): objectives, powers and operating methods — https://openalex.org/W7220177938</w:t>
      </w:r>
    </w:p>
    <w:p>
      <w:pPr/>
      <w:r>
        <w:rPr>
          <w:b/>
        </w:rPr>
        <w:t>Shared claim-specific concepts:</w:t>
      </w:r>
      <w:r>
        <w:t xml:space="preserve"> establishment, powers, major; EU scope visible. This is a provisional connection, not an outcome finding.</w:t>
      </w:r>
    </w:p>
    <w:p>
      <w:pPr>
        <w:pStyle w:val="SourceNote"/>
      </w:pPr>
      <w:r>
        <w:rPr>
          <w:b/>
        </w:rPr>
        <w:t>Available abstract (not full text):</w:t>
      </w:r>
      <w:r>
        <w:t xml:space="preserve"> Corruption and fraud are major threats to the financial integrity of the European Union (EU), causing significant losses to the European budget and affecting the mechanisms for redistributing funds between Member States. According to the report on the protection of the EU's financial interests, fraud affecting the Union's financial interests exceeded €1.9 billion. In this context, the need for transnational institutions became evident that go beyond the legal boundaries of Member States, providing a coordinated framework for investigating cross-border financial crimes.Prior to the establishment of the EPPO, economic crimes affecting the EU budget were investigated at national level, which often led to a lack of coordinated action and low recovery rates. This fragmentation has been identified by the European Commission as a major vulnerability in the fight against fraud, underscoring the need for a common institution for all participating Member States.</w:t>
      </w:r>
    </w:p>
    <w:p>
      <w:pPr/>
      <w:r>
        <w:rPr>
          <w:b/>
        </w:rPr>
        <w:t>POSSIBLE 2026:</w:t>
      </w:r>
      <w:r>
        <w:t xml:space="preserve"> The Place of the European Union in the Global System of Powers and its Practical Challenges — https://doi.org/10.46340/eppd.2026.13.2.5</w:t>
      </w:r>
    </w:p>
    <w:p>
      <w:pPr/>
      <w:r>
        <w:rPr>
          <w:b/>
        </w:rPr>
        <w:t>Shared claim-specific concepts:</w:t>
      </w:r>
      <w:r>
        <w:t xml:space="preserve"> powers, understand, process, role, they; EU scope visible. This is a provisional connection, not an outcome finding.</w:t>
      </w:r>
    </w:p>
    <w:p>
      <w:pPr>
        <w:pStyle w:val="SourceNote"/>
      </w:pPr>
      <w:r>
        <w:rPr>
          <w:b/>
        </w:rPr>
        <w:t>Available abstract (not full text):</w:t>
      </w:r>
      <w:r>
        <w:t xml:space="preserve"> Relevance of the topic: At the present stage, the systemic development of the European Union has become largely dependent on changes in the global security environment.The ongoing Russia-Ukraine war has had a particularly strong impact, significantly changing the architecture of European security and the role of the European Union in international politics.This process has strengthened the importance of the EU's security policy and intensified the issue of its positioning in the global balance of power.In addition, it fundamentally changed the European security order.A norm-based cooperative system was replaced by hard power and a policy of deterrence.The war ended the illusion of "perpetual peace" in Europe and forced the continent to begin building a new, strong, militarized security system.Under these conditions, it becomes relevant to understand the crises of the systemic development of the European Union not only as temporary problems but as transformational processes.Therefore, the analysis of EU crises in the context of systemic development is important, which makes it possible to assess the future of European integration and its place in contemporary international relations.The analysis of EU crises shows that the union is in a stage of systemic transformation, where geopolitical uncertainty, energy vulnerability, and internal fragmentation force Europe to reconsider th</w:t>
      </w:r>
    </w:p>
    <w:p>
      <w:pPr/>
      <w:r>
        <w:rPr>
          <w:b/>
        </w:rPr>
        <w:t>POSSIBLE 2025:</w:t>
      </w:r>
      <w:r>
        <w:t xml:space="preserve"> Establishment of the Authority for Anti-Money Laundering . Why Does the European Union Need to Institutionalize Anti-Money Laundering? — https://doi.org/10.31743/recl.18302</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The Regulation of the European Parliament and of the Council of 31 May 2024 establishing the Authority for Anti-Money Laundering and Countering the Financing of Terrorism (AMLA) is an important step in combating money laundering and the financing of terrorism. This article outlines why this initiative was deemed necessary and what the objectives and powers of the new Authority will be. The primary method used during the research was the formal-dogmatic method through an analysis of the provisions regulating AML. The new Authority’s goals and functions were verified using legal acts, reports and studies from European Union bodies. On the basis of these, conclusions are presented on the purposefulness of the AMLA’s establishment, its scope of tasks and how it is expected to function. Some of the proposed assumptions – especially regarding the effectiveness of the direct supervision the AMLA is to perform – were subject to critical analysis. The research results show that, to increase the effectiveness of overall AML policy in the European Union, the new Authority must cooperate successfully with both EU and national authorities – primarily the Financial Intelligence Units of Member States.</w:t>
      </w:r>
    </w:p>
    <w:p>
      <w:pPr/>
      <w:r>
        <w:rPr>
          <w:b/>
        </w:rPr>
        <w:t>POSSIBLE 2025:</w:t>
      </w:r>
      <w:r>
        <w:t xml:space="preserve"> The separation of powers and the administrative branch in the European Union — https://doi.org/10.1093/icon/moaf048</w:t>
      </w:r>
    </w:p>
    <w:p>
      <w:pPr/>
      <w:r>
        <w:rPr>
          <w:b/>
        </w:rPr>
        <w:t>Shared claim-specific concepts:</w:t>
      </w:r>
      <w:r>
        <w:t xml:space="preserve"> powers, assessing, role, played; EU scope visible. This is a provisional connection, not an outcome finding.</w:t>
      </w:r>
    </w:p>
    <w:p>
      <w:pPr>
        <w:pStyle w:val="SourceNote"/>
      </w:pPr>
      <w:r>
        <w:rPr>
          <w:b/>
        </w:rPr>
        <w:t>Available abstract (not full text):</w:t>
      </w:r>
      <w:r>
        <w:t xml:space="preserve"> Abstract The interpretation of the principle of separation of powers in the EU has developed a distinct character through the principle of institutional balance. The Court of Justice of the European Union (CJEU) has played a central role in assessing and overseeing this principle. This article examines how the EU’s understanding of the separation of powers has shaped the functioning of its administrative branch. Specifically, it focuses on how the CJEU has applied the principle of institutional balance through the so-called non-delegation doctrine, which restricts the delegation of powers to EU administrative bodies. It argues that the CJEU’s interpretation has affected the theoretical understanding of administrative powers, ultimately hindering the development of a robust framework to ensure the accountability of discretionary powers exercised by administrative bodies not explicitly outlined in the EU treaties.</w:t>
      </w:r>
    </w:p>
    <w:p>
      <w:pPr/>
      <w:r>
        <w:rPr>
          <w:b/>
        </w:rPr>
        <w:t>POSSIBLE 2025:</w:t>
      </w:r>
      <w:r>
        <w:t xml:space="preserve"> Building Trade Institutions After the EU:Trade Powers in the UK — https://openalex.org/W7203962608</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This chapter presents the reshaped landscape of trade powers in the United Kingdom (UK) following withdrawal from the European Union EU), exploring the implications for the UK’s trade policy and regulatory framework. It examines the repatriation of trade powers from the EU to the UK, including the establishment of new trade agreements, tariff schedules, and regulatory regimes. By examining the UK’s trade powers in comparison to those of other countries and regions, it provides readers with insights into the diverse approaches and challenges in comparative trade regulation. Moreover, the chapter serves as a valuable case study for understanding the complexities of disentangling from regional trade arrangements and redefining trade policy priorities outside of large integrated markets.</w:t>
      </w:r>
    </w:p>
    <w:p>
      <w:pPr/>
      <w:r>
        <w:rPr>
          <w:b/>
        </w:rPr>
        <w:t>POSSIBLE 2025:</w:t>
      </w:r>
      <w:r>
        <w:t xml:space="preserve"> THE AI PARADOX IN CENTRAL BANKING: NEW POWERS, NEW VULNERABILITIES — https://doi.org/10.21098/jcli.v4i3.441</w:t>
      </w:r>
    </w:p>
    <w:p>
      <w:pPr/>
      <w:r>
        <w:rPr>
          <w:b/>
        </w:rPr>
        <w:t>Shared claim-specific concepts:</w:t>
      </w:r>
      <w:r>
        <w:t xml:space="preserve"> powers, relationship; EU scope not established. This is a provisional connection, not an outcome finding.</w:t>
      </w:r>
    </w:p>
    <w:p>
      <w:pPr>
        <w:pStyle w:val="SourceNote"/>
      </w:pPr>
      <w:r>
        <w:rPr>
          <w:b/>
        </w:rPr>
        <w:t>Available abstract (not full text):</w:t>
      </w:r>
      <w:r>
        <w:t xml:space="preserve"> The integration of artificial intelligence into central banking disrupts the traditional bank regulator relationship, creating asymmetries that private institutions exploit. This paper examines how AI-driven market surveillance and predictive risk modelling erode private banks’ informational advantages, compelling them into a Schumpeterian race for survival in which innovation becomes imperative. Using a qualitative analysis of regulatory developments and financial market adaptations, this study argues that enhanced central bank AI capabilities paradoxically accelerate the emergence of opaque financial segments designed to evade oversight. The findings indicate that this shift transforms regulatory dynamics, positioning central banks as real-time market participants while private institutions develop increasingly sophisticated methods of regulatory evasion. This evolution generates systemic risks that existing regulatory frameworks struggle to address, necessitating adaptive oversight mechanisms. The study concludes that the imperative progressively drives financial innovation to maintain opacity in response to algorithmic supervision, underscoring the need for regulatory models that balance AI’s benefits with emerging vulnerabilities.</w:t>
      </w:r>
    </w:p>
    <w:p>
      <w:pPr/>
      <w:r>
        <w:rPr>
          <w:b/>
        </w:rPr>
        <w:t>POSSIBLE 2025:</w:t>
      </w:r>
      <w:r>
        <w:t xml:space="preserve"> The elephant in the room: the European Council’s dominance in core state powers during times of crisis — https://doi.org/10.1080/14782804.2025.2577136</w:t>
      </w:r>
    </w:p>
    <w:p>
      <w:pPr/>
      <w:r>
        <w:rPr>
          <w:b/>
        </w:rPr>
        <w:t>Shared claim-specific concepts:</w:t>
      </w:r>
      <w:r>
        <w:t xml:space="preserve"> establishment, powers, process, role; EU scope visible. This is a provisional connection, not an outcome finding.</w:t>
      </w:r>
    </w:p>
    <w:p>
      <w:pPr>
        <w:pStyle w:val="SourceNote"/>
      </w:pPr>
      <w:r>
        <w:rPr>
          <w:b/>
        </w:rPr>
        <w:t>Available abstract (not full text):</w:t>
      </w:r>
      <w:r>
        <w:t xml:space="preserve"> This article examines the role of the European Council in shaping the EU’s policy response to three crises in ‘core state power’ policy areas, namely the COVID-19 pandemic (budgetary and financial assistance policy), the Russian invasion of Ukraine (common foreign and security policy) and the rule of law controversy (identity and constitutional policy). It carries out a theory-building process-tracing analysis of dominance exerted by the European Council over the decision-making process that led to the establishment of the Recovery and Resilience Facility, sanctions against Russia and the rule of law conditionality system respectively. The findings shed light on exactly how the European Council, in the presence of crises involving ‘core state powers’, is able to exercise decision-making powers beyond the letter of the treaties, relegating the other EU institutions to a consultative or implementing role. These findings can be generalised across different crises framed at the EU level which tap into the realm of core state powers.</w:t>
      </w:r>
    </w:p>
    <w:p>
      <w:pPr/>
      <w:r>
        <w:rPr>
          <w:b/>
        </w:rPr>
        <w:t>POSSIBLE 2024:</w:t>
      </w:r>
      <w:r>
        <w:t xml:space="preserve"> An anti-money laundering authority for the European Union: a new center of gravity in AML enforcement — https://doi.org/10.1007/s12027-024-00805-9</w:t>
      </w:r>
    </w:p>
    <w:p>
      <w:pPr/>
      <w:r>
        <w:rPr>
          <w:b/>
        </w:rPr>
        <w:t>Shared claim-specific concepts:</w:t>
      </w:r>
      <w:r>
        <w:t xml:space="preserve"> establishment, powers; EU scope visible. This is a provisional connection, not an outcome finding.</w:t>
      </w:r>
    </w:p>
    <w:p>
      <w:pPr>
        <w:pStyle w:val="SourceNote"/>
      </w:pPr>
      <w:r>
        <w:rPr>
          <w:b/>
        </w:rPr>
        <w:t>Available abstract (not full text):</w:t>
      </w:r>
      <w:r>
        <w:t xml:space="preserve"> Abstract The establishment of an Anti-Money Laundering Authority (AMLA) heralds a milestone in the European Union’s (EU) institutional framework for the enforcement of anti-money laundering and countering the financing of terrorism (AML/CFT) rules. This contribution explores the competence and powers of the new AML/CFT supervisor. While AMLA is a true enforcement actor with investigative and sanctioning powers to address breaches of AML/CFT requirements, the scope of AMLA’s enforcement powers will be limited. AMLA will nevertheless have an important regulatory impact and it will enhance the fight against cross-border financial crime by supporting the work of other bodies and agencies in the field.</w:t>
      </w:r>
    </w:p>
    <w:p>
      <w:pPr/>
      <w:r>
        <w:rPr>
          <w:b/>
        </w:rPr>
        <w:t>POSSIBLE 2024:</w:t>
      </w:r>
      <w:r>
        <w:t xml:space="preserve"> Decolonising Solidarity? — https://doi.org/10.31273/an.v11i1.1491</w:t>
      </w:r>
    </w:p>
    <w:p>
      <w:pPr/>
      <w:r>
        <w:rPr>
          <w:b/>
        </w:rPr>
        <w:t>Shared claim-specific concepts:</w:t>
      </w:r>
      <w:r>
        <w:t xml:space="preserve"> efforts, they, past; EU scope visible. This is a provisional connection, not an outcome finding.</w:t>
      </w:r>
    </w:p>
    <w:p>
      <w:pPr>
        <w:pStyle w:val="SourceNote"/>
      </w:pPr>
      <w:r>
        <w:rPr>
          <w:b/>
        </w:rPr>
        <w:t>Available abstract (not full text):</w:t>
      </w:r>
      <w:r>
        <w:t xml:space="preserve"> While the 50th anniversary of the coup d’état against the government of Salvador Allende in Chile invites to reflect on past and current experiences of solidarity between Latin America and Europe, the present contribution seeks to foreground the rather overlooked international solidarity efforts of and with the indigenous Mapuche. As a result of their forced exile to Europe after 1973, Mapuche activists began to organise themselves as a diasporic community in Europe and to form a transnational advocacy network in support of their people. This contribution aims to showcase how international solidarity of and with the Mapuche in Europe evolved over time, how they relate to non-indigenous, Chilean solidarity networks, and which underlying Mapuche notions of solidarity they reactivate in order to weave their transnational advocacy network.</w:t>
      </w:r>
    </w:p>
    <w:p>
      <w:pPr/>
      <w:r>
        <w:rPr>
          <w:b/>
        </w:rPr>
        <w:t>POSSIBLE 2023:</w:t>
      </w:r>
      <w:r>
        <w:t xml:space="preserve"> THE EUROPEAN UNION: THE HISTORY OF ESTABLISHMENT AND SIGNIFICANCE FOR UKRAINE — https://doi.org/10.30970/vla.2023.76.015</w:t>
      </w:r>
    </w:p>
    <w:p>
      <w:pPr/>
      <w:r>
        <w:rPr>
          <w:b/>
        </w:rPr>
        <w:t>Shared claim-specific concepts:</w:t>
      </w:r>
      <w:r>
        <w:t xml:space="preserve"> establishment, powers, process, role, they, played; EU scope visible. This is a provisional connection, not an outcome finding.</w:t>
      </w:r>
    </w:p>
    <w:p>
      <w:pPr>
        <w:pStyle w:val="SourceNote"/>
      </w:pPr>
      <w:r>
        <w:rPr>
          <w:b/>
        </w:rPr>
        <w:t>Available abstract (not full text):</w:t>
      </w:r>
      <w:r>
        <w:t xml:space="preserve"> The article reveals the prerequisites for the formation and development of European integration, reveals the processes of creating the European Union as a new form of European integration, and analyzes the achievements of Ukraine in European integration processes. It is noted that the idea of uniting the peoples and states of Europe has a long history. In various historical periods, European rulers and politicians sought to implement the idea of European unification. The idea of European unity was developed and defended in their writings by philosophers, scientists, religious figures, etc. This idea is based on the principles of territorial and civilizational kinship and unity of Europeans and runs through the entire history of European nations. The formation and development of European integration institutions was the result of the consistent development of the unification process of the countries of Western Europe, which went through several stages in their development. Integration involved an active search for ways and means of political, legal, economic (and in some cases, social and cultural) unification of European states with the aim of establishing their close, first of all, economic cooperation. An important role in integration processes was and continues to be played by the economic basis of the development of states. European integration is based on economic integrat</w:t>
      </w:r>
    </w:p>
    <w:p>
      <w:pPr>
        <w:pStyle w:val="Heading2"/>
      </w:pPr>
      <w:r>
        <w:t>679. Quantifying the sensitivity of european power systems to energy scenarios and climate change projections</w:t>
      </w:r>
    </w:p>
    <w:p>
      <w:pPr>
        <w:pStyle w:val="SourceNote"/>
      </w:pPr>
      <w:r>
        <w:rPr>
          <w:b/>
        </w:rPr>
        <w:t>Original source (2020):</w:t>
      </w:r>
      <w:r>
        <w:t xml:space="preserve"> https://doi.org/10.1016/j.renene.2020.09.125</w:t>
      </w:r>
    </w:p>
    <w:p>
      <w:pPr/>
      <w:r>
        <w:t>Original wording (abstract; indexed_source_text_not_full_document_verified): We show for the first time how a set of divergent future power system scenarios lead to marked differences in Europe’s total energy balance (demand-net-renewable supply) by 2050, which dominate over the uncertainty associated with climate change (∼50% and ∼5% respectively). However, within any given power system scenario, national power systems may be subject to considerable impacts from climate change, particularly for seasonal differences between renewable resources (e.g., wind power may be impacted by ∼20% or more).</w:t>
      </w:r>
    </w:p>
    <w:p>
      <w:pPr/>
      <w:r>
        <w:rPr>
          <w:b/>
        </w:rPr>
        <w:t>POSSIBLE 2026:</w:t>
      </w:r>
      <w:r>
        <w:t xml:space="preserve"> Stability Rules: Succession Institutions, Conflict, and Divergent Paths of State Development — https://openalex.org/W7164271797</w:t>
      </w:r>
    </w:p>
    <w:p>
      <w:pPr/>
      <w:r>
        <w:rPr>
          <w:b/>
        </w:rPr>
        <w:t>Shared claim-specific concepts:</w:t>
      </w:r>
      <w:r>
        <w:t xml:space="preserve"> show, first, divergent, power, system, over; EU scope visible. This is a provisional connection, not an outcome finding.</w:t>
      </w:r>
    </w:p>
    <w:p>
      <w:pPr>
        <w:pStyle w:val="SourceNote"/>
      </w:pPr>
      <w:r>
        <w:rPr>
          <w:b/>
        </w:rPr>
        <w:t>Available abstract (not full text):</w:t>
      </w:r>
      <w:r>
        <w:t xml:space="preserve"> How do political systems secure stable transfers of power, and what are the long-run consequences of failing to do so? This dissertation argues that the organization of succession is a fundamental determinant of both political stability and state development. Succession institutions matter in two ways. First, clear and impersonal rules reduce uncertainty by coordinating elite expectations over who should rule next. Second, they shape who competes for power in the first place—selecting for claimants with either limited capacity and incentives for rebellion or, alternatively, empowering rivals prone to contest the throne. Where succession institutions fail along these dimensions, transfers of power become focal points for violence, generating recurrent patterns of conflict that shape divergent paths of state development over the long run. The dissertation develops this argument across three chapters. The first examines how variation in succession rules shaped the likelihood of conflict in pre-modern monarchies. I argue that succession institutions differ along three key dimensions: whether successors are identified before or after a ruler’s death, whether succession follows a fixed, rule-based line (e.g., birth-order) or a discretionary process, and whether power transfers vertically across generations or laterally within them. The advanced identification of successors and fixed,</w:t>
      </w:r>
    </w:p>
    <w:p>
      <w:pPr/>
      <w:r>
        <w:rPr>
          <w:b/>
        </w:rPr>
        <w:t>POSSIBLE 2026:</w:t>
      </w:r>
      <w:r>
        <w:t xml:space="preserve"> Understanding Divergent Convergence: — https://doi.org/10.5195/jwsr.2026.1370</w:t>
      </w:r>
    </w:p>
    <w:p>
      <w:pPr/>
      <w:r>
        <w:rPr>
          <w:b/>
        </w:rPr>
        <w:t>Shared claim-specific concepts:</w:t>
      </w:r>
      <w:r>
        <w:t xml:space="preserve"> divergent, system, marked, within; EU scope not established. This is a provisional connection, not an outcome finding.</w:t>
      </w:r>
    </w:p>
    <w:p>
      <w:pPr>
        <w:pStyle w:val="SourceNote"/>
      </w:pPr>
      <w:r>
        <w:rPr>
          <w:b/>
        </w:rPr>
        <w:t>Available abstract (not full text):</w:t>
      </w:r>
      <w:r>
        <w:t xml:space="preserve"> The twenty-first century is marked by a profound transformation of the global capitalist system, characterized by simultaneous convergence between the Global North (GN) and the Global South (GS), alongside increasing divergence within the GS. At the center of this process, the Sino-Asian macro-regional formation has emerged as a new pole of accumulation, reshaping global hierarchies while deepening asymmetries within the GS. This article addresses three interrelated questions: how this transformation has unfolded, why Sino-Asia has become a dynamic center of the global system, and what explains the growing divergence within the GS. To do so, it advances a complementary multilevel framework integrating Arrighian World System Analysis (WSA), Latin American Structuralism (LAS), and Historical Institutionalism (HI). The analysis shows that Arrighian systemic cycles of accumulation—particularly the transition from financial to material phases—account for the conditions underlying the rise of Sino-Asia and a more dynamic GS, but are insufficient to explain intraregional divergence. Prebischian LAS addresses this limitation by highlighting the role of industrialization, technological upgrading, and regional integration in shaping differentiated development trajectories. Integrated within a systemic perspective, HI helps identify state capacity as the key mechanism enabling these proce</w:t>
      </w:r>
    </w:p>
    <w:p>
      <w:pPr/>
      <w:r>
        <w:rPr>
          <w:b/>
        </w:rPr>
        <w:t>POSSIBLE 2026:</w:t>
      </w:r>
      <w:r>
        <w:t xml:space="preserve"> Negotiating Post-Carbon Futures: Divergent Imaginaries in the Redevelopment of Ratcliffe-on Soar Power Station — https://openalex.org/W7163849930</w:t>
      </w:r>
    </w:p>
    <w:p>
      <w:pPr/>
      <w:r>
        <w:rPr>
          <w:b/>
        </w:rPr>
        <w:t>Shared claim-specific concepts:</w:t>
      </w:r>
      <w:r>
        <w:t xml:space="preserve"> first, divergent, power, within; EU scope not established. This is a provisional connection, not an outcome finding.</w:t>
      </w:r>
    </w:p>
    <w:p>
      <w:pPr>
        <w:pStyle w:val="SourceNote"/>
      </w:pPr>
      <w:r>
        <w:rPr>
          <w:b/>
        </w:rPr>
        <w:t>Available abstract (not full text):</w:t>
      </w:r>
      <w:r>
        <w:t xml:space="preserve"> The UK achieved the ambitious goal of becoming the first G7 country to phase out coal-firedelectricity, with its last power station, Ratcliffe-on-Soar closing in 2024. Ensuring thisgeneration of transitioning communities does not follow in the footsteps of ‘left behind’ UKex-mining villages for example, is imperative. This study investigates and compares theimaginaries of place leaders and locals in a region experiencing a post-carbon transition, froma critical realist perspective. The paper addresses the current gap in imaginaries literature tothoroughly engage with subjective theories such as sense of place and value judgments, as wellas understanding the implications of imaginaries on economic processes. A conceptualframework is built to extend Benners (2025) conceptualisation of imaginaries, by delineatingfour key dimensions: spatial, temporal, thematic and tonal. The framework is then applied tothe case study of the redevelopment of Ratcliffe-on-Soar power station in Nottinghamshire, tocompare the imaginaries of place leaders and locals, by conducting six semi-structuredinterviews and document analysis. The findings are then operationalised within an indexdeveloped in this paper, to quantitatively map out the orientation of actors’ imaginaries. Thestudy finds that the two groups diverged, to varying degrees, across all four dimensions ofimaginaries. Additionally, it identi</w:t>
      </w:r>
    </w:p>
    <w:p>
      <w:pPr/>
      <w:r>
        <w:rPr>
          <w:b/>
        </w:rPr>
        <w:t>POSSIBLE 2026:</w:t>
      </w:r>
      <w:r>
        <w:t xml:space="preserve"> Divergent Perceptions, Divergent Pay: Inflation and the Gender Wage Gap — https://doi.org/10.65864/sws4jidg0w</w:t>
      </w:r>
    </w:p>
    <w:p>
      <w:pPr/>
      <w:r>
        <w:rPr>
          <w:b/>
        </w:rPr>
        <w:t>Shared claim-specific concepts:</w:t>
      </w:r>
      <w:r>
        <w:t xml:space="preserve"> first, divergent, lead, within; EU scope not established. This is a provisional connection, not an outcome finding.</w:t>
      </w:r>
    </w:p>
    <w:p>
      <w:pPr>
        <w:pStyle w:val="SourceNote"/>
      </w:pPr>
      <w:r>
        <w:rPr>
          <w:b/>
        </w:rPr>
        <w:t>Available abstract (not full text):</w:t>
      </w:r>
      <w:r>
        <w:t xml:space="preserve"> Inflationary shocks do not affect all workers equally. Comparing men and women, we document two facts. First, both demand- and supply-driven inflationary shocks widen the gender wage gap within industries and occupations. Because these shocks imply opposite business-cycle conditions, their common effect points to inflation as the relevant force. Second, women and men perceive the same inflationary shocks as having different labor-market consequences: women expect conditions to worsen, while men expect them to improve. This asymmetry creates an expectations channel linking inflation to unequal wage growth. We formalize this channel in a New Keynesian search-and-matching model with male and female workers, imperfect information, and gender-specific ambiguity attitudes. Common macroeconomic signals lead ambiguity-averse women to place greater weight on adverse supply-driven states. For inflationary signals, this lowers their perceived outside options and wage demands relative to men's. Divergent perceptions translate common inflationary shocks into divergent pay.</w:t>
      </w:r>
    </w:p>
    <w:p>
      <w:pPr/>
      <w:r>
        <w:rPr>
          <w:b/>
        </w:rPr>
        <w:t>POSSIBLE 2025:</w:t>
      </w:r>
      <w:r>
        <w:t xml:space="preserve"> Spatial shifts of seasonal vegetation cycles in Europe over time — https://doi.org/10.5194/egusphere-egu25-11953</w:t>
      </w:r>
    </w:p>
    <w:p>
      <w:pPr/>
      <w:r>
        <w:rPr>
          <w:b/>
        </w:rPr>
        <w:t>Shared claim-specific concepts:</w:t>
      </w:r>
      <w:r>
        <w:t xml:space="preserve"> show, first, time, over, climate, however; EU scope visible. This is a provisional connection, not an outcome finding.</w:t>
      </w:r>
    </w:p>
    <w:p>
      <w:pPr>
        <w:pStyle w:val="SourceNote"/>
      </w:pPr>
      <w:r>
        <w:rPr>
          <w:b/>
        </w:rPr>
        <w:t>Available abstract (not full text):</w:t>
      </w:r>
      <w:r>
        <w:t xml:space="preserve"> Seasonal cycles of vegetation functioning are changing as a consequence of climate change. For example, a widespread greening of the northern hemisphere is observed, with an earlier start of the growing season and a later end of the growing season in some regions. However, in other regions, the growing season is actually ending earlier due to water limitations or more frequent extremes.In this study, we focus on Europe and calculate seasonal cycles of vegetation indices at each grid cell during a past time period, and determine where most similar seasonal cycles are observed during a more recent time period. This way, we examine how the seasonal vegetation cycle at grid cells has shifted in space over the past decades by analyzing satellite-derived Leaf Area Index (LAI) data. The spatial shift is calculated for each grid cell as the difference between the locations with (i) most similar seasonal cycles during 2010-2018 and (ii) most similar seasonal cycles during 1982-1989. Similarity is assessed based on the RMSE between the seasonal cycles. First results show a widespread eastward and northward shift of seasonal cycles across Europe. The variability of determined shifts is high across regions. Calculations of spatial shifts using MODIS LAI data during more recent time periods are used to validate the long-term results. Finally, we compare the determined spatial shifts to resp</w:t>
      </w:r>
    </w:p>
    <w:p>
      <w:pPr/>
      <w:r>
        <w:rPr>
          <w:b/>
        </w:rPr>
        <w:t>POSSIBLE 2025:</w:t>
      </w:r>
      <w:r>
        <w:t xml:space="preserve"> The spatiotemporal dynamics of COVID-19 in Europe: time-series clustering maps 5 distinct trajectories to spatial patterns — https://doi.org/10.1186/s12963-025-00405-w</w:t>
      </w:r>
    </w:p>
    <w:p>
      <w:pPr/>
      <w:r>
        <w:rPr>
          <w:b/>
        </w:rPr>
        <w:t>Shared claim-specific concepts:</w:t>
      </w:r>
      <w:r>
        <w:t xml:space="preserve"> show, first, time, within; EU scope visible. This is a provisional connection, not an outcome finding.</w:t>
      </w:r>
    </w:p>
    <w:p>
      <w:pPr>
        <w:pStyle w:val="SourceNote"/>
      </w:pPr>
      <w:r>
        <w:rPr>
          <w:b/>
        </w:rPr>
        <w:t>Available abstract (not full text):</w:t>
      </w:r>
      <w:r>
        <w:t xml:space="preserve"> The COVID-19 pandemic affected Europe unevenly, with surges in infections and deaths fluctuating across different regions and time periods. Hyper-localised hotspots and staggered timelines created intense, asynchronous waves of infections and deaths that distort country-level and cumulative data, obscuring the pandemic's spatiotemporal dynamics through aggregation. Despite extensive research comparing states and analysing subnational variance within individual countries, the detailed subnational and transnational dynamics of the COVID-19 pandemic across Europe as a whole have not been comprehensively described. Here we show that time-series clustering, applied to weekly excess mortality estimates for subnational NUTS3 administrative regions of 27 countries in Europe, identifies five distinct pandemic trajectories which map to spatial patterns. The trajectories comprise two subgroups, representing contrasting pandemic dynamics in eastern and western Europe. Western Europe exhibits concentric arrangements of mortality impact, with secondary and tertiary impact zones surrounding outbreak epicenters. Eastern Europe exhibits internally homogeneous spatial dynamics, possibly due to the deferral of the first major mortality wave.</w:t>
      </w:r>
    </w:p>
    <w:p>
      <w:pPr/>
      <w:r>
        <w:rPr>
          <w:b/>
        </w:rPr>
        <w:t>POSSIBLE 2025:</w:t>
      </w:r>
      <w:r>
        <w:t xml:space="preserve"> #154 Time trends in European paediatric kidney transplantation: an ESPN/ERA Registry study — https://doi.org/10.1093/ndt/gfaf116.0876</w:t>
      </w:r>
    </w:p>
    <w:p>
      <w:pPr/>
      <w:r>
        <w:rPr>
          <w:b/>
        </w:rPr>
        <w:t>Shared claim-specific concepts:</w:t>
      </w:r>
      <w:r>
        <w:t xml:space="preserve"> first, time, differences, over; EU scope visible. This is a provisional connection, not an outcome finding.</w:t>
      </w:r>
    </w:p>
    <w:p>
      <w:pPr>
        <w:pStyle w:val="SourceNote"/>
      </w:pPr>
      <w:r>
        <w:rPr>
          <w:b/>
        </w:rPr>
        <w:t>Available abstract (not full text):</w:t>
      </w:r>
      <w:r>
        <w:t xml:space="preserve"> Abstract Background and Aims Kidney transplantation is the optimal treatment modality for most patients with kidney failure particularly in childhood due to survival advantages and improved physical and psychosocial development. While most children initiate kidney replacement therapy (KRT) on dialysis, they are expected to receive a kidney transplant during childhood. We know that in Europe there are substantial differences in the access to kidney transplantation, but information on time trends is lacking. The aim of this study was therefore to report on time trends in paediatric kidney transplantation rates and recipient characteristics between 2010 and 2021 in Europe, overall and by country macro-economic level. Method Thirty-one countries contributing with data to the ESPN/ERA Registry on kidney transplant recipients below 18 years (covering about 90% of Europe) between 2010 and 2021 were included. The main analysis focused on the period of 2010–19. Additionally, the years 2020–21 were analysed separately, because of the potential effect of the COVID-19 pandemic. We reported trends in kidney transplantation per million age related population (pmarp) in Europe, overall and by country groups based on macro-economic level [low, middle or high income countries according to the gross domestic product (GDP) per capita in 2021]. Time trends were reported as annual percentage change</w:t>
      </w:r>
    </w:p>
    <w:p>
      <w:pPr/>
      <w:r>
        <w:rPr>
          <w:b/>
        </w:rPr>
        <w:t>POSSIBLE 2025:</w:t>
      </w:r>
      <w:r>
        <w:t xml:space="preserve"> Evolutionarily distinct lineages of a migratory bird of prey show divergent responses to climate change — https://doi.org/10.1038/s41467-025-58617-5</w:t>
      </w:r>
    </w:p>
    <w:p>
      <w:pPr/>
      <w:r>
        <w:rPr>
          <w:b/>
        </w:rPr>
        <w:t>Shared claim-specific concepts:</w:t>
      </w:r>
      <w:r>
        <w:t xml:space="preserve"> show, divergent, climate; EU scope visible. This is a provisional connection, not an outcome finding.</w:t>
      </w:r>
    </w:p>
    <w:p>
      <w:pPr>
        <w:pStyle w:val="SourceNote"/>
      </w:pPr>
      <w:r>
        <w:rPr>
          <w:b/>
        </w:rPr>
        <w:t>Available abstract (not full text):</w:t>
      </w:r>
      <w:r>
        <w:t xml:space="preserve"> Accurately predicting species' responses to anthropogenic climate change is hampered by limited knowledge of their spatiotemporal ecological and evolutionary dynamics. We combine landscape genomics, demographic reconstructions, and species distribution models to assess the eco-evolutionary responses to past climate fluctuations and to future climate of an Afro-Palaearctic migratory raptor, the lesser kestrel (Falco naumanni). We uncover two evolutionarily and ecologically distinct lineages (European and Asian), whose demographic history, evolutionary divergence, and historical distribution range were profoundly shaped by past climatic fluctuations. Using future climate projections, we find that the Asian lineage is at higher risk of range contraction, increased migration distance, climate maladaptation, and consequently greater extinction risk than the European lineage. Our results emphasise the importance of providing historical context as a baseline for understanding species' responses to contemporary climate change, and illustrate how incorporating intraspecific genetic variation improves the ecological realism of climate change vulnerability assessments.</w:t>
      </w:r>
    </w:p>
    <w:p>
      <w:pPr/>
      <w:r>
        <w:rPr>
          <w:b/>
        </w:rPr>
        <w:t>POSSIBLE 2025:</w:t>
      </w:r>
      <w:r>
        <w:t xml:space="preserve"> First Results of the European Cystinuria Registry — https://doi.org/10.1681/asn.2025bdqnghxs</w:t>
      </w:r>
    </w:p>
    <w:p>
      <w:pPr/>
      <w:r>
        <w:rPr>
          <w:b/>
        </w:rPr>
        <w:t>Shared claim-specific concepts:</w:t>
      </w:r>
      <w:r>
        <w:t xml:space="preserve"> show, first, time, associated, respectively, within; EU scope visible. This is a provisional connection, not an outcome finding.</w:t>
      </w:r>
    </w:p>
    <w:p>
      <w:pPr>
        <w:pStyle w:val="SourceNote"/>
      </w:pPr>
      <w:r>
        <w:rPr>
          <w:b/>
        </w:rPr>
        <w:t>Available abstract (not full text):</w:t>
      </w:r>
      <w:r>
        <w:t xml:space="preserve"> Background: Cystinuria is a rare autosomal recessive disorder in which high urinary cystine excretion leads to formation of cystine stones due to its low solubility at normal urinary pH (UpH). Our goal was to collect prospective data from children and adults with cystinuria followed in European centers. Methods: EUROCYS is a multidisciplinary, multicenter registry of patients with cystinuria in which demographic, clinical, biological, radiological and therapeutic data are collected longitudinally and recorded via the European Rare Kidney Disease Registry platform. Results: 484 patients (306 adults, 178 children) have been included in 38 centers from 10 countries. Mean age at diagnosis and at inclusion were 17.8 (SD: 17.5) and 30.3 (21.0) yrs, respectively. Within the 12 months prior to visit, 13.8% had a urological surgery and 11.0% a spontaneous stone passage. Mean eGFR at inclusion was 87.8 ml/min/1.73m2 (24.5): 52.4%, 33.8%, 12.8%, 0.3%, and 0.8% of patients had CKD stages 1, 2, 3, 4 or 5, respectively. Mean UpH was 6.9 (0.8), below the recommended target of 7.5 to 8. Taking into account all visits with available UpH (n=213), only 25.3% of UpH were between 7.5 and 8, whereas 65.3% were below 7.5 and 9.4% above 8. UpH between 7 and 7.49 and below 7 were associated with an increased risk of new stones assessed by radiology during the following year, compared with UpH between 7</w:t>
      </w:r>
    </w:p>
    <w:p>
      <w:pPr/>
      <w:r>
        <w:rPr>
          <w:b/>
        </w:rPr>
        <w:t>POSSIBLE 2025:</w:t>
      </w:r>
      <w:r>
        <w:t xml:space="preserve"> Impact of climate and Aedes albopictus establishment on dengue and chikungunya outbreaks in Europe: a time-to-event analysis — https://doi.org/10.1016/s2542-5196(25)00059-2</w:t>
      </w:r>
    </w:p>
    <w:p>
      <w:pPr/>
      <w:r>
        <w:rPr>
          <w:b/>
        </w:rPr>
        <w:t>Shared claim-specific concepts:</w:t>
      </w:r>
      <w:r>
        <w:t xml:space="preserve"> first, time, differences, over, associated, climate; EU scope visible. This is a provisional connection, not an outcome finding.</w:t>
      </w:r>
    </w:p>
    <w:p>
      <w:pPr>
        <w:pStyle w:val="SourceNote"/>
      </w:pPr>
      <w:r>
        <w:rPr>
          <w:b/>
        </w:rPr>
        <w:t>Available abstract (not full text):</w:t>
      </w:r>
      <w:r>
        <w:t xml:space="preserve"> BACKGROUND: The rapid spread of the Asian tiger mosquito (Aedes albopictus) poses a notable public health threat in Europe due to its ability to transmit tropical diseases such as dengue and chikungunya. We aimed to quantify the underlying drivers facilitating and accelerating Europe's transition from sporadic arbovirus outbreaks to Aedes-borne disease endemicity, focusing on dengue and chikungunya outbreaks. METHODS: We conducted a time-to-event analysis to investigate the period between establishment of Ae albopictus and autochthonous dengue and chikungunya outbreaks across Nomenclature of Territorial Units for Statistics (NUTS) 3 regions in the EU. We incorporated data from the European Centre for Disease Prevention and Control, WHO, technical and surveillance reports, and other entomological data sources on regional Ae albopictus establishment and subsequent dengue and chikungunya outbreaks from 1990 (when Ae albopictus was first introduced to an EU country) to 2024. The main outcome was survival time (ie, the time from Ae albopictus establishment to an outbreak of dengue or chikungunya), accounting for land-use types, demographic and socioeconomic factors, imported cases, and climatic variables via univariable and multivariable regression. To address recurrent outbreaks, we applied the Andersen-Gill extension of the Cox proportional hazards model to analyse all events. We </w:t>
      </w:r>
    </w:p>
    <w:p>
      <w:pPr/>
      <w:r>
        <w:rPr>
          <w:b/>
        </w:rPr>
        <w:t>POSSIBLE 2024:</w:t>
      </w:r>
      <w:r>
        <w:t xml:space="preserve"> “EUROPE”: A Patriotic Ballet for the First World War — https://doi.org/10.1080/19475020.2024.2352853</w:t>
      </w:r>
    </w:p>
    <w:p>
      <w:pPr/>
      <w:r>
        <w:rPr>
          <w:b/>
        </w:rPr>
        <w:t>Shared claim-specific concepts:</w:t>
      </w:r>
      <w:r>
        <w:t xml:space="preserve"> show, first, time, associated, however, within; EU scope visible. This is a provisional connection, not an outcome finding.</w:t>
      </w:r>
    </w:p>
    <w:p>
      <w:pPr>
        <w:pStyle w:val="SourceNote"/>
      </w:pPr>
      <w:r>
        <w:rPr>
          <w:b/>
        </w:rPr>
        <w:t>Available abstract (not full text):</w:t>
      </w:r>
      <w:r>
        <w:t xml:space="preserve"> From September 1914 to January 1915, the Empire Theatre in London staged what was billed as a patriotic ballet called Europe. In addition to its lengthy run in the capital, a second version of the show toured the country, appearing at theatres in Manchester, Newcastle, Glasgow, Sheffield, Liverpool, Bradford, Nottingham and Portsmouth. The show received unanimous praise in both national and regional newspapers. However, despite its reach, popularity and impact, Europe has been mostly forgotten. Since it was a dance-based performance, no script was submitted to the Lord Chamberlain’s office. Although the piece did include music, it produced no hit songs captured on gramophone records or sheet music. Moreover, once the reality of the First World War began to hit home, the manner in which the show trivialised and glorified the conflict quickly fell out of step with public opinion. Therefore, when Europe’s run ended, it was permanently shelved and assigned to the passing of time. Nevertheless, the show left an archival imprint scattered through newspapers, theatre programmes, magazines and autobiographies. The following article draws these fragments together to form a blueprint of this hitherto discarded piece of popular culture. This reconstruction reveals a strikingly complex and rich piece of theatre, both in terms of its technical construction and how cultural conventions were </w:t>
      </w:r>
    </w:p>
    <w:p>
      <w:pPr/>
      <w:r>
        <w:rPr>
          <w:b/>
        </w:rPr>
        <w:t>POSSIBLE 2024:</w:t>
      </w:r>
      <w:r>
        <w:t xml:space="preserve"> Divergent Market Reactions to Abstract Language: A Multicountry Event Study of European Central Bank Communications — https://doi.org/10.5465/amj.2022.0814</w:t>
      </w:r>
    </w:p>
    <w:p>
      <w:pPr/>
      <w:r>
        <w:rPr>
          <w:b/>
        </w:rPr>
        <w:t>Shared claim-specific concepts:</w:t>
      </w:r>
      <w:r>
        <w:t xml:space="preserve"> show, divergent, power; EU scope visible. This is a provisional connection, not an outcome finding.</w:t>
      </w:r>
    </w:p>
    <w:p>
      <w:pPr>
        <w:pStyle w:val="SourceNote"/>
      </w:pPr>
      <w:r>
        <w:rPr>
          <w:b/>
        </w:rPr>
        <w:t>Available abstract (not full text):</w:t>
      </w:r>
      <w:r>
        <w:t xml:space="preserve"> Prominent leaders regularly communicate with multiple markets around the world, but we know little about the challenges that can arise when trying to effectively convey one’s message in a global setting. In this paper, we develop a theory about how language abstraction—a dominant strategy used to create common ground among diverse audiences—can become problematic when used in a global environment where market actors have divergent interests. Employing a multicountry event study, we analyze how the stock markets in 11 eurozone countries react to the abstract language in public speeches delivered by the European Central Bank president. We find that abstract language, rather than creating common ground, produces divergent market reactions across core and peripheral countries, such that market actors in core countries react more favorably to abstract communication, while those in peripheral countries prefer concrete communication. We also show that this divergent reaction is stronger when the economic interests of the core and the periphery are made more salient. This study contributes new insights to research on strategic communication in market settings, expands our understanding of audience heterogeneity and market power, and highlights the growing challenges of communicating in a globalized society.</w:t>
      </w:r>
    </w:p>
    <w:p>
      <w:pPr>
        <w:pStyle w:val="Heading2"/>
      </w:pPr>
      <w:r>
        <w:t>680. Recycling of European plastic is a pathway for plastic debris in the ocean</w:t>
      </w:r>
    </w:p>
    <w:p>
      <w:pPr>
        <w:pStyle w:val="SourceNote"/>
      </w:pPr>
      <w:r>
        <w:rPr>
          <w:b/>
        </w:rPr>
        <w:t>Original source (2020):</w:t>
      </w:r>
      <w:r>
        <w:t xml:space="preserve"> https://doi.org/10.1016/j.envint.2020.105893</w:t>
      </w:r>
    </w:p>
    <w:p>
      <w:pPr/>
      <w:r>
        <w:t>Original wording (abstract; indexed_source_text_not_full_document_verified): Data uncertainty was reflected in three scenarios representing high, low and average recovery efficiency factors in material recovery facilities and reprocessing facilities, and different ocean debris fate factors.</w:t>
      </w:r>
    </w:p>
    <w:p>
      <w:pPr/>
      <w:r>
        <w:rPr>
          <w:b/>
        </w:rPr>
        <w:t>POSSIBLE 2026:</w:t>
      </w:r>
      <w:r>
        <w:t xml:space="preserve"> Cash Flow Associations of European Investment Funds in Times of High Uncertainty — https://doi.org/10.5709/ce.1897-9254.593</w:t>
      </w:r>
    </w:p>
    <w:p>
      <w:pPr/>
      <w:r>
        <w:rPr>
          <w:b/>
        </w:rPr>
        <w:t>Shared claim-specific concepts:</w:t>
      </w:r>
      <w:r>
        <w:t xml:space="preserve"> data, uncertainty, high, different; EU scope visible. This is a provisional connection, not an outcome finding.</w:t>
      </w:r>
    </w:p>
    <w:p>
      <w:pPr>
        <w:pStyle w:val="SourceNote"/>
      </w:pPr>
      <w:r>
        <w:rPr>
          <w:b/>
        </w:rPr>
        <w:t>Available abstract (not full text):</w:t>
      </w:r>
      <w:r>
        <w:t xml:space="preserve"> This study explores the associations between cash flows among various types of investment funds in Europe from 2020 to 2022, a period marked by unprecedented economic and geopolitical uncertainty due to the COVID-19 pandemic, the Russian invasion of Ukraine, as well as rising interest rates and inflation. Using the Apriori algorithm, a data mining technique typically applied in marketing research, we analyze fund-level net sales data across 28 European countries to identify patterns in investor behavior. The results indicate that investors did not systematically shift capital from equity funds to bond or money market funds during periods of heightened market volatility, challenging the traditional flight-to-safety hypothesis. Instead, fund cash flows showed a tendency for concurrent purchases and sales across different fund types, suggesting that portfolio adjustments were driven by broader investment strategies rather than short-term risk aversion. The most frequent association observed was between equity UCITS and multi-asset UCITS, with positive net sales in both fund types occurring in over 52% of cases. The findings have important implications for fund managers and policymakers seeking to anticipate investor behavior, manage liquidity risks, and design investment products that align with investor preferences during periods of financial instability.</w:t>
      </w:r>
    </w:p>
    <w:p>
      <w:pPr/>
      <w:r>
        <w:rPr>
          <w:b/>
        </w:rPr>
        <w:t>POSSIBLE 2026:</w:t>
      </w:r>
      <w:r>
        <w:t xml:space="preserve"> Does Economic Policy Uncertainty Influence ESG Performance? Evidence from European Banking Sector — https://doi.org/10.5539/ijbm.v21n5p163</w:t>
      </w:r>
    </w:p>
    <w:p>
      <w:pPr/>
      <w:r>
        <w:rPr>
          <w:b/>
        </w:rPr>
        <w:t>Shared claim-specific concepts:</w:t>
      </w:r>
      <w:r>
        <w:t xml:space="preserve"> data, uncertainty, high, different; EU scope visible. This is a provisional connection, not an outcome finding.</w:t>
      </w:r>
    </w:p>
    <w:p>
      <w:pPr>
        <w:pStyle w:val="SourceNote"/>
      </w:pPr>
      <w:r>
        <w:rPr>
          <w:b/>
        </w:rPr>
        <w:t>Available abstract (not full text):</w:t>
      </w:r>
      <w:r>
        <w:t xml:space="preserve"> The purpose of this paper is to investigate the impact of economic policy uncertainty (EPU) on environmental, social and governance (ESG) performance in the European banking sector and then to investigate the moderating influence of board gender diversity (BGD) on this relationship. We analyzed a sample of 113 European Union banks for the period 2016-2024 and we developed an econometric model applying a dynamic panel data regression analysis (generalized Method of Moments – GMM System) on 1,017 bank-year observations. To test research hypotheses, we considered BGD in terms of female participation on the board of directors and we measured ESG dimensions by using the ESG score provided by LSEG Refinitiv. The results highlight that EPU affects the ESG performance of European banks and specifically, demonstrate that EPU reduces the overall ESG score. EPU also declines governance and environmental engagements but enhances the social activities to dampen uncertainty during periods of high EPU. This study also suggests that the presence of women on board mitigate these negative effects since the influence of EPU on overall ESG performance is positive in this circumstance. The investigation is highly relevant for regulators, policymakers, potential investors, managers and other stakeholders who are interested in improving the ESG performance of banks under different uncertainties. In t</w:t>
      </w:r>
    </w:p>
    <w:p>
      <w:pPr/>
      <w:r>
        <w:rPr>
          <w:b/>
        </w:rPr>
        <w:t>POSSIBLE 2026:</w:t>
      </w:r>
      <w:r>
        <w:t xml:space="preserve"> Dealing with and communicating data uncertainties in agricultural remote sensing: a comprehensive approach — https://doi.org/10.1016/j.rsase.2026.102202</w:t>
      </w:r>
    </w:p>
    <w:p>
      <w:pPr/>
      <w:r>
        <w:rPr>
          <w:b/>
        </w:rPr>
        <w:t>Shared claim-specific concepts:</w:t>
      </w:r>
      <w:r>
        <w:t xml:space="preserve"> data, uncertainty, high, factors; EU scope visible. This is a provisional connection, not an outcome finding.</w:t>
      </w:r>
    </w:p>
    <w:p>
      <w:pPr>
        <w:pStyle w:val="SourceNote"/>
      </w:pPr>
      <w:r>
        <w:rPr>
          <w:b/>
        </w:rPr>
        <w:t>Available abstract (not full text):</w:t>
      </w:r>
      <w:r>
        <w:t xml:space="preserve"> The European Space Agency's (ESA) Copernicus program has provided free access to satellite remote sensing data, making it an attractive option for public institutions. Government institutions are currently evaluating and identifying use cases for satellite imagery. Agricultural administration stands to benefit particularly, with the potential uses being substantial, especially in this area. This is primarily driven by two factors: (1) legal requirements within the framework of the Common Agricultural Policy (CAP), and (2) the substantial proportion of agricultural land within the total land cover in a mid-European study area. In the domain of agriculture and environmental discourse, there are a variety of applications for agricultural remote sensing in the context of providing a database for decision makers within the agricultural administration. The administration's activities are connected with the careful handling of the created geodata products, depending on the data requirements and the uncertainties inherent in the products as a result of the creation process. Government institutions have high accuracy requirements for the products they use to make decisions. In this regard, this thesis examines the factors that influence the informative value of agricultural remote sensing products and proposes possible solutions in understanding and communicating data uncertainties. Thi</w:t>
      </w:r>
    </w:p>
    <w:p>
      <w:pPr/>
      <w:r>
        <w:rPr>
          <w:b/>
        </w:rPr>
        <w:t>POSSIBLE 2025:</w:t>
      </w:r>
      <w:r>
        <w:t xml:space="preserve"> High resolution soil property maps and their uncertainty for Europe — https://openalex.org/W7110658065</w:t>
      </w:r>
    </w:p>
    <w:p>
      <w:pPr/>
      <w:r>
        <w:rPr>
          <w:b/>
        </w:rPr>
        <w:t>Shared claim-specific concepts:</w:t>
      </w:r>
      <w:r>
        <w:t xml:space="preserve"> data, uncertainty, high; EU scope visible. This is a provisional connection, not an outcome finding.</w:t>
      </w:r>
    </w:p>
    <w:p>
      <w:pPr>
        <w:pStyle w:val="SourceNote"/>
      </w:pPr>
      <w:r>
        <w:rPr>
          <w:b/>
        </w:rPr>
        <w:t>Available abstract (not full text):</w:t>
      </w:r>
      <w:r>
        <w:t xml:space="preserve"> High-resolution, reliable soil data is crucial for addressing climate change and sustainable land management. Integrating high-resolution remote sensing data, such as from the Copernicus Sentinel fleet, is essential for improving accuracy and relevance. This study presents an overview of our Digital Soil Mapping (DSM) approach and its innovations. We combine satellite imagery, environmental covariates (e.g., elevation, weather data), and ground truth observations (e.g., LUCAS and other European and national datasets) to create high-resolution soil property maps using statistical models. These maps encompass primary properties (e.g., organic carbon, pH, texture), derived properties, and soil health indicators. We used the Soil Composite Mapping Processor (SCMaP) to derive soil reflectance composites from Sentinel-2 time series. These composites aid in identifying bare soil areas and estimating their spectral reflectance, spectral dynamics and frequency of occurrence, serving as a proxy for land management. Random Forest models, in particular Quantile Random Forests for uncertainty assessment, are employed to predict soil properties. This study delves into the advantages and challenges of using high-resolution remote sensing data with limited ground truth data. We also provide insights into product uncertainty assessment at a continental scale, including accuracy, spatial pattern</w:t>
      </w:r>
    </w:p>
    <w:p>
      <w:pPr/>
      <w:r>
        <w:rPr>
          <w:b/>
        </w:rPr>
        <w:t>POSSIBLE 2025:</w:t>
      </w:r>
      <w:r>
        <w:t xml:space="preserve"> Assessing data uncertainty in large-scale energy model — https://doi.org/10.26868/25222708.2025.1706</w:t>
      </w:r>
    </w:p>
    <w:p>
      <w:pPr/>
      <w:r>
        <w:rPr>
          <w:b/>
        </w:rPr>
        <w:t>Shared claim-specific concepts:</w:t>
      </w:r>
      <w:r>
        <w:t xml:space="preserve"> data, uncertainty, high; EU scope visible. This is a provisional connection, not an outcome finding.</w:t>
      </w:r>
    </w:p>
    <w:p>
      <w:pPr>
        <w:pStyle w:val="SourceNote"/>
      </w:pPr>
      <w:r>
        <w:rPr>
          <w:b/>
        </w:rPr>
        <w:t>Available abstract (not full text):</w:t>
      </w:r>
      <w:r>
        <w:t xml:space="preserve"> National building renovation plans are a central element of the newly approved Energy Performance of Buildings Directive (European Commission, 2024). This plan will offer a comprehensive overview of the energy and environmental performance of both residential and non-residential buildings. To effectively map the energy status of the urban building stocks, it is useful to analyse building typologies that represent various climatic zones, building uses, and construction periods.Urban Building Energy Models (UBEMs) require vast amounts of data, which are often limited and inaccurate. Privacy policies significantly restrict data availability, impacting access to building information on a city-wide scale (HosseiniHaghighi et al., 2022; Johari et al., 2023). To address data uncertainty in large-scale energy analysis, collected data are used to create building archetypes (BAs). The BA approach strikes a balance between reducing complexity and enhancing the model’s accuracy in energy analysis. The energy performance certificates (EPCs) represent a core source of information to bridge the data uncertainty in large-scale analyses.Given the significant data uncertainty associated with generating BAs, deeper analysis of the effects of key input data deviations on energy performance assessment is necessary. This study begins with the classification of data in UBEMs, aiming to identify the e</w:t>
      </w:r>
    </w:p>
    <w:p>
      <w:pPr/>
      <w:r>
        <w:rPr>
          <w:b/>
        </w:rPr>
        <w:t>POSSIBLE 2025:</w:t>
      </w:r>
      <w:r>
        <w:t xml:space="preserve"> Data Uncertainty of Flood Susceptibility Using Non-Flood Samples — https://doi.org/10.3390/rs17030375</w:t>
      </w:r>
    </w:p>
    <w:p>
      <w:pPr/>
      <w:r>
        <w:rPr>
          <w:b/>
        </w:rPr>
        <w:t>Shared claim-specific concepts:</w:t>
      </w:r>
      <w:r>
        <w:t xml:space="preserve"> data, uncertainty, three, high, low, factors; EU scope not established. This is a provisional connection, not an outcome finding.</w:t>
      </w:r>
    </w:p>
    <w:p>
      <w:pPr>
        <w:pStyle w:val="SourceNote"/>
      </w:pPr>
      <w:r>
        <w:rPr>
          <w:b/>
        </w:rPr>
        <w:t>Available abstract (not full text):</w:t>
      </w:r>
      <w:r>
        <w:t xml:space="preserve"> Flood susceptibility provides scientific support for flood prevention planning and infrastructure development by identifying and assessing flood-prone areas. The uncertainty posed by non-flood sample datasets remains a key challenge in flood susceptibility mapping. Therefore, this study proposes a novel sampling method for non-flood points. A flood susceptibility model is constructed using a machine learning algorithm to examine the uncertainty in flood susceptibility due to non-flood point selection. The influencing factors of flood susceptibility are analyzed through interpretable models. Compared to non-flood datasets generated by random sampling with the buffer method, the non-flood dataset constructed using the spatial range identified by the frequency ratio model and sampling method of one-class support vector machine achieves higher accuracy. This significantly improves the simulation accuracy of the flood susceptibility model, with an accuracy increase of 24% in the ENSEMBLE model. (2) In constructing the flood susceptibility model using the optimal non-flood dataset, the ENSEMBLE learning algorithm demonstrates higher accuracy than other machine learning methods, with an AUC of 0.95. (3) The northern and southeastern regions of the Zijiang River Basin have extremely high flood susceptibility. Elevation and drainage density are identified as key factors causing high flo</w:t>
      </w:r>
    </w:p>
    <w:p>
      <w:pPr/>
      <w:r>
        <w:rPr>
          <w:b/>
        </w:rPr>
        <w:t>POSSIBLE 2024:</w:t>
      </w:r>
      <w:r>
        <w:t xml:space="preserve"> Uncertainty Estimation of Lake Ice Cover Maps From a Random Forest Classifier Using MODIS TOA Reflectance Data — https://doi.org/10.1109/jstars.2024.3518306</w:t>
      </w:r>
    </w:p>
    <w:p>
      <w:pPr/>
      <w:r>
        <w:rPr>
          <w:b/>
        </w:rPr>
        <w:t>Shared claim-specific concepts:</w:t>
      </w:r>
      <w:r>
        <w:t xml:space="preserve"> data, uncertainty, different; EU scope visible. This is a provisional connection, not an outcome finding.</w:t>
      </w:r>
    </w:p>
    <w:p>
      <w:pPr>
        <w:pStyle w:val="SourceNote"/>
      </w:pPr>
      <w:r>
        <w:rPr>
          <w:b/>
        </w:rPr>
        <w:t>Available abstract (not full text):</w:t>
      </w:r>
      <w:r>
        <w:t xml:space="preserve"> This article presents a method to improve the usability of lake ice cover (LIC) maps generated from moderate resolution imaging spectroradiometer (MODIS) top-of-atmosphere reflectance data by providing estimates of aleatoric and epistemic uncertainty. We used a random forest (RF) classifier, which has been shown to have superior performance in classifying lake ice, open water, and clouds, to generate daily LIC maps with inherent (aleatoric) and model (epistemic) uncertainties. RF allows for the learning of different hypotheses (trees), producing diverse predictions that can be utilized to quantify aleatoric and epistemic uncertainty. We use a decomposition of Shannon entropy to quantify these uncertainties and apply pixel-based uncertainty estimation. Our results show that using uncertainty values to reject the classification of uncertain pixels significantly improves recall and precision. The method presented herein is under consideration for integration into the processing chain implemented for the production of daily LIC maps as part of the European Space Agency's Climate Change Initiative (CCI+) Lakes project.</w:t>
      </w:r>
    </w:p>
    <w:p>
      <w:pPr/>
      <w:r>
        <w:rPr>
          <w:b/>
        </w:rPr>
        <w:t>POSSIBLE 2024:</w:t>
      </w:r>
      <w:r>
        <w:t xml:space="preserve"> Voicing Uncertainty: How Speech, Text, and Visualizations Influence Decisions with Data Uncertainty — https://doi.org/10.1109/uncertaintyvisualization63963.2024.00007</w:t>
      </w:r>
    </w:p>
    <w:p>
      <w:pPr/>
      <w:r>
        <w:rPr>
          <w:b/>
        </w:rPr>
        <w:t>Shared claim-specific concepts:</w:t>
      </w:r>
      <w:r>
        <w:t xml:space="preserve"> data, uncertainty, factors; EU scope not established. This is a provisional connection, not an outcome finding.</w:t>
      </w:r>
    </w:p>
    <w:p>
      <w:pPr>
        <w:pStyle w:val="SourceNote"/>
      </w:pPr>
      <w:r>
        <w:rPr>
          <w:b/>
        </w:rPr>
        <w:t>Available abstract (not full text):</w:t>
      </w:r>
      <w:r>
        <w:t xml:space="preserve"> Understanding and communicating data uncertainty is crucial for informed decision-making across various domains, including finance, healthcare, and public policy. This study investigates the impact of gender and acoustic variables on decision-making, confidence, and trust through a crowdsourced experiment. We compared visualization-only representations of uncertainty to text-forward and speech-forward bimodal representations, including multiple synthetic voices across gender. Speech-forward representations led to an increase in risky decisions, and text-forward representations led to lower confidence. Contrary to prior work, speech-forward forecasts did not receive higher ratings of trust. Higher normalized pitch led to a slight increase in decision confidence, but other voice characteristics had minimal impact on decisions and trust. An exploratory analysis of accented speech showed consistent results with the main experiment and additionally indicated lower trust ratings for information presented in Indian and Kenyan accents. The results underscore the importance of considering acoustic and contextual factors in presentation of data uncertainty.</w:t>
      </w:r>
    </w:p>
    <w:p>
      <w:pPr/>
      <w:r>
        <w:rPr>
          <w:b/>
        </w:rPr>
        <w:t>POSSIBLE 2024:</w:t>
      </w:r>
      <w:r>
        <w:t xml:space="preserve"> Performance Evaluation of Hospitals under Data Uncertainty: An Uncertain Common-Weights Data Envelopment Analysis — https://doi.org/10.3390/healthcare12060611</w:t>
      </w:r>
    </w:p>
    <w:p>
      <w:pPr/>
      <w:r>
        <w:rPr>
          <w:b/>
        </w:rPr>
        <w:t>Shared claim-specific concepts:</w:t>
      </w:r>
      <w:r>
        <w:t xml:space="preserve"> data, uncertainty, efficiency; EU scope not established. This is a provisional connection, not an outcome finding.</w:t>
      </w:r>
    </w:p>
    <w:p>
      <w:pPr>
        <w:pStyle w:val="SourceNote"/>
      </w:pPr>
      <w:r>
        <w:rPr>
          <w:b/>
        </w:rPr>
        <w:t>Available abstract (not full text):</w:t>
      </w:r>
      <w:r>
        <w:t xml:space="preserve"> In the context of healthcare systems, the performance evaluation of hospitals plays a crucial role in assessing the quality of healthcare systems and facilitating informed decision-making processes. However, the presence of data uncertainty poses significant challenges to accurate performance measurement. This paper presents a novel uncertain common-weights data envelopment analysis (UCWDEA) approach for evaluating the performance of hospitals under uncertain environments. The proposed UCWDEA approach addresses the limitations of traditional data envelopment analysis (DEA) models by incorporating the uncertainty theory (UT) to model the inherent uncertainty in input and output data. Also, by utilizing a common set of weights (CSW) technique, the UCWDEA method provides a more robust and reliable assessment of hospital performance. The main advantages of the proposed UCWDEA approach can be succinctly summarized as follows. Firstly, it allows for the comparison of all hospitals on a consistent basis to calculate a realistic efficiency score, rather than an overly optimistic efficiency score. Secondly, the uncertain common-weights DEA approach exhibits linearity, enhancing its applicability. Thirdly, it possesses the capability to extend its utility under various other prevalent uncertainty distributions. Moreover, it enhances the discriminatory power of results, facilitates the ra</w:t>
      </w:r>
    </w:p>
    <w:p>
      <w:pPr/>
      <w:r>
        <w:rPr>
          <w:b/>
        </w:rPr>
        <w:t>POSSIBLE 2023:</w:t>
      </w:r>
      <w:r>
        <w:t xml:space="preserve"> Uncertainty of atmospheric scattering functions relevant for Satellite Ocean Colour Radiometry in European Seas — https://doi.org/10.1080/01431161.2023.2247531</w:t>
      </w:r>
    </w:p>
    <w:p>
      <w:pPr/>
      <w:r>
        <w:rPr>
          <w:b/>
        </w:rPr>
        <w:t>Shared claim-specific concepts:</w:t>
      </w:r>
      <w:r>
        <w:t xml:space="preserve"> data, uncertainty, three, ocean; EU scope visible. This is a provisional connection, not an outcome finding.</w:t>
      </w:r>
    </w:p>
    <w:p>
      <w:pPr>
        <w:pStyle w:val="SourceNote"/>
      </w:pPr>
      <w:r>
        <w:rPr>
          <w:b/>
        </w:rPr>
        <w:t>Available abstract (not full text):</w:t>
      </w:r>
      <w:r>
        <w:t xml:space="preserve"> Uncertainty assessment of Ocean Colour Radiometry (OCR) usually relies on the comparison between satellite marine reflectance and concurrent in situ radiometric measurements. However, when dealing with the standard atmospheric correction (AC), uncertainty of marine reflectance originates fundamentally from two sources: (i) uncertainty of the Level-1 calibration at top of the atmosphere, and (ii) uncertainty of the atmospheric scattering functions computed by the AC (atmospheric path reflectance and transmittance). The aim of this alternative work is thus to assess the uncertainty of these scattering functions, thanks to inherent optical properties of aerosols extracted from the AErosol Robotic NETwork (AERONET) and ingested in a radiative transfer code. The study is conducted for the MEdium Resolution Imaging Spectrometer (MERIS), over three AERONET sites selected in European seas (Aqua Alta Oceanographic Tower, AAOT; Gustav Dalen Tower, GDT; Lampedusa) and Lanai in the Pacific Ocean as a reference. We develop an uncertainty budget based on the statistical analysis of the errors between MERIS and AERONET-derived data. At 443 nm, uncertainty of MERIS atmospheric path reflectance due to random effects is estimated around 2%, while that of total atmospheric transmittance is between 0.6% and 1%. Propagation of these uncertainties to OCR is achieved following metrological principles</w:t>
      </w:r>
    </w:p>
    <w:p>
      <w:pPr/>
      <w:r>
        <w:rPr>
          <w:b/>
        </w:rPr>
        <w:t>POSSIBLE 2023:</w:t>
      </w:r>
      <w:r>
        <w:t xml:space="preserve"> Data for paper "Magnetohydrodynamic Equilibrium Reconstruction with Consistent Uncertainties" — https://doi.org/10.5281/zenodo.8063360</w:t>
      </w:r>
    </w:p>
    <w:p>
      <w:pPr/>
      <w:r>
        <w:rPr>
          <w:b/>
        </w:rPr>
        <w:t>Shared claim-specific concepts:</w:t>
      </w:r>
      <w:r>
        <w:t xml:space="preserve"> data, uncertainty, low; EU scope visible. This is a provisional connection, not an outcome finding.</w:t>
      </w:r>
    </w:p>
    <w:p>
      <w:pPr>
        <w:pStyle w:val="SourceNote"/>
      </w:pPr>
      <w:r>
        <w:rPr>
          <w:b/>
        </w:rPr>
        <w:t>Available abstract (not full text):</w:t>
      </w:r>
      <w:r>
        <w:t xml:space="preserve"> Data and scripts for the conference paper "Magnetohydrodynamic Equilibrium Reconstruction with Consistent Uncertainties" for the 42nd International Workshop on Bayesian Inference and Maximum Entropy Methods in Science and Engineering. Abstract: We report on progress towards a probabilistic framework for consistent uncertainty quantification and propagation in analysis and numerical modeling of physics in magnetically confined plasmas with stellarator symmetry. A frequent starting point in this process is the calculation of a magnetohydrodynamic equilibrium from plasma profiles. Equilibrium and profiles are typically reconstructed from experimental data. What sets equilibrium reconstruction apart from usual inverse problems is that profiles are given as functions over a magnetic flux derived from the magnetic field, rather than spatial coordinates. This makes it a fixed-point problem that is traditionally left inconsistent or solved iteratively in a least-squares sense[1–3]. The aim here is towards a straightforward and transparent process to quantify and propagate uncertainties and their correlations for function-valued fields and profiles in this setting. We propose a framework that utilizes a low dimensional prior distribution of equilibria, constructed with principal component analysis. A surrogate of the forward model[4] is trained to enable faster sampling. Funding: The pr</w:t>
      </w:r>
    </w:p>
    <w:p>
      <w:pPr/>
      <w:r>
        <w:rPr>
          <w:b/>
        </w:rPr>
        <w:t>POSSIBLE 2023:</w:t>
      </w:r>
      <w:r>
        <w:t xml:space="preserve"> Phytoplankton pigment in situ measurements uncertainty evaluation: an HPLC interlaboratory comparison with a European-scale dataset — https://doi.org/10.3389/fmars.2023.1197311</w:t>
      </w:r>
    </w:p>
    <w:p>
      <w:pPr/>
      <w:r>
        <w:rPr>
          <w:b/>
        </w:rPr>
        <w:t>Shared claim-specific concepts:</w:t>
      </w:r>
      <w:r>
        <w:t xml:space="preserve"> data, uncertainty, representing, different; EU scope visible. This is a provisional connection, not an outcome finding.</w:t>
      </w:r>
    </w:p>
    <w:p>
      <w:pPr>
        <w:pStyle w:val="SourceNote"/>
      </w:pPr>
      <w:r>
        <w:rPr>
          <w:b/>
        </w:rPr>
        <w:t>Available abstract (not full text):</w:t>
      </w:r>
      <w:r>
        <w:t xml:space="preserve"> Phytoplankton pigment data play a crucial role in ecological studies, enabling the identification of algal groups and estimation of primary production rates. Accurate measurements of chlorophyll a (TChl a) and other marine pigments are essential for the development of bio-optical algorithms and the validation of satellite data products. High-performance liquid chromatography (HPLC) is the gold standard method for quantifying multiple pigments in a single water sample. This study aims to investigate the uncertainties associated with phytoplankton pigment quantification by comparing duplicate sample analyses conducted by two laboratories, the Joint Research Centre of the European Commission (J) and the DHI Group, Denmark (D). The analyses were performed using the same HPLC method. The dataset comprised 957 natural samples collected between 2012 and 2017 from various European seas, representing different trophic conditions with TChl a concentrations ranging from 0.083 to 27.35 mg/m3. The study compared the results of the two independent analyses for TChl a and primary phytoplankton pigments, including chlorophyll b, chlorophyll c, carotens, fucoxanthin, 19′-butanoyloxyfucoxanthin, diadinoxanthin, diatoxanthin, 19′-hexanoyloxyfucoxanthin, peridin, and zeaxanthin. The percent difference between the two analyses was calculated to assess the uncertainties associated with pigment quant</w:t>
      </w:r>
    </w:p>
    <w:p>
      <w:pPr>
        <w:pStyle w:val="Heading2"/>
      </w:pPr>
      <w:r>
        <w:t>681. Renewables in the European power system and the impact on system rotational inertia</w:t>
      </w:r>
    </w:p>
    <w:p>
      <w:pPr>
        <w:pStyle w:val="SourceNote"/>
      </w:pPr>
      <w:r>
        <w:rPr>
          <w:b/>
        </w:rPr>
        <w:t>Original source (2020):</w:t>
      </w:r>
      <w:r>
        <w:t xml:space="preserve"> https://doi.org/10.1016/j.energy.2020.117776</w:t>
      </w:r>
    </w:p>
    <w:p>
      <w:pPr/>
      <w:r>
        <w:t>Original wording (abstract; indexed_source_text_not_full_document_verified): Two scenarios with divergent decarbonisation ambitions were simulated for the year 2030 using a unit commitment and economic dispatch model. The key findings show that an increasing inertia constraint elevates total generation costs, variable renewable energy curtailment and carbon dioxide emissions across Europe for an ambitious decarbonisation scenario.</w:t>
      </w:r>
    </w:p>
    <w:p>
      <w:pPr/>
      <w:r>
        <w:rPr>
          <w:b/>
        </w:rPr>
        <w:t>POSSIBLE 2026:</w:t>
      </w:r>
      <w:r>
        <w:t xml:space="preserve"> ETS Price Signal in the Power Sector: Evidence on Decarbonisation and Policy Overlap — https://doi.org/10.32388/iogu7j</w:t>
      </w:r>
    </w:p>
    <w:p>
      <w:pPr/>
      <w:r>
        <w:rPr>
          <w:b/>
        </w:rPr>
        <w:t>Shared claim-specific concepts:</w:t>
      </w:r>
      <w:r>
        <w:t xml:space="preserve"> divergent, decarbonisation, renewable, carbon; EU scope visible. This is a provisional connection, not an outcome finding.</w:t>
      </w:r>
    </w:p>
    <w:p>
      <w:pPr>
        <w:pStyle w:val="SourceNote"/>
      </w:pPr>
      <w:r>
        <w:rPr>
          <w:b/>
        </w:rPr>
        <w:t>Available abstract (not full text):</w:t>
      </w:r>
      <w:r>
        <w:t xml:space="preserve"> We examine whether the EU Emissions Trading System (EU ETS) carbon price has effectively operated as a direct driver of renewable-energy deployment in the European electricity sector over the period 2013-2024 and investigate the interaction between carbon pricing, renewable investment dynamics and wholesale electricity-price formation within marginal pricing systems. Combining panel econometric analysis on installed renewable capacity across European Member States, a cross-country survey of 180 firms in six EU ETS countries, and an hourly market-based estimation of inframarginal rents on a panel of eight Member States, the chapter finds that public support mechanisms emerge as the only consistently robust and statistically significant driver of renewable-capacity expansion. The EU Allowance (EUA) price does not exhibit a statistically significant direct effect on renewable deployment after controlling for structural and market variables. In electricity markets, the ETS primarily operates through mechanisms that shape wholesale electricity prices and carbon-cost pass-through, generating persistent inframarginal revenues for low-carbon technologies through marginal price formation. A comparison between regulatory CO₂ factors used for indirect ETS cost compensation and observed market-based pass-through indicators reveals materially divergent magnitudes across Member States, with </w:t>
      </w:r>
    </w:p>
    <w:p>
      <w:pPr/>
      <w:r>
        <w:rPr>
          <w:b/>
        </w:rPr>
        <w:t>POSSIBLE 2026:</w:t>
      </w:r>
      <w:r>
        <w:t xml:space="preserve"> From pollution haven to decarbonisation supplier: the reversal of China's export function — https://doi.org/10.22541/essoar.15008255/v1</w:t>
      </w:r>
    </w:p>
    <w:p>
      <w:pPr/>
      <w:r>
        <w:rPr>
          <w:b/>
        </w:rPr>
        <w:t>Shared claim-specific concepts:</w:t>
      </w:r>
      <w:r>
        <w:t xml:space="preserve"> two, decarbonisation, carbon; EU scope not established. This is a provisional connection, not an outcome finding.</w:t>
      </w:r>
    </w:p>
    <w:p>
      <w:pPr>
        <w:pStyle w:val="SourceNote"/>
      </w:pPr>
      <w:r>
        <w:rPr>
          <w:b/>
        </w:rPr>
        <w:t>Available abstract (not full text):</w:t>
      </w:r>
      <w:r>
        <w:t xml:space="preserve"> For two decades, China's export-driven growth made it the world's paradigmatic pollution haven: a substantialshare of itsairpollution and carbon emissions was embodied in goods consumed abroad. Yet nearly all evidence for this narrative predates 2017, missing China's clean-air actions and the rise of its clean-technology exports. Here we reconstruct emissions embodied in China's exports from 1990 to 2024 using the GLORIA multiregional supply-and-use tables together with the MEIC emission inventory. We find an asymmetric decoupling: embodied SO , NOx and primary PM2.5 have fallen by 58–89% 2 from their peaks, while embodied COremains near its maximum. Decomposition shows 2 thepollutiondeclinewasachievedinsituthroughintensityreductions,notthrough relocation of foreign demand. Meanwhile, exports of photovoltaics, batteries and electric vehiclesnowavoid,overtheirlifetimes,20–43timestheCOemittedintheir 2 manufacture (10–22 at half displacement, 12–36 with decarbonising grids). In 2024, the operatingstockoftheseproductsavoidedCOequalto27%ofexport-embodied 2 emissions (forecast-based); a functional reversal, not yet a net one. China's export sector hasnotmerelycleanedup;itsenvironmentalfunctionhasreversed,withdirect implications for carbon-border policy and for development pathways elsewhere.</w:t>
      </w:r>
    </w:p>
    <w:p>
      <w:pPr/>
      <w:r>
        <w:rPr>
          <w:b/>
        </w:rPr>
        <w:t>POSSIBLE 2026:</w:t>
      </w:r>
      <w:r>
        <w:t xml:space="preserve"> Decarbonisation of Kazakhstan's Economy: From Climate Goals to Practical Outcomes — https://doi.org/10.52821/2789-4401-2026-3-7-27</w:t>
      </w:r>
    </w:p>
    <w:p>
      <w:pPr/>
      <w:r>
        <w:rPr>
          <w:b/>
        </w:rPr>
        <w:t>Shared claim-specific concepts:</w:t>
      </w:r>
      <w:r>
        <w:t xml:space="preserve"> decarbonisation, findings, carbon; EU scope not established. This is a provisional connection, not an outcome finding.</w:t>
      </w:r>
    </w:p>
    <w:p>
      <w:pPr>
        <w:pStyle w:val="SourceNote"/>
      </w:pPr>
      <w:r>
        <w:rPr>
          <w:b/>
        </w:rPr>
        <w:t>Available abstract (not full text):</w:t>
      </w:r>
      <w:r>
        <w:t xml:space="preserve"> Purpose of the research This study examines the decarbonization implementation gap in resource-rich Kazakhstan, understood as the distance between formally stated climate ambition and observed emissions outcomes. Using the United Kingdom as a contrasting governance benchmark, it investigates how legal anchoring, policy-instrument coherence, Emissions Trading Scheme (ETS) credibility, and enforcement capacity shape the translation of climate pledges into measurable low-carbon outcomes. Methodology The paper employs comparative institutional analysis, combining policy document review, case-based evidence, and secondary statistical data. It compares Kazakhstan and the United Kingdom across a governance pathway linking climate targets, legal frameworks, policy instruments, monitoring, reporting and verification systems, enforcement mechanisms, and emissions trajectories. Originality/value of the research The study contributes to comparative climate-governance literature by shifting attention from climate ambition to implementation capacity. It extends the implementation-gap perspective to decarbonization as a governance challenge, particularly for resource-rich economies exposed to fossil-fuel dependence, carbon-intensive exports, and external climate-trade pressures such as Carbon Border Adjustment Mechanism (CBAM). Findings The analysis shows that Kazakhstan’s implementation gap </w:t>
      </w:r>
    </w:p>
    <w:p>
      <w:pPr/>
      <w:r>
        <w:rPr>
          <w:b/>
        </w:rPr>
        <w:t>POSSIBLE 2026:</w:t>
      </w:r>
      <w:r>
        <w:t xml:space="preserve"> A Global Benchmark of the Vector-Based Routing Model MizuRoute: Similarities and Divergent Patterns in Simulated River Discharge — https://doi.org/10.3390/w18040485</w:t>
      </w:r>
    </w:p>
    <w:p>
      <w:pPr/>
      <w:r>
        <w:rPr>
          <w:b/>
        </w:rPr>
        <w:t>Shared claim-specific concepts:</w:t>
      </w:r>
      <w:r>
        <w:t xml:space="preserve"> divergent, simulated, generation; EU scope not established. This is a provisional connection, not an outcome finding.</w:t>
      </w:r>
    </w:p>
    <w:p>
      <w:pPr>
        <w:pStyle w:val="SourceNote"/>
      </w:pPr>
      <w:r>
        <w:rPr>
          <w:b/>
        </w:rPr>
        <w:t>Available abstract (not full text):</w:t>
      </w:r>
      <w:r>
        <w:t xml:space="preserve"> Large-scale river modeling has transitioned toward vector-based routing, yet the global fidelity of standalone frameworks like mizuRoute remains poorly characterized due to fragmented observation networks and unquantified systematic biases. This study addresses this gap by establishing a comprehensive global benchmark using a harmonized database of 12,115 in situ gauging stations integrated with multi-dimensional catchment attributes. Simulations utilize the 5 km MERIT-Hydro network driven by ERA5-Land runoff from 1980 to 2024. Our results reveal a robust global median Pearson correlation of 0.53, though simulation efficiency is highly bifurcated with a median Kling–Gupta Efficiency (KGE) of 0.17. High fidelity is concentrated in humid temperate and cold regions, whereas performance collapses in arid zones (median KGE = −0.15) due to the structural omission of channel transmission losses. Attribution analysis identifies the aridity–moisture gradient and vegetation density as primary drivers of model skill, while topographic complexity is well-preserved by the vector framework. Furthermore, anthropogenic regulation significantly degrades accuracy; in basins with high reservoir density, naturalized routing fails to capture regulated flow signatures, leading to a sharp decline in efficiency. This work provides the first global appraisal of the mizuRoute framework and highlights th</w:t>
      </w:r>
    </w:p>
    <w:p>
      <w:pPr/>
      <w:r>
        <w:rPr>
          <w:b/>
        </w:rPr>
        <w:t>POSSIBLE 2026:</w:t>
      </w:r>
      <w:r>
        <w:t xml:space="preserve"> Metabolic rate measurements of two benthic invertebrates under simulated climate change conditions — https://doi.org/10.3897/bdj.14.e187026</w:t>
      </w:r>
    </w:p>
    <w:p>
      <w:pPr/>
      <w:r>
        <w:rPr>
          <w:b/>
        </w:rPr>
        <w:t>Shared claim-specific concepts:</w:t>
      </w:r>
      <w:r>
        <w:t xml:space="preserve"> two, simulated, increasing; EU scope not established. This is a provisional connection, not an outcome finding.</w:t>
      </w:r>
    </w:p>
    <w:p>
      <w:pPr>
        <w:pStyle w:val="SourceNote"/>
      </w:pPr>
      <w:r>
        <w:rPr>
          <w:b/>
        </w:rPr>
        <w:t>Available abstract (not full text):</w:t>
      </w:r>
      <w:r>
        <w:t xml:space="preserve"> Background: Climate change is profoundly altering marine ecosystems through ocean warming and acidification. These stressors are especially pronounced in the Mediterranean Sea, a climate change hotspot projected to warm faster than the global average. Increased temperatures and reduced pH directly affect metabolic processes in marine invertebrates by elevating respiration rates up to species-specific thermal limits, beyond which physiological performance declines. Ocean acidification further disrupts metabolic processes by increasing energetic maintenance costs. Sessile and sedentary marine invertebrates, such as sponges and benthic gastropods, are particularly exposed to such environmental shifts due to their limited ability to escape unfavorable conditions, making physiological plasticity and local adaptation crucial for persistence. New information: . Using a common garden experiment, individuals from North and South Aegean populations were exposed for three months to simulated climate change conditions combining increased temperature and reduced pH. The dataset documents respiration measurements obtained using metabolic chambers after three months of exposure, allowing comparisons across species, geographic origin, and experimental treatments.The dataset accounts for intraspecific variation in these responses, providing insight into potential adaptive differences among geog</w:t>
      </w:r>
    </w:p>
    <w:p>
      <w:pPr/>
      <w:r>
        <w:rPr>
          <w:b/>
        </w:rPr>
        <w:t>POSSIBLE 2026:</w:t>
      </w:r>
      <w:r>
        <w:t xml:space="preserve"> An audit of corporate decarbonisation ambition against low carbon futures — https://doi.org/10.1038/s41598-025-20203-6</w:t>
      </w:r>
    </w:p>
    <w:p>
      <w:pPr/>
      <w:r>
        <w:rPr>
          <w:b/>
        </w:rPr>
        <w:t>Shared claim-specific concepts:</w:t>
      </w:r>
      <w:r>
        <w:t xml:space="preserve"> divergent, decarbonisation, show, increasing, total, renewable; EU scope not established. This is a provisional connection, not an outcome finding.</w:t>
      </w:r>
    </w:p>
    <w:p>
      <w:pPr>
        <w:pStyle w:val="SourceNote"/>
      </w:pPr>
      <w:r>
        <w:rPr>
          <w:b/>
        </w:rPr>
        <w:t>Available abstract (not full text):</w:t>
      </w:r>
      <w:r>
        <w:t xml:space="preserve"> Atmospheric greenhouse gas concentration has been steadily increasing since the 19th century, causing global warming. Despite efforts to reduce emissions, current projections anticipate a significant increase in global surface temperature by the end of the century, which may push us beyond a safe and just operating space. We must develop emissions pathways that consider renewable technology innovation, climate policy development and consumer behaviour change. In this manuscript we assess corporate emissions reduction ambition in the context of reduction pathways, and in doing so show that company reporting has reached a scale and quality that it can be used to supplement global emissions forecasting. We find emissions disclosures of target-setting companies to account for roughly 20% of global [Formula: see text] emissions and 60% of global market capitalisation. Of these, we find near-term targets to be consistent with the aggressive reduction requirements of the divergent net-zero scenario published by the Network for Greening the Financial System, but commitments to 2050 are lacking. There is a large disparity between the total market capitalisation of disclosing companies and the total emissions they cover, a disconnect which we emphasise must be addressed by future policy.</w:t>
      </w:r>
    </w:p>
    <w:p>
      <w:pPr/>
      <w:r>
        <w:rPr>
          <w:b/>
        </w:rPr>
        <w:t>POSSIBLE 2026:</w:t>
      </w:r>
      <w:r>
        <w:t xml:space="preserve"> How can trade unions act strategically in response to decarbonisation? Union strategic capacity and automotive transition policies in Germany, Spain and the UK — https://doi.org/10.1177/10242589261444001</w:t>
      </w:r>
    </w:p>
    <w:p>
      <w:pPr/>
      <w:r>
        <w:rPr>
          <w:b/>
        </w:rPr>
        <w:t>Shared claim-specific concepts:</w:t>
      </w:r>
      <w:r>
        <w:t xml:space="preserve"> two, decarbonisation, energy; EU scope visible. This is a provisional connection, not an outcome finding.</w:t>
      </w:r>
    </w:p>
    <w:p>
      <w:pPr>
        <w:pStyle w:val="SourceNote"/>
      </w:pPr>
      <w:r>
        <w:rPr>
          <w:b/>
        </w:rPr>
        <w:t>Available abstract (not full text):</w:t>
      </w:r>
      <w:r>
        <w:t xml:space="preserve"> Climate policy measures and the energy transition present challenges for unions beyond the traditional scope of collective bargaining and social dialogue. Union responses to policies to phase out internal combustion engines must simultaneously address climate, environmental and industrial policy issues, and influence decision-making within multinational corporations and the web of supply chain firms that participate in production. Studies point to the need for capacity building to enable unions to respond to these complex challenges. Nevertheless, the nature of the union ‘capacity’ to be mobilised in climate responses, and how this is developing in diverse institutional contexts, remains unclear. Building on Richard Hyman’s concept of ‘strategic capacity’, the article explores how different dimensions of union capacity are mobilised to respond to challenges posed by internal combustion engine phase-out policies. This article draws on a study that maps trade unions’ responses to such policies in the United Kingdom and two EU countries.</w:t>
      </w:r>
    </w:p>
    <w:p>
      <w:pPr/>
      <w:r>
        <w:rPr>
          <w:b/>
        </w:rPr>
        <w:t>POSSIBLE 2026:</w:t>
      </w:r>
      <w:r>
        <w:t xml:space="preserve"> Technological Innovation and Adoption : Technological Pathways to Transport Decarbonisation: A Comparative Study of Denmark and the Netherlands — https://openalex.org/W7160813360</w:t>
      </w:r>
    </w:p>
    <w:p>
      <w:pPr/>
      <w:r>
        <w:rPr>
          <w:b/>
        </w:rPr>
        <w:t>Shared claim-specific concepts:</w:t>
      </w:r>
      <w:r>
        <w:t xml:space="preserve"> decarbonisation, show, carbon; EU scope visible. This is a provisional connection, not an outcome finding.</w:t>
      </w:r>
    </w:p>
    <w:p>
      <w:pPr>
        <w:pStyle w:val="SourceNote"/>
      </w:pPr>
      <w:r>
        <w:rPr>
          <w:b/>
        </w:rPr>
        <w:t>Available abstract (not full text):</w:t>
      </w:r>
      <w:r>
        <w:t xml:space="preserve"> In advanced economies, where mobility systems are intricately linked to current infrastructures, governance structures, and social practices, reducing carbon emissions from the transport sector continues to be a persistent challenge within European climate policy. Through a comparative qualitative case study of Denmark and the Netherlands, this thesis investigates how technological innovations are conceived, regulated, and mobilised in support of transport decarbonisation. Both nations have developed different strategies for sustainable transport transitions, despite operating under common European climate objectives and long-term decarbonisation targets. The study focusses on how institutional structures, policy frameworks, and future-oriented narratives influence national transition pathways rather than evaluating technological performance. The study uses a qualitative secondary data methodology, utilising strategic reports, policy documents, and European-level materials gathered between March and July 2025. An examination of both structural dynamics and interpretive aspects of change is made possible by the Multi-Level Perspective on socio-technical transitions and the idea of sociotechnical imaginaries. The results demonstrate that while the Netherlands adopts a more decentralised and experimental approach that promotes a wider range of innovations, Denmark's transition is </w:t>
      </w:r>
    </w:p>
    <w:p>
      <w:pPr/>
      <w:r>
        <w:rPr>
          <w:b/>
        </w:rPr>
        <w:t>POSSIBLE 2026:</w:t>
      </w:r>
      <w:r>
        <w:t xml:space="preserve"> Policy Plateau and Structural Regime Shift: Hybrid Forecasting of the EU Decarbonisation Gap Toward 2030 Targets — https://doi.org/10.3390/su18021114</w:t>
      </w:r>
    </w:p>
    <w:p>
      <w:pPr/>
      <w:r>
        <w:rPr>
          <w:b/>
        </w:rPr>
        <w:t>Shared claim-specific concepts:</w:t>
      </w:r>
      <w:r>
        <w:t xml:space="preserve"> decarbonisation, findings, energy; EU scope visible. This is a provisional connection, not an outcome finding.</w:t>
      </w:r>
    </w:p>
    <w:p>
      <w:pPr>
        <w:pStyle w:val="SourceNote"/>
      </w:pPr>
      <w:r>
        <w:rPr>
          <w:b/>
        </w:rPr>
        <w:t>Available abstract (not full text):</w:t>
      </w:r>
      <w:r>
        <w:t xml:space="preserve"> This study investigates the structural evolution and projected trajectory of greenhouse gas (GHG) emissions across the EU27 from 1990 to 2030, with a particular focus on their implications for the effectiveness of European climate policy. Drawing on official sectoral data and employing a multi-method framework combining time series modelling (ARIMA), machine learning (Random Forest), regime-switching analysis, and segmented linear regression, we assess past dynamics, detect structural shifts, and forecast future trends. Empirical findings, based on Markov-switching models and segmented regression analysis, indicate a statistically significant regime change around 2014, marking a transition to a new emissions pattern characterised by a deceleration in reduction rates. While the energy sector experienced the most significant decline, agriculture and industry have gained relative prominence, underscoring their growing strategic importance as targets for policy interventions. Hybrid ARIMA–ML forecasts indicate that, under current trajectories, the EU is unlikely to meet its 2030 Fit for 55 targets without adaptive and sector-specific interventions, with a projected shortfall of 12–15 percentage points relative to 1990 levels, excluding LULUCF. The results underscore critical weaknesses in the EU’s climate policy architecture and reveal a clear need for transformative recalibration.</w:t>
      </w:r>
    </w:p>
    <w:p>
      <w:pPr/>
      <w:r>
        <w:rPr>
          <w:b/>
        </w:rPr>
        <w:t>POSSIBLE 2026:</w:t>
      </w:r>
      <w:r>
        <w:t xml:space="preserve"> Stakeholder engagement in decarbonisation and ESG strategies: Investigating global patterns of energy companies in CCUS innovation — https://doi.org/10.1016/j.esr.2025.102013</w:t>
      </w:r>
    </w:p>
    <w:p>
      <w:pPr/>
      <w:r>
        <w:rPr>
          <w:b/>
        </w:rPr>
        <w:t>Shared claim-specific concepts:</w:t>
      </w:r>
      <w:r>
        <w:t xml:space="preserve"> decarbonisation, findings, show, energy, carbon; EU scope not established. This is a provisional connection, not an outcome finding.</w:t>
      </w:r>
    </w:p>
    <w:p>
      <w:pPr>
        <w:pStyle w:val="SourceNote"/>
      </w:pPr>
      <w:r>
        <w:rPr>
          <w:b/>
        </w:rPr>
        <w:t>Available abstract (not full text):</w:t>
      </w:r>
      <w:r>
        <w:t xml:space="preserve"> Formulating decarbonisation strategies with carbon capture, utilization, and storage (CCUS) technologies, as well as integration of an environmental, social, and governance (ESG) strategy into the core business of multinational companies, are highly debated research areas. The former would bring an efficient medium-term solution for industrial decarbonisation but has technological and economic difficulties. The latter would incite corporate sustainability but has concerns about its financial effects. Multinational energy companies, however, face these strategic challenges at the same time. Building on a common theoretical basis, i.e., the stakeholder view, the goal of this study is to explore the interrelations of CCUS innovation, ESG performance, and external stakeholder involvement. The research focused on the largest energy companies worldwide (n = 129). Results show that more than 75 % of companies stepped into the first CCUS technology development phase within the stage-gate innovation process model (discovery). Findings suggest that corporate strategies which include external collaborations result not only in higher CCUS innovation performance, but it also results in higher ESG performance. Nevertheless, only those companies’ ESG scores benefit from CCUS innovation and external stakeholder involvement, which are at least in the first CCUS innovation phase. To the best of </w:t>
      </w:r>
    </w:p>
    <w:p>
      <w:pPr/>
      <w:r>
        <w:rPr>
          <w:b/>
        </w:rPr>
        <w:t>POSSIBLE 2025:</w:t>
      </w:r>
      <w:r>
        <w:t xml:space="preserve"> Decarbonisation efforts — https://doi.org/10.4337/9781035356249.00008</w:t>
      </w:r>
    </w:p>
    <w:p>
      <w:pPr/>
      <w:r>
        <w:rPr>
          <w:b/>
        </w:rPr>
        <w:t>Shared claim-specific concepts:</w:t>
      </w:r>
      <w:r>
        <w:t xml:space="preserve"> decarbonisation, key, renewable, energy, carbon; EU scope not established. This is a provisional connection, not an outcome finding.</w:t>
      </w:r>
    </w:p>
    <w:p>
      <w:pPr>
        <w:pStyle w:val="SourceNote"/>
      </w:pPr>
      <w:r>
        <w:rPr>
          <w:b/>
        </w:rPr>
        <w:t>Available abstract (not full text):</w:t>
      </w:r>
      <w:r>
        <w:t xml:space="preserve"> This chapter explores the escalating global challenge of carbon emissions and highlights the urgent need for coordinated action. The chapter begins by examining the magnitude of global carbon emissions and the imperative for rapid decarbonisation to mitigate climate change. It highlights international efforts, showcasing progress and achievements made to date. A key focus is the critical role of decarbonisation in the energy sector and energy-intensive industries, emphasising sectors like cement, iron and steel, petroleum refining, glass production, and manufacturing, which are significant contributors to greenhouse gas emissions. The necessity of transitioning to clean energy alternatives is emphasised, comparing the benefits of renewable energy sources to the drawbacks of continued fossil fuel reliance. The chapter concludes by reinforcing the urgent need for innovative strategies and clean energy technologies to combat climate change and achieve a sustainable energy future.</w:t>
      </w:r>
    </w:p>
    <w:p>
      <w:pPr/>
      <w:r>
        <w:rPr>
          <w:b/>
        </w:rPr>
        <w:t>POSSIBLE 2025:</w:t>
      </w:r>
      <w:r>
        <w:t xml:space="preserve"> Do Energy Security Crises Accelerate Decarbonisation? The Case of REPowerEU — https://doi.org/10.3390/en19010200</w:t>
      </w:r>
    </w:p>
    <w:p>
      <w:pPr/>
      <w:r>
        <w:rPr>
          <w:b/>
        </w:rPr>
        <w:t>Shared claim-specific concepts:</w:t>
      </w:r>
      <w:r>
        <w:t xml:space="preserve"> decarbonisation, renewable, energy; EU scope visible. This is a provisional connection, not an outcome finding.</w:t>
      </w:r>
    </w:p>
    <w:p>
      <w:pPr>
        <w:pStyle w:val="SourceNote"/>
      </w:pPr>
      <w:r>
        <w:rPr>
          <w:b/>
        </w:rPr>
        <w:t>Available abstract (not full text):</w:t>
      </w:r>
      <w:r>
        <w:t xml:space="preserve"> Energy security crises have historically been turning points for energy systems, exposing vulnerabilities, reshaping policy priorities, and boosting technological change. However, whether—and to what extent—such crises accelerate low-carbon transitions remains contested. This paper examines the effects of the 2022 energy crisis on the European Union (EU)’s energy transition, using policy analysis combined with a quantitative assessment of renewable energy trends, forecasts, and targets. We analyse the ambition, implementation, and outcomes of the REPowerEU plan, the main response to the crisis. In an unprecedented move, REPowerEU securitised renewable energy as a means to reduce dependence on Russian energy imports. However, the plan only moderately increased earlier renewable energy targets and did not reverse declining subsidies despite more forceful implementation measures. Its effects have been uneven across technologies. Already accelerating solar may overshoot its targets, onshore wind might only slightly accelerate beyond its current steady growth, and offshore wind remains constrained by economic and institutional uncertainties. Despite increased subsidies for fossil fuels, coal continued declining, oil remained stable, and natural gas dropped. Overall, REPowerEU sustained rather than transformed the EU’s low-carbon transition, illustrating both the potential and limits</w:t>
      </w:r>
    </w:p>
    <w:p>
      <w:pPr>
        <w:pStyle w:val="Heading2"/>
      </w:pPr>
      <w:r>
        <w:t>682. Scenarios for population health inequalities in 2030 in Europe</w:t>
      </w:r>
    </w:p>
    <w:p>
      <w:pPr>
        <w:pStyle w:val="SourceNote"/>
      </w:pPr>
      <w:r>
        <w:rPr>
          <w:b/>
        </w:rPr>
        <w:t>Original source (2020):</w:t>
      </w:r>
      <w:r>
        <w:t xml:space="preserve"> https://doi.org/10.1093/eurpub/ckaa165.1288</w:t>
      </w:r>
    </w:p>
    <w:p>
      <w:pPr/>
      <w:r>
        <w:t>Original wording (abstract; indexed_source_text_not_full_document_verified): In the EURO-HEALTHY project, funded by Horizon 2020, three 2030 time-horizon scenarios were developed, depicting the key factors that may affect the evolution of PH inequalities across European regions.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organised into coherent scenarios using the Extreme-World Method; and iii) validation of scenario structures and generation of scenario narratives.</w:t>
      </w:r>
    </w:p>
    <w:p>
      <w:pPr/>
      <w:r>
        <w:rPr>
          <w:b/>
        </w:rPr>
        <w:t>POSSIBLE 2026:</w:t>
      </w:r>
      <w:r>
        <w:t xml:space="preserve"> Soil degradation in Europe is projected to accelerate under changing land use and climate — https://doi.org/10.1038/s44458-026-00064-4</w:t>
      </w:r>
    </w:p>
    <w:p>
      <w:pPr/>
      <w:r>
        <w:rPr>
          <w:b/>
        </w:rPr>
        <w:t>Shared claim-specific concepts:</w:t>
      </w:r>
      <w:r>
        <w:t xml:space="preserve"> project, factors, across, regions; EU scope visible. This is a provisional connection, not an outcome finding.</w:t>
      </w:r>
    </w:p>
    <w:p>
      <w:pPr>
        <w:pStyle w:val="SourceNote"/>
      </w:pPr>
      <w:r>
        <w:rPr>
          <w:b/>
        </w:rPr>
        <w:t>Available abstract (not full text):</w:t>
      </w:r>
      <w:r>
        <w:t xml:space="preserve"> Abstract Soil degradation threatens food security and environmental sustainability, yet future projections of it are rare. Using projections from 18 global climate models under two Shared Socioeconomic Pathways (SSP2-4.5 and SSP5-8.5) and land-use projections from the Land Use and Climate Across Scales Land Use Change (LUCAS LUC) dataset, we assess future soil vulnerability to degradation by linking a Soil Degradation Proxy (SDP) to climate, land-use, soil characteristics, and socio-economic factors at 7433 observation sites across Europe. We project that by 2071–2100, ~59% of sites may become more vulnerable under the high-emission scenario. Cold forest regions in northern Europe are projected to face increased degradation pressure by ~+0.04SDP. However, some European croplands may improve locally through conversion to secondary lands, reduced human pressures, and natural recovery processes. These regionally specific trends highlight that, while soil degradation remains a major threat, proactive land management can mitigate soil vulnerability under future climate trajectories.</w:t>
      </w:r>
    </w:p>
    <w:p>
      <w:pPr/>
      <w:r>
        <w:rPr>
          <w:b/>
        </w:rPr>
        <w:t>POSSIBLE 2026:</w:t>
      </w:r>
      <w:r>
        <w:t xml:space="preserve"> Projected excess mortality from PM 2.5 exposure in Europe under future climate and sociodemographic pathways — https://doi.org/10.1088/2752-5309/ae868a</w:t>
      </w:r>
    </w:p>
    <w:p>
      <w:pPr/>
      <w:r>
        <w:rPr>
          <w:b/>
        </w:rPr>
        <w:t>Shared claim-specific concepts:</w:t>
      </w:r>
      <w:r>
        <w:t xml:space="preserve"> project, three, across, approach; EU scope visible. This is a provisional connection, not an outcome finding.</w:t>
      </w:r>
    </w:p>
    <w:p>
      <w:pPr>
        <w:pStyle w:val="SourceNote"/>
      </w:pPr>
      <w:r>
        <w:rPr>
          <w:b/>
        </w:rPr>
        <w:t>Available abstract (not full text):</w:t>
      </w:r>
      <w:r>
        <w:t xml:space="preserve"> Abstract Fine particulate matter (PM 2.5 ) is a major human health risk factor. Despite significant efforts to reduce air pollution in Europe the aging population, urbanization, and climate change, demand an assessment of potential impacts of future pollution trends. The interactions of climate change and PM 2.5 pollution, and their effects on adverse health outcomes require a comprehensive approach to effectively address these environmental and public health challenges and link them with future scenarios. In this study, we use three shared socio-economic pathways (SSPs) to examine potential changes in societal, demographic, and economic trends over the century in combination with three future radiative forcing trajectories. We use three scenarios: the SSP1-2.6, SSP2-4.5, and SSP5-8.5. We examine the consequences of these pathways on population exposure to PM 2.5 in the coming decades, focusing on the years 2030, 2040, 2050 and 2100. The study evaluates excess mortality across various health outcomes, such as cardiovascular and respiratory diseases, using novel relative risk functions and public health data. We find that air pollution in Europe will continue to decline over the coming decades across all scenarios. The projected excess mortality attributable to PM 2.5 exposure varies by region, future pathway, and period, and is mainly driven by the projected demographic changes</w:t>
      </w:r>
    </w:p>
    <w:p>
      <w:pPr/>
      <w:r>
        <w:rPr>
          <w:b/>
        </w:rPr>
        <w:t>POSSIBLE 2026:</w:t>
      </w:r>
      <w:r>
        <w:t xml:space="preserve"> Revisiting the factor structure of the EURO-D, a depressive symptomatology scale: An exploratory graph analysis in 26 European countries — https://doi.org/10.1017/gmh.2026.10204</w:t>
      </w:r>
    </w:p>
    <w:p>
      <w:pPr/>
      <w:r>
        <w:rPr>
          <w:b/>
        </w:rPr>
        <w:t>Shared claim-specific concepts:</w:t>
      </w:r>
      <w:r>
        <w:t xml:space="preserve"> across, approach, applied; EU scope visible. This is a provisional connection, not an outcome finding.</w:t>
      </w:r>
    </w:p>
    <w:p>
      <w:pPr>
        <w:pStyle w:val="SourceNote"/>
      </w:pPr>
      <w:r>
        <w:rPr>
          <w:b/>
        </w:rPr>
        <w:t>Available abstract (not full text):</w:t>
      </w:r>
      <w:r>
        <w:t xml:space="preserve"> Despite the widely use and multiple validations of the EURO-D scale, its factor structure is still under debate. Exploratory Graph Analysis (EGA), a novel network psychometric method, offers a promising approach to examining dimensionality. METHODOLOGY: = 22,567). EGA was applied to the derivation sample to determine the structure of the EURO-D scale, utilizing two estimation methods: Graphical Least Absolute Shrinkage and Selection Operator (GLASSO) and Triangulated Maximally Filtered Graph (TMFG). The identified factor structures were then tested via Confirmatory Factor Analysis (CFA) in the cross-validation sample for model fit. RESULTS: EGA consistently revealed a two-factor structure with minor differences in the placement of suicidality and fatigue items across estimation methods. CFA results confirmed an adequate model fit for both solutions. CONCLUSION: This study combines exploratory (EGA) and confirmatory (CFA) approaches, supporting a two-factor structure for the EU-RO-D scale with alternative placements for fatigue and suicidality items. Results are discussed in contrast to previous studies reporting two and three-factor solutions with different assignments of these items.</w:t>
      </w:r>
    </w:p>
    <w:p>
      <w:pPr/>
      <w:r>
        <w:rPr>
          <w:b/>
        </w:rPr>
        <w:t>POSSIBLE 2026:</w:t>
      </w:r>
      <w:r>
        <w:t xml:space="preserve"> THE DIVERSITY OF EUROPEAN FUNDING MECHANISMS: INSIGHTS INTO THEIR TYPOLOGIES — https://doi.org/10.24818/imc/2025/05.09</w:t>
      </w:r>
    </w:p>
    <w:p>
      <w:pPr/>
      <w:r>
        <w:rPr>
          <w:b/>
        </w:rPr>
        <w:t>Shared claim-specific concepts:</w:t>
      </w:r>
      <w:r>
        <w:t xml:space="preserve"> project, horizon, developed, key, across; EU scope visible. This is a provisional connection, not an outcome finding.</w:t>
      </w:r>
    </w:p>
    <w:p>
      <w:pPr>
        <w:pStyle w:val="SourceNote"/>
      </w:pPr>
      <w:r>
        <w:rPr>
          <w:b/>
        </w:rPr>
        <w:t>Available abstract (not full text):</w:t>
      </w:r>
      <w:r>
        <w:t xml:space="preserve"> The European Union (EU) has developed a complex architecture of funding mechanisms aimed at promoting economic cohesion, social inclusion, and sustainable development across its member states. This paper explores the diversity of European funding instruments and provides a structured typology. By distinguishing between traditional grant-based schemes, financial instruments such as loans and guarantees, and hybrid mechanisms combining public and private capital, the study highlights the evolving nature of EU financial governance. The analysis also considers the interplay between centralized programs that European Commission is managing (e.g., Horizon Europe, LIFE, Erasmus+) and shared management funds administered at national or regional levels (e.g., the European Structural and Investment Funds). The paper identifies key trends in funding diversification, including the increasing emphasis on performance-based financing, digitalization of fund management, and alignment with the European Green Deal objectives. The findings underline that understanding the typologies of EU funding mechanisms is essential for improving policy coherence, enhancing absorption capacity, and ensuring that resources effectively address territorial and sectoral disparities. Ultimately, this study contributes to a clearer comprehension of how the EU’s multifaceted financial ecosystem supports integration </w:t>
      </w:r>
    </w:p>
    <w:p>
      <w:pPr/>
      <w:r>
        <w:rPr>
          <w:b/>
        </w:rPr>
        <w:t>POSSIBLE 2024:</w:t>
      </w:r>
      <w:r>
        <w:t xml:space="preserve"> A multi-level and multi-scale design approach supporting sustainable mobility and healthier living: AIR BREAK project in Ferrara, Italy — https://doi.org/10.1080/23748834.2024.2349862</w:t>
      </w:r>
    </w:p>
    <w:p>
      <w:pPr/>
      <w:r>
        <w:rPr>
          <w:b/>
        </w:rPr>
        <w:t>Shared claim-specific concepts:</w:t>
      </w:r>
      <w:r>
        <w:t xml:space="preserve"> project, funded, key, affect, approach; EU scope visible. This is a provisional connection, not an outcome finding.</w:t>
      </w:r>
    </w:p>
    <w:p>
      <w:pPr>
        <w:pStyle w:val="SourceNote"/>
      </w:pPr>
      <w:r>
        <w:rPr>
          <w:b/>
        </w:rPr>
        <w:t>Available abstract (not full text):</w:t>
      </w:r>
      <w:r>
        <w:t xml:space="preserve"> The city of Ferrara, also known as the Italian city of bikes, records alarming levels of air pollutants, primarily from private motorized traffic, despite its cycling rates are amongst the highest in Europe. Local authority, in its commitment to driving improvements to air quality and taking care of citizens’ wellbeing, submitted an ambitious project proposal to European Union program Urban Innovative Actions, AIR BREAK - Co-producing healthy clean commuting air spots in town, which was selected amid hundreds submissions and funded with a total budget of 5 million euros. AIR BREAK tackles urban air pollution through several actions, very different from one another, encompassing multiple scales and domains: from sensor monitoring systems to greenery and street furniture design. The project described in this paper adopted a multi-level design approach acting on both physical and cultural environments, that greatly affect citizens’ behaviour and their everyday choices. Community involvement in mapping air quality as well as public spaces intervention that support sustainable mobility and extend the range of activities that can be carried out in the outdoors are here presented and discussed, as key points for successful implementation and replication in other cities, for a healthier and more attractive public realm.</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project, funded, horizon, regions;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2023:</w:t>
      </w:r>
      <w:r>
        <w:t xml:space="preserve"> Forty years of soil research funded by the European Commission: Trends and future. A systematic review of research projects — https://doi.org/10.1111/ejss.13423</w:t>
      </w:r>
    </w:p>
    <w:p>
      <w:pPr/>
      <w:r>
        <w:rPr>
          <w:b/>
        </w:rPr>
        <w:t>Shared claim-specific concepts:</w:t>
      </w:r>
      <w:r>
        <w:t xml:space="preserve"> funded, horizon, three, key, affect; EU scope visible. This is a provisional connection, not an outcome finding.</w:t>
      </w:r>
    </w:p>
    <w:p>
      <w:pPr>
        <w:pStyle w:val="SourceNote"/>
      </w:pPr>
      <w:r>
        <w:rPr>
          <w:b/>
        </w:rPr>
        <w:t>Available abstract (not full text):</w:t>
      </w:r>
      <w:r>
        <w:t xml:space="preserve"> Abstract The European Green Deal with its high ambition has set the European Union (EU) on a promising path towards greater soil protection. The EU Soil Strategy 2030, the Biodiversity Strategy 2030, the Farm to Fork Strategy, the Zero Pollution, the Nature Restoration Law and the European Climate Law, among others, include actions to protect our soils. Research and Innovation (R&amp;I) will play a key role in developing new knowledge and tools enabling the transition to healthy soils. The main aim of this paper is to analyse past and near‐future trends in EU's funding for R&amp;I on soil‐related issues. For this purpose, a review of EU‐funded soil projects was conducted based on the data available in the Community Research and Development Information Service and the official portal for European data. Our analysis shows that over the past 40 years, the EU has invested significantly in developing integrated knowledge about the relationships between soil functions and ecosystem services and how human‐induced pressures affect soil health. Following the adoption of the EU Soil Thematic Strategy in 2006, there was an increase in research funding for soil‐related research. Furthermore, our analysis also illustrates an interesting interplay of permanent and changing soil themes. The Horizon Europe Mission ‘A Soil Deal for Europe’, which aims to establish a network of 100 living labs and light</w:t>
      </w:r>
    </w:p>
    <w:p>
      <w:pPr/>
      <w:r>
        <w:rPr>
          <w:b/>
        </w:rPr>
        <w:t>POSSIBLE 2023:</w:t>
      </w:r>
      <w:r>
        <w:t xml:space="preserve"> Changes in Temperature and Precipitation Trends in Selected Polish Cities Based on the Results of Regional EURO-CORDEX Climate Models in the 2030–2050 Horizon — https://doi.org/10.3390/app14010009</w:t>
      </w:r>
    </w:p>
    <w:p>
      <w:pPr/>
      <w:r>
        <w:rPr>
          <w:b/>
        </w:rPr>
        <w:t>Shared claim-specific concepts:</w:t>
      </w:r>
      <w:r>
        <w:t xml:space="preserve"> horizon, three, key, approach; EU scope not established. This is a provisional connection, not an outcome finding.</w:t>
      </w:r>
    </w:p>
    <w:p>
      <w:pPr>
        <w:pStyle w:val="SourceNote"/>
      </w:pPr>
      <w:r>
        <w:rPr>
          <w:b/>
        </w:rPr>
        <w:t>Available abstract (not full text):</w:t>
      </w:r>
      <w:r>
        <w:t xml:space="preserve"> This study presents the potential impacts of climate change in 49 Polish cities by analyzing seven climate indicators. The analysis was carried out for the following three horizons: the current climate conditions (an average period spanning 2006 to 2015), near-future conditions (an average period spanning 2026 to 2035), and future conditions (an average period spanning 2046 to 2055). Climate indices were computed with bias-corrected EURO-CORDEX model ensembles from two Representative Concentration Pathway scenarios, RCP4.5 and RCP8.5. The systematic error was reduced using the quantile mapping method with a non-parametric approach of robust empirical quantiles (RQUANT). Data were used as references in the period of current climate conditions, and those required for bias correction consisted of historical ground-based observations provided by the Institute of Meteorology and Water Management. The analysis encompassed various key climate indices, including the annual average temperature, the count of hot days, cold days, and frost days, the cumulative annual precipitation, the frequency of days with precipitation, and instances of extreme precipitation (defined as the days with precipitation exceeding 10 mm/day). These findings reveal a noteworthy rise in the average annual temperature of approximately 1 °C and an uptick in the number of hot days by 3.7 days. Conversely, a declin</w:t>
      </w:r>
    </w:p>
    <w:p>
      <w:pPr/>
      <w:r>
        <w:rPr>
          <w:b/>
        </w:rPr>
        <w:t>POSSIBLE 2023:</w:t>
      </w:r>
      <w:r>
        <w:t xml:space="preserve"> New Horizons in artificial intelligence in the healthcare of older people — https://doi.org/10.1093/ageing/afad219</w:t>
      </w:r>
    </w:p>
    <w:p>
      <w:pPr/>
      <w:r>
        <w:rPr>
          <w:b/>
        </w:rPr>
        <w:t>Shared claim-specific concepts:</w:t>
      </w:r>
      <w:r>
        <w:t xml:space="preserve"> three, approach, identification; EU scope not established. This is a provisional connection, not an outcome finding.</w:t>
      </w:r>
    </w:p>
    <w:p>
      <w:pPr>
        <w:pStyle w:val="SourceNote"/>
      </w:pPr>
      <w:r>
        <w:rPr>
          <w:b/>
        </w:rPr>
        <w:t>Available abstract (not full text):</w:t>
      </w:r>
      <w:r>
        <w:t xml:space="preserve"> Artificial intelligence (AI) in healthcare describes algorithm-based computational techniques which manage and analyse large datasets to make inferences and predictions. There are many potential applications of AI in the care of older people, from clinical decision support systems that can support identification of delirium from clinical records to wearable devices that can predict the risk of a fall. We held four meetings of older people, clinicians and AI researchers. Three priority areas were identified for AI application in the care of older people. These included: monitoring and early diagnosis of disease, stratified care and care coordination between healthcare providers. However, the meetings also highlighted concerns that AI may exacerbate health inequity for older people through bias within AI models, lack of external validation amongst older people, infringements on privacy and autonomy, insufficient transparency of AI models and lack of safeguarding for errors. Creating effective interventions for older people requires a person-centred approach to account for the needs of older people, as well as sufficient clinical and technological governance to meet standards of generalisability, transparency and effectiveness. Education of clinicians and patients is also needed to ensure appropriate use of AI technologies, with investment in technological infrastructure required </w:t>
      </w:r>
    </w:p>
    <w:p>
      <w:pPr/>
      <w:r>
        <w:rPr>
          <w:b/>
        </w:rPr>
        <w:t>POSSIBLE 2023:</w:t>
      </w:r>
      <w:r>
        <w:t xml:space="preserve"> Discursive Constructions of the European Identity in Germany during the Euro and Refugee Crises of the EU — https://doi.org/10.14267/phd.2023016</w:t>
      </w:r>
    </w:p>
    <w:p>
      <w:pPr/>
      <w:r>
        <w:rPr>
          <w:b/>
        </w:rPr>
        <w:t>Shared claim-specific concepts:</w:t>
      </w:r>
      <w:r>
        <w:t xml:space="preserve"> key, approach, engaged; EU scope visible. This is a provisional connection, not an outcome finding.</w:t>
      </w:r>
    </w:p>
    <w:p>
      <w:pPr>
        <w:pStyle w:val="SourceNote"/>
      </w:pPr>
      <w:r>
        <w:rPr>
          <w:b/>
        </w:rPr>
        <w:t>Available abstract (not full text):</w:t>
      </w:r>
      <w:r>
        <w:t xml:space="preserve"> This research investigates the manifestations of European identity construction by the political and media discourses within the depressing context of the Euro crisis and refugee crisis of the European Union (EU) in a case study country- Germany. It utilizes the main aspirations of the Social Identity Theory (SIT), which asserts that social, economic, and political processes are highly critical in forming an ‘ingroup’. In doing so, it provides a novel approach to the European studies on the nexus between the EU integration and its crises. Although the literature previously engaged in explaining the formation of European identity through the lenses of the SIT, the theoretical novel of this research comes from the fact that it will investigate the way European identity is constructed, instrumentalized, and manifested during the financial and refugee crisis, which is of critical importance for the enrichment of the discipline, since social identity is mediated by the involvement of different social comparative contexts and content. The empirical contribution of the current study accommodates the extension of the empirical body of knowledge in Germany, which has occupied a key, initial, and unique position during both crises in formulating these mechanisms to fight with the crises. This study argues that political and media discourses became a critical tool of disseminating the col</w:t>
      </w:r>
    </w:p>
    <w:p>
      <w:pPr/>
      <w:r>
        <w:rPr>
          <w:b/>
        </w:rPr>
        <w:t>POSSIBLE 2023:</w:t>
      </w:r>
      <w:r>
        <w:t xml:space="preserve"> On the societal impact of publicly funded Circular Bioeconomy research in Europe — https://doi.org/10.1093/reseval/rvad002</w:t>
      </w:r>
    </w:p>
    <w:p>
      <w:pPr/>
      <w:r>
        <w:rPr>
          <w:b/>
        </w:rPr>
        <w:t>Shared claim-specific concepts:</w:t>
      </w:r>
      <w:r>
        <w:t xml:space="preserve"> project, funded, key; EU scope visible. This is a provisional connection, not an outcome finding.</w:t>
      </w:r>
    </w:p>
    <w:p>
      <w:pPr>
        <w:pStyle w:val="SourceNote"/>
      </w:pPr>
      <w:r>
        <w:rPr>
          <w:b/>
        </w:rPr>
        <w:t>Available abstract (not full text):</w:t>
      </w:r>
      <w:r>
        <w:t xml:space="preserve"> Abstract Europe has taken a world leadership position in setting policy priorities for Circular Bioeconomy (CBE) as a key determinant of economic, social, and environmental sustainability. Consequently, European R&amp;D investment in this area keeps growing along with the societal pressure to demonstrate the return of investment of publicly funded projects. Thus, this work presents a pioneering exploratory analysis of the extent to which projects funded at the European level incorporate the policy priorities for which they are being designed in the context of CBE, and how can the impact they are having on society be assessed. Thence, project impact evaluation is carried out in the short- and medium-term, and categorized under Industrial Competitiveness, Sustainable Development, and Community and Public Policies. For this purpose, secondary information was gathered from the European projects database Cordis, as well as primary information through a questionnaire survey of project coordinators. The empirical data collected suggest that European Framework Programmes have been fulfilling their purpose, as they are increasingly societal challenges-driven and market-oriented. This is evidenced by market-related topics addressed in the projects analysed and by the active participation of companies that outnumber academic institutions. As far as impact is concerned, scientific publications</w:t>
      </w:r>
    </w:p>
    <w:p>
      <w:pPr/>
      <w:r>
        <w:rPr>
          <w:b/>
        </w:rPr>
        <w:t>POSSIBLE 2022:</w:t>
      </w:r>
      <w:r>
        <w:t xml:space="preserve"> The effectiveness of the sports management system in Europe: High achievements, public funding and a healthy lifestyle — https://doi.org/10.14254/2071-789x.2022/15-4/13</w:t>
      </w:r>
    </w:p>
    <w:p>
      <w:pPr/>
      <w:r>
        <w:rPr>
          <w:b/>
        </w:rPr>
        <w:t>Shared claim-specific concepts:</w:t>
      </w:r>
      <w:r>
        <w:t xml:space="preserve"> three, approach, engaged; EU scope visible. This is a provisional connection, not an outcome finding.</w:t>
      </w:r>
    </w:p>
    <w:p>
      <w:pPr>
        <w:pStyle w:val="SourceNote"/>
      </w:pPr>
      <w:r>
        <w:rPr>
          <w:b/>
        </w:rPr>
        <w:t>Available abstract (not full text):</w:t>
      </w:r>
      <w:r>
        <w:t xml:space="preserve"> The article proposes an original approach to evaluating the effectiveness of the sports management system, which differs from the classical linear and non-linear optimization methods due to its use of quantile regression models. Three main indicators were chosen for creating the quantile regressions: (i) number of participants in the Olympic Games - as a feature of the effectiveness of the high-achievement sports; (ii) total number of people engaged in sports - as a feature of an effective mass sports system, which ensures a healthy lifestyle of the population; and (iii) state expenses on recreational and sports services. The quality of quantile regressions was validated by the Fisher test and the two-factor variance analysis. The research focused on the data of 30 European countries, which officially and publicly provide access to statistical reports on these issues. The countries were divided into two groups with above-average and below-average effectiveness of the sports management system. Two hypotheses were proposed and tested in the study. Hypothesis H1 was that the effectiveness of high-achievement sports depends on the amount of state funding for developing the sports industry. Research results confirmed this hypothesis for countries with an above-average level of sports management system effectiveness, but refuted it for the other group. Hypothesis H2 stated that the m</w:t>
      </w:r>
    </w:p>
    <w:p>
      <w:pPr>
        <w:pStyle w:val="Heading2"/>
      </w:pPr>
      <w:r>
        <w:t>683. Scenarios for the Development of Multimodal Transport in the TRITIA Cross-Border Area</w:t>
      </w:r>
    </w:p>
    <w:p>
      <w:pPr>
        <w:pStyle w:val="SourceNote"/>
      </w:pPr>
      <w:r>
        <w:rPr>
          <w:b/>
        </w:rPr>
        <w:t>Original source (2020):</w:t>
      </w:r>
      <w:r>
        <w:t xml:space="preserve"> https://doi.org/10.3390/su12177021</w:t>
      </w:r>
    </w:p>
    <w:p>
      <w:pPr/>
      <w:r>
        <w:t>Original wording (abstract; indexed_source_text_not_full_document_verified): Therefore, the purpose of the paper is to identify a set of factors determining the development of multimodal transport within the cross-border area of TRITIA (The European Grouping of Territorial Cooperation of the four regional governments of Moravian-Silesian Region (CZ), Opole Voivodeship (PL), Silesian Voivodeship (PL) and Žilina Self-governing Region (SK)) and to develop four scenarios, the execution of which in the 2030 perspective depends on the implementation of cross-border infrastructure and organisational projects and the increasing level of cooperation in the field of multimodal transport. The future development of multimodal transport as provided for in the scenarios is not linearly correlated with the increase in cooperation and the number of implemented infrastructure and organisational projects.</w:t>
      </w:r>
    </w:p>
    <w:p>
      <w:pPr/>
      <w:r>
        <w:rPr>
          <w:b/>
        </w:rPr>
        <w:t>POSSIBLE 2026:</w:t>
      </w:r>
      <w:r>
        <w:t xml:space="preserve"> Factors determining digitalization in Polish companies in the context of the European industrial strategy — https://doi.org/10.29119/1641-3466.2026.246.5</w:t>
      </w:r>
    </w:p>
    <w:p>
      <w:pPr/>
      <w:r>
        <w:rPr>
          <w:b/>
        </w:rPr>
        <w:t>Shared claim-specific concepts:</w:t>
      </w:r>
      <w:r>
        <w:t xml:space="preserve"> purpose, identify, factors, determining, within; EU scope visible. This is a provisional connection, not an outcome finding.</w:t>
      </w:r>
    </w:p>
    <w:p>
      <w:pPr>
        <w:pStyle w:val="SourceNote"/>
      </w:pPr>
      <w:r>
        <w:rPr>
          <w:b/>
        </w:rPr>
        <w:t>Available abstract (not full text):</w:t>
      </w:r>
      <w:r>
        <w:t xml:space="preserve"> Purpose: The purpose of this study was to identify and analyse the key factors that shape and drive the digitalisation processes of Polish enterprises within the broader framework of the European Industrial Strategy. More specifically, the study aimed to determine the significance of individual entrepreneurial ecosystem components—particularly government policy, institutional support, relational networks, and human‑capital capacities—in influencing firms’ progress toward digital transformation. Design/methodology/approach: The starting point for the research discussed in this article was to determine the degree of identification, significance, and comparison of the elements of the ecosystem, with a particular focus on the role of higher education institutions. Higher education institutions are a significant component considered in most economic development policies, as they play a crucial role in transferring knowledge and scientific achievements to businesses and are vital in building national, sectoral, and technological ecosystems. To achieve this goal, data was collected using the CATI method in a nationwide study of enterprises (n = 302). Findings: The research findings indicated a weak identification of the elements of the entrepreneurial ecosystem within the processes of digitalisation. Furthermore, it revealed that government policy is the best-identified element of the</w:t>
      </w:r>
    </w:p>
    <w:p>
      <w:pPr/>
      <w:r>
        <w:rPr>
          <w:b/>
        </w:rPr>
        <w:t>POSSIBLE 2025:</w:t>
      </w:r>
      <w:r>
        <w:t xml:space="preserve"> Pedoclimatic, knowledge and management factors drive European soybean and faba bean yields — https://doi.org/10.1007/s13593-025-01056-9</w:t>
      </w:r>
    </w:p>
    <w:p>
      <w:pPr/>
      <w:r>
        <w:rPr>
          <w:b/>
        </w:rPr>
        <w:t>Shared claim-specific concepts:</w:t>
      </w:r>
      <w:r>
        <w:t xml:space="preserve"> therefore, purpose, identify, factors; EU scope visible. This is a provisional connection, not an outcome finding.</w:t>
      </w:r>
    </w:p>
    <w:p>
      <w:pPr>
        <w:pStyle w:val="SourceNote"/>
      </w:pPr>
      <w:r>
        <w:rPr>
          <w:b/>
        </w:rPr>
        <w:t>Available abstract (not full text):</w:t>
      </w:r>
      <w:r>
        <w:t xml:space="preserve"> Abstract The low usage of grain legumes in European cropping systems is often attributed to yield gaps due to limiting pedoclimatic conditions, sub-optimal management practices, and farmers’ limited experience and knowledge in growing these crops. The relative contributions of these factors to current grain legume yield gaps at European scale and, in particular, the difference between yields achieved by experienced farmers and those achieved by novices remain unknown. We therefore explored the relationship between yields and these different factors, to identify areas where farmers require more support to close the yield gaps in grain legume production. To this purpose, we conducted a large-scale online farmer survey in nine European countries with a focus on soybean and faba bean. For both crops, classification and regression tree analysis identified country of production as the primary explanatory variable of yield variation and confirmed the hypothesis that greater experience and knowledge is associated with higher yields. However, the effect of several factors differed between the crops, showing the need for legume-specific strategies. Experience and knowledge were particularly important for soybean, although also relevant for faba bean in low-yielding environments. Other important factors identified to determine yield for soybean included farm specialization, agroclimatic z</w:t>
      </w:r>
    </w:p>
    <w:p>
      <w:pPr/>
      <w:r>
        <w:rPr>
          <w:b/>
        </w:rPr>
        <w:t>POSSIBLE 2024:</w:t>
      </w:r>
      <w:r>
        <w:t xml:space="preserve"> FACTOR ANALYSIS OF DEMAND FOR INDONESIAN NICKEL EXPORTS IN EUROPE — https://openalex.org/W7218287029</w:t>
      </w:r>
    </w:p>
    <w:p>
      <w:pPr/>
      <w:r>
        <w:rPr>
          <w:b/>
        </w:rPr>
        <w:t>Shared claim-specific concepts:</w:t>
      </w:r>
      <w:r>
        <w:t xml:space="preserve"> therefore, purpose, factors, four; EU scope visible. This is a provisional connection, not an outcome finding.</w:t>
      </w:r>
    </w:p>
    <w:p>
      <w:pPr>
        <w:pStyle w:val="SourceNote"/>
      </w:pPr>
      <w:r>
        <w:rPr>
          <w:b/>
        </w:rPr>
        <w:t>Available abstract (not full text):</w:t>
      </w:r>
      <w:r>
        <w:t xml:space="preserve"> The purpose of this study is to determine the demand factors for Indonesian nickel exports in Europe. Regarding the formulation of the problem in this study, what are the factors for the demand for Indonesian nickel by Europe. Although the research method used is qualitative. Based on the results of this study it can be concluded that Nickel is a silvery-white hard metal with a slight luster of gold pattern. Nickel itself is a metal that is strong, dense, durable, heat and corrosion resistant. In addition, nickel is also a metal with good conductors of electricity and heat and one of the four very important metal elements because this metal is ferromagnetic or can be said to be easily magnetized at certain room temperatures. Therefore, nickel has a variety of uses that can be utilized in a variety of products. One of them is the raw material for making cables. Nickel is a scarce natural resource, therefore countries that do not have this natural resource must import it from producing countries. At the same time, producing countries must ensure that there are no shortages.</w:t>
      </w:r>
    </w:p>
    <w:p>
      <w:pPr/>
      <w:r>
        <w:rPr>
          <w:b/>
        </w:rPr>
        <w:t>POSSIBLE 2024:</w:t>
      </w:r>
      <w:r>
        <w:t xml:space="preserve"> Factors of Credit Ratings for Transfer Pricing of Loans in European Conditions — https://doi.org/10.18267/j.polek.1421</w:t>
      </w:r>
    </w:p>
    <w:p>
      <w:pPr/>
      <w:r>
        <w:rPr>
          <w:b/>
        </w:rPr>
        <w:t>Shared claim-specific concepts:</w:t>
      </w:r>
      <w:r>
        <w:t xml:space="preserve"> therefore, purpose, identify, factors, cross-border; EU scope visible. This is a provisional connection, not an outcome finding.</w:t>
      </w:r>
    </w:p>
    <w:p>
      <w:pPr>
        <w:pStyle w:val="SourceNote"/>
      </w:pPr>
      <w:r>
        <w:rPr>
          <w:b/>
        </w:rPr>
        <w:t>Available abstract (not full text):</w:t>
      </w:r>
      <w:r>
        <w:t xml:space="preserve"> In accord with international transfer pricing regulations, the borrower's creditworthiness is the main factor to be reflected in valuation of cross-border loan transactions between associated enterprises. However, trouble invariably arises for small and medium-sized enterprises that do not have an assigned credit rating. The aim of this paper is to determine the most reliable predictors of a company's credit rating for European entities facing missing rating coverage for the purpose of transfer pricing. Based on 2015-2019 data sourced from the Orbis database, the study examines key financial ratios and non-financial information that could be instrumental in reconstructing a long-term rating category of a company assigned by Moody's Investors Service. The results identify interest coverage as the most useful predictor. Therefore, a law-approved and tax-acceptable approach to pricing of financial transactions between unrated parties (i.e., without credit rating) should preferably exploit interest coverage as a link to the otherwise missing ratings.</w:t>
      </w:r>
    </w:p>
    <w:p>
      <w:pPr/>
      <w:r>
        <w:rPr>
          <w:b/>
        </w:rPr>
        <w:t>POSSIBLE 2024:</w:t>
      </w:r>
      <w:r>
        <w:t xml:space="preserve"> The Devil in the details: The factors determining the selection of intrazonal congestion management methods across Europe — https://doi.org/10.1016/j.heliyon.2024.e26610</w:t>
      </w:r>
    </w:p>
    <w:p>
      <w:pPr/>
      <w:r>
        <w:rPr>
          <w:b/>
        </w:rPr>
        <w:t>Shared claim-specific concepts:</w:t>
      </w:r>
      <w:r>
        <w:t xml:space="preserve"> identify, factors, determining; EU scope visible. This is a provisional connection, not an outcome finding.</w:t>
      </w:r>
    </w:p>
    <w:p>
      <w:pPr>
        <w:pStyle w:val="SourceNote"/>
      </w:pPr>
      <w:r>
        <w:rPr>
          <w:b/>
        </w:rPr>
        <w:t>Available abstract (not full text):</w:t>
      </w:r>
      <w:r>
        <w:t xml:space="preserve"> The European electricity market is becoming increasingly interconnected, raising questions about how intrazonal congestion management, typically governed by national regulations, interacts with the coupled cross-zonal markets. A major concern is the lack of information regarding intrazonal congestion management methods. This paper addresses this issue by examining different ways in which European transmission system operators (TSOs) use third-party resources to manage congestion in short-term electricity markets. We create a decision-tree-based classification to represent all identified congestion management methods and select three cases for comprehensive evaluation using predefined assessment criteria. While doing so, we identify a trade-off between efficiency and ease of implementation. The balance between these two factors is determined by the severity of the congestion. In a severely congested grid, locational signals are critical, requiring a better alignment between the network representation in the market clearing and the physical network constraints. When the congestion is less severe, TSOs can choose other congestion management methods based on factors such as the predictability of congestion and resource availability. These findings shed light on the complexities of congestion management in an integrated European market and can inform future policy decisions.</w:t>
      </w:r>
    </w:p>
    <w:p>
      <w:pPr/>
      <w:r>
        <w:rPr>
          <w:b/>
        </w:rPr>
        <w:t>POSSIBLE 2024:</w:t>
      </w:r>
      <w:r>
        <w:t xml:space="preserve"> Identifying fit-for purpose methods for monitoring fish communities — https://doi.org/10.3389/fmars.2023.1322367</w:t>
      </w:r>
    </w:p>
    <w:p>
      <w:pPr/>
      <w:r>
        <w:rPr>
          <w:b/>
        </w:rPr>
        <w:t>Shared claim-specific concepts:</w:t>
      </w:r>
      <w:r>
        <w:t xml:space="preserve"> therefore, purpose, identify, four; EU scope not established. This is a provisional connection, not an outcome finding.</w:t>
      </w:r>
    </w:p>
    <w:p>
      <w:pPr>
        <w:pStyle w:val="SourceNote"/>
      </w:pPr>
      <w:r>
        <w:rPr>
          <w:b/>
        </w:rPr>
        <w:t>Available abstract (not full text):</w:t>
      </w:r>
      <w:r>
        <w:t xml:space="preserve"> Scientific monitoring is a fundamental basis of scientific advice. Among others, monitoring aims at contributing towards understanding the influence of anthropogenic use (e.g. fisheries), the health of a stock and individuum and effectiveness of management and conservation measures (e.g. MPAs). Monitoring of demersal and benthic fish communities is often based on invasive methods like bottom trawling, however in some cases less invasive methods might be available. The need for developing alternative and less invasive monitoring methods is supported by an increasing number of Marine Protected Areas and Windfarms where traditional methods such as trawls cannot be deployed due to conservational or technical and safety reasons. To support the development of new monitoring concepts, we conducted a literature review to identify limits and opportunities of methods that are already available. Furthermore, we present a fit-for purpose guide that can help identifying the appropriate method for individual purposes. We defined eight different methods which were analyzed using four different criteria and listed their advantages and disadvantages. We further apply this guide to monitoring in Marine Protected Areas in the Baltic Sea as a case study, indicating that besides traditional bottom trawling, alternative and less invasive methods could be sufficient for specific research purposes. We</w:t>
      </w:r>
    </w:p>
    <w:p>
      <w:pPr/>
      <w:r>
        <w:rPr>
          <w:b/>
        </w:rPr>
        <w:t>POSSIBLE 2024:</w:t>
      </w:r>
      <w:r>
        <w:t xml:space="preserve"> Identifying the Challenges in the Detection and Protection of Child Victims of Human Trafficking in Spain: A Case Study of the Southern European Border — https://doi.org/10.3390/socsci13110566</w:t>
      </w:r>
    </w:p>
    <w:p>
      <w:pPr/>
      <w:r>
        <w:rPr>
          <w:b/>
        </w:rPr>
        <w:t>Shared claim-specific concepts:</w:t>
      </w:r>
      <w:r>
        <w:t xml:space="preserve"> therefore, set, factors, regional; EU scope visible. This is a provisional connection, not an outcome finding.</w:t>
      </w:r>
    </w:p>
    <w:p>
      <w:pPr>
        <w:pStyle w:val="SourceNote"/>
      </w:pPr>
      <w:r>
        <w:rPr>
          <w:b/>
        </w:rPr>
        <w:t>Available abstract (not full text):</w:t>
      </w:r>
      <w:r>
        <w:t xml:space="preserve"> Despite the improvements in enhanced child protection, there is an increasing concern about the vulnerability and cases of child trafficking in Spain, the southern gateway to Europe from the African continent. Analyzing 23 interviews with professionals in the field, this article identifies the factors that contribute to high levels of child trafficking in Spain. This study identifies three primary results: (1) The dangers of residential childcare as places of recruitment; (2) The southern European and Spanish border as a place of elevated risk for the recruitment of children; (3) The stereotypes regarding child trafficking make invisible male victims, other types of trafficking for non-sexual purposes, domestic trafficking, and individual trafficking. Therefore, it remains imperative to advance a set of policies that: (i) invest in specific residential childcare resources for child victims either alone or with family members; (ii) invest in smaller residential childcare to prevent abuse; (iii) invest in mentoring programs for children previously under state guardianship; (iv) improve the working conditions and the training of residential childcare staff; (v) increase the visibility and diversity of child trafficking while avoiding stereotypes; (vi) improve the regional coordination; (vii) invest in campaigns to inform children about the dangers involved in running away, exploit</w:t>
      </w:r>
    </w:p>
    <w:p>
      <w:pPr/>
      <w:r>
        <w:rPr>
          <w:b/>
        </w:rPr>
        <w:t>POSSIBLE 2023:</w:t>
      </w:r>
      <w:r>
        <w:t xml:space="preserve"> The European health data space: Too big to succeed? — https://doi.org/10.1016/j.healthpol.2023.104861</w:t>
      </w:r>
    </w:p>
    <w:p>
      <w:pPr/>
      <w:r>
        <w:rPr>
          <w:b/>
        </w:rPr>
        <w:t>Shared claim-specific concepts:</w:t>
      </w:r>
      <w:r>
        <w:t xml:space="preserve"> therefore, region; EU scope visible. This is a provisional connection, not an outcome finding.</w:t>
      </w:r>
    </w:p>
    <w:p>
      <w:pPr>
        <w:pStyle w:val="SourceNote"/>
      </w:pPr>
      <w:r>
        <w:rPr>
          <w:b/>
        </w:rPr>
        <w:t>Available abstract (not full text):</w:t>
      </w:r>
      <w:r>
        <w:t xml:space="preserve"> In May 2022, the European Commission issued the Proposal for a Regulation on the European Health Data Space (EHDS), with the aims of granting citizens increased access to and control of their (electronic) health data across the EU, and facilitating health data re-use for research, innovation, and policymaking. As the first in a series of European domain-specific "data spaces", the EHDS is a high-stakes development that will transform health data governance in the EU region. As an international consortium of experts from health policy, law, ethics and the social sciences, we are concerned that the EHDS Proposal will detract from, rather than lead to the achievement of, its stated aims. We are in no doubt on the benefits of using health data for secondary purposes, and we appreciate attempts to facilitate such uses across borders in a carefully curated manner. Based on the current draft Regulation, however, the EHDS risks undermining rather than enhancing patient control over data; hindering rather than facilitating the work of health professionals and researchers; and eroding rather than increasing the public value generated through health data sharing. Therefore, significant adjustments are needed if the EHDS is to realize its promised benefits. Besides analyzing the implications for key groups and European societies at large who will be affected by the implementation of the EH</w:t>
      </w:r>
    </w:p>
    <w:p>
      <w:pPr/>
      <w:r>
        <w:rPr>
          <w:b/>
        </w:rPr>
        <w:t>POSSIBLE 2023:</w:t>
      </w:r>
      <w:r>
        <w:t xml:space="preserve"> Determining a Worldwide Prevalence of Oculocutaneous Albinism: A Systematic Review — https://doi.org/10.1167/iovs.64.10.14</w:t>
      </w:r>
    </w:p>
    <w:p>
      <w:pPr/>
      <w:r>
        <w:rPr>
          <w:b/>
        </w:rPr>
        <w:t>Shared claim-specific concepts:</w:t>
      </w:r>
      <w:r>
        <w:t xml:space="preserve"> therefore, purpose, factors, determining, four; EU scope visible. This is a provisional connection, not an outcome finding.</w:t>
      </w:r>
    </w:p>
    <w:p>
      <w:pPr>
        <w:pStyle w:val="SourceNote"/>
      </w:pPr>
      <w:r>
        <w:rPr>
          <w:b/>
        </w:rPr>
        <w:t>Available abstract (not full text):</w:t>
      </w:r>
      <w:r>
        <w:t xml:space="preserve"> Purpose: The aim of this systematic review was to investigate the available data on the epidemiology of oculocutaneous albinism (OCA) around the world, and to determine whether a generalizable, worldwide prevalence figure could be proposed. Methods: Extensive literature search strategies were conducted, interrogating PubMed, Scopus, and Web of Science, to locate relevant literature. Ultimately 34 studies reporting original data were included for analysis. Results: Findings showed that most data were outdated, and only 6 of 34 articles (18%) were published after 2010. There were few good studies with sound methodology and large, clearly defined population samples. Only a small proportion of countries worldwide (26/193 [13%]) have produced prevalence figures for OCA. By continent, African studies were disproportionately represented (15/34 [44%]). The highest prevalence rates (range, 1 in 22 to 1 in 1300; mean, 1 in 464) were reported in population isolates. The mean prevalence from four African countries was 1 in 4264 (range, 1 in 1755 to 1 in 7900). Prevalence for three countries in Europe (mean, 1 in 12,000; range, 1 in 10,000 to 1 in 15,000) may be underestimated, as the phenotype, in fair-skinned populations, may be missed or misdiagnosed as ocular albinism or isolated visual impairment. Population rates may vary depending on local cultural factors (e.g., consanguineous matin</w:t>
      </w:r>
    </w:p>
    <w:p>
      <w:pPr/>
      <w:r>
        <w:rPr>
          <w:b/>
        </w:rPr>
        <w:t>POSSIBLE 2023:</w:t>
      </w:r>
      <w:r>
        <w:t xml:space="preserve"> European Union Regulation of Water Stress Risks — https://doi.org/10.1017/err.2023.76</w:t>
      </w:r>
    </w:p>
    <w:p>
      <w:pPr/>
      <w:r>
        <w:rPr>
          <w:b/>
        </w:rPr>
        <w:t>Shared claim-specific concepts:</w:t>
      </w:r>
      <w:r>
        <w:t xml:space="preserve"> therefore, purpose, within; EU scope visible. This is a provisional connection, not an outcome finding.</w:t>
      </w:r>
    </w:p>
    <w:p>
      <w:pPr>
        <w:pStyle w:val="SourceNote"/>
      </w:pPr>
      <w:r>
        <w:rPr>
          <w:b/>
        </w:rPr>
        <w:t>Available abstract (not full text):</w:t>
      </w:r>
      <w:r>
        <w:t xml:space="preserve"> Abstract Water stress is a growing concern in Europe, partly due to the changing climate context. Despite the cross-cutting impacts that water availability has on different areas under the competence of the European Union (EU), there is not currently a comprehensive and systematic legal framework addressing this issue. The purpose of this article is therefore to examine the EU legislation that concerns the measures aimed at mitigating these risks. To this purpose, it is first examined how droughts and water scarcity are framed within EU legal acts. Based on such an overview, the analysis is directed to the mechanisms developed at the EU level for monitoring, identifying and forecasting water stress risks, as well as the legal provisions relating to the planning tools. The remainder of the article is devoted to the regulation of preventative measures for water scarcity and drought risk reduction, following the water hierarchy resulting from COM(2007) 414.</w:t>
      </w:r>
    </w:p>
    <w:p>
      <w:pPr/>
      <w:r>
        <w:rPr>
          <w:b/>
        </w:rPr>
        <w:t>POSSIBLE 2023:</w:t>
      </w:r>
      <w:r>
        <w:t xml:space="preserve"> The performance of major airports in the Europe, North America and Asia — https://doi.org/10.1108/apjml-07-2022-0608</w:t>
      </w:r>
    </w:p>
    <w:p>
      <w:pPr/>
      <w:r>
        <w:rPr>
          <w:b/>
        </w:rPr>
        <w:t>Shared claim-specific concepts:</w:t>
      </w:r>
      <w:r>
        <w:t xml:space="preserve"> therefore, purpose, factors; EU scope visible. This is a provisional connection, not an outcome finding.</w:t>
      </w:r>
    </w:p>
    <w:p>
      <w:pPr>
        <w:pStyle w:val="SourceNote"/>
      </w:pPr>
      <w:r>
        <w:rPr>
          <w:b/>
        </w:rPr>
        <w:t>Available abstract (not full text):</w:t>
      </w:r>
      <w:r>
        <w:t xml:space="preserve"> Purpose This study aims to provide a meaningful comparison of airports’ performance and better understand the differences observed in the analysed airport performance by presenting a model to analyse the relationship between operational and financial performance and airport characteristics. Design/methodology/approach This study uses a quantitative analysis approach. The Technique for Order Preference by Similarity to Ideal Solution (TOPSIS) and entropy weight were utilised to analyse 17 airports in three Airports Council International regions: Asia, Europe and North America. Through operational and financial factors, these sample airports identified the most efficiently operated airports from 2016 to 2019. Findings Overall, Asian airports were superior in operational and financial efficiency. Unlike operating performance, the sample airport’s financial and total performance results show a similar trend. There were no noticeable changes in operational factors. Therefore, differences in financial variables for each airport may affect the total performance. Practical implications This study provides insightful implications for airport policymakers to establish a standardised information disclosure foundation for consistent analysis and encourage airports to provide this information. Originality/value The adoption of Earnings Before Interest, Taxes, Depreciation, and Amortisation </w:t>
      </w:r>
    </w:p>
    <w:p>
      <w:pPr/>
      <w:r>
        <w:rPr>
          <w:b/>
        </w:rPr>
        <w:t>POSSIBLE 2023:</w:t>
      </w:r>
      <w:r>
        <w:t xml:space="preserve"> The Landscape of Lyme Borreliosis Surveillance in Europe — https://doi.org/10.1089/vbz.2022.0067</w:t>
      </w:r>
    </w:p>
    <w:p>
      <w:pPr/>
      <w:r>
        <w:rPr>
          <w:b/>
        </w:rPr>
        <w:t>Shared claim-specific concepts:</w:t>
      </w:r>
      <w:r>
        <w:t xml:space="preserve"> purpose, within, area, regional; EU scope visible. This is a provisional connection, not an outcome finding.</w:t>
      </w:r>
    </w:p>
    <w:p>
      <w:pPr>
        <w:pStyle w:val="SourceNote"/>
      </w:pPr>
      <w:r>
        <w:rPr>
          <w:b/>
        </w:rPr>
        <w:t>Available abstract (not full text):</w:t>
      </w:r>
      <w:r>
        <w:t xml:space="preserve"> Purpose: Lyme borreliosis (LB) is the most prevalent tick-borne disease in Europe and the incidence of LB is increasing owing to an expansion in tick habitats. However, LB surveillance is quite heterogeneous across the continent, and for those countries with publicly available data, it is difficult to understand the differences in incidence between countries. The objective of our study was to summarize the publicly available data from surveillance for LB in the form of surveillance reports and/or dashboards and to compare the information available for various countries. Methods: We identified publicly available LB data (online dashboards and surveillance reports) in the European Union, European Economic Area, the United Kingdom, Russia, and Switzerland. Results: Of the 36 countries studied, 28 had LB surveillance in place; 23 had surveillance reports, and 10 had dashboards. The dashboards, in general, had more granular data compared with the surveillance reports, but the reports covered longer time periods. LB annual cases, incidence, age, and sex-stratified LB data; manifestations; and regional data were available for most of the countries. LB case definitions varied significantly among the countries. Conclusion: The study highlights large differences in LB surveillance systems, including representativeness, case definitions, type of data available that might inhibit compariso</w:t>
      </w:r>
    </w:p>
    <w:p>
      <w:pPr>
        <w:pStyle w:val="Heading2"/>
      </w:pPr>
      <w:r>
        <w:t>684. Shared Socio-economic Pathways for European agriculture and food systems: The Eur-Agri-SSPs</w:t>
      </w:r>
    </w:p>
    <w:p>
      <w:pPr>
        <w:pStyle w:val="SourceNote"/>
      </w:pPr>
      <w:r>
        <w:rPr>
          <w:b/>
        </w:rPr>
        <w:t>Original source (2020):</w:t>
      </w:r>
      <w:r>
        <w:t xml:space="preserve"> https://doi.org/10.1016/j.gloenvcha.2020.102159</w:t>
      </w:r>
    </w:p>
    <w:p>
      <w:pPr/>
      <w:r>
        <w:t>Original wording (abstract; indexed_source_text_not_full_document_verified): We followed a nine-step protocol to extend and enrich a set of global scenarios - the Shared Socio-economic Pathways (SSPs) - providing regional and sectoral detail for European agriculture and food systems using a one-to-one nesting participatory approach.</w:t>
      </w:r>
    </w:p>
    <w:p>
      <w:pPr/>
      <w:r>
        <w:rPr>
          <w:b/>
        </w:rPr>
        <w:t>POSSIBLE 2024:</w:t>
      </w:r>
      <w:r>
        <w:t xml:space="preserve"> SMaRT M-Seq: an optimized step-by-step protocol for M protein sequencing in monoclonal gammopathies — https://doi.org/10.1093/biomethods/bpae074</w:t>
      </w:r>
    </w:p>
    <w:p>
      <w:pPr/>
      <w:r>
        <w:rPr>
          <w:b/>
        </w:rPr>
        <w:t>Shared claim-specific concepts:</w:t>
      </w:r>
      <w:r>
        <w:t xml:space="preserve"> followed, protocol, approach; EU scope not established. This is a provisional connection, not an outcome finding.</w:t>
      </w:r>
    </w:p>
    <w:p>
      <w:pPr>
        <w:pStyle w:val="SourceNote"/>
      </w:pPr>
      <w:r>
        <w:rPr>
          <w:b/>
        </w:rPr>
        <w:t>Available abstract (not full text):</w:t>
      </w:r>
      <w:r>
        <w:t xml:space="preserve"> In patients with monoclonal gammopathies, tumor B cells or plasma cells secrete a monoclonal antibody (M protein) that not only serves as a biomarker for tumor tracking but can also cause potentially life-threatening organ damage. This damage is driven by the patient-specific sequence of the M protein. Methods for sequencing M proteins have been limited by their high cost and time-consuming nature, and while recent approaches using next-generation sequencing or mass spectrometry offer advancements, they may require tumor cell sorting, are limited to subsets of immunoglobulin genes or patients, and/or lack extensive validation. To address these limitations, we have recently developed a novel method, termed Single Molecule Real-Time Sequencing of the M protein (SMaRT M-Seq), which combines the unbiased amplification of expressed immunoglobulin genes via inverse PCR from circularized cDNA with long-read DNA sequencing, followed by bioinformatic and immunogenetic analyses. This approach enables the unambiguous identification of full-length variable sequences of M protein genes across diverse patient cohorts, including those with low tumor burden. Our protocol has undergone technical validation and has been successfully applied to large patient cohorts with monoclonal gammopathies. Here we present the step-by-step protocol for SMaRT M-Seq. By enabling the parallel sequencing of M pr</w:t>
      </w:r>
    </w:p>
    <w:p>
      <w:pPr/>
      <w:r>
        <w:rPr>
          <w:b/>
        </w:rPr>
        <w:t>POSSIBLE 2023:</w:t>
      </w:r>
      <w:r>
        <w:t xml:space="preserve"> An intelligent extension of the training set for the Persian n-gram language model: an enrichment algorithm — https://doi.org/10.7764/onomazein.61.09</w:t>
      </w:r>
    </w:p>
    <w:p>
      <w:pPr/>
      <w:r>
        <w:rPr>
          <w:b/>
        </w:rPr>
        <w:t>Shared claim-specific concepts:</w:t>
      </w:r>
      <w:r>
        <w:t xml:space="preserve"> extend, set, approach; EU scope not established. This is a provisional connection, not an outcome finding.</w:t>
      </w:r>
    </w:p>
    <w:p>
      <w:pPr>
        <w:pStyle w:val="SourceNote"/>
      </w:pPr>
      <w:r>
        <w:rPr>
          <w:b/>
        </w:rPr>
        <w:t>Available abstract (not full text):</w:t>
      </w:r>
      <w:r>
        <w:t xml:space="preserve"> In this article, we are going to introduce an automatic mechanism to intelligently extend the training set to improve the n-gram language model of Persian. Given the free word-order property in Persian, our enrichment algorithm diversifies n-gram combinations in baseline training data through dependency reordering, adding permissible sentences and filtering ungrammatical sentences using a hybrid empirical (heuristic) and linguistic approach. Experiments performed on baseline training set (taken from a standard Persian corpus) and the resulting enriched training set indicate a declining trend in average relative perplexity (between 34% to 73%) for informal/spoken vs. formal/written Persian test data.</w:t>
      </w:r>
    </w:p>
    <w:p>
      <w:pPr/>
      <w:r>
        <w:rPr>
          <w:b/>
        </w:rPr>
        <w:t>POSSIBLE 2023:</w:t>
      </w:r>
      <w:r>
        <w:t xml:space="preserve"> Population health differences in cross-border regions within the European Union and Schengen area: a protocol for a scoping review — https://doi.org/10.1136/bmjopen-2022-068571</w:t>
      </w:r>
    </w:p>
    <w:p>
      <w:pPr/>
      <w:r>
        <w:rPr>
          <w:b/>
        </w:rPr>
        <w:t>Shared claim-specific concepts:</w:t>
      </w:r>
      <w:r>
        <w:t xml:space="preserve"> protocol, regional, systems; EU scope visible. This is a provisional connection, not an outcome finding.</w:t>
      </w:r>
    </w:p>
    <w:p>
      <w:pPr>
        <w:pStyle w:val="SourceNote"/>
      </w:pPr>
      <w:r>
        <w:rPr>
          <w:b/>
        </w:rPr>
        <w:t>Available abstract (not full text):</w:t>
      </w:r>
      <w:r>
        <w:t xml:space="preserve"> INTRODUCTION: Along with European integration and the harmonisation of living conditions, improvements in health have been observed over the past decades. However, sociospatial inequalities within and across member states still exist today. While drivers of these health inequalities have been widely researched on a national and regional scale, cross-border regions remain understudied. The removal of border controls within the European Union (EU) member states has facilitated economic convergence and created new opportunities, including cross-border cooperation in the healthcare systems. However, whether and how these developments have influenced the population health in the respective cross-border regions is unclear. Hence, this scoping review aims to examine the empirical literature on the changes in health outcomes over time at the population level in EU cross-border areas. Additionally, we aim to identify the type of evidence and available data sources in those studies. Finally, we will determine the research gaps in the literature. METHODS AND ANALYSIS: We will follow the Joanna Briggs Institute methodology for this scoping review. The 'Population-Concept-Context' framework will be used to identify the eligibility criteria. A three-step search strategy will be conducted to find relevant studies in the databases of PubMed, Web of Science, Scopus and EBSCOhost (SocIndex). Add</w:t>
      </w:r>
    </w:p>
    <w:p>
      <w:pPr/>
      <w:r>
        <w:rPr>
          <w:b/>
        </w:rPr>
        <w:t>POSSIBLE 2022:</w:t>
      </w:r>
      <w:r>
        <w:t xml:space="preserve"> Multicentre evaluation of a selective isolation protocol for detection of mcr-positive E. coli and Salmonella spp. in food-producing animals and meat — https://doi.org/10.1111/lam.13717</w:t>
      </w:r>
    </w:p>
    <w:p>
      <w:pPr/>
      <w:r>
        <w:rPr>
          <w:b/>
        </w:rPr>
        <w:t>Shared claim-specific concepts:</w:t>
      </w:r>
      <w:r>
        <w:t xml:space="preserve"> followed, protocol, food, approach; EU scope visible. This is a provisional connection, not an outcome finding.</w:t>
      </w:r>
    </w:p>
    <w:p>
      <w:pPr>
        <w:pStyle w:val="SourceNote"/>
      </w:pPr>
      <w:r>
        <w:rPr>
          <w:b/>
        </w:rPr>
        <w:t>Available abstract (not full text):</w:t>
      </w:r>
      <w:r>
        <w:t xml:space="preserve"> Abstract This study was conducted to evaluate the performance of a screening protocol to detect and isolate mcr-positive Escherichia coli and Salmonella spp. from animal caecal content and meat samples. We used a multicentre approach involving 12 laboratories from nine European countries. All participants applied the same methodology combining a multiplex PCR performed on DNA extracted from a pre-enrichment step, followed by a selective culture step on three commercially available chromogenic agar plates. The test panel was composed of two negative samples and four samples artificially contaminated with E. coli and Salmonella spp. respectively harbouring mcr-1 or mcr-3 and mcr-4 or mcr-5 genes. PCR screening resulted in a specificity of 100% and a sensitivity of 83%. Sensitivity of each agar medium to detect mcr-positive colistin-resistant E. coli or Salmonella spp. strains was 86% for CHROMID® Colistin R, 75% for CHROMagarTM COL-APSE and 70% for COLISTIGRAM. This combined method was effective to detect and isolate most of the E. coli or Salmonella spp. strains harbouring different mcr genes from food-producing animals and food products and might thus be used as a harmonized protocol for the screening of mcr genes in food-producing animals and food products in Europe.</w:t>
      </w:r>
    </w:p>
    <w:p>
      <w:pPr/>
      <w:r>
        <w:rPr>
          <w:b/>
        </w:rPr>
        <w:t>POSSIBLE 2022:</w:t>
      </w:r>
      <w:r>
        <w:t xml:space="preserve"> Implementation of a pan-European ecosystem and an interoperable platform for Smart and Healthy Ageing in Europe: An Innovation Action research protocol — https://doi.org/10.12688/openreseurope.14827.1</w:t>
      </w:r>
    </w:p>
    <w:p>
      <w:pPr/>
      <w:r>
        <w:rPr>
          <w:b/>
        </w:rPr>
        <w:t>Shared claim-specific concepts:</w:t>
      </w:r>
      <w:r>
        <w:t xml:space="preserve"> protocol, set, systems, approach; EU scope visible. This is a provisional connection, not an outcome finding.</w:t>
      </w:r>
    </w:p>
    <w:p>
      <w:pPr>
        <w:pStyle w:val="SourceNote"/>
      </w:pPr>
      <w:r>
        <w:rPr>
          <w:b/>
        </w:rPr>
        <w:t>Available abstract (not full text):</w:t>
      </w:r>
      <w:r>
        <w:t xml:space="preserve"> As life expectancy continues to increase in most EU Member States, smart technologies can help enable older people to continue living at home, despite the challenges accompanying the ageing process. The Innovation Action (IA) SHAPES 'Smart and Healthy Ageing through People Engaging in Supportive Systems' funded by the EU under the Horizon 2020 Research and Innovation Programme (grant agreement number 857159) attends to these topics to support active and healthy ageing and the wellbeing of older adults. This protocol article outlines the SHAPES project's objectives and aims, methods, structure, and expected outcomes. SHAPES seeks to build, pilot, and deploy a large-scale, EU-standardised interoperable, and scalable open platform. The platform will facilitate the integration of a broad range of technological, organisational, clinical, educational, and social solutions. SHAPES emphasises that the home is much more than a house-space; it entails a sense of belonging, a place and a purpose in the community. SHAPES creates an ecosystem - a network of relevant users and stakeholders - who will work together to scale-up smart solutions. Furthermore, SHAPES will create a marketplace seeking to connect demand and supply across the home, health and care services. Finally, SHAPES will produce a set of recommendations to support key stakeholders seeking to integrate smart technologies in th</w:t>
      </w:r>
    </w:p>
    <w:p>
      <w:pPr/>
      <w:r>
        <w:rPr>
          <w:b/>
        </w:rPr>
        <w:t>POSSIBLE 2022:</w:t>
      </w:r>
      <w:r>
        <w:t xml:space="preserve"> Stepped care management of insomnia co-occurring with sleep apnea: the AIR study protocol — https://doi.org/10.1186/s13063-022-06753-4</w:t>
      </w:r>
    </w:p>
    <w:p>
      <w:pPr/>
      <w:r>
        <w:rPr>
          <w:b/>
        </w:rPr>
        <w:t>Shared claim-specific concepts:</w:t>
      </w:r>
      <w:r>
        <w:t xml:space="preserve"> protocol, providing, approach; EU scope not established. This is a provisional connection, not an outcome finding.</w:t>
      </w:r>
    </w:p>
    <w:p>
      <w:pPr>
        <w:pStyle w:val="SourceNote"/>
      </w:pPr>
      <w:r>
        <w:rPr>
          <w:b/>
        </w:rPr>
        <w:t>Available abstract (not full text):</w:t>
      </w:r>
      <w:r>
        <w:t xml:space="preserve"> BACKGROUND: Obstructive sleep apnea (OSA) and insomnia are commonly co-occurring conditions that amplify morbidity and complicates the management of affected patients. Unfortunately, previous research provides limited guidance as to what constitutes the best and most practical management approach for this comorbid patient group. Some preliminary studies show that when cognitive behavioral insomnia therapy (CBT-I) is combined with standard OSA therapies for these patients, outcomes are improved. However, the dearth of trained providers capable of delivering CBT-I has long served as a pragmatic barrier to the widespread use of this therapy in clinical practice. The emergence of sophisticated online CBT-I (OCBT-I) programs could improve access, showing promising reductions in insomnia severity. Given its putative scalability and apparent efficacy, some have argued OCBT-I should represent a 1st-stage intervention in a broader stepped care model that allocates more intensive and less assessable therapist-delivered CBT-I (TCBT-I) only to those who show an inadequate response to lower intensity OCBT-I. However, the efficacy of OCBT-I as a 1st-stage therapy within a broader stepped care management strategy for insomnia comorbid with OSA has yet to be tested with comorbid OSA/insomnia patients. METHODS/DESIGN: This dual-site randomized clinical trial will use a Sequential Multiple Assig</w:t>
      </w:r>
    </w:p>
    <w:p>
      <w:pPr>
        <w:pStyle w:val="Heading2"/>
      </w:pPr>
      <w:r>
        <w:t>685. Socio-technical transitions in UK electricity: part 1 – history, actors and pathways</w:t>
      </w:r>
    </w:p>
    <w:p>
      <w:pPr>
        <w:pStyle w:val="SourceNote"/>
      </w:pPr>
      <w:r>
        <w:rPr>
          <w:b/>
        </w:rPr>
        <w:t>Original source (2020):</w:t>
      </w:r>
      <w:r>
        <w:t xml:space="preserve"> https://doi.org/10.1680/jener.19.00051</w:t>
      </w:r>
    </w:p>
    <w:p>
      <w:pPr/>
      <w:r>
        <w:t>Original wording (abstract; indexed_source_text_not_full_document_verified): The pathways to 2050 focus on the power sector, including the potential for increasing the use of low-emissions electricity for heating and transport. All three pathways are appraised in terms of their environmental performance using complementary life-cycle assessment and footprinting methods.</w:t>
      </w:r>
    </w:p>
    <w:p>
      <w:pPr/>
      <w:r>
        <w:rPr>
          <w:b/>
        </w:rPr>
        <w:t>POSSIBLE 2026:</w:t>
      </w:r>
      <w:r>
        <w:t xml:space="preserve"> Gender Norms and Leadership Exclusion with a Focus on Women’s Pathways to Power in Southern Nigeria — https://openalex.org/W7216889169</w:t>
      </w:r>
    </w:p>
    <w:p>
      <w:pPr/>
      <w:r>
        <w:rPr>
          <w:b/>
        </w:rPr>
        <w:t>Shared claim-specific concepts:</w:t>
      </w:r>
      <w:r>
        <w:t xml:space="preserve"> pathways, focus, power; EU scope not established. This is a provisional connection, not an outcome finding.</w:t>
      </w:r>
    </w:p>
    <w:p>
      <w:pPr>
        <w:pStyle w:val="SourceNote"/>
      </w:pPr>
      <w:r>
        <w:rPr>
          <w:b/>
        </w:rPr>
        <w:t>Available abstract (not full text):</w:t>
      </w:r>
      <w:r>
        <w:t xml:space="preserve"> Women’s participation in leadership in Southern Nigeria remains severely constrained despite gains in education, economic engagement, and civic involvement. This study examines how social norms and patriarchal structures limit women’s access to leadership across family, community, religious, and workplace contexts in Ebonyi and Cross River States. Using qualitative data from 20 Key Informant Interviews, the study explores both men’s and women’s perceptions of female leadership, with particular attention to how women themselves reinforce restrictive gender norms. Findings reveal that leadership is widely coded as masculine, and women frequently act as gatekeepers, policing the ambitions of other women and discouraging leadership aspirations to maintain social conformity and uphold patriarchal hierarchies. The Women-Against-Women Theory of Harmful Cultural Practices (WAW-HCP) is applied as a supporting lens to interpret these intra-gender dynamics. The study highlights the relational and normative barriers that perpetuate women’s exclusion from leadership and underscores the need for interventions that address women’s role as enforcers of restrictive norms.</w:t>
      </w:r>
    </w:p>
    <w:p>
      <w:pPr/>
      <w:r>
        <w:rPr>
          <w:b/>
        </w:rPr>
        <w:t>POSSIBLE 2026:</w:t>
      </w:r>
      <w:r>
        <w:t xml:space="preserve"> The G20 in Focus: An Anthology of African Analyses, Priorities, and Pathways — https://doi.org/10.36615/9781997468950</w:t>
      </w:r>
    </w:p>
    <w:p>
      <w:pPr/>
      <w:r>
        <w:rPr>
          <w:b/>
        </w:rPr>
        <w:t>Shared claim-specific concepts:</w:t>
      </w:r>
      <w:r>
        <w:t xml:space="preserve"> pathways, focus, power; EU scope not established. This is a provisional connection, not an outcome finding.</w:t>
      </w:r>
    </w:p>
    <w:p>
      <w:pPr>
        <w:pStyle w:val="SourceNote"/>
      </w:pPr>
      <w:r>
        <w:rPr>
          <w:b/>
        </w:rPr>
        <w:t>Available abstract (not full text):</w:t>
      </w:r>
      <w:r>
        <w:t xml:space="preserve"> It gives me great pleasure to write the foreword to this timely and thought-provoking anthology, The G20 in Focus: An Anthology of African Analyses, Priorities, and Pathways. This publication, undertaken through the Democracy Development Program (DDP), comes at a critical moment in global history, one marked by uncertainty, transformation, and the redefinition of power relations in international governance. As South Africa assumes the chairship of the Group of Twenty (G20) and the African Union secures a permanent seat within this influential forum, the need for Africa to articulate its voice, vision, and values on the global stage has never been more urgent.</w:t>
      </w:r>
    </w:p>
    <w:p>
      <w:pPr/>
      <w:r>
        <w:rPr>
          <w:b/>
        </w:rPr>
        <w:t>POSSIBLE 2026:</w:t>
      </w:r>
      <w:r>
        <w:t xml:space="preserve"> The Kynurenine Pathway in Tuberculosis: Focus on Immunometabolic Regulation, Compartment-Specific Biology, and Therapeutic Potential — https://doi.org/10.3390/life16081350</w:t>
      </w:r>
    </w:p>
    <w:p>
      <w:pPr/>
      <w:r>
        <w:rPr>
          <w:b/>
        </w:rPr>
        <w:t>Shared claim-specific concepts:</w:t>
      </w:r>
      <w:r>
        <w:t xml:space="preserve"> pathways, focus, including, potential, assessment; EU scope not established. This is a provisional connection, not an outcome finding.</w:t>
      </w:r>
    </w:p>
    <w:p>
      <w:pPr>
        <w:pStyle w:val="SourceNote"/>
      </w:pPr>
      <w:r>
        <w:rPr>
          <w:b/>
        </w:rPr>
        <w:t>Available abstract (not full text):</w:t>
      </w:r>
      <w:r>
        <w:t xml:space="preserve"> Tuberculosis (TB) remains a global health problem, and attention is focused on host immunometabolic pathways influencing antimicrobial immunity, tissue injury, and treatment response. This comprehensive review integrates evidence on the kynurenine pathway (KP) of tryptophan (TRP) metabolism in TB and evaluates its potential as a host-directed therapeutic target. Evidence from human cohorts, in vitro systems, animal models, and non-human primates indicates that Mycobacterium tuberculosis activates the KP across myeloid, antigen-presenting, non-hematopoietic lung, granulomatous, pleural, and central nervous system compartments. KP activation is shaped by interferon-γ signaling, mycobacterial burden, infection duration, strain virulence, and host regulatory mechanisms. Increased indoleamine 2,3-dioxygenase-related (IDO) activity, TRP depletion, kynurenine accumulation, and kynurenine–aryl hydrocarbon receptor (AhR) signaling are associated with impaired T-cell proliferation and recruitment, suppressive myeloid phenotypes, and spatially restricted immunoregulatory niches within granulomas. Accumulated data indicate context-dependent protective effects of the KP manipulations, through restriction of excessive inflammation. Furthermore, the KP-related changes may have biomarker value. Integrated assessment of enzyme expression, kynurenine-to-tryptophan ratio (K/T ratio), downstream m</w:t>
      </w:r>
    </w:p>
    <w:p>
      <w:pPr/>
      <w:r>
        <w:rPr>
          <w:b/>
        </w:rPr>
        <w:t>POSSIBLE 2026:</w:t>
      </w:r>
      <w:r>
        <w:t xml:space="preserve"> Decarbonization Pathways for Offshore Oil Power Systems: The Case of Saudi Arabia — https://doi.org/10.30573/ks--2026-dp24</w:t>
      </w:r>
    </w:p>
    <w:p>
      <w:pPr/>
      <w:r>
        <w:rPr>
          <w:b/>
        </w:rPr>
        <w:t>Shared claim-specific concepts:</w:t>
      </w:r>
      <w:r>
        <w:t xml:space="preserve"> pathways, focus, power, assessment; EU scope not established. This is a provisional connection, not an outcome finding.</w:t>
      </w:r>
    </w:p>
    <w:p>
      <w:pPr>
        <w:pStyle w:val="SourceNote"/>
      </w:pPr>
      <w:r>
        <w:rPr>
          <w:b/>
        </w:rPr>
        <w:t>Available abstract (not full text):</w:t>
      </w:r>
      <w:r>
        <w:t xml:space="preserve"> Decarbonizing offshore oil production platforms is a viable option to lower product-level carbon intensity, which is increasingly linked to market access and long-term competitiveness. This study provides a techno-economic assessment of alternative low-carbon power supply pathways for offshore oil platform operations, with a focus on major offshore fields operated by Saudi Aramco. We develop KAPSARC Offshore Oil and Gas Power Load (KAP-LOAD) – a physics-based, bottom-up framework that constructs field-specific electrical demand profiles from core offshore processes.</w:t>
      </w:r>
    </w:p>
    <w:p>
      <w:pPr/>
      <w:r>
        <w:rPr>
          <w:b/>
        </w:rPr>
        <w:t>POSSIBLE 2026:</w:t>
      </w:r>
      <w:r>
        <w:t xml:space="preserve"> Synchronization Pathways and Resilience in Power Grids — https://doi.org/10.48550/arxiv.2609.00910</w:t>
      </w:r>
    </w:p>
    <w:p>
      <w:pPr/>
      <w:r>
        <w:rPr>
          <w:b/>
        </w:rPr>
        <w:t>Shared claim-specific concepts:</w:t>
      </w:r>
      <w:r>
        <w:t xml:space="preserve"> pathways, power, potential; EU scope visible. This is a provisional connection, not an outcome finding.</w:t>
      </w:r>
    </w:p>
    <w:p>
      <w:pPr>
        <w:pStyle w:val="SourceNote"/>
      </w:pPr>
      <w:r>
        <w:rPr>
          <w:b/>
        </w:rPr>
        <w:t>Available abstract (not full text):</w:t>
      </w:r>
      <w:r>
        <w:t xml:space="preserve"> Ensuring a sustainable energy supply requires maintaining power-grid stability. Rotor dynamics are governed by the swing equation, which takes the form of a second-order Kuramoto model with a correlation between power and total coupling strength. Yet the microscopic mechanisms that nucleate and propagate synchronized clusters remain poorly understood. Using a minimal model motivated by empirical grid data and the \Adhoc potential method, we reveal two distinct seed cluster types and propagation pathways: a population-driven seed cluster at the center of the power distribution propagating to its tails by rotor accretion, and, for a symmetric distribution, coupling-driven seed clusters at its tails propagating inward to the center by cluster merger. These differences generate distinct order-parameter patterns, while inertia controls whether the seed clusters persist with distinct angular velocities. The same propagation pathways also govern recovery following external disturbances. We further confirm that the same selection--persistence rule holds in data-derived annealed representations of European power grids. Therefore, our results can inform strategies for sustaining stable power-grid operation. More generally, our pathway-based framework reframes synchronization by emphasizing the dynamics of cluster formation and recovery rather than relying solely on static criteria.</w:t>
      </w:r>
    </w:p>
    <w:p>
      <w:pPr/>
      <w:r>
        <w:rPr>
          <w:b/>
        </w:rPr>
        <w:t>POSSIBLE 2025:</w:t>
      </w:r>
      <w:r>
        <w:t xml:space="preserve"> Pathways to Power — https://doi.org/10.4324/9781003413820-25</w:t>
      </w:r>
    </w:p>
    <w:p>
      <w:pPr/>
      <w:r>
        <w:rPr>
          <w:b/>
        </w:rPr>
        <w:t>Shared claim-specific concepts:</w:t>
      </w:r>
      <w:r>
        <w:t xml:space="preserve"> pathways, power, potential, increasing; EU scope not established. This is a provisional connection, not an outcome finding.</w:t>
      </w:r>
    </w:p>
    <w:p>
      <w:pPr>
        <w:pStyle w:val="SourceNote"/>
      </w:pPr>
      <w:r>
        <w:rPr>
          <w:b/>
        </w:rPr>
        <w:t>Available abstract (not full text):</w:t>
      </w:r>
      <w:r>
        <w:t xml:space="preserve"> This chapter presents a comprehensive analysis of the transformations taking place within the Kilosa Ilparakuyo Maasai community in Tanzania, focusing on the progress made by Maasai women. The Maasai, who traditionally lived in a male-dominated society, are presently undergoing a significant cultural change driven by the complex interaction between increasing religious devotion and economic prospects. The chapter emphasises the positive influence of Pentecostalism on Ilparakuyo Maasai women. It explores the significance of religion in interrogating traditional norms, fostering women’s empowerment and enabling them to exercise their rights and pursue alternative livelihoods. To examine the complexities between religion and empowerment, the chapter utilises Naila Kabeer’s framework, which encompasses the notions of agency, resources, and accomplishments. It argues that the increasing agency and resource accessibility of Maasai women not only aligns with Kabeer’s theory but also expands its relevance. This chapter presents unique perspectives on the dynamics between genders, their acquisition of power, and their implications for society in pastoral communities. It highlights the potential of religious beliefs and infrastructure projects to drive substantial progress towards an equitable future.</w:t>
      </w:r>
    </w:p>
    <w:p>
      <w:pPr/>
      <w:r>
        <w:rPr>
          <w:b/>
        </w:rPr>
        <w:t>POSSIBLE 2025:</w:t>
      </w:r>
      <w:r>
        <w:t xml:space="preserve"> Wide-bandgap semiconductors and power electronics as pathways to carbon neutrality — https://doi.org/10.1038/s44287-024-00135-5</w:t>
      </w:r>
    </w:p>
    <w:p>
      <w:pPr/>
      <w:r>
        <w:rPr>
          <w:b/>
        </w:rPr>
        <w:t>Shared claim-specific concepts:</w:t>
      </w:r>
      <w:r>
        <w:t xml:space="preserve"> pathways, power;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Colorado Power Pathway: 0 to 600 Miles in 7 Years Flat — https://doi.org/10.1061/9780784486542.002</w:t>
      </w:r>
    </w:p>
    <w:p>
      <w:pPr/>
      <w:r>
        <w:rPr>
          <w:b/>
        </w:rPr>
        <w:t>Shared claim-specific concepts:</w:t>
      </w:r>
      <w:r>
        <w:t xml:space="preserve"> focus, power, all, three; EU scope not established. This is a provisional connection, not an outcome finding.</w:t>
      </w:r>
    </w:p>
    <w:p>
      <w:pPr>
        <w:pStyle w:val="SourceNote"/>
      </w:pPr>
      <w:r>
        <w:rPr>
          <w:b/>
        </w:rPr>
        <w:t>Available abstract (not full text):</w:t>
      </w:r>
      <w:r>
        <w:t xml:space="preserve"> The Colorado Power Pathway is a $1.7 billion investment in 600 miles of double circuit 345 kV transmission lines in eastern Colorado which will connect four new and three upgraded substations. The new transmission lines will create a networked path to integrate 4,000 MW of new renewable energy resources and distribute them to load centers on the Front Range. Xcel Energy will own and operate all of the transmission lines and substations. This paper will discuss the project inception and Certificate of Public Convenience and Necessity process, the route development and public outreach, and the project execution with a focus on how early engineering involvement and preliminary design efforts helped meet the aggressive project timeline. In parallel with route development a preliminary design stage included development of an all-encompassing 345 kV structure family. This structure family development included constructability reviews, cost saving evaluations, and finalization of all steel structure calculations and fabrication drawings. The structure family also included material selection for hot-line replacement. Foundation design included full length anchor bolt concrete piers as well as vibratory caissons.</w:t>
      </w:r>
    </w:p>
    <w:p>
      <w:pPr/>
      <w:r>
        <w:rPr>
          <w:b/>
        </w:rPr>
        <w:t>POSSIBLE 2024:</w:t>
      </w:r>
      <w:r>
        <w:t xml:space="preserve"> Biomass power generation: A pathway to carbon neutrality — https://doi.org/10.1016/j.scitotenv.2024.173080</w:t>
      </w:r>
    </w:p>
    <w:p>
      <w:pPr/>
      <w:r>
        <w:rPr>
          <w:b/>
        </w:rPr>
        <w:t>Shared claim-specific concepts:</w:t>
      </w:r>
      <w:r>
        <w:t xml:space="preserve"> power;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Therapeutic Potential of Targeting the JAK/STAT Pathway in Psoriasis: Focus on TYK2 Inhibition — https://doi.org/10.3390/jcm13113091</w:t>
      </w:r>
    </w:p>
    <w:p>
      <w:pPr/>
      <w:r>
        <w:rPr>
          <w:b/>
        </w:rPr>
        <w:t>Shared claim-specific concepts:</w:t>
      </w:r>
      <w:r>
        <w:t xml:space="preserve"> pathways, focus, including, potential, use; EU scope not established. This is a provisional connection, not an outcome finding.</w:t>
      </w:r>
    </w:p>
    <w:p>
      <w:pPr>
        <w:pStyle w:val="SourceNote"/>
      </w:pPr>
      <w:r>
        <w:rPr>
          <w:b/>
        </w:rPr>
        <w:t>Available abstract (not full text):</w:t>
      </w:r>
      <w:r>
        <w:t xml:space="preserve"> Psoriasis is an inflammatory skin disease with a chronic relapsing course and an often-detrimental impact on patients' quality of life. Thanks to incredible advances in research over the past few decades, the therapeutic armamentarium of psoriasis is now reasonably broad and structured, with several therapeutic agents that have demonstrated successful long-term control of this condition. However, there are still unfulfilled gaps resulting from the inherent limitations of existing therapies, which have paved the way for the identification of new therapeutic strategies or the improvement of existing ones. A great deal of attention has recently been paid to the JAK/STAT pathway, playing a crucial role in chronic inflammatory skin diseases, including psoriasis. Indeed, in a disease with such a complex pathogenesis, the possibility to antagonize multiple molecular pathways via JAK/STAT inhibition offers an undeniable therapeutic advantage. However, data from clinical trials evaluating the use of oral JAK inhibitors in immune-mediated disorders, such as RA, have arisen safety concerns, suggesting a potentially increased risk of class-specific AEs such as infections, venous thromboembolism, and malignancies. New molecules are currently under investigation for the treatment of psoriasis, such as deucravacitinib, an oral selective inhibitor that binds to the regulatory domain of TYK2, b</w:t>
      </w:r>
    </w:p>
    <w:p>
      <w:pPr/>
      <w:r>
        <w:rPr>
          <w:b/>
        </w:rPr>
        <w:t>POSSIBLE 2024:</w:t>
      </w:r>
      <w:r>
        <w:t xml:space="preserve"> Potential therapies for HCC involving targeting the ferroptosis pathway — https://doi.org/10.62347/sigp9279</w:t>
      </w:r>
    </w:p>
    <w:p>
      <w:pPr/>
      <w:r>
        <w:rPr>
          <w:b/>
        </w:rPr>
        <w:t>Shared claim-specific concepts:</w:t>
      </w:r>
      <w:r>
        <w:t xml:space="preserve"> pathways, focus, including, potential, increasing; EU scope not established. This is a provisional connection, not an outcome finding.</w:t>
      </w:r>
    </w:p>
    <w:p>
      <w:pPr>
        <w:pStyle w:val="SourceNote"/>
      </w:pPr>
      <w:r>
        <w:rPr>
          <w:b/>
        </w:rPr>
        <w:t>Available abstract (not full text):</w:t>
      </w:r>
      <w:r>
        <w:t xml:space="preserve"> Liver cancer ranks as the third leading cause of cancer-related mortality worldwide, predominantly in the form of hepatocellular carcinoma (HCC). Conventional detection and treatment approaches have proven inadequate for addressing the elevated incidence and mortality rates associated with HCC. However, a significant body of research suggests that combating HCC through the induction of ferroptosis is possible. Ferroptosis is a regulated cell death process characterized by elevated levels of reactive oxygen species (ROS) and lipid peroxide accumulation, both of which are dependent on iron levels. In recent years, there has been an increasing focus on investigating ferroptosis, revealing its potential as an inhibitory mechanism against various diseases, including tumors. Therefore, ferroptosis induction holds great promise for treating multiple types of cancers, including HCC. This article provides a review of the key mechanisms involved in ferroptosis and explores the potential application of multiple targets and pathways associated with ferroptosis in HCC treatment to improve therapeutic outcomes.</w:t>
      </w:r>
    </w:p>
    <w:p>
      <w:pPr/>
      <w:r>
        <w:rPr>
          <w:b/>
        </w:rPr>
        <w:t>POSSIBLE 2024:</w:t>
      </w:r>
      <w:r>
        <w:t xml:space="preserve"> The Role of Curcumin in Cancer: A Focus on the PI3K/Akt Pathway — https://doi.org/10.3390/cancers16081554</w:t>
      </w:r>
    </w:p>
    <w:p>
      <w:pPr/>
      <w:r>
        <w:rPr>
          <w:b/>
        </w:rPr>
        <w:t>Shared claim-specific concepts:</w:t>
      </w:r>
      <w:r>
        <w:t xml:space="preserve"> focus, including, potential; EU scope not established. This is a provisional connection, not an outcome finding.</w:t>
      </w:r>
    </w:p>
    <w:p>
      <w:pPr>
        <w:pStyle w:val="SourceNote"/>
      </w:pPr>
      <w:r>
        <w:rPr>
          <w:b/>
        </w:rPr>
        <w:t>Available abstract (not full text):</w:t>
      </w:r>
      <w:r>
        <w:t xml:space="preserve"> Cancer is a life-threatening disease and one of the leading causes of death worldwide. Despite significant advancements in therapeutic options, most available anti-cancer agents have limited efficacy. In this context, natural compounds with diverse chemical structures have been investigated for their multimodal anti-cancer properties. Curcumin is a polyphenol isolated from the rhizomes of Curcuma longa and has been widely studied for its anti-inflammatory, anti-oxidant, and anti-cancer effects. Curcumin acts on the regulation of different aspects of cancer development, including initiation, metastasis, angiogenesis, and progression. The phosphatidylinositol-3-kinase (PI3K)/protein kinase B (AKT) pathway is a key target in cancer therapy, since it is implicated in initiation, proliferation, and cancer cell survival. Curcumin has been found to inhibit the PI3K/Akt pathway in tumor cells, primarily via the regulation of different key mediators, including growth factors, protein kinases, and cytokines. This review presents the therapeutic potential of curcumin in different malignancies, such as glioblastoma, prostate and breast cancer, and head and neck cancers, through the targeting of the PI3K/Akt signaling pathway.</w:t>
      </w:r>
    </w:p>
    <w:p>
      <w:pPr>
        <w:pStyle w:val="Heading2"/>
      </w:pPr>
      <w:r>
        <w:t>686. Spatial Simulation of Codesigned Land Cover Change Scenarios in New England: Alternative Futures and Their Consequences for Conservation Priorities</w:t>
      </w:r>
    </w:p>
    <w:p>
      <w:pPr>
        <w:pStyle w:val="SourceNote"/>
      </w:pPr>
      <w:r>
        <w:rPr>
          <w:b/>
        </w:rPr>
        <w:t>Original source (2020):</w:t>
      </w:r>
      <w:r>
        <w:t xml:space="preserve"> https://doi.org/10.1029/2019ef001348</w:t>
      </w:r>
    </w:p>
    <w:p>
      <w:pPr/>
      <w:r>
        <w:t>Original wording (abstract; indexed_source_text_not_full_document_verified): ABSTRACT To help prepare for an uncertain future, planners and scientists often engage with stakeholders to co-design alternative scenarios of land-use change. The four alternative scenarios populate a quadrant of future conditions that crosses high to low natural resource planning and innovation with local to global socio-economic connectedness.</w:t>
      </w:r>
    </w:p>
    <w:p>
      <w:pPr/>
      <w:r>
        <w:rPr>
          <w:b/>
        </w:rPr>
        <w:t>POSSIBLE 2026:</w:t>
      </w:r>
      <w:r>
        <w:t xml:space="preserve"> Preparing to Prepare a Manuscript — https://doi.org/10.1097/nur.0000000000000973</w:t>
      </w:r>
    </w:p>
    <w:p>
      <w:pPr/>
      <w:r>
        <w:rPr>
          <w:b/>
        </w:rPr>
        <w:t>Shared claim-specific concepts:</w:t>
      </w:r>
      <w:r>
        <w:t xml:space="preserve"> help, prepare, often; EU scope not established. This is a provisional connection, not an outcome finding.</w:t>
      </w:r>
    </w:p>
    <w:p>
      <w:pPr>
        <w:pStyle w:val="SourceNote"/>
      </w:pPr>
      <w:r>
        <w:rPr>
          <w:b/>
        </w:rPr>
        <w:t>Available abstract (not full text):</w:t>
      </w:r>
      <w:r>
        <w:t xml:space="preserve"> Manuscripts have their origins in scholarly initiatives such as clinical improvement projects, protocol development, research studies, policy initiatives, and school-based assignments. Colleagues, administrators, and faculty members are among the voices encouraging advanced practice nurses to publish their clinical work outcomes. Dissemination of clinically focused works adds to a body of knowledge about nursing practice; encouraging publication is a positive overture. However, many clinically focused manuscripts are developed by new authors who lack a mentor, that is, someone with experience in preparing, submitting, and publishing scholarly works, which places the novice author at a decided disadvantage. The work itself may have merit, but finding the right perspective, audience, tone, and emphasis takes finesse. In 2025, this journal published an article by Leslie Nicoll1 in which she discussed considerations in publishing an academic paper. Many of the same considerations addressed in that article apply to publishing clinical initiatives. Like a school assignment is designed to meet specific learning objectives, clinical initiatives are conducted to address a defined problem in the context of a practice setting. The purpose and process of a clinical initiative may differ from the requirements of a journal article. And too often clinical initiatives begin without a written p</w:t>
      </w:r>
    </w:p>
    <w:p>
      <w:pPr/>
      <w:r>
        <w:rPr>
          <w:b/>
        </w:rPr>
        <w:t>POSSIBLE 2026:</w:t>
      </w:r>
      <w:r>
        <w:t xml:space="preserve"> A Scientist Just Like Me — https://doi.org/10.5539/hes.v16n3p586</w:t>
      </w:r>
    </w:p>
    <w:p>
      <w:pPr/>
      <w:r>
        <w:rPr>
          <w:b/>
        </w:rPr>
        <w:t>Shared claim-specific concepts:</w:t>
      </w:r>
      <w:r>
        <w:t xml:space="preserve"> help, scientists, often, resource; EU scope not established. This is a provisional connection, not an outcome finding.</w:t>
      </w:r>
    </w:p>
    <w:p>
      <w:pPr>
        <w:pStyle w:val="SourceNote"/>
      </w:pPr>
      <w:r>
        <w:rPr>
          <w:b/>
        </w:rPr>
        <w:t>Available abstract (not full text):</w:t>
      </w:r>
      <w:r>
        <w:t xml:space="preserve"> Children’s perceptions of science and scientists are formed at an early age and could influence engagement and confidence in science and future career choices. Unfortunately, these perceptions often remain narrow and stereotyped, particularly portraying scientists as white, male, laboratory‑based and historically distant figures. This paper presents a resource and preliminary evaluation of A Scientist Just Like Me (ASJLM), that aimed to address these misconceptions using diverse, contemporary and relatable science role models. ASJLM seeks to help pupils connect science to their own lives, experiences and values. 64 scientist profiles were developed, representing diversity in gender, ethnicity, disability, discipline, career route and sector. Profile narratives highlight personal interests, career journeys, challenges faced and transferable skills such as curiosity, collaboration and resilience. Preliminary classroom workshops conducted in six UK primary schools with approximately 500 pupils indicate that children initially held strongly gendered and limited views of scientists. Engagement with this resource broadened pupils’ understanding of who scientists are, what they do, and the skills required to work in science, with teachers reporting increased participation and confidence, particularly among girls. Findings suggest that intentional exposure to diverse role models in pri</w:t>
      </w:r>
    </w:p>
    <w:p>
      <w:pPr/>
      <w:r>
        <w:rPr>
          <w:b/>
        </w:rPr>
        <w:t>POSSIBLE 2026:</w:t>
      </w:r>
      <w:r>
        <w:t xml:space="preserve"> Blue Justice: diverging perceptions between coastal planners and fishers in the blue economy — https://doi.org/10.1007/s11625-026-01868-y</w:t>
      </w:r>
    </w:p>
    <w:p>
      <w:pPr/>
      <w:r>
        <w:rPr>
          <w:b/>
        </w:rPr>
        <w:t>Shared claim-specific concepts:</w:t>
      </w:r>
      <w:r>
        <w:t xml:space="preserve"> abstract, planners, often, local; EU scope visible. This is a provisional connection, not an outcome finding.</w:t>
      </w:r>
    </w:p>
    <w:p>
      <w:pPr>
        <w:pStyle w:val="SourceNote"/>
      </w:pPr>
      <w:r>
        <w:rPr>
          <w:b/>
        </w:rPr>
        <w:t>Available abstract (not full text):</w:t>
      </w:r>
      <w:r>
        <w:t xml:space="preserve"> Abstract Growth in blue industries require heightened attention to justice in coastal governance. However, our understanding of different societal groups’ perceptions of justice in the context of the blue economy and coastal governance is limited. To address this gap, we developed a survey instrument to assess justice perceptions for local fisheries and subsequently used this instrument to elicit justice perceptions among coastal planners and three groups of fishers (Indigenous Sami, the Kven national minority and other non-Indigenous). Specifically, we examined perceptions about coastal zone use and decision-making with respect to three key dimensions of justice: distribution (how costs and benefits are distributed), procedure (how decisions are made), and recognition (whether sociocultural diversity is recognised and respected). Based on data from 705 fishers from the three groups and 41 planners across 69 coastal municipalities in Northern Norway, we found significant differences in perceptions of justice between planners and fishers, while the groups of fishers had relatively similar perceptions. Overall, planners tended to have more favorable justice evaluations than fishers. Moreover, planners report knowledge gaps pertaining to how changes in the use of the coastal zone have impacted local fisheries. Our quantitative analysis shows that fishers’ perceptions of injustice </w:t>
      </w:r>
    </w:p>
    <w:p>
      <w:pPr/>
      <w:r>
        <w:rPr>
          <w:b/>
        </w:rPr>
        <w:t>POSSIBLE 2026:</w:t>
      </w:r>
      <w:r>
        <w:t xml:space="preserve"> Can AI Scientists Coordinate at Runtime? — https://doi.org/10.48550/arxiv.2610.00980</w:t>
      </w:r>
    </w:p>
    <w:p>
      <w:pPr/>
      <w:r>
        <w:rPr>
          <w:b/>
        </w:rPr>
        <w:t>Shared claim-specific concepts:</w:t>
      </w:r>
      <w:r>
        <w:t xml:space="preserve"> scientists, four, conditions; EU scope not established. This is a provisional connection, not an outcome finding.</w:t>
      </w:r>
    </w:p>
    <w:p>
      <w:pPr>
        <w:pStyle w:val="SourceNote"/>
      </w:pPr>
      <w:r>
        <w:rPr>
          <w:b/>
        </w:rPr>
        <w:t>Available abstract (not full text):</w:t>
      </w:r>
      <w:r>
        <w:t xml:space="preserve"> Multi-agent AI scientists have shown improving performance across a diverse range of tasks. Yet a common approach is design-time agentic orchestration, which typically relies on fixed workflows. In contrast, human scientists coordinate and adjust their division of labor at runtime. We therefore ask: can AI scientists also coordinate at runtime? To this end, we introduce Runtime Agent Coordination (RAC), which selects agents from existing AI-scientist hosts during execution, assigns scoped work contracts, and provides artifact-grounded verification. Verification informs subsequent agents without blocking transitions or discarding artifacts. We conduct a single-seed exploratory evaluation across Agent Laboratory, EvoScientist, and ARK on ResearchClawBench, preserving host models, tools, and permissions under host-calibrated budgets. Four cumulative conditions separate native execution, runtime communication, runtime selection, and the combined addition of contracts and verification. Runtime selection yields the highest observed mean score for each host; adding contracts and verification reduces these means, with host-dependent outcomes relative to native execution. These results motivate runtime coordination while exposing the limits of additional coordination mechanisms under constrained budgets. Code is available at https://github.com/systemind-team/Runtime-AI-Scientist.</w:t>
      </w:r>
    </w:p>
    <w:p>
      <w:pPr/>
      <w:r>
        <w:rPr>
          <w:b/>
        </w:rPr>
        <w:t>POSSIBLE 2026:</w:t>
      </w:r>
      <w:r>
        <w:t xml:space="preserve"> Preparing Students for Nuclear Science: Identity Development in a Preinternship Course — https://doi.org/10.1021/acsomega.6c08686</w:t>
      </w:r>
    </w:p>
    <w:p>
      <w:pPr/>
      <w:r>
        <w:rPr>
          <w:b/>
        </w:rPr>
        <w:t>Shared claim-specific concepts:</w:t>
      </w:r>
      <w:r>
        <w:t xml:space="preserve"> abstract, help, prepare, engage; EU scope not established. This is a provisional connection, not an outcome finding.</w:t>
      </w:r>
    </w:p>
    <w:p>
      <w:pPr>
        <w:pStyle w:val="SourceNote"/>
      </w:pPr>
      <w:r>
        <w:rPr>
          <w:b/>
        </w:rPr>
        <w:t>Available abstract (not full text):</w:t>
      </w:r>
      <w:r>
        <w:t xml:space="preserve"> Abstract Undergraduate research experiences (UREs) and internships provide students with opportunities to engage in authentic scientific practices, yet less is known about how students are best prepared to enter these intense research environments. This study examined students’ experiences in a nuclear chemistry course designed to prepare them for a summer internship at a national laboratory. Using Hyater-Adams et al.’s Critical Physics Identity framework, adapted to the context of experimental nuclear science, we analyzed semistructured interviews from five undergraduate students. Findings indicate that the instructor, peer cohort, and field trips served as important relational and material resources; however, students did not interpret these resources uniformly. Rather, prior experiences, confidence, and self-doubt shaped how students engaged with and made meaning of shared course experiences. Consequently, the same course structures affected identity development in ways that were unique to each student. The adapted framework provided a lens for understanding how students differentially interpreted ideational, relational, and material resources as they developed identities in relation to nuclear science. These findings suggest that courses designed to prepare students for research experiences should incorporate regular check-ins and mentoring structures that help students nav</w:t>
      </w:r>
    </w:p>
    <w:p>
      <w:pPr/>
      <w:r>
        <w:rPr>
          <w:b/>
        </w:rPr>
        <w:t>POSSIBLE 2025:</w:t>
      </w:r>
      <w:r>
        <w:t xml:space="preserve"> When Disaster Strikes, Area Agencies on Aging Help Older Adults Prepare and Respond — https://doi.org/10.1093/geroni/igaf122.4324</w:t>
      </w:r>
    </w:p>
    <w:p>
      <w:pPr/>
      <w:r>
        <w:rPr>
          <w:b/>
        </w:rPr>
        <w:t>Shared claim-specific concepts:</w:t>
      </w:r>
      <w:r>
        <w:t xml:space="preserve"> abstract, help, prepare, natural, planning; EU scope not established. This is a provisional connection, not an outcome finding.</w:t>
      </w:r>
    </w:p>
    <w:p>
      <w:pPr>
        <w:pStyle w:val="SourceNote"/>
      </w:pPr>
      <w:r>
        <w:rPr>
          <w:b/>
        </w:rPr>
        <w:t>Available abstract (not full text):</w:t>
      </w:r>
      <w:r>
        <w:t xml:space="preserve"> Abstract Global climate change has increased the frequency and intensity of natural disasters, which can have a disproportionate impact on older adults. According to data from a new module in the 2025 National Survey of Area Agencies on Aging (72% response rate) 65% of AAAs reported that a community within their service area has experienced a significant emergency or disaster within the past five years. This presentation will share nationally-representative data about the ways in which AAAs support older adults to prepare for emergencies, help the community prepare to respond to consumers, and ensure consumer safety. AAAs support individual emergency preparedness through providing educational resources (67%), addressing emergency preparedness as a standard part of the care planning process (45%), and maintaining a prioritized consumer registry (44%). AAAs also helps the community prepare to respond to consumer needs during disasters: 63% are involved in emergency planning collaboratives, 47% require providers to have emergency response plans in place, 45% are in regular two-way communication with EMS. The data will be supported by case examples describing how AAA emergency preparedness and response plays out before, during and after a natural disaster, including lessons learned.</w:t>
      </w:r>
    </w:p>
    <w:p>
      <w:pPr/>
      <w:r>
        <w:rPr>
          <w:b/>
        </w:rPr>
        <w:t>POSSIBLE 2025:</w:t>
      </w:r>
      <w:r>
        <w:t xml:space="preserve"> Prepare Your Lessons — https://doi.org/10.1093/oso/9780197631430.003.0005</w:t>
      </w:r>
    </w:p>
    <w:p>
      <w:pPr/>
      <w:r>
        <w:rPr>
          <w:b/>
        </w:rPr>
        <w:t>Shared claim-specific concepts:</w:t>
      </w:r>
      <w:r>
        <w:t xml:space="preserve"> abstract, help, prepare, planning; EU scope not established. This is a provisional connection, not an outcome finding.</w:t>
      </w:r>
    </w:p>
    <w:p>
      <w:pPr>
        <w:pStyle w:val="SourceNote"/>
      </w:pPr>
      <w:r>
        <w:rPr>
          <w:b/>
        </w:rPr>
        <w:t>Available abstract (not full text):</w:t>
      </w:r>
      <w:r>
        <w:t xml:space="preserve"> Abstract In elementary music class, students learn musical skills, not just facts. Teachers build these skills by modeling, communicating clearly, and assessing student progress. This chapter explores how to organize lesson plans, prepare lessons for different age groups, and ensure smooth delivery. It emphasizes the importance of practicing lessons before teaching and reflecting on what worked afterward. The chapter introduces a structured approach to lesson planning, balancing engaging activities with clear learning objectives. Strategies for effective transitions, classroom management, and student engagement are discussed, helping teachers create lessons that flow smoothly. The importance of using concise instruction, modeling rather than overexplaining, and listening more than speaking is also highlighted. By focusing on well-prepared and thoughtful instruction, teachers can maximize student learning and create a positive, productive classroom environment. Checklists and practical suggestions help teachers refine their approach and continuously improve their teaching.</w:t>
      </w:r>
    </w:p>
    <w:p>
      <w:pPr/>
      <w:r>
        <w:rPr>
          <w:b/>
        </w:rPr>
        <w:t>POSSIBLE 2025:</w:t>
      </w:r>
      <w:r>
        <w:t xml:space="preserve"> Can AI help authors prepare better risk science manuscripts? — https://doi.org/10.1111/risa.70055</w:t>
      </w:r>
    </w:p>
    <w:p>
      <w:pPr/>
      <w:r>
        <w:rPr>
          <w:b/>
        </w:rPr>
        <w:t>Shared claim-specific concepts:</w:t>
      </w:r>
      <w:r>
        <w:t xml:space="preserve"> abstract, help, prepare, scientists, four; EU scope not established. This is a provisional connection, not an outcome finding.</w:t>
      </w:r>
    </w:p>
    <w:p>
      <w:pPr>
        <w:pStyle w:val="SourceNote"/>
      </w:pPr>
      <w:r>
        <w:rPr>
          <w:b/>
        </w:rPr>
        <w:t>Available abstract (not full text):</w:t>
      </w:r>
      <w:r>
        <w:t xml:space="preserve"> Scientists, publishers, and journal editors are wondering how, whether, and to what extent artificial intelligence (AI) tools might soon help to advance the rigor, efficiency, and value of scientific peer review. Will AI provide timely, useful feedback that helps authors improve their manuscripts while avoiding the biases and inconsistencies of human reviewers? Or might it instead generate low-quality verbiage, add noise and errors, reinforce flawed reasoning, and erode trust in the review process? This perspective reports on evaluations of two experimental AI systems: (i) a "Screener" available at http://screener.riskanalysis.cloud/ that gives authors feedback on whether a draft paper (or abstract, proposal, etc.) appears to be a fit for the journal Risk Analysis, based on the guidance to authors provided by the journal (https://www.sra.org/journal/what-makes-a-good-risk-analysis-article/); and (ii) a more ambitious "Reviewer" (http://aia1.moirai-solutions.com/) that gives substantive technical feedback and recommends how to improve the clarity of methodology and the interpretation of results. The evaluations were conducted by a convenience sample of Risk Analysis Area Editors (AEs) and authors, including two authors of manuscripts in progress and four authors of papers that had already been published. The Screener was generally rated as useful. It has been deployed at Risk An</w:t>
      </w:r>
    </w:p>
    <w:p>
      <w:pPr/>
      <w:r>
        <w:rPr>
          <w:b/>
        </w:rPr>
        <w:t>POSSIBLE 2024:</w:t>
      </w:r>
      <w:r>
        <w:t xml:space="preserve"> Preparing conservatoire students for the music education workforce: conversations with alumni — https://doi.org/10.1017/s0265051724000111</w:t>
      </w:r>
    </w:p>
    <w:p>
      <w:pPr/>
      <w:r>
        <w:rPr>
          <w:b/>
        </w:rPr>
        <w:t>Shared claim-specific concepts:</w:t>
      </w:r>
      <w:r>
        <w:t xml:space="preserve"> abstract, help, prepare; EU scope not established. This is a provisional connection, not an outcome finding.</w:t>
      </w:r>
    </w:p>
    <w:p>
      <w:pPr>
        <w:pStyle w:val="SourceNote"/>
      </w:pPr>
      <w:r>
        <w:rPr>
          <w:b/>
        </w:rPr>
        <w:t>Available abstract (not full text):</w:t>
      </w:r>
      <w:r>
        <w:t xml:space="preserve"> Abstract Higher music education institutions should continually review their curricula to ensure that their graduates are best equipped to support musical learning for children and young people. Perspectives on early careers in instrumental teaching were obtained via an alumni-led workshop and focus group at a UK conservatoire. Findings revealed that whilst extensive pedagogical training was offered, its value was not fully acknowledged across the institution and that more could be done to alleviate students’ anxieties about their developing musician identities and future stability. As new teachers, alumni are well placed to help prepare students for the professional realities of joining the music education workforce.</w:t>
      </w:r>
    </w:p>
    <w:p>
      <w:pPr/>
      <w:r>
        <w:rPr>
          <w:b/>
        </w:rPr>
        <w:t>POSSIBLE 2024:</w:t>
      </w:r>
      <w:r>
        <w:t xml:space="preserve"> What is the role of architects and urban planners in crime prevention? — https://doi.org/10.1057/s41284-024-00442-4</w:t>
      </w:r>
    </w:p>
    <w:p>
      <w:pPr/>
      <w:r>
        <w:rPr>
          <w:b/>
        </w:rPr>
        <w:t>Shared claim-specific concepts:</w:t>
      </w:r>
      <w:r>
        <w:t xml:space="preserve"> abstract, planners, planning; EU scope not established. This is a provisional connection, not an outcome finding.</w:t>
      </w:r>
    </w:p>
    <w:p>
      <w:pPr>
        <w:pStyle w:val="SourceNote"/>
      </w:pPr>
      <w:r>
        <w:rPr>
          <w:b/>
        </w:rPr>
        <w:t>Available abstract (not full text):</w:t>
      </w:r>
      <w:r>
        <w:t xml:space="preserve"> Abstract In this article, we discuss the role of urban planning professionals in situational crime prevention. We begin by examining their role as city “shapers” and the reasons behind their frequent neglect of crime-related factors in their decision-making process. We also explore why criminology tends to underestimate the influence of urban planning professionals on the urban environment, a factor crucial for effective crime prevention. To highlight the disconnection between urban planning and crime prevention, we present findings from a survey conducted with urban planners and safety experts in 290 Swedish municipalities. The article concludes with future research and practice recommendations, stressing the urgent need for improved communication and collaboration between urban shapers and environmental criminologists and a more comprehensive understanding from all parties involved.</w:t>
      </w:r>
    </w:p>
    <w:p>
      <w:pPr/>
      <w:r>
        <w:rPr>
          <w:b/>
        </w:rPr>
        <w:t>POSSIBLE 2024:</w:t>
      </w:r>
      <w:r>
        <w:t xml:space="preserve"> Preparing for Government — https://doi.org/10.1111/1467-923x.13375</w:t>
      </w:r>
    </w:p>
    <w:p>
      <w:pPr/>
      <w:r>
        <w:rPr>
          <w:b/>
        </w:rPr>
        <w:t>Shared claim-specific concepts:</w:t>
      </w:r>
      <w:r>
        <w:t xml:space="preserve"> abstract, prepare, conditions; EU scope not established. This is a provisional connection, not an outcome finding.</w:t>
      </w:r>
    </w:p>
    <w:p>
      <w:pPr>
        <w:pStyle w:val="SourceNote"/>
      </w:pPr>
      <w:r>
        <w:rPr>
          <w:b/>
        </w:rPr>
        <w:t>Available abstract (not full text):</w:t>
      </w:r>
      <w:r>
        <w:t xml:space="preserve"> Abstract This article reviews a recent report by the Institute for Government on how opposition parties in the United Kingdom should prepare for power. The article comments on the distinctive constitutional context in the UK regarding government transitions, the provisions in The Cabinet Manual on access by opposition parties to the civil service prior to a general election, how opposition parties can make effective use of these access talks, and the specific challenges facing the Labour Party as it prepares for the prospect of a change of government later in 2024. It is argued that the current guidelines in The Cabinet Manual on access talks need clarification on several crucial matters, not least the timing of their commencement during a parliamentary term, which opposition parties should be eligible to participate, and under what conditions.</w:t>
      </w:r>
    </w:p>
    <w:p>
      <w:pPr/>
      <w:r>
        <w:rPr>
          <w:b/>
        </w:rPr>
        <w:t>POSSIBLE 2024:</w:t>
      </w:r>
      <w:r>
        <w:t xml:space="preserve"> Asymmetric [3+3] Cycloaddition of N ‐Vinyl Oxindole Nitrones with 2‐Indolylmethanols to Prepare Spirooxindole[1,2]oxazines — https://doi.org/10.1002/adsc.202400533</w:t>
      </w:r>
    </w:p>
    <w:p>
      <w:pPr/>
      <w:r>
        <w:rPr>
          <w:b/>
        </w:rPr>
        <w:t>Shared claim-specific concepts:</w:t>
      </w:r>
      <w:r>
        <w:t xml:space="preserve"> abstract, help, prepare; EU scope not established. This is a provisional connection, not an outcome finding.</w:t>
      </w:r>
    </w:p>
    <w:p>
      <w:pPr>
        <w:pStyle w:val="SourceNote"/>
      </w:pPr>
      <w:r>
        <w:rPr>
          <w:b/>
        </w:rPr>
        <w:t>Available abstract (not full text):</w:t>
      </w:r>
      <w:r>
        <w:t xml:space="preserve"> Abstract We describe a chiral phosphoric acid (CPA) catalyzed asymmetric [3+3] cycloaddition of N ‐viny oxindole nitrones with 2‐indolylmethanols to prepare various spirooxindole[1,2]oxazines in 43–93% yields and 88:12–97:3 enantiomeric ratios. Experimental results revealed that the addition of hexafluoroisopropanol (HFIP) played important roles to help CPA control the reaction reactivity and enantioselectivity. The present method features the construction of a tetrasubstituted chiral carbon stereocenter and the example of N ‐vinyl nitrones in asymmetric [3+3] cycloaddition.</w:t>
      </w:r>
    </w:p>
    <w:p>
      <w:pPr>
        <w:pStyle w:val="Heading2"/>
      </w:pPr>
      <w:r>
        <w:t>687. Systemic Design for Policy-Making: Towards the Next Circular Regions</w:t>
      </w:r>
    </w:p>
    <w:p>
      <w:pPr>
        <w:pStyle w:val="SourceNote"/>
      </w:pPr>
      <w:r>
        <w:rPr>
          <w:b/>
        </w:rPr>
        <w:t>Original source (2020):</w:t>
      </w:r>
      <w:r>
        <w:t xml:space="preserve"> https://doi.org/10.3390/su12114494</w:t>
      </w:r>
    </w:p>
    <w:p>
      <w:pPr/>
      <w:r>
        <w:t>Original wording (abstract; indexed_source_text_not_full_document_verified): The vast transformation the circular economy that will occur in the upcoming years inevitably will change the EU panorama, designing new scenarios from an economical-social-environmental perspective. This paper explores the impacts of circular economy policy design processes driven by a systemic design and how this expertise could ease innovative and effective paths for policy-planning on a circular transition in EU regions.</w:t>
      </w:r>
    </w:p>
    <w:p>
      <w:pPr/>
      <w:r>
        <w:rPr>
          <w:b/>
        </w:rPr>
        <w:t>POSSIBLE 2026:</w:t>
      </w:r>
      <w:r>
        <w:t xml:space="preserve"> Business Model Innovation for Circular Transformation in the Built Environment — https://doi.org/10.1007/978-3-032-35104-3_109</w:t>
      </w:r>
    </w:p>
    <w:p>
      <w:pPr/>
      <w:r>
        <w:rPr>
          <w:b/>
        </w:rPr>
        <w:t>Shared claim-specific concepts:</w:t>
      </w:r>
      <w:r>
        <w:t xml:space="preserve"> transformation, circular, design, systemic, paths; EU scope visible. This is a provisional connection, not an outcome finding.</w:t>
      </w:r>
    </w:p>
    <w:p>
      <w:pPr>
        <w:pStyle w:val="SourceNote"/>
      </w:pPr>
      <w:r>
        <w:rPr>
          <w:b/>
        </w:rPr>
        <w:t>Available abstract (not full text):</w:t>
      </w:r>
      <w:r>
        <w:t xml:space="preserve"> The construction sector is one of the most resource-intensive industries in Europe, accounting for approximately 50% of all extracted materials and generating close to 35% of the EU’s total waste output. Despite this scale, Europe’s circular material use rate remains low at 11.8%, reflecting the systemic linearity of current production and consumption patterns. Construction and demolition waste records a high nominal recovery rate of around 89% across the EU; however, recent studies show that most recovered material is downcycled into lower-grade applications, rather than reused at high value. This paper investigates how business model innovation can accelerate the change toward a circular built environment by aligning economic incentives with material reuse, long-life design, and digital traceability. Through a structured review of empirical studies and policy analyses, we identify enabling mechanisms such as circular procurement, digital material passports, market platforms for secondary materials, and performance-based contracting. Main barriers include fragmented value chains, limited standardization for reusable components, and insufficient financial drivers for high-value recovery. Policy instruments, including green public procurement, life-cycle costing provisions, digital product information requirements, and construction and demolition waste regulation, are examined a</w:t>
      </w:r>
    </w:p>
    <w:p>
      <w:pPr/>
      <w:r>
        <w:rPr>
          <w:b/>
        </w:rPr>
        <w:t>POSSIBLE 2026:</w:t>
      </w:r>
      <w:r>
        <w:t xml:space="preserve"> From Startup Support to System Transformation: Intermediaries in Circular Entrepreneurial Ecosystems — https://doi.org/10.5445/ir/1000191564</w:t>
      </w:r>
    </w:p>
    <w:p>
      <w:pPr/>
      <w:r>
        <w:rPr>
          <w:b/>
        </w:rPr>
        <w:t>Shared claim-specific concepts:</w:t>
      </w:r>
      <w:r>
        <w:t xml:space="preserve"> transformation, circular, economy; EU scope not established. This is a provisional connection, not an outcome finding.</w:t>
      </w:r>
    </w:p>
    <w:p>
      <w:pPr>
        <w:pStyle w:val="SourceNote"/>
      </w:pPr>
      <w:r>
        <w:rPr>
          <w:b/>
        </w:rPr>
        <w:t>Available abstract (not full text):</w:t>
      </w:r>
      <w:r>
        <w:t xml:space="preserve"> Diese Dissertation untersucht, wie Intermediäre zirkuläre Startups innerhalb von Entrepreneurial Ecosystems (EEs) unterstützen und wie ihre Aktivitäten zur Transformation hin zu einer Circular Economy (CE) auf Ökosystem- und institutioneller Ebene beitragen. Obwohl das Interesse an zirkulärem Unternehmertum und EEs wächst, fehlt bislang ein integriertes Verständnis darüber, wie Intermediäre die Struktur von Ökosystemen, deren relationale Dynamiken sowie institutionelle Logiken prägen und dadurch die Entwicklung zirkulärer Startups beeinflussen. Zur Schließung dieser Forschungslücke verfolgt die Arbeit ein multimethodisches Forschungsdesign. Eine systematische Literaturrecherche (SLR) konzeptualisiert Circular Entrepreneurial Ecosystems (CEEs), indem sie aufzeigt, wie etablierte Ökosystemelemente qualitativ neu ausgerichtet werden müssen, um den Bedürfnissen zirkulärer Startups gerecht zu werden. Empirische Analysen auf der Grundlage von einer Sozialen Netzwerkanalyse und Experteninterviews erweitern diese Konzeptualisierung, indem sie die strukturelle Entstehung von CEEs untersuchen und intermediärzentrierte, wenig verdich-tete und vertrauensbasierte Subökosysteme identifizieren. Da beide Studien die zentrale Bedeutung von Intermediären für die Gestaltung von CEEs hervorheben, untersucht die dritte Studie ihre Funktionen systematisch. Eine zweite SLR entwickelt hierfür ein Mehr</w:t>
      </w:r>
    </w:p>
    <w:p>
      <w:pPr/>
      <w:r>
        <w:rPr>
          <w:b/>
        </w:rPr>
        <w:t>POSSIBLE 2026:</w:t>
      </w:r>
      <w:r>
        <w:t xml:space="preserve"> The Circular Economy in European Union Supply Chains: A Literature Review — https://doi.org/10.1002/sd.70855</w:t>
      </w:r>
    </w:p>
    <w:p>
      <w:pPr/>
      <w:r>
        <w:rPr>
          <w:b/>
        </w:rPr>
        <w:t>Shared claim-specific concepts:</w:t>
      </w:r>
      <w:r>
        <w:t xml:space="preserve"> circular, economy, impacts, effective; EU scope visible. This is a provisional connection, not an outcome finding.</w:t>
      </w:r>
    </w:p>
    <w:p>
      <w:pPr>
        <w:pStyle w:val="SourceNote"/>
      </w:pPr>
      <w:r>
        <w:rPr>
          <w:b/>
        </w:rPr>
        <w:t>Available abstract (not full text):</w:t>
      </w:r>
      <w:r>
        <w:t xml:space="preserve"> ABSTRACT This research aims to analyze the implementation of the circular economy (CE) in European Union (EU) supply chains (SC), highlighting its potential to transform production systems and maximize resource efficiency while minimizing waste. Our study identifies the major trends and advancements in this field, focusing on the barriers that prevent its full adoption. The methodology employed is a scientometric analysis based on the Scopus and Web of Science (WoS) databases. The review process is developed in two main stages. First, the PRISMA method is applied to identify relevant literature. The second stage involves a quantitative scientometric analysis alongside the Tree of Science (ToS) methodology for qualitative assessment. The objective is to determine the key contributions and their evolution over time in the field of the circular economy. The main results show that scientific production in Europe has grown significantly since 2018, with Italy and the United Kingdom being the countries with the highest number of publications and citations on the subject. The industries most engaged in adopting the CE include the chemical, food, and waste management sectors. Overall, it is observed that circular practices such as resource recirculation, waste valorization, and energy recovery are associated not only with environmental benefits but also with improved economic performan</w:t>
      </w:r>
    </w:p>
    <w:p>
      <w:pPr/>
      <w:r>
        <w:rPr>
          <w:b/>
        </w:rPr>
        <w:t>POSSIBLE 2025:</w:t>
      </w:r>
      <w:r>
        <w:t xml:space="preserve"> Impact of digital transformation for sustainable circular economic environments — https://doi.org/10.1007/s44438-025-00001-3</w:t>
      </w:r>
    </w:p>
    <w:p>
      <w:pPr/>
      <w:r>
        <w:rPr>
          <w:b/>
        </w:rPr>
        <w:t>Shared claim-specific concepts:</w:t>
      </w:r>
      <w:r>
        <w:t xml:space="preserve"> transformation, circular, economy, occur, perspective, design; EU scope not established. This is a provisional connection, not an outcome finding.</w:t>
      </w:r>
    </w:p>
    <w:p>
      <w:pPr>
        <w:pStyle w:val="SourceNote"/>
      </w:pPr>
      <w:r>
        <w:rPr>
          <w:b/>
        </w:rPr>
        <w:t>Available abstract (not full text):</w:t>
      </w:r>
      <w:r>
        <w:t xml:space="preserve"> Abstract Digital Transformation is a global phenomenon, capturing the attention in every industry and spurring major investment. However, digital transformation is not a single objective, but a multi-faceted approach depending on specific industrial goals and their digital maturity. Digital transformation is the way of change from a monolithic business approach to fully digitalized business strategies, resulting in digital transformation a key economic objective and a major success factor of a comprehensive corporate transformation. In addition to digital technologies, processes, and procedures, and aside from that also skilled employees required keeping pace in reacting quickly to changes in order to adapt to necessary needs and opportunities in the markets, to drive growth and innovation. In the first of the four industrial evolutions, steam power was a disruptive technology that has changed the working capabilities. In the second it was the assembly line and in the third the computer. Today, in the fourth industrial evolution, everything is digital. Intelligent digital technologies such as Artificial Intelligence (AI), Machine Learning (ML), Internet of Things (IoT), Big Data and Analytics, Automated Robots, and others are accelerating a profound transformation in the way industries work and do business. However, beside digital transformation a second transformation narrativ</w:t>
      </w:r>
    </w:p>
    <w:p>
      <w:pPr/>
      <w:r>
        <w:rPr>
          <w:b/>
        </w:rPr>
        <w:t>POSSIBLE 2025:</w:t>
      </w:r>
      <w:r>
        <w:t xml:space="preserve"> Twin transformation: The role of digitalization with artificial intelligence, big data and circular supply chain in circular economy performance for sustainability — https://doi.org/10.24136/eq.3350</w:t>
      </w:r>
    </w:p>
    <w:p>
      <w:pPr/>
      <w:r>
        <w:rPr>
          <w:b/>
        </w:rPr>
        <w:t>Shared claim-specific concepts:</w:t>
      </w:r>
      <w:r>
        <w:t xml:space="preserve"> transformation, circular, economy, processes; EU scope not established. This is a provisional connection, not an outcome finding.</w:t>
      </w:r>
    </w:p>
    <w:p>
      <w:pPr>
        <w:pStyle w:val="SourceNote"/>
      </w:pPr>
      <w:r>
        <w:rPr>
          <w:b/>
        </w:rPr>
        <w:t>Available abstract (not full text):</w:t>
      </w:r>
      <w:r>
        <w:t xml:space="preserve"> Research background: The fourth industrial revolution has significantly changed the operational processes of industries and influenced the industrial structures of multiple countries. These scenarios have resulted in organizations embracing digital technologies in their supply chains. However, the digital supply chain literature is still in its early stages of development. Purpose of the article: This study primarily aimed to understand whether artificial intelligence (AI) and big data influence circular economy performance (CEP) through the circular supply chain (CSC), along with exploitative and explorative integration. Methods: Data were collected using a questionnaire survey. The proposed hypotheses were tested using partial least squares structural equation modeling (PLS-SEM) via Smart PLS (4.0). The empirical analysis supported most proposed hypotheses. Findings &amp; value added: The results indicate that the CSC supports digitalization in improving CEP. Additionally, exploitative integration does not influence the moderating role between big data and the CSC, nor does explorative integration between AI and the CSC. This study enables managers to understand that enabling technologies are suitable for facilitating the accomplishment of a CSC’s goals.</w:t>
      </w:r>
    </w:p>
    <w:p>
      <w:pPr/>
      <w:r>
        <w:rPr>
          <w:b/>
        </w:rPr>
        <w:t>POSSIBLE 2025:</w:t>
      </w:r>
      <w:r>
        <w:t xml:space="preserve"> Sustainable circular economy: Unpacking the unintended consequences of digital transformation in Japanese SMEs — https://doi.org/10.1016/j.techfore.2025.124335</w:t>
      </w:r>
    </w:p>
    <w:p>
      <w:pPr/>
      <w:r>
        <w:rPr>
          <w:b/>
        </w:rPr>
        <w:t>Shared claim-specific concepts:</w:t>
      </w:r>
      <w:r>
        <w:t xml:space="preserve"> transformation, circular, economy, explores; EU scope not established. This is a provisional connection, not an outcome finding.</w:t>
      </w:r>
    </w:p>
    <w:p>
      <w:pPr>
        <w:pStyle w:val="SourceNote"/>
      </w:pPr>
      <w:r>
        <w:rPr>
          <w:b/>
        </w:rPr>
        <w:t>Available abstract (not full text):</w:t>
      </w:r>
      <w:r>
        <w:t xml:space="preserve"> Digital transformation (DX) and the shift toward a sustainable circular economy are reshaping industries, raising both practical and theoretical questions about power, collaboration, and ecosystem dynamics. While DX offers opportunities for efficiency and sustainability, it also induces unintended consequences—particularly in altering inter-organizational power relations and blurring traditional industrial boundaries. Drawing on circular economy and ecosystem perspectives, this study investigates these unintended consequences through multiple in-depth case studies of Japanese SMEs. The research reveals how organisations renegotiate constraints and resources to adapt to evolving digital ecosystems. Unlike much of the existing literature that focuses on benefits, this paper uniquely explores the dual nature of unintended consequences—highlighting not only risks but rather, some present exploitable opportunities. The findings offer novel theoretical insights into digital circular economy-era and provide actionable guidance for policymakers and practitioners navigating digital transformation.</w:t>
      </w:r>
    </w:p>
    <w:p>
      <w:pPr/>
      <w:r>
        <w:rPr>
          <w:b/>
        </w:rPr>
        <w:t>POSSIBLE 2025:</w:t>
      </w:r>
      <w:r>
        <w:t xml:space="preserve"> The contribution of European cities and regions to the circular economy: an analysis of territorial strategies — https://doi.org/10.1080/00343404.2025.2563888</w:t>
      </w:r>
    </w:p>
    <w:p>
      <w:pPr/>
      <w:r>
        <w:rPr>
          <w:b/>
        </w:rPr>
        <w:t>Shared claim-specific concepts:</w:t>
      </w:r>
      <w:r>
        <w:t xml:space="preserve"> circular, economy; EU scope visible. This is a provisional connection, not an outcome finding.</w:t>
      </w:r>
    </w:p>
    <w:p>
      <w:pPr>
        <w:pStyle w:val="SourceNote"/>
      </w:pPr>
      <w:r>
        <w:rPr>
          <w:b/>
        </w:rPr>
        <w:t>Available abstract (not full text):</w:t>
      </w:r>
      <w:r>
        <w:t xml:space="preserve"> This article examines how European cities and regions engage with circular economy (CE) strategies through the lens of territorial intermediation. Based on the analysis of 54 strategic planning documents, it identifies a range of local rationales – predominantly environmental – supporting CE commitments. The findings reveal a selective and often downstream-oriented framing of CE priorities. Local authorities assume three main roles in structuring circular transitions: promoter, facilitator and enabler, each operationalised through distinct policy instruments. Rather than following a uniform model, CE strategies take different forms depending on local priorities, challenges and development goals. The article contributes to the literature by clarifying how territorial intermediation mediates ecological transitions at the local scale.</w:t>
      </w:r>
    </w:p>
    <w:p>
      <w:pPr/>
      <w:r>
        <w:rPr>
          <w:b/>
        </w:rPr>
        <w:t>POSSIBLE 2025:</w:t>
      </w:r>
      <w:r>
        <w:t xml:space="preserve"> Supply Chain Transformation and the Circular Economy Methods for producing Sustainable Textiles — https://doi.org/10.52783/jier.v5i2.2907</w:t>
      </w:r>
    </w:p>
    <w:p>
      <w:pPr/>
      <w:r>
        <w:rPr>
          <w:b/>
        </w:rPr>
        <w:t>Shared claim-specific concepts:</w:t>
      </w:r>
      <w:r>
        <w:t xml:space="preserve"> transformation, circular, economy; EU scope not established. This is a provisional connection, not an outcome finding.</w:t>
      </w:r>
    </w:p>
    <w:p>
      <w:pPr>
        <w:pStyle w:val="SourceNote"/>
      </w:pPr>
      <w:r>
        <w:rPr>
          <w:b/>
        </w:rPr>
        <w:t>Available abstract (not full text):</w:t>
      </w:r>
      <w:r>
        <w:t xml:space="preserve"> Since the textile industry pollutes the world and uses up resources, it needs to transform quickly to become sustainable. This research investigates how supply chain transformation guided by circular economy ideas can support sustainable production in the textile industry. It brings together closed-loop models, eco-design, sustainable sourcing, recycling, and end-of-life textile recovery in existing supply chains. The study employs primary data gained from interviews with manufacturers and supply chain and sustainability officials. The research indicates that using circular economy approaches results in better use of resources, less impact on the environment, and greater innovation throughout the supply chain. Among the benefits are less trash, less energy use, and fewer carbon emissions. Still, it is difficult because recycling is costly, many regulations do not provide incentives and there aren’t enough recycling facilities. This study introduces a Circular Textile Supply Chain Framework (CTS2CF) that shows stakeholders how to improve their supply chains to support circularity and sustainability. The findings provide useful and theoretical guidance for industry players to improve sustainability in the textile supply chain. Cross-sector partnerships, help from policies, and the use of technology are stressed as important for making the textile economy work at scale. The study’</w:t>
      </w:r>
    </w:p>
    <w:p>
      <w:pPr/>
      <w:r>
        <w:rPr>
          <w:b/>
        </w:rPr>
        <w:t>POSSIBLE 2024:</w:t>
      </w:r>
      <w:r>
        <w:t xml:space="preserve"> Circular economy in the manufacturing sector: Digital transformation and sustainable practices — https://doi.org/10.30574/ijsra.2024.12.2.1217</w:t>
      </w:r>
    </w:p>
    <w:p>
      <w:pPr/>
      <w:r>
        <w:rPr>
          <w:b/>
        </w:rPr>
        <w:t>Shared claim-specific concepts:</w:t>
      </w:r>
      <w:r>
        <w:t xml:space="preserve"> transformation, circular, economy, explores; EU scope not established. This is a provisional connection, not an outcome finding.</w:t>
      </w:r>
    </w:p>
    <w:p>
      <w:pPr>
        <w:pStyle w:val="SourceNote"/>
      </w:pPr>
      <w:r>
        <w:rPr>
          <w:b/>
        </w:rPr>
        <w:t>Available abstract (not full text):</w:t>
      </w:r>
      <w:r>
        <w:t xml:space="preserve"> The transition from a linear economy to a circular economy (CE) represents a profound shift in resource management practices, emphasizing sustainability and waste reduction as core principles. This review paper explores how digital transformation technologies, including Internet of Things (IoT), artificial intelligence (AI), blockchain, and big data, are integrated with circular economy principles within the manufacturing sector. It examines their roles in promoting sustainable manufacturing practices by optimizing resource use, improving efficiency, and reducing environmental impact. Through a comprehensive review of current literature and case studies, this paper elucidates the benefits, challenges, and future directions of adopting a circular economy approach in manufacturing, highlighting opportunities for innovation and sustainable growth.</w:t>
      </w:r>
    </w:p>
    <w:p>
      <w:pPr/>
      <w:r>
        <w:rPr>
          <w:b/>
        </w:rPr>
        <w:t>POSSIBLE 2024:</w:t>
      </w:r>
      <w:r>
        <w:t xml:space="preserve"> ECONOMIC MONITORING OF THE CIRCULAR TRANSFORMATION AS A CHALLENGE FOR MECHANICAL ENGINEERING — https://openalex.org/W7215135237</w:t>
      </w:r>
    </w:p>
    <w:p>
      <w:pPr/>
      <w:r>
        <w:rPr>
          <w:b/>
        </w:rPr>
        <w:t>Shared claim-specific concepts:</w:t>
      </w:r>
      <w:r>
        <w:t xml:space="preserve"> transformation, circular, economy; EU scope visible. This is a provisional connection, not an outcome finding.</w:t>
      </w:r>
    </w:p>
    <w:p>
      <w:pPr>
        <w:pStyle w:val="SourceNote"/>
      </w:pPr>
      <w:r>
        <w:rPr>
          <w:b/>
        </w:rPr>
        <w:t>Available abstract (not full text):</w:t>
      </w:r>
      <w:r>
        <w:t xml:space="preserve"> This paper critically evaluates the role of mechanical engineering in the economic monitoring of the circular economy transformation. The transition from a linear "take-make-dispose" model to a circular one is imperative for sustainability, requiring significant adaptation in mechanical engineering practices. The research investigates the methodologies and institutional frameworks that underpin this transformation, assessing their efficacy and identifying areas for enhancement. By examining the latest scientific literature and employing various indicators and evaluation methods, the study outlines the practical and strategic benefits of embracing circular economy principles. It underscores the necessity of robust monitoring mechanisms and the crucial role of institutions in fostering the transition, with a particular focus on the European Union's regulatory approach. This paper provides a comprehensive understanding of the state of circular economy implementation in mechanical engineering and suggests future directions for its development, monitoring, and integration into policy and educational frameworks.</w:t>
      </w:r>
    </w:p>
    <w:p>
      <w:pPr/>
      <w:r>
        <w:rPr>
          <w:b/>
        </w:rPr>
        <w:t>POSSIBLE 2024:</w:t>
      </w:r>
      <w:r>
        <w:t xml:space="preserve"> Twenty Years of Land Accounts in Europe — https://doi.org/10.3390/land13091350</w:t>
      </w:r>
    </w:p>
    <w:p>
      <w:pPr/>
      <w:r>
        <w:rPr>
          <w:b/>
        </w:rPr>
        <w:t>Shared claim-specific concepts:</w:t>
      </w:r>
      <w:r>
        <w:t xml:space="preserve"> economy, upcoming;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AI ‐driven adaptive learning for sustainable educational transformation — https://doi.org/10.1002/sd.3221</w:t>
      </w:r>
    </w:p>
    <w:p>
      <w:pPr/>
      <w:r>
        <w:rPr>
          <w:b/>
        </w:rPr>
        <w:t>Shared claim-specific concepts:</w:t>
      </w:r>
      <w:r>
        <w:t xml:space="preserve"> transformation, driven, innovative; EU scope not established. This is a provisional connection, not an outcome finding.</w:t>
      </w:r>
    </w:p>
    <w:p>
      <w:pPr>
        <w:pStyle w:val="SourceNote"/>
      </w:pPr>
      <w:r>
        <w:rPr>
          <w:b/>
        </w:rPr>
        <w:t>Available abstract (not full text):</w:t>
      </w:r>
      <w:r>
        <w:t xml:space="preserve"> Abstract This paper scrutinizes how adaptive learning technologies and artificial intelligence (AI) are transforming today's education by making it personalized, accessible, and efficient as well as leading people to accepting, addressing, and mitigating sustainable development. Recently, education witnessed a remarkable technological surge driven by various advances in technology, which can be demonstrated by the increase of the number of scientific publications on this topic from just 1 in 1990 to 636 in 2023. Ongoing digitalization and technological revolution in education together with the novel approach to respect each student's unique learning style and abilities paved the way for adaptive learning technologies represented by the innovative tools that personalize educational experiences to cater to individual learners. All of that contributes to preparing more educated and informed citizens, drives innovation, and supports economic growth necessary for achieving a sustainable future. Our bibliographic study employs VOSviewer to conduct a bibliometric analysis of a total number of 3518 selected publications using the keywords “adaptive learning” and “AI” (represented by articles, proceeding papers, and book chapters) indexed in the Web of Science (WoS) database from 1990 to 2024. Our results demonstrate that recent technological changes played a key role in transforming ad</w:t>
      </w:r>
    </w:p>
    <w:p>
      <w:pPr>
        <w:pStyle w:val="Heading2"/>
      </w:pPr>
      <w:r>
        <w:t>688. The Impact of Decarbonization Scenarios on Air Quality and Human Health in Poland—Analysis of Scenarios up to 2050</w:t>
      </w:r>
    </w:p>
    <w:p>
      <w:pPr>
        <w:pStyle w:val="SourceNote"/>
      </w:pPr>
      <w:r>
        <w:rPr>
          <w:b/>
        </w:rPr>
        <w:t>Original source (2020):</w:t>
      </w:r>
      <w:r>
        <w:t xml:space="preserve"> https://doi.org/10.3390/atmos11111222</w:t>
      </w:r>
    </w:p>
    <w:p>
      <w:pPr/>
      <w:r>
        <w:t>Original wording (abstract; indexed_source_text_not_full_document_verified): The results also showed that the decrease in PM2.5 emissions envisaged in the analyzed scenarios in 2050 will lead to a reduction in the number of lost years of life by about 35 thousand and an avoidance of external costs by EUR 2.4 billion. The three scenarios of the REFLEX Project focused on the reduction of CO2 emissions up to 2050 from various sectors, mainly by the means of fuel and technological switches.</w:t>
      </w:r>
    </w:p>
    <w:p>
      <w:pPr/>
      <w:r>
        <w:rPr>
          <w:b/>
        </w:rPr>
        <w:t>POSSIBLE 2026:</w:t>
      </w:r>
      <w:r>
        <w:t xml:space="preserve"> Pro-environmental behaviour in Europe — https://openalex.org/W7213476392</w:t>
      </w:r>
    </w:p>
    <w:p>
      <w:pPr/>
      <w:r>
        <w:rPr>
          <w:b/>
        </w:rPr>
        <w:t>Shared claim-specific concepts:</w:t>
      </w:r>
      <w:r>
        <w:t xml:space="preserve"> also, decrease, emissions, lead, about, co2; EU scope visible. This is a provisional connection, not an outcome finding.</w:t>
      </w:r>
    </w:p>
    <w:p>
      <w:pPr>
        <w:pStyle w:val="SourceNote"/>
      </w:pPr>
      <w:r>
        <w:rPr>
          <w:b/>
        </w:rPr>
        <w:t>Available abstract (not full text):</w:t>
      </w:r>
      <w:r>
        <w:t xml:space="preserve"> This policy briefs examines the determinants of five pro-environmental behaviours (whether individuals reduce and separate waste, use fewer disposable items, buy more efficient appliances, use alternatives to car and install solar panels) across individuals, countries and time. Raising Europea's engagement in pro-environmental behaviour can decrease Co2 emissions by 6 to 16% and cut costs by 14 to 30 percent given current estimates, making the targeting of European's behaviour important. Results show that Europeans have on average increased their efforts living more environmentally friendly between 2013 and 2023. The youngest generations have adopted pro-environmental behaviour fastest. Pro-environmental behaviour varies considerably between European countries. Some of this variation can be explained by GDP, income inequality and country level concern about climate change. Individual characteristics like financial situation, feeling personally responsible for climate action and believing in climage change however appear to be most important for explaining pro-environmental behaviour holding country specific factors constant. The results suggest, that in order to widen pro-environmental behaviour across Europe, education remains an important tool to increase environmental concern as well as feelings of responsibilty to the climate, factors highly correlated with positive behavio</w:t>
      </w:r>
    </w:p>
    <w:p>
      <w:pPr/>
      <w:r>
        <w:rPr>
          <w:b/>
        </w:rPr>
        <w:t>POSSIBLE 2026:</w:t>
      </w:r>
      <w:r>
        <w:t xml:space="preserve"> Laboratory Experiments on Savannah and European Boreal Forest Fire Emissions — https://doi.org/10.1029/2025jd044543</w:t>
      </w:r>
    </w:p>
    <w:p>
      <w:pPr/>
      <w:r>
        <w:rPr>
          <w:b/>
        </w:rPr>
        <w:t>Shared claim-specific concepts:</w:t>
      </w:r>
      <w:r>
        <w:t xml:space="preserve"> also, emissions, number, three; EU scope visible. This is a provisional connection, not an outcome finding.</w:t>
      </w:r>
    </w:p>
    <w:p>
      <w:pPr>
        <w:pStyle w:val="SourceNote"/>
      </w:pPr>
      <w:r>
        <w:rPr>
          <w:b/>
        </w:rPr>
        <w:t>Available abstract (not full text):</w:t>
      </w:r>
      <w:r>
        <w:t xml:space="preserve"> Abstract Landscape fire is among the largest sources of aerosols and trace gases globally. However, the emissions are highly variable and strongly affected by the type of biomass and combustion characteristics. We investigated the effect of combustion characteristics on the burning emissions from three biomass types: woody plants and grasses from southern African savannah and European boreal forest surface based on experiments at the ILMARI combustion facility in Kuopio, Finland. Considering emission factors (EF) for organic aerosol (OA) and for the sum of volatile organic compounds (VOCs), we observed a linear increase in the EF with decreasing modified combustion efficiency (MCE) down to MCE of 0.6. For instance, for woody plants from savannah flaming combustion EF OA is 6.1 g kg −1 at MCE of 0.94, while extreme smoldering EF OA at MCE of 0.67 is 54 g kg −1 . Interestingly, the effect of biomass type was minor compared to MCE, which was also seen for aerosol particle number size distributions. Likewise, the absorption Ångström exponent increased with decreasing MCE. Furthermore, OA in our experiments is absorbing not only at the short wavelengths, which is typical of brown carbon, but even at the longest wavelengths (880 and 950 nm), which are often considered to represent only absorption by black carbon. The biomass type impacted the OA and VOC composition, especially in hig</w:t>
      </w:r>
    </w:p>
    <w:p>
      <w:pPr/>
      <w:r>
        <w:rPr>
          <w:b/>
        </w:rPr>
        <w:t>POSSIBLE 2026:</w:t>
      </w:r>
      <w:r>
        <w:t xml:space="preserve"> Emission Scenarios for Europe under the CATALYSE Project: Beyond the Green Deal — https://openalex.org/W7125621332</w:t>
      </w:r>
    </w:p>
    <w:p>
      <w:pPr/>
      <w:r>
        <w:rPr>
          <w:b/>
        </w:rPr>
        <w:t>Shared claim-specific concepts:</w:t>
      </w:r>
      <w:r>
        <w:t xml:space="preserve"> also, pm2, emissions, reduction, about, project;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A Europe-wide characterization of the external exposome: A spatio-temporal analysis — https://doi.org/10.1016/j.envint.2025.109542</w:t>
      </w:r>
    </w:p>
    <w:p>
      <w:pPr/>
      <w:r>
        <w:rPr>
          <w:b/>
        </w:rPr>
        <w:t>Shared claim-specific concepts:</w:t>
      </w:r>
      <w:r>
        <w:t xml:space="preserve"> also, showed, external; EU scope visible. This is a provisional connection, not an outcome finding.</w:t>
      </w:r>
    </w:p>
    <w:p>
      <w:pPr>
        <w:pStyle w:val="SourceNote"/>
      </w:pPr>
      <w:r>
        <w:rPr>
          <w:b/>
        </w:rPr>
        <w:t>Available abstract (not full text):</w:t>
      </w:r>
      <w:r>
        <w:t xml:space="preserve"> Background Harmonised data on external environmental exposures are essential for multi-cohort exposome studies. This paper describes the development of fine-spatial resolution models and resulting exposure maps for 33 major exposome factors —including physical–chemical, built, social, and food environments—across Europe from 2000 to 2020, and examines their spatial and temporal interrelations. Methods New fine spatial resolution Europe-wide models were developed for annual/monthly average air pollution, daily temperature, and annual-average road-traffic noise, combined with post-processing of existing data on green, blue, and grey spaces (imperviousness), walkability, light-at-night, and urbanicity. Exposure metrics relevant for epidemiological studies were developed for all exposome factors, with correlations calculated at European and country levels. Stability and trends over time were assessed for 18 factors. Results At the European level, most environmental factors showed weak correlations (R &lt; 0.4), except NO 2 , which showed moderate to strong correlations with built environment factors. Country-level correlations varied. Annual average exposure surfaces were stable over time, with strong correlations between early and late time points for all factors except O 3 ​ (R = 0.66). Trends indicated decreases in air pollution and increases in temperature, green space, and imperv</w:t>
      </w:r>
    </w:p>
    <w:p>
      <w:pPr/>
      <w:r>
        <w:rPr>
          <w:b/>
        </w:rPr>
        <w:t>POSSIBLE 2025:</w:t>
      </w:r>
      <w:r>
        <w:t xml:space="preserve"> Dementia-free life expectancy in Europe — https://openalex.org/W7135476202</w:t>
      </w:r>
    </w:p>
    <w:p>
      <w:pPr/>
      <w:r>
        <w:rPr>
          <w:b/>
        </w:rPr>
        <w:t>Shared claim-specific concepts:</w:t>
      </w:r>
      <w:r>
        <w:t xml:space="preserve"> also, number, life; EU scope visible. This is a provisional connection, not an outcome finding.</w:t>
      </w:r>
    </w:p>
    <w:p>
      <w:pPr>
        <w:pStyle w:val="SourceNote"/>
      </w:pPr>
      <w:r>
        <w:rPr>
          <w:b/>
        </w:rPr>
        <w:t>Available abstract (not full text):</w:t>
      </w:r>
      <w:r>
        <w:t xml:space="preserve"> Dementia-free life expectancy in Europe Abstract Population ageing is associated with a growing number of people living with dementia. Although improvements in healthcare have led to increases in life expectancy at birth, it remains unclear to what extent this also means longer healthy lives. This bachelor's thesis aims to analyze dementia- free life expectancy in older age in European countries, with a focus on sex, age, and regional disparities. The analysis is based primarily on data from the Dementia in Europe Yearbook 2019 and the Human Mortality Database. Dementia-free life expectancy is calculated using Sullivan's method, based on prevalence rates of dementia and constructed life tables. The results show that standardized dementia prevalence rates are relatively homogeneous across Europe but increase sharply with age and are higher among women. The share of life spent without dementia decreases with age and is consistently higher among men in all age groups. Western European countries report higher absolute dementia-free life expectancy, whereas Eastern European countries reach higher relative shares of life spent without dementia. At age 85, men in many countries exhibit not only higher relative, but also higher absolute dementia-free life expectancy than women. The findings highlight the growing...</w:t>
      </w:r>
    </w:p>
    <w:p>
      <w:pPr/>
      <w:r>
        <w:rPr>
          <w:b/>
        </w:rPr>
        <w:t>POSSIBLE 2025:</w:t>
      </w:r>
      <w:r>
        <w:t xml:space="preserve"> CARBON TAX, ENERGY TRANSITION AND CO2 EMISSIONS: A DYNAMIC PANEL DATA APPROACH FOR NORTHERN AFRICA AND EUROPE. — https://doi.org/10.12732/ijam.v38i9s.1167</w:t>
      </w:r>
    </w:p>
    <w:p>
      <w:pPr/>
      <w:r>
        <w:rPr>
          <w:b/>
        </w:rPr>
        <w:t>Shared claim-specific concepts:</w:t>
      </w:r>
      <w:r>
        <w:t xml:space="preserve"> also, emissions, co2; EU scope visible. This is a provisional connection, not an outcome finding.</w:t>
      </w:r>
    </w:p>
    <w:p>
      <w:pPr>
        <w:pStyle w:val="SourceNote"/>
      </w:pPr>
      <w:r>
        <w:rPr>
          <w:b/>
        </w:rPr>
        <w:t>Available abstract (not full text):</w:t>
      </w:r>
      <w:r>
        <w:t xml:space="preserve"> This study aims to analyze the impact of the introduction of the carbon tax on CO₂ emissions per capita in a sample of Northern African and European countries. It also examines the influence of the energy transition on CO₂ emissions per capita. We use an empirical approach based on dynamic panel data, a method that makes it possible to control unobserved heterogeneity between countries and to estimate the effects of fiscal and environmental policies. The model analyses countries that have implemented a carbon tax compared with those that have not, while incorporating variables such as GDP per capita, the transition to renewable energy and industrial added value. The results show strong inertia in emissions, with the carbon tax having a negative and statistically significant effect on CO₂ emissions per capita, underlining its effectiveness in combating climate change. The use of renewable energy also has a strongly negative impact on emissions. On the other hand, GDP per capita and industrial added value have a positive and significant effect on carbon dioxide emissions. The analysis shows that carbon taxes and transition towards renewable energies are effective levers for reducing CO₂ emissions. However, economic growth and industrialization present environmental challenges; the fact that requires a balance between development and sustainability</w:t>
      </w:r>
    </w:p>
    <w:p>
      <w:pPr/>
      <w:r>
        <w:rPr>
          <w:b/>
        </w:rPr>
        <w:t>POSSIBLE 2025:</w:t>
      </w:r>
      <w:r>
        <w:t xml:space="preserve"> An empirical analysis of net-zero emission targets of Canada and the European Union — https://doi.org/10.21622/maci.2025.02.1.1252</w:t>
      </w:r>
    </w:p>
    <w:p>
      <w:pPr/>
      <w:r>
        <w:rPr>
          <w:b/>
        </w:rPr>
        <w:t>Shared claim-specific concepts:</w:t>
      </w:r>
      <w:r>
        <w:t xml:space="preserve"> emissions, lead, reduction, three; EU scope visible. This is a provisional connection, not an outcome finding.</w:t>
      </w:r>
    </w:p>
    <w:p>
      <w:pPr>
        <w:pStyle w:val="SourceNote"/>
      </w:pPr>
      <w:r>
        <w:rPr>
          <w:b/>
        </w:rPr>
        <w:t>Available abstract (not full text):</w:t>
      </w:r>
      <w:r>
        <w:t xml:space="preserve"> This analysis examines the emission trajectories of Canada and the EU27 that purportedly lead to a point of net zero emissions of greenhouse gases in 2050. It is shown that a country’s emission intensities are limited by a lower bound which effectively restricts the reduction to greenhouse gas emissions to a level moderated by a country’s GDP per capita. For Canada, the proposed path to net zero emissions is shown to be technically feasible, but dependent on the deployment of a suite of engineered negative emission technologies none of which have been demonstrated at scale. In the case of the EU27, it is shown that the proposed path to a condition of net zero emissions in 2050 is not a plausible scenario and that emissions of greenhouse gases in that year are likely to be more than three times higher than the level projected by the European Commission. Received on, 07 March 2025 Accepted on, 10 April 2025 Published on, 27 April 2025</w:t>
      </w:r>
    </w:p>
    <w:p>
      <w:pPr/>
      <w:r>
        <w:rPr>
          <w:b/>
        </w:rPr>
        <w:t>POSSIBLE 2024:</w:t>
      </w:r>
      <w:r>
        <w:t xml:space="preserve"> SO2 and NOx emissions from European shipping: a measurement study — https://doi.org/10.5194/egusphere-egu24-10092</w:t>
      </w:r>
    </w:p>
    <w:p>
      <w:pPr/>
      <w:r>
        <w:rPr>
          <w:b/>
        </w:rPr>
        <w:t>Shared claim-specific concepts:</w:t>
      </w:r>
      <w:r>
        <w:t xml:space="preserve"> also, emissions, envisaged, reduction, co2, various; EU scope visible. This is a provisional connection, not an outcome finding.</w:t>
      </w:r>
    </w:p>
    <w:p>
      <w:pPr>
        <w:pStyle w:val="SourceNote"/>
      </w:pPr>
      <w:r>
        <w:rPr>
          <w:b/>
        </w:rPr>
        <w:t>Available abstract (not full text):</w:t>
      </w:r>
      <w:r>
        <w:t xml:space="preserve"> The shipping industry is a significant source of both SO2 and NOx, two air pollutants which have neg-active implications for climate and air quality. SO2 is heavily regulated such that January 2020 marked a global reduction of the maximum permitted sulfur fuel content (SFC) in shipping fuel from 3.5% to 0.5% by mass. There are also various limits on NOx in coastal and inland waterways with more widespread NOx emissions limits likely to be implemented in the future. The anticipated effect of the new regulations is an improvement of coastal air quality, but there is a potential drawback in terms of reducing the climate cooling effect of SO2 caused by a change in cloud properties. However, the difficulty in measuring emissions from ships means that the overall impact and level of compliance with new and future regulations is unclear. Therefore, monitoring strategies capable of providing regular and long-term measurements of air pollutant emissions from the shipping industry are essential for fundamental research and compliance monitoring. Here we present top-down methodologies for calculating the SFC, along with emission ratios of ∆NOx/∆CO2 from individual ships. First, we demonstrate the application of an airborne platform to perform targeted measurements of ship plumes in the English Channel and Atlantic shipping lanes, allowing the comparison of emissions inside and out of sulf</w:t>
      </w:r>
    </w:p>
    <w:p>
      <w:pPr/>
      <w:r>
        <w:rPr>
          <w:b/>
        </w:rPr>
        <w:t>POSSIBLE 2024:</w:t>
      </w:r>
      <w:r>
        <w:t xml:space="preserve"> Comparative Analysis of Agricultural Emissions Across European Countries — https://doi.org/10.2478/rtuect-2024-0057</w:t>
      </w:r>
    </w:p>
    <w:p>
      <w:pPr/>
      <w:r>
        <w:rPr>
          <w:b/>
        </w:rPr>
        <w:t>Shared claim-specific concepts:</w:t>
      </w:r>
      <w:r>
        <w:t xml:space="preserve"> also, emissions, reduction; EU scope visible. This is a provisional connection, not an outcome finding.</w:t>
      </w:r>
    </w:p>
    <w:p>
      <w:pPr>
        <w:pStyle w:val="SourceNote"/>
      </w:pPr>
      <w:r>
        <w:rPr>
          <w:b/>
        </w:rPr>
        <w:t>Available abstract (not full text):</w:t>
      </w:r>
      <w:r>
        <w:t xml:space="preserve"> Abstract Agriculture is one of the main sources of greenhouse gas (GHG) emissions and has great potential for mitigating climate change. For example, agriculture in Latvia was the second largest sector of GHG emissions after energy with a 22.2 % share of total GHG emissions in 2022. The study aims to compare and analyse the amount of GHG emissions generated by agriculture per domestic product (GDP) and population in different European countries. The ambitious goals set in Europe for 2030 envisage a 30 % reduction in the industry, however, in some countries, these indicators have not only decreased in recent years but also increased. The structure of GHG emissions in 2022 in Europe is as follows: intestinal fermentation (181.1 MtCO 2 e), agricultural soils (112.9 MtCO 2 e), and manure management (61.7 MtCO 2 e). Agriculture is one of the main sources of GHG emissions and has great potential for mitigating climate change. This study aims to compare and analyze GHG emissions from agriculture in European countries against GDP, GDP against population, and population in 2022.</w:t>
      </w:r>
    </w:p>
    <w:p>
      <w:pPr/>
      <w:r>
        <w:rPr>
          <w:b/>
        </w:rPr>
        <w:t>POSSIBLE 2024:</w:t>
      </w:r>
      <w:r>
        <w:t xml:space="preserve"> Give and take: An analysis of the distributional consequences of emission tax-and-rebate schemes with an application to greenhouse gas emissions from European agriculture — https://doi.org/10.1016/j.ecolecon.2024.108154</w:t>
      </w:r>
    </w:p>
    <w:p>
      <w:pPr/>
      <w:r>
        <w:rPr>
          <w:b/>
        </w:rPr>
        <w:t>Shared claim-specific concepts:</w:t>
      </w:r>
      <w:r>
        <w:t xml:space="preserve"> also, emissions, various; EU scope visible. This is a provisional connection, not an outcome finding.</w:t>
      </w:r>
    </w:p>
    <w:p>
      <w:pPr>
        <w:pStyle w:val="SourceNote"/>
      </w:pPr>
      <w:r>
        <w:rPr>
          <w:b/>
        </w:rPr>
        <w:t>Available abstract (not full text):</w:t>
      </w:r>
      <w:r>
        <w:t xml:space="preserve"> The potential regressivity of an emission tax is a major obstacle to the implementation of this otherwise cost-effective instrument. Rebates may help overcome this difficulty. Their distributional consequences depend on their design and the distribution of agents’ initial emissions and abatement costs. We develop a stylized analytical framework to derive general conditions under which a tax-and-rebate scheme increases income inequality and compare the performances of various rebate designs. This framework is applied to the regulation of greenhouse gas emissions from European agriculture. An emission tax with no rebate is found to substantially reduce agricultural emissions (by approximately −15% for a 100 €/tCO2eq tax), but also strongly affect the total sector income (approximately −20% with the same tax rate) as well as increase income inequality. A flat rebate considerably reduces income inequality relative to pre-policy levels. For the same impacts on aggregate income and budget, a rebate proportional to initial emissions leaves pre-existing inequality virtually unchanged. A well-designed rebate can thus be critical for the acceptability of climate policy instruments.</w:t>
      </w:r>
    </w:p>
    <w:p>
      <w:pPr/>
      <w:r>
        <w:rPr>
          <w:b/>
        </w:rPr>
        <w:t>POSSIBLE 2024:</w:t>
      </w:r>
      <w:r>
        <w:t xml:space="preserve"> Soil bulk density assessment in Europe — https://doi.org/10.1016/j.agee.2024.108907</w:t>
      </w:r>
    </w:p>
    <w:p>
      <w:pPr/>
      <w:r>
        <w:rPr>
          <w:b/>
        </w:rPr>
        <w:t>Shared claim-specific concepts:</w:t>
      </w:r>
      <w:r>
        <w:t xml:space="preserve"> showed, about, three;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2024:</w:t>
      </w:r>
      <w:r>
        <w:t xml:space="preserve"> Editorial: Enterovirus surveillance in Europe and beyond — https://doi.org/10.3389/fviro.2024.1515652</w:t>
      </w:r>
    </w:p>
    <w:p>
      <w:pPr/>
      <w:r>
        <w:rPr>
          <w:b/>
        </w:rPr>
        <w:t>Shared claim-specific concepts:</w:t>
      </w:r>
      <w:r>
        <w:t xml:space="preserve"> also, showed, decrease, lead, number; EU scope visible. This is a provisional connection, not an outcome finding.</w:t>
      </w:r>
    </w:p>
    <w:p>
      <w:pPr>
        <w:pStyle w:val="SourceNote"/>
      </w:pPr>
      <w:r>
        <w:rPr>
          <w:b/>
        </w:rPr>
        <w:t>Available abstract (not full text):</w:t>
      </w:r>
      <w:r>
        <w:t xml:space="preserve"> The study by Johannsen et al (8) on EV infections linked to hospitalizations and outpatient visits in Denmark 2015-2022, shows that while the COVID-19 pandemic led to a drastic decrease in number of cases reported, it has not affected the seasonal patterns (also seen by Ursic et al, Landaas et al and Dudman et al (1,2,9)). Central nervous system (CNS) infections were commonly found among neonates in hospitalized settings, while skin infections were more common among outpatients. The age distribution of patients with CNS infection and skin infections remained similar before and after the pandemic, with neonates commonly affected with CNS infections and children aged 1-2 years with skin infections respectively. Of interest is that Dudman et al (9), who studied EV infections from 2016-2022 noted an increase in detection skin infections with coxsackievirus A6 (CVA6), a virus most often associated with skin infections and in particular atypical hand foot and mouth disease. The dominance of CVA6 continued also after the COVID-19 pandemic.In a similar study period, Ursic et al showed a similar seasonal pattern of EV circulation for 2014 and 2016. In addition, they demonstrated EV-D68 circulation in Slovenia during the biannual years pre COVID-19 pandemic, 2014-2016, and hardly any cases after that. Landaas et al (2)also showed also an upsurge of EV-D68 cases in these two years in Norw</w:t>
      </w:r>
    </w:p>
    <w:p>
      <w:pPr>
        <w:pStyle w:val="Heading2"/>
      </w:pPr>
      <w:r>
        <w:t>689. The convergence or divergence of labour resources in Poland?</w:t>
      </w:r>
    </w:p>
    <w:p>
      <w:pPr>
        <w:pStyle w:val="SourceNote"/>
      </w:pPr>
      <w:r>
        <w:rPr>
          <w:b/>
        </w:rPr>
        <w:t>Original source (2020):</w:t>
      </w:r>
      <w:r>
        <w:t xml:space="preserve"> https://doi.org/10.15611/pn.2020.4.07</w:t>
      </w:r>
    </w:p>
    <w:p>
      <w:pPr/>
      <w:r>
        <w:t>Original wording (abstract; indexed_source_text_not_full_document_verified): Eurostat’s projections indicate that by 2050 Poland will see a significant reduction in and ageing of its labour resources.</w:t>
      </w:r>
    </w:p>
    <w:p>
      <w:pPr/>
      <w:r>
        <w:rPr>
          <w:b/>
        </w:rPr>
        <w:t>POSSIBLE 2026:</w:t>
      </w:r>
      <w:r>
        <w:t xml:space="preserve"> Beyond the IRENA baseline: Mapping end-of-life photovoltaic waste flows across EU-27 using Weibull lifetime distributions screened against Eurostat data and updated efficiency scenarios — https://doi.org/10.1016/j.renene.2026.126404</w:t>
      </w:r>
    </w:p>
    <w:p>
      <w:pPr/>
      <w:r>
        <w:rPr>
          <w:b/>
        </w:rPr>
        <w:t>Shared claim-specific concepts:</w:t>
      </w:r>
      <w:r>
        <w:t xml:space="preserve"> eurostat, projections, indicate, significant; EU scope visible. This is a provisional connection, not an outcome finding.</w:t>
      </w:r>
    </w:p>
    <w:p>
      <w:pPr>
        <w:pStyle w:val="SourceNote"/>
      </w:pPr>
      <w:r>
        <w:rPr>
          <w:b/>
        </w:rPr>
        <w:t>Available abstract (not full text):</w:t>
      </w:r>
      <w:r>
        <w:t xml:space="preserve"> As the European Union accelerates photovoltaic deployment to achieve the milestones outlined in the 2025 National Energy and Climate Plans, accurate waste forecasting emerges as a significant challenge for the circular economy. This study re-evaluates EU-27 PV waste projections through 2050, comparing theoretical models with available empirical Eurostat collection data. Findings indicate that the standard IRENA Regular Loss model systematically underestimates waste generation, resulting in collection rates that exceed 200%. A new scenario, RL NEW , is proposed, featuring a revised Weibull parameterization and an updated time-variable mass-to-capacity transformation function. This alternative baseline scenario, screened for consistency against Eurostat aggregate data, forecasts cumulative 2025 waste volumes that are 214% higher than previous estimates. For the first time, projections are disaggregated by application, revealing a rooftop-dominated market in which 60% of waste necessitates decentralized logistics. The analysis identifies a bifurcated challenge: established operators should expand capacity to manage 65% of the European Union’s waste, while rapidly growing markets encounter surges up to 12,000-fold. Additionally, the Collection Difficulty Index is introduced to quantify the logistical impact of waste stream fragmentation, identifying a "Logistical Pivot" around 2030</w:t>
      </w:r>
    </w:p>
    <w:p>
      <w:pPr/>
      <w:r>
        <w:rPr>
          <w:b/>
        </w:rPr>
        <w:t>POSSIBLE 2026:</w:t>
      </w:r>
      <w:r>
        <w:t xml:space="preserve"> Impact of climate change on human mortality patterns — https://doi.org/10.48676/unibo/amsdottorato/13040</w:t>
      </w:r>
    </w:p>
    <w:p>
      <w:pPr/>
      <w:r>
        <w:rPr>
          <w:b/>
        </w:rPr>
        <w:t>Shared claim-specific concepts:</w:t>
      </w:r>
      <w:r>
        <w:t xml:space="preserve"> eurostat, projections, indicate; EU scope visible. This is a provisional connection, not an outcome finding.</w:t>
      </w:r>
    </w:p>
    <w:p>
      <w:pPr>
        <w:pStyle w:val="SourceNote"/>
      </w:pPr>
      <w:r>
        <w:rPr>
          <w:b/>
        </w:rPr>
        <w:t>Available abstract (not full text):</w:t>
      </w:r>
      <w:r>
        <w:t xml:space="preserve"> The increasing frequency and intensity of extreme weather events pose a growing public health threat. Evidence consistently demonstrates that the mortality risks associated with weather and climate extremes are not uniformly distributed, reflecting substantial geographical and social disparities. This thesis investigates global and European patterns of mortality risks related to extreme weather events, emphasizing population heterogeneity, regional and social vulnerabilities. Specifically, the thesis advances current understanding by (1) systematically synthesizing global evidence on climate-related mortality, (2) empirically examining the determinants of temperature related mortality across Europe, and (3) projecting future mortality under varying climate and socioeconomic scenarios. In the first part, a systematic review of quantitative observational studies is conducted using Web of Science and Scopus, following PRISMA guidelines. The second study involves an empirical analysis of Eurostat sub-national mortality data for adults aged 65 and above across 30 European countries (2014–2023) based on Poisson fixed-effects regression. In the third study, future projections of temperature-related mortality outcomes for 28 European countries are performed using socioeconomic and greenhouse gas emissions (SSP–RCP) scenarios. Key findings from the systematic literature review highlight</w:t>
      </w:r>
    </w:p>
    <w:p>
      <w:pPr/>
      <w:r>
        <w:rPr>
          <w:b/>
        </w:rPr>
        <w:t>POSSIBLE 2026:</w:t>
      </w:r>
      <w:r>
        <w:t xml:space="preserve"> Energy Supply Shocks and Inflation in Central and Eastern Europe: Evidence from Bayesian SVARs and Local Projections — https://doi.org/10.3390/commodities5030017</w:t>
      </w:r>
    </w:p>
    <w:p>
      <w:pPr/>
      <w:r>
        <w:rPr>
          <w:b/>
        </w:rPr>
        <w:t>Shared claim-specific concepts:</w:t>
      </w:r>
      <w:r>
        <w:t xml:space="preserve"> projections, indicate, poland; EU scope visible. This is a provisional connection, not an outcome finding.</w:t>
      </w:r>
    </w:p>
    <w:p>
      <w:pPr>
        <w:pStyle w:val="SourceNote"/>
      </w:pPr>
      <w:r>
        <w:rPr>
          <w:b/>
        </w:rPr>
        <w:t>Available abstract (not full text):</w:t>
      </w:r>
      <w:r>
        <w:t xml:space="preserve"> Energy price shocks have been the main drivers of inflation in Europe during the last decade. This paper examines cross-country differences in the transmission and magnitude of energy supply shocks in the Visegrád Group countries (Poland, Czechia, Hungary, and Slovakia) over the period 2015–2026. To identify energy-related disturbances and evaluate their macroeconomic effects, we estimate Bayesian Structural Vector Autoregressive (BSVAR) models with sign restrictions and complement the analysis with Local Projections. The results indicate substantial heterogeneity in inflation responses across countries. Oil supply shocks increase inflation by approximately 0.8 percentage points in Czechia and 0.7 percentage points in Hungary, compared with around 0.5 percentage points in Poland and Slovakia. Similar response patterns are observed for gas supply shocks, suggesting that stronger commodity price pass-through contributes to the larger inflationary effects in Czechia and Hungary. The analysis also reveals methodological challenges in identifying the effects of increased LNG imports. Both models indicate LNG-related shocks are highly correlated with pipeline gas supply shocks. In fact, its imports have mitigated energy shortages and reduced price pressures.</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eurostat, projections, indicate, significant, ageing, labour;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2025:</w:t>
      </w:r>
      <w:r>
        <w:t xml:space="preserve"> The burden of informal family caregiving in Europe, 2000–2050: a microsimulation modelling study — https://doi.org/10.1016/j.lanepe.2025.101295</w:t>
      </w:r>
    </w:p>
    <w:p>
      <w:pPr/>
      <w:r>
        <w:rPr>
          <w:b/>
        </w:rPr>
        <w:t>Shared claim-specific concepts:</w:t>
      </w:r>
      <w:r>
        <w:t xml:space="preserve"> eurostat, projections, indicate; EU scope visible. This is a provisional connection, not an outcome finding.</w:t>
      </w:r>
    </w:p>
    <w:p>
      <w:pPr>
        <w:pStyle w:val="SourceNote"/>
      </w:pPr>
      <w:r>
        <w:rPr>
          <w:b/>
        </w:rPr>
        <w:t>Available abstract (not full text):</w:t>
      </w:r>
      <w:r>
        <w:t xml:space="preserve"> Background: The demand for informal care in Europe is increasing, with family members often providing essential support. However, the future burden of informal family caregiving remains unclear. This study estimates and projects trends in the burden of family caregiving across 31 European countries from 2000 to 2050. Methods: We developed a demographic microsimulation model to estimate and project family care burden. The model produces virtual populations with realistic kinship networks and health trajectories over time. From these kinship structures, we defined a novel metric - Years Lived Caregiving for older relatives (YLCs). It accounts for care recipients' disability severity, care dynamics within kinship networks, and national institutional care capacity. Model inputs included demographic data from UN World Population Prospects, marital statistics from Eurostat, disease prevalence from the Global Burden of Disease study, and microdata from the SHARE survey. Findings: From 2000 to 2050, in Europe the overall burden for informal care is projected to increase by +49.7% (95% UI 45-53.6), from 7.98 (7.65-8.28) to 11.9 (11.4-12.5) million YLC. Musculoskeletal disorders are the largest cause of care burden, contributing to 2.3 (2.18-2.42) million YLC in 2050. Burden of informal care is disproportionally higher for women, although the gender gap is in a descending trend. Interpre</w:t>
      </w:r>
    </w:p>
    <w:p>
      <w:pPr/>
      <w:r>
        <w:rPr>
          <w:b/>
        </w:rPr>
        <w:t>POSSIBLE 2024:</w:t>
      </w:r>
      <w:r>
        <w:t xml:space="preserve"> Patterns of aortic valve replacement in Europe and adoption by sex — https://doi.org/10.1016/j.ijcard.2024.131996</w:t>
      </w:r>
    </w:p>
    <w:p>
      <w:pPr/>
      <w:r>
        <w:rPr>
          <w:b/>
        </w:rPr>
        <w:t>Shared claim-specific concepts:</w:t>
      </w:r>
      <w:r>
        <w:t xml:space="preserve"> eurostat, poland, significant; EU scope visible. This is a provisional connection, not an outcome finding.</w:t>
      </w:r>
    </w:p>
    <w:p>
      <w:pPr>
        <w:pStyle w:val="SourceNote"/>
      </w:pPr>
      <w:r>
        <w:rPr>
          <w:b/>
        </w:rPr>
        <w:t>Available abstract (not full text):</w:t>
      </w:r>
      <w:r>
        <w:t xml:space="preserve"> OBJECTIVE: Management of patients with severe aortic stenosis (AS) may differ according to the patient sex. This study aimed to describe patterns of aortic valve replacement (AVR) for severe AS across Europe, including stratification by sex. METHODS: Procedure volume data for surgical aortic valve replacement (SAVR) and transcatheter aortic valve implantation (TAVI) for six years (2015-2020) were extracted from national databases for Austria, Czech Republic, Denmark, England, Finland, France, Germany, Norway, Poland, Spain, Sweden, and Switzerland and stratified by sex. Patients per million population (PPM) undergoing AVR per year were calculated using population estimates from Eurostat. RESULTS: Between 2015 and 2019, AVR procedures grew at an average annual rate of 3.9%. In 2020, the average total PPM undergoing AVR across all countries was 339, with 51% of procedures being TAVI and 49% SAVR. AVR PPM varied widely between countries, with the highest and lowest in Germany and Poland, respectively. The average total PPM was higher for men than women (423 vs. 258), but a higher proportion of women (62%) than men (44%) received TAVI. The proportion of TAVI among total AVR procedures increased with age, with an overall average of 96% of men and 98% of women aged ≥85 years receiving TAVI; however, adoption of TAVI varied by country. CONCLUSIONS: The analysis of temporal trends in t</w:t>
      </w:r>
    </w:p>
    <w:p>
      <w:pPr/>
      <w:r>
        <w:rPr>
          <w:b/>
        </w:rPr>
        <w:t>POSSIBLE 2022:</w:t>
      </w:r>
      <w:r>
        <w:t xml:space="preserve"> Convergence of Population Structures of the European Union Member States—The Past and the Future — https://doi.org/10.3390/su14021024</w:t>
      </w:r>
    </w:p>
    <w:p>
      <w:pPr/>
      <w:r>
        <w:rPr>
          <w:b/>
        </w:rPr>
        <w:t>Shared claim-specific concepts:</w:t>
      </w:r>
      <w:r>
        <w:t xml:space="preserve"> eurostat, projections, indicate, see, significant, ageing; EU scope visible. This is a provisional connection, not an outcome finding.</w:t>
      </w:r>
    </w:p>
    <w:p>
      <w:pPr>
        <w:pStyle w:val="SourceNote"/>
      </w:pPr>
      <w:r>
        <w:rPr>
          <w:b/>
        </w:rPr>
        <w:t>Available abstract (not full text):</w:t>
      </w:r>
      <w:r>
        <w:t xml:space="preserve"> The Eurostat projections indicate that, by 2050, most of the European Union member states will see a fall in their population size, a drop in the share of young people, and a simultaneous rise in the share of elderly persons. There exist visible disproportions in the population structures between the EU countries, and the ageing of the population has two dimensions: it is occurring from the top down and from the bottom up. The goal of the study was to assess the stage of advancement and diversity of the ageing of population in the past and in the year 2050. Convergence models were designed for ten variables (indicators for structures by age, demographic dependency, median age) and a synthetic variable characterising the stage of advancement of the ageing of the structures. The occurrence of beta- and sigma-convergence of population structures in EU-27 in the years 2004–2020 and 2020–2050 were verified. The results indicate that absolute beta-convergence of the variables characterising the population structures in the EU countries happened in the past and will happen in around 2050. No unambiguous proof has been found for sigma-convergence, i.e., for any significant decrease over time in the diversity between the countries in terms of the studied variables that characterise the ageing process. In the past, the bottom-up ageing has occurred faster than the top-down ageing, while,</w:t>
      </w:r>
    </w:p>
    <w:p>
      <w:pPr/>
      <w:r>
        <w:rPr>
          <w:b/>
        </w:rPr>
        <w:t>POSSIBLE 2021:</w:t>
      </w:r>
      <w:r>
        <w:t xml:space="preserve"> Current and projected regional economic impacts of heatwaves in Europe — https://doi.org/10.1038/s41467-021-26050-z</w:t>
      </w:r>
    </w:p>
    <w:p>
      <w:pPr/>
      <w:r>
        <w:rPr>
          <w:b/>
        </w:rPr>
        <w:t>Shared claim-specific concepts:</w:t>
      </w:r>
      <w:r>
        <w:t xml:space="preserve"> projections, indicate, labour;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690. The development of a system of «green» skills in the strategizing of labor resources of industrial enterprises</w:t>
      </w:r>
    </w:p>
    <w:p>
      <w:pPr>
        <w:pStyle w:val="SourceNote"/>
      </w:pPr>
      <w:r>
        <w:rPr>
          <w:b/>
        </w:rPr>
        <w:t>Original source (2020):</w:t>
      </w:r>
      <w:r>
        <w:t xml:space="preserve"> https://doi.org/10.17073/2072-1633-2019-4-484-493</w:t>
      </w:r>
    </w:p>
    <w:p>
      <w:pPr/>
      <w:r>
        <w:t>Original wording (abstract; indexed_source_text_not_full_document_verified): The article presents the forecasts of the International Labor Organization until 2030 of a change in the need for professions, professional fields and related skills of subordinates and managers.</w:t>
      </w:r>
    </w:p>
    <w:p>
      <w:pPr/>
      <w:r>
        <w:rPr>
          <w:b/>
        </w:rPr>
        <w:t>POSSIBLE 2026:</w:t>
      </w:r>
      <w:r>
        <w:t xml:space="preserve"> FORECASTS OF THE NUMBER OF CATTLE GRAZED ON PASTURES IN THE REPUBLIC OF KARAKALPAKSTAN — https://doi.org/10.5281/zenodo.21772231</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This article presents forecasts for 2027–2031 of the total cattle population and the number of cattle grazedon pastures in the Republic of Karakalpakstan. The analysis is based on annual time-series data for 2010–2026 andemploys the Augmented Dickey–Fuller test, correlogram analysis and ARMAX models. A trend ARMAX (0,0,1) specificationwas selected for the total cattle population, while a quadratic-trend ARMAX(2,0,1) model was selected for pasture-grazedcattle. The forecast suggests that by 2031 the total cattle population may reach 1,483,420 heads and the pasture-grazedcattle population may reach 73,734 heads. The findings can be used to plan pasture load and support evidence-basedlivestock-management decisions.</w:t>
      </w:r>
    </w:p>
    <w:p>
      <w:pPr/>
      <w:r>
        <w:rPr>
          <w:b/>
        </w:rPr>
        <w:t>POSSIBLE 2026:</w:t>
      </w:r>
      <w:r>
        <w:t xml:space="preserve"> FORECASTS OF THE NUMBER OF CATTLE GRAZED ON PASTURES IN THE REPUBLIC OF KARAKALPAKSTAN — https://openalex.org/W7220162741</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This article presents forecasts for 2027–2031 of the total cattle population and the number of cattle grazedon pastures in the Republic of Karakalpakstan. The analysis is based on annual time-series data for 2010–2026 andemploys the Augmented Dickey–Fuller test, correlogram analysis and ARMAX models. A trend ARMAX (0,0,1) specificationwas selected for the total cattle population, while a quadratic-trend ARMAX(2,0,1) model was selected for pasture-grazedcattle. The forecast suggests that by 2031 the total cattle population may reach 1,483,420 heads and the pasture-grazedcattle population may reach 73,734 heads. The findings can be used to plan pasture load and support evidence-basedlivestock-management decisions.</w:t>
      </w:r>
    </w:p>
    <w:p>
      <w:pPr/>
      <w:r>
        <w:rPr>
          <w:b/>
        </w:rPr>
        <w:t>POSSIBLE 2026:</w:t>
      </w:r>
      <w:r>
        <w:t xml:space="preserve"> Forecasting flight delays in Poland using the Holt-Winters method — https://doi.org/10.5604/01.3001.0055.9300</w:t>
      </w:r>
    </w:p>
    <w:p>
      <w:pPr/>
      <w:r>
        <w:rPr>
          <w:b/>
        </w:rPr>
        <w:t>Shared claim-specific concepts:</w:t>
      </w:r>
      <w:r>
        <w:t xml:space="preserve"> article, presents, forecasts, need; EU scope visible. This is a provisional connection, not an outcome finding.</w:t>
      </w:r>
    </w:p>
    <w:p>
      <w:pPr>
        <w:pStyle w:val="SourceNote"/>
      </w:pPr>
      <w:r>
        <w:rPr>
          <w:b/>
        </w:rPr>
        <w:t>Available abstract (not full text):</w:t>
      </w:r>
      <w:r>
        <w:t xml:space="preserve"> This article presents forecasts of flight delays in the Polish airspace developed using the Holt-Winters model. The analysis covers monthly time series data from 2016 to 2025 for major airports, taking into account nine categories of delays, including reactionary, operational and weather-related delays. Using exponential smoothing models with trend and seasonality, optimized based on MAE and MAPE errors, the study demonstrated strong seasonality and upward trends in reactionary delays and capacity constraints. Forecasts for 2027–2035 predict an increase in the overall level of delays, accompanied by a decrease in delays generated directly by airlines. The results highlight the key role of the domino effect (reactionary delays) and emphasize the need to optimize air traffic management.</w:t>
      </w:r>
    </w:p>
    <w:p>
      <w:pPr/>
      <w:r>
        <w:rPr>
          <w:b/>
        </w:rPr>
        <w:t>POSSIBLE 2026:</w:t>
      </w:r>
      <w:r>
        <w:t xml:space="preserve"> Theory and Practice of Gas Consumption Forecasting in Planning the Development of Regional Gas Supply Systems — https://doi.org/10.1134/s1075700725700935</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Abstract— Gas consumption forecasting is essential for decision-making regarding the operation and development of the gas industry, a key sector within the nation’s fuel and energy complex. This article focuses specifically on medium-term consumption forecasts for a region—a federal subject of the Russian Federation. Such forecasts are required for developing and adjusting regional gas supply schemes. A forecast must account for the sequence of prior decisions and their actual implementation, as well as requests from potential consumers for natural gas service connection. The primary recommended methodology for medium-term forecasting is based on factor analysis approaches. The article presents forecasting results for nine Russian regions. These case studies convincingly demonstrate the advisability of segmenting regional consumption into three to four sectors; incorporating three climatic factors, rather than one, into models; and reducing the number of a priori selected socio-economic factors based on the analysis results.</w:t>
      </w:r>
    </w:p>
    <w:p>
      <w:pPr/>
      <w:r>
        <w:rPr>
          <w:b/>
        </w:rPr>
        <w:t>POSSIBLE 2026:</w:t>
      </w:r>
      <w:r>
        <w:t xml:space="preserve"> Density forecasting: A survey — https://doi.org/10.82444/warw.33523213</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A density forecast of the realization of a random variable at some future time is an estimate of the probability distribution of the possible future values of that variable. This article presents a selective survey of applications of density forecasting in macroeconomics and finance, and discusses some issues concerning the production, presentation, and evaluation of density forecasts. Copyright (C) 2000 John Wiley &amp; Sons, Ltd.</w:t>
      </w:r>
    </w:p>
    <w:p>
      <w:pPr/>
      <w:r>
        <w:rPr>
          <w:b/>
        </w:rPr>
        <w:t>POSSIBLE 2026:</w:t>
      </w:r>
      <w:r>
        <w:t xml:space="preserve"> AI Displacement Risk in the Labor Market: Evidence, Exposure, and the Imperative for Adaptive Organizational Strategy — https://doi.org/10.70175/hclreview.2020.33.2.6</w:t>
      </w:r>
    </w:p>
    <w:p>
      <w:pPr/>
      <w:r>
        <w:rPr>
          <w:b/>
        </w:rPr>
        <w:t>Shared claim-specific concepts:</w:t>
      </w:r>
      <w:r>
        <w:t xml:space="preserve"> article, presents, labor, skills; EU scope not established. This is a provisional connection, not an outcome finding.</w:t>
      </w:r>
    </w:p>
    <w:p>
      <w:pPr>
        <w:pStyle w:val="SourceNote"/>
      </w:pPr>
      <w:r>
        <w:rPr>
          <w:b/>
        </w:rPr>
        <w:t>Available abstract (not full text):</w:t>
      </w:r>
      <w:r>
        <w:t xml:space="preserve"> Artificial intelligence—particularly generative large language models (LLMs)—presents organizations with a transformative technology whose labor market implications remain nascent yet consequential. This article synthesizes emerging empirical research on AI-driven job displacement and augmentation, focusing on the gap between theoretical automation potential and observed real-world implementation. Drawing on recent studies that combine task-level exposure metrics with employment and usage data, it examines which occupations face greatest risk, how demographic characteristics intersect with exposure, and the limited but suggestive early evidence of labor market disruption. The article then proposes evidence-based organizational responses—ranging from transparent workforce planning and skills investment to redesigned roles and adaptive governance—alongside long-term capability-building strategies. By grounding recommendations in validated research, this work offers leaders a framework for navigating AI's labor implications responsibly, mitigating harm, and preparing for an accelerating pace of workplace transformation.</w:t>
      </w:r>
    </w:p>
    <w:p>
      <w:pPr/>
      <w:r>
        <w:rPr>
          <w:b/>
        </w:rPr>
        <w:t>POSSIBLE 2026:</w:t>
      </w:r>
      <w:r>
        <w:t xml:space="preserve"> FORECAST OF AGRICULTURAL AND RURAL TERRITORY DEVELOPMENT, TAKING INTO ACCOUNT DIVERSIFICATION OF ACTIVITIES BASED ON AGRICULTURAL TOURISM — https://doi.org/10.33305/263-124</w:t>
      </w:r>
    </w:p>
    <w:p>
      <w:pPr/>
      <w:r>
        <w:rPr>
          <w:b/>
        </w:rPr>
        <w:t>Shared claim-specific concepts:</w:t>
      </w:r>
      <w:r>
        <w:t xml:space="preserve"> article, presents, forecasts; EU scope not established. This is a provisional connection, not an outcome finding.</w:t>
      </w:r>
    </w:p>
    <w:p>
      <w:pPr>
        <w:pStyle w:val="SourceNote"/>
      </w:pPr>
      <w:r>
        <w:rPr>
          <w:b/>
        </w:rPr>
        <w:t>Available abstract (not full text):</w:t>
      </w:r>
      <w:r>
        <w:t xml:space="preserve"> The development of rural areas and agriculture are interrelated, and the results of their development indicate strategic planning problems. Among the various areas of diversification, agritourism is the most significant for the development of agriculture and rural areas, combining the development of the territory and production into a single system and creating a synergistic effect. As an additional type of activity of agricultural producers, it is not a substitute, but stimulating the main production. This article presents forecasts for the development of agriculture and rural areas of the study region (using the example of the Kostroma region), taking into account the factor of their diversification based on agricultural tourism. Two types of forecasts have been developed: inertial and scenario. Inertial forecasts are built using trends based on the assumption that the prevailing trends are unchanged. Scenario forecasts take into account the impact of the development of agritourism on the indicators of agriculture and rural areas. Inertial and scenario forecasts of the main indicative indicators at different levels of the economic system in the studied region give different results. The developed forecasts can make it possible to carry out program-targeted planning, assess the effectiveness of the implementation of state regional programs, and adjust control actions.</w:t>
      </w:r>
    </w:p>
    <w:p>
      <w:pPr/>
      <w:r>
        <w:rPr>
          <w:b/>
        </w:rPr>
        <w:t>POSSIBLE 2025:</w:t>
      </w:r>
      <w:r>
        <w:t xml:space="preserve"> Review of Methods and Models for Forecasting Electricity Consumption — https://doi.org/10.3390/en18154032</w:t>
      </w:r>
    </w:p>
    <w:p>
      <w:pPr/>
      <w:r>
        <w:rPr>
          <w:b/>
        </w:rPr>
        <w:t>Shared claim-specific concepts:</w:t>
      </w:r>
      <w:r>
        <w:t xml:space="preserve"> article, presents, forecasts, need; EU scope not established. This is a provisional connection, not an outcome finding.</w:t>
      </w:r>
    </w:p>
    <w:p>
      <w:pPr>
        <w:pStyle w:val="SourceNote"/>
      </w:pPr>
      <w:r>
        <w:rPr>
          <w:b/>
        </w:rPr>
        <w:t>Available abstract (not full text):</w:t>
      </w:r>
      <w:r>
        <w:t xml:space="preserve"> This article presents a comprehensive review of methods used for forecasting electricity consumption. The studies analyzed by the authors encompass both classical statistical models and modern approaches based on artificial intelligence, including machine-learning and deep-learning techniques. Electricity load forecasting is categorized into four time horizons: very short term, short term, medium term, and long term. The authors conducted a comparative analysis of various models, such as autoregressive models, neural networks, fuzzy logic systems, hybrid models, and evolutionary algorithms. Particular attention was paid to the effectiveness of these methods in the context of variable input data, such as weather conditions, seasonal fluctuations, and changes in energy consumption patterns. The article emphasizes the growing importance of accurate forecasts in the context of the energy transition, integration of renewable energy sources, and the management of the evolving electricity system, shaped by decentralization, renewable integration, and data-intensive forecasting demands. In conclusion, the authors highlight the lack of a universal forecasting approach and the need for further research on hybrid models that combine interpretability with high predictive accuracy. This review can serve as a valuable resource for decision-makers, grid operators, and researchers involved in </w:t>
      </w:r>
    </w:p>
    <w:p>
      <w:pPr/>
      <w:r>
        <w:rPr>
          <w:b/>
        </w:rPr>
        <w:t>POSSIBLE 2025:</w:t>
      </w:r>
      <w:r>
        <w:t xml:space="preserve"> THE IMPROVEMENT OF PERSONNEL LABOR ORGANIZATION IN SERVICE SECTOR: THE INFLUENCE OF BRANCH FEATURES — https://doi.org/10.55421/2499992x_2025_5_38</w:t>
      </w:r>
    </w:p>
    <w:p>
      <w:pPr/>
      <w:r>
        <w:rPr>
          <w:b/>
        </w:rPr>
        <w:t>Shared claim-specific concepts:</w:t>
      </w:r>
      <w:r>
        <w:t xml:space="preserve"> article, presents, labor, organization, need; EU scope not established. This is a provisional connection, not an outcome finding.</w:t>
      </w:r>
    </w:p>
    <w:p>
      <w:pPr>
        <w:pStyle w:val="SourceNote"/>
      </w:pPr>
      <w:r>
        <w:rPr>
          <w:b/>
        </w:rPr>
        <w:t>Available abstract (not full text):</w:t>
      </w:r>
      <w:r>
        <w:t xml:space="preserve"> The article presents proposals for selecting priority areas of improving labor organization at a service enterprise. First of all, the management of a service enterprise is recommended to pay attention to the efficiency of employee labor (labor productivity). The author's view on the relationship between such concepts as labor efficiency, labor productivity, and key performance indicators is presented. The features of applying these concepts specifically in the service sector are analyzed. The conclusion is substantiated about the need to apply the concept of «labor efficiency» in the activities of a service enterprise because this concept the most accurately reflects the industry-specific features of the service sector. Recommendations are formulated for selecting units of measurement when calculating and analyzing labor efficiency indicators for personnel of a service enterprise. Possible difficulties in interpreting the results of evaluating the efficiency of personnel are analyzed...</w:t>
      </w:r>
    </w:p>
    <w:p>
      <w:pPr/>
      <w:r>
        <w:rPr>
          <w:b/>
        </w:rPr>
        <w:t>POSSIBLE 2025:</w:t>
      </w:r>
      <w:r>
        <w:t xml:space="preserve"> Monitoring of the Organization of Professional and Labor Education of Students in Vocational Education Institutions of the Moscow Region — https://doi.org/10.12737/1998-1740-2025-13-1-3-10</w:t>
      </w:r>
    </w:p>
    <w:p>
      <w:pPr/>
      <w:r>
        <w:rPr>
          <w:b/>
        </w:rPr>
        <w:t>Shared claim-specific concepts:</w:t>
      </w:r>
      <w:r>
        <w:t xml:space="preserve"> article, presents, labor, organization, professional, managers; EU scope not established. This is a provisional connection, not an outcome finding.</w:t>
      </w:r>
    </w:p>
    <w:p>
      <w:pPr>
        <w:pStyle w:val="SourceNote"/>
      </w:pPr>
      <w:r>
        <w:rPr>
          <w:b/>
        </w:rPr>
        <w:t>Available abstract (not full text):</w:t>
      </w:r>
      <w:r>
        <w:t xml:space="preserve"> The article is devoted to the results of monitoring the organization of vocational education and training in institutions of secondary vocational education (SPE) in the Moscow region. The purpose of the study was to develop recommendations for improving the effectiveness of vocational training based on an analysis of existing areas and results of labor education in professional educational organizations in the region. The article presents the results of a study to identify areas of labor education in vocational education organizations in the Moscow region, an analysis of the needs of enterprises in the region to attract young professionals, and a study of the results of early employment of young professionals in the branches of the Moscow region. In addition, the most effective projects, actions and events implemented by vocational education and training organizations were identified. Based on the results obtained, recommendations were developed to improve the organization of PTV in the organizations of the Moscow region. The article will be useful for managers and teachers of vocational education organizations, as well as for specialists involved in vocational education and youth employment.</w:t>
      </w:r>
    </w:p>
    <w:p>
      <w:pPr/>
      <w:r>
        <w:rPr>
          <w:b/>
        </w:rPr>
        <w:t>POSSIBLE 2025:</w:t>
      </w:r>
      <w:r>
        <w:t xml:space="preserve"> Transforming ensembles towards a target forecast with applications for seamless weather to subseasonal forecasting — https://doi.org/10.1002/qj.5051</w:t>
      </w:r>
    </w:p>
    <w:p>
      <w:pPr/>
      <w:r>
        <w:rPr>
          <w:b/>
        </w:rPr>
        <w:t>Shared claim-specific concepts:</w:t>
      </w:r>
      <w:r>
        <w:t xml:space="preserve"> article, presents, forecasts, need; EU scope not established. This is a provisional connection, not an outcome finding.</w:t>
      </w:r>
    </w:p>
    <w:p>
      <w:pPr>
        <w:pStyle w:val="SourceNote"/>
      </w:pPr>
      <w:r>
        <w:rPr>
          <w:b/>
        </w:rPr>
        <w:t>Available abstract (not full text):</w:t>
      </w:r>
      <w:r>
        <w:t xml:space="preserve"> Abstract It is common for forecasts like accumulated precipitation or average temperature over a period to be produced by different forecast systems, depending on the forecast lead time and period duration. For example, 24‐hr precipitation accumulations out to 7 days are typically produced by a different system than weekly precipitation accumulations out to 4 weeks. To provide a seamless forecast service over all periods and lead times, outputs from one system need to be post‐processed to be consistent with the other system for the overlapping prediction period, or outputs from both need to be blended together to form a new forecast. This article presents methods for post‐processing forecasts from an ensemble prediction system (EPS) so that its forecasts are consistent with statistically well‐defined forecasts produced by a second forecast system, called the target system. We provide methods for two cases: (a) when the cumulative distribution function of the target system is known or can be reconstructed, and (b) when the target system only provides a mean (i.e., expected) value forecast. These methods are illustrated for precipitation and air temperature using weather forecasts (as the target system) and a subseasonal to seasonal EPS, both from the Australian Bureau of Meteorology. It is found that enforcing consistency of daily EPS forecasts at lead days 1 to 7 results in wee</w:t>
      </w:r>
    </w:p>
    <w:p>
      <w:pPr/>
      <w:r>
        <w:rPr>
          <w:b/>
        </w:rPr>
        <w:t>POSSIBLE 2024:</w:t>
      </w:r>
      <w:r>
        <w:t xml:space="preserve"> Development of the international transportation projects in Russia – forecast until 2030 year — https://doi.org/10.64457/ru-science-2024-i03-a02</w:t>
      </w:r>
    </w:p>
    <w:p>
      <w:pPr/>
      <w:r>
        <w:rPr>
          <w:b/>
        </w:rPr>
        <w:t>Shared claim-specific concepts:</w:t>
      </w:r>
      <w:r>
        <w:t xml:space="preserve"> article, presents, forecasts, international, until; EU scope not established. This is a provisional connection, not an outcome finding.</w:t>
      </w:r>
    </w:p>
    <w:p>
      <w:pPr>
        <w:pStyle w:val="SourceNote"/>
      </w:pPr>
      <w:r>
        <w:rPr>
          <w:b/>
        </w:rPr>
        <w:t>Available abstract (not full text):</w:t>
      </w:r>
      <w:r>
        <w:t xml:space="preserve"> This article presents forecasts of the development of international infrastructure projects for the next decade. The author examines the transport infrastructure of Russia, sea and rail international transport corridors, highlighting the most promising areas for development. The article presents a retrospective of the formation of transport infrastructure from the beginning of the twentieth century to the present, and also examines promising areas for the development of transport logistics in modern realities. The historically established pattern is currently changing under the pressure of sanctions, and the political situation on the world stage is pushing to explore new directions and develop new international relations. In the article, the author tried to identify current trends in the development of the Russian transport network until 2030, considering examples of sea and rail transport routes.</w:t>
      </w:r>
    </w:p>
    <w:p>
      <w:pPr>
        <w:pStyle w:val="Heading2"/>
      </w:pPr>
      <w:r>
        <w:t>691. The role of gases in the European energy transition</w:t>
      </w:r>
    </w:p>
    <w:p>
      <w:pPr>
        <w:pStyle w:val="SourceNote"/>
      </w:pPr>
      <w:r>
        <w:rPr>
          <w:b/>
        </w:rPr>
        <w:t>Original source (2020):</w:t>
      </w:r>
      <w:r>
        <w:t xml:space="preserve"> https://doi.org/10.32609/j.ruje.6.55105</w:t>
      </w:r>
    </w:p>
    <w:p>
      <w:pPr/>
      <w:r>
        <w:t>Original wording (abstract; indexed_source_text_not_full_document_verified): Net zero targets for 2050 mean that in order to retain the gas market and the extensive network infrastructure which has been developed, zero carbon gases will need to be developed, and natural gas (methane) will need to be decarbonized. Maximum availability of biomethane and hydrogen from power to gas is estimated at 100–150 billion cubic meters by 2050 (or around 25–30% of gas demand in the late 2010s.</w:t>
      </w:r>
    </w:p>
    <w:p>
      <w:pPr/>
      <w:r>
        <w:rPr>
          <w:b/>
        </w:rPr>
        <w:t>POSSIBLE 2026:</w:t>
      </w:r>
      <w:r>
        <w:t xml:space="preserve"> Net Zero Emissions and Positive Energy Districts: A Potential Solution to Achieve the European Climate Targets — https://doi.org/10.1109/tia.2026.3661957</w:t>
      </w:r>
    </w:p>
    <w:p>
      <w:pPr/>
      <w:r>
        <w:rPr>
          <w:b/>
        </w:rPr>
        <w:t>Shared claim-specific concepts:</w:t>
      </w:r>
      <w:r>
        <w:t xml:space="preserve"> net, zero, targets;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CO2 in The Realm of Net-Zero — https://doi.org/10.30967/ijcrset/ekrem-alagoz/211</w:t>
      </w:r>
    </w:p>
    <w:p>
      <w:pPr/>
      <w:r>
        <w:rPr>
          <w:b/>
        </w:rPr>
        <w:t>Shared claim-specific concepts:</w:t>
      </w:r>
      <w:r>
        <w:t xml:space="preserve"> net, zero, carbon; EU scope not established. This is a provisional connection, not an outcome finding.</w:t>
      </w:r>
    </w:p>
    <w:p>
      <w:pPr>
        <w:pStyle w:val="SourceNote"/>
      </w:pPr>
      <w:r>
        <w:rPr>
          <w:b/>
        </w:rPr>
        <w:t>Available abstract (not full text):</w:t>
      </w:r>
      <w:r>
        <w:t xml:space="preserve"> The paper titled "CO2 in the realm of Net Zero" provides a detailed analysis of the efforts to reduce CO2 emissions and achieve net-zero emissions. The paper emphasizes the importance of reducing CO2 emissions to mitigate the impacts of climate change. The paper discusses the role of Carbon Capture, Utilization, and Storage (CCUS) technology in reducing CO2 emissions in the energy sector and analyzes different approaches towards achieving a net-zero emissions target. The paper also evaluates the challenges and opportunities for reducing CO2 emissions in the manufacturing and transportation industries. Additionally, the paper explores the concept of the circular carbon economy and its potential to reduce CO2 emissions. Finally, the paper summarizes the key findings from various case studies and analyses and highlights the overall challenges and opportunities for reducing CO2 emissions in various industries. The paper concludes by emphasizing the importance of continued efforts in this area and highlighting the implications for future initiatives in reducing CO2 emissions and achieving net-zero.</w:t>
      </w:r>
    </w:p>
    <w:p>
      <w:pPr/>
      <w:r>
        <w:rPr>
          <w:b/>
        </w:rPr>
        <w:t>POSSIBLE 2026:</w:t>
      </w:r>
      <w:r>
        <w:t xml:space="preserve"> Global Pathways to Net Zero — https://doi.org/10.4018/979-8-3373-5238-1.ch014</w:t>
      </w:r>
    </w:p>
    <w:p>
      <w:pPr/>
      <w:r>
        <w:rPr>
          <w:b/>
        </w:rPr>
        <w:t>Shared claim-specific concepts:</w:t>
      </w:r>
      <w:r>
        <w:t xml:space="preserve"> net, zero, targets, gas, carbon; EU scope visible. This is a provisional connection, not an outcome finding.</w:t>
      </w:r>
    </w:p>
    <w:p>
      <w:pPr>
        <w:pStyle w:val="SourceNote"/>
      </w:pPr>
      <w:r>
        <w:rPr>
          <w:b/>
        </w:rPr>
        <w:t>Available abstract (not full text):</w:t>
      </w:r>
      <w:r>
        <w:t xml:space="preserve"> This study evaluated corporate alignment with the 2050 Net Zero Emissions targets, a cornerstone of the global transition to a low-carbon economy as mandated by the Paris Agreement. Utilizing the Transition Pathway Initiative (TPI) framework, as endorsed by OECD reports, we analyzed the carbon performance of 2,028 firms across 24 sectors and 28 countries. Companies are scored on a 0–5 scale, with 5 indicating the highest alignment with net-zero goals. Through descriptive statistics, statistical analyses, and hierarchical clustering, we assessed performance variations by firm size, sector, and countries, comparing their alignment with Paris-Compliant Pathways. Results reveal that larger firms, sectors such as telecommunications and oil &amp; gas, and European countries like Denmark and France exhibit superior carbon management, while smaller firms, carbon-intensive sectors like coal mining, and regions like China and the Middle East lag. These findings reveal sectoral and regional disparities, offering actionable insights to guide decarbonization efforts by policymakers and investors.</w:t>
      </w:r>
    </w:p>
    <w:p>
      <w:pPr/>
      <w:r>
        <w:rPr>
          <w:b/>
        </w:rPr>
        <w:t>POSSIBLE 2025:</w:t>
      </w:r>
      <w:r>
        <w:t xml:space="preserve"> An empirical analysis of net-zero emission targets of Canada and the European Union — https://doi.org/10.21622/maci.2025.02.1.1252</w:t>
      </w:r>
    </w:p>
    <w:p>
      <w:pPr/>
      <w:r>
        <w:rPr>
          <w:b/>
        </w:rPr>
        <w:t>Shared claim-specific concepts:</w:t>
      </w:r>
      <w:r>
        <w:t xml:space="preserve"> net, zero, targets, gas, gases; EU scope visible. This is a provisional connection, not an outcome finding.</w:t>
      </w:r>
    </w:p>
    <w:p>
      <w:pPr>
        <w:pStyle w:val="SourceNote"/>
      </w:pPr>
      <w:r>
        <w:rPr>
          <w:b/>
        </w:rPr>
        <w:t>Available abstract (not full text):</w:t>
      </w:r>
      <w:r>
        <w:t xml:space="preserve"> This analysis examines the emission trajectories of Canada and the EU27 that purportedly lead to a point of net zero emissions of greenhouse gases in 2050. It is shown that a country’s emission intensities are limited by a lower bound which effectively restricts the reduction to greenhouse gas emissions to a level moderated by a country’s GDP per capita. For Canada, the proposed path to net zero emissions is shown to be technically feasible, but dependent on the deployment of a suite of engineered negative emission technologies none of which have been demonstrated at scale. In the case of the EU27, it is shown that the proposed path to a condition of net zero emissions in 2050 is not a plausible scenario and that emissions of greenhouse gases in that year are likely to be more than three times higher than the level projected by the European Commission. Received on, 07 March 2025 Accepted on, 10 April 2025 Published on, 27 April 2025</w:t>
      </w:r>
    </w:p>
    <w:p>
      <w:pPr/>
      <w:r>
        <w:rPr>
          <w:b/>
        </w:rPr>
        <w:t>POSSIBLE 2025:</w:t>
      </w:r>
      <w:r>
        <w:t xml:space="preserve"> UPAYA UNI EROPA MELALUI EUROPEAN GREEN DEAL DALAM MENCAPAI TARGET NET ZERO EMISSION — https://openalex.org/W7125889081</w:t>
      </w:r>
    </w:p>
    <w:p>
      <w:pPr/>
      <w:r>
        <w:rPr>
          <w:b/>
        </w:rPr>
        <w:t>Shared claim-specific concepts:</w:t>
      </w:r>
      <w:r>
        <w:t xml:space="preserve"> net, zero, gas; EU scope visible. This is a provisional connection, not an outcome finding.</w:t>
      </w:r>
    </w:p>
    <w:p>
      <w:pPr>
        <w:pStyle w:val="SourceNote"/>
      </w:pPr>
      <w:r>
        <w:rPr>
          <w:b/>
        </w:rPr>
        <w:t>Available abstract (not full text):</w:t>
      </w:r>
      <w:r>
        <w:t xml:space="preserve"> Perubahan iklim menjadi salah satu tantangan global yang mendesak, mendorong negara-negara untuk mengambil langkah konkret dalam mengurangi emisi gas rumah kaca. Uni Eropa, sebagai pemimpin dalam kebijakan iklim global, berupaya untuk mencapai Net Zero Emission 2050 melalui inisiatif European Green Deal. Kebijakan ini dirancang untuk mempercepat transisi menuju net zero emission dengan menerapkan langkah-langkah strategis di berbagai sektor, seperti energi, transportasi, ekonomi sirkular, pertanian, dan keanekaragaman hayati. Penelitian ini menganalisis European Green Deal dalam mencapai target Net Zero Emission serta mengidentifikasi tantangan yang dihadapi dalam prosesnya. Penelitian ini menggunakan metode kualitatif deskriptif dengan pendekatan studi kepustakaan. Data diperoleh melalui analisis kebijakan Uni Eropa, dokumen resmi, jurnal akademik, serta laporan dari organisasi internasional dengan meninjau permasalahan tersebut menggunakan International Regimes Theory menjelaskan bagaimana Uni Eropa membentuk dan menerapkan kebijakan lingkungan European Green Deal terbentuk karena Norma internasional dalam tata kelola global serta pengaruh dari ratifikasi Paris Agreement, sementara Environmental Security mengkaji bagaimana upaya yang dibuat oleh Uni Eropa dalam European Green Deal dalam mencapai target net zero emission dan mengetahui tantangan-tantangan dalam European Green </w:t>
      </w:r>
    </w:p>
    <w:p>
      <w:pPr/>
      <w:r>
        <w:rPr>
          <w:b/>
        </w:rPr>
        <w:t>POSSIBLE 2025:</w:t>
      </w:r>
      <w:r>
        <w:t xml:space="preserve"> The role of energy storage towards net-zero emissions in the European electricity system — https://doi.org/10.1016/j.enconman.2025.119887</w:t>
      </w:r>
    </w:p>
    <w:p>
      <w:pPr/>
      <w:r>
        <w:rPr>
          <w:b/>
        </w:rPr>
        <w:t>Shared claim-specific concepts:</w:t>
      </w:r>
      <w:r>
        <w:t xml:space="preserve"> net, carbon, need, hydrogen; EU scope visible. This is a provisional connection, not an outcome finding.</w:t>
      </w:r>
    </w:p>
    <w:p>
      <w:pPr>
        <w:pStyle w:val="SourceNote"/>
      </w:pPr>
      <w:r>
        <w:rPr>
          <w:b/>
        </w:rPr>
        <w:t>Available abstract (not full text):</w:t>
      </w:r>
      <w:r>
        <w:t xml:space="preserve"> This study investigates the role of different energy storage technologies in a European electricity sector that complies with the target of net-zero carbon emissions in 2050. We consider three energy storage technologies, namely battery, pumped hydro, and hydrogen storage. We find that the cost-minimal energy storage mix in a country depends on the generation mix, and we identify three country archetypes in Europe based on the prevailing energy storage technology. When available, pumped hydro dominates the storage mix, reducing the need for new battery and hydrogen storage installations. Overall, short-term battery storage best captures solar fluctuations and is optimally combined with solar generation, while long-term hydrogen storage compensates for both solar and wind peak generation. Moreover, we quantify the impact of modeling the European system with different spatial resolutions and net self-sufficiency scales, from regional to continental, on the optimal energy storage mix. The comparative assessment of different spatial resolutions shows that the amount of energy storage installed, and especially the amount of hydrogen storage, increases significantly for higher spatial resolutions.</w:t>
      </w:r>
    </w:p>
    <w:p>
      <w:pPr/>
      <w:r>
        <w:rPr>
          <w:b/>
        </w:rPr>
        <w:t>POSSIBLE 2025:</w:t>
      </w:r>
      <w:r>
        <w:t xml:space="preserve"> Green energy and steel imports reduce Europe’s net-zero infrastructure needs — https://doi.org/10.1038/s41467-025-60652-1</w:t>
      </w:r>
    </w:p>
    <w:p>
      <w:pPr/>
      <w:r>
        <w:rPr>
          <w:b/>
        </w:rPr>
        <w:t>Shared claim-specific concepts:</w:t>
      </w:r>
      <w:r>
        <w:t xml:space="preserve"> infrastructure, carbon, need, hydrogen; EU scope visible. This is a provisional connection, not an outcome finding.</w:t>
      </w:r>
    </w:p>
    <w:p>
      <w:pPr>
        <w:pStyle w:val="SourceNote"/>
      </w:pPr>
      <w:r>
        <w:rPr>
          <w:b/>
        </w:rPr>
        <w:t>Available abstract (not full text):</w:t>
      </w:r>
      <w:r>
        <w:t xml:space="preserve"> Importing renewable energy to Europe may offer many potential benefits, including reduced energy costs, lower pressure on infrastructure development, and less land use within Europe. However, open questions remain: on the achievable cost reductions, how much should be imported, whether the energy vector should be electricity, hydrogen, or derivatives like ammonia or steel, and their impact on Europe's infrastructure needs. This study integrates a global energy supply chain model with a European energy system model to explore net-zero emission scenarios with varying import volumes, costs, and vectors. We find system cost reductions of 1-10%, within import cost variations of ± 20%, with diminishing returns for larger import volumes and a preference for methanol, steel and hydrogen imports. Keeping some domestic power-to-X production is beneficial for integrating variable renewables, leveraging local carbon sources and power-to-X waste heat. Our findings highlight the need for coordinating import strategies with infrastructure policy and reveal maneuvering space for incorporating non-cost decision factors.</w:t>
      </w:r>
    </w:p>
    <w:p>
      <w:pPr/>
      <w:r>
        <w:rPr>
          <w:b/>
        </w:rPr>
        <w:t>POSSIBLE 2025:</w:t>
      </w:r>
      <w:r>
        <w:t xml:space="preserve"> Carbon storage portfolios for the transition to net zero — https://doi.org/10.1016/j.joule.2025.102164</w:t>
      </w:r>
    </w:p>
    <w:p>
      <w:pPr/>
      <w:r>
        <w:rPr>
          <w:b/>
        </w:rPr>
        <w:t>Shared claim-specific concepts:</w:t>
      </w:r>
      <w:r>
        <w:t xml:space="preserve"> net, zero, targets, carbon; EU scope not established. This is a provisional connection, not an outcome finding.</w:t>
      </w:r>
    </w:p>
    <w:p>
      <w:pPr>
        <w:pStyle w:val="SourceNote"/>
      </w:pPr>
      <w:r>
        <w:rPr>
          <w:b/>
        </w:rPr>
        <w:t>Available abstract (not full text):</w:t>
      </w:r>
      <w:r>
        <w:t xml:space="preserve"> Net-zero targets are widely adopted by companies and countries worldwide. To achieve these goals, more companies are investing in diverse carbon removal portfolios. This study develops a new risk management framework that combines forestry, biochar, and geological storage offsets into portfolios that could stabilize global temperatures over multi-century time periods. We find that if a carbon storage portfolio reaches an equilibrium state of CO 2 stored, it can be leveraged to stabilize global temperatures by increasing the size of the portfolio relative to the amount of removal claimed. For moderate-risk primarily forestry portfolios retaining 0.75–0.55 tCO 2 of the 1 tCO 2 stored, an additional 0.30–0.80 tCO 2 removal is needed to offset re-releases over 1,000 years. High-risk portfolios retaining only 0.10 tCO 2 require over 9 tCO 2 additional removal. Portfolios that are predicted to re-release almost all CO 2 cannot be leveraged and are ineffective at meeting temperature stabilization goals. These findings have implications for policy and corporate climate action.</w:t>
      </w:r>
    </w:p>
    <w:p>
      <w:pPr/>
      <w:r>
        <w:rPr>
          <w:b/>
        </w:rPr>
        <w:t>POSSIBLE 2025:</w:t>
      </w:r>
      <w:r>
        <w:t xml:space="preserve"> Waste-to-energy: How Europe can avoid sleepwalking into a landfill catastrophe and achieve net zero — https://doi.org/10.56367/oag-048-12250</w:t>
      </w:r>
    </w:p>
    <w:p>
      <w:pPr/>
      <w:r>
        <w:rPr>
          <w:b/>
        </w:rPr>
        <w:t>Shared claim-specific concepts:</w:t>
      </w:r>
      <w:r>
        <w:t xml:space="preserve"> net, zero, targets; EU scope visible. This is a provisional connection, not an outcome finding.</w:t>
      </w:r>
    </w:p>
    <w:p>
      <w:pPr>
        <w:pStyle w:val="SourceNote"/>
      </w:pPr>
      <w:r>
        <w:rPr>
          <w:b/>
        </w:rPr>
        <w:t>Available abstract (not full text):</w:t>
      </w:r>
      <w:r>
        <w:t xml:space="preserve"> Waste-to-energy: How Europe can avoid sleepwalking into a landfill catastrophe and achieve net zero Vanessa Fakra at Kanadevia Inova AG discusses waste-to-energy, including how Europe can avoid sleepwalking into a landfill catastrophe while achieving net zero. The European Union (EU) has ambitious landfill reduction targets of 10% or less by 2035. On the other hand, the European Commission is currently assessing the inclusion of the Waste to Energy and or the whole waste sector in the EU Emissions Trading System (ETS). This move could be counterproductive, as it penalizes technologies such as Waste to Energy (WtE) that are crucial for achieving net-zero goals.</w:t>
      </w:r>
    </w:p>
    <w:p>
      <w:pPr/>
      <w:r>
        <w:rPr>
          <w:b/>
        </w:rPr>
        <w:t>POSSIBLE 2025:</w:t>
      </w:r>
      <w:r>
        <w:t xml:space="preserve"> Electricity- and hydrogen-driven energy system sector-coupling in net-zero CO2 emission pathways — https://doi.org/10.1038/s41467-025-56365-0</w:t>
      </w:r>
    </w:p>
    <w:p>
      <w:pPr/>
      <w:r>
        <w:rPr>
          <w:b/>
        </w:rPr>
        <w:t>Shared claim-specific concepts:</w:t>
      </w:r>
      <w:r>
        <w:t xml:space="preserve"> gas, need, hydrogen; EU scope visible. This is a provisional connection, not an outcome finding.</w:t>
      </w:r>
    </w:p>
    <w:p>
      <w:pPr>
        <w:pStyle w:val="SourceNote"/>
      </w:pPr>
      <w:r>
        <w:rPr>
          <w:b/>
        </w:rPr>
        <w:t>Available abstract (not full text):</w:t>
      </w:r>
      <w:r>
        <w:t xml:space="preserve"> Electricity- and hydrogen-based sector coupling contributes to realizing the transition towards greenhouse gas neutrality in the European energy system. Energy system and integrated assessment models show that, to follow pathways compatible with the European policy target of net-zero greenhouse gas emissions by 2050, large amounts of renewable electricity and H2 need to be generated, mostly by scaling-up wind and solar energy production capacity. With a set of such models, under jointly adopted deep decarbonisation scenario assumptions, we here show that the ensuing direct penetration of electricity and H2 in final energy consumption may rise to average shares of around 60% and 6%, respectively, by 2050. We demonstrate that electrification proves the most cost-efficient decarbonisation route in all economic sectors, while the direct use of H2 in final energy consumption provides a relatively small, though essential, contribution to deep decarbonisation. We conclude that the variance observed across results from different models reflects the uncertainties that abound in the shape of deep decarbonisation pathways, in particular with regard to the role of H2. Multiple energy system models are used under jointly adopted deep decarbonisation scenarios to conclude that the direct penetration of electricity and hydrogen in final energy consumption may rise to shares of, respectively, </w:t>
      </w:r>
    </w:p>
    <w:p>
      <w:pPr/>
      <w:r>
        <w:rPr>
          <w:b/>
        </w:rPr>
        <w:t>POSSIBLE 2024:</w:t>
      </w:r>
      <w:r>
        <w:t xml:space="preserve"> Managing CO2 under global and country-specific net-zero emissions targets in Europe — https://doi.org/10.48550/arxiv.2407.18653</w:t>
      </w:r>
    </w:p>
    <w:p>
      <w:pPr/>
      <w:r>
        <w:rPr>
          <w:b/>
        </w:rPr>
        <w:t>Shared claim-specific concepts:</w:t>
      </w:r>
      <w:r>
        <w:t xml:space="preserve"> targets, gas, network, carbon, methane; EU scope visible. This is a provisional connection, not an outcome finding.</w:t>
      </w:r>
    </w:p>
    <w:p>
      <w:pPr>
        <w:pStyle w:val="SourceNote"/>
      </w:pPr>
      <w:r>
        <w:rPr>
          <w:b/>
        </w:rPr>
        <w:t>Available abstract (not full text):</w:t>
      </w:r>
      <w:r>
        <w:t xml:space="preserve"> The European Union (EU) aims to reach carbon neutrality by 2050. This requires capturing CO2, eventually transporting it to different regions, and either converting it into valuable products or sequestering it underground. Although the target is set for the entire EU, in practice, most of the governance and strategy to attain it remains in the individual member states. Previous literature modelling how Europe can achieve carbon neutrality has either considered only a global CO2 limit or used coarse spatial and temporal representation without proper network modelling. Here, we use a highly-resolved open model of the European sector-coupled energy system, PyPSA-Eur, to explore the impacts of imposing net-zero emissions globally for the entire EU versus imposing carbon neutrality for each country. Forcing net-zero emissions in every country increases system cost by 1.4%, demands varied CO2 prices, and triggers higher investment in direct air capture and renewable capacities. Furthermore, in both scenarios, a significant portion of the captured CO2 is transported across Europe, either directly via CO2 pipelines or indirectly via solid biomass or synthetic methane gas, methanol, and oil. Our research enables quantifying the impact of following a collaborative or self-sufficient carbon management strategy to attain carbon neutrality.</w:t>
      </w:r>
    </w:p>
    <w:p>
      <w:pPr/>
      <w:r>
        <w:rPr>
          <w:b/>
        </w:rPr>
        <w:t>POSSIBLE 2024:</w:t>
      </w:r>
      <w:r>
        <w:t xml:space="preserve"> Net Zero Emissions and Positive Energy Districts: A Potential Solution to Achieve the European Climate Targets — https://doi.org/10.1109/eeeic/icpseurope61470.2024.10751307</w:t>
      </w:r>
    </w:p>
    <w:p>
      <w:pPr/>
      <w:r>
        <w:rPr>
          <w:b/>
        </w:rPr>
        <w:t>Shared claim-specific concepts:</w:t>
      </w:r>
      <w:r>
        <w:t xml:space="preserve"> net, zero, targets, network, developed, carbon; EU scope visible. This is a provisional connection, not an outcome finding.</w:t>
      </w:r>
    </w:p>
    <w:p>
      <w:pPr>
        <w:pStyle w:val="SourceNote"/>
      </w:pPr>
      <w:r>
        <w:rPr>
          <w:b/>
        </w:rPr>
        <w:t>Available abstract (not full text):</w:t>
      </w:r>
      <w:r>
        <w:t xml:space="preserve"> Net-zero emissions and positive energy districts are innovative urban planning solutions for reaching the decarbonization targets defined by the European Commission. Districts are gaining wide attention representing communities where different elements and energy systems are interconnected, leading to potential opportunities for achieving climate neutrality that may not be achievable at the level of individual buildings. In addition, the evaluation of the performances has shifted from a nearly zero-energy approach to more demanding and rigorous concepts of positive energy and zero climate emissions. To this end, the authors show and describe a case study related to a new district that will be built in Bologna (41 400 m2 of heated/cooled floor surface area). The theoretical energy demand plus the 5th generation district heating and cooling network supplying the buildings and the electricity produced by the on-site photovoltaic plant (and the associated climate profiles) are evaluated by a Fortran App specifically developed. The net balance approach (used for reaching carbon neutrality) was calculated using the process-based life cycle assessment method. The authors show the outcomes obtained and potential solutions for decarbonization.</w:t>
      </w:r>
    </w:p>
    <w:p>
      <w:pPr>
        <w:pStyle w:val="Heading2"/>
      </w:pPr>
      <w:r>
        <w:t>692. Toward a Diagnostic Tool for Organizational Ethical Culture With Futures Thinking and Scenario Planning</w:t>
      </w:r>
    </w:p>
    <w:p>
      <w:pPr>
        <w:pStyle w:val="SourceNote"/>
      </w:pPr>
      <w:r>
        <w:rPr>
          <w:b/>
        </w:rPr>
        <w:t>Original source (2020):</w:t>
      </w:r>
      <w:r>
        <w:t xml:space="preserve"> https://doi.org/10.1109/tem.2020.3018309</w:t>
      </w:r>
    </w:p>
    <w:p>
      <w:pPr/>
      <w:r>
        <w:t>Original wording (abstract; indexed_source_text_not_full_document_verified): By gathering and analyzing diverse macro (contextual) and micro (transactional) points of view, here called “partial truths,” this article investigates how scenario planning could be used as a complementary tool to diagnose disruptions that may impact an organization's ethical culture. The combined study led to a framework of pragmatic ethics and systems thinking that broadens our understanding of the main themes that lead to disruptions that managers believed would impact ethical culture.</w:t>
      </w:r>
    </w:p>
    <w:p>
      <w:pPr/>
      <w:r>
        <w:rPr>
          <w:b/>
        </w:rPr>
        <w:t>POSSIBLE 2026:</w:t>
      </w:r>
      <w:r>
        <w:t xml:space="preserve"> Mapping the Evidence on Antimicrobial Resistance Transmission in Mass Gatherings: A Scoping Review — https://doi.org/10.17605/osf.io/9hq5t</w:t>
      </w:r>
    </w:p>
    <w:p>
      <w:pPr/>
      <w:r>
        <w:rPr>
          <w:b/>
        </w:rPr>
        <w:t>Shared claim-specific concepts:</w:t>
      </w:r>
      <w:r>
        <w:t xml:space="preserve"> gathering, analyzing, diverse, contextual; EU scope not established. This is a provisional connection, not an outcome finding.</w:t>
      </w:r>
    </w:p>
    <w:p>
      <w:pPr>
        <w:pStyle w:val="SourceNote"/>
      </w:pPr>
      <w:r>
        <w:rPr>
          <w:b/>
        </w:rPr>
        <w:t>Available abstract (not full text):</w:t>
      </w:r>
      <w:r>
        <w:t xml:space="preserve"> This project outlines a scoping review protocol designed to systematically map the global evidence base on antimicrobial resistance (AMR) dynamics within mass gathering contexts, such as religious pilgrimages and secular festivals. Mass gatherings present a critical public health vulnerability where diverse populations and shared infrastructure facilitate the acquisition, amplification, and international dissemination of resistant pathogens. Despite this clear epidemiological risk, the literature has not yet been comprehensively characterized. This review aims to identify the specific types of gatherings, organisms, and phenotypic or genotypic resistance mechanisms represented in published studies, while analyzing the study designs, sampling strategies, and analytical methodologies employed. Ultimately, this work will expose critical geographic, contextual, and methodological gaps in the current literature, establishing a mapped evidence base to inform future primary research priorities, rational surveillance design, and evidence-based One Health policy interventions.</w:t>
      </w:r>
    </w:p>
    <w:p>
      <w:pPr/>
      <w:r>
        <w:rPr>
          <w:b/>
        </w:rPr>
        <w:t>POSSIBLE 2026:</w:t>
      </w:r>
      <w:r>
        <w:t xml:space="preserve"> Dialogic Feminist Gatherings: Intergenerational Impact on Preventive Socialization of Gender Violence — https://doi.org/10.3390/socsci15020075</w:t>
      </w:r>
    </w:p>
    <w:p>
      <w:pPr/>
      <w:r>
        <w:rPr>
          <w:b/>
        </w:rPr>
        <w:t>Shared claim-specific concepts:</w:t>
      </w:r>
      <w:r>
        <w:t xml:space="preserve"> analyzing, diverse; EU scope not established. This is a provisional connection, not an outcome finding.</w:t>
      </w:r>
    </w:p>
    <w:p>
      <w:pPr>
        <w:pStyle w:val="SourceNote"/>
      </w:pPr>
      <w:r>
        <w:rPr>
          <w:b/>
        </w:rPr>
        <w:t>Available abstract (not full text):</w:t>
      </w:r>
      <w:r>
        <w:t xml:space="preserve"> Background: Dialogic Feminist Gatherings (DFGs) fostered gender violence prevention among adolescents and young women in diverse educational settings. However, little was known about their impact on adult and older women without higher education, particularly regarding their contributions to broader social change through family and community relationships. This study addressed that gap by analyzing a DFG held in an adult education school in Barcelona with women from diverse backgrounds, as part of the R + D + i ALL WOMEN research project, aligned with Sustainable Development Goal 5. Methods: Using a qualitative case study with communicative methodology, the research drew on communicative observations, life stories, and a focus group. Results: Findings revealed that DFGs empowered participants individually and had a ripple effect in their communities. Through intergenerational dialogues with children, grandchildren, nieces, and nephews, participants began to challenge and transform socialization patterns linked to gender violence risk factors. Conclusions: The study highlights the transformative potential of DFGs beyond formal education. It underscores the value of integrating dialogic and community-based approaches into adult education to promote gender equality and prevent violence across generations.</w:t>
      </w:r>
    </w:p>
    <w:p>
      <w:pPr/>
      <w:r>
        <w:rPr>
          <w:b/>
        </w:rPr>
        <w:t>POSSIBLE 2026:</w:t>
      </w:r>
      <w:r>
        <w:t xml:space="preserve"> Adoption of Digital Micro Wakaf Bank by Ultra-Micro and Micro Businesses in Indonesia — https://doi.org/10.62159/sembj.v7i2.2237</w:t>
      </w:r>
    </w:p>
    <w:p>
      <w:pPr/>
      <w:r>
        <w:rPr>
          <w:b/>
        </w:rPr>
        <w:t>Shared claim-specific concepts:</w:t>
      </w:r>
      <w:r>
        <w:t xml:space="preserve"> micro, called, partial, used; EU scope not established. This is a provisional connection, not an outcome finding.</w:t>
      </w:r>
    </w:p>
    <w:p>
      <w:pPr>
        <w:pStyle w:val="SourceNote"/>
      </w:pPr>
      <w:r>
        <w:rPr>
          <w:b/>
        </w:rPr>
        <w:t>Available abstract (not full text):</w:t>
      </w:r>
      <w:r>
        <w:t xml:space="preserve"> Background: Micro, small, and medium enterprises (MSMEs) are the backbone of the economy of Indonesia. Despite that fact, ultra-micro and micro entrepreneurs still face several constraints. Micro Waqf Bank (MWB) is one solution that utilizes Islamic social funds. This solution develops digital financial services to expand access to financing, efficiency of services, and business development. The limited study of ultra-micro and micro-entrepreneurs’ adoption of MWB’s digitalization makes this research important. Method: This research uses a mixed-methods approach, combining quantitative and qualitative methods. In this research, a sequential/stepwise mixed-methods strategy was used, with a sequential exploratory design. The analysis technique used in this research is a qualitative descriptive analysis technique, or what is usually called explanation making, namely, by using data analysis methods and describing the results of interview observations to find out in depth about the adoption of digital MWBs in the 5 MWBs. The quantitative method data analysis technique used by researchers uses the Partial Least Squares (PLS) method with SmartPLS software. Results: The research results show that there are several obstacles that prevent the use of the MWB mobile from being used comprehensively. However, the intention of ultramicro and micro business actors who are BMW customers to use </w:t>
      </w:r>
    </w:p>
    <w:p>
      <w:pPr/>
      <w:r>
        <w:rPr>
          <w:b/>
        </w:rPr>
        <w:t>POSSIBLE 2026:</w:t>
      </w:r>
      <w:r>
        <w:t xml:space="preserve"> Brief Analysis of Corrosion and Scaling Problems in Crude Oil Gathering and Transportation Systems and Its Anti-Corrosion Countermeasures — https://doi.org/10.12677/jogt.2026.483056</w:t>
      </w:r>
    </w:p>
    <w:p>
      <w:pPr/>
      <w:r>
        <w:rPr>
          <w:b/>
        </w:rPr>
        <w:t>Shared claim-specific concepts:</w:t>
      </w:r>
      <w:r>
        <w:t xml:space="preserve"> gathering, diverse, disruptions; EU scope not established. This is a provisional connection, not an outcome finding.</w:t>
      </w:r>
    </w:p>
    <w:p>
      <w:pPr>
        <w:pStyle w:val="SourceNote"/>
      </w:pPr>
      <w:r>
        <w:rPr>
          <w:b/>
        </w:rPr>
        <w:t>Available abstract (not full text):</w:t>
      </w:r>
      <w:r>
        <w:t xml:space="preserve"> Crude oil is a core global energy resource.Due to the complex and diverse composition of crude oil-such as high sulfur content, inorganic salts, asphaltenes, and waxes-and the characteristics of associated water (high salinity, high chloride concentration, and presence of H2S/CO2), corrosion and scaling issues frequently occur during crude oil gathering and transportation.These problems are exacerbated by fluctuations in temperature and pressure, as well as defects in anti-corrosion coatings, leading to chemical and electrochemical corrosion of equipment, resulting in damage, failure, and production disruptions.This paper highlights the severity of corrosion and scaling in crude oil gathering systems and their negative impacts on operational safety and economic efficiency.It systematically analyzes the mechanisms behind corrosion and scaling formation, discusses their detrimental effects on gathering infrastructure, and generally outlines the factors and conditions contributing to corrosion in crude oil handling equipment.Based on this analysis, targeted anticorrosion protection measures and implementation strategies are proposed to ensure efficient and stable operation of crude oil processing systems.These measures significantly enhance system stability, safety, reliability, and equipment service life, delivering substantial economic benefits.</w:t>
      </w:r>
    </w:p>
    <w:p>
      <w:pPr/>
      <w:r>
        <w:rPr>
          <w:b/>
        </w:rPr>
        <w:t>POSSIBLE 2025:</w:t>
      </w:r>
      <w:r>
        <w:t xml:space="preserve"> Improved LEACH Model with Efficient Data Gathering Scheme for Mobile Internet of Things — https://doi.org/10.1109/icngcs64900.2025.11183334</w:t>
      </w:r>
    </w:p>
    <w:p>
      <w:pPr/>
      <w:r>
        <w:rPr>
          <w:b/>
        </w:rPr>
        <w:t>Shared claim-specific concepts:</w:t>
      </w:r>
      <w:r>
        <w:t xml:space="preserve"> gathering, diverse, article; EU scope not established. This is a provisional connection, not an outcome finding.</w:t>
      </w:r>
    </w:p>
    <w:p>
      <w:pPr>
        <w:pStyle w:val="SourceNote"/>
      </w:pPr>
      <w:r>
        <w:rPr>
          <w:b/>
        </w:rPr>
        <w:t>Available abstract (not full text):</w:t>
      </w:r>
      <w:r>
        <w:t xml:space="preserve"> The Internet of Things (IoT) is a rapidly emerging field that is gaining a lot of interest from the academic and industrial sectors. It facilitates the communication of extremely huge amounts of data from a variety of smart devices. Owing to the diverse range of IoT devices, the network experienced several issues like excessive power consumption, latency, and data congestion. To overcome these drawbacks, in this an article, improved leach model with an efficient data-gathering scheme is developed in the mobile IoT environment (ILEDGM). The core modules of this ILEDGM are network energy model construction, improved leach model, and communication process. These modules are included in the ns3 program, which analyzes the network’s performance. Data correctness, data loss, transportation overhead, throughput, and averaging latency are the metrics taken into account. The final presentation shows that the suggested ILEDGM outperformed the other approaches in terms of throughput and data success rate. The experimental findings are compared with the preceding methods.</w:t>
      </w:r>
    </w:p>
    <w:p>
      <w:pPr/>
      <w:r>
        <w:rPr>
          <w:b/>
        </w:rPr>
        <w:t>POSSIBLE 2025:</w:t>
      </w:r>
      <w:r>
        <w:t xml:space="preserve"> Teacher Contextual Knowledge (XK) Development: The Case of Yogyakarta, Indonesia — https://doi.org/10.54855/callej.252646</w:t>
      </w:r>
    </w:p>
    <w:p>
      <w:pPr/>
      <w:r>
        <w:rPr>
          <w:b/>
        </w:rPr>
        <w:t>Shared claim-specific concepts:</w:t>
      </w:r>
      <w:r>
        <w:t xml:space="preserve"> macro, contextual, micro, used; EU scope not established. This is a provisional connection, not an outcome finding.</w:t>
      </w:r>
    </w:p>
    <w:p>
      <w:pPr>
        <w:pStyle w:val="SourceNote"/>
      </w:pPr>
      <w:r>
        <w:rPr>
          <w:b/>
        </w:rPr>
        <w:t>Available abstract (not full text):</w:t>
      </w:r>
      <w:r>
        <w:t xml:space="preserve"> Technological Pedagogical and Content Knowledge (TPACK) is one of the most prominent frameworks that outlines the types of knowledge teachers need to teach effectively with technology. Recent research on TPACK has emphasised Contextual Knowledge (XK), which accounts for teachers’ understanding of where teaching and learning are situated. Aiming to contribute to advancing research on XK, this case study investigated teachers’ development of XK and the challenges they faced in the process. The participants were five English language teachers across two secondary schools in Yogyakarta, Indonesia. The data were primarily gathered through in-depth interviews, informed by teachers’ lesson plans and digital teaching artefacts. Three layers of context –micro (classroom level), meso (school and community levels), and macro (national and global levels) –were used as a framework for analysing the data. Derived through thematic analysis, the findings highlight that participating teachers benefitted from informal engagement with students at the micro level, as well as collegial collaboration and professional learning at the meso level. At the macro level, they talked about the usefulness of technology-mediated professional learning, particularly through social media. Time constraints due to teacher workload were identified as a key barrier to their XK development. The study highlights the i</w:t>
      </w:r>
    </w:p>
    <w:p>
      <w:pPr/>
      <w:r>
        <w:rPr>
          <w:b/>
        </w:rPr>
        <w:t>POSSIBLE 2025:</w:t>
      </w:r>
      <w:r>
        <w:t xml:space="preserve"> An Analysis of Gen Z’s Perception Types on the Culture of Korean Workplace Gatherings(Hoesik): A Q Methodological Approach — https://doi.org/10.21329/khrd.2025.20.3.65</w:t>
      </w:r>
    </w:p>
    <w:p>
      <w:pPr/>
      <w:r>
        <w:rPr>
          <w:b/>
        </w:rPr>
        <w:t>Shared claim-specific concepts:</w:t>
      </w:r>
      <w:r>
        <w:t xml:space="preserve"> analyzing, diverse, contextual, used, culture; EU scope not established. This is a provisional connection, not an outcome finding.</w:t>
      </w:r>
    </w:p>
    <w:p>
      <w:pPr>
        <w:pStyle w:val="SourceNote"/>
      </w:pPr>
      <w:r>
        <w:rPr>
          <w:b/>
        </w:rPr>
        <w:t>Available abstract (not full text):</w:t>
      </w:r>
      <w:r>
        <w:t xml:space="preserve"> The purpose of this study is to identify the types of perceptions of Gen Z(Generation Z) toward Korean Workplace Gatherings “Hoesik” culture and to analyze the characteristics of each type. To achieve this purpose, the Q method was used to explore in depth the subjective perceptions, attitudes, and values that Gen Z employees hold regarding Hoesik culture. As a result of analyzing 30 participants from Gen Z who are currently employed in organizations, a total of 4 types of perception were identified. First, the ‘Traditional Hoesik Maintenance’ type values the positive functions of Hoesik culture and holds a receptive attitude. Second, the ‘Hoesik Burden and Avoidance’ type highlights the psychological pressure imposed by Korea’s collectivism and authoritarianism. Third, the ‘Hoesik Diversity Acceptance’ type recognizes generational gaps and values leadership-driven changes and efforts toward communication. Fourth, the ‘Autonomous Hoesik Participation-Oriented’ type emphasizes autonomy and voluntary engagement beyond relational obligations. Overall, the findings indicate that Gen Z’s perceptions of Hoesik culture manifest in diverse ways, and that individual differences and contextual factors must be considered. In addition, a more three-dimensional approach is needed given that perceptions of Hoesik culture are influenced not only by generational factors but also by structural </w:t>
      </w:r>
    </w:p>
    <w:p>
      <w:pPr/>
      <w:r>
        <w:rPr>
          <w:b/>
        </w:rPr>
        <w:t>POSSIBLE 2025:</w:t>
      </w:r>
      <w:r>
        <w:t xml:space="preserve"> Predicting the success of local gatherings: A comparison of organizer- and participant-side success in Meetup — https://doi.org/10.1016/j.cities.2025.106530</w:t>
      </w:r>
    </w:p>
    <w:p>
      <w:pPr/>
      <w:r>
        <w:rPr>
          <w:b/>
        </w:rPr>
        <w:t>Shared claim-specific concepts:</w:t>
      </w:r>
      <w:r>
        <w:t xml:space="preserve"> diverse, planning, used; EU scope not established. This is a provisional connection, not an outcome finding.</w:t>
      </w:r>
    </w:p>
    <w:p>
      <w:pPr>
        <w:pStyle w:val="SourceNote"/>
      </w:pPr>
      <w:r>
        <w:rPr>
          <w:b/>
        </w:rPr>
        <w:t>Available abstract (not full text):</w:t>
      </w:r>
      <w:r>
        <w:t xml:space="preserve"> This study examines the dynamics of local gatherings facilitated by Event-Based Social Networking (EBSN) platforms, an increasingly prominent mode of social interaction in urban settings. Although EBSN platforms are widely used to organize local events, little research has investigated the factors that determine their success across diverse urban environments or how socio-spatial contexts shape participation. To address this gap, we analyze a large-scale dataset of more than one million events across the 500 largest U.S. cities from Meetup.com by integrating geospatial, community-level, and event-specific features to predict event success. We develop models that assess event success from both participant and organizer perspectives. The results show that participant engagement is driven primarily by community characteristics, whereas organizer outcomes are shaped by a broader mix of features. Consistent patterns in event category preferences, such as the high participation observed in fitness-related events, indicate the influence of socio-cultural characteristics. Moreover, city-level differences underscore the importance of local context, as success rates vary independently of population size. These findings not only align with social theories on urban interaction and participation but also offer actionable insights for platform designers, community organizers, and policymaker</w:t>
      </w:r>
    </w:p>
    <w:p>
      <w:pPr/>
      <w:r>
        <w:rPr>
          <w:b/>
        </w:rPr>
        <w:t>POSSIBLE 2025:</w:t>
      </w:r>
      <w:r>
        <w:t xml:space="preserve"> Analyzing National War Propaganda Through Comparison of Diverse Case Studies — https://doi.org/10.15760/etd.4014</w:t>
      </w:r>
    </w:p>
    <w:p>
      <w:pPr/>
      <w:r>
        <w:rPr>
          <w:b/>
        </w:rPr>
        <w:t>Shared claim-specific concepts:</w:t>
      </w:r>
      <w:r>
        <w:t xml:space="preserve"> analyzing, diverse, used; EU scope not established. This is a provisional connection, not an outcome finding.</w:t>
      </w:r>
    </w:p>
    <w:p>
      <w:pPr>
        <w:pStyle w:val="SourceNote"/>
      </w:pPr>
      <w:r>
        <w:rPr>
          <w:b/>
        </w:rPr>
        <w:t>Available abstract (not full text):</w:t>
      </w:r>
      <w:r>
        <w:t xml:space="preserve"> In the build-up to war, national governments utilize propaganda to gather public support for the war effort. In some instances, propaganda campaigns are conducted but war does not occur. This begs the question as to why war follows propaganda campaigns in some cases, but not in others. I argue that propaganda efforts that lead to war can be generally characterized through three major strategies based on a patriotic participatory social structure, a claim to moral authority, and the blending of individual concepts of the state, government and nation. In this study, I analyze the major historical case studies of the Spanish-American war, Imperial Japan, the U.S. invasion of Iraq in 2003, the U.S-Soviet Union Cold War confrontation, and the Kashmir dispute between India and Pakistan to study the relationship between propaganda and war. I use a qualitative content analysis methodology to analyze pro-war statements from politicians, military officials and media leaders to determine the similarities and differences in the language, ideology and framing strategies used in various cases of international conflict. In cases where propaganda campaigns lead to war, I find that appeals based on moral authority, citizen-state participation and the merging of independent notions of statehood, cultural heritage and shared national history are employed by national governments and reiterated by </w:t>
      </w:r>
    </w:p>
    <w:p>
      <w:pPr/>
      <w:r>
        <w:rPr>
          <w:b/>
        </w:rPr>
        <w:t>POSSIBLE 2024:</w:t>
      </w:r>
      <w:r>
        <w:t xml:space="preserve"> Hands-On Data Gathering — https://doi.org/10.4312/vestnik.16.155-174</w:t>
      </w:r>
    </w:p>
    <w:p>
      <w:pPr/>
      <w:r>
        <w:rPr>
          <w:b/>
        </w:rPr>
        <w:t>Shared claim-specific concepts:</w:t>
      </w:r>
      <w:r>
        <w:t xml:space="preserve"> gathering, diverse, used; EU scope not established. This is a provisional connection, not an outcome finding.</w:t>
      </w:r>
    </w:p>
    <w:p>
      <w:pPr>
        <w:pStyle w:val="SourceNote"/>
      </w:pPr>
      <w:r>
        <w:rPr>
          <w:b/>
        </w:rPr>
        <w:t>Available abstract (not full text):</w:t>
      </w:r>
      <w:r>
        <w:t xml:space="preserve"> Data collection is a fundamental aspect of linguistic and sociolinguistic research methodologies, and while many scholars may choose to gather their own data, others tend to rely solely on data that are readily available. There are various different methods of elicitation, including conducting interviews, questionnaires or leading focus groups to gather data, either as the main source of information or to complement existing material, which will most likely enhance both the quality of the research as well enriching the researcher’s personal experience. This paper aims to elucidate the experience gained by two researchers who implemented different data-collection methodologies during their research projects, to gather suitable data and conduct their analysis of the English language – one written the other oral – in two diverse, yet specialized, settings. They introduce their subjects of study and the communities in which the studies took place in order to help the reader get acquainted with the context, and then proceed to describe the processes they carried out. Their aim is to offer a retrospective on the decisions made, the evolution of their data-gathering approaches to determine the suitability of the focal methodologies, and the results.The aim of the paper is to contribute to the literature and applied linguistics research fields by disseminating empirical information on </w:t>
      </w:r>
    </w:p>
    <w:p>
      <w:pPr/>
      <w:r>
        <w:rPr>
          <w:b/>
        </w:rPr>
        <w:t>POSSIBLE 2024:</w:t>
      </w:r>
      <w:r>
        <w:t xml:space="preserve"> A Battlefield of Textual Elements: Bookishness in Magic: The Gathering — https://doi.org/10.3366/tna.2024.0024</w:t>
      </w:r>
    </w:p>
    <w:p>
      <w:pPr/>
      <w:r>
        <w:rPr>
          <w:b/>
        </w:rPr>
        <w:t>Shared claim-specific concepts:</w:t>
      </w:r>
      <w:r>
        <w:t xml:space="preserve"> gathering, diverse, used, culture; EU scope not established. This is a provisional connection, not an outcome finding.</w:t>
      </w:r>
    </w:p>
    <w:p>
      <w:pPr>
        <w:pStyle w:val="SourceNote"/>
      </w:pPr>
      <w:r>
        <w:rPr>
          <w:b/>
        </w:rPr>
        <w:t>Available abstract (not full text):</w:t>
      </w:r>
      <w:r>
        <w:t xml:space="preserve"> The Magic: The Gathering trading card is an underexplored bookish medium for literary theory and print culture that promotes the interrogation of existing conventions of authorship, paratext, and ephemerality. By focusing on the Magic card through a literary lens rather than one of game studies, the cards reveal as much about themselves as they reveal about literary theory. As a user centric medium, Magic cards connect to the larger history of commonplace books and support Barthes’ claim of author death. Conversely, the diverse discursive contexts in which Magic cards are used demonstrate the usefulness of Foucault’s “author function”. Additionally, the compact size of the Magic card creates tension that strains paratextual understandings of unity. By looking at the Magic card as a bookish form, current theoretical understandings are further developed, and real word applications, creating anti-racist spaces and promoting nonlinear and communal storytelling, become demystified.</w:t>
      </w:r>
    </w:p>
    <w:p>
      <w:pPr/>
      <w:r>
        <w:rPr>
          <w:b/>
        </w:rPr>
        <w:t>POSSIBLE 2023:</w:t>
      </w:r>
      <w:r>
        <w:t xml:space="preserve"> Editors’ Note: Assembly, Gathering and Being with Dance — https://doi.org/10.1017/s0149767723000293</w:t>
      </w:r>
    </w:p>
    <w:p>
      <w:pPr/>
      <w:r>
        <w:rPr>
          <w:b/>
        </w:rPr>
        <w:t>Shared claim-specific concepts:</w:t>
      </w:r>
      <w:r>
        <w:t xml:space="preserve"> gathering, diverse, view; EU scope not established. This is a provisional connection, not an outcome finding.</w:t>
      </w:r>
    </w:p>
    <w:p>
      <w:pPr>
        <w:pStyle w:val="SourceNote"/>
      </w:pPr>
      <w:r>
        <w:rPr>
          <w:b/>
        </w:rPr>
        <w:t>Available abstract (not full text):</w:t>
      </w:r>
      <w:r>
        <w:t xml:space="preserve"> Editors' Note: Assembly, Gathering and Being with DanceAssembly offers an affair of appearance in which people find common ground in public view or private space.Dance, social choreography, protests, and other forms of assembly are marked by actions that index shared beliefs about the self, the group, and broader social conditions.Assembly might be interpreted as expressing self-determination and the sovereignty of a commons-an ephemeral consolidation of bodies made manifest by the mutual decision to show up for something (Hardt and Negri 2017).That said, although spontaneous gatherings or carefully planned political protests might signal shared values through acts of popular will, copresence is not synonymous with homogeneity.Thus, an interest in the complexities of group formationthe processes and politics of gathering amid dance-drives this special issue of Dance Research Journal.Whereas assembly can be a strategy of turning the singular into the plural or the crowd into the collective, the practice of gathering-whether in a classroom, at a protest, or online-is rarely simple or straightforward.Sure, the presence of those gathered may be intentional, but a politics of belonging conditions the diverse experience of being together.Increasingly, gatherings are facilitated, framed, and disseminated by technological devices and artificial intelligence systems.We wondered, what ar</w:t>
      </w:r>
    </w:p>
    <w:p>
      <w:pPr>
        <w:pStyle w:val="Heading2"/>
      </w:pPr>
      <w:r>
        <w:t>693. Use of Counterfactual Population Projections for Assessing the Demographic Determinants of Population Ageing</w:t>
      </w:r>
    </w:p>
    <w:p>
      <w:pPr>
        <w:pStyle w:val="SourceNote"/>
      </w:pPr>
      <w:r>
        <w:rPr>
          <w:b/>
        </w:rPr>
        <w:t>Original source (2020):</w:t>
      </w:r>
      <w:r>
        <w:t xml:space="preserve"> https://doi.org/10.1007/s10680-020-09567-9</w:t>
      </w:r>
    </w:p>
    <w:p>
      <w:pPr/>
      <w:r>
        <w:t>Original wording (abstract; indexed_source_text_not_full_document_verified): (3) Different ageing indices tend to produce similar qualitative conclusions, but quantitative results may differ markedly. Abstract Counterfactual population projections have been used to estimate the contributions of fertility and mortality to population ageing, a method recently designated as the gold standard for this purpose.</w:t>
      </w:r>
    </w:p>
    <w:p>
      <w:pPr/>
      <w:r>
        <w:rPr>
          <w:b/>
        </w:rPr>
        <w:t>POSSIBLE 2026:</w:t>
      </w:r>
      <w:r>
        <w:t xml:space="preserve"> Inconsistent findings of ageing across different feather-quality indices in a wild passerine — https://doi.org/10.32942/x28953</w:t>
      </w:r>
    </w:p>
    <w:p>
      <w:pPr/>
      <w:r>
        <w:rPr>
          <w:b/>
        </w:rPr>
        <w:t>Shared claim-specific concepts:</w:t>
      </w:r>
      <w:r>
        <w:t xml:space="preserve"> different, ageing, indices, tend, but, population; EU scope not established. This is a provisional connection, not an outcome finding.</w:t>
      </w:r>
    </w:p>
    <w:p>
      <w:pPr>
        <w:pStyle w:val="SourceNote"/>
      </w:pPr>
      <w:r>
        <w:rPr>
          <w:b/>
        </w:rPr>
        <w:t>Available abstract (not full text):</w:t>
      </w:r>
      <w:r>
        <w:t xml:space="preserve"> In most animals, individuals tend to decline in performance in later life, known as ageing. In birds, studies of ageing have traditionally concentrated on metrics of survival and reproductive success, whereas morphological traits have received comparatively little attention. Feather quality is a key morphological trait for passerines as it contributes to flight performance, camouflage and thermoregulation, and is, therefore, important for survival. However, there are, as of yet, very few studies on how feather quality changes with age. In this study, we use a closely monitored natural population of long-lived Seychelles warblers to investigate whether and how three different indices of feather quality change with age within individuals. We found that feather mass-to-length ratio increased with age (indicating improving quality with age), while rachis width declined with age (indicating declining quality), and barbule density showed no ageing pattern. All feather quality indices showed no sex differences in ageing rates. The inconsistent findings of ageing across the three feather quality indices may suggest that life history trade-offs between feather quality and survival or reproduction are not as strong, and feather quality may not be a costly trait to maintain. Age-related improvements of mass-to-length ratio but not the other indices may also suggest that certain aspects of</w:t>
      </w:r>
    </w:p>
    <w:p>
      <w:pPr/>
      <w:r>
        <w:rPr>
          <w:b/>
        </w:rPr>
        <w:t>POSSIBLE 2026:</w:t>
      </w:r>
      <w:r>
        <w:t xml:space="preserve"> Mitigating ageing-induced stiffening in asphalt mixtures using zinc diethyldithiocarbamate: mechanical performance, digital image correlation, and inter-laboratory validation — https://doi.org/10.1617/s11527-026-03313-z</w:t>
      </w:r>
    </w:p>
    <w:p>
      <w:pPr/>
      <w:r>
        <w:rPr>
          <w:b/>
        </w:rPr>
        <w:t>Shared claim-specific concepts:</w:t>
      </w:r>
      <w:r>
        <w:t xml:space="preserve"> different, ageing, indices, abstract; EU scope not established. This is a provisional connection, not an outcome finding.</w:t>
      </w:r>
    </w:p>
    <w:p>
      <w:pPr>
        <w:pStyle w:val="SourceNote"/>
      </w:pPr>
      <w:r>
        <w:rPr>
          <w:b/>
        </w:rPr>
        <w:t>Available abstract (not full text):</w:t>
      </w:r>
      <w:r>
        <w:t xml:space="preserve"> Abstract While antioxidant additives have shown promising results to mitigate oxidative ageing at the binder scale, their effectiveness at the asphalt mixture level and their reproducibility across different laboratories remain insufficiently understood. This study evaluates the potential of zinc diethyldithiocarbamate (ZDC) to mitigate ageing-induced stiffening in asphalt mixtures through a comprehensive mechanical characterisation and an inter-laboratory validation campaign. Asphalt mixtures containing 3% and 5% ZDC by binder weight, together with an unmodified reference mixture, were subjected to unaged, short-term (ST) aged, and long-term (LT) aged conditions. Mechanical performance was assessed using dynamic modulus, semi-circular bending (SCB), indirect tensile strength (ITS), and digital image correlation (DIC). To account for differences in mixture composition among laboratories, normalised ITS Ageing Indices (IAI) were introduced and statistically analysed. The results showed that ZDC effectively mitigated ageing-induced stiffening. Dynamic modulus testing indicated that 5% ZDC reduced the ageing susceptibility of the mixtures by approximately 30% compared with the control mixture, while SCB, ITS, and DIC analyses demonstrated improved cracking resistance, enhanced ductility, and reduced strain localisation after ageing. Despite differences in mixture composition and g</w:t>
      </w:r>
    </w:p>
    <w:p>
      <w:pPr/>
      <w:r>
        <w:rPr>
          <w:b/>
        </w:rPr>
        <w:t>POSSIBLE 2026:</w:t>
      </w:r>
      <w:r>
        <w:t xml:space="preserve"> Regional Disparities in Ageing and Longevity in Nepal: A Comprehensive Analysis by Province and Ecological Zone — https://doi.org/10.3126/oj.v3i4.91080</w:t>
      </w:r>
    </w:p>
    <w:p>
      <w:pPr/>
      <w:r>
        <w:rPr>
          <w:b/>
        </w:rPr>
        <w:t>Shared claim-specific concepts:</w:t>
      </w:r>
      <w:r>
        <w:t xml:space="preserve"> ageing, indices, differ, population, fertility; EU scope not established. This is a provisional connection, not an outcome finding.</w:t>
      </w:r>
    </w:p>
    <w:p>
      <w:pPr>
        <w:pStyle w:val="SourceNote"/>
      </w:pPr>
      <w:r>
        <w:rPr>
          <w:b/>
        </w:rPr>
        <w:t>Available abstract (not full text):</w:t>
      </w:r>
      <w:r>
        <w:t xml:space="preserve"> The current demographic transition in Nepal is characterized by low fertility and increasing life expectancy rates, which result in a very fast aging population. This paper discusses the trend in population aging and disparities involving regional and gender differences in both survival and life expectancy and its implications for social and health policy. The analysis is based on census data of 1952/54, 1991, and 2021 to give estimates of the percentage and growth of older adults (60+ in 1991 and 65+ in 2021), dependency rates, aging indices, survival rates, and remaining life expectancy by ecological zone and province. The descriptive statistical techniques are applied to examine the long-term trends and spatial inequalities. Results show that the percentage of older adults grew from 5.0 percent in 1952/54 to 10.2 percent in 2021, which is higher than the national average. The indicators of ageing differ greatly by the provinces; women always have higher survival and life expectancy than men. This paper presents a geographically disaggregated observation of the aging population in Nepal and suggests the necessity to implement equity-based and differentiated social and health protection measures.</w:t>
      </w:r>
    </w:p>
    <w:p>
      <w:pPr/>
      <w:r>
        <w:rPr>
          <w:b/>
        </w:rPr>
        <w:t>POSSIBLE 2026:</w:t>
      </w:r>
      <w:r>
        <w:t xml:space="preserve"> RBP4 in Ageing — https://doi.org/10.3390/biomedicines14020463</w:t>
      </w:r>
    </w:p>
    <w:p>
      <w:pPr/>
      <w:r>
        <w:rPr>
          <w:b/>
        </w:rPr>
        <w:t>Shared claim-specific concepts:</w:t>
      </w:r>
      <w:r>
        <w:t xml:space="preserve"> different, ageing, conclusions; EU scope not established. This is a provisional connection, not an outcome finding.</w:t>
      </w:r>
    </w:p>
    <w:p>
      <w:pPr>
        <w:pStyle w:val="SourceNote"/>
      </w:pPr>
      <w:r>
        <w:rPr>
          <w:b/>
        </w:rPr>
        <w:t>Available abstract (not full text):</w:t>
      </w:r>
      <w:r>
        <w:t xml:space="preserve"> Background: The protein that binds to retinol 4 (RBP4), is a lipocalin-family protein, secreted primarily by the adipose tissue and the liver, and has also been reported to be produced by other tissues, including the kidney. This protein mediates the transport of vitamin A (retinol) in the circulation, bound to a transporter protein, transthyretin. In recent years, RBP4 has been shown to contribute to the development of insulin resistance and a range of metabolic disorders such as type 2 diabetes mellitus, gestational diabetes, obesity, metabolic syndrome, hyperuricaemia, metabolic dysfunction-associated steatotic liver disease (MASLD), and cardiorenal diseases. Objectives: The objective was to analyse the role of RBP4 in ageing, as well as its mechanisms and effects across organs and systems. Results: Circulating RBP4 levels increase with age and have been related to the onset of various processes like sarcopenia, elevated neurodegenerative markers in the brain, and an increase in TSH levels. Furthermore, it appears that in ageing, the rise in RBP4 is related to the development of atherogenesis, chronic kidney disease, and osteoarthritis. These effects appear to be mediated by chronic inflammation along with the development of insulin resistance, increased oxidative stress and mitochondrial dysfunction, inhibition of autophagy, and intestinal dysbiosis. Conclusions: RBP4 is a </w:t>
      </w:r>
    </w:p>
    <w:p>
      <w:pPr/>
      <w:r>
        <w:rPr>
          <w:b/>
        </w:rPr>
        <w:t>POSSIBLE 2026:</w:t>
      </w:r>
      <w:r>
        <w:t xml:space="preserve"> Spatial Temporal Pattern Of Demographic Ageing In Far-West Province Of Nepal — https://doi.org/10.3126/dmcrj.v7i01.101015</w:t>
      </w:r>
    </w:p>
    <w:p>
      <w:pPr/>
      <w:r>
        <w:rPr>
          <w:b/>
        </w:rPr>
        <w:t>Shared claim-specific concepts:</w:t>
      </w:r>
      <w:r>
        <w:t xml:space="preserve"> ageing, population, used; EU scope not established. This is a provisional connection, not an outcome finding.</w:t>
      </w:r>
    </w:p>
    <w:p>
      <w:pPr>
        <w:pStyle w:val="SourceNote"/>
      </w:pPr>
      <w:r>
        <w:rPr>
          <w:b/>
        </w:rPr>
        <w:t>Available abstract (not full text):</w:t>
      </w:r>
      <w:r>
        <w:t xml:space="preserve"> This study deals with the spatial–temporal pattern of demographic ageing in Sudurpashchim (Far-West) Province of Nepal with regards to regional disparities, migration and gender. The main aims are to study trends in ageing over time, the distribution of elderly people across districts and ecological regions, and the relationship between migration and ageing. The study is based on a descriptive-analytical research design using secondary data obtained from the population censuses (1981–2021). Key indicators including the ageing index, old-age dependency ratio, proportion of the population aged 60 and above and spatial analysis are used to understand geographical variations. The study finds that the proportion of elderly people increases from 5.5% in 1981 to 9.4% in 2021. The study shows a strong feminization of aging, with females making up 54.9% of the elderly population due to longer lifespan and male out-migration. Spatial analysis reveals that hills and mountains have higher ageing intensity due to youth migration, while Tarai has a larger elderly population in absolute terms. Most elderly are concentrated in the 60–69 age groups, indicating early to moderate ageing. The study finds that demographic ageing in Far-West Nepal is highly geographically determined and thus calls for a geographical approach in formulating region-specific policies on elderly welfare.</w:t>
      </w:r>
    </w:p>
    <w:p>
      <w:pPr/>
      <w:r>
        <w:rPr>
          <w:b/>
        </w:rPr>
        <w:t>POSSIBLE 2026:</w:t>
      </w:r>
      <w:r>
        <w:t xml:space="preserve"> Rheological Properties of Bitumen and Asphalt Mixtures Realised in Varying Laboratory and in Situ Ageing Protocols — https://doi.org/10.3390/coatings16020257</w:t>
      </w:r>
    </w:p>
    <w:p>
      <w:pPr/>
      <w:r>
        <w:rPr>
          <w:b/>
        </w:rPr>
        <w:t>Shared claim-specific concepts:</w:t>
      </w:r>
      <w:r>
        <w:t xml:space="preserve"> different, ageing, quantitative; EU scope not established. This is a provisional connection, not an outcome finding.</w:t>
      </w:r>
    </w:p>
    <w:p>
      <w:pPr>
        <w:pStyle w:val="SourceNote"/>
      </w:pPr>
      <w:r>
        <w:rPr>
          <w:b/>
        </w:rPr>
        <w:t>Available abstract (not full text):</w:t>
      </w:r>
      <w:r>
        <w:t xml:space="preserve"> Ageing significantly affects the long-term durability of asphalt pavements, yet quantitative correlations between laboratory ageing protocols and actual field ageing remain insufficiently defined. This study investigates the ageing behaviour of an 80/100 penetration-grade bitumen at binder, mixture, and field levels to establish equivalence relationships among different ageing pathways. Binder samples were subjected to RTFO, PAV (20–60 h), and coupled thermal–photo-oxidative ageing (RTFO + PAV + UV, 6–18 d). Asphalt mixtures were oven-aged at 85 °C for 5–10 d, followed by binder extraction and recovery, and field-aged binders were obtained from a 12-year-old pavement in Xinjiang, China. Rheological properties were characterised using frequency sweep and multiple stress creep and recovery tests, from which ageing index (AI), low-temperature ageing index (LAI), Glover–Rowe (G–R) parameter, and nonrecoverable compliance (Jnr) were derived. AI increased from 1.00 for virgin binder to 1.12 under coupled ageing, while G–R increased from near zero to 318 kPa after 60 h PAV ageing and exceeded 400 kPa under coupled ageing. UV exposure increased G–R by approximately 20%–65% relative to thermal ageing alone. Nonlinear growth models described property evolution with high reliability (R2 = 0.995–0.999). Equivalent ageing analysis showed that RTFO + PAV required over 50 h to reproduce field</w:t>
      </w:r>
    </w:p>
    <w:p>
      <w:pPr/>
      <w:r>
        <w:rPr>
          <w:b/>
        </w:rPr>
        <w:t>POSSIBLE 2026:</w:t>
      </w:r>
      <w:r>
        <w:t xml:space="preserve"> Advancements in mitigating oxidative ageing in bitumen using zinc diethyldithiocarbamate (ZDC) as antioxidant: evidence from phase 2B of a global interlaboratory investigation — https://doi.org/10.1617/s11527-026-03114-4</w:t>
      </w:r>
    </w:p>
    <w:p>
      <w:pPr/>
      <w:r>
        <w:rPr>
          <w:b/>
        </w:rPr>
        <w:t>Shared claim-specific concepts:</w:t>
      </w:r>
      <w:r>
        <w:t xml:space="preserve"> different, ageing, but, abstract; EU scope not established. This is a provisional connection, not an outcome finding.</w:t>
      </w:r>
    </w:p>
    <w:p>
      <w:pPr>
        <w:pStyle w:val="SourceNote"/>
      </w:pPr>
      <w:r>
        <w:rPr>
          <w:b/>
        </w:rPr>
        <w:t>Available abstract (not full text):</w:t>
      </w:r>
      <w:r>
        <w:t xml:space="preserve"> Abstract The use of antioxidants presents a promising strategy to slow oxidation of bitumen, thereby enhancing the durability of asphalt pavements. While previous interlaboratory collaborative efforts have established first evidence that antioxidants such as Zinc Diethyldithiocarbamate (ZDC) can mitigate bitumen oxidation, an in-depth evaluation is needed to solidify the findings. This study offers a systematic assessment of internationally coordinated efforts in advancing bitumen antioxidation research. ZDC was incorporated at dosages of 3% and 5% using different bitumen samples from diverse geographical regions. High-temperature performance grading, multiple stress creep recovery, frequency sweep, and bending beam rheometer tests were conducted. Statistical analyses were performed to assess the significance of ZDC’s effects. On average, the addition of ZDC increased the nonrecoverable compliance by 0.37 kPa −1 at the dosage of 3% and 0.15 kPa −1 at 5%, but this effect was statistically insignificant. The addition of ZDC mitigated the hardening and relaxation deterioration simultaneously, thereby improving bitumen’s low-temperature performance. Furthermore, ZDC significantly reduced the Glover-Rowe (G-R) parameter, which is associated with extended service life of asphalt pavements. The average ageing index (based on the G-R parameter) of bitumen modified with 3% ZDC was reduc</w:t>
      </w:r>
    </w:p>
    <w:p>
      <w:pPr/>
      <w:r>
        <w:rPr>
          <w:b/>
        </w:rPr>
        <w:t>POSSIBLE 2025:</w:t>
      </w:r>
      <w:r>
        <w:t xml:space="preserve"> Ageing of Red Wine (cv. Negroamaro) in Mediterranean Areas: Impact of Different Barrels and Apulian Traditional Amphorae on Phenolic Indices, Volatile Composition and Sensory Analysis — https://doi.org/10.3390/foods14040650</w:t>
      </w:r>
    </w:p>
    <w:p>
      <w:pPr/>
      <w:r>
        <w:rPr>
          <w:b/>
        </w:rPr>
        <w:t>Shared claim-specific concepts:</w:t>
      </w:r>
      <w:r>
        <w:t xml:space="preserve"> different, ageing, indices; EU scope visible. This is a provisional connection, not an outcome finding.</w:t>
      </w:r>
    </w:p>
    <w:p>
      <w:pPr>
        <w:pStyle w:val="SourceNote"/>
      </w:pPr>
      <w:r>
        <w:rPr>
          <w:b/>
        </w:rPr>
        <w:t>Available abstract (not full text):</w:t>
      </w:r>
      <w:r>
        <w:t xml:space="preserve"> This study investigated the impact of different ageing containers on the volatile composition and quality of Negroamaro wine, a key variety from Apulia, Italy. Seven vessel types were evaluated: traditional Apulian amphorae (ozza), five types of oak barrels (American oak, French oak, European oak, a French + European oak and a multi-wood mix) and glass bottles as the control. The impact of the vessels was evaluated after 6 months of ageing through the characterization of phenolic, volatile and sensory profiles. Amphorae allowed a specific evolution of the wine's primary aromas, such as fruity and floral notes, while enhancing volatile compounds like furaneol, which contributed to caramel and red fruit nuances, and also 3-methyl-2,4-nonanedione, a key compound related to anise, plum and premature ageing, depending on its concentration. This container also demonstrated effectiveness in stabilizing anthocyanin-tannin complexes, supporting color stabilization. Oak barrels allowed different outcomes to be obtained in terms of color stabilization, volatile profile, aroma and astringency. French oak exhibited the highest phenolic and tannin levels, enhancing anthocyanin stabilization and color intensity. European oak followed closely, while American oak excelled in color stabilization, with tannins less reactive to polymers. Mixed wood barrels showed lower phenolic extraction and the </w:t>
      </w:r>
    </w:p>
    <w:p>
      <w:pPr/>
      <w:r>
        <w:rPr>
          <w:b/>
        </w:rPr>
        <w:t>POSSIBLE 2025:</w:t>
      </w:r>
      <w:r>
        <w:t xml:space="preserve"> The Demographic Challenge Analyzed Through Ageing Indices in Extremadura and Andalusia (Spain) with Cluster Mapping Tools — https://doi.org/10.3390/land14061129</w:t>
      </w:r>
    </w:p>
    <w:p>
      <w:pPr/>
      <w:r>
        <w:rPr>
          <w:b/>
        </w:rPr>
        <w:t>Shared claim-specific concepts:</w:t>
      </w:r>
      <w:r>
        <w:t xml:space="preserve"> ageing, indices, used; EU scope visible. This is a provisional connection, not an outcome finding.</w:t>
      </w:r>
    </w:p>
    <w:p>
      <w:pPr>
        <w:pStyle w:val="SourceNote"/>
      </w:pPr>
      <w:r>
        <w:rPr>
          <w:b/>
        </w:rPr>
        <w:t>Available abstract (not full text):</w:t>
      </w:r>
      <w:r>
        <w:t xml:space="preserve"> This study examines the demographic dynamics of Extremadura and Andalusia, two autonomous communities in southern Spain characterized by low income levels and marked territorial differences in terms of ageing and depopulation. Based on the observation of growing demographic pressure associated with low birth rates and emigration to more economically dynamic areas, a methodological approach based on spatial analysis techniques is proposed. In particular, the ageing index and demographic dependency ratio indicators are used, applying tools such as Hot Spot Analysis and Cluster and Outlier Analysis to identify significant spatial patterns and outliers. The results show a high concentration of ageing and dependency in provinces such as Cáceres and Almería, suggesting greater demographic vulnerability. In contrast, urban areas such as Seville and Granada, as well as the Guadalquivir depression, show more favorable indicators, reflecting greater resilience. Likewise, municipalities with demographic behavior that is anomalous with respect to their surroundings are detected, which raises the need for micro-territorial studies aimed at understanding these exceptions and designing more effective public policies adapted to the local context.</w:t>
      </w:r>
    </w:p>
    <w:p>
      <w:pPr/>
      <w:r>
        <w:rPr>
          <w:b/>
        </w:rPr>
        <w:t>POSSIBLE 2025:</w:t>
      </w:r>
      <w:r>
        <w:t xml:space="preserve"> Decoupling oxidation and hardening in ageing: evaluation of bitumen-stone adhesion using different experimental methods — https://doi.org/10.1080/14680629.2025.2486525</w:t>
      </w:r>
    </w:p>
    <w:p>
      <w:pPr/>
      <w:r>
        <w:rPr>
          <w:b/>
        </w:rPr>
        <w:t>Shared claim-specific concepts:</w:t>
      </w:r>
      <w:r>
        <w:t xml:space="preserve"> different, ageing, indices; EU scope not established. This is a provisional connection, not an outcome finding.</w:t>
      </w:r>
    </w:p>
    <w:p>
      <w:pPr>
        <w:pStyle w:val="SourceNote"/>
      </w:pPr>
      <w:r>
        <w:rPr>
          <w:b/>
        </w:rPr>
        <w:t>Available abstract (not full text):</w:t>
      </w:r>
      <w:r>
        <w:t xml:space="preserve"> The adhesion at the bitumen-aggregate interface critically affects asphalt pavement resistance to moisture damage and cracking and is significantly influenced by the bitumen ageing process. Coupled oxidation and hardening during ageing lead to varying results across evaluation methods. This study employs direct tensile pull-off tests at iso-temperature and iso-stiffness conditions, contact angle tests, and boiling water tests to assess bitumen-stone adhesion at different ageing levels. Results indicate oxidation and hardening have dual impacts: short-term ageing initially enhances adhesion, while prolonged ageing reduces it significantly. Polymer-modified bitumen shows improved ageing resistance due to delayed polymer degradation. Iso-temperature tests fail to clearly differentiate oxidation from hardening effects, whereas iso-stiffness tests offer more accurate assessments by excluding physical hardening. Due to interactions between chemical and physical changes in bitumen, ageing evaluations vary by indices and binder type. A comprehensive assessment combining pull-off tensile tests, surface free energy analysis, and mixture-scale evaluations is recommended.</w:t>
      </w:r>
    </w:p>
    <w:p>
      <w:pPr/>
      <w:r>
        <w:rPr>
          <w:b/>
        </w:rPr>
        <w:t>POSSIBLE 2024:</w:t>
      </w:r>
      <w:r>
        <w:t xml:space="preserve"> Measuring and modelling Syrah red wines evolution: Ageing tests, color and new molecular indices — https://doi.org/10.1016/j.jfca.2024.106912</w:t>
      </w:r>
    </w:p>
    <w:p>
      <w:pPr/>
      <w:r>
        <w:rPr>
          <w:b/>
        </w:rPr>
        <w:t>Shared claim-specific concepts:</w:t>
      </w:r>
      <w:r>
        <w:t xml:space="preserve"> different, ageing, indices, but, used; EU scope not established. This is a provisional connection, not an outcome finding.</w:t>
      </w:r>
    </w:p>
    <w:p>
      <w:pPr>
        <w:pStyle w:val="SourceNote"/>
      </w:pPr>
      <w:r>
        <w:rPr>
          <w:b/>
        </w:rPr>
        <w:t>Available abstract (not full text):</w:t>
      </w:r>
      <w:r>
        <w:t xml:space="preserve"> A Syrah red wine ageing experiment was set up during 24 months to measure the influence of different micro-agglomerated corks on wine composition and color. Two new wine ageing indices based on targeting phenolic composition (I ox , oxidation index and I su , sulfonation index) or colorimetric one (Hue) are proposed. The results showed that the slopes of evolution of these indices varied according to the wine as well as the index studied, and that the initial composition played a predominant role in these evolutions. In addition, the oxygen transfer rate (OTR) of the cork modulates the rate of evolution of the oxidation index and color, but had no impact on the sulfonation index. Partial least squares (PLS) regressions were used in order to establish some models that can predict the ageing index slope based on accelerated ageing tests (AATs), voltammetric parameters and phenolic composition measured before bottling. The models involved different explaining variables for each test and showed good predictive capacities with correlation coefficients (R²) &gt; 0.79. • New wine ageing indices are proposed. • Those indices are based on wine colour or chemical composition. • Models for predicting those indices were produced. • The influence of cork oxygen permeability on wine ageing was proven.</w:t>
      </w:r>
    </w:p>
    <w:p>
      <w:pPr/>
      <w:r>
        <w:rPr>
          <w:b/>
        </w:rPr>
        <w:t>POSSIBLE 2024:</w:t>
      </w:r>
      <w:r>
        <w:t xml:space="preserve"> The effect of lab ageing on different types of fibre-reinforced bitumen — https://doi.org/10.1201/9781003402541-4</w:t>
      </w:r>
    </w:p>
    <w:p>
      <w:pPr/>
      <w:r>
        <w:rPr>
          <w:b/>
        </w:rPr>
        <w:t>Shared claim-specific concepts:</w:t>
      </w:r>
      <w:r>
        <w:t xml:space="preserve"> different, ageing, indices; EU scope not established. This is a provisional connection, not an outcome finding.</w:t>
      </w:r>
    </w:p>
    <w:p>
      <w:pPr>
        <w:pStyle w:val="SourceNote"/>
      </w:pPr>
      <w:r>
        <w:rPr>
          <w:b/>
        </w:rPr>
        <w:t>Available abstract (not full text):</w:t>
      </w:r>
      <w:r>
        <w:t xml:space="preserve"> Fibres have been introduced in the asphalt industry to improve the tensile strength and cracking resistance of pavement. In parallel, ageing is considered one of the causes of asphalt&amp;s;s deterioration. However, little research has described the effect of ageing when different types of fibres are incorporated into bitumen. Accordingly, this paper utilises different combinations of polypropylene, glass and basalt fibres in a conventional bituminous binder. Next, the fibre-reinforced binders are exposed to typical short- and long-term ageing protocols. A systematic evaluation of meaningful rheological indicators via a Dynamic Shear Rheometer (DSR) gives a more clear view of the role of each fibre type and the balance between the reinforcement potential and bitumen&amp;s;s degradation due to ageing. In parallel, the assessment of ageing-related indices by Fourier Transform Infrared (FTIR) spectrometer contributes to a better understanding of their rheological evaluation.</w:t>
      </w:r>
    </w:p>
    <w:p>
      <w:pPr>
        <w:pStyle w:val="Heading2"/>
      </w:pPr>
      <w:r>
        <w:t>694. Wood utilization scenarios and their sustainability impacts in Finland</w:t>
      </w:r>
    </w:p>
    <w:p>
      <w:pPr>
        <w:pStyle w:val="SourceNote"/>
      </w:pPr>
      <w:r>
        <w:rPr>
          <w:b/>
        </w:rPr>
        <w:t>Original source (2020):</w:t>
      </w:r>
      <w:r>
        <w:t xml:space="preserve"> https://doi.org/10.14214/df.292</w:t>
      </w:r>
    </w:p>
    <w:p>
      <w:pPr/>
      <w:r>
        <w:t>Original wording (abstract; indexed_source_text_not_full_document_verified): Social, economic and environmental impacts vary in different wood utilization patterns, and national level strategies should consider possible trade-offs and regional needs.This thesis explored a variety of wood utilization scenarios in Finland and assessed their possible future benefits and trade-offs in environmental, economic and social sustainability, forming plausible pathways to actualize preferred outcomes reflecting different priorities in the goal setting.The research was conducted by using model-based sustainability assessment tools, material flow based Tool for Sustainability Impact Assessment (ToSIA) and Lifecycle Assessment (LCA), and explorative participatory scenario methods visualizing the targets quantitatively.The participatory methods utilized actor and researcher stakeholders from industry, policy, and multiple R&amp;D fields.The results showed that cascading and shifting secondary wood flows e.g.industrial side streams and end-of-life wood-based products from energy uses to material uses, results in increased climate benefits and economic competitiveness.Energy use of wood had lower employment, value added, and substitution benefits as well as shorter carbon storing time compared with material uses of wood.Thus, modern wood-based construction, chemicals, textiles and composites need to increase their share in the product portfolios.National policy tools can support this development only to a limited extent, because the global markets set the market framework for wood uses.To change the global market environment, internationally renewed policies aiming at restricting fossil uses are needed to make wood-based material applications more competitive.European Union (EU) policies should also apply incentives to support factor integrates supporting renewable resource savings.Public financial support to develop new processing technologies and product design of wood-based modern applications are needed to boost cost-competitiveness.</w:t>
      </w:r>
    </w:p>
    <w:p>
      <w:pPr/>
      <w:r>
        <w:rPr>
          <w:b/>
        </w:rPr>
        <w:t>POSSIBLE 2026:</w:t>
      </w:r>
      <w:r>
        <w:t xml:space="preserve"> SOCIAL INEQUALITY AND ECONOMIC VULNERABILITY: A SOCIAL ECONOMIC PERSPECTIVE ON WELFARE POLICY — https://openalex.org/W7220295757</w:t>
      </w:r>
    </w:p>
    <w:p>
      <w:pPr/>
      <w:r>
        <w:rPr>
          <w:b/>
        </w:rPr>
        <w:t>Shared claim-specific concepts:</w:t>
      </w:r>
      <w:r>
        <w:t xml:space="preserve"> benefits; EU scope not established. This is a provisional connection, not an outcome finding.</w:t>
      </w:r>
    </w:p>
    <w:p>
      <w:pPr>
        <w:pStyle w:val="SourceNote"/>
      </w:pPr>
      <w:r>
        <w:rPr>
          <w:b/>
        </w:rPr>
        <w:t>Available abstract (not full text):</w:t>
      </w:r>
      <w:r>
        <w:t xml:space="preserve"> Social inequality and economic vulnerability remain persistent challenges in contemporary societies despite the expansion of welfare policies and social protection systems. Economic growth has not been evenly distributed, leaving significant segments of the population exposed to income insecurity, precarious employment, and limited access to welfare benefits. This study aims to analyze social inequality and economic vulnerability through a social economic perspective that examines how welfare policy design interacts with labor market structures and social institutions. The research employs a qualitative research design combining policy document analysis, secondary socio-economic data review, and interpretive analysis of welfare policy implementation. The findings reveal that existing welfare policies tend to provide short-term relief while inadequately addressing the structural drivers of vulnerability, particularly informal employment, labor market flexibilization, and institutional exclusion. Economic vulnerability is shown to extend beyond officially defined poverty, affecting near-poor and precariously employed groups who remain insufficiently protected by current welfare frameworks. The study concludes that welfare policy effectiveness depends not only on resource allocation but also on institutional alignment with contemporary economic realities. A social economic approac</w:t>
      </w:r>
    </w:p>
    <w:p>
      <w:pPr/>
      <w:r>
        <w:rPr>
          <w:b/>
        </w:rPr>
        <w:t>POSSIBLE 2026:</w:t>
      </w:r>
      <w:r>
        <w:t xml:space="preserve"> Economic, social, environmental, and institutional factors shaping onshore wind LCOE in Europe: Evidence from spatial panel models — https://doi.org/10.1016/j.enpol.2026.115652</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Prioritization of green transport strategies for the European road freight transport industry: A fuzzy multi-criteria decision-making framework based on political, economic, social, technological, environmental, and legal analysis — https://doi.org/10.1016/j.engappai.2026.116109</w:t>
      </w:r>
    </w:p>
    <w:p>
      <w:pPr/>
      <w:r>
        <w:rPr>
          <w:b/>
        </w:rPr>
        <w:t>Shared claim-specific concepts:</w:t>
      </w:r>
      <w:r>
        <w:t xml:space="preserve"> environmental, strategies;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Sustainability Pluralism in the Pharmaceutical Strategy for Europe: In Search of Social, Environmental and Economic Trends — https://doi.org/10.1017/9781839704994.036</w:t>
      </w:r>
    </w:p>
    <w:p>
      <w:pPr/>
      <w:r>
        <w:rPr>
          <w:b/>
        </w:rPr>
        <w:t>Shared claim-specific concepts:</w:t>
      </w:r>
      <w:r>
        <w:t xml:space="preserve"> environmental, level, consider, sustainability; EU scope visible. This is a provisional connection, not an outcome finding.</w:t>
      </w:r>
    </w:p>
    <w:p>
      <w:pPr>
        <w:pStyle w:val="SourceNote"/>
      </w:pPr>
      <w:r>
        <w:rPr>
          <w:b/>
        </w:rPr>
        <w:t>Available abstract (not full text):</w:t>
      </w:r>
      <w:r>
        <w:t xml:space="preserve"> 1. INTRODUCTION 1. When discussing sustainability of medicinal products at European Union (EU) level, the narrative often swiftly focusses on the European Green Deal. Even though the various EU institutions, bodies and agencies indeed consider environmental sustainability, the European Green Deal is only a partial expression of the EU's sustainability aims. This chapter discusses three categories of sustainability goals for the pharmaceutical sector, as set out by the European Commission in the Pharmaceutical Strategy for Europe: economic, social and environmental sustainability. The analysis aims to answer various questions including the number of documents per year issued focussing on pharmaceutical sustainability; which are the institutions and bodies involved; which types of legal documents they primarily use; and which (sub)types of sustainability the EU mostly focusses on. 2. In a first section, this chapter explores the three types of sustainability distinguished by the Pharmaceutical Strategy, describing in detail what qualifies under which type of sustainability for the subsequent analysis. A second section empirically assesses in how far the EU has acted upon these sustainability goals, by analysing the sustainability references embedded in the EU legal documents building on the Pharmaceutical Strategy for Europe. 2. FROM THE PHARMACEUTICAL STRATEGY's SUSTAINABILITY G</w:t>
      </w:r>
    </w:p>
    <w:p>
      <w:pPr/>
      <w:r>
        <w:rPr>
          <w:b/>
        </w:rPr>
        <w:t>POSSIBLE 2025:</w:t>
      </w:r>
      <w:r>
        <w:t xml:space="preserve"> Advancing the European energy transition based on environmental, economic and social justice - Supplementary Material — https://doi.org/10.5281/zenodo.17814966</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Supplementary material included in the article "Advancing the European energy transition based on environmental, economic and social justice".</w:t>
      </w:r>
    </w:p>
    <w:p>
      <w:pPr/>
      <w:r>
        <w:rPr>
          <w:b/>
        </w:rPr>
        <w:t>POSSIBLE 2025:</w:t>
      </w:r>
      <w:r>
        <w:t xml:space="preserve"> Promoting the European Sustainable Firm: How Economic, Social, and Green Innovation and the AI‐Based Technologies Create Pathways of Social and Environmental Sustainability — https://doi.org/10.1002/bse.70068</w:t>
      </w:r>
    </w:p>
    <w:p>
      <w:pPr/>
      <w:r>
        <w:rPr>
          <w:b/>
        </w:rPr>
        <w:t>Shared claim-specific concepts:</w:t>
      </w:r>
      <w:r>
        <w:t xml:space="preserve"> environmental, vary, sustainability; EU scope visible. This is a provisional connection, not an outcome finding.</w:t>
      </w:r>
    </w:p>
    <w:p>
      <w:pPr>
        <w:pStyle w:val="SourceNote"/>
      </w:pPr>
      <w:r>
        <w:rPr>
          <w:b/>
        </w:rPr>
        <w:t>Available abstract (not full text):</w:t>
      </w:r>
      <w:r>
        <w:t xml:space="preserve"> ABSTRACT The aim of this paper is to expand research on the digital and sustainability transitions in firms by analyzing the effects of artificial intelligence (AI)‐based technologies and incorporating their connections to economic, social, and green innovation processes. The main objective is to analyze whether and how these innovation dynamics—particularly the role of AI—mediate and reinforce the relationship between economic innovation and socio‐environmental sustainability outcomes. Using a large representative sample of 13,117 European firms from 2020 and applying partial least squares structural equation modeling (PLS‐SEM), we identify multiple sustainability trajectories. Our results show that while economic innovation alone contributes positively to social and environmental sustainability, its impact is significantly enhanced when combined with green/social innovation and AI‐based technologies, highlighting their role as drivers of sustainability. These factors exhibit differentiated mediating effects: Green and social innovation primarily amplifies environmental sustainability, whereas AI technologies accelerate social sustainability outcomes. The analysis also shows that these effects vary depending on firm size and the type of AI technology adopted (i.e., AI‐based algorithms and software vs. AI‐based hardware and infrastructures). These insights offer strategic guida</w:t>
      </w:r>
    </w:p>
    <w:p>
      <w:pPr/>
      <w:r>
        <w:rPr>
          <w:b/>
        </w:rPr>
        <w:t>POSSIBLE 2025:</w:t>
      </w:r>
      <w:r>
        <w:t xml:space="preserve"> Environmental, Social, and Governance (ESG) Performance and Economic Growth: An Econometric Analysis for Central European Countries — https://doi.org/10.18690/um.epf.5.2025.9</w:t>
      </w:r>
    </w:p>
    <w:p>
      <w:pPr/>
      <w:r>
        <w:rPr>
          <w:b/>
        </w:rPr>
        <w:t>Shared claim-specific concepts:</w:t>
      </w:r>
      <w:r>
        <w:t xml:space="preserve"> environmental; EU scope visible. This is a provisional connection, not an outcome finding.</w:t>
      </w:r>
    </w:p>
    <w:p>
      <w:pPr>
        <w:pStyle w:val="SourceNote"/>
      </w:pPr>
      <w:r>
        <w:rPr>
          <w:b/>
        </w:rPr>
        <w:t>Available abstract (not full text):</w:t>
      </w:r>
      <w:r>
        <w:t xml:space="preserve"> This study analyzes the impact of environmental, social, and governance (ESG) performance on economic growth in Central European countries. Using an econometric approach, the study assesses ESG indicators’ contribution to economic development and examines whether these factors drive sustainable growth. A scientific methodology based on secondary data from the World Bank’s annual reports was applied. Several econometric models, including multiple linear regression, random effects, fixed effects, Hausman-Taylor regression, GMM, and GEE models, were used. The results show a strong relationship between ESG performance and economic growth. Governance effectiveness and corruption control positively impact GDP growth, while increasing CO2 emissions negatively affect it. Similarly, investments in education and health contribute to long-term growth, emphasizing the importance of sustainable development policies. This research presents reliable results supporting conclusions and recommendations.</w:t>
      </w:r>
    </w:p>
    <w:p>
      <w:pPr/>
      <w:r>
        <w:rPr>
          <w:b/>
        </w:rPr>
        <w:t>POSSIBLE 2025:</w:t>
      </w:r>
      <w:r>
        <w:t xml:space="preserve"> Assessing environmental, social, political and legal, and economic challenges for cobalt supply from new mining projects in Europe — https://doi.org/10.1144/esss2025-007</w:t>
      </w:r>
    </w:p>
    <w:p>
      <w:pPr/>
      <w:r>
        <w:rPr>
          <w:b/>
        </w:rPr>
        <w:t>Shared claim-specific concepts:</w:t>
      </w:r>
      <w:r>
        <w:t xml:space="preserve"> environmental, national, finland; EU scope visible. This is a provisional connection, not an outcome finding.</w:t>
      </w:r>
    </w:p>
    <w:p>
      <w:pPr>
        <w:pStyle w:val="SourceNote"/>
      </w:pPr>
      <w:r>
        <w:rPr>
          <w:b/>
        </w:rPr>
        <w:t>Available abstract (not full text):</w:t>
      </w:r>
      <w:r>
        <w:t xml:space="preserve"> Despite abundant cobalt resources in Europe, only Finland and Turkey currently extract this metal. This study examines challenges to new cobalt supply by comparing seven exploration projects and two operating mines in Finland, Norway, Sweden and Turkey. A multicriteria analysis framework was developed to assess four domains, environmental (E), social (S), political and legal (G), and economic (EC), each with five to six indicators. The results highlight complex interactions between indicators on national and local scales. While Nordic countries have strong mineral governance and thus rank highly in the political and legal domain, challenges persist, amplified by low rankings in land use and territorial aspects for some projects, particularly Sakatti, due to its vicinity to protected areas, reindeer herding and indigenous people. Furthermore, economic conflicts of interest with tourism result in low rankings for Kuusamo in two social indicators. The arctic region is also particularly vulnerable to climate change, exacerbated by anthropogenic activity. Turkey's Çaldağ project ranks highest for cobalt recovery, but it ranks low in all but one environmental indicator, due to high energy consumption and weak environmental governance in Turkey. Many mining conflicts could be mitigated by earlier community engagement to gain a social licence to operate.</w:t>
      </w:r>
    </w:p>
    <w:p>
      <w:pPr/>
      <w:r>
        <w:rPr>
          <w:b/>
        </w:rPr>
        <w:t>POSSIBLE 2025:</w:t>
      </w:r>
      <w:r>
        <w:t xml:space="preserve"> European green bonds, carbon tax and crowding-out: The economic, social and environmental impacts of the EU's green investments under different financing scenarios — https://doi.org/10.1016/j.rser.2025.115330</w:t>
      </w:r>
    </w:p>
    <w:p>
      <w:pPr/>
      <w:r>
        <w:rPr>
          <w:b/>
        </w:rPr>
        <w:t>Shared claim-specific concepts:</w:t>
      </w:r>
      <w:r>
        <w:t xml:space="preserve"> environmental, impacts, different, level, benefits; EU scope visible. This is a provisional connection, not an outcome finding.</w:t>
      </w:r>
    </w:p>
    <w:p>
      <w:pPr>
        <w:pStyle w:val="SourceNote"/>
      </w:pPr>
      <w:r>
        <w:rPr>
          <w:b/>
        </w:rPr>
        <w:t>Available abstract (not full text):</w:t>
      </w:r>
      <w:r>
        <w:t xml:space="preserve"> This study provides novel insights into the economic, social and environmental impacts of green energy investments in the European Union using MAGNET, a computable general equilibrium model of the world economy. MAGNET was extended to include sector-specific investment allocation, investment risk premiums adjustment, and technology learning effects to endogenize productivity growth in renewable and bioenergy sectors. In line with the proposals on climate neutrality and the Green Deal, the study simulates an increase in investments in renewable energy and bioeconomy sectors (additional 15 % increase in capital stock) starting in 2025. Three alternative financing scenarios are compared; the European Green Bonds scenario, carbon tax scenario and the crowding-out scenario (assuming green investments are financed from existing resources). It is found that additional green energy investments bring generally positive GDP, social and emission-saving effects. In the case of GDP, the deviation from the baseline reaches +0.9 % in 2050 for the EU if financed from the Green Bond. The other scenarios show that when green investments are not crowding-out other investments in the EU, the economic impacts at EU level are still positive. It is also shown that, on average, the investment policy would increase the size of bioeconomy sector by between 3.2 % and 4.2 % in 2050. However, the impacts a</w:t>
      </w:r>
    </w:p>
    <w:p>
      <w:pPr/>
      <w:r>
        <w:rPr>
          <w:b/>
        </w:rPr>
        <w:t>POSSIBLE 2025:</w:t>
      </w:r>
      <w:r>
        <w:t xml:space="preserve"> ECONOMIC POLICIES PROMOTING SOCIAL PARTNERSHIP IN THE EUROPEAN UNION — https://openalex.org/W7217059749</w:t>
      </w:r>
    </w:p>
    <w:p>
      <w:pPr/>
      <w:r>
        <w:rPr>
          <w:b/>
        </w:rPr>
        <w:t>Shared claim-specific concepts:</w:t>
      </w:r>
      <w:r>
        <w:t xml:space="preserve"> vary, different, national; EU scope visible. This is a provisional connection, not an outcome finding.</w:t>
      </w:r>
    </w:p>
    <w:p>
      <w:pPr>
        <w:pStyle w:val="SourceNote"/>
      </w:pPr>
      <w:r>
        <w:rPr>
          <w:b/>
        </w:rPr>
        <w:t>Available abstract (not full text):</w:t>
      </w:r>
      <w:r>
        <w:t xml:space="preserve"> A strong social Europe requires strong social partnerships. In Western Europe, social partnerships, along with their institutions and processes, have promoted successful economic reforms. Social dialogue, collective bargaining are principal factors for promoting innovation, productivity and competition. Social dialogue is a core ingredient of the social market economy and a driving force for successful economic reforms. Strong collective bargaining systems also strengthen the resilience of Member States during economic crises. Over recent years, social dialogue has become more important within the framework of the European Semester. This has led to several country-specific recommendations emphasizing the involvement of national social partners in shaping economic policies. However, the degree and quality of social partners involvement in economic policy-making vary significantly among Member States. These variations are attributed to different institutional frameworks, procedures and practices. The article aims to analyze the role of social partnerships in economic policy -making at both EU and national levels, focusing on case studies of the German and Swedish models.</w:t>
      </w:r>
    </w:p>
    <w:p>
      <w:pPr/>
      <w:r>
        <w:rPr>
          <w:b/>
        </w:rPr>
        <w:t>POSSIBLE 2025:</w:t>
      </w:r>
      <w:r>
        <w:t xml:space="preserve"> The role of social, policy and economic forces in shaping forest restoration practices in Europe — https://doi.org/10.1016/j.landusepol.2025.107876</w:t>
      </w:r>
    </w:p>
    <w:p>
      <w:pPr/>
      <w:r>
        <w:rPr>
          <w:b/>
        </w:rPr>
        <w:t>Shared claim-specific concepts:</w:t>
      </w:r>
      <w:r>
        <w:t xml:space="preserve"> different, national, strategies; EU scope visible. This is a provisional connection, not an outcome finding.</w:t>
      </w:r>
    </w:p>
    <w:p>
      <w:pPr>
        <w:pStyle w:val="SourceNote"/>
      </w:pPr>
      <w:r>
        <w:rPr>
          <w:b/>
        </w:rPr>
        <w:t>Available abstract (not full text):</w:t>
      </w:r>
      <w:r>
        <w:t xml:space="preserve"> Forest restoration in Europe has a complex history strongly influenced by various social, policy and economic factors. Understanding these influences is essential for shaping effective restoration strategies and avoiding past mistakes, particularly in light of meeting ambitious targets outlined in initiatives such as the EU Nature Restoration Regulation. Here we identify the key social, policy and economic drivers, barriers and enablers that have historically shaped forest restoration across Europe. We analyzed and synthesized detailed information from historical national narratives on forest restoration provided by experts from 18 European countries. Our work details how wars, changes in governance (centralization vs. decentralization) and forest tenure (privatization vs. nationalization), different policy instruments (regulatory, financial, persuasive and organizational), market fluctuations and sociodemographic changes (e.g., rural abandonment, changes in public opinion) have driven the development of forest restoration in Europe. The findings underscore the need to use inclusive and innovative governance mechanisms to reconcile diverging societal paradigms (e.g., rural vs. urban, conservation vs. forestry) partly reflected in incoherent forest-related policies, as well as to address the fragmentation resulting from forest privatization. Ensuring stable funding mechanisms (e</w:t>
      </w:r>
    </w:p>
    <w:p>
      <w:pPr/>
      <w:r>
        <w:rPr>
          <w:b/>
        </w:rPr>
        <w:t>POSSIBLE 2025:</w:t>
      </w:r>
      <w:r>
        <w:t xml:space="preserve"> Identifying the Use of Environmental Social Governance (ESG) Strategies in Companies Associated with CSR Europe on Business Results, Macro-Economic Indicators of the Country and Sustainability of the EU — https://doi.org/10.47556/j.wjstsd.20.4.2025.2</w:t>
      </w:r>
    </w:p>
    <w:p>
      <w:pPr/>
      <w:r>
        <w:rPr>
          <w:b/>
        </w:rPr>
        <w:t>Shared claim-specific concepts:</w:t>
      </w:r>
      <w:r>
        <w:t xml:space="preserve"> environmental, strategies, sustainability; EU scope visible. This is a provisional connection, not an outcome finding.</w:t>
      </w:r>
    </w:p>
    <w:p>
      <w:pPr>
        <w:pStyle w:val="SourceNote"/>
      </w:pPr>
      <w:r>
        <w:rPr>
          <w:b/>
        </w:rPr>
        <w:t>Available abstract (not full text):</w:t>
      </w:r>
      <w:r>
        <w:t xml:space="preserve"> Purpose: The aim of this research is to demonstrate and explain how the companies analysed implemented an effective Environmental Social Governance (ESG) strategy with positive results for their own business, the country’s macro-economic results and the sustainable prosperity of the European Union (EU). Design/Methodology/Approach: A combination of methods and procedures within a logical system framework at three dimensions that focused on responsible behaviour according to the ESG were used: micro-level → mezzo-level → macro-level. For the objective evaluation of the indicators and their implications to achieve the set goal, a correlation dependence of selected variables and indicators was used. Findings: Applications of ESG strategies in companies associated with CSR Europe (Corporate Sustainability and Responsibility) have relevant impact on business results, a country’s macro-economic indicators, and EU sustainability. Originality: The research results related to the application of ESG strategies with real usage for companies, and macro-economic improvements are unique. Implications: The model solution is synthesised to be adaptable to any company worldwide in a country’s ESG framework, with a description of potential limits and barriers. Keywords: ESG Conduct; ESRS Standards; CSR Europe; Sustainability; Strategy. Citation: Dubcová, G., Kapsdorferová, Z. and Lisnik, A. (202</w:t>
      </w:r>
    </w:p>
    <w:p>
      <w:pPr>
        <w:pStyle w:val="Heading2"/>
      </w:pPr>
      <w:r>
        <w:t>695. A New Climate for Europe: 2030 Climate Targets Must Be More Ambitious</w:t>
      </w:r>
    </w:p>
    <w:p>
      <w:pPr>
        <w:pStyle w:val="SourceNote"/>
      </w:pPr>
      <w:r>
        <w:rPr>
          <w:b/>
        </w:rPr>
        <w:t>Original source (2019):</w:t>
      </w:r>
      <w:r>
        <w:t xml:space="preserve"> https://doi.org/10.18723/diw_dwr:2019-40-1</w:t>
      </w:r>
    </w:p>
    <w:p>
      <w:pPr/>
      <w:r>
        <w:t>Original wording (abstract; indexed_source_text_not_full_document_verified): Specifically, action must be taken to raise the 2030 climate targets and the 2050 long-term strategy must be revised in adherence with the Paris Agreement. Model calculations by DIW Berlin economists show that it is possible and economically feasible to increase the 2030 emission reduction target from 40 to 60 percent compared to 1990.</w:t>
      </w:r>
    </w:p>
    <w:p>
      <w:pPr/>
      <w:r>
        <w:rPr>
          <w:b/>
        </w:rPr>
        <w:t>POSSIBLE 2026:</w:t>
      </w:r>
      <w:r>
        <w:t xml:space="preserve"> Simulating Nature Futures Pathways for Europe using a Nexus Modelling Framework — https://doi.org/10.5281/zenodo.22918966</w:t>
      </w:r>
    </w:p>
    <w:p>
      <w:pPr/>
      <w:r>
        <w:rPr>
          <w:b/>
        </w:rPr>
        <w:t>Shared claim-specific concepts:</w:t>
      </w:r>
      <w:r>
        <w:t xml:space="preserve"> specifically, action, must, climate, show; EU scope visible. This is a provisional connection, not an outcome finding.</w:t>
      </w:r>
    </w:p>
    <w:p>
      <w:pPr>
        <w:pStyle w:val="SourceNote"/>
      </w:pPr>
      <w:r>
        <w:rPr>
          <w:b/>
        </w:rPr>
        <w:t>Available abstract (not full text):</w:t>
      </w:r>
      <w:r>
        <w:t xml:space="preserve"> Deliverable 1.3 of the EU-funded BIONEXT project reports on the application of the nexus modelling framework. The framework comprises three complementary models: (i) JUNIPER, a systems dynamic model developed specifically for BIONEXT; (ii) CRAFTY-Europe, an agent-based model enhanced for this project; and (iii) IAP2/dIAP, a regional integrated assessment model. Together, these models capture interlinkages among the seven nexus elements—biodiversity, climate change, food, water, energy, transport and health—enabling improved quantification of cross-sectoral impacts, synergies and trade-offs. The framework also accommodates a wide range of direct drivers (e.g. climate change, land use change) and indirect drivers (e.g. socio-cultural, demographic, technological, economic and governance factors). The modelling framework was applied to three co-created just transition pathways—NAC (Nature as Culture), NFN (Nature for Nature) and NFS (Nature for Society)—at the European scale, with national illustrations for six countries. These pathways were co-designed with stakeholders through three workshops to reflect plural values and governance choices, then translated into quantitative parameter trends and modelled to 2050 under a common climate forcing. The resulting multi-model outputs show how different action portfolios propagate through the nexus—revealing where synergies dominate, wher</w:t>
      </w:r>
    </w:p>
    <w:p>
      <w:pPr/>
      <w:r>
        <w:rPr>
          <w:b/>
        </w:rPr>
        <w:t>POSSIBLE 2026:</w:t>
      </w:r>
      <w:r>
        <w:t xml:space="preserve"> The 2026 Europe report of the Lancet Countdown on health and climate change: narrowing window for decisive health action — https://doi.org/10.1016/s2468-2667(26)00025-3</w:t>
      </w:r>
    </w:p>
    <w:p>
      <w:pPr/>
      <w:r>
        <w:rPr>
          <w:b/>
        </w:rPr>
        <w:t>Shared claim-specific concepts:</w:t>
      </w:r>
      <w:r>
        <w:t xml:space="preserve"> action, climate, possible; EU scope visible. This is a provisional connection, not an outcome finding.</w:t>
      </w:r>
    </w:p>
    <w:p>
      <w:pPr>
        <w:pStyle w:val="SourceNote"/>
      </w:pPr>
      <w:r>
        <w:rPr>
          <w:b/>
        </w:rPr>
        <w:t>Available abstract (not full text):</w:t>
      </w:r>
      <w:r>
        <w:t xml:space="preserve"> This third iteration of the Lancet Countdown on health and climate change in Europe report systematically tracks the health effects of climate change adaptation and mitigation action, economics and finance, and the engagement of various societal actors with the climate change and health nexus, drawing on data up to 2025. The report features seven new indicators, methodological updates, extended time series for existing indicators, and highlights inequalities in health risks and impacts where possible.</w:t>
      </w:r>
    </w:p>
    <w:p>
      <w:pPr/>
      <w:r>
        <w:rPr>
          <w:b/>
        </w:rPr>
        <w:t>POSSIBLE 2026:</w:t>
      </w:r>
      <w:r>
        <w:t xml:space="preserve"> Early warning early action systems for invasive alien species affecting forests in Europe and Central Asia — https://openalex.org/W7164620270</w:t>
      </w:r>
    </w:p>
    <w:p>
      <w:pPr/>
      <w:r>
        <w:rPr>
          <w:b/>
        </w:rPr>
        <w:t>Shared claim-specific concepts:</w:t>
      </w:r>
      <w:r>
        <w:t xml:space="preserve"> action, must, reduction;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Early warning early action systems for invasive alien species affecting forests in Europe and Central Asia: an overview — https://doi.org/10.3389/ffgc.2026.1795394</w:t>
      </w:r>
    </w:p>
    <w:p>
      <w:pPr/>
      <w:r>
        <w:rPr>
          <w:b/>
        </w:rPr>
        <w:t>Shared claim-specific concepts:</w:t>
      </w:r>
      <w:r>
        <w:t xml:space="preserve"> action, must, reduction;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2025:</w:t>
      </w:r>
      <w:r>
        <w:t xml:space="preserve"> Climate Action in On-Site Study Abroad in Europe — https://doi.org/10.36366/frontiers.v37i1.992</w:t>
      </w:r>
    </w:p>
    <w:p>
      <w:pPr/>
      <w:r>
        <w:rPr>
          <w:b/>
        </w:rPr>
        <w:t>Shared claim-specific concepts:</w:t>
      </w:r>
      <w:r>
        <w:t xml:space="preserve"> action, climate, show; EU scope visible. This is a provisional connection, not an outcome finding.</w:t>
      </w:r>
    </w:p>
    <w:p>
      <w:pPr>
        <w:pStyle w:val="SourceNote"/>
      </w:pPr>
      <w:r>
        <w:rPr>
          <w:b/>
        </w:rPr>
        <w:t>Available abstract (not full text):</w:t>
      </w:r>
      <w:r>
        <w:t xml:space="preserve"> Study abroad travel by plane forms the largest component of a programme’s carbon footprint. This paper stresses the importance of embedding climate action into study abroad and outlines climate action steps for on-site programmes in Europe to become more sustainable, including 1) calculating carbon footprints, 2) reducing emissions, 3) offsetting remaining emissions, and 4) embedding climate and sustainability education into our programmes. Practitioner survey results show that many programmes have already implemented some actions, but more could be done with targeted effort. Student survey results show that while they favour climate action outcomes in their programme, most students view their abroad semester as an opportunity to be hypermobile without consideration to climate. We view climate action and sustainability education within our programmes as being critical to the future of study abroad in Europe. Abstract in Italian Le emissioni di carbonio di un programma di studio all’estero sono causate principalmente dal fatto che si viaggi in aereo. Questo articolo sottolinea l'importanza di includere un piano di contrasto al cambiamento climatico nei programmi di studio all’estero e suggerisce delle azioni concrete per rendere più sostenibili i programmi in Europa, tra cui: 1) calcolare le emissioni relative al programma 2) ridurle 3) compensare le residue 4) incorporare nei p</w:t>
      </w:r>
    </w:p>
    <w:p>
      <w:pPr/>
      <w:r>
        <w:rPr>
          <w:b/>
        </w:rPr>
        <w:t>POSSIBLE 2025:</w:t>
      </w:r>
      <w:r>
        <w:t xml:space="preserve"> Overlooked Instruments: The European Protection of Human Rights in the Climate Crisis — https://doi.org/10.1163/9789004708389_005</w:t>
      </w:r>
    </w:p>
    <w:p>
      <w:pPr/>
      <w:r>
        <w:rPr>
          <w:b/>
        </w:rPr>
        <w:t>Shared claim-specific concepts:</w:t>
      </w:r>
      <w:r>
        <w:t xml:space="preserve"> specifically, action, climate; EU scope visible. This is a provisional connection, not an outcome finding.</w:t>
      </w:r>
    </w:p>
    <w:p>
      <w:pPr>
        <w:pStyle w:val="SourceNote"/>
      </w:pPr>
      <w:r>
        <w:rPr>
          <w:b/>
        </w:rPr>
        <w:t>Available abstract (not full text):</w:t>
      </w:r>
      <w:r>
        <w:t xml:space="preserve"> The climate crisis presents an urgent and multifaceted global challenge which necessitates robust safeguards for the protection of human rights in this context. This contribution explores the human rights instruments of the Council of Europe and the European Union which possess the potential to shape a robust response to the climate crisis and more climate action. Within the European landscape, the European Convention on Human Rights (ECHR) serves as the central framework for addressing climate issues through a human rights-based approach. This focus was particularly reinforced by the three decisions from the European Court of Human Rights (ECtHR) in 2024. Other instruments, however, are rather overlooked and are taking on a secondary role. At the heart of this discussion is an examination of two pivotal instruments: the European Social Charter (ESC) and the Charter of Fundamental Rights of the European Union (CFREU). Both Charters, with their expansive provisions, case law and institutional procedures, offer a formidable foundation for addressing the positive obligations of States to protect human rights. Despite their significant potential, these tools have been relatively under-utilised in the climate context, raising questions about their efficacy and applicability. By comparing the ESC and CFREU with the ECHR, this paper aims to determine whether the ESC and CFREU are less</w:t>
      </w:r>
    </w:p>
    <w:p>
      <w:pPr/>
      <w:r>
        <w:rPr>
          <w:b/>
        </w:rPr>
        <w:t>POSSIBLE 2024:</w:t>
      </w:r>
      <w:r>
        <w:t xml:space="preserve"> Climate Obstruction across Europe — https://doi.org/10.1093/oso/9780197762042.001.0001</w:t>
      </w:r>
    </w:p>
    <w:p>
      <w:pPr/>
      <w:r>
        <w:rPr>
          <w:b/>
        </w:rPr>
        <w:t>Shared claim-specific concepts:</w:t>
      </w:r>
      <w:r>
        <w:t xml:space="preserve"> action, climate, long-term; EU scope visible. This is a provisional connection, not an outcome finding.</w:t>
      </w:r>
    </w:p>
    <w:p>
      <w:pPr>
        <w:pStyle w:val="SourceNote"/>
      </w:pPr>
      <w:r>
        <w:rPr>
          <w:b/>
        </w:rPr>
        <w:t>Available abstract (not full text):</w:t>
      </w:r>
      <w:r>
        <w:t xml:space="preserve"> Abstract Understanding climate obstruction is foundational to advancing effective action on the issue. Starting in the late 1980s, a broad range of actors, including corporations and trade associations, acting in coordination with conservative think tanks, foundations, and public relations firms, mounted a long-term effort to oppose action to mitigate carbon emissions responsible for climate change. Many portrayals of this effort focus on the United States; Climate Obstruction across Europe for the first time documents the development and nature of these activities across the Continent and the United Kingdom. Leading teams of experts examine case studies of eleven nations and the European Union (EU). Each team documents the historic development of climate obstruction in a country, the principal organizations involved in these efforts, the strategies and tactics utilized, and the nature of the arguments made to slow or stop climate action. Noting significant differences between countries, the book concludes with ten lessons on climate obstruction across Europe which emerge from the studies. National economies and histories are foundational in shaping obstruction and shaping the actors, lobbies, and the places for think tanks to operate. The public relations industry pushes climate delay into the public and policymaking arenas, providing fodder for a media already inclined to sup</w:t>
      </w:r>
    </w:p>
    <w:p>
      <w:pPr/>
      <w:r>
        <w:rPr>
          <w:b/>
        </w:rPr>
        <w:t>POSSIBLE 2024:</w:t>
      </w:r>
      <w:r>
        <w:t xml:space="preserve"> EUROPEAN LANDSCAPE OF CLIMATE LAW — https://doi.org/10.46299/979-8-89504-809-2.3</w:t>
      </w:r>
    </w:p>
    <w:p>
      <w:pPr/>
      <w:r>
        <w:rPr>
          <w:b/>
        </w:rPr>
        <w:t>Shared claim-specific concepts:</w:t>
      </w:r>
      <w:r>
        <w:t xml:space="preserve"> specifically, action, must, raise, climate, targets; EU scope visible. This is a provisional connection, not an outcome finding.</w:t>
      </w:r>
    </w:p>
    <w:p>
      <w:pPr>
        <w:pStyle w:val="SourceNote"/>
      </w:pPr>
      <w:r>
        <w:rPr>
          <w:b/>
        </w:rPr>
        <w:t>Available abstract (not full text):</w:t>
      </w:r>
      <w:r>
        <w:t xml:space="preserve"> 3. European landscape of climate law Introduction.The existential threat caused by climate change requires governmental efforts of the states for implementation of the Paris Agreement setting up efforts for development of economic and social transformation, based on the best available scientific and sustainable approaches.As part of the European Green Deal, with the European Climate Law, the European Union has set itself a binding target of achieving climate neutrality by 2050.Regulation (EU) 2021/1119 of the European Parliament and of the Council of 30 June 2021 establishing the framework for achieving climate neutrality and amending Regulations (EC) No 401/2009 and (EU) 2018/1999 was named 'European Climate Law' [124].Researches of European landscape of climate law have been provided by various organizations, institutions, and researchers, including United Nations Framework Convention on Climate Change (UNFCCC), Panel on Climate Change (IPCC), World Bank , Organization for Economic Co-operation and Development (OECD), Grantham Research Institute on Climate Change and the Environment (London School of Economics), World Resources Institute (WRI), Climate Policy Initiative (CPI), International Institute for Environment and Development (IIED), Climate Action Network (CAN), Greenpeace, World Wildlife Fund (WWF), Ecologic Institute etc.These organizations and institutions have prov</w:t>
      </w:r>
    </w:p>
    <w:p>
      <w:pPr/>
      <w:r>
        <w:rPr>
          <w:b/>
        </w:rPr>
        <w:t>POSSIBLE 2024:</w:t>
      </w:r>
      <w:r>
        <w:t xml:space="preserve"> Globally representative evidence on the actual and perceived support for climate action — https://doi.org/10.1038/s41558-024-01925-3</w:t>
      </w:r>
    </w:p>
    <w:p>
      <w:pPr/>
      <w:r>
        <w:rPr>
          <w:b/>
        </w:rPr>
        <w:t>Shared claim-specific concepts:</w:t>
      </w:r>
      <w:r>
        <w:t xml:space="preserve"> action, climate, show; EU scope not established. This is a provisional connection, not an outcome finding.</w:t>
      </w:r>
    </w:p>
    <w:p>
      <w:pPr>
        <w:pStyle w:val="SourceNote"/>
      </w:pPr>
      <w:r>
        <w:rPr>
          <w:b/>
        </w:rPr>
        <w:t>Available abstract (not full text):</w:t>
      </w:r>
      <w:r>
        <w:t xml:space="preserve"> Abstract Mitigating climate change necessitates global cooperation, yet global data on individuals’ willingness to act remain scarce. In this study, we conducted a representative survey across 125 countries, interviewing nearly 130,000 individuals. Our findings reveal widespread support for climate action. Notably, 69% of the global population expresses a willingness to contribute 1% of their personal income, 86% endorse pro-climate social norms and 89% demand intensified political action. Countries facing heightened vulnerability to climate change show a particularly high willingness to contribute. Despite these encouraging statistics, we document that the world is in a state of pluralistic ignorance, wherein individuals around the globe systematically underestimate the willingness of their fellow citizens to act. This perception gap, combined with individuals showing conditionally cooperative behaviour, poses challenges to further climate action. Therefore, raising awareness about the broad global support for climate action becomes critically important in promoting a unified response to climate change.</w:t>
      </w:r>
    </w:p>
    <w:p>
      <w:pPr/>
      <w:r>
        <w:rPr>
          <w:b/>
        </w:rPr>
        <w:t>POSSIBLE 2024:</w:t>
      </w:r>
      <w:r>
        <w:t xml:space="preserve"> Closing the climate finance gap: How to raise the money the world needs to support climate action — https://doi.org/10.55317/9781784136307</w:t>
      </w:r>
    </w:p>
    <w:p>
      <w:pPr/>
      <w:r>
        <w:rPr>
          <w:b/>
        </w:rPr>
        <w:t>Shared claim-specific concepts:</w:t>
      </w:r>
      <w:r>
        <w:t xml:space="preserve"> action, raise, climate, possible, increase; EU scope not established. This is a provisional connection, not an outcome finding.</w:t>
      </w:r>
    </w:p>
    <w:p>
      <w:pPr>
        <w:pStyle w:val="SourceNote"/>
      </w:pPr>
      <w:r>
        <w:rPr>
          <w:b/>
        </w:rPr>
        <w:t>Available abstract (not full text):</w:t>
      </w:r>
      <w:r>
        <w:t xml:space="preserve"> With climate impacts getting worse and temperature records being broken, the pressure on countries to raise more money in support of climate action continues to increase. But the ‘climate finance gap’ – the difference between the trillions of dollars needed and the amounts currently available – remains persistent, and is particularly acute in emerging markets and developing economies. Most of the new money needed will have to come from the private sector, but public funding also has a crucial role to play. Fiscal and political pressures in the advanced economies mean that public funds are in short supply. However, this only increases the importance of using the limited amount available in the most effective way possible. The prospect of reduced US political support for climate action in the wake of the 2024 presidential election makes this even more important. This paper explores the challenges of increasing climate finance to emerging markets and developing countries. It discusses the prospects for raising more public international finance in absolute terms, and proposes ideas for using the public money that is already available – or realistically likely to become available – more effectively. Key findings include: the need for regular comparative assessment of different channels for deploying public finance in climate action; the need to enable multilateral development banks </w:t>
      </w:r>
    </w:p>
    <w:p>
      <w:pPr/>
      <w:r>
        <w:rPr>
          <w:b/>
        </w:rPr>
        <w:t>POSSIBLE 2023:</w:t>
      </w:r>
      <w:r>
        <w:t xml:space="preserve"> State of Climate Action 2023 — https://doi.org/10.46830/wrirpt.23.00010</w:t>
      </w:r>
    </w:p>
    <w:p>
      <w:pPr/>
      <w:r>
        <w:rPr>
          <w:b/>
        </w:rPr>
        <w:t>Shared claim-specific concepts:</w:t>
      </w:r>
      <w:r>
        <w:t xml:space="preserve"> action, must, climate, targets, increase; EU scope not established. This is a provisional connection, not an outcome finding.</w:t>
      </w:r>
    </w:p>
    <w:p>
      <w:pPr>
        <w:pStyle w:val="SourceNote"/>
      </w:pPr>
      <w:r>
        <w:rPr>
          <w:b/>
        </w:rPr>
        <w:t>Available abstract (not full text):</w:t>
      </w:r>
      <w:r>
        <w:t xml:space="preserve"> The State of Climate Action 2023 provides the world’s most comprehensive roadmap of how to close the gap in climate action across sectors to limit global warming to 1.5°C. It finds that recent progress toward 1.5°C-aligned targets isn’t happening at the pace and scale necessary and highlights where action must urgently accelerate this decade to reduce greenhouse gas emissions, scale up carbon removal and increase climate finance.</w:t>
      </w:r>
    </w:p>
    <w:p>
      <w:pPr/>
      <w:r>
        <w:rPr>
          <w:b/>
        </w:rPr>
        <w:t>POSSIBLE 2023:</w:t>
      </w:r>
      <w:r>
        <w:t xml:space="preserve"> The European Union's Climate and Environmental Policy in Times of Geopolitical Crisis — https://doi.org/10.1111/jcms.13530</w:t>
      </w:r>
    </w:p>
    <w:p>
      <w:pPr/>
      <w:r>
        <w:rPr>
          <w:b/>
        </w:rPr>
        <w:t>Shared claim-specific concepts:</w:t>
      </w:r>
      <w:r>
        <w:t xml:space="preserve"> action, must, taken, climate, long-term, strategy; EU scope visible. This is a provisional connection, not an outcome finding.</w:t>
      </w:r>
    </w:p>
    <w:p>
      <w:pPr>
        <w:pStyle w:val="SourceNote"/>
      </w:pPr>
      <w:r>
        <w:rPr>
          <w:b/>
        </w:rPr>
        <w:t>Available abstract (not full text):</w:t>
      </w:r>
      <w:r>
        <w:t xml:space="preserve"> European Union (EU) environmental policy is made in the framework of a multiannual Environment Action Programme (EAP), which rests on the principles of prevention, precaution and tackling pollution at its source rather than at the 'end of the pipe'. The current, 8th EAP defines objectives for environmental policy in the narrow sense as measures to prevent, reduce or end adverse effects on nature and natural resources but recognises that environmental policy objectives must go hand in hand with reducing greenhouse gas (GHG) emissions, which is the main goal of EU climate policy. The EAP's integrated view on environmental and climate policy resonates with the one put forth by the European Green Deal (EGD). This is the EU's approach to delivering on the 2015 Paris Agreement on climate change and the United Nations' Sustainable Development Goals adopted in the same year (Koundouri et al., 2021). It is a comprehensive strategy for sustainable growth and goes beyond the classic dimensions of sustainability, as it covers economic viability, environmental protection and social equity (Bongardt and Torres, 2022). The EGD guides policy action in the strategic fields of agriculture and food, construction and renovation, climate, energy, environment, financial and regional development, industry, research and innovation, and transport and mobility to achieve the overarching goal of transfor</w:t>
      </w:r>
    </w:p>
    <w:p>
      <w:pPr>
        <w:pStyle w:val="Heading2"/>
      </w:pPr>
      <w:r>
        <w:t>696. A Technological Scenario for a Healthier, More Equitable and Sustainable Europe in 2040: Citizen Perceptions and Policy Implications</w:t>
      </w:r>
    </w:p>
    <w:p>
      <w:pPr>
        <w:pStyle w:val="SourceNote"/>
      </w:pPr>
      <w:r>
        <w:rPr>
          <w:b/>
        </w:rPr>
        <w:t>Original source (2019):</w:t>
      </w:r>
      <w:r>
        <w:t xml:space="preserve"> https://doi.org/10.3390/ijerph17010231</w:t>
      </w:r>
    </w:p>
    <w:p>
      <w:pPr/>
      <w:r>
        <w:t>Original wording (abstract; indexed_source_text_not_full_document_verified): This article aims at exploring, understanding and comparing European citizens' insights and perceptions towards "My life between realities", a positive future scenario which depicts a narrative of reaching healthier, more equitable and sustainable societies by 2040 with the support of technology and technological solutions.</w:t>
      </w:r>
    </w:p>
    <w:p>
      <w:pPr/>
      <w:r>
        <w:rPr>
          <w:b/>
        </w:rPr>
        <w:t>POSSIBLE 2026:</w:t>
      </w:r>
      <w:r>
        <w:t xml:space="preserve"> STRATEGIC AIMS OF UNIVERSITY-BASED MANAGERIAL EDUCATION IN EUROPEAN AND ASIAN COUNTRIES — https://doi.org/10.52058/3041-1572-2026-3(23)-909-923</w:t>
      </w:r>
    </w:p>
    <w:p>
      <w:pPr/>
      <w:r>
        <w:rPr>
          <w:b/>
        </w:rPr>
        <w:t>Shared claim-specific concepts:</w:t>
      </w:r>
      <w:r>
        <w:t xml:space="preserve"> article, aims, between, technological; EU scope visible. This is a provisional connection, not an outcome finding.</w:t>
      </w:r>
    </w:p>
    <w:p>
      <w:pPr>
        <w:pStyle w:val="SourceNote"/>
      </w:pPr>
      <w:r>
        <w:rPr>
          <w:b/>
        </w:rPr>
        <w:t>Available abstract (not full text):</w:t>
      </w:r>
      <w:r>
        <w:t xml:space="preserve"> The article examines the strategic aims of university-based managerial education in European and Asian countries within the context of global socio-economic transformation, digitalisation, and increasing governance complexity.The study seeks to identify the dominant value orientations, institutional priorities, and competence frameworks that shape managerial training in contemporary higher education systems.Using comparative and systemic analysis, the paper explores how European models emphasise democratic governance, sustainability, ethical leadership, and competencybased human capital development, while many Asian systems focus on state-driven modernisation, economic competitiveness, technological advancement, and collective responsibility.Particular attention is paid to the balance between professional expertise, leadership formation, and the development of adaptive capacities necessary for functioning in volatile and uncertain environments.The study synthesizes European and Asian experiences to identify the strategic aims of university-based managerial education.These objectives are characterized by 3(23) 2026</w:t>
      </w:r>
    </w:p>
    <w:p>
      <w:pPr/>
      <w:r>
        <w:rPr>
          <w:b/>
        </w:rPr>
        <w:t>POSSIBLE 2026:</w:t>
      </w:r>
      <w:r>
        <w:t xml:space="preserve"> Exploring Analysis of Spatiotemporal Trends in News Reporting in the China-Europe Railway Express — https://doi.org/10.7910/dvn/mmbnca</w:t>
      </w:r>
    </w:p>
    <w:p>
      <w:pPr/>
      <w:r>
        <w:rPr>
          <w:b/>
        </w:rPr>
        <w:t>Shared claim-specific concepts:</w:t>
      </w:r>
      <w:r>
        <w:t xml:space="preserve"> article, exploring, understanding, between, positive, sustainable; EU scope visible. This is a provisional connection, not an outcome finding.</w:t>
      </w:r>
    </w:p>
    <w:p>
      <w:pPr>
        <w:pStyle w:val="SourceNote"/>
      </w:pPr>
      <w:r>
        <w:rPr>
          <w:b/>
        </w:rPr>
        <w:t>Available abstract (not full text):</w:t>
      </w:r>
      <w:r>
        <w:t xml:space="preserve"> Since the Chinese government opened the China-Europe Railway Express(CRE), transportation cooperation between China and Europe has become increasingly frequent. The aim of this research is to explore the spatiotemporal trends in news reporting of CRE and the spatial spillover effects of transportation cooperation, providing a basis for the development of transportation cooperation mechanisms between China and Europe. This article selects news reporting from 22 countries along the CRE and analyzes the spatiotemporal trends of media coverage of CRE. This article uses statistical analysis and Moran’s Index method to test the temporal trend and spatial dependence of news reporting on the CRE. The study found that from 2016 to 2024, the Moran’s Index showed a certain spatial positive correlation for all years, verifying the spatiotemporal correlation between news reporting of the CRE and transportation cooperation. However, the spatial cooperation between the 22 countries on the CRE isn’t obvious, which to some extent affects the sustainable development of the CRE. This study contributes to understanding socioeconomic indicators driven by the long-term CRE operations. We have captured the close relationship between GDP, population, geographic size, and news reporting on CRE, and put forward operational suggestions to strengthen transportation cooperation among 22 countries, especial</w:t>
      </w:r>
    </w:p>
    <w:p>
      <w:pPr/>
      <w:r>
        <w:rPr>
          <w:b/>
        </w:rPr>
        <w:t>POSSIBLE 2026:</w:t>
      </w:r>
      <w:r>
        <w:t xml:space="preserve"> Exploring Analysis of Spatiotemporal Trends in News Reporting in the China-Europe Railway Express — https://doi.org/10.3886/e247984</w:t>
      </w:r>
    </w:p>
    <w:p>
      <w:pPr/>
      <w:r>
        <w:rPr>
          <w:b/>
        </w:rPr>
        <w:t>Shared claim-specific concepts:</w:t>
      </w:r>
      <w:r>
        <w:t xml:space="preserve"> article, exploring, understanding, between, positive, sustainable; EU scope visible. This is a provisional connection, not an outcome finding.</w:t>
      </w:r>
    </w:p>
    <w:p>
      <w:pPr>
        <w:pStyle w:val="SourceNote"/>
      </w:pPr>
      <w:r>
        <w:rPr>
          <w:b/>
        </w:rPr>
        <w:t>Available abstract (not full text):</w:t>
      </w:r>
      <w:r>
        <w:t xml:space="preserve"> Since the Chinese government opened the China-Europe Railway Express(CRE), transportation cooperation between China and Europe has become increasingly frequent. The aim of this research is to explore the spatiotemporal trends in news reporting of CRE and the spatial spillover effects of transportation cooperation, providing a basis for the development of transportation cooperation mechanisms between China and Europe. This article selects news reporting from 22 countries along the CRE and analyzes the spatiotemporal trends of media coverage of CRE. This article uses statistical analysis and Moran’s Index method to test the temporal trend and spatial dependence of news reporting on the CRE. The study found that from 2016 to 2024, the Moran’s Index showed a certain spatial positive correlation for all years, verifying the spatiotemporal correlation between news reporting of the CRE and transportation cooperation. However, the spatial cooperation between the 22 countries on the CRE isn’t obvious, which to some extent affects the sustainable development of the CRE. This study contributes to understanding socioeconomic indicators driven by the long-term CRE operations. We have captured the close relationship between GDP, population, geographic size, and news reporting on CRE, and put forward operational suggestions to strengthen transportation cooperation among 22 countries, especial</w:t>
      </w:r>
    </w:p>
    <w:p>
      <w:pPr/>
      <w:r>
        <w:rPr>
          <w:b/>
        </w:rPr>
        <w:t>POSSIBLE 2026:</w:t>
      </w:r>
      <w:r>
        <w:t xml:space="preserve"> The communication of science within the framework of European Union-funded research projects: Exploring practitioners’ experiences and perceptions — https://doi.org/10.1177/09636625261433895</w:t>
      </w:r>
    </w:p>
    <w:p>
      <w:pPr/>
      <w:r>
        <w:rPr>
          <w:b/>
        </w:rPr>
        <w:t>Shared claim-specific concepts:</w:t>
      </w:r>
      <w:r>
        <w:t xml:space="preserve"> article, aims, exploring, understanding, perceptions; EU scope visible. This is a provisional connection, not an outcome finding.</w:t>
      </w:r>
    </w:p>
    <w:p>
      <w:pPr>
        <w:pStyle w:val="SourceNote"/>
      </w:pPr>
      <w:r>
        <w:rPr>
          <w:b/>
        </w:rPr>
        <w:t>Available abstract (not full text):</w:t>
      </w:r>
      <w:r>
        <w:t xml:space="preserve"> This article aims to advance our understanding of the communication of science conducted within the framework of externally funded research projects, also known as project-based science communication. It deploys semi-structured interviews to explore the experiences and perceptions of 26 communication specialists, project managers and other professionals who have been involved in the Communication &amp; Dissemination Work Packages of Horizon 2020 and Horizon Europe projects. Interviewees regard the communication of European Union-funded projects as beneficial, both personally and for society as a whole-in the latter case, primarily in instrumental terms. They identify several challenges to their communication functions, ranging from working conditions to structural factors such as project size or project duration, to the relationship with researchers and other partners. Many interviewees also hold a critical opinion of the current communication practices within European Union-funded projects and acknowledge the potentially detrimental effects of the multiplication of projects with attached communication responsibilities. The ultimate purpose of this article is to elicit interest in project-based science communication within the science communication scholarly community.</w:t>
      </w:r>
    </w:p>
    <w:p>
      <w:pPr/>
      <w:r>
        <w:rPr>
          <w:b/>
        </w:rPr>
        <w:t>POSSIBLE 2025:</w:t>
      </w:r>
      <w:r>
        <w:t xml:space="preserve"> Exploring the Impact of Digital Transformation on Non-Financial Performance in Central and Eastern European Countries — https://doi.org/10.3390/electronics14061226</w:t>
      </w:r>
    </w:p>
    <w:p>
      <w:pPr/>
      <w:r>
        <w:rPr>
          <w:b/>
        </w:rPr>
        <w:t>Shared claim-specific concepts:</w:t>
      </w:r>
      <w:r>
        <w:t xml:space="preserve"> article, aims, exploring, between; EU scope visible. This is a provisional connection, not an outcome finding.</w:t>
      </w:r>
    </w:p>
    <w:p>
      <w:pPr>
        <w:pStyle w:val="SourceNote"/>
      </w:pPr>
      <w:r>
        <w:rPr>
          <w:b/>
        </w:rPr>
        <w:t>Available abstract (not full text):</w:t>
      </w:r>
      <w:r>
        <w:t xml:space="preserve"> This article explores the intricate relationship between digital transformation and non-financial performance in Central and Eastern European (CEE) countries. As these nations navigate the complexities of post-communist economic landscapes, the role of digitalization emerges as a pivotal factor influencing various dimensions of organizational performance beyond mere financial outcomes. In this framework, our research aims to analyze the ways in which digital transformation (as proxied by DESI) impacts a range of non-financial performance metrics (ESG) in order to furnish a thorough comprehension of the intricate interplay within the specific context of CEE countries. With data collected over an 11-year timeframe, we performed a panel data analysis, relying on a robust regression. The main findings indicate that digital transformation profoundly impacts the environmental (CO2 emissions, renewable energy consumption), social (ratio of female-to-male labor force participation rate, unemployment) and governance (government effectiveness) performance of CEE countries, although the effects vary significantly across different regions. The panel data highlight potential areas for policy emphasis, particularly in relation to reducing CO2 emissions, improving regulatory quality, and advancing digital integration and connectivity. The disparities identified may inform targeted strategies </w:t>
      </w:r>
    </w:p>
    <w:p>
      <w:pPr/>
      <w:r>
        <w:rPr>
          <w:b/>
        </w:rPr>
        <w:t>POSSIBLE 2024:</w:t>
      </w:r>
      <w:r>
        <w:t xml:space="preserve"> Exploring European decarbonisation pathways in the Power Decisions Game — https://doi.org/10.1186/s13705-024-00469-w</w:t>
      </w:r>
    </w:p>
    <w:p>
      <w:pPr/>
      <w:r>
        <w:rPr>
          <w:b/>
        </w:rPr>
        <w:t>Shared claim-specific concepts:</w:t>
      </w:r>
      <w:r>
        <w:t xml:space="preserve"> article, aims, exploring, understanding, citizens, insights; EU scope visible. This is a provisional connection, not an outcome finding.</w:t>
      </w:r>
    </w:p>
    <w:p>
      <w:pPr>
        <w:pStyle w:val="SourceNote"/>
      </w:pPr>
      <w:r>
        <w:rPr>
          <w:b/>
        </w:rPr>
        <w:t>Available abstract (not full text):</w:t>
      </w:r>
      <w:r>
        <w:t xml:space="preserve"> Abstract Background Article 12 of the Paris Agreement summons the signing parties to corporate in improving the education of their citizens on climate change and related matters. The article thereby acknowledges the importance of citizens support and understanding of climate change and needed measures to fight climate change. This paper aims to contribute to the goal of informing on the implications of climate change related policy on the power sector in Europe and hence all European citizens by presenting a serious game in which the player can explore how key policy decisions affect capacity mix, investment needs and electricity costs.Results The game is based on more than 1700 scenarios run through an open-source and accessible, yet technologically detailed myopic energy system optimisation model for the electricity supply in the EU27 + 3. The game allows the user to take the role of a decision maker and make decisions in 2020, 2030 and 2040 regarding the usage of CCS, biomass imports, cross-border electricity transmission and the pace of emission reductions. The user is then presented with economic, social, and environmental impacts of these choices. These impacts are for example measured and illustrated in the development of CO2 emissions per capita, levelised cost of electricity, and investment need per citizen.Conclusion The Power Decisions Game provides a first of its ki</w:t>
      </w:r>
    </w:p>
    <w:p>
      <w:pPr/>
      <w:r>
        <w:rPr>
          <w:b/>
        </w:rPr>
        <w:t>POSSIBLE 2024:</w:t>
      </w:r>
      <w:r>
        <w:t xml:space="preserve"> European Citizens’ Evaluation of the Common Agricultural Policy — https://doi.org/10.3390/su16103970</w:t>
      </w:r>
    </w:p>
    <w:p>
      <w:pPr/>
      <w:r>
        <w:rPr>
          <w:b/>
        </w:rPr>
        <w:t>Shared claim-specific concepts:</w:t>
      </w:r>
      <w:r>
        <w:t xml:space="preserve"> citizens, insights, perceptions, positive; EU scope visible. This is a provisional connection, not an outcome finding.</w:t>
      </w:r>
    </w:p>
    <w:p>
      <w:pPr>
        <w:pStyle w:val="SourceNote"/>
      </w:pPr>
      <w:r>
        <w:rPr>
          <w:b/>
        </w:rPr>
        <w:t>Available abstract (not full text):</w:t>
      </w:r>
      <w:r>
        <w:t xml:space="preserve"> The Common Agricultural Policy (CAP) is crucial in ensuring food safety and security in Europe. Providing a stable and diverse food supply also supports rural economies and promotes social, environmental and economic sustainability. However, as CAP consumes approximately 30% of the EU budget, debates regarding its pertinence have arisen. This paper aimed to understand European citizens’ perceptions of CAP, its associated benefits and their level of agreement regarding the allocation of the EU budget. Ultimately, the goal was to gain insights into EU citizens’ attitudes and perceptions towards the CAP. Information and data come from the European Survey Eurobarometer. The methods include statistical inferential techniques adjusted to the nature of the variables and goals. The findings confirm that European citizens generally perceive the CAP positively and have positive attitudes about the CAP. While some differences among various social groups may exist, the results did not identify any specific group strongly opposing the CAP. Overall, European citizens hold a favorable attitude towards the CAP, its associated benefits and budget allocation. This paper brings new insights into new European CAP measures and programs to promote food security and the sustainability of agriculture among European countries and citizens. These insights may be useful for public decision-makers to defi</w:t>
      </w:r>
    </w:p>
    <w:p>
      <w:pPr/>
      <w:r>
        <w:rPr>
          <w:b/>
        </w:rPr>
        <w:t>POSSIBLE 2024:</w:t>
      </w:r>
      <w:r>
        <w:t xml:space="preserve"> Digital Divide in the European Union: A Typology of EU Citizens — https://doi.org/10.1007/s11205-024-03452-2</w:t>
      </w:r>
    </w:p>
    <w:p>
      <w:pPr/>
      <w:r>
        <w:rPr>
          <w:b/>
        </w:rPr>
        <w:t>Shared claim-specific concepts:</w:t>
      </w:r>
      <w:r>
        <w:t xml:space="preserve"> citizens, insights, equitable; EU scope visible. This is a provisional connection, not an outcome finding.</w:t>
      </w:r>
    </w:p>
    <w:p>
      <w:pPr>
        <w:pStyle w:val="SourceNote"/>
      </w:pPr>
      <w:r>
        <w:rPr>
          <w:b/>
        </w:rPr>
        <w:t>Available abstract (not full text):</w:t>
      </w:r>
      <w:r>
        <w:t xml:space="preserve"> Abstract This paper addresses the heterogeneity of the digital divide and internet use among citizens in the 28 European Union (EU) countries (at the time of the survey). Drawing from the Eurobarometer Surveys, three indicators of the digital divide are used to define the groups: frequency of internet access, means of internet access, and online activities. The categorical clustering algorithm identifies six groups of internet users: Non-Users , Basic Users, Information Exchangers , Instrumental Users, Socializers, and Advanced Users , each with distinct socio-demographic profiles. The study reveals significant socio-economic and demographic profiling variables characterizing these patterns, including age, education, gender, occupation, type of community and geographic location. A major digital divide is detected in many countries; Notably, Romania, Greece, and Bulgaria have the largest proportion of Non-Users , emphasizing the need for targeted policy interventions. These results provide crucial insights for the European Commission’s digitization strategy, suggesting that more nuanced and targeted measures are needed to ensure equitable digital access across the EU.</w:t>
      </w:r>
    </w:p>
    <w:p>
      <w:pPr/>
      <w:r>
        <w:rPr>
          <w:b/>
        </w:rPr>
        <w:t>POSSIBLE 2024:</w:t>
      </w:r>
      <w:r>
        <w:t xml:space="preserve"> Adoption of Digital Therapeutics in Europe — https://doi.org/10.2147/tcrm.s489873</w:t>
      </w:r>
    </w:p>
    <w:p>
      <w:pPr/>
      <w:r>
        <w:rPr>
          <w:b/>
        </w:rPr>
        <w:t>Shared claim-specific concepts:</w:t>
      </w:r>
      <w:r>
        <w:t xml:space="preserve"> article, narrative, solutions; EU scope visible. This is a provisional connection, not an outcome finding.</w:t>
      </w:r>
    </w:p>
    <w:p>
      <w:pPr>
        <w:pStyle w:val="SourceNote"/>
      </w:pPr>
      <w:r>
        <w:rPr>
          <w:b/>
        </w:rPr>
        <w:t>Available abstract (not full text):</w:t>
      </w:r>
      <w:r>
        <w:t xml:space="preserve"> Digital therapeutics (DTx) are an emerging medical therapy comprising evidence-based interventions that are regulatory approved for patient use, or are under development, for a variety of medical conditions, including hypertension, cancer, substance use disorders and mental disorders. DTx have significant potential to reduce the overall burden on healthcare systems and offer potential economic benefits. There is currently no specific legal regulation on DTx in the EU. Although European countries have similar approaches to digital health solutions, the adoption of DTx varies across the continent. The aim of this narrative review is to discuss the levels of adoption of DTx in Europe, and to explore possible strategies to improve adoption, with the goal of higher rates of adoption, and more consistent use of DTx across the continent. The article discusses the regulatory and reimbursement landscape across Europe; validation requirements for DTx, and the importance of co-design and an ecosystem-centric approach in the development of DTx. Also considered are drivers of adoption and prescription practices for DTx, as well as patient perspectives on these therapeutics. The article explores potential factors that may contribute to low rates of DTx adoption in Europe, including lack of harmonisation in regulatory requirements and reimbursement; sociodemographic factors; health status; et</w:t>
      </w:r>
    </w:p>
    <w:p>
      <w:pPr/>
      <w:r>
        <w:rPr>
          <w:b/>
        </w:rPr>
        <w:t>POSSIBLE 2024:</w:t>
      </w:r>
      <w:r>
        <w:t xml:space="preserve"> Exploring a geodesign approach for circular economy transition of cities and regions: Three European cases — https://doi.org/10.1016/j.cities.2024.104930</w:t>
      </w:r>
    </w:p>
    <w:p>
      <w:pPr/>
      <w:r>
        <w:rPr>
          <w:b/>
        </w:rPr>
        <w:t>Shared claim-specific concepts:</w:t>
      </w:r>
      <w:r>
        <w:t xml:space="preserve"> article, aims, exploring, between, support; EU scope visible. This is a provisional connection, not an outcome finding.</w:t>
      </w:r>
    </w:p>
    <w:p>
      <w:pPr>
        <w:pStyle w:val="SourceNote"/>
      </w:pPr>
      <w:r>
        <w:rPr>
          <w:b/>
        </w:rPr>
        <w:t>Available abstract (not full text):</w:t>
      </w:r>
      <w:r>
        <w:t xml:space="preserve"> Transitioning towards a circular built environment and turning waste into resources have become one of the new sustainability paradigms today. However, a circular transition can be considered a ‘wicked problem’. The multiple dimensions and scales of the circular transition and its substantial spatial implications fit well into the planning approach of Geodesign. The Horizon 2020 funded project “Resource Management in the periurban Areas - Going beyond Urban Metabolism (REPAiR)” implemented an innovative Geodesign approach. Moreover, it explored its capability to support spatial decision-making processes for the circular economy transition of the built environment within urban planning practices. This article aims to understand to what extent a process of Geodesign, which is conducted with the support of a digital tool and a Living Lab approach, can support the creation of localised circular economy strategies and foster the circular economy transition in cities and territories. The analysis explores and compares the results of three European cases -Amsterdam, Hamburg and Naples. It considers the kind of data input required to run the process in every phase, the stakeholders involved and their typology, the specific urban or territorial, planning and governance scales of analysis, and the final output definition after the Geodesign process implementation. The approach outputs co</w:t>
      </w:r>
    </w:p>
    <w:p>
      <w:pPr/>
      <w:r>
        <w:rPr>
          <w:b/>
        </w:rPr>
        <w:t>POSSIBLE 2023:</w:t>
      </w:r>
      <w:r>
        <w:t xml:space="preserve"> Exploring Energy Sufficiency Benefits, Limitations, Deployment, and Opportunities in Europe — https://doi.org/10.51505/ijaemr.2023.8316</w:t>
      </w:r>
    </w:p>
    <w:p>
      <w:pPr/>
      <w:r>
        <w:rPr>
          <w:b/>
        </w:rPr>
        <w:t>Shared claim-specific concepts:</w:t>
      </w:r>
      <w:r>
        <w:t xml:space="preserve"> article, exploring, life; EU scope visible. This is a provisional connection, not an outcome finding.</w:t>
      </w:r>
    </w:p>
    <w:p>
      <w:pPr>
        <w:pStyle w:val="SourceNote"/>
      </w:pPr>
      <w:r>
        <w:rPr>
          <w:b/>
        </w:rPr>
        <w:t>Available abstract (not full text):</w:t>
      </w:r>
      <w:r>
        <w:t xml:space="preserve"> Following the industrial revolution, greenhouse gases continue to grow, and this increase degrades the ozone layer and accelerates the global warming. The climate change has considerably transformed our way of life and the way we produce, buy, transport, and use energy. To reduce the impact of the energy crisis different levers are activated such as energy efficiency, renewables energy and energy sufficiency. The aim of this article is to explore the benefits, limitation, deployment, and opportunities in Europe of energy sufficiency. The research conducted also includes real case studies on energy sufficiency. Furthermore, Covid-19 pandemic and Ukraine war have negatively impacted energy availability and costs.</w:t>
      </w:r>
    </w:p>
    <w:p>
      <w:pPr/>
      <w:r>
        <w:rPr>
          <w:b/>
        </w:rPr>
        <w:t>POSSIBLE 2023:</w:t>
      </w:r>
      <w:r>
        <w:t xml:space="preserve"> Unlocking the Power of Crowds: Exploring Crowdsourcing and Crowdfunding Initiatives in Europe — https://doi.org/10.7336/academicus.2023.28.08</w:t>
      </w:r>
    </w:p>
    <w:p>
      <w:pPr/>
      <w:r>
        <w:rPr>
          <w:b/>
        </w:rPr>
        <w:t>Shared claim-specific concepts:</w:t>
      </w:r>
      <w:r>
        <w:t xml:space="preserve"> article, aims, exploring, between, support; EU scope visible. This is a provisional connection, not an outcome finding.</w:t>
      </w:r>
    </w:p>
    <w:p>
      <w:pPr>
        <w:pStyle w:val="SourceNote"/>
      </w:pPr>
      <w:r>
        <w:rPr>
          <w:b/>
        </w:rPr>
        <w:t>Available abstract (not full text):</w:t>
      </w:r>
      <w:r>
        <w:t xml:space="preserve"> The world of crowdsourcing and crowdfunding in Europe is a dynamic and transformative space that has been significantly impacted by the rapid growth of digital technologies. This innovative approach has become a game-changer for entrepreneurs, startups, and creative individuals as it harnesses the collective intelligence and financial support of people. Various platforms and mechanisms are driving crowdsourcing and crowdfunding initiatives in Europe, leading to success stories, emerging trends, and potential benefits for all partecipants. This article aims to analyze some of the various emerging trends in crowdsourcing and crowdfunding across Europe while highlighting their potential benefits for those seeking funding or collaboration opportunities. It further examines both crowdsourcing and crowdfunding advantages &amp; disadvantages. Ultimately, this article aims to unlock the full potential of collaboration between people from diverse backgrounds by exploring ways to leverage crowdsourcing &amp; crowdfunding effectively.</w:t>
      </w:r>
    </w:p>
    <w:p>
      <w:pPr>
        <w:pStyle w:val="Heading2"/>
      </w:pPr>
      <w:r>
        <w:t>697. A comparison of low carbon investment needs between China and Europe in stringent climate policy scenarios</w:t>
      </w:r>
    </w:p>
    <w:p>
      <w:pPr>
        <w:pStyle w:val="SourceNote"/>
      </w:pPr>
      <w:r>
        <w:rPr>
          <w:b/>
        </w:rPr>
        <w:t>Original source (2019):</w:t>
      </w:r>
      <w:r>
        <w:t xml:space="preserve"> https://doi.org/10.1088/1748-9326/ab0dd8</w:t>
      </w:r>
    </w:p>
    <w:p>
      <w:pPr/>
      <w:r>
        <w:t>Original wording (abstract; indexed_source_text_not_full_document_verified): China and Europe need to increase their low carbon investments by 65% and 38% in a scenario reaching the 2° target relative to their respective reference scenarios which assume no such target from 2016–2050. The results indicate that a rapid upscaling and structural change of these investments towards decarbonization are necessitated by the climate stringent scenarios.</w:t>
      </w:r>
    </w:p>
    <w:p>
      <w:pPr/>
      <w:r>
        <w:rPr>
          <w:b/>
        </w:rPr>
        <w:t>POSSIBLE 2026:</w:t>
      </w:r>
      <w:r>
        <w:t xml:space="preserve"> Trade and Investment Connectivity in Europe and the Chinese Influence — https://doi.org/10.25353/ubtr-90f2-6aed-a60d</w:t>
      </w:r>
    </w:p>
    <w:p>
      <w:pPr/>
      <w:r>
        <w:rPr>
          <w:b/>
        </w:rPr>
        <w:t>Shared claim-specific concepts:</w:t>
      </w:r>
      <w:r>
        <w:t xml:space="preserve"> china, need, increase, investments, relative, indicate; EU scope visible. This is a provisional connection, not an outcome finding.</w:t>
      </w:r>
    </w:p>
    <w:p>
      <w:pPr>
        <w:pStyle w:val="SourceNote"/>
      </w:pPr>
      <w:r>
        <w:rPr>
          <w:b/>
        </w:rPr>
        <w:t>Available abstract (not full text):</w:t>
      </w:r>
      <w:r>
        <w:t xml:space="preserve"> This thesis examines how Europe sustains its leadership and competitiveness as a global center for foreign direct investment (FDI) and trade between 1991 and 2023. While EU membership historically functioned as the dominant determinant of inward FDI and trade integration, its relative influence has declined as new structural factors, based on trade dynamics and export-platform strategies, have emerged, together with the growing presence of Asian, especially Chinese, investors establishing production hubs in Central and Eastern Europe to serve the wider EU market. Lower trade costs within Europe have reinforced this shift, leading EU investors to focus on vertical FDI, while non-EU investors to adopt export-platform FDI patterns. Chinese investment has moved from infrastructure-focused projects to strategic-sector FDI, highlighting Europe’s exposure to evolving global industrial and geopolitical dynamics. Chapter 2 examines how traditional determinants of FDI, including EU membership, interact with emerging drivers, such as trade interdependence, export-platform strategies, and Asian influence, to shape investment patterns in Europe. It employs a gravity-based empirical framework augmented with newly developed indicators, comprising the Bilateral Trade Interdependence Index, the Export-Platform Indicator, and Belt and Road Initiative (BRI) participation, together with a function</w:t>
      </w:r>
    </w:p>
    <w:p>
      <w:pPr/>
      <w:r>
        <w:rPr>
          <w:b/>
        </w:rPr>
        <w:t>POSSIBLE 2025:</w:t>
      </w:r>
      <w:r>
        <w:t xml:space="preserve"> Green Investment, Digital Technological Progress, and the Dynamics of Carbon Emissions in China: A Review — https://doi.org/10.5281/zenodo.18311163</w:t>
      </w:r>
    </w:p>
    <w:p>
      <w:pPr/>
      <w:r>
        <w:rPr>
          <w:b/>
        </w:rPr>
        <w:t>Shared claim-specific concepts:</w:t>
      </w:r>
      <w:r>
        <w:t xml:space="preserve"> china, increase, carbon, stringent; EU scope not established. This is a provisional connection, not an outcome finding.</w:t>
      </w:r>
    </w:p>
    <w:p>
      <w:pPr>
        <w:pStyle w:val="SourceNote"/>
      </w:pPr>
      <w:r>
        <w:rPr>
          <w:b/>
        </w:rPr>
        <w:t>Available abstract (not full text):</w:t>
      </w:r>
      <w:r>
        <w:t xml:space="preserve"> This article examines the impact of green capital allocation and improvement in information and communication technology on the trajectory of carbon emission from the period of 1985 to 2024 in China. Our results highlight the importance of environmentally sustainable investment and technological development of digital technologies to curb increasing carbon production, while at the same time emphasizing the possible paradox that accelerated economic growth will continue to increase environmental strain through a large increase in carbon emissions. Existing scholarship supports the linkages between the forms of green investment, technological innovation, and economic growth (including the dimension of nonlinear, quadratic growth) and thus can shed light on the dynamic interactions of these variables in the context of the environment. Inspired by these empirical understandings, policy prescriptions that attempt to crystallize a more solid path for China to move toward a cleaner and more sustainable growth paradigm have been proposed in the present work. Existing literature has found a strong connection among green investment, technological innovation and economic growth with the help of static and dynamic econometric methodologies. These outcome results provide important knowledge on the complex interrelations of environmental outcomes. Based on empirical literature, the current s</w:t>
      </w:r>
    </w:p>
    <w:p>
      <w:pPr/>
      <w:r>
        <w:rPr>
          <w:b/>
        </w:rPr>
        <w:t>POSSIBLE 2024:</w:t>
      </w:r>
      <w:r>
        <w:t xml:space="preserve"> Impact of Green Infrastructure Investment on Urban Carbon Emissions in China — https://doi.org/10.3390/su16072668</w:t>
      </w:r>
    </w:p>
    <w:p>
      <w:pPr/>
      <w:r>
        <w:rPr>
          <w:b/>
        </w:rPr>
        <w:t>Shared claim-specific concepts:</w:t>
      </w:r>
      <w:r>
        <w:t xml:space="preserve"> china, carbon, climate; EU scope not established. This is a provisional connection, not an outcome finding.</w:t>
      </w:r>
    </w:p>
    <w:p>
      <w:pPr>
        <w:pStyle w:val="SourceNote"/>
      </w:pPr>
      <w:r>
        <w:rPr>
          <w:b/>
        </w:rPr>
        <w:t>Available abstract (not full text):</w:t>
      </w:r>
      <w:r>
        <w:t xml:space="preserve"> Given the increasingly severe global climate change, the reduction in urban greenhouse gas emissions has become the common goal of all nations. As a widely concerned sustainable development strategy, green infrastructure investment (GII) aims to reduce urban carbon emissions, improve the efficiency of resource utilization, and improve environmental quality. However, the construction cycle of green infrastructure is long, and the construction process itself may produce carbon emissions; so, the final effect of GII on urban carbon emissions is unclear, which deserves our in-depth study. Further, is this effect having a time-lag effect? Is there only a simple linear relationship between GII and urban carbon emissions? Based on panel data from 235 Chinese cities from 2006 to 2019, this study conducted an econometric regression analysis using time-lag-effect and threshold-effect models. The results showed the following: (1) GII had a negative inhibitory effect on urban CO2 emissions. Adding one unit to the GII could reduce urban CO2 emissions by 0.032 units. (2) GII exhibited a time-lag effect on urban CO2 emissions, and the greatest reduction in CO2 emissions occurred in the third lag period. (3) GII had a threshold effect on urban CO2 emissions based on technological progress (TP). This paper used the static and dynamic panel threshold models to research separately, and obtained t</w:t>
      </w:r>
    </w:p>
    <w:p>
      <w:pPr/>
      <w:r>
        <w:rPr>
          <w:b/>
        </w:rPr>
        <w:t>POSSIBLE 2024:</w:t>
      </w:r>
      <w:r>
        <w:t xml:space="preserve"> China carbon emission accounts 2020-2021 — https://doi.org/10.1016/j.apenergy.2024.122837</w:t>
      </w:r>
    </w:p>
    <w:p>
      <w:pPr/>
      <w:r>
        <w:rPr>
          <w:b/>
        </w:rPr>
        <w:t>Shared claim-specific concepts:</w:t>
      </w:r>
      <w:r>
        <w:t xml:space="preserve"> china, carbon, rapid, climate; EU scope not established. This is a provisional connection, not an outcome finding.</w:t>
      </w:r>
    </w:p>
    <w:p>
      <w:pPr>
        <w:pStyle w:val="SourceNote"/>
      </w:pPr>
      <w:r>
        <w:rPr>
          <w:b/>
        </w:rPr>
        <w:t>Available abstract (not full text):</w:t>
      </w:r>
      <w:r>
        <w:t xml:space="preserve"> In the past a few years, the outbreak of the COVID-19 epidemic has significantly changed global emission patterns and increased the challenges in emission reduction. However, a comprehensive analysis of the most recent trends of China's carbon emissions has not been conducted due to a lack of up-to-date emission accounts by regions and sectors. This study compiles the latest CO2 emission inventories for China and its 30 provinces during the epidemic (2020−2021), following the administrative-territorial approach from the International Panel on Climate Change (IPCC). Our inventories cover energy-related emissions from 17 types of fossil fuel combustion and cement production across 47 economic sectors. To provide a holistic view of emission patterns, we esitamted consumption-based emissions in China. We find that the COVID-19 epidemic led to a 50% reduction in the growth rate of territorial emissions in 2020 compared to 2019. This trend then reversed in 2021 as lockdown measures gradually relaxed. Our study reveals the impact of the rapid expansion of exports, driven by epidemic prevention materials and “stay-at-home economy” products on widening the differences between territorial- and consumption-based emissions. Our study offers a timely blueprint for designing strategies towards carbon peak and neutrality, especially in the context of sustainable recoveries and carbon mitigati</w:t>
      </w:r>
    </w:p>
    <w:p>
      <w:pPr/>
      <w:r>
        <w:rPr>
          <w:b/>
        </w:rPr>
        <w:t>POSSIBLE 2024:</w:t>
      </w:r>
      <w:r>
        <w:t xml:space="preserve"> Can the European nuclear power industry compete with the Chinese nuclear power industry? — https://doi.org/10.24294/jipd.v8i11.8715</w:t>
      </w:r>
    </w:p>
    <w:p>
      <w:pPr/>
      <w:r>
        <w:rPr>
          <w:b/>
        </w:rPr>
        <w:t>Shared claim-specific concepts:</w:t>
      </w:r>
      <w:r>
        <w:t xml:space="preserve"> need, carbon, investments; EU scope visible. This is a provisional connection, not an outcome finding.</w:t>
      </w:r>
    </w:p>
    <w:p>
      <w:pPr>
        <w:pStyle w:val="SourceNote"/>
      </w:pPr>
      <w:r>
        <w:rPr>
          <w:b/>
        </w:rPr>
        <w:t>Available abstract (not full text):</w:t>
      </w:r>
      <w:r>
        <w:t xml:space="preserve"> European commissioner for the Internal Market, Thierry Breton, told Le Journal du Dimanche in January 2022, “Existing nuclear plants alone will need 50 billion euros of investment from now until 2030. And new generation ones will need 500 billion”. This paper considers whether these values are realistic. Further, it asks whether these investments would yield an internationally competitive European nuclear power infrastructure given that the nuclear power industries in the Organization for Economic Cooperation and Development member countries have lost global nuclear market share to Russian and Chinese firms since 1995.The paper investigates whether the European nuclear industry even with massive investment can compete with the Chinese nuclear industries. It concludes that the European (in particular, the French) nuclear power industry will be unlikely to be cost competitive with the Chinese nuclear power industry unless financing and new plant orders are immediately forthcoming. To achieve carbon neutrality, the issue becomes whether European Union countries can afford indigenous nuclear technologies or will need to import nuclear power plants from Asia.</w:t>
      </w:r>
    </w:p>
    <w:p>
      <w:pPr/>
      <w:r>
        <w:rPr>
          <w:b/>
        </w:rPr>
        <w:t>POSSIBLE 2024:</w:t>
      </w:r>
      <w:r>
        <w:t xml:space="preserve"> Foreign Direct Investment, Technology Innovation and Carbon Emissions: Evidence from China — https://doi.org/10.3390/su162210014</w:t>
      </w:r>
    </w:p>
    <w:p>
      <w:pPr/>
      <w:r>
        <w:rPr>
          <w:b/>
        </w:rPr>
        <w:t>Shared claim-specific concepts:</w:t>
      </w:r>
      <w:r>
        <w:t xml:space="preserve"> china, increase, carbon, stringent; EU scope not established. This is a provisional connection, not an outcome finding.</w:t>
      </w:r>
    </w:p>
    <w:p>
      <w:pPr>
        <w:pStyle w:val="SourceNote"/>
      </w:pPr>
      <w:r>
        <w:rPr>
          <w:b/>
        </w:rPr>
        <w:t>Available abstract (not full text):</w:t>
      </w:r>
      <w:r>
        <w:t xml:space="preserve"> FDI is a critical factor influencing carbon emissions and a significant driver of China’s economic development. However, achieving sustainable economic development remains a major challenge for China. Hence, this paper aims to explore how to foster positive interactions between FDI and carbon emissions. Specifically, we first analyze the mechanism of FDI on carbon emissions from a theoretical perspective. Then, using panel data from 27 provinces in China, an empirical analysis is conducted. In the empirical analysis, we use the panel regression models to analyze the impact of FDI on carbon emissions. Additionally, a configuration analysis method is employed to examine the interactive relationship between FDI quality and carbon emissions. The conclusions of this paper are as follows. Overall, FDI significantly inhibits carbon emissions across provinces, with this effect strengthening as the scale and quality of FDI increase. Heterogeneity analysis shows that the inhibitory effect of FDI on carbon emissions is more pronounced in provinces with high technological financial support and stringent environmental regulations. Mediation analysis indicates that technological innovation serves as a mediator between FDI and carbon emissions, which means that FDI could promote “the quality improvement and the quantity increase” of green technological innovation to reduce carbon emissions. F</w:t>
      </w:r>
    </w:p>
    <w:p>
      <w:pPr/>
      <w:r>
        <w:rPr>
          <w:b/>
        </w:rPr>
        <w:t>POSSIBLE 2024:</w:t>
      </w:r>
      <w:r>
        <w:t xml:space="preserve"> Examining the Philippines’ infrastructure and connectivity cooperation with China and the European Union — https://doi.org/10.1007/s44282-024-00076-2</w:t>
      </w:r>
    </w:p>
    <w:p>
      <w:pPr/>
      <w:r>
        <w:rPr>
          <w:b/>
        </w:rPr>
        <w:t>Shared claim-specific concepts:</w:t>
      </w:r>
      <w:r>
        <w:t xml:space="preserve"> china, need, investments; EU scope visible. This is a provisional connection, not an outcome finding.</w:t>
      </w:r>
    </w:p>
    <w:p>
      <w:pPr>
        <w:pStyle w:val="SourceNote"/>
      </w:pPr>
      <w:r>
        <w:rPr>
          <w:b/>
        </w:rPr>
        <w:t>Available abstract (not full text):</w:t>
      </w:r>
      <w:r>
        <w:t xml:space="preserve"> Abstract Like many other countries in the Global South, the Philippines is in dire need of foreign investments and loans to develop its infrastructure. Former President Rodrigo Duterte (2016–2022) sought close cooperation with China’s Belt and Road Initiative (BRI) to complement his ambitious Build! Build! Build! program. His successor Ferdinand Marcos Jr. continued many BRI projects, but canceled others, due to lack of funding from China and increased tensions in the South China Sea. Moreover, he deepened cooperation with the European Union (EU) in security and infrastructure, thereby benefiting from the EU’s Global Gateway Initiative (GGI). The findings of this study, which is theoretically located at the intersection of foreign, economic, and domestic politics, build strongly on a representative survey conducted in the Philippines in 2022. One of the major findings is the occurrence of perceptions of the Philippine citizens and elites of China and the EU that are strongly in line with each other. Another finding is the extent of the Filipinos’ ability to differentiate between “good”, “bad”, and “beautiful” effects of BRI projects despite their negative attitude towards China. Conversely, even though the EU is seen in a very positive light, the study concludes that the GGI can only then become an additional infrastructure offer, if the GGI projects bring tangible benefits to </w:t>
      </w:r>
    </w:p>
    <w:p>
      <w:pPr/>
      <w:r>
        <w:rPr>
          <w:b/>
        </w:rPr>
        <w:t>POSSIBLE 2023:</w:t>
      </w:r>
      <w:r>
        <w:t xml:space="preserve"> Grid integration feasibility and investment planning of offshore wind power under carbon-neutral transition in China — https://doi.org/10.1038/s41467-023-37536-3</w:t>
      </w:r>
    </w:p>
    <w:p>
      <w:pPr/>
      <w:r>
        <w:rPr>
          <w:b/>
        </w:rPr>
        <w:t>Shared claim-specific concepts:</w:t>
      </w:r>
      <w:r>
        <w:t xml:space="preserve"> china, investments, indicate; EU scope not established. This is a provisional connection, not an outcome finding.</w:t>
      </w:r>
    </w:p>
    <w:p>
      <w:pPr>
        <w:pStyle w:val="SourceNote"/>
      </w:pPr>
      <w:r>
        <w:rPr>
          <w:b/>
        </w:rPr>
        <w:t>Available abstract (not full text):</w:t>
      </w:r>
      <w:r>
        <w:t xml:space="preserve"> emitter, China. However, system integration barriers as well as system balancing costs have not been quantified yet. Here we develop a bottom-up model to test the grid accommodation capabilities and design the optimal investment plans for offshore wind power considering resource distributions, hourly power system simulations, and transmission/storage/hydrogen investments. Results indicate that grid integration barriers exist currently at the provincial level. For 2030, optimized offshore wind investment levels should be doubled compared with current government plans, and provincial allocations should be significantly improved considering both resource quality and grid conditions. For 2050, offshore wind capacity in China could reach as high as 1500 GW, prompting a paradigm shift in national transmission structure, favoring long-term storage in the energy portfolio, enabling green hydrogen production in coastal demand centers, resulting in the world's largest wind power market.</w:t>
      </w:r>
    </w:p>
    <w:p>
      <w:pPr/>
      <w:r>
        <w:rPr>
          <w:b/>
        </w:rPr>
        <w:t>POSSIBLE 2023:</w:t>
      </w:r>
      <w:r>
        <w:t xml:space="preserve"> Influence of carbon derivatives on carbon capture investments in coal-based power sector, a China perspective — https://doi.org/10.1016/j.isci.2023.108026</w:t>
      </w:r>
    </w:p>
    <w:p>
      <w:pPr/>
      <w:r>
        <w:rPr>
          <w:b/>
        </w:rPr>
        <w:t>Shared claim-specific concepts:</w:t>
      </w:r>
      <w:r>
        <w:t xml:space="preserve"> china, low, carbon, investments, decarbonization; EU scope not established. This is a provisional connection, not an outcome finding.</w:t>
      </w:r>
    </w:p>
    <w:p>
      <w:pPr>
        <w:pStyle w:val="SourceNote"/>
      </w:pPr>
      <w:r>
        <w:rPr>
          <w:b/>
        </w:rPr>
        <w:t>Available abstract (not full text):</w:t>
      </w:r>
      <w:r>
        <w:t xml:space="preserve"> Coal-based power sector needs deep carbon emission reduction in the upcoming 20 years to fulfill China's carbon peaking and carbon neutrality pledge. Due to the low and fluctuating carbon price in the emission trading system, decarbonization projects are risky and face massive potential losses. To promote decarbonization investment, a lot of policies of subsidy have been set forth. However, market instruments, which could be efficient and motivating for market entities, should have received more attention. In this article, the influence of carbon derivatives on decarbonization investment and financing is analyzed for different technology progresses and price trajectories. Results show that carbon futures and options have de-risking ability, lowering expected variation and financial cost, and consequently, making decarbonization project feasible. For advanced technology and optimistic outlook, investment can be feasible with 42-66% debt share when options are available. For the base case and neutral price outlook, derivatives can pull subsidy down by around 1%.</w:t>
      </w:r>
    </w:p>
    <w:p>
      <w:pPr/>
      <w:r>
        <w:rPr>
          <w:b/>
        </w:rPr>
        <w:t>POSSIBLE 2023:</w:t>
      </w:r>
      <w:r>
        <w:t xml:space="preserve"> The Europeanization in Chinese — Focus on English and Chinese — https://doi.org/10.54097/ehss.v17i.10464</w:t>
      </w:r>
    </w:p>
    <w:p>
      <w:pPr/>
      <w:r>
        <w:rPr>
          <w:b/>
        </w:rPr>
        <w:t>Shared claim-specific concepts:</w:t>
      </w:r>
      <w:r>
        <w:t xml:space="preserve"> china, increase; EU scope not established. This is a provisional connection, not an outcome finding.</w:t>
      </w:r>
    </w:p>
    <w:p>
      <w:pPr>
        <w:pStyle w:val="SourceNote"/>
      </w:pPr>
      <w:r>
        <w:rPr>
          <w:b/>
        </w:rPr>
        <w:t>Available abstract (not full text):</w:t>
      </w:r>
      <w:r>
        <w:t xml:space="preserve"> Languages are always progressing, and other languages significantly influence Chinese. The significant influence is a change in the structure of the Chinese sentence. As intercultural communication continues to increase, loanwords are becoming more and more common in daily life. Loanwords fill up the gaps of new things and greatly enrich the vocabulary. Language interactions and the people’s perception of such implicit and explicit cultural influences are critical to understand cultural influences on people and cultural exchange. This paper analyzes loanwords, sentence structure and people’s thinking patterns to find the influence caused by Europeanization and how Europeanization is defined in China. Moreover, this paper analyzes the international context and the related conditions of the Chinese Europeanization phenomenon. In general, the Europeanization of the Chinese is inevitable in the current context. The borrowed words and grammatical changes have enriched the Chinese vocabulary and promoted smooth communication between China and other countries.</w:t>
      </w:r>
    </w:p>
    <w:p>
      <w:pPr/>
      <w:r>
        <w:rPr>
          <w:b/>
        </w:rPr>
        <w:t>POSSIBLE 2022:</w:t>
      </w:r>
      <w:r>
        <w:t xml:space="preserve"> The micro-macro interplay of economic factors in late-life loneliness: Evidence from Europe and China — https://doi.org/10.3389/fpubh.2022.968411</w:t>
      </w:r>
    </w:p>
    <w:p>
      <w:pPr/>
      <w:r>
        <w:rPr>
          <w:b/>
        </w:rPr>
        <w:t>Shared claim-specific concepts:</w:t>
      </w:r>
      <w:r>
        <w:t xml:space="preserve"> china, need, increase, low; EU scope visible. This is a provisional connection, not an outcome finding.</w:t>
      </w:r>
    </w:p>
    <w:p>
      <w:pPr>
        <w:pStyle w:val="SourceNote"/>
      </w:pPr>
      <w:r>
        <w:rPr>
          <w:b/>
        </w:rPr>
        <w:t>Available abstract (not full text):</w:t>
      </w:r>
      <w:r>
        <w:t xml:space="preserve"> Individual socioeconomic status has a significant impact on whether older adults can initiate and maintain social relationships and participate in society, hence it affects loneliness. At the macro level, income inequality is expected to increase the risk of loneliness by eroding social cohesion and trust, while welfare generosity might protect people from loneliness. The aim of the study is to explore whether income inequality and welfare generosity at the country level moderate the effect of socioeconomic status at the individual level on late-life loneliness. Data were obtained from the HRS family of surveys - the Survey of Health, Aging and Retirement in Europe (SHARE) (wave 5, 2011/12) and China Health and Retirement Longitudinal Study (CHARLS) (wave 2, 2012/13). Respondents aged 50 years and older from twelve European countries and China were included in the study. Logistic country fixed effect models were used in the analysis. The findings show a stronger effect of individual socioeconomic status on late-life loneliness in more income-unequal societies and a weaker effect in more welfare-generous societies. There is a need to consider the impact of income distribution and welfare spending on the risk of loneliness among those older adults with low socioeconomic status when tailoring preventive programs and interventions to reduce loneliness among this vulnerable group.</w:t>
      </w:r>
    </w:p>
    <w:p>
      <w:pPr/>
      <w:r>
        <w:rPr>
          <w:b/>
        </w:rPr>
        <w:t>POSSIBLE 2022:</w:t>
      </w:r>
      <w:r>
        <w:t xml:space="preserve"> Green energy investment, renewable energy consumption, and carbon neutrality in China — https://doi.org/10.3389/fenvs.2022.960795</w:t>
      </w:r>
    </w:p>
    <w:p>
      <w:pPr/>
      <w:r>
        <w:rPr>
          <w:b/>
        </w:rPr>
        <w:t>Shared claim-specific concepts:</w:t>
      </w:r>
      <w:r>
        <w:t xml:space="preserve"> china, increase, carbon, indicate; EU scope not established. This is a provisional connection, not an outcome finding.</w:t>
      </w:r>
    </w:p>
    <w:p>
      <w:pPr>
        <w:pStyle w:val="SourceNote"/>
      </w:pPr>
      <w:r>
        <w:rPr>
          <w:b/>
        </w:rPr>
        <w:t>Available abstract (not full text):</w:t>
      </w:r>
      <w:r>
        <w:t xml:space="preserve"> This study investigates the dynamic impact of green energy investment and energy consumption on carbon emissions in China from 1995 to 2020. It employed the Bootstrap Autoregressive Distributed Lag method to examine the short and long-run relationship. The long-run findings indicate that green energy investment and renewable energy consumption decrease carbon emissions, whereas non-renewable energy consumption and economic growth increase carbon emissions in shorter and longer periods. The long-term reduction in carbon emissions may imply the transition toward carbon neutrality. However, the marginal contribution of renewable energy towards carbon neutrality is significantly higher than green energy investment due to investment lag effects. Moreover, the Error Correction Term (ECT) is significantly negative, authorizing the convergence towards steady-state equilibrium in case of any deviation with a 25% adjustment rate. The empirical results suggest that China should encourage green energy investment and increase the share of renewable energy sources to ensure carbon neutrality in the long run.</w:t>
      </w:r>
    </w:p>
    <w:p>
      <w:pPr>
        <w:pStyle w:val="Heading2"/>
      </w:pPr>
      <w:r>
        <w:t>698. A multi-model, multi-scenario, and multi-domain analysis of regional climate projections for the Mediterranean</w:t>
      </w:r>
    </w:p>
    <w:p>
      <w:pPr>
        <w:pStyle w:val="SourceNote"/>
      </w:pPr>
      <w:r>
        <w:rPr>
          <w:b/>
        </w:rPr>
        <w:t>Original source (2019):</w:t>
      </w:r>
      <w:r>
        <w:t xml:space="preserve"> https://doi.org/10.1007/s10113-019-01565-w</w:t>
      </w:r>
    </w:p>
    <w:p>
      <w:pPr/>
      <w:r>
        <w:t>Original wording (abstract; indexed_source_text_not_full_document_verified): This unique multi-model, multi-scenario, and multi-domain “super-ensemble” is used to update projected changes for the Mediterranean region. The southern part of the Mediterranean is expected to be impacted most strongly since the CORDEX ensemble suggests substantial combined warming and drying, particularly for pathways RCP4.5 and RCP8.5.</w:t>
      </w:r>
    </w:p>
    <w:p>
      <w:pPr/>
      <w:r>
        <w:rPr>
          <w:b/>
        </w:rPr>
        <w:t>POSSIBLE 2025:</w:t>
      </w:r>
      <w:r>
        <w:t xml:space="preserve"> Designing integrated and resilient multi-energy systems via multi-objective optimization and scenario analysis — https://doi.org/10.1016/j.apenergy.2025.125281</w:t>
      </w:r>
    </w:p>
    <w:p>
      <w:pPr/>
      <w:r>
        <w:rPr>
          <w:b/>
        </w:rPr>
        <w:t>Shared claim-specific concepts:</w:t>
      </w:r>
      <w:r>
        <w:t xml:space="preserve"> unique, used, warming; EU scope visible. This is a provisional connection, not an outcome finding.</w:t>
      </w:r>
    </w:p>
    <w:p>
      <w:pPr>
        <w:pStyle w:val="SourceNote"/>
      </w:pPr>
      <w:r>
        <w:rPr>
          <w:b/>
        </w:rPr>
        <w:t>Available abstract (not full text):</w:t>
      </w:r>
      <w:r>
        <w:t xml:space="preserve"> Decarbonizing local energy systems is imperative to achieve climate neutrality by 2050 and limit global temperature rise to 1.5 °C, aligning with the European Green Deal. Effective planning relies on accurate energy modeling tools, with a shift towards multi-energy systems which integrate diverse energy vectors and technologies for enhanced flexibility and renewable energy hosting capacity. Traditional single-metric cost-focused approaches in multi-energy systems planning are evolving towards multi-objective optimization strategies, balancing costs with sustainability objectives like global warming potential, environmental impacts, and reliability. The complexity of renewable energy sources, market volatility, and climate change necessitates robust solutions resilient to multiple uncertainty sources. This study introduces a decision analytic framework for optimal planning of sustainable, resilient multi-energy systems, integrating the single-objective CALLIOPE simulation-optimization model with multi-objective evolutionary algorithms. Multiple algorithms are tested, and the best-performing algorithm is used to extract optimal configurations under alternating scenarios of renewable energy generation potential and energy prices. The new framework is tested on a synthetic case study based on the Sulcis Iglesiente (SI) Province in Sardinia, Italy, and considers opportunities for in</w:t>
      </w:r>
    </w:p>
    <w:p>
      <w:pPr/>
      <w:r>
        <w:rPr>
          <w:b/>
        </w:rPr>
        <w:t>POSSIBLE 2025:</w:t>
      </w:r>
      <w:r>
        <w:t xml:space="preserve"> Temporal clusters of extreme events across Europe in a regional multi-scenario/multi-member ensemble — https://doi.org/10.5194/ems2025-464</w:t>
      </w:r>
    </w:p>
    <w:p>
      <w:pPr/>
      <w:r>
        <w:rPr>
          <w:b/>
        </w:rPr>
        <w:t>Shared claim-specific concepts:</w:t>
      </w:r>
      <w:r>
        <w:t xml:space="preserve"> unique, multi-model, multi-scenario, cordex, ensemble; EU scope visible. This is a provisional connection, not an outcome finding.</w:t>
      </w:r>
    </w:p>
    <w:p>
      <w:pPr>
        <w:pStyle w:val="SourceNote"/>
      </w:pPr>
      <w:r>
        <w:rPr>
          <w:b/>
        </w:rPr>
        <w:t>Available abstract (not full text):</w:t>
      </w:r>
      <w:r>
        <w:t xml:space="preserve"> Climate change drives an increase in the frequency of multiple meteorological extreme event types (e.g., extreme precipitation, storms, droughts, heatwaves) by affecting thermodynamic and dynamic processes in the coupled land-atmosphere system. Extreme events like the extended droughts during 2018-2020 in Europe, flooding triggered by extreme precipitation in Germany in 2021, as well as in Valencia and central France in 2024, or prolonged heatwaves in 2003, 2015, 2018, and 2022 across continental Europe had strong adverse impacts on socio-economic systems and the environment. Given a higher frequency of extreme events, it becomes more likely that regions experience consecutive events of the same type (e.g., multi-annual droughts) or different types of extremes, thereby challenging the regions’ short-term coping and recovery ability and long-term resilience.While extreme events are generally well-studied, holistic analyses of typical extreme event sequences are missing. Compound analyses commonly focus on specific combinations or events, but usually miss typical multi-annual sequences of extreme events with the potential for high impacts.Embedded in the EU horizon 2020 project ARSINOE, our analysis addresses the questions: 1) how often these temporal clusters occur and in which constellations, 2) how robust these constellations are, 3) and what role climate change plays in modul</w:t>
      </w:r>
    </w:p>
    <w:p>
      <w:pPr/>
      <w:r>
        <w:rPr>
          <w:b/>
        </w:rPr>
        <w:t>POSSIBLE 2024:</w:t>
      </w:r>
      <w:r>
        <w:t xml:space="preserve"> Multi-Step Temporal Modeling for UAV Tracking — https://doi.org/10.1109/tcsvt.2024.3375366</w:t>
      </w:r>
    </w:p>
    <w:p>
      <w:pPr/>
      <w:r>
        <w:rPr>
          <w:b/>
        </w:rPr>
        <w:t>Shared claim-specific concepts:</w:t>
      </w:r>
      <w:r>
        <w:t xml:space="preserve"> unique, region, particularly; EU scope not established. This is a provisional connection, not an outcome finding.</w:t>
      </w:r>
    </w:p>
    <w:p>
      <w:pPr>
        <w:pStyle w:val="SourceNote"/>
      </w:pPr>
      <w:r>
        <w:rPr>
          <w:b/>
        </w:rPr>
        <w:t>Available abstract (not full text):</w:t>
      </w:r>
      <w:r>
        <w:t xml:space="preserve"> In the realm of unmanned aerial vehicle (UAV) tracking, Siamese-based approaches have gained traction due to their optimal balance between efficiency and precision. However, UAV scenarios often present challenges such as insufficient sampling resolution, fast motion and small objects with limited feature information. As a result, temporal context in UAV tracking tasks plays a pivotal role in target location, overshadowing the target’s precise features. In this paper, we introduce MT-Track, a streamlined and efficient multi-step temporal modeling framework designed to harness the temporal context from historical frames for enhanced UAV tracking. This temporal integration occurs in two steps: correlation map generation and correlation map refinement. Specifically, we unveil a unique temporal correlation module that dynamically assesses the interplay between the template and search region features. This module leverages temporal information to refresh the template feature, yielding a more precise correlation map. Subsequently, we propose a mutual transformer module to refine the correlation maps of historical and current frames by modeling the temporal knowledge in the tracking sequence. This method significantly trims computational demands compared to the raw transformer. The compact yet potent nature of our tracking framework ensures commendable tracking outcomes, particularly i</w:t>
      </w:r>
    </w:p>
    <w:p>
      <w:pPr/>
      <w:r>
        <w:rPr>
          <w:b/>
        </w:rPr>
        <w:t>POSSIBLE 2024:</w:t>
      </w:r>
      <w:r>
        <w:t xml:space="preserve"> Designing integrated and resilient multi-energy systems via multi-objective optimization and scenario analysis — https://doi.org/10.5194/egusphere-egu24-3162</w:t>
      </w:r>
    </w:p>
    <w:p>
      <w:pPr/>
      <w:r>
        <w:rPr>
          <w:b/>
        </w:rPr>
        <w:t>Shared claim-specific concepts:</w:t>
      </w:r>
      <w:r>
        <w:t xml:space="preserve"> unique, used, region; EU scope visible. This is a provisional connection, not an outcome finding.</w:t>
      </w:r>
    </w:p>
    <w:p>
      <w:pPr>
        <w:pStyle w:val="SourceNote"/>
      </w:pPr>
      <w:r>
        <w:rPr>
          <w:b/>
        </w:rPr>
        <w:t>Available abstract (not full text):</w:t>
      </w:r>
      <w:r>
        <w:t xml:space="preserve"> Multi-energy systems (MESs), which integrate various technologies and energy vectors in a single unified framework, have proven to be effective and flexible tools for addressing the challenges faced by energy systems in a changing world. These include the need for decarbonization, increasing penetration of renewable energy sources, a push for decentralization and independence in energy markets, and rapidly shifting socio-economic and climatic conditions.However, traditional modeling tools for MESs planning and management have several shortcomings. Existing multi-energy planning and modeling frameworks often prioritize minimizing a single monetary objective. Even when multiple objectives are considered, they are often monetized, reducing the problem to a single-objective approach and limiting the exploration of possible solutions. Additionally, MES planning struggles to account for uncertainties arising from climate and socio-economic variables, especially with the rise of non-programmable energy sources and frequent disruptions in global supply chains and energy stability.The work hereby presented aims to overcome these limitations by developing modeling frameworks that allow for exploring various configurations of multi-energy systems based on non-comparable objectives. The goal is to extract trade-off solutions through optimization algorithms under different future scenarios.</w:t>
      </w:r>
    </w:p>
    <w:p>
      <w:pPr/>
      <w:r>
        <w:rPr>
          <w:b/>
        </w:rPr>
        <w:t>POSSIBLE 2024:</w:t>
      </w:r>
      <w:r>
        <w:t xml:space="preserve"> Low‐resolution activity recognition using super‐resolution and model ensemble networks — https://doi.org/10.4218/etrij.2023-0523</w:t>
      </w:r>
    </w:p>
    <w:p>
      <w:pPr/>
      <w:r>
        <w:rPr>
          <w:b/>
        </w:rPr>
        <w:t>Shared claim-specific concepts:</w:t>
      </w:r>
      <w:r>
        <w:t xml:space="preserve"> unique, ensemble, substantial; EU scope not established. This is a provisional connection, not an outcome finding.</w:t>
      </w:r>
    </w:p>
    <w:p>
      <w:pPr>
        <w:pStyle w:val="SourceNote"/>
      </w:pPr>
      <w:r>
        <w:rPr>
          <w:b/>
        </w:rPr>
        <w:t>Available abstract (not full text):</w:t>
      </w:r>
      <w:r>
        <w:t xml:space="preserve"> Abstract In real‐world video super‐resolution, the complexity and diversity of degradations pose substantial challenges during both training and inference. Videos captured in real‐world settings often depict activities at varying resolutions. Typically, these activities are filmed from a distance that reduces the resolution of imagery, which thus lacks discriminative features. To address this problem, we introduce an activity recognition solution. First, a unique integration of data transformation and attention‐based average discriminator are employed for super‐resolution feature augmentation. This approach mitigates the lack of discriminative cues in low‐resolution videos. Subsequently, high‐resolution features extracted from the recovered data are directly fed into a model ensemble for activity recognition. We evaluate the resulting method on the TinyVIRAT‐v2 and HMDB51 datasets, achieving improved visual quality by leveraging the super‐resolution and model ensemble strategy. The proposed method enhances the quality of textures and boosts activity recognition in low‐resolution videos.</w:t>
      </w:r>
    </w:p>
    <w:p>
      <w:pPr/>
      <w:r>
        <w:rPr>
          <w:b/>
        </w:rPr>
        <w:t>POSSIBLE 2024:</w:t>
      </w:r>
      <w:r>
        <w:t xml:space="preserve"> Improved Heart Diseases Risk Prediction Using Optimized Super Learner Ensemble Model — https://doi.org/10.22266/ijies2024.1031.25</w:t>
      </w:r>
    </w:p>
    <w:p>
      <w:pPr/>
      <w:r>
        <w:rPr>
          <w:b/>
        </w:rPr>
        <w:t>Shared claim-specific concepts:</w:t>
      </w:r>
      <w:r>
        <w:t xml:space="preserve"> used, ensemble; EU scope not established. This is a provisional connection, not an outcome finding.</w:t>
      </w:r>
    </w:p>
    <w:p>
      <w:pPr>
        <w:pStyle w:val="SourceNote"/>
      </w:pPr>
      <w:r>
        <w:rPr>
          <w:b/>
        </w:rPr>
        <w:t>Available abstract (not full text):</w:t>
      </w:r>
      <w:r>
        <w:t xml:space="preserve"> Cardio Vascular Diseases (CVD) has become a serious concern for humans as fatalities rate due to CVD are increasing at an alarming pace.With the aid of machine learning techniques, heart illnesses can be predicted much earlier, and therapy or dietary changes can prevent deaths.By combining predictions from various individual models, the machine learning technique known as ensemble learning improves forecasting accuracy and resiliency.In this work, a Super Learner Ensemble Model is used where the base learners are a diverse combination of linear, probabilistic, bagging, boosting and stacking models.To improve the performance of the Super Learner Ensemble Model, an Optimized Super Learner Ensemble Model (OSLEM) is proposed, where optimal selection of base learners in the ensemble is done based on the pairwise disagreement accuracy diversity measure of classifiers in each best fitness whale obtained by different iterations of Whale Optimization Algorithm (WOA).ModifiedBoostARoota (MBAR), a wrapper feature selection technique is used to choose the most significant features of six different heart datasets and the proposed OSLEM modelled on the selected features exhibits high performance compared to other existing ensemble models.</w:t>
      </w:r>
    </w:p>
    <w:p>
      <w:pPr/>
      <w:r>
        <w:rPr>
          <w:b/>
        </w:rPr>
        <w:t>POSSIBLE 2023:</w:t>
      </w:r>
      <w:r>
        <w:t xml:space="preserve"> DELM: Deep Ensemble Learning Model for Multiclass Classification of Super-Resolution Leaf Disease Images — https://doi.org/10.55730/1300-011x.3123</w:t>
      </w:r>
    </w:p>
    <w:p>
      <w:pPr/>
      <w:r>
        <w:rPr>
          <w:b/>
        </w:rPr>
        <w:t>Shared claim-specific concepts:</w:t>
      </w:r>
      <w:r>
        <w:t xml:space="preserve"> since, ensemble; EU scope not established. This is a provisional connection, not an outcome finding.</w:t>
      </w:r>
    </w:p>
    <w:p>
      <w:pPr>
        <w:pStyle w:val="SourceNote"/>
      </w:pPr>
      <w:r>
        <w:rPr>
          <w:b/>
        </w:rPr>
        <w:t>Available abstract (not full text):</w:t>
      </w:r>
      <w:r>
        <w:t xml:space="preserve"> Tomato plant leaf diseases are the main risk factor for plant growth.Detection of diseases at the initial stage is the main and most complex task for farmers due to common morphological properties like colour, shape, texture, and edges.The quality and quantity of agricultural products might be significantly reduced because of plant diseases.One hundred and seventy-seven pathogens, including 167 fungi and others like bacteria, algae, and nematodes, attack the well-known tomato plant.Postharvest illnesses may also result in significant productivity losses.An expert opinion is needed for illness analysis due to the modest variations in the symptoms of different tomato diseases.Farmers who misuse pesticides may suffer financial losses as a result of erroneous diagnoses.Plant leaf diseases are difficult to categorize since there are many similarities among different groups and intricate design changes.In this paper, the authors present a deep ensemble learning model (DELM) for autonomous plant disease identification.The pretrained models are refined using transfer learning.Different augmentation techniques, including picture enhancement, rotation, and scaling, combat overfitting.This research gives a thorough taxonomy of the performance of a single model and various ensemble learning models to classify superresolution tomato plant leaf disease images.With the publicly available data</w:t>
      </w:r>
    </w:p>
    <w:p>
      <w:pPr/>
      <w:r>
        <w:rPr>
          <w:b/>
        </w:rPr>
        <w:t>POSSIBLE 2023:</w:t>
      </w:r>
      <w:r>
        <w:t xml:space="preserve"> Global Ionospheric TEC Forecasting for Geomagnetic Storm Time Using a Deep Learning‐Based Multi‐Model Ensemble Method — https://doi.org/10.1029/2022sw003231</w:t>
      </w:r>
    </w:p>
    <w:p>
      <w:pPr/>
      <w:r>
        <w:rPr>
          <w:b/>
        </w:rPr>
        <w:t>Shared claim-specific concepts:</w:t>
      </w:r>
      <w:r>
        <w:t xml:space="preserve"> used, ensemble, particularly; EU scope not established. This is a provisional connection, not an outcome finding.</w:t>
      </w:r>
    </w:p>
    <w:p>
      <w:pPr>
        <w:pStyle w:val="SourceNote"/>
      </w:pPr>
      <w:r>
        <w:rPr>
          <w:b/>
        </w:rPr>
        <w:t>Available abstract (not full text):</w:t>
      </w:r>
      <w:r>
        <w:t xml:space="preserve"> Abstract In recent years, deep learning has been extensively used for ionospheric total electron content (TEC) prediction, and many models can yield promising prediction results, particularly under quiet conditions. Owing to the ionosphere's intricate and dramatic changes during geomagnetic storms, the high‐reliable prediction of the storm‐time ionospheric TEC remains a challenging problem. In this study, we developed a new deep learning‐based multi‐model ensemble method (DLMEM) to forecast geomagnetic storm‐time ionospheric TEC that combines the Random Forest (RF) model, the Extreme Gradient Boosting (XGBoost) algorithm, and the Gated Recurrent Unit (GRU) network with the attention mechanism. Seven features in 170 geomagnetic storm events, including the three components Bx , By and Bz of interplanetary magnetic field (IMF), the Kp and Dst indices of geomagnetic activity data, the F 10.7 index of solar activity data and global TEC data, were used for modeling. The test set results showed that the DLMEM model can reduce the root mean square errors (RMSE) by an average of 43.6% in comparison to our previously presented model Ion‐LSTM, especially during the recovery period of geomagnetic storms. Furthermore, compared to Ion‐LSTM, the RMSE values of the low‐, middle‐ and high‐latitude single‐station forecast TEC can be greatly decreased by 33%, 53% and 59%, respectively. It was sho</w:t>
      </w:r>
    </w:p>
    <w:p>
      <w:pPr/>
      <w:r>
        <w:rPr>
          <w:b/>
        </w:rPr>
        <w:t>POSSIBLE 2022:</w:t>
      </w:r>
      <w:r>
        <w:t xml:space="preserve"> Uncertainty Analysis Using Multi-Scenario Modeling Approach: Kashagan Field Case Study — https://doi.org/10.2118/212060-ms</w:t>
      </w:r>
    </w:p>
    <w:p>
      <w:pPr/>
      <w:r>
        <w:rPr>
          <w:b/>
        </w:rPr>
        <w:t>Shared claim-specific concepts:</w:t>
      </w:r>
      <w:r>
        <w:t xml:space="preserve"> unique, multi-scenario, since, combined; EU scope not established. This is a provisional connection, not an outcome finding.</w:t>
      </w:r>
    </w:p>
    <w:p>
      <w:pPr>
        <w:pStyle w:val="SourceNote"/>
      </w:pPr>
      <w:r>
        <w:rPr>
          <w:b/>
        </w:rPr>
        <w:t>Available abstract (not full text):</w:t>
      </w:r>
      <w:r>
        <w:t xml:space="preserve"> Abstract This paper will present a case study of an Uncertainty Analysis recently performed for the Kashagan Field. This is the first full scale uncertainty work performed on the field since it came online in September 2016. The paper will describe unique challenges given Kashagan peculiarities and describe methods and approaches taken to address those. A multi-scenario modeling workflow has been utilized to fully explore subsurface uncertainties in the decision space. First, uncertainties that were believed to have an impact on field performance based on the available data and learnings from previous studies were identified and ranked. Then, so-called categorical parameters were combined by grouping geologically relatable parameters into several scenarios with differentiating behaviors which were checked by performing screening simulation runs. This was followed by Design of Experiment (DoE) runs (Placket-Burman and Latin Hypercube), proxy modeling and Monte-Carlo analysis to aid selection of high, mid, and low models. More than 400 simulation runs were generated resulting in a wide range of outcomes for key performance indicators, enabling the selection of high, mid, and low model realizations to evaluate future field development decisions. The approach of combining categorical parameters into multiple scenarios followed by DoE runs offered several advantages including full s</w:t>
      </w:r>
    </w:p>
    <w:p>
      <w:pPr/>
      <w:r>
        <w:rPr>
          <w:b/>
        </w:rPr>
        <w:t>POSSIBLE 2022:</w:t>
      </w:r>
      <w:r>
        <w:t xml:space="preserve"> A Bayesian network approach for multi-sectoral flood damage assessment and multi-scenario analysis — https://doi.org/10.1016/j.crm.2022.100410</w:t>
      </w:r>
    </w:p>
    <w:p>
      <w:pPr/>
      <w:r>
        <w:rPr>
          <w:b/>
        </w:rPr>
        <w:t>Shared claim-specific concepts:</w:t>
      </w:r>
      <w:r>
        <w:t xml:space="preserve"> multi-scenario, pathways; EU scope not established. This is a provisional connection, not an outcome finding.</w:t>
      </w:r>
    </w:p>
    <w:p>
      <w:pPr>
        <w:pStyle w:val="SourceNote"/>
      </w:pPr>
      <w:r>
        <w:rPr>
          <w:b/>
        </w:rPr>
        <w:t>Available abstract (not full text):</w:t>
      </w:r>
      <w:r>
        <w:t xml:space="preserve"> Extreme weather and climate related events, from river flooding to droughts and tropical cyclones, are likely to become both more severe and more frequent in the coming decades, and the damages caused by these events will be felt across all sectors of society. In the face of this threat, policy- and decision-makers are increasingly calling for new approaches and tools to support risk management and climate adaptation pathways that can capture the full extent of the impacts. In this frame, a GIS-based Bayesian Network (BN) approach is presented for the capturing and modelling of multi-sectoral flooding damages against future ‘what-if’ scenarios. Building on a risk-based conceptual framework, the BN model was trained and validated by exploiting data collected from the 2014 Secchia River flooding event, as well as other contextual variables. Moreover, a novel approach to defining the structure of the BN was performed, reconfiguring the model according to expert judgment and data-based validation. The model showed a good predictive capacity for damages in the agricultural, industrial and residential sectors, predicting the severity of damages with a classification accuracy of about 60% for each of these assessment endpoints. ‘What-if’ scenario analysis was performed to understand the potential impacts of future changes in i) land use patterns and ii) increasing flood depths resulti</w:t>
      </w:r>
    </w:p>
    <w:p>
      <w:pPr/>
      <w:r>
        <w:rPr>
          <w:b/>
        </w:rPr>
        <w:t>POSSIBLE 2021:</w:t>
      </w:r>
      <w:r>
        <w:t xml:space="preserve"> Simulating Miocene Warmth: Insights From an Opportunistic Multi‐Model Ensemble (MioMIP1) — https://doi.org/10.1029/2020pa004054</w:t>
      </w:r>
    </w:p>
    <w:p>
      <w:pPr/>
      <w:r>
        <w:rPr>
          <w:b/>
        </w:rPr>
        <w:t>Shared claim-specific concepts:</w:t>
      </w:r>
      <w:r>
        <w:t xml:space="preserve"> ensemble, substantial, warming; EU scope not established. This is a provisional connection, not an outcome finding.</w:t>
      </w:r>
    </w:p>
    <w:p>
      <w:pPr>
        <w:pStyle w:val="SourceNote"/>
      </w:pPr>
      <w:r>
        <w:rPr>
          <w:b/>
        </w:rPr>
        <w:t>Available abstract (not full text):</w:t>
      </w:r>
      <w:r>
        <w:t xml:space="preserve"> Abstract The Miocene epoch, spanning 23.03–5.33 Ma, was a dynamic climate of sustained, polar amplified warmth. Miocene atmospheric CO 2 concentrations are typically reconstructed between 300 and 600 ppm and were potentially higher during the Miocene Climatic Optimum (16.75–14.5 Ma). With surface temperature reconstructions pointing to substantial midlatitude and polar warmth, it is unclear what processes maintained the much weaker‐than‐modern equator‐to‐pole temperature difference. Here, we synthesize several Miocene climate modeling efforts together with available terrestrial and ocean surface temperature reconstructions. We evaluate the range of model‐data agreement, highlight robust mechanisms operating across Miocene modeling efforts and regions where differences across experiments result in a large spread in warming responses. Prescribed CO 2 is the primary factor controlling global warming across the ensemble. On average, elements other than CO 2 , such as Miocene paleogeography and ice sheets, raise global mean temperature by ∼2°C, with the spread in warming under a given CO 2 concentration (due to a combination of the spread in imposed boundary conditions and climate feedback strengths) equivalent to ∼1.2 times a CO 2 doubling. This study uses an ensemble of opportunity: models, boundary conditions, and reference data sets represent the state‐of‐art for the Miocene, bu</w:t>
      </w:r>
    </w:p>
    <w:p>
      <w:pPr/>
      <w:r>
        <w:rPr>
          <w:b/>
        </w:rPr>
        <w:t>POSSIBLE 2021:</w:t>
      </w:r>
      <w:r>
        <w:t xml:space="preserve"> Sign Language Recognition via Skeleton-Aware Multi-Model Ensemble — https://doi.org/10.48550/arxiv.2110.06161</w:t>
      </w:r>
    </w:p>
    <w:p>
      <w:pPr/>
      <w:r>
        <w:rPr>
          <w:b/>
        </w:rPr>
        <w:t>Shared claim-specific concepts:</w:t>
      </w:r>
      <w:r>
        <w:t xml:space="preserve"> multi-model, used, ensemble; EU scope not established. This is a provisional connection, not an outcome finding.</w:t>
      </w:r>
    </w:p>
    <w:p>
      <w:pPr>
        <w:pStyle w:val="SourceNote"/>
      </w:pPr>
      <w:r>
        <w:rPr>
          <w:b/>
        </w:rPr>
        <w:t>Available abstract (not full text):</w:t>
      </w:r>
      <w:r>
        <w:t xml:space="preserve"> Sign language is commonly used by deaf or mute people to communicate but requires extensive effort to master. It is usually performed with the fast yet delicate movement of hand gestures, body posture, and even facial expressions. Current Sign Language Recognition (SLR) methods usually extract features via deep neural networks and suffer overfitting due to limited and noisy data. Recently, skeleton-based action recognition has attracted increasing attention due to its subject-invariant and background-invariant nature, whereas skeleton-based SLR is still under exploration due to the lack of hand annotations. Some researchers have tried to use off-line hand pose trackers to obtain hand keypoints and aid in recognizing sign language via recurrent neural networks. Nevertheless, none of them outperforms RGB-based approaches yet. To this end, we propose a novel Skeleton Aware Multi-modal Framework with a Global Ensemble Model (GEM) for isolated SLR (SAM-SLR-v2) to learn and fuse multi-modal feature representations towards a higher recognition rate. Specifically, we propose a Sign Language Graph Convolution Network (SL-GCN) to model the embedded dynamics of skeleton keypoints and a Separable Spatial-Temporal Convolution Network (SSTCN) to exploit skeleton features. The skeleton-based predictions are fused with other RGB and depth based modalities by the proposed late-fusion GEM to pro</w:t>
      </w:r>
    </w:p>
    <w:p>
      <w:pPr>
        <w:pStyle w:val="Heading2"/>
      </w:pPr>
      <w:r>
        <w:t>699. About global forecast of European Parliament TO 2035</w:t>
      </w:r>
    </w:p>
    <w:p>
      <w:pPr>
        <w:pStyle w:val="SourceNote"/>
      </w:pPr>
      <w:r>
        <w:rPr>
          <w:b/>
        </w:rPr>
        <w:t>Original source (2019):</w:t>
      </w:r>
      <w:r>
        <w:t xml:space="preserve"> https://doi.org/10.25634/mirbis.2019.1.3</w:t>
      </w:r>
    </w:p>
    <w:p>
      <w:pPr/>
      <w:r>
        <w:t>Original wording (abstract; indexed_source_text_not_full_document_verified): These forecasts show trends and breakthroughs in development of science and technology, determine possible changes in eco- nomics, social and political life of the world and in its diferent regions, help to determine crisis points.</w:t>
      </w:r>
    </w:p>
    <w:p>
      <w:pPr/>
      <w:r>
        <w:rPr>
          <w:b/>
        </w:rPr>
        <w:t>POSSIBLE 2026:</w:t>
      </w:r>
      <w:r>
        <w:t xml:space="preserve"> FORECASTING DEVELOPMENT TRENDS IN THE IT INDUSTRY IN UKRAINE — https://doi.org/10.32782/2312-7872.1.2026.8</w:t>
      </w:r>
    </w:p>
    <w:p>
      <w:pPr/>
      <w:r>
        <w:rPr>
          <w:b/>
        </w:rPr>
        <w:t>Shared claim-specific concepts:</w:t>
      </w:r>
      <w:r>
        <w:t xml:space="preserve"> trends, technology; EU scope visible. This is a provisional connection, not an outcome finding.</w:t>
      </w:r>
    </w:p>
    <w:p>
      <w:pPr>
        <w:pStyle w:val="SourceNote"/>
      </w:pPr>
      <w:r>
        <w:rPr>
          <w:b/>
        </w:rPr>
        <w:t>Available abstract (not full text):</w:t>
      </w:r>
      <w:r>
        <w:t xml:space="preserve"> The article argues the relevance and necessity of studying the development of the IT sector as one of the key sectors of the Ukrainian economy. The significance and advantages of the IT sector are substantiated. An analysis of recent scientific works on this issue has shown the need for further scientific research into the determinants, trends and prospects for the development of the IT industry of Ukraine in difficult war conditions. The aim of the article is to develop scientific and methodological approaches to forecasting trends and prospects for the development of the IT industry of Ukraine. The article examines the development trends of the Ukrainian IT industry in the context of war and global economic challenges. The main ones are: digital transformation, development of the technological ecosystem, increasing the strategic role in the European digital space, synergy between leading technology companies and a new generation of startups. The characteristics of the Ukrainian IT sector, the main reasons and factors that influenced changes during the analyzed period are determined. The forecast of the development indicators of the Ukrainian IT industry for the period until 2027 is made, taking into account statistical data for previous years, as well as growth dynamics based on global trends in the IT sector. Forecasting the export indicators of IT services in the export of </w:t>
      </w:r>
    </w:p>
    <w:p>
      <w:pPr/>
      <w:r>
        <w:rPr>
          <w:b/>
        </w:rPr>
        <w:t>POSSIBLE 2025:</w:t>
      </w:r>
      <w:r>
        <w:t xml:space="preserve"> Forecasting innovation status and trends with ARIMA analysis and Linear Trend Model in the European Union — https://doi.org/10.1556/1848.2025.00988</w:t>
      </w:r>
    </w:p>
    <w:p>
      <w:pPr/>
      <w:r>
        <w:rPr>
          <w:b/>
        </w:rPr>
        <w:t>Shared claim-specific concepts:</w:t>
      </w:r>
      <w:r>
        <w:t xml:space="preserve"> show, trends; EU scope visible. This is a provisional connection, not an outcome finding.</w:t>
      </w:r>
    </w:p>
    <w:p>
      <w:pPr>
        <w:pStyle w:val="SourceNote"/>
      </w:pPr>
      <w:r>
        <w:rPr>
          <w:b/>
        </w:rPr>
        <w:t>Available abstract (not full text):</w:t>
      </w:r>
      <w:r>
        <w:t xml:space="preserve"> Abstract The European Union's (EU) future will be fundamentally determined by innovation-based competitiveness. The study examines what characterized the EU's innovation status as a whole and its member states between 2017 and 2024. For the situation analysis, the study examines the development of the Summary Innovation Index (SII) values describing the innovation status of the member states using the ARIMA model and K-means clustering. The study estimates the expected innovation status of the EU and its member states in the medium term using the Linear Trend Model. The results show that innovation is the least coordinated area of the EU cohesion policy, as there is a significant gap in the innovation status of the member states. In the case of the two extreme innovation values, the difference is four times greater. By this ratio, the average innovation development of the Scandinavian states is higher than the development level of some Eastern European member states. The extrapolation results show that the innovation gap will likely persist in the medium term despite continuous modernization.</w:t>
      </w:r>
    </w:p>
    <w:p>
      <w:pPr/>
      <w:r>
        <w:rPr>
          <w:b/>
        </w:rPr>
        <w:t>POSSIBLE 2024:</w:t>
      </w:r>
      <w:r>
        <w:t xml:space="preserve"> Parabolic Modeling Forecasts of Space and Time European Hydropower Production — https://doi.org/10.3390/pr12061098</w:t>
      </w:r>
    </w:p>
    <w:p>
      <w:pPr/>
      <w:r>
        <w:rPr>
          <w:b/>
        </w:rPr>
        <w:t>Shared claim-specific concepts:</w:t>
      </w:r>
      <w:r>
        <w:t xml:space="preserve"> forecasts, show, trends, technology; EU scope visible. This is a provisional connection, not an outcome finding.</w:t>
      </w:r>
    </w:p>
    <w:p>
      <w:pPr>
        <w:pStyle w:val="SourceNote"/>
      </w:pPr>
      <w:r>
        <w:rPr>
          <w:b/>
        </w:rPr>
        <w:t>Available abstract (not full text):</w:t>
      </w:r>
      <w:r>
        <w:t xml:space="preserve"> Renewable sources of energy production are some of the main targets today to protect the environment through reduced fossil fuel consumption and CO2 emissions. Alongside wind, solar, marine, biomass and nuclear sources, hydropower is among the oldest but still not fully explored renewable energy sources. Compared with other sources like wind and solar, hydropower is more stable and consistent, offering increased predictability. Even so, it should be analyzed considering water flow, dams capacity, climate change, irrigation, navigation, and so on. The aim of this study is to propose a forecast model of hydropower production capacity and identify long-term trends. The curve fit forecast parabolic model was applied to 33 European countries for time series data from 1990 to 2021. Space-time cube ArcGIS representation in 2D and 3D offers visualization of the prediction and model confidence rate. The quadratic trajectory fit the raw data for 14 countries, validated by visual check, and in 20 countries, validated by FMRSE 10% threshold from the maximal value. The quadratic model choice is good for forecasting future values of hydropower electric capacity in 22 countries, with accuracy confirmed by the VMRSE 10% threshold from the maximal value. Seven local outliers were identified, with only one validated as a global outlier based on the Generalized Extreme Studentized Deviate (GESD) </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forecasts, trends;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Forecasting Sustainable Development Indicators in Romania: A Study in the European Context — https://doi.org/10.3390/su16114534</w:t>
      </w:r>
    </w:p>
    <w:p>
      <w:pPr/>
      <w:r>
        <w:rPr>
          <w:b/>
        </w:rPr>
        <w:t>Shared claim-specific concepts:</w:t>
      </w:r>
      <w:r>
        <w:t xml:space="preserve"> determine, world; EU scope visible. This is a provisional connection, not an outcome finding.</w:t>
      </w:r>
    </w:p>
    <w:p>
      <w:pPr>
        <w:pStyle w:val="SourceNote"/>
      </w:pPr>
      <w:r>
        <w:rPr>
          <w:b/>
        </w:rPr>
        <w:t>Available abstract (not full text):</w:t>
      </w:r>
      <w:r>
        <w:t xml:space="preserve"> Sustainable development is a very important and highly debated concept worldwide, with almost all states around the globe recognizing the importance of supporting a balancing of economic, social and ecological plans to create a more prosperous and equitable world. The purpose of the current study is to identify the current context of the progress achieved by the EU member states regarding the 17 sustainable development objectives. Following the implemented research, it was found that Romania is one of the countries with the lowest performance, so an attempt was made to make a short-term forecast in the case of this country in order to determine its future course. In this sense, the Holt–Winters trend methods were used, which are based on historical data to predict future values. According to the analysis carried out, the predicted values are mainly encouraging, but it is necessary for the competent authorities to become more involved because, in many aspects, Romania is at the bottom of the European Union (EU) ranking regarding the analyzed indicators.</w:t>
      </w:r>
    </w:p>
    <w:p>
      <w:pPr/>
      <w:r>
        <w:rPr>
          <w:b/>
        </w:rPr>
        <w:t>POSSIBLE 2024:</w:t>
      </w:r>
      <w:r>
        <w:t xml:space="preserve"> STUDYING THE APPROACHES OF EUROPEAN COUNTRIES IN FORESIGHT STUDIES OF THE DEVELOPMENT OF SCIENCE AND GREEN TECHNOLOGIES FOR ADOPTING THEIR EXPERIENCE IN THE CONTEXT OF KAZAKHSTAN — https://doi.org/10.52676/1729-7885-2024-1-4-12</w:t>
      </w:r>
    </w:p>
    <w:p>
      <w:pPr/>
      <w:r>
        <w:rPr>
          <w:b/>
        </w:rPr>
        <w:t>Shared claim-specific concepts:</w:t>
      </w:r>
      <w:r>
        <w:t xml:space="preserve"> trends, science, technology, possible; EU scope visible. This is a provisional connection, not an outcome finding.</w:t>
      </w:r>
    </w:p>
    <w:p>
      <w:pPr>
        <w:pStyle w:val="SourceNote"/>
      </w:pPr>
      <w:r>
        <w:rPr>
          <w:b/>
        </w:rPr>
        <w:t>Available abstract (not full text):</w:t>
      </w:r>
      <w:r>
        <w:t xml:space="preserve"> This paper reviews the application of foresight methods in the field of science, especially in the development of green technologies in various European countries, with the aim of identifying the most suitable approaches for future use in Kazakhstan. The analysis shows that green technology forecasting promises to be an effective tool for managing sustainable development. Methods for forecasting green technologies are focused on a systematic approach and integrated solutions, taking into account the environment and social aspects. It is also important to consider both global and local environmental issues to gain a full understanding of future development trends. The article provides a comparison of the Dutch and Danish approaches. Green technology foresight research can play an important role at the national level, especially in integrating sustainability considerations into technology development and innovation processes. They also contribute to the development of more effective and sustainable development strategies for companies and government in Kazakhstan. These studies contribute to increasing environmental awareness and awareness in society regarding the importance of sustainable development. Technology forecasting values the use of Delphi surveys to provide a better understanding of possible future trends. The knowledge gained is the basis for developing strategic plan</w:t>
      </w:r>
    </w:p>
    <w:p>
      <w:pPr/>
      <w:r>
        <w:rPr>
          <w:b/>
        </w:rPr>
        <w:t>POSSIBLE 2024:</w:t>
      </w:r>
      <w:r>
        <w:t xml:space="preserve"> Forecasting and Analysis of Cryptocurrency Trends — https://doi.org/10.55041/ijsrem30241</w:t>
      </w:r>
    </w:p>
    <w:p>
      <w:pPr/>
      <w:r>
        <w:rPr>
          <w:b/>
        </w:rPr>
        <w:t>Shared claim-specific concepts:</w:t>
      </w:r>
      <w:r>
        <w:t xml:space="preserve"> trends, technology; EU scope not established. This is a provisional connection, not an outcome finding.</w:t>
      </w:r>
    </w:p>
    <w:p>
      <w:pPr>
        <w:pStyle w:val="SourceNote"/>
      </w:pPr>
      <w:r>
        <w:rPr>
          <w:b/>
        </w:rPr>
        <w:t>Available abstract (not full text):</w:t>
      </w:r>
      <w:r>
        <w:t xml:space="preserve"> The development of financial technology has given rise to a new class of asset known as cryptocurrency, which has presented a significant potential for study. Forecasting cryptocurrency prices is challenging because of their dynamic and volatile nature. There are hundreds of different cryptocurrencies in circulation today. With prospects in peer-to-peer payments, remittance, e-commerce and retail, and media &amp; entertainment, the cryptocurrency business appears to have a bright future. From 2019 to2024, the worldwide cryptocurrency industry is anticipated to expand at a 32% CAGR. The distributed ledger technology's immutability and transparency, the rise in remittances from poor nations, shifting monetary laws, and a sharp rise in venture capital investments are the main factors propelling this market's growth. We created a short-term prediction (between five and thirty days) for the cryptocurrencies using the ARIMA model. When it came to predicting cryptocurrency time series, we discovered that the suggested method outperformed the ARIMA-ARFIMA models in both periods of gradual rising (falling) and transition dynamics (change of trend). Index Terms: digital currency,cryptocurrency, and ARIMA model.</w:t>
      </w:r>
    </w:p>
    <w:p>
      <w:pPr/>
      <w:r>
        <w:rPr>
          <w:b/>
        </w:rPr>
        <w:t>POSSIBLE 2023:</w:t>
      </w:r>
      <w:r>
        <w:t xml:space="preserve"> Global trends and forecasts of breast cancer incidence and deaths — https://doi.org/10.1038/s41597-023-02253-5</w:t>
      </w:r>
    </w:p>
    <w:p>
      <w:pPr/>
      <w:r>
        <w:rPr>
          <w:b/>
        </w:rPr>
        <w:t>Shared claim-specific concepts:</w:t>
      </w:r>
      <w:r>
        <w:t xml:space="preserve"> forecasts, show, trends, regions; EU scope not established. This is a provisional connection, not an outcome finding.</w:t>
      </w:r>
    </w:p>
    <w:p>
      <w:pPr>
        <w:pStyle w:val="SourceNote"/>
      </w:pPr>
      <w:r>
        <w:rPr>
          <w:b/>
        </w:rPr>
        <w:t>Available abstract (not full text):</w:t>
      </w:r>
      <w:r>
        <w:t xml:space="preserve"> Breast cancer (BC) is one of the major public health challenges worldwide. Studies that address the new evidence on trends of BC are of great importance for preventing and controlling the occurrence and development of diseases and improving health. The aim of this study was to analyze the outcomes for the global burden of disease (GBD), incidence, deaths, and risk factors for BC from 1990 to 2019, and predict the GBD of BC until 2050 to inform global BC control planning efforts. In this study, the results show that the regions with low levels of socio-demographic index (SDI) will have the largest disease burden of BC in the future. The leading global risk factor for death attributable to BC in 2019 was metabolic risks, followed by behavioral risks. This study supports the worldwide urgent need for comprehensive cancer prevention and control strategies to reduce exposure, early screening, and improve treatment to effectively reduce the GBD of BC.</w:t>
      </w:r>
    </w:p>
    <w:p>
      <w:pPr/>
      <w:r>
        <w:rPr>
          <w:b/>
        </w:rPr>
        <w:t>POSSIBLE 2023:</w:t>
      </w:r>
      <w:r>
        <w:t xml:space="preserve"> CUSTOMS POLICY OF THE EUROPEAN UNION: TRENDS, FORECASTS, AND DEVELOPMENT PERSPECTIVES — https://doi.org/10.30970/ves.2023.65.0.6519</w:t>
      </w:r>
    </w:p>
    <w:p>
      <w:pPr/>
      <w:r>
        <w:rPr>
          <w:b/>
        </w:rPr>
        <w:t>Shared claim-specific concepts:</w:t>
      </w:r>
      <w:r>
        <w:t xml:space="preserve"> forecasts, trends; EU scope visible. This is a provisional connection, not an outcome finding.</w:t>
      </w:r>
    </w:p>
    <w:p>
      <w:pPr>
        <w:pStyle w:val="SourceNote"/>
      </w:pPr>
      <w:r>
        <w:rPr>
          <w:b/>
        </w:rPr>
        <w:t>Available abstract (not full text):</w:t>
      </w:r>
      <w:r>
        <w:t xml:space="preserve"> The development of EU customs policy refl ects the state of economic relations within the EU. It is crucial for its ability to effi ciently respond to changes in global trade and infl uence its geopolitical position amidst global challenges and opportunities. The article aims to elucidate the specifi cs of applying customs tariff regulatory instruments in the EU, identify trends, and forecast the volumes of extra- and intra-EU trade for the nearest years. An assortment of scientifi c methods was employed in the article, including systemic, situational, and comparative analysis, to study trends, issues, and prospects of EU customs policy. For forecasting the trade volumes of the European Union, the FORECAST. The ETS function in Microsoft Excel was utilized, based on forecasting using the exponential smoothing algorithm. It is noted that the EU’s normative regulation is based on the Customs Code and bilateral trade agreements, with main tariff rates and product nomenclature defi ned by the EU Customs Tariff . The EU has exclusive competence in customs union matters, common trade policy, and the conclusion of international trade agreements of member countries. Customs tariff regulation regimes and instruments include the Most favored nation regime, anti-dumping and countervailing duties, preferential tariff s, and tariff quotas. The article evaluates EU trade volumes from 2015 to </w:t>
      </w:r>
    </w:p>
    <w:p>
      <w:pPr/>
      <w:r>
        <w:rPr>
          <w:b/>
        </w:rPr>
        <w:t>POSSIBLE 2023:</w:t>
      </w:r>
      <w:r>
        <w:t xml:space="preserve"> Skilful sub‐seasonal forecasts of aggregated temperature over Europe — https://doi.org/10.1002/met.2169</w:t>
      </w:r>
    </w:p>
    <w:p>
      <w:pPr/>
      <w:r>
        <w:rPr>
          <w:b/>
        </w:rPr>
        <w:t>Shared claim-specific concepts:</w:t>
      </w:r>
      <w:r>
        <w:t xml:space="preserve"> forecasts, show, regions; EU scope visible. This is a provisional connection, not an outcome finding.</w:t>
      </w:r>
    </w:p>
    <w:p>
      <w:pPr>
        <w:pStyle w:val="SourceNote"/>
      </w:pPr>
      <w:r>
        <w:rPr>
          <w:b/>
        </w:rPr>
        <w:t>Available abstract (not full text):</w:t>
      </w:r>
      <w:r>
        <w:t xml:space="preserve"> Abstract Subseasonal‐to‐seasonal (S2S) forecasts span the prediction range of weeks to 2–3 months ahead, bridging the gap between medium‐range and seasonal weather forecasts. There has been growing interest in S2S forecasts in recent years, largely because of the many potential uses of forecasts spanning these timescales. However, the skill of S2S forecasts beyond the first 2 weeks or so is poor, potentially limiting the usability of these forecasts. We show in this study that when considering accumulated temperatures, there is in fact good forecasting skill over Europe for accumulation periods up to 30 days ahead. Using a set of S2S hindcasts, we show using both a deterministic and a probabilistic measure of skill that the accumulated 2‐metre temperature forecasts out to 30 days are skilful over most of Europe. In summer, South West Europe has highest skill, while in winter North East Europe has highest skill. As an example application of such forecasts, we also evaluate the skill for summer cooling degree‐days (CDD) and winter heating degree‐days (HDD). For 30‐day winter HDD, there is good skill in all four European regions; for 30‐day summer CDD, the skill is limited in North West Europe, but still good in other regions.</w:t>
      </w:r>
    </w:p>
    <w:p>
      <w:pPr/>
      <w:r>
        <w:rPr>
          <w:b/>
        </w:rPr>
        <w:t>POSSIBLE 2022:</w:t>
      </w:r>
      <w:r>
        <w:t xml:space="preserve"> Trends and gaps in photovoltaic power forecasting with machine learning — https://doi.org/10.1016/j.egyr.2022.11.208</w:t>
      </w:r>
    </w:p>
    <w:p>
      <w:pPr/>
      <w:r>
        <w:rPr>
          <w:b/>
        </w:rPr>
        <w:t>Shared claim-specific concepts:</w:t>
      </w:r>
      <w:r>
        <w:t xml:space="preserve"> trends, world, help; EU scope not established. This is a provisional connection, not an outcome finding.</w:t>
      </w:r>
    </w:p>
    <w:p>
      <w:pPr>
        <w:pStyle w:val="SourceNote"/>
      </w:pPr>
      <w:r>
        <w:rPr>
          <w:b/>
        </w:rPr>
        <w:t>Available abstract (not full text):</w:t>
      </w:r>
      <w:r>
        <w:t xml:space="preserve"> The share of solar energy in the electricity mix increases year after year. Knowing the production of photovoltaic (PV) power at each instant of time is crucial for its integration into the grid. However, due to meteorological phenomena, PV power output can be uncertain and continuously varying, which complicates yield prediction. In recent years, machine learning (ML) techniques have entered the world of PV power forecasting to help increase the accuracy of predictions. Researchers have seen great potential in this approach, creating a vast literature on the topic. This paper intends to identify the most popular approaches and the gaps in this discipline. To do so, a representative part of the literature consisting of 100 publications is classified based on different aspects such as ML family, location of PV systems, number of systems considered, features, etc. Via this classification, the main trends and gaps can be highlighted while offering advice to researchers interested in the topic.</w:t>
      </w:r>
    </w:p>
    <w:p>
      <w:pPr/>
      <w:r>
        <w:rPr>
          <w:b/>
        </w:rPr>
        <w:t>POSSIBLE 2022:</w:t>
      </w:r>
      <w:r>
        <w:t xml:space="preserve"> The Regional Development Trap in Europe — https://doi.org/10.1080/00130095.2022.2080655</w:t>
      </w:r>
    </w:p>
    <w:p>
      <w:pPr/>
      <w:r>
        <w:rPr>
          <w:b/>
        </w:rPr>
        <w:t>Shared claim-specific concepts:</w:t>
      </w:r>
      <w:r>
        <w:t xml:space="preserve"> political, regions; EU scope visible. This is a provisional connection, not an outcome finding.</w:t>
      </w:r>
    </w:p>
    <w:p>
      <w:pPr>
        <w:pStyle w:val="SourceNote"/>
      </w:pPr>
      <w:r>
        <w:rPr>
          <w:b/>
        </w:rPr>
        <w:t>Available abstract (not full text):</w:t>
      </w:r>
      <w:r>
        <w:t xml:space="preserve"> The concept of regional development trap refers to regions that face significant structural challenges in retrieving past dynamism or improving prosperity for their residents. This article introduces and measures the concept of the regional development trap for regions in Europe. The concept draws inspiration from the middle-income trap in international development theory but widens it to shed light on traps in higher-income countries and at the regional scale. We propose indicators—involving the economic, productivity, and employment performance of regions relative to themselves in the immediate past, and to other regions in their respective countries and elsewhere in Europe—to identify regions either in a development trap or at significant near-term risk of falling into it. Regions facing development traps generate economic, social, and political risks at the national scale but also for Europe as a whole.</w:t>
      </w:r>
    </w:p>
    <w:p>
      <w:pPr>
        <w:pStyle w:val="Heading2"/>
      </w:pPr>
      <w:r>
        <w:t>700. Alternative scenarios investigation of 1990..2016 CO 2 emission from Public Electricity and Heat Production sectors in Europe</w:t>
      </w:r>
    </w:p>
    <w:p>
      <w:pPr>
        <w:pStyle w:val="SourceNote"/>
      </w:pPr>
      <w:r>
        <w:rPr>
          <w:b/>
        </w:rPr>
        <w:t>Original source (2019):</w:t>
      </w:r>
      <w:r>
        <w:t xml:space="preserve"> https://doi.org/10.1051/e3sconf/201911600053</w:t>
      </w:r>
    </w:p>
    <w:p>
      <w:pPr/>
      <w:r>
        <w:t>Original wording (abstract; indexed_source_text_not_full_document_verified): Graphical overview of 108 prepared (real and alternatives) emission pathways allow assessing CO 2 emission factors impact, pathways grouping and indicating the dominant pathway of 1990..2016 decarbonisation in EU national PEHP sectors.</w:t>
      </w:r>
    </w:p>
    <w:p>
      <w:pPr/>
      <w:r>
        <w:rPr>
          <w:b/>
        </w:rPr>
        <w:t>POSSIBLE 2026:</w:t>
      </w:r>
      <w:r>
        <w:t xml:space="preserve"> Emission Scenarios for Europe under the CATALYSE Project: Beyond the Green Deal — https://openalex.org/W7125621332</w:t>
      </w:r>
    </w:p>
    <w:p>
      <w:pPr/>
      <w:r>
        <w:rPr>
          <w:b/>
        </w:rPr>
        <w:t>Shared claim-specific concepts:</w:t>
      </w:r>
      <w:r>
        <w:t xml:space="preserve"> emission, pathways, factors, indicating, sectors;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A graphical analysis of the intellectual structure of The Australian Journal of Indigenous Education — https://doi.org/10.55146/ajie.v54i2.2031</w:t>
      </w:r>
    </w:p>
    <w:p>
      <w:pPr/>
      <w:r>
        <w:rPr>
          <w:b/>
        </w:rPr>
        <w:t>Shared claim-specific concepts:</w:t>
      </w:r>
      <w:r>
        <w:t xml:space="preserve"> graphical, prepared, national; EU scope not established. This is a provisional connection, not an outcome finding.</w:t>
      </w:r>
    </w:p>
    <w:p>
      <w:pPr>
        <w:pStyle w:val="SourceNote"/>
      </w:pPr>
      <w:r>
        <w:rPr>
          <w:b/>
        </w:rPr>
        <w:t>Available abstract (not full text):</w:t>
      </w:r>
      <w:r>
        <w:t xml:space="preserve"> This work represents the second part of a general bibliometric analysis we have prepared for The Australian Journal of Indigenous Education (AJIE), motivated by the first 50 years of the journal. This study develops a graphical analysis of AJIE by using the VOSviewer software, Scopus and the Web of Science database. Utilising bibliometric methods such as co-citation, bibliographic coupling and co-occurrence of keywords in the VOSviewer software, this study reveals AJIE’s impact on key Indigenous education topics, including culturally responsive pedagogy, decolonisation, Indigenous health and teacher education. The analysis highlights AJIE’s strong national presence, supported by substantial contributions from Australian institutions, along with a modest yet notable level of international engagement, particularly from New Zealand, Canada and the United States. The journal’s transition to open access, combined with its inclusion in major academic indexes, has increased its visibility and citation reach, reinforcing its role as a leading publication in the field of Indigenous education.</w:t>
      </w:r>
    </w:p>
    <w:p>
      <w:pPr/>
      <w:r>
        <w:rPr>
          <w:b/>
        </w:rPr>
        <w:t>POSSIBLE 2025:</w:t>
      </w:r>
      <w:r>
        <w:t xml:space="preserve"> Methane Emissions from Mining in the European Union — https://doi.org/10.3390/en18040791</w:t>
      </w:r>
    </w:p>
    <w:p>
      <w:pPr/>
      <w:r>
        <w:rPr>
          <w:b/>
        </w:rPr>
        <w:t>Shared claim-specific concepts:</w:t>
      </w:r>
      <w:r>
        <w:t xml:space="preserve"> emission, national; EU scope visible. This is a provisional connection, not an outcome finding.</w:t>
      </w:r>
    </w:p>
    <w:p>
      <w:pPr>
        <w:pStyle w:val="SourceNote"/>
      </w:pPr>
      <w:r>
        <w:rPr>
          <w:b/>
        </w:rPr>
        <w:t>Available abstract (not full text):</w:t>
      </w:r>
      <w:r>
        <w:t xml:space="preserve"> Methane emissions from coal mining remain a significant environmental challenge in the European Union, particularly in the context of climate change commitments and the ongoing transformation of the energy sector. This article analyses methane emissions from surface and underground coal mining, distinguishing between emissions from mining activities, abandoned underground mines, and post-mining activities. A key aspect of the analysis is the methane emissions per 1000 tonnes of lignite and hard coal mined, which allows a comparison of emission intensities between different mining methods. Between 2009 and 2021, methane emissions from coal mining in the EU decrease, with reductions of 2436 kt CO2 eq. (87 kt CH4) from surface mining and 16,518 kt CO2 eq. (590 kt CH4) from underground mining. However, total methane emissions in 2021 still amount to 25,414 kt CO2 eq. (908 kt CH4), with underground mining contributing 84.7% of the emissions. Discrepancies in national emissions reporting and the lack of transparent data on methane emissions from imported coal make accurate assessments difficult. Strengthening international cooperation, improving data transparency, and exploring methane recovery for energy use are essential steps towards achieving the EU’s climate change objectives.</w:t>
      </w:r>
    </w:p>
    <w:p>
      <w:pPr/>
      <w:r>
        <w:rPr>
          <w:b/>
        </w:rPr>
        <w:t>POSSIBLE 2024:</w:t>
      </w:r>
      <w:r>
        <w:t xml:space="preserve"> Evaluation of Urban Vehicle Emissions Using Traffic and Emission Models - An Overview — https://doi.org/10.21608/eijest.2023.199836.1219</w:t>
      </w:r>
    </w:p>
    <w:p>
      <w:pPr/>
      <w:r>
        <w:rPr>
          <w:b/>
        </w:rPr>
        <w:t>Shared claim-specific concepts:</w:t>
      </w:r>
      <w:r>
        <w:t xml:space="preserve"> overview, alternatives, emission; EU scope not established. This is a provisional connection, not an outcome finding.</w:t>
      </w:r>
    </w:p>
    <w:p>
      <w:pPr>
        <w:pStyle w:val="SourceNote"/>
      </w:pPr>
      <w:r>
        <w:rPr>
          <w:b/>
        </w:rPr>
        <w:t>Available abstract (not full text):</w:t>
      </w:r>
      <w:r>
        <w:t xml:space="preserve"> Due to the country's rapidly growing population and economy, transportation has become an essential part of Egyptian life. Air quality has decreased as a direct result of the rapid increase in urban areas' vehicle use due to human activities. In Egypt, almost 48.1% of all trips are taken by private automobiles, whereas public transportation is utilized only sometimes. Heavy congestion is the direct result of people's reliance on personal automobiles. More than 98% of the world's population in 2019 was located in regions where air quality did not meet World Health Organization (WHO) criteria. About 32% of Egypt's 2019 emissions came from the transportation sector. Different aspects that define the causes and possible alternatives to the air pollution problem at intersections are addressed in this research. Three intersections in Zagazig are the focus of this project, which looks into ways to reduce emissions from moving cars. PTV VISSIM generates a realistic peak-hour traffic simulation of the current traffic situation. Emissions are calculated using the data collected from the vehicles in the traffic simulation as input to the emission modelling software COPERT.</w:t>
      </w:r>
    </w:p>
    <w:p>
      <w:pPr/>
      <w:r>
        <w:rPr>
          <w:b/>
        </w:rPr>
        <w:t>POSSIBLE 2023:</w:t>
      </w:r>
      <w:r>
        <w:t xml:space="preserve"> Anxiety among children and adolescents during the COVID-19 pandemic in Europe: a systematic review protocol — https://doi.org/10.1186/s13643-023-02225-1</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BACKGROUND: A growing number of studies point to a high mental health burden among children and adolescents during the COVID-19 pandemic, particularly concerning anxiety. However, the study quality and effect direction are heterogeneous in the existing primary studies with a lacking overview for the European continent. Therefore, this systematic review aims to critically synthesise the evidence regarding the impact of the COVID-19 pandemic on anxiety among children and adolescents in Europe compared to a pre-pandemic baseline. METHODS: A systematic literature search will be performed in six databases (MEDLINE, EMBASE, PsycINFO, Cochrane Central Register of Controlled Trials, Web of Science, and WHO COVID-19 database) with a peer reviewed search strategy according to the evidence-based checklist Peer Review of Electronic Search Strategies (PRESS). Inclusion criteria are children and adolescents ≤ 19 years living in Europe and data report during the COVID-19 pandemic with an appropriate pre-pandemic baseline. Primary outcomes are general anxiety symptoms and clinically relevant anxiety rates. Risk of bias will be assessed using the 'Risk of Bias in Non-randomised Studies of Exposure' (ROBINS-E). Data extraction will systematically include information on study design, population characteristics, COVID-19 determinants, pre-pandemic baseline, diagnostic instruments and outcome. The </w:t>
      </w:r>
    </w:p>
    <w:p>
      <w:pPr/>
      <w:r>
        <w:rPr>
          <w:b/>
        </w:rPr>
        <w:t>POSSIBLE 2023:</w:t>
      </w:r>
      <w:r>
        <w:t xml:space="preserve"> Emissions from Light-Duty Vehicles—From Statistics to Emission Regulations and Vehicle Testing in the European Union — https://doi.org/10.3390/en17010209</w:t>
      </w:r>
    </w:p>
    <w:p>
      <w:pPr/>
      <w:r>
        <w:rPr>
          <w:b/>
        </w:rPr>
        <w:t>Shared claim-specific concepts:</w:t>
      </w:r>
      <w:r>
        <w:t xml:space="preserve"> overview, real, emission, factors; EU scope visible. This is a provisional connection, not an outcome finding.</w:t>
      </w:r>
    </w:p>
    <w:p>
      <w:pPr>
        <w:pStyle w:val="SourceNote"/>
      </w:pPr>
      <w:r>
        <w:rPr>
          <w:b/>
        </w:rPr>
        <w:t>Available abstract (not full text):</w:t>
      </w:r>
      <w:r>
        <w:t xml:space="preserve"> The article offers a comprehensive examination of vehicle emissions, with a specific focus on the European Union’s automotive industry. Its main goal is to provide an in-depth analysis of the factors influencing the emission of microcontaminants from light-duty vehicles and the challenges associated with their removal via exhaust aftertreatment systems. It presents statistical insights into the automotive sector and explores the relationships between vehicle categories, fuel types, and the emission of regulated and nonregulated pollutants, as well as relevant legal regulations such as the European Emission Standard. The article delves into the characteristics of vehicle exhaust, compares exhaust-gas aftertreatment systems, and introduces factors affecting emissions from gasoline engines, including downsizing, fuel composition, and engine operating parameters. It also considers the impact of driving style, start–stop systems, and related factors. Concluding, the article offers an overview of vehicle-testing procedures, including emission tests on dynamometer chassis and real driving emissions. With the growing global vehicle population and international environmental regulations, a focus on solid particles containing microcontaminants is paramount, as they pose significant risks to health and the environment. In summary, this article provides valuable insights into vehicle emiss</w:t>
      </w:r>
    </w:p>
    <w:p>
      <w:pPr/>
      <w:r>
        <w:rPr>
          <w:b/>
        </w:rPr>
        <w:t>POSSIBLE 2023:</w:t>
      </w:r>
      <w:r>
        <w:t xml:space="preserve"> A comprehensive overview of carbon dioxide, including emission sources, capture technologies, and the conversion into value-added products — https://doi.org/10.1007/s10098-023-02599-9</w:t>
      </w:r>
    </w:p>
    <w:p>
      <w:pPr/>
      <w:r>
        <w:rPr>
          <w:b/>
        </w:rPr>
        <w:t>Shared claim-specific concepts:</w:t>
      </w:r>
      <w:r>
        <w:t xml:space="preserve"> graphical, overview, emission; EU scope not established. This is a provisional connection, not an outcome finding.</w:t>
      </w:r>
    </w:p>
    <w:p>
      <w:pPr>
        <w:pStyle w:val="SourceNote"/>
      </w:pPr>
      <w:r>
        <w:rPr>
          <w:b/>
        </w:rPr>
        <w:t>Available abstract (not full text):</w:t>
      </w:r>
      <w:r>
        <w:t xml:space="preserve"> Abstract Carbon dioxide is both the planet’s enemy and friend since it maintains the balance of the planet as this gas retains some of the radiant energy that the planet receives. Thus, it keeps the Earth’s heat, without which the Earth would be unbearably cold. However, the increase in the quantity of CO 2 in the Earth’s atmosphere contributes to the exacerbation of global warming. CO 2 is mainly produced from the processes of combustion of fuel and petroleum, as well as from the breathing process of living organisms. This study aims to provide a comprehensive view of carbon dioxide, including the main sources of emissions that resulted in negative effects, as well as the various ways to control these emissions by conducting a separation process during fuel combustion in power plants and preventing the release of large quantities into the atmosphere. Finally, an objective viewpoint on how to benefit from separated carbon dioxide and turn it into highly valuable products is presented. Given that this is a global problem that affects our planet, this review links other literature that deals with each part separately, and thus it presents a clear and comprehensive vision that enables the reader to be aware of carbon dioxide gas from all perspectives, concluding with future studies that are required to prevent an increase in negative effects in order to preserve the quality of lif</w:t>
      </w:r>
    </w:p>
    <w:p>
      <w:pPr/>
      <w:r>
        <w:rPr>
          <w:b/>
        </w:rPr>
        <w:t>POSSIBLE 2023:</w:t>
      </w:r>
      <w:r>
        <w:t xml:space="preserve"> Projected Reductions in CO2 Emissions by Using Alternative Methanol Fuel to Power a Service Operation Vessel — https://doi.org/10.3390/en16217419</w:t>
      </w:r>
    </w:p>
    <w:p>
      <w:pPr/>
      <w:r>
        <w:rPr>
          <w:b/>
        </w:rPr>
        <w:t>Shared claim-specific concepts:</w:t>
      </w:r>
      <w:r>
        <w:t xml:space="preserve"> assessing; EU scope visible. This is a provisional connection, not an outcome finding.</w:t>
      </w:r>
    </w:p>
    <w:p>
      <w:pPr>
        <w:pStyle w:val="SourceNote"/>
      </w:pPr>
      <w:r>
        <w:rPr>
          <w:b/>
        </w:rPr>
        <w:t>Available abstract (not full text):</w:t>
      </w:r>
      <w:r>
        <w:t xml:space="preserve"> Due to increasingly stringent IMO and European Commission requirements for greenhouse gas emissions, the present study analysed the projected reductions in CO2 emissions achieved by using methanol as an alternative fuel to power custom service operation vessels (SOVs) serving wind platforms in the Baltic Sea. Methanol is a relatively new fuel, approved for use as a safe marine fuel in the late 2020s. In these analyses, reference was made to the current interim guidelines, supplementing the IGF Code in the form of MSC.1/Circ.1621. The SOV type was chosen because of the current growing demand for these ships (the dynamic development of offshore wind power) and the lack of analyses of this type of small craft. The importance of assessing CO2 emissions in this case is due to the specifics of the vessel’s operation in different modes, and thus the variable load on the propulsion system and the area of operation close to the coastline. A computational research method was used to evaluate CO2 emissions, as well as the cost of methanol fuel, using current regulations and technical data. A comparison was also made between conventional MDO and LNG fuels. The first results of the analysis showed that methanol fuel is only competitive with MDO (a few-percent advantage) in terms of the average estimated index value EIV. Economically, it will require a higher investment, despite the favourab</w:t>
      </w:r>
    </w:p>
    <w:p>
      <w:pPr/>
      <w:r>
        <w:rPr>
          <w:b/>
        </w:rPr>
        <w:t>POSSIBLE 2022:</w:t>
      </w:r>
      <w:r>
        <w:t xml:space="preserve"> Going beyond European emission targets: Pathways for an urban energy transition in the city of Riga — https://doi.org/10.1016/j.energy.2022.123352</w:t>
      </w:r>
    </w:p>
    <w:p>
      <w:pPr/>
      <w:r>
        <w:rPr>
          <w:b/>
        </w:rPr>
        <w:t>Shared claim-specific concepts:</w:t>
      </w:r>
      <w:r>
        <w:t xml:space="preserve"> graphical, emission, pathways, factors; EU scope visible. This is a provisional connection, not an outcome finding.</w:t>
      </w:r>
    </w:p>
    <w:p>
      <w:pPr>
        <w:pStyle w:val="SourceNote"/>
      </w:pPr>
      <w:r>
        <w:rPr>
          <w:b/>
        </w:rPr>
        <w:t>Available abstract (not full text):</w:t>
      </w:r>
      <w:r>
        <w:t xml:space="preserve"> The city of Riga, currently updating their energy planning strategy for 2020–2030, surpassed the emission reduction target of the EU for 2030. Suitable targets for Riga are a reduction by 61% (2030) and 70% (2050), respectively, compared to 1990 levels. To achieve these objectives, this paper describes the research work defining pathways and measures in line with the planned actions of Riga, that focus on three thematic areas: green hydrogen, solar engagement, and modern transportation. The characterisation and comparison of the pathways is based on a graphical indicator method and weighting different factors accordingly to the Riga energy framework. The research done shows that production of green hydrogen is economically viable for Riga, achieving a Levelized Cost of Electricity of 0.0395 EUR/kWh and a Levelized Cost of Hydrogen of 3.67 EUR/kgH2. Rooftop photovoltaic systems represent an appealing option for the citizens if a feed-in tariff of 0.1 EUR/kWh is awarded. As additional outcomes, this paper proposes alternative loan schemes such as voucher return packages that can foster citizen engagement in renewable projects and defines strategies to reduce road emissions that could include the development of microalgae carbon capture systems and the creation of a fossil-free last-mile delivery zone.</w:t>
      </w:r>
    </w:p>
    <w:p>
      <w:pPr/>
      <w:r>
        <w:rPr>
          <w:b/>
        </w:rPr>
        <w:t>POSSIBLE 2022:</w:t>
      </w:r>
      <w:r>
        <w:t xml:space="preserve"> Depression and anxiety among children and adolescents during the COVID-19 pandemic in Europe: A systematic review protocol — https://doi.org/10.21203/rs.3.rs-1638547/v1</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Abstract Some studies point to a high mental health burden among children and adolescents (CA) during the COVID-19 pandemic, particularly concerning depression and anxiety (DA). However, the quality of existing studies and some results are heterogeneous. Research gaps exist regarding (1) a high-quality summarizing overview on studies with (2) a pre-pandemic baseline on the impact of the COVID-19 pandemic on DA among CA in Europe. Therefore, the planned systematic review (SR) aims to close these gaps. SR was registered in the Prospective Register of Systematic Reviews (PROSPERO) and the protocol was prepared in accordance to the Preferred Reporting Items for Systematic review and Meta-Analysis Protocols (PRISMA-P) statement. Search strategy was peer reviewed. Systematic search was conducted in six databases (MEDLINE, EMBASE, PsycINFO, Cochrane Central Register of Controlled Trials, Web of Science and WHO COVID-19 database). Risk of bias (RoB) will be assessed using the RoB instrument for non-randomized studies of exposures. Certainty of evidence will be evaluated by using the GRADE approach adapted to the use of non-randomized studies. Also, subgroup analysis, sensitivity analysis, and publication bias will be performed.Results of this SR could contribute to determine the actual overall prevalence of DA among CA in European countries with an expert opinion on the clinical releva</w:t>
      </w:r>
    </w:p>
    <w:p>
      <w:pPr/>
      <w:r>
        <w:rPr>
          <w:b/>
        </w:rPr>
        <w:t>POSSIBLE 2022:</w:t>
      </w:r>
      <w:r>
        <w:t xml:space="preserve"> Depression and anxiety among children and adolescents during the COVID-19 pandemic in Europe: A systematic review protocol — https://doi.org/10.21203/rs.3.rs-1638547/v2</w:t>
      </w:r>
    </w:p>
    <w:p>
      <w:pPr/>
      <w:r>
        <w:rPr>
          <w:b/>
        </w:rPr>
        <w:t>Shared claim-specific concepts:</w:t>
      </w:r>
      <w:r>
        <w:t xml:space="preserve"> overview, prepared; EU scope visible. This is a provisional connection, not an outcome finding.</w:t>
      </w:r>
    </w:p>
    <w:p>
      <w:pPr>
        <w:pStyle w:val="SourceNote"/>
      </w:pPr>
      <w:r>
        <w:rPr>
          <w:b/>
        </w:rPr>
        <w:t>Available abstract (not full text):</w:t>
      </w:r>
      <w:r>
        <w:t xml:space="preserve"> Abstract Background: A growing number of studies point to a high mental health burden among children and adolescents during the COVID-19 pandemic, particularly concerning depression and anxiety. However, the study quality and effect direction are heterogeneous in the existing studies with a lacking overview for the European continent. Therefore, research gaps exist particular regarding (1) the impact of the COVID-19 pandemic on depression and anxiety among children and adolescents in European countries with (2) a methodologically high-quality summarizing review of studies. Therefore, the planned systematic review aims to close these gaps. Methods: The systematic review was registered in the Prospective Register of Systematic Reviews (PROSPERO) and the protocol was prepared in accordance to the Preferred Reporting Items for Systematic review and Meta-Analysis Protocols (PRISMA-P) statement. Search strategy was peer reviewed according to the evidence-based checklist Peer Review of Electronic Search Strategies (PRESS). Systematic search was conducted in six databases (MEDLINE, EMBASE, PsycINFO, Cochrane Central Register of Controlled Trials, Web of Science and WHO COVID-19 database). Literature screening will be conducted independent by two authors, disagreement will be solved by a third author. Risk of bias (RoB) will be assessed using the RoB instrument for non-randomized studie</w:t>
      </w:r>
    </w:p>
    <w:p>
      <w:pPr/>
      <w:r>
        <w:rPr>
          <w:b/>
        </w:rPr>
        <w:t>POSSIBLE 2022:</w:t>
      </w:r>
      <w:r>
        <w:t xml:space="preserve"> Hardware-in-the-Loop Simulations: A Historical Overview of Engineering Challenges — https://doi.org/10.3390/electronics11152462</w:t>
      </w:r>
    </w:p>
    <w:p>
      <w:pPr/>
      <w:r>
        <w:rPr>
          <w:b/>
        </w:rPr>
        <w:t>Shared claim-specific concepts:</w:t>
      </w:r>
      <w:r>
        <w:t xml:space="preserve"> overview, real, national; EU scope not established. This is a provisional connection, not an outcome finding.</w:t>
      </w:r>
    </w:p>
    <w:p>
      <w:pPr>
        <w:pStyle w:val="SourceNote"/>
      </w:pPr>
      <w:r>
        <w:rPr>
          <w:b/>
        </w:rPr>
        <w:t>Available abstract (not full text):</w:t>
      </w:r>
      <w:r>
        <w:t xml:space="preserve"> The design of modern industrial products is further improved through the hardware-in-the-loop (HIL) simulation. Realistic simulation is enabled by the closed loop between the hardware under test (HUT) and real-time simulation. Such a system involves a field programmable gate array (FPGA) and digital signal processor (DSP). An HIL model can bypass serious damage to the real object, reduce debugging cost, and, finally, reduce the comprehensive effort during the testing. This paper provides a historical overview of HIL simulations through different engineering challenges, i.e., within automotive, power electronics systems, and different industrial drives. Various platforms, such as National Instruments, dSPACE, Typhoon HIL, or MATLAB Simulink Real-Time toolboxes and Speedgoat hardware systems, offer a powerful tool for efficient and successful investigations in different fields. Therefore, HIL simulation practice must begin already during the university’s education process to prepare the students for professional engagements in the industry, which was also verified experimentally at the end of the paper.</w:t>
      </w:r>
    </w:p>
    <w:p>
      <w:pPr>
        <w:pStyle w:val="Heading2"/>
      </w:pPr>
      <w:r>
        <w:t>701. Demographic change and the European income distribution</w:t>
      </w:r>
    </w:p>
    <w:p>
      <w:pPr>
        <w:pStyle w:val="SourceNote"/>
      </w:pPr>
      <w:r>
        <w:rPr>
          <w:b/>
        </w:rPr>
        <w:t>Original source (2019):</w:t>
      </w:r>
      <w:r>
        <w:t xml:space="preserve"> https://doi.org/10.1007/s10888-019-09411-z</w:t>
      </w:r>
    </w:p>
    <w:p>
      <w:pPr/>
      <w:r>
        <w:t>Original wording (abstract; indexed_source_text_not_full_document_verified): This paper assesses the effect of key demographic changes (population ageing and increasing educational attainment) that are expected by 2030 on the income distribution in the EU-27 and examines the potential of tax-benefit systems to counterbalance negative developments. Our results show that demographic change is likely to lead to increasing inequality while related wage adjustments work mainly in the opposite direction.</w:t>
      </w:r>
    </w:p>
    <w:p>
      <w:pPr/>
      <w:r>
        <w:rPr>
          <w:b/>
        </w:rPr>
        <w:t>POSSIBLE 2025:</w:t>
      </w:r>
      <w:r>
        <w:t xml:space="preserve"> Amplified local cooling effect of forestation in warming Europe — https://doi.org/10.1038/s41467-025-63556-2</w:t>
      </w:r>
    </w:p>
    <w:p>
      <w:pPr/>
      <w:r>
        <w:rPr>
          <w:b/>
        </w:rPr>
        <w:t>Shared claim-specific concepts:</w:t>
      </w:r>
      <w:r>
        <w:t xml:space="preserve"> effect, negative; EU scope visible. This is a provisional connection, not an outcome finding.</w:t>
      </w:r>
    </w:p>
    <w:p>
      <w:pPr>
        <w:pStyle w:val="SourceNote"/>
      </w:pPr>
      <w:r>
        <w:rPr>
          <w:b/>
        </w:rPr>
        <w:t>Available abstract (not full text):</w:t>
      </w:r>
      <w:r>
        <w:t xml:space="preserve"> Abstract Forests exhibit cooling or warming effects compared to adjacent openlands through biophysical processes. The local temperature effects are predicted by earth system models to evolve in response to climate change. However, these temporal dynamic patterns remain unconstrained by observations and have not been detected in historical records. Here, we provide satellite evidence of emergent negative trends in local land surface temperature (LST) effects of European forests from 2003–2023. The daytime cooling effects have significantly intensified in both winter (-0.17 K/decade) and summer (-0.22 K/decade). The enhanced winter cooling is attributed to the reduced shortwave radiative forcing in forests due to decreasing snow cover. In the summertime, the vegetation physiological response to increased atmospheric vapor pressure deficit boosts evaporative cooling in forests. The negative trends in LST effects of European forests are roughly supported by four state-of-the-art earth system models. However, considerable biases and intermodel spread in the representation of underlying biophysical processes. Given the continued climate change, we emphasize the need to consider their impacts on biophysical effect dynamics when comprehensive forest-related climate mitigation policies are formed.</w:t>
      </w:r>
    </w:p>
    <w:p>
      <w:pPr/>
      <w:r>
        <w:rPr>
          <w:b/>
        </w:rPr>
        <w:t>POSSIBLE 2025:</w:t>
      </w:r>
      <w:r>
        <w:t xml:space="preserve"> The key pillars of psychosocial disability: a European perspective on challenges and solutions — https://doi.org/10.3389/fpsyt.2025.1574301</w:t>
      </w:r>
    </w:p>
    <w:p>
      <w:pPr/>
      <w:r>
        <w:rPr>
          <w:b/>
        </w:rPr>
        <w:t>Shared claim-specific concepts:</w:t>
      </w:r>
      <w:r>
        <w:t xml:space="preserve"> effect, key, examines, negative; EU scope visible. This is a provisional connection, not an outcome finding.</w:t>
      </w:r>
    </w:p>
    <w:p>
      <w:pPr>
        <w:pStyle w:val="SourceNote"/>
      </w:pPr>
      <w:r>
        <w:rPr>
          <w:b/>
        </w:rPr>
        <w:t>Available abstract (not full text):</w:t>
      </w:r>
      <w:r>
        <w:t xml:space="preserve"> Psychosocial disabilities refer to a range of mental health conditions that significantly impact an individual's ability to function in daily life and participate fully in society. Across Europe, individuals with these conditions face systemic barriers, including inadequate support services, stigma, and limited healthcare access. This perspective article examines these challenges through the lens of Maslow's hierarchy of needs and Saraceno's community psychiatry framework. By analyzing identified key pillars of psychosocial disability - housing, social inclusion, employment, healthcare access, service organization, and stigma - this article underscores the necessity of targeted interventions to promote dignity, autonomy, and recovery for individuals with psychosocial disabilities across Europe. Stable housing is foundational for recovery, social integration, and employment. Social inclusion and meaningful employment are essential for psychological well-being, though stigma and discrimination remain a major obstacle. Employment programs are crucial for fostering social reintegration. Healthcare access, already fragmented, can be obstacolated by stigma in healthcare settings as an additional barrier. Positive organizational culture in mental health services, emphasizing co-production and shared decision-making, is vital for recovery and healthcare access. This article highlights </w:t>
      </w:r>
    </w:p>
    <w:p>
      <w:pPr/>
      <w:r>
        <w:rPr>
          <w:b/>
        </w:rPr>
        <w:t>POSSIBLE 2025:</w:t>
      </w:r>
      <w:r>
        <w:t xml:space="preserve"> The interplay of climate change, urbanization, and species traits shapes European butterfly population trends — https://doi.org/10.1101/2025.02.13.638066</w:t>
      </w:r>
    </w:p>
    <w:p>
      <w:pPr/>
      <w:r>
        <w:rPr>
          <w:b/>
        </w:rPr>
        <w:t>Shared claim-specific concepts:</w:t>
      </w:r>
      <w:r>
        <w:t xml:space="preserve"> effect, population, increasing; EU scope visible. This is a provisional connection, not an outcome finding.</w:t>
      </w:r>
    </w:p>
    <w:p>
      <w:pPr>
        <w:pStyle w:val="SourceNote"/>
      </w:pPr>
      <w:r>
        <w:rPr>
          <w:b/>
        </w:rPr>
        <w:t>Available abstract (not full text):</w:t>
      </w:r>
      <w:r>
        <w:t xml:space="preserve"> ABSTRACT Species populations naturally fluctuate, yet long-term trend analysis can reveal patterns of success, decline, or stability under global change pressures. While responses to climate change are well-documented, its synergy with another major global driver, urbanization, remains understudied. Here, we analyzed long-term monitoring data from over 8,400 populations of 145 butterfly species across Europe, representing a high diversity of species traits, to assess population trends in response to climate change and urbanization. We examined how population responses vary between urban and rural contexts, providing insights into the influence of site-specific conditions. Climate warming was associated with population declines, which were more pronounced in urban areas. The effect of precipitation varied between environments: increases in precipitation generally benefited populations in rural areas but had detrimental effects in urban ones. Aridity consistently drove population declines across environments, with slightly stronger effects in urban areas. Species with colder climatic niches declined the most in response to warming, increased aridity, and reduced precipitation, while trophic specialists were particularly vulnerable to aridity and precipitation changes in urban environments. Although increasing urbanization did not explain overall population trends, its effects bec</w:t>
      </w:r>
    </w:p>
    <w:p>
      <w:pPr/>
      <w:r>
        <w:rPr>
          <w:b/>
        </w:rPr>
        <w:t>POSSIBLE 2025:</w:t>
      </w:r>
      <w:r>
        <w:t xml:space="preserve"> Assessing the impact of factors on Vietnam's key seafood product exports: A case study of the European Union market — https://doi.org/10.71374/jfar.v25.i1.27</w:t>
      </w:r>
    </w:p>
    <w:p>
      <w:pPr/>
      <w:r>
        <w:rPr>
          <w:b/>
        </w:rPr>
        <w:t>Shared claim-specific concepts:</w:t>
      </w:r>
      <w:r>
        <w:t xml:space="preserve"> effect, key, population; EU scope visible. This is a provisional connection, not an outcome finding.</w:t>
      </w:r>
    </w:p>
    <w:p>
      <w:pPr>
        <w:pStyle w:val="SourceNote"/>
      </w:pPr>
      <w:r>
        <w:rPr>
          <w:b/>
        </w:rPr>
        <w:t>Available abstract (not full text):</w:t>
      </w:r>
      <w:r>
        <w:t xml:space="preserve"> This paper aimed to determine the impact of factors on Vietnam’s key seafood product exports to the European Union. A gravity model was employed to analyze the panel data of 27 EU member nations in the partnership with Vietnam during the period of ten years from 2011 to 2020. After study, the findings showed that the key seafood exports of Vietnam to its European partner countries are determined by GDP, the GDP per capita between Vietnam and EU countries, the population of EU countries, the distance, and the real effective exchange rates. Of which, the GDP per capita is the factor with the strongest impact, followed by the GDP of the member countries. The remaining factors also have an impact but with low coefficients (the highest is only 0.86). Based on the obtained results, the article has made two suggestions to further promote the export of these products to the EU market: Dominating and stabilizing a domestic market; Enhancing product quality to make Vietnamese seafood become a common to high-end product in the EU market to take advantage of the free trade agreement between Vietnam and the EU that has just taken effect.</w:t>
      </w:r>
    </w:p>
    <w:p>
      <w:pPr/>
      <w:r>
        <w:rPr>
          <w:b/>
        </w:rPr>
        <w:t>POSSIBLE 2024:</w:t>
      </w:r>
      <w:r>
        <w:t xml:space="preserve"> Modelling the effect of context-specific greenhouse gas and nitrogen emission mitigation options in key European dairy farming systems — https://doi.org/10.1007/s13593-023-00940-6</w:t>
      </w:r>
    </w:p>
    <w:p>
      <w:pPr/>
      <w:r>
        <w:rPr>
          <w:b/>
        </w:rPr>
        <w:t>Shared claim-specific concepts:</w:t>
      </w:r>
      <w:r>
        <w:t xml:space="preserve"> effect, key, increasing, potential, systems, negative; EU scope visible. This is a provisional connection, not an outcome finding.</w:t>
      </w:r>
    </w:p>
    <w:p>
      <w:pPr>
        <w:pStyle w:val="SourceNote"/>
      </w:pPr>
      <w:r>
        <w:rPr>
          <w:b/>
        </w:rPr>
        <w:t>Available abstract (not full text):</w:t>
      </w:r>
      <w:r>
        <w:t xml:space="preserve"> Abstract Understanding the environmental consequences associated with dairy cattle production systems is crucial for the implementation of targeted strategies for emission reduction. However, few studies have modelled the effect of tailored emission mitigation options across key European dairy production systems. Here, we assess the single and combined effect of six emission mitigation practises on selected case studies across Europe through the Sustainable and Integrated Management System for Dairy Production model. This semi-mechanistic model accounts for the interacting flows from a whole-farm perspective simulating the environmental losses in response to different management strategies and site-specific conditions. The results show how reducing the crude protein content of the purchased fraction of the diet was an adequate strategy to reduce the greenhouse gas and nitrogen emission intensity in all systems. Furthermore, implementing an anaerobic digestion plant reduced the greenhouse gas emissions in all tested case studies while increasing the nitrogen emissions intensity, particularly when slurry was applied using broadcast. Regarding the productivity increase, contrasting effects were observed amongst the case studies modelled. Moreover, shallow slurry injection effectively mitigated the intensity of nitrogen losses from the fields due to strong reductions in ammonia vol</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systems, show;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effect, population, potential, show;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Assessing the effect of invasive organisms on forests under information uncertainty: The case of pine wood nematode in continental Europe — https://doi.org/10.1016/j.fecs.2024.100226</w:t>
      </w:r>
    </w:p>
    <w:p>
      <w:pPr/>
      <w:r>
        <w:rPr>
          <w:b/>
        </w:rPr>
        <w:t>Shared claim-specific concepts:</w:t>
      </w:r>
      <w:r>
        <w:t xml:space="preserve"> effect, population, expected, potential, likely; EU scope visible. This is a provisional connection, not an outcome finding.</w:t>
      </w:r>
    </w:p>
    <w:p>
      <w:pPr>
        <w:pStyle w:val="SourceNote"/>
      </w:pPr>
      <w:r>
        <w:rPr>
          <w:b/>
        </w:rPr>
        <w:t>Available abstract (not full text):</w:t>
      </w:r>
      <w:r>
        <w:t xml:space="preserve"> Forests worldwide are experiencing increasingly intense biotic disturbances; however, assessing impacts of these disturbances is challenging due to the diverse range of organisms involved and the complex interactions among them. This particularly applies to invasive species, which can greatly alter ecological processes in their invaded territories. Here we focus on the pine wood nematode (PWN, Bursaphelenchus xylophilus), an invasive pathogen that has caused extensive mortality of pines in East Asia and more recently has invaded southern Europe. It is expected to expand its range into continental Europe with heavy impacts possible. Given the unknown dynamics of PWN in continental Europe, we reviewed laboratory and field experiments conducted in Asia and southern Europe to parameterize the main components of PWN biology and host-pathogen interactions in the Biotic Disturbance Engine (BITE), a model designed to implement a variety of forest biotic agents, from fungi to large herbivores. To simulate dynamically changing host availability and conditions, BITE was coupled with the forest landscape model iLand. The potential impacts of introducing PWN were assessed in a Central European forest landscape (40,928 ​ha), likely within PWN’s reach in future decades. A parameter sensitivity analysis indicated a substantial influence of factors related to dispersal, colonization, and vegeta</w:t>
      </w:r>
    </w:p>
    <w:p>
      <w:pPr/>
      <w:r>
        <w:rPr>
          <w:b/>
        </w:rPr>
        <w:t>POSSIBLE 2023:</w:t>
      </w:r>
      <w:r>
        <w:t xml:space="preserve"> Design and application of a key performance indicator (KPI) framework for autonomous shipping in Europe — https://doi.org/10.1016/j.martra.2023.100095</w:t>
      </w:r>
    </w:p>
    <w:p>
      <w:pPr/>
      <w:r>
        <w:rPr>
          <w:b/>
        </w:rPr>
        <w:t>Shared claim-specific concepts:</w:t>
      </w:r>
      <w:r>
        <w:t xml:space="preserve"> effect, key, systems; EU scope visible. This is a provisional connection, not an outcome finding.</w:t>
      </w:r>
    </w:p>
    <w:p>
      <w:pPr>
        <w:pStyle w:val="SourceNote"/>
      </w:pPr>
      <w:r>
        <w:rPr>
          <w:b/>
        </w:rPr>
        <w:t>Available abstract (not full text):</w:t>
      </w:r>
      <w:r>
        <w:t xml:space="preserve"> The European Union (EU) transport policy recognizes the importance of the waterborne transport systems as key elements for sustainable growth in Europe. By 2030, 30% of total road freight over 300 km should shift to rail or waterborne transport, and more than 50% by 2050. Thus far, this ambition has failed but there have been several project initiatives within the EU to address these issues. In one of these projects, we consider a new waterborne transport system for Europe that is green, robust, flexible, more automated and autonomous, and able to connect both rural and urban terminals. The purpose of this paper is to describe work and preliminary results from this project. To that effect, and in order to assess any solutions contemplated, a comprehensive set of Key Performance Indicators (KPIs) has been defined, and three specific use cases within Europe are examined and evaluated according to these KPIs. KPIs represent the criteria under which the set of solutions developed are evaluated, and also compared to non-autonomous solutions. They are grouped under economic, environmental and social KPIs. KPIs have been selected after a consultation process involving project partners and external Advisory Group members. Links to EU transport and other regulatory action are also discussed.</w:t>
      </w:r>
    </w:p>
    <w:p>
      <w:pPr/>
      <w:r>
        <w:rPr>
          <w:b/>
        </w:rPr>
        <w:t>POSSIBLE 2023:</w:t>
      </w:r>
      <w:r>
        <w:t xml:space="preserve"> Farmland practices are driving bird population decline across Europe — https://doi.org/10.1073/pnas.2216573120</w:t>
      </w:r>
    </w:p>
    <w:p>
      <w:pPr/>
      <w:r>
        <w:rPr>
          <w:b/>
        </w:rPr>
        <w:t>Shared claim-specific concepts:</w:t>
      </w:r>
      <w:r>
        <w:t xml:space="preserve"> effect, population, negative;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Dealing with disjunct populations of vascular plants: implications for assessing the effect of climate change — https://doi.org/10.1007/s00442-023-05323-y</w:t>
      </w:r>
    </w:p>
    <w:p>
      <w:pPr/>
      <w:r>
        <w:rPr>
          <w:b/>
        </w:rPr>
        <w:t>Shared claim-specific concepts:</w:t>
      </w:r>
      <w:r>
        <w:t xml:space="preserve"> effect, distribution, potential, lead; EU scope not established. This is a provisional connection, not an outcome finding.</w:t>
      </w:r>
    </w:p>
    <w:p>
      <w:pPr>
        <w:pStyle w:val="SourceNote"/>
      </w:pPr>
      <w:r>
        <w:rPr>
          <w:b/>
        </w:rPr>
        <w:t>Available abstract (not full text):</w:t>
      </w:r>
      <w:r>
        <w:t xml:space="preserve"> Species distribution models are the most widely used tool to predict species distributions for species conservation and assessment of climate change impact. However, they usually do not consider intraspecific ecological variation exhibited by many species. Overlooking the potential differentiation among groups of populations may lead to misplacing any conservation actions. This issue may be particularly relevant in species in which few populations with potential local adaptation occur, as in species with disjunct populations. Here, we used ecological niche modeling to analyze how the projections of current and future climatically suitable areas of 12 plant species can be affected using the whole taxa occurrences compared to occurrences from geographically disjunct populations. Niche analyses suggest that usually the disjunct group of populations selects the climatic conditions as similar as possible to the other according to climate availability. Integrating intraspecific variability only slightly increases models' ability to predict species occurrences. However, it results in different predictions of the magnitude of range change. In some species, integrating or not integrating intraspecific variability may lead to opposite trend in projected range change. Our results suggest that integrating intraspecific variability does not strongly improve overall models' accuracy, but it </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effect, key;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pStyle w:val="Heading2"/>
      </w:pPr>
      <w:r>
        <w:t>702. ECONOMIC GROWTH PROJECTION FOR EUROPEAN UNION BY 2030</w:t>
      </w:r>
    </w:p>
    <w:p>
      <w:pPr>
        <w:pStyle w:val="SourceNote"/>
      </w:pPr>
      <w:r>
        <w:rPr>
          <w:b/>
        </w:rPr>
        <w:t>Original source (2019):</w:t>
      </w:r>
      <w:r>
        <w:t xml:space="preserve"> https://doi.org/10.5755/j01.eis.0.13.23709</w:t>
      </w:r>
    </w:p>
    <w:p>
      <w:pPr/>
      <w:r>
        <w:t>Original wording (abstract; indexed_source_text_not_full_document_verified): The paper contributes to a discussion on developments in output for the EU-27 group over the next 11 years, up to year 2030. A brief study of population-decreasing events in the European historical perspective may represent an inspiring part.</w:t>
      </w:r>
    </w:p>
    <w:p>
      <w:pPr/>
      <w:r>
        <w:rPr>
          <w:b/>
        </w:rPr>
        <w:t>POSSIBLE 2025:</w:t>
      </w:r>
      <w:r>
        <w:t xml:space="preserve"> The Development of Energy Policy in the European Union — https://doi.org/10.4324/9781003298403</w:t>
      </w:r>
    </w:p>
    <w:p>
      <w:pPr/>
      <w:r>
        <w:rPr>
          <w:b/>
        </w:rPr>
        <w:t>Shared claim-specific concepts:</w:t>
      </w:r>
      <w:r>
        <w:t xml:space="preserve"> contributes, developments, over, perspective; EU scope visible. This is a provisional connection, not an outcome finding.</w:t>
      </w:r>
    </w:p>
    <w:p>
      <w:pPr>
        <w:pStyle w:val="SourceNote"/>
      </w:pPr>
      <w:r>
        <w:rPr>
          <w:b/>
        </w:rPr>
        <w:t>Available abstract (not full text):</w:t>
      </w:r>
      <w:r>
        <w:t xml:space="preserve"> This book uniquely details the longer-term integration of energy policy in the EU, from its inception to the contemporary ‘Energy Union’, whilst also bringing it fully up to date regarding its place in current climate discussions, the European Green Deal, REPowerEU, the European Climate Law and the struggle to achieve net zero. Analysing the policy area from a perspective that explains current developments through economic processes, path dependence, and political decisions over time, the book identifies the factors and mechanisms that enable and constrain actors and energy policy development. It contributes to the broader debate about institutional design and (European) integration in the energy sector, examining key legislation, the motives of actors complying with institutional rules, and the idiosyncratic factors that contribute to continuity and account for change. This book will be of key interest to scholars, students and practitioners/policymakers interested in European energy policy and energy/environmental governance, and more broadly to European politics and theories of European integration, international political economy, public policy, international organisations, and global governance.</w:t>
      </w:r>
    </w:p>
    <w:p>
      <w:pPr/>
      <w:r>
        <w:rPr>
          <w:b/>
        </w:rPr>
        <w:t>POSSIBLE 2024:</w:t>
      </w:r>
      <w:r>
        <w:t xml:space="preserve"> Institutional Development of Family-owned Businesses in Japan: A European Perspective — https://doi.org/10.25105/ijsmebs.v1i4.20500</w:t>
      </w:r>
    </w:p>
    <w:p>
      <w:pPr/>
      <w:r>
        <w:rPr>
          <w:b/>
        </w:rPr>
        <w:t>Shared claim-specific concepts:</w:t>
      </w:r>
      <w:r>
        <w:t xml:space="preserve"> contributes, discussion, historical, perspective; EU scope visible. This is a provisional connection, not an outcome finding.</w:t>
      </w:r>
    </w:p>
    <w:p>
      <w:pPr>
        <w:pStyle w:val="SourceNote"/>
      </w:pPr>
      <w:r>
        <w:rPr>
          <w:b/>
        </w:rPr>
        <w:t>Available abstract (not full text):</w:t>
      </w:r>
      <w:r>
        <w:t xml:space="preserve"> From the European perspective the institutional development of family-owned businesses in Japan has come full circle. Beginning in the XVII century with a strong separation of aristocrats, samurais, traders, peasants families, and through to the creation of the zaibatsu and keiretsu to the rise of Japan Inc.- there has been one successful and equal family. Now Japanese families are again separated and unequal in their everyday life. In this context it should be expected to witness a rise of, more innovative and entrepreneurial, family-owned businesses. Both Japan and Europe are family-oriented societies and economies. Demographic changes create challenges to family-owned businesses in Japan as well as in Europe. What we can learn from the institutional development of family-owned businesses in Japan? Answers to this question are especially valid in Poland, which is as nationally homogeneous as is Japan. Both Poland and Japan are also bank-oriented financial systems. Are these financial systems friendly to a familyowned business? In Europe creation the of capital markets are seen as an institutional innovation that is friendly to a family-owned business. In Japan both historical legacy and the social structure limit the development of capital markets. The institutional and comparative perspective on family-owned businesses in Japan contributes towards the discussion of the pheno</w:t>
      </w:r>
    </w:p>
    <w:p>
      <w:pPr/>
      <w:r>
        <w:rPr>
          <w:b/>
        </w:rPr>
        <w:t>POSSIBLE 2024:</w:t>
      </w:r>
      <w:r>
        <w:t xml:space="preserve"> Exploring how Europeans understand solidarity in the EU — https://doi.org/10.4324/9781032690902-3</w:t>
      </w:r>
    </w:p>
    <w:p>
      <w:pPr/>
      <w:r>
        <w:rPr>
          <w:b/>
        </w:rPr>
        <w:t>Shared claim-specific concepts:</w:t>
      </w:r>
      <w:r>
        <w:t xml:space="preserve"> discussion, group, part; EU scope visible. This is a provisional connection, not an outcome finding.</w:t>
      </w:r>
    </w:p>
    <w:p>
      <w:pPr>
        <w:pStyle w:val="SourceNote"/>
      </w:pPr>
      <w:r>
        <w:rPr>
          <w:b/>
        </w:rPr>
        <w:t>Available abstract (not full text):</w:t>
      </w:r>
      <w:r>
        <w:t xml:space="preserve"> This chapter explains the research design and the decisions about the methodology made for the empirical research. It also reflects on the challenges encountered during the research process. It justifies the selection of the nine countries in which the focus group discussions were conducted; explains the rationale of having three sociodemographic groups for each country case involved in the focus group discussions and outlines the criteria for the selection of the participants. Furthermore, it documents how the focus group discussions were prepared and implemented, providing details about the development of the discussion guide, recruitment of the participants, modes of the discussions and other relevant aspects of the fieldwork. The chapter also discusses the process of recording, transcription and translation of the focus group discussions and provides characteristics of the text corpus produced. A substantial part of the chapter is dedicated to an explanation of the analytical approach and the analysis of the translated transcripts of the focus group discussions. It presents the development of the coding frame, coding procedure and assessment of intercoder agreement. It finally outlines the key parameters of the comparative analysis and the forms of its findings.</w:t>
      </w:r>
    </w:p>
    <w:p>
      <w:pPr/>
      <w:r>
        <w:rPr>
          <w:b/>
        </w:rPr>
        <w:t>POSSIBLE 2021:</w:t>
      </w:r>
      <w:r>
        <w:t xml:space="preserve"> Development and integrated assessment of the circular economy in the European Union: the outranking approach — https://doi.org/10.1108/jeim-11-2020-0440</w:t>
      </w:r>
    </w:p>
    <w:p>
      <w:pPr/>
      <w:r>
        <w:rPr>
          <w:b/>
        </w:rPr>
        <w:t>Shared claim-specific concepts:</w:t>
      </w:r>
      <w:r>
        <w:t xml:space="preserve"> contributes, discussion, over; EU scope visible. This is a provisional connection, not an outcome finding.</w:t>
      </w:r>
    </w:p>
    <w:p>
      <w:pPr>
        <w:pStyle w:val="SourceNote"/>
      </w:pPr>
      <w:r>
        <w:rPr>
          <w:b/>
        </w:rPr>
        <w:t>Available abstract (not full text):</w:t>
      </w:r>
      <w:r>
        <w:t xml:space="preserve"> Purpose The Green Deal strategy of the European Union (EU) as well as the increasing concerns over resource scarcity worldwide has put forward such concepts as the circular economy. This paper seeks to compare the progress of the development of the circular economy across the EU Member States. Such analysis is helpful in guiding the circular economy support policies. Design/methodology/approach This paper develops a quantitative framework for analysis of the implementation of the circular economy objectives in the EU Member States. The framework proposed includes three multi-criteria decision making methods representing reference point and outranking approaches. The use of multiple methods allows exploiting the differences in the underlying aggregation principles. Findings Germany, Sweden and the Netherlands appear as the most advanced in the sense of circular economy development. The results indicate that the water-locked small countries and the new EU Member States are among the lowest performing ones. The flows of the waste need to be monitored more tightly in order to increase the circularity. The development of recycling facilities can also increase circularity irrespectively of the economic development level (e.g. the case of Bulgaria). Originality/value The paper contributes to the discussion regarding the circular economy by proposing an indicator system and the multi-c</w:t>
      </w:r>
    </w:p>
    <w:p>
      <w:pPr/>
      <w:r>
        <w:rPr>
          <w:b/>
        </w:rPr>
        <w:t>POSSIBLE 2021:</w:t>
      </w:r>
      <w:r>
        <w:t xml:space="preserve"> Islam, Europe and Democracy. Seeking answers in an ongoing discussion — https://openalex.org/W3189651574</w:t>
      </w:r>
    </w:p>
    <w:p>
      <w:pPr/>
      <w:r>
        <w:rPr>
          <w:b/>
        </w:rPr>
        <w:t>Shared claim-specific concepts:</w:t>
      </w:r>
      <w:r>
        <w:t xml:space="preserve"> discussion, brief, historical; EU scope visible. This is a provisional connection, not an outcome finding.</w:t>
      </w:r>
    </w:p>
    <w:p>
      <w:pPr>
        <w:pStyle w:val="SourceNote"/>
      </w:pPr>
      <w:r>
        <w:rPr>
          <w:b/>
        </w:rPr>
        <w:t>Available abstract (not full text):</w:t>
      </w:r>
      <w:r>
        <w:t xml:space="preserve"> Angeliki Ziaka * Islam, Europe and Democracy.Islam, Europe and Democracy.Seeking answers in an ongoing discussion.Seeking answers in an ongoing discussion.When approaching the discourse on Islam, Europe and Democracy, and laying aside apparent understandings and admissions, we are faced with certain observations and questions.This brief contribution aims at setting them.A first approach of "Islam, Europe, and Democracy" bears with it a certain consensus.That is, that Islam, as a religious system, with more or less apparent theocratic elements -depending on the countries it dominates and where it is applied, as well as due to its "essentialist" religious and political trajectory in time and sociopolitical process -does not carry with it European values and the imperatives of the West, such as Democracy and, consequently, the spirit of Enlightenment.Such values are considered shaped by the European spirit -due to both Christianity and secularism -and produced by the struggles of the French Revolution against religious authority and the tyranny of monarchy 1 .A variety of historical, spiritual, philosophical and political journeys have yielded a unique heritage for the individual, society and humanity as well, thereby safeguarding human rights and protecting the individual from the terms and imperatives of a religiously and politically pre-modern communal * Associate professor on </w:t>
      </w:r>
    </w:p>
    <w:p>
      <w:pPr/>
      <w:r>
        <w:rPr>
          <w:b/>
        </w:rPr>
        <w:t>POSSIBLE 2021:</w:t>
      </w:r>
      <w:r>
        <w:t xml:space="preserve"> Hallmark features of post-socialist urban development in Central Europe — https://doi.org/10.4324/9781003039792-13</w:t>
      </w:r>
    </w:p>
    <w:p>
      <w:pPr/>
      <w:r>
        <w:rPr>
          <w:b/>
        </w:rPr>
        <w:t>Shared claim-specific concepts:</w:t>
      </w:r>
      <w:r>
        <w:t xml:space="preserve"> discussion, brief, represent; EU scope visible. This is a provisional connection, not an outcome finding.</w:t>
      </w:r>
    </w:p>
    <w:p>
      <w:pPr>
        <w:pStyle w:val="SourceNote"/>
      </w:pPr>
      <w:r>
        <w:rPr>
          <w:b/>
        </w:rPr>
        <w:t>Available abstract (not full text):</w:t>
      </w:r>
      <w:r>
        <w:t xml:space="preserve"> Conclusions represent the thirteenth and final chapter of the edited volume focused on the post-socialist transformation of selected cities of various sizes in Central Europe. After a brief recapitulation of the background of transformational predispositions in the model region, the chapter summarises the main findings and results of theoretical assumptions and specific research from all previous parts of the book. The differences and similarities of transformation processes are reflected, the effects of transformation on the socio-economic, demographic and physical environment of cities, the approaches of city representatives, population behaviour, and possible directions of future development are discussed. We believe that the deeper analysis and discussion presented will contribute to the discovery and understanding of three decades of fundamental spatial, economic and social change in the region.</w:t>
      </w:r>
    </w:p>
    <w:p>
      <w:pPr/>
      <w:r>
        <w:rPr>
          <w:b/>
        </w:rPr>
        <w:t>POSSIBLE 2021:</w:t>
      </w:r>
      <w:r>
        <w:t xml:space="preserve"> EUROPEAN AUTONOMOUS EMPLOYEE DEFINITION. A REASON FOR A DISCUSSION OVER DEVELOPMENT OF EMPLOYMENT RIGHTS — https://doi.org/10.5604/01.3001.0015.6077</w:t>
      </w:r>
    </w:p>
    <w:p>
      <w:pPr/>
      <w:r>
        <w:rPr>
          <w:b/>
        </w:rPr>
        <w:t>Shared claim-specific concepts:</w:t>
      </w:r>
      <w:r>
        <w:t xml:space="preserve"> discussion, group, over; EU scope visible. This is a provisional connection, not an outcome finding.</w:t>
      </w:r>
    </w:p>
    <w:p>
      <w:pPr>
        <w:pStyle w:val="SourceNote"/>
      </w:pPr>
      <w:r>
        <w:rPr>
          <w:b/>
        </w:rPr>
        <w:t>Available abstract (not full text):</w:t>
      </w:r>
      <w:r>
        <w:t xml:space="preserve"> For many years, there has been a discussion in the study of Polish labour law on the legitimacy of replacing labour law with employment law as a broader category, including also people who perform paid work on other grounds. The implementation of Directive 2019/1152 on transparent and predictable working conditions in the European Union should also cover a wider group of people performing paid work. The EU legislator, when defining the subjective scope, refers to the autonomous EU definition of an employee created by the CJEU, which is broader than many national definitions. Despite the objections raised against the concept of employment law, the implementation of the directive may be a step towards building a new field of law, just as the extension of the subjective scope of the Act on Trade Unions contributed to the creation of collective employment law.</w:t>
      </w:r>
    </w:p>
    <w:p>
      <w:pPr/>
      <w:r>
        <w:rPr>
          <w:b/>
        </w:rPr>
        <w:t>POSSIBLE 2020:</w:t>
      </w:r>
      <w:r>
        <w:t xml:space="preserve"> Perspectives for German-Polish Relations in the EU-27 — https://doi.org/10.51149/roea.2.2020.3</w:t>
      </w:r>
    </w:p>
    <w:p>
      <w:pPr/>
      <w:r>
        <w:rPr>
          <w:b/>
        </w:rPr>
        <w:t>Shared claim-specific concepts:</w:t>
      </w:r>
      <w:r>
        <w:t xml:space="preserve"> eu-27, group, historical; EU scope visible. This is a provisional connection, not an outcome finding.</w:t>
      </w:r>
    </w:p>
    <w:p>
      <w:pPr>
        <w:pStyle w:val="SourceNote"/>
      </w:pPr>
      <w:r>
        <w:rPr>
          <w:b/>
        </w:rPr>
        <w:t>Available abstract (not full text):</w:t>
      </w:r>
      <w:r>
        <w:t xml:space="preserve"> In recent years the seemingly firm historical ties between Warsaw and Berlin have become increasingly strained. This results from a growing political asymmetry between the two countries. Germany moved into a semi-hegemonial position under the conditions of the triple crisis of banking, economy and sovereign debt in the eurozone. Consequently, German chancellor Angela Merkel was in a strong enough position to implement ordoliberal reforms of the eurozone’s governance architecture, which were promoted as an approach without alternatives. Merkel maintained her uncompromising stance during the migration crisis in the summer of 2015, when she demanded implementation of compulsory migrant distribution quotas across the EU. Poland and the Visegrád countries had initially strongly supported German leadership in resolving the eurozone crisis. The alienation from Germany’s European agenda however became significant under the conditions of the migration crisis. Here the firm opposition of Poland and the rest of the Visegrád Group towards Germany’s preferences shows a strategic mismatch between the EU’s liberal core, which is spearheaded by Germany, and the concept of the “illiberal” state, which Poland has embraced under the PiS government. The willingness to resolve these differences will be crucial in determining the future shape of Polish-German relations.</w:t>
      </w:r>
    </w:p>
    <w:p>
      <w:pPr>
        <w:pStyle w:val="Heading2"/>
      </w:pPr>
      <w:r>
        <w:t>703. Energy Scenario Analysis for the Nordic Transport Sector: A Critical Review</w:t>
      </w:r>
    </w:p>
    <w:p>
      <w:pPr>
        <w:pStyle w:val="SourceNote"/>
      </w:pPr>
      <w:r>
        <w:rPr>
          <w:b/>
        </w:rPr>
        <w:t>Original source (2019):</w:t>
      </w:r>
      <w:r>
        <w:t xml:space="preserve"> https://doi.org/10.3390/en12122232</w:t>
      </w:r>
    </w:p>
    <w:p>
      <w:pPr/>
      <w:r>
        <w:t>Original wording (abstract; indexed_source_text_not_full_document_verified): Relying on a rich and diversified portfolio of renewable sources and expertise, the Nordic countries could benefit from a common mitigation strategy by encompassing a larger variety of solutions and potential synergies.</w:t>
      </w:r>
    </w:p>
    <w:p>
      <w:pPr/>
      <w:r>
        <w:rPr>
          <w:b/>
        </w:rPr>
        <w:t>POSSIBLE 2026:</w:t>
      </w:r>
      <w:r>
        <w:t xml:space="preserve"> Downstream Diversification of Critical Mineral-Rich Countries — https://doi.org/10.1007/978-3-032-06139-3_1</w:t>
      </w:r>
    </w:p>
    <w:p>
      <w:pPr/>
      <w:r>
        <w:rPr>
          <w:b/>
        </w:rPr>
        <w:t>Shared claim-specific concepts:</w:t>
      </w:r>
      <w:r>
        <w:t xml:space="preserve"> countries, strategy, potential; EU scope not established. This is a provisional connection, not an outcome finding.</w:t>
      </w:r>
    </w:p>
    <w:p>
      <w:pPr>
        <w:pStyle w:val="SourceNote"/>
      </w:pPr>
      <w:r>
        <w:rPr>
          <w:b/>
        </w:rPr>
        <w:t>Available abstract (not full text):</w:t>
      </w:r>
      <w:r>
        <w:t xml:space="preserve"> Abstract The transition to a low-carbon economy has intensified global demand for critical minerals, presenting both opportunities and challenges for mineral-rich countries. Expanding beyond raw mineral extraction into mineral processing and component manufacturing, or downstream diversification, has emerged as a potential pathway for economic development, supply chain security, and industrialization. However, this strategy is not universally beneficial and must be carefully evaluated against each country’s comparative advantages, infrastructure, governance capacity, and market conditions. This chapter explores the role of downstream diversification in the energy transition. It highlights the importance of strategic policy design, the risks of unplanned industrialization, and the need for international cooperation. While downstream diversification can enhance value retention and reduce reliance on volatile commodity markets, it is not a guaranteed solution and should be pursued selectively after an evaluation and cost-benefit analysis of other economic development strategies.</w:t>
      </w:r>
    </w:p>
    <w:p>
      <w:pPr/>
      <w:r>
        <w:rPr>
          <w:b/>
        </w:rPr>
        <w:t>POSSIBLE 2026:</w:t>
      </w:r>
      <w:r>
        <w:t xml:space="preserve"> Transition from Fossil Fuels to Renewables: A Comparative Analysis Between Energy-Rich and Energy-Poor Economies — https://doi.org/10.3390/commodities5020009</w:t>
      </w:r>
    </w:p>
    <w:p>
      <w:pPr/>
      <w:r>
        <w:rPr>
          <w:b/>
        </w:rPr>
        <w:t>Shared claim-specific concepts:</w:t>
      </w:r>
      <w:r>
        <w:t xml:space="preserve"> diversified, portfolio, renewable, sources, countries; EU scope not established. This is a provisional connection, not an outcome finding.</w:t>
      </w:r>
    </w:p>
    <w:p>
      <w:pPr>
        <w:pStyle w:val="SourceNote"/>
      </w:pPr>
      <w:r>
        <w:rPr>
          <w:b/>
        </w:rPr>
        <w:t>Available abstract (not full text):</w:t>
      </w:r>
      <w:r>
        <w:t xml:space="preserve"> The transition from non-renewable to renewable energy sources has emerged as a pressing global issue, driven by concerns over climate change, resource depletion, and the need for sustainable development. This study compares Canada, an energy-rich nation, and Bangladesh, an energy-scarce country, to understand the structural, institutional, and market factors driving their respective renewable energy transitions. Using univariate time-series models (ARIMA, ETS, and Prophet) for energy demand forecasting and extensive literature-based policy evaluation, the paper examines trends in energy production, consumption, and trade from 1990 to 2024. Our analysis indicates that Canada’s vast reserves of both renewable and non-renewable energy sources, its diversified energy portfolio, and carbon-pricing framework support a stable decarbonization pathway, with renewables projected to account for more than 20% of total supply by 2030. However, regional disparities and political resistance from the established energy sector continue to delay transition outcomes. On the other hand, Bangladesh has limited renewable and non-renewable energy sources, with its primary energy resource being natural gas reserves. Consequently, its heavy reliance on imports (over 75% of primary energy) and institutional bottlenecks expose its energy system to commodity-price volatility, undermining energy security a</w:t>
      </w:r>
    </w:p>
    <w:p>
      <w:pPr/>
      <w:r>
        <w:rPr>
          <w:b/>
        </w:rPr>
        <w:t>POSSIBLE 2026:</w:t>
      </w:r>
      <w:r>
        <w:t xml:space="preserve"> The Case for Domestic Value Addition and Economic Diversification in Critical Mineral-Rich Developing Countries — https://doi.org/10.1007/978-3-032-06139-3_5</w:t>
      </w:r>
    </w:p>
    <w:p>
      <w:pPr/>
      <w:r>
        <w:rPr>
          <w:b/>
        </w:rPr>
        <w:t>Shared claim-specific concepts:</w:t>
      </w:r>
      <w:r>
        <w:t xml:space="preserve"> countries, benefit, strategy; EU scope not established. This is a provisional connection, not an outcome finding.</w:t>
      </w:r>
    </w:p>
    <w:p>
      <w:pPr>
        <w:pStyle w:val="SourceNote"/>
      </w:pPr>
      <w:r>
        <w:rPr>
          <w:b/>
        </w:rPr>
        <w:t>Available abstract (not full text):</w:t>
      </w:r>
      <w:r>
        <w:t xml:space="preserve"> Abstract This chapter examines the challenges faced by many developing countries with significant reserves of minerals critical for the energy transition, such as cobalt, copper, graphite, lithium, and nickel. The increasing demand for these minerals risks perpetuating the dependence of developing countries on exporting raw materials. The chapter discusses the structural challenges of commodity dependence, which keeps countries exposed to market volatility. It provides an in-depth analysis of trade flows for selected critical energy transition minerals, highlighting the significant market concentration in both export and import markets, with a few countries dominating the different stages of the value chain, from extraction and processing to manufacturing. This concentration increases risks, including supply chain disruptions and price volatility. The chapter emphasizes the urgency of moving away from raw material exports through local value addition and promoting diversification in upstream, midstream, and downstream sectors. In this regard, the chapter advocates for a comprehensive approach, including supportive policies, capacity building, environmental sustainability, regional cooperation, public-private partnerships, and multi-stakeholder engagement. This strategy can help developing countries create more resilient economies and contribute to and benefit from the energy tr</w:t>
      </w:r>
    </w:p>
    <w:p>
      <w:pPr/>
      <w:r>
        <w:rPr>
          <w:b/>
        </w:rPr>
        <w:t>POSSIBLE 2025:</w:t>
      </w:r>
      <w:r>
        <w:t xml:space="preserve"> Rethinking Economic Policies: Diversification and Governance Strategies to Address the Resource Curse in Mineral‐Rich Economies — https://doi.org/10.1111/nrm.70011</w:t>
      </w:r>
    </w:p>
    <w:p>
      <w:pPr/>
      <w:r>
        <w:rPr>
          <w:b/>
        </w:rPr>
        <w:t>Shared claim-specific concepts:</w:t>
      </w:r>
      <w:r>
        <w:t xml:space="preserve"> rich, countries, variety; EU scope not established. This is a provisional connection, not an outcome finding.</w:t>
      </w:r>
    </w:p>
    <w:p>
      <w:pPr>
        <w:pStyle w:val="SourceNote"/>
      </w:pPr>
      <w:r>
        <w:rPr>
          <w:b/>
        </w:rPr>
        <w:t>Available abstract (not full text):</w:t>
      </w:r>
      <w:r>
        <w:t xml:space="preserve"> ABSTRACT The “resource curse,” in which countries rich in specific minerals stagnate economically, is prevalent. This paradox occurs when weak governance, corruption, and overreliance on resource rents limit innovation and variety. To address this issue, this study examines the top 20 natural resource‐rich economies and how economic diversification, governance, and development policies have affected resource management from 2000 to 2022. Regulatory quality and corruption control were used to study how governance affects mining mineral resource rents. For “mining governance,” the research examined how resource‐rich states develop mineral resource rents and how good governance, including effective laws and corruption control, affects this process. Panel fixed‐effects results show that regulatory inefficiency and corruption due to inadequate mining governance worsen the resource curse. However, economic growth and human capital development improve mineral resource governance by increasing workforce knowledge and productivity. High tariffs hinder resource utilization and economic diversification, such as ICT exports and value‐added manufacturing. The study concluded that improving institutional capabilities and ensuring sustainable natural resource management boost economic resilience and growth.</w:t>
      </w:r>
    </w:p>
    <w:p>
      <w:pPr/>
      <w:r>
        <w:rPr>
          <w:b/>
        </w:rPr>
        <w:t>POSSIBLE 2025:</w:t>
      </w:r>
      <w:r>
        <w:t xml:space="preserve"> Autoencoder-Enhanced Ensemble Neural Network for Forced Oscillation Source Location in Renewable-Rich Power Systems — https://doi.org/10.1109/tia.2025.3625890</w:t>
      </w:r>
    </w:p>
    <w:p>
      <w:pPr/>
      <w:r>
        <w:rPr>
          <w:b/>
        </w:rPr>
        <w:t>Shared claim-specific concepts:</w:t>
      </w:r>
      <w:r>
        <w:t xml:space="preserve"> relying, sources, larger; EU scope not established. This is a provisional connection, not an outcome finding.</w:t>
      </w:r>
    </w:p>
    <w:p>
      <w:pPr>
        <w:pStyle w:val="SourceNote"/>
      </w:pPr>
      <w:r>
        <w:rPr>
          <w:b/>
        </w:rPr>
        <w:t>Available abstract (not full text):</w:t>
      </w:r>
      <w:r>
        <w:t xml:space="preserve"> Conventional energy-based methods struggle to determine the origin of Forced Oscillations (FOs) in renewable-rich systems because of their dependency on Dissipating Energy Flow (DEF) calculations. This paper proposes a novel Autoencoder Enhanced Ensemble Neural Network (AEENN) deep learning model for accurately identifying FO sources in power systems having high wind energy penetration without relying on traditional DEF calculations. The methodology incorporates a two-stage framework that enhances the scalability of the proposed method for larger and more practical power systems. It leverages Wavelet Synchrosqueezing Transform (WSST) and Multivariate Empirical Mode Decomposition (MEMD) to extract relevant harmonic components while filtering out noise. A reduced-order WSST matrix is constructed by retaining only FO-related frequency components based on an energy-based threshold. Moreover, an autoencoder effectively learns nonlinear features from PMU data in wind turbine generator (WTG)-dominated grids, enabling robust feature extraction for multivariate time-series classification. To enhance reliability, a$k$-fold ensemble classifier is employed, where multiple models trained on different data folds are combined to improve accuracy and generalisation. The efficacy of the proposed technique is examined on the IEEE 11-bus system and India's Eastern Regional Grid (ERG) model, demon</w:t>
      </w:r>
    </w:p>
    <w:p>
      <w:pPr/>
      <w:r>
        <w:rPr>
          <w:b/>
        </w:rPr>
        <w:t>POSSIBLE 2025:</w:t>
      </w:r>
      <w:r>
        <w:t xml:space="preserve"> Sustainable synthesis of nanomaterials using different renewable sources — https://doi.org/10.1186/s42269-025-01316-4</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Abstract Background The synthesis of nanomaterials has traditionally relied on methods that pose significant environmental risks due to high-energy demands, hazardous chemicals, and waste generation. For instance, conventional techniques such as chemical vapor deposition and the sol–gel process are known for their high-energy consumption and the production of toxic by-products. This context emphasizes the importance of sustainability in nanomaterial synthesis, leading to a shift toward more eco-friendly methods that integrate principles of green chemistry to lessen the influence on the environment. This transition addresses the harmful effects associated with traditional approaches and promotes the use of renewable resources, such as biomass and agricultural waste, in nanomaterial production. Main body This review focuses on sustainable nanomaterial synthesis methods that utilize renewable resources, such as biomass, agricultural waste, and natural extracts. These approaches reduce energy consumption, limit waste generation, and enhance recyclability, supporting the principles of the nanocircular economy. Various green synthesis strategies, including hydrothermal methods and green solvents, are examined for their effectiveness in producing nanomaterials with desirable properties. The review also highlights the broad applications of these sustainable nanomaterials in catalysis, </w:t>
      </w:r>
    </w:p>
    <w:p>
      <w:pPr/>
      <w:r>
        <w:rPr>
          <w:b/>
        </w:rPr>
        <w:t>POSSIBLE 2024:</w:t>
      </w:r>
      <w:r>
        <w:t xml:space="preserve"> The Economic Diversification and Sustainability Development in Oil-Rich Countries: A Panel Data Study — https://doi.org/10.1051/e3sconf/202459301001</w:t>
      </w:r>
    </w:p>
    <w:p>
      <w:pPr/>
      <w:r>
        <w:rPr>
          <w:b/>
        </w:rPr>
        <w:t>Shared claim-specific concepts:</w:t>
      </w:r>
      <w:r>
        <w:t xml:space="preserve"> sources, countries, potential; EU scope not established. This is a provisional connection, not an outcome finding.</w:t>
      </w:r>
    </w:p>
    <w:p>
      <w:pPr>
        <w:pStyle w:val="SourceNote"/>
      </w:pPr>
      <w:r>
        <w:rPr>
          <w:b/>
        </w:rPr>
        <w:t>Available abstract (not full text):</w:t>
      </w:r>
      <w:r>
        <w:t xml:space="preserve"> Diversifying income sources in oil-producing countries is necessary for achieving financial sustainability and a pathway to a more prosperous future. Despite the recognized importance of diversification, there remains a research gap in understanding the combined impact of factors like capital formation, oil rents, foreign investment, labor dynamics, rule of law, and CO2 emissions on sustainable growth. This research delves into the nexus between economic diversification and sustainable development in GCC countries, aiming to identify the key factors influencing economic diversification in this region. The study meticulously analyzes the impact of these critical variables on the economic diversification efforts of GCC countries. The findings reveal a robust positive correlation between economic diversification and these influential factors, as measured by GDP. This correlation underscores the potential benefits of economic diversification, such as enhanced sustainability and resilience, reinforcing the importance of this research topic. Also, the study emphasizes the urgent need for GCC countries to invest in non-oil economic sectors.</w:t>
      </w:r>
    </w:p>
    <w:p>
      <w:pPr/>
      <w:r>
        <w:rPr>
          <w:b/>
        </w:rPr>
        <w:t>POSSIBLE 2024:</w:t>
      </w:r>
      <w:r>
        <w:t xml:space="preserve"> ENERGY TRANSITION POLICIES: A GLOBAL REVIEW OF SHIFTS TOWARDS RENEWABLE SOURCES — https://doi.org/10.51594/estj.v5i2.752</w:t>
      </w:r>
    </w:p>
    <w:p>
      <w:pPr/>
      <w:r>
        <w:rPr>
          <w:b/>
        </w:rPr>
        <w:t>Shared claim-specific concepts:</w:t>
      </w:r>
      <w:r>
        <w:t xml:space="preserve"> renewable, sources, countries, common, mitigation; EU scope not established. This is a provisional connection, not an outcome finding.</w:t>
      </w:r>
    </w:p>
    <w:p>
      <w:pPr>
        <w:pStyle w:val="SourceNote"/>
      </w:pPr>
      <w:r>
        <w:rPr>
          <w:b/>
        </w:rPr>
        <w:t>Available abstract (not full text):</w:t>
      </w:r>
      <w:r>
        <w:t xml:space="preserve"> The global landscape of energy production is undergoing a profound transformation as nations grapple with the imperatives of sustainable development and climate change mitigation. This paper encapsulates a comprehensive review of Energy Transition Policies, specifically focusing on the global shift towards renewable energy sources. The paper delves into the myriad policy initiatives adopted by countries worldwide to transition from conventional fossil fuel-based energy systems to cleaner and more sustainable alternatives. The analysis explores the diverse motivations driving these energy transitions, ranging from environmental concerns and climate change imperatives to economic competitiveness and energy security. By examining the unique policy frameworks of different regions, the research provides valuable insights into the challenges and opportunities associated with the adoption of renewable energy sources. It investigates the regulatory mechanisms, financial incentives, and technological advancements that shape the trajectory of energy transition policies on a global scale. Furthermore, the paper sheds light on the impact of energy transition policies on various stakeholders, including governments, industries, and local communities. It examines the socio-economic implications of renewable energy integration, job creation, and the role of international collaborations in fost</w:t>
      </w:r>
    </w:p>
    <w:p>
      <w:pPr/>
      <w:r>
        <w:rPr>
          <w:b/>
        </w:rPr>
        <w:t>POSSIBLE 2024:</w:t>
      </w:r>
      <w:r>
        <w:t xml:space="preserve"> Recent Advances and Challenges of Hydrogen Production Technologies via Renewable Energy Sources — https://doi.org/10.1002/aesr.202300273</w:t>
      </w:r>
    </w:p>
    <w:p>
      <w:pPr/>
      <w:r>
        <w:rPr>
          <w:b/>
        </w:rPr>
        <w:t>Shared claim-specific concepts:</w:t>
      </w:r>
      <w:r>
        <w:t xml:space="preserve"> renewable, sources, potential; EU scope not established. This is a provisional connection, not an outcome finding.</w:t>
      </w:r>
    </w:p>
    <w:p>
      <w:pPr>
        <w:pStyle w:val="SourceNote"/>
      </w:pPr>
      <w:r>
        <w:rPr>
          <w:b/>
        </w:rPr>
        <w:t>Available abstract (not full text):</w:t>
      </w:r>
      <w:r>
        <w:t xml:space="preserve"> Currently, fossil fuels play a major role in meeting the world's energy demand. Fossil fuels, in contrast, threaten the planet's ecosystems and biological processes, contribute to global warming, and result in unfavorable climatic shifts. These energy sources are also finite and will eventually deplete. Thus, energy transition, which is the key from fossil fuels to renewable energy sources, is regarded as an essential course of action for decarbonizing the global economy and reducing the catastrophic and irreversible effects of climate change. Thereby using/consuming green hydrogen energy is a vital solution to meet the world's challenges. Subsequently, the pros and cons of several hydrogen generation methods, such as the conversion of fossil fuels, biomass, water electrolysis, microbial fermentation, and photocatalysis, are then compared and outlined in terms of their technologies, economies, consumption of energy, environmental aspects, and costs. Currently, the chemical industry uses green hydrogen (H 2 ) primarily to produce green emerging fuels methanol and ammonia (NH 3 ), which are regarded as alternate sources of energy. Finally, the current state of energy demands, recent developments in renewable energy sources, and the potential of hydrogen as a future fuel are outlined. Moreover, the discussion concludes with predicted opportunities and challenges.</w:t>
      </w:r>
    </w:p>
    <w:p>
      <w:pPr/>
      <w:r>
        <w:rPr>
          <w:b/>
        </w:rPr>
        <w:t>POSSIBLE 2024:</w:t>
      </w:r>
      <w:r>
        <w:t xml:space="preserve"> A Comparative Life Cycle Assessment of Hydrogen Production &amp; Storage with Renewable Energy Source and Grid Electricity Source — https://doi.org/10.47363/jeast/2024(6)233</w:t>
      </w:r>
    </w:p>
    <w:p>
      <w:pPr/>
      <w:r>
        <w:rPr>
          <w:b/>
        </w:rPr>
        <w:t>Shared claim-specific concepts:</w:t>
      </w:r>
      <w:r>
        <w:t xml:space="preserve"> rich, renewable, sources; EU scope visible. This is a provisional connection, not an outcome finding.</w:t>
      </w:r>
    </w:p>
    <w:p>
      <w:pPr>
        <w:pStyle w:val="SourceNote"/>
      </w:pPr>
      <w:r>
        <w:rPr>
          <w:b/>
        </w:rPr>
        <w:t>Available abstract (not full text):</w:t>
      </w:r>
      <w:r>
        <w:t xml:space="preserve"> The role of electricity is becoming significant in our advancing world. Currently, Ireland’s energy mix heavily relies on carbon-polluting fossil fuels, posing an environmental challenge. As per the Paris Agreement 2015, Ireland is ambitiously targeting to meet net zero carbon dioxide (CO2) emissions by 2050 and a 51% reduction by 2030. The country is shifting towards renewable energy sources to generate power to achieve this target. With abundant wind energy available, Ireland can meet its goal. However, due to the intermittent availability of wind energy, an energy backup for power generation is necessary. The use of curtailed or dedicated wind for producing hydrogen gas through electrolysis, and storing it in underground salt caverns is one approach to the problem. Northern Ireland has a rich source of Permian salt deposits offering a better place to store hydrogen which can be withdrawn for electricity generation, or used as fuel in transportation sectors. The Life Cycle Assessment (LCA) of the hydrogen systems can scrutinise the environmental impact of carbon emissions. This study analyses routes to reduce the environmental impact by evaluating polluting hotspots during the construction and operation phase of the system. This paper compares the impacts of the LCA on a hydrogen system which consists of a wind energy source for hydrogen production through electrolysis, trans</w:t>
      </w:r>
    </w:p>
    <w:p>
      <w:pPr/>
      <w:r>
        <w:rPr>
          <w:b/>
        </w:rPr>
        <w:t>POSSIBLE 2024:</w:t>
      </w:r>
      <w:r>
        <w:t xml:space="preserve"> Issues and Challenges of Grid-Following Converters Interfacing Renewable Energy Sources in Low Inertia Systems: A Review — https://doi.org/10.1109/access.2024.3349630</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The integration of renewable energy sources (RESs) is a key objective for energy sector decision-makers worldwide, aiming to establish renewable-rich future power grids. However, transitioning from conventional systems based on synchronous generators (SGs) or systems with a low RESs share presents challenges, particularly when accompanied by decommissioning large central generation units. This is because the reduction in inertia and system strength, traditionally provided by SGs, can lead to a loss of essential system support functions like voltage and frequency. While current converter technologies attempt to compensate for the grid support provided by SGs by enhancing converter capabilities, they still heavily rely on the presence of SGs to function effectively. These converters, known as grid-following (GFL) converters, depend on the grid to operate in a stable and secure manner. As the penetration of RESs increases, the efficacy of GFL converters diminishes, posing stability challenges in low inertia systems and limiting the integration of RESs. Therefore, it is crucial to reassess the existing GFL converter technologies, control mechanisms, and grid codes to understand their status and future requirements. This will shed light on the advancements and limitations of GFL converters, enabling greater RESs integration and grid support independent of SGs. This paper aims to pro</w:t>
      </w:r>
    </w:p>
    <w:p>
      <w:pPr/>
      <w:r>
        <w:rPr>
          <w:b/>
        </w:rPr>
        <w:t>POSSIBLE 2024:</w:t>
      </w:r>
      <w:r>
        <w:t xml:space="preserve"> The impact of renewable energy sources on the environment — https://doi.org/10.46544/ams.v28i4.13</w:t>
      </w:r>
    </w:p>
    <w:p>
      <w:pPr/>
      <w:r>
        <w:rPr>
          <w:b/>
        </w:rPr>
        <w:t>Shared claim-specific concepts:</w:t>
      </w:r>
      <w:r>
        <w:t xml:space="preserve"> renewable, sources; EU scope not established. This is a provisional connection, not an outcome finding.</w:t>
      </w:r>
    </w:p>
    <w:p>
      <w:pPr>
        <w:pStyle w:val="SourceNote"/>
      </w:pPr>
      <w:r>
        <w:rPr>
          <w:b/>
        </w:rPr>
        <w:t>Available abstract (not full text):</w:t>
      </w:r>
      <w:r>
        <w:t xml:space="preserve"> The use of renewable energy sources is becoming a modern phenomenon that saves energy costs and protects the environment in the long term. The contribution is mapping selected energy and environmental aspects and evaluating renewable energy sources' impact on the environment. At present, energy supply is still mostly provided by sources coming from fossil or nuclear reserves. Although the concept of the "upper limit of exhaustibility" of these resources is increasingly used, there are still disagreements between experts in the field of the life expectancy of the reserves. Population growth means higher consumer demands, which also results in higher consumption of energy resources. Environmental degradation has become a global problem that requires the emphasis of recent studies. Non-renewable energy is a significant factor in environmental degradation. Therefore, policymakers have focused on supporting the production and consumption of energy from renewable sources in all economic activities to ensure a low-carbon economy.</w:t>
      </w:r>
    </w:p>
    <w:p>
      <w:pPr>
        <w:pStyle w:val="Heading2"/>
      </w:pPr>
      <w:r>
        <w:t>704. Energy system transition and macroeconomic impacts of a European decarbonization action towards a below 2 °C climate stabilization</w:t>
      </w:r>
    </w:p>
    <w:p>
      <w:pPr>
        <w:pStyle w:val="SourceNote"/>
      </w:pPr>
      <w:r>
        <w:rPr>
          <w:b/>
        </w:rPr>
        <w:t>Original source (2019):</w:t>
      </w:r>
      <w:r>
        <w:t xml:space="preserve"> https://doi.org/10.1007/s10584-019-02440-7</w:t>
      </w:r>
    </w:p>
    <w:p>
      <w:pPr/>
      <w:r>
        <w:t>Original wording (abstract; indexed_source_text_not_full_document_verified): We find that emission reductions in the energy supply sector are dominant up to 2030 while transport takes the lead in 2050. The EU28 NDC includes a commitment for emission reductions in 2030 but also refers to an economy-wide effort towards 2050 so as to contribute effectively to the long-term mitigation of climate change.</w:t>
      </w:r>
    </w:p>
    <w:p>
      <w:pPr/>
      <w:r>
        <w:rPr>
          <w:b/>
        </w:rPr>
        <w:t>POSSIBLE 2026:</w:t>
      </w:r>
      <w:r>
        <w:t xml:space="preserve"> Can a wealth tax reduce CO2 emissions in Europe? — https://doi.org/10.1016/j.ecolecon.2026.109231</w:t>
      </w:r>
    </w:p>
    <w:p>
      <w:pPr/>
      <w:r>
        <w:rPr>
          <w:b/>
        </w:rPr>
        <w:t>Shared claim-specific concepts:</w:t>
      </w:r>
      <w:r>
        <w:t xml:space="preserve"> find, reductions, mitigation, climate;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2026:</w:t>
      </w:r>
      <w:r>
        <w:t xml:space="preserve"> Research and innovation towards zero-emission road transport and European automotive sector competitiveness — https://doi.org/10.2760/4220161</w:t>
      </w:r>
    </w:p>
    <w:p>
      <w:pPr/>
      <w:r>
        <w:rPr>
          <w:b/>
        </w:rPr>
        <w:t>Shared claim-specific concepts:</w:t>
      </w:r>
      <w:r>
        <w:t xml:space="preserve"> sector, transport, but, also; EU scope visible. This is a provisional connection, not an outcome finding.</w:t>
      </w:r>
    </w:p>
    <w:p>
      <w:pPr>
        <w:pStyle w:val="SourceNote"/>
      </w:pPr>
      <w:r>
        <w:rPr>
          <w:b/>
        </w:rPr>
        <w:t>Available abstract (not full text):</w:t>
      </w:r>
      <w:r>
        <w:t xml:space="preserve"> This report assesses how EU-funded research and innovation supports the competitiveness of the European automotive sector during its transition towards clean, digital and resilient mobility. The analysis covers 150 projects, representing around EUR 1.99 billion in total budget and EUR 1.23 billion in EU contribution, across connected and automated mobility, software-defined vehicles, electric-vehicle batteries, zero-emission components and infrastructure, deployment, advanced materials and manufacturing, and workforce transformation. The portfolio is strongly oriented towards clean mobility, while also showing increasing attention to digitalisation, supply-chain resilience, circularity and skills. The report finds that EU R&amp;I contributes to technology validation, demonstration and piloting, but that stronger links are needed between project results, industrial scale-up, certification, infrastructure deployment, skills development and market uptake. The findings support EU transport, research and innovation, and industrial-policy discussions on how to align future R&amp;I programming with automotive competitiveness, decarbonisation and strategic resilience.</w:t>
      </w:r>
    </w:p>
    <w:p>
      <w:pPr/>
      <w:r>
        <w:rPr>
          <w:b/>
        </w:rPr>
        <w:t>POSSIBLE 2025:</w:t>
      </w:r>
      <w:r>
        <w:t xml:space="preserve"> Impacts of Ownership Changes on Emissions and Industrial Production: Evidence from Europe — https://doi.org/10.1086/735858</w:t>
      </w:r>
    </w:p>
    <w:p>
      <w:pPr/>
      <w:r>
        <w:rPr>
          <w:b/>
        </w:rPr>
        <w:t>Shared claim-specific concepts:</w:t>
      </w:r>
      <w:r>
        <w:t xml:space="preserve"> find, reductions; EU scope visible. This is a provisional connection, not an outcome finding.</w:t>
      </w:r>
    </w:p>
    <w:p>
      <w:pPr>
        <w:pStyle w:val="SourceNote"/>
      </w:pPr>
      <w:r>
        <w:rPr>
          <w:b/>
        </w:rPr>
        <w:t>Available abstract (not full text):</w:t>
      </w:r>
      <w:r>
        <w:t xml:space="preserve"> Firm ownership is a major determinant for the economic performance of firms, and emissions of pollutants are often by-products of industrial production. We investigate the impact of ownership on pollutant emissions of firms and their industrial facilities in Europe jointly with their output, productivity, and other key economic outcomes. To disentangle the influence of ownership from other firm characteristics, we analyse the effects of ownership changes in an event-study approach. We find that facilities and firms do not change their emissions and emissions intensity if they remain in operation after a change in ownership. Firms that shut down after acquisition strongly reduce their emissions via reductions in output. The reductions cannot be attributed to the ownership change as they already start before acquisition. There is no evidence for transfers in pollution abatement technologies between target and acquiring parent company. Overall, we do not find environmental benefits from ownership changes.</w:t>
      </w:r>
    </w:p>
    <w:p>
      <w:pPr/>
      <w:r>
        <w:rPr>
          <w:b/>
        </w:rPr>
        <w:t>POSSIBLE 2024:</w:t>
      </w:r>
      <w:r>
        <w:t xml:space="preserve"> Firm's emission reduction effectiveness and the influence of the five institutional dimensions of the quintuple helix model: European evidence — https://doi.org/10.1111/beer.12662</w:t>
      </w:r>
    </w:p>
    <w:p>
      <w:pPr/>
      <w:r>
        <w:rPr>
          <w:b/>
        </w:rPr>
        <w:t>Shared claim-specific concepts:</w:t>
      </w:r>
      <w:r>
        <w:t xml:space="preserve"> find, emission, commitment; EU scope visible. This is a provisional connection, not an outcome finding.</w:t>
      </w:r>
    </w:p>
    <w:p>
      <w:pPr>
        <w:pStyle w:val="SourceNote"/>
      </w:pPr>
      <w:r>
        <w:rPr>
          <w:b/>
        </w:rPr>
        <w:t>Available abstract (not full text):</w:t>
      </w:r>
      <w:r>
        <w:t xml:space="preserve"> Abstract Based upon the quintuple helix model (QHM), this study explores whether the differences in firms' emission reduction effectiveness can be attributed to the five institutional helices related to educational system, economic development, political–legal system, cultural orientation, and the natural capital. Using a set of listed European firms for the 2015–2020 period, we show that firms with better emission reduction effectiveness operate in nations with more public educational expenditure and scientific production, more extensive economic development, and better institutional and governance quality. Moreover, emission reduction strategies are more pronounced in firms located in countries characterized by less masculinity, individualism, power distance, and uncertainty avoidance, and more long‐term orientation and indulgence. In addition, we find that companies with better emission reduction effectiveness are found in countries with more natural capital, characterized by a life in harmony with nature and employing the finite resources available in a sustainable and environmentally conscious manner. Moreover, employing a two‐stage model to identify the most relevant helix, we find that the political–legal system helix is the most pivotal in promoting firms' commitment to reducing environmental emissions.</w:t>
      </w:r>
    </w:p>
    <w:p>
      <w:pPr/>
      <w:r>
        <w:rPr>
          <w:b/>
        </w:rPr>
        <w:t>POSSIBLE 2024:</w:t>
      </w:r>
      <w:r>
        <w:t xml:space="preserve"> Does Pricing Carbon Mitigate Climate Change? Firm-Level Evidence from the European Union Emissions Trading System — https://doi.org/10.1093/restud/rdae055</w:t>
      </w:r>
    </w:p>
    <w:p>
      <w:pPr/>
      <w:r>
        <w:rPr>
          <w:b/>
        </w:rPr>
        <w:t>Shared claim-specific concepts:</w:t>
      </w:r>
      <w:r>
        <w:t xml:space="preserve"> find, reductions, climate; EU scope visible. This is a provisional connection, not an outcome finding.</w:t>
      </w:r>
    </w:p>
    <w:p>
      <w:pPr>
        <w:pStyle w:val="SourceNote"/>
      </w:pPr>
      <w:r>
        <w:rPr>
          <w:b/>
        </w:rPr>
        <w:t>Available abstract (not full text):</w:t>
      </w:r>
      <w:r>
        <w:t xml:space="preserve"> Abstract In theory, market-based regulatory instruments correct market failures at least cost. However, evidence on their efficacy remains scarce. Using administrative data, we estimate that, on average, the European Union Emissions Trading System (EU ETS)—the world’s first and largest market-based climate policy—induced regulated manufacturing firms to reduce carbon dioxide emissions by 14–16% with no detectable contractions in economic activity. We find no evidence of outsourcing to unregulated firms or markets; instead, firms made targeted investments, reducing the emissions intensity of production. These results indicate that the EU ETS induced global emissions reductions, a necessary and sufficient condition for mitigating climate change. We show that the absence of any negative economic effects can be rationalized in a model where pricing the externality induces firms to make fixed-cost investments in energy-saving capital that reduce marginal variable costs.</w:t>
      </w:r>
    </w:p>
    <w:p>
      <w:pPr/>
      <w:r>
        <w:rPr>
          <w:b/>
        </w:rPr>
        <w:t>POSSIBLE 2024:</w:t>
      </w:r>
      <w:r>
        <w:t xml:space="preserve"> Constraining long-term NO x emissions over the United States and Europe using nitrate wet deposition monitoring networks — https://doi.org/10.5194/acp-24-4569-2024</w:t>
      </w:r>
    </w:p>
    <w:p>
      <w:pPr/>
      <w:r>
        <w:rPr>
          <w:b/>
        </w:rPr>
        <w:t>Shared claim-specific concepts:</w:t>
      </w:r>
      <w:r>
        <w:t xml:space="preserve"> find, emission, reductions, transport, but, also; EU scope visible. This is a provisional connection, not an outcome finding.</w:t>
      </w:r>
    </w:p>
    <w:p>
      <w:pPr>
        <w:pStyle w:val="SourceNote"/>
      </w:pPr>
      <w:r>
        <w:rPr>
          <w:b/>
        </w:rPr>
        <w:t>Available abstract (not full text):</w:t>
      </w:r>
      <w:r>
        <w:t xml:space="preserve"> Abstract. Nitrogen oxides (NOx = NO + NO2) play a critical role in regulating tropospheric chemistry, yet NOx emission estimates are subject to large uncertainties, casting doubt on our ability to accurately model secondary pollutants such as ozone. Bottom-up emissions inventories are subject to a number of uncertainties related to estimates of emission activities, scaling factors, and fuel sources. Here, we provide an additional constraint on NOx emissions and trends using nitrate wet deposition (NWD) fluxes from the United States National Atmospheric Deposition Program (NADP) and the European Monitoring and Evaluation Programme (EMEP). We use these NWD measurements to evaluate anthropogenic and total NOx trends and magnitudes in the global Community Emissions Data System (CEDS) emissions inventory and the GEOS-Chem chemical transport model from 1980–2020. Over both the United States and Europe, observed NWD trends track well with anthropogenic NOx emissions from the CEDS inventory until 2010, after which NWD trends level out in contrast to continued decreases in CEDS. After 2010, NWD trends are able to reproduce total NOx emissions trends when the influences of both anthropogenic and background sources are considered. Observed NWD fluxes are also able to capture NOx emissions decreases over the 2020 COVID-19 lockdown period and are consistent with satellite and surface measur</w:t>
      </w:r>
    </w:p>
    <w:p>
      <w:pPr/>
      <w:r>
        <w:rPr>
          <w:b/>
        </w:rPr>
        <w:t>POSSIBLE 2023:</w:t>
      </w:r>
      <w:r>
        <w:t xml:space="preserve"> The Drivers of Emission Reductions in the European Carbon Market — https://openalex.org/W7111538042</w:t>
      </w:r>
    </w:p>
    <w:p>
      <w:pPr/>
      <w:r>
        <w:rPr>
          <w:b/>
        </w:rPr>
        <w:t>Shared claim-specific concepts:</w:t>
      </w:r>
      <w:r>
        <w:t xml:space="preserve"> find, emission, reductions, dominant, also; EU scope visible. This is a provisional connection, not an outcome finding.</w:t>
      </w:r>
    </w:p>
    <w:p>
      <w:pPr>
        <w:pStyle w:val="SourceNote"/>
      </w:pPr>
      <w:r>
        <w:rPr>
          <w:b/>
        </w:rPr>
        <w:t>Available abstract (not full text):</w:t>
      </w:r>
      <w:r>
        <w:t xml:space="preserve"> This paper studies the drivers of emission reductions in the carbon market of the European Union Emission Trading System (EU ETS) since its inception in 2005. We introduce a novel empirical framework that facilitates the joint identification of simultaneous demand and supply shocks underlying the European carbon market. We find that emission supply restrictions of the EU ETS were the dominant driver of emissions reductions, reducing emissions by 46%. However we also find that two opposing emission demand factors also played an important role. Demand from industrial economic activity increased emissions by 15%, while other demand-side factors, primarily reflecting the transition to low-carbon economies, reduced emissions by 21%.</w:t>
      </w:r>
    </w:p>
    <w:p>
      <w:pPr/>
      <w:r>
        <w:rPr>
          <w:b/>
        </w:rPr>
        <w:t>POSSIBLE 2023:</w:t>
      </w:r>
      <w:r>
        <w:t xml:space="preserve"> Emissions savings from equitable energy demand reduction — https://doi.org/10.1038/s41560-023-01283-y</w:t>
      </w:r>
    </w:p>
    <w:p>
      <w:pPr/>
      <w:r>
        <w:rPr>
          <w:b/>
        </w:rPr>
        <w:t>Shared claim-specific concepts:</w:t>
      </w:r>
      <w:r>
        <w:t xml:space="preserve"> reductions, energy, transport, climate; EU scope visible. This is a provisional connection, not an outcome finding.</w:t>
      </w:r>
    </w:p>
    <w:p>
      <w:pPr>
        <w:pStyle w:val="SourceNote"/>
      </w:pPr>
      <w:r>
        <w:rPr>
          <w:b/>
        </w:rPr>
        <w:t>Available abstract (not full text):</w:t>
      </w:r>
      <w:r>
        <w:t xml:space="preserve"> Abstract Energy demand reduction (EDR) will be required to reach climate targets in the Global North. To be compatible with just transitions principles, EDR needs to be equitable. Equitable EDR may involve targeting high energy users while ensuring the satisfaction of needs for all, which could require increasing consumption of low users. Emissions impacts of equitable EDR approaches have not yet been assessed. This Article finds that capping energy use of the top quintile of consumers across 27 European countries can achieve considerable greenhouse gas emissions reductions of 11.4% from domestic energy, 16.8% from transport and 9.7% from total energy consumption. Increasing consumption of low energy users in poverty reduces these savings by only 1.2, 0.9 and 1.4 percentage points, respectively. Additional high annual emissions cuts of 7.3–24.0% would be required for Europe to meet globally equitable 2050 emissions budgets. Equitable EDR could make an important contribution to increasing public acceptance of such transformative action.</w:t>
      </w:r>
    </w:p>
    <w:p>
      <w:pPr/>
      <w:r>
        <w:rPr>
          <w:b/>
        </w:rPr>
        <w:t>POSSIBLE 2023:</w:t>
      </w:r>
      <w:r>
        <w:t xml:space="preserve"> Identifying and Monitoring Priority Areas for Methane Emissions Reduction — https://doi.org/10.1596/1813-9450-10391</w:t>
      </w:r>
    </w:p>
    <w:p>
      <w:pPr/>
      <w:r>
        <w:rPr>
          <w:b/>
        </w:rPr>
        <w:t>Shared claim-specific concepts:</w:t>
      </w:r>
      <w:r>
        <w:t xml:space="preserve"> dominant, but, also; EU scope visible. This is a provisional connection, not an outcome finding.</w:t>
      </w:r>
    </w:p>
    <w:p>
      <w:pPr>
        <w:pStyle w:val="SourceNote"/>
      </w:pPr>
      <w:r>
        <w:rPr>
          <w:b/>
        </w:rPr>
        <w:t>Available abstract (not full text):</w:t>
      </w:r>
      <w:r>
        <w:t xml:space="preserve"> This paper identifies high-priority areas for methane emissions reduction and estimates recent emissions changes in those areas using atmospheric concentration data from the European Space Agency’s Sentinel-5P satellite platform. The modeling approach is illustrated with three case studies: landfills in Spain (Madrid), irrigated rice production in India (Karnal district, Haryana state), and oil production in Iraq (Al Amarah district, Maysan governorate). For each case, the paper estimates two change models by fixed effects: the monthly trend in methane concentration from January 2019 to November 2022, and the difference between mean concentration in 2022 and the previous three years. The paper estimates the change models for 775 high-priority areas and finds that cases with decreasing methane emissions are outnumbered four to one by cases with increasing emissions. The paper also analyzes trends in high-priority areas for seven major methane source sectors (agricultural soils, livestock, gas, oil, coal, landfills, and wastewater) and finds only two where emissions decreases outnumber increases (gas and oil). Among World Bank income groups, decreases outnumber increases in high-income economies but increases are hugely dominant in the other three groups. The paper concludes with a presentation of summary emissions trend reports for all 775 high-priority areas, with accompanying </w:t>
      </w:r>
    </w:p>
    <w:p>
      <w:pPr/>
      <w:r>
        <w:rPr>
          <w:b/>
        </w:rPr>
        <w:t>POSSIBLE 2023:</w:t>
      </w:r>
      <w:r>
        <w:t xml:space="preserve"> The potential role of a hydrogen network in Europe — https://doi.org/10.1016/j.joule.2023.06.016</w:t>
      </w:r>
    </w:p>
    <w:p>
      <w:pPr/>
      <w:r>
        <w:rPr>
          <w:b/>
        </w:rPr>
        <w:t>Shared claim-specific concepts:</w:t>
      </w:r>
      <w:r>
        <w:t xml:space="preserve"> find, reductions, energy, but, also; EU scope visible. This is a provisional connection, not an outcome finding.</w:t>
      </w:r>
    </w:p>
    <w:p>
      <w:pPr>
        <w:pStyle w:val="SourceNote"/>
      </w:pPr>
      <w:r>
        <w:rPr>
          <w:b/>
        </w:rPr>
        <w:t>Available abstract (not full text):</w:t>
      </w:r>
      <w:r>
        <w:t xml:space="preserve"> Europe's electricity transmission expansion suffers many delays, despite its significance for integrating renewable electricity. A hydrogen network reusing the existing gas network could not only help to supply the demand for low-emission fuels but could also balance variations in wind and solar energies across the continent and thus avoid power grid expansion. Our investigation varies the allowed expansion of electricity and hydrogen grids in net-zero CO 2 scenarios for a sector-coupled European energy system, capturing transmission bottlenecks, renewable supply and demand variability, and pipeline retrofitting and geological storage potentials. We find that a hydrogen network connecting regions with low-cost and abundant renewable potentials to demand centers, electrofuel production, and cavern storage sites reduces system costs by up to 26 bn€/a (3.4%). Although expanding both networks together can achieve the largest cost reductions, by 9.9%, the expansion of neither is essential for a net-zero system as long as higher costs can be accepted and flexibility options allow managing transmission bottlenecks.</w:t>
      </w:r>
    </w:p>
    <w:p>
      <w:pPr/>
      <w:r>
        <w:rPr>
          <w:b/>
        </w:rPr>
        <w:t>POSSIBLE 2023:</w:t>
      </w:r>
      <w:r>
        <w:t xml:space="preserve"> The land sector in the low carbon emission strategies in the European Union: role and future expectations — https://doi.org/10.1080/14693062.2023.2273948</w:t>
      </w:r>
    </w:p>
    <w:p>
      <w:pPr/>
      <w:r>
        <w:rPr>
          <w:b/>
        </w:rPr>
        <w:t>Shared claim-specific concepts:</w:t>
      </w:r>
      <w:r>
        <w:t xml:space="preserve"> emission, energy, sector, but, long-term, mitigation; EU scope visible. This is a provisional connection, not an outcome finding.</w:t>
      </w:r>
    </w:p>
    <w:p>
      <w:pPr>
        <w:pStyle w:val="SourceNote"/>
      </w:pPr>
      <w:r>
        <w:rPr>
          <w:b/>
        </w:rPr>
        <w:t>Available abstract (not full text):</w:t>
      </w:r>
      <w:r>
        <w:t xml:space="preserve"> The Land-Use, Land-Use Change and Forestry sector (LULUCF) role is of critical importance in contributing to the ambitious targets set by the European Union (EU) to reduce by 55% net greenhouse gas (GHG) emissions by 2030, compared to 1990 levels, and to become carbon neutral by 2050. The EU LULUCF regulation, approved in 2023, sets out binding targets for each individual Member State to be achieved by 2030, totaling 310 MtCO2e of net removals for the whole EU. However, it remains poorly understood to what extent the EU LULUCF climate target matches with the Member States’ strategies. The alignment between the EU governance and its Member States’ visions for the long-term will determine the achievement of the climate targets. The objective of this study is to understand the LULUCF expected contribution to the EU’s 2030 and 2050 climate goals. In doing so, we explored the European and country-level visions of LULUCF with respect to climate change mitigation and adaptation, as expressed in their Long-Term Strategies (LTSs) and national projections; we evaluated whether national level projections for LULUCF are aligned with the EU short and long term targets. We found that most countries’ LTSs envisage policies and measures in the LULUCF sector, however they are, often general and not comprehensive. Furthermore, the majority of countries’ quantitative future projections of GHG emi</w:t>
      </w:r>
    </w:p>
    <w:p>
      <w:pPr/>
      <w:r>
        <w:rPr>
          <w:b/>
        </w:rPr>
        <w:t>POSSIBLE 2023:</w:t>
      </w:r>
      <w:r>
        <w:t xml:space="preserve"> Investigating pathways to a net-zero emissions building sector in the European Union: what role for the energy efficiency first principle? — https://doi.org/10.1007/s12053-023-10100-0</w:t>
      </w:r>
    </w:p>
    <w:p>
      <w:pPr/>
      <w:r>
        <w:rPr>
          <w:b/>
        </w:rPr>
        <w:t>Shared claim-specific concepts:</w:t>
      </w:r>
      <w:r>
        <w:t xml:space="preserve"> reductions, energy, sector; EU scope visible. This is a provisional connection, not an outcome finding.</w:t>
      </w:r>
    </w:p>
    <w:p>
      <w:pPr>
        <w:pStyle w:val="SourceNote"/>
      </w:pPr>
      <w:r>
        <w:rPr>
          <w:b/>
        </w:rPr>
        <w:t>Available abstract (not full text):</w:t>
      </w:r>
      <w:r>
        <w:t xml:space="preserve"> Abstract European Union (EU) legislation is increasingly embracing the energy efficiency first (EE1st) principle. This principle seeks to prioritise energy efficiency measures whenever these involve lower costs to society than generators, networks and other energy supply options while achieving the same outcomes. This study contributes to the quantitative evidence on the relevance of EE1st by modelling the impact of moderate to ambitious end-use energy efficiency measures on energy supply and the associated system cost under a net-zero greenhouse gas emissions constraint by 2050. These measures focus on the EU building sector and include both building retrofits (e.g. wall insulation) and efficient products (e.g. lighting). The results indicate that implementing more ambitious energy saving measures reduces the total electricity, heat and hydrogen capacities needed to achieve the net-zero target. Reducing energy use in buildings by at least 21% between 2020 and 2050 is essential to avoid excessive energy supply costs. This requires actions that go well beyond business-as-usual trends. Reductions of around 30% could be justified on the grounds of (i) high fossil fuel prices and (ii) multiple impacts (e.g. health benefits). Overall, the outcomes provide reasonable justification for the EE1st principle. To put the principle into practice, policy actions such as doubling building re</w:t>
      </w:r>
    </w:p>
    <w:p>
      <w:pPr>
        <w:pStyle w:val="Heading2"/>
      </w:pPr>
      <w:r>
        <w:t>705. Environmental and resource burdens associated with low carbon, more electric transition pathways to 2050: Footprint components from carbon emissions and land use to waste arisings and water consumption</w:t>
      </w:r>
    </w:p>
    <w:p>
      <w:pPr>
        <w:pStyle w:val="SourceNote"/>
      </w:pPr>
      <w:r>
        <w:rPr>
          <w:b/>
        </w:rPr>
        <w:t>Original source (2019):</w:t>
      </w:r>
      <w:r>
        <w:t xml:space="preserve"> https://doi.org/10.1016/j.glt.2019.01.001</w:t>
      </w:r>
    </w:p>
    <w:p>
      <w:pPr/>
      <w:r>
        <w:t>Original wording (abstract; indexed_source_text_not_full_document_verified): Electricity demand was projected to decrease significantly under the TF pathway by 2050, but its total environmental footprint (EF) was greater than either that under the MR or CC pathways. It has been employed here to estimate the footprints associated with three low carbon, more electric transition pathways for the United Kingdom (UK): described as ‘ Market Rules ’ (MR), ‘ Central Co-ordination ’ (CC) and ‘ Thousand Flowers ’ (TF) respectively.</w:t>
      </w:r>
    </w:p>
    <w:p>
      <w:pPr/>
      <w:r>
        <w:rPr>
          <w:b/>
        </w:rPr>
        <w:t>POSSIBLE 2026:</w:t>
      </w:r>
      <w:r>
        <w:t xml:space="preserve"> Accounting for Income Inequality in Geospatial Electricity Demand Projections under the Shared Socioeconomic Pathways — https://doi.org/10.2139/ssrn.7483169</w:t>
      </w:r>
    </w:p>
    <w:p>
      <w:pPr/>
      <w:r>
        <w:rPr>
          <w:b/>
        </w:rPr>
        <w:t>Shared claim-specific concepts:</w:t>
      </w:r>
      <w:r>
        <w:t xml:space="preserve"> electricity, pathways;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Accounting for Income Inequality in Geospatial Electricity Demand Projections under the Shared Socioeconomic Pathways — https://doi.org/10.5281/zenodo.22078601</w:t>
      </w:r>
    </w:p>
    <w:p>
      <w:pPr/>
      <w:r>
        <w:rPr>
          <w:b/>
        </w:rPr>
        <w:t>Shared claim-specific concepts:</w:t>
      </w:r>
      <w:r>
        <w:t xml:space="preserve"> electricity, pathway, total, pathways, transition; EU scope not established. This is a provisional connection, not an outcome finding.</w:t>
      </w:r>
    </w:p>
    <w:p>
      <w:pPr>
        <w:pStyle w:val="SourceNote"/>
      </w:pPr>
      <w:r>
        <w:rPr>
          <w:b/>
        </w:rPr>
        <w:t>Available abstract (not full text):</w:t>
      </w:r>
      <w:r>
        <w:t xml:space="preserve"> These files represent the output of the Geospatial Residential Electricity Demand under Socioeconomic Inequality (GRED-SI) framework for a case study on Namibia. The output is in the format of GeoPackage files for each Shared Socioeconomic Pathway (SSP), ranging from 1 to 5. Each GeoPackage file contains layers for all modelled transition years, ranging from 2025 to 2050 in 5-year intervals. Each populated cell has the following attributes per scenario and year: Population count [capita] Income level [USD/capita] Electricity access status [True/False] Electrification class [0: unelectrified, 1: previously electrified, 2: newly electrified] Average residential electricity demand [kWh/capita] Total residential electricity demand [kWh] Multi-tier framework access tier [1-5]</w:t>
      </w:r>
    </w:p>
    <w:p>
      <w:pPr/>
      <w:r>
        <w:rPr>
          <w:b/>
        </w:rPr>
        <w:t>POSSIBLE 2026:</w:t>
      </w:r>
      <w:r>
        <w:t xml:space="preserve"> Photovoltaics at home: Current status, future pathways, and impacts on electricity demand — https://doi.org/10.66506/essp.4-187-26</w:t>
      </w:r>
    </w:p>
    <w:p>
      <w:pPr/>
      <w:r>
        <w:rPr>
          <w:b/>
        </w:rPr>
        <w:t>Shared claim-specific concepts:</w:t>
      </w:r>
      <w:r>
        <w:t xml:space="preserve"> electricity, pathways; EU scope visible. This is a provisional connection, not an outcome finding.</w:t>
      </w:r>
    </w:p>
    <w:p>
      <w:pPr>
        <w:pStyle w:val="SourceNote"/>
      </w:pPr>
      <w:r>
        <w:rPr>
          <w:b/>
        </w:rPr>
        <w:t>Available abstract (not full text):</w:t>
      </w:r>
      <w:r>
        <w:t xml:space="preserve"> Peer-reviewed paper 4-187-26 Rooftop photovoltaic (RPV) panels are becoming increasingly common in Europe. Public subsidies, declining technology costs, and attractive feed-in tariffs have helped to leverage this technology. In France, national-level statistics based on peak power are regularly updated by the French distribution system operator and other official bodies. However, they only offer a partial picture, as many variables needed to create accurate models are missing. To address this gap, the Base de Données Photovoltaïque (photovoltaic database) (BDPV), an initiative driven by an association of photovoltaic panel owners, collects comprehensive data on thousands of installations (13,777). While this database offers valuable insights, it relies on a voluntary basis and thus cannot guarantee statistical representativeness. In this paper, we compared and cross-referenced several data sources to create a consolidated representation of the stock of French residential RPV installations, including key variables required for modelling photovoltaic production (peak power, tilt angle, orientation). A photovoltaic model suitable for this level of detail was then developed and validated against the empirical daily production data for a sample of 1,000 RPVs from the BDPV. On average, the model exhibits a bias of 16% (NMBE) and a CVRMSE of 32%. Finally, using an initial prospective </w:t>
      </w:r>
    </w:p>
    <w:p>
      <w:pPr/>
      <w:r>
        <w:rPr>
          <w:b/>
        </w:rPr>
        <w:t>POSSIBLE 2026:</w:t>
      </w:r>
      <w:r>
        <w:t xml:space="preserve"> Pathways to meeting growing electricity demand through expanding customer choice: a review of emerging hybrid power choice policies and practices — https://doi.org/10.3389/fsuep.2026.1766514</w:t>
      </w:r>
    </w:p>
    <w:p>
      <w:pPr/>
      <w:r>
        <w:rPr>
          <w:b/>
        </w:rPr>
        <w:t>Shared claim-specific concepts:</w:t>
      </w:r>
      <w:r>
        <w:t xml:space="preserve"> electricity, pathways, here, estimate, united; EU scope not established. This is a provisional connection, not an outcome finding.</w:t>
      </w:r>
    </w:p>
    <w:p>
      <w:pPr>
        <w:pStyle w:val="SourceNote"/>
      </w:pPr>
      <w:r>
        <w:rPr>
          <w:b/>
        </w:rPr>
        <w:t>Available abstract (not full text):</w:t>
      </w:r>
      <w:r>
        <w:t xml:space="preserve"> State policies determine the degree to which commercial and industrial electricity customers can choose specified power supplies in the United States. Policies that enable customer choice have helped customers to manage electricity costs and achieve sustainability objectives. Customer choice could also mitigate the risk of increasing electricity demand leading to higher retail electricity prices. Here, our objective is to document how state-level policies have resulted in varying degrees of power choice in the United States. Unlike previous work that has focused on nationwide trends or in markets with ample customer choice, we focus on 18 states in the western and southeastern U.S. without wholesale power markets or retail electricity competition. We conducted a narrative review to explore how these states have implemented hybrid policies such as utility green tariffs and direct access provisions that grant customer choice to subsets of commercial and industrial customers. We leverage various public data sources to estimate that commercial and industrial customers procured about 34 million megawatt hours of electricity through hybrid choice pathways in the 18-state sample, representing about 4% of commercial and industrial demand in those states. Hybrid choice enables these customers to achieve sustainability goals, with commercial and industrial customers procuring around 17 m</w:t>
      </w:r>
    </w:p>
    <w:p>
      <w:pPr/>
      <w:r>
        <w:rPr>
          <w:b/>
        </w:rPr>
        <w:t>POSSIBLE 2026:</w:t>
      </w:r>
      <w:r>
        <w:t xml:space="preserve"> Empowering energy consumers in the EU : legal pathways for promoting renewable electricity through demand-side management — https://openalex.org/W7125460656</w:t>
      </w:r>
    </w:p>
    <w:p>
      <w:pPr/>
      <w:r>
        <w:rPr>
          <w:b/>
        </w:rPr>
        <w:t>Shared claim-specific concepts:</w:t>
      </w:r>
      <w:r>
        <w:t xml:space="preserve"> electricity, pathways, associated, three, transition; EU scope visible. This is a provisional connection, not an outcome finding.</w:t>
      </w:r>
    </w:p>
    <w:p>
      <w:pPr>
        <w:pStyle w:val="SourceNote"/>
      </w:pPr>
      <w:r>
        <w:rPr>
          <w:b/>
        </w:rPr>
        <w:t>Available abstract (not full text):</w:t>
      </w:r>
      <w:r>
        <w:t xml:space="preserve"> Facilitating the uptake of renewable electricity (RES-E) is central to advancing the sustainable energy transition and mitigating climate change. Early policy focused on decarbonizing electricity supply, while energy consumers were largely overlooked and cast as passive recipients of energy and prices. In recent years, however, empowering consumers has emerged as a vital step in transitioning towards an electricity system with high penetration of renewables. This book explores how the law on electricity demand-side management (DSM) operationalizes energy consumer empowerment by reshaping electricity consumption patterns. Through DSM measures, consumers are empowered to provide demand flexibility – crucial for integrating variable renewables – and to increase the share of renewables by purchasing RES-E or engaging in renewables generation. Focusing on EU law, this research examines key legal issues associated with developing an implementation framework for consumer empowerment within the context of the low-carbon energy transition. This book is based on Dr. Ting Chen’s PhD dissertation, defended on 19 May 2025. It lies at the intersection of three highly topical issues in EU law: consumer empowerment, electricity market regulation, and the promotion of renewables. Offering a timely contribution to EU energy law scholarship, it also provides valuable insights for other jurisdicti</w:t>
      </w:r>
    </w:p>
    <w:p>
      <w:pPr/>
      <w:r>
        <w:rPr>
          <w:b/>
        </w:rPr>
        <w:t>POSSIBLE 2026:</w:t>
      </w:r>
      <w:r>
        <w:t xml:space="preserve"> National Assessment of Net Zero Energy Building Adoption in India: Scenario-Based Electricity Demand and Carbon Mitigation Pathways toward 2070 — https://doi.org/10.2139/ssrn.7069017</w:t>
      </w:r>
    </w:p>
    <w:p>
      <w:pPr/>
      <w:r>
        <w:rPr>
          <w:b/>
        </w:rPr>
        <w:t>Shared claim-specific concepts:</w:t>
      </w:r>
      <w:r>
        <w:t xml:space="preserve"> electricity, pathways, carbon;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A system-level assessment of geological hydrogen storage, renewable generation and demand prediction for clean electricity pathways: A Great Britain case study — https://doi.org/10.1016/j.apenergy.2026.128171</w:t>
      </w:r>
    </w:p>
    <w:p>
      <w:pPr/>
      <w:r>
        <w:rPr>
          <w:b/>
        </w:rPr>
        <w:t>Shared claim-specific concepts:</w:t>
      </w:r>
      <w:r>
        <w:t xml:space="preserve"> electricity, but, pathways, here, low; EU scope not established. This is a provisional connection, not an outcome finding.</w:t>
      </w:r>
    </w:p>
    <w:p>
      <w:pPr>
        <w:pStyle w:val="SourceNote"/>
      </w:pPr>
      <w:r>
        <w:rPr>
          <w:b/>
        </w:rPr>
        <w:t>Available abstract (not full text):</w:t>
      </w:r>
      <w:r>
        <w:t xml:space="preserve"> High variable renewable energy (VRE) systems require flexibility that can maintain adequacy during multi-day renewable shortfalls while absorbing periods of surplus generation. This study evaluates the role of geological hydrogen storage in future Great Britain electricity pathways using a time-resolved dispatch model that combines historical half-hourly generation and demand data with National Energy System Operator (NESO) aligned capacity, storage and electrified-demand scenarios for 2030–2040. The model explicitly represents electrolysis, underground hydrogen storage, hydrogen storage losses and hydrogen-to-power dispatch, and compares baseline and accelerated deployment pathways. Results show that accelerated hydrogen deployment has a stronger adequacy benefit than accelerated renewable and battery deployment alone. In 2030, all acceleration pathways reduce the unabated gas generation share from 4.61% to approximately 1%. However, by 2040, accelerated hydrogen and electrolysis can reduce the remaining peak unabated gas requirement to zero, whereas accelerated renewables and batteries still leave approximately 15 GW. Hydrogen-system performance is strongly governed by storage availability. Under NESO and Low storage scenarios, storage saturation causes up to 60 TWh of hydrogen production to remain unstored in 2035 across pathways. In contrast, the High storage scenario elimi</w:t>
      </w:r>
    </w:p>
    <w:p>
      <w:pPr/>
      <w:r>
        <w:rPr>
          <w:b/>
        </w:rPr>
        <w:t>POSSIBLE 2026:</w:t>
      </w:r>
      <w:r>
        <w:t xml:space="preserve"> Capturing the Actual Electricity Demand Considering Meteorological Impacts: Electricity Demand Trends in FY2020-2024 — https://doi.org/10.1541/ieejpes.146.205</w:t>
      </w:r>
    </w:p>
    <w:p>
      <w:pPr/>
      <w:r>
        <w:rPr>
          <w:b/>
        </w:rPr>
        <w:t>Shared claim-specific concepts:</w:t>
      </w:r>
      <w:r>
        <w:t xml:space="preserve"> electricity, associated; EU scope not established. This is a provisional connection, not an outcome finding.</w:t>
      </w:r>
    </w:p>
    <w:p>
      <w:pPr>
        <w:pStyle w:val="SourceNote"/>
      </w:pPr>
      <w:r>
        <w:rPr>
          <w:b/>
        </w:rPr>
        <w:t>Available abstract (not full text):</w:t>
      </w:r>
      <w:r>
        <w:t xml:space="preserve"> This study develops a framework to continuously monitor nationwide and regional electricity demand trends after removing weather effects. Using hourly data from April 2019 to March 2025, multiple linear regression models incorporating meteorological and calendar variables estimated “weather-adjusted demand” based on the 30-year climate average (1991-2020). Results show that national demand declined in FY2020 due to COVID-19 impacts, recovered in FY2021, and then declined again from FY2022 onward, with FY2023 and FY2024 both around 3.8% below FY2019 levels. This pattern was consistent with official demand projections and final energy consumption statistics. Regional analysis indicated smaller declines in Kyushu and Okinawa, while most other regions showed decreasing trends compared to FY2019. Regression analysis indicated that weather-adjusted demand was positively associated with the Index of Industrial Production and negatively associated with electricity prices, while a 2023-specific factor also contributed to demand reduction. This study demonstrates the utility of a weather-adjusted demand monitoring framework that enables multi-granular analysis (annual, monthly, hourly) across all supply areas. While the results enhance understanding of recent demand trends, further research and the combination of various insights are needed to fully elucidate the drivers of electricity d</w:t>
      </w:r>
    </w:p>
    <w:p>
      <w:pPr/>
      <w:r>
        <w:rPr>
          <w:b/>
        </w:rPr>
        <w:t>POSSIBLE 2025:</w:t>
      </w:r>
      <w:r>
        <w:t xml:space="preserve"> The duck curve in electricity demand — https://doi.org/10.4337/9781035310371.000120</w:t>
      </w:r>
    </w:p>
    <w:p>
      <w:pPr/>
      <w:r>
        <w:rPr>
          <w:b/>
        </w:rPr>
        <w:t>Shared claim-specific concepts:</w:t>
      </w:r>
      <w:r>
        <w:t xml:space="preserve"> electricity, either, electric, united; EU scope not established. This is a provisional connection, not an outcome finding.</w:t>
      </w:r>
    </w:p>
    <w:p>
      <w:pPr>
        <w:pStyle w:val="SourceNote"/>
      </w:pPr>
      <w:r>
        <w:rPr>
          <w:b/>
        </w:rPr>
        <w:t>Available abstract (not full text):</w:t>
      </w:r>
      <w:r>
        <w:t xml:space="preserve"> The “duck curve” is jargon in the energy industry that refers to a graph having the shape of a duck and showing the amount of power dispatched by the grid across the day. The term appeared in around 2012 and was established by the California Independent System Operator (CAISO) in the United States. It refers to the so-called duck problem that is encountered in economies with high penetration by solar power. Electricity generated from solar power starts decreasing until complete darkness falls, when there is no more sunshine. Unless there are sufficient solar energy storage amendments, the electricity demand at nighttime has to be met with other energy sources, either renewable or nonrenewable ones. The problem with evening times is that at those times demand reaches a peak because household members are at home and in need of electric power to satisfy all household needs.</w:t>
      </w:r>
    </w:p>
    <w:p>
      <w:pPr/>
      <w:r>
        <w:rPr>
          <w:b/>
        </w:rPr>
        <w:t>POSSIBLE 2025:</w:t>
      </w:r>
      <w:r>
        <w:t xml:space="preserve"> Climate crisis, war and pandemic: How weather and global events have shaped UK electricity demand — https://doi.org/10.1016/j.jenvman.2025.126937</w:t>
      </w:r>
    </w:p>
    <w:p>
      <w:pPr/>
      <w:r>
        <w:rPr>
          <w:b/>
        </w:rPr>
        <w:t>Shared claim-specific concepts:</w:t>
      </w:r>
      <w:r>
        <w:t xml:space="preserve"> electricity, carbon; EU scope not established. This is a provisional connection, not an outcome finding.</w:t>
      </w:r>
    </w:p>
    <w:p>
      <w:pPr>
        <w:pStyle w:val="SourceNote"/>
      </w:pPr>
      <w:r>
        <w:rPr>
          <w:b/>
        </w:rPr>
        <w:t>Available abstract (not full text):</w:t>
      </w:r>
      <w:r>
        <w:t xml:space="preserve"> The present study, using high-frequency hourly data from 2009 to 2023, investigates the impacts of weather conditions, carbon prices, COVID-19 pandemic, and the Russia-Ukraine war on electricity demand in the UK. Using a semi-parametric estimation technique - generalised additive models - we find that temperature, carbon prices, and snowfall have a significant non-linear impact on electricity usage. Temperature and electricity demand exhibit a non-linear, U-shaped pattern, with electricity demand decreasing during mild weather and sharply rising during extremely hot or cold weather. Carbon prices moderate the temperature effect on electricity demand, with higher prices reducing this effect. Snowfall and rain increase electricity demand due to additional heating needs. Our analyses also suggest that global events such as the COVID-19 pandemic and the Russia-Ukraine war have strongly affected the trajectory of electricity demand, reflecting broader economic disruptions driven by global and geopolitical events. The results remain consistent after controlling for electricity prices. These findings highlight the importance of adaptive energy policies, including flexible carbon pricing strategies, to effectively manage electricity demand during extreme weather events and geopolitical crises.</w:t>
      </w:r>
    </w:p>
    <w:p>
      <w:pPr/>
      <w:r>
        <w:rPr>
          <w:b/>
        </w:rPr>
        <w:t>POSSIBLE 2025:</w:t>
      </w:r>
      <w:r>
        <w:t xml:space="preserve"> Electricity Demand Characteristics in the Energy Transition Pathway Under the Carbon Neutrality Goal for China — https://doi.org/10.3390/su17041759</w:t>
      </w:r>
    </w:p>
    <w:p>
      <w:pPr/>
      <w:r>
        <w:rPr>
          <w:b/>
        </w:rPr>
        <w:t>Shared claim-specific concepts:</w:t>
      </w:r>
      <w:r>
        <w:t xml:space="preserve"> electricity, decrease, significantly, pathway, pathways, carbon; EU scope not established. This is a provisional connection, not an outcome finding.</w:t>
      </w:r>
    </w:p>
    <w:p>
      <w:pPr>
        <w:pStyle w:val="SourceNote"/>
      </w:pPr>
      <w:r>
        <w:rPr>
          <w:b/>
        </w:rPr>
        <w:t>Available abstract (not full text):</w:t>
      </w:r>
      <w:r>
        <w:t xml:space="preserve"> The energy transition towards achieving carbon neutrality is marked by the decarbonization of the power system and a high degree of electrification in end-use sectors. The decarbonization of the power system primarily relies on large-scale renewable energy, nuclear power, and fossil fuel-based power with carbon capture technologies. This structure of power supply introduces significant uncertainty in electricity supply. Due to the technological progress in end-use sectors and spatial reallocation of industries in China, the load curve and power supply curve is very different today. However, most studies’ analyses of future electricity systems are based on today’s load curve, which could be misleading when seeking to understand future electricity systems. Therefore, it is essential to thoroughly analyze changes in end-use load curves to better align electricity demand with supply. This paper analyzes the characteristics of electricity demand load under China’s future energy transition and economic transformation pathways using the Integrated Energy and Environment Policy Assessment model of China (IPAC). It examines the electricity and energy usage characteristics of various sectors in six typical regions, provides 24-h load curves for two representative days, and evaluates the effectiveness of demand-side response in selected provinces in 2050. The study reveals that, with the </w:t>
      </w:r>
    </w:p>
    <w:p>
      <w:pPr/>
      <w:r>
        <w:rPr>
          <w:b/>
        </w:rPr>
        <w:t>POSSIBLE 2025:</w:t>
      </w:r>
      <w:r>
        <w:t xml:space="preserve"> Supply and Demand Situation and Development Pathway of China's Green Electricity and Green Certificate Markets — https://doi.org/10.1007/978-981-96-2042-5_27</w:t>
      </w:r>
    </w:p>
    <w:p>
      <w:pPr/>
      <w:r>
        <w:rPr>
          <w:b/>
        </w:rPr>
        <w:t>Shared claim-specific concepts:</w:t>
      </w:r>
      <w:r>
        <w:t xml:space="preserve"> electricity, pathway; EU scope not established. This is a provisional connection, not an outcome finding.</w:t>
      </w:r>
    </w:p>
    <w:p>
      <w:pPr>
        <w:pStyle w:val="SourceNote"/>
      </w:pPr>
      <w:r>
        <w:rPr>
          <w:b/>
        </w:rPr>
        <w:t>Available abstract (not full text):</w:t>
      </w:r>
      <w:r>
        <w:t xml:space="preserve"> Unavailable</w:t>
      </w:r>
    </w:p>
    <w:p>
      <w:pPr>
        <w:pStyle w:val="Heading2"/>
      </w:pPr>
      <w:r>
        <w:t>706. European electricity sector decarbonization under different levels of foresight</w:t>
      </w:r>
    </w:p>
    <w:p>
      <w:pPr>
        <w:pStyle w:val="SourceNote"/>
      </w:pPr>
      <w:r>
        <w:rPr>
          <w:b/>
        </w:rPr>
        <w:t>Original source (2019):</w:t>
      </w:r>
      <w:r>
        <w:t xml:space="preserve"> https://doi.org/10.1016/j.renene.2019.02.099</w:t>
      </w:r>
    </w:p>
    <w:p>
      <w:pPr/>
      <w:r>
        <w:t>Original wording (abstract; indexed_source_text_not_full_document_verified): The European Union has set out to reduce the carbon intensity of its electricity generation substantially, as defined in the European Roadmap 2050. Using a CO2 budgetary approach, on the other hand, leads to an even sharper emission reduction in the early periods before 2030, reducing overall costs.</w:t>
      </w:r>
    </w:p>
    <w:p>
      <w:pPr/>
      <w:r>
        <w:rPr>
          <w:b/>
        </w:rPr>
        <w:t>POSSIBLE 2026:</w:t>
      </w:r>
      <w:r>
        <w:t xml:space="preserve"> Carbon reduction commitment, carbon emission intensity, and financial default risk: An empirical analysis of European firms — https://doi.org/10.1177/0958305x261481733</w:t>
      </w:r>
    </w:p>
    <w:p>
      <w:pPr/>
      <w:r>
        <w:rPr>
          <w:b/>
        </w:rPr>
        <w:t>Shared claim-specific concepts:</w:t>
      </w:r>
      <w:r>
        <w:t xml:space="preserve"> union, set, reduce, carbon, intensity, emission; EU scope visible. This is a provisional connection, not an outcome finding.</w:t>
      </w:r>
    </w:p>
    <w:p>
      <w:pPr>
        <w:pStyle w:val="SourceNote"/>
      </w:pPr>
      <w:r>
        <w:rPr>
          <w:b/>
        </w:rPr>
        <w:t>Available abstract (not full text):</w:t>
      </w:r>
      <w:r>
        <w:t xml:space="preserve"> This study uses publicly listed companies headquartered in Europe (including the European Union and the United Kingdom) as a sample of 3299 observations to explore the relationship between corporate carbon reduction commitments, carbon emissions intensity, and financial default risk. Carbon reduction commitment is one of the climate transition risks (CTRs) faced by companies. This study uses a dummy variable representing whether a company has set a carbon reduction target percentage, based on data from the Refinitiv Eikon database, as a proxy for carbon reduction commitment. The data covers the period from 2016 to 2022. The study employs Altman's Z-score, Altman's modified Z’’-score (ZZ model), and Zmijewski's ZM-score models, with variable transformations to measure financial default risk. The empirical results show that higher carbon emissions intensity in Scope 1 and Scope 2 correlates with higher financial default risk. Companies with carbon reduction commitments have lower financial default risk. Further analysis using the interaction term between carbon emissions intensity and carbon reduction commitment reveals that for companies with higher carbon emissions intensity in Scope 1 and Scope 2, carbon reduction commitments have a moderating effect, reducing their financial default risk. This suggests that companies with targets to reduce greenhouse gas emissions can better </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union, set, carbon, intensity, co2, approach;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2026:</w:t>
      </w:r>
      <w:r>
        <w:t xml:space="preserve"> Land carbon sinks in the European Union are not keeping pace with carbon neutrality expectations — https://doi.org/10.1007/s43979-026-00185-8</w:t>
      </w:r>
    </w:p>
    <w:p>
      <w:pPr/>
      <w:r>
        <w:rPr>
          <w:b/>
        </w:rPr>
        <w:t>Shared claim-specific concepts:</w:t>
      </w:r>
      <w:r>
        <w:t xml:space="preserve"> union, reduce, carbon, substantially, reduction; EU scope visible. This is a provisional connection, not an outcome finding.</w:t>
      </w:r>
    </w:p>
    <w:p>
      <w:pPr>
        <w:pStyle w:val="SourceNote"/>
      </w:pPr>
      <w:r>
        <w:rPr>
          <w:b/>
        </w:rPr>
        <w:t>Available abstract (not full text):</w:t>
      </w:r>
      <w:r>
        <w:t xml:space="preserve"> Abstract The European Union has substantially reduced greenhouse-gas emissions since 1990, yet the land use, land-use change and forestry (LULUCF) sink has not strengthened in parallel. The EU-27 LULUCF balance was approximately −231 MtCO₂e in 2024, while the latest Member State projections indicate a remaining gap of 40–55 MtCO₂e to the binding −310 MtCO₂e target for 2030. Here, we synthesise recent assessments to examine the drivers of this weakening in the land carbon sink and their implications for the effectiveness of climate mitigation policy. Declining forest growth, increased harvesting, climate-driven disturbances, and rising biomass demand reduce net carbon uptake, with one 2040 GLOBIOM sensitivity analysis indicating an approximately 100 MtCO₂e reduction in the LULUCF sink under an additional 20 Mtoe of woody-biomass demand. Concurrently, the EU inventory reported 52.7% uncertainty in the 2022 LULUCF level and 29.4% uncertainty in its trend, while important soil-carbon dynamics remain incompletely represented. These findings indicate that current climate policy frameworks implicitly assume stable, scalable, and rapidly deliverable land-based removals, whereas land carbon sinks are dynamic, disturbance-sensitive, and constrained by biophysical limits. Addressing this mismatch requires land-removal plans to be evaluated through dependable removal capacity, combining ex</w:t>
      </w:r>
    </w:p>
    <w:p>
      <w:pPr/>
      <w:r>
        <w:rPr>
          <w:b/>
        </w:rPr>
        <w:t>POSSIBLE 2026:</w:t>
      </w:r>
      <w:r>
        <w:t xml:space="preserve"> Digital Infrastructure as a Catalyst for Low-Carbon Development: A Panel Data Analysis of the European Union — https://doi.org/10.47852/bonviewglce62029727</w:t>
      </w:r>
    </w:p>
    <w:p>
      <w:pPr/>
      <w:r>
        <w:rPr>
          <w:b/>
        </w:rPr>
        <w:t>Shared claim-specific concepts:</w:t>
      </w:r>
      <w:r>
        <w:t xml:space="preserve"> union, reduce, carbon, intensity, reducing; EU scope visible. This is a provisional connection, not an outcome finding.</w:t>
      </w:r>
    </w:p>
    <w:p>
      <w:pPr>
        <w:pStyle w:val="SourceNote"/>
      </w:pPr>
      <w:r>
        <w:rPr>
          <w:b/>
        </w:rPr>
        <w:t>Available abstract (not full text):</w:t>
      </w:r>
      <w:r>
        <w:t xml:space="preserve"> This study examines how digital infrastructure expansion shaped carbon intensity across the EU-27 member states from 2015 to 2021. Using a Fixed Effects panel model with White Diagonal robust standard errors, the research tests for an Environmental Kuznets Curve (EKC) pattern in digital adoption. The results of the empirical analysis confirm an inverted U-shaped relationship between fixed broadband penetration and carbon intensity, reaching an inflection threshold at approximately 24.8 subscriptions per 100 residents. Initial infrastructure build-outs raise emissions due to added power requirements. Once networks cross this 24.8 threshold, structural efficiency gains and automated energy monitoring reduce overall carbon intensity. These findings indicate that while early-stage digital expansion initially correlates with higher energy demand, advanced digitalization is associated with lower carbon intensity, reflecting structural efficiency and better energy control. Furthermore, the analysis highlights the key contribution of renewable energy and economic development in reducing the EU's environmental impact. Additional channels and heterogeneity analyses indicate that broadband connectivity is positively associated with renewable-energy deployment and that its decarbonization effect is significantly stronger in countries with higher digital maturity. These findings support a c</w:t>
      </w:r>
    </w:p>
    <w:p>
      <w:pPr/>
      <w:r>
        <w:rPr>
          <w:b/>
        </w:rPr>
        <w:t>POSSIBLE 2025:</w:t>
      </w:r>
      <w:r>
        <w:t xml:space="preserve"> Carbon Emission Intensity and Investment Efficiency in the European Union: The Moderating Role of Analyst Coverage and Environmental Innovation — https://doi.org/10.30784/epfad.1723582</w:t>
      </w:r>
    </w:p>
    <w:p>
      <w:pPr/>
      <w:r>
        <w:rPr>
          <w:b/>
        </w:rPr>
        <w:t>Shared claim-specific concepts:</w:t>
      </w:r>
      <w:r>
        <w:t xml:space="preserve"> union, set, carbon, intensity, emission; EU scope visible. This is a provisional connection, not an outcome finding.</w:t>
      </w:r>
    </w:p>
    <w:p>
      <w:pPr>
        <w:pStyle w:val="SourceNote"/>
      </w:pPr>
      <w:r>
        <w:rPr>
          <w:b/>
        </w:rPr>
        <w:t>Available abstract (not full text):</w:t>
      </w:r>
      <w:r>
        <w:t xml:space="preserve"> This study examines the impact of carbon emission intensity (CEI) on investment efficiency (IE) as well as the moderating role of analyst coverage and environmental innovation in this relationship for firms operating in the European Union (EU). A panel data set consisting of 5,501 observations of 931 firms for the period 2008-2023 is used. Empirical analyses conducted using the OLS method estimated with Driscoll-Kraay standard errors show that CEI has an overall negative effect on IE, and this effect is particularly pronounced for firms that over-invest. These main findings are robust to alternative investment efficiency measures and alternative estimation methodologies. In addition, analyst coverage and environmental innovation exacerbate the negative effect of CEI on IE. Last, heterogeneity analyses indicate that the negative effect of CEI on IE is stronger for firms with lower levels of green revenue and those not participating in the Emissions Trading System (ETS). The study reveals that policies to increase IE should be designed by taking into account firm- and sector-level conditions.</w:t>
      </w:r>
    </w:p>
    <w:p>
      <w:pPr/>
      <w:r>
        <w:rPr>
          <w:b/>
        </w:rPr>
        <w:t>POSSIBLE 2025:</w:t>
      </w:r>
      <w:r>
        <w:t xml:space="preserve"> Land-based carbon neutrality efficiency in the European Union — https://doi.org/10.1186/s13021-025-00345-w</w:t>
      </w:r>
    </w:p>
    <w:p>
      <w:pPr/>
      <w:r>
        <w:rPr>
          <w:b/>
        </w:rPr>
        <w:t>Shared claim-specific concepts:</w:t>
      </w:r>
      <w:r>
        <w:t xml:space="preserve"> union, carbon, emission, reduction; EU scope visible. This is a provisional connection, not an outcome finding.</w:t>
      </w:r>
    </w:p>
    <w:p>
      <w:pPr>
        <w:pStyle w:val="SourceNote"/>
      </w:pPr>
      <w:r>
        <w:rPr>
          <w:b/>
        </w:rPr>
        <w:t>Available abstract (not full text):</w:t>
      </w:r>
      <w:r>
        <w:t xml:space="preserve"> The European Union (EU) has promised to achieve net-zero emissions via carbon neutrality by 2050. The aim of this research is to evaluate carbon neutrality efficiencies on forest and agricultural lands in the EU. The study finds that carbon neutrality efficiency can be computed by a multiplication of carbon emissions efficiency, carbon sink efficiency, and the target of carbon neutrality. We further divide the EU countries into a green group with continuous carbon emission reduction, a gray group with a continuous carbon emission increase, and a mixed group without a continuous carbon emission reduction or increase. The findings are as follows. (i) Carbon neutrality management is less of a focus than carbon emission management. (ii) There is a trade-off relationship between forest carbon neutrality efficiency and agricultural land efficiency. (iii) Countries in the green group exhibit great heterogeneity in their GDP than those in the gray and mixed groups. (iv) The green group countries exhibit heterogeneous economic structures, and their carbon neutrality performance reflects the overall pattern observed in the EU. The EU aims for carbon neutrality by 2050. This study assesses the efficiency of forest and agricultural lands in achieving this goal, based on emissions efficiency, carbon sink efficiency, and the target. The EU is divided into three groups: green (emission reduct</w:t>
      </w:r>
    </w:p>
    <w:p>
      <w:pPr/>
      <w:r>
        <w:rPr>
          <w:b/>
        </w:rPr>
        <w:t>POSSIBLE 2025:</w:t>
      </w:r>
      <w:r>
        <w:t xml:space="preserve"> Carbon Policies and Liner Speed Optimization: Comparisons of Carbon Trading and Carbon Tax Combined with the European Union Emissions Trading Scheme — https://doi.org/10.3390/jmse13020204</w:t>
      </w:r>
    </w:p>
    <w:p>
      <w:pPr/>
      <w:r>
        <w:rPr>
          <w:b/>
        </w:rPr>
        <w:t>Shared claim-specific concepts:</w:t>
      </w:r>
      <w:r>
        <w:t xml:space="preserve"> union, reduce, carbon, defined, other, reduction; EU scope visible. This is a provisional connection, not an outcome finding.</w:t>
      </w:r>
    </w:p>
    <w:p>
      <w:pPr>
        <w:pStyle w:val="SourceNote"/>
      </w:pPr>
      <w:r>
        <w:rPr>
          <w:b/>
        </w:rPr>
        <w:t>Available abstract (not full text):</w:t>
      </w:r>
      <w:r>
        <w:t xml:space="preserve"> This paper explores how optimizing vessel speeds can help reduce carbon emissions in the maritime industry. Focusing on liner shipping routes between China and Europe, it examines how carbon pricing mechanisms, including carbon taxes and emissions trading under the European Union Emissions Trading Scheme (EU ETS), impact operational costs and emissions reduction. With the use of advanced optimization methods, such as the Non-dominated Sorting Genetic Algorithm-II (NSGA-II) and the Technique for Order of Preference by Similarity to an Ideal Solution (TOPSIS), this research explores the balance between adjusting vessel speeds and minimizing emissions. The findings show that shipping companies on the China–Europe route can reduce the financial strain of carbon pricing by carefully managing speeds and voyage times. This study compares two scenarios of carbon tax policy and carbon trading rights in terms of voyage costs and carbon emissions. The results of this comparison based on the given parameters indicate a reduction of 1124 tons of carbon emissions with the carbon tax policy scenario, while the carbon trading rights scenario allows for more voyages yearly (5.24 vs. 5.30). This demonstrates one policy being more economical, while the other is also more environmentally efficient. These insights support the development of strategies that align environmental goals with economic pr</w:t>
      </w:r>
    </w:p>
    <w:p>
      <w:pPr/>
      <w:r>
        <w:rPr>
          <w:b/>
        </w:rPr>
        <w:t>POSSIBLE 2025:</w:t>
      </w:r>
      <w:r>
        <w:t xml:space="preserve"> Value Added Tax in European Union — https://doi.org/10.61801/ouaess.2024.2.69</w:t>
      </w:r>
    </w:p>
    <w:p>
      <w:pPr/>
      <w:r>
        <w:rPr>
          <w:b/>
        </w:rPr>
        <w:t>Shared claim-specific concepts:</w:t>
      </w:r>
      <w:r>
        <w:t xml:space="preserve"> union, set, out, approach; EU scope visible. This is a provisional connection, not an outcome finding.</w:t>
      </w:r>
    </w:p>
    <w:p>
      <w:pPr>
        <w:pStyle w:val="SourceNote"/>
      </w:pPr>
      <w:r>
        <w:rPr>
          <w:b/>
        </w:rPr>
        <w:t>Available abstract (not full text):</w:t>
      </w:r>
      <w:r>
        <w:t xml:space="preserve"> EU member states he was trying through reforms to create a system as adaptable as possible to future situations and as much as possible the full.Therefore, we find useful an analysis on the efficiency of collecting value tax added to highlight the yield of the tax mechanism.The approach to this problem started from the recent changes to this type of tax and the importance it has among all citizens of the Member States to bear this tax and because it is the largest source of income from indirect taxes.In our research, we set out to focus more on two indicators of efficiency of the VAT at the member states of the European Union, namely: the indicator for assessment of the efficiency of the VAT (VRR) and the indicator of the VAT collection deficit in percentage treatment (VAT gap).</w:t>
      </w:r>
    </w:p>
    <w:p>
      <w:pPr/>
      <w:r>
        <w:rPr>
          <w:b/>
        </w:rPr>
        <w:t>POSSIBLE 2025:</w:t>
      </w:r>
      <w:r>
        <w:t xml:space="preserve"> Stone on European Union Design Law — https://doi.org/10.1093/9780191880261.001.0001</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Abstract Stone on European Union Design Law: A Practitioners’ Guide provides a detailed and thorough review of EU-wide law protecting the appearance of a product. It sets out the history of the development of the law from the 1960s to the 2024 amendments, examining the provision of EU-wide registered designs (REUDs or previously RCDs) which provide up to 25 years protection from designs which create the same overall impression on the informed user, and the unregistered EU design (previously unregistered Community design) lasting three years for designs first disclosed within the EU (infringement of unregistered EU designs also requires proof of copying). The book examines the definitions of ‘design’ and ‘product’, the requirements for validity (novelty and individual character), as well as the prior designs to be considered. Other bases for invalidity are also considered. Infringement is discussed, as well as defences to infringement and the remedies available under the Design Regulation and the Enforcement Directive. The jurisdiction of EU design courts (formerly Community design courts) is discussed. The differences between the Regulation and the Directive are also set out. The text refers to all the major decisions of the Court of Justice and General Court, as well as significant decisions from the EUIPO and courts in member states.</w:t>
      </w:r>
    </w:p>
    <w:p>
      <w:pPr/>
      <w:r>
        <w:rPr>
          <w:b/>
        </w:rPr>
        <w:t>POSSIBLE 2024:</w:t>
      </w:r>
      <w:r>
        <w:t xml:space="preserve"> The European Union and the Wider Europe — https://doi.org/10.1017/9781009230322.017</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r>
        <w:rPr>
          <w:b/>
        </w:rPr>
        <w:t>POSSIBLE 2024:</w:t>
      </w:r>
      <w:r>
        <w:t xml:space="preserve"> European Union Law — https://doi.org/10.1017/9781009230322</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r>
        <w:rPr>
          <w:b/>
        </w:rPr>
        <w:t>POSSIBLE 2024:</w:t>
      </w:r>
      <w:r>
        <w:t xml:space="preserve"> European Integration and the Treaties on European Union — https://doi.org/10.1017/9781009230322.008</w:t>
      </w:r>
    </w:p>
    <w:p>
      <w:pPr/>
      <w:r>
        <w:rPr>
          <w:b/>
        </w:rPr>
        <w:t>Shared claim-specific concepts:</w:t>
      </w:r>
      <w:r>
        <w:t xml:space="preserve"> union, set, out, other; EU scope visible. This is a provisional connection, not an outcome finding.</w:t>
      </w:r>
    </w:p>
    <w:p>
      <w:pPr>
        <w:pStyle w:val="SourceNote"/>
      </w:pPr>
      <w:r>
        <w:rPr>
          <w:b/>
        </w:rPr>
        <w:t>Available abstract (not full text):</w:t>
      </w:r>
      <w:r>
        <w:t xml:space="preserve"> This new edition sets out an account of EU law that includes not only that law's established features, but captures its development in recent years and the challenges facing the European Union. With dedicated new chapters on climate change, data protection, free movement of capital, and the EU's relations with other European States, topics such as the Union's response to covid-19 and the Ukraine crisis are addressed in detail. As with previous editions, the new edition integrates case law, legislation, academic materials and wider policy contributions in a way that broadens students' understanding of the law and prompts greater critical reflection on the limits, challenges, and possibilities of EU law. It seeks to set out EU law not so much as a series of laws to be learned but as something that stimulates heavy debate about some of the most contentious and significant issues of our time.</w:t>
      </w:r>
    </w:p>
    <w:p>
      <w:pPr>
        <w:pStyle w:val="Heading2"/>
      </w:pPr>
      <w:r>
        <w:t>707. Flexible electricity generation, grid exchange and storage for the transition to a 100% renewable energy system in Europe</w:t>
      </w:r>
    </w:p>
    <w:p>
      <w:pPr>
        <w:pStyle w:val="SourceNote"/>
      </w:pPr>
      <w:r>
        <w:rPr>
          <w:b/>
        </w:rPr>
        <w:t>Original source (2019):</w:t>
      </w:r>
      <w:r>
        <w:t xml:space="preserve"> https://doi.org/10.1016/j.renene.2019.02.077</w:t>
      </w:r>
    </w:p>
    <w:p>
      <w:pPr/>
      <w:r>
        <w:t>Original wording (abstract; indexed_source_text_not_full_document_verified): Two transition pathways towards a 100% renewable energy (RE) power sector by 2050 are simulated for Europe using the LUT Energy System Transition model. Results of the optimisation suggest that the levelised cost of electricity could fall from the current 69 €/MWh to 56 €/MWh in the Regions scenario and 51 €/MWh in the Area scenario through the adoption of low cost, flexible RE generation and energy storage.</w:t>
      </w:r>
    </w:p>
    <w:p>
      <w:pPr/>
      <w:r>
        <w:rPr>
          <w:b/>
        </w:rPr>
        <w:t>POSSIBLE 2026:</w:t>
      </w:r>
      <w:r>
        <w:t xml:space="preserve"> European Circular Economy Structural Typology Based on Multivariate Analysis of Latent Dimensions and Transition Pathways — https://doi.org/10.1002/sd.71629</w:t>
      </w:r>
    </w:p>
    <w:p>
      <w:pPr/>
      <w:r>
        <w:rPr>
          <w:b/>
        </w:rPr>
        <w:t>Shared claim-specific concepts:</w:t>
      </w:r>
      <w:r>
        <w:t xml:space="preserve"> two, transition, pathways, energy; EU scope visible. This is a provisional connection, not an outcome finding.</w:t>
      </w:r>
    </w:p>
    <w:p>
      <w:pPr>
        <w:pStyle w:val="SourceNote"/>
      </w:pPr>
      <w:r>
        <w:rPr>
          <w:b/>
        </w:rPr>
        <w:t>Available abstract (not full text):</w:t>
      </w:r>
      <w:r>
        <w:t xml:space="preserve"> ABSTRACT Transition towards a circular economy has become a strategic priority for the European Union, although Member States continue to exhibit substantial differences in economic performance, resource efficiency and circular economy implementation. Understanding these structural differences is essential for designing effective policy interventions. This study identifies latent dimensions of circular economy performance and develops a statistically validated structural typology of circular economy transition pathways across the EU‐27. The analysis uses a balanced panel of 378 country‐year observations covering 27 European Union Member States during 2010–2023, based on six harmonised Eurostat indicators. Following logarithmic transformation and Z ‐score standardisation, the analytical framework combines Principal Component Analysis, Horn's Parallel Analysis, K‐means++ clustering, cluster validation criteria (Elbow, Silhouette, Calinski–Harabasz and Davies–Bouldin indices), post hoc statistical tests, and temporal robustness analysis. Two latent dimensions explain 79.53% of total variance, representing economic and resource‐energy performance and circular economy transition intensity. These dimensions identify four statistically distinct country groups, revealing persistent structural differences in the way Member States combine productive efficiency with circular economy imple</w:t>
      </w:r>
    </w:p>
    <w:p>
      <w:pPr/>
      <w:r>
        <w:rPr>
          <w:b/>
        </w:rPr>
        <w:t>POSSIBLE 2026:</w:t>
      </w:r>
      <w:r>
        <w:t xml:space="preserve"> Two universal pathways in demographic transition — https://doi.org/10.1017/ehs.2026.10054</w:t>
      </w:r>
    </w:p>
    <w:p>
      <w:pPr/>
      <w:r>
        <w:rPr>
          <w:b/>
        </w:rPr>
        <w:t>Shared claim-specific concepts:</w:t>
      </w:r>
      <w:r>
        <w:t xml:space="preserve"> two, transition, pathways, regions, low; EU scope not established. This is a provisional connection, not an outcome finding.</w:t>
      </w:r>
    </w:p>
    <w:p>
      <w:pPr>
        <w:pStyle w:val="SourceNote"/>
      </w:pPr>
      <w:r>
        <w:rPr>
          <w:b/>
        </w:rPr>
        <w:t>Available abstract (not full text):</w:t>
      </w:r>
      <w:r>
        <w:t xml:space="preserve"> Abstract Demographic transition, characterised by declines in fertility and mortality, is a global phenomenon associated with modernisation. While typical patterns of fertility decline have been described mainly in Western countries, their applicability to other regions and the underlying mechanisms remain unclear. Using data spanning 1800–2020 from 237 countries and territories, this study identifies two universal pathways in the change in the crude birth rate (births per 1,000 person-years, λ) and period life expectancy at birth (e0). Most countries’ demographic trajectories follow one of these two pathways or shift between them. These pathways define phases governed by different mechanisms. Phase I, conserving λe0, dominated until the mid-20th century and was characterised by high child mortality and steady population growth. By contrast, Phase II, conserving λ exp(e0/17), has prevailed since 1950 and is marked by low child mortality and steady growth in GDP per capita. A theoretical model considering the trade-off between reproduction and education elucidates the transition between these phases. The transition to Phase II is accelerated by declining educational costs, rising social mobility, and cultural transmission linked to modernisation and Westernisation. This study demonstrates quantitative regularities between fertility and longevity during demographic transition and</w:t>
      </w:r>
    </w:p>
    <w:p>
      <w:pPr/>
      <w:r>
        <w:rPr>
          <w:b/>
        </w:rPr>
        <w:t>POSSIBLE 2026:</w:t>
      </w:r>
      <w:r>
        <w:t xml:space="preserve"> GreenPaths project: European knowledge hub on just transition pathway. Deliverable number: D4.3 Discussion paper on the political economy of green transitions — https://openalex.org/W7222857412</w:t>
      </w:r>
    </w:p>
    <w:p>
      <w:pPr/>
      <w:r>
        <w:rPr>
          <w:b/>
        </w:rPr>
        <w:t>Shared claim-specific concepts:</w:t>
      </w:r>
      <w:r>
        <w:t xml:space="preserve"> transition, pathways, power; EU scope visible. This is a provisional connection, not an outcome finding.</w:t>
      </w:r>
    </w:p>
    <w:p>
      <w:pPr>
        <w:pStyle w:val="SourceNote"/>
      </w:pPr>
      <w:r>
        <w:rPr>
          <w:b/>
        </w:rPr>
        <w:t>Available abstract (not full text):</w:t>
      </w:r>
      <w:r>
        <w:t xml:space="preserve"> This discussion paper, on the political economy of just transitions, examines how power relations, economic structures, and political institutions work towards shaping policy outcomes and distributional consequences in the context of just transition. It moves beyond technical or managerial framings to interrogate the costs and benefits – or who might win or lose – from different transition pathways, how capital accumulation patterns are reconfigured or reproduced, and which social forces drive or resist transformation. Hence, the discussion paper adopts a political economy lens to reveal the underlying conflicts and power asymmetries that different stakeholders’ positions reflect, and to assess whether proposed transition frameworks challenge or reinforce existing patterns of inequality and exploitation.</w:t>
      </w:r>
    </w:p>
    <w:p>
      <w:pPr/>
      <w:r>
        <w:rPr>
          <w:b/>
        </w:rPr>
        <w:t>POSSIBLE 2026:</w:t>
      </w:r>
      <w:r>
        <w:t xml:space="preserve"> D8.2: 'Just' transition pathway &amp; intermediate targets — https://doi.org/10.5281/zenodo.20486783</w:t>
      </w:r>
    </w:p>
    <w:p>
      <w:pPr/>
      <w:r>
        <w:rPr>
          <w:b/>
        </w:rPr>
        <w:t>Shared claim-specific concepts:</w:t>
      </w:r>
      <w:r>
        <w:t xml:space="preserve"> two, transition, pathways; EU scope visible. This is a provisional connection, not an outcome finding.</w:t>
      </w:r>
    </w:p>
    <w:p>
      <w:pPr>
        <w:pStyle w:val="SourceNote"/>
      </w:pPr>
      <w:r>
        <w:rPr>
          <w:b/>
        </w:rPr>
        <w:t>Available abstract (not full text):</w:t>
      </w:r>
      <w:r>
        <w:t xml:space="preserve"> This report, developed by the ZeroW Policy Team under Task 8.2: A ‘just’ transition pathway and intermediate targets to near-zero FLW by 2050 (Grant Agreement no. 101036388), examines what a just and realistic pathway for reducing Food Loss and Waste in the European Union could look like by 2030. Building on the modelling simulations presented in D8.1, the report analyses three alternative transition policy pathways, identifies key trade offs and threshold levels, and proposes intermediate targets that balance ambition with feasibility. The findings are validated through stakeholder input gathered during two working group roundtables and further informed by the work of the ZeroW Systemic Innovation Living Labs. The deliverable also presents a set of Just Pathway Actions designed to support policymakers in addressing unintended consequences, enabling fair implementation, and shaping more targeted policy interventions for future EU policy briefs.</w:t>
      </w:r>
    </w:p>
    <w:p>
      <w:pPr/>
      <w:r>
        <w:rPr>
          <w:b/>
        </w:rPr>
        <w:t>POSSIBLE 2026:</w:t>
      </w:r>
      <w:r>
        <w:t xml:space="preserve"> Narrating power: the European Commission and the geopolitics of the energy transition — https://doi.org/10.1080/09662839.2025.2599239</w:t>
      </w:r>
    </w:p>
    <w:p>
      <w:pPr/>
      <w:r>
        <w:rPr>
          <w:b/>
        </w:rPr>
        <w:t>Shared claim-specific concepts:</w:t>
      </w:r>
      <w:r>
        <w:t xml:space="preserve"> transition, energy, power; EU scope visible. This is a provisional connection, not an outcome finding.</w:t>
      </w:r>
    </w:p>
    <w:p>
      <w:pPr>
        <w:pStyle w:val="SourceNote"/>
      </w:pPr>
      <w:r>
        <w:rPr>
          <w:b/>
        </w:rPr>
        <w:t>Available abstract (not full text):</w:t>
      </w:r>
      <w:r>
        <w:t xml:space="preserve"> The European Commission (EC) seeks to position the EU as a global leader in the energy transition by enhancing its geopolitical influence and reducing its dependence on fossil fuels. This paper analyses the EC’s narratives on energy transition and decarbonisation in relation to the EU’s emerging geopolitical actorness. Drawing on a critical geopolitical perspective, it shows how speeches by EC representatives strategically deploy narratives to construct the EU’s identity as a leading global actor in energy transition governance, one that integrates the roles of a competitive economic power, a normative power and a geopolitical power. Furthermore, this paper illustrates that the EC simultaneously reimagines the geopolitical configuration of its energy relations by redefining its international partnerships and dependencies. In doing so, the EC reinforces the EU’s self-image as a centre of values projected onto the energy transition, even though this value framework is applied selectively.</w:t>
      </w:r>
    </w:p>
    <w:p>
      <w:pPr/>
      <w:r>
        <w:rPr>
          <w:b/>
        </w:rPr>
        <w:t>POSSIBLE 2026:</w:t>
      </w:r>
      <w:r>
        <w:t xml:space="preserve"> Editorial: Just energy transitions for Europe and beyond — https://doi.org/10.3389/fpos.2026.1815295</w:t>
      </w:r>
    </w:p>
    <w:p>
      <w:pPr/>
      <w:r>
        <w:rPr>
          <w:b/>
        </w:rPr>
        <w:t>Shared claim-specific concepts:</w:t>
      </w:r>
      <w:r>
        <w:t xml:space="preserve"> two, transition, renewable, energy, regions; EU scope visible. This is a provisional connection, not an outcome finding.</w:t>
      </w:r>
    </w:p>
    <w:p>
      <w:pPr>
        <w:pStyle w:val="SourceNote"/>
      </w:pPr>
      <w:r>
        <w:rPr>
          <w:b/>
        </w:rPr>
        <w:t>Available abstract (not full text):</w:t>
      </w:r>
      <w:r>
        <w:t xml:space="preserve"> examined. In doing so, it treats justice as both an analytical category and a governance problem. Rather than treating justice as an assumed virtue of decarbonisation, the contributions examine how it is constructed, where it is limited, and how it may be re-imagined in light of contemporary transition dynamics. The contributions move across levels of analysis, from conceptual clarification and legal design to social contestation and geopolitical restructuring, revealing how justice is constructed and constrained in practice. The contributions also touch upon various dimensions of environmental and climate justice, including their distributive and procedural dimensions. 4 A first step in this endeavour is not merely to endorse "justice" as a goal, but to understand how it is constructed across the domains that shape transition governance. Chiara et al. approach this by comparing two discursive arenas that do not always speak fluently to one another: institutional texts associated with the EU's Just Transition Mechanism, and a corpus of scientific literature on energy and environmental justice published between 2020 and 2023. Using thematic analysis, they identify three overarching dimensions through which "just transition" is articulated -its focus (including the levels of abstraction at which problems are framed), its justice claims (the forms and dimensions of justice that ar</w:t>
      </w:r>
    </w:p>
    <w:p>
      <w:pPr/>
      <w:r>
        <w:rPr>
          <w:b/>
        </w:rPr>
        <w:t>POSSIBLE 2026:</w:t>
      </w:r>
      <w:r>
        <w:t xml:space="preserve"> Energy systems in transition and post-transition — https://doi.org/10.2298/tsci260105069g</w:t>
      </w:r>
    </w:p>
    <w:p>
      <w:pPr/>
      <w:r>
        <w:rPr>
          <w:b/>
        </w:rPr>
        <w:t>Shared claim-specific concepts:</w:t>
      </w:r>
      <w:r>
        <w:t xml:space="preserve"> two, transition, energy, power, system; EU scope visible. This is a provisional connection, not an outcome finding.</w:t>
      </w:r>
    </w:p>
    <w:p>
      <w:pPr>
        <w:pStyle w:val="SourceNote"/>
      </w:pPr>
      <w:r>
        <w:rPr>
          <w:b/>
        </w:rPr>
        <w:t>Available abstract (not full text):</w:t>
      </w:r>
      <w:r>
        <w:t xml:space="preserve"> The paper aims at providing an overview of the most significant theoretical concepts of transition. It introduces the concept of the energy system as a cluster of structures surrounded by external structures, and develops a corresponding set of indicators for both internal and surrounding (environmental) components. It further reviews and integrates key theoretical concepts of energy transition and out-lines relevant transition indicators. Particular attention is given to the issue of a just energy transition, based on a review of the academic literature. Furthermore, the paper develops a framework for assessing power system competitiveness along energy transition trajectories. Two categories of indicators are considered: one based on costs, CO₂ emissions as well as energy output, and an-other indicating system dispatchability. This concept is applied to real power systems in nine European countries under a hypothetical energy transition scenario and the results are evaluated. Across all cases considered, the results show that power systems exhibit higher competitiveness, according to both indicators on a transition path from solid fossil fuels to nuclear power than on a corresponding path to wind energy. The analysis is extended to issues of secondary and final energy storage in the energy transition and introduces the concept of an energy post-transition. A corresponding fram</w:t>
      </w:r>
    </w:p>
    <w:p>
      <w:pPr/>
      <w:r>
        <w:rPr>
          <w:b/>
        </w:rPr>
        <w:t>POSSIBLE 2026:</w:t>
      </w:r>
      <w:r>
        <w:t xml:space="preserve"> TRANSITION AND POST-TRANSITION OF POWER SYSTEMS — https://doi.org/10.46793/eep25.018g</w:t>
      </w:r>
    </w:p>
    <w:p>
      <w:pPr/>
      <w:r>
        <w:rPr>
          <w:b/>
        </w:rPr>
        <w:t>Shared claim-specific concepts:</w:t>
      </w:r>
      <w:r>
        <w:t xml:space="preserve"> two, transition, energy, power, system; EU scope visible. This is a provisional connection, not an outcome finding.</w:t>
      </w:r>
    </w:p>
    <w:p>
      <w:pPr>
        <w:pStyle w:val="SourceNote"/>
      </w:pPr>
      <w:r>
        <w:rPr>
          <w:b/>
        </w:rPr>
        <w:t>Available abstract (not full text):</w:t>
      </w:r>
      <w:r>
        <w:t xml:space="preserve"> The most significant theoretical concepts of transition are shortly discussed. The concept of the power system as cluster of the internal structures in the environment of external structures is presented and discussed. The indicators that describe the individual structures, as well as some of the surrounding structures are proposed and discussed. An overview of the most significant energy transition’s theoretical concepts is shortly presented. The specific indicators of the energy transition are also presented and discussed. The concept of the power system’s competitiveness on the energy transition trajectory is discussed with the appropriate two types of indicators. First type comprises costs, carbon dioxide emission and energy produced, while the other indicate power system’s dispatchability. The results of the competitiveness analysis of the real power systems in nine European countries in hypothetical energy transition from solid fossil fuels to wind turbines, as well as to nuclear power plants are presented and discussed. The results point out that in each considered country power system is more competitive, on transition trajectory from solid fossil fuels to nuclear power plants than on the trajectory from solid fossil fuels to wind turbines. The problem of the power system’s dispatchability in real transition is discussed. The problems of storing the secondary and the fi</w:t>
      </w:r>
    </w:p>
    <w:p>
      <w:pPr/>
      <w:r>
        <w:rPr>
          <w:b/>
        </w:rPr>
        <w:t>POSSIBLE 2026:</w:t>
      </w:r>
      <w:r>
        <w:t xml:space="preserve"> Transition Pathways Towards Sustainable Maritime Logistics in Europe: A PCA–Cluster Analysis Based on Eurostat Indicators — https://doi.org/10.3390/su18157995</w:t>
      </w:r>
    </w:p>
    <w:p>
      <w:pPr/>
      <w:r>
        <w:rPr>
          <w:b/>
        </w:rPr>
        <w:t>Shared claim-specific concepts:</w:t>
      </w:r>
      <w:r>
        <w:t xml:space="preserve"> transition, pathways, energy; EU scope visible. This is a provisional connection, not an outcome finding.</w:t>
      </w:r>
    </w:p>
    <w:p>
      <w:pPr>
        <w:pStyle w:val="SourceNote"/>
      </w:pPr>
      <w:r>
        <w:rPr>
          <w:b/>
        </w:rPr>
        <w:t>Available abstract (not full text):</w:t>
      </w:r>
      <w:r>
        <w:t xml:space="preserve"> Background: Sustainable maritime logistics has become a strategic priority for achieving the European Green Deal objectives and accelerating the transition towards low-carbon and resource-efficient transport systems. Nevertheless, existing studies mainly focus on isolated sustainability dimensions, providing limited evidence on the heterogeneous transition patterns followed by European countries. This study proposes an integrated analytical framework to identify and characterise longitudinal transition patterns towards sustainable maritime logistics across Europe. Methods: A harmonised database was developed using Eurostat indicators covering European countries for the period 2015–2023. Following data preprocessing, missing-value treatment and standardisation, Principal Component Analysis (PCA) was employed to reduce dimensionality, while cluster analysis was applied to identify groups of countries sharing similar sustainability and logistics transition characteristics. Results: The proposed framework reveals that the transition towards sustainable maritime logistics does not follow a single homogeneous pattern but multiple differentiated pathways. The analysis identifies distinct country profiles associated with energy transition, modal integration, circular economy performance and environmental sustainability, highlighting heterogeneous convergence dynamics throughout the stu</w:t>
      </w:r>
    </w:p>
    <w:p>
      <w:pPr/>
      <w:r>
        <w:rPr>
          <w:b/>
        </w:rPr>
        <w:t>POSSIBLE 2026:</w:t>
      </w:r>
      <w:r>
        <w:t xml:space="preserve"> Energy pathway variety and the progress of the energy transition in European countries — https://doi.org/10.48550/arxiv.2609.09607</w:t>
      </w:r>
    </w:p>
    <w:p>
      <w:pPr/>
      <w:r>
        <w:rPr>
          <w:b/>
        </w:rPr>
        <w:t>Shared claim-specific concepts:</w:t>
      </w:r>
      <w:r>
        <w:t xml:space="preserve"> transition, renewable, energy, system; EU scope visible. This is a provisional connection, not an outcome finding.</w:t>
      </w:r>
    </w:p>
    <w:p>
      <w:pPr>
        <w:pStyle w:val="SourceNote"/>
      </w:pPr>
      <w:r>
        <w:rPr>
          <w:b/>
        </w:rPr>
        <w:t>Available abstract (not full text):</w:t>
      </w:r>
      <w:r>
        <w:t xml:space="preserve"> The integration of new energy forms into existing energy infrastructure has emerged as a critical challenge in the context of the pursuit of a sustainable energy transition. One of the main challenges is understanding how this integration takes place not only from the introduction, but also as energy follows existing paths or creates new ones through which it is transformed and used by different activities. Here we introduce techniques from network science to analyse this process for the case of 29 European countries between 1992 and 2021. We study how new energy forms increase or decrease the variety (heterogeneity) of paths through the system of each country by establishing new ones and replacing or phasing out existing ones. We find that the transition to systems based on renewable energy is characterised by an initial increase in the variety of paths while the heterogeneity of paths decreases at the end of the transition, when the proportion of non-renewables in the system tends to zero. We then demonstrate that greater heterogeneity (complexity) is associated with larger annual fluctuations in the proportion of non-renewable sources in the system, establishing a direct relationship between the progress of the transition and the complexity of the energy system in which it occurs. This contributes to the understanding of general properties of the dynamics of the energy trans</w:t>
      </w:r>
    </w:p>
    <w:p>
      <w:pPr/>
      <w:r>
        <w:rPr>
          <w:b/>
        </w:rPr>
        <w:t>POSSIBLE 2026:</w:t>
      </w:r>
      <w:r>
        <w:t xml:space="preserve"> Dynamically enabled transition pathways in multistable systems — https://doi.org/10.48550/arxiv.2607.24070</w:t>
      </w:r>
    </w:p>
    <w:p>
      <w:pPr/>
      <w:r>
        <w:rPr>
          <w:b/>
        </w:rPr>
        <w:t>Shared claim-specific concepts:</w:t>
      </w:r>
      <w:r>
        <w:t xml:space="preserve"> transition, pathways, system; EU scope not established. This is a provisional connection, not an outcome finding.</w:t>
      </w:r>
    </w:p>
    <w:p>
      <w:pPr>
        <w:pStyle w:val="SourceNote"/>
      </w:pPr>
      <w:r>
        <w:rPr>
          <w:b/>
        </w:rPr>
        <w:t>Available abstract (not full text):</w:t>
      </w:r>
      <w:r>
        <w:t xml:space="preserve"> Systems composed of interacting bistable elements are commonly described by transition graphs that determine which state changes are accessible under an external drive. Under quasistatic loading, accessibility is constrained by the equilibrium structure of the system, often resulting in sparse transition networks and unreachable stable states. Here, we show that dynamic loading of dissipatively-coupled hysteron networks enhances accessibility by enabling transition pathways that are forbidden under quasistatic driving while preserving the underlying equilibrium states. In particular, we consider pulse actuation and derive a control map linking pulse amplitude and duration to state transitions. For suitable dissipative couplings, individual hysterons become independently addressable using a single scalar input, increasing transition-graph connectivity and enabling access to otherwise unreachable states. We validate the framework experimentally using pneumatic hysterons and find good agreement with theory. More generally, the framework applies to dissipatively coupled networks of bistable elements across fluidic, mechanical, and electrical domains.</w:t>
      </w:r>
    </w:p>
    <w:p>
      <w:pPr/>
      <w:r>
        <w:rPr>
          <w:b/>
        </w:rPr>
        <w:t>POSSIBLE 2026:</w:t>
      </w:r>
      <w:r>
        <w:t xml:space="preserve"> Exploring Transitions to Circular Cross-border E-commerce Platforms between China and Europe — https://openalex.org/W7165086123</w:t>
      </w:r>
    </w:p>
    <w:p>
      <w:pPr/>
      <w:r>
        <w:rPr>
          <w:b/>
        </w:rPr>
        <w:t>Shared claim-specific concepts:</w:t>
      </w:r>
      <w:r>
        <w:t xml:space="preserve"> two, transition, pathways, sector, system, current; EU scope visible. This is a provisional connection, not an outcome finding.</w:t>
      </w:r>
    </w:p>
    <w:p>
      <w:pPr>
        <w:pStyle w:val="SourceNote"/>
      </w:pPr>
      <w:r>
        <w:rPr>
          <w:b/>
        </w:rPr>
        <w:t>Available abstract (not full text):</w:t>
      </w:r>
      <w:r>
        <w:t xml:space="preserve"> Chinese cross-border e-commerce platforms have emerged as key intermediaries connecting Chinese suppliers with global consumer markets, with especially rapid growth in Europe’s consumer electronics sector. This expansion has been largely driven by a low-price model, where platforms attract consumers through affordable and diverse product offerings while relying on China’s supply chain efficiency to stay competitive on price. However, this model also comes with sustainability challenges. Consumer electronics sold through cross-border e-commerce follow a linear product journey from low-cost production, impulse-oriented purchase, and eventual disposal. Growing pressure from regulatory compliance, environmental sustainability requirements, and changing consumer expectations is pushing for a shift away from the linear model towards a system centered on lifecycle value and circularity. This thesis investigates how transition pathways can be designed for more sustainable and circular Chinese cross-border e-commerce platforms between China and Europe. The research is structured around two analytical levels: the mechanisms that stabilize the current low-price regime, and the key platform-level actions required to coordinate product quality, consumer behaviour, circular services, and stakeholder responsibility. Key findings highlight that the main barrier to circularity is the misalignme</w:t>
      </w:r>
    </w:p>
    <w:p>
      <w:pPr>
        <w:pStyle w:val="Heading2"/>
      </w:pPr>
      <w:r>
        <w:t>708. Foresight in Higher Education Institutions: Evidence from Poland</w:t>
      </w:r>
    </w:p>
    <w:p>
      <w:pPr>
        <w:pStyle w:val="SourceNote"/>
      </w:pPr>
      <w:r>
        <w:rPr>
          <w:b/>
        </w:rPr>
        <w:t>Original source (2019):</w:t>
      </w:r>
      <w:r>
        <w:t xml:space="preserve"> https://doi.org/10.17323/2500-2597.2019.1.77.89</w:t>
      </w:r>
    </w:p>
    <w:p>
      <w:pPr/>
      <w:r>
        <w:t>Original wording (abstract; indexed_source_text_not_full_document_verified): By analyzing them one can gain valuable knowledge on both preferable and less-favored alternatives, which on the one hand suggest which actions may lead to their realization, but on the other,indicate specific actions that may lead to the abandonment of undesirable paths in favor of the most conducive vision. The paper substantiates the effectiveness of using foresight for these purposes, which is confirmed by the experience of the project on the development of scenarios for the Faculty of Engineering Management (FEM) of Bialystok Technical University (Poland) for the period up to 2035.</w:t>
      </w:r>
    </w:p>
    <w:p>
      <w:pPr/>
      <w:r>
        <w:rPr>
          <w:b/>
        </w:rPr>
        <w:t>POSSIBLE 2026:</w:t>
      </w:r>
      <w:r>
        <w:t xml:space="preserve"> The European Council turns 50: Studying and analyzing a key institution of the European Union — https://doi.org/10.1017/s1682098325100106</w:t>
      </w:r>
    </w:p>
    <w:p>
      <w:pPr/>
      <w:r>
        <w:rPr>
          <w:b/>
        </w:rPr>
        <w:t>Shared claim-specific concepts:</w:t>
      </w:r>
      <w:r>
        <w:t xml:space="preserve"> analyzing, one, other; EU scope visible. This is a provisional connection, not an outcome finding.</w:t>
      </w:r>
    </w:p>
    <w:p>
      <w:pPr>
        <w:pStyle w:val="SourceNote"/>
      </w:pPr>
      <w:r>
        <w:rPr>
          <w:b/>
        </w:rPr>
        <w:t>Available abstract (not full text):</w:t>
      </w:r>
      <w:r>
        <w:t xml:space="preserve"> Abstract The European Council is one, if not the , key institution of the European Union (EU). Coming together for the first time about 50 years ago, in March 1975, the European Council comprises notably the Heads of State or Government of the EU member states, thus linking national and European levels. It takes important decisions in various policy areas and has regularly expanded the EU’s agenda and competences. In recent years, the European Council has acted as the prime crisis manager. At the same time, because of its requirement for consensus and its own small internal capacities, it is vulnerable to blockades and depends on other EU institutions for the preparation and implementation of its decisions. This article analyzes the European Council as key actor in the EU’s multi-level and multi-institutional system of governance. Comparing and bringing together different theoretical perspectives, it critically examines its various roles, functions, and shortcomings. Contrary to the predominant view, the European Council – despite its intergovernmental composition – tends to strengthen the EU’s supranational procedures. With this institution becoming ever more important and visible, the paper also suggests avenues for the further study of the European Council.</w:t>
      </w:r>
    </w:p>
    <w:p>
      <w:pPr/>
      <w:r>
        <w:rPr>
          <w:b/>
        </w:rPr>
        <w:t>POSSIBLE 2026:</w:t>
      </w:r>
      <w:r>
        <w:t xml:space="preserve"> Membership in the Council of Europe Development Bank as a factor of Ukraine’s European integration — https://doi.org/10.24144/2788-6018.2026.03.3.64</w:t>
      </w:r>
    </w:p>
    <w:p>
      <w:pPr/>
      <w:r>
        <w:rPr>
          <w:b/>
        </w:rPr>
        <w:t>Shared claim-specific concepts:</w:t>
      </w:r>
      <w:r>
        <w:t xml:space="preserve"> them, one, but, other; EU scope visible. This is a provisional connection, not an outcome finding.</w:t>
      </w:r>
    </w:p>
    <w:p>
      <w:pPr>
        <w:pStyle w:val="SourceNote"/>
      </w:pPr>
      <w:r>
        <w:rPr>
          <w:b/>
        </w:rPr>
        <w:t>Available abstract (not full text):</w:t>
      </w:r>
      <w:r>
        <w:t xml:space="preserve"> The article analyzes the institutional and legal foundations of Ukraine’s cooperation with the Council of Europe Development Bank (hereinafter, the CEDB). It is found that CEDB was established in 1956 as the Council of Europe Refugee Settlement Fund, is part of the Council of Europe and is under its management, but has a separate legal status and is financially independent. The main goal of CEDB’s activities is to promote social consolidation in Europe by providing financial assistance to European states in solving social problems associated with migration flows (refugees, displaced persons, migrants, victims of natural or environmental disasters, and other forced population displacements). The composition of the CEDB member states has been established. According to the Statute of the CEDB of 16 June 1993, membership in this European financial institution is open to all member states of the Council of Europe; European states that are not members of the Council of Europe and international organizations with a European focus may also be its members or associated participants on agreement. As of 15 June 2025, there are 43 CEDB member states: 26 member states of the European Union that are also members of the Council of Europe; 15 other member states of the Council of Europe (including Ukraine); the Holy See is an observer state of the Council of Europe; a state that is not a membe</w:t>
      </w:r>
    </w:p>
    <w:p>
      <w:pPr/>
      <w:r>
        <w:rPr>
          <w:b/>
        </w:rPr>
        <w:t>POSSIBLE 2025:</w:t>
      </w:r>
      <w:r>
        <w:t xml:space="preserve"> 3 Europe as the Crisis of Play — https://doi.org/10.1515/9781438499819-004</w:t>
      </w:r>
    </w:p>
    <w:p>
      <w:pPr/>
      <w:r>
        <w:rPr>
          <w:b/>
        </w:rPr>
        <w:t>Shared claim-specific concepts:</w:t>
      </w:r>
      <w:r>
        <w:t xml:space="preserve"> them, one, hand, suggest, other, indicate; EU scope visible. This is a provisional connection, not an outcome finding.</w:t>
      </w:r>
    </w:p>
    <w:p>
      <w:pPr>
        <w:pStyle w:val="SourceNote"/>
      </w:pPr>
      <w:r>
        <w:rPr>
          <w:b/>
        </w:rPr>
        <w:t>Available abstract (not full text):</w:t>
      </w:r>
      <w:r>
        <w:t xml:space="preserve"> In this chapter, I try to introduce one hypothesis about the essence of European modernity, namely, that it should be defined as the cultural invention of seriousness.I begin by examining one of the things that we take to be raising questions about the very essence of Modern Europe, namely, the current refugee crisis and its effects on European societies and institutions.I suggest that what this crisis indicates, as it were negatively, is that Europe is to be defined as a social, historical, and existential compound informed by a tension between care and action.I continue by examining the relations between Europe so defined and the more traditional Nietzschean idea of Europe as nihilism.This allows me to make the initial suggestion more palatable as well as to analyze the implications of the tension between care and action in ontological terms.Finally, I suggest that the resulting notion of Europe is most consonant with one offhand remark from Johan Huizinga's Homo Ludens (1938), where he seems to define European modernity as the dismantlement of play.I conclude that the examination of the refugee crisis and nihilism, on the one hand, and of play, on the other, reflect fruitfully on each other.All of this, it goes without saying, is highly speculative and programmatic.Crises indicate essences: in any crisis worthy of the name, what is at stake for the entity facing the crisis i</w:t>
      </w:r>
    </w:p>
    <w:p>
      <w:pPr/>
      <w:r>
        <w:rPr>
          <w:b/>
        </w:rPr>
        <w:t>POSSIBLE 2025:</w:t>
      </w:r>
      <w:r>
        <w:t xml:space="preserve"> Animal Welfare Protocols and Labelling Schemes for Broilers in Europe — https://doi.org/10.3390/poultry4030029</w:t>
      </w:r>
    </w:p>
    <w:p>
      <w:pPr/>
      <w:r>
        <w:rPr>
          <w:b/>
        </w:rPr>
        <w:t>Shared claim-specific concepts:</w:t>
      </w:r>
      <w:r>
        <w:t xml:space="preserve"> them, one, both; EU scope visible. This is a provisional connection, not an outcome finding.</w:t>
      </w:r>
    </w:p>
    <w:p>
      <w:pPr>
        <w:pStyle w:val="SourceNote"/>
      </w:pPr>
      <w:r>
        <w:rPr>
          <w:b/>
        </w:rPr>
        <w:t>Available abstract (not full text):</w:t>
      </w:r>
      <w:r>
        <w:t xml:space="preserve"> Nowadays, consumers are becoming increasingly concerned about the husbandry conditions under which animals are raised, particularly broilers, since broilers are one of the species whose welfare is most impaired in intensive farming systems. One of the primary means of communicating husbandry practices to consumers is through product labelling. Thus, a rising number of animal welfare labelling schemes for broilers are being developed and used across Europe by initiatives of both public and private stakeholders, including NGOs that advocate for animal welfare. This review aims to identify, analyze, and compare these labelling schemes with a focus on the main animal welfare provisions included in them, which contribute to enhanced animal welfare. The schemes were identified through web searches, so that we could visit their official websites, access their standards and regulations and study them in detail. We included in our research only those schemes whose criteria were publicly available. In total, 16 schemes were selected and analyzed. Although these schemes vary in their criteria, they all enhance the welfare standards of broiler production, primarily through incorporating environmental enrichment and/or access to the outdoors. Most schemes define and specify in detail the required animal welfare provisions, setting a clear application frame for the raising period of the bird</w:t>
      </w:r>
    </w:p>
    <w:p>
      <w:pPr/>
      <w:r>
        <w:rPr>
          <w:b/>
        </w:rPr>
        <w:t>POSSIBLE 2025:</w:t>
      </w:r>
      <w:r>
        <w:t xml:space="preserve"> Towards a Digital Europe: Cluster-Based Insights into Technology, Knowledge, and Readiness — https://doi.org/10.56082/jkd.2025.1.64</w:t>
      </w:r>
    </w:p>
    <w:p>
      <w:pPr/>
      <w:r>
        <w:rPr>
          <w:b/>
        </w:rPr>
        <w:t>Shared claim-specific concepts:</w:t>
      </w:r>
      <w:r>
        <w:t xml:space="preserve"> analyzing, them, valuable, knowledge; EU scope visible. This is a provisional connection, not an outcome finding.</w:t>
      </w:r>
    </w:p>
    <w:p>
      <w:pPr>
        <w:pStyle w:val="SourceNote"/>
      </w:pPr>
      <w:r>
        <w:rPr>
          <w:b/>
        </w:rPr>
        <w:t>Available abstract (not full text):</w:t>
      </w:r>
      <w:r>
        <w:t xml:space="preserve"> Digital transformation is an essential process for contemporary economic and social development. This paper aims to explore the evolution and disparities of digital transformation across European Union (EU) member states by analyzing their digital profiles and classifying them into homogeneous groups based on their performance. Thus, the research draws on secondary quantitative data from the World Digital Competitiveness Rankings developed by International Institute for Management Development (IMD), focusing on three critical dimensions: knowledge, technology and futureproofing. These dimensions capture countries' educational and research capacity, digital infrastructure and societal adaptability to digital change. In this research, a cluster analysis was performed using SPSS Two-Step Clustering, supported by visual and statistical tools, to identify clustering patterns among 26 EU countries (excluding Malta due to missing data). The research design includes four steps: time trend analysis, geographical mapping, cluster identification, and testing the significance of inter-cluster differences using Mann-Whitney U-tests. The results show a clear bifurcation between digitally advanced countries (e.g., Denmark, Netherlands, Sweden) and those with lower performance (e.g., Romania, Bulgaria, Greece). Significant statistical differences exist across all three analyzed dimensions. The</w:t>
      </w:r>
    </w:p>
    <w:p>
      <w:pPr/>
      <w:r>
        <w:rPr>
          <w:b/>
        </w:rPr>
        <w:t>POSSIBLE 2024:</w:t>
      </w:r>
      <w:r>
        <w:t xml:space="preserve"> Housing conditions in European one-person households — https://doi.org/10.1371/journal.pone.0303295</w:t>
      </w:r>
    </w:p>
    <w:p>
      <w:pPr/>
      <w:r>
        <w:rPr>
          <w:b/>
        </w:rPr>
        <w:t>Shared claim-specific concepts:</w:t>
      </w:r>
      <w:r>
        <w:t xml:space="preserve"> them, both, actions; EU scope visible. This is a provisional connection, not an outcome finding.</w:t>
      </w:r>
    </w:p>
    <w:p>
      <w:pPr>
        <w:pStyle w:val="SourceNote"/>
      </w:pPr>
      <w:r>
        <w:rPr>
          <w:b/>
        </w:rPr>
        <w:t>Available abstract (not full text):</w:t>
      </w:r>
      <w:r>
        <w:t xml:space="preserve"> This study addresses the satisfaction of housing-related needs in single-person households across European countries. The primary objective is to assess the housing satisfaction of single-person households in European countries, specifically within the Visegrad Group. The study seeks to identify trends in housing conditions, create a ranking of countries based on these conditions, and categorize countries with similar levels of unmet housing needs. The study employs statistical measures and methods to achieve its objectives. Time series are constructed for European countries, and linear trends are analyzed to identify statistically significant changes in selected housing aspects from 2005 to 2022. Various research tasks, including ranking countries and grouping them based on housing conditions, are accomplished using established methods like linear ranking and Ward's cluster analysis. Key findings include significant variations in financial burdens related to housing costs, thermal comfort, environmental pollution, and safety issues across European countries. The study reveals both improvements and challenges in housing conditions from 2005 to 2022 in one-person households. For instance, financial stress due to housing costs decreased in some countries, while thermal comfort issues improved in several nations. The results also highlight the heterogeneity within the Visegrad Gro</w:t>
      </w:r>
    </w:p>
    <w:p>
      <w:pPr/>
      <w:r>
        <w:rPr>
          <w:b/>
        </w:rPr>
        <w:t>POSSIBLE 2024:</w:t>
      </w:r>
      <w:r>
        <w:t xml:space="preserve"> Beyond authorship: Analyzing contributions in PLOS ONE and the challenges of appropriate attribution — https://doi.org/10.2478/jdis-2024-0015</w:t>
      </w:r>
    </w:p>
    <w:p>
      <w:pPr/>
      <w:r>
        <w:rPr>
          <w:b/>
        </w:rPr>
        <w:t>Shared claim-specific concepts:</w:t>
      </w:r>
      <w:r>
        <w:t xml:space="preserve"> analyzing, them, one, specific; EU scope visible. This is a provisional connection, not an outcome finding.</w:t>
      </w:r>
    </w:p>
    <w:p>
      <w:pPr>
        <w:pStyle w:val="SourceNote"/>
      </w:pPr>
      <w:r>
        <w:rPr>
          <w:b/>
        </w:rPr>
        <w:t>Available abstract (not full text):</w:t>
      </w:r>
      <w:r>
        <w:t xml:space="preserve"> Abstract Purpose This study aims to evaluate the accuracy of authorship attributions in scientific publications, focusing on the fairness and precision of individual contributions within academic works. Design/methodology/approach The study analyzes 81,823 publications from the journal PLOS ONE , covering the period from January 2018 to June 2023. It examines the authorship attributions within these publications to try and determine the prevalence of inappropriate authorship. It also investigates the demographic and professional profiles of affected authors, exploring trends and potential factors contributing to inaccuracies in authorship. Findings Surprisingly, 9.14% of articles feature at least one author with inappropriate authorship, affecting over 14,000 individuals (2.56% of the sample). Inappropriate authorship is more concentrated in Asia, Africa, and specific European countries like Italy. Established researchers with significant publication records and those affiliated with companies or nonprofits show higher instances of potential monetary authorship. Research limitations Our findings are based on contributions as declared by the authors, which implies a degree of trust in their transparency. However, this reliance on self-reporting may introduce biases or inaccuracies into the dataset. Further research could employ additional verification methods to enhance the reli</w:t>
      </w:r>
    </w:p>
    <w:p>
      <w:pPr/>
      <w:r>
        <w:rPr>
          <w:b/>
        </w:rPr>
        <w:t>POSSIBLE 2024:</w:t>
      </w:r>
      <w:r>
        <w:t xml:space="preserve"> Analyzing the Volume of Export-Import Activity of the European Union Market — https://doi.org/10.32983/2222-4459-2024-5-26-32</w:t>
      </w:r>
    </w:p>
    <w:p>
      <w:pPr/>
      <w:r>
        <w:rPr>
          <w:b/>
        </w:rPr>
        <w:t>Shared claim-specific concepts:</w:t>
      </w:r>
      <w:r>
        <w:t xml:space="preserve"> analyzing, them, one; EU scope visible. This is a provisional connection, not an outcome finding.</w:t>
      </w:r>
    </w:p>
    <w:p>
      <w:pPr>
        <w:pStyle w:val="SourceNote"/>
      </w:pPr>
      <w:r>
        <w:rPr>
          <w:b/>
        </w:rPr>
        <w:t>Available abstract (not full text):</w:t>
      </w:r>
      <w:r>
        <w:t xml:space="preserve"> The article is devoted to a detailed analysis of the export-import activity of Ukraine in the markets of the European Union (EU), with an emphasis on fat-and-oil products. The full-scale invasion of Ukraine forced to strengthen economic ties with partner countries due to a decline in export-import operations. It is determined that the fat-and-oil industry is one of the key ones in the agro-industrial sector of the EU and plays an important role in ensuring the food security of countries. An analysis of the dynamics of exports and imports of margarine in the following EU countries: Poland, Slovakia, Hungary, Romania, and also taking into account Moldova, is carried out. The difference between the exports and imports of margarine in these countries has been established. As a result of the analysis of the volume of exports and imports of margarine, it is found that Slovakia, Hungary, Romania and Moldova are markets with a high level of import dependence in the margarine segment, which makes them the perspective ones for Ukrainian producers. An analysis of the dynamics of margarine imports in the EU countries for 2013–2021 showed the largest import volumes in the following countries: Great Britain, France, Germany and the Netherlands. To understand the specifics of this market, it is important to consider the numerous factors that affect supply and demand. Practical recommendations</w:t>
      </w:r>
    </w:p>
    <w:p>
      <w:pPr/>
      <w:r>
        <w:rPr>
          <w:b/>
        </w:rPr>
        <w:t>POSSIBLE 2023:</w:t>
      </w:r>
      <w:r>
        <w:t xml:space="preserve"> Fighting depopulation in Europe by analyzing the financial risks of local governments — https://doi.org/10.1177/00208523231158982</w:t>
      </w:r>
    </w:p>
    <w:p>
      <w:pPr/>
      <w:r>
        <w:rPr>
          <w:b/>
        </w:rPr>
        <w:t>Shared claim-specific concepts:</w:t>
      </w:r>
      <w:r>
        <w:t xml:space="preserve"> analyzing, them, one, specific; EU scope visible. This is a provisional connection, not an outcome finding.</w:t>
      </w:r>
    </w:p>
    <w:p>
      <w:pPr>
        <w:pStyle w:val="SourceNote"/>
      </w:pPr>
      <w:r>
        <w:rPr>
          <w:b/>
        </w:rPr>
        <w:t>Available abstract (not full text):</w:t>
      </w:r>
      <w:r>
        <w:t xml:space="preserve"> Throughout Europe, one of the main problems facing policymakers is that of falling rural populations. In many cases, this is aggravated by high levels of local government borrowing. Although researchers have sought to determine the causes of this debt, much remains to be known about the factors influencing the default risk of small- and medium-sized towns, information that would help them formulate policies to combat the loss of population. The aim of our study is to identify factors relevant to this default risk. We analyzed demographic, socioeconomic, and financial factors in a sample of 6456 Spanish local governments by their population size. Our findings show that financial policies applied to reduce this risk should vary according to the population size, as certain factors exert a specific influence on smaller municipalities. Nevertheless, socioeconomic and financial variables have more impact on default risk than demographic factors. Our findings are novel and useful for all concerned in combating the depopulation of rural areas in Europe, owing to the relevance of conclusions for the design of public policies based on the sustainability of public services in small municipalities. Points for practitioners The measurement of the default risk in local governments reveals very relevant information for the design of public policies against depopulation. Socioeconomic and fina</w:t>
      </w:r>
    </w:p>
    <w:p>
      <w:pPr/>
      <w:r>
        <w:rPr>
          <w:b/>
        </w:rPr>
        <w:t>POSSIBLE 2023:</w:t>
      </w:r>
      <w:r>
        <w:t xml:space="preserve"> Leadership styles: a study in Latin America, the United States and Europe — https://doi.org/10.56294/saludcyt2023401</w:t>
      </w:r>
    </w:p>
    <w:p>
      <w:pPr/>
      <w:r>
        <w:rPr>
          <w:b/>
        </w:rPr>
        <w:t>Shared claim-specific concepts:</w:t>
      </w:r>
      <w:r>
        <w:t xml:space="preserve"> them, one, lead; EU scope visible. This is a provisional connection, not an outcome finding.</w:t>
      </w:r>
    </w:p>
    <w:p>
      <w:pPr>
        <w:pStyle w:val="SourceNote"/>
      </w:pPr>
      <w:r>
        <w:rPr>
          <w:b/>
        </w:rPr>
        <w:t>Available abstract (not full text):</w:t>
      </w:r>
      <w:r>
        <w:t xml:space="preserve"> Introduction: leadership styles vary in organizations due to multiple factors, such as policies or organizational culture. Today's globalized world and post-pandemic times require a leader capable of integrating people and motivating them to achieve objectives. Objective: the aim of this study was to analyze leadership styles in organizations in Latin America, the United States and Europe. Method: a sample of eighty-one leaders were administered a questionnaire composed of twenty-one items, in order to evaluate the leadership style with the Blake and Mouton test, in order to identify whether leaders are people-oriented or task-oriented. Results: once the test was applied to the leaders of the study sample, it was found that 1,23 % are social leaders, 4,94 % are authoritarian leaders and 93,83 % are team leaders.Conclusions: today's society demands an integrative leadership style that helps transform the work team. Research on leadership identifies multiple factors that can lead to the selection of a leadership style. In this regard, the results obtained revealed that the team leadership style is the one most used by leaders</w:t>
      </w:r>
    </w:p>
    <w:p>
      <w:pPr/>
      <w:r>
        <w:rPr>
          <w:b/>
        </w:rPr>
        <w:t>POSSIBLE 2023:</w:t>
      </w:r>
      <w:r>
        <w:t xml:space="preserve"> Membership Trends in European Countries — https://doi.org/10.1353/ben.2023.a923758</w:t>
      </w:r>
    </w:p>
    <w:p>
      <w:pPr/>
      <w:r>
        <w:rPr>
          <w:b/>
        </w:rPr>
        <w:t>Shared claim-specific concepts:</w:t>
      </w:r>
      <w:r>
        <w:t xml:space="preserve"> them, one, but; EU scope visible. This is a provisional connection, not an outcome finding.</w:t>
      </w:r>
    </w:p>
    <w:p>
      <w:pPr>
        <w:pStyle w:val="SourceNote"/>
      </w:pPr>
      <w:r>
        <w:rPr>
          <w:b/>
        </w:rPr>
        <w:t>Available abstract (not full text):</w:t>
      </w:r>
      <w:r>
        <w:t xml:space="preserve"> Membership Trends in European Countries Thomas Piazza (bio) Thomas Piazza Thomas Piazza is a retired survey research designer and statistician from the University of California, Berkeley. He was a Benedictine monk of St. Leo Abbey in Florida during the 1960s. Footnotes 1. Thomas Piazza, "Regional Trends in the Benedictine Confederation," American Benedictine Review 73, no. 3 (September 2022): 322–330. The number of monks considered as being in Europe in that article include 16 monks from Australia (rather than simply dropping them from the analysis) and 9 monks mistakenly classified as being in the UK instead of the U.S. Therefore, the current article counts 25 monks fewer in Europe than the earlier one. 2. See Piazza, "Regional Trends," 329–330. 3. Catalogus Monasteriorum O.S.B. Monachorum (Rome: The Benedictine Confederation, 2020). The Catalogus has been published by the Curia of the Abbot Primate in Rome at Sant'Anselmo approximately every five years since 1880 (except during periods of major wars). The Catalogus reports membership statistics for professed monks plus a few claustral oblates. We are grateful to Fr. Patrick Carter, O.S.B., for carrying out the computer work to digitize the 2020 Catalogus and to Fr. Geraldo González y Lima, O.S.B., for facilitating access to the data file. 4. The number of professed monks in the Confederation declined about 20 percent during t</w:t>
      </w:r>
    </w:p>
    <w:p>
      <w:pPr/>
      <w:r>
        <w:rPr>
          <w:b/>
        </w:rPr>
        <w:t>POSSIBLE 2023:</w:t>
      </w:r>
      <w:r>
        <w:t xml:space="preserve"> Knowledge: A Factor for Acceptance of Insects as Food — https://doi.org/10.3390/su15064820</w:t>
      </w:r>
    </w:p>
    <w:p>
      <w:pPr/>
      <w:r>
        <w:rPr>
          <w:b/>
        </w:rPr>
        <w:t>Shared claim-specific concepts:</w:t>
      </w:r>
      <w:r>
        <w:t xml:space="preserve"> analyzing, them, valuable, knowledge; EU scope visible. This is a provisional connection, not an outcome finding.</w:t>
      </w:r>
    </w:p>
    <w:p>
      <w:pPr>
        <w:pStyle w:val="SourceNote"/>
      </w:pPr>
      <w:r>
        <w:rPr>
          <w:b/>
        </w:rPr>
        <w:t>Available abstract (not full text):</w:t>
      </w:r>
      <w:r>
        <w:t xml:space="preserve"> The role that insects will play in a healthier and more sustainable diet has been highlighted in the last years, at the European level. In future, due to environmental concerns and population growth, eating insects might be a solution for many problems. However, populations without the tradition of eating insects are still reluctant in accepting such a food as part of their diet. The present observational study highlights some factors that are influencing the acceptance of insects as food in Romania, in 2022. A number of 496 Romanian adults, 433 women and 63 men, with the mean age 39.3 ± 11 years, completed a validated questionnaire analyzing food behaviors, as well as attitudes and knowledge in relation to insects, including sustainability, nutrition and food safety aspects. Only 6.3% of participants had already eaten insects, while 43.8% claimed their openness to do it in future. Insect-based products were accepted more than insects that can be perceived as such. The most frequent words associated with insects were rather deleterious: disgust, odd, nausea, not to eat, or curiosity. Investigating the factors involved in insect acceptability in Romanians’ diets, we found a statistically significant correlation between openness to eat them and the knowledge about insects as being a valuable, sustainable and safe source of nutrients. Targeted education seems to be an important to</w:t>
      </w:r>
    </w:p>
    <w:p>
      <w:pPr>
        <w:pStyle w:val="Heading2"/>
      </w:pPr>
      <w:r>
        <w:t>709. From bioethanol containing fuels towards a fuel economy that includes methanol derived from renewable sources and the impact on European Union decision-making on transition pathways</w:t>
      </w:r>
    </w:p>
    <w:p>
      <w:pPr>
        <w:pStyle w:val="SourceNote"/>
      </w:pPr>
      <w:r>
        <w:rPr>
          <w:b/>
        </w:rPr>
        <w:t>Original source (2019):</w:t>
      </w:r>
      <w:r>
        <w:t xml:space="preserve"> https://doi.org/10.1016/j.rser.2019.109667</w:t>
      </w:r>
    </w:p>
    <w:p>
      <w:pPr/>
      <w:r>
        <w:t>Original wording (abstract; indexed_source_text_not_full_document_verified): Decision-making on the optimum transition pathway to an energy economy that meets agreed carbon reduction goals in the European Union (EU) by 2050 is challenging, because of the size of the infrastructural legacy, technological uncertainties, affordability and assumptions on future energy demand. Rebalancing three different aspects of the social dimension of sustainability is used to demonstrate that a succession of infrastructures based on liquid fuels, with biofuels as an interlock towards an economy that includes methanol-based eFuel, has the potential to bring continuity, reduce dependence on anticipated technological advances and improve cost management.</w:t>
      </w:r>
    </w:p>
    <w:p>
      <w:pPr/>
      <w:r>
        <w:rPr>
          <w:b/>
        </w:rPr>
        <w:t>POSSIBLE 2026:</w:t>
      </w:r>
      <w:r>
        <w:t xml:space="preserve"> Beyond cost-optimal transitions: behavioural decision-making and policy feedback in shipping decarbonisation — https://doi.org/10.1016/j.jclepro.2026.149608</w:t>
      </w:r>
    </w:p>
    <w:p>
      <w:pPr/>
      <w:r>
        <w:rPr>
          <w:b/>
        </w:rPr>
        <w:t>Shared claim-specific concepts:</w:t>
      </w:r>
      <w:r>
        <w:t xml:space="preserve"> decision-making, transition, assumptions, three; EU scope not established. This is a provisional connection, not an outcome finding.</w:t>
      </w:r>
    </w:p>
    <w:p>
      <w:pPr>
        <w:pStyle w:val="SourceNote"/>
      </w:pPr>
      <w:r>
        <w:rPr>
          <w:b/>
        </w:rPr>
        <w:t>Available abstract (not full text):</w:t>
      </w:r>
      <w:r>
        <w:t xml:space="preserve"> Maritime decarbonisation models commonly assume that shipowners make fully rational investment decisions based on perfect information and lifetime cost optimisation. However, empirical evidence suggests that investment decisions are also shaped by behavioural factors such as bounded foresight, familiarity with emerging technologies and peer influence. This study develops a fleet-evolution model, solved in three-year time steps from 2025 to 2050, for a global fleet representing approximately 32,000 vessels over 5000 GT (covering 88% of global fleet deadweight) grouped into 550 representative ship classes, that differentiates early movers and mass-market actors and integrates empirically grounded behavioural decision-making with endogenous feedback mechanisms linking technology adoption, compliance markets and fuel production. Behavioural assumptions are derived from three semi-structured interview rounds (conducted between October 2025 and May 2026 with 16 shipowners, face-validated with an independent 11-company industry Advisory Group and implemented within a game-theoretic Nash equilibrium to simulate technology adoption under the International Maritime Organization's Net-Zero Framework. The results show that incorporating behavioural decision-making fundamentally alters projected transition pathways. Compared with conventional techno-economic approaches, incorporating behavi</w:t>
      </w:r>
    </w:p>
    <w:p>
      <w:pPr/>
      <w:r>
        <w:rPr>
          <w:b/>
        </w:rPr>
        <w:t>POSSIBLE 2026:</w:t>
      </w:r>
      <w:r>
        <w:t xml:space="preserve"> Towards a decision-making framework for optimal vehicle lightweighting in the European towed caravan sector — https://doi.org/10.82444/warw.33913783</w:t>
      </w:r>
    </w:p>
    <w:p>
      <w:pPr/>
      <w:r>
        <w:rPr>
          <w:b/>
        </w:rPr>
        <w:t>Shared claim-specific concepts:</w:t>
      </w:r>
      <w:r>
        <w:t xml:space="preserve"> decision-making, energy, three; EU scope visible. This is a provisional connection, not an outcome finding.</w:t>
      </w:r>
    </w:p>
    <w:p>
      <w:pPr>
        <w:pStyle w:val="SourceNote"/>
      </w:pPr>
      <w:r>
        <w:rPr>
          <w:b/>
        </w:rPr>
        <w:t>Available abstract (not full text):</w:t>
      </w:r>
      <w:r>
        <w:t xml:space="preserve"> European leisure vehicle manufacturers have long strived to create lightweight towed caravan tourers as they offer many benefits to customers such as less fuel consumption per journey, opportunities for increased payloads and a better towing experience. The need for lightweight caravans is now greater than ever due to the advent of battery electric powertrains in tow cars, due to their limited towing capability and reduced range when towing heavy loads. Currently, there is no formal decision-making framework available for leisure vehicle manufacturers to reach optimal decisions when considering lightweighting initiatives. To address this problem this research has developed a novel decision-making model for leisure vehicle lightweighting, extending and enhancing previous work in the field of complexity management. The model has been created as four discrete steps through which caravan manufacturers can make well-considered and optimal decisions concerning their approach to lightweighting for both existing and future products. The model steps include three initial assessments: (1) product strategy and lifecycle, (2) technical, economical, and environmental benchmarking and (3) a macro environment assessment followed by a final step (4) in which guidelines for action are derived. The research also looked in detail at the key drivers for lightweighting initiatives using a focus gro</w:t>
      </w:r>
    </w:p>
    <w:p>
      <w:pPr/>
      <w:r>
        <w:rPr>
          <w:b/>
        </w:rPr>
        <w:t>POSSIBLE 2026:</w:t>
      </w:r>
      <w:r>
        <w:t xml:space="preserve"> Optimal Energy Transition Planning: Navigating the Trade-Offs between Short-Term and Long-Term Decision-Making — https://doi.org/10.1021/acs.iecr.5c03999</w:t>
      </w:r>
    </w:p>
    <w:p>
      <w:pPr/>
      <w:r>
        <w:rPr>
          <w:b/>
        </w:rPr>
        <w:t>Shared claim-specific concepts:</w:t>
      </w:r>
      <w:r>
        <w:t xml:space="preserve"> decision-making, transition, energy, uncertainties, different; EU scope not established. This is a provisional connection, not an outcome finding.</w:t>
      </w:r>
    </w:p>
    <w:p>
      <w:pPr>
        <w:pStyle w:val="SourceNote"/>
      </w:pPr>
      <w:r>
        <w:rPr>
          <w:b/>
        </w:rPr>
        <w:t>Available abstract (not full text):</w:t>
      </w:r>
      <w:r>
        <w:t xml:space="preserve"> Transforming emission-intensive energy systems into low-carbon configurations requires strategic planning that balances efficiency, costs, and emissions reductions. While many capacity expansion models support long-term investment planning, only a few integrate multiple energy vectors, spatial distribution optimization, and foresight approaches to identify realistic pathways. This work presents a multivector, multinodal optimization model for least-cost capacity expansion and retirement planning, formulated as a mixed-integer linear programming model. The model incorporates different foresight approaches to examine their influences on technology choices, investment timing, technology deployment sites, and system-wide costs and emissions. Applied to a case study in Sarawak, Malaysia, results show that perfect foresight supports smoother transitions with lower costs, whereas myopic foresight risks overshooting emissions and missing long-term targets. Importantly, incorporating intermediate emissions targets under myopic foresight helps align near-term actions with long-term objectives, which is essential when short-term uncertainties make myopic decision-making unavoidable. Although myopic planning raises the capital expenditure by 18.1%, incorporating intermediate emissions targets provides structured transition pathways and prevents capacity overexpansion.</w:t>
      </w:r>
    </w:p>
    <w:p>
      <w:pPr/>
      <w:r>
        <w:rPr>
          <w:b/>
        </w:rPr>
        <w:t>POSSIBLE 2025:</w:t>
      </w:r>
      <w:r>
        <w:t xml:space="preserve"> Simple Decision Making In Renewable Energy Planning — https://doi.org/10.62872/2dtp3r72</w:t>
      </w:r>
    </w:p>
    <w:p>
      <w:pPr/>
      <w:r>
        <w:rPr>
          <w:b/>
        </w:rPr>
        <w:t>Shared claim-specific concepts:</w:t>
      </w:r>
      <w:r>
        <w:t xml:space="preserve"> decision-making, transition, energy; EU scope not established. This is a provisional connection, not an outcome finding.</w:t>
      </w:r>
    </w:p>
    <w:p>
      <w:pPr>
        <w:pStyle w:val="SourceNote"/>
      </w:pPr>
      <w:r>
        <w:rPr>
          <w:b/>
        </w:rPr>
        <w:t>Available abstract (not full text):</w:t>
      </w:r>
      <w:r>
        <w:t xml:space="preserve"> Renewable energy planning is a complex process, involving multiple dimensions, including natural resource availability, government policies, and socio-economic factors. This study emphasizes the importance of a decision-making approach that is not only technically based, but also considers the social and political factors that influence policy implementation. Decision-making in renewable energy planning is often hampered by information inequality between stakeholders, social resistance, and policy instability that can slow down a sustainable energy transition. Multi-Criteria Decision Making (MCDM) methods have been used to help stakeholders choose the best option, but overly technical approaches can be a barrier in developing countries. Therefore, simpler and more data-driven approaches, such as heuristic models, become more relevant in contexts of uncertainty. This research uses a descriptive qualitative approach through case studies to explore the dynamics of decision-making in renewable energy planning. Data were collected through in-depth interviews, focus group discussions (FGDs), and document analysis. The results show that transparency, open communication and stakeholder participation are essential to overcome social and political barriers and support effective and sustainable renewable energy policy implementation.</w:t>
      </w:r>
    </w:p>
    <w:p>
      <w:pPr/>
      <w:r>
        <w:rPr>
          <w:b/>
        </w:rPr>
        <w:t>POSSIBLE 2024:</w:t>
      </w:r>
      <w:r>
        <w:t xml:space="preserve"> Sea Level Rise in Europe: Adaptation measures and decision-making principles — https://doi.org/10.5194/sp-3-slre1-6-2024</w:t>
      </w:r>
    </w:p>
    <w:p>
      <w:pPr/>
      <w:r>
        <w:rPr>
          <w:b/>
        </w:rPr>
        <w:t>Shared claim-specific concepts:</w:t>
      </w:r>
      <w:r>
        <w:t xml:space="preserve"> decision-making, technological, different; EU scope visible. This is a provisional connection, not an outcome finding.</w:t>
      </w:r>
    </w:p>
    <w:p>
      <w:pPr>
        <w:pStyle w:val="SourceNote"/>
      </w:pPr>
      <w:r>
        <w:rPr>
          <w:b/>
        </w:rPr>
        <w:t>Available abstract (not full text):</w:t>
      </w:r>
      <w:r>
        <w:t xml:space="preserve"> Abstract. Sea level rise (SLR) will increasingly impact European countries in the coming decades, posing challenges for coastal decision-making and the design and implementation of adaptation measures to address coastal risks. This chapter aims to provide guidance for the design and implementation of adaptation policies in European basins, and does so by, first, assessing the state-of-the-art of SLR adaptation measures in Europe, and second, presenting approaches suitable for supporting coastal adaptation decision making and addressing uncertainty. Assessment of SLR adaptation in Europe is carried out by developing a typology of measures based on the IPCC classification of accommodate, protect, advance, and retreat responses to SLR, supplemented with sub-types measures socio-economic, physical and technological, nature- and ecosystem-based characteristics. Surveying relevant literature measures being implemented in Europe are identified and characterised according to their effectiveness and location within the European sea basins. We find that adaptation strategies on Europe’s coasts constitute a mix of hard and soft measures, planning measures, policy developments, and stakeholder and community engagements. Across all basins, a common theme is the shift towards a combination of traditional engineering solutions with soft measures, including nature-based solutions, integrating </w:t>
      </w:r>
    </w:p>
    <w:p>
      <w:pPr/>
      <w:r>
        <w:rPr>
          <w:b/>
        </w:rPr>
        <w:t>POSSIBLE 2024:</w:t>
      </w:r>
      <w:r>
        <w:t xml:space="preserve"> Multi-Criteria Decision-Making Approach for Optimal Energy Storage System Selection and Applications in Oman — https://doi.org/10.3390/en17205197</w:t>
      </w:r>
    </w:p>
    <w:p>
      <w:pPr/>
      <w:r>
        <w:rPr>
          <w:b/>
        </w:rPr>
        <w:t>Shared claim-specific concepts:</w:t>
      </w:r>
      <w:r>
        <w:t xml:space="preserve"> decision-making, transition, energy, goals; EU scope not established. This is a provisional connection, not an outcome finding.</w:t>
      </w:r>
    </w:p>
    <w:p>
      <w:pPr>
        <w:pStyle w:val="SourceNote"/>
      </w:pPr>
      <w:r>
        <w:rPr>
          <w:b/>
        </w:rPr>
        <w:t>Available abstract (not full text):</w:t>
      </w:r>
      <w:r>
        <w:t xml:space="preserve"> This research aims to support the goals of Oman Vision 2040 by reducing the dependency on non-renewable energy resources and increasing the utilization of the national natural renewable energy resources. Selecting appropriate energy storage systems (ESSs) will play a key role in achieving this vision by enabling a greater integration of solar and other renewable energy. ESSs allow for solar power generated during daylight hours to be stored for use during peak demand periods. Additionally, the proposed framework provides guidance for large-scale ESS infrastructure planning and investments to support Oman’s renewable energy goals. As the global renewable energy market grows rapidly and Oman implements economic reforms, the ESS market is expected to flourish in Oman. In the near future, ESS is expected to contribute to lower electricity costs and enhance stability compared to traditional energy systems. While ESS technologies have been studied broadly, there is a lack of comprehensive analysis for optimal ESS selection tailored to Oman’s unique geographical, technical, and policy context. The main objective of this study is to provide a comprehensive evaluation of ESS options and identify the type(s) most suitable for integration with Oman’s national grid using a multi-criteria decision-making (MCDM) methodology. This study addresses this gap by applying the Hesitate Fuzzy Analyt</w:t>
      </w:r>
    </w:p>
    <w:p>
      <w:pPr/>
      <w:r>
        <w:rPr>
          <w:b/>
        </w:rPr>
        <w:t>POSSIBLE 2024:</w:t>
      </w:r>
      <w:r>
        <w:t xml:space="preserve"> Renewable Energy Preferences of European Countries and Türkiye: Use of Multi-Criteria Decision Making — https://doi.org/10.1007/s40866-024-00194-5</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Decision-making in Transition to Sustainable Energy — https://doi.org/10.7250/9789934229091</w:t>
      </w:r>
    </w:p>
    <w:p>
      <w:pPr/>
      <w:r>
        <w:rPr>
          <w:b/>
        </w:rPr>
        <w:t>Shared claim-specific concepts:</w:t>
      </w:r>
      <w:r>
        <w:t xml:space="preserve"> decision-making, transition, energy; EU scope not established. This is a provisional connection, not an outcome finding.</w:t>
      </w:r>
    </w:p>
    <w:p>
      <w:pPr>
        <w:pStyle w:val="SourceNote"/>
      </w:pPr>
      <w:r>
        <w:rPr>
          <w:b/>
        </w:rPr>
        <w:t>Available abstract (not full text):</w:t>
      </w:r>
      <w:r>
        <w:t xml:space="preserve"> The goal of the Thesis is to create an algorithm of decision-making, which takes into account existing knowledge about barriers and policies that hamper or facilitate development of sustainable energy by focusing on identifying and analysing stages and steps of decision-making throughout policy lifecycle, as well as identifying suitable methods of analysis at each stage and step of making decisions to support decision-making about energy and climate policy, and integrating those in the decision-making process with the purpose of ensuring a policy lifecycle leading to sustainable energy system.</w:t>
      </w:r>
    </w:p>
    <w:p>
      <w:pPr/>
      <w:r>
        <w:rPr>
          <w:b/>
        </w:rPr>
        <w:t>POSSIBLE 2023:</w:t>
      </w:r>
      <w:r>
        <w:t xml:space="preserve"> Multiplayer game for decision-making in energy communities — https://doi.org/10.54337/ijsepm.7549</w:t>
      </w:r>
    </w:p>
    <w:p>
      <w:pPr/>
      <w:r>
        <w:rPr>
          <w:b/>
        </w:rPr>
        <w:t>Shared claim-specific concepts:</w:t>
      </w:r>
      <w:r>
        <w:t xml:space="preserve"> decision-making, energy, goals; EU scope not established. This is a provisional connection, not an outcome finding.</w:t>
      </w:r>
    </w:p>
    <w:p>
      <w:pPr>
        <w:pStyle w:val="SourceNote"/>
      </w:pPr>
      <w:r>
        <w:rPr>
          <w:b/>
        </w:rPr>
        <w:t>Available abstract (not full text):</w:t>
      </w:r>
      <w:r>
        <w:t xml:space="preserve"> Energy communities are widely studied from various perspectives, especially in the context of geopolitical events of recent years, when humanity is faced with the need for urgent solutions to promote climate change and alleviate the crisis of energy resources. Although citizens' interest in the use of renewable resources has gradually grown, energy policy support measures for more active participation of society in the implementation of energy efficiency measures are still being implemented with variable success, especially through mutual agreement. Serious games are a rapidly growing tool for awareness and collaboration on a single platform for gamers seeking solutions to energy resource optimization issues. The paper focuses on energy community versus energy use practices, trends, and intervention strategies in multifamily residential blocks, using serious gaming and direct user online feedback. This study uses a multi-player simulation tool to enable the modelling of scenarios for energy efficiency measures for apartment building block residents and energy community target goals for decision-making decisions. User experience and game mechanics were tested on a pre-selected group. The results indicate positive feedback, including a practical application for both energy community and professionals, and provide valuable recommendations for further research and improvement of th</w:t>
      </w:r>
    </w:p>
    <w:p>
      <w:pPr/>
      <w:r>
        <w:rPr>
          <w:b/>
        </w:rPr>
        <w:t>POSSIBLE 2023:</w:t>
      </w:r>
      <w:r>
        <w:t xml:space="preserve"> Digital product passports for a circular economy: Data needs for product life cycle decision-making — https://doi.org/10.1016/j.spc.2023.02.021</w:t>
      </w:r>
    </w:p>
    <w:p>
      <w:pPr/>
      <w:r>
        <w:rPr>
          <w:b/>
        </w:rPr>
        <w:t>Shared claim-specific concepts:</w:t>
      </w:r>
      <w:r>
        <w:t xml:space="preserve"> decision-making, economy, three; EU scope not established. This is a provisional connection, not an outcome finding.</w:t>
      </w:r>
    </w:p>
    <w:p>
      <w:pPr>
        <w:pStyle w:val="SourceNote"/>
      </w:pPr>
      <w:r>
        <w:rPr>
          <w:b/>
        </w:rPr>
        <w:t>Available abstract (not full text):</w:t>
      </w:r>
      <w:r>
        <w:t xml:space="preserve"> Digital product passports have been proposed as a policy instrument to enable decision-making throughout product life cycles in favour of a circular economy. However, due to nascent conceptualisation and weak industrial embeddedness, the contents of such an instrument are a source of uncertainty. Situated in a mechatronics context, this multiple-case study explores the data needs for digital product passports. Extant research reveals seven data clusters: (1) usage and maintenance, (2) product identification, (3) products and materials, (4) guidelines and manuals, (5) supply chain and reverse logistics, (6) environmental data and (7) compliance. To contextualise these clusters, interviews with three original equipment manufacturers (OEMs) as well as their respective customers, service partners, suppliers and third-party recycling companies were conducted. Through a survey, each specific data point was assessed in terms of importance, availability and sensitivity. The findings show differentiating needs for data across these actors, yet the exchange of data and its supporting infrastructure for closing resource loops remain at low maturity. Consequently, policymakers are recommended to roll out digital product passports in gradual stages, while industrial managers should proactively reconfigure data flows to account for decision-making in a reverse supply chain. Future research i</w:t>
      </w:r>
    </w:p>
    <w:p>
      <w:pPr/>
      <w:r>
        <w:rPr>
          <w:b/>
        </w:rPr>
        <w:t>POSSIBLE 2023:</w:t>
      </w:r>
      <w:r>
        <w:t xml:space="preserve"> DanRETwin: A Digital Twin Solution for Optimal Energy Retrofit Decision-Making and Decarbonization of the Danish Building Stock — https://doi.org/10.3390/app13179778</w:t>
      </w:r>
    </w:p>
    <w:p>
      <w:pPr/>
      <w:r>
        <w:rPr>
          <w:b/>
        </w:rPr>
        <w:t>Shared claim-specific concepts:</w:t>
      </w:r>
      <w:r>
        <w:t xml:space="preserve"> decision-making, energy, challenging, assumptions; EU scope not established. This is a provisional connection, not an outcome finding.</w:t>
      </w:r>
    </w:p>
    <w:p>
      <w:pPr>
        <w:pStyle w:val="SourceNote"/>
      </w:pPr>
      <w:r>
        <w:rPr>
          <w:b/>
        </w:rPr>
        <w:t>Available abstract (not full text):</w:t>
      </w:r>
      <w:r>
        <w:t xml:space="preserve"> The current trend in renovating existing buildings is to perform retrofits on a case-by-case basis without a systematic assessment, using static tools with broad assumptions and generic inputs. As a result, only about 1% of the building stock undergoes energy renovations each year. To address this issue, new approaches and modern tools are necessary to enhance and expedite energy retrofits in Danish buildings. While there were a few initiatives and projects exploring the implementation of digital twins in building applications, the focus is primarily on newly constructed, highly energy-efficient buildings with integrated building information models (BIM). Conversely, existing and older buildings often lack any form of digital modeling, making it challenging to implement digital twins in those contexts. This paper presents an innovative digital twin solution, ‘DanRETwin’, which will provide decision-making support, retro-commissioning, and data-driven performance optimization for non-residential existing buildings. The proposed solution will utilize building operational data, employing machine learning and artificial intelligence techniques to develop scalable data-driven models of building energy. Additionally, clamp-on IoT sensors will be used for data collection, enabling a fully automated and flexible solution. By utilizing DanRETwin, building owners will enjoy higher energy</w:t>
      </w:r>
    </w:p>
    <w:p>
      <w:pPr/>
      <w:r>
        <w:rPr>
          <w:b/>
        </w:rPr>
        <w:t>POSSIBLE 2023:</w:t>
      </w:r>
      <w:r>
        <w:t xml:space="preserve"> Identifying the Right Policies for Increasing the Efficiency of the Renewable Energy Transition with a Novel Fuzzy Decision-Making Model — https://doi.org/10.31181/jscda1120234</w:t>
      </w:r>
    </w:p>
    <w:p>
      <w:pPr/>
      <w:r>
        <w:rPr>
          <w:b/>
        </w:rPr>
        <w:t>Shared claim-specific concepts:</w:t>
      </w:r>
      <w:r>
        <w:t xml:space="preserve"> decision-making, transition, energy, technological; EU scope not established. This is a provisional connection, not an outcome finding.</w:t>
      </w:r>
    </w:p>
    <w:p>
      <w:pPr>
        <w:pStyle w:val="SourceNote"/>
      </w:pPr>
      <w:r>
        <w:rPr>
          <w:b/>
        </w:rPr>
        <w:t>Available abstract (not full text):</w:t>
      </w:r>
      <w:r>
        <w:t xml:space="preserve"> Necessary improvements should be made to the determinants of renewable energy transition. However, it is necessary to give priority to the issues that are more important while making improvements to this process since all improvements cause cost increase. Therefore, a new analysis is needed in which the most important ones among these criteria will be determined. The purpose of this study is to identify the most essential items for renewable energy transition. Within this context, five criteria are selected based on the literature review results. Spherical fuzzy (TOPSIS-based DEMATEL) TOP-DEMATEL methodology is taken into consideration to calculate the weights of these indicators. In the second part of the study, alternatives are ranked with Spherical fuzzy ranking technique by geometric mean of similarity ratio to optimal solution (RATGOS). In this context, BRICS countries (Brazil, Russia, India, China, South Africa) are selected as alternatives. The main contribution is that a new method (RATGOS) is created while considering geometric mean in proportional concepts. On the other side, a new methodology (TOP-DEMATEL) is also proposed to overcome criticisms in DEMATEL. It is concluded that technological development plays the most important role for the success of renewable energy transition. Similarly, finding effective financial source is also very important in this condition. </w:t>
      </w:r>
    </w:p>
    <w:p>
      <w:pPr>
        <w:pStyle w:val="Heading2"/>
      </w:pPr>
      <w:r>
        <w:t>710. Future projections of temperature and mixing regime of  European temperate lakes</w:t>
      </w:r>
    </w:p>
    <w:p>
      <w:pPr>
        <w:pStyle w:val="SourceNote"/>
      </w:pPr>
      <w:r>
        <w:rPr>
          <w:b/>
        </w:rPr>
        <w:t>Original source (2019):</w:t>
      </w:r>
      <w:r>
        <w:t xml:space="preserve"> https://doi.org/10.5194/hess-23-1533-2019</w:t>
      </w:r>
    </w:p>
    <w:p>
      <w:pPr/>
      <w:r>
        <w:t>Original wording (abstract; indexed_source_text_not_full_document_verified): By mid-century, the frequency of ice and stratification-free winters was projected to increase by about 20 %, making ice cover rare and shifting the two deeper dimictic lakes to a predominantly monomictic regime. We forced the model with an ensemble of 12 climate projections (RCP4.5) up to 2100.</w:t>
      </w:r>
    </w:p>
    <w:p>
      <w:pPr/>
      <w:r>
        <w:rPr>
          <w:b/>
        </w:rPr>
        <w:t>POSSIBLE 2026:</w:t>
      </w:r>
      <w:r>
        <w:t xml:space="preserve"> Emergent constraint indicates forced decline in European winter windstorm frequency — https://doi.org/10.1088/1748-9326/ae845f</w:t>
      </w:r>
    </w:p>
    <w:p>
      <w:pPr/>
      <w:r>
        <w:rPr>
          <w:b/>
        </w:rPr>
        <w:t>Shared claim-specific concepts:</w:t>
      </w:r>
      <w:r>
        <w:t xml:space="preserve"> frequency, deeper, forced, ensemble, climate, projections; EU scope visible. This is a provisional connection, not an outcome finding.</w:t>
      </w:r>
    </w:p>
    <w:p>
      <w:pPr>
        <w:pStyle w:val="SourceNote"/>
      </w:pPr>
      <w:r>
        <w:rPr>
          <w:b/>
        </w:rPr>
        <w:t>Available abstract (not full text):</w:t>
      </w:r>
      <w:r>
        <w:t xml:space="preserve"> Abstract Windstorms are among the most damaging natural hazards during western Europe winter, yet large inter-model spread limits robust assessment of future frequency changes. We show that the historical Northern Hemisphere mid-latitude meridional pressure gradient, defined as the zonal index (ZI), explains much of the inter-model variability in projected winter windstorm frequency across 20 climate model realizations. Constraining projections using the ZI reduces uncertainty by 29% and lowers the likelihood of increasing windstorm frequency more than threefold. The constrained ensemble indicates a robust decline in pan-European windstorm frequency over the twenty-first century ( − 4.5 % ∘ C − 1 ± 3.4). A plausible mechanism involves coupled atmosphere–ocean feedbacks: more zonal models develop deeper North Atlantic mixed layers and a stronger North Atlantic warming hole, enhancing baroclinicity and promoting a jet extension over Europe. These results suggest extreme increases in windstorm frequency are unlikely, despite projected increases in storm severity, with important implications for future loss and impact assessments.</w:t>
      </w:r>
    </w:p>
    <w:p>
      <w:pPr/>
      <w:r>
        <w:rPr>
          <w:b/>
        </w:rPr>
        <w:t>POSSIBLE 2026:</w:t>
      </w:r>
      <w:r>
        <w:t xml:space="preserve"> Increased Frequency, Duration, and Area of Winter Polynyas North of Greenland in a Warming Climate — https://doi.org/10.1029/2025gl121125</w:t>
      </w:r>
    </w:p>
    <w:p>
      <w:pPr/>
      <w:r>
        <w:rPr>
          <w:b/>
        </w:rPr>
        <w:t>Shared claim-specific concepts:</w:t>
      </w:r>
      <w:r>
        <w:t xml:space="preserve"> frequency, ice, increase, climate, projections; EU scope not established. This is a provisional connection, not an outcome finding.</w:t>
      </w:r>
    </w:p>
    <w:p>
      <w:pPr>
        <w:pStyle w:val="SourceNote"/>
      </w:pPr>
      <w:r>
        <w:rPr>
          <w:b/>
        </w:rPr>
        <w:t>Available abstract (not full text):</w:t>
      </w:r>
      <w:r>
        <w:t xml:space="preserve"> Abstract Polynyas play a crucial role in the polar marine ecosystems and climate system. Four winter polynya events north of Greenland have been observed, but the response of winter polynyas to climate warming remains unknown. This study investigates projected changes in winter polynyas in the Wandel Sea north of Greenland using the AWI‐CM3 climate model, which features 2‐km ocean‐ice resolution in the Arctic. We show that the model successfully simulates the main characteristics of observed polynyas. Future projections indicate that, under continued climate warming, winter polynyas will increase substantially in frequency, duration, and spatial extent once sea ice thickness falls below approximately 1.5 m. By 2100, polynyas could occur up to twice per winter, with a winter total duration exceeding 15 days under the SSP5‐8.5 scenario. Our analysis indicates that sea ice thinning is likely the primary cause of these changes, as it reduces ice strength and enhances ice mobility.</w:t>
      </w:r>
    </w:p>
    <w:p>
      <w:pPr/>
      <w:r>
        <w:rPr>
          <w:b/>
        </w:rPr>
        <w:t>POSSIBLE 2026:</w:t>
      </w:r>
      <w:r>
        <w:t xml:space="preserve"> Simulating global ice volume across the Mid-Pleistocene Transition with a ramp-like increase in the deglaciation threshold — https://doi.org/10.5194/cp-22-675-2026</w:t>
      </w:r>
    </w:p>
    <w:p>
      <w:pPr/>
      <w:r>
        <w:rPr>
          <w:b/>
        </w:rPr>
        <w:t>Shared claim-specific concepts:</w:t>
      </w:r>
      <w:r>
        <w:t xml:space="preserve"> frequency, ice, increase, climate; EU scope not established. This is a provisional connection, not an outcome finding.</w:t>
      </w:r>
    </w:p>
    <w:p>
      <w:pPr>
        <w:pStyle w:val="SourceNote"/>
      </w:pPr>
      <w:r>
        <w:rPr>
          <w:b/>
        </w:rPr>
        <w:t>Available abstract (not full text):</w:t>
      </w:r>
      <w:r>
        <w:t xml:space="preserve"> Abstract. During the Quaternary period, spanning the last 2.6 million years, the characteristic frequency and amplitude of glacial-interglacial cycles evolved from low-amplitude 41,000-year cycles to high-amplitude 100,000-year cycles. This transition occurred around 1.2 to 0.8 million years ago and is referred to as the Mid-Pleistocene Transition (MPT). While the 41 kyr cycles are driven by changes in Earth’s obliquity, which largely affect the incoming solar insolation, no apparent change in external orbital forcing during this period could explain the shift towards 100 kyr cycles. Several theories have been put forward to explain this shift, including scenarios of both gradual and abrupt changes in the internal climate system throughout the Pleistocene. In order to test which theory best matches the observations, we have constructed a conceptual model capable of simulating changes in the global ice volume over the past 2.6 Ma and accurately reconstructing the MPT and its associated change in amplitude and frequency. Four different forcing scenarios are implemented, ranging from a purely orbitally driven model to a ramp-like change in internal forcing. The model is in favour of a ramp-like forcing scenario, where the gradual change in internal forcing is limited in time and started around 2 Ma. These findings imply that the climate system had already undergone major changes i</w:t>
      </w:r>
    </w:p>
    <w:p>
      <w:pPr/>
      <w:r>
        <w:rPr>
          <w:b/>
        </w:rPr>
        <w:t>POSSIBLE 2025:</w:t>
      </w:r>
      <w:r>
        <w:t xml:space="preserve"> Widespread Increase in Atmospheric River Frequency and Impacts Over the 20th Century — https://doi.org/10.1029/2025av001888</w:t>
      </w:r>
    </w:p>
    <w:p>
      <w:pPr/>
      <w:r>
        <w:rPr>
          <w:b/>
        </w:rPr>
        <w:t>Shared claim-specific concepts:</w:t>
      </w:r>
      <w:r>
        <w:t xml:space="preserve"> frequency, increase, about, climate, projections; EU scope not established. This is a provisional connection, not an outcome finding.</w:t>
      </w:r>
    </w:p>
    <w:p>
      <w:pPr>
        <w:pStyle w:val="SourceNote"/>
      </w:pPr>
      <w:r>
        <w:rPr>
          <w:b/>
        </w:rPr>
        <w:t>Available abstract (not full text):</w:t>
      </w:r>
      <w:r>
        <w:t xml:space="preserve"> Abstract Atmospheric rivers (ARs) play a dominant role in water resource availability in many regions, and can cause substantial hazards, including extreme precipitation, flooding, and moist heatwaves. Despite this, there is substantial uncertainty about recent and ongoing changes in AR frequency and impacts. Here, we place recent observed trends in their longer‐term context using AR records extending back to 1940. Our results show that AR frequency has increased broadly across the midlatitudes, bridging the apparent discrepancy between the observed satellite‐era poleward shift and the general increase simulated in climate change projections. This increase in AR frequency enhances AR‐associated precipitation and snowfall across their region of influence in the mid‐ and high‐latitudes. We also find that, despite warmer surface temperatures associated with ARs, there is a decrease in the magnitude of AR‐associated temperature anomalies in high‐latitude regions due to Arctic amplification. An increase in AR‐associated humid heatwaves underscores the societal importance of changing AR activity.</w:t>
      </w:r>
    </w:p>
    <w:p>
      <w:pPr/>
      <w:r>
        <w:rPr>
          <w:b/>
        </w:rPr>
        <w:t>POSSIBLE 2025:</w:t>
      </w:r>
      <w:r>
        <w:t xml:space="preserve"> Increased frequency of planetary wave resonance events over the past half-century — https://doi.org/10.1073/pnas.2504482122</w:t>
      </w:r>
    </w:p>
    <w:p>
      <w:pPr/>
      <w:r>
        <w:rPr>
          <w:b/>
        </w:rPr>
        <w:t>Shared claim-specific concepts:</w:t>
      </w:r>
      <w:r>
        <w:t xml:space="preserve"> frequency, increase, climate; EU scope not established. This is a provisional connection, not an outcome finding.</w:t>
      </w:r>
    </w:p>
    <w:p>
      <w:pPr>
        <w:pStyle w:val="SourceNote"/>
      </w:pPr>
      <w:r>
        <w:rPr>
          <w:b/>
        </w:rPr>
        <w:t>Available abstract (not full text):</w:t>
      </w:r>
      <w:r>
        <w:t xml:space="preserve"> We demonstrate a tripling in the frequency of planetary wave resonance events over the past halfcentury, coinciding with the rise in persistent boreal summer weather extremes. This increase aligns with changes in the underlying climate conditions favoring these events, including amplified Arctic warming and land-sea thermal contrast. We also observe increased prevalence of resonant amplification events following the mature phase of strong El Niño events, suggesting that such events may precondition the mean state conditions in ways that favor large-scale quasi-stationary wave patterns and quasi-resonant wave amplification. Since the impact of anthropogenic warming on quasi-resonant amplification is not well captured by current-generation climate models, it is likely that models are underpredicting the potential increase, indicating even greater risk of persistent extreme summer weather events with ongoing warming.</w:t>
      </w:r>
    </w:p>
    <w:p>
      <w:pPr/>
      <w:r>
        <w:rPr>
          <w:b/>
        </w:rPr>
        <w:t>POSSIBLE 2024:</w:t>
      </w:r>
      <w:r>
        <w:t xml:space="preserve"> Winter thunderstorms in Poland (1951–2020) — https://doi.org/10.2478/environ-2024-0021</w:t>
      </w:r>
    </w:p>
    <w:p>
      <w:pPr/>
      <w:r>
        <w:rPr>
          <w:b/>
        </w:rPr>
        <w:t>Shared claim-specific concepts:</w:t>
      </w:r>
      <w:r>
        <w:t xml:space="preserve"> frequency, increase, rare, climate; EU scope visible. This is a provisional connection, not an outcome finding.</w:t>
      </w:r>
    </w:p>
    <w:p>
      <w:pPr>
        <w:pStyle w:val="SourceNote"/>
      </w:pPr>
      <w:r>
        <w:rPr>
          <w:b/>
        </w:rPr>
        <w:t>Available abstract (not full text):</w:t>
      </w:r>
      <w:r>
        <w:t xml:space="preserve"> Abstract One of the climate changes observed in mid-latitudes is the increase in the frequency of winter thunderstorms. These changes are also observed in Poland. For this reason, this study presents changes in the occurrence of thunderstorms in the cold half of the year and in winter in Poland from 1951 to 2020. The synoptic and thermodynamic conditions in the atmosphere, accompanied by particularly strong thunderstorms at this time of year, were also analysed based on selected cases of winter thun derstorms. The research was carried out on the basis of data from 46 synoptic stations, and the basic indicator was a day with a thunderstorm. Additionally, three cases of dangerous winter thunderstorms that occurred in Poland in the 21st century were analysed. For this purpose, synoptic maps, data from ERA5 reanalyses, aerological data and reports from the European Severe Weather Database were analysed. On this basis, it was found that there was a clear spatial differentiation of thunderstorms occurring in the cold half of the year, which in some regions of the country accounted for even more than 8% of all cases in the year. Although these thunderstorms are extremely rare, there are signs of an increase in their frequency during the studyperiod. The strongest influence on the occurrence of these phenomena in the cold season is air circulation and local conditions. Most of the thun</w:t>
      </w:r>
    </w:p>
    <w:p>
      <w:pPr/>
      <w:r>
        <w:rPr>
          <w:b/>
        </w:rPr>
        <w:t>POSSIBLE 2023:</w:t>
      </w:r>
      <w:r>
        <w:t xml:space="preserve"> The Mid-Pleistocene Climate Transition — https://doi.org/10.1146/annurev-earth-032320-104209</w:t>
      </w:r>
    </w:p>
    <w:p>
      <w:pPr/>
      <w:r>
        <w:rPr>
          <w:b/>
        </w:rPr>
        <w:t>Shared claim-specific concepts:</w:t>
      </w:r>
      <w:r>
        <w:t xml:space="preserve"> ice, about, climate; EU scope not established. This is a provisional connection, not an outcome finding.</w:t>
      </w:r>
    </w:p>
    <w:p>
      <w:pPr>
        <w:pStyle w:val="SourceNote"/>
      </w:pPr>
      <w:r>
        <w:rPr>
          <w:b/>
        </w:rPr>
        <w:t>Available abstract (not full text):</w:t>
      </w:r>
      <w:r>
        <w:t xml:space="preserve"> The timing of ice ages over the past ∼2,600 thousand years (kyr) follows pacing by cyclical changes in three aspects of Earth's orbit that influence the solar energy received as a function of latitude and season. Explaining the large magnitude of the climate changes is challenging, particularly so across the period of time from ∼1,250 to 750 ka—the Mid-Pleistocene Transition or MPT. The average repeat time of ice age cycles changed from an earlier 41-kyr rhythm to longer and more intense glaciations at a spacing of about 100 kyr. Explaining this change is very difficult because there was no corresponding change in the orbital pacing that would trigger a change in timing. While the first generation of hypotheses looked largely to changes in the behavior of Northern Hemisphere ice sheets, more recent work integrates ice behavior with new data capturing the evolution of other important aspects of past climate. A full explanation is still lacking, but attention increasingly focuses on the ocean carbon cycle and atmospheric CO2 levels as the crucial agents involved in the MPT. ▪The pattern of climate changes connected to the ice ages of the past few million years changed radically between about 1,250 and 750 thousand years ago, a time known as the Mid-Pleistocene Transition or MPT.▪While the glacial cycles were ultimately triggered by cyclical changes in Earth's orbit, the changes a</w:t>
      </w:r>
    </w:p>
    <w:p>
      <w:pPr/>
      <w:r>
        <w:rPr>
          <w:b/>
        </w:rPr>
        <w:t>POSSIBLE 2023:</w:t>
      </w:r>
      <w:r>
        <w:t xml:space="preserve"> Winter heavy precipitation events over Northern Europe modulated by a weaker NAO variability by the end of the 21st century — https://doi.org/10.1038/s41612-023-00396-1</w:t>
      </w:r>
    </w:p>
    <w:p>
      <w:pPr/>
      <w:r>
        <w:rPr>
          <w:b/>
        </w:rPr>
        <w:t>Shared claim-specific concepts:</w:t>
      </w:r>
      <w:r>
        <w:t xml:space="preserve"> two, ensemble; EU scope visible. This is a provisional connection, not an outcome finding.</w:t>
      </w:r>
    </w:p>
    <w:p>
      <w:pPr>
        <w:pStyle w:val="SourceNote"/>
      </w:pPr>
      <w:r>
        <w:rPr>
          <w:b/>
        </w:rPr>
        <w:t>Available abstract (not full text):</w:t>
      </w:r>
      <w:r>
        <w:t xml:space="preserve"> Abstract We use an ensemble of models participating in the Coupled Model Intercomparison Project phase 6 (CMIP6) to analyse the number of days with extreme winter precipitation over Northern Europe and its relationship to the North Atlantic Oscillation (NAO), for the historical period 1950–2014 and two future 21st-century scenarios. Here we find that over Northern Europe, the models project twice more extreme precipitation days by the end of the 21st century under the high-emission scenario compared to the historical period. We also find a weakening of the NAO variability in the second half of the 21st century in the high greenhouse gas emission scenario compared to the historical period, as well as an increasing correlation between extreme winter precipitation events and the NAO index in both future scenarios. Models with a projected decrease in the NAO variability across the 21st century show a positive trend in the number of days with extreme winter precipitation over Northern Europe. These results highlight the role played by NAO in modulating extreme winter precipitation events.</w:t>
      </w:r>
    </w:p>
    <w:p>
      <w:pPr/>
      <w:r>
        <w:rPr>
          <w:b/>
        </w:rPr>
        <w:t>POSSIBLE 2023:</w:t>
      </w:r>
      <w:r>
        <w:t xml:space="preserve"> Regional variability in peatland burning at mid-to high-latitudes during the Holocene — https://doi.org/10.1016/j.quascirev.2023.108020</w:t>
      </w:r>
    </w:p>
    <w:p>
      <w:pPr/>
      <w:r>
        <w:rPr>
          <w:b/>
        </w:rPr>
        <w:t>Shared claim-specific concepts:</w:t>
      </w:r>
      <w:r>
        <w:t xml:space="preserve"> frequency, ice, climate; EU scope visible. This is a provisional connection, not an outcome finding.</w:t>
      </w:r>
    </w:p>
    <w:p>
      <w:pPr>
        <w:pStyle w:val="SourceNote"/>
      </w:pPr>
      <w:r>
        <w:rPr>
          <w:b/>
        </w:rPr>
        <w:t>Available abstract (not full text):</w:t>
      </w:r>
      <w:r>
        <w:t xml:space="preserve"> Northern peatlands store globally-important amounts of carbon in the form of partly decomposed plant detritus. Drying associated with climate and land-use change may lead to increased fire frequency and severity in peatlands and the rapid loss of carbon to the atmosphere. However, our understanding of the patterns and drivers of peatland burning on an appropriate decadal to millennial timescale relies heavily on individual site-based reconstructions. For the first time, we synthesise peatland macrocharcoal records from across North America, Europe, and Patagonia to reveal regional variation in peatland burning during the Holocene. We used an existing database of proximal sedimentary charcoal to represent regional burning trends in the wider landscape for each region. Long-term trends in peatland burning appear to be largely climate driven, with human activities likely having an increasing influence in the late Holocene. Warmer conditions during the Holocene Thermal Maximum (∼9–6 cal. ka BP) were associated with greater peatland burning in North America's Atlantic coast, southern Scandinavia and the Baltics, and Patagonia. Since the Little Ice Age, peatland burning has declined across North America and in some areas of Europe. This decline is mirrored by a decrease in wider landscape burning in some, but not all sub-regions, linked to fire-suppression policies, and landscape fra</w:t>
      </w:r>
    </w:p>
    <w:p>
      <w:pPr/>
      <w:r>
        <w:rPr>
          <w:b/>
        </w:rPr>
        <w:t>POSSIBLE 2023:</w:t>
      </w:r>
      <w:r>
        <w:t xml:space="preserve"> Upper-tropospheric slightly ice-subsaturated regions: frequency of occurrence and statistical evidence for the appearance of contrail cirrus — https://doi.org/10.5194/acp-23-2251-2023</w:t>
      </w:r>
    </w:p>
    <w:p>
      <w:pPr/>
      <w:r>
        <w:rPr>
          <w:b/>
        </w:rPr>
        <w:t>Shared claim-specific concepts:</w:t>
      </w:r>
      <w:r>
        <w:t xml:space="preserve"> frequency, ice, increase; EU scope visible. This is a provisional connection, not an outcome finding.</w:t>
      </w:r>
    </w:p>
    <w:p>
      <w:pPr>
        <w:pStyle w:val="SourceNote"/>
      </w:pPr>
      <w:r>
        <w:rPr>
          <w:b/>
        </w:rPr>
        <w:t>Available abstract (not full text):</w:t>
      </w:r>
      <w:r>
        <w:t xml:space="preserve"> Abstract. Microphysical, optical, and environmental properties of contrail cirrus and natural cirrus were investigated by applying a new, statistically based contrail–cirrus separation method to 14.7 hours of cirrus cloud measurements during the airborne campaign ML-CIRRUS in Central Europe and the Northeast Atlantic flight corridor in Spring 2014. We find that pure contrail cirrus appears frequently at the aircraft cruising altitude (CA) range with ambient pressure varying from 200 to 245 hPa. They exhibit a higher median ice particle number concentration (Nice), a smaller median mass mean radius (Rice), and lower median ice water content (IWC) (median: Nice = 0.045 cm-3, Rice = 16.6 µm, IWC = 3.5 ppmv), and they are optically thinner (median extinction coefficient Ext = ~ 0.056 km-1) than the cirrus mixture of contrail cirrus, natural in situ-origin and liquid-origin cirrus found around the CA range (median: Nice = 0.038 cm-3, Rice = 24.1 µm, IWC = 8.3 ppmv, Ext = ~ 0.096 km-1). The lowest and thickest cirrus, consisting of a few large ice particles, are identified as pure natural liquid-origin cirrus (median: Nice = 0.018 cm-3, Rice = 42.4 µm, IWC = 21.7 ppmv, Ext = ~ 0.137 km-1). Furthermore, we observe that, in particular, contrail cirrus occurs more often in slightly ice-subsaturated instead of merely ice saturated to supersaturated air as often assumed, thus indicating t</w:t>
      </w:r>
    </w:p>
    <w:p>
      <w:pPr/>
      <w:r>
        <w:rPr>
          <w:b/>
        </w:rPr>
        <w:t>POSSIBLE 2023:</w:t>
      </w:r>
      <w:r>
        <w:t xml:space="preserve"> The frequency, intensity, and origin of floods in Poland in the 11th–15th centuries based on documentary evidence — https://doi.org/10.1016/j.jhydrol.2023.129778</w:t>
      </w:r>
    </w:p>
    <w:p>
      <w:pPr/>
      <w:r>
        <w:rPr>
          <w:b/>
        </w:rPr>
        <w:t>Shared claim-specific concepts:</w:t>
      </w:r>
      <w:r>
        <w:t xml:space="preserve"> frequency, about, two; EU scope visible. This is a provisional connection, not an outcome finding.</w:t>
      </w:r>
    </w:p>
    <w:p>
      <w:pPr>
        <w:pStyle w:val="SourceNote"/>
      </w:pPr>
      <w:r>
        <w:rPr>
          <w:b/>
        </w:rPr>
        <w:t>Available abstract (not full text):</w:t>
      </w:r>
      <w:r>
        <w:t xml:space="preserve"> Documentary evidence is increasingly being recognized as a precious source for assessing flood records. We have used this type of proxy data to identify the occurrence of floods in Poland from the 11th to the 15th centuries. In addition, we estimated the intensity of each flood event using the best-known classifications for Europe (Barriendos and Coeur, 2004, Brázdil et al., 2006) and assessed their origin based on modified Lambor’s (1954) criteria. The database of floods in Poland contains 166 occurrences in the study period. Most occurred in the 15th century (61.4%). Of the studied regions, Silesia and the Baltic Coast and Pomerania regions were the two most affected by flood events, each accounting for 33–34% of instances. Based on the Brázdil et al. (2006) classification, 77 of the recorded floods are above-average or supra-regional. Also, the indexation of floods based on Barriendos and Coeur (2004) demonstrated that 99 were extraordinary flood events. Rain and its subtypes were the leading causes of floods, with 79 records (47.6%). Flood occurrence in Poland exhibited good spatial coherency with neighboring countries. The updated and most complete inventory of floods in medieval Poland that we present here with a detailed analysis of their frequency, intensity and origin, improves the existing knowledge about this phenomenon in Central Europe. The results of this study, s</w:t>
      </w:r>
    </w:p>
    <w:p>
      <w:pPr/>
      <w:r>
        <w:rPr>
          <w:b/>
        </w:rPr>
        <w:t>POSSIBLE 2022:</w:t>
      </w:r>
      <w:r>
        <w:t xml:space="preserve"> Global wood anatomical perspective on the onset of the Late Antique Little Ice Age (LALIA) in the mid-6th century CE — https://doi.org/10.1016/j.scib.2022.10.019</w:t>
      </w:r>
    </w:p>
    <w:p>
      <w:pPr/>
      <w:r>
        <w:rPr>
          <w:b/>
        </w:rPr>
        <w:t>Shared claim-specific concepts:</w:t>
      </w:r>
      <w:r>
        <w:t xml:space="preserve"> ice, two, climate; EU scope not established. This is a provisional connection, not an outcome finding.</w:t>
      </w:r>
    </w:p>
    <w:p>
      <w:pPr>
        <w:pStyle w:val="SourceNote"/>
      </w:pPr>
      <w:r>
        <w:rPr>
          <w:b/>
        </w:rPr>
        <w:t>Available abstract (not full text):</w:t>
      </w:r>
      <w:r>
        <w:t xml:space="preserve"> Linked to major volcanic eruptions around 536 and 540 CE, the onset of the Late Antique Little Ice Age has been described as the coldest period of the past two millennia. The exact timing and spatial extent of this exceptional cold phase are, however, still under debate because of the limited resolution and geographical distribution of the available proxy archives. Here, we use 106 wood anatomical thin sections from 23 forest sites and 20 tree species in both hemispheres to search for cell-level fingerprints of ephemeral summer cooling between 530 and 550 CE. After cross-dating and double-staining, we identified 89 Blue Rings (lack of cell wall lignification), nine Frost Rings (cell deformation and collapse), and 93 Light Rings (reduced cell wall thickening) in the Northern Hemisphere. Our network reveals evidence for the strongest temperature depression between mid-July and early-August 536 CE across North America and Eurasia, whereas more localised cold spells occurred in the summers of 532, 540-43, and 548 CE. The lack of anatomical signatures in the austral trees suggests limited incursion of stratospheric volcanic aerosol into the Southern Hemisphere extra-tropics, that any forcing was mitigated by atmosphere-ocean dynamical responses and/or concentrated outside the growing season, or a combination of factors. Our findings demonstrate the advantage of wood anatomical inves</w:t>
      </w:r>
    </w:p>
    <w:p>
      <w:pPr>
        <w:pStyle w:val="Heading2"/>
      </w:pPr>
      <w:r>
        <w:t>711. How much can societal turning points affect forecasts’ accuracy in Europe? Case of post-communistic transformation in Slovakia and the Czech Republic</w:t>
      </w:r>
    </w:p>
    <w:p>
      <w:pPr>
        <w:pStyle w:val="SourceNote"/>
      </w:pPr>
      <w:r>
        <w:rPr>
          <w:b/>
        </w:rPr>
        <w:t>Original source (2019):</w:t>
      </w:r>
      <w:r>
        <w:t xml:space="preserve"> https://doi.org/10.1186/s40309-019-0158-z</w:t>
      </w:r>
    </w:p>
    <w:p>
      <w:pPr/>
      <w:r>
        <w:t>Original wording (abstract; indexed_source_text_not_full_document_verified): Here, the alternative future is built and simulated in terms of what the populations would have looked like if the socialist system had not collapsed.</w:t>
      </w:r>
    </w:p>
    <w:p>
      <w:pPr/>
      <w:r>
        <w:rPr>
          <w:b/>
        </w:rPr>
        <w:t>POSSIBLE 2026:</w:t>
      </w:r>
      <w:r>
        <w:t xml:space="preserve"> From Moral Crusade to European Reality: The Rights of Nature “Solution” in Search of a Problem — https://doi.org/10.1017/aju.2026.10088</w:t>
      </w:r>
    </w:p>
    <w:p>
      <w:pPr/>
      <w:r>
        <w:rPr>
          <w:b/>
        </w:rPr>
        <w:t>Shared claim-specific concepts:</w:t>
      </w:r>
      <w:r>
        <w:t xml:space="preserve"> here, alternative, built, not; EU scope visible. This is a provisional connection, not an outcome finding.</w:t>
      </w:r>
    </w:p>
    <w:p>
      <w:pPr>
        <w:pStyle w:val="SourceNote"/>
      </w:pPr>
      <w:r>
        <w:rPr>
          <w:b/>
        </w:rPr>
        <w:t>Available abstract (not full text):</w:t>
      </w:r>
      <w:r>
        <w:t xml:space="preserve"> By what sleight of hand could the simple idea of personifying nature and granting it rights outperform contemporary environmental law, a sophisticated normative edifice built over the last fifty years? This is the question that led me, about a decade ago, to engage critically with rights of nature. 1 In this essay, I focus on the concept from a European standpoint, without claiming to do full justice to the live debate over the concept in other jurisdictions, such as Latin America, New Zealand, and the United States. I challenge the claim that rights of nature offer a meaningful legal alternative to contemporary environmental law in Europe. The arguments advanced here, however, have broader relevance: European law — including under the European Convention on Human Rights — shows that effective protection of nature does not require personification, and the theoretical critiques of rights of nature are also relevant to the international debate. The argument that it might provide such an alternative rests on a form of ancient natural law thinking, and it carries a strong ideological charge that leads to a flawed diagnosis of what environmental law actually is and does. Rather than re-inventing environmental law through personification of nature, the pressing task is to sustain the existing legal framework.</w:t>
      </w:r>
    </w:p>
    <w:p>
      <w:pPr/>
      <w:r>
        <w:rPr>
          <w:b/>
        </w:rPr>
        <w:t>POSSIBLE 2025:</w:t>
      </w:r>
      <w:r>
        <w:t xml:space="preserve"> Population genomics and molecular epidemiology of wheat powdery mildew in Europe — https://doi.org/10.1371/journal.pbio.3003097</w:t>
      </w:r>
    </w:p>
    <w:p>
      <w:pPr/>
      <w:r>
        <w:rPr>
          <w:b/>
        </w:rPr>
        <w:t>Shared claim-specific concepts:</w:t>
      </w:r>
      <w:r>
        <w:t xml:space="preserve"> here, populations, not; EU scope visible. This is a provisional connection, not an outcome finding.</w:t>
      </w:r>
    </w:p>
    <w:p>
      <w:pPr>
        <w:pStyle w:val="SourceNote"/>
      </w:pPr>
      <w:r>
        <w:rPr>
          <w:b/>
        </w:rPr>
        <w:t>Available abstract (not full text):</w:t>
      </w:r>
      <w:r>
        <w:t xml:space="preserve"> Agricultural diseases are a major threat to sustainable food production. Yet, for many pathogens we know exceptionally little about their epidemiological and population dynamics, and this knowledge gap is slowing the development of efficient control strategies. Here we study the population genomics and molecular epidemiology of wheat powdery mildew, a disease caused by the biotrophic fungus Blumeria graminis forma specialis tritici (Bgt). We sampled Bgt across two consecutive years, 2022 and 2023, and compiled a genomic dataset of 415 Bgt isolates from 22 countries in Europe and surrounding regions. We identified a single epidemic unit in the north of Europe, consisting of a highly homogeneous population. Conversely, the south of Europe hosts smaller local populations which are less interconnected. In addition, we show that the population structure can be largely predicted by the prevalent wind patterns. We identified several loci that were under selection in the recent past, including fungicide targets and avirulence genes. Some of these loci are common between populations, while others are not, suggesting different local selective pressures. We reconstructed the evolutionary history of one of these loci, AvrPm17, coding for an effector recognized by the wheat receptor Pm17. We found evidence for a soft sweep on standing genetic variation. Multiple AvrPm17 haplotypes, which ca</w:t>
      </w:r>
    </w:p>
    <w:p>
      <w:pPr/>
      <w:r>
        <w:rPr>
          <w:b/>
        </w:rPr>
        <w:t>POSSIBLE 2025:</w:t>
      </w:r>
      <w:r>
        <w:t xml:space="preserve"> The Presence of Alternative Tree Species in European Beech Forests Drives Change in Functional Diversity and Composition of Forest Floor Plant Communities — https://doi.org/10.1111/jvs.70058</w:t>
      </w:r>
    </w:p>
    <w:p>
      <w:pPr/>
      <w:r>
        <w:rPr>
          <w:b/>
        </w:rPr>
        <w:t>Shared claim-specific concepts:</w:t>
      </w:r>
      <w:r>
        <w:t xml:space="preserve"> here, alternative, built; EU scope visible. This is a provisional connection, not an outcome finding.</w:t>
      </w:r>
    </w:p>
    <w:p>
      <w:pPr>
        <w:pStyle w:val="SourceNote"/>
      </w:pPr>
      <w:r>
        <w:rPr>
          <w:b/>
        </w:rPr>
        <w:t>Available abstract (not full text):</w:t>
      </w:r>
      <w:r>
        <w:t xml:space="preserve"> ABSTRACT Questions The diversity and composition of functional traits within plant communities have repeatedly been shown to be important predictors of overall ecosystem stability and the provision of basic ecosystem services. Admixing alternative tree species to monodominant European beech forests, a common measure of silvicultural climate change adaptation, is known to affect species diversity and composition of forest floor vegetation. Here we studied whether this adaptation measure also affects the functional diversity and composition of understorey plant communities. Location The study was carried out in temperate beech forests of southwest Germany in Central Europe. Methods We used the four key plant traits seed mass (SDM), plant height (PHV), leaf dry‐matter content (LDMC) and specific leaf area (SLA) to calculate the distance‐based functional richness (FRic), functional evenness (FEve), functional divergence (FDiv) and the community‐weighted mean (CWM) plant traits of herb layer plant communities. Generalised mixed models were built to test the effects of gradually admixed Douglas fir (Pseudotsuga menziesii), silver fir (Abies alba), sessile oak (Quercus petraea), red oak (Quercus rubra) and various mixtures of native broadleaves on functional diversity and composition. Results The presence of Douglas fir and silver fir was associated with increased FRic of the understo</w:t>
      </w:r>
    </w:p>
    <w:p>
      <w:pPr/>
      <w:r>
        <w:rPr>
          <w:b/>
        </w:rPr>
        <w:t>POSSIBLE 2023:</w:t>
      </w:r>
      <w:r>
        <w:t xml:space="preserve"> Probiotic-Based Sanitation in the Built Environment—An Alternative to Chemical Disinfectants — https://doi.org/10.3390/applmicrobiol3020038</w:t>
      </w:r>
    </w:p>
    <w:p>
      <w:pPr/>
      <w:r>
        <w:rPr>
          <w:b/>
        </w:rPr>
        <w:t>Shared claim-specific concepts:</w:t>
      </w:r>
      <w:r>
        <w:t xml:space="preserve"> here, alternative, built; EU scope not established. This is a provisional connection, not an outcome finding.</w:t>
      </w:r>
    </w:p>
    <w:p>
      <w:pPr>
        <w:pStyle w:val="SourceNote"/>
      </w:pPr>
      <w:r>
        <w:rPr>
          <w:b/>
        </w:rPr>
        <w:t>Available abstract (not full text):</w:t>
      </w:r>
      <w:r>
        <w:t xml:space="preserve"> The use of conventional chemical disinfectants is a common practice in built environments and has drastically increased in response to the COVID-19 pandemic. While effective for instantaneous disinfection, the application of chemical disinfectants to indoor surfaces is associated with recontamination and is prone to select for antimicrobial-resistant pathogens. In contrast, probiotic-based sanitation (PBS) relies on the premise that probiotic bacteria, namely apathogenic Bacillus spp., when combined with eco-friendly detergents and applied to indoor surfaces can outcompete and exclude pathogens. Recent in situ studies assessing PBS in healthcare settings have demonstrated overwhelmingly positive results, including significant reductions in pathogen burden, antimicrobial-resistant genes and nosocomial infections, yet these studies are limited in duration and scope. Here, we review results of Bacillus-based PBS in practice, identify knowledge gaps and discuss the considerations for the widespread use of PBS in built environments. In a time when indoor cleaning and disinfection has come to the forefront, PBS may offer an attractive, effective and sustainable alternative to conventional chemical disinfectants.</w:t>
      </w:r>
    </w:p>
    <w:p>
      <w:pPr/>
      <w:r>
        <w:rPr>
          <w:b/>
        </w:rPr>
        <w:t>POSSIBLE 2023:</w:t>
      </w:r>
      <w:r>
        <w:t xml:space="preserve"> Ecospirituality in French-Speaking Europe: Linking Ecological Thought with Alternative Spirituality — https://doi.org/10.3390/rel14040510</w:t>
      </w:r>
    </w:p>
    <w:p>
      <w:pPr/>
      <w:r>
        <w:rPr>
          <w:b/>
        </w:rPr>
        <w:t>Shared claim-specific concepts:</w:t>
      </w:r>
      <w:r>
        <w:t xml:space="preserve"> here, alternative, built; EU scope visible. This is a provisional connection, not an outcome finding.</w:t>
      </w:r>
    </w:p>
    <w:p>
      <w:pPr>
        <w:pStyle w:val="SourceNote"/>
      </w:pPr>
      <w:r>
        <w:rPr>
          <w:b/>
        </w:rPr>
        <w:t>Available abstract (not full text):</w:t>
      </w:r>
      <w:r>
        <w:t xml:space="preserve"> Contemporary ecospirituality is built on a double articulation between ecology (science) and spirituality (religion) and can be intertwined with practices and beliefs stemming from neopaganism and, more broadly, an animist vision. The study presented here is anchored in social anthropology, which adds an important empirical dimension that is often underrepresented within the contemporary debates of ecospirituality and the philosophical approaches to science and religion. I therefore propose to begin by describing the methodology I am using. Then, I will outline the sociological (and historical) roots of ecospirituality. Thirdly, I will present the main different currents that make up ecospirituality. Finally, I will end this article by exposing the different types of knowledge produced by ecospiritual actors, reconciling intuitive knowledge and rational knowledge.</w:t>
      </w:r>
    </w:p>
    <w:p>
      <w:pPr/>
      <w:r>
        <w:rPr>
          <w:b/>
        </w:rPr>
        <w:t>POSSIBLE 2023:</w:t>
      </w:r>
      <w:r>
        <w:t xml:space="preserve"> Temporal PROMETHEE II — New multi-criteria approach to sustainable management of alternative fuels consumption — https://doi.org/10.1016/j.jclepro.2023.137445</w:t>
      </w:r>
    </w:p>
    <w:p>
      <w:pPr/>
      <w:r>
        <w:rPr>
          <w:b/>
        </w:rPr>
        <w:t>Shared claim-specific concepts:</w:t>
      </w:r>
      <w:r>
        <w:t xml:space="preserve"> here, alternative, built, like, not; EU scope visible. This is a provisional connection, not an outcome finding.</w:t>
      </w:r>
    </w:p>
    <w:p>
      <w:pPr>
        <w:pStyle w:val="SourceNote"/>
      </w:pPr>
      <w:r>
        <w:rPr>
          <w:b/>
        </w:rPr>
        <w:t>Available abstract (not full text):</w:t>
      </w:r>
      <w:r>
        <w:t xml:space="preserve"> Alternative fuels are the subject of growing interest among both researchers and practitioners. In this aspect, to properly handle the problem of proper evaluating alternative fuels, appropriate methods, and tools are undoubtedly needed. Since the evaluation of sustainable alternative fuels similarly, like most sustainability problems, has a multi-criteria character, multi-criteria methods have the potential to be employed here. Analysis of the alternative fuels domain indicates that classical multi-criteria methods are not exactly suitable for use in cases where, instead of a single matrix for evaluating alternatives, we have a set of them collected for particular periods. Therefore, developing a dedicated approach that considers the specifics of a given problem is necessary. For this purpose, the paper proposes a new Temporal Preference Ranking Organization Method for Enrichment Evaluations II (PROMETHEE II) method for multi-criteria temporal evaluation. Hence, the presented method solves the limitations occurring in previously developed multi-criteria methods. In addition to the classical aspect of evaluating the options under consideration, the proposed method makes it possible to accurately grasp the dynamics of the outcomes and put them into an easy-to-interpret result. A practical contribution of the paper is applying the developed method to a multi-criteria temporal eva</w:t>
      </w:r>
    </w:p>
    <w:p>
      <w:pPr/>
      <w:r>
        <w:rPr>
          <w:b/>
        </w:rPr>
        <w:t>POSSIBLE 2023:</w:t>
      </w:r>
      <w:r>
        <w:t xml:space="preserve"> Farmland practices are driving bird population decline across Europe — https://doi.org/10.1073/pnas.2216573120</w:t>
      </w:r>
    </w:p>
    <w:p>
      <w:pPr/>
      <w:r>
        <w:rPr>
          <w:b/>
        </w:rPr>
        <w:t>Shared claim-specific concepts:</w:t>
      </w:r>
      <w:r>
        <w:t xml:space="preserve"> here, populations, not;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Crime and Punishment—Crime Rates and Prison Population in Europe — https://doi.org/10.3390/laws12010019</w:t>
      </w:r>
    </w:p>
    <w:p>
      <w:pPr/>
      <w:r>
        <w:rPr>
          <w:b/>
        </w:rPr>
        <w:t>Shared claim-specific concepts:</w:t>
      </w:r>
      <w:r>
        <w:t xml:space="preserve"> here, terms, populations; EU scope visible. This is a provisional connection, not an outcome finding.</w:t>
      </w:r>
    </w:p>
    <w:p>
      <w:pPr>
        <w:pStyle w:val="SourceNote"/>
      </w:pPr>
      <w:r>
        <w:rPr>
          <w:b/>
        </w:rPr>
        <w:t>Available abstract (not full text):</w:t>
      </w:r>
      <w:r>
        <w:t xml:space="preserve"> This paper presents an attempt at establishing an association between crime levels and prison populations across European countries. We observe that the situation in Central and Eastern European countries differs distinctly from the rest of Europe. Building on this, we offer justification that is methodologically based on correlations and regressions of country incarceration rates on crime rates, with reference to governance indicators. Our cross-sectional analysis uses data on crime and prisoner rates by offence from Eurostat and SPACE for the year 2018. The paper’s empirical analysis is preceded by a discussion of the challenges faced when attempting to compare crime between countries in Europe. A review of research focused on relationships between incarceration and crime follows, with the emphasis on the deterrence effect and the prison paradox. Typically, this stream of research uses microdata covering a single country or limited to a smaller geographic area. International comparisons are rare, and are usually based on time series and trend analyses. The quantitative approach applied here is based on recognizing two clusters of countries: the Central and Eastern European (CEE) cluster and the Western European (WE) cluster. We show that the observation of higher prisoner rates and lower crime rates for CEE countries is confirmed with regression analysis. Our study encompasse</w:t>
      </w:r>
    </w:p>
    <w:p>
      <w:pPr/>
      <w:r>
        <w:rPr>
          <w:b/>
        </w:rPr>
        <w:t>POSSIBLE 2022:</w:t>
      </w:r>
      <w:r>
        <w:t xml:space="preserve"> Financial platforms as alternative financial instrument to crediting in Europe — https://doi.org/10.22616/rrd.28.2022.029</w:t>
      </w:r>
    </w:p>
    <w:p>
      <w:pPr/>
      <w:r>
        <w:rPr>
          <w:b/>
        </w:rPr>
        <w:t>Shared claim-specific concepts:</w:t>
      </w:r>
      <w:r>
        <w:t xml:space="preserve"> alternative, like, system; EU scope visible. This is a provisional connection, not an outcome finding.</w:t>
      </w:r>
    </w:p>
    <w:p>
      <w:pPr>
        <w:pStyle w:val="SourceNote"/>
      </w:pPr>
      <w:r>
        <w:rPr>
          <w:b/>
        </w:rPr>
        <w:t>Available abstract (not full text):</w:t>
      </w:r>
      <w:r>
        <w:t xml:space="preserve"> The significance of financial technologies constantly grows as they have become a part of national economies. Sharing economy or alternative financing includes various digital financial activities outside the traditional banking system like crowdfunding, peer-to-peer lending and other alternatives. The research aim is to evaluate alternative finance trends in Europe. The research results show that peer-to-peer platforms mainly ensuring a high return rate have recently become very popular allowing to invest resources in various projects including real estate, loans, invoice trading and businesses. The main significant drawback of these platforms is that they are risky. The alternative finance market volumes continue to increase steadily year by year reaching USD 22.60 billion in 2020 and the United Kingdom has the largest market share of 59.35% (USD 12.6 billion) in 2020. At the beginning of 2022, there are 315 alternative finance platforms in Europe, the largest number of alternative finance platforms operate in the UK, and peer-to-peer lending (both consumer and business) and invoice trading are three the most widespread types of alternative finance in Europe covering 68% of the entire market size. The rest types of alternative finance occupy considerably lower market shares, i.e. 3-7% each. The decrease in P2P lending volumes in 2020 might be directly related with the Covid p</w:t>
      </w:r>
    </w:p>
    <w:p>
      <w:pPr/>
      <w:r>
        <w:rPr>
          <w:b/>
        </w:rPr>
        <w:t>POSSIBLE 2022:</w:t>
      </w:r>
      <w:r>
        <w:t xml:space="preserve"> Neolithization and Population Replacement in Britain: An Alternative View — https://doi.org/10.1017/s0959774321000639</w:t>
      </w:r>
    </w:p>
    <w:p>
      <w:pPr/>
      <w:r>
        <w:rPr>
          <w:b/>
        </w:rPr>
        <w:t>Shared claim-specific concepts:</w:t>
      </w:r>
      <w:r>
        <w:t xml:space="preserve"> here, alternative, populations; EU scope visible. This is a provisional connection, not an outcome finding.</w:t>
      </w:r>
    </w:p>
    <w:p>
      <w:pPr>
        <w:pStyle w:val="SourceNote"/>
      </w:pPr>
      <w:r>
        <w:rPr>
          <w:b/>
        </w:rPr>
        <w:t>Available abstract (not full text):</w:t>
      </w:r>
      <w:r>
        <w:t xml:space="preserve"> Investigation of British Mesolithic and Neolithic genomes suggests discontinuity between the two and has been interpreted as indicating a significant migration of continental farmers, displacing the indigenous population. These incomers had already acquired some hunter-gatherer genetic heritage before their arrival, and this increased little in Britain. However, the proportion of hunter-gatherer genetic ancestry in British Neolithic genomes is generally greater than for most contemporary examples on the continent, particularly in emerging evidence from northern France, while the ultimate origin of British Neolithic populations in Iberia is open to question. Both the date calculated for the arrival of new people in Britain and their westerly origin are at odds with other aspects of the existing evidence. Here, a two-phase model of Neolithization is proposed. The first appearance of Neolithic things and practices significantly predated a more substantial transfer of population, creating the conditions under which new communities could be brought into being. The rather later establishment of a major migration stream coincided with an acceleration in the spread of Neolithic artefacts and activities, as well as an enrichment of the Neolithic material assemblage.</w:t>
      </w:r>
    </w:p>
    <w:p>
      <w:pPr/>
      <w:r>
        <w:rPr>
          <w:b/>
        </w:rPr>
        <w:t>POSSIBLE 2022:</w:t>
      </w:r>
      <w:r>
        <w:t xml:space="preserve"> Voluntary (NGO) Sector’s Involvement in Health Promotion for Older Population in Europe — https://doi.org/10.2427/12420</w:t>
      </w:r>
    </w:p>
    <w:p>
      <w:pPr/>
      <w:r>
        <w:rPr>
          <w:b/>
        </w:rPr>
        <w:t>Shared claim-specific concepts:</w:t>
      </w:r>
      <w:r>
        <w:t xml:space="preserve"> alternative, system, not; EU scope visible. This is a provisional connection, not an outcome finding.</w:t>
      </w:r>
    </w:p>
    <w:p>
      <w:pPr>
        <w:pStyle w:val="SourceNote"/>
      </w:pPr>
      <w:r>
        <w:rPr>
          <w:b/>
        </w:rPr>
        <w:t>Available abstract (not full text):</w:t>
      </w:r>
      <w:r>
        <w:t xml:space="preserve"> Background and objective: The NGO’s (non-governmental organisations’) role in health promotion is very much praised and encouraged. The basic features of this sector, namely social participation, voluntary activity and self-help, are by default considered as beneficial for health promotion for older people. New policy approaches stimulate NGOs involvement in it. This makes questions about this involvement – its role, context and success – increasingly relevant. Method: The research is based on narrative literature review as well as interviews and consultations with informers (practitioners and experts) in selected European countries. Results: Voluntary/NGO sector increases its role as a complimentary or alternative source of health promotion for older people in Europe. Its involvement, roles and functions as well as actual significance, however, depends on a number of factors. It depends on the sustainability of funding, stability of employment, elderly participation rate and recognized availability of services. Those factors are determined by socio-economic and systemic conditions: a country-specific model of third sector, overall social attitudes towards participation and system of governance in health promotion. Conclusion: The sector’s significance is widely acknowledged, however, its impact is often only assumed rather that sufficiently assessed and proven. By its voluntar</w:t>
      </w:r>
    </w:p>
    <w:p>
      <w:pPr/>
      <w:r>
        <w:rPr>
          <w:b/>
        </w:rPr>
        <w:t>POSSIBLE 2021:</w:t>
      </w:r>
      <w:r>
        <w:t xml:space="preserve"> Alternative Indicators of Population Ageing: An Inventory — https://doi.org/10.1553/0x003d068b</w:t>
      </w:r>
    </w:p>
    <w:p>
      <w:pPr/>
      <w:r>
        <w:rPr>
          <w:b/>
        </w:rPr>
        <w:t>Shared claim-specific concepts:</w:t>
      </w:r>
      <w:r>
        <w:t xml:space="preserve"> alternative, terms, not; EU scope not established. This is a provisional connection, not an outcome finding.</w:t>
      </w:r>
    </w:p>
    <w:p>
      <w:pPr>
        <w:pStyle w:val="SourceNote"/>
      </w:pPr>
      <w:r>
        <w:rPr>
          <w:b/>
        </w:rPr>
        <w:t>Available abstract (not full text):</w:t>
      </w:r>
      <w:r>
        <w:t xml:space="preserve"> The extent, speed and impact of population ageing have often been exaggerated becausestandard indicators such as the Old-Age Dependency Ratio or Support Ratio do not takeproper account of falling mortality, the changing relationship between age and employment,or (usually) both. Neither do such ratios consider the changing composition in terms ofeducational attainment, human capital or other population characteristics. Not surprisingly,over the last decade or so demographers have developed alternatives. This paper provides anoverview of such alternatives and briefly discusses their utility.</w:t>
      </w:r>
    </w:p>
    <w:p>
      <w:pPr>
        <w:pStyle w:val="Heading2"/>
      </w:pPr>
      <w:r>
        <w:t>712. Implementing Dynamics of Immigration Integration in Labor Force Participation Projection in EU28</w:t>
      </w:r>
    </w:p>
    <w:p>
      <w:pPr>
        <w:pStyle w:val="SourceNote"/>
      </w:pPr>
      <w:r>
        <w:rPr>
          <w:b/>
        </w:rPr>
        <w:t>Original source (2019):</w:t>
      </w:r>
      <w:r>
        <w:t xml:space="preserve"> https://doi.org/10.1007/s11113-019-09537-y</w:t>
      </w:r>
    </w:p>
    <w:p>
      <w:pPr/>
      <w:r>
        <w:t>Original wording (abstract; indexed_source_text_not_full_document_verified): Then, the microsimulation model is used to project EU labor force population for the period 2015–2060 under different scenarios illustrating how implementing sex- and country-specific dynamics of immigrants’ integration may affect the future labor force in terms of size, rates, and gender composition. An increase in immigration levels leads obviously to an increase in the total labor force size, but may also widen gender inequalities in labor force participation and has limited impact on the total labor force participation rate.</w:t>
      </w:r>
    </w:p>
    <w:p>
      <w:pPr/>
      <w:r>
        <w:rPr>
          <w:b/>
        </w:rPr>
        <w:t>POSSIBLE 2026:</w:t>
      </w:r>
      <w:r>
        <w:t xml:space="preserve"> A Scoping Review of the Literature on Child and/or Adolescent Health Microsimulation Models — https://doi.org/10.1007/s40258-026-01066-y</w:t>
      </w:r>
    </w:p>
    <w:p>
      <w:pPr/>
      <w:r>
        <w:rPr>
          <w:b/>
        </w:rPr>
        <w:t>Shared claim-specific concepts:</w:t>
      </w:r>
      <w:r>
        <w:t xml:space="preserve"> microsimulation, used; EU scope not established. This is a provisional connection, not an outcome finding.</w:t>
      </w:r>
    </w:p>
    <w:p>
      <w:pPr>
        <w:pStyle w:val="SourceNote"/>
      </w:pPr>
      <w:r>
        <w:rPr>
          <w:b/>
        </w:rPr>
        <w:t>Available abstract (not full text):</w:t>
      </w:r>
      <w:r>
        <w:t xml:space="preserve"> BACKGROUND: Microsimulation models can be used for diverse purposes such as forecasting and undertaking economic evaluations. A review of the literature of existing child and/or adolescent microsimulation models has yet to be undertaken. The aim of this scoping review was to retrieve, synthesise and critically appraise the literature of child and/or adolescent health microsimulation models. METHODS: A scoping review was conducted using PubMed, Embase, CINAHL, PsyclNFO, EconLit and Scopus. Additional searches (snowballing, Google searches, searches of specific journals and websites) were also undertaken to complement database searches. Relevant data on microsimulation models were extracted, and the quality of models was assessed using the Quality Assessment Reporting for Microsimulation Models checklist. Evidence was synthesised by scope of model, type of model and health outcome examined. RESULTS: Forty-eight relevant microsimulation models were found. Most (n = 33) were developed specifically for children and/or adolescents, but there were a few (n = 15) broader models that examined these populations. Many microsimulation models were developed for the USA (n = 14); several were focused on select health conditions, such as obesity/overweight, cancer and human immunodeficiency virus (HIV). Just over half (n = 27) of the models found were classified as medium quality models, whil</w:t>
      </w:r>
    </w:p>
    <w:p>
      <w:pPr/>
      <w:r>
        <w:rPr>
          <w:b/>
        </w:rPr>
        <w:t>POSSIBLE 2025:</w:t>
      </w:r>
      <w:r>
        <w:t xml:space="preserve"> The burden of informal family caregiving in Europe, 2000–2050: a microsimulation modelling study — https://doi.org/10.1016/j.lanepe.2025.101295</w:t>
      </w:r>
    </w:p>
    <w:p>
      <w:pPr/>
      <w:r>
        <w:rPr>
          <w:b/>
        </w:rPr>
        <w:t>Shared claim-specific concepts:</w:t>
      </w:r>
      <w:r>
        <w:t xml:space="preserve"> microsimulation, project, population, dynamics, gender, increase; EU scope visible. This is a provisional connection, not an outcome finding.</w:t>
      </w:r>
    </w:p>
    <w:p>
      <w:pPr>
        <w:pStyle w:val="SourceNote"/>
      </w:pPr>
      <w:r>
        <w:rPr>
          <w:b/>
        </w:rPr>
        <w:t>Available abstract (not full text):</w:t>
      </w:r>
      <w:r>
        <w:t xml:space="preserve"> Background: The demand for informal care in Europe is increasing, with family members often providing essential support. However, the future burden of informal family caregiving remains unclear. This study estimates and projects trends in the burden of family caregiving across 31 European countries from 2000 to 2050. Methods: We developed a demographic microsimulation model to estimate and project family care burden. The model produces virtual populations with realistic kinship networks and health trajectories over time. From these kinship structures, we defined a novel metric - Years Lived Caregiving for older relatives (YLCs). It accounts for care recipients' disability severity, care dynamics within kinship networks, and national institutional care capacity. Model inputs included demographic data from UN World Population Prospects, marital statistics from Eurostat, disease prevalence from the Global Burden of Disease study, and microdata from the SHARE survey. Findings: From 2000 to 2050, in Europe the overall burden for informal care is projected to increase by +49.7% (95% UI 45-53.6), from 7.98 (7.65-8.28) to 11.9 (11.4-12.5) million YLC. Musculoskeletal disorders are the largest cause of care burden, contributing to 2.3 (2.18-2.42) million YLC in 2050. Burden of informal care is disproportionally higher for women, although the gender gap is in a descending trend. Interpre</w:t>
      </w:r>
    </w:p>
    <w:p>
      <w:pPr/>
      <w:r>
        <w:rPr>
          <w:b/>
        </w:rPr>
        <w:t>POSSIBLE 2025:</w:t>
      </w:r>
      <w:r>
        <w:t xml:space="preserve"> Long-term impact of a sugar-sweetened beverage tax and increased physical activity on obesity and diabetes burden in Central and Eastern European Countries: a microsimulation model — https://doi.org/10.1016/j.diabres.2025.113002</w:t>
      </w:r>
    </w:p>
    <w:p>
      <w:pPr/>
      <w:r>
        <w:rPr>
          <w:b/>
        </w:rPr>
        <w:t>Shared claim-specific concepts:</w:t>
      </w:r>
      <w:r>
        <w:t xml:space="preserve"> microsimulation, increase; EU scope visible. This is a provisional connection, not an outcome finding.</w:t>
      </w:r>
    </w:p>
    <w:p>
      <w:pPr>
        <w:pStyle w:val="SourceNote"/>
      </w:pPr>
      <w:r>
        <w:rPr>
          <w:b/>
        </w:rPr>
        <w:t>Available abstract (not full text):</w:t>
      </w:r>
      <w:r>
        <w:t xml:space="preserve"> AIMS: This study models the potential health impacts of combining fiscal and behavioral policies, specifically, sugar-sweetened beverage (SSB) taxation and increases in physical activity (PA), across six Central and Eastern European (CEE) countries. METHODS: We simulated the effects of a 20 % SSB tax combined with a 15 % increase in PA on obesity, type 2 diabetes mellitus (T2DM), and mortality over 30 years in Bulgaria, Czechia, Hungary, Poland, Romania, and Slovakia. Sensitivity analyses examined alternative scenarios, including SSB substitution with water, a 30 % fruit and vegetable subsidy. RESULTS: Combined SSB taxation and PA increases would have a significant impact on low-income adults aged 15-49 in Czechia, Hungary, and Romania, whereas high-income groups benefit most in Bulgaria, Poland, and Slovakia. It could prevent between 7,344 (95 % UI: 4,520, 10,168) T2DM cases in Slovakia and 24,142 (95 % UI: 18,809, 29,474) in Poland. Obesity reductions are projected to peak in the early to mid-2030 s, with T2DM and mortality benefits accruing more gradually. CONCLUSIONS: Integrating fiscal and behavioural policies could reduce the burden of obesity, T2DM, and related inequalities in CEE countries, supporting strategies aligned with the WHO and Sustainable Development Goals.</w:t>
      </w:r>
    </w:p>
    <w:p>
      <w:pPr/>
      <w:r>
        <w:rPr>
          <w:b/>
        </w:rPr>
        <w:t>POSSIBLE 2025:</w:t>
      </w:r>
      <w:r>
        <w:t xml:space="preserve"> UGAMOD-TAX: a microsimulation model of taxation in Uganda: Model and data documentation — https://doi.org/10.35188/unu-wider/isuf5565</w:t>
      </w:r>
    </w:p>
    <w:p>
      <w:pPr/>
      <w:r>
        <w:rPr>
          <w:b/>
        </w:rPr>
        <w:t>Shared claim-specific concepts:</w:t>
      </w:r>
      <w:r>
        <w:t xml:space="preserve"> microsimulation, project; EU scope not established. This is a provisional connection, not an outcome finding.</w:t>
      </w:r>
    </w:p>
    <w:p>
      <w:pPr>
        <w:pStyle w:val="SourceNote"/>
      </w:pPr>
      <w:r>
        <w:rPr>
          <w:b/>
        </w:rPr>
        <w:t>Available abstract (not full text):</w:t>
      </w:r>
      <w:r>
        <w:t xml:space="preserve"> This technical note documents UGAMOD-TAX, a microsimulation model for personal taxation in Uganda, built using administrative tax records from the Uganda Revenue Authority (URA). It complements the standard survey-based UGAMOD model, developed under UNU-WIDER’s SOUTHMOD project, by leveraging detailed PAYE, presumptive tax, and register data. This administrative foundation enables more accurate simulation of specific taxes and their distributional impacts, particularly capturing high-income earners often underrepresented in survey data. This note focuses on the first version of the model, which uses data and tax policy rules from the 2021/2022 financial year. The model enables policymakers to quantitatively evaluate the fiscal and distributional effects of potential tax reforms.</w:t>
      </w:r>
    </w:p>
    <w:p>
      <w:pPr/>
      <w:r>
        <w:rPr>
          <w:b/>
        </w:rPr>
        <w:t>POSSIBLE 2025:</w:t>
      </w:r>
      <w:r>
        <w:t xml:space="preserve"> Microsimulation Modeling for Health Decision Sciences Using C++: A Tutorial — https://doi.org/10.1007/s40273-025-01526-8</w:t>
      </w:r>
    </w:p>
    <w:p>
      <w:pPr/>
      <w:r>
        <w:rPr>
          <w:b/>
        </w:rPr>
        <w:t>Shared claim-specific concepts:</w:t>
      </w:r>
      <w:r>
        <w:t xml:space="preserve"> microsimulation, implementing, terms; EU scope not established. This is a provisional connection, not an outcome finding.</w:t>
      </w:r>
    </w:p>
    <w:p>
      <w:pPr>
        <w:pStyle w:val="SourceNote"/>
      </w:pPr>
      <w:r>
        <w:rPr>
          <w:b/>
        </w:rPr>
        <w:t>Available abstract (not full text):</w:t>
      </w:r>
      <w:r>
        <w:t xml:space="preserve"> Microsimulation models have become increasingly common in the field of decision modeling for health. Because microsimulation models are computationally more demanding than traditional Markov cohort models, the use of computer programming languages in their development has become more common. C++ is a programming language that has gained widespread recognition in computationally intensive fields, including systems modeling and performance-critical applications. It offers powerful tools for building high-performance microsimulation models, outpacing many traditional modeling software solutions, such as native R, in terms of speed and control over memory management. However, there is limited accessible guidance for implementing microsimulation models in C++. This tutorial offers a step-by-step approach to constructing microsimulation models in C++ and demonstrates its application through simplified but adaptable example decision models. We walk the reader through essential steps and provide generic C++ code that is flexible and suitable for adapting to a range of models. Finally, we present the standalone C++ models and their Rcpp counterparts run within R, and compare their performance to equivalent R implementations in terms of speed and memory efficiency.</w:t>
      </w:r>
    </w:p>
    <w:p>
      <w:pPr/>
      <w:r>
        <w:rPr>
          <w:b/>
        </w:rPr>
        <w:t>POSSIBLE 2025:</w:t>
      </w:r>
      <w:r>
        <w:t xml:space="preserve"> SimPaths: An open-source microsimulation model for life course analysis — https://doi.org/10.34196/ijm.00318</w:t>
      </w:r>
    </w:p>
    <w:p>
      <w:pPr/>
      <w:r>
        <w:rPr>
          <w:b/>
        </w:rPr>
        <w:t>Shared claim-specific concepts:</w:t>
      </w:r>
      <w:r>
        <w:t xml:space="preserve"> microsimulation, project; EU scope visible. This is a provisional connection, not an outcome finding.</w:t>
      </w:r>
    </w:p>
    <w:p>
      <w:pPr>
        <w:pStyle w:val="SourceNote"/>
      </w:pPr>
      <w:r>
        <w:rPr>
          <w:b/>
        </w:rPr>
        <w:t>Available abstract (not full text):</w:t>
      </w:r>
      <w:r>
        <w:t xml:space="preserve"> The paper introduces SimPaths, an open-source framework for individual and household life course events.The framework is designed to project life histories through time, building up a detailed picture of career paths, family (inter)relations, health, and financial circumstances.The modular nature of the SimPaths framework is designed to facilitate analysis of alternative assumptions concerning the tax and benefit system, sensitivity to parameter estimates and alternative approaches for projecting labour/leisure and consumption/savings decisions.SimPaths builds upon standardised assumptions and data sources, which facilitates adaptation to alternative countries -models based on the framework currently exist for the UK, Greece, Hungary, Italy, and Poland, and are under development for Germany, Spain and Sweden.Projections for a workhorse model parameterised to the UK context are reported, which closely reflect observed data throughout a validation window between the Financial crisis (2011) and the Covid-19 pandemic (2019).</w:t>
      </w:r>
    </w:p>
    <w:p>
      <w:pPr/>
      <w:r>
        <w:rPr>
          <w:b/>
        </w:rPr>
        <w:t>POSSIBLE 2025:</w:t>
      </w:r>
      <w:r>
        <w:t xml:space="preserve"> A Microsimulation Model for Sustainability and Detailed Adequacy Analysis of the Retirement Pension System — https://doi.org/10.3390/math13030443</w:t>
      </w:r>
    </w:p>
    <w:p>
      <w:pPr/>
      <w:r>
        <w:rPr>
          <w:b/>
        </w:rPr>
        <w:t>Shared claim-specific concepts:</w:t>
      </w:r>
      <w:r>
        <w:t xml:space="preserve"> microsimulation, labor, gender; EU scope visible. This is a provisional connection, not an outcome finding.</w:t>
      </w:r>
    </w:p>
    <w:p>
      <w:pPr>
        <w:pStyle w:val="SourceNote"/>
      </w:pPr>
      <w:r>
        <w:rPr>
          <w:b/>
        </w:rPr>
        <w:t>Available abstract (not full text):</w:t>
      </w:r>
      <w:r>
        <w:t xml:space="preserve"> The sustainability and adequacy of pension systems are central to public policy debates in aging societies. This paper introduces a novel microsimulation model with probabilistic behavior to assess these dual challenges in the Spanish pension system. The model employs a mixed-projection method, integrating a macro approach—using economic and demographic aggregates from official sources such as the Spanish Statistics Office (INE) and Eurostat—with a micro approach based on the Continuous Sample of Working Lives (MCVL) dataset from Spanish Social Security. This framework enables individual-level projections of key labor market variables, including work time, salary, and initial pensions, under diverse reform scenarios. The results demonstrate the model’s ability to predict initial pensions with high accuracy, providing detailed insights into adequacy by age, gender, and income levels, as well as distributional measures such as density functions and quantiles. Sustainability findings indicate that pension expenditures are projected to stabilize at 13.9% of Gross Domestic Product (GDP) by 2050. The proposed model provides a robust and versatile tool for policymakers, offering a comprehensive evaluation of the long-term impacts of pension reforms on both system sustainability and individual adequacy.</w:t>
      </w:r>
    </w:p>
    <w:p>
      <w:pPr/>
      <w:r>
        <w:rPr>
          <w:b/>
        </w:rPr>
        <w:t>POSSIBLE 2025:</w:t>
      </w:r>
      <w:r>
        <w:t xml:space="preserve"> A Scoping Review of Microsimulation Models on Obesity-Related Policy Evaluation — https://doi.org/10.3390/nu18010073</w:t>
      </w:r>
    </w:p>
    <w:p>
      <w:pPr/>
      <w:r>
        <w:rPr>
          <w:b/>
        </w:rPr>
        <w:t>Shared claim-specific concepts:</w:t>
      </w:r>
      <w:r>
        <w:t xml:space="preserve"> microsimulation, used, population, integration; EU scope not established. This is a provisional connection, not an outcome finding.</w:t>
      </w:r>
    </w:p>
    <w:p>
      <w:pPr>
        <w:pStyle w:val="SourceNote"/>
      </w:pPr>
      <w:r>
        <w:rPr>
          <w:b/>
        </w:rPr>
        <w:t>Available abstract (not full text):</w:t>
      </w:r>
      <w:r>
        <w:t xml:space="preserve"> Background/Objectives: Obesity is a major global public health and economic challenge. Governments worldwide have implemented nutrition-focused policies such as sugar-sweetened beverage taxes, front-of-pack labeling, food assistance reforms, and school nutrition standards to improve diet quality and reduce obesity. Because large-scale randomized controlled trials are often infeasible and conventional epidemiologic methods overlook population heterogeneity and behavioral feedback, microsimulation modeling has become a key tool for evaluating long-term and distributional policy impacts. This scoping review examined the application of microsimulation to obesity-related nutrition policies, focusing on model structure, behavioral parameterization, and integration of economic and equity analyses. Methods: Following PRISMA guidelines (PROSPERO CRD42024599769), five databases were searched for peer-reviewed studies. Data were extracted on policy mechanisms, model design, parameterization, and equity analysis. Study quality was assessed using a customized 21-item checklist adapted from CHEERS and NIH tools. Results: Twenty-nine studies met the inclusion criteria, with most policy settings based in the United States. Most employed dynamic, stochastic, individual-level microsimulation models with diverse behavioral assumptions, obesity equations, and calibration approaches. While most stu</w:t>
      </w:r>
    </w:p>
    <w:p>
      <w:pPr/>
      <w:r>
        <w:rPr>
          <w:b/>
        </w:rPr>
        <w:t>POSSIBLE 2025:</w:t>
      </w:r>
      <w:r>
        <w:t xml:space="preserve"> A Microsimulation Model of Behaviour Change Calibrated to Reversal Learning Data — https://doi.org/10.18564/jasss.5637</w:t>
      </w:r>
    </w:p>
    <w:p>
      <w:pPr/>
      <w:r>
        <w:rPr>
          <w:b/>
        </w:rPr>
        <w:t>Shared claim-specific concepts:</w:t>
      </w:r>
      <w:r>
        <w:t xml:space="preserve"> microsimulation, dynamics; EU scope not established. This is a provisional connection, not an outcome finding.</w:t>
      </w:r>
    </w:p>
    <w:p>
      <w:pPr>
        <w:pStyle w:val="SourceNote"/>
      </w:pPr>
      <w:r>
        <w:rPr>
          <w:b/>
        </w:rPr>
        <w:t>Available abstract (not full text):</w:t>
      </w:r>
      <w:r>
        <w:t xml:space="preserve"> Behaviour change lies at the heart of many observable collective phenomena such as the transmission and control of infectious diseases, adoption of public health policies, and migration of animals to new habitats.Representing the process of individual behaviour change in computer simulations of these phenomena remains an open challenge.Often, computational models use phenomenological implementations with limited support from behavioural data.Without a strong connection to observable quantities, such models have limited utility for simulating observed and counterfactual scenarios of emergent phenomena because they cannot be validated or calibrated.Here, we present a simple stochastic microsimulation model of reversal learning that captures fundamental properties of individual behaviour change, namely, the capacity to learn based on accumulated reward signals, and the transient persistence of learned behaviour after rewards are removed or altered.The model has only two parameters, and we use approximate Bayesian computation to demonstrate that they are fully identifiable from empirical reversal learning time series data.Finally, we demonstrate how the model can be extended to account for the increased complexity of behavioural dynamics over longer time scales involving fluctuating stimuli.This work is a step towards the development and evaluation of fully identifiable individual-</w:t>
      </w:r>
    </w:p>
    <w:p>
      <w:pPr/>
      <w:r>
        <w:rPr>
          <w:b/>
        </w:rPr>
        <w:t>POSSIBLE 2024:</w:t>
      </w:r>
      <w:r>
        <w:t xml:space="preserve"> The LOTTE System of Tax Microsimulation Models — https://doi.org/10.34196/ijm.00308</w:t>
      </w:r>
    </w:p>
    <w:p>
      <w:pPr/>
      <w:r>
        <w:rPr>
          <w:b/>
        </w:rPr>
        <w:t>Shared claim-specific concepts:</w:t>
      </w:r>
      <w:r>
        <w:t xml:space="preserve"> microsimulation, used, labor, different; EU scope visible. This is a provisional connection, not an outcome finding.</w:t>
      </w:r>
    </w:p>
    <w:p>
      <w:pPr>
        <w:pStyle w:val="SourceNote"/>
      </w:pPr>
      <w:r>
        <w:rPr>
          <w:b/>
        </w:rPr>
        <w:t>Available abstract (not full text):</w:t>
      </w:r>
      <w:r>
        <w:t xml:space="preserve"> Microsimulation models of the LOTTE system are key tools for tax policy-making in Norway and are extensively used in the budget process.The aim of this paper is to give an overview of the different modules in the LOTTE family -a non-behavioral tax-benefit model for personal income tax (LOTTE-Skatt), a labor supply model (LOTTE-Arbeid), and a model for distributional effects of commodity taxation (LOTTE-Konsum).In addition to providing descriptions of the designs of the three microsimulation models, we give examples of how the models are used in practical and academic work.</w:t>
      </w:r>
    </w:p>
    <w:p>
      <w:pPr/>
      <w:r>
        <w:rPr>
          <w:b/>
        </w:rPr>
        <w:t>POSSIBLE 2024:</w:t>
      </w:r>
      <w:r>
        <w:t xml:space="preserve"> Accounting for Behavioral Effects in Microsimulation: A Reduced Form Approach — https://doi.org/10.34196/ijm.00311</w:t>
      </w:r>
    </w:p>
    <w:p>
      <w:pPr/>
      <w:r>
        <w:rPr>
          <w:b/>
        </w:rPr>
        <w:t>Shared claim-specific concepts:</w:t>
      </w:r>
      <w:r>
        <w:t xml:space="preserve"> microsimulation, used, labor; EU scope not established. This is a provisional connection, not an outcome finding.</w:t>
      </w:r>
    </w:p>
    <w:p>
      <w:pPr>
        <w:pStyle w:val="SourceNote"/>
      </w:pPr>
      <w:r>
        <w:rPr>
          <w:b/>
        </w:rPr>
        <w:t>Available abstract (not full text):</w:t>
      </w:r>
      <w:r>
        <w:t xml:space="preserve"> Microsimulation models are used worldwide to assist in the policy-making of governments. The simulation models may be purely non-behavioral or they may also include modules that simulate labor supply responses to the policy change in question. The present paper demonstrates how the practitioner can employ exogeneously given response estimates to account for behavioral effects in this type of work. Response estimates are combined with individual changes in work incentives at both the extensive and intensive margins. The concepts of the participation tax rate (PTR) and the effective marginal tax rate (EMTR) are employed. In the empirical illustration we discuss distributional and social welfare effects arising from the changes in Finnish taxes and benefits that took effect in 2020.</w:t>
      </w:r>
    </w:p>
    <w:p>
      <w:pPr/>
      <w:r>
        <w:rPr>
          <w:b/>
        </w:rPr>
        <w:t>POSSIBLE 2024:</w:t>
      </w:r>
      <w:r>
        <w:t xml:space="preserve"> Dynamic Microsimulations of Regional Income Inequalities in Germany — https://doi.org/10.34196/ijm.00304</w:t>
      </w:r>
    </w:p>
    <w:p>
      <w:pPr/>
      <w:r>
        <w:rPr>
          <w:b/>
        </w:rPr>
        <w:t>Shared claim-specific concepts:</w:t>
      </w:r>
      <w:r>
        <w:t xml:space="preserve"> project, population, different, dynamics, immigrants, rates; EU scope visible. This is a provisional connection, not an outcome finding.</w:t>
      </w:r>
    </w:p>
    <w:p>
      <w:pPr>
        <w:pStyle w:val="SourceNote"/>
      </w:pPr>
      <w:r>
        <w:rPr>
          <w:b/>
        </w:rPr>
        <w:t>Available abstract (not full text):</w:t>
      </w:r>
      <w:r>
        <w:t xml:space="preserve"> Income is one of the key indicators to measure individual opportunities, regional differences, and societal inequalities.Previous research has shed considerable light on gender-and migration-related disparities at the national level.However, the regional distribution of these inequalities, especially over time, has received less attention.Moreover, how these regional inequalities might develop in the future or under different conditions remains unclear.Regionalized dynamic microsimulations provide a powerful tool to analyze individual, household, as well as local long-term income developments under 'what-if' scenarios.This contribution examines the potential regional dynamics in gender and migrant income gaps across the districts in Germany.We extend the data, model, and infrastructure of the MikroSim project with an income module that accounts for migrant groups.By simulating four independent scenarios, we can isolate and evaluate their unique effects on inequality dynamics within different regions.Specifically, we adjust the full-time employment rates and tertiary education levels for a) women to align with those of men, and b) immigrants to align with those of the majority population, separately for each district.The results show that the scenarios have regionally differing effects on inequality dynamics, highlighting the considerable potential of dynamic microsimulations fo</w:t>
      </w:r>
    </w:p>
    <w:p>
      <w:pPr>
        <w:pStyle w:val="Heading2"/>
      </w:pPr>
      <w:r>
        <w:t>713. Innovation policy and international relations: directions for EU diplomacy</w:t>
      </w:r>
    </w:p>
    <w:p>
      <w:pPr>
        <w:pStyle w:val="SourceNote"/>
      </w:pPr>
      <w:r>
        <w:rPr>
          <w:b/>
        </w:rPr>
        <w:t>Original source (2019):</w:t>
      </w:r>
      <w:r>
        <w:t xml:space="preserve"> https://doi.org/10.1186/s40309-019-0156-1</w:t>
      </w:r>
    </w:p>
    <w:p>
      <w:pPr/>
      <w:r>
        <w:t>Original wording (abstract; indexed_source_text_not_full_document_verified): The final paragraph discusses what Europe can and should do in its external relations to provide adequate answers to the forces outlined in the three scenarios.</w:t>
      </w:r>
    </w:p>
    <w:p>
      <w:pPr/>
      <w:r>
        <w:rPr>
          <w:b/>
        </w:rPr>
        <w:t>POSSIBLE 2025:</w:t>
      </w:r>
      <w:r>
        <w:t xml:space="preserve"> THE ROLE OF EUROPEAN CULTURAL CSOS IN FOSTERING THE EU’S EXTERNAL CULTURAL RELATIONS — https://doi.org/10.25234/eclic/38137</w:t>
      </w:r>
    </w:p>
    <w:p>
      <w:pPr/>
      <w:r>
        <w:rPr>
          <w:b/>
        </w:rPr>
        <w:t>Shared claim-specific concepts:</w:t>
      </w:r>
      <w:r>
        <w:t xml:space="preserve"> external, relations, outlined, three; EU scope visible. This is a provisional connection, not an outcome finding.</w:t>
      </w:r>
    </w:p>
    <w:p>
      <w:pPr>
        <w:pStyle w:val="SourceNote"/>
      </w:pPr>
      <w:r>
        <w:rPr>
          <w:b/>
        </w:rPr>
        <w:t>Available abstract (not full text):</w:t>
      </w:r>
      <w:r>
        <w:t xml:space="preserve"> The main aim of this paper is to explore the role of the European cultural civil society organizations (CSOs) in fostering the EU’s external cultural relations. This paper is obtained in the following way. Firstly, the important role culture plays in contemporary international relations is conceptualized as well as the key concepts such as soft power, cultural diplomacy and international cultural relations are outlined. Secondly, the EU’s external cultural relations are articulated as an emerging cross-sectoral policy field which is extending between the EU’s cultural and external policies. Lastly, the role of the European cultural CSOs in fostering the EU’s external cultural relations is assessed in three following steps: firstly, by conceptualizing civil society organizations from general towards the EU’s perspective; secondly, by identifying the significance of involving the CSOs within the EU’s policy framework for external cultural relations; and thirdly, by providing review and analysis of European cultural CSOs’ actions in the field of the EU’s external cultural relations. Considering that culture represents an important component of contemporary international relations, this paper indicates that within the EU context cultural CSOs play an increasingly significant role in fostering further development of more comprehensive EU’s policy framework for external cultural rela</w:t>
      </w:r>
    </w:p>
    <w:p>
      <w:pPr/>
      <w:r>
        <w:rPr>
          <w:b/>
        </w:rPr>
        <w:t>POSSIBLE 2024:</w:t>
      </w:r>
      <w:r>
        <w:t xml:space="preserve"> An Exploration of Bachelor Level Learners' Experiences in Writing Paragraphs — https://doi.org/10.36948/ijfmr.2024.v06i02.15034</w:t>
      </w:r>
    </w:p>
    <w:p>
      <w:pPr/>
      <w:r>
        <w:rPr>
          <w:b/>
        </w:rPr>
        <w:t>Shared claim-specific concepts:</w:t>
      </w:r>
      <w:r>
        <w:t xml:space="preserve"> paragraph, provide, three; EU scope not established. This is a provisional connection, not an outcome finding.</w:t>
      </w:r>
    </w:p>
    <w:p>
      <w:pPr>
        <w:pStyle w:val="SourceNote"/>
      </w:pPr>
      <w:r>
        <w:rPr>
          <w:b/>
        </w:rPr>
        <w:t>Available abstract (not full text):</w:t>
      </w:r>
      <w:r>
        <w:t xml:space="preserve"> An exploration of Bachelor's level learners' experiences in writing paragraphs aims to investigate how the learners are learning to write paragraphs from their school to university level in the English language. As a university teacher, the author observed his learners often writing less organized paragraphs, and preferred points rather than paragraphs in their assignments and other writing products as well. To explore the curiosity about how the learners are experiencing writing paragraphs, a narrative inquiry was conducted from five purposively selected Bachelor level participants from Surkhet Multiple Campus. Being a teacher, at one level, he informally gathered information on how they experienced writing paragraphs. By taking their oral consent from the informal talk, he managed to take a formal focused interview with the use of guidelines. During the interview, the audio recording was done which was then transcribed. After that, the codes were developed and followed by the categories. Lastly, three main themes were developed as the form of result: the learners felt the input that they got was more focused on writing points rather than a paragraph which encouraged them to write more in points than a paragraph. They also experienced a lack of sufficient input and feedback from teachers during their school as well as college-level learning classes. Similarly, unfamiliarity an</w:t>
      </w:r>
    </w:p>
    <w:p>
      <w:pPr/>
      <w:r>
        <w:rPr>
          <w:b/>
        </w:rPr>
        <w:t>POSSIBLE 2022:</w:t>
      </w:r>
      <w:r>
        <w:t xml:space="preserve"> The Role of Paragraph in the Corpora of Annotated Texts — https://doi.org/10.28995/2075-7182-2022-21-273-283</w:t>
      </w:r>
    </w:p>
    <w:p>
      <w:pPr/>
      <w:r>
        <w:rPr>
          <w:b/>
        </w:rPr>
        <w:t>Shared claim-specific concepts:</w:t>
      </w:r>
      <w:r>
        <w:t xml:space="preserve"> paragraph, relations, three; EU scope not established. This is a provisional connection, not an outcome finding.</w:t>
      </w:r>
    </w:p>
    <w:p>
      <w:pPr>
        <w:pStyle w:val="SourceNote"/>
      </w:pPr>
      <w:r>
        <w:rPr>
          <w:b/>
        </w:rPr>
        <w:t>Available abstract (not full text):</w:t>
      </w:r>
      <w:r>
        <w:t xml:space="preserve"> The paper focuses on the function of paragraph both in text organization and in text annotation from the point of view of coherence. Taking as examples three major types of corpora (the RST, ANNODIS, and PDTB corpora), it shows whether and to what extent the existing approaches account for the paragraph when a discourse relation gets annotated. Then it presents the theoretical principles underlying text annotation in two databases: the Supracorpora database of connectives and the Supracorpora database of hierarchical logical-semantic relations (a new linguistic resource). Text coherence is shown to result from the interaction of various discourse phenomena, acting at the level of local and global structures. In this approach, the paragraph is assigned to the meso-level, positioned between local and global levels. The researcher may analyze the internal organization of the paragraph, limiting oneself to the intersentential level. Yet, to analyze and describe how paragraphs follow one another in the text, it is necessary to operate at the supra-sentential level, adopting a conceptual apparatus fundamentally different from the one for the description of local text structure.</w:t>
      </w:r>
    </w:p>
    <w:p>
      <w:pPr>
        <w:pStyle w:val="Heading2"/>
      </w:pPr>
      <w:r>
        <w:t>714. Life cycle assessment integration into energy system models: An application for Power-to-Methane in the EU</w:t>
      </w:r>
    </w:p>
    <w:p>
      <w:pPr>
        <w:pStyle w:val="SourceNote"/>
      </w:pPr>
      <w:r>
        <w:rPr>
          <w:b/>
        </w:rPr>
        <w:t>Original source (2019):</w:t>
      </w:r>
      <w:r>
        <w:t xml:space="preserve"> https://doi.org/10.1016/j.apenergy.2019.114160</w:t>
      </w:r>
    </w:p>
    <w:p>
      <w:pPr/>
      <w:r>
        <w:t>Original wording (abstract; indexed_source_text_not_full_document_verified): This study does an ex-post LCA analysis of results from JRC-EU-TIMES and estimates the environmental impact indicators across 18 categories in scenarios that achieve 80–95% CO2 emission reduction by 2050.</w:t>
      </w:r>
    </w:p>
    <w:p>
      <w:pPr/>
      <w:r>
        <w:rPr>
          <w:b/>
        </w:rPr>
        <w:t>POSSIBLE 2026:</w:t>
      </w:r>
      <w:r>
        <w:t xml:space="preserve"> Prospective Environmental Assessment of Citric Acid Production: An Integrated Framework of Ex-Ante LCA and Technological Learning — https://doi.org/10.3390/su18062848</w:t>
      </w:r>
    </w:p>
    <w:p>
      <w:pPr/>
      <w:r>
        <w:rPr>
          <w:b/>
        </w:rPr>
        <w:t>Shared claim-specific concepts:</w:t>
      </w:r>
      <w:r>
        <w:t xml:space="preserve"> lca, environmental, categories, co2; EU scope not established. This is a provisional connection, not an outcome finding.</w:t>
      </w:r>
    </w:p>
    <w:p>
      <w:pPr>
        <w:pStyle w:val="SourceNote"/>
      </w:pPr>
      <w:r>
        <w:rPr>
          <w:b/>
        </w:rPr>
        <w:t>Available abstract (not full text):</w:t>
      </w:r>
      <w:r>
        <w:t xml:space="preserve"> Citric acid (CA) necessitates the investigation of the environmental footprint from its production. This study compared three recovery technologies at different readiness levels, industrial calcium hydrogen salt precipitation–ion exchange (CHP-IE), pilot-scale solvent extraction (SE), and laboratory-scale bipolar membrane electrodialysis (BMED), to evaluate the life cycle environmental impacts of CA production when employing each recovery technology. SE and BMED were selected as emerging alternatives, as both are potential candidates to offer environmental or economic advantages over CHP-IE. By modeling the continuous improvement in the key production parameters as cumulative production experience increases, technological learning curves capture the efficiency gains that occur as technologies mature. This study pioneers an integrated ex-ante LCA framework that couples technological learning curves with energy transition scenarios to prospectively compare emerging CA recovery technologies against an industrialized process. Currently, CHP-IE shows the highest profit of 1078 CNY/t CA and the lowest global warming potential (GWP) of 1.79 t CO2 eq/t CA, with the latter advantage projected to persist until 2030. By 2050, under deep decarbonization, BMED becomes the lowest-carbon option with 0.78 t CO2 eq/t CA. Furthermore, with maize as the primary raw material, improved cultivation </w:t>
      </w:r>
    </w:p>
    <w:p>
      <w:pPr/>
      <w:r>
        <w:rPr>
          <w:b/>
        </w:rPr>
        <w:t>POSSIBLE 2026:</w:t>
      </w:r>
      <w:r>
        <w:t xml:space="preserve"> All LCA models are wrong. Are some of them useful? Towards open computational LCA in ICT — https://doi.org/10.1145/3801488.3807497</w:t>
      </w:r>
    </w:p>
    <w:p>
      <w:pPr/>
      <w:r>
        <w:rPr>
          <w:b/>
        </w:rPr>
        <w:t>Shared claim-specific concepts:</w:t>
      </w:r>
      <w:r>
        <w:t xml:space="preserve"> lca, environmental, achieve; EU scope not established. This is a provisional connection, not an outcome finding.</w:t>
      </w:r>
    </w:p>
    <w:p>
      <w:pPr>
        <w:pStyle w:val="SourceNote"/>
      </w:pPr>
      <w:r>
        <w:rPr>
          <w:b/>
        </w:rPr>
        <w:t>Available abstract (not full text):</w:t>
      </w:r>
      <w:r>
        <w:t xml:space="preserve"> Life Cycle Assessment (LCA) is increasingly used to quantify and regulate the environmental impacts of Information and Communication Technology (ICT) systems. Since direct biosphere measurements are complicated to perform, we claim that the environmental impact assessment of ICT relies heavily on models. In this paper, we first revisit the fundamentals of LCA: we emphasize that ICT LCAs effectively form systems of models, and we argue that such systems require an “extra‑high” level of carefulness in construction, calibration, integration, and interpretation. We then document how this level of rigor is challenging to achieve with current practices. This is illustrated with emblematic examples of model misuse and an analysis of structural challenges related to database choice, scope mismatches, opaque aggregation, and model integration. From this analysis, we derive four key requirements for credible ICT LCA: explicit model lineage, clearly defined model scope, end‑to‑end traceability, and managed non‑obsolescence. Finally, we propose a framework that operationalizes these requirements using explicit dependency graphs, an open and versioned LCA-oriented model repository, automatic enforcement of integrity constraints, and a well‑defined model taxonomy.</w:t>
      </w:r>
    </w:p>
    <w:p>
      <w:pPr/>
      <w:r>
        <w:rPr>
          <w:b/>
        </w:rPr>
        <w:t>POSSIBLE 2026:</w:t>
      </w:r>
      <w:r>
        <w:t xml:space="preserve"> Ex-post impact of first- and second-pillar CAP payments on farm structural change — https://doi.org/10.5281/zenodo.19633685</w:t>
      </w:r>
    </w:p>
    <w:p>
      <w:pPr/>
      <w:r>
        <w:rPr>
          <w:b/>
        </w:rPr>
        <w:t>Shared claim-specific concepts:</w:t>
      </w:r>
      <w:r>
        <w:t xml:space="preserve"> does, ex-post, environmental; EU scope visible. This is a provisional connection, not an outcome finding.</w:t>
      </w:r>
    </w:p>
    <w:p>
      <w:pPr>
        <w:pStyle w:val="SourceNote"/>
      </w:pPr>
      <w:r>
        <w:rPr>
          <w:b/>
        </w:rPr>
        <w:t>Available abstract (not full text):</w:t>
      </w:r>
      <w:r>
        <w:t xml:space="preserve"> Abstract The EU has seen a steady decline in farm numbers and agricultural labour, alongside an aging farming population. The present paper uses a non-stationary Markov chain model approach, estimated from farm level FADN data, to assess the impact of first- and second-pillar CAP payments on farm structure and employment in France over the 2004-2021 period. Farms are categorised into five economic size classes measured in euros of standard output. Results indicate that increasing either type of subsidies would have a positive effect on agricultural employment, primarily by supporting labour in farms of smaller economic size. However, the overall employment impact is positive but modest. The relative impact of first-pillar payments appears stronger, but second-pillar payments are more cost-effective per euro spent. The proposed farm-level approach will be extended to other EU member states to test the robustness and consistency of these findings, and avenues for future research are discussed. Funding acknowledgement Funded by the European Union. Grant Agreement No. 101060075. Views and opinions expressed are those of the authors only and do not necessarily reflect those of the European Union or the European Commission. Neither the European Union nor the granting authority can be held responsible for them.UK Research and Innovation Project Code: 10047415 https://gtr.ukri.org/proj</w:t>
      </w:r>
    </w:p>
    <w:p>
      <w:pPr/>
      <w:r>
        <w:rPr>
          <w:b/>
        </w:rPr>
        <w:t>POSSIBLE 2026:</w:t>
      </w:r>
      <w:r>
        <w:t xml:space="preserve"> Sustainability in Rockfall Protection Works: State-of-the-Art and LCA-Based Approaches — https://doi.org/10.68732/a72ad96228a4dcf9</w:t>
      </w:r>
    </w:p>
    <w:p>
      <w:pPr/>
      <w:r>
        <w:rPr>
          <w:b/>
        </w:rPr>
        <w:t>Shared claim-specific concepts:</w:t>
      </w:r>
      <w:r>
        <w:t xml:space="preserve"> lca, environmental, reduction; EU scope not established. This is a provisional connection, not an outcome finding.</w:t>
      </w:r>
    </w:p>
    <w:p>
      <w:pPr>
        <w:pStyle w:val="SourceNote"/>
      </w:pPr>
      <w:r>
        <w:rPr>
          <w:b/>
        </w:rPr>
        <w:t>Available abstract (not full text):</w:t>
      </w:r>
      <w:r>
        <w:t xml:space="preserve"> Starting from the early 2000s, the concept of sustainability has been progressively integrated into the design of civil works, through the reuse of excavation and demolition materials, the reduction of non-renewable resource consumption, the mitigation of landscape impacts, and the improvement of structural durability. Considering the high environmental impact of the construction sector - both in terms of natural resource and energy consumption and in the large volumes of waste generated - it is necessary to orient design practices toward sustainability. Geotechnical engineering can make a significant contribution to sustainable development by promoting environmentally friendly and economically viable solutions. Despite the widespread research on rockfall, it shows a limited correlation between sustainability and rockfall protection structures. Existing studies mainly focus on block trajectory analysis, fragmentation effects or risk assessment, but they don’t systematically address environmental aspects of these structures. At present, no comprehensive environmental evaluations have been conducted to consider the full life cycle of rockfall protection works and to compare alternative design solutions from a sustainability perspective. The only available data come from Environmental Product Declarations (EPD) voluntarily published by some of the leading manufacturers in the sect</w:t>
      </w:r>
    </w:p>
    <w:p>
      <w:pPr/>
      <w:r>
        <w:rPr>
          <w:b/>
        </w:rPr>
        <w:t>POSSIBLE 2025:</w:t>
      </w:r>
      <w:r>
        <w:t xml:space="preserve"> Background report of ex-ante LCAs for CBE JU application IRIS — https://openalex.org/W7112006283</w:t>
      </w:r>
    </w:p>
    <w:p>
      <w:pPr/>
      <w:r>
        <w:rPr>
          <w:b/>
        </w:rPr>
        <w:t>Shared claim-specific concepts:</w:t>
      </w:r>
      <w:r>
        <w:t xml:space="preserve"> lca, environmental, categories, co2, reduction; EU scope visible. This is a provisional connection, not an outcome finding.</w:t>
      </w:r>
    </w:p>
    <w:p>
      <w:pPr>
        <w:pStyle w:val="SourceNote"/>
      </w:pPr>
      <w:r>
        <w:rPr>
          <w:b/>
        </w:rPr>
        <w:t>Available abstract (not full text):</w:t>
      </w:r>
      <w:r>
        <w:t xml:space="preserve"> To assess the environmental sustainability aspects of the IRIS technologies, ex-ante LCAs were carried out, considering a broad range of environmental impact categories like climate, resource efficiency and pollution (emissions to air, soil and water). The overall goal was to quantify the potential environmental effects from upscaling the technologies, in reference to a conventional benchmark considering the potential benefit of the IRIS innovations. A second goal was to identify critical issues of each technology early on, so that risks could be identified and IRIS could steer the development in the right direction. The data availability for the ex-ante LCAs varied greatly for different reasons, so each assessment should be discussed and interpreted separately. Biobased indigo: This ex-ante LCA is based on a recent internal study (2024). The alternative with the highest climate mitigation potential was the 2023 process (50%), followed by the fermentation process (46%) and finally the 2020 process (15%). The overall results from the study indicate that the proposed indigo solution has significant potential for environmental impact mitigation. Microbial dyes derived from atmospheric CO2 :This ex-ante LCA was modelled using specific process data obtained from partner’s pilot production. The results show that the climate impact of the biobased dye (2.5 kg CO2-eq/kg of dye) is 13% </w:t>
      </w:r>
    </w:p>
    <w:p>
      <w:pPr/>
      <w:r>
        <w:rPr>
          <w:b/>
        </w:rPr>
        <w:t>POSSIBLE 2025:</w:t>
      </w:r>
      <w:r>
        <w:t xml:space="preserve"> Anticipating uncertainty in infrastructure LCC, LCA, and S-LCA: A systematic, context-aware early identification framework — https://doi.org/10.1016/j.eiar.2025.108175</w:t>
      </w:r>
    </w:p>
    <w:p>
      <w:pPr/>
      <w:r>
        <w:rPr>
          <w:b/>
        </w:rPr>
        <w:t>Shared claim-specific concepts:</w:t>
      </w:r>
      <w:r>
        <w:t xml:space="preserve"> lca, indicators, across; EU scope not established. This is a provisional connection, not an outcome finding.</w:t>
      </w:r>
    </w:p>
    <w:p>
      <w:pPr>
        <w:pStyle w:val="SourceNote"/>
      </w:pPr>
      <w:r>
        <w:rPr>
          <w:b/>
        </w:rPr>
        <w:t>Available abstract (not full text):</w:t>
      </w:r>
      <w:r>
        <w:t xml:space="preserve"> Uncertainty undermines the reliability of Life Cycle Costing (LCC), Life Cycle Assessment (LCA), and Social Life Cycle Assessment (S-LCA) in Infrastructure Asset Management (IAM). Many methods for uncertainty analysis exist, but practitioners often lack systematic guidance to anticipate how uncertainties will unfold in specific assessments and thereby how to manage them. We propose a pre-emptive framework that anchors uncertainty analysis in the shared modelling structure of product systems, processes, and flows, making it transferable across the three methodologies. The framework links assessment context to uncertainty through three profiling indicators—instance count, intensity level, and prospective needs—and eleven infrastructure-specific dimensions that shape them. Mapping these dimensions across IAM decision-making levels illustrates how uncertainty escalates in the assessment contexts in which individual studies are embedded. A practitioner's checklist translates the framework into an early uncertainty profiling tool, guiding analysts to target rigorous modelling and quantification where it matters most. The discussion highlights the critical interdependencies between dimensions and identifies prospective needs as the dominant driver of uncertainty. Ultimately, by making uncertainty profiles explicit up front, the framework fosters proportionate, transparent, and context</w:t>
      </w:r>
    </w:p>
    <w:p>
      <w:pPr/>
      <w:r>
        <w:rPr>
          <w:b/>
        </w:rPr>
        <w:t>POSSIBLE 2025:</w:t>
      </w:r>
      <w:r>
        <w:t xml:space="preserve"> Monitoring the Environmental Impact of the Bioeconomy: Indicators and Models for Ex-Post and Ex-Ante Evaluation in Agriculture — https://doi.org/10.3390/su172310867</w:t>
      </w:r>
    </w:p>
    <w:p>
      <w:pPr/>
      <w:r>
        <w:rPr>
          <w:b/>
        </w:rPr>
        <w:t>Shared claim-specific concepts:</w:t>
      </w:r>
      <w:r>
        <w:t xml:space="preserve"> ex-post, environmental, indicators; EU scope visible. This is a provisional connection, not an outcome finding.</w:t>
      </w:r>
    </w:p>
    <w:p>
      <w:pPr>
        <w:pStyle w:val="SourceNote"/>
      </w:pPr>
      <w:r>
        <w:rPr>
          <w:b/>
        </w:rPr>
        <w:t>Available abstract (not full text):</w:t>
      </w:r>
      <w:r>
        <w:t xml:space="preserve"> The transformation towards a sustainable bioeconomy presents new challenges and opportunities for the agricultural sector. This paper investigates how the environmental impacts of this transformation can be effectively monitored using existing agricultural models and sustainability indicators. Drawing on comprehensive model and indicator reviews from the SYMOBIO project, we identify a set of suitable models and propose a harmonised set of 21 SMART-aligned indicators for immediate use for national and regional monitoring. The key findings highlight strong capabilities for modelling GHG and nutrient indicators, persistent gaps in biodiversity and water indicators, and the need for improved methods for using biomass as well as for representing scenario-based spatially disaggregated approaches. The findings highlight the importance of having harmonised indicators, quantitative targets, and integrated monitoring systems in place. The results mark an intermediate step in the ongoing development of national bioeconomy monitoring in Germany.</w:t>
      </w:r>
    </w:p>
    <w:p>
      <w:pPr/>
      <w:r>
        <w:rPr>
          <w:b/>
        </w:rPr>
        <w:t>POSSIBLE 2025:</w:t>
      </w:r>
      <w:r>
        <w:t xml:space="preserve"> Material Stories: Assessing Sustainability of Digital Fabrication with Bio-Based Materials Through LCA — https://doi.org/10.1007/978-3-031-69626-8_3</w:t>
      </w:r>
    </w:p>
    <w:p>
      <w:pPr/>
      <w:r>
        <w:rPr>
          <w:b/>
        </w:rPr>
        <w:t>Shared claim-specific concepts:</w:t>
      </w:r>
      <w:r>
        <w:t xml:space="preserve"> ex-post, lca, environmental; EU scope visible. This is a provisional connection, not an outcome finding.</w:t>
      </w:r>
    </w:p>
    <w:p>
      <w:pPr>
        <w:pStyle w:val="SourceNote"/>
      </w:pPr>
      <w:r>
        <w:rPr>
          <w:b/>
        </w:rPr>
        <w:t>Available abstract (not full text):</w:t>
      </w:r>
      <w:r>
        <w:t xml:space="preserve"> Abstract Life-cycle assessment (LCA) stands as a vital tool in gauging the environmental impacts of building endeavors. Extending LCA to emerging research practices like advanced digital manufacturing of bio-based materials becomes pivotal for refining materials, appraising outcomes, and steering architecture toward sustainable development and circularity goals. To outline the main obstacles and to provide a potential methodology, the chapter presents two cases of application of LCA to digital fabrication with bio-based materials in experimental research practice. The application is framed within the ISO and EU standards for LCA and is tested through an ex-post “cradle to construction” analysis of two European Research Council (ERC) funded projects developed by the Center for Information Technology in Architecture (CITA) at the Royal Danish Academy. Specifically, a product LCA is performed for bio-polymeric composited 3D robotic fabrication using a novel collagen-based 3D print material, and a comparative LCA is carried out for Glulam manufacturing optimization connecting data from the timbers source in the forest and sawmill with its design and fabrication. In both cases, the prototypes assembly and exhibition are covered by the analysis. The unavailability of data, difficulties in standard protocols adaptation, and material and energy flows tracing in the research process eme</w:t>
      </w:r>
    </w:p>
    <w:p>
      <w:pPr/>
      <w:r>
        <w:rPr>
          <w:b/>
        </w:rPr>
        <w:t>POSSIBLE 2025:</w:t>
      </w:r>
      <w:r>
        <w:t xml:space="preserve"> Accounting for learning in prospective LCA: Theory and practical guidance — https://doi.org/10.1111/jiec.70002</w:t>
      </w:r>
    </w:p>
    <w:p>
      <w:pPr/>
      <w:r>
        <w:rPr>
          <w:b/>
        </w:rPr>
        <w:t>Shared claim-specific concepts:</w:t>
      </w:r>
      <w:r>
        <w:t xml:space="preserve"> lca, environmental; EU scope not established. This is a provisional connection, not an outcome finding.</w:t>
      </w:r>
    </w:p>
    <w:p>
      <w:pPr>
        <w:pStyle w:val="SourceNote"/>
      </w:pPr>
      <w:r>
        <w:rPr>
          <w:b/>
        </w:rPr>
        <w:t>Available abstract (not full text):</w:t>
      </w:r>
      <w:r>
        <w:t xml:space="preserve"> Abstract Learning is important for the development of industrially deployed technologies, and learning curves have been used to determine future production costs. Although the effect of learning on costs has been extensively studied, little evidence exists for its effect on environmental impacts, and a conceptual underpinning is lacking. Based on a review of theoretical foundations and empirical evidence, this study presents a procedure for assessing learning of industrial processes in ex ante and prospective life cycle assessment (LCA). We argue that learning involves operational or organizational changes, which are motivated by incentives. Therefore, environmental impacts may follow a learning curve trend if the origins of impacts coincide with dominant incentives. A key observation is that the results may vary by impact category, and certain impacts may not decline at all. Therefore, we developed guidelines that consider these differences when evaluating environmental learning effects and rates, as illustrated with examples in an LCA context. Further research is needed to expand the evidence base for environmental learning, by re‐interpreting datasets of existing technologies to determine their learning rates.</w:t>
      </w:r>
    </w:p>
    <w:p>
      <w:pPr/>
      <w:r>
        <w:rPr>
          <w:b/>
        </w:rPr>
        <w:t>POSSIBLE 2025:</w:t>
      </w:r>
      <w:r>
        <w:t xml:space="preserve"> LCA and eco-design between innovation and responsibility Environmental policies and consumer protection — https://doi.org/10.13135/2785-7867/12834</w:t>
      </w:r>
    </w:p>
    <w:p>
      <w:pPr/>
      <w:r>
        <w:rPr>
          <w:b/>
        </w:rPr>
        <w:t>Shared claim-specific concepts:</w:t>
      </w:r>
      <w:r>
        <w:t xml:space="preserve"> lca, environmental, reduction; EU scope not established. This is a provisional connection, not an outcome finding.</w:t>
      </w:r>
    </w:p>
    <w:p>
      <w:pPr>
        <w:pStyle w:val="SourceNote"/>
      </w:pPr>
      <w:r>
        <w:rPr>
          <w:b/>
        </w:rPr>
        <w:t>Available abstract (not full text):</w:t>
      </w:r>
      <w:r>
        <w:t xml:space="preserve"> The evolution of environmental regulation and consumer protection law is driving a profound transformation of production and commercial models, gradually orienting them towards sustainability and social responsibility. This regulatory development raises a structural challenge: how to reconcile the reduction of environmental impacts with the parallel need to strengthen consumer protection. Life Cycle Assessment (LCA) and eco-design emerge as essential tools in this respect: LCA makes it possible to analyse environmental effects throughout a product’s life cycle, thereby providing a scientific basis for policies on responsible consumption and production, while eco-design integrates sustainability criteria at the design stage, fostering durability, repairability and recyclability. This transition is increasingly reflected in binding legal instruments. The Eco-design for Sustainable Products Regulation (ESPR) introduces stricter design requirements; Directive 2019/771 on legal guarantees reinforces the right to durable and repairable goods; and the proposed Green Claims Directive seeks to regulate environmental claims, preventing greenwashing and ensuring that information provided to consumers is verifiable and transparent. International standards such as ISO 14040 and ISO 14044 provide methodological guidance for LCA, while principles like Extended Producer Responsibility (EPR) an</w:t>
      </w:r>
    </w:p>
    <w:p>
      <w:pPr/>
      <w:r>
        <w:rPr>
          <w:b/>
        </w:rPr>
        <w:t>POSSIBLE 2024:</w:t>
      </w:r>
      <w:r>
        <w:t xml:space="preserve"> Ex-ante LCA of magnet recycling: Progressing towards sustainable industrial-scale technology — https://doi.org/10.1016/j.jclepro.2024.142453</w:t>
      </w:r>
    </w:p>
    <w:p>
      <w:pPr/>
      <w:r>
        <w:rPr>
          <w:b/>
        </w:rPr>
        <w:t>Shared claim-specific concepts:</w:t>
      </w:r>
      <w:r>
        <w:t xml:space="preserve"> lca, environmental, categories; EU scope not established. This is a provisional connection, not an outcome finding.</w:t>
      </w:r>
    </w:p>
    <w:p>
      <w:pPr>
        <w:pStyle w:val="SourceNote"/>
      </w:pPr>
      <w:r>
        <w:rPr>
          <w:b/>
        </w:rPr>
        <w:t>Available abstract (not full text):</w:t>
      </w:r>
      <w:r>
        <w:t xml:space="preserve"> To alleviate the pressure on the rare earth supply chain, new technologies are under development for recovering, recycling and remanufacturing NdFeB magnets. In this study, the anticipated environmental performance of large-scale recycling is investigated and compared to the production of primary magnets. To do so, this ex-ante life cycle assessment combines input from measurements of pilot processes, expert technology forecasts, thermodynamic modelling, and equipment data from manufacturers. We examined the effect of four technology developments: process changes, size scaling, internal recycling, and optimization. The results show that at pilot scale, recovered NdFeB powders have lower impacts than primary powders for almost all impact categories. This demonstrates that the recovery of NdFeB alloys is environmentally beneficial. Magnets from anticipated large-scale recycling have over 80% lower impacts than primary magnets in most of the impact categories analyzed. All four investigated types of technology development contributed to this improved performance. The final configuration was validated by comparison with an industrial reference and theoretical optimum configuration. Four magnet manufacturing routes (sintering, extrusion, metal injection molding, bonding) have distinct environmental profiles, but all can progress to similarly low levels of impact. The choice among ro</w:t>
      </w:r>
    </w:p>
    <w:p>
      <w:pPr/>
      <w:r>
        <w:rPr>
          <w:b/>
        </w:rPr>
        <w:t>POSSIBLE 2024:</w:t>
      </w:r>
      <w:r>
        <w:t xml:space="preserve"> Prevention or ex-post forcing? The impact of dual environmental regulation on corporate environmental behavior — https://doi.org/10.1016/j.heliyon.2024.e30850</w:t>
      </w:r>
    </w:p>
    <w:p>
      <w:pPr/>
      <w:r>
        <w:rPr>
          <w:b/>
        </w:rPr>
        <w:t>Shared claim-specific concepts:</w:t>
      </w:r>
      <w:r>
        <w:t xml:space="preserve"> ex-post, environmental; EU scope not established. This is a provisional connection, not an outcome finding.</w:t>
      </w:r>
    </w:p>
    <w:p>
      <w:pPr>
        <w:pStyle w:val="SourceNote"/>
      </w:pPr>
      <w:r>
        <w:rPr>
          <w:b/>
        </w:rPr>
        <w:t>Available abstract (not full text):</w:t>
      </w:r>
      <w:r>
        <w:t xml:space="preserve"> Corporate reactions to environmental regulation are the hottest topics in research on corporate environmental behavior. However, a few studies incorporate other environmental behavior into the same framework. By constructing a comprehensive indicator system of dual environmental regulation, this paper uses a comparative analysis to discuss Chinese A-listed corporations' environmental behavior from 2009 to 2017, which were influenced by dual environmental regulation. The study's results show that formal environmental regulation (FER) has a significant U-shaped effect on pre-emptive environmental behavior (PEB) but an insignificant impact on ex-post environmental behavior (NEB). After categorizing the various forms of FER, this study finds that market-incentive environmental regulation has a significant inverted U-shaped effect on NEB but an insignificant impact on PEB, voluntary-participation regulation have a significant U-shaped effect on PEB and an inverted U-shaped effect on their NEB, and command-control regulation has significant influence on neither PEB nor NEB. In addition, informal environmental regulation (IER) has a significantly positive and negative effect on PEB and NEB. This study shows that corporate perceptions of policies can have a positive impact on the interaction between the FER and PEB but a negative impact on the interaction between the IER and PEB, and n</w:t>
      </w:r>
    </w:p>
    <w:p>
      <w:pPr>
        <w:pStyle w:val="Heading2"/>
      </w:pPr>
      <w:r>
        <w:t>715. Long-Term Projection of Renewable Energy Technology Diffusion</w:t>
      </w:r>
    </w:p>
    <w:p>
      <w:pPr>
        <w:pStyle w:val="SourceNote"/>
      </w:pPr>
      <w:r>
        <w:rPr>
          <w:b/>
        </w:rPr>
        <w:t>Original source (2019):</w:t>
      </w:r>
      <w:r>
        <w:t xml:space="preserve"> https://doi.org/10.3390/en12224261</w:t>
      </w:r>
    </w:p>
    <w:p>
      <w:pPr/>
      <w:r>
        <w:t>Original wording (abstract; indexed_source_text_not_full_document_verified): Projecting the future, in this respect, requires a long-term energy modeling which includes a rate of diffusion of novel technologies into the market and the prediction of their costs. A critical analysis of effects of the commonly applied models for a long-term energy projection (REMIND, WITCH) use has been conducted.</w:t>
      </w:r>
    </w:p>
    <w:p>
      <w:pPr/>
      <w:r>
        <w:rPr>
          <w:b/>
        </w:rPr>
        <w:t>POSSIBLE 2026:</w:t>
      </w:r>
      <w:r>
        <w:t xml:space="preserve"> Respect and Aggression in Intimate Relationships: A Grounded Theory of Relational Responsiveness — https://openalex.org/W7165831090</w:t>
      </w:r>
    </w:p>
    <w:p>
      <w:pPr/>
      <w:r>
        <w:rPr>
          <w:b/>
        </w:rPr>
        <w:t>Shared claim-specific concepts:</w:t>
      </w:r>
      <w:r>
        <w:t xml:space="preserve"> respect, use; EU scope not established. This is a provisional connection, not an outcome finding.</w:t>
      </w:r>
    </w:p>
    <w:p>
      <w:pPr>
        <w:pStyle w:val="SourceNote"/>
      </w:pPr>
      <w:r>
        <w:rPr>
          <w:b/>
        </w:rPr>
        <w:t>Available abstract (not full text):</w:t>
      </w:r>
      <w:r>
        <w:t xml:space="preserve"> The negative effects of aggression in intimate relationships have been well documented through research and clinical literature (Lawrence &amp; Bradbury, 2001; Shortt et al., 2006). Conversely, the positive effects of respectful behavior are well-known (Gottman, 1994; Dew &amp; Wilcox, 2013). This important dimension of relationships is crucial to understanding what makes up healthy and unhealthy relationships. However, little is known about how couples understand the varying types of respect and aggression within intimate relationships, nor how they are lived and experienced relationally. The purpose of this study is to explore the dyadic processes behind respect and aggression as well as their relational outcomes. The data for this project were taken from a larger qualitative study on healthy and unhealthy relationships. Individuals were selected through convenience and theoretical sampling and interviewed using a semi-structured format. Deductive coding was used to sort and organize the data into topics of interest, and inductive grounded theory methods were used to analyze the data that are related to respect and aggression. Clinical implications from this study include theorized interpersonal mechanisms of respect and aggression and suggestions on how therapists can use empirically supported treatments to increase respect and decrease aggression within intimate relationships.</w:t>
      </w:r>
    </w:p>
    <w:p>
      <w:pPr/>
      <w:r>
        <w:rPr>
          <w:b/>
        </w:rPr>
        <w:t>POSSIBLE 2026:</w:t>
      </w:r>
      <w:r>
        <w:t xml:space="preserve"> Cultivating Respect Empathy and Cooperation through Harmonious Living in Elementary Education — https://doi.org/10.21070/acopen.11.2026.14725</w:t>
      </w:r>
    </w:p>
    <w:p>
      <w:pPr/>
      <w:r>
        <w:rPr>
          <w:b/>
        </w:rPr>
        <w:t>Shared claim-specific concepts:</w:t>
      </w:r>
      <w:r>
        <w:t xml:space="preserve"> respect, requires, modeling; EU scope not established. This is a provisional connection, not an outcome finding.</w:t>
      </w:r>
    </w:p>
    <w:p>
      <w:pPr>
        <w:pStyle w:val="SourceNote"/>
      </w:pPr>
      <w:r>
        <w:rPr>
          <w:b/>
        </w:rPr>
        <w:t>Available abstract (not full text):</w:t>
      </w:r>
      <w:r>
        <w:t xml:space="preserve"> General Background Character education emphasizes moral and social intelligence alongside academic knowledge within schools. Specific Background The Harmonious Living Program specifically integrates the core values of respect, empathy, and cooperation into daily elementary school routines, extracurricular activities, and classroom interactions. Knowledge Gap However, the consistent application of these moral values faces persistent constraints due to limited parental involvement, restrictive curriculum loads, and inadequate teacher training in social-emotional learning. Aims This qualitative descriptive study examines the practical implementation, associated challenges, and behavioral outcomes of the Harmonious Living Program at Apuan 1 Public Elementary School. Results Data obtained through observation, interviews, and documentation reveal that integrating character values through teacher role modeling and collaborative learning significantly reduces student conflict. Furthermore, students demonstrate increased social awareness, polite communication, and collective responsibility. Novelty This research demonstrates that ethical values are not effectively acquired through isolated moral instruction, but require an integrated ecosystem where teachers function as continuous behavioral role models within a restorative school climate. Implications Sustaining these positive behavior</w:t>
      </w:r>
    </w:p>
    <w:p>
      <w:pPr/>
      <w:r>
        <w:rPr>
          <w:b/>
        </w:rPr>
        <w:t>POSSIBLE 2024:</w:t>
      </w:r>
      <w:r>
        <w:t xml:space="preserve"> A Novel Fuzzy Model for Knowledge-Driven Process Optimization in Renewable Energy Projects — https://doi.org/10.1007/s13132-024-02074-w</w:t>
      </w:r>
    </w:p>
    <w:p>
      <w:pPr/>
      <w:r>
        <w:rPr>
          <w:b/>
        </w:rPr>
        <w:t>Shared claim-specific concepts:</w:t>
      </w:r>
      <w:r>
        <w:t xml:space="preserve"> respect, energy, novel, technologies, use, conducted; EU scope not established. This is a provisional connection, not an outcome finding.</w:t>
      </w:r>
    </w:p>
    <w:p>
      <w:pPr>
        <w:pStyle w:val="SourceNote"/>
      </w:pPr>
      <w:r>
        <w:rPr>
          <w:b/>
        </w:rPr>
        <w:t>Available abstract (not full text):</w:t>
      </w:r>
      <w:r>
        <w:t xml:space="preserve"> Abstract This study is aimed at identifying key indicators to increase knowledge-based process optimization for renewable energy projects. Within this context, a novel fuzzy decision-making model is introduced that has two different stages. The first stage is related to the weighting of the knowledge-based determinants of process optimization in investment decisions by using quantum picture fuzzy rough sets (QPFR)-based multi-step wise weight assessment ratio analysis (M-SWARA). On the other side, the second stage consists of ranking the investment alternatives for process optimization in renewable energy projects via the QPFR-based technique for order preference by similarity (TOPSIS) methodology. The main contribution of this study is that a priority analysis is conducted for information-based factors affecting the performance of renewable energy projects. This situation provides an opportunity for the investments to implement appropriate strategies to increase the optimization of these investments. It is concluded that quality is the most essential indicator with respect to the process optimization of these projects. It can be possible to increase the efficiency of these projects by using better quality products. Innovation has an important role in ensuring the use of quality products in environmental sustainability. Owing to new technologies, it is easier to use more effect</w:t>
      </w:r>
    </w:p>
    <w:p>
      <w:pPr/>
      <w:r>
        <w:rPr>
          <w:b/>
        </w:rPr>
        <w:t>POSSIBLE 2022:</w:t>
      </w:r>
      <w:r>
        <w:t xml:space="preserve"> Future of solar energy potential in a changing climate across the world: A CMIP6 multi-model ensemble analysis — https://doi.org/10.1016/j.renene.2022.02.023</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72 The butterfly project – improving treatment escalation planning in the emergency department — https://doi.org/10.1136/spcare-2021-pcc.90</w:t>
      </w:r>
    </w:p>
    <w:p>
      <w:pPr/>
      <w:r>
        <w:rPr>
          <w:b/>
        </w:rPr>
        <w:t>Shared claim-specific concepts:</w:t>
      </w:r>
      <w:r>
        <w:t xml:space="preserve"> respect, requires, rate; EU scope not established. This is a provisional connection, not an outcome finding.</w:t>
      </w:r>
    </w:p>
    <w:p>
      <w:pPr>
        <w:pStyle w:val="SourceNote"/>
      </w:pPr>
      <w:r>
        <w:rPr>
          <w:b/>
        </w:rPr>
        <w:t>Available abstract (not full text):</w:t>
      </w:r>
      <w:r>
        <w:t xml:space="preserve"> Background The 2017 End of Life Care Hospital Improvement Programme (ELCHIP) audit of deaths at the Leicester Royal Infirmary (LRI) an Emergency Department (ED) attendance may be an opportunity to proactively identify and plan for deterioration. The clinical frailty scale (CFS) can identify older people at increased risk of deterioration or dying and local data suggests a 1 year mortality rate of 50% in the cohort of patients with CFS 7–9. Methods The Butterfly Project is a multidisciplinary quality improvement project aiming to increase the percentage of older people CFS 7–9 dying in their preferred place of care, with additional outcomes based on early identification of uncertain recovery and treatment escalation planning. ED notes were reviewed for all CFS 7–9 patients dying within 30 days of an ED attendance between February 2019 and May 2020. Interventions were broadly within two streams. The first focused on improving treatment escalation planning including verbal and visual prompts and the introduction of the ReSPECT process. The second was based on improving the skillset of ED staff via educational interventions. Results Between May 2019 and May 2020, although there was no change in the percentage of patients dying in their preferred place of care, statistical process control charts showed sustained upward shift in: Identification and communication of uncertain recovery</w:t>
      </w:r>
    </w:p>
    <w:p>
      <w:pPr/>
      <w:r>
        <w:rPr>
          <w:b/>
        </w:rPr>
        <w:t>POSSIBLE 2021:</w:t>
      </w:r>
      <w:r>
        <w:t xml:space="preserve"> ASEAN’s Energy Transition towards Cleaner Energy System: Energy Modelling Scenarios and Policy Implications — https://doi.org/10.3390/su13052819</w:t>
      </w:r>
    </w:p>
    <w:p>
      <w:pPr/>
      <w:r>
        <w:rPr>
          <w:b/>
        </w:rPr>
        <w:t>Shared claim-specific concepts:</w:t>
      </w:r>
      <w:r>
        <w:t xml:space="preserve"> energy, technologies, use; EU scope not established. This is a provisional connection, not an outcome finding.</w:t>
      </w:r>
    </w:p>
    <w:p>
      <w:pPr>
        <w:pStyle w:val="SourceNote"/>
      </w:pPr>
      <w:r>
        <w:rPr>
          <w:b/>
        </w:rPr>
        <w:t>Available abstract (not full text):</w:t>
      </w:r>
      <w:r>
        <w:t xml:space="preserve"> The Association of Southeast Asian Nations (ASEAN) faces tremendous challenges regarding the future energy landscape and how the energy transition will embrace a new architecture—including sound policies and technologies to ensure energy access together with affordability, energy security, and energy sustainability. Given the high share of fossil fuels in ASEAN’s current energy mix (oil, coal, and natural gas comprise almost 80%), the clean use of fossil fuels through the deployment of clean technologies is indispensable for decarbonizing ASEAN’s emissions. The future energy landscape of ASEAN will rely on today’s actions, policies, and investments to change the fossil fuel-based energy system towards a cleaner energy system, but any decisions and energy policy measures to be rolled out during the energy transition need to be weighed against potentially higher energy costs, affordability issues, and energy security risks. This paper employs energy modelling scenarios to seek plausible policy options for ASEAN to achieve more emissions reductions as well as energy savings, and to assess the extent to which the composition of the energy mix will be changed under various energy policy scenarios. The results imply policy recommendations for accelerating the share of renewables, adopting clean technologies and the clean use of fossil fuels, and investing in climate-resilient energy </w:t>
      </w:r>
    </w:p>
    <w:p>
      <w:pPr/>
      <w:r>
        <w:rPr>
          <w:b/>
        </w:rPr>
        <w:t>POSSIBLE 2021:</w:t>
      </w:r>
      <w:r>
        <w:t xml:space="preserve"> Nuclear Energy Model Intercomparison Project — https://openalex.org/W4287197107</w:t>
      </w:r>
    </w:p>
    <w:p>
      <w:pPr/>
      <w:r>
        <w:rPr>
          <w:b/>
        </w:rPr>
        <w:t>Shared claim-specific concepts:</w:t>
      </w:r>
      <w:r>
        <w:t xml:space="preserve"> long-term, energy; EU scope not established. This is a provisional connection, not an outcome finding.</w:t>
      </w:r>
    </w:p>
    <w:p>
      <w:pPr>
        <w:pStyle w:val="SourceNote"/>
      </w:pPr>
      <w:r>
        <w:rPr>
          <w:b/>
        </w:rPr>
        <w:t>Available abstract (not full text):</w:t>
      </w:r>
      <w:r>
        <w:t xml:space="preserve"> This document summarizes the current status and future plans of the Nuclear Model Intercomparison Project. The objectives of this project are to understand how issues central to nuclear energy are modeled in long-term capacity expansion models, to investigate how model structures and input assumptions impact projections for nuclear’s role, to refine model representations of nuclear energy, and to communicate findings to the research community and decision-makers. High-level goals are discussed for each of the four participating model groups: the U.S. Energy Information Administration (EIA), U.S. Environmental Protection Agency (EPA), Electric Power Research Institute (EPRI), and National Renewable Energy Laboratory (NREL). This document summarizes scenarios and assumptions for the model comparison, outcomes from the first workshop, and next steps.</w:t>
      </w:r>
    </w:p>
    <w:p>
      <w:pPr/>
      <w:r>
        <w:rPr>
          <w:b/>
        </w:rPr>
        <w:t>POSSIBLE 2021:</w:t>
      </w:r>
      <w:r>
        <w:t xml:space="preserve"> Collaboration enhanced hybrid fuzzy decision-making approach to analyze the renewable energy investment projects — https://doi.org/10.1016/j.egyr.2021.12.006</w:t>
      </w:r>
    </w:p>
    <w:p>
      <w:pPr/>
      <w:r>
        <w:rPr>
          <w:b/>
        </w:rPr>
        <w:t>Shared claim-specific concepts:</w:t>
      </w:r>
      <w:r>
        <w:t xml:space="preserve"> respect, energy, novel, applied; EU scope not established. This is a provisional connection, not an outcome finding.</w:t>
      </w:r>
    </w:p>
    <w:p>
      <w:pPr>
        <w:pStyle w:val="SourceNote"/>
      </w:pPr>
      <w:r>
        <w:rPr>
          <w:b/>
        </w:rPr>
        <w:t>Available abstract (not full text):</w:t>
      </w:r>
      <w:r>
        <w:t xml:space="preserve"> The aim of this study is to examine the cost management strategies of low-carbon renewable energy projects. This manuscript has important contributions by evaluating different cost-management to increase renewable energy investment projects. Owing to the analysis results of this study, the ways to minimize carbon emission problem can be presented. Additionally, another important contribution of this study is to generate a novel hybrid model based on Pythagorean fuzzy DEMATEL, TOPSIS and Shapley value to find appropriate policies to improve these projects. Furthermore, the accuracy of the proposed model is measured for each cooperative cost management strategy by using the VIKOR method. In addition, sensitivity analysis is also applied with 5 cases for both the TOPSIS and VIKOR methods by changing the weighting results of the criteria consecutively. It is defined that the proposed model is coherent and applicable for the further studies. Moreover, the ranking results of the sensitivity analysis are also consistent with the different cases. The results indicate that internal process has always the lowest costs for the solar energy alternatives. In addition, customer is the lowest cost factor with respect to the wind energy alternative. Thus, it is obvious that improving the qualification of the employees is essential for the improvement of the solar energy projects. Moreover, the</w:t>
      </w:r>
    </w:p>
    <w:p>
      <w:pPr/>
      <w:r>
        <w:rPr>
          <w:b/>
        </w:rPr>
        <w:t>POSSIBLE 2021:</w:t>
      </w:r>
      <w:r>
        <w:t xml:space="preserve"> The Power of Co-Creation in the Energy Transition—DART Model in Citizen Energy Communities Projects — https://doi.org/10.3390/en14175266</w:t>
      </w:r>
    </w:p>
    <w:p>
      <w:pPr/>
      <w:r>
        <w:rPr>
          <w:b/>
        </w:rPr>
        <w:t>Shared claim-specific concepts:</w:t>
      </w:r>
      <w:r>
        <w:t xml:space="preserve"> energy, novel; EU scope visible. This is a provisional connection, not an outcome finding.</w:t>
      </w:r>
    </w:p>
    <w:p>
      <w:pPr>
        <w:pStyle w:val="SourceNote"/>
      </w:pPr>
      <w:r>
        <w:rPr>
          <w:b/>
        </w:rPr>
        <w:t>Available abstract (not full text):</w:t>
      </w:r>
      <w:r>
        <w:t xml:space="preserve"> Successful energy transformation is interconnected with greater citizenry participation as prosumers. The search for novel solutions to implement the transition to renewable energy that will neutralize the barriers to this process, e.g., the reluctance of citizens to get involved, lack of trust in decision-makers and lack of co-ownership of energy projects, is inevitable as a part of the bottom-up process. Energy communities have vast potential to scale up Renewable Energy projects. Due to the fact that in Poland, establishing citizen energy communities in the cities is not allowed, the key success factor of energy transformation is to engage housing cooperatives and other housing communities in this process. A similar legal framework prevents communities from establishing themselves in the Czech Republic and Hungary. The research problem of this paper is to identify determinants of the co-creation process in Renewable Energy project activation at the housing cooperative level. The aim is to identify key conditions that housing cooperatives should establish in order to successfully undertake Renewable Energy project implementation using a co-creation approach. The literature study shows that the term “co-creation” is not often used in energy transition projects, although many local energy transitions are indeed co-created, unfortunately not in a structured methodical manner. In</w:t>
      </w:r>
    </w:p>
    <w:p>
      <w:pPr/>
      <w:r>
        <w:rPr>
          <w:b/>
        </w:rPr>
        <w:t>POSSIBLE 2021:</w:t>
      </w:r>
      <w:r>
        <w:t xml:space="preserve"> Modelling the redistribution of benefits from joint investments in community energy projects — https://doi.org/10.1016/j.apenergy.2021.116575</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Given the widespread adoption of renewable generation, storage and new loads like electric vehicle charging, there has been a growing effort to enhance local energy resilience, particularly at the community level. This has led to increasing interest in the development of local or community energy projects, in which individual prosumers are able to generate, store and trade energy within the community — enabling a shift in market power from large utility companies to individual prosumers. Such schemes often involve a group of consumers investing in community-owned asset such as community-owned wind turbines or shared battery storage. Yet, developing methods to enable efficient control and fair sharing of jointly-owned assets is a key open question, of both research and practical importance. In this paper, we provide a method inspired from game theory concepts to fairly redistribute the benefits from community owned energy-assets such as community wind turbines and storage. We propose a heuristic-based battery control algorithm for maximization of behind-the-meter self-consumption, which considers the effect of battery life degradation. Using real consumption and production data to model a community of two hundred households, we assess and compare technical and economic benefits of investment in individually-owned or community-owned assets such as chemical storage. We show that b</w:t>
      </w:r>
    </w:p>
    <w:p>
      <w:pPr/>
      <w:r>
        <w:rPr>
          <w:b/>
        </w:rPr>
        <w:t>POSSIBLE 2021:</w:t>
      </w:r>
      <w:r>
        <w:t xml:space="preserve"> Renewable Energy Targets and Unintended Storage Cycling: Implications for Energy Modeling — https://doi.org/10.1016/j.isci.2022.104002</w:t>
      </w:r>
    </w:p>
    <w:p>
      <w:pPr/>
      <w:r>
        <w:rPr>
          <w:b/>
        </w:rPr>
        <w:t>Shared claim-specific concepts:</w:t>
      </w:r>
      <w:r>
        <w:t xml:space="preserve"> energy, modeling, use; EU scope not established. This is a provisional connection, not an outcome finding.</w:t>
      </w:r>
    </w:p>
    <w:p>
      <w:pPr>
        <w:pStyle w:val="SourceNote"/>
      </w:pPr>
      <w:r>
        <w:rPr>
          <w:b/>
        </w:rPr>
        <w:t>Available abstract (not full text):</w:t>
      </w:r>
      <w:r>
        <w:t xml:space="preserve"> To decarbonize the economy, many governments have set targets for the use of renewable energy sources. These are often formulated as relative shares of electricity demand or supply. Implementing respective constraints in energy models is a surprisingly delicate issue. They may cause a modeling artifact of excessive electricity storage use. We introduce this phenomenon as 'unintended storage cycling', which can be detected in case of simultaneous storage charging and discharging. In this paper, we provide an analytical representation of different approaches for implementing minimum renewable share constraints in models, and show how these may lead to unintended storage cycling. Using a parsimonious optimization model, we quantify related distortions of optimal dispatch and investment decisions as well as market prices, and identify important drivers of the phenomenon. Finally, we provide recommendations on how to avoid the distorting effects of unintended storage cycling in energy modeling.</w:t>
      </w:r>
    </w:p>
    <w:p>
      <w:pPr/>
      <w:r>
        <w:rPr>
          <w:b/>
        </w:rPr>
        <w:t>POSSIBLE 2021:</w:t>
      </w:r>
      <w:r>
        <w:t xml:space="preserve"> Developing a community of practice around an open source energy modelling tool — https://doi.org/10.1016/j.esr.2021.100650</w:t>
      </w:r>
    </w:p>
    <w:p>
      <w:pPr/>
      <w:r>
        <w:rPr>
          <w:b/>
        </w:rPr>
        <w:t>Shared claim-specific concepts:</w:t>
      </w:r>
      <w:r>
        <w:t xml:space="preserve"> energy, critical; EU scope not established. This is a provisional connection, not an outcome finding.</w:t>
      </w:r>
    </w:p>
    <w:p>
      <w:pPr>
        <w:pStyle w:val="SourceNote"/>
      </w:pPr>
      <w:r>
        <w:rPr>
          <w:b/>
        </w:rPr>
        <w:t>Available abstract (not full text):</w:t>
      </w:r>
      <w:r>
        <w:t xml:space="preserve"> Energy modelling is critical for addressing challenges such as integrating variable renewable energy and addressing climate impacts. This paper describes the updated code management structure and code updates, the revised community forum and the outreach activities that have built a vibrant community of practice around OSeMOSYS. The code management structure has allowed code improvements to be incorporated into the model, the community forum provides users with a place to ask and answer questions, and the outreach activities connect members of the community. Overall, these three pillars show how a community of practice can be built around an open source tool and provides an example for other developers and users of open source software wanting to build a community of practice.</w:t>
      </w:r>
    </w:p>
    <w:p>
      <w:pPr>
        <w:pStyle w:val="Heading2"/>
      </w:pPr>
      <w:r>
        <w:t>716. Low-carbon energy scenarios 2050 in north-west European countries: Towards a more harmonised approach to achieve the EU targets</w:t>
      </w:r>
    </w:p>
    <w:p>
      <w:pPr>
        <w:pStyle w:val="SourceNote"/>
      </w:pPr>
      <w:r>
        <w:rPr>
          <w:b/>
        </w:rPr>
        <w:t>Original source (2019):</w:t>
      </w:r>
      <w:r>
        <w:t xml:space="preserve"> https://doi.org/10.1016/j.enpol.2019.03.047</w:t>
      </w:r>
    </w:p>
    <w:p>
      <w:pPr/>
      <w:r>
        <w:t>Original wording (abstract; indexed_source_text_not_full_document_verified): The analysis has shown that all selected countries have potential for modifying their energy scenarios, which being implemented may help to achieve the joint European targets 2050. The results can be of interest to economists, business and academic representatives, and especially policy makers involved in the long-term energy scenario development on the international, regional and national level.</w:t>
      </w:r>
    </w:p>
    <w:p>
      <w:pPr/>
      <w:r>
        <w:rPr>
          <w:b/>
        </w:rPr>
        <w:t>POSSIBLE 2024:</w:t>
      </w:r>
      <w:r>
        <w:t xml:space="preserve"> Regional cooling potential from expansion of perennial grasses in Europe — https://doi.org/10.1038/s43247-024-01923-5</w:t>
      </w:r>
    </w:p>
    <w:p>
      <w:pPr/>
      <w:r>
        <w:rPr>
          <w:b/>
        </w:rPr>
        <w:t>Shared claim-specific concepts:</w:t>
      </w:r>
      <w:r>
        <w:t xml:space="preserve"> potential, energy, achieve, regional; EU scope visible. This is a provisional connection, not an outcome finding.</w:t>
      </w:r>
    </w:p>
    <w:p>
      <w:pPr>
        <w:pStyle w:val="SourceNote"/>
      </w:pPr>
      <w:r>
        <w:rPr>
          <w:b/>
        </w:rPr>
        <w:t>Available abstract (not full text):</w:t>
      </w:r>
      <w:r>
        <w:t xml:space="preserve"> Abstract Perennial grasses are an option to mitigate global warming, increase energy security, and alleviate environmental pressures within agricultural landscapes. Their cultivation alters near-surface temperature in ways that are still largely unclear. Here, a regional climate model with an enhanced representation of perennial grasses shows that converting today’s cropland areas in Europe induces annual mean temperature reductions in summer and autumn (up to –1 °C), which are primarily driven by a later harvest of perennial grasses relative to annual crops. Cultivation of perennial grasses where they deliver stronger biogeophysical cooling can achieve a similar annual mean temperature reduction on half of the land. This cooling can counteract up to 50% of the projected future warming and it is three times larger than what is achieved via carbon emission reductions. A sustainable deployment of perennial grasses has the potential to link global mitigation objectives with co-benefits for the local climate and environment.</w:t>
      </w:r>
    </w:p>
    <w:p>
      <w:pPr/>
      <w:r>
        <w:rPr>
          <w:b/>
        </w:rPr>
        <w:t>POSSIBLE 2023:</w:t>
      </w:r>
      <w:r>
        <w:t xml:space="preserve"> Impact of COVID-19 pandemic on flu vaccine uptake in healthcare workers in Europe: a systematic review and meta-analysis — https://doi.org/10.1080/14760584.2023.2250437</w:t>
      </w:r>
    </w:p>
    <w:p>
      <w:pPr/>
      <w:r>
        <w:rPr>
          <w:b/>
        </w:rPr>
        <w:t>Shared claim-specific concepts:</w:t>
      </w:r>
      <w:r>
        <w:t xml:space="preserve"> shown, all, selected, countries, potential; EU scope visible. This is a provisional connection, not an outcome finding.</w:t>
      </w:r>
    </w:p>
    <w:p>
      <w:pPr>
        <w:pStyle w:val="SourceNote"/>
      </w:pPr>
      <w:r>
        <w:rPr>
          <w:b/>
        </w:rPr>
        <w:t>Available abstract (not full text):</w:t>
      </w:r>
      <w:r>
        <w:t xml:space="preserve"> INTRODUCTION: Influenza immunization policies in Europe primarily target at-risk and vulnerable subjects. Healthcare workers (HCWs) are a key focus of vaccination campaigns. Our systematic review and meta-analysis aim to evaluate the role of the COVID-19 pandemic on influenza vaccine uptake among HCWs since the 2020/21 influenza season. AREAS COVERED: Fourteen studies were included in the meta-analysis and systematic review, selected from scientific articles available in MEDLINE/PubMed, ISI Web of Knowledge, and Scopus databases between 1 January 2021 and 15 January 2023 The analysis revealed a significant relationship between influenza vaccine uptake and COVID-19 related determinants, such as willingness to receive COVID-19 vaccination, fear of COVID-19, and differentiating between influenza and COVID-19 symptoms (OR = 5.70; 95%CI = 2.08-15.60). Several studies reported higher vaccination coverages in the 2020/21 season compared to previous seasons, with VC values ranging from + 17% to + 38% compared to the 2019/20 season. The included studies identified a shift in HCWs' attitudes toward influenza vaccination, attributed to increased awareness due to the COVID-19 pandemic. EXPERT OPINION: Vaccine hesitancy is common among HCWs in Europe, necessitating mutual strategies across all European countries. So far, mandatory vaccination policies have shown the most potential in achiev</w:t>
      </w:r>
    </w:p>
    <w:p>
      <w:pPr/>
      <w:r>
        <w:rPr>
          <w:b/>
        </w:rPr>
        <w:t>POSSIBLE 2022:</w:t>
      </w:r>
      <w:r>
        <w:t xml:space="preserve"> Natural Fillers as Potential Modifying Agents for Epoxy Composition: A Review — https://doi.org/10.3390/polym14020265</w:t>
      </w:r>
    </w:p>
    <w:p>
      <w:pPr/>
      <w:r>
        <w:rPr>
          <w:b/>
        </w:rPr>
        <w:t>Shared claim-specific concepts:</w:t>
      </w:r>
      <w:r>
        <w:t xml:space="preserve"> potential, modifying, interest; EU scope not established. This is a provisional connection, not an outcome finding.</w:t>
      </w:r>
    </w:p>
    <w:p>
      <w:pPr>
        <w:pStyle w:val="SourceNote"/>
      </w:pPr>
      <w:r>
        <w:rPr>
          <w:b/>
        </w:rPr>
        <w:t>Available abstract (not full text):</w:t>
      </w:r>
      <w:r>
        <w:t xml:space="preserve"> Epoxy resins as important organic matrices, thanks to their chemical structure and the possibility of modification, have unique properties, which contribute to the fact that these materials have been used in many composite industries for many years. Epoxy resins are repeatedly used in exacting applications due to their exquisite mechanical properties, thermal stability, scratch resistance, and chemical resistance. Moreover, epoxy materials also have really strong resistance to solvents, chemical attacks, and climatic aging. The presented features confirm the fact that there is a constant interest of scientists in the modification of resins and understanding its mechanisms, as well as in the development of these materials to obtain systems with the required properties. Most of the recent studies in the literature are focused on green fillers such as post-agricultural waste powder (cashew nuts powder, coconut shell powder, rice husks, date seed), grass fiber (bamboo fibers), bast/leaf fiber (hemp fibers, banana bark fibers, pineapple leaf), and other natural fibers (waste tea fibers, palm ash) as reinforcement for epoxy resins rather than traditional non-biodegradable fillers due to their sustainability, low cost, wide availability, and the use of waste, which is environmentally friendly. Furthermore, the advantages of natural fillers over traditional fillers are acceptable speci</w:t>
      </w:r>
    </w:p>
    <w:p>
      <w:pPr/>
      <w:r>
        <w:rPr>
          <w:b/>
        </w:rPr>
        <w:t>POSSIBLE 2022:</w:t>
      </w:r>
      <w:r>
        <w:t xml:space="preserve"> Status and Prospects of Botanical Biopesticides in Europe and Mediterranean Countries — https://doi.org/10.3390/biom12020311</w:t>
      </w:r>
    </w:p>
    <w:p>
      <w:pPr/>
      <w:r>
        <w:rPr>
          <w:b/>
        </w:rPr>
        <w:t>Shared claim-specific concepts:</w:t>
      </w:r>
      <w:r>
        <w:t xml:space="preserve"> countries, especially; EU scope visible. This is a provisional connection, not an outcome finding.</w:t>
      </w:r>
    </w:p>
    <w:p>
      <w:pPr>
        <w:pStyle w:val="SourceNote"/>
      </w:pPr>
      <w:r>
        <w:rPr>
          <w:b/>
        </w:rPr>
        <w:t>Available abstract (not full text):</w:t>
      </w:r>
      <w:r>
        <w:t xml:space="preserve"> Concerning human and environmental health, safe alternatives to synthetic pesticides are urgently needed. Many of the currently used synthetic pesticides are not authorized for application in organic agriculture. In addition, the developed resistances of various pests against classical pesticides necessitate the urgent demand for efficient and safe products with novel modes of action. Botanical pesticides are assumed to be effective against various crop pests, and they are easily biodegradable and available in high quantities and at a reasonable cost. Many of them may act by diverse yet unexplored mechanisms of action. It is therefore surprising that only few plant species have been developed for commercial usage as biopesticides. This article reviews the status of botanical pesticides, especially in Europe and Mediterranean countries, deepening their active principles and mechanisms of action. Moreover, some constraints and challenges in the development of novel biopesticides are highlighted.</w:t>
      </w:r>
    </w:p>
    <w:p>
      <w:pPr/>
      <w:r>
        <w:rPr>
          <w:b/>
        </w:rPr>
        <w:t>POSSIBLE 2021:</w:t>
      </w:r>
      <w:r>
        <w:t xml:space="preserve"> Potential Effects of a Modified Mediterranean Diet on Body Composition in Lipoedema — https://doi.org/10.3390/nu13020358</w:t>
      </w:r>
    </w:p>
    <w:p>
      <w:pPr/>
      <w:r>
        <w:rPr>
          <w:b/>
        </w:rPr>
        <w:t>Shared claim-specific concepts:</w:t>
      </w:r>
      <w:r>
        <w:t xml:space="preserve"> all, potential, long-term; EU scope visible. This is a provisional connection, not an outcome finding.</w:t>
      </w:r>
    </w:p>
    <w:p>
      <w:pPr>
        <w:pStyle w:val="SourceNote"/>
      </w:pPr>
      <w:r>
        <w:rPr>
          <w:b/>
        </w:rPr>
        <w:t>Available abstract (not full text):</w:t>
      </w:r>
      <w:r>
        <w:t xml:space="preserve"> Lipoedema is a subcutaneous adipose tissue disease characterized by the increase in the amount and structure of fat mass (FM) in specific areas, causing pain and discomfort. 95% of patients fail to lose weight in the lipoedema areas. The study was conducted to evaluate body composition and general health status modification in a group of lipoedema patients (LIPPY) and a control group (CTRL) after four weeks of a modified Mediterranean diet therapy (mMeD). A total of 29 subjects were included in the data analysis, divided in two groups: 14 LIPPY and 15 CTRL. After the mMeD, both groups significantly decreased their weight and body mass index; the CTRL also showed a reduction of all the circumferences and all FM's compartments. LIPPY showed a decrease of FM in upper and lower limbs. No significant differences in Δ% between the groups were observed for the lean mass (LM). In LIPPY, an increase in the patients' ability to perform various daily physical activities related to the loss of arms' and legs' fat was observed. According to the European Quality of Life scale, the possibility for LIPPY subjects to perform simple daily activities with less fatigue, pain and anxiety is highlighted. Further long-term studies are recommended to confirm the mMeD as a good strategy for Lipoedema treatment.</w:t>
      </w:r>
    </w:p>
    <w:p>
      <w:pPr/>
      <w:r>
        <w:rPr>
          <w:b/>
        </w:rPr>
        <w:t>POSSIBLE 2021:</w:t>
      </w:r>
      <w:r>
        <w:t xml:space="preserve"> A modified lightning potential index for numerical models with parameterized deep convection — https://doi.org/10.5194/ems2021-253</w:t>
      </w:r>
    </w:p>
    <w:p>
      <w:pPr/>
      <w:r>
        <w:rPr>
          <w:b/>
        </w:rPr>
        <w:t>Shared claim-specific concepts:</w:t>
      </w:r>
      <w:r>
        <w:t xml:space="preserve"> shown, all, potential, international; EU scope visible. This is a provisional connection, not an outcome finding.</w:t>
      </w:r>
    </w:p>
    <w:p>
      <w:pPr>
        <w:pStyle w:val="SourceNote"/>
      </w:pPr>
      <w:r>
        <w:rPr>
          <w:b/>
        </w:rPr>
        <w:t>Available abstract (not full text):</w:t>
      </w:r>
      <w:r>
        <w:t xml:space="preserve"> A modified lightning potential index (MLPI) for numerical models with parameterized deep convection is presented. It is based on the LPI formula of Lynn and Yair (2010). Following the idea of Lopez (2016), the quantities (e.g. vertical velocity) needed in the LPI formula are derived from the updraft of the Bechtold-Tiedtke parameterization scheme (Bechtold et al., 2014). The formula is further improved by taking into account the vertical equivalent potential temperature gradient. The LPI and MLPI are tested in ICON with 20km resolution (ICON-20) over central Europe. A key component in the LPI is the vertical velocity. To assess its quality, the vertical velocity of the updraft in the convection scheme in ICON-20 is compared to updrafts in the convection-resolving COSMO model with 2.2 km resolution (COSMO-D2). It is shown that in ICON-20 the extension of the vertical velocity is generally broader with the maximum located in higher altitudes. In the charge separation area where the vertical velocity is relevant, the ICON-20 vertical velocity is less than in COSMO-D2. Consequently, the LPI values in ICON-20 are lower by a factor of 2 compared to COSMO-D2. The MLPI is verified against LINET lightning data (Betz et al. 2009) over central Europe for summer 2020 and compared to LPI in COSMO-D2. The MLPI is also compared to the LPI and the lightning flash density (LFD, Lopez, 2016), al</w:t>
      </w:r>
    </w:p>
    <w:p>
      <w:pPr/>
      <w:r>
        <w:rPr>
          <w:b/>
        </w:rPr>
        <w:t>POSSIBLE 2021:</w:t>
      </w:r>
      <w:r>
        <w:t xml:space="preserve"> Personality and Authenticity in Light of the Memory-Modifying Potential of Optogenetics — https://doi.org/10.1080/21507740.2020.1866097</w:t>
      </w:r>
    </w:p>
    <w:p>
      <w:pPr/>
      <w:r>
        <w:rPr>
          <w:b/>
        </w:rPr>
        <w:t>Shared claim-specific concepts:</w:t>
      </w:r>
      <w:r>
        <w:t xml:space="preserve"> shown, potential, interest, especially, long-term; EU scope not established. This is a provisional connection, not an outcome finding.</w:t>
      </w:r>
    </w:p>
    <w:p>
      <w:pPr>
        <w:pStyle w:val="SourceNote"/>
      </w:pPr>
      <w:r>
        <w:rPr>
          <w:b/>
        </w:rPr>
        <w:t>Available abstract (not full text):</w:t>
      </w:r>
      <w:r>
        <w:t xml:space="preserve"> There has been a growing interest in research concerning memory modification technologies (MMTs) in recent years. Neuroscientists and psychologists are beginning to explore the prospect of controllable and intentional modification of human memory. One of the technologies with the greatest potential to this end is optogenetics-an invasive neuromodulation technique involving the use of light to control the activity of individual brain cells. It has recently shown the potential to modify specific long-term memories in animal models in ways not yet possible with other MMTs. As the therapeutic potential of optogenetics has already prompted approval of the first human trials, it is especially important and timely to consider the opportunities and dangers this technology may entail. In this article, we focus on possible consequences of optogenetics as an MMT by analyzing fundamental threats potentially associated with memory modifications: the potential disruption of personality and authenticity.</w:t>
      </w:r>
    </w:p>
    <w:p>
      <w:pPr/>
      <w:r>
        <w:rPr>
          <w:b/>
        </w:rPr>
        <w:t>POSSIBLE 2021:</w:t>
      </w:r>
      <w:r>
        <w:t xml:space="preserve"> Evaluating the potential for exposure to organisms of public health concern in naturally occurring bathing waters in Europe: A scoping review. — https://doi.org/10.1016/j.watres.2021.117711</w:t>
      </w:r>
    </w:p>
    <w:p>
      <w:pPr/>
      <w:r>
        <w:rPr>
          <w:b/>
        </w:rPr>
        <w:t>Shared claim-specific concepts:</w:t>
      </w:r>
      <w:r>
        <w:t xml:space="preserve"> shown, all, countries, potential; EU scope visible. This is a provisional connection, not an outcome finding.</w:t>
      </w:r>
    </w:p>
    <w:p>
      <w:pPr>
        <w:pStyle w:val="SourceNote"/>
      </w:pPr>
      <w:r>
        <w:rPr>
          <w:b/>
        </w:rPr>
        <w:t>Available abstract (not full text):</w:t>
      </w:r>
      <w:r>
        <w:t xml:space="preserve"> Globally, water-based bathing pastimes are important for both mental and physical health. However, exposure to waterborne organisms could present a substantial public health issue. Bathing waters are shown to contribute to the transmission of illness and disease and represent a reservoir and pathway for the dissemination of antimicrobial resistant (AMR) organisms. Current bathing water quality regulations focus on enumeration of faecal indicator organisms and are not designed for detection of specific waterborne organisms of public health concern (WOPHC), such as antimicrobial resistant (AMR)/pathogenic bacteria, or viruses. This investigation presents the first scoping review of the occurrence of waterborne organisms of public health concern (WOPHC) in identified natural bathing waters across the European Union (EU), which aimed to critically evaluate the potential risk of human exposure and to assess the appropriateness of the current EU bathing water regulations for the protection of public health. Accordingly, this review sought to identify and synthesise all literature pertaining to a selection of bacterial (Campylobacter spp., Escherichia coli, Salmonella spp., Shigella spp., Vibrio spp., Pseudomonas spp., AMR bacteria), viral (Hepatitis spp., enteroviruses, rotavirus, adenovirus, norovirus), and protozoan (Giardia spp., and Cryptosporidium spp.) contaminants in EU bathin</w:t>
      </w:r>
    </w:p>
    <w:p>
      <w:pPr/>
      <w:r>
        <w:rPr>
          <w:b/>
        </w:rPr>
        <w:t>POSSIBLE 2020:</w:t>
      </w:r>
      <w:r>
        <w:t xml:space="preserve"> Instrumental Activities of Daily Living (iADL) Limitations in Europe: An Assessment of SHARE Data — https://doi.org/10.3390/ijerph17207387</w:t>
      </w:r>
    </w:p>
    <w:p>
      <w:pPr/>
      <w:r>
        <w:rPr>
          <w:b/>
        </w:rPr>
        <w:t>Shared claim-specific concepts:</w:t>
      </w:r>
      <w:r>
        <w:t xml:space="preserve"> shown, all, selected, countries, potential; EU scope visible. This is a provisional connection, not an outcome finding.</w:t>
      </w:r>
    </w:p>
    <w:p>
      <w:pPr>
        <w:pStyle w:val="SourceNote"/>
      </w:pPr>
      <w:r>
        <w:rPr>
          <w:b/>
        </w:rPr>
        <w:t>Available abstract (not full text):</w:t>
      </w:r>
      <w:r>
        <w:t xml:space="preserve"> This study aims to evaluate the instrumental activities of daily living (iADLs) limitations in Europe and its association with socio-demographic characteristics, economic parameters and physical and mental health status. We used data from the wave 6 of SHARE database. Individuals were classified as having either none or one or more limitations on iADLs. Participants aged 65 or more years who answered all questions for the variables included in this work were selected. A total of 54.8% of participants were female and had a mean age of 74.37 (SD = 7.08) years. A global prevalence of 1 or more iADLs in Europe was shown to be 23.8% and more prevalent in women than in men (27.1% vs. 17.6%) and in people aged 85 years or more (51.5%). Older age, female gender, lower education, physical inactivity, frailty, having two or more chronic diseases, presence of depression, polypharmacy, poor self-perception of health and lower network satisfaction were found to be factors associated with the presence of 1 or more iADLs limitation. This study highlights the burden of iADLs limitations at the European level. These are based on a multidimensional biopsychosocial model and are associated with both health conditions and environmental factors. This intersection between the physical and social world underscores its potential as a health indicator and can, to some extent, explain some of the pronou</w:t>
      </w:r>
    </w:p>
    <w:p>
      <w:pPr/>
      <w:r>
        <w:rPr>
          <w:b/>
        </w:rPr>
        <w:t>POSSIBLE 2020:</w:t>
      </w:r>
      <w:r>
        <w:t xml:space="preserve"> The burden of neurological diseases in Europe: an analysis for the Global Burden of Disease Study 2017 — https://doi.org/10.1016/s2468-2667(20)30190-0</w:t>
      </w:r>
    </w:p>
    <w:p>
      <w:pPr/>
      <w:r>
        <w:rPr>
          <w:b/>
        </w:rPr>
        <w:t>Shared claim-specific concepts:</w:t>
      </w:r>
      <w:r>
        <w:t xml:space="preserve"> shown, all, countries; EU scope visible. This is a provisional connection, not an outcome finding.</w:t>
      </w:r>
    </w:p>
    <w:p>
      <w:pPr>
        <w:pStyle w:val="SourceNote"/>
      </w:pPr>
      <w:r>
        <w:rPr>
          <w:b/>
        </w:rPr>
        <w:t>Available abstract (not full text):</w:t>
      </w:r>
      <w:r>
        <w:t xml:space="preserve"> BACKGROUND: Neurological disorders account for a large and increasing health burden worldwide, as shown in the Global Burden of Diseases (GBD) Study 2016. Unpacking how this burden varies regionally and nationally is important to inform public health policy and prevention strategies. The population in the EU is older than that of the WHO European region (western, central, and eastern Europe) and even older than the global population, suggesting that it might be particularly vulnerable to an increasing burden of age-related neurological disorders. We aimed to compare the burden of neurological disorders in the EU between 1990 and 2017 with those of the WHO European region and worldwide. METHODS: The burden of neurological disorders was calculated for the year 2017 as incidence, prevalence, mortality, disability-adjusted life-years (DALYs), years of life lost, and years lived with disability for the countries in the EU and the WHO European region, totally and, separately. Diseases analysed were Alzheimer's disease and other dementias, epilepsy, headache (migraine and tension-type headache), multiple sclerosis, Parkinson's disease, brain cancer, motor neuron diseases, neuroinfectious diseases, and stroke. Data are presented as totals and by sex, age, year, location and socio-demographic context, and shown as counts and rates. FINDINGS: In 2017, the total number of DALYs attributab</w:t>
      </w:r>
    </w:p>
    <w:p>
      <w:pPr/>
      <w:r>
        <w:rPr>
          <w:b/>
        </w:rPr>
        <w:t>POSSIBLE 2020:</w:t>
      </w:r>
      <w:r>
        <w:t xml:space="preserve"> Flood trends in Europe: are changes in small and big floods different? — https://doi.org/10.5194/hess-24-1805-2020</w:t>
      </w:r>
    </w:p>
    <w:p>
      <w:pPr/>
      <w:r>
        <w:rPr>
          <w:b/>
        </w:rPr>
        <w:t>Shared claim-specific concepts:</w:t>
      </w:r>
      <w:r>
        <w:t xml:space="preserve"> selected, especially, regional; EU scope visible. This is a provisional connection, not an outcome finding.</w:t>
      </w:r>
    </w:p>
    <w:p>
      <w:pPr>
        <w:pStyle w:val="SourceNote"/>
      </w:pPr>
      <w:r>
        <w:rPr>
          <w:b/>
        </w:rPr>
        <w:t>Available abstract (not full text):</w:t>
      </w:r>
      <w:r>
        <w:t xml:space="preserve"> Abstract. Recent studies have revealed evidence of trends in the median or mean flood discharge in Europe over the last five decades, with clear and coherent regional patterns. The aim of this study is to assess whether trends also occurred for larger return periods accounting for the effect of catchment scale. We analyze 2370 flood records, selected from a newly-available pan-European flood database, with record length of at least 40 years over the period 1960–2010 and with contributing catchment area ranging from 5 to 100 000 km2. To estimate regional flood trends, we use a non-stationary regional flood frequency approach consisting of a regional Gumbel distribution, whose median and growth factor can vary in time with different strengths for different catchment sizes. A Bayesian Monte Carlo Markov Chain (MCMC) approach is used for parameter estimation. We quantify regional trends (and the related sample uncertainties), for floods of selected return periods and for selected catchment areas, across Europe and for three regions where coherent flood trends have been identified in previous studies. Results show that, in the Atlantic region, the trends in flood magnitude are generally positive. In small catchments (up to 100 km2), the 100-year flood increases more than the median flood, while the opposite is observed in medium and large catchments, where even some negative trends </w:t>
      </w:r>
    </w:p>
    <w:p>
      <w:pPr/>
      <w:r>
        <w:rPr>
          <w:b/>
        </w:rPr>
        <w:t>POSSIBLE 2020:</w:t>
      </w:r>
      <w:r>
        <w:t xml:space="preserve"> Mapping interventional cardiology in Europe: the European Association of Percutaneous Cardiovascular Interventions (EAPCI) Atlas Project — https://doi.org/10.1093/eurheartj/ehaa475</w:t>
      </w:r>
    </w:p>
    <w:p>
      <w:pPr/>
      <w:r>
        <w:rPr>
          <w:b/>
        </w:rPr>
        <w:t>Shared claim-specific concepts:</w:t>
      </w:r>
      <w:r>
        <w:t xml:space="preserve"> shown, countries, international; EU scope visible. This is a provisional connection, not an outcome finding.</w:t>
      </w:r>
    </w:p>
    <w:p>
      <w:pPr>
        <w:pStyle w:val="SourceNote"/>
      </w:pPr>
      <w:r>
        <w:rPr>
          <w:b/>
        </w:rPr>
        <w:t>Available abstract (not full text):</w:t>
      </w:r>
      <w:r>
        <w:t xml:space="preserve"> AIMS: The European Association of Percutaneous Cardiovascular Interventions (EAPCI) Atlas of Interventional Cardiology has been developed to map interventional practice across European Society of Cardiology (ESC) member countries. Here we present the main findings of a 16-country survey in which we examine the national availability of interventional infrastructure, human resource, and procedure volumes. METHODS AND RESULTS: Sixteen ESC member countries participated in the EAPCI Atlas survey. Interventional data were collected by the National Cardiac Society of each participating country. An annual median of 5131 [interquartile range (IQR) 4013-5801] diagnostic heart procedures per million people were reported, ranging from &lt;2500 in Egypt and Romania to &gt;7000 in Turkey and Germany. Procedure rates showed significant correlation (r = 0.67, P = 0.013) with gross national income (GNI) per capita. An annual median of 2478 (IQR 1690-2633) percutaneous coronary interventions (PCIs) per million people were reported, ranging from &lt;1000 in Egypt and Romania to &gt;3000 in Switzerland, Poland, and Germany. Procedure rates showed significant correlation with GNI per capita (r = 0.62, P = 0.014). An annual median of 48.2 (IQR 29.1-105.2) transcatheter aortic valve implantation procedures per million people were performed, varying from &lt;25 per million people in Egypt, Romania, Turkey, and Polan</w:t>
      </w:r>
    </w:p>
    <w:p>
      <w:pPr>
        <w:pStyle w:val="Heading2"/>
      </w:pPr>
      <w:r>
        <w:t>717. Lyme Disease Risks in Europe under Multiple Uncertain Drivers of Change</w:t>
      </w:r>
    </w:p>
    <w:p>
      <w:pPr>
        <w:pStyle w:val="SourceNote"/>
      </w:pPr>
      <w:r>
        <w:rPr>
          <w:b/>
        </w:rPr>
        <w:t>Original source (2019):</w:t>
      </w:r>
      <w:r>
        <w:t xml:space="preserve"> https://doi.org/10.1289/ehp4615</w:t>
      </w:r>
    </w:p>
    <w:p>
      <w:pPr/>
      <w:r>
        <w:t>Original wording (abstract; indexed_source_text_not_full_document_verified): RESULTS: The model projections suggest that future temperature increases may not always amplify LD risk: Low emissions scenarios (RCP2.6) combined with a sustainability socioeconomic scenario (SSP1) resulted in reduced LD risk. BACKGROUND: Debates over whether climate change could lead to the amplification of Lyme disease (LD) risk in the future have received much attention.</w:t>
      </w:r>
    </w:p>
    <w:p>
      <w:pPr/>
      <w:r>
        <w:rPr>
          <w:b/>
        </w:rPr>
        <w:t>POSSIBLE 2026:</w:t>
      </w:r>
      <w:r>
        <w:t xml:space="preserve"> Model Code and Data for "Future projections of burned area in Europe highlight the importance of human action" — https://doi.org/10.5281/zenodo.18740007</w:t>
      </w:r>
    </w:p>
    <w:p>
      <w:pPr/>
      <w:r>
        <w:rPr>
          <w:b/>
        </w:rPr>
        <w:t>Shared claim-specific concepts:</w:t>
      </w:r>
      <w:r>
        <w:t xml:space="preserve"> projections, increases, not, low, whether, climate; EU scope visible. This is a provisional connection, not an outcome finding.</w:t>
      </w:r>
    </w:p>
    <w:p>
      <w:pPr>
        <w:pStyle w:val="SourceNote"/>
      </w:pPr>
      <w:r>
        <w:rPr>
          <w:b/>
        </w:rPr>
        <w:t>Available abstract (not full text):</w:t>
      </w:r>
      <w:r>
        <w:t xml:space="preserve"> This repository contains the LPJmL-SPITFIRE and LPJmL-BASE model code; R-code and data used to generate figures in the manuscript "Future projections of burned area in Europe highlight the importance of human action" The datasets are licensed under CC-BY. The LPJmL model code is licensed under AGPLv3. The R scripts are released under the BSD-2-Clause license. Manuscript abstract Wildfires are often a natural part of many European ecosystems, but human activities through land-use, other socio-economic factors and climate change have significantly changed how fires behave. Anthropogenic climate change is already intensifying fire prone weather and increasing wildfire risk across Europe with risk expected to grow sharply in coming decades. Past experience suggests that human action, such as fuel management and improved fire suppression capacity, can reduce wildfire spread and intensity. However, whether current or future efforts can counter rising risks under continued climate change remains uncertain. In this study, we assess the role of socio-economic factors and biophysical factors in shaping future fire regimes across Europe. Using two fire models (SPITFIRE and BASE) coupled with the fire-enabled Dynamic Global Vegetation Model LPJmL, we simulate future burned area under two socio-economic and greenhouse gas concentration pathways (SSP1-2.6 and SSP3-7.0). We also run experimen</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projections, over, climate;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Climate &amp; Air Quality projections over Europe for 2030 and 2050 — https://openalex.org/W7213705154</w:t>
      </w:r>
    </w:p>
    <w:p>
      <w:pPr/>
      <w:r>
        <w:rPr>
          <w:b/>
        </w:rPr>
        <w:t>Shared claim-specific concepts:</w:t>
      </w:r>
      <w:r>
        <w:t xml:space="preserve"> projections, increases, emissions, over, climate; EU scope visible. This is a provisional connection, not an outcome finding.</w:t>
      </w:r>
    </w:p>
    <w:p>
      <w:pPr>
        <w:pStyle w:val="SourceNote"/>
      </w:pPr>
      <w:r>
        <w:rPr>
          <w:b/>
        </w:rPr>
        <w:t>Available abstract (not full text):</w:t>
      </w:r>
      <w:r>
        <w:t xml:space="preserve"> Over Europe, air quality has improved in recent years and is expected to continue improving due to further emission reductions. However, climate change also affects air quality, for instance through changes in wash-out processes or increases in biogenic VOC emissions. The magnitude and direction of these climate-induced air quality changes remain uncertain. To investigate how air quality evolves under different emission projections for species relevant to both climate and air quality, we perform consistent chemistry-climate simulations for Europe for the years 2030 and 2050. For these simulations, we use the global-regional chemistry-climate model MECO(n). MECO(n) consists of the global chemistry-climate model EMAC and the regional atmospheric chemistry model COSMO-CLM/MESSy. The EMAC simulations are performed with a global horizontal resolution of around 120 km. Over Europe, we include up to three nested domains: a 22 km domain covering the entire continent, a 7 km domain for Central Europe, and a 2 km domain over Germany. For present-day and future projections, we use historical simulations and SSP projections (SSP1-2.6 and SSP2-4.5) downscaled consistently over Europe. We present a preliminary analysis of the simulated air quality changes, with a particular focus on the role of transport sector emissions. To quantify the effects of these emissions, we apply a source apportio</w:t>
      </w:r>
    </w:p>
    <w:p>
      <w:pPr/>
      <w:r>
        <w:rPr>
          <w:b/>
        </w:rPr>
        <w:t>POSSIBLE 2025:</w:t>
      </w:r>
      <w:r>
        <w:t xml:space="preserve"> Bioclimatic modelling of the spread of Dirofilaria spp. in Europe, with a special focus on Ukraine — https://doi.org/10.32942/x2qd4s</w:t>
      </w:r>
    </w:p>
    <w:p>
      <w:pPr/>
      <w:r>
        <w:rPr>
          <w:b/>
        </w:rPr>
        <w:t>Shared claim-specific concepts:</w:t>
      </w:r>
      <w:r>
        <w:t xml:space="preserve"> projections, temperature, background, climate; EU scope visible. This is a provisional connection, not an outcome finding.</w:t>
      </w:r>
    </w:p>
    <w:p>
      <w:pPr>
        <w:pStyle w:val="SourceNote"/>
      </w:pPr>
      <w:r>
        <w:rPr>
          <w:b/>
        </w:rPr>
        <w:t>Available abstract (not full text):</w:t>
      </w:r>
      <w:r>
        <w:t xml:space="preserve"> Background: The zoonotic disease dirofilariosis, caused by Dirofilaria spp., is expanding geographically in Europe, a phenomenon increasingly linked to climate change. Understanding the environmental drivers of this spread is crucial for surveillance and public health planning. Objective: This study aims to model the ecological niche of Dirofilaria spp. in Europe, identify key climatic drivers, and map areas of high transmission risk, with a specific focus on Ukraine. Methods: We employed a Species Distribution Modeling (SDM) framework, using the Maxent algorithm correlated with high-quality occurrence data and climatic predictors from the CMCC-BioClimInd dataset. Model interpretation was enhanced using SHAP (SHapley Additive exPlanations) to identify and rank influential variables. A complementary Growing Degree Days (GDD) model was used to validate the thermal constraints on parasite development. Results: The model achieved high predictive performance (AUC = 0.75, Boyce index = 0.93). At the European scale, the modified Kira warmth index, a measure of cumulative warmth, was the most important predictor, exhibiting a unimodal response curve that reveals a thermal optimum for transmission. For Ukraine, annual mean temperature and winter cold minima were the dominant drivers, reflecting the country's continental climate. GDD analysis confirmed a significant increase in thermally</w:t>
      </w:r>
    </w:p>
    <w:p>
      <w:pPr/>
      <w:r>
        <w:rPr>
          <w:b/>
        </w:rPr>
        <w:t>POSSIBLE 2025:</w:t>
      </w:r>
      <w:r>
        <w:t xml:space="preserve"> A Small Quarterly Projection Model for a Selected Group of CEE Economies — https://doi.org/10.24425/cejeme.2024.154559</w:t>
      </w:r>
    </w:p>
    <w:p>
      <w:pPr/>
      <w:r>
        <w:rPr>
          <w:b/>
        </w:rPr>
        <w:t>Shared claim-specific concepts:</w:t>
      </w:r>
      <w:r>
        <w:t xml:space="preserve"> suggest, over; EU scope visible. This is a provisional connection, not an outcome finding.</w:t>
      </w:r>
    </w:p>
    <w:p>
      <w:pPr>
        <w:pStyle w:val="SourceNote"/>
      </w:pPr>
      <w:r>
        <w:rPr>
          <w:b/>
        </w:rPr>
        <w:t>Available abstract (not full text):</w:t>
      </w:r>
      <w:r>
        <w:t xml:space="preserve"> The monetary policy decision process is fundamental to achieving price stability and sustainable economic growth over the medium term. In recent years, given the multitude of unprecedented shocks that hit the global economy, many complex models still need to estimate accurately the magnitude of these shocks and their impact on economic activity. This paper proposes a small quarterly projection model to assess the economic outlook for a selected group of Central Eastern European countries with similar economic characteristics. Therefore, we present a comparable analysis between Hungary, Poland and Romania for 2005Q4-2023Q4. Our results suggest a relatively good performance regarding the assessment of the economic downturn from 2020 and a similar recovery pattern in Hungary and Poland, while the recovery in Romania was only partial. A real-time forecasting exercise ensures that the trajectory of macroeconomic indicators is close to the actual data, especially during regular times.</w:t>
      </w:r>
    </w:p>
    <w:p>
      <w:pPr/>
      <w:r>
        <w:rPr>
          <w:b/>
        </w:rPr>
        <w:t>POSSIBLE 2025:</w:t>
      </w:r>
      <w:r>
        <w:t xml:space="preserve"> Phenological Model Predictions and Climate Projections Accuracy: Implications for Spring Frost Risk for Quercus Robur in Central Europe — https://doi.org/10.2139/ssrn.5380178</w:t>
      </w:r>
    </w:p>
    <w:p>
      <w:pPr/>
      <w:r>
        <w:rPr>
          <w:b/>
        </w:rPr>
        <w:t>Shared claim-specific concepts:</w:t>
      </w:r>
      <w:r>
        <w:t xml:space="preserve"> projections, climate;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projections, over, climate;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European identity's effect on immigration attitudes: Testing the predictions of the common Ingroup identity model versus ingroup projection model — https://doi.org/10.1111/pops.12970</w:t>
      </w:r>
    </w:p>
    <w:p>
      <w:pPr/>
      <w:r>
        <w:rPr>
          <w:b/>
        </w:rPr>
        <w:t>Shared claim-specific concepts:</w:t>
      </w:r>
      <w:r>
        <w:t xml:space="preserve"> not, always; EU scope visible. This is a provisional connection, not an outcome finding.</w:t>
      </w:r>
    </w:p>
    <w:p>
      <w:pPr>
        <w:pStyle w:val="SourceNote"/>
      </w:pPr>
      <w:r>
        <w:rPr>
          <w:b/>
        </w:rPr>
        <w:t>Available abstract (not full text):</w:t>
      </w:r>
      <w:r>
        <w:t xml:space="preserve"> Abstract A superordinate identity unites different subgroups into an overarching, common one. But does superordinate identification then improve or worsen attitudes towards the former outgroup? The common ingroup identity model (CIIM) asserts that recategorization ameliorates outgroup bias by reducing perceptions of intergroup threat. It predicts that superordinate identification will improve intergroup relations by promoting tolerance and acceptance of diversity. In contrast, the ingroup project model (IPM) asserts that identifying superordinately will actually exacerbate outgroup bias because ingroup members naturally project their own characteristics onto the superordinate category and will more strongly dislike the former outgroup for not fitting the “correct” superordinate prototype. Existing evidence—largely drawn from psychology lab experiments, not real‐world situations—suggests both models can be correct insofar as ingroup projection only occurs under certain conditions. In that case, which model is correct for European identity? Results from original survey data collected in three European countries (Germany, Poland, and the United Kingdom) show that increased identification with Europe is almost always associated with more favorable attitudes towards outgroup immigrants, even among those most likely to engage in ingroup projection. Future research should continue to </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projections, suggest, increases, socioeconomic, climate;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Climate-induced mortality projections in Europe: Estimation and valuation of heat-related deaths — https://doi.org/10.1016/j.ijdrr.2024.104692</w:t>
      </w:r>
    </w:p>
    <w:p>
      <w:pPr/>
      <w:r>
        <w:rPr>
          <w:b/>
        </w:rPr>
        <w:t>Shared claim-specific concepts:</w:t>
      </w:r>
      <w:r>
        <w:t xml:space="preserve"> projections, temperature, emissions, climate; EU scope visible. This is a provisional connection, not an outcome finding.</w:t>
      </w:r>
    </w:p>
    <w:p>
      <w:pPr>
        <w:pStyle w:val="SourceNote"/>
      </w:pPr>
      <w:r>
        <w:rPr>
          <w:b/>
        </w:rPr>
        <w:t>Available abstract (not full text):</w:t>
      </w:r>
      <w:r>
        <w:t xml:space="preserve"> Extreme heat is becoming more prevalent in Europe and its localized impacts on human health in urban environments are difficult to project. Our main objective was to develop a local-scale integrated assessment model (IAM) to explore the impacts of global warming on heat-related mortality in Europe, with a focus on urban areas. Using the apparent temperature metric, we develop several risk frameworks to project heat-related deaths and help policymakers evaluate future extreme heat risk. We also compute the monetary impact of expected deaths using the value of statistical life. Our results show that the compliance with the Paris agreement targets would limit the cumulative losses during this century to 2.6 million people, compared to almost 5.5 million under alternative climate scenarios. Our analysis suggests that Europe could save more than €150 billion annually through avoided heat-related mortality. We also focus on the relationship between heath-induced mortality and population concentration in urban areas. Limiting the urban heat island effect in compliance with the Paris agreement emissions reduction would lower the number of deaths by up to 40%.</w:t>
      </w:r>
    </w:p>
    <w:p>
      <w:pPr/>
      <w:r>
        <w:rPr>
          <w:b/>
        </w:rPr>
        <w:t>POSSIBLE 2024:</w:t>
      </w:r>
      <w:r>
        <w:t xml:space="preserve"> Intraspecific niche models for the invasive ambrosia beetle Xylosandrus crassiusculus suggest contrasted responses to climate change — https://doi.org/10.1007/s00442-024-05528-9</w:t>
      </w:r>
    </w:p>
    <w:p>
      <w:pPr/>
      <w:r>
        <w:rPr>
          <w:b/>
        </w:rPr>
        <w:t>Shared claim-specific concepts:</w:t>
      </w:r>
      <w:r>
        <w:t xml:space="preserve"> suggest, climate;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Climate change projections of commercial fish distribution and suitable habitat around north western Europe — https://doi.org/10.1111/faf.12773</w:t>
      </w:r>
    </w:p>
    <w:p>
      <w:pPr/>
      <w:r>
        <w:rPr>
          <w:b/>
        </w:rPr>
        <w:t>Shared claim-specific concepts:</w:t>
      </w:r>
      <w:r>
        <w:t xml:space="preserve"> projections, temperature, climate; EU scope visible. This is a provisional connection, not an outcome finding.</w:t>
      </w:r>
    </w:p>
    <w:p>
      <w:pPr>
        <w:pStyle w:val="SourceNote"/>
      </w:pPr>
      <w:r>
        <w:rPr>
          <w:b/>
        </w:rPr>
        <w:t>Available abstract (not full text):</w:t>
      </w:r>
      <w:r>
        <w:t xml:space="preserve"> Abstract Under future climate change, modification of temperature and salinity are expected to result in distribution shifts of marine organisms, including commercial fish and shellfish. Changes are anticipated everywhere, including in the seas of many important fishing nations. Species turnover will in turn result in both opportunities and threats to fishing industries. To determine the impacts for northwest European shelf fisheries, we project changes for 49 commercially important fish and shellfish species using an ensemble of five ecological niche models and three different downscaled climate change projections. The habitat suitability and latitudinal shifts projected from the recent past (1997–2016) to two futures (2030–2050; 2050–2070) were calculated for waters around the United Kingdom. Of the species examined, around half were projected to have consistently more suitable habitat in the future, including European seabass ( Dicentrarchus labrax , Moronidae), sardine ( Sardina pilchardus , Alosidae) and anchovy ( Engraulis encrasicolus , Engraulidae). Conversely, it is suggested that UK waters will become less suitable for species including Atlantic cod ( Gadus morhua , Gadidae) and saithe ( Pollachius virens , Gadidae). Our comprehensive approach using a number of models and climate change scenarios shows that while there are differences in the magnitude of change betwee</w:t>
      </w:r>
    </w:p>
    <w:p>
      <w:pPr>
        <w:pStyle w:val="Heading2"/>
      </w:pPr>
      <w:r>
        <w:t>718. Nutrient criteria for surface waters under the European Water Framework Directive: Current state-of-the-art, challenges and future outlook</w:t>
      </w:r>
    </w:p>
    <w:p>
      <w:pPr>
        <w:pStyle w:val="SourceNote"/>
      </w:pPr>
      <w:r>
        <w:rPr>
          <w:b/>
        </w:rPr>
        <w:t>Original source (2019):</w:t>
      </w:r>
      <w:r>
        <w:t xml:space="preserve"> https://doi.org/10.1016/j.scitotenv.2019.133888</w:t>
      </w:r>
    </w:p>
    <w:p>
      <w:pPr/>
      <w:r>
        <w:t>Original wording (abstract; indexed_source_text_not_full_document_verified): The aim of European water policy is to achieve good ecological status in all rivers, lakes, coastal and transitional waters by 2027.</w:t>
      </w:r>
    </w:p>
    <w:p>
      <w:pPr/>
      <w:r>
        <w:rPr>
          <w:b/>
        </w:rPr>
        <w:t>POSSIBLE 2026:</w:t>
      </w:r>
      <w:r>
        <w:t xml:space="preserve"> Agriculture Contributions to Water Pollution and Sustainable Policy Solutions in Europe — https://doi.org/10.3390/earth7040115</w:t>
      </w:r>
    </w:p>
    <w:p>
      <w:pPr/>
      <w:r>
        <w:rPr>
          <w:b/>
        </w:rPr>
        <w:t>Shared claim-specific concepts:</w:t>
      </w:r>
      <w:r>
        <w:t xml:space="preserve"> water, achieve, good, ecological, status, waters; EU scope visible. This is a provisional connection, not an outcome finding.</w:t>
      </w:r>
    </w:p>
    <w:p>
      <w:pPr>
        <w:pStyle w:val="SourceNote"/>
      </w:pPr>
      <w:r>
        <w:rPr>
          <w:b/>
        </w:rPr>
        <w:t>Available abstract (not full text):</w:t>
      </w:r>
      <w:r>
        <w:t xml:space="preserve"> Freshwater is essential for sustaining the health of humans, animals, and ecosystems; however, agricultural activities remain a major source of water pollution globally. This review examines how crop production, livestock farming, and aquaculture contribute to water contamination, the effectiveness of current European policies, and the potential of sustainable mitigation strategies. Evidence from the research identified pesticides, herbicides, veterinary antibiotics, nutrient runoff, aquaculture effluents, and microplastics as the primary agricultural pollutants affecting surface and groundwater quality. These contaminants have been linked to ecosystem degradation, biodiversity loss, endocrine disruption, antimicrobial resistance, and adverse human health outcomes. Despite extensive regulatory frameworks, including the Water Framework Directive, Nitrates Directive, Farm to Fork Strategy, and European Green Deal, significant implementation and monitoring challenges remain. Current evidence indicates that only 40% of European surface waters achieve “good” ecological status, highlighting persistent water quality concerns across the region. The review further identified precision irrigation, Internet of Things (IoT)-enabled monitoring, biopesticides, hydroponic systems, and integrated multi-trophic aquaculture as promising solutions for reducing agricultural impacts on water resour</w:t>
      </w:r>
    </w:p>
    <w:p>
      <w:pPr/>
      <w:r>
        <w:rPr>
          <w:b/>
        </w:rPr>
        <w:t>POSSIBLE 2026:</w:t>
      </w:r>
      <w:r>
        <w:t xml:space="preserve"> Good ecological status of the Danube water quality in the function of environmental protection — https://doi.org/10.5937/gu_koret26121t</w:t>
      </w:r>
    </w:p>
    <w:p>
      <w:pPr/>
      <w:r>
        <w:rPr>
          <w:b/>
        </w:rPr>
        <w:t>Shared claim-specific concepts:</w:t>
      </w:r>
      <w:r>
        <w:t xml:space="preserve"> aim, water, achieve, good, ecological, status; EU scope not established. This is a provisional connection, not an outcome finding.</w:t>
      </w:r>
    </w:p>
    <w:p>
      <w:pPr>
        <w:pStyle w:val="SourceNote"/>
      </w:pPr>
      <w:r>
        <w:rPr>
          <w:b/>
        </w:rPr>
        <w:t>Available abstract (not full text):</w:t>
      </w:r>
      <w:r>
        <w:t xml:space="preserve"> The paper analyzes changes in the ecological status of surface water with the aim of achieving the required quality of the Danube's water in order to preserve environmental conditions. The ecological classification of oxygen regime parameters clearly indicates the degree of change in the quality, structure, vitality, and functioning of the Danube's aquatic ecosystem. For surface waters, the general objective of the Water Framework Directive is to achieve "good status," i.e., Class II ecological water quality status, as a condition for meeting the required environmental standards. The relevant values of oxygen consumption indicators for the observed annual periods were compared with the threshold values of quality classes prescribed by the Regulation on limit values of pollutants in surface and groundwater and sediments, and deadlines for their achievement ("Official Gazette of the Republic of Serbia", No. 50/2012). The results for the analyzed years 2015, 2021 and 2022 show a positive change in terms of the number of oxygen regime parameters and the number of profiles that meet the required range of values for achieving a good ecological status of the Danube's water quality along its course through Serbia, in the function of environmental protection.</w:t>
      </w:r>
    </w:p>
    <w:p>
      <w:pPr/>
      <w:r>
        <w:rPr>
          <w:b/>
        </w:rPr>
        <w:t>POSSIBLE 2025:</w:t>
      </w:r>
      <w:r>
        <w:t xml:space="preserve"> Water Security in North America and Europe — https://doi.org/10.1002/9781394176748.ch6</w:t>
      </w:r>
    </w:p>
    <w:p>
      <w:pPr/>
      <w:r>
        <w:rPr>
          <w:b/>
        </w:rPr>
        <w:t>Shared claim-specific concepts:</w:t>
      </w:r>
      <w:r>
        <w:t xml:space="preserve"> water, status; EU scope visible. This is a provisional connection, not an outcome finding.</w:t>
      </w:r>
    </w:p>
    <w:p>
      <w:pPr>
        <w:pStyle w:val="SourceNote"/>
      </w:pPr>
      <w:r>
        <w:rPr>
          <w:b/>
        </w:rPr>
        <w:t>Available abstract (not full text):</w:t>
      </w:r>
      <w:r>
        <w:t xml:space="preserve"> Water security and availability are critical issues affecting societies worldwide, with North America and Europe being no exceptions. This review paper aims to analyze the current status, challenges, and potential solutions regarding water security and availability in these regions. By examining existing literature, policies, and practices, this paper provides insights into the complex interplay of factors influencing water resources management, including climate change, population growth, urbanization, pollution, and governance. In addition, it explores various strategies such as conservation measures, technological innovations, policy frameworks, and international cooperation to address the challenges and ensure sustainable water management in North America and Europe. Through a comprehensive examination of research findings and case studies, this review contributes to understanding the dynamics of water security and availability in these regions and offers recommendations for future actions.</w:t>
      </w:r>
    </w:p>
    <w:p>
      <w:pPr/>
      <w:r>
        <w:rPr>
          <w:b/>
        </w:rPr>
        <w:t>POSSIBLE 2025:</w:t>
      </w:r>
      <w:r>
        <w:t xml:space="preserve"> Comparative analysis of adaptation policies and policy instruments for water management in Europe — https://doi.org/10.1016/j.ejrh.2025.102819</w:t>
      </w:r>
    </w:p>
    <w:p>
      <w:pPr/>
      <w:r>
        <w:rPr>
          <w:b/>
        </w:rPr>
        <w:t>Shared claim-specific concepts:</w:t>
      </w:r>
      <w:r>
        <w:t xml:space="preserve"> water, all; EU scope visible. This is a provisional connection, not an outcome finding.</w:t>
      </w:r>
    </w:p>
    <w:p>
      <w:pPr>
        <w:pStyle w:val="SourceNote"/>
      </w:pPr>
      <w:r>
        <w:rPr>
          <w:b/>
        </w:rPr>
        <w:t>Available abstract (not full text):</w:t>
      </w:r>
      <w:r>
        <w:t xml:space="preserve"> Ten European countries, including Finland, Austria, Switzerland, Belgium, the Netherlands, Denmark, Estonia, Spain, Latvia, and Lithuania Adaptation policies are deeply structured and shaped by contextual climatic, environmental, social, and governance factors, making them inherently sector-specific. Their effective implementation requires integrated, cross-sectoral approaches, strong governmental engagement, and active citizen engagement. This study conducts a content analysis of adaptation strategies and plans in the water sector across European countries, aiming to identify key themes, policy types, and dominant instruments. Two main documents, the National Adaptation Strategy (NAS) and the National Adaptation Plan (NAP), available on the Climate-ADAPT-2023 platform, have been analyzed. All countries in the study use a mix of adaptation strategies, plans, and policy instruments, each focusing on specific instruments. Information-based instruments such as mapping flood risk are the most widely policy instruments by European countries to address adaptation. Many countries rely on infrastructural and technical instruments, particularly for drinking water supply networks, sewage and stormwater systems, irrigation, and flood risk management. Most countries have employed policies such as promoting responsible water use, enhancing water conservation and recycling, assessing flood r</w:t>
      </w:r>
    </w:p>
    <w:p>
      <w:pPr/>
      <w:r>
        <w:rPr>
          <w:b/>
        </w:rPr>
        <w:t>POSSIBLE 2025:</w:t>
      </w:r>
      <w:r>
        <w:t xml:space="preserve"> Establishing Total Phosphorus Boundaries to Support Good Ecological Status of Greek Lakes and Reservoirs in Accordance with the Water Framework Directive — https://doi.org/10.3390/w17233349</w:t>
      </w:r>
    </w:p>
    <w:p>
      <w:pPr/>
      <w:r>
        <w:rPr>
          <w:b/>
        </w:rPr>
        <w:t>Shared claim-specific concepts:</w:t>
      </w:r>
      <w:r>
        <w:t xml:space="preserve"> water, achieve, good, ecological, status, lakes; EU scope visible. This is a provisional connection, not an outcome finding.</w:t>
      </w:r>
    </w:p>
    <w:p>
      <w:pPr>
        <w:pStyle w:val="SourceNote"/>
      </w:pPr>
      <w:r>
        <w:rPr>
          <w:b/>
        </w:rPr>
        <w:t>Available abstract (not full text):</w:t>
      </w:r>
      <w:r>
        <w:t xml:space="preserve"> Eutrophication, driven by nutrient enrichment, represents substantial anthropogenic pressure with harmful consequences for aquatic ecosystems. The Water Framework Directive provides a structured approach to addressing this challenge as it requires European Union Member States to achieve at least good ecological status for their surface waters. The establishment of realistic nutrient boundaries, above which negative effects become pronounced, is essential to guide regulatory intervention aimed at securing long-term water sustainability in Europe. Greece is one of the Member States which should determine nutrient boundaries supporting the good ecological status of lakes. Two statistical approaches, ranged major axis regression and binomial logistic regression, were applied for setting appropriate nutrient boundaries for Greek natural lakes and reservoirs, using datasets of phytoplankton and total phosphorus concentrations, retrieved from the national monitoring program (2016–2023). The predicted boundary values for total phosphorus supporting good ecological status ranged from 32 to 76 μg/L, with stricter boundaries corresponding to deep lakes. Nutrient boundaries that reflect the environmental pressures on Greek natural lakes and reservoirs are fundamental to ensure proper design of lake management strategies.</w:t>
      </w:r>
    </w:p>
    <w:p>
      <w:pPr/>
      <w:r>
        <w:rPr>
          <w:b/>
        </w:rPr>
        <w:t>POSSIBLE 2025:</w:t>
      </w:r>
      <w:r>
        <w:t xml:space="preserve"> Water governance for good ecological status and water quality in south-western Czechia – an interdisciplinary study — https://doi.org/10.1080/00207233.2025.2568342</w:t>
      </w:r>
    </w:p>
    <w:p>
      <w:pPr/>
      <w:r>
        <w:rPr>
          <w:b/>
        </w:rPr>
        <w:t>Shared claim-specific concepts:</w:t>
      </w:r>
      <w:r>
        <w:t xml:space="preserve"> water, good, ecological, status; EU scope visible. This is a provisional connection, not an outcome finding.</w:t>
      </w:r>
    </w:p>
    <w:p>
      <w:pPr>
        <w:pStyle w:val="SourceNote"/>
      </w:pPr>
      <w:r>
        <w:rPr>
          <w:b/>
        </w:rPr>
        <w:t>Available abstract (not full text):</w:t>
      </w:r>
      <w:r>
        <w:t xml:space="preserve"> This study examines stakeholder efforts to meet European targets for raw water quality. Key sources of water quality deterioration include fish farming, agricultural activities, partially treated urban sewage, and forestry. Although the forest sector and municipal wastewater treatment facilities have demonstrated progress, fish farming and agricultural sectors remain reluctant to implement effective measures. Economic considerations, level of environmental literacy, and the strength of knowledge networks emerge as critical factors influencing stakeholder actions. Non-governmental environmental organisations prioritise issues other than water quality, limiting their engagement in this domain. Moreover, the dominant role of the Ministry of Agriculture in water management appears to hinder cross-sectorial coordination and progress towards achieving good raw water quality.</w:t>
      </w:r>
    </w:p>
    <w:p>
      <w:pPr/>
      <w:r>
        <w:rPr>
          <w:b/>
        </w:rPr>
        <w:t>POSSIBLE 2024:</w:t>
      </w:r>
      <w:r>
        <w:t xml:space="preserve"> Ecological Status of Water Quality — https://doi.org/10.5772/intechopen.1003863</w:t>
      </w:r>
    </w:p>
    <w:p>
      <w:pPr/>
      <w:r>
        <w:rPr>
          <w:b/>
        </w:rPr>
        <w:t>Shared claim-specific concepts:</w:t>
      </w:r>
      <w:r>
        <w:t xml:space="preserve"> water, ecological, status, all; EU scope visible. This is a provisional connection, not an outcome finding.</w:t>
      </w:r>
    </w:p>
    <w:p>
      <w:pPr>
        <w:pStyle w:val="SourceNote"/>
      </w:pPr>
      <w:r>
        <w:rPr>
          <w:b/>
        </w:rPr>
        <w:t>Available abstract (not full text):</w:t>
      </w:r>
      <w:r>
        <w:t xml:space="preserve"> This chapter gives an overview of environmental quality standards and water quality elements according to the Water Framework Directive and all related guidance documents, Environmental Quality Standards Directive and Water Information System for Europe – WISE GIS Guidance. The chapter explains the main definitions and principles by which surface water and groundwater quality is assessed; it sets out the concepts and procedures that closely drive the development of the aquatic environment protection strategy for the basins for the purpose of preventing the damage to water bodies, as well as protecting, increasing, and rehabilitating the status of all bodies of water, both surface and groundwater ones.</w:t>
      </w:r>
    </w:p>
    <w:p>
      <w:pPr/>
      <w:r>
        <w:rPr>
          <w:b/>
        </w:rPr>
        <w:t>POSSIBLE 2024:</w:t>
      </w:r>
      <w:r>
        <w:t xml:space="preserve"> Policy coherence for ecosystem-based management: Implementing EU water and marine policies in the Archipelago Sea — https://doi.org/10.1016/j.marpol.2024.106427</w:t>
      </w:r>
    </w:p>
    <w:p>
      <w:pPr/>
      <w:r>
        <w:rPr>
          <w:b/>
        </w:rPr>
        <w:t>Shared claim-specific concepts:</w:t>
      </w:r>
      <w:r>
        <w:t xml:space="preserve"> water, achieve, good, status, coastal, waters; EU scope visible. This is a provisional connection, not an outcome finding.</w:t>
      </w:r>
    </w:p>
    <w:p>
      <w:pPr>
        <w:pStyle w:val="SourceNote"/>
      </w:pPr>
      <w:r>
        <w:rPr>
          <w:b/>
        </w:rPr>
        <w:t>Available abstract (not full text):</w:t>
      </w:r>
      <w:r>
        <w:t xml:space="preserve"> The European Union (EU) Water Framework Directive (WFD) and Marine Strategic Framework Directive (MSFD) call for member states to achieve the good environmental status of coastal waters and marine areas and to create ecosystem-based management plans that cover individual sectors. The Baltic Marine Environment Protection Commission (HELCOM) has listed the Archipelago Sea as an environmental hotspot in the Baltic Sea due to its vulnerability to the impacts of eutrophication. Agricultural runoff is the main source of excess nutrient loading, although aquaculture, tourism, wastewater treatment and internal loading also contribute. In this paper, we focus on the horizontal and vertical policy coherence in the Archipelago Sea region. The research data consist of policy documents and 11 thematic interviews. This paper aims to reveal how European water and marine policies are implemented in the Archipelago Sea and to identify the synergies and coherence challenges exist between policy sectors of agriculture, aquaculture and offshore wind. Evidence from the Archipelago Sea case study shows that a lack of coherence between sectoral policies can create challenges for ecosystem-based management. Moreover, the coherence and synergies in implementing regional and EU marine policy frameworks at the national and local levels can guide sectoral decisions towards strengthening of marine resilien</w:t>
      </w:r>
    </w:p>
    <w:p>
      <w:pPr/>
      <w:r>
        <w:rPr>
          <w:b/>
        </w:rPr>
        <w:t>POSSIBLE 2023:</w:t>
      </w:r>
      <w:r>
        <w:t xml:space="preserve"> The role of urban agriculture in food-energy-water nexus policies: Insights from Europe and the U.S — https://doi.org/10.1016/j.landurbplan.2023.104848</w:t>
      </w:r>
    </w:p>
    <w:p>
      <w:pPr/>
      <w:r>
        <w:rPr>
          <w:b/>
        </w:rPr>
        <w:t>Shared claim-specific concepts:</w:t>
      </w:r>
      <w:r>
        <w:t xml:space="preserve"> water, all; EU scope visible. This is a provisional connection, not an outcome finding.</w:t>
      </w:r>
    </w:p>
    <w:p>
      <w:pPr>
        <w:pStyle w:val="SourceNote"/>
      </w:pPr>
      <w:r>
        <w:rPr>
          <w:b/>
        </w:rPr>
        <w:t>Available abstract (not full text):</w:t>
      </w:r>
      <w:r>
        <w:t xml:space="preserve"> The growth of urban agriculture (UA) has raised the awareness of city officials and civil society organizations of its potential effects on food systems. This has led to various policies to regulate and support UA. This research characterizes existing food, energy and water (FEW nexus) policies based on policy data from five case study cities in Europe and the U.S. (Dortmund, Gorzów Wielkopolski, London, Nantes, and New York City) to analyze their relationships to UA, and to identify policy types that support resource-efficient UA. The paper presents the results of an analysis of 78 policy documents related to UA and the FEW nexus, and the results of a Q-sort ranking by UA policy experts on the effectiveness of 16 generalized UA policies in promoting resource-efficient UA. The number, type, and degree of support for nexus policies vary among the five case studies. The results show that the majority of policies (36) are implemented at the local scale, that few policies (19) incorporate all elements of the nexus, yet many nexus policies include UA indirectly. Regulations are more prevalent and are considered more effective at ensuring resource-efficient UA than incentives or awareness-raising policies. The study offers guidance to policy makers who want to improve resource use in future UA pointing at the increasing importance of local food policies.</w:t>
      </w:r>
    </w:p>
    <w:p>
      <w:pPr/>
      <w:r>
        <w:rPr>
          <w:b/>
        </w:rPr>
        <w:t>POSSIBLE 2023:</w:t>
      </w:r>
      <w:r>
        <w:t xml:space="preserve"> European Union Policy on Climate Change Framework — https://doi.org/10.59168/vrer2863</w:t>
      </w:r>
    </w:p>
    <w:p>
      <w:pPr/>
      <w:r>
        <w:rPr>
          <w:b/>
        </w:rPr>
        <w:t>Shared claim-specific concepts:</w:t>
      </w:r>
      <w:r>
        <w:t xml:space="preserve"> aim, water; EU scope visible. This is a provisional connection, not an outcome finding.</w:t>
      </w:r>
    </w:p>
    <w:p>
      <w:pPr>
        <w:pStyle w:val="SourceNote"/>
      </w:pPr>
      <w:r>
        <w:rPr>
          <w:b/>
        </w:rPr>
        <w:t>Available abstract (not full text):</w:t>
      </w:r>
      <w:r>
        <w:t xml:space="preserve"> The aim of the paper is to study the European policies in the matter of climate change and water resources management, especially Common Agricultural Policy, Environmental Policy, EU Emission Trading System (ETS), climate and energy policies nexus with international agreements in climate action and world global warming, and the way these European policies are settled and applied in national countries. The paper studies the manner these policies are implemented in European Union countries, funding resources for climate action, with impact on decisionmaking level and good-governance.</w:t>
      </w:r>
    </w:p>
    <w:p>
      <w:pPr/>
      <w:r>
        <w:rPr>
          <w:b/>
        </w:rPr>
        <w:t>POSSIBLE 2023:</w:t>
      </w:r>
      <w:r>
        <w:t xml:space="preserve"> A conceptual model for enabling sustainable management of soil-sediment-water ecosystems in support of European policy — https://doi.org/10.14321/aehm.026.02.063</w:t>
      </w:r>
    </w:p>
    <w:p>
      <w:pPr/>
      <w:r>
        <w:rPr>
          <w:b/>
        </w:rPr>
        <w:t>Shared claim-specific concepts:</w:t>
      </w:r>
      <w:r>
        <w:t xml:space="preserve"> water, achieve, all; EU scope visible. This is a provisional connection, not an outcome finding.</w:t>
      </w:r>
    </w:p>
    <w:p>
      <w:pPr>
        <w:pStyle w:val="SourceNote"/>
      </w:pPr>
      <w:r>
        <w:rPr>
          <w:b/>
        </w:rPr>
        <w:t>Available abstract (not full text):</w:t>
      </w:r>
      <w:r>
        <w:t xml:space="preserve"> Abstract The health of soil-sediment-water ecosystems is under pressure from economic activities and a changing climate. This decreases health and hampers the service provision capacity of these ecosystems and thus impacts human well-being. Protecting and where feasible restoring of ecosystem health has currently become the key European environmental policy objective and for this it is needed to take an entire system approach and engage stakeholders. ‘Entire’ means that soil, sediment and water are regarded as closely interlinked environmental matrices that need to be managed by taking a ‘river (or mountain) to sea’ perspective, crossing spatial, discipline, political and cultural boundaries. This paper presents a conceptual model to support that purpose. Essentially, the conceptual model presents an approach for ecosystem-based management aimed to achieve healthy ecosystems, i.e. soil-sediment-water ecosystems that have the continued capacity to support ecosystem services to the benefit of their users. The model proposes a cyclic (iterative, learning-by-doing) approach and integrates soil-sediment-water, ecosystems, ecosystem services, users (stakeholders), pressures, information, management strategy and program of measures as building blocks. To successfully apply the model, it is above all needed to take an entrepreneurial approach, i.e. leave comfort zones, take an adventur</w:t>
      </w:r>
    </w:p>
    <w:p>
      <w:pPr/>
      <w:r>
        <w:rPr>
          <w:b/>
        </w:rPr>
        <w:t>POSSIBLE 2022:</w:t>
      </w:r>
      <w:r>
        <w:t xml:space="preserve"> Prediction of ecological status of surface water bodies with supervised machine learning classifiers — https://doi.org/10.1016/j.scitotenv.2022.159655</w:t>
      </w:r>
    </w:p>
    <w:p>
      <w:pPr/>
      <w:r>
        <w:rPr>
          <w:b/>
        </w:rPr>
        <w:t>Shared claim-specific concepts:</w:t>
      </w:r>
      <w:r>
        <w:t xml:space="preserve"> aim, water, good, ecological, status, all; EU scope visible. This is a provisional connection, not an outcome finding.</w:t>
      </w:r>
    </w:p>
    <w:p>
      <w:pPr>
        <w:pStyle w:val="SourceNote"/>
      </w:pPr>
      <w:r>
        <w:rPr>
          <w:b/>
        </w:rPr>
        <w:t>Available abstract (not full text):</w:t>
      </w:r>
      <w:r>
        <w:t xml:space="preserve"> Ensuring a good ecological status of water bodies is one of the key challenges of communities and one of the objectives of the European Water Framework Directive. Although recent works identified the most significant stressors affecting the ecological quality of rivers, the ability to predict the overall ecological status of rivers based on a limited amount of easily accessible geospatial data has not been investigated so far. Most of the analyses focus on detailed local modelling and measurements which cannot be systematically applied at regional scales for the purposes of water resources management. The aim of this work is to understand the capabilities of five supervised machine learning classifiers of predicting the ecological status of rivers based on land use, climate, morphology, and water management parameters extracted over the river catchments corresponding to the ecological monitoring stations. Moreover, the performances of machine learning classifiers are compared to the results of the canonical correlation analysis. The method is applied to 360 catchments in Tuscany (central Italy) with a median size of 33.6 km2 and a Mediterranean climate. The results show (i) a significant correlation of ecological status with summer climate (i.e., maximum temperatures and minimum precipitation), land use and water exploitation, (ii) an 80 % precision of Random Forest algorithm t</w:t>
      </w:r>
    </w:p>
    <w:p>
      <w:pPr>
        <w:pStyle w:val="Heading2"/>
      </w:pPr>
      <w:r>
        <w:t>719. Overview of Existing Heat-Health Warning Systems in Europe</w:t>
      </w:r>
    </w:p>
    <w:p>
      <w:pPr>
        <w:pStyle w:val="SourceNote"/>
      </w:pPr>
      <w:r>
        <w:rPr>
          <w:b/>
        </w:rPr>
        <w:t>Original source (2019):</w:t>
      </w:r>
      <w:r>
        <w:t xml:space="preserve"> https://doi.org/10.3390/ijerph16152657</w:t>
      </w:r>
    </w:p>
    <w:p>
      <w:pPr/>
      <w:r>
        <w:t>Original wording (abstract; indexed_source_text_not_full_document_verified): Setting long-term planning actions as well as pre-alert levels might prevent and reduce damages due to heat.</w:t>
      </w:r>
    </w:p>
    <w:p>
      <w:pPr/>
      <w:r>
        <w:rPr>
          <w:b/>
        </w:rPr>
        <w:t>POSSIBLE 2025:</w:t>
      </w:r>
      <w:r>
        <w:t xml:space="preserve"> Financial &amp; Legal Planning: Securing Your Child's Future in the US and Europe — https://doi.org/10.5281/zenodo.19032835</w:t>
      </w:r>
    </w:p>
    <w:p>
      <w:pPr/>
      <w:r>
        <w:rPr>
          <w:b/>
        </w:rPr>
        <w:t>Shared claim-specific concepts:</w:t>
      </w:r>
      <w:r>
        <w:t xml:space="preserve"> setting, long-term, planning, reduce; EU scope visible. This is a provisional connection, not an outcome finding.</w:t>
      </w:r>
    </w:p>
    <w:p>
      <w:pPr>
        <w:pStyle w:val="SourceNote"/>
      </w:pPr>
      <w:r>
        <w:rPr>
          <w:b/>
        </w:rPr>
        <w:t>Available abstract (not full text):</w:t>
      </w:r>
      <w:r>
        <w:t xml:space="preserve"> Every parent of a child with autism worries about the future—Who will take care of my child when I’m gone? Financial and legal planning is one of the most important (and most overwhelming) responsibilities for families.This clear, parent-friendly guide helps you navigate financial security, disability benefits, guardianship, and long-term planning— specifically tailored for families in the US and Europe.Inside this book, you’ll discover:✅ How to access disability benefits and support services inthe US and Europe✅ Creating financial safety nets, savings, and emergencyfunds✅ Step-by-step guidance for setting up special needs trusts and ABLE accounts✅ Legal guardianship, conservatorship, and decision-making options for adulthood✅ Estate planning essentials to protect your child’s future✅ Healthcare and insurance planning for therapies and long-term care✅ Housing, employment, and independence options for adulthood✅ Practical checklists for future planning that reduce worry and confusionWritten in simple language with practical examples, this book gives you the tools to plan ahead with confidence—so your child’s future is secure, safe, and supported. ISBN / Edition / Imprint:• ISBN: [978-81-994064-5-2]• Authored By: Dr. Harshvardhan Singh (https://orcid.org/0000-0002-7224-5707), PsyForU Editorial Collective• Series Editor: Dr. Leah, Managing Editor: Dr. Jonathan Reed; Associate Edit</w:t>
      </w:r>
    </w:p>
    <w:p>
      <w:pPr/>
      <w:r>
        <w:rPr>
          <w:b/>
        </w:rPr>
        <w:t>POSSIBLE 2025:</w:t>
      </w:r>
      <w:r>
        <w:t xml:space="preserve"> Strategically Linked Decisions in Long-Term Planning and Reinforcement Learning — https://doi.org/10.48550/arxiv.2505.16833</w:t>
      </w:r>
    </w:p>
    <w:p>
      <w:pPr/>
      <w:r>
        <w:rPr>
          <w:b/>
        </w:rPr>
        <w:t>Shared claim-specific concepts:</w:t>
      </w:r>
      <w:r>
        <w:t xml:space="preserve"> long-term, planning, actions; EU scope not established. This is a provisional connection, not an outcome finding.</w:t>
      </w:r>
    </w:p>
    <w:p>
      <w:pPr>
        <w:pStyle w:val="SourceNote"/>
      </w:pPr>
      <w:r>
        <w:rPr>
          <w:b/>
        </w:rPr>
        <w:t>Available abstract (not full text):</w:t>
      </w:r>
      <w:r>
        <w:t xml:space="preserve"> Long-term planning, as in reinforcement learning (RL), involves finding strategies: actions that collectively work toward a goal rather than individually optimizing their immediate outcomes. As part of a strategy, some actions are taken at the expense of short-term benefit to enable future actions with even greater returns. These actions are only advantageous if followed up by the actions they facilitate, consequently, they would not have been taken if those follow-ups were not available. In this paper, we quantify such dependencies between planned actions with strategic link scores: the drop in the likelihood of one decision under the constraint that a follow-up decision is no longer available. We demonstrate the utility of strategic link scores through three practical applications: (i) explaining black-box RL agents by identifying strategically linked pairs among decisions they make, (ii) improving the worst-case performance of decision support systems by distinguishing whether recommended actions can be adopted as standalone improvements or whether they are strategically linked hence requiring a commitment to a broader strategy to be effective, and (iii) characterizing the planning processes of non-RL agents purely through interventions aimed at measuring strategic link scores - as an example, we consider a realistic traffic simulator and analyze through road closures the ef</w:t>
      </w:r>
    </w:p>
    <w:p>
      <w:pPr/>
      <w:r>
        <w:rPr>
          <w:b/>
        </w:rPr>
        <w:t>POSSIBLE 2025:</w:t>
      </w:r>
      <w:r>
        <w:t xml:space="preserve"> EMTReK Model for Advance Care Planning in Long-Term Care: Qualitative Findings from mySupport Study — https://doi.org/10.3390/geriatrics10060171</w:t>
      </w:r>
    </w:p>
    <w:p>
      <w:pPr/>
      <w:r>
        <w:rPr>
          <w:b/>
        </w:rPr>
        <w:t>Shared claim-specific concepts:</w:t>
      </w:r>
      <w:r>
        <w:t xml:space="preserve"> long-term, planning, actions; EU scope visible. This is a provisional connection, not an outcome finding.</w:t>
      </w:r>
    </w:p>
    <w:p>
      <w:pPr>
        <w:pStyle w:val="SourceNote"/>
      </w:pPr>
      <w:r>
        <w:rPr>
          <w:b/>
        </w:rPr>
        <w:t>Available abstract (not full text):</w:t>
      </w:r>
      <w:r>
        <w:t xml:space="preserve"> Background/Objectives: Conversations about end-of-life care or advance care planning are often difficult and emotionally challenging to initiate. Tailoring messages to the specific audiences can make these sensitive discussions more manageable and effective. The Evidence-based Model for the Transfer and Exchange of Research Knowledge (EMTReK), compromising six core components (message, stakeholders, processes, context, facilitation, and evaluation) offers a structured framework for research dissemination and knowledge transfer in palliative and long-term care settings. Knowledge translation bridges research and practice, with its effectiveness depending on stakeholder engagement, tailored communication, and systematic application of evidence in policy and practice. This study explores stakeholder perspectives on a dementia care intervention, using EMTReK as an analytical framework to examine how knowledge transfer and exchange (KTE) actions were implemented across long-term care settings. Methods: A qualitative analysis was conducted on primary data comprising case narratives from multinational research groups involved in the “Caregiver Decision Support” (mySupport) study (2019–2023). Teams from Canada, the Czech Republic, Ireland, Italy, the Netherlands, and the United Kingdom evaluated the mySupport intervention through interviews, with analysis guided by components of the EM</w:t>
      </w:r>
    </w:p>
    <w:p>
      <w:pPr/>
      <w:r>
        <w:rPr>
          <w:b/>
        </w:rPr>
        <w:t>POSSIBLE 2025:</w:t>
      </w:r>
      <w:r>
        <w:t xml:space="preserve"> Strategic planning for the long-term development of shrinking cities — https://doi.org/10.17877/de290r-26782</w:t>
      </w:r>
    </w:p>
    <w:p>
      <w:pPr/>
      <w:r>
        <w:rPr>
          <w:b/>
        </w:rPr>
        <w:t>Shared claim-specific concepts:</w:t>
      </w:r>
      <w:r>
        <w:t xml:space="preserve"> setting, long-term, planning; EU scope visible. This is a provisional connection, not an outcome finding.</w:t>
      </w:r>
    </w:p>
    <w:p>
      <w:pPr>
        <w:pStyle w:val="SourceNote"/>
      </w:pPr>
      <w:r>
        <w:rPr>
          <w:b/>
        </w:rPr>
        <w:t>Available abstract (not full text):</w:t>
      </w:r>
      <w:r>
        <w:t xml:space="preserve"> Urban shrinkage poses existential challenges to cities and dilemmas for urban policymakers. Over the last two decades, policy innovations and local experiments for dealing with urban shrinkage have been observed at various scales, but they are not without contradictions. Making policies as the symptoms arise is not the same as strategy-making. Focusing on problems risks neglecting essential challenges to the future. Scattered projects may not bring a coherent territorial development. Motivated by these understandings, this research is less about specific solutions for specific problems than it is about the strategy-making that connects the dots and opens new pathways. It aims to understand what shrinkage, as a path of development, means for planning, identify what strategic planning work is needed to steer urban development under shrinkage, and how strategic (spatial) planning can support this strategic work. At the core of this research is an international, comparative, in-depth case study of two medium-sized cities with long-term shrinkage — Den Helder (The Netherlands) and Zwickau (Germany). The case study examined their development strategies over two decades, analysed the spatialisation of the strategies, and identified the local factors contributing to the differences between the two cities, to map and compare their long-term development strategies and the spatial logic b</w:t>
      </w:r>
    </w:p>
    <w:p>
      <w:pPr/>
      <w:r>
        <w:rPr>
          <w:b/>
        </w:rPr>
        <w:t>POSSIBLE 2024:</w:t>
      </w:r>
      <w:r>
        <w:t xml:space="preserve"> How do emergency departments respond to ambulance pre-alert calls? A qualitative exploration of the management of pre-alerts in UK emergency departments — https://doi.org/10.1136/emermed-2023-213854</w:t>
      </w:r>
    </w:p>
    <w:p>
      <w:pPr/>
      <w:r>
        <w:rPr>
          <w:b/>
        </w:rPr>
        <w:t>Shared claim-specific concepts:</w:t>
      </w:r>
      <w:r>
        <w:t xml:space="preserve"> pre-alert, reduce, due; EU scope not established. This is a provisional connection, not an outcome finding.</w:t>
      </w:r>
    </w:p>
    <w:p>
      <w:pPr>
        <w:pStyle w:val="SourceNote"/>
      </w:pPr>
      <w:r>
        <w:rPr>
          <w:b/>
        </w:rPr>
        <w:t>Available abstract (not full text):</w:t>
      </w:r>
      <w:r>
        <w:t xml:space="preserve"> Abstract Background Whilst pre-alerts have been shown to improve outcomes for some patients requiring immediate time-critical treatment (e.g. stroke), little is known about their usefulness for other patients and what processes are used by Emergency Department (EDs) to respond to them. In the current context of high demand, it is important to understand how pre-alerts affect EDs. Methods We undertook non-participation observation (162 hours, 143 pre-alerts) and semi-structured interviews (40 staff) within six UK Emergency Departments (EDs), between August 2022-April 2023. Interview transcripts and observation notes were imported into NVivo™ and analysed using a thematic approach. Results Pre-alert calls involved significant time and resources for ED staff but enabled staff to prepare for patient’s arrival both practically and psychologically, particularly when demand was high. High demand created additional pre-alerts due to advice or ‘heads up’ calls from ambulance clinicians concerned about handover delay. Despite some pre-alert fatigue regarding patients who did not always require a special response (e.g. sepsis), ED clinicians prioritised and valued pre-alerts, perceiving higher risks from under-alerting than over-alerting. Variation in ED processes for a) senior clinical review of pre-alerted patients not brought into resus and b) receiving, documenting and informing other</w:t>
      </w:r>
    </w:p>
    <w:p>
      <w:pPr/>
      <w:r>
        <w:rPr>
          <w:b/>
        </w:rPr>
        <w:t>POSSIBLE 2024:</w:t>
      </w:r>
      <w:r>
        <w:t xml:space="preserve"> Managing heart failure in the longer term — https://doi.org/10.1136/conmed-2024-000013</w:t>
      </w:r>
    </w:p>
    <w:p>
      <w:pPr/>
      <w:r>
        <w:rPr>
          <w:b/>
        </w:rPr>
        <w:t>Shared claim-specific concepts:</w:t>
      </w:r>
      <w:r>
        <w:t xml:space="preserve"> setting, long-term, reduce; EU scope not established. This is a provisional connection, not an outcome finding.</w:t>
      </w:r>
    </w:p>
    <w:p>
      <w:pPr>
        <w:pStyle w:val="SourceNote"/>
      </w:pPr>
      <w:r>
        <w:rPr>
          <w:b/>
        </w:rPr>
        <w:t>Available abstract (not full text):</w:t>
      </w:r>
      <w:r>
        <w:t xml:space="preserve"> After initial diagnosis and treatment, patients presenting to hospital with acute heart failure (HF) are assessed and managed by the hospital HF team. Further investigations are carried out to confirm the diagnosis; existing guideline-directed medical therapies are optimised; and new treatments are initiated to stabilise the condition, manage symptoms, and reduce morbidity and mortality. A wide range of diagnostic tests and therapeutics are established for HF with reduced ejection fraction, while options for HF with preserved ejection fraction have been limited. However, repurposing of drugs originally developed for other conditions (eg, sodium-glucose co-transporter 2 inhibitors and glucagon-like receptor 1 antagonists) for use in people with heart failure and extended use of medications traditionally restricted to reduced ejection fraction, such as mineralocorticoid receptor antagonists (eg, spironolactone) and angiotensin-neprilysin inhibitors (eg, sacubitril–valsartan) in those with an EF&gt;40% is challenging established practice and increasing the options for optimisation of long-term management of patients with HF, across the entire ejection fraction spectrum. Integral to the management of chronic HF is the need to consider approaches to identify deterioration between scheduled visits, including annual electrocardiography and N-terminal pro B-type natriuretic peptide monito</w:t>
      </w:r>
    </w:p>
    <w:p>
      <w:pPr/>
      <w:r>
        <w:rPr>
          <w:b/>
        </w:rPr>
        <w:t>POSSIBLE 2024:</w:t>
      </w:r>
      <w:r>
        <w:t xml:space="preserve"> Scaling Value Iteration Networks to 5000 Layers for Extreme Long-Term Planning — https://doi.org/10.48550/arxiv.2406.08404</w:t>
      </w:r>
    </w:p>
    <w:p>
      <w:pPr/>
      <w:r>
        <w:rPr>
          <w:b/>
        </w:rPr>
        <w:t>Shared claim-specific concepts:</w:t>
      </w:r>
      <w:r>
        <w:t xml:space="preserve"> long-term, planning, due; EU scope not established. This is a provisional connection, not an outcome finding.</w:t>
      </w:r>
    </w:p>
    <w:p>
      <w:pPr>
        <w:pStyle w:val="SourceNote"/>
      </w:pPr>
      <w:r>
        <w:rPr>
          <w:b/>
        </w:rPr>
        <w:t>Available abstract (not full text):</w:t>
      </w:r>
      <w:r>
        <w:t xml:space="preserve"> The Value Iteration Network (VIN) is an end-to-end differentiable neural network architecture for planning. It exhibits strong generalization to unseen domains by incorporating a differentiable planning module that operates on a latent Markov Decision Process (MDP). However, VINs struggle to scale to long-term and large-scale planning tasks, such as navigating a 100x100 maze -- a task that typically requires thousands of planning steps to solve. We observe that this deficiency is due to two issues: the representation capacity of the latent MDP and the planning module's depth. We address these by augmenting the latent MDP with a dynamic transition kernel, dramatically improving its representational capacity, and, to mitigate the vanishing gradient problem, introduce an "adaptive highway loss" that constructs skip connections to improve gradient flow. We evaluate our method on 2D/3D maze navigation environments, continuous control, and the real-world Lunar rover navigation task. We find that our new method, named Dynamic Transition VIN (DT-VIN), scales to 5000 layers and solves challenging versions of the above tasks. Altogether, we believe that DT-VIN represents a concrete step forward in performing long-term large-scale planning in complex environments.</w:t>
      </w:r>
    </w:p>
    <w:p>
      <w:pPr/>
      <w:r>
        <w:rPr>
          <w:b/>
        </w:rPr>
        <w:t>POSSIBLE 2023:</w:t>
      </w:r>
      <w:r>
        <w:t xml:space="preserve"> Reimagining long term care in Europe — https://doi.org/10.5334/ijic.icic23695</w:t>
      </w:r>
    </w:p>
    <w:p>
      <w:pPr/>
      <w:r>
        <w:rPr>
          <w:b/>
        </w:rPr>
        <w:t>Shared claim-specific concepts:</w:t>
      </w:r>
      <w:r>
        <w:t xml:space="preserve"> setting, long-term, planning, actions, levels; EU scope visible. This is a provisional connection, not an outcome finding.</w:t>
      </w:r>
    </w:p>
    <w:p>
      <w:pPr>
        <w:pStyle w:val="SourceNote"/>
      </w:pPr>
      <w:r>
        <w:rPr>
          <w:b/>
        </w:rPr>
        <w:t>Available abstract (not full text):</w:t>
      </w:r>
      <w:r>
        <w:t xml:space="preserve"> Introduction: This 90 minute workshop will be a collaboration between IFICs Ageing and Frailty SIG, Age Platform Europe and a group of experts who supported the government of Bizkaia in developing an empowerment model for long-term care. The session will interest policy makers, researchers, advocates, patients, carers and professionals who plan, commission, fund, provide or regulate long-term care. The European Care Strategy sets out an EU vision on a rights based approach to long-term care with a co-production and preventative approach. It calls for a social protection model for financing care to make it accessible to all. It emphasises the need to integrate and coordinate health and social care, to invest in innovative solutions to improve care and working conditions and to build capacity and skills of the care workforce. The strategy publication coincided with the launch of a report by the Bizkaia council, AGE Platform Europe and a group of European academic experts. The Bay of Care report calls for a stronger commitment to a rights-based approach to long-term care. It proposes a more holistic view of older people’s well-being and quality of life with their goals and preferences central to the design of long term care within a person-centred and integrated system. The model takes a life-course approach to healthy ageing and both gender and social equity. Structure: Welcome a</w:t>
      </w:r>
    </w:p>
    <w:p>
      <w:pPr/>
      <w:r>
        <w:rPr>
          <w:b/>
        </w:rPr>
        <w:t>POSSIBLE 2023:</w:t>
      </w:r>
      <w:r>
        <w:t xml:space="preserve"> A Confluence of Cultures: Advance Care Planning in Long-Term Care Settings — https://doi.org/10.31389/jltc.203</w:t>
      </w:r>
    </w:p>
    <w:p>
      <w:pPr/>
      <w:r>
        <w:rPr>
          <w:b/>
        </w:rPr>
        <w:t>Shared claim-specific concepts:</w:t>
      </w:r>
      <w:r>
        <w:t xml:space="preserve"> long-term, planning, actions; EU scope not established. This is a provisional connection, not an outcome finding.</w:t>
      </w:r>
    </w:p>
    <w:p>
      <w:pPr>
        <w:pStyle w:val="SourceNote"/>
      </w:pPr>
      <w:r>
        <w:rPr>
          <w:b/>
        </w:rPr>
        <w:t>Available abstract (not full text):</w:t>
      </w:r>
      <w:r>
        <w:t xml:space="preserve"> Context: While policies may promote Advance Care Planning (ACP) discussions in long-term care (LTC) settings, practices often result in outcomes different from residents’ wishes. We attribute this to a confluence of cultures: healthcare; LTC settings; mainstream societal; and individuals’ ethno-cultures. This research explores these cultures as reflected in focus group discussions conducted with residents and family-of-residents in two LTC homes: one exclusively Chinese (EC); one multicultural (MC). Method: Fourteen residents and 13 family members participated in the four focus groups. Discussions were audio-recorded, transcribed, and themes were extracted and compared. Results: Four themes characterized residents’ discussions: 1-Variations in Range/Type of ACP Discussions/Actions; 2-Care of Family; 3-Reliance on Staff; and 4-Quality-of-Life at End-of-Life. Exclusively Chinese residents expressed reluctance to speak about ACP, were more likely to state “family would handle it,” less likely to call upon staff, and more acquiescent concerning death. Multicultural residents were more likely to pejoratively mention pull or absence of family and reliance upon staff; also, wanting personal awareness and control at end-of-life. Family themes were 1-Timing/Focus of ACP Discussions, 2-Communication with Family, 3-Care Home and Staff Influences, and 4-Cultural and Religious Issues. Exclu</w:t>
      </w:r>
    </w:p>
    <w:p>
      <w:pPr/>
      <w:r>
        <w:rPr>
          <w:b/>
        </w:rPr>
        <w:t>POSSIBLE 2023:</w:t>
      </w:r>
      <w:r>
        <w:t xml:space="preserve"> Determination of Country-Specific Criteria Weights for Long-Term Energy Planning in Europe — https://doi.org/10.3390/en16134920</w:t>
      </w:r>
    </w:p>
    <w:p>
      <w:pPr/>
      <w:r>
        <w:rPr>
          <w:b/>
        </w:rPr>
        <w:t>Shared claim-specific concepts:</w:t>
      </w:r>
      <w:r>
        <w:t xml:space="preserve"> long-term, planning, well; EU scope visible. This is a provisional connection, not an outcome finding.</w:t>
      </w:r>
    </w:p>
    <w:p>
      <w:pPr>
        <w:pStyle w:val="SourceNote"/>
      </w:pPr>
      <w:r>
        <w:rPr>
          <w:b/>
        </w:rPr>
        <w:t>Available abstract (not full text):</w:t>
      </w:r>
      <w:r>
        <w:t xml:space="preserve"> Energy strategies and decision-making studies rely heavily on a system of criteria and their weights of importance, typically determined through stakeholder involvement or surveys. However, the methodology presented in this study considers a reverse approach, as the importance weights are computed based on historical data of each European country’s prevailing decisions on pre-defined aspects. An in-house-developed model was applied to analyze data from the ENTSO-E database for the determination of optimal criteria weights with combination of a linear programming task and Monte Carlo simulations. Applying the new model, the importance weights of seven selected criteria could be calculated for all European countries. The Eastern European region demonstrated exceptional sensitivity towards investment costs, while countries relying heavily on renewable or nuclear energy sources, such as Denmark, Greece, Norway, Slovenia, Spain, and the United Kingdom, exhibited a dominant influence of environmental factors. Moreover, it was observed that the flexibility criterion aligned well with the installed generation capacities. However, the geopolitical factor and the risk of accidents criteria introduced nuances to the overall rating, indicating a somewhat reduced dependence on production data.</w:t>
      </w:r>
    </w:p>
    <w:p>
      <w:pPr/>
      <w:r>
        <w:rPr>
          <w:b/>
        </w:rPr>
        <w:t>POSSIBLE 2023:</w:t>
      </w:r>
      <w:r>
        <w:t xml:space="preserve"> Are traditional urban greening actions compliant with the European Greening Plans guidance? — https://doi.org/10.1016/j.ufug.2023.128131</w:t>
      </w:r>
    </w:p>
    <w:p>
      <w:pPr/>
      <w:r>
        <w:rPr>
          <w:b/>
        </w:rPr>
        <w:t>Shared claim-specific concepts:</w:t>
      </w:r>
      <w:r>
        <w:t xml:space="preserve"> setting, long-term, actions, levels, due; EU scope visible. This is a provisional connection, not an outcome finding.</w:t>
      </w:r>
    </w:p>
    <w:p>
      <w:pPr>
        <w:pStyle w:val="SourceNote"/>
      </w:pPr>
      <w:r>
        <w:rPr>
          <w:b/>
        </w:rPr>
        <w:t>Available abstract (not full text):</w:t>
      </w:r>
      <w:r>
        <w:t xml:space="preserve"> The Biodiversity Strategy for 2030, embedded in the European Green Deal, is a key policy agenda promoted by the European Commission to protect nature and biodiversity. This strategy sets ambitious goals to protect and restore ecosystems, halt biodiversity decline, and improve monitoring and governance efforts. Notably, municipalities with at least 20,000 inhabitants are now invited to develop comprehensive Urban Greening Plans (UGP). To support this process, the European Commission has recently released a draft guidance document that provides step-by-step assistance in creating long-term UGPs. We conducted semi-structured interviews with 15 European cities to evaluate what kind of UGPs have already been developed and assess compliance with the European guidelines. The findings reveal that many cities have already developed greening or sustainability plans, although certain crucial steps are still lacking to ensure the long-term success of UGPs. These include securing political commitment, establishing a working structure, fostering cross-departmental collaboration, and addressing limitations in human and financial resources. Typically, greening strategies are implemented within broader sustainability initiatives such as climate adaptation or biodiversity strategy. Among the interviewed cities, four cities are in the process of developing a comprehensive greening plan that integ</w:t>
      </w:r>
    </w:p>
    <w:p>
      <w:pPr/>
      <w:r>
        <w:rPr>
          <w:b/>
        </w:rPr>
        <w:t>POSSIBLE 2023:</w:t>
      </w:r>
      <w:r>
        <w:t xml:space="preserve"> A person‐centred approach to enhance the long‐term health and wellbeing of people living with HIV in Europe — https://doi.org/10.1002/jia2.26117</w:t>
      </w:r>
    </w:p>
    <w:p>
      <w:pPr/>
      <w:r>
        <w:rPr>
          <w:b/>
        </w:rPr>
        <w:t>Shared claim-specific concepts:</w:t>
      </w:r>
      <w:r>
        <w:t xml:space="preserve"> long-term, actions, prevent; EU scope visible. This is a provisional connection, not an outcome finding.</w:t>
      </w:r>
    </w:p>
    <w:p>
      <w:pPr>
        <w:pStyle w:val="SourceNote"/>
      </w:pPr>
      <w:r>
        <w:rPr>
          <w:b/>
        </w:rPr>
        <w:t>Available abstract (not full text):</w:t>
      </w:r>
      <w:r>
        <w:t xml:space="preserve"> Person-centred care is a critical attribute of high-quality healthcare, promoting quality of life, improving an individual's interaction with the health system and valuing people's social networks [1]. Lifesaving antiretroviral therapy is now increasingly widely available around the world, although not all countries have reached their coverage targets related to prevention, diagnosis and linkage to care. As a consequence of the enormous progress made, most people living with HIV are able to grow older rather than dying prematurely [2]. Therefore, it is essential that health systems respond to the changing needs of an ageing population living with HIV, who have comparatively higher multimorbidity (both physical and mental) and experience persistent stigma [3, 4]. To achieve this, person-centred care services for people living with HIV must focus on long-term wellbeing by monitoring and managing multimorbidity, health-related quality of life (HRQoL), stigma and discrimination [5]. In line with WHO's global strategy on HIV for 2022–2030 [2] and UNAIDS' targets set in 2021 [6], a people-centred approach is essential to allow for this transformation of health systems. Health services must offer an integrated response to the evolving health needs and choices of people living with HIV—and this is still not the case in most settings, including high-income countries in Europe [7]. The c</w:t>
      </w:r>
    </w:p>
    <w:p>
      <w:pPr>
        <w:pStyle w:val="Heading2"/>
      </w:pPr>
      <w:r>
        <w:t>720. Pathway Analysis of a Zero-Emission Transition in the Nordic-Baltic Region</w:t>
      </w:r>
    </w:p>
    <w:p>
      <w:pPr>
        <w:pStyle w:val="SourceNote"/>
      </w:pPr>
      <w:r>
        <w:rPr>
          <w:b/>
        </w:rPr>
        <w:t>Original source (2019):</w:t>
      </w:r>
      <w:r>
        <w:t xml:space="preserve"> https://doi.org/10.3390/en12173337</w:t>
      </w:r>
    </w:p>
    <w:p>
      <w:pPr/>
      <w:r>
        <w:t>Original wording (abstract; indexed_source_text_not_full_document_verified): The energy system optimizations indicate that most of the investments needed for the zero-emission pathway until 2050 would take place already by 2030. A zero-emission pathway for the Nordic and Baltic region in Europe is described based on the comprehensive policy and scenario analyses, accompanied by energy system modelling.</w:t>
      </w:r>
    </w:p>
    <w:p>
      <w:pPr/>
      <w:r>
        <w:rPr>
          <w:b/>
        </w:rPr>
        <w:t>POSSIBLE 2026:</w:t>
      </w:r>
      <w:r>
        <w:t xml:space="preserve"> Holistic design &amp; optimization of renewable energy systems - an african-european case study — https://doi.org/10.18154/rwth-2026-03350</w:t>
      </w:r>
    </w:p>
    <w:p>
      <w:pPr/>
      <w:r>
        <w:rPr>
          <w:b/>
        </w:rPr>
        <w:t>Shared claim-specific concepts:</w:t>
      </w:r>
      <w:r>
        <w:t xml:space="preserve"> energy, system, based; EU scope visible. This is a provisional connection, not an outcome finding.</w:t>
      </w:r>
    </w:p>
    <w:p>
      <w:pPr>
        <w:pStyle w:val="SourceNote"/>
      </w:pPr>
      <w:r>
        <w:rPr>
          <w:b/>
        </w:rPr>
        <w:t>Available abstract (not full text):</w:t>
      </w:r>
      <w:r>
        <w:t xml:space="preserve"> The global energy transition requires a large-scale shift to renewable energy carriers worldwide. Since renewable resources are distributed unevenly across the world, future renewable energy systems will inevitably rely on energy trade between regions with abundant renewable potential and those with limited resources but high demand. A prominent example frequently discussed in the literature is the African–European energy systems, where Africa’s vast solar and wind resources could both help bridge domestic energy gaps and support Europe’s decarbonization and diversification goals, thereby contributing to the global energy transition. While the global energy transition offers significant opportunities for both energy suppliers and importers, it also introduces new challenges for the design of future energy systems. Addressing these challenges requires a holistic framework to ensure that the energy transition is not only economically affordable but also equitable, sustainable, and secure. These objectives form the four pillars of the energy transition: affordability, equity, environmental sustainability, and security. Although existing frameworks in the literature emphasize the importance of balancing different pillars of the energy transition conceptually, most quantitative energy system optimization studies—particularly in the African-European context—continue to focus primaril</w:t>
      </w:r>
    </w:p>
    <w:p>
      <w:pPr/>
      <w:r>
        <w:rPr>
          <w:b/>
        </w:rPr>
        <w:t>POSSIBLE 2026:</w:t>
      </w:r>
      <w:r>
        <w:t xml:space="preserve"> State policy for stimulating investment in the development of renewable energy under wartime and European integration changes — https://doi.org/10.66556/2663-0117.51.prots-r</w:t>
      </w:r>
    </w:p>
    <w:p>
      <w:pPr/>
      <w:r>
        <w:rPr>
          <w:b/>
        </w:rPr>
        <w:t>Shared claim-specific concepts:</w:t>
      </w:r>
      <w:r>
        <w:t xml:space="preserve"> energy, system; EU scope visible. This is a provisional connection, not an outcome finding.</w:t>
      </w:r>
    </w:p>
    <w:p>
      <w:pPr>
        <w:pStyle w:val="SourceNote"/>
      </w:pPr>
      <w:r>
        <w:rPr>
          <w:b/>
        </w:rPr>
        <w:t>Available abstract (not full text):</w:t>
      </w:r>
      <w:r>
        <w:t xml:space="preserve"> The purpose of the study is to substantiate the theoretical foundations of state policy for stimulating investment in renewable energy development under the simultaneous intensification of wartime and European integration changes, as well as to form a system of instruments capable of combining the need for rapid restoration of energy infrastructure with the long-term investment attractiveness of the sector. The object of the study is the processes of state influence on the formation, attraction and allocation of investment resources for the development of renewable energy sources. It is substantiated that under wartime threats investment incentives cannot be reduced to individual tax, tariff or credit preferences, since an investor's decision increasingly depends on a combination of security, financial, infrastructural, legal and market preconditions. It is determined that European integration changes simultaneously increase requirements for transparency of state support, guarantees of energy origin, market competition, technical compatibility and predictability of rules. State policy for stimulating investment is proposed to be considered as an interconnected system of strategic and target-oriented, financial and economic, guarantee and insurance, infrastructural, organizational, informational and control components. It is proved that the most important result of state influen</w:t>
      </w:r>
    </w:p>
    <w:p>
      <w:pPr/>
      <w:r>
        <w:rPr>
          <w:b/>
        </w:rPr>
        <w:t>POSSIBLE 2026:</w:t>
      </w:r>
      <w:r>
        <w:t xml:space="preserve"> Accounting for economic disparity in designing net-zero European energy systems — https://doi.org/10.1088/2753-3751/ae6b8f</w:t>
      </w:r>
    </w:p>
    <w:p>
      <w:pPr/>
      <w:r>
        <w:rPr>
          <w:b/>
        </w:rPr>
        <w:t>Shared claim-specific concepts:</w:t>
      </w:r>
      <w:r>
        <w:t xml:space="preserve"> energy, system, investments; EU scope visible. This is a provisional connection, not an outcome finding.</w:t>
      </w:r>
    </w:p>
    <w:p>
      <w:pPr>
        <w:pStyle w:val="SourceNote"/>
      </w:pPr>
      <w:r>
        <w:rPr>
          <w:b/>
        </w:rPr>
        <w:t>Available abstract (not full text):</w:t>
      </w:r>
      <w:r>
        <w:t xml:space="preserve"> Abstract High-resolution energy system models, as powerful tools to represent energy systems in detail and assist energy transition planning, rarely account for economic disparity, unlike broader-scale tools such as integrated assessment models. In this study, by analysing net-zero European energy system designs through the lens of national gross domestic product (GDP) and household average income, we find that disparity-unaware high-resolution energy system models can produce results that are technically feasible but largely incompatible with economic realities. The investment in household heating technology may be disproportional to the income level of lower-income countries. Explicitly acknowledging economic disparity in such models reduces the danger of them proposing solutions which burden economically disadvantaged actors. Therefore, here, we explicitly include national GDP and household income disparity in a model for net-zero European energy system designs. We find that disparity-compatible systems are possible with a 1.1% total system cost increase compared to the least-cost ones. Unlike in disparity-unaware system designs, where energy infrastructure investments often reach over 20% of national GDP for some countries, we develop disparity-compatible designs which limit investments to below 5% in each country. Our results show that less affluent European countries may </w:t>
      </w:r>
    </w:p>
    <w:p>
      <w:pPr/>
      <w:r>
        <w:rPr>
          <w:b/>
        </w:rPr>
        <w:t>POSSIBLE 2026:</w:t>
      </w:r>
      <w:r>
        <w:t xml:space="preserve"> Temperature-Aware Heat Pump Modeling for Large-Scale Energy System Optimization — https://doi.org/10.1109/eem68581.2026.11589688</w:t>
      </w:r>
    </w:p>
    <w:p>
      <w:pPr/>
      <w:r>
        <w:rPr>
          <w:b/>
        </w:rPr>
        <w:t>Shared claim-specific concepts:</w:t>
      </w:r>
      <w:r>
        <w:t xml:space="preserve"> energy, system, indicate; EU scope visible. This is a provisional connection, not an outcome finding.</w:t>
      </w:r>
    </w:p>
    <w:p>
      <w:pPr>
        <w:pStyle w:val="SourceNote"/>
      </w:pPr>
      <w:r>
        <w:rPr>
          <w:b/>
        </w:rPr>
        <w:t>Available abstract (not full text):</w:t>
      </w:r>
      <w:r>
        <w:t xml:space="preserve"> Heat pumps are expected to dominate the heating sector, substantially increasing peak electricity demand. At the same time, building thermal inertia enables operational strategies, providing temporal flexibility in heat pump operation and short-term demand response. However, this dynamic behavior is not yet represented in large-scale energy system optimization models. To address this gap, we present an innovative formulation of building thermal inertia. The resulting temperature variable is integrated into a novel conic temperature-aware heat pump efficiency formulation, enabling a more precise emulation of smart control strategies. In a case study of the European energy system, we show that the approach captures operational heating flexibility while remaining computationally efficient. The results indicate substantial untapped flexibility potential, enabling up to a 22% reduction in heating-related electricity costs. This potential can be realized through a suitable energy market design that incentivizes coordinated heat pump control, individually or via aggregators.</w:t>
      </w:r>
    </w:p>
    <w:p>
      <w:pPr/>
      <w:r>
        <w:rPr>
          <w:b/>
        </w:rPr>
        <w:t>POSSIBLE 2025:</w:t>
      </w:r>
      <w:r>
        <w:t xml:space="preserve"> Optimization of Multi-Energy Complementary Building Energy Systems — https://doi.org/10.56028/aetr.14.1.1452.2025</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Under the dual impetus of the global energy crisis and carbon neutrality objectives, the construction sector, as a critical domain of energy consumption and carbon emissions, urgently requires green transformation through multi-energy complementary systems. This paper systematically reviews the coupling mechanisms, integration technologies, and synergistic optimization methodologies of multi-energy complementary building energy systems, elucidating their roles in enhancing energy efficiency, reducing lifecycle carbon emissions, and advancing net-zero energy building development. Research demonstrates that integrating renewable energy technologies, such as building-integrated photovoltaic/thermal (BIPVT) systems and hydrogen complementary systems, effectively addresses energy volatility and intermittency while balancing architectural aesthetics with economic viability. The study underscores that large-scale implementation of multi-energy complementary systems necessitates regionally adaptive design frameworks, long-term performance monitoring protocols, and multi-stakeholder collaboration, thereby offering theoretically innovative and practically actionable solutions for global low-carbon building transitions.</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energy, system, investments, needed, until, region;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Review of energy investments for strengthening resilience in energy system — https://doi.org/10.31713/m1316</w:t>
      </w:r>
    </w:p>
    <w:p>
      <w:pPr/>
      <w:r>
        <w:rPr>
          <w:b/>
        </w:rPr>
        <w:t>Shared claim-specific concepts:</w:t>
      </w:r>
      <w:r>
        <w:t xml:space="preserve"> energy, system, investments; EU scope not established. This is a provisional connection, not an outcome finding.</w:t>
      </w:r>
    </w:p>
    <w:p>
      <w:pPr>
        <w:pStyle w:val="SourceNote"/>
      </w:pPr>
      <w:r>
        <w:rPr>
          <w:b/>
        </w:rPr>
        <w:t>Available abstract (not full text):</w:t>
      </w:r>
      <w:r>
        <w:t xml:space="preserve"> The provoked shock in the energy system came into a moment in which climate impact is more and more visible and took several types. The rise of prices has determined economic incentives for increasing the offer and for choosing the alternative or more efficient ways to satisfy the demands. The shocks due to energetic security have created strong incentives for politic decisional factors for reducing the dependences and vulnerabilities, but in the same time for a lot of devel-oping countries, the financial resources are depleted. The last years were a period of extreme perturbation for energy sector.</w:t>
      </w:r>
    </w:p>
    <w:p>
      <w:pPr/>
      <w:r>
        <w:rPr>
          <w:b/>
        </w:rPr>
        <w:t>POSSIBLE 2024:</w:t>
      </w:r>
      <w:r>
        <w:t xml:space="preserve"> Integrating material recycling and remanufacturing in energy system optimization modeling: A review and showcase — https://doi.org/10.1016/j.adapen.2024.100198</w:t>
      </w:r>
    </w:p>
    <w:p>
      <w:pPr/>
      <w:r>
        <w:rPr>
          <w:b/>
        </w:rPr>
        <w:t>Shared claim-specific concepts:</w:t>
      </w:r>
      <w:r>
        <w:t xml:space="preserve"> energy, system, until, comprehensive; EU scope visible. This is a provisional connection, not an outcome finding.</w:t>
      </w:r>
    </w:p>
    <w:p>
      <w:pPr>
        <w:pStyle w:val="SourceNote"/>
      </w:pPr>
      <w:r>
        <w:rPr>
          <w:b/>
        </w:rPr>
        <w:t>Available abstract (not full text):</w:t>
      </w:r>
      <w:r>
        <w:t xml:space="preserve"> This paper addresses the currently overlooked yet urgent topic of material recycling and remanufacturing in energy system optimization modeling, making three substantial contributions. First, it presents a comprehensive review of relevant studies on material demand, flows, and recycling from a techno-economic perspective and highlights the critical gap in existing energy system optimization models, in which material recycling and remanufacturing is not yet adequately integrated. Second, the paper introduces a general mathematical framework for incorporating material recycling and remanufacturing as a technology and investment option into typical energy system optimization models. Third, the paper demonstrates the practical application of this framework by examining the material recycling potential within the solar module expansion plan of the European Union. It explores the main drivers under which material recycling becomes economically competitive, considering various global and regional solar market conditions. Specifically, it investigates how different energy policies — such as incentivizing European Union manufacturing, limiting import shares, and implementing a circular economy constraint — affect the optimal remanufacturing capacities and achievable shares of recycling-based additions to meet the expansion targets until 2050. • Review on material recycling and remanufac</w:t>
      </w:r>
    </w:p>
    <w:p>
      <w:pPr/>
      <w:r>
        <w:rPr>
          <w:b/>
        </w:rPr>
        <w:t>POSSIBLE 2024:</w:t>
      </w:r>
      <w:r>
        <w:t xml:space="preserve"> The future role of Carnot batteries in Central Europe: Combining energy system and market perspective — https://doi.org/10.1016/j.est.2024.110959</w:t>
      </w:r>
    </w:p>
    <w:p>
      <w:pPr/>
      <w:r>
        <w:rPr>
          <w:b/>
        </w:rPr>
        <w:t>Shared claim-specific concepts:</w:t>
      </w:r>
      <w:r>
        <w:t xml:space="preserve"> energy, system, zero-emission, based, modelling; EU scope visible. This is a provisional connection, not an outcome finding.</w:t>
      </w:r>
    </w:p>
    <w:p>
      <w:pPr>
        <w:pStyle w:val="SourceNote"/>
      </w:pPr>
      <w:r>
        <w:rPr>
          <w:b/>
        </w:rPr>
        <w:t>Available abstract (not full text):</w:t>
      </w:r>
      <w:r>
        <w:t xml:space="preserve"> Power generation from variable renewable energies is expected to dominate the future energy supply in many countries, which will lead to an increased demand for flexibility options. Carnot batteries offer the technical prerequisites for meeting this flexibility demand and are relatively easy to scale. This paper investigates the future economic potential for Carnot batteries by coupling the energy systems optimization model REMix and the agent-based electricity market model AMIRIS. While REMix evaluates the least-cost infrastructure configuration of the energy system and the role of Carnot batteries in it, AMIRIS focuses on the corresponding profitability of these storage systems. The modelling chain is applied in a case study of a zero-emission energy system in Central Europe for the year 2050. To provide guidance for a promising technology development, a parameter scan for costs and efficiencies of Carnot batteries is performed for this system. We find that from an energy system design perspective the availability of a low-cost storage medium is a key driver for the usage of Carnot batteries. In addition, the combination of Carnot batteries with wind energy provides benefits due to the possibility of longer storage durations compared to electrochemical battery systems. Carnot battery operators can potentially realize positive annual gross profits, based on factors such as the</w:t>
      </w:r>
    </w:p>
    <w:p>
      <w:pPr/>
      <w:r>
        <w:rPr>
          <w:b/>
        </w:rPr>
        <w:t>POSSIBLE 2024:</w:t>
      </w:r>
      <w:r>
        <w:t xml:space="preserve"> TIMES-Europe: An Integrated Energy System Model for Analyzing Europe’s Energy and Climate Challenges — https://doi.org/10.1007/s10666-024-09976-8</w:t>
      </w:r>
    </w:p>
    <w:p>
      <w:pPr/>
      <w:r>
        <w:rPr>
          <w:b/>
        </w:rPr>
        <w:t>Shared claim-specific concepts:</w:t>
      </w:r>
      <w:r>
        <w:t xml:space="preserve"> energy, system, based; EU scope visible. This is a provisional connection, not an outcome finding.</w:t>
      </w:r>
    </w:p>
    <w:p>
      <w:pPr>
        <w:pStyle w:val="SourceNote"/>
      </w:pPr>
      <w:r>
        <w:rPr>
          <w:b/>
        </w:rPr>
        <w:t>Available abstract (not full text):</w:t>
      </w:r>
      <w:r>
        <w:t xml:space="preserve"> Abstract This paper introduces TIMES-Europe, a novel integrated multi-sectoral energy system optimization model for Europe based on the TIMES generator. We describe its main specifications and assumptions as well as its underlying methodology, and summarize the type of policy questions that it can help answering. TIMES-Europe can be used to analyze policy instruments designed for implementing the EU Green Deal and Fit-for-55 program, and to create strategic energy decarbonization and climate change mitigation insights for Europe against the backdrop of its interactions and relations with neighboring countries. Thanks to its technology richness across all main sectors—including power production, transport, industry and the commercial, agricultural and residential sectors—it allows for performing in-depth studies on the role of a large range of low-carbon options in the energy transition of all European countries, both jointly and individually. Three characteristics render TIMES-Europe particularly valuable: (1) it covers the entire European energy system and its main greenhouse gas emissions, (2) it includes all EU member states individually as well as a large set of countries in the EU’s vicinity, and (3) it can be used to generate high-level strategic insights as well as detailed recommendations for both national and EU policies. TIMES-Europe is especially suitable for analyzi</w:t>
      </w:r>
    </w:p>
    <w:p>
      <w:pPr/>
      <w:r>
        <w:rPr>
          <w:b/>
        </w:rPr>
        <w:t>POSSIBLE 2023:</w:t>
      </w:r>
      <w:r>
        <w:t xml:space="preserve"> Long-term optimization of the Norwegian energy system under the influence of the European power market — https://doi.org/10.1109/eem58374.2023.10161972</w:t>
      </w:r>
    </w:p>
    <w:p>
      <w:pPr/>
      <w:r>
        <w:rPr>
          <w:b/>
        </w:rPr>
        <w:t>Shared claim-specific concepts:</w:t>
      </w:r>
      <w:r>
        <w:t xml:space="preserve"> energy, system, indicate, investments, modelling; EU scope visible. This is a provisional connection, not an outcome finding.</w:t>
      </w:r>
    </w:p>
    <w:p>
      <w:pPr>
        <w:pStyle w:val="SourceNote"/>
      </w:pPr>
      <w:r>
        <w:rPr>
          <w:b/>
        </w:rPr>
        <w:t>Available abstract (not full text):</w:t>
      </w:r>
      <w:r>
        <w:t xml:space="preserve"> This paper proposes a novel bidirectional linkage between a national energy system model and a European power market model. The combined modelling framework enables long-term energy system investment strategies at the national level that captures the impact and interaction with the European power system. The linking methodology is demonstrated with two models, 1) IFE-TIMES-Norway, a technology-rich model used to analyze the cost-optimal development of the Norwegian energy system, and 2) EMPIRE, a stochastic capacity expansion model optimizing operation and investments of the European power system. Two convergence criteria are used: electricity generation capacities and prices. The linkage is performed for two future transition pathways, in which convergence is reached after 3 and 4 iterations. Results indicate that the pace of convergence greatly depends on the degree of interaction with neighbouring countries, as the European prices are sensitive to the Norwegian energy mix and vice versa. The linkage also led to changes in production and export volumes in Norway, emphasizing the importance of capturing the price elasticity of Europe when designing national energy systems.</w:t>
      </w:r>
    </w:p>
    <w:p>
      <w:pPr/>
      <w:r>
        <w:rPr>
          <w:b/>
        </w:rPr>
        <w:t>POSSIBLE 2023:</w:t>
      </w:r>
      <w:r>
        <w:t xml:space="preserve"> Energy Systems — https://doi.org/10.1017/9781009157926.008</w:t>
      </w:r>
    </w:p>
    <w:p>
      <w:pPr/>
      <w:r>
        <w:rPr>
          <w:b/>
        </w:rPr>
        <w:t>Shared claim-specific concepts:</w:t>
      </w:r>
      <w:r>
        <w:t xml:space="preserve"> energy, system, investments, take; EU scope not established. This is a provisional connection, not an outcome finding.</w:t>
      </w:r>
    </w:p>
    <w:p>
      <w:pPr>
        <w:pStyle w:val="SourceNote"/>
      </w:pPr>
      <w:r>
        <w:rPr>
          <w:b/>
        </w:rPr>
        <w:t>Available abstract (not full text):</w:t>
      </w:r>
      <w:r>
        <w:t xml:space="preserve"> Warming cannot be limited to well below 2°C without rapid and deep reductions in energy system carbon dioxide (CO 2 ) and greenhouse gas (GHG) emissions.In scenarios limiting warming to 1.5°C (&gt;50%) with no or limited overshoot (2°C (&gt;67%) with action starting in 2020), net energy system CO 2 emissions (interquartile range) fall by 87-97% (60-79%) in 2050.In 2030, in scenarios limiting warming to 1.5°C (&gt;50%) with no or limited overshoot, net CO 2 and GHG emissions fall by 35-51% and 38-52% respectively.In scenarios limiting warming to 1.5°C (&gt;50%) with no or limited overshoot (2°C (&gt;67%)), net electricity sector CO 2 emissions reach zero globally between 2045 and 2055 (2050 and 2080).(high confidence) {6.7} Limiting warming to well below 2°C will require substantial energy system changes over the next 30 years.This includes reduced fossil fuel consumption, increased production from low-and zero-carbon energy sources, and increased use of electricity and alternative energy carriers.Coal consumption without carbon capture and storage (CCS) falls by 67-82% (interquartile range) in 2030 in scenarios limiting warming to 1.5°C (&gt;50%) with no or limited overshoot.Oil and gas consumption fall more slowly.Low-carbon sources produce 93-97% of global electricity by 2050 in scenarios that limit warming to 2°C (&gt;67%) with action starting in 2020.In scenarios limiting warming to 1.5°C (&gt;50%</w:t>
      </w:r>
    </w:p>
    <w:p>
      <w:pPr>
        <w:pStyle w:val="Heading2"/>
      </w:pPr>
      <w:r>
        <w:t>721. Perspectives from 2037—Can Environmental Impact Assessment be the Solution for an Early Consideration of Climate Change-related Impacts?</w:t>
      </w:r>
    </w:p>
    <w:p>
      <w:pPr>
        <w:pStyle w:val="SourceNote"/>
      </w:pPr>
      <w:r>
        <w:rPr>
          <w:b/>
        </w:rPr>
        <w:t>Original source (2019):</w:t>
      </w:r>
      <w:r>
        <w:t xml:space="preserve"> https://doi.org/10.3390/su11154002</w:t>
      </w:r>
    </w:p>
    <w:p>
      <w:pPr/>
      <w:r>
        <w:t>Original wording (abstract; indexed_source_text_not_full_document_verified): Three scenario narratives were elaborated based on nine key impact factors based on literature review, content analysis of EIA documents and interviews with EIA actors.</w:t>
      </w:r>
    </w:p>
    <w:p>
      <w:pPr/>
      <w:r>
        <w:rPr>
          <w:b/>
        </w:rPr>
        <w:t>POSSIBLE 2026:</w:t>
      </w:r>
      <w:r>
        <w:t xml:space="preserve"> Narratives and Narratologies — https://doi.org/10.14361/9783839453773-177</w:t>
      </w:r>
    </w:p>
    <w:p>
      <w:pPr/>
      <w:r>
        <w:rPr>
          <w:b/>
        </w:rPr>
        <w:t>Shared claim-specific concepts:</w:t>
      </w:r>
      <w:r>
        <w:t xml:space="preserve"> narratives, key; EU scope not established. This is a provisional connection, not an outcome finding.</w:t>
      </w:r>
    </w:p>
    <w:p>
      <w:pPr>
        <w:pStyle w:val="SourceNote"/>
      </w:pPr>
      <w:r>
        <w:rPr>
          <w:b/>
        </w:rPr>
        <w:t>Available abstract (not full text):</w:t>
      </w:r>
      <w:r>
        <w:t xml:space="preserve"> Prologue, or: Narratives Matter!One might as well begin with the observation that narratives matter because they do very important cultural and political work.Narratives have always played a key role not only in politics but also in such different domains as the economy, education, law, and society at large.Therefore, the title of this essay should actually be "Narratives Matter," but since the format of the glossary suggests that it is more appropriate to add another word beginning with the letter "n" we decided to choose either the term narratology, i.e. the logic of narratives, or "narratologies" as the umbrella term for the great variety of approaches that have been developed for the study of narratives.We would like to hasten to add that cultures and narratives are closely intertwined, although the complex ways in which narratives shape cultures, just as much as cultures shape narratives, have not yet received as much attention as they deserve.While the developments of "narratology in the age of cross-disciplinary narrative research" (Heinen and Sommer 2009) include debates about the uses and abuses of contextualist approaches like historical, intercultural, and "postcolonial narratologies" as well as programmatic outlines of "cultural narratologies" (Nünning 2009), such approaches have neither been fully developed nor have they had much impact in the field of the study of</w:t>
      </w:r>
    </w:p>
    <w:p>
      <w:pPr/>
      <w:r>
        <w:rPr>
          <w:b/>
        </w:rPr>
        <w:t>POSSIBLE 2025:</w:t>
      </w:r>
      <w:r>
        <w:t xml:space="preserve"> What good is agroecology? Predominant narratives about agroecology in Africa — https://doi.org/10.1016/j.jrurstud.2025.103706</w:t>
      </w:r>
    </w:p>
    <w:p>
      <w:pPr/>
      <w:r>
        <w:rPr>
          <w:b/>
        </w:rPr>
        <w:t>Shared claim-specific concepts:</w:t>
      </w:r>
      <w:r>
        <w:t xml:space="preserve"> three, narratives, based, nine, key, interviews; EU scope not established. This is a provisional connection, not an outcome finding.</w:t>
      </w:r>
    </w:p>
    <w:p>
      <w:pPr>
        <w:pStyle w:val="SourceNote"/>
      </w:pPr>
      <w:r>
        <w:rPr>
          <w:b/>
        </w:rPr>
        <w:t>Available abstract (not full text):</w:t>
      </w:r>
      <w:r>
        <w:t xml:space="preserve"> Agroecology is still a marginal approach to agricultural development in Africa when compared to industrial approaches, despite growing evidence of its potential to address core challenges of food insecurity, poverty, and soil degradation. This paper investigates one possible explanation for this discrepancy: the discursive landscape of African agriculture. Taking inspiration from narrative analysis, we document stories about agroecology as told by key actors in the food system: farmers, pastoralists, NGO workers, extension officers, government officials, and researchers. Based on 208 interviews with key informants (KIs) across nine African case studies, we identified three distinct narratives: Agroecology is: 1) a tool in a toolbox 2) for poor farmers 3) the better path. In addition to these narratives, we report KIs' perceptions of two narrative components, namely their definition of agroecology and the key challenges affecting agriculture in their case study site. We use these problem framings to evaluate how logically agroecology fits as a solution in this story, and thus its discursive potential as an approach to agricultural development. We find that many respondents do not consider agroecology to be an effective or relevant solution to major food system challenges, or that they have a limited understanding of the full breadth of agroecology. We suggest that organizations </w:t>
      </w:r>
    </w:p>
    <w:p>
      <w:pPr/>
      <w:r>
        <w:rPr>
          <w:b/>
        </w:rPr>
        <w:t>POSSIBLE 2025:</w:t>
      </w:r>
      <w:r>
        <w:t xml:space="preserve"> Ketamine’s Therapeutic Role in Substance Use Disorders: A Narrative Review — https://doi.org/10.3390/neurosci6030083</w:t>
      </w:r>
    </w:p>
    <w:p>
      <w:pPr/>
      <w:r>
        <w:rPr>
          <w:b/>
        </w:rPr>
        <w:t>Shared claim-specific concepts:</w:t>
      </w:r>
      <w:r>
        <w:t xml:space="preserve"> three, nine, key, literature, review; EU scope not established. This is a provisional connection, not an outcome finding.</w:t>
      </w:r>
    </w:p>
    <w:p>
      <w:pPr>
        <w:pStyle w:val="SourceNote"/>
      </w:pPr>
      <w:r>
        <w:rPr>
          <w:b/>
        </w:rPr>
        <w:t>Available abstract (not full text):</w:t>
      </w:r>
      <w:r>
        <w:t xml:space="preserve"> Interest in ketamine as a novel treatment for substance use disorders (SUDs) has been increasing due to its N-methyl-D-aspartate (NMDA) glutamate receptor antagonism and mounting evidence that glutamate neurotransmission is involved in the pathogenesis of both depression and addictions. This narrative review provides an outline of clinical evidence reported in the literature from the 1970s to 2025 that examines the efficacy of ketamine for the treatment of SUDs, focusing primarily on randomized blinded controlled trials (RBCTs). Key cohort studies, retrospective studies, secondary analyses, case reports, and relevant basic neuroscience studies are reviewed to complement the more rigorous human controlled trial data. Thus far, ketamine has been tested in nine RBCTs targeting cocaine (three studies), alcohol (three studies), opioid use disorder (two studies), and nicotine (one study), suggesting efficacy for addiction in combination with psychotherapies, and often when doses produce subjectively reported mystical or psychedelic experiences. This review highlights promising preliminary evidence, and the need for more rigorous studies to elucidate the scope of drug addictions ketamine may target, its optimal dosing or route of administration, the importance of concurrent psychotherapies, professional supervision and safety monitoring, and which psychiatric comorbidities or contexts</w:t>
      </w:r>
    </w:p>
    <w:p>
      <w:pPr/>
      <w:r>
        <w:rPr>
          <w:b/>
        </w:rPr>
        <w:t>POSSIBLE 2025:</w:t>
      </w:r>
      <w:r>
        <w:t xml:space="preserve"> Narrative Reflexivity as Leaderful Practice — https://doi.org/10.1080/14697017.2025.2453132</w:t>
      </w:r>
    </w:p>
    <w:p>
      <w:pPr/>
      <w:r>
        <w:rPr>
          <w:b/>
        </w:rPr>
        <w:t>Shared claim-specific concepts:</w:t>
      </w:r>
      <w:r>
        <w:t xml:space="preserve"> three, narratives, literature; EU scope not established. This is a provisional connection, not an outcome finding.</w:t>
      </w:r>
    </w:p>
    <w:p>
      <w:pPr>
        <w:pStyle w:val="SourceNote"/>
      </w:pPr>
      <w:r>
        <w:rPr>
          <w:b/>
        </w:rPr>
        <w:t>Available abstract (not full text):</w:t>
      </w:r>
      <w:r>
        <w:t xml:space="preserve"> This paper reimagines leadership by proposing the practice of narrative reflexivity, where we interrogate the stories we tell ourselves and each other towards an ethical relationality. Using narrative reflexivity, we can deepen our understanding of emergent narrative phenomena in organizational life, where both stories and storytellers can act in leaderful ways. By engaging with collective narratives, we become more aware of hegemonic stories alongside marginalized stories as the practice introduces doubt, curiosity, pause and co-creative tension. We use vignettes from scholarly literature to illustrate how narrative reflexivity can emerge and operate at three levels of narrative activity: individual, group, and organizational. Within the leadership-as-practice movement that reconceptualizes leadership as an emergent and processual activity, narrative reflexivity opens the possibility of evaluating our stories, understanding others’ stories, and coproducing new stories for collective acting.MAD statementNarrative reflexivity is a critical practice in leadership whereby people interrogate stories. This practice activates an awareness of hegemonic stories alongside marginalized stories, introducing doubt, curiosity, pause and co-creative tension into the process of engaging with collective narratives. We use vignettes from scholarly literature to illustrate how narrative reflexiv</w:t>
      </w:r>
    </w:p>
    <w:p>
      <w:pPr/>
      <w:r>
        <w:rPr>
          <w:b/>
        </w:rPr>
        <w:t>POSSIBLE 2024:</w:t>
      </w:r>
      <w:r>
        <w:t xml:space="preserve"> Exploring the Narrative and Aesthetic Aspects of Huanglong Opera in Nong'an County Jilin Province China — https://doi.org/10.60027/ijsasr.2024.3930</w:t>
      </w:r>
    </w:p>
    <w:p>
      <w:pPr/>
      <w:r>
        <w:rPr>
          <w:b/>
        </w:rPr>
        <w:t>Shared claim-specific concepts:</w:t>
      </w:r>
      <w:r>
        <w:t xml:space="preserve"> three, narratives, key; EU scope not established. This is a provisional connection, not an outcome finding.</w:t>
      </w:r>
    </w:p>
    <w:p>
      <w:pPr>
        <w:pStyle w:val="SourceNote"/>
      </w:pPr>
      <w:r>
        <w:rPr>
          <w:b/>
        </w:rPr>
        <w:t>Available abstract (not full text):</w:t>
      </w:r>
      <w:r>
        <w:t xml:space="preserve"> Background and Aims: Huanglong Opera is a traditional Chinese opera form deeply rooted in the cultural tapestry of Nong'an County, Jilin Province, China. The objective of this study is to investigate the narrative and aesthetic aspects of Huanglong Opera in Nong'an County, Jilin Province, China. Materials and Methods: With a multidisciplinary approach drawing from sociology and anthropology. The research site, Nong'an County, was chosen for its historical significance in preserving and promoting this traditional art form. Three key informants played a pivotal role in providing insights into the narrative and aesthetic dimensions of Huanglong Opera. The research tools employed observation forms and interview forms to collect comprehensive data on these aspects, with meticulous data analysis to categorize and identify patterns in the observations. Result: The study unveiled historical storytelling, the delicate balance between authenticity and fiction, universal themes, character development, and cultural preservation embedded in Huanglong Opera's narratives. It also highlighted the musical composition, elaborate costumes and makeup, choreographic precision, stage design, and props that constitute the opera's captivating aesthetics. Conclusion: The study's findings underscore the cultural significance and enduring appeal of Huanglong Opera while suggesting avenues for its preserv</w:t>
      </w:r>
    </w:p>
    <w:p>
      <w:pPr/>
      <w:r>
        <w:rPr>
          <w:b/>
        </w:rPr>
        <w:t>POSSIBLE 2024:</w:t>
      </w:r>
      <w:r>
        <w:t xml:space="preserve"> Narrative inquiry in China — https://doi.org/10.3389/feduc.2023.1327421</w:t>
      </w:r>
    </w:p>
    <w:p>
      <w:pPr/>
      <w:r>
        <w:rPr>
          <w:b/>
        </w:rPr>
        <w:t>Shared claim-specific concepts:</w:t>
      </w:r>
      <w:r>
        <w:t xml:space="preserve"> elaborated, literature, review; EU scope not established. This is a provisional connection, not an outcome finding.</w:t>
      </w:r>
    </w:p>
    <w:p>
      <w:pPr>
        <w:pStyle w:val="SourceNote"/>
      </w:pPr>
      <w:r>
        <w:rPr>
          <w:b/>
        </w:rPr>
        <w:t>Available abstract (not full text):</w:t>
      </w:r>
      <w:r>
        <w:t xml:space="preserve"> Narrative inquiry has been widely used in different disciplines around the world. In this article, we focus on narrative inquiry in China where we start by retelling our first close contact with narrative researchers in China in 2007 when Professor Gang Ding at East China Normal University invited leading Chinese researchers to a three-day narrative inquiry workshop co-planned with us (Connelly and Xu). Second, we review narrative studies published in Chinese to demonstrate how widely narrative inquiry has been adopted in educational studies in the country in the past two decades by Chinese university researchers, graduate students, and schoolteachers. Next, our review of English literature of narrative studies related to education in China has two important components: English literature on narrative inquiry contextualized in China and narrative inquiry for reciprocal learning in teacher education and school education between Canada and China. Both reveal how narrative inquiry has contributed to international cross-cultural educational studies related to Chinese contexts. Finally, in the “Discussion” section, we provide our interpretation of some current dialogs on narrative inquiry among Chinese educational researchers; for example, the differences between yanjiu 研究 (research) and tanjiu 探究 (inquiry). Some heated discussions surrounding narrative inquiry in China are also hig</w:t>
      </w:r>
    </w:p>
    <w:p>
      <w:pPr/>
      <w:r>
        <w:rPr>
          <w:b/>
        </w:rPr>
        <w:t>POSSIBLE 2023:</w:t>
      </w:r>
      <w:r>
        <w:t xml:space="preserve"> Elaborating, sharing, narrating: a narrative analysis of three approaches to health communication — https://doi.org/10.1590/interface.230172</w:t>
      </w:r>
    </w:p>
    <w:p>
      <w:pPr/>
      <w:r>
        <w:rPr>
          <w:b/>
        </w:rPr>
        <w:t>Shared claim-specific concepts:</w:t>
      </w:r>
      <w:r>
        <w:t xml:space="preserve"> three, key, literature; EU scope not established. This is a provisional connection, not an outcome finding.</w:t>
      </w:r>
    </w:p>
    <w:p>
      <w:pPr>
        <w:pStyle w:val="SourceNote"/>
      </w:pPr>
      <w:r>
        <w:rPr>
          <w:b/>
        </w:rPr>
        <w:t>Available abstract (not full text):</w:t>
      </w:r>
      <w:r>
        <w:t xml:space="preserve"> Abstract Communication, despite being considered a key aspect in medical practice, has not received the corresponding attention both on literature and medical training as has the technological and biomedical aspects. As a reaction to this context emerged fields of knowledge proposing to reflect and strengthen aspects of communication between the physician and the patient. In this article, we perform a narrative analysis of the literature of three of such approaches to communication in health: the Balint Groups, the Patient Centered Care and Narrative-Based Medicine. The study highlights the approximations and distances between these approaches, along with the recognition of the potency of each of them in the different contexts of medical practice.</w:t>
      </w:r>
    </w:p>
    <w:p>
      <w:pPr/>
      <w:r>
        <w:rPr>
          <w:b/>
        </w:rPr>
        <w:t>POSSIBLE 2023:</w:t>
      </w:r>
      <w:r>
        <w:t xml:space="preserve"> Elaborating, sharing, narrating: a narrative analysis of three approaches to health communication — https://doi.org/10.6084/m9.figshare.23584934</w:t>
      </w:r>
    </w:p>
    <w:p>
      <w:pPr/>
      <w:r>
        <w:rPr>
          <w:b/>
        </w:rPr>
        <w:t>Shared claim-specific concepts:</w:t>
      </w:r>
      <w:r>
        <w:t xml:space="preserve"> three, key, literature; EU scope not established. This is a provisional connection, not an outcome finding.</w:t>
      </w:r>
    </w:p>
    <w:p>
      <w:pPr>
        <w:pStyle w:val="SourceNote"/>
      </w:pPr>
      <w:r>
        <w:rPr>
          <w:b/>
        </w:rPr>
        <w:t>Available abstract (not full text):</w:t>
      </w:r>
      <w:r>
        <w:t xml:space="preserve"> Abstract Communication, despite being considered a key aspect in medical practice, has not received the corresponding attention both on literature and medical training as has the technological and biomedical aspects. As a reaction to this context emerged fields of knowledge proposing to reflect and strengthen aspects of communication between the physician and the patient. In this article, we perform a narrative analysis of the literature of three of such approaches to communication in health: the Balint Groups, the Patient Centered Care and Narrative-Based Medicine. The study highlights the approximations and distances between these approaches, along with the recognition of the potency of each of them in the different contexts of medical practice.</w:t>
      </w:r>
    </w:p>
    <w:p>
      <w:pPr/>
      <w:r>
        <w:rPr>
          <w:b/>
        </w:rPr>
        <w:t>POSSIBLE 2023:</w:t>
      </w:r>
      <w:r>
        <w:t xml:space="preserve"> Narrative therapy with children: A qualitative interview study with Danish therapists about the application of narrative practices — https://doi.org/10.1002/capr.12656</w:t>
      </w:r>
    </w:p>
    <w:p>
      <w:pPr/>
      <w:r>
        <w:rPr>
          <w:b/>
        </w:rPr>
        <w:t>Shared claim-specific concepts:</w:t>
      </w:r>
      <w:r>
        <w:t xml:space="preserve"> three, nine, key, interviews; EU scope not established. This is a provisional connection, not an outcome finding.</w:t>
      </w:r>
    </w:p>
    <w:p>
      <w:pPr>
        <w:pStyle w:val="SourceNote"/>
      </w:pPr>
      <w:r>
        <w:rPr>
          <w:b/>
        </w:rPr>
        <w:t>Available abstract (not full text):</w:t>
      </w:r>
      <w:r>
        <w:t xml:space="preserve"> Abstract Purpose Therapists' insights into practising narrative therapy (NT) with children can elucidate the strengths and challenges associated with this practice. Aim The aim of this study was to investigate how therapists experience the application of NT with children. Method Nine Danish narrative therapists working with children participated in semi‐structured qualitative interviews. The data were analysed using Braun and Clarke's thematic analysis. Results Three overall themes were identified; “you have to be crazy about children,” “practised ethics” and “practical challenges.” Two subthemes were generated: “acting is the key” and “the importance of the system surrounding the child.” Conclusion The narrative therapists experienced NT as applicable for children due to its potential to facilitate a safe place that integrates the child's current stage of development. NT does not serve to “fit” the child but should be perceived as a practised ethic. Therapists accentuated challenges working with NT, specifically related to outsider‐witnessing and staying in a decentred position. The results are discussed regarding their contribution to the evolvement of the narrative therapy profession and to the training and supervision of novice practitioners.</w:t>
      </w:r>
    </w:p>
    <w:p>
      <w:pPr/>
      <w:r>
        <w:rPr>
          <w:b/>
        </w:rPr>
        <w:t>POSSIBLE 2023:</w:t>
      </w:r>
      <w:r>
        <w:t xml:space="preserve"> Narrative Factuality: A Handbook — https://doi.org/10.1215/03335372-10578555</w:t>
      </w:r>
    </w:p>
    <w:p>
      <w:pPr/>
      <w:r>
        <w:rPr>
          <w:b/>
        </w:rPr>
        <w:t>Shared claim-specific concepts:</w:t>
      </w:r>
      <w:r>
        <w:t xml:space="preserve"> three, narratives, key, literature, review; EU scope not established. This is a provisional connection, not an outcome finding.</w:t>
      </w:r>
    </w:p>
    <w:p>
      <w:pPr>
        <w:pStyle w:val="SourceNote"/>
      </w:pPr>
      <w:r>
        <w:rPr>
          <w:b/>
        </w:rPr>
        <w:t>Available abstract (not full text):</w:t>
      </w:r>
      <w:r>
        <w:t xml:space="preserve"> This handbook is the result of an ambitious, interdisciplinary, and pioneering project, in that it not only opens new horizons for the study of the wide field of factual narratives across disciplines and various media, but it also charts important new trajectories for narrative theory at large. Although narratology has branched out in many interesting and new ways during the past two decades or so, it has traditionally been mainly concerned with literary or narrative fiction rather than with manifestations of narrative in nonfictional domains such as historiography, law, medicine, politics, or sociology. While various domains, forms, and functions of factual or reality-focused narratives have recently received some attention, most notably in a volume entitled Wirklichkeitserzählungen (edited by the German narrative theorists Christian Klein and Matías Martinez in 2009), the wide range of uses of narratives to convey facts and true information have still not been studied as comprehensively and systematically as literary narratives, and as they no doubt deserve to be.Although the present volume was originally conceived of as a “reference work for the PhD students of the graduate school” entitled “Factual and Fictional Narration” (which is situated at the University of Freiburg, from which this project originates), the aims and scope of this handbook are so broad that it can indee</w:t>
      </w:r>
    </w:p>
    <w:p>
      <w:pPr/>
      <w:r>
        <w:rPr>
          <w:b/>
        </w:rPr>
        <w:t>POSSIBLE 2022:</w:t>
      </w:r>
      <w:r>
        <w:t xml:space="preserve"> FRAMING AND NARRATIVES AS ASSISTANTS IN ADVANCING A SCIENCE-ORIENTED MINDSET. THE EXAMPLE OF THE POLICE IN THE BALTICS — https://doi.org/10.17770/acj.v1i93.6492</w:t>
      </w:r>
    </w:p>
    <w:p>
      <w:pPr/>
      <w:r>
        <w:rPr>
          <w:b/>
        </w:rPr>
        <w:t>Shared claim-specific concepts:</w:t>
      </w:r>
      <w:r>
        <w:t xml:space="preserve"> three, narratives, key, factors; EU scope not established. This is a provisional connection, not an outcome finding.</w:t>
      </w:r>
    </w:p>
    <w:p>
      <w:pPr>
        <w:pStyle w:val="SourceNote"/>
      </w:pPr>
      <w:r>
        <w:rPr>
          <w:b/>
        </w:rPr>
        <w:t>Available abstract (not full text):</w:t>
      </w:r>
      <w:r>
        <w:t xml:space="preserve"> Country-specific knowledge offered by police science is a necessary precondition for successful policing. However, cursory data on police science in the Baltic countries raises many questions about the real use of scientific knowledge opportunities in these countries.The paper elaborates on a framework to advance a science-oriented mindset in the police. Principles of narratives and framing were used to overcome a possible conflict between scientists and practitioners, and bridge all the parties related to policing. In this framework, scientists should take the lead. External, internal, and strategic factors, as Alisson’s three key management functions, were used to specify factors of the framework in the research. The framing process that holds a focusing function allows the use of discovered narratives and presents a variety of possible future directions. Creating a metanarrative with beginning, middle, and end grasps all the agents and ties into future developments.</w:t>
      </w:r>
    </w:p>
    <w:p>
      <w:pPr/>
      <w:r>
        <w:rPr>
          <w:b/>
        </w:rPr>
        <w:t>POSSIBLE 2022:</w:t>
      </w:r>
      <w:r>
        <w:t xml:space="preserve"> For a narrative hospital : a training model to narrative medicine at the hospital — https://openalex.org/W4399152333</w:t>
      </w:r>
    </w:p>
    <w:p>
      <w:pPr/>
      <w:r>
        <w:rPr>
          <w:b/>
        </w:rPr>
        <w:t>Shared claim-specific concepts:</w:t>
      </w:r>
      <w:r>
        <w:t xml:space="preserve"> three, narratives, elaborated, based; EU scope not established. This is a provisional connection, not an outcome finding.</w:t>
      </w:r>
    </w:p>
    <w:p>
      <w:pPr>
        <w:pStyle w:val="SourceNote"/>
      </w:pPr>
      <w:r>
        <w:rPr>
          <w:b/>
        </w:rPr>
        <w:t>Available abstract (not full text):</w:t>
      </w:r>
      <w:r>
        <w:t xml:space="preserve"> Today, the Narrative Medicine training of health providers has three main challenges. How to overcome the limitations of individual training? How to promote the spread of Narrative Medicine? How to build narrative environments? This dissertation provides theoretical and pragmatic answers by considering the Narrative Medicine training that we have been carrying out at the Centre Hospitalier Intercommunal de Créteil (CHIC) since 2019.At first, we explain the methodology of this project based on the principles and practice of Narrative Medicine, as Rita Charon has elaborated them at Columbia University. At the CHIC, five interprofessional groups attend a two-hour Narrative Medicine workshop once a month: they read, write, and share texts and narratives of different nature (literary, clinical, artistic, and musical). At least, a «literary consultant» and a health professional provide the facilitation.In the light of experience, we developed an innovative three-phase model (Basic Workshops, Creative Workshops, Cofacilitated Workshops), and we describe it broadly. Our goal is to offer a training device that can be transferable and adaptable to other hospitals.Using an approach based on the dialogical research, as established by Arthur Frank, we provide feedback from participants to evaluate the effects of this training on professional wellbeing, narrative competence, and institutiona</w:t>
      </w:r>
    </w:p>
    <w:p>
      <w:pPr>
        <w:pStyle w:val="Heading2"/>
      </w:pPr>
      <w:r>
        <w:t>722. Policy-based Population Projections for the European Union: A Complementary Approach</w:t>
      </w:r>
    </w:p>
    <w:p>
      <w:pPr>
        <w:pStyle w:val="SourceNote"/>
      </w:pPr>
      <w:r>
        <w:rPr>
          <w:b/>
        </w:rPr>
        <w:t>Original source (2019):</w:t>
      </w:r>
      <w:r>
        <w:t xml:space="preserve"> https://doi.org/10.12765/cpos-2019-14</w:t>
      </w:r>
    </w:p>
    <w:p>
      <w:pPr/>
      <w:r>
        <w:t>Original wording (abstract; indexed_source_text_not_full_document_verified): We present new population projections out to 2100 for the countries of the European Union and for the EU as a whole under a wide range of fertility and migration scenarios. We show that demographic policies have the potential to markedly increase or decrease future populations across the EU.</w:t>
      </w:r>
    </w:p>
    <w:p>
      <w:pPr/>
      <w:r>
        <w:rPr>
          <w:b/>
        </w:rPr>
        <w:t>POSSIBLE 2026:</w:t>
      </w:r>
      <w:r>
        <w:t xml:space="preserve"> Old wine in new bottles: A pan-European regional dataset of population and GDP since 1960 — https://doi.org/10.7163/gpol.0330</w:t>
      </w:r>
    </w:p>
    <w:p>
      <w:pPr/>
      <w:r>
        <w:rPr>
          <w:b/>
        </w:rPr>
        <w:t>Shared claim-specific concepts:</w:t>
      </w:r>
      <w:r>
        <w:t xml:space="preserve"> population, union, demographic, across; EU scope visible. This is a provisional connection, not an outcome finding.</w:t>
      </w:r>
    </w:p>
    <w:p>
      <w:pPr>
        <w:pStyle w:val="SourceNote"/>
      </w:pPr>
      <w:r>
        <w:rPr>
          <w:b/>
        </w:rPr>
        <w:t>Available abstract (not full text):</w:t>
      </w:r>
      <w:r>
        <w:t xml:space="preserve"> This article presents a harmonised procedural framework for constructing a new open-access pan-European regional database covering population, GDP, and derived GDP per capita for 1546 regions over the period 1960-2021; the empirical illustrations presented in the article cover the period 1960-2020. The resulting resource is distributed in three supplementary Excel workbooks, one for each variable. Drawing on national and regional sources, including the Maddison Project Database as the main GDP anchor, ARDECO, the Rosés–Wolf regional GDP database, database.earth, and country-specific sources, it provides continuous annual timeseries coverage and broad cross-country comparability. Its main contribution lies in combining pan-European spatial coverage, a six-decade temporal span, and the systematic harmonisation of heterogeneous national and regional data sources. The resource enables analyses of regional income convergence, spatial dynamics, and long-term demographic and economic polarisation across Europe. By extending beyond the European Union, it fills major spatial and temporal gaps in existing resources and creates new opportunities for spatial economic and regional research.</w:t>
      </w:r>
    </w:p>
    <w:p>
      <w:pPr/>
      <w:r>
        <w:rPr>
          <w:b/>
        </w:rPr>
        <w:t>POSSIBLE 2026:</w:t>
      </w:r>
      <w:r>
        <w:t xml:space="preserve"> Engagement in early childhood education: A systematic review of Gypsy, Roma and Traveller populations in Europe — https://doi.org/10.1002/rev3.70180</w:t>
      </w:r>
    </w:p>
    <w:p>
      <w:pPr/>
      <w:r>
        <w:rPr>
          <w:b/>
        </w:rPr>
        <w:t>Shared claim-specific concepts:</w:t>
      </w:r>
      <w:r>
        <w:t xml:space="preserve"> present, population, potential, populations, across; EU scope visible. This is a provisional connection, not an outcome finding.</w:t>
      </w:r>
    </w:p>
    <w:p>
      <w:pPr>
        <w:pStyle w:val="SourceNote"/>
      </w:pPr>
      <w:r>
        <w:rPr>
          <w:b/>
        </w:rPr>
        <w:t>Available abstract (not full text):</w:t>
      </w:r>
      <w:r>
        <w:t xml:space="preserve"> Abstract This systematic review focuses on engagement in early childhood education (ECE) within Gypsy, Roma and Traveller (GRT) communities. ECE increases lifelong educational success rates along with narrowing poverty and equity gaps. Yet the GRT participation rate in ECE is nearly half that of the majority mainstream population. In an effort to understand the underlying barriers and facilitators of engagement in ECE among GRT populations, two search methods were employed: a search of the academic databases and a grey literature search using a defined and informed search strategy (PRISMA). We included studies that were ECE focused and included GRT individuals from the continent of Europe and surrounding islands. All articles in this review were to be published in English and informed by PRISMA guidelines. Five identified qualitative articles were assessed for quality and underwent data extraction. Data were analysed using Thematic Synthesis through NVivo12. Results identified themes that included: first, external barriers, for example, financial means and prejudice. Second, internal barriers such as negative parent ideals and culture. Third, external facilitators, for example, school support, teacher support and parent participation. Last, internal facilitators such as parent motivation along with parent and educator hopes and experiences. This review has the potential to info</w:t>
      </w:r>
    </w:p>
    <w:p>
      <w:pPr/>
      <w:r>
        <w:rPr>
          <w:b/>
        </w:rPr>
        <w:t>POSSIBLE 2025:</w:t>
      </w:r>
      <w:r>
        <w:t xml:space="preserve"> A New Approach to Understanding Population Change in Central and Eastern Europe — https://doi.org/10.1111/padr.70029</w:t>
      </w:r>
    </w:p>
    <w:p>
      <w:pPr/>
      <w:r>
        <w:rPr>
          <w:b/>
        </w:rPr>
        <w:t>Shared claim-specific concepts:</w:t>
      </w:r>
      <w:r>
        <w:t xml:space="preserve"> population, countries, fertility, migration, across; EU scope visible. This is a provisional connection, not an outcome finding.</w:t>
      </w:r>
    </w:p>
    <w:p>
      <w:pPr>
        <w:pStyle w:val="SourceNote"/>
      </w:pPr>
      <w:r>
        <w:rPr>
          <w:b/>
        </w:rPr>
        <w:t>Available abstract (not full text):</w:t>
      </w:r>
      <w:r>
        <w:t xml:space="preserve"> Abstract This study introduces a novel approach to decomposing population change by identifying the separate contributions of fertility, mortality, net migration, and initial age structure using a stationary population model. The strength of this scenario‐based decomposition method lies in the additivity of the results: the contributions of these factors, along with the interaction effect, sum to equal the total population change. In addition, identifying the direct impact of initial age structure on population change offers new insights into the drivers of population dynamics. Central and Eastern Europe (CEE) was one of the regions hit most by population decline between 1990 and 2020; however, it was marked by significant variation across countries. By decomposing population change, we found that the positive impact of the relatively young initial age structure in the CEE region was as large as the population‐reducing effect of negative net migration, while the positive impact of mortality improvement offset one‐third of the population‐reducing effect of low fertility. On the other hand, the initial age structure had a crucial role in explaining differences in country‐level population change during the study period.</w:t>
      </w:r>
    </w:p>
    <w:p>
      <w:pPr/>
      <w:r>
        <w:rPr>
          <w:b/>
        </w:rPr>
        <w:t>POSSIBLE 2024:</w:t>
      </w:r>
      <w:r>
        <w:t xml:space="preserve"> Population Genetics and Invasion History of the European Starling Across Aotearoa New Zealand — https://doi.org/10.1111/mec.17579</w:t>
      </w:r>
    </w:p>
    <w:p>
      <w:pPr/>
      <w:r>
        <w:rPr>
          <w:b/>
        </w:rPr>
        <w:t>Shared claim-specific concepts:</w:t>
      </w:r>
      <w:r>
        <w:t xml:space="preserve"> present, population, countries, range, demographic, across; EU scope visible. This is a provisional connection, not an outcome finding.</w:t>
      </w:r>
    </w:p>
    <w:p>
      <w:pPr>
        <w:pStyle w:val="SourceNote"/>
      </w:pPr>
      <w:r>
        <w:rPr>
          <w:b/>
        </w:rPr>
        <w:t>Available abstract (not full text):</w:t>
      </w:r>
      <w:r>
        <w:t xml:space="preserve"> The expansion of human settlements over the past few centuries is responsible for an unprecedented number of invasive species introductions globally. An important component of biological invasion management is understanding how introduction history and postintroduction processes have jointly shaped present-day distributions and patterns of population structure, diversity and adaptation. One example of a successful invader is the European starling (Sturnus vulgaris), which was intentionally introduced to numerous countries in the 19th century, including Aotearoa New Zealand, where it has become firmly established. We used reduced representation sequencing to characterise the genetic population structure of the European starling in New Zealand, comparing it to that present in sampling locations in the native range and invasive Australian range. The population structure and genetic diversity patterns we found suggested restricted gene flow from the majority of New Zealand to the northmost sampling location (Auckland). We also profiled genetic bottlenecks and shared outlier genomic regions, which supported historical accounts of translocations between both Australian subpopulations and New Zealand, and provided evidence of which documented translocation events were more likely to have been successful. Using these results as well as historic demographic patterns, we demonstrate how </w:t>
      </w:r>
    </w:p>
    <w:p>
      <w:pPr/>
      <w:r>
        <w:rPr>
          <w:b/>
        </w:rPr>
        <w:t>POSSIBLE 2024:</w:t>
      </w:r>
      <w:r>
        <w:t xml:space="preserve"> Population exposure to multiple air pollutants and its compound episodes in Europe — https://doi.org/10.1038/s41467-024-46103-3</w:t>
      </w:r>
    </w:p>
    <w:p>
      <w:pPr/>
      <w:r>
        <w:rPr>
          <w:b/>
        </w:rPr>
        <w:t>Shared claim-specific concepts:</w:t>
      </w:r>
      <w:r>
        <w:t xml:space="preserve"> population, countries, increase, across; EU scope visible. This is a provisional connection, not an outcome finding.</w:t>
      </w:r>
    </w:p>
    <w:p>
      <w:pPr>
        <w:pStyle w:val="SourceNote"/>
      </w:pPr>
      <w:r>
        <w:rPr>
          <w:b/>
        </w:rPr>
        <w:t>Available abstract (not full text):</w:t>
      </w:r>
      <w:r>
        <w:t xml:space="preserve"> Abstract Air pollution remains as a substantial health problem, particularly regarding the combined health risks arising from simultaneous exposure to multiple air pollutants. However, understanding these combined exposure events over long periods has been hindered by sparse and temporally inconsistent monitoring data. Here we analyze daily ambient PM 2.5 , PM 10 , NO 2 and O 3 concentrations at a 0.1-degree resolution during 2003–2019 across 1426 contiguous regions in 35 European countries, representing 543 million people. We find that PM10 levels decline by 2.72% annually, followed by NO 2 (2.45%) and PM 2.5 (1.72%). In contrast, O 3 increase by 0.58% in southern Europe, leading to a surge in unclean air days. Despite air quality advances, 86.3% of Europeans experience at least one compound event day per year, especially for PM 2.5 -NO 2 and PM 2.5 -O 3 . We highlight the improvements in air quality control but emphasize the need for targeted measures addressing specific pollutants and their compound events, particularly amidst rising temperatures.</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out, countries, union;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NEW PARADIGM OF THE VOCATIONAL EDUCATIONAL DEVELOPMENT IN EUROPEAN UNION COUNTRIES — https://doi.org/10.30525/978-9934-26-310-1-11</w:t>
      </w:r>
    </w:p>
    <w:p>
      <w:pPr/>
      <w:r>
        <w:rPr>
          <w:b/>
        </w:rPr>
        <w:t>Shared claim-specific concepts:</w:t>
      </w:r>
      <w:r>
        <w:t xml:space="preserve"> out, countries, union; EU scope visible. This is a provisional connection, not an outcome finding.</w:t>
      </w:r>
    </w:p>
    <w:p>
      <w:pPr>
        <w:pStyle w:val="SourceNote"/>
      </w:pPr>
      <w:r>
        <w:rPr>
          <w:b/>
        </w:rPr>
        <w:t>Available abstract (not full text):</w:t>
      </w:r>
      <w:r>
        <w:t xml:space="preserve"> The basic concepts and legal principles of the formation and implementation of a new paradigm of the educational policy of the European Union are presented. It outlines strategic guidelines for the development and modernization of vocational education due to the main challenges of modern civilization. The principles of implementation are defined and the directions of development of continuous vocational education are characterized. The purpose of the paper is to identify and substantiate system-wide trends in the development of vocational education in the European Union in the context of the implementation of the lifelong education strategy. The article shows the specifics of the organization of continuous education in European countries that are currently leaders in this field and the problems that arise in the way of the implementation of the lifelong education strategy. Determination of mechanisms for regulating continuous education and substantiation of laws that determine the current processes of development of continuous vocational education within the framework of European integration. Methodology of the study is based on the use of a set of methods determined by the peculiarity of the research problem: analysis of domestic and foreign scientific literature, synthesis, systematization, generalization, abstraction, and the interpretative-analytical method, which are used </w:t>
      </w:r>
    </w:p>
    <w:p>
      <w:pPr/>
      <w:r>
        <w:rPr>
          <w:b/>
        </w:rPr>
        <w:t>POSSIBLE 2023:</w:t>
      </w:r>
      <w:r>
        <w:t xml:space="preserve"> Cytogeography of Naturalized Solidago canadensis Populations in Europe — https://doi.org/10.3390/plants12051113</w:t>
      </w:r>
    </w:p>
    <w:p>
      <w:pPr/>
      <w:r>
        <w:rPr>
          <w:b/>
        </w:rPr>
        <w:t>Shared claim-specific concepts:</w:t>
      </w:r>
      <w:r>
        <w:t xml:space="preserve"> range, populations; EU scope visible. This is a provisional connection, not an outcome finding.</w:t>
      </w:r>
    </w:p>
    <w:p>
      <w:pPr>
        <w:pStyle w:val="SourceNote"/>
      </w:pPr>
      <w:r>
        <w:rPr>
          <w:b/>
        </w:rPr>
        <w:t>Available abstract (not full text):</w:t>
      </w:r>
      <w:r>
        <w:t xml:space="preserve"> Autopolyploidization has driven the successful invasion of Solidago canadensis in East Asia. However, it was believed that only diploid S. canadensis invaded Europe, whereas polyploids never did. Here, molecular identification, ploidy level, and morphological traits of ten S. canadensis populations collected in Europe were compared with previously identified S. canadensis populations from other continents and S. altissima populations. Furthermore, the ploidy-driven geographical differentiation pattern of S. canadensis in different continents was investigated. All ten European populations were identified as S. canadensis with five diploid and five hexaploid populations. Significant differences in morphological traits existed among diploids and polyploids (tetraploids and hexaploids), rather than between polyploids from different introduced ranges and between S. altissima and polyploidy S. canadensis. The invasive hexaploids and diploids had few differences in latitudinal distributions in Europe, which was similar to the native range but different from a distinct climate-niche differentiation in Asia. This may be attributed to the bigger difference in climate between Asia and Europe and North America. The morphological and molecular evidences proved the invasion of polyploid S. canadensis in Europe and suggest that S. altissima may be merged into a complex of S. canadensis specie</w:t>
      </w:r>
    </w:p>
    <w:p>
      <w:pPr/>
      <w:r>
        <w:rPr>
          <w:b/>
        </w:rPr>
        <w:t>POSSIBLE 2023:</w:t>
      </w:r>
      <w:r>
        <w:t xml:space="preserve"> Farmland practices are driving bird population decline across Europe — https://doi.org/10.1073/pnas.2216573120</w:t>
      </w:r>
    </w:p>
    <w:p>
      <w:pPr/>
      <w:r>
        <w:rPr>
          <w:b/>
        </w:rPr>
        <w:t>Shared claim-specific concepts:</w:t>
      </w:r>
      <w:r>
        <w:t xml:space="preserve"> population, countries, populations, across;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The Quality of Life of the European Population: SHARE Data-based Analysis — https://doi.org/10.17713/ajs.v52i1.1101</w:t>
      </w:r>
    </w:p>
    <w:p>
      <w:pPr/>
      <w:r>
        <w:rPr>
          <w:b/>
        </w:rPr>
        <w:t>Shared claim-specific concepts:</w:t>
      </w:r>
      <w:r>
        <w:t xml:space="preserve"> present, population, countries, whole; EU scope visible. This is a provisional connection, not an outcome finding.</w:t>
      </w:r>
    </w:p>
    <w:p>
      <w:pPr>
        <w:pStyle w:val="SourceNote"/>
      </w:pPr>
      <w:r>
        <w:rPr>
          <w:b/>
        </w:rPr>
        <w:t>Available abstract (not full text):</w:t>
      </w:r>
      <w:r>
        <w:t xml:space="preserve"> The quality of life, well-being and deprivation are significant factors affecting the ageing European population. The fifth (2013) wave of the Survey of Health, Ageing and Retirement in Europe (SHARE) covers the two indices of (material and social) deprivation along with various life quality and satisfaction indicators measuring (subjective and objective) well-being. Using the SHARE data, the present paper examines the 50+ population in 13 EU member states and Switzerland, emphasizing the relationships between distinctive characteristics. The gender gap is quantified for both the whole sample and particular age groups. Statistical comparisons between old and new EU countries are limited since only three of the latter (Estonia, Slovenia and the Czech Republic) took part in the 2013 SHARE survey.</w:t>
      </w:r>
    </w:p>
    <w:p>
      <w:pPr/>
      <w:r>
        <w:rPr>
          <w:b/>
        </w:rPr>
        <w:t>POSSIBLE 2023:</w:t>
      </w:r>
      <w:r>
        <w:t xml:space="preserve"> Functional Morphology as an Indicator of European Eel Population Status — https://doi.org/10.3390/d15121223</w:t>
      </w:r>
    </w:p>
    <w:p>
      <w:pPr/>
      <w:r>
        <w:rPr>
          <w:b/>
        </w:rPr>
        <w:t>Shared claim-specific concepts:</w:t>
      </w:r>
      <w:r>
        <w:t xml:space="preserve"> present, population, migration, populations, across; EU scope visible. This is a provisional connection, not an outcome finding.</w:t>
      </w:r>
    </w:p>
    <w:p>
      <w:pPr>
        <w:pStyle w:val="SourceNote"/>
      </w:pPr>
      <w:r>
        <w:rPr>
          <w:b/>
        </w:rPr>
        <w:t>Available abstract (not full text):</w:t>
      </w:r>
      <w:r>
        <w:t xml:space="preserve"> In the area of the Neretva delta in the eastern Adriatic, where the European eel, Anguilla anguilla (Linnaeus, 1758) has been traditionally fished for centuries, a decline in its population has been observed, as in most of Europe. Despite several studies, systematic monitoring was not performed, and the causes of population decline are attributed to anthropogenic stressors, mainly overfishing and interventions that disrupt the migration. With the stock at a low level, there is a need for a detailed assessment of biological data and the determination of the “zero state” of the eel population in the areas where monitoring was not previously performed, such as the Neretva delta. This data would serve as a basis for the development of an appropriate monitoring and eel management plan. One of the under-researched aspects is still the eel’s morphology, which is closely related to all basic life functions. The aim of this work was to analyze in detail the morphological parameters of yellow and silver eels from the mouth of the Neretva River in different seasons and the relationships between the measured morphometric parameters and physiological indicators and to compare them with previously published results for different life stages across Europe. The samples were collected during spring, summer and autumn of 2021, and winter of 2022. Yellow eels were present in the catch throughout </w:t>
      </w:r>
    </w:p>
    <w:p>
      <w:pPr/>
      <w:r>
        <w:rPr>
          <w:b/>
        </w:rPr>
        <w:t>POSSIBLE 2022:</w:t>
      </w:r>
      <w:r>
        <w:t xml:space="preserve"> Prevalence of most common skin diseases in Europe: a population‐based study — https://doi.org/10.1111/jdv.18050</w:t>
      </w:r>
    </w:p>
    <w:p>
      <w:pPr/>
      <w:r>
        <w:rPr>
          <w:b/>
        </w:rPr>
        <w:t>Shared claim-specific concepts:</w:t>
      </w:r>
      <w:r>
        <w:t xml:space="preserve"> population, countries, policies, across; EU scope visible. This is a provisional connection, not an outcome finding.</w:t>
      </w:r>
    </w:p>
    <w:p>
      <w:pPr>
        <w:pStyle w:val="SourceNote"/>
      </w:pPr>
      <w:r>
        <w:rPr>
          <w:b/>
        </w:rPr>
        <w:t>Available abstract (not full text):</w:t>
      </w:r>
      <w:r>
        <w:t xml:space="preserve"> BACKGROUND: The assessment of the prevalence of diseases is of primary importance in planning health policies. No complete data on the prevalence of skin diseases across European countries are available. OBJECTIVE: To estimate the prevalence of the most frequent skin conditions or diseases in 27 European countries (24 EU countries, plus Norway, Switzerland, and the United Kingdom). METHODS: We conducted a population-based study on representative and extrapolable samples of the general population aged 18 years or more in each of the 27 countries surveyed. Participants were selected using stratified, proportional sampling with a replacement design. Data were collected using a web-based online survey. All participants were asked to fill in a questionnaire with sociodemographic data and to declare if they have had one or more skin conditions or diseases during the previous 12 months. RESULTS: A total of 44 689 participants from 27 countries responded to the questionnaire, 21 887 (48.98%) men and 22 802 (51.02%) women. The proportion of participants who reported having suffered from at least one dermatological condition or disease during the previous 12 months was 43.35% (95% CI: 42.89%, 43.81%). The projection in the total population of the 27 countries included in the study resulted in 185 103 774 individuals affected by at least one dermatological condition or disease. Accordingl</w:t>
      </w:r>
    </w:p>
    <w:p>
      <w:pPr>
        <w:pStyle w:val="Heading2"/>
      </w:pPr>
      <w:r>
        <w:t>723. Population Projection Revisions and Their Impact on Economic Growth – The Case of Malta</w:t>
      </w:r>
    </w:p>
    <w:p>
      <w:pPr>
        <w:pStyle w:val="SourceNote"/>
      </w:pPr>
      <w:r>
        <w:rPr>
          <w:b/>
        </w:rPr>
        <w:t>Original source (2019):</w:t>
      </w:r>
      <w:r>
        <w:t xml:space="preserve"> https://doi.org/10.5296/rae.v11i3.15285</w:t>
      </w:r>
    </w:p>
    <w:p>
      <w:pPr/>
      <w:r>
        <w:t>Original wording (abstract; indexed_source_text_not_full_document_verified): Typically, in short-term economic forecasts, population projections, and their related impact on the availability of labour, tend to be the most stable component. Using the standard production function approach to estimate potential output growth, these revisions change very substantially expectations of economic expansion.</w:t>
      </w:r>
    </w:p>
    <w:p>
      <w:pPr/>
      <w:r>
        <w:rPr>
          <w:b/>
        </w:rPr>
        <w:t>POSSIBLE 2026:</w:t>
      </w:r>
      <w:r>
        <w:t xml:space="preserve"> Economic Burden of Physical Inactivity in Europe — https://doi.org/10.71125/sporteconres.25</w:t>
      </w:r>
    </w:p>
    <w:p>
      <w:pPr/>
      <w:r>
        <w:rPr>
          <w:b/>
        </w:rPr>
        <w:t>Shared claim-specific concepts:</w:t>
      </w:r>
      <w:r>
        <w:t xml:space="preserve"> population; EU scope visible. This is a provisional connection, not an outcome finding.</w:t>
      </w:r>
    </w:p>
    <w:p>
      <w:pPr>
        <w:pStyle w:val="SourceNote"/>
      </w:pPr>
      <w:r>
        <w:rPr>
          <w:b/>
        </w:rPr>
        <w:t>Available abstract (not full text):</w:t>
      </w:r>
      <w:r>
        <w:t xml:space="preserve"> Physical inactivity (PI) is a well-established risk factor for the development of several diseases and represents a major public health challenge in Europe. Beyond this clinical impact, PI is associated with a significant economic burden, both in direct and indirect healthcare (HC) costs. This study aims to evaluate the economic burden of PI in Europe, with a particular focus on HC-related costs. A systematic review was conducted by searching PubMed up to March 2025, following PRISMA guidelines. Of the 319 studies initially identified, 17 met the inclusion criteria. The methodologies were diverse, particularly in terms of physical activity assessment, population characteristics, methodology, and the costs analyzed. Overall, the studies indicate that PI is associated with a higher economic burden, primarily impacting direct HC costs (only three studies addressing indirect costs). In addition to costs, four studies evaluated the Disability-Adjusted Life Years attributable to PI. Cardiovascular diseases and cancer were the most studied conditions. Furthermore, several studies highlighted the beneficial economic effects of interventions aimed at increasing physical activity. In conclusion, PI imposes a significant economic burden on HC systems in Europe, reinforcing its relevance as a public health priority. These findings emphasize the urgent need for effective strategies and poli</w:t>
      </w:r>
    </w:p>
    <w:p>
      <w:pPr/>
      <w:r>
        <w:rPr>
          <w:b/>
        </w:rPr>
        <w:t>POSSIBLE 2026:</w:t>
      </w:r>
      <w:r>
        <w:t xml:space="preserve"> Future Urban Heat Risk Assessment in Sydney: Integrating Satellite-Derived UTCI with Population Projections — https://doi.org/10.5194/isprs-annals-xii-4-w2-2026-137-2026</w:t>
      </w:r>
    </w:p>
    <w:p>
      <w:pPr/>
      <w:r>
        <w:rPr>
          <w:b/>
        </w:rPr>
        <w:t>Shared claim-specific concepts:</w:t>
      </w:r>
      <w:r>
        <w:t xml:space="preserve"> population, projections, approach; EU scope not established. This is a provisional connection, not an outcome finding.</w:t>
      </w:r>
    </w:p>
    <w:p>
      <w:pPr>
        <w:pStyle w:val="SourceNote"/>
      </w:pPr>
      <w:r>
        <w:rPr>
          <w:b/>
        </w:rPr>
        <w:t>Available abstract (not full text):</w:t>
      </w:r>
      <w:r>
        <w:t xml:space="preserve"> Urban heat stress poses an intensifying public health challenge in Australian cities, with Sydney facing increasingly severe summer thermal conditions. We present a reproducible framework for metropolitan-scale future heat risk assessment that integrates satellite-derived Universal Thermal Climate Index (UTCI) with demographic projections to 2031. We define the UTCI-Population Index (UPI), a composite indicator that quantifies population-weighted heat exposure at Travel Zone resolution across Sydney. We implemented two complementary satellite-based approaches: (1) trend-based extrapolation of the GloUTCI-M global UTCI dataset within Google Earth Engine to predict 2031 summer UTCI at 1 km resolution, and (2) a high-resolution spatial downscaling that combines ERA5-HEAT physically consistent UTCI at 28 km with Landsat 8/9 land surface temperature at 30 m, further refined by 3D solar radiation modelling and nine-station BOM bias correction to produce a pedestrian-level UTCI surface. The resulting UPI maps highlight priority zones where high projected thermal stress coincides with large future resident populations, supporting targeted heat adaptation planning. Approach 1 enables long-term metropolitan-scale future projection, while Approach 2 provides more than 30-fold higher spatial resolution for precinct-level intervention design. The two approaches are designed for future integ</w:t>
      </w:r>
    </w:p>
    <w:p>
      <w:pPr/>
      <w:r>
        <w:rPr>
          <w:b/>
        </w:rPr>
        <w:t>POSSIBLE 2026:</w:t>
      </w:r>
      <w:r>
        <w:t xml:space="preserve"> Short-Term Costs, Long-Term Gains: The Behavioral Challenge of Sustainability Regulation in the European Union — https://doi.org/10.21818/001c.159849</w:t>
      </w:r>
    </w:p>
    <w:p>
      <w:pPr/>
      <w:r>
        <w:rPr>
          <w:b/>
        </w:rPr>
        <w:t>Shared claim-specific concepts:</w:t>
      </w:r>
      <w:r>
        <w:t xml:space="preserve"> short-term, related; EU scope visible. This is a provisional connection, not an outcome finding.</w:t>
      </w:r>
    </w:p>
    <w:p>
      <w:pPr>
        <w:pStyle w:val="SourceNote"/>
      </w:pPr>
      <w:r>
        <w:rPr>
          <w:b/>
        </w:rPr>
        <w:t>Available abstract (not full text):</w:t>
      </w:r>
      <w:r>
        <w:t xml:space="preserve"> This editorial examines the behavioral and political dynamics that shape sustainability regulation in the European Union. While policy initiatives such as the European Green Deal and related directives reflect ambitious long-term goals, they often encounter resistance during implementation as short-term economic costs become more visible. Drawing on insights from behavioral economics, the analysis highlights how present bias, loss aversion, and political time horizons contribute to the softening or delay of regulatory measures. The editorial argues that effective sustainability governance requires not only strong policy design, but also an understanding of how individuals and institutions respond to temporal trade-offs and uncertainty.</w:t>
      </w:r>
    </w:p>
    <w:p>
      <w:pPr/>
      <w:r>
        <w:rPr>
          <w:b/>
        </w:rPr>
        <w:t>POSSIBLE 2026:</w:t>
      </w:r>
      <w:r>
        <w:t xml:space="preserve"> Government Policy, Financial Deepening and Economic Growth in Central and Eastern Europe — https://openalex.org/W7162059004</w:t>
      </w:r>
    </w:p>
    <w:p>
      <w:pPr/>
      <w:r>
        <w:rPr>
          <w:b/>
        </w:rPr>
        <w:t>Shared claim-specific concepts:</w:t>
      </w:r>
      <w:r>
        <w:t xml:space="preserve"> typically, short-term, availability; EU scope visible. This is a provisional connection, not an outcome finding.</w:t>
      </w:r>
    </w:p>
    <w:p>
      <w:pPr>
        <w:pStyle w:val="SourceNote"/>
      </w:pPr>
      <w:r>
        <w:rPr>
          <w:b/>
        </w:rPr>
        <w:t>Available abstract (not full text):</w:t>
      </w:r>
      <w:r>
        <w:t xml:space="preserve"> One of the questions that must be addressed by any developing country, especially those emerging from communism, is what the government’s role in financial deepening should be. In the years following the collapse of the Soviet Union, the countries of Central and Eastern Europe took quite different paths toward democratization and economic privatization. Several countries privatized immediately despite the imminent short-term economic pain privatization induced. Other countries tried to ease carefully into a privatized economy. It is well understood that there is a relationship between finance and economic growth; however, little literature focuses on the government’s role in financial deepening in the developing world. This research is unique and adds to the growing body of literature on the topic of financial deepening by quantitatively testing the economic impact of government subsidies, credit availability, and political stability on Albania, Bulgaria, Bosnia and Herzegovina, Czechia, Estonia, Croatia, Hungary, Lithuania, Latvia, Moldova, Montenegro, Poland, Romania, Slovak Republic, Russia, Slovenia, and Ukraine from the years 1996 to 2019. Following the quantitative study, the research embarks on case studies of Poland, Russia, Estonia, and the Slovak Republic to determine the impact different levels of governmental intervention has on economic growth. This research adds t</w:t>
      </w:r>
    </w:p>
    <w:p>
      <w:pPr/>
      <w:r>
        <w:rPr>
          <w:b/>
        </w:rPr>
        <w:t>POSSIBLE 2026:</w:t>
      </w:r>
      <w:r>
        <w:t xml:space="preserve"> Classical biological control of invasive aquatic weeds in Great Britain and Europe — https://doi.org/10.3897/aca.9.e204108</w:t>
      </w:r>
    </w:p>
    <w:p>
      <w:pPr/>
      <w:r>
        <w:rPr>
          <w:b/>
        </w:rPr>
        <w:t>Shared claim-specific concepts:</w:t>
      </w:r>
      <w:r>
        <w:t xml:space="preserve"> typically, population, function, approach, potential; EU scope visible. This is a provisional connection, not an outcome finding.</w:t>
      </w:r>
    </w:p>
    <w:p>
      <w:pPr>
        <w:pStyle w:val="SourceNote"/>
      </w:pPr>
      <w:r>
        <w:rPr>
          <w:b/>
        </w:rPr>
        <w:t>Available abstract (not full text):</w:t>
      </w:r>
      <w:r>
        <w:t xml:space="preserve"> Invasive aquatic weeds pose major threats to biodiversity, ecosystem function, economic activity and leisure use of freshwater habitats. Dense infestations alter hydrology, displace native species, impede navigation, and impose substantial management costs on water authorities and land managers. Effective long‑term control is a high priority. Mechanical and manual control approaches are widely used but are typically short term, costly, and must be repeated regularly to maintain suppression. Restrictions on herbicide use in and around water bodies in the EU and Great Britain due to concerns over non‑target impacts and water quality limit the potential role of this management tool. These constraints limit the efficacy and economic viability of conventional management techniques for long term control and intensify the need for alternative solutions. Classical biological control (CBC) offers a highly selective, environmentally benign and self‑sustaining approach to invasive weed management. Following rigorous host‑specificity testing, carefully selected natural enemies from a weed’s native range are released to provide population regulation in perpetuity, often at landscape scales and with minimal ongoing intervention. CBC targeting aquatic weeds has delivered impressive outcomes against numerous targets on multiple continents, with long‑term ecological and economic benefits which </w:t>
      </w:r>
    </w:p>
    <w:p>
      <w:pPr/>
      <w:r>
        <w:rPr>
          <w:b/>
        </w:rPr>
        <w:t>POSSIBLE 2026:</w:t>
      </w:r>
      <w:r>
        <w:t xml:space="preserve"> Arbitrage in Short-Term Electricity Markets: Economic Value of Multidimensional Ensemble Forecasts — https://doi.org/10.37190/ord/217347</w:t>
      </w:r>
    </w:p>
    <w:p>
      <w:pPr/>
      <w:r>
        <w:rPr>
          <w:b/>
        </w:rPr>
        <w:t>Shared claim-specific concepts:</w:t>
      </w:r>
      <w:r>
        <w:t xml:space="preserve"> short-term, forecasts, standard, approach; EU scope not established. This is a provisional connection, not an outcome finding.</w:t>
      </w:r>
    </w:p>
    <w:p>
      <w:pPr>
        <w:pStyle w:val="SourceNote"/>
      </w:pPr>
      <w:r>
        <w:rPr>
          <w:b/>
        </w:rPr>
        <w:t>Available abstract (not full text):</w:t>
      </w:r>
      <w:r>
        <w:t xml:space="preserve"> Generated quantity and market prices are major risk sources for electricity market participants, especially renewable producers with intermittent generation. Before delivery, wind and solar plants must decide their day-ahead bids, which, through deviations from actual generation, determine the direction and volume of intraday trade. We identify an arbitrage opportunity between these short-term markets that increases expected profits and reduces trading risk. To exploit it, we propose a novel multiple-split approach for estimating multidimensional probabilistic forecasts of market fundamentals. This semi-parametric method produces ensembles preserving true error correlations and supports forecasting of linear and nonlinear functions such as price spreads, residual load, or trading income. Using German electricity market data, we demonstrate superior predictive and economic performance over standard benchmarks.</w:t>
      </w:r>
    </w:p>
    <w:p>
      <w:pPr/>
      <w:r>
        <w:rPr>
          <w:b/>
        </w:rPr>
        <w:t>POSSIBLE 2025:</w:t>
      </w:r>
      <w:r>
        <w:t xml:space="preserve"> An Age-Structured Multi-Regional Projection of India's Population: A Leslie Matrix Model for Internal Migration — https://doi.org/10.35629/6734-14103240</w:t>
      </w:r>
    </w:p>
    <w:p>
      <w:pPr/>
      <w:r>
        <w:rPr>
          <w:b/>
        </w:rPr>
        <w:t>Shared claim-specific concepts:</w:t>
      </w:r>
      <w:r>
        <w:t xml:space="preserve"> population, stable, standard; EU scope not established. This is a provisional connection, not an outcome finding.</w:t>
      </w:r>
    </w:p>
    <w:p>
      <w:pPr>
        <w:pStyle w:val="SourceNote"/>
      </w:pPr>
      <w:r>
        <w:rPr>
          <w:b/>
        </w:rPr>
        <w:t>Available abstract (not full text):</w:t>
      </w:r>
      <w:r>
        <w:t xml:space="preserve"> This paper extends previous analyses of India's population dynamics by developing a multi-regional, agestructured projection model based on the Leslie matrix framework. Standard cohort-component models often assume closed populations, which is untenable in the Indian context due to its vast internal migration flows driven by profound regional demographic and economic disparities. This study formulates and parameterizes a two-region (North-South) Leslie-type model, incorporating age-specific fertility, mortality, and inter-regional migration rates derived from Census and National Sample Survey data. We conduct comparative simulations to quantify the demographic impact of migration on the long-term population size, growth rate (λ), and stable age distribution of both sending and receiving regions. The findings reveal that migration acts as a significant demographic rebalancing mechanism, accelerating population aging in the destination states of the South while slowing the youth bulge in the source states of the North. These results have critical implications for the trajectory of the demographic dividend, future labor markets, and the strategic allocation of social sector investments across the nation. The paper concludes with policy recommendations for creating a migrantinclusive framework for sustainable and equitable development.</w:t>
      </w:r>
    </w:p>
    <w:p>
      <w:pPr/>
      <w:r>
        <w:rPr>
          <w:b/>
        </w:rPr>
        <w:t>POSSIBLE 2025:</w:t>
      </w:r>
      <w:r>
        <w:t xml:space="preserve"> Global gridded population projection via spatial econometric model considering rank-size rule — https://doi.org/10.1088/2515-7620/ae0d52</w:t>
      </w:r>
    </w:p>
    <w:p>
      <w:pPr/>
      <w:r>
        <w:rPr>
          <w:b/>
        </w:rPr>
        <w:t>Shared claim-specific concepts:</w:t>
      </w:r>
      <w:r>
        <w:t xml:space="preserve"> population, projections, component, standard; EU scope not established. This is a provisional connection, not an outcome finding.</w:t>
      </w:r>
    </w:p>
    <w:p>
      <w:pPr>
        <w:pStyle w:val="SourceNote"/>
      </w:pPr>
      <w:r>
        <w:rPr>
          <w:b/>
        </w:rPr>
        <w:t>Available abstract (not full text):</w:t>
      </w:r>
      <w:r>
        <w:t xml:space="preserve"> Abstract Global gridded population (GGP) projections that are consistent with shared socioeconomic pathways are widely used. However, existing approaches for generating future GGPs have several limitations, including difficulties in incorporating covariates, a lack of consideration of city-level interactions, and insufficient integration of the empirical rule observed in the distribution of city sizes across years. This study attempts to address this gap by introducing a multiscale GGP projection model consisting of city- and grid-level models. The city-level model comprises a spatial econometric model that models city growth and decline, alongside a rank-size model that introduces the empirical rules as macro-level constraints. A random forest was employed for the grid-level model. For validation, the model was trained on Japanese Grid Square Statistics (approximately 1 km2), based on population census data from 2000 to 2010, and its forecast accuracy was evaluated against 2020 data. The results show a root mean squared percentage error of 1.17% between the observed and predicted values. Moreover, to assess the model’s applicability for projecting GGPs in the distant future, the 2070 forecast was compared with that from a standard cohort component model. The results indicate that the spatial patterns produced by the two models are similar, with an RMSPE of 1.89%. This RMSPE va</w:t>
      </w:r>
    </w:p>
    <w:p>
      <w:pPr/>
      <w:r>
        <w:rPr>
          <w:b/>
        </w:rPr>
        <w:t>POSSIBLE 2025:</w:t>
      </w:r>
      <w:r>
        <w:t xml:space="preserve"> Life-history variation mediates the importance of population structure to the short-term dynamics of plant populations worldwide — https://doi.org/10.32942/x2kd2s</w:t>
      </w:r>
    </w:p>
    <w:p>
      <w:pPr/>
      <w:r>
        <w:rPr>
          <w:b/>
        </w:rPr>
        <w:t>Shared claim-specific concepts:</w:t>
      </w:r>
      <w:r>
        <w:t xml:space="preserve"> short-term, population; EU scope not established. This is a provisional connection, not an outcome finding.</w:t>
      </w:r>
    </w:p>
    <w:p>
      <w:pPr>
        <w:pStyle w:val="SourceNote"/>
      </w:pPr>
      <w:r>
        <w:rPr>
          <w:b/>
        </w:rPr>
        <w:t>Available abstract (not full text):</w:t>
      </w:r>
      <w:r>
        <w:t xml:space="preserve"> A population’s structure (i.e., the distribution of individuals across the life cycle of a species) influences how it responds to environmental changes and recurrent disturbances, and shapes its vulnerability to extinction. Yet, despite compelling evidence that population structures are rarely stationary over time, assessments of population viability have only recently begun to consider how a population’s structure interacts with its vital rates of survival, development, and fecundity to determine its demographic performance. Using 268 comparisons of population dynamics in 56 plant species across differing time periods, locations, and/or experimental treatments, we use transient Life Table Response Experiments (tLTREs) to quantify how changes in population structure and vital rates contribute to observed variation in demographic performance. We illustrate how changes in population structure are major contributors to short-term (i.e. transient) demographic performance, and are just as important as the effects of, more routinely evaluated, changes in survival and fecundity rates for informing population viability assessments. Moreover, these contribution patterns challenge prevailing understanding of the links between plant growth form and population viability. Accordingly, we emphasise how quantifying the effects of population structure on transient population dynamics can revea</w:t>
      </w:r>
    </w:p>
    <w:p>
      <w:pPr/>
      <w:r>
        <w:rPr>
          <w:b/>
        </w:rPr>
        <w:t>POSSIBLE 2024:</w:t>
      </w:r>
      <w:r>
        <w:t xml:space="preserve"> Population projections, the flow of new households and structural housing demand — https://doi.org/10.26504/rs190</w:t>
      </w:r>
    </w:p>
    <w:p>
      <w:pPr/>
      <w:r>
        <w:rPr>
          <w:b/>
        </w:rPr>
        <w:t>Shared claim-specific concepts:</w:t>
      </w:r>
      <w:r>
        <w:t xml:space="preserve"> population, projections, very; EU scope visible. This is a provisional connection, not an outcome finding.</w:t>
      </w:r>
    </w:p>
    <w:p>
      <w:pPr>
        <w:pStyle w:val="SourceNote"/>
      </w:pPr>
      <w:r>
        <w:rPr>
          <w:b/>
        </w:rPr>
        <w:t>Available abstract (not full text):</w:t>
      </w:r>
      <w:r>
        <w:t xml:space="preserve"> This report provides estimates of structural (demographic) housing demand at a regional level. Any assessment of structural future housing demand relies on assumptions around (1) population growth, (2) headship rates (the typical household size) and (3) rates of obsolescence of the housing stock. Each of these key drivers of structural housing demand is subject to uncertainty, therefore a range of alternative assumptions for each key driver is considered and results from a range of scenarios are presented. Ireland has experienced rapid population growth in recent years, both compared to historical experience and relative to the EU. Census 2022 data reveals that the population was 5.184 million, having increased by 422 thousand or by 9 per cent since 2016. The recent data means that many previous population scenarios for Ireland have underestimated population growth over the short term. Net migration is the key driver of population change in Ireland and net migration flows have been very strong in recent years. As in the past, while all regions experienced population growth, the growth has not been evenly dispersed throughout the country. At a national level, the population grew at an annual average growth of 1.4 per cent between 2016 and 2022; the Eastern and Midlands region experienced the strongest growth of 1.6 per cent (driven especially by growth in the Mid-East). At a nat</w:t>
      </w:r>
    </w:p>
    <w:p>
      <w:pPr/>
      <w:r>
        <w:rPr>
          <w:b/>
        </w:rPr>
        <w:t>POSSIBLE 2024:</w:t>
      </w:r>
      <w:r>
        <w:t xml:space="preserve"> Fiscal projections are sensitive to population assumptions — https://doi.org/10.1787/a6ac7397-en</w:t>
      </w:r>
    </w:p>
    <w:p>
      <w:pPr/>
      <w:r>
        <w:rPr>
          <w:b/>
        </w:rPr>
        <w:t>Shared claim-specific concepts:</w:t>
      </w:r>
      <w:r>
        <w:t xml:space="preserve"> population, projections; EU scope not established. This is a provisional connection, not an outcome finding.</w:t>
      </w:r>
    </w:p>
    <w:p>
      <w:pPr>
        <w:pStyle w:val="SourceNote"/>
      </w:pPr>
      <w:r>
        <w:rPr>
          <w:b/>
        </w:rPr>
        <w:t>Available abstract (not full text):</w:t>
      </w:r>
      <w:r>
        <w:t xml:space="preserve"> Japan has navigated the dual shock of the pandemic and the energy crisis well. However, significant headwinds from weak global growth, geopolitical tensions and high inflation highlight the importance of enhancing the Japanese economy’s resilience to shocks. In a context of inflation, which has risen above target, and pressures from divergent monetary policy from peers, adjustments to monetary policy settings have commenced. Given high public debt, fiscal consolidation to rebuild fiscal buffers, underpinned by a credible medium-term fiscal framework to put the debt-to-GDP ratio on a clear downward path, is key. Longer-term sustainability also requires reducing greenhouse gas emissions in line with government targets, calling for green investment, innovation and carbon pricing. Reforms to improve the innovation framework and incentives for start-ups are key to boost productivity and address ageing pressures. Removing obstacles to the employment of women and older persons and making greater use of foreign workers are also essential to counter demographic headwinds. Strengthening the financial position of young people and policies to support families and children, such as improved parental leave, would help to reverse the downward trend in the fertility rate. SPECIAL FEATURE: ADDRESSING DEMOGRAPHIC HEADWINDS</w:t>
      </w:r>
    </w:p>
    <w:p>
      <w:pPr/>
      <w:r>
        <w:rPr>
          <w:b/>
        </w:rPr>
        <w:t>POSSIBLE 2023:</w:t>
      </w:r>
      <w:r>
        <w:t xml:space="preserve"> The Macro Impact of Short‐Termism — https://doi.org/10.3982/ecta15420</w:t>
      </w:r>
    </w:p>
    <w:p>
      <w:pPr/>
      <w:r>
        <w:rPr>
          <w:b/>
        </w:rPr>
        <w:t>Shared claim-specific concepts:</w:t>
      </w:r>
      <w:r>
        <w:t xml:space="preserve"> forecasts, standard, estimate; EU scope not established. This is a provisional connection, not an outcome finding.</w:t>
      </w:r>
    </w:p>
    <w:p>
      <w:pPr>
        <w:pStyle w:val="SourceNote"/>
      </w:pPr>
      <w:r>
        <w:rPr>
          <w:b/>
        </w:rPr>
        <w:t>Available abstract (not full text):</w:t>
      </w:r>
      <w:r>
        <w:t xml:space="preserve"> R&amp;D investment reduces current profits, so short‐term pressure to hit profit targets may distort R&amp;D. In the data, firms just meeting Wall Street forecasts have lower R&amp;D growth and subsequent innovation, while managers just missing receive lower pay. But short‐termist distortions might not quantitatively matter if aggregation or equilibrium dampen their impact. So I build and estimate a quantitative endogenous growth model in which short‐termism arises naturally as discipline on conflicted managers and boosts firm value by about 1%. But short‐termism reduces R&amp;D, and the social return to R&amp;D is higher than the private return due to standard channels including knowledge spillovers and imperfect competition. So at the macro level, short‐termist distortions slow growth by 5 basis points yearly and lower social welfare by about 1%.</w:t>
      </w:r>
    </w:p>
    <w:p>
      <w:pPr>
        <w:pStyle w:val="Heading2"/>
      </w:pPr>
      <w:r>
        <w:t>724. Scenarios for population health inequalities in 2030 in Europe: the EURO-HEALTHY project experience</w:t>
      </w:r>
    </w:p>
    <w:p>
      <w:pPr>
        <w:pStyle w:val="SourceNote"/>
      </w:pPr>
      <w:r>
        <w:rPr>
          <w:b/>
        </w:rPr>
        <w:t>Original source (2019):</w:t>
      </w:r>
      <w:r>
        <w:t xml:space="preserve"> https://doi.org/10.1186/s12939-019-1000-8</w:t>
      </w:r>
    </w:p>
    <w:p>
      <w:pPr/>
      <w:r>
        <w:t>Original wording (abstract; indexed_source_text_not_full_document_verified): OBJECTIVE: This paper describes the three 2030 time-horizon scenarios developed under the EURO-HEALTHY project, depicting the key factors that may affect the evolution of PH inequalities across European regions. METHODS: A three-stage socio-technical approach was applied: i) identification of drivers (key factors expected to affect the evolution of PH inequalities across European regions until 2030) - this stage engaged in a Web-Delphi process a multidisciplinary panel of 51 experts and other stakeholders representing the different perspectives regarding PH inequalities; ii) generation of scenario structures - different drivers' configurations (i.e. their hypotheses for evolution) were organized into coherent scenario structures using the Extreme-World Method; and iii) validation of scenario structures and generation of scenario narratives.</w:t>
      </w:r>
    </w:p>
    <w:p>
      <w:pPr/>
      <w:r>
        <w:rPr>
          <w:b/>
        </w:rPr>
        <w:t>POSSIBLE 2026:</w:t>
      </w:r>
      <w:r>
        <w:t xml:space="preserve"> Landscape Report on Diamond OA Publishing: Europe — https://doi.org/10.5281/zenodo.19236088</w:t>
      </w:r>
    </w:p>
    <w:p>
      <w:pPr/>
      <w:r>
        <w:rPr>
          <w:b/>
        </w:rPr>
        <w:t>Shared claim-specific concepts:</w:t>
      </w:r>
      <w:r>
        <w:t xml:space="preserve"> objective, three, regions; EU scope visible. This is a provisional connection, not an outcome finding.</w:t>
      </w:r>
    </w:p>
    <w:p>
      <w:pPr>
        <w:pStyle w:val="SourceNote"/>
      </w:pPr>
      <w:r>
        <w:rPr>
          <w:b/>
        </w:rPr>
        <w:t>Available abstract (not full text):</w:t>
      </w:r>
      <w:r>
        <w:t xml:space="preserve"> The presentation introduces the Landscape Report on Diamond Open Access Publishing in Africa, Europe, and Latin America and focuses on the findings relating to Europe. The main objective of the report is to describe the systemic conditions and public policies that surround the development of the Diamond OA scholarly publishing model in each country, followed by an analysis of each of the three world regions. The country-level analysis includes a review of legal frameworks, specific policies, funding mechanisms, incentives and recognition systems, digital infrastructures and platforms, institutional support, human resources, the collaboration mechanisms between publishing services and editorial service providers, and editorial quality certification mechanisms. In addition, it includes a set of actions required to develop and strengthen national Diamond OA scholarly publishing systems.</w:t>
      </w:r>
    </w:p>
    <w:p>
      <w:pPr/>
      <w:r>
        <w:rPr>
          <w:b/>
        </w:rPr>
        <w:t>POSSIBLE 2025:</w:t>
      </w:r>
      <w:r>
        <w:t xml:space="preserve"> Europe as a subject and object of epistemic reflection — https://doi.org/10.30574/wjarr.2025.27.1.2547</w:t>
      </w:r>
    </w:p>
    <w:p>
      <w:pPr/>
      <w:r>
        <w:rPr>
          <w:b/>
        </w:rPr>
        <w:t>Shared claim-specific concepts:</w:t>
      </w:r>
      <w:r>
        <w:t xml:space="preserve"> three, key, approach;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Europe as a subject and object of epistemic reflection — https://doi.org/10.5281/zenodo.17519703</w:t>
      </w:r>
    </w:p>
    <w:p>
      <w:pPr/>
      <w:r>
        <w:rPr>
          <w:b/>
        </w:rPr>
        <w:t>Shared claim-specific concepts:</w:t>
      </w:r>
      <w:r>
        <w:t xml:space="preserve"> three, key, approach; EU scope visible. This is a provisional connection, not an outcome finding.</w:t>
      </w:r>
    </w:p>
    <w:p>
      <w:pPr>
        <w:pStyle w:val="SourceNote"/>
      </w:pPr>
      <w:r>
        <w:rPr>
          <w:b/>
        </w:rPr>
        <w:t>Available abstract (not full text):</w:t>
      </w:r>
      <w:r>
        <w:t xml:space="preserve"> This study proposes a critical and theoretical approach from the social sciences, particularly anthropology and the philosophy of science, to analyze Europe as a subject and object of epistemic reflection. Through a hermeneutic and postfoundational approach, the author examines the emergence of modern science in Europe, its institutional consolidation, and its subsequent questioning from internal (Foucault, Kuhn, Derrida) and external (postcolonial and global south) perspectives. The analysis identifies three key moments: the constitution of the modern European scientific paradigm based on rationality, empiricism, and objectivity; The critique of these foundations from within European tradition itself and from postcolonial thought; and the emergence of a global need to pluralize science by recognizing other forms of knowledge. The text argues that Europe has played a dual role: creator of modern scientific thought and critique of its own heritage. The article's value lies in its ability to interpret Europe as an "epistemic mirror" where continuity and rupture, creation and deconstruction, converge. It introduces a powerful metaphor—the Ouroboros- to describe the self-reflexive dynamics of European science, and links this process to current debates on epistemologies of the South, the pluriverse, and the vital relevance of knowledge. The text concludes that Europe, in facing its </w:t>
      </w:r>
    </w:p>
    <w:p>
      <w:pPr/>
      <w:r>
        <w:rPr>
          <w:b/>
        </w:rPr>
        <w:t>POSSIBLE 2025:</w:t>
      </w:r>
      <w:r>
        <w:t xml:space="preserve"> Seroepidemiology of maternal and childhood pathogen exposure in three European mother-child cohorts — https://doi.org/10.1016/j.ijid.2025.107994</w:t>
      </w:r>
    </w:p>
    <w:p>
      <w:pPr/>
      <w:r>
        <w:rPr>
          <w:b/>
        </w:rPr>
        <w:t>Shared claim-specific concepts:</w:t>
      </w:r>
      <w:r>
        <w:t xml:space="preserve"> three, factors, across, methods, expected; EU scope visible. This is a provisional connection, not an outcome finding.</w:t>
      </w:r>
    </w:p>
    <w:p>
      <w:pPr>
        <w:pStyle w:val="SourceNote"/>
      </w:pPr>
      <w:r>
        <w:rPr>
          <w:b/>
        </w:rPr>
        <w:t>Available abstract (not full text):</w:t>
      </w:r>
      <w:r>
        <w:t xml:space="preserve"> OBJECTIVES: To describe the epidemiology of common pathogens and risk factors among pregnant women and their children. METHODS: In three European population-based birth cohorts, we examined 2213 mother-child pairs, contributing 5036 blood samples from pregnancy to 12 years of age. We measured serum immunoglobulin G levels against polyomaviruses (BKPyV, JCPyV, KIPyV, WUPyV, MCPyV), herpesviruses (Epstein-Barr virus [EBV], cytomegalovirus [CMV], varicella-zoster virus), adenovirus 36, Helicobacter pylori, and Toxoplasma gondii with multiplex serology. RESULTS: Among pregnant women, seroprevalence ranged from 18.7% (H. pylori) to 95.7% (EBV); among 4-6-year-old children, seroprevalence ranged from 3.6% (H. pylori) to 88.4% (BKPyV). Although most primary infections occurred in the first 4 years of life, some children had primary infections at later ages. Seropositive mothers were more likely to have seropositive children, but an intergenerational decrease in seroprevalence was evident for herpesviruses and H. pylori. There were sizeable differences between countries for H. pylori and T. gondii. Non-western ethnicity mothers and their children were more likely to be infected. Female sex (WUPyV, MCPyV, CMV), breastfeeding (CMV), early daycare attendance (CMV, H. pylori), and obesity (JCPyV, EBV, Adv-36) were associated with child's seroprevalence. CONCLUSIONS: European children acqui</w:t>
      </w:r>
    </w:p>
    <w:p>
      <w:pPr/>
      <w:r>
        <w:rPr>
          <w:b/>
        </w:rPr>
        <w:t>POSSIBLE 2025:</w:t>
      </w:r>
      <w:r>
        <w:t xml:space="preserve"> Pathway narratives towards a nature-positive European Union land system: operationalising the Nature Futures Framework for policy objectives — https://doi.org/10.1007/s11625-025-01737-0</w:t>
      </w:r>
    </w:p>
    <w:p>
      <w:pPr/>
      <w:r>
        <w:rPr>
          <w:b/>
        </w:rPr>
        <w:t>Shared claim-specific concepts:</w:t>
      </w:r>
      <w:r>
        <w:t xml:space="preserve"> three, developed, across; EU scope visible. This is a provisional connection, not an outcome finding.</w:t>
      </w:r>
    </w:p>
    <w:p>
      <w:pPr>
        <w:pStyle w:val="SourceNote"/>
      </w:pPr>
      <w:r>
        <w:rPr>
          <w:b/>
        </w:rPr>
        <w:t>Available abstract (not full text):</w:t>
      </w:r>
      <w:r>
        <w:t xml:space="preserve"> The Nature Futures Framework (NFF) aims to open up space for plural perspectives on human-nature relationships and to identify visions for people to navigate towards desirable nature-positive futures. Operationalising the NFF offers a way to explore alternative pathways to reach these futures, but such applications are currently underdeveloped. Normative narratives can describe pathways towards nature-positive futures based on environmental policy objectives and the diverse values within and across societies. Here, we review the EU's policy objectives for land systems, biodiversity, climate, and the environment, including the European Green Deal, to identify actions and create pathway narratives at the EU scale that lead to a nature-positive future. Specifically, we developed three pathway narratives along the three NFF value perspectives that are distinct in how they implement actions to achieve EU policy objectives. In Nature for Nature, the restoration of natural processes is prioritised, in Nature as Culture/One with Nature the connection of people with nature is emphasised, and in Nature for Society development focuses on safeguarding ecosystem services. Whilst clear differences in the valuation of nature between the pathway narratives may lead to trade-offs, we also see several potential synergies for meeting policy objectives. These narratives can inform models to quanti</w:t>
      </w:r>
    </w:p>
    <w:p>
      <w:pPr/>
      <w:r>
        <w:rPr>
          <w:b/>
        </w:rPr>
        <w:t>POSSIBLE 2024:</w:t>
      </w:r>
      <w:r>
        <w:t xml:space="preserve"> Soil bulk density assessment in Europe — https://doi.org/10.1016/j.agee.2024.108907</w:t>
      </w:r>
    </w:p>
    <w:p>
      <w:pPr/>
      <w:r>
        <w:rPr>
          <w:b/>
        </w:rPr>
        <w:t>Shared claim-specific concepts:</w:t>
      </w:r>
      <w:r>
        <w:t xml:space="preserve"> three, developed, applied; EU scope visible. This is a provisional connection, not an outcome finding.</w:t>
      </w:r>
    </w:p>
    <w:p>
      <w:pPr>
        <w:pStyle w:val="SourceNote"/>
      </w:pPr>
      <w:r>
        <w:rPr>
          <w:b/>
        </w:rPr>
        <w:t>Available abstract (not full text):</w:t>
      </w:r>
      <w:r>
        <w:t xml:space="preserve"> The topsoil Land Use and Cover Area frame Statistical survey (LUCAS) aims at collecting harmonised data about the state of soil health over the extent of European Union (EU). In the LUCAS 2018 survey, bulk density has been analysed for three depths, i.e., 0–10 cm = 6140 sites; 10–20 cm = 5684 sites and 20–30 cm =139 sites. The laboratory analysis and the assessment of the results conclude that the bulk density at 10–20 cm is 5–10% higher compared to 0–10 cm for all land uses except woodlands (20%). In the 0–20 cm depth, croplands have 1.5 times higher bulk density (mean: 1.26 g cm−3) compared to woodlands (mean: 0.83 g cm−3). The main driver for bulk density variation is the land use which implies that many existing pedotransfer rules have to be developed based on land use. This study applied a methodological framework using an advanced Cubist rule-based regression model to optimize the spatial prediction of bulk density in Europe. We spatialised the circa 6000 LUCAS samples and developed the high-resolution map (100 m) of bulk density for the 0–20 cm depth and the maps at 0–10 and 10–20 cm depth. The modelling results showed a very good prediction (R2: 0.66) of bulk density for the 0–20 cm depth which outperforms previous assessments. The bulk density maps can be used to estimate packing density which is a proxy to estimate soil compaction. Therefore, this work contributes to </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across, regions, methods;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2022:</w:t>
      </w:r>
      <w:r>
        <w:t xml:space="preserve"> Branch-and-bound and objective branching with three or more objectives — https://doi.org/10.1016/j.cor.2022.106012</w:t>
      </w:r>
    </w:p>
    <w:p>
      <w:pPr/>
      <w:r>
        <w:rPr>
          <w:b/>
        </w:rPr>
        <w:t>Shared claim-specific concepts:</w:t>
      </w:r>
      <w:r>
        <w:t xml:space="preserve"> objective, three, inequalities, applied; EU scope not established. This is a provisional connection, not an outcome finding.</w:t>
      </w:r>
    </w:p>
    <w:p>
      <w:pPr>
        <w:pStyle w:val="SourceNote"/>
      </w:pPr>
      <w:r>
        <w:rPr>
          <w:b/>
        </w:rPr>
        <w:t>Available abstract (not full text):</w:t>
      </w:r>
      <w:r>
        <w:t xml:space="preserve"> The recent success of bi-objective Branch-and-Bound (B&amp;B) algorithms heavily relies on the efficient computation of upper and lower bound sets. These bound sets are used as a supplement to the classical dominance test to improve the computational time by imposing inequalities derived from (partial) dominance in the objective space. This process is called objective branching since it is mostly applied when generating child nodes. In this paper, we extend the concept of objective branching to multi-objective integer optimization problems with three or more objective functions. Several difficulties arise in this case, as there is no longer a lexicographic order among non-dominated outcome vectors when there are three or more objectives. We discuss the general concept of objective branching in any number of dimensions and suggest a merging operation of local upper bounds to avoid the generation of redundant sub-problems. Finally, results from extensive experimental studies on several classes of multi-objective optimization problems is reported.</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three, project, key, methods;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r>
        <w:rPr>
          <w:b/>
        </w:rPr>
        <w:t>POSSIBLE 2022:</w:t>
      </w:r>
      <w:r>
        <w:t xml:space="preserve"> Meeting the European green deal objective of expanding organic farming — https://doi.org/10.24136/eq.2022.021</w:t>
      </w:r>
    </w:p>
    <w:p>
      <w:pPr/>
      <w:r>
        <w:rPr>
          <w:b/>
        </w:rPr>
        <w:t>Shared claim-specific concepts:</w:t>
      </w:r>
      <w:r>
        <w:t xml:space="preserve"> objective, three, developed, methods, approach; EU scope visible. This is a provisional connection, not an outcome finding.</w:t>
      </w:r>
    </w:p>
    <w:p>
      <w:pPr>
        <w:pStyle w:val="SourceNote"/>
      </w:pPr>
      <w:r>
        <w:rPr>
          <w:b/>
        </w:rPr>
        <w:t>Available abstract (not full text):</w:t>
      </w:r>
      <w:r>
        <w:t xml:space="preserve"> Research background: Economic growth is unsustainable. However, a circular economy has the potential to lead to sustainable development, while decoupling economic growth from the negative consequences of resource depletion and environmental degradation. The EU's strategy of climate neutralization in 2050 developed, inter alia, into a European Green Deal action plan aiming at the efficient use of resources by moving to a cleaner, circular economy. More sustainable EU food system is a cornerstone of the European Green Deal. The European Commission's goal is 25% of agricultural land to be used for organic production in 2030. The question is if it is possible to reach the objective with the use of current incentives. What else may be done to encourage European farmers to convert to organic farming? Purpose of the article: The aim of this research is to review the development of organic agriculture in Europe and the EU and to identify incentives for farmers to convert to organic farming. Methods: First of all, the methodological approach is to iteratively review the existing literature to frame the problem. Secondly, the data on organic agriculture in Europe is to be analyzed to answer the research questions. The analysis is based on international statistics, mainly collected by FiBL, IFOAM, EC Agri-food data portal and Eurostat..Fitting the trend functions to the actual data has be</w:t>
      </w:r>
    </w:p>
    <w:p>
      <w:pPr/>
      <w:r>
        <w:rPr>
          <w:b/>
        </w:rPr>
        <w:t>POSSIBLE 2022:</w:t>
      </w:r>
      <w:r>
        <w:t xml:space="preserve"> COVID-19 in Europe: from outbreak to vaccination — https://doi.org/10.1186/s12889-022-14454-5</w:t>
      </w:r>
    </w:p>
    <w:p>
      <w:pPr/>
      <w:r>
        <w:rPr>
          <w:b/>
        </w:rPr>
        <w:t>Shared claim-specific concepts:</w:t>
      </w:r>
      <w:r>
        <w:t xml:space="preserve"> objective, three, affect, across, methods, approach; EU scope visible. This is a provisional connection, not an outcome finding.</w:t>
      </w:r>
    </w:p>
    <w:p>
      <w:pPr>
        <w:pStyle w:val="SourceNote"/>
      </w:pPr>
      <w:r>
        <w:rPr>
          <w:b/>
        </w:rPr>
        <w:t>Available abstract (not full text):</w:t>
      </w:r>
      <w:r>
        <w:t xml:space="preserve"> BACKGROUND: COVID-19 is a pandemic of unprecedented proportions in recent human history. To date, the world has paid a high toll in terms of human lives lost, and on economic, financial, and social repercussions. In Europe, countries tried to mobilize all resources available to contain the COVID-19 effects, but the outcomes are diverse across countries. There have also been massive efforts geared towards finding safe and effective vaccines and to distribute them massively to the population. The main objective of this paper is to describe the COVID-19 prevalence in Europe. Secondly, it aims to identify epidemiological typologies allowing to distinguish the countries in terms of their response to the pandemic, and finally assess the effect of vaccination on pandemic control. METHODS: The study covers 30 European countries: EU 27 in addition to Norway, Switzerland, and United Kingdom. Four epidemiological variables are analyzed at two distinct moments, at the end of 2020 and at the beginning of 2022: total number of cases per million, total number of deaths per million, total number of tests per thousand, and case fatality rate. In a second step, it uses a fuzzy approach, namely archetypal analysis, to identify epidemiological typologies, and positions countries by their response to the pandemic. Finally, it assesses how vaccination, stringency measures, booster doses and populati</w:t>
      </w:r>
    </w:p>
    <w:p>
      <w:pPr/>
      <w:r>
        <w:rPr>
          <w:b/>
        </w:rPr>
        <w:t>POSSIBLE 2022:</w:t>
      </w:r>
      <w:r>
        <w:t xml:space="preserve"> Collaborative development of composite indices from qualitative value judgements: The EURO-HEALTHY Population Health Index model — https://doi.org/10.1016/j.ejor.2022.05.037</w:t>
      </w:r>
    </w:p>
    <w:p>
      <w:pPr/>
      <w:r>
        <w:rPr>
          <w:b/>
        </w:rPr>
        <w:t>Shared claim-specific concepts:</w:t>
      </w:r>
      <w:r>
        <w:t xml:space="preserve"> developed, euro-healthy, project, key, inequalities, across; EU scope visible. This is a provisional connection, not an outcome finding.</w:t>
      </w:r>
    </w:p>
    <w:p>
      <w:pPr>
        <w:pStyle w:val="SourceNote"/>
      </w:pPr>
      <w:r>
        <w:rPr>
          <w:b/>
        </w:rPr>
        <w:t>Available abstract (not full text):</w:t>
      </w:r>
      <w:r>
        <w:t xml:space="preserve"> Promoting participation and combining evidence with expert knowledge in constructing composite indices that can be meaningfully interpreted are key open challenges identified in performance measurement literature. To address them, this article proposes a sociotechnical decision-aid process, under a collaborative value-modelling framework, rooted in both process consultation and multicriteria value measurement principles. It consists of two phases (structuring and model building), each one developed in a sequence of non-face-to-face (Web-Delphi) and face-to-face (decision conferencing) group processes, designed to allow for increased participation. Performance indicators are selected and structured in a value-tree (phase one), upon which a group hierarchical additive value-function model is built (phase two), supported by the MACBETH multicriteria decision-support system. Collaborative questioning protocols allow to elicit and reconcile individual qualitative value judgements, in a Web-Delphi platform. The collective knowledge thus acquired is used in decision conferencing with a core group to define value functions and weights. Extensive sensitivity and robustness analyses serve to test the requisiteness of the model, giving rise to a shared structure of composite indices. The proposed approach was shaped within the EURO-HEALTHY project, to create a Population Health Index inte</w:t>
      </w:r>
    </w:p>
    <w:p>
      <w:pPr>
        <w:pStyle w:val="Heading2"/>
      </w:pPr>
      <w:r>
        <w:t>725. Seeds of good anthropocenes: developing sustainability scenarios for Northern Europe</w:t>
      </w:r>
    </w:p>
    <w:p>
      <w:pPr>
        <w:pStyle w:val="SourceNote"/>
      </w:pPr>
      <w:r>
        <w:rPr>
          <w:b/>
        </w:rPr>
        <w:t>Original source (2019):</w:t>
      </w:r>
      <w:r>
        <w:t xml:space="preserve"> https://doi.org/10.1007/s11625-019-00714-8</w:t>
      </w:r>
    </w:p>
    <w:p>
      <w:pPr/>
      <w:r>
        <w:t>Original wording (abstract; indexed_source_text_not_full_document_verified): Those that have been developed tend to focus on the role of a few common, large-scale external drivers, such as technology or environmental policy, even though pathways of positive change are often driven by surprising or bottom-up initiatives that most scenarios assume are unchanging. We describe an approach, pioneered in Southern Africa and tested here in a new context in Northern Europe, to developing scenarios using existing bottom-up transformative initiatives to examine plausible transitions towards positive, sustainable futures.</w:t>
      </w:r>
    </w:p>
    <w:p>
      <w:pPr/>
      <w:r>
        <w:rPr>
          <w:b/>
        </w:rPr>
        <w:t>POSSIBLE 2026:</w:t>
      </w:r>
      <w:r>
        <w:t xml:space="preserve"> Hydrological drought but not flood synchronicity increases over Europe — https://doi.org/10.5194/egusphere-egu26-4770</w:t>
      </w:r>
    </w:p>
    <w:p>
      <w:pPr/>
      <w:r>
        <w:rPr>
          <w:b/>
        </w:rPr>
        <w:t>Shared claim-specific concepts:</w:t>
      </w:r>
      <w:r>
        <w:t xml:space="preserve"> those, tend, large-scale, driven; EU scope visible. This is a provisional connection, not an outcome finding.</w:t>
      </w:r>
    </w:p>
    <w:p>
      <w:pPr>
        <w:pStyle w:val="SourceNote"/>
      </w:pPr>
      <w:r>
        <w:rPr>
          <w:b/>
        </w:rPr>
        <w:t>Available abstract (not full text):</w:t>
      </w:r>
      <w:r>
        <w:t xml:space="preserve"> Spatially synchronized drought or flood events, that is the co-occurrence of drought/flood in multiple locations, can have severe impacts that challenge water and emergency management because they require resources in multiple places at once. Climate change can affect the frequency of such compound events because of its influence on drought and flood generation processes. While the impacts of climate change on local hydrological extreme events are well studied, its impact on event synchronicity remains uncertain. Here, we investigate how hydrological drought and flood synchronicities have changed in Europe during the period 1981-2020 using observations from 4299 streamflow stations. Our results show that drought synchronicity has grown significantly, most strongly in Central Europe, and that years with spatially extensive drought tend to follow one another. In contrast, flood synchronicity has remained relatively stable. Regionally, regions of growing drought synchronicity show decreasing flood synchronicity, and vice versa. Synchronicity trends are mostly in line with those of local frequencies suggesting that trends in synchronicity are mainly driven by overall frequencies, rather than by the spatial distribution of events. The observed growth in drought synchronicity highlights the need to develop adaptation measures to more frequent large-scale droughts.</w:t>
      </w:r>
    </w:p>
    <w:p>
      <w:pPr/>
      <w:r>
        <w:rPr>
          <w:b/>
        </w:rPr>
        <w:t>POSSIBLE 2025:</w:t>
      </w:r>
      <w:r>
        <w:t xml:space="preserve"> The European Union’s role in European defence industry policy — https://doi.org/10.1080/14702436.2025.2472694</w:t>
      </w:r>
    </w:p>
    <w:p>
      <w:pPr/>
      <w:r>
        <w:rPr>
          <w:b/>
        </w:rPr>
        <w:t>Shared claim-specific concepts:</w:t>
      </w:r>
      <w:r>
        <w:t xml:space="preserve"> role, often, initiatives; EU scope visible. This is a provisional connection, not an outcome finding.</w:t>
      </w:r>
    </w:p>
    <w:p>
      <w:pPr>
        <w:pStyle w:val="SourceNote"/>
      </w:pPr>
      <w:r>
        <w:rPr>
          <w:b/>
        </w:rPr>
        <w:t>Available abstract (not full text):</w:t>
      </w:r>
      <w:r>
        <w:t xml:space="preserve"> The European Union has often been described as an economic giant but a political dwarf. It has a security and defence policy, but it is not a military alliance. Despite this, the defence industry has been on the EU’s agenda for years. This development reached a new phase in 2021 when the EU budget included almost 8 billion Euro in a European Defence Fund, strengthened when the EU in 2022 acted decisively to supply Ukraine with arms and ammunition, and strengthened yet again in March 2024 when it presented a comprehensive European Defence Industrial Strategy and European Defence Industry Programme. At first glance the developments may seem counterintuitive. What makes a mainly civilian organisation develop into an actor in defence industry policy? Departing from four dilemmas arising from the specific challenges with ownership of the defence industry and efforts to create a European defence market, this article identifies the challenges that different EU initiatives try to solve, analyses economic, political and strategic rationales of the development, analyses the four dilemmas in light of the development, and discusses how it relates to the EU’s raison d’être with regard to European defence.</w:t>
      </w:r>
    </w:p>
    <w:p>
      <w:pPr/>
      <w:r>
        <w:rPr>
          <w:b/>
        </w:rPr>
        <w:t>POSSIBLE 2024:</w:t>
      </w:r>
      <w:r>
        <w:t xml:space="preserve"> Trends and geographic variation in adverse impacts of nitrogen use in Europe on human health, climate, and ecosystems: A review — https://doi.org/10.1016/j.earscirev.2024.104789</w:t>
      </w:r>
    </w:p>
    <w:p>
      <w:pPr/>
      <w:r>
        <w:rPr>
          <w:b/>
        </w:rPr>
        <w:t>Shared claim-specific concepts:</w:t>
      </w:r>
      <w:r>
        <w:t xml:space="preserve"> those, tend, environmental, positive; EU scope visible. This is a provisional connection, not an outcome finding.</w:t>
      </w:r>
    </w:p>
    <w:p>
      <w:pPr>
        <w:pStyle w:val="SourceNote"/>
      </w:pPr>
      <w:r>
        <w:rPr>
          <w:b/>
        </w:rPr>
        <w:t>Available abstract (not full text):</w:t>
      </w:r>
      <w:r>
        <w:t xml:space="preserve"> This paper presents a review of the trends and geographic variation of impacts of reactive nitrogen (N) inputs on in Europe through impacts on air, soil and water quality. It illustrates those impacts, by assessing temporal and spatial variation in air, soil and water quality indicators and their exceedances of critical thresholds in view of impacts on human health, terrestrial and aquatic ecosystems, during 1990-2019. Trends are derived from regular inventory and monitoring data and from simulated trends in air quality using the EMEP model. Well quantified adverse impacts of increased N use are: (i) the effects on human health due to increased tropospheric concentrations of NOx and ozone, and N-induced increases in fine particulate matter, (ii) the contribution of N2O to climate change and stratospheric ozone depletion, (iii) the loss of plant and faunal diversity both in terrestrial and aquatic ecosystems via direct and soil mediated impacts, (iv) the acidification of forest soils, with impacts on tree forest nutrition, tree growth and tree vitality, and (v) the eutrophication of marine ecosystems, and associated biodiversity loss and occurrence of harmful algae blooms. Over the period 1990-2019, N inputs to agriculture stayed relatively constant, but the emissions of ammonia (NH3) decreased by 27%, while emissions of nitrogen oxides (NOx) decreased by 57%. In response to tho</w:t>
      </w:r>
    </w:p>
    <w:p>
      <w:pPr/>
      <w:r>
        <w:rPr>
          <w:b/>
        </w:rPr>
        <w:t>POSSIBLE 2023:</w:t>
      </w:r>
      <w:r>
        <w:t xml:space="preserve"> The role of urban agriculture in food-energy-water nexus policies: Insights from Europe and the U.S — https://doi.org/10.1016/j.landurbplan.2023.104848</w:t>
      </w:r>
    </w:p>
    <w:p>
      <w:pPr/>
      <w:r>
        <w:rPr>
          <w:b/>
        </w:rPr>
        <w:t>Shared claim-specific concepts:</w:t>
      </w:r>
      <w:r>
        <w:t xml:space="preserve"> role, few; EU scope visible. This is a provisional connection, not an outcome finding.</w:t>
      </w:r>
    </w:p>
    <w:p>
      <w:pPr>
        <w:pStyle w:val="SourceNote"/>
      </w:pPr>
      <w:r>
        <w:rPr>
          <w:b/>
        </w:rPr>
        <w:t>Available abstract (not full text):</w:t>
      </w:r>
      <w:r>
        <w:t xml:space="preserve"> The growth of urban agriculture (UA) has raised the awareness of city officials and civil society organizations of its potential effects on food systems. This has led to various policies to regulate and support UA. This research characterizes existing food, energy and water (FEW nexus) policies based on policy data from five case study cities in Europe and the U.S. (Dortmund, Gorzów Wielkopolski, London, Nantes, and New York City) to analyze their relationships to UA, and to identify policy types that support resource-efficient UA. The paper presents the results of an analysis of 78 policy documents related to UA and the FEW nexus, and the results of a Q-sort ranking by UA policy experts on the effectiveness of 16 generalized UA policies in promoting resource-efficient UA. The number, type, and degree of support for nexus policies vary among the five case studies. The results show that the majority of policies (36) are implemented at the local scale, that few policies (19) incorporate all elements of the nexus, yet many nexus policies include UA indirectly. Regulations are more prevalent and are considered more effective at ensuring resource-efficient UA than incentives or awareness-raising policies. The study offers guidance to policy makers who want to improve resource use in future UA pointing at the increasing importance of local food policies.</w:t>
      </w:r>
    </w:p>
    <w:p>
      <w:pPr/>
      <w:r>
        <w:rPr>
          <w:b/>
        </w:rPr>
        <w:t>POSSIBLE 2023:</w:t>
      </w:r>
      <w:r>
        <w:t xml:space="preserve"> Role of Aerosols on Atmospheric Circulation in Regional Climate Experiments over Europe — https://doi.org/10.3390/atmos14030491</w:t>
      </w:r>
    </w:p>
    <w:p>
      <w:pPr/>
      <w:r>
        <w:rPr>
          <w:b/>
        </w:rPr>
        <w:t>Shared claim-specific concepts:</w:t>
      </w:r>
      <w:r>
        <w:t xml:space="preserve"> role, few; EU scope visible. This is a provisional connection, not an outcome finding.</w:t>
      </w:r>
    </w:p>
    <w:p>
      <w:pPr>
        <w:pStyle w:val="SourceNote"/>
      </w:pPr>
      <w:r>
        <w:rPr>
          <w:b/>
        </w:rPr>
        <w:t>Available abstract (not full text):</w:t>
      </w:r>
      <w:r>
        <w:t xml:space="preserve"> Aerosols can strongly influence atmospheric circulation, and categorizing it into circulation types (CTs) helps in understanding the relationship between atmospheric forcing and surface conditions. However, few studies have considered the impact of interactive aerosols on atmospheric dynamics from a climatic perspective. This contribution aims to assess whether simulations with interactive aerosols (online solving of aerosol–radiation interactions, ARI, and aerosol–radiation–cloud interactions, ARCI) significantly impact atmospheric dynamics over Europe during winter compared to conventional regional climate models with prescribed aerosols. For that, Principal Component Analysis (PCA) has been applied to reduce the dimensionality of the problem in order to cluster different weather patterns. Results showed significant differences in the two predominant patterns, characterized by a western zonal flow (CT1) and a low-pressure system centered in Italy (CT2). The ARI experiment revealed a substantial reduction of surface level pressure over central-eastern Europe for CT1, resulting in a southward shift of the flux direction, and an increase in pressure over Scandinavia for CT2. The ARCI experiment exhibited a similar, but weaker effect. Furthermore, the study demonstrated the impact of aerosols on the frequency of different CTs and on the concentration of black and white aerosols. </w:t>
      </w:r>
    </w:p>
    <w:p>
      <w:pPr/>
      <w:r>
        <w:rPr>
          <w:b/>
        </w:rPr>
        <w:t>POSSIBLE 2023:</w:t>
      </w:r>
      <w:r>
        <w:t xml:space="preserve"> The burden of skin disease in Europe — https://doi.org/10.1111/jdv.19390</w:t>
      </w:r>
    </w:p>
    <w:p>
      <w:pPr/>
      <w:r>
        <w:rPr>
          <w:b/>
        </w:rPr>
        <w:t>Shared claim-specific concepts:</w:t>
      </w:r>
      <w:r>
        <w:t xml:space="preserve"> those, role, common, even, often; EU scope visible. This is a provisional connection, not an outcome finding.</w:t>
      </w:r>
    </w:p>
    <w:p>
      <w:pPr>
        <w:pStyle w:val="SourceNote"/>
      </w:pPr>
      <w:r>
        <w:rPr>
          <w:b/>
        </w:rPr>
        <w:t>Available abstract (not full text):</w:t>
      </w:r>
      <w:r>
        <w:t xml:space="preserve"> The term ‘Burden of disease’ was conceived to describe the total, cumulative repercussions of a specific disease or a range of harmful diseases with respect to disabilities in a community. These repercussions include health, social aspects and costs to society. The Global Burden of Disease study, which sets out trends in global health, ranked skin diseases as the fourth leading cause of disability worldwide.1 With a view to gaining detailed insights into the burden of skin diseases in Europe, the European Academy of Dermatology and Venereology (EADV) conducted recently a population-based study on a representative adult population in 27 European countries. This represents the largest-ever epidemiological study undertaken in Europe to assess the prevalence and burden of skin diseases. The Burden of Skin Disease Survey reveals the important impact that skin diseases have on human well-being and the limitations in access to care for patients. These data are important to create awareness and establish the setting for the management of skin diseases. As part of EADV's nascent advocacy programme, it is timely to publish the results in a JEADV supplement that groups vital information on important aspects of the impact of skin diseases. Addressing skin diseases is vital to achieve the United National Sustainable Development Goals (SDGs).2 Understanding the impact of these diseases on in</w:t>
      </w:r>
    </w:p>
    <w:p>
      <w:pPr/>
      <w:r>
        <w:rPr>
          <w:b/>
        </w:rPr>
        <w:t>POSSIBLE 2022:</w:t>
      </w:r>
      <w:r>
        <w:t xml:space="preserve"> Measuring disparities in air transport access across Europe: An inequality, vulnerability and dependence approach — https://doi.org/10.1016/j.tra.2022.11.016</w:t>
      </w:r>
    </w:p>
    <w:p>
      <w:pPr/>
      <w:r>
        <w:rPr>
          <w:b/>
        </w:rPr>
        <w:t>Shared claim-specific concepts:</w:t>
      </w:r>
      <w:r>
        <w:t xml:space="preserve"> those, developed, tend; EU scope visible. This is a provisional connection, not an outcome finding.</w:t>
      </w:r>
    </w:p>
    <w:p>
      <w:pPr>
        <w:pStyle w:val="SourceNote"/>
      </w:pPr>
      <w:r>
        <w:rPr>
          <w:b/>
        </w:rPr>
        <w:t>Available abstract (not full text):</w:t>
      </w:r>
      <w:r>
        <w:t xml:space="preserve"> Air transport networks tend to develop in accordance with underlying economic activity and links. This relationship in Europe has not developed entirely evenly or consistently, however, with some regional population centres having comparatively low levels of access to air transport services and global markets. This study focusses on air transport access inequality across 1,388 regions in Europe using the 20:20 ratio, a commonly used indicator in macroeconomic income inequality studies. For those regions in the bottom 5% in terms of degree centrality (using 2019 baseline data) an in-depth vulnerability, dependence and pandemic impact analysis was performed to determine the regions that may represent strong cases for state intervention to ensure continued access to a base level of essential air services. The stepwise methodological framework developed in this research could be used as a prioritisation tool by industry and policy stakeholders, most notably in the context of scarce public resources, which is a typical characteristic in Europe. The highest levels of inequality, vulnerability, dependence and pandemic impact were found in some Spanish, and Finnish regions.</w:t>
      </w:r>
    </w:p>
    <w:p>
      <w:pPr/>
      <w:r>
        <w:rPr>
          <w:b/>
        </w:rPr>
        <w:t>POSSIBLE 2022:</w:t>
      </w:r>
      <w:r>
        <w:t xml:space="preserve"> Closing the loop on plastics in Europe: The role of data, information and knowledge — https://doi.org/10.1016/j.spc.2022.08.019</w:t>
      </w:r>
    </w:p>
    <w:p>
      <w:pPr/>
      <w:r>
        <w:rPr>
          <w:b/>
        </w:rPr>
        <w:t>Shared claim-specific concepts:</w:t>
      </w:r>
      <w:r>
        <w:t xml:space="preserve"> role, technology; EU scope visible. This is a provisional connection, not an outcome finding.</w:t>
      </w:r>
    </w:p>
    <w:p>
      <w:pPr>
        <w:pStyle w:val="SourceNote"/>
      </w:pPr>
      <w:r>
        <w:rPr>
          <w:b/>
        </w:rPr>
        <w:t>Available abstract (not full text):</w:t>
      </w:r>
      <w:r>
        <w:t xml:space="preserve"> Concerns over plastic waste and support for a plastic circular economy have been growing in recent years. Specific needs to promote re-circulation of plastics in terms of data, information and knowledge are poorly understood. Based on the multi-level perspective on socio-technical transitions and semi-structured interviews with key stakeholders, this paper aims to understand how information and knowledge issues may inhibit or foster the development of secondary plastics markets in Europe. Results highlight that key barriers associated with data-information-knowledge map across, and interact with, policies and standards, market and technology, socio-cultural norms, networks and business models. The packaging sector has drawn more policy attention, and institutions to support information sharing such as labelling and certification are more mature. The automotive and EEE sectors have illustrated knowledge diffusion through supply chain collaboration, while the construction sector appears to have slower practical progress on industry-level knowledge diffusion. This paper contributes to the multi-level perspective on transition studies by focusing the empirical work on a new area of plastic circular economy. The cases playing out across the whole value chain and four different application areas provide insights that are potentially more widely applicable to the circular economy tran</w:t>
      </w:r>
    </w:p>
    <w:p>
      <w:pPr/>
      <w:r>
        <w:rPr>
          <w:b/>
        </w:rPr>
        <w:t>POSSIBLE 2021:</w:t>
      </w:r>
      <w:r>
        <w:t xml:space="preserve"> Electric vehicle charging network in Europe: An accessibility and deployment trends analysis — https://doi.org/10.1016/j.trd.2021.102813</w:t>
      </w:r>
    </w:p>
    <w:p>
      <w:pPr/>
      <w:r>
        <w:rPr>
          <w:b/>
        </w:rPr>
        <w:t>Shared claim-specific concepts:</w:t>
      </w:r>
      <w:r>
        <w:t xml:space="preserve"> developed, large-scale, technology, environmental, bottom-up; EU scope visible. This is a provisional connection, not an outcome finding.</w:t>
      </w:r>
    </w:p>
    <w:p>
      <w:pPr>
        <w:pStyle w:val="SourceNote"/>
      </w:pPr>
      <w:r>
        <w:rPr>
          <w:b/>
        </w:rPr>
        <w:t>Available abstract (not full text):</w:t>
      </w:r>
      <w:r>
        <w:t xml:space="preserve"> If coupled with a low-carbon electricity mix, electric vehicles (EVs) can represent an important technology for transport decarbonization and local pollutants abatement. Yet, to ensure large-scale EVs adoption, an adequate charging stations network must be developed. This paper provides the first comprehensive bottom-up analysis of the EV charging network in Europe. Combining a crowd-sourced database of charging stations with accessibility data and algorithms, we produce maps of the travel time to the most accessible EV charging station across Europe, we evaluate the charging points density and the number of active operators in different areas. We find that although recent years have witnessed a notable expansion of the EV charging network, stark inequalities persist across and within countries, both in terms of accessibility and of the charging points available to users. Our results allow for a better understanding of some of the key challenges ahead for ensuring mass EVs adoption throughout Europe and thus potentially reducing the environmental impact of the transport sector.</w:t>
      </w:r>
    </w:p>
    <w:p>
      <w:pPr/>
      <w:r>
        <w:rPr>
          <w:b/>
        </w:rPr>
        <w:t>POSSIBLE 2021:</w:t>
      </w:r>
      <w:r>
        <w:t xml:space="preserve"> Enough? The role of sufficiency in European energy and climate plans — https://doi.org/10.1016/j.enpol.2021.112483</w:t>
      </w:r>
    </w:p>
    <w:p>
      <w:pPr/>
      <w:r>
        <w:rPr>
          <w:b/>
        </w:rPr>
        <w:t>Shared claim-specific concepts:</w:t>
      </w:r>
      <w:r>
        <w:t xml:space="preserve"> focus, role; EU scope visible. This is a provisional connection, not an outcome finding.</w:t>
      </w:r>
    </w:p>
    <w:p>
      <w:pPr>
        <w:pStyle w:val="SourceNote"/>
      </w:pPr>
      <w:r>
        <w:rPr>
          <w:b/>
        </w:rPr>
        <w:t>Available abstract (not full text):</w:t>
      </w:r>
      <w:r>
        <w:t xml:space="preserve"> Energy sufficiency is one of the three energy sustainability strategies, next to energy efficiency and renewable energies. We analyse to what extent European governments follow this strategy, by conducting a systematic document analysis of all available European National Energy and Climate Plans (NECPs) and Long-Term Strategies (LTSs). We collect and categorise a total of 230 sufficiency-related policy measures, finding large differences between countries. We find most sufficiency policies in the transport sector, when classifying also modal shift policies to change the service quality of transport as sufficiency policies. Types of sufficiency policy instruments vary considerably from sector to sector, for instance the focus on financial incentives and fiscal instruments in the mobility sector, information in the building sector, and financial incentive/tax instruments in cross-sectoral application. Regulatory instruments currently play a minor role for sufficiency policy in the national energy and climate plans of EU member states. Similar to energy efficiency in recent decades, sufficiency still largely referred to as micro-level individual behaviour change or necessary exogenous trends that will need to take place. It is not treated yet as a genuine field of policy action to provide the necessary framework for enabling societal change.</w:t>
      </w:r>
    </w:p>
    <w:p>
      <w:pPr/>
      <w:r>
        <w:rPr>
          <w:b/>
        </w:rPr>
        <w:t>POSSIBLE 2021:</w:t>
      </w:r>
      <w:r>
        <w:t xml:space="preserve"> Digital entrepreneurship in developing countries: The role of institutional voids — https://doi.org/10.1016/j.techfore.2021.120876</w:t>
      </w:r>
    </w:p>
    <w:p>
      <w:pPr/>
      <w:r>
        <w:rPr>
          <w:b/>
        </w:rPr>
        <w:t>Shared claim-specific concepts:</w:t>
      </w:r>
      <w:r>
        <w:t xml:space="preserve"> those, role, positive, often; EU scope not established. This is a provisional connection, not an outcome finding.</w:t>
      </w:r>
    </w:p>
    <w:p>
      <w:pPr>
        <w:pStyle w:val="SourceNote"/>
      </w:pPr>
      <w:r>
        <w:rPr>
          <w:b/>
        </w:rPr>
        <w:t>Available abstract (not full text):</w:t>
      </w:r>
      <w:r>
        <w:t xml:space="preserve"> Entrepreneurship is often considered a key means to tackling the ongoing challenge of poverty among the rural populations in developing countries. We study how drawing on the support of various stakeholders—specifically family, community, and business partners—helps overcome institutional voids and foster entrepreneurship in Indian microenterprises. We also examine how the adoption of digital technologies—e.g., in the form of smartphone apps—can strengthen those relationships. By surveying more than 1,000 microentrepreneurs in rural India, we find that both the families and communities (in particular self-help groups) of entrepreneurs have a positive and significant effect on entrepreneurship that is strengthened when digital technologies are used. Support from business partners, however, is negatively associated with entrepreneurship.</w:t>
      </w:r>
    </w:p>
    <w:p>
      <w:pPr/>
      <w:r>
        <w:rPr>
          <w:b/>
        </w:rPr>
        <w:t>POSSIBLE 2021:</w:t>
      </w:r>
      <w:r>
        <w:t xml:space="preserve"> The Role of the European Education Area in European Union Integration in Times of Crises — https://doi.org/10.1017/s1062798721000016</w:t>
      </w:r>
    </w:p>
    <w:p>
      <w:pPr/>
      <w:r>
        <w:rPr>
          <w:b/>
        </w:rPr>
        <w:t>Shared claim-specific concepts:</w:t>
      </w:r>
      <w:r>
        <w:t xml:space="preserve"> role, few, common, surprising; EU scope visible. This is a provisional connection, not an outcome finding.</w:t>
      </w:r>
    </w:p>
    <w:p>
      <w:pPr>
        <w:pStyle w:val="SourceNote"/>
      </w:pPr>
      <w:r>
        <w:rPr>
          <w:b/>
        </w:rPr>
        <w:t>Available abstract (not full text):</w:t>
      </w:r>
      <w:r>
        <w:t xml:space="preserve"> The European Union has faced many crises, such as populism, xenophobia, economic and political challenges, to name a few. This has resulted in some questioning whether the EU will survive. Herein, the neo-institutionalist perspective on crises in EU integration frames an original and timely inquiry into the role of a new EU initiative – the European Education Area – in supporting EU integration in these challenging times. This inquiry relies on a thematic analysis of relevant key policy materials. The findings highlight that while it is not surprising that the EEA is an example of an education convergence project in the EU, the novelty of other findings is striking. It appears that the crises in the EU inspired the authors of the EEA to utilize its education as a tool for EU deepening, which is an aspect of EU integration related to the strengthening of the relationships amongst its Member States. Specifically, the EEA has been a driver in the development of a common European identity and European economy, the EU as a socially-just society and the continent of progress. These findings address important gaps of our knowledge about the role of education in driving EU integration.</w:t>
      </w:r>
    </w:p>
    <w:p>
      <w:pPr>
        <w:pStyle w:val="Heading2"/>
      </w:pPr>
      <w:r>
        <w:t>726. Soft-linking of a behavioral model for transport with energy system cost optimization applied to hydrogen in EU</w:t>
      </w:r>
    </w:p>
    <w:p>
      <w:pPr>
        <w:pStyle w:val="SourceNote"/>
      </w:pPr>
      <w:r>
        <w:rPr>
          <w:b/>
        </w:rPr>
        <w:t>Original source (2019):</w:t>
      </w:r>
      <w:r>
        <w:t xml:space="preserve"> https://doi.org/10.1016/j.rser.2019.109349</w:t>
      </w:r>
    </w:p>
    <w:p>
      <w:pPr/>
      <w:r>
        <w:t>Original wording (abstract; indexed_source_text_not_full_document_verified): The focus is on an energy system with 95% CO2 reduction by 2050. The policy with the largest impact on FCEV was a purchase subsidy of 5 k€ per vehicle in the 2030–2034 period resulting in 24.3 million FCEV (on top of 67 million without policy) sold up to 2050 with total subsidies of 84 bln€. 5 bln€ of R&amp;D incentives in the 2020–2024 period increased the cumulative sales up to 2050 by 10.5 million FCEV.</w:t>
      </w:r>
    </w:p>
    <w:p>
      <w:pPr/>
      <w:r>
        <w:rPr>
          <w:b/>
        </w:rPr>
        <w:t>POSSIBLE 2026:</w:t>
      </w:r>
      <w:r>
        <w:t xml:space="preserve"> Decentralized Energy Systems in the European Union — https://doi.org/10.4324/9781003781127-4</w:t>
      </w:r>
    </w:p>
    <w:p>
      <w:pPr/>
      <w:r>
        <w:rPr>
          <w:b/>
        </w:rPr>
        <w:t>Shared claim-specific concepts:</w:t>
      </w:r>
      <w:r>
        <w:t xml:space="preserve"> energy, system; EU scope visible. This is a provisional connection, not an outcome finding.</w:t>
      </w:r>
    </w:p>
    <w:p>
      <w:pPr>
        <w:pStyle w:val="SourceNote"/>
      </w:pPr>
      <w:r>
        <w:rPr>
          <w:b/>
        </w:rPr>
        <w:t>Available abstract (not full text):</w:t>
      </w:r>
      <w:r>
        <w:t xml:space="preserve"> This chapter examines the development of decentralized energy systems in the European Union (EU), focusing on electricity markets and the legal, regulatory, and institutional conditions that enable decentralization. It begins by situating EU energy policy within broader concerns relating to energy security, climate change, market liberalization, and geopolitical risk, highlighting the shift from centralized fossil-fuel-based systems toward decentralized, renewable-based models. The chapter explains the emergence of prosumers, energy communities, smart grids, and demand-response mechanisms, and analyzes how these developments challenge traditional roles of transmission and distribution system operators. It then assesses the EU legal framework supporting decentralization, including internal electricity market reforms, consumer rights, and regulatory oversight. Drawing on selected detailed country studies, the chapter evaluates national approaches to decentralization, smart meter deployment, and self-consumption regimes, identifying both progress and persistent barriers. Finally, it explores the role of smart grids, data governance, and cross-border market integration, highlighting the regulatory, technical, and social challenges that must be addressed for decentralized energy systems to function effectively across the EU.</w:t>
      </w:r>
    </w:p>
    <w:p>
      <w:pPr/>
      <w:r>
        <w:rPr>
          <w:b/>
        </w:rPr>
        <w:t>POSSIBLE 2026:</w:t>
      </w:r>
      <w:r>
        <w:t xml:space="preserve"> Climate and Energy Policy — https://doi.org/10.4324/9781003736134-18</w:t>
      </w:r>
    </w:p>
    <w:p>
      <w:pPr/>
      <w:r>
        <w:rPr>
          <w:b/>
        </w:rPr>
        <w:t>Shared claim-specific concepts:</w:t>
      </w:r>
      <w:r>
        <w:t xml:space="preserve"> energy, reduction; EU scope visible. This is a provisional connection, not an outcome finding.</w:t>
      </w:r>
    </w:p>
    <w:p>
      <w:pPr>
        <w:pStyle w:val="SourceNote"/>
      </w:pPr>
      <w:r>
        <w:rPr>
          <w:b/>
        </w:rPr>
        <w:t>Available abstract (not full text):</w:t>
      </w:r>
      <w:r>
        <w:t xml:space="preserve"> This chapter examines the role of AI in climate action and energy policy, focusing on its potential to support energy transition, grid modernisation, energy efficiency, renewable energy deployment, and emissions reduction. Through a comparative analysis of the European Union and Japan, it explores how both jurisdictions integrate AI into broader climate, energy, and industrial strategies. The chapter also considers the regulatory implications of AI in energy governance, including its potential to assist regulators and improve policy implementation. By linking technological innovation with sustainability objectives, the chapter highlights AI’s growing significance in shaping future climate and energy governance frameworks.</w:t>
      </w:r>
    </w:p>
    <w:p>
      <w:pPr/>
      <w:r>
        <w:rPr>
          <w:b/>
        </w:rPr>
        <w:t>POSSIBLE 2026:</w:t>
      </w:r>
      <w:r>
        <w:t xml:space="preserve"> PERSEUS-PtX: European Energy System Model and Dataset — https://doi.org/10.5281/zenodo.19480834</w:t>
      </w:r>
    </w:p>
    <w:p>
      <w:pPr/>
      <w:r>
        <w:rPr>
          <w:b/>
        </w:rPr>
        <w:t>Shared claim-specific concepts:</w:t>
      </w:r>
      <w:r>
        <w:t xml:space="preserve"> focus, energy, system; EU scope visible. This is a provisional connection, not an outcome finding.</w:t>
      </w:r>
    </w:p>
    <w:p>
      <w:pPr>
        <w:pStyle w:val="SourceNote"/>
      </w:pPr>
      <w:r>
        <w:rPr>
          <w:b/>
        </w:rPr>
        <w:t>Available abstract (not full text):</w:t>
      </w:r>
      <w:r>
        <w:t xml:space="preserve"> This repository contains the complete code and dataset of the European energy system model PERSEUS-PtX, a member of the PERSEUS model family. The model enables the analysis of European energy system transformation pathways with a particular focus on hydrogen and reactive metals. All components required for model runs and for the production of results, including processed output diagrams, are included. Background information on the model’s development, key features, and detailed instructions for execution and citation are provided in the accompanying README file. Funding is gratefully acknowledged, including support from the following organizations: Stiftung Energieforschung Baden-Württemberg, European Institute for Energy Research (EIFER), German Federal Ministry of Economic Affairs (BMWi/BMWK/BMWE), German Federal Ministry for the Environment, Climate Protection, Nature Conservation and Nuclear Safety (BMU/BMUB/BMUV/BMUKN), German Federal Ministry of Education and Research (BMBF), Baden-Württemberg Ministry for the Environment, Climate and Energy Sector, VolkswagenStiftung, Helmholtz-Gemeinschaft Deutscher Forschungszentren e.V., European Commission, Interreg, Deutsche Forschungsgemeinschaft (DFG), Projekt- und Studienfonds der schweizerischen Elektrizitätswirtschaft, BKW Energie AG, and Kraftwerke Oberhasli AG.</w:t>
      </w:r>
    </w:p>
    <w:p>
      <w:pPr/>
      <w:r>
        <w:rPr>
          <w:b/>
        </w:rPr>
        <w:t>POSSIBLE 2025:</w:t>
      </w:r>
      <w:r>
        <w:t xml:space="preserve"> A European review of the potential role of industrial clusters in the energy system when leveraging energy synergies — https://doi.org/10.1016/j.egyr.2025.10.019</w:t>
      </w:r>
    </w:p>
    <w:p>
      <w:pPr/>
      <w:r>
        <w:rPr>
          <w:b/>
        </w:rPr>
        <w:t>Shared claim-specific concepts:</w:t>
      </w:r>
      <w:r>
        <w:t xml:space="preserve"> focus, energy, system, increased; EU scope visible. This is a provisional connection, not an outcome finding.</w:t>
      </w:r>
    </w:p>
    <w:p>
      <w:pPr>
        <w:pStyle w:val="SourceNote"/>
      </w:pPr>
      <w:r>
        <w:rPr>
          <w:b/>
        </w:rPr>
        <w:t>Available abstract (not full text):</w:t>
      </w:r>
      <w:r>
        <w:t xml:space="preserve"> Concerns about the competitiveness of European industry led to the publication of the Draghi report. One of his recommendations is to install regional green industrial clusters around energy-intensive companies. The report identifies three benefit categories, each corresponding to typical industrial symbiosis cases: improved investment cases by shared local low-carbon energy generation, improved investment cases by shared infrastructure, and improved energy flows for increased resource efficiency. Industrial clusters hold untapped potential to advance the energy transition and climate neutrality. However, it is still unknown how and if this potential will ever be reached, nor how scalable and replicable the benefits will be. This review paper aims to take a first step in exploring the potential role of industrial clusters in the energy system by exposing the research state of the art in academic literature. A literature review is performed in line with the three benefit categories according to Draghi to understand the enablers and barriers of potential synergies and their impact on the energy system. Afterwards, the scalability is assessed by positioning the European industrial clusters in the larger renewable energy landscape. To illustrate the global interest, a brief reflection is made on references to industrial clusters in the policy of non-European regions. The work concl</w:t>
      </w:r>
    </w:p>
    <w:p>
      <w:pPr/>
      <w:r>
        <w:rPr>
          <w:b/>
        </w:rPr>
        <w:t>POSSIBLE 2025:</w:t>
      </w:r>
      <w:r>
        <w:t xml:space="preserve"> Exploring configurations of a European energy system within the planetary boundaries — https://doi.org/10.1088/1748-9326/ade26b</w:t>
      </w:r>
    </w:p>
    <w:p>
      <w:pPr/>
      <w:r>
        <w:rPr>
          <w:b/>
        </w:rPr>
        <w:t>Shared claim-specific concepts:</w:t>
      </w:r>
      <w:r>
        <w:t xml:space="preserve"> focus, energy, system, reduction, without; EU scope visible. This is a provisional connection, not an outcome finding.</w:t>
      </w:r>
    </w:p>
    <w:p>
      <w:pPr>
        <w:pStyle w:val="SourceNote"/>
      </w:pPr>
      <w:r>
        <w:rPr>
          <w:b/>
        </w:rPr>
        <w:t>Available abstract (not full text):</w:t>
      </w:r>
      <w:r>
        <w:t xml:space="preserve"> Abstract Planetary Boundaries and other carrying capacities define a safe operating space for humanity. However, current energy system models often address sustainability too narrowly with a focus on greenhouse gas emissions during the operational phase, and neglecting other environmental impacts can lead to suboptimal and unsustainable energy systems. This study integrates environmental impacts and planetary boundaries as constraints into a multi-sectoral energy system model to explore sustainable configurations for the European energy system in 2050. Our results indicate that it will not be possible to stay within all allocated carrying capacities without a combined application of energy demand reduction, large-scale deployment of renewable energies, electrification of heating, and technological improvements. Specifically, with the most permissive allocation principle, European electricity and heat demand must be limited to 3550 TWh e and 4655 TWh th to remain within the planetary boundaries, which represents a 22% and 24% reduction compared to 2050 projected final energy demand for the sectors of electricity and heat, excluding transport and fuels demands. Results show that scenario normally considered ‘Net Zero’ would transgress the allocated budget for climate change by 70%, despite a high deployment of renewable energies, when life cycle impacts are considered. All genera</w:t>
      </w:r>
    </w:p>
    <w:p>
      <w:pPr/>
      <w:r>
        <w:rPr>
          <w:b/>
        </w:rPr>
        <w:t>POSSIBLE 2024:</w:t>
      </w:r>
      <w:r>
        <w:t xml:space="preserve"> EU Energy Securitisation: Ukraine's Place in the European Energy System — https://doi.org/10.53317/2786-4774-2024-1-8</w:t>
      </w:r>
    </w:p>
    <w:p>
      <w:pPr/>
      <w:r>
        <w:rPr>
          <w:b/>
        </w:rPr>
        <w:t>Shared claim-specific concepts:</w:t>
      </w:r>
      <w:r>
        <w:t xml:space="preserve"> energy, system, increased; EU scope visible. This is a provisional connection, not an outcome finding.</w:t>
      </w:r>
    </w:p>
    <w:p>
      <w:pPr>
        <w:pStyle w:val="SourceNote"/>
      </w:pPr>
      <w:r>
        <w:rPr>
          <w:b/>
        </w:rPr>
        <w:t>Available abstract (not full text):</w:t>
      </w:r>
      <w:r>
        <w:t xml:space="preserve"> This article focuses on the investigation of the European Union's securitisation policy in the energy sector, in particular, the provision of energy carriers to the Union, which was developed in response to Russia's energy wars of 2006–2007 and 2008–2009 against Ukraine and indirectly against the European Union. The theory of securitisation, formulated by S. Ozkan, B. Buzan and other researchers, focuses not so much on eliminating the consequences of crises as on creating a system of securitisation for the relevant industries with increased stress resistance, diversification of economic and technological ties with partners and strengthening the social orientation of their functioning. The algorithmization of this policy and the changes that led to the institutional response to Russian aggression in the energy sector are investigated. The research is based on the approach of sociological (neo)institutionalism, which allows explaining political processes in terms of not only economic benefits, but also their importance for the development of other spheres of public life and international cooperation. This approach is based on the notion that, first, the institutional environment in which a particular institution operates provides it with the necessary resources, as well as legitimates and regulates its activities. As a result, sociological institutionalism emphasises the role of </w:t>
      </w:r>
    </w:p>
    <w:p>
      <w:pPr/>
      <w:r>
        <w:rPr>
          <w:b/>
        </w:rPr>
        <w:t>POSSIBLE 2024:</w:t>
      </w:r>
      <w:r>
        <w:t xml:space="preserve"> The Effectiveness of the EU ETS Policy in Changing the Energy Mix in Selected European Countries — https://doi.org/10.3390/en17174243</w:t>
      </w:r>
    </w:p>
    <w:p>
      <w:pPr/>
      <w:r>
        <w:rPr>
          <w:b/>
        </w:rPr>
        <w:t>Shared claim-specific concepts:</w:t>
      </w:r>
      <w:r>
        <w:t xml:space="preserve"> energy, co2, reduction; EU scope visible. This is a provisional connection, not an outcome finding.</w:t>
      </w:r>
    </w:p>
    <w:p>
      <w:pPr>
        <w:pStyle w:val="SourceNote"/>
      </w:pPr>
      <w:r>
        <w:rPr>
          <w:b/>
        </w:rPr>
        <w:t>Available abstract (not full text):</w:t>
      </w:r>
      <w:r>
        <w:t xml:space="preserve"> In the field of economic analysis, the study of the EU ETS policy has primarily focused on the impact of renewable energy consumption on economic growth, as well as the role of legal and fiscal instruments in the development of clean energy. This study aimed to evaluate the effectiveness of the EU ETS policy in altering the energy mix of selected European countries, providing both cognitive and applicational value. The evaluation of the effectiveness of this policy focused on the structure of the energy mix and the relationship between rising CO2 emission allowance prices and the decreasing share of coal in the energy mix. The goal was achieved through statistical analysis of secondary sources, primarily sourced from Bloomberg (2016–2024). The research findings indicated that changes in the structure of energy sources varied across the studied European countries, due to the adopted energy source utilization strategy, resource availability, and geopolitical situations. Additionally, different correlation values were noted between rising CO2 emission allowance prices and the expected reduction in fossil fuel use. Therefore, the EU ETS policy does not fulfill its assigned role—its implementation contributes to disparities in the economic situations of European economies and creates conditions for unequal competition.</w:t>
      </w:r>
    </w:p>
    <w:p>
      <w:pPr/>
      <w:r>
        <w:rPr>
          <w:b/>
        </w:rPr>
        <w:t>POSSIBLE 2024:</w:t>
      </w:r>
      <w:r>
        <w:t xml:space="preserve"> The Impact of Deep Decarbonization Policy on the Level of Greenhouse Gas Emissions in the European Union — https://doi.org/10.3390/en17051245</w:t>
      </w:r>
    </w:p>
    <w:p>
      <w:pPr/>
      <w:r>
        <w:rPr>
          <w:b/>
        </w:rPr>
        <w:t>Shared claim-specific concepts:</w:t>
      </w:r>
      <w:r>
        <w:t xml:space="preserve"> focus, energy, reduction; EU scope visible. This is a provisional connection, not an outcome finding.</w:t>
      </w:r>
    </w:p>
    <w:p>
      <w:pPr>
        <w:pStyle w:val="SourceNote"/>
      </w:pPr>
      <w:r>
        <w:rPr>
          <w:b/>
        </w:rPr>
        <w:t>Available abstract (not full text):</w:t>
      </w:r>
      <w:r>
        <w:t xml:space="preserve"> The Green Deal, a cornerstone of the European Union’s climate goals, sets out to achieve a substantial 55% reduction in greenhouse gas emissions by 2030 compared to 1990 levels. The EU’s decarbonization strategies revolve around three pivotal avenues. First, there is a focus on enhancing energy efficiency and decreasing the energy intensity of economies. Second, concerted efforts are made to diminish the reliance on fossil fuels, particularly within industrial sectors. Lastly, there is a deliberate push to augment the share of renewable energy sources in the final energy consumption mix. These measures collectively aim to propel the decarbonization of EU economies, establishing EU member countries as global leaders in implementing these transformative processes. This manuscript seeks to evaluate the efficacy of three primary decarbonization strategies adopted by EU economies, namely the enhancement in energy efficiency, the promotion of renewable energy consumption and the reduction in fossil fuel consumption. The objective is to discern which strategies wield a decisive influence in achieving decarbonization goals across EU countries. The analysis encompasses all 27 member states of the European Union, spanning from 1990 to 2022, with data sourced from reputable outlets, including Eurostat, Our World in Data and the Energy Institute. Research findings underscore that, in the r</w:t>
      </w:r>
    </w:p>
    <w:p>
      <w:pPr/>
      <w:r>
        <w:rPr>
          <w:b/>
        </w:rPr>
        <w:t>POSSIBLE 2024:</w:t>
      </w:r>
      <w:r>
        <w:t xml:space="preserve"> Energy storage and climate impacts on the future renewable European energy system — https://openalex.org/W4412222428</w:t>
      </w:r>
    </w:p>
    <w:p>
      <w:pPr/>
      <w:r>
        <w:rPr>
          <w:b/>
        </w:rPr>
        <w:t>Shared claim-specific concepts:</w:t>
      </w:r>
      <w:r>
        <w:t xml:space="preserve"> focus, energy, system, co2, resulting, without; EU scope visible. This is a provisional connection, not an outcome finding.</w:t>
      </w:r>
    </w:p>
    <w:p>
      <w:pPr>
        <w:pStyle w:val="SourceNote"/>
      </w:pPr>
      <w:r>
        <w:rPr>
          <w:b/>
        </w:rPr>
        <w:t>Available abstract (not full text):</w:t>
      </w:r>
      <w:r>
        <w:t xml:space="preserve"> The world stands before the critical mission of mitigating climate change by reducing greenhouse gas emissions at such a pace that catastrophic repercussions are avoided. A primary step towards this goal is to decarbonize the energy sector. This task involves a massive rollout of renewables to replace the fossil-fueled energy supply and to meet a growing demand for electricity resulting from the transformation of all energy sectors. As variable renewable energy increasingly emerges as the predominant source of electricity, the generation of electricity becomes more volatile. Consequently, future energy systems must be equipped with adequate backup and storage infrastructure to ensure a reliable energy supply. This PhD thesis, written as a compilation of research articles, adopts a bottom-up energy system modeling approach that rely on techno-economic optimization to provide insight into this context. The investigations focus on a future sector-coupled European energy system, encompassing the determination of electricity storage technology requirements to qualify in a competitive market, an exploration of energy-related impacts of climate change and interannual weather variability, and the examination of cost-optimal measures to ensure robustness to interannual weather variability and fuel import disruptions. The first study, presented in Chapter 2, addresses a gap in the litera</w:t>
      </w:r>
    </w:p>
    <w:p>
      <w:pPr/>
      <w:r>
        <w:rPr>
          <w:b/>
        </w:rPr>
        <w:t>POSSIBLE 2024:</w:t>
      </w:r>
      <w:r>
        <w:t xml:space="preserve"> Energy Communities as an Alternative Way of Organizing the Energy System in Europe: Key Societal Aspects — https://doi.org/10.1002/9783527843282.ch11</w:t>
      </w:r>
    </w:p>
    <w:p>
      <w:pPr/>
      <w:r>
        <w:rPr>
          <w:b/>
        </w:rPr>
        <w:t>Shared claim-specific concepts:</w:t>
      </w:r>
      <w:r>
        <w:t xml:space="preserve"> focus, energy, system; EU scope visible. This is a provisional connection, not an outcome finding.</w:t>
      </w:r>
    </w:p>
    <w:p>
      <w:pPr>
        <w:pStyle w:val="SourceNote"/>
      </w:pPr>
      <w:r>
        <w:rPr>
          <w:b/>
        </w:rPr>
        <w:t>Available abstract (not full text):</w:t>
      </w:r>
      <w:r>
        <w:t xml:space="preserve"> The European energy system is undergoing transformation due to the climate crisis, advancing digitalization, and the increasing demand for greater citizen engagement. Energy communities are recognized as crucial catalysts for the transition toward sustainable energy. While the communities have for long focused on collective generation only, recently they are increasingly involved in new activities, such as providing, distributing, and balancing energy and flexibility. By doing so, energy communities are not only becoming a new actor in the energy system, but they also offer an alternative way of organizing it based on the need for independence from the energy suppliers, social cohesion, or support to the local economy. However, the current energy system operates predominantly in a top-down, central way with large power units, transmission, and distribution operators. Market participation is based on high liquidity levels, professionalization, and large volumes that communities do not have and, mostly, do not want. For communities, this implies the necessity to deal with many barriers and challenges. To make space for energy communities, changes are necessary in the organization of the current energy system. In this chapter, we investigate the energy communities as a new form of organizing the European energy system and we analyze how the current energy system provides obstacles</w:t>
      </w:r>
    </w:p>
    <w:p>
      <w:pPr/>
      <w:r>
        <w:rPr>
          <w:b/>
        </w:rPr>
        <w:t>POSSIBLE 2023:</w:t>
      </w:r>
      <w:r>
        <w:t xml:space="preserve"> Power-to-hydrogen and hydrogen-to-X energy systems for the industry of the future in Europe — https://doi.org/10.1016/j.ijhydene.2023.01.194</w:t>
      </w:r>
    </w:p>
    <w:p>
      <w:pPr/>
      <w:r>
        <w:rPr>
          <w:b/>
        </w:rPr>
        <w:t>Shared claim-specific concepts:</w:t>
      </w:r>
      <w:r>
        <w:t xml:space="preserve"> focus, energy; EU scope visible. This is a provisional connection, not an outcome finding.</w:t>
      </w:r>
    </w:p>
    <w:p>
      <w:pPr>
        <w:pStyle w:val="SourceNote"/>
      </w:pPr>
      <w:r>
        <w:rPr>
          <w:b/>
        </w:rPr>
        <w:t>Available abstract (not full text):</w:t>
      </w:r>
      <w:r>
        <w:t xml:space="preserve"> The EU is promoting hydrogen as enabling energy carrier that may account for up to 20% of energy and especially fulfill between 20% and 50% of transportation demands and between 5% and 20% of industrial needs. To ensure the success of this shift, Power-to-Hydrogen and Hydrogen-to-X technologies have attracted significant interest because they transform renewable power directly into green hydrogen, via water electrolysis, which can be stored and transferred more readily than other fuels for several end-uses. The present paper aims to discuss the role of such technologies in the current and future energy systems, with a specific reference to the European scenario. The main energy sectors where hydrogen could play an important role will be discussed, such as transportation, power generation, manufacturing sectors, refining and agriculture, with a focus on potential technological integration and synergies, providing a guideline for industrial players up to 2050 with a discussion about technology maturity by presenting short-term/long-term roadmaps.</w:t>
      </w:r>
    </w:p>
    <w:p>
      <w:pPr/>
      <w:r>
        <w:rPr>
          <w:b/>
        </w:rPr>
        <w:t>POSSIBLE 2023:</w:t>
      </w:r>
      <w:r>
        <w:t xml:space="preserve"> Energy Systems — https://doi.org/10.1017/9781009157926.008</w:t>
      </w:r>
    </w:p>
    <w:p>
      <w:pPr/>
      <w:r>
        <w:rPr>
          <w:b/>
        </w:rPr>
        <w:t>Shared claim-specific concepts:</w:t>
      </w:r>
      <w:r>
        <w:t xml:space="preserve"> energy, system, without, total, increased; EU scope not established. This is a provisional connection, not an outcome finding.</w:t>
      </w:r>
    </w:p>
    <w:p>
      <w:pPr>
        <w:pStyle w:val="SourceNote"/>
      </w:pPr>
      <w:r>
        <w:rPr>
          <w:b/>
        </w:rPr>
        <w:t>Available abstract (not full text):</w:t>
      </w:r>
      <w:r>
        <w:t xml:space="preserve"> Warming cannot be limited to well below 2°C without rapid and deep reductions in energy system carbon dioxide (CO 2 ) and greenhouse gas (GHG) emissions.In scenarios limiting warming to 1.5°C (&gt;50%) with no or limited overshoot (2°C (&gt;67%) with action starting in 2020), net energy system CO 2 emissions (interquartile range) fall by 87-97% (60-79%) in 2050.In 2030, in scenarios limiting warming to 1.5°C (&gt;50%) with no or limited overshoot, net CO 2 and GHG emissions fall by 35-51% and 38-52% respectively.In scenarios limiting warming to 1.5°C (&gt;50%) with no or limited overshoot (2°C (&gt;67%)), net electricity sector CO 2 emissions reach zero globally between 2045 and 2055 (2050 and 2080).(high confidence) {6.7} Limiting warming to well below 2°C will require substantial energy system changes over the next 30 years.This includes reduced fossil fuel consumption, increased production from low-and zero-carbon energy sources, and increased use of electricity and alternative energy carriers.Coal consumption without carbon capture and storage (CCS) falls by 67-82% (interquartile range) in 2030 in scenarios limiting warming to 1.5°C (&gt;50%) with no or limited overshoot.Oil and gas consumption fall more slowly.Low-carbon sources produce 93-97% of global electricity by 2050 in scenarios that limit warming to 2°C (&gt;67%) with action starting in 2020.In scenarios limiting warming to 1.5°C (&gt;50%</w:t>
      </w:r>
    </w:p>
    <w:p>
      <w:pPr>
        <w:pStyle w:val="Heading2"/>
      </w:pPr>
      <w:r>
        <w:t>727. Solar Photovoltaic Electricity Generation: A Lifeline for the European Coal Regions in Transition</w:t>
      </w:r>
    </w:p>
    <w:p>
      <w:pPr>
        <w:pStyle w:val="SourceNote"/>
      </w:pPr>
      <w:r>
        <w:rPr>
          <w:b/>
        </w:rPr>
        <w:t>Original source (2019):</w:t>
      </w:r>
      <w:r>
        <w:t xml:space="preserve"> https://doi.org/10.3390/su11133703</w:t>
      </w:r>
    </w:p>
    <w:p>
      <w:pPr/>
      <w:r>
        <w:t>Original wording (abstract; indexed_source_text_not_full_document_verified): According to the International Energy Agency, these emissions have to be reduced by more than 70% by 2040 to stay on track for the 1.5–2 °C scenario suggested by the Paris Agreement.</w:t>
      </w:r>
    </w:p>
    <w:p>
      <w:pPr/>
      <w:r>
        <w:rPr>
          <w:b/>
        </w:rPr>
        <w:t>POSSIBLE 2026:</w:t>
      </w:r>
      <w:r>
        <w:t xml:space="preserve"> Assessment of Energy Efficiency of the European Union Countries and Their Grouping by Qualimetric Methods — https://doi.org/10.1109/ess70338.2026.11536735</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The European Union Green Deal highlights the strategic necessity of enhancing productivity within the energy sectors of member states. The aim of this study is to assess the energy efficiency performance of European Union countries and classify them through the application of a nonlinear functional relationship. Alongside the conventional linear normalisation approach, a nonlinear normalisation method for grouping countries is proposed. This approach is based on establishing a functional dependence between the actual indicator values and their corresponding scores on a dimensionless scale. As a result, the countries were categorised into three groups according to their level of energy efficiency. The developed methodology for country classification is universal and may be applied to a wide range of international comparative analyses.</w:t>
      </w:r>
    </w:p>
    <w:p>
      <w:pPr/>
      <w:r>
        <w:rPr>
          <w:b/>
        </w:rPr>
        <w:t>POSSIBLE 2026:</w:t>
      </w:r>
      <w:r>
        <w:t xml:space="preserve"> Energy security, energy consumption, and stringent climate policy in European Union countries: Is environmental tax effective? — https://doi.org/10.1016/j.esr.2026.102045</w:t>
      </w:r>
    </w:p>
    <w:p>
      <w:pPr/>
      <w:r>
        <w:rPr>
          <w:b/>
        </w:rPr>
        <w:t>Shared claim-specific concepts:</w:t>
      </w:r>
      <w:r>
        <w:t xml:space="preserve"> according, international, energy, agency; EU scope visible. This is a provisional connection, not an outcome finding.</w:t>
      </w:r>
    </w:p>
    <w:p>
      <w:pPr>
        <w:pStyle w:val="SourceNote"/>
      </w:pPr>
      <w:r>
        <w:rPr>
          <w:b/>
        </w:rPr>
        <w:t>Available abstract (not full text):</w:t>
      </w:r>
      <w:r>
        <w:t xml:space="preserve"> According to the International Energy Agency, energy security means that energy sources are always available at an affordable price. However, the 2021 and 2022 energy crises and the current global situation raise concerns about energy availability and affordability. As countries, especially European countries, have started implementing stringent climate policies to prevent climate change and global warming, examining how these policies can mitigate climate change while ensuring energy security is critical. In so doing, we analyze the relationship between energy consumption, stringent climate policies, and energy security by focusing on the role of these policies in this relationship. We found that a 1 % increase in the environmental tax rate increases energy security by 0.01 %. In comparison, a 1 % increase in fossil fuel consumption reduces energy security by 0.05 %, and a 1 % increase in renewable energy reduces energy security by 0.07 %. We also found that stringent climate policies mitigate the negative impact of fossil fuel consumption on energy security in European countries, as a 1 % increase in the combination of environmental tax rate and fossil fuel consumption contributes to energy security by 0.01 %. Finally, the results show that stringent climate policies reduce the negative impact of renewable energy consumption on energy security from 0.07 % to 0.017 %. These fi</w:t>
      </w:r>
    </w:p>
    <w:p>
      <w:pPr/>
      <w:r>
        <w:rPr>
          <w:b/>
        </w:rPr>
        <w:t>POSSIBLE 2025:</w:t>
      </w:r>
      <w:r>
        <w:t xml:space="preserve"> A gridded inventory of anthropogenic hydrogen emissions in Europe — https://doi.org/10.1016/j.isci.2025.114095</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/year). However, hydrogen production is expected to increase 5- to 6-fold by 2050. Under such a scenario, hydrogen emissions from the hydrogen value chain can dominate hydrogen emissions in Europe and could undermine the climate benefits of hydrogen as an energy carrier, if not properly managed.</w:t>
      </w:r>
    </w:p>
    <w:p>
      <w:pPr/>
      <w:r>
        <w:rPr>
          <w:b/>
        </w:rPr>
        <w:t>POSSIBLE 2025:</w:t>
      </w:r>
      <w:r>
        <w:t xml:space="preserve"> "Biomass crops for sustainable energy in Europe: contributions to bioenergy, environment, and energy security" — https://doi.org/10.1080/17429145.2025.2564839</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By using marginal lands and enhancing biodiversity, biomass crops can significantly contribute to global energy security and climate change mitigation. European policies underscore the significance of renewable energy sources, positioning biomass crops as a focal point in achieving energy and environmental sustainability objectives. The increasing global population and excessive energy consumption have resulted in a significant energy crisis and climate change, prompting a transition towards sustainable, renewable energy sources. Biomass crops present a promising solution through the generation of bioenergy, the reduction of greenhouse gas emissions, and the enhancement of carbon sequestration. Perennial biomass crops, such as miscanthus, cup plants, and switchgrass, have gained popularity in Europe because of their high biomass yield and quality. These crops also provide ecosystem services, such as soil nutrient cycling. The utilization of biomass crops as raw materials for biofuels and phytochemicals further increases their attractiveness for both farmers and society, which are suitable for growing on marginal land with low inputs. Nonetheless, most of these crops encounter challenges from abiotic stresses, such as drought and heavy metal pollution, which can hinder their growth and productivity. Understanding the mechanisms by which biomass crops tolerate these stresses is e</w:t>
      </w:r>
    </w:p>
    <w:p>
      <w:pPr/>
      <w:r>
        <w:rPr>
          <w:b/>
        </w:rPr>
        <w:t>POSSIBLE 2024:</w:t>
      </w:r>
      <w:r>
        <w:t xml:space="preserve"> Energy in Europe: The influence of uncertainty on biogas development — https://openalex.org/W4397049276</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Driven by the effects of climate change, renewable energy production is growing at a fast pace. Forexample, biogas production using anaerobic digestion holds great potential (78 billion m3) in Europe.There has been a significant increase in the number of biogas plants in Europe, with a 40 percent increasein the number of installations between 2020 and 2021, and other development projects in the pipeline topromote renewable energy at European level, such as in the REPowerEU plan. However, for decadesnow, technical, political, and social uncertainties have limited the development of biogas production inEurope, and especially in France. Methods used to estimate bioCH4 potential showed a wide dispersion,due to the high variability of biomass and microbial communities. Uncertainty arising from changes inlaw and regulation has a negative impact on the economics of biogas projects. Another factor is socialuncertainty, driven in particular by the “Not In My BackYard” (NIMBY) effect and economic costs,incidents due to the operator’s lack of training, insufficient monitoring by the authorities, and inadequatepollution control measures</w:t>
      </w:r>
    </w:p>
    <w:p>
      <w:pPr/>
      <w:r>
        <w:rPr>
          <w:b/>
        </w:rPr>
        <w:t>POSSIBLE 2023:</w:t>
      </w:r>
      <w:r>
        <w:t xml:space="preserve"> UKRAINE IN THE INTERNATIONAL ENERGY COORDINATE SYSTEM — https://doi.org/10.20998/2313-8890.2023.01.04</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The conditions of operation of the electric power system of Ukraine are analyzed. According to the results of the analysis, it was found that the presence of electric power equipment, which has already served the period of operation established by the standards, and Russian aggression on the territory of Ukraine led to force majeure situations in the state's electric power sector. It is shown that the existing realities provoke a critical situation both in the electric power system of Ukraine and in its interaction with the united power system of continental Europe ENTSO-E. It is substantiated that even in the event of extraordinary circumstances or force majeure situations, the electricity system of Ukraine ensures balance stability, which meets European requirements for ensuring the efficient operation of Ukrainian electricity networks as part of the unified energy system of continental Europe ENTSO-E. The expediency of intensifying cooperation with the international community through Ukraine's participation in international programs and projects to implement issues of energy security, energy saving and energy efficiency under the conditions of integration of the Ukrainian economy into the world economy on an equal and mutually beneficial basis is proposed.</w:t>
      </w:r>
    </w:p>
    <w:p>
      <w:pPr/>
      <w:r>
        <w:rPr>
          <w:b/>
        </w:rPr>
        <w:t>POSSIBLE 2023:</w:t>
      </w:r>
      <w:r>
        <w:t xml:space="preserve"> Energy Economic Development in Europe — https://doi.org/10.3390/books978-3-0365-7112-6</w:t>
      </w:r>
    </w:p>
    <w:p>
      <w:pPr/>
      <w:r>
        <w:rPr>
          <w:b/>
        </w:rPr>
        <w:t>Shared claim-specific concepts:</w:t>
      </w:r>
      <w:r>
        <w:t xml:space="preserve"> energy, emissions;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2023:</w:t>
      </w:r>
      <w:r>
        <w:t xml:space="preserve"> Empowering whose future? A European policy analysis of children in energy poverty — https://doi.org/10.1016/j.erss.2023.103328</w:t>
      </w:r>
    </w:p>
    <w:p>
      <w:pPr/>
      <w:r>
        <w:rPr>
          <w:b/>
        </w:rPr>
        <w:t>Shared claim-specific concepts:</w:t>
      </w:r>
      <w:r>
        <w:t xml:space="preserve"> according, international, energy; EU scope visible. This is a provisional connection, not an outcome finding.</w:t>
      </w:r>
    </w:p>
    <w:p>
      <w:pPr>
        <w:pStyle w:val="SourceNote"/>
      </w:pPr>
      <w:r>
        <w:rPr>
          <w:b/>
        </w:rPr>
        <w:t>Available abstract (not full text):</w:t>
      </w:r>
      <w:r>
        <w:t xml:space="preserve"> Children experience distinct impacts on their mental and physical health as well as their educational attainment as a result of living in energy poverty, according to multiple sources. International guidelines, such as the UN Convention on the Rights of the Child, underline the right of every child to an adequate standard of living and the need for all policies to consider the specific needs of children. This paper aims to understand the extent to which energy policies take explicit account of children in energy poverty and endeavour to address their distinct needs and the impacts they experience. The investigation is based on an analysis of EU-SILC data and policy documents across the 28 countries that (at the end of 2019) formed the European Union. The analysis reveals that children are mostly only considered within the wider family context, with larger families tending to receive greater support, despite evidence that single-parent families are at higher risk of energy poverty. Children are characterised as passive subjects in energy policy; their perspectives and needs are not considered in policy development.</w:t>
      </w:r>
    </w:p>
    <w:p>
      <w:pPr/>
      <w:r>
        <w:rPr>
          <w:b/>
        </w:rPr>
        <w:t>POSSIBLE 2023:</w:t>
      </w:r>
      <w:r>
        <w:t xml:space="preserve"> International experience in the use of alternative energy sources (within the European Union) — https://doi.org/10.31548/law/3.2023.46</w:t>
      </w:r>
    </w:p>
    <w:p>
      <w:pPr/>
      <w:r>
        <w:rPr>
          <w:b/>
        </w:rPr>
        <w:t>Shared claim-specific concepts:</w:t>
      </w:r>
      <w:r>
        <w:t xml:space="preserve"> international, energy; EU scope visible. This is a provisional connection, not an outcome finding.</w:t>
      </w:r>
    </w:p>
    <w:p>
      <w:pPr>
        <w:pStyle w:val="SourceNote"/>
      </w:pPr>
      <w:r>
        <w:rPr>
          <w:b/>
        </w:rPr>
        <w:t>Available abstract (not full text):</w:t>
      </w:r>
      <w:r>
        <w:t xml:space="preserve"> The relevance of the chosen subject is due to the problem of the lack of conventional energy resources in the global and Ukrainian energy sectors. This problem is caused by a combination of external factors (outdated technologies, lack of oil, coal, and gas reserves) and internal factors, such as Russia’s military aggression against Ukraine, and its manipulative policy towards other countries, which encourages the European community to look for other options to ensure energy security. This gave a new urgency to the issue of activating the development of alternative energy. The purpose of the study is to analyse international experience in the use of alternative (renewable) energy and formulate conceptual methods and approaches to solving global energy problems. A combination of general scientific methods was used, primarily dialectical, analytical, concrete-sociological, and from special legal methods – comparative legal. The results obtained indicate that the use of alternative energy sources in the European Union countries will continue to develop in the future. Based on data from Regulatory Indicators for Sustainable Energy, it is confirmed that Denmark, Germany, and the Republic of Poland are currently the leaders in the use of renewable energy sources in the EU countries. The study analyses the successful experience of these countries in the use of renewable energy sources</w:t>
      </w:r>
    </w:p>
    <w:p>
      <w:pPr/>
      <w:r>
        <w:rPr>
          <w:b/>
        </w:rPr>
        <w:t>POSSIBLE 2023:</w:t>
      </w:r>
      <w:r>
        <w:t xml:space="preserve"> A Simple and Effective Model for Predicting the Thermal Energy Requirements of Greenhouses in Europe — https://doi.org/10.3390/en16196788</w:t>
      </w:r>
    </w:p>
    <w:p>
      <w:pPr/>
      <w:r>
        <w:rPr>
          <w:b/>
        </w:rPr>
        <w:t>Shared claim-specific concepts:</w:t>
      </w:r>
      <w:r>
        <w:t xml:space="preserve"> according, energy; EU scope visible. This is a provisional connection, not an outcome finding.</w:t>
      </w:r>
    </w:p>
    <w:p>
      <w:pPr>
        <w:pStyle w:val="SourceNote"/>
      </w:pPr>
      <w:r>
        <w:rPr>
          <w:b/>
        </w:rPr>
        <w:t>Available abstract (not full text):</w:t>
      </w:r>
      <w:r>
        <w:t xml:space="preserve"> In this paper, a simple model is proposed for predicting the thermal energy requirements of greenhouses in Europe. The model estimates the annual heating requirements and the maximum required heating power, along with the corresponding heating and zero-energy operating periods. It is based on the greenhouse technical data (the overall heat loss coefficient, cover transmission, sensible absorbance), the cultivation conditions (temperature range), and the meteorological data (solar radiation and ambient temperature) according to the site characteristics (longitude and latitude). The model results can be obtained using a hand calculator. The model results are compared with those of a detailed model simulating a greenhouse’s thermal performance and they agreed with real data from the literature. Moreover, a model sensitivity analysis revealed the effect of various factors on the greenhouse’s energy requirements. The results proved that the most significant factor affecting heating requirements, the maximum heating power, and heating periods is the latitude of the greenhouse site, whereas zero-energy periods are primarily influenced by the plant cultivation temperature range and then by the latitude. According to our findings, in lower latitudes (40 to 50 degrees), heating requirements range from 250 to 430 kWh/m2/y, whereas, in higher latitudes (50 to 60 degrees), heating needs ran</w:t>
      </w:r>
    </w:p>
    <w:p>
      <w:pPr/>
      <w:r>
        <w:rPr>
          <w:b/>
        </w:rPr>
        <w:t>POSSIBLE 2022:</w:t>
      </w:r>
      <w:r>
        <w:t xml:space="preserve"> Does the transition to renewable energy increase inflation in European countries? — https://doi.org/10.21203/rs.3.rs-1408222/v1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2022:</w:t>
      </w:r>
      <w:r>
        <w:t xml:space="preserve"> Review of PV Solar Energy Development 2011–2021 in Central European Countries — https://doi.org/10.3390/en15218307</w:t>
      </w:r>
    </w:p>
    <w:p>
      <w:pPr/>
      <w:r>
        <w:rPr>
          <w:b/>
        </w:rPr>
        <w:t>Shared claim-specific concepts:</w:t>
      </w:r>
      <w:r>
        <w:t xml:space="preserve"> according, international, energy, agency; EU scope visible. This is a provisional connection, not an outcome finding.</w:t>
      </w:r>
    </w:p>
    <w:p>
      <w:pPr>
        <w:pStyle w:val="SourceNote"/>
      </w:pPr>
      <w:r>
        <w:rPr>
          <w:b/>
        </w:rPr>
        <w:t>Available abstract (not full text):</w:t>
      </w:r>
      <w:r>
        <w:t xml:space="preserve"> According to the data collected in 2022 during 5th International Off-Grid Renewable Energy Conference organized in Abu Dhabi by the International Renewable Energy Agency, the global energy requirements show a negative impact on approximately 785 million people facing energy poverty. The long-term energy sustainability solutions should consider off-grid solutions in the planning of an energy mix and be considered as interim both in remote and already urbanized areas. These measures require integrated planning and partnering with local distribution networks. The review presents the development of photovoltaic installations in Central European countries. For more than 40 years, this area belonged to different regimes and joined the European Union at various dates. Hence, the development of energy policies and cultural and social expectations differ even when based on the Green Deal presented by the European Union in 2020. The outcomes prove that even with a variety of policy measures, the strongest boost can be given only by a set of national rules and financial incentives supporting the stakeholders. It should be noted that the advancement of PV often does not rely on climatic conditions, but more on the level of incentives undertaken by each country, as well as the general policy measures undertaken on the EU level.</w:t>
      </w:r>
    </w:p>
    <w:p>
      <w:pPr>
        <w:pStyle w:val="Heading2"/>
      </w:pPr>
      <w:r>
        <w:t>728. The Dutch Public Health Foresight Study 2018: an example of a comprehensive foresight exercise</w:t>
      </w:r>
    </w:p>
    <w:p>
      <w:pPr>
        <w:pStyle w:val="SourceNote"/>
      </w:pPr>
      <w:r>
        <w:rPr>
          <w:b/>
        </w:rPr>
        <w:t>Original source (2019):</w:t>
      </w:r>
      <w:r>
        <w:t xml:space="preserve"> https://doi.org/10.1093/eurpub/ckz200</w:t>
      </w:r>
    </w:p>
    <w:p>
      <w:pPr/>
      <w:r>
        <w:t>Original wording (abstract; indexed_source_text_not_full_document_verified): Conclusions Long-term thinking could be stimulated by using back casting techniques and stronger involvement of policy-makers in the elaboration of options for action. Lessons learned from developing intersectoral policy at the local level could be applied at the national level.</w:t>
      </w:r>
    </w:p>
    <w:p>
      <w:pPr/>
      <w:r>
        <w:rPr>
          <w:b/>
        </w:rPr>
        <w:t>POSSIBLE 2026:</w:t>
      </w:r>
      <w:r>
        <w:t xml:space="preserve"> Conclusions…and Beginnings — https://doi.org/10.4324/9781003733386-7</w:t>
      </w:r>
    </w:p>
    <w:p>
      <w:pPr/>
      <w:r>
        <w:rPr>
          <w:b/>
        </w:rPr>
        <w:t>Shared claim-specific concepts:</w:t>
      </w:r>
      <w:r>
        <w:t xml:space="preserve"> conclusions, long-term, thinking; EU scope not established. This is a provisional connection, not an outcome finding.</w:t>
      </w:r>
    </w:p>
    <w:p>
      <w:pPr>
        <w:pStyle w:val="SourceNote"/>
      </w:pPr>
      <w:r>
        <w:rPr>
          <w:b/>
        </w:rPr>
        <w:t>Available abstract (not full text):</w:t>
      </w:r>
      <w:r>
        <w:t xml:space="preserve"> This concluding chapter reflects on what leadership in sustainability requires in a time shaped by polycrisis, democratic fragility, ecological breakdown, and deep social uncertainty. Drawing together the voices of the authors, it argues that context matters: leadership must be understood not as abstract theory or heroic individualism, but as a situated, relational, and deeply human practice. Across diverse reflections, the chapter explores the need for long-term thinking, collective care, active hope, community, place-based wisdom, and the courage to remain present in discomfort, grief, and ambiguity. It also challenges dominant narratives of control, competition, and market value, suggesting that the leadership most needed now is collaborative, compassionate, creative, and grounded in purpose. Rather than offering a neat resolution, this chapter presents conclusions as openings: invitations to continue the work of becoming more fully human in service of ecological and social flourishing. Revisiting the book’s evolving 6 Cs framework, the authors offer readers a practical and reflective guide for sustaining their own leadership journeys. The chapter closes with a message of care, encouragement, and renewed commitment to the shared work of transformation.</w:t>
      </w:r>
    </w:p>
    <w:p>
      <w:pPr/>
      <w:r>
        <w:rPr>
          <w:b/>
        </w:rPr>
        <w:t>POSSIBLE 2026:</w:t>
      </w:r>
      <w:r>
        <w:t xml:space="preserve"> Short-term thinking, long-term costs: How managerial myopia undermines green innovation — https://doi.org/10.4102/sajbm.v57i1.5337</w:t>
      </w:r>
    </w:p>
    <w:p>
      <w:pPr/>
      <w:r>
        <w:rPr>
          <w:b/>
        </w:rPr>
        <w:t>Shared claim-specific concepts:</w:t>
      </w:r>
      <w:r>
        <w:t xml:space="preserve"> long-term, thinking, stronger, level; EU scope not established. This is a provisional connection, not an outcome finding.</w:t>
      </w:r>
    </w:p>
    <w:p>
      <w:pPr>
        <w:pStyle w:val="SourceNote"/>
      </w:pPr>
      <w:r>
        <w:rPr>
          <w:b/>
        </w:rPr>
        <w:t>Available abstract (not full text):</w:t>
      </w:r>
      <w:r>
        <w:t xml:space="preserve"> Purpose: This study investigates the impact of managerial myopia on green innovation in Chinese listed companies from 2001 to 2021, focusing on how short-termism undermines sustainable innovation at both firm and industry levels. Design/methodology/approach: Utilising Management Discussion and Analysis (MD&amp;A) textual analysis and corporate patent data, we employ high-dimensional fixed-effects and robustness tests to assess the relationship between managerial myopia and green innovation. Heterogeneity analysis and mediation models explore variations across firm types and mediating mechanisms, including R&amp;D investment, digital transformation and environmental, social and governance (ESG) management. Findings/results: Results confirm that managerial myopia significantly inhibits green innovation, with stronger effects in non-state-owned enterprises (non-SOEs), non-heavy polluting firms and non-CEO-duality firms. At the industry level, managerial myopia indirectly suppresses green innovation through reduced R&amp;D investment, limited digital transformation and weaker ESG management, as validated by mediation analysis. Practical implications: The findings offer policymakers and corporate leaders’ insights into aligning managerial incentives with long-term environmental and economic goals. Encouraging sustainable focus in non-SOEs and enhancing R&amp;D and ESG practices could mitigate the a</w:t>
      </w:r>
    </w:p>
    <w:p>
      <w:pPr/>
      <w:r>
        <w:rPr>
          <w:b/>
        </w:rPr>
        <w:t>POSSIBLE 2026:</w:t>
      </w:r>
      <w:r>
        <w:t xml:space="preserve"> Strategic and Long-Term Educational Planning — https://doi.org/10.4018/979-8-3373-7645-5.ch008</w:t>
      </w:r>
    </w:p>
    <w:p>
      <w:pPr/>
      <w:r>
        <w:rPr>
          <w:b/>
        </w:rPr>
        <w:t>Shared claim-specific concepts:</w:t>
      </w:r>
      <w:r>
        <w:t xml:space="preserve"> long-term, thinking; EU scope not established. This is a provisional connection, not an outcome finding.</w:t>
      </w:r>
    </w:p>
    <w:p>
      <w:pPr>
        <w:pStyle w:val="SourceNote"/>
      </w:pPr>
      <w:r>
        <w:rPr>
          <w:b/>
        </w:rPr>
        <w:t>Available abstract (not full text):</w:t>
      </w:r>
      <w:r>
        <w:t xml:space="preserve"> .Long-term and strategic educational planning, therefore, is crucial for guaranteeing sustainability and resilience in higher education. In light of globalisation, technological change, and socio-economic insecurity, universities and colleges such as HBCUs, HSIs, MSIs, and PWIs must all adopt forward-looking models of planning. This chapter explores how strategic planning at universities and colleges can make them more agile, innovative, and inclusive through the application of systems thinking, data-informed decision-making, and foresight modelling to enhance governance, curriculum, faculty development, and student success. A global perspective points out how institutions operating within different policy and cultural settings respond to emerging challenges and opportunities. It provides a roadmap for linking institutional priorities with wider societal goals, including the United Nations' Sustainable Development Goals. The conclusion is that forward-looking planning is a transformative process through which the evolving mission and social purpose of higher education is shaped.</w:t>
      </w:r>
    </w:p>
    <w:p>
      <w:pPr/>
      <w:r>
        <w:rPr>
          <w:b/>
        </w:rPr>
        <w:t>POSSIBLE 2026:</w:t>
      </w:r>
      <w:r>
        <w:t xml:space="preserve"> Redesigning Long-Term Care Policy Using Systems Thinking in the Post-Pandemic Era — https://doi.org/10.3390/systems14010079</w:t>
      </w:r>
    </w:p>
    <w:p>
      <w:pPr/>
      <w:r>
        <w:rPr>
          <w:b/>
        </w:rPr>
        <w:t>Shared claim-specific concepts:</w:t>
      </w:r>
      <w:r>
        <w:t xml:space="preserve"> long-term, thinking, involvement; EU scope not established. This is a provisional connection, not an outcome finding.</w:t>
      </w:r>
    </w:p>
    <w:p>
      <w:pPr>
        <w:pStyle w:val="SourceNote"/>
      </w:pPr>
      <w:r>
        <w:rPr>
          <w:b/>
        </w:rPr>
        <w:t>Available abstract (not full text):</w:t>
      </w:r>
      <w:r>
        <w:t xml:space="preserve"> The COVID-19 pandemic highlighted critical issues in health services and public policy, particularly in long-term care facilities across Canada. Failures in these facilities revolving around chronic underfunding, staffing shortages, inadequate infection control, and inconsistent regulatory oversight, underscore the need to rethink health service interventions, especially considering varying implementation contexts among provinces. The Ontario Long-Term Care COVID-19 Commission Final Report pointed to long-standing systemic issues as the primary causes of the sector’s failures. To explore this issue, a narrative review was conducted with findings indicating that the long-term care crisis in Canada cannot be solved by more privatization, regulation or efficiency measures, as these have contributed to the problem’s root causes. Ontario’s long-term care crisis stems from systemic misalignments in policy, structure and stakeholder dynamics, requiring a shift toward systems thinking and resident-centered care to build an equitable and sustainable long-term care sector. Ultimately, governments must lead a policy redesign that reflects shared responsibility, stakeholder interdependence, and public involvement, offering a model for broader healthcare reform.</w:t>
      </w:r>
    </w:p>
    <w:p>
      <w:pPr/>
      <w:r>
        <w:rPr>
          <w:b/>
        </w:rPr>
        <w:t>POSSIBLE 2025:</w:t>
      </w:r>
      <w:r>
        <w:t xml:space="preserve"> Value-Driven Back casting Technique as a Methodology for designing the Future of Continuous Learning Center Interiors (AI as an Assistive Tool). — https://doi.org/10.21608/aaj.2025.378971.1130</w:t>
      </w:r>
    </w:p>
    <w:p>
      <w:pPr/>
      <w:r>
        <w:rPr>
          <w:b/>
        </w:rPr>
        <w:t>Shared claim-specific concepts:</w:t>
      </w:r>
      <w:r>
        <w:t xml:space="preserve"> long-term, thinking, back, casting, developing; EU scope not established. This is a provisional connection, not an outcome finding.</w:t>
      </w:r>
    </w:p>
    <w:p>
      <w:pPr>
        <w:pStyle w:val="SourceNote"/>
      </w:pPr>
      <w:r>
        <w:rPr>
          <w:b/>
        </w:rPr>
        <w:t>Available abstract (not full text):</w:t>
      </w:r>
      <w:r>
        <w:t xml:space="preserve"> Interior design today faces two significant challenges: a decline in creativity and originality due to an overreliance on digital tools, AI, and online platforms for inspiration, and a lack of alignment with sustainability and the United Nations Sustainable Development Goals (SDGs). This misalignment often occurs because these global visions are not adequately considered during the design process. One of the main reasons for these challenges is the pressure of time and efficiency, which frequently forces designers to prioritize convenience over creativity and innovation. As a result, designs often fail to address long-term societal and environmental impacts.This paper explores various thinking approaches while designing, critically examining their potential to tackle these challenges. It introduces "value-driven back casting" technique as an innovative framework for interior design, emphasizing a future-focused and goal-oriented approach to overcoming these issues. This methodology empowers interior designers to actively shape and define their own future, rather than merely following trends or relying on existing tools and ideas. By developing out-of-the-box thinking and encouraging innovation, this approach enables designers to become leaders in creating forward-thinking and sustainable solutions. To demonstrate its application, the paper presents an experiment that uses this </w:t>
      </w:r>
    </w:p>
    <w:p>
      <w:pPr/>
      <w:r>
        <w:rPr>
          <w:b/>
        </w:rPr>
        <w:t>POSSIBLE 2025:</w:t>
      </w:r>
      <w:r>
        <w:t xml:space="preserve"> The Learning Inquiry with Mnemonic Strategy for the Formation of Long-Term Memory and Creative Thinking Ability — https://doi.org/10.1344/joned.v6i1.49406</w:t>
      </w:r>
    </w:p>
    <w:p>
      <w:pPr/>
      <w:r>
        <w:rPr>
          <w:b/>
        </w:rPr>
        <w:t>Shared claim-specific concepts:</w:t>
      </w:r>
      <w:r>
        <w:t xml:space="preserve"> long-term, thinking, level; EU scope not established. This is a provisional connection, not an outcome finding.</w:t>
      </w:r>
    </w:p>
    <w:p>
      <w:pPr>
        <w:pStyle w:val="SourceNote"/>
      </w:pPr>
      <w:r>
        <w:rPr>
          <w:b/>
        </w:rPr>
        <w:t>Available abstract (not full text):</w:t>
      </w:r>
      <w:r>
        <w:t xml:space="preserve"> Students' understanding of enzyme and metabolism material is relatively low. This is due to the students' low memory. In the latest curriculum, students are expected to understand the function of enzymes and be familiar with the metabolic processes that occur in the body. Another ability that needs to be improved is the ability to think creatively which must be present in 21st century students. This study aims to analyze the impact of the inquiry model with mnemonic strategy on the formation of long-term memory (LTM) and creative thinking and the correlation between the two on metabolic material. The method used was a quasi-experiment with a pretest-posttest control group design on students of class XII SMA Negeri 1 Magelang who obtained phase F of Biology subject. The instruments used include pretest questions, posttest questions, LKPD, student response questionnaire, and an observation sheet of learning implementation. The results showed that this learning model had a significant positive effect on forming LTM and creative thinking skills as indicated by the significance of Mann-Whitney U 0.000 &lt;0.005. Spearman correlation analysis showed a fairly close relationship (r = 0.311) between the two. In addition, the implementation of learning was rated 100% and students' positive responses reached 86%. This study implies that the use of an inquiry learning model with mnemonic stra</w:t>
      </w:r>
    </w:p>
    <w:p>
      <w:pPr/>
      <w:r>
        <w:rPr>
          <w:b/>
        </w:rPr>
        <w:t>POSSIBLE 2025:</w:t>
      </w:r>
      <w:r>
        <w:t xml:space="preserve"> ‘Near-to-Medium Term’ Practices in the European Union’s Governance — https://doi.org/10.38158/apjeus.23.1.3</w:t>
      </w:r>
    </w:p>
    <w:p>
      <w:pPr/>
      <w:r>
        <w:rPr>
          <w:b/>
        </w:rPr>
        <w:t>Shared claim-specific concepts:</w:t>
      </w:r>
      <w:r>
        <w:t xml:space="preserve"> long-term, thinking, policy-makers; EU scope visible. This is a provisional connection, not an outcome finding.</w:t>
      </w:r>
    </w:p>
    <w:p>
      <w:pPr>
        <w:pStyle w:val="SourceNote"/>
      </w:pPr>
      <w:r>
        <w:rPr>
          <w:b/>
        </w:rPr>
        <w:t>Available abstract (not full text):</w:t>
      </w:r>
      <w:r>
        <w:t xml:space="preserve"> Long-term thinking is one of the most difficult tasks that States, and their policy-makers, face, and the European Union (EU) is no exception. This article examines the long-termist literature and the EU’s governance’s practices infused with power. It addresses the following question: does (and how) the practice approach make it possible to capture the practices of the European Union’s governance that give rise to contrasting directions when encroaching on social interactions? The findings highlight how the practices of the EU’s governance lead to different and opposed outcomes when interact with the social sphere, and how the outcomes are connected to the future. The findings might serve policy-makers to remind the importance of considering the effects of their policies on the future. The article fulfils these tasks by applying the practice approach to three short illustrative examples that are inherent within the EU’s governance: the Covid pandemic, Afghanistan, and China. The issue of how the practical implications of this paper might inform the ‘near-to-medium term’ policy-making or international relations strategies is discussed in the conclusion.</w:t>
      </w:r>
    </w:p>
    <w:p>
      <w:pPr/>
      <w:r>
        <w:rPr>
          <w:b/>
        </w:rPr>
        <w:t>POSSIBLE 2025:</w:t>
      </w:r>
      <w:r>
        <w:t xml:space="preserve"> Strategic thinking and psychological security of the individual — https://doi.org/10.17759/epps.2025020201</w:t>
      </w:r>
    </w:p>
    <w:p>
      <w:pPr/>
      <w:r>
        <w:rPr>
          <w:b/>
        </w:rPr>
        <w:t>Shared claim-specific concepts:</w:t>
      </w:r>
      <w:r>
        <w:t xml:space="preserve"> conclusions, long-term, thinking, developing; EU scope not established. This is a provisional connection, not an outcome finding.</w:t>
      </w:r>
    </w:p>
    <w:p>
      <w:pPr>
        <w:pStyle w:val="SourceNote"/>
      </w:pPr>
      <w:r>
        <w:rPr>
          <w:b/>
        </w:rPr>
        <w:t>Available abstract (not full text):</w:t>
      </w:r>
      <w:r>
        <w:t xml:space="preserve"> Context and Relevance. The study examines the concept of “strategic thinking” as a complex ability of an individual, closely tied to long-term planning, critical thinking, and metacognitive capabilities. This, in turn, is directly related to psychological well-being and the psychological safety of the individual. Objective: to explore and substantiate the relationship between the psychological constructs of “strategic thinking” and “psychological safety” of the individual. Hypotheses. “Strategic thinking”, manifested in the ability for long-term planning and risk analysis, contributes to enhancing personal psychological safety by reducing uncertainty and anxiety. Additionally, metacognitive processes, which are part of “strategic thinking”, strengthen personal psychological safety, enabling better management of emotions and reactions in stressful situations. These two directions can influence social representations and social attitudes, and interventions aimed at strengthening the construct of “strategic thinking” can contribute to improving the social situation by reducing anxiety and enhancing adaptive capabilities. Materials and methods. The study employs theoretical methods such as analysis (since “strategic thinking” comprises several interconnected components) and synthesis (to identify common features of the “strategic thinking” construct and psychological safety, and to</w:t>
      </w:r>
    </w:p>
    <w:p>
      <w:pPr/>
      <w:r>
        <w:rPr>
          <w:b/>
        </w:rPr>
        <w:t>POSSIBLE 2025:</w:t>
      </w:r>
      <w:r>
        <w:t xml:space="preserve"> Strategic planning for the long-term development of shrinking cities — https://doi.org/10.17877/de290r-26782</w:t>
      </w:r>
    </w:p>
    <w:p>
      <w:pPr/>
      <w:r>
        <w:rPr>
          <w:b/>
        </w:rPr>
        <w:t>Shared claim-specific concepts:</w:t>
      </w:r>
      <w:r>
        <w:t xml:space="preserve"> long-term, thinking, action, local, level; EU scope visible. This is a provisional connection, not an outcome finding.</w:t>
      </w:r>
    </w:p>
    <w:p>
      <w:pPr>
        <w:pStyle w:val="SourceNote"/>
      </w:pPr>
      <w:r>
        <w:rPr>
          <w:b/>
        </w:rPr>
        <w:t>Available abstract (not full text):</w:t>
      </w:r>
      <w:r>
        <w:t xml:space="preserve"> Urban shrinkage poses existential challenges to cities and dilemmas for urban policymakers. Over the last two decades, policy innovations and local experiments for dealing with urban shrinkage have been observed at various scales, but they are not without contradictions. Making policies as the symptoms arise is not the same as strategy-making. Focusing on problems risks neglecting essential challenges to the future. Scattered projects may not bring a coherent territorial development. Motivated by these understandings, this research is less about specific solutions for specific problems than it is about the strategy-making that connects the dots and opens new pathways. It aims to understand what shrinkage, as a path of development, means for planning, identify what strategic planning work is needed to steer urban development under shrinkage, and how strategic (spatial) planning can support this strategic work. At the core of this research is an international, comparative, in-depth case study of two medium-sized cities with long-term shrinkage — Den Helder (The Netherlands) and Zwickau (Germany). The case study examined their development strategies over two decades, analysed the spatialisation of the strategies, and identified the local factors contributing to the differences between the two cities, to map and compare their long-term development strategies and the spatial logic b</w:t>
      </w:r>
    </w:p>
    <w:p>
      <w:pPr/>
      <w:r>
        <w:rPr>
          <w:b/>
        </w:rPr>
        <w:t>POSSIBLE 2025:</w:t>
      </w:r>
      <w:r>
        <w:t xml:space="preserve"> Knowledge, thinking, and management — https://doi.org/10.7256/2454-0757.2025.12.77357</w:t>
      </w:r>
    </w:p>
    <w:p>
      <w:pPr/>
      <w:r>
        <w:rPr>
          <w:b/>
        </w:rPr>
        <w:t>Shared claim-specific concepts:</w:t>
      </w:r>
      <w:r>
        <w:t xml:space="preserve"> long-term, thinking, developing; EU scope not established. This is a provisional connection, not an outcome finding.</w:t>
      </w:r>
    </w:p>
    <w:p>
      <w:pPr>
        <w:pStyle w:val="SourceNote"/>
      </w:pPr>
      <w:r>
        <w:rPr>
          <w:b/>
        </w:rPr>
        <w:t>Available abstract (not full text):</w:t>
      </w:r>
      <w:r>
        <w:t xml:space="preserve"> The subject of this article's research is three interrelated concepts: knowledge, thinking, and management. A comprehensive analysis of these concepts, the definition of key terms and mechanisms reveals their significant commonality. The study of the knowledge system implies: consideration of methods for constructing the knowledge system, a comparative analysis of these methods, determination of the possibility of forming a meaningful model of knowledge; analysis of thinking – a set of event chains that make up the process of working memory in the cognitive system; managing complex systems, including real-time management of cognitive systems. In conclusion, the social aspect of the development of artificial cognitive systems is examined in the context of the established concepts of the knowledge-thinking-management cycle during the transition of civilization to the stage of cognitive technology civilization, characterized by a sharp increase in the significance of artificial cognitive systems. The research methodology is based on the use of knowledge from many fields: epistemology, general system theory and the methodology of scientific cognition, cognitive systems theory, management theory, and others. Various actor-oriented approaches were used as tools for implementing tasks related to building knowledge systems, developing thinking, and management. The scientific novelty of</w:t>
      </w:r>
    </w:p>
    <w:p>
      <w:pPr/>
      <w:r>
        <w:rPr>
          <w:b/>
        </w:rPr>
        <w:t>POSSIBLE 2024:</w:t>
      </w:r>
      <w:r>
        <w:t xml:space="preserve"> Is Long-Term Thinking a Trap? — https://doi.org/10.1215/22011919-11150043</w:t>
      </w:r>
    </w:p>
    <w:p>
      <w:pPr/>
      <w:r>
        <w:rPr>
          <w:b/>
        </w:rPr>
        <w:t>Shared claim-specific concepts:</w:t>
      </w:r>
      <w:r>
        <w:t xml:space="preserve"> long-term, thinking, stronger; EU scope not established. This is a provisional connection, not an outcome finding.</w:t>
      </w:r>
    </w:p>
    <w:p>
      <w:pPr>
        <w:pStyle w:val="SourceNote"/>
      </w:pPr>
      <w:r>
        <w:rPr>
          <w:b/>
        </w:rPr>
        <w:t>Available abstract (not full text):</w:t>
      </w:r>
      <w:r>
        <w:t xml:space="preserve"> Abstract This provocation critiques the notion of long-term thinking and the claims of its proponents that it will help address failures in dominant conceptions of time, particularly in regard to environmental crises. Drawing on analyses of the Clock of the Long Now and Kim Stanley Robinson’s The Ministry for the Future, the article suggests that we be more wary of the concept’s use in what we might call chronowashing. Like the more familiar greenwashing, where environmental issues are hidden by claims to be addressing the problem, the article explores how these examples of long-term thinking distract from extractivism, racism, and environmental injustice, making it harder to address the complexities involved. In particular, the article discusses examples where long-term thinking provides a veneer of environmental concern that actually disconnects from the work of building more equitable forms of relation. As a contrast, the article’s author asks: What is lost when we diagnose a problem as arising due to short-term thinking and propose long-term thinking as the solution? Against chronowashed environmental time, the author argues for more complex approaches that explicitly take into account the temporalities of inequality, political organization, ethical responsibilities and much else. The article engages with approaches to time that foreground the work needed to create time and</w:t>
      </w:r>
    </w:p>
    <w:p>
      <w:pPr/>
      <w:r>
        <w:rPr>
          <w:b/>
        </w:rPr>
        <w:t>POSSIBLE 2024:</w:t>
      </w:r>
      <w:r>
        <w:t xml:space="preserve"> Retrieval method as a learning intervention for long term retention and creative thinking skills — https://doi.org/10.16920/jeet/2024/v37is2/24102</w:t>
      </w:r>
    </w:p>
    <w:p>
      <w:pPr/>
      <w:r>
        <w:rPr>
          <w:b/>
        </w:rPr>
        <w:t>Shared claim-specific concepts:</w:t>
      </w:r>
      <w:r>
        <w:t xml:space="preserve"> thinking, techniques, level, applied; EU scope not established. This is a provisional connection, not an outcome finding.</w:t>
      </w:r>
    </w:p>
    <w:p>
      <w:pPr>
        <w:pStyle w:val="SourceNote"/>
      </w:pPr>
      <w:r>
        <w:rPr>
          <w:b/>
        </w:rPr>
        <w:t>Available abstract (not full text):</w:t>
      </w:r>
      <w:r>
        <w:t xml:space="preserve"> Abstract— Few key skills among many that are needed in the 21st century are critical thinking, creativity, collaboration, meta cognitive skills, technology literacy and decision making under uncertainty. With the emergence of ChatGPT and other Generative AI tools, there is a dire need for a distinctive way of learning and application of learning to ensure learning effectiveness. Mere content is no longer the most important factor to learn these skills but. what is needed is the ability to retrieve material learnt, in the context of application. For the learner to be able to apply the critical thinking levels and higher learning levels of Blooms taxonomy, the basic first level of remembering forms the basic foundation, particularly when the students are from first generation educated families or with disadvantaged socioeconomic backgrounds. However, when students cram for the exams, they generally get an ‘illusion of learning’, where they think they know, but in reality often they may not be able to recall what they crammed when they need it later. This is a case of inefficient investment of time and effort in learning for the student. For the teacher, it slows down the teaching process and opportunity to engage in higher order thinking level applications. Addressing the frustrations of both teacher and students, the authors applied the concept of Retrieval method for MBA I year</w:t>
      </w:r>
    </w:p>
    <w:p>
      <w:pPr>
        <w:pStyle w:val="Heading2"/>
      </w:pPr>
      <w:r>
        <w:t>729. The biological transformation of industrial manufacturing – Technologies, status and scenarios for a sustainable future of the German manufacturing industry</w:t>
      </w:r>
    </w:p>
    <w:p>
      <w:pPr>
        <w:pStyle w:val="SourceNote"/>
      </w:pPr>
      <w:r>
        <w:rPr>
          <w:b/>
        </w:rPr>
        <w:t>Original source (2019):</w:t>
      </w:r>
      <w:r>
        <w:t xml:space="preserve"> https://doi.org/10.1016/j.jmsy.2019.11.006</w:t>
      </w:r>
    </w:p>
    <w:p>
      <w:pPr/>
      <w:r>
        <w:t>Original wording (abstract; indexed_source_text_not_full_document_verified): We conclude with a summary and recommendations for decision makers in politics, industries and research. In this context, the soaring possibilities of bio- and information technology have recently let few authors develop the vision of a biological transformation of manufacturing, a concept that to date has been barely concrete to politicians, scientists, and managers.</w:t>
      </w:r>
    </w:p>
    <w:p>
      <w:pPr/>
      <w:r>
        <w:rPr>
          <w:b/>
        </w:rPr>
        <w:t>POSSIBLE 2026:</w:t>
      </w:r>
      <w:r>
        <w:t xml:space="preserve"> Summary, Conclusions and Recommendations — https://doi.org/10.1201/9781003759744-14</w:t>
      </w:r>
    </w:p>
    <w:p>
      <w:pPr/>
      <w:r>
        <w:rPr>
          <w:b/>
        </w:rPr>
        <w:t>Shared claim-specific concepts:</w:t>
      </w:r>
      <w:r>
        <w:t xml:space="preserve"> summary, recommendations, information; EU scope not established. This is a provisional connection, not an outcome finding.</w:t>
      </w:r>
    </w:p>
    <w:p>
      <w:pPr>
        <w:pStyle w:val="SourceNote"/>
      </w:pPr>
      <w:r>
        <w:rPr>
          <w:b/>
        </w:rPr>
        <w:t>Available abstract (not full text):</w:t>
      </w:r>
      <w:r>
        <w:t xml:space="preserve"> Under fully controlled laboratory conditions, with constant chemical groundwater quality, one type of collector (quartz grains), a range of Darcy flow velocities, a range of grain sizes, and in columns of limited height, the E. coli concentration decreases logarithmically with the transport distance. Also, there is reasonable agreement between the measured filter coefficients from breakthrough curves and the filter coefficients calculated using the single collector contact efficiency, and assuming a constant sticking efficiency for the E. coli - quartz system. Because the E. coli - quartz grain system behaves according to the classical CFT, as defined in chapter 1 of this thesis, the theory provides a valuable framework for predicting the transport of E. coli in porous media under saturated conditions. This is one of the main outcomes of the work carried out by Matthess et al. (1991a, 1991b) on an extensive set of column experiments. However, based on the research presented in this thesis, this outcome needs to be modified for the following reasons: The conclusions of Matthess et al. (1991a, 1991b), and many other workers, are based on effluent concentrations from column experiments only. As was concluded by Bradford et al (2002 , 2003 ), Tufenkji and Elimelech (2004a, 2005), Li et al. (2004) , Tong and Johnson (2007), and by our work ( Chapter 8 ), such type of experiment does</w:t>
      </w:r>
    </w:p>
    <w:p>
      <w:pPr/>
      <w:r>
        <w:rPr>
          <w:b/>
        </w:rPr>
        <w:t>POSSIBLE 2026:</w:t>
      </w:r>
      <w:r>
        <w:t xml:space="preserve"> Guidance on negative emissions for cities - Summary for Decision Makers — https://doi.org/10.2760/4262978</w:t>
      </w:r>
    </w:p>
    <w:p>
      <w:pPr/>
      <w:r>
        <w:rPr>
          <w:b/>
        </w:rPr>
        <w:t>Shared claim-specific concepts:</w:t>
      </w:r>
      <w:r>
        <w:t xml:space="preserve"> summary, decision, makers, develop; EU scope not established. This is a provisional connection, not an outcome finding.</w:t>
      </w:r>
    </w:p>
    <w:p>
      <w:pPr>
        <w:pStyle w:val="SourceNote"/>
      </w:pPr>
      <w:r>
        <w:rPr>
          <w:b/>
        </w:rPr>
        <w:t>Available abstract (not full text):</w:t>
      </w:r>
      <w:r>
        <w:t xml:space="preserve"> Cities on a net-zero emissions journey are required to navigate the complexities of negative emissions and residual emissions planning and accounting. This Summary for Decision Makers, accompanying the JRC Technical Report "Guidance on negative emissions for cities", provides city decision-makers and practitioners with a concise and accessible roadmap for developing robust and high-integrity residual emissions strategies. It outlines key decision-making points, step-by-step operational approaches, and best practices for cities to advance negative emissions, leveraging carbon removal opportunities and avoiding common pitfalls. The guide highlights the different roles cities can play and the key steps and requirements for residual emissions planning, from defining residual emissions to structuring governance, policy, and funding. By following this guide, cities can develop time- and cost-effective residual emissions strategies, deliver a climate-neutral future, and maximise co-benefits.</w:t>
      </w:r>
    </w:p>
    <w:p>
      <w:pPr/>
      <w:r>
        <w:rPr>
          <w:b/>
        </w:rPr>
        <w:t>POSSIBLE 2025:</w:t>
      </w:r>
      <w:r>
        <w:t xml:space="preserve"> Understanding an Executive Summary: A Guide to Effective Communication and Decision-Making — https://doi.org/10.36948/ijfmr.2025.v07i05.55439</w:t>
      </w:r>
    </w:p>
    <w:p>
      <w:pPr/>
      <w:r>
        <w:rPr>
          <w:b/>
        </w:rPr>
        <w:t>Shared claim-specific concepts:</w:t>
      </w:r>
      <w:r>
        <w:t xml:space="preserve"> conclude, summary, recommendations, decision, context, information; EU scope not established. This is a provisional connection, not an outcome finding.</w:t>
      </w:r>
    </w:p>
    <w:p>
      <w:pPr>
        <w:pStyle w:val="SourceNote"/>
      </w:pPr>
      <w:r>
        <w:rPr>
          <w:b/>
        </w:rPr>
        <w:t>Available abstract (not full text):</w:t>
      </w:r>
      <w:r>
        <w:t xml:space="preserve"> Understanding an Executive Summary: A Guide to Effective Communication and Decision-Making The executive summary is a critical, yet frequently underestimated, component of professional communication in business, academic, and policy contexts. Often perceived as a mere formality or a brief introduction, its true purpose is to serve as a standalone, concise, and comprehensive overview of a larger document. It is designed to empower time-constrained decision-makers, stakeholders, and investors by providing them with the essential information required to grasp the core issues, key findings, and proposed recommendations without needing to read the entire report. A well-crafted executive summary demystifies complex data and extensive analysis, translating intricate details into a clear, compelling narrative that drives action. This abstract delves into the foundational principles of effective executive summary creation, exploring its strategic purpose, essential components, and the common pitfalls writers must navigate to produce a document that is both impactful and informative. At its core, an executive summary is a synthesis of critical information. It is not an introduction; rather, it is a distilled version of the entire report that should be able to stand on its own. Its purpose is to present the problem being addressed, the methodology used to investigate it, the key findings </w:t>
      </w:r>
    </w:p>
    <w:p>
      <w:pPr/>
      <w:r>
        <w:rPr>
          <w:b/>
        </w:rPr>
        <w:t>POSSIBLE 2024:</w:t>
      </w:r>
      <w:r>
        <w:t xml:space="preserve"> The Politics of Platform Regulation — https://doi.org/10.1093/oso/9780197692851.001.0001</w:t>
      </w:r>
    </w:p>
    <w:p>
      <w:pPr/>
      <w:r>
        <w:rPr>
          <w:b/>
        </w:rPr>
        <w:t>Shared claim-specific concepts:</w:t>
      </w:r>
      <w:r>
        <w:t xml:space="preserve"> politics, information, technology; EU scope visible. This is a provisional connection, not an outcome finding.</w:t>
      </w:r>
    </w:p>
    <w:p>
      <w:pPr>
        <w:pStyle w:val="SourceNote"/>
      </w:pPr>
      <w:r>
        <w:rPr>
          <w:b/>
        </w:rPr>
        <w:t>Available abstract (not full text):</w:t>
      </w:r>
      <w:r>
        <w:t xml:space="preserve"> Abstract As digital platforms have become more integral to not just how we live, but also to how we do politics, the rules governing online expression, behavior, and interaction created by large multinational technology firms—popularly termed ‘content moderation,’ ‘platform governance,’ or ‘trust and safety’—have increasingly become the target of government regulatory efforts. This book provides a conceptual and empirical analysis of the important and emerging tech policy terrain of ‘platform regulation.’ How, why, and where exactly is it happening? Why now? And how do we best understand the vast array of strategies being deployed across jurisdictions to tackle this issue? The book outlines three strategies commonly pursued by government actors seeking to combat issues relating to the proliferation of hate speech, disinformation, child abuse imagery, and other forms of harmful content on user-generated content platforms: convincing, collaborating, and contesting. It then outlines a theoretical model for explaining the adoption of these different strategies in different political contexts and regulatory episodes. This model is explored through detailed case study chapters—driven by a combination of stakeholder interviews and new policymaking documents obtained via freedom of information requests—looking at policy development in Germany, Australia and New Zealand, and the United </w:t>
      </w:r>
    </w:p>
    <w:p>
      <w:pPr/>
      <w:r>
        <w:rPr>
          <w:b/>
        </w:rPr>
        <w:t>POSSIBLE 2024:</w:t>
      </w:r>
      <w:r>
        <w:t xml:space="preserve"> Concluding summary and future directions for travel behaviour — https://doi.org/10.4337/9781839105746.00034</w:t>
      </w:r>
    </w:p>
    <w:p>
      <w:pPr/>
      <w:r>
        <w:rPr>
          <w:b/>
        </w:rPr>
        <w:t>Shared claim-specific concepts:</w:t>
      </w:r>
      <w:r>
        <w:t xml:space="preserve"> summary, recommendations, context, date; EU scope not established. This is a provisional connection, not an outcome finding.</w:t>
      </w:r>
    </w:p>
    <w:p>
      <w:pPr>
        <w:pStyle w:val="SourceNote"/>
      </w:pPr>
      <w:r>
        <w:rPr>
          <w:b/>
        </w:rPr>
        <w:t>Available abstract (not full text):</w:t>
      </w:r>
      <w:r>
        <w:t xml:space="preserve"> This chapter is the closing summary of the Handbook of Travel Behaviour and discusses the major emerging themes, which are organised into two categories: 'Conceptual and Analytical' aspects and 'Contextual and Empirical' aspects. Key areas highlighted under these themes include: the profound effects of effects of virtualisation and digital technologies on the where, when and how people travel; the need for greater public participation in all stages of design, collection, and analysis of data as well as the communication of findings; greater understanding of the differing environmental, social and cultural contexts that travel behaviour takes place within, and corresponding impacts. To date, the field is dynamically moving and evolving depending on the geographical context. The best that can be hoped for is to comprehend these differences and do our best to reflect them in the approaches that we take and the recommendations that we make.</w:t>
      </w:r>
    </w:p>
    <w:p>
      <w:pPr/>
      <w:r>
        <w:rPr>
          <w:b/>
        </w:rPr>
        <w:t>POSSIBLE 2023:</w:t>
      </w:r>
      <w:r>
        <w:t xml:space="preserve"> ‘Learning lessons’: discussion, concluding thoughts and recommendations — https://doi.org/10.1332/policypress/9781447363385.003.0007</w:t>
      </w:r>
    </w:p>
    <w:p>
      <w:pPr/>
      <w:r>
        <w:rPr>
          <w:b/>
        </w:rPr>
        <w:t>Shared claim-specific concepts:</w:t>
      </w:r>
      <w:r>
        <w:t xml:space="preserve"> summary, recommendations, authors; EU scope not established. This is a provisional connection, not an outcome finding.</w:t>
      </w:r>
    </w:p>
    <w:p>
      <w:pPr>
        <w:pStyle w:val="SourceNote"/>
      </w:pPr>
      <w:r>
        <w:rPr>
          <w:b/>
        </w:rPr>
        <w:t>Available abstract (not full text):</w:t>
      </w:r>
      <w:r>
        <w:t xml:space="preserve"> This chapter will reflect on the book chapters to provide a summary alongside the authors’ concluding thoughts and recommendations going forwards. The final word will be given over to Louise Powell who wishes to end this book with her own comment and wishes for the future.</w:t>
      </w:r>
    </w:p>
    <w:p>
      <w:pPr/>
      <w:r>
        <w:rPr>
          <w:b/>
        </w:rPr>
        <w:t>POSSIBLE 2023:</w:t>
      </w:r>
      <w:r>
        <w:t xml:space="preserve"> ‘Learning lessons’: discussion, concluding thoughts and recommendations — https://doi.org/10.46692/9781447363408.007</w:t>
      </w:r>
    </w:p>
    <w:p>
      <w:pPr/>
      <w:r>
        <w:rPr>
          <w:b/>
        </w:rPr>
        <w:t>Shared claim-specific concepts:</w:t>
      </w:r>
      <w:r>
        <w:t xml:space="preserve"> conclude, summary, recommendations, authors; EU scope not established. This is a provisional connection, not an outcome finding.</w:t>
      </w:r>
    </w:p>
    <w:p>
      <w:pPr>
        <w:pStyle w:val="SourceNote"/>
      </w:pPr>
      <w:r>
        <w:rPr>
          <w:b/>
        </w:rPr>
        <w:t>Available abstract (not full text):</w:t>
      </w:r>
      <w:r>
        <w:t xml:space="preserve"> ‘It’s not rocket science, don’t send pregnant women to prison for shoplifting.’ Beth, 2017 Introduction All mothers take with them a legacy from their time in prison and/or a prison MBU. Sometimes that legacy is positive; for example, some mothers may have benefited from a safer and intentionally supportive space to begin life as a mother than they might otherwise have had (though most often not without some cost), but often there are negative and complex consequences too. This evidence-based volume has revealed and unpicked some of those realities. We, the authors, have both undertaken multiple research projects that inform our writing here, but the bulk of the evidence for this book came from two main studies, Motherhood Challenged (Baldwin, 2021a) and The Incarcerated Pregnancy (Abbott, 2018). We acknowledge that since our research was undertaken there is more of an appetite and motivation for positive change (in part, stimulated and assisted by our research). This change, although coming on the back of the aforementioned tragedies, is welcome. This chapter incorporates a reflective summary of the takeaway messages of the book while re-stating the current landscape and present commitment to change. Drawing on our own thoughts, research and the women’s voices, we conclude with 21 recommendations, which, if implemented, we feel would go some way towards minimising harm and imp</w:t>
      </w:r>
    </w:p>
    <w:p>
      <w:pPr/>
      <w:r>
        <w:rPr>
          <w:b/>
        </w:rPr>
        <w:t>POSSIBLE 2023:</w:t>
      </w:r>
      <w:r>
        <w:t xml:space="preserve"> PETRO SHELEST IN THE POLITICAL HISTORY OF UKRAINE OF THE 20TH CENTURY – SUMMARY — https://doi.org/10.61097/30717957/csu1/2023/79-83</w:t>
      </w:r>
    </w:p>
    <w:p>
      <w:pPr/>
      <w:r>
        <w:rPr>
          <w:b/>
        </w:rPr>
        <w:t>Shared claim-specific concepts:</w:t>
      </w:r>
      <w:r>
        <w:t xml:space="preserve"> summary, decision, context, concept; EU scope visible. This is a provisional connection, not an outcome finding.</w:t>
      </w:r>
    </w:p>
    <w:p>
      <w:pPr>
        <w:pStyle w:val="SourceNote"/>
      </w:pPr>
      <w:r>
        <w:rPr>
          <w:b/>
        </w:rPr>
        <w:t>Available abstract (not full text):</w:t>
      </w:r>
      <w:r>
        <w:t xml:space="preserve"> nians' sense of separateness, and to what extent it exposed them to the melting of "Cossack" traditions in the ideological conglomerate of the state of the "popular masses of towns and villages."The third of the articles of a historical nature -Oleksandr Shevchenko's text on Bohdan Osadchuk -is a kind of "transition" to the political logic part of the volume.The Author recalls the main theses of his hero's journalism, focusing on Osadchuk's conviction that the shape of mutual relations between Poles and Ukrainians is of fundamental importance for the future of these nations and their states.In this context, he recalls, among other things, the prominent publicist's critical assessment of President Viktor Yushchenko's decision to apotheosize the achievements of Stepan Bandera, which, according to Osadchuk, resulted from a misunderstanding of the essence of political processes in Central and Eastern Europe and the importance of friendly Polish-Ukrainian relations for the future of the two neighboring states.Shevchenko also devotes much attention to his protagonist's reaction to Poland's accession to the "Schengen zone, " which, according to Osadchuk, was supposed to create an undesirable barrier to developing interpersonal contacts between Poles and Ukrainians.Recalling Osadchuk's theses, which go "against the grain" of the prevailing political science trends in Ukraine and Poland</w:t>
      </w:r>
    </w:p>
    <w:p>
      <w:pPr/>
      <w:r>
        <w:rPr>
          <w:b/>
        </w:rPr>
        <w:t>POSSIBLE 2022:</w:t>
      </w:r>
      <w:r>
        <w:t xml:space="preserve"> An Ethical Framework for Presenting Scientific Results to Policy-Makers — https://doi.org/10.1353/ken.2022.0002</w:t>
      </w:r>
    </w:p>
    <w:p>
      <w:pPr/>
      <w:r>
        <w:rPr>
          <w:b/>
        </w:rPr>
        <w:t>Shared claim-specific concepts:</w:t>
      </w:r>
      <w:r>
        <w:t xml:space="preserve"> conclude, summary, information; EU scope not established. This is a provisional connection, not an outcome finding.</w:t>
      </w:r>
    </w:p>
    <w:p>
      <w:pPr>
        <w:pStyle w:val="SourceNote"/>
      </w:pPr>
      <w:r>
        <w:rPr>
          <w:b/>
        </w:rPr>
        <w:t>Available abstract (not full text):</w:t>
      </w:r>
      <w:r>
        <w:t xml:space="preserve"> Scientists have the ability to influence policy in important ways through how they present their results.Surprisingly, existing codes of scientific ethics have little to say about such choices.I propose that we can arrive at a set of ethical guidelines to govern scientists' presentation of information to policymakers by looking to bioethics: roughly, just as a clinician should aim to promote informed decision-making by patients, a scientist should aim to promote informed decisionmaking by policymakers.Though this may sound like a natural proposal, I show it offers guidance that conflicts with standard scientific practices.I conclude by considering one cost of the proposal: that it would prevent scientists from acting as advocates in a way that is currently common in certain fields.I accept that the proposal would restrict scientists' political advocacy rights, but argue that the benefits of adopting it -promoting democratic governance -justify the restriction. I. A PUZZLEThe Global Burden of Diseases, Injuries and Risk Factors Study (GBD) is "the single largest and most detailed scientific effort ever conducted to quantify levels and trends in health."More than 2300 researchers from more than 130 countries collect 1 and analyze data on more than 300 diseases and injuries, aiming to put together a comprehensive picture of global health from 1990 to the present.Not surprisingly, </w:t>
      </w:r>
    </w:p>
    <w:p>
      <w:pPr/>
      <w:r>
        <w:rPr>
          <w:b/>
        </w:rPr>
        <w:t>POSSIBLE 2022:</w:t>
      </w:r>
      <w:r>
        <w:t xml:space="preserve"> Investigating the IoT Security and Privacy Challenges: Summary and Recommendations — https://doi.org/10.4108/eetcs.v7i22.2652</w:t>
      </w:r>
    </w:p>
    <w:p>
      <w:pPr/>
      <w:r>
        <w:rPr>
          <w:b/>
        </w:rPr>
        <w:t>Shared claim-specific concepts:</w:t>
      </w:r>
      <w:r>
        <w:t xml:space="preserve"> summary, recommendations, technology, transformation; EU scope not established. This is a provisional connection, not an outcome finding.</w:t>
      </w:r>
    </w:p>
    <w:p>
      <w:pPr>
        <w:pStyle w:val="SourceNote"/>
      </w:pPr>
      <w:r>
        <w:rPr>
          <w:b/>
        </w:rPr>
        <w:t>Available abstract (not full text):</w:t>
      </w:r>
      <w:r>
        <w:t xml:space="preserve"> With the development of innovative technology transformation like cloud and Internet of Things (IoT), more technology companies are pursuing research in employing such innovations. Smart homes and cities are just two examples of the many systems and technologies that the IoT can endorse. IoT - based smart objects communicate with other parts, such as proxies, portable devices, as well as data collectors. Although these components help to tackle a number of societal issues and offer users new, cutting-edge services, their confined processing power makes them susceptible to well-known privacy and security attacks. This in turn highlights the demand for a strong technical as well as legislative foundation and asserts the significance of validity and reliability in IoT. This paper provides an insight of the IoT, security, as well as privacy challenges, and also discusses the recommendations for IoT solutions. Further we also highlighting some unresolved problems that require further study.</w:t>
      </w:r>
    </w:p>
    <w:p>
      <w:pPr/>
      <w:r>
        <w:rPr>
          <w:b/>
        </w:rPr>
        <w:t>POSSIBLE 2022:</w:t>
      </w:r>
      <w:r>
        <w:t xml:space="preserve"> Key findings and recommendations — https://doi.org/10.1787/f38817d8-en</w:t>
      </w:r>
    </w:p>
    <w:p>
      <w:pPr/>
      <w:r>
        <w:rPr>
          <w:b/>
        </w:rPr>
        <w:t>Shared claim-specific concepts:</w:t>
      </w:r>
      <w:r>
        <w:t xml:space="preserve"> summary, recommendations, context, information; EU scope visible. This is a provisional connection, not an outcome finding.</w:t>
      </w:r>
    </w:p>
    <w:p>
      <w:pPr>
        <w:pStyle w:val="SourceNote"/>
      </w:pPr>
      <w:r>
        <w:rPr>
          <w:b/>
        </w:rPr>
        <w:t>Available abstract (not full text):</w:t>
      </w:r>
      <w:r>
        <w:t xml:space="preserve"> Twenty-first century health systems will be built around data and information. Their success will depend on secure exchange and movement of data to create useful information and knowledge that advance public policy objectives. This chapter brings together the key findings of this review of how health data are managed and used in the Netherlands and the recommendations for creating an integrated national health data infrastructure and health information system. The chapter outlines what is meant by health data and an integrated health information system, and its role in advancing health care, social care, long-term care, public health and biomedical science. It outlines the strengths and challenges of the Dutch health system in the context of using health data to advance the health and well-being of individuals and populations. It concludes with a summary of recommendations to establish a modern, integrated health information system in the Netherlands.</w:t>
      </w:r>
    </w:p>
    <w:p>
      <w:pPr/>
      <w:r>
        <w:rPr>
          <w:b/>
        </w:rPr>
        <w:t>POSSIBLE 2021:</w:t>
      </w:r>
      <w:r>
        <w:t xml:space="preserve"> Summary of evidence and recommendations — https://doi.org/10.4324/9781003048558-14</w:t>
      </w:r>
    </w:p>
    <w:p>
      <w:pPr/>
      <w:r>
        <w:rPr>
          <w:b/>
        </w:rPr>
        <w:t>Shared claim-specific concepts:</w:t>
      </w:r>
      <w:r>
        <w:t xml:space="preserve"> conclude, summary, recommendations, authors; EU scope not established. This is a provisional connection, not an outcome finding.</w:t>
      </w:r>
    </w:p>
    <w:p>
      <w:pPr>
        <w:pStyle w:val="SourceNote"/>
      </w:pPr>
      <w:r>
        <w:rPr>
          <w:b/>
        </w:rPr>
        <w:t>Available abstract (not full text):</w:t>
      </w:r>
      <w:r>
        <w:t xml:space="preserve"> In this final chapter, we bring together recommendations from the experience and research of our expert authors. We have not tried to prioritise our list of key actions for developing countries to implement to enhance mathematical and statistical knowledge, skills and understanding for sustainable economic growth as there are so many variations between countries. What we can conclude though is that future generations of young people will need enhanced mathematical and statistical competency and transferable skills in an increasingly technological and competitive world and that significant investment in education is crucial for long-term economic growth and success.</w:t>
      </w:r>
    </w:p>
    <w:p>
      <w:pPr>
        <w:pStyle w:val="Heading2"/>
      </w:pPr>
      <w:r>
        <w:t>730. The perspectives of development of high-speed rail network in the European Union till</w:t>
        <w:br/>
        <w:t>the year 2050</w:t>
      </w:r>
    </w:p>
    <w:p>
      <w:pPr>
        <w:pStyle w:val="SourceNote"/>
      </w:pPr>
      <w:r>
        <w:rPr>
          <w:b/>
        </w:rPr>
        <w:t>Original source (2019):</w:t>
      </w:r>
      <w:r>
        <w:t xml:space="preserve"> https://doi.org/10.35117/a_eng_19_07_01</w:t>
      </w:r>
    </w:p>
    <w:p>
      <w:pPr/>
      <w:r>
        <w:t>Original wording (abstract; indexed_source_text_not_full_document_verified): As an outcome of the analyses presented in the article there emerged a complete vision of planned development of high-speed rail network in the European Union, which length in 2030 could be estimated for approximetaly 16,5 thousand kilometers.</w:t>
      </w:r>
    </w:p>
    <w:p>
      <w:pPr/>
      <w:r>
        <w:rPr>
          <w:b/>
        </w:rPr>
        <w:t>POSSIBLE 2026:</w:t>
      </w:r>
      <w:r>
        <w:t xml:space="preserve"> Clinical heterogeneity and outcome of acquired PRCA: a multicenter European study — https://doi.org/10.1182/bloodadvances.2025019525</w:t>
      </w:r>
    </w:p>
    <w:p>
      <w:pPr/>
      <w:r>
        <w:rPr>
          <w:b/>
        </w:rPr>
        <w:t>Shared claim-specific concepts:</w:t>
      </w:r>
      <w:r>
        <w:t xml:space="preserve"> outcome, analyses, presented, complete; EU scope visible. This is a provisional connection, not an outcome finding.</w:t>
      </w:r>
    </w:p>
    <w:p>
      <w:pPr>
        <w:pStyle w:val="SourceNote"/>
      </w:pPr>
      <w:r>
        <w:rPr>
          <w:b/>
        </w:rPr>
        <w:t>Available abstract (not full text):</w:t>
      </w:r>
      <w:r>
        <w:t xml:space="preserve"> ABSTRACT: Pure red cell aplasia (PRCA) is a rare single-lineage bone marrow (BM) failure characterized by anemia with profound reticulocytopenia and severe reduction of erythroid precursors. PRCA is heterogeneous, and diagnosis requires extensive evaluation to distinguish primary from secondary causes, such as thymoma, autoimmune diseases, T-cell large granular lymphocyte expansion, and myelodysplastic syndrome (MDS), the differential diagnosis of which is particularly challenging. Evidence guiding management remains limited because of the rarity of the disease and the lack of prospective studies. We analyzed 121 acquired adult PRCA (excluding Parvovirus B19-associated PRCA) cases across 14 European centers. Secondary forms accounted for 78% of diagnoses, mostly thymoma (23%) or MDS (21%). In a subset of patients, BM immunohistochemistry demonstrated significant depositions of C3, C4d, immunoglobulin M (IgM), and IgG, reducing after immunosuppression. Next-generation sequencing was performed in half of the patients, 36% of whom presented mutations predominantly related to clonal hematopoiesis, except in MDS-associated cases, which often carried multiple non-clonal hematopoiesis mutations. Immunosuppression represented the backbone of therapy: cyclosporine A (CyA) was the most effective agent, with 61% overall response rate (47% complete) and better outcomes when initiated earli</w:t>
      </w:r>
    </w:p>
    <w:p>
      <w:pPr/>
      <w:r>
        <w:rPr>
          <w:b/>
        </w:rPr>
        <w:t>POSSIBLE 2022:</w:t>
      </w:r>
      <w:r>
        <w:t xml:space="preserve"> Benefits of future clean air policies in Europe — https://doi.org/10.1097/ee9.0000000000000221</w:t>
      </w:r>
    </w:p>
    <w:p>
      <w:pPr/>
      <w:r>
        <w:rPr>
          <w:b/>
        </w:rPr>
        <w:t>Shared claim-specific concepts:</w:t>
      </w:r>
      <w:r>
        <w:t xml:space="preserve"> analyses, presented, union, estimated; EU scope visible. This is a provisional connection, not an outcome finding.</w:t>
      </w:r>
    </w:p>
    <w:p>
      <w:pPr>
        <w:pStyle w:val="SourceNote"/>
      </w:pPr>
      <w:r>
        <w:rPr>
          <w:b/>
        </w:rPr>
        <w:t>Available abstract (not full text):</w:t>
      </w:r>
      <w:r>
        <w:t xml:space="preserve"> Introduction Health impact assessments (HIA) and cost-benefit analyses (CBA) play a major role in the ongoing revision of the European Union Ambient Air Quality Directive (EU AAQD). HIAs quantify the public health impacts of the air pollution levels a population is exposed to. CBAs quantify the economic costs of achieving lower air pollution levels and the (monetized) benefits for public health that result from these lower air pollution levels. In this commentary, we consider the recent body of evidence on the effects of long-term exposure to fine particulate matter (PM2.5) and nitrogen dioxide (NO2) on total mortality from natural causes and present the rationale for conducting additional analyses within the framework of the HIA conducted for the revision of the EU AAQD, based on the recently published European “Effects of Low-Level Air Pollution: A Study in Europe” (ELAPSE) study. The air pollution-related burden (presented as impact on mortality from natural causes) for Europe has been estimated since 2014 in the annual “Air Quality in Europe” reports published by the European Environment Agency (EEA). EEA in their HIA has used relative risk estimates from meta-analyses by Hoek and colleagues1 in 2013, based on evidence published before January 2013: 1.06 (1.04, 1.08) for PM2.5 and 1.05 (1.03, 1.08) for NO2, both per 10 μg/m3. The EEA, in its latest HIA for 2019, assumed no </w:t>
      </w:r>
    </w:p>
    <w:p>
      <w:pPr/>
      <w:r>
        <w:rPr>
          <w:b/>
        </w:rPr>
        <w:t>POSSIBLE 2022:</w:t>
      </w:r>
      <w:r>
        <w:t xml:space="preserve"> Demographics and treatment outcomes in patients with EBV+ PTLD treated with off-the-shelf EBV-specific CTL under an ongoing expanded access program in Europe: First analyses. — https://doi.org/10.1200/jco.2022.40.16_suppl.7530</w:t>
      </w:r>
    </w:p>
    <w:p>
      <w:pPr/>
      <w:r>
        <w:rPr>
          <w:b/>
        </w:rPr>
        <w:t>Shared claim-specific concepts:</w:t>
      </w:r>
      <w:r>
        <w:t xml:space="preserve"> analyses, presented, complete; EU scope visible. This is a provisional connection, not an outcome finding.</w:t>
      </w:r>
    </w:p>
    <w:p>
      <w:pPr>
        <w:pStyle w:val="SourceNote"/>
      </w:pPr>
      <w:r>
        <w:rPr>
          <w:b/>
        </w:rPr>
        <w:t>Available abstract (not full text):</w:t>
      </w:r>
      <w:r>
        <w:t xml:space="preserve"> 7530 Background: Patients undergoing allogeneic hematopoietic cell transplant (HCT) or solid organ transplant (SOT) are at risk of developing Epstein–Barr virus driven post-transplant lymphoproliferative disorder (EBV+ PTLD), a rare hematologic malignancy, which is often aggressive and life-threatening. Patients with relapsed or refractory (r/r) EBV+ PTLD have few treatment options with poor outcomes, demonstrating a clear unmet medical need. Tabelecleucel is an investigational, off-the-shelf, allogeneic EBV-specific T-cell immunotherapy being studied in patients with serious EBV+ diseases (NCT04554914 &amp; NCT03394365) that has demonstrated clinical benefit and favorable safety profile in the treatment of EBV+ PTLD after failure of rituximab (R) ± chemotherapy (Prockop, EBMT 2021, ATC 2021, ASH 2021). Methods: Atara Biotherapeutics supports an ongoing expanded access program (EAP) in Europe for patients with EBV+ diseases who have no other treatment options. Here we report demographics, efficacy and safety results of r/r EBV+ PTLD patients following SOT or HCT who presented between Jul 2020 and Nov 2021 and consented to research. Results: A total of 48 EAP requests from 9 countries for patients with EBV+ diseases were received. Twenty-two patients from 7 countries consented to this research: 16 EBV+ PTLD and 6 EBV+ non-PTLD. Of the 16 PTLD patients 15 received at least one dose o</w:t>
      </w:r>
    </w:p>
    <w:p>
      <w:pPr/>
      <w:r>
        <w:rPr>
          <w:b/>
        </w:rPr>
        <w:t>POSSIBLE 2021:</w:t>
      </w:r>
      <w:r>
        <w:t xml:space="preserve"> Peri-interventional outcome study in the elderly in Europe — https://doi.org/10.1097/eja.0000000000001639</w:t>
      </w:r>
    </w:p>
    <w:p>
      <w:pPr/>
      <w:r>
        <w:rPr>
          <w:b/>
        </w:rPr>
        <w:t>Shared claim-specific concepts:</w:t>
      </w:r>
      <w:r>
        <w:t xml:space="preserve"> outcome, presented, planned, estimated, thousand; EU scope visible. This is a provisional connection, not an outcome finding.</w:t>
      </w:r>
    </w:p>
    <w:p>
      <w:pPr>
        <w:pStyle w:val="SourceNote"/>
      </w:pPr>
      <w:r>
        <w:rPr>
          <w:b/>
        </w:rPr>
        <w:t>Available abstract (not full text):</w:t>
      </w:r>
      <w:r>
        <w:t xml:space="preserve"> OBJECTIVES: The aim of this study was to describe the 30-day mortality rate of patients aged 80 years and older undergoing surgical and nonsurgical procedures under anaesthesia in Europe and to identify risk factors associated with mortality. DESIGN: A prospective cohort study. SETTING: European multicentre study, performed from October 2017 to December 2018. Centres committed to a 30-day recruitment period within the study period. PATIENTS: Nine thousand four hundred and ninety-seven consecutively recruited patients aged 80 years and older undergoing any kind of surgical or nonsurgical procedures under anaesthesia. MAIN OUTCOME MEASURES: The primary outcome was all-cause mortality within 30 days after procedure described by Kaplan-Meier curves with 95% CI. Risk factors for 30-day mortality were analysed using a Cox regression model with 14 fixed effects and a random centre effect. RESULTS: Data for 9497 patients (median age, 83.0 years; 52.8% women) from 177 academic and nonacademic hospitals in 20 countries were analysed. Patients presented with multimorbidity (77%), frailty (14%) and at least partial functional dependence (38%). The estimated 30-day mortality rate was 4.2% (95% CI 3.8 to 4.7). Among others, independent risk factors for 30-day mortality were multimorbidity, hazard ratio 1.87 (95% CI 1.26 to 2.78), frailty, hazard ratio 2.63 (95% CI 2.10 to 3.30), and limited </w:t>
      </w:r>
    </w:p>
    <w:p>
      <w:pPr/>
      <w:r>
        <w:rPr>
          <w:b/>
        </w:rPr>
        <w:t>POSSIBLE 2021:</w:t>
      </w:r>
      <w:r>
        <w:t xml:space="preserve"> Treatment and Outcome in Children With Tuberculous Meningitis: A Multicenter Pediatric Tuberculosis Network European Trials Group Study — https://doi.org/10.1093/cid/ciab982</w:t>
      </w:r>
    </w:p>
    <w:p>
      <w:pPr/>
      <w:r>
        <w:rPr>
          <w:b/>
        </w:rPr>
        <w:t>Shared claim-specific concepts:</w:t>
      </w:r>
      <w:r>
        <w:t xml:space="preserve"> outcome, analyses, there, complete, network; EU scope visible. This is a provisional connection, not an outcome finding.</w:t>
      </w:r>
    </w:p>
    <w:p>
      <w:pPr>
        <w:pStyle w:val="SourceNote"/>
      </w:pPr>
      <w:r>
        <w:rPr>
          <w:b/>
        </w:rPr>
        <w:t>Available abstract (not full text):</w:t>
      </w:r>
      <w:r>
        <w:t xml:space="preserve"> BACKGROUND: Currently, data on treatment, outcome, and prognostic factors in children with tuberculous meningitis (TBM) in Europe are limited. To date, most existing data on TBM originate from adult studies, or studies conducted in low-resource settings. METHODS: We designed a multicenter, retrospective study involving 27 pediatric healthcare institutions in 9 European countries via an established pediatric TB research network, before and after the 2014 revision of World Health Organization (WHO) dosing recommendations. RESULTS: Of 118 children, 39 (33.1%) had TBM grade 1, 68 (57.6%) grade 2, and 11 (9.3%) grade 3. Fifty-eight (49.1%) children received a standard 4-drug treatment regimen; other commonly used drugs included streptomycin, prothionamide, and amikacin. Almost half of the patients (48.3%; 56/116) were admitted to intensive care unit, with a median stay of 10 (interquartile range [IQR] 4.5-21.0) days. Of 104 children with complete outcome data, 9.6% (10/104) died, and only 47.1% (49/104) recovered fully. Main long-term sequelae included spasticity of 1 or more limbs and developmental delay both in 19.2% (20/104), and seizure disorder in 17.3% (18/104). Multivariate regression analyses identified microbiological confirmation of TBM, the need for neurosurgical intervention, and mechanical ventilation as risk factors for unfavorable outcome. CONCLUSIONS: There was consi</w:t>
      </w:r>
    </w:p>
    <w:p>
      <w:pPr/>
      <w:r>
        <w:rPr>
          <w:b/>
        </w:rPr>
        <w:t>POSSIBLE 2021:</w:t>
      </w:r>
      <w:r>
        <w:t xml:space="preserve"> Selecting and analysing climate change adaptation measures at six research sites across Europe — https://doi.org/10.5194/nhess-21-2145-2021</w:t>
      </w:r>
    </w:p>
    <w:p>
      <w:pPr/>
      <w:r>
        <w:rPr>
          <w:b/>
        </w:rPr>
        <w:t>Shared claim-specific concepts:</w:t>
      </w:r>
      <w:r>
        <w:t xml:space="preserve"> analyses, presented, article; EU scope visible. This is a provisional connection, not an outcome finding.</w:t>
      </w:r>
    </w:p>
    <w:p>
      <w:pPr>
        <w:pStyle w:val="SourceNote"/>
      </w:pPr>
      <w:r>
        <w:rPr>
          <w:b/>
        </w:rPr>
        <w:t>Available abstract (not full text):</w:t>
      </w:r>
      <w:r>
        <w:t xml:space="preserve"> Abstract. As Europe is faced with increasing droughts and extreme precipitation, countries are taking measures to adapt to these changes. It is challenging, however, to navigate through the wide range of possible measures, taking into account the efficacy, economic impact and social justice aspects of these measures, as well as the governance requirements for implementing them. This article describes and evaluates an approach to selecting and analysing climate change adaptation measures that was applied at six research sites across Europe. It describes the steps that were taken in collecting, selecting and analysing adaptation measures, in a process with local stakeholders, with concrete examples from the case studies. The governance analysis focuses on the requirements associated with the measures and the extent to which these requirements are met at the research sites. The socio-economic impact focuses on the efficacy of the measures in reducing the risks and the broad range of tools available to compare the measures on their societal impact. Finally, the social justice analysis focuses on the distributive impacts of the adaptation measures. In the discussion, we identify some key findings with regard to the different kind of measures. In the conclusion we briefly assess the main pros and cons of the different analyses that were conducted. The main conclusion is that although</w:t>
      </w:r>
    </w:p>
    <w:p>
      <w:pPr/>
      <w:r>
        <w:rPr>
          <w:b/>
        </w:rPr>
        <w:t>POSSIBLE 2020:</w:t>
      </w:r>
      <w:r>
        <w:t xml:space="preserve"> The Cyprus Talks 2015–2017: Their Course, the Outcome, and Consequences for the European Union — https://doi.org/10.14746/rie.2020.14.9</w:t>
      </w:r>
    </w:p>
    <w:p>
      <w:pPr/>
      <w:r>
        <w:rPr>
          <w:b/>
        </w:rPr>
        <w:t>Shared claim-specific concepts:</w:t>
      </w:r>
      <w:r>
        <w:t xml:space="preserve"> outcome, article, there, union; EU scope visible. This is a provisional connection, not an outcome finding.</w:t>
      </w:r>
    </w:p>
    <w:p>
      <w:pPr>
        <w:pStyle w:val="SourceNote"/>
      </w:pPr>
      <w:r>
        <w:rPr>
          <w:b/>
        </w:rPr>
        <w:t>Available abstract (not full text):</w:t>
      </w:r>
      <w:r>
        <w:t xml:space="preserve"> The main aim of the article is to present political consequences of the failure of the Cyprus talks 2015–2017 for the European Union. Although its institutions and representatives were engaged in the negotiation process there, the issue seems to be more complex when it comes to defining what their role was. One can find the answer to such a question analysing the course and the final outcome of the negotiation process in Cyprus. The main research question are as follows: What was the course of bicommunal negotiations? What brought the negotiations to a halt in 2017? How did the European Union engage in the process? What are political consequences of the talks failure for the European Union? The selected method is sources analysis and the technique is qualitative content analysis. On this basis one can study, for example, selected speeches, declarations as well as official documents. As regards the main sources, these are selected EU and UN documents, monographs, and academic articles.</w:t>
      </w:r>
    </w:p>
    <w:p>
      <w:pPr/>
      <w:r>
        <w:rPr>
          <w:b/>
        </w:rPr>
        <w:t>POSSIBLE 2020:</w:t>
      </w:r>
      <w:r>
        <w:t xml:space="preserve"> Incidence and outcome of atrial fibrillation: diversity throughout Europe — https://doi.org/10.1093/eurheartj/ehaa1078</w:t>
      </w:r>
    </w:p>
    <w:p>
      <w:pPr/>
      <w:r>
        <w:rPr>
          <w:b/>
        </w:rPr>
        <w:t>Shared claim-specific concepts:</w:t>
      </w:r>
      <w:r>
        <w:t xml:space="preserve"> outcome, presented, there; EU scope visible. This is a provisional connection, not an outcome finding.</w:t>
      </w:r>
    </w:p>
    <w:p>
      <w:pPr>
        <w:pStyle w:val="SourceNote"/>
      </w:pPr>
      <w:r>
        <w:rPr>
          <w:b/>
        </w:rPr>
        <w:t>Available abstract (not full text):</w:t>
      </w:r>
      <w:r>
        <w:t xml:space="preserve"> This editorial refers to ‘Paradoxical impact of socioeconomic factors on outcome of atrial fibrillation in Europe: trends in incidence and mortality from atrial fibrillation’†, by B.M. Al-Khayatt et al., on page 847. The incidence and prevalence of atrial fibrillation (AF) have been increasing over time and are expected to rise further due to extended life expectancy, accumulation of lifestyle-related risk factors such as obesity and diabetes mellitus, and a better survival after myocardial infarction and heart failure (HF). In addition, a better awareness of AF and improved and intensified technology for undiagnosed AF contribute to an increase in AF burden.1–3 In addition to the incidence and prevalence of AF, the AF-associated mortality rate is increasing.1,3 Mortality is the highest early after diagnosis of AF, being 5–6% in the first year after the initial presentation due to as yet undiagnosed underlying cardiovascular diseases and therefore far less well treated AF.4,5 Many associated conditions contribute to incident AF as well as to AF-related mortality including increasing age, hypertension, diabetes mellitus, HF, coronary artery disease, obesity, and chronic kidney disease.4 The incidence of AF is higher in men than in women.3 The moment of onset of AF as well as the associated comorbidities differ between men and women. Women are older, have a higher prevalence of h</w:t>
      </w:r>
    </w:p>
    <w:p>
      <w:pPr>
        <w:pStyle w:val="Heading2"/>
      </w:pPr>
      <w:r>
        <w:t>731. Towards a sustainable European energy system: Linking optimization models with multi-regional input-output analysis</w:t>
      </w:r>
    </w:p>
    <w:p>
      <w:pPr>
        <w:pStyle w:val="SourceNote"/>
      </w:pPr>
      <w:r>
        <w:rPr>
          <w:b/>
        </w:rPr>
        <w:t>Original source (2019):</w:t>
      </w:r>
      <w:r>
        <w:t xml:space="preserve"> https://doi.org/10.1016/j.esr.2019.100391</w:t>
      </w:r>
    </w:p>
    <w:p>
      <w:pPr/>
      <w:r>
        <w:t>Original wording (abstract; indexed_source_text_not_full_document_verified): This study uses two models to analyze the implications of these goals on the European energy system and on the rest of the world, based on several scenarios for the mid and long term. First, using a linear programming optimization model for capacity expansion and unit commitment, we obtain the optimal design of the European power system in 2030 and 2050.</w:t>
      </w:r>
    </w:p>
    <w:p>
      <w:pPr/>
      <w:r>
        <w:rPr>
          <w:b/>
        </w:rPr>
        <w:t>POSSIBLE 2026:</w:t>
      </w:r>
      <w:r>
        <w:t xml:space="preserve"> Assessing invasion risk of two North American Saperda species (Coleoptera, Cerambycidae) in Europe using joint bioclimatic-habitat species distribution models and maritime-inland connectivity — https://doi.org/10.3897/neobiota.109.192296</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The introduction and establishment of non-native wood-boring insects pose a significant threat to forest ecosystems, urban trees and agricultural systems worldwide. In this study, we assessed the invasion risk of two North American longhorn beetles, Saperda candida and Saperda tridentata , to Europe by integrating joint bioclimatic–habitat species distribution models with maritime connectivity data. Both species can infest live trees; S. candida is primarily associated with hosts in the Rosaceae, whereas S. tridentata mainly attacks Ulmus species, making both species of primary phytosanitary concern to Europe. We developed ensemble models that separately quantified the effects of broad-scale climatic variables and fine-scale habitat factors, including land cover and host plant availability and then combined them into overall suitability maps. These were further integrated with a proxy of propagule pressure, based on international shipping connectivity to generate spatially explicit invasion risk maps. Both species showed strong model performance and high transferability. Results indicate that large areas of Europe, particularly central and western regions, offer suitable environmental conditions for establishment, although climatic constraints limit suitability in southern and northern extremes. Host plant availability emerged as a key determinant of habitat suitability, while </w:t>
      </w:r>
    </w:p>
    <w:p>
      <w:pPr/>
      <w:r>
        <w:rPr>
          <w:b/>
        </w:rPr>
        <w:t>POSSIBLE 2026:</w:t>
      </w:r>
      <w:r>
        <w:t xml:space="preserve"> Improving Europe-wide windstorm damage modeling using insurance loss data — https://doi.org/10.5194/egusphere-2026-3099</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Abstract. Winter windstorms are among Europe’s deadliest and most damaging natural hazards. In a changing climate, reliably estimating and projecting their impacts is essential for effective risk management. Such risk is often modeled as the intersection between hazard, exposure, and vulnerability, which are linked through functional relationships known as vulnerability curves (or damage models). The Schwierz et al. (2010) damage model is a widely used open-source standard for European windstorms, but its original calibration is based on a limited set of historical UK storms. In this study, this model is calibrated against recent loss data from the PERILS database (1999–2024) within the CLIMADA open-source framework, across 12 European countries. Calibration is conducted independently using two cost functions: Root Mean Squared Error (RMSE) and Root Mean Squared Logarithmic Error (RMSLE), enabling a systematic comparison of their influence on the optimised damage parameter and derived risk metrics. The default model is found to systematically underestimate losses across Europe, and a single pan-European model cannot capture the distinct vulnerability profiles of individual countries. By calibrating the model against PERILS losses, a new set of country-specific damage functions is developed, which reflect spatial heterogeneities in vulnerability. In addition, the analysis demons</w:t>
      </w:r>
    </w:p>
    <w:p>
      <w:pPr/>
      <w:r>
        <w:rPr>
          <w:b/>
        </w:rPr>
        <w:t>POSSIBLE 2026:</w:t>
      </w:r>
      <w:r>
        <w:t xml:space="preserve"> Mapping where biodiversity goals meet local values in European land use futures — https://doi.org/10.5194/wbf2026-660</w:t>
      </w:r>
    </w:p>
    <w:p>
      <w:pPr/>
      <w:r>
        <w:rPr>
          <w:b/>
        </w:rPr>
        <w:t>Shared claim-specific concepts:</w:t>
      </w:r>
      <w:r>
        <w:t xml:space="preserve"> uses, two, implications, goals, based; EU scope visible. This is a provisional connection, not an outcome finding.</w:t>
      </w:r>
    </w:p>
    <w:p>
      <w:pPr>
        <w:pStyle w:val="SourceNote"/>
      </w:pPr>
      <w:r>
        <w:rPr>
          <w:b/>
        </w:rPr>
        <w:t>Available abstract (not full text):</w:t>
      </w:r>
      <w:r>
        <w:t xml:space="preserve"> In Europe, spatial planning is being asked to reconcile biodiversity restoration, climate mitigation and social needs at the same time. In practice, however, European scale planning often fails to align with locally defined values and priorities that emerge in participatory processes. In this contribution, we compare a SSP-scenario with a scenario from local visions for future landscapes to explore where spatial planning can create biodiversity positive and socially just transformations. For twelve case studies in Europe, stakeholders co-developed “Possible Landscapes” that articulate place-based visions for vital, biodiverse and liveable landscapes.These two contrasting 2050 land-system scenarios (SSP vs. local visions) are simulated with the CLUMondo model to model land-system futures for Europe. From the resulting land-system maps, spatial indicators are derived for a diverse range of outcomes: high level restoration (nature area, patch size and connectivity including mosaics), agriculture and climate mitigation (changes in emission relevant land uses such as peat soils and forest loss, and food production), local wellbeing (access to green space near cities) and environmental safety (shifts toward green land uses in drought, flood and erosion prone areas).The indicators are then compared with the local needs and values, with data from Eurobarometer surveys that reflect how </w:t>
      </w:r>
    </w:p>
    <w:p>
      <w:pPr/>
      <w:r>
        <w:rPr>
          <w:b/>
        </w:rPr>
        <w:t>POSSIBLE 2026:</w:t>
      </w:r>
      <w:r>
        <w:t xml:space="preserve"> Evaluation of European Air Quality Simulations in 2019 Using the CMAQ–WRF Modeling System — https://doi.org/10.5194/egusphere-egu26-4162</w:t>
      </w:r>
    </w:p>
    <w:p>
      <w:pPr/>
      <w:r>
        <w:rPr>
          <w:b/>
        </w:rPr>
        <w:t>Shared claim-specific concepts:</w:t>
      </w:r>
      <w:r>
        <w:t xml:space="preserve"> two, energy, system, based; EU scope visible. This is a provisional connection, not an outcome finding.</w:t>
      </w:r>
    </w:p>
    <w:p>
      <w:pPr>
        <w:pStyle w:val="SourceNote"/>
      </w:pPr>
      <w:r>
        <w:rPr>
          <w:b/>
        </w:rPr>
        <w:t>Available abstract (not full text):</w:t>
      </w:r>
      <w:r>
        <w:t xml:space="preserve"> Air pollution levels across Europe have declined significantly over the past two decades, largely due to targeted emission controls in the energy, industry, and transport sectors. Recent monitoring data (2023–2024) show that EU air quality standards are met at 99% of stations for PM2.5 and 98% for nitrogen dioxide (NO2). Despite this progress, air pollution remains the leading environmental health risk in Europe. The European Environment Agency (EEA) estimates that annual exposure to PM2.5, ozone (O3), and NO2 caused approximately 239,000, 70,000, and 48,000 premature deaths, respectively, in the EU–27. Therefore, member States are required to prepare National Air Pollution Control Programmes (NAPCPs) and local action plans, with a stronger role for air quality modeling in complementing monitoring, assessing pollutant distributions, and evaluating mitigation pathways. Air quality modeling has become indispensable for understanding pollutant dynamics, quantifying the effects of emission reductions, and designing integrated air–climate policies. Large–scale initiatives such as FAIRMODE, AQMEII, EURODELT, and HTAP have advanced knowledge on model performance and uncertainties, while emphasizing the need for harmonized approaches across Europe. These efforts show that robust policy support requires continent–wide evaluations based on consistent emissions, updated meteorological dri</w:t>
      </w:r>
    </w:p>
    <w:p>
      <w:pPr/>
      <w:r>
        <w:rPr>
          <w:b/>
        </w:rPr>
        <w:t>POSSIBLE 2026:</w:t>
      </w:r>
      <w:r>
        <w:t xml:space="preserve"> Wild ruminant distribution in Europe: occurrence and hunting yield models — https://doi.org/10.5281/zenodo.21977769</w:t>
      </w:r>
    </w:p>
    <w:p>
      <w:pPr/>
      <w:r>
        <w:rPr>
          <w:b/>
        </w:rPr>
        <w:t>Shared claim-specific concepts:</w:t>
      </w:r>
      <w:r>
        <w:t xml:space="preserve"> two, based, first, linear; EU scope visible. This is a provisional connection, not an outcome finding.</w:t>
      </w:r>
    </w:p>
    <w:p>
      <w:pPr>
        <w:pStyle w:val="SourceNote"/>
      </w:pPr>
      <w:r>
        <w:rPr>
          <w:b/>
        </w:rPr>
        <w:t>Available abstract (not full text):</w:t>
      </w:r>
      <w:r>
        <w:t xml:space="preserve"> These are model outputs referring to the ENETwild report "Revised wild ruminant distribution in Europe: occurrence and hunting yield models. Building on previous ENETWILD assessments, we updated continental-scale models for European wild ruminants using harmonised occurrence records from the Global Biodiversity Information Facility (GBIF), environmental predictors, hunting yield data and density estimates. Species distribution occurrence models were developed using Maxent for five widespread species (moose Alces alces, roe deer Capreolus capreolus, red deer Cervus elaphus, fallow deer Dama dama and reindeer Rangifer tarandus), while hunting-yield models based on generalized linear models were developed for roe deer and red deer using harmonised European harvest data. Using these outputs, we also model the density of ruminants across Europe, using updated density estimates provided by the European Observatory of Wildlife (EOW) and recent literature. Species distribution models revealed marked differences among the five ungulate species. Generalist species, particularly Capreolus capreolus and Cervus elaphus, showed widespread suitability across central and northern Europe, driven mainly by productivity and heterogeneous land cover. Although habitat suitability was related to roe deer density, the relationship was insufficiently strong to accurately predict density across Europe.</w:t>
      </w:r>
    </w:p>
    <w:p>
      <w:pPr/>
      <w:r>
        <w:rPr>
          <w:b/>
        </w:rPr>
        <w:t>POSSIBLE 2025:</w:t>
      </w:r>
      <w:r>
        <w:t xml:space="preserve"> Analysis of Two-Side Wood Joints Using the European Yield Model (EYM) Method Referring to SNI 7973:2013 — https://doi.org/10.38124/ijisrt/25dec821</w:t>
      </w:r>
    </w:p>
    <w:p>
      <w:pPr/>
      <w:r>
        <w:rPr>
          <w:b/>
        </w:rPr>
        <w:t>Shared claim-specific concepts:</w:t>
      </w:r>
      <w:r>
        <w:t xml:space="preserve"> two, based, capacity; EU scope visible. This is a provisional connection, not an outcome finding.</w:t>
      </w:r>
    </w:p>
    <w:p>
      <w:pPr>
        <w:pStyle w:val="SourceNote"/>
      </w:pPr>
      <w:r>
        <w:rPr>
          <w:b/>
        </w:rPr>
        <w:t>Available abstract (not full text):</w:t>
      </w:r>
      <w:r>
        <w:t xml:space="preserve"> The connection is the most critical part in a wooden structure because it plays a direct role in transmitting forces between elements. This study analyzed the behavior of two Palapi wood (Heritiera simplicifolia.) joints using a single bolt based on the European Yield Model (EYM) method referring to SNI 7973:2013. The parameters reviewed included the physical properties of wood, mechanical properties, wood bearing strength, bolt flexural strength, and theoretical and experimental connection capacity. The test results showed an average water content of 11.50% and a density of 0.43 g/cm3. The average shear strength parallel to the grain reached 19.21 MPa, the compressive strength parallel to the grain was 25.63 MPa, and the wood bearing strength increased with increasing bolt diameter. Comparison of the theoretical EYM results and the experimental results showed a significant difference, mainly influenced by the failure of the wood bearing and the plastic deflection of the bolt. The results of this study are expected to be a reference in designing wood joints more safely and efficiently, especially for the use of local Palapi wood in construction.</w:t>
      </w:r>
    </w:p>
    <w:p>
      <w:pPr/>
      <w:r>
        <w:rPr>
          <w:b/>
        </w:rPr>
        <w:t>POSSIBLE 2025:</w:t>
      </w:r>
      <w:r>
        <w:t xml:space="preserve"> Preferences, goals and implications for paternalism — https://doi.org/10.1017/s0266267125100436</w:t>
      </w:r>
    </w:p>
    <w:p>
      <w:pPr/>
      <w:r>
        <w:rPr>
          <w:b/>
        </w:rPr>
        <w:t>Shared claim-specific concepts:</w:t>
      </w:r>
      <w:r>
        <w:t xml:space="preserve"> implications, goals; EU scope not established. This is a provisional connection, not an outcome finding.</w:t>
      </w:r>
    </w:p>
    <w:p>
      <w:pPr>
        <w:pStyle w:val="SourceNote"/>
      </w:pPr>
      <w:r>
        <w:rPr>
          <w:b/>
        </w:rPr>
        <w:t>Available abstract (not full text):</w:t>
      </w:r>
      <w:r>
        <w:t xml:space="preserve"> Abstract This paper proposes a conceptual model of decision-making tying specific preferences to broader individual goals. Specifically, we consider terminal goals, representing fundamental objectives, and instrumental goals, serving as complexity-reducing intermediate steps toward achieving terminal goals and determining eventual preferences. Notably, the hierarchical goal structure allows for contextual misalignments between different instrumental goals, which may lead to suboptimal decisions – as evaluated from an outside perspective. Thus, applied to the discussion about nudging and paternalism, the model provides a methodological justification for paternalistic interventions as it is compatible with arguments in favour of interventions aimed to correct such choices.</w:t>
      </w:r>
    </w:p>
    <w:p>
      <w:pPr/>
      <w:r>
        <w:rPr>
          <w:b/>
        </w:rPr>
        <w:t>POSSIBLE 2025:</w:t>
      </w:r>
      <w:r>
        <w:t xml:space="preserve"> Energy efficiency enhancement in two European data centers through CFD modeling — https://doi.org/10.1038/s41598-025-11048-0</w:t>
      </w:r>
    </w:p>
    <w:p>
      <w:pPr/>
      <w:r>
        <w:rPr>
          <w:b/>
        </w:rPr>
        <w:t>Shared claim-specific concepts:</w:t>
      </w:r>
      <w:r>
        <w:t xml:space="preserve"> two, energy, based, design; EU scope visible. This is a provisional connection, not an outcome finding.</w:t>
      </w:r>
    </w:p>
    <w:p>
      <w:pPr>
        <w:pStyle w:val="SourceNote"/>
      </w:pPr>
      <w:r>
        <w:rPr>
          <w:b/>
        </w:rPr>
        <w:t>Available abstract (not full text):</w:t>
      </w:r>
      <w:r>
        <w:t xml:space="preserve"> The new reporting scheme adopted by the European Union focuses on the efficiency assessment of data centers based on key performance indicators (KPIs). This has the potential to lead to further measures for improving energy efficiency of data centers. Consequently, a systematic approach is crucial for assessing and improving data center performance. This study investigates efficiency assessment of two European pilot data centers, located in Denmark and Poland, according to the KPIs calculated through Computational Fluid Dynamics (CFD) simulations of airflow and thermal structures. Two separate experimental approaches were adopted at the pilot sites. One measured airflow and temperatures using external sensors at server inlets and outlets, while the other measured inlet temperatures from embedded server sensors. The good agreement observed between simulated and experimental data confirmed the accuracy of the computational model. The validated CFD model was applied to investigate efficiency improvement opportunities by retrofitting the thermal environment such as rack positioning, containment implementation, and guided airflow control. A series of numerical simulations are performed using the validated numerical model and KPIs are calculated for each design. Numerical simulations demonstrate that the efficiency of an existing data center can be enhanced by up to 75% using the pre</w:t>
      </w:r>
    </w:p>
    <w:p>
      <w:pPr/>
      <w:r>
        <w:rPr>
          <w:b/>
        </w:rPr>
        <w:t>POSSIBLE 2024:</w:t>
      </w:r>
      <w:r>
        <w:t xml:space="preserve"> Climate change impacts on two European crop rotations via an ensemble of models — https://doi.org/10.1016/j.eja.2024.127456</w:t>
      </w:r>
    </w:p>
    <w:p>
      <w:pPr/>
      <w:r>
        <w:rPr>
          <w:b/>
        </w:rPr>
        <w:t>Shared claim-specific concepts:</w:t>
      </w:r>
      <w:r>
        <w:t xml:space="preserve"> two, based; EU scope visible. This is a provisional connection, not an outcome finding.</w:t>
      </w:r>
    </w:p>
    <w:p>
      <w:pPr>
        <w:pStyle w:val="SourceNote"/>
      </w:pPr>
      <w:r>
        <w:rPr>
          <w:b/>
        </w:rPr>
        <w:t>Available abstract (not full text):</w:t>
      </w:r>
      <w:r>
        <w:t xml:space="preserve"> Continuous long-term simulations of an ensemble of nine crop models covering the 1961–2080 period was employed to assess the expected impacts of climate change on the crop yield and water use for distinct crop rotations (CRs) in Europe. In this study, the likelihood of changes in two differently managed CRs (conventional and alternative) involving four important field crops (winter wheat, spring barley, silage maize, and winter oilseed rape) was assessed. The conventional agricultural practice (CR1) included only mineral fertilization with the removal of crop residues after harvest. The alternative agricultural practice (CR2) included cover crops and the application of mineral and organic fertilizers, with crop residues retained in the field. The simulations covered six sites in five European countries (Mühldorf and Müncheberg in Germany, Ukkel in Belgium, Ødum in Denmark, Milhostov in Slovakia and Lednice in Czechia) based on two distinct soil profiles (universal soil and site-specific soils). The universal soil was the same across all the sites, while the site-specific soils were typical of each region. Eight transient climate change scenarios (4 general circulation models (GCMs) under representative concentration pathways (RCPs) 2.6 and 8.5) were used to capture the possible evolution of future climatic conditions. Compared with those during the 1962–1990 period, the ensembl</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linear;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Teachers’ contributions to the school climate and using empathy at work: implications from qualitative research in two European countries — https://doi.org/10.3389/fpsyg.2023.1160546</w:t>
      </w:r>
    </w:p>
    <w:p>
      <w:pPr/>
      <w:r>
        <w:rPr>
          <w:b/>
        </w:rPr>
        <w:t>Shared claim-specific concepts:</w:t>
      </w:r>
      <w:r>
        <w:t xml:space="preserve"> two, implications, based; EU scope visible. This is a provisional connection, not an outcome finding.</w:t>
      </w:r>
    </w:p>
    <w:p>
      <w:pPr>
        <w:pStyle w:val="SourceNote"/>
      </w:pPr>
      <w:r>
        <w:rPr>
          <w:b/>
        </w:rPr>
        <w:t>Available abstract (not full text):</w:t>
      </w:r>
      <w:r>
        <w:t xml:space="preserve"> This research aimed to reveal the factors that, based on their experiences, teachers consider important in their contribution to a positive school climate and in their relationship with students when it comes to using empathy. Teachers from two European countries—Latvia ( n = 83) and Lithuania ( n = 69)—participated in the research. Data were collected through focus group-based interviews and analyzed using latent qualitative content analysis. The results revealed the teachers’ shared understanding of the importance of communication and professional development. However, only Lithuanian teachers emphasized strengthening institutional values and other more collectivistic aspects; the answers of Latvian teachers were specific and suggested more of an individualistic attitude, like allocating personal responsibility to use appropriate instructional strategies. This study draws attention to contextual and cultural factors of teachers’ work and actualizes their educational needs.</w:t>
      </w:r>
    </w:p>
    <w:p>
      <w:pPr/>
      <w:r>
        <w:rPr>
          <w:b/>
        </w:rPr>
        <w:t>POSSIBLE 2023:</w:t>
      </w:r>
      <w:r>
        <w:t xml:space="preserve"> Sustainable development goals: classifying European countries through self-organizing maps — https://doi.org/10.36253/979-12-215-0106-3.17</w:t>
      </w:r>
    </w:p>
    <w:p>
      <w:pPr/>
      <w:r>
        <w:rPr>
          <w:b/>
        </w:rPr>
        <w:t>Shared claim-specific concepts:</w:t>
      </w:r>
      <w:r>
        <w:t xml:space="preserve"> implications, goals, world; EU scope visible. This is a provisional connection, not an outcome finding.</w:t>
      </w:r>
    </w:p>
    <w:p>
      <w:pPr>
        <w:pStyle w:val="SourceNote"/>
      </w:pPr>
      <w:r>
        <w:rPr>
          <w:b/>
        </w:rPr>
        <w:t>Available abstract (not full text):</w:t>
      </w:r>
      <w:r>
        <w:t xml:space="preserve"> Environmental sustainability is one of the main goals of all countries in the world. Sustainable Development Goals (SDGs) have been proposed by the United Nations in 2015. The purpose of this paper is to explore if and how European countries achievethe goals of environmental sustainability (tracked by the SDGs number 13, 14, and 15). In particular, SDG 13 refers to climate change and its impacts; SDG 14 refers to the conservation of water and marine resources while the last one; SDG 15 deals with the preservation of forests. The reference methodology of the paper are the Self-Organizing Maps proposed by Kohonen in 1982 as an unsupervised clustering method in the framework of artificial neural networks. The proposed analysis considers the 23 indicators related to the three SDGs of environmental sustainability and aims to explore and identify groups of countries with similar characteristics through a dimensionality reduction. Such clusters will be visually represented in a two-dimensional map. The proposed analysis considers the most recent data for all the above SDGs, which is 2018, with the aim of classifying the countries in terms of environmental sustainability and highlighting possible implications for policymakers. An analysis of the network accuracy is shown, using appropriate indicators. These results allow us to see which countries have achieved these goals and how they </w:t>
      </w:r>
    </w:p>
    <w:p>
      <w:pPr>
        <w:pStyle w:val="Heading2"/>
      </w:pPr>
      <w:r>
        <w:t>732. Transition pathways to sustainability in greater than 2 °C climate futures of Europe</w:t>
      </w:r>
    </w:p>
    <w:p>
      <w:pPr>
        <w:pStyle w:val="SourceNote"/>
      </w:pPr>
      <w:r>
        <w:rPr>
          <w:b/>
        </w:rPr>
        <w:t>Original source (2019):</w:t>
      </w:r>
      <w:r>
        <w:t xml:space="preserve"> https://doi.org/10.1007/s10113-019-01475-x</w:t>
      </w:r>
    </w:p>
    <w:p>
      <w:pPr/>
      <w:r>
        <w:t>Original wording (abstract; indexed_source_text_not_full_document_verified): The pathways support Europe in moving towards a desirable future vision, through top-down and bottom-up actions that lower greenhouse gas emissions, reduce impacts of and vulnerabilities to climate and socioeconomic changes and enhance well-being. Analysis shows that the pathways that are robust to future scenario uncertainty are those that shift Europe towards sustainable lifestyles, support and strengthen good governance for sustainability and promote adaptive resource management for water, agriculture and energy.</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pathways, support, vulnerabilities, shows;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2026:</w:t>
      </w:r>
      <w:r>
        <w:t xml:space="preserve"> The European Society of Cataract and Refractive Surgeons Cataract Simulation Curriculum: Wet Lab and Virtual Reality Pathways to Competency — https://doi.org/10.1097/j.jcrs.0000000000002036</w:t>
      </w:r>
    </w:p>
    <w:p>
      <w:pPr/>
      <w:r>
        <w:rPr>
          <w:b/>
        </w:rPr>
        <w:t>Shared claim-specific concepts:</w:t>
      </w:r>
      <w:r>
        <w:t xml:space="preserve"> pathways, support, moving; EU scope visible. This is a provisional connection, not an outcome finding.</w:t>
      </w:r>
    </w:p>
    <w:p>
      <w:pPr>
        <w:pStyle w:val="SourceNote"/>
      </w:pPr>
      <w:r>
        <w:rPr>
          <w:b/>
        </w:rPr>
        <w:t>Available abstract (not full text):</w:t>
      </w:r>
      <w:r>
        <w:t xml:space="preserve"> Cataract surgery training across Europe remains heterogeneous despite high procedural demand, and a harmonized simulation pathway is lacking. This Special Report proposes an ESCRS cataract simulation curriculum that national training bodies and educators can adapt to existing programmes. It synthesizes European training surveys, evidence on simulation-related performance and safety benefits, and European Society of Cataract and Refractive Surgery (ESCRS) educational infrastructure. The pathway comprises entry assessment, foundation skills, core phacoemulsification, complication management, supervised operating-room progression, and maintenance of competency. Progression is based on objective virtual reality (VR) metrics or structured wet-lab scoring combined with workplace-based assessments. Model-eye and VR modalities are mapped to complementary stages of training, and implementation is framed around national portfolio integration, regional hubs, the ESCRS Moving Simulator, sustainability metrics, and equity monitoring. A standardized but locally adaptable curriculum may improve readiness for live surgery, support maintenance of competency, and promote safer, more equitable cataract training.</w:t>
      </w:r>
    </w:p>
    <w:p>
      <w:pPr/>
      <w:r>
        <w:rPr>
          <w:b/>
        </w:rPr>
        <w:t>POSSIBLE 2026:</w:t>
      </w:r>
      <w:r>
        <w:t xml:space="preserve"> Competing corporate visions, ambiguous policy proposals: Complexities surrounding the emerging EU hydrogen market — https://doi.org/10.1016/j.enpol.2026.115463</w:t>
      </w:r>
    </w:p>
    <w:p>
      <w:pPr/>
      <w:r>
        <w:rPr>
          <w:b/>
        </w:rPr>
        <w:t>Shared claim-specific concepts:</w:t>
      </w:r>
      <w:r>
        <w:t xml:space="preserve"> support, top-down, gas; EU scope visible. This is a provisional connection, not an outcome finding.</w:t>
      </w:r>
    </w:p>
    <w:p>
      <w:pPr>
        <w:pStyle w:val="SourceNote"/>
      </w:pPr>
      <w:r>
        <w:rPr>
          <w:b/>
        </w:rPr>
        <w:t>Available abstract (not full text):</w:t>
      </w:r>
      <w:r>
        <w:t xml:space="preserve"> This paper explores corporate political activity in the context of the emerging European hydrogen market, with the European Union's (EU) regulatory design as a focal point. The EU's hybrid governance combines top-down, strict regulation with co-creation platforms that give companies structural access to reshape instrument design, thereby formally opening the process to multiple views. Based on a template analysis of 114 feedback documents submitted to two European Commission consultations (yielding 629 initial codes organised into 42 thematic clusters and 10 overarching dimensions) and an examination of documents relevant to EU hydrogen policy, we identify two competing corporate visions: (1) a ‘system preservation’ pathway (i.e., blending and using gas assets), (2) a ‘system creation’ pathway (i.e., dedicated renewable infrastructure). The Hydrogen Strategy has renewable hydrogen at its core; however, it has more recently formalised the concept of ‘low-carbon’ hydrogen, without a binding phase-out timeline or enforcement mechanism. This ambiguity weakens the commercial case for both directions, raises bankability risks, and contributes to the investment impasse affecting large hydrogen projects. Based on the analysis, we explore possible policy options, including: (i) concentrating renewable hydrogen support in hard-to-abate sectors, specifying sectoral timelines, (ii) designi</w:t>
      </w:r>
    </w:p>
    <w:p>
      <w:pPr/>
      <w:r>
        <w:rPr>
          <w:b/>
        </w:rPr>
        <w:t>POSSIBLE 2026:</w:t>
      </w:r>
      <w:r>
        <w:t xml:space="preserve"> Moving forward AKIS research and practice for agroecological transitions in Europe — https://doi.org/10.1080/1389224x.2026.2640918</w:t>
      </w:r>
    </w:p>
    <w:p>
      <w:pPr/>
      <w:r>
        <w:rPr>
          <w:b/>
        </w:rPr>
        <w:t>Shared claim-specific concepts:</w:t>
      </w:r>
      <w:r>
        <w:t xml:space="preserve"> pathways, support, moving; EU scope visible. This is a provisional connection, not an outcome finding.</w:t>
      </w:r>
    </w:p>
    <w:p>
      <w:pPr>
        <w:pStyle w:val="SourceNote"/>
      </w:pPr>
      <w:r>
        <w:rPr>
          <w:b/>
        </w:rPr>
        <w:t>Available abstract (not full text):</w:t>
      </w:r>
      <w:r>
        <w:t xml:space="preserve"> Purpose This paper presents findings from a critical review of European AKIS research, guided by a transformative agroecology perspective, to refine analytical frameworks for assessing their capacity to support systemic change.Design/Methodology/Approach The review followed an original analytical framework developed through a comprehensive synthesis of key agroecological frameworks and work. It was applied to 50 peer-reviewed studies in English, identified through a systematic search in four databases, using directed content analysis.Findings The review highlights growing attention to farmers’ agency, diverse knowledge systems, and informal networks, contributing to a reframing of AKIS as socially embedded and territorially grounded. However, participatory and transdisciplinary approaches are more often cited than implemented, and the political dimensions of AKIS remain underexplored, limiting understanding of the levers and barriers shaping their contribution to systemic change.Practical Implications The findings indicate that advancing AKIS research and policy requires politically informed, systems-based approaches that centre farmers and communities, strengthening collective agencies for systemic change.Theoretical Implications An agroecological perspective highlights the need to strengthen current AKIS theoretical frameworks and thinking to include how knowledge and innovat</w:t>
      </w:r>
    </w:p>
    <w:p>
      <w:pPr/>
      <w:r>
        <w:rPr>
          <w:b/>
        </w:rPr>
        <w:t>POSSIBLE 2026:</w:t>
      </w:r>
      <w:r>
        <w:t xml:space="preserve"> Moving the needle on transforming food systems: What's blocking progress in Europe and the UK and where investments can help — https://doi.org/10.25383/city.34057083</w:t>
      </w:r>
    </w:p>
    <w:p>
      <w:pPr/>
      <w:r>
        <w:rPr>
          <w:b/>
        </w:rPr>
        <w:t>Shared claim-specific concepts:</w:t>
      </w:r>
      <w:r>
        <w:t xml:space="preserve"> pathways, support, moving, climate; EU scope visible. This is a provisional connection, not an outcome finding.</w:t>
      </w:r>
    </w:p>
    <w:p>
      <w:pPr>
        <w:pStyle w:val="SourceNote"/>
      </w:pPr>
      <w:r>
        <w:rPr>
          <w:b/>
        </w:rPr>
        <w:t>Available abstract (not full text):</w:t>
      </w:r>
      <w:r>
        <w:t xml:space="preserve"> Food systems across Europe and the UK are falling short on health, climate and equity outcomes. This study combines interviews and workshops with changemakers across seven countries and the EU level with bibliographic mapping, a researcher survey and a scoping review to identify barriers to transformation and priorities for investment. Findings highlight five recurring barriers: entrenched power, difficult policy environments, polarisation, fragmentation, and evidence that is poorly suited to implementation. We identify four investment priorities: more applied research, stronger links between evidence and decision-making, long-term collaboration, and more effective narratives. These priorities support targeted, longer-term and transformative funding pathways.Suggested citation:Aubert, P-M., Headings, R., Reynolds, C., Zurek, M., Garnett, T., Harding, A. et al. (2026). Moving the needle on transforming food systems: What’s blocking progress in Europe and the UK and where investments can help. Report. doi: 10.25383/city.34057083</w:t>
      </w:r>
    </w:p>
    <w:p>
      <w:pPr/>
      <w:r>
        <w:rPr>
          <w:b/>
        </w:rPr>
        <w:t>POSSIBLE 2025:</w:t>
      </w:r>
      <w:r>
        <w:t xml:space="preserve"> Pathways to a strong Social Europe — https://doi.org/10.31235/osf.io/zgjaf_v1</w:t>
      </w:r>
    </w:p>
    <w:p>
      <w:pPr/>
      <w:r>
        <w:rPr>
          <w:b/>
        </w:rPr>
        <w:t>Shared claim-specific concepts:</w:t>
      </w:r>
      <w:r>
        <w:t xml:space="preserve"> pathways, support, vulnerabilities; EU scope visible. This is a provisional connection, not an outcome finding.</w:t>
      </w:r>
    </w:p>
    <w:p>
      <w:pPr>
        <w:pStyle w:val="SourceNote"/>
      </w:pPr>
      <w:r>
        <w:rPr>
          <w:b/>
        </w:rPr>
        <w:t>Available abstract (not full text):</w:t>
      </w:r>
      <w:r>
        <w:t xml:space="preserve"> As Europe grapples with geopolitical tensions, economic instability, demographic change and rising populism, the role of Social Europe has never been more critical. The COVID-19 pandemic exposed significant vulnerabilities in social protection and health systems across the European Union (EU), but it also accelerated the development of temporary measures like the Support to mitigate Unemployment Risks in an Emergency (SURE) and the Recovery and Resilience Facility (RRF), demonstrating the potential for stronger EU-wide social policies. However, five years later, new crises have emerged, from the war in Ukraine and in the Middle East, which have heightened security concerns across the continent, to escalating natural disasters. Amid these challenges that threaten European welfare models, a crucial question remains: Has Social Europe been reinforced in a lasting and sustainable way, or were these measures merely temporary solutions?This paper highlights the need for strong social policies in the current era of geopolitical volatilities and sets out policy recommendations to ensure a pathway to a stronger social Europe.</w:t>
      </w:r>
    </w:p>
    <w:p>
      <w:pPr/>
      <w:r>
        <w:rPr>
          <w:b/>
        </w:rPr>
        <w:t>POSSIBLE 2025:</w:t>
      </w:r>
      <w:r>
        <w:t xml:space="preserve"> Pathways to Inclusion? Labor Market Entry Trajectories of Persons With Disabilities in Europe — https://doi.org/10.17645/si.9603</w:t>
      </w:r>
    </w:p>
    <w:p>
      <w:pPr/>
      <w:r>
        <w:rPr>
          <w:b/>
        </w:rPr>
        <w:t>Shared claim-specific concepts:</w:t>
      </w:r>
      <w:r>
        <w:t xml:space="preserve"> pathways, support, reduce, those; EU scope visible. This is a provisional connection, not an outcome finding.</w:t>
      </w:r>
    </w:p>
    <w:p>
      <w:pPr>
        <w:pStyle w:val="SourceNote"/>
      </w:pPr>
      <w:r>
        <w:rPr>
          <w:b/>
        </w:rPr>
        <w:t>Available abstract (not full text):</w:t>
      </w:r>
      <w:r>
        <w:t xml:space="preserve"> Almost a fifth of the population in OECD countries report having a disability and the proportion of students classified as having special educational needs (SEN) has steadily increased over recent decades. While this group faces marginalization in schooling and employment everywhere, there are profound differences in disability‐based disadvantages across countries. However, comparative research on the labor market opportunities of persons with disabilities (PwDs) remains limited, especially regarding school‐to‐work transitions (STWT) that are crucial for subsequent labor market opportunities. Thus, lacking comparative knowledge on how institutional contexts shape these transitions also limits opportunities for policy learning and improvement of supports provided. This study addresses these gaps by analysing longitudinal data from the European Statistics on Income and Living Conditions (EU‐SILC). First, using sequence and cluster analysis, we classify these trajectories and provide an in‐depth analysis of labor market entry patterns for PwDs compared to those without disabilities across 31 European countries. Second, we explore whether the timing of first employment, instability during the STWT, as well as inclusionary or exclusionary transitions vary between these groups and how the disparities between persons with and without disabilities regarding these indicators are related</w:t>
      </w:r>
    </w:p>
    <w:p>
      <w:pPr/>
      <w:r>
        <w:rPr>
          <w:b/>
        </w:rPr>
        <w:t>POSSIBLE 2025:</w:t>
      </w:r>
      <w:r>
        <w:t xml:space="preserve"> Moving on to a Pathway of Hope: Stories of Female Persons Deprived of Liberty (PDL) — https://doi.org/10.32996/ijlps.2025.7.7.2</w:t>
      </w:r>
    </w:p>
    <w:p>
      <w:pPr/>
      <w:r>
        <w:rPr>
          <w:b/>
        </w:rPr>
        <w:t>Shared claim-specific concepts:</w:t>
      </w:r>
      <w:r>
        <w:t xml:space="preserve"> support, moving, well-being; EU scope not established. This is a provisional connection, not an outcome finding.</w:t>
      </w:r>
    </w:p>
    <w:p>
      <w:pPr>
        <w:pStyle w:val="SourceNote"/>
      </w:pPr>
      <w:r>
        <w:rPr>
          <w:b/>
        </w:rPr>
        <w:t>Available abstract (not full text):</w:t>
      </w:r>
      <w:r>
        <w:t xml:space="preserve"> The Bureau of Jail Management and Penology in the Philippines is responsible for developing plans, programs, and policies to effectively implement rehabilitation programs for all inmates nationwide. It also collaborates with other government and private organizations to support these programs. The primary goal is to improve the well-being of inmates and prepare them for successful reintegration into society after their release while ensuring humane treatment for all inmates, regardless of their backgrounds and gender. This research study aimed to understand the experiences of female Persons Deprived of Liberty (PDL) within the rehabilitation program through a qualitative research method. The informants of this study were ten (10) resides at the Cebu City Jail Female Dormitory (CCJFD)situated at Barangay Kalunasan Cebu City, Philippines. Four (4) informants were subjected to an in-depth interview and six (6) informants for the Focus Group Discussions (FGD). The findings of this study are articulated in emergent themes. Six (6) emergent themes described the positive and negative experiences of the informants on the rehabilitation program. For the positive experiences, three (3) emergent themes were developed, namely: Jailhouse Jukebox, Cellmate for Change, and From Cell to Success: Skills, Swag, and Savings. For the negative experiences, three (3) emergent themes were also develo</w:t>
      </w:r>
    </w:p>
    <w:p>
      <w:pPr/>
      <w:r>
        <w:rPr>
          <w:b/>
        </w:rPr>
        <w:t>POSSIBLE 2025:</w:t>
      </w:r>
      <w:r>
        <w:t xml:space="preserve"> Air pollution inequalities in Europe: A deeper understating of challenges in Eastern Europe and pathways forward towards closing the gap between East and West — https://doi.org/10.1097/ee9.0000000000000383</w:t>
      </w:r>
    </w:p>
    <w:p>
      <w:pPr/>
      <w:r>
        <w:rPr>
          <w:b/>
        </w:rPr>
        <w:t>Shared claim-specific concepts:</w:t>
      </w:r>
      <w:r>
        <w:t xml:space="preserve"> pathways, actions, lower, emissions, impacts, climate; EU scope visible. This is a provisional connection, not an outcome finding.</w:t>
      </w:r>
    </w:p>
    <w:p>
      <w:pPr>
        <w:pStyle w:val="SourceNote"/>
      </w:pPr>
      <w:r>
        <w:rPr>
          <w:b/>
        </w:rPr>
        <w:t>Available abstract (not full text):</w:t>
      </w:r>
      <w:r>
        <w:t xml:space="preserve"> What this study adds: In this commentary, we address the environmental inequalities in Europe, specifically related to air pollution exposure and related health burden disparities between Western and Eastern Europe. We first, provide a background for the causes of these inequalities and links with socioeconomic and demographic circumstances. We showcase, in more detail, air quality levels, monitoring, health research, and burden situation in four Eastern European countries (Serbia, Poland, Latvia, and Bulgaria), and briefly explain links with road traffic noise and climate change challenges in the region. At the end, we summarize several pathways and recommendations for going forward and overcoming air pollution exposure and the health burden gap in Europe.Background Air pollution is the biggest environmental stressor responsible for over 420,000 premature deaths in Europe in 2022,1 from cardiovascular diseases, chronic and infectious respiratory diseases, lung cancer, and type-2 diabetes.2 Air pollution levels in Europe have declined in the last decades, which has, at least in part, been attributed to successful European Union (EU) legislation. Ambient Air Quality Directive (AAQD)3 in 2008 set air quality standards (annual mean 25 µg/m3 for particulate matter with diameter &lt;2.5 µm [PM2.5] and 40 µg/m3 for nitrogen dioxide [NO2]). These declines are most prominent in Western an</w:t>
      </w:r>
    </w:p>
    <w:p>
      <w:pPr/>
      <w:r>
        <w:rPr>
          <w:b/>
        </w:rPr>
        <w:t>POSSIBLE 2025:</w:t>
      </w:r>
      <w:r>
        <w:t xml:space="preserve"> Pathways to bioeconomy development: A multi-regional perspective from Europe — https://doi.org/10.1007/s13280-025-02297-4</w:t>
      </w:r>
    </w:p>
    <w:p>
      <w:pPr/>
      <w:r>
        <w:rPr>
          <w:b/>
        </w:rPr>
        <w:t>Shared claim-specific concepts:</w:t>
      </w:r>
      <w:r>
        <w:t xml:space="preserve"> pathways, actions, impacts; EU scope visible. This is a provisional connection, not an outcome finding.</w:t>
      </w:r>
    </w:p>
    <w:p>
      <w:pPr>
        <w:pStyle w:val="SourceNote"/>
      </w:pPr>
      <w:r>
        <w:rPr>
          <w:b/>
        </w:rPr>
        <w:t>Available abstract (not full text):</w:t>
      </w:r>
      <w:r>
        <w:t xml:space="preserve"> The transition towards a sustainable future is increasingly understood to rely on further development of the bioeconomy. In this, both public and private sectors play pivotal roles. Government agencies and public institutions are instrumental in shaping the trajectory of the bioeconomy through strategic frameworks, regulatory measures, and policies. These instruments may create a conducive environment by clearing away bureaucratic impediments and establishing favourable conditions. Concurrently, private sector entities, including industry interest groups and companies, have the important task of advocating for these favourable conditions and driving the bioeconomy's growth through active involvement, strategic business decisions, capital investments, and bringing bio-based innovations to market. Throughout these processes, perceptions of the bioeconomy held by actors in both sectors shape the outcomes of their actions. Hence, this study delves into the perceptions of the bioeconomy among stakeholders from both the public and private sectors across nine European regions regarding barriers and supporting conditions impacting its development, particularly important bioeconomy value chains, and the willingness and perceived responsibility to advance the bioeconomy. Findings from 534 online survey responses (288 public sector and 246 private sector) reveal that key factors identifie</w:t>
      </w:r>
    </w:p>
    <w:p>
      <w:pPr/>
      <w:r>
        <w:rPr>
          <w:b/>
        </w:rPr>
        <w:t>POSSIBLE 2024:</w:t>
      </w:r>
      <w:r>
        <w:t xml:space="preserve"> Visions for climate neutrality and opportunities for co-learning in European cities — https://doi.org/10.1016/j.rser.2024.114315</w:t>
      </w:r>
    </w:p>
    <w:p>
      <w:pPr/>
      <w:r>
        <w:rPr>
          <w:b/>
        </w:rPr>
        <w:t>Shared claim-specific concepts:</w:t>
      </w:r>
      <w:r>
        <w:t xml:space="preserve"> support, emissions, reduce, climate; EU scope visible. This is a provisional connection, not an outcome finding.</w:t>
      </w:r>
    </w:p>
    <w:p>
      <w:pPr>
        <w:pStyle w:val="SourceNote"/>
      </w:pPr>
      <w:r>
        <w:rPr>
          <w:b/>
        </w:rPr>
        <w:t>Available abstract (not full text):</w:t>
      </w:r>
      <w:r>
        <w:t xml:space="preserve"> Cities represent unique spaces for climate mitigation where wide-ranging action to reduce emissions meets ambition and collaboration. This research work distils climate neutrality narratives for 362 cities that expressed interest in the European Mission on 100 Climate-Neutral and Smart Cities and focuses on the 112 cities selected to spearhead the process of reaching climate neutrality by 2030 (representing a mitigation potential of 318.3 megatonnes of carbon dioxide equivalent emissions). The method involves steps that profile the characteristics of these cities, enunciate cross-cutting patterns in cities’ visions by thematic groupings, and compare 14 contextual factors with 77 possible main barriers. There are both similarities and differences among the results as a basis for learning together and certain barriers can be relatively more dominant in some thematic groupings, such as fragmentation of responsibilities. As a synthesis of the main findings, the original analyses are used to derive and prioritise nine high-level recommendations based on the cities' visions, contextual factors, and expected main barriers. Opportunities for mobilising transformative change relate to transforming siloed into integrated approaches, inclusive climate governance and collaborations, innovative financing, welfare and just transition as well as planning, implementation, and policy coherence.</w:t>
      </w:r>
    </w:p>
    <w:p>
      <w:pPr/>
      <w:r>
        <w:rPr>
          <w:b/>
        </w:rPr>
        <w:t>POSSIBLE 2024:</w:t>
      </w:r>
      <w:r>
        <w:t xml:space="preserve"> Top-down modulation of the retinal code via histaminergic neurons of the hypothalamus — https://doi.org/10.1126/sciadv.adk4062</w:t>
      </w:r>
    </w:p>
    <w:p>
      <w:pPr/>
      <w:r>
        <w:rPr>
          <w:b/>
        </w:rPr>
        <w:t>Shared claim-specific concepts:</w:t>
      </w:r>
      <w:r>
        <w:t xml:space="preserve"> moving, vision, top-down; EU scope not established. This is a provisional connection, not an outcome finding.</w:t>
      </w:r>
    </w:p>
    <w:p>
      <w:pPr>
        <w:pStyle w:val="SourceNote"/>
      </w:pPr>
      <w:r>
        <w:rPr>
          <w:b/>
        </w:rPr>
        <w:t>Available abstract (not full text):</w:t>
      </w:r>
      <w:r>
        <w:t xml:space="preserve"> The mammalian retina is considered an autonomous circuit, yet work dating back to Ramon y Cajal indicates that it receives inputs from the brain. How such inputs affect retinal processing has remained unknown. We confirmed brain-to-retina projections of histaminergic neurons from the mouse hypothalamus. Histamine application ex vivo altered the activity of various retinal ganglion cells (RGCs), including direction-selective RGCs that gained responses to high motion velocities. These results were reproduced in vivo with optic tract recordings where histaminergic retinopetal axons were activated chemogenetically. Such changes could improve vision of fast-moving objects (e.g., while running), which fits with the known increased activity of histaminergic neurons during arousal. An antihistamine drug reduced optomotor responses to high-speed moving stimuli in freely moving mice. In humans, the same antihistamine nonuniformly modulated visual sensitivity across the visual field, indicating an evolutionary conserved function of the histaminergic system. Our findings expose a previously unappreciated role for brain-to-retina projections in modulating retinal function.</w:t>
      </w:r>
    </w:p>
    <w:p>
      <w:pPr>
        <w:pStyle w:val="Heading2"/>
      </w:pPr>
      <w:r>
        <w:t>733. When will European Muslim population be majority and in which country?</w:t>
      </w:r>
    </w:p>
    <w:p>
      <w:pPr>
        <w:pStyle w:val="SourceNote"/>
      </w:pPr>
      <w:r>
        <w:rPr>
          <w:b/>
        </w:rPr>
        <w:t>Original source (2019):</w:t>
      </w:r>
      <w:r>
        <w:t xml:space="preserve"> https://doi.org/10.1108/prr-12-2018-0034</w:t>
      </w:r>
    </w:p>
    <w:p>
      <w:pPr/>
      <w:r>
        <w:t>Original wording (abstract; indexed_source_text_not_full_document_verified): Findings Among three scenarios, the most likely mid-point migration scenario identifies 13 countries where the Muslim population will be majority between years 2085 and 2215: Cyprus (in year 2085), Sweden (2125), France (2135), Greece (2135), Belgium (2140), Bulgaria (2140), Italy (2175), Luxembourg (2175), the UK (2180), Slovenia (2190), Switzerland (2195), Ireland (2200) and Lithuania (2215). Three scenarios are considered: the zero-migration scenario where the authors assume that the Muslim population has a higher fertility (one child more per woman, on average) than other Europeans, mirroring a global pattern; a 2017 migration scenario: to the Muslim population obtained in the zero-migration scenario, the authors add a continuous flow of migrants every year based on year 2017; the mid-point migration scenario is obtained by averaging the data of the two previous scenarios.</w:t>
      </w:r>
    </w:p>
    <w:p>
      <w:pPr/>
      <w:r>
        <w:rPr>
          <w:b/>
        </w:rPr>
        <w:t>POSSIBLE 2026:</w:t>
      </w:r>
      <w:r>
        <w:t xml:space="preserve"> Exploring the genetic diversity of recent Ralstonia pseudosolanacearum phylotype I findings in Europe — https://doi.org/10.1007/s10658-026-03191-9</w:t>
      </w:r>
    </w:p>
    <w:p>
      <w:pPr/>
      <w:r>
        <w:rPr>
          <w:b/>
        </w:rPr>
        <w:t>Shared claim-specific concepts:</w:t>
      </w:r>
      <w:r>
        <w:t xml:space="preserve"> findings, among, three, countries; EU scope visible. This is a provisional connection, not an outcome finding.</w:t>
      </w:r>
    </w:p>
    <w:p>
      <w:pPr>
        <w:pStyle w:val="SourceNote"/>
      </w:pPr>
      <w:r>
        <w:rPr>
          <w:b/>
        </w:rPr>
        <w:t>Available abstract (not full text):</w:t>
      </w:r>
      <w:r>
        <w:t xml:space="preserve"> Abstract The increasing prevalence of Ralstonia pseudosolanacearum phylotype I (phy I) in agricultural regions across Europe highlights the need for heightened awareness and preventive measures. Recent detections in multiple European countries spam a range of agricultural systems, host plants, and natural aquatic environments. These findings have been linked either to infected plant material at import (interceptions) or to plants cultivated in specific European regions, often after importation of infected plant material. To investigate the genetic diversity of these emerging populations, we analysed whole-genome sequence (WGS) data from a collection of 62 R. pseudosolanacearum phy I isolates, including those recently obtained in various European countries, using average nucleotide analysis (ANI) and and core genome multilocus sequence typing (cgMLST). ANI analysis revealed two distinct major clades: the "rose clade", comprising isolates from rose, potato, surface water, and bittersweet, most closely matching with sequevar 33, and the "ginger clade", including isolates from members of the Zingiberaceae family, with the best match to sequevar 30. A third smaller clade was also identified consisting of two R. pseudosolanacearum phy I isolates from tomato corresponding to sequevar 18 ("tomato clade"). Pathogenicity assays were performed on tomato to deduce information on the biolog</w:t>
      </w:r>
    </w:p>
    <w:p>
      <w:pPr/>
      <w:r>
        <w:rPr>
          <w:b/>
        </w:rPr>
        <w:t>POSSIBLE 2026:</w:t>
      </w:r>
      <w:r>
        <w:t xml:space="preserve"> CSR and cost of debt in three European countries — https://doi.org/10.1007/s43621-026-03822-5</w:t>
      </w:r>
    </w:p>
    <w:p>
      <w:pPr/>
      <w:r>
        <w:rPr>
          <w:b/>
        </w:rPr>
        <w:t>Shared claim-specific concepts:</w:t>
      </w:r>
      <w:r>
        <w:t xml:space="preserve"> findings, among, three, likely, countries, between; EU scope visible. This is a provisional connection, not an outcome finding.</w:t>
      </w:r>
    </w:p>
    <w:p>
      <w:pPr>
        <w:pStyle w:val="SourceNote"/>
      </w:pPr>
      <w:r>
        <w:rPr>
          <w:b/>
        </w:rPr>
        <w:t>Available abstract (not full text):</w:t>
      </w:r>
      <w:r>
        <w:t xml:space="preserve"> Our study examines the impact of Corporate Social Responsibility (CSR) on the weighted average cost of capital and interest-bearing cost of debt to understand how a company's ethical, environmental, and social practices influence its financial performance, particularly the cost of obtaining funds. Our sample includes firms from three major European markets: Germany, France, and Italy. European companies with strong CSR practices are often less risky because they are more likely to avoid environmental fines and reputational damage. Lower risk can lead to a reduced cost of capital. Hence, we want to provide a comparative analysis of these markets. This paper employs an analytical approach grounded in the results of the original research. ESG and its components affect the cost of capital (weighted average cost of capital, cost of debt). Implementing CSR practices will likely reduce firm risk and cost of capital. A firm may attract investors by focusing on sustainable or ethical investments. CSR practices can be viewed more favorably by credit rating agencies and, consequently, lenders, which can improve a company's financial position by implying the ability to raise capital at a lower cost, resulting in better financial outcomes. Corporate social responsibility (CSR) is actively studied today. European countries are among the world's best in terms of Sustainability. We focus on CS</w:t>
      </w:r>
    </w:p>
    <w:p>
      <w:pPr/>
      <w:r>
        <w:rPr>
          <w:b/>
        </w:rPr>
        <w:t>POSSIBLE 2026:</w:t>
      </w:r>
      <w:r>
        <w:t xml:space="preserve"> A multinational exploratory assessment of cancer knowledge among people with intellectual disabilities across European countries — https://doi.org/10.1186/s12939-026-02959-z</w:t>
      </w:r>
    </w:p>
    <w:p>
      <w:pPr/>
      <w:r>
        <w:rPr>
          <w:b/>
        </w:rPr>
        <w:t>Shared claim-specific concepts:</w:t>
      </w:r>
      <w:r>
        <w:t xml:space="preserve"> findings, among, three, countries, population, between; EU scope visible. This is a provisional connection, not an outcome finding.</w:t>
      </w:r>
    </w:p>
    <w:p>
      <w:pPr>
        <w:pStyle w:val="SourceNote"/>
      </w:pPr>
      <w:r>
        <w:rPr>
          <w:b/>
        </w:rPr>
        <w:t>Available abstract (not full text):</w:t>
      </w:r>
      <w:r>
        <w:t xml:space="preserve"> Abstract Background People with intellectual disabilities (ID) experience significant health inequalities, including limited access to cancer-related information and poor cancer outcomes. Cancer knowledge is a key determinant of early detection and prevention; however, evidence from European countries remains limited. This study aimed to assess cancer knowledge among people with (ID) across European countries and to examine associated sociodemographic factors. Methods A cross-sectional, multinational exploratory study was conducted between January 2025 and January 2026 across multiple European countries using a collaborative research network. A total of 896 adults with mild-to-moderate (ID) participated in this study. Cancer knowledge was assessed using an adapted, easy-to-read Cancer Awareness Measure covering three domains: warning signs (9 items), risk factors (11 items), and prevention (7 items). Data were analyzed using descriptive statistics, Spearman’s rank correlation, Mann–Whitney U test, Kruskal–Wallis test, and multiple linear regression. Results All three knowledge domains demonstrated good internal consistency (Cronbach’s α = 0.802–0.929). Significant positive correlations were observed among knowledge of warning signs, risk factors, and prevention (ρ = 0.503–0.772, p &lt; 0.001). Female participants had higher warning sign knowledge than male participants ( p = 0.039</w:t>
      </w:r>
    </w:p>
    <w:p>
      <w:pPr/>
      <w:r>
        <w:rPr>
          <w:b/>
        </w:rPr>
        <w:t>POSSIBLE 2026:</w:t>
      </w:r>
      <w:r>
        <w:t xml:space="preserve"> Barriers and facilitators to healthcare access among Sub-Saharan African migrants in Europe: A scoping review — https://doi.org/10.1371/journal.pone.0351011</w:t>
      </w:r>
    </w:p>
    <w:p>
      <w:pPr/>
      <w:r>
        <w:rPr>
          <w:b/>
        </w:rPr>
        <w:t>Shared claim-specific concepts:</w:t>
      </w:r>
      <w:r>
        <w:t xml:space="preserve"> findings, among, three, population; EU scope visible. This is a provisional connection, not an outcome finding.</w:t>
      </w:r>
    </w:p>
    <w:p>
      <w:pPr>
        <w:pStyle w:val="SourceNote"/>
      </w:pPr>
      <w:r>
        <w:rPr>
          <w:b/>
        </w:rPr>
        <w:t>Available abstract (not full text):</w:t>
      </w:r>
      <w:r>
        <w:t xml:space="preserve"> BACKGROUND: Sub-Saharan African (SSA) migrants represent a significant and growing proportion of Europe's diverse migrant population; yet face substantial barriers in accessing healthcare services. Understanding these barriers is essential for developing equitable healthcare policies and anticipating long-term care needs as these populations age. METHODS: This scoping review systematically mapped and synthesised existing evidence on healthcare access, utilization, barriers, and facilitators among SSA migrants across European settings. The primary review question was: What are the barriers and facilitators to healthcare access and utilization among Sub-Saharan African migrants in Europe? Following Arksey and O'Malley framework and PRISMA-ScR guidelines, we systematically searched Europe PMC, Scopus, Web of Science, PubMed, and Google Scholar. Fourteen studies met inclusion criteria. Data were synthesised using thematic analysis to identify descriptive and analytical themes. RESULTS: Three overarching analytical themes emerged: (1) structural determinants as persistent barriers to care, including health insurance gaps, legal precarity, and administrative complexity; (2) intersectional vulnerabilities shaping healthcare experiences, particularly among undocumented migrants, women, and those living with HIV; and (3) cultural mediation and system misalignment, characterized by langu</w:t>
      </w:r>
    </w:p>
    <w:p>
      <w:pPr/>
      <w:r>
        <w:rPr>
          <w:b/>
        </w:rPr>
        <w:t>POSSIBLE 2025:</w:t>
      </w:r>
      <w:r>
        <w:t xml:space="preserve"> P-529 Fertility knowledge among european adolescents: findings from the “FActs!” serious educational game — https://doi.org/10.1093/humrep/deaf097.835</w:t>
      </w:r>
    </w:p>
    <w:p>
      <w:pPr/>
      <w:r>
        <w:rPr>
          <w:b/>
        </w:rPr>
        <w:t>Shared claim-specific concepts:</w:t>
      </w:r>
      <w:r>
        <w:t xml:space="preserve"> findings, among, three, countries, between, bulgaria; EU scope visible. This is a provisional connection, not an outcome finding.</w:t>
      </w:r>
    </w:p>
    <w:p>
      <w:pPr>
        <w:pStyle w:val="SourceNote"/>
      </w:pPr>
      <w:r>
        <w:rPr>
          <w:b/>
        </w:rPr>
        <w:t>Available abstract (not full text):</w:t>
      </w:r>
      <w:r>
        <w:t xml:space="preserve"> Abstract Study question What is the level of fertility awareness among European adolescents? Summary answer European adolescents show limited fertility knowledge with variations by country, gender, and age. FActs! demonstrated effectiveness in identifying gaps, highlighting the need for timely education. What is known already With rising infertility rates, delayed parenthood trends, and evolving societal norms, fertility education has become a critical component of informed reproductive decisions. Adolescence represents an optimal period for learning, as it can foster realistic reproductive expectations, encourage timely childbearing when desired, and promote early care-seeking for infertility. However, studies suggest that adolescents have limited knowledge, particularly regarding risk factors like age and lifestyle, which may lead to suboptimal reproductive decisions. To address this gap, we assessed the fertility knowledge of 15- to 18-year-old European adolescents using the online serious educational game FActs!-a digital intervention designed to enhance fertility awareness. Study design, size, duration This cross-sectional study was conducted between July 2023 and November 2024 in secondary schools across Bulgaria, Norway, Poland, and Portugal. Participants were introduced to FActs! by representatives of national fertility patient associations affiliated with Fertility Eur</w:t>
      </w:r>
    </w:p>
    <w:p>
      <w:pPr/>
      <w:r>
        <w:rPr>
          <w:b/>
        </w:rPr>
        <w:t>POSSIBLE 2025:</w:t>
      </w:r>
      <w:r>
        <w:t xml:space="preserve"> Migration to Italy and Integration into the European Space from the Point of View of Romanians — https://doi.org/10.3390/genealogy9040109</w:t>
      </w:r>
    </w:p>
    <w:p>
      <w:pPr/>
      <w:r>
        <w:rPr>
          <w:b/>
        </w:rPr>
        <w:t>Shared claim-specific concepts:</w:t>
      </w:r>
      <w:r>
        <w:t xml:space="preserve"> findings, migration, italy; EU scope visible. This is a provisional connection, not an outcome finding.</w:t>
      </w:r>
    </w:p>
    <w:p>
      <w:pPr>
        <w:pStyle w:val="SourceNote"/>
      </w:pPr>
      <w:r>
        <w:rPr>
          <w:b/>
        </w:rPr>
        <w:t>Available abstract (not full text):</w:t>
      </w:r>
      <w:r>
        <w:t xml:space="preserve"> This study investigates the determinants of Romanian workers’ migration intentions towards Italy, integrating economic, social, and psychological perspectives. Based on a sample of 358 respondents, four hypotheses were tested concerning perceived living standards, working conditions, quality of public services, and anticipated integration difficulties. Data were analysed using descriptive statistics, Spearman’s rho correlation, Mann–Whitney U, Chi-square, ANOVA, and ordinal logistic regression. The results confirm that higher perceived living standards and better working conditions in Italy significantly increase the likelihood of expressing migration intentions, while favourable evaluations of healthcare and education act as additional pull factors. Conversely, anticipated integration difficulties, particularly language barriers and cultural adaptation, reduce migration intentions, indicating that socio-psychological obstacles can counterbalance economic incentives. By combining non-parametric and multivariate analyses, the study demonstrates that migration is a multidimensional process shaped not only by structural opportunities but also by behavioural and psychological appraisals. These findings are consistent with recent research on European labour mobility and contribute to the literature by highlighting the role of subjective perceptions in shaping migration decisions. Im</w:t>
      </w:r>
    </w:p>
    <w:p>
      <w:pPr/>
      <w:r>
        <w:rPr>
          <w:b/>
        </w:rPr>
        <w:t>POSSIBLE 2025:</w:t>
      </w:r>
      <w:r>
        <w:t xml:space="preserve"> Mobilising on Migration? Linkages of Migration and European Integration in Four Irish EU Referendums — https://doi.org/10.1002/cep4.70012</w:t>
      </w:r>
    </w:p>
    <w:p>
      <w:pPr/>
      <w:r>
        <w:rPr>
          <w:b/>
        </w:rPr>
        <w:t>Shared claim-specific concepts:</w:t>
      </w:r>
      <w:r>
        <w:t xml:space="preserve"> migration, between, ireland; EU scope visible. This is a provisional connection, not an outcome finding.</w:t>
      </w:r>
    </w:p>
    <w:p>
      <w:pPr>
        <w:pStyle w:val="SourceNote"/>
      </w:pPr>
      <w:r>
        <w:rPr>
          <w:b/>
        </w:rPr>
        <w:t>Available abstract (not full text):</w:t>
      </w:r>
      <w:r>
        <w:t xml:space="preserve"> ABSTRACT In a Europe where contestation over migration and European integration has become increasingly connected, Ireland seems to be an outlier. Whereas European integration has been a politicised issue in Ireland, not least in the context of four consecutive referendums on EU treaties in the early 2000s, politicisation of immigration has traditionally been low in Ireland. But while previous studies suggest that this has also been the case during EU referendums, the debates on the Treaty of Nice seem to be an exception. Ireland's status as an outlier in Western Europe and the variation across referendums makes the Irish referendums an ideal case for exploring the relationship between politicisation of migration and European integration. This article examines and explains to what extent and how migration has been discursively linked to European integration in the four Irish EU referendums in the period 2001–2009. Based on a quantitative and qualitative analysis of political claims in Irish newspapers, I argue that pre‐existing national discourses on migration and European integration, which have been predominantly positive in Ireland, have generally hindered the mobilisation of anti‐immigration sentiments against the EU. The Nice II referendum is an exception, highlighting how not even Ireland is immune to such politicisation. My analysis shows how domestic radical right actor</w:t>
      </w:r>
    </w:p>
    <w:p>
      <w:pPr/>
      <w:r>
        <w:rPr>
          <w:b/>
        </w:rPr>
        <w:t>POSSIBLE 2025:</w:t>
      </w:r>
      <w:r>
        <w:t xml:space="preserve"> Substance use among displaced populations in Europe : structural prevention as a policy imperative — https://openalex.org/W7127551372</w:t>
      </w:r>
    </w:p>
    <w:p>
      <w:pPr/>
      <w:r>
        <w:rPr>
          <w:b/>
        </w:rPr>
        <w:t>Shared claim-specific concepts:</w:t>
      </w:r>
      <w:r>
        <w:t xml:space="preserve"> findings, among, three, countries; EU scope visible. This is a provisional connection, not an outcome finding.</w:t>
      </w:r>
    </w:p>
    <w:p>
      <w:pPr>
        <w:pStyle w:val="SourceNote"/>
      </w:pPr>
      <w:r>
        <w:rPr>
          <w:b/>
        </w:rPr>
        <w:t>Available abstract (not full text):</w:t>
      </w:r>
      <w:r>
        <w:t xml:space="preserve"> Background: Displaced populations in Europe, including applicants for international protection and undocumented individuals, face elevated risks of mental health and substance use related problems due to pre- and post-migration stressors such as war trauma, hazardous journeys, and fragmented reception conditions. While WHO and academics advocate prioritizing mental health in European reception settings, most evidence-based interventions originate from low- and middle-income countries and to not evaluate substance use outcomes, leaving EU-specific strategies underdeveloped. Methods: This mixed-methods study examines gaps in substance use support across reception settings in the EU and across the intervention spectrum. Data derive from: (1) a 2023 questionnaire profiling training and intervention needs among reception workers (n=98) and (2) a 2025 scoping review (Web of Science, targeted surveys) mapping substance use related interventions in European reception contexts. Results: 72% of reception workers did not receive any formal training related to substance use, with over 80% prioritising the need for training on prevention, intoxication assessment, and incident management. Meanwhile, the top priority highlighted by participants was the accessibility of treatment services. The review in turn identified sparse, ad hoc, predominantly unevaluated interventions in EU settings. Som</w:t>
      </w:r>
    </w:p>
    <w:p>
      <w:pPr/>
      <w:r>
        <w:rPr>
          <w:b/>
        </w:rPr>
        <w:t>POSSIBLE 2025:</w:t>
      </w:r>
      <w:r>
        <w:t xml:space="preserve"> Comparative diversity of aquatic plants in three Central European regions — https://doi.org/10.3389/fpls.2025.1536731</w:t>
      </w:r>
    </w:p>
    <w:p>
      <w:pPr/>
      <w:r>
        <w:rPr>
          <w:b/>
        </w:rPr>
        <w:t>Shared claim-specific concepts:</w:t>
      </w:r>
      <w:r>
        <w:t xml:space="preserve"> findings, among, three, slovenia; EU scope visible. This is a provisional connection, not an outcome finding.</w:t>
      </w:r>
    </w:p>
    <w:p>
      <w:pPr>
        <w:pStyle w:val="SourceNote"/>
      </w:pPr>
      <w:r>
        <w:rPr>
          <w:b/>
        </w:rPr>
        <w:t>Available abstract (not full text):</w:t>
      </w:r>
      <w:r>
        <w:t xml:space="preserve"> Freshwaters are among the most threatened ecosystems globally, with biodiversity declining at far greater rates than the biodiversity of the most affected terrestrial ecosystems. There is an urgent need for accurate information on spatial patterns of freshwater biodiversity, a first step in effective conservation planning and management of these ecosystems. We explored patterns of aquatic macrophyte diversity in four waterbody types, rivers, streams, ponds and ditches, across three Central European regions. By analyzing local (α), among-site (β) and regional (γ) diversity, we assessed the roles of these ecosystems as biodiversity hotspots, particularly for red-listed species. Sampling 220 sites across Slovakia and Slovenia, we recorded 113 macrophyte taxa (31% of which were red-listed), with ponds and ditches consistently supporting higher α and γ diversity than running waters. β diversity was primarily driven by species turnover, with ponds displaying high heterogeneity linked to environmental variability. Our findings highlight the conservation value of artificial habitats like ditches and ponds, harbouring significant macrophyte diversity, including unique and threatened species. These results underscore the need to prioritize small waterbodies in biodiversity conservation strategies within agricultural landscapes.</w:t>
      </w:r>
    </w:p>
    <w:p>
      <w:pPr/>
      <w:r>
        <w:rPr>
          <w:b/>
        </w:rPr>
        <w:t>POSSIBLE 2024:</w:t>
      </w:r>
      <w:r>
        <w:t xml:space="preserve"> The Geography of Information Diffusion in Online Discourse on Europe and Migration — https://doi.org/10.1609/icwsm.v18i1.31361</w:t>
      </w:r>
    </w:p>
    <w:p>
      <w:pPr/>
      <w:r>
        <w:rPr>
          <w:b/>
        </w:rPr>
        <w:t>Shared claim-specific concepts:</w:t>
      </w:r>
      <w:r>
        <w:t xml:space="preserve"> migration, majority, between; EU scope visible. This is a provisional connection, not an outcome finding.</w:t>
      </w:r>
    </w:p>
    <w:p>
      <w:pPr>
        <w:pStyle w:val="SourceNote"/>
      </w:pPr>
      <w:r>
        <w:rPr>
          <w:b/>
        </w:rPr>
        <w:t>Available abstract (not full text):</w:t>
      </w:r>
      <w:r>
        <w:t xml:space="preserve"> The online diffusion of information related to Europe and migration has been little investigated from an external point of view. However, this is a very relevant topic, especially if users have had no direct contact with Europe and its perception depends solely on information retrieved online. In this work we analyse the information circulating online about Europe and migration after retrieving a large amount of data from social media (Twitter), to gain new insights into topics, magnitude, and dynamics of their diffusion. We combine retweets and hashtags network analysis with geolocation of users, linking thus data to geography and allowing analysis from an “outside Europe” perspective, with a special focus on Africa. We also introduce a novel approach based on cross-lingual quotes, i.e. when content in a language is commented and retweeted in another language, assuming these interactions are a proxy for connections between very distant communities. Results show how the majority of online discussions occurs at a national level, especially when discussing migration. Language (English) is pivotal for information to become transnational and reach far. Transnational information flow is strongly unbalanced, with content mainly produced in Europe and amplified outside. Conversely Europe-based accounts tend to be self-referential when they discuss migration-related topics. Football is</w:t>
      </w:r>
    </w:p>
    <w:p>
      <w:pPr/>
      <w:r>
        <w:rPr>
          <w:b/>
        </w:rPr>
        <w:t>POSSIBLE 2023:</w:t>
      </w:r>
      <w:r>
        <w:t xml:space="preserve"> Lifetime impact of achondroplasia study in Europe (LIAISE): findings from a multinational observational study — https://doi.org/10.1186/s13023-023-02652-2</w:t>
      </w:r>
    </w:p>
    <w:p>
      <w:pPr/>
      <w:r>
        <w:rPr>
          <w:b/>
        </w:rPr>
        <w:t>Shared claim-specific concepts:</w:t>
      </w:r>
      <w:r>
        <w:t xml:space="preserve"> findings, among, countries, population, between; EU scope visible. This is a provisional connection, not an outcome finding.</w:t>
      </w:r>
    </w:p>
    <w:p>
      <w:pPr>
        <w:pStyle w:val="SourceNote"/>
      </w:pPr>
      <w:r>
        <w:rPr>
          <w:b/>
        </w:rPr>
        <w:t>Available abstract (not full text):</w:t>
      </w:r>
      <w:r>
        <w:t xml:space="preserve"> BACKGROUND: Achondroplasia, caused by a pathogenic variant in the fibroblast growth factor receptor 3 gene, is the most common skeletal dysplasia. The Lifetime Impact of Achondroplasia Study in Europe (LIAISE; NCT03449368) aimed to quantify the burden of achondroplasia among individuals across a broad range of ages, including adults. METHODS: Demographic, clinical and healthcare resource use data were collected from medical records of achondroplasia patients enrolled in 13 sites across six European countries in this retrospective, observational study. Descriptive statistics or event rates per 100 person-years were calculated and compared across age groups as well as by history of limb lengthening. Patient-reported outcomes (quality of life [QoL], pain, functional independence, work productivity and activity impairments) were evaluated using questionnaires at the time of enrolment. An exploratory analysis investigated correlations between height (z-score or centimetres) and patient-reported outcomes. RESULTS: Overall, 186 study patients were included, with a mean age of 21.7 ± 17.3 years (range 5.0-84.4). At least one complication or surgery was reported for 94.6% and 72.0% of patients, respectively, at a rate of 66.6 and 21.5 events per 100 person-years. Diverse medical and surgical complications were reported for all ages in a bimodal distribution, occurring more frequently in</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findings, countries, between;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pStyle w:val="Heading2"/>
      </w:pPr>
      <w:r>
        <w:t>734. Will we reach the Sustainable Development Goals target for tuberculosis in the European Union/European Economic Area by 2030?</w:t>
      </w:r>
    </w:p>
    <w:p>
      <w:pPr>
        <w:pStyle w:val="SourceNote"/>
      </w:pPr>
      <w:r>
        <w:rPr>
          <w:b/>
        </w:rPr>
        <w:t>Original source (2019):</w:t>
      </w:r>
      <w:r>
        <w:t xml:space="preserve"> https://doi.org/10.2807/1560-7917.es.2019.24.12.1900153</w:t>
      </w:r>
    </w:p>
    <w:p>
      <w:pPr/>
      <w:r>
        <w:t>Original wording (abstract; indexed_source_text_not_full_document_verified): With the current average decline in notification rate and number of TB deaths however, the EU/EEA will not reach the targets by 2030.</w:t>
      </w:r>
    </w:p>
    <w:p>
      <w:pPr/>
      <w:r>
        <w:rPr>
          <w:b/>
        </w:rPr>
        <w:t>POSSIBLE 2026:</w:t>
      </w:r>
      <w:r>
        <w:t xml:space="preserve"> Predicted decline in common bird and butterfly species even under conservation policy scenarios in Europe — https://doi.org/10.1038/s41559-026-03139-6</w:t>
      </w:r>
    </w:p>
    <w:p>
      <w:pPr/>
      <w:r>
        <w:rPr>
          <w:b/>
        </w:rPr>
        <w:t>Shared claim-specific concepts:</w:t>
      </w:r>
      <w:r>
        <w:t xml:space="preserve"> current, average, decline, however, not, targets; EU scope visible. This is a provisional connection, not an outcome finding.</w:t>
      </w:r>
    </w:p>
    <w:p>
      <w:pPr>
        <w:pStyle w:val="SourceNote"/>
      </w:pPr>
      <w:r>
        <w:rPr>
          <w:b/>
        </w:rPr>
        <w:t>Available abstract (not full text):</w:t>
      </w:r>
      <w:r>
        <w:t xml:space="preserve"> In response to increasing human pressures on biodiversity, conservation targets have been set to reduce these pressures and halt biodiversity decline. However, consequences of these objectives on common species are rarely studied. We analyse the effect of a range of drivers related to climate, land use and land-use intensity on 265 common bird and 144 common butterfly species from more than 20,000 sites between 2000 and 2021 across 27 European countries. We use land use and land-use intensity scenarios produced previously using the Intergovernmental Science-Policy Platform on Biodiversity and Ecosystem Services (IPBES) Nature Futures Framework and climate change scenarios to project biodiversity drivers in Europe up to 2050. We translate these driver changes into abundance variations for common bird and butterfly species and for multi-species indicators used to monitor common biodiversity status in Europe. The projected trends relatively improve, while still declining for birds, notably farmland species, under the scenarios meeting conservation objectives, with few effects on butterflies. No scenario shows a stop or a reversal in the average decline in abundance of bird and butterfly species. Our results therefore question the common biodiversity future under current conservation policies and highlight the need for other anticipatory frameworks not implicitly based on a growing</w:t>
      </w:r>
    </w:p>
    <w:p>
      <w:pPr/>
      <w:r>
        <w:rPr>
          <w:b/>
        </w:rPr>
        <w:t>POSSIBLE 2025:</w:t>
      </w:r>
      <w:r>
        <w:t xml:space="preserve"> Growth decline in European beech associated with temperature-driven increase in reproductive allocation — https://doi.org/10.1073/pnas.2423181122</w:t>
      </w:r>
    </w:p>
    <w:p>
      <w:pPr/>
      <w:r>
        <w:rPr>
          <w:b/>
        </w:rPr>
        <w:t>Shared claim-specific concepts:</w:t>
      </w:r>
      <w:r>
        <w:t xml:space="preserve"> current, average, decline, not; EU scope visible. This is a provisional connection, not an outcome finding.</w:t>
      </w:r>
    </w:p>
    <w:p>
      <w:pPr>
        <w:pStyle w:val="SourceNote"/>
      </w:pPr>
      <w:r>
        <w:rPr>
          <w:b/>
        </w:rPr>
        <w:t>Available abstract (not full text):</w:t>
      </w:r>
      <w:r>
        <w:t xml:space="preserve"> Climate change is impacting forests in complex ways, with indirect effects arising from interactions between tree growth and reproduction often overlooked. Our 43-year study of European beech (Fagus sylvatica), showed that rising summer temperatures since 2005 have led to more frequent seed production events. This shift increases reproductive effort but depletes the trees' stored resources due to insufficient recovery periods between seed crops. Consequently, annual tree ring increments have declined by 28%, dropping from a stable average of 1.60 mm y⁻¹ between 1980 and 2005 to 1.16 mm y⁻¹ thereafter. Importantly, this growth decline occurred without an accompanying trend in summer drought, indicating that altered reproductive patterns—not moisture stress—are driving the reduction. This creates a "perfect storm": increased reproductive effort drains resources, viable seed output falls due to the loss of mast-seeding benefits via pollination and lower seed predation, and the ongoing growth decline reduces current carbon uptake and future reproductive potential. These compounding factors threaten the sustainability of Europe's most widespread forest tree. Our findings unveil a critical yet underrecognized indirect mechanism by which climate change endangers forest ecosystems, emphasizing the need to consider interactions between demographic processes when assessing species vulner</w:t>
      </w:r>
    </w:p>
    <w:p>
      <w:pPr/>
      <w:r>
        <w:rPr>
          <w:b/>
        </w:rPr>
        <w:t>POSSIBLE 2025:</w:t>
      </w:r>
      <w:r>
        <w:t xml:space="preserve"> European Breeding Bird Declines Associated With Narrower Climatic Niches — https://doi.org/10.1111/jbi.15127</w:t>
      </w:r>
    </w:p>
    <w:p>
      <w:pPr/>
      <w:r>
        <w:rPr>
          <w:b/>
        </w:rPr>
        <w:t>Shared claim-specific concepts:</w:t>
      </w:r>
      <w:r>
        <w:t xml:space="preserve"> average, however, not; EU scope visible. This is a provisional connection, not an outcome finding.</w:t>
      </w:r>
    </w:p>
    <w:p>
      <w:pPr>
        <w:pStyle w:val="SourceNote"/>
      </w:pPr>
      <w:r>
        <w:rPr>
          <w:b/>
        </w:rPr>
        <w:t>Available abstract (not full text):</w:t>
      </w:r>
      <w:r>
        <w:t xml:space="preserve"> ABSTRACT Aim Anthropogenic climate change has increasingly been identified as a major threat to global biodiversity. However, the extent of this threat is likely to be uneven across species, due to differences in life histories or exposure to environmental change. The range of climatic conditions a species experiences across its range extent, known as the realised climatic niche, may be an indicator of species resilience to climate change. Species with large range extents, occurring across diverse climatic conditions, are expected to be less affected by climate change due to lower physiological constraints and tolerance to a wider range of climates. However, this may not be the case if local populations are adapted to specific environmental conditions. In this study, we investigate whether the extent of the species' realised climatic niche, also known as the climatic niche breadth, is linked to their long‐term population trends. Location Europe. Taxon Birds. Methods We extract climate data across the breeding‐only and resident ranges of 159 European bird species and use an ordination method to produce a representation of the species climatic niches. We then relate the niche breadth of each species to their range area and incorporate this relationship, along with the species' diet, main habitat type, migratory status and average body mass, to investigate their relationship with </w:t>
      </w:r>
    </w:p>
    <w:p>
      <w:pPr/>
      <w:r>
        <w:rPr>
          <w:b/>
        </w:rPr>
        <w:t>POSSIBLE 2024:</w:t>
      </w:r>
      <w:r>
        <w:t xml:space="preserve"> Dissecting the Decline in Average Hours Worked in Europe — https://doi.org/10.5089/9798400261183.001</w:t>
      </w:r>
    </w:p>
    <w:p>
      <w:pPr/>
      <w:r>
        <w:rPr>
          <w:b/>
        </w:rPr>
        <w:t>Shared claim-specific concepts:</w:t>
      </w:r>
      <w:r>
        <w:t xml:space="preserve"> average, decline, not; EU scope visible. This is a provisional connection, not an outcome finding.</w:t>
      </w:r>
    </w:p>
    <w:p>
      <w:pPr>
        <w:pStyle w:val="SourceNote"/>
      </w:pPr>
      <w:r>
        <w:rPr>
          <w:b/>
        </w:rPr>
        <w:t>Available abstract (not full text):</w:t>
      </w:r>
      <w:r>
        <w:t xml:space="preserve"> Three years after the COVID-19 crisis, employment and total hours worked in Europe fully recovered, but average hours per worker did not. We analyze the decline in average hours worked across European countries and find that (i) it is not cyclical but predominantly structural, extending a long-term trend that predates COVID-19, (ii) it mainly reflects reduced hours within worker groups, not a compositional shift towards lower-hours jobs and workers, (iii) men—particularly those with young children—and youth drive this drop, (iv) declines in actual hours match declines in desired hours. Policy reforms could help involuntary parttimers and women with young children raise their actual hours towards desired levels, but the aggregate impact on average hours would be limited to 0.5 to 1.5 percent. Overall, there is scant evidence of slack at the intensive margin in European labor markets, and the trend fall in average hours worked seems unlikely to reverse.</w:t>
      </w:r>
    </w:p>
    <w:p>
      <w:pPr/>
      <w:r>
        <w:rPr>
          <w:b/>
        </w:rPr>
        <w:t>POSSIBLE 2024:</w:t>
      </w:r>
      <w:r>
        <w:t xml:space="preserve"> Growth decline in European beech associated with temperature-driven increase in reproductive allocation — https://openalex.org/W7112765388</w:t>
      </w:r>
    </w:p>
    <w:p>
      <w:pPr/>
      <w:r>
        <w:rPr>
          <w:b/>
        </w:rPr>
        <w:t>Shared claim-specific concepts:</w:t>
      </w:r>
      <w:r>
        <w:t xml:space="preserve"> current, average, decline, not; EU scope visible. This is a provisional connection, not an outcome finding.</w:t>
      </w:r>
    </w:p>
    <w:p>
      <w:pPr>
        <w:pStyle w:val="SourceNote"/>
      </w:pPr>
      <w:r>
        <w:rPr>
          <w:b/>
        </w:rPr>
        <w:t>Available abstract (not full text):</w:t>
      </w:r>
      <w:r>
        <w:t xml:space="preserve"> Climate change is impacting forests in complex ways, with indirect effects arising from interactions between tree growth and reproduction often overlooked. Our 43-year study of European beech (Fagus sylvatica), showed that rising summer temperatures since 2005 have led to more frequent seed production events. This shift increases reproductive effort but depletes the trees’ stored resources due to insufficient recovery periods between seed crops. Consequently, annual tree ring increments have declined by 28%, dropping from a stable average of 1.60 mm y-1 between 1980 and 2005 to 1.16 mm y-1 thereafter. Importantly, this growth decline occurred without an accompanying trend in summer drought, indicating that altered reproductive patterns—not moisture stress—are driving the reduction. This creates a "perfect storm": increased reproductive effort drains resources, viable seed output falls due to the loss of mast-seeding benefits via pollination and lower seed predation, and the ongoing growth decline reduces current carbon uptake and future reproductive potential. These compounding factors threaten the sustainability of Europe’s most widespread forest tree. Our findings unveil a critical yet under-recognised indirect mechanism by which climate change endangers forest ecosystems, emphasizing the need to consider interactions between demographic processes when assessing species vulne</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current, average, rate;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2023:</w:t>
      </w:r>
      <w:r>
        <w:t xml:space="preserve"> Farmland practices are driving bird population decline across Europe — https://doi.org/10.1073/pnas.2216573120</w:t>
      </w:r>
    </w:p>
    <w:p>
      <w:pPr/>
      <w:r>
        <w:rPr>
          <w:b/>
        </w:rPr>
        <w:t>Shared claim-specific concepts:</w:t>
      </w:r>
      <w:r>
        <w:t xml:space="preserve"> decline, number, not; EU scope visible. This is a provisional connection, not an outcome finding.</w:t>
      </w:r>
    </w:p>
    <w:p>
      <w:pPr>
        <w:pStyle w:val="SourceNote"/>
      </w:pPr>
      <w:r>
        <w:rPr>
          <w:b/>
        </w:rPr>
        <w:t>Available abstract (not full text):</w:t>
      </w:r>
      <w:r>
        <w:t xml:space="preserve"> 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w:t>
      </w:r>
    </w:p>
    <w:p>
      <w:pPr/>
      <w:r>
        <w:rPr>
          <w:b/>
        </w:rPr>
        <w:t>POSSIBLE 2023:</w:t>
      </w:r>
      <w:r>
        <w:t xml:space="preserve"> Range Contraction and Population Decline of the European Dupont’s Lark Population — https://doi.org/10.3390/d15080928</w:t>
      </w:r>
    </w:p>
    <w:p>
      <w:pPr/>
      <w:r>
        <w:rPr>
          <w:b/>
        </w:rPr>
        <w:t>Shared claim-specific concepts:</w:t>
      </w:r>
      <w:r>
        <w:t xml:space="preserve"> current, decline, reach; EU scope visible. This is a provisional connection, not an outcome finding.</w:t>
      </w:r>
    </w:p>
    <w:p>
      <w:pPr>
        <w:pStyle w:val="SourceNote"/>
      </w:pPr>
      <w:r>
        <w:rPr>
          <w:b/>
        </w:rPr>
        <w:t>Available abstract (not full text):</w:t>
      </w:r>
      <w:r>
        <w:t xml:space="preserve"> The Dupont’s lark (Chersophilus duponti) is an endangered passerine typical of Mediterranean shrub-steppes, whose European distribution is restricted to Spain. Here, we update the population size and distribution range of the species at a European scale and evaluate (i) the current status; (ii) the change in population size and distribution range of the species from 2004 to 2009 to the current period (2017–2022); and (iii) the effectiveness of the current network of special protection areas (SPAs) for protecting the Dupont’s lark. The European Dupont’s lark population showed a decrease of 29.9%, declining from ca. 3267 to 2289 territorial males from 2004 to 2009 to the current period. Moreover, the species has suffered a contraction in its distribution range of 35.9%, with only 39.3% of the species’ territories located within the current network of SPAs. Our findings agree with the previously described decline of the Dupont’s lark in Europe. The population decline was even larger in peripheral regions, which suggests that the species is suffering a centripetal process of contraction and extinction. These results indicate that if there is no change in present-day declining forces, several peripheral populations will reach extinction in a few decades and the overall population size of the species will continue decreasing. Our study should be considered as a last call for action a</w:t>
      </w:r>
    </w:p>
    <w:p>
      <w:pPr/>
      <w:r>
        <w:rPr>
          <w:b/>
        </w:rPr>
        <w:t>POSSIBLE 2023:</w:t>
      </w:r>
      <w:r>
        <w:t xml:space="preserve"> Amphibian decline in a Central European forest and the importance of woody debris for population persistence — https://doi.org/10.1016/j.ecolind.2023.110036</w:t>
      </w:r>
    </w:p>
    <w:p>
      <w:pPr/>
      <w:r>
        <w:rPr>
          <w:b/>
        </w:rPr>
        <w:t>Shared claim-specific concepts:</w:t>
      </w:r>
      <w:r>
        <w:t xml:space="preserve"> current, average, decline; EU scope visible. This is a provisional connection, not an outcome finding.</w:t>
      </w:r>
    </w:p>
    <w:p>
      <w:pPr>
        <w:pStyle w:val="SourceNote"/>
      </w:pPr>
      <w:r>
        <w:rPr>
          <w:b/>
        </w:rPr>
        <w:t>Available abstract (not full text):</w:t>
      </w:r>
      <w:r>
        <w:t xml:space="preserve"> Achieving an understanding of species’ temporal and spatial abundance patterns is a prerequisite for proper conservation and management decisions. Little is known of the ecological indicators of census size or biomass of terrestrial amphibian communities and historical estimates of population size are rare. Here we took advantage of abundance and biomass data collected in 1967/1968 for a leaf-litter amphibian community in Niepołomice Forest (NF) in south-central Poland. Using the same technique (removal sampling), we censused the amphibian community of this forest 50 years later (2016/2017), spatially matching a subset of current plots with the historical sampling sites. Averaged over all plots, we revealed at least a fourfold decline in amphibian abundance from 2817 ± 776 individuals/ha in 1967 to 674 ± 508 individuals/ha currently, paralleled by a decline in biomass from roughly 15.5 ± 1.7 to 3.8 ± 3.1 kg/ha. The decline was more striking (over 15-fold) for current plots placed in the same forest division as the historical plots (mean counts of 157 ± 103 individuals/ha corresponding in biomass to 1.0 ± 0.5 kg/ha). We also recorded a change in species composition between surveys, and propose that conversion of aquatic habitat and forest succession have decreased amphibian diversity and abundance in NF. Further, we estimated densities of anuran amphibians in forest plots differ</w:t>
      </w:r>
    </w:p>
    <w:p>
      <w:pPr/>
      <w:r>
        <w:rPr>
          <w:b/>
        </w:rPr>
        <w:t>POSSIBLE 2022:</w:t>
      </w:r>
      <w:r>
        <w:t xml:space="preserve"> The Current State of Neobanking in the USA and European Countries — https://doi.org/10.32983/2222-4459-2022-7-17-24</w:t>
      </w:r>
    </w:p>
    <w:p>
      <w:pPr/>
      <w:r>
        <w:rPr>
          <w:b/>
        </w:rPr>
        <w:t>Shared claim-specific concepts:</w:t>
      </w:r>
      <w:r>
        <w:t xml:space="preserve"> current, average, number, not, reach; EU scope visible. This is a provisional connection, not an outcome finding.</w:t>
      </w:r>
    </w:p>
    <w:p>
      <w:pPr>
        <w:pStyle w:val="SourceNote"/>
      </w:pPr>
      <w:r>
        <w:rPr>
          <w:b/>
        </w:rPr>
        <w:t>Available abstract (not full text):</w:t>
      </w:r>
      <w:r>
        <w:t xml:space="preserve"> The purpose of the article is to study the current state and trends of neobanking in the United States and European countries. It is noted that the world highest indicator of the number of customers who have bank accounts exclusively in digital format was recorded in the United States. A further increase in the number of such clients is predicted, firstly, due to the existing potential of the population, and secondly, due to the increase in the number of banks that conduct operations exclusively in digital format. In 2022, the value of neobanking transactions in the United States should reach 1.2 trillion U.S. Dollar, and in 2017 it amounted slightly over 9.0 billion U.S. Dollar. The cost of a transaction per user of neobanking in 2021 was on average about 25 thousand U.S. Dollar per year and showed a tendency to grow. At the beginning of 2022, 60 neobanks were registered in the United States. It is noted that in Europe the first neobanks began to appear in 2015, and financial companies in the UK, Germany, France and Finland were the leaders of a new movement – the fintech industry. Over time, this trend has spread to other European countries, where there are now more than 70 neobanks. The positive dynamics of the number of consumers of neobank services is formed due to a number of advantages, including not only online service. Neobanks have the following advantages compared to</w:t>
      </w:r>
    </w:p>
    <w:p>
      <w:pPr/>
      <w:r>
        <w:rPr>
          <w:b/>
        </w:rPr>
        <w:t>POSSIBLE 2022:</w:t>
      </w:r>
      <w:r>
        <w:t xml:space="preserve"> Impact of the first wave of the COVID-19 pandemic on birth rates in Europe: a time series analysis in 24 countries — https://doi.org/10.1093/humrep/deac215</w:t>
      </w:r>
    </w:p>
    <w:p>
      <w:pPr/>
      <w:r>
        <w:rPr>
          <w:b/>
        </w:rPr>
        <w:t>Shared claim-specific concepts:</w:t>
      </w:r>
      <w:r>
        <w:t xml:space="preserve"> average, decline, rate, number, not; EU scope visible. This is a provisional connection, not an outcome finding.</w:t>
      </w:r>
    </w:p>
    <w:p>
      <w:pPr>
        <w:pStyle w:val="SourceNote"/>
      </w:pPr>
      <w:r>
        <w:rPr>
          <w:b/>
        </w:rPr>
        <w:t>Available abstract (not full text):</w:t>
      </w:r>
      <w:r>
        <w:t xml:space="preserve"> STUDY QUESTION: Did the first wave of the COVID-19 pandemic have an impact on monthly birth rates in Europe? SUMMARY ANSWER: Using datasets on live births per month in Europe, collected from the Human Fertility Database, we found a -14.1% decline in live births in January 2021 (i.e. 9-10 months after the epidemic peaks and first lockdowns), compared to the average number of live births in January 2018 and 2019. WHAT IS KNOWN ALREADY: Previous pandemics in the 20th and 21st centuries have been associated with a decline in birth rates 9 months after their peak, and a rebound in births over time. Lockdowns were necessary to control the first wave of the COVID-19 pandemic and may have had an impact on subsequent birth rates. STUDY DESIGN, SIZE, DURATION: Monthly time series data on live births from January 2018 to March 2021 were extracted to provide a time-series analysis of birthrates during and after the first wave of the COVID-19 pandemic in 24 European countries. PARTICIPANTS/MATERIALS, SETTING, METHODS: We conducted a random-effect generalized least squares regression to assess the seasonality of births from January 2018 to March 2021, and to identify potential differences in monthly live births after the first wave of the COVID-19 pandemic, considering the seasonality of births. To quantify these potential differences, we estimated the variation rate between the monthly live</w:t>
      </w:r>
    </w:p>
    <w:p>
      <w:pPr/>
      <w:r>
        <w:rPr>
          <w:b/>
        </w:rPr>
        <w:t>POSSIBLE 2022:</w:t>
      </w:r>
      <w:r>
        <w:t xml:space="preserve"> Geography, gender and smoking in Europe — https://doi.org/10.1183/13993003.congress-2022.1954</w:t>
      </w:r>
    </w:p>
    <w:p>
      <w:pPr/>
      <w:r>
        <w:rPr>
          <w:b/>
        </w:rPr>
        <w:t>Shared claim-specific concepts:</w:t>
      </w:r>
      <w:r>
        <w:t xml:space="preserve"> current, average, decline, however; EU scope visible. This is a provisional connection, not an outcome finding.</w:t>
      </w:r>
    </w:p>
    <w:p>
      <w:pPr>
        <w:pStyle w:val="SourceNote"/>
      </w:pPr>
      <w:r>
        <w:rPr>
          <w:b/>
        </w:rPr>
        <w:t>Available abstract (not full text):</w:t>
      </w:r>
      <w:r>
        <w:t xml:space="preserve"> Over the last 25 years, teenage smoking has been decreasing across Europe, particularly in wealthier countries and those with strong tobacco control legislation and regulation. We examine trends in 30-day smoking among adolescents in Ireland and Europe from 1995-2020. Ireland has participated in 7 data collection waves of ESPAD (European Schools Project for Alcohol and Other Drugs) between 1995 and 2019, during which time more than 500,000 students completed questionnaires on substance use, including cigarette smoking. In 2019, some 100,000 students participated in ESPAD and, in Ireland, 1,967 students, born in 2003, were surveyed from a stratified random sample of 50 Irish schools. We compare prevalence and gender differences in the Irish and European samples at different time points from 1995 to 2019. In Ireland and across Europe, total prevalence of 30-day smoking decreased significantly between 1995 and 2019. Ireland’s decrease (from 41% to 14%) was more dramatic than the European average (32% to 20%). Ireland’s current prevalence is lower than the European average. However, while there was a decline of 5% in the European average between 2015 and 2019, Ireland’s decreasing trend reversed, accounted for by an increase in male smoking from 13% to 14%. Trend analyses of current smoking prevalence between 1995-2019 show that decreases in teenage smoking in Europe during this ti</w:t>
      </w:r>
    </w:p>
    <w:p>
      <w:pPr>
        <w:pStyle w:val="Heading2"/>
      </w:pPr>
      <w:r>
        <w:t>735. A Foresight Study of European East-West Agrifood Trade Options</w:t>
      </w:r>
    </w:p>
    <w:p>
      <w:pPr>
        <w:pStyle w:val="SourceNote"/>
      </w:pPr>
      <w:r>
        <w:rPr>
          <w:b/>
        </w:rPr>
        <w:t>Original source (2018):</w:t>
      </w:r>
      <w:r>
        <w:t xml:space="preserve"> https://doi.org/10.52825/gjae.v67i3.2099</w:t>
      </w:r>
    </w:p>
    <w:p>
      <w:pPr/>
      <w:r>
        <w:t>Original wording (abstract; indexed_source_text_not_full_document_verified): Taking a trade perspective with a focus on agrifood markets, the current foresight study employs a computable general equilibrium simulation model to quantify the implications of different future pathways of European East-West trade relations for the Commonwealth of Independent States (CIS), thereby providing insight on how best to orientate their political and trade strategies. Comparing with a baseline, two optimistic pathways explore greater market access, both within Europe (‘Deep integration’) and globally (‘trade liberalisation’).</w:t>
      </w:r>
    </w:p>
    <w:p>
      <w:pPr/>
      <w:r>
        <w:rPr>
          <w:b/>
        </w:rPr>
        <w:t>POSSIBLE 2026:</w:t>
      </w:r>
      <w:r>
        <w:t xml:space="preserve"> The BRICs and the Global Agrifood System — https://doi.org/10.4324/9781003287100</w:t>
      </w:r>
    </w:p>
    <w:p>
      <w:pPr/>
      <w:r>
        <w:rPr>
          <w:b/>
        </w:rPr>
        <w:t>Shared claim-specific concepts:</w:t>
      </w:r>
      <w:r>
        <w:t xml:space="preserve"> trade, agrifood, relations; EU scope not established. This is a provisional connection, not an outcome finding.</w:t>
      </w:r>
    </w:p>
    <w:p>
      <w:pPr>
        <w:pStyle w:val="SourceNote"/>
      </w:pPr>
      <w:r>
        <w:rPr>
          <w:b/>
        </w:rPr>
        <w:t>Available abstract (not full text):</w:t>
      </w:r>
      <w:r>
        <w:t xml:space="preserve"> The BRICS grouping – Brazil, Russia, India, China, and South Africa – jointly founded the New Development Bank and the Contingent Reserve Arrangement as part of their efforts to constitute a trade, monetary, and geopolitical bloc. Yet the inability to deal collectively with external pressures, intra-group tensions, and ideological divergences has hampered efforts to establish a coherent and articulated strategy. Nevertheless, given their centrality to the production, circulation, and consumption of agricultural commodities and food products; their abundant reserves of labour and natural resources, and the scale of their domestic markets, the development trajectories of the BRICS countries remain crucial to understanding the future not only of the global agrifood system but also of capitalism itself. Engaging with recent debates in comparative capitalism and food regime approaches, this book provides a comparative institutional analysis of the BRICS ‘varieties of capitalism’ and their role in the international reordering of the contemporary ‘food regime’. It is argued that the historically embedded legacy of the agrarian question in the institutional configurations and class relations of each country can help to explain the institutional diversity of capitalism. Conversely, to the extent that the dynamics of the agrifood system have a decisive influence on their overall developm</w:t>
      </w:r>
    </w:p>
    <w:p>
      <w:pPr/>
      <w:r>
        <w:rPr>
          <w:b/>
        </w:rPr>
        <w:t>POSSIBLE 2026:</w:t>
      </w:r>
      <w:r>
        <w:t xml:space="preserve"> Trade Agreements and Trade-Embedded Carbon: An Environmental Provisions Perspective — https://doi.org/10.3390/su18021066</w:t>
      </w:r>
    </w:p>
    <w:p>
      <w:pPr/>
      <w:r>
        <w:rPr>
          <w:b/>
        </w:rPr>
        <w:t>Shared claim-specific concepts:</w:t>
      </w:r>
      <w:r>
        <w:t xml:space="preserve"> trade, perspective, focus, different; EU scope not established. This is a provisional connection, not an outcome finding.</w:t>
      </w:r>
    </w:p>
    <w:p>
      <w:pPr>
        <w:pStyle w:val="SourceNote"/>
      </w:pPr>
      <w:r>
        <w:rPr>
          <w:b/>
        </w:rPr>
        <w:t>Available abstract (not full text):</w:t>
      </w:r>
      <w:r>
        <w:t xml:space="preserve"> Achieving sustainable growth in the global economy and promoting low-carbon development can be achieved by concluding trade agreements that advance trade liberalisation progressively. The study looks at how far environmental rulers go in trade deals between different countries, by examining what these agreements actually say. Combining this analysis with trade-embedded carbon data from 35 sub-sectors across 60 countries from 2009 to 2023, the effect of the depth of environmental rulers in trade deals on trade-embedded carbon is the focus of this empirical study and its underlying mechanisms. Research findings indicate that strengthening environmental clauses significantly reduces carbon emissions embedded in trade. This result remained consistent after undergoing a series of robustness tests and employing instrumental variable methods to address endogeneity issues. Mechanism tests reveal that the carbon reduction effect of environmental clauses can be achieved through two channels: green technology cooperation between countries and increased carbon productivity. Heterogeneity tests indicate that provisions in trade agreements that are more environmentally focused can have a greater effect on reducing embedded carbon in non-technology-intensive areas and pollution-intensive sectors, particularly for developing countries. Provisions relating to the environment in bilateral trade </w:t>
      </w:r>
    </w:p>
    <w:p>
      <w:pPr/>
      <w:r>
        <w:rPr>
          <w:b/>
        </w:rPr>
        <w:t>POSSIBLE 2025:</w:t>
      </w:r>
      <w:r>
        <w:t xml:space="preserve"> The European Union Green Deal and Global Trade: A Constructivist Perspective on Sustainability Norms — https://doi.org/10.22146/jwts.v10i1.18729</w:t>
      </w:r>
    </w:p>
    <w:p>
      <w:pPr/>
      <w:r>
        <w:rPr>
          <w:b/>
        </w:rPr>
        <w:t>Shared claim-specific concepts:</w:t>
      </w:r>
      <w:r>
        <w:t xml:space="preserve"> trade, perspective, focus, pathways; EU scope visible. This is a provisional connection, not an outcome finding.</w:t>
      </w:r>
    </w:p>
    <w:p>
      <w:pPr>
        <w:pStyle w:val="SourceNote"/>
      </w:pPr>
      <w:r>
        <w:rPr>
          <w:b/>
        </w:rPr>
        <w:t>Available abstract (not full text):</w:t>
      </w:r>
      <w:r>
        <w:t xml:space="preserve"> The European Union’s Green Deal (EGD) represents a comprehensive policy initiative targeting climate neutrality by 2050, and its influence is already permeating global trade dynamics. This research examines the EGD as a paradigm-shifting, sustainability-driven policy and explores its ramifications on international trade structures through a constructivist perspective. Two primary research questions guide the analysis: First, how could the EGD influence the global sustainability norms? Second, how do global trade actors respond to the sustainability norms of EGD? To address these questions, the authors use a diverse methodology, combining qualitative analysis, and extensive literature review. The research focus on particular events to mechanisms such as carbon tariffs, the promotion of sustainable trade practices, and the broader set of principles underpinning the EGD. It analyzes the ways in which these elements are either contested or adopted by actors within the global trading system. The findings indicate that, while the EGD poses significant challenges for the European Union, it simultaneously opens pathways for the diffusion of sustainability norms. Increasingly, global trade actors are engaging in processes of socialization, whether to align with or counter the EU’s vision for sustainable trade. In conclusion, this research contributes to the academic discourse on trade a</w:t>
      </w:r>
    </w:p>
    <w:p>
      <w:pPr/>
      <w:r>
        <w:rPr>
          <w:b/>
        </w:rPr>
        <w:t>POSSIBLE 2025:</w:t>
      </w:r>
      <w:r>
        <w:t xml:space="preserve"> Māori Perspectives on Digital Trade — https://doi.org/10.15663/3610366.12jj</w:t>
      </w:r>
    </w:p>
    <w:p>
      <w:pPr/>
      <w:r>
        <w:rPr>
          <w:b/>
        </w:rPr>
        <w:t>Shared claim-specific concepts:</w:t>
      </w:r>
      <w:r>
        <w:t xml:space="preserve"> taking, trade, focus; EU scope not established. This is a provisional connection, not an outcome finding.</w:t>
      </w:r>
    </w:p>
    <w:p>
      <w:pPr>
        <w:pStyle w:val="SourceNote"/>
      </w:pPr>
      <w:r>
        <w:rPr>
          <w:b/>
        </w:rPr>
        <w:t>Available abstract (not full text):</w:t>
      </w:r>
      <w:r>
        <w:t xml:space="preserve"> Māori have engaged in trade for generations, both domestically and internationally (Mika 2014, Spiller et al 2025). As a way to access resources and build or strengthen relationships, trade allowed Māori in the North Island to access pounamu from the South Island and now allows those around the world to experience Whakatōhea mussels, Tai Tokerau mānuka honey and Tohu wines (Tohu Wines 2021, Open Ocean Whakatōhea mussels 2021, Tai Tokerau Honey 2025). With Māori authorities and businesses exporting a combined $1,350 million worth of goods in 20233, Māori international trade is becoming increasingly important to both the national and Māori economies. However, the way we trade, and what we are trading, are rapidly changing. Advances in technology, from improved refrigeration and transportation to the creation of the internet, are expanding flows of trade in goods, services, capital, labour and now data. This new form of trade, in digital assets and on digital channels has “…fundamentally altered the production and consumption of goods and services worldwide over the past two decades (OECD 2023 page 1).” As a growing part of the national economy, Māori are increasingly engaging in digital trade, from utilising online platforms and QR codes for product identification to creating and exporting applications. As Whaanga et al (2015) state, Māori have a long history of “…adopting new te</w:t>
      </w:r>
    </w:p>
    <w:p>
      <w:pPr/>
      <w:r>
        <w:rPr>
          <w:b/>
        </w:rPr>
        <w:t>POSSIBLE 2023:</w:t>
      </w:r>
      <w:r>
        <w:t xml:space="preserve"> Perspectives on trade and structural transformation — https://doi.org/10.1080/13600818.2023.2279665</w:t>
      </w:r>
    </w:p>
    <w:p>
      <w:pPr/>
      <w:r>
        <w:rPr>
          <w:b/>
        </w:rPr>
        <w:t>Shared claim-specific concepts:</w:t>
      </w:r>
      <w:r>
        <w:t xml:space="preserve"> taking, trade, quantify; EU scope not established. This is a provisional connection, not an outcome finding.</w:t>
      </w:r>
    </w:p>
    <w:p>
      <w:pPr>
        <w:pStyle w:val="SourceNote"/>
      </w:pPr>
      <w:r>
        <w:rPr>
          <w:b/>
        </w:rPr>
        <w:t>Available abstract (not full text):</w:t>
      </w:r>
      <w:r>
        <w:t xml:space="preserve"> This paper surveys macroeconomic and microeconomic perspectives on the role of international trade in structural transformation.We start by describing canonical frameworks that have been used to quantify how trade influences sectoral shares of employment and value added.We then pivot to survey micro-empirical evidence on the impact of changes in trade on the allocation of labor across sectors and productivity at the firm level.In this, we put special emphasis on the role of participation in global value chains and inward foreign direct investment in mediating these effects.Next, we evaluate evidence on the barriers to trade faced by lowincome countries, with special attention to recent work that measures these costs taking firm dynamics into account.We conclude by discussing how these micro-perspectives can be integrated into macro models to advance our understanding of structural change.</w:t>
      </w:r>
    </w:p>
    <w:p>
      <w:pPr/>
      <w:r>
        <w:rPr>
          <w:b/>
        </w:rPr>
        <w:t>POSSIBLE 2023:</w:t>
      </w:r>
      <w:r>
        <w:t xml:space="preserve"> Technical Barriers to Trade and China's Agricultural Products Export - Taking Garlic Export as an Example — https://doi.org/10.38007/ijbmet.2023.040105</w:t>
      </w:r>
    </w:p>
    <w:p>
      <w:pPr/>
      <w:r>
        <w:rPr>
          <w:b/>
        </w:rPr>
        <w:t>Shared claim-specific concepts:</w:t>
      </w:r>
      <w:r>
        <w:t xml:space="preserve"> taking, trade, perspective, states; EU scope visible. This is a provisional connection, not an outcome finding.</w:t>
      </w:r>
    </w:p>
    <w:p>
      <w:pPr>
        <w:pStyle w:val="SourceNote"/>
      </w:pPr>
      <w:r>
        <w:rPr>
          <w:b/>
        </w:rPr>
        <w:t>Available abstract (not full text):</w:t>
      </w:r>
      <w:r>
        <w:t xml:space="preserve"> Firstly, this paper analyzes the impact mechanism of TBT on agricultural exports; Secondly, based on the characteristics of technical barriers to trade in the United States, the European Union, Japan and South Korea, this paper analyzes the export situation of China's agricultural products, the number of batches detained and recalled, the types of blocked products, and the reasons for the blocked products.The research finds that the overall situation of China's agricultural products encountering technical barriers to trade has improved, but the situation of encountering green barriers is increasingly serious.Therefore, this paper selects the impact of green trade barriers on garlic export as an example to analyze the reasons for China's garlic export encountering green barriers and propose countermeasures.Finally, from the perspective of actively utilizing the WTO Agreement and the dispute settlement mechanism, taking countermeasures, improving the quality level and innovation ability, and establishing an early warning mechanism, specific suggestions were put forward.</w:t>
      </w:r>
    </w:p>
    <w:p>
      <w:pPr/>
      <w:r>
        <w:rPr>
          <w:b/>
        </w:rPr>
        <w:t>POSSIBLE 2023:</w:t>
      </w:r>
      <w:r>
        <w:t xml:space="preserve"> The role of market concentration in the agrifood industry — https://doi.org/10.2499/p15738coll2.136567</w:t>
      </w:r>
    </w:p>
    <w:p>
      <w:pPr/>
      <w:r>
        <w:rPr>
          <w:b/>
        </w:rPr>
        <w:t>Shared claim-specific concepts:</w:t>
      </w:r>
      <w:r>
        <w:t xml:space="preserve"> agrifood, general, implications; EU scope not established. This is a provisional connection, not an outcome finding.</w:t>
      </w:r>
    </w:p>
    <w:p>
      <w:pPr>
        <w:pStyle w:val="SourceNote"/>
      </w:pPr>
      <w:r>
        <w:rPr>
          <w:b/>
        </w:rPr>
        <w:t>Available abstract (not full text):</w:t>
      </w:r>
      <w:r>
        <w:t xml:space="preserve"> The role of market concentration and potential market power exertion in the agri-food industry is a topic of longstanding interest and concern to policymakers, stakeholders, and researchers. This study provides a comprehensive overview of recent trends in market concentration upstream, midstream, and downstream the agri-food industry at the global, regional, and country level, and assesses how and to what extent concentration could be affecting market conduct and performance of food systems in developed and developing countries. The analysis additionally discusses, to the extent detectable, implications of concentration, including vertical and horizontal integration that favor concentration, for food security and nutrition and environmental sustainability. While market concentration in the agri-food industry has increased across most segments, the evidence on market power exertion is inconclusive. Several knowledge and data gaps are identified and additional research is necessary to derive more general conclusions and policy recommendations.</w:t>
      </w:r>
    </w:p>
    <w:p>
      <w:pPr/>
      <w:r>
        <w:rPr>
          <w:b/>
        </w:rPr>
        <w:t>POSSIBLE 2023:</w:t>
      </w:r>
      <w:r>
        <w:t xml:space="preserve"> A constant market share analysis of the competitiveness of the Czech Republic's agrifood exports (2002-2020) to the European Union — https://doi.org/10.17221/248/2023-agricecon</w:t>
      </w:r>
    </w:p>
    <w:p>
      <w:pPr/>
      <w:r>
        <w:rPr>
          <w:b/>
        </w:rPr>
        <w:t>Shared claim-specific concepts:</w:t>
      </w:r>
      <w:r>
        <w:t xml:space="preserve"> trade, agrifood, current, general, states; EU scope visible. This is a provisional connection, not an outcome finding.</w:t>
      </w:r>
    </w:p>
    <w:p>
      <w:pPr>
        <w:pStyle w:val="SourceNote"/>
      </w:pPr>
      <w:r>
        <w:rPr>
          <w:b/>
        </w:rPr>
        <w:t>Available abstract (not full text):</w:t>
      </w:r>
      <w:r>
        <w:t xml:space="preserve"> We conducted a quantitative ex post analysis of the competitiveness of the Czech Republic’s agrifood exports to other European Union (EU) Member States between 2002 and 2020, using the constant market share (CMS) methodology. The application of this methodology to Czech agrifood exports is novel, as it allows for analysing the export competitiveness variation and its components. Although the findings are consistent with those of previous studies in which the investigators used alternative methodological approaches, we make three contributions to the existing literature. Firstly, the Czech Republic experienced an overall increase in its competitiveness in agrifood exports between 2002 and 2020. Secondly, the high territorial specialisation of Czech agrifood exports to other EU Member States, combined with a general slowdown in the growth of EU markets, has had a significant effect on the growth dynamics of the country’s agricultural exports. Thirdly, there is a problem with the specialisation profile of Czech agrifood exports in terms of commodity and territorial structure. The current composition does not allow the Czech Republic to reach its full potential for agrifood exports. These findings will help industrial, agricultural and trade policymakers to assess the nature of liberalisation and transformation of the Czech Republic’s agricultural sectors, with a view to improving </w:t>
      </w:r>
    </w:p>
    <w:p>
      <w:pPr/>
      <w:r>
        <w:rPr>
          <w:b/>
        </w:rPr>
        <w:t>POSSIBLE 2023:</w:t>
      </w:r>
      <w:r>
        <w:t xml:space="preserve"> From farm to table: Agrifood systems and trade challenges in the Southern Cone — https://doi.org/10.2499/p15738coll2.137016</w:t>
      </w:r>
    </w:p>
    <w:p>
      <w:pPr/>
      <w:r>
        <w:rPr>
          <w:b/>
        </w:rPr>
        <w:t>Shared claim-specific concepts:</w:t>
      </w:r>
      <w:r>
        <w:t xml:space="preserve"> trade, agrifood, current, different; EU scope not established. This is a provisional connection, not an outcome finding.</w:t>
      </w:r>
    </w:p>
    <w:p>
      <w:pPr>
        <w:pStyle w:val="SourceNote"/>
      </w:pPr>
      <w:r>
        <w:rPr>
          <w:b/>
        </w:rPr>
        <w:t>Available abstract (not full text):</w:t>
      </w:r>
      <w:r>
        <w:t xml:space="preserve"> Food production includes a complex and varied set of agricultural and nonagricultural activities, involving a growing number of sectors and actors that influence the way food is produced, processed, distributed, and consumed. Recently, and especially after the 2021 United Nation Food Systems Summit (UNFSS), it has been proposed that this conglomerate of activities and socioeconomic actors be jointly identified as food systems. National food systems, which exist in each country, are interrelated through trade and other factors with regional food systems and finally with the global food system.\nThe concept of food systems has been adopted as a useful tool for understanding the multiple and complex interrelations between different production, distribution, and trade partners and for adjusting policy analysis and design to this complex world. The discussions and documentation prepared during the UNFSS process brought to public attention not only the utility and complexity of this concept but also some of the shortcomings of current food production practices. The summit also highlighted an urgent need to establish processes for identifying such shortcomings, their relative importance, and possible measures that would lead to the transformation of national food systems and the global food system.</w:t>
      </w:r>
    </w:p>
    <w:p>
      <w:pPr/>
      <w:r>
        <w:rPr>
          <w:b/>
        </w:rPr>
        <w:t>POSSIBLE 2023:</w:t>
      </w:r>
      <w:r>
        <w:t xml:space="preserve"> Portuguese Agrifood Sector Resilience: An Analysis Using Structural Breaks Applied to International Trade — https://doi.org/10.3390/agriculture13091699</w:t>
      </w:r>
    </w:p>
    <w:p>
      <w:pPr/>
      <w:r>
        <w:rPr>
          <w:b/>
        </w:rPr>
        <w:t>Shared claim-specific concepts:</w:t>
      </w:r>
      <w:r>
        <w:t xml:space="preserve"> trade, agrifood, different; EU scope visible. This is a provisional connection, not an outcome finding.</w:t>
      </w:r>
    </w:p>
    <w:p>
      <w:pPr>
        <w:pStyle w:val="SourceNote"/>
      </w:pPr>
      <w:r>
        <w:rPr>
          <w:b/>
        </w:rPr>
        <w:t>Available abstract (not full text):</w:t>
      </w:r>
      <w:r>
        <w:t xml:space="preserve"> In the last two decades, Portugal suffered the effects of two global crises, the financial crisis and the COVID-19 pandemic, as well as the Common Agriculture Policy reforms. These crises had a great impact on the Portuguese economy, but it is completely unclear how they affected the dynamics of the Portuguese agrifood sector. This study’s objective is to analyze the resilience of this sector to European and global socks, testing the effects on international trade. Secondary data from the Portuguese Statistics Institute were used for the exports and imports trade series of animal and vegetable products and food industries from 2000 to 2020. The methodology was based on the structural xtbreak model, stability analysis, and tests for structural breaks. Some volatility was observed in the trade series, particularly in imports, without consistency among years, trade sectors, or imports versus exports trade. In the case of exports, one or two structural breaks in the different sectors occurred in different years. The most relevant dynamics occurred after the sovereign debt crisis. It was concluded that CAP reforms and global crises seem to not have caused new relevant dynamics in the Portuguese international agrifood trade. This revealed the resilience of the sector to external shocks.</w:t>
      </w:r>
    </w:p>
    <w:p>
      <w:pPr/>
      <w:r>
        <w:rPr>
          <w:b/>
        </w:rPr>
        <w:t>POSSIBLE 2023:</w:t>
      </w:r>
      <w:r>
        <w:t xml:space="preserve"> Modeling Actions for Transforming Agrifood Systems — https://doi.org/10.1007/978-3-031-15703-5_7</w:t>
      </w:r>
    </w:p>
    <w:p>
      <w:pPr/>
      <w:r>
        <w:rPr>
          <w:b/>
        </w:rPr>
        <w:t>Shared claim-specific concepts:</w:t>
      </w:r>
      <w:r>
        <w:t xml:space="preserve"> agrifood, different; EU scope not established. This is a provisional connection, not an outcome finding.</w:t>
      </w:r>
    </w:p>
    <w:p>
      <w:pPr>
        <w:pStyle w:val="SourceNote"/>
      </w:pPr>
      <w:r>
        <w:rPr>
          <w:b/>
        </w:rPr>
        <w:t>Available abstract (not full text):</w:t>
      </w:r>
      <w:r>
        <w:t xml:space="preserve"> Abstract We modeled six interventions to study the scenarios’ impact on agrifood systems, undernutrition, access to healthy diets, and the environment. We also assessed the interventions as a group to consider the impact of synergies and complementarities. Our baseline showed that 690 million people were undernourished, and 3 billion people could not afford healthy diets in 2019. The first finding confirmed that ending chronic hunger at a 5% level by 2030 is possible, with key structural interventions to ramp up agrifood systems’ efficiency. Through increased farm productivity and reduction of food loss and waste, the number of chronically hungry people could be cut by 314 million. In addition, 568 million people would be able to afford healthy diets by 2030. The cost of ending hunger represents 8% of the size of global food markets, a sum that can be mobilized and invested to generate impact through food value chains, national economies, and social safety nets. Furthermore, the use of well-targeted social safety nets could provide an additional 2.4 billion people with access to healthy diets. The second critical finding was that various interventions could create synergies. This would become apparent through addressing different causes of hunger. Moreover, aiming to minimize the total cost of interventions and seeking, at the same time, the highest return interventions in term</w:t>
      </w:r>
    </w:p>
    <w:p>
      <w:pPr/>
      <w:r>
        <w:rPr>
          <w:b/>
        </w:rPr>
        <w:t>POSSIBLE 2023:</w:t>
      </w:r>
      <w:r>
        <w:t xml:space="preserve"> Trends Shaping the Future of Agrifood — https://doi.org/10.5772/intechopen.111608</w:t>
      </w:r>
    </w:p>
    <w:p>
      <w:pPr/>
      <w:r>
        <w:rPr>
          <w:b/>
        </w:rPr>
        <w:t>Shared claim-specific concepts:</w:t>
      </w:r>
      <w:r>
        <w:t xml:space="preserve"> agrifood, current; EU scope not established. This is a provisional connection, not an outcome finding.</w:t>
      </w:r>
    </w:p>
    <w:p>
      <w:pPr>
        <w:pStyle w:val="SourceNote"/>
      </w:pPr>
      <w:r>
        <w:rPr>
          <w:b/>
        </w:rPr>
        <w:t>Available abstract (not full text):</w:t>
      </w:r>
      <w:r>
        <w:t xml:space="preserve"> In agriculture innovation is the main driver of productivity growth. Innovative technologies and methods have to help increase firms’ productivity in a sustainable way. Technology diffusion is important as developing new technologies for sustainable production processes. Current innovations can lead to define the composition of foods with impoverishment or enrichment of nutritional and sensory characteristics. New technologies play a central role in adapting agricultural practices to environmental change. New agricultural practices help to preserve environmental integrity. Competition for an alternative use of natural resources is increasing and agricultural practices and technologies will have to adapt to climate change and more extreme weather-related conditions. This multifunctional approach needs to be directed towards increasing knowledge about the relationship between microstructure, process, product characteristics and technological innovation to protect the quality and origin of products. Innovations are not enough if they are not accompanied by a regulatory environment conducive to business development. Think first of all about the issues of security, rationalization of controls and the embargo of bureaucracy. But also, to the sustainability of food production and the need for common rules on supply conditions in crucial international commodity markets for the developm</w:t>
      </w:r>
    </w:p>
    <w:p>
      <w:pPr>
        <w:pStyle w:val="Heading2"/>
      </w:pPr>
      <w:r>
        <w:t>736. A forecast of international migration flows into EU countries until 2050</w:t>
      </w:r>
    </w:p>
    <w:p>
      <w:pPr>
        <w:pStyle w:val="SourceNote"/>
      </w:pPr>
      <w:r>
        <w:rPr>
          <w:b/>
        </w:rPr>
        <w:t>Original source (2018):</w:t>
      </w:r>
      <w:r>
        <w:t xml:space="preserve"> https://doi.org/10.14746/pp.2018.23.4.6</w:t>
      </w:r>
    </w:p>
    <w:p>
      <w:pPr/>
      <w:r>
        <w:t>Original wording (abstract; indexed_source_text_not_full_document_verified): The data used for the forecast is UN data on migration flows in 1990-2015, and the UN’s predictions regarding changes in population between now and 2050. The research objective is a quantitative estimation of the volume of international migration flows into European countries and their close neighbors until 2050.</w:t>
      </w:r>
    </w:p>
    <w:p>
      <w:pPr/>
      <w:r>
        <w:rPr>
          <w:b/>
        </w:rPr>
        <w:t>POSSIBLE 2026:</w:t>
      </w:r>
      <w:r>
        <w:t xml:space="preserve"> Data Sources for International Migration in Europe: Categories, Definitions and Policy Uses — https://openalex.org/W7123388283</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Estimating migration and mortality rates for European sea bass ( Dicentrarchus labrax ) using electronic tagging data — https://doi.org/10.1093/icesjms/fsag043</w:t>
      </w:r>
    </w:p>
    <w:p>
      <w:pPr/>
      <w:r>
        <w:rPr>
          <w:b/>
        </w:rPr>
        <w:t>Shared claim-specific concepts:</w:t>
      </w:r>
      <w:r>
        <w:t xml:space="preserve"> data, migration, population, between, international; EU scope visible. This is a provisional connection, not an outcome finding.</w:t>
      </w:r>
    </w:p>
    <w:p>
      <w:pPr>
        <w:pStyle w:val="SourceNote"/>
      </w:pPr>
      <w:r>
        <w:rPr>
          <w:b/>
        </w:rPr>
        <w:t>Available abstract (not full text):</w:t>
      </w:r>
      <w:r>
        <w:t xml:space="preserve"> Abstract As animal movement and migration shape the internal dynamics and structure of populations, quantifying connectivity within populations is crucial for sustainable exploitation and conservation of wild species. New knowledge on individual movements and migrations of the European sea bass recently challenged the current view of the stock delineation. There was a need to extend these results from the individual to population scale by developing a spatially structured population dynamics model of tagged fish to estimate migration rates and mortality. A series of multistate spatial mark-recapture models, discrete in space and time and based on two alternative spatial structures have been developed and compared to analyse reconstructed individual trajectories of European sea bass tagged, from 2010 to 2022, with Data Storage Tags along the coast of France, Belgium, and the UK. The analysis of 328 tagged fish recoveries made from 2010 to 2022 allows the quantification, at population scale and in an integrated tagged-based model of both seasonal movement rates and fishing mortality rates for two of the current stock assessment and fishery regulatory areas: the northern stock area from the Irish Sea, Celtic Sea, English Channel, and southern North Sea (ICES divisions IVb–c and VIIa, d–h) and the Bay of Biscay (or southern) stock area (ICES divisions VIIIa–b). Significant movement</w:t>
      </w:r>
    </w:p>
    <w:p>
      <w:pPr/>
      <w:r>
        <w:rPr>
          <w:b/>
        </w:rPr>
        <w:t>POSSIBLE 2026:</w:t>
      </w:r>
      <w:r>
        <w:t xml:space="preserve"> The Biometric_On: On the (Dual) Use of Biometric Data in Migration and Asylum — https://doi.org/10.4324/9781003748557-17</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The European Union has recently reached an agreement on the so called New European Asylum and Migration Pact. Thanks to a new set of common measures Member states will be able to reach relevant reforms in the field of international protection and migration. Such a result will be possible also through the collection of (new) sets of biometric data. This “agreement”, as well as its framework, does not seem to be entirely new in the EU, especially if we look at the previous Pact adopted by Member States confronting the “Refugee crisis”, back in 2015, when more than a 1,000,000 of migrants, refugees, and asylum seekers crossed the European blue and green borders to claim for international protection. Looking at the consolidated texts of the new European Laws, the enforcement of Eurodac II will include not only a fingerprinting database but a new biometrical data system to identify, track, evaluate, repatriate (irregular) migrants as well as to investigate and prosecute terrorists and and/or criminal offenders. A few times after NIS II directive stressed out the attention to the rights of individuals as a primary consideration need, also looking at the use and liability of IoT technologies and challenges, recent declarations of European Data Protection Supervisor outlined concerns on the matter: legal risks in the guarantees foreseen by Article 9 of the GDPR for Europol operations t</w:t>
      </w:r>
    </w:p>
    <w:p>
      <w:pPr/>
      <w:r>
        <w:rPr>
          <w:b/>
        </w:rPr>
        <w:t>POSSIBLE 2026:</w:t>
      </w:r>
      <w:r>
        <w:t xml:space="preserve"> Spatiotemporal variability and uncertainty in wood decay estimates across Europe and Scandinavia using a data-driven moisture content model with multi-scale weather datasets — https://doi.org/10.1016/j.rineng.2026.108983</w:t>
      </w:r>
    </w:p>
    <w:p>
      <w:pPr/>
      <w:r>
        <w:rPr>
          <w:b/>
        </w:rPr>
        <w:t>Shared claim-specific concepts:</w:t>
      </w:r>
      <w:r>
        <w:t xml:space="preserve"> data, used, predictions, regarding; EU scope visible. This is a provisional connection, not an outcome finding.</w:t>
      </w:r>
    </w:p>
    <w:p>
      <w:pPr>
        <w:pStyle w:val="SourceNote"/>
      </w:pPr>
      <w:r>
        <w:rPr>
          <w:b/>
        </w:rPr>
        <w:t>Available abstract (not full text):</w:t>
      </w:r>
      <w:r>
        <w:t xml:space="preserve"> • Reanalysis data driven moisture content model enabled high-resolution wood decay analyses • Point to grid comparing of decay indicated biases variable by micro to macro climate conditions • High-resolution decay hazard maps reveal significant spatiotemporal variability • Vertical boards show higher spatial uncertainty due to wind-driven rain exposure • Uncertainty mapping enables uncertainty propagation for service life assessment The use of remote sensing and reanalysis weather data has not been adequately acknowledged for large-scale built environment applications, primarily regarding engineering analyses that traditionally rely on computationally expensive numerical models. This study employs a parsimonious data-driven approach concerning service life assessment of rain-exposed wooden components, enabling mapping and assessment of related risks across Europe and Scandinavia from gridded data. Wood moisture content is the primary vector for fungal decay and accurate modeling is essential for the design of wooden commodities. Numerical models of moisture flow within woody material provide accuracy but are impractically slow for large-scale applications. We explore high-resolution decay risk assessments using a neural network (NN) trained on existing numerical predictions of moisture content. Specifically, the model used time-lagged gridded weather data as inputs to calculate</w:t>
      </w:r>
    </w:p>
    <w:p>
      <w:pPr/>
      <w:r>
        <w:rPr>
          <w:b/>
        </w:rPr>
        <w:t>POSSIBLE 2026:</w:t>
      </w:r>
      <w:r>
        <w:t xml:space="preserve"> Replication data for "A golden rule for migration? Demographic adjustment and public debt sustainability in the European Union" — https://doi.org/10.5281/zenodo.21946815</w:t>
      </w:r>
    </w:p>
    <w:p>
      <w:pPr/>
      <w:r>
        <w:rPr>
          <w:b/>
        </w:rPr>
        <w:t>Shared claim-specific concepts:</w:t>
      </w:r>
      <w:r>
        <w:t xml:space="preserve"> data, used, migration; EU scope visible. This is a provisional connection, not an outcome finding.</w:t>
      </w:r>
    </w:p>
    <w:p>
      <w:pPr>
        <w:pStyle w:val="SourceNote"/>
      </w:pPr>
      <w:r>
        <w:rPr>
          <w:b/>
        </w:rPr>
        <w:t>Available abstract (not full text):</w:t>
      </w:r>
      <w:r>
        <w:t xml:space="preserve"> This repository contains the processed replication data underlying the empirical application in “A golden rule for migration? Demographic adjustment and public debt sustainability in the European Union”. The dataset covers 26 EU Member States over 2026-2035 and includes the baseline inputs and country-year outputs used in the two counterfactual scenarios analysed in the paper. It also contains the Eurostat demographic data underlying Figures 1 and 2. The underlying data are drawn from the European Commission’s AMECO Autumn 2025 Forecast, the Debt Sustainability Monitor 2025, and Eurostat (demo_gind). The workbook includes a README, parameter settings, a country-year panel, country-level summary results, a data dictionary, and the demographic data used in the descriptive analysis. Potential-output growth is provided as the processed input used in the empirical application.</w:t>
      </w:r>
    </w:p>
    <w:p>
      <w:pPr/>
      <w:r>
        <w:rPr>
          <w:b/>
        </w:rPr>
        <w:t>POSSIBLE 2025:</w:t>
      </w:r>
      <w:r>
        <w:t xml:space="preserve"> Mixed-frequency VAR: a new approach to forecasting migration in Europe using macroeconomic data — https://doi.org/10.1017/dap.2024.82</w:t>
      </w:r>
    </w:p>
    <w:p>
      <w:pPr/>
      <w:r>
        <w:rPr>
          <w:b/>
        </w:rPr>
        <w:t>Shared claim-specific concepts:</w:t>
      </w:r>
      <w:r>
        <w:t xml:space="preserve"> data, used, migration, international, countries; EU scope visible. This is a provisional connection, not an outcome finding.</w:t>
      </w:r>
    </w:p>
    <w:p>
      <w:pPr>
        <w:pStyle w:val="SourceNote"/>
      </w:pPr>
      <w:r>
        <w:rPr>
          <w:b/>
        </w:rPr>
        <w:t>Available abstract (not full text):</w:t>
      </w:r>
      <w:r>
        <w:t xml:space="preserve"> Abstract Forecasting international migration is a challenge that, despite its political and policy salience, has seen a limited success so far. In this proof-of-concept paper, we employ a range of macroeconomic data to represent different drivers of migration. We also take into account the relatively consistent set of migration policies within the European Common Market, with its constituent freedom of movement of labour. Using panel vector autoregressive (VAR) models for mixed-frequency data, we forecast migration in the short- and long-term horizons for 26 of the 32 countries within the Common Market. We demonstrate how the methodology can be used to assess the possible responses of other macroeconomic variables to unforeseen migration events—and vice versa. Our results indicate reasonable in-sample performance of migration forecasts, especially in the short term, although with varying levels of accuracy. They also underline the need for taking country-specific factors into account when constructing forecasting models, with different variables being important across the regions of Europe. For the longer term, the proposed methods, despite high prediction errors, can still be useful as tools for setting coherent migration scenarios and analysing responses to exogenous shocks.</w:t>
      </w:r>
    </w:p>
    <w:p>
      <w:pPr/>
      <w:r>
        <w:rPr>
          <w:b/>
        </w:rPr>
        <w:t>POSSIBLE 2025:</w:t>
      </w:r>
      <w:r>
        <w:t xml:space="preserve"> Amphibious Detention New Bordering Ethnography of Safe Countries of Origin and the Use of Digital Data and Devices in the Governance of Migration in Europe — https://openalex.org/W7111442958</w:t>
      </w:r>
    </w:p>
    <w:p>
      <w:pPr/>
      <w:r>
        <w:rPr>
          <w:b/>
        </w:rPr>
        <w:t>Shared claim-specific concepts:</w:t>
      </w:r>
      <w:r>
        <w:t xml:space="preserve"> data, migration, countries;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Data Sources For International Migration in Europe — https://doi.org/10.4324/9781003395485-45</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This chapter critically examines the landscape of international migration data sources in Europe, focusing on categories, definitions and policy uses. Despite Europe&amp;s;s reputation for advanced migration data governance, persistent challenges undermine data quality, comparability and coverage, particularly in Southern and Eastern Europe. The chapter analyses how inconsistent definitions, divergent measurement practices and varying institutional capacities complicate efforts to produce harmonised, reliable migration statistics. Special attention is given to the conceptual and definitional difficulties in measuring both regular and irregular migration, highlighting how these limitations impede both scholarly research and evidence-based policymaking. The chapter also explores the potential of big data as complementary sources for migration statistics, while acknowledging significant legal, ethical and technical barriers to their broader adoption. Through a critical lens, the chapter questions narratives of European exceptionalism, arguing that while Europe leads in certain aspects of data harmonisation, many of its challenges mirror global trends. Drawing on recent research and institutional insights, the chapter offers recommendations for addressing enduring data gaps and promoting more coherent, comprehensive migration data systems. It concludes by emphasising the essential role</w:t>
      </w:r>
    </w:p>
    <w:p>
      <w:pPr/>
      <w:r>
        <w:rPr>
          <w:b/>
        </w:rPr>
        <w:t>POSSIBLE 2025:</w:t>
      </w:r>
      <w:r>
        <w:t xml:space="preserve"> THE EFFECTS OF MIGRATION ON FAMILY DYNAMICS: A CASE STUDY OF IMMIGRANT FAMILIES IN EUROPE — https://openalex.org/W7220292679</w:t>
      </w:r>
    </w:p>
    <w:p>
      <w:pPr/>
      <w:r>
        <w:rPr>
          <w:b/>
        </w:rPr>
        <w:t>Shared claim-specific concepts:</w:t>
      </w:r>
      <w:r>
        <w:t xml:space="preserve"> data, migration, international; EU scope visible. This is a provisional connection, not an outcome finding.</w:t>
      </w:r>
    </w:p>
    <w:p>
      <w:pPr>
        <w:pStyle w:val="SourceNote"/>
      </w:pPr>
      <w:r>
        <w:rPr>
          <w:b/>
        </w:rPr>
        <w:t>Available abstract (not full text):</w:t>
      </w:r>
      <w:r>
        <w:t xml:space="preserve"> This paper examines the impact of migration on family structures and intergenerational relationships among immigrant populations in Europe, with a focus on how family policies and socio-cultural contexts shape these dynamics. Using data from longitudinal surveys and international datasets, the study investigates how migration influences fertility patterns, work-family balance, and the living arrangements of immigrant families. The research reveals that while host-country policies can facilitate the integration of immigrant families, they often present challenges, particularly for women, due to gendered policies and cultural barriers. The study underscores the importance of adapting family policies to the diverse needs of immigrant populations, promoting a more inclusive approach to integration that takes into account the intersection of migration, gender, and cultural norms.</w:t>
      </w:r>
    </w:p>
    <w:p>
      <w:pPr/>
      <w:r>
        <w:rPr>
          <w:b/>
        </w:rPr>
        <w:t>POSSIBLE 2025:</w:t>
      </w:r>
      <w:r>
        <w:t xml:space="preserve"> #3416 Development and validation of a prediction model for progression of CKD in European children — https://doi.org/10.1093/ndt/gfaf116.0556</w:t>
      </w:r>
    </w:p>
    <w:p>
      <w:pPr/>
      <w:r>
        <w:rPr>
          <w:b/>
        </w:rPr>
        <w:t>Shared claim-specific concepts:</w:t>
      </w:r>
      <w:r>
        <w:t xml:space="preserve"> data, used, regarding, objective; EU scope visible. This is a provisional connection, not an outcome finding.</w:t>
      </w:r>
    </w:p>
    <w:p>
      <w:pPr>
        <w:pStyle w:val="SourceNote"/>
      </w:pPr>
      <w:r>
        <w:rPr>
          <w:b/>
        </w:rPr>
        <w:t>Available abstract (not full text):</w:t>
      </w:r>
      <w:r>
        <w:t xml:space="preserve"> Abstract Background and Aims Families and children with chronic kidney disease (CKD) often request prognostic information regarding their child's condition in order to understand its implications and plan for the future. However, prediction of when a child will progress to kidney failure and need kidney replacement therapy (KRT) remains challenging, which complicates planning for dialysis access and transplant. The Kidney Failure Risk Equation (KFRE) has been shown to accurately discriminate risk of progression to kidney failure in children with mild to moderate CKD in the US but has some pitfalls. Our objective was to develop and validate a new easy-to-operate prediction model for progression of CKD in European children. Method We used data from the Cardiovascular Comorbidity in Children with CKD (4C) study for model development and from the ESCAPE trial for model validation. A new model (called « 4C equation ») was developed based on clinically relevant variables and variable selection using Random Survival Forest. The primary predictor was the new model which provides estimates of the risk of KRT over a 1-, 2-, 3-, and 4-year horizon. The model is a super landmark Cox model including 8 variables accounting for the last available value of all predictors at each landmark time (0,1,2,3,4 years). Comparisons were made with the KFRE. AUCs were used to compare discrimination of th</w:t>
      </w:r>
    </w:p>
    <w:p>
      <w:pPr/>
      <w:r>
        <w:rPr>
          <w:b/>
        </w:rPr>
        <w:t>POSSIBLE 2025:</w:t>
      </w:r>
      <w:r>
        <w:t xml:space="preserve"> MIGRATION AS A CATALYST FOR ECONOMIC GROWTH: A PANEL DATA ANALYSIS OF EASTERN EUROPEAN ECONOMIES (2014-2023) — https://doi.org/10.55654/jfs.2025.10.19.11</w:t>
      </w:r>
    </w:p>
    <w:p>
      <w:pPr/>
      <w:r>
        <w:rPr>
          <w:b/>
        </w:rPr>
        <w:t>Shared claim-specific concepts:</w:t>
      </w:r>
      <w:r>
        <w:t xml:space="preserve"> data, migration, flows, regarding, population, between; EU scope visible. This is a provisional connection, not an outcome finding.</w:t>
      </w:r>
    </w:p>
    <w:p>
      <w:pPr>
        <w:pStyle w:val="SourceNote"/>
      </w:pPr>
      <w:r>
        <w:rPr>
          <w:b/>
        </w:rPr>
        <w:t>Available abstract (not full text):</w:t>
      </w:r>
      <w:r>
        <w:t xml:space="preserve"> Migration has become one of the defining forces shaping the economic and social landscape of Europe. While much of the literature has concentrated on Western countries as primary destinations, the role of Central and Eastern Europe as both sending and increasingly receiving regions remains underexplored. This study investigates the impact of migration on economic development in four Eastern European countries—Romania, Bulgaria, Poland, and Hungary—over the period 2014–2023. Using panel data analysis, the research examines the relationship between net migration flows, GDP per capita, unemployment, employment rates, and population dynamics. The results indicate that migration plays a significant role in shaping labour market conditions and contributes to economic growth, particularly through its strong correlation with GDP per capita and employment rates. By applying a fixed-effects panel regression model, the study provides robust evidence on the bidirectional link between migration and economic performance. The findings highlight the structural transformations of these economies and underline the importance of migration in addressing demographic decline and labour shortages. This research contributes to the academic debate by offering updated empirical evidence and by filling the gap in the literature regarding the Eastern European migration-growth nexus.</w:t>
      </w:r>
    </w:p>
    <w:p>
      <w:pPr/>
      <w:r>
        <w:rPr>
          <w:b/>
        </w:rPr>
        <w:t>POSSIBLE 2024:</w:t>
      </w:r>
      <w:r>
        <w:t xml:space="preserve"> Elucidating the migrations of European seabass from the southern north sea using mark-recapture data, acoustic telemetry and data storage tags — https://doi.org/10.1038/s41598-024-63347-7</w:t>
      </w:r>
    </w:p>
    <w:p>
      <w:pPr/>
      <w:r>
        <w:rPr>
          <w:b/>
        </w:rPr>
        <w:t>Shared claim-specific concepts:</w:t>
      </w:r>
      <w:r>
        <w:t xml:space="preserve"> data, migration, population, countries; EU scope visible. This is a provisional connection, not an outcome finding.</w:t>
      </w:r>
    </w:p>
    <w:p>
      <w:pPr>
        <w:pStyle w:val="SourceNote"/>
      </w:pPr>
      <w:r>
        <w:rPr>
          <w:b/>
        </w:rPr>
        <w:t>Available abstract (not full text):</w:t>
      </w:r>
      <w:r>
        <w:t xml:space="preserve"> The movement ecology of European seabass, Dicentrarchus labrax, remains poorly understood, especially in the northern ranges of its distribution. To investigate migration patterns of seabass from the southern North Sea, we combined data from different projects from four countries using various tagging techniques. This resulted in 146 recaptures (out of 5598 externally marked seabass), 138 detected animals (out of 162 seabass fitted with an acoustic transmitter) and 76 archived depth and temperature series (out of 323 seabass with an archival tag). Using geolocation modelling, we distinguished different migration strategies, whereby individual fish migrated to the eastern English Channel (15.1%), the western English Channel (28.3%), the Celtic Sea and the norther part of the Bay of Biscay (17.0%), or stayed in the North Sea (39.6%). A high number of seabass exhibited fidelity to the North Sea (90.5% of recaptures, 55.3% for acoustic transmitters and 44.7% of archival tags). Although seabass are generally considered to migrate southwards in winter, a large number of individuals (n = 62) were observed in the southern North Sea, where spawning might potentially occur in a particular deep location along the coast of Norfolk in the UK. Our results highlight the need to consider fine-scaled population structuring in fisheries assessment, and indicate that current seasonal fisheries cl</w:t>
      </w:r>
    </w:p>
    <w:p>
      <w:pPr>
        <w:pStyle w:val="Heading2"/>
      </w:pPr>
      <w:r>
        <w:t>737. A threat to climate-secure European futures? Exploring racial logics and climate-induced migration in US and EU climate security discourses</w:t>
      </w:r>
    </w:p>
    <w:p>
      <w:pPr>
        <w:pStyle w:val="SourceNote"/>
      </w:pPr>
      <w:r>
        <w:rPr>
          <w:b/>
        </w:rPr>
        <w:t>Original source (2018):</w:t>
      </w:r>
      <w:r>
        <w:t xml:space="preserve"> https://doi.org/10.1016/j.geoforum.2018.08.021</w:t>
      </w:r>
    </w:p>
    <w:p>
      <w:pPr/>
      <w:r>
        <w:t>Original wording (abstract; indexed_source_text_not_full_document_verified): The paper proposes a reconceptualization of ‘racial logics’: a form of discursive construction that connects naturalized assumptions about racialized Others with possible outcomes in conditions of future climate insecurity. Constructed as racialized Others, ‘Muslim’ and ‘African’ migrant populations could face exclusionary containment policies in climate-insecure futures.</w:t>
      </w:r>
    </w:p>
    <w:p>
      <w:pPr/>
      <w:r>
        <w:rPr>
          <w:b/>
        </w:rPr>
        <w:t>POSSIBLE 2026:</w:t>
      </w:r>
      <w:r>
        <w:t xml:space="preserve"> Discursive borders in EUrope — https://doi.org/10.82444/warw.33764785</w:t>
      </w:r>
    </w:p>
    <w:p>
      <w:pPr/>
      <w:r>
        <w:rPr>
          <w:b/>
        </w:rPr>
        <w:t>Shared claim-specific concepts:</w:t>
      </w:r>
      <w:r>
        <w:t xml:space="preserve"> discursive, construction, migrant; EU scope visible. This is a provisional connection, not an outcome finding.</w:t>
      </w:r>
    </w:p>
    <w:p>
      <w:pPr>
        <w:pStyle w:val="SourceNote"/>
      </w:pPr>
      <w:r>
        <w:rPr>
          <w:b/>
        </w:rPr>
        <w:t>Available abstract (not full text):</w:t>
      </w:r>
      <w:r>
        <w:t xml:space="preserve"> This PhD thesis develops a critical account of discursive practices of bordering in the EUropean migration regime. By articulating recent advances from the fields of Critical Migration and Border Studies and Discourse Studies, it develops a theoretical and methodological framework that enables grasping discursive borders in their heterogeneity. On a broader level, it is interested in re-approaching post-structuralist and materialist strands of theory and analysis by going back to their beginnings in structural Marxism and psychoanalysis. EUrope’s discursive borders are scrutinised through the lens of different contexts that allow emphasising the entangled nature of policy, academic, and activist discourse. First, the present research scrutinises a set of practices of discursive bordering with a relatively high stability over time. Adopting a post-colonial, macro-historical perspective, it shows how EUrope’s colonial history infuses the conceptual apparatus of the EU’s contemporary migration policy. This serves as a foundation for the following chapters, that examine practices of discursive bordering from a micro-enunciative and a situated perspective. While the second analysis focuses on the construction and supraversion of the labour / refugee divide in German discourses on EUropean migration, the third shows how discursive borders are turned into a political stake in a migran</w:t>
      </w:r>
    </w:p>
    <w:p>
      <w:pPr/>
      <w:r>
        <w:rPr>
          <w:b/>
        </w:rPr>
        <w:t>POSSIBLE 2025:</w:t>
      </w:r>
      <w:r>
        <w:t xml:space="preserve"> Reconceptualizing Divine Omnipotence: A Decolonial Interpretation of Process Theology — https://doi.org/10.46569/f4752s50f</w:t>
      </w:r>
    </w:p>
    <w:p>
      <w:pPr/>
      <w:r>
        <w:rPr>
          <w:b/>
        </w:rPr>
        <w:t>Shared claim-specific concepts:</w:t>
      </w:r>
      <w:r>
        <w:t xml:space="preserve"> reconceptualization, form, about; EU scope not established. This is a provisional connection, not an outcome finding.</w:t>
      </w:r>
    </w:p>
    <w:p>
      <w:pPr>
        <w:pStyle w:val="SourceNote"/>
      </w:pPr>
      <w:r>
        <w:rPr>
          <w:b/>
        </w:rPr>
        <w:t>Available abstract (not full text):</w:t>
      </w:r>
      <w:r>
        <w:t xml:space="preserve"> This thesis offers a decolonial interpretation of divine omnipotence based on AnibalQuijano's work on the coloniality of power.I intend to bridge the potential gaps between sociopolitical philosophy, the philosophy of religion, and decolonial theory, by drawing parallels between how we conceptualize the characteristics of God and the features of coloniality.I begin the paper by outlining Quijano's framework on the coloniality of power, the colonial matrix of power, and his decoloniality of power.I continue by problematizing the classical theistic conception of God and divine omnipotence as perpetuating colonial standards.Then, I encourage the need for a decolonial reconceptualization of divine omnipotence using historical examples of colonization and Christianization.The second half of the paper focuses on a direct application of Quijano's decolonial approach using process theology.I start with a summary of process metaphysics to describe God's relation to the world and follow with an explanation of the process theological conception of God and divine omnipotence.This section ends with an in-depth argument about how the conception of divine omnipotence within process theology can be interpreted as a decolonial reconceptualization.The paper concludes by reiterating the significance of this interpretation in the development of a decoloniality of power and broader form of decoloni</w:t>
      </w:r>
    </w:p>
    <w:p>
      <w:pPr/>
      <w:r>
        <w:rPr>
          <w:b/>
        </w:rPr>
        <w:t>POSSIBLE 2024:</w:t>
      </w:r>
      <w:r>
        <w:t xml:space="preserve"> Reconceptualizing Interregionalism through Asia-Europe Meeting (ASEM): A Corpus-Assisted Critical Discourse Analysis — https://openalex.org/W4414920263</w:t>
      </w:r>
    </w:p>
    <w:p>
      <w:pPr/>
      <w:r>
        <w:rPr>
          <w:b/>
        </w:rPr>
        <w:t>Shared claim-specific concepts:</w:t>
      </w:r>
      <w:r>
        <w:t xml:space="preserve"> proposes, discursive, possible, outcomes; EU scope visible. This is a provisional connection, not an outcome finding.</w:t>
      </w:r>
    </w:p>
    <w:p>
      <w:pPr>
        <w:pStyle w:val="SourceNote"/>
      </w:pPr>
      <w:r>
        <w:rPr>
          <w:b/>
        </w:rPr>
        <w:t>Available abstract (not full text):</w:t>
      </w:r>
      <w:r>
        <w:t xml:space="preserve"> Asia-Europe Meeting (ASEM) was formed three decades ago to intensify European and Asian relations. Today, it constitutes the widest interregional dialogue mechanism covering 53 countries from Europe to Asia, and it is a special case for regionalism studies. The literature on ASEM discusses its scope, structure, means of cooperation, and possible future scenarios. Yet, the current studies lack an empirical data-based analysis of which themes shape cooperation processes, how regional and international issues reflect upon ASEM, and the extent of change in cooperation themes. In that regard, this study aims to examine ASEM to answer these questions. By using Corpus-Assisted Critical Discourse Analysis (CACDA), this research analyzes the chair’s statements from ASEM Summits between 1996 and 2021 to identify discursive themes, their chronological shifts, and their alignment with ASEM’s three pillars: political, economic, and socio-cultural. The research findings reveal that ASEM functions as an intergovernmental forum facilitating interregional dialogue on shared regional and global issues despite criticisms of lacking enforceable outcomes. The study underlines ASEM’s role in fostering dialogue between Asia and Europe and proposes reconceptualizing interregionalism as an integral component of multilateral governance.</w:t>
      </w:r>
    </w:p>
    <w:p>
      <w:pPr/>
      <w:r>
        <w:rPr>
          <w:b/>
        </w:rPr>
        <w:t>POSSIBLE 2024:</w:t>
      </w:r>
      <w:r>
        <w:t xml:space="preserve"> Dominance, Survivance, and Resistance: Reconceptualizing Childhoods Through Literature — https://openalex.org/W7133010228</w:t>
      </w:r>
    </w:p>
    <w:p>
      <w:pPr/>
      <w:r>
        <w:rPr>
          <w:b/>
        </w:rPr>
        <w:t>Shared claim-specific concepts:</w:t>
      </w:r>
      <w:r>
        <w:t xml:space="preserve"> racial, discursive, construction, about, others; EU scope not established. This is a provisional connection, not an outcome finding.</w:t>
      </w:r>
    </w:p>
    <w:p>
      <w:pPr>
        <w:pStyle w:val="SourceNote"/>
      </w:pPr>
      <w:r>
        <w:rPr>
          <w:b/>
        </w:rPr>
        <w:t>Available abstract (not full text):</w:t>
      </w:r>
      <w:r>
        <w:t xml:space="preserve"> Childhood is a social construction and discursive site of contestation that extends beyond the dominant paradigm of developmental psychology. These constructions of childhood are predominantly projects undertaken by adults through research, educational practice, and artistic endeavors such as the writing of literature. While the field of childhood studies claims to be inter- and multidisciplinary, it continues to be dominated by sociological approaches and is evasive of colonial and racial analytic tools to attend to the histories of Black, Brown, and Indigenous children and childhoods. Beginning from my own history of childhood trauma in the process of dislocation from the postcolonial Caribbean to the settler colonial Canadian nation-state, I turn to literary children who endure the colonial violence of rape to understand ongoing settler colonialism. Drawing on the work of Edward Said and Erica Burman, I construct a contrapuntal child-as-method to trace the figure and rhetorical function of the child across the literatures of dominance, survivance, and resistance. First, I read the state-sanctioned Survivors Speak report of the Truth and Reconciliation Commission of Canada which I understand as a site of Indigenous and settler trauma. Drawing on Cathy Caruth’s literary trauma theory, I argue that the report is a site where settlers reconcile their own lost imperial childhood </w:t>
      </w:r>
    </w:p>
    <w:p>
      <w:pPr/>
      <w:r>
        <w:rPr>
          <w:b/>
        </w:rPr>
        <w:t>POSSIBLE 2023:</w:t>
      </w:r>
      <w:r>
        <w:t xml:space="preserve"> Reconceptualizing Violence in International and Comparative Education: Revisiting Galtung’s Framework — https://doi.org/10.1086/726372</w:t>
      </w:r>
    </w:p>
    <w:p>
      <w:pPr/>
      <w:r>
        <w:rPr>
          <w:b/>
        </w:rPr>
        <w:t>Shared claim-specific concepts:</w:t>
      </w:r>
      <w:r>
        <w:t xml:space="preserve"> proposes, form, about; EU scope not established. This is a provisional connection, not an outcome finding.</w:t>
      </w:r>
    </w:p>
    <w:p>
      <w:pPr>
        <w:pStyle w:val="SourceNote"/>
      </w:pPr>
      <w:r>
        <w:rPr>
          <w:b/>
        </w:rPr>
        <w:t>Available abstract (not full text):</w:t>
      </w:r>
      <w:r>
        <w:t xml:space="preserve"> Outside of a specialist literature, the study of violence occupies a marginal position within comparative and international education scholarship. A key contributing factor is the absence of a holistic conceptual framework that can capture the nature, extent and causes of violence in education. The article proposes such a framework, by updating Johan Galtung’s model of direct, structural and cultural violence and putting it into dialogue with more recent theoretical work from the social sciences and humanities. This dialogue affirms the importance of each form of violence and the interconnections between them but proposes a deeper appreciation of the depth ontology of violence and a reappraisal of Galtung’s ideas about the visibility and invisibilization of violence. The article explores the utility of the framework by using it to explore the so-called learning crisis, which it argues may be more accurately considered a crisis of violence.</w:t>
      </w:r>
    </w:p>
    <w:p>
      <w:pPr/>
      <w:r>
        <w:rPr>
          <w:b/>
        </w:rPr>
        <w:t>POSSIBLE 2023:</w:t>
      </w:r>
      <w:r>
        <w:t xml:space="preserve"> TOWARD A RECONCEPTUALIZATION OF GENTRIFICATION: ASSESSING NEIGHBORHOOD VARIATION BY SOCIOECONOMIC AND ECONOMIC PROCESSES — https://doi.org/10.33915/etd.12101</w:t>
      </w:r>
    </w:p>
    <w:p>
      <w:pPr/>
      <w:r>
        <w:rPr>
          <w:b/>
        </w:rPr>
        <w:t>Shared claim-specific concepts:</w:t>
      </w:r>
      <w:r>
        <w:t xml:space="preserve"> reconceptualization, form, about, racialized; EU scope not established. This is a provisional connection, not an outcome finding.</w:t>
      </w:r>
    </w:p>
    <w:p>
      <w:pPr>
        <w:pStyle w:val="SourceNote"/>
      </w:pPr>
      <w:r>
        <w:rPr>
          <w:b/>
        </w:rPr>
        <w:t>Available abstract (not full text):</w:t>
      </w:r>
      <w:r>
        <w:t xml:space="preserve"> The core conceptualization of gentrification is social class ascension. Researchers and the public have often disagreed about how, when, where, and why gentrification occurs. When there is agreement, researchers often add specifications, such as displacement, that further confuse the concept. Reasons for the confusion include non-integrating theoretical dimensions, methods that assume independent effects, and the context of place. The objective of this study is to conceptualize gentrification in a case study city using two key dimensions, socioeconomic and economic processes, in a spatial context. Using principal component analysis to identify the latent constructs that account for change in Pittsburgh, PA, the history of a racialized industrial economy affected the indicator variables associated with social class change. In Pittsburgh, the population is not ascending from working class to middle class, but the middle class is changing in form from physical to intellectual labor. However, localized patterns of change reflect social and racialized agency to transition into a different form of the middle class. Scholars, journalists, and residents identify Pittsburgh as a gentrifying city, but the classic conceptualization of gentrification does not apply. The implications of this study recommend a deeper analysis of the type of social class ascension that occurs in cities. The h</w:t>
      </w:r>
    </w:p>
    <w:p>
      <w:pPr/>
      <w:r>
        <w:rPr>
          <w:b/>
        </w:rPr>
        <w:t>POSSIBLE 2022:</w:t>
      </w:r>
      <w:r>
        <w:t xml:space="preserve"> The right to a healthy environment: Reconceptualizing human rights in the face of climate change — https://doi.org/10.1111/reel.12430</w:t>
      </w:r>
    </w:p>
    <w:p>
      <w:pPr/>
      <w:r>
        <w:rPr>
          <w:b/>
        </w:rPr>
        <w:t>Shared claim-specific concepts:</w:t>
      </w:r>
      <w:r>
        <w:t xml:space="preserve"> reconceptualization, climate, face; EU scope not established. This is a provisional connection, not an outcome finding.</w:t>
      </w:r>
    </w:p>
    <w:p>
      <w:pPr>
        <w:pStyle w:val="SourceNote"/>
      </w:pPr>
      <w:r>
        <w:rPr>
          <w:b/>
        </w:rPr>
        <w:t>Available abstract (not full text):</w:t>
      </w:r>
      <w:r>
        <w:t xml:space="preserve"> Abstract There is hardly any doubt that climate change threatens the enjoyment of a wide range of human rights. Yet, in the absence of a distinct right to a healthy environment, a victim of climate change impacts would have to rely on existing rights to bring a claim. However, not only are these avenues not always successful or even sufficient to effectively and adequately compensate the victims, but they appear especially problematic in the context of climate change. This article explores the implications of the recognition of a stand‐alone substantive right to a healthy environment in the context of climate change. In doing so, it argues that such a recognition could trigger a paradigm shift that would facilitate the reconceptualization of human rights law to better adapt to the negative impacts of climate change, in particular by incorporating key environmental law principles in the human rights system.</w:t>
      </w:r>
    </w:p>
    <w:p>
      <w:pPr/>
      <w:r>
        <w:rPr>
          <w:b/>
        </w:rPr>
        <w:t>POSSIBLE 2022:</w:t>
      </w:r>
      <w:r>
        <w:t xml:space="preserve"> Reconceptualization of Inclusion through Anti-Bias Curriculum — https://doi.org/10.18357/jcs202220271</w:t>
      </w:r>
    </w:p>
    <w:p>
      <w:pPr/>
      <w:r>
        <w:rPr>
          <w:b/>
        </w:rPr>
        <w:t>Shared claim-specific concepts:</w:t>
      </w:r>
      <w:r>
        <w:t xml:space="preserve"> reconceptualization, discursive, construction; EU scope not established. This is a provisional connection, not an outcome finding.</w:t>
      </w:r>
    </w:p>
    <w:p>
      <w:pPr>
        <w:pStyle w:val="SourceNote"/>
      </w:pPr>
      <w:r>
        <w:rPr>
          <w:b/>
        </w:rPr>
        <w:t>Available abstract (not full text):</w:t>
      </w:r>
      <w:r>
        <w:t xml:space="preserve"> Tensions can arise when biased thoughts and practices are uncovered through discursive events in early years classrooms. This paper challenges the common practice of disregarding childhood curiosities in an attempt to ease tension and remove the risk of discomfort for some adults in caregiving and educating roles. Through a conceptual shift from a futurity of inclusion to an urgent call to action that problematizes the exclusion of nonhuman subjects within the curriculum, the construction and implementation of anti-bias curriculum is offered as a vehicle to the realization of holistically inclusive early learning spaces.</w:t>
      </w:r>
    </w:p>
    <w:p>
      <w:pPr/>
      <w:r>
        <w:rPr>
          <w:b/>
        </w:rPr>
        <w:t>POSSIBLE 2021:</w:t>
      </w:r>
      <w:r>
        <w:t xml:space="preserve"> Reconceptualizing STEM Education in China as Praxis: A Curriculum Turn — https://doi.org/10.3390/su13094961</w:t>
      </w:r>
    </w:p>
    <w:p>
      <w:pPr/>
      <w:r>
        <w:rPr>
          <w:b/>
        </w:rPr>
        <w:t>Shared claim-specific concepts:</w:t>
      </w:r>
      <w:r>
        <w:t xml:space="preserve"> reconceptualization, form, about; EU scope not established. This is a provisional connection, not an outcome finding.</w:t>
      </w:r>
    </w:p>
    <w:p>
      <w:pPr>
        <w:pStyle w:val="SourceNote"/>
      </w:pPr>
      <w:r>
        <w:rPr>
          <w:b/>
        </w:rPr>
        <w:t>Available abstract (not full text):</w:t>
      </w:r>
      <w:r>
        <w:t xml:space="preserve"> STEM education has drawn considerable international attention in recent decades. Current practices of STEM Education in China have shown that STEM is understood primarily as a policy-driven and economic problem. This paper challenges the reduced technical frameworks of STEM education and draws on the theoretical framework of the reconceptualization movement in the curriculum field. It aims to shift scientific or social science paradigms with languages of humanity to reapproach STEM education. STEM education is hence reconceptualized as praxis in its lived, ethical and historical dimensions. It would transform STEM education in China from being targeted for economic growth to attending to lived, nuanced and rich STEM experiences, structured by ethics and threaded by history. STEM teachers and teacher educators are advised to understand anew about STEM in their situatedness. STEM could serve as an opportunity to critically reflect on and research each discipline in greater depth with inter-disciplinary lenses. Instead of integrating science, technology, engineering and mathematics seamlessly to form omnipotent toolsets for the 21st-century workforce in China and on the international landscape, a reconceptualization of STEM as praxis could continue to generate more sustainable STEM education.</w:t>
      </w:r>
    </w:p>
    <w:p>
      <w:pPr/>
      <w:r>
        <w:rPr>
          <w:b/>
        </w:rPr>
        <w:t>POSSIBLE 2020:</w:t>
      </w:r>
      <w:r>
        <w:t xml:space="preserve"> Thinking Europe Otherwise: Lessons from the Caribbean — https://doi.org/10.1177/0011392120931139</w:t>
      </w:r>
    </w:p>
    <w:p>
      <w:pPr/>
      <w:r>
        <w:rPr>
          <w:b/>
        </w:rPr>
        <w:t>Shared claim-specific concepts:</w:t>
      </w:r>
      <w:r>
        <w:t xml:space="preserve"> reconceptualization, discursive, racialized; EU scope visible. This is a provisional connection, not an outcome finding.</w:t>
      </w:r>
    </w:p>
    <w:p>
      <w:pPr>
        <w:pStyle w:val="SourceNote"/>
      </w:pPr>
      <w:r>
        <w:rPr>
          <w:b/>
        </w:rPr>
        <w:t>Available abstract (not full text):</w:t>
      </w:r>
      <w:r>
        <w:t xml:space="preserve"> The article makes a case for Europe as a creolized space, or Europe Otherwise. It argues that, in order to account for both the transregional entanglements and the internal hierarchies that European colonialism and imperialism have produced since at least the sixteenth century, we need to unlearn received notions of Europe as an unmarked category; and that theoretical and empirical lessons from the Caribbean are central to relearning Europe differently. To conceive of Europe as a creolized space thus means to draw attention to the decisive shifts that its colonial possessions operate in both its historical legacies and its present borders when consistently taken into account. Such reconceptualization entails a simultaneous creolization of theory so as to reinscribe into sociological thought the experiences of peoples and regions racialized as non-European, non-Western, and non-White alongside the multiple entanglements between Europe and its colonies. Drawing on Caribbean perspectives on creolization, I first discuss how creolizing Europe contributes to countering the definition power of ahistorical and unmarked categories. Subsequently, I propose to rethink Europe as a political, cultural, economic, and discursive formation from its current colonial borders in South America and the Caribbean Sea. Finally, I argue that focusing on Europe’s colonial possessions in the Caribbean </w:t>
      </w:r>
    </w:p>
    <w:p>
      <w:pPr/>
      <w:r>
        <w:rPr>
          <w:b/>
        </w:rPr>
        <w:t>POSSIBLE 2019:</w:t>
      </w:r>
      <w:r>
        <w:t xml:space="preserve"> Euromodernity's Undertone: On Reconceptualizing Political Speech — https://openalex.org/W2943803555</w:t>
      </w:r>
    </w:p>
    <w:p>
      <w:pPr/>
      <w:r>
        <w:rPr>
          <w:b/>
        </w:rPr>
        <w:t>Shared claim-specific concepts:</w:t>
      </w:r>
      <w:r>
        <w:t xml:space="preserve"> about, racialized, others, conditions; EU scope not established. This is a provisional connection, not an outcome finding.</w:t>
      </w:r>
    </w:p>
    <w:p>
      <w:pPr>
        <w:pStyle w:val="SourceNote"/>
      </w:pPr>
      <w:r>
        <w:rPr>
          <w:b/>
        </w:rPr>
        <w:t>Available abstract (not full text):</w:t>
      </w:r>
      <w:r>
        <w:t xml:space="preserve"> This dissertation contends speech is indispensable to politics. It begins with Aristotle, whose conception of political speech grounds our modern understanding. I argue the Aristotelian position is colonizing insofar as it essentializes speech as sound. The consequence is that speech becomes phonocentric, privileging a particular mode of communication. This raises the issue of Deaf subjects who engage politics in non-phonocentric ways. That is, their speech is seen in what I contend is a visual vernacular. Subsequently, I turn to the issue of race. If Deaf subjects raise questions about what it means to speak, Black subjects, who speak audibly and are still unheard, raise a correspondent question: What does it mean to be heard? Within Euromodernity, I contend political speech becomes essentialized and racialized. Here, particular human beings (whites) are deemed as deserving of being heard, while others (Blacks) are silenced and thus, rendered speechless.\nIn response to these conditions, I argue Black and Deaf subjects do speak and their speech challenges existing hegemonic, colonized forms. Black and Deaf political speech allow for the creation of Black and Deaf lifeworlds, an articulation of their own ways of existing in the social world. The result is a project actualizing freedom. Ultimately, I posit a creolizing of political speech, a mixing of Deaf and Black existential </w:t>
      </w:r>
    </w:p>
    <w:p>
      <w:pPr>
        <w:pStyle w:val="Heading2"/>
      </w:pPr>
      <w:r>
        <w:t>738. Abandonment landscapes: user attitudes, alternative futures and land management in Castro Laboreiro, Portugal</w:t>
      </w:r>
    </w:p>
    <w:p>
      <w:pPr>
        <w:pStyle w:val="SourceNote"/>
      </w:pPr>
      <w:r>
        <w:rPr>
          <w:b/>
        </w:rPr>
        <w:t>Original source (2018):</w:t>
      </w:r>
      <w:r>
        <w:t xml:space="preserve"> https://doi.org/10.1007/s10113-018-1294-x</w:t>
      </w:r>
    </w:p>
    <w:p>
      <w:pPr/>
      <w:r>
        <w:t>Original wording (abstract; indexed_source_text_not_full_document_verified): In a case study in Northern Portugal, we used a combination of statements, photograph rating exercises and open questions to assess the perceptions of local inhabitants, visitors and experts regarding land abandonment and their preferences of different possible trajectories after abandonment. The results show that all user groups have a negative response towards abandonment and associate it mainly with negative emotions and the loss of heritage and traditions.</w:t>
      </w:r>
    </w:p>
    <w:p>
      <w:pPr/>
      <w:r>
        <w:rPr>
          <w:b/>
        </w:rPr>
        <w:t>POSSIBLE 2026:</w:t>
      </w:r>
      <w:r>
        <w:t xml:space="preserve"> Is there space for regional identities in a centralized unitary state? Northern Portugal as case study — https://doi.org/10.1080/1070289x.2026.2614229</w:t>
      </w:r>
    </w:p>
    <w:p>
      <w:pPr/>
      <w:r>
        <w:rPr>
          <w:b/>
        </w:rPr>
        <w:t>Shared claim-specific concepts:</w:t>
      </w:r>
      <w:r>
        <w:t xml:space="preserve"> case, northern, portugal; EU scope visible. This is a provisional connection, not an outcome finding.</w:t>
      </w:r>
    </w:p>
    <w:p>
      <w:pPr>
        <w:pStyle w:val="SourceNote"/>
      </w:pPr>
      <w:r>
        <w:rPr>
          <w:b/>
        </w:rPr>
        <w:t>Available abstract (not full text):</w:t>
      </w:r>
      <w:r>
        <w:t xml:space="preserve"> As European regions gain importance in development planning, regional identities have become increasingly significant for territorial governance and legitimacy. In centralized unitary states, however, their formation and mobilization remain poorly understood. This study examines how regional identities are framed in Northern Portugal, a planning region in Portugal – one of the most centralized countries in the European Union. Through geo-historical analysis and narrative examination of interviews and strategic documents, we found that regional identities can emerge and persist independently of formal regional structures through two mechanisms: maintaining unofficial territorial references in social consciousness and embedding historical regional elements into current official narratives. However, the effectiveness of regional identities as tools for development and decision-making legitimacy is highly dependent on the institutional framework.</w:t>
      </w:r>
    </w:p>
    <w:p>
      <w:pPr/>
      <w:r>
        <w:rPr>
          <w:b/>
        </w:rPr>
        <w:t>POSSIBLE 2024:</w:t>
      </w:r>
      <w:r>
        <w:t xml:space="preserve"> The Influence of Wildfire Climate on Wildfire Incidence: The Case of Portugal — https://doi.org/10.3390/fire7070234</w:t>
      </w:r>
    </w:p>
    <w:p>
      <w:pPr/>
      <w:r>
        <w:rPr>
          <w:b/>
        </w:rPr>
        <w:t>Shared claim-specific concepts:</w:t>
      </w:r>
      <w:r>
        <w:t xml:space="preserve"> case, northern, portugal, different; EU scope visible. This is a provisional connection, not an outcome finding.</w:t>
      </w:r>
    </w:p>
    <w:p>
      <w:pPr>
        <w:pStyle w:val="SourceNote"/>
      </w:pPr>
      <w:r>
        <w:rPr>
          <w:b/>
        </w:rPr>
        <w:t>Available abstract (not full text):</w:t>
      </w:r>
      <w:r>
        <w:t xml:space="preserve"> Although the influence of climate on the fire regime is unanimously recognized, most publications are studies on this influence are at the global scale. Therefore, this study aims to demonstrate the role of climate in the incidence of wildfires at the country and regional scale using statistical analysis and machine learning methods. Mainland Portugal was chosen as a case study due to its climate and because it is the European region most affected by wildfires. Results demonstrate the climate signature in the spatial and temporal distribution of the wildfire incidence. The conclusions of the study include (i) the existence of two pyro-regions, with different types of climate (Csb and Csa) composed of NUTS II regions: the northern region composed of the Norte and Centro regions and the southern region composed of Alentejo and Algarve; (ii) the intra-annual variability in the incidence of wildfires, characterized by two peaks, one in spring and the other in summer, are a consequence of the country's type of climate; and, (iii) how the annual cycle of wildfire incidence varies over the years depends on the weather conditions throughout each year. These results are of fundamental importance for wildfire managers, especially in the context of climate change.</w:t>
      </w:r>
    </w:p>
    <w:p>
      <w:pPr/>
      <w:r>
        <w:rPr>
          <w:b/>
        </w:rPr>
        <w:t>POSSIBLE 2024:</w:t>
      </w:r>
      <w:r>
        <w:t xml:space="preserve"> Motivation and perception of farmers on the benefits and challenges of agroforestry in Sweden (Northern Europe) — https://doi.org/10.1007/s10457-024-00964-1</w:t>
      </w:r>
    </w:p>
    <w:p>
      <w:pPr/>
      <w:r>
        <w:rPr>
          <w:b/>
        </w:rPr>
        <w:t>Shared claim-specific concepts:</w:t>
      </w:r>
      <w:r>
        <w:t xml:space="preserve"> case, northern, used, land, different; EU scope visible. This is a provisional connection, not an outcome finding.</w:t>
      </w:r>
    </w:p>
    <w:p>
      <w:pPr>
        <w:pStyle w:val="SourceNote"/>
      </w:pPr>
      <w:r>
        <w:rPr>
          <w:b/>
        </w:rPr>
        <w:t>Available abstract (not full text):</w:t>
      </w:r>
      <w:r>
        <w:t xml:space="preserve"> Abstract Agroforestry systems provide multiple benefits for human wellbeing and biodiversity; however, their diversity and spatial distribution sharply decline across Europe. This study focuses on agroforestry farms in Sweden. The aim of the study was to explore farmers' motivations to start agroforestry, what benefits farmers attributed to their agroforestry farms and perceived challenges to practicing agroforestry in Sweden. In total, 13 farms that practice various agroforestry forms were selected as case studies. A focus group, semi-structured interviews and field observations were used for data collection. We identified four types of agroforestry systems such as silvopasture, silvoarable, forest farming and forest gardens established on different land such as forested or agricultural land. All studied agroforestry farms were small but had complex spatial and temporal arrangements of crops, trees and animals, which were crucial to generating multiple benefits. Our results show that the multifunctionality of agroforestry systems resulted from farmers' desire to design such systems. Farmers’ intentions to get foods and materials from their farms were always intentionally unified with multiple ecosystem services. We argue that agroforestry farmers are designers of multifunctional landscapes as they deliberately organized their farming activities to get a bundle of ecosystem ser</w:t>
      </w:r>
    </w:p>
    <w:p>
      <w:pPr/>
      <w:r>
        <w:rPr>
          <w:b/>
        </w:rPr>
        <w:t>POSSIBLE 2024:</w:t>
      </w:r>
      <w:r>
        <w:t xml:space="preserve"> Quantifying the role of saltmarsh as a vulnerable carbon sink: A case study from Northern Portugal — https://doi.org/10.1016/j.scitotenv.2024.171443</w:t>
      </w:r>
    </w:p>
    <w:p>
      <w:pPr/>
      <w:r>
        <w:rPr>
          <w:b/>
        </w:rPr>
        <w:t>Shared claim-specific concepts:</w:t>
      </w:r>
      <w:r>
        <w:t xml:space="preserve"> case, northern, portugal;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Measles cluster in Northern Portugal: enhancing surveillance strengths — https://doi.org/10.1093/eurpub/ckae144.1476</w:t>
      </w:r>
    </w:p>
    <w:p>
      <w:pPr/>
      <w:r>
        <w:rPr>
          <w:b/>
        </w:rPr>
        <w:t>Shared claim-specific concepts:</w:t>
      </w:r>
      <w:r>
        <w:t xml:space="preserve"> case, northern, portugal, local; EU scope visible. This is a provisional connection, not an outcome finding.</w:t>
      </w:r>
    </w:p>
    <w:p>
      <w:pPr>
        <w:pStyle w:val="SourceNote"/>
      </w:pPr>
      <w:r>
        <w:rPr>
          <w:b/>
        </w:rPr>
        <w:t>Available abstract (not full text):</w:t>
      </w:r>
      <w:r>
        <w:t xml:space="preserve"> Abstract Although measles was declared eliminated in Portugal in 2015, outbreaks persist, despite high vaccination coverage. The last outbreak in the northern region was in 2017. Portugal has a Surveillance System implemented for mandatory communicable diseases (SINAVE) integrating clinical, epidemiological and laboratory data. In 2021, WHO expressed concern about the low sensitivity of measles surveillance and urged Portugal to strengthen its surveillance practices. Our study aims to describe a measles cluster in northern Portugal during the first trimester of 2024. Data from measles cases from the first trimester of 2024 were collected from SINAVE. Contact tracing and Public Health (PH) intervention data was sent by Local Public Health Authorities through a survey designed for that purpose. A total of 70 suspected cases were reported and investigated: 6 cases were laboratory confirmed and 64 were discarded. The confirmed cases had a mean age of 28 years (all adults), with 50% female. The mean notification time was 0,3 days. The index case was imported (Mauritania) and unvaccinated, leading to 2 secondary cases. Five cases had 2 doses of a measles vaccine, with 1 case being a health professional. Additionally, 1 case was imported from France. For 2 cases the source of infection could not be unequivocally identified and no travel history during incubation period. A total of 851</w:t>
      </w:r>
    </w:p>
    <w:p>
      <w:pPr/>
      <w:r>
        <w:rPr>
          <w:b/>
        </w:rPr>
        <w:t>POSSIBLE 2023:</w:t>
      </w:r>
      <w:r>
        <w:t xml:space="preserve"> The Portuguese Case — https://openalex.org/W7111493077</w:t>
      </w:r>
    </w:p>
    <w:p>
      <w:pPr/>
      <w:r>
        <w:rPr>
          <w:b/>
        </w:rPr>
        <w:t>Shared claim-specific concepts:</w:t>
      </w:r>
      <w:r>
        <w:t xml:space="preserve"> case, portugal, regarding; EU scope visible. This is a provisional connection, not an outcome finding.</w:t>
      </w:r>
    </w:p>
    <w:p>
      <w:pPr>
        <w:pStyle w:val="SourceNote"/>
      </w:pPr>
      <w:r>
        <w:rPr>
          <w:b/>
        </w:rPr>
        <w:t>Available abstract (not full text):</w:t>
      </w:r>
      <w:r>
        <w:t xml:space="preserve"> This article discusses recent historiographical trends regarding the evolution of warfare in Portugal and its overseas empire in the early modern period. It presents a reassessment of the state of art on the Portuguese case in the early modern world (in the kingdom of Portugal in Europe and its overseas empire), followed by some contributions for an ongoing research agenda. It is divided in three parts, presenting overviews of the situation in Europe, overseas and at sea. It concludes that it is difficult to sustain that the Portuguese case supports the case for a link between an alleged military revolution and unilinear state-formation or Western military exceptionalism</w:t>
      </w:r>
    </w:p>
    <w:p>
      <w:pPr/>
      <w:r>
        <w:rPr>
          <w:b/>
        </w:rPr>
        <w:t>POSSIBLE 2023:</w:t>
      </w:r>
      <w:r>
        <w:t xml:space="preserve"> Incidence of Lyme Borreliosis in Europe: A Systematic Review (2005–2020) — https://doi.org/10.1089/vbz.2022.0070</w:t>
      </w:r>
    </w:p>
    <w:p>
      <w:pPr/>
      <w:r>
        <w:rPr>
          <w:b/>
        </w:rPr>
        <w:t>Shared claim-specific concepts:</w:t>
      </w:r>
      <w:r>
        <w:t xml:space="preserve"> case, northern, portugal, used, local; EU scope visible. This is a provisional connection, not an outcome finding.</w:t>
      </w:r>
    </w:p>
    <w:p>
      <w:pPr>
        <w:pStyle w:val="SourceNote"/>
      </w:pPr>
      <w:r>
        <w:rPr>
          <w:b/>
        </w:rPr>
        <w:t>Available abstract (not full text):</w:t>
      </w:r>
      <w:r>
        <w:t xml:space="preserve"> Background: Lyme borreliosis (LB) is the most common tick-borne disease in Europe, but the burden of disease is incompletely described. Methods: We conducted a systematic review across PubMed, EMBASE, and CABI Direct (Global Health) databases, from January 1, 2005, to November 20, 2020, of epidemiological studies reporting incidence of LB in Europe (PROSPERO, CRD42021236906). Results: The systematic review yielded 61 unique articles describing LB incidence (national or subnational) in 25 European countries. Substantial heterogeneity in study designs, populations sampled, and case definitions restricted data comparability. The European Union Concerted Action on Lyme Borreliosis (EUCALB)–published standardized LB case definitions were used by only 13 (21%) of the 61 articles. There were 33 studies that provided national-level LB incidence estimates for 20 countries. Subnational LB incidence was available from an additional four countries (Italy, Lithuania, Norway, and Spain). The highest LB incidences (&gt;100 cases per 100,000 population per year [PPY]) were reported in Belgium, Finland, the Netherlands, and Switzerland. Incidences were 20–40/100,000 PPY in the Czech Republic, Germany, Poland, and Scotland and &lt;20/100,000 PPY in Belarus, Croatia, Denmark, France, Ireland, Portugal, Russia, Slovakia, Sweden, and the United Kingdom (England, Northern Ireland, and Wales); markedly hig</w:t>
      </w:r>
    </w:p>
    <w:p>
      <w:pPr/>
      <w:r>
        <w:rPr>
          <w:b/>
        </w:rPr>
        <w:t>POSSIBLE 2023:</w:t>
      </w:r>
      <w:r>
        <w:t xml:space="preserve"> Ten questions concerning residential overheating in Central and Northern Europe — https://doi.org/10.1016/j.buildenv.2023.110154</w:t>
      </w:r>
    </w:p>
    <w:p>
      <w:pPr/>
      <w:r>
        <w:rPr>
          <w:b/>
        </w:rPr>
        <w:t>Shared claim-specific concepts:</w:t>
      </w:r>
      <w:r>
        <w:t xml:space="preserve"> northern, questions, experts; EU scope visible. This is a provisional connection, not an outcome finding.</w:t>
      </w:r>
    </w:p>
    <w:p>
      <w:pPr>
        <w:pStyle w:val="SourceNote"/>
      </w:pPr>
      <w:r>
        <w:rPr>
          <w:b/>
        </w:rPr>
        <w:t>Available abstract (not full text):</w:t>
      </w:r>
      <w:r>
        <w:t xml:space="preserve"> Rising global temperatures and more frequent heatwaves due to climate change have led to a growing body of research and increased policy focus on how to protect against the adverse effects of heat. In cold and temperate Europe, dwellings have traditionally been designed for cold protection rather than heat mitigation. There is, therefore, a need to understand the mechanisms through which indoor overheating can occur, its effects on occupants and energy consumption, and how we can design, adapt, and operate buildings during warm weather to improve thermal comfort and reduce cooling energy consumption. This paper brings together experts in overheating from across Europe to explore 10 key questions about the causes and risks from overheating in residential settings in Central and Northern Europe, including the way in which we define and measure overheating, its impacts, and its social and policy implications. The focus is not on summarising literature, but rather on identifying the evidence, key challenges and misconceptions, and limitations of current knowledge. Looking ahead, we outline actions needed to adapt, including the (re)design of dwellings, neighbourhoods, and population responses to indoor heat, and the potential shape of these actions. In doing so, we illustrate how heat adaptation is a multi-faceted challenge that requires urgent and coordinated action at multiple le</w:t>
      </w:r>
    </w:p>
    <w:p>
      <w:pPr/>
      <w:r>
        <w:rPr>
          <w:b/>
        </w:rPr>
        <w:t>POSSIBLE 2023:</w:t>
      </w:r>
      <w:r>
        <w:t xml:space="preserve"> Vernacularisation of Documentary Legal Texts in Northern Europe — https://doi.org/10.4312/linguistica.63.1-2.19-39</w:t>
      </w:r>
    </w:p>
    <w:p>
      <w:pPr/>
      <w:r>
        <w:rPr>
          <w:b/>
        </w:rPr>
        <w:t>Shared claim-specific concepts:</w:t>
      </w:r>
      <w:r>
        <w:t xml:space="preserve"> northern, used, questions; EU scope visible. This is a provisional connection, not an outcome finding.</w:t>
      </w:r>
    </w:p>
    <w:p>
      <w:pPr>
        <w:pStyle w:val="SourceNote"/>
      </w:pPr>
      <w:r>
        <w:rPr>
          <w:b/>
        </w:rPr>
        <w:t>Available abstract (not full text):</w:t>
      </w:r>
      <w:r>
        <w:t xml:space="preserve"> At the transition from medieval to early modern Europe, vernaculars became more commonly used in writing in various domain, including administration and law. In the late Middle Ages, vernaculars seem to gain status and start to be regarded as suitable languages for recording municipal matters. But how did this vernacularisation progress in such documentary legal texts? When and why was Latin replaced by vernaculars? To answer these questions, this article presents diachronic quantitative analyses of the language choice in individual entries of two documentary legal sources: the first eight volumes of the Aberdeen Council Registers (1398–1511) and one volume of the Lübecker Niederstadtbuch (1430–1451). The comparative approach to these multilingual texts allows us to trace vernacularisation processes across two language contexts, uncovering similarities and differences between them. In the council registers from Aberdeen, Scots replaced Latin slowly and gradually – a process that took over a century and was far from finished by 1511. In the text from Lübeck, on the other hand, the shift from Latin to Low German was largely completed within about 30 years. In both cases, language practices of the scribes rather than top-down language policies seem to have driven this development. The scribes’ language choices will have been influenced by the use of vernaculars in other texts, inc</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case, northern, used, different;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Balancing Electricity Supply and Demand in a Carbon-Neutral Northern Europe — https://doi.org/10.3390/en16083548</w:t>
      </w:r>
    </w:p>
    <w:p>
      <w:pPr/>
      <w:r>
        <w:rPr>
          <w:b/>
        </w:rPr>
        <w:t>Shared claim-specific concepts:</w:t>
      </w:r>
      <w:r>
        <w:t xml:space="preserve"> northern, combination, different, after; EU scope visible. This is a provisional connection, not an outcome finding.</w:t>
      </w:r>
    </w:p>
    <w:p>
      <w:pPr>
        <w:pStyle w:val="SourceNote"/>
      </w:pPr>
      <w:r>
        <w:rPr>
          <w:b/>
        </w:rPr>
        <w:t>Available abstract (not full text):</w:t>
      </w:r>
      <w:r>
        <w:t xml:space="preserve"> This work investigates how to balance the electricity supply and demand in a carbon-neutral northern Europe. Applying a cost-minimizing electricity system model including options to invest in eleven different flexibility measures, cost-efficient combinations of strategies to manage varia-tions are identified. The results of the model are post-processed using a novel method to map the net load before and after flexibility measures are applied to reveal the contribution of each flexi-bility measure. The net load is mapped in the space spanned by the amplitude, duration, and number of occur-rences. The mapping shows that, depending on cost structure, flexibility measures contribute to reduce the net load in three different ways; 1) by reducing variations of long duration but low amplitude, 2) by reducing variations of high amplitude but short duration and low occurrence or 3) by reducing variations of high amplitude, short duration and high occurrence. It is found that cost-efficient variation management is achieved by combining wind and solar power and by combining strategies (1-3) to manage variations. The cost-efficient combination of strategies de-pends on electricity system context where electricity trade, flexible hydrogen and heat production (1) manage the majority of variations in regions with good conditions for wind power while sta-tionary batteries (3) are the main cont</w:t>
      </w:r>
    </w:p>
    <w:p>
      <w:pPr/>
      <w:r>
        <w:rPr>
          <w:b/>
        </w:rPr>
        <w:t>POSSIBLE 2023:</w:t>
      </w:r>
      <w:r>
        <w:t xml:space="preserve"> A Comparison of Analytical Methods for the Determination of Soil pH: Case Study on Burned Soils in Northern Portugal — https://doi.org/10.3390/fire6060227</w:t>
      </w:r>
    </w:p>
    <w:p>
      <w:pPr/>
      <w:r>
        <w:rPr>
          <w:b/>
        </w:rPr>
        <w:t>Shared claim-specific concepts:</w:t>
      </w:r>
      <w:r>
        <w:t xml:space="preserve"> case, northern, portugal, used, after; EU scope visible. This is a provisional connection, not an outcome finding.</w:t>
      </w:r>
    </w:p>
    <w:p>
      <w:pPr>
        <w:pStyle w:val="SourceNote"/>
      </w:pPr>
      <w:r>
        <w:rPr>
          <w:b/>
        </w:rPr>
        <w:t>Available abstract (not full text):</w:t>
      </w:r>
      <w:r>
        <w:t xml:space="preserve"> Wildfires can cause serious imbalances in ecosystems, primarily at the soil level, making it vulnerable to degradation processes such as erosion. During and after a fire, changes occur in soil properties, including pH, which affects the solubility and availability of nutrients. Currently, there is a great diversity of protocols, some involving normalized standards, to determine soil pH, but there is no consensual or universal analytical method for this parameter, especially in burned soils, in which mineral and organic fractions could have been modified. Therefore, the objective of the present work is to evaluate the effect that variations in these analytical protocols may have on pH results. For this, five methods commonly found in the international bibliography for the analysis of pH of soil in water (pHH2O) were selected and compared to propose the most precise procedure. The analytical methods were applied to 43 soil samples, collected in a plot subjected to prescribed burning in the Parque Natural de Montesinho (Northern Portugal). The studied methods differ in the following protocol items: water suspension ratio (1:2.5 or 1:5), mechanical stirring time in the suspension (10 min or 1 h), and in the resting time for the solid particles to settle (15 min or 8 h). The obtained results point to the suitability of the five methods used for soil pH analysis, indicating that ther</w:t>
      </w:r>
    </w:p>
    <w:p>
      <w:pPr>
        <w:pStyle w:val="Heading2"/>
      </w:pPr>
      <w:r>
        <w:t>739. Analysing the potential of integrating wind and solar power in Europe using spatial optimisation under various scenarios</w:t>
      </w:r>
    </w:p>
    <w:p>
      <w:pPr>
        <w:pStyle w:val="SourceNote"/>
      </w:pPr>
      <w:r>
        <w:rPr>
          <w:b/>
        </w:rPr>
        <w:t>Original source (2018):</w:t>
      </w:r>
      <w:r>
        <w:t xml:space="preserve"> https://doi.org/10.1016/j.rser.2018.05.071</w:t>
      </w:r>
    </w:p>
    <w:p>
      <w:pPr/>
      <w:r>
        <w:t>Original wording (abstract; indexed_source_text_not_full_document_verified): We test the potential of this method by modelling several scenarios exploring the effects of vRES penetration, alternative demand profiles, access to wind sites located far offshore, and alternative PV configurations. We find that expanding offshore wind capacity in the North Sea is a ‘no regret’ option, though correlated generation patterns with onshore wind farms in neighbouring countries at high vRES penetration rates may lead to significant surplus generation.</w:t>
      </w:r>
    </w:p>
    <w:p>
      <w:pPr/>
      <w:r>
        <w:rPr>
          <w:b/>
        </w:rPr>
        <w:t>POSSIBLE 2026:</w:t>
      </w:r>
      <w:r>
        <w:t xml:space="preserve"> Exploring QRICH2 as a potential male contraceptive target — https://doi.org/10.1093/reprod/xaaf009</w:t>
      </w:r>
    </w:p>
    <w:p>
      <w:pPr/>
      <w:r>
        <w:rPr>
          <w:b/>
        </w:rPr>
        <w:t>Shared claim-specific concepts:</w:t>
      </w:r>
      <w:r>
        <w:t xml:space="preserve"> potential, exploring, alternative; EU scope not established. This is a provisional connection, not an outcome finding.</w:t>
      </w:r>
    </w:p>
    <w:p>
      <w:pPr>
        <w:pStyle w:val="SourceNote"/>
      </w:pPr>
      <w:r>
        <w:rPr>
          <w:b/>
        </w:rPr>
        <w:t>Available abstract (not full text):</w:t>
      </w:r>
      <w:r>
        <w:t xml:space="preserve"> Today, male contraceptive options remain limited to condoms and vasectomy, highlighting the urgent need for alternative methods. In this context, discovering and characterizing reproductive-tract-specific proteins that can be targeted by natural or chemical molecules is of particular interest. Recent studies on the sperm protein glutamine-rich protein 2 (QRICH2) show that it could represent a promising candidate. Indeed, it has been genetically confirmed to be essential for male fertility in mice, bulls, and humans, with gene knockout and loss-of-function mutations leading to defective sperm and complete infertility without evident accompanying symptoms. However, information on human QRICH2 remains limited. In this study, we aimed to better characterize human QRICH2 to assess its potential as a target for male contraceptive development. Using mass spectrometry, we assessed which of the QRICH2 isoforms described in databases might be expressed in human sperm. Through in silico analyses, we showed that QRICH2 has no paralogs in humans, and is conserved across mammals, particularly in a region containing two functional domains, suggesting their importance for QRICH2 function. Finally, using immunodetection methods and proteomic dataset analyses, we investigated the tissue specificity of QRICH2 by examining its protein expression across 12 human organs. Our results show that QRICH2</w:t>
      </w:r>
    </w:p>
    <w:p>
      <w:pPr/>
      <w:r>
        <w:rPr>
          <w:b/>
        </w:rPr>
        <w:t>POSSIBLE 2024:</w:t>
      </w:r>
      <w:r>
        <w:t xml:space="preserve"> The opportunities and potential of camelina in marginal land in Europe — https://doi.org/10.1016/j.indcrop.2024.118224</w:t>
      </w:r>
    </w:p>
    <w:p>
      <w:pPr/>
      <w:r>
        <w:rPr>
          <w:b/>
        </w:rPr>
        <w:t>Shared claim-specific concepts:</w:t>
      </w:r>
      <w:r>
        <w:t xml:space="preserve"> potential, sites, far, capacity; EU scope visible. This is a provisional connection, not an outcome finding.</w:t>
      </w:r>
    </w:p>
    <w:p>
      <w:pPr>
        <w:pStyle w:val="SourceNote"/>
      </w:pPr>
      <w:r>
        <w:rPr>
          <w:b/>
        </w:rPr>
        <w:t>Available abstract (not full text):</w:t>
      </w:r>
      <w:r>
        <w:t xml:space="preserve"> The European bioeconomy is steadily driving an industrial, economic, and social growth looking for sustainable biobased feedstocks able to replace fossil-based materials. In this scenario, there is an urgent and increasing need to produce locally industrial crops, with multiple applications and broad suitability to different pedo-climates. Furthermore, the actual EU legislation imposes to produce industrial crops not competing with food ones, and one possibility is to grow them on marginal land. Among others, camelina [Camelina sativa (L.) Crantz] has been identified as one of the most suitable options for marginal land in Europe, but so far there is a lack of studies conducted in such conditions able to provide reliable production data, on which it will be possible to build plausible business plans. At this scope different field trials have been established in four European countries, i.e., Italy, Greece, Germany, and Poland, in multiple growing seasons from 2018 to 2021, under different types of marginality. In details, in Italy camelina was tested under steep slopes (25% and 15%), in Greece in a soil with low fertility (pH &lt; 5.5) and adverse terrain conditions (steep slope &gt;12%); in Germany in a soil with limitations in rooting, i.e., rooting depth &lt; 30 cm + stoniness &gt; 15%, and in Poland in two sites one with sand &gt; 40%, and the other with clay &gt; 50% of the texture. Camelin</w:t>
      </w:r>
    </w:p>
    <w:p>
      <w:pPr/>
      <w:r>
        <w:rPr>
          <w:b/>
        </w:rPr>
        <w:t>POSSIBLE 2024:</w:t>
      </w:r>
      <w:r>
        <w:t xml:space="preserve"> Disparities of Central and Eastern European Countries of European Union in innovation potential: A multi-criteria assessment — https://doi.org/10.1016/j.joitmc.2024.100282</w:t>
      </w:r>
    </w:p>
    <w:p>
      <w:pPr/>
      <w:r>
        <w:rPr>
          <w:b/>
        </w:rPr>
        <w:t>Shared claim-specific concepts:</w:t>
      </w:r>
      <w:r>
        <w:t xml:space="preserve"> test, potential, method, capacity; EU scope visible. This is a provisional connection, not an outcome finding.</w:t>
      </w:r>
    </w:p>
    <w:p>
      <w:pPr>
        <w:pStyle w:val="SourceNote"/>
      </w:pPr>
      <w:r>
        <w:rPr>
          <w:b/>
        </w:rPr>
        <w:t>Available abstract (not full text):</w:t>
      </w:r>
      <w:r>
        <w:t xml:space="preserve"> The primary objective of the article is to evaluate the innovation potential of Central and Eastern European Union countries. The Technique for Order of Preference by Similarity to Ideal Solution method was employed to assess and rank this potential. The research was based on 10 indicators that characterize the main areas related to innovation, namely intellectual capital (as a measure of social innovative capacity), financial capital (as a measure of the potential for financing research and development) as well as research and innovation activities. Three objective approaches were used to calculate weights of these evaluation criteria (in the TOPSIS method): Shanon-Entropy, criteria importance through intercriteria correlation and equal weights. As a evaluate of the level of innovation potential of studied CEE countries between 2013-2022, the determined values of the Innovation Potential Index were used to evaluate the studied countries and divide them into four groups. With the use of the two non-parametric test, the relationships of this index with selected parameters were also measured. The research results show that the innovation potential level of CEE countries is highly differentiated. Slovenia, the Czech Republic and Estonia, countries investing in R&amp;D and social development, were found to have a high level of innovation. The remaining countries need to take more decis</w:t>
      </w:r>
    </w:p>
    <w:p>
      <w:pPr/>
      <w:r>
        <w:rPr>
          <w:b/>
        </w:rPr>
        <w:t>POSSIBLE 2023:</w:t>
      </w:r>
      <w:r>
        <w:t xml:space="preserve"> Interactive robots for health in Europe: Technology readiness and adoption potential — https://doi.org/10.3389/fpubh.2023.979225</w:t>
      </w:r>
    </w:p>
    <w:p>
      <w:pPr/>
      <w:r>
        <w:rPr>
          <w:b/>
        </w:rPr>
        <w:t>Shared claim-specific concepts:</w:t>
      </w:r>
      <w:r>
        <w:t xml:space="preserve"> potential, far; EU scope visible. This is a provisional connection, not an outcome finding.</w:t>
      </w:r>
    </w:p>
    <w:p>
      <w:pPr>
        <w:pStyle w:val="SourceNote"/>
      </w:pPr>
      <w:r>
        <w:rPr>
          <w:b/>
        </w:rPr>
        <w:t>Available abstract (not full text):</w:t>
      </w:r>
      <w:r>
        <w:t xml:space="preserve"> Introduction: Social robots are accompanied by high expectations of what they can bring to society and in the healthcare sector. So far, promising assumptions have been presented about how and where social robots are most relevant. We know that the industry has used robots for a long time, but what about social uptake outside industry, specifically, in the healthcare sector? This study discusses what trends are discernible, to better understand the gap between technology readiness and adoption of interactive robots in the welfare and health sectors in Europe. Methods: An assessment of interactive robot applications at the upper levels of the Technology Readiness Level scale is combined with an assessment of adoption potential based on Rogers' theory of diffusion of innovation. Most robot solutions are dedicated to individual rehabilitation or frailty and stress. Fewer solutions are developed for managing welfare services or public healthcare. Results: The results show that while robots are ready from the technological point of view, most of the applications had a low score for demand according to the stakeholders. Discussion: To enhance social uptake, a more initiated discussion, and more studies on the connections between technology readiness and adoption and use are suggested. Applications being available to users does not mean they have an advantage over previous solutions. </w:t>
      </w:r>
    </w:p>
    <w:p>
      <w:pPr/>
      <w:r>
        <w:rPr>
          <w:b/>
        </w:rPr>
        <w:t>POSSIBLE 2022:</w:t>
      </w:r>
      <w:r>
        <w:t xml:space="preserve"> Evaluation of laboratory test methods for assessing the alkali-reactivity potential of aggregates by field site tests — https://doi.org/10.3989/mc.2022.17221</w:t>
      </w:r>
    </w:p>
    <w:p>
      <w:pPr/>
      <w:r>
        <w:rPr>
          <w:b/>
        </w:rPr>
        <w:t>Shared claim-specific concepts:</w:t>
      </w:r>
      <w:r>
        <w:t xml:space="preserve"> test, potential, method, sites; EU scope visible. This is a provisional connection, not an outcome finding.</w:t>
      </w:r>
    </w:p>
    <w:p>
      <w:pPr>
        <w:pStyle w:val="SourceNote"/>
      </w:pPr>
      <w:r>
        <w:rPr>
          <w:b/>
        </w:rPr>
        <w:t>Available abstract (not full text):</w:t>
      </w:r>
      <w:r>
        <w:t xml:space="preserve"> Field site tests were carried out to assess the reliability of the tests developed by RILEM and some regional tests to evaluate the alkali-reactivity potential of aggregates (eight tests were included). One hundred concrete cubes made with 13 different European aggregate combinations were stored on eight different European field sites to compare their expansions with the laboratory test results. All highly reactive aggregate combinations caused significant expansion of concrete cubes within the first six years on all field sites from Norway to Spain. These and the non-reactive aggregate combinations were correctly identified with all laboratory tests. Concrete cubes with moderately reactive aggregate combinations expanded very slowly and mainly in the outdoor exposure sites with warm climate conditions. The RILEM test method AAR-4.1 (60°C accelerated concrete prism test) and the Norwegian concrete prism test at 38°C seem to be best suited to identity the potential reactivity of moderately reactive aggregate combinations.</w:t>
      </w:r>
    </w:p>
    <w:p>
      <w:pPr/>
      <w:r>
        <w:rPr>
          <w:b/>
        </w:rPr>
        <w:t>POSSIBLE 2022:</w:t>
      </w:r>
      <w:r>
        <w:t xml:space="preserve"> Exploring the Potential of Mobile Laser Scanning to Quantify Forest Structural Complexity — https://doi.org/10.3389/frsen.2022.861337</w:t>
      </w:r>
    </w:p>
    <w:p>
      <w:pPr/>
      <w:r>
        <w:rPr>
          <w:b/>
        </w:rPr>
        <w:t>Shared claim-specific concepts:</w:t>
      </w:r>
      <w:r>
        <w:t xml:space="preserve"> potential, several, exploring; EU scope visible. This is a provisional connection, not an outcome finding.</w:t>
      </w:r>
    </w:p>
    <w:p>
      <w:pPr>
        <w:pStyle w:val="SourceNote"/>
      </w:pPr>
      <w:r>
        <w:rPr>
          <w:b/>
        </w:rPr>
        <w:t>Available abstract (not full text):</w:t>
      </w:r>
      <w:r>
        <w:t xml:space="preserve"> Today, creating or maintaining forest structural complexity is a management paradigm in many countries due to the positive relationships between structural complexity and several forest functions and services. In this study, we tested whether the box-dimension (D b ), a holistic and objective measure to describe the structural complexity of trees or forests, can be used to quantify the structural complexity of 14 European beech ( Fagus sylvatica L.) dominated forest plots by means of mobile laser scanning (MLS). The goal of this study was to explore the potential of this approach for quantifying the effect of leaves (summer vs winter) and management (lately unmanaged vs managed) on forest structural complexity. The findings suggest that repeated measurements on the same site and at the same time yielded consistent results if the measuring scheme is standardized. The results also showed that standardized measurement protocols allowed quantifying differences in forest structural complexity due to season. The highest stand structural complexity was found in leaf-on condition during summer, with the complexity being significantly higher than in winter condition. Also, in case of our beech-dominated plots, managed forests were more complex in structure than formerly managed but now unmanaged forests. This study illustrates the potential of MLS for monitoring the changes in forest st</w:t>
      </w:r>
    </w:p>
    <w:p>
      <w:pPr/>
      <w:r>
        <w:rPr>
          <w:b/>
        </w:rPr>
        <w:t>POSSIBLE 2022:</w:t>
      </w:r>
      <w:r>
        <w:t xml:space="preserve"> Giardia duodenalis in Wildlife: Exploring Genotype Diversity in Italy and across Europe — https://doi.org/10.3390/pathogens11010105</w:t>
      </w:r>
    </w:p>
    <w:p>
      <w:pPr/>
      <w:r>
        <w:rPr>
          <w:b/>
        </w:rPr>
        <w:t>Shared claim-specific concepts:</w:t>
      </w:r>
      <w:r>
        <w:t xml:space="preserve"> exploring, far, find; EU scope visible. This is a provisional connection, not an outcome finding.</w:t>
      </w:r>
    </w:p>
    <w:p>
      <w:pPr>
        <w:pStyle w:val="SourceNote"/>
      </w:pPr>
      <w:r>
        <w:rPr>
          <w:b/>
        </w:rPr>
        <w:t>Available abstract (not full text):</w:t>
      </w:r>
      <w:r>
        <w:t xml:space="preserve"> Fragmented data are so far available on genotype diversity of G. duodenalis in wildlife in different countries in Europe, in particular, in Italy. In the present study, G. duodenalis sequences obtained from different Italian wild animals [12 porcupines (Hystrix cristata), 4 wild boars (Sus scrofa), 1 wolf (Canis lupus italicus), 6 Alpine chamois (Rupicapra rupicapra rupicapra)] were compared with those available from wild host species in Europe to add new data on the geographic distribution of Giardia assemblages/sub-assemblages and their transmission patterns among natural hosts. Thirty-eight sequences were obtained by MLG analysis (SSU-rRNA, bg, gdh, and tpi genes) and subsequently compared by phylogenetic and network analyses with those from wild species monitored in the last decades in Europe. The results revealed the presence of potentially zoonotic (A-AI, A-AII from wild boar; B from porcupine) and host-adapted (D from wolf; E, A-AIII from chamois) assemblages and sub-assemblages and represent the first report for Italian wild boar. The analysis did not find any evidence of spatial or host segregation for specific genetic variants, mostly shared between different hosts from different European countries. However, conflicting evidence was found in genotypic assignment, advocating for data improvement and new genomic approaches.</w:t>
      </w:r>
    </w:p>
    <w:p>
      <w:pPr/>
      <w:r>
        <w:rPr>
          <w:b/>
        </w:rPr>
        <w:t>POSSIBLE 2021:</w:t>
      </w:r>
      <w:r>
        <w:t xml:space="preserve"> Testing UNFC as a harmonized supporting tool for resource management in Europe — https://doi.org/10.5194/egusphere-egu21-15566</w:t>
      </w:r>
    </w:p>
    <w:p>
      <w:pPr/>
      <w:r>
        <w:rPr>
          <w:b/>
        </w:rPr>
        <w:t>Shared claim-specific concepts:</w:t>
      </w:r>
      <w:r>
        <w:t xml:space="preserve"> test, potential; EU scope visible. This is a provisional connection, not an outcome finding.</w:t>
      </w:r>
    </w:p>
    <w:p>
      <w:pPr>
        <w:pStyle w:val="SourceNote"/>
      </w:pPr>
      <w:r>
        <w:rPr>
          <w:b/>
        </w:rPr>
        <w:t>Available abstract (not full text):</w:t>
      </w:r>
      <w:r>
        <w:t xml:space="preserve"> With the global increase in raw material demand comes the need for harmonized supporting tools for sustainable resource management in Europe. Europe needs to assess their resource potential, but the European countries do not have a common tool to aggregate information for continent-wide resource inventories. The United Nations Framework Classification for Resources (UNFC) is a system that may be used for this purpose. One of the specific tasks in the MINTELL4EU project under the GeoERA programme is to test if the European geological surveys will be able to use UNFC as a tool to evaluate a country’s known and potential resources across variable levels of knowledge. The project will also show, if the application of UNFC can provide better harmonization of mineral resource data nationally and across Europe. The work on UNFC in MINTELL4EU is based on case studies to gain experience. Based on the knowledge and lessons learned from the case studies, guidelines and recommendations for further work will be given. Preliminary results show that there is a need for a more harmonized system and that stricter guidelines are required. On top of this, there are different levels of experience in UNFC among the European geological surveys, and the approach and methods on UNFC varies between the countries.</w:t>
      </w:r>
    </w:p>
    <w:p>
      <w:pPr/>
      <w:r>
        <w:rPr>
          <w:b/>
        </w:rPr>
        <w:t>POSSIBLE 2021:</w:t>
      </w:r>
      <w:r>
        <w:t xml:space="preserve"> Health Inequality Analysis in Europe: Exploring the Potential of the EQ-5D as Outcome — https://doi.org/10.3389/fpubh.2021.744405</w:t>
      </w:r>
    </w:p>
    <w:p>
      <w:pPr/>
      <w:r>
        <w:rPr>
          <w:b/>
        </w:rPr>
        <w:t>Shared claim-specific concepts:</w:t>
      </w:r>
      <w:r>
        <w:t xml:space="preserve"> potential, exploring; EU scope visible. This is a provisional connection, not an outcome finding.</w:t>
      </w:r>
    </w:p>
    <w:p>
      <w:pPr>
        <w:pStyle w:val="SourceNote"/>
      </w:pPr>
      <w:r>
        <w:rPr>
          <w:b/>
        </w:rPr>
        <w:t>Available abstract (not full text):</w:t>
      </w:r>
      <w:r>
        <w:t xml:space="preserve"> Objective: This study explored the additive value of the multi-item EuroQol 5-Dimension 5-Level (EQ-5D-5L) as an outcome measure in health inequality analyses, relative to the single-item EuroQol visual analog scale (EQ VAS). Methods: A sample comprising the general population from Italy, the Netherlands, and United Kingdom (UK) completed the EQ-5D-5L and the EQ VAS. The level of education was selected as a proxy for socio-economic status (SES). EQ-5D-5L level sum scores (LSS) were compared against EQ VAS scores. Stratified and multivariable analyses were used to study the associations between SES and the LSS/EQ VAS relative to the presence of chronic health conditions. Results: A total of 10,172 people participated in this study. In the UK and Netherlands, the LSS was worst for respondents with a low educational level and better for respondents with middle and high educational levels. For Italy, the LSS was best for respondents with a middle educational level compared to respondents with low and high educational levels. The same patterns were observed for the EQ VAS, but differences were slightly smaller. Multivariable analyses showed generally stronger predictive relations in the UK, and with the LSS. The presence of chronic health conditions and being unable to work were independent strong predictors, canceling out the effects of education. Conclusions: In three different Eu</w:t>
      </w:r>
    </w:p>
    <w:p>
      <w:pPr/>
      <w:r>
        <w:rPr>
          <w:b/>
        </w:rPr>
        <w:t>POSSIBLE 2021:</w:t>
      </w:r>
      <w:r>
        <w:t xml:space="preserve"> Exploring the therapeutic potential of mitochondrial uncouplers in cancer — https://doi.org/10.1016/j.molmet.2021.101222</w:t>
      </w:r>
    </w:p>
    <w:p>
      <w:pPr/>
      <w:r>
        <w:rPr>
          <w:b/>
        </w:rPr>
        <w:t>Shared claim-specific concepts:</w:t>
      </w:r>
      <w:r>
        <w:t xml:space="preserve"> potential, several, exploring; EU scope not established. This is a provisional connection, not an outcome finding.</w:t>
      </w:r>
    </w:p>
    <w:p>
      <w:pPr>
        <w:pStyle w:val="SourceNote"/>
      </w:pPr>
      <w:r>
        <w:rPr>
          <w:b/>
        </w:rPr>
        <w:t>Available abstract (not full text):</w:t>
      </w:r>
      <w:r>
        <w:t xml:space="preserve"> BACKGROUND: Mitochondrial uncouplers are well-known for their ability to treat a myriad of metabolic diseases, including obesity and fatty liver diseases. However, for many years now, mitochondrial uncouplers have also been evaluated in diverse models of cancer in vitro and in vivo. Furthermore, some mitochondrial uncouplers are now in clinical trials for cancer, although none have yet been approved for the treatment of cancer. SCOPE OF REVIEW: In this review we summarise published studies in which mitochondrial uncouplers have been investigated as an anti-cancer therapy in preclinical models. In many cases, mitochondrial uncouplers show strong anti-cancer effects both as single agents, and in combination therapies, and some are more toxic to cancer cells than normal cells. Furthermore, the mitochondrial uncoupling mechanism of action in cancer cells has been described in detail, with consistencies and inconsistencies between different structural classes of uncouplers. For example, many mitochondrial uncouplers decrease ATP levels and disrupt key metabolic signalling pathways such as AMPK/mTOR but have different effects on reactive oxygen species (ROS) production. Many of these effects oppose aberrant phenotypes common in cancer cells that ultimately result in cell death. We also highlight several gaps in knowledge that need to be addressed before we have a clear direction and </w:t>
      </w:r>
    </w:p>
    <w:p>
      <w:pPr/>
      <w:r>
        <w:rPr>
          <w:b/>
        </w:rPr>
        <w:t>POSSIBLE 2021:</w:t>
      </w:r>
      <w:r>
        <w:t xml:space="preserve"> Exploring the potential of coconut shell biomass for charcoal production — https://doi.org/10.1016/j.asej.2021.05.013</w:t>
      </w:r>
    </w:p>
    <w:p>
      <w:pPr/>
      <w:r>
        <w:rPr>
          <w:b/>
        </w:rPr>
        <w:t>Shared claim-specific concepts:</w:t>
      </w:r>
      <w:r>
        <w:t xml:space="preserve"> potential, several, exploring, alternative; EU scope not established. This is a provisional connection, not an outcome finding.</w:t>
      </w:r>
    </w:p>
    <w:p>
      <w:pPr>
        <w:pStyle w:val="SourceNote"/>
      </w:pPr>
      <w:r>
        <w:rPr>
          <w:b/>
        </w:rPr>
        <w:t>Available abstract (not full text):</w:t>
      </w:r>
      <w:r>
        <w:t xml:space="preserve"> Coconut shells are produced in a vast amount around tropical countries that needs to be utilized properly. Thermochemical methods are the main route for converting biomass to charcoal. Percentage of some relative factors in the biomass such as low-density, low caloric value, high ash, SOX, NOX, moisture content, microstructure, and complex elements are its major drawbacks. Nevertheless, no scientific studies were conducted on the carbonization of converting coconut shells to charcoal from local to global scales. Therefore, comprehensive and precise data on its production is limited. To overcome these problems; biomass materials need to be evaluated to assure the suitability of the biomass for the thermochemical process to curtail the yearning of energy demand. For the overall efficiency of the biomass conversion processes into the preference biomass-derived fuel, it is important to understand the physicochemical characteristics of the biomass. The paper aims at understanding the specialties of coconut shell biomass, which is directly used for thermochemical conversion mainly for charcoal production via; chemical structure, energy potential, and morphological analysis. The biomass exhibits a high: density of 412 kg/m3, a calorific value of 19.4 MJ/kg, fixed carbon of 21.8%, a volatile matter of 70.8%, carbon of 40.1%, and low amount moisture of 5.6%, and ash of 1.8%. EDX and XRF</w:t>
      </w:r>
    </w:p>
    <w:p>
      <w:pPr/>
      <w:r>
        <w:rPr>
          <w:b/>
        </w:rPr>
        <w:t>POSSIBLE 2021:</w:t>
      </w:r>
      <w:r>
        <w:t xml:space="preserve"> Regional analysis of multivariate compound coastal flooding potential around Europe and environs: sensitivity analysis and spatial patterns — https://doi.org/10.5194/nhess-21-2021-2021</w:t>
      </w:r>
    </w:p>
    <w:p>
      <w:pPr/>
      <w:r>
        <w:rPr>
          <w:b/>
        </w:rPr>
        <w:t>Shared claim-specific concepts:</w:t>
      </w:r>
      <w:r>
        <w:t xml:space="preserve"> potential, method, several, located, north, sea; EU scope visible. This is a provisional connection, not an outcome finding.</w:t>
      </w:r>
    </w:p>
    <w:p>
      <w:pPr>
        <w:pStyle w:val="SourceNote"/>
      </w:pPr>
      <w:r>
        <w:rPr>
          <w:b/>
        </w:rPr>
        <w:t>Available abstract (not full text):</w:t>
      </w:r>
      <w:r>
        <w:t xml:space="preserve"> Abstract. In coastal regions, floods can arise through a combination of multiple drivers, including direct surface run- off, river discharge, storm surge and waves. In this study, we analyse compound flood potential in Europe caused by these four main flooding sources using state-of-the-art databases with homogenous forcing (i.e., ERA5). First, we perform an analysis to assess the sensitivity of the compound flooding potential to several factors: 1) sampling method; 2) time window to select the concurrent event of the conditioned driver; 3) dependence metrics; 4) wave-driven sea level definition. We observe higher correlation coefficients using annual maxima than peaks over threshold. Regarding the other factors, our results show similar spatial distributions of the compound flooding potential. Second, the dependence between the pairs of drivers using the Kendall's rank correlation coefficient and the joint occurrence are synthesized for coherent patterns of compound flooding potential using a clustering technique. This quantitative multi-driver assessment not only distinguishes where overall compound flooding potential is the highest, but also discriminates which driver combinations are more likely to contribute to compound flooding. We identify hotspots of compound flooding potential located along the southern coast of the North Atlantic Ocean and the northern coast of the Me</w:t>
      </w:r>
    </w:p>
    <w:p>
      <w:pPr>
        <w:pStyle w:val="Heading2"/>
      </w:pPr>
      <w:r>
        <w:t>740. Assessing the Future of Renewable Energy Consumption for United Kingdom, Turkey and Nigeria</w:t>
      </w:r>
    </w:p>
    <w:p>
      <w:pPr>
        <w:pStyle w:val="SourceNote"/>
      </w:pPr>
      <w:r>
        <w:rPr>
          <w:b/>
        </w:rPr>
        <w:t>Original source (2018):</w:t>
      </w:r>
      <w:r>
        <w:t xml:space="preserve"> https://doi.org/10.17323/2500-2597.2018.4.62.77</w:t>
      </w:r>
    </w:p>
    <w:p>
      <w:pPr/>
      <w:r>
        <w:t>Original wording (abstract; indexed_source_text_not_full_document_verified): Then, a prediction model is developed for the year 2030. These findings support the advantages of government policies encouraging the use of RE by implementing RE markets and RE portfolio standards to not only enhance the security and environmental concerns, but also from a macroeconomic point of view (stable economic growth).</w:t>
      </w:r>
    </w:p>
    <w:p>
      <w:pPr/>
      <w:r>
        <w:rPr>
          <w:b/>
        </w:rPr>
        <w:t>POSSIBLE 2026:</w:t>
      </w:r>
      <w:r>
        <w:t xml:space="preserve"> Explainable AI-Based Clinical Decision Support System for Early Prediction of Pathological Findings in Forensic Practice — https://doi.org/10.48175/ijarsct-37846</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Background: The number of cases, subjectivity of the examiner and difficulty of integrating the different modes of evidence are all increasing challenges in forensic pathology. Whilst identification of the cause of death is strongly provided for, and characterization of trauma is a critical unmet need, neither can be achieved early and accurately. Methods: We propose an Explainable Artificial Intelligence Clinical Decision Support System (XAI-CDSS) combining a hybrid ensemble of Random Forest, XGBoost and Long Short-Term Memory (LSTM) networks, three complementary explainability modules: SHapley Additive exPlanations (SHAP), Local Interpretable Model-Agnostic Explanations (LIME), and Gradient-weighted Class Activation Mapping (Grad-CAM). Model training and evaluation were carried out on a subset of a multimodal forensic database 4,872 post-mortem cases collected by five different regional forensic centres which includes clinical data, toxicological data, CT imaging indices and histopathological grades. The class imbalance was addressed by using Bayesian hyperparameter optimisation and Synthetic Minority Over-sampling Technique (SMOTE). Results: The proposed XAI-CDSS outperformed other benchmark models achieved an overall accuracy of 96.2%, AUC-ROC of 0.974, sensitivity of 95.8% and specificity of 96.7% as compared to stand-alone XGBoost (94.1%), Random Forest (93.2%), SVM (90.8</w:t>
      </w:r>
    </w:p>
    <w:p>
      <w:pPr/>
      <w:r>
        <w:rPr>
          <w:b/>
        </w:rPr>
        <w:t>POSSIBLE 2025:</w:t>
      </w:r>
      <w:r>
        <w:t xml:space="preserve"> Breathalyzer as a Remote Monitoring and Support System for AUD: Early Findings on Dropout and Relapse Prediction Using Machine Learning — https://doi.org/10.1007/978-3-032-00656-1_14</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Interpretable (“Explainable”) Machine Learning in Osteoporosis Case Finding: Using SHAP values in clinical decision-support for the FREM Fracture Prediction Algorithm — https://openalex.org/W7113059247</w:t>
      </w:r>
    </w:p>
    <w:p>
      <w:pPr/>
      <w:r>
        <w:rPr>
          <w:b/>
        </w:rPr>
        <w:t>Shared claim-specific concepts:</w:t>
      </w:r>
      <w:r>
        <w:t xml:space="preserve"> prediction, not, only, but, also; EU scope not established. This is a provisional connection, not an outcome finding.</w:t>
      </w:r>
    </w:p>
    <w:p>
      <w:pPr>
        <w:pStyle w:val="SourceNote"/>
      </w:pPr>
      <w:r>
        <w:rPr>
          <w:b/>
        </w:rPr>
        <w:t>Available abstract (not full text):</w:t>
      </w:r>
      <w:r>
        <w:t xml:space="preserve"> We propose to evaluate the FREM -based relative risk estimates to promote osteoporosis case-finding in general practice. Importantly this alerts practitioners not only to the level of risk but also to the personalized factors driving the risk assessment.</w:t>
      </w:r>
    </w:p>
    <w:p>
      <w:pPr/>
      <w:r>
        <w:rPr>
          <w:b/>
        </w:rPr>
        <w:t>POSSIBLE 2025:</w:t>
      </w:r>
      <w:r>
        <w:t xml:space="preserve"> On Support Samples of Next Word Prediction — https://doi.org/10.18653/v1/2025.acl-long.507</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Language models excel in various tasks by making complex decisions, yet understanding the rationale behind these decisions remains a challenge.This paper investigates data-centric interpretability in language models, focusing on the next-word prediction task.Using representer theorem, we identify two types of support samples-those that either promote or deter specific predictions.Our findings reveal that being a support sample is an intrinsic property, predictable even before training begins.Additionally, while non-support samples are less influential in direct predictions, they play a critical role in preventing overfitting and shaping generalization and representation learning.Notably, the importance of non-support samples increases in deeper layers, suggesting their significant role in intermediate representation formation.These insights shed light on the interplay between data and model decisions, offering a new dimension to understanding language model behavior and interpretability. 1 * Equal contribution. 1 Our source code is publicly available at https://github.com/liyuqian44/ On-Support-Samples-of-Next-Word-Prediction.</w:t>
      </w:r>
    </w:p>
    <w:p>
      <w:pPr/>
      <w:r>
        <w:rPr>
          <w:b/>
        </w:rPr>
        <w:t>POSSIBLE 2025:</w:t>
      </w:r>
      <w:r>
        <w:t xml:space="preserve"> Support Vector Machines in Stock Price Prediction — https://doi.org/10.1002/9781394311682.ch22</w:t>
      </w:r>
    </w:p>
    <w:p>
      <w:pPr/>
      <w:r>
        <w:rPr>
          <w:b/>
        </w:rPr>
        <w:t>Shared claim-specific concepts:</w:t>
      </w:r>
      <w:r>
        <w:t xml:space="preserve"> prediction, findings, support, advantages; EU scope not established. This is a provisional connection, not an outcome finding.</w:t>
      </w:r>
    </w:p>
    <w:p>
      <w:pPr>
        <w:pStyle w:val="SourceNote"/>
      </w:pPr>
      <w:r>
        <w:rPr>
          <w:b/>
        </w:rPr>
        <w:t>Available abstract (not full text):</w:t>
      </w:r>
      <w:r>
        <w:t xml:space="preserve"> The current discussion about predicting the stock market demonstrates the vital significance of Support Vector Machines (SVMs) as a powerful analytical tool. Nevertheless, existing work has often overlooked the fundamental limitations of Support Vector Machines (SVMs), including their restricted effectiveness in dealing with skewed data distributions. The current study proposes to fill the gap in academic research by thoroughly evaluating previous findings and methodological methods of 25 papers in stock price prediction using Support Vector Machines (SVMs). This paper thoroughly analyzes previous research to present a new and highly anticipated model that effectively combines oversampling approaches with cost-sensitive learning mechanisms to improve the problem of unbalanced data. This suggested merger leverages the complementary advantages of both methodologies while reducing their limitations resulting in improvements in the accuracy and reliability of SVM-based models in stock market prediction. The study's empirical findings highlight the effectiveness of the suggested framework in providing more reliable forecasts regarding changes in stock prices. Moreover, the conversation includes an examination of the practical consequences, inherent difficulties, and potential directions for future research efforts. This work significantly contributes to the scholarly discourse and p</w:t>
      </w:r>
    </w:p>
    <w:p>
      <w:pPr/>
      <w:r>
        <w:rPr>
          <w:b/>
        </w:rPr>
        <w:t>POSSIBLE 2024:</w:t>
      </w:r>
      <w:r>
        <w:t xml:space="preserve"> Developing clinical prediction models: a step-by-step guide — https://doi.org/10.1136/bmj-2023-078276</w:t>
      </w:r>
    </w:p>
    <w:p>
      <w:pPr/>
      <w:r>
        <w:rPr>
          <w:b/>
        </w:rPr>
        <w:t>Shared claim-specific concepts:</w:t>
      </w:r>
      <w:r>
        <w:t xml:space="preserve"> prediction, also; EU scope not established. This is a provisional connection, not an outcome finding.</w:t>
      </w:r>
    </w:p>
    <w:p>
      <w:pPr>
        <w:pStyle w:val="SourceNote"/>
      </w:pPr>
      <w:r>
        <w:rPr>
          <w:b/>
        </w:rPr>
        <w:t>Available abstract (not full text):</w:t>
      </w:r>
      <w:r>
        <w:t xml:space="preserve"> Predicting future outcomes of patients is essential to clinical practice, with many prediction models published each year. Empirical evidence suggests that published studies often have severe methodological limitations, which undermine their usefulness. This article presents a step-by-step guide to help researchers develop and evaluate a clinical prediction model. The guide covers best practices in defining the aim and users, selecting data sources, addressing missing data, exploring alternative modelling options, and assessing model performance. The steps are illustrated using an example from relapsing-remitting multiple sclerosis. Comprehensive R code is also provided.</w:t>
      </w:r>
    </w:p>
    <w:p>
      <w:pPr/>
      <w:r>
        <w:rPr>
          <w:b/>
        </w:rPr>
        <w:t>POSSIBLE 2024:</w:t>
      </w:r>
      <w:r>
        <w:t xml:space="preserve"> Machine Learning Approaches for Stroke Risk Prediction: Findings from the Suita Study — https://doi.org/10.3390/jcdd11070207</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Stroke constitutes a significant public health concern due to its impact on mortality and morbidity. This study investigates the utility of machine learning algorithms in predicting stroke and identifying key risk factors using data from the Suita study, comprising 7389 participants and 53 variables. Initially, unsupervised k-prototype clustering categorized participants into risk clusters, while five supervised models including Logistic Regression (LR), Random Forest (RF), Support Vector Machine (SVM), Extreme Gradient Boosting (XGBoost), and Light Gradient Boosted Machine (LightGBM) were employed to predict stroke outcomes. Stroke incidence disparities among identified risk clusters using the unsupervised k-prototype clustering method are substantial, according to the findings. Supervised learning, particularly RF, was a preferable option because of the higher levels of performance metrics. The Shapley Additive Explanations (SHAP) method identified age, systolic blood pressure, hypertension, estimated glomerular filtration rate, metabolic syndrome, and blood glucose level as key predictors of stroke, aligning with findings from the unsupervised clustering approach in high-risk groups. Additionally, previously unidentified risk factors such as elbow joint thickness, fructosamine, hemoglobin, and calcium level demonstrate potential for stroke prediction. In conclusion, machine </w:t>
      </w:r>
    </w:p>
    <w:p>
      <w:pPr/>
      <w:r>
        <w:rPr>
          <w:b/>
        </w:rPr>
        <w:t>POSSIBLE 2024:</w:t>
      </w:r>
      <w:r>
        <w:t xml:space="preserve"> Prediction in bilingual sentence processing — https://doi.org/10.1075/lab.22102.mei</w:t>
      </w:r>
    </w:p>
    <w:p>
      <w:pPr/>
      <w:r>
        <w:rPr>
          <w:b/>
        </w:rPr>
        <w:t>Shared claim-specific concepts:</w:t>
      </w:r>
      <w:r>
        <w:t xml:space="preserve"> prediction, findings, support, use, also; EU scope not established. This is a provisional connection, not an outcome finding.</w:t>
      </w:r>
    </w:p>
    <w:p>
      <w:pPr>
        <w:pStyle w:val="SourceNote"/>
      </w:pPr>
      <w:r>
        <w:rPr>
          <w:b/>
        </w:rPr>
        <w:t>Available abstract (not full text):</w:t>
      </w:r>
      <w:r>
        <w:t xml:space="preserve"> Abstract The Unified Competition Model ( MacWhinney, 2012 ) accounts for cross-linguistic differences in thematic role mapping. We investigated production and predictive use of accusative case morphology in Russian-Hebrew bilingual children. We also investigated the role of production in predictive processing testing the Prediction-by-Production Account ( Pickering &amp; Garrod, 2018 ) vs. the Missing Surface Inflection Hypothesis ( Prévost &amp; White, 2000 ). Three groups of children aged 4–8 participated: Russian-Hebrew-speaking bilinguals, Russian-speaking and Hebrew-speaking monolingual controls. All children participated in the accusative case production and Visual-World eye-tracking comprehension experiments. Bilinguals were tested in both of their languages. The results of the study confirmed the predictions of the Unified Competition Model showing typological differences in the strength of the case-marking cue and its predictive use in sentence processing in Russian- and Hebrew-speaking controls. While Russian-speaking monolinguals relied on case marking to predict the upcoming agent/patient, the performance of Hebrew-speaking monolingual children varied. The findings for bilinguals showed that despite their lower production accuracy in both languages, they were either indistinguishable from monolinguals or showed an advantage in the predictive use of case morphology. The find</w:t>
      </w:r>
    </w:p>
    <w:p>
      <w:pPr/>
      <w:r>
        <w:rPr>
          <w:b/>
        </w:rPr>
        <w:t>POSSIBLE 2024:</w:t>
      </w:r>
      <w:r>
        <w:t xml:space="preserve"> Diabetes Prediction Based on Support Vector Machine Model — https://doi.org/10.54097/ygdasy74</w:t>
      </w:r>
    </w:p>
    <w:p>
      <w:pPr/>
      <w:r>
        <w:rPr>
          <w:b/>
        </w:rPr>
        <w:t>Shared claim-specific concepts:</w:t>
      </w:r>
      <w:r>
        <w:t xml:space="preserve"> prediction, findings, support; EU scope not established. This is a provisional connection, not an outcome finding.</w:t>
      </w:r>
    </w:p>
    <w:p>
      <w:pPr>
        <w:pStyle w:val="SourceNote"/>
      </w:pPr>
      <w:r>
        <w:rPr>
          <w:b/>
        </w:rPr>
        <w:t>Available abstract (not full text):</w:t>
      </w:r>
      <w:r>
        <w:t xml:space="preserve"> Diabetes is a chronic condition, the symptoms of which may be relatively mild in the initial stages. Consequently, early prediction is of paramount importance for disease management and treatment. This study aims to employ a Support Vector Machine (SVM) model for the prognostication of diabetes risk. In comparison to conventional prediction techniques, SVMs are adept at capturing complex nonlinear relationships, and possess the capability to handle high-dimensional data and model nonlinearities effectively. By leveraging the strengths of SVMs, it is possible to anticipate the risk of diabetes based on various diagnostic indicators, thereby mitigating the severity of the condition and the risk of complications. The findings of this research offer valuable insights for the management and treatment of diabetes, holding significant application potential for the improvement of diagnosis and therapeutic strategies for diabetic patients.</w:t>
      </w:r>
    </w:p>
    <w:p>
      <w:pPr/>
      <w:r>
        <w:rPr>
          <w:b/>
        </w:rPr>
        <w:t>POSSIBLE 2024:</w:t>
      </w:r>
      <w:r>
        <w:t xml:space="preserve"> Illusory generalizability of clinical prediction models — https://doi.org/10.1126/science.adg8538</w:t>
      </w:r>
    </w:p>
    <w:p>
      <w:pPr/>
      <w:r>
        <w:rPr>
          <w:b/>
        </w:rPr>
        <w:t>Shared claim-specific concepts:</w:t>
      </w:r>
      <w:r>
        <w:t xml:space="preserve"> prediction, developed, not, but; EU scope not established. This is a provisional connection, not an outcome finding.</w:t>
      </w:r>
    </w:p>
    <w:p>
      <w:pPr>
        <w:pStyle w:val="SourceNote"/>
      </w:pPr>
      <w:r>
        <w:rPr>
          <w:b/>
        </w:rPr>
        <w:t>Available abstract (not full text):</w:t>
      </w:r>
      <w:r>
        <w:t xml:space="preserve"> It is widely hoped that statistical models can improve decision-making related to medical treatments. Because of the cost and scarcity of medical outcomes data, this hope is typically based on investigators observing a model's success in one or two datasets or clinical contexts. We scrutinized this optimism by examining how well a machine learning model performed across several independent clinical trials of antipsychotic medication for schizophrenia. Models predicted patient outcomes with high accuracy within the trial in which the model was developed but performed no better than chance when applied out-of-sample. Pooling data across trials to predict outcomes in the trial left out did not improve predictions. These results suggest that models predicting treatment outcomes in schizophrenia are highly context-dependent and may have limited generalizability.</w:t>
      </w:r>
    </w:p>
    <w:p>
      <w:pPr/>
      <w:r>
        <w:rPr>
          <w:b/>
        </w:rPr>
        <w:t>POSSIBLE 2024:</w:t>
      </w:r>
      <w:r>
        <w:t xml:space="preserve"> Prediction models for personalized — https://doi.org/10.26481/dis.20250122ft</w:t>
      </w:r>
    </w:p>
    <w:p>
      <w:pPr/>
      <w:r>
        <w:rPr>
          <w:b/>
        </w:rPr>
        <w:t>Shared claim-specific concepts:</w:t>
      </w:r>
      <w:r>
        <w:t xml:space="preserve"> prediction, but; EU scope not established. This is a provisional connection, not an outcome finding.</w:t>
      </w:r>
    </w:p>
    <w:p>
      <w:pPr>
        <w:pStyle w:val="SourceNote"/>
      </w:pPr>
      <w:r>
        <w:rPr>
          <w:b/>
        </w:rPr>
        <w:t>Available abstract (not full text):</w:t>
      </w:r>
      <w:r>
        <w:t xml:space="preserve"> Background: To maximize the likelihood of positive outcome in non-small-cell lung cancer (NSCLC) survivors, potential benefits of treatment modalities have to be weighed against the possibilities of damage to normal tissues, such as the heart.Highquality data-driven evidence regarding appropriate risk stratification strategies is still scarce.The aim of this review is to summarize and appraise available prediction models for treatment-induced cardiac events in patients with NSCLC.Methods: A systematic search of MEDLINE was performed using a Boolean combination of appropriate truncation and indexing terms related to "NSCLC", "prediction models", "cardiac toxicity", and "treatment modalities".The following exclusion criteria were applied: sample-size of less than 100, no significant predictors in multivariate analysis, lack of model specifications, and case-mix studies.The generic inverse variance method was used to pool the summary effect estimate for each predictor.The quality of the papers was assessed using the Prediction model Risk Of Bias Assessment Tool.Results: Of the 3,056 papers retrieved, 28 prediction models were identified, including seven for (chemo-)radiotherapy, one for immunotherapy, and 20 for surgical resection.Forty-one distinct predictors were entered in the prediction models.The pooled effect estimate of the mean heart dose (HR=1.06,95%CI:1.04-1.08)and histo</w:t>
      </w:r>
    </w:p>
    <w:p>
      <w:pPr/>
      <w:r>
        <w:rPr>
          <w:b/>
        </w:rPr>
        <w:t>POSSIBLE 2023:</w:t>
      </w:r>
      <w:r>
        <w:t xml:space="preserve"> There is no such thing as a validated prediction model — https://doi.org/10.1186/s12916-023-02779-w</w:t>
      </w:r>
    </w:p>
    <w:p>
      <w:pPr/>
      <w:r>
        <w:rPr>
          <w:b/>
        </w:rPr>
        <w:t>Shared claim-specific concepts:</w:t>
      </w:r>
      <w:r>
        <w:t xml:space="preserve"> prediction, support, not, but; EU scope not established. This is a provisional connection, not an outcome finding.</w:t>
      </w:r>
    </w:p>
    <w:p>
      <w:pPr>
        <w:pStyle w:val="SourceNote"/>
      </w:pPr>
      <w:r>
        <w:rPr>
          <w:b/>
        </w:rPr>
        <w:t>Available abstract (not full text):</w:t>
      </w:r>
      <w:r>
        <w:t xml:space="preserve"> BACKGROUND: Clinical prediction models should be validated before implementation in clinical practice. But is favorable performance at internal validation or one external validation sufficient to claim that a prediction model works well in the intended clinical context? MAIN BODY: We argue to the contrary because (1) patient populations vary, (2) measurement procedures vary, and (3) populations and measurements change over time. Hence, we have to expect heterogeneity in model performance between locations and settings, and across time. It follows that prediction models are never truly validated. This does not imply that validation is not important. Rather, the current focus on developing new models should shift to a focus on more extensive, well-conducted, and well-reported validation studies of promising models. CONCLUSION: Principled validation strategies are needed to understand and quantify heterogeneity, monitor performance over time, and update prediction models when appropriate. Such strategies will help to ensure that prediction models stay up-to-date and safe to support clinical decision-making.</w:t>
      </w:r>
    </w:p>
    <w:p>
      <w:pPr>
        <w:pStyle w:val="Heading2"/>
      </w:pPr>
      <w:r>
        <w:t>741. Baltic herring for food: Shades of grey in how backcasting recommendations work across exploratory scenarios</w:t>
      </w:r>
    </w:p>
    <w:p>
      <w:pPr>
        <w:pStyle w:val="SourceNote"/>
      </w:pPr>
      <w:r>
        <w:rPr>
          <w:b/>
        </w:rPr>
        <w:t>Original source (2018):</w:t>
      </w:r>
      <w:r>
        <w:t xml:space="preserve"> https://doi.org/10.1016/j.techfore.2018.11.001</w:t>
      </w:r>
    </w:p>
    <w:p>
      <w:pPr/>
      <w:r>
        <w:t>Original wording (abstract; indexed_source_text_not_full_document_verified): The case study: 1) develops recommendations on how the use of Baltic herring as food can be increased based on a participatory backcasting workshop with fisheries experts; 2) identifies four exploratory scenarios on the future of Baltic fisheries governance based on a literature review; 3) assesses how the recommendations work under four alternative plausible futures. Together, these stress the need to analyse simultaneously multiple drivers, stakeholders, exploratory scenarios, normative recommendations, and synergies and frictions between recommendations.</w:t>
      </w:r>
    </w:p>
    <w:p>
      <w:pPr/>
      <w:r>
        <w:rPr>
          <w:b/>
        </w:rPr>
        <w:t>POSSIBLE 2026:</w:t>
      </w:r>
      <w:r>
        <w:t xml:space="preserve"> Emission factors for motorcycles in developing countries: insights and recommendations from a Colombian case study — https://doi.org/10.3389/frsc.2026.1730395</w:t>
      </w:r>
    </w:p>
    <w:p>
      <w:pPr/>
      <w:r>
        <w:rPr>
          <w:b/>
        </w:rPr>
        <w:t>Shared claim-specific concepts:</w:t>
      </w:r>
      <w:r>
        <w:t xml:space="preserve"> case, recommendations, increased, identifies; EU scope not established. This is a provisional connection, not an outcome finding.</w:t>
      </w:r>
    </w:p>
    <w:p>
      <w:pPr>
        <w:pStyle w:val="SourceNote"/>
      </w:pPr>
      <w:r>
        <w:rPr>
          <w:b/>
        </w:rPr>
        <w:t>Available abstract (not full text):</w:t>
      </w:r>
      <w:r>
        <w:t xml:space="preserve"> Motorcycles in Latin America and the Caribbean have increased by nearly 150% since the early 2000s, now accounting for up to 60% of the vehicle fleet in some countries. This surge calls for a comprehensive assessment of their environmental impacts and contributions to local and global pollution. Understanding the role of motorcycles in atmospheric pollution is essential for developing effective mitigation strategies and informed policies. However, there is a significant lack of standardized methods for estimating motorcycle emissions, which hinders air pollution analysis and the development of effective control measures. This Brief Research Report highlights the urgent need for a systematic analysis of emission factors (EFs) for motorcycles used in local inventories. It focuses on developing countries, with a Colombian case study that: (i) examines current EFs used in official local inventories; (ii) identifies criteria for selecting suitable EFs in cities with limited measured data; and (iii) makes recommendations tailored to local conditions to ensure consistency across motorcycle categories, technologies, and pollutants, illustrated with one applied example. The study underscores the importance of improving EFs to establish a stronger foundation for policies aimed at improving air quality management in developing regions.</w:t>
      </w:r>
    </w:p>
    <w:p>
      <w:pPr/>
      <w:r>
        <w:rPr>
          <w:b/>
        </w:rPr>
        <w:t>POSSIBLE 2026:</w:t>
      </w:r>
      <w:r>
        <w:t xml:space="preserve"> Adherence to dietary recommendations and the risk of developing giant cell arteritis: A nested Case-Control study — https://doi.org/10.1016/j.semarthrit.2026.153003</w:t>
      </w:r>
    </w:p>
    <w:p>
      <w:pPr/>
      <w:r>
        <w:rPr>
          <w:b/>
        </w:rPr>
        <w:t>Shared claim-specific concepts:</w:t>
      </w:r>
      <w:r>
        <w:t xml:space="preserve"> case, recommendations, increased, four, review; EU scope not established. This is a provisional connection, not an outcome finding.</w:t>
      </w:r>
    </w:p>
    <w:p>
      <w:pPr>
        <w:pStyle w:val="SourceNote"/>
      </w:pPr>
      <w:r>
        <w:rPr>
          <w:b/>
        </w:rPr>
        <w:t>Available abstract (not full text):</w:t>
      </w:r>
      <w:r>
        <w:t xml:space="preserve"> OBJECTIVES: To investigate the relation between adherence to dietary recommendations, the quantified intake of the components of these recommendations, and the risk of developing giant cell arteritis (GCA). METHODS: Participants in the Malmö Diet and Cancer Study cohort who subsequently developed GCA were identified through register linkage and validated in a structured review. Four controls, matched for age, sex, and year of inclusion, were selected per case. Diet quality was assessed using the Swedish Dietary Guidelines Score (SDGS, range 0-5). The relations for the SDGS, adherence to recommendations for each component and total intake of each component with development of GCA were assessed using logistic regression, adjusted for total energy intake, leisure-time physical activity and alcohol intake. Potential misreporters of total energy intake were excluded. RESULTS: There were 193 incident cases of GCA. High adherence to dietary guidelines (SDGS 4-5 vs 0-1) was associated with subsequent development of GCA (adjusted odds ratio 2.70; 95% CI 1.43-5.10). In adjusted models, adherence to recommended intake of added sugar, fish and shellfish and vegetables and fruit was associated with an increased risk of GCA. A reduced risk was seen with higher quantified consumption of added sugar, and an increased risk with higher intakes of fiber and fish and shellfish. CONCLUSIONS: An ove</w:t>
      </w:r>
    </w:p>
    <w:p>
      <w:pPr/>
      <w:r>
        <w:rPr>
          <w:b/>
        </w:rPr>
        <w:t>POSSIBLE 2026:</w:t>
      </w:r>
      <w:r>
        <w:t xml:space="preserve"> Developing Recommendations to Improve Performance of Employees — https://openalex.org/W7162971626</w:t>
      </w:r>
    </w:p>
    <w:p>
      <w:pPr/>
      <w:r>
        <w:rPr>
          <w:b/>
        </w:rPr>
        <w:t>Shared claim-specific concepts:</w:t>
      </w:r>
      <w:r>
        <w:t xml:space="preserve"> case, recommendations, based, literature; EU scope not established. This is a provisional connection, not an outcome finding.</w:t>
      </w:r>
    </w:p>
    <w:p>
      <w:pPr>
        <w:pStyle w:val="SourceNote"/>
      </w:pPr>
      <w:r>
        <w:rPr>
          <w:b/>
        </w:rPr>
        <w:t>Available abstract (not full text):</w:t>
      </w:r>
      <w:r>
        <w:t xml:space="preserve"> The Nepalese banking sector is highly competitive For KBL to stay competitive. For KBL to stay competitive, among others, employee performance is critical. This is also the case for KBL operation department. To improve employee performance the case company is developing training programs. The objective of this thesis was to provide recommendations on how to improve the performance of employees in operation department of Kumari Bank Limited. This study is based on collecting data at different stages of this study. First, data was collected through a current state analysis (CSA), including interview with operation manager to find the key weaknesses of account opening process. The findings from the CSA then guided the selection of relevant literature, forming the basis of conceptual framework on developing employee training programs. The insights from these phases were utilized to create an initial proposal on developing training programs with operation manager interview through data 2. Finally, the proposed training program development was validated using data 3, gathered through interview with operation manager. The outcome of this thesis is recommendations for employee training programs that help to increase the performance of employees in the operation department of Kumari Bank Limited.</w:t>
      </w:r>
    </w:p>
    <w:p>
      <w:pPr/>
      <w:r>
        <w:rPr>
          <w:b/>
        </w:rPr>
        <w:t>POSSIBLE 2025:</w:t>
      </w:r>
      <w:r>
        <w:t xml:space="preserve"> Mixed Methods Research in the Field of Clinical Practice Guidelines: The Case of Developing a Methodological Model for Good Practice Recommendation — https://doi.org/10.1177/15586898251362907</w:t>
      </w:r>
    </w:p>
    <w:p>
      <w:pPr/>
      <w:r>
        <w:rPr>
          <w:b/>
        </w:rPr>
        <w:t>Shared claim-specific concepts:</w:t>
      </w:r>
      <w:r>
        <w:t xml:space="preserve"> case, use, exploratory; EU scope not established. This is a provisional connection, not an outcome finding.</w:t>
      </w:r>
    </w:p>
    <w:p>
      <w:pPr>
        <w:pStyle w:val="SourceNote"/>
      </w:pPr>
      <w:r>
        <w:rPr>
          <w:b/>
        </w:rPr>
        <w:t>Available abstract (not full text):</w:t>
      </w:r>
      <w:r>
        <w:t xml:space="preserve"> Mixed methods research provides a valuable opportunity to deepen our understanding of phenomena. However, practical guidance on using the method to develop methodological models in clinical practice guidelines (CPGs) field is limited. This article illustrates the use of exploratory sequential mixed methods design to develop a methodological model to standardize the formation of good practice recommendation (GPR) within CPGs in the context of weak evidence or no evidence. It demonstrates how qualitative and quantitative data can be systematically integrated throughout the model construction and validation. The GPR methodological model includes three main themes: connotation , procedure and methods , and reporting guideline . It assists CPGs developers in GPR formulation, aligns researchers’ methodological understanding of GPR, and informs future GPR methodological development.</w:t>
      </w:r>
    </w:p>
    <w:p>
      <w:pPr/>
      <w:r>
        <w:rPr>
          <w:b/>
        </w:rPr>
        <w:t>POSSIBLE 2025:</w:t>
      </w:r>
      <w:r>
        <w:t xml:space="preserve"> DEVELOPING CONFERENCE INTERPRETER TRAINING IN UKRAINE WITHIN THE EU INTEGRATION FRAMEWORK: CASE STUDIES, RESEARCH, AND STRATEGIC RECOMMENDATIONS — https://doi.org/10.34079/2415-3168-2025-18-33-101-106</w:t>
      </w:r>
    </w:p>
    <w:p>
      <w:pPr/>
      <w:r>
        <w:rPr>
          <w:b/>
        </w:rPr>
        <w:t>Shared claim-specific concepts:</w:t>
      </w:r>
      <w:r>
        <w:t xml:space="preserve"> case, recommendations, identifies; EU scope visible. This is a provisional connection, not an outcome finding.</w:t>
      </w:r>
    </w:p>
    <w:p>
      <w:pPr>
        <w:pStyle w:val="SourceNote"/>
      </w:pPr>
      <w:r>
        <w:rPr>
          <w:b/>
        </w:rPr>
        <w:t>Available abstract (not full text):</w:t>
      </w:r>
      <w:r>
        <w:t xml:space="preserve"> This article examines the evolution of conference interpreter training in Ukraine in the context of the country’s European integration and the growing demand for multilingual communication in international institutions. It explores how interpreter education is being reshaped to align with the European Union’s standards, institutional frameworks, and quality assurance mechanisms. Drawing on EU-funded research, comparative case studies from established training systems in EU member states, and recent national reforms and pilot initiatives in Ukraine, the study identifies both successful practices and systemic challenges. Special attention is given to institutional development, the role of professional networks, and the integration of EU-accredited curricula. The article offers strategic recommendations aimed at ensuring sustainable, high-quality interpreter training capable of supporting Ukraine’s participation in the multilingual and multicultural environment of the EU. It argues for greater institutional support, long-term investment,and cross-border cooperation to build a resilient infrastructure for professional conference interpreting that meets European standards. Key words:conference interpreting, interpreter training, EU integration, EMCI standards, Ukraine, multilingualism, European Parliament, higher education reform, accreditation, language policy</w:t>
      </w:r>
    </w:p>
    <w:p>
      <w:pPr/>
      <w:r>
        <w:rPr>
          <w:b/>
        </w:rPr>
        <w:t>POSSIBLE 2025:</w:t>
      </w:r>
      <w:r>
        <w:t xml:space="preserve"> Adaptive introgression from Pacific herring to Atlantic herring in the brackish Baltic Sea — https://doi.org/10.1101/2025.11.02.685776</w:t>
      </w:r>
    </w:p>
    <w:p>
      <w:pPr/>
      <w:r>
        <w:rPr>
          <w:b/>
        </w:rPr>
        <w:t>Shared claim-specific concepts:</w:t>
      </w:r>
      <w:r>
        <w:t xml:space="preserve"> case, baltic, herring; EU scope not established. This is a provisional connection, not an outcome finding.</w:t>
      </w:r>
    </w:p>
    <w:p>
      <w:pPr>
        <w:pStyle w:val="SourceNote"/>
      </w:pPr>
      <w:r>
        <w:rPr>
          <w:b/>
        </w:rPr>
        <w:t>Available abstract (not full text):</w:t>
      </w:r>
      <w:r>
        <w:t xml:space="preserve"> Abstract The genomic era has revealed that interspecific gene flow can play an important role in adaptive evolution. Here, we report a striking case of adaptive introgression from Pacific into Atlantic herring following the colonization of the brackish Baltic Sea. Gene flow likely occurred in the Arctic, where the distributions of the two species overlap. Although introgression affected only 0.29% of the genome, these regions encompass about 10% of the loci showing strong differentiation between Atlantic and Baltic herring, indicating that natural selection has favored introgressed alleles in functionally important parts of the genome. Adaptive introgression may have been facilitated by shared spawning depths and salinity preferences between Pacific and Baltic herring, in contrast to Atlantic herring, which spawn in deeper, fully marine waters. Introgressed genes such as THRB and SEC16B may have enhanced visual acuity and lipid metabolism, respectively, promoting adaptation to the brackish Baltic environment.</w:t>
      </w:r>
    </w:p>
    <w:p>
      <w:pPr/>
      <w:r>
        <w:rPr>
          <w:b/>
        </w:rPr>
        <w:t>POSSIBLE 2025:</w:t>
      </w:r>
      <w:r>
        <w:t xml:space="preserve"> Stock Rebuilding in a Mixed‐Population Fishery Context: The Case of North Sea and Western Baltic Herring — https://doi.org/10.1111/fme.70037</w:t>
      </w:r>
    </w:p>
    <w:p>
      <w:pPr/>
      <w:r>
        <w:rPr>
          <w:b/>
        </w:rPr>
        <w:t>Shared claim-specific concepts:</w:t>
      </w:r>
      <w:r>
        <w:t xml:space="preserve"> case, baltic, herring, fisheries; EU scope not established. This is a provisional connection, not an outcome finding.</w:t>
      </w:r>
    </w:p>
    <w:p>
      <w:pPr>
        <w:pStyle w:val="SourceNote"/>
      </w:pPr>
      <w:r>
        <w:rPr>
          <w:b/>
        </w:rPr>
        <w:t>Available abstract (not full text):</w:t>
      </w:r>
      <w:r>
        <w:t xml:space="preserve"> ABSTRACT Managing and giving advice for mixed‐population fisheries of the same species can be challenging due to difficulties in predicting stock mixing, technical interactions, and in ensuring precautionary stock dynamics. Most fish species consist of several populations all of which need to be sustainably managed to preserve biodiversity and resilience to environmental changes, and to sustain productive fisheries. Mixing of populations of the same species with different productivity represents additional challenges for assessment and management. In such cases, there is a need to develop assessment and advice methods to consider mixed stocks and advise managers on fishing opportunities. In this study, we develop a framework including multifleet multi‐stock assessment models and forecasts where future stock dynamics depend on stock mixing, fleet‐specific fishing opportunities, and management in place. This framework is applied to the large North Sea herring stock and the overexploited western Baltic herring stock, which in part of their distribution areas are found to be mixed in both catches and surveys. The framework is used to investigate the trade‐offs between stock rebuilding and fishing opportunities in a mixed fishery. The study shows that spatial management implying transfer of quotas away from the areas where the stocks mix and towards the stock in good condition could</w:t>
      </w:r>
    </w:p>
    <w:p>
      <w:pPr/>
      <w:r>
        <w:rPr>
          <w:b/>
        </w:rPr>
        <w:t>POSSIBLE 2025:</w:t>
      </w:r>
      <w:r>
        <w:t xml:space="preserve"> Characterizing Project ECHO Autism Case Recommendations and Implementation — https://doi.org/10.5334/ijic.nacic24035</w:t>
      </w:r>
    </w:p>
    <w:p>
      <w:pPr/>
      <w:r>
        <w:rPr>
          <w:b/>
        </w:rPr>
        <w:t>Shared claim-specific concepts:</w:t>
      </w:r>
      <w:r>
        <w:t xml:space="preserve"> case, recommendations, increased, alternative; EU scope not established. This is a provisional connection, not an outcome finding.</w:t>
      </w:r>
    </w:p>
    <w:p>
      <w:pPr>
        <w:pStyle w:val="SourceNote"/>
      </w:pPr>
      <w:r>
        <w:rPr>
          <w:b/>
        </w:rPr>
        <w:t>Available abstract (not full text):</w:t>
      </w:r>
      <w:r>
        <w:t xml:space="preserve"> Background: The Extension for Community Health Outcomes (ECHO) model creates virtual communities to help mitigate the barriers to treating complex conditions, including autism spectrum disorder (ASD; autism). ECHO Ontario Autism was developed to build province-wide capacity to diagnose autism by building community providers' skills; and 2) to improve provider understanding and confidence around autism and available therapies and supports. ECHO Ontario Autism attempts to achieve these goals through multipoint video conferencing that connects community providers with peers and specialists who can offer education, guidance on cases, and support. This study aims to determine the types of recommendations provided through the ECHO Autism Ontario program, identify reasons some recommendations were not enacted, and summarize how recommendations have impacted the practice of clinicians who present cases within ECHO didactic sessions. Approach: To code the types of recommendations provided within the ECHO Ontario Autism cases, two researchers coded deductively with a pre-existing coding guide from a previous evaluation of this program. Two researchers used an inductive approach to developing codes to categorize reasons recommendations were rejected and the impact of ECHO Ontario Autism. A summative content analysis was used to determine the frequencies with which these categories occurre</w:t>
      </w:r>
    </w:p>
    <w:p>
      <w:pPr/>
      <w:r>
        <w:rPr>
          <w:b/>
        </w:rPr>
        <w:t>POSSIBLE 2024:</w:t>
      </w:r>
      <w:r>
        <w:t xml:space="preserve"> Developing a Multi-Criteria Restaurant Recommendation System with MOORA: A Case Study in Gading Serpong — https://doi.org/10.33168/jliss.2024.1128</w:t>
      </w:r>
    </w:p>
    <w:p>
      <w:pPr/>
      <w:r>
        <w:rPr>
          <w:b/>
        </w:rPr>
        <w:t>Shared claim-specific concepts:</w:t>
      </w:r>
      <w:r>
        <w:t xml:space="preserve"> case, recommendations, use, food, based, assesses; EU scope not established. This is a provisional connection, not an outcome finding.</w:t>
      </w:r>
    </w:p>
    <w:p>
      <w:pPr>
        <w:pStyle w:val="SourceNote"/>
      </w:pPr>
      <w:r>
        <w:rPr>
          <w:b/>
        </w:rPr>
        <w:t>Available abstract (not full text):</w:t>
      </w:r>
      <w:r>
        <w:t xml:space="preserve"> The rapid growth of the restaurant industry in Indonesia, particularly in the Gading Serpong area, has led to an increasing variety of dining options.This abundance of choices can often lead to confusion among consumers when selecting a restaurant.To address this issue, this study aims to develop a web-based restaurant recommendation system using the Multi-Objective Optimization by Ratio Analysis (MOORA) method.The system assists users in making informed decisions by providing restaurant recommendations based on their preferences.The MOORA method is employed to rank restaurants considering multiple criteria such as price, operating hours, cleanliness, food variety, and ratings.The system's effectiveness is evaluated using the End-user Computing Satisfaction (EUCS) method, which assesses user satisfaction across five dimensions: content, accuracy, format, ease of use, and timeliness.The results indicate that the developed system achieves an overall user satisfaction rate of 87.53%, demonstrating its potential to assist users in restaurant selection.This research contributes to the application of multi-criteria decision-making methods in recommendation systems and highlights the importance of user satisfaction evaluation in system development.</w:t>
      </w:r>
    </w:p>
    <w:p>
      <w:pPr/>
      <w:r>
        <w:rPr>
          <w:b/>
        </w:rPr>
        <w:t>POSSIBLE 2024:</w:t>
      </w:r>
      <w:r>
        <w:t xml:space="preserve"> Reduced predation and competition from herring may have contributed to the increase of three-spined stickleback in the Baltic Sea — https://doi.org/10.1093/icesjms/fsae168</w:t>
      </w:r>
    </w:p>
    <w:p>
      <w:pPr/>
      <w:r>
        <w:rPr>
          <w:b/>
        </w:rPr>
        <w:t>Shared claim-specific concepts:</w:t>
      </w:r>
      <w:r>
        <w:t xml:space="preserve"> baltic, herring, food, increased; EU scope visible. This is a provisional connection, not an outcome finding.</w:t>
      </w:r>
    </w:p>
    <w:p>
      <w:pPr>
        <w:pStyle w:val="SourceNote"/>
      </w:pPr>
      <w:r>
        <w:rPr>
          <w:b/>
        </w:rPr>
        <w:t>Available abstract (not full text):</w:t>
      </w:r>
      <w:r>
        <w:t xml:space="preserve"> Abstract In many areas of the Baltic Sea, three-spined stickleback (Gasterosteus aculeatus) has increased several fold since the early 2000s. Two major planktivores of the Baltic Sea, Atlantic herring (Clupea harengus) and European sprat (Sprattus sprattus), may interact with stickleback via competition for food and predation, but the potential implications at the population level are still unknown. Here, we explored interactions between stickleback, herring, and sprat using (i) herring diet analyses and (ii) fish biomass estimates from hydroacoustics for 2001–2019 covering the largest Baltic Sea basins—the Central Baltic and the Bothnian Sea. The diet analyses revealed that stickleback is an important prey for large herring along the Swedish Baltic Sea coast, comprising up to 64% of the diet of individuals &gt;22 cm. We found a negative influence of large herring (&gt;18 cm) on stickleback in the Central Baltic, and a negative relationship between sprat and small herring (&lt;18 cm) (pooled) and stickleback in the Bothnian Sea. The decline in herring and sprat population after the mid-1990s could have contributed to the increase in stickleback population via reduced predation and competition. Overall, herring may be an underappreciated piscivore, and high fishing pressure on herring could generate cascading effects on lower trophic levels.</w:t>
      </w:r>
    </w:p>
    <w:p>
      <w:pPr/>
      <w:r>
        <w:rPr>
          <w:b/>
        </w:rPr>
        <w:t>POSSIBLE 2024:</w:t>
      </w:r>
      <w:r>
        <w:t xml:space="preserve"> Workshop 3 on Stock Identification and Allocation of Catches of Herring to Stocks (WKSIDAC3) — https://doi.org/10.17895/ices.pub.27902457</w:t>
      </w:r>
    </w:p>
    <w:p>
      <w:pPr/>
      <w:r>
        <w:rPr>
          <w:b/>
        </w:rPr>
        <w:t>Shared claim-specific concepts:</w:t>
      </w:r>
      <w:r>
        <w:t xml:space="preserve"> case, baltic, herring, based, workshop; EU scope not established. This is a provisional connection, not an outcome finding.</w:t>
      </w:r>
    </w:p>
    <w:p>
      <w:pPr>
        <w:pStyle w:val="SourceNote"/>
      </w:pPr>
      <w:r>
        <w:rPr>
          <w:b/>
        </w:rPr>
        <w:t>Available abstract (not full text):</w:t>
      </w:r>
      <w:r>
        <w:t xml:space="preserve"> Most herring populations are migratory with variable overlap such that catches and surveys often cover a mixture of stocks. To monitor specific stocks, stock composition data based on ver-tebrae, otoliths or genetics have routinely been collected; however, the design of sampling strate-gies has received limited attention for this specific purpose. WKSIDAC3 reviewed current sam-pling strategies and designs. Further, simulation and case studies evaluated different sampling strategies and the effect of different sample sizes. Most institutes are collecting genetic samples from herring in surveys and commercial catches. However, some gaps are still present, particularly in the southwestern North Sea, eastern Baltic Sea, and Icelandic Sea. The number of individual genotypes needed for inference on stock com-positions depends on the genetic difference between stocks, between haul variation, and the sub-sequent analysis. Simulation studies indicated that random sampling strategies should geno-type at least 30–50 individuals per haul and 300 per stratum. For length stratified sampling the minimum number per haul should be 50–70. When possible, increasing the number of hauls is more effective at increasing precision than increasing the number of genotyped individuals. The two case studies have also demonstrated this. However, further studies based on the specific sampling programs are n</w:t>
      </w:r>
    </w:p>
    <w:p>
      <w:pPr/>
      <w:r>
        <w:rPr>
          <w:b/>
        </w:rPr>
        <w:t>POSSIBLE 2024:</w:t>
      </w:r>
      <w:r>
        <w:t xml:space="preserve"> Analysis of recommendations for developing sustainable fishing areas based on geographic information systems: the integrated Center of Marine and Fisheries (SKPT) Mimika case study — https://doi.org/10.1088/1755-1315/1357/1/012035</w:t>
      </w:r>
    </w:p>
    <w:p>
      <w:pPr/>
      <w:r>
        <w:rPr>
          <w:b/>
        </w:rPr>
        <w:t>Shared claim-specific concepts:</w:t>
      </w:r>
      <w:r>
        <w:t xml:space="preserve"> case, recommendations, based, fisheries; EU scope not established. This is a provisional connection, not an outcome finding.</w:t>
      </w:r>
    </w:p>
    <w:p>
      <w:pPr>
        <w:pStyle w:val="SourceNote"/>
      </w:pPr>
      <w:r>
        <w:rPr>
          <w:b/>
        </w:rPr>
        <w:t>Available abstract (not full text):</w:t>
      </w:r>
      <w:r>
        <w:t xml:space="preserve"> Abstract The Integrated Center of Marine and Fisheries (SKPT) is one of the Indonesian government’s steps in developing better management of the fisheries sector. SKPT Mimika has “The golden fishing ground” waters with a capture fisheries potential of 2.64 million tons per year; Arafura waters are one of the most fertile waters in Indonesia. With this potential and the concept of water development, namely the blue economy, where the economy with the axis of the sea must be sustainable, has a high urgency to ensure that there is no excessive exploitation of marine resources. The development of a sustainable blue economy involves many parties, but we consider that the closest community is the answer to the success of this development. Creating the potential fishing zone (PFZ) from Aqua MODIS image data and SWOT Analysis to formulate sustainable recommendations can help the community and stakeholders. Some of the outcomes of our recommendations are 1) Empower and implement an adaptive management approach that considers the needs and situations of each member of society, community, and region; 2) Increase the resilience of fisheries and aquaculture systems through implementing sustainable practices, diversifying fisheries commodities, and increasing access to markets. 3) Increase the ability of fisheries and aquaculture stakeholders to adapt to the impacts of climate change through</w:t>
      </w:r>
    </w:p>
    <w:p>
      <w:pPr>
        <w:pStyle w:val="Heading2"/>
      </w:pPr>
      <w:r>
        <w:t>742. Beyond Futures: Designing Futures by Educating Future Designers</w:t>
      </w:r>
    </w:p>
    <w:p>
      <w:pPr>
        <w:pStyle w:val="SourceNote"/>
      </w:pPr>
      <w:r>
        <w:rPr>
          <w:b/>
        </w:rPr>
        <w:t>Original source (2018):</w:t>
      </w:r>
      <w:r>
        <w:t xml:space="preserve"> https://doi.org/10.1177/1946756718790758</w:t>
      </w:r>
    </w:p>
    <w:p>
      <w:pPr/>
      <w:r>
        <w:t>Original wording (abstract; indexed_source_text_not_full_document_verified): It may increase designers’ sensitivity of the impact their work may have in the future and push their creativity by broadening their view looking at different future scenarios.</w:t>
      </w:r>
    </w:p>
    <w:p>
      <w:pPr/>
      <w:r>
        <w:rPr>
          <w:b/>
        </w:rPr>
        <w:t>POSSIBLE 2023:</w:t>
      </w:r>
      <w:r>
        <w:t xml:space="preserve"> Recent findings and advancements in the detection of designer benzodiazepines: a brief review — https://doi.org/10.2478/aiht-2023-74-3771</w:t>
      </w:r>
    </w:p>
    <w:p>
      <w:pPr/>
      <w:r>
        <w:rPr>
          <w:b/>
        </w:rPr>
        <w:t>Shared claim-specific concepts:</w:t>
      </w:r>
      <w:r>
        <w:t xml:space="preserve"> increase, sensitivity, view; EU scope not established. This is a provisional connection, not an outcome finding.</w:t>
      </w:r>
    </w:p>
    <w:p>
      <w:pPr>
        <w:pStyle w:val="SourceNote"/>
      </w:pPr>
      <w:r>
        <w:rPr>
          <w:b/>
        </w:rPr>
        <w:t>Available abstract (not full text):</w:t>
      </w:r>
      <w:r>
        <w:t xml:space="preserve"> This review article takes a closer look at a new class of psychoactive substances called designer benzodiazepines (DBZs) and the challenges of their detection. These are adinazolam, clonazolam, deschloroetizolam, diclazepam, etizolam, flualprazolam, flubromazepam, flubromazolam, phenazepam, and pyrazolam. They are central nervous system depressants and sedatives that can cause psychomotor impairment and increase the overdose risk when combined with other sedatives. DBZs undergo phase I and II metabolism similar to traditional benzodiazepines, but their specific metabolic pathways and the influence of genetic polymorphisms are yet to be clarified. Advances in liquid chromatography-tandem mass spectrometry (LC-MS/MS) have enhanced the method's sensitivity for DBZs and their metabolites in biological samples and coupled with improved blood sampling methods require less blood for drug monitoring. Further research should focus on elucidating their pharmacokinetic properties and metabolism in humans, especially in view of genetic polymorphisms and drug interactions that could inform clinical treatment choices. Even though we have witnessed important advances in DBZ detection and measurement, further refinements are needed to expand the scope of detectable DBZs and their metabolites. All this should help toxicological research to better identify and characterise the risks of chronic a</w:t>
      </w:r>
    </w:p>
    <w:p>
      <w:pPr/>
      <w:r>
        <w:rPr>
          <w:b/>
        </w:rPr>
        <w:t>POSSIBLE 2022:</w:t>
      </w:r>
      <w:r>
        <w:t xml:space="preserve"> Increasing gender sensitivity with codesign — https://doi.org/10.34190/icgr.5.1.177</w:t>
      </w:r>
    </w:p>
    <w:p>
      <w:pPr/>
      <w:r>
        <w:rPr>
          <w:b/>
        </w:rPr>
        <w:t>Shared claim-specific concepts:</w:t>
      </w:r>
      <w:r>
        <w:t xml:space="preserve"> designers, sensitivity, work, different; EU scope visible. This is a provisional connection, not an outcome finding.</w:t>
      </w:r>
    </w:p>
    <w:p>
      <w:pPr>
        <w:pStyle w:val="SourceNote"/>
      </w:pPr>
      <w:r>
        <w:rPr>
          <w:b/>
        </w:rPr>
        <w:t>Available abstract (not full text):</w:t>
      </w:r>
      <w:r>
        <w:t xml:space="preserve"> The Horizon Europe 2020 TInnGO (Transport Innovation Gender Observatory) project1 aimed to facilitate and empower the inclusion of underrepresented and diverse groups in smart mobility. Women are still considered to be an underrepresented group across the transport sector, forming less than 30% of all employees in the sector. Significantly women’s travel needs are not met by current transport provision, despite widespread evidence that they make different types of journeys and have different mobility concerns. It may hypothesised that even less is known about other minority groups (such as those from the BAME (Black, Asian, Minority and Ethnic community and those with disabilities). The design of future transport services and products is further skewed by the predominance of male undergraduate transport designers and engineers. While there are many noteworthy attempts to attract young women into STEM (Science, Technology, Engineering and Mathematics) careers and provide support for them in the male dominated sector, the work conducted by TInnGO’s Coventry team focussed on developing gender and diversity sensitive smart mobility solutions to highlight everyday mobility issues for women. These have been termed ‘Design provocations,’ 50 such designs were produced over 18 months in conjunction with 4 undergraduate design interns and are available for comment on our Open Innovation </w:t>
      </w:r>
    </w:p>
    <w:p>
      <w:pPr/>
      <w:r>
        <w:rPr>
          <w:b/>
        </w:rPr>
        <w:t>POSSIBLE 2019:</w:t>
      </w:r>
      <w:r>
        <w:t xml:space="preserve"> The Education of Responsible Designers in a Male-oriented Society. — https://openalex.org/W3042680371</w:t>
      </w:r>
    </w:p>
    <w:p>
      <w:pPr/>
      <w:r>
        <w:rPr>
          <w:b/>
        </w:rPr>
        <w:t>Shared claim-specific concepts:</w:t>
      </w:r>
      <w:r>
        <w:t xml:space="preserve"> designers, sensitivity, work; EU scope visible. This is a provisional connection, not an outcome finding.</w:t>
      </w:r>
    </w:p>
    <w:p>
      <w:pPr>
        <w:pStyle w:val="SourceNote"/>
      </w:pPr>
      <w:r>
        <w:rPr>
          <w:b/>
        </w:rPr>
        <w:t>Available abstract (not full text):</w:t>
      </w:r>
      <w:r>
        <w:t xml:space="preserve"> This paper aims to provide a disciplinary contribution concerning the role \nthat Communication Design has and could play in Gender Studies, focusing on \nthe university educational context. The starting point is the issue of the women \nrepresentation in the media and the resulting need to promote actions aimed \nat media alphabetization. From this scenario the urgent need to “focus more on \nvocational training - of the communication designer - and on education activities \nas a vehicle to fight discriminations and promote gender equality” (European \nParliament Resolution, April 2018 - 2017/2210(INI)) emerges. \nThe environment in which we live and form ourselves is full with communicative \nartifacts (advertising, information, web, TV...) that convey and promote degrading \nstereotypes towards women, feeding gender inequalities. Media images act on \nthought, influencing the construction of individual and social biographies and \nconsequently the way they relate to themselves and the community. \nIn this context, the Communication Designer takes on a role of social and \ncultural responsibility and has the duty to act towards a socially “sustainable” \ncommunication. \nThe media message acts in a vicious circle, it draws on and simultaneously \ninfluences social reality by orienting thoughts and behaviors of individuals. \nCommunication Design can therefore operate on this </w:t>
      </w:r>
    </w:p>
    <w:p>
      <w:pPr>
        <w:pStyle w:val="Heading2"/>
      </w:pPr>
      <w:r>
        <w:t>743. Central-East European employees on the labour market of London</w:t>
      </w:r>
    </w:p>
    <w:p>
      <w:pPr>
        <w:pStyle w:val="SourceNote"/>
      </w:pPr>
      <w:r>
        <w:rPr>
          <w:b/>
        </w:rPr>
        <w:t>Original source (2018):</w:t>
      </w:r>
      <w:r>
        <w:t xml:space="preserve"> https://doi.org/10.33605/croma-012018-004</w:t>
      </w:r>
    </w:p>
    <w:p>
      <w:pPr/>
      <w:r>
        <w:t>Original wording (abstract; indexed_source_text_not_full_document_verified): Practical implications – The conclusions of the study provide an adequate framework for the development of a rational economic policy program, which is the basis for future development, for the conscious development of the future of our region.</w:t>
      </w:r>
    </w:p>
    <w:p>
      <w:pPr/>
      <w:r>
        <w:rPr>
          <w:b/>
        </w:rPr>
        <w:t>POSSIBLE 2025:</w:t>
      </w:r>
      <w:r>
        <w:t xml:space="preserve"> Integrating ESG Factors into Institutional Investment Decision-Making: Theoretical Frameworks and Practical Implications — https://doi.org/10.55248/gengpi.6.0725.2410</w:t>
      </w:r>
    </w:p>
    <w:p>
      <w:pPr/>
      <w:r>
        <w:rPr>
          <w:b/>
        </w:rPr>
        <w:t>Shared claim-specific concepts:</w:t>
      </w:r>
      <w:r>
        <w:t xml:space="preserve"> practical, implications; EU scope not established. This is a provisional connection, not an outcome finding.</w:t>
      </w:r>
    </w:p>
    <w:p>
      <w:pPr>
        <w:pStyle w:val="SourceNote"/>
      </w:pPr>
      <w:r>
        <w:rPr>
          <w:b/>
        </w:rPr>
        <w:t>Available abstract (not full text):</w:t>
      </w:r>
      <w:r>
        <w:t xml:space="preserve"> This paper explores the integration of Environmental, Social, and Governance (ESG) factors into institutional investment decision-making by critically examining the theoretical frameworks that underpin such integration, focusing on how traditional financial theories, such as Modern Portfolio Theory (MPT), Stakeholder Theory, and Agency Theory, can be adapted or expanded to accommodate the increasing relevance of non-financial factors in investment strategies; it also delves into the emerging field of sustainable finance, investigating how ESG considerations challenge the risk-return trade-off and fiduciary duty principles traditionally guiding institutional investments, and argues that the application of these frameworks must evolve to address the growing pressure from regulators, market participants, and stakeholders for more responsible and transparent investment practices, which has led to the development of new models, such as impact investing and socially responsible investing (SRI), that integrate both financial and non-financial objectives in portfolio management.The paper identifies significant gaps in the current theoretical models regarding ESG integration, particularly in areas like data standardization, measurement of long-term social and environmental impacts, and the practical difficulties institutional investors face when aligning their strategies with ESG criter</w:t>
      </w:r>
    </w:p>
    <w:p>
      <w:pPr/>
      <w:r>
        <w:rPr>
          <w:b/>
        </w:rPr>
        <w:t>POSSIBLE 2025:</w:t>
      </w:r>
      <w:r>
        <w:t xml:space="preserve"> THE HUMAN RIGHTS CRISIS IN AI DEVELOPMENT AND USE: DOES THE EUROPEAN FRAMEWORK PROVIDE AN ADEQUATE PROTECTION? — https://doi.org/10.70382/caijlphr.v9i6.038</w:t>
      </w:r>
    </w:p>
    <w:p>
      <w:pPr/>
      <w:r>
        <w:rPr>
          <w:b/>
        </w:rPr>
        <w:t>Shared claim-specific concepts:</w:t>
      </w:r>
      <w:r>
        <w:t xml:space="preserve"> provide, adequate, framework; EU scope visible. This is a provisional connection, not an outcome finding.</w:t>
      </w:r>
    </w:p>
    <w:p>
      <w:pPr>
        <w:pStyle w:val="SourceNote"/>
      </w:pPr>
      <w:r>
        <w:rPr>
          <w:b/>
        </w:rPr>
        <w:t>Available abstract (not full text):</w:t>
      </w:r>
      <w:r>
        <w:t xml:space="preserve"> The rapid advancement and pervasive integration of Artificial Intelligence (AI) are fundamentally reshaping economies and societies, yet this technological revolution is creating a global human rights crisis built upon systemic, present-day harms that risk "supercharging" global inequalities. This paper examines the unaddressed human costs embedded throughout the AI lifecycle, arguing that the abstract promises of future benefits are being overshadowed by tangible rights violations. Key issues detailed include labor exploitation in the global supply chain, where a hidden workforce, often in the Global South, performs "psychologically taxing labor" under exploitative conditions such as content moderators paid less than $2 per hour to review traumatic imagery violating fundamental International Labour Organization (ILO) norms. Pervasive privacy infringements occur through the mass scraping of personal data without explicit consent, fueling AI powered mass surveillance systems like integrated facial recognition networks that chill freedom of expression and assembly. Furthermore, AI systems reflect and amplify societal prejudices, leading to systematic algorithmic bias in critical domains like criminal justice (e.g., the COMPAS algorithm) and hiring, which violates the right to equality before the law. The immense computational demands of training large AI models also lead to signi</w:t>
      </w:r>
    </w:p>
    <w:p>
      <w:pPr/>
      <w:r>
        <w:rPr>
          <w:b/>
        </w:rPr>
        <w:t>POSSIBLE 2025:</w:t>
      </w:r>
      <w:r>
        <w:t xml:space="preserve"> Effectiveness of Adjudication Mechanism under the Companies Act 2013: Legal Framework and Practical Implications — https://openalex.org/W7217786929</w:t>
      </w:r>
    </w:p>
    <w:p>
      <w:pPr/>
      <w:r>
        <w:rPr>
          <w:b/>
        </w:rPr>
        <w:t>Shared claim-specific concepts:</w:t>
      </w:r>
      <w:r>
        <w:t xml:space="preserve"> practical, implications, framework; EU scope not established. This is a provisional connection, not an outcome finding.</w:t>
      </w:r>
    </w:p>
    <w:p>
      <w:pPr>
        <w:pStyle w:val="SourceNote"/>
      </w:pPr>
      <w:r>
        <w:rPr>
          <w:b/>
        </w:rPr>
        <w:t>Available abstract (not full text):</w:t>
      </w:r>
      <w:r>
        <w:t xml:space="preserve"> The Companies Act of 2013 set up a full adjudication system to deal with companies and their officers who don't follow the rules in a timely, efficient, and fair way. This mechanism, mainly based on Section 454 of the Act and the Companies (Adjudication of Penalties) Rules, 2014, is a change from the old way of doing things in court to an administrative process that aims to make minor crimes less serious. The current study analyses the legal framework, practical application, and effectiveness of this adjudication mechanism in fostering corporate compliance and good governance. The study underscores the benefits of adjudication, including diminished litigation, expedited case resolution, and increased transparency, while also recognising obstacles such as procedural delays, discrepancies in penalty orders, and insufficient standardisation across jurisdictions. A comparative analysis of international frameworks from the United Kingdom, Singapore, and Australia yields insights into best practices that can be implemented to improve India's system. The study concludes that although the adjudication mechanism has greatly enhanced corporate compliance, additional reforms in procedural uniformity, technological integration, and penalty standardisation are essential to realise its full potential.</w:t>
      </w:r>
    </w:p>
    <w:p>
      <w:pPr/>
      <w:r>
        <w:rPr>
          <w:b/>
        </w:rPr>
        <w:t>POSSIBLE 2025:</w:t>
      </w:r>
      <w:r>
        <w:t xml:space="preserve"> Developing a Systemic Framework to Reduce the Bullwhip Effect in the Construction Industry: Empirical Insights and Practical Implications — https://doi.org/10.12688/f1000research.171946.1</w:t>
      </w:r>
    </w:p>
    <w:p>
      <w:pPr/>
      <w:r>
        <w:rPr>
          <w:b/>
        </w:rPr>
        <w:t>Shared claim-specific concepts:</w:t>
      </w:r>
      <w:r>
        <w:t xml:space="preserve"> practical, implications, framework; EU scope not established. This is a provisional connection, not an outcome finding.</w:t>
      </w:r>
    </w:p>
    <w:p>
      <w:pPr>
        <w:pStyle w:val="SourceNote"/>
      </w:pPr>
      <w:r>
        <w:rPr>
          <w:b/>
        </w:rPr>
        <w:t>Available abstract (not full text):</w:t>
      </w:r>
      <w:r>
        <w:t xml:space="preserve"> Background The construction industry faces systemic inefficiencies and cost overrun. Many of these issues result from demand amplification, known as the Bullwhip Effect (BWE), within supply chains. Aim To investigate the root causes and impacts of the Bullwhip Effect during construction. Establish a foundation for mitigation strategies using a conceptual framework. This framework was validated using a real-world case study to support effective mitigation. Methods This study systematically identified and analyzed twenty-one underlying causes of the Bullwhip Effect in the supply chain. The effect was calculated for the selected construction materials using data from Mostashar United Company-Kuwait. Results The Bullwhip Effect in the construction industry emerges not from a single cause but from a complex interaction of factors that significantly influence the phenomenon and are deeply embedded within the industry’s structural and operational practices. These causes are grouped into three main dimensions: informational, operational, and behavioral factors. BWE can be quantitatively measured and directly escalates production costs and intensifies over time if mitigating strategies are not implemented. Research has identified several strategies that can effectively prevent the occurrence or reduce the bullwhip effect in the construction industry, such as collaboration and teamwork e</w:t>
      </w:r>
    </w:p>
    <w:p>
      <w:pPr/>
      <w:r>
        <w:rPr>
          <w:b/>
        </w:rPr>
        <w:t>POSSIBLE 2025:</w:t>
      </w:r>
      <w:r>
        <w:t xml:space="preserve"> Practical Implications of Obesity for Cardiovascular Diagnostics — https://doi.org/10.1016/j.cjca.2025.07.006</w:t>
      </w:r>
    </w:p>
    <w:p>
      <w:pPr/>
      <w:r>
        <w:rPr>
          <w:b/>
        </w:rPr>
        <w:t>Shared claim-specific concepts:</w:t>
      </w:r>
      <w:r>
        <w:t xml:space="preserve"> practical, implications, provide, framework; EU scope not established. This is a provisional connection, not an outcome finding.</w:t>
      </w:r>
    </w:p>
    <w:p>
      <w:pPr>
        <w:pStyle w:val="SourceNote"/>
      </w:pPr>
      <w:r>
        <w:rPr>
          <w:b/>
        </w:rPr>
        <w:t>Available abstract (not full text):</w:t>
      </w:r>
      <w:r>
        <w:t xml:space="preserve"> Obesity, one of the most prevalent and pressing global health challenges, has significant implications for cardiovascular disease (CVD) morbidity and mortality. Diagnostic testing for CVD is substantially affected by obesity, which affects test selection and execution and complicates the interpretation of diagnostic testing. Structural and metabolic changes in individuals with obesity create both physiological alterations and technical limitations across diagnostic modalities, as obesity alters cardiovascular (CV) structure, function, and diagnostic test accuracy. This review explores the practical implications of obesity for CV diagnostics, including physical examination, electrocardiogram interpretation, echocardiography, nuclear stress imaging, computed tomography, positron emission tomography, coronary calcium scoring, and magnetic resonance imaging. Although each modality faces unique challenges in individuals with obesity, modern techniques, a systematic approach, and individualized protocols can greatly enhance test performance and diagnostic yield. This review aims to provide a comprehensive narrative within a practical framework for optimizing CV diagnostics in patients with obesity to optimize CV testing in this growing population. We deal in detail with each investigative modality, providing an overview of the specific considerations in patients with obesity, along w</w:t>
      </w:r>
    </w:p>
    <w:p>
      <w:pPr/>
      <w:r>
        <w:rPr>
          <w:b/>
        </w:rPr>
        <w:t>POSSIBLE 2024:</w:t>
      </w:r>
      <w:r>
        <w:t xml:space="preserve"> A Dynamical Systems View of Psychiatric Disorders—Practical Implications — https://doi.org/10.1001/jamapsychiatry.2024.0228</w:t>
      </w:r>
    </w:p>
    <w:p>
      <w:pPr/>
      <w:r>
        <w:rPr>
          <w:b/>
        </w:rPr>
        <w:t>Shared claim-specific concepts:</w:t>
      </w:r>
      <w:r>
        <w:t xml:space="preserve"> practical, implications, conclusions; EU scope not established. This is a provisional connection, not an outcome finding.</w:t>
      </w:r>
    </w:p>
    <w:p>
      <w:pPr>
        <w:pStyle w:val="SourceNote"/>
      </w:pPr>
      <w:r>
        <w:rPr>
          <w:b/>
        </w:rPr>
        <w:t>Available abstract (not full text):</w:t>
      </w:r>
      <w:r>
        <w:t xml:space="preserve"> Importance: Dynamical systems theory is widely used to explain tipping points, cycles, and chaos in complex systems ranging from the climate to ecosystems. It has been suggested that the same theory may be used to explain the nature and dynamics of psychiatric disorders, which may come and go with symptoms changing over a lifetime. Here we review evidence for the practical applicability of this theory and its quantitative tools in psychiatry. Observations: Emerging results suggest that time series of mood and behavior may be used to monitor the resilience of patients using the same generic dynamical indicators that are now employed globally to monitor the risks of collapse of complex systems, such as tropical rainforest and tipping elements of the climate system. Other dynamical systems tools used in ecology and climate science open ways to infer personalized webs of causality for patients that may be used to identify targets for intervention. Meanwhile, experiences in ecological restoration help make sense of the occasional long-term success of short interventions. Conclusions and Relevance: Those observations, while promising, evoke follow-up questions on how best to collect dynamic data, infer informative timescales, construct mechanistic models, and measure the effect of interventions on resilience. Done well, monitoring resilience to inform well-timed interventions may be </w:t>
      </w:r>
    </w:p>
    <w:p>
      <w:pPr/>
      <w:r>
        <w:rPr>
          <w:b/>
        </w:rPr>
        <w:t>POSSIBLE 2024:</w:t>
      </w:r>
      <w:r>
        <w:t xml:space="preserve"> Cross‐border dimensions of Arctic climate change impacts and implications for Europe — https://doi.org/10.1002/wcc.905</w:t>
      </w:r>
    </w:p>
    <w:p>
      <w:pPr/>
      <w:r>
        <w:rPr>
          <w:b/>
        </w:rPr>
        <w:t>Shared claim-specific concepts:</w:t>
      </w:r>
      <w:r>
        <w:t xml:space="preserve"> implications, framework, region;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Advice from artificial intelligence: a review and practical implications — https://doi.org/10.3389/fpsyg.2024.1390182</w:t>
      </w:r>
    </w:p>
    <w:p>
      <w:pPr/>
      <w:r>
        <w:rPr>
          <w:b/>
        </w:rPr>
        <w:t>Shared claim-specific concepts:</w:t>
      </w:r>
      <w:r>
        <w:t xml:space="preserve"> practical, implications, provide, framework; EU scope not established. This is a provisional connection, not an outcome finding.</w:t>
      </w:r>
    </w:p>
    <w:p>
      <w:pPr>
        <w:pStyle w:val="SourceNote"/>
      </w:pPr>
      <w:r>
        <w:rPr>
          <w:b/>
        </w:rPr>
        <w:t>Available abstract (not full text):</w:t>
      </w:r>
      <w:r>
        <w:t xml:space="preserve"> Despite considerable behavioral and organizational research on advice from human advisors, and despite the increasing study of artificial intelligence (AI) in organizational research, workplace-related applications, and popular discourse, an interdisciplinary review of advice from AI (vs. human) advisors has yet to be undertaken. We argue that the increasing adoption of AI to augment human decision-making would benefit from a framework that can characterize such interactions. Thus, the current research invokes judgment and decision-making research on advice from human advisors and uses a conceptual "fit"-based model to: (1) summarize how the characteristics of the AI advisor, human decision-maker, and advice environment influence advice exchanges and outcomes (including informed speculation about the durability of such findings in light of rapid advances in AI technology), (2) delineate future research directions (along with specific predictions), and (3) provide practical implications involving the use of AI advice by human decision-makers in applied settings.</w:t>
      </w:r>
    </w:p>
    <w:p>
      <w:pPr/>
      <w:r>
        <w:rPr>
          <w:b/>
        </w:rPr>
        <w:t>POSSIBLE 2023:</w:t>
      </w:r>
      <w:r>
        <w:t xml:space="preserve"> Practical implications of workplace ostracism: a systematic literature review — https://doi.org/10.1108/baj-12-2022-0036</w:t>
      </w:r>
    </w:p>
    <w:p>
      <w:pPr/>
      <w:r>
        <w:rPr>
          <w:b/>
        </w:rPr>
        <w:t>Shared claim-specific concepts:</w:t>
      </w:r>
      <w:r>
        <w:t xml:space="preserve"> practical, implications; EU scope not established. This is a provisional connection, not an outcome finding.</w:t>
      </w:r>
    </w:p>
    <w:p>
      <w:pPr>
        <w:pStyle w:val="SourceNote"/>
      </w:pPr>
      <w:r>
        <w:rPr>
          <w:b/>
        </w:rPr>
        <w:t>Available abstract (not full text):</w:t>
      </w:r>
      <w:r>
        <w:t xml:space="preserve"> Purpose This review analyzes data from research articles published from 2010 to 2022 related to workplace ostracism which include theoretical or empirical practical implications. The primary motive of this review is to identify main themes of practical implications relevant to workplace ostracism. Design/methodology/approach In total, 86 research articles published in 56 journals were retrieved from six well-known management science databases, namely, Science Direct, Emerald Online, Springer Link, Taylor and Francis, Wiley and Sage. The affinity diagram was utilized to organize the practical implications of the studies into meaningful themes. Moreover, in order to prioritize the main themes, the Pareto diagram was utilized. Findings Eleven themes have been used to categorize the practical implications of the reviewed articles, demonstrating various human resource (HR) interventions for avoiding or limiting the feelings of ostracism at work. Specifically, they focus on training and development, culture, formal and informal meetings, interpersonal relationships, task interdependence, monitoring, trust and transparency, proper channel, job autonomy and individual characteristics. Originality/value While many systematic and traditional literature reviews have been undertaken in an attempt to thoroughly organize extant literature on various aspects of workplace ostracism, no study h</w:t>
      </w:r>
    </w:p>
    <w:p>
      <w:pPr/>
      <w:r>
        <w:rPr>
          <w:b/>
        </w:rPr>
        <w:t>POSSIBLE 2023:</w:t>
      </w:r>
      <w:r>
        <w:t xml:space="preserve"> Sex and Gender Differences in Stroke and Their Practical Implications in Acute Care — https://doi.org/10.5853/jos.2022.04077</w:t>
      </w:r>
    </w:p>
    <w:p>
      <w:pPr/>
      <w:r>
        <w:rPr>
          <w:b/>
        </w:rPr>
        <w:t>Shared claim-specific concepts:</w:t>
      </w:r>
      <w:r>
        <w:t xml:space="preserve"> practical, implications, conclusions, provide; EU scope not established. This is a provisional connection, not an outcome finding.</w:t>
      </w:r>
    </w:p>
    <w:p>
      <w:pPr>
        <w:pStyle w:val="SourceNote"/>
      </w:pPr>
      <w:r>
        <w:rPr>
          <w:b/>
        </w:rPr>
        <w:t>Available abstract (not full text):</w:t>
      </w:r>
      <w:r>
        <w:t xml:space="preserve"> There are several controversies regarding the role of sex and gender in the pathophysiology and management of acute stroke. Assessing the role of sex, i.e., biological/pathophysiological factors, and gender, i.e., sociocultural factors, in isolation is often not possible since they are closely intertwined with each other. To complicate matters even more, the functional baseline status of women and men at the time of their first stroke is substantially different, whereby women have, on average, a poorer reported/ascertained baseline function compared to men. These differences in baseline variables account for a large part of the differences in post-stroke outcomes between women and men. Adjusting for these baseline differences is difficult, and in many cases, residual confounding cannot be excluded. Despite these obstacles, a better understanding of how patient sex and gender differences influence acute stroke and stroke care pathways is crucial to avoid biases and allow us to provide the best possible care for all acute stroke patients. Disregarding patient sex and gender on one hand and ignoring potential confounding factors in sex- and gender-stratified analyses on the other hand, may cause researchers to come to erroneous conclusions and physicians to provide suboptimal care. This review outlines sex- and gender-related factors in key aspects of acute stroke, including acute</w:t>
      </w:r>
    </w:p>
    <w:p>
      <w:pPr/>
      <w:r>
        <w:rPr>
          <w:b/>
        </w:rPr>
        <w:t>POSSIBLE 2023:</w:t>
      </w:r>
      <w:r>
        <w:t xml:space="preserve"> Medico-Legal Implications and Regulatory Frameworks of Regenerative Orthopaedics — https://doi.org/10.7759/cureus.42557</w:t>
      </w:r>
    </w:p>
    <w:p>
      <w:pPr/>
      <w:r>
        <w:rPr>
          <w:b/>
        </w:rPr>
        <w:t>Shared claim-specific concepts:</w:t>
      </w:r>
      <w:r>
        <w:t xml:space="preserve"> implications, provide, framework; EU scope visible. This is a provisional connection, not an outcome finding.</w:t>
      </w:r>
    </w:p>
    <w:p>
      <w:pPr>
        <w:pStyle w:val="SourceNote"/>
      </w:pPr>
      <w:r>
        <w:rPr>
          <w:b/>
        </w:rPr>
        <w:t>Available abstract (not full text):</w:t>
      </w:r>
      <w:r>
        <w:t xml:space="preserve"> Regenerative orthopaedics has revolutionized traditional medicine, which represents a giant leap in science and research. The knowledge of the medico-legal implications and regulatory framework of this branch is vital for clinicians and researchers to go forward smoothly. This systematic review of the literature should shed light on these considerations and provide a comprehensive knowledge of the various implications and laws governing practice and research. The wide plethora of knowledge in the use of regenerative orthopaedics should be complemented by updated regulations and clinicians' grasp of knowledge on regenerative medicine. The review focused on peer-reviewed published articles concerned with the topic and outlined common medico-legal issues and the current regulatory frameworks in various countries. The articles suggest that developed nations like the US have faced several lawsuits in this field, and a few countries in Europe like Italy and Germany, which were frontrunners in this field based on research, have fallen back due to emerging legal and regulatory policies. Undoubtedly, regenerative orthopaedics holds the key to future orthopaedics, but the world is skeptical of this concept, and laws and regulatory frameworks can curb it if not guided well. In India, this field has received prime attention, but at a slow pace when compared to the laws. After reviewing 113</w:t>
      </w:r>
    </w:p>
    <w:p>
      <w:pPr/>
      <w:r>
        <w:rPr>
          <w:b/>
        </w:rPr>
        <w:t>POSSIBLE 2023:</w:t>
      </w:r>
      <w:r>
        <w:t xml:space="preserve"> Resilience: Theoretical Framework and Implications for School — https://doi.org/10.5539/ies.v16n2p1</w:t>
      </w:r>
    </w:p>
    <w:p>
      <w:pPr/>
      <w:r>
        <w:rPr>
          <w:b/>
        </w:rPr>
        <w:t>Shared claim-specific concepts:</w:t>
      </w:r>
      <w:r>
        <w:t xml:space="preserve"> implications, provide, framework; EU scope not established. This is a provisional connection, not an outcome finding.</w:t>
      </w:r>
    </w:p>
    <w:p>
      <w:pPr>
        <w:pStyle w:val="SourceNote"/>
      </w:pPr>
      <w:r>
        <w:rPr>
          <w:b/>
        </w:rPr>
        <w:t>Available abstract (not full text):</w:t>
      </w:r>
      <w:r>
        <w:t xml:space="preserve"> The main purpose of this report is to provide a brief yet holistic view of the concept of Resilience. In the following pages the basic aspects of this term are going to be examined so that not only the significance of Resilience in our everyday lives, but also the factors that affect someone’s ability to bounce back and keep making progress in many aspects of life can be understood despite the adversities that may interfere. The above mentioned are widely known as protective and risk factors depending on the way they affect somebody’s life. Another aspect that is going to be briefly analyzed is the role of school and teacher in students’ resilience- how this role can help students maintain their psychosocial and learning progress.</w:t>
      </w:r>
    </w:p>
    <w:p>
      <w:pPr>
        <w:pStyle w:val="Heading2"/>
      </w:pPr>
      <w:r>
        <w:t>744. Climate change mitigation: evidences from the European scenario</w:t>
      </w:r>
    </w:p>
    <w:p>
      <w:pPr>
        <w:pStyle w:val="SourceNote"/>
      </w:pPr>
      <w:r>
        <w:rPr>
          <w:b/>
        </w:rPr>
        <w:t>Original source (2018):</w:t>
      </w:r>
      <w:r>
        <w:t xml:space="preserve"> https://doi.org/10.1504/ijmne.2018.095079</w:t>
      </w:r>
    </w:p>
    <w:p>
      <w:pPr/>
      <w:r>
        <w:t>Original wording (abstract; indexed_source_text_not_full_document_verified): By 2050, the EU aims to reduce its greenhouse gas emissions by 80%-95% compared with 1990 levels. New objectives up to 2030 provide for a 40% reduction of GHG emissions and an increase of 27% for renewables and energy efficiency.</w:t>
      </w:r>
    </w:p>
    <w:p>
      <w:pPr/>
      <w:r>
        <w:rPr>
          <w:b/>
        </w:rPr>
        <w:t>POSSIBLE 2026:</w:t>
      </w:r>
      <w:r>
        <w:t xml:space="preserve"> Changes in greenhouse gas emissions from agriculture in selected European Union countries — https://doi.org/10.14254/2071-8330.2026/19-1/10</w:t>
      </w:r>
    </w:p>
    <w:p>
      <w:pPr/>
      <w:r>
        <w:rPr>
          <w:b/>
        </w:rPr>
        <w:t>Shared claim-specific concepts:</w:t>
      </w:r>
      <w:r>
        <w:t xml:space="preserve"> greenhouse, gas, emissions; EU scope visible. This is a provisional connection, not an outcome finding.</w:t>
      </w:r>
    </w:p>
    <w:p>
      <w:pPr>
        <w:pStyle w:val="SourceNote"/>
      </w:pPr>
      <w:r>
        <w:rPr>
          <w:b/>
        </w:rPr>
        <w:t>Available abstract (not full text):</w:t>
      </w:r>
      <w:r>
        <w:t xml:space="preserve"> The aim of the research was to identify changes in greenhouse gas emissions from EU countries in the years 2008-2022. The research used available Eurostat data from 24 EU countries. Descriptive statistics, the Ward method and shift share analysis were used. The survey shows that in 2021 the agricultural sector was responsible for 15.3% of total greenhouse emissions in EU. Most carbon emissions from farming come from methane (54%), followed by nitrous oxide (28%) and carbon dioxide (18%). The research shows that the largest increases in carbon pollution, creating a carbon footprint in the exploring period, were recorded in Bulgaria, Estonia, Romania, Latvia and Hungary. A different situation occurred in Croatia and Germany, where carbon dioxide and methane emissions from cultivation were reduced. The research confirms that the dynamics of changes in greenhouse gas emissions depend on the intensity of agribusiness. Moreover, the structure of greenhouse emissions varies regionally. Therefore, the European Union's policy on reducing the carbon footprint should consider regional conditions.</w:t>
      </w:r>
    </w:p>
    <w:p>
      <w:pPr/>
      <w:r>
        <w:rPr>
          <w:b/>
        </w:rPr>
        <w:t>POSSIBLE 2026:</w:t>
      </w:r>
      <w:r>
        <w:t xml:space="preserve"> Mapping urban CO2 emission spatiotemporal dynamics in Europe via a nighttime light composite index — https://doi.org/10.1038/s42949-026-00437-7</w:t>
      </w:r>
    </w:p>
    <w:p>
      <w:pPr/>
      <w:r>
        <w:rPr>
          <w:b/>
        </w:rPr>
        <w:t>Shared claim-specific concepts:</w:t>
      </w:r>
      <w:r>
        <w:t xml:space="preserve"> reduce, emissions, compared, provide, reduction, energy; EU scope visible. This is a provisional connection, not an outcome finding.</w:t>
      </w:r>
    </w:p>
    <w:p>
      <w:pPr>
        <w:pStyle w:val="SourceNote"/>
      </w:pPr>
      <w:r>
        <w:rPr>
          <w:b/>
        </w:rPr>
        <w:t>Available abstract (not full text):</w:t>
      </w:r>
      <w:r>
        <w:t xml:space="preserve"> A spatiotemporal inventory of CO₂ emissions is essential for countries aiming to reduce carbon output. However, rising urban industrial activity and daily energy consumption present major challenges. Accurately understanding the spatiotemporal dynamics of urban CO₂ emissions is crucial for identifying sources and enabling targeted mitigation, yet this topic has received limited attention. This study introduces a CO₂ Emission Spatial Index (CESI), developed by integrating MODIS and VIIRS-DNB data, and applies a zonal classification approach to map urban CO₂ emissions across Europe from 2012 to 2021. Results indicate that CESI combined with zonal classification improves spatial estimation accuracy compared with nighttime light data alone, with all R ² values exceeding 0.96. The analysis reveals significant spatiotemporal variation in Europe’s urban CO₂ emissions during the study period. Additionally, a new normalized indicator integrating population, GDP, and land use (PGL index ) is proposed, and its coupling coordination relationship with CESI is examined. The results show that several northeastern European countries experience pronounced imbalances. These findings provide valuable insights for local authorities, supporting more precise spatial analysis and more effective CO₂ reduction policies.</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greenhouse, gas, reduction, renewables;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WAYS OF REDUCING GREENHOUSE GASES — https://doi.org/10.33864/1816-2126.2026.n2.103-107</w:t>
      </w:r>
    </w:p>
    <w:p>
      <w:pPr/>
      <w:r>
        <w:rPr>
          <w:b/>
        </w:rPr>
        <w:t>Shared claim-specific concepts:</w:t>
      </w:r>
      <w:r>
        <w:t xml:space="preserve"> greenhouse, gas, emissions, reduction, energy, efficiency; EU scope not established. This is a provisional connection, not an outcome finding.</w:t>
      </w:r>
    </w:p>
    <w:p>
      <w:pPr>
        <w:pStyle w:val="SourceNote"/>
      </w:pPr>
      <w:r>
        <w:rPr>
          <w:b/>
        </w:rPr>
        <w:t>Available abstract (not full text):</w:t>
      </w:r>
      <w:r>
        <w:t xml:space="preserve"> Greenhouse gas emissions have become a major environmental concern due to their significant contribution to global warming and long-term climate change. Human activities such as industrial development, fossil fuel combustion, rapid urbanization, intensive agriculture, and the loss of forested areas have led to increasing atmospheric concentrations of carbon dioxide (CO₂), methane (CH₄), and nitrous oxide (N₂O). This paper explores the primary sources of greenhouse gas emissions and discusses their environmental, economic, and social consequences. It also reviews current mitigation strategies, including the adoption of renewable energy technologies, improvements in energy efficiency, sustainable transportation systems, low-carbon industrial processes, and forest conservation initiatives. Furthermore, the importance of international climate agreements, environmental regulations, and policy frameworks in achieving emission reduction targets is examined. The findings indicate that effective greenhouse gas mitigation requires an integrated approach combining technological innovation, governmental action, and sustainable development practices to support long-term environmental protection.</w:t>
      </w:r>
    </w:p>
    <w:p>
      <w:pPr/>
      <w:r>
        <w:rPr>
          <w:b/>
        </w:rPr>
        <w:t>POSSIBLE 2025:</w:t>
      </w:r>
      <w:r>
        <w:t xml:space="preserve"> Reducing Greenhouse Gas Emissions in Hungary in Light of the Dynamically Changing Requirements of the European Union — https://doi.org/10.56251/gfga3859</w:t>
      </w:r>
    </w:p>
    <w:p>
      <w:pPr/>
      <w:r>
        <w:rPr>
          <w:b/>
        </w:rPr>
        <w:t>Shared claim-specific concepts:</w:t>
      </w:r>
      <w:r>
        <w:t xml:space="preserve"> aims, greenhouse, gas, emissions; EU scope visible. This is a provisional connection, not an outcome finding.</w:t>
      </w:r>
    </w:p>
    <w:p>
      <w:pPr>
        <w:pStyle w:val="SourceNote"/>
      </w:pPr>
      <w:r>
        <w:rPr>
          <w:b/>
        </w:rPr>
        <w:t>Available abstract (not full text):</w:t>
      </w:r>
      <w:r>
        <w:t xml:space="preserve"> The fight against climate change requires Hungary to develop a common set of principles-based targets and to operate a coherent framework for action, monitoring and feedback in order to meet national and international targets for reducing greenhouse gas emissions. This is highlighted by the analysis of the State Audit Office of Hungary (SAO) concluded in 2024, which audited the measures aimed at reducing greenhouse gas emissions and the strategic framework of Hungary in the light of the dynamically changing requirements of the European Union (EU). Due to greenhouse gas emissions, the effects of global warming affect almost all aspects of life, the natural environment and biodiversity, all sectors of the economy, human habitats and the development of society. The estimated value of economic damages associated with climate change, including projections ranging from the costs of recovery caused by natural disasters to unrealised economic returns, are increasing. Action is of key importance for Europe, as the continent’s average temperature is rising at around twice the global average. A milestone in the fight against climate change was the Paris Agreement adopted in 2015, which set the target of reducing the average temperature rise. The European Union’s Climate Law aims to ensure that climate neutrality, i.e. a balance between greenhouse gas emissions and removals, is achieved by</w:t>
      </w:r>
    </w:p>
    <w:p>
      <w:pPr/>
      <w:r>
        <w:rPr>
          <w:b/>
        </w:rPr>
        <w:t>POSSIBLE 2025:</w:t>
      </w:r>
      <w:r>
        <w:t xml:space="preserve"> THE ROLE OF ENVIRONMENTAL TAXES IN GENERATING TAX REVENUES AND REDUCING GREENHOUSE GAS EMISSIONS IN THE EUROPEAN UNION — https://doi.org/10.55654/jfs.2025.10.sp.19</w:t>
      </w:r>
    </w:p>
    <w:p>
      <w:pPr/>
      <w:r>
        <w:rPr>
          <w:b/>
        </w:rPr>
        <w:t>Shared claim-specific concepts:</w:t>
      </w:r>
      <w:r>
        <w:t xml:space="preserve"> aims, reduce, greenhouse, gas, emissions, objectives; EU scope visible. This is a provisional connection, not an outcome finding.</w:t>
      </w:r>
    </w:p>
    <w:p>
      <w:pPr>
        <w:pStyle w:val="SourceNote"/>
      </w:pPr>
      <w:r>
        <w:rPr>
          <w:b/>
        </w:rPr>
        <w:t>Available abstract (not full text):</w:t>
      </w:r>
      <w:r>
        <w:t xml:space="preserve"> The aim of this study is to examine the role of environmental taxes in generating tax revenues and reducing greenhouse gas emissions in the European Union. The study investigates how these taxes, particularly those on energy and transport, contribute to the EU's climate objectives, such as climate neutrality by 2050. It also assesses differences in their implementation between Member States. In the context of the European Green Pact, the research aims to provide a comprehensive analysis of the effectiveness of these taxes in supporting climate policies and sustainable development. The study uses an econometric analysis applied to a dataset comprising relevant economic and environmental indicators, including taxes on energy, transportation, net greenhouse gas emissions and GDP per capita. This approach makes it possible to assess the relationships between the variables and to measure the impact of each type of tax-on-tax revenues and emission reductions. The analysis also includes descriptive statistics to highlight differences between Member States. The results indicate that energy taxes have a significant and positive impact on revenues from environmental taxes, contributing substantially to the budgets of Member States that implement them in an ambitious way. At the same time, fuel and transport taxes have been found to be under-used in some Member States, thus limiting their</w:t>
      </w:r>
    </w:p>
    <w:p>
      <w:pPr/>
      <w:r>
        <w:rPr>
          <w:b/>
        </w:rPr>
        <w:t>POSSIBLE 2025:</w:t>
      </w:r>
      <w:r>
        <w:t xml:space="preserve"> The Role of Organic Farming in Reducing Greenhouse Gas Emissions from Agriculture in the European Union — https://doi.org/10.3390/agronomy15010198</w:t>
      </w:r>
    </w:p>
    <w:p>
      <w:pPr/>
      <w:r>
        <w:rPr>
          <w:b/>
        </w:rPr>
        <w:t>Shared claim-specific concepts:</w:t>
      </w:r>
      <w:r>
        <w:t xml:space="preserve"> greenhouse, gas, emissions, levels, objectives, ghg; EU scope visible. This is a provisional connection, not an outcome finding.</w:t>
      </w:r>
    </w:p>
    <w:p>
      <w:pPr>
        <w:pStyle w:val="SourceNote"/>
      </w:pPr>
      <w:r>
        <w:rPr>
          <w:b/>
        </w:rPr>
        <w:t>Available abstract (not full text):</w:t>
      </w:r>
      <w:r>
        <w:t xml:space="preserve"> Agriculture remains a key source of greenhouse gas (GHG) emissions within the European Union, posing substantial obstacles to achieving climate objectives and fostering sustainable development. On this background, organic farming stands out as a viable alternative, offering significant potential for reducing emissions. This study explores the impact of expanding organic farming on GHG emissions in the EU agricultural sector. The empirical research examines the connection between organic farming practices and GHG emission levels using structural equation modeling, complemented by Holt and ARIMA forecasting models, to project future trends based on expected growth in organic farmland. The findings highlight a robust negative influence (p &lt; 0.001), demonstrating that organic farming practices are associated with tangible reductions in emissions. Forecasting analyses further reinforce this, predicting considerable declines in GHG emissions (by almost 14 percent below the level of 2008) as organic farming continues to expand for over 23% of agricultural land by 2035, according to the projections in this research. These insights underscore the critical role of organic farming in advancing the EU’s climate ambitions. The study concludes that broader adoption of organic practices offers a practical and impactful pathway for building a more sustainable agricultural system while mitigati</w:t>
      </w:r>
    </w:p>
    <w:p>
      <w:pPr/>
      <w:r>
        <w:rPr>
          <w:b/>
        </w:rPr>
        <w:t>POSSIBLE 2025:</w:t>
      </w:r>
      <w:r>
        <w:t xml:space="preserve"> Analysis of Greenhouse Gas Emissions from Ships Visiting European Ports — https://doi.org/10.3233/pmst250013</w:t>
      </w:r>
    </w:p>
    <w:p>
      <w:pPr/>
      <w:r>
        <w:rPr>
          <w:b/>
        </w:rPr>
        <w:t>Shared claim-specific concepts:</w:t>
      </w:r>
      <w:r>
        <w:t xml:space="preserve"> greenhouse, gas, emissions, compared, levels, reduction; EU scope visible. This is a provisional connection, not an outcome finding.</w:t>
      </w:r>
    </w:p>
    <w:p>
      <w:pPr>
        <w:pStyle w:val="SourceNote"/>
      </w:pPr>
      <w:r>
        <w:rPr>
          <w:b/>
        </w:rPr>
        <w:t>Available abstract (not full text):</w:t>
      </w:r>
      <w:r>
        <w:t xml:space="preserve"> Starting January 1, 2025, shipping companies will be required to monitor and record greenhouse gas (GHG) emissions data for each ship arriving at or departing from a port in the European Union. This requirement is part of the FuelEU Maritime regulation and applies to all vessels with over 5,000 gross tons for transporting passengers or cargo for commercial purposes. The FuelEU regulation includes a calculation scheme and sets limits on GHG intensity, aiming for an 80% reduction in emissions compared to 2020 levels by 2050. Short-sea shipping plays a crucial role in the European Union’s transportation policy. The study’s objective is to analyse the GHG emissions of the containerships registered from 2020 to 2023 vessels, utilising EU-MRV data from 2020 to 2023. Applying the extreme values analysis indicates no consistent trend toward reducing GHG intensity, illustrating the complexities in mitigating the GHG intensity levels requiring additional measures to achieve the proposed reduction by 2050.</w:t>
      </w:r>
    </w:p>
    <w:p>
      <w:pPr/>
      <w:r>
        <w:rPr>
          <w:b/>
        </w:rPr>
        <w:t>POSSIBLE 2025:</w:t>
      </w:r>
      <w:r>
        <w:t xml:space="preserve"> Reducing Carbon Emissions from Transport Sector: Experience and Policy Design Considerations — https://doi.org/10.3390/su17093762</w:t>
      </w:r>
    </w:p>
    <w:p>
      <w:pPr/>
      <w:r>
        <w:rPr>
          <w:b/>
        </w:rPr>
        <w:t>Shared claim-specific concepts:</w:t>
      </w:r>
      <w:r>
        <w:t xml:space="preserve"> reduce, greenhouse, gas, emissions, compared, ghg; EU scope visible. This is a provisional connection, not an outcome finding.</w:t>
      </w:r>
    </w:p>
    <w:p>
      <w:pPr>
        <w:pStyle w:val="SourceNote"/>
      </w:pPr>
      <w:r>
        <w:rPr>
          <w:b/>
        </w:rPr>
        <w:t>Available abstract (not full text):</w:t>
      </w:r>
      <w:r>
        <w:t xml:space="preserve"> Countries aim to reduce fossil fuel usage and related environmental issues through various demand- and supply-side policies. Numerous studies have assessed the policies’ overview. However, analysis of the impacts and effectiveness of these policies in addressing transport-related CO2 emissions is limited globally and in countries like New Zealand, which have a lower CO2 emissions energy intensity compared to Europe, Asia, and Oceania averages. Therefore, this study first analyses the trends in energy consumption and CO2 emissions within the transport sector across the ten largest total CO2-emitting countries, as well as the ten largest transport CO2-emitting OECD countries. It then provides a systematic review of the relevant policies and, finally, estimates two econometric models to explore the effects of these policies on the energy market, aimed at reducing GHG emissions globally from the transport sector, with New Zealand as a case study. The study findings indicate that the transport sector remains a significant contributor to global fossil fuel consumption and CO2 emissions, accounting for 40.4% and 23.3%, respectively, in 2024. The ten largest CO2-emitting countries—China, the United States, India, Russia, Japan, Germany, South Korea, Iran, Canada, and Saudi Arabia—are responsible for 68% of global emissions. Additionally, the ten OECD countries, except the US, with the </w:t>
      </w:r>
    </w:p>
    <w:p>
      <w:pPr/>
      <w:r>
        <w:rPr>
          <w:b/>
        </w:rPr>
        <w:t>POSSIBLE 2025:</w:t>
      </w:r>
      <w:r>
        <w:t xml:space="preserve"> An identification of models to help in the design of national strategies and policies to reduce greenhouse gas emissions. — https://doi.org/10.1016/j.trpro.2024.12.094</w:t>
      </w:r>
    </w:p>
    <w:p>
      <w:pPr/>
      <w:r>
        <w:rPr>
          <w:b/>
        </w:rPr>
        <w:t>Shared claim-specific concepts:</w:t>
      </w:r>
      <w:r>
        <w:t xml:space="preserve"> reduce, greenhouse, gas, emissions, reduction, ghg; EU scope visible. This is a provisional connection, not an outcome finding.</w:t>
      </w:r>
    </w:p>
    <w:p>
      <w:pPr>
        <w:pStyle w:val="SourceNote"/>
      </w:pPr>
      <w:r>
        <w:rPr>
          <w:b/>
        </w:rPr>
        <w:t>Available abstract (not full text):</w:t>
      </w:r>
      <w:r>
        <w:t xml:space="preserve"> In response to the rapid increase in global greenhouse gas (GHG) emissions, 196 countries have made a legal commitment to implement a strategy to decarbonize their economies, under the Paris Agreement, particularly with respect to the transportation sector. As part of their long-term climate actions, these countries are defining various Avoid/Reduce, Shift and Improve (A-S-I) strategies, aimed at reducing or avoiding unnecessary travel, promoting and shifting to public transport and active modes, and improving energy efficiency and vehicle technology. In this paper, we take a closer look at some of the regional and national strategies and policies to reduce GHG emissions in Europe, as well as the models and methods used to assist in policy development. Keeping in mind the limited guidance on concrete avoidance/reduction and transfer strategies mentioned in the climate actions, we list some of the land use and transport interaction (LUTI) models that can be used to improve climate change control at the urban scale. The aim of this paper is to gain a better understanding of how methods and tools can assist in decision making and policy development with respect to GHG emission reduction goals in the transportation sector.</w:t>
      </w:r>
    </w:p>
    <w:p>
      <w:pPr/>
      <w:r>
        <w:rPr>
          <w:b/>
        </w:rPr>
        <w:t>POSSIBLE 2024:</w:t>
      </w:r>
      <w:r>
        <w:t xml:space="preserve"> Reducing greenhouse gases from ruminants: a Korean perspective — https://doi.org/10.5187/ait.2024.11.2.93</w:t>
      </w:r>
    </w:p>
    <w:p>
      <w:pPr/>
      <w:r>
        <w:rPr>
          <w:b/>
        </w:rPr>
        <w:t>Shared claim-specific concepts:</w:t>
      </w:r>
      <w:r>
        <w:t xml:space="preserve"> aims, reduce, greenhouse, gas, provide, energy; EU scope visible. This is a provisional connection, not an outcome finding.</w:t>
      </w:r>
    </w:p>
    <w:p>
      <w:pPr>
        <w:pStyle w:val="SourceNote"/>
      </w:pPr>
      <w:r>
        <w:rPr>
          <w:b/>
        </w:rPr>
        <w:t>Available abstract (not full text):</w:t>
      </w:r>
      <w:r>
        <w:t xml:space="preserve"> Methane, a gas produced during the digestion process of ruminants, is a greenhouse gas that contributes to global warming and also represents energy loss. Therefore, all countries worldwide, including the United States and Europe, are trying to reduce the amount of methane gas generated. There are many research papers and excellent review papers in this regard. However, this review specifically aims to provide some insights on methane measurement methods and consider ways to reduce greenhouse gases under current domestic conditions. Enteric methane from ruminants is mainly measured using a respiration chamber and the GreenFeed system and can also be measured using an laser methane detector and sulfur hexafluoride (SF6) tracer technique. Research priority needs to be focused on measuring the current level of methane produced more accurately from Korea’s perspective, and financial support and research are imperative for this purpose. In terms of mitigation strategies, it is important to adopt and apply various processes proposed by developed countries, still equally, we also actively make efforts to research and support processes that can be implemented in domestic conditions, such as the use of agricultural by-products, food by-products, and home-grown forages in total mixed ration. Additionally, in addition to developing novel additives or substances at a strategic level, if th</w:t>
      </w:r>
    </w:p>
    <w:p>
      <w:pPr/>
      <w:r>
        <w:rPr>
          <w:b/>
        </w:rPr>
        <w:t>POSSIBLE 2024:</w:t>
      </w:r>
      <w:r>
        <w:t xml:space="preserve"> Advancements in Transition to Green Steel in Europe through Direct Reduced Iron Production — https://doi.org/10.32730/mswt.2024.68.2.2</w:t>
      </w:r>
    </w:p>
    <w:p>
      <w:pPr/>
      <w:r>
        <w:rPr>
          <w:b/>
        </w:rPr>
        <w:t>Shared claim-specific concepts:</w:t>
      </w:r>
      <w:r>
        <w:t xml:space="preserve"> reduce, greenhouse, gas, emissions, compared, reduction; EU scope visible. This is a provisional connection, not an outcome finding.</w:t>
      </w:r>
    </w:p>
    <w:p>
      <w:pPr>
        <w:pStyle w:val="SourceNote"/>
      </w:pPr>
      <w:r>
        <w:rPr>
          <w:b/>
        </w:rPr>
        <w:t>Available abstract (not full text):</w:t>
      </w:r>
      <w:r>
        <w:t xml:space="preserve"> This article describes the current situation in Europe regarding methods of steel production and transition to green steel, produced in a sustainable way, i.e. with renewable energy and without fossil fuels, in order to reduce greenhouse gas emissions. The study focuses on direct reduction (DR) as potentially the best technology to eliminate the use of fossil fuels in the steel industry. The main commercial processes of direct reduced iron (DRI) production such as MIDREX, Energiron, PERED, SL/RN, Fastmet and Circored are described and compared in terms of the quality of finished products, operational conditions and efficiency. The article presents recent statistics regarding the production capacity of DRI, comparing Europe with the rest of the world. Plans concerning the construction of DRI plants across Europe are summarised alongside other projects aimed to support the process of transition to green steel by providing environmentally friendly materials or increasing efficiency of already implemented technologies by recycling waste materials.</w:t>
      </w:r>
    </w:p>
    <w:p>
      <w:pPr>
        <w:pStyle w:val="Heading2"/>
      </w:pPr>
      <w:r>
        <w:t>745. Climate change mitigation: evidences from the European scenario</w:t>
      </w:r>
    </w:p>
    <w:p>
      <w:pPr>
        <w:pStyle w:val="SourceNote"/>
      </w:pPr>
      <w:r>
        <w:rPr>
          <w:b/>
        </w:rPr>
        <w:t>Original source (2018):</w:t>
      </w:r>
      <w:r>
        <w:t xml:space="preserve"> https://doi.org/10.1504/ijmne.2018.10016474</w:t>
      </w:r>
    </w:p>
    <w:p>
      <w:pPr/>
      <w:r>
        <w:t>Original wording (abstract; indexed_source_text_not_full_document_verified): By 2050, the EU aims to reduce its greenhouse gas emissions by 80%-95% compared with 1990 levels. New objectives up to 2030 provide for a 40% reduction of GHG emissions and an increase of 27% for renewables and energy efficiency.</w:t>
      </w:r>
    </w:p>
    <w:p>
      <w:pPr/>
      <w:r>
        <w:rPr>
          <w:b/>
        </w:rPr>
        <w:t>POSSIBLE 2026:</w:t>
      </w:r>
      <w:r>
        <w:t xml:space="preserve"> Changes in greenhouse gas emissions from agriculture in selected European Union countries — https://doi.org/10.14254/2071-8330.2026/19-1/10</w:t>
      </w:r>
    </w:p>
    <w:p>
      <w:pPr/>
      <w:r>
        <w:rPr>
          <w:b/>
        </w:rPr>
        <w:t>Shared claim-specific concepts:</w:t>
      </w:r>
      <w:r>
        <w:t xml:space="preserve"> greenhouse, gas, emissions; EU scope visible. This is a provisional connection, not an outcome finding.</w:t>
      </w:r>
    </w:p>
    <w:p>
      <w:pPr>
        <w:pStyle w:val="SourceNote"/>
      </w:pPr>
      <w:r>
        <w:rPr>
          <w:b/>
        </w:rPr>
        <w:t>Available abstract (not full text):</w:t>
      </w:r>
      <w:r>
        <w:t xml:space="preserve"> The aim of the research was to identify changes in greenhouse gas emissions from EU countries in the years 2008-2022. The research used available Eurostat data from 24 EU countries. Descriptive statistics, the Ward method and shift share analysis were used. The survey shows that in 2021 the agricultural sector was responsible for 15.3% of total greenhouse emissions in EU. Most carbon emissions from farming come from methane (54%), followed by nitrous oxide (28%) and carbon dioxide (18%). The research shows that the largest increases in carbon pollution, creating a carbon footprint in the exploring period, were recorded in Bulgaria, Estonia, Romania, Latvia and Hungary. A different situation occurred in Croatia and Germany, where carbon dioxide and methane emissions from cultivation were reduced. The research confirms that the dynamics of changes in greenhouse gas emissions depend on the intensity of agribusiness. Moreover, the structure of greenhouse emissions varies regionally. Therefore, the European Union's policy on reducing the carbon footprint should consider regional conditions.</w:t>
      </w:r>
    </w:p>
    <w:p>
      <w:pPr/>
      <w:r>
        <w:rPr>
          <w:b/>
        </w:rPr>
        <w:t>POSSIBLE 2026:</w:t>
      </w:r>
      <w:r>
        <w:t xml:space="preserve"> Mapping urban CO2 emission spatiotemporal dynamics in Europe via a nighttime light composite index — https://doi.org/10.1038/s42949-026-00437-7</w:t>
      </w:r>
    </w:p>
    <w:p>
      <w:pPr/>
      <w:r>
        <w:rPr>
          <w:b/>
        </w:rPr>
        <w:t>Shared claim-specific concepts:</w:t>
      </w:r>
      <w:r>
        <w:t xml:space="preserve"> reduce, emissions, compared, provide, reduction, energy; EU scope visible. This is a provisional connection, not an outcome finding.</w:t>
      </w:r>
    </w:p>
    <w:p>
      <w:pPr>
        <w:pStyle w:val="SourceNote"/>
      </w:pPr>
      <w:r>
        <w:rPr>
          <w:b/>
        </w:rPr>
        <w:t>Available abstract (not full text):</w:t>
      </w:r>
      <w:r>
        <w:t xml:space="preserve"> A spatiotemporal inventory of CO₂ emissions is essential for countries aiming to reduce carbon output. However, rising urban industrial activity and daily energy consumption present major challenges. Accurately understanding the spatiotemporal dynamics of urban CO₂ emissions is crucial for identifying sources and enabling targeted mitigation, yet this topic has received limited attention. This study introduces a CO₂ Emission Spatial Index (CESI), developed by integrating MODIS and VIIRS-DNB data, and applies a zonal classification approach to map urban CO₂ emissions across Europe from 2012 to 2021. Results indicate that CESI combined with zonal classification improves spatial estimation accuracy compared with nighttime light data alone, with all R ² values exceeding 0.96. The analysis reveals significant spatiotemporal variation in Europe’s urban CO₂ emissions during the study period. Additionally, a new normalized indicator integrating population, GDP, and land use (PGL index ) is proposed, and its coupling coordination relationship with CESI is examined. The results show that several northeastern European countries experience pronounced imbalances. These findings provide valuable insights for local authorities, supporting more precise spatial analysis and more effective CO₂ reduction policies.</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greenhouse, gas, reduction, renewables;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WAYS OF REDUCING GREENHOUSE GASES — https://doi.org/10.33864/1816-2126.2026.n2.103-107</w:t>
      </w:r>
    </w:p>
    <w:p>
      <w:pPr/>
      <w:r>
        <w:rPr>
          <w:b/>
        </w:rPr>
        <w:t>Shared claim-specific concepts:</w:t>
      </w:r>
      <w:r>
        <w:t xml:space="preserve"> greenhouse, gas, emissions, reduction, energy, efficiency; EU scope not established. This is a provisional connection, not an outcome finding.</w:t>
      </w:r>
    </w:p>
    <w:p>
      <w:pPr>
        <w:pStyle w:val="SourceNote"/>
      </w:pPr>
      <w:r>
        <w:rPr>
          <w:b/>
        </w:rPr>
        <w:t>Available abstract (not full text):</w:t>
      </w:r>
      <w:r>
        <w:t xml:space="preserve"> Greenhouse gas emissions have become a major environmental concern due to their significant contribution to global warming and long-term climate change. Human activities such as industrial development, fossil fuel combustion, rapid urbanization, intensive agriculture, and the loss of forested areas have led to increasing atmospheric concentrations of carbon dioxide (CO₂), methane (CH₄), and nitrous oxide (N₂O). This paper explores the primary sources of greenhouse gas emissions and discusses their environmental, economic, and social consequences. It also reviews current mitigation strategies, including the adoption of renewable energy technologies, improvements in energy efficiency, sustainable transportation systems, low-carbon industrial processes, and forest conservation initiatives. Furthermore, the importance of international climate agreements, environmental regulations, and policy frameworks in achieving emission reduction targets is examined. The findings indicate that effective greenhouse gas mitigation requires an integrated approach combining technological innovation, governmental action, and sustainable development practices to support long-term environmental protection.</w:t>
      </w:r>
    </w:p>
    <w:p>
      <w:pPr/>
      <w:r>
        <w:rPr>
          <w:b/>
        </w:rPr>
        <w:t>POSSIBLE 2025:</w:t>
      </w:r>
      <w:r>
        <w:t xml:space="preserve"> Reducing Greenhouse Gas Emissions in Hungary in Light of the Dynamically Changing Requirements of the European Union — https://doi.org/10.56251/gfga3859</w:t>
      </w:r>
    </w:p>
    <w:p>
      <w:pPr/>
      <w:r>
        <w:rPr>
          <w:b/>
        </w:rPr>
        <w:t>Shared claim-specific concepts:</w:t>
      </w:r>
      <w:r>
        <w:t xml:space="preserve"> aims, greenhouse, gas, emissions; EU scope visible. This is a provisional connection, not an outcome finding.</w:t>
      </w:r>
    </w:p>
    <w:p>
      <w:pPr>
        <w:pStyle w:val="SourceNote"/>
      </w:pPr>
      <w:r>
        <w:rPr>
          <w:b/>
        </w:rPr>
        <w:t>Available abstract (not full text):</w:t>
      </w:r>
      <w:r>
        <w:t xml:space="preserve"> The fight against climate change requires Hungary to develop a common set of principles-based targets and to operate a coherent framework for action, monitoring and feedback in order to meet national and international targets for reducing greenhouse gas emissions. This is highlighted by the analysis of the State Audit Office of Hungary (SAO) concluded in 2024, which audited the measures aimed at reducing greenhouse gas emissions and the strategic framework of Hungary in the light of the dynamically changing requirements of the European Union (EU). Due to greenhouse gas emissions, the effects of global warming affect almost all aspects of life, the natural environment and biodiversity, all sectors of the economy, human habitats and the development of society. The estimated value of economic damages associated with climate change, including projections ranging from the costs of recovery caused by natural disasters to unrealised economic returns, are increasing. Action is of key importance for Europe, as the continent’s average temperature is rising at around twice the global average. A milestone in the fight against climate change was the Paris Agreement adopted in 2015, which set the target of reducing the average temperature rise. The European Union’s Climate Law aims to ensure that climate neutrality, i.e. a balance between greenhouse gas emissions and removals, is achieved by</w:t>
      </w:r>
    </w:p>
    <w:p>
      <w:pPr/>
      <w:r>
        <w:rPr>
          <w:b/>
        </w:rPr>
        <w:t>POSSIBLE 2025:</w:t>
      </w:r>
      <w:r>
        <w:t xml:space="preserve"> THE ROLE OF ENVIRONMENTAL TAXES IN GENERATING TAX REVENUES AND REDUCING GREENHOUSE GAS EMISSIONS IN THE EUROPEAN UNION — https://doi.org/10.55654/jfs.2025.10.sp.19</w:t>
      </w:r>
    </w:p>
    <w:p>
      <w:pPr/>
      <w:r>
        <w:rPr>
          <w:b/>
        </w:rPr>
        <w:t>Shared claim-specific concepts:</w:t>
      </w:r>
      <w:r>
        <w:t xml:space="preserve"> aims, reduce, greenhouse, gas, emissions, objectives; EU scope visible. This is a provisional connection, not an outcome finding.</w:t>
      </w:r>
    </w:p>
    <w:p>
      <w:pPr>
        <w:pStyle w:val="SourceNote"/>
      </w:pPr>
      <w:r>
        <w:rPr>
          <w:b/>
        </w:rPr>
        <w:t>Available abstract (not full text):</w:t>
      </w:r>
      <w:r>
        <w:t xml:space="preserve"> The aim of this study is to examine the role of environmental taxes in generating tax revenues and reducing greenhouse gas emissions in the European Union. The study investigates how these taxes, particularly those on energy and transport, contribute to the EU's climate objectives, such as climate neutrality by 2050. It also assesses differences in their implementation between Member States. In the context of the European Green Pact, the research aims to provide a comprehensive analysis of the effectiveness of these taxes in supporting climate policies and sustainable development. The study uses an econometric analysis applied to a dataset comprising relevant economic and environmental indicators, including taxes on energy, transportation, net greenhouse gas emissions and GDP per capita. This approach makes it possible to assess the relationships between the variables and to measure the impact of each type of tax-on-tax revenues and emission reductions. The analysis also includes descriptive statistics to highlight differences between Member States. The results indicate that energy taxes have a significant and positive impact on revenues from environmental taxes, contributing substantially to the budgets of Member States that implement them in an ambitious way. At the same time, fuel and transport taxes have been found to be under-used in some Member States, thus limiting their</w:t>
      </w:r>
    </w:p>
    <w:p>
      <w:pPr/>
      <w:r>
        <w:rPr>
          <w:b/>
        </w:rPr>
        <w:t>POSSIBLE 2025:</w:t>
      </w:r>
      <w:r>
        <w:t xml:space="preserve"> The Role of Organic Farming in Reducing Greenhouse Gas Emissions from Agriculture in the European Union — https://doi.org/10.3390/agronomy15010198</w:t>
      </w:r>
    </w:p>
    <w:p>
      <w:pPr/>
      <w:r>
        <w:rPr>
          <w:b/>
        </w:rPr>
        <w:t>Shared claim-specific concepts:</w:t>
      </w:r>
      <w:r>
        <w:t xml:space="preserve"> greenhouse, gas, emissions, levels, objectives, ghg; EU scope visible. This is a provisional connection, not an outcome finding.</w:t>
      </w:r>
    </w:p>
    <w:p>
      <w:pPr>
        <w:pStyle w:val="SourceNote"/>
      </w:pPr>
      <w:r>
        <w:rPr>
          <w:b/>
        </w:rPr>
        <w:t>Available abstract (not full text):</w:t>
      </w:r>
      <w:r>
        <w:t xml:space="preserve"> Agriculture remains a key source of greenhouse gas (GHG) emissions within the European Union, posing substantial obstacles to achieving climate objectives and fostering sustainable development. On this background, organic farming stands out as a viable alternative, offering significant potential for reducing emissions. This study explores the impact of expanding organic farming on GHG emissions in the EU agricultural sector. The empirical research examines the connection between organic farming practices and GHG emission levels using structural equation modeling, complemented by Holt and ARIMA forecasting models, to project future trends based on expected growth in organic farmland. The findings highlight a robust negative influence (p &lt; 0.001), demonstrating that organic farming practices are associated with tangible reductions in emissions. Forecasting analyses further reinforce this, predicting considerable declines in GHG emissions (by almost 14 percent below the level of 2008) as organic farming continues to expand for over 23% of agricultural land by 2035, according to the projections in this research. These insights underscore the critical role of organic farming in advancing the EU’s climate ambitions. The study concludes that broader adoption of organic practices offers a practical and impactful pathway for building a more sustainable agricultural system while mitigati</w:t>
      </w:r>
    </w:p>
    <w:p>
      <w:pPr/>
      <w:r>
        <w:rPr>
          <w:b/>
        </w:rPr>
        <w:t>POSSIBLE 2025:</w:t>
      </w:r>
      <w:r>
        <w:t xml:space="preserve"> Analysis of Greenhouse Gas Emissions from Ships Visiting European Ports — https://doi.org/10.3233/pmst250013</w:t>
      </w:r>
    </w:p>
    <w:p>
      <w:pPr/>
      <w:r>
        <w:rPr>
          <w:b/>
        </w:rPr>
        <w:t>Shared claim-specific concepts:</w:t>
      </w:r>
      <w:r>
        <w:t xml:space="preserve"> greenhouse, gas, emissions, compared, levels, reduction; EU scope visible. This is a provisional connection, not an outcome finding.</w:t>
      </w:r>
    </w:p>
    <w:p>
      <w:pPr>
        <w:pStyle w:val="SourceNote"/>
      </w:pPr>
      <w:r>
        <w:rPr>
          <w:b/>
        </w:rPr>
        <w:t>Available abstract (not full text):</w:t>
      </w:r>
      <w:r>
        <w:t xml:space="preserve"> Starting January 1, 2025, shipping companies will be required to monitor and record greenhouse gas (GHG) emissions data for each ship arriving at or departing from a port in the European Union. This requirement is part of the FuelEU Maritime regulation and applies to all vessels with over 5,000 gross tons for transporting passengers or cargo for commercial purposes. The FuelEU regulation includes a calculation scheme and sets limits on GHG intensity, aiming for an 80% reduction in emissions compared to 2020 levels by 2050. Short-sea shipping plays a crucial role in the European Union’s transportation policy. The study’s objective is to analyse the GHG emissions of the containerships registered from 2020 to 2023 vessels, utilising EU-MRV data from 2020 to 2023. Applying the extreme values analysis indicates no consistent trend toward reducing GHG intensity, illustrating the complexities in mitigating the GHG intensity levels requiring additional measures to achieve the proposed reduction by 2050.</w:t>
      </w:r>
    </w:p>
    <w:p>
      <w:pPr/>
      <w:r>
        <w:rPr>
          <w:b/>
        </w:rPr>
        <w:t>POSSIBLE 2025:</w:t>
      </w:r>
      <w:r>
        <w:t xml:space="preserve"> Reducing Carbon Emissions from Transport Sector: Experience and Policy Design Considerations — https://doi.org/10.3390/su17093762</w:t>
      </w:r>
    </w:p>
    <w:p>
      <w:pPr/>
      <w:r>
        <w:rPr>
          <w:b/>
        </w:rPr>
        <w:t>Shared claim-specific concepts:</w:t>
      </w:r>
      <w:r>
        <w:t xml:space="preserve"> reduce, greenhouse, gas, emissions, compared, ghg; EU scope visible. This is a provisional connection, not an outcome finding.</w:t>
      </w:r>
    </w:p>
    <w:p>
      <w:pPr>
        <w:pStyle w:val="SourceNote"/>
      </w:pPr>
      <w:r>
        <w:rPr>
          <w:b/>
        </w:rPr>
        <w:t>Available abstract (not full text):</w:t>
      </w:r>
      <w:r>
        <w:t xml:space="preserve"> Countries aim to reduce fossil fuel usage and related environmental issues through various demand- and supply-side policies. Numerous studies have assessed the policies’ overview. However, analysis of the impacts and effectiveness of these policies in addressing transport-related CO2 emissions is limited globally and in countries like New Zealand, which have a lower CO2 emissions energy intensity compared to Europe, Asia, and Oceania averages. Therefore, this study first analyses the trends in energy consumption and CO2 emissions within the transport sector across the ten largest total CO2-emitting countries, as well as the ten largest transport CO2-emitting OECD countries. It then provides a systematic review of the relevant policies and, finally, estimates two econometric models to explore the effects of these policies on the energy market, aimed at reducing GHG emissions globally from the transport sector, with New Zealand as a case study. The study findings indicate that the transport sector remains a significant contributor to global fossil fuel consumption and CO2 emissions, accounting for 40.4% and 23.3%, respectively, in 2024. The ten largest CO2-emitting countries—China, the United States, India, Russia, Japan, Germany, South Korea, Iran, Canada, and Saudi Arabia—are responsible for 68% of global emissions. Additionally, the ten OECD countries, except the US, with the </w:t>
      </w:r>
    </w:p>
    <w:p>
      <w:pPr/>
      <w:r>
        <w:rPr>
          <w:b/>
        </w:rPr>
        <w:t>POSSIBLE 2025:</w:t>
      </w:r>
      <w:r>
        <w:t xml:space="preserve"> An identification of models to help in the design of national strategies and policies to reduce greenhouse gas emissions. — https://doi.org/10.1016/j.trpro.2024.12.094</w:t>
      </w:r>
    </w:p>
    <w:p>
      <w:pPr/>
      <w:r>
        <w:rPr>
          <w:b/>
        </w:rPr>
        <w:t>Shared claim-specific concepts:</w:t>
      </w:r>
      <w:r>
        <w:t xml:space="preserve"> reduce, greenhouse, gas, emissions, reduction, ghg; EU scope visible. This is a provisional connection, not an outcome finding.</w:t>
      </w:r>
    </w:p>
    <w:p>
      <w:pPr>
        <w:pStyle w:val="SourceNote"/>
      </w:pPr>
      <w:r>
        <w:rPr>
          <w:b/>
        </w:rPr>
        <w:t>Available abstract (not full text):</w:t>
      </w:r>
      <w:r>
        <w:t xml:space="preserve"> In response to the rapid increase in global greenhouse gas (GHG) emissions, 196 countries have made a legal commitment to implement a strategy to decarbonize their economies, under the Paris Agreement, particularly with respect to the transportation sector. As part of their long-term climate actions, these countries are defining various Avoid/Reduce, Shift and Improve (A-S-I) strategies, aimed at reducing or avoiding unnecessary travel, promoting and shifting to public transport and active modes, and improving energy efficiency and vehicle technology. In this paper, we take a closer look at some of the regional and national strategies and policies to reduce GHG emissions in Europe, as well as the models and methods used to assist in policy development. Keeping in mind the limited guidance on concrete avoidance/reduction and transfer strategies mentioned in the climate actions, we list some of the land use and transport interaction (LUTI) models that can be used to improve climate change control at the urban scale. The aim of this paper is to gain a better understanding of how methods and tools can assist in decision making and policy development with respect to GHG emission reduction goals in the transportation sector.</w:t>
      </w:r>
    </w:p>
    <w:p>
      <w:pPr/>
      <w:r>
        <w:rPr>
          <w:b/>
        </w:rPr>
        <w:t>POSSIBLE 2024:</w:t>
      </w:r>
      <w:r>
        <w:t xml:space="preserve"> Reducing greenhouse gases from ruminants: a Korean perspective — https://doi.org/10.5187/ait.2024.11.2.93</w:t>
      </w:r>
    </w:p>
    <w:p>
      <w:pPr/>
      <w:r>
        <w:rPr>
          <w:b/>
        </w:rPr>
        <w:t>Shared claim-specific concepts:</w:t>
      </w:r>
      <w:r>
        <w:t xml:space="preserve"> aims, reduce, greenhouse, gas, provide, energy; EU scope visible. This is a provisional connection, not an outcome finding.</w:t>
      </w:r>
    </w:p>
    <w:p>
      <w:pPr>
        <w:pStyle w:val="SourceNote"/>
      </w:pPr>
      <w:r>
        <w:rPr>
          <w:b/>
        </w:rPr>
        <w:t>Available abstract (not full text):</w:t>
      </w:r>
      <w:r>
        <w:t xml:space="preserve"> Methane, a gas produced during the digestion process of ruminants, is a greenhouse gas that contributes to global warming and also represents energy loss. Therefore, all countries worldwide, including the United States and Europe, are trying to reduce the amount of methane gas generated. There are many research papers and excellent review papers in this regard. However, this review specifically aims to provide some insights on methane measurement methods and consider ways to reduce greenhouse gases under current domestic conditions. Enteric methane from ruminants is mainly measured using a respiration chamber and the GreenFeed system and can also be measured using an laser methane detector and sulfur hexafluoride (SF6) tracer technique. Research priority needs to be focused on measuring the current level of methane produced more accurately from Korea’s perspective, and financial support and research are imperative for this purpose. In terms of mitigation strategies, it is important to adopt and apply various processes proposed by developed countries, still equally, we also actively make efforts to research and support processes that can be implemented in domestic conditions, such as the use of agricultural by-products, food by-products, and home-grown forages in total mixed ration. Additionally, in addition to developing novel additives or substances at a strategic level, if th</w:t>
      </w:r>
    </w:p>
    <w:p>
      <w:pPr/>
      <w:r>
        <w:rPr>
          <w:b/>
        </w:rPr>
        <w:t>POSSIBLE 2024:</w:t>
      </w:r>
      <w:r>
        <w:t xml:space="preserve"> Advancements in Transition to Green Steel in Europe through Direct Reduced Iron Production — https://doi.org/10.32730/mswt.2024.68.2.2</w:t>
      </w:r>
    </w:p>
    <w:p>
      <w:pPr/>
      <w:r>
        <w:rPr>
          <w:b/>
        </w:rPr>
        <w:t>Shared claim-specific concepts:</w:t>
      </w:r>
      <w:r>
        <w:t xml:space="preserve"> reduce, greenhouse, gas, emissions, compared, reduction; EU scope visible. This is a provisional connection, not an outcome finding.</w:t>
      </w:r>
    </w:p>
    <w:p>
      <w:pPr>
        <w:pStyle w:val="SourceNote"/>
      </w:pPr>
      <w:r>
        <w:rPr>
          <w:b/>
        </w:rPr>
        <w:t>Available abstract (not full text):</w:t>
      </w:r>
      <w:r>
        <w:t xml:space="preserve"> This article describes the current situation in Europe regarding methods of steel production and transition to green steel, produced in a sustainable way, i.e. with renewable energy and without fossil fuels, in order to reduce greenhouse gas emissions. The study focuses on direct reduction (DR) as potentially the best technology to eliminate the use of fossil fuels in the steel industry. The main commercial processes of direct reduced iron (DRI) production such as MIDREX, Energiron, PERED, SL/RN, Fastmet and Circored are described and compared in terms of the quality of finished products, operational conditions and efficiency. The article presents recent statistics regarding the production capacity of DRI, comparing Europe with the rest of the world. Plans concerning the construction of DRI plants across Europe are summarised alongside other projects aimed to support the process of transition to green steel by providing environmentally friendly materials or increasing efficiency of already implemented technologies by recycling waste materials.</w:t>
      </w:r>
    </w:p>
    <w:p>
      <w:pPr>
        <w:pStyle w:val="Heading2"/>
      </w:pPr>
      <w:r>
        <w:t>746. Current situation and future prospects for beef production in Europe — A review</w:t>
      </w:r>
    </w:p>
    <w:p>
      <w:pPr>
        <w:pStyle w:val="SourceNote"/>
      </w:pPr>
      <w:r>
        <w:rPr>
          <w:b/>
        </w:rPr>
        <w:t>Original source (2018):</w:t>
      </w:r>
      <w:r>
        <w:t xml:space="preserve"> https://doi.org/10.5713/ajas.18.0196</w:t>
      </w:r>
    </w:p>
    <w:p>
      <w:pPr/>
      <w:r>
        <w:t>Original wording (abstract; indexed_source_text_not_full_document_verified): These may affect the whole industry, especially its farmers. Different future scenarios can be written depending on the major driving forces, notably meat consumption, climate change, environmental policies and future organization of the supply chain.</w:t>
      </w:r>
    </w:p>
    <w:p>
      <w:pPr/>
      <w:r>
        <w:rPr>
          <w:b/>
        </w:rPr>
        <w:t>POSSIBLE 2026:</w:t>
      </w:r>
      <w:r>
        <w:t xml:space="preserve"> Industry 5.0 in the European Union — https://doi.org/10.1201/9781003785590</w:t>
      </w:r>
    </w:p>
    <w:p>
      <w:pPr/>
      <w:r>
        <w:rPr>
          <w:b/>
        </w:rPr>
        <w:t>Shared claim-specific concepts:</w:t>
      </w:r>
      <w:r>
        <w:t xml:space="preserve"> industry, climate, environmental; EU scope visible. This is a provisional connection, not an outcome finding.</w:t>
      </w:r>
    </w:p>
    <w:p>
      <w:pPr>
        <w:pStyle w:val="SourceNote"/>
      </w:pPr>
      <w:r>
        <w:rPr>
          <w:b/>
        </w:rPr>
        <w:t>Available abstract (not full text):</w:t>
      </w:r>
      <w:r>
        <w:t xml:space="preserve"> This book explores the transformative shift from Industry 4.0 to Industry 5.0, emphasizing human-centricity, environmental sustainability, and resilience alongside technological innovation. Focusing on the European Union, it examines the readiness of EU-27 countries to adopt Industry 5.0 principles, offering a detailed analysis of the challenges and opportunities in this transition while integrating technological advancements with societal and environmental goals. Industry 5.0 in the European Union: A Paradigm Shift Towards People-Centered and Sustainable Development provides an in-depth analysis of Industry 5.0’s theoretical foundations, its human-centric, technological, and environmental dimensions, and the EU’s strategic role in its implementation. The book introduces a unique Industry 5.0 maturity assessment model, explores labor market implications, and offers evidence-based recommendations for fostering inclusive and sustainable industrial systems. Essential for industrial engineers, policymakers, and researchers focused on sustainable and human-centric industrial systems, this book offers valuable insights into addressing challenges like climate change and social inequality while optimizing systems for the Fifth Industrial Revolution.</w:t>
      </w:r>
    </w:p>
    <w:p>
      <w:pPr/>
      <w:r>
        <w:rPr>
          <w:b/>
        </w:rPr>
        <w:t>POSSIBLE 2026:</w:t>
      </w:r>
      <w:r>
        <w:t xml:space="preserve"> The economic sustainability of farmers’ markets in Europe — https://doi.org/10.1007/s43621-026-04012-z</w:t>
      </w:r>
    </w:p>
    <w:p>
      <w:pPr/>
      <w:r>
        <w:rPr>
          <w:b/>
        </w:rPr>
        <w:t>Shared claim-specific concepts:</w:t>
      </w:r>
      <w:r>
        <w:t xml:space="preserve"> especially, farmers; EU scope visible. This is a provisional connection, not an outcome finding.</w:t>
      </w:r>
    </w:p>
    <w:p>
      <w:pPr>
        <w:pStyle w:val="SourceNote"/>
      </w:pPr>
      <w:r>
        <w:rPr>
          <w:b/>
        </w:rPr>
        <w:t>Available abstract (not full text):</w:t>
      </w:r>
      <w:r>
        <w:t xml:space="preserve"> Abstract Farmers’ markets (FMs) represent one of the oldest and most prevalent forms of short food supply chains (SFSCs), serving as a vital retail outlet for local products. While the broader literature on SFSCs has a strong European focus, quantitative studies examining consumers’ willingness to pay (WTP) at FMs have predominantly focused on the United States. By focusing specifically on FMs, this study extends the existing SFSC literature through a harmonised, cross-country analysis of consumers’ WTP in three European countries, where FMs have rich traditions and cultural significance. We investigated consumer WTP for various points of sale, with a particular emphasis on FMs, utilizing a discrete choice experiment centered around a typical FM product: apples. Data were gathered through an online survey conducted in October–November 2023, involving representative samples from Hungary (n = 614), Italy (n = 600), and the UK (n = 600). Latent class modelling was applied to explore preference heterogeneity and to identify consumer segments with distinct WTP patterns across the three countries. The findings confirm that FMs hold a unique position in the retail market, often commanding a price premium compared to grocery stores and supermarkets. However, the FM premium is not uniform across consumer segments or countries, and product-specific attributes, especially visual quality, </w:t>
      </w:r>
    </w:p>
    <w:p>
      <w:pPr/>
      <w:r>
        <w:rPr>
          <w:b/>
        </w:rPr>
        <w:t>POSSIBLE 2025:</w:t>
      </w:r>
      <w:r>
        <w:t xml:space="preserve"> AGGLOMERATION, NETWORKS &amp; INSTITUTIONAL SUPPORT IN THE INNOVATIVE EUROPEAN AEROSPACE INDUSTRY — https://doi.org/10.31732/2663-2209-2025-80-225-234</w:t>
      </w:r>
    </w:p>
    <w:p>
      <w:pPr/>
      <w:r>
        <w:rPr>
          <w:b/>
        </w:rPr>
        <w:t>Shared claim-specific concepts:</w:t>
      </w:r>
      <w:r>
        <w:t xml:space="preserve"> affect, whole, industry, policies; EU scope visible. This is a provisional connection, not an outcome finding.</w:t>
      </w:r>
    </w:p>
    <w:p>
      <w:pPr>
        <w:pStyle w:val="SourceNote"/>
      </w:pPr>
      <w:r>
        <w:rPr>
          <w:b/>
        </w:rPr>
        <w:t>Available abstract (not full text):</w:t>
      </w:r>
      <w:r>
        <w:t xml:space="preserve"> This article examines the interrelated role of agglomeration, networks and institutional advantages in shaping the competitive dynamics of the European aerospace industry. The interaction of agglomerations, formal and informal networks, and public and private institutions creates the foundation for innovative development, high efficiency and competitiveness of the European aerospace industry. The aim of the article is to analyze such interactions and identify ways to ensure sustainable competitive advantages of enterprises and the industry as a whole in the process of timely response to challenges from the external environment. The aerospace industry is characterized by technological intensity, complex value chains and strong cooperation between the public and private sectors, which provides a unique context for analyzing how spatial concentration, formal and informal networks, collaborative ties and institutional frameworks jointly promote innovation and competitiveness. These principles completely correspond with ESG conception which provides European values. Agglomeration is reflected in aerospace clusters such as Toulouse, Hamburg and Turin, where knowledge sharing, research and development, pools of skilled labour, integration links and proximity to suppliers increase the efficiency of companies and the innovation level of the industry. Networks, both formal and informal, </w:t>
      </w:r>
    </w:p>
    <w:p>
      <w:pPr/>
      <w:r>
        <w:rPr>
          <w:b/>
        </w:rPr>
        <w:t>POSSIBLE 2025:</w:t>
      </w:r>
      <w:r>
        <w:t xml:space="preserve"> The European Union’s role in European defence industry policy — https://doi.org/10.1080/14702436.2025.2472694</w:t>
      </w:r>
    </w:p>
    <w:p>
      <w:pPr/>
      <w:r>
        <w:rPr>
          <w:b/>
        </w:rPr>
        <w:t>Shared claim-specific concepts:</w:t>
      </w:r>
      <w:r>
        <w:t xml:space="preserve"> industry, different; EU scope visible. This is a provisional connection, not an outcome finding.</w:t>
      </w:r>
    </w:p>
    <w:p>
      <w:pPr>
        <w:pStyle w:val="SourceNote"/>
      </w:pPr>
      <w:r>
        <w:rPr>
          <w:b/>
        </w:rPr>
        <w:t>Available abstract (not full text):</w:t>
      </w:r>
      <w:r>
        <w:t xml:space="preserve"> The European Union has often been described as an economic giant but a political dwarf. It has a security and defence policy, but it is not a military alliance. Despite this, the defence industry has been on the EU’s agenda for years. This development reached a new phase in 2021 when the EU budget included almost 8 billion Euro in a European Defence Fund, strengthened when the EU in 2022 acted decisively to supply Ukraine with arms and ammunition, and strengthened yet again in March 2024 when it presented a comprehensive European Defence Industrial Strategy and European Defence Industry Programme. At first glance the developments may seem counterintuitive. What makes a mainly civilian organisation develop into an actor in defence industry policy? Departing from four dilemmas arising from the specific challenges with ownership of the defence industry and efforts to create a European defence market, this article identifies the challenges that different EU initiatives try to solve, analyses economic, political and strategic rationales of the development, analyses the four dilemmas in light of the development, and discusses how it relates to the EU’s raison d’être with regard to European defence.</w:t>
      </w:r>
    </w:p>
    <w:p>
      <w:pPr/>
      <w:r>
        <w:rPr>
          <w:b/>
        </w:rPr>
        <w:t>POSSIBLE 2025:</w:t>
      </w:r>
      <w:r>
        <w:t xml:space="preserve"> The importance of public funding for the European film industry — https://openalex.org/W7115611300</w:t>
      </w:r>
    </w:p>
    <w:p>
      <w:pPr/>
      <w:r>
        <w:rPr>
          <w:b/>
        </w:rPr>
        <w:t>Shared claim-specific concepts:</w:t>
      </w:r>
      <w:r>
        <w:t xml:space="preserve"> affect, industry, especially, different; EU scope visible. This is a provisional connection, not an outcome finding.</w:t>
      </w:r>
    </w:p>
    <w:p>
      <w:pPr>
        <w:pStyle w:val="SourceNote"/>
      </w:pPr>
      <w:r>
        <w:rPr>
          <w:b/>
        </w:rPr>
        <w:t>Available abstract (not full text):</w:t>
      </w:r>
      <w:r>
        <w:t xml:space="preserve"> The creative and cultural industries are continuously facing budget cuts around Europe. In light of these country-level cuts, public funding from institutions like the European Union are becoming more and more valuable. This thesis explores how different EU public funding projects have affected and will continue to affect the European film industry and its success. The study is conducted as a literature review and focuses on economic theoretical literature and academic studies on public funding, EU funding projects and countryspecific examples of film success. The findings show various links between EU based funding and the growing success of European film. Especially economically there is a clear positive correlation between EU public funding and economic growth of the industry. Cultural benefits are also explored while using a critical lense to evaluate potential improvements as well. Based on the evaluation of past country-specific examples, this thesis draws conclusions regarding future outlooks. It explores future trends and initiatives to show that the EU will continue to have a crucial role in the European film industry’s success. This thesis contributes to a deeper understanding of the value of public funding for the film sector. It discusses important and relevant aspects of public funding and reflects on current changes in the industry and their effects. This thesis c</w:t>
      </w:r>
    </w:p>
    <w:p>
      <w:pPr/>
      <w:r>
        <w:rPr>
          <w:b/>
        </w:rPr>
        <w:t>POSSIBLE 2025:</w:t>
      </w:r>
      <w:r>
        <w:t xml:space="preserve"> The Whole Economy: Work and Gender in Early Modern Europe — https://doi.org/10.1215/15476715-11609909</w:t>
      </w:r>
    </w:p>
    <w:p>
      <w:pPr/>
      <w:r>
        <w:rPr>
          <w:b/>
        </w:rPr>
        <w:t>Shared claim-specific concepts:</w:t>
      </w:r>
      <w:r>
        <w:t xml:space="preserve"> whole, consumption, chain; EU scope visible. This is a provisional connection, not an outcome finding.</w:t>
      </w:r>
    </w:p>
    <w:p>
      <w:pPr>
        <w:pStyle w:val="SourceNote"/>
      </w:pPr>
      <w:r>
        <w:rPr>
          <w:b/>
        </w:rPr>
        <w:t>Available abstract (not full text):</w:t>
      </w:r>
      <w:r>
        <w:t xml:space="preserve"> The Whole Economy: Work and Gender in Early Modern Europe, a collection of essays edited by Catriona Macleod, Alexandra Shepard, and Maria Ågren, is a much-needed corrective to male-centered histories of the early modern economy. The book makes no claim that this quest is entirely new. Since the early twentieth century, women’s role in the early modern economy has been reiterated time and again. Alice Clark and Ivy Pinchbeck pioneered studies of women’s work in Britain, and the mantle was later taken up by second-wave feminist scholars. As conversations around gender wage gaps, the value of unpaid work, and female labor opportunities have become regular features in contemporary public discourse, historians of gender and work have turned to parallel issues in the past.The book’s distinctiveness lies in the word whole in its title. The authors systematically challenge assumptions made by early modern economic historians about women’s contribution, placing the labor patterns of all members of early modern European society under the microscope. A recent history of Britain’s economic development between 1270 and 1870 claims that women could only have undertaken about 30 percent of paid work, while men contributed 70 percent. This proportion is based not only on the assumption that women must have done unpaid housework and childcare but also on the equally unfounded belief that this </w:t>
      </w:r>
    </w:p>
    <w:p>
      <w:pPr/>
      <w:r>
        <w:rPr>
          <w:b/>
        </w:rPr>
        <w:t>POSSIBLE 2024:</w:t>
      </w:r>
      <w:r>
        <w:t xml:space="preserve"> The Transformation of the European Car Industry — https://doi.org/10.32559/et.2024.2.6</w:t>
      </w:r>
    </w:p>
    <w:p>
      <w:pPr/>
      <w:r>
        <w:rPr>
          <w:b/>
        </w:rPr>
        <w:t>Shared claim-specific concepts:</w:t>
      </w:r>
      <w:r>
        <w:t xml:space="preserve"> industry, major, climate, environmental, chain; EU scope visible. This is a provisional connection, not an outcome finding.</w:t>
      </w:r>
    </w:p>
    <w:p>
      <w:pPr>
        <w:pStyle w:val="SourceNote"/>
      </w:pPr>
      <w:r>
        <w:rPr>
          <w:b/>
        </w:rPr>
        <w:t>Available abstract (not full text):</w:t>
      </w:r>
      <w:r>
        <w:t xml:space="preserve"> The European automotive industry faces many 21st.century challenges, with sustainability and climate protection as key objectives. Among these, the European Parliament’s decision to mandate zero emission passenger cars and light commercial vehicles from 2035 marks a transformative shift. This cornerstone of the “Fit for 55” climate package carries broad economic, social and political implications, requiring significant adjustments across the automotive value chain and presenting major hurdles for stakeholders.This manuscript explores the sector’s electrification efforts, focusing on the tension between sustainability goals and economic impacts. It highlights disparities in electric vehicle affordability and accessibility across Europe, which risk deepening socio-economic inequalities, and questions the environmental and equity outcomes of weight-based regulatory incentives favouring premium models.Beyond assessing the feasibility of emissions targets, the study critically examines whether the EU’s focus on electric vehicles aligns with broader climate goals or creates new challenges. Addressing these issues aims to illuminate the immediate and long-term implications for the evolution of the automotive industry and Europe’s socio-economic landscape.</w:t>
      </w:r>
    </w:p>
    <w:p>
      <w:pPr/>
      <w:r>
        <w:rPr>
          <w:b/>
        </w:rPr>
        <w:t>POSSIBLE 2024:</w:t>
      </w:r>
      <w:r>
        <w:t xml:space="preserve"> Attributing responsibility to farmers for environmental protection and climate action: insights from the European Union — https://doi.org/10.1007/s13412-024-00981-7</w:t>
      </w:r>
    </w:p>
    <w:p>
      <w:pPr/>
      <w:r>
        <w:rPr>
          <w:b/>
        </w:rPr>
        <w:t>Shared claim-specific concepts:</w:t>
      </w:r>
      <w:r>
        <w:t xml:space="preserve"> farmers, climate, environmental; EU scope visible. This is a provisional connection, not an outcome finding.</w:t>
      </w:r>
    </w:p>
    <w:p>
      <w:pPr>
        <w:pStyle w:val="SourceNote"/>
      </w:pPr>
      <w:r>
        <w:rPr>
          <w:b/>
        </w:rPr>
        <w:t>Available abstract (not full text):</w:t>
      </w:r>
      <w:r>
        <w:t xml:space="preserve"> The attribution of responsibility is an important aspect of democratic government and governance. This study is interested in explaining variation in the responsibility that the public attributes to farmers for tackling climate change and environmental degradation. It analyzes data for respondents based in the 27 member states of the European Union as offered by a special issue of the Eurobarometer. Theoretically, the study postulates that if individuals perceive agriculture as a cause of climate change and environmental degradation, then they are more likely to indicate that it is a responsibility of farmers to take environmental and climate action. It also hypothesizes that individuals with a left-leaning ideology are more likely to attribute responsibility to farmers than right-leaning ones. Empirically, we find that the attribution of responsibility to farmers for mitigating climate change and environmental degradation is highest among Danes and lowest among Estonians. In 19 out of the 27 member states, our hypothesis holds true that individuals who perceive agriculture as a cause of climate change and environmental degradation are also more likely to attribute farmers' responsibility for taking climate and environmental action. And in 11 member states, left-leaning individuals have a significantly higher likelihood of attributing farmers' responsibility for tackling climat</w:t>
      </w:r>
    </w:p>
    <w:p>
      <w:pPr/>
      <w:r>
        <w:rPr>
          <w:b/>
        </w:rPr>
        <w:t>POSSIBLE 2024:</w:t>
      </w:r>
      <w:r>
        <w:t xml:space="preserve"> Supply Chain Resilience in the European Automotive Industry — https://doi.org/10.2478/mspe-2024-0036</w:t>
      </w:r>
    </w:p>
    <w:p>
      <w:pPr/>
      <w:r>
        <w:rPr>
          <w:b/>
        </w:rPr>
        <w:t>Shared claim-specific concepts:</w:t>
      </w:r>
      <w:r>
        <w:t xml:space="preserve"> industry, especially, different, chain; EU scope visible. This is a provisional connection, not an outcome finding.</w:t>
      </w:r>
    </w:p>
    <w:p>
      <w:pPr>
        <w:pStyle w:val="SourceNote"/>
      </w:pPr>
      <w:r>
        <w:rPr>
          <w:b/>
        </w:rPr>
        <w:t>Available abstract (not full text):</w:t>
      </w:r>
      <w:r>
        <w:t xml:space="preserve"> Abstract The transformation of supply chains is an important factor for European Automotive OEMs to compete internationally. But it turns out that these are not as resilient as required. A resilient supply chain requires appropriate risk management measures that minimize internal and external influences. However, in some areas of value creation and supply chains, weaknesses are evident that are determined by a high dependence on international supplier markets. This approach to research in this area investigates whether Automotive OEM internal departments perceive certain risks differently. This was done by means of a survey of European OEMs to reveal different perceptions on important aspects of risk-based factors. Internal resilience would be necessary as a first step towards strengthening the supply chains in order to subsequently position themselves against stronger emerging competition from the Asian and US economies. This requires a strong European centering of supplier and partner networks, for example in the area of physical goods such as semiconductors and batteries. In order to support these necessary developments, networks are being established and promoted by the EU. GAIA-X and especially Catena-X are bases for the Automotive industry to adapt and optimize resilience and compliance regulations to governmental and intranational guidelines. As result of this research, </w:t>
      </w:r>
    </w:p>
    <w:p>
      <w:pPr/>
      <w:r>
        <w:rPr>
          <w:b/>
        </w:rPr>
        <w:t>POSSIBLE 2024:</w:t>
      </w:r>
      <w:r>
        <w:t xml:space="preserve"> The Digitalization in Insurance Broker Industry: How Artificial Intelligence Affect This Industry — https://doi.org/10.52728/ijjm.v5i1.1032</w:t>
      </w:r>
    </w:p>
    <w:p>
      <w:pPr/>
      <w:r>
        <w:rPr>
          <w:b/>
        </w:rPr>
        <w:t>Shared claim-specific concepts:</w:t>
      </w:r>
      <w:r>
        <w:t xml:space="preserve"> affect, industry, especially; EU scope not established. This is a provisional connection, not an outcome finding.</w:t>
      </w:r>
    </w:p>
    <w:p>
      <w:pPr>
        <w:pStyle w:val="SourceNote"/>
      </w:pPr>
      <w:r>
        <w:rPr>
          <w:b/>
        </w:rPr>
        <w:t>Available abstract (not full text):</w:t>
      </w:r>
      <w:r>
        <w:t xml:space="preserve"> This qualitative research explores the impact of digitalization, with a particular focus on artificial intelligence (AI), on the insurance broker industry. In-depth interviews and focus group discussions were conducted with eight senior-level employee and eight younger participants from technology and operations departments, also from client-facing positions. The research aimed to analyze the impact of digitalization, especially artificial intelligence, to the insurance broker industry and to explore whether artificial intelligence is capable to replace an insurance broker role. The findings indicate that digitalization, including the adoption of AI, has brought about significant advancements in the industry. Digitalization efforts have led to streamlined processes, reduced costs, improved data analysis, and enhanced customer experiences. The findings of this research highlight the importance of taking a deliberate and strategic approach to digitalization and AI adoption in the insurance broker industry. Companies should use technology to increase efficiency while maintaining the human-centric elements that are essential for developing strong client relationships and providing tailored insurance solutions.</w:t>
      </w:r>
    </w:p>
    <w:p>
      <w:pPr/>
      <w:r>
        <w:rPr>
          <w:b/>
        </w:rPr>
        <w:t>POSSIBLE 2024:</w:t>
      </w:r>
      <w:r>
        <w:t xml:space="preserve"> In Search of an Electrified Future: The Affective Afterlife of the Extractive Industry in Mitrovica, Kosovo — https://doi.org/10.1515/soeu-2023-0055</w:t>
      </w:r>
    </w:p>
    <w:p>
      <w:pPr/>
      <w:r>
        <w:rPr>
          <w:b/>
        </w:rPr>
        <w:t>Shared claim-specific concepts:</w:t>
      </w:r>
      <w:r>
        <w:t xml:space="preserve"> affect, industry, different; EU scope not established. This is a provisional connection, not an outcome finding.</w:t>
      </w:r>
    </w:p>
    <w:p>
      <w:pPr>
        <w:pStyle w:val="SourceNote"/>
      </w:pPr>
      <w:r>
        <w:rPr>
          <w:b/>
        </w:rPr>
        <w:t>Available abstract (not full text):</w:t>
      </w:r>
      <w:r>
        <w:t xml:space="preserve"> Abstract This article analyses hopes around the promissory potential of mineral resources through the lens of affect. Building on ethnographic fieldwork conducted between 2018 and 2019 in South Mitrovica in Kosovo, it explores how citizens of a de-industrialised and politically unstable city envision the future around and beyond the extractive potential of the Trepça mine. It does so by examining two encounters with two different modes of electricity – a power cut and New Year lights – as instantiations of the mine’s affective force that evoke the historically specific promise of modernity shaped during Yugoslav socialism. Through the motif of electricity, the article demonstrates how this industrial past orients collective hopes towards an extractive future. Retrospectively shaped, these hopes remain intangible, however, and riddled with doubts, friction, and contestation. Divergent visions, then, attempt to ground a viable future amid the uncertainties triggered by postsocialism, the war and its aftermath, and de-industrialisation.</w:t>
      </w:r>
    </w:p>
    <w:p>
      <w:pPr/>
      <w:r>
        <w:rPr>
          <w:b/>
        </w:rPr>
        <w:t>POSSIBLE 2023:</w:t>
      </w:r>
      <w:r>
        <w:t xml:space="preserve"> Farmers’ behavioural determinants of on-farm biodiversity management in Europe: a systematic review — https://doi.org/10.1007/s10460-023-10505-8</w:t>
      </w:r>
    </w:p>
    <w:p>
      <w:pPr/>
      <w:r>
        <w:rPr>
          <w:b/>
        </w:rPr>
        <w:t>Shared claim-specific concepts:</w:t>
      </w:r>
      <w:r>
        <w:t xml:space="preserve"> farmers, major, policies; EU scope visible. This is a provisional connection, not an outcome finding.</w:t>
      </w:r>
    </w:p>
    <w:p>
      <w:pPr>
        <w:pStyle w:val="SourceNote"/>
      </w:pPr>
      <w:r>
        <w:rPr>
          <w:b/>
        </w:rPr>
        <w:t>Available abstract (not full text):</w:t>
      </w:r>
      <w:r>
        <w:t xml:space="preserve"> Abstract Agricultural intensification and landscape homogenisation are major drivers of biodiversity loss in European agricultural landscapes. Improvements require changes in farming practices, but empirical evidence on farmers’ motivations underlying their on-farm biodiversity management remains fragmented. To date, there is no aggregated overview of behavioural determinants that influence European farmers’ decisions to implement biodiversity-friendly farming practices. This study aims to fill this knowledge gap by conducting a systematic literature review of 150 empirical studies published between 2000 and 2022. We identified 108 potential determinants of farmers’ behaviour, which were integrated into a multilevel framework. The results show that the farmers’ decisions are complex and often non-directional processes, shaped by numerous external (at a society, landscape, community, and farm level) and internal factors. These factors are embedded in regional and cultural contexts. However, the analysis of study sites indicates that the spatial coverage of scientific evidence on biodiversity-friendly farming measures is uneven across Europe. Given the diversity of local and socio-cultural conditions, there is a need for public policies, including the European Union’s Common Agricultural Policy, to address more specifically determinants encouraging biodiversity-friendly farm mana</w:t>
      </w:r>
    </w:p>
    <w:p>
      <w:pPr>
        <w:pStyle w:val="Heading2"/>
      </w:pPr>
      <w:r>
        <w:t>747. Delphi Prospection on Additive Manufacturing in 2030: Implications for Education and Employment in Spain</w:t>
      </w:r>
    </w:p>
    <w:p>
      <w:pPr>
        <w:pStyle w:val="SourceNote"/>
      </w:pPr>
      <w:r>
        <w:rPr>
          <w:b/>
        </w:rPr>
        <w:t>Original source (2018):</w:t>
      </w:r>
      <w:r>
        <w:t xml:space="preserve"> https://doi.org/10.3390/ma11091500</w:t>
      </w:r>
    </w:p>
    <w:p>
      <w:pPr/>
      <w:r>
        <w:t>Original wording (abstract; indexed_source_text_not_full_document_verified): The purpose of this paper is to anticipate the main changes that will occur in AM by 2030 as forecast by more than 100 Spanish experts through Delphi prospection performed in 2018. Such changes will enable students to have the profiles foreseen in these job trends.</w:t>
      </w:r>
    </w:p>
    <w:p>
      <w:pPr/>
      <w:r>
        <w:rPr>
          <w:b/>
        </w:rPr>
        <w:t>POSSIBLE 2020:</w:t>
      </w:r>
      <w:r>
        <w:t xml:space="preserve"> Reservoir Governance in World's Water Towers Needs to Anticipate Multi‐purpose Use — https://doi.org/10.1029/2020ef001643</w:t>
      </w:r>
    </w:p>
    <w:p>
      <w:pPr/>
      <w:r>
        <w:rPr>
          <w:b/>
        </w:rPr>
        <w:t>Shared claim-specific concepts:</w:t>
      </w:r>
      <w:r>
        <w:t xml:space="preserve"> purpose, anticipate; EU scope visible. This is a provisional connection, not an outcome finding.</w:t>
      </w:r>
    </w:p>
    <w:p>
      <w:pPr>
        <w:pStyle w:val="SourceNote"/>
      </w:pPr>
      <w:r>
        <w:rPr>
          <w:b/>
        </w:rPr>
        <w:t>Available abstract (not full text):</w:t>
      </w:r>
      <w:r>
        <w:t xml:space="preserve"> Abstract Mountains, said to be the world's water towers, are central for the provision of downstream water demands. This provision service is strongly challenged by climate change associated with changes in runoff amount and seasonality caused by the retreat of glaciers, rising snow lines, and changes in precipitation. One potential adaptation strategy is the construction of new water reservoirs or the adjustment of current reservoir management strategies. These strategies need to account for various water uses originating from sectors and governments with different economic interests. Here, we investigate governance processes leading to reservoir management strategies ignoring downstream water needs in one of the most important water towers of the world, the European Alps. We assess why governance processes can lead to a coordination gap between an upstream reservoir and downstream water needs. We show that downstream water deficits could potentially be covered through an upstream reservoir under mean and partially under extremely low inflow conditions. However, these hydrological conditions were neglected in the governance processes. The decision‐making when issuing the new reservoir concession was influenced by (a) a lack of knowledge and of an appropriate reservoir‐management study, (b) an interest to increase renewable energy production, (c) a focus on environmental agreem</w:t>
      </w:r>
    </w:p>
    <w:p>
      <w:pPr/>
      <w:r>
        <w:rPr>
          <w:b/>
        </w:rPr>
        <w:t>POSSIBLE 2020:</w:t>
      </w:r>
      <w:r>
        <w:t xml:space="preserve"> EUROPEAN LONGITUDE PRIZES. I: LONGITUDE DETERMINATION IN THE SPANISH EMPIRE — https://doi.org/10.3724/sp.j.1440-2807.2020.03.03</w:t>
      </w:r>
    </w:p>
    <w:p>
      <w:pPr/>
      <w:r>
        <w:rPr>
          <w:b/>
        </w:rPr>
        <w:t>Shared claim-specific concepts:</w:t>
      </w:r>
      <w:r>
        <w:t xml:space="preserve"> spanish, performed, enable; EU scope visible. This is a provisional connection, not an outcome finding.</w:t>
      </w:r>
    </w:p>
    <w:p>
      <w:pPr>
        <w:pStyle w:val="SourceNote"/>
      </w:pPr>
      <w:r>
        <w:rPr>
          <w:b/>
        </w:rPr>
        <w:t>Available abstract (not full text):</w:t>
      </w:r>
      <w:r>
        <w:t xml:space="preserve"> Following Columbus' voyages to the Americas, Castilian (Spanish) and Portuguese rulers engaged in heated geopolitical competition, which was eventually reconciled through a number of treaties that divided the world into two unequal hemispheres. However, the early-sixteenth-century papal demarcation line was poorly defined. Expressed in degrees with respect to a vague reference location, determination of longitude at sea became crucial in the nations' quest for expanding spheres of influence. In Spain, King Philip II and his son, Philip III, announced generous rewards for those whose solutions to the longitude problem performed well in sea trials and which were suitable for practical implementation. The potential reward generated significant interest from scientist-scholars and opportunists alike. The solutions proposed and the subset taken to sea provided important physical insights that still resonate today. None of the numerous approaches based on compass readings ('magnetic declination') passed the exacting sea trials, but the brightest sixteenth-century minds already anticipated that lunar distances and the use of marine timepieces would eventually enable more precise navigation. With most emphasis in the English-language literature focused on longitude solutions developed in Britain, France and the Low Countries, the earlier yet ground-breaking Spanish efforts have, undese</w:t>
      </w:r>
    </w:p>
    <w:p>
      <w:pPr/>
      <w:r>
        <w:rPr>
          <w:b/>
        </w:rPr>
        <w:t>POSSIBLE 2020:</w:t>
      </w:r>
      <w:r>
        <w:t xml:space="preserve"> Spain — https://doi.org/10.4324/9780429263736-8</w:t>
      </w:r>
    </w:p>
    <w:p>
      <w:pPr/>
      <w:r>
        <w:rPr>
          <w:b/>
        </w:rPr>
        <w:t>Shared claim-specific concepts:</w:t>
      </w:r>
      <w:r>
        <w:t xml:space="preserve"> purpose, main, spanish; EU scope visible. This is a provisional connection, not an outcome finding.</w:t>
      </w:r>
    </w:p>
    <w:p>
      <w:pPr>
        <w:pStyle w:val="SourceNote"/>
      </w:pPr>
      <w:r>
        <w:rPr>
          <w:b/>
        </w:rPr>
        <w:t>Available abstract (not full text):</w:t>
      </w:r>
      <w:r>
        <w:t xml:space="preserve"> The main purpose of this chapter is to map the principle structural and policy frameworks governing the integration of immigrants in Spain. This case study is a clear example of a practical approach and ‘multiple diversity’, where two frameworks interact: an old, unresolved one, arising from democratic transition and based on what Kymlicka described as plurinational, and a new one due to immigration, described as polyethnic. Spain’s specific geographical location is at the border of Europe. This entrance to the Schengen space has faced important flows of migration from the south. The multilevel governance of integration impacts on the distribution of competences on integration and the fact that multiple integration policy approaches can coexist, with their own intergovernmental tensions. We argue that the volume and intensity of international migratory flows in Spain – which experienced an extraordinary migratory boom at the beginning of the twenty-first century and a severe economic recession from 2008 – together with the construction of European Union architecture, determined a reactive type of migration and integration policy, with notable contrasts according to the different administrative levels contemplated. As we show, the Spanish case makes explicit the multilevel argument that it is at the level of the territorial distribution of competences that most governance tensio</w:t>
      </w:r>
    </w:p>
    <w:p>
      <w:pPr/>
      <w:r>
        <w:rPr>
          <w:b/>
        </w:rPr>
        <w:t>POSSIBLE 2020:</w:t>
      </w:r>
      <w:r>
        <w:t xml:space="preserve"> Trust in the European Central Bank: Using Data Science and predictive Machine Learning Algorithms — https://doi.org/10.1109/acit49673.2020.9208857</w:t>
      </w:r>
    </w:p>
    <w:p>
      <w:pPr/>
      <w:r>
        <w:rPr>
          <w:b/>
        </w:rPr>
        <w:t>Shared claim-specific concepts:</w:t>
      </w:r>
      <w:r>
        <w:t xml:space="preserve"> purpose, anticipate, main; EU scope visible. This is a provisional connection, not an outcome finding.</w:t>
      </w:r>
    </w:p>
    <w:p>
      <w:pPr>
        <w:pStyle w:val="SourceNote"/>
      </w:pPr>
      <w:r>
        <w:rPr>
          <w:b/>
        </w:rPr>
        <w:t>Available abstract (not full text):</w:t>
      </w:r>
      <w:r>
        <w:t xml:space="preserve"> Purpose: This empirical scientific research project aims to apply data science and machine learning tools to determine the influence of different factors on the level of trust in the European Central Bank. This research based on the data from the European Commission's Eurobarometer Survey 89. The paper also aims to represent some predictive analytics techniques to anticipate the level of confidence towards cental bank. Besides that, we build a couple of data visualizing plots, in order to show the main significant impact on the dependent variable. We created the ECB TrustMap Plot, correlation heatmap matrix and Alluvial diagram. Using this plots, we represented changes in network structure over people responses and decision making. Methodology: to calculate the index of trust in the central bank we used Logistic Regressioin, Decision Tree, Random Forrest and Neural Network models. Verify the output and results by using the VIF of the Logistic Model, Cross-validation, Confusion matrix, ROC-curves and accuracy estimations. Main Findings: trust in one-single currency, inflation problems, expectations about the future of EU, indicator of happiness and other indicators has a significant impact on the the level of trust in the central bank.</w:t>
      </w:r>
    </w:p>
    <w:p>
      <w:pPr>
        <w:pStyle w:val="Heading2"/>
      </w:pPr>
      <w:r>
        <w:t>748. Drivers, trends and scenarios for the future of health in Europe. Impressions from the FRESHER project</w:t>
      </w:r>
    </w:p>
    <w:p>
      <w:pPr>
        <w:pStyle w:val="SourceNote"/>
      </w:pPr>
      <w:r>
        <w:rPr>
          <w:b/>
        </w:rPr>
        <w:t>Original source (2018):</w:t>
      </w:r>
      <w:r>
        <w:t xml:space="preserve"> https://doi.org/10.1007/s40309-017-0118-4</w:t>
      </w:r>
    </w:p>
    <w:p>
      <w:pPr/>
      <w:r>
        <w:t>Original wording (abstract; indexed_source_text_not_full_document_verified): In our foresight project FRESHER (FORESIGHT AND MODELLING FOR EUROPEAN HEALTH POLICY AND REGULATION) we discuss policy options with stakeholders from health, research, care, patient organisations, insurances and policy-making that go beyond the usual activities and pose alternatives that promise to be more successful. From an analysis of trends that affect NCD development far beyond the usual determinants of tobacco and alcohol consumption, salt, sugar and fat intake or sedentary behaviour the most relevant and significant trends are combined to four scenarios depicting possible futures.</w:t>
      </w:r>
    </w:p>
    <w:p>
      <w:pPr/>
      <w:r>
        <w:rPr>
          <w:b/>
        </w:rPr>
        <w:t>POSSIBLE 2026:</w:t>
      </w:r>
      <w:r>
        <w:t xml:space="preserve"> A systematic review of foresight methods used in the formulation of futures scenarios: evidence from articles indexed in scopus and web of science (2014–2023) — https://doi.org/10.1186/s40309-026-00298-4</w:t>
      </w:r>
    </w:p>
    <w:p>
      <w:pPr/>
      <w:r>
        <w:rPr>
          <w:b/>
        </w:rPr>
        <w:t>Shared claim-specific concepts:</w:t>
      </w:r>
      <w:r>
        <w:t xml:space="preserve"> foresight, health, beyond; EU scope not established. This is a provisional connection, not an outcome finding.</w:t>
      </w:r>
    </w:p>
    <w:p>
      <w:pPr>
        <w:pStyle w:val="SourceNote"/>
      </w:pPr>
      <w:r>
        <w:rPr>
          <w:b/>
        </w:rPr>
        <w:t>Available abstract (not full text):</w:t>
      </w:r>
      <w:r>
        <w:t xml:space="preserve"> This study presents a systematic literature review of the foresight methods used in the formulation of futures scenarios, analyzing 115 articles indexed in Scopus and Web of Science between 2014 and 2023. Applying the PRISMA methodology, the review identifies a plural methodological ecosystem in which—although qualitative approaches predominate—there are patterns of combination toward methodological triangulation aimed at strengthening plausibility and reducing bias in complex environments. The analysis shows that the most frequently used methods are environmental scanning (PESTEL), participatory workshops, the Delphi method, structural analysis (MICMAC), and Causal Layered Analysis (CLA). A significant expansion of these practices is observed beyond the traditional corporate sphere into sectors such as public health, higher education, governance, and environmental sustainability. The study further highlights an incipient presence of methods that incorporate artificial intelligence, text mining, and computational models, which complement qualitative narratives with quantitative rigor. The article proposes the concept of methodological aggregation capacity to describe the ability of scenario methodologies to coherently incorporate techniques of different epistemic natures. In conclusion, the maturity of the field rests on the systemic convergence between data-driven rigor and na</w:t>
      </w:r>
    </w:p>
    <w:p>
      <w:pPr/>
      <w:r>
        <w:rPr>
          <w:b/>
        </w:rPr>
        <w:t>POSSIBLE 2025:</w:t>
      </w:r>
      <w:r>
        <w:t xml:space="preserve"> Territorialising Resilience: Transforming Europe for an Age of Crisis (TERRES) Case studies Annex 1 of the Final Report — https://openalex.org/W7217109416</w:t>
      </w:r>
    </w:p>
    <w:p>
      <w:pPr/>
      <w:r>
        <w:rPr>
          <w:b/>
        </w:rPr>
        <w:t>Shared claim-specific concepts:</w:t>
      </w:r>
      <w:r>
        <w:t xml:space="preserve"> project, beyond; EU scope visible. This is a provisional connection, not an outcome finding.</w:t>
      </w:r>
    </w:p>
    <w:p>
      <w:pPr>
        <w:pStyle w:val="SourceNote"/>
      </w:pPr>
      <w:r>
        <w:rPr>
          <w:b/>
        </w:rPr>
        <w:t>Available abstract (not full text):</w:t>
      </w:r>
      <w:r>
        <w:t xml:space="preserve"> This report presents the case study annex of the ESPON project “Territorialising Resilience: Transforming Europe for an Age of Crisis (TERRES)”, examining how diverse European territories conceptualise, operationalise, and institutionalise territorial resilience in response to contemporary shocks and long-term stressors. Through a comparative analysis of six regions — Budapest Functional Urban Area (Hungary), Catalonia (Spain), the Central Italy Earthquake Crater, Latgale (Latvia), Teruel (Spain), and Upper Norrland (Sweden) — the study explores how multi-level governance arrangements, socio-economic dynamics, and spatial configurations shape adaptive, absorptive, and transformative capacities. Combining desk research, stakeholder interviews, and participatory Future Workshops, the case studies analyse the interaction between acute shocks (e.g. earthquakes, migration pressures, industrial transition, climate extremes) and structural stressors such as depopulation, governance fragmentation, and territorial inequalities. Particular attention is given to the role of Functional Urban Areas and cross-jurisdictional cooperation in strengthening territorial governance and crisis preparedness. The findings show that resilience extends beyond reactive responses: it is a systemic, place-based process requiring coordinated institutional frameworks, regulatory stability, and long-term stra</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health, care, affect;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For Digital Health 2030: Scenarios, Barriers, And Enablers for A Sustainable Future — https://doi.org/10.47191/ijsshr/v8-i2-11</w:t>
      </w:r>
    </w:p>
    <w:p>
      <w:pPr/>
      <w:r>
        <w:rPr>
          <w:b/>
        </w:rPr>
        <w:t>Shared claim-specific concepts:</w:t>
      </w:r>
      <w:r>
        <w:t xml:space="preserve"> foresight, project, health, regulation, stakeholders, patient; EU scope visible. This is a provisional connection, not an outcome finding.</w:t>
      </w:r>
    </w:p>
    <w:p>
      <w:pPr>
        <w:pStyle w:val="SourceNote"/>
      </w:pPr>
      <w:r>
        <w:rPr>
          <w:b/>
        </w:rPr>
        <w:t>Available abstract (not full text):</w:t>
      </w:r>
      <w:r>
        <w:t xml:space="preserve"> Digital health is rapidly transforming European healthcare systems, offering opportunities to improve patient outcomes, enhance service delivery, and drive innovation. However, its future is shaped by numerous uncertainties related to regulation, technological advancements, and societal acceptance. The CONNECTINGHEALTH project conducted a structured foresight exercise to explore these dynamics through a series of thematic workshops engaging key stakeholders from across the sector. Four future scenarios were developed, each reflecting different potential directions for digital health in Europe by 2030. These scenarios highlight the critical role of policy development and public empowerment in determining the pace and scope of digital health adoption. This paper presents the methodology, findings, and recommendations derived from the workshops, providing a roadmap for decision-makers aiming to navigate the evolving digital health landscape.</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project, stakeholders, trends;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2025:</w:t>
      </w:r>
      <w:r>
        <w:t xml:space="preserve"> A scoping review of horizon scanning approaches used to identify emerging research methods — https://doi.org/10.3310/nihropenres.13981.1</w:t>
      </w:r>
    </w:p>
    <w:p>
      <w:pPr/>
      <w:r>
        <w:rPr>
          <w:b/>
        </w:rPr>
        <w:t>Shared claim-specific concepts:</w:t>
      </w:r>
      <w:r>
        <w:t xml:space="preserve"> health, care, trends; EU scope not established. This is a provisional connection, not an outcome finding.</w:t>
      </w:r>
    </w:p>
    <w:p>
      <w:pPr>
        <w:pStyle w:val="SourceNote"/>
      </w:pPr>
      <w:r>
        <w:rPr>
          <w:b/>
        </w:rPr>
        <w:t>Available abstract (not full text):</w:t>
      </w:r>
      <w:r>
        <w:t xml:space="preserve"> Background Horizon scanning is an exploratory research method used to identify, select, and analyse information to detect signals and trends related to new and emerging innovations using pre-defined and explicit methods. It has the potential to play a role in anticipating methodological research trends and innovations, helping to deliver therapies to patients faster. However, the extent to which horizon scanning has been applied to identify emerging research methods is unclear. Objectives This scoping review explores if and how horizon scanning has been used to identify research methods in any field, setting or location. Methods Eligibility was based on the Population, Concept and Context framework: Any information source that used horizon scanning to identify research methods was eligible for inclusion. Two reviewers independently screened titles/abstracts and then full texts. Following a pilot phase, one reviewer extracted data, and three others performed data accuracy checks. Results Five studies published between 2017 and 2024 met the eligibility criteria, and a further 13 partially met the eligibility criteria and are summarised separately. The five fully included studies belonged to the environmental, ecological, and earth science disciplines. Using the horizon scanning system defined by the EuroScan network, the most reported was signal detection. A literature review was</w:t>
      </w:r>
    </w:p>
    <w:p>
      <w:pPr/>
      <w:r>
        <w:rPr>
          <w:b/>
        </w:rPr>
        <w:t>POSSIBLE 2024:</w:t>
      </w:r>
      <w:r>
        <w:t xml:space="preserve"> Foresight in public health: a tutorial on application and insights on challenges from the PHIRI foresight exercise — https://doi.org/10.1093/eurpub/ckae040</w:t>
      </w:r>
    </w:p>
    <w:p>
      <w:pPr/>
      <w:r>
        <w:rPr>
          <w:b/>
        </w:rPr>
        <w:t>Shared claim-specific concepts:</w:t>
      </w:r>
      <w:r>
        <w:t xml:space="preserve"> foresight, health, discuss, trends; EU scope not established. This is a provisional connection, not an outcome finding.</w:t>
      </w:r>
    </w:p>
    <w:p>
      <w:pPr>
        <w:pStyle w:val="SourceNote"/>
      </w:pPr>
      <w:r>
        <w:rPr>
          <w:b/>
        </w:rPr>
        <w:t>Available abstract (not full text):</w:t>
      </w:r>
      <w:r>
        <w:t xml:space="preserve"> BACKGROUND: The application of foresight to the field of public health is limited. There is growing need to anticipate uncertain future trends and to plan for them. Foresight provides tools to experts and policymakers to discuss and plan for possible futures. Hence, the aim of this study is to illustrate how the foresight six-step approach can be applied in public health, and to provide recommendations on dealing with challenges, drawn from the Population Health Information Research Infrastructure (PHIRI) foresight exercise. METHODS: In this tutorial, we describe the six-step approach as part of foresight methodology and give examples of possible challenges. Step 1 comprises the formulation of study objectives. Step 2 focuses on developing a conceptual model and applying the Demographic Economic Sociocultural Technological Ecological and Political-Institutional (DESTEP) framework to identify and prioritize driving forces for the topic of interest. In Step 3, a time horizon and spatial level are defined. Step 4 discusses scenario logics. Steps 5 and 6 discuss different types of scenarios and associated tools for analyses. Possible challenges encountered whilst applying the foresight methodology at each of the steps, were drawn from experiences during PHIRI foresight exercise. RESULTS: Challenges associated with applying the foresight six-step approach included: formulating conci</w:t>
      </w:r>
    </w:p>
    <w:p>
      <w:pPr/>
      <w:r>
        <w:rPr>
          <w:b/>
        </w:rPr>
        <w:t>POSSIBLE 2024:</w:t>
      </w:r>
      <w:r>
        <w:t xml:space="preserve"> Exploring the Need for Medical Futures Studies: Insights From a Scoping Review of Health Care Foresight — https://doi.org/10.2196/57148</w:t>
      </w:r>
    </w:p>
    <w:p>
      <w:pPr/>
      <w:r>
        <w:rPr>
          <w:b/>
        </w:rPr>
        <w:t>Shared claim-specific concepts:</w:t>
      </w:r>
      <w:r>
        <w:t xml:space="preserve"> foresight, health, care, trends; EU scope not established. This is a provisional connection, not an outcome finding.</w:t>
      </w:r>
    </w:p>
    <w:p>
      <w:pPr>
        <w:pStyle w:val="SourceNote"/>
      </w:pPr>
      <w:r>
        <w:rPr>
          <w:b/>
        </w:rPr>
        <w:t>Available abstract (not full text):</w:t>
      </w:r>
      <w:r>
        <w:t xml:space="preserve"> BACKGROUND: The historical development and contemporary instances of futures studies, an interdisciplinary field that focuses on exploring and formulating alternative futures, exemplify the increasing significance of using futures methods in shaping the health care domain. Despite the wide array of these methodologies, there have been limited endeavors to employ them within the medical community thus far. OBJECTIVE: We undertook the first scoping review to date about the application of futures methodologies and published foresight projects in health care. METHODS: Through the use of the PRISMA-ScR (Preferred Reporting Items for Systematic Reviews and Meta-Analyses extension for Scoping Reviews) method, we identified 59 studies that were subsequently categorized into the following 5 distinct themes: national strategies (n=19), strategic health care foresight (n=15), health care policy and workforce dynamics (n=6), pandemic preparedness and response (n=7), and specialized medical domains (n=12). RESULTS: Our scoping review revealed that the application of futures methods and foresight has been successfully demonstrated in a wide range of fields, including national strategies, policy formulation, global threat preparedness, and technological advancements. The results of our review indicate that a total of 8 futures methods have already been used in medicine and health care, while </w:t>
      </w:r>
    </w:p>
    <w:p>
      <w:pPr/>
      <w:r>
        <w:rPr>
          <w:b/>
        </w:rPr>
        <w:t>POSSIBLE 2024:</w:t>
      </w:r>
      <w:r>
        <w:t xml:space="preserve"> Emerging Biotechnologies in Europe: Foresight for Policy — https://doi.org/10.2760/4814109</w:t>
      </w:r>
    </w:p>
    <w:p>
      <w:pPr/>
      <w:r>
        <w:rPr>
          <w:b/>
        </w:rPr>
        <w:t>Shared claim-specific concepts:</w:t>
      </w:r>
      <w:r>
        <w:t xml:space="preserve"> foresight, affect;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Foresight approaches for future health shocks: integration into policy making and accompanying research priorities — https://doi.org/10.1136/bmj-2023-078647</w:t>
      </w:r>
    </w:p>
    <w:p>
      <w:pPr/>
      <w:r>
        <w:rPr>
          <w:b/>
        </w:rPr>
        <w:t>Shared claim-specific concepts:</w:t>
      </w:r>
      <w:r>
        <w:t xml:space="preserve"> foresight, health; EU scope not established. This is a provisional connection, not an outcome finding.</w:t>
      </w:r>
    </w:p>
    <w:p>
      <w:pPr>
        <w:pStyle w:val="SourceNote"/>
      </w:pPr>
      <w:r>
        <w:rPr>
          <w:b/>
        </w:rPr>
        <w:t>Available abstract (not full text):</w:t>
      </w:r>
      <w:r>
        <w:t xml:space="preserve"> Christina Pagel and colleagues argue that foresight approaches are key to preparedness for emergencies such as covid-19 and that these must be integrated within policy making at all levels</w:t>
      </w:r>
    </w:p>
    <w:p>
      <w:pPr/>
      <w:r>
        <w:rPr>
          <w:b/>
        </w:rPr>
        <w:t>POSSIBLE 2023:</w:t>
      </w:r>
      <w:r>
        <w:t xml:space="preserve"> Scenario Development Using Foresight Studies — https://doi.org/10.5281/zenodo.7944509</w:t>
      </w:r>
    </w:p>
    <w:p>
      <w:pPr/>
      <w:r>
        <w:rPr>
          <w:b/>
        </w:rPr>
        <w:t>Shared claim-specific concepts:</w:t>
      </w:r>
      <w:r>
        <w:t xml:space="preserve"> foresight, project, modelling, health, stakeholders, trends; EU scope visible. This is a provisional connection, not an outcome finding.</w:t>
      </w:r>
    </w:p>
    <w:p>
      <w:pPr>
        <w:pStyle w:val="SourceNote"/>
      </w:pPr>
      <w:r>
        <w:rPr>
          <w:b/>
        </w:rPr>
        <w:t>Available abstract (not full text):</w:t>
      </w:r>
      <w:r>
        <w:t xml:space="preserve"> PHIRI (Population Health Information Research Infrastructure) project aims to facilitate and generate the best available evidence for research on health and well-being of populations impacted by COVID19. Work Package 9 (WP9) of the PHIRI project (“Foresight: scenarios and modelling”) aims to gain insights into possible future health impacts of the COVID-19 outbreak by developing scenarios. A scenario is not a prediction, rather a consistent, plausible, and coherent description of the future that reflects on past perspectives, the present, and future developments, which can serve as a basis for action. WP9 follows a stepwise approach that started by learning about the foresight capacity and foresight capacity needs across European Members States (MS) in Task 9.1. Learning about capacity needs led to the development of a capacity building course in Task 9.2. The present task, Task 9.3, builds on Task 9.2 capacity building course to further build capacity by actually developing a foresight study. The present report provides an overview of the development, content, evaluation, and outcomes of ‘Develop your Public Health Foresight Study (PHFS)’ as the leading activity of Task 9.3. This activity aimed at giving participating researchers support and guidance in developing their own public health foresight study, including developing scenarios on different public health issues as well </w:t>
      </w:r>
    </w:p>
    <w:p>
      <w:pPr/>
      <w:r>
        <w:rPr>
          <w:b/>
        </w:rPr>
        <w:t>POSSIBLE 2023:</w:t>
      </w:r>
      <w:r>
        <w:t xml:space="preserve"> Foresight in public health: application and challenges — https://doi.org/10.1093/eurpub/ckad160.1000</w:t>
      </w:r>
    </w:p>
    <w:p>
      <w:pPr/>
      <w:r>
        <w:rPr>
          <w:b/>
        </w:rPr>
        <w:t>Shared claim-specific concepts:</w:t>
      </w:r>
      <w:r>
        <w:t xml:space="preserve"> foresight, project, health, discuss, stakeholders, trends; EU scope not established. This is a provisional connection, not an outcome finding.</w:t>
      </w:r>
    </w:p>
    <w:p>
      <w:pPr>
        <w:pStyle w:val="SourceNote"/>
      </w:pPr>
      <w:r>
        <w:rPr>
          <w:b/>
        </w:rPr>
        <w:t>Available abstract (not full text):</w:t>
      </w:r>
      <w:r>
        <w:t xml:space="preserve"> Abstract Background Foresight studies in the field of public health are limited. However, in the context of increasing uncertainty and complexity, such as with the COVID-19 pandemic, there is growing need to anticipate future trends and to plan for them. Foresight provides the tools to explore possible futures and develop policy strategies. Despite its value, foresight is an underused methodology. Hence, the aim of this study is to illustrate how foresight can be applied in public health, and how to deal with the associated challenges. Methods We describe the six-steps that are part of foresight methodology. In step 1 we discuss how to formulate study objectives. We illustrate in step 2, the application of the conceptual model and the DESTEP tool to identify and rank driving forces. We then discuss time horizon and spatial distribution, in step 3. In step 4, we discuss scenario logics. Finally in steps 5 and 6, we discuss the types of scenarios and tools for analyses. Possible challenges encountered when applying foresight methodology are drawn from the experiences and lessons learnt from the PHIRI project. Results Challenges during application of the foresight six-steps approach included difficulties in formulating research objectives, developing a conceptual model, identifying most important future trends, developing systematic, consistent and plausible scenarios with clear m</w:t>
      </w:r>
    </w:p>
    <w:p>
      <w:pPr>
        <w:pStyle w:val="Heading2"/>
      </w:pPr>
      <w:r>
        <w:t>749. EUHFORIA: European heliospheric forecasting information asset</w:t>
      </w:r>
    </w:p>
    <w:p>
      <w:pPr>
        <w:pStyle w:val="SourceNote"/>
      </w:pPr>
      <w:r>
        <w:rPr>
          <w:b/>
        </w:rPr>
        <w:t>Original source (2018):</w:t>
      </w:r>
      <w:r>
        <w:t xml:space="preserve"> https://doi.org/10.1051/swsc/2018020</w:t>
      </w:r>
    </w:p>
    <w:p>
      <w:pPr/>
      <w:r>
        <w:t>Original wording (abstract; indexed_source_text_not_full_document_verified): The implementation and first results of the new space weather forecasting-targeted inner heliosphere model “European heliospheric forecasting information asset” (EUHFORIA) are presented. The results feature a highly dynamic heliosphere that the model is able to capture in good agreement with in situ observations.</w:t>
      </w:r>
    </w:p>
    <w:p>
      <w:pPr/>
      <w:r>
        <w:rPr>
          <w:b/>
        </w:rPr>
        <w:t>POSSIBLE 2026:</w:t>
      </w:r>
      <w:r>
        <w:t xml:space="preserve"> The implementation of 'new phase' European social dialogue agreements and texts in European member states — https://doi.org/10.82444/warw.33491788</w:t>
      </w:r>
    </w:p>
    <w:p>
      <w:pPr/>
      <w:r>
        <w:rPr>
          <w:b/>
        </w:rPr>
        <w:t>Shared claim-specific concepts:</w:t>
      </w:r>
      <w:r>
        <w:t xml:space="preserve"> implementation, agreement; EU scope visible. This is a provisional connection, not an outcome finding.</w:t>
      </w:r>
    </w:p>
    <w:p>
      <w:pPr>
        <w:pStyle w:val="SourceNote"/>
      </w:pPr>
      <w:r>
        <w:rPr>
          <w:b/>
        </w:rPr>
        <w:t>Available abstract (not full text):</w:t>
      </w:r>
      <w:r>
        <w:t xml:space="preserve"> The research evaluates the implementation of the Framework Agreements on Telework and Work-related Stress in Belgium, Denmark, UK, and Czech Republic and in the banking and local Government sectors within these countries. Further, it evaluates the various factors that explain divergent implementation outcomes in countries and sectors. It develops two benchmarks to assess the efficacy of the Agreements as modes of European social partner ‘soft’ law governance; a benchmark that assesses the procedural implementation of the Agreements, and a benchmark that assess the substantive implementation of the Agreements. A multi-level governance theoretical approach is also adopted. It emerged that ‘effective’ procedural implementation of the Agreements largely occurred in Belgium and Czech Republic, but did not occur to the same degree in Denmark and UK. It also emerged that the substantive effect of the Agreements was patchy and that the substantive impact of the Telework Agreement was greater than that of the Work-related Stress Agreement. Although structural factors were important in explaining divergent implementation outcomes, it also emerged that it was primarily policy and actor related factors that explained divergent national and sectoral implementation outcomes. The research ends with a rather skeptical evaluation of the Agreements as modes of European social partner ‘soft’ law </w:t>
      </w:r>
    </w:p>
    <w:p>
      <w:pPr/>
      <w:r>
        <w:rPr>
          <w:b/>
        </w:rPr>
        <w:t>POSSIBLE 2025:</w:t>
      </w:r>
      <w:r>
        <w:t xml:space="preserve"> An Implementation of European Green Deal into the European Union law — https://openalex.org/W7164873981</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Název rigorózní práce v anglickém jazyce, abstrakt v anglickém jazyce a 3 klíčová slova v anglickém jazyce Title: An implementation of the European Green Deal into the European Union law The European Union sees climate change as a major global issue. Although the EU has been focusing on climate change for many years, it only became an apparent priority with the adoption of the European Green Deal in December 2019, which is set to transform the entire EU economy, from energy produciton and waste management to sustainable consumption, with the aim to reduce EU greenhouse gas emissions by 55% by 2030 compared to 1990 and achieving climate neutrality by 2050. The aim of this rigorous thesis is to provide a comprehensive overview of the current development of climate law in the European Union, which is closely linked to the adoption and implementation of the European Green Deal and the related climate strategies and plans. Attention is paid to the period up to 2030 and the sub-target of a 55% reduction in greenhouse gas emissions compared to 1990, which is to be realised especially through the so-called Fit for 55 package, which proposes the adoption of new and the revision of some existing EU legislation in line with this target. The thesis is divided into an introduction, five parts and a conclusion. The first...</w:t>
      </w:r>
    </w:p>
    <w:p>
      <w:pPr/>
      <w:r>
        <w:rPr>
          <w:b/>
        </w:rPr>
        <w:t>POSSIBLE 2025:</w:t>
      </w:r>
      <w:r>
        <w:t xml:space="preserve"> New Policy in Doctoral Education in Poland. First Conclusions of Implementing Doctoral Schools — https://doi.org/10.1111/hequ.70074</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ABSTRACT In Poland, doctoral education remained outside the mainstream of public policy interest for many years. The 2018 reform is the first major change in the systemic approach to education at this level. Significant deregulation at the national level has introduced new requirements for conducting doctoral education and the need for its new organisation. The reform aimed to decrease the number of doctoral candidates while enhancing the quality and effectiveness of PhD education. For the first time in history, doctoral education has begun to be subject to a real external evaluation of its quality, too. The legal status of PhD candidates was also redefined, aligning them more closely with young researchers. The 2018 Act granted universities considerable autonomy in organising doctoral schools, resulting in diverse structural solutions and management models. Doctoral education is also influenced by the new rules of scientific evaluation and the instability of rules in this area; financing of the science and higher education sector; and first experience in conducting doctoral schools. The paper analyses the adopted system solutions against the background of policy changes in Europe. It also presents the initial conclusions from the implementation of new systemic solutions.</w:t>
      </w:r>
    </w:p>
    <w:p>
      <w:pPr/>
      <w:r>
        <w:rPr>
          <w:b/>
        </w:rPr>
        <w:t>POSSIBLE 2025:</w:t>
      </w:r>
      <w:r>
        <w:t xml:space="preserve"> Towards implementing workflows for essential biodiversity variables at a European scale — https://doi.org/10.1016/j.gecco.2025.e03699</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Biodiversity is declining, prompting new multilateral treaties and environmental legislation. To track the progress of these efforts, a comprehensive monitoring network is essential. For the European Union (EU), the EuropaBON network has proposed a biodiversity observation network (BON) based on 84 Essential Biodiversity Variables (EBVs). These encompass species and habitats in the freshwater, marine, and terrestrial realms. Generating EBVs will require implementing workflows, including data collection, integration, and modelling. Here, we present the first conceptual representation of EBV workflows for guiding the future implementation of EBVs in a European BON based on insights from an EU-wide stakeholder consultation that engaged hundreds of experts in science, policy, and practice. Results suggest that implementing EBV workflows requires to incorporate advanced monitoring methods, enhance geographic, taxonomic, and temporal coverage, harmonize heterogeneous data, apply metadata standards, and develop new spatial models and quantitative indicators. Recommendations include enhancing monitoring techniques such as digital sensors, DNA-based methods and citizen science for species-focused EBVs, as well as satellite and aerial remote sensing for ecosystem-focused EBVs. For operationalizing a European BON, species-focused EBVs require better national, regional, and European data i</w:t>
      </w:r>
    </w:p>
    <w:p>
      <w:pPr/>
      <w:r>
        <w:rPr>
          <w:b/>
        </w:rPr>
        <w:t>POSSIBLE 2024:</w:t>
      </w:r>
      <w:r>
        <w:t xml:space="preserve"> “New” Militarization of Europe? — https://doi.org/10.20542/0131-2227-2024-68-12-14-25</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From the first steps of implementing the policy of NATO expansion to the East – since the first half of the 1990s, official representatives of the alliance have constantly emphasized that these actions would not pose a threat to Russia. Moscow held the exact opposite opinion, but its concerns and objections were not taken into consideration. As military and political relations worsened and disagreements between Russia and the West/NATO grew, the military potential of the alliance was increasingly strengthened, coming close to the Russian borders. Traditionally neutral states – Finland and Sweden – also joined NATO. The beginning of the Special Military Operation (SMO) was used by Brussels as a long-term pretext for the beginning of the active militarization of Europe, the implementation of plans for even a larger-scale strengthening of the military and political structure of the Alliance. The leadership of the USA and NATO, having taken a course for escalation, however, show a certain “restraint”, trying to avoid a direct conflict with Russia. Brussels has repeatedly argued that NATO is not a party to the conflict in Ukraine and has set itself the task of preventing a direct clash Moscow has also repeatedly stated that it is not going to attack NATO countries. The United States and other Western states all the while do not allow Kyiv to use their weapons for strikes deep into R</w:t>
      </w:r>
    </w:p>
    <w:p>
      <w:pPr/>
      <w:r>
        <w:rPr>
          <w:b/>
        </w:rPr>
        <w:t>POSSIBLE 2024:</w:t>
      </w:r>
      <w:r>
        <w:t xml:space="preserve"> The Edinburgh Companion to the New European Humanities — https://doi.org/10.1515/9781399505208</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Assesses the rise of the ‘New’ Humanities alongside the traditional disciplines and inter-disciplinary ‘studies’ areas Takes an original approach in its European scope and institutional representation Focusses on the ‘New’ or ‘Post’ Humanities Incorporates an exceptional degree of inter and trans-disciplinarity, covering areas including the intercultural humanities, post- and decolonial perspectives, digital humanities, medical humanities, environmental humanities and more Draws from many European languages and traditions Combines theoretical speculation with policy-making pragmatism This is the first collection that highlights the strengths and contributions of the Humanities in the European region. The volume stresses the positive and multidimensional impact of the Humanities on core areas of human experience, and their ability to formulate new frames to represent our collective and individual relation to the world. Further, it explores new ethical social imaginaries, gendered scenarios and spaces of decolonial transculturality. This collection also confronts the threats the Humanities face today and proposes ways to respond. These threats include public discourses that question the value of the Humanities; the chronic underfunding of teaching and research at our universities and institutions, and the more fundamental risks to intellectual freedom, democracy and critical disc</w:t>
      </w:r>
    </w:p>
    <w:p>
      <w:pPr/>
      <w:r>
        <w:rPr>
          <w:b/>
        </w:rPr>
        <w:t>POSSIBLE 2023:</w:t>
      </w:r>
      <w:r>
        <w:t xml:space="preserve"> NEW WEATHER FORECASTING APPLICATIONS — https://doi.org/10.21608/ajmris.2023.317449</w:t>
      </w:r>
    </w:p>
    <w:p>
      <w:pPr/>
      <w:r>
        <w:rPr>
          <w:b/>
        </w:rPr>
        <w:t>Shared claim-specific concepts:</w:t>
      </w:r>
      <w:r>
        <w:t xml:space="preserve"> first, weather; EU scope not established. This is a provisional connection, not an outcome finding.</w:t>
      </w:r>
    </w:p>
    <w:p>
      <w:pPr>
        <w:pStyle w:val="SourceNote"/>
      </w:pPr>
      <w:r>
        <w:rPr>
          <w:b/>
        </w:rPr>
        <w:t>Available abstract (not full text):</w:t>
      </w:r>
      <w:r>
        <w:t xml:space="preserve"> Most state-of-the-art approaches for weather and climate modelling are based on physics informed numerical models of the atmosphere. These approaches aim to model the non-linear dynamics and complex interactions between multiple variables, which are challenging to approximate. Additionally, many such numerical models are computationally intensive, especially when modelling the atmospheric phenomenon at a fine-grained spatial and temporal resolution. Recent data-driven approaches based on machine learning instead aim to directly solve a downstream forecasting or projection task by learning a data-driven functional mapping using deep neural networks. However, these networks are trained using curated and homogeneous climate datasets for specific spatiotemporal tasks, and thus lack the generality of numerical models. In this research, the data available on Google for research objectives was used in two different algorithms through neural networks (ANN) and by controlling the design of these networks and training them hard, with the aim of obtaining results with a high degree of accuracy for weather forecasting for a period of up to 365 days in the first proposed model of neural networks and in case of the second algorithm the weather forecasted period is of up to four years (1460 days). All the facilities available in the fifty most used and downloaded weather forecasting applicati</w:t>
      </w:r>
    </w:p>
    <w:p>
      <w:pPr/>
      <w:r>
        <w:rPr>
          <w:b/>
        </w:rPr>
        <w:t>POSSIBLE 2023:</w:t>
      </w:r>
      <w:r>
        <w:t xml:space="preserve"> Perspective Chapter: Implementation of MOOCs for Microcredentials and European University Alliances — https://doi.org/10.5772/intechopen.1001466</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MOOCs are seen as an important measure to open up universities to new target groups. In this chapter, two new variants of the usage of MOOCs in European higher education are highlighted: First, openly licensed MOOCs can be used as part of microcredential offers with university accreditation. Second, openly licensed MOOCs can be made available to other universities as an integrated resource and offer within European University alliances. This chapter discusses legal (such as copyright issues), organizational (such as processes), and technical issues (such as LTI, eduGAIN) for these new developments. An important requirement for this is that MOOCs are available as open educational resources (OER): Open licenses that allow the reuse, modification, and republication of educational resources (“open education resources”) are another opportunity to open up and share university offers. This chapter is based on experiences of the national Austrian MOOC platform iMooX.at, the microcredential implementation of Graz University of Technology, as well as first ideas concerning the integration of openly licensed MOOCs within the unite! University alliance of nine European technical universities.</w:t>
      </w:r>
    </w:p>
    <w:p>
      <w:pPr/>
      <w:r>
        <w:rPr>
          <w:b/>
        </w:rPr>
        <w:t>POSSIBLE 2023:</w:t>
      </w:r>
      <w:r>
        <w:t xml:space="preserve"> An institutional implementation of the new European reform of research assessment — https://doi.org/10.55835/64426bdc67b1730895c01156</w:t>
      </w:r>
    </w:p>
    <w:p>
      <w:pPr/>
      <w:r>
        <w:rPr>
          <w:b/>
        </w:rPr>
        <w:t>Shared claim-specific concepts:</w:t>
      </w:r>
      <w:r>
        <w:t xml:space="preserve"> implementation, agreement; EU scope visible. This is a provisional connection, not an outcome finding.</w:t>
      </w:r>
    </w:p>
    <w:p>
      <w:pPr>
        <w:pStyle w:val="SourceNote"/>
      </w:pPr>
      <w:r>
        <w:rPr>
          <w:b/>
        </w:rPr>
        <w:t>Available abstract (not full text):</w:t>
      </w:r>
      <w:r>
        <w:t xml:space="preserve"> The Agreement on Reforming Research Assessment (Coalition for Advancing Research Assessment, 2022) addresses the assessment of researchers, research proposals, and research performing organizations and units. Our contribution is relevant for the assessment of units within organizations. We describe how the main principles and requirements of the Agreement have inspired a new institutional-level framework at Aalborg University (DK) with the aim to deliver data, statistics, and indicators to support internal strategic development, research assessment and resource allocation. The framework was designed on request from the rectorate and in collaboration with the deans of the four faculties with feedback from their project steering group and the university’s representative bodies.</w:t>
      </w:r>
    </w:p>
    <w:p>
      <w:pPr/>
      <w:r>
        <w:rPr>
          <w:b/>
        </w:rPr>
        <w:t>POSSIBLE 2023:</w:t>
      </w:r>
      <w:r>
        <w:t xml:space="preserve"> European Public Prosecutor‘s Office - A New Beginning ? — https://openalex.org/W7220260034</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The adoption of the Council Regulation 2017/1939 (entered into force on 20 November 2017) implementing enhanced cooperation on the establishment of the European Public Prosecutor's Office‘ (the EPPO) is a turning point in the development of the European Union as an Area of Freedom, Security and Justice, by setting - up of the first european investigating and prosecuting authority. The structure and functioning of the new authority, together with the limited scope of its competence make the EPPO as an authority whose legal environment largely builds on the national legal systems. The founding of the new investigative body is far from fully eradicating in itself the various difficulties of judicial cooperation in criminal matters. Its implementation strongly is putting into evidence the crucial necesity to foster mutual legal understanding and mutual trust that the experience showed is not achieved yet among the member states.</w:t>
      </w:r>
    </w:p>
    <w:p>
      <w:pPr/>
      <w:r>
        <w:rPr>
          <w:b/>
        </w:rPr>
        <w:t>POSSIBLE 2022:</w:t>
      </w:r>
      <w:r>
        <w:t xml:space="preserve"> Implementation of European Drone Regulations - Status Quo and Assessment — https://doi.org/10.1007/s10846-022-01714-0</w:t>
      </w:r>
    </w:p>
    <w:p>
      <w:pPr/>
      <w:r>
        <w:rPr>
          <w:b/>
        </w:rPr>
        <w:t>Shared claim-specific concepts:</w:t>
      </w:r>
      <w:r>
        <w:t xml:space="preserve"> implementation, first; EU scope visible. This is a provisional connection, not an outcome finding.</w:t>
      </w:r>
    </w:p>
    <w:p>
      <w:pPr>
        <w:pStyle w:val="SourceNote"/>
      </w:pPr>
      <w:r>
        <w:rPr>
          <w:b/>
        </w:rPr>
        <w:t>Available abstract (not full text):</w:t>
      </w:r>
      <w:r>
        <w:t xml:space="preserve"> Abstract The fast evolution of drone technology as well as the ubiquitous adoption from private and commercial users lead to the necessity to introduce new regulations covering the operations of Unmanned Aircraft Systems (UAS) in European Member states. The regulations implemented rules for multiple scenarios of normal and complex UAS operations as well as the collection of registration data from remote pilots and Operators. This research project tried for the first time to determine the status quo of the adoption of the novel EASA regulations of drones within the European members states. Data from National Aviation Authorities has been collected, accumulated, and analyzed towards qualitative and quantitative features.</w:t>
      </w:r>
    </w:p>
    <w:p>
      <w:pPr/>
      <w:r>
        <w:rPr>
          <w:b/>
        </w:rPr>
        <w:t>POSSIBLE 2022:</w:t>
      </w:r>
      <w:r>
        <w:t xml:space="preserve"> 7.L. Workshop: New roles and innovative skill-mix in nursing across Europe: trends and lessons for implementation — https://doi.org/10.1093/eurpub/ckac129.446</w:t>
      </w:r>
    </w:p>
    <w:p>
      <w:pPr/>
      <w:r>
        <w:rPr>
          <w:b/>
        </w:rPr>
        <w:t>Shared claim-specific concepts:</w:t>
      </w:r>
      <w:r>
        <w:t xml:space="preserve"> implementation, first, presented; EU scope visible. This is a provisional connection, not an outcome finding.</w:t>
      </w:r>
    </w:p>
    <w:p>
      <w:pPr>
        <w:pStyle w:val="SourceNote"/>
      </w:pPr>
      <w:r>
        <w:rPr>
          <w:b/>
        </w:rPr>
        <w:t>Available abstract (not full text):</w:t>
      </w:r>
      <w:r>
        <w:t xml:space="preserve"> Abstract Many countries in Europe are changing the roles and skill-mix of their nursing workforce. A sufficient and well-skilled nursing workforce has shown to be key for population health, most recently demonstrated during the Covid-19 pandemic. An increasing number of countries have introduced Master-level education for nurses to work in advanced practice nursing (APN) roles. These changes in the educational systems have implications on patients, clinical practice, teams and health systems. Moreover, many countries are re-orienting their health services from hospital to primary health care and prevention, driving new roles for nurses. The relevance of high-quality education and upskilling has been exemplified during the Covid-19 pandemic, where nurses had to quickly adapt to new treatment and caregiving situations in challenging work environments. Objectives of the workshop. This workshop will provide an overview of research and policy developments in Europe, drawing on recent research. First, an overview of innovative skill-mix changes in nursing will be presented and evidence on health outcomes, based on a study from the European Observatory on Health Systems and Policies. Second, research from Germany in five innovator hospitals will be presented, a country which is still at an early stage with integrating nurses in advanced roles. The panel discussion will address innovat</w:t>
      </w:r>
    </w:p>
    <w:p>
      <w:pPr>
        <w:pStyle w:val="Heading2"/>
      </w:pPr>
      <w:r>
        <w:t>750. Estimation and Forecasts for the Share of Renewable Energy Consumption in Final Energy Consumption by 2020 in the European Union</w:t>
      </w:r>
    </w:p>
    <w:p>
      <w:pPr>
        <w:pStyle w:val="SourceNote"/>
      </w:pPr>
      <w:r>
        <w:rPr>
          <w:b/>
        </w:rPr>
        <w:t>Original source (2018):</w:t>
      </w:r>
      <w:r>
        <w:t xml:space="preserve"> https://doi.org/10.3390/su10051515</w:t>
      </w:r>
    </w:p>
    <w:p>
      <w:pPr/>
      <w:r>
        <w:t>Original wording (abstract; indexed_source_text_not_full_document_verified): Forecasts of this share for the 2020 horizon were obtained, all showing that the EU target is yet to be reached. Empirical estimations of renewable energy share into the final energy consumption showed increasing trend for all groups, while providing forecasts quite different from the EU ones.</w:t>
      </w:r>
    </w:p>
    <w:p>
      <w:pPr/>
      <w:r>
        <w:rPr>
          <w:b/>
        </w:rPr>
        <w:t>POSSIBLE 2026:</w:t>
      </w:r>
      <w:r>
        <w:t xml:space="preserve"> Horizon-constrained Rashomon sets for chaotic forecasting — https://doi.org/10.1063/5.0325059</w:t>
      </w:r>
    </w:p>
    <w:p>
      <w:pPr/>
      <w:r>
        <w:rPr>
          <w:b/>
        </w:rPr>
        <w:t>Shared claim-specific concepts:</w:t>
      </w:r>
      <w:r>
        <w:t xml:space="preserve"> horizon, providing; EU scope not established. This is a provisional connection, not an outcome finding.</w:t>
      </w:r>
    </w:p>
    <w:p>
      <w:pPr>
        <w:pStyle w:val="SourceNote"/>
      </w:pPr>
      <w:r>
        <w:rPr>
          <w:b/>
        </w:rPr>
        <w:t>Available abstract (not full text):</w:t>
      </w:r>
      <w:r>
        <w:t xml:space="preserve"> Predictive multiplicity and chaotic dynamics represent two fundamental challenges in machine learning that have evolved independently despite their conceptual connections. We bridge this gap by introducing horizon-constrained Rashomon sets, a theoretical framework that characterizes how model multiplicity evolves with prediction horizon in chaotic systems. Unlike static prediction tasks where the Rashomon set remains fixed, chaos induces exponential divergence among initially similar models, fundamentally transforming the nature of predictive equivalence. We prove that the effective Rashomon set contracts exponentially with lead time at a rate determined by the maximum Lyapunov exponent and introduce Lyapunov-weighted metrics that provide tighter bounds on predictive disagreement. Leveraging these insights, we develop decision-aligned selection algorithms that choose among near-optimal models based on downstream utility rather than forecast accuracy alone. Extensive experiments on synthetic chaotic systems (Lorenz-96 and Kuramoto–Sivashinsky) and real-world applications (wind power, traffic, and weather) demonstrate that our framework improves decision quality by 18%–34% while maintaining competitive predictive performance. This work establishes the first rigorous connection between chaos theory and predictive multiplicity, providing principled guidance for deploying machine le</w:t>
      </w:r>
    </w:p>
    <w:p>
      <w:pPr/>
      <w:r>
        <w:rPr>
          <w:b/>
        </w:rPr>
        <w:t>POSSIBLE 2026:</w:t>
      </w:r>
      <w:r>
        <w:t xml:space="preserve"> European Economic Forecast — https://doi.org/10.2765/0071034</w:t>
      </w:r>
    </w:p>
    <w:p>
      <w:pPr/>
      <w:r>
        <w:rPr>
          <w:b/>
        </w:rPr>
        <w:t>Shared claim-specific concepts:</w:t>
      </w:r>
      <w:r>
        <w:t xml:space="preserve"> energy, final, consumption; EU scope visible. This is a provisional connection, not an outcome finding.</w:t>
      </w:r>
    </w:p>
    <w:p>
      <w:pPr>
        <w:pStyle w:val="SourceNote"/>
      </w:pPr>
      <w:r>
        <w:rPr>
          <w:b/>
        </w:rPr>
        <w:t>Available abstract (not full text):</w:t>
      </w:r>
      <w:r>
        <w:t xml:space="preserve"> The period from 2019 to 2024 witnessed an unprecedented decline in energy use, driven by a combination of price signals, policy measures, and structural change. This special issue examines how this reduction was achieved, placing recent developments in a longer-term perspective and distinguishing between adjustments in the transformation sector and changes in final consumption of energy demand across three main sectors: productive, transport and households. Special attention is given to developments in productive sectors—and in particular industry—where most of the adjustment ultimately took place. The analysis shows that the recent period represents the sharpest “leaning-out” phase of the EU economy on record. This adjustment was driven by a combination of efficiency gains and structural reallocation, although demand compression—particularly in energy-intensive industry—also played a role.</w:t>
      </w:r>
    </w:p>
    <w:p>
      <w:pPr/>
      <w:r>
        <w:rPr>
          <w:b/>
        </w:rPr>
        <w:t>POSSIBLE 2026:</w:t>
      </w:r>
      <w:r>
        <w:t xml:space="preserve"> Explaining Time Series Forecasting with Horizon-Resolved Attribution — https://doi.org/10.48550/arxiv.2609.12639</w:t>
      </w:r>
    </w:p>
    <w:p>
      <w:pPr/>
      <w:r>
        <w:rPr>
          <w:b/>
        </w:rPr>
        <w:t>Shared claim-specific concepts:</w:t>
      </w:r>
      <w:r>
        <w:t xml:space="preserve"> horizon, all, yet, different; EU scope not established. This is a provisional connection, not an outcome finding.</w:t>
      </w:r>
    </w:p>
    <w:p>
      <w:pPr>
        <w:pStyle w:val="SourceNote"/>
      </w:pPr>
      <w:r>
        <w:rPr>
          <w:b/>
        </w:rPr>
        <w:t>Available abstract (not full text):</w:t>
      </w:r>
      <w:r>
        <w:t xml:space="preserve"> Recent advances in explaining time series (TS) models have produced methods that identify which past values a prediction depends on. However, most existing methods return a single importance vector, assuming that every predicted step depends on the same past values. In this paper, we show that this assumption does not hold, as different forecast steps depend on different past values. Motivated by this observation, we propose Horizon-Resolved eXplanation (HRX), which adds a horizon axis to the explanation, so that every forecast step receives its own importance map. HRX is a simple yet effective plug-in framework with three components: 1) an estimator that reads these maps out of any differentiable forecaster without modifying the TS backbone, 2) an evaluation protocol that validates the horizon axis by measuring how much a single forecast step changes when the inputs an importance map ranks highest are removed, and 3) a rank criterion that predicts in advance whether the axis is worth resolving on a given TS. We further show that this step-wise dependence is low-dimensional, as the explanations of all steps are built from a few shared maps whose number does not grow with the forecast length. Extensive experiments across various backbones and datasets show that the improvement comes from the horizon axis and holds for estimators of previous explanation methods. Code is available</w:t>
      </w:r>
    </w:p>
    <w:p>
      <w:pPr/>
      <w:r>
        <w:rPr>
          <w:b/>
        </w:rPr>
        <w:t>POSSIBLE 2026:</w:t>
      </w:r>
      <w:r>
        <w:t xml:space="preserve"> Antidepressant drug use in Europe: past consumption, prescribing patterns and forecast until 2030 — https://doi.org/10.1007/s11096-025-02078-9</w:t>
      </w:r>
    </w:p>
    <w:p>
      <w:pPr/>
      <w:r>
        <w:rPr>
          <w:b/>
        </w:rPr>
        <w:t>Shared claim-specific concepts:</w:t>
      </w:r>
      <w:r>
        <w:t xml:space="preserve"> forecasts, share, all, consumption; EU scope visible. This is a provisional connection, not an outcome finding.</w:t>
      </w:r>
    </w:p>
    <w:p>
      <w:pPr>
        <w:pStyle w:val="SourceNote"/>
      </w:pPr>
      <w:r>
        <w:rPr>
          <w:b/>
        </w:rPr>
        <w:t>Available abstract (not full text):</w:t>
      </w:r>
      <w:r>
        <w:t xml:space="preserve"> INTRODUCTION: Mental disorders represent a significant global burden, with a high proportion of depressive disorders. Antidepressants (ADs) are the most prescribed drugs for treating mental disorders, with broad indications, e.g. depression, anxiety disorders, and off-label use. AIM: This study assesses current and historical changes in AD consumption in 25 European countries, predicts future developments, and further analyses ATC subgroup consumption in 13 countries. METHOD: Consumption data for ADs (ATC code N06A) were collected from the OECD Data Explorer. Subgroup data came from publicly available sources. The time span covered is 1980 to 2024. Changes in defined daily doses per 1000 population per day (DID) were analysed, and projections to 2030 were made using Auto Regressive Integrated Moving Average models. Treatment coverage for depressive disorder prevalence was also calculated. RESULTS: In 2023, AD consumption ranged from 26.3 DID (Latvia) to 164.7 DID (Iceland). Use increased in nearly all countries, except Luxembourg (- 0.3 DID between 2013 and 2022). Increases ranged from + 5.9% (Austria) to + 157.8% (Latvia). Forecasts predict further increases in most countries (+ 0.1 to + 80.9%), with decreases projected for Hungary, Austria, the UK, and Luxembourg (- 3.4 to - 21.7%). Selective serotonin reuptake inhibitors (SSRIs) are the most used subgroup, with mixed develop</w:t>
      </w:r>
    </w:p>
    <w:p>
      <w:pPr/>
      <w:r>
        <w:rPr>
          <w:b/>
        </w:rPr>
        <w:t>POSSIBLE 2026:</w:t>
      </w:r>
      <w:r>
        <w:t xml:space="preserve"> Forecasting the Nigerian Exchange Group's All Share Index: application of ARIMA-GARCH hybrid models — https://doi.org/10.33003/fujafr-2026.v4i2.335.21-39</w:t>
      </w:r>
    </w:p>
    <w:p>
      <w:pPr/>
      <w:r>
        <w:rPr>
          <w:b/>
        </w:rPr>
        <w:t>Shared claim-specific concepts:</w:t>
      </w:r>
      <w:r>
        <w:t xml:space="preserve"> share, all, empirical, estimations; EU scope not established. This is a provisional connection, not an outcome finding.</w:t>
      </w:r>
    </w:p>
    <w:p>
      <w:pPr>
        <w:pStyle w:val="SourceNote"/>
      </w:pPr>
      <w:r>
        <w:rPr>
          <w:b/>
        </w:rPr>
        <w:t>Available abstract (not full text):</w:t>
      </w:r>
      <w:r>
        <w:t xml:space="preserve"> Purpose: This study evaluates the predictive accuracy of various econometric models in forecasting stock market returns within the Nigerian Exchange Group (NGX). Given the high volatility and structural breaks inherent in emerging African markets, the research investigates whether linear (ARIMA), volatility-sensitive (GARCH), or hybrid rolling-window frameworks provide the most robust tools for financial forecasting. Methodology: Employing a quantitative design, the study analyses daily All-Share Index (ASI) closing prices (sourced from the NGX official database) from January 1, 2021, to August 30, 2025. The approach utilizes Box-Jenkins formalization for ARIMA parameters and GARCH (1,1) to account for volatility clustering, optimized via a 180-day rolling window. Stationarity was verified via ADF tests, with selection guided by the Akaike Information Criterion (AIC). Results and conclusion: Empirical findings indicate that hybrid ARIMA-GARCH models significantly outperform standalone ARIMA and GARCH models in forecasting the NGX ASI. While linear models fail to account for significant ARCH effects, the hybrid configuration markedly reduces forecast errors, as confirmed by superior MAPE and RMSE metrics. The NGX exhibits high volatility persistence, rendering traditional linear models insufficient. Findings suggest the NGX deviates from the Weak-Form Efficient Market Hypothesis</w:t>
      </w:r>
    </w:p>
    <w:p>
      <w:pPr/>
      <w:r>
        <w:rPr>
          <w:b/>
        </w:rPr>
        <w:t>POSSIBLE 2026:</w:t>
      </w:r>
      <w:r>
        <w:t xml:space="preserve"> Multi-Day Forecasting of Day-Ahead Electricity Prices under Input Forecast Uncertainty — https://doi.org/10.24406/publica-9834</w:t>
      </w:r>
    </w:p>
    <w:p>
      <w:pPr/>
      <w:r>
        <w:rPr>
          <w:b/>
        </w:rPr>
        <w:t>Shared claim-specific concepts:</w:t>
      </w:r>
      <w:r>
        <w:t xml:space="preserve"> forecasts, share, horizon, renewable, increasing; EU scope visible. This is a provisional connection, not an outcome finding.</w:t>
      </w:r>
    </w:p>
    <w:p>
      <w:pPr>
        <w:pStyle w:val="SourceNote"/>
      </w:pPr>
      <w:r>
        <w:rPr>
          <w:b/>
        </w:rPr>
        <w:t>Available abstract (not full text):</w:t>
      </w:r>
      <w:r>
        <w:t xml:space="preserve"> Electricity price forecasts are increasingly important for trading and procurement decisions in European power markets with growing renewable generation and increasing price volatility. When forecasting prices for future delivery periods, key drivers such as load and renewable generation are only available as forecasts rather than realised values.This paper investigates how the use of realised versus forecasted inputs in model training and prediction affects multi-day-ahead forecasts of hourly German day-ahead market prices. A feed-forward neural network is evaluated in a rolling training framework under three input configurations: training on realised inputs and predicting with forecasted inputs, training and predicting with forecasted inputs, and an ex post perfect-input benchmark using realised inputs at prediction time. Forecast errors increase with prediction horizon, and input forecast errors account for a substantial share of overall prediction error. Training on forecasted inputs does not systematically improve forecasting accuracy in this setting.</w:t>
      </w:r>
    </w:p>
    <w:p>
      <w:pPr/>
      <w:r>
        <w:rPr>
          <w:b/>
        </w:rPr>
        <w:t>POSSIBLE 2026:</w:t>
      </w:r>
      <w:r>
        <w:t xml:space="preserve"> Multi-Day Forecasting of Day-Ahead Electricity Prices under Input Forecast Uncertainty — https://doi.org/10.1109/eem68581.2026.11589786</w:t>
      </w:r>
    </w:p>
    <w:p>
      <w:pPr/>
      <w:r>
        <w:rPr>
          <w:b/>
        </w:rPr>
        <w:t>Shared claim-specific concepts:</w:t>
      </w:r>
      <w:r>
        <w:t xml:space="preserve"> forecasts, share, horizon, renewable, increasing; EU scope visible. This is a provisional connection, not an outcome finding.</w:t>
      </w:r>
    </w:p>
    <w:p>
      <w:pPr>
        <w:pStyle w:val="SourceNote"/>
      </w:pPr>
      <w:r>
        <w:rPr>
          <w:b/>
        </w:rPr>
        <w:t>Available abstract (not full text):</w:t>
      </w:r>
      <w:r>
        <w:t xml:space="preserve"> Electricity price forecasts are increasingly important for trading and procurement decisions in European power markets with growing renewable generation and increasing price volatility. When forecasting prices for future delivery periods, key drivers such as load and renewable generation are only available as forecasts rather than realised values.This paper investigates how the use of realised versus forecasted inputs in model training and prediction affects multi-day-ahead forecasts of hourly German day-ahead market prices. A feed-forward neural network is evaluated in a rolling training framework under three input configurations: training on realised inputs and predicting with forecasted inputs, training and predicting with forecasted inputs, and an ex post perfect-input benchmark using realised inputs at prediction time. Forecast errors increase with prediction horizon, and input forecast errors account for a substantial share of overall prediction error. Training on forecasted inputs does not systematically improve forecasting accuracy in this setting.</w:t>
      </w:r>
    </w:p>
    <w:p>
      <w:pPr/>
      <w:r>
        <w:rPr>
          <w:b/>
        </w:rPr>
        <w:t>POSSIBLE 2025:</w:t>
      </w:r>
      <w:r>
        <w:t xml:space="preserve"> Approximating Fixed‐Horizon Forecasts Using Fixed‐Event Forecasts — https://doi.org/10.1002/jae.3114</w:t>
      </w:r>
    </w:p>
    <w:p>
      <w:pPr/>
      <w:r>
        <w:rPr>
          <w:b/>
        </w:rPr>
        <w:t>Shared claim-specific concepts:</w:t>
      </w:r>
      <w:r>
        <w:t xml:space="preserve"> forecasts, horizon, empirical; EU scope not established. This is a provisional connection, not an outcome finding.</w:t>
      </w:r>
    </w:p>
    <w:p>
      <w:pPr>
        <w:pStyle w:val="SourceNote"/>
      </w:pPr>
      <w:r>
        <w:rPr>
          <w:b/>
        </w:rPr>
        <w:t>Available abstract (not full text):</w:t>
      </w:r>
      <w:r>
        <w:t xml:space="preserve"> ABSTRACT Many forecast surveys ask their participants for fixed‐event forecasts. As fixed‐event forecasts have seasonal properties, users often employ an ad hoc approach to approximate fixed‐horizon forecasts based on these fixed‐event forecasts. We derive an optimal approximation for fixed‐horizon forecasts by minimizing the mean‐squared approximation error. Like the ad hoc approach, our approximation employs a weighted average of the fixed‐event forecasts. The optimal weights tend to differ substantially from those of the ad hoc approach. In empirical applications, the gains from using optimal instead of ad hoc weights turn out to be sizeable. The approximation approach proposed can also be useful in other applications.</w:t>
      </w:r>
    </w:p>
    <w:p>
      <w:pPr/>
      <w:r>
        <w:rPr>
          <w:b/>
        </w:rPr>
        <w:t>POSSIBLE 2025:</w:t>
      </w:r>
      <w:r>
        <w:t xml:space="preserve"> A Uncertainty-Calibrated Transformer for Long-Horizon Forecasting with Missing and Irregular Observations — https://doi.org/10.71465/fair538</w:t>
      </w:r>
    </w:p>
    <w:p>
      <w:pPr/>
      <w:r>
        <w:rPr>
          <w:b/>
        </w:rPr>
        <w:t>Shared claim-specific concepts:</w:t>
      </w:r>
      <w:r>
        <w:t xml:space="preserve"> yet, energy, consumption, increasing, providing; EU scope not established. This is a provisional connection, not an outcome finding.</w:t>
      </w:r>
    </w:p>
    <w:p>
      <w:pPr>
        <w:pStyle w:val="SourceNote"/>
      </w:pPr>
      <w:r>
        <w:rPr>
          <w:b/>
        </w:rPr>
        <w:t>Available abstract (not full text):</w:t>
      </w:r>
      <w:r>
        <w:t xml:space="preserve"> The proliferation of Internet of Things (IoT) devices and distributed sensor networks has resulted in an explosion of time-series data, yet the utility of this data is frequently compromised by irregularities, such as missing observations, non-uniform sampling rates, and sensor failures. While Transformer-based architectures have established a new state-of-the-art in sequence modeling, standard implementations rely implicitly on fixed-interval discrete time steps, rendering them suboptimal for irregular temporal environments. Furthermore, long-horizon forecasting inherently involves accumulating errors, necessitating robust uncertainty quantification to support downstream decision-making processes. This paper introduces the Uncertainty-Calibrated Continuous Transformer (UCCT), a novel architecture designed to address these dual challenges simultaneously. We propose a continuous-time positional encoding mechanism that leverages the temporal timestamps directly, decoupling the model from the rigid index-based sequence assumption. Additionally, we integrate a probabilistic decoding head that outputs distributional parameters rather than point estimates, calibrated via a composite loss function balancing accuracy and aleatoric uncertainty estimation. Extensive experiments on real-world datasets, including energy consumption, meteorology, and healthcare telemetry, demonstrate that t</w:t>
      </w:r>
    </w:p>
    <w:p>
      <w:pPr/>
      <w:r>
        <w:rPr>
          <w:b/>
        </w:rPr>
        <w:t>POSSIBLE 2024:</w:t>
      </w:r>
      <w:r>
        <w:t xml:space="preserve"> Evolution of the European offshore renewable energy resource under multiple climate change scenarios and forecasting horizons via CMIP6 — https://doi.org/10.1016/j.enconman.2023.118058</w:t>
      </w:r>
    </w:p>
    <w:p>
      <w:pPr/>
      <w:r>
        <w:rPr>
          <w:b/>
        </w:rPr>
        <w:t>Shared claim-specific concepts:</w:t>
      </w:r>
      <w:r>
        <w:t xml:space="preserve"> horizon, all, renewable, energy, increasing, trend; EU scope visible. This is a provisional connection, not an outcome finding.</w:t>
      </w:r>
    </w:p>
    <w:p>
      <w:pPr>
        <w:pStyle w:val="SourceNote"/>
      </w:pPr>
      <w:r>
        <w:rPr>
          <w:b/>
        </w:rPr>
        <w:t>Available abstract (not full text):</w:t>
      </w:r>
      <w:r>
        <w:t xml:space="preserve"> The design of the different offshore renewable Energy (ORE) technologies greatly depends on the characteristics of the wind/wave resource. However, these characteristics are not stationary. Even more so under the effect of climate change. The present study aims at assessing the evolution of the European offshore wave/wind resource under low- and high-emissions scenarios based on Shared Socioeconomic Pathways, and three forecasting horizons including near- (2023-2032), mid- (2041-2050) and long-term (2091-2100). The novelties lie in (i) combining wind and wave resources, (ii) using data with a 3-hour temporal horizon and (ii) performing a local-scale statistical analysis. Results illustrate that variations along the 21st century are significant, reversing the historical increasing trend by 2030. Overall, all scenarios tend to average wind and wave resource reductions all over Europe. However, extreme conditions follow a different pattern. Considering the 99th percentile, extreme conditions seem to be milder, following the evolution observed with the average resource. Exceptions to this are the Iberian Peninsula and the North Sea. In contrast, the local-scale statistical analysis shows that the most extreme conditions tend to increase even when the 99th percentile decreases. This combination of decreasing average and increasing extremes presents the worst-case scenario for ORE te</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forecasts, horizon, all, groups, different;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2024:</w:t>
      </w:r>
      <w:r>
        <w:t xml:space="preserve"> Hybrid AI-enhanced lightning flash prediction in the medium-range forecast horizon — https://doi.org/10.1038/s41467-024-44697-2</w:t>
      </w:r>
    </w:p>
    <w:p>
      <w:pPr/>
      <w:r>
        <w:rPr>
          <w:b/>
        </w:rPr>
        <w:t>Shared claim-specific concepts:</w:t>
      </w:r>
      <w:r>
        <w:t xml:space="preserve"> forecasts, horizon, obtained; EU scope visible. This is a provisional connection, not an outcome finding.</w:t>
      </w:r>
    </w:p>
    <w:p>
      <w:pPr>
        <w:pStyle w:val="SourceNote"/>
      </w:pPr>
      <w:r>
        <w:rPr>
          <w:b/>
        </w:rPr>
        <w:t>Available abstract (not full text):</w:t>
      </w:r>
      <w:r>
        <w:t xml:space="preserve"> Traditional fully-deterministic algorithms, which rely on physical equations and mathematical models, are the backbone of many scientific disciplines for decades. These algorithms are based on well-established principles and laws of physics, enabling a systematic and predictable approach to problem-solving. On the other hand, AI-based strategies emerge as a powerful tool for handling vast amounts of data and extracting patterns and relationships that might be challenging to identify through traditional algorithms. Here, we bridge these two realms by using AI to find an optimal mapping of meteorological features predicted two days ahead by the state-of-the-art numerical weather prediction model by the European Centre for Medium-range Weather Forecasts (ECMWF) into lightning flash occurrence. The prediction capability of the resulting AI-enhanced algorithm turns out to be significantly higher than that of the fully-deterministic algorithm employed in the ECMWF model. A remarkable Recall peak of about 95% within the 0-24 h forecast interval is obtained. This performance surpasses the 85% achieved by the ECMWF model at the same Precision of the AI algorithm.</w:t>
      </w:r>
    </w:p>
    <w:p>
      <w:pPr>
        <w:pStyle w:val="Heading2"/>
      </w:pPr>
      <w:r>
        <w:t>751. European Road Safety Policy 2016-2020: A Forecast on Topics and Activities</w:t>
      </w:r>
    </w:p>
    <w:p>
      <w:pPr>
        <w:pStyle w:val="SourceNote"/>
      </w:pPr>
      <w:r>
        <w:rPr>
          <w:b/>
        </w:rPr>
        <w:t>Original source (2018):</w:t>
      </w:r>
      <w:r>
        <w:t xml:space="preserve"> https://doi.org/10.21625/archive.v2i1.237</w:t>
      </w:r>
    </w:p>
    <w:p>
      <w:pPr/>
      <w:r>
        <w:t>Original wording (abstract; indexed_source_text_not_full_document_verified): However, no legislative proposals are expected. - Reducing the number of seriously injured will be a core objective in the future: A reduction goal of 50% has been set by the Council of the European Union for the period 2020-2030.The results show that the developments of the last years point towards a full and active agenda till 2020 and beyond. However, the topics and activities of road safety policy that will determine the next few years are less apparent.</w:t>
      </w:r>
    </w:p>
    <w:p>
      <w:pPr/>
      <w:r>
        <w:rPr>
          <w:b/>
        </w:rPr>
        <w:t>POSSIBLE 2026:</w:t>
      </w:r>
      <w:r>
        <w:t xml:space="preserve"> THE LEGISLATIVE POWER IN THE EUROPEAN UNION — https://doi.org/10.56238/sevened2026.035-019</w:t>
      </w:r>
    </w:p>
    <w:p>
      <w:pPr/>
      <w:r>
        <w:rPr>
          <w:b/>
        </w:rPr>
        <w:t>Shared claim-specific concepts:</w:t>
      </w:r>
      <w:r>
        <w:t xml:space="preserve"> legislative, council, union, full; EU scope visible. This is a provisional connection, not an outcome finding.</w:t>
      </w:r>
    </w:p>
    <w:p>
      <w:pPr>
        <w:pStyle w:val="SourceNote"/>
      </w:pPr>
      <w:r>
        <w:rPr>
          <w:b/>
        </w:rPr>
        <w:t>Available abstract (not full text):</w:t>
      </w:r>
      <w:r>
        <w:t xml:space="preserve"> The process of European integration has been characterized by an institutional structure distinct from that of other international organizations. Moreover, its evolution has brought it closer to the model found in nation-states. This is evident in the distribution of powers —particularly regarding legislative authority— as the system has shifted from a model where the body representing the Member States held full decision-making power to one in which legislative authority is shared between the Council and the European Parliament, featuring characteristics of a bicameral legislative model. The current legal system in the European Union was defined by the Lisbon Treaty. Which enabled the generalization of the codecision procedure, now officially called the ordinary legislative procedure. Through this mechanism, the institution elected by universal and direct suffrage by European citizens fulfils its role as a parliament—namely, exercising legislative power—, although shared with the Council.</w:t>
      </w:r>
    </w:p>
    <w:p>
      <w:pPr/>
      <w:r>
        <w:rPr>
          <w:b/>
        </w:rPr>
        <w:t>POSSIBLE 2026:</w:t>
      </w:r>
      <w:r>
        <w:t xml:space="preserve"> Draghi Plan and Implications for the European Legislative Framework — https://doi.org/10.24818/eblj/2025/4/1.06</w:t>
      </w:r>
    </w:p>
    <w:p>
      <w:pPr/>
      <w:r>
        <w:rPr>
          <w:b/>
        </w:rPr>
        <w:t>Shared claim-specific concepts:</w:t>
      </w:r>
      <w:r>
        <w:t xml:space="preserve"> legislative, proposals, council, union, period, agenda; EU scope visible. This is a provisional connection, not an outcome finding.</w:t>
      </w:r>
    </w:p>
    <w:p>
      <w:pPr>
        <w:pStyle w:val="SourceNote"/>
      </w:pPr>
      <w:r>
        <w:rPr>
          <w:b/>
        </w:rPr>
        <w:t>Available abstract (not full text):</w:t>
      </w:r>
      <w:r>
        <w:t xml:space="preserve"> The paper analyzes the "The Future of European Competitiveness" report (Draghi Plan, September 2024) from a dual perspective—economic and legal-institutional—to assess how its recommendations reconfigure the European Union's (EU) legislative framework for the 2025-2030 period. The research pursues three objectives: (i) mapping the Draghi proposals along the axes of investment-financing, state aid, single market, and economic governance; (ii) identifying the legal instruments through which the Commission and the Council are attempting to transpose these proposals; and (iii) measuring the potential impact on internal market cohesion and fiscal discipline. The methodology combines content analysis of the Draghi report and official documents (proposals for regulations, own resources decisions, state aid guidelines), semi-structured interviews with 22 European decision-makers, and a counterfactual DSGE exercise modeling the effect of introducing a European Competitiveness Fund financed by common debt of 1% of GDP/year. The study's contribution is threefold: it demonstrates the direct link between a technocratic report and an accelerated European legislative agenda; it highlights the tensions between expanding industrial policy and protecting the integrity of the internal market; and it provides an empirical framework to quantify the fiscal trade-offs involved in debt mutualization. </w:t>
      </w:r>
    </w:p>
    <w:p>
      <w:pPr/>
      <w:r>
        <w:rPr>
          <w:b/>
        </w:rPr>
        <w:t>POSSIBLE 2026:</w:t>
      </w:r>
      <w:r>
        <w:t xml:space="preserve"> Common fisheries policy and bycatch: European legislative context and strategies for the valorization of underutilized fish species — https://doi.org/10.4081/ijfs.2026.15141</w:t>
      </w:r>
    </w:p>
    <w:p>
      <w:pPr/>
      <w:r>
        <w:rPr>
          <w:b/>
        </w:rPr>
        <w:t>Shared claim-specific concepts:</w:t>
      </w:r>
      <w:r>
        <w:t xml:space="preserve"> however, legislative, reducing, number, objective; EU scope visible. This is a provisional connection, not an outcome finding.</w:t>
      </w:r>
    </w:p>
    <w:p>
      <w:pPr>
        <w:pStyle w:val="SourceNote"/>
      </w:pPr>
      <w:r>
        <w:rPr>
          <w:b/>
        </w:rPr>
        <w:t>Available abstract (not full text):</w:t>
      </w:r>
      <w:r>
        <w:t xml:space="preserve"> Despite modern fishing being focused on a limited number of fish that are highly valuable on the market, other species, including those of limited commercial value and damaged or undersized specimens, are accidentally caught. These fish, generally identified as "unwanted catches", have significant nutritional potential for human nutrition but are often discarded due to their limited commercial interest or used as category 3 by-products, as specified in Regulation (EC) No 1069/2009. The Common Fisheries Policy (CFP) promotes sustainable fishing and preservation of fish stocks; to this end, unwanted catches should be managed more efficiently. The objective of this review was to analyze the characteristics and critical elements of the European regulatory framework on fisheries, as well as the potential opportunities for valorizing neglected fish species. The main EU legislative reference is Regulation (EU) No 1380/2013, which focuses on the sustainability of fisheries and the prevention of overfishing in marine stocks. By imposing the obligation to land all fish caught, the regulation aims to eliminate discards and minimize unwanted catches. However, de minimis exemptions from the landing obligation for small pelagic and demersal fisheries in the Mediterranean Sea are established by Delegated Regulations (EU) 2023/2460 and 2023/2918. The EU legislative framework is supplemented by</w:t>
      </w:r>
    </w:p>
    <w:p>
      <w:pPr/>
      <w:r>
        <w:rPr>
          <w:b/>
        </w:rPr>
        <w:t>POSSIBLE 2026:</w:t>
      </w:r>
      <w:r>
        <w:t xml:space="preserve"> LEGISLATIVE DEVELOPMENTS AND THE EUROPEAN GREEN DEAL: LESSONS LEARNED — https://doi.org/10.36007/5383.2026.289</w:t>
      </w:r>
    </w:p>
    <w:p>
      <w:pPr/>
      <w:r>
        <w:rPr>
          <w:b/>
        </w:rPr>
        <w:t>Shared claim-specific concepts:</w:t>
      </w:r>
      <w:r>
        <w:t xml:space="preserve"> legislative, union, developments; EU scope visible. This is a provisional connection, not an outcome finding.</w:t>
      </w:r>
    </w:p>
    <w:p>
      <w:pPr>
        <w:pStyle w:val="SourceNote"/>
      </w:pPr>
      <w:r>
        <w:rPr>
          <w:b/>
        </w:rPr>
        <w:t>Available abstract (not full text):</w:t>
      </w:r>
      <w:r>
        <w:t xml:space="preserve"> “Ensuring our industrial renewal and decarbonisation, and allowing the EU to remain an industrial and technological powerhouse” was defined by the Leaders of the European Union in the Budapest Declaration as a top priority for the EU in the future. In order to find the optimal legal solutions to support the reconciliation of climate protection with the striving for a prosperous economy, the results of the European Green Deal (EGD) shall be evaluated. The current paper aims to identify certain legislative developments connected to the EGD and analyze their relationship to the general characteristics of EU law and policy. Thus, the findings might support the development of regulatory solutions tailored to ensure the efficient enforcement of climate policy initiatives, while promoting the implementation of European legal standards, cutting red tape, and respecting the Member States’ competences.</w:t>
      </w:r>
    </w:p>
    <w:p>
      <w:pPr/>
      <w:r>
        <w:rPr>
          <w:b/>
        </w:rPr>
        <w:t>POSSIBLE 2026:</w:t>
      </w:r>
      <w:r>
        <w:t xml:space="preserve"> LEGAL REGULATION OF THE STATUS OF STATELESS PERSONS IN UKRAINE: EUROPEAN STANDARDS AND THE NEED FOR LEGISLATIVE REFORM — https://doi.org/10.26565/2075-1834-2026-41-14</w:t>
      </w:r>
    </w:p>
    <w:p>
      <w:pPr/>
      <w:r>
        <w:rPr>
          <w:b/>
        </w:rPr>
        <w:t>Shared claim-specific concepts:</w:t>
      </w:r>
      <w:r>
        <w:t xml:space="preserve"> however, legislative, proposals, number, reduction, council; EU scope visible. This is a provisional connection, not an outcome finding.</w:t>
      </w:r>
    </w:p>
    <w:p>
      <w:pPr>
        <w:pStyle w:val="SourceNote"/>
      </w:pPr>
      <w:r>
        <w:rPr>
          <w:b/>
        </w:rPr>
        <w:t>Available abstract (not full text):</w:t>
      </w:r>
      <w:r>
        <w:t xml:space="preserve"> Introduction. The legal status of stateless persons represents one of the most acute gaps in Ukrainian migration law. As a successor state to the Soviet Union, Ukraine inherited a combination of competing nationality laws, administrative gaps, and large-scale population displacement that left thousands of people without legal identity. According to official data of the State Migration Service (SMS), as of 30 April 2024, 5,394 stateless persons were registered as permanent residents of Ukraine and 964 as temporary residents. UNHCR, however, estimates the total number of stateless and persons of undetermined nationality at approximately 35,000, indicating the scale of those who remain entirely outside official registration. Summary of the main results of the study. The article examines Ukraine's legal framework for stateless persons against the benchmarks of the 1954 Convention Relating to the Status of Stateless Persons, the 1961 Convention on the Reduction of Statelessness, the European Convention on Nationality, and EU member state practice. Five systemic gaps are identified: a critically low practical recognition rate despite the operationalisation of the Statelessness Determination Procedure (SDP) in 2021; burdensome consular certificate requirements imposed through administrative practice rather than legislative mandate; absence of a dedicated statelessness identity documen</w:t>
      </w:r>
    </w:p>
    <w:p>
      <w:pPr/>
      <w:r>
        <w:rPr>
          <w:b/>
        </w:rPr>
        <w:t>POSSIBLE 2026:</w:t>
      </w:r>
      <w:r>
        <w:t xml:space="preserve"> A LEGISLATIVE REFORM PROPOSAL ON THE USE OF ARTIFICIAL INTELLIGENCE IN INTERNATIONAL COMMERCIAL TRANSACTIONS — https://doi.org/10.5281/zenodo.20807624</w:t>
      </w:r>
    </w:p>
    <w:p>
      <w:pPr/>
      <w:r>
        <w:rPr>
          <w:b/>
        </w:rPr>
        <w:t>Shared claim-specific concepts:</w:t>
      </w:r>
      <w:r>
        <w:t xml:space="preserve"> however, legislative, proposals; EU scope visible. This is a provisional connection, not an outcome finding.</w:t>
      </w:r>
    </w:p>
    <w:p>
      <w:pPr>
        <w:pStyle w:val="SourceNote"/>
      </w:pPr>
      <w:r>
        <w:rPr>
          <w:b/>
        </w:rPr>
        <w:t>Available abstract (not full text):</w:t>
      </w:r>
      <w:r>
        <w:t xml:space="preserve"> Artificial intelligence (AI) systems are increasingly used in international trade to automate the formation, performance, pricing, and risk assessment of cross-border contracts. In November 2025, the Senate of the Republic of Uzbekistan approved a law establishing a legal definition of AI and general rules for its use, while a parallel initiative created a tax-free zone for AI and data-centre projects in the Republic of Karakalpakstan. However, the country’s private-law framework – the Civil Code and the 2022 Law “On Electronic Commerce” – still lacks clear rules on AI-mediated transactions, the legal effect of autonomous digital agents, and the allocation of liability for AI-caused harm. This project proposes a targeted package of amendments: (1) introducing into the Civil Code the category of “transactions concluded with the use of artificial intelligence” and recognising autonomous digital expressions of will under defined conditions; (2) establishing proportionate, distributed liability among the developer, operator, and user of an AI system; and (3) amending the Law “On Electronic Commerce” to require transparency and the logging of AI-driven decisions. The proposals draw on international practice – the EU Artificial Intelligence Act, the UNCITRAL Model Law on Electronic Commerce, and OECD/WTO assessments of AI’s effect on trade – and are intended to reduce legal uncertain</w:t>
      </w:r>
    </w:p>
    <w:p>
      <w:pPr/>
      <w:r>
        <w:rPr>
          <w:b/>
        </w:rPr>
        <w:t>POSSIBLE 2026:</w:t>
      </w:r>
      <w:r>
        <w:t xml:space="preserve"> Germany's Path to a National Kidney Exchange Program: An Assessment of the 2024 Legislative Proposal — https://doi.org/10.1016/j.healthpol.2026.105578</w:t>
      </w:r>
    </w:p>
    <w:p>
      <w:pPr/>
      <w:r>
        <w:rPr>
          <w:b/>
        </w:rPr>
        <w:t>Shared claim-specific concepts:</w:t>
      </w:r>
      <w:r>
        <w:t xml:space="preserve"> however, legislative, expected, goal, full; EU scope visible. This is a provisional connection, not an outcome finding.</w:t>
      </w:r>
    </w:p>
    <w:p>
      <w:pPr>
        <w:pStyle w:val="SourceNote"/>
      </w:pPr>
      <w:r>
        <w:rPr>
          <w:b/>
        </w:rPr>
        <w:t>Available abstract (not full text):</w:t>
      </w:r>
      <w:r>
        <w:t xml:space="preserve"> • The German Federal Parliament plans to amend the Transplantation Act (1997). • The main goal of the reform is to establish a national kidney exchange program. • The draft law follows European best practices in many respects. • However, the law prohibits the participation of compatible donor–recipient pairs, contrary to international evidence. • Germany may join cross-border kidney exchange programs in the future. Kidney exchange programs (KEPs) facilitate organ exchanges among multiple donor–recipient pairs, enabling recipients to obtain immunologically well-matched kidneys through coordinated donor swapping. Despite the demonstrated benefits of such programs, Germany remains the only highly populated EU country in which kidney exchange is permitted only under very restrictive conditions. In July 2024, the German Federal Cabinet approved draft legislation to amend the 1997 Transplantation Act, with the establishment of a national kidney exchange program (KEP) as one of its primary objectives. The Federal Parliament is expected to deliberate on the draft and consider potential revisions in 2026. The proposal is expected to alleviate the shortage of donor organs by mandating full nationwide participation from all transplant centers and by allowing longer exchange cycles as well as chains initiated by non-directed donors. In this paper, we present several international case stud</w:t>
      </w:r>
    </w:p>
    <w:p>
      <w:pPr/>
      <w:r>
        <w:rPr>
          <w:b/>
        </w:rPr>
        <w:t>POSSIBLE 2025:</w:t>
      </w:r>
      <w:r>
        <w:t xml:space="preserve"> Legislative instruments protecting freedom of expression in Europe - an overview — https://doi.org/10.1007/s12027-025-00852-w</w:t>
      </w:r>
    </w:p>
    <w:p>
      <w:pPr/>
      <w:r>
        <w:rPr>
          <w:b/>
        </w:rPr>
        <w:t>Shared claim-specific concepts:</w:t>
      </w:r>
      <w:r>
        <w:t xml:space="preserve"> legislative, council, union; EU scope visible. This is a provisional connection, not an outcome finding.</w:t>
      </w:r>
    </w:p>
    <w:p>
      <w:pPr>
        <w:pStyle w:val="SourceNote"/>
      </w:pPr>
      <w:r>
        <w:rPr>
          <w:b/>
        </w:rPr>
        <w:t>Available abstract (not full text):</w:t>
      </w:r>
      <w:r>
        <w:t xml:space="preserve"> Abstract Freedom of expression is a foundational value shared across European nations, and this is reflected in the regulatory policy of both the European Union and of the Council of Europe. In response to the profound transformations and emerging challenges in public communication over the past decade, the European Union has adopted a comprehensive regulatory framework, which this article outlines in brief. Concurrently, the Council of Europe has contributed through the development of progressive soft law instruments. This article examines the underlying logic and structure of the evolving regulatory landscape, referencing key legal instruments, case law, and other relevant resources.</w:t>
      </w:r>
    </w:p>
    <w:p>
      <w:pPr/>
      <w:r>
        <w:rPr>
          <w:b/>
        </w:rPr>
        <w:t>POSSIBLE 2025:</w:t>
      </w:r>
      <w:r>
        <w:t xml:space="preserve"> Voices heard and unheard: Analizing legislative amendment proposals on underprivileged groups in Spain — https://doi.org/10.1093/pa/gsaf047</w:t>
      </w:r>
    </w:p>
    <w:p>
      <w:pPr/>
      <w:r>
        <w:rPr>
          <w:b/>
        </w:rPr>
        <w:t>Shared claim-specific concepts:</w:t>
      </w:r>
      <w:r>
        <w:t xml:space="preserve"> however, legislative, proposals; EU scope visible. This is a provisional connection, not an outcome finding.</w:t>
      </w:r>
    </w:p>
    <w:p>
      <w:pPr>
        <w:pStyle w:val="SourceNote"/>
      </w:pPr>
      <w:r>
        <w:rPr>
          <w:b/>
        </w:rPr>
        <w:t>Available abstract (not full text):</w:t>
      </w:r>
      <w:r>
        <w:t xml:space="preserve"> Abstract This paper explores the circumstances under which parliamentary groups reference underprivileged groups—specifically, women, immigrants and people with disabilities –in their legislative amendment proposals. Drawing on a comprehensive dataset covering all executive bills passed in Spain between 1996 and 2023, we find that the presence of interest groups in parliamentary hearings significantly increases the visibility of the underprivileged in the amending activity of political parties, thereby enhancing their representation. Similarly, a higher proportion of women Members of Parliament (MPs) in a parliamentary group is associated with more frequent amendments referencing women and people with disabilities, while there is some evidence, albeit less conclusive, of a similar effect for immigrants. Media coverage boosts attention to women and people with disabilities, but has no significant impact on references to immigrants. Surprisingly, partisan preferences have no influence on references to women and immigrants in amendment proposals; however, right-wing parties are more likely to reference people with disabilities. These findings contribute fresh insights into the dynamics of legislative behavior, representation, and the presence of interest groups in parliamentary processes.</w:t>
      </w:r>
    </w:p>
    <w:p>
      <w:pPr/>
      <w:r>
        <w:rPr>
          <w:b/>
        </w:rPr>
        <w:t>POSSIBLE 2025:</w:t>
      </w:r>
      <w:r>
        <w:t xml:space="preserve"> A consensus model in legislative decision‐making: The council of the European Union — https://doi.org/10.1002/epa2.70005</w:t>
      </w:r>
    </w:p>
    <w:p>
      <w:pPr/>
      <w:r>
        <w:rPr>
          <w:b/>
        </w:rPr>
        <w:t>Shared claim-specific concepts:</w:t>
      </w:r>
      <w:r>
        <w:t xml:space="preserve"> legislative, set, council, union; EU scope visible. This is a provisional connection, not an outcome finding.</w:t>
      </w:r>
    </w:p>
    <w:p>
      <w:pPr>
        <w:pStyle w:val="SourceNote"/>
      </w:pPr>
      <w:r>
        <w:rPr>
          <w:b/>
        </w:rPr>
        <w:t>Available abstract (not full text):</w:t>
      </w:r>
      <w:r>
        <w:t xml:space="preserve"> Abstract The culture of consensus influences legislative decision‐making within the Council of the European Union, often leading to broad coalitions in which even the preferences of isolated member states are considered. Nevertheless, despite its significance, this culture has been insufficiently studied through formal models predicting EU legislative outcomes. This paper presents the Consensus model, a mixture of the procedural and bargaining approaches, accounting for the culture of consensus. This iterative model starts from the Commission's ideal stance and persists until no member state challenges a policy position, which then becomes the adopted outcome. The European Parliament contributes to shaping the trajectory from the Commission's proposal to the final result. Using the DEU‐III data set, I assess the Consensus model's predictive ability, demonstrating its superior performance compared to two random outcome models. Notably, the Consensus model performs on par with the Nash bargaining model.</w:t>
      </w:r>
    </w:p>
    <w:p>
      <w:pPr/>
      <w:r>
        <w:rPr>
          <w:b/>
        </w:rPr>
        <w:t>POSSIBLE 2024:</w:t>
      </w:r>
      <w:r>
        <w:t xml:space="preserve"> DIGITALISED WORK OF WOMEN IN THE EUROPEAN UNION AND POLISH REGULATION AND LEGISLATIVE PROPOSALS — https://doi.org/10.31338/2544-3135.si.2024-99.4</w:t>
      </w:r>
    </w:p>
    <w:p>
      <w:pPr/>
      <w:r>
        <w:rPr>
          <w:b/>
        </w:rPr>
        <w:t>Shared claim-specific concepts:</w:t>
      </w:r>
      <w:r>
        <w:t xml:space="preserve"> however, legislative, proposals, union; EU scope visible. This is a provisional connection, not an outcome finding.</w:t>
      </w:r>
    </w:p>
    <w:p>
      <w:pPr>
        <w:pStyle w:val="SourceNote"/>
      </w:pPr>
      <w:r>
        <w:rPr>
          <w:b/>
        </w:rPr>
        <w:t>Available abstract (not full text):</w:t>
      </w:r>
      <w:r>
        <w:t xml:space="preserve"> The article aims to assess if women’s problems are specifically identified in labour legislation relating to digitalisation. Women appear in preparatory phases of legislative procedures (reports, motives), while usually they are not explicitly addressed in final drafts or acts. Digitalisation of work of women as such, referring to biological features of the gender itself is not perceived as a specific problem to be solved. Female workers are not treated as a vulnerable group which should benefit from additional guarantees in the process of digitalisation. It proves that in digitalised work, sex is not a distinctive feature: both sexes are able and skilled to work with digital devices. Criteria used to identify vulnerable groups refer to social situations rather than sex itself (e.g. education and training, caring responsibilities). However, women tend to constitute the majority of such groups. Therefore, respective ‘horizontal’ protective provisions and standards (e.g. working time, right to disconnect, work-life balance or non-discrimination) are particularly important for women.</w:t>
      </w:r>
    </w:p>
    <w:p>
      <w:pPr/>
      <w:r>
        <w:rPr>
          <w:b/>
        </w:rPr>
        <w:t>POSSIBLE 2024:</w:t>
      </w:r>
      <w:r>
        <w:t xml:space="preserve"> The Letta report: a set of proposals for revitalising the European economy — https://doi.org/10.53479/38193</w:t>
      </w:r>
    </w:p>
    <w:p>
      <w:pPr/>
      <w:r>
        <w:rPr>
          <w:b/>
        </w:rPr>
        <w:t>Shared claim-specific concepts:</w:t>
      </w:r>
      <w:r>
        <w:t xml:space="preserve"> however, legislative, proposals, number, set, union; EU scope visible. This is a provisional connection, not an outcome finding.</w:t>
      </w:r>
    </w:p>
    <w:p>
      <w:pPr>
        <w:pStyle w:val="SourceNote"/>
      </w:pPr>
      <w:r>
        <w:rPr>
          <w:b/>
        </w:rPr>
        <w:t>Available abstract (not full text):</w:t>
      </w:r>
      <w:r>
        <w:t xml:space="preserve"> Europe is facing a number of major challenges in the near future, including managing the climate transition, the effects of technological transformations and geopolitical changes. European and national authorities are aware that the tools currently in place are insufficient to address these challenges and that a determined reform drive is therefore needed. At the start of a new European institutional cycle, the set of proposals in the Letta report, aimed at completing the Single Market and adapting it to the new circumstances, constitute a major contribution to the European economic policy debate. The most important initiatives include the revitalisation of the capital markets union, the creation of a pan-European State aid scheme based on national contributions, the promulgation of a European code of commercial law as an alternative to the harmonisation of the 27 existing national systems, the incorporation into the Single Market of sectors that have so far been largely outside it (such as energy and telecommunications) or, in the legislative field, the prioritisation of the use of regulations, which are directly applicable in the Member States, over directives, which require transposition into the legal systems of each country. The report’s diagnosis is largely shared by the various national authorities, who also welcomed the main thrust of the proposals. However, it is not d</w:t>
      </w:r>
    </w:p>
    <w:p>
      <w:pPr>
        <w:pStyle w:val="Heading2"/>
      </w:pPr>
      <w:r>
        <w:t>752. Focused Futures from Finland</w:t>
      </w:r>
    </w:p>
    <w:p>
      <w:pPr>
        <w:pStyle w:val="SourceNote"/>
      </w:pPr>
      <w:r>
        <w:rPr>
          <w:b/>
        </w:rPr>
        <w:t>Original source (2018):</w:t>
      </w:r>
      <w:r>
        <w:t xml:space="preserve"> https://doi.org/10.1177/1946756718754847</w:t>
      </w:r>
    </w:p>
    <w:p>
      <w:pPr/>
      <w:r>
        <w:t>Original wording (abstract; indexed_source_text_not_full_document_verified): At the end of the article, we present four scenarios of the future of the FFRC jointly made by the staff.</w:t>
      </w:r>
    </w:p>
    <w:p>
      <w:pPr/>
      <w:r>
        <w:rPr>
          <w:b/>
        </w:rPr>
        <w:t>POSSIBLE 2022:</w:t>
      </w:r>
      <w:r>
        <w:t xml:space="preserve"> European Union Litigation — https://doi.org/10.1515/ercl-2022-2038</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the most relevant cases decided by the Court of Justice of the European Union concerning contract law. The present issue covers the period between the beginning of June 2021 and the end of December 2021. Out of a total of 329 judgments decided in this period, 55 had a contract law dimension.</w:t>
      </w:r>
    </w:p>
    <w:p>
      <w:pPr/>
      <w:r>
        <w:rPr>
          <w:b/>
        </w:rPr>
        <w:t>POSSIBLE 2022:</w:t>
      </w:r>
      <w:r>
        <w:t xml:space="preserve"> European Union Litigation — https://doi.org/10.1515/ercl-2022-2049</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the most relevant cases decided by the Court of Justice of the European Union concerning contract law. The present issue covers the period between the beginning of January 2022 and the end of June 2022. Out of a total of 270 judgments decided in this period, 52 had a contract law dimension.</w:t>
      </w:r>
    </w:p>
    <w:p>
      <w:pPr/>
      <w:r>
        <w:rPr>
          <w:b/>
        </w:rPr>
        <w:t>POSSIBLE 2022:</w:t>
      </w:r>
      <w:r>
        <w:t xml:space="preserve"> Slavonic and East European Review, 1922–2022 — https://doi.org/10.1353/see.2022.0000</w:t>
      </w:r>
    </w:p>
    <w:p>
      <w:pPr/>
      <w:r>
        <w:rPr>
          <w:b/>
        </w:rPr>
        <w:t>Shared claim-specific concepts:</w:t>
      </w:r>
      <w:r>
        <w:t xml:space="preserve"> end, article, staff; EU scope visible. This is a provisional connection, not an outcome finding.</w:t>
      </w:r>
    </w:p>
    <w:p>
      <w:pPr>
        <w:pStyle w:val="SourceNote"/>
      </w:pPr>
      <w:r>
        <w:rPr>
          <w:b/>
        </w:rPr>
        <w:t>Available abstract (not full text):</w:t>
      </w:r>
      <w:r>
        <w:t xml:space="preserve"> Slavonic and East European Review, 1922–2022 Simon Dixon (bio) This year marks the one-hundredth anniversary of this journal, launched in June 1922 as the Slavonic Review, renamed Slavonic (and East European) Review in 1928, and known since 1931, when the brackets were silently dropped, under its current title, commonly abbreviated to SEER. The centenary offers a natural opportunity to reflect on the journal's achievements and vicissitudes and to glance forward to challenges ahead.1 Except for the war years, 1941–44, when the numeration was maintained but SEER was published without British involvement in the United States, it has been edited in London at the School of Slavonic and East European Studies (SSEES). A constituent part of King's College from 1915 until 1932, when it became an independent Senate Institute, SSEES struck some outsiders as one of the more inward-looking institutions in the British higher education system before its merger with University College London (UCL) in 1999.2 However, both the School and its cosmopolitan staff developed in counterpoint with the turbulent history of the region they studied and with changes in academic life in the world beyond. The same is true of the Review. Conceived as 'the joint product of British and American [End Page 1] Slavonic scholars, and of representative Slavs in every field of intellectual effort',3 the journal relie</w:t>
      </w:r>
    </w:p>
    <w:p>
      <w:pPr/>
      <w:r>
        <w:rPr>
          <w:b/>
        </w:rPr>
        <w:t>POSSIBLE 2021:</w:t>
      </w:r>
      <w:r>
        <w:t xml:space="preserve"> European Union Litigation — https://doi.org/10.1515/ercl-2021-2028</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January 2021 and the end of May 2021.</w:t>
      </w:r>
    </w:p>
    <w:p>
      <w:pPr/>
      <w:r>
        <w:rPr>
          <w:b/>
        </w:rPr>
        <w:t>POSSIBLE 2021:</w:t>
      </w:r>
      <w:r>
        <w:t xml:space="preserve"> European Union Litigation — https://doi.org/10.1515/ercl-2021-0005/html</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provides an overview of cases decided by the Court of Justice of the European Union concerning contract law. The present issue covers the period between the beginning of July 2020 and the end of December 2020.</w:t>
      </w:r>
    </w:p>
    <w:p>
      <w:pPr/>
      <w:r>
        <w:rPr>
          <w:b/>
        </w:rPr>
        <w:t>POSSIBLE 2021:</w:t>
      </w:r>
      <w:r>
        <w:t xml:space="preserve"> The end of China’s romance with Central and Eastern Europe — https://doi.org/10.1177/2059436421994442</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The 2016 Mandopop hit ‘Prague square’ ushered in a new romance for Central and Eastern Europe (CEE) in China. Such infatuation has resonated not only in popular culture, but was mirrored in China’s newfound boldness on the international stage. Drawing on CEE media accounts, the article demonstrates that China’s romance with the CEE countries was never reciprocated. In fact, the CEE region might present a significant outlier in that media accounts of China have been consistently negative in the decade preceding the Covid-19 pandemic. In other words, the pandemic merely accelerated trends that were already set in motion prior to 2020. In this respect, CEE media accounts of both China and the Covid-19 pandemic reveal an interesting ‘localization of the other’. As such, China has been used to validate specific domestic positions of different political formations. Perceptions of China (what it is assumed to stands for) have been deployed domestically in the CEE region to justify particular visions of the state and its international identity.</w:t>
      </w:r>
    </w:p>
    <w:p>
      <w:pPr/>
      <w:r>
        <w:rPr>
          <w:b/>
        </w:rPr>
        <w:t>POSSIBLE 2021:</w:t>
      </w:r>
      <w:r>
        <w:t xml:space="preserve"> European Union Litigation : EU Case Law — https://doi.org/10.1515/ercl-2021-0005</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provides an overview of cases decided by the Court of Justice of the European Union concerning contract law. The present issue covers the period between the beginning of July 2020 and the end of December 2020.</w:t>
      </w:r>
    </w:p>
    <w:p>
      <w:pPr/>
      <w:r>
        <w:rPr>
          <w:b/>
        </w:rPr>
        <w:t>POSSIBLE 2020:</w:t>
      </w:r>
      <w:r>
        <w:t xml:space="preserve"> European Union Litigation — https://doi.org/10.1515/ercl-2020-0012</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July 2019 and the end of December 2019.</w:t>
      </w:r>
    </w:p>
    <w:p>
      <w:pPr/>
      <w:r>
        <w:rPr>
          <w:b/>
        </w:rPr>
        <w:t>POSSIBLE 2019:</w:t>
      </w:r>
      <w:r>
        <w:t xml:space="preserve"> European Union Litigation — https://doi.org/10.1515/ercl-2019-0020</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the beginning of February and the end of June 2019.</w:t>
      </w:r>
    </w:p>
    <w:p>
      <w:pPr/>
      <w:r>
        <w:rPr>
          <w:b/>
        </w:rPr>
        <w:t>POSSIBLE 2019:</w:t>
      </w:r>
      <w:r>
        <w:t xml:space="preserve"> European Union Litigation — https://doi.org/10.1515/ercl-2019-0005</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Abstract This article provides an overview of cases decided by the Court of Justice of the European Union concerning contract law. The present issue covers the period between mid-July 2018 and the end of January 2019.</w:t>
      </w:r>
    </w:p>
    <w:p>
      <w:pPr/>
      <w:r>
        <w:rPr>
          <w:b/>
        </w:rPr>
        <w:t>POSSIBLE 2019:</w:t>
      </w:r>
      <w:r>
        <w:t xml:space="preserve"> THE TREATIES OF POŽAREVAC AND THEIR IMPACT ON EUROPE — https://doi.org/10.19090/i.2019.30.87-96</w:t>
      </w:r>
    </w:p>
    <w:p>
      <w:pPr/>
      <w:r>
        <w:rPr>
          <w:b/>
        </w:rPr>
        <w:t>Shared claim-specific concepts:</w:t>
      </w:r>
      <w:r>
        <w:t xml:space="preserve"> end, article, present; EU scope visible. This is a provisional connection, not an outcome finding.</w:t>
      </w:r>
    </w:p>
    <w:p>
      <w:pPr>
        <w:pStyle w:val="SourceNote"/>
      </w:pPr>
      <w:r>
        <w:rPr>
          <w:b/>
        </w:rPr>
        <w:t>Available abstract (not full text):</w:t>
      </w:r>
      <w:r>
        <w:t xml:space="preserve"> This article focuses on the three treaties which were signed in 1718 in Požarevac between Vienna, Constantinople and Venice. The reason for this is the large and long impact which can be observed until the present day, not only regarding these three powers or the Balkans, but the whole Europe. Although the political, juridical, economic and social consequences of these treaties ended mostly at the end of the First World War, the communication infrastructure, the knowledge culture and the mental effects have kept their actuality since the 18th century until today.</w:t>
      </w:r>
    </w:p>
    <w:p>
      <w:pPr>
        <w:pStyle w:val="Heading2"/>
      </w:pPr>
      <w:r>
        <w:t>753. Forecasting turbulence in the Asian and European stock market using regime-switching models</w:t>
      </w:r>
    </w:p>
    <w:p>
      <w:pPr>
        <w:pStyle w:val="SourceNote"/>
      </w:pPr>
      <w:r>
        <w:rPr>
          <w:b/>
        </w:rPr>
        <w:t>Original source (2018):</w:t>
      </w:r>
      <w:r>
        <w:t xml:space="preserve"> https://doi.org/10.3934/qfe.2018.2.388</w:t>
      </w:r>
    </w:p>
    <w:p>
      <w:pPr/>
      <w:r>
        <w:t>Original wording (abstract; indexed_source_text_not_full_document_verified): An early warning system to timely forecast turbulences in the Asian and European stock market is proposed. Subsequently, a forecasting model using logistic regression and economic input factors is selected.</w:t>
      </w:r>
    </w:p>
    <w:p>
      <w:pPr/>
      <w:r>
        <w:rPr>
          <w:b/>
        </w:rPr>
        <w:t>POSSIBLE 2026:</w:t>
      </w:r>
      <w:r>
        <w:t xml:space="preserve"> Predicting Healthcare System Stress in the European Union: An Early Warning System Using Panel Data — https://openalex.org/W7221839855</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The COVID-19 pandemic showed how quickly infectious diseases can spread through international travel and place healthcare systems under severe pressure, increasing the need for coordinated surveillance and preparedness in the European Union. This thesis develops a machine learning early warning system (EWS) for predicting healthcare capacity stress across 19 EU countries using weekly panel data from 2020 to 2023. Five models are evaluated using expanding-window out-of-sample cross validation, with XGBoost performing best (AUC = 0.990 and recall = 0.968), closely followed by Random Forest. Predicted probabilities are converted into a three-tier warning system calibrated across EU regions and countries. A decomposition analysis shows that epidemiological signals alone retain 96.7% of the full model’s predictive performance, demonstrating meaningful early warning value beyond past ICU occupancy alone. The findings suggest that publicly available surveillance data can support reliable EU-level healthcare monitoring and preparedness.</w:t>
      </w:r>
    </w:p>
    <w:p>
      <w:pPr/>
      <w:r>
        <w:rPr>
          <w:b/>
        </w:rPr>
        <w:t>POSSIBLE 2026:</w:t>
      </w:r>
      <w:r>
        <w:t xml:space="preserve"> Early warning early action systems for invasive alien species affecting forests in Europe and Central Asia — https://openalex.org/W7164620270</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Sentiment as Early Warning: A Systemic Risk Index for the Philippines — https://doi.org/10.3390/jrfm19050302</w:t>
      </w:r>
    </w:p>
    <w:p>
      <w:pPr/>
      <w:r>
        <w:rPr>
          <w:b/>
        </w:rPr>
        <w:t>Shared claim-specific concepts:</w:t>
      </w:r>
      <w:r>
        <w:t xml:space="preserve"> early, warning, system; EU scope not established. This is a provisional connection, not an outcome finding.</w:t>
      </w:r>
    </w:p>
    <w:p>
      <w:pPr>
        <w:pStyle w:val="SourceNote"/>
      </w:pPr>
      <w:r>
        <w:rPr>
          <w:b/>
        </w:rPr>
        <w:t>Available abstract (not full text):</w:t>
      </w:r>
      <w:r>
        <w:t xml:space="preserve"> Systemic risk remains a key concern for financial authorities, especially in emerging economies where traditional, low-frequency balance sheet indicators often lag rapidly changing market conditions. This study develops a high-frequency Systemic Risk Sentiment Index (SRSI) for the Philippines using news headlines from 2011 to 2025 and an ensemble of domain-specific financial sentiment models. Results show that negative sentiment is mainly driven by external-sector developments, market volatility, and equity-related news, with surges aligning with global and domestic stress episodes. Event study analysis demonstrates that the SRSI captures sharp deteriorations in sentiment several weeks before major financial stress events, while Granger causality results indicate modest predictive power for domestic equity market movements. Overall, the SRSI is best viewed as a responsive, real-time barometer that complements conventional systemic risk measures. This study represents one of the initial efforts to construct a sentiment-based systemic risk indicator tailored to the Philippine financial system and offers a scalable, low-cost framework that other central banks may adopt to enhance real-time macro-financial surveillance.</w:t>
      </w:r>
    </w:p>
    <w:p>
      <w:pPr/>
      <w:r>
        <w:rPr>
          <w:b/>
        </w:rPr>
        <w:t>POSSIBLE 2026:</w:t>
      </w:r>
      <w:r>
        <w:t xml:space="preserve"> An eXplainable early warning system to predict systemic financial crises — https://doi.org/10.1016/j.ribaf.2026.103591</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This paper develops an interpretable Early Warning System (EWS) to detect early signals of systemic financial crises one year in advance, combining deep learning techniques with an eXplainable Artificial Intelligence (XAI) framework. Using data from 18 European countries over 2001–2020, we compare multiple Machine Learning models and identify the Long Short-Term Memory (LSTM) neural network as the most effective architecture for capturing cross-country and temporal dependencies. The model is designed to capture temporal dependencies in macro-financial indicators, while interpretability is enhanced through Shapley value analysis, which allows us to identify the variables contributing most to the predicted crisis signals. The results suggest that the inclusion of global market variables improves the model’s forecasting performance and contributes to reducing false alarms. In particular, gold prices, sovereign bond spreads, and treasury rates emerge as the most influential early-warning indicators. These findings provide useful insights for policymakers and financial intermediaries by linking predicted crisis signals to economically interpretable drivers of systemic vulnerability, thereby supporting macroprudential monitoring and preventive policy assessment.</w:t>
      </w:r>
    </w:p>
    <w:p>
      <w:pPr/>
      <w:r>
        <w:rPr>
          <w:b/>
        </w:rPr>
        <w:t>POSSIBLE 2026:</w:t>
      </w:r>
      <w:r>
        <w:t xml:space="preserve"> A review of hydrological monitoring and early warning technologies and equipment for geological hazards — https://doi.org/10.1007/s12665-026-13106-w</w:t>
      </w:r>
    </w:p>
    <w:p>
      <w:pPr/>
      <w:r>
        <w:rPr>
          <w:b/>
        </w:rPr>
        <w:t>Shared claim-specific concepts:</w:t>
      </w:r>
      <w:r>
        <w:t xml:space="preserve"> early, warning, system, factors; EU scope not established. This is a provisional connection, not an outcome finding.</w:t>
      </w:r>
    </w:p>
    <w:p>
      <w:pPr>
        <w:pStyle w:val="SourceNote"/>
      </w:pPr>
      <w:r>
        <w:rPr>
          <w:b/>
        </w:rPr>
        <w:t>Available abstract (not full text):</w:t>
      </w:r>
      <w:r>
        <w:t xml:space="preserve"> Geological hazards are frequent and highly destructive, with hydrological factors acting as the primary triggers. Constructing an efficient and precise hydrological monitoring and early warning system is crucial for active hazard prevention and control. Breaking away from the traditional review model based on technology types, this paper innovatively takes the "equipment development timeline" as the main thread, dividing the evolution of monitoring and early warning technologies into four core stages for in-depth analysis. The germination stage relied on manual inspections and empirical thresholds, suffering from monitoring blind spots and a lack of mechanistic understanding. The development stage achieved electronic automated data collection but was limited by point-based observation and "black box" models. The integration stage relied on "Space-Air-Ground" integration to achieve three-dimensional monitoring, yet faced conflicts between multi-source data fusion and spatiotemporal resolution. The current intelligent stage is evolving towards smart systems driven by the Internet of Things (IoT) and artificial intelligence (AI), but still faces challenges in hardware maintenance, data quality, and model interpretability. Based on the above diachronic analysis, this paper reveals the internal logic of technological iteration and innovatively proposes a next-generation technologica</w:t>
      </w:r>
    </w:p>
    <w:p>
      <w:pPr/>
      <w:r>
        <w:rPr>
          <w:b/>
        </w:rPr>
        <w:t>POSSIBLE 2026:</w:t>
      </w:r>
      <w:r>
        <w:t xml:space="preserve"> Early warning early action systems for invasive alien species affecting forests in Europe and Central Asia: an overview — https://doi.org/10.3389/ffgc.2026.1795394</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Early Warning Early Action (EWEA) is a system and set of protocols developed and implemented by the Food and Agriculture Organization (FAO) as part of its disaster risk reduction and resilience work. EWEA provides proactive approaches to predictable shocks by investing in monitoring and disaster management for different humanitarian and ecological crises around the world. As the rate of spread of invasive alien species (IAS) increases and disrupts the vital ecological functions in forests around the world, vigorous phytosanitary protocols are needed to prevent and mitigate their dispersal and adverse impacts. The anticipatory approach of EWEA systems is well-suited for mitigating the detrimental effects of IAS, as preventive measures have proven to be the most effective. In this review of EWEA for forest IAS, papers have been categorized into six themes: a review of EWEA systems, sentinel tree species in plantations and gardens, trapping and detection methods and their application, pathways of IAS introduction, citizen science for early detection, and modeling of EWEA systems. Additionally, a survey was conducted among researchers and forest managers to determine their perspectives in relation to EWEA systems. A total of 96 respondents (58 from Europe and 38 from Central Asia) provided information that complements the review findings. The results indicate that EWEA systems are </w:t>
      </w:r>
    </w:p>
    <w:p>
      <w:pPr/>
      <w:r>
        <w:rPr>
          <w:b/>
        </w:rPr>
        <w:t>POSSIBLE 2026:</w:t>
      </w:r>
      <w:r>
        <w:t xml:space="preserve"> National and European Cyber Fragility Index (NCFI / ECFI): From National Predictive Surveillance to a European Early Warning System — https://doi.org/10.5281/zenodo.20665602</w:t>
      </w:r>
    </w:p>
    <w:p>
      <w:pPr/>
      <w:r>
        <w:rPr>
          <w:b/>
        </w:rPr>
        <w:t>Shared claim-specific concepts:</w:t>
      </w:r>
      <w:r>
        <w:t xml:space="preserve"> early, warning, system, proposed; EU scope visible. This is a provisional connection, not an outcome finding.</w:t>
      </w:r>
    </w:p>
    <w:p>
      <w:pPr>
        <w:pStyle w:val="SourceNote"/>
      </w:pPr>
      <w:r>
        <w:rPr>
          <w:b/>
        </w:rPr>
        <w:t>Available abstract (not full text):</w:t>
      </w:r>
      <w:r>
        <w:t xml:space="preserve"> The Cyber Fragility Index (CFI), introduced by the authors as a synthetic indicator for predictive governance at the organisational level, can be extended to two higher scales. At the level of a Member State, National Cyber Authorities (NCAs) could aggregate the individual CFIs of NIS2 entities into a National Cyber Fragility Index (NCFI): a predictive surveillance instrument for the national cyberspace, capable of detecting sectors converging towards instability before incidents occur. At the European level, ENISA could aggregate the NCFIs of Member States into a European Cyber Fragility Index (ECFI): the first synthetic indicator of the Union's cyber fragility, comparable across countries and over time. This article introduces the three-tier architecture CFI → NCFI → ECFI, discusses the fundamental distinction between CFI-Local and CFI-National, and proposes a structural analogy with meteorological and civil protection alert systems. The proposed system is not a compliance tool: it is a strategic early warning system — the cyber equivalent of seismic and hydrogeological monitoring networks.</w:t>
      </w:r>
    </w:p>
    <w:p>
      <w:pPr/>
      <w:r>
        <w:rPr>
          <w:b/>
        </w:rPr>
        <w:t>POSSIBLE 2026:</w:t>
      </w:r>
      <w:r>
        <w:t xml:space="preserve"> Mapping the multi-hazard early warning gap: AI-based susceptibility analysis reveals hotspots where Europe needs integrated warning systems — https://doi.org/10.5194/egusphere-egu26-9898</w:t>
      </w:r>
    </w:p>
    <w:p>
      <w:pPr/>
      <w:r>
        <w:rPr>
          <w:b/>
        </w:rPr>
        <w:t>Shared claim-specific concepts:</w:t>
      </w:r>
      <w:r>
        <w:t xml:space="preserve"> early, warning; EU scope visible. This is a provisional connection, not an outcome finding.</w:t>
      </w:r>
    </w:p>
    <w:p>
      <w:pPr>
        <w:pStyle w:val="SourceNote"/>
      </w:pPr>
      <w:r>
        <w:rPr>
          <w:b/>
        </w:rPr>
        <w:t>Available abstract (not full text):</w:t>
      </w:r>
      <w:r>
        <w:t xml:space="preserve"> Across Europe, multiple natural hazards increasingly converge as climate change intensifies the frequency and severity natural hazards, yet early warning systems (EWS) remain organised around single hazards. This institutional and technical fragmentation leaves exposed populations without integrated warnings for compound threats that define contemporary disaster risk. Identifying where multiple hazards converge with high societal exposure is essential for prioritising investments in integrated multi-hazard early warning systems (MHEWS). Here, we present an AI-driven approach combining deep learning-based susceptibility mapping with comprehensive exposure analysis to reveal priority regions where Europe's early warning infrastructure falls short. We address this research gap by adapting a convolutional neural network architecture to European susceptibility mapping of a range of hazards including flood, wildfire, landslide, tsunami, drought, heatwave, extreme wind, volcanic eruption and earthquake. We introduce spatial partitioning to prevent data leakage, generate probabilistic susceptibility outputs, and employ Shapley additive explanations values to interpret model drivers. Our analysis reveals that a quarter of Europeans live in regions susceptible to three or more hazards, with critical exposure hotspots concentrated in coastal and Southern Europe and major river basins wher</w:t>
      </w:r>
    </w:p>
    <w:p>
      <w:pPr/>
      <w:r>
        <w:rPr>
          <w:b/>
        </w:rPr>
        <w:t>POSSIBLE 2026:</w:t>
      </w:r>
      <w:r>
        <w:t xml:space="preserve"> Early warning systems for chemical risks in Europe: methodological components for signal detection, prioritization, uncertainty management and follow-up — https://doi.org/10.1186/s12302-026-01427-3</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Chemical pollution can affect ecosystems and human health, highlighting the need for approaches that identify, evaluate, and prioritize emerging chemical risks before they become established public-health issues requiring regulatory actions. This review and perspective article examines methodological components required for Early Warning Systems (EWSs) for chemical risks, with particular attention to the European policy context. It examines methodological components for chemical EWSs rather than proposing a fully implemented system. It considers how state-of-the-art and emerging methods can support signal generation, signal strengthening, prioritization, uncertainty assessment, communication, and follow-up. The reviewed components include matrices and sampling strategies; chemical monitoring, suspect screening, and non-target screening; effect-based methods, New Approach Methodologies, and effect-directed analysis; exposure and hazard modelling; QSAR, read-across, AI-supported and data-mining tools; expert evaluation; and governance processes that link scientific signals to proportionate follow-up. The conceptual workflow is used as an example of how these components may be organized into a signal-handling process, while EU-level developments provide the broader policy and governance context. The actionable value of a chemical EWS does not depend on any single method, but on st</w:t>
      </w:r>
    </w:p>
    <w:p>
      <w:pPr/>
      <w:r>
        <w:rPr>
          <w:b/>
        </w:rPr>
        <w:t>POSSIBLE 2026:</w:t>
      </w:r>
      <w:r>
        <w:t xml:space="preserve"> Early warning systems for chemical risks in Europe: methodological components for signal detection, prioritization, uncertainty management and follow-up — https://doi.org/10.60810/openumwelt-8751</w:t>
      </w:r>
    </w:p>
    <w:p>
      <w:pPr/>
      <w:r>
        <w:rPr>
          <w:b/>
        </w:rPr>
        <w:t>Shared claim-specific concepts:</w:t>
      </w:r>
      <w:r>
        <w:t xml:space="preserve"> early, warning, system; EU scope visible. This is a provisional connection, not an outcome finding.</w:t>
      </w:r>
    </w:p>
    <w:p>
      <w:pPr>
        <w:pStyle w:val="SourceNote"/>
      </w:pPr>
      <w:r>
        <w:rPr>
          <w:b/>
        </w:rPr>
        <w:t>Available abstract (not full text):</w:t>
      </w:r>
      <w:r>
        <w:t xml:space="preserve"> Chemical pollution can affect ecosystems and human health, highlighting the need for approaches that identify, evaluate, and prioritize emerging chemical risks before they become established public-health issues requiring regulatory actions. This review and perspective article examines methodological components required for Early Warning Systems (EWSs) for chemical risks, with particular attention to the European policy context. It examines methodological components for chemical EWSs rather than proposing a fully implemented system. It considers how state-of-the-art and emerging methods can support signal generation, signal strengthening, prioritization, uncertainty assessment, communication, and follow-up. The reviewed components include matrices and sampling strategies; chemical monitoring, suspect screening, and non-target screening; effect-based methods, New Approach Methodologies, and effect-directed analysis; exposure and hazard modelling; QSAR, read-across, AI-supported and data-mining tools; expert evaluation; and governance processes that link scientific signals to proportionate follow-up. The conceptual workflow is used as an example of how these components may be organized into a signal-handling process, while EU-level developments provide the broader policy and governance context. The actionable value of a chemical EWS does not depend on any single method, but on st</w:t>
      </w:r>
    </w:p>
    <w:p>
      <w:pPr/>
      <w:r>
        <w:rPr>
          <w:b/>
        </w:rPr>
        <w:t>POSSIBLE 2025:</w:t>
      </w:r>
      <w:r>
        <w:t xml:space="preserve"> Shariah-Integrated Early Warning Framework for Financial Distress in Indonesian Islamic Banks — https://doi.org/10.37641/jiakes.v13i4.3868</w:t>
      </w:r>
    </w:p>
    <w:p>
      <w:pPr/>
      <w:r>
        <w:rPr>
          <w:b/>
        </w:rPr>
        <w:t>Shared claim-specific concepts:</w:t>
      </w:r>
      <w:r>
        <w:t xml:space="preserve"> early, warning, system, proposed, factors; EU scope not established. This is a provisional connection, not an outcome finding.</w:t>
      </w:r>
    </w:p>
    <w:p>
      <w:pPr>
        <w:pStyle w:val="SourceNote"/>
      </w:pPr>
      <w:r>
        <w:rPr>
          <w:b/>
        </w:rPr>
        <w:t>Available abstract (not full text):</w:t>
      </w:r>
      <w:r>
        <w:t xml:space="preserve"> Indonesia’s Islamic banking sector has grown rapidly, driven by Shariah-compliant operations, but faces vulnerabilities from complex governance and regulatory demands. Ensuring financial stability requires effective predictive tools tailored to these unique operational and regulatory conditions. This study aims to develop a structural Early Warning System (EWS) to predict financial distress in Islamic banks, integrating macroeconomic indicators, bank-specific performance variables, and a Shariah Compliance Index, with Islamic corporate governance and risk management as mediators. Data from 14 Islamic commercial banks over 2015–2024 were analyzed using Partial Least Squares Structural Equation Modeling (PLS-SEM) via SmartPLS 4. The results show that internal bank factors and Shariah compliance significantly strengthen governance and risk management, which in turn reduces financial distress, while macroeconomic variables have no direct effect. The findings highlight the central role of internal governance and compliance in resilience. The proposed framework provides a unified, Shariah-aligned predictive system, enabling regulators, Shariah Supervisory Boards, and bank executives to implement evidence-based strategies. This study also lays the groundwork for a Shariah-based Financial Distress Index, enhancing the sector’s ability to manage operational and regulatory complexities e</w:t>
      </w:r>
    </w:p>
    <w:p>
      <w:pPr/>
      <w:r>
        <w:rPr>
          <w:b/>
        </w:rPr>
        <w:t>POSSIBLE 2025:</w:t>
      </w:r>
      <w:r>
        <w:t xml:space="preserve"> Early warning of regime switching in a complex financial system from a spillover network dynamic perspective — https://doi.org/10.1016/j.isci.2025.111924</w:t>
      </w:r>
    </w:p>
    <w:p>
      <w:pPr/>
      <w:r>
        <w:rPr>
          <w:b/>
        </w:rPr>
        <w:t>Shared claim-specific concepts:</w:t>
      </w:r>
      <w:r>
        <w:t xml:space="preserve"> early, warning, system, stock, selected; EU scope not established. This is a provisional connection, not an outcome finding.</w:t>
      </w:r>
    </w:p>
    <w:p>
      <w:pPr>
        <w:pStyle w:val="SourceNote"/>
      </w:pPr>
      <w:r>
        <w:rPr>
          <w:b/>
        </w:rPr>
        <w:t>Available abstract (not full text):</w:t>
      </w:r>
      <w:r>
        <w:t xml:space="preserve"> Early warning of regime switching in a complex financial system is a critical and challenging issue in risk management. Previous research has examined regime switching through analyzing the fluctuation features in a single point in time series; however, it has rarely examined the dynamic spillovers across multivariable time series. This paper develops an early warning model of regime switching that incorporates a spillover network model and a machine learning model. Typical energy prices and stock market indices are selected as the sample data. The key spillover networks can be detected according to the distribution of the network indicators. The early warning signals can be captured by six typical machine learning models, and the random forest model has better performance. The robustness of the model is also discussed. Our study enriches regime switching research and provides important early warning signals for policymakers and market investors.</w:t>
      </w:r>
    </w:p>
    <w:p>
      <w:pPr>
        <w:pStyle w:val="Heading2"/>
      </w:pPr>
      <w:r>
        <w:t>754. Foresight in Public Administration: Methods and Perspectives of Implementation in Ukraine</w:t>
      </w:r>
    </w:p>
    <w:p>
      <w:pPr>
        <w:pStyle w:val="SourceNote"/>
      </w:pPr>
      <w:r>
        <w:rPr>
          <w:b/>
        </w:rPr>
        <w:t>Original source (2018):</w:t>
      </w:r>
      <w:r>
        <w:t xml:space="preserve"> https://doi.org/10.15421/151847</w:t>
      </w:r>
    </w:p>
    <w:p>
      <w:pPr/>
      <w:r>
        <w:t>Original wording (abstract; indexed_source_text_not_full_document_verified): Examples of practical application of foresight methodology and individual technologies of social prediction are given.The author draws attention to the fact that in the field of public administration decisions must be made on the basis of knowledge of long-term trends and opportunities of technology and society. If they are not included in the timetable in time, then all long-term projects may be doomed to failure.Particular attention is needed to new factors and innovations, in conditions when the state is working on changing the ways of development of the country.</w:t>
      </w:r>
    </w:p>
    <w:p>
      <w:pPr/>
      <w:r>
        <w:rPr>
          <w:b/>
        </w:rPr>
        <w:t>POSSIBLE 2026:</w:t>
      </w:r>
      <w:r>
        <w:t xml:space="preserve"> Operational Difference: A Practical Guide to the Methodology — https://doi.org/10.5281/zenodo.22108155</w:t>
      </w:r>
    </w:p>
    <w:p>
      <w:pPr/>
      <w:r>
        <w:rPr>
          <w:b/>
        </w:rPr>
        <w:t>Shared claim-specific concepts:</w:t>
      </w:r>
      <w:r>
        <w:t xml:space="preserve"> examples, practical, methodology, individual, must; EU scope not established. This is a provisional connection, not an outcome finding.</w:t>
      </w:r>
    </w:p>
    <w:p>
      <w:pPr>
        <w:pStyle w:val="SourceNote"/>
      </w:pPr>
      <w:r>
        <w:rPr>
          <w:b/>
        </w:rPr>
        <w:t>Available abstract (not full text):</w:t>
      </w:r>
      <w:r>
        <w:t xml:space="preserve"> Operational Difference: A Practical Guide to the Methodology is a concise teaching companion to the formal mathematical framework developed in Needham (2026), Operational Difference: Quotient Refinement, Structured Residuals, and Holonomic Retention: A Mathematical Theory of Consequence, Reconfiguration, and Achieved Closure (Zenodo DOI: 10.5281/zenodo.21629920). The guide presents Operational Difference as a practical methodology for determining when a distinction must be retained in a scientific representation and when it may safely be discarded. Its central criterion is simple: if a representation identifies two cases that a declared outcome still distinguishes, the representation is too coarse. Mathematically, operational difference appears as an obstruction to factorisation. The methodology proceeds by declaring a domain, operative outcome and observational resolution; identifying the distinctions compressed by a proposed representation; testing whether any discarded distinction remains consequential; interrogating residuals for reproducible structure against matched controls; distinguishing detection, association, recovery, stability and identifiability as separate evidential levels; and, where path dependence is relevant, determining whether retained history or invariants carry additional consequence. The guide also introduces withdrawal and release of operational distin</w:t>
      </w:r>
    </w:p>
    <w:p>
      <w:pPr/>
      <w:r>
        <w:rPr>
          <w:b/>
        </w:rPr>
        <w:t>POSSIBLE 2026:</w:t>
      </w:r>
      <w:r>
        <w:t xml:space="preserve"> Methodological guidelines for practical works in the "System software" academic discipline — https://openalex.org/W7199565614</w:t>
      </w:r>
    </w:p>
    <w:p>
      <w:pPr/>
      <w:r>
        <w:rPr>
          <w:b/>
        </w:rPr>
        <w:t>Shared claim-specific concepts:</w:t>
      </w:r>
      <w:r>
        <w:t xml:space="preserve"> examples, practical, individual, given, attention, must; EU scope not established. This is a provisional connection, not an outcome finding.</w:t>
      </w:r>
    </w:p>
    <w:p>
      <w:pPr>
        <w:pStyle w:val="SourceNote"/>
      </w:pPr>
      <w:r>
        <w:rPr>
          <w:b/>
        </w:rPr>
        <w:t>Available abstract (not full text):</w:t>
      </w:r>
      <w:r>
        <w:t xml:space="preserve"> These methodological guidelines cover basic theoretical concepts regarding system software development for the Windows operating system (OS). Each topic is illustrated with source code examples. The C++ programming language and the Microsoft Visual Studio development environment were chosen as the primary tools for this course. (The code examples for topics 1 –13 were developed and tested using Microsoft Visual Studio 2019 version 16.9 on Windows 1 0). The text covers key mechanisms for process management, GUI creation, synchronization, inter-process communication, and operations with the file system and registry. Significant attention is also given to program optimization. The mechanisms discussed in these topics allow students to acquire practical skills in Windows system programming and serve to reinforce the material taught in the "System Software" course. Review questions are provided after each topic to consolidate theoretical knowledge. A general list of recommended reading is also included. Additionally, the Windows API Index (https://learn.microsoft.com/enus/windows/win32/api/) will be an essential resource for studying the material and developing programs. These topics form the basis of the practical classes for the "System Software" course. A set of individual practical tasks has been designed for each topic to ensure mastery of the material. Reports must be formatte</w:t>
      </w:r>
    </w:p>
    <w:p>
      <w:pPr/>
      <w:r>
        <w:rPr>
          <w:b/>
        </w:rPr>
        <w:t>POSSIBLE 2026:</w:t>
      </w:r>
      <w:r>
        <w:t xml:space="preserve"> Methodology for the formation and practical tools of educational and methodological complexes for training personnel for enterprises of the petrochemical complex — https://doi.org/10.47813/2782-5280-2026-5-1-5039-5046</w:t>
      </w:r>
    </w:p>
    <w:p>
      <w:pPr/>
      <w:r>
        <w:rPr>
          <w:b/>
        </w:rPr>
        <w:t>Shared claim-specific concepts:</w:t>
      </w:r>
      <w:r>
        <w:t xml:space="preserve"> examples, practical, methodology, individual, attention; EU scope not established. This is a provisional connection, not an outcome finding.</w:t>
      </w:r>
    </w:p>
    <w:p>
      <w:pPr>
        <w:pStyle w:val="SourceNote"/>
      </w:pPr>
      <w:r>
        <w:rPr>
          <w:b/>
        </w:rPr>
        <w:t>Available abstract (not full text):</w:t>
      </w:r>
      <w:r>
        <w:t xml:space="preserve"> The article is devoted to a comprehensive analysis of the design process of educational and methodological complexes (EMC) for personnel employed at hazardous petrochemical production facilities. The paper examines the psychological and pedagogical features of adult education for those working under high-risk conditions and their influence on the selection of forms and methods of educational work. Based on a synthesis of theoretical principles of andragogy and an extensive bank of practical developments, a classification and detailed characterization of interactive teaching methods are presented: frontal, individual, pair, and group work. Special attention is paid to the case study method as a tool for forming professional thinking and decision-making skills in emergency situations. A structured approach to the development of EMCs is proposed, including a template for a scenario plan, ensuring the manufacturability and reproducibility of the educational process. The material is illustrated with specific examples of tasks adapted to real technological processes and production situations.</w:t>
      </w:r>
    </w:p>
    <w:p>
      <w:pPr/>
      <w:r>
        <w:rPr>
          <w:b/>
        </w:rPr>
        <w:t>POSSIBLE 2026:</w:t>
      </w:r>
      <w:r>
        <w:t xml:space="preserve"> Rethinking Practical Methodologies — https://doi.org/10.31265/hd16c224</w:t>
      </w:r>
    </w:p>
    <w:p>
      <w:pPr/>
      <w:r>
        <w:rPr>
          <w:b/>
        </w:rPr>
        <w:t>Shared claim-specific concepts:</w:t>
      </w:r>
      <w:r>
        <w:t xml:space="preserve"> practical, application, technologies, given, attention; EU scope not established. This is a provisional connection, not an outcome finding.</w:t>
      </w:r>
    </w:p>
    <w:p>
      <w:pPr>
        <w:pStyle w:val="SourceNote"/>
      </w:pPr>
      <w:r>
        <w:rPr>
          <w:b/>
        </w:rPr>
        <w:t>Available abstract (not full text):</w:t>
      </w:r>
      <w:r>
        <w:t xml:space="preserve"> The implementation of Botswana’s Inclusive Education Policy has encountered numerous inefficiencies and limitations. One of the limitations is the accessibility of vocational institutions to learners with diverse disabilities. In 2012, following the introduction of the Inclusive Education Policy of 2011, the Department of Technical and Vocational Education designated certain brigades (community vocational training centers) and technical colleges to admit learners with different types of disabilities. However, of the 39 vocational institutions, only two enrolled learners with disabilities. While this gesture was significant, existing scholarship in Botswana has primarily focused on policy implementation challenges, with limited attention given to the role of effective methodological strategies in bridging the gap between policy and practice. This study explored practical Afrocentric methodologies that can close the gaps between policy and practice in technical and vocational education. The paper is a secondary analysis of the empirical findings from a study—A Capabilities Approach to an African Inclusive Education in Technical Vocational Education Training in Botswana (2020), which was conducted in two vocational institutions that admitted students with mild intellectual disabilities and hearing impairments. Nineteen one-on-one interviews were conducted from the technical colleg</w:t>
      </w:r>
    </w:p>
    <w:p>
      <w:pPr/>
      <w:r>
        <w:rPr>
          <w:b/>
        </w:rPr>
        <w:t>POSSIBLE 2025:</w:t>
      </w:r>
      <w:r>
        <w:t xml:space="preserve"> Practical application and examples of using the developed approximation methods — https://doi.org/10.1016/b978-0-443-29141-8.00003-2</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Historical Application of Dovetail Corner Joints with Practical Example — https://doi.org/10.5552/drvind.2025.0231</w:t>
      </w:r>
    </w:p>
    <w:p>
      <w:pPr/>
      <w:r>
        <w:rPr>
          <w:b/>
        </w:rPr>
        <w:t>Shared claim-specific concepts:</w:t>
      </w:r>
      <w:r>
        <w:t xml:space="preserve"> examples, practical, application, attention, made, knowledge; EU scope not established. This is a provisional connection, not an outcome finding.</w:t>
      </w:r>
    </w:p>
    <w:p>
      <w:pPr>
        <w:pStyle w:val="SourceNote"/>
      </w:pPr>
      <w:r>
        <w:rPr>
          <w:b/>
        </w:rPr>
        <w:t>Available abstract (not full text):</w:t>
      </w:r>
      <w:r>
        <w:t xml:space="preserve"> This paper presents the most common traditional dovetail joints used in furniture making in past centuries, which are among the almost forgotten skills, practiced today by only a relatively small number of restoration workshops. The paper deals with the basic joints used in the restoration of furniture and traditional woodworking (houses, churches, temples, etc.) for the purpose of protecting rich cultural heritage. The history of furniture making is also the history of the art of making joints. In restoration, knowledge of these joints facilitates and accelerates the dating of furniture pieces to be restored. For this reason, the aim of this paper is to present an overview of the use of dovetail joints. The decorative effect of these joints and their constructive ingenuity certainly deserve more attention and research. A historical review of the development of traditional dovetail corner joints demonstrates the importance of the skill of crafting joints that stand the test of time and survive to this day. With the development of art, the joints became more and more decorative, but also of higher quality to withstand the various stresses that occur when furniture is used. Practical examples of making traditional dovetail corner joints are used to show how important it is to preserve the craftsmanship of these traditional joints from being forgotten, which is necessary when rest</w:t>
      </w:r>
    </w:p>
    <w:p>
      <w:pPr/>
      <w:r>
        <w:rPr>
          <w:b/>
        </w:rPr>
        <w:t>POSSIBLE 2025:</w:t>
      </w:r>
      <w:r>
        <w:t xml:space="preserve"> Practical Application of Surface Complexation Models: Evolution, Approaches, and Examples — https://doi.org/10.2138/rmg.2025.91a.13</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2025:</w:t>
      </w:r>
      <w:r>
        <w:t xml:space="preserve"> EXAMPLES FROM THE QURAN AND HUMAN NATURE: PRACTICAL APPLICATION IN THE MODERN ERA — https://openalex.org/W7220088003</w:t>
      </w:r>
    </w:p>
    <w:p>
      <w:pPr/>
      <w:r>
        <w:rPr>
          <w:b/>
        </w:rPr>
        <w:t>Shared claim-specific concepts:</w:t>
      </w:r>
      <w:r>
        <w:t xml:space="preserve"> examples, practical, application, individual; EU scope not established. This is a provisional connection, not an outcome finding.</w:t>
      </w:r>
    </w:p>
    <w:p>
      <w:pPr>
        <w:pStyle w:val="SourceNote"/>
      </w:pPr>
      <w:r>
        <w:rPr>
          <w:b/>
        </w:rPr>
        <w:t>Available abstract (not full text):</w:t>
      </w:r>
      <w:r>
        <w:t xml:space="preserve"> The parables of the Quran, known as Amthal ul-Quran, are integral elements of divine wisdom, crafted to guide humanity toward spiritual enlightenment and moral rectitude. These parables employ vivid and relatable analogies to elucidate complex spiritual, ethical, and social truths, making them accessible to people of all intellectual capacities and cultural backgrounds. By bridging abstract ideas with tangible realities, they address universal human experiences and dilemmas, offering solutions rooted in timeless principles. This study delves into the profound relevance of Quranic parables in understanding human nature, reflecting on their alignment with contemporary societal challenges, such as rampant materialism, ethical deterioration, and spiritual crises. It examines how these narratives resonate with the human psyche, transcending historical and cultural barriers to provide enduring guidance. The analysis highlights their practical applications in promoting values such as justice, compassion, and self-awareness, which are essential for individual and collective well-being. Key recommendations include incorporating Quranic parables into educational curricula to enhance moral and ethical understanding among students, fostering their practical application through structured community training programs, and encouraging interdisciplinary research to explore their relevance in a</w:t>
      </w:r>
    </w:p>
    <w:p>
      <w:pPr/>
      <w:r>
        <w:rPr>
          <w:b/>
        </w:rPr>
        <w:t>POSSIBLE 2025:</w:t>
      </w:r>
      <w:r>
        <w:t xml:space="preserve"> A Practical Example of How to Apply Constructivist Grounded Theory Methodology: Exploring Patient Experiences During Paramedic Led Healthcare — https://doi.org/10.1002/nur.22468</w:t>
      </w:r>
    </w:p>
    <w:p>
      <w:pPr/>
      <w:r>
        <w:rPr>
          <w:b/>
        </w:rPr>
        <w:t>Shared claim-specific concepts:</w:t>
      </w:r>
      <w:r>
        <w:t xml:space="preserve"> practical, application, methodology, individual, knowledge; EU scope not established. This is a provisional connection, not an outcome finding.</w:t>
      </w:r>
    </w:p>
    <w:p>
      <w:pPr>
        <w:pStyle w:val="SourceNote"/>
      </w:pPr>
      <w:r>
        <w:rPr>
          <w:b/>
        </w:rPr>
        <w:t>Available abstract (not full text):</w:t>
      </w:r>
      <w:r>
        <w:t xml:space="preserve"> Application of qualitative enquiry is necessary to improve the understanding of patient experience during paramedic-led healthcare. Grounded Theory (GT) is acknowledged as a rigorous qualitative methodology useful for exploring social processes present during healthcare, particularly when little existing knowledge or theory exists. Despite wide use of GT in other health disciplines there are few studies that have used this methodology to guide research in paramedicine. This may be due to GT methods appearing complex and disorientating for both novice and experienced researchers. This methodological article provides a practical example of how Kathy Charmaz's "constructivist" approach to grounded theory (GTc) was applied during research that explored how patients experience paramedic-led healthcare during non-conveyance situations. It explains the fundamental tenets required of GTc research and describes how they were employed during the example research. The article aims to demystify the GTc process and improve the rigour of qualitative GTc research in paramedicine and health disciplines. How to apply Constructivist Grounded Theory methodology is described by providing a practical example of research into patient experience. This article informs researchers how to maintain trustworthiness and credibility when applying GTc methodology. This article describes research that explore</w:t>
      </w:r>
    </w:p>
    <w:p>
      <w:pPr/>
      <w:r>
        <w:rPr>
          <w:b/>
        </w:rPr>
        <w:t>POSSIBLE 2025:</w:t>
      </w:r>
      <w:r>
        <w:t xml:space="preserve"> Case Studies and Practical Examples — https://doi.org/10.1201/9781003587545-7</w:t>
      </w:r>
    </w:p>
    <w:p>
      <w:pPr/>
      <w:r>
        <w:rPr>
          <w:b/>
        </w:rPr>
        <w:t>Shared claim-specific concepts:</w:t>
      </w:r>
      <w:r>
        <w:t xml:space="preserve"> examples, practical, application, technologies, field; EU scope not established. This is a provisional connection, not an outcome finding.</w:t>
      </w:r>
    </w:p>
    <w:p>
      <w:pPr>
        <w:pStyle w:val="SourceNote"/>
      </w:pPr>
      <w:r>
        <w:rPr>
          <w:b/>
        </w:rPr>
        <w:t>Available abstract (not full text):</w:t>
      </w:r>
      <w:r>
        <w:t xml:space="preserve"> This chapter explores the practical applications of Brain-Computer Interface (BCI) technologies through detailed case studies that illustrate the challenges and innovations within this dynamic field. Each case study provides a comprehensive analysis of specific BCI projects, from their conception and methodological frameworks to the practical challenges they address and the solutions they employ. These real-world examples span various applications, including assistive technologies for individuals with disabilities, cognitive monitoring, and interaction enhancements through EEG signal processing and classification. The case studies highlight the use of advanced signal processing techniques, machine learning models, and adaptive algorithms that improve the accuracy, usability, and personalization of BCI systems. By examining these specific instances of BCI application, the chapter sheds light on the broader implications of BCI technologies, their potential for future development, and their impact on both clinical and everyday settings. This exploration not only demonstrates the current capabilities of BCIs but also paves the way for future innovations, underlining the importance of interdisciplinary collaboration and ethical considerations in advancing BCI technologies.</w:t>
      </w:r>
    </w:p>
    <w:p>
      <w:pPr/>
      <w:r>
        <w:rPr>
          <w:b/>
        </w:rPr>
        <w:t>POSSIBLE 2025:</w:t>
      </w:r>
      <w:r>
        <w:t xml:space="preserve"> 13 Practical Application of Surface Complexation Models: Evolution, Approaches, and Examples — https://doi.org/10.1515/9781501523762-013</w:t>
      </w:r>
    </w:p>
    <w:p>
      <w:pPr/>
      <w:r>
        <w:rPr>
          <w:b/>
        </w:rPr>
        <w:t>Shared claim-specific concepts:</w:t>
      </w:r>
      <w:r>
        <w:t xml:space="preserve"> examples, practical, application;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Design rules applied to silver nanoparticles synthesis: A practical example of machine learning application. — https://doi.org/10.1016/j.csbj.2024.02.010</w:t>
      </w:r>
    </w:p>
    <w:p>
      <w:pPr/>
      <w:r>
        <w:rPr>
          <w:b/>
        </w:rPr>
        <w:t>Shared claim-specific concepts:</w:t>
      </w:r>
      <w:r>
        <w:t xml:space="preserve"> practical, application, field; EU scope not established. This is a provisional connection, not an outcome finding.</w:t>
      </w:r>
    </w:p>
    <w:p>
      <w:pPr>
        <w:pStyle w:val="SourceNote"/>
      </w:pPr>
      <w:r>
        <w:rPr>
          <w:b/>
        </w:rPr>
        <w:t>Available abstract (not full text):</w:t>
      </w:r>
      <w:r>
        <w:t xml:space="preserve"> The synthesis of silver nanoparticles with controlled physicochemical properties is essential for governing their intended functionalities and safety profiles. However, synthesis process involves multiple parameters that could influence the resulting properties. This challenge could be addressed with the development of predictive models that forecast endpoints based on key synthesis parameters. In this study, we manually extracted synthesis-related data from the literature and leveraged various machine learning algorithms. Data extraction included parameters such as reactant concentrations, experimental conditions, as well as physicochemical properties. The antibacterial efficiencies and toxicological profiles of the synthesized nanoparticles were also extracted. In a second step, based on data completeness, we employed regression algorithms to establish relationships between synthesis parameters and desired endpoints and to build predictive models. The models for core size and antibacterial efficiency were trained and validated using a cross-validation approach. Finally, the features' impact was evaluated via Shapley values to provide insights into the contribution of features to the predictions. Factors such as synthesis duration, scale of synthesis and the choice of capping agents emerged as the most significant predictors. This study demonstrated the potential of machine le</w:t>
      </w:r>
    </w:p>
    <w:p>
      <w:pPr>
        <w:pStyle w:val="Heading2"/>
      </w:pPr>
      <w:r>
        <w:t>755. Future Scenarios of European Forests</w:t>
      </w:r>
    </w:p>
    <w:p>
      <w:pPr>
        <w:pStyle w:val="SourceNote"/>
      </w:pPr>
      <w:r>
        <w:rPr>
          <w:b/>
        </w:rPr>
        <w:t>Original source (2018):</w:t>
      </w:r>
      <w:r>
        <w:t xml:space="preserve"> https://doi.org/10.2478/jlecol-2018-0020</w:t>
      </w:r>
    </w:p>
    <w:p>
      <w:pPr/>
      <w:r>
        <w:t>Original wording (abstract; indexed_source_text_not_full_document_verified): Scenarios based on contrasting storylines can be used as a tool to explore the different ways in which the future may develop and their impacts on the sustainability of European forestry. Here we discuss characteristics of scenario studies forest large scale forest resources in general and focus on a few recent trends and their long term impact on European forests, as e.g. nature oriented management, carbon credits, and extra demand for bioenergy.</w:t>
      </w:r>
    </w:p>
    <w:p>
      <w:pPr/>
      <w:r>
        <w:rPr>
          <w:b/>
        </w:rPr>
        <w:t>POSSIBLE 2026:</w:t>
      </w:r>
      <w:r>
        <w:t xml:space="preserve"> Contrasting mechanisms driving the northward expansion of African raptors in Europe — https://doi.org/10.1111/jzo.70124</w:t>
      </w:r>
    </w:p>
    <w:p>
      <w:pPr/>
      <w:r>
        <w:rPr>
          <w:b/>
        </w:rPr>
        <w:t>Shared claim-specific concepts:</w:t>
      </w:r>
      <w:r>
        <w:t xml:space="preserve"> abstract, based, contrasting, explore, different, few; EU scope visible. This is a provisional connection, not an outcome finding.</w:t>
      </w:r>
    </w:p>
    <w:p>
      <w:pPr>
        <w:pStyle w:val="SourceNote"/>
      </w:pPr>
      <w:r>
        <w:rPr>
          <w:b/>
        </w:rPr>
        <w:t>Available abstract (not full text):</w:t>
      </w:r>
      <w:r>
        <w:t xml:space="preserve"> Abstract The contrasting mechanisms driving the northward expansion of African raptors into Europe provide a unique opportunity to understand how these species overcome substantial geographical barriers and a major biogeographic boundary. To explore these mechanisms, we analysed three species currently expanding across the Afro‐Palaearctic system: the Atlas Long‐legged Buzzard ( Buteo rufinus cirtensis ), Rüppell's Vulture ( Gyps rueppelli ), and White‐backed Vulture ( Gyps africanus ). Using species distribution models based on topo‐climatic predictors, we estimated environmental favourability for breeding across 6203 operational geographic units and compared outputs with breeding records, recent sightings, ecological traits, and evidence of interspecific interactions. Our results reveal contrasting colonization pathways. The Atlas Long‐legged Buzzard shows broad climatic favourability across North Africa and parts of southern Europe, indicating a climate‐driven range expansion facilitated by increasingly favourable environmental conditions. By contrast, African vultures exhibit negligible climatic favourability in Europe, despite multiple field observations, including hybrid breeding attempts with Griffon Vultures ( Gyps fulvus ) in the case of Rüppell's Vultures, while observations of immature White‐backed Vultures remain few and anecdotal per se, yet they have been recorded</w:t>
      </w:r>
    </w:p>
    <w:p>
      <w:pPr/>
      <w:r>
        <w:rPr>
          <w:b/>
        </w:rPr>
        <w:t>POSSIBLE 2026:</w:t>
      </w:r>
      <w:r>
        <w:t xml:space="preserve"> Heatwaves in a 15 °C World: Exploring remote drivers’ influence on Northern Italy with a storyline-based approach — https://doi.org/10.1016/j.wace.2026.100949</w:t>
      </w:r>
    </w:p>
    <w:p>
      <w:pPr/>
      <w:r>
        <w:rPr>
          <w:b/>
        </w:rPr>
        <w:t>Shared claim-specific concepts:</w:t>
      </w:r>
      <w:r>
        <w:t xml:space="preserve"> storylines, used, different, here; EU scope visible. This is a provisional connection, not an outcome finding.</w:t>
      </w:r>
    </w:p>
    <w:p>
      <w:pPr>
        <w:pStyle w:val="SourceNote"/>
      </w:pPr>
      <w:r>
        <w:rPr>
          <w:b/>
        </w:rPr>
        <w:t>Available abstract (not full text):</w:t>
      </w:r>
      <w:r>
        <w:t xml:space="preserve"> Heatwaves (HW) heavily affect several sectors of the economy and society in the European and Mediterranean regions, and particularly in the Po Valley area. Their frequency and intensity are projected to increase, and a thorough understanding of how this occurs in relation to rising global temperatures and to the projected changes in other weather and climate variables is fundamental for developing effective adaptation plans. In this study, developed within the Climate Intelligence (CLINT) project, we propose an application of the storylines technique, empowered by the definition of shared global thermodynamical conditions across the simulations (Common Temperature States, CTS) and by the implementation of an ML-based driver-oriented validation for the used CMIP6 models. This allows us to produce a set of physically sound storylines, where the increase of heatwave-related indices is inspected under specific conditions in the evolution of other drivers, researching proximate drivers and teleconnections. Our results highlight relevant contributions coming from precipitation depletion over three different Euro-Mediterranean domains (Northern Africa, Western and Eastern Europe), which is associated with enhanced sensible heat fluxes and co-occurs with the largest increases in the HW Magnitude Index and the number of HW days. Furthermore, the increase of these indices is found to be </w:t>
      </w:r>
    </w:p>
    <w:p>
      <w:pPr/>
      <w:r>
        <w:rPr>
          <w:b/>
        </w:rPr>
        <w:t>POSSIBLE 2026:</w:t>
      </w:r>
      <w:r>
        <w:t xml:space="preserve"> Worst-case European heat storylines generated using ensemble boosting — https://doi.org/10.1038/s43247-026-03699-2</w:t>
      </w:r>
    </w:p>
    <w:p>
      <w:pPr/>
      <w:r>
        <w:rPr>
          <w:b/>
        </w:rPr>
        <w:t>Shared claim-specific concepts:</w:t>
      </w:r>
      <w:r>
        <w:t xml:space="preserve"> storylines, impacts, large, scale; EU scope visible. This is a provisional connection, not an outcome finding.</w:t>
      </w:r>
    </w:p>
    <w:p>
      <w:pPr>
        <w:pStyle w:val="SourceNote"/>
      </w:pPr>
      <w:r>
        <w:rPr>
          <w:b/>
        </w:rPr>
        <w:t>Available abstract (not full text):</w:t>
      </w:r>
      <w:r>
        <w:t xml:space="preserve"> Abstract Extreme heat poses escalating socio-economic and ecological risks, yet the most severe high-impact heat extremes that would be possible today remain poorly understood. Using thousands of ensemble-boosting storylines, all plausible under current-climate conditions at least within the model world, we reveal the risk of far more intense and unprecedented heatwaves, which surpass historical extremes in both intensity and particularly in persistence by large margins, and greatly exceed levels considered extreme in a 3 °C warmer world. The most extreme heatwaves are preceded by severe soil moisture depletion, both locally and upstream of the region of extreme heat, as well as by strong ocean temperature gradients, with extremely warm anomalies in the nearby basins and cold anomalies in the subpolar North Atlantic region. Furthermore, our storyline simulations reveal an additional risk: worst-case heatwaves occur predominantly after another extreme heatwave. This highlights the potential for aggravated impacts due to decreased recovery times and intensified heat stress on humans, ecosystems and infrastructure made more vulnerable by the first event. Given the scale, intensity, and unprecedented successive and compounding nature of these worst-case heat storylines, we underscore the urgent need for well-informed adaptation strategies that sufficiently reflect these risks.</w:t>
      </w:r>
    </w:p>
    <w:p>
      <w:pPr/>
      <w:r>
        <w:rPr>
          <w:b/>
        </w:rPr>
        <w:t>POSSIBLE 2026:</w:t>
      </w:r>
      <w:r>
        <w:t xml:space="preserve"> Determinants of vaccine hesitancy and interventions aimed at contrasting this issue in Europe: an overview of systematic reviews. — https://doi.org/10.4415/ann_26_01_10</w:t>
      </w:r>
    </w:p>
    <w:p>
      <w:pPr/>
      <w:r>
        <w:rPr>
          <w:b/>
        </w:rPr>
        <w:t>Shared claim-specific concepts:</w:t>
      </w:r>
      <w:r>
        <w:t xml:space="preserve"> contrasting, general, recent; EU scope visible. This is a provisional connection, not an outcome finding.</w:t>
      </w:r>
    </w:p>
    <w:p>
      <w:pPr>
        <w:pStyle w:val="SourceNote"/>
      </w:pPr>
      <w:r>
        <w:rPr>
          <w:b/>
        </w:rPr>
        <w:t>Available abstract (not full text):</w:t>
      </w:r>
      <w:r>
        <w:t xml:space="preserve"> INTRODUCTION: Vaccine hesitancy remains a major public health challenge in Europe, with declining confidence in vaccine safety and efficacy despite high overall acceptance. Evidence on its determinants and effective interventions is fragmented, underscoring the need for a comprehensive synthesis. This overview of systematic reviews aimed to describe the most recent determinants of vaccine acceptance, barriers to vaccination, and effective interventions to reduce hesitancy or increase uptake in Europe. METHODS: The search was conducted in PubMed, Embase, Epistemonikos. Reviews were eligible if they included European data. RESULTS: Of 3,363 papers, 88 reviews were included, classified into children, adolescents, and parents (n=29); pregnant women (n=11); healthcare workers (HCWs) (n=12); and the general population (n=36) reviews. Determinants of vaccine acceptance included high education, socioeconomic status, gender, trust in government/health authorities, and HCW recommendations, with associations that varied across populations, vaccines, and contexts. Emerging determinants such as health engagement and social media were reported. Main barriers included fear of side effects, safety concerns, preference for natural immunity, and logistical challenges. Interventions included educational campaigns, reminders, organizational changes, school-based programs, and digital tools. Active</w:t>
      </w:r>
    </w:p>
    <w:p>
      <w:pPr/>
      <w:r>
        <w:rPr>
          <w:b/>
        </w:rPr>
        <w:t>POSSIBLE 2025:</w:t>
      </w:r>
      <w:r>
        <w:t xml:space="preserve"> A value-based tradeoff to explore AI Tools in the Twin Transition : The case of the Horizon Europe DaCapo project — https://openalex.org/W7131918820</w:t>
      </w:r>
    </w:p>
    <w:p>
      <w:pPr/>
      <w:r>
        <w:rPr>
          <w:b/>
        </w:rPr>
        <w:t>Shared claim-specific concepts:</w:t>
      </w:r>
      <w:r>
        <w:t xml:space="preserve"> tool, explore, ways, develop, sustainability, recent; EU scope visible. This is a provisional connection, not an outcome finding.</w:t>
      </w:r>
    </w:p>
    <w:p>
      <w:pPr>
        <w:pStyle w:val="SourceNote"/>
      </w:pPr>
      <w:r>
        <w:rPr>
          <w:b/>
        </w:rPr>
        <w:t>Available abstract (not full text):</w:t>
      </w:r>
      <w:r>
        <w:t xml:space="preserve"> “While AI could change the world in many unforeseen ways, it’s already having one massive impact: a voracious consumption of energy.” Times Magazine, 2024. (1)Popular AI tools such as ChatGPT, Copilot, and Claude are promising to address sustainability challenges and support Europe’s Twin Transition (i.e. the transition to more digitalization and sustainability at the same time). With the leap in innovation and productivity these tools afford, a topic that is currently receiving increasing attention is the short term impact these tools may have in terms of sustainability (Khowaja et al., 2024; De Vries, 2023). Their innovation &amp; productivity gains versus their requirements in terms of energy and water seem to present a paradox that requires attention: using these tools may help us up the Twin Transition in the long run, but at the same time may harm that very same transition in the short term. At TNO our vision is that “Our economy needs to foster innovation and competitiveness, while embracing sustainability, including circular practices.”(2) In a recent Horizon Europe Project we encountered this seeming contradiction when developing a Digital Circularity Consultant with Popular AI Tools. In this article we reflect on our experiences on how to cope with these developments and provide initial considerations and suggestions on how to navigate this trade off. As new tools and use</w:t>
      </w:r>
    </w:p>
    <w:p>
      <w:pPr/>
      <w:r>
        <w:rPr>
          <w:b/>
        </w:rPr>
        <w:t>POSSIBLE 2024:</w:t>
      </w:r>
      <w:r>
        <w:t xml:space="preserve"> A Climatology of Convective Precipitation over Europe — https://doi.org/10.1175/mwr-d-23-0156.1</w:t>
      </w:r>
    </w:p>
    <w:p>
      <w:pPr/>
      <w:r>
        <w:rPr>
          <w:b/>
        </w:rPr>
        <w:t>Shared claim-specific concepts:</w:t>
      </w:r>
      <w:r>
        <w:t xml:space="preserve"> abstract, used, large; EU scope visible. This is a provisional connection, not an outcome finding.</w:t>
      </w:r>
    </w:p>
    <w:p>
      <w:pPr>
        <w:pStyle w:val="SourceNote"/>
      </w:pPr>
      <w:r>
        <w:rPr>
          <w:b/>
        </w:rPr>
        <w:t>Available abstract (not full text):</w:t>
      </w:r>
      <w:r>
        <w:t xml:space="preserve"> Abstract The annual, seasonal, and diurnal spatiotemporal heavy convective precipitation patterns over a pan-European domain are analyzed in this study using a combination of datasets, including the Integrated Multi-satellitE Retrievals for Global Precipitation Measurement (GPM) (IMERG) precipitation rate product, E-OBS ground-based precipitation gauge data, European climatological gauge-adjusted radar precipitation dataset (EURADCLIM), Operational Programme for the Exchange of Weather Radar Information (OPERA) ground-based radar-derived precipitation rates, and fifth major global reanalysis produced by ECMWF (ERA5) total and convective precipitation products. Arrival Time Difference Network (ATDnet) lightning data are used in conjunction with IMERG and EURADCLIM precipitation rates, with an imposed threshold of 10 mm h−1 to classify precipitation as convective. Annually, the largest convective precipitation accumulations are over the European seas and coastlines. In summer, convective precipitation is more common over the European continent, though relatively large accumulations exist over the northern coastal waters and the southern seas, with a seasonal localized maximum over the northern Adriatic Sea. Activity shifts southward to the Mediterranean and its coastlines in autumn and winter, with maxima over the Ionian Sea, the eastern Adriatic Sea, and the adjacent coastline. </w:t>
      </w:r>
    </w:p>
    <w:p>
      <w:pPr/>
      <w:r>
        <w:rPr>
          <w:b/>
        </w:rPr>
        <w:t>POSSIBLE 2024:</w:t>
      </w:r>
      <w:r>
        <w:t xml:space="preserve"> Use of synanthropic roosts by bats in Europe and North America — https://doi.org/10.1111/mam.12380</w:t>
      </w:r>
    </w:p>
    <w:p>
      <w:pPr/>
      <w:r>
        <w:rPr>
          <w:b/>
        </w:rPr>
        <w:t>Shared claim-specific concepts:</w:t>
      </w:r>
      <w:r>
        <w:t xml:space="preserve"> abstract, based, contrasting, used, ways; EU scope visible. This is a provisional connection, not an outcome finding.</w:t>
      </w:r>
    </w:p>
    <w:p>
      <w:pPr>
        <w:pStyle w:val="SourceNote"/>
      </w:pPr>
      <w:r>
        <w:rPr>
          <w:b/>
        </w:rPr>
        <w:t>Available abstract (not full text):</w:t>
      </w:r>
      <w:r>
        <w:t xml:space="preserve"> ABSTRACT Diurnal roosts are vital to bats and growing evidence suggests that bats increasingly exploit synanthropic structures, such as buildings. The use of synanthropic roosts (SRs) has been explained as a consequence of the decreased availability of natural roosts imposed by habitat destruction, although growing evidence suggests that the use of SRs may be beneficial to bats in many ways, including enabling the expansion of distributional ranges. Based on data from Europe and North America, our study aimed to (1) analyse the proportion of use of synanthropic vs. natural roosts, (2) test the hypothesis that bats are forced to use SRs in response to the destruction of natural habitats, (3) analyse latitudinal variation of the proportion of use of SRs and (4) address the highly contrasting pattern in the proportion of use of SRs between the two continents in the light of historical aspects of coexistence between bats and humans. We compiled published data on day roosts obtained by means of radio‐telemetry, providing unbiased evidence of the proportion of synanthropic and natural roosts. We compared the obtained patterns between the two continents, analysed the relationship between the proportion of use of SRs, land cover and latitude and analysed historical reconstruction of anthropogenic land use. In Europe (n = 3385 roosts), SRs were used by twice more (26) bat species and we</w:t>
      </w:r>
    </w:p>
    <w:p>
      <w:pPr/>
      <w:r>
        <w:rPr>
          <w:b/>
        </w:rPr>
        <w:t>POSSIBLE 2024:</w:t>
      </w:r>
      <w:r>
        <w:t xml:space="preserve"> Event-dependent changes of recent European droughts in a warming climate using event-based storyline simulations. — https://doi.org/10.5194/ems2024-902</w:t>
      </w:r>
    </w:p>
    <w:p>
      <w:pPr/>
      <w:r>
        <w:rPr>
          <w:b/>
        </w:rPr>
        <w:t>Shared claim-specific concepts:</w:t>
      </w:r>
      <w:r>
        <w:t xml:space="preserve"> explore, different, resources, recent; EU scope visible. This is a provisional connection, not an outcome finding.</w:t>
      </w:r>
    </w:p>
    <w:p>
      <w:pPr>
        <w:pStyle w:val="SourceNote"/>
      </w:pPr>
      <w:r>
        <w:rPr>
          <w:b/>
        </w:rPr>
        <w:t>Available abstract (not full text):</w:t>
      </w:r>
      <w:r>
        <w:t xml:space="preserve"> Climate change is increasing the intensity, frequency, and persistence of droughts, as observed by the recent record-breaking events in Europe. Two factors contribute to this intensification: dynamic changes —changes in the likelihood of weather patterns— and thermodynamic changes. While the former are uncertain in future climate projections, the latter are characterized by a high signal-to-noise ratio, as there is a robust and ubiquitous rise in land-surface temperatures.To better analyze the contributions of these factors, we utilize the so-called "event-based storyline approach". This involves nudging our global CMIP6 coupled climate model (AWI-CM1) towards the observed (according to ERA5) large-scale free-troposphere winds using various climate background conditions and initial states. In contrast, the model reproduces the circulation in the atmospheric boundary layer and the rest of the variables. This enables us to simulate the same weather conditions (including jet streams, ridges and blockings) in different climates: preindustrial, present, and 2 °C, 3 °C, and 4 ºC warmer worlds. This method creates an efficient way of showing experts and non-experts the consequences of climate change by describing the storyline of specific extreme events in different plausible climates using moderate computational resources.Focusing on Europe, our simulations successfully replicate rec</w:t>
      </w:r>
    </w:p>
    <w:p>
      <w:pPr/>
      <w:r>
        <w:rPr>
          <w:b/>
        </w:rPr>
        <w:t>POSSIBLE 2024:</w:t>
      </w:r>
      <w:r>
        <w:t xml:space="preserve"> Modulation of Northern Europe near-term anthropogenic warming and wettening assessed through internal variability storylines — https://doi.org/10.1038/s41612-024-00759-2</w:t>
      </w:r>
    </w:p>
    <w:p>
      <w:pPr/>
      <w:r>
        <w:rPr>
          <w:b/>
        </w:rPr>
        <w:t>Shared claim-specific concepts:</w:t>
      </w:r>
      <w:r>
        <w:t xml:space="preserve"> based, storylines, explore, here, large, focus; EU scope visible. This is a provisional connection, not an outcome finding.</w:t>
      </w:r>
    </w:p>
    <w:p>
      <w:pPr>
        <w:pStyle w:val="SourceNote"/>
      </w:pPr>
      <w:r>
        <w:rPr>
          <w:b/>
        </w:rPr>
        <w:t>Available abstract (not full text):</w:t>
      </w:r>
      <w:r>
        <w:t xml:space="preserve"> Internal variability arising from the inherently chaotic nature of the climate system has amplified or obscured human-caused changes, especially at regional scales in the extratropics, where its contribution to climate variability is the largest. It is virtually certain that this will continue in the near-term. We here focus on the Northern Europe region, whose variability is largely controlled by the North Atlantic Oscillation (NAO) and the Atlantic Meridional Overturning Circulation (AMOC) through remote dynamical and thermodynamic processes, and introduce the concept of internal variability storylines (IVS) to explore, understand, and quantify the role of the two combined drivers of internal variability in the modulation of the anthropogenic warming by 2040 in winter. Based on a large ensemble of historical-scenario simulations, we show that the high-impact IVS, characterised by weak AMOC decline and a decadal shift of the NAO toward dominant positive phase, leads faster to warmer-wetter conditions independently of actual and future greenhouse gases emissions. By contrast, amplified AMOC reduction and more recurrent negative NAO can considerably damp both warming and wettening at near-term. In the latter IVS, we provide evidence that winter-severe conditions similar to those in 2010, that had been responsible for widespread socio-economic disruptions, remain almost as likely</w:t>
      </w:r>
    </w:p>
    <w:p>
      <w:pPr/>
      <w:r>
        <w:rPr>
          <w:b/>
        </w:rPr>
        <w:t>POSSIBLE 2024:</w:t>
      </w:r>
      <w:r>
        <w:t xml:space="preserve"> Reconciling risk-based and storyline attribution with Bayes theorem — https://doi.org/10.48550/arxiv.2407.10776</w:t>
      </w:r>
    </w:p>
    <w:p>
      <w:pPr/>
      <w:r>
        <w:rPr>
          <w:b/>
        </w:rPr>
        <w:t>Shared claim-specific concepts:</w:t>
      </w:r>
      <w:r>
        <w:t xml:space="preserve"> based, explore; EU scope visible. This is a provisional connection, not an outcome finding.</w:t>
      </w:r>
    </w:p>
    <w:p>
      <w:pPr>
        <w:pStyle w:val="SourceNote"/>
      </w:pPr>
      <w:r>
        <w:rPr>
          <w:b/>
        </w:rPr>
        <w:t>Available abstract (not full text):</w:t>
      </w:r>
      <w:r>
        <w:t xml:space="preserve"> The question to what extent climate change is responsible for extreme weather events has been at the forefront of public and scholarly discussion for years. Proponents of the "risk-based" approach to attribution attempt to give an unconditional answer based on the probability of some class of events in a world with and without human influences. As an alternative, so-called "storyline" studies investigate the impact of a warmer world on a single, specific weather event. This can be seen as a conditional attribution statement. In this study, we connect conditional to unconditional attribution using Bayes theorem: in essence, the conditional statement is composed of two unconditional statements, one based on all available data (event and conditions) and one based on the conditions alone. We explore the effects of the conditioning in a simple statistical toy model and a real-world attribution of European summer temperatures conditional on blocking. The resulting attribution statement is generally strengthened if the conditions are not affected by climate change. Conversely, if part of the trend is contained in the conditions, a weaker attribution statement may result.</w:t>
      </w:r>
    </w:p>
    <w:p>
      <w:pPr/>
      <w:r>
        <w:rPr>
          <w:b/>
        </w:rPr>
        <w:t>POSSIBLE 2024:</w:t>
      </w:r>
      <w:r>
        <w:t xml:space="preserve"> National storylines and topoi found in the focus group discussions — https://doi.org/10.4324/9781032690902-14</w:t>
      </w:r>
    </w:p>
    <w:p>
      <w:pPr/>
      <w:r>
        <w:rPr>
          <w:b/>
        </w:rPr>
        <w:t>Shared claim-specific concepts:</w:t>
      </w:r>
      <w:r>
        <w:t xml:space="preserve"> storylines, used, focus; EU scope visible. This is a provisional connection, not an outcome finding.</w:t>
      </w:r>
    </w:p>
    <w:p>
      <w:pPr>
        <w:pStyle w:val="SourceNote"/>
      </w:pPr>
      <w:r>
        <w:rPr>
          <w:b/>
        </w:rPr>
        <w:t>Available abstract (not full text):</w:t>
      </w:r>
      <w:r>
        <w:t xml:space="preserve"> This chapter presents the results of a qualitative and interpretive analysis of narrative elements in the focus group discussions. First, it showcases the reconstruction of two distinct country-specific storylines of European integration: a “fado story” about missed opportunities found in Portugal and a “pride and prejudice” story of national achievements found in Finland. Next, the chapter presents a selection of key topoi (or commonplaces), detected across the focus group discussions in the nine selected countries. Such topoi (e.g. “solidarity should not be a one-way street”) were used by participants as commonly understood argumentative shortcuts when reasoning about solidarity in communicative interactions with others.</w:t>
      </w:r>
    </w:p>
    <w:p>
      <w:pPr/>
      <w:r>
        <w:rPr>
          <w:b/>
        </w:rPr>
        <w:t>POSSIBLE 2023:</w:t>
      </w:r>
      <w:r>
        <w:t xml:space="preserve"> Performance-based sub-selection of CMIP6 models for impact assessments in Europe — https://doi.org/10.5194/esd-14-457-2023</w:t>
      </w:r>
    </w:p>
    <w:p>
      <w:pPr/>
      <w:r>
        <w:rPr>
          <w:b/>
        </w:rPr>
        <w:t>Shared claim-specific concepts:</w:t>
      </w:r>
      <w:r>
        <w:t xml:space="preserve"> abstract, based, used, trends; EU scope visible. This is a provisional connection, not an outcome finding.</w:t>
      </w:r>
    </w:p>
    <w:p>
      <w:pPr>
        <w:pStyle w:val="SourceNote"/>
      </w:pPr>
      <w:r>
        <w:rPr>
          <w:b/>
        </w:rPr>
        <w:t>Available abstract (not full text):</w:t>
      </w:r>
      <w:r>
        <w:t xml:space="preserve"> Abstract. We have created a performance-based assessment of CMIP6 models for Europe that can be used to inform the sub-selection of models for this region. Our assessment covers criteria indicative of the ability of individual models to capture a range of large-scale processes that are important for the representation of present-day European climate. We use this study to provide examples of how this performance-based assessment may be applied to multi-model ensemble of CMIP6 models to a) filter the ensemble for performance against these climatological/ processed-based criteria and, b) create a smaller sub-set of models based on performance, that also maintains model diversity and the filtered projection range as far as possible. Filtering by excluding the least realistic models leads to higher sensitivity models remaining in the ensemble as an emergent consequence of the assessment. This results in both the 25th percentile and the median of the projected temperature range being shifted toward greater warming for the filtered set of models. We also weight the unfiltered ensemble against global trends. In contrast this shifts both the distribution of towards less warming. This highlights a tension for regional model selection in terms of selection based on regional climate processes versus the global mean warming trend.</w:t>
      </w:r>
    </w:p>
    <w:p>
      <w:pPr>
        <w:pStyle w:val="Heading2"/>
      </w:pPr>
      <w:r>
        <w:t>756. Future Trajectories of Renewable Energy Consumption in the European Union</w:t>
      </w:r>
    </w:p>
    <w:p>
      <w:pPr>
        <w:pStyle w:val="SourceNote"/>
      </w:pPr>
      <w:r>
        <w:rPr>
          <w:b/>
        </w:rPr>
        <w:t>Original source (2018):</w:t>
      </w:r>
      <w:r>
        <w:t xml:space="preserve"> https://doi.org/10.3390/resources7010010</w:t>
      </w:r>
    </w:p>
    <w:p>
      <w:pPr/>
      <w:r>
        <w:t>Original wording (abstract; indexed_source_text_not_full_document_verified): Starting from historical data reported in the Eurostat database and through a mathematical model, this work proposes future trajectories towards 2020 of the share of energy from renewables (REs) in terms of gross final energy consumption (GFEC). The share of REs in GFEC in EU 28 varies from 19.4% to 21.8% in future trajectories towards 2020.</w:t>
      </w:r>
    </w:p>
    <w:p>
      <w:pPr/>
      <w:r>
        <w:rPr>
          <w:b/>
        </w:rPr>
        <w:t>POSSIBLE 2026:</w:t>
      </w:r>
      <w:r>
        <w:t xml:space="preserve"> Bayesian Indirect Estimation of Historical Fertility in Europe and US Using Online Genealogical Data — https://doi.org/10.1177/00491241261463559</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A growing number of social scientists use online genealogical data as an alternative digital census of historical populations to study past demographic dynamics. However, the non-representativeness of this data source requires the development of bias-adjusting methods to obtain accurate demographic estimates. We address this challenge by proposing an indirect estimation framework to investigate fertility trends in seven European countries and the United States of America for the historical period 1751-1910, integrating data from the big genealogical database FamiLinx with more conventional data sources. The proposed methods allow for the indirect estimation of the total fertility rate using the number of women aged 15-49 and children under age 5, while accounting for child mortality, age-specific fertility patterns, and biases. Our methodological approaches demonstrate that, when combined with reliable demographic data, online genealogical data can be fruitfully used to examine fertility patterns in countries and periods lacking well-functioning national civil registration systems.</w:t>
      </w:r>
    </w:p>
    <w:p>
      <w:pPr/>
      <w:r>
        <w:rPr>
          <w:b/>
        </w:rPr>
        <w:t>POSSIBLE 2026:</w:t>
      </w:r>
      <w:r>
        <w:t xml:space="preserve"> European runoff drought event types: From historical classification to projected future changes — https://doi.org/10.5194/egusphere-2026-973</w:t>
      </w:r>
    </w:p>
    <w:p>
      <w:pPr/>
      <w:r>
        <w:rPr>
          <w:b/>
        </w:rPr>
        <w:t>Shared claim-specific concepts:</w:t>
      </w:r>
      <w:r>
        <w:t xml:space="preserve"> historical, data; EU scope visible. This is a provisional connection, not an outcome finding.</w:t>
      </w:r>
    </w:p>
    <w:p>
      <w:pPr>
        <w:pStyle w:val="SourceNote"/>
      </w:pPr>
      <w:r>
        <w:rPr>
          <w:b/>
        </w:rPr>
        <w:t>Available abstract (not full text):</w:t>
      </w:r>
      <w:r>
        <w:t xml:space="preserve"> Abstract. European drought events have intensified in recent decades, raising concerns about water resources, agriculture, and ecosystem health. Most existing continental-scale drought assessments provide limited attribution of drought changes to the processes that generate runoff drought, which constrains understanding of how these processes will evolve in a warming climate. In this study, we provide the first continental-scale assessment of future changes in runoff drought generation processes across Europe, focusing on rainfall deficit, rain-to-snow and wet-to-dry season transitions, and snow-related processes. We used a continental-scale hydrological model in combination with observed meteorological data and climate simulations (GCMs) under a middle-of-the-road emission scenario (i.e., RCP4.5, ≈2 °C global warming by 2100). Unlike widely used aggregated drought index-based studies, our mechanism-specific classification approach distinguishes the physical drivers of drought events by classifying runoff droughts into seven event types based on their severity, duration, and frequency and leverages spatial clustering analysis (Getis–Ord G∗i method) to assess the climate responses. Our analysis reveals considerable regional differences in drought mechanisms and their responses. Historical observations (1971–2000) highlight that Mediterranean Europe experiences the most severe dr</w:t>
      </w:r>
    </w:p>
    <w:p>
      <w:pPr/>
      <w:r>
        <w:rPr>
          <w:b/>
        </w:rPr>
        <w:t>POSSIBLE 2025:</w:t>
      </w:r>
      <w:r>
        <w:t xml:space="preserve"> Claims inflation estimation: a practical guide for historical data — https://doi.org/10.1017/s1357321725100275</w:t>
      </w:r>
    </w:p>
    <w:p>
      <w:pPr/>
      <w:r>
        <w:rPr>
          <w:b/>
        </w:rPr>
        <w:t>Shared claim-specific concepts:</w:t>
      </w:r>
      <w:r>
        <w:t xml:space="preserve"> historical, data, work; EU scope visible. This is a provisional connection, not an outcome finding.</w:t>
      </w:r>
    </w:p>
    <w:p>
      <w:pPr>
        <w:pStyle w:val="SourceNote"/>
      </w:pPr>
      <w:r>
        <w:rPr>
          <w:b/>
        </w:rPr>
        <w:t>Available abstract (not full text):</w:t>
      </w:r>
      <w:r>
        <w:t xml:space="preserve"> Impetus and MotivationClaims inflation is one of the key assumptions used by non-life actuaries.It is relevant to virtually every aspect of their work, whether reserving, pricing, planning or capital modelling.In some instances, an appreciation of past inflation is needed, whereas in other cases, it is the estimation of future inflation rates that is key.Unfortunately, claims inflation is notoriously difficult to measure with any degree of certainty (Sheaf et al., 2005) Over the past three decades, central banks in Western economies have sought to maintain a low and stable level of inflation, as measured by relevant price indices.By and large, this aspiration was successful until the year following the outbreak of the COVID-19 pandemic in 2020.From roughly the second half of 2021, price inflation in Europe, the US, the UK and most other nations exhibited a sharp increase.Although price inflation reached its peak in 2022 (and has since reduced significantly), it remains highly elevated in many economies, vis à vis their central bank targets; as of the time of writing this paper (Q1 2024).With certain exceptions (e.g.general or punitive damages), the aim of a general insurance claim is to rectify a financial loss.As such, general economic or price inflation can be expected to have a significant impact on the level of claim pay outs.This impact, however, can vary markedly between </w:t>
      </w:r>
    </w:p>
    <w:p>
      <w:pPr/>
      <w:r>
        <w:rPr>
          <w:b/>
        </w:rPr>
        <w:t>POSSIBLE 2025:</w:t>
      </w:r>
      <w:r>
        <w:t xml:space="preserve"> Survey of historical databases with longitudinal micro-data: The second questionnaire — https://doi.org/10.34894/wucato</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In 2015, the HSNDB sent out surveys to multiple data centers to document their databases on historical persons. The surveys were an upgrade and extension of an earlier effort in 2009, available at https://hdl.handle.net/10622/VUJHAG. The goal was to start a European Historical Population Samples Network (EHPS-Net). EHPS-Net ran from 2011 to 2019 and brought together scholars to create a common format for databases containing non-aggregated information on persons, families and households. The results from the 2015 survey were shown on the EHPS-Net website, which was archived in December 2024. This database contains the original questionnaires, as well as screenshots from the EHPS-Net website to get an impression of the intended functionality.</w:t>
      </w:r>
    </w:p>
    <w:p>
      <w:pPr/>
      <w:r>
        <w:rPr>
          <w:b/>
        </w:rPr>
        <w:t>POSSIBLE 2024:</w:t>
      </w:r>
      <w:r>
        <w:t xml:space="preserve"> HANZE v2.1: an improved database of flood impacts in Europe from 1870 to 2020 — https://doi.org/10.5194/essd-16-5145-2024</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Abstract. Assessing long-term trends in flood losses and attributing them to climatic and socio-economic changes requires comprehensive and systematic collection of historical information. Here, we present flood impact data for Europe that is part of the HANZE (Historical Analysis of Natural HaZards) database. The dataset covers riverine, pluvial, coastal and compound floods that have occurred in 42 European countries between 1870 and 2020. The data was obtained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the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(https://dx.doi.org/10.5281/zeno</w:t>
      </w:r>
    </w:p>
    <w:p>
      <w:pPr/>
      <w:r>
        <w:rPr>
          <w:b/>
        </w:rPr>
        <w:t>POSSIBLE 2024:</w:t>
      </w:r>
      <w:r>
        <w:t xml:space="preserve"> The Afro-European Energy Diplomacy, a Historical Reconstruction from 1973 to 2007 — https://doi.org/10.59569/jceeas.2023.3.1.137</w:t>
      </w:r>
    </w:p>
    <w:p>
      <w:pPr/>
      <w:r>
        <w:rPr>
          <w:b/>
        </w:rPr>
        <w:t>Shared claim-specific concepts:</w:t>
      </w:r>
      <w:r>
        <w:t xml:space="preserve"> historical, data, energy, terms; EU scope visible. This is a provisional connection, not an outcome finding.</w:t>
      </w:r>
    </w:p>
    <w:p>
      <w:pPr>
        <w:pStyle w:val="SourceNote"/>
      </w:pPr>
      <w:r>
        <w:rPr>
          <w:b/>
        </w:rPr>
        <w:t>Available abstract (not full text):</w:t>
      </w:r>
      <w:r>
        <w:t xml:space="preserve"> The history of international relations has as its main source diplomatic documents, among them treaties and international agreements. As Mario Toscano stated, (Mario Toscano, 1963) diplomatic documents are written statements of facts (actions or simple expressions of thought) coming from institutional bodies acting in inter-state relations. Inside the framework of diplomacy, recently emerged a new branch: energy diplomacy. This latter is a complex topic in the broad framework of the Afro- European diplomatic relations and, over the years, has continuously evolved due to endogenous and exogenous factors. Since up to now, there's no historical rebuilding of how Afro- European diplomatic representors have acted to build energy diplomacy, to start analyzing it, the time-space considered in this research is the following: from the 1973 oil crisis to the 2007 Lisbon Treaty (Joint Africa-EU Strategy). The relevance of this research consists of filling the historical gaps that we have about this topic between the area studies and those in the European Integration, trying to have a more super partes and complete vision as possible.This research even if now in its first stage, will contribute to providing a logical combination of data to rebuild and comprehend the evolution of Afro- European energy diplomatic relations. For this purpose, the literary review indicated may help to define t</w:t>
      </w:r>
    </w:p>
    <w:p>
      <w:pPr/>
      <w:r>
        <w:rPr>
          <w:b/>
        </w:rPr>
        <w:t>POSSIBLE 2024:</w:t>
      </w:r>
      <w:r>
        <w:t xml:space="preserve"> The Legal Governance of Geothermal Energy in Europe: A Historical Review and an Indicator Analysis — https://doi.org/10.4236/blr.2024.152048</w:t>
      </w:r>
    </w:p>
    <w:p>
      <w:pPr/>
      <w:r>
        <w:rPr>
          <w:b/>
        </w:rPr>
        <w:t>Shared claim-specific concepts:</w:t>
      </w:r>
      <w:r>
        <w:t xml:space="preserve"> historical, database, energy; EU scope visible. This is a provisional connection, not an outcome finding.</w:t>
      </w:r>
    </w:p>
    <w:p>
      <w:pPr>
        <w:pStyle w:val="SourceNote"/>
      </w:pPr>
      <w:r>
        <w:rPr>
          <w:b/>
        </w:rPr>
        <w:t>Available abstract (not full text):</w:t>
      </w:r>
      <w:r>
        <w:t xml:space="preserve"> Along with decarbonization, the importance of renewable energy has increased significantly in the European Union (EU) since the turn of the century, and even more during the war in Ukraine. This study is an indication of how legislation making can be more a driver than an obstacle for innovation. The applied methodology includes an in-depth review of ca. 200 pieces of the EU legislation of the last half century, and a text mining exercise in the EU EUR-LEX database to provide a quantitative set of scores independent of the subjective expert judgment. The historical review of the EU law (“acquis”) reveals that many aspects of the geothermal value chain are covered by the acquis. The quantitative text search of EU policy documents and legal pieces indicates how the intensity of policy making correlates with major drivers on energy and on renewable energy. The regulatory environment of exploration and extraction of high enthalpy geothermal energy is similar to that for hydrocarbons, so some EU member states apply the Hydrocarbons Directive (Annex 32) voluntarily. The legislation on low enthalpy geothermal projects is more detailed regarding technical safety, water management, environment and energy efficiency. Because of conflicts with other emerging subsurface resource uses, such as groundwater/gas/carbon storage and urban underground infrastructure, there is a need for coherent </w:t>
      </w:r>
    </w:p>
    <w:p>
      <w:pPr/>
      <w:r>
        <w:rPr>
          <w:b/>
        </w:rPr>
        <w:t>POSSIBLE 2023:</w:t>
      </w:r>
      <w:r>
        <w:t xml:space="preserve"> HANZE database of historical flood impacts in Europe, 1870-2020 — https://doi.org/10.5281/zenodo.8221453</w:t>
      </w:r>
    </w:p>
    <w:p>
      <w:pPr/>
      <w:r>
        <w:rPr>
          <w:b/>
        </w:rPr>
        <w:t>Shared claim-specific concepts:</w:t>
      </w:r>
      <w:r>
        <w:t xml:space="preserve"> historical, data, database, gross; EU scope visible. This is a provisional connection, not an outcome finding.</w:t>
      </w:r>
    </w:p>
    <w:p>
      <w:pPr>
        <w:pStyle w:val="SourceNote"/>
      </w:pPr>
      <w:r>
        <w:rPr>
          <w:b/>
        </w:rPr>
        <w:t>Available abstract (not full text):</w:t>
      </w:r>
      <w:r>
        <w:t xml:space="preserve"> The HANZE dataset covers riverine, pluvial, coastal and compound floods that have occurred in 42 European countries between 1870 and 2020. The data was collected by extensive data-collection from more than 800 sources ranging from news reports through government databases to scientific papers. The dataset includes 2521 events characterized by at least one impact statistic: area inundated, fatalities, persons affected or economic loss. Economic losses are presented both in the original currencies and price levels as well as inflation and exchange-rate adjusted to 2020 value of the euro. The spatial footprint of affected areas is consistently recorded using more than 1400 subnational units corresponding, with minor exceptions, to the European Union’s Nomenclature of Territorial Units for Statistics (NUTS), level 3. Daily start and end dates, information on causes of the event, notes on data quality issues or associated non-flood impacts, and full bibliography of each record supplement the dataset. Apart from the possibility to download the data, the database can be viewed, filtered and visualized online: https://naturalhazards.eu. The dataset is designed to be complimentary to HANZE-Exposure, a high-resolution model of historical exposure changes (such as population and asset value), and be easily usable in statistical and spatial analyses. The dataset contains the following file</w:t>
      </w:r>
    </w:p>
    <w:p>
      <w:pPr/>
      <w:r>
        <w:rPr>
          <w:b/>
        </w:rPr>
        <w:t>POSSIBLE 2023:</w:t>
      </w:r>
      <w:r>
        <w:t xml:space="preserve"> Predicting the Past: Imputation of Historical Data — https://doi.org/10.31234/osf.io/9gpwf</w:t>
      </w:r>
    </w:p>
    <w:p>
      <w:pPr/>
      <w:r>
        <w:rPr>
          <w:b/>
        </w:rPr>
        <w:t>Shared claim-specific concepts:</w:t>
      </w:r>
      <w:r>
        <w:t xml:space="preserve"> historical, data, database; EU scope not established. This is a provisional connection, not an outcome finding.</w:t>
      </w:r>
    </w:p>
    <w:p>
      <w:pPr>
        <w:pStyle w:val="SourceNote"/>
      </w:pPr>
      <w:r>
        <w:rPr>
          <w:b/>
        </w:rPr>
        <w:t>Available abstract (not full text):</w:t>
      </w:r>
      <w:r>
        <w:t xml:space="preserve"> Research using historical data is becoming more common across the social sciences. However, approaches using historical data suffer from a more acute missing data problem than approaches using contemporary data. Complete datasets are required to use many common statistical and machine learning techniques, the majority of which cannot handle missing data. One approach to handling missing data is to impute the missing values. Using the Database of Religious History (DRH), a large historical database, comprised of both quantitative and qualitative data, this research compares the accuracy and bias of 10 imputation methods. k-nearest neighbors (k-NN), missForest, Generalized low rank models (GLRM), Factorial analysis for mixed data (FAMD), DataWig, and five methods implemented in the R package mice (multiple imputation by chained equations). On average, a missForest approach had higher imputation accuracy and among the lowest bias compared to the other methods. The accuracy and bias of different methods implemented in mice were highly variable, highlighting the importance of researchers stating the precise method used for imputation, rather than general phrases such as ‘data were imputed using mice’.</w:t>
      </w:r>
    </w:p>
    <w:p>
      <w:pPr/>
      <w:r>
        <w:rPr>
          <w:b/>
        </w:rPr>
        <w:t>POSSIBLE 2023:</w:t>
      </w:r>
      <w:r>
        <w:t xml:space="preserve"> Normalized power priors always discount historical data — https://doi.org/10.1002/sta4.591</w:t>
      </w:r>
    </w:p>
    <w:p>
      <w:pPr/>
      <w:r>
        <w:rPr>
          <w:b/>
        </w:rPr>
        <w:t>Shared claim-specific concepts:</w:t>
      </w:r>
      <w:r>
        <w:t xml:space="preserve"> historical, data; EU scope not established. This is a provisional connection, not an outcome finding.</w:t>
      </w:r>
    </w:p>
    <w:p>
      <w:pPr>
        <w:pStyle w:val="SourceNote"/>
      </w:pPr>
      <w:r>
        <w:rPr>
          <w:b/>
        </w:rPr>
        <w:t>Available abstract (not full text):</w:t>
      </w:r>
      <w:r>
        <w:t xml:space="preserve"> Power priors are used for incorporating historical data in Bayesian analyses by taking the likelihood of the historical data raised to the power as the prior distribution for the model parameters. The power parameter is typically unknown and assigned a prior distribution, most commonly a beta distribution. Here, we give a novel theoretical result on the resulting marginal posterior distribution of in case of the normal and binomial model. Counterintuitively, when the current data perfectly mirror the historical data and the sample sizes from both data sets become arbitrarily large, the marginal posterior of does not converge to a point mass at but approaches a distribution that hardly differs from the prior. The result implies that a complete pooling of historical and current data is impossible if a power prior with beta prior for is used.</w:t>
      </w:r>
    </w:p>
    <w:p>
      <w:pPr/>
      <w:r>
        <w:rPr>
          <w:b/>
        </w:rPr>
        <w:t>POSSIBLE 2023:</w:t>
      </w:r>
      <w:r>
        <w:t xml:space="preserve"> Historical Population Database of Transylvania. — https://doi.org/10.2307/jj.6445824.16</w:t>
      </w:r>
    </w:p>
    <w:p>
      <w:pPr/>
      <w:r>
        <w:rPr>
          <w:b/>
        </w:rPr>
        <w:t>Shared claim-specific concepts:</w:t>
      </w:r>
      <w:r>
        <w:t xml:space="preserve"> historical, data, database; EU scope visible. This is a provisional connection, not an outcome finding.</w:t>
      </w:r>
    </w:p>
    <w:p>
      <w:pPr>
        <w:pStyle w:val="SourceNote"/>
      </w:pPr>
      <w:r>
        <w:rPr>
          <w:b/>
        </w:rPr>
        <w:t>Available abstract (not full text):</w:t>
      </w:r>
      <w:r>
        <w:t xml:space="preserve"> The Historical Population Database of Transylvania (HPDT) is a research tool for population studies developed since 2014 at the Centre for Population Studies in Cluj-Napoca, financed by an SEE-Norway Grant. HPDT employs a source-oriented approach for recording data from the parish registers kept by the Transylvanian churches, focusing primarily on the main vital events such as births, marriages, and deaths. The data entry process was followed by the standardization of various information, such as names, occupations, locations and causes of death, thus allowing the initiation of a linkage process. The database has already been employed in a wide-ranging series of analyses conducted on datasets extracted from HPDT, which include infant and adult mortality, nuptiality and age at first marriage, social mobility, and the medicalization of childbirth. The wealth of information it includes will enable many more scientific investigations.</w:t>
      </w:r>
    </w:p>
    <w:p>
      <w:pPr/>
      <w:r>
        <w:rPr>
          <w:b/>
        </w:rPr>
        <w:t>POSSIBLE 2023:</w:t>
      </w:r>
      <w:r>
        <w:t xml:space="preserve"> Techno-economic analysis of underground hydrogen storage in Europe — https://doi.org/10.1016/j.isci.2023.108771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Hydrogen storage is crucial to developing secure renewable energy systems to meet the European Union's 2050 carbon neutrality objectives. However, a knowledge gap exists concerning the site-specific performance and economic viability of utilizing underground gas storage (UGS) sites for hydrogen storage in Europe. We compile information on European UGS sites to assess potential hydrogen storage capacity and evaluate the associated current and future costs. The total hydrogen storage potential in Europe is 349 TWh of working gas energy (WGE), with site-specific capital costs ranging from $10 million to $1 billion. Porous media and salt caverns, boasting a minimum storage capacity of 0.5 TWh WGE, exhibit levelized costs of $1.5 and $0.8 per kilogram of hydrogen, respectively. It is estimated that future levelized costs associated with hydrogen storage can potentially decrease to as low as $0.4 per kilogram after three experience cycles. Leveraging these techno-economic considerations, we identify suitable storage sites.</w:t>
      </w:r>
    </w:p>
    <w:p>
      <w:pPr>
        <w:pStyle w:val="Heading2"/>
      </w:pPr>
      <w:r>
        <w:t>757. Grassland futures in Great Britain – Productivity assessment and scenarios for land use change opportunities</w:t>
      </w:r>
    </w:p>
    <w:p>
      <w:pPr>
        <w:pStyle w:val="SourceNote"/>
      </w:pPr>
      <w:r>
        <w:rPr>
          <w:b/>
        </w:rPr>
        <w:t>Original source (2018):</w:t>
      </w:r>
      <w:r>
        <w:t xml:space="preserve"> https://doi.org/10.1016/j.scitotenv.2018.03.395</w:t>
      </w:r>
    </w:p>
    <w:p>
      <w:pPr/>
      <w:r>
        <w:t>Original wording (abstract; indexed_source_text_not_full_document_verified): The effects of climate change, rising atmospheric [CO 2 ] and technological progress on baseline DMYs were used to estimate future grassland productivities (up to 2050) for low and medium CO 2 emission scenarios of UKCP09. By 2050, productivities under medium emission scenario are predicted to increase to 15.5 and 9.8 t/ha on temporary and permanent grassland, respectively, but not on rough grassland.</w:t>
      </w:r>
    </w:p>
    <w:p>
      <w:pPr/>
      <w:r>
        <w:rPr>
          <w:b/>
        </w:rPr>
        <w:t>POSSIBLE 2026:</w:t>
      </w:r>
      <w:r>
        <w:t xml:space="preserve"> Climate Change Effects and Mechanisms on Nutritional Quality and Technological Performance of Major Agri-Food Products: A Critical Review — https://doi.org/10.1080/87559129.2026.2713621</w:t>
      </w:r>
    </w:p>
    <w:p>
      <w:pPr/>
      <w:r>
        <w:rPr>
          <w:b/>
        </w:rPr>
        <w:t>Shared claim-specific concepts:</w:t>
      </w:r>
      <w:r>
        <w:t xml:space="preserve"> climate, atmospheric, technological, but, not; EU scope not established. This is a provisional connection, not an outcome finding.</w:t>
      </w:r>
    </w:p>
    <w:p>
      <w:pPr>
        <w:pStyle w:val="SourceNote"/>
      </w:pPr>
      <w:r>
        <w:rPr>
          <w:b/>
        </w:rPr>
        <w:t>Available abstract (not full text):</w:t>
      </w:r>
      <w:r>
        <w:t xml:space="preserve"> Climate change is increasingly recognized as a major driver of alterations in food systems, affecting not only production yields but also the composition, nutritional quality, and technological performance of food raw materials. This review provides a critical synthesis of recent advances on the effects of climate change on major food matrices, including milk, cereals, vegetable oils, and fruits and vegetables. Across these systems, climate-induced stresses such as elevated temperatures, altered precipitation patterns, and increased atmospheric CO2 levels have been shown to significantly modify physicochemical and biochemical properties. These changes include reductions in protein content (notably caseins in dairy systems), alterations in lipid profiles (decreased polyunsaturated fatty acids in vegetable oils), and modifications in protein quantity and functionality in cereals, as well as shifts in bioactive compounds and quality attributes in fruits and vegetables. These compositional changes are closely linked to modifications in technological performance, impacting key processing operations including breadmaking and cheesemaking, through alterations in dough rheology and milk coagulation behavior. This review also highlights the underlying mechanisms driving these climate-induced changes, as well as current knowledge gaps and future research directions to better understand a</w:t>
      </w:r>
    </w:p>
    <w:p>
      <w:pPr/>
      <w:r>
        <w:rPr>
          <w:b/>
        </w:rPr>
        <w:t>POSSIBLE 2026:</w:t>
      </w:r>
      <w:r>
        <w:t xml:space="preserve"> Atmospheric methane removal as a third climate intervention: termination risks and air pollutant effects — https://doi.org/10.1038/s44168-026-00398-8</w:t>
      </w:r>
    </w:p>
    <w:p>
      <w:pPr/>
      <w:r>
        <w:rPr>
          <w:b/>
        </w:rPr>
        <w:t>Shared claim-specific concepts:</w:t>
      </w:r>
      <w:r>
        <w:t xml:space="preserve"> climate, atmospheric, not; EU scope not established. This is a provisional connection, not an outcome finding.</w:t>
      </w:r>
    </w:p>
    <w:p>
      <w:pPr>
        <w:pStyle w:val="SourceNote"/>
      </w:pPr>
      <w:r>
        <w:rPr>
          <w:b/>
        </w:rPr>
        <w:t>Available abstract (not full text):</w:t>
      </w:r>
      <w:r>
        <w:t xml:space="preserve"> Abstract Atmospheric Methane Removal (AMR) is a third class of climate intervention, along with Carbon Dioxide Removal (CDR) and Solar Radiation Management (SRM). We show that, unlike CDR, the avoided warming by AMR is not durable due to methane’s short atmospheric lifetime, although its temperature rebound upon termination is less abrupt than that of SRM. AMR’s impact on tropospheric ozone can be further modulated by background pollutant levels.</w:t>
      </w:r>
    </w:p>
    <w:p>
      <w:pPr/>
      <w:r>
        <w:rPr>
          <w:b/>
        </w:rPr>
        <w:t>POSSIBLE 2026:</w:t>
      </w:r>
      <w:r>
        <w:t xml:space="preserve"> Data for "Atmospheric Methane Removal as a Third Climate Intervention: Termination Risks and Air Pollutant Effects" — https://doi.org/10.5281/zenodo.18488978</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This dataset contains codes, data, tables, and figures related to the following publication: Tanaka, K., W. Xiong, D. A. Hauglustaine, D. J. A. Johansson, N. Bauer, P. Bousquet, P. Ciais, R. de Richter, M. T. Lund, R. Skeie, E. Zusman (2026) Atmospheric Methane Removal as a Third Climate Intervention: Termination Risks and Air Pollutant Effects. Arxiv (preprint). 24 January 2026. https://doi.org/10.48550/arXiv.2601.17462</w:t>
      </w:r>
    </w:p>
    <w:p>
      <w:pPr/>
      <w:r>
        <w:rPr>
          <w:b/>
        </w:rPr>
        <w:t>POSSIBLE 2025:</w:t>
      </w:r>
      <w:r>
        <w:t xml:space="preserve"> The Effects of Climate Change and Technological Advancement on Economic Recovery in Sub‐Saharan Africa — https://doi.org/10.1002/waf2.12075</w:t>
      </w:r>
    </w:p>
    <w:p>
      <w:pPr/>
      <w:r>
        <w:rPr>
          <w:b/>
        </w:rPr>
        <w:t>Shared claim-specific concepts:</w:t>
      </w:r>
      <w:r>
        <w:t xml:space="preserve"> climate, technological, increase, respectively, not; EU scope not established. This is a provisional connection, not an outcome finding.</w:t>
      </w:r>
    </w:p>
    <w:p>
      <w:pPr>
        <w:pStyle w:val="SourceNote"/>
      </w:pPr>
      <w:r>
        <w:rPr>
          <w:b/>
        </w:rPr>
        <w:t>Available abstract (not full text):</w:t>
      </w:r>
      <w:r>
        <w:t xml:space="preserve"> ABSTRACT Sub‐saharan Africa's (SSA) economy is slowly recovering from the COVID‐19 pandemic, which has led to a global economic slowdown. This study aims to investigate whether climate change factors, such as temperature and carbon dioxide (CO 2 ) emissions along with technological innovation (measured by total patent applications) can predict the economic recovery of 19 selected SSA countries from 2000 to 2022. To address this study gap, we use the kernel‐based regularized least squares (KRLS) regression not previously applied in studies examining these relationships. We account for financial development, human capital, and inflation rates in the model to enhance the analysis. KRLS is well‐suited for this study as it can handle nonlinearity, cross‐sectional dependency, reduce misspecification bias, address model overfitting, and consider variable heterogeneity. Our results show that climate change has a negative and considerable effect on SSA's economic recovery. Specifically, a 1% rise on average annual surface temperature change and CO 2 emissions corresponds to a 0.17% and 0.15% decrease in economic recovery, respectively, indicating that climate change is impeding recovery efforts. Conversely, a 1% rise on average technological innovation is linked with a 0.18% increase in economic recovery (GDP). Policy recommendations should focus on reinforcing technological innovation </w:t>
      </w:r>
    </w:p>
    <w:p>
      <w:pPr/>
      <w:r>
        <w:rPr>
          <w:b/>
        </w:rPr>
        <w:t>POSSIBLE 2025:</w:t>
      </w:r>
      <w:r>
        <w:t xml:space="preserve"> The Role Of Atmospheric Chemistry In Shaping Air Quality And Climate Change — https://doi.org/10.64252/kpbqg580</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Atmospheric chemistry plays a pivotal role in regulating air quality and driving climate change processes. The interactions between chemical species in the atmosphere—such as ozone, volatile organic compounds, nitrogen oxides, and aerosols—profoundly influence the composition, radiative balance, and oxidative capacity of the atmosphere. These chemical transformations affect both short-lived climate forcers and long-lived greenhouse gases, altering regional and global temperature patterns and contributing to extreme weather events. Human activities, particularly fossil fuel combustion, industrial processes, and land use changes, have significantly altered atmospheric chemical pathways, leading to increased concentrations of pollutants and greenhouse gases. Additionally, the feedback mechanisms between atmospheric chemistry and meteorological variables further complicate the prediction of climate and air quality outcomes. Understanding these interactions is essential for developing effective mitigation and adaptation strategies. This paper reviews the key processes of atmospheric chemistry, highlights their implications for air pollution and climate dynamics, and explores emerging research tools, including satellite remote sensing and advanced modeling, which provide deeper insights into atmospheric transformations. Emphasis is placed on the need for integrated policy frameworks </w:t>
      </w:r>
    </w:p>
    <w:p>
      <w:pPr/>
      <w:r>
        <w:rPr>
          <w:b/>
        </w:rPr>
        <w:t>POSSIBLE 2024:</w:t>
      </w:r>
      <w:r>
        <w:t xml:space="preserve"> Effects of climate change on fungal infections — https://doi.org/10.1371/journal.ppat.1012219</w:t>
      </w:r>
    </w:p>
    <w:p>
      <w:pPr/>
      <w:r>
        <w:rPr>
          <w:b/>
        </w:rPr>
        <w:t>Shared claim-specific concepts:</w:t>
      </w:r>
      <w:r>
        <w:t xml:space="preserve"> climate, atmospheric; EU scope not established. This is a provisional connection, not an outcome finding.</w:t>
      </w:r>
    </w:p>
    <w:p>
      <w:pPr>
        <w:pStyle w:val="SourceNote"/>
      </w:pPr>
      <w:r>
        <w:rPr>
          <w:b/>
        </w:rPr>
        <w:t>Available abstract (not full text):</w:t>
      </w:r>
      <w:r>
        <w:t xml:space="preserve"> Climate change significantly impacts atmospheric, ecological, agricultural, and societal systems.Documented increases in global temperature, extreme precipitation, and the frequency and intensity of severe weather events have been linked to a variety of adverse health outcomes, and conditions are expected to worsen [1].Fungi are particularly susceptible to the effects of climate change because the highest diversity and biomass of fungi are found in the top layer of soil, at the forefront of environmental changes.Fungal diseases cause a wide spectrum of illness, ranging from mild skin and mucosal infections to severe respiratory illness and lifethreatening disseminated disease.Evidence suggests that evolving weather patterns have contributed to expanded geographic ranges of endemic fungi, emergence of new pathogens, and increased antifungal resistance [2,3].This review presents an introduction to and discussion of some of the most important potential climate-related mechanisms associated with the proliferation of pathogenic fungi and associated fungal diseases (Fig 1) that could impact human and animal health.</w:t>
      </w:r>
    </w:p>
    <w:p>
      <w:pPr/>
      <w:r>
        <w:rPr>
          <w:b/>
        </w:rPr>
        <w:t>POSSIBLE 2024:</w:t>
      </w:r>
      <w:r>
        <w:t xml:space="preserve"> Understsanding the Effects of UV Radiation on Climate Change: A Comprehensive Review — https://doi.org/10.70436/nuijb.v3i02.303</w:t>
      </w:r>
    </w:p>
    <w:p>
      <w:pPr/>
      <w:r>
        <w:rPr>
          <w:b/>
        </w:rPr>
        <w:t>Shared claim-specific concepts:</w:t>
      </w:r>
      <w:r>
        <w:t xml:space="preserve"> climate, atmospheric, technological; EU scope not established. This is a provisional connection, not an outcome finding.</w:t>
      </w:r>
    </w:p>
    <w:p>
      <w:pPr>
        <w:pStyle w:val="SourceNote"/>
      </w:pPr>
      <w:r>
        <w:rPr>
          <w:b/>
        </w:rPr>
        <w:t>Available abstract (not full text):</w:t>
      </w:r>
      <w:r>
        <w:t xml:space="preserve"> ‌This review paper explores the intricate relationship between ultraviolet (UV) radiation and climate change, delving into its multifaceted effects on atmospheric processes, global temperature dynamics, biological entities, and the intricate feedback mechanisms that shape the Earth's climate. Beginning with an examination of UV radiation's interaction with the atmosphere, we uncover its role in ozone layer dynamics and its potential to influence atmospheric circulation patterns.The discussion extends to the impact of UV radiation on global temperature patterns, emphasizing its contribution to the Earth's energy balance and its interaction with greenhouse gases. Moving beyond climatic elements, we explore the biological impacts of UV radiation, encompassing its effects on human health, plant productivity, and aquatic ecosystems. We unveil the intricate feedback loops, revealing how changes induced by UV radiation can cascade through the atmosphere, ecosystems, and human societies.The technological and policy implications are scrutinized, highlighting innovations in monitoring and mitigation strategies alongside international policies crafted to address UV radiation's impact on climate change. Looking toward the future, the paper offers insights into potential advancements, challenges, and opportunities, emphasizing the need for ongoing research, global collaboration, and sustain</w:t>
      </w:r>
    </w:p>
    <w:p>
      <w:pPr/>
      <w:r>
        <w:rPr>
          <w:b/>
        </w:rPr>
        <w:t>POSSIBLE 2024:</w:t>
      </w:r>
      <w:r>
        <w:t xml:space="preserve"> CHARGED PARTICLES IN ATMOSPHERIC AIR: SIGNIFICANCE, PROPERTIES, AND IMPLICATIONS — https://openalex.org/W7219286878</w:t>
      </w:r>
    </w:p>
    <w:p>
      <w:pPr/>
      <w:r>
        <w:rPr>
          <w:b/>
        </w:rPr>
        <w:t>Shared claim-specific concepts:</w:t>
      </w:r>
      <w:r>
        <w:t xml:space="preserve"> climate, atmospheric, technological; EU scope not established. This is a provisional connection, not an outcome finding.</w:t>
      </w:r>
    </w:p>
    <w:p>
      <w:pPr>
        <w:pStyle w:val="SourceNote"/>
      </w:pPr>
      <w:r>
        <w:rPr>
          <w:b/>
        </w:rPr>
        <w:t>Available abstract (not full text):</w:t>
      </w:r>
      <w:r>
        <w:t xml:space="preserve"> The study of charged particles, or ions, in atmospheric air is of paramount importance in contemporary atmospheric science. These charged particles play a crucial role in various atmospheric processes, influencing cloud formation, precipitation patterns, and even the propagation of lightning. Understanding their properties and interactions is essential for gaining insights into weather phenomena, climate change dynamics, and strategies for mitigating environmental impacts. Charged particles also have significant implications for human activities, technological systems, and public health, making it imperative to examine their effects comprehensively. Moreover, exploring the realm of charged particles in atmospheric air offers opportunities for scientific advancements, providing valuable insights into the Earth's electrical environment and its relationship with solar and cosmic radiation. This manuscript delves into the complexities of charged particles in atmospheric air, highlighting their significance in advancing atmospheric science, weather prediction, climate change mitigation, technological innovations, and public health preservation.</w:t>
      </w:r>
    </w:p>
    <w:p>
      <w:pPr/>
      <w:r>
        <w:rPr>
          <w:b/>
        </w:rPr>
        <w:t>POSSIBLE 2024:</w:t>
      </w:r>
      <w:r>
        <w:t xml:space="preserve"> Effects of climate change on plant pathogens and host-pathogen interactions — https://doi.org/10.1016/j.crope.2024.05.003</w:t>
      </w:r>
    </w:p>
    <w:p>
      <w:pPr/>
      <w:r>
        <w:rPr>
          <w:b/>
        </w:rPr>
        <w:t>Shared claim-specific concepts:</w:t>
      </w:r>
      <w:r>
        <w:t xml:space="preserve"> climate, but, not; EU scope not established. This is a provisional connection, not an outcome finding.</w:t>
      </w:r>
    </w:p>
    <w:p>
      <w:pPr>
        <w:pStyle w:val="SourceNote"/>
      </w:pPr>
      <w:r>
        <w:rPr>
          <w:b/>
        </w:rPr>
        <w:t>Available abstract (not full text):</w:t>
      </w:r>
      <w:r>
        <w:t xml:space="preserve"> Crop production stands as a pivotal pillar of global food security, but its sustainability faces complex challenges from plant diseases, which pose a substantial threat to agricultural productivity. Climate change significantly alters the dynamics of plant pathogens, primarily through changes in temperature, humidity, and precipitation patterns, which can enhance the virulence and spread of various plant diseases. Indeed, the increased frequency of extreme weather events, which is a direct consequence of climate change, creates favorable conditions for outbreaks of plant diseases. As global temperatures rise, the geographic range of many plant pathogens is expanding, exposing new regions and species to diseases previously limited to warmer climates. Climate change not only affects the prevalence and severity of plant diseases but also influences the effectiveness of disease management strategies, necessitating adaptive approaches in agricultural practices. This review presents a thorough examination of the relationship between climate change and plant pathogens and carefully provides an analysis of the interplay between climatic shifts and disease dynamics. In addition to insights into the development of effective strategies for countering the adverse impacts of climate change on plant diseases, these insights hold significant promise for bolstering global crop production resil</w:t>
      </w:r>
    </w:p>
    <w:p>
      <w:pPr/>
      <w:r>
        <w:rPr>
          <w:b/>
        </w:rPr>
        <w:t>POSSIBLE 2024:</w:t>
      </w:r>
      <w:r>
        <w:t xml:space="preserve"> Effects of Climate Change on Insects — https://doi.org/10.1093/oso/9780192864161.001.0001</w:t>
      </w:r>
    </w:p>
    <w:p>
      <w:pPr/>
      <w:r>
        <w:rPr>
          <w:b/>
        </w:rPr>
        <w:t>Shared claim-specific concepts:</w:t>
      </w:r>
      <w:r>
        <w:t xml:space="preserve"> climate, low, but; EU scope not established. This is a provisional connection, not an outcome finding.</w:t>
      </w:r>
    </w:p>
    <w:p>
      <w:pPr>
        <w:pStyle w:val="SourceNote"/>
      </w:pPr>
      <w:r>
        <w:rPr>
          <w:b/>
        </w:rPr>
        <w:t>Available abstract (not full text):</w:t>
      </w:r>
      <w:r>
        <w:t xml:space="preserve"> Abstract Climate change is ten times faster now than in the last global warming event, 56 million years ago, with temperature and extreme weather dramatically increasing due to human activity. This rapid changes in climate affect all levels of biodiversity. However, despite their high global biodiversity, only 3 percent of global climate change literature is based on invertebrates. Evidence from the fossil record has revealed low extinction rates for insect families in past catastrophic global events and omic sciences have allowed a much deeper understanding of the insect physiological and phenological responses to heat and their genetic basis. Insects acclimate and adapt to climate change, but several fail and suffer important reductions in population sizes besides local and global extinctions. The challenge is mainly driven by climate change potentiating the negative effects of other stressful conditions such as deforestation and pollution. Some species, notably pests and vectors, benefit from current climate change and either expand their distribution ranges or invade new environments. Moreover, biotic interactions involving insects and other organisms are threatened by climate change, generating cascading effects and affecting ecosystem functions and human wellbeing. Refugia from climate change across continents are fundamental for insects to withstand climate change and ar</w:t>
      </w:r>
    </w:p>
    <w:p>
      <w:pPr/>
      <w:r>
        <w:rPr>
          <w:b/>
        </w:rPr>
        <w:t>POSSIBLE 2023:</w:t>
      </w:r>
      <w:r>
        <w:t xml:space="preserve"> The effects of climate change on mental health — https://doi.org/10.3238/arztebl.m2022.0403</w:t>
      </w:r>
    </w:p>
    <w:p>
      <w:pPr/>
      <w:r>
        <w:rPr>
          <w:b/>
        </w:rPr>
        <w:t>Shared claim-specific concepts:</w:t>
      </w:r>
      <w:r>
        <w:t xml:space="preserve"> climate, estimate, increase, not; EU scope not established. This is a provisional connection, not an outcome finding.</w:t>
      </w:r>
    </w:p>
    <w:p>
      <w:pPr>
        <w:pStyle w:val="SourceNote"/>
      </w:pPr>
      <w:r>
        <w:rPr>
          <w:b/>
        </w:rPr>
        <w:t>Available abstract (not full text):</w:t>
      </w:r>
      <w:r>
        <w:t xml:space="preserve"> BACKGROUND: All over the world, climate change is exerting negative and complex effects on human living conditions and health. In this narrative review, we summarize the current global evidence regarding the effects of climate change on mental health. METHODS: A systematic literature search concerning the direct effects of acute extreme weather events (floods, storms, fires) and chronic stresses (heat, drought) due to climate change, as well as the indirect effects of climate change (food insecurity, migration), on the diagnoses of mental disorders, psychological distress, and psychiatric emergency admissions was carried out in PubMed and PsychInfo, and supplemented by expert selection. 1017 studies were identified, and 128 were included. RESULTS: The heterogeneity of study methods does not permit any overall estimate of effect strength. The available evidence shows that traumatic experiences due to extreme weather events increase the risk of affective and anxiety disorders, especially the risk of post-traumatic stress disorder. Heat significantly increases the morbidity and mortality attributable to mental illness, as well as the frequency of psychiatric emergencies. Persistent stressors such as drought, food insecurity, and migration owing to climate change can also be major risk factors for mental illness. CONCLUSION: The consequences of climate change are stress factors for</w:t>
      </w:r>
    </w:p>
    <w:p>
      <w:pPr/>
      <w:r>
        <w:rPr>
          <w:b/>
        </w:rPr>
        <w:t>POSSIBLE 2023:</w:t>
      </w:r>
      <w:r>
        <w:t xml:space="preserve"> Effects of Climate Change and Drought Tolerance on Maize Growth — https://doi.org/10.3390/plants12203548</w:t>
      </w:r>
    </w:p>
    <w:p>
      <w:pPr/>
      <w:r>
        <w:rPr>
          <w:b/>
        </w:rPr>
        <w:t>Shared claim-specific concepts:</w:t>
      </w:r>
      <w:r>
        <w:t xml:space="preserve"> climate, increase; EU scope not established. This is a provisional connection, not an outcome finding.</w:t>
      </w:r>
    </w:p>
    <w:p>
      <w:pPr>
        <w:pStyle w:val="SourceNote"/>
      </w:pPr>
      <w:r>
        <w:rPr>
          <w:b/>
        </w:rPr>
        <w:t>Available abstract (not full text):</w:t>
      </w:r>
      <w:r>
        <w:t xml:space="preserve"> Climate change is affecting all regions of the world with different climates, and the scale of damage is increasing due to the occurrence of various natural disasters. In particular, maize production is highly affected by abnormal climate events such as heat waves and droughts. Increasing temperatures can accelerate growth and shorten the growing season, potentially reducing productivity. Additionally, enhanced temperatures during the ripening period can accelerate the process, reducing crop yields. In addition, drought stress due to water deficit can greatly affect seedling formation, early plant growth, photosynthesis, reproductive growth, and yield, so proper water management is critical to maize growth. Maize, in particular, is tall and broad-leaved, so extreme drought stress at planting can cause leaves to curl and stunt growth. It is important to understand that severe drought can have a detrimental effect on the growth and reproduction of maize. In addition, high temperatures caused by drought stress can inhibit the induction of flowering in male flowers and cause factors that interfere with pollen development. It is therefore important to increase the productivity of all food crops, including maize, while maintaining them in the face of persistent drought caused by climate change. This requires a strategy to develop genetically modified crops and drought-tolerant maize </w:t>
      </w:r>
    </w:p>
    <w:p>
      <w:pPr>
        <w:pStyle w:val="Heading2"/>
      </w:pPr>
      <w:r>
        <w:t>758. Implementing exogenous scenarios in a global MRIO model for the estimation of future environmental footprints</w:t>
      </w:r>
    </w:p>
    <w:p>
      <w:pPr>
        <w:pStyle w:val="SourceNote"/>
      </w:pPr>
      <w:r>
        <w:rPr>
          <w:b/>
        </w:rPr>
        <w:t>Original source (2018):</w:t>
      </w:r>
      <w:r>
        <w:t xml:space="preserve"> https://doi.org/10.1186/s40008-018-0118-y</w:t>
      </w:r>
    </w:p>
    <w:p>
      <w:pPr/>
      <w:r>
        <w:t>Original wording (abstract; indexed_source_text_not_full_document_verified): As an additional example, we show that the energy dependency of Europe is reduced in the 2-degree scenario compared to the 6-degree scenario, while the material dependency is higher. This paper introduces a simple approach to implementing existing climate change scenarios, such as the IEA energy technology perspective scenarios, in MRIO models.</w:t>
      </w:r>
    </w:p>
    <w:p>
      <w:pPr/>
      <w:r>
        <w:rPr>
          <w:b/>
        </w:rPr>
        <w:t>POSSIBLE 2026:</w:t>
      </w:r>
      <w:r>
        <w:t xml:space="preserve"> Challenges in digitalization in outdoor recreation: The example of the European pond turtle — https://doi.org/10.1016/j.jort.2026.101095</w:t>
      </w:r>
    </w:p>
    <w:p>
      <w:pPr/>
      <w:r>
        <w:rPr>
          <w:b/>
        </w:rPr>
        <w:t>Shared claim-specific concepts:</w:t>
      </w:r>
      <w:r>
        <w:t xml:space="preserve"> additional, example, show, climate; EU scope visible. This is a provisional connection, not an outcome finding.</w:t>
      </w:r>
    </w:p>
    <w:p>
      <w:pPr>
        <w:pStyle w:val="SourceNote"/>
      </w:pPr>
      <w:r>
        <w:rPr>
          <w:b/>
        </w:rPr>
        <w:t>Available abstract (not full text):</w:t>
      </w:r>
      <w:r>
        <w:t xml:space="preserve"> The use of digital technologies, such as smartphones, GPS, apps, social media, has significantly changed recreational use in landscapes. Not only have the possibilities for route selection, navigation and quality of experience changed, but the possibilities for conservation management have been significantly influenced as well. These changes are illustrated using the example of the European pond turtle ( Emys orbicularis) and its habitat in the Donau-Auen National Park and digital data based on Strava, a popular fitness app. The data show a significant use of paths by outdoor recreationists outside the official trail system and a deterioration of habitats as a consequence. Against this background, challenges for recreational planning and the management of protected areas are discussed. Additional negative influences caused by climate change are likely to worsen the situation. Therefore, the protection of wet habitats of the pond turtle requires adapted visitor management and additional measures to ensure the reproduction of this endangered species close to the Viennese metropolitan area.</w:t>
      </w:r>
    </w:p>
    <w:p>
      <w:pPr/>
      <w:r>
        <w:rPr>
          <w:b/>
        </w:rPr>
        <w:t>POSSIBLE 2025:</w:t>
      </w:r>
      <w:r>
        <w:t xml:space="preserve"> Future evolution of large floods in Europe — https://doi.org/10.5194/egusphere-egu25-9464</w:t>
      </w:r>
    </w:p>
    <w:p>
      <w:pPr/>
      <w:r>
        <w:rPr>
          <w:b/>
        </w:rPr>
        <w:t>Shared claim-specific concepts:</w:t>
      </w:r>
      <w:r>
        <w:t xml:space="preserve"> example, show, reduced, existing, climate; EU scope visible. This is a provisional connection, not an outcome finding.</w:t>
      </w:r>
    </w:p>
    <w:p>
      <w:pPr>
        <w:pStyle w:val="SourceNote"/>
      </w:pPr>
      <w:r>
        <w:rPr>
          <w:b/>
        </w:rPr>
        <w:t>Available abstract (not full text):</w:t>
      </w:r>
      <w:r>
        <w:t xml:space="preserve"> Large floods regularly cause loss of life and substantial economic damage. In a warmer climate, increased precipitation variability and extremes, combined with reduced snowmelt, are expected to alter flood characteristics, but how the dynamics of large floods across Europe will evolve under climate change remains unclear. Many existing grid-based and catchment-based studies lack the capacity to systematically identify widespread floods associated with larger impacts. This study addresses these gaps by identifying large, spatially connected floods in Europe based on the spatio-temporal connectivity of runoff extremes, which is derived from daily routed runoff simulations driven by five CMIP5 models under various warming levels. Further, a comprehensive set of flood metrics—including frequency, timing, extent, and volume—is quantified to assess future flood changes. Additionally, the underlying drivers of these changes are investigated. We show that earlier snowmelt generally leads to earlier floods, while increasing precipitation contributions attenuates flood seasonality. In western and central Europe, projected increases in precipitation amplify flood extents and volumes, particularly for the most extreme floods. In contrast, reduced snowmelt dominates flood changes in northern Europe. Interestingly, floods of different magnitudes exhibit varied responses to global warming. Fo</w:t>
      </w:r>
    </w:p>
    <w:p>
      <w:pPr/>
      <w:r>
        <w:rPr>
          <w:b/>
        </w:rPr>
        <w:t>POSSIBLE 2025:</w:t>
      </w:r>
      <w:r>
        <w:t xml:space="preserve"> Attribution of flood impacts shows strong benefits of adaptation in Europe since 1950 — https://doi.org/10.1126/sciadv.adt7068</w:t>
      </w:r>
    </w:p>
    <w:p>
      <w:pPr/>
      <w:r>
        <w:rPr>
          <w:b/>
        </w:rPr>
        <w:t>Shared claim-specific concepts:</w:t>
      </w:r>
      <w:r>
        <w:t xml:space="preserve"> show, climate; EU scope visible. This is a provisional connection, not an outcome finding.</w:t>
      </w:r>
    </w:p>
    <w:p>
      <w:pPr>
        <w:pStyle w:val="SourceNote"/>
      </w:pPr>
      <w:r>
        <w:rPr>
          <w:b/>
        </w:rPr>
        <w:t>Available abstract (not full text):</w:t>
      </w:r>
      <w:r>
        <w:t xml:space="preserve"> Abstract Flood impacts in Europe are considered to be increasing, especially in connection to climate change. However, attribution of impacts to climatic and societal drivers of past floods has been limited to a selection of recent events. Here, we present an impact attribution study covering 1729 riverine, coastal and compound events that were responsible for the large majority of flood-related impacts in Europe between 1950 and 2020. We show that in most regions the magnitude of flood impacts has been regulated primarily by the opposing direct human actions. On the one hand, the population and economic value at risk have increased, exacerbated by land use change. However, it was compensated by improved risk management, manifested by better flood protection and lower vulnerability. Climate change and human alterations of river catchments were also important drivers in many regions, but ultimately less relevant for trends in total, continental-wide impacts. Overall, our study highlights the need for multidimensional impact attribution of past natural hazards. Attribution results for individual events are available on https://naturalhazards.eu/.</w:t>
      </w:r>
    </w:p>
    <w:p>
      <w:pPr/>
      <w:r>
        <w:rPr>
          <w:b/>
        </w:rPr>
        <w:t>POSSIBLE 2025:</w:t>
      </w:r>
      <w:r>
        <w:t xml:space="preserve"> Reduced pesticide dependency through crop management — https://doi.org/10.1007/s42452-025-07248-y</w:t>
      </w:r>
    </w:p>
    <w:p>
      <w:pPr/>
      <w:r>
        <w:rPr>
          <w:b/>
        </w:rPr>
        <w:t>Shared claim-specific concepts:</w:t>
      </w:r>
      <w:r>
        <w:t xml:space="preserve"> dependency, reduced; EU scope visible. This is a provisional connection, not an outcome finding.</w:t>
      </w:r>
    </w:p>
    <w:p>
      <w:pPr>
        <w:pStyle w:val="SourceNote"/>
      </w:pPr>
      <w:r>
        <w:rPr>
          <w:b/>
        </w:rPr>
        <w:t>Available abstract (not full text):</w:t>
      </w:r>
      <w:r>
        <w:t xml:space="preserve"> The persistent overuse of synthetic pesticides in agriculture has triggered ecological degradation, human health risks, and pest resistance, demanding urgent systemic change. This paper examines how integrated crop management—through agroecological diversification, chemical innovation, and biopesticide adoption—can reduce pesticide dependency while sustaining productivity. We synthesize findings from recent field studies and chemical ecology literature, with case studies from Cambodia, Bangladesh, and Europe. These examples illustrate measurable reductions in pesticide use (up to 61%) and maintenance or improvement of yields. The review highlights plant secondary metabolites, biological signaling compounds, and microbial-based pesticides as key components of environmentally responsive pest management. A conceptual framework is proposed to guide the integration of these strategies within a broader sustainable agriculture agenda. This analysis offers evidence-based pathways to shift from reactive chemical reliance toward ecologically grounded, resilient farming systems.</w:t>
      </w:r>
    </w:p>
    <w:p>
      <w:pPr/>
      <w:r>
        <w:rPr>
          <w:b/>
        </w:rPr>
        <w:t>POSSIBLE 2024:</w:t>
      </w:r>
      <w:r>
        <w:t xml:space="preserve"> Typical earthworm assemblages of European ecosystem types — https://doi.org/10.1111/ejss.13584</w:t>
      </w:r>
    </w:p>
    <w:p>
      <w:pPr/>
      <w:r>
        <w:rPr>
          <w:b/>
        </w:rPr>
        <w:t>Shared claim-specific concepts:</w:t>
      </w:r>
      <w:r>
        <w:t xml:space="preserve"> example, higher, existing; EU scope visible. This is a provisional connection, not an outcome finding.</w:t>
      </w:r>
    </w:p>
    <w:p>
      <w:pPr>
        <w:pStyle w:val="SourceNote"/>
      </w:pPr>
      <w:r>
        <w:rPr>
          <w:b/>
        </w:rPr>
        <w:t>Available abstract (not full text):</w:t>
      </w:r>
      <w:r>
        <w:t xml:space="preserve"> Abstract For nature conservation and planning, terrestrial ecosystems are commonly classified based on their plant communities. Although soils are fundamental to ecosystem functioning, ecosystem classifications based on soil organisms are rare, and it is poorly understood whether their assemblage compositions follow existing classification schemes. We examined whether commonly used ecosystem types capture variation in earthworm (Lumbricidae) assemblages—a crucial biotic component of soil ecosystems. To this end, we created four ecosystem classifications by combining large‐scale climatic classifications (Biogeographic Regions [BGR] and Holdridge Life Zones [HLZ]) with small‐scale land cover classifications (CORINE Land Cover [CLC] and European Nature Information System [EUNIS]). European earthworm assemblage data from the sWORM and Edaphobase databases were analysed for variation in composition within and among ecosystem types, using Permutational Analysis of Variance and Analysis of Similarities. Additionally, we used Typical Species Analysis to establish typical earthworm assemblages (TAs) for each ecosystem type. Ecosystem classifications using the BGR explained more variance than HLZ, but HLZ showed a higher separation of assemblages between ecosystem types. The differentiation between Atlantic and Continental climates in the BGR could explain the superiority over the HLZ, w</w:t>
      </w:r>
    </w:p>
    <w:p>
      <w:pPr/>
      <w:r>
        <w:rPr>
          <w:b/>
        </w:rPr>
        <w:t>POSSIBLE 2024:</w:t>
      </w:r>
      <w:r>
        <w:t xml:space="preserve"> Greece: Time to Reduce the Dependency on Imports — https://openalex.org/W7216647585</w:t>
      </w:r>
    </w:p>
    <w:p>
      <w:pPr/>
      <w:r>
        <w:rPr>
          <w:b/>
        </w:rPr>
        <w:t>Shared claim-specific concepts:</w:t>
      </w:r>
      <w:r>
        <w:t xml:space="preserve"> energy, dependency, higher; EU scope visible. This is a provisional connection, not an outcome finding.</w:t>
      </w:r>
    </w:p>
    <w:p>
      <w:pPr>
        <w:pStyle w:val="SourceNote"/>
      </w:pPr>
      <w:r>
        <w:rPr>
          <w:b/>
        </w:rPr>
        <w:t>Available abstract (not full text):</w:t>
      </w:r>
      <w:r>
        <w:t xml:space="preserve"> Hit by the financial crisis in 2010-2012 and the imposed austerity that followed made prospects for a quick recovery unattainable for Greece and even worsened them by the Covid-19 pandemic hurting its tourism-dependent economy more than any other Euro-member country.To add insult to injury, the inflationary spiral caused to a large extent by the pandemic-related supply chain disruptions further exacerbated by the Ukraine-Russia conflict inflicting more pain for the Greek import-dependent energy and foodstuff economy.Inflation rose at levels seen in the 1990s and only recently the average rate seems to have declined with some exceptions on foodstuff, in particular, that are reminiscent of even higher levels of the 1980s.Despite the difficulties in negotiating the ever-increasing prices of basic goods with</w:t>
      </w:r>
    </w:p>
    <w:p>
      <w:pPr/>
      <w:r>
        <w:rPr>
          <w:b/>
        </w:rPr>
        <w:t>POSSIBLE 2023:</w:t>
      </w:r>
      <w:r>
        <w:t xml:space="preserve"> Additional substitutions in elite European football — https://doi.org/10.1177/17479541231164090</w:t>
      </w:r>
    </w:p>
    <w:p>
      <w:pPr/>
      <w:r>
        <w:rPr>
          <w:b/>
        </w:rPr>
        <w:t>Shared claim-specific concepts:</w:t>
      </w:r>
      <w:r>
        <w:t xml:space="preserve"> additional, show; EU scope visible. This is a provisional connection, not an outcome finding.</w:t>
      </w:r>
    </w:p>
    <w:p>
      <w:pPr>
        <w:pStyle w:val="SourceNote"/>
      </w:pPr>
      <w:r>
        <w:rPr>
          <w:b/>
        </w:rPr>
        <w:t>Available abstract (not full text):</w:t>
      </w:r>
      <w:r>
        <w:t xml:space="preserve"> In 2020, the International Football Association Board (IFAB) introduced a temporary rule amendment of two additional substitutions in regular time. In this study, we assess the impact of this rule change with regard to player relief, tactical influence by the coaches and the development of young players. Data were collected from 3652 matches from the top 5 leagues in the Union of European Football Associations (UEFA) rankings and 659 UEFA club competition matches (Champions League and Europa League) in 2 different seasons (pre-rule amendment: 2018/2019 vs. post-rule amendment: 2020/2021), comparing leagues that introduced two additional substitutions with those that did not. The results show that with two additional substitutions, the reduction in player load was increased by 46%. Despite being used infrequently, the rule change resulted in 45% more substitutions and, therefore, greater tactical influence by the coaches. Furthermore, two additional substitutions benefit young players’ development with an 81% increase in playing time. While the aim of the temporary amendment to the laws of the game was achieved with the additional substitutions by compensating for the increased load on the players, coaches’ substitution behaviour shows potential for improvement.</w:t>
      </w:r>
    </w:p>
    <w:p>
      <w:pPr/>
      <w:r>
        <w:rPr>
          <w:b/>
        </w:rPr>
        <w:t>POSSIBLE 2023:</w:t>
      </w:r>
      <w:r>
        <w:t xml:space="preserve"> Can sediments play a role in river flood risk mapping? Learning from selected European examples — https://doi.org/10.1186/s40677-023-00250-9</w:t>
      </w:r>
    </w:p>
    <w:p>
      <w:pPr/>
      <w:r>
        <w:rPr>
          <w:b/>
        </w:rPr>
        <w:t>Shared claim-specific concepts:</w:t>
      </w:r>
      <w:r>
        <w:t xml:space="preserve"> additional, show, approach, climate, perspective; EU scope visible. This is a provisional connection, not an outcome finding.</w:t>
      </w:r>
    </w:p>
    <w:p>
      <w:pPr>
        <w:pStyle w:val="SourceNote"/>
      </w:pPr>
      <w:r>
        <w:rPr>
          <w:b/>
        </w:rPr>
        <w:t>Available abstract (not full text):</w:t>
      </w:r>
      <w:r>
        <w:t xml:space="preserve"> Abstract Background Climate change and increasing anthropogenic pressure are two of the major drivers of increasing extreme events like droughts and floods. To deal with the increasing number of flooding events hitting Europe in the last few decades, around twenty years ago the European Commission started to develop ad-hoc legislation to reduce flood risk by mapping flood hazard and risk areas, such as the Directive 2007/60/EC on the Assessment and Management of Flood Risk. This Directive looks to identify regions where flood management strategies should be prioritized. Despite this holistic approach, flaws connected to the consideration of sediment transport and morphological changes in rivers exist, leading to potential underestimations of the impact of floods affecting active watercourses or areas subjected to frequent morphological changes. Results By discussing six examples related to European lowland and mountain watercourses affected by significant floods in the last 20 years, the present mini-review aims to provide additional evidence on the need for a rethinking of flood risk mapping, moving from a “clear water” perspective to a more integrated approach, where the interactions between all the fluvial components (water, sediment, biota, and humans) are adequately considered. Conclusions The examples reported here show the importance of considering sediment and wood in f</w:t>
      </w:r>
    </w:p>
    <w:p>
      <w:pPr/>
      <w:r>
        <w:rPr>
          <w:b/>
        </w:rPr>
        <w:t>POSSIBLE 2023:</w:t>
      </w:r>
      <w:r>
        <w:t xml:space="preserve"> Quantifying the effects of nature-based solutions in reducing risks from hydrometeorological hazards: Examples from Europe — https://doi.org/10.1016/j.ijdrr.2023.103771</w:t>
      </w:r>
    </w:p>
    <w:p>
      <w:pPr/>
      <w:r>
        <w:rPr>
          <w:b/>
        </w:rPr>
        <w:t>Shared claim-specific concepts:</w:t>
      </w:r>
      <w:r>
        <w:t xml:space="preserve"> show, approach, climate; EU scope visible. This is a provisional connection, not an outcome finding.</w:t>
      </w:r>
    </w:p>
    <w:p>
      <w:pPr>
        <w:pStyle w:val="SourceNote"/>
      </w:pPr>
      <w:r>
        <w:rPr>
          <w:b/>
        </w:rPr>
        <w:t>Available abstract (not full text):</w:t>
      </w:r>
      <w:r>
        <w:t xml:space="preserve"> The combination of climate change and social and ecological factors will increase risks societies face from hydrometeorological hazards (HMH). Reducing these risks is typically achieved through the deployment of engineered (or grey) infrastructure but increasingly, nature-based solutions (NBS) are being considered. Most risk assessment frameworks do not allow capturing well the role NBS can play in addressing all components of risk, i.e., the hazard characteristics and the exposure and vulnerability of social-ecological systems. Recently, the Vulnerability and Risk assessment framework developed to allow the assessment of risks in the context of NBS implementation (VR-NBS framework) was proposed. Here, we carry out the first implementation of this framework using five case study areas in Europe which are exposed to various HMH. Our results show that we can demonstrate the effect NBS have in terms of risk reduction and that this can be achieved by using a flexible library of indicators that allows to capture the specificities of each case study hazard, social and ecological circumstances. The approach appears to be more effective for larger case study areas, but further testing is required in a broader variety of contexts.</w:t>
      </w:r>
    </w:p>
    <w:p>
      <w:pPr/>
      <w:r>
        <w:rPr>
          <w:b/>
        </w:rPr>
        <w:t>POSSIBLE 2023:</w:t>
      </w:r>
      <w:r>
        <w:t xml:space="preserve"> The role of shared mobility in reducing perceived private car dependency — https://doi.org/10.1016/j.trd.2023.104023</w:t>
      </w:r>
    </w:p>
    <w:p>
      <w:pPr/>
      <w:r>
        <w:rPr>
          <w:b/>
        </w:rPr>
        <w:t>Shared claim-specific concepts:</w:t>
      </w:r>
      <w:r>
        <w:t xml:space="preserve"> show, dependency, existing; EU scope not established. This is a provisional connection, not an outcome finding.</w:t>
      </w:r>
    </w:p>
    <w:p>
      <w:pPr>
        <w:pStyle w:val="SourceNote"/>
      </w:pPr>
      <w:r>
        <w:rPr>
          <w:b/>
        </w:rPr>
        <w:t>Available abstract (not full text):</w:t>
      </w:r>
      <w:r>
        <w:t xml:space="preserve"> Existing contributions have explored the effect of specific shared-mobility services on car ownership reduction, but there is still a lack of analysis regarding the impact of shared-mobility, understood as new mobility concept. To fill this gap, a survey gathering 15,666 responses from residents in the Region of Madrid was conducted. A Multilevel Ordered Logit explored the individual and spatial dimensions of the potential of shared mobility to reduce car ownership. The results show that frequent car users and individuals owning more cars are less likely to believe they could give them up, but the adoption of moped-sharing or carsharing moderates this effect. For those who do not own a car, shared-mobility seems to be effective reducing their perceived need to own one in the future. Finally, the potential reduction of car ownership is more evident in dense urban areas, but a considerable spatial heterogeneity is observed throughout the metropolitan area.</w:t>
      </w:r>
    </w:p>
    <w:p>
      <w:pPr/>
      <w:r>
        <w:rPr>
          <w:b/>
        </w:rPr>
        <w:t>POSSIBLE 2022:</w:t>
      </w:r>
      <w:r>
        <w:t xml:space="preserve"> Models for analysing the dependencies between indicators for bioeconomy in the European Union — https://doi.org/10.1080/1331677x.2021.1997623</w:t>
      </w:r>
    </w:p>
    <w:p>
      <w:pPr/>
      <w:r>
        <w:rPr>
          <w:b/>
        </w:rPr>
        <w:t>Shared claim-specific concepts:</w:t>
      </w:r>
      <w:r>
        <w:t xml:space="preserve"> dependency, higher; EU scope visible. This is a provisional connection, not an outcome finding.</w:t>
      </w:r>
    </w:p>
    <w:p>
      <w:pPr>
        <w:pStyle w:val="SourceNote"/>
      </w:pPr>
      <w:r>
        <w:rPr>
          <w:b/>
        </w:rPr>
        <w:t>Available abstract (not full text):</w:t>
      </w:r>
      <w:r>
        <w:t xml:space="preserve"> In the past decade, bioeconomy has become a main field of interest, especially in terms of innovation, as it was often considered a potential solution to several global sustainability issues, such as environmental challenges. Through the conversion of biomass into value-added products for a full reintegration of used renewable biological resources, this sector has played a significant role in the efforts to transfer from petroleum-based economies to bio-based economies. The present article has the objective of developing panel regression models for determining the dependency between some of the main indicators of the bioeconomy development and sustainability for the European Union in the period 2008–2013. One main interesting finding of the study emphasised that higher gas emissions from agriculture are associated positively with higher turnover in the bioeconomy, implying the fact that the development of the bioeconomy is surprisingly not necessarily associated with sustainability. The relevance of the present study lies in the novelty of the subject, as bioeconomy was mainly researched in terms of theoretical knowledge, but less in terms of statistical analysis. Thus, the article offers a comprehensive research regarding the connection of the bioeconomy quantifying indicators and other selected economic influence factors of the European Union.</w:t>
      </w:r>
    </w:p>
    <w:p>
      <w:pPr/>
      <w:r>
        <w:rPr>
          <w:b/>
        </w:rPr>
        <w:t>POSSIBLE 2021:</w:t>
      </w:r>
      <w:r>
        <w:t xml:space="preserve"> How to reduce the degree of dependency on natural resources? — https://doi.org/10.1016/j.resourpol.2021.102047</w:t>
      </w:r>
    </w:p>
    <w:p>
      <w:pPr/>
      <w:r>
        <w:rPr>
          <w:b/>
        </w:rPr>
        <w:t>Shared claim-specific concepts:</w:t>
      </w:r>
      <w:r>
        <w:t xml:space="preserve"> dependency, reduced, degree; EU scope not established. This is a provisional connection, not an outcome finding.</w:t>
      </w:r>
    </w:p>
    <w:p>
      <w:pPr>
        <w:pStyle w:val="SourceNote"/>
      </w:pPr>
      <w:r>
        <w:rPr>
          <w:b/>
        </w:rPr>
        <w:t>Available abstract (not full text):</w:t>
      </w:r>
      <w:r>
        <w:t xml:space="preserve"> Many natural resources rich countries are characterized by natural resource dependency and lack of economic diversification. They experience lower economic growth due to excessive exploitation of natural resources, high resource price volatility, undermining the competitiveness of the non-natural resources sectors, and weak institutional quality. Economic diversification is viewed as a long-term solution to high economic dependency on natural resources. Although this diversification can take place in every sector of the economy, economic dependency on natural resources can be reduced through both private sector development and public sector reforms. This empirical research examines the factors that may affect a country's degree of dependency on natural resources. A dynamic flexible adjustment model is employed om an unbalanced panel data for 110 countries from 1990 to 2017, to estimate the relationship between private sector development, public sector reforms, taxation systems, and dependency on natural. The findings reveal that the degree of dependency on natural resource revenue will reduce with the development of the public sector including privatization and development of national taxation systems. Institutional quality and human development are crucial for reducing this dependency and the speed at which countries transition towards an optimal level of diversification.</w:t>
      </w:r>
    </w:p>
    <w:p>
      <w:pPr>
        <w:pStyle w:val="Heading2"/>
      </w:pPr>
      <w:r>
        <w:t>759. Multi-Model Projections of River Flood Risk in Europe under Global Warming</w:t>
      </w:r>
    </w:p>
    <w:p>
      <w:pPr>
        <w:pStyle w:val="SourceNote"/>
      </w:pPr>
      <w:r>
        <w:rPr>
          <w:b/>
        </w:rPr>
        <w:t>Original source (2018):</w:t>
      </w:r>
      <w:r>
        <w:t xml:space="preserve"> https://doi.org/10.3390/cli6010006</w:t>
      </w:r>
    </w:p>
    <w:p>
      <w:pPr/>
      <w:r>
        <w:t>Original wording (abstract; indexed_source_text_not_full_document_verified): Knowledge on the costs of natural disasters under climate change is key information for planning adaptation and mitigation strategies of future climate policies. This work compares estimates of river flood risk in Europe from three recent case studies, assuming global warming scenarios of 1.5, 2, and 3 degrees Celsius from pre-industrial levels.</w:t>
      </w:r>
    </w:p>
    <w:p>
      <w:pPr/>
      <w:r>
        <w:rPr>
          <w:b/>
        </w:rPr>
        <w:t>POSSIBLE 2026:</w:t>
      </w:r>
      <w:r>
        <w:t xml:space="preserve"> Systemic barriers and untapped potentials: a SWOT study on the implementation of natural/small water retention measures in Europe — https://doi.org/10.1016/j.jrurstud.2026.104099</w:t>
      </w:r>
    </w:p>
    <w:p>
      <w:pPr/>
      <w:r>
        <w:rPr>
          <w:b/>
        </w:rPr>
        <w:t>Shared claim-specific concepts:</w:t>
      </w:r>
      <w:r>
        <w:t xml:space="preserve"> knowledge, natural, climate, adaptation, mitigation, case; EU scope visible. This is a provisional connection, not an outcome finding.</w:t>
      </w:r>
    </w:p>
    <w:p>
      <w:pPr>
        <w:pStyle w:val="SourceNote"/>
      </w:pPr>
      <w:r>
        <w:rPr>
          <w:b/>
        </w:rPr>
        <w:t>Available abstract (not full text):</w:t>
      </w:r>
      <w:r>
        <w:t xml:space="preserve"> There is strong evidence that ecosystem-based approaches, such as Natural/Small Water Retention Measures (NSWRMs) can be an important solution to problems associated with managing water quality and quantity, soil erosion, and nutrient loss. Moreover, they deliver multiple co-benefits such as increased biodiversity, climate change adaptation and mitigation, alongside aesthetic and recreational functions. However, despite their apparent advantages and significant political momentum for their expanded deployment, implementation of NSWRMs remains slow. This study asks why this is the case and employs a methodologically rigorous variant of the SWOT framework combining qualitative and quantitative (scoring and cluster analysis) elements to assess the exact barriers and potentials for increasing the NSWRMs’ implementation across Europe. The empirical analysis draws on case studies of fourteen small watersheds distributed across twelve European countries to explore the factors affecting the NSWRMs adoption, evaluate their relative importance, and identify necessary intervention areas for their better uptake. Our findings indicate that the main drivers for NSWRMs implementation are high knowledge availability through formal and informal networks, as well as support through advisory services. On the other hand, the main hindrances are inadequate financing schemes but also uncertain socie</w:t>
      </w:r>
    </w:p>
    <w:p>
      <w:pPr/>
      <w:r>
        <w:rPr>
          <w:b/>
        </w:rPr>
        <w:t>POSSIBLE 2025:</w:t>
      </w:r>
      <w:r>
        <w:t xml:space="preserve"> Restoring semi-natural grasslands in Central Europe with plant material transfer – achievements, success factors, and knowledge transfer — https://doi.org/10.22029/jlupub-20455</w:t>
      </w:r>
    </w:p>
    <w:p>
      <w:pPr/>
      <w:r>
        <w:rPr>
          <w:b/>
        </w:rPr>
        <w:t>Shared claim-specific concepts:</w:t>
      </w:r>
      <w:r>
        <w:t xml:space="preserve"> knowledge, climate, information, three; EU scope visible. This is a provisional connection, not an outcome finding.</w:t>
      </w:r>
    </w:p>
    <w:p>
      <w:pPr>
        <w:pStyle w:val="SourceNote"/>
      </w:pPr>
      <w:r>
        <w:rPr>
          <w:b/>
        </w:rPr>
        <w:t>Available abstract (not full text):</w:t>
      </w:r>
      <w:r>
        <w:t xml:space="preserve"> Since the industrial revolution, land use changes and intensification of use have drastically reduced the area of species-rich, semi-natural grasslands in Central Europe. Active restoration of these ecosystems is therefore necessary and increasingly demanded by legislation. One method to (re-)introduce target plant species is the transfer of seed-containing plant material cut from species-rich, semi-natural donor sites. Given the urgency of the restoration task, the aim of this thesis is to contribute to understanding the success factors of this method, particularly in practice. In a first study, 20 recipient sites of floodplain meadow restoration in Hesse, Germany, were revisited and investigated for vegetation composition in comparison to their corresponding donor sites 13-16 years after plant material transfer. To assess the potential for livestock feeding, biomass yield and energy contents were measured, too. In a second study, 41 recipient-donor site pairs from practical grassland restoration projects in different regions of Germany and Luxembourg spanning a broad moisture gradient were investigated. Vegetation was recorded, and soil analyses and information on restoration from the practice partners were used for success factor identification. In a third study, 33 practitioners of grassland restoration with plant material transfer were interviewed to compare their views on</w:t>
      </w:r>
    </w:p>
    <w:p>
      <w:pPr/>
      <w:r>
        <w:rPr>
          <w:b/>
        </w:rPr>
        <w:t>POSSIBLE 2025:</w:t>
      </w:r>
      <w:r>
        <w:t xml:space="preserve"> A Soil Monitoring Law for Europe — https://doi.org/10.1002/gch2.202400336</w:t>
      </w:r>
    </w:p>
    <w:p>
      <w:pPr/>
      <w:r>
        <w:rPr>
          <w:b/>
        </w:rPr>
        <w:t>Shared claim-specific concepts:</w:t>
      </w:r>
      <w:r>
        <w:t xml:space="preserve"> knowledge, natural, climate, estimates; EU scope visible. This is a provisional connection, not an outcome finding.</w:t>
      </w:r>
    </w:p>
    <w:p>
      <w:pPr>
        <w:pStyle w:val="SourceNote"/>
      </w:pPr>
      <w:r>
        <w:rPr>
          <w:b/>
        </w:rPr>
        <w:t>Available abstract (not full text):</w:t>
      </w:r>
      <w:r>
        <w:t xml:space="preserve"> Over 60% of European soils are unhealthy according to the Soil Mission board estimates and the indicators presented in the European Union (EU) Soil degradation dashboard. The situation may worsen if no policy interventions are taken. The unsustainable use of natural resources, in particular the degradation of soils, precipitates biodiversity loss, exacerbated by the climate crisis. In particular, in the EU alone, soil degradation costs over €50 billion per year due to the loss of essential services they provide and to the impact on human health. Here a more precise estimation of the soil degradation cost related to a set of soil degradation processes, ranging between €40.9 and 72.7 billion per year is presented. This newly updated estimate compared to the Impact assessment of the Soil Monitoring Law takes into account the costs of soil erosion, contamination, phosphorus losses, soil carbon losses, nitrogen losses, soil compaction, and soil sealing. However, this estimation might double if it is added to the costs of soil biodiversity loss, floods, droughts, off-site effects of soil erosion, and health consequences of soil contamination. Therefore, further research is needed to address this knowledge gap and estimate the missing costs. Soil degradation is a critical issue with transboundary implications that requires urgent attention and action at the EU level. The costs of soil</w:t>
      </w:r>
    </w:p>
    <w:p>
      <w:pPr/>
      <w:r>
        <w:rPr>
          <w:b/>
        </w:rPr>
        <w:t>POSSIBLE 2023:</w:t>
      </w:r>
      <w:r>
        <w:t xml:space="preserve"> Biological Deterioration and Natural Durability of Wood in Europe — https://doi.org/10.3390/f14020283</w:t>
      </w:r>
    </w:p>
    <w:p>
      <w:pPr/>
      <w:r>
        <w:rPr>
          <w:b/>
        </w:rPr>
        <w:t>Shared claim-specific concepts:</w:t>
      </w:r>
      <w:r>
        <w:t xml:space="preserve"> natural, climate, key, recent; EU scope visible. This is a provisional connection, not an outcome finding.</w:t>
      </w:r>
    </w:p>
    <w:p>
      <w:pPr>
        <w:pStyle w:val="SourceNote"/>
      </w:pPr>
      <w:r>
        <w:rPr>
          <w:b/>
        </w:rPr>
        <w:t>Available abstract (not full text):</w:t>
      </w:r>
      <w:r>
        <w:t xml:space="preserve"> In recent years, the use of wood has gained social interest, leading to a global increase in its demand. Yet, this demand is often covered by the production of woods of low natural durability against biological deterioration. The main biological agents with the potential to attack the structural integrity of wood are wood-decay fungi, saproxylic beetles, termites, and marine molluscs and crustaceans. In most circumstances, fungi are the main wood-deteriorating agents. To attack the cell wall, wood-decay fungi combine a complex enzymatic mechanism with non-enzymatic mechanisms based on low-molecular-weight compounds. In some cases, the larvae of saproxylic beetles can also digest cell wood components, causing serious deterioration to wooden structures. The impact of subterranean termites in Europe is concentrated in the Southern countries, causing important economic losses. However, alien invasive species of voracious subterranean termites are expanding their presence in Europe. Wooden elements in permanent contact with marine water can be readily deteriorated by mollusc and crustacean borers, for which current preservatives lack efficacy. The natural durability of wood is defined as the inherent resistance of wood to catastrophic action by wood-destroying organisms. Besides exposure to the climate, product design and use conditions, the natural durability of wood is key to the </w:t>
      </w:r>
    </w:p>
    <w:p>
      <w:pPr/>
      <w:r>
        <w:rPr>
          <w:b/>
        </w:rPr>
        <w:t>POSSIBLE 2023:</w:t>
      </w:r>
      <w:r>
        <w:t xml:space="preserve"> Costs and benefits of climate services for heat-health adaptation in Europe — https://doi.org/10.1093/eurpub/ckad160.371</w:t>
      </w:r>
    </w:p>
    <w:p>
      <w:pPr/>
      <w:r>
        <w:rPr>
          <w:b/>
        </w:rPr>
        <w:t>Shared claim-specific concepts:</w:t>
      </w:r>
      <w:r>
        <w:t xml:space="preserve"> knowledge, climate, information, adaptation, work; EU scope visible. This is a provisional connection, not an outcome finding.</w:t>
      </w:r>
    </w:p>
    <w:p>
      <w:pPr>
        <w:pStyle w:val="SourceNote"/>
      </w:pPr>
      <w:r>
        <w:rPr>
          <w:b/>
        </w:rPr>
        <w:t>Available abstract (not full text):</w:t>
      </w:r>
      <w:r>
        <w:t xml:space="preserve"> Abstract Background Climate services for health aim to support informed decision-making and enable early action and preparedness. More knowledge is still needed regarding the costs and benefits of climate services, as well as effectiveness, and technical, structural, and societal barriers and facilitators to implementation and use. Aim To map the evidence on the economic assessment and use of climate services for health in reducing heat-associated mortality and morbidity and explore the societal impact of climate services, particularly in Europe. Methods We focus on two methods in this study: 1) a scoping review of literature on the economic assessment and health benefit of climate services 2) a set of interviews with climate service developers and providers in Europe to understand further technical and societal aspects as well as evaluation of such services. Findings From the scoping review, a total of 27 peer-reviewed articles all presenting heat early warning systems (HEWS) that work on a weather timescale were identified. The results from economic assessment studies suggested HEWS can produce health benefits greater than the operational cost, even during future climate change scenarios. While most of the studies assessing health outcomes have suggested that HEWS can help in reducing heat-related mortality and morbidity, some concluded no significant impact and some suggeste</w:t>
      </w:r>
    </w:p>
    <w:p>
      <w:pPr/>
      <w:r>
        <w:rPr>
          <w:b/>
        </w:rPr>
        <w:t>POSSIBLE 2023:</w:t>
      </w:r>
      <w:r>
        <w:t xml:space="preserve"> Does climate change drive up government healthcare costs in the European Union? — https://doi.org/10.3389/fenvs.2023.1286099</w:t>
      </w:r>
    </w:p>
    <w:p>
      <w:pPr/>
      <w:r>
        <w:rPr>
          <w:b/>
        </w:rPr>
        <w:t>Shared claim-specific concepts:</w:t>
      </w:r>
      <w:r>
        <w:t xml:space="preserve"> climate, warming; EU scope visible. This is a provisional connection, not an outcome finding.</w:t>
      </w:r>
    </w:p>
    <w:p>
      <w:pPr>
        <w:pStyle w:val="SourceNote"/>
      </w:pPr>
      <w:r>
        <w:rPr>
          <w:b/>
        </w:rPr>
        <w:t>Available abstract (not full text):</w:t>
      </w:r>
      <w:r>
        <w:t xml:space="preserve"> The continuous growth in average temperature around the world, caused especially by CO2 emissions, generates climate changes significantly impacts not only economic or social domains, but also human health. The previous literature provides evidence of degradation of human health due to climate change and emphasizes pressure on governments to increase government spending on health. The aim of this study is to analyze the impact of climate change, expressed by temperature and CO2 emissions, on healthcare spending in the European Union member states using available data from 2000 to 2020. In addition to prior research, this paper incorporates supplementary control variables such as governance, macroeconomic factors (GDP and inflation) and human development index. To capture the dynamic impact of climate change on healthcare expenditure, we use the Generalized Method of Moments (GMM) technique and the panel VAR Granger causality method. Empirical findings suggest that an increase in temperature and CO2 emissions levels, along with improvements in governance, economic growth, inflation, and human development, contribute to higher healthcare expenditures. Rising temperature and CO2 emissions are directly increasing the health burden on individuals’ health and force governments to enhance health spending. The paper is notable for its comprehensive approach, filling a significant gap i</w:t>
      </w:r>
    </w:p>
    <w:p>
      <w:pPr/>
      <w:r>
        <w:rPr>
          <w:b/>
        </w:rPr>
        <w:t>POSSIBLE 2023:</w:t>
      </w:r>
      <w:r>
        <w:t xml:space="preserve"> Influence of Climate and Geographical Location on the Development of Scientific Knowledge In Europe and Asia — https://openalex.org/W7215669423</w:t>
      </w:r>
    </w:p>
    <w:p>
      <w:pPr/>
      <w:r>
        <w:rPr>
          <w:b/>
        </w:rPr>
        <w:t>Shared claim-specific concepts:</w:t>
      </w:r>
      <w:r>
        <w:t xml:space="preserve"> knowledge, natural, climate; EU scope visible. This is a provisional connection, not an outcome finding.</w:t>
      </w:r>
    </w:p>
    <w:p>
      <w:pPr>
        <w:pStyle w:val="SourceNote"/>
      </w:pPr>
      <w:r>
        <w:rPr>
          <w:b/>
        </w:rPr>
        <w:t>Available abstract (not full text):</w:t>
      </w:r>
      <w:r>
        <w:t xml:space="preserve"> Does this mean that geographical factors determine the fate of a country's development? If yes, to what extent? If not, what measures should be taken to ensure long-term economic growth? We will try to shed light on these and other questions in this article. Geographically isolated countries and their common problems, it is no secret that the development of a country is significantly influenced by its geographical location and natural features.</w:t>
      </w:r>
    </w:p>
    <w:p>
      <w:pPr/>
      <w:r>
        <w:rPr>
          <w:b/>
        </w:rPr>
        <w:t>POSSIBLE 2023:</w:t>
      </w:r>
      <w:r>
        <w:t xml:space="preserve"> Techno-economic analysis of underground hydrogen storage in Europe — https://doi.org/10.1016/j.isci.2023.108771</w:t>
      </w:r>
    </w:p>
    <w:p>
      <w:pPr/>
      <w:r>
        <w:rPr>
          <w:b/>
        </w:rPr>
        <w:t>Shared claim-specific concepts:</w:t>
      </w:r>
      <w:r>
        <w:t xml:space="preserve"> knowledge, information, three; EU scope visible. This is a provisional connection, not an outcome finding.</w:t>
      </w:r>
    </w:p>
    <w:p>
      <w:pPr>
        <w:pStyle w:val="SourceNote"/>
      </w:pPr>
      <w:r>
        <w:rPr>
          <w:b/>
        </w:rPr>
        <w:t>Available abstract (not full text):</w:t>
      </w:r>
      <w:r>
        <w:t xml:space="preserve"> Hydrogen storage is crucial to developing secure renewable energy systems to meet the European Union's 2050 carbon neutrality objectives. However, a knowledge gap exists concerning the site-specific performance and economic viability of utilizing underground gas storage (UGS) sites for hydrogen storage in Europe. We compile information on European UGS sites to assess potential hydrogen storage capacity and evaluate the associated current and future costs. The total hydrogen storage potential in Europe is 349 TWh of working gas energy (WGE), with site-specific capital costs ranging from $10 million to $1 billion. Porous media and salt caverns, boasting a minimum storage capacity of 0.5 TWh WGE, exhibit levelized costs of $1.5 and $0.8 per kilogram of hydrogen, respectively. It is estimated that future levelized costs associated with hydrogen storage can potentially decrease to as low as $0.4 per kilogram after three experience cycles. Leveraging these techno-economic considerations, we identify suitable storage sites.</w:t>
      </w:r>
    </w:p>
    <w:p>
      <w:pPr/>
      <w:r>
        <w:rPr>
          <w:b/>
        </w:rPr>
        <w:t>POSSIBLE 2023:</w:t>
      </w:r>
      <w:r>
        <w:t xml:space="preserve"> SPECIFICATIONS OF THE ACCOUNTING OF HUMAN CAPITAL COSTS IN THE COUNTRIES OF THE EUROPEAN UNION — https://doi.org/10.30525/978-9934-26-268-5-16</w:t>
      </w:r>
    </w:p>
    <w:p>
      <w:pPr/>
      <w:r>
        <w:rPr>
          <w:b/>
        </w:rPr>
        <w:t>Shared claim-specific concepts:</w:t>
      </w:r>
      <w:r>
        <w:t xml:space="preserve"> knowledge, information; EU scope visible. This is a provisional connection, not an outcome finding.</w:t>
      </w:r>
    </w:p>
    <w:p>
      <w:pPr>
        <w:pStyle w:val="SourceNote"/>
      </w:pPr>
      <w:r>
        <w:rPr>
          <w:b/>
        </w:rPr>
        <w:t>Available abstract (not full text):</w:t>
      </w:r>
      <w:r>
        <w:t xml:space="preserve"> The section was published based on the results of the implementation of the state budget research topic “Building a system of accounting and analytical informatio and auditing of the activities of entities at different levels of management” (state registration number 0121U110164). Accounting for costs of human capital in accounting and analytical information takes a thorough position. In the modern economy of knowledge, human capital is the most valuable resource for the harmonious development of national economies. The specifics of human capital expense accounting are determined by the immateriality of the asset and the meaningfulness of its content. The purpose of the study is to reveal the specifics of accounting for human capital costs in general and in the countries of the European Union, in particular. It is appropriate to provide practical recommendations on their accounting, taking into account the specifics. The specifics of accounting for human capital costs are given. A large number of interpretations of the “human capital” category was revealed. Their legal regulation is needed. It was determined that it is advisable to apply “International Financial Reporting Standards” for human capital accounting. It is proposed to develop a comprehensive accounting of costs for human capital in IFRS. An analysis of the budgets of the European Union states was carried out, taking</w:t>
      </w:r>
    </w:p>
    <w:p>
      <w:pPr/>
      <w:r>
        <w:rPr>
          <w:b/>
        </w:rPr>
        <w:t>POSSIBLE 2022:</w:t>
      </w:r>
      <w:r>
        <w:t xml:space="preserve"> Global economic costs and knowledge gaps of invasive gastropods — https://doi.org/10.1016/j.ecolind.2022.109614</w:t>
      </w:r>
    </w:p>
    <w:p>
      <w:pPr/>
      <w:r>
        <w:rPr>
          <w:b/>
        </w:rPr>
        <w:t>Shared claim-specific concepts:</w:t>
      </w:r>
      <w:r>
        <w:t xml:space="preserve"> knowledge, information; EU scope visible. This is a provisional connection, not an outcome finding.</w:t>
      </w:r>
    </w:p>
    <w:p>
      <w:pPr>
        <w:pStyle w:val="SourceNote"/>
      </w:pPr>
      <w:r>
        <w:rPr>
          <w:b/>
        </w:rPr>
        <w:t>Available abstract (not full text):</w:t>
      </w:r>
      <w:r>
        <w:t xml:space="preserve"> Invasive alien gastropods are a particularly pervasive taxonomic group worldwide, often causing substantial impacts on aquatic and terrestrial ecosystems. Yet, much remains unknown about this invasive group’s economic costs to human society. Here, we used the InvaCost database to evaluate the taxonomic, spatial, and temporal patterns of economic costs associated with invasive gastropods on the global scale. In total, 13 species of invasive gastropods caused a cumulative global cost of US$ 3.94 billion over the period 1966–2020, with a majority being attributed to aquatic species ($ 3.72 billion, 94.4 %, concentrated mostly in Asia) and only $ 0.22 billion (5.6 %, concentrated mostly in Europe) to terrestrial species. Among different regions, Asia (3.71 billion) reported the greatest costs, compared to far lower costs reported in Europe (214.50 million), North America (13.80 million), Oceania (2.69 million), South America (&lt;1 million) and Africa (&lt;1 million). The vast majority (94.2 %) of these costs were due to the family Ampullariidae and the genus Pomacea (apple snails) which were largely reported in Asia. Furthermore, 88.4 % of total gastropod-related costs resulted from direct resource damages and losses, being one order of magnitude higher than management related costs (9.0 %). A majority (81.5 %) of total gastropod costs was incurred by agriculture, and relatively little </w:t>
      </w:r>
    </w:p>
    <w:p>
      <w:pPr/>
      <w:r>
        <w:rPr>
          <w:b/>
        </w:rPr>
        <w:t>POSSIBLE 2022:</w:t>
      </w:r>
      <w:r>
        <w:t xml:space="preserve"> Closing the loop on plastics in Europe: The role of data, information and knowledge — https://doi.org/10.1016/j.spc.2022.08.019</w:t>
      </w:r>
    </w:p>
    <w:p>
      <w:pPr/>
      <w:r>
        <w:rPr>
          <w:b/>
        </w:rPr>
        <w:t>Shared claim-specific concepts:</w:t>
      </w:r>
      <w:r>
        <w:t xml:space="preserve"> knowledge, key, information, policies, work, recent; EU scope visible. This is a provisional connection, not an outcome finding.</w:t>
      </w:r>
    </w:p>
    <w:p>
      <w:pPr>
        <w:pStyle w:val="SourceNote"/>
      </w:pPr>
      <w:r>
        <w:rPr>
          <w:b/>
        </w:rPr>
        <w:t>Available abstract (not full text):</w:t>
      </w:r>
      <w:r>
        <w:t xml:space="preserve"> Concerns over plastic waste and support for a plastic circular economy have been growing in recent years. Specific needs to promote re-circulation of plastics in terms of data, information and knowledge are poorly understood. Based on the multi-level perspective on socio-technical transitions and semi-structured interviews with key stakeholders, this paper aims to understand how information and knowledge issues may inhibit or foster the development of secondary plastics markets in Europe. Results highlight that key barriers associated with data-information-knowledge map across, and interact with, policies and standards, market and technology, socio-cultural norms, networks and business models. The packaging sector has drawn more policy attention, and institutions to support information sharing such as labelling and certification are more mature. The automotive and EEE sectors have illustrated knowledge diffusion through supply chain collaboration, while the construction sector appears to have slower practical progress on industry-level knowledge diffusion. This paper contributes to the multi-level perspective on transition studies by focusing the empirical work on a new area of plastic circular economy. The cases playing out across the whole value chain and four different application areas provide insights that are potentially more widely applicable to the circular economy tran</w:t>
      </w:r>
    </w:p>
    <w:p>
      <w:pPr/>
      <w:r>
        <w:rPr>
          <w:b/>
        </w:rPr>
        <w:t>POSSIBLE 2022:</w:t>
      </w:r>
      <w:r>
        <w:t xml:space="preserve"> Global economic costs of mammal invasions — https://doi.org/10.1016/j.scitotenv.2022.159479</w:t>
      </w:r>
    </w:p>
    <w:p>
      <w:pPr/>
      <w:r>
        <w:rPr>
          <w:b/>
        </w:rPr>
        <w:t>Shared claim-specific concepts:</w:t>
      </w:r>
      <w:r>
        <w:t xml:space="preserve"> knowledge, natural; EU scope visible. This is a provisional connection, not an outcome finding.</w:t>
      </w:r>
    </w:p>
    <w:p>
      <w:pPr>
        <w:pStyle w:val="SourceNote"/>
      </w:pPr>
      <w:r>
        <w:rPr>
          <w:b/>
        </w:rPr>
        <w:t>Available abstract (not full text):</w:t>
      </w:r>
      <w:r>
        <w:t xml:space="preserve"> Invasive alien mammals cause huge adverse ecological impact on human society and natural ecosystems. Although studies have estimated economic costs of mammal invasions at regional scales, there is lacking the large-scale comprehensive assessment of currency costs for this taxon. Here, we estimated the economic cost of invasive alien mammals on a global scale using the most comprehensive global database compiling economic costs of invasive species (InvaCost). From 1960 to 2021, mammal invasions caused costs (summing damage costs and management costs) of US$ 462.49 billion to the global economy, while the total amount of robust costs reached US$ 52.49 billion. The majority of the total economic costs corresponded to damage costs (90.27 %), while only 7.43 % were related to management cost. Economic costs showed an increasing trend over time. The distribution of costs was uneven among taxonomic groups and regions, with the global total cost highly biasing toward to 5 species (European rabbit, Domestic cat, Black rat, Wild boar and Coypu), and North America reporting much higher costs (60.78 % of total economic costs) than other regions. The total costs were borne by agriculture, environment, authorities stakeholders and other sectors. Geographic and taxonomic biases suggested that total economic costs caused by invasive alien mammals were underestimated. Integrated research effort</w:t>
      </w:r>
    </w:p>
    <w:p>
      <w:pPr>
        <w:pStyle w:val="Heading2"/>
      </w:pPr>
      <w:r>
        <w:t>760. New European socio-economic scenarios for climate change research: operationalising concepts to extend the shared socio-economic pathways</w:t>
      </w:r>
    </w:p>
    <w:p>
      <w:pPr>
        <w:pStyle w:val="SourceNote"/>
      </w:pPr>
      <w:r>
        <w:rPr>
          <w:b/>
        </w:rPr>
        <w:t>Original source (2018):</w:t>
      </w:r>
      <w:r>
        <w:t xml:space="preserve"> https://doi.org/10.1007/s10113-018-1400-0</w:t>
      </w:r>
    </w:p>
    <w:p>
      <w:pPr/>
      <w:r>
        <w:t>Original wording (abstract; indexed_source_text_not_full_document_verified): Scenarios have been recognised as a useful tool for planning, which have resulted in a strong increase in the number of (multi-scale) scenarios in climate change research. We present a set of four European SSPs until 2100 and a novel method to develop qualitative stories for Europe equivalent to the global SSPs starting from an existing set of European scenarios.</w:t>
      </w:r>
    </w:p>
    <w:p>
      <w:pPr/>
      <w:r>
        <w:rPr>
          <w:b/>
        </w:rPr>
        <w:t>POSSIBLE 2026:</w:t>
      </w:r>
      <w:r>
        <w:t xml:space="preserve"> Ventilator built-in software: is it a useful and reliable tool? — https://doi.org/10.23866/brnrev:2026-0005</w:t>
      </w:r>
    </w:p>
    <w:p>
      <w:pPr/>
      <w:r>
        <w:rPr>
          <w:b/>
        </w:rPr>
        <w:t>Shared claim-specific concepts:</w:t>
      </w:r>
      <w:r>
        <w:t xml:space="preserve"> useful, tool, novel; EU scope not established. This is a provisional connection, not an outcome finding.</w:t>
      </w:r>
    </w:p>
    <w:p>
      <w:pPr>
        <w:pStyle w:val="SourceNote"/>
      </w:pPr>
      <w:r>
        <w:rPr>
          <w:b/>
        </w:rPr>
        <w:t>Available abstract (not full text):</w:t>
      </w:r>
      <w:r>
        <w:t xml:space="preserve"> Home mechanical ventilation devices incorporate built-in software (BIS) that continuously records adherence, leaks, tidal volume, respiratory rate, and the apnea-hypopnea index (AHI), constituting a fundamental pillar in the follow-up of patients with chronic respiratory failure on non-invasive ventilation.Reliability of leak estimation and AHI varies considerably between manufacturers.The predictive use of BIS for early detection of chronic obstructive pulmonary disease (COPD) exacerbations is promising but requires prospective validation.Telemonitoring integrates BIS with cloud platforms, enabling remote adjustment and early warning, although hospitalisation reduction in severe COPD remains unproven.Artificial intelligence and Big Data represent the most novel frontier.Ideal software should provide full access to ventilator parameters and alarms, simultaneous multi-signal visualization, transcutaneous capnography integration, and manual event correction tools.</w:t>
      </w:r>
    </w:p>
    <w:p>
      <w:pPr/>
      <w:r>
        <w:rPr>
          <w:b/>
        </w:rPr>
        <w:t>POSSIBLE 2025:</w:t>
      </w:r>
      <w:r>
        <w:t xml:space="preserve"> Digital design as a tool for teaching primary schools’ students to recognise artistic techniques in texts — https://doi.org/10.1177/20427530251358506</w:t>
      </w:r>
    </w:p>
    <w:p>
      <w:pPr/>
      <w:r>
        <w:rPr>
          <w:b/>
        </w:rPr>
        <w:t>Shared claim-specific concepts:</w:t>
      </w:r>
      <w:r>
        <w:t xml:space="preserve"> tool, increase, develop; EU scope not established. This is a provisional connection, not an outcome finding.</w:t>
      </w:r>
    </w:p>
    <w:p>
      <w:pPr>
        <w:pStyle w:val="SourceNote"/>
      </w:pPr>
      <w:r>
        <w:rPr>
          <w:b/>
        </w:rPr>
        <w:t>Available abstract (not full text):</w:t>
      </w:r>
      <w:r>
        <w:t xml:space="preserve"> The aim of the study was to investigate the potential of digital design for the development of art recognition skills in primary school students. To achieve this goal, methods of analysis were applied, which included a comparative study of global and national educational platforms, an assessment of their potential for building literary skills, and a content analysis of instructional texts. The methodological approach was based on the integration of data on the effectiveness of digital technologies, the use of multimedia and visualisation in educational practice. The study revealed that educational platforms such as Canva, Popplet, Padlet and Book Creator play a key role in the development of creative thinking, analytical and visualisation skills in primary school students. The Kazakh platforms BilimLand, Opiq. kz, Daryn. online and iMektep have demonstrated their effectiveness by adapting to the national context and integrating interactive tasks that facilitate the analysis of literary texts. Digital design incorporating multimedia elements, gamification and interactive presentations was found to significantly increase student engagement and improve their understanding of complex literary devices such as metaphors, hyperbole and epithets. The study also showed that digital competencies are an integral part of the educational process, fostering students’ critical thinking, indep</w:t>
      </w:r>
    </w:p>
    <w:p>
      <w:pPr/>
      <w:r>
        <w:rPr>
          <w:b/>
        </w:rPr>
        <w:t>POSSIBLE 2025:</w:t>
      </w:r>
      <w:r>
        <w:t xml:space="preserve"> Scaling Decision‐Support Tools to Promote Soil Health: Insights From Stakeholders in Europe and Turkey — https://doi.org/10.1111/ejss.70113</w:t>
      </w:r>
    </w:p>
    <w:p>
      <w:pPr/>
      <w:r>
        <w:rPr>
          <w:b/>
        </w:rPr>
        <w:t>Shared claim-specific concepts:</w:t>
      </w:r>
      <w:r>
        <w:t xml:space="preserve"> tool, climate, set, develop; EU scope visible. This is a provisional connection, not an outcome finding.</w:t>
      </w:r>
    </w:p>
    <w:p>
      <w:pPr>
        <w:pStyle w:val="SourceNote"/>
      </w:pPr>
      <w:r>
        <w:rPr>
          <w:b/>
        </w:rPr>
        <w:t>Available abstract (not full text):</w:t>
      </w:r>
      <w:r>
        <w:t xml:space="preserve"> ABSTRACT Soil health and climate change are increasingly impacting agriculture across Europe. Decision support tools (DSTs) have emerged as essential tools to help make accurate, evidence‐based agricultural decisions aimed at enhancing productivity, profitability, and effective soil health management. Nevertheless, the adoption of these tools remains limited among farmers and varies across different regions. The aim of this study was to investigate, through a participatory approach, the challenges and drivers influencing the uptake and adoption of DSTs for sustainable soil management in Europe and Turkey. Our goal was to engage various stakeholders to identify the challenges and drivers associated with this process and collaboratively develop actionable recommendations to expand the application of DSTs. Multi‐stakeholder workshops were conducted in Italy, Latvia, Sweden and Turkey, bringing together end‐users, farmers, advisors, tool developers, researchers and policymakers from diverse agricultural contexts. The discussions during these workshops addressed the current use of DSTs, barriers to adoption, and potential solutions for scaling their use. The findings revealed that the primary barriers to adoption and scaling included costs, tool viability, data complexity, limited access to technical support, compatibility issues and insufficient marketing. To overcome these barrier</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useful, tool, strong, climate, novel;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2024:</w:t>
      </w:r>
      <w:r>
        <w:t xml:space="preserve"> Evolution of Energy Audits and Energy Management Systems: Legislation, Tools and Professionals at the Service of Energy Efficiency — https://doi.org/10.1051/e3sconf/202452304008</w:t>
      </w:r>
    </w:p>
    <w:p>
      <w:pPr/>
      <w:r>
        <w:rPr>
          <w:b/>
        </w:rPr>
        <w:t>Shared claim-specific concepts:</w:t>
      </w:r>
      <w:r>
        <w:t xml:space="preserve"> recognised, useful, tool; EU scope visible. This is a provisional connection, not an outcome finding.</w:t>
      </w:r>
    </w:p>
    <w:p>
      <w:pPr>
        <w:pStyle w:val="SourceNote"/>
      </w:pPr>
      <w:r>
        <w:rPr>
          <w:b/>
        </w:rPr>
        <w:t>Available abstract (not full text):</w:t>
      </w:r>
      <w:r>
        <w:t xml:space="preserve"> For several decades, Energy Audits have been recognised as a key tool for designing and implementing interventions to improve the overall efficiency of systems, sites and fleets. This concept has gained both European and international recognition for understanding and identifying situations that can yield efficiency gains. This has been re-affirmed with the recent publication of the “Directive (EU) 2023/1791 13 09 23 on energy efficiency” As far as regulatory tools are concerned, the European standards UNI CEI EN 16247 Energy Audits: 1,2,3 e 4 have recently been revised, while at internation-al level, the current revision of ISO 50002 “Energy Audits Requirements with guidance for use (1-2-3” aims to replace the European standards for an unambiguous international reference. Regarding the professionals involved, the revision of ’UNI CEI 11339 Energy Management Experts...’ will include the competences of the Energy Auditor, as 16247-5. This contribution aims to illustrate the most recent state of the art at the date of its publication. It will be useful to guide practitioners on how to prepare themselves in the short and medium term to comply with the regulations, enabling them to organise themselves effectively and offer energy efficiency solutions calculated and guaranteed by certified professionals or organisations to their customers and users.</w:t>
      </w:r>
    </w:p>
    <w:p>
      <w:pPr/>
      <w:r>
        <w:rPr>
          <w:b/>
        </w:rPr>
        <w:t>POSSIBLE 2023:</w:t>
      </w:r>
      <w:r>
        <w:t xml:space="preserve"> Nitrogen palaeo-isoscapes: Changing spatial gradients of faunal δ15N in late Pleistocene and early Holocene Europe — https://doi.org/10.1371/journal.pone.0268607</w:t>
      </w:r>
    </w:p>
    <w:p>
      <w:pPr/>
      <w:r>
        <w:rPr>
          <w:b/>
        </w:rPr>
        <w:t>Shared claim-specific concepts:</w:t>
      </w:r>
      <w:r>
        <w:t xml:space="preserve"> recognised, useful, tool, climate, present; EU scope visible. This is a provisional connection, not an outcome finding.</w:t>
      </w:r>
    </w:p>
    <w:p>
      <w:pPr>
        <w:pStyle w:val="SourceNote"/>
      </w:pPr>
      <w:r>
        <w:rPr>
          <w:b/>
        </w:rPr>
        <w:t>Available abstract (not full text):</w:t>
      </w:r>
      <w:r>
        <w:t xml:space="preserve"> Nitrogen isotope ratio analysis (δ15N) of animal tissue is widely used in archaeology and palaeoecology to investigate diet and ecological niche. Data interpretations require an understanding of nitrogen isotope compositions at the base of the food web (baseline δ15N). Significant variation in animal δ15N has been recognised at various spatiotemporal scales and related to changes both in baseline δ15N, linked to environmental and climatic influence on the terrestrial nitrogen cycle, and animal ecology. Isoscapes (models of isotope spatial variation) have proved a useful tool for investigating spatial variability in biogeochemical cycles in present-day marine and terrestrial ecosystems, but so far, their application to palaeo-data has been more limited. Here, we present time-sliced nitrogen isoscapes for late Pleistocene and early Holocene Europe (c. 50,000 to 10,000 years BP) using herbivore collagen δ15N data. This period covers the Last Glacial-Interglacial Transition, during which significant variation in the terrestrial nitrogen cycle occurred. We use generalized linear mixed modelling approaches for interpolation and test models which both include and exclude climate covariate data. Our results show clear changes in spatial gradients of δ15N through time. Prediction of the lowest faunal δ15N values in northern latitudes after, rather than during, the Last Glacial Maximum i</w:t>
      </w:r>
    </w:p>
    <w:p>
      <w:pPr/>
      <w:r>
        <w:rPr>
          <w:b/>
        </w:rPr>
        <w:t>POSSIBLE 2023:</w:t>
      </w:r>
      <w:r>
        <w:t xml:space="preserve"> Birds in Europe 4: the fourth assessment of Species of European Conservation Concern — https://doi.org/10.1017/s0959270923000187</w:t>
      </w:r>
    </w:p>
    <w:p>
      <w:pPr/>
      <w:r>
        <w:rPr>
          <w:b/>
        </w:rPr>
        <w:t>Shared claim-specific concepts:</w:t>
      </w:r>
      <w:r>
        <w:t xml:space="preserve"> number, four; EU scope visible. This is a provisional connection, not an outcome finding.</w:t>
      </w:r>
    </w:p>
    <w:p>
      <w:pPr>
        <w:pStyle w:val="SourceNote"/>
      </w:pPr>
      <w:r>
        <w:rPr>
          <w:b/>
        </w:rPr>
        <w:t>Available abstract (not full text):</w:t>
      </w:r>
      <w:r>
        <w:t xml:space="preserve"> Summary This is the fourth comprehensive assessment of the population status of all wild bird species in Europe. It identifies Species of European Conservation Concern (SPECs) so that action can be taken to improve their status. Species are categorised according to their global extinction risk, the size and trend of their European population and range, and Europe’s global responsibility for them. Of the 546 species assessed, 207 (38%) are SPECs: 74 (14%) of global concern (SPEC 1); 32 (6%) of European concern and concentrated in Europe (SPEC 2); and 101 (18%) of European concern but not concentrated in Europe (SPEC 3). The proportion of SPECs has remained similar (38–43%) across all four assessments since 1994, but the number of SPEC 1 species of global concern has trebled. The 44 species assessed as Non-SPECs in the third assessment (2017) but as SPECs here include multiple waders, raptors and passerines that breed in arctic, boreal or alpine regions, highlighting the growing importance of northern Europe and mountain ecosystems for bird conservation. Conversely, the 62 species assessed as SPECs in 2017 but as Non-SPECs here include various large waterbirds and raptors that are recovering due to conservation action. Since 1994, the number of specially protected species (listed on Annex I of the EU Birds Directive) qualifying as SPECs has fallen by 33%, while the number of hunt</w:t>
      </w:r>
    </w:p>
    <w:p>
      <w:pPr/>
      <w:r>
        <w:rPr>
          <w:b/>
        </w:rPr>
        <w:t>POSSIBLE 2023:</w:t>
      </w:r>
      <w:r>
        <w:t xml:space="preserve"> Split-root system as a useful tool to study woody plant biology — https://doi.org/10.1007/s11104-023-06025-3</w:t>
      </w:r>
    </w:p>
    <w:p>
      <w:pPr/>
      <w:r>
        <w:rPr>
          <w:b/>
        </w:rPr>
        <w:t>Shared claim-specific concepts:</w:t>
      </w:r>
      <w:r>
        <w:t xml:space="preserve"> useful, tool, method; EU scope not established. This is a provisional connection, not an outcome finding.</w:t>
      </w:r>
    </w:p>
    <w:p>
      <w:pPr>
        <w:pStyle w:val="SourceNote"/>
      </w:pPr>
      <w:r>
        <w:rPr>
          <w:b/>
        </w:rPr>
        <w:t>Available abstract (not full text):</w:t>
      </w:r>
      <w:r>
        <w:t xml:space="preserve"> Abstract The split-root system technique has been used to analyse plant biology for several decades, but woody plants have not received enough attention in this experimental approach. Historically, several methods have been developed, ranging from the simplest method of dividing a root into two parts and placing them in separate containers to more complex methods, such as grafting a second root from another plant. Each method has advantages and disadvantages that determine the goals of the experiment. Thus far, research using the split-root system has covered only 62 species of woody plants, mainly to investigate the water shortage effect on water acquisition. Many studies have also considered the significance of functional root-system diversity for plant fertilisation, which allows a better understanding of ion transport regulation mechanisms and some anatomical and functional features of woody plants. Ion uptake and transport have been studied frequently using isotope labelling. The split-root system method also offers interesting possibilities for studying the interactions of plants with other organisms. For example, this method was used to study root colonization strategies by mycorrhizal fungi. The comprehensive analysis of the split-root system technique in this review provides fine-scale information on the future concepts needed to study root-system biology, as the abili</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climate, qualitative;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Health at a Glance: Europe 2022 — https://doi.org/10.1787/507433b0-en</w:t>
      </w:r>
    </w:p>
    <w:p>
      <w:pPr/>
      <w:r>
        <w:rPr>
          <w:b/>
        </w:rPr>
        <w:t>Shared claim-specific concepts:</w:t>
      </w:r>
      <w:r>
        <w:t xml:space="preserve"> strong, set; EU scope visible. This is a provisional connection, not an outcome finding.</w:t>
      </w:r>
    </w:p>
    <w:p>
      <w:pPr>
        <w:pStyle w:val="SourceNote"/>
      </w:pPr>
      <w:r>
        <w:rPr>
          <w:b/>
        </w:rPr>
        <w:t>Available abstract (not full text):</w:t>
      </w:r>
      <w:r>
        <w:t xml:space="preserve"> The last two years have seen multiple crises considerably impacting citizens' physical and mental health, as well as posing a significant threat to the global economy and societal well-being.As EU and OECD economies gradually recover from the critical phase of the COVID-19 pandemic, their economic and social outlooks have become more uncertain following Russia's war of aggression against Ukraine.Major hikes in energy and commodity prices have aggravated inflationary pressures at a time when a cost-of-living crisis was already taking a heavy toll on economies and societies everywhere, and especially low-income households.It is in this uncertain geopolitical, economic and public health environment that we are releasing this 2022 edition of Health at a Glance: Europe, a visible output of the continued strong collaboration between the European Commission and the OECD.Promoting better public health and stronger health systems in Europe and around the world remain strategic priorities for both the European Commission and OECD.Moreover, for the first time, this edition of Health at a Glance: Europe reports key indicators of health and health systems for Ukraine and Moldova.The focus of this edition is on:  Strengthening the resilience of health systems, crisis preparedness and response capacity through targeted investments; Promoting better prevention and treatment of cancer and oth</w:t>
      </w:r>
    </w:p>
    <w:p>
      <w:pPr/>
      <w:r>
        <w:rPr>
          <w:b/>
        </w:rPr>
        <w:t>POSSIBLE 2021:</w:t>
      </w:r>
      <w:r>
        <w:t xml:space="preserve"> Logo as a Tool of European Union Countries’ Destination Branding — https://doi.org/10.4467/23540214zm.21.033.14576</w:t>
      </w:r>
    </w:p>
    <w:p>
      <w:pPr/>
      <w:r>
        <w:rPr>
          <w:b/>
        </w:rPr>
        <w:t>Shared claim-specific concepts:</w:t>
      </w:r>
      <w:r>
        <w:t xml:space="preserve"> tool, method; EU scope visible. This is a provisional connection, not an outcome finding.</w:t>
      </w:r>
    </w:p>
    <w:p>
      <w:pPr>
        <w:pStyle w:val="SourceNote"/>
      </w:pPr>
      <w:r>
        <w:rPr>
          <w:b/>
        </w:rPr>
        <w:t>Available abstract (not full text):</w:t>
      </w:r>
      <w:r>
        <w:t xml:space="preserve"> Developing a coherent and comprehensive brand of a country is of vital importance for a destination in the contemporary global world. There seems to be a recognizable gap in the literature regarding the application of visual signs practiced in country branding. The subject of the study: The research identifies the logos of the European Union countries used in place branding. The purpose of the study is the exploration of the logo content from the senders’ perspective, i.e., the structures and organizations responsible for the country branding. There are many reasons why logos are used in place branding practice. The authors decided to focus on the logo as a form of controlled and projected message communicated via media and ICT. Cognitive gap: The research conducted so far has focused on the reception of logos by the recipients. The presented research attempts to examine the visual message contained in logos from the senders’ perspective. Research methods and data collection techniques: The content analysis method was used to study the visual identity of the countries. The authors collected logos and scrutinised them using Beyrow and Vogt as well as Mollerup’s taxonomy. The results of the study illustrate how governmental institutions, which are responsible for country branding, portray countries using visual identity on the Internet, social media, and their own media.</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increase, present, set;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pStyle w:val="Heading2"/>
      </w:pPr>
      <w:r>
        <w:t>761. Outlook of the European forest-based sector: forest growth, harvest demand, wood-product markets, and forest carbon dynamics implications</w:t>
      </w:r>
    </w:p>
    <w:p>
      <w:pPr>
        <w:pStyle w:val="SourceNote"/>
      </w:pPr>
      <w:r>
        <w:rPr>
          <w:b/>
        </w:rPr>
        <w:t>Original source (2018):</w:t>
      </w:r>
      <w:r>
        <w:t xml:space="preserve"> https://doi.org/10.3832/ifor2636-011</w:t>
      </w:r>
    </w:p>
    <w:p>
      <w:pPr/>
      <w:r>
        <w:t>Original wording (abstract; indexed_source_text_not_full_document_verified): In a business-as-usual (BaU) scenario, European Union harvests increase seven percent by 2030 compared to past levels (485 million m3 on 2000-2012 average and 517 million m3 in 2030). In the HM scenario, harvest increases by 55% (754 million m3 in 2030) compared to the BaU scenario.</w:t>
      </w:r>
    </w:p>
    <w:p>
      <w:pPr/>
      <w:r>
        <w:rPr>
          <w:b/>
        </w:rPr>
        <w:t>POSSIBLE 2026:</w:t>
      </w:r>
      <w:r>
        <w:t xml:space="preserve"> Selective Deconstruction Versus Business-as-Usual Demolition: An LCA-Based Assessment of CDW Management Scenarios — https://doi.org/10.1007/978-3-032-34930-9_58</w:t>
      </w:r>
    </w:p>
    <w:p>
      <w:pPr/>
      <w:r>
        <w:rPr>
          <w:b/>
        </w:rPr>
        <w:t>Shared claim-specific concepts:</w:t>
      </w:r>
      <w:r>
        <w:t xml:space="preserve"> business-as-usual, bau, compared; EU scope not established. This is a provisional connection, not an outcome finding.</w:t>
      </w:r>
    </w:p>
    <w:p>
      <w:pPr>
        <w:pStyle w:val="SourceNote"/>
      </w:pPr>
      <w:r>
        <w:rPr>
          <w:b/>
        </w:rPr>
        <w:t>Available abstract (not full text):</w:t>
      </w:r>
      <w:r>
        <w:t xml:space="preserve"> Pre-demolition audits represent a key instrument for enabling selective deconstruction and improving the environmental performance of construction and demolition waste (CDW) management. This paper presents a life cycle assessment (LCA)–based case study in which a pre-demolition audit and the subsequent real deconstruction of a administrative building were used to systematically map and evaluate alternative CDW management scenarios. The study compares a real deconstruction scenario, implemented on the basis of a detailed pre-demolition audit, with a conventional business-as-usual (BAU) scenario reflecting standard demolition and waste treatment practices. The system boundary covers demolition-related life cycle modules C2–C4 and benefits beyond the system boundary (module D), including transport, processing, disposal, and recycling benefits, in accordance with EN 15804 + A2. Modelling was performed in SimaPro software using the ecoinvent 3.7 database. The results show that the real scenario based on selective deconstruction achieved substantially higher environmental benefits than the BAU scenario. Overall, the selective approach resulted in a net saving of 872 t CO 2 equivalent, corresponding to approximately 15% higher climate benefits compared to conventional demolition practices. Transport impacts were found to be relatively low, while the most significant environmental bene</w:t>
      </w:r>
    </w:p>
    <w:p>
      <w:pPr/>
      <w:r>
        <w:rPr>
          <w:b/>
        </w:rPr>
        <w:t>POSSIBLE 2025:</w:t>
      </w:r>
      <w:r>
        <w:t xml:space="preserve"> Assessing the Air Quality Impacts of Net-Zero GHG Emissions in Europe and Switzerland with ICON-ART — https://doi.org/10.5194/egusphere-egu25-2578</w:t>
      </w:r>
    </w:p>
    <w:p>
      <w:pPr/>
      <w:r>
        <w:rPr>
          <w:b/>
        </w:rPr>
        <w:t>Shared claim-specific concepts:</w:t>
      </w:r>
      <w:r>
        <w:t xml:space="preserve"> business-as-usual, bau, union, levels; EU scope visible. This is a provisional connection, not an outcome finding.</w:t>
      </w:r>
    </w:p>
    <w:p>
      <w:pPr>
        <w:pStyle w:val="SourceNote"/>
      </w:pPr>
      <w:r>
        <w:rPr>
          <w:b/>
        </w:rPr>
        <w:t>Available abstract (not full text):</w:t>
      </w:r>
      <w:r>
        <w:t xml:space="preserve"> The European Union and the Swiss Federal Council have both set the ambitious goal of achieving net-zero greenhouse gas (GHG) emissions by 2050. While reducing fossil fuel use is widely assumed to improve air quality due to the co-emission of air pollutants during fossil fuel combustion, specific choices regarding alternative energy sources and changes in the building, industrial, and agricultural sectors may have very different and potentially detrimental impacts on air quality.In this context, we study the air quality implications of transitioning to a net-zero GHG society in Europe and Switzerland by comparing two distinct scenarios for the year 2050: a net-zero pathway and a business-as-usual (BAU) scenario. The BAU scenario reflects the continuation of current energy policies without additional measures to achieve net-zero emissions. Comparing the BAU and net-zero scenarios allows us to assess how transformations in energy systems and associated changes in anthropogenic emissions shape the levels, composition, and dynamics of air pollutants.Our analysis is based on simulations conducted with the state-of-the-art atmospheric chemistry and transport model ICON-ART. We have incorporated the latest MOZART tropospheric chemistry scheme to accurately represent key oxidation processes involving ozone, nitrogen oxides, and volatile organic compounds. ICON-ART also features advanced</w:t>
      </w:r>
    </w:p>
    <w:p>
      <w:pPr/>
      <w:r>
        <w:rPr>
          <w:b/>
        </w:rPr>
        <w:t>POSSIBLE 2025:</w:t>
      </w:r>
      <w:r>
        <w:t xml:space="preserve"> Gallium: Assessing the Long-Term Future Extraction, Supply, Recycling, and Price of Using WORLD7, in Relation to Future Technology Visions in the European Union — https://doi.org/10.1007/s41247-025-00125-7</w:t>
      </w:r>
    </w:p>
    <w:p>
      <w:pPr/>
      <w:r>
        <w:rPr>
          <w:b/>
        </w:rPr>
        <w:t>Shared claim-specific concepts:</w:t>
      </w:r>
      <w:r>
        <w:t xml:space="preserve"> business-as-usual, bau, union, increase, million, increases; EU scope visible. This is a provisional connection, not an outcome finding.</w:t>
      </w:r>
    </w:p>
    <w:p>
      <w:pPr>
        <w:pStyle w:val="SourceNote"/>
      </w:pPr>
      <w:r>
        <w:rPr>
          <w:b/>
        </w:rPr>
        <w:t>Available abstract (not full text):</w:t>
      </w:r>
      <w:r>
        <w:t xml:space="preserve"> The gallium resources were assessed and used as input to long-term simulations using the WORLD7 model. The content of gallium in different mother ores has been estimated to be about 14.7 million tons of gallium. Much of this is not accessible because of low extraction yields, about 610,000 tons gallium appear to be extractable (4%) with present practices. The gallium content in all source metal refining residuals is about 51,000 ton/yr, but only a production of 1,374 ton/yr appears as the maximum with present technology and conditions. The actual gallium production was about 450 ton/yr in 2023. The gallium price is very sensitive to increases in demand, and production is not very likely to be able to rapidly increase. The simulations show that soft gallium scarcity sets in after 2028 and physical scarcity will occur about 2060. Better gallium extraction and recycling yields may push the scarcity date forward to 2100. 60% of the gallium demand for photovoltaic technology can be satisfied in the long term. To improve the situation and prevent scarcity, extractive access, gallium extraction yields, and recycling yields must be significantly improved to better than 50%. At present, the overall yields are 7-15%. Increasing extraction yields and recycling yields can reduce the shortage. The long-term sustainable extraction is under Business-as-Usual about 300 tons gallium per year, a</w:t>
      </w:r>
    </w:p>
    <w:p>
      <w:pPr/>
      <w:r>
        <w:rPr>
          <w:b/>
        </w:rPr>
        <w:t>POSSIBLE 2025:</w:t>
      </w:r>
      <w:r>
        <w:t xml:space="preserve"> Balancing Climate Change Adaptation and Mitigation Through Forest Management Choices—A Case Study from Hungary — https://doi.org/10.3390/f16111724</w:t>
      </w:r>
    </w:p>
    <w:p>
      <w:pPr/>
      <w:r>
        <w:rPr>
          <w:b/>
        </w:rPr>
        <w:t>Shared claim-specific concepts:</w:t>
      </w:r>
      <w:r>
        <w:t xml:space="preserve"> business-as-usual, bau, union; EU scope visible. This is a provisional connection, not an outcome finding.</w:t>
      </w:r>
    </w:p>
    <w:p>
      <w:pPr>
        <w:pStyle w:val="SourceNote"/>
      </w:pPr>
      <w:r>
        <w:rPr>
          <w:b/>
        </w:rPr>
        <w:t>Available abstract (not full text):</w:t>
      </w:r>
      <w:r>
        <w:t xml:space="preserve"> Climate change is driving the need for forest management strategies that simultaneously enhance ecosystem resilience and contribute to climate change mitigation. Voluntary carbon markets (VCMs), regulated in the European Union by the Carbon Removal Certification Framework (CRCF), offer potential financial incentives for such management, but eligibility criteria—particularly biodiversity requirements—limit the applicability of certain species. This study assessed the ecological and economic outcomes of six alternative management scenarios for a 4.7 ha, 99-year-old Scots pine (Pinus sylvestris) stand in western Hungary, comparing them against a business-as-usual (BAU) regeneration baseline. Using field inventory data, species-specific yield tables, and the Forest Industry Carbon Model, we modelled living and dead biomass carbon stocks for 2025–2050 and calculated potential CO2 credit generation. Economic evaluation employed total discounted contribution margin (TDCM) analyses under varying carbon credit prices (€0–150/tCO2). Results showed that an extended rotation yielded the highest carbon sequestration (958 tCO2 above BAU) and TDCM but was deemed operationally unfeasible due to declining stand health. Black locust (Robinia pseudoacacia) regeneration provided high mitigation potential (690 tCO2) but was ineligible under CRCF rules. Grey poplar (Populus × canescens) regeneration</w:t>
      </w:r>
    </w:p>
    <w:p>
      <w:pPr/>
      <w:r>
        <w:rPr>
          <w:b/>
        </w:rPr>
        <w:t>POSSIBLE 2024:</w:t>
      </w:r>
      <w:r>
        <w:t xml:space="preserve"> Beneficial use of sediments, tools, pilot sites and measuring techniques developed and used within seven European Union INTERREG projects — https://doi.org/10.1007/s11368-024-03811-z</w:t>
      </w:r>
    </w:p>
    <w:p>
      <w:pPr/>
      <w:r>
        <w:rPr>
          <w:b/>
        </w:rPr>
        <w:t>Shared claim-specific concepts:</w:t>
      </w:r>
      <w:r>
        <w:t xml:space="preserve"> bau, union, seven, compared; EU scope visible. This is a provisional connection, not an outcome finding.</w:t>
      </w:r>
    </w:p>
    <w:p>
      <w:pPr>
        <w:pStyle w:val="SourceNote"/>
      </w:pPr>
      <w:r>
        <w:rPr>
          <w:b/>
        </w:rPr>
        <w:t>Available abstract (not full text):</w:t>
      </w:r>
      <w:r>
        <w:t xml:space="preserve"> Abstract Purpose The EU Water Framework Directive (European Union Off J Eur Comm 2000) and EU Waste Framework Directive (European Union Off J Euro Union 2008) impacted the Beneficial Use (BU) of sediments in Europe. INTERREG has supported initiatives to change the perception that sediments are a waste. In this paper we provide an overview of tools, pilot sites and measuring techniques developed and used for the BU of sediments within seven European Union INTERREG projects. We illustrate the lessons learned regarding barriers and enablers for BU of sediments. Materials and methods BU of sediments is a combination of factors. The following aspects are considered. The sediment must be suitable for use and be in engineering compliance. The sediment must also need to meet the end of waste criteria, as well as to be in environmental compliance. To check in the field if engineering and environmental compliance is feasible, on-site analyses and decision support tools are needed. When BU use is possible, there must be a benefit, either in an added socio-economic value or in ecosystem services. To define benefits the impact of Business as Usual (BAU) should also be expressed. Stakeholder perception and spatial restraints determine areas for BU of sediments with spatial consensus. Results and discussion The pilots and case studies described in this paper are examples of different applicat</w:t>
      </w:r>
    </w:p>
    <w:p>
      <w:pPr/>
      <w:r>
        <w:rPr>
          <w:b/>
        </w:rPr>
        <w:t>POSSIBLE 2024:</w:t>
      </w:r>
      <w:r>
        <w:t xml:space="preserve"> Disentangling the effects of management and climate change on habitat suitability for saproxylic species in boreal forests — https://doi.org/10.1007/s11676-023-01678-3</w:t>
      </w:r>
    </w:p>
    <w:p>
      <w:pPr/>
      <w:r>
        <w:rPr>
          <w:b/>
        </w:rPr>
        <w:t>Shared claim-specific concepts:</w:t>
      </w:r>
      <w:r>
        <w:t xml:space="preserve"> business-as-usual, bau, increase, seven, compared, average; EU scope visible. This is a provisional connection, not an outcome finding.</w:t>
      </w:r>
    </w:p>
    <w:p>
      <w:pPr>
        <w:pStyle w:val="SourceNote"/>
      </w:pPr>
      <w:r>
        <w:rPr>
          <w:b/>
        </w:rPr>
        <w:t>Available abstract (not full text):</w:t>
      </w:r>
      <w:r>
        <w:t xml:space="preserve"> Abstract Forest degradation induced by intensive forest management and temperature increase by climate change are resulting in biodiversity decline in boreal forests. Intensive forest management and high-end climate emission scenarios can further reduce the amount and diversity of deadwood, the limiting factor for habitats for saproxylic species in European boreal forests. The magnitude of their combined effects and how changes in forest management can affect deadwood diversity under a range of climate change scenarios are poorly understood. We used forest growth simulations to evaluate how forest management and climate change will individually and jointly affect habitats of red-listed saproxylic species in Finland. We simulated seven forest management regimes and three climate scenarios (reference, RCP4.5 and RCP8.5) over 100 years. Management regimes included set aside, continuous cover forestry, business-as-usual (BAU) and four modifications of BAU. Habitat suitability was assessed using a species-specific habitat suitability index, including 21 fungal and invertebrate species groups. “Winner” and “loser” species were identified based on the modelled impacts of forest management and climate change on their habitat suitability. We found that forest management had a major impact on habitat suitability of saproxylic species compared to climate change. Habitat suitability index </w:t>
      </w:r>
    </w:p>
    <w:p>
      <w:pPr/>
      <w:r>
        <w:rPr>
          <w:b/>
        </w:rPr>
        <w:t>POSSIBLE 2023:</w:t>
      </w:r>
      <w:r>
        <w:t xml:space="preserve"> A Multivariate Meta-Analysis of the Effects of Business-as-Usual Special Education Services in U.S. Schools — https://doi.org/10.31234/osf.io/fs3zg</w:t>
      </w:r>
    </w:p>
    <w:p>
      <w:pPr/>
      <w:r>
        <w:rPr>
          <w:b/>
        </w:rPr>
        <w:t>Shared claim-specific concepts:</w:t>
      </w:r>
      <w:r>
        <w:t xml:space="preserve"> business-as-usual, bau, million; EU scope not established. This is a provisional connection, not an outcome finding.</w:t>
      </w:r>
    </w:p>
    <w:p>
      <w:pPr>
        <w:pStyle w:val="SourceNote"/>
      </w:pPr>
      <w:r>
        <w:rPr>
          <w:b/>
        </w:rPr>
        <w:t>Available abstract (not full text):</w:t>
      </w:r>
      <w:r>
        <w:t xml:space="preserve"> Special education services provided in U.S. schools should be designed to enable students with disabilities (SWD) to make “appropriately ambitious” educational progress (Endrew F., 2017). Yet the field lacks consensus on whether business-as-usual (BAU) special education services effectively support outcomes for SWD. We conducted a moderated multilevel multivariate meta-analysis of 40 studies and 1,721 effect sizes from more than 14 million participants to evaluate the effectiveness of BAU special education services. Effects ranged from null-to-positive (z = -0.07 to 0.12) for achievement and negative-to-null (z = -0.13 to -0.01) for behavior. We observed positive outcomes for educational attainment including graduation outcomes (z = 0.12 to 0.24) and postsecondary outcomes (z = 0.10 to 0.23), as well as for other outcomes (z = 0.21 to 0.38). Studies that used a more rigorous research design or comparison condition reported more positive effects across outcomes. Additional casual work is needed in this field.</w:t>
      </w:r>
    </w:p>
    <w:p>
      <w:pPr/>
      <w:r>
        <w:rPr>
          <w:b/>
        </w:rPr>
        <w:t>POSSIBLE 2023:</w:t>
      </w:r>
      <w:r>
        <w:t xml:space="preserve"> Effects of Circularity Interventions in the European Plastic Packaging Sector — https://doi.org/10.1021/acs.est.2c08202</w:t>
      </w:r>
    </w:p>
    <w:p>
      <w:pPr/>
      <w:r>
        <w:rPr>
          <w:b/>
        </w:rPr>
        <w:t>Shared claim-specific concepts:</w:t>
      </w:r>
      <w:r>
        <w:t xml:space="preserve"> business-as-usual, compared, levels; EU scope visible. This is a provisional connection, not an outcome finding.</w:t>
      </w:r>
    </w:p>
    <w:p>
      <w:pPr>
        <w:pStyle w:val="SourceNote"/>
      </w:pPr>
      <w:r>
        <w:rPr>
          <w:b/>
        </w:rPr>
        <w:t>Available abstract (not full text):</w:t>
      </w:r>
      <w:r>
        <w:t xml:space="preserve"> High Resolution Image Download MS PowerPoint Slide Low levels of plastics circularity today reflect major challenges for the sector to reduce environmental impacts and a need for wider systemic change. In this work, we investigated the potential for climate and socioeconomic benefits of circular economy (CE) interventions in the plastic packaging system. By means of a mixed-unit input–output (IO) model, we performed a comparative scenario analysis for the development of demand and waste management up to 2030 within the EU-28 (EU27 + United Kingdom). We modeled the development of material flows and assessed the effects of both demand-side and end-of-life interventions. Different levels of ambition toward 2030 based on EU circular economy strategies were tested. Results showed that on reaching high levels of circularity, between 14 and 22 Mt CO 2 -eq/year could be reduced by 2030 (20–30% of the total sector impact in 2018) compared to business-as-usual. Demand change (e.g., by decreasing product packaging intensities) showed similar emission-saving potential as achieving the current recycling target of 55%, which emphasizes the role of demand-side actions. Most scenarios displayed moderate employment gains and potential economic losses, pertaining to both direct and indirect activity shifts in the economy. While considering model limitations, the approach is useful in indicating </w:t>
      </w:r>
    </w:p>
    <w:p>
      <w:pPr/>
      <w:r>
        <w:rPr>
          <w:b/>
        </w:rPr>
        <w:t>POSSIBLE 2023:</w:t>
      </w:r>
      <w:r>
        <w:t xml:space="preserve"> European Beech Forests in Austria—Current Distribution and Possible Future Habitat — https://doi.org/10.3390/f14102019</w:t>
      </w:r>
    </w:p>
    <w:p>
      <w:pPr/>
      <w:r>
        <w:rPr>
          <w:b/>
        </w:rPr>
        <w:t>Shared claim-specific concepts:</w:t>
      </w:r>
      <w:r>
        <w:t xml:space="preserve"> business-as-usual, bau, increase, increases; EU scope visible. This is a provisional connection, not an outcome finding.</w:t>
      </w:r>
    </w:p>
    <w:p>
      <w:pPr>
        <w:pStyle w:val="SourceNote"/>
      </w:pPr>
      <w:r>
        <w:rPr>
          <w:b/>
        </w:rPr>
        <w:t>Available abstract (not full text):</w:t>
      </w:r>
      <w:r>
        <w:t xml:space="preserve"> A change in tree species composition in Central Europe to increase the resilience of forests when coping with climate change effects is imminent. We evaluated the present and expected future role of the European beech, (Fagus sylvatica L.), with respect to the expansion of its habitat and its stem. We assessed the current relevance of beech from data of the Austrian Forest Inventory 2007/09, and analyzed forest policies promoting the establishment of beech forests. We simulated forest growth with the model CALDIS, linked with the timber-market model FOHOW2. We used a business-as-usual (BAU) forest management strategy under moderate (RCP 4.5 BAU) or extreme (RCP 8.5 BAU) climate change. We also simulated an extreme climate change scenario with a forced change in the tree species composition (RCP 8.5 Change Species). Beech occurs in Austrian forests over the elevational gradient of 250 to 1600 m a.s.l. In low elevation, it forms beech-dominated forests, often for the supply of the domestic fuelwood demand. In mountain regions, beech enriches the diversity of Norway spruce, (Picea abies (L.) H. Karst.)-dominated forests. In a BAU setting, the habitat of beech increases only slightly in both climate scenarios. The scenario ‘RCP 8.5 Change Species’ increases the habitat of beech in the next 60 years considerably. With progressing warming, other broadleaved tree species gain relevanc</w:t>
      </w:r>
    </w:p>
    <w:p>
      <w:pPr/>
      <w:r>
        <w:rPr>
          <w:b/>
        </w:rPr>
        <w:t>POSSIBLE 2022:</w:t>
      </w:r>
      <w:r>
        <w:t xml:space="preserve"> The joint impact of the European Union emissions trading system on carbon emissions and economic performance — https://doi.org/10.1016/j.jeem.2022.102758</w:t>
      </w:r>
    </w:p>
    <w:p>
      <w:pPr/>
      <w:r>
        <w:rPr>
          <w:b/>
        </w:rPr>
        <w:t>Shared claim-specific concepts:</w:t>
      </w:r>
      <w:r>
        <w:t xml:space="preserve"> union, increase; EU scope visible. This is a provisional connection, not an outcome finding.</w:t>
      </w:r>
    </w:p>
    <w:p>
      <w:pPr>
        <w:pStyle w:val="SourceNote"/>
      </w:pPr>
      <w:r>
        <w:rPr>
          <w:b/>
        </w:rPr>
        <w:t>Available abstract (not full text):</w:t>
      </w:r>
      <w:r>
        <w:t xml:space="preserve"> This paper investigates the impact of the European Union Emissions Trading System (EU ETS) on carbon emissions and economic performance based on a matching methodology exploiting installation-level inclusion criteria combined with difference-in-differences. Installation-level data from national Polluting Emissions Registries in France, Netherlands, Norway and the United Kingdom point to a reduction in carbon emissions in the order of −10% between 2005 and 2012, in line with existing micro and macro evidence. Meanwhile, firm-level data on the 31 ETS-regulated countries shows that the EU ETS had no significant impact on profits and employment, and led to an increase in regulated firms' revenues and fixed assets. We explore various explanations for these findings.</w:t>
      </w:r>
    </w:p>
    <w:p>
      <w:pPr/>
      <w:r>
        <w:rPr>
          <w:b/>
        </w:rPr>
        <w:t>POSSIBLE 2022:</w:t>
      </w:r>
      <w:r>
        <w:t xml:space="preserve"> Comparison of European Union and Korean Applications of the Best Available Technology (BAT) Concept to Environmental Policy Areas in Consideration of BAT Baseline Methodology in the Carbon Market — https://doi.org/10.15531/ksccr.2022.13.1.047</w:t>
      </w:r>
    </w:p>
    <w:p>
      <w:pPr/>
      <w:r>
        <w:rPr>
          <w:b/>
        </w:rPr>
        <w:t>Shared claim-specific concepts:</w:t>
      </w:r>
      <w:r>
        <w:t xml:space="preserve"> business-as-usual, bau, union; EU scope visible. This is a provisional connection, not an outcome finding.</w:t>
      </w:r>
    </w:p>
    <w:p>
      <w:pPr>
        <w:pStyle w:val="SourceNote"/>
      </w:pPr>
      <w:r>
        <w:rPr>
          <w:b/>
        </w:rPr>
        <w:t>Available abstract (not full text):</w:t>
      </w:r>
      <w:r>
        <w:t xml:space="preserve"> Article 6.4 of the Paris Agreement introduces a baseline-and-crediting mechanism, the so-called sustainable development mechanism (SDM), which allows parties to meet their nationally determined contributions (NDCs). Currently, various options for baseline methodologies are being considered and negotiated as a part of the implementation rules of Article 6.4 of the Paris Agreement for greenhouse gas emission reduction projects. The best available technology (BAT) baseline methodology has been increasingly emphasized as an alternative to historical emission, business-as-usual (BAU), and performance-based baseline methodologies. However, the application of the BAT baseline methodology in the international carbon market remains under-explored. Also, the rise of the BAT baseline methodology had attracted attention to the concept of BAT in environmental policies and practices. Therefore, this paper attempts to examine the meaning of the BAT concept and BAT application in related environmental policies to ultimately explore strategic ways that the BAT baseline methodology can be used under the SDM in an integrated manner amongst related policy fields. First, this paper sets three policy areas where the concepts of BAT are applied, and they are the i) integrated pollution and prevention control policy, ii) cap-and-trade policy in the carbon market, and iii) baseline-and-crediting mechan</w:t>
      </w:r>
    </w:p>
    <w:p>
      <w:pPr/>
      <w:r>
        <w:rPr>
          <w:b/>
        </w:rPr>
        <w:t>POSSIBLE 2022:</w:t>
      </w:r>
      <w:r>
        <w:t xml:space="preserve"> Ecosystem-based fisheries management increases catch and carbon sequestration through recovery of exploited stocks: The western Baltic Sea case study — https://doi.org/10.3389/fmars.2022.879998</w:t>
      </w:r>
    </w:p>
    <w:p>
      <w:pPr/>
      <w:r>
        <w:rPr>
          <w:b/>
        </w:rPr>
        <w:t>Shared claim-specific concepts:</w:t>
      </w:r>
      <w:r>
        <w:t xml:space="preserve"> bau, compared, increases; EU scope visible. This is a provisional connection, not an outcome finding.</w:t>
      </w:r>
    </w:p>
    <w:p>
      <w:pPr>
        <w:pStyle w:val="SourceNote"/>
      </w:pPr>
      <w:r>
        <w:rPr>
          <w:b/>
        </w:rPr>
        <w:t>Available abstract (not full text):</w:t>
      </w:r>
      <w:r>
        <w:t xml:space="preserve"> Legal requirement in Europe asks for Ecosystem-Based Fisheries Management (EBFM) in European seas, including consideration of trophic interactions and minimization of negative impacts of fishing on food webs and ecosystem functioning. This study presents the first mass-balanced ecosystem model focused on the western Baltic Sea (WBS). Results show that heavy fishing pressure exerted on the WBS has forced top predators such as harbour porpoise and cod to cover their dietary needs by shifting from forage fish to other prey or find food outside of the model area. The model was then developed to explore the dynamics of four future fishery scenarios: (1) business as usual (BAU), (2) maximum sustainable fishing (F = F MSY ), (3) half of F MSY , and (4) EBFM with F = 0.5 F MSY for forage fish and F = 0.8 F MSY for other fish. Simulations show that BAU would perpetuate low catches from depleted stocks with a high risk of extinction for harbour porpoise. In contrast, the EBFM scenario would allow the recovery of harbour porpoise, forage fish and cod with increases in catch of herring and cod. EBFM promotes ecosystem resilience to eutrophication and ocean warming, and through the rebuilding of commercial stocks increases by more than three times carbon sequestration compared to BAU. The model provides an interrelated assessment of trophic guilds in the WBS, as required by European law to </w:t>
      </w:r>
    </w:p>
    <w:p>
      <w:pPr>
        <w:pStyle w:val="Heading2"/>
      </w:pPr>
      <w:r>
        <w:t>762. PROGNOSTIC MODEL OF THE UKRAINE SYSTEM OF GENERAL SECONDARY EDUCATION DEVELOPMENT: FORECASTING SCENARIOS OF THE DEVELOPMENT</w:t>
      </w:r>
    </w:p>
    <w:p>
      <w:pPr>
        <w:pStyle w:val="SourceNote"/>
      </w:pPr>
      <w:r>
        <w:rPr>
          <w:b/>
        </w:rPr>
        <w:t>Original source (2018):</w:t>
      </w:r>
      <w:r>
        <w:t xml:space="preserve"> https://doi.org/10.32405/2411-1317-2018-4-45-53</w:t>
      </w:r>
    </w:p>
    <w:p>
      <w:pPr/>
      <w:r>
        <w:t>Original wording (abstract; indexed_source_text_not_full_document_verified): The article is presented four forecasting scenarios Ukraine system of general secondary education development (optimistic, first realistic with positive profile characteristics, second realistic with positive background characteristics and pessimistic), described the content of each forecasting scenario, and indicated the main external and internal factors, which will contribute to its implementation.</w:t>
      </w:r>
    </w:p>
    <w:p>
      <w:pPr/>
      <w:r>
        <w:rPr>
          <w:b/>
        </w:rPr>
        <w:t>POSSIBLE 2026:</w:t>
      </w:r>
      <w:r>
        <w:t xml:space="preserve"> Comment on the Previously Published Article “Rare Masqueraders of Pure Neuritic Leprosy: A Report of Four Cases” — https://doi.org/10.4103/idoj.idoj_534_25</w:t>
      </w:r>
    </w:p>
    <w:p>
      <w:pPr/>
      <w:r>
        <w:rPr>
          <w:b/>
        </w:rPr>
        <w:t>Shared claim-specific concepts:</w:t>
      </w:r>
      <w:r>
        <w:t xml:space="preserve"> article, presented, four, described, each; EU scope not established. This is a provisional connection, not an outcome finding.</w:t>
      </w:r>
    </w:p>
    <w:p>
      <w:pPr>
        <w:pStyle w:val="SourceNote"/>
      </w:pPr>
      <w:r>
        <w:rPr>
          <w:b/>
        </w:rPr>
        <w:t>Available abstract (not full text):</w:t>
      </w:r>
      <w:r>
        <w:t xml:space="preserve"> Dear Editor, It was with great interest that we read the article titled “Rare Masqueraders of Pure Neuritic Leprosy: A Report of Four Cases” by Sadhukhan et al.[1] The cases described are quite fascinating, and would enlighten the readers on differentials to consider during the evaluation of likely cases of leprosy. These cases did not have any of the cardinal features of leprosy, of which at least one is essential for a diagnosis of leprosy as per the World Health Organization (WHO): (i) definite loss of sensation in a pale (hypopigmented) or reddish skin patch; (ii) thickened or enlarged peripheral nerve, with loss of sensation and/or weakness of the muscles supplied by that nerve; (iii) microscopic detection of bacilli in a slit-skin smear.[2] Among these, thickened or enlarged peripheral nerves would be the most vital criterion for clinically diagnosing pure neuritic leprosy. Case 1 is a 46-year-old female patient with clawing of both hands with motor weakness, in the absence of sensory loss or thickened nerves. While the authors have stated that the lack of sensory deficit, static weakness after one year of onset, and absent reflexes helped to differentiate it from leprosy, we would like to point out that the absence of thickened nerves would be the most important factor here. Case 2 presented with pure motor neuropathy, which is again not typical of leprosy. Unfortunately</w:t>
      </w:r>
    </w:p>
    <w:p>
      <w:pPr/>
      <w:r>
        <w:rPr>
          <w:b/>
        </w:rPr>
        <w:t>POSSIBLE 2026:</w:t>
      </w:r>
      <w:r>
        <w:t xml:space="preserve"> Précis to Revisionism in Four Views on Free Will, 2e — https://doi.org/10.1007/s11406-026-01043-8</w:t>
      </w:r>
    </w:p>
    <w:p>
      <w:pPr/>
      <w:r>
        <w:rPr>
          <w:b/>
        </w:rPr>
        <w:t>Shared claim-specific concepts:</w:t>
      </w:r>
      <w:r>
        <w:t xml:space="preserve"> article, presented, four, second; EU scope not established. This is a provisional connection, not an outcome finding.</w:t>
      </w:r>
    </w:p>
    <w:p>
      <w:pPr>
        <w:pStyle w:val="SourceNote"/>
      </w:pPr>
      <w:r>
        <w:rPr>
          <w:b/>
        </w:rPr>
        <w:t>Available abstract (not full text):</w:t>
      </w:r>
      <w:r>
        <w:t xml:space="preserve"> Abstract This article provides an overview of Manuel Vargas’ newly reformulated approach to revisionary compatibilism about free will, as presented in the second edition of Four Views on Free Will (2024).</w:t>
      </w:r>
    </w:p>
    <w:p>
      <w:pPr/>
      <w:r>
        <w:rPr>
          <w:b/>
        </w:rPr>
        <w:t>POSSIBLE 2025:</w:t>
      </w:r>
      <w:r>
        <w:t xml:space="preserve"> Four Logics Data — https://doi.org/10.17632/489jnnpsds</w:t>
      </w:r>
    </w:p>
    <w:p>
      <w:pPr/>
      <w:r>
        <w:rPr>
          <w:b/>
        </w:rPr>
        <w:t>Shared claim-specific concepts:</w:t>
      </w:r>
      <w:r>
        <w:t xml:space="preserve"> article, presented, four, system, each; EU scope not established. This is a provisional connection, not an outcome finding.</w:t>
      </w:r>
    </w:p>
    <w:p>
      <w:pPr>
        <w:pStyle w:val="SourceNote"/>
      </w:pPr>
      <w:r>
        <w:rPr>
          <w:b/>
        </w:rPr>
        <w:t>Available abstract (not full text):</w:t>
      </w:r>
      <w:r>
        <w:t xml:space="preserve"> This dataset provides the underlying data, calculations, and visual components necessary to replicate and extend the findings presented in the article "Four Logics of Governance: A Framework for Collective Decision-Making in Complex Systems" (Do Vale &amp; Costa, 2025). The article proposes an integrated analytical framework for studying collective decision-making in governance, combining four adaptive macro-level belief systems (Political, Economic, Scientific, and Moral-Ethical) with network topology analysis. The framework identifies four emergent governance dynamics: Systemic Rigidity, Systemic Fragility, Negotiated Stability, and Elasticity. This dataset has five files: Supplementary_Table_S1; Supplementary_Table_S2; Supplementary_Table_S3; Supplementary_Figure_S1; Supplementary_Figures_S2_IV_Appendix. These files are organized in three folders: - Multi-Criteria Decision Analysis (MCDA) Folder: This folder contains the quantitative backbone of the framework, specifically the raw data, calculations, and sensitivity analyses used to determine the relative influence (weights) of the four governance logics (Political, Economic, Scientific, and Moral-Ethical) across the studied cases. Researchers can use these files to reproduce the weighting process detailed in Appendix I of the paper and to recreate the visual representations of the system dynamics, including the attractor landsc</w:t>
      </w:r>
    </w:p>
    <w:p>
      <w:pPr/>
      <w:r>
        <w:rPr>
          <w:b/>
        </w:rPr>
        <w:t>POSSIBLE 2024:</w:t>
      </w:r>
      <w:r>
        <w:t xml:space="preserve"> Four influential recent Canadian Medical Education Journal articles presented at the International Congress for Medical Education — https://doi.org/10.36834/cmej.79278</w:t>
      </w:r>
    </w:p>
    <w:p>
      <w:pPr/>
      <w:r>
        <w:rPr>
          <w:b/>
        </w:rPr>
        <w:t>Shared claim-specific concepts:</w:t>
      </w:r>
      <w:r>
        <w:t xml:space="preserve"> article, presented, four, education; EU scope not established. This is a provisional connection, not an outcome finding.</w:t>
      </w:r>
    </w:p>
    <w:p>
      <w:pPr>
        <w:pStyle w:val="SourceNote"/>
      </w:pPr>
      <w:r>
        <w:rPr>
          <w:b/>
        </w:rPr>
        <w:t>Available abstract (not full text):</w:t>
      </w:r>
      <w:r>
        <w:t xml:space="preserve"> Four influential recent Canadian Medical Education Journal articles presented at the International Congress for Medical Education. An article from journal Canadian Medical Education Journal / Revue canadienne de l'éducation médicale (Volume 15, Number 2, 2024, pp. 1-115), on Érudit.</w:t>
      </w:r>
    </w:p>
    <w:p>
      <w:pPr/>
      <w:r>
        <w:rPr>
          <w:b/>
        </w:rPr>
        <w:t>POSSIBLE 2024:</w:t>
      </w:r>
      <w:r>
        <w:t xml:space="preserve"> Occasionalism in the general system of the language — https://doi.org/10.46727/c.v3.21-22-03-2024.p53-58</w:t>
      </w:r>
    </w:p>
    <w:p>
      <w:pPr/>
      <w:r>
        <w:rPr>
          <w:b/>
        </w:rPr>
        <w:t>Shared claim-specific concepts:</w:t>
      </w:r>
      <w:r>
        <w:t xml:space="preserve"> article, presented, system, general, content, main; EU scope not established. This is a provisional connection, not an outcome finding.</w:t>
      </w:r>
    </w:p>
    <w:p>
      <w:pPr>
        <w:pStyle w:val="SourceNote"/>
      </w:pPr>
      <w:r>
        <w:rPr>
          <w:b/>
        </w:rPr>
        <w:t>Available abstract (not full text):</w:t>
      </w:r>
      <w:r>
        <w:t xml:space="preserve"> This article deals occasionalisms as creative elements in the general system of the language and points out the main process of their formation by derivation with suffixes. Occasionalisms are not derogatory words that jeopardize communication, but new words that demonstrate the language's ability to create new lexemes. The process of forming these new words, created by speakers, is not new and refers to most languages being determined by the linguistic system, demonstrates and develops semantic lexeme creation and grammatical capabilities of the system, coming with its development tendencies. These occasional units are aimed at restoring the connection between the semantic, cognitive and content elements that are the basis of the integrity of the text, outlining the involvement of certain subjects in some events, delimiting the periods of manifestation of some political formations or presenting the consequences of some processes that the society went through. Being presented as a reflection of lived events, the article highlights the meaning and role of occasional units in journalistic and artistic texts, their application in various contexts and at different stages of the lesson.</w:t>
      </w:r>
    </w:p>
    <w:p>
      <w:pPr/>
      <w:r>
        <w:rPr>
          <w:b/>
        </w:rPr>
        <w:t>POSSIBLE 2024:</w:t>
      </w:r>
      <w:r>
        <w:t xml:space="preserve"> Masonry systems: Past, present and future — https://doi.org/10.1051/matecconf/202440301003</w:t>
      </w:r>
    </w:p>
    <w:p>
      <w:pPr/>
      <w:r>
        <w:rPr>
          <w:b/>
        </w:rPr>
        <w:t>Shared claim-specific concepts:</w:t>
      </w:r>
      <w:r>
        <w:t xml:space="preserve"> article, presented, general; EU scope visible. This is a provisional connection, not an outcome finding.</w:t>
      </w:r>
    </w:p>
    <w:p>
      <w:pPr>
        <w:pStyle w:val="SourceNote"/>
      </w:pPr>
      <w:r>
        <w:rPr>
          <w:b/>
        </w:rPr>
        <w:t>Available abstract (not full text):</w:t>
      </w:r>
      <w:r>
        <w:t xml:space="preserve"> The article presents construction systems and material solutions used in masonry construction, both in European countries and in a broader geographical context covering other continents. Due to the very wide scope of this problem, is presented in necessity in an abbreviated form, the general directions of development and changes in the systems of masonry structures in historical terms, depending on the climatic conditions prevailing in given areas and the development of societies and the level of their economy. Referring to the current state, i.e. the end of the 20th and the beginning of the 21st century, the material and construction solutions most frequently used in various countries with variable climatic requirements and various dominant loads, including seismic ones, were presented. An attempt was also made, to the extent possible, to outline future directions of changes and development of masonry construction in the coming decades, taking into account the principles of the circular economy and sustainable development, as well as reduction of CO2 emissions and maximum use of natural (bio-based materials) and recycled raw materials.</w:t>
      </w:r>
    </w:p>
    <w:p>
      <w:pPr/>
      <w:r>
        <w:rPr>
          <w:b/>
        </w:rPr>
        <w:t>POSSIBLE 2023:</w:t>
      </w:r>
      <w:r>
        <w:t xml:space="preserve"> PAST AND PRESENT PERIOD OF PRESCHOOL EDUCATION SYSTEM — https://openalex.org/W7215196589</w:t>
      </w:r>
    </w:p>
    <w:p>
      <w:pPr/>
      <w:r>
        <w:rPr>
          <w:b/>
        </w:rPr>
        <w:t>Shared claim-specific concepts:</w:t>
      </w:r>
      <w:r>
        <w:t xml:space="preserve"> article, system, general, education, first, second; EU scope not established. This is a provisional connection, not an outcome finding.</w:t>
      </w:r>
    </w:p>
    <w:p>
      <w:pPr>
        <w:pStyle w:val="SourceNote"/>
      </w:pPr>
      <w:r>
        <w:rPr>
          <w:b/>
        </w:rPr>
        <w:t>Available abstract (not full text):</w:t>
      </w:r>
      <w:r>
        <w:t xml:space="preserve"> In this article, the third paragraph entitled "Past and Present of the Preschool Education System" provides general information about the topics discussed throughout the article. First, it illuminates the historical background of preschool education, explaining how it emerged in response to a changing social and economic landscape. Second, various approaches and theories that shaped the development of preschool education, such as Montessori, Froebel, and Reggio Emilia, are discussed.</w:t>
      </w:r>
    </w:p>
    <w:p>
      <w:pPr/>
      <w:r>
        <w:rPr>
          <w:b/>
        </w:rPr>
        <w:t>POSSIBLE 2023:</w:t>
      </w:r>
      <w:r>
        <w:t xml:space="preserve"> GENERAL PRINCIPLES OF LAW FORMED WITHIN THE INTERNATIONAL LEGAL SYSTEM — https://doi.org/10.1017/s0020589323000362</w:t>
      </w:r>
    </w:p>
    <w:p>
      <w:pPr/>
      <w:r>
        <w:rPr>
          <w:b/>
        </w:rPr>
        <w:t>Shared claim-specific concepts:</w:t>
      </w:r>
      <w:r>
        <w:t xml:space="preserve"> article, system, general, first; EU scope not established. This is a provisional connection, not an outcome finding.</w:t>
      </w:r>
    </w:p>
    <w:p>
      <w:pPr>
        <w:pStyle w:val="SourceNote"/>
      </w:pPr>
      <w:r>
        <w:rPr>
          <w:b/>
        </w:rPr>
        <w:t>Available abstract (not full text):</w:t>
      </w:r>
      <w:r>
        <w:t xml:space="preserve"> Abstract In the work of the International Law Commission (ILC) on ‘the general principles of law’ in Article 38(1)(c) of the Statute of the International Court of Justice, one question has given rise to an inordinate amount of controversy: does this category of principles include principles formed within the international legal system or does it embrace only principles derived from national legal systems? In the draft conclusions adopted on first reading in 2023, the ILC accepts the existence of general principles of law formed within the international legal system, but only in a very narrow manner. Prominent commentators have argued that such a narrow approach is correct. It has been contended, furthermore, that the category of general principles of law formed within the international legal system is an innovation of the ILC's, and one that lacks any real support in State practice. These views are based on assumptions to the effect that the traditional view concerning the meaning of Article 38(1)(c) was that it referred only to general principles of law derived from national legal systems. The present article takes issue with these assumptions. It seeks to prove, by an analysis of the position in 1920 when the Statute was drafted, of the practice of States, both before and after 1920, and the writings of leading commentators, that general principles of law formed within the in</w:t>
      </w:r>
    </w:p>
    <w:p>
      <w:pPr/>
      <w:r>
        <w:rPr>
          <w:b/>
        </w:rPr>
        <w:t>POSSIBLE 2023:</w:t>
      </w:r>
      <w:r>
        <w:t xml:space="preserve"> Symbolism of the number “four” in English and Kazakh Languages — https://doi.org/10.31489/2023ph2/89-96</w:t>
      </w:r>
    </w:p>
    <w:p>
      <w:pPr/>
      <w:r>
        <w:rPr>
          <w:b/>
        </w:rPr>
        <w:t>Shared claim-specific concepts:</w:t>
      </w:r>
      <w:r>
        <w:t xml:space="preserve"> article, four, external, internal; EU scope not established. This is a provisional connection, not an outcome finding.</w:t>
      </w:r>
    </w:p>
    <w:p>
      <w:pPr>
        <w:pStyle w:val="SourceNote"/>
      </w:pPr>
      <w:r>
        <w:rPr>
          <w:b/>
        </w:rPr>
        <w:t>Available abstract (not full text):</w:t>
      </w:r>
      <w:r>
        <w:t xml:space="preserve"> The article considers the comparative study of the symbolism of English and Kazakh stable combinations, as well as proverbs and sayings with the numerical component “four”. The study revealed both similarities and differences in the symbolism of the number “four” in English and Kazakh languages, which is explained by the universality of the character of the symbols on the one hand and the fact that there is an ethnocultural specificity in the connotative meaning, which is reflected in the culture and language of the people. The universality of the symbolization of numbers is determined by the anthropocentric worldview and the universalsystem of human development, as well as the desire of a person to explain the structure of the world through the sacred power of numbers. At the end of the article the authors came to conclusion that the numerals with the component four as part of stable combinations in English and Kazakh Languages acquire a symbolic meaning. Stable combinations with the numeral component characterize various aspects of human life: its external qualities and internal properties, behavior, relationships with other people, as well as ideas related to the quantitative and spatial development of the world and the universe.</w:t>
      </w:r>
    </w:p>
    <w:p>
      <w:pPr/>
      <w:r>
        <w:rPr>
          <w:b/>
        </w:rPr>
        <w:t>POSSIBLE 2022:</w:t>
      </w:r>
      <w:r>
        <w:t xml:space="preserve"> Dynamic Quantized Consensus of General Linear Multiagent Systems Under Denial-of-Service Attacks — https://doi.org/10.1109/tcns.2022.3140684</w:t>
      </w:r>
    </w:p>
    <w:p>
      <w:pPr/>
      <w:r>
        <w:rPr>
          <w:b/>
        </w:rPr>
        <w:t>Shared claim-specific concepts:</w:t>
      </w:r>
      <w:r>
        <w:t xml:space="preserve"> article, general, first, main; EU scope not established. This is a provisional connection, not an outcome finding.</w:t>
      </w:r>
    </w:p>
    <w:p>
      <w:pPr>
        <w:pStyle w:val="SourceNote"/>
      </w:pPr>
      <w:r>
        <w:rPr>
          <w:b/>
        </w:rPr>
        <w:t>Available abstract (not full text):</w:t>
      </w:r>
      <w:r>
        <w:t xml:space="preserve"> In this article, we study multiagent consensus problems under Denial-of-Service (DoS) attacks with data rate constraints. We first consider the leaderless consensus problem and after that we briefly present the analysis of leader–follower consensus. The dynamics of the agents take general forms modeled as homogeneous linear time-invariant systems. In our analysis, we derive lower bounds on the data rate for the multiagent systems to achieve leaderless and leader–follower consensus in the presence of DoS attacks, under which the issue of overflow of quantizer is prevented. The main contribution of the article is the characterization of the tradeoff between the tolerable DoS attack levels for leaderless and leader–follower consensus and the required data rates for the quantizers during the communication attempts among the agents. To mitigate the influence of DoS attacks, we employ dynamic quantization with zooming-in and zooming-out capabilities for avoiding quantizer saturation.</w:t>
      </w:r>
    </w:p>
    <w:p>
      <w:pPr/>
      <w:r>
        <w:rPr>
          <w:b/>
        </w:rPr>
        <w:t>POSSIBLE 2022:</w:t>
      </w:r>
      <w:r>
        <w:t xml:space="preserve"> System Stability of Learning-Based Linear Optimal Control With General Discounted Value Iteration — https://doi.org/10.1109/tnnls.2021.3137524</w:t>
      </w:r>
    </w:p>
    <w:p>
      <w:pPr/>
      <w:r>
        <w:rPr>
          <w:b/>
        </w:rPr>
        <w:t>Shared claim-specific concepts:</w:t>
      </w:r>
      <w:r>
        <w:t xml:space="preserve"> article, system, general; EU scope not established. This is a provisional connection, not an outcome finding.</w:t>
      </w:r>
    </w:p>
    <w:p>
      <w:pPr>
        <w:pStyle w:val="SourceNote"/>
      </w:pPr>
      <w:r>
        <w:rPr>
          <w:b/>
        </w:rPr>
        <w:t>Available abstract (not full text):</w:t>
      </w:r>
      <w:r>
        <w:t xml:space="preserve"> For discounted optimal regulation design, the stability of the controlled system is affected by the discount factor. If an inappropriate discount factor is employed, the optimal control policy might be unstabilizing. Therefore, in this article, the effect of the discount factor on the stabilization of control strategies is discussed. We develop the system stability criterion and the selection rules of the discount factor with respect to the linear quadratic regulator problem under the general discounted value iteration algorithm. Based on the monotonicity of the value function sequence, the method to judge the stability of the controlled system is established during the iteration process. In addition, once some stability conditions are satisfied at a certain iteration step, all control policies after this iteration step are stabilizing. Furthermore, combined with the undiscounted optimal control problem, the practical rule of how to select an appropriate discount factor is constructed. Finally, several simulation examples with physical backgrounds are conducted to demonstrate the present theoretical results.</w:t>
      </w:r>
    </w:p>
    <w:p>
      <w:pPr/>
      <w:r>
        <w:rPr>
          <w:b/>
        </w:rPr>
        <w:t>POSSIBLE 2022:</w:t>
      </w:r>
      <w:r>
        <w:t xml:space="preserve"> Article Review: Present Perspectives of Hyperthyroidism During Pregnancy — https://doi.org/10.37506/ijop.v10i1.3214</w:t>
      </w:r>
    </w:p>
    <w:p>
      <w:pPr/>
      <w:r>
        <w:rPr>
          <w:b/>
        </w:rPr>
        <w:t>Shared claim-specific concepts:</w:t>
      </w:r>
      <w:r>
        <w:t xml:space="preserve"> article, four, system, first; EU scope not established. This is a provisional connection, not an outcome finding.</w:t>
      </w:r>
    </w:p>
    <w:p>
      <w:pPr>
        <w:pStyle w:val="SourceNote"/>
      </w:pPr>
      <w:r>
        <w:rPr>
          <w:b/>
        </w:rPr>
        <w:t>Available abstract (not full text):</w:t>
      </w:r>
      <w:r>
        <w:t xml:space="preserve"> Graves’ disease causes inflammatory hyperthyroidism in around 80% of hyperthyroidism cases inwomen of reproductive age. The hormonal changes in the maternal immune system after birth may belinked to the production and expression of diabetes other than gestational and early-onset diabetes. Asa result, in addition to hormonal influences, other anatomical modifications or abnormalities seen inthe body during pregnancy will affect the pregnancy test. Thyroid hormones are critical for a woman’shealth and the commencement of her pregnancy. These hormones are essential for early developmentand play a crucial role in the fetus’s continued growth after conception. Women with untreated orimproperly controlled hyperthyroidism are more likely to have complications during pregnancy. Futurediseases, particularly those that produce a large number of fetuses due to IUGRTH. The treatmentof hyperthyroid pregnant women is extremely difficult, and medical staff engagement is required toguarantee that it is properly monitored and treated. Anti-thyroid drugs are commonly administered topregnant women, and it is the medication of choice for the majority of them (ATDs). Despite the fact thatboth of these drugs are passed through the mother’s bloodstream to the fetus, they are highly effectivein the treatment of maternal hyperthyroidism. Nonetheless, they must exercise caution throughout thesecond half</w:t>
      </w:r>
    </w:p>
    <w:p>
      <w:pPr>
        <w:pStyle w:val="Heading2"/>
      </w:pPr>
      <w:r>
        <w:t>763. Plan Ceibal 2020: future scenarios for technology and education—the case of the Uruguayan public education system</w:t>
      </w:r>
    </w:p>
    <w:p>
      <w:pPr>
        <w:pStyle w:val="SourceNote"/>
      </w:pPr>
      <w:r>
        <w:rPr>
          <w:b/>
        </w:rPr>
        <w:t>Original source (2018):</w:t>
      </w:r>
      <w:r>
        <w:t xml:space="preserve"> https://doi.org/10.1186/s40309-018-0134-z</w:t>
      </w:r>
    </w:p>
    <w:p>
      <w:pPr/>
      <w:r>
        <w:t>Original wording (abstract; indexed_source_text_not_full_document_verified): In the present work, a set of future studies were implemented in order to answer the following question: What will the future scenarios be within the next 5 years regarding new technologies in the public education sector in Uruguay? This approach allowed us to define the possible technological future for the national education and technology policy.</w:t>
      </w:r>
    </w:p>
    <w:p>
      <w:pPr/>
      <w:r>
        <w:rPr>
          <w:b/>
        </w:rPr>
        <w:t>POSSIBLE 2026:</w:t>
      </w:r>
      <w:r>
        <w:t xml:space="preserve"> Live-coding performances: a body of work (2008–present) — https://doi.org/10.5281/zenodo.20743614</w:t>
      </w:r>
    </w:p>
    <w:p>
      <w:pPr/>
      <w:r>
        <w:rPr>
          <w:b/>
        </w:rPr>
        <w:t>Shared claim-specific concepts:</w:t>
      </w:r>
      <w:r>
        <w:t xml:space="preserve"> present, work, set, question, within; EU scope visible. This is a provisional connection, not an outcome finding.</w:t>
      </w:r>
    </w:p>
    <w:p>
      <w:pPr>
        <w:pStyle w:val="SourceNote"/>
      </w:pPr>
      <w:r>
        <w:rPr>
          <w:b/>
        </w:rPr>
        <w:t>Available abstract (not full text):</w:t>
      </w:r>
      <w:r>
        <w:t xml:space="preserve"> Research background. Live coding is a performance practice: the performer writes and edits code on stage, in real time, as the act of making music, with the screen projected for the audience to read. It is transdisciplinary by nature, sitting where live musical performance meets serious systems-level software engineering, a single set demanding both improvisational musicianship and the writing of correct, working code in real time. The practice grew out of the TOPLAP and algorave movements through the 2000s. It raises research questions about how a programming language can serve as a real-time musical instrument, and how the relationship between performer, code and audience shifts once the code becomes visible and mutable. Bound up with both is the question of how liveness and the ever-present risk of on-stage failure shape the performance itself. Research contribution. This is a sustained body of from-scratch live-coded performance, principally my own: each set begins from a blank screen, with no prepared material, the music built and rebuilt in code in front of the audience. The work treats three modes usually held apart, those of performer, researcher and engineer, as a single discipline. The performances are realised in environments designed by Andrew Sorensen: Impromptu in the early years, and Extempore since 2011, a project of which I am a core team member and, since 2025</w:t>
      </w:r>
    </w:p>
    <w:p>
      <w:pPr/>
      <w:r>
        <w:rPr>
          <w:b/>
        </w:rPr>
        <w:t>POSSIBLE 2026:</w:t>
      </w:r>
      <w:r>
        <w:t xml:space="preserve"> On sets of periodic orbit lengths in finitely presented dynamical systems — https://doi.org/10.1017/etds.2026.10313</w:t>
      </w:r>
    </w:p>
    <w:p>
      <w:pPr/>
      <w:r>
        <w:rPr>
          <w:b/>
        </w:rPr>
        <w:t>Shared claim-specific concepts:</w:t>
      </w:r>
      <w:r>
        <w:t xml:space="preserve"> work, set, question; EU scope not established. This is a provisional connection, not an outcome finding.</w:t>
      </w:r>
    </w:p>
    <w:p>
      <w:pPr>
        <w:pStyle w:val="SourceNote"/>
      </w:pPr>
      <w:r>
        <w:rPr>
          <w:b/>
        </w:rPr>
        <w:t>Available abstract (not full text):</w:t>
      </w:r>
      <w:r>
        <w:t xml:space="preserve"> Abstract We classify the sets of natural numbers n for which certain dynamical systems ( X , f ) $(X,f)$ left parenthesis upper X comma f right parenthesis on a compact metric space X have a periodic point of (least) period n . Interest in this question dates back to Sharkovskii’s theorem for continuous maps on intervals of the real line, but it also ties to checkable conditions for Krieger’s embedding theorem for symbolic dynamical systems. Given a system for which the logarithmic derivative of the Artin–Mazur zeta function is rational, we use the Skolem–Mahler–Lech theorem to classify for which n the system has a periodic point of (not necessarily least) period n . Moreover, we build on work on finitely presented (FP) systems and their relationship to symbolic dynamics to classify the set of least periods, that is, periodic orbit lengths, for arbitrary FP systems, extending a known classification for shifts of finite type. We also provide several constructions to realize any such least period sets.</w:t>
      </w:r>
    </w:p>
    <w:p>
      <w:pPr/>
      <w:r>
        <w:rPr>
          <w:b/>
        </w:rPr>
        <w:t>POSSIBLE 2026:</w:t>
      </w:r>
      <w:r>
        <w:t xml:space="preserve"> Order-Invariant Answers, Order-Sensitive Representations in Mathematical Reasoning — https://doi.org/10.48550/arxiv.2609.28442</w:t>
      </w:r>
    </w:p>
    <w:p>
      <w:pPr/>
      <w:r>
        <w:rPr>
          <w:b/>
        </w:rPr>
        <w:t>Shared claim-specific concepts:</w:t>
      </w:r>
      <w:r>
        <w:t xml:space="preserve"> set, answer, question; EU scope not established. This is a provisional connection, not an outcome finding.</w:t>
      </w:r>
    </w:p>
    <w:p>
      <w:pPr>
        <w:pStyle w:val="SourceNote"/>
      </w:pPr>
      <w:r>
        <w:rPr>
          <w:b/>
        </w:rPr>
        <w:t>Available abstract (not full text):</w:t>
      </w:r>
      <w:r>
        <w:t xml:space="preserve"> Reordering a set of mathematical rules without changing its meaning should preserve the correct answer, but must a model's internal representations stay invariant too? We investigate this question using synthetic multi-step function-composition problems, each presented under multiple rule orderings with the same correct answer. We measure accuracy and permutation signal-to-noise ratio (SNR), which quantifies how distinctly ordering patterns are represented relative to variation across problem instances. Across 16 language models ranging from 1B to 8B parameters, we find a pattern: models that solve reordered problems more accurately represent different rule orderings more distinctly. Layer-averaged permutation SNR is positively rank-correlated with accuracy in every synthetic setting we evaluate, with Spearman correlations reaching 0.86. These findings highlight a distinction between answer invariance and representation invariance: successful mathematical rule composition can accompany distinct internal representations between equivalent rule orderings. This motivates distinguishing answer invariance from representation invariance, and offers a representational perspective on mathematical reasoning beyond answer accuracy alone.</w:t>
      </w:r>
    </w:p>
    <w:p>
      <w:pPr/>
      <w:r>
        <w:rPr>
          <w:b/>
        </w:rPr>
        <w:t>POSSIBLE 2026:</w:t>
      </w:r>
      <w:r>
        <w:t xml:space="preserve"> When Is the Present? On the Invariant Now and Temporal Actuality — https://doi.org/10.5281/zenodo.21178453</w:t>
      </w:r>
    </w:p>
    <w:p>
      <w:pPr/>
      <w:r>
        <w:rPr>
          <w:b/>
        </w:rPr>
        <w:t>Shared claim-specific concepts:</w:t>
      </w:r>
      <w:r>
        <w:t xml:space="preserve"> present, work, order, answer; EU scope not established. This is a provisional connection, not an outcome finding.</w:t>
      </w:r>
    </w:p>
    <w:p>
      <w:pPr>
        <w:pStyle w:val="SourceNote"/>
      </w:pPr>
      <w:r>
        <w:rPr>
          <w:b/>
        </w:rPr>
        <w:t>Available abstract (not full text):</w:t>
      </w:r>
      <w:r>
        <w:t xml:space="preserve"> When is the present? The ordinary answer—"now"—conceals an unnoticed ambiguity by treating the present and the Now as the same reality. Building upon the invariance of the Now and the mechanism of condensation developed in previous essays, this work argues that they belong to different ontological levels. The past is redefined as the totality of actualizations condensed into the constitution of a being; the future as the horizon of receptions not yet actualized; and the present as the creature's actuality constituted through inheritance and reception at the invariant Now. Time is then derived as the constitutive order deposited by asymmetric condensation rather than assumed as an independent framework. Finally, the essay distinguishes Eternal Presence, the invariant Now, and the created present, offering a metaphysical account of temporal actuality that integrates ontology, philosophical theology, and the GaitAn Topology.</w:t>
      </w:r>
    </w:p>
    <w:p>
      <w:pPr/>
      <w:r>
        <w:rPr>
          <w:b/>
        </w:rPr>
        <w:t>POSSIBLE 2025:</w:t>
      </w:r>
      <w:r>
        <w:t xml:space="preserve"> Towards True Work-Efficiency in Parallel Derandomization: MIS, Maximal Matching, and Hitting Set — https://doi.org/10.1109/focs63196.2025.00139</w:t>
      </w:r>
    </w:p>
    <w:p>
      <w:pPr/>
      <w:r>
        <w:rPr>
          <w:b/>
        </w:rPr>
        <w:t>Shared claim-specific concepts:</w:t>
      </w:r>
      <w:r>
        <w:t xml:space="preserve"> present, work, set; EU scope not established. This is a provisional connection, not an outcome finding.</w:t>
      </w:r>
    </w:p>
    <w:p>
      <w:pPr>
        <w:pStyle w:val="SourceNote"/>
      </w:pPr>
      <w:r>
        <w:rPr>
          <w:b/>
        </w:rPr>
        <w:t>Available abstract (not full text):</w:t>
      </w:r>
      <w:r>
        <w:t xml:space="preserve"> Derandomization is one of the classic topics studied in the theory of parallel computations, dating back to the early 1980s. Despite much work, all known techniques lead to deterministic algorithms that are not work-efficient. For instance, for the well-studied problem of maximal independent set-e.g., [Karp, Wigderson STOC’84; Luby STOC’ 85; Luby FOCS’88]-state-of-theart deterministic algorithms require at least $m \cdot \operatorname{poly}(\log n)$ work, where m and n denote the number of edges and vertices. Hence, these deterministic algorithms will remain slower than their trivial sequential counterparts unless we have at least poly $(\log n)$ processors. In this paper, we present a generic parallel derandomization technique that moves exponentially closer to work-efficiency. The method iteratively rounds fractional solutions representing the randomized assignments to integral solutions that provide deterministic assignments, while maintaining certain linear or quadratic objective functions, and in an essentially work-efficient manner. As example end-results, we use this technique to obtain deterministic algorithms with $m \cdot \operatorname{poly}(\log \log n)$ work and poly $(\log n)$ depth for problems such as maximal independent set, maximal matching, and hitting set.</w:t>
      </w:r>
    </w:p>
    <w:p>
      <w:pPr/>
      <w:r>
        <w:rPr>
          <w:b/>
        </w:rPr>
        <w:t>POSSIBLE 2025:</w:t>
      </w:r>
      <w:r>
        <w:t xml:space="preserve"> Personal protective equipment set formation during work of buildings major repairs — https://doi.org/10.31659/0044-4472-2025-11-22-28</w:t>
      </w:r>
    </w:p>
    <w:p>
      <w:pPr/>
      <w:r>
        <w:rPr>
          <w:b/>
        </w:rPr>
        <w:t>Shared claim-specific concepts:</w:t>
      </w:r>
      <w:r>
        <w:t xml:space="preserve"> work, set, approach; EU scope not established. This is a provisional connection, not an outcome finding.</w:t>
      </w:r>
    </w:p>
    <w:p>
      <w:pPr>
        <w:pStyle w:val="SourceNote"/>
      </w:pPr>
      <w:r>
        <w:rPr>
          <w:b/>
        </w:rPr>
        <w:t>Available abstract (not full text):</w:t>
      </w:r>
      <w:r>
        <w:t xml:space="preserve"> Formation of a personal protective equipment set (PPE) for workers performing residential buildings major repairs is considered. The regulatory requirements (the Labor Code of the Russian Federation, GOSTs, SNiP) analysis was carried out and the main types of risks during dismantling, roofing, facade, finishing and electrical work were identified. A methodology for selecting PPE on the basis of a risk-based approach and the working conditions assessment results is proposed. Tables and diagrams reflecting the structure of injuries, the PPE compliance with the work types and the cost structure for their provision are presented. The domestic and foreign health and safety standards were compared. The conclusion on the need for systematic approach to the workers PPE kit, taking into account the production processes peculiarities is made. The proposed recommendations implementation allows reducing the injuries level and improving the effectiveness of occupational safety.</w:t>
      </w:r>
    </w:p>
    <w:p>
      <w:pPr/>
      <w:r>
        <w:rPr>
          <w:b/>
        </w:rPr>
        <w:t>POSSIBLE 2025:</w:t>
      </w:r>
      <w:r>
        <w:t xml:space="preserve"> The Foundational Spectrum: Navigating Sets, Classes, and Universes — https://doi.org/10.5281/zenodo.17808862</w:t>
      </w:r>
    </w:p>
    <w:p>
      <w:pPr/>
      <w:r>
        <w:rPr>
          <w:b/>
        </w:rPr>
        <w:t>Shared claim-specific concepts:</w:t>
      </w:r>
      <w:r>
        <w:t xml:space="preserve"> work, set, approach; EU scope not established. This is a provisional connection, not an outcome finding.</w:t>
      </w:r>
    </w:p>
    <w:p>
      <w:pPr>
        <w:pStyle w:val="SourceNote"/>
      </w:pPr>
      <w:r>
        <w:rPr>
          <w:b/>
        </w:rPr>
        <w:t>Available abstract (not full text):</w:t>
      </w:r>
      <w:r>
        <w:t xml:space="preserve"> The landscape of mathematical foundations is intricately structured, built upon increasingly sophisticated notions of collection. This paper explores the foundational spectrum, traversing from the familiar concept of sets, as formalized in Zermelo-Fraenkel Set Theory with the Axiom of Choice (ZFC), to the broader notion of proper classes, and ultimately to the expansive framework of Grothendieck universes. While ZFC provides a robust foundation for most of mathematics, the occurrence of paradoxes in naive set theory necessitated a more rigorous approach. Proper classes emerge as collections too large to be sets, providing a means to discuss significant mathematical totalities without incurring contradictions. Grothendieck universes, often posited by additional axioms, extend this hierarchy further, offering environments suitable for advanced categorical constructions where even proper classes might prove insufficient. This work delves into the historical motivations, formal definitions, and interrelationships of these foundational concepts, highlighting their distinct expressive powers and their collective role in providing a coherent and comprehensive framework for modern mathematics, particularly in areas like category theory and algebraic geometry. By presenting a structured synthesis of these layers and emphasizing their adaptive evolution, the paper aims to elucidate how t</w:t>
      </w:r>
    </w:p>
    <w:p>
      <w:pPr/>
      <w:r>
        <w:rPr>
          <w:b/>
        </w:rPr>
        <w:t>POSSIBLE 2024:</w:t>
      </w:r>
      <w:r>
        <w:t xml:space="preserve"> Presenting Work Via PowerPoint — https://doi.org/10.4324/9781003526001-13</w:t>
      </w:r>
    </w:p>
    <w:p>
      <w:pPr/>
      <w:r>
        <w:rPr>
          <w:b/>
        </w:rPr>
        <w:t>Shared claim-specific concepts:</w:t>
      </w:r>
      <w:r>
        <w:t xml:space="preserve"> work, set; EU scope not established. This is a provisional connection, not an outcome finding.</w:t>
      </w:r>
    </w:p>
    <w:p>
      <w:pPr>
        <w:pStyle w:val="SourceNote"/>
      </w:pPr>
      <w:r>
        <w:rPr>
          <w:b/>
        </w:rPr>
        <w:t>Available abstract (not full text):</w:t>
      </w:r>
      <w:r>
        <w:t xml:space="preserve"> Similar to a poster presentation, an oral presentation—with accompanying slideshow—requires a different writing style than a research paper. This chapter will focus on how to transfer thoughts from a carefully worded paper onto a presentation medium and still retain the message. The chapter author will focus on guiding the reader on how to convert ideas into bullet points and still ensure proper flow as well as being able to extract the most relevant points from the original paper. Sports medicine and kinesiology-based examples and sample problems in this chapter will mimic Chapter 12 in that they will focus on creating an effective bullet point, understanding which concepts to take from a paper, and how and when to develop new material for a presentation to better set up the concept used from the original paper.</w:t>
      </w:r>
    </w:p>
    <w:p>
      <w:pPr/>
      <w:r>
        <w:rPr>
          <w:b/>
        </w:rPr>
        <w:t>POSSIBLE 2024:</w:t>
      </w:r>
      <w:r>
        <w:t xml:space="preserve"> Axiomatization of Non-Recursive Aggregates in First-Order Answer Set Programming — https://doi.org/10.1613/jair.1.15786</w:t>
      </w:r>
    </w:p>
    <w:p>
      <w:pPr/>
      <w:r>
        <w:rPr>
          <w:b/>
        </w:rPr>
        <w:t>Shared claim-specific concepts:</w:t>
      </w:r>
      <w:r>
        <w:t xml:space="preserve"> present, work, set, answer; EU scope not established. This is a provisional connection, not an outcome finding.</w:t>
      </w:r>
    </w:p>
    <w:p>
      <w:pPr>
        <w:pStyle w:val="SourceNote"/>
      </w:pPr>
      <w:r>
        <w:rPr>
          <w:b/>
        </w:rPr>
        <w:t>Available abstract (not full text):</w:t>
      </w:r>
      <w:r>
        <w:t xml:space="preserve"> This paper contributes to the development of theoretical foundations of answer set programming. Groundbreaking work on the SM operator by Ferraris, Lee, and Lifschitz proposed a definition/semantics for logic (answer set) programs based on a syntactic transformation similar to parallel circumscription. That definition radically differed from its predecessors by using classical (second-order) logic and avoiding reference to either grounding or fixpoints. Yet, the work lacked the formalization of crucial and commonly used answer set programming language constructs called aggregates. In this paper, we present a characterization of logic programs with aggregates based on a many-sorted generalization of the SM operator. This characterization introduces new function symbols for aggregate operations and aggregate elements, whose meaning can be fixed by adding appropriate axioms to the result of the SM transformation. We prove that our characterization coincides with the ASP-Core-2 semantics for logic programs and, if we allow non-positive recursion through aggregates, it coincides with the semantics of the answer set solver CLINGO.</w:t>
      </w:r>
    </w:p>
    <w:p>
      <w:pPr/>
      <w:r>
        <w:rPr>
          <w:b/>
        </w:rPr>
        <w:t>POSSIBLE 2024:</w:t>
      </w:r>
      <w:r>
        <w:t xml:space="preserve"> Higher-Order Model Checking of Effect-Handling Programs with Answer-Type Modification — https://doi.org/10.1145/3689805</w:t>
      </w:r>
    </w:p>
    <w:p>
      <w:pPr/>
      <w:r>
        <w:rPr>
          <w:b/>
        </w:rPr>
        <w:t>Shared claim-specific concepts:</w:t>
      </w:r>
      <w:r>
        <w:t xml:space="preserve"> work, implemented, approach; EU scope not established. This is a provisional connection, not an outcome finding.</w:t>
      </w:r>
    </w:p>
    <w:p>
      <w:pPr>
        <w:pStyle w:val="SourceNote"/>
      </w:pPr>
      <w:r>
        <w:rPr>
          <w:b/>
        </w:rPr>
        <w:t>Available abstract (not full text):</w:t>
      </w:r>
      <w:r>
        <w:t xml:space="preserve"> Since the seminal work by Ong, the model checking of higher-order programs—called higher-order model checking , or HOMC for short—has gained attention. It is also crucial for making HOMC applicable to real-world software to address programs involving computational effects. Recently, Dal Lago and Ghyselen considered an extension of HOMC to algebraic effect handlers , which enable programming the semantics of effects. They showed a negative result for HOMC with algebraic effect handlers—it is undecidable. In this work, we explore a restriction on programs with algebraic effect handlers which ensures the decidability of HOMC while allowing implementations of various effects. We identify the crux of the undecidability as the use of an unbounded number of algebraic effect handlers being active at the same time. To prevent it, we introduce answer-type modification (ATM), which can bound the number of algebraic effect handlers that can be active at the same time. We prove that ATM can ensure the decidability of HOMC and show that it accommodates a wide range of effects. To evaluate our approach, we implemented an automated verifier EffCaml based on the presented techniques and confirmed that the program examples discussed in this paper can be automatically verified.</w:t>
      </w:r>
    </w:p>
    <w:p>
      <w:pPr/>
      <w:r>
        <w:rPr>
          <w:b/>
        </w:rPr>
        <w:t>POSSIBLE 2024:</w:t>
      </w:r>
      <w:r>
        <w:t xml:space="preserve"> A systematization of Álvaro Vieira Pinto's philosophical work — https://openalex.org/W7120406114</w:t>
      </w:r>
    </w:p>
    <w:p>
      <w:pPr/>
      <w:r>
        <w:rPr>
          <w:b/>
        </w:rPr>
        <w:t>Shared claim-specific concepts:</w:t>
      </w:r>
      <w:r>
        <w:t xml:space="preserve"> present, work, set, education, national, technology; EU scope not established. This is a provisional connection, not an outcome finding.</w:t>
      </w:r>
    </w:p>
    <w:p>
      <w:pPr>
        <w:pStyle w:val="SourceNote"/>
      </w:pPr>
      <w:r>
        <w:rPr>
          <w:b/>
        </w:rPr>
        <w:t>Available abstract (not full text):</w:t>
      </w:r>
      <w:r>
        <w:t xml:space="preserve"> This work consists of an investigation about the thought of the Brazilian philosopher Álvaro Vieira Pinto. It is a systematical exposition (always interpretative) oriented by the systematic reconstitution of the essential of Álvaro Vieira Pinto’s thought. Our investigation is situated in the context of the works written by the author, chronologically, from the booklet Ideology and National Development (1956) onwards, including later texts that we have available today. We present the thesis that throughout these works, a systematic and unitary philosophical thought unfolds, but whose synthetic exposition must be produced, and this is what our work consists of. As a result, we want, precisely, from the systematic interpretation of his texts, to expose the foundations of this philosophical conception and present how his thought is structured and developed internally. There is no work by the author that is dedicated exclusively and specifically to the systematization we undertake here, which collects elements left over from all the author’s works investigated by us, and that’s why this thesis may shed new light on the set of problems involving the author and his work. The fact that the Brazilian thinker has written about a great variety of themes, such as Work, Nation, Science, Technology, Cybernetics, Education, Politics etc., seems to demand some kind of interpretation that allow</w:t>
      </w:r>
    </w:p>
    <w:p>
      <w:pPr/>
      <w:r>
        <w:rPr>
          <w:b/>
        </w:rPr>
        <w:t>POSSIBLE 2024:</w:t>
      </w:r>
      <w:r>
        <w:t xml:space="preserve"> NLU-V: A Family of Instruction Set Extensions for Efficient Symmetric Cryptography on RISC-V — https://doi.org/10.3390/cryptography8010009</w:t>
      </w:r>
    </w:p>
    <w:p>
      <w:pPr/>
      <w:r>
        <w:rPr>
          <w:b/>
        </w:rPr>
        <w:t>Shared claim-specific concepts:</w:t>
      </w:r>
      <w:r>
        <w:t xml:space="preserve"> present, work, set, implemented; EU scope not established. This is a provisional connection, not an outcome finding.</w:t>
      </w:r>
    </w:p>
    <w:p>
      <w:pPr>
        <w:pStyle w:val="SourceNote"/>
      </w:pPr>
      <w:r>
        <w:rPr>
          <w:b/>
        </w:rPr>
        <w:t>Available abstract (not full text):</w:t>
      </w:r>
      <w:r>
        <w:t xml:space="preserve"> Cryptographic primitives nowadays are not only implemented in high-performance systems but also in small-scale systems, which are increasingly powered by open-source processors, such as RISC-V. In this work, we leverage RISC-V’s modular base instruction set and architecture to propose a generic instruction set extension (ISE) for symmetric cryptography. We adapt the work from Engels et al. in ARITH’13, the non-linear/linear instruction set extension (NLU), which presents a generic hardware/software co-design solution for efficient symmetric crypto implementations through a hardware unit extending the 8-bit AVR instruction set. These new instructions realize non-linear and linear layers, which are widely used to implement the block ciphers in symmetric cryptography. Our proposal modifies and extends the NLU instructions to a 32-bit RISC-V architecture; hence, we call the proposed ISE ‘NLU-V’. The proposed architecture is integrated into the open-source RISC-V implementation ‘Icicle’ and synthesized on a Xilinx Kintex-7 XC7K160T FPGA. The area overhead for the proposed NLU-V ISE is 1088 slice registers and 4520 LUTs. As case studies, the PRESENT and AES block ciphers are implemented using the new ISE on RISC-V in assembly. Our evaluation metric to showcase the performance gain, Z ‘time-area-product (TAP)’ (the execution time in clock cycles times code memory consumption), reflect</w:t>
      </w:r>
    </w:p>
    <w:p>
      <w:pPr>
        <w:pStyle w:val="Heading2"/>
      </w:pPr>
      <w:r>
        <w:t>764. Polish and Ukrainian foresight into the directions for the innovation of power plants</w:t>
      </w:r>
    </w:p>
    <w:p>
      <w:pPr>
        <w:pStyle w:val="SourceNote"/>
      </w:pPr>
      <w:r>
        <w:rPr>
          <w:b/>
        </w:rPr>
        <w:t>Original source (2018):</w:t>
      </w:r>
      <w:r>
        <w:t xml:space="preserve"> https://doi.org/10.5277/ord180404</w:t>
      </w:r>
    </w:p>
    <w:p>
      <w:pPr/>
      <w:r>
        <w:t>Original wording (abstract; indexed_source_text_not_full_document_verified): Such an approach could be used to establish a set of measures aimed at the continuous improvement of technical, technological, socioeconomic and environmental processes in power plants (e.g., the operation of Ukrainian hydroelectric power plants).</w:t>
      </w:r>
    </w:p>
    <w:p>
      <w:pPr/>
      <w:r>
        <w:rPr>
          <w:b/>
        </w:rPr>
        <w:t>POSSIBLE 2026:</w:t>
      </w:r>
      <w:r>
        <w:t xml:space="preserve"> Feasibility Model for Establishing and Implementing Smart Insurance Using a Hybrid Approach — https://openalex.org/W7217145713</w:t>
      </w:r>
    </w:p>
    <w:p>
      <w:pPr/>
      <w:r>
        <w:rPr>
          <w:b/>
        </w:rPr>
        <w:t>Shared claim-specific concepts:</w:t>
      </w:r>
      <w:r>
        <w:t xml:space="preserve"> approach, used, processes; EU scope not established. This is a provisional connection, not an outcome finding.</w:t>
      </w:r>
    </w:p>
    <w:p>
      <w:pPr>
        <w:pStyle w:val="SourceNote"/>
      </w:pPr>
      <w:r>
        <w:rPr>
          <w:b/>
        </w:rPr>
        <w:t>Available abstract (not full text):</w:t>
      </w:r>
      <w:r>
        <w:t xml:space="preserve"> In the past decade, the insurance industry has been influenced by advancements in emerging technologies such as artificial intelligence (AI), blockchain, the Internet of Things (IoT), and big data analytics, leading to a shift toward digital transformation and the implementation of smart insurance practices. This study was conducted with the aim of presenting a comprehensive model for the feasibility assessment and implementation of smart insurance in Dana Insurance Company. The research employed a quantitative methodology. To develop the final model, the Delphi method was utilized. In this stage, the sample consisted of 15 insurance and academic experts. Data were collected using a questionnaire. In the subsequent phase, structural equation modeling (SEM) was applied to examine the validity of the final model. In this phase, the sample comprised 256 individuals, including managers, experts, and insurance representatives across the studied provinces. A researcher-made questionnaire was used for data collection. The validity of the questionnaire was evaluated and confirmed through construct validity, and its reliability was verified using Cronbach’s alpha coefficient. The results of the SEM analysis demonstrated satisfactory construct validity of the final model. Findings from these two phases identified 12 main categories, including smart technologies and tools, information tec</w:t>
      </w:r>
    </w:p>
    <w:p>
      <w:pPr/>
      <w:r>
        <w:rPr>
          <w:b/>
        </w:rPr>
        <w:t>POSSIBLE 2026:</w:t>
      </w:r>
      <w:r>
        <w:t xml:space="preserve"> Establish An Advanced River Flow Prediction Model Using An Artificial Intelligence Approach — https://doi.org/10.51483/ijaiml.6.6s.2026.1293-1301</w:t>
      </w:r>
    </w:p>
    <w:p>
      <w:pPr/>
      <w:r>
        <w:rPr>
          <w:b/>
        </w:rPr>
        <w:t>Shared claim-specific concepts:</w:t>
      </w:r>
      <w:r>
        <w:t xml:space="preserve"> approach, establish, environmental; EU scope not established. This is a provisional connection, not an outcome finding.</w:t>
      </w:r>
    </w:p>
    <w:p>
      <w:pPr>
        <w:pStyle w:val="SourceNote"/>
      </w:pPr>
      <w:r>
        <w:rPr>
          <w:b/>
        </w:rPr>
        <w:t>Available abstract (not full text):</w:t>
      </w:r>
      <w:r>
        <w:t xml:space="preserve"> Accurate river flow predictions are essential for effective management of water resources, flood control, and environmental protection due to the increasing frequency of extreme weather events and shifting hydrological tendencies. An improved river flow prediction method utilizing artificial intelligence (AI) approaches is presented in this research. To advance the method's accuracy and rate of convergence, the raw river flow data is first normalized to decrease the impact of outliers and guarantee consistency across different scales. To raise the convergence speed and predictive performance, the Refined Northern Goshawk Optimized Deep Neural Network (RNGO-DNN), a novel hybrid method, incorporates optimized optimization methods that were influenced by the hunting tactics of the northern goshawk. When associated with conventional prediction approaches, the method's performance shows greater accuracy and dependability. The proposed method is measured against existing approaches, demonstrating larger performance in forecasting river flow by using metrics such as R-squared (R²) of 0.98, Root Mean Square Error (RMSE) of 0.20, and Mean Absolute Error (MAE) of 0.08 in River flow forecast. The outcomes illustrate that the suggested technique achieves significantly better than conventional prediction methods, providing a reliable tool for forecasting river flow and improving resource ma</w:t>
      </w:r>
    </w:p>
    <w:p>
      <w:pPr/>
      <w:r>
        <w:rPr>
          <w:b/>
        </w:rPr>
        <w:t>POSSIBLE 2025:</w:t>
      </w:r>
      <w:r>
        <w:t xml:space="preserve"> Establishing and evaluating approaches for mixed media hybrid prototyping using Lego and additive manufacturing — https://doi.org/10.1017/dsj.2025.10036</w:t>
      </w:r>
    </w:p>
    <w:p>
      <w:pPr/>
      <w:r>
        <w:rPr>
          <w:b/>
        </w:rPr>
        <w:t>Shared claim-specific concepts:</w:t>
      </w:r>
      <w:r>
        <w:t xml:space="preserve"> approach, establish, processes; EU scope not established. This is a provisional connection, not an outcome finding.</w:t>
      </w:r>
    </w:p>
    <w:p>
      <w:pPr>
        <w:pStyle w:val="SourceNote"/>
      </w:pPr>
      <w:r>
        <w:rPr>
          <w:b/>
        </w:rPr>
        <w:t>Available abstract (not full text):</w:t>
      </w:r>
      <w:r>
        <w:t xml:space="preserve"> Abstract Hybrid prototyping (HP) – the combination of mixed prototyping media within a single product design – has shown potential to substantially reduce process cost and fabrication time. However, previous work has not considered how HP processes and fabrication should be aligned with designer intent or activity needs, how these may change the realised savings or good practice guidance for successful implementation. This work proposes three approaches for HP with Lego and additive manufacturing, targeted towards enabling mixed fidelity for prototype flexibility, parallelisation for rapid fabrication and component reuse to minimise material waste. It then establishes good practice guidance and proposes a HP method that accounts for practical and process constraints, then implemented through an automated hybridisation tool. Approaches are compared through a simulation study and a case study to establish relative benefit. Results show potential time and material savings of 56% and 76%, respectively, depending on the approach chosen, demonstrating the substantial and practical scope for savings that HP provides.</w:t>
      </w:r>
    </w:p>
    <w:p>
      <w:pPr/>
      <w:r>
        <w:rPr>
          <w:b/>
        </w:rPr>
        <w:t>POSSIBLE 2024:</w:t>
      </w:r>
      <w:r>
        <w:t xml:space="preserve"> A comprehensive review of planting approaches used to establish willow for environmental applications — https://doi.org/10.1016/j.ecoleng.2024.107288</w:t>
      </w:r>
    </w:p>
    <w:p>
      <w:pPr/>
      <w:r>
        <w:rPr>
          <w:b/>
        </w:rPr>
        <w:t>Shared claim-specific concepts:</w:t>
      </w:r>
      <w:r>
        <w:t xml:space="preserve"> used, establish, environmental, operation; EU scope not established. This is a provisional connection, not an outcome finding.</w:t>
      </w:r>
    </w:p>
    <w:p>
      <w:pPr>
        <w:pStyle w:val="SourceNote"/>
      </w:pPr>
      <w:r>
        <w:rPr>
          <w:b/>
        </w:rPr>
        <w:t>Available abstract (not full text):</w:t>
      </w:r>
      <w:r>
        <w:t xml:space="preserve"> Willow is considered an ideal plant species for environmental applications, including phytoremediation . Improving planting efficiency and reducing the costs of phytoremediation have become key steps for increasing its application. This paper reports the most update-to-date information on frequently used techniques for establishing willow, including plant material, planting methods, and the factors influencing the early establishment of trees in the field. The five main types of planting materials (rods, cuttings, billets, micro-cuttings and single-bud short branches), and the seven main planting techniques, especially different vertical and horizontal planting directions, were assessed. Factors affecting willow establishment were also reviewed, including the characteristics of planting materials (i.e., clones, cutting phenology , propagules size, pre-treatments), operation during planting (i.e., timing, orientation and planting depth) and post-planting management (i.e., soil conditions and weed management). New planting approaches with small-sized cuttings (of about 5 cm in length) have been recently proposed showing promising economical and effectiveness characteristics, especially for the establishment of willows in harsh soil and challenging conditions.</w:t>
      </w:r>
    </w:p>
    <w:p>
      <w:pPr/>
      <w:r>
        <w:rPr>
          <w:b/>
        </w:rPr>
        <w:t>POSSIBLE 2024:</w:t>
      </w:r>
      <w:r>
        <w:t xml:space="preserve"> Ventricular tachycardia mapping and ablation using MIXture of well-established approaches. The MIX-VT study — https://doi.org/10.1093/europace/euae102.532</w:t>
      </w:r>
    </w:p>
    <w:p>
      <w:pPr/>
      <w:r>
        <w:rPr>
          <w:b/>
        </w:rPr>
        <w:t>Shared claim-specific concepts:</w:t>
      </w:r>
      <w:r>
        <w:t xml:space="preserve"> approach, used, improvement; EU scope not established. This is a provisional connection, not an outcome finding.</w:t>
      </w:r>
    </w:p>
    <w:p>
      <w:pPr>
        <w:pStyle w:val="SourceNote"/>
      </w:pPr>
      <w:r>
        <w:rPr>
          <w:b/>
        </w:rPr>
        <w:t>Available abstract (not full text):</w:t>
      </w:r>
      <w:r>
        <w:t xml:space="preserve"> Abstract Introduction Ablation for ventricular tachycardia (VT) is still challenging despite impressive technology development, especially in mid- or low-volume centers. The most frequently used approach is homogenization of scar area responsible for VT, combined with standard electrophysiological (EP) approaches such as VT inducibility and mapping. However, in real life long-term efficacy of VT ablation in such centers does not exceed 50%. We hypothesized that an approach consisting of the mixture of various well-established parameters would be more effective than scar homogenization and VT non-inducibility as the endpoints. Purpose To compare the outcome of VT ablation using the standard approach (scar homogenization) and a more complex approach, called the MIX-VT protocol, using late potential mapping + pace mapping with rapid change of VT morphology to localize the critical isthmus + core isolation. All procedures were performed using the 3D mapping system, Pentaray mapping catheter, Smart-Touch ablation catheter and intracardiac echocardiography (ICE). Methods 48 consecutive patients (41 male, mean age 71.5 years) with ischemic cardiopathy referred for urgent VT ablation were included: 23 patients underwent "standard" VT ablation between December 2018 and December 2019, whereas the next 25 patients underwent ablation using the MIX-VT protocol between January 2020 and Decem</w:t>
      </w:r>
    </w:p>
    <w:p>
      <w:pPr/>
      <w:r>
        <w:rPr>
          <w:b/>
        </w:rPr>
        <w:t>POSSIBLE 2023:</w:t>
      </w:r>
      <w:r>
        <w:t xml:space="preserve"> Establishing Novel Drug Leads For Bubonic Plague Using In-Silico Approach — https://doi.org/10.2991/978-94-6463-294-1_11</w:t>
      </w:r>
    </w:p>
    <w:p>
      <w:pPr/>
      <w:r>
        <w:rPr>
          <w:b/>
        </w:rPr>
        <w:t>Shared claim-specific concepts:</w:t>
      </w:r>
      <w:r>
        <w:t xml:space="preserve"> approach, used, plants; EU scope not established. This is a provisional connection, not an outcome finding.</w:t>
      </w:r>
    </w:p>
    <w:p>
      <w:pPr>
        <w:pStyle w:val="SourceNote"/>
      </w:pPr>
      <w:r>
        <w:rPr>
          <w:b/>
        </w:rPr>
        <w:t>Available abstract (not full text):</w:t>
      </w:r>
      <w:r>
        <w:t xml:space="preserve"> Bubonic plague is an infection spread mostly to humans by infected fleas that feed on rodents which is also known as 'Black death'.It killed millions of Europeans during the middles ages.Bubonic Plague is an infectious disease caused by a specific type of bacterium called Yersinia pestis.Which is also know as Y.pestis can affect humans spread mainly by fleas.Prevention doesn't include a vaccine, but does involve reducing your exposure to mice, rats, squirrels and other animals that may be infected.The deaths exceeded 25 million people during the middle ages.The plague is rare now.Only a few thousand people around the world get it each year most of the cases are in Africa, India.The FASTA sequence of the genes-receptors of the above disease were retrieved from Genbank database.Next, we modelled the 3D structure of the FASTA protein sequence using modeller.The best model was selected using Ramachandran plot.Phytocompounds from medicinal plants is considered Emblica Officinalis, Terminalia Chebula, Terminalia Bellirica, Asphaltum Punjabianum, Azadirachta Indica as considered as novel drug leads is retrieved from PUBCHEM database.The phytocompounds are checked for drug-like properties using molinspiration software.The compounds having no violations was considered for further docking studies.Thannilignan, Ellagic acid, Quercetin, Termilignan docks best with both the receptors.Hence </w:t>
      </w:r>
    </w:p>
    <w:p>
      <w:pPr/>
      <w:r>
        <w:rPr>
          <w:b/>
        </w:rPr>
        <w:t>POSSIBLE 2023:</w:t>
      </w:r>
      <w:r>
        <w:t xml:space="preserve"> Measuring engineering culture: a preliminary approach using perceptions of meritocracy and competition — https://doi.org/10.1109/fie58773.2023.10342907</w:t>
      </w:r>
    </w:p>
    <w:p>
      <w:pPr/>
      <w:r>
        <w:rPr>
          <w:b/>
        </w:rPr>
        <w:t>Shared claim-specific concepts:</w:t>
      </w:r>
      <w:r>
        <w:t xml:space="preserve"> approach, used, measures; EU scope not established. This is a provisional connection, not an outcome finding.</w:t>
      </w:r>
    </w:p>
    <w:p>
      <w:pPr>
        <w:pStyle w:val="SourceNote"/>
      </w:pPr>
      <w:r>
        <w:rPr>
          <w:b/>
        </w:rPr>
        <w:t>Available abstract (not full text):</w:t>
      </w:r>
      <w:r>
        <w:t xml:space="preserve"> This work in progress paper aims to present a first effort in measuring elements of engineering culture that can interact with student well-being. Engineering culture has been under significant scrutiny during the last couple of decades, especially as it has been extensively documented to be exclusionary for marginalized groups. Significant and valuable efforts exist characterizing engineering culture qualitatively, however, less of such efforts have been oriented toward generating a quantitative approach to gauge it. Therefore, studies that aim to measure engineering culture often use established measures for diversity and inclusion as the closest proxies. Derived from our own need to have a quantitative way of measuring engineering culture within a larger longitudinal and multi-institutional project, we embarked on an attempt to do so through two components that have been documented as being part of the engineering ways of thinking and doing, the perceptions of meritocratic beliefs and competitive attitudes. In this paper, we present five items that we have used to measure engineering culture as they relate to competition and meritocracy beliefs. Our research goal was to use Exploratory Factor Analysis (EFA) and Confirmatory Factor Analysis (CFA) to investigate the factorial structure of the proposed items. We report on the results from the EFA and CFA for these items using a</w:t>
      </w:r>
    </w:p>
    <w:p>
      <w:pPr/>
      <w:r>
        <w:rPr>
          <w:b/>
        </w:rPr>
        <w:t>POSSIBLE 2022:</w:t>
      </w:r>
      <w:r>
        <w:t xml:space="preserve"> Identifying Key Elements for Establishing Sustainable Conventions and Exhibitions: Use of the Delphi and AHP Approaches — https://doi.org/10.3390/su14031678</w:t>
      </w:r>
    </w:p>
    <w:p>
      <w:pPr/>
      <w:r>
        <w:rPr>
          <w:b/>
        </w:rPr>
        <w:t>Shared claim-specific concepts:</w:t>
      </w:r>
      <w:r>
        <w:t xml:space="preserve"> approach, establish, continuous; EU scope not established. This is a provisional connection, not an outcome finding.</w:t>
      </w:r>
    </w:p>
    <w:p>
      <w:pPr>
        <w:pStyle w:val="SourceNote"/>
      </w:pPr>
      <w:r>
        <w:rPr>
          <w:b/>
        </w:rPr>
        <w:t>Available abstract (not full text):</w:t>
      </w:r>
      <w:r>
        <w:t xml:space="preserve"> The purpose of this study was to explore, by employing the Delphi method, key indicators and factors for establishing sustainable conventions and exhibitions (C&amp;E) events in a destination in lieu of holding one-off events. In addition, the identified factors for establishing sustainable C&amp;E events were assessed using the analytic hierarchy process (AHP) with a multi-group approach. First, internal and external factors that impact continuous hosting of C&amp;E events in a destination were identified in previous research and reviewed. Second, three stages of Delphi surveys were conducted with three groups of experts in the C&amp;E industry (academic scholars, industry experts, and government agencies in Korea). Third, data were analyzed from 35 and 29 participants in the first and second Delphi rounds, respectively, as well as from 17 panelists in the subsequent AHP analysis. A total of 33 indicators were developed and categorized into five factors for continuity of regional C&amp;E efforts: event contents and capabilities, organizers and support/sponsorship, impacts, facilities in venues and destinations, and the local event environment. Furthermore, all three participant groups reached agreement in rating event contents and capabilities as the most important factor, with the local event environment as the second most important factor in achieving sustainable regional C&amp;E. However, the opin</w:t>
      </w:r>
    </w:p>
    <w:p>
      <w:pPr/>
      <w:r>
        <w:rPr>
          <w:b/>
        </w:rPr>
        <w:t>POSSIBLE 2022:</w:t>
      </w:r>
      <w:r>
        <w:t xml:space="preserve"> Methodological approaches to measuring quality of life — https://doi.org/10.1590/0101-31572022-3256</w:t>
      </w:r>
    </w:p>
    <w:p>
      <w:pPr/>
      <w:r>
        <w:rPr>
          <w:b/>
        </w:rPr>
        <w:t>Shared claim-specific concepts:</w:t>
      </w:r>
      <w:r>
        <w:t xml:space="preserve"> approach, used, measures, aimed; EU scope not established. This is a provisional connection, not an outcome finding.</w:t>
      </w:r>
    </w:p>
    <w:p>
      <w:pPr>
        <w:pStyle w:val="SourceNote"/>
      </w:pPr>
      <w:r>
        <w:rPr>
          <w:b/>
        </w:rPr>
        <w:t>Available abstract (not full text):</w:t>
      </w:r>
      <w:r>
        <w:t xml:space="preserve"> ABSTRACT The ultimate goal of the present work lay in creating a vector methodology for measuring QoL. Application of an integrated approach to the results of the classification analysis and SWOT analysis enabled elaborating a vector methodology of a recommendatory type aimed at improving QoL measurement approaches. It was established that this methodology should include four major updates taking into account the challenges of tomorrow. The study results may be of interest to public authorities responsible for taking measures directed at raising the country’s international ranking as well as be used for reducing contradictions on the part of QoL measuring procedures.</w:t>
      </w:r>
    </w:p>
    <w:p>
      <w:pPr/>
      <w:r>
        <w:rPr>
          <w:b/>
        </w:rPr>
        <w:t>POSSIBLE 2022:</w:t>
      </w:r>
      <w:r>
        <w:t xml:space="preserve"> Methodological approaches to measuring quality of life — https://doi.org/10.6084/m9.figshare.19965475</w:t>
      </w:r>
    </w:p>
    <w:p>
      <w:pPr/>
      <w:r>
        <w:rPr>
          <w:b/>
        </w:rPr>
        <w:t>Shared claim-specific concepts:</w:t>
      </w:r>
      <w:r>
        <w:t xml:space="preserve"> approach, used, measures, aimed; EU scope not established. This is a provisional connection, not an outcome finding.</w:t>
      </w:r>
    </w:p>
    <w:p>
      <w:pPr>
        <w:pStyle w:val="SourceNote"/>
      </w:pPr>
      <w:r>
        <w:rPr>
          <w:b/>
        </w:rPr>
        <w:t>Available abstract (not full text):</w:t>
      </w:r>
      <w:r>
        <w:t xml:space="preserve"> ABSTRACT The ultimate goal of the present work lay in creating a vector methodology for measuring QoL. Application of an integrated approach to the results of the classification analysis and SWOT analysis enabled elaborating a vector methodology of a recommendatory type aimed at improving QoL measurement approaches. It was established that this methodology should include four major updates taking into account the challenges of tomorrow. The study results may be of interest to public authorities responsible for taking measures directed at raising the country’s international ranking as well as be used for reducing contradictions on the part of QoL measuring procedures.</w:t>
      </w:r>
    </w:p>
    <w:p>
      <w:pPr/>
      <w:r>
        <w:rPr>
          <w:b/>
        </w:rPr>
        <w:t>POSSIBLE 2022:</w:t>
      </w:r>
      <w:r>
        <w:t xml:space="preserve"> Measuring human capital in South Africa across socioeconomic subgroups using a latent-variable approach — https://doi.org/10.1007/s11205-022-02973-y</w:t>
      </w:r>
    </w:p>
    <w:p>
      <w:pPr/>
      <w:r>
        <w:rPr>
          <w:b/>
        </w:rPr>
        <w:t>Shared claim-specific concepts:</w:t>
      </w:r>
      <w:r>
        <w:t xml:space="preserve"> approach, used, socioeconomic; EU scope not established. This is a provisional connection, not an outcome finding.</w:t>
      </w:r>
    </w:p>
    <w:p>
      <w:pPr>
        <w:pStyle w:val="SourceNote"/>
      </w:pPr>
      <w:r>
        <w:rPr>
          <w:b/>
        </w:rPr>
        <w:t>Available abstract (not full text):</w:t>
      </w:r>
      <w:r>
        <w:t xml:space="preserve"> Abstract Human capital is a complex concept to measure given it is an unobserved latent construct. Education is a fundamental dimension of human capital and thus an education-based approach is the one most widely used. However, the international literature recommends a latent-variable approach to measuring human capital. This study thus aims to measure human capital in South Africa, a country experiencing extreme earnings and education inequalities, using a latent-variable approach and the National Income Dynamic Study (NIDS) dataset. The findings are that parental education is associated with the largest amount of variance in (latent) human capital, while the health indicator captures the least variance. Furthermore, the (latent) human capital variable provides a valuable measure to profile the distribution of human capital by socioeconomic subgroups.</w:t>
      </w:r>
    </w:p>
    <w:p>
      <w:pPr/>
      <w:r>
        <w:rPr>
          <w:b/>
        </w:rPr>
        <w:t>POSSIBLE 2022:</w:t>
      </w:r>
      <w:r>
        <w:t xml:space="preserve"> A Novel Approach for Establishing Connectivity in Partitioned Mobile Sensor Networks using Beamforming Techniques — https://doi.org/10.52547/jist.16302.10.40.300</w:t>
      </w:r>
    </w:p>
    <w:p>
      <w:pPr/>
      <w:r>
        <w:rPr>
          <w:b/>
        </w:rPr>
        <w:t>Shared claim-specific concepts:</w:t>
      </w:r>
      <w:r>
        <w:t xml:space="preserve"> approach, used, set; EU scope not established. This is a provisional connection, not an outcome finding.</w:t>
      </w:r>
    </w:p>
    <w:p>
      <w:pPr>
        <w:pStyle w:val="SourceNote"/>
      </w:pPr>
      <w:r>
        <w:rPr>
          <w:b/>
        </w:rPr>
        <w:t>Available abstract (not full text):</w:t>
      </w:r>
      <w:r>
        <w:t xml:space="preserve"> Network connectivity is one of the major design issues in the context of mobile sensor networks. Due to diverse communication patterns, some nodes lying in high-traffic zones may consume more energy and eventually die out resulting in network partitioning. This phenomenon may deprive a large number of alive nodes of sending their important time critical data to the sink. The application of data caching in mobile sensor networks is exponentially increasing as a high-speed data storage layer. This paper presents a deep learning-based beamforming approach to find the optimal transmission strategies for cache-enabled backhaul networks. In the proposed scheme, the sensor nodes in isolated partitions work together to form a directional beam which significantly increases their overall communication range to reach out a distant relay node connected to the main part of the network. The proposed methodology of cooperative beamforming-based partition connectivity works efficiently if an isolated cluster gets partitioned with a favorably large number of nodes. We also present a new cross-layer method for link cost that makes a balance between the energy used by the relay. By directly adding the accessible auxiliary nodes to the set of routing links, the algorithm chooses paths which provide maximum dynamic beamforming usage for the intermediate nodes. The proposed approach is then evaluate</w:t>
      </w:r>
    </w:p>
    <w:p>
      <w:pPr>
        <w:pStyle w:val="Heading2"/>
      </w:pPr>
      <w:r>
        <w:t>765. Potential for hydrogen and Power-to-Liquid in a low-carbon EU energy system using cost optimization</w:t>
      </w:r>
    </w:p>
    <w:p>
      <w:pPr>
        <w:pStyle w:val="SourceNote"/>
      </w:pPr>
      <w:r>
        <w:rPr>
          <w:b/>
        </w:rPr>
        <w:t>Original source (2018):</w:t>
      </w:r>
      <w:r>
        <w:t xml:space="preserve"> https://doi.org/10.1016/j.apenergy.2018.09.216</w:t>
      </w:r>
    </w:p>
    <w:p>
      <w:pPr/>
      <w:r>
        <w:t>Original wording (abstract; indexed_source_text_not_full_document_verified): This study assesses the role of these pathways across scenarios that achieve 80–95% CO2 reduction by 2050 (vs. 1990) using the JRC-EU-TIMES model.</w:t>
      </w:r>
    </w:p>
    <w:p>
      <w:pPr/>
      <w:r>
        <w:rPr>
          <w:b/>
        </w:rPr>
        <w:t>POSSIBLE 2026:</w:t>
      </w:r>
      <w:r>
        <w:t xml:space="preserve"> Assessing Plug-in Electric Vehicle Adoption: Methodologies, Policy Effects, and Diverging Market Pathways in China, the U.S., and Europe — https://doi.org/10.4271/2026-01-0455</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Accurate projection of Plug-in Electric Vehicle (PEV) market sales share is vital for evidence-based policymaking, yet existing studies employ diverse and often fragmented methodologies, creating a need for a systematic review to clarify their analytical foundations and comparative strengths. This study classifies mainstream approaches to market projections into theory-driven and data-driven categories and reviews the merits, limitations, and future directions of five representative models. Analysis reveals that leading approaches increasingly employ cross-scale model coupling, theory-data fusion, and modular design to harness complementary strengths, improving model robustness and predictive accuracy. Furthermore, the study compares PEV policies and market outlooks in China, the United States, and Europe—the world's three largest automotive markets. The findings indicate a strong linkage between projection convergence and policy stability. China demonstrates the highest policy consistency and institutional consensus, with an average projected PEV share of new-vehicle sales of 81.3% by 2030. Europe's projections average 62.8%, driven by binding emissions mandates, whereas the U.S. exhibits greater uncertainty, averaging 31.1% amid fragmented regulations and policy uncertainty. These disparities highlight the decisive role of policy coherence and regulatory predictability in sha</w:t>
      </w:r>
    </w:p>
    <w:p>
      <w:pPr/>
      <w:r>
        <w:rPr>
          <w:b/>
        </w:rPr>
        <w:t>POSSIBLE 2026:</w:t>
      </w:r>
      <w:r>
        <w:t xml:space="preserve"> Assessing urban green roofs for CO2 removal via enhanced rock weathering in Europe — https://doi.org/10.1016/j.envadv.2026.100708</w:t>
      </w:r>
    </w:p>
    <w:p>
      <w:pPr/>
      <w:r>
        <w:rPr>
          <w:b/>
        </w:rPr>
        <w:t>Shared claim-specific concepts:</w:t>
      </w:r>
      <w:r>
        <w:t xml:space="preserve"> co2; EU scope visible. This is a provisional connection, not an outcome finding.</w:t>
      </w:r>
    </w:p>
    <w:p>
      <w:pPr>
        <w:pStyle w:val="SourceNote"/>
      </w:pPr>
      <w:r>
        <w:rPr>
          <w:b/>
        </w:rPr>
        <w:t>Available abstract (not full text):</w:t>
      </w:r>
      <w:r>
        <w:t xml:space="preserve"> Green roofs represent a novel and promising platform for integrating enhanced rock weathering (ERW) as a carbon dioxide removal (CDR) strategy within urban environments. By utilising underused rooftop spaces, rock (feedstock)-amended green roofs for ERW could contribute meaningfully to climate mitigation targets while fitting within existing markets and policy frameworks. Despite this, a comprehensive assessment of opportunities and barriers to deployment is missing. Here, we provide a conceptual assessment, serving as a benchmark for the potential for large-scale ERW green roof deployment in Europe, examining literature from similar applications and estimating theoretical CDR potential at European and global scales, and identifying key opportunities and challenges. Our estimates suggest that, under conditions where 100% reactivity is achieved, green roofs in Europe could theoretically remove tens of millions of tonnes of CO 2 via ERW (in addition to plant uptake) by 2060, assuming expanded rooftop coverage. However, these findings are based on maximum geochemical capacities rather than empirical data from real-world conditions. Globally, theoretical removal potential ranges from tens to hundreds of millions of tonnes CO 2 per year, with major contributions from Central Asia, North America, Latin America and the Pacific. Beyond CDR benefits, ERW green roofs can enhance photovol</w:t>
      </w:r>
    </w:p>
    <w:p>
      <w:pPr/>
      <w:r>
        <w:rPr>
          <w:b/>
        </w:rPr>
        <w:t>POSSIBLE 2026:</w:t>
      </w:r>
      <w:r>
        <w:t xml:space="preserve"> Can a wealth tax reduce CO2 emissions in Europe? — https://doi.org/10.1016/j.ecolecon.2026.109231</w:t>
      </w:r>
    </w:p>
    <w:p>
      <w:pPr/>
      <w:r>
        <w:rPr>
          <w:b/>
        </w:rPr>
        <w:t>Shared claim-specific concepts:</w:t>
      </w:r>
      <w:r>
        <w:t xml:space="preserve"> across, co2, reduction; EU scope visible. This is a provisional connection, not an outcome finding.</w:t>
      </w:r>
    </w:p>
    <w:p>
      <w:pPr>
        <w:pStyle w:val="SourceNote"/>
      </w:pPr>
      <w:r>
        <w:rPr>
          <w:b/>
        </w:rPr>
        <w:t>Available abstract (not full text):</w:t>
      </w:r>
      <w:r>
        <w:t xml:space="preserve"> We analyse the potential of wealth taxes to reduce CO2 emissions through two transmission channels: the inequality channel, which links reductions in wealth inequality to lower emissions, and the consumption channel, which analyses how wealth taxes affect consumption by top wealth holders. We simulate the effects of various wealth tax designs over one- and ten-year horizons using harmonised microdata from 22 European countries. Our analysis accounts for survey non-response bias, heterogeneous rates of returns across households, and behavioural responses to taxation. We find that, through the inequality channel, an annual progressive wealth tax could reduce annual CO2 emissions by 7.5%–14.7% after ten years relative to a no-tax scenario, depending on tax progressivity. Through the consumption channel, the average reduction is between 1.5%–3.6%. These findings highlight the potential of wealth taxes to serve a dual purpose: curbing wealth concentration and contributing meaningfully to climate mitigation and justice, by focusing on high-net worth households who account for a disproportionate share of emissions.</w:t>
      </w:r>
    </w:p>
    <w:p>
      <w:pPr/>
      <w:r>
        <w:rPr>
          <w:b/>
        </w:rPr>
        <w:t>POSSIBLE 2025:</w:t>
      </w:r>
      <w:r>
        <w:t xml:space="preserve"> Regional Pathways to Internationalization: The Role of Erasmus+ in European HEIs — https://doi.org/10.3390/urbansci9050144</w:t>
      </w:r>
    </w:p>
    <w:p>
      <w:pPr/>
      <w:r>
        <w:rPr>
          <w:b/>
        </w:rPr>
        <w:t>Shared claim-specific concepts:</w:t>
      </w:r>
      <w:r>
        <w:t xml:space="preserve"> role, pathways, across; EU scope visible. This is a provisional connection, not an outcome finding.</w:t>
      </w:r>
    </w:p>
    <w:p>
      <w:pPr>
        <w:pStyle w:val="SourceNote"/>
      </w:pPr>
      <w:r>
        <w:rPr>
          <w:b/>
        </w:rPr>
        <w:t>Available abstract (not full text):</w:t>
      </w:r>
      <w:r>
        <w:t xml:space="preserve"> The study examines the geographic distribution of Erasmus+ incoming student mobility across European Higher Education Institutions (HEIs) from 2014 to 2020, highlighting significant regional disparities. It addresses the crucial questions of how regional and institutional factors influence student attractiveness and the emerging hotspots of mobility, which are vital for understanding the dynamics of educational internationalisation and regional development. The primary goal of this work is to identify the regional and institutional determinants of Erasmus student mobility and to propose strategies for enhancing the attractiveness of less favoured regions. Employing hotspot analysis and a two-level random intercept model, this research analyses spatial patterns and the influences of regional characteristics and institutional variables on Erasmus mobility rates. The findings reveal that while Spain, Germany, and the UK are leading recipients of Erasmus students, significant mobility hotspots exist primarily in Spain, Portugal, and southern France, with unexpected clusters emerging in Ireland and Sweden, indicating evolving dynamics in student mobility patterns. The conclusions underscore the importance of targeted regional policies to enhance HEI attractiveness and promote balanced internationalisation across Europe, particularly in underserved areas. These findings call for stra</w:t>
      </w:r>
    </w:p>
    <w:p>
      <w:pPr/>
      <w:r>
        <w:rPr>
          <w:b/>
        </w:rPr>
        <w:t>POSSIBLE 2025:</w:t>
      </w:r>
      <w:r>
        <w:t xml:space="preserve"> Review of Post-Combustion Carbon Capture in Europe: Current Technologies and Future Strategies for Largest CO2-Emitting Industries — https://doi.org/10.3390/en18133539</w:t>
      </w:r>
    </w:p>
    <w:p>
      <w:pPr/>
      <w:r>
        <w:rPr>
          <w:b/>
        </w:rPr>
        <w:t>Shared claim-specific concepts:</w:t>
      </w:r>
      <w:r>
        <w:t xml:space="preserve"> role, across, achieve, co2; EU scope visible. This is a provisional connection, not an outcome finding.</w:t>
      </w:r>
    </w:p>
    <w:p>
      <w:pPr>
        <w:pStyle w:val="SourceNote"/>
      </w:pPr>
      <w:r>
        <w:rPr>
          <w:b/>
        </w:rPr>
        <w:t>Available abstract (not full text):</w:t>
      </w:r>
      <w:r>
        <w:t xml:space="preserve"> Heavy industry is a significant contributor to CO2 global emissions, accounting for approximately 25% of the total. In Europe, the continent’s largest emitting industries, including steel, cement, and power generation, face significant decarbonization challenges due to multiple interrelated factors. Heavy industry must achieve carbon neutrality by 2050, as outlined in the 13th United Nations Sustainable Goals. One strategy to achieve this goal involves Carbon Capture Utilization and Storage (CCUS) with post-combustion carbon capture (PCC) technologies playing a critical role. Key methods include absorption, which uses chemical solvents like amines; adsorption, employing solid sorbents; cyclic CO2 capture, such as calcium looping methods; cryogenic separation, which involves chilling flue gas to liquefy CO2; and membrane separation, leveraging polymeric materials. Each technology offers unique advantages and challenges, necessitating hybrid approaches and policy support for widespread adoption. In this sense, this review provides a comprehensive overview of the existing European pilot and demonstration units and projects, funded by the EU across several industries. It specifically focuses on PCC. This study examines 111 industrial facilities across Europe, documenting the PCC technologies deployed at plants of varying capacities, geographic locations, and operational stakeholder</w:t>
      </w:r>
    </w:p>
    <w:p>
      <w:pPr/>
      <w:r>
        <w:rPr>
          <w:b/>
        </w:rPr>
        <w:t>POSSIBLE 2025:</w:t>
      </w:r>
      <w:r>
        <w:t xml:space="preserve"> H2 and CO2 network strategies for the European energy system — https://doi.org/10.1038/s41560-025-01752-6</w:t>
      </w:r>
    </w:p>
    <w:p>
      <w:pPr/>
      <w:r>
        <w:rPr>
          <w:b/>
        </w:rPr>
        <w:t>Shared claim-specific concepts:</w:t>
      </w:r>
      <w:r>
        <w:t xml:space="preserve"> role, co2; EU scope visible. This is a provisional connection, not an outcome finding.</w:t>
      </w:r>
    </w:p>
    <w:p>
      <w:pPr>
        <w:pStyle w:val="SourceNote"/>
      </w:pPr>
      <w:r>
        <w:rPr>
          <w:b/>
        </w:rPr>
        <w:t>Available abstract (not full text):</w:t>
      </w:r>
      <w:r>
        <w:t xml:space="preserve"> Abstract Hydrogen and carbon dioxide transport can play an essential role in climate-neutral energy systems. Hydrogen networks serve regions with high energy demand, whereas emissions are transported away in carbon dioxide networks. For the synthesis of carbonaceous fuels, it is less clear which input should be transported: hydrogen to carbon point sources or carbon to low-cost hydrogen. Here we explore both networks’ potential synergies and competition in cost-optimal carbon-neutral European energy systems. In direct comparison, a hydrogen network is more cost effective than a carbon network, as it serves to transport hydrogen to demand and to point sources of carbon for utilization. However, in hybrid scenarios where both networks are present, the carbon network effectively complements the hydrogen network, promoting carbon capture from distributed biomass and reducing reliance on direct air capture. The layouts of the hydrogen and carbon dioxide networks are robust if the climate target is tightened to be net negative.</w:t>
      </w:r>
    </w:p>
    <w:p>
      <w:pPr/>
      <w:r>
        <w:rPr>
          <w:b/>
        </w:rPr>
        <w:t>POSSIBLE 2025:</w:t>
      </w:r>
      <w:r>
        <w:t xml:space="preserve"> Pathways to a strong Social Europe — https://doi.org/10.31235/osf.io/zgjaf_v1</w:t>
      </w:r>
    </w:p>
    <w:p>
      <w:pPr/>
      <w:r>
        <w:rPr>
          <w:b/>
        </w:rPr>
        <w:t>Shared claim-specific concepts:</w:t>
      </w:r>
      <w:r>
        <w:t xml:space="preserve"> role, pathways, across; EU scope visible. This is a provisional connection, not an outcome finding.</w:t>
      </w:r>
    </w:p>
    <w:p>
      <w:pPr>
        <w:pStyle w:val="SourceNote"/>
      </w:pPr>
      <w:r>
        <w:rPr>
          <w:b/>
        </w:rPr>
        <w:t>Available abstract (not full text):</w:t>
      </w:r>
      <w:r>
        <w:t xml:space="preserve"> As Europe grapples with geopolitical tensions, economic instability, demographic change and rising populism, the role of Social Europe has never been more critical. The COVID-19 pandemic exposed significant vulnerabilities in social protection and health systems across the European Union (EU), but it also accelerated the development of temporary measures like the Support to mitigate Unemployment Risks in an Emergency (SURE) and the Recovery and Resilience Facility (RRF), demonstrating the potential for stronger EU-wide social policies. However, five years later, new crises have emerged, from the war in Ukraine and in the Middle East, which have heightened security concerns across the continent, to escalating natural disasters. Amid these challenges that threaten European welfare models, a crucial question remains: Has Social Europe been reinforced in a lasting and sustainable way, or were these measures merely temporary solutions?This paper highlights the need for strong social policies in the current era of geopolitical volatilities and sets out policy recommendations to ensure a pathway to a stronger social Europe.</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2024:</w:t>
      </w:r>
      <w:r>
        <w:t xml:space="preserve"> Distinct roles of direct and indirect electrification in pathways to a renewables-dominated European energy system — https://doi.org/10.1016/j.oneear.2024.01.015</w:t>
      </w:r>
    </w:p>
    <w:p>
      <w:pPr/>
      <w:r>
        <w:rPr>
          <w:b/>
        </w:rPr>
        <w:t>Shared claim-specific concepts:</w:t>
      </w:r>
      <w:r>
        <w:t xml:space="preserve"> pathways; EU scope visible. This is a provisional connection, not an outcome finding.</w:t>
      </w:r>
    </w:p>
    <w:p>
      <w:pPr>
        <w:pStyle w:val="SourceNote"/>
      </w:pPr>
      <w:r>
        <w:rPr>
          <w:b/>
        </w:rPr>
        <w:t>Available abstract (not full text):</w:t>
      </w:r>
      <w:r>
        <w:t xml:space="preserve"> Renewable electricity can facilitate climate change mitigation in the buildings, industry and transport sector via direct electrification or indirect electrification, that is, converting electricity to hydrogen-based fuels. While direct electrification is generally energy efficient, indirect electrification can partially build upon existing applications and infrastructure. However, their roles and relative importance have not been well researched in mitigation scenarios. Here, we derive plausible ranges for both strategies based on EU climate neutrality scenarios using the REMIND model. We find that by 2050 direct electrification is the dominant strategy with an electricity share of 42%–60% in final energy, while indirect electrification is necessary in hard-to-electrify sectors and contributes a share of 9%–26%. Our analysis highlights that policy makers should respect the distinct sectoral roles of both strategies by fostering an end-use transformation towards direct electrification while prioritizing hydrogen and synthetic fuels for applications where they are indispensable.</w:t>
      </w:r>
    </w:p>
    <w:p>
      <w:pPr/>
      <w:r>
        <w:rPr>
          <w:b/>
        </w:rPr>
        <w:t>POSSIBLE 2024:</w:t>
      </w:r>
      <w:r>
        <w:t xml:space="preserve"> The role of atmospheric circulation in explaining the summer extreme temperature trends over Europe — https://doi.org/10.5194/ems2024-1069</w:t>
      </w:r>
    </w:p>
    <w:p>
      <w:pPr/>
      <w:r>
        <w:rPr>
          <w:b/>
        </w:rPr>
        <w:t>Shared claim-specific concepts:</w:t>
      </w:r>
      <w:r>
        <w:t xml:space="preserve"> role, pathways; EU scope visible. This is a provisional connection, not an outcome finding.</w:t>
      </w:r>
    </w:p>
    <w:p>
      <w:pPr>
        <w:pStyle w:val="SourceNote"/>
      </w:pPr>
      <w:r>
        <w:rPr>
          <w:b/>
        </w:rPr>
        <w:t>Available abstract (not full text):</w:t>
      </w:r>
      <w:r>
        <w:t xml:space="preserve"> The frequency, duration and intensity of summer extreme temperatures over Europe are increased since the middle of the twentieth century. These trends are expected to further increase in the future due to global warming, which will influence both the thermodynamics and dynamics of these events. In this context, the role played by the thermodynamic changes on trends of extreme temperature events has been largely studied. Differently, the role of dynamic changes in explaining their historical trends as well as their future projections is still under debate.In the present study, we assess the role played by dynamic changes on trends of summer extreme temperatures by assessing the trends in the occurrence of atmospheric circulation patterns (analogs) associated with the most severe heat waves during 1940—2022. Heat wave events are identified adopting the Heat Wave Magnitude Index daily (HWMId) as suggested by Russo et al. (2015). Furthermore, the trends in the number of summer extreme temperatures in the regions of the identified heat waves are decomposed as suggested by Horton et al. (2015), in order to evaluate the relative contribution of dynamic, thermodynamic and interactive terms on the total extreme temperature trends.The analyses are performed using a multi-model initial-condition large ensemble, composed by CMIP5 and CMIP6 models forced with the Representative Concentratio</w:t>
      </w:r>
    </w:p>
    <w:p>
      <w:pPr/>
      <w:r>
        <w:rPr>
          <w:b/>
        </w:rPr>
        <w:t>POSSIBLE 2024:</w:t>
      </w:r>
      <w:r>
        <w:t xml:space="preserve"> Assessing the feasibility of CO2 removal strategies in achieving climate-neutral power systems: Insights from biomass, CO2 capture, and direct air capture in Europe — https://doi.org/10.1016/j.adapen.2024.100166</w:t>
      </w:r>
    </w:p>
    <w:p>
      <w:pPr/>
      <w:r>
        <w:rPr>
          <w:b/>
        </w:rPr>
        <w:t>Shared claim-specific concepts:</w:t>
      </w:r>
      <w:r>
        <w:t xml:space="preserve"> role, achieve, co2; EU scope visible. This is a provisional connection, not an outcome finding.</w:t>
      </w:r>
    </w:p>
    <w:p>
      <w:pPr>
        <w:pStyle w:val="SourceNote"/>
      </w:pPr>
      <w:r>
        <w:rPr>
          <w:b/>
        </w:rPr>
        <w:t>Available abstract (not full text):</w:t>
      </w:r>
      <w:r>
        <w:t xml:space="preserve"> To achieve the European Union's goal of climate neutrality by 2050, negative emissions may be required to compensate for emissions exceeding allocated carbon budgets. Therefore, carbon removal technologies such as bioenergy with carbon capture (BECCS) and direct air capture (DAC) may need to play a pivotal role in the power system. To design carbon removal strategies, more insights are needed into the impact of sustainable biomass availability and the feasibility of carbon capture and storage (CCS), including the expensive and energy-intensive DAC on achieving net-zero and net-negative targets. Therefore, in this study the European power system in 2050 is modelled at an hourly resolution in the cost-minimization PLEXOS modelling platform. Three climate-neutral scenarios with targets of 0, -1, and -3.9 Mt CO2/year (which agree with varying levels of climate justice) are assessed for different biomass levels, and CCS availability. Findings under baseline assumptions reveal that in a climate-neutral power system with biomass and CCS options, it is cost-effective to complement variable renewable energy with a mix of combined cycle natural gas turbines (CCNGT) for flexibility and BECCS as base load to compensate for the CO2 emissions from natural gas and additional carbon removal in the net-negative scenarios. The role of these technologies becomes more prominent, with -3.9 GtCO2/ye</w:t>
      </w:r>
    </w:p>
    <w:p>
      <w:pPr/>
      <w:r>
        <w:rPr>
          <w:b/>
        </w:rPr>
        <w:t>POSSIBLE 2024:</w:t>
      </w:r>
      <w:r>
        <w:t xml:space="preserve"> Utilizing genetics and proteomics to assess the role of antihypertensive drugs in human longevity and the underlying pathways: a Mendelian randomization study — https://doi.org/10.1093/ehjcvp/pvae038</w:t>
      </w:r>
    </w:p>
    <w:p>
      <w:pPr/>
      <w:r>
        <w:rPr>
          <w:b/>
        </w:rPr>
        <w:t>Shared claim-specific concepts:</w:t>
      </w:r>
      <w:r>
        <w:t xml:space="preserve"> role, pathways, reduction; EU scope visible. This is a provisional connection, not an outcome finding.</w:t>
      </w:r>
    </w:p>
    <w:p>
      <w:pPr>
        <w:pStyle w:val="SourceNote"/>
      </w:pPr>
      <w:r>
        <w:rPr>
          <w:b/>
        </w:rPr>
        <w:t>Available abstract (not full text):</w:t>
      </w:r>
      <w:r>
        <w:t xml:space="preserve"> BACKGROUND: Antihypertensive drugs are known to lower cardiovascular mortality, but the role of different types of antihypertensive drugs in lifespan has not been clarified. Moreover, the underlying mechanisms remain unclear. METHODS AND RESULTS: To minimize confounding, we used Mendelian randomization to assess the role of different antihypertensive drug classes in longevity and examined the pathways via proteins. Genetic variants associated with systolic blood pressure (SBP) corresponding to drug-target genes were used as genetic instruments. The genetic associations with lifespan were obtained from a large genome-wide association study including 1 million European participants from UK Biobank and LifeGen. For significant antihypertensive drug classes, we performed sex-specific analysis, drug-target analysis, and colocalization. To examine the mediation pathways, we assessed the associations of 2291 plasma proteins with lifespan, and examined the associations of drug classes with the proteins affecting lifespan. After correcting for multiple testing, genetically proxied beta-blockers (BBs), calcium channel blockers (CCBs), and vasodilators were related to longer life years (BBs: 2.03, 95% CI 0.78-3.28 per 5 mmHg reduction in SBP, CCBs: 3.40, 95% CI 1.47-5.33, and vasodilators: 2.92, 95% CI 1.08-4.77). The beneficial effects of BBs and CCBs were more obvious in men. ADRB1, CAC</w:t>
      </w:r>
    </w:p>
    <w:p>
      <w:pPr>
        <w:pStyle w:val="Heading2"/>
      </w:pPr>
      <w:r>
        <w:t>766. Projecting Drivers of Human Vulnerability under the Shared Socioeconomic Pathways</w:t>
      </w:r>
    </w:p>
    <w:p>
      <w:pPr>
        <w:pStyle w:val="SourceNote"/>
      </w:pPr>
      <w:r>
        <w:rPr>
          <w:b/>
        </w:rPr>
        <w:t>Original source (2018):</w:t>
      </w:r>
      <w:r>
        <w:t xml:space="preserve"> https://doi.org/10.3390/ijerph15030554</w:t>
      </w:r>
    </w:p>
    <w:p>
      <w:pPr/>
      <w:r>
        <w:t>Original wording (abstract; indexed_source_text_not_full_document_verified): The Shared Socioeconomic Pathways (SSPs) are the new set of alternative futures of societal development that inform global and regional climate change research. They have the potential to foster the integration of socioeconomic scenarios within assessments of future climate-related health impacts.</w:t>
      </w:r>
    </w:p>
    <w:p>
      <w:pPr/>
      <w:r>
        <w:rPr>
          <w:b/>
        </w:rPr>
        <w:t>POSSIBLE 2026:</w:t>
      </w:r>
      <w:r>
        <w:t xml:space="preserve"> Pandemic risk in the Shared Socioeconomic Pathways — https://doi.org/10.64898/2026.07.29.26359250</w:t>
      </w:r>
    </w:p>
    <w:p>
      <w:pPr/>
      <w:r>
        <w:rPr>
          <w:b/>
        </w:rPr>
        <w:t>Shared claim-specific concepts:</w:t>
      </w:r>
      <w:r>
        <w:t xml:space="preserve"> shared, socioeconomic, pathways, ssps, climate, health; EU scope not established. This is a provisional connection, not an outcome finding.</w:t>
      </w:r>
    </w:p>
    <w:p>
      <w:pPr>
        <w:pStyle w:val="SourceNote"/>
      </w:pPr>
      <w:r>
        <w:rPr>
          <w:b/>
        </w:rPr>
        <w:t>Available abstract (not full text):</w:t>
      </w:r>
      <w:r>
        <w:t xml:space="preserve"> Abstract For over a decade, the Shared Socioeconomic Pathways (SSPs) have served as the principal framework for quantitative modeling of the socioeconomic dimensions of global environmental change. The SSP scenarios describe many of the ecological and social processes thought to shape pandemic risk, including the emergence of novel pathogens (accelerated by processes such as deforestation, livestock intensification, and land-use change) and their subsequent spread (mediated by factors such as inequality, human mobility, and health system capacity). However, the SSP framework has not been widely incorporated into pandemic risk assessment. Here, we assess how pandemic risk is embedded in the SSP framework, and find that the framework captures most of the social-environmental drivers of pathogen spillover, and many of the social-economic drivers of pandemic spread and impacts. Because climate change and pandemics share many drivers and risk factors—including ecosystem degradation, animal agriculture, and weak governance—SSP scenarios characterized by higher barriers to climate adaptation also generally imply lower chances of outbreak containment, and greater pandemic impacts on vulnerable populations. Pandemic risk is therefore lowest in SSP1 and highest in SSP3, but SSP5 shows that frequent spillover and effective containment can coexist. These findings suggest that pandemic risk</w:t>
      </w:r>
    </w:p>
    <w:p>
      <w:pPr/>
      <w:r>
        <w:rPr>
          <w:b/>
        </w:rPr>
        <w:t>POSSIBLE 2026:</w:t>
      </w:r>
      <w:r>
        <w:t xml:space="preserve"> A new scenario architecture to capture granularity of governance within and across Shared Socioeconomic Pathways — https://doi.org/10.1016/j.landusepol.2026.107926</w:t>
      </w:r>
    </w:p>
    <w:p>
      <w:pPr/>
      <w:r>
        <w:rPr>
          <w:b/>
        </w:rPr>
        <w:t>Shared claim-specific concepts:</w:t>
      </w:r>
      <w:r>
        <w:t xml:space="preserve"> shared, socioeconomic, pathways, ssps, within; EU scope not established. This is a provisional connection, not an outcome finding.</w:t>
      </w:r>
    </w:p>
    <w:p>
      <w:pPr>
        <w:pStyle w:val="SourceNote"/>
      </w:pPr>
      <w:r>
        <w:rPr>
          <w:b/>
        </w:rPr>
        <w:t>Available abstract (not full text):</w:t>
      </w:r>
      <w:r>
        <w:t xml:space="preserve"> Scenario work is a prominent possibility to understand and address pressing socio-environmental sustainability challenges of today and tomorrow. Scenarios depict the possible futures for land-use, and land-use pressures. In this conceptual paper, we propose a novel governance-focused scenario architecture consisting of 1) Shared Socioeconomic Pathways (SSPs), or exploratory scenario archetypes, which explore future uncertainties affected by chosen drivers; 2) Shared Governance Assumptions: governance modes that define the logic of decision-making across the SSPs, and that change the future governance landscapes; and 3) Detailed Governance Assumptions: specific opportunities for agency offered by the varying future governance landscapes defined by SSP – Shared Governance Assumption combinations. We propose a six-step process to employ our scenario architecture, and use the case of land use and Arctic reindeer herding as a brief illustration. We find that our proposed scenario architecture i) offers a structured way to diversify SSP-based scenario sets and to connect SSPs strongly to policy and governance, ii) can be used to explore actor-based trade-offs, and iii) can be used to as a tool for anticipatory governance. Further work is needed to provide empirical applications of our scenario architecture and to innovatively compare and examine implications of different governance m</w:t>
      </w:r>
    </w:p>
    <w:p>
      <w:pPr/>
      <w:r>
        <w:rPr>
          <w:b/>
        </w:rPr>
        <w:t>POSSIBLE 2026:</w:t>
      </w:r>
      <w:r>
        <w:t xml:space="preserve"> Community Scenarios beyond the Shared Socioeconomic Pathways: The Scenario Evolution Process — https://doi.org/10.5194/egusphere-egu26-13481</w:t>
      </w:r>
    </w:p>
    <w:p>
      <w:pPr/>
      <w:r>
        <w:rPr>
          <w:b/>
        </w:rPr>
        <w:t>Shared claim-specific concepts:</w:t>
      </w:r>
      <w:r>
        <w:t xml:space="preserve"> shared, socioeconomic, pathways, ssps, set, regional; EU scope not established. This is a provisional connection, not an outcome finding.</w:t>
      </w:r>
    </w:p>
    <w:p>
      <w:pPr>
        <w:pStyle w:val="SourceNote"/>
      </w:pPr>
      <w:r>
        <w:rPr>
          <w:b/>
        </w:rPr>
        <w:t>Available abstract (not full text):</w:t>
      </w:r>
      <w:r>
        <w:t xml:space="preserve"> The Shared Socioeconomic Pathways (SSPs) have provided a widely adopted foundation for climate-centric research, yet their design increasingly limits applicability in the context of today’s interconnected “polycrisis.” Key challenges include artificial no-policy/no-impact baselines, insufficient and non-fundamental treatment of equity, and narratives that are difficult to translate to regional and local decision-making contexts. To address these limitations, the International Committee on New Climate Change Assessment Scenarios (ICONICS) has started the Scenario Evolution Process (SEP): a community-led initiative to critically reassess, adapt, and potentially transform the SSP framework to better support research on resilient, equitable, and sustainable development and develop socioeconomic scenarios that have a applicability beyond the climate change domain. The Scenario Evolution Process critically reflects on all elements of the existing framework, but also emphasizes evolution, acknowledging that future adaptations may range from incremental refinements to more fundamental changes. Coordinated by ICONICS, the process is set up to be inclusive, transparent, and iterative, engaging a broad and diverse community of researchers, practitioners, and stakeholders across disciplines and regions.The process starts with an information collection phase that consists of four main activ</w:t>
      </w:r>
    </w:p>
    <w:p>
      <w:pPr/>
      <w:r>
        <w:rPr>
          <w:b/>
        </w:rPr>
        <w:t>POSSIBLE 2025:</w:t>
      </w:r>
      <w:r>
        <w:t xml:space="preserve"> Digital transformation in the Shared Socioeconomic Pathways — https://doi.org/10.1038/s44168-025-00283-w</w:t>
      </w:r>
    </w:p>
    <w:p>
      <w:pPr/>
      <w:r>
        <w:rPr>
          <w:b/>
        </w:rPr>
        <w:t>Shared claim-specific concepts:</w:t>
      </w:r>
      <w:r>
        <w:t xml:space="preserve"> shared, socioeconomic, pathways, ssps, set, societal; EU scope not established. This is a provisional connection, not an outcome finding.</w:t>
      </w:r>
    </w:p>
    <w:p>
      <w:pPr>
        <w:pStyle w:val="SourceNote"/>
      </w:pPr>
      <w:r>
        <w:rPr>
          <w:b/>
        </w:rPr>
        <w:t>Available abstract (not full text):</w:t>
      </w:r>
      <w:r>
        <w:t xml:space="preserve"> Digital transformation refers to the widespread use of digital technologies in ways that reshape societal and economic activity, with significant impacts on sustainable development and climate challenges-both for better and for worse. Using statistical models calibrated to historical evidence in 62 countries across 12 world regions, we project future digital transformation within the Shared Socioeconomic Pathways (SSPs), adding contextual richness to this scenario framework used extensively in global climate research. In some scenarios, we find a pervasive and prolonged digital divide with up to 45% of the assessed population by mid-century still residing in countries with relatively low levels of digital transformation despite ever-deepening digitalisation in wealthier countries. We set out six use cases for how our explicit representation of digital transformation within the SSPs enables quantitative assessment of digitalisation's impact on energy, emissions, climate policy, and Sustainable Development Goals. We also discuss challenges with using empirically calibrated models to project digital transformation given its rapid evolution and socioeconomic implications.</w:t>
      </w:r>
    </w:p>
    <w:p>
      <w:pPr/>
      <w:r>
        <w:rPr>
          <w:b/>
        </w:rPr>
        <w:t>POSSIBLE 2025:</w:t>
      </w:r>
      <w:r>
        <w:t xml:space="preserve"> Global terrestrial moisture recycling in Shared Socioeconomic Pathways — https://doi.org/10.5194/esd-16-215-2025</w:t>
      </w:r>
    </w:p>
    <w:p>
      <w:pPr/>
      <w:r>
        <w:rPr>
          <w:b/>
        </w:rPr>
        <w:t>Shared claim-specific concepts:</w:t>
      </w:r>
      <w:r>
        <w:t xml:space="preserve"> shared, socioeconomic, pathways, ssps, regional; EU scope not established. This is a provisional connection, not an outcome finding.</w:t>
      </w:r>
    </w:p>
    <w:p>
      <w:pPr>
        <w:pStyle w:val="SourceNote"/>
      </w:pPr>
      <w:r>
        <w:rPr>
          <w:b/>
        </w:rPr>
        <w:t>Available abstract (not full text):</w:t>
      </w:r>
      <w:r>
        <w:t xml:space="preserve"> Abstract. Many areas across the globe rely on upwind land areas for their precipitation supply through terrestrial precipitation recycling. Global warming and land-use changes may affect the future patterns of terrestrial precipitation recycling, but where and to which extent remains unclear. To study how the global patterns of precipitation recycling may change until the end of the 21st century we present a new forward-tracking version of the three-dimensional atmospheric moisture tracking model UTrack that is forced by output of the Norwegian Earth System model (NorESM2). We simulate global precipitation recycling in four Shared Socioeconomic Pathways (SSPs), which are internally consistent combinations of climate- and land-use scenarios used in the sixth phase of the Coupled Model Intercomparison Project. The scenarios range from mild to severe: SSP1-2.6, SSP2-4.5, SSP3-7.0, and SSP5-8.5. We compare results for the middle of the century (2050–2059) and end of the century (2090–2099) with a 2015–2024 baseline. We similarly also calculate basin precipitation recycling for the 26 major river basins of the world. We find that the global terrestrial moisture recycling ratio decreases with the severity of the SSPs and estimate a decrease in this ratio of 2.1 % with every degree of global warming. However, we find differences among regions and river basins in trends in precipitatio</w:t>
      </w:r>
    </w:p>
    <w:p>
      <w:pPr/>
      <w:r>
        <w:rPr>
          <w:b/>
        </w:rPr>
        <w:t>POSSIBLE 2024:</w:t>
      </w:r>
      <w:r>
        <w:t xml:space="preserve"> A critical utopian shared socioeconomic pathway — https://doi.org/10.1016/j.futures.2024.103437</w:t>
      </w:r>
    </w:p>
    <w:p>
      <w:pPr/>
      <w:r>
        <w:rPr>
          <w:b/>
        </w:rPr>
        <w:t>Shared claim-specific concepts:</w:t>
      </w:r>
      <w:r>
        <w:t xml:space="preserve"> shared, socioeconomic, pathways, ssps, they; EU scope not established. This is a provisional connection, not an outcome finding.</w:t>
      </w:r>
    </w:p>
    <w:p>
      <w:pPr>
        <w:pStyle w:val="SourceNote"/>
      </w:pPr>
      <w:r>
        <w:rPr>
          <w:b/>
        </w:rPr>
        <w:t>Available abstract (not full text):</w:t>
      </w:r>
      <w:r>
        <w:t xml:space="preserve"> The aim of this study is to investigate the utility of speculative, fictional utopian narratives to be used as a comparative and critical tool to expose taken for granted ideas, discourses and norms in the five shared socioeconomic pathways (SSP1–5) that are used by the IPCC to build future scenarios. To achieve this goal, we first invited citizens to write stories about fictional utopian futures, which they perceived as good for “both people and the planet”. We then compared these utopian stories with the SSPs by (1) a semi-quantitative thematic analysis, and (2) a critical literary analysis. Based on the thematic analysis, we found strong similarities between the utopian futures and SSP1 (“Taking the Green Road”) at a superficial level. Based on the literary analysis, we found that this apparent similarity obscured fundamental differences between the implicit mindsets that was found in SSP1 and the utopian futures; with the former underpinned by collective anthropocentrism and the latter by collective ecocentrism. We conclude that speculative utopias, that are not bound by the requirement of perceived plausibility, can provide a powerful tool to scrutinize and extend science-based future scenarios, such as the SSPs, to consider other aspects, such as different mindsets and norm-breaking solutions.</w:t>
      </w:r>
    </w:p>
    <w:p>
      <w:pPr/>
      <w:r>
        <w:rPr>
          <w:b/>
        </w:rPr>
        <w:t>POSSIBLE 2024:</w:t>
      </w:r>
      <w:r>
        <w:t xml:space="preserve"> Chasing artificial intelligence in shared socioeconomic pathways — https://doi.org/10.1016/j.oneear.2023.12.015</w:t>
      </w:r>
    </w:p>
    <w:p>
      <w:pPr/>
      <w:r>
        <w:rPr>
          <w:b/>
        </w:rPr>
        <w:t>Shared claim-specific concepts:</w:t>
      </w:r>
      <w:r>
        <w:t xml:space="preserve"> shared, socioeconomic, pathways;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 IPCC Shared Socioeconomic Pathways (SSPs): Explained, Evaluated, Replaced — https://doi.org/10.3386/w32178</w:t>
      </w:r>
    </w:p>
    <w:p>
      <w:pPr/>
      <w:r>
        <w:rPr>
          <w:b/>
        </w:rPr>
        <w:t>Shared claim-specific concepts:</w:t>
      </w:r>
      <w:r>
        <w:t xml:space="preserve"> shared, socioeconomic, pathways, ssps, alternative; EU scope not established. This is a provisional connection, not an outcome finding.</w:t>
      </w:r>
    </w:p>
    <w:p>
      <w:pPr>
        <w:pStyle w:val="SourceNote"/>
      </w:pPr>
      <w:r>
        <w:rPr>
          <w:b/>
        </w:rPr>
        <w:t>Available abstract (not full text):</w:t>
      </w:r>
      <w:r>
        <w:t xml:space="preserve"> Shared socioeconomic pathways (SSPs) are perhaps the most influential economic policy analyses today.My paper evaluates their development, natural associations, logical consequences, and economic identification.All five SSP baseline scenarios are predicting scenarios that historical time-series analysis would consider empirically highly implausible.This alternative -econometric time-series analysis based on worldwide IPAT componentssuggests alternative emission scenarios, mapping into expected radiative forcing of about RCP 6.5, with a reasonable plausibility range from RCP 4.5 to RCP 7.0.</w:t>
      </w:r>
    </w:p>
    <w:p>
      <w:pPr/>
      <w:r>
        <w:rPr>
          <w:b/>
        </w:rPr>
        <w:t>POSSIBLE 2023:</w:t>
      </w:r>
      <w:r>
        <w:t xml:space="preserve"> The ‘conflict trap’ reduces economic growth in the shared socioeconomic pathways — https://doi.org/10.1088/1748-9326/acb163</w:t>
      </w:r>
    </w:p>
    <w:p>
      <w:pPr/>
      <w:r>
        <w:rPr>
          <w:b/>
        </w:rPr>
        <w:t>Shared claim-specific concepts:</w:t>
      </w:r>
      <w:r>
        <w:t xml:space="preserve"> shared, socioeconomic, pathways, ssps, regional, climate; EU scope not established. This is a provisional connection, not an outcome finding.</w:t>
      </w:r>
    </w:p>
    <w:p>
      <w:pPr>
        <w:pStyle w:val="SourceNote"/>
      </w:pPr>
      <w:r>
        <w:rPr>
          <w:b/>
        </w:rPr>
        <w:t>Available abstract (not full text):</w:t>
      </w:r>
      <w:r>
        <w:t xml:space="preserve"> Abstract Armed conflict and economic growth are inherently coupled; armed conflict substantially reduces economic growth, while economic growth is strongly correlated with a reduction in the propensity of armed conflict. Here, we simulate the incidence of armed conflict and its effect on economic growth simultaneously along the economic pathways defined by the shared socioeconomic pathways (SSPs). We argue that gross domestic product per capita projections through the 21st century currently in use are too optimistic since they disregard the harm to growth caused by conflict. Our analysis indicates that the correction required to account for this is substantial—expected income is 25% lower on average across countries when taking conflict into account. The correction is particularly strong for the more pessimistic SSP3 and SSP4 where expected future incidence of armed conflict is high. There are strong regional patterns with countries with contemporaneous conflicts experiencing much higher conflict burdens and reduced economic growth by the end of the century. The implications of this research indicate that today’s most marginalized societies will be substantially more vulnerable to the impact of climate change than indicated by existing income projections.</w:t>
      </w:r>
    </w:p>
    <w:p>
      <w:pPr/>
      <w:r>
        <w:rPr>
          <w:b/>
        </w:rPr>
        <w:t>POSSIBLE 2023:</w:t>
      </w:r>
      <w:r>
        <w:t xml:space="preserve"> Creating quantitative scenario projections for the UK shared socioeconomic pathways — https://doi.org/10.1016/j.crm.2023.100506</w:t>
      </w:r>
    </w:p>
    <w:p>
      <w:pPr/>
      <w:r>
        <w:rPr>
          <w:b/>
        </w:rPr>
        <w:t>Shared claim-specific concepts:</w:t>
      </w:r>
      <w:r>
        <w:t xml:space="preserve"> shared, socioeconomic, pathways, ssps, set, alternative; EU scope not established. This is a provisional connection, not an outcome finding.</w:t>
      </w:r>
    </w:p>
    <w:p>
      <w:pPr>
        <w:pStyle w:val="SourceNote"/>
      </w:pPr>
      <w:r>
        <w:rPr>
          <w:b/>
        </w:rPr>
        <w:t>Available abstract (not full text):</w:t>
      </w:r>
      <w:r>
        <w:t xml:space="preserve"> The Shared Socioeconomic Pathways (SSPs) were developed as a framework for exploring alternative futures with challenges for climate change mitigation and adaptation. Whilst originally developed at the global scale, the SSPs have been increasingly interpreted at the national scale in order to inform national level climate change policy and impact assessments, including mitigation and adaptation actions. Here, we present a set of quantitative SSP scenario projections, based on narratives and semi-quantitative trends, for the UK (the UK-SSPs) for a wide range of sectors that are relevant to the UK climate research, policy and business communities. We show that a mixed-methods approach that combines computational modelling with an interpretation of stakeholder storylines and empirical data is an effective way of generating a comprehensive range of quantitative indicators across sectors and geographic areas in a specific national context. The global SSP assumptions of low challenges to climate adaptation lead to similar socioeconomic outcomes in UK-SSP1 and UK-SSP5, although based on very different dynamics and underlying drivers. Convergence was also identified in indicators related to more efficient natural resource use in the scenarios with low challenges to climate change mitigation (UK-SSP1 and UK-SSP4). Alternatively, societal inequality played a strong role in scenarios with</w:t>
      </w:r>
    </w:p>
    <w:p>
      <w:pPr/>
      <w:r>
        <w:rPr>
          <w:b/>
        </w:rPr>
        <w:t>POSSIBLE 2023:</w:t>
      </w:r>
      <w:r>
        <w:t xml:space="preserve"> Improving the relevance of the Shared Socioeconomic Pathways for sustainability science — https://doi.org/10.31223/x5dm3g</w:t>
      </w:r>
    </w:p>
    <w:p>
      <w:pPr/>
      <w:r>
        <w:rPr>
          <w:b/>
        </w:rPr>
        <w:t>Shared claim-specific concepts:</w:t>
      </w:r>
      <w:r>
        <w:t xml:space="preserve"> shared, socioeconomic, pathways, ssps, climate, they; EU scope not established. This is a provisional connection, not an outcome finding.</w:t>
      </w:r>
    </w:p>
    <w:p>
      <w:pPr>
        <w:pStyle w:val="SourceNote"/>
      </w:pPr>
      <w:r>
        <w:rPr>
          <w:b/>
        </w:rPr>
        <w:t>Available abstract (not full text):</w:t>
      </w:r>
      <w:r>
        <w:t xml:space="preserve"> Sustainability science is a discipline which is strongly concerned with exploring the achievement of sustainable futures. One way in which this is done is through scenarios. The Shared Socioeconomic Pathways (SSPs), developed for climate science, have been widely adopted by modellers to analyse sustainable futures. We question whether the SSPs are fit-for-purpose for examining sustainable transformative futures. We have identified six challenges and propose aligned opportunities synthesised from existing research. These challenges are: the need for a sustainability context in the scenario space; better representation of sustainability challenges in the driving forces which form the scenarios; narrowed scope of storylines due to coupling the scenarios to modelling; constraint of economic futures to growth-only options; the scenarios are not goal-seeking, nor do they consider deep uncertainty; and the scenarios are insufficiently diverse. The inclusion of different driving forces, degrowth scenarios, and a different scenario space, are some of the proposed improvements suggested. Addressing these challenges and rethinking the use of climate-SSPs should be a priority for the sustainability science community, considering how critical scenario-based research is for policy and practice.</w:t>
      </w:r>
    </w:p>
    <w:p>
      <w:pPr/>
      <w:r>
        <w:rPr>
          <w:b/>
        </w:rPr>
        <w:t>POSSIBLE 2022:</w:t>
      </w:r>
      <w:r>
        <w:t xml:space="preserve"> Updating global urbanization projections under the Shared Socioeconomic Pathways — https://doi.org/10.1038/s41597-022-01209-5</w:t>
      </w:r>
    </w:p>
    <w:p>
      <w:pPr/>
      <w:r>
        <w:rPr>
          <w:b/>
        </w:rPr>
        <w:t>Shared claim-specific concepts:</w:t>
      </w:r>
      <w:r>
        <w:t xml:space="preserve"> shared, socioeconomic, pathways, climate; EU scope not established. This is a provisional connection, not an outcome finding.</w:t>
      </w:r>
    </w:p>
    <w:p>
      <w:pPr>
        <w:pStyle w:val="SourceNote"/>
      </w:pPr>
      <w:r>
        <w:rPr>
          <w:b/>
        </w:rPr>
        <w:t>Available abstract (not full text):</w:t>
      </w:r>
      <w:r>
        <w:t xml:space="preserve"> Urbanization level is an important indicator of socioeconomic development, and projecting its dynamics is fundamental for studies related to global socioeconomic and climate change. This paper aims to update the projections of global urbanization from 2015 to 2100 under the Shared Socioeconomic Pathways by using the logistic fitting model and iteratively identifying reference countries. Based on historical urbanization level database from the World Urbanization Prospects, projected urbanization levels and uncertainties are provided for 204 countries and areas every five years. The 2010-2100 year-by-year projected urbanization levels and uncertainties based on the annual historical data from the World Bank (WB) for 188 of countries and areas are also provided. The projections based on the two datasets were compared and the latter were validated using the historical values of the WB for the years 2010-2018. The updated dataset of urbanization level is relevant for understanding future socioeconomic development, its implications for climate change and policy planning.</w:t>
      </w:r>
    </w:p>
    <w:p>
      <w:pPr>
        <w:pStyle w:val="Heading2"/>
      </w:pPr>
      <w:r>
        <w:t>767. Public health air pollution impacts of pathway options to meet the 2050 UK Climate Change Act target: a modelling study</w:t>
      </w:r>
    </w:p>
    <w:p>
      <w:pPr>
        <w:pStyle w:val="SourceNote"/>
      </w:pPr>
      <w:r>
        <w:rPr>
          <w:b/>
        </w:rPr>
        <w:t>Original source (2018):</w:t>
      </w:r>
      <w:r>
        <w:t xml:space="preserve"> https://doi.org/10.3310/phr06070</w:t>
      </w:r>
    </w:p>
    <w:p>
      <w:pPr/>
      <w:r>
        <w:t>Original wording (abstract; indexed_source_text_not_full_document_verified): Concentrations of PM2.5show a modest decrease by 2050, which would have been larger if it had not been for a significant increase in biomass (wood burning) use in the two CCA scenarios peaking in 2035. Conclusions We have established a system which can be used to explore a wider range of climate policy scenarios, including more European and global scenarios as well as local measures.</w:t>
      </w:r>
    </w:p>
    <w:p>
      <w:pPr/>
      <w:r>
        <w:rPr>
          <w:b/>
        </w:rPr>
        <w:t>POSSIBLE 2026:</w:t>
      </w:r>
      <w:r>
        <w:t xml:space="preserve"> Air Quality Based on the Spatial-Temporal Variations of Particulate Matter (PM2.5 and PM10)Concentrations Using R — https://doi.org/10.22401/anjs.29.2.06</w:t>
      </w:r>
    </w:p>
    <w:p>
      <w:pPr/>
      <w:r>
        <w:rPr>
          <w:b/>
        </w:rPr>
        <w:t>Shared claim-specific concepts:</w:t>
      </w:r>
      <w:r>
        <w:t xml:space="preserve"> concentrations, pm2, show, used; EU scope visible. This is a provisional connection, not an outcome finding.</w:t>
      </w:r>
    </w:p>
    <w:p>
      <w:pPr>
        <w:pStyle w:val="SourceNote"/>
      </w:pPr>
      <w:r>
        <w:rPr>
          <w:b/>
        </w:rPr>
        <w:t>Available abstract (not full text):</w:t>
      </w:r>
      <w:r>
        <w:t xml:space="preserve"> Air pollution is an escalating health problem in Iraq, particularly since dry and semi-dry conditions often exacerbate the loads of airborne dust and particles. We assess the impact of fine particulate matter PM2. with freely available Copernicus Atmosphere Monitoring Service (CAMS) products from the European Centre for Medium-Range Weather forecast (ECMWF) over Iraq. The analyses were performed on the year 2021, with a focus from January to March due to higher pollution levels within this period, it can be expected that particle concentrations are elevated. We also calculated the annual mean PM2. PM2. 5 and PM10 for 2021 are provided for a more global perspective with relevant international air-quality reference level. We used spatial methods in R to apply particulate matter fields to 20 of Iraq’s major cities, which allowed us to map geographic inconsistencies and areas with chronically high pollution. Results show that regional contrasts are considered very strong: PM2. 5 and PH10 than cities situated north or southwest. The observed patterns are in line with the synergistic influences of weather variability, recurrent dust storms, and local emissions associated with oil industry activity and urban stressors. PM2. In the most polluted areas, it was trained to 2023 data. Large portion of fine particles as implied by 5 relative to PM10.In total, mean PM concentrations were abo</w:t>
      </w:r>
    </w:p>
    <w:p>
      <w:pPr/>
      <w:r>
        <w:rPr>
          <w:b/>
        </w:rPr>
        <w:t>POSSIBLE 2026:</w:t>
      </w:r>
      <w:r>
        <w:t xml:space="preserve"> Mortality and long-term exposure to source-specific PM2·5: evidence from a national cohort study in China — https://doi.org/10.1016/j.lanplh.2025.101400</w:t>
      </w:r>
    </w:p>
    <w:p>
      <w:pPr/>
      <w:r>
        <w:rPr>
          <w:b/>
        </w:rPr>
        <w:t>Shared claim-specific concepts:</w:t>
      </w:r>
      <w:r>
        <w:t xml:space="preserve"> concentrations, pm2, show, increase, system, used; EU scope not established. This is a provisional connection, not an outcome finding.</w:t>
      </w:r>
    </w:p>
    <w:p>
      <w:pPr>
        <w:pStyle w:val="SourceNote"/>
      </w:pPr>
      <w:r>
        <w:rPr>
          <w:b/>
        </w:rPr>
        <w:t>Available abstract (not full text):</w:t>
      </w:r>
      <w:r>
        <w:t xml:space="preserve"> Background The hazardous effects of fine particulate matter (PM 2·5 ) could vary by source. However, evidence regarding the long-term effects of source-specific PM 2·5 on mortality is scarce, particularly in countries with high levels of pollution. We aimed to assess the associations between long-term exposure to source-specific PM 2·5 and mortality in China, a low-income and middle-income country with high concentrations of PM 2·5 . Methods This nationwide cohort study used data from the 2010–11 wave of the China Chronic Disease and Risk Factor Surveillance (CCDRFS) project, which surveyed a geographically and socioeconomically representative sample of participants aged 18 years and older across mainland China. Participants were followed up through mortality information from the national Disease Surveillance Point system. Source-specific PM 2·5 concentrations were estimated by combining high-resolution concentration predictions generated by a random forest model with estimates of the proportions contributed by each of six PM 2·5 sources—industry, energy, transportation, residential, agriculture, and other—derived from the Community Multiscale Air Quality model. A Cox proportional hazards model, in which exposures were treated as time-varying covariates, was used to evaluate the associations between long-term exposure to source-specific PM 2·5 and mortality from total non-accid</w:t>
      </w:r>
    </w:p>
    <w:p>
      <w:pPr/>
      <w:r>
        <w:rPr>
          <w:b/>
        </w:rPr>
        <w:t>POSSIBLE 2026:</w:t>
      </w:r>
      <w:r>
        <w:t xml:space="preserve"> Development of an OEE Availability Framework for Maintenance Decision Making on PM1 and PM2 : A case study of Smurfit Westrock Piteå AB — https://openalex.org/W7204503844</w:t>
      </w:r>
    </w:p>
    <w:p>
      <w:pPr/>
      <w:r>
        <w:rPr>
          <w:b/>
        </w:rPr>
        <w:t>Shared claim-specific concepts:</w:t>
      </w:r>
      <w:r>
        <w:t xml:space="preserve"> pm2, not, two, system; EU scope visible. This is a provisional connection, not an outcome finding.</w:t>
      </w:r>
    </w:p>
    <w:p>
      <w:pPr>
        <w:pStyle w:val="SourceNote"/>
      </w:pPr>
      <w:r>
        <w:rPr>
          <w:b/>
        </w:rPr>
        <w:t>Available abstract (not full text):</w:t>
      </w:r>
      <w:r>
        <w:t xml:space="preserve"> Availability loss classification in continuous kraftliner manufacturing remains underdeveloped. At site level,downtime is categorized into broad fault categories, while academic literature has mostly applied top-down,discrete-manufacturing frameworks to continuous processes without an inductively derived, site-specific taxonomy. This thesis develops an inductively derived, multi-layer availability-loss taxonomy for two continuous kraftliner machines, structuring losses by failure category, mechanism sub-layer, machine location,and engineering work-center ownership for Smurfit Westrock Piteå, Europe's largest kraftliner producer.Through content analysis of 183 SAP maintenance work orders, data extracts from automated downtime monitoring system, daily production reports and machine drawings, a three-cycle constant-comparative process yielded 18 unplanned downtime categories and 8 planned maintenance classes which are exhaustive and mutually exclusive across the observed loss event time window. The taxonomy was validated for exhaustiveness and quantification accuracy through reconciliation against the company's separately aggregated company availability report based on the same underlying sensor data, agreeing to 92.4% for PM1 and 96.3%for PM2. Unplanned failure classification consistency was governed by a deterministic decision rulebook that resolved 70.8% of events by explicit r</w:t>
      </w:r>
    </w:p>
    <w:p>
      <w:pPr/>
      <w:r>
        <w:rPr>
          <w:b/>
        </w:rPr>
        <w:t>POSSIBLE 2025:</w:t>
      </w:r>
      <w:r>
        <w:t xml:space="preserve"> Healthful plant-based dietary patterns, PM2·5 exposure and the risk of heart failure: a population-based cohort study — https://doi.org/10.1017/s0007114525000698</w:t>
      </w:r>
    </w:p>
    <w:p>
      <w:pPr/>
      <w:r>
        <w:rPr>
          <w:b/>
        </w:rPr>
        <w:t>Shared claim-specific concepts:</w:t>
      </w:r>
      <w:r>
        <w:t xml:space="preserve"> pm2, use, two; EU scope not established. This is a provisional connection, not an outcome finding.</w:t>
      </w:r>
    </w:p>
    <w:p>
      <w:pPr>
        <w:pStyle w:val="SourceNote"/>
      </w:pPr>
      <w:r>
        <w:rPr>
          <w:b/>
        </w:rPr>
        <w:t>Available abstract (not full text):</w:t>
      </w:r>
      <w:r>
        <w:t xml:space="preserve"> Abstract Fine particulate matter (PM2·5) is a known risk factor for heart failure (HF), while plant-based dietary patterns may help reduce HF risk. This study examined the combined impact of PM2·5 exposure and a plant-based diet on HF incidence. A total of 190 092 participants from the UK Biobank were included in this study. HF cases were identified through linkage to the UK National Health Services register, with follow-up lasting until October 2022 in England, August 2022 in Scotland and May 2022 in Wales. Annual mean PM2·5 concentration was obtained using a land use regression model, while the healthful plant-based diet index (hPDI) was calculated using the Oxford WebQ tool based on two or more 24-hour dietary assessments of seventeen major food groups. Cox proportional hazard models assessed the associations of PM2·5 and hPDI with HF risk, and interactions were evaluated on additive and multiplicative scales. During a median of 13·4-year follow-up, 4351 HF cases were recorded. Participants in the highest PM2·5 tertile had a 23 % increased HF risk (hazard ratio: 1·23, 95 % CI: 1·14, 1·32) compared with those in the lowest tertile. Moderate or high hPDI was associated with reduced HF risk relative to low hPDI. The lowest HF risk was observed in individuals with high hPDI and low PM2·5 exposure, underscoring the protective role of a plant-based diet, particularly in areas with</w:t>
      </w:r>
    </w:p>
    <w:p>
      <w:pPr/>
      <w:r>
        <w:rPr>
          <w:b/>
        </w:rPr>
        <w:t>POSSIBLE 2025:</w:t>
      </w:r>
      <w:r>
        <w:t xml:space="preserve"> Long-term exposure to PM2·5 constituents and incident cancer among Medicare beneficiaries in the USA: a national cohort study — https://doi.org/10.1016/j.lanplh.2025.101334</w:t>
      </w:r>
    </w:p>
    <w:p>
      <w:pPr/>
      <w:r>
        <w:rPr>
          <w:b/>
        </w:rPr>
        <w:t>Shared claim-specific concepts:</w:t>
      </w:r>
      <w:r>
        <w:t xml:space="preserve"> concentrations, pm2, increase; EU scope not established. This is a provisional connection, not an outcome finding.</w:t>
      </w:r>
    </w:p>
    <w:p>
      <w:pPr>
        <w:pStyle w:val="SourceNote"/>
      </w:pPr>
      <w:r>
        <w:rPr>
          <w:b/>
        </w:rPr>
        <w:t>Available abstract (not full text):</w:t>
      </w:r>
      <w:r>
        <w:t xml:space="preserve"> Background The health burden from cancer has markedly increased over the past 20 years. Total PM 2·5 has been identified as an environmental risk factor for cancer. However, how each constituent of PM 2·5 contributes to the development of cancer is largely unknown. We aimed to investigate the association between 15 PM 2·5 constituents, sources of PM 2·5 , and the incidence of five common cancers among adults aged 65 years and older in the USA. Methods For this national cohort study, we included beneficiaries of Medicare in the USA, aged 65 or older, who were followed for various time periods between Jan 1, 2000, and Dec 31, 2018. The concentrations of 15 PM 2·5 constituents in the contiguous USA were estimated using ensemble machine learning models, and the sources of PM 2·5 were identified from the PM 2·5 constituent data using non-negative matrix factorisation. The outcomes were incident lung, colorectal, prostate, breast, and endometrial cancers, for which information was extracted from the Medicare Chronic Conditions Data Warehouse database. Associations between PM 2·5 constituents and the outcomes were investigated using a generalised weighted-quantile sum regression model with the Cox-approximate Poisson method, and associations between PM 2·5 sources and outcomes were investigated using Cox-approximate Poisson regression models. Findings 15 138 652 Medicare beneficiaries</w:t>
      </w:r>
    </w:p>
    <w:p>
      <w:pPr/>
      <w:r>
        <w:rPr>
          <w:b/>
        </w:rPr>
        <w:t>POSSIBLE 2025:</w:t>
      </w:r>
      <w:r>
        <w:t xml:space="preserve"> Nearby Sites Show Similar Upwind Sources and Differing Semivolatile Concentrations in Coastal Aerosol Particles — https://doi.org/10.1021/acsestair.5c00191</w:t>
      </w:r>
    </w:p>
    <w:p>
      <w:pPr/>
      <w:r>
        <w:rPr>
          <w:b/>
        </w:rPr>
        <w:t>Shared claim-specific concepts:</w:t>
      </w:r>
      <w:r>
        <w:t xml:space="preserve"> concentrations, show, two; EU scope not established. This is a provisional connection, not an outcome finding.</w:t>
      </w:r>
    </w:p>
    <w:p>
      <w:pPr>
        <w:pStyle w:val="SourceNote"/>
      </w:pPr>
      <w:r>
        <w:rPr>
          <w:b/>
        </w:rPr>
        <w:t>Available abstract (not full text):</w:t>
      </w:r>
      <w:r>
        <w:t xml:space="preserve"> High Resolution Image Download MS PowerPoint Slide The Eastern Pacific Cloud Aerosol Precipitation Experiment (EPCAPE) characterized aerosol composition using measurements at two sites within 3 km (Scripps Pier and Mt. Soledad) from 15 February 2023 to 14 February 2024. Comparing the two sites shows the strong influence of upwind sources that results in similar monthly compositions at both sites. The seasonal changes in chemical mass concentrations were largely driven by the upwind source regions, with coastal northwesterly back-trajectories occurring 63–65% of the year and bringing submicrometer mass concentrations that were lower than the EPCAPE average for all trajectories at each site. In contrast, refractory black carbon (rBC) and nonrefractory (NR)-organics and nitrate mass concentrations exceeded EPCAPE average concentrations for back-trajectories from urban areas such as Los Angeles-Long Beach. For hourly measurements, NR-organics and non-sea-salt (NSS)-sulfate mass concentrations at Mt. Soledad were correlated strongly ( r = 0.73–0.82) to those measured at Scripps Pier, but NR-nitrate was correlated only moderately ( r = 0.63). The explanation for the lower correlation of NR-nitrate is both emissions between the sites and semivolatility, with semivolatility accounting for site-to-site changes in daily averages of +0.01 μg m –3 per percentage site-to-site difference in </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concentrations, pm2, not, climate;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Quality of indoor air in educational institutions and adverse public health in Europe: A scoping review — https://doi.org/10.29333/ejgm/15962</w:t>
      </w:r>
    </w:p>
    <w:p>
      <w:pPr/>
      <w:r>
        <w:rPr>
          <w:b/>
        </w:rPr>
        <w:t>Shared claim-specific concepts:</w:t>
      </w:r>
      <w:r>
        <w:t xml:space="preserve"> show, use; EU scope visible. This is a provisional connection, not an outcome finding.</w:t>
      </w:r>
    </w:p>
    <w:p>
      <w:pPr>
        <w:pStyle w:val="SourceNote"/>
      </w:pPr>
      <w:r>
        <w:rPr>
          <w:b/>
        </w:rPr>
        <w:t>Available abstract (not full text):</w:t>
      </w:r>
      <w:r>
        <w:t xml:space="preserve"> Indoor air quality (IAQ) at educational institutions has emerged as an important public health issue, affecting the health and cognitive performance of school-aged children, students, and faculty alike. This scoping review study seeks to investigate and synthesize current literature on the factors influencing the current state of research on indoor air quality in educational institutions, as well as its implications for public health. The technique thoroughly investigated peer-reviewed journals, international organizations, and government reports, as well as case studies on IAQ in educational contexts. Using keywords such as "indoor air quality," "educational institutions," "public health," '' Europe, '' and "adverse health outcomes," the study's inclusion and exclusion criteria, as well as the criteria use of quality assessments. The results show that low IAQ is connected with a variety of public health issues, including health difficulties and cognitive impairments, particularly in vulnerable populations such as children and teachers. Inadequate ventilation, the presence of volatile organic compounds, mold growth, and external contaminants are all common causes of poor indoor air quality. Monitoring and management measures are required to improve IAQ in schools, encouraging student's health and academic performance, as well as policy implications of the importance of interdis</w:t>
      </w:r>
    </w:p>
    <w:p>
      <w:pPr/>
      <w:r>
        <w:rPr>
          <w:b/>
        </w:rPr>
        <w:t>POSSIBLE 2024:</w:t>
      </w:r>
      <w:r>
        <w:t xml:space="preserve"> Discussed Poster Abstracts – PM2 — https://doi.org/10.1111/fcp.13016</w:t>
      </w:r>
    </w:p>
    <w:p>
      <w:pPr/>
      <w:r>
        <w:rPr>
          <w:b/>
        </w:rPr>
        <w:t>Shared claim-specific concepts:</w:t>
      </w:r>
      <w:r>
        <w:t xml:space="preserve"> pm2, two, used; EU scope not established. This is a provisional connection, not an outcome finding.</w:t>
      </w:r>
    </w:p>
    <w:p>
      <w:pPr>
        <w:pStyle w:val="SourceNote"/>
      </w:pPr>
      <w:r>
        <w:rPr>
          <w:b/>
        </w:rPr>
        <w:t>Available abstract (not full text):</w:t>
      </w:r>
      <w:r>
        <w:t xml:space="preserve"> Introduction: Acute generalized exanthematous pustulosis (AGEP) is a rare form of severe cutaneous adverse drug reaction.Because of change regarding drug prescription over time, new drugs emerge as causative agents.Our objective was to assess new drugs associated with AGEP such as heterogeneity regarding delays between drug intake and AGEP onset.Material and methods: We used VigiBase, the WHO pharmacovigilance database.Two periods of interest were extracted: period 1 (2007-2012), as control period; and period 2 (2017-2022) to assess newly associated drugs.Overall reports of AGEP recorded in period 1 and period 2 were analyzed.To assess drug associated with AGEP, the information component and the lower limit of its 95% credibility interval (IC025) was used.IC025 ≥ 0 is the statistical threshold used in Vigibase.Additionally, in order to group drugs according to the delay between drug intake and AGEP onset, we performed a clustering analysis.Results: A total of 635 and 3832 reports were recorded in period 1 and 2 respectively.A total of 64 drugs were newly associated during period 2. Period 2 particularly highlighted the new association of antimicrobials, such as meropenem (IC025 3.52), valaciclovir (IC025 3.83) and acyclovir (IC025 2.00), nystatin (IC025 3.76) and itraconazole (IC025 2.67), proton pump inhibitors such as pantoprazole (IC025 1.17), diuretics such as acetazolamide</w:t>
      </w:r>
    </w:p>
    <w:p>
      <w:pPr/>
      <w:r>
        <w:rPr>
          <w:b/>
        </w:rPr>
        <w:t>POSSIBLE 2024:</w:t>
      </w:r>
      <w:r>
        <w:t xml:space="preserve"> Time Series Analysis PM2•5 Concentration for Capital City Dhaka from 2016 to 2023 — https://doi.org/10.11648/sf.20240501.15</w:t>
      </w:r>
    </w:p>
    <w:p>
      <w:pPr/>
      <w:r>
        <w:rPr>
          <w:b/>
        </w:rPr>
        <w:t>Shared claim-specific concepts:</w:t>
      </w:r>
      <w:r>
        <w:t xml:space="preserve"> pm2, significant, biomass, burning, range; EU scope not established. This is a provisional connection, not an outcome finding.</w:t>
      </w:r>
    </w:p>
    <w:p>
      <w:pPr>
        <w:pStyle w:val="SourceNote"/>
      </w:pPr>
      <w:r>
        <w:rPr>
          <w:b/>
        </w:rPr>
        <w:t>Available abstract (not full text):</w:t>
      </w:r>
      <w:r>
        <w:t xml:space="preserve"> Dhaka, as the epicenter of economic, political, and cultural activity, has been actively pursuing urbanization, modernization, and development in line with global trends. The rise in unplanned urbanization, industrialization, and other human activities have led to an escalation in air pollution levels. The quality of air in Dhaka is progressively declining over time. It has become a significant challenge due to its detrimental effects on both human health and the environment. The objectives of the study to analyze the air quality in Dhaka city over eight years, from 2016 to 2023 and to assess the relation between concentration of PM2•5 and meteorological characteristics in Dhaka city. AQI and PM2•5 data has been collected from the website of U.S. Embassy Dhaka and meteorological data from the Bangladesh Meteorological Department (BMD). Data processing and analysis have been conducted by using SPSS and Microsoft Excel. Annual variations indicated that 2023 experienced the highest air pollution levels with an average PM2•5 concentration of 103.67 µg/m³ which is 2.96 times higher than the national ambient air quality standards level. Furthermore, shifting variation analysis demonstrated that air quality deteriorated in the night to morning, reaching an unhealthy level, largely attributed to heavy traffic. Along with that seasonal variations illustrate that winter had the highest P</w:t>
      </w:r>
    </w:p>
    <w:p>
      <w:pPr/>
      <w:r>
        <w:rPr>
          <w:b/>
        </w:rPr>
        <w:t>POSSIBLE 2024:</w:t>
      </w:r>
      <w:r>
        <w:t xml:space="preserve"> Estimates of global mortality burden associated with short-term exposure to fine particulate matter (PM2·5) — https://doi.org/10.1016/s2542-5196(24)00003-2</w:t>
      </w:r>
    </w:p>
    <w:p>
      <w:pPr/>
      <w:r>
        <w:rPr>
          <w:b/>
        </w:rPr>
        <w:t>Shared claim-specific concepts:</w:t>
      </w:r>
      <w:r>
        <w:t xml:space="preserve"> concentrations, pm2, not; EU scope not established. This is a provisional connection, not an outcome finding.</w:t>
      </w:r>
    </w:p>
    <w:p>
      <w:pPr>
        <w:pStyle w:val="SourceNote"/>
      </w:pPr>
      <w:r>
        <w:rPr>
          <w:b/>
        </w:rPr>
        <w:t>Available abstract (not full text):</w:t>
      </w:r>
      <w:r>
        <w:t xml:space="preserve"> Background The acute health effects of short-term (hours to days) exposure to fine particulate matter (PM 2·5 ) have been well documented; however, the global mortality burden attributable to this exposure has not been estimated. We aimed to estimate the global, regional, and urban mortality burden associated with short-term exposure to PM 2·5 and the spatiotemporal variations in this burden from 2000 to 2019. Methods We combined estimated global daily PM 2·5 concentrations, annual population counts, country-level mortality rates, and epidemiologically derived exposure–response functions to estimate the mortality attributable to short-term PM 2·5 exposure from 2000 to 2019, in the continental regions and in 13 189 urban centres worldwide at a spatial resolution of 0·1° × 0·1°. We tested the robustness of our mortality estimates with different theoretical minimum risk exposure levels, lag effects, and exposure–response functions. Findings Approximately 1 million (95% CI 690 000–1·3 million) premature deaths per year from 2000 to 2019 were attributable to short-term PM 2·5 exposure, representing 2·08% (1·41–2·75) of total global deaths or 17 (11–22) premature deaths per 100 000 population. Annually, 0·23 million (0·15 million–0·30 million) deaths attributable to short-term PM 2·5 exposure were in urban areas, constituting 22·74% of the total global deaths attributable to this cau</w:t>
      </w:r>
    </w:p>
    <w:p>
      <w:pPr/>
      <w:r>
        <w:rPr>
          <w:b/>
        </w:rPr>
        <w:t>POSSIBLE 2024:</w:t>
      </w:r>
      <w:r>
        <w:t xml:space="preserve"> Estimating the effect of annual PM2·5 exposure on mortality in India: a difference-in-differences approach — https://doi.org/10.1016/s2542-5196(24)00248-1</w:t>
      </w:r>
    </w:p>
    <w:p>
      <w:pPr/>
      <w:r>
        <w:rPr>
          <w:b/>
        </w:rPr>
        <w:t>Shared claim-specific concepts:</w:t>
      </w:r>
      <w:r>
        <w:t xml:space="preserve"> concentrations, pm2, not, increase, use, system; EU scope not established. This is a provisional connection, not an outcome finding.</w:t>
      </w:r>
    </w:p>
    <w:p>
      <w:pPr>
        <w:pStyle w:val="SourceNote"/>
      </w:pPr>
      <w:r>
        <w:rPr>
          <w:b/>
        </w:rPr>
        <w:t>Available abstract (not full text):</w:t>
      </w:r>
      <w:r>
        <w:t xml:space="preserve"> Background In 2019, the Global Burden of Diseases, Injuries, and Risk Factors Study attributed 0·98 million deaths to ambient air pollution in India based on potentially inappropriate exposure–response functions from countries with low air pollution levels. Instead, using data from India, we investigated long-term exposure to PM 2·5 and all-cause mortality with a causal inference method. Methods We collected national counts of annual mortality from 2009 to 2019 from the Civil Registration System at the district level to calculate annual district-level mortality rate as our main outcome and obtained annual PM 2·5 concentrations from a high-resolution spatiotemporal model. We applied an extended version of the difference-in-differences design by use of generalised additive models with quasi-Poisson distribution, including indicator variables and separate time trends for spatial administrative divisions. PM 2·5 concentrations obtained at 1 km × 1 km spatial resolution across the country were used to calculate annual district-level mean PM 2·5 concentrations. Similarly, we collected confounders at the district level, such as mean and SD of quarterly temperatures, gross domestic product per capita, population aged 60 years or older, clean cooking fuel usage, literacy in women, and median age. The spatial unit of analysis was administrative division. Findings The annual median popula</w:t>
      </w:r>
    </w:p>
    <w:p>
      <w:pPr>
        <w:pStyle w:val="Heading2"/>
      </w:pPr>
      <w:r>
        <w:t>768. Renewable and Sustainable Energy Transitions for Countries with Different Climates and Renewable Energy Sources Potentials</w:t>
      </w:r>
    </w:p>
    <w:p>
      <w:pPr>
        <w:pStyle w:val="SourceNote"/>
      </w:pPr>
      <w:r>
        <w:rPr>
          <w:b/>
        </w:rPr>
        <w:t>Original source (2018):</w:t>
      </w:r>
      <w:r>
        <w:t xml:space="preserve"> https://doi.org/10.3390/en11123523</w:t>
      </w:r>
    </w:p>
    <w:p>
      <w:pPr/>
      <w:r>
        <w:t>Original wording (abstract; indexed_source_text_not_full_document_verified): The outcomes of the new scenarios support the future national plans, showing how decarburization in an energy system can occur in relation to the European Roadmap 2030 and 2050.</w:t>
      </w:r>
    </w:p>
    <w:p>
      <w:pPr/>
      <w:r>
        <w:rPr>
          <w:b/>
        </w:rPr>
        <w:t>POSSIBLE 2026:</w:t>
      </w:r>
      <w:r>
        <w:t xml:space="preserve"> NDICI – Global Europe as a new architecture of the European Union’s financial assistance — https://doi.org/10.17721/2524-048x.2026.34.10</w:t>
      </w:r>
    </w:p>
    <w:p>
      <w:pPr/>
      <w:r>
        <w:rPr>
          <w:b/>
        </w:rPr>
        <w:t>Shared claim-specific concepts:</w:t>
      </w:r>
      <w:r>
        <w:t xml:space="preserve"> support, system; EU scope visible. This is a provisional connection, not an outcome finding.</w:t>
      </w:r>
    </w:p>
    <w:p>
      <w:pPr>
        <w:pStyle w:val="SourceNote"/>
      </w:pPr>
      <w:r>
        <w:rPr>
          <w:b/>
        </w:rPr>
        <w:t>Available abstract (not full text):</w:t>
      </w:r>
      <w:r>
        <w:t xml:space="preserve"> The relevance of this study is determined by the need for a historical and analytical understanding of the transformation of the European Union’s external financing system in the early 21st century, taking place amid global political changes and the russian federation’s war against Ukraine. In this context, particular attention is given to the Neighbourhood, Development and International Cooperation Instrument – Global Europe (NDICI–GE) as a stage in the evolution of the EU’s financial mechanisms and as part of the broader process of institutional development in European integration. The aim of the article is a historical and analytical study of the prerequisites for the formation, institutional and legal design, and practical implementation of NDICI–GE in the context of the evolution of the EU’s external assistance system. The methodological framework is based on the principles of historicism, systematization, and scientific objectivity. The historical-comparative method was used to reconstruct the stages of the development of EU financial instruments, the problem-chronological approach to highlight the sequence of their transformation, and the source analysis method to examine EU legal acts and official documents. The scientific novelty lies in a comprehensive historical and analytical understanding of NDICI–GE as a consistent stage in the institutional evolution of the EU’s </w:t>
      </w:r>
    </w:p>
    <w:p>
      <w:pPr/>
      <w:r>
        <w:rPr>
          <w:b/>
        </w:rPr>
        <w:t>POSSIBLE 2025:</w:t>
      </w:r>
      <w:r>
        <w:t xml:space="preserve"> Using codesign to support the implementation of a midwifery unit in Europe — https://doi.org/10.1016/j.midw.2025.104503</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Midwifery units (MUs) have demonstrated to be a safe and cost-effective model of maternity care. Several European countries do not offer this model yet but are working towards its implementation to improve perinatal outcomes, service users' and midwives' satisfaction while making effective use of healthcare resources. Few research projects have focused on the implementation aspect. This study observed and supported the process for implementation of a new MU in Italy using participatory action research (PAR) and codesign. METHODS: A 4-stage project was conducted to codesign an implementation plan aimed at supporting the transition from the obstetrically led maternity unit to an integrated model with a MU. The study engaged maternity professionals, managers and service users via online focus groups and eSurveys. FINDINGS: Participants identified ten themes to focus the implementation work on: team vision, creation of a multidisciplinary advisory group, creation of a dedicated group of midwives, implementation of intrapartum guidelines for low-risk women, appropriate risk assessment, integration hospital-community, training, effective communication and information for service users and within the team, and reflective practice. Service users supported the initiatives proposed in the implementation plan and expressed openness towards the model of care and its implementat</w:t>
      </w:r>
    </w:p>
    <w:p>
      <w:pPr/>
      <w:r>
        <w:rPr>
          <w:b/>
        </w:rPr>
        <w:t>POSSIBLE 2024:</w:t>
      </w:r>
      <w:r>
        <w:t xml:space="preserve"> Developing a European Psychotherapy Consortium (EPoC): Towards adopting a single-item self-report outcome measure across European countries — https://doi.org/10.32872/cpe.13827</w:t>
      </w:r>
    </w:p>
    <w:p>
      <w:pPr/>
      <w:r>
        <w:rPr>
          <w:b/>
        </w:rPr>
        <w:t>Shared claim-specific concepts:</w:t>
      </w:r>
      <w:r>
        <w:t xml:space="preserve"> outcomes, support, relation; EU scope visible. This is a provisional connection, not an outcome finding.</w:t>
      </w:r>
    </w:p>
    <w:p>
      <w:pPr>
        <w:pStyle w:val="SourceNote"/>
      </w:pPr>
      <w:r>
        <w:rPr>
          <w:b/>
        </w:rPr>
        <w:t>Available abstract (not full text):</w:t>
      </w:r>
      <w:r>
        <w:t xml:space="preserve"> Background: Complementing the development of evidence-based psychological therapies, practice-based evidence has developed from patient samples collected in routine care, addressing questions relevant to patients and practitioners, and thereby expanding our knowledge of psychological therapies and their impact. Implementation of assessments in routine care allows for timely clinical decision support and the collection of multiple practice-based data sets by addressing the needs of patients and clinicians (e.g., routine outcome monitoring) and the needs of researchers (e.g., identifying the impact of therapist variables on outcomes). Method: In this article we describe an initiative developed in Europe, through the European Chapter of the Society for Psychotherapy Research, aimed at creating a consortium that has the potential for collecting data on tens of thousands of patients per year. Results: A survey identified one of the main problems in the development of a common data set to be the heterogeneity of measures used by members (e.g., 87 different pre-post outcomes). We report on the results of the survey and the initial stage of identifying a single-item - the Emotional and Psychological Outcome (EPO-1) - measure and the process of its translation into multiple European languages. Conclusions: We conclude this first stage of the overall project by discussing the future pote</w:t>
      </w:r>
    </w:p>
    <w:p>
      <w:pPr/>
      <w:r>
        <w:rPr>
          <w:b/>
        </w:rPr>
        <w:t>POSSIBLE 2024:</w:t>
      </w:r>
      <w:r>
        <w:t xml:space="preserve"> Atrial fibrillation burden: a new outcome predictor and therapeutic target — https://doi.org/10.1093/eurheartj/ehae373</w:t>
      </w:r>
    </w:p>
    <w:p>
      <w:pPr/>
      <w:r>
        <w:rPr>
          <w:b/>
        </w:rPr>
        <w:t>Shared claim-specific concepts:</w:t>
      </w:r>
      <w:r>
        <w:t xml:space="preserve"> outcomes, relation; EU scope not established. This is a provisional connection, not an outcome finding.</w:t>
      </w:r>
    </w:p>
    <w:p>
      <w:pPr>
        <w:pStyle w:val="SourceNote"/>
      </w:pPr>
      <w:r>
        <w:rPr>
          <w:b/>
        </w:rPr>
        <w:t>Available abstract (not full text):</w:t>
      </w:r>
      <w:r>
        <w:t xml:space="preserve"> Atrial fibrillation (AF), the most common sustained cardiac arrhythmia, is not a dichotomous disease trait. Technological innovations enable long-term rhythm monitoring in many patients and can estimate AF burden. These technologies are already used to detect and monitor AF. This review describes the relation between AF burden and outcomes and potential effects of AF burden reduction. A lower AF burden is associated with a lower risk of stroke and heart failure in patients with AF: stroke risk without anticoagulation is lower in patients with device-detected AF and a low AF burden (stroke rate 1%/year) than in patients with persistent and permanent AF (stroke rate 3%/year). Paroxysmal AF shows intermediate stroke rates (2%/year). Atrial fibrillation burden-reducing interventions can reduce cardiovascular outcomes in patients with AF: early rhythm control reduces cardiovascular events including stroke and heart failure in patients with recently diagnosed AF and cardiovascular conditions. In patients with heart failure and AF, early rhythm control and AF ablation, interventions that reduce AF burden, reduce mortality and heart failure events. Recent technological innovations allow to estimate AF burden in clinical care, creating opportunities and challenges. While evidence remains limited, the existing data already suggest that AF burden reduction could be a therapeutic goal. In </w:t>
      </w:r>
    </w:p>
    <w:p>
      <w:pPr/>
      <w:r>
        <w:rPr>
          <w:b/>
        </w:rPr>
        <w:t>POSSIBLE 2024:</w:t>
      </w:r>
      <w:r>
        <w:t xml:space="preserve"> Evolving trends in underlying etiologies for lung transplantation in Europe and outcomes — https://doi.org/10.1183/13993003.congress-2024.pa4984</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Referring diagnosis to lung transplantation (LTx) impact outcomes concerning overall survival and freedom from chronic lung allograft dysfunction - bronchiolitis obliterans syndrome (CLAD-BOS). This analysis describes trends in aetiologies and outcomes in Europe. Methodology Reports from ISHLT and France and Spain were screened for trends in referring diagnoses LTx and outcomes after LTx. Publications addressing such trends were identified in a PubMed search. Results: Primary diagnoses for LTx evolved over the last two decades. COPD accounts for 33% in both periods, IIP-ILD grew from 21% to 26% and CF decreased from 20% to 18%. Reports from France and Spain support these findings. Survival varies depending on the diagnosis. Global ISHLT data shows median post-Tx survival of 9.9 years in CF, 7.1 in A1ATD, 7.0 in iPAH, 6.7 in non-IPF ILD, 6.0 in COPD and 5.2 in IIP. 5-year freedom from CLAD-BOS shows some differences amongst disease states ranging from 49% in COPD to 54% in CF per ISHLT data, and per French data 5-year CLAD-freedom varies more: 69%, 50% and 37% in CF, COPD and IPF, respectively. Conclusion: Underlying diagnosis for LTx has evolved over the past decades. 5-year freedom from CLAD-BOS is poor for all aetiologies, ranging from 37% to 69%. Those associated with higher CLAD-BOS rates are growing, like IIP-ILD. This emphasizes the urgent need for new treatme</w:t>
      </w:r>
    </w:p>
    <w:p>
      <w:pPr/>
      <w:r>
        <w:rPr>
          <w:b/>
        </w:rPr>
        <w:t>POSSIBLE 2024:</w:t>
      </w:r>
      <w:r>
        <w:t xml:space="preserve"> European guidelines for the treatment of arterial hypertension 2023: new trends — https://doi.org/10.21518/ms2024-090</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The treatment strategy for arterial hypertension is aimed at controlling blood pressure levels, as well as preventing serious cardiovascular complications and affecting the prognosis of the disease. Therefore, pharmacotherapy of arterial hypertension is given great importance as a guide to the treatment of patients in real practice. The new 2023 European Society Guidelines for the diagnosis and treatment of hypertension were developed after a thorough analysis of studies in the field of arterial hypertension, and were not limited to RCTs only, but also included realistic studies (observational, cohort, administrative databases). The 2023 Guidelines support the proven value of five major classes of antihypertensive drugs: thiazide/thiazide-like diuretics, ACEIs, ARBs, calcium antagonists, and β-blockers. New data from meta-analyses support the greater clinical relevance of RAS blockers, calcium channel blockers, and thiazide/thiazide-like diuretics in preventing hypertension-related outcomes, leading to their preferred use in the pharmacotherapy of arterial hypertension, including various combinations of drugs. A new trend in the pharmacotherapy of arterial hypertension has been the inclusion of β-blockers among the main antihypertensive drugs, including their preferred use for a number of clinical conditions. New classes of drugs, such as SGLT2 inhibitors and non-steroidal mine</w:t>
      </w:r>
    </w:p>
    <w:p>
      <w:pPr/>
      <w:r>
        <w:rPr>
          <w:b/>
        </w:rPr>
        <w:t>POSSIBLE 2024:</w:t>
      </w:r>
      <w:r>
        <w:t xml:space="preserve"> Roadmap Towards A New European Culture Of Mobility — https://openalex.org/W4400666844</w:t>
      </w:r>
    </w:p>
    <w:p>
      <w:pPr/>
      <w:r>
        <w:rPr>
          <w:b/>
        </w:rPr>
        <w:t>Shared claim-specific concepts:</w:t>
      </w:r>
      <w:r>
        <w:t xml:space="preserve"> outcomes, support, roadmap; EU scope visible. This is a provisional connection, not an outcome finding.</w:t>
      </w:r>
    </w:p>
    <w:p>
      <w:pPr>
        <w:pStyle w:val="SourceNote"/>
      </w:pPr>
      <w:r>
        <w:rPr>
          <w:b/>
        </w:rPr>
        <w:t>Available abstract (not full text):</w:t>
      </w:r>
      <w:r>
        <w:t xml:space="preserve"> Everyday mobility differs from place to place, but it can have certain commonalities. It is influenced or even characterised by an array of spatial, social, economic and even cultural conditions. We have, therefore, started from the assumption that mobility itself can be considered as a ‘culture’ and that in Europe the culture of mobility is currently evolving. In this context, REBALANCE, a Horizon 2020 project, was carried out by 6 participants from 6 European countries until the end of 2022. It aimed to identify the values and culture of future mobility. The project included a foresight exercise aiming at a paradigm shift in transport policy, leading to greater consideration of societal values, which are not fully taken into account in the development of transport policies, and greater alignment with the SDGs.The project initiated a discussion on the foundations of current transport policy paradigms. By reviewing the present, it mobilised a broad network of experts and stakeholders around new cultures and policies to discuss and converge on a common, more sustainable vision and to design a roadmap for a new transport paradigm. What made REBALANCE original was the massive mobilisation of high-level, multidisciplinary thinkers. The project has drawn on contributions from philosophers, sociologists, social psychologists, geographers and lawyers who have not necessarily been invo</w:t>
      </w:r>
    </w:p>
    <w:p>
      <w:pPr/>
      <w:r>
        <w:rPr>
          <w:b/>
        </w:rPr>
        <w:t>POSSIBLE 2023:</w:t>
      </w:r>
      <w:r>
        <w:t xml:space="preserve"> European Consensus Guidelines on the Management of Respiratory Distress Syndrome: 2022 Update — https://doi.org/10.1159/000528914</w:t>
      </w:r>
    </w:p>
    <w:p>
      <w:pPr/>
      <w:r>
        <w:rPr>
          <w:b/>
        </w:rPr>
        <w:t>Shared claim-specific concepts:</w:t>
      </w:r>
      <w:r>
        <w:t xml:space="preserve"> support, system; EU scope visible. This is a provisional connection, not an outcome finding.</w:t>
      </w:r>
    </w:p>
    <w:p>
      <w:pPr>
        <w:pStyle w:val="SourceNote"/>
      </w:pPr>
      <w:r>
        <w:rPr>
          <w:b/>
        </w:rPr>
        <w:t>Available abstract (not full text):</w:t>
      </w:r>
      <w:r>
        <w:t xml:space="preserve"> Respiratory distress syndrome (RDS) care pathways evolve slowly as new evidence emerges. We report the sixth version of "European Guidelines for the Management of RDS" by a panel of experienced European neonatologists and an expert perinatal obstetrician based on available literature up to end of 2022. Optimising outcome for babies with RDS includes prediction of risk of preterm delivery, appropriate maternal transfer to a perinatal centre, and appropriate and timely use of antenatal steroids. Evidence-based lung-protective management includes initiation of non-invasive respiratory support from birth, judicious use of oxygen, early surfactant administration, caffeine therapy, and avoidance of intubation and mechanical ventilation where possible. Methods of ongoing non-invasive respiratory support have been further refined and may help reduce chronic lung disease. As technology for delivering mechanical ventilation improves, the risk of causing lung injury should decrease, although minimising time spent on mechanical ventilation by targeted use of postnatal corticosteroids remains essential. The general care of infants with RDS is also reviewed, including emphasis on appropriate cardiovascular support and judicious use of antibiotics as being important determinants of best outcome. We would like to dedicate this guideline to the memory of Professor Henry Halliday who died on Nov</w:t>
      </w:r>
    </w:p>
    <w:p>
      <w:pPr/>
      <w:r>
        <w:rPr>
          <w:b/>
        </w:rPr>
        <w:t>POSSIBLE 2023:</w:t>
      </w:r>
      <w:r>
        <w:t xml:space="preserve"> Spatial planning systems in Europe — https://doi.org/10.2298/gsgd2302177t</w:t>
      </w:r>
    </w:p>
    <w:p>
      <w:pPr/>
      <w:r>
        <w:rPr>
          <w:b/>
        </w:rPr>
        <w:t>Shared claim-specific concepts:</w:t>
      </w:r>
      <w:r>
        <w:t xml:space="preserve"> national, system; EU scope visible. This is a provisional connection, not an outcome finding.</w:t>
      </w:r>
    </w:p>
    <w:p>
      <w:pPr>
        <w:pStyle w:val="SourceNote"/>
      </w:pPr>
      <w:r>
        <w:rPr>
          <w:b/>
        </w:rPr>
        <w:t>Available abstract (not full text):</w:t>
      </w:r>
      <w:r>
        <w:t xml:space="preserve"> The paper aims to present the most significant classifications of spatial planning systems and territorial management in Europe. After the first attempts, from the end of the last century, at the beginning of the new millennium, extensive analyses of the spatial planning system were carried out through several ESPON projects. Their results were based on the dominance of one of four approaches: urbanism, land use, regional-economic or comprehensive integrated planning. Some countries have a combination of two or three approaches. The second research also refers to the development trends observed in the national systems of territorial management and spatial planning. Recent research include the classification of states according to the way of management, the level of integration of sectoral policies, the degree of adaptability in planning, as well as the degree of engagement of citizens in the planning process. Knowing the basic characteristics of the spatial planning system, as well as the classifications based on them, creates a clearer perspective of spatial planning as a socially important activity and makes it easier for every country to review and improve its planning practice.</w:t>
      </w:r>
    </w:p>
    <w:p>
      <w:pPr/>
      <w:r>
        <w:rPr>
          <w:b/>
        </w:rPr>
        <w:t>POSSIBLE 2023:</w:t>
      </w:r>
      <w:r>
        <w:t xml:space="preserve"> Transition to legume-supported farming in Europe through redesigning cropping systems — https://doi.org/10.1007/s13593-022-00861-w</w:t>
      </w:r>
    </w:p>
    <w:p>
      <w:pPr/>
      <w:r>
        <w:rPr>
          <w:b/>
        </w:rPr>
        <w:t>Shared claim-specific concepts:</w:t>
      </w:r>
      <w:r>
        <w:t xml:space="preserve"> support, energy, system; EU scope visible. This is a provisional connection, not an outcome finding.</w:t>
      </w:r>
    </w:p>
    <w:p>
      <w:pPr>
        <w:pStyle w:val="SourceNote"/>
      </w:pPr>
      <w:r>
        <w:rPr>
          <w:b/>
        </w:rPr>
        <w:t>Available abstract (not full text):</w:t>
      </w:r>
      <w:r>
        <w:t xml:space="preserve"> Abstract Legume-supported cropping systems affect environmental, production, and economic impacts. In Europe, legume production is still marginal with grain legumes covering less than 3% of arable land. A transition towards legume-supported systems could contribute to a higher level of protein self-sufficiency and lower environmental impacts of agriculture. Suitable approaches for designing legume-supported cropping systems are required that go beyond the production of prescriptive solutions. We applied the DEED framework with scientists and advisors in 17 study areas in nine European countries, enabling us to describe, explain, explore, and redesign cropping systems. The results of 31 rotation comparisons showed that legume integration decreased N fertilizer use and nitrous oxide emissions (N2O) in more than 90% of the comparisons with reductions ranging from 6 to 142 kg N ha−1 and from 1 to 6 kg N2O ha−1, respectively. In over 75% of the 24 arable cropping system comparisons, rotations with legumes had lower nitrate leaching and higher protein yield per hectare. The assessment of above-ground biodiversity showed no considerable difference between crop rotations with and without legumes in most comparisons. Energy yields were lower in legume-supported systems in more than 90% of all comparisons. Feasibility and adaptation needs of legume systems were discussed in joint worksho</w:t>
      </w:r>
    </w:p>
    <w:p>
      <w:pPr/>
      <w:r>
        <w:rPr>
          <w:b/>
        </w:rPr>
        <w:t>POSSIBLE 2022:</w:t>
      </w:r>
      <w:r>
        <w:t xml:space="preserve"> Understanding Public Support for European Protected Areas: A Review of the Literature and Proposing a New Approach for Policy Makers — https://doi.org/10.3390/land11050733</w:t>
      </w:r>
    </w:p>
    <w:p>
      <w:pPr/>
      <w:r>
        <w:rPr>
          <w:b/>
        </w:rPr>
        <w:t>Shared claim-specific concepts:</w:t>
      </w:r>
      <w:r>
        <w:t xml:space="preserve"> outcomes, support, system; EU scope visible. This is a provisional connection, not an outcome finding.</w:t>
      </w:r>
    </w:p>
    <w:p>
      <w:pPr>
        <w:pStyle w:val="SourceNote"/>
      </w:pPr>
      <w:r>
        <w:rPr>
          <w:b/>
        </w:rPr>
        <w:t>Available abstract (not full text):</w:t>
      </w:r>
      <w:r>
        <w:t xml:space="preserve"> Protected Areas are the most widely applied policy tool for biodiversity conservation. In Europe, protected areas are expected to significantly increase as the new EU Biodiversity strategy sets an ambitious target of 30% of land and 30% of water to be protected by 2030. Despite the popularity of this environmental policy, understanding variations in the level of public support for protected areas remains underexplored. This is an important area of research, considering that, in order for protected areas to be effective, they need to be supported by most users, including local communities and visitors. In this paper, we reviewed theoretical and empirical evidence explaining the level of support for protected areas and proposed a new approach when designing and designating protected areas in Europe. This approach models the process of the introduction of a new protected area as a policy intervention within a socio-ecological system. Specifically, it models how protected area social outcomes or impacts are conditioned and contextualised by numerous intervening factors relating to the social context and governance and management system to influence local actors’ attitude and active support for the protected area. This new approach aims to assist policy makers, conservation practitioners and scientists to plan actions that assist in increasing the level of public support for protect</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outcomes, support;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pStyle w:val="Heading2"/>
      </w:pPr>
      <w:r>
        <w:t>769. Renewable jet fuel supply scenarios in the European Union in 2021–2030 in the context of proposed biofuel policy and competing biomass demand</w:t>
      </w:r>
    </w:p>
    <w:p>
      <w:pPr>
        <w:pStyle w:val="SourceNote"/>
      </w:pPr>
      <w:r>
        <w:rPr>
          <w:b/>
        </w:rPr>
        <w:t>Original source (2018):</w:t>
      </w:r>
      <w:r>
        <w:t xml:space="preserve"> https://doi.org/10.1111/gcbb.12525</w:t>
      </w:r>
    </w:p>
    <w:p>
      <w:pPr/>
      <w:r>
        <w:t>Original wording (abstract; indexed_source_text_not_full_document_verified): Model scenarios show nonfood RJF supply could increase from 1 PJ in 2021 to 165–261 PJ /year (3.8–6.1 million tonne (Mt)/year) by 2030, provided advanced biofuel technologies are developed and adequate (policy) incentives are present. Abstract This study presents supply scenarios of nonfood renewable jet fuel ( RJF ) in the European Union ( EU ) toward 2030, based on the anticipated regulatory context, availability of biomass and conversion technologies, and competing biomass demand from other sectors (i.e., transport, heat, power, and chemicals).</w:t>
      </w:r>
    </w:p>
    <w:p>
      <w:pPr/>
      <w:r>
        <w:rPr>
          <w:b/>
        </w:rPr>
        <w:t>POSSIBLE 2026:</w:t>
      </w:r>
      <w:r>
        <w:t xml:space="preserve"> Nonfood Geographical Indications as Collective Sustainability Strategies: Governance as a Strategic Capability for Territorial Competitive Advantage — https://doi.org/10.1002/bse.71040</w:t>
      </w:r>
    </w:p>
    <w:p>
      <w:pPr/>
      <w:r>
        <w:rPr>
          <w:b/>
        </w:rPr>
        <w:t>Shared claim-specific concepts:</w:t>
      </w:r>
      <w:r>
        <w:t xml:space="preserve"> nonfood, abstract, based; EU scope not established. This is a provisional connection, not an outcome finding.</w:t>
      </w:r>
    </w:p>
    <w:p>
      <w:pPr>
        <w:pStyle w:val="SourceNote"/>
      </w:pPr>
      <w:r>
        <w:rPr>
          <w:b/>
        </w:rPr>
        <w:t>Available abstract (not full text):</w:t>
      </w:r>
      <w:r>
        <w:t xml:space="preserve"> ABSTRACT Nonfood geographical indications (GIs) are increasingly emerging as collective sustainability strategies. They enable territories to transform cultural and productive heritage into sources of long‐term competitive advantage. While existing research recognises their regulatory and cultural relevance, limited attention has been paid to how governance configurations activate nonfood GIs as strategic mechanisms for sustainability‐oriented territorial competitiveness. This study consolidates and systematises the literature through a systematic review conducted using the SPAR‐4‐SLR protocol. Fifty‐four peer‐reviewed studies were analysed through bibliometric mapping and in‐depth thematic analysis to identify the dominant conceptual approaches, governance models and strategic outcomes associated with nonfood GIs. Drawing on the systematic review and its interpretative synthesis, the study conceptualises nonfood GIs as heritage‐based collective business strategies. It develops a layered conceptual framework that positions governance as a strategic capability mediating between territorial resources and sustainability‐oriented competitive outcomes. The framework identifies two systemic strategic trade‐offs that recur across studies and contexts: authenticity protection versus market responsiveness and participatory inclusiveness versus decision‐making agility, shaping long‐term </w:t>
      </w:r>
    </w:p>
    <w:p>
      <w:pPr/>
      <w:r>
        <w:rPr>
          <w:b/>
        </w:rPr>
        <w:t>POSSIBLE 2025:</w:t>
      </w:r>
      <w:r>
        <w:t xml:space="preserve"> Harnessing Nonfood Biomass for Biodiesel Production: Integration of Hazardous Waste Treatment into Sustainable Energy Solutions — https://doi.org/10.5772/intechopen.1011460</w:t>
      </w:r>
    </w:p>
    <w:p>
      <w:pPr/>
      <w:r>
        <w:rPr>
          <w:b/>
        </w:rPr>
        <w:t>Shared claim-specific concepts:</w:t>
      </w:r>
      <w:r>
        <w:t xml:space="preserve"> nonfood, advanced; EU scope not established. This is a provisional connection, not an outcome finding.</w:t>
      </w:r>
    </w:p>
    <w:p>
      <w:pPr>
        <w:pStyle w:val="SourceNote"/>
      </w:pPr>
      <w:r>
        <w:rPr>
          <w:b/>
        </w:rPr>
        <w:t>Available abstract (not full text):</w:t>
      </w:r>
      <w:r>
        <w:t xml:space="preserve"> This chapter explores the integration of hazardous waste treatment into biodiesel production using nonfood biomass as a sustainable feedstock. Nonfood biomass—such as agricultural residues, lignocellulosic waste, forestry byproducts, and microalgae—represents a promising alternative to food-based biofuels, enabling energy production without compromising food security. Concurrently, the incorporation of hazardous waste streams, including industrial effluents, contaminated biomass, and organic toxins, into bioenergy pathways offers an innovative approach to environmental remediation. Through advanced pretreatment, bioremediation, and catalytic transesterification processes, these waste materials can be converted into high-quality biodiesel. This integrated framework not only addresses the challenges of waste management but also enhances energy circularity, reduces greenhouse gas emissions, and contributes to carbon neutrality. The chapter highlights recent technological advancements, system efficiencies, and sustainability metrics in waste-to-energy systems, providing a roadmap for implementing closed-loop bioenergy strategies. By aligning with circular economy principles and global climate goals, this approach offers a dual benefit—clean energy generation and effective hazardous waste mitigation.</w:t>
      </w:r>
    </w:p>
    <w:p>
      <w:pPr/>
      <w:r>
        <w:rPr>
          <w:b/>
        </w:rPr>
        <w:t>POSSIBLE 2025:</w:t>
      </w:r>
      <w:r>
        <w:t xml:space="preserve"> Building an Agricultural Biogas Supply Chain in Europe: Organizational Models and Social Challenges — https://doi.org/10.3390/su17135806</w:t>
      </w:r>
    </w:p>
    <w:p>
      <w:pPr/>
      <w:r>
        <w:rPr>
          <w:b/>
        </w:rPr>
        <w:t>Shared claim-specific concepts:</w:t>
      </w:r>
      <w:r>
        <w:t xml:space="preserve"> presents; EU scope visible. This is a provisional connection, not an outcome finding.</w:t>
      </w:r>
    </w:p>
    <w:p>
      <w:pPr>
        <w:pStyle w:val="SourceNote"/>
      </w:pPr>
      <w:r>
        <w:rPr>
          <w:b/>
        </w:rPr>
        <w:t>Available abstract (not full text):</w:t>
      </w:r>
      <w:r>
        <w:t xml:space="preserve"> As Europe is the world’s leading producer of biogas, this article examines how agricultural anaerobic digestion (AD) is organized and governed, and explores the social challenges involved in structuring the sector around a possible “European model”. Following a social science perspective, it presents a systematic review of 64 French- and English-language articles drawn from 16 academic databases. The findings highlight five key dynamics. First, there is a shift from farmer-led to increasingly industrial models of AD. Second, diverse and hybrid business models are emerging, involving new forms of multi-scale coordination. Third, the sector remains structurally dependent on public subsidies and on regulatory frameworks. Fourth, the economic viability of AD for farmers remains uncertain, driving a transition from cogeneration to biomethane injection. Fifth, tensions develop between rural place-based imaginaries and the realities of globalized energy networks. These patterns underscore the complexity of biogas sector-building in Europe and the competing narratives shaping its evolution. We argue that agricultural AD cannot be reduced to a unified trajectory, but reflects ongoing negotiations over energy models, territorial development and socio-technical legitimacy. This paper concludes by discussing the implications of these dynamics for the sustainability and fairness of future b</w:t>
      </w:r>
    </w:p>
    <w:p>
      <w:pPr/>
      <w:r>
        <w:rPr>
          <w:b/>
        </w:rPr>
        <w:t>POSSIBLE 2024:</w:t>
      </w:r>
      <w:r>
        <w:t xml:space="preserve"> Duckweed: Growth factor and applications in nonfood, food, and health — https://doi.org/10.1002/fsh3.12078</w:t>
      </w:r>
    </w:p>
    <w:p>
      <w:pPr/>
      <w:r>
        <w:rPr>
          <w:b/>
        </w:rPr>
        <w:t>Shared claim-specific concepts:</w:t>
      </w:r>
      <w:r>
        <w:t xml:space="preserve"> nonfood, biofuel, abstract; EU scope not established. This is a provisional connection, not an outcome finding.</w:t>
      </w:r>
    </w:p>
    <w:p>
      <w:pPr>
        <w:pStyle w:val="SourceNote"/>
      </w:pPr>
      <w:r>
        <w:rPr>
          <w:b/>
        </w:rPr>
        <w:t>Available abstract (not full text):</w:t>
      </w:r>
      <w:r>
        <w:t xml:space="preserve"> Abstract Duckweeds are aquatic plants and mainly constitute of five genera, Lemna, Spirodela, Wolffia , Wolffiella, and Landoltia. These are the smallest plants yet having a rapid growth rate. Hence, duckweeds are sustainable food sources for humans and animals, as well as sustainable feedstocks for biochemical production. Previously, duckweeds were discovered for their vital role in water purification by metabolizing chemicals and waste. However, many recent studies have discovered that duckweeds have a high amount of nutrients, which makes them a great substitute in human diets and animal feed. Their nutrient composition and growth rate are greatly affected by environmental factors. Hence, this review summarizes the characteristics of duckweeds, growth rate factors, and their applications in nonfood, food, and health. Duckweeds could improve health due to their large amounts of macro‐ and micronutrients. Future studies on the safety measures and duckweed culture are strongly recommended to safeguard the quality of the plants. Besides that, duckweeds have great potential to be used as heavy metals or contaminants absorbent, as well as a sustainable feedstock for biofuel production.</w:t>
      </w:r>
    </w:p>
    <w:p>
      <w:pPr/>
      <w:r>
        <w:rPr>
          <w:b/>
        </w:rPr>
        <w:t>POSSIBLE 2024:</w:t>
      </w:r>
      <w:r>
        <w:t xml:space="preserve"> Effects of different renewable electricity diffusion paths and restricted european cooperation on Europe's hydrogen supply — https://doi.org/10.1016/j.esr.2024.101589</w:t>
      </w:r>
    </w:p>
    <w:p>
      <w:pPr/>
      <w:r>
        <w:rPr>
          <w:b/>
        </w:rPr>
        <w:t>Shared claim-specific concepts:</w:t>
      </w:r>
      <w:r>
        <w:t xml:space="preserve"> show, increase, technologies, renewable, union, based; EU scope visible. This is a provisional connection, not an outcome finding.</w:t>
      </w:r>
    </w:p>
    <w:p>
      <w:pPr>
        <w:pStyle w:val="SourceNote"/>
      </w:pPr>
      <w:r>
        <w:rPr>
          <w:b/>
        </w:rPr>
        <w:t>Available abstract (not full text):</w:t>
      </w:r>
      <w:r>
        <w:t xml:space="preserve"> Today, most hydrogen production is based on natural gas and occurs locally at the demand sites. However, according to many studies, hydrogen generation will shift to greenhouse gas (GHG)-neutral sources and supply, substantially increasing demands to meet ambitious climate protection targets in the European Union. Therefore, the model-based analysis in this paper addresses where hydrogen will come from in a GHG-neutral target system. A scenario study examines different expansion paths of renewable energy generation technologies and variations in European cooperation regarding energy trading. The model results show that a domestic European hydrogen supply strategy is cost-efficient. This result is robust even with higher self-sufficiency shares of individual countries. However, delayed or restricted expansions of renewable electricity generation technologies lead to increased hydrogen demands for power generation and increased pipeline-bound hydrogen imports in winter from the Middle East and North Africa in the model results. Furthermore, scenarios with higher photovoltaic shares exhibit increased demand for hydrogen storage for seasonal energy supply and demand balancing and increased hydrogen demands for power generation. A cost-efficient hydrogen supply strategy should, therefore, particularly focus on the expansion of onshore wind energy and hydrogen supply technologies in </w:t>
      </w:r>
    </w:p>
    <w:p>
      <w:pPr/>
      <w:r>
        <w:rPr>
          <w:b/>
        </w:rPr>
        <w:t>POSSIBLE 2024:</w:t>
      </w:r>
      <w:r>
        <w:t xml:space="preserve"> Bioenergy in Europe is unlikely to make a timely contribution to climate change targets — https://doi.org/10.1088/1748-9326/ad2d11</w:t>
      </w:r>
    </w:p>
    <w:p>
      <w:pPr/>
      <w:r>
        <w:rPr>
          <w:b/>
        </w:rPr>
        <w:t>Shared claim-specific concepts:</w:t>
      </w:r>
      <w:r>
        <w:t xml:space="preserve"> abstract, fuel, union; EU scope visible. This is a provisional connection, not an outcome finding.</w:t>
      </w:r>
    </w:p>
    <w:p>
      <w:pPr>
        <w:pStyle w:val="SourceNote"/>
      </w:pPr>
      <w:r>
        <w:rPr>
          <w:b/>
        </w:rPr>
        <w:t>Available abstract (not full text):</w:t>
      </w:r>
      <w:r>
        <w:t xml:space="preserve"> Abstract Increasing bioenergy production is a significant component of European efforts to mitigate climate change, but has contested potential for reducing emissions. We use an integrated land system model to explore the effects of large-scale bioenergy production within the European Union on carbon balances. We find that increased bioenergy crop production is likely to cause substantial deforestation and a commensurate loss of associated carbon stocks largely due to displacement of food production from other areas. Deforestation would occur either within the EU if European forests were not protected, or in other parts of the world arising from indirect land use change if European forests were protected. The net carbon benefit of bioenergy production is largely negative, or uncertain, even under the most optimistic levels of fossil fuel replacement, and will not offset initial carbon losses over the coming 50 yr. The growth of intensive agriculture required to satisfy the demand for bioenergy and food will have negative impacts on crucial ecosystem services. Overall, we identify substantial disadvantages to increasing bioenergy production relative to freeing land for natural succession. At best, large-scale bioenergy production is likely to be irrelevant to time-sensitive climate targets.</w:t>
      </w:r>
    </w:p>
    <w:p>
      <w:pPr/>
      <w:r>
        <w:rPr>
          <w:b/>
        </w:rPr>
        <w:t>POSSIBLE 2023:</w:t>
      </w:r>
      <w:r>
        <w:t xml:space="preserve"> Impact of Digital Transformation on the Spatial Organization of Nonfood Retail in a Russian City — https://doi.org/10.1134/s2079970523700910</w:t>
      </w:r>
    </w:p>
    <w:p>
      <w:pPr/>
      <w:r>
        <w:rPr>
          <w:b/>
        </w:rPr>
        <w:t>Shared claim-specific concepts:</w:t>
      </w:r>
      <w:r>
        <w:t xml:space="preserve"> nonfood, abstract; EU scope not established. This is a provisional connection, not an outcome finding.</w:t>
      </w:r>
    </w:p>
    <w:p>
      <w:pPr>
        <w:pStyle w:val="SourceNote"/>
      </w:pPr>
      <w:r>
        <w:rPr>
          <w:b/>
        </w:rPr>
        <w:t>Available abstract (not full text):</w:t>
      </w:r>
      <w:r>
        <w:t xml:space="preserve"> Abstract — The objective of this study is to reveal what has changed under the influence of digital transformation in the “physical” spatial structure of the retail/purchase process in connection with the emergence of a choice between online and offline “spaces,” or environments, as well as how e-commerce has changed the “physical” spatial principles of organizing nonfood retail in a Russian city with a case study of St. Petersburg. The principles of placement of new e-commerce facilities were analyzed by comparing various shopping models and spatiotemporal systems formed by them, including specific objects (warehouses-stores, warehouses-distributors, order pickup points and parcel terminals), features of interaction between retail actors and transport and logistics flows in the city. Two opposing trends in the placement of new types of retail facilities are described: towards the transfer of the trading function to non-trading premises and the transfer of the non-trading retail function to retail premises. They create spatial competition with traditional retail as well as a new hierarchical competition with office and warehouse business types. The trend towards retail infrastructure for durable goods to be within walking distance means the rollout of a new type of competition for locations: with FMCG sellers. The fact that in delivery the logistics of the “last mile” passes fr</w:t>
      </w:r>
    </w:p>
    <w:p>
      <w:pPr/>
      <w:r>
        <w:rPr>
          <w:b/>
        </w:rPr>
        <w:t>POSSIBLE 2023:</w:t>
      </w:r>
      <w:r>
        <w:t xml:space="preserve"> Optimization of Media Strategy via Marketing Mix Modeling in Retailing — https://doi.org/10.15388/ekon.2023.102.1.1</w:t>
      </w:r>
    </w:p>
    <w:p>
      <w:pPr/>
      <w:r>
        <w:rPr>
          <w:b/>
        </w:rPr>
        <w:t>Shared claim-specific concepts:</w:t>
      </w:r>
      <w:r>
        <w:t xml:space="preserve"> nonfood, developed, based; EU scope not established. This is a provisional connection, not an outcome finding.</w:t>
      </w:r>
    </w:p>
    <w:p>
      <w:pPr>
        <w:pStyle w:val="SourceNote"/>
      </w:pPr>
      <w:r>
        <w:rPr>
          <w:b/>
        </w:rPr>
        <w:t>Available abstract (not full text):</w:t>
      </w:r>
      <w:r>
        <w:t xml:space="preserve"> The paper describes the marketing mix modeling results for companies in nonfood retailing. The main objectives of the research are to demonstrate the viable way of making effective recommendations for optimizing the media strategy by modeling offline and online traffic to the stores based on econometric modeling and to develop a decision support system, which enhance the effective growth of business KPIs and an effective decision-making process. Econometric modeling, deeper data analysis, decision support were implemented on the data of one of the main retailers in Ukraine in a period before the full-scale Russian invasion. Estimating the impact of different communication channels on business results made basis for ROI calculations and optimization of media investments allocation among media channels by periods, video durations, type of advertising and with optimal weekly media pressure. ROMI calculation was based on the results of regression modeling, which estimate the level of traffic and sales generated by each media channel. The information-analytical decision support system based on an interactive dashboard has been developed for improvement of day-by-day business planning and management. The developed framework of regional strategy selection facilitates to the formation of a strategic vision on a regional scale and improves the quality of a regional media strategy.</w:t>
      </w:r>
    </w:p>
    <w:p>
      <w:pPr/>
      <w:r>
        <w:rPr>
          <w:b/>
        </w:rPr>
        <w:t>POSSIBLE 2022:</w:t>
      </w:r>
      <w:r>
        <w:t xml:space="preserve"> A review of product safety regulations in the European Union — https://doi.org/10.1365/s43439-022-00057-8</w:t>
      </w:r>
    </w:p>
    <w:p>
      <w:pPr/>
      <w:r>
        <w:rPr>
          <w:b/>
        </w:rPr>
        <w:t>Shared claim-specific concepts:</w:t>
      </w:r>
      <w:r>
        <w:t xml:space="preserve"> nonfood, technologies, union, based; EU scope visible. This is a provisional connection, not an outcome finding.</w:t>
      </w:r>
    </w:p>
    <w:p>
      <w:pPr>
        <w:pStyle w:val="SourceNote"/>
      </w:pPr>
      <w:r>
        <w:rPr>
          <w:b/>
        </w:rPr>
        <w:t>Available abstract (not full text):</w:t>
      </w:r>
      <w:r>
        <w:t xml:space="preserve"> Product safety has been a concern in Europe ever since the early 1960s. Despite the long and relatively stable historical lineage of product safety regulations, new technologies, changes in the world economy, and other major transformations have in recent years again brought product safety to the forefront of policy debates. As reforms are also underway, there is a motivation to review the complex safety policy framework in the European Union (EU). Thus, building on deliberative policy analysis and an interpretative literature review, this paper reviews the safety policy for nonfood consumer products in the EU. The review covers the historical background and the main laws, administration and enforcement, standardization and harmonization, laws enacted for specific products, notifications delivered by national safety authorities, recalls of dangerous products, and the liability of these. Based on the review and analysis of these themes and the associated literature, some current policy challenges are further discussed.</w:t>
      </w:r>
    </w:p>
    <w:p>
      <w:pPr/>
      <w:r>
        <w:rPr>
          <w:b/>
        </w:rPr>
        <w:t>POSSIBLE 2022:</w:t>
      </w:r>
      <w:r>
        <w:t xml:space="preserve"> Diversification, concentration and renewability of the energy supply in the European Union — https://doi.org/10.1016/j.energy.2022.124097</w:t>
      </w:r>
    </w:p>
    <w:p>
      <w:pPr/>
      <w:r>
        <w:rPr>
          <w:b/>
        </w:rPr>
        <w:t>Shared claim-specific concepts:</w:t>
      </w:r>
      <w:r>
        <w:t xml:space="preserve"> show, present, renewable, fuel, union; EU scope visible. This is a provisional connection, not an outcome finding.</w:t>
      </w:r>
    </w:p>
    <w:p>
      <w:pPr>
        <w:pStyle w:val="SourceNote"/>
      </w:pPr>
      <w:r>
        <w:rPr>
          <w:b/>
        </w:rPr>
        <w:t>Available abstract (not full text):</w:t>
      </w:r>
      <w:r>
        <w:t xml:space="preserve"> Energy security assessment quantifies the energy supply to a population and the likelihood, or risk, of an energy disruption or shortage and represents an important aspect of national security, economic stability and prosperity. The quantification of the state of energy supply is context-dependent and involves multiple perspectives: infrastructural, technological, environmental, market, social and geopolitical. Among all the different and relevant aspects involved, diversity and dependence of the energy fuel mix are two of the main energy security dimensions. The present paper investigates the diversification of the energy supply in Europe, by analysing import dependence, market concentration and renewable energy resource deployment in the European Union over the last decade. The analysis utilises a set of indicators aimed at measuring the fuel mix diversity, market concentration, geopolitical stability, renewable energy share and stochasticity - both at single country and at aggregated European levels. Results show a stable evolution of the diversity of the fuel mix and a relatively low market concentration of the period examined. However, the import dependency reduces the energy security by approximately 30% due to the high proportion of imports from a limited number of countries. Moreover, an increasing trend in renewable electricity production share is evident over the last</w:t>
      </w:r>
    </w:p>
    <w:p>
      <w:pPr/>
      <w:r>
        <w:rPr>
          <w:b/>
        </w:rPr>
        <w:t>POSSIBLE 2022:</w:t>
      </w:r>
      <w:r>
        <w:t xml:space="preserve"> A Review on Supply Costs and Prices of Residual Biomass in Techno-Economic Models for Europe — https://doi.org/10.3390/su14127473</w:t>
      </w:r>
    </w:p>
    <w:p>
      <w:pPr/>
      <w:r>
        <w:rPr>
          <w:b/>
        </w:rPr>
        <w:t>Shared claim-specific concepts:</w:t>
      </w:r>
      <w:r>
        <w:t xml:space="preserve"> show, provided, based; EU scope visible. This is a provisional connection, not an outcome finding.</w:t>
      </w:r>
    </w:p>
    <w:p>
      <w:pPr>
        <w:pStyle w:val="SourceNote"/>
      </w:pPr>
      <w:r>
        <w:rPr>
          <w:b/>
        </w:rPr>
        <w:t>Available abstract (not full text):</w:t>
      </w:r>
      <w:r>
        <w:t xml:space="preserve"> This review paper aims to investigate the supply costs and prices for biogenic residues, wastes and by-products for Europe that are used as key economic parameters for techno-economic analyses in the relevant literature. The scope of the paper is to show: (i) which information on costs and prices is used in techno-economic models; (ii) which sources these monetary values are based on; and (iii) whether these values are able to be compared and classified. The methodology employed in this review paper is a systematic evaluation of the supply costs and prices for residual biomass used as the basis for techno-economic analyses in the literature. Three evaluation criteria (COST TYPE, TIME PERIOD and COST SCOPE) are used to operationalise the scope of the delivery, the time frame and the spatial resolution of the monetary values. The pricing and cost variables UNIT and BIOMASS are also studied. The results show that the supply costs and pricing differ in terms of the units used, the scope of the delivery and the spatial scale, making it difficult to compare individual studies or transfer the findings to other use cases. The costs and pricing examined range from 0.00 EUR/Mg (dm) for “bio-waste from private households” to a regional value of 1097.02 EUR/Mg (dm) for “woody biomass from vineyards”. They are rarely based on cost calculations or price analyses over a period of several year</w:t>
      </w:r>
    </w:p>
    <w:p>
      <w:pPr/>
      <w:r>
        <w:rPr>
          <w:b/>
        </w:rPr>
        <w:t>POSSIBLE 2021:</w:t>
      </w:r>
      <w:r>
        <w:t xml:space="preserve"> An integrated life cycle and water footprint assessment of nonfood crops based bioenergy production — https://doi.org/10.1038/s41598-021-83061-y</w:t>
      </w:r>
    </w:p>
    <w:p>
      <w:pPr/>
      <w:r>
        <w:rPr>
          <w:b/>
        </w:rPr>
        <w:t>Shared claim-specific concepts:</w:t>
      </w:r>
      <w:r>
        <w:t xml:space="preserve"> nonfood, technologies, based; EU scope not established. This is a provisional connection, not an outcome finding.</w:t>
      </w:r>
    </w:p>
    <w:p>
      <w:pPr>
        <w:pStyle w:val="SourceNote"/>
      </w:pPr>
      <w:r>
        <w:rPr>
          <w:b/>
        </w:rPr>
        <w:t>Available abstract (not full text):</w:t>
      </w:r>
      <w:r>
        <w:t xml:space="preserve"> Biomass gasification, especially distribution to power generation, is considered as a promising way to tackle global energy and environmental challenges. However, previous researches on integrated analysis of the greenhouse gases (GHG) abatement potentials associated with biomass electrification are sparse and few have taken the freshwater utilization into account within a coherent framework, though both energy and water scarcity are lying in the central concerns in China's environmental policy. This study employs a Life cycle assessment (LCA) model to analyse the actual performance combined with water footprint (WF) assessment methods. The inextricable trade-offs between three representative energy-producing technologies are explored based on three categories of non-food crops (maize, sorghum and hybrid pennisetum) cultivated in marginal arable land. WF results demonstrate that the Hybrid pennisetum system has the largest impact on the water resources whereas the other two technology options exhibit the characteristics of environmental sustainability. The large variances in contribution ratio between the four sub-processes in terms of total impacts are reflected by the LCA results. The Anaerobic Digestion process is found to be the main contributor whereas the Digestate management process is shown to be able to effectively mitigate the negative environmental impacts with an ab</w:t>
      </w:r>
    </w:p>
    <w:p>
      <w:pPr>
        <w:pStyle w:val="Heading2"/>
      </w:pPr>
      <w:r>
        <w:t>770. Retirement timing in a future welfare state: a Finnish Delphi study</w:t>
      </w:r>
    </w:p>
    <w:p>
      <w:pPr>
        <w:pStyle w:val="SourceNote"/>
      </w:pPr>
      <w:r>
        <w:rPr>
          <w:b/>
        </w:rPr>
        <w:t>Original source (2018):</w:t>
      </w:r>
      <w:r>
        <w:t xml:space="preserve"> https://doi.org/10.1108/ijssp-04-2018-0067</w:t>
      </w:r>
    </w:p>
    <w:p>
      <w:pPr/>
      <w:r>
        <w:t>Original wording (abstract; indexed_source_text_not_full_document_verified): Design/methodology/approach The study employs the Delphi method by interviewing anonymous experts from a variety of relevant organisations and fields in Finland, then sending them a scaled on-line questionnaire from the initial findings to elicit views on the likelihood of different scenarios influencing retirement timing over the next 20 years. Findings While the experts perceived that a raised state pension age and a removal of early retirement options will inevitably delay retirement on average, multiple scenarios were believe to hinder this trend.</w:t>
      </w:r>
    </w:p>
    <w:p>
      <w:pPr/>
      <w:r>
        <w:rPr>
          <w:b/>
        </w:rPr>
        <w:t>POSSIBLE 2026:</w:t>
      </w:r>
      <w:r>
        <w:t xml:space="preserve"> Urban cooperation for sustainable development in Europe: a co-designed methodology to foster multi-level governance — https://doi.org/10.1108/ijpsm-12-2025-0662</w:t>
      </w:r>
    </w:p>
    <w:p>
      <w:pPr/>
      <w:r>
        <w:rPr>
          <w:b/>
        </w:rPr>
        <w:t>Shared claim-specific concepts:</w:t>
      </w:r>
      <w:r>
        <w:t xml:space="preserve"> design, methodology, approach, relevant, findings; EU scope visible. This is a provisional connection, not an outcome finding.</w:t>
      </w:r>
    </w:p>
    <w:p>
      <w:pPr>
        <w:pStyle w:val="SourceNote"/>
      </w:pPr>
      <w:r>
        <w:rPr>
          <w:b/>
        </w:rPr>
        <w:t>Available abstract (not full text):</w:t>
      </w:r>
      <w:r>
        <w:t xml:space="preserve"> Purpose This paper presents and discusses the process employed to co-design and implement a participatory methodology for fostering multi-stakeholder governance within a European Interreg project, named UrbanCOOP. It aims to show how a stakeholder-oriented approach can be operationalized through co-created tools and routines that help regional and local authorities work with their stakeholders on sustainable urban cooperation. Design/methodology/approach The study adopts an action-research design within the Interreg Europe UrbanCOOP project, involving six European regions. The methodology was developed in two main phases: a co-design phase, leading to the co-construction of a stakeholder assessment template (SAT); a joint implementation phase, including progressive stakeholder mapping. Findings The methodology provides a structured process for organizing stakeholder relationships in multi-level governance. It supports continuous engagement rather than one-off consultations, serves as a legitimation tool, functions as a prioritization mechanism by clarifying which stakeholders must be involved and how and broadens the spectrum of actors considered relevant to urban policies. Research limitations/implications The study is based mainly on self-reported data from project partners and on a single Interreg Europe experience with six regions. Future research could test and adapt the m</w:t>
      </w:r>
    </w:p>
    <w:p>
      <w:pPr/>
      <w:r>
        <w:rPr>
          <w:b/>
        </w:rPr>
        <w:t>POSSIBLE 2026:</w:t>
      </w:r>
      <w:r>
        <w:t xml:space="preserve"> Fuzzy Delphi method for content validation in applied linguistics instrument design: A multi-stakeholder case study — https://doi.org/10.1016/j.rmal.2026.100321</w:t>
      </w:r>
    </w:p>
    <w:p>
      <w:pPr/>
      <w:r>
        <w:rPr>
          <w:b/>
        </w:rPr>
        <w:t>Shared claim-specific concepts:</w:t>
      </w:r>
      <w:r>
        <w:t xml:space="preserve"> design, delphi, method;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Sources of (Dis-)Identification with Europe: A Q-Methodological Approach — https://doi.org/10.1080/15283488.2026.2664567</w:t>
      </w:r>
    </w:p>
    <w:p>
      <w:pPr/>
      <w:r>
        <w:rPr>
          <w:b/>
        </w:rPr>
        <w:t>Shared claim-specific concepts:</w:t>
      </w:r>
      <w:r>
        <w:t xml:space="preserve"> approach, findings, views; EU scope visible. This is a provisional connection, not an outcome finding.</w:t>
      </w:r>
    </w:p>
    <w:p>
      <w:pPr>
        <w:pStyle w:val="SourceNote"/>
      </w:pPr>
      <w:r>
        <w:rPr>
          <w:b/>
        </w:rPr>
        <w:t>Available abstract (not full text):</w:t>
      </w:r>
      <w:r>
        <w:t xml:space="preserve"> Although attachment to Europe has been widely studied, less is known about the motivations underlying identification and disidentification. This article addresses this gap by uncovering these dynamics through an illustrative study in Germany. We argue that the meaning of “Europe” varies among individuals and different aspects of Europe have different influences on (dis-)identification. In a Q-methodological online study, 80 German participants were asked to sort different aspects of Europe according to their perceived strengthening vs. weakening influence on attachment which were complemented by post-sorting interviews. Four perspectives on European (dis-)identification were revealed: (1) Cultural–utilitarian attachment centered on travel, leisure, and cultural exchange, with criticism of EU policies (EU-opportunistic), (2) achievement-based attachment focused on economic and scientific performance, with exclusionary views on belonging (EU-centric), (3) values-driven attachment emphasizing democracy, human rights, and inclusivity, alongside critique of inequality and bureaucracy (EU-values), and (4) unity-oriented attachment stressing internal solidarity and shared values, paired with exclusionary attitudes toward outsiders (EU-unity). The findings suggest the presence of different images of Europe, in which various reasons for attachment are weighed against one another when in</w:t>
      </w:r>
    </w:p>
    <w:p>
      <w:pPr/>
      <w:r>
        <w:rPr>
          <w:b/>
        </w:rPr>
        <w:t>POSSIBLE 2025:</w:t>
      </w:r>
      <w:r>
        <w:t xml:space="preserve"> Design anthropology as a design methodology — https://doi.org/10.4324/9781003343134-15</w:t>
      </w:r>
    </w:p>
    <w:p>
      <w:pPr/>
      <w:r>
        <w:rPr>
          <w:b/>
        </w:rPr>
        <w:t>Shared claim-specific concepts:</w:t>
      </w:r>
      <w:r>
        <w:t xml:space="preserve"> design, methodology, fields; EU scope not established. This is a provisional connection, not an outcome finding.</w:t>
      </w:r>
    </w:p>
    <w:p>
      <w:pPr>
        <w:pStyle w:val="SourceNote"/>
      </w:pPr>
      <w:r>
        <w:rPr>
          <w:b/>
        </w:rPr>
        <w:t>Available abstract (not full text):</w:t>
      </w:r>
      <w:r>
        <w:t xml:space="preserve"> Anthropology, architecture, and design have in common that they observe, describe, and propose. Their orientations, as Ingold argues, are as much towards human futures as towards human pasts: these are futures, however, that are not conjured from thin air but forged in the crucible of contemporary social lives. Here, it is important to challenge conventional thinking regarding the nature of design and creativity that acknowledges the improvisatory skills and perceptual acuity of people. Learning from the successes and failures of design processes and practices requires an understanding of how people are affected and effected by the outputs of design processes and practices. As an anthropologist, my research is concerned with the affects and effects that design processes have on people who engage with products, buildings, and urban landscapes. This has been underpinned by a longer-term aim to understand how people’s sensory experience and perceptual acuity can be involved during architectural and design engineering processes and future-making practices. Central to this inquiry, I argue it is necessary to make partial connections between the movements of designing and movements of ongoing intra-action . In the fields of architectural design and design engineering, I ask what kind of forms and material practices we could imagine being made in the future based on this proposition. </w:t>
      </w:r>
    </w:p>
    <w:p>
      <w:pPr/>
      <w:r>
        <w:rPr>
          <w:b/>
        </w:rPr>
        <w:t>POSSIBLE 2025:</w:t>
      </w:r>
      <w:r>
        <w:t xml:space="preserve"> Determining design thinking elements in chemistry education: A Fuzzy Delphi method — https://doi.org/10.26850/1678-4618.eq.v50.2025.e1566</w:t>
      </w:r>
    </w:p>
    <w:p>
      <w:pPr/>
      <w:r>
        <w:rPr>
          <w:b/>
        </w:rPr>
        <w:t>Shared claim-specific concepts:</w:t>
      </w:r>
      <w:r>
        <w:t xml:space="preserve"> design, delphi, method, experts, findings; EU scope not established. This is a provisional connection, not an outcome finding.</w:t>
      </w:r>
    </w:p>
    <w:p>
      <w:pPr>
        <w:pStyle w:val="SourceNote"/>
      </w:pPr>
      <w:r>
        <w:rPr>
          <w:b/>
        </w:rPr>
        <w:t>Available abstract (not full text):</w:t>
      </w:r>
      <w:r>
        <w:t xml:space="preserve"> Creating a high-quality learning environment where students can solve real-world problems and be receptive is essential for fostering students’ innovation competencies. Using appropriate pedagogical strategies and classroom activities is a crucial aspect of Malaysian education. This article uses the Fuzzy Delphi Method (FDM) to design chemistry classroom teaching strategies based on the design thinking paradigm. This research involves 12 experts in purposive sampling to form a diverse panel encompassing expertise in Chemistry Education, Curriculum, Module Development, Research, and Innovation. Using the Fuzzy Delphi method (FDM), the data were analyzed. Four elements for exploratory constructs, two elements for construct interpretation, four elements for ideation, two elements for execution, and three elements for construct evolution met the FDM requirements, according to the findings. Its threshold value is less than 0.2, the expert consensus is less than 75%, and the average score of the fuzzy number is over 0.5. Encouraging design thinking in chemistry classes and thereby enhancing students’ innovation skills, this research unquestionably induces a paradigm shift in teaching practice.</w:t>
      </w:r>
    </w:p>
    <w:p>
      <w:pPr/>
      <w:r>
        <w:rPr>
          <w:b/>
        </w:rPr>
        <w:t>POSSIBLE 2025:</w:t>
      </w:r>
      <w:r>
        <w:t xml:space="preserve"> The impact of the European Union on graphic design — https://doi.org/10.58534/3eg54v9evz</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This study investigates the presence of the concept of Europe in the naming of Spanish companies, examining how the word “Europe” and its derivatives are represented in imagotypes, along with the accompanying graphic elements. The methodology employed is known as content analysis, applied with a quantitative approach. The research corpus sample consists of eighteen elements, which are the brand images of private educational institutions in Madrid for the year 2023, according to the website of the Ministry of Education and Vocational Training (educacion.gob.es). The results show recurring patterns in the design of brand images through the imagotypes that evoke the idea of Europe, confirming the cultural and business link between Spain and Europe.</w:t>
      </w:r>
    </w:p>
    <w:p>
      <w:pPr/>
      <w:r>
        <w:rPr>
          <w:b/>
        </w:rPr>
        <w:t>POSSIBLE 2025:</w:t>
      </w:r>
      <w:r>
        <w:t xml:space="preserve"> Exploring the future of Mobility as a Service (MaaS): A co-design approach to scenario planning in European cities — https://doi.org/10.1016/j.urbmob.2025.100133</w:t>
      </w:r>
    </w:p>
    <w:p>
      <w:pPr/>
      <w:r>
        <w:rPr>
          <w:b/>
        </w:rPr>
        <w:t>Shared claim-specific concepts:</w:t>
      </w:r>
      <w:r>
        <w:t xml:space="preserve"> methodology, approach, employs, experts; EU scope visible. This is a provisional connection, not an outcome finding.</w:t>
      </w:r>
    </w:p>
    <w:p>
      <w:pPr>
        <w:pStyle w:val="SourceNote"/>
      </w:pPr>
      <w:r>
        <w:rPr>
          <w:b/>
        </w:rPr>
        <w:t>Available abstract (not full text):</w:t>
      </w:r>
      <w:r>
        <w:t xml:space="preserve"> This article contributes to the discourse on Mobility as a Service (MaaS) by presenting four plausible scenarios for its development in Europe up to 2030. Unlike previous scenario studies, which often relied on desk research or focused on narrow contexts, this study employs a co-design methodology that involved interdisciplinary experts from both public and private sectors across Europe. Their perspectives are integrated throughout the process, from identifying key uncertainties to building the scenario narratives. This approach supports a comprehensive understanding of the challenges and opportunities shaping MaaS futures. The four resulting scenarios (i.e. Mobility Walled Garden, Open Data Power in Standby, Everyone on Their Own , and Open Ecosystem ) reflect how different configurations of market competition and API openness shape the trajectory of MaaS. While open standards and interoperability emerge as key enablers, their impact depends on the presence of supportive governance and institutional coordination. Imbalances, such as strong data frameworks without market diversity, or open competition with fragmented and poorly coordinated services, can weaken long-term system resilience. The scenario framework offers a structured lens for anticipating these tensions and guiding strategic decisions in MaaS development.</w:t>
      </w:r>
    </w:p>
    <w:p>
      <w:pPr/>
      <w:r>
        <w:rPr>
          <w:b/>
        </w:rPr>
        <w:t>POSSIBLE 2024:</w:t>
      </w:r>
      <w:r>
        <w:t xml:space="preserve"> Methodologies for the design of positive energy districts: A scoping literature review and a proposal for a new approach (PlanPED) — https://doi.org/10.1016/j.buildenv.2024.111667</w:t>
      </w:r>
    </w:p>
    <w:p>
      <w:pPr/>
      <w:r>
        <w:rPr>
          <w:b/>
        </w:rPr>
        <w:t>Shared claim-specific concepts:</w:t>
      </w:r>
      <w:r>
        <w:t xml:space="preserve"> design, approach, then; EU scope visible. This is a provisional connection, not an outcome finding.</w:t>
      </w:r>
    </w:p>
    <w:p>
      <w:pPr>
        <w:pStyle w:val="SourceNote"/>
      </w:pPr>
      <w:r>
        <w:rPr>
          <w:b/>
        </w:rPr>
        <w:t>Available abstract (not full text):</w:t>
      </w:r>
      <w:r>
        <w:t xml:space="preserve"> Cities can substantially contribute to European Green Deal targets by accelerating their transition towards smarter, more efficient, and renewable-based energy models. In that context, European cities need to increase their self-sufficiency and the resilience of their energy system especially through the promotion of district and neighbourhood scale energy projects such as positive energy districts (PEDs). Despite the increasing interest for PEDs experienced in the last years, their deployment is currently hindered by the absence of an energy planning culture and the lack of adequately skilled personnel in cities. Indeed, there is a strong need for practical tools and guidelines that support practitioners in the design and implementation of PEDs. In that context, the present paper introduces PlanPED, a framework for the conception of methodologies for PED planning, design, and implementation, to support municipalities in their energy transition. PlanPED aims at providing a multiple perspective approach based on the most important elements from existing methodologies. In that sense, the paper begins with an overview of the state of the art, leading to the identification of trends, gaps, and good practices of current research. Then, based on this analysis, the novel framework PlanPED is introduced. It consists of three interconnected workflows that, if followed, enables to know w</w:t>
      </w:r>
    </w:p>
    <w:p>
      <w:pPr/>
      <w:r>
        <w:rPr>
          <w:b/>
        </w:rPr>
        <w:t>POSSIBLE 2024:</w:t>
      </w:r>
      <w:r>
        <w:t xml:space="preserve"> A Methodology for Intercultural Design — https://doi.org/10.30682/diid8224j</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Issues concerning integration and the relations between different ethnic groups within a changing contemporary society are becoming increasingly prominent in the social and scientific debate. Design skills can be employed as a tool to systematise this multiplicity, promoting innovation that respects diversity, comparison, and interaction between people and cultures. The purpose of this paper is to provide a synthesis of a research experience, the development of a new Islamic Cultural Centre in the city of Turin (Italy), in which the intercultural design approach constitutes the founding theoretical and methodological basis for the development of the project. Starting from the analysis of experiences developed in the field of national and international research, the authors developed a methodological approach to the theme of designing to promote intercultural dialogue, furthermore establishing collaboration agreements with local authorities for the development of the Cultural Centre.</w:t>
      </w:r>
    </w:p>
    <w:p>
      <w:pPr/>
      <w:r>
        <w:rPr>
          <w:b/>
        </w:rPr>
        <w:t>POSSIBLE 2023:</w:t>
      </w:r>
      <w:r>
        <w:t xml:space="preserve"> Design displacement for lifelines at fault crossings: the code-based approach for Europe — https://doi.org/10.1007/s10518-023-01813-9</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Abstract The earthquake-resistant design of lifelines, such as pipelines, tunnels and bridges, is based on the reliable representation and estimation of the seismic loading. In the case of lifeline–fault crossings, the design fault displacement is typically derived from estimates based on fault dimensions via empirical fault scaling relations for a given “design” scenario event. This approach comes with an unknown level of safety because the fault productivity and the actual distribution of earthquake events are essentially disregarded. To overcome this challenge, a simplified approach is proposed by statistically analyzing the outcome of probabilistic fault displacement hazard analyses (PFDHAs). A selection of faults from the 2020 European Fault-Source Model is used to build the logic tree and to set the range of parameters considered in the PFDHAs. The methodology allows the (mostly conservative) approximation of the fault displacement corresponding to any given return period based on readily available data, namely fault productivity, fault mechanism, fault length, and lifeline crossing location on the fault. The proposed methodology has been proposed and adopted as an informative Annex in prEN 1998-4:2022.</w:t>
      </w:r>
    </w:p>
    <w:p>
      <w:pPr/>
      <w:r>
        <w:rPr>
          <w:b/>
        </w:rPr>
        <w:t>POSSIBLE 2023:</w:t>
      </w:r>
      <w:r>
        <w:t xml:space="preserve"> A Novel Integrated Design Methodology for Nature-Based Solutions and Soil and Water Bioengineering Interventions: The Tardio&amp;Mickovski Methodology — https://doi.org/10.3390/su15043044</w:t>
      </w:r>
    </w:p>
    <w:p>
      <w:pPr/>
      <w:r>
        <w:rPr>
          <w:b/>
        </w:rPr>
        <w:t>Shared claim-specific concepts:</w:t>
      </w:r>
      <w:r>
        <w:t xml:space="preserve"> design, methodology, approach; EU scope visible. This is a provisional connection, not an outcome finding.</w:t>
      </w:r>
    </w:p>
    <w:p>
      <w:pPr>
        <w:pStyle w:val="SourceNote"/>
      </w:pPr>
      <w:r>
        <w:rPr>
          <w:b/>
        </w:rPr>
        <w:t>Available abstract (not full text):</w:t>
      </w:r>
      <w:r>
        <w:t xml:space="preserve"> A methodology for designing nature-based solutions (NBS) and soil and water bioengineering (SWB) works is proposed which includes the main particularities of this type of intervention. The dynamic nature of NBS/SWB works, their most important changes and possible critical scenarios are reflected in the proposed methodology. A clear and practical time framework for design checks is also defined. Existing structural design routines and plant root reinforcement models are integrated into the proposed time staged scheme. Likewise, the connections with the monitoring stage and the possibilities of continuous improvement are incorporated as an essential characteristic of the approach of this type of intervention. The proposed methodology is validated by means of a practical case study example embracing the whole service life of an SWB/NBS intervention. The obtained results are in good agreement with both the accumulated experience within the European SWB sector and the existing data collected in SWB monitoring works. The proposed methodology can be readily implemented in a wide range of nature restoration projects and works.</w:t>
      </w:r>
    </w:p>
    <w:p>
      <w:pPr/>
      <w:r>
        <w:rPr>
          <w:b/>
        </w:rPr>
        <w:t>POSSIBLE 2023:</w:t>
      </w:r>
      <w:r>
        <w:t xml:space="preserve"> Methodological approach for an Atlas of architectural design in built heritage: contributions of the School of Porto — https://doi.org/10.1108/jchmsd-08-2023-0131</w:t>
      </w:r>
    </w:p>
    <w:p>
      <w:pPr/>
      <w:r>
        <w:rPr>
          <w:b/>
        </w:rPr>
        <w:t>Shared claim-specific concepts:</w:t>
      </w:r>
      <w:r>
        <w:t xml:space="preserve"> design, methodology, approach, findings; EU scope visible. This is a provisional connection, not an outcome finding.</w:t>
      </w:r>
    </w:p>
    <w:p>
      <w:pPr>
        <w:pStyle w:val="SourceNote"/>
      </w:pPr>
      <w:r>
        <w:rPr>
          <w:b/>
        </w:rPr>
        <w:t>Available abstract (not full text):</w:t>
      </w:r>
      <w:r>
        <w:t xml:space="preserve"> Purpose This research seeks to provide methodological bases for the identification, documentation and critical reflection of good practices of architectural design in built heritage. These are applied explicitly to the School of Porto architects, which express a high sense of pedagogy and community practice in this field. The methodological approach defines the selection criteria for a georeferenced inventory and the procedures for in-depth analysis of adaptive reuse strategies. Design/methodology/approach The works included in the inventory were selected according to geographical, chronological, typological, qualitative and quantitative criteria. The cases chosen for in-depth analysis have been studied along four thematic axes to dissect all the intervention processes (previous state, design/construction and final state). This approach is supported by a cross-analysis of different sources (oral, written, graphic) and using drawing as a fundamental research tool. Findings The research has collected and disseminated up to 150 works by 44 architects, providing a comprehensive portrait of heritage intervention by the School of Porto over the past decades. The selection of 22 buildings for in-depth documentation reveals a particular sensibility toward the cultural values through a case-by-case approach based in deep knowledge of the preexisting context and the introduction of conte</w:t>
      </w:r>
    </w:p>
    <w:p>
      <w:pPr>
        <w:pStyle w:val="Heading2"/>
      </w:pPr>
      <w:r>
        <w:t>771. South East Europe electricity roadmap – modelling energy transition in the electricity sectors</w:t>
      </w:r>
    </w:p>
    <w:p>
      <w:pPr>
        <w:pStyle w:val="SourceNote"/>
      </w:pPr>
      <w:r>
        <w:rPr>
          <w:b/>
        </w:rPr>
        <w:t>Original source (2018):</w:t>
      </w:r>
      <w:r>
        <w:t xml:space="preserve"> https://doi.org/10.1080/14693062.2018.1532390</w:t>
      </w:r>
    </w:p>
    <w:p>
      <w:pPr/>
      <w:r>
        <w:t>Original wording (abstract; indexed_source_text_not_full_document_verified): It also explores what are the most important system wide impacts of the high deployment of renewable energy concerning generation adequacy and security of supply.Key policy insights Energy policies in the South East Europe (SEE) region, both at the national and regional level, should focus on enabling renewable energy integration, as this will be a key component of the future energy mix.EU and Energy Community policies should be incorporated into national energy planning to ensure that SEE countries embark on the energy transition process at an early stage.Stranded costs should be carefully considered in decision-making on new fossil-fuel generation and gas network investment in order to avoid lock-in to carbon intensive technologies.If consistent decarbonization policy prevails, with a significant and persistent CO2 price signal, the role of natural gas remains transitory in the region.The SEE region offers relatively cheap decarbonization options: the power sector can reduce GHG emissions above 94% by 2050 in the modelled scenarios.</w:t>
      </w:r>
    </w:p>
    <w:p>
      <w:pPr/>
      <w:r>
        <w:rPr>
          <w:b/>
        </w:rPr>
        <w:t>POSSIBLE 2026:</w:t>
      </w:r>
      <w:r>
        <w:t xml:space="preserve"> Unveiling the environmental impact of earthquakes in Europe — https://doi.org/10.1038/s41467-025-68120-6</w:t>
      </w:r>
    </w:p>
    <w:p>
      <w:pPr/>
      <w:r>
        <w:rPr>
          <w:b/>
        </w:rPr>
        <w:t>Shared claim-specific concepts:</w:t>
      </w:r>
      <w:r>
        <w:t xml:space="preserve"> also, impacts, region; EU scope visible. This is a provisional connection, not an outcome finding.</w:t>
      </w:r>
    </w:p>
    <w:p>
      <w:pPr>
        <w:pStyle w:val="SourceNote"/>
      </w:pPr>
      <w:r>
        <w:rPr>
          <w:b/>
        </w:rPr>
        <w:t>Available abstract (not full text):</w:t>
      </w:r>
      <w:r>
        <w:t xml:space="preserve"> Abstract Environmental impact assessments in the construction sector often overlook the significant effects of natural hazards, in particular earthquakes. These destructive events pose severe sustainability challenges as they frequently require large-scale repairs and replacement for damaged buildings, demanding the production and use of substantial quantities of building materials. Here, we unveil the environmental toll of earthquakes in Europe, presenting essential environmental data on the continent’s building stock. We further generate novel seismic risk maps that quantify the embodied carbon resulting from seismic-damage repair and reconstruction of residential, commercial, and industrial buildings, considering all plausible earthquake scenarios across the region. To this end, we first develop a comprehensive database of material quantities and embodied carbon factors for a broad range of construction materials and building components. This database serves as a crucial input for a continent-wide probabilistic seismic risk model, which estimates the potential environmental impacts of future earthquakes by analysing over 3 million realistic damage scenarios, each with its own probability of occurrence. Our findings reveal that Europe’s earthquake-exposed building stock embodies nearly 13.4 billion tons of carbon dioxide equivalent (CO2e), with seismic damage alone generating</w:t>
      </w:r>
    </w:p>
    <w:p>
      <w:pPr/>
      <w:r>
        <w:rPr>
          <w:b/>
        </w:rPr>
        <w:t>POSSIBLE 2026:</w:t>
      </w:r>
      <w:r>
        <w:t xml:space="preserve"> Exploring adherence to the International Confederation of Midwives’ Essential Competencies in Europe — https://doi.org/10.18332/ejm/224435</w:t>
      </w:r>
    </w:p>
    <w:p>
      <w:pPr/>
      <w:r>
        <w:rPr>
          <w:b/>
        </w:rPr>
        <w:t>Shared claim-specific concepts:</w:t>
      </w:r>
      <w:r>
        <w:t xml:space="preserve"> key, insights, national; EU scope visible. This is a provisional connection, not an outcome finding.</w:t>
      </w:r>
    </w:p>
    <w:p>
      <w:pPr>
        <w:pStyle w:val="SourceNote"/>
      </w:pPr>
      <w:r>
        <w:rPr>
          <w:b/>
        </w:rPr>
        <w:t>Available abstract (not full text):</w:t>
      </w:r>
      <w:r>
        <w:t xml:space="preserve"> INTRODUCTION: Midwives play a critical role in improving maternal and neonatal outcomes, with midwifery-led care proven to reduce unnecessary interventions and empower women. Yet, across Europe, systemic and cultural barriers continue to hinder midwives' ability to fully adhere to global standards such as the International Confederation of Midwives (ICM) essential competencies. METHODS: A qualitative study captured the perspectives of ten midwives from five European countries: UK, Germany, Belgium, Bulgaria, and Italy. Purposive sampling captured diverse representation from midwives working within national regulatory frameworks and practicing independently. Semi-structured interviews provided rich insights into essential competencies adherence, with thematic analysis revealing key trends. RESULTS: Participants identified shared challenges, including societal undervaluation of the midwifery profession, workforce strain, and restrictive legislations, alongside regional differences including governance barriers and lack of regulation of out-of-hospital births. Benefits to adherence to ICM competencies included enhanced autonomy and opportunities for international collaboration. Overarching themes were structural and cultural as external dynamics, and professional as internal dynamics. The former included medicalization, subordinate role of midwives, and regulatory barriers, wherea</w:t>
      </w:r>
    </w:p>
    <w:p>
      <w:pPr/>
      <w:r>
        <w:rPr>
          <w:b/>
        </w:rPr>
        <w:t>POSSIBLE 2025:</w:t>
      </w:r>
      <w:r>
        <w:t xml:space="preserve"> Challenges in the micropropagation of economically important fruit species in Europe — https://doi.org/10.1007/s11240-025-03165-5</w:t>
      </w:r>
    </w:p>
    <w:p>
      <w:pPr/>
      <w:r>
        <w:rPr>
          <w:b/>
        </w:rPr>
        <w:t>Shared claim-specific concepts:</w:t>
      </w:r>
      <w:r>
        <w:t xml:space="preserve"> also, important, high; EU scope visible. This is a provisional connection, not an outcome finding.</w:t>
      </w:r>
    </w:p>
    <w:p>
      <w:pPr>
        <w:pStyle w:val="SourceNote"/>
      </w:pPr>
      <w:r>
        <w:rPr>
          <w:b/>
        </w:rPr>
        <w:t>Available abstract (not full text):</w:t>
      </w:r>
      <w:r>
        <w:t xml:space="preserve"> Commercial micropropagation plays a crucial role in increasing the production of many economically important fruit crops worldwide, including Europe. The focus has been on many woody horticultural species, such as stone and pome fruits, berries, nuts, and palms. This paper presents an updated overview of the European commercial micropropagation landscape, highlighting the countries currently operating in this sector, crop targets, and the distribution of micropropagation companies based on recent survey data. In Europe and the broader Mediterranean basin, Italy, Spain, Türkiye, and Germany emerge as the leading contributors to the large-scale in vitro production of woody fruit species, based on the number of operating commercial companies and efforts to adopt new technology. Despite this progress, several challenges limit the scalability and sustainability of in vitro propagation systems, and their expansion in underrepresented countries. These main issues include species recalcitrance, high labour and infrastructure costs, further improvement of stock maintenance capacity, logistical issues in plantlet shipment, and barriers related to intellectual property rights. To address these challenges, this paper discusses solutions such as utilizing automation and robotics, exploring new compounds to enhance micropropagation rates, and using European funding opportunities. Furthermore</w:t>
      </w:r>
    </w:p>
    <w:p>
      <w:pPr/>
      <w:r>
        <w:rPr>
          <w:b/>
        </w:rPr>
        <w:t>POSSIBLE 2024:</w:t>
      </w:r>
      <w:r>
        <w:t xml:space="preserve"> Exploring the joint probability of precipitation and soil moisture over Europe using copulas — https://doi.org/10.5194/hess-28-103-2024</w:t>
      </w:r>
    </w:p>
    <w:p>
      <w:pPr/>
      <w:r>
        <w:rPr>
          <w:b/>
        </w:rPr>
        <w:t>Shared claim-specific concepts:</w:t>
      </w:r>
      <w:r>
        <w:t xml:space="preserve"> also, high, insights, both; EU scope visible. This is a provisional connection, not an outcome finding.</w:t>
      </w:r>
    </w:p>
    <w:p>
      <w:pPr>
        <w:pStyle w:val="SourceNote"/>
      </w:pPr>
      <w:r>
        <w:rPr>
          <w:b/>
        </w:rPr>
        <w:t>Available abstract (not full text):</w:t>
      </w:r>
      <w:r>
        <w:t xml:space="preserve"> Abstract. The joint probability of precipitation and soil moisture is here investigated over Europe with the goal to extrapolated meaningful insights on the potential joint use of these variables for the detection of agricultural droughts within a probabilistic modeling framework. The use of copulas is explored as a parametric approach often used in hydrological studies for the analysis of bivariate distributions. The analysis is performed for the period 1996–2020 on the ERA5 precipitation and LISFLOOD soil moisture datasets, both available as part of the Copernicus European Drought Observatory. The results show an overall good correlation between the empirical frequency series derived from the two datasets (Kendall’s τ = 0.42±0.1), but also clear spatial patterns in the tail-dependence derived with both non-parametric and parametric approaches. About half of the domain shows symmetric tail-dependences, well reproduced by the Student-t copula, whereas the rest of the domain is almost equally split between low and high tail-dependences (modeled with the Gumbel family of copulas). These spatial patterns are reasonably reproduced by a random forest classifier, suggesting that this outcome is not driven by chance. This study stresses how a joint use of precipitation and soil moisture for agriculture drought characterization may be more beneficial in areas with strong low tail-depen</w:t>
      </w:r>
    </w:p>
    <w:p>
      <w:pPr/>
      <w:r>
        <w:rPr>
          <w:b/>
        </w:rPr>
        <w:t>POSSIBLE 2024:</w:t>
      </w:r>
      <w:r>
        <w:t xml:space="preserve"> Exploring Health Impact Assessment in Europe — https://doi.org/10.2427/5878</w:t>
      </w:r>
    </w:p>
    <w:p>
      <w:pPr/>
      <w:r>
        <w:rPr>
          <w:b/>
        </w:rPr>
        <w:t>Shared claim-specific concepts:</w:t>
      </w:r>
      <w:r>
        <w:t xml:space="preserve"> wide, impacts, key; EU scope visible. This is a provisional connection, not an outcome finding.</w:t>
      </w:r>
    </w:p>
    <w:p>
      <w:pPr>
        <w:pStyle w:val="SourceNote"/>
      </w:pPr>
      <w:r>
        <w:rPr>
          <w:b/>
        </w:rPr>
        <w:t>Available abstract (not full text):</w:t>
      </w:r>
      <w:r>
        <w:t xml:space="preserve"> Background: Health impact assessment (HIA) prospectively judges the potential health impacts of pending decisions and feeds the assessment back into the decision making process. HIA is considered as a key tool for intersectoral collaboration. This article presents selected results of a mapping exercise on HIA in Europe. The mapping exercise is complemented by the presentation of a conceptual framework on the effectiveness of HIA and illustrative examples. Method: Two methodologies are employed in this article: First, the use of HIA across Europe is based on a survey conducted by 21 teams in 19 countries. A semi standardized questionnaire was employed, using a wide variety of sources. Second, for the discussion on the effectiveness of HIA, a conceptual framework using four types of effectiveness was employed. Results: HIA is a common practice only in a handful of European countries. In most of Europe, HIA is at an early developmental stage. The mapping exercise, however, provides evidence that HIA can work across all sectors and at all political level, although there is currently a focus on the local level. HIA is conducted in different countries by different sets of actors and organizations, reflecting the existing setup. The evidence on the effectiveness of HIA is still inconclusive. However, single case studies and upcoming evidence suggests that HIA has the capacity to infor</w:t>
      </w:r>
    </w:p>
    <w:p>
      <w:pPr/>
      <w:r>
        <w:rPr>
          <w:b/>
        </w:rPr>
        <w:t>POSSIBLE 2024:</w:t>
      </w:r>
      <w:r>
        <w:t xml:space="preserve"> Wide challenges encountered in refugees’ education in Europe — https://doi.org/10.35629/8028-13092429</w:t>
      </w:r>
    </w:p>
    <w:p>
      <w:pPr/>
      <w:r>
        <w:rPr>
          <w:b/>
        </w:rPr>
        <w:t>Shared claim-specific concepts:</w:t>
      </w:r>
      <w:r>
        <w:t xml:space="preserve"> also, explores, wide, policies; EU scope visible. This is a provisional connection, not an outcome finding.</w:t>
      </w:r>
    </w:p>
    <w:p>
      <w:pPr>
        <w:pStyle w:val="SourceNote"/>
      </w:pPr>
      <w:r>
        <w:rPr>
          <w:b/>
        </w:rPr>
        <w:t>Available abstract (not full text):</w:t>
      </w:r>
      <w:r>
        <w:t xml:space="preserve"> This research paper explores the different obstacles faced by refugees in accessing a secondary level of education in Europe. Although the EU claims to have introduced in the community space a number of policies aimed at implementing equal educational opportunities, refugees face significant obstacles to their educational advancement, including integration in the host state. The challenges encountered begin with language difficulties and are compounded by inadequate educational infrastructure and potential psychological trauma. Most refugee students experience difficulties with the language of instruction, which hinders their ability to keep up with their peers. Other barriers to their educational experience include overcrowded classrooms and lack of specialized resources. In addition, bureaucracy (due to complex application processes and problems with recognition of previous qualifications) exacerbates these problems. From a psychological perspective, the trauma experienced by most refugees also affects their concentration and motivation. In this context, the research highlights the need to develop complex policy and legislative initiatives, taking into account improved language support.</w:t>
      </w:r>
    </w:p>
    <w:p>
      <w:pPr/>
      <w:r>
        <w:rPr>
          <w:b/>
        </w:rPr>
        <w:t>POSSIBLE 2023:</w:t>
      </w:r>
      <w:r>
        <w:t xml:space="preserve"> Exploring European regional trade — https://doi.org/10.82444/warw.33858340</w:t>
      </w:r>
    </w:p>
    <w:p>
      <w:pPr/>
      <w:r>
        <w:rPr>
          <w:b/>
        </w:rPr>
        <w:t>Shared claim-specific concepts:</w:t>
      </w:r>
      <w:r>
        <w:t xml:space="preserve"> also, important, national; EU scope visible. This is a provisional connection, not an outcome finding.</w:t>
      </w:r>
    </w:p>
    <w:p>
      <w:pPr>
        <w:pStyle w:val="SourceNote"/>
      </w:pPr>
      <w:r>
        <w:rPr>
          <w:b/>
        </w:rPr>
        <w:t>Available abstract (not full text):</w:t>
      </w:r>
      <w:r>
        <w:t xml:space="preserve"> We use the new dataset of trade flows across 269 European regions in 24 countries constructed in Santamaría et al. (2020) to systematically explore for the first time trade patterns within and across country borders. We focus on the differences between home trade, country trade and foreign trade. We document the following facts: (i) European regional trade has a strong home and country bias, (ii) geographic distance and national borders are important determinants of regional trade, but cannot explain the strong regional home bias and (iii) the home bias is heterogeneous across regions and seems to be driven by political regional borders. This paper also appears as CAGE Discussion paper 650</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also, system, high;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Exploring Energy Sufficiency Benefits, Limitations, Deployment, and Opportunities in Europe — https://doi.org/10.51505/ijaemr.2023.8316</w:t>
      </w:r>
    </w:p>
    <w:p>
      <w:pPr/>
      <w:r>
        <w:rPr>
          <w:b/>
        </w:rPr>
        <w:t>Shared claim-specific concepts:</w:t>
      </w:r>
      <w:r>
        <w:t xml:space="preserve"> also, deployment, energy; EU scope visible. This is a provisional connection, not an outcome finding.</w:t>
      </w:r>
    </w:p>
    <w:p>
      <w:pPr>
        <w:pStyle w:val="SourceNote"/>
      </w:pPr>
      <w:r>
        <w:rPr>
          <w:b/>
        </w:rPr>
        <w:t>Available abstract (not full text):</w:t>
      </w:r>
      <w:r>
        <w:t xml:space="preserve"> Following the industrial revolution, greenhouse gases continue to grow, and this increase degrades the ozone layer and accelerates the global warming. The climate change has considerably transformed our way of life and the way we produce, buy, transport, and use energy. To reduce the impact of the energy crisis different levers are activated such as energy efficiency, renewables energy and energy sufficiency. The aim of this article is to explore the benefits, limitation, deployment, and opportunities in Europe of energy sufficiency. The research conducted also includes real case studies on energy sufficiency. Furthermore, Covid-19 pandemic and Ukraine war have negatively impacted energy availability and costs.</w:t>
      </w:r>
    </w:p>
    <w:p>
      <w:pPr/>
      <w:r>
        <w:rPr>
          <w:b/>
        </w:rPr>
        <w:t>POSSIBLE 2023:</w:t>
      </w:r>
      <w:r>
        <w:t xml:space="preserve"> Excess mortality attributed to heat and cold: a health impact assessment study in 854 cities in Europe — https://doi.org/10.1016/s2542-5196(23)00023-2</w:t>
      </w:r>
    </w:p>
    <w:p>
      <w:pPr/>
      <w:r>
        <w:rPr>
          <w:b/>
        </w:rPr>
        <w:t>Shared claim-specific concepts:</w:t>
      </w:r>
      <w:r>
        <w:t xml:space="preserve"> policies, both, national; EU scope visible. This is a provisional connection, not an outcome finding.</w:t>
      </w:r>
    </w:p>
    <w:p>
      <w:pPr>
        <w:pStyle w:val="SourceNote"/>
      </w:pPr>
      <w:r>
        <w:rPr>
          <w:b/>
        </w:rPr>
        <w:t>Available abstract (not full text):</w:t>
      </w:r>
      <w:r>
        <w:t xml:space="preserve"> BACKGROUND: Heat and cold are established environmental risk factors for human health. However, mapping the related health burden is a difficult task due to the complexity of the associations and the differences in vulnerability and demographic distributions. In this study, we did a comprehensive mortality impact assessment due to heat and cold in European urban areas, considering geographical differences and age-specific risks. METHODS: We included urban areas across Europe between Jan 1, 2000, and Dec 12, 2019, using the Urban Audit dataset of Eurostat and adults aged 20 years and older living in these areas. Data were extracted from Eurostat, the Multi-country Multi-city Collaborative Research Network, Moderate Resolution Imaging Spectroradiometer, and Copernicus. We applied a three-stage method to estimate risks of temperature continuously across the age and space dimensions, identifying patterns of vulnerability on the basis of city-specific characteristics and demographic structures. These risks were used to derive minimum mortality temperatures and related percentiles and raw and standardised excess mortality rates for heat and cold aggregated at various geographical levels. FINDINGS: Across the 854 urban areas in Europe, we estimated an annual excess of 203 620 (empirical 95% CI 180 882-224 613) deaths attributed to cold and 20 173 (17 261-22 934) attributed to heat. Th</w:t>
      </w:r>
    </w:p>
    <w:p>
      <w:pPr/>
      <w:r>
        <w:rPr>
          <w:b/>
        </w:rPr>
        <w:t>POSSIBLE 2023:</w:t>
      </w:r>
      <w:r>
        <w:t xml:space="preserve"> HOW IMPORTANT EDUCATION IS? AN EXPLORATIVE ANALYSIS OF THE DROPOUT PHENOMENON IN EASTERN EUROPE — https://doi.org/10.47535/1991auoes32(1)005</w:t>
      </w:r>
    </w:p>
    <w:p>
      <w:pPr/>
      <w:r>
        <w:rPr>
          <w:b/>
        </w:rPr>
        <w:t>Shared claim-specific concepts:</w:t>
      </w:r>
      <w:r>
        <w:t xml:space="preserve"> also, important, system, high, policies, both; EU scope visible. This is a provisional connection, not an outcome finding.</w:t>
      </w:r>
    </w:p>
    <w:p>
      <w:pPr>
        <w:pStyle w:val="SourceNote"/>
      </w:pPr>
      <w:r>
        <w:rPr>
          <w:b/>
        </w:rPr>
        <w:t>Available abstract (not full text):</w:t>
      </w:r>
      <w:r>
        <w:t xml:space="preserve"> Early school leaving is a structural problem related to the socioeconomic environment involving aspects of local culture and customs that characterize a country. If not controlled, with the intent of hindering it, this phenomenon can generate unemployment, social exclusion, poverty, health problems and a slowdown in the country’s economic growth. Since education policies are one of the most important concerns of national governments and international organizations, the UN 2030 Agenda, containing the common ambitions of the signatory countries, proposes 17 sustainable development goals and specifically, among these, inclusive and equitable quality education. In some Eastern European countries, the percentage of young people who decide not to continue their studies is really too high, exceeding 10%. Therefore, the aim of the paper is to study the dropout phenomenon in this context. We employ a panel vector autoregressive model in first differences to test complex dynamic relationships between share of the population aged 18 to 24 not involved in any education or training (as a proxy for the dropout phenomenon), GDP per capita (as a proxy for a country’s wealth and industrial modernity), gross domestic expenditure on R&amp;D in higher education (as a proxy for a country’s effort to improve its education system), and share of people reporting crime, violence or vandalism (as a proxy fo</w:t>
      </w:r>
    </w:p>
    <w:p>
      <w:pPr/>
      <w:r>
        <w:rPr>
          <w:b/>
        </w:rPr>
        <w:t>POSSIBLE 2023:</w:t>
      </w:r>
      <w:r>
        <w:t xml:space="preserve"> Exploring pathways to 100% renewable energy in European industry — https://doi.org/10.1016/j.energy.2023.126687</w:t>
      </w:r>
    </w:p>
    <w:p>
      <w:pPr/>
      <w:r>
        <w:rPr>
          <w:b/>
        </w:rPr>
        <w:t>Shared claim-specific concepts:</w:t>
      </w:r>
      <w:r>
        <w:t xml:space="preserve"> renewable, energy, key, national;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pStyle w:val="Heading2"/>
      </w:pPr>
      <w:r>
        <w:t>772. Technology roadmapping in security and defence foresight</w:t>
      </w:r>
    </w:p>
    <w:p>
      <w:pPr>
        <w:pStyle w:val="SourceNote"/>
      </w:pPr>
      <w:r>
        <w:rPr>
          <w:b/>
        </w:rPr>
        <w:t>Original source (2018):</w:t>
      </w:r>
      <w:r>
        <w:t xml:space="preserve"> https://doi.org/10.1108/fs-12-2017-0074</w:t>
      </w:r>
    </w:p>
    <w:p>
      <w:pPr/>
      <w:r>
        <w:t>Original wording (abstract; indexed_source_text_not_full_document_verified): Design/methodology/approach The analysis is based on a content analysis of public domain Spanish Defence National Foresight Exercise, and a study directed to analyse the impact on defence technological and industrial base. Findings Foresight studies on the defence and security environment uses hybrid methodologies, but rarely involve all the stakeholders, and specially the citizens.</w:t>
      </w:r>
    </w:p>
    <w:p>
      <w:pPr/>
      <w:r>
        <w:rPr>
          <w:b/>
        </w:rPr>
        <w:t>POSSIBLE 2026:</w:t>
      </w:r>
      <w:r>
        <w:t xml:space="preserve"> Methodology of architectural brand integration in public space design — https://doi.org/10.30857/2617-0272.2026.3.3</w:t>
      </w:r>
    </w:p>
    <w:p>
      <w:pPr/>
      <w:r>
        <w:rPr>
          <w:b/>
        </w:rPr>
        <w:t>Shared claim-specific concepts:</w:t>
      </w:r>
      <w:r>
        <w:t xml:space="preserve"> design, methodology, approach, based, environment, but; EU scope not established. This is a provisional connection, not an outcome finding.</w:t>
      </w:r>
    </w:p>
    <w:p>
      <w:pPr>
        <w:pStyle w:val="SourceNote"/>
      </w:pPr>
      <w:r>
        <w:rPr>
          <w:b/>
        </w:rPr>
        <w:t>Available abstract (not full text):</w:t>
      </w:r>
      <w:r>
        <w:t xml:space="preserve"> The article examines methods of architectural interpretation of brands in commercial and public spaces. These methods are considered within a contemporary paradigm in which the interior is not only a functional environment but also an effective tool of interaction between a brand and its target user, directly influencing business performance. Based on a generalisation of local and global design practices, a typology and methodology for integrating brands into public interiors are formulated for the first time. As a result, four methods are identified. The method of direct transformation is based on the direct transfer of identity elements into space. The morphological method considers these same identity elements as form-generating components of the spatial environment. The atmospheric method focuses on creating interiors with clear emotional and stylistic references that are inherently tied to a particular brand. The scenario-based method enables visitors to understand the brand through the experience of interacting with the space. The proposed methods reveal the brand through four comprehensive aspects: graphics, form, atmosphere, and user experience. The article analyses the specific features of each method's application, considering each as a distinct approach to translating brand identity: from simple visual identification to the formation of a particular emotional respons</w:t>
      </w:r>
    </w:p>
    <w:p>
      <w:pPr/>
      <w:r>
        <w:rPr>
          <w:b/>
        </w:rPr>
        <w:t>POSSIBLE 2025:</w:t>
      </w:r>
      <w:r>
        <w:t xml:space="preserve"> NEW DESIGN METHODOLOGY APPROACH FOR DESIGNING A HYDRO-MOTOR OF RADIAL PISTONS — https://openalex.org/W7217876663</w:t>
      </w:r>
    </w:p>
    <w:p>
      <w:pPr/>
      <w:r>
        <w:rPr>
          <w:b/>
        </w:rPr>
        <w:t>Shared claim-specific concepts:</w:t>
      </w:r>
      <w:r>
        <w:t xml:space="preserve"> design, methodology, approach, technological, uses, but; EU scope not established. This is a provisional connection, not an outcome finding.</w:t>
      </w:r>
    </w:p>
    <w:p>
      <w:pPr>
        <w:pStyle w:val="SourceNote"/>
      </w:pPr>
      <w:r>
        <w:rPr>
          <w:b/>
        </w:rPr>
        <w:t>Available abstract (not full text):</w:t>
      </w:r>
      <w:r>
        <w:t xml:space="preserve"> This paper presents the work of a Doctoral Thesis on “First stage of the process of development of a hydro-motor of high torque: conceptualisation and analytic prototype” that was defended in November 2004 in Cuba. A new focus of design is discussed. It is convenient for the countries that possess a low technological capacity in industry. This new focus was nominated as "the process of development of new products guided to the available technological capacity", and their distinctive characteristic is that it uses the technological capacity contained in the products normalised to design products to satisfy social necessities, that in another way they are impossible to design for their elaboration demands. In an application of this procedure, a new type of hydro-motor of radial pistons was obtained with competitive benefits that it can be built by the countries of the third world. The objective of this paper is not to give an itemised explanation of the methodology, But showing its existence and the great utility that this it possesses</w:t>
      </w:r>
    </w:p>
    <w:p>
      <w:pPr/>
      <w:r>
        <w:rPr>
          <w:b/>
        </w:rPr>
        <w:t>POSSIBLE 2025:</w:t>
      </w:r>
      <w:r>
        <w:t xml:space="preserve"> Optimising Healthcare Integration: Design Methodology Approach to Developing an Integrated Service Delivery Model for Irish Health Service Executive's Health Regions — https://doi.org/10.5334/ijic.icic24232</w:t>
      </w:r>
    </w:p>
    <w:p>
      <w:pPr/>
      <w:r>
        <w:rPr>
          <w:b/>
        </w:rPr>
        <w:t>Shared claim-specific concepts:</w:t>
      </w:r>
      <w:r>
        <w:t xml:space="preserve"> design, methodology, approach, national, base, methodologies; EU scope visible. This is a provisional connection, not an outcome finding.</w:t>
      </w:r>
    </w:p>
    <w:p>
      <w:pPr>
        <w:pStyle w:val="SourceNote"/>
      </w:pPr>
      <w:r>
        <w:rPr>
          <w:b/>
        </w:rPr>
        <w:t>Available abstract (not full text):</w:t>
      </w:r>
      <w:r>
        <w:t xml:space="preserve"> This abstract outlines the implementation of evidenced-based design methodologies to develop an Integrated Service Delivery (ISD) model for the Irish Health Service Executive (HSE) Health Regions. The initiative is a response to the Sláintecare reform and the Health Regions Implementation Plan, aiming to establish regional and local organisational structures that support and enable integrated care provision for the population of the Republic of Ireland, including health and social care service users, providers, and communities. This initiative, aligned with co-production principles from the Health Services Change Guide and Public Service Design Principles, involves collaboration between the HSE Health Regions Programme Team, HSE Organisation Development and Design Team, and the Department of Health in Ireland. Ninety-eight individuals, comprising HSE staff, managers, partner agencies, policymakers, renowned Integrated Care experts, and patient advocacy groups, participated in a co-design methodology to evaluate high-level structural options for Integrated Service Delivery in Health Regions. The initiative aims to leverage the insights of those receiving and delivering services to inform integrated care practices. The initiative employed evidence-based design methods, primarily guided by People’s Needs Defining Change – Health Services Change Guide (2018) and national government</w:t>
      </w:r>
    </w:p>
    <w:p>
      <w:pPr/>
      <w:r>
        <w:rPr>
          <w:b/>
        </w:rPr>
        <w:t>POSSIBLE 2025:</w:t>
      </w:r>
      <w:r>
        <w:t xml:space="preserve"> Design anthropology as a design methodology — https://doi.org/10.4324/9781003343134-15</w:t>
      </w:r>
    </w:p>
    <w:p>
      <w:pPr/>
      <w:r>
        <w:rPr>
          <w:b/>
        </w:rPr>
        <w:t>Shared claim-specific concepts:</w:t>
      </w:r>
      <w:r>
        <w:t xml:space="preserve"> design, methodology, based, environment, but; EU scope not established. This is a provisional connection, not an outcome finding.</w:t>
      </w:r>
    </w:p>
    <w:p>
      <w:pPr>
        <w:pStyle w:val="SourceNote"/>
      </w:pPr>
      <w:r>
        <w:rPr>
          <w:b/>
        </w:rPr>
        <w:t>Available abstract (not full text):</w:t>
      </w:r>
      <w:r>
        <w:t xml:space="preserve"> Anthropology, architecture, and design have in common that they observe, describe, and propose. Their orientations, as Ingold argues, are as much towards human futures as towards human pasts: these are futures, however, that are not conjured from thin air but forged in the crucible of contemporary social lives. Here, it is important to challenge conventional thinking regarding the nature of design and creativity that acknowledges the improvisatory skills and perceptual acuity of people. Learning from the successes and failures of design processes and practices requires an understanding of how people are affected and effected by the outputs of design processes and practices. As an anthropologist, my research is concerned with the affects and effects that design processes have on people who engage with products, buildings, and urban landscapes. This has been underpinned by a longer-term aim to understand how people’s sensory experience and perceptual acuity can be involved during architectural and design engineering processes and future-making practices. Central to this inquiry, I argue it is necessary to make partial connections between the movements of designing and movements of ongoing intra-action . In the fields of architectural design and design engineering, I ask what kind of forms and material practices we could imagine being made in the future based on this proposition. </w:t>
      </w:r>
    </w:p>
    <w:p>
      <w:pPr/>
      <w:r>
        <w:rPr>
          <w:b/>
        </w:rPr>
        <w:t>POSSIBLE 2025:</w:t>
      </w:r>
      <w:r>
        <w:t xml:space="preserve"> Research Design, Philosophy, and Quantitative Approaches in Scientific Research Methodology — https://doi.org/10.36347/sjet.2025.v13i02.004</w:t>
      </w:r>
    </w:p>
    <w:p>
      <w:pPr/>
      <w:r>
        <w:rPr>
          <w:b/>
        </w:rPr>
        <w:t>Shared claim-specific concepts:</w:t>
      </w:r>
      <w:r>
        <w:t xml:space="preserve"> design, methodology, based, findings; EU scope not established. This is a provisional connection, not an outcome finding.</w:t>
      </w:r>
    </w:p>
    <w:p>
      <w:pPr>
        <w:pStyle w:val="SourceNote"/>
      </w:pPr>
      <w:r>
        <w:rPr>
          <w:b/>
        </w:rPr>
        <w:t>Available abstract (not full text):</w:t>
      </w:r>
      <w:r>
        <w:t xml:space="preserve"> This paper provides a comprehensive review of existing literature on research design, philosophy, and quantitative approaches in scientific research methodology. It explores the theoretical foundations that influence researchers’ choices when developing a research strategy, with particular emphasis on the alignment between research philosophy and methodological choices. By examining key philosophical paradigms such as positivism, interpretivism, and pragmatism, the paper highlights how these frameworks shape the selection of quantitative, qualitative, and mixed-methods research approaches. The Research Onion Model is utilized to demonstrate the sequential layers of research design, from philosophical stance to data collection strategy. Through a review of current research, this paper provides insights into the importance of selecting the appropriate methodology based on the research objectives, questions, and underlying theoretical perspectives. The findings suggest that understanding the interplay between philosophy and methodology is crucial for ensuring a coherent and effective research design. By synthesizing existing theoretical perspectives, this paper contributes to a deeper understanding of the methodological choices available for scientific research.</w:t>
      </w:r>
    </w:p>
    <w:p>
      <w:pPr/>
      <w:r>
        <w:rPr>
          <w:b/>
        </w:rPr>
        <w:t>POSSIBLE 2024:</w:t>
      </w:r>
      <w:r>
        <w:t xml:space="preserve"> Learning Transitions in Studying Development: Design, Methodologies/Approaches, Tools in the Digital and Hybrid Platforms — https://doi.org/10.58887/ijodel.v10i1.254</w:t>
      </w:r>
    </w:p>
    <w:p>
      <w:pPr/>
      <w:r>
        <w:rPr>
          <w:b/>
        </w:rPr>
        <w:t>Shared claim-specific concepts:</w:t>
      </w:r>
      <w:r>
        <w:t xml:space="preserve"> design, hybrid, methodologies, but; EU scope not established. This is a provisional connection, not an outcome finding.</w:t>
      </w:r>
    </w:p>
    <w:p>
      <w:pPr>
        <w:pStyle w:val="SourceNote"/>
      </w:pPr>
      <w:r>
        <w:rPr>
          <w:b/>
        </w:rPr>
        <w:t>Available abstract (not full text):</w:t>
      </w:r>
      <w:r>
        <w:t xml:space="preserve"> Post-pandemic realities paved the way for certain innovative learning approaches to address the risks associated with traditional educational settings, inefficiencies in mobility, limited access to facilities and resources, and vulnerability to disease of student and teaching population, among others. Learning interactions in digital space remain to be further explored, requiring adjustments in the design of courses, pedagogical approaches, methodologies, and tools employed. The adjustments were seen as imperative at all levels of education and across mainstream fields of studies but even more pronounced, in multidisciplinary and interdisciplinary research study areas, such as Development Studies. Development research underwent learning transitions to retain its relevance as an important academic field. The combined online and in-site learning settings still have effective and efficient modalities of studying development, as argued in prevailing literature. This paper aims to find rationality in course design and structure, given the learners’ background and academic program tracks, as well as the teaching tools and instruments necessary in a combined learning modality. The challenge is how learners can be more engaged in discussions and provide participatory feedback. Another objective of this work is to provide documented experience of the issues and challenges in hybrid plat</w:t>
      </w:r>
    </w:p>
    <w:p>
      <w:pPr/>
      <w:r>
        <w:rPr>
          <w:b/>
        </w:rPr>
        <w:t>POSSIBLE 2024:</w:t>
      </w:r>
      <w:r>
        <w:t xml:space="preserve"> Using a co-design methodological approach to optimize perioperative nursing care for older adult patients from ethnically diverse backgrounds: a study protocol — https://doi.org/10.1080/17482631.2024.2349438</w:t>
      </w:r>
    </w:p>
    <w:p>
      <w:pPr/>
      <w:r>
        <w:rPr>
          <w:b/>
        </w:rPr>
        <w:t>Shared claim-specific concepts:</w:t>
      </w:r>
      <w:r>
        <w:t xml:space="preserve"> methodology, approach, findings; EU scope not established. This is a provisional connection, not an outcome finding.</w:t>
      </w:r>
    </w:p>
    <w:p>
      <w:pPr>
        <w:pStyle w:val="SourceNote"/>
      </w:pPr>
      <w:r>
        <w:rPr>
          <w:b/>
        </w:rPr>
        <w:t>Available abstract (not full text):</w:t>
      </w:r>
      <w:r>
        <w:t xml:space="preserve"> This article outlines the use of a co-design methodological approach aimed at optimizing perioperative care experiences for ethnically diverse older adults and their family carers. The research involved three phases. In Phase 1, the foundation was established with the formation of a Core Advisory Group comprising key informants, including health consumers. This initial phase focused on forming relationships and conducting a literature review to inform subsequent stages of the research. Phase 2 progressed to data collection, where a qualitative survey on perioperative experiences was conducted. Semi-structured interviews were held with patients, their family carers, and perioperative staff. Phase 3 advanced the co-design process through a workshop involving patients, family carers, perioperative staff, and key stakeholders. Workshop participants collaborated on potential practice changes, proposing strategies for future clinical implementation. While data analysis and reporting for Phases 2 and 3 are forthcoming, the continued involvement of the Core Advisory Group ensures ongoing consensus-building on health consumer needs. This methodology article adopts a prospective stance, with findings to be presented in subsequent scholarly works. Use of this methodology will help to determine how the use of a co-design approach may impact the development of culturally responsive perioper</w:t>
      </w:r>
    </w:p>
    <w:p>
      <w:pPr/>
      <w:r>
        <w:rPr>
          <w:b/>
        </w:rPr>
        <w:t>POSSIBLE 2024:</w:t>
      </w:r>
      <w:r>
        <w:t xml:space="preserve"> A design methodology based approach for robotic gripper design — https://openalex.org/W4391710302</w:t>
      </w:r>
    </w:p>
    <w:p>
      <w:pPr/>
      <w:r>
        <w:rPr>
          <w:b/>
        </w:rPr>
        <w:t>Shared claim-specific concepts:</w:t>
      </w:r>
      <w:r>
        <w:t xml:space="preserve"> design, methodology, approach, based; EU scope not established. This is a provisional connection, not an outcome finding.</w:t>
      </w:r>
    </w:p>
    <w:p>
      <w:pPr>
        <w:pStyle w:val="SourceNote"/>
      </w:pPr>
      <w:r>
        <w:rPr>
          <w:b/>
        </w:rPr>
        <w:t>Available abstract (not full text):</w:t>
      </w:r>
      <w:r>
        <w:t xml:space="preserve"> Abstract Not Provided</w:t>
      </w:r>
    </w:p>
    <w:p>
      <w:pPr/>
      <w:r>
        <w:rPr>
          <w:b/>
        </w:rPr>
        <w:t>POSSIBLE 2024:</w:t>
      </w:r>
      <w:r>
        <w:t xml:space="preserve"> Exploring a Material-Focused Design Methodology: An Innovative Approach to Pressure Vessel Design — https://doi.org/10.3390/machines12010081</w:t>
      </w:r>
    </w:p>
    <w:p>
      <w:pPr/>
      <w:r>
        <w:rPr>
          <w:b/>
        </w:rPr>
        <w:t>Shared claim-specific concepts:</w:t>
      </w:r>
      <w:r>
        <w:t xml:space="preserve"> design, methodology, approach, based, industrial, methodologies; EU scope not established. This is a provisional connection, not an outcome finding.</w:t>
      </w:r>
    </w:p>
    <w:p>
      <w:pPr>
        <w:pStyle w:val="SourceNote"/>
      </w:pPr>
      <w:r>
        <w:rPr>
          <w:b/>
        </w:rPr>
        <w:t>Available abstract (not full text):</w:t>
      </w:r>
      <w:r>
        <w:t xml:space="preserve"> The design of components and elements comprising industrial machinery, as well as those that are part of an industrial system, has been carried out in recent years using various design methodologies. Currently, the products demanded by customers, as well as the needs of different companies, governments, and individuals, require considerations beyond traditional design, including multidisciplinary aspects such as sustainability, environmental friendliness, and circular economy. The design methodologies considered for this study are the quality function deployment (QFD) methodology, the theory of inventive problem-solving methodology, Ashby’s Materials Selection methodology, and the systematic approach methodology, which are currently the main design methodologies. These methodologies present some disadvantages, such as multidisciplinary requirements not being considered directly, the selection of materials based on standards is not well established, and obtaining technical requirements is ambiguous for the technical purposes of the design or manufacturing, and the designer’s experience in these examples is important to the design process and the development of the product. For these reasons, the traditional design methodologies are presented, next, a new design methodology is proposed and described, then a case study is performed in order to compare the proposed methodology with</w:t>
      </w:r>
    </w:p>
    <w:p>
      <w:pPr/>
      <w:r>
        <w:rPr>
          <w:b/>
        </w:rPr>
        <w:t>POSSIBLE 2024:</w:t>
      </w:r>
      <w:r>
        <w:t xml:space="preserve"> Methodology for Colour Selection with Semantic Content in Product Design — https://doi.org/10.1007/978-3-031-51623-8_64</w:t>
      </w:r>
    </w:p>
    <w:p>
      <w:pPr/>
      <w:r>
        <w:rPr>
          <w:b/>
        </w:rPr>
        <w:t>Shared claim-specific concepts:</w:t>
      </w:r>
      <w:r>
        <w:t xml:space="preserve"> design, methodology, content;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A Methodology for Intercultural Design — https://doi.org/10.30682/diid8224j</w:t>
      </w:r>
    </w:p>
    <w:p>
      <w:pPr/>
      <w:r>
        <w:rPr>
          <w:b/>
        </w:rPr>
        <w:t>Shared claim-specific concepts:</w:t>
      </w:r>
      <w:r>
        <w:t xml:space="preserve"> design, methodology, approach, national; EU scope visible. This is a provisional connection, not an outcome finding.</w:t>
      </w:r>
    </w:p>
    <w:p>
      <w:pPr>
        <w:pStyle w:val="SourceNote"/>
      </w:pPr>
      <w:r>
        <w:rPr>
          <w:b/>
        </w:rPr>
        <w:t>Available abstract (not full text):</w:t>
      </w:r>
      <w:r>
        <w:t xml:space="preserve"> Issues concerning integration and the relations between different ethnic groups within a changing contemporary society are becoming increasingly prominent in the social and scientific debate. Design skills can be employed as a tool to systematise this multiplicity, promoting innovation that respects diversity, comparison, and interaction between people and cultures. The purpose of this paper is to provide a synthesis of a research experience, the development of a new Islamic Cultural Centre in the city of Turin (Italy), in which the intercultural design approach constitutes the founding theoretical and methodological basis for the development of the project. Starting from the analysis of experiences developed in the field of national and international research, the authors developed a methodological approach to the theme of designing to promote intercultural dialogue, furthermore establishing collaboration agreements with local authorities for the development of the Cultural Centre.</w:t>
      </w:r>
    </w:p>
    <w:p>
      <w:pPr/>
      <w:r>
        <w:rPr>
          <w:b/>
        </w:rPr>
        <w:t>POSSIBLE 2024:</w:t>
      </w:r>
      <w:r>
        <w:t xml:space="preserve"> A territorial design toolbox for metropolitan public space — https://doi.org/10.4324/9781003408611-27</w:t>
      </w:r>
    </w:p>
    <w:p>
      <w:pPr/>
      <w:r>
        <w:rPr>
          <w:b/>
        </w:rPr>
        <w:t>Shared claim-specific concepts:</w:t>
      </w:r>
      <w:r>
        <w:t xml:space="preserve"> design, approach, content; EU scope not established. This is a provisional connection, not an outcome finding.</w:t>
      </w:r>
    </w:p>
    <w:p>
      <w:pPr>
        <w:pStyle w:val="SourceNote"/>
      </w:pPr>
      <w:r>
        <w:rPr>
          <w:b/>
        </w:rPr>
        <w:t>Available abstract (not full text):</w:t>
      </w:r>
      <w:r>
        <w:t xml:space="preserve"> This chapter synthesises the prospective and propositive content of MetroPublicNet&amp;s;s research. It is directly linked with the project&amp;s;s central hypothesis that a Metropolitan Public Space Network strategy could be seen as a politically and technically robust tool to address sustainable urban development challenges. For that, a methodological approach to imagine, discuss, and strategically envision such network is outlined as a territorial design toolbox. The chapter is concluded with a selection of forward-looking, design-oriented forays developed at part of MetroPublicNet&amp;s;s academic partnering in urban and landscape design studios, workshops, and curricular units.</w:t>
      </w:r>
    </w:p>
    <w:p>
      <w:pPr>
        <w:pStyle w:val="Heading2"/>
      </w:pPr>
      <w:r>
        <w:t>773. The Public Health Status and Foresight report 2014: Four normative perspectives on a healthier Netherlands in 2040</w:t>
      </w:r>
    </w:p>
    <w:p>
      <w:pPr>
        <w:pStyle w:val="SourceNote"/>
      </w:pPr>
      <w:r>
        <w:rPr>
          <w:b/>
        </w:rPr>
        <w:t>Original source (2018):</w:t>
      </w:r>
      <w:r>
        <w:t xml:space="preserve"> https://doi.org/10.1016/j.healthpol.2018.10.014</w:t>
      </w:r>
    </w:p>
    <w:p>
      <w:pPr/>
      <w:r>
        <w:t>Original wording (abstract; indexed_source_text_not_full_document_verified): We organized meetings with experts to explore how engagement and policy strategies in each scenario would affect the other three societal challenges. Possible synergies and trade-offs between the four scenarios were identified.</w:t>
      </w:r>
    </w:p>
    <w:p>
      <w:pPr/>
      <w:r>
        <w:rPr>
          <w:b/>
        </w:rPr>
        <w:t>POSSIBLE 2026:</w:t>
      </w:r>
      <w:r>
        <w:t xml:space="preserve"> European Cancer Prevention Organization on cancer screening: an expert panel position paper — https://doi.org/10.1097/cej.0000000000001025</w:t>
      </w:r>
    </w:p>
    <w:p>
      <w:pPr/>
      <w:r>
        <w:rPr>
          <w:b/>
        </w:rPr>
        <w:t>Shared claim-specific concepts:</w:t>
      </w:r>
      <w:r>
        <w:t xml:space="preserve"> organized, strategies, each, identified; EU scope visible. This is a provisional connection, not an outcome finding.</w:t>
      </w:r>
    </w:p>
    <w:p>
      <w:pPr>
        <w:pStyle w:val="SourceNote"/>
      </w:pPr>
      <w:r>
        <w:rPr>
          <w:b/>
        </w:rPr>
        <w:t>Available abstract (not full text):</w:t>
      </w:r>
      <w:r>
        <w:t xml:space="preserve"> BACKGROUND: Cancer screening is a cornerstone of cancer control in Europe yet marked disparities persist in access, implementation, and quality assurance among national or regional programs. Building on the EU Council's 2022 recommendations and the European Union's Beating Cancer Plan, the European Consensus Project (ECP) was established to provide harmonized, evidence-based recommendations for major cancer screening programs and to promote a shift toward risk-adapted, technology-enabled, and equitable prevention models. METHODS: A structured expert panel meeting was convened under the auspices of the European Cancer Prevention Organization, integrating systematic literature review and multidisciplinary discussion to formulate validated, evidence-based recommendations. For each primary cancer site (breast, lung, colo-rectum, cervix, prostate, and stomach), systematic literature reviews identified evidence on reductions in mortality, stage distribution, participation, cost-effectiveness, and organizational quality. RESULTS: The consensus reaffirmed the evidence of mortality reduction with organized breast, lung, colorectal, and cervical screening, endorsed structured risk-adapted prostate-specific antigen testing for prostate cancer, and recommended Helicobacter pylori 'screen-and-treat' strategies for gastric cancer in high-incidence regions. Insights into future perspectives o</w:t>
      </w:r>
    </w:p>
    <w:p>
      <w:pPr/>
      <w:r>
        <w:rPr>
          <w:b/>
        </w:rPr>
        <w:t>POSSIBLE 2026:</w:t>
      </w:r>
      <w:r>
        <w:t xml:space="preserve"> Costs of Academic Engagement in Organized Plastic and Reconstructive Surgery in the United States — https://doi.org/10.1055/a-2832-6764</w:t>
      </w:r>
    </w:p>
    <w:p>
      <w:pPr/>
      <w:r>
        <w:rPr>
          <w:b/>
        </w:rPr>
        <w:t>Shared claim-specific concepts:</w:t>
      </w:r>
      <w:r>
        <w:t xml:space="preserve"> organized, meetings, engagement, other, between, identified; EU scope not established. This is a provisional connection, not an outcome finding.</w:t>
      </w:r>
    </w:p>
    <w:p>
      <w:pPr>
        <w:pStyle w:val="SourceNote"/>
      </w:pPr>
      <w:r>
        <w:rPr>
          <w:b/>
        </w:rPr>
        <w:t>Available abstract (not full text):</w:t>
      </w:r>
      <w:r>
        <w:t xml:space="preserve"> Academic engagement in plastic and reconstructive surgery (PRS) has grown substantially, marked by an increasing number of professional societies, annual meetings, and peer-reviewed journals. While this growth has facilitated innovation, collaboration, and knowledge sharing, it has also introduced financial burdens. These costs may limit access to academic involvement, especially for early-career surgeons and those without institutional funding. Despite the implications these financial barriers pose for equity, academic engagement, and innovation within the field, the cumulative cost of academic involvement in PRS remains poorly quantified. A cross-sectional review was conducted to assess the financial costs of academic engagement in PRS in the United States. Between January and April 2025, data were collected from official websites of national and subspecialty PRS societies, journals, continuing medical education (CME) platforms, and board-certifying bodies. Annual dues, meeting fees, CME costs, journal subscription, publishing fees, and board-related expenses were compiled. A comparative analysis with five other surgical subspecialties was conducted. Thirty-two major PRS societies were identified. Membership dues ranged from $150 to $1,299. Meeting registration was $250 to $1,495. Journal subscription costs ranged from $44.90 to $1,518, and open-access (OA) article processing</w:t>
      </w:r>
    </w:p>
    <w:p>
      <w:pPr/>
      <w:r>
        <w:rPr>
          <w:b/>
        </w:rPr>
        <w:t>POSSIBLE 2026:</w:t>
      </w:r>
      <w:r>
        <w:t xml:space="preserve"> Challenges to Grassroots Organization Engagement with AI Policy — https://openalex.org/W7165424158</w:t>
      </w:r>
    </w:p>
    <w:p>
      <w:pPr/>
      <w:r>
        <w:rPr>
          <w:b/>
        </w:rPr>
        <w:t>Shared claim-specific concepts:</w:t>
      </w:r>
      <w:r>
        <w:t xml:space="preserve"> engagement, other, challenges; EU scope not established. This is a provisional connection, not an outcome finding.</w:t>
      </w:r>
    </w:p>
    <w:p>
      <w:pPr>
        <w:pStyle w:val="SourceNote"/>
      </w:pPr>
      <w:r>
        <w:rPr>
          <w:b/>
        </w:rPr>
        <w:t>Available abstract (not full text):</w:t>
      </w:r>
      <w:r>
        <w:t xml:space="preserve"> Public policies are being developed around the world to address privacy, economic, intellectual property, energy, and other risks that AI technologies pose. Involvement from the general public is essential to governance as an accountability and alignment mechanism. However, participating in and impacting policymaking can be challenging for sections of the public that lack extensive networks, lobbying capabilities, and other forms of power. This challenge is especially acute for marginalized communities. In this paper, we present a case study of our organization's efforts to bring participatory design (PD) principles to AI policymaking in the US. We describe our engagements with several US policy bodies, and our participatory development of AI policy for queer people. We highlight challenges with PD practice with marginalized communities, and offer suggestions to alleviate them. We conclude with actionable recommendations for policymakers and other organizers working in marginalized communities.</w:t>
      </w:r>
    </w:p>
    <w:p>
      <w:pPr/>
      <w:r>
        <w:rPr>
          <w:b/>
        </w:rPr>
        <w:t>POSSIBLE 2025:</w:t>
      </w:r>
      <w:r>
        <w:t xml:space="preserve"> Design Policy Mapping in Europe — https://openalex.org/W7215223829</w:t>
      </w:r>
    </w:p>
    <w:p>
      <w:pPr/>
      <w:r>
        <w:rPr>
          <w:b/>
        </w:rPr>
        <w:t>Shared claim-specific concepts:</w:t>
      </w:r>
      <w:r>
        <w:t xml:space="preserve"> strategies, each, other; EU scope visible. This is a provisional connection, not an outcome finding.</w:t>
      </w:r>
    </w:p>
    <w:p>
      <w:pPr>
        <w:pStyle w:val="SourceNote"/>
      </w:pPr>
      <w:r>
        <w:rPr>
          <w:b/>
        </w:rPr>
        <w:t>Available abstract (not full text):</w:t>
      </w:r>
      <w:r>
        <w:t xml:space="preserve"> This study set out to map how design features in national policy frameworks across Europe. The results of the study reveal a striking paradox. On the one hand, explicit design policies are rare: in 2025 only two countries – Latvia and Iceland – maintain government-adopted national strategies dedicated to design. This represents a marked decline from the 2010s, when European Commission initiatives such as the Innovation Union and its Action Plan for Design-driven Innovation inspired more than a dozen national and regional design policies. On the other hand, design is more visible and influential than ever. Our mapping shows that it now appears in a wide range of policy domains. Beyond its traditional home in Cultural and Creative Industries strategies, design has been taken up in innovation policies, industrial competitiveness strategies, circular economy and sustainability plans, digitalisation agendas, and built environment frameworks. In each case, design is framed differently – as a creative sector, a business capability, a sustainability lever, a public-service tool, or a means of shaping places and infrastructure.</w:t>
      </w:r>
    </w:p>
    <w:p>
      <w:pPr/>
      <w:r>
        <w:rPr>
          <w:b/>
        </w:rPr>
        <w:t>POSSIBLE 2025:</w:t>
      </w:r>
      <w:r>
        <w:t xml:space="preserve"> Polytraps in European rural mountainous regions: an expert view — https://doi.org/10.1080/09654313.2025.2473380</w:t>
      </w:r>
    </w:p>
    <w:p>
      <w:pPr/>
      <w:r>
        <w:rPr>
          <w:b/>
        </w:rPr>
        <w:t>Shared claim-specific concepts:</w:t>
      </w:r>
      <w:r>
        <w:t xml:space="preserve"> experts, engagement, challenges; EU scope visible. This is a provisional connection, not an outcome finding.</w:t>
      </w:r>
    </w:p>
    <w:p>
      <w:pPr>
        <w:pStyle w:val="SourceNote"/>
      </w:pPr>
      <w:r>
        <w:rPr>
          <w:b/>
        </w:rPr>
        <w:t>Available abstract (not full text):</w:t>
      </w:r>
      <w:r>
        <w:t xml:space="preserve"> Many territorial and development policies in the European Union recognize that rural mountainous regions suffer from enduring natural and demographic disadvantages. These regions frequently face undesirable, persistent and self-reinforcing challenges, often conceptualized as traps. Through engagement with a panel of experts on mountainous regions, we examined whether the trap concept effectively explains the development challenges in European mountainous areas. We find that the distinguishing feature of these challenges is their multidimensional interrelatedness, which can give rise to multiple, simultaneously occurring traps (e.g. rigidity traps, poverty traps, lock-in traps, and regional development traps). In effect, we find that mountainous regions experience a polytrap – a complex of concurrent traps, maladaptive processes, an absence or severe limitation of bounce-back resilience, and difficulties in achieving bounce-forward resilience, largely due to dependence on external actors and factors. This polytrap concept emphasizes the need for rural policies to acknowledge these multifaceted challenges and both enable and promote place-based approaches for revitalizing left-behind places.</w:t>
      </w:r>
    </w:p>
    <w:p>
      <w:pPr/>
      <w:r>
        <w:rPr>
          <w:b/>
        </w:rPr>
        <w:t>POSSIBLE 2024:</w:t>
      </w:r>
      <w:r>
        <w:t xml:space="preserve"> Editorial: European Optical Society Annual Meeting (EOSAM) 2023 — https://doi.org/10.1051/jeos/2024037</w:t>
      </w:r>
    </w:p>
    <w:p>
      <w:pPr/>
      <w:r>
        <w:rPr>
          <w:b/>
        </w:rPr>
        <w:t>Shared claim-specific concepts:</w:t>
      </w:r>
      <w:r>
        <w:t xml:space="preserve"> organized, meetings, experts, three, challenges, between; EU scope visible. This is a provisional connection, not an outcome finding.</w:t>
      </w:r>
    </w:p>
    <w:p>
      <w:pPr>
        <w:pStyle w:val="SourceNote"/>
      </w:pPr>
      <w:r>
        <w:rPr>
          <w:b/>
        </w:rPr>
        <w:t>Available abstract (not full text):</w:t>
      </w:r>
      <w:r>
        <w:t xml:space="preserve"> The European Optical Society Annual Meeting, EOSAM, covers all aspects of optics and photonics within several topical meetings and sessions.The 11th EOSAM was organized by EOS and SFO onsite in Dijon, France, at the Dijon Exhibition and Convention Center, 11-15 September 2023.It was attended by over 500 researchers, key leaders, students, and industry experts from over 34 different countries all over the world.The event provided a comprehensive overview of cutting-edge research in optics and photonics, from fundamental to applied, and of industrial developments through more than 420 presentations in 10 thematic sessions highlighting the most innovative and emerging research, including: silicon photonics and integrated optics, adaptive and freeform optics, biophotonics, nanophotonics, optical materials, nonlinear and quantum optics, optical frequency combs, ultrafast optics, optoelectronic nanotechnologies and microsystems, and optics applications.Four focused sessions completed the panorama: specialty optical fibers, structured light, chiroptical phenomena, machine-learning for optics and photonic computing for Artificial Intelligence (AI).This annual international congress highlighted the richness and vigor of all the optics sectors in France, Europe and the rest of the world.An industrial session dedicated to technological innovations was complemented by an exhibition area fo</w:t>
      </w:r>
    </w:p>
    <w:p>
      <w:pPr/>
      <w:r>
        <w:rPr>
          <w:b/>
        </w:rPr>
        <w:t>POSSIBLE 2024:</w:t>
      </w:r>
      <w:r>
        <w:t xml:space="preserve"> Biodiversity monitoring in Europe: User and policy needs — https://doi.org/10.1111/conl.13038</w:t>
      </w:r>
    </w:p>
    <w:p>
      <w:pPr/>
      <w:r>
        <w:rPr>
          <w:b/>
        </w:rPr>
        <w:t>Shared claim-specific concepts:</w:t>
      </w:r>
      <w:r>
        <w:t xml:space="preserve"> experts, engagement, challenges, four, identified; EU scope visible. This is a provisional connection, not an outcome finding.</w:t>
      </w:r>
    </w:p>
    <w:p>
      <w:pPr>
        <w:pStyle w:val="SourceNote"/>
      </w:pPr>
      <w:r>
        <w:rPr>
          <w:b/>
        </w:rPr>
        <w:t>Available abstract (not full text):</w:t>
      </w:r>
      <w:r>
        <w:t xml:space="preserve"> Abstract To achieve the goals of the 2030 Global Biodiversity Framework, the European Biodiversity Strategy, and the EU Green Deal, biodiversity monitoring is critical. Monitoring efforts in Europe, however, suffer from gaps and biases in taxonomy, spatial coverage, and temporal resolution, resulting in fragmented and disconnected data. To assess user and policy needs in biodiversity monitoring, we employed a four‐step user‐centered stakeholder engagement process with over 300 stakeholders including a public stakeholder workshop, online survey, interviews, and a meeting with experts from 18 EU member states, the European Commission, and the European Environment Agency. The stakeholders identified policy needs, current challenges, and potential solutions. Based on the policy and stakeholder assessment, we recommend establishing a European Biodiversity Observation Coordinating Centre to optimize existing observation efforts, harmonize data, and enhance our ability to predict and respond to key challenges related to biodiversity loss in Europe.</w:t>
      </w:r>
    </w:p>
    <w:p>
      <w:pPr/>
      <w:r>
        <w:rPr>
          <w:b/>
        </w:rPr>
        <w:t>POSSIBLE 2024:</w:t>
      </w:r>
      <w:r>
        <w:t xml:space="preserve"> Organized violence 1989–2023, and the prevalence of organized crime groups — https://doi.org/10.1177/00223433241262912</w:t>
      </w:r>
    </w:p>
    <w:p>
      <w:pPr/>
      <w:r>
        <w:rPr>
          <w:b/>
        </w:rPr>
        <w:t>Shared claim-specific concepts:</w:t>
      </w:r>
      <w:r>
        <w:t xml:space="preserve"> organized, three, between; EU scope not established. This is a provisional connection, not an outcome finding.</w:t>
      </w:r>
    </w:p>
    <w:p>
      <w:pPr>
        <w:pStyle w:val="SourceNote"/>
      </w:pPr>
      <w:r>
        <w:rPr>
          <w:b/>
        </w:rPr>
        <w:t>Available abstract (not full text):</w:t>
      </w:r>
      <w:r>
        <w:t xml:space="preserve"> Abstract This article examines trends in organized violence based on new data from the Uppsala Conflict Data Program (UCDP). In 2023, fatalities from organized violence decreased for the first time since the rapid increase observed in 2020, dropping from 310,000 in 2022 to 154,000 in 2023. Despite this decline, these figures represent some of the highest fatality rates recorded since the Rwandan genocide in 1994, surpassed only by those of 2022 and 2021. The decrease was primarily attributed to the end of the conflict in Ethiopia’s Tigray region, which accounted for about 60% of battle-related deaths in both 2022 and 2021. Despite this positive development, the number of active state-based armed conflicts increased by three in 2023, reaching the highest level ever recorded by the UCDP, totaling 59. Non-state conflicts and one-sided violence decreased in 2023 when compared to 2022, evident in both the reduction of the active conflicts/actors and the decrease in fatalities attributed to these forms of violence. However, despite this overall decrease, fatalities resulting from non-state conflicts remained at historically high levels in 2023. Analysis of non-state conflict data spanning the past decade reveals that it comprises the ten most violent years on record. Organized crime groups have predominantly fueled this escalation. Unlike rebel groups, organized crime groups typicall</w:t>
      </w:r>
    </w:p>
    <w:p>
      <w:pPr/>
      <w:r>
        <w:rPr>
          <w:b/>
        </w:rPr>
        <w:t>POSSIBLE 2023:</w:t>
      </w:r>
      <w:r>
        <w:t xml:space="preserve"> Update on the clinical use of trabecular bone score (TBS) in the management of osteoporosis: results of an expert group meeting organized by the European Society for Clinical and Economic Aspects of Osteoporosis, Osteoarthritis and Musculoskeletal Diseases (ESCEO), and the International Osteoporosis Foundation (IOF) under the auspices of WHO Collaborating Center for Epidemiology of Musculoskeletal Health and Aging — https://doi.org/10.1007/s00198-023-06817-4</w:t>
      </w:r>
    </w:p>
    <w:p>
      <w:pPr/>
      <w:r>
        <w:rPr>
          <w:b/>
        </w:rPr>
        <w:t>Shared claim-specific concepts:</w:t>
      </w:r>
      <w:r>
        <w:t xml:space="preserve"> organized, strategies, four; EU scope visible. This is a provisional connection, not an outcome finding.</w:t>
      </w:r>
    </w:p>
    <w:p>
      <w:pPr>
        <w:pStyle w:val="SourceNote"/>
      </w:pPr>
      <w:r>
        <w:rPr>
          <w:b/>
        </w:rPr>
        <w:t>Available abstract (not full text):</w:t>
      </w:r>
      <w:r>
        <w:t xml:space="preserve"> PURPOSE: Trabecular bone score (TBS) is a grey-level textural measurement acquired from dual-energy X-ray absorptiometry lumbar spine images and is a validated index of bone microarchitecture. In 2015, a Working Group of the European Society on Clinical and Economic Aspects of Osteoporosis, Osteoarthritis and Musculoskeletal Diseases (ESCEO) published a review of the TBS literature, concluding that TBS predicts hip and major osteoporotic fracture, at least partly independent of bone mineral density (BMD) and clinical risk factors. It was also concluded that TBS is potentially amenable to change as a result of pharmacological therapy. Further evidence on the utility of TBS has since accumulated in both primary and secondary osteoporosis, and the introduction of FRAX and BMD T-score adjustment for TBS has accelerated adoption. This position paper therefore presents a review of the updated scientific literature and provides expert consensus statements and corresponding operational guidelines for the use of TBS. METHODS: An Expert Working Group was convened by the ESCEO and a systematic review of the evidence undertaken, with defined search strategies for four key topics with respect to the potential use of TBS: (1) fracture prediction in men and women; (2) initiating and monitoring treatment in postmenopausal osteoporosis; (3) fracture prediction in secondary osteoporosis; and (4)</w:t>
      </w:r>
    </w:p>
    <w:p>
      <w:pPr/>
      <w:r>
        <w:rPr>
          <w:b/>
        </w:rPr>
        <w:t>POSSIBLE 2023:</w:t>
      </w:r>
      <w:r>
        <w:t xml:space="preserve"> Stakeholder engagement and decarbonization pathways: Meeting the challenges of the COVID-19 pandemic — https://doi.org/10.3389/frsus.2022.1063719</w:t>
      </w:r>
    </w:p>
    <w:p>
      <w:pPr/>
      <w:r>
        <w:rPr>
          <w:b/>
        </w:rPr>
        <w:t>Shared claim-specific concepts:</w:t>
      </w:r>
      <w:r>
        <w:t xml:space="preserve"> organized, meetings, engagement, strategies, other, challenges; EU scope not established. This is a provisional connection, not an outcome finding.</w:t>
      </w:r>
    </w:p>
    <w:p>
      <w:pPr>
        <w:pStyle w:val="SourceNote"/>
      </w:pPr>
      <w:r>
        <w:rPr>
          <w:b/>
        </w:rPr>
        <w:t>Available abstract (not full text):</w:t>
      </w:r>
      <w:r>
        <w:t xml:space="preserve"> Climate change is an extremely complex challenge characterized by its systemic nature and deep uncertainties. Thus, finding solutions requires a continuing and constructive dialogue between the research community and a wide range of stakeholders from governments, non-governmental organizations, civil society, international organizations, industry, businesses and financial institutions. The ENGAGE project ( https://www.engage-climate.org/ ) is advancing knowledge co-production through an iterative process of stakeholder engagement with two main streams: (i) stakeholder co-design and assessment of global decarbonization pathways and (ii) stakeholder dialogues on national policies and pathways. Both the global and national stakeholder processes are designed to inform multiple project activities, including: conceptualization of feasibility and assessing the feasibility of decarbonization policies and strategies; decarbonization pathway development using integrated assessment models and considering both feasibility and equity; and assessment of the relative importance of climate change impacts vis-à-vis potential co-benefits. With the start of the COVID-19 pandemic 6 months after the beginning of the project, all of the stakeholder engagement activities had to be organized as online events. Between March 2020 and April 2022, 5 online workshops were organized, two at the global level</w:t>
      </w:r>
    </w:p>
    <w:p>
      <w:pPr/>
      <w:r>
        <w:rPr>
          <w:b/>
        </w:rPr>
        <w:t>POSSIBLE 2023:</w:t>
      </w:r>
      <w:r>
        <w:t xml:space="preserve"> The External Dimension of the European Migration and Asylum Policy: the EU's Organized Hypocrisy in Cooperation with Southern Neighbor Countries — https://doi.org/10.5281/zenodo.7688211</w:t>
      </w:r>
    </w:p>
    <w:p>
      <w:pPr/>
      <w:r>
        <w:rPr>
          <w:b/>
        </w:rPr>
        <w:t>Shared claim-specific concepts:</w:t>
      </w:r>
      <w:r>
        <w:t xml:space="preserve"> organized, between, identified; EU scope visible. This is a provisional connection, not an outcome finding.</w:t>
      </w:r>
    </w:p>
    <w:p>
      <w:pPr>
        <w:pStyle w:val="SourceNote"/>
      </w:pPr>
      <w:r>
        <w:rPr>
          <w:b/>
        </w:rPr>
        <w:t>Available abstract (not full text):</w:t>
      </w:r>
      <w:r>
        <w:t xml:space="preserve"> The European Union (EU) has reacted to the migration crises of the last decade with growing externalization of migration management to neighbor countries often accused of not respecting human rights and individual liberties. Focusing on EU cooperation with Southern Neighbor Countries (SNCs), this paper investigates the recent developments in the EU’s external migration policies, demonstrating the decoupling between EU discourses and policy instruments such as mobility partnerships, readmission and visa facilitation agreements, identified by the EU as strategic tools of the European migration and asylum policy (MAP). Five SNCs have been selected, Tunisia, Morocco, Egypt, Jordan and Lebanon, to assess the extent to which the EU is delegating to neighboring countries the management of irregular flows, placing international protection at risk instead of playing the role of humanitarian actor in accordance with the ideals and principles it defends, as claimed in EU documents. The research critically analyses the EU’s cooperation with SNCs concerning migration, as codified in association agreements, action plans and mobility partnerships, and explores the incompatibility between the European MAP instruments and international protection. MAP represents a clear mismatch between EU talk and action, outlining another case of organized hypocrisy.</w:t>
      </w:r>
    </w:p>
    <w:p>
      <w:pPr/>
      <w:r>
        <w:rPr>
          <w:b/>
        </w:rPr>
        <w:t>POSSIBLE 2022:</w:t>
      </w:r>
      <w:r>
        <w:t xml:space="preserve"> Feedback from the 8th European Bioanalysis Forum Young Scientist Symposium — https://doi.org/10.4155/bio-2022-0232</w:t>
      </w:r>
    </w:p>
    <w:p>
      <w:pPr/>
      <w:r>
        <w:rPr>
          <w:b/>
        </w:rPr>
        <w:t>Shared claim-specific concepts:</w:t>
      </w:r>
      <w:r>
        <w:t xml:space="preserve"> organized, experts, challenges; EU scope visible. This is a provisional connection, not an outcome finding.</w:t>
      </w:r>
    </w:p>
    <w:p>
      <w:pPr>
        <w:pStyle w:val="SourceNote"/>
      </w:pPr>
      <w:r>
        <w:rPr>
          <w:b/>
        </w:rPr>
        <w:t>Available abstract (not full text):</w:t>
      </w:r>
      <w:r>
        <w:t xml:space="preserve"> After 2 years of COVID-19 restrictions, the 8th Young Scientist Symposium was organized again as a face-to-face meeting covering a broad array of scientific presentations. As in the previous editions, the meeting was organized by young scientists for young scientists under the umbrella of the European Bioanalysis Forum and in collaboration with academia. The traditional Science Café was again included as an interactive round table session. This year, the main focus was on the challenges of communication. New for the 8th edition was a session connecting the young scientists with more seasoned experts in an effort to bridge talent and experience. In this article, we share the feedback of the scientific sessions and the Science Café held at the symposium.</w:t>
      </w:r>
    </w:p>
    <w:p>
      <w:pPr>
        <w:pStyle w:val="Heading2"/>
      </w:pPr>
      <w:r>
        <w:t>774. The implications of demographic and economic projections on public pension spending in the European Union</w:t>
      </w:r>
    </w:p>
    <w:p>
      <w:pPr>
        <w:pStyle w:val="SourceNote"/>
      </w:pPr>
      <w:r>
        <w:rPr>
          <w:b/>
        </w:rPr>
        <w:t>Original source (2018):</w:t>
      </w:r>
      <w:r>
        <w:t xml:space="preserve"> https://doi.org/10.1080/21699763.2017.1411288</w:t>
      </w:r>
    </w:p>
    <w:p>
      <w:pPr/>
      <w:r>
        <w:t>Original wording (abstract; indexed_source_text_not_full_document_verified): This paper analyses the implications that demographic and economic projections have on public pension spending in the European Union (EU). Using some stylised facts, we study the aging trends of the population, as well as labour force and employment projections.</w:t>
      </w:r>
    </w:p>
    <w:p>
      <w:pPr/>
      <w:r>
        <w:rPr>
          <w:b/>
        </w:rPr>
        <w:t>POSSIBLE 2026:</w:t>
      </w:r>
      <w:r>
        <w:t xml:space="preserve"> Australia-European Union Free Trade Agreement negotiations conclude: implications for Australian and EU geographical indications — https://doi.org/10.1093/jiplp/jpag079</w:t>
      </w:r>
    </w:p>
    <w:p>
      <w:pPr/>
      <w:r>
        <w:rPr>
          <w:b/>
        </w:rPr>
        <w:t>Shared claim-specific concepts:</w:t>
      </w:r>
      <w:r>
        <w:t xml:space="preserve"> abstract, analyses, implications, union; EU scope visible. This is a provisional connection, not an outcome finding.</w:t>
      </w:r>
    </w:p>
    <w:p>
      <w:pPr>
        <w:pStyle w:val="SourceNote"/>
      </w:pPr>
      <w:r>
        <w:rPr>
          <w:b/>
        </w:rPr>
        <w:t>Available abstract (not full text):</w:t>
      </w:r>
      <w:r>
        <w:t xml:space="preserve"> Abstract This article analyses the recent conclusion of the Australia-European Union Free Trade Agreement and its significance for the future of geographical indications protection in Australia and the European Union. It examines how the Agreement may shape the development and harmonisation of intellectual property frameworks, particularly in relation to geographical indications regimes. It evaluates the implications of the Agreement for future intellectual policy, regulatory cooperation, and geographical indications protection strategies across both jurisdictions.</w:t>
      </w:r>
    </w:p>
    <w:p>
      <w:pPr/>
      <w:r>
        <w:rPr>
          <w:b/>
        </w:rPr>
        <w:t>POSSIBLE 2026:</w:t>
      </w:r>
      <w:r>
        <w:t xml:space="preserve"> Ageing Europe: Demographic Change, Active Ageing, and EU Legislative Strategies — https://doi.org/10.5281/zenodo.20000812</w:t>
      </w:r>
    </w:p>
    <w:p>
      <w:pPr/>
      <w:r>
        <w:rPr>
          <w:b/>
        </w:rPr>
        <w:t>Shared claim-specific concepts:</w:t>
      </w:r>
      <w:r>
        <w:t xml:space="preserve"> implications, demographic, pension, union, trends, population; EU scope visible. This is a provisional connection, not an outcome finding.</w:t>
      </w:r>
    </w:p>
    <w:p>
      <w:pPr>
        <w:pStyle w:val="SourceNote"/>
      </w:pPr>
      <w:r>
        <w:rPr>
          <w:b/>
        </w:rPr>
        <w:t>Available abstract (not full text):</w:t>
      </w:r>
      <w:r>
        <w:t xml:space="preserve"> Population ageing represents one of the most significant demographic and socio-economic challenges currently facing the European Union. Driven primarily by declining fertility rates and increasing life expectancy, this process has profound implications for labour markets, pension systems, public finances, and social cohesion. The study aims to analyse population ageing within the European Union, with a particular focus on the social position of older persons and the extent to which European Union legislation and strategic initiatives address their needs. Using a three-stage methodological approach—comprising a review of demographic theory and contemporary research, an analysis of demographic ageing trends in the EU, and an examination of selected EU legislative and strategic measures—the article explores key issues related to active ageing, equal treatment, labour market participation, and the coordination of social security systems. Special attention is devoted to anti-discrimination law, notably Council Directive 2000/78/EC, related case law of the Court of Justice of the European Union, and non-legislative initiatives such as the Green Paper on Ageing. The findings highlight both progress and persisting gaps in EU-level responses, underlining the need for more comprehensive and binding legislative action to improve the quality of life and social inclusion of older persons.</w:t>
      </w:r>
    </w:p>
    <w:p>
      <w:pPr/>
      <w:r>
        <w:rPr>
          <w:b/>
        </w:rPr>
        <w:t>POSSIBLE 2025:</w:t>
      </w:r>
      <w:r>
        <w:t xml:space="preserve"> Deprivations Rarely Come Alone. Multidimensional Poverty Dynamics in Europe — https://doi.org/10.1111/roiw.70031</w:t>
      </w:r>
    </w:p>
    <w:p>
      <w:pPr/>
      <w:r>
        <w:rPr>
          <w:b/>
        </w:rPr>
        <w:t>Shared claim-specific concepts:</w:t>
      </w:r>
      <w:r>
        <w:t xml:space="preserve"> abstract, implications, union; EU scope visible. This is a provisional connection, not an outcome finding.</w:t>
      </w:r>
    </w:p>
    <w:p>
      <w:pPr>
        <w:pStyle w:val="SourceNote"/>
      </w:pPr>
      <w:r>
        <w:rPr>
          <w:b/>
        </w:rPr>
        <w:t>Available abstract (not full text):</w:t>
      </w:r>
      <w:r>
        <w:t xml:space="preserve"> ABSTRACT This article proposes a framework to analyse micro‐level dynamics inherent to multidimensional poverty measures. Specifically, I use differences in deprivation transition probabilities between multidimensionally poor and nonpoor people, to analyse how deprivations couple over time. Advantages of this approach include that it (i) summarises relevant mechanisms, (ii) requires only short‐run panel data and (iii) is suitable for monitoring purposes. Using the European Union Statistics on Income and Living Conditions (EU‐SILC) for 20+ countries over 2016–2020, I find that deprivations tend to couple over time. Implications include that coordinated policy programmes seem critical to overcome entrenched and prevent future deprivations.</w:t>
      </w:r>
    </w:p>
    <w:p>
      <w:pPr/>
      <w:r>
        <w:rPr>
          <w:b/>
        </w:rPr>
        <w:t>POSSIBLE 2025:</w:t>
      </w:r>
      <w:r>
        <w:t xml:space="preserve"> Characterisation of the Historic Demographic Decline of the British European Polecat Population — https://doi.org/10.1111/mec.70091</w:t>
      </w:r>
    </w:p>
    <w:p>
      <w:pPr/>
      <w:r>
        <w:rPr>
          <w:b/>
        </w:rPr>
        <w:t>Shared claim-specific concepts:</w:t>
      </w:r>
      <w:r>
        <w:t xml:space="preserve"> analyses, implications, demographic, population; EU scope visible. This is a provisional connection, not an outcome finding.</w:t>
      </w:r>
    </w:p>
    <w:p>
      <w:pPr>
        <w:pStyle w:val="SourceNote"/>
      </w:pPr>
      <w:r>
        <w:rPr>
          <w:b/>
        </w:rPr>
        <w:t>Available abstract (not full text):</w:t>
      </w:r>
      <w:r>
        <w:t xml:space="preserve"> The European polecat (Mustela putorius) has a widespread distribution across many countries of mainland Europe but is documented to be declining within these ranges. In Britain, direct persecution led to a severe decline of the polecat population during the 19th century. Unlike European mainland populations, it is now recovering across much of its former British range. The genomic and conservation implications of such a severe demographic decline, followed by the current recovery, have still to be characterised in the European polecat in Britain. Here we carry out population-level whole-genome analyses of 65 polecats from Britain (Wales and England) and the European mainland. Our analyses reveal that Welsh polecats show genetic variability from both English and European polecats, while British polecats as a whole exhibit signs of genetic isolation from mainland European populations. We also reconstructed the demographic history of the Welsh polecat to quantify the magnitude of the bottleneck. Our analyses confirmed the drastic decline of the Welsh polecat's effective population size, with a severe genetic bottleneck around 30-40 generations ago (1854-894). We investigated whether whole-genome diversity reflected this demographic event and found that Welsh polecats had significantly less genetic diversity than English polecats, but not European polecats. Runs of homozygosity and</w:t>
      </w:r>
    </w:p>
    <w:p>
      <w:pPr/>
      <w:r>
        <w:rPr>
          <w:b/>
        </w:rPr>
        <w:t>POSSIBLE 2025:</w:t>
      </w:r>
      <w:r>
        <w:t xml:space="preserve"> The Demographic Causes of European Sub-National Population Declines — https://doi.org/10.1007/s10680-025-09730-0</w:t>
      </w:r>
    </w:p>
    <w:p>
      <w:pPr/>
      <w:r>
        <w:rPr>
          <w:b/>
        </w:rPr>
        <w:t>Shared claim-specific concepts:</w:t>
      </w:r>
      <w:r>
        <w:t xml:space="preserve"> analyses, demographic, population; EU scope visible. This is a provisional connection, not an outcome finding.</w:t>
      </w:r>
    </w:p>
    <w:p>
      <w:pPr>
        <w:pStyle w:val="SourceNote"/>
      </w:pPr>
      <w:r>
        <w:rPr>
          <w:b/>
        </w:rPr>
        <w:t>Available abstract (not full text):</w:t>
      </w:r>
      <w:r>
        <w:t xml:space="preserve"> Population decline is now established at the continental scale in Europe, occurring in abundance across sub-national areas and outweighing population growth. This represents an unfamiliar pathway of demographic change and is set to present unique challenges to the functioning of societies and economies. The nature of these challenges will be influenced by the demographic cause of population decline. Typically, low fertility is cited as the primary instigator, though it remains unclear of the ways in which unique interactions between fertility, mortality and migration have shaped contemporary population decline outcomes. This study empirically analyses the demographic causes of population decline in 732 sub-national areas extending across 33 European countries. Drawing on data derived from national statistics from 2000-2018, we employ a novel methodological approach consisting of decomposition, multivariate functional principal component analysis, and k-medoid clustering to identify the dominant demographic processes underpinning European depopulation. Our analysis reveals five unique signatures, encoding nuanced contributions from fertility, mortality and migration changes. Population decline is found to be a multi-causal process, with natural deficits and negative rates of net-migration both operating depopulations in most instances. We conclude that natural deficits are ubiqu</w:t>
      </w:r>
    </w:p>
    <w:p>
      <w:pPr/>
      <w:r>
        <w:rPr>
          <w:b/>
        </w:rPr>
        <w:t>POSSIBLE 2025:</w:t>
      </w:r>
      <w:r>
        <w:t xml:space="preserve"> Prevalence of Glaucoma in Europe and Projections to 2050 — https://doi.org/10.1016/j.ophtha.2025.06.002</w:t>
      </w:r>
    </w:p>
    <w:p>
      <w:pPr/>
      <w:r>
        <w:rPr>
          <w:b/>
        </w:rPr>
        <w:t>Shared claim-specific concepts:</w:t>
      </w:r>
      <w:r>
        <w:t xml:space="preserve"> analyses, implications, projections, trends, population;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r>
        <w:rPr>
          <w:b/>
        </w:rPr>
        <w:t>POSSIBLE 2025:</w:t>
      </w:r>
      <w:r>
        <w:t xml:space="preserve"> Projection in journalists’ perceptions of public opinion — https://doi.org/10.1177/14648849251346198</w:t>
      </w:r>
    </w:p>
    <w:p>
      <w:pPr/>
      <w:r>
        <w:rPr>
          <w:b/>
        </w:rPr>
        <w:t>Shared claim-specific concepts:</w:t>
      </w:r>
      <w:r>
        <w:t xml:space="preserve"> implications, well; EU scope visible. This is a provisional connection, not an outcome finding.</w:t>
      </w:r>
    </w:p>
    <w:p>
      <w:pPr>
        <w:pStyle w:val="SourceNote"/>
      </w:pPr>
      <w:r>
        <w:rPr>
          <w:b/>
        </w:rPr>
        <w:t>Available abstract (not full text):</w:t>
      </w:r>
      <w:r>
        <w:t xml:space="preserve"> Journalists’ perceptions of public opinion influence their reporting. Yet, the factors driving these public opinion perceptions are not well understood. This study examines one such potential factor, namely the impact of journalists’ own policy opinions on their estimations of public opinion. Concretely, we identify which journalists are more susceptible to such so-called social projection . Moreover, we investigate which factors moderate the relationship between own opinion and perceived public opinion. Drawing on unique survey data from political journalists in Belgium, the Netherlands, and Switzerland, we demonstrate that journalists’ own policy opinions are indeed correlated with their public opinion estimations. Moreover, we find that journalists whose political opinions tend to the right are more likely to perceive public opinion in line with their own opinion. Finally, our findings indicate that journalists project less when estimating public opinion on policies within their news beats, and they project less when they perceive public opinion on a policy issue as ambiguous. We discuss the implications of our findings for journalism as a profession.</w:t>
      </w:r>
    </w:p>
    <w:p>
      <w:pPr/>
      <w:r>
        <w:rPr>
          <w:b/>
        </w:rPr>
        <w:t>POSSIBLE 2025:</w:t>
      </w:r>
      <w:r>
        <w:t xml:space="preserve"> Projections of Public Spending on Pharmaceuticals: A Review of Methods — https://doi.org/10.1007/s40273-024-01465-w</w:t>
      </w:r>
    </w:p>
    <w:p>
      <w:pPr/>
      <w:r>
        <w:rPr>
          <w:b/>
        </w:rPr>
        <w:t>Shared claim-specific concepts:</w:t>
      </w:r>
      <w:r>
        <w:t xml:space="preserve"> projections, spending, union, trends; EU scope visible. This is a provisional connection, not an outcome finding.</w:t>
      </w:r>
    </w:p>
    <w:p>
      <w:pPr>
        <w:pStyle w:val="SourceNote"/>
      </w:pPr>
      <w:r>
        <w:rPr>
          <w:b/>
        </w:rPr>
        <w:t>Available abstract (not full text):</w:t>
      </w:r>
      <w:r>
        <w:t xml:space="preserve"> BACKGROUND: Forecasting future public pharmaceutical expenditure is a challenge for healthcare payers, particularly owing to the unpredictability of new market introductions and their economic impact. No best-practice forecasting methods have been established so far. The literature distinguishes between the top-down approach, based on historical trends, and the bottom-up approach, using a combination of historical and horizon scanning data. The objective of this review is to describe the methods for projections of pharmaceutical expenditure that apply the "bottom-up" approach and to synthesize the knowledge of their predictive accuracy. METHODS: Projections of public pharmaceutical expenditure applicable to Western economies including a comprehensive method description and published 2000-2024 were searched in scientific databases (MEDLINE, EMBASE, and EconLit) and in gray literature (websites of international health organizations and national healthcare authorities). The data sources, assumptions about the future market dynamics, analytical approaches, and the projection results are summarized. RESULTS: Twenty-four out of 3492 screened publications were included, associated with nine expenditure projection models. Four models were developed for all reimbursable drugs in the USA, the UK, the Stockholm region (Sweden), and seven European Union (EU) countries: France, Germany, Gre</w:t>
      </w:r>
    </w:p>
    <w:p>
      <w:pPr/>
      <w:r>
        <w:rPr>
          <w:b/>
        </w:rPr>
        <w:t>POSSIBLE 2024:</w:t>
      </w:r>
      <w:r>
        <w:t xml:space="preserve"> Cross‐border dimensions of Arctic climate change impacts and implications for Europe — https://doi.org/10.1002/wcc.905</w:t>
      </w:r>
    </w:p>
    <w:p>
      <w:pPr/>
      <w:r>
        <w:rPr>
          <w:b/>
        </w:rPr>
        <w:t>Shared claim-specific concepts:</w:t>
      </w:r>
      <w:r>
        <w:t xml:space="preserve"> abstract, implications, well;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China’s Trade Surplus – Implications for the World and for Europe — https://doi.org/10.2478/ie-2024-0022</w:t>
      </w:r>
    </w:p>
    <w:p>
      <w:pPr/>
      <w:r>
        <w:rPr>
          <w:b/>
        </w:rPr>
        <w:t>Shared claim-specific concepts:</w:t>
      </w:r>
      <w:r>
        <w:t xml:space="preserve"> abstract, analyses, implications, employment; EU scope visible. This is a provisional connection, not an outcome finding.</w:t>
      </w:r>
    </w:p>
    <w:p>
      <w:pPr>
        <w:pStyle w:val="SourceNote"/>
      </w:pPr>
      <w:r>
        <w:rPr>
          <w:b/>
        </w:rPr>
        <w:t>Available abstract (not full text):</w:t>
      </w:r>
      <w:r>
        <w:t xml:space="preserve"> Abstract China’s merchandise trade surplus has reached an all-time high and is likely to rise further. A key driver appears to be a policy push to further bolster Chinese domestic manufacturing production, implying the danger of significant overcapacities. China’s imbalance between domestic production and consumption implies that China draws on the domestic demand of other countries to sustain its economic growth. It does so at the potential expense of production and employment of those trading partners with high trade deficits with China. As this constellation could be the source of growing trade conflicts, this article analyses China’s growing trade surplus in several dimensions with a focus on Chinas trade relation to the EU.</w:t>
      </w:r>
    </w:p>
    <w:p>
      <w:pPr/>
      <w:r>
        <w:rPr>
          <w:b/>
        </w:rPr>
        <w:t>POSSIBLE 2024:</w:t>
      </w:r>
      <w:r>
        <w:t xml:space="preserve"> Diet Impact Assessment model: an interactive tool for analysing the health, environmental and affordability implications of diets — https://doi.org/10.1093/eurpub/ckae144.032</w:t>
      </w:r>
    </w:p>
    <w:p>
      <w:pPr/>
      <w:r>
        <w:rPr>
          <w:b/>
        </w:rPr>
        <w:t>Shared claim-specific concepts:</w:t>
      </w:r>
      <w:r>
        <w:t xml:space="preserve"> abstract, implications; EU scope visible. This is a provisional connection, not an outcome finding.</w:t>
      </w:r>
    </w:p>
    <w:p>
      <w:pPr>
        <w:pStyle w:val="SourceNote"/>
      </w:pPr>
      <w:r>
        <w:rPr>
          <w:b/>
        </w:rPr>
        <w:t>Available abstract (not full text):</w:t>
      </w:r>
      <w:r>
        <w:t xml:space="preserve"> Abstract Global diets, environmental factors, and health require a holistic approach in public health discourse that takes into account the well-being of both humans and planetary health. Modeling tools have demonstrated being useful to estimate priorities and differences between countries and gain insight into future paths that depend on predetermined priorities. Modeling efforts that include environmental goals indicate the possibility of reducing environmental impacts while both improving food quality and overall health outcomes, especially in high-income settings. The aforementioned forecasts highlight the effectiveness of giving priority to dietary recommendations that lead to better, balanced patterns as the most effective approach to reducing mortality risks and environmental implications. The presentation will introduce the Diet Impact Assessment (DIA) model - a new interactive modelling tool for analysing the health, environmental and affordability implications of diets and dietary change. The tool enables countries to analyse user-specific scenarios of dietary change, and to estimate the health, environmental and cost burden of each scenario in terms of diet costs, avoidable deaths, changes in resource use and compatibility with global environmental targets, including those associated with food-related greenhouse gas emissions, land use, water use and fertilizer appli</w:t>
      </w:r>
    </w:p>
    <w:p>
      <w:pPr/>
      <w:r>
        <w:rPr>
          <w:b/>
        </w:rPr>
        <w:t>POSSIBLE 2024:</w:t>
      </w:r>
      <w:r>
        <w:t xml:space="preserve"> Europe’s Demographic Challenges as Determinants of Security — https://doi.org/10.14746/ps.2024.1.18</w:t>
      </w:r>
    </w:p>
    <w:p>
      <w:pPr/>
      <w:r>
        <w:rPr>
          <w:b/>
        </w:rPr>
        <w:t>Shared claim-specific concepts:</w:t>
      </w:r>
      <w:r>
        <w:t xml:space="preserve"> analyses, implications, demographic, trends, population; EU scope visible. This is a provisional connection, not an outcome finding.</w:t>
      </w:r>
    </w:p>
    <w:p>
      <w:pPr>
        <w:pStyle w:val="SourceNote"/>
      </w:pPr>
      <w:r>
        <w:rPr>
          <w:b/>
        </w:rPr>
        <w:t>Available abstract (not full text):</w:t>
      </w:r>
      <w:r>
        <w:t xml:space="preserve"> The aim of this article is to assess the scale and nature of contemporary demographic trends that determine the security of Europe and identify the main threats to the continent’s military and non-military security resulting from them. This article constitutes an attempt to face a problem whose essence is associated with a key question: how are contemporary demographic trends in Europe shaping up, and on what security levels can we expect their implications? Population processes, which are the cumulative effects of the demographic phenomena that occurred in the near and distant past, run over the long term and are characterised by a low coefficient of uncertainty. Analyses of the UN and Eurostat demographic data show that Europe has seen an intensification and accumulation of negative demographic trends over recent decades. Demographic regression, as experienced by the Old Continent, is a multidimensional phenomenon which has numerous security implications and poses a threat to Europe’s socio-economic development.</w:t>
      </w:r>
    </w:p>
    <w:p>
      <w:pPr>
        <w:pStyle w:val="Heading2"/>
      </w:pPr>
      <w:r>
        <w:t>775. The northern hemisphere circumglobal teleconnection in a seasonal forecast model and its relationship to European summer forecast skill</w:t>
      </w:r>
    </w:p>
    <w:p>
      <w:pPr>
        <w:pStyle w:val="SourceNote"/>
      </w:pPr>
      <w:r>
        <w:rPr>
          <w:b/>
        </w:rPr>
        <w:t>Original source (2018):</w:t>
      </w:r>
      <w:r>
        <w:t xml:space="preserve"> https://doi.org/10.1007/s00382-018-4371-4</w:t>
      </w:r>
    </w:p>
    <w:p>
      <w:pPr/>
      <w:r>
        <w:t>Original wording (abstract; indexed_source_text_not_full_document_verified): Third, the model jet is systematically shifted northwards by several degrees latitude over large parts of the northern hemisphere, which may affect the propagation characteristics of Rossby waves in the model.</w:t>
      </w:r>
    </w:p>
    <w:p>
      <w:pPr/>
      <w:r>
        <w:rPr>
          <w:b/>
        </w:rPr>
        <w:t>POSSIBLE 2025:</w:t>
      </w:r>
      <w:r>
        <w:t xml:space="preserve"> Predicting current and future distribution of the common waxbill using a mechanistic modelling approach — https://doi.org/10.1101/2025.11.16.688699</w:t>
      </w:r>
    </w:p>
    <w:p>
      <w:pPr/>
      <w:r>
        <w:rPr>
          <w:b/>
        </w:rPr>
        <w:t>Shared claim-specific concepts:</w:t>
      </w:r>
      <w:r>
        <w:t xml:space="preserve"> northwards, over, parts; EU scope visible. This is a provisional connection, not an outcome finding.</w:t>
      </w:r>
    </w:p>
    <w:p>
      <w:pPr>
        <w:pStyle w:val="SourceNote"/>
      </w:pPr>
      <w:r>
        <w:rPr>
          <w:b/>
        </w:rPr>
        <w:t>Available abstract (not full text):</w:t>
      </w:r>
      <w:r>
        <w:t xml:space="preserve"> Abstract Biological invasions and climate change are two of the most pressing drivers of biodiversity loss worldwide. Anticipating where invasive species are likely to establish, as well as the potential impact of climate change on their range expansion, is essential for early detection and targeted management. In this study, we use a mechanistic species distribution model (SDM) to evaluate the current and future areas at risk of invasion by the common waxbill ( Estrilda astrild ), a widespread avian invader. Our model accurately predicts the species’ current range in Iberia and identifies additional climatically suitable areas, particularly in southern and western Europe. Under warming scenarios of +2 °C and +4 °C, suitable areas expand northwards, with over two-thirds of Europe classified as suitable under the most extreme scenario. These results suggest that the species is already operating near the cold limits of its thermal niche in parts of its invasive range, and that rising temperatures may remove these constraints, allowing expansion into previously unsuitable areas. Our findings demonstrate the power of mechanistic models in identifying regions at risk of colonisation and underscore the importance of early intervention and targeted monitoring in areas projected to become suitable.</w:t>
      </w:r>
    </w:p>
    <w:p>
      <w:pPr/>
      <w:r>
        <w:rPr>
          <w:b/>
        </w:rPr>
        <w:t>POSSIBLE 2024:</w:t>
      </w:r>
      <w:r>
        <w:t xml:space="preserve"> European hot and dry summers are projected to become more frequent and expand northwards — https://doi.org/10.1038/s43247-024-01575-5</w:t>
      </w:r>
    </w:p>
    <w:p>
      <w:pPr/>
      <w:r>
        <w:rPr>
          <w:b/>
        </w:rPr>
        <w:t>Shared claim-specific concepts:</w:t>
      </w:r>
      <w:r>
        <w:t xml:space="preserve"> northwards, parts; EU scope visible. This is a provisional connection, not an outcome finding.</w:t>
      </w:r>
    </w:p>
    <w:p>
      <w:pPr>
        <w:pStyle w:val="SourceNote"/>
      </w:pPr>
      <w:r>
        <w:rPr>
          <w:b/>
        </w:rPr>
        <w:t>Available abstract (not full text):</w:t>
      </w:r>
      <w:r>
        <w:t xml:space="preserve"> Abstract Heatwaves and dry spells are major climate hazards with far-reaching implications for health, economy, agriculture, and ecosystems. The frequency of compound hot and dry summers in Europe has risen in recent years. Here we present an examination of past extreme summers and compare them to future climate conditions. We use reanalysis data (2001–2022) and model data at three global warming levels: +1.2 °C, +2 °C, and +3 °C for nine selected sub-regions. Key findings indicate a significant increase in the frequency of most extreme past occurrences under 2 °C and 3 °C warming scenarios. For specific summers, the occurrence probability rises by up to 5–6 times from 2 °C to 3 °C. Moreover, our analysis reveals a notable northward shift in the climatology of hot and dry summers under 3 °C warming. The hot and dry climate observed in Eastern Europe under current conditions is anticipated to extend into substantial parts of the Baltic coast, Finland, and Scandinavia.</w:t>
      </w:r>
    </w:p>
    <w:p>
      <w:pPr/>
      <w:r>
        <w:rPr>
          <w:b/>
        </w:rPr>
        <w:t>POSSIBLE 2024:</w:t>
      </w:r>
      <w:r>
        <w:t xml:space="preserve"> Unraveling the roles of jet streams on the unprecedented hot July in Western Europe in 2022 — https://doi.org/10.1038/s41612-024-00880-2</w:t>
      </w:r>
    </w:p>
    <w:p>
      <w:pPr/>
      <w:r>
        <w:rPr>
          <w:b/>
        </w:rPr>
        <w:t>Shared claim-specific concepts:</w:t>
      </w:r>
      <w:r>
        <w:t xml:space="preserve"> jet, over; EU scope visible. This is a provisional connection, not an outcome finding.</w:t>
      </w:r>
    </w:p>
    <w:p>
      <w:pPr>
        <w:pStyle w:val="SourceNote"/>
      </w:pPr>
      <w:r>
        <w:rPr>
          <w:b/>
        </w:rPr>
        <w:t>Available abstract (not full text):</w:t>
      </w:r>
      <w:r>
        <w:t xml:space="preserve"> Abstract Western Europe experienced an unprecedentedly hot July in 2022, which significantly impacted ecosystems and society. Our observational and numerical modeling study reveals that this event was influenced by anomalous North Atlantic and Eurasian jet streams. The northeastward shift of the North Atlantic jet stream, driven by sea surface temperature gradients, and the curving of the Eurasian jet stream, affected by rainfall anomalies in Pakistan, enhanced atmospheric subsidence over western Europe. This research highlights the crucial role of the synergistic behavior of the North Atlantic and Eurasian jet streams in driving extreme heat over Western Europe. Furthermore, CMIP6 climate model projections suggest that under the SSP585 scenario, similar jet stream configurations could lead to even more intense extreme temperatures (~7.02 ± 0.61 °C) compared to the current climatological mean.</w:t>
      </w:r>
    </w:p>
    <w:p>
      <w:pPr/>
      <w:r>
        <w:rPr>
          <w:b/>
        </w:rPr>
        <w:t>POSSIBLE 2023:</w:t>
      </w:r>
      <w:r>
        <w:t xml:space="preserve"> Testing a prediction model for the H-mode density pedestal against JET-ILW pedestals — https://doi.org/10.1088/1741-4326/acc084</w:t>
      </w:r>
    </w:p>
    <w:p>
      <w:pPr/>
      <w:r>
        <w:rPr>
          <w:b/>
        </w:rPr>
        <w:t>Shared claim-specific concepts:</w:t>
      </w:r>
      <w:r>
        <w:t xml:space="preserve"> jet, over; EU scope not established. This is a provisional connection, not an outcome finding.</w:t>
      </w:r>
    </w:p>
    <w:p>
      <w:pPr>
        <w:pStyle w:val="SourceNote"/>
      </w:pPr>
      <w:r>
        <w:rPr>
          <w:b/>
        </w:rPr>
        <w:t>Available abstract (not full text):</w:t>
      </w:r>
      <w:r>
        <w:t xml:space="preserve"> Abstract The neutral ionisation model proposed by Groebner et al (2002 Phys. Plasmas 9 2134) to determine the plasma density profile in the H-mode pedestal, is extended to include charge exchange processes in the pedestal stimulated by the ideas of Mahdavi et al (2003 Phys. Plasmas 10 3984). The model is then tested against JET H-mode pedestal data, both in a ‘standalone’ version using experimental temperature profiles and also by incorporating it in the Europed version of EPED. The model is able to predict the density pedestal over a wide range of conditions with good accuracy. It is also able to predict the experimentally observed isotope effect on the density pedestal that eludes simpler neutral ionization models.</w:t>
      </w:r>
    </w:p>
    <w:p>
      <w:pPr/>
      <w:r>
        <w:rPr>
          <w:b/>
        </w:rPr>
        <w:t>POSSIBLE 2023:</w:t>
      </w:r>
      <w:r>
        <w:t xml:space="preserve"> Overview of interpretive modelling of fusion performance in JET DTE2 discharges with TRANSP — https://doi.org/10.1088/1741-4326/ad0310</w:t>
      </w:r>
    </w:p>
    <w:p>
      <w:pPr/>
      <w:r>
        <w:rPr>
          <w:b/>
        </w:rPr>
        <w:t>Shared claim-specific concepts:</w:t>
      </w:r>
      <w:r>
        <w:t xml:space="preserve"> jet, over, large, characteristics; EU scope not established. This is a provisional connection, not an outcome finding.</w:t>
      </w:r>
    </w:p>
    <w:p>
      <w:pPr>
        <w:pStyle w:val="SourceNote"/>
      </w:pPr>
      <w:r>
        <w:rPr>
          <w:b/>
        </w:rPr>
        <w:t>Available abstract (not full text):</w:t>
      </w:r>
      <w:r>
        <w:t xml:space="preserve"> Abstract In the paper we present an overview of interpretive modelling of a database of JET-ILW 2021 D-T discharges using the TRANSP code. The main aim is to assess our capability of computationally reproducing the fusion performance of various D-T plasma scenarios using different external heating and D-T mixtures, and to understand the performance driving mechanisms. We find that interpretive simulations confirm a general power-law relationship between increasing external heating power and fusion output, which is supported by absolutely calibrated neutron yield measurements. A comparison of measured and computed D-T neutron rates shows that the calculations’ discrepancy depends on the absolute neutron yield. The calculations are found to agree well with measurements for higher performing discharges with external heating power above ∼20 M W , while low-neutron shots display an average discrepancy of around +40% compared to measured neutron yields. A similar trend is found for the ratio between thermal and beam-target fusion, where larger discrepancies are seen in shots with dominant beam-driven performance. We compare the observations to studies of JET-ILW D discharges, to find that on average the fusion performance is well modelled over a range of heating power, although an increased unsystematic deviation for lower-performing shots is observed. The ratio between thermal and b</w:t>
      </w:r>
    </w:p>
    <w:p>
      <w:pPr/>
      <w:r>
        <w:rPr>
          <w:b/>
        </w:rPr>
        <w:t>POSSIBLE 2022:</w:t>
      </w:r>
      <w:r>
        <w:t xml:space="preserve"> Accuracy of numerical wave model results: application to the Atlantic coasts of Europe — https://doi.org/10.5194/os-18-1665-2022</w:t>
      </w:r>
    </w:p>
    <w:p>
      <w:pPr/>
      <w:r>
        <w:rPr>
          <w:b/>
        </w:rPr>
        <w:t>Shared claim-specific concepts:</w:t>
      </w:r>
      <w:r>
        <w:t xml:space="preserve"> propagation, waves; EU scope visible. This is a provisional connection, not an outcome finding.</w:t>
      </w:r>
    </w:p>
    <w:p>
      <w:pPr>
        <w:pStyle w:val="SourceNote"/>
      </w:pPr>
      <w:r>
        <w:rPr>
          <w:b/>
        </w:rPr>
        <w:t>Available abstract (not full text):</w:t>
      </w:r>
      <w:r>
        <w:t xml:space="preserve"> Abstract. Numerical wave models are generally less accurate in the coastal ocean than offshore. It is generally suspected that a number of factors specific to coastal environments can be blamed for these larger model errors: complex shoreline and topography, relatively short fetches, combination of remote swells and local wind seas, less accurate wind fields, presence of strong currents, bottom friction, etc. These factors generally have strong local variations, making it all the more difficult to adapt a particular model setup from one area to another. Here we investigate a wide range of modelling choices including forcing fields, spectral resolution and parameterizations of physical processes in a regional model that covers most of the Atlantic and North Sea coasts. We show that the accurate propagation of waves from offshore is probably the most important factor on exposed shorelines, while other specific effects can be important locally, including winds, currents and bottom friction.</w:t>
      </w:r>
    </w:p>
    <w:p>
      <w:pPr/>
      <w:r>
        <w:rPr>
          <w:b/>
        </w:rPr>
        <w:t>POSSIBLE 2022:</w:t>
      </w:r>
      <w:r>
        <w:t xml:space="preserve"> The evolving story of Borrelia burgdorferi sensu lato transmission in Europe — https://doi.org/10.1007/s00436-022-07445-3</w:t>
      </w:r>
    </w:p>
    <w:p>
      <w:pPr/>
      <w:r>
        <w:rPr>
          <w:b/>
        </w:rPr>
        <w:t>Shared claim-specific concepts:</w:t>
      </w:r>
      <w:r>
        <w:t xml:space="preserve"> several, northern, hemisphere; EU scope visible. This is a provisional connection, not an outcome finding.</w:t>
      </w:r>
    </w:p>
    <w:p>
      <w:pPr>
        <w:pStyle w:val="SourceNote"/>
      </w:pPr>
      <w:r>
        <w:rPr>
          <w:b/>
        </w:rPr>
        <w:t>Available abstract (not full text):</w:t>
      </w:r>
      <w:r>
        <w:t xml:space="preserve"> Beside mosquitoes, ticks are well-known vectors of different human pathogens. In the Northern Hemisphere, Lyme borreliosis (Eurasia, LB) or Lyme disease (North America, LD) is the most commonly occurring vector-borne infectious disease caused by bacteria of the genus Borrelia which are transmitted by hard ticks of the genus Ixodes. The reported incidence of LB in Europe is about 22.6 cases per 100,000 inhabitants annually with a broad range depending on the geographical area analyzed. However, the epidemiological data are largely incomplete, because LB is not notifiable in all European countries. Furthermore, not only differ reporting procedures between countries, there is also variation in case definitions and diagnostic procedures. Lyme borreliosis is caused by several species of the Borrelia (B.) burgdorferi sensu lato (s.l.) complex which are maintained in complex networks including ixodid ticks and different reservoir hosts. Vector and host influence each other and are affected by multiple factors including climate that have a major impact on their habitats and ecology. To classify factors that influence the risk of transmission of B. burgdorferi s.l. to their different vertebrate hosts as well as to humans, we briefly summarize the current knowledge about the pathogens including their astonishing ability to overcome various host immune responses, regarding the main vector</w:t>
      </w:r>
    </w:p>
    <w:p>
      <w:pPr/>
      <w:r>
        <w:rPr>
          <w:b/>
        </w:rPr>
        <w:t>POSSIBLE 2022:</w:t>
      </w:r>
      <w:r>
        <w:t xml:space="preserve"> Species Distribution Modeling Reveals Recent Shifts in Suitable Habitat for Six North American Cypripedium spp. (Orchidaceae) — https://doi.org/10.3390/d14090694</w:t>
      </w:r>
    </w:p>
    <w:p>
      <w:pPr/>
      <w:r>
        <w:rPr>
          <w:b/>
        </w:rPr>
        <w:t>Shared claim-specific concepts:</w:t>
      </w:r>
      <w:r>
        <w:t xml:space="preserve"> shifted, northwards, over; EU scope not established. This is a provisional connection, not an outcome finding.</w:t>
      </w:r>
    </w:p>
    <w:p>
      <w:pPr>
        <w:pStyle w:val="SourceNote"/>
      </w:pPr>
      <w:r>
        <w:rPr>
          <w:b/>
        </w:rPr>
        <w:t>Available abstract (not full text):</w:t>
      </w:r>
      <w:r>
        <w:t xml:space="preserve"> Accelerating climate change is expected to cause range shifts of numerous taxa worldwide. While climatic projections and predicted consequences typically focus on the future (2050 or later), a measurable change in climatic conditions has occurred over recent decades. We investigate whether recent climate change has caused measurable shifts in suitable habitat for six North American species in the highly threatened genus Cypripedium (Orchidaceae). We constructed species distribution models using a maximum entropy approach from species occurrence records, 19 bioclimatic variables, land cover data, and soil data for two decadal time intervals (1980–1989 and 2010–2019). Models were compared between time intervals to assess shifts in locality, size, fragmentation, and mean elevation of suitable habitat. For all six congeners, the centroids of suitable habitat shifted between time intervals, although the directionality varied. There was, however, consistency among species within geographic regions. Consistent with our expectations, the optimal habitat for most species shifted to a higher elevation and for western species it shifted northwards. However, the habitat for one northwestern species shifted southwards and the habitat for eastern species converged on the Great Lakes region from different directions. This work illustrates the somewhat idiosyncratic responses of congeneric spe</w:t>
      </w:r>
    </w:p>
    <w:p>
      <w:pPr/>
      <w:r>
        <w:rPr>
          <w:b/>
        </w:rPr>
        <w:t>POSSIBLE 2022:</w:t>
      </w:r>
      <w:r>
        <w:t xml:space="preserve"> Changes in limiting factors for forager population dynamics in Europe across the last glacial-interglacial transition — https://doi.org/10.1038/s41467-022-32750-x</w:t>
      </w:r>
    </w:p>
    <w:p>
      <w:pPr/>
      <w:r>
        <w:rPr>
          <w:b/>
        </w:rPr>
        <w:t>Shared claim-specific concepts:</w:t>
      </w:r>
      <w:r>
        <w:t xml:space="preserve"> shifted, over, parts; EU scope visible. This is a provisional connection, not an outcome finding.</w:t>
      </w:r>
    </w:p>
    <w:p>
      <w:pPr>
        <w:pStyle w:val="SourceNote"/>
      </w:pPr>
      <w:r>
        <w:rPr>
          <w:b/>
        </w:rPr>
        <w:t>Available abstract (not full text):</w:t>
      </w:r>
      <w:r>
        <w:t xml:space="preserve"> Population dynamics set the framework for human genetic and cultural evolution. For foragers, demographic and environmental changes correlate strongly, although the causal relations between different environmental variables and human responses through time and space likely varied. Building on the notion of limiting factors, namely that at any one time, the scarcest resource caps population size, we present a statistical approach to identify the dominant climatic constraints for hunter-gatherer population densities and then hindcast their changing dynamics in Europe for the period between 21,000 to 8000 years ago. Limiting factors shifted from temperature-related variables (effective temperature) during the Pleistocene to a regional mosaic of limiting factors in the Holocene dominated by temperature seasonality and annual precipitation. This spatiotemporal variation suggests that hunter-gatherers needed to overcome very different adaptive challenges in different parts of Europe and that these challenges varied over time. The signatures of these changing adaptations may be visible archaeologically. In addition, the spatial disaggregation of limiting factors from the Pleistocene to the Holocene coincided with and may partly explain the diversification of the cultural geography at this time.</w:t>
      </w:r>
    </w:p>
    <w:p>
      <w:pPr/>
      <w:r>
        <w:rPr>
          <w:b/>
        </w:rPr>
        <w:t>POSSIBLE 2022:</w:t>
      </w:r>
      <w:r>
        <w:t xml:space="preserve"> Jet Comparison, Trigger, and Sensitivity Studies of Dark Sector Emerging Jet MC Models — https://doi.org/10.22215/etd/2022-14951</w:t>
      </w:r>
    </w:p>
    <w:p>
      <w:pPr/>
      <w:r>
        <w:rPr>
          <w:b/>
        </w:rPr>
        <w:t>Shared claim-specific concepts:</w:t>
      </w:r>
      <w:r>
        <w:t xml:space="preserve"> jet, large; EU scope not established. This is a provisional connection, not an outcome finding.</w:t>
      </w:r>
    </w:p>
    <w:p>
      <w:pPr>
        <w:pStyle w:val="SourceNote"/>
      </w:pPr>
      <w:r>
        <w:rPr>
          <w:b/>
        </w:rPr>
        <w:t>Available abstract (not full text):</w:t>
      </w:r>
      <w:r>
        <w:t xml:space="preserve"> Analysis work is presented as part of an ongoing search for Emerging Jet (EJ) signals within the ATLAS detector at the Large Hadron Collider.These EJ signals arise in models with a hidden valley, QCD-like dark sector, which is linked to the Standard Model (SM) sector via a dark mediator particle, X d , with a mass on the order of a TeV.These X d particles are pair-produced during proton-proton collisions and each quickly decays into a SM quark and a dark quark.These dark quarks hadronize into long-lived dark hadrons.Dark pions are of primary interest and decay back into SM particles with a mean decay length ranging between cτ πd = 0.5mm and 300mm, causing a jet to emerge within the detector.These EJs I would like to thank my supervisor, Jesse Heilman, for your guidance and excellent explanations of physics and ATLAS related topics, which always left me inspired to learn more.A huge thanks to Kevin Graham and Mohsen Naseri as well, for your many hours of guidance, insight, and feedback.</w:t>
      </w:r>
    </w:p>
    <w:p>
      <w:pPr/>
      <w:r>
        <w:rPr>
          <w:b/>
        </w:rPr>
        <w:t>POSSIBLE 2021:</w:t>
      </w:r>
      <w:r>
        <w:t xml:space="preserve"> Extreme windstorms and sting jets in convection-permitting climate simulations over Europe — https://doi.org/10.1007/s00382-021-06011-4</w:t>
      </w:r>
    </w:p>
    <w:p>
      <w:pPr/>
      <w:r>
        <w:rPr>
          <w:b/>
        </w:rPr>
        <w:t>Shared claim-specific concepts:</w:t>
      </w:r>
      <w:r>
        <w:t xml:space="preserve"> over, large; EU scope visible. This is a provisional connection, not an outcome finding.</w:t>
      </w:r>
    </w:p>
    <w:p>
      <w:pPr>
        <w:pStyle w:val="SourceNote"/>
      </w:pPr>
      <w:r>
        <w:rPr>
          <w:b/>
        </w:rPr>
        <w:t>Available abstract (not full text):</w:t>
      </w:r>
      <w:r>
        <w:t xml:space="preserve"> Abstract Extra-tropical windstorms are one of the costliest natural hazards affecting Europe, and windstorms that develop a sting-jet are extremely damaging. A sting-jet is a mesoscale core of very high wind speeds that occurs in Shapiro-Keyser type cyclones, and high-resolution models are required to adequately model sting-jets. Here, we develop a low-cost methodology to automatically detect sting jets, using the characteristic warm seclusion of Shapiro-Keyser cyclones and the slantwise descent of high wind speeds, within pan-European 2.2km convection-permitting climate model (CPM) simulations over Europe. The representation of wind gusts is improved with respect to ERA-Interim reanalysis data compared to observations; this is linked to better representation of cold conveyor belts and sting-jets in the CPM. Our analysis indicates that Shapiro-Keyser cyclones, and those that develop sting-jets, are the most damaging windstorms in present and future climates. The frequency of extreme windstorms is projected to increase by 2100 and a large contribution comes from sting-jet storms. Furthermore, extreme wind speeds and their future changes are underestimated in the GCM compared to the CPM. We conclude that the CPM adds value in the representation of extreme winds and surface wind gusts and can provide improved input for impact models compared to coarser resolution models.</w:t>
      </w:r>
    </w:p>
    <w:p>
      <w:pPr/>
      <w:r>
        <w:rPr>
          <w:b/>
        </w:rPr>
        <w:t>POSSIBLE 2021:</w:t>
      </w:r>
      <w:r>
        <w:t xml:space="preserve"> Experimental validation of an integrated modelling approach to neutron emission studies at JET — https://doi.org/10.1088/1741-4326/ac3021</w:t>
      </w:r>
    </w:p>
    <w:p>
      <w:pPr/>
      <w:r>
        <w:rPr>
          <w:b/>
        </w:rPr>
        <w:t>Shared claim-specific concepts:</w:t>
      </w:r>
      <w:r>
        <w:t xml:space="preserve"> jet, several, characteristics; EU scope not established. This is a provisional connection, not an outcome finding.</w:t>
      </w:r>
    </w:p>
    <w:p>
      <w:pPr>
        <w:pStyle w:val="SourceNote"/>
      </w:pPr>
      <w:r>
        <w:rPr>
          <w:b/>
        </w:rPr>
        <w:t>Available abstract (not full text):</w:t>
      </w:r>
      <w:r>
        <w:t xml:space="preserve"> An integrated modelling methodology for the calculation of realistic plasma neutron sources for the JET tokamak has been developed. The computational chain comprises TRANSP plasma transport and DRESS neutron spectrum calculations, and their coupling to the MCNP neutron transport code, bridging plasma physics and neutronics. In the paper we apply the developed methodology to the analysis of neutron emission properties of deuterium and helium plasmas at JET, and validate individual modelling steps against neutron diagnostic measurements. Two types of JET discharges are modelled—baseline-like and three-ion radio-frequency scenarios—due to their diversity in plasma heating, characteristics of the induced fast ion population, and the imprint of these on neutron emission properties. The neutron emission modelling results are quantitatively compared to the total neutron yield from fission chambers, neutron emissivity profiles from the neutron camera, neutron spectra from the time-of-flight spectrometer, and neutron activation measurements. The agreement between measured and calculated quantities is found to be satisfactory for all four diagnostic systems within the estimated experimental and computational uncertainties. Additionally, the effect of neutrons not originating from the dominating D(D, n) 3 He reactions is studied through modelling of triton burnup DT neutrons, and, in mixe</w:t>
      </w:r>
    </w:p>
    <w:p>
      <w:pPr>
        <w:pStyle w:val="Heading2"/>
      </w:pPr>
      <w:r>
        <w:t>776. Trends and forecast of obesity in Finland</w:t>
      </w:r>
    </w:p>
    <w:p>
      <w:pPr>
        <w:pStyle w:val="SourceNote"/>
      </w:pPr>
      <w:r>
        <w:rPr>
          <w:b/>
        </w:rPr>
        <w:t>Original source (2018):</w:t>
      </w:r>
      <w:r>
        <w:t xml:space="preserve"> https://doi.org/10.1093/eurpub/cky214.146</w:t>
      </w:r>
    </w:p>
    <w:p>
      <w:pPr/>
      <w:r>
        <w:t>Original wording (abstract; indexed_source_text_not_full_document_verified): The increase in the prevalence of obesity is projected to continue: every third adult is expected to be obese in 2028.</w:t>
      </w:r>
    </w:p>
    <w:p>
      <w:pPr/>
      <w:r>
        <w:rPr>
          <w:b/>
        </w:rPr>
        <w:t>POSSIBLE 2026:</w:t>
      </w:r>
      <w:r>
        <w:t xml:space="preserve"> Estimating the hospitalisation burden of obesity in Europe: evidence from the European health interview survey (EHIS) wave 3 — https://doi.org/10.1186/s12889-026-26705-w</w:t>
      </w:r>
    </w:p>
    <w:p>
      <w:pPr/>
      <w:r>
        <w:rPr>
          <w:b/>
        </w:rPr>
        <w:t>Shared claim-specific concepts:</w:t>
      </w:r>
      <w:r>
        <w:t xml:space="preserve"> increase, prevalence, obesity; EU scope visible. This is a provisional connection, not an outcome finding.</w:t>
      </w:r>
    </w:p>
    <w:p>
      <w:pPr>
        <w:pStyle w:val="SourceNote"/>
      </w:pPr>
      <w:r>
        <w:rPr>
          <w:b/>
        </w:rPr>
        <w:t>Available abstract (not full text):</w:t>
      </w:r>
      <w:r>
        <w:t xml:space="preserve"> BACKGROUND: Obesity represents a significant public health and economic challenge across Europe, driving an increased chronic disease burden and increased hospital utilisation. Despite this impact, cross-national evidence quantifying obesity’s hospitalisation burden remains sparse, and there is only a limited understanding of the potential cost savings achievable through obesity prevalence reduction. METHODS: We analysed European Health Interview Survey (EHIS) Wave 3 (2019) data, encompassing adults aged 18 years and older across eight countries (Belgium, the Netherlands, Germany, Luxembourg, Spain, Italy, Portugal and Denmark). Our primary outcome was the number of hospital nights in the preceding 12 months. We employed negative binomial regression models with zero-inflated specifications to estimate the associations between hospitalisation and body mass index (BMI), alongside sociodemographic, health and lifestyle factors. Simulations were used to project the impacts of a 1% obesity prevalence reduction on hospital expenditures. RESULTS: Compared to normal weight, obesity and underweight were strongly associated with increased hospital nights (IRR = 1.19 and 1.92, respectively), while pre-obesity showed no such association. Hospitalisation increased markedly with age, whereas higher education and income provided protective effects in this regard, reducing stays by 7% and 8%, </w:t>
      </w:r>
    </w:p>
    <w:p>
      <w:pPr/>
      <w:r>
        <w:rPr>
          <w:b/>
        </w:rPr>
        <w:t>POSSIBLE 2025:</w:t>
      </w:r>
      <w:r>
        <w:t xml:space="preserve"> Global prevalence of obesity in the older adults: A meta-analysis — https://doi.org/10.1016/j.puhip.2025.100585</w:t>
      </w:r>
    </w:p>
    <w:p>
      <w:pPr/>
      <w:r>
        <w:rPr>
          <w:b/>
        </w:rPr>
        <w:t>Shared claim-specific concepts:</w:t>
      </w:r>
      <w:r>
        <w:t xml:space="preserve"> increase, prevalence, obesity, adult; EU scope visible. This is a provisional connection, not an outcome finding.</w:t>
      </w:r>
    </w:p>
    <w:p>
      <w:pPr>
        <w:pStyle w:val="SourceNote"/>
      </w:pPr>
      <w:r>
        <w:rPr>
          <w:b/>
        </w:rPr>
        <w:t>Available abstract (not full text):</w:t>
      </w:r>
      <w:r>
        <w:t xml:space="preserve"> Objective: Obesity is a chronic and complex disease defined as the excessive accumulation of body fat and is one of the leading public health problems in developed and developing countries. Due to the importance of obesity, this study was conducted to investigate the prevalence of obesity in the older adults. Study design: meta-analysis. Methods: In this study, systematic review and meta-analysis of study data on the prevalence of obesity in the older adults in the world using keywords including: prevalence, outbreak, Body Mass Index, BMI, obesity, Elderly, aged, older adult, in Science Direct databases, Scopus, PubMed, Web of Science, Iran Doc, Mag Iran, SID and Google Scholar search engine were extracted without time limit until August 2020. The target population under study is the world's elderly, and obesity means a BMI≥30. The Random Effects Model was used to perform the analysis and, Comprehensive Meta-Analysis Software version 2.0 was used for data analysis. Results: In review 44 studies with a total sample size of 45,745,944 prevalence of obesity in the older adults of the world; In a meta-analysis of 25.3 % (95 % CI: 21.9-29). It was found that the highest prevalence of obesity in the older adults in South America with 40.4 % (95 % CI: 12.5-76.4). In addition, continental Europe with 33.6 % (95 % confidence interval: 24.1-44.5). The meta-regression results showed an in</w:t>
      </w:r>
    </w:p>
    <w:p>
      <w:pPr/>
      <w:r>
        <w:rPr>
          <w:b/>
        </w:rPr>
        <w:t>POSSIBLE 2024:</w:t>
      </w:r>
      <w:r>
        <w:t xml:space="preserve"> Global trends in prevalence of maternal overweight and obesity: A systematic review and meta-analysis of routinely collected data retrospective cohorts — https://doi.org/10.23889/ijpds.v9i2.2401</w:t>
      </w:r>
    </w:p>
    <w:p>
      <w:pPr/>
      <w:r>
        <w:rPr>
          <w:b/>
        </w:rPr>
        <w:t>Shared claim-specific concepts:</w:t>
      </w:r>
      <w:r>
        <w:t xml:space="preserve"> increase, prevalence, obesity; EU scope visible. This is a provisional connection, not an outcome finding.</w:t>
      </w:r>
    </w:p>
    <w:p>
      <w:pPr>
        <w:pStyle w:val="SourceNote"/>
      </w:pPr>
      <w:r>
        <w:rPr>
          <w:b/>
        </w:rPr>
        <w:t>Available abstract (not full text):</w:t>
      </w:r>
      <w:r>
        <w:t xml:space="preserve"> Pregnant women with obesity are at greater risk of complications during pregnancy, peripartum and post-partum, compared to women with healthy BMI. Worldwide data demonstrating the changes in trends of maternal overweight and obesity prevalence informs service development to address maternal obesity, while directing resources to areas of greatest need. This systematic review and meta-analysis of population level data sought to evaluate global temporal changes in prevalence of maternal obesity and overweight/obesity, and compare trends between regions. Pooled prevalence of obesity and overweight/obesity was estimated using random effects meta-analysis. Temporal and geographical trends in prevalence of obesity and overweight/obesity were examined using linear regression. From 11,684 publications, 94 met inclusion criteria representing 121 study cohorts (Europe n = 71; North America n = 23; Australia/Oceania n = 10; Asia n = 5; South America n = 12), totalling 49,009,168 pregnancies. No studies from Africa met the inclusion criteria. Eighty studies (85.1%) were evaluated as having a low risk of bias and 14 studies (14.9%) moderate. In the most recent full decade (2010-2019), global prevalence of maternal obesity was estimated as 16.3% (95% confidence interval (CI): 15.1-17.5%), or approximately one in six pregnancies. Combined overweight/obesity in pregnancy had a pooled prevalence</w:t>
      </w:r>
    </w:p>
    <w:p>
      <w:pPr/>
      <w:r>
        <w:rPr>
          <w:b/>
        </w:rPr>
        <w:t>POSSIBLE 2024:</w:t>
      </w:r>
      <w:r>
        <w:t xml:space="preserve"> Prevalence and Factors Related to Physical Activity in Spanish Adults with Obesity and Overweight: Analysis of the European Health Surveys for the Years 2014 and 2020 — https://doi.org/10.3390/healthcare12141382</w:t>
      </w:r>
    </w:p>
    <w:p>
      <w:pPr/>
      <w:r>
        <w:rPr>
          <w:b/>
        </w:rPr>
        <w:t>Shared claim-specific concepts:</w:t>
      </w:r>
      <w:r>
        <w:t xml:space="preserve"> increase, prevalence, obesity, adult, obese; EU scope visible. This is a provisional connection, not an outcome finding.</w:t>
      </w:r>
    </w:p>
    <w:p>
      <w:pPr>
        <w:pStyle w:val="SourceNote"/>
      </w:pPr>
      <w:r>
        <w:rPr>
          <w:b/>
        </w:rPr>
        <w:t>Available abstract (not full text):</w:t>
      </w:r>
      <w:r>
        <w:t xml:space="preserve"> (1) Background: To analyze the prevalence of physical activity (PA) according to the presence of overweight or obesity and other sociodemographic factors in the Spanish adult population. (2) Methods: Cross-sectional study using the European Health Interview Surveys for Spain from 2014 and 2020. (3) Results: In overweight and obese people, the percentage of those who reported not performing any type of PA remained constant between 2014 and 2020, while a statistically significant increase was observed in the percentage of people who walked for 10 min a day and exercised at least 2 days a week. The probability of being obese with respect to normal weight was higher in individuals who reported not engaging in PA during leisure time (OR 1.42; 95% CI 1.31-1.53), those who did not walk 10 min a day at least 2 days a week (OR 1.25; 95% CI 1.15-1.35), and those who did not exercise at least 2 days a week (OR 1.42; 95% CI 1.32-1.53). The probability of being overweight was higher in individuals who reported not performing PA during leisure time (OR 1.07; 95% CI 1.02-1.15) and in those who did not exercise at least 2 days per week (OR 1.15; 95% CI 1.09-1.22). (4) Conclusions: Small increases in PA have been observed in both overweight and obese individuals from 2014 to 2020.</w:t>
      </w:r>
    </w:p>
    <w:p>
      <w:pPr/>
      <w:r>
        <w:rPr>
          <w:b/>
        </w:rPr>
        <w:t>POSSIBLE 2023:</w:t>
      </w:r>
      <w:r>
        <w:t xml:space="preserve"> Sarcopenia prevalence and functional outcomes in older men with obesity: Comparing the use of the EWGSOP2 sarcopenia versus ESPEN-EASO sarcopenic obesity consensus definitions — https://doi.org/10.1016/j.clnu.2023.07.014</w:t>
      </w:r>
    </w:p>
    <w:p>
      <w:pPr/>
      <w:r>
        <w:rPr>
          <w:b/>
        </w:rPr>
        <w:t>Shared claim-specific concepts:</w:t>
      </w:r>
      <w:r>
        <w:t xml:space="preserve"> prevalence, obesity, obese; EU scope visible. This is a provisional connection, not an outcome finding.</w:t>
      </w:r>
    </w:p>
    <w:p>
      <w:pPr>
        <w:pStyle w:val="SourceNote"/>
      </w:pPr>
      <w:r>
        <w:rPr>
          <w:b/>
        </w:rPr>
        <w:t>Available abstract (not full text):</w:t>
      </w:r>
      <w:r>
        <w:t xml:space="preserve"> BACKGROUND &amp; AIMS: The potential for older adults with obesity to also have sarcopenia, and the health consequences of 'sarcopenic obesity', may be underappreciated by health professionals. The primary aim of this secondary analysis of a prospective cohort study of older men was to explore the prevalence and functional outcomes of sarcopenic obesity based on different consensus definitions. METHODS: 1416 community-dwelling men aged ≥70 years were classified into sarcopenia categories according to the European Working Group on Sarcopenia in Older People (EWGSOP2) definition, and sarcopenic obesity categories according to the European Society for Clinical Nutrition and Metabolism and the European Association for the Study of Obesity (ESPEN-EASO) definition. Descriptive analyses determined prevalence of sarcopenia in obese and non-obese older men. Multivariable analyses compared associations with functional outcomes including activity of daily living (ADL) and instrumental activity of daily living (IADL) disability and 12-month incident falls. RESULTS: had low muscle strength. Due to low numbers (N = 4) of obese older men with EWGSOP2-confirmed sarcopenia, associations with functional outcomes were not assessed. Men with sarcopenic obesity according to the ESPEN-EASO definition had significantly lower hand grip strength, higher chair-stands time and slower gait speed (all P &lt; 0.05</w:t>
      </w:r>
    </w:p>
    <w:p>
      <w:pPr/>
      <w:r>
        <w:rPr>
          <w:b/>
        </w:rPr>
        <w:t>POSSIBLE 2023:</w:t>
      </w:r>
      <w:r>
        <w:t xml:space="preserve"> Prevalence and variability of depressive symptoms in Europe: update using representative data from the second and third waves of the European Health Interview Survey (EHIS-2 and EHIS-3) — https://doi.org/10.1016/s2468-2667(23)00220-7</w:t>
      </w:r>
    </w:p>
    <w:p>
      <w:pPr/>
      <w:r>
        <w:rPr>
          <w:b/>
        </w:rPr>
        <w:t>Shared claim-specific concepts:</w:t>
      </w:r>
      <w:r>
        <w:t xml:space="preserve"> increase, prevalence, third; EU scope visible. This is a provisional connection, not an outcome finding.</w:t>
      </w:r>
    </w:p>
    <w:p>
      <w:pPr>
        <w:pStyle w:val="SourceNote"/>
      </w:pPr>
      <w:r>
        <w:rPr>
          <w:b/>
        </w:rPr>
        <w:t>Available abstract (not full text):</w:t>
      </w:r>
      <w:r>
        <w:t xml:space="preserve"> BACKGROUND: Assessing the prevalence of clinically relevant depressive symptoms and their possible variation by country and over time could be a valuable resource to inform the development of public health policies and preventive resources to reduce mental health burden. We aimed to assess cross-national differences in the point prevalence of clinically relevant depressive symptoms in Europe in 2018-20, and to evaluate point prevalence differences between countries and over time between 2013-15 and 2018-20. METHODS: In this population-based study, data from participants in the second and third waves of the European Health Interview Survey (EHIS-2 from 2013 to 2015 and EHIS-3 from 2018 to 2020) from 30 European countries were used (n=542 580). From the total sample, 283 692 participants belonging to EHIS-3 were included in the study (52·4% women and 47·5% men). The non-response in EHIS-3 ranged by country, from 12% to 78%. Point prevalence of clinically relevant depressive symptoms was evaluated using a cutoff score of 10 or more for the 8-item version of the Patient Health Questionnaire. Crude prevalence ratios and adjusted prevalence ratios (aPRs) were obtained to assess differences in the prevalence between countries and over time within countries. FINDINGS: The point prevalence of clinically relevant depressive symptoms in Europe in 2018-20 was 6·54% (95% CI 6·34-6·73), rang</w:t>
      </w:r>
    </w:p>
    <w:p>
      <w:pPr/>
      <w:r>
        <w:rPr>
          <w:b/>
        </w:rPr>
        <w:t>POSSIBLE 2023:</w:t>
      </w:r>
      <w:r>
        <w:t xml:space="preserve"> PREVALENCE OF OBESITY AND METABOLIC SYNDROME IN YOUNG PEOPLE: CURRENT STATE OF THE PROBLEM — https://doi.org/10.32782/2522-1795.2023.14.5</w:t>
      </w:r>
    </w:p>
    <w:p>
      <w:pPr/>
      <w:r>
        <w:rPr>
          <w:b/>
        </w:rPr>
        <w:t>Shared claim-specific concepts:</w:t>
      </w:r>
      <w:r>
        <w:t xml:space="preserve"> increase, prevalence, obesity, every; EU scope visible. This is a provisional connection, not an outcome finding.</w:t>
      </w:r>
    </w:p>
    <w:p>
      <w:pPr>
        <w:pStyle w:val="SourceNote"/>
      </w:pPr>
      <w:r>
        <w:rPr>
          <w:b/>
        </w:rPr>
        <w:t>Available abstract (not full text):</w:t>
      </w:r>
      <w:r>
        <w:t xml:space="preserve"> The purpose of the article is to study the current state of the problem related to prevalence of obesity and metabolic syndrome in young people. Research methods. The theoretical analysis of special literature sources involved the use of a number of the following methods: reconstruction, apperception, aspect analysis, hermeneutic analysis and critical analysis. Results. Previously, it was believed that the problem of obesity is relevant for countries with a high living standards, but now the number of young people suffering from excess body weight and obesity is increasing in low- and middle-income countries, especially in urban settings. The prevalence of metabolic syndrome among young people causes concern among specialists. According to the results of numerous studies, every fourth person in the population has signs of metabolic syndrome, the prevalence of which increases over the time. In recent years, the world’s leading health organizations - WHO, National Cholesterol Education Program, International Diabetes Federation – studied the problem of metabolic syndrome emergence, developed approaches to its diagnosis and treatment, as a result of which the concept of metabolic syndrome as a cluster of risk factors for type 2 diabetes type and cardiovascular diseases, underwent a number of evolutionary transformations. In the historical aspect, the most significant identificatio</w:t>
      </w:r>
    </w:p>
    <w:p>
      <w:pPr/>
      <w:r>
        <w:rPr>
          <w:b/>
        </w:rPr>
        <w:t>POSSIBLE 2022:</w:t>
      </w:r>
      <w:r>
        <w:t xml:space="preserve"> Prevalence and Correlates of Overweight and Obesity in 12 European Countries in 2017–2018 — https://doi.org/10.1159/000525792</w:t>
      </w:r>
    </w:p>
    <w:p>
      <w:pPr/>
      <w:r>
        <w:rPr>
          <w:b/>
        </w:rPr>
        <w:t>Shared claim-specific concepts:</w:t>
      </w:r>
      <w:r>
        <w:t xml:space="preserve"> prevalence, obesity, adult, obese; EU scope visible. This is a provisional connection, not an outcome finding.</w:t>
      </w:r>
    </w:p>
    <w:p>
      <w:pPr>
        <w:pStyle w:val="SourceNote"/>
      </w:pPr>
      <w:r>
        <w:rPr>
          <w:b/>
        </w:rPr>
        <w:t>Available abstract (not full text):</w:t>
      </w:r>
      <w:r>
        <w:t xml:space="preserve"> INTRODUCTION: Using data from the TackSHS survey, we aim to provide updated estimates on the prevalence and determinants of overweight and obesity in Europe. METHODS: A face-to-face survey was conducted in 2017-2018 in 12 European countries (Bulgaria, England, France, Germany, Greece, Ireland, Italy, Latvia, Poland, Portugal, Romania, and Spain). Overall, 10,810 participants, representative in each country of the general adult population, provided information on self-reported height and weight. RESULTS: Almost half of participants (48.1%; 95% confidence interval, CI: 47.2-49.1) reported to be overweight or obese (54.1% in men and 42.5% in women) and 12.6% (95% CI: 12.0-13.2) obese (11.3% in men and 13.8% in women). Obesity prevalence was lowest in Italy (7.5%) and France (8.8%) and highest in Greece (19.7%) and Romania (21.1%). Multilevel logistic random-effects analyses showed that prevalence of obesity was related with higher age and lower level of education and socioeconomic status. As compared to northern European countries, Western and Southern European ones showed a significantly lower obesity prevalence. When compared to a companion study conducted in 2010, Eastern and Northern European countries showed an increased trend in obesity prevalence. Conversely, countries with the lowest obesity prevalence (less than 10%), such as Italy and France, showed a decreased trend. CO</w:t>
      </w:r>
    </w:p>
    <w:p>
      <w:pPr/>
      <w:r>
        <w:rPr>
          <w:b/>
        </w:rPr>
        <w:t>POSSIBLE 2022:</w:t>
      </w:r>
      <w:r>
        <w:t xml:space="preserve"> A 2022 update on the epidemiology of obesity and a call to action: as its twin COVID-19 pandemic appears to be receding, the obesity and dysmetabolism pandemic continues to rage on — https://doi.org/10.1016/j.metabol.2022.155217</w:t>
      </w:r>
    </w:p>
    <w:p>
      <w:pPr/>
      <w:r>
        <w:rPr>
          <w:b/>
        </w:rPr>
        <w:t>Shared claim-specific concepts:</w:t>
      </w:r>
      <w:r>
        <w:t xml:space="preserve"> increase, prevalence, obesity, obese; EU scope visible. This is a provisional connection, not an outcome finding.</w:t>
      </w:r>
    </w:p>
    <w:p>
      <w:pPr>
        <w:pStyle w:val="SourceNote"/>
      </w:pPr>
      <w:r>
        <w:rPr>
          <w:b/>
        </w:rPr>
        <w:t>Available abstract (not full text):</w:t>
      </w:r>
      <w:r>
        <w:t xml:space="preserve"> The WHO just released in May 2022 a report on the state of the obesity pandemic in Europe, stating that 60% of citizens in the area of Europe are either overweight or obese, and highlighting the implications of the obesity pandemic, especially as it interacts with the COVID pandemic to create a twin pandemic, to increase morbidity and mortality. Obesity is a complex disease which has reached pandemic dimensions. The worldwide prevalence of obesity has nearly tripled since 1975, mainly due to the adoption of a progressively more sedentary lifestyle and the consumption of less healthy diets. We first report herein updated prevalence rates of overweight and obesity by sex, age, and region first in Europe, per the WHO report, and then worldwide between 1980 and 2019, as we analyze and present herein the data provided by the Global Burden of Disease Study. The prevalence of obesity is higher in women than in men of any age and the prevalence of both overweight and obesity increases with age and has reached their highest point between the ages of 50 to 65 years showing a slight downward trend afterwards. The age-standardized prevalence of obesity has increased from 4.6% in 1980 to 14.0% in 2019. The American and European region have the highest obesity prevalence and the USA and Russia are the countries with the most obese residents. Given dire implications in terms of comorbidities </w:t>
      </w:r>
    </w:p>
    <w:p>
      <w:pPr/>
      <w:r>
        <w:rPr>
          <w:b/>
        </w:rPr>
        <w:t>POSSIBLE 2022:</w:t>
      </w:r>
      <w:r>
        <w:t xml:space="preserve"> Prevalence and Socioeconomic Correlates of Adult Obesity in Europe: The Feel4Diabetes Study — https://doi.org/10.3390/ijerph191912572</w:t>
      </w:r>
    </w:p>
    <w:p>
      <w:pPr/>
      <w:r>
        <w:rPr>
          <w:b/>
        </w:rPr>
        <w:t>Shared claim-specific concepts:</w:t>
      </w:r>
      <w:r>
        <w:t xml:space="preserve"> increase, prevalence, obesity, adult, obese; EU scope visible. This is a provisional connection, not an outcome finding.</w:t>
      </w:r>
    </w:p>
    <w:p>
      <w:pPr>
        <w:pStyle w:val="SourceNote"/>
      </w:pPr>
      <w:r>
        <w:rPr>
          <w:b/>
        </w:rPr>
        <w:t>Available abstract (not full text):</w:t>
      </w:r>
      <w:r>
        <w:t xml:space="preserve"> To effectively tackle obesity, it is necessary to identify all specific socioeconomic factors which contribute to its development. We aimed to highlight the prevalence of adult overweight/obesity in European countries and investigate the association of various socioeconomic factors and their accumulative effect on overweight/obesity status. Cross-sectional data from the Feel4Diabetes study for 24,562 adults residing in low socioeconomic areas were collected, representing Belgium, Finland, Greece, Spain, Bulgaria, and Hungary. Socioeconomic Burden Score (SEBS) was created, accounting for unemployment, financial insecurity, and education ≤ 12 years. Data were analyzed using analysis of variance and logistic regression. In total, 19,063 adults with complete data were included (34.5% overweight and 15.8% obese). The highest overweight/obesity rates occurred in Greece (37.5%/17.8%) and Hungary (35.4%/19.7%). After adjusting for confounders, age of &lt;45 years and female sex were inversely associated with overweight/obesity, while low educational level (≤12 years), unemployment, and financial insecurity were positively associated. The increase in SEBS (clustering of socioeconomic disadvantages) was associated with increased overweight/obesity likelihood. This association of SEBS scores with overweight/obesity was evident for males and females across all examined countries, excluding ma</w:t>
      </w:r>
    </w:p>
    <w:p>
      <w:pPr/>
      <w:r>
        <w:rPr>
          <w:b/>
        </w:rPr>
        <w:t>POSSIBLE 2022:</w:t>
      </w:r>
      <w:r>
        <w:t xml:space="preserve"> Supplementary Material for: Prevalence and correlates of overweight and obesity in 12 European Countries in 2017-2018 — https://doi.org/10.6084/m9.figshare.20417997</w:t>
      </w:r>
    </w:p>
    <w:p>
      <w:pPr/>
      <w:r>
        <w:rPr>
          <w:b/>
        </w:rPr>
        <w:t>Shared claim-specific concepts:</w:t>
      </w:r>
      <w:r>
        <w:t xml:space="preserve"> prevalence, obesity, adult, obese; EU scope visible. This is a provisional connection, not an outcome finding.</w:t>
      </w:r>
    </w:p>
    <w:p>
      <w:pPr>
        <w:pStyle w:val="SourceNote"/>
      </w:pPr>
      <w:r>
        <w:rPr>
          <w:b/>
        </w:rPr>
        <w:t>Available abstract (not full text):</w:t>
      </w:r>
      <w:r>
        <w:t xml:space="preserve"> Introduction: Using data from the TackSHS survey, we aim to provide updated estimates on the prevalence and determinants of overweight and obesity in Europe. Methods: A face-to-face survey was conducted in 2017-2018 in 12 European countries (Bulgaria, England, France, Germany, Greece, Ireland, Italy, Latvia, Poland, Portugal, Romania, and Spain). Overall, 10,810 participants, representative in each country of the general adult population, provided information on self-reported height and weight. Results: Almost half of participants (48.1%; 95% confidence interval, CI: 47.2-49.1) reported to be overweight or obese (54.1% in men and 42.5% in women), and 12.6% (95% CI: 12.0-13.2) obese (11.3% in men and 13.8% in women). Obesity prevalence was lowest in Italy (7.5%) and France (8.8%), and highest in Greece (19.7%) and Romania (21.1%). Multilevel logistic random-effects analyses showed that prevalence of obesity was related with higher age and lower level of education and socioeconomic status. As compared to northern European countries, Western and Southern European ones showed a significantly lower obesity prevalence. When compared to a companion study conducted in 2010, Eastern and Northern European countries showed an increased trend in obesity prevalence. Conversely, countries with the lowest obesity prevalence (less than 10%), such as Italy and France, showed a decreased trend. </w:t>
      </w:r>
    </w:p>
    <w:p>
      <w:pPr/>
      <w:r>
        <w:rPr>
          <w:b/>
        </w:rPr>
        <w:t>POSSIBLE 2022:</w:t>
      </w:r>
      <w:r>
        <w:t xml:space="preserve"> Increased Scabies Incidence at the Beginning of the 21st Century: What Do Reports from Europe and the World Show? — https://doi.org/10.3390/life12101598</w:t>
      </w:r>
    </w:p>
    <w:p>
      <w:pPr/>
      <w:r>
        <w:rPr>
          <w:b/>
        </w:rPr>
        <w:t>Shared claim-specific concepts:</w:t>
      </w:r>
      <w:r>
        <w:t xml:space="preserve"> increase, prevalence, every; EU scope visible. This is a provisional connection, not an outcome finding.</w:t>
      </w:r>
    </w:p>
    <w:p>
      <w:pPr>
        <w:pStyle w:val="SourceNote"/>
      </w:pPr>
      <w:r>
        <w:rPr>
          <w:b/>
        </w:rPr>
        <w:t>Available abstract (not full text):</w:t>
      </w:r>
      <w:r>
        <w:t xml:space="preserve"> Reports from various countries have described increasing numbers of scabies cases, especially in the past two decades. The epidemiological data for various world regions showed prevalence estimates ranging from 0.2% to 71%, with the highest prevalence in the Pacific region and Latin America. Therefore, geographically, scabies occurs more commonly in the developing world, tropical climates, and in areas with a lack of access to water. According to results from specific regions of the world, the greatest burdens from scabies were recorded for East Asia, Southeast Asia, Oceania, tropical Latin America, and South Asia. Among countries with the highest rates, the top 10 were Indonesia, China, Timor-Leste, Vanuatu, Fiji, Cambodia, Laos, Myanmar, Vietnam, and the Seychelles. From Europe, available data shows an increasing trend in scabies infestation, particularly evident among populations with associated contributing factors, such as those who travel frequently, refugees, asylum seekers, those who regularly lack drinking water and appropriate hygiene and are of a younger age, etc. This increase in observed cases in the last 10-20 years has been evidenced by research conducted in Germany, France, Norway, and Croatia, among other countries. In addition, increased scabies transmission was also recorded during the COVID-19 pandemic and may have been the result of increased sexual interco</w:t>
      </w:r>
    </w:p>
    <w:p>
      <w:pPr>
        <w:pStyle w:val="Heading2"/>
      </w:pPr>
      <w:r>
        <w:t>777. UK-EU RELATIONSHIP AFTER BREXIT: AN EXERCISE IN SCENARIO-BUILDING</w:t>
      </w:r>
    </w:p>
    <w:p>
      <w:pPr>
        <w:pStyle w:val="SourceNote"/>
      </w:pPr>
      <w:r>
        <w:rPr>
          <w:b/>
        </w:rPr>
        <w:t>Original source (2018):</w:t>
      </w:r>
      <w:r>
        <w:t xml:space="preserve"> https://doi.org/10.9770/jssi.2018.8.1(3)</w:t>
      </w:r>
    </w:p>
    <w:p>
      <w:pPr/>
      <w:r>
        <w:t>Original wording (abstract; indexed_source_text_not_full_document_verified): In 2010s, the mainstream academic debate slowly but surely shifted towards European Union's internal crisis and the possibility of its disintegration.United Kingdom applying to exit the Union in 2017 is the most recent and arguably the strongest indicator of such possibility."Brexit" (as this process was dubbed) provides an interesting testing ground for latent European disintegration theories proposed by some political scientists.As the withdrawal negotiations have just started, one can only raise causal arguments for the future (if..., then); therefore this article employs scenario-building methodology recently established in political science with an aim to develop a set of scenarios of possible UK-EU relationship after Brexit.Four driving forces are cross-combined: (1) U.S. involvement in European security matters and bilateral relations with UK, (2) German leadership of the integrationist projects within the EU, (3) activism of the European Commission and the European Court of Justice, and (4) the stability of current minority cabinet in UK under Prime Minister May.The three scenarios that logically follow are: (1) UK as member of a nascent European security and defence union, (2) UK's return to the EU, and (3) UK as an independent power in an "anglobal" world.Rarely, however, do any scenarios composed by political scientists ever materialize in full and a mix of all three scenarios is most likely to come to pass over the course of the next five years or so.</w:t>
      </w:r>
    </w:p>
    <w:p>
      <w:pPr/>
      <w:r>
        <w:rPr>
          <w:b/>
        </w:rPr>
        <w:t>POSSIBLE 2026:</w:t>
      </w:r>
      <w:r>
        <w:t xml:space="preserve"> The Marginalisation and Mainstreaming of Feminist Philosophy — https://openalex.org/W7167998293</w:t>
      </w:r>
    </w:p>
    <w:p>
      <w:pPr/>
      <w:r>
        <w:rPr>
          <w:b/>
        </w:rPr>
        <w:t>Shared claim-specific concepts:</w:t>
      </w:r>
      <w:r>
        <w:t xml:space="preserve"> mainstream, academic, but; EU scope not established. This is a provisional connection, not an outcome finding.</w:t>
      </w:r>
    </w:p>
    <w:p>
      <w:pPr>
        <w:pStyle w:val="SourceNote"/>
      </w:pPr>
      <w:r>
        <w:rPr>
          <w:b/>
        </w:rPr>
        <w:t>Available abstract (not full text):</w:t>
      </w:r>
      <w:r>
        <w:t xml:space="preserve"> Feminist philosophy has long been marginalized in philosophy. In response, some feminist philosophers have called for and carried out efforts to mainstream feminist philosophy. In some cases, this mainstreaming has paid off. This paper considers the case of the mainstreaming of feminist philosophy of science, which in the last two decades has assumed an important place in mainstream philosophy of science. Mainstreaming has significant benefits, but it also comes at a cost. I identify two problems: the persistent marginalisation of some strands of feminist research, and a loss of connections to feminist philosophy. By developing an account of disciplinary marginalisation and mainstreaming, this paper contributes to our understanding of the structure of academic disciplines and identifies lessons for the discipline of philosophy.</w:t>
      </w:r>
    </w:p>
    <w:p>
      <w:pPr/>
      <w:r>
        <w:rPr>
          <w:b/>
        </w:rPr>
        <w:t>POSSIBLE 2025:</w:t>
      </w:r>
      <w:r>
        <w:t xml:space="preserve"> Re-imagining a multicultural Europe: the experience of the R.E.D. (Reframing the European Dream) Carpet — https://doi.org/10.4337/9781035310036.00032</w:t>
      </w:r>
    </w:p>
    <w:p>
      <w:pPr/>
      <w:r>
        <w:rPr>
          <w:b/>
        </w:rPr>
        <w:t>Shared claim-specific concepts:</w:t>
      </w:r>
      <w:r>
        <w:t xml:space="preserve"> mainstream, academic, debate; EU scope visible. This is a provisional connection, not an outcome finding.</w:t>
      </w:r>
    </w:p>
    <w:p>
      <w:pPr>
        <w:pStyle w:val="SourceNote"/>
      </w:pPr>
      <w:r>
        <w:rPr>
          <w:b/>
        </w:rPr>
        <w:t>Available abstract (not full text):</w:t>
      </w:r>
      <w:r>
        <w:t xml:space="preserve"> This chapter examines the political and academic debate on multiculturalism and cosmopolitanism, going so far as to argue that a false dichotomy has been drawn between the two. By exploring the narratives through which migration processes – and the mixture of different cultures they promote – are framed in European mainstream media discourse, the authors highlight the ambiguous recognition of difference and respect for the ‘other’ emerging from a cosmopolitanism devoid of multicultural ethos. Taking the art installation R.E.D. (Reframing the European Dream) Carpet – resulting from the collaboration between researchers, migrants, first-line practitioners and artists – as a case study, this chapter reflects on the role of art in challenging both the assimilationist logic and the processes of othering. Aesthetic practices show their potential as critical tools able to re-politicize the role of migration and diversity in a multicultural society while fostering the re-imagination of the political order that enables cosmopolitanism.</w:t>
      </w:r>
    </w:p>
    <w:p>
      <w:pPr/>
      <w:r>
        <w:rPr>
          <w:b/>
        </w:rPr>
        <w:t>POSSIBLE 2024:</w:t>
      </w:r>
      <w:r>
        <w:t xml:space="preserve"> Unsettling mainstream academic debates on community-based energy governance: Exploring the Japanese experience — https://doi.org/10.1016/j.rser.2024.114994</w:t>
      </w:r>
    </w:p>
    <w:p>
      <w:pPr/>
      <w:r>
        <w:rPr>
          <w:b/>
        </w:rPr>
        <w:t>Shared claim-specific concepts:</w:t>
      </w:r>
      <w:r>
        <w:t xml:space="preserve"> mainstream, academic, provides; EU scope visible. This is a provisional connection, not an outcome finding.</w:t>
      </w:r>
    </w:p>
    <w:p>
      <w:pPr>
        <w:pStyle w:val="SourceNote"/>
      </w:pPr>
      <w:r>
        <w:rPr>
          <w:b/>
        </w:rPr>
        <w:t>Available abstract (not full text):</w:t>
      </w:r>
      <w:r>
        <w:t xml:space="preserve"> Community-based energy governance (CEG), in which citizens or communities play a central role, has attracted sufficient attention in the context of efforts to achieve a democratic and just energy transition. Despite this surge of interest, however, a crucial limitation of the CEG literature is that its conceptualisation relies mainly on the analyses of case studies and literature from North Western Europe. To address this geographic bias, this paper conducts a rigorous review of Japanese debates on CEG, shedding new light on how the first-hand experience of the Fukushima nuclear power plant accident in 2011 has led to new dialogues, based on its domestic interdisciplinary traditions to tackle environmental pollution in Japan. The analysis shows that the challenges addressed by CEG can vary across geographical contexts. CEG in Japan has, first and foremost, been understood as an alternative to the “exogenous” or “colonial” regional development underlying the Japanese energy system. Here, community has been approached as a starting point to address the geographical economic disparity that exists in the existing energy system, by attaining “endogenous development” and “energy autonomy”. The analysis, therefore, provides an alternative perspective for the critical scrutiny of dominant approaches towards CEG in “Western” tradition, while pointing to the need for further in-depth inq</w:t>
      </w:r>
    </w:p>
    <w:p>
      <w:pPr/>
      <w:r>
        <w:rPr>
          <w:b/>
        </w:rPr>
        <w:t>POSSIBLE 2022:</w:t>
      </w:r>
      <w:r>
        <w:t xml:space="preserve"> Policy mixes for mainstreaming urban nature-based solutions: An analysis of six European countries and the European Union — https://doi.org/10.1016/j.envsci.2022.10.011</w:t>
      </w:r>
    </w:p>
    <w:p>
      <w:pPr/>
      <w:r>
        <w:rPr>
          <w:b/>
        </w:rPr>
        <w:t>Shared claim-specific concepts:</w:t>
      </w:r>
      <w:r>
        <w:t xml:space="preserve"> mainstream, but, union; EU scope visible. This is a provisional connection, not an outcome finding.</w:t>
      </w:r>
    </w:p>
    <w:p>
      <w:pPr>
        <w:pStyle w:val="SourceNote"/>
      </w:pPr>
      <w:r>
        <w:rPr>
          <w:b/>
        </w:rPr>
        <w:t>Available abstract (not full text):</w:t>
      </w:r>
      <w:r>
        <w:t xml:space="preserve"> Nature-based solutions (NBS) are multifunctional and cost-effective innovations delivering urban sustainability, but they are not yet mainstream in urban development. This can be explained by persistent structural conditions in the urban infrastructure regime, resulting in barriers such as lack of collaborative governance, inadequate knowledge and limited funding availability. In this paper we argue that (supra)national governments could play an important role in breaking down these barriers by employing policy instruments and strategically combining these into policy mixes targeting multiple regime structures. By means of an empirical analysis across six European countries and the European Union (EU), we provide an overview of regulatory, financial and soft (supra)national policy instruments supporting urban NBS mainstreaming and how these are combined in policy mixes across cases. In addition, we investigate policy mix comprehensiveness by mapping the extent to which these target each of the relevant urban infrastructure regime structures underpinning barriers to urban NBS mainstreaming. We demonstrate that, with the exception of the EU, none of the studied cases employs a fully comprehensive policy mix. We conclude that by strategically adopting policy instruments with the aim of crafting a comprehensive policy mix, obstacles in pathways to urban NBS mainstreaming could be o</w:t>
      </w:r>
    </w:p>
    <w:p>
      <w:pPr/>
      <w:r>
        <w:rPr>
          <w:b/>
        </w:rPr>
        <w:t>POSSIBLE 2022:</w:t>
      </w:r>
      <w:r>
        <w:t xml:space="preserve"> Sustainable development in the European Union — https://doi.org/10.4324/9780429262081-25</w:t>
      </w:r>
    </w:p>
    <w:p>
      <w:pPr/>
      <w:r>
        <w:rPr>
          <w:b/>
        </w:rPr>
        <w:t>Shared claim-specific concepts:</w:t>
      </w:r>
      <w:r>
        <w:t xml:space="preserve"> academic, debate, union, process; EU scope visible. This is a provisional connection, not an outcome finding.</w:t>
      </w:r>
    </w:p>
    <w:p>
      <w:pPr>
        <w:pStyle w:val="SourceNote"/>
      </w:pPr>
      <w:r>
        <w:rPr>
          <w:b/>
        </w:rPr>
        <w:t>Available abstract (not full text):</w:t>
      </w:r>
      <w:r>
        <w:t xml:space="preserve"> For many, the definition of sustainable development provided in the Brundtland Report marked the beginning of the era of sustainability. This chapter that there remains much rhetoric, not action, in the sustainability debate in the European Union (EU), undermining the credibility of the brand and the opportunity for sustainability to become ‘the vision’ for the future of the EU. Notions of sustainability transition are prominent in academic literature and influence EU policy frameworks. The Sustainable Development Goals will be at the heart of EU’s policymaking and action. The EU and the Member States share the competence for action on sustainability. The EU is proposing strategies, including measures to be put into operation at the national and sub-national levels. The objective of sustainability has been mainstreamed into EU domestic and external policies. Within the EU, the increased commitment to sustainability resulted in a deepening of the process of European integration from the late 1980s.</w:t>
      </w:r>
    </w:p>
    <w:p>
      <w:pPr/>
      <w:r>
        <w:rPr>
          <w:b/>
        </w:rPr>
        <w:t>POSSIBLE 2022:</w:t>
      </w:r>
      <w:r>
        <w:t xml:space="preserve"> European politics : Crises, fears, and debates — https://doi.org/10.56037/978-2-14-026532-7</w:t>
      </w:r>
    </w:p>
    <w:p>
      <w:pPr/>
      <w:r>
        <w:rPr>
          <w:b/>
        </w:rPr>
        <w:t>Shared claim-specific concepts:</w:t>
      </w:r>
      <w:r>
        <w:t xml:space="preserve"> but, union, disintegration; EU scope visible. This is a provisional connection, not an outcome finding.</w:t>
      </w:r>
    </w:p>
    <w:p>
      <w:pPr>
        <w:pStyle w:val="SourceNote"/>
      </w:pPr>
      <w:r>
        <w:rPr>
          <w:b/>
        </w:rPr>
        <w:t>Available abstract (not full text):</w:t>
      </w:r>
      <w:r>
        <w:t xml:space="preserve"> The European Union has been struggling with a multilevel poly-crisis, weakening popular support for European integration, over the past more than a decade. Political leaders aim to reverse these dynamics through democratising and politicising the Union in order to bring it closer to citizens. However, this runs counter to a trend of increasing political alienation among the same citizens at the national level. This is a book about troubled and troubling transformations in contemporary European societies and politics, which generate fears across the continent. Fears of disintegration at the European level, fears of disorder and instability at the national level, fears of disorientation at the individual level, fears of becoming irrelevant at the global level, and fears of the future that seems to be full of dangers and risks. The authors give an overview of public debates about key challenges – regarding social inequalities, demography, migration, the ecological debt, sustainable development, democracy, communication, populism, or strategic sovereignty – behind these fears, and explain alternative responses offered to them. They address university students in the first place, but also hope to shape awareness in a broader public. Today’s fears, if ignored or left unanswered, have a dangerous potential to evolve into a new political era of anxiety in Europe, with a presumably deva</w:t>
      </w:r>
    </w:p>
    <w:p>
      <w:pPr/>
      <w:r>
        <w:rPr>
          <w:b/>
        </w:rPr>
        <w:t>POSSIBLE 2022:</w:t>
      </w:r>
      <w:r>
        <w:t xml:space="preserve"> On Mainstreaming Philosophy of Science in Psychology Through “Psychological Theoretics — https://doi.org/10.18290/rpsych2022.0002</w:t>
      </w:r>
    </w:p>
    <w:p>
      <w:pPr/>
      <w:r>
        <w:rPr>
          <w:b/>
        </w:rPr>
        <w:t>Shared claim-specific concepts:</w:t>
      </w:r>
      <w:r>
        <w:t xml:space="preserve"> debate, but, surely, crisis; EU scope not established. This is a provisional connection, not an outcome finding.</w:t>
      </w:r>
    </w:p>
    <w:p>
      <w:pPr>
        <w:pStyle w:val="SourceNote"/>
      </w:pPr>
      <w:r>
        <w:rPr>
          <w:b/>
        </w:rPr>
        <w:t>Available abstract (not full text):</w:t>
      </w:r>
      <w:r>
        <w:t xml:space="preserve"> The principal goal of psychological science is not application but theory. This is because a good theory yields accurate predictions and control, two preconditions for applications. Thus, good psychological science is one that produces good theories. Against the background of reproducibility crisis and the apparent non-existence of an integrated subfield of psychology addressing those issues, I submit psychological theoretics (or psycho-theoretics) as a potential solution. The scope of psychological theoretics is outlined and distinguished from other closely related subfields. It was argued that psychological theoretics has the potential to make a unique contribution to the advancement of good psychological science. It is also worth noting that even if the global community of psychologists might not be ready for psychological theoretics as a new subfield, the reforms proposed under its rubrics would still remain relevant today and in the future. Indeed, the question of whether it is completely new will surely be the subject of scientific debate.</w:t>
      </w:r>
    </w:p>
    <w:p>
      <w:pPr/>
      <w:r>
        <w:rPr>
          <w:b/>
        </w:rPr>
        <w:t>POSSIBLE 2022:</w:t>
      </w:r>
      <w:r>
        <w:t xml:space="preserve"> Educational divides and class coalitions: How mainstream party voters divide and unite over immigration issues — https://doi.org/10.1080/1369183x.2022.2134989</w:t>
      </w:r>
    </w:p>
    <w:p>
      <w:pPr/>
      <w:r>
        <w:rPr>
          <w:b/>
        </w:rPr>
        <w:t>Shared claim-specific concepts:</w:t>
      </w:r>
      <w:r>
        <w:t xml:space="preserve"> mainstream, academic, internal; EU scope visible. This is a provisional connection, not an outcome finding.</w:t>
      </w:r>
    </w:p>
    <w:p>
      <w:pPr>
        <w:pStyle w:val="SourceNote"/>
      </w:pPr>
      <w:r>
        <w:rPr>
          <w:b/>
        </w:rPr>
        <w:t>Available abstract (not full text):</w:t>
      </w:r>
      <w:r>
        <w:t xml:space="preserve"> At the extremes of the transnational cleavage in Western European democracies, voters for far-right and green parties tend to hold polarising immigration attitudes. Yet, the extent to which immigration concerns divide mainstream left and right voters, and drive vote-choice at the ballot box for mainstream parties, is under-researched. In this article, I disentangle both immigration attitudes and mainstream electorates to answer these questions. I show that immigration issues divide electorates within the mainstream left and right along educational lines. Yet, the divide between low-educated and highly-educated voters, in particular regarding their cultural immigration concerns, is larger for the mainstream left. Secondly, turning to the drivers of vote choice, I find that cultural immigration issues explain voting for the mainstream right, particularly for lower educated voters, whereas economic concerns are associated with voting for the mainstream left, despite education level. The paper contributes to ongoing debates about immigration issues and voting by recalibrating the academic focus towards mainstream party electorates and internal divisions therein.</w:t>
      </w:r>
    </w:p>
    <w:p>
      <w:pPr/>
      <w:r>
        <w:rPr>
          <w:b/>
        </w:rPr>
        <w:t>POSSIBLE 2020:</w:t>
      </w:r>
      <w:r>
        <w:t xml:space="preserve"> The future of the European Union : demisting the debate — https://openalex.org/W3048134530</w:t>
      </w:r>
    </w:p>
    <w:p>
      <w:pPr/>
      <w:r>
        <w:rPr>
          <w:b/>
        </w:rPr>
        <w:t>Shared claim-specific concepts:</w:t>
      </w:r>
      <w:r>
        <w:t xml:space="preserve"> debate, union, brexit; EU scope visible. This is a provisional connection, not an outcome finding.</w:t>
      </w:r>
    </w:p>
    <w:p>
      <w:pPr>
        <w:pStyle w:val="SourceNote"/>
      </w:pPr>
      <w:r>
        <w:rPr>
          <w:b/>
        </w:rPr>
        <w:t>Available abstract (not full text):</w:t>
      </w:r>
      <w:r>
        <w:t xml:space="preserve"> Does Europe have a collective future, or will the coming years be marked by increasingly incoherent developments within the heterogeneous EU? There is no denying that the second decade of this century has seen a strong mood shift away from the inter-dependence and concerted actions that guided Europe’s national governments since the end of World War II, and then since the fall of the Berlin Wall. What connections, if any, are there between the paroxysms of Brexit in the UK and the varying shades of populism in continental Europe? The common denominator may simply be the painful economic pressures resulting from waning global competitiveness. It is clear that the high ideals of the European project no longer exert the same political pull. The EU’s dreams of progressing almost seamlessly from a trading zone to a shared political economy are not being realised. Where are the convergence policies that would exert centripetal rather than centrifugal forces? Where is the appetite for reforms leading to political union, and whatever happened to the idea of Europeans speaking with one voice? If the EU continues along its present path, the verdict of history may well be that it achieved little more than the welter of regulations needed to ensure trade flows. In geopolitical terms, Europe as a major player on the world stage may have been an illusion largely created by aggregating nation</w:t>
      </w:r>
    </w:p>
    <w:p>
      <w:pPr/>
      <w:r>
        <w:rPr>
          <w:b/>
        </w:rPr>
        <w:t>POSSIBLE 2020:</w:t>
      </w:r>
      <w:r>
        <w:t xml:space="preserve"> The Rise of Green Finance in Europe : Opportunities and Challenges for Issuers, Investors and Marketplaces — https://openalex.org/W3206542167</w:t>
      </w:r>
    </w:p>
    <w:p>
      <w:pPr/>
      <w:r>
        <w:rPr>
          <w:b/>
        </w:rPr>
        <w:t>Shared claim-specific concepts:</w:t>
      </w:r>
      <w:r>
        <w:t xml:space="preserve"> mainstream, academic, debate; EU scope visible. This is a provisional connection, not an outcome finding.</w:t>
      </w:r>
    </w:p>
    <w:p>
      <w:pPr>
        <w:pStyle w:val="SourceNote"/>
      </w:pPr>
      <w:r>
        <w:rPr>
          <w:b/>
        </w:rPr>
        <w:t>Available abstract (not full text):</w:t>
      </w:r>
      <w:r>
        <w:t xml:space="preserve"> This book offers a comprehensive discussion of how green finance has been growing thus far and explores the opportunities and key developments ahead, with particular emphasis on Europe. The main features of the market, the key products, the issue of correctly defining green finance, the main policy actions undertaken, the risk of green washing and the necessary steps to mainstream green finance are discussed in depth. In addition, the book analyses some highly relevant aspects of the market that so far have not been sufficiently explored in the policy, industry and academic debate. This includes the potential role of digitalisation and blockchain in fostering green finance, the crucial role of the effective financing of the agriculture to reach climate and environmental targets and the possible relationship between sustainable finance and other forms of "alternative" finance. This book will be of interest to academics, practitioners, financial institutions and policy makers involved in green finance and to the finance industry in general.</w:t>
      </w:r>
    </w:p>
    <w:p>
      <w:pPr/>
      <w:r>
        <w:rPr>
          <w:b/>
        </w:rPr>
        <w:t>POSSIBLE 2019:</w:t>
      </w:r>
      <w:r>
        <w:t xml:space="preserve"> Course “European Identity Politics”. Academic year2018-2019. Didactic materials — https://openalex.org/W3044140315</w:t>
      </w:r>
    </w:p>
    <w:p>
      <w:pPr/>
      <w:r>
        <w:rPr>
          <w:b/>
        </w:rPr>
        <w:t>Shared claim-specific concepts:</w:t>
      </w:r>
      <w:r>
        <w:t xml:space="preserve"> academic, but, united; EU scope visible. This is a provisional connection, not an outcome finding.</w:t>
      </w:r>
    </w:p>
    <w:p>
      <w:pPr>
        <w:pStyle w:val="SourceNote"/>
      </w:pPr>
      <w:r>
        <w:rPr>
          <w:b/>
        </w:rPr>
        <w:t>Available abstract (not full text):</w:t>
      </w:r>
      <w:r>
        <w:t xml:space="preserve"> Contents Project “European Velues and Identity Studies” ................. 4 Course: “European Identity Politics” ................................... 6 Teachers ................................................................................... 10 Reading Texts: Avraham Rot Constructing Identity and Embracing Boredom in United Europe ............................................................................... 11 Juliette Chevée Constructing a European identity: yes, but how? .................. 25 The manifesto of European patriots Fight for Europe – or the wreckers will destroy it ............................................. 28 Francis Fukuyama Against Identity Politics ......................................................... 31 About Jean Monnet .............................................................. 56 About ERASMUS+ Jean Monnet Programme ................... 58</w:t>
      </w:r>
    </w:p>
    <w:p>
      <w:pPr>
        <w:pStyle w:val="Heading2"/>
      </w:pPr>
      <w:r>
        <w:t>778. Using urban foresight techniques in city visioning: Lessons from the Reading 2050 vision</w:t>
      </w:r>
    </w:p>
    <w:p>
      <w:pPr>
        <w:pStyle w:val="SourceNote"/>
      </w:pPr>
      <w:r>
        <w:rPr>
          <w:b/>
        </w:rPr>
        <w:t>Original source (2018):</w:t>
      </w:r>
      <w:r>
        <w:t xml:space="preserve"> https://doi.org/10.1177/0269094218800677</w:t>
      </w:r>
    </w:p>
    <w:p>
      <w:pPr/>
      <w:r>
        <w:t>Original wording (abstract; indexed_source_text_not_full_document_verified): The emergence of urban (or city) foresight techniques focuses on the need to create coherent city visions to plan and manage for future long-term change and create opportunities for new investment into the local urban economy. The paper critically reviews the development of the vision for a small city (the ‘Reading 2050’ project, linked to the UK Future of Cities Foresight Programme), and the lessons it holds for visioning, foresight and planning, using the ‘quadruple helix’ framework as a conceptual lens for analysis.</w:t>
      </w:r>
    </w:p>
    <w:p>
      <w:pPr/>
      <w:r>
        <w:rPr>
          <w:b/>
        </w:rPr>
        <w:t>POSSIBLE 2026:</w:t>
      </w:r>
      <w:r>
        <w:t xml:space="preserve"> Between Planning and Informality: The Emergence of Hybrid Urbanism in Lebanese Cities — https://doi.org/10.51584/ijrias.2026.11013sp0015</w:t>
      </w:r>
    </w:p>
    <w:p>
      <w:pPr/>
      <w:r>
        <w:rPr>
          <w:b/>
        </w:rPr>
        <w:t>Shared claim-specific concepts:</w:t>
      </w:r>
      <w:r>
        <w:t xml:space="preserve"> emergence, urban; EU scope not established. This is a provisional connection, not an outcome finding.</w:t>
      </w:r>
    </w:p>
    <w:p>
      <w:pPr>
        <w:pStyle w:val="SourceNote"/>
      </w:pPr>
      <w:r>
        <w:rPr>
          <w:b/>
        </w:rPr>
        <w:t>Available abstract (not full text):</w:t>
      </w:r>
      <w:r>
        <w:t xml:space="preserve"> Urban development in Lebanon presents a complex case where formal planning frameworks coexist with widespread informal urban practices. This paper examines the emergence of hybrid urbanism in Lebanese cities by analyzing the interaction between planning institutions, market forces, and informal urban development. The study adopts a qualitative analytical approach based on urban planning literature, institutional analysis, and the examination of urban development patterns in Lebanon. The findings indicate that urban growth in Lebanon is shaped by multiple structural factors, including conflict-induced migration, real estate dynamics, institutional fragmentation, and limited regulatory enforcement. These factors contribute to the formation of hybrid urban systems in which formal planning regulations operate alongside negotiated development practices and informal construction processes. The spatial consequences of this hybrid condition are visible in the fragmented urban morphology of Lebanese cities, characterized by mixed land uses, peri-urban expansion, and coastal urbanization. The study argues that conventional planning models based on strict regulatory control are insufficient to address the realities of urban development in Lebanon. Instead, more adaptive and context-sensitive planning strategies are required to respond to the hybrid nature of urban governance and spatial t</w:t>
      </w:r>
    </w:p>
    <w:p>
      <w:pPr/>
      <w:r>
        <w:rPr>
          <w:b/>
        </w:rPr>
        <w:t>POSSIBLE 2026:</w:t>
      </w:r>
      <w:r>
        <w:t xml:space="preserve"> Exploring the emergence of innovation districts as volumetric urban projects in Taipei City — https://doi.org/10.1080/12265934.2026.2637658</w:t>
      </w:r>
    </w:p>
    <w:p>
      <w:pPr/>
      <w:r>
        <w:rPr>
          <w:b/>
        </w:rPr>
        <w:t>Shared claim-specific concepts:</w:t>
      </w:r>
      <w:r>
        <w:t xml:space="preserve"> emergence, urban, city; EU scope not established. This is a provisional connection, not an outcome finding.</w:t>
      </w:r>
    </w:p>
    <w:p>
      <w:pPr>
        <w:pStyle w:val="SourceNote"/>
      </w:pPr>
      <w:r>
        <w:rPr>
          <w:b/>
        </w:rPr>
        <w:t>Available abstract (not full text):</w:t>
      </w:r>
      <w:r>
        <w:t xml:space="preserve"> Recent studies have often overemphasized the planning of innovation districts (IDs) as an area-based territorial extension that supports localized innovation and entrepreneurship. However, this approach obviously neglects to explore the three-dimensional growth of the volumetric properties that are produced and extracted through spatial governance practices in an ID. This paper addresses that gap with a qualitative case study of Nangang District in Taipei City to investigate how spatial governance practices contribute to the institutionalization of volumetric growth in an ID. While place-based urban development has been strategically referred to as innovation-led economic development, this paper argues that the emergence and evolution of IDs are driven by three urban volumetric strategies for securing volumetric properties: engineering, anchoring, and financialization strategies. These strategies reveal that state-led spatial governance simultaneously pursues the political-economic objectives of achieving urban–industrial upgrading while also generating governance tensions and potential conflicts associated with the vertical expansion of the innovation district. Furthermore, this research suggests that a deeper understanding of the volumetric properties of innovation districts is essential for shaping urban planning and policymaking that are capable of fostering dynamic and res</w:t>
      </w:r>
    </w:p>
    <w:p>
      <w:pPr/>
      <w:r>
        <w:rPr>
          <w:b/>
        </w:rPr>
        <w:t>POSSIBLE 2026:</w:t>
      </w:r>
      <w:r>
        <w:t xml:space="preserve"> Cities As Interfaces of Zoonotic Hazard Emergence: Development of the New York City Tick and Wildlife Urban Surveillance System — https://doi.org/10.3791/69755</w:t>
      </w:r>
    </w:p>
    <w:p>
      <w:pPr/>
      <w:r>
        <w:rPr>
          <w:b/>
        </w:rPr>
        <w:t>Shared claim-specific concepts:</w:t>
      </w:r>
      <w:r>
        <w:t xml:space="preserve"> emergence, urban, city, long-term; EU scope not established. This is a provisional connection, not an outcome finding.</w:t>
      </w:r>
    </w:p>
    <w:p>
      <w:pPr>
        <w:pStyle w:val="SourceNote"/>
      </w:pPr>
      <w:r>
        <w:rPr>
          <w:b/>
        </w:rPr>
        <w:t>Available abstract (not full text):</w:t>
      </w:r>
      <w:r>
        <w:t xml:space="preserve"> Tick-borne hazards in urban landscapes are increasing, yet critical gaps remain in understanding human tick-borne disease risk across urbanization gradients. With the loss of natural habitat globally, urban greenspaces can provide a critical habitat for wildlife with varying consequences for tick-borne disease emergence. The New York City metropolitan area has the highest human population density and geographic footprint of any city in the United States, while containing a vast network of greenspaces. These urban greenspaces vary in surrounding land cover and connectivity, providing important refugia and habitat for hundreds of urban wildlife species, which have been historically understudied. To the best of the authors' knowledge, there are no urban tick surveillance systems in place to monitor how ticks and their wildlife hosts respond to and emerge in urban environments. To address this gap, a long-term urban tick and wildlife surveillance system was developed across an urbanization gradient from New York City through Long Island, NY. Here, we describe the process of working with a diverse group of partners to design, implement, and maintain a paired wildlife camera trapping and tick surveillance system. The process began by the formation of an advisory committee of tick-borne disease experts and wildlife management partners who provided insights and feedback to collaborativ</w:t>
      </w:r>
    </w:p>
    <w:p>
      <w:pPr/>
      <w:r>
        <w:rPr>
          <w:b/>
        </w:rPr>
        <w:t>POSSIBLE 2026:</w:t>
      </w:r>
      <w:r>
        <w:t xml:space="preserve"> Emergence of Wetland Neighbourhoods in Port Harcourt and the Challenge to the Urban Planner — https://openalex.org/W7154801030</w:t>
      </w:r>
    </w:p>
    <w:p>
      <w:pPr/>
      <w:r>
        <w:rPr>
          <w:b/>
        </w:rPr>
        <w:t>Shared claim-specific concepts:</w:t>
      </w:r>
      <w:r>
        <w:t xml:space="preserve"> emergence, urban, techniques, need; EU scope not established. This is a provisional connection, not an outcome finding.</w:t>
      </w:r>
    </w:p>
    <w:p>
      <w:pPr>
        <w:pStyle w:val="SourceNote"/>
      </w:pPr>
      <w:r>
        <w:rPr>
          <w:b/>
        </w:rPr>
        <w:t>Available abstract (not full text):</w:t>
      </w:r>
      <w:r>
        <w:t xml:space="preserve"> Rapid urban expansion and land-use changes have increasingly encroached upon wetland ecosystems, leading to their degradation and loss, particularly in developing regions where planning control is limited. In cities like Port Harcourt, this has resulted in a transition from informal wetland settlements to more structured residential developments, raising critical concerns for sustainable urban planning and environmental management. This study examines the emergence and expansion of wetland neighbourhoods in Port Harcourt, focusing on their spatial patterns, socio-economic characteristics, underlying drivers, and implications for urban planning. Rapid urbanization, rising land values, and increasing housing costs within the formal urban core have intensified pressure on marginal lands, leading to settlement growth in environmentally sensitive wetland areas. A mixed-method approach was adopted, combining 131 structured questionnaires across six purposively selected neighbourhoods with field observations and geospatial analysis. Spatial techniques, including a distance matrix, were used to assess the relationship between settlement location and proximity to major road infrastructure. Findings reveal that wetland neighbourhoods are increasingly occupied by middle-income residents, indicating a transition from traditional low-income informal settlements to more hybrid development fo</w:t>
      </w:r>
    </w:p>
    <w:p>
      <w:pPr/>
      <w:r>
        <w:rPr>
          <w:b/>
        </w:rPr>
        <w:t>POSSIBLE 2026:</w:t>
      </w:r>
      <w:r>
        <w:t xml:space="preserve"> Emergence of Wetland Neighbourhoods in Port Harcourt and the Challenge to the Urban Planner — https://doi.org/10.9734/jgeesi/2026/v30i41039</w:t>
      </w:r>
    </w:p>
    <w:p>
      <w:pPr/>
      <w:r>
        <w:rPr>
          <w:b/>
        </w:rPr>
        <w:t>Shared claim-specific concepts:</w:t>
      </w:r>
      <w:r>
        <w:t xml:space="preserve"> emergence, urban, techniques, need; EU scope not established. This is a provisional connection, not an outcome finding.</w:t>
      </w:r>
    </w:p>
    <w:p>
      <w:pPr>
        <w:pStyle w:val="SourceNote"/>
      </w:pPr>
      <w:r>
        <w:rPr>
          <w:b/>
        </w:rPr>
        <w:t>Available abstract (not full text):</w:t>
      </w:r>
      <w:r>
        <w:t xml:space="preserve"> Rapid urban expansion and land-use changes have increasingly encroached upon wetland ecosystems, leading to their degradation and loss, particularly in developing regions where planning control is limited. In cities like Port Harcourt, this has resulted in a transition from informal wetland settlements to more structured residential developments, raising critical concerns for sustainable urban planning and environmental management. This study examines the emergence and expansion of wetland neighbourhoods in Port Harcourt, focusing on their spatial patterns, socio-economic characteristics, underlying drivers, and implications for urban planning. Rapid urbanization, rising land values, and increasing housing costs within the formal urban core have intensified pressure on marginal lands, leading to settlement growth in environmentally sensitive wetland areas. A mixed-method approach was adopted, combining 131 structured questionnaires across six purposively selected neighbourhoods with field observations and geospatial analysis. Spatial techniques, including a distance matrix, were used to assess the relationship between settlement location and proximity to major road infrastructure. Findings reveal that wetland neighbourhoods are increasingly occupied by middle-income residents, indicating a transition from traditional low-income informal settlements to more hybrid development fo</w:t>
      </w:r>
    </w:p>
    <w:p>
      <w:pPr/>
      <w:r>
        <w:rPr>
          <w:b/>
        </w:rPr>
        <w:t>POSSIBLE 2026:</w:t>
      </w:r>
      <w:r>
        <w:t xml:space="preserve"> Urban historical analysis of the emergence and development of Bishkek — https://doi.org/10.63621/as./1.2025.22</w:t>
      </w:r>
    </w:p>
    <w:p>
      <w:pPr/>
      <w:r>
        <w:rPr>
          <w:b/>
        </w:rPr>
        <w:t>Shared claim-specific concepts:</w:t>
      </w:r>
      <w:r>
        <w:t xml:space="preserve"> emergence, urban, city, plan; EU scope not established. This is a provisional connection, not an outcome finding.</w:t>
      </w:r>
    </w:p>
    <w:p>
      <w:pPr>
        <w:pStyle w:val="SourceNote"/>
      </w:pPr>
      <w:r>
        <w:rPr>
          <w:b/>
        </w:rPr>
        <w:t>Available abstract (not full text):</w:t>
      </w:r>
      <w:r>
        <w:t xml:space="preserve"> Following the Presidential Decree of the Kyrgyz Republic dated 29 December 2023 on the expansion of the administrative-territorial boundaries of Bishkek, by analogy with cities such as Moscow, New Delhi, and Greater London, this territorial enlargement has given rise to numerous urban planning challenges and has exacerbated existing issues affecting the vital interests of the population. With the extension of the urban area, multiple questions emerge regarding the city’s historical reference framework, including the integration of newly incorporated monuments of historical, cultural, landscape, and other significance. The aim of this study was to establish the theoretical foundations for the rational, economically efficient, and anticipatory development of the capital of Kyrgyzstan. The research employed historical-chronological and historical-urban analyses (comparing master plans from 1878 to 2025), a systematic interdisciplinary approach (considering natural, climatic, and seismic factors), a comparative-historical method, and critical analysis of primary sources. The study revealed that the regular rectangular street grid of Pishpek in 1878 established a resilient framework for contemporary Bishkek. It analysed the stages of transformation of the urban layout during the Soviet and post-Soviet periods, and examined the influence of natural and geographical conditions (topogr</w:t>
      </w:r>
    </w:p>
    <w:p>
      <w:pPr/>
      <w:r>
        <w:rPr>
          <w:b/>
        </w:rPr>
        <w:t>POSSIBLE 2026:</w:t>
      </w:r>
      <w:r>
        <w:t xml:space="preserve"> Density as verb: on the emergence and circulation of a category in Swiss urban development — https://doi.org/10.1080/02723638.2026.2699805</w:t>
      </w:r>
    </w:p>
    <w:p>
      <w:pPr/>
      <w:r>
        <w:rPr>
          <w:b/>
        </w:rPr>
        <w:t>Shared claim-specific concepts:</w:t>
      </w:r>
      <w:r>
        <w:t xml:space="preserve"> emergence, urban; EU scope not established. This is a provisional connection, not an outcome finding.</w:t>
      </w:r>
    </w:p>
    <w:p>
      <w:pPr>
        <w:pStyle w:val="SourceNote"/>
      </w:pPr>
      <w:r>
        <w:rPr>
          <w:b/>
        </w:rPr>
        <w:t>Available abstract (not full text):</w:t>
      </w:r>
      <w:r>
        <w:t xml:space="preserve"> This paper examines the emergence and circulation of “density” as an expert category in Swiss urban development, arguing that it operates as a boundary object that shapes planning practices, policies and urban imaginaries. Drawing on policy documents, expert interviews and case studies, the paper traces how “density” has evolved from a technical parameter to a contested and malleable notion mobilized across different planning and political arenas. By analysing its use in planning debates, political arenas, legal frameworks and participatory workshops, I highlight how density functions as a verb: actively structuring urban transformation, mediating conflicts, provoking resistance and legitimizing interventions. The Swiss case illustrates how density, as a flexible yet impactful category, adapts to shifting governance regimes, development imperatives and techno-political negotiations.</w:t>
      </w:r>
    </w:p>
    <w:p>
      <w:pPr/>
      <w:r>
        <w:rPr>
          <w:b/>
        </w:rPr>
        <w:t>POSSIBLE 2025:</w:t>
      </w:r>
      <w:r>
        <w:t xml:space="preserve"> Urban Complexity + Emergence: Procedural Modeling of City Activity and Form — https://doi.org/10.31219/osf.io/uk4ve_v1</w:t>
      </w:r>
    </w:p>
    <w:p>
      <w:pPr/>
      <w:r>
        <w:rPr>
          <w:b/>
        </w:rPr>
        <w:t>Shared claim-specific concepts:</w:t>
      </w:r>
      <w:r>
        <w:t xml:space="preserve"> emergence, urban, city, techniques; EU scope not established. This is a provisional connection, not an outcome finding.</w:t>
      </w:r>
    </w:p>
    <w:p>
      <w:pPr>
        <w:pStyle w:val="SourceNote"/>
      </w:pPr>
      <w:r>
        <w:rPr>
          <w:b/>
        </w:rPr>
        <w:t>Available abstract (not full text):</w:t>
      </w:r>
      <w:r>
        <w:t xml:space="preserve"> Cities are immense and extremely difficult to conceptualize, let alone model, and previousdigitally based efforts have often failed to capture the complexity and indeterminacy of urbanorganizations. Architects and designers have had trouble conceiving of techniques for examiningthese systems due to their large number of interacting micro-parts that evolve over time. We’vealso had difficulty finding workable planning strategies that operate in a more decentralizedmanner to accommodate the multiplicity of (often autonomous) urban decision makers. To thisend, an interdisciplinary team composed of an architect and urban designer, a computer scientist,and a mathematician, educator and learning technologist are researching and formulatingmethods of examining cities using the agent-based digital modeling program NetLogo.</w:t>
      </w:r>
    </w:p>
    <w:p>
      <w:pPr/>
      <w:r>
        <w:rPr>
          <w:b/>
        </w:rPr>
        <w:t>POSSIBLE 2025:</w:t>
      </w:r>
      <w:r>
        <w:t xml:space="preserve"> Beyond Automation: The Emergence of Agentic Urban AI — https://doi.org/10.3390/automation6030029</w:t>
      </w:r>
    </w:p>
    <w:p>
      <w:pPr/>
      <w:r>
        <w:rPr>
          <w:b/>
        </w:rPr>
        <w:t>Shared claim-specific concepts:</w:t>
      </w:r>
      <w:r>
        <w:t xml:space="preserve"> emergence, urban, city, need; EU scope not established. This is a provisional connection, not an outcome finding.</w:t>
      </w:r>
    </w:p>
    <w:p>
      <w:pPr>
        <w:pStyle w:val="SourceNote"/>
      </w:pPr>
      <w:r>
        <w:rPr>
          <w:b/>
        </w:rPr>
        <w:t>Available abstract (not full text):</w:t>
      </w:r>
      <w:r>
        <w:t xml:space="preserve"> Urban systems are transforming as artificial intelligence (AI) evolves from automation to Agentic Urban AI (AI systems with autonomous goal-setting and decision-making capabilities), which independently define and pursue urban objectives. This shift necessitates reassessing governance, planning, and ethics. Using a conceptual-methodological approach, this study integrates urban studies, AI ethics, and governance theory. Through a literature review and case studies of platforms like Alibaba’s City Brain and CityMind AI Agent, it identifies early agency indicators, such as strategic adaptation and goal re-prioritisation. A typology distinguishing automation, autonomy, and agency clarifies AI-driven urban decision-making. Three trajectories are proposed: fully autonomous Agentic AI, collaborative Hybrid Urban Agency, and constrained Non-Agentic AI to mitigate ethical risks. The findings highlight the need for participatory, transparent governance to ensure democratic accountability and social equity in cognitive urban ecosystems.</w:t>
      </w:r>
    </w:p>
    <w:p>
      <w:pPr/>
      <w:r>
        <w:rPr>
          <w:b/>
        </w:rPr>
        <w:t>POSSIBLE 2025:</w:t>
      </w:r>
      <w:r>
        <w:t xml:space="preserve"> The Evolution of Restoration Ideologies: The Emergence, Disappearance, and Revival of the Palatine Gate as an Urban Axis Node — https://doi.org/10.56397/saa.2025.04.01</w:t>
      </w:r>
    </w:p>
    <w:p>
      <w:pPr/>
      <w:r>
        <w:rPr>
          <w:b/>
        </w:rPr>
        <w:t>Shared claim-specific concepts:</w:t>
      </w:r>
      <w:r>
        <w:t xml:space="preserve"> emergence, urban, city, techniques, focuses; EU scope visible. This is a provisional connection, not an outcome finding.</w:t>
      </w:r>
    </w:p>
    <w:p>
      <w:pPr>
        <w:pStyle w:val="SourceNote"/>
      </w:pPr>
      <w:r>
        <w:rPr>
          <w:b/>
        </w:rPr>
        <w:t>Available abstract (not full text):</w:t>
      </w:r>
      <w:r>
        <w:t xml:space="preserve"> This paper focuses on the Porta Palatina in Turin, Italy, analyzing its emergence, disappearance, and revival as a node of the urban axis. Using this as a central thread, it explores the evolution of restoration ideologies in Italy. Constructed in the 1st century BCE, Porta Palatina served as a crucial gateway to the ancient Roman city of Turin, marking the starting point of Caesar’s Gallic Wars and the spread of Roman civilization. Over the course of Turin’s urban transformation, the role of Porta Palatina as a city axis shifted through three distinct phases: from being a military and political center in Roman times, to being abandoned during the Baroque period, and finally, to its revival and rediscovery in modern times. This study delves into the restoration journey of Porta Palatina, spanning from stylistic restoration in the mid-19th century to scientific restoration in the 20th century, and culminating in archaeological park design in the 21st century. It illustrates the transition of Italian restoration ideologies from Romanticism to modern scientific conservation. By examining restoration practices across different eras, this paper uncovers the interactions between restoration theory and culture, history, and technology. It emphasizes that restoration is not only an advancement in architectural techniques but also a respect for and preservation of historical culture. Th</w:t>
      </w:r>
    </w:p>
    <w:p>
      <w:pPr/>
      <w:r>
        <w:rPr>
          <w:b/>
        </w:rPr>
        <w:t>POSSIBLE 2025:</w:t>
      </w:r>
      <w:r>
        <w:t xml:space="preserve"> Urban systems in medium-sized cities: the two forces and the emergence of a flower structure — https://doi.org/10.1016/j.cities.2025.106099</w:t>
      </w:r>
    </w:p>
    <w:p>
      <w:pPr/>
      <w:r>
        <w:rPr>
          <w:b/>
        </w:rPr>
        <w:t>Shared claim-specific concepts:</w:t>
      </w:r>
      <w:r>
        <w:t xml:space="preserve"> emergence, urban, city, need; EU scope visible. This is a provisional connection, not an outcome finding.</w:t>
      </w:r>
    </w:p>
    <w:p>
      <w:pPr>
        <w:pStyle w:val="SourceNote"/>
      </w:pPr>
      <w:r>
        <w:rPr>
          <w:b/>
        </w:rPr>
        <w:t>Available abstract (not full text):</w:t>
      </w:r>
      <w:r>
        <w:t xml:space="preserve"> This article discovers the unique dynamics shaping medium-sized cities (populations between 100,000 and 500,000) and addresses a less explored area: understanding how the balance between centralization and population density creates distinct urban forms. Medium-sized cities often exhibit a predominantly monocentric structure, with central hub concentrating economic activities, government services or cultural institutions. But as they expand, population density begins to shape more localized clusters of amenities in outlying areas, forming what we term a “flower structure.” In this setup, a central hub is surrounded by “petals” or clusters that each offer services close to home while staying connected to the city centre. This research positions medium-sized cities between the polycentricity often observed in larger urban centres and the monocentric patterns typical of smaller towns. Using Košice, Slovakia, as a case study, we employ regression models to trace how distance from the core and population density work together to shape these service clusters. The findings reveal a blend of centralized and decentralized spaces that offer practical accessibility in different parts of the city. This model encourages urban planners to think beyond a single core, opening up new strategies for the 15-minute city concept, which emphasizes self-sufficient neighbourhoods. The study also sugge</w:t>
      </w:r>
    </w:p>
    <w:p>
      <w:pPr/>
      <w:r>
        <w:rPr>
          <w:b/>
        </w:rPr>
        <w:t>POSSIBLE 2025:</w:t>
      </w:r>
      <w:r>
        <w:t xml:space="preserve"> Emergence of urban malaria and the associated risk factors: a case–control study in Mutare city, Zimbabwe — https://doi.org/10.1186/s12936-025-05494-4</w:t>
      </w:r>
    </w:p>
    <w:p>
      <w:pPr/>
      <w:r>
        <w:rPr>
          <w:b/>
        </w:rPr>
        <w:t>Shared claim-specific concepts:</w:t>
      </w:r>
      <w:r>
        <w:t xml:space="preserve"> emergence, urban, city; EU scope not established. This is a provisional connection, not an outcome finding.</w:t>
      </w:r>
    </w:p>
    <w:p>
      <w:pPr>
        <w:pStyle w:val="SourceNote"/>
      </w:pPr>
      <w:r>
        <w:rPr>
          <w:b/>
        </w:rPr>
        <w:t>Available abstract (not full text):</w:t>
      </w:r>
      <w:r>
        <w:t xml:space="preserve"> BACKGROUND: Mutare city of Zimbabwe was considered free of autochthonous malaria, until 2017, when the Ministry of Health and Child Care formally confirmed escalating cases of locally transmitted malaria in the city. The current study examined the risk factors for malaria cases in the city to aid in formulation of targeted intervention packages for helping restore malaria-free status. METHODS: The study employed complementary cross-sectional and case-control designs to ascertain the magnitude and risk factors of urban malaria cases presenting at all eight primary health care facilities of Mutare city from 2022 to 2023. Malaria cases were enrolled as confirmed by RDT or microscopy on presenting all-age symptomatic suspected malaria patients. Controls were similarly enrolled as all-age symptomatic suspected malaria patients found negative by both RDT and microscopy. All cases and controls were enrolled as representative of the presenting population with no matching. Data were analysed for descriptive and prevalence statistics, as well as risk factors, using SPSS Faculty version 27. RESULTS: In a multivariate binary logistic model, significant risk factors for malaria cases found in the city included residential locale (RR [95%CI]: 3 [1.1-5.8], p = 0.029, N = 7,222), household proximity to still surface water pools or unprotected wells (16 [3.8-67.5], p &lt; 0.001) and travel history</w:t>
      </w:r>
    </w:p>
    <w:p>
      <w:pPr>
        <w:pStyle w:val="Heading2"/>
      </w:pPr>
      <w:r>
        <w:t>779. Varying soil moisture–atmosphere feedbacks explain divergent temperature extremes and precipitation projections in central Europe</w:t>
      </w:r>
    </w:p>
    <w:p>
      <w:pPr>
        <w:pStyle w:val="SourceNote"/>
      </w:pPr>
      <w:r>
        <w:rPr>
          <w:b/>
        </w:rPr>
        <w:t>Original source (2018):</w:t>
      </w:r>
      <w:r>
        <w:t xml:space="preserve"> https://doi.org/10.5194/esd-9-1107-2018</w:t>
      </w:r>
    </w:p>
    <w:p>
      <w:pPr/>
      <w:r>
        <w:t>Original wording (abstract; indexed_source_text_not_full_document_verified): Our results suggest that long-term temperature changes in TXx in central Europe are about 20 % lower than those projected by the multi-model median of the full ensemble. We find a divergent behavior in long-term projections of summer precipitation until the end of the 21st century, resulting in a trimodal distribution of precipitation (wet, dry and very dry).</w:t>
      </w:r>
    </w:p>
    <w:p>
      <w:pPr/>
      <w:r>
        <w:rPr>
          <w:b/>
        </w:rPr>
        <w:t>POSSIBLE 2026:</w:t>
      </w:r>
      <w:r>
        <w:t xml:space="preserve"> Civilizational Temperature: A CRTI-Based Heuristic Exploration of Long-Term System Dynamics (1000 BCE–2025 CE) — https://doi.org/10.5281/zenodo.19058865</w:t>
      </w:r>
    </w:p>
    <w:p>
      <w:pPr/>
      <w:r>
        <w:rPr>
          <w:b/>
        </w:rPr>
        <w:t>Shared claim-specific concepts:</w:t>
      </w:r>
      <w:r>
        <w:t xml:space="preserve"> long-term, temperature, divergent; EU scope visible. This is a provisional connection, not an outcome finding.</w:t>
      </w:r>
    </w:p>
    <w:p>
      <w:pPr>
        <w:pStyle w:val="SourceNote"/>
      </w:pPr>
      <w:r>
        <w:rPr>
          <w:b/>
        </w:rPr>
        <w:t>Available abstract (not full text):</w:t>
      </w:r>
      <w:r>
        <w:t xml:space="preserve"> This paper introduces a heuristic application of the Compression-Reorganization Thermodynamic Index (CRTI), defined as T = R / Φ, to long-term civilizational dynamics across four macro-regions: Persia/Iran, China, the Mediterranean Core, and Europe, spanning 1000 BCE to 2025 CE.T (systemic temperature) is operationalized as the ratio between adaptive reorganization capacity (R) and structural compression (Φ). All values are ordinal structural estimates derived from comparative historical scholarship; they are not empirical measurements. T does not measure moral worth, civilizational superiority, or geopolitical power.The analysis suggests recurring compression-reorganization cycles, divergent plateau dynamics, and a sustained high-T anomaly in post-1500 Europe plausibly associated with inter-state pluralism. A formal exploratory hypothesis on civilizational lifecycle dynamics is proposed (H1: integration → expansion → compression → overcompression → reorganization or collapse), along with proxy variables for future quantitative reconstruction.The framework is compatible with panarchy theory (Holling), critical transitions theory (Scheffer, Dakos), stability theory (May), and cliodynamics (Turchin). This manuscript is explicitly pre-formal and hypothesis-generative in character. complexity sciencecivilizational dynamicssystemic temperaturestructural compressionadaptive capacityC</w:t>
      </w:r>
    </w:p>
    <w:p>
      <w:pPr/>
      <w:r>
        <w:rPr>
          <w:b/>
        </w:rPr>
        <w:t>POSSIBLE 2026:</w:t>
      </w:r>
      <w:r>
        <w:t xml:space="preserve"> Vegetation Responses to Climate Extremes Across China: Lagged Effects and Dominant Drivers Revealed by Long-Term kNDVI Observations — https://doi.org/10.3390/atmos17030227</w:t>
      </w:r>
    </w:p>
    <w:p>
      <w:pPr/>
      <w:r>
        <w:rPr>
          <w:b/>
        </w:rPr>
        <w:t>Shared claim-specific concepts:</w:t>
      </w:r>
      <w:r>
        <w:t xml:space="preserve"> long-term, temperature, txx, precipitation; EU scope not established. This is a provisional connection, not an outcome finding.</w:t>
      </w:r>
    </w:p>
    <w:p>
      <w:pPr>
        <w:pStyle w:val="SourceNote"/>
      </w:pPr>
      <w:r>
        <w:rPr>
          <w:b/>
        </w:rPr>
        <w:t>Available abstract (not full text):</w:t>
      </w:r>
      <w:r>
        <w:t xml:space="preserve"> Quantifying the relative roles of climate change and human activities in vegetation change is essential for sustainable restoration planning, yet the impacts of extreme climate events and their time-lagged effects are often overlooked, biasing assessments of climatic controls. Here, we developed an integrated pattern–process–attribution framework to evaluate vegetation dynamics across China’s four major climatic zones using a long-term, high-resolution kernel normalized difference vegetation index (kNDVI) dataset for 2000–2024. Theil–Sen trend estimation and the coefficient of variation (CV) were used to characterize long-term changes and interannual stability. Partial correlation analysis was applied to isolate the independent associations between kNDVI and extreme climate indices while controlling for background mean temperature and precipitation, and lagged correlation analysis with 0–3-month lags was used to quantify delayed responses. A regression-based residual attribution was further used to decompose observed kNDVI changes into a climate-driven component and a human-activity-related component (approximated by the residual not explained by temperature and precipitation). Results show widespread greening with pronounced spatial heterogeneity, with the most extensive improvement in the Tropical and Subtropical Humid Region and the Temperate Humid and Semi-humid Region. Veg</w:t>
      </w:r>
    </w:p>
    <w:p>
      <w:pPr/>
      <w:r>
        <w:rPr>
          <w:b/>
        </w:rPr>
        <w:t>POSSIBLE 2026:</w:t>
      </w:r>
      <w:r>
        <w:t xml:space="preserve"> Long-Term Changes in Temperature Extremes Based on Climate Indices in Different Physical-Geographical Conditions of Georgia, 1961–2020 — https://doi.org/10.3390/atmos17070678</w:t>
      </w:r>
    </w:p>
    <w:p>
      <w:pPr/>
      <w:r>
        <w:rPr>
          <w:b/>
        </w:rPr>
        <w:t>Shared claim-specific concepts:</w:t>
      </w:r>
      <w:r>
        <w:t xml:space="preserve"> long-term, temperature, summer; EU scope not established. This is a provisional connection, not an outcome finding.</w:t>
      </w:r>
    </w:p>
    <w:p>
      <w:pPr>
        <w:pStyle w:val="SourceNote"/>
      </w:pPr>
      <w:r>
        <w:rPr>
          <w:b/>
        </w:rPr>
        <w:t>Available abstract (not full text):</w:t>
      </w:r>
      <w:r>
        <w:t xml:space="preserve"> We studied long-term changes in temperature extremes in Georgia against the backdrop of ongoing global warming within 1961–2020. Using observational data from 20 meteorological stations from different physical-geographic regions of the country, we analyzed the main climate temperature indices recommended by the WMO and the Expert Team on Climate Change Detection and Indices (ETCCDI). Indices characterizing extremely cold and warm conditions (ice days, frost days, summer days, and tropical nights); growing season length; as well as indices of absolute extremes and percentile temperature characteristics were considered. The results show that along the Black Sea coast and the Kolkheti Lowland, changes in temperature indices are less pronounced due to the moderating influence of the sea and humid landscapes; however, a significant increase in the number of tropical nights is observed. In areas with a more continental climate (Eastern Georgia, the South Georgian Highlands, and the mid-mountain zone of the Greater Caucasus), a general decrease in the number of ice days and frost days was observed, along with a simultaneous increase in the number of hot summer days, tropical nights, and growing season length. Tropical nights and percentile temperature indices were found to be the most sensitive to global warming. Overall, the results indicate widespread long-term tendencies consistent</w:t>
      </w:r>
    </w:p>
    <w:p>
      <w:pPr/>
      <w:r>
        <w:rPr>
          <w:b/>
        </w:rPr>
        <w:t>POSSIBLE 2025:</w:t>
      </w:r>
      <w:r>
        <w:t xml:space="preserve"> Analyzing Long-Term Trends in Air Temperature and Precipitation in Bel-Ksiri, Morocco (1980–2024) — https://doi.org/10.22194/jgias/25.1707</w:t>
      </w:r>
    </w:p>
    <w:p>
      <w:pPr/>
      <w:r>
        <w:rPr>
          <w:b/>
        </w:rPr>
        <w:t>Shared claim-specific concepts:</w:t>
      </w:r>
      <w:r>
        <w:t xml:space="preserve"> long-term, temperature, summer, precipitation; EU scope not established. This is a provisional connection, not an outcome finding.</w:t>
      </w:r>
    </w:p>
    <w:p>
      <w:pPr>
        <w:pStyle w:val="SourceNote"/>
      </w:pPr>
      <w:r>
        <w:rPr>
          <w:b/>
        </w:rPr>
        <w:t>Available abstract (not full text):</w:t>
      </w:r>
      <w:r>
        <w:t xml:space="preserve"> The study analyzes climate change in Bel-Ksiri. It provides an understanding of long-term trends (1980-2024) and changes between the last two standard twenty-year climate periods: 1980-2000 and 2001-2020.In this study, we determined the trend of the two variables studied using the Mann-Kendall test and calculated the difference and relative variations in temperature and precipitation. The Kolmogorov-Smirnov test (KS test) was used to compare the two climate periods studied (1980-2000 and 2001-2020). Data analysis was performed using the Python language. Climate trends from 1980 to 2024 reveal a marked warming, particularly in spring and summer, with an increase in daily temperature variations, exacerbating the risk of drought and impacting agriculture, water resources and health. The periods 1980-2000 and 2001-2020 show significant differences, notably an increase in maximum and minimum night-time temperatures, particularly during summer and spring. Analysis of climate indices, such as TX90p and TN90p, shows increases in temperature extremes, with notable rises in hot days and warm nights, underlining gradual warming. The TX30, TX35, TX37 and TX39 indices also show significant increases. Hot spells (WSDI) and cold spells (CSDI) have intensified, although some trends are not statistically significant. These results confirm a marked climate change, with significant impacts on eco</w:t>
      </w:r>
    </w:p>
    <w:p>
      <w:pPr/>
      <w:r>
        <w:rPr>
          <w:b/>
        </w:rPr>
        <w:t>POSSIBLE 2025:</w:t>
      </w:r>
      <w:r>
        <w:t xml:space="preserve"> Regional climate projections using a deep-learning–based model-ranking and downscaling framework: application to European climate zones — https://doi.org/10.1007/s11356-025-36872-9</w:t>
      </w:r>
    </w:p>
    <w:p>
      <w:pPr/>
      <w:r>
        <w:rPr>
          <w:b/>
        </w:rPr>
        <w:t>Shared claim-specific concepts:</w:t>
      </w:r>
      <w:r>
        <w:t xml:space="preserve"> temperature, txx, multi-model, projections; EU scope visible. This is a provisional connection, not an outcome finding.</w:t>
      </w:r>
    </w:p>
    <w:p>
      <w:pPr>
        <w:pStyle w:val="SourceNote"/>
      </w:pPr>
      <w:r>
        <w:rPr>
          <w:b/>
        </w:rPr>
        <w:t>Available abstract (not full text):</w:t>
      </w:r>
      <w:r>
        <w:t xml:space="preserve"> Abstract Accurate regional climate projection calls for high-resolution downscaling of Global Climate Models (GCMs). This work presents a deep-learning-based multi-model evaluation and downscaling framework ranking 32 Coupled Model Intercomparison Project Phase 6 (CMIP6) models using a Deep Learning-TOPSIS (DL-TOPSIS) mechanism and refines outputs using advanced deep-learning models. Using nine performance criteria, five Köppen-Geiger climate zones—Tropical, Arid, Temperate, Continental, and Polar—are investigated over four seasons. While TaiESM1 and CMCC-CM2-SR5 show notable biases, ranking results show that NorESM2-LM, GISS-E2-1-G, and HadGEM3-GC31-LL outperform other models. Four models contribute to downscaling the top-ranked GCMs to 0.1 $$^\circ $$ ∘ resolution (Vision Transformer (ViT), Geospatial Spatiotemporal Transformer with Attention and Imbalance-Aware Network (GeoSTANet), CNN-LSTM, CNN-Long Short-Term Memory (ConvLSTM)). Effectively capturing temperature extremes (TXx, TNn), GeoSTANet achieves the highest accuracy (Root Mean Square Error (RMSE) = 1.57 $$^\circ $$ ∘ C, Kling-Gupta Efficiency (KGE) = 0.89, Nash-Sutcliffe Efficiency (NSE) = 0.85, Correlation (r) = 0.92), so reducing RMSE by 20% over ConvLSTM. CNN-LSTM and ConvLSTM do well in Continental and Temperate zones; ViT finds fine-scale temperature fluctuations difficult. These results confirm that multi-crite</w:t>
      </w:r>
    </w:p>
    <w:p>
      <w:pPr/>
      <w:r>
        <w:rPr>
          <w:b/>
        </w:rPr>
        <w:t>POSSIBLE 2025:</w:t>
      </w:r>
      <w:r>
        <w:t xml:space="preserve"> Near-term Climate Prediction of Agricultural Thermal Conditions in East Asia — https://doi.org/10.1007/s00376-025-4471-0</w:t>
      </w:r>
    </w:p>
    <w:p>
      <w:pPr/>
      <w:r>
        <w:rPr>
          <w:b/>
        </w:rPr>
        <w:t>Shared claim-specific concepts:</w:t>
      </w:r>
      <w:r>
        <w:t xml:space="preserve"> temperature, about, end; EU scope not established. This is a provisional connection, not an outcome finding.</w:t>
      </w:r>
    </w:p>
    <w:p>
      <w:pPr>
        <w:pStyle w:val="SourceNote"/>
      </w:pPr>
      <w:r>
        <w:rPr>
          <w:b/>
        </w:rPr>
        <w:t>Available abstract (not full text):</w:t>
      </w:r>
      <w:r>
        <w:t xml:space="preserve"> Abstract Climate change poses significant risks to agriculture, particularly in East Asia, a major crop-producing region. This study evaluates the effectiveness of near-term climate predictions in forecasting agricultural thermal conditions in East Asia for up to five years. We compare temperature-based agroclimatic indicators from atmospheric reanalysis data with the first-year prediction of the Decadal Prediction System version 4 (DePreSys4), initialized annually from November 1960 to 2024. Our analysis reveals that first-year predictions accurately represent observed spatial climatological patterns, although trends in agroclimatic indicators based on daily maximum temperature are overestimated. High skill scores are observed in predicting the beginning of the growing season, frost-free days, agricultural hot days, and heat intensity in major cropping regions. However, the end of the growing season is less predictable due to longer lead times. Notably, five-year average predictions show higher skill than first-year predictions due to smoothed interannual variability. These improved climate predictions enable farmers and policymakers to make informed decisions about crop selection and agricultural infrastructure.</w:t>
      </w:r>
    </w:p>
    <w:p>
      <w:pPr/>
      <w:r>
        <w:rPr>
          <w:b/>
        </w:rPr>
        <w:t>POSSIBLE 2025:</w:t>
      </w:r>
      <w:r>
        <w:t xml:space="preserve"> Examining the Eastern European extreme summer temperatures of 2023 from a long-term perspective: the role of natural variability vs. anthropogenic factors — https://doi.org/10.5194/egusphere-egu25-15014</w:t>
      </w:r>
    </w:p>
    <w:p>
      <w:pPr/>
      <w:r>
        <w:rPr>
          <w:b/>
        </w:rPr>
        <w:t>Shared claim-specific concepts:</w:t>
      </w:r>
      <w:r>
        <w:t xml:space="preserve"> long-term, temperature, those, find, behavior, summer; EU scope visible. This is a provisional connection, not an outcome finding.</w:t>
      </w:r>
    </w:p>
    <w:p>
      <w:pPr>
        <w:pStyle w:val="SourceNote"/>
      </w:pPr>
      <w:r>
        <w:rPr>
          <w:b/>
        </w:rPr>
        <w:t>Available abstract (not full text):</w:t>
      </w:r>
      <w:r>
        <w:t xml:space="preserve"> Amidst unprecedented rising global temperatures, this study investigates the historical context of heatwave (HW) events in Eastern Europe. The record-breaking 2023 summer, featuring a HW lasting for 19 days in the south-eastern part of Romania, extending up to Ukraine, necessitates a deeper understanding of past extreme events. Utilizing statistical methods on long-term station data spanning from 1885 to 2023, we aim to detect and analyze historical HWs, particularly focusing on events predating 1960. This extended timeframe allows for a more comprehensive assessment of noteworthy extremes compared to recent decades. We used both a percentile-based threshold and a fixed absolute temperature threshold to identify HW events. Our analysis identifies two critical periods with increased HW frequency and intensity: 1920–1965 and 1980–2023, respectively, highlighting the most extreme events in August 1946, August 1952, July 2012, June 2019, and August 2023. Furthermore, reanalysis data shows that historical HWs, similar to the 2023 event, were associated with large-scale European heat extremes linked to high-pressure systems and they were accompanied by extreme drought, thus leading to compound extreme events. We find that while a clear trend emerges towards more frequent HWs from the 1980s onward, the analysis also uncovers substantial HW activity on daily timescales throughout the 1</w:t>
      </w:r>
    </w:p>
    <w:p>
      <w:pPr/>
      <w:r>
        <w:rPr>
          <w:b/>
        </w:rPr>
        <w:t>POSSIBLE 2024:</w:t>
      </w:r>
      <w:r>
        <w:t xml:space="preserve"> Long-term daily water temperatures unveil escalating water warming and intensifying heatwaves in the Odra river Basin, Central Europe — https://doi.org/10.1016/j.gsf.2024.101916</w:t>
      </w:r>
    </w:p>
    <w:p>
      <w:pPr/>
      <w:r>
        <w:rPr>
          <w:b/>
        </w:rPr>
        <w:t>Shared claim-specific concepts:</w:t>
      </w:r>
      <w:r>
        <w:t xml:space="preserve"> long-term, temperature, central, ensemble, summer; EU scope visible. This is a provisional connection, not an outcome finding.</w:t>
      </w:r>
    </w:p>
    <w:p>
      <w:pPr>
        <w:pStyle w:val="SourceNote"/>
      </w:pPr>
      <w:r>
        <w:rPr>
          <w:b/>
        </w:rPr>
        <w:t>Available abstract (not full text):</w:t>
      </w:r>
      <w:r>
        <w:t xml:space="preserve"> Water temperature is a critical indicator and weathervane of aquatic ecosystems. However, the vast majority of rivers lack long-term continuous and complete water temperature datasets. In this study, ensemble models by combining NARX (nonlinear autoregressive network with exogenous inputs) and air2stream were used to reconstruct daily river water temperatures for 27 hydrological stations in the Odra River Basin, one of the largest river systems in Europe. For each hydrological station, both the NARX and air2stream models were calibrated and validated, and the better-performed model was selected to reconstruct daily river water temperatures from 1985 to 2022. The results showed that hybrid modeling by combining NARX and air2stream is promising for reconstructing daily river water temperatures. Based on the reconstructed dataset, annual and seasonal trends of water temperature and characteristics of river heatwaves were evaluated. The results indicated that annual river water temperatures showed a consistent warming trend over the past 40 years with an average warming rate of 0.315 °C/decade. Seasonal river water temperatures indicated that summer warms faster, followed by autumn and spring, and winter river water temperatures showed an insignificant warming trend. River heatwaves are increased in frequency, duration, and intensity in the Odra River Basin, and 6 out of 27 hydrolo</w:t>
      </w:r>
    </w:p>
    <w:p>
      <w:pPr/>
      <w:r>
        <w:rPr>
          <w:b/>
        </w:rPr>
        <w:t>POSSIBLE 2024:</w:t>
      </w:r>
      <w:r>
        <w:t xml:space="preserve"> Examining the Eastern European extreme summer temperatures of 2023 from a long-term perspective: the role of natural variability vs. anthropogenic factors — https://doi.org/10.5194/nhess-24-4683-2024</w:t>
      </w:r>
    </w:p>
    <w:p>
      <w:pPr/>
      <w:r>
        <w:rPr>
          <w:b/>
        </w:rPr>
        <w:t>Shared claim-specific concepts:</w:t>
      </w:r>
      <w:r>
        <w:t xml:space="preserve"> long-term, those, find, behavior, summer; EU scope visible. This is a provisional connection, not an outcome finding.</w:t>
      </w:r>
    </w:p>
    <w:p>
      <w:pPr>
        <w:pStyle w:val="SourceNote"/>
      </w:pPr>
      <w:r>
        <w:rPr>
          <w:b/>
        </w:rPr>
        <w:t>Available abstract (not full text):</w:t>
      </w:r>
      <w:r>
        <w:t xml:space="preserve"> Abstract. Amidst unprecedent rising global temperatures, this study investigates the historical context of heatwave (HW) events in Eastern Europe. The record-breaking 2023 summer, featuring a heatwave lasting for 19 days in the south-eastern part of Romania, extending up to Ukraine, necessitates a deeper understanding of past extreme events. Utilizing statistical methods on long-term station data spanning from 1885 to 2023, we aim to detect and analyze historical heatwaves, particularly focusing on events predating 1960. This extended timeframe allows for a more comprehensive assessment of noteworthy extremes compared to recent decades. Our analysis identifies two critical periods with increased heatwave frequency and intensity: 1920–1965 and 1980–2023, respectively, highlighting the most extreme events in August 1946, August 1952, July 2012, June 2019, and August 2023. Furthermore, reanalysis data shows that historical heatwaves, similar to the 2023 event, were associated with large-scale European heat extremes linked to high-pressure systems and they were accompanied by extreme drought, thus leading to compound extreme events. We find that while a clear trend emerges towards more frequent HWs from the 1980s onward, the analysis also uncovers substantial heatwave activity on daily timescales throughout the 1885–1960 period. Moreover, we highlight the intertwined impacts of cli</w:t>
      </w:r>
    </w:p>
    <w:p>
      <w:pPr/>
      <w:r>
        <w:rPr>
          <w:b/>
        </w:rPr>
        <w:t>POSSIBLE 2024:</w:t>
      </w:r>
      <w:r>
        <w:t xml:space="preserve"> Impact of Extreme Climate Indices on Vegetation Dynamics in the Qinghai–Tibet Plateau: A Comprehensive Analysis Utilizing Long-Term Dataset — https://doi.org/10.3390/ijgi13120457</w:t>
      </w:r>
    </w:p>
    <w:p>
      <w:pPr/>
      <w:r>
        <w:rPr>
          <w:b/>
        </w:rPr>
        <w:t>Shared claim-specific concepts:</w:t>
      </w:r>
      <w:r>
        <w:t xml:space="preserve"> long-term, temperature, txx, central, precipitation, distribution; EU scope not established. This is a provisional connection, not an outcome finding.</w:t>
      </w:r>
    </w:p>
    <w:p>
      <w:pPr>
        <w:pStyle w:val="SourceNote"/>
      </w:pPr>
      <w:r>
        <w:rPr>
          <w:b/>
        </w:rPr>
        <w:t>Available abstract (not full text):</w:t>
      </w:r>
      <w:r>
        <w:t xml:space="preserve"> The Qinghai–Tibet Plateau (QTP) is crucial for global climate regulation and ecological equilibrium. However, the phenomenon of global climate warming has increased the frequency of extreme weather events on the QTP, exerting substantial effects on both regional and global ecological systems. This study utilized long-term series NDVI and extreme climate indices to comprehensively evaluate the impact of extreme climatic changes on diverse vegetation types within the QTP. A variety of analytical methodologies, including trend analysis, a Mann–Kendall test, correlation analysis, and random forest importance ranking, were employed in this study. These methodologies were applied to investigate the distribution patterns and variation trends of diverse vegetation types and extreme climate indices. This comprehensive approach facilitated a detailed analysis of the responses of different vegetation types to interannual variability under extreme climatic conditions and enabled the assessment of the impact of extreme climate indices on these vegetation types. The findings have the following implications: (1) Except for forests, the annual NDVI for overall vegetation, meadows, steppes, deserts, and alpine vegetation in the QTP exhibits a significant upward trend (p &lt; 0.01). Notably, meadows and deserts demonstrate the highest growth rates at 0.007/10y, whereas the annual NDVI of forests is</w:t>
      </w:r>
    </w:p>
    <w:p>
      <w:pPr/>
      <w:r>
        <w:rPr>
          <w:b/>
        </w:rPr>
        <w:t>POSSIBLE 2024:</w:t>
      </w:r>
      <w:r>
        <w:t xml:space="preserve"> Bimodality and Long - Term Trends of the Extreme Values of Air Temperature — https://doi.org/10.29227/im-2024-01-24</w:t>
      </w:r>
    </w:p>
    <w:p>
      <w:pPr/>
      <w:r>
        <w:rPr>
          <w:b/>
        </w:rPr>
        <w:t>Shared claim-specific concepts:</w:t>
      </w:r>
      <w:r>
        <w:t xml:space="preserve"> suggest, temperature, central, lower, those; EU scope visible. This is a provisional connection, not an outcome finding.</w:t>
      </w:r>
    </w:p>
    <w:p>
      <w:pPr>
        <w:pStyle w:val="SourceNote"/>
      </w:pPr>
      <w:r>
        <w:rPr>
          <w:b/>
        </w:rPr>
        <w:t>Available abstract (not full text):</w:t>
      </w:r>
      <w:r>
        <w:t xml:space="preserve"> Histograms of air temperature with a bimodal shape are commonly observed in many regions of the world. In this study, we investigate the causes of bimodality in the histograms of daily temperature series (minimum, average, and maximum) for selected climatological stations in Slovakia. Our findings suggest that in the Central European region, the bimodal shape of air temperature histograms is mainly due to the latent heat of freezing, as the surface of snow and ice and the air are thermally coupled. The asymmetry in the air temperature histograms is due to the lower mass heat capacity of ice compared to water and air. The energy - intensive latent heat of conversion of ice to water (and vice versa) results in the more frequent occurrence of ground - layer air temperatures around the freezing point, leading to the formation of the observed local maximum. This has far - reaching implications, such as the calculation of the annual mean air temperature at climatological stations. When calculating the average air temperature, negative temperatures should be given less weight than positive temperatures. Temperatures around 0 - 6°C should be given higher weight. This may also explain why Arctic regions are experiencing more significant warming than equatorial regions. In the second part of this paper, we analyze the long - term trends of selected temperature indices for the climatologi</w:t>
      </w:r>
    </w:p>
    <w:p>
      <w:pPr/>
      <w:r>
        <w:rPr>
          <w:b/>
        </w:rPr>
        <w:t>POSSIBLE 2024:</w:t>
      </w:r>
      <w:r>
        <w:t xml:space="preserve"> Exploring the paradoxical nature of cold temperature mortality in Europe — https://doi.org/10.1038/s41598-024-53675-z</w:t>
      </w:r>
    </w:p>
    <w:p>
      <w:pPr/>
      <w:r>
        <w:rPr>
          <w:b/>
        </w:rPr>
        <w:t>Shared claim-specific concepts:</w:t>
      </w:r>
      <w:r>
        <w:t xml:space="preserve"> temperature, about, summer; EU scope visible. This is a provisional connection, not an outcome finding.</w:t>
      </w:r>
    </w:p>
    <w:p>
      <w:pPr>
        <w:pStyle w:val="SourceNote"/>
      </w:pPr>
      <w:r>
        <w:rPr>
          <w:b/>
        </w:rPr>
        <w:t>Available abstract (not full text):</w:t>
      </w:r>
      <w:r>
        <w:t xml:space="preserve"> Abstract While low winter temperatures are associated with increased mortality, this phenomenon has been suggested to be most severe in regions with seemingly mild winters. The study aimed to establish a temperature-based formula that could elucidate the previously ambiguous regional differences in vulnerability to low temperature. European weekly mortality data (2000–2019) were matched with meteorological data to determine for each region vulnerability to temperature decrease and the optimal temperature with lowest mortality. Regression models were developed to generalize and explain these findings considering regional temperature characteristics. Optimal temperature could be predicted based on local average summer temperature (R2 = 85.6%). Regional vulnerability to temperature decrease could be explained by combination of winter and summer temperatures (R2 = 86.1%). Regions with warm winters and cold summers showed the highest vulnerability to decrease of temperature during winter. Contrary to theories about economic disparities Eastern Europe exhibited resistance comparable to Scandinavia. The southern edges of Europe demonstrated serious low temperature vulnerability to decreased temperatures, even if temperature was relatively high around 20 °C. This suggests that the observed connection primarily reflects the modulation of the length of respiratory virus infection seasons</w:t>
      </w:r>
    </w:p>
    <w:p>
      <w:pPr>
        <w:pStyle w:val="Heading2"/>
      </w:pPr>
      <w:r>
        <w:t>780. A road map for explorative scenario creation on Belgian rail freight transport development</w:t>
      </w:r>
    </w:p>
    <w:p>
      <w:pPr>
        <w:pStyle w:val="SourceNote"/>
      </w:pPr>
      <w:r>
        <w:rPr>
          <w:b/>
        </w:rPr>
        <w:t>Original source (2017):</w:t>
      </w:r>
      <w:r>
        <w:t xml:space="preserve"> https://doi.org/10.1177/1783591717734792</w:t>
      </w:r>
    </w:p>
    <w:p>
      <w:pPr/>
      <w:r>
        <w:t>Original wording (abstract; indexed_source_text_not_full_document_verified): This interdisciplinary research develops a road map for the creation of three integrated scenarios: a best case, medium case and worst case scenario for rail freight development, based on a detailed SWOT (strength, weakness, opportunities, threats) analysis. The obtained scenarios allow future research to quantify and measure the impact of future developments and decisions towards the Belgian rail freight market.</w:t>
      </w:r>
    </w:p>
    <w:p>
      <w:pPr/>
      <w:r>
        <w:rPr>
          <w:b/>
        </w:rPr>
        <w:t>POSSIBLE 2026:</w:t>
      </w:r>
      <w:r>
        <w:t xml:space="preserve"> An Analysis of Interdisciplinary Thematic Clusters and Evolutionary Paths in Research on AI Music Creation — https://doi.org/10.17548/ksaf.2026.06.30.285</w:t>
      </w:r>
    </w:p>
    <w:p>
      <w:pPr/>
      <w:r>
        <w:rPr>
          <w:b/>
        </w:rPr>
        <w:t>Shared claim-specific concepts:</w:t>
      </w:r>
      <w:r>
        <w:t xml:space="preserve"> interdisciplinary, creation, integrated; EU scope not established. This is a provisional connection, not an outcome finding.</w:t>
      </w:r>
    </w:p>
    <w:p>
      <w:pPr>
        <w:pStyle w:val="SourceNote"/>
      </w:pPr>
      <w:r>
        <w:rPr>
          <w:b/>
        </w:rPr>
        <w:t>Available abstract (not full text):</w:t>
      </w:r>
      <w:r>
        <w:t xml:space="preserve"> With the continuous advancement of artificial intelligence, deep learning, and generative models, AI-driven music creation has emerged as an important interdisciplinary field integrating computer science, musicology, and interactive creative design. To systematically examine its knowledge structure, research hotspots, and evolutionary trends, this study analyzed 1,308 publications indexed in the Web of Science Core Collection from 2000 to 2026. CiteSpace was employed to conduct a visualized bibliometric analysis of publication trends, collaboration networks, keyword co-occurrence, clustering, and burst detection. The results reveal that research on AI-driven music creation demonstrates a clear stage-based developmental trajectory, evolving from gradual accumulation to rapid expansion. The knowledge production landscape has formed a multi-centered structure dominated by China and the United States, although hierarchical characteristics remain evident in global collaboration. Research hotspots gradually developed into a three-layer framework consisting of technological methods, creative mechanisms, and application expansion, with major themes including deep learning, algorithmic composition, music generation, music education, music therapy, and human–computer interaction. In addition, the research frontier shows a transition from a “model-driven” paradigm to a “data-driven” and f</w:t>
      </w:r>
    </w:p>
    <w:p>
      <w:pPr/>
      <w:r>
        <w:rPr>
          <w:b/>
        </w:rPr>
        <w:t>POSSIBLE 2026:</w:t>
      </w:r>
      <w:r>
        <w:t xml:space="preserve"> Integrating Global Knowledge for Dual Value Creation An Interdisciplinary Framework for Practice-Informed Social Entrepreneurship Education — https://doi.org/10.20381/ruor-32260</w:t>
      </w:r>
    </w:p>
    <w:p>
      <w:pPr/>
      <w:r>
        <w:rPr>
          <w:b/>
        </w:rPr>
        <w:t>Shared claim-specific concepts:</w:t>
      </w:r>
      <w:r>
        <w:t xml:space="preserve"> interdisciplinary, creation, three, integrated; EU scope visible. This is a provisional connection, not an outcome finding.</w:t>
      </w:r>
    </w:p>
    <w:p>
      <w:pPr>
        <w:pStyle w:val="SourceNote"/>
      </w:pPr>
      <w:r>
        <w:rPr>
          <w:b/>
        </w:rPr>
        <w:t>Available abstract (not full text):</w:t>
      </w:r>
      <w:r>
        <w:t xml:space="preserve"> Social entrepreneurship (SE) has long demonstrated that social and economic value can be created simultaneously through enterprises generating both community benefit and financial sustainability. Despite the persistence of this practice across cultures, regions, and historical periods, SE scholarship and Social Entrepreneurship Education (SEE) remain fragmented by disciplinary boundaries, competing definitions, and regionally specific models that limit the scaling of SE practice and the development of a coherent and globally applicable SEE approach capable of supporting solutions to complex global problems. This dissertation addresses the absence of an integrated, interdisciplinary, and globally transferable SEE framework aligned with a complementary pedagogical design. Guided by the Interdisciplinary Research Process (IRP) (Repko &amp; Szostak, 2025), the research integrates disciplinary scholarship, regional educational practice, cultural philosophies, and practitioner knowledge. The study was conducted across three research phases, including interdisciplinary theoretical integration, comparative empirical investigation of SEE ecosystems in Manitoba, Prince Edward Island, Croatia, and Slovenia, and iterative implementation and evaluation of the resulting SEE approach across multicultural and multidisciplinary learning environments. The dissertation applies redefinition as an IRP </w:t>
      </w:r>
    </w:p>
    <w:p>
      <w:pPr/>
      <w:r>
        <w:rPr>
          <w:b/>
        </w:rPr>
        <w:t>POSSIBLE 2026:</w:t>
      </w:r>
      <w:r>
        <w:t xml:space="preserve"> The Long Road Back: An Integrative and Interdisciplinary Approach to Care After Traumatic Brain Injury — https://doi.org/10.1097/hrp.0000000000000457</w:t>
      </w:r>
    </w:p>
    <w:p>
      <w:pPr/>
      <w:r>
        <w:rPr>
          <w:b/>
        </w:rPr>
        <w:t>Shared claim-specific concepts:</w:t>
      </w:r>
      <w:r>
        <w:t xml:space="preserve"> interdisciplinary, road, case; EU scope not established. This is a provisional connection, not an outcome finding.</w:t>
      </w:r>
    </w:p>
    <w:p>
      <w:pPr>
        <w:pStyle w:val="SourceNote"/>
      </w:pPr>
      <w:r>
        <w:rPr>
          <w:b/>
        </w:rPr>
        <w:t>Available abstract (not full text):</w:t>
      </w:r>
      <w:r>
        <w:t xml:space="preserve"> Traumatic brain injury (TBI) is frequently associated with significant neuropsychiatric sequelae. Recovery trajectories are highly variable; injury severity is only one influence. Other factors, including preexisting psychiatric or psychological factors and psychosocial contexts also influence recovery. In this clinical challenge, we present the case of a young woman with a history of psychiatric comorbidity who developed complex neuropsychiatric symptoms after sustaining a TBI following a motor vehicle accident. Her clinical presentation included posttraumatic headache, chronic pain, visual disturbances, difficulty returning to work, and prominent anxiety and posttraumatic stress disorder symptoms. These challenges required a coordinated, multidisciplinary approach to treatment, focused both on symptom management and functional recovery. Psychotherapy played a central role, with a modified exposure-based approach augmented by biofeedback tools and pharmacotherapy. Over time, this integrative strategy resulted in meaningful improvement in the patient's neuropsychiatric symptoms and functional recovery. This case highlights the role of collaborative, tailored treatment for patients with overlapping neurological and psychiatric sequelae of TBI. It also underscores the unique contribution of psychotherapy when combined with medication and technology-enabled interventions, demonstr</w:t>
      </w:r>
    </w:p>
    <w:p>
      <w:pPr/>
      <w:r>
        <w:rPr>
          <w:b/>
        </w:rPr>
        <w:t>POSSIBLE 2025:</w:t>
      </w:r>
      <w:r>
        <w:t xml:space="preserve"> Interdisciplinary perspectives on the intersections of roads, sustainable development, and disaster resilience — https://doi.org/10.1016/j.ijdrr.2025.105691</w:t>
      </w:r>
    </w:p>
    <w:p>
      <w:pPr/>
      <w:r>
        <w:rPr>
          <w:b/>
        </w:rPr>
        <w:t>Shared claim-specific concepts:</w:t>
      </w:r>
      <w:r>
        <w:t xml:space="preserve"> interdisciplinary, road; EU scope not established. This is a provisional connection, not an outcome finding.</w:t>
      </w:r>
    </w:p>
    <w:p>
      <w:pPr>
        <w:pStyle w:val="SourceNote"/>
      </w:pPr>
      <w:r>
        <w:rPr>
          <w:b/>
        </w:rPr>
        <w:t>Available abstract (not full text):</w:t>
      </w:r>
      <w:r>
        <w:t xml:space="preserve"> Natural hazard-influenced disasters, sustainable development, and roads are closely intertwined. Governments and funding agencies worldwide are increasingly focused on delivering disaster-resilient road infrastructure. However, the multifaceted, ubiquitous, and contested nature of road networks means that making them resilient to disasters is a complex task. Efforts to build resilient roads generate trade-offs against other policy goals like climate resilience and sustainable development, and always carry political implications. In this paper, we synthesise discussions that took place during a one-day hybrid workshop on the intersections between roads, development and disaster resilience with 50 practitioners, policymakers, and physical and social scientists from around the world with expertise in relevant fields. Two key themes emerged: (i) the political ecology of the resilience of road networks and (ii) the key players and politics surrounding road construction and maintenance. Through synthesising workshop discussions with contemporary literature, we present working definitions of disaster resilience for these two themes to help shape future interdisciplinary research on road disaster resilience.When thinking through the theme of political ecology, road disaster resilience is understood within the context of uneven power dynamics and the political work done by applying a re</w:t>
      </w:r>
    </w:p>
    <w:p>
      <w:pPr/>
      <w:r>
        <w:rPr>
          <w:b/>
        </w:rPr>
        <w:t>POSSIBLE 2025:</w:t>
      </w:r>
      <w:r>
        <w:t xml:space="preserve"> Educational Innovation for Sustainability: An Interdisciplinary Model of Road Decarbonization in Higher Education — https://doi.org/10.20944/preprints202502.0760.v1</w:t>
      </w:r>
    </w:p>
    <w:p>
      <w:pPr/>
      <w:r>
        <w:rPr>
          <w:b/>
        </w:rPr>
        <w:t>Shared claim-specific concepts:</w:t>
      </w:r>
      <w:r>
        <w:t xml:space="preserve"> interdisciplinary, develops, road; EU scope not established. This is a provisional connection, not an outcome finding.</w:t>
      </w:r>
    </w:p>
    <w:p>
      <w:pPr>
        <w:pStyle w:val="SourceNote"/>
      </w:pPr>
      <w:r>
        <w:rPr>
          <w:b/>
        </w:rPr>
        <w:t>Available abstract (not full text):</w:t>
      </w:r>
      <w:r>
        <w:t xml:space="preserve"> This study develops an interdisciplinary pedagogical model for the decarbonization of road infrastructure, integrating teaching, research, and community engagement at the Universidad Estatal del Sur de Manabí. Project-based learning (PBL) was implemented with 120 Civil, Environmental, and Forestry Engineering students to design green corridors along the Jipijapa-Puerto Cayo road. A quasi-experimental design was employed, incorporating a control group and an experimental group, with specific rubrics and statistical analysis used to assess technical and transversal competencies. The results indicated significant improvements (p &lt; 0.05) in skills related to GIS, drones, and life cycle analysis, with an average increase of 40% in the experimental group. Additionally, eight sustainable projects were developed, projecting a 25% reduction in carbon footprint compared to conventional approaches. At the community level, a 30% increase in vegetation cover was observed, along with a positive impact on ecotourism. These findings support the model as an effective strategy for sustainability education, aligning with Sustainable Development Goals (SDGs) 4 and 13, and providing a replicable framework for similar educational and environmental contexts.</w:t>
      </w:r>
    </w:p>
    <w:p>
      <w:pPr/>
      <w:r>
        <w:rPr>
          <w:b/>
        </w:rPr>
        <w:t>POSSIBLE 2025:</w:t>
      </w:r>
      <w:r>
        <w:t xml:space="preserve"> INTERDISCIPLINARY CONNECTIONS IN ACTION: CREATION OF THE STEAM EDUCATIONAL ECOSYSTEM — https://doi.org/10.52301/1684-940x-2025-1-42-47</w:t>
      </w:r>
    </w:p>
    <w:p>
      <w:pPr/>
      <w:r>
        <w:rPr>
          <w:b/>
        </w:rPr>
        <w:t>Shared claim-specific concepts:</w:t>
      </w:r>
      <w:r>
        <w:t xml:space="preserve"> interdisciplinary, creation; EU scope not established. This is a provisional connection, not an outcome finding.</w:t>
      </w:r>
    </w:p>
    <w:p>
      <w:pPr>
        <w:pStyle w:val="SourceNote"/>
      </w:pPr>
      <w:r>
        <w:rPr>
          <w:b/>
        </w:rPr>
        <w:t>Available abstract (not full text):</w:t>
      </w:r>
      <w:r>
        <w:t xml:space="preserve"> This article examines the basic principles of the organization of educational and methodological work, taking into account the implementation of interdisciplinary connections and integration in the context of the STEAM approach. In modern education, the task of combining science, technology, engineering, art and mathematics to ensure the comprehensive development of students is becoming increasingly important.</w:t>
      </w:r>
    </w:p>
    <w:p>
      <w:pPr/>
      <w:r>
        <w:rPr>
          <w:b/>
        </w:rPr>
        <w:t>POSSIBLE 2025:</w:t>
      </w:r>
      <w:r>
        <w:t xml:space="preserve"> Interdisciplinary and interdisciplinary integration in mathematics teaching — https://doi.org/10.56334/sei/8.3.72</w:t>
      </w:r>
    </w:p>
    <w:p>
      <w:pPr/>
      <w:r>
        <w:rPr>
          <w:b/>
        </w:rPr>
        <w:t>Shared claim-specific concepts:</w:t>
      </w:r>
      <w:r>
        <w:t xml:space="preserve"> interdisciplinary, based; EU scope not established. This is a provisional connection, not an outcome finding.</w:t>
      </w:r>
    </w:p>
    <w:p>
      <w:pPr>
        <w:pStyle w:val="SourceNote"/>
      </w:pPr>
      <w:r>
        <w:rPr>
          <w:b/>
        </w:rPr>
        <w:t>Available abstract (not full text):</w:t>
      </w:r>
      <w:r>
        <w:t xml:space="preserve"> Improving the quality of education is always one of the priority issues.High school math teaching and related topics are always relevant.Learning to solve problems increases students' interest in the subject being studied.Various methods and tools are widely used in teaching problem solving in high school mathematics.To analyze the problem and its solution, you can change the data in the problem, find it, replace it with others, which can be viewed as a situation that increases the skill of students.Determining the dependencies between lines of content and their integration is one of the basic learning conditions.Students often have difficulty applying algebraic and geometric content strings at the same time when solving word problems.To overcome this difficulty, consideration should be given to the use of interdisciplinary and interdisciplinary integration.In solving such problems, it is important that students, in addition to theoretical material, have knowledge based on deductive reasoning.Although the teaching approach based on general pedagogical laws is the same for all subjects, each subject has its own characteristics.Given these similarities and differences, the development of interdisciplinary and interdisciplinary relationships should be seen as one of the key factors in improving the quality of education.The high school mathematics course covers many of the subjects</w:t>
      </w:r>
    </w:p>
    <w:p>
      <w:pPr/>
      <w:r>
        <w:rPr>
          <w:b/>
        </w:rPr>
        <w:t>POSSIBLE 2024:</w:t>
      </w:r>
      <w:r>
        <w:t xml:space="preserve"> Explainable Artificial Intelligence (XAI) 2.0: A manifesto of open challenges and interdisciplinary research directions — https://doi.org/10.1016/j.inffus.2024.102301</w:t>
      </w:r>
    </w:p>
    <w:p>
      <w:pPr/>
      <w:r>
        <w:rPr>
          <w:b/>
        </w:rPr>
        <w:t>Shared claim-specific concepts:</w:t>
      </w:r>
      <w:r>
        <w:t xml:space="preserve"> interdisciplinary, road, map, based; EU scope not established. This is a provisional connection, not an outcome finding.</w:t>
      </w:r>
    </w:p>
    <w:p>
      <w:pPr>
        <w:pStyle w:val="SourceNote"/>
      </w:pPr>
      <w:r>
        <w:rPr>
          <w:b/>
        </w:rPr>
        <w:t>Available abstract (not full text):</w:t>
      </w:r>
      <w:r>
        <w:t xml:space="preserve"> Understanding black box models has become paramount as systems based on opaque Artificial Intelligence (AI) continue to flourish in diverse real-world applications. In response, Explainable AI (XAI) has emerged as a field of research with practical and ethical benefits across various domains. This paper highlights the advancements in XAI and its application in real-world scenarios and addresses the ongoing challenges within XAI, emphasizing the need for broader perspectives and collaborative efforts. We bring together experts from diverse fields to identify open problems, striving to synchronize research agendas and accelerate XAI in practical applications. By fostering collaborative discussion and interdisciplinary cooperation, we aim to propel XAI forward, contributing to its continued success. We aim to develop a comprehensive proposal for advancing XAI. To achieve this goal, we present a manifesto of 28 open problems categorized into nine categories. These challenges encapsulate the complexities and nuances of XAI and offer a road map for future research. For each problem, we provide promising research directions in the hope of harnessing the collective intelligence of interested stakeholders.</w:t>
      </w:r>
    </w:p>
    <w:p>
      <w:pPr/>
      <w:r>
        <w:rPr>
          <w:b/>
        </w:rPr>
        <w:t>POSSIBLE 2024:</w:t>
      </w:r>
      <w:r>
        <w:t xml:space="preserve"> Strategic flood impact mitigation in developing countries’ urban road networks: Application to Hanoi — https://doi.org/10.1016/j.ejor.2024.06.035</w:t>
      </w:r>
    </w:p>
    <w:p>
      <w:pPr/>
      <w:r>
        <w:rPr>
          <w:b/>
        </w:rPr>
        <w:t>Shared claim-specific concepts:</w:t>
      </w:r>
      <w:r>
        <w:t xml:space="preserve"> interdisciplinary, road, case; EU scope not established. This is a provisional connection, not an outcome finding.</w:t>
      </w:r>
    </w:p>
    <w:p>
      <w:pPr>
        <w:pStyle w:val="SourceNote"/>
      </w:pPr>
      <w:r>
        <w:rPr>
          <w:b/>
        </w:rPr>
        <w:t>Available abstract (not full text):</w:t>
      </w:r>
      <w:r>
        <w:t xml:space="preserve"> Due to climate change, the frequency and scale of flood events worldwide are increasing dramatically. Flood impacts are especially acute in developing countries, where they often revert years of progress in sustainable development and poverty reduction. This paper introduces an optimization-based decision support tool for selecting cost-efficient flood mitigation investments in developing countries’ urban areas. The core of the tool is a scenario-based, multi-period, bi-objective Mixed Integer Linear Programming model which minimizes infrastructure damage and traffic congestion in urban road networks. The tool was developed in collaboration with Vietnamese stakeholders (e.g., local communities and government authorities), and integrates data and inputs from other disciplines, including social science, transport economics, climatology and hydrology. A metaheuristic, combining a Greedy Randomized Adaptive Search Procedure with a Variable Neighborhood Descent algorithm, is developed to solve large scale problem instances. An extensive computational campaign on randomly generated instances demonstrates the efficiency of the metaheuristic in solving realistic problems with hundreds of interdependent flood mitigation interventions. Finally, the applicability of the interdisciplinary approach is demonstrated on a real case study to generate a 20-year plan of mitigation investments for</w:t>
      </w:r>
    </w:p>
    <w:p>
      <w:pPr/>
      <w:r>
        <w:rPr>
          <w:b/>
        </w:rPr>
        <w:t>POSSIBLE 2024:</w:t>
      </w:r>
      <w:r>
        <w:t xml:space="preserve"> Experience Architecture: Developing an Interdisciplinary UX Undergraduate Degree — https://openalex.org/W7215275235</w:t>
      </w:r>
    </w:p>
    <w:p>
      <w:pPr/>
      <w:r>
        <w:rPr>
          <w:b/>
        </w:rPr>
        <w:t>Shared claim-specific concepts:</w:t>
      </w:r>
      <w:r>
        <w:t xml:space="preserve"> interdisciplinary, creation, three, based; EU scope not established. This is a provisional connection, not an outcome finding.</w:t>
      </w:r>
    </w:p>
    <w:p>
      <w:pPr>
        <w:pStyle w:val="SourceNote"/>
      </w:pPr>
      <w:r>
        <w:rPr>
          <w:b/>
        </w:rPr>
        <w:t>Available abstract (not full text):</w:t>
      </w:r>
      <w:r>
        <w:t xml:space="preserve"> This program showcase discusses the creation of an undergraduate user experience program housed in the Arts and Humanities and shared between two programs: the Department of Art, Art History and Design and the Department of Writing, Rhetoric, and Cultures in the College of Arts and Letters at Michigan State University. The design of the program was grounded in three guiding questions: 1) How do we develop a UX degree that is rooted in Humanities at an R1 land-grant university? 2) How do we develop a curriculum that is interdisciplinary and upholds the values of the Humanities? 3) How can we remain agile and create space for curriculum revision that invites iteration in a way that does not chase industry, but produces graduates who can lead industry towards changes fostered by the work in the Humanities? In reflecting on these questions, the Experience Architecture (XA) Program was developed and deployed in the fall of 2013 and was revised in fall of 2020 to better situate the field under the umbrella of XA to filter conversations about human design thinking in and around a humanities centered approach to problem solving. We are humans building and designing systems for other humans, not ones and zeros building for other ones and zeros - our efforts should be grounded in the ethics, morals, and values of what it means to build, design, and care for humanities based systems, be t</w:t>
      </w:r>
    </w:p>
    <w:p>
      <w:pPr/>
      <w:r>
        <w:rPr>
          <w:b/>
        </w:rPr>
        <w:t>POSSIBLE 2024:</w:t>
      </w:r>
      <w:r>
        <w:t xml:space="preserve"> Interdisciplinary STEM education foundational concepts: Implementation for knowledge creation — https://doi.org/10.29333/ejmste/15471</w:t>
      </w:r>
    </w:p>
    <w:p>
      <w:pPr/>
      <w:r>
        <w:rPr>
          <w:b/>
        </w:rPr>
        <w:t>Shared claim-specific concepts:</w:t>
      </w:r>
      <w:r>
        <w:t xml:space="preserve"> interdisciplinary, creation; EU scope not established. This is a provisional connection, not an outcome finding.</w:t>
      </w:r>
    </w:p>
    <w:p>
      <w:pPr>
        <w:pStyle w:val="SourceNote"/>
      </w:pPr>
      <w:r>
        <w:rPr>
          <w:b/>
        </w:rPr>
        <w:t>Available abstract (not full text):</w:t>
      </w:r>
      <w:r>
        <w:t xml:space="preserve"> Interdisciplinary thinking is essential to understanding and solving real-life problems and requires multiple disciplinary viewpoints. Research into STEM education highlights that it promotes an interdisciplinary learning process integrating science, mathematics, engineering, and mathematics knowledge and skills. However, STEM definitions are varied, and implementation recommendations are scant, resulting in diversity in the development and implementation of the learning process. This study critically analyses the literature to determine the fundamental concepts of STEM education and STEM discipline integration. Our analysis discovers six key components of STEM education, encompassing the integration of discipline, utilization of multiple representations, engagement with realistic and relevant problems, application of the engineering design process, encouragement of active collaboration, and emphasis on student-centered learning approaches. Then, we transform these key components to a practical learning process. The STEM-DTaM (STEM with Design Thinking and Makerspace) learning model consists of seven steps. We then unfold how this proposed learning could facilitate interdisciplinary thinking construction.</w:t>
      </w:r>
    </w:p>
    <w:p>
      <w:pPr/>
      <w:r>
        <w:rPr>
          <w:b/>
        </w:rPr>
        <w:t>POSSIBLE 2024:</w:t>
      </w:r>
      <w:r>
        <w:t xml:space="preserve"> Developing Innovative Interdisciplinary Biomedical Engineering Programs in Nigeria: Lessons Learned — https://doi.org/10.18260/1-2--27241</w:t>
      </w:r>
    </w:p>
    <w:p>
      <w:pPr/>
      <w:r>
        <w:rPr>
          <w:b/>
        </w:rPr>
        <w:t>Shared claim-specific concepts:</w:t>
      </w:r>
      <w:r>
        <w:t xml:space="preserve"> interdisciplinary, creation, three, case; EU scope not established. This is a provisional connection, not an outcome finding.</w:t>
      </w:r>
    </w:p>
    <w:p>
      <w:pPr>
        <w:pStyle w:val="SourceNote"/>
      </w:pPr>
      <w:r>
        <w:rPr>
          <w:b/>
        </w:rPr>
        <w:t>Available abstract (not full text):</w:t>
      </w:r>
      <w:r>
        <w:t xml:space="preserve"> An interdisciplinary team comprising faculty from the medical school, business school and school of engineering at Northwestern University is in its third year of cultivating "locally grown" healthcare solutions in Nigeria through a grant provided by NIH's Fogarty International Center.Through a series of training sessions at multiple sites in multiple countries, faculty at the University of Lagos (UINLAG) and the University of Ibadan (UI) are gaining the expertise and developing the infrastructure necessary to identify, design, and commercialize solutions to their own healthcare issues.The specific aims of the grant are three-fold: 1) Establish new and strengthen existing training programs in biomedical engineering in sub-Saharan Africa; 2) Train biomedical engineers and medical doctors to evaluate newly developed HIV-related and other testing and therapeutic devices; 3) Train post graduates from business schools to scale-up development and launch new healthcare practices.In support of these specific aims we have created four distinct annual training sessions: 1) week-long annual planning meetings hosted by either UNILAG or UI and facilitated by the NU team; 2) ten-week long biomedical engineering training programs at the University of Cape Town (UCT) facilitated by UCT and NU faculty ; 3) participation in twoweek long Kellogg Field Studies in Africa; 4) four-week long mentorin</w:t>
      </w:r>
    </w:p>
    <w:p>
      <w:pPr>
        <w:pStyle w:val="Heading2"/>
      </w:pPr>
      <w:r>
        <w:t>781. Animal Health Surveillance in Scotland in 2030: Using Scenario Planning to Develop Strategies in the Context of “Brexit”</w:t>
      </w:r>
    </w:p>
    <w:p>
      <w:pPr>
        <w:pStyle w:val="SourceNote"/>
      </w:pPr>
      <w:r>
        <w:rPr>
          <w:b/>
        </w:rPr>
        <w:t>Original source (2017):</w:t>
      </w:r>
      <w:r>
        <w:t xml:space="preserve"> https://doi.org/10.3389/fvets.2017.00201</w:t>
      </w:r>
    </w:p>
    <w:p>
      <w:pPr/>
      <w:r>
        <w:t>Original wording (abstract; indexed_source_text_not_full_document_verified): In this paper, we describe the use of scenario planning as an effective tool for the creation and exploration of five plausible long-term futures; we describe prioritization of critical drivers of change (i.e., international trade policy, data-sharing philosophies, and public versus private resourcing of surveillance capacity) that will unpredictably influence the future implementation of animal health surveillance activities. We present 10 participant-developed strategies to support 3 long-term visions to improve future resilience of animal health surveillance and contingency planning for animal and zoonotic disease outbreaks in Scotland.</w:t>
      </w:r>
    </w:p>
    <w:p>
      <w:pPr/>
      <w:r>
        <w:rPr>
          <w:b/>
        </w:rPr>
        <w:t>POSSIBLE 2026:</w:t>
      </w:r>
      <w:r>
        <w:t xml:space="preserve"> What we do in the shadows: Methodologists use a range of synthesis methods when meta-analysis of all results is not possible but describe challenges in planning and selecting methods — https://doi.org/10.64898/2026.07.15.26358140</w:t>
      </w:r>
    </w:p>
    <w:p>
      <w:pPr/>
      <w:r>
        <w:rPr>
          <w:b/>
        </w:rPr>
        <w:t>Shared claim-specific concepts:</w:t>
      </w:r>
      <w:r>
        <w:t xml:space="preserve"> describe, use, planning; EU scope not established. This is a provisional connection, not an outcome finding.</w:t>
      </w:r>
    </w:p>
    <w:p>
      <w:pPr>
        <w:pStyle w:val="SourceNote"/>
      </w:pPr>
      <w:r>
        <w:rPr>
          <w:b/>
        </w:rPr>
        <w:t>Available abstract (not full text):</w:t>
      </w:r>
      <w:r>
        <w:t xml:space="preserve"> Abstract Introduction Systematic review authors commonly encounter situations where the data required for meta-analysis are incompletely reported (e.g. when effect estimates are reported without a measure of precision). In this circumstance, many systematic review authors use a method other than meta-analysis (e.g. vote counting), but rarely describe those methods or the rationale for selecting them. We aimed to investigate what methods authors consider when meta-analysis of all study results is not possible, and what factors influence their decisions. Methods We interviewed 12 experienced systematic review authors, editors and methodologists, presenting four scenarios in which it was not possible to combine all results using meta-analysis. Scenarios varied in the number and size of included studies, available data, and risk of bias. Participants discussed the methods they considered to summarise, synthesise and present the results; whether they would synthesise available results; and how they would draw overall conclusions. Results Factors that informed decisions included participants’ overall purpose in conducting synthesis, existing beliefs about study results and synthesis methods, trust in the available data, and the decision-making needs of end users. Participants differed in which synthesis methods to use, whether they would use multiple synthesis methods, and which stud</w:t>
      </w:r>
    </w:p>
    <w:p>
      <w:pPr/>
      <w:r>
        <w:rPr>
          <w:b/>
        </w:rPr>
        <w:t>POSSIBLE 2025:</w:t>
      </w:r>
      <w:r>
        <w:t xml:space="preserve"> Overview of the Use of Co-creation Tools for the Design of Sustainable Buildings — https://doi.org/10.1007/978-3-032-09040-9_12</w:t>
      </w:r>
    </w:p>
    <w:p>
      <w:pPr/>
      <w:r>
        <w:rPr>
          <w:b/>
        </w:rPr>
        <w:t>Shared claim-specific concepts:</w:t>
      </w:r>
      <w:r>
        <w:t xml:space="preserve"> use, effective, capacity; EU scope not established. This is a provisional connection, not an outcome finding.</w:t>
      </w:r>
    </w:p>
    <w:p>
      <w:pPr>
        <w:pStyle w:val="SourceNote"/>
      </w:pPr>
      <w:r>
        <w:rPr>
          <w:b/>
        </w:rPr>
        <w:t>Available abstract (not full text):</w:t>
      </w:r>
      <w:r>
        <w:t xml:space="preserve"> Abstract The transition toward sustainable building design increasingly emphasizes participatory approaches, where diverse stakeholders contribute to shaping solutions that balance environmental performance, social needs, and economic viability. This study provides an overview of the application of co-creation tools in the design process of sustainable buildings. Drawing on recent literature and practice-based examples, we examine how tools such as participatory design workshops, digital twins, virtual and augmented reality environments, and collaborative BIM platforms enable deeper engagement of users, designers, and decision-makers. The analysis identifies key benefits of co-creation, including improved user satisfaction, enhanced design adaptability, and stronger alignment with sustainability goals. It also explores challenges such as stakeholder coordination, data interoperability, and the need for capacity building in participatory methods. The study synthesizes findings across academic, professional, and policy domains to propose a typology of co-creation tools most relevant to sustainable architecture. The insights aim to inform both practitioners and researchers seeking to implement inclusive and effective design strategies in the built environment.</w:t>
      </w:r>
    </w:p>
    <w:p>
      <w:pPr/>
      <w:r>
        <w:rPr>
          <w:b/>
        </w:rPr>
        <w:t>POSSIBLE 2024:</w:t>
      </w:r>
      <w:r>
        <w:t xml:space="preserve"> Conditions for Co-creation: Lessons from a planning tool for rural facility decline — https://doi.org/10.1016/j.jrurstud.2024.103512</w:t>
      </w:r>
    </w:p>
    <w:p>
      <w:pPr/>
      <w:r>
        <w:rPr>
          <w:b/>
        </w:rPr>
        <w:t>Shared claim-specific concepts:</w:t>
      </w:r>
      <w:r>
        <w:t xml:space="preserve"> use, planning, tool, five, private; EU scope visible. This is a provisional connection, not an outcome finding.</w:t>
      </w:r>
    </w:p>
    <w:p>
      <w:pPr>
        <w:pStyle w:val="SourceNote"/>
      </w:pPr>
      <w:r>
        <w:rPr>
          <w:b/>
        </w:rPr>
        <w:t>Available abstract (not full text):</w:t>
      </w:r>
      <w:r>
        <w:t xml:space="preserve"> Declining levels of facilities and services are a major source of concern in rural areas across Europe. Local facilities can have different individual or communal meanings, and closure can lead to a sense of loss. While many scholars advocate for empowering rural communities in the collective coping process, few studies analyse examples of co-creative planning tools. This paper describes and evaluates the development and implementation of ‘Facility-Wise’, an analogue serious game for co-creative planning and self-organization of facilities and services. The development of Facility-Wise followed an abductive and design-led approach through a participatory process. Five real cases in North-West Fryslân (Netherlands), and one fictional case, were used for prototyping. In the final format a moderator leads participants through various discussion-elements and helps them to explore future scenarios for health care, education, sports, cultural or private facilities. This paper provides a roadmap for how to develop and use co-creative planning tools, and critically reflects on the prerequisites that are needed for successful implementation. Six prerequisites to successfully implement tools for co-creation are discussed. When these conditions are met, it is possible to mitigate negative experiences of rural facility-decline and empower communities in the collective coping process. Howev</w:t>
      </w:r>
    </w:p>
    <w:p>
      <w:pPr/>
      <w:r>
        <w:rPr>
          <w:b/>
        </w:rPr>
        <w:t>POSSIBLE 2024:</w:t>
      </w:r>
      <w:r>
        <w:t xml:space="preserve"> The Tools of Land-Use Planning — https://doi.org/10.4324/9781003291145-11</w:t>
      </w:r>
    </w:p>
    <w:p>
      <w:pPr/>
      <w:r>
        <w:rPr>
          <w:b/>
        </w:rPr>
        <w:t>Shared claim-specific concepts:</w:t>
      </w:r>
      <w:r>
        <w:t xml:space="preserve"> describe, use, planning; EU scope not established. This is a provisional connection, not an outcome finding.</w:t>
      </w:r>
    </w:p>
    <w:p>
      <w:pPr>
        <w:pStyle w:val="SourceNote"/>
      </w:pPr>
      <w:r>
        <w:rPr>
          <w:b/>
        </w:rPr>
        <w:t>Available abstract (not full text):</w:t>
      </w:r>
      <w:r>
        <w:t xml:space="preserve"> Upon completing this chapter, you will be able to: Describe the importance of capital investment in shaping urban forms. Describe capital expenditures, capital budget, and types of municipal bonds. List the main regulations laid down to control land use. Define subdivision regulations. Define the term planned unit development . Distinguish between Euclidean zoning and planned unit development . Explain the term transfer of development rights . Explain the tenets of form-based zoning and contrast it with Euclidean zoning. Explain the process of combining capital investment and land-use controls.</w:t>
      </w:r>
    </w:p>
    <w:p>
      <w:pPr/>
      <w:r>
        <w:rPr>
          <w:b/>
        </w:rPr>
        <w:t>POSSIBLE 2023:</w:t>
      </w:r>
      <w:r>
        <w:t xml:space="preserve"> Designing Corpus-Creation Tools for Language Revitalization — https://doi.org/10.1353/dic.2023.a915069</w:t>
      </w:r>
    </w:p>
    <w:p>
      <w:pPr/>
      <w:r>
        <w:rPr>
          <w:b/>
        </w:rPr>
        <w:t>Shared claim-specific concepts:</w:t>
      </w:r>
      <w:r>
        <w:t xml:space="preserve"> describe, use, tool; EU scope not established. This is a provisional connection, not an outcome finding.</w:t>
      </w:r>
    </w:p>
    <w:p>
      <w:pPr>
        <w:pStyle w:val="SourceNote"/>
      </w:pPr>
      <w:r>
        <w:rPr>
          <w:b/>
        </w:rPr>
        <w:t>Available abstract (not full text):</w:t>
      </w:r>
      <w:r>
        <w:t xml:space="preserve"> ABSTRACT: We have developed a set of corpus-creation tools to support the documentation and revitalization of Isga I?abi (also known as Stoney ), a Siouan language spoken in Alberta. This project has emerged from a collaboration between community language champions and university-based researchers, with the goal of creating a new generation of Stoney speakers. The initial phase of the project has focused on expanding the documentary record of the language by creating a corpus of spoken Isga I?abi, recorded from nearly a dozen fluent speakers. We describe the particular constraints that informed the design of the project and how they led us to create several new tools for elicitation. First was an adaptation of the Summer Institute of Linguistics' Rapid Words Collection method, where, instead of focusing on individual lexemes, we collected thematically organized sentences displaying targeted grammatical properties. Next, we developed a photo prompter tool, which allows speakers to describe what they see in a photo, but also to discuss the photo with other speakers in spontaneous discourse. These simple tools allow the speakers to handle the day-to-day work of language documentation themselves, without needing a linguist to be present during those sessions. The outputs from this process (currently over fifty hours of audio) will find their way into various resources and activitie</w:t>
      </w:r>
    </w:p>
    <w:p>
      <w:pPr/>
      <w:r>
        <w:rPr>
          <w:b/>
        </w:rPr>
        <w:t>POSSIBLE 2022:</w:t>
      </w:r>
      <w:r>
        <w:t xml:space="preserve"> Creation of new tools and their use for analytical-synthetic method of reading — https://openalex.org/W7135751639</w:t>
      </w:r>
    </w:p>
    <w:p>
      <w:pPr/>
      <w:r>
        <w:rPr>
          <w:b/>
        </w:rPr>
        <w:t>Shared claim-specific concepts:</w:t>
      </w:r>
      <w:r>
        <w:t xml:space="preserve"> describe, use, creation; EU scope not established. This is a provisional connection, not an outcome finding.</w:t>
      </w:r>
    </w:p>
    <w:p>
      <w:pPr>
        <w:pStyle w:val="SourceNote"/>
      </w:pPr>
      <w:r>
        <w:rPr>
          <w:b/>
        </w:rPr>
        <w:t>Available abstract (not full text):</w:t>
      </w:r>
      <w:r>
        <w:t xml:space="preserve"> The aim of the diploma thesis is to create new tools for analytical-synthetic method of reading. In the theoretical part, I present mainly the analytical-synthetic method of reading, but also other alternative methods of reading that are used in schools today. I also analyze in detail the individual stages of the analytical-synthetic method of reading and possible evaluation or diagnostics of reading. Based on the literature, I present the benefits but also the problems that may occur in teaching analytical-synthetic method. I also present teaching aids that can be used in teaching, which support this method. For comparison with aids to teaching reading by the analytical-synthetic method, I present typical aids used in the practice of reading by the genetic method. In the practical part I describe the procedures of creating teaching aids and state the appropriate use of aids in practice. I verified the functionality and usability of the aids at the primary and kindergarten school in Božičany in the district of Karlovy Vary. I created a didactic commentary for each aid, which serves as a guide to a specific aid. I consider the overview of specific activities usable in practice to be the most practical and usable for other colleagues. Thanks to this part, my diploma thesis can serve other colleagues...</w:t>
      </w:r>
    </w:p>
    <w:p>
      <w:pPr/>
      <w:r>
        <w:rPr>
          <w:b/>
        </w:rPr>
        <w:t>POSSIBLE 2022:</w:t>
      </w:r>
      <w:r>
        <w:t xml:space="preserve"> Land use planning and regulation — https://doi.org/10.4324/9781003262756-4</w:t>
      </w:r>
    </w:p>
    <w:p>
      <w:pPr/>
      <w:r>
        <w:rPr>
          <w:b/>
        </w:rPr>
        <w:t>Shared claim-specific concepts:</w:t>
      </w:r>
      <w:r>
        <w:t xml:space="preserve"> use, planning, effective; EU scope not established. This is a provisional connection, not an outcome finding.</w:t>
      </w:r>
    </w:p>
    <w:p>
      <w:pPr>
        <w:pStyle w:val="SourceNote"/>
      </w:pPr>
      <w:r>
        <w:rPr>
          <w:b/>
        </w:rPr>
        <w:t>Available abstract (not full text):</w:t>
      </w:r>
      <w:r>
        <w:t xml:space="preserve"> The land use development of a city or county has tremendous implications for not only the amount of greenhouse gases emitted by the community but also the cost of public infrastructure and support of lifestyle choices. In the context of a rapidly urbanizing population, this chapter describes approaches to developing a desirable land use pattern that will positively address global warming and minimize the cost of public infrastructure such as water, wastewater and transportation services as well provide suitable environments for families and other households. The chapter also describes effective methods for managing growth and ensuring that adequate public facilities exist to support new development. Additionally, the importance and value of managers being directly engaged with comprehensive planning and land use controls is described.</w:t>
      </w:r>
    </w:p>
    <w:p>
      <w:pPr/>
      <w:r>
        <w:rPr>
          <w:b/>
        </w:rPr>
        <w:t>POSSIBLE 2022:</w:t>
      </w:r>
      <w:r>
        <w:t xml:space="preserve"> Novel methods for spatial prioritization with applications in conservation, land use planning and ecological impact avoidance — https://doi.org/10.1111/2041-210x.13819</w:t>
      </w:r>
    </w:p>
    <w:p>
      <w:pPr/>
      <w:r>
        <w:rPr>
          <w:b/>
        </w:rPr>
        <w:t>Shared claim-specific concepts:</w:t>
      </w:r>
      <w:r>
        <w:t xml:space="preserve"> describe, use, planning, prioritization, capacity; EU scope not established. This is a provisional connection, not an outcome finding.</w:t>
      </w:r>
    </w:p>
    <w:p>
      <w:pPr>
        <w:pStyle w:val="SourceNote"/>
      </w:pPr>
      <w:r>
        <w:rPr>
          <w:b/>
        </w:rPr>
        <w:t>Available abstract (not full text):</w:t>
      </w:r>
      <w:r>
        <w:t xml:space="preserve"> Abstract Spatial (conservation) prioritization integrates data on the distributions of biodiversity, costs and threats. It produces spatial priority maps that can support ecologically well‐informed land use planning in general, including applications in environmental impact avoidance outside protected areas. Here we describe novel methods that significantly increase the utility of spatial priority ranking in large analyses and with interactive planning. Methodologically, we describe a novel algorithm for implementing spatial priority ranking, novel alternatives for balancing between biodiversity features, fast tiled FFT transforms for connectivity calculations based on dispersal kernels, and a novel analysis output, the flexibility map. Marking by N the number of landscape elements with data, the new prioritization algorithm has time scaling of less than N log 2 N instead of the N 2 of its predecessor. We illustrate feasible computation times with data up to billions of elements in size, implying capacity for global analysis at a resolution higher than 0.25 km 2 , or close to 1‐ha resolution for a continent. The algorithmic improvements described here bring about improved capacity to implement decision support for real‐world spatial conservation planning problems. The methods described here will be at the technical core of forthcoming software releases.</w:t>
      </w:r>
    </w:p>
    <w:p>
      <w:pPr/>
      <w:r>
        <w:rPr>
          <w:b/>
        </w:rPr>
        <w:t>POSSIBLE 2021:</w:t>
      </w:r>
      <w:r>
        <w:t xml:space="preserve"> Using the Systems Engineering Initiative for Patient Safety (SEIPS) model to describe the planning and management of the COVID-19 pandemic in Hong Kong — https://doi.org/10.1093/intqhc/mzab042</w:t>
      </w:r>
    </w:p>
    <w:p>
      <w:pPr/>
      <w:r>
        <w:rPr>
          <w:b/>
        </w:rPr>
        <w:t>Shared claim-specific concepts:</w:t>
      </w:r>
      <w:r>
        <w:t xml:space="preserve"> describe, use, planning, tool, five, private; EU scope not established. This is a provisional connection, not an outcome finding.</w:t>
      </w:r>
    </w:p>
    <w:p>
      <w:pPr>
        <w:pStyle w:val="SourceNote"/>
      </w:pPr>
      <w:r>
        <w:rPr>
          <w:b/>
        </w:rPr>
        <w:t>Available abstract (not full text):</w:t>
      </w:r>
      <w:r>
        <w:t xml:space="preserve"> The COVID-19 pandemic has had massive impact on healthcare systems highlighting that the relatively deficient medical facilities to cater the high patient load and the shortage of personal protective equipment (PPE) to ensure staff safety are the major problems to tackle [1, 2]. Hong Kong public hospitals faced the same challenges. It is crucial for the hospital management to formulate decisive strategies through a systems approach and take swift actions to handle these situations. The Systems Engineering Initiative for Patient Safety (SEIPS) model, consisted of five main domains namely organization, person, tasks, technologies and tools, and environment, is a renowned tool which adopts human factors principles and offers a comprehensive conceptual framework in facilitating hospital management to understand its own system [3, 4]. Evidence showed that this model had been successfully applied in handling the COVID-19 pandemic [5]. The aims of this article are to apply the SEIPS model to systematically describe the strategies and actions taken by the five public hospitals in the New Territories West Cluster (NTWC) of Hong Kong Hospital Authority and examine if the SEIPS model could support organizations in planning for and managing a pandemic. The strategies and actions taken in the NTWC since the COVID-19 pandemic in February 2020 are summarized in Table 1, and the key actions of</w:t>
      </w:r>
    </w:p>
    <w:p>
      <w:pPr/>
      <w:r>
        <w:rPr>
          <w:b/>
        </w:rPr>
        <w:t>POSSIBLE 2021:</w:t>
      </w:r>
      <w:r>
        <w:t xml:space="preserve"> Tools creation for procedural environments — https://openalex.org/W7113654776</w:t>
      </w:r>
    </w:p>
    <w:p>
      <w:pPr/>
      <w:r>
        <w:rPr>
          <w:b/>
        </w:rPr>
        <w:t>Shared claim-specific concepts:</w:t>
      </w:r>
      <w:r>
        <w:t xml:space="preserve"> describe, use, tool, creation; EU scope not established. This is a provisional connection, not an outcome finding.</w:t>
      </w:r>
    </w:p>
    <w:p>
      <w:pPr>
        <w:pStyle w:val="SourceNote"/>
      </w:pPr>
      <w:r>
        <w:rPr>
          <w:b/>
        </w:rPr>
        <w:t>Available abstract (not full text):</w:t>
      </w:r>
      <w:r>
        <w:t xml:space="preserve"> Industry exigencies on AAA video games productions are increasing, times are tightening and it becomes harder to plan a large project. Today procedural generation of content allows to make productions faster and more efficient by shortening the times of tedious processes like worlds creation. With this project we want to demonstrate and explain why big video game companies are focusing their efforts on creating tools for designers, how production times are substantially reduced and how these tools are developed. Specifically, we want to describe how Houdini, a software based on nodal systems, allows us to procedurally create impressive environments, models and tools through which generate thousands of high quality results by modifying a few parameters. Considering that a project of this magnitude may involve a great effort and innumerable resources of a big team, we will focus our efforts on reaching an initial basic prototype with the sufficient quality required by the market in the AAA video game industry on each of the produced tools. The results obtained were very satisfactory and fulfilled all the proposed objectives. We believe that our knowledge of Houdini, procedural tools and Unreal Engine has grown greatly and, moreover, as a fact, has been self-taught. We have also managed to get very close to what we chose as references to follow for the project, a very high-quality</w:t>
      </w:r>
    </w:p>
    <w:p>
      <w:pPr/>
      <w:r>
        <w:rPr>
          <w:b/>
        </w:rPr>
        <w:t>POSSIBLE 2020:</w:t>
      </w:r>
      <w:r>
        <w:t xml:space="preserve"> Reasoning versus Planning — https://doi.org/10.1002/9781119720348.ch5</w:t>
      </w:r>
    </w:p>
    <w:p>
      <w:pPr/>
      <w:r>
        <w:rPr>
          <w:b/>
        </w:rPr>
        <w:t>Shared claim-specific concepts:</w:t>
      </w:r>
      <w:r>
        <w:t xml:space="preserve"> use, planning, tool, versus; EU scope not established. This is a provisional connection, not an outcome finding.</w:t>
      </w:r>
    </w:p>
    <w:p>
      <w:pPr>
        <w:pStyle w:val="SourceNote"/>
      </w:pPr>
      <w:r>
        <w:rPr>
          <w:b/>
        </w:rPr>
        <w:t>Available abstract (not full text):</w:t>
      </w:r>
      <w:r>
        <w:t xml:space="preserve"> In this chapter, the author defends the theory that the ability to use and make tools and build constructions is based on technical-reasoning skills, useful for solving physical problems that humans generate themselves. He proposes a revised version of some of the theses supported by cognitive archaeologists, according to which the development of executive functions during our evolution would be the key to explaining complex Tool behaviors. The author describes three key processes concerning executive functions, namely flexibility, inhibition and updating. He also proposes a theoretical development on the contribution of technical reasoning and the potential role of executive functions. The theoretical development provides an alternative scenario where these schemas are not stored, but rather generated either totally (i.e. total planning) or partially (i.e. partial planning).</w:t>
      </w:r>
    </w:p>
    <w:p>
      <w:pPr/>
      <w:r>
        <w:rPr>
          <w:b/>
        </w:rPr>
        <w:t>POSSIBLE 2020:</w:t>
      </w:r>
      <w:r>
        <w:t xml:space="preserve"> Web 2.0 tools as framework for participation and co-creation — https://doi.org/10.24140/2020-sct-vol.4-2.5</w:t>
      </w:r>
    </w:p>
    <w:p>
      <w:pPr/>
      <w:r>
        <w:rPr>
          <w:b/>
        </w:rPr>
        <w:t>Shared claim-specific concepts:</w:t>
      </w:r>
      <w:r>
        <w:t xml:space="preserve"> use, planning, tool; EU scope visible. This is a provisional connection, not an outcome finding.</w:t>
      </w:r>
    </w:p>
    <w:p>
      <w:pPr>
        <w:pStyle w:val="SourceNote"/>
      </w:pPr>
      <w:r>
        <w:rPr>
          <w:b/>
        </w:rPr>
        <w:t>Available abstract (not full text):</w:t>
      </w:r>
      <w:r>
        <w:t xml:space="preserve"> Web 2.0 has brought a plethora of new tools (such as Twitter, Facebook, Instagram and others) and new functionalities, for instance, the ability to co-create web content.The question that is being asked is whether these applications and online tools can be used as an alternative to non-electronic tools for participation in spatial planning processes.The co-creation process that these tools enable is also participation.Participation in urban planning is an important part of space planning that we share with different users of planned space.The chapter shows how the theory of participation can be associated with participatory methods that are used in spatial planning.And how to use them when choosing and creating electronic Web 2.0 tools of.However, to make the use of electronic tools easier for non-professionals from the field of Information and Communication Technology (ICT), we have selected electronic tools designed for collaboration and participation to be integrated into a generative web framework.Various electronic tools are described in this chapter, with different ways of using in the processes of participation and co-creation.One tool that was developed for the needs of a certain European project from the field of integration of local initiatives in revitalizing urban public spaces of contemporary cities and could be used for other similar purposes will be described in </w:t>
      </w:r>
    </w:p>
    <w:p>
      <w:pPr>
        <w:pStyle w:val="Heading2"/>
      </w:pPr>
      <w:r>
        <w:t>782. Brexit adds to gloom over long‐term growth prospects</w:t>
      </w:r>
    </w:p>
    <w:p>
      <w:pPr>
        <w:pStyle w:val="SourceNote"/>
      </w:pPr>
      <w:r>
        <w:rPr>
          <w:b/>
        </w:rPr>
        <w:t>Original source (2017):</w:t>
      </w:r>
      <w:r>
        <w:t xml:space="preserve"> https://doi.org/10.1111/1468-0319.12257</w:t>
      </w:r>
    </w:p>
    <w:p>
      <w:pPr/>
      <w:r>
        <w:t>Original wording (abstract; indexed_source_text_not_full_document_verified): Our forecasts show potential output growth of just 1.6% a year from 2017–2030.</w:t>
      </w:r>
    </w:p>
    <w:p>
      <w:pPr/>
      <w:r>
        <w:rPr>
          <w:b/>
        </w:rPr>
        <w:t>POSSIBLE 2026:</w:t>
      </w:r>
      <w:r>
        <w:t xml:space="preserve"> Forecasting Quasi-Linear Convective System Tornado Potential Using the Warn-on-Forecast System (WoFS) — https://doi.org/10.1175/waf-d-25-0092.1</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Accurately forecasting mesovortex tornado potential within quasi-linear convective systems (QLCSs) remains a major challenge. One technique used to support QLCS tornado warning operations is the three ingredients method (3IM), which is based on system balance modulated by line-normal vertical wind shear. However, observational studies examining prolific mesovortex- and tornado-producing QLCSs have identified a substantial line-parallel component of the low-level environmental shear field, which is unaccounted for in the 3IM. Recent numerical studies suggest that line-parallel shear promotes the development of strong, cyclonic mesovortices, thereby increasing the overall likelihood of QLCS tornadoes. Motivated by these recent findings, this proof-of-concept study represents the first attempt to quantify the physical factors comprising the 3IM using a prototype composite forecast parameter QTor. QTor integrates near-storm environmental vertical wind shear components with leading-line geometry to generate system-relative probabilistic forecasts for mesovortex tornado potential. QTor is evaluated using three tornadic QLCS cases and one null case within the Warn-on-Forecast System (WoFS), leveraging object-based methods to identify QLCS structures and isolate their leading lines. Results indicate that QTor forecasts show promise in effectively identifying areas conducive to</w:t>
      </w:r>
    </w:p>
    <w:p>
      <w:pPr/>
      <w:r>
        <w:rPr>
          <w:b/>
        </w:rPr>
        <w:t>POSSIBLE 2023:</w:t>
      </w:r>
      <w:r>
        <w:t xml:space="preserve"> Accurate medium-range global weather forecasting with 3D neural networks — https://doi.org/10.1038/s41586-023-06185-3</w:t>
      </w:r>
    </w:p>
    <w:p>
      <w:pPr/>
      <w:r>
        <w:rPr>
          <w:b/>
        </w:rPr>
        <w:t>Shared claim-specific concepts:</w:t>
      </w:r>
      <w:r>
        <w:t xml:space="preserve"> forecasts, show, potential; EU scope visible. This is a provisional connection, not an outcome finding.</w:t>
      </w:r>
    </w:p>
    <w:p>
      <w:pPr>
        <w:pStyle w:val="SourceNote"/>
      </w:pPr>
      <w:r>
        <w:rPr>
          <w:b/>
        </w:rPr>
        <w:t>Available abstract (not full text):</w:t>
      </w:r>
      <w:r>
        <w:t xml:space="preserve"> Abstract Weather forecasting is important for science and society. At present, the most accurate forecast system is the numerical weather prediction (NWP) method, which represents atmospheric states as discretized grids and numerically solves partial differential equations that describe the transition between those states 1 . However, this procedure is computationally expensive. Recently, artificial-intelligence-based methods 2 have shown potential in accelerating weather forecasting by orders of magnitude, but the forecast accuracy is still significantly lower than that of NWP methods. Here we introduce an artificial-intelligence-based method for accurate, medium-range global weather forecasting. We show that three-dimensional deep networks equipped with Earth-specific priors are effective at dealing with complex patterns in weather data, and that a hierarchical temporal aggregation strategy reduces accumulation errors in medium-range forecasting. Trained on 39 years of global data, our program, Pangu-Weather, obtains stronger deterministic forecast results on reanalysis data in all tested variables when compared with the world’s best NWP system, the operational integrated forecasting system of the European Centre for Medium-Range Weather Forecasts (ECMWF) 3 . Our method also works well with extreme weather forecasts and ensemble forecasts. When initialized with reanalysis dat</w:t>
      </w:r>
    </w:p>
    <w:p>
      <w:pPr/>
      <w:r>
        <w:rPr>
          <w:b/>
        </w:rPr>
        <w:t>POSSIBLE 2023:</w:t>
      </w:r>
      <w:r>
        <w:t xml:space="preserve"> Forecasting Georgia Economic Growth 2020-2030 — https://doi.org/10.62343/cjss.2019.182</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Firms, households, government agencies, and non-government organizations rely on forecasts when making decisions regarding the allocation of scarce resources. This paper develops evidence-based forecasts for key macroeconomic variables for the Republic of Georgia. Sources of data include the International Monetary Fund’s World Economic Outlook, The World Bank, and others. We use, primarily, exponential smoothing models generated by the statistical application Forecast Pro 100 to generate forecasts with 95 percent confidence limits. Finally, recognizing the high degree of uncertainty associated with long-term forecasting, we include scenarios to generate high, middle, and low values for the key variables. Our analysis shows population, a key economic resource, to be declining, along with the labor force participation rate, after a considerable rise. Gross fixed capital formation appears to be rising, while total reserves (including gold) is holding steady. With real GDP rising at an average rate of about five percent over the past decade, our forecast shows GDP continuing to increase over the next decade, along with GDP per capita, indicating a rising level of general wellbeing. Georgia’s inflation rate is low, and there is no credible evidence that the rate of inflation will accelerate in the coming years. We develop three scenarios for economic growth for Georgia for the perio</w:t>
      </w:r>
    </w:p>
    <w:p>
      <w:pPr/>
      <w:r>
        <w:rPr>
          <w:b/>
        </w:rPr>
        <w:t>POSSIBLE 2023:</w:t>
      </w:r>
      <w:r>
        <w:t xml:space="preserve"> Forecasting NZ GDP With LSTM Modelling — https://openalex.org/W7131761963</w:t>
      </w:r>
    </w:p>
    <w:p>
      <w:pPr/>
      <w:r>
        <w:rPr>
          <w:b/>
        </w:rPr>
        <w:t>Shared claim-specific concepts:</w:t>
      </w:r>
      <w:r>
        <w:t xml:space="preserve"> forecasts, just; EU scope not established. This is a provisional connection, not an outcome finding.</w:t>
      </w:r>
    </w:p>
    <w:p>
      <w:pPr>
        <w:pStyle w:val="SourceNote"/>
      </w:pPr>
      <w:r>
        <w:rPr>
          <w:b/>
        </w:rPr>
        <w:t>Available abstract (not full text):</w:t>
      </w:r>
      <w:r>
        <w:t xml:space="preserve"> This thesis investigates traditional macroeconomic modelling technique’s forecasting ability of GDP growth rates against a Long Short Term Memory Neural Networks forecasting ability of GDP growth rates for the New Zealand economy. The main forecast time frame is from March 2012 to December 2019 just before Covid-19. The models use an 8-step quarterly time horizon which is two years ahead. The models use pseudo-real time data to train the models in this thesis. I use a Root Mean Squared Error (RMSE) to measure the performance of the models and compare the forecasts with a Diebold-Mariano test (DM test). After the pre-Covid-19 period I use the models to forecast the Covid-19 period from March 2020 to September 2022. Finally, I compare the LSTM models to ANZ forecasts. The research in this thesis shows that the traditional model Vector Autoregression (VAR) has the best performance across all 8-time horizons and the LSTM out performances the VARMAX model for most of the 8-time horizons for the pre-Covid-19 period. The LSTM model performed best over the Covid-19 period but the RMSE results were so high that no meaningful insights could be used from the models. Finally, the LSTM outperforms ANZ forecasting over the Covid-19 period and slightly under performs before Covid-19. This thesis contributes to the research that is just beginning in this area of testing traditional models to n</w:t>
      </w:r>
    </w:p>
    <w:p>
      <w:pPr/>
      <w:r>
        <w:rPr>
          <w:b/>
        </w:rPr>
        <w:t>POSSIBLE 2022:</w:t>
      </w:r>
      <w:r>
        <w:t xml:space="preserve"> Global seasonal forecasts of marine heatwaves — https://doi.org/10.1038/s41586-022-04573-9</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Marine heatwaves (MHWs)—periods of exceptionally warm ocean temperature lasting weeks to years—are now widely recognized for their capacity to disrupt marine ecosystems1–3. The substantial ecological and socioeconomic impacts of these extreme events present significant challenges to marine resource managers4–7, who would benefit from forewarning of MHWs to facilitate proactive decision-making8–11. However, despite extensive research into the physical drivers of MHWs11,12, there has been no comprehensive global assessment of our ability to predict these events. Here we use a large multimodel ensemble of global climate forecasts13,14 to develop and assess MHW forecasts that cover the world’s oceans with lead times of up to a year. Using 30 years of retrospective forecasts, we show that the onset, intensity and duration of MHWs are often predictable, with skilful forecasts possible from 1 to 12 months in advance depending on region, season and the state of large-scale climate modes, such as the El Niño/Southern Oscillation. We discuss considerations for setting decision thresholds based on the probability that a MHW will occur, empowering stakeholders to take appropriate actions based on their risk profile. These results highlight the potential for operational MHW forecasts, analogous to forecasts of extreme weather phenomena, to promote climate resilience in global marin</w:t>
      </w:r>
    </w:p>
    <w:p>
      <w:pPr/>
      <w:r>
        <w:rPr>
          <w:b/>
        </w:rPr>
        <w:t>POSSIBLE 2022:</w:t>
      </w:r>
      <w:r>
        <w:t xml:space="preserve"> Embedding-Based Potential Sales Forecasting of Bread Product — https://doi.org/10.20965/jaciii.2022.p0236</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In this study, we investigate the potential sales forecasts of unhandled bread products in retail stores based on factory shipment data. An embedding-based forecasting method that uses large-scale information network embedding (LINE) and simultaneously considers first- and second-order proximities is developed to define similar neighboring stores using their product–store relationship and to predict their potential sales volume. LINE is a network-embedding method that transforms network data into a low-dimensional distributed representation and requires a low computation time, even when applied to large networks. The results show that our proposed method outperforms a simple prediction method (Baseline) and t-SNE, a well-known dimensionality reduction method for high-dimensional data, in terms of accurate product sales prediction via simulation experiments. Furthermore, we conduct a sensitivity analysis to verify the applicability of our proposed method when the forecasting target is expanded to products sold in fewer stores and in stores with less product variety.</w:t>
      </w:r>
    </w:p>
    <w:p>
      <w:pPr/>
      <w:r>
        <w:rPr>
          <w:b/>
        </w:rPr>
        <w:t>POSSIBLE 2021:</w:t>
      </w:r>
      <w:r>
        <w:t xml:space="preserve"> Lightning forecasting in Bangladesh based on the lightning potential index and the electric potential — https://doi.org/10.1016/j.atmosres.2021.105973</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This work documents the performances of diagnostic and explicit lightning forecasts for selected high impact weather events over Bangladesh. The lightning flashes are calculated by three methods: (1) a diagnostic lightning parameterization that bases its algorithm on the level of neutral buoyancy from a convective parameterization scheme, (2) lightning potential index (LPI) using local graupel and ice contents, and (3) explicit prediction of electric fields and lightning initiation from WRF-ELEC. Five lightning events that occurred on 02 April 2019, 17 May 2019, 20 April 2020, 26 May 2020, and 20 May 2021 were examined to evaluate the forecasting capability of each scheme for the lightning over a 24-h forecast period. Prior to diagnosing lightning activity, the composite radar reflectivity and the neighborhood score metrics (ETS, FSS) for hourly rainfall were analyzed to determine if the simulated precipitation structure is consistent with the observations. Analyses based on performance diagrams were also included for a better illustration of how simulations perform on predicting precipitation. The spatial distribution of LPI and lightning flashes is compared against the NASA Lightning Imaging Sensor (LIS) dataset. The qualitative results show that in most of the studied cases, there is a good agreement between the observations and the WRF-ELEC-based simulations in terms of det</w:t>
      </w:r>
    </w:p>
    <w:p>
      <w:pPr/>
      <w:r>
        <w:rPr>
          <w:b/>
        </w:rPr>
        <w:t>POSSIBLE 2020:</w:t>
      </w:r>
      <w:r>
        <w:t xml:space="preserve"> Load probability density forecasting by transforming and combining quantile forecasts — https://doi.org/10.1016/j.apenergy.2020.115600</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Compared with traditional deterministic load forecasting, probabilistic load forecasting (PLF) help us understand the potential risks in the power system operation by providing more information about future uncertainties of the loads. Quantile forecasting, as a kind of non-parametric probabilistic forecasting method, has been well developed and widely used in PLF. However, the results of quantile forecasts are discrete, which contain fewer details than density forecasts which provide the most comprehensive information. This paper proposes a novel day-ahead load probability density forecasting method by transforming and combining multiple quantile forecasts. The proposed method includes two main steps: transformation and combination. In the first step, the kernel density estimation method is used to transform the individual quantile forecast into the probability density curve; in the second step, an optimization problem is established to obtain the weighted combination of different probability density forecasts. The perturbation search method is applied to determine the optimal weight of each individual forecast. We demonstrate the effectiveness and superiority of our proposed method using comprehensive case studies on the real-world load data from Guangdong province in China, ISO New England (ISO-NE) in the US and Irish smart meter data. Case studies show that the combined mode</w:t>
      </w:r>
    </w:p>
    <w:p>
      <w:pPr/>
      <w:r>
        <w:rPr>
          <w:b/>
        </w:rPr>
        <w:t>POSSIBLE 2020:</w:t>
      </w:r>
      <w:r>
        <w:t xml:space="preserve"> Forecasting cycles of seizure likelihood — https://doi.org/10.1111/epi.16485</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OBJECTIVE: Seizure unpredictability is rated as one of the most challenging aspects of living with epilepsy. Seizure likelihood can be influenced by a range of environmental and physiological factors that are difficult to measure and quantify. However, some generalizable patterns have been demonstrated in seizure onset. A majority of people with epilepsy exhibit circadian rhythms in their seizure times, and many also show slower, multiday patterns. Seizure cycles can be measured using a range of recording modalities, including self-reported electronic seizure diaries. This study aimed to develop personalized forecasts from a mobile seizure diary app. METHODS: Forecasts based on circadian and multiday seizure cycles were tested pseudoprospectively using data from 50 app users (mean of 109 seizures per subject). Individuals' strongest cycles were estimated from their reported seizure times and used to derive the likelihood of future seizures. The forecasting approach was validated using self-reported events and electrographic seizures from the Neurovista dataset, an existing database of long-term electroencephalography that has been widely used to develop forecasting algorithms. RESULTS: The validation dataset showed that forecasts of seizure likelihood based on self-reported cycles were predictive of electrographic seizures for approximately half the cohort. Forecasts using only</w:t>
      </w:r>
    </w:p>
    <w:p>
      <w:pPr/>
      <w:r>
        <w:rPr>
          <w:b/>
        </w:rPr>
        <w:t>POSSIBLE 2020:</w:t>
      </w:r>
      <w:r>
        <w:t xml:space="preserve"> Potential for Early Forecast of Moroccan Wheat Yields Based on Climatic Drivers — https://doi.org/10.1029/2020gl087516</w:t>
      </w:r>
    </w:p>
    <w:p>
      <w:pPr/>
      <w:r>
        <w:rPr>
          <w:b/>
        </w:rPr>
        <w:t>Shared claim-specific concepts:</w:t>
      </w:r>
      <w:r>
        <w:t xml:space="preserve"> forecasts, show, potential; EU scope not established. This is a provisional connection, not an outcome finding.</w:t>
      </w:r>
    </w:p>
    <w:p>
      <w:pPr>
        <w:pStyle w:val="SourceNote"/>
      </w:pPr>
      <w:r>
        <w:rPr>
          <w:b/>
        </w:rPr>
        <w:t>Available abstract (not full text):</w:t>
      </w:r>
      <w:r>
        <w:t xml:space="preserve"> Abstract Wheat production plays an important role in Morocco. Current wheat forecast systems use weather and vegetation data during the crop growing phase, thus limiting the earliest possible release date to early spring. However, Morocco ' s wheat production is mostly rainfed and thus strongly tied to fluctuations in rainfall, which in turn depend on slowly evolving climate dynamics. This offers a source of predictability at longer time scales. Using physically guided causal discovery algorithms , we extract climate precursors for wheat yield variability from gridded fields of geopotential height and sea surface temperatures which show potential for accurate yield forecasts already in December, with around 50% explained variance in an out‐of‐sample cross validation. The detected interactions are physically meaningful and consistent with documented ocean‐atmosphere feedbacks. Reliable yield forecasts at such long lead times could provide farmers and policy makers with necessary information for early action and strategic adaptation measurements to support food security.</w:t>
      </w:r>
    </w:p>
    <w:p>
      <w:pPr/>
      <w:r>
        <w:rPr>
          <w:b/>
        </w:rPr>
        <w:t>POSSIBLE 2020:</w:t>
      </w:r>
      <w:r>
        <w:t xml:space="preserve"> In Search of a Job: Forecasting Employment Growth Using Google Trends — https://doi.org/10.1080/07350015.2020.1791133</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We show that Google search activity on relevant terms is a strong out-of-sample predictor for future employment growth in the United States over the period 2004–2019 at both short and long horizons. Starting from an initial search term “jobs,” we construct a large panel of 172 variables using Google’s own algorithms to find semantically related search queries. The best Google Trends model achieves an out-of-sample R2 between 29% and 62% at horizons spanning from one month to one year ahead, strongly outperforming benchmarks based on a single search query or a large set of macroeconomic, financial, and sentiment predictors. This strong predictability is due to heterogeneity in search terms and extends to industry-level and state-level employment growth using state-level specific search activity. Encompassing tests indicate that when the Google Trends panel is exploited using a nonlinear model, it fully encompasses the macroeconomic forecasts and provides significant information in excess of those.</w:t>
      </w:r>
    </w:p>
    <w:p>
      <w:pPr/>
      <w:r>
        <w:rPr>
          <w:b/>
        </w:rPr>
        <w:t>POSSIBLE 2020:</w:t>
      </w:r>
      <w:r>
        <w:t xml:space="preserve"> Forecasting COVID-19 — https://doi.org/10.3389/fphy.2020.00127</w:t>
      </w:r>
    </w:p>
    <w:p>
      <w:pPr/>
      <w:r>
        <w:rPr>
          <w:b/>
        </w:rPr>
        <w:t>Shared claim-specific concepts:</w:t>
      </w:r>
      <w:r>
        <w:t xml:space="preserve"> forecasts, show; EU scope not established. This is a provisional connection, not an outcome finding.</w:t>
      </w:r>
    </w:p>
    <w:p>
      <w:pPr>
        <w:pStyle w:val="SourceNote"/>
      </w:pPr>
      <w:r>
        <w:rPr>
          <w:b/>
        </w:rPr>
        <w:t>Available abstract (not full text):</w:t>
      </w:r>
      <w:r>
        <w:t xml:space="preserve"> The World Health Organization declared the coronavirus disease 2019 a pandemic on March 11th, pointing to the over 118,000 cases in over 110 countries and territories around the world at that time. At the time of writing this manuscript, the number of confirmed cases has been surging rapidly past the half-million mark, emphasizing the sustained risk of further global spread. Governments around the world are imposing various containment measures while the healthcare system is bracing itself for tsunamis of infected individuals that will seek treatment. It is therefore important to know what to expect in terms of the growth of the number of cases, and to understand what is needed to arrest the very worrying trends. To that effect, we here show forecasts obtained with a simple iteration method that needs only the daily values of confirmed cases as input. The method takes into account expected recoveries and deaths, and it determines maximally allowed daily growth rates that lead away from exponential increase toward stable and declining numbers. Forecasts show that daily growth rates should be kept at least below 5% if we wish to see plateaus any time soon—unfortunately far from reality in most countries to date. We provide an executable as well as the source code for a straightforward application of the method on data from other countries.</w:t>
      </w:r>
    </w:p>
    <w:p>
      <w:pPr>
        <w:pStyle w:val="Heading2"/>
      </w:pPr>
      <w:r>
        <w:t>783. By 2050 the Mitigation Effects of EU Forests Could Nearly Double through Climate Smart Forestry</w:t>
      </w:r>
    </w:p>
    <w:p>
      <w:pPr>
        <w:pStyle w:val="SourceNote"/>
      </w:pPr>
      <w:r>
        <w:rPr>
          <w:b/>
        </w:rPr>
        <w:t>Original source (2017):</w:t>
      </w:r>
      <w:r>
        <w:t xml:space="preserve"> https://doi.org/10.3390/f8120484</w:t>
      </w:r>
    </w:p>
    <w:p>
      <w:pPr/>
      <w:r>
        <w:t>Original wording (abstract; indexed_source_text_not_full_document_verified): With the right set of incentives in place at EU and Member States levels, we find the current literature supports the view that the EU has the potential to achieve an additional combined mitigation impact through CSF of 441 Mt CO2/year by 2050. In July 2016, the European Commission (EC) published a legislative proposal for incorporating greenhouse gas emissions and removals due to Land Use, Land Use Change and Forestry (LULUCF) into its 2030 Climate and Energy Framework.</w:t>
      </w:r>
    </w:p>
    <w:p>
      <w:pPr/>
      <w:r>
        <w:rPr>
          <w:b/>
        </w:rPr>
        <w:t>POSSIBLE 2025:</w:t>
      </w:r>
      <w:r>
        <w:t xml:space="preserve"> The Right to Abortion – Between the Need for Protection at the European Level and Respect for the Constitutional Traditions of the Member States — https://doi.org/10.54148/eltelj.2025.2.9</w:t>
      </w:r>
    </w:p>
    <w:p>
      <w:pPr/>
      <w:r>
        <w:rPr>
          <w:b/>
        </w:rPr>
        <w:t>Shared claim-specific concepts:</w:t>
      </w:r>
      <w:r>
        <w:t xml:space="preserve"> right, member, states; EU scope visible. This is a provisional connection, not an outcome finding.</w:t>
      </w:r>
    </w:p>
    <w:p>
      <w:pPr>
        <w:pStyle w:val="SourceNote"/>
      </w:pPr>
      <w:r>
        <w:rPr>
          <w:b/>
        </w:rPr>
        <w:t>Available abstract (not full text):</w:t>
      </w:r>
      <w:r>
        <w:t xml:space="preserve"> This article examines the regulation of abortion within the European legal order, highlighting the interaction between the jurisprudence of the European Court of Human Rights (ECHR), the Court of Justice of the European Union (CJEU), and the concept of national constitutional identity. While no explicit right to abortion is enshrined at the EU level, the ECHR has developed an extensive jurisprudence based on Article 8 of the Convention (right to private life), granting states a wide margin of appreciation. At the same time, constitutional identity allows Member States to preserve national traditions, creating tensions with the EU’s common values enshrined in Article 2 TEU. This study analyses relevant case law and doctrinal perspectives, illustrating how abortion regulation exemplifies the dialectic between the preservation of constitutional traditions and the need for uniform protection at the EU level.</w:t>
      </w:r>
    </w:p>
    <w:p>
      <w:pPr/>
      <w:r>
        <w:rPr>
          <w:b/>
        </w:rPr>
        <w:t>POSSIBLE 2024:</w:t>
      </w:r>
      <w:r>
        <w:t xml:space="preserve"> Harmonisation of Corporate Income Tax Incentives in SADC: Addressing the Challenges Posed by the Sovereign Right of SADC Member States to Set Their Own Economic and Tax Policies — https://doi.org/10.25159/2522-3062/15912</w:t>
      </w:r>
    </w:p>
    <w:p>
      <w:pPr/>
      <w:r>
        <w:rPr>
          <w:b/>
        </w:rPr>
        <w:t>Shared claim-specific concepts:</w:t>
      </w:r>
      <w:r>
        <w:t xml:space="preserve"> right, set, incentives, member, states, find; EU scope visible. This is a provisional connection, not an outcome finding.</w:t>
      </w:r>
    </w:p>
    <w:p>
      <w:pPr>
        <w:pStyle w:val="SourceNote"/>
      </w:pPr>
      <w:r>
        <w:rPr>
          <w:b/>
        </w:rPr>
        <w:t>Available abstract (not full text):</w:t>
      </w:r>
      <w:r>
        <w:t xml:space="preserve"> This article examines the challenges to harmonising corporate income tax (CIT) incentives in the Southern African Development Community (SADC). It is a state’s sovereign right to grant CIT incentives, which are often indispensable to encourage foreign direct investment. If the granting of CIT incentives in a regional body is unregulated and unharmonised, it can lead to harmful tax competition. To limit this and to ensure the coordination of CIT incentives in SADC, this article presents the notion of tax harmonisation. However, tax harmonisation could be hindered by SADC member states exercising their sovereign right to set their own economic and tax policies. It is not disputed that SADC member states have the prerogative to do this, but some economic policy-setting decisions can have a direct impact on the harmonisation of CIT incentives. In the quest to find solutions to these challenges, this article carries out a comparative analysis of best practices for enhancing tax harmonisation from two other regional bodies, the East African Community and the European Union. Ultimately, this article provides recommendations to address the challenges to harmonising CIT incentives in the SADC region.</w:t>
      </w:r>
    </w:p>
    <w:p>
      <w:pPr/>
      <w:r>
        <w:rPr>
          <w:b/>
        </w:rPr>
        <w:t>POSSIBLE 2024:</w:t>
      </w:r>
      <w:r>
        <w:t xml:space="preserve"> Stronger Member States for a Stronger European Union — https://doi.org/10.62733/2024.2.143-161</w:t>
      </w:r>
    </w:p>
    <w:p>
      <w:pPr/>
      <w:r>
        <w:rPr>
          <w:b/>
        </w:rPr>
        <w:t>Shared claim-specific concepts:</w:t>
      </w:r>
      <w:r>
        <w:t xml:space="preserve"> member, states, current;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2023:</w:t>
      </w:r>
      <w:r>
        <w:t xml:space="preserve"> The right to translation in the criminal procedure and the meaning of essential documents – three recent cases of the European Court of Justice in the field of criminal cooperation between Member States — https://doi.org/10.15170/pjiel.2023.1.7</w:t>
      </w:r>
    </w:p>
    <w:p>
      <w:pPr/>
      <w:r>
        <w:rPr>
          <w:b/>
        </w:rPr>
        <w:t>Shared claim-specific concepts:</w:t>
      </w:r>
      <w:r>
        <w:t xml:space="preserve"> right, set, member, states, legislative; EU scope visible. This is a provisional connection, not an outcome finding.</w:t>
      </w:r>
    </w:p>
    <w:p>
      <w:pPr>
        <w:pStyle w:val="SourceNote"/>
      </w:pPr>
      <w:r>
        <w:rPr>
          <w:b/>
        </w:rPr>
        <w:t>Available abstract (not full text):</w:t>
      </w:r>
      <w:r>
        <w:t xml:space="preserve"> The case note concerns three preliminary rulings of the European Court of Justice (hereinafter referred to as ECJ). Case C-242/22 PPU TL, C-338/20 Prokuratura Rejonowa Łódź-Bałuty and case C-278/16 Sleutjes each concerned the right to translation in the criminal procedure and legal remedies in the event of not providing that right. Thus, the basis of adjudication of the cases was Directive 2010/64/EU of the European Parliament and of the Council on the right to interpretation translation and in the criminal proceedings. The case note sheds light on the deficiencies of the Directive which are the consequences of the legislative technique applied in this legislative instrument, namely that Member States retain great discretion in implementing its often-vague regulations on the right to translation. However, through the preliminary ruling procedure, the ECJ clarified the meaning of the essential document which is subject to translation according to the Directive, found that a final decision shall be considered a judgement even if formally it is not, and finally, it set out the essential parts of a judgement or other decision that are subject to translation for the purpose of safeguarding the right to a fair trial.</w:t>
      </w:r>
    </w:p>
    <w:p>
      <w:pPr/>
      <w:r>
        <w:rPr>
          <w:b/>
        </w:rPr>
        <w:t>POSSIBLE 2023:</w:t>
      </w:r>
      <w:r>
        <w:t xml:space="preserve"> The right to education: international standards and their influence on the constitutional legislation of the member states of the Council of Europe — https://doi.org/10.24144/2307-3322.2023.79.2.47</w:t>
      </w:r>
    </w:p>
    <w:p>
      <w:pPr/>
      <w:r>
        <w:rPr>
          <w:b/>
        </w:rPr>
        <w:t>Shared claim-specific concepts:</w:t>
      </w:r>
      <w:r>
        <w:t xml:space="preserve"> right, member, states; EU scope visible. This is a provisional connection, not an outcome finding.</w:t>
      </w:r>
    </w:p>
    <w:p>
      <w:pPr>
        <w:pStyle w:val="SourceNote"/>
      </w:pPr>
      <w:r>
        <w:rPr>
          <w:b/>
        </w:rPr>
        <w:t>Available abstract (not full text):</w:t>
      </w:r>
      <w:r>
        <w:t xml:space="preserve"> The article draws attention to the UN Charter, which proclaims the task of reaffirming faith in basic human rights, in the dignity and value of the human person, in the equality of men and women, and in the equality of rights of large and small nations. Attention is focused on the principle of UN activity - implementation of international cooperation in the promotion and development of respect for human rights and basic freedoms for all, without distinction of race, sex, language and religion. International acts on human rights of a universal nature are characterized, in which for the first time at the international level everyone’s right to education was enshrined: the Universal Declaration of Human Rights, the International Covenant on Economic, Social and Cultural Rights of 1966, the Convention against Discrimination in Education of 1960, the Convention on the rights of the child of 1989. Attention is drawn to the minimum standards of the right to education that the state must ensure. The relationship between the right to education, which was first enshrined at the international level in the Universal Declaration of Human Rights, and human dignity and the value of the human personality is defined. Emphasis is placed on the right to education and criteria for determining the degree of respect and observance of fundamental norms related to this human right throughout the world</w:t>
      </w:r>
    </w:p>
    <w:p>
      <w:pPr/>
      <w:r>
        <w:rPr>
          <w:b/>
        </w:rPr>
        <w:t>POSSIBLE 2023:</w:t>
      </w:r>
      <w:r>
        <w:t xml:space="preserve"> Features of exercising the right to education for persons granted temporary protection in European Union member states — https://doi.org/10.56215/naia-herald/2.2023.71</w:t>
      </w:r>
    </w:p>
    <w:p>
      <w:pPr/>
      <w:r>
        <w:rPr>
          <w:b/>
        </w:rPr>
        <w:t>Shared claim-specific concepts:</w:t>
      </w:r>
      <w:r>
        <w:t xml:space="preserve"> right, member, states, view, july; EU scope visible. This is a provisional connection, not an outcome finding.</w:t>
      </w:r>
    </w:p>
    <w:p>
      <w:pPr>
        <w:pStyle w:val="SourceNote"/>
      </w:pPr>
      <w:r>
        <w:rPr>
          <w:b/>
        </w:rPr>
        <w:t>Available abstract (not full text):</w:t>
      </w:r>
      <w:r>
        <w:t xml:space="preserve"> The Council of the European Union, by an implementing decision on March 4, 2022, put into effect Directive No. 2001/55/EU of July 20, 2001, on minimum standards for the provision of temporary protection in the event of a mass influx of displaced persons and measures promoting the balancing of efforts between member states to receive such persons and solving the consequences thereof. The problems of exercising the right to education as a natural human right by persons granted temporary protection in the European Union are urgent. In view of the above, the purpose of the study was to address the unique aspects of exercising of the right to education by persons who were granted temporary protection in the member states of the European Union. The methodological basis of the research is the dialectical method and methods of analysis, synthesis, comparison, modelling, system and functional approach, statistical, and formal legal. The paper defines that access to education for persons granted temporary protection in the European Union is provided for by Council Directive No. 2001/55/EU, according to which the member states of the European Union provide full access to the education system for all minors who were granted temporary protection status, on an equal basis with their citizens. It is noted that member states of the European Union may provide for restrictions on such access by </w:t>
      </w:r>
    </w:p>
    <w:p>
      <w:pPr/>
      <w:r>
        <w:rPr>
          <w:b/>
        </w:rPr>
        <w:t>POSSIBLE 2023:</w:t>
      </w:r>
      <w:r>
        <w:t xml:space="preserve"> Explaining the Paucity of Migrant Language Valorization Policies in Europe: An Analysis of International and Supranational Constraints and Incentives — https://doi.org/10.1177/01979183231162620</w:t>
      </w:r>
    </w:p>
    <w:p>
      <w:pPr/>
      <w:r>
        <w:rPr>
          <w:b/>
        </w:rPr>
        <w:t>Shared claim-specific concepts:</w:t>
      </w:r>
      <w:r>
        <w:t xml:space="preserve"> incentives, potential; EU scope visible. This is a provisional connection, not an outcome finding.</w:t>
      </w:r>
    </w:p>
    <w:p>
      <w:pPr>
        <w:pStyle w:val="SourceNote"/>
      </w:pPr>
      <w:r>
        <w:rPr>
          <w:b/>
        </w:rPr>
        <w:t>Available abstract (not full text):</w:t>
      </w:r>
      <w:r>
        <w:t xml:space="preserve"> Migration flows in Europe have rendered its population more diverse and resulted in the presence of multiple languages in migrant-hosting countries and their education systems. Despite the potential of this language heritage to be leveraged as a resource, many European countries have been reluctant to adopt active public policies that promote the preservation of migrant languages. This article aims to explain the prevalent absence of policies promoting migrant languages in education in Europe through an analysis of the direction and approach of the external constraints and incentives that influence policymaking at the national level. Thus, the article embarks upon an unprecedented analysis of official documents (e.g., covenants, regulations, directives, etc.) adopted (or not adopted) by the main international and supranational organizations that have an impact on national policies in Europe: the United Nations, the Council of Europe, and the European Union. The analysis identifies the prevalent attitude of such organizations toward migrant languages and classifies it according to an assimilation-pluralism dichotomy and a continuum that sees policy approaches as negative, symbolic, or positive. The findings show that both international and supranational organizations have been reluctant to actively promote the preservation of migrant languages in education, thus explaining the g</w:t>
      </w:r>
    </w:p>
    <w:p>
      <w:pPr/>
      <w:r>
        <w:rPr>
          <w:b/>
        </w:rPr>
        <w:t>POSSIBLE 2022:</w:t>
      </w:r>
      <w:r>
        <w:t xml:space="preserve"> Making Sure That Orphan Incentives Tip the Right Way in Europe — https://doi.org/10.3390/healthcare10091600</w:t>
      </w:r>
    </w:p>
    <w:p>
      <w:pPr/>
      <w:r>
        <w:rPr>
          <w:b/>
        </w:rPr>
        <w:t>Shared claim-specific concepts:</w:t>
      </w:r>
      <w:r>
        <w:t xml:space="preserve"> right, incentives, current; EU scope visible. This is a provisional connection, not an outcome finding.</w:t>
      </w:r>
    </w:p>
    <w:p>
      <w:pPr>
        <w:pStyle w:val="SourceNote"/>
      </w:pPr>
      <w:r>
        <w:rPr>
          <w:b/>
        </w:rPr>
        <w:t>Available abstract (not full text):</w:t>
      </w:r>
      <w:r>
        <w:t xml:space="preserve"> The delicate balance of funding research and development of treatments for rare disease is only imperfectly achieved in Europe, and even the current provisional equilibrium is under a new threat from well-intentioned policy changes now in prospect that could-in addition to the intrinsic complexities of research-reduce the incentives on which commercial activity in this area is dependent. The European Union review of its pharmaceutical legislation, for which proposals are scheduled to appear before the end of 2022, envisages adjusting the decade-old incentives to meet objectives that are more precisely targeted. However, researchers, physicians, patients and industry have expressed concerns that ill-considered modifications could have unintended consequences in disrupting the current balance and could reduce rather than increase the flow of innovative treatments for rare diseases.</w:t>
      </w:r>
    </w:p>
    <w:p>
      <w:pPr/>
      <w:r>
        <w:rPr>
          <w:b/>
        </w:rPr>
        <w:t>POSSIBLE 2022:</w:t>
      </w:r>
      <w:r>
        <w:t xml:space="preserve"> Incentives and constraints: a configurational account of European involvement in the anti-Daesh coalition — https://doi.org/10.1017/s1755773921000333</w:t>
      </w:r>
    </w:p>
    <w:p>
      <w:pPr/>
      <w:r>
        <w:rPr>
          <w:b/>
        </w:rPr>
        <w:t>Shared claim-specific concepts:</w:t>
      </w:r>
      <w:r>
        <w:t xml:space="preserve"> incentives, member, states, literature, legislative; EU scope visible. This is a provisional connection, not an outcome finding.</w:t>
      </w:r>
    </w:p>
    <w:p>
      <w:pPr>
        <w:pStyle w:val="SourceNote"/>
      </w:pPr>
      <w:r>
        <w:rPr>
          <w:b/>
        </w:rPr>
        <w:t>Available abstract (not full text):</w:t>
      </w:r>
      <w:r>
        <w:t xml:space="preserve"> Abstract In 2014, the USA initiated the formation of a multilateral military operation against Daesh in Syria and Iraq. Eventually, more than 70 states joined the anti-Daesh coalition. However, contributions to the military effort have been characterized by great variance, especially among EU member states. While some states took leading roles in the airstrikes, others provided training for Iraqi and Kurdish forces, and still others did not get involved beyond voicing their support for the policy. Against this backdrop, this article makes a two-fold contribution to the literature on military coalitions and security policy. Empirically, the article provides a mapping of the then 28 EU member states’ military engagement in the fight against Daesh in Syria and Iraq. Analytically, fuzzy-set Qualitative Comparative Analysis (fsQCA) is applied to account for the observed pattern of military involvement, using an integrative framework that combines international and domestic factors. The results demonstrate that multiple paths led towards EU military involvement in the anti-Daesh coalition. At the same time, international-level incentives, such as external threat and/or alliance value feature prominently in all three identified paths. The analysis further underscores the value of a configurational perspective, because neither an external threat nor alliance value are sufficient on the</w:t>
      </w:r>
    </w:p>
    <w:p>
      <w:pPr/>
      <w:r>
        <w:rPr>
          <w:b/>
        </w:rPr>
        <w:t>POSSIBLE 2021:</w:t>
      </w:r>
      <w:r>
        <w:t xml:space="preserve"> OPTIMAL INCENTIVES FOR ECONOMIC GROWTH IN CENTRAL EUROPEAN COUNTRIES: A MICRO APPROACH — https://doi.org/10.12775/cjfa.2021.009</w:t>
      </w:r>
    </w:p>
    <w:p>
      <w:pPr/>
      <w:r>
        <w:rPr>
          <w:b/>
        </w:rPr>
        <w:t>Shared claim-specific concepts:</w:t>
      </w:r>
      <w:r>
        <w:t xml:space="preserve"> incentives, view; EU scope visible. This is a provisional connection, not an outcome finding.</w:t>
      </w:r>
    </w:p>
    <w:p>
      <w:pPr>
        <w:pStyle w:val="SourceNote"/>
      </w:pPr>
      <w:r>
        <w:rPr>
          <w:b/>
        </w:rPr>
        <w:t>Available abstract (not full text):</w:t>
      </w:r>
      <w:r>
        <w:t xml:space="preserve"> Financial crisis of 2008 and the ongoing pandemic are continuing to have a negative impact on the economies of all countries even tough interest rates have been decreased significantly. This paper attempted to view the problem from a micro point of view to suggest more effective incentives for growth. The specific objective of the study is to determine and examine the effects of these incentives on economic growth in Central European countries.</w:t>
      </w:r>
    </w:p>
    <w:p>
      <w:pPr/>
      <w:r>
        <w:rPr>
          <w:b/>
        </w:rPr>
        <w:t>POSSIBLE 2021:</w:t>
      </w:r>
      <w:r>
        <w:t xml:space="preserve"> Encouraging the Development of New Antibiotics: Are Financial Incentives the Right Way Forward? A Systematic Review and Case Study — https://doi.org/10.2147/idr.s287792</w:t>
      </w:r>
    </w:p>
    <w:p>
      <w:pPr/>
      <w:r>
        <w:rPr>
          <w:b/>
        </w:rPr>
        <w:t>Shared claim-specific concepts:</w:t>
      </w:r>
      <w:r>
        <w:t xml:space="preserve"> right, incentives, literature; EU scope not established. This is a provisional connection, not an outcome finding.</w:t>
      </w:r>
    </w:p>
    <w:p>
      <w:pPr>
        <w:pStyle w:val="SourceNote"/>
      </w:pPr>
      <w:r>
        <w:rPr>
          <w:b/>
        </w:rPr>
        <w:t>Available abstract (not full text):</w:t>
      </w:r>
      <w:r>
        <w:t xml:space="preserve"> Antibiotic resistance is an urgent public health threat that has received substantial attention from the world's leading health agencies and national governmental bodies alike. However, despite increasing rates of antibiotic resistance, pharmaceutical companies are reluctant to develop new antibiotics due to scientific, regulatory, and financial barriers. Nonetheless, only a handful of countries have addressed this by implementing or proposing financial incentive models to promote antibiotic innovation. This study is comprised of a systematic review that aimed to understand which antibiotic incentive strategies are most recommended within the literature and subsequently analyzed these incentives to determine which are most likely to sustainably revitalize the antibiotic pipeline. Through a case study of Canada, we apply our incentive analysis to the Canadian landscape to provide decision-makers with a possible path forward. Based on our findings, we propose that Canada support the ongoing efforts of other countries by implementing a fully delinked subscription-based market entry reward. This paper seeks to spark action in Canada by shifting the national paradigm to one where antibiotic research and development is prioritized as a key element to addressing antibiotic resistance.</w:t>
      </w:r>
    </w:p>
    <w:p>
      <w:pPr/>
      <w:r>
        <w:rPr>
          <w:b/>
        </w:rPr>
        <w:t>POSSIBLE 2021:</w:t>
      </w:r>
      <w:r>
        <w:t xml:space="preserve"> Openness to Industry 4.0 and performance: The impact of barriers and incentives — https://doi.org/10.1016/j.techfore.2021.120756</w:t>
      </w:r>
    </w:p>
    <w:p>
      <w:pPr/>
      <w:r>
        <w:rPr>
          <w:b/>
        </w:rPr>
        <w:t>Shared claim-specific concepts:</w:t>
      </w:r>
      <w:r>
        <w:t xml:space="preserve"> incentives, literature; EU scope visible. This is a provisional connection, not an outcome finding.</w:t>
      </w:r>
    </w:p>
    <w:p>
      <w:pPr>
        <w:pStyle w:val="SourceNote"/>
      </w:pPr>
      <w:r>
        <w:rPr>
          <w:b/>
        </w:rPr>
        <w:t>Available abstract (not full text):</w:t>
      </w:r>
      <w:r>
        <w:t xml:space="preserve"> The impact of barriers and incentives on the relationship between openness to Industry 4.0 and performance have so far received little scholarly attention. As a result, this paper explores this relationship by employing a mixed methods approach. A qualitative analysis using in-depth interviews and multiple case studies identifies prominent barriers and incentives, whilst a quantitative analysis on a representative sample of 500 local manufacturing units in Piedmont (a region of Northern Italy) is undertaken via an OLS regression-based path analysis. The results of the parallel-serial multiple mediation model show that: (1) greater openness to Industry 4.0 is related to better performance; (2) greater openness to Industry 4.0 leads to a higher perception of barriers; (3) greater knowledge-related and economic and financial barriers improve performance, abstracting from the adoption of incentives; and (4) greater openness to Industry 4.0 drives the adoption of incentives. However, perceived economic and financial barriers are found not to drive firms to adopt more incentives. The study contributes to the Industry 4.0 literature by identifying previously unidentified strengths and weaknesses to barriers and incentives, and highlights the necessity of policies that reflect real firms’ needs.</w:t>
      </w:r>
    </w:p>
    <w:p>
      <w:pPr>
        <w:pStyle w:val="Heading2"/>
      </w:pPr>
      <w:r>
        <w:t>784. Clean Disruption for Abundant Futures - Neo-Carbon Energy Futures Clinique III</w:t>
      </w:r>
    </w:p>
    <w:p>
      <w:pPr>
        <w:pStyle w:val="SourceNote"/>
      </w:pPr>
      <w:r>
        <w:rPr>
          <w:b/>
        </w:rPr>
        <w:t>Original source (2017):</w:t>
      </w:r>
      <w:r>
        <w:t xml:space="preserve"> https://doi.org/10.13140/rg.2.2.25471.87200</w:t>
      </w:r>
    </w:p>
    <w:p>
      <w:pPr/>
      <w:r>
        <w:t>Original wording (abstract; indexed_source_text_not_full_document_verified): The four transformational scenarios of the Neo-Carbon Energy project were used as material for the groups’ foresight work.</w:t>
      </w:r>
    </w:p>
    <w:p>
      <w:pPr/>
      <w:r>
        <w:rPr>
          <w:b/>
        </w:rPr>
        <w:t>POSSIBLE 2026:</w:t>
      </w:r>
      <w:r>
        <w:t xml:space="preserve"> Finance Transformation Is Not an IT Project. It Is a Leadership Decision. — https://doi.org/10.5281/zenodo.23400498</w:t>
      </w:r>
    </w:p>
    <w:p>
      <w:pPr/>
      <w:r>
        <w:rPr>
          <w:b/>
        </w:rPr>
        <w:t>Shared claim-specific concepts:</w:t>
      </w:r>
      <w:r>
        <w:t xml:space="preserve"> four, energy, project; EU scope not established. This is a provisional connection, not an outcome finding.</w:t>
      </w:r>
    </w:p>
    <w:p>
      <w:pPr>
        <w:pStyle w:val="SourceNote"/>
      </w:pPr>
      <w:r>
        <w:rPr>
          <w:b/>
        </w:rPr>
        <w:t>Available abstract (not full text):</w:t>
      </w:r>
      <w:r>
        <w:t xml:space="preserve"> Bilingual (English/German) practitioner article on building an international finance function from the ground up. Drawing on more than fifteen years in international finance, from Big Four audit and advisory to finance leadership in construction, logistics, aviation and energy, the author argues that finance transformation is a leadership decision rather than an IT project. The article covers establishing one financial language across entities and borders (consistent cost classifications, named data owners, harmonised cut-offs), disciplined daily cash and liquidity management, ERP implementation as a process and governance exercise, and the responsible use of AI in finance, with the aim of moving Finance from documenting what happened to helping the business decide what should happen next.</w:t>
      </w:r>
    </w:p>
    <w:p>
      <w:pPr/>
      <w:r>
        <w:rPr>
          <w:b/>
        </w:rPr>
        <w:t>POSSIBLE 2026:</w:t>
      </w:r>
      <w:r>
        <w:t xml:space="preserve"> DRIVERS OF AGILE TRANSFORMATION IN PREDICTIVE PROJECT MANAGEMENT ENVIRONMENTS — https://doi.org/10.32782/bses.100-20</w:t>
      </w:r>
    </w:p>
    <w:p>
      <w:pPr/>
      <w:r>
        <w:rPr>
          <w:b/>
        </w:rPr>
        <w:t>Shared claim-specific concepts:</w:t>
      </w:r>
      <w:r>
        <w:t xml:space="preserve"> four, transformational, project, work; EU scope not established. This is a provisional connection, not an outcome finding.</w:t>
      </w:r>
    </w:p>
    <w:p>
      <w:pPr>
        <w:pStyle w:val="SourceNote"/>
      </w:pPr>
      <w:r>
        <w:rPr>
          <w:b/>
        </w:rPr>
        <w:t>Available abstract (not full text):</w:t>
      </w:r>
      <w:r>
        <w:t xml:space="preserve"> The article reviews the core drivers of Agile transformation within modern organizations that use predictive project management approaches. The purpose of the research is to identify and outline key factors that stimulate enterprises to transition from predictive management methods to the Agile concept of working. In that regard, the article suggests four principal drivers of agile transformation – market volatility, delayed value realization, limited capability to validate business assumptions, and people-related organizational factors related to employee engagement. The obtained results provide an extended theoretical understanding of the transformational drivers that exist within the waterfall paradigm and lead to the integration of Agile approaches into daily work, which may serve as a conceptual foundation for further development in the agile transformation domain, reflecting core business motivators to perform agile transition in general.</w:t>
      </w:r>
    </w:p>
    <w:p>
      <w:pPr/>
      <w:r>
        <w:rPr>
          <w:b/>
        </w:rPr>
        <w:t>POSSIBLE 2026:</w:t>
      </w:r>
      <w:r>
        <w:t xml:space="preserve"> Leading Digital Transformation Project: A Case of NADRA — https://openalex.org/W7213482378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Digital transformation in public-sector organizations is not only about the adoption of new technologies, but also about transformations in leadership, organizational practices, employee competencies, and citizen relationships. This thesis explores the interaction between leadership, organizational culture, and societal culture in the digital transformation of the public sector in Pakistan, utilizing the National Database and Registration Authority (NADRA) as a case study of quality. The research is based on constructivist-interpretivist worldview and single-case qualitative study design. Purposive sampling and semi-structured guide were used to select and interview four NADRA employees of 10-15 years organizational experience. Thematic analysis was applied to the interview content. Three themes were identified that interrelated: leadership and institutionalization; organizational adaptation; and societal legitimacy and adaptive implementation. The results indicate that the leadership institutionalized the digitalization into policy, hierarchy, training, procedures, technical expertise, communication and operational problem solving. Formal hierarchy coupled with cooperation, peer learning, service orientation and structured communication were incorporated into organizational culture and assisted employees to adjust in the face of new digital practices that were unfamiliar to th</w:t>
      </w:r>
    </w:p>
    <w:p>
      <w:pPr/>
      <w:r>
        <w:rPr>
          <w:b/>
        </w:rPr>
        <w:t>POSSIBLE 2026:</w:t>
      </w:r>
      <w:r>
        <w:t xml:space="preserve"> Climate Revolution or long march? The politics of low carbon transformation in China (1992-2015) : the power sector as case study — https://doi.org/10.82444/warw.33754987</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This thesis analyses the role of the Chinese state in overseeing the low-carbon transformation of its economy. It looks more particularly at the changing power dynamics surrounding the production of electric power provoked by the combination of market reforms and the rise of environmental concerns since 1978. The Chinese case is not only relevant for global environmental change, but also because it interrogates the classical understanding of developmental and environmental politics. The thesis explores how, in China, the necessity to address environmental issues has transformed the way in which the state exercises power over the economy, particularly over the electric power system. The research method pursues a historical analysis of the normative and distributive struggles involved in the transformation of the Chinese Party-state institutions in relation to economic development and environmental protection, especially the field of energy. This approach stems from a definition of low-carbon transformations as complex processes of change unfolding over long periods of time, involving not only technological innovations, but also contentious confrontations of interests and ideologies. Consequently, in the thesis, environmental goals, as well as different modes of exercising political power in the economy, such as the developmental state and a regulatory state, are taken as ideatio</w:t>
      </w:r>
    </w:p>
    <w:p>
      <w:pPr/>
      <w:r>
        <w:rPr>
          <w:b/>
        </w:rPr>
        <w:t>POSSIBLE 2026:</w:t>
      </w:r>
      <w:r>
        <w:t xml:space="preserve"> Globalization and digital transformation: are impacts on skills and inequality in four future scenarios converging? — https://doi.org/10.1080/13511610.2026.2656886</w:t>
      </w:r>
    </w:p>
    <w:p>
      <w:pPr/>
      <w:r>
        <w:rPr>
          <w:b/>
        </w:rPr>
        <w:t>Shared claim-specific concepts:</w:t>
      </w:r>
      <w:r>
        <w:t xml:space="preserve"> four, project, used, groups; EU scope visible. This is a provisional connection, not an outcome finding.</w:t>
      </w:r>
    </w:p>
    <w:p>
      <w:pPr>
        <w:pStyle w:val="SourceNote"/>
      </w:pPr>
      <w:r>
        <w:rPr>
          <w:b/>
        </w:rPr>
        <w:t>Available abstract (not full text):</w:t>
      </w:r>
      <w:r>
        <w:t xml:space="preserve"> This research examines how varying degrees of globalization and digital transformation affect skill demand, socioeconomic inequality and convergence in the EU by 2030. The study employs a comprehensive scenario-mapping approach using state-of-the-art literature, existing econometric analyses conducted within the GI-NI project used as contextual inputs and expert insights. Four scenarios are developed based on potential trends in digital transformation (stagnation or acceleration) and globalization (further globalization or deglobalization). These scenarios highlight essential changes needed to improve skills and alleviate inequality. In all scenarios, the future labour market demands a rapidly evolving skill set, with persistent risks of skills mismatch across educational groups and a strong focus on digital, technical, analytical and communication skills. Three scenarios suggest worsening inequality, particularly affecting low-skilled workers, women and older individuals, while high-skilled workers adapt more quickly. The study shows that communication technology can drive between-region economic convergence, depending on the interaction with globalization and the pace of digital transformation. However, accelerated digital transformation with deglobalization poses divergence risks, as some EU regions may struggle to adapt quickly. The scenarios underscore the complex interpla</w:t>
      </w:r>
    </w:p>
    <w:p>
      <w:pPr/>
      <w:r>
        <w:rPr>
          <w:b/>
        </w:rPr>
        <w:t>POSSIBLE 2024:</w:t>
      </w:r>
      <w:r>
        <w:t xml:space="preserve"> The Successful Factors for Digital Transformation in Project Management — https://doi.org/10.54254/2754-1169/79/20241858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In the era of Industry 4.0, the advent of the digital revolution is reshaping project management processes, and digital transformation is advancing with a heightened focus on its influence on project success. Research on the success factors for digital transformation in project management is limited, particularly in drawing industry-specific conclusions, owing to varying levels of digitization across projects. The exploration of success factors' impact on the digital transformation process and the distinctive characteristics of different industries remains largely uncharted territory. This research aimed to explore key aspects of digital transformation projects, focusing on success factors that significantly influence their outcomes. A Thematic analysis approach was used to draw insights. The analysis delves into four crucial success factors. These key themes included organizational change management, organizational efficiency enhancement, organizational process management, sustainability, and societal management. Each factor is examined for its role in shaping successful digital transformations. The conclusion succinctly summarizes the key findings and emphasizes the importance of these success factors in the context of digital transformation initiatives. These findings go beyond the scope of prior research, delving into the intricacies of industry perspectives, which can driv</w:t>
      </w:r>
    </w:p>
    <w:p>
      <w:pPr/>
      <w:r>
        <w:rPr>
          <w:b/>
        </w:rPr>
        <w:t>POSSIBLE 2024:</w:t>
      </w:r>
      <w:r>
        <w:t xml:space="preserve"> University transformation in evaluations of project team participants — https://doi.org/10.21684/2411-7897-2024-10-2-46-56</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The format of project activities is firmly rooted in the higher education system. This approach is used intensively in the implementation of strategic changes at the level of higher education institutions. This paper examines the transformation process in Russian universities from the perspective of project team members who are responsible for the result. The empirical basis for the analysis is a questionnaire survey (N = 79) of participants of transformation project teams from four Russian universities of different types (classical / technical). The types of transformation projects being implemented in Russian universities were identified. The results show that the main initiator of such projects is primarily the university itself or its individual units. The hierarchy of success factors of university transformation projects implementation in the understanding of their direct executors was determined, among which the most important are the competence of team members (71%), financial and resource support of the project (63%). The principles of project team formation are analyzed, which is mainly (37%) created based on the functional activity of the university employee outside the project. The most pronounced signs of success of a particular transformation project depending on its type are outlined. In the conclusion, we formulate the areas for further research on this topic.</w:t>
      </w:r>
    </w:p>
    <w:p>
      <w:pPr/>
      <w:r>
        <w:rPr>
          <w:b/>
        </w:rPr>
        <w:t>POSSIBLE 2024:</w:t>
      </w:r>
      <w:r>
        <w:t xml:space="preserve"> The Effect of Transformational Leadership on Team Performance on Construction Projects — https://doi.org/10.35870/ijmsit.v4i1.2679</w:t>
      </w:r>
    </w:p>
    <w:p>
      <w:pPr/>
      <w:r>
        <w:rPr>
          <w:b/>
        </w:rPr>
        <w:t>Shared claim-specific concepts:</w:t>
      </w:r>
      <w:r>
        <w:t xml:space="preserve"> four, transformational, project, work; EU scope not established. This is a provisional connection, not an outcome finding.</w:t>
      </w:r>
    </w:p>
    <w:p>
      <w:pPr>
        <w:pStyle w:val="SourceNote"/>
      </w:pPr>
      <w:r>
        <w:rPr>
          <w:b/>
        </w:rPr>
        <w:t>Available abstract (not full text):</w:t>
      </w:r>
      <w:r>
        <w:t xml:space="preserve"> This research aims to analyze the influence of transformational leadership on team performance in construction projects. In the construction industry, leadership effectiveness is a key factor influencing project success. This study uses a quantitative approach with a descriptive survey design, involving 150 respondents consisting of 30 project managers and 120 team members from various construction projects in Indonesia. Data was collected through a questionnaire that measured four dimensions of transformational leadership: ideal influence, inspirational motivation, intellectual stimulation, and individual consideration, as well as team performance based on timely task completion, quality of work results, and cost efficiency. The regression test results show that transformational leadership has a significant positive influence on team performance. The motivational dimensions of inspiration and ideal influence showed the highest correlation with team performance, with beta coefficients of 0.45 and 0.42, respectively (p &lt; 0.05). The dimensions of intellectual stimulation and individual consideration also showed a positive influence with beta coefficients of 0.32 and 0.30 respectively (p &lt; 0.05). Job satisfaction was found to be a significant intervening variable, where transformational leadership increased job satisfaction which then increased team performance. This research high</w:t>
      </w:r>
    </w:p>
    <w:p>
      <w:pPr/>
      <w:r>
        <w:rPr>
          <w:b/>
        </w:rPr>
        <w:t>POSSIBLE 2024:</w:t>
      </w:r>
      <w:r>
        <w:t xml:space="preserve"> Supply-side climate policy and fossil fuels in developing countries: a neo-Gramscian perspective — https://doi.org/10.1007/s10784-024-09627-z</w:t>
      </w:r>
    </w:p>
    <w:p>
      <w:pPr/>
      <w:r>
        <w:rPr>
          <w:b/>
        </w:rPr>
        <w:t>Shared claim-specific concepts:</w:t>
      </w:r>
      <w:r>
        <w:t xml:space="preserve"> energy, material; EU scope not established. This is a provisional connection, not an outcome finding.</w:t>
      </w:r>
    </w:p>
    <w:p>
      <w:pPr>
        <w:pStyle w:val="SourceNote"/>
      </w:pPr>
      <w:r>
        <w:rPr>
          <w:b/>
        </w:rPr>
        <w:t>Available abstract (not full text):</w:t>
      </w:r>
      <w:r>
        <w:t xml:space="preserve"> Abstract This article examines the perspectives of low- and middle-income countries (LMICs) on climate change mitigation and fossil fuel supply within the UN framework convention on climate change (UNFCCC). Achieving the temperature targets of the Paris Agreement requires leaving fossil fuels underground (LFFU), which presents challenges for LMICs due to their significant fossil fuel reserves. This dilemma raises equity concerns as these countries must balance climate action with their Right to Development (RtD). Against this background, through a content analysis of documents submitted to the UNFCCC and triangulation with ownership structures of extraction projects, this paper explores how ten LMICs define their roles in addressing climate change and LFFU, with a focus on mitigation policies and the energy sector. Drawing on Gramscian concepts such as hegemony, common sense, historical bloc, war of position, passive revolution, andtrasformismo, this paper presents a non-exhaustive neo-Gramscian perspective for the analysis of supply-side climate policy in developing countries. The analysis reveals that LMICs’ development paths have been characterized by fossil fuel expansion, energy addition, and carbon lock-in, grounded on energy security reasons, export dependencies, or equity and responsibility. From these findings, the paper argues that the global energy transition can be </w:t>
      </w:r>
    </w:p>
    <w:p>
      <w:pPr/>
      <w:r>
        <w:rPr>
          <w:b/>
        </w:rPr>
        <w:t>POSSIBLE 2023:</w:t>
      </w:r>
      <w:r>
        <w:t xml:space="preserve"> Impacts of Carbon Emission Trading Markets on Energy Transformation: A Review of the Existing Literature — https://doi.org/10.56397/jwe.2023.06.04</w:t>
      </w:r>
    </w:p>
    <w:p>
      <w:pPr/>
      <w:r>
        <w:rPr>
          <w:b/>
        </w:rPr>
        <w:t>Shared claim-specific concepts:</w:t>
      </w:r>
      <w:r>
        <w:t xml:space="preserve"> energy; EU scope not established. This is a provisional connection, not an outcome finding.</w:t>
      </w:r>
    </w:p>
    <w:p>
      <w:pPr>
        <w:pStyle w:val="SourceNote"/>
      </w:pPr>
      <w:r>
        <w:rPr>
          <w:b/>
        </w:rPr>
        <w:t>Available abstract (not full text):</w:t>
      </w:r>
      <w:r>
        <w:t xml:space="preserve"> In the current era, carbon emission trading markets seem to be a booster when the global society vigorously advocates energy transformation. Different scholars mainly focus on analyzing the transmission mechanism of carbon emission trading markets on energy transition, the role of carbon emission trading markets on renewable energy, and the impact of carbon emission trading markets with other policies on energy mix. However, the conclusions on whether carbon emission trading markets can indeed contribute to energy transformation vary. Therefore, this article presents research papers on the impact of carbon emission trading markets on energy structure transformation in recent years through literature review and summarizes hot topics to facilitate future scholars to fill the research gap in this field.</w:t>
      </w:r>
    </w:p>
    <w:p>
      <w:pPr/>
      <w:r>
        <w:rPr>
          <w:b/>
        </w:rPr>
        <w:t>POSSIBLE 2022:</w:t>
      </w:r>
      <w:r>
        <w:t xml:space="preserve"> Goals and benefits of digital transformation projects: Insights into project selection criteria — https://doi.org/10.4102/sajems.v25i1.4158</w:t>
      </w:r>
    </w:p>
    <w:p>
      <w:pPr/>
      <w:r>
        <w:rPr>
          <w:b/>
        </w:rPr>
        <w:t>Shared claim-specific concepts:</w:t>
      </w:r>
      <w:r>
        <w:t xml:space="preserve"> four, project, used; EU scope not established. This is a provisional connection, not an outcome finding.</w:t>
      </w:r>
    </w:p>
    <w:p>
      <w:pPr>
        <w:pStyle w:val="SourceNote"/>
      </w:pPr>
      <w:r>
        <w:rPr>
          <w:b/>
        </w:rPr>
        <w:t>Available abstract (not full text):</w:t>
      </w:r>
      <w:r>
        <w:t xml:space="preserve"> Background: Digital transformation (DT) is an increasingly relevant concept for businesses to remain competitive. As DT projects are disruptive to an organisation and are significantly different from traditional information technology projects, it is important to understand the value that specific DT projects will bring to an organisation before they are implemented, so that DT project portfolios can be optimally managed.Aim: This study aims to determine the key goals and benefits of DT projects, as well as the selection criteria for DT projects in South African businesses. The study also explores the most influential technologies for driving the implementation of DT projects.Setting: South Africa is an emerging economy. The study was performed in the initial phases of nationwide lockdown owing to COVID-19.Methods: Semi-structured interviews were conducted with 11 leaders from South African businesses of varying sizes, but all in significant local markets. Content analysis using CAQDAS was used to analyse the primary data, using both inductive and deductive coding methods.Results: South African businesses use a combination of financial and non-financial project selection criteria across four main goals and benefit categories: customer experience, operational efficiency, business culture, and traditional project evaluation. The fifth proposed goal (new business models) was not u</w:t>
      </w:r>
    </w:p>
    <w:p>
      <w:pPr/>
      <w:r>
        <w:rPr>
          <w:b/>
        </w:rPr>
        <w:t>POSSIBLE 2022:</w:t>
      </w:r>
      <w:r>
        <w:t xml:space="preserve"> Assessing the likelihood for transformational change at the Green Climate Fund: An analysis using self-reported project data — https://doi.org/10.1016/j.crm.2022.100398</w:t>
      </w:r>
    </w:p>
    <w:p>
      <w:pPr/>
      <w:r>
        <w:rPr>
          <w:b/>
        </w:rPr>
        <w:t>Shared claim-specific concepts:</w:t>
      </w:r>
      <w:r>
        <w:t xml:space="preserve"> four, transformational, project; EU scope not established. This is a provisional connection, not an outcome finding.</w:t>
      </w:r>
    </w:p>
    <w:p>
      <w:pPr>
        <w:pStyle w:val="SourceNote"/>
      </w:pPr>
      <w:r>
        <w:rPr>
          <w:b/>
        </w:rPr>
        <w:t>Available abstract (not full text):</w:t>
      </w:r>
      <w:r>
        <w:t xml:space="preserve"> Climate finance institutions have been tasked with effectively and efficiently allocating funds to spur the transition to low-carbon, climate-resilient economies. The Green Climate Fund (GCF) is expected to assist the most vulnerable adapt to and mitigate climate change because of its mandate to contribute to a paradigm shift. To understand if the GCF’s portfolio is on track to achieve this aim, we review the project documents of GCF investments through March 2020 (N = 125 projects). We examine attributes of these investments by applying a framework for potential transformational change, comprised of eight components. We use bivariate statistics and multivariate cluster analysis to examine the GCF’s project portfolio of mitigation, cross-cutting and adaptation projects. Bivariate tests find that adaptation projects show the greater intention to integrate policy change into national planning processes and that both adaptation and cross-cutting projects require a greater need for and expectation of behaviour change. Results from cluster analysis shows how adaptation projects dominate clusters with high and medium potential for transformational change (with 47% and 78% of projects, respectively). However, even the high potential cluster only displays the highest average scores for four of the eight components in our framework of transformational change. These findings present lear</w:t>
      </w:r>
    </w:p>
    <w:p>
      <w:pPr>
        <w:pStyle w:val="Heading2"/>
      </w:pPr>
      <w:r>
        <w:t>785. Conditional forecasts of tourism exports and tourism export prices of the EU-15 within a global vector autoregression framework</w:t>
      </w:r>
    </w:p>
    <w:p>
      <w:pPr>
        <w:pStyle w:val="SourceNote"/>
      </w:pPr>
      <w:r>
        <w:rPr>
          <w:b/>
        </w:rPr>
        <w:t>Original source (2017):</w:t>
      </w:r>
      <w:r>
        <w:t xml:space="preserve"> https://doi.org/10.1108/jtf-01-2017-0001</w:t>
      </w:r>
    </w:p>
    <w:p>
      <w:pPr/>
      <w:r>
        <w:t>Original wording (abstract; indexed_source_text_not_full_document_verified): Purpose The purpose of this paper is to analyze the ex ante projected future trajectories of real tourism exports and relative tourism export prices of the EU-15, conditional on expert real gross domestic product growth forecasts for the global economy provided by the Organisation for Economic Co-operation and Development for the years 2013-2017.</w:t>
      </w:r>
    </w:p>
    <w:p>
      <w:pPr/>
      <w:r>
        <w:rPr>
          <w:b/>
        </w:rPr>
        <w:t>POSSIBLE 2025:</w:t>
      </w:r>
      <w:r>
        <w:t xml:space="preserve"> Is tourism a primary driver of inflation in house prices? The case of European countries — https://doi.org/10.1007/s12232-025-00498-7</w:t>
      </w:r>
    </w:p>
    <w:p>
      <w:pPr/>
      <w:r>
        <w:rPr>
          <w:b/>
        </w:rPr>
        <w:t>Shared claim-specific concepts:</w:t>
      </w:r>
      <w:r>
        <w:t xml:space="preserve"> real, tourism; EU scope visible. This is a provisional connection, not an outcome finding.</w:t>
      </w:r>
    </w:p>
    <w:p>
      <w:pPr>
        <w:pStyle w:val="SourceNote"/>
      </w:pPr>
      <w:r>
        <w:rPr>
          <w:b/>
        </w:rPr>
        <w:t>Available abstract (not full text):</w:t>
      </w:r>
      <w:r>
        <w:t xml:space="preserve"> Abstract In this empirical investigation, the influence of tourism on housing prices was studied for 13 European Union countries from 2005 to 2019 using cs-ARDL and Quantile cs-ARDL econometric approaches. The findings reveal a positive effect running from the tourism sector (represented by tourism revenues and the number of arrivals) to housing price indices, indicating that this industry significantly impacts real estate markets. Moreover, the results show that economic growth, bank credit, and population growth drive house prices. These outcomes have significant implications for policymakers, highlighting the dual nature of tourism’s impact and the need for a careful balance between promoting tourism as an economic strategy and ensuring housing affordability for residents.</w:t>
      </w:r>
    </w:p>
    <w:p>
      <w:pPr/>
      <w:r>
        <w:rPr>
          <w:b/>
        </w:rPr>
        <w:t>POSSIBLE 2025:</w:t>
      </w:r>
      <w:r>
        <w:t xml:space="preserve"> Lagged effect of tourism on environmental pollution: a comparative analysis among sub-Saharan African, European and Asian countries — https://doi.org/10.1007/s43621-025-02058-z</w:t>
      </w:r>
    </w:p>
    <w:p>
      <w:pPr/>
      <w:r>
        <w:rPr>
          <w:b/>
        </w:rPr>
        <w:t>Shared claim-specific concepts:</w:t>
      </w:r>
      <w:r>
        <w:t xml:space="preserve"> purpose, analyze, tourism, economy; EU scope visible. This is a provisional connection, not an outcome finding.</w:t>
      </w:r>
    </w:p>
    <w:p>
      <w:pPr>
        <w:pStyle w:val="SourceNote"/>
      </w:pPr>
      <w:r>
        <w:rPr>
          <w:b/>
        </w:rPr>
        <w:t>Available abstract (not full text):</w:t>
      </w:r>
      <w:r>
        <w:t xml:space="preserve"> Tourism participates in the nation’s economy. However, this activity has environmental consequences, as tourists generate waste that pollutes the environment. The purpose of this paper is to analyze the effect of current and past tourism on environmental pollution using a sample of 124 countries across Africa, Asia, and Europe. Data were collected from the World Bank during 2005–2019 and estimation techniques notably POLS, fixed effects models and FMOLS were applied. Outcomes show that both current and past tourism flows have perverse influences on environmental quality. Policies aimed at protecting the environment through tourist education could help reduce the impact of tourism.</w:t>
      </w:r>
    </w:p>
    <w:p>
      <w:pPr/>
      <w:r>
        <w:rPr>
          <w:b/>
        </w:rPr>
        <w:t>POSSIBLE 2025:</w:t>
      </w:r>
      <w:r>
        <w:t xml:space="preserve"> The economic, agricultural, and food security repercussions of a wild pollinator collapse in Europe — https://doi.org/10.1038/s41467-025-65414-7</w:t>
      </w:r>
    </w:p>
    <w:p>
      <w:pPr/>
      <w:r>
        <w:rPr>
          <w:b/>
        </w:rPr>
        <w:t>Shared claim-specific concepts:</w:t>
      </w:r>
      <w:r>
        <w:t xml:space="preserve"> exports; EU scope visible. This is a provisional connection, not an outcome finding.</w:t>
      </w:r>
    </w:p>
    <w:p>
      <w:pPr>
        <w:pStyle w:val="SourceNote"/>
      </w:pPr>
      <w:r>
        <w:rPr>
          <w:b/>
        </w:rPr>
        <w:t>Available abstract (not full text):</w:t>
      </w:r>
      <w:r>
        <w:t xml:space="preserve"> Biodiversity conservation policies often face resistance, yet the global agri-food system's vulnerability to ecosystem service declines, such as wild pollinator losses, remains poorly understood. Wild pollinators are vital for sustaining crop yields, especially nutrient-rich crops. Declines in their populations could disrupt food production, trade, and global food security. Here, we show that a hypothetical collapse of wild pollinators in Europe by 2030 would reduce European crop yields by 8%, trigger modest cropland expansion, and diminish net exports. Although global market adjustments, through changes in land use and trade, would partially mitigate these impacts, they risk exacerbating food insecurity and undermining biodiversity conservation efforts globally. Prices for pollinator-dependent crops would rise globally, with Europe seeing the steepest increases. While producers may benefit from higher prices, consumers bear the brunt. Global annual welfare losses would reach €34 billion in 2030, with Europe and the EU accounting for €24 billion and €12 billion, disproportionately impacting EU member-states resistant to biodiversity-friendly policies.</w:t>
      </w:r>
    </w:p>
    <w:p>
      <w:pPr/>
      <w:r>
        <w:rPr>
          <w:b/>
        </w:rPr>
        <w:t>POSSIBLE 2023:</w:t>
      </w:r>
      <w:r>
        <w:t xml:space="preserve"> Financial Integration and European Tourism Stocks — https://doi.org/10.2139/ssrn.4359373</w:t>
      </w:r>
    </w:p>
    <w:p>
      <w:pPr/>
      <w:r>
        <w:rPr>
          <w:b/>
        </w:rPr>
        <w:t>Shared claim-specific concepts:</w:t>
      </w:r>
      <w:r>
        <w:t xml:space="preserve"> real, tourism; EU scope visible. This is a provisional connection, not an outcome finding.</w:t>
      </w:r>
    </w:p>
    <w:p>
      <w:pPr>
        <w:pStyle w:val="SourceNote"/>
      </w:pPr>
      <w:r>
        <w:rPr>
          <w:b/>
        </w:rPr>
        <w:t>Available abstract (not full text):</w:t>
      </w:r>
      <w:r>
        <w:t xml:space="preserve"> This study examines the macro drivers of the time-varying (dynamic) connectedness between 11 European tourism sectors. Financial integration between the travel and leisure markets, measured by their dynamic correlations or co-movement, is explained by common global fundamentals. The empirical results provide new evidence on the counter-cyclical behavior of the correlations; in particular, stronger cross-country interdependence can be attributed to economic slowdowns characterized by higher uncertainty and geopolitical risk, tighter credit and liquidity conditions, and sluggish economic and real estate activity. Further, economic and political uncertainty is found to intensify the macro effects on tourism correlations. Finally, crises such as the 2008 financial turmoil, the subsequent European debt crisis, and the recent Covid-19 pandemic crash also magnify the impact of macro drivers on the evolution of co-movement and integration in the tourism sector.</w:t>
      </w:r>
    </w:p>
    <w:p>
      <w:pPr/>
      <w:r>
        <w:rPr>
          <w:b/>
        </w:rPr>
        <w:t>POSSIBLE 2023:</w:t>
      </w:r>
      <w:r>
        <w:t xml:space="preserve"> Google and Apple mobility data as predictors for European tourism during the COVID-19 pandemic: A neural network approach — https://doi.org/10.24136/eq.2023.013</w:t>
      </w:r>
    </w:p>
    <w:p>
      <w:pPr/>
      <w:r>
        <w:rPr>
          <w:b/>
        </w:rPr>
        <w:t>Shared claim-specific concepts:</w:t>
      </w:r>
      <w:r>
        <w:t xml:space="preserve"> purpose, tourism, domestic; EU scope visible. This is a provisional connection, not an outcome finding.</w:t>
      </w:r>
    </w:p>
    <w:p>
      <w:pPr>
        <w:pStyle w:val="SourceNote"/>
      </w:pPr>
      <w:r>
        <w:rPr>
          <w:b/>
        </w:rPr>
        <w:t>Available abstract (not full text):</w:t>
      </w:r>
      <w:r>
        <w:t xml:space="preserve"> Research background: The COVID-19 pandemic has caused unprecedented disruptions to the global tourism industry, resulting in significant impacts on both human and economic activities. Travel restrictions, border closures, and quarantine measures have led to a sharp decline in tourism demand, causing businesses to shut down, jobs to be lost, and economies to suffer. Purpose of the article: This study aims to examine the correlation and causal relationship between real-time mobility data and statistical data on tourism, specifically tourism overnights, across eleven European countries during the first 14 months of the pandemic. We analyzed the short longitudinal connections between two dimensions of tourism and related activities. Methods: Our method is to use Google and Apple's observational data to link with tourism statistical data, enabling the development of early predictive models and econometric models for tourism overnights (or other tourism indices). This approach leverages the more timely and more reliable mobility data from Google and Apple, which is published with less delay than tourism statistical data. Findings &amp; value added: Our findings indicate statistically significant correlations between specific mobility dimensions, such as recreation and retail, parks, and tourism statistical data, but poor or insignificant relations with workplace and transit dimensions. W</w:t>
      </w:r>
    </w:p>
    <w:p>
      <w:pPr/>
      <w:r>
        <w:rPr>
          <w:b/>
        </w:rPr>
        <w:t>POSSIBLE 2022:</w:t>
      </w:r>
      <w:r>
        <w:t xml:space="preserve"> SMART-TECHNOLOGIES IN THE TOURISM INDUSTRY OF EUROPE — https://doi.org/10.31651/2076-5843-2022-3-4-109-117</w:t>
      </w:r>
    </w:p>
    <w:p>
      <w:pPr/>
      <w:r>
        <w:rPr>
          <w:b/>
        </w:rPr>
        <w:t>Shared claim-specific concepts:</w:t>
      </w:r>
      <w:r>
        <w:t xml:space="preserve"> purpose, real, tourism, expert, product; EU scope visible. This is a provisional connection, not an outcome finding.</w:t>
      </w:r>
    </w:p>
    <w:p>
      <w:pPr>
        <w:pStyle w:val="SourceNote"/>
      </w:pPr>
      <w:r>
        <w:rPr>
          <w:b/>
        </w:rPr>
        <w:t>Available abstract (not full text):</w:t>
      </w:r>
      <w:r>
        <w:t xml:space="preserve"> Introduction. Today, the tourism sector needs to adapt to a changing environment and strengthen competitiveness. The introduction of smart technologies characterizes the current stage of tourism development, which is influenced by the evolution of information technology and becomes a promising way to confront new market conditions. Travel smart technologies include the automation of travel and related processes, saving time, reducing costs and creating a more seamless travel experience for tourists. These technologies can be applied to improve the customer experience: before, during and after the trip itself. Smart technologies provide an opportunity in tourism activities to streamline and automate processes that traditionally require active human involvement. This can potentially help businesses reduce the need for staff, cut costs and increase revenue, leading to improved financial results. The application of smart technologies and the concept of smart tourism in destinations can strengthen countries' competitiveness and lead to better satisfaction of tourists' needs. Europe is one of the leaders in the development of smart technologies and experience in their application in tourism activities. Purpose. Analysis of the development of smart technologies in the tourism sector of leading European countries, in particular in the most famous tourist destinations. Methods. The arti</w:t>
      </w:r>
    </w:p>
    <w:p>
      <w:pPr/>
      <w:r>
        <w:rPr>
          <w:b/>
        </w:rPr>
        <w:t>POSSIBLE 2022:</w:t>
      </w:r>
      <w:r>
        <w:t xml:space="preserve"> Digital accessibility of smart cities - tourism for all and reducing inequalities: Tourism Agenda 2030 — https://doi.org/10.1108/tr-02-2022-0091</w:t>
      </w:r>
    </w:p>
    <w:p>
      <w:pPr/>
      <w:r>
        <w:rPr>
          <w:b/>
        </w:rPr>
        <w:t>Shared claim-specific concepts:</w:t>
      </w:r>
      <w:r>
        <w:t xml:space="preserve"> purpose, analyze, tourism; EU scope visible. This is a provisional connection, not an outcome finding.</w:t>
      </w:r>
    </w:p>
    <w:p>
      <w:pPr>
        <w:pStyle w:val="SourceNote"/>
      </w:pPr>
      <w:r>
        <w:rPr>
          <w:b/>
        </w:rPr>
        <w:t>Available abstract (not full text):</w:t>
      </w:r>
      <w:r>
        <w:t xml:space="preserve"> Purpose There is widespread agreement that the tourism sector should address the issue of sustainability. The purpose of this study is to analyze the digital accessibility of the cities awarded as European Capitals of Smart Tourism for their innovative, accessible and sustainable practices by the European Commission. Design/methodology/approach An analysis of the digital level of accessibility of 50 uniform resource locator (URL) of European cities was undertaken. The analysis followed the international evaluation requirements of the World Wide Web (W3C). Findings The results show that none of the official Web pages analyzed obtained 100% in relation to the digital accessibility requirements. The main factors that pose barriers to communication and interaction were identified. Practical implications The paper encourages smart tourism destinations to overcome the challenge of matching both dimensions of accessibility to obtain barrier-free information to ensure cities are inclusive and sustainable in line with Agenda 2030 (sustainable development goal [SDG] 11). Originality/value The concept of tourism for all receives special attention in the sector, and this notion is reflected in the UN SDGs. However, accessibility has not been extensively analyzed in relation to the cohesion between the digital and the physical dimension. Tourism research tends to focus on accessible experie</w:t>
      </w:r>
    </w:p>
    <w:p>
      <w:pPr/>
      <w:r>
        <w:rPr>
          <w:b/>
        </w:rPr>
        <w:t>POSSIBLE 2021:</w:t>
      </w:r>
      <w:r>
        <w:t xml:space="preserve"> PROVING THE IMPORTANCE OF SEA TOURISM FOR THE EUROPE'S ECONOMY — https://doi.org/10.32843/bses.64-18</w:t>
      </w:r>
    </w:p>
    <w:p>
      <w:pPr/>
      <w:r>
        <w:rPr>
          <w:b/>
        </w:rPr>
        <w:t>Shared claim-specific concepts:</w:t>
      </w:r>
      <w:r>
        <w:t xml:space="preserve"> purpose, real, tourism, economy; EU scope visible. This is a provisional connection, not an outcome finding.</w:t>
      </w:r>
    </w:p>
    <w:p>
      <w:pPr>
        <w:pStyle w:val="SourceNote"/>
      </w:pPr>
      <w:r>
        <w:rPr>
          <w:b/>
        </w:rPr>
        <w:t>Available abstract (not full text):</w:t>
      </w:r>
      <w:r>
        <w:t xml:space="preserve"> The article emphasizes that the dynamic development of maritime tourism is especially important for all industries and its importance is constantly growing. Where to direct such development, how to ensure the conditions for its sustainable development are the main issues for countries at the regional level. It is noted that the demand in the European maritime tourism market has specific development factors that need to be studied. The main areas in which maritime tourism contributes to the European economy are highlighted. Indirect effects of maritime tourism, which are manifested as a driving force in the development of other ancillary activities. Peculiarities of legislative regulation of maritime tourism in European countries with developed and transition economies are considered. Their features and examples are given. Resource-based and tourism-based models of maritime tourism development are described. Various classifications of the tourist market in general and the maritime tourism market in particular are presented and analyzed. It is emphasized that all classifications have their specific real purpose and purpose. For effective marketing management of tourist destinations it is necessary to identify and assess its potential. The question of the concept of "new market", which is of particular importance for the development of the maritime tourism industry. It is emphasiz</w:t>
      </w:r>
    </w:p>
    <w:p>
      <w:pPr/>
      <w:r>
        <w:rPr>
          <w:b/>
        </w:rPr>
        <w:t>POSSIBLE 2020:</w:t>
      </w:r>
      <w:r>
        <w:t xml:space="preserve"> Virtual reality and modern tourism — https://doi.org/10.1108/jtf-01-2020-0004</w:t>
      </w:r>
    </w:p>
    <w:p>
      <w:pPr/>
      <w:r>
        <w:rPr>
          <w:b/>
        </w:rPr>
        <w:t>Shared claim-specific concepts:</w:t>
      </w:r>
      <w:r>
        <w:t xml:space="preserve"> purpose, analyze, tourism; EU scope not established. This is a provisional connection, not an outcome finding.</w:t>
      </w:r>
    </w:p>
    <w:p>
      <w:pPr>
        <w:pStyle w:val="SourceNote"/>
      </w:pPr>
      <w:r>
        <w:rPr>
          <w:b/>
        </w:rPr>
        <w:t>Available abstract (not full text):</w:t>
      </w:r>
      <w:r>
        <w:t xml:space="preserve"> Purpose The purpose of this paper is to provide an insight as to how recent trends in virtual reality (VR) have changed the way tourism and hospitality industry communicates their offerings and meets the tourists’ needs. Design/methodology/approach The approach is based on systematic literature review, where the relations between focal concepts are given to analyze potential future developments concerning VR. Findings The paper identifies and analyzes how VR technology affected tourism and hospitality industry through three main touch points – future tourism planning and management, technology-based marketing of tourism destinations and VR potential in changing consumer requirements. These concepts were analyzed to identify changing forces and suggest potential paradigm shifts that tourism and hospitality suppliers and marketers need to consider. These included realistic virtual travel replacements, the importance of interactive experiences and innovation in future tourism systems. Originality/value While there has been increasingly larger number of discussions on how tourists and tourism and hospitality industry have been using information and communication technology recently, there is little evidence of scholars and practitioners applying such methods. This paper used systematic literature review to illustrate means in which VR could be ingrained into tourism and hospitality</w:t>
      </w:r>
    </w:p>
    <w:p>
      <w:pPr/>
      <w:r>
        <w:rPr>
          <w:b/>
        </w:rPr>
        <w:t>POSSIBLE 2020:</w:t>
      </w:r>
      <w:r>
        <w:t xml:space="preserve"> Aspects of Digitalization and Related Impact on Green Tourism in European Countries — https://doi.org/10.3390/info11110507</w:t>
      </w:r>
    </w:p>
    <w:p>
      <w:pPr/>
      <w:r>
        <w:rPr>
          <w:b/>
        </w:rPr>
        <w:t>Shared claim-specific concepts:</w:t>
      </w:r>
      <w:r>
        <w:t xml:space="preserve"> analyze, tourism; EU scope visible. This is a provisional connection, not an outcome finding.</w:t>
      </w:r>
    </w:p>
    <w:p>
      <w:pPr>
        <w:pStyle w:val="SourceNote"/>
      </w:pPr>
      <w:r>
        <w:rPr>
          <w:b/>
        </w:rPr>
        <w:t>Available abstract (not full text):</w:t>
      </w:r>
      <w:r>
        <w:t xml:space="preserve"> The digital world requires the implementation of new technologies and customer-driven business transformation. As the tourism sector may experience unanticipated ways of developing new technologies due to the current global health crisis, the standard travel experience could be changed. The main aim of this study was to analyze the influence of digitalization and tourists’ preferences in terms of accommodation and economic well-being implying sustainability. This paper applied a regression analysis and principal component analysis to achieve the above objective. Research exposed the fact that tourists’ preferences towards green destinations and ecological accommodation establishments, as well as Internet use in travel planning, may have a significant influence on the sustainability of tourism. This study identified behavioral models of 30 European countries from the sustainable tourism and digitalization perspective and made recommendations on economic and social policy measures to ensure the sustainable nature of tourism activity.</w:t>
      </w:r>
    </w:p>
    <w:p>
      <w:pPr/>
      <w:r>
        <w:rPr>
          <w:b/>
        </w:rPr>
        <w:t>POSSIBLE 2020:</w:t>
      </w:r>
      <w:r>
        <w:t xml:space="preserve"> Innovative Tools for Tourism and Cultural Tourism Impact Assessment — https://doi.org/10.3390/su12187470</w:t>
      </w:r>
    </w:p>
    <w:p>
      <w:pPr/>
      <w:r>
        <w:rPr>
          <w:b/>
        </w:rPr>
        <w:t>Shared claim-specific concepts:</w:t>
      </w:r>
      <w:r>
        <w:t xml:space="preserve"> real, tourism, economy; EU scope visible. This is a provisional connection, not an outcome finding.</w:t>
      </w:r>
    </w:p>
    <w:p>
      <w:pPr>
        <w:pStyle w:val="SourceNote"/>
      </w:pPr>
      <w:r>
        <w:rPr>
          <w:b/>
        </w:rPr>
        <w:t>Available abstract (not full text):</w:t>
      </w:r>
      <w:r>
        <w:t xml:space="preserve"> The importance of data and evidence has increased considerably in policy planning, implementation, and evaluation. There is unprecedented availability of open and big data, and there are rapid developments in intelligence gathering and the application of analytical tools. While cultural heritage holds many tangible and intangible values for local communities and society in general, there is a knowledge gap regarding suitable methods and data sources to measure the impacts and develop data-driven policies of cultural tourism. In the tourism sector, rapid developments are particularly taking place around novel uses of mobile positioning data, web scraping, and open application programming interface (API) data, data on sharing, and collaborative economy and passenger data. Based on feedback from 15 European cultural tourism regions, recommendations are developed regarding the use of innovative tools and data sources in tourism management. In terms of potential analytical depth, it is especially advisable to explore the use of mobile positioning data. Yet, there are considerable barriers, especially in terms of privacy protection and ethics, in using such data. User-generated big data from social media, web searches, and website visits constitute another promising data source as it is often publicly available in real time and has low usage barriers. Due to the emergence of new plat</w:t>
      </w:r>
    </w:p>
    <w:p>
      <w:pPr/>
      <w:r>
        <w:rPr>
          <w:b/>
        </w:rPr>
        <w:t>POSSIBLE 2018:</w:t>
      </w:r>
      <w:r>
        <w:t xml:space="preserve"> EUROPEAN TOURISM MANAGEMENT COMPETITIVENESS AND PECULIARITIES — https://doi.org/10.31410/tmt.2018.473</w:t>
      </w:r>
    </w:p>
    <w:p>
      <w:pPr/>
      <w:r>
        <w:rPr>
          <w:b/>
        </w:rPr>
        <w:t>Shared claim-specific concepts:</w:t>
      </w:r>
      <w:r>
        <w:t xml:space="preserve"> analyze, tourism; EU scope visible. This is a provisional connection, not an outcome finding.</w:t>
      </w:r>
    </w:p>
    <w:p>
      <w:pPr>
        <w:pStyle w:val="SourceNote"/>
      </w:pPr>
      <w:r>
        <w:rPr>
          <w:b/>
        </w:rPr>
        <w:t>Available abstract (not full text):</w:t>
      </w:r>
      <w:r>
        <w:t xml:space="preserve"> The scope of this research paper is to analyze the tourism sector and the tourism competitiveness in the frame of European Union (EU-28). The methodology of the paper is classic based on comparative analysis between EU-28 countries, using the analysis, the comparisons and the synthesis of available information.The main source of the data used is Eurostat database.The methodology of the paper is based on the data collected from numerous official, and semi-official published reports, research journals, newspaper reports, research articles, websites and works of the individual scholars : The Travel &amp; Tourism Competitiveness Report 2017 from World Economic Forum, Travel &amp; Tourism Economic Impact 2018 from World Travel &amp; Tourism Council.Finally, the paper concludes and aims recommendation and solution for tourism management in order to increase the European tourism efficiency and competitiveness facing worldwide major challenges regarding resources scarcity, climate change and world security.</w:t>
      </w:r>
    </w:p>
    <w:p>
      <w:pPr>
        <w:pStyle w:val="Heading2"/>
      </w:pPr>
      <w:r>
        <w:t>786. Decarbonizing Sweden’s energy and transportation system by 2050</w:t>
      </w:r>
    </w:p>
    <w:p>
      <w:pPr>
        <w:pStyle w:val="SourceNote"/>
      </w:pPr>
      <w:r>
        <w:rPr>
          <w:b/>
        </w:rPr>
        <w:t>Original source (2017):</w:t>
      </w:r>
      <w:r>
        <w:t xml:space="preserve"> https://doi.org/10.5278/ijsepm.2017.14.2</w:t>
      </w:r>
    </w:p>
    <w:p>
      <w:pPr/>
      <w:r>
        <w:t>Original wording (abstract; indexed_source_text_not_full_document_verified): Decarbonizing Sweden’s transportation sector is necessary to realize its long-term vision of eliminating net greenhouse gas (GHG) emissions from the energy system by 2050. Within this context, this study develops two scenarios for the transportation sector: one with high electrification (EVS) and the other with high biofuel and biomethane utilization (BIOS).</w:t>
      </w:r>
    </w:p>
    <w:p>
      <w:pPr/>
      <w:r>
        <w:rPr>
          <w:b/>
        </w:rPr>
        <w:t>POSSIBLE 2026:</w:t>
      </w:r>
      <w:r>
        <w:t xml:space="preserve"> Decarbonizing transportation with intelligent transportation systems: a systematic review of mechanisms, constraints and deployment pathways — https://doi.org/10.1016/j.apenergy.2026.128493</w:t>
      </w:r>
    </w:p>
    <w:p>
      <w:pPr/>
      <w:r>
        <w:rPr>
          <w:b/>
        </w:rPr>
        <w:t>Shared claim-specific concepts:</w:t>
      </w:r>
      <w:r>
        <w:t xml:space="preserve"> decarbonizing, transportation, net, emissions, energy, system; EU scope not established. This is a provisional connection, not an outcome finding.</w:t>
      </w:r>
    </w:p>
    <w:p>
      <w:pPr>
        <w:pStyle w:val="SourceNote"/>
      </w:pPr>
      <w:r>
        <w:rPr>
          <w:b/>
        </w:rPr>
        <w:t>Available abstract (not full text):</w:t>
      </w:r>
      <w:r>
        <w:t xml:space="preserve"> Transportation decarbonization is increasingly constrained by the diminishing returns of conventional technological measures, prompting growing interest in Intelligent Transportation Systems (ITS) as a means of improving transport efficiency and sustainability. However, prior studies and reviews have largely focused on individual technologies, localized efficiency gains, or specific application scenarios, without adequately explaining whether and through what mechanisms such gains translate into net transportation decarbonization at the system level. This omission is consequential because ITS may simultaneously reduce operational emissions, reshape travel demand, shift emissions across sectors, and generate additional energy consumption through digital infrastructure. To address this gap, this paper systematically reviews the mechanisms through which ITS influences net transportation decarbonization, the constraints on its deployment, and cross-practice variation in its low-carbon effects. Drawing on a core set of 206 English-language publications identified through database searches covering 1990–2025 in the Web of Science Core Collection and IEEE Xplore and reviewed through a PRISMA-informed process, the study identifies three pathways through which ITS contributes to decarbonization: direct technological effects, structural reconfiguration effects, and adjustment and correct</w:t>
      </w:r>
    </w:p>
    <w:p>
      <w:pPr/>
      <w:r>
        <w:rPr>
          <w:b/>
        </w:rPr>
        <w:t>POSSIBLE 2026:</w:t>
      </w:r>
      <w:r>
        <w:t xml:space="preserve"> A Review of Pricing Strategies for Decarbonizing Transportation — https://doi.org/10.7922/g2wm1bsd</w:t>
      </w:r>
    </w:p>
    <w:p>
      <w:pPr/>
      <w:r>
        <w:rPr>
          <w:b/>
        </w:rPr>
        <w:t>Shared claim-specific concepts:</w:t>
      </w:r>
      <w:r>
        <w:t xml:space="preserve"> decarbonizing, transportation, system; EU scope not established. This is a provisional connection, not an outcome finding.</w:t>
      </w:r>
    </w:p>
    <w:p>
      <w:pPr>
        <w:pStyle w:val="SourceNote"/>
      </w:pPr>
      <w:r>
        <w:rPr>
          <w:b/>
        </w:rPr>
        <w:t>Available abstract (not full text):</w:t>
      </w:r>
      <w:r>
        <w:t xml:space="preserve"> California’s ability to achieve its climate and mobility goals depends on addressing the growing gap between transportation infrastructure needs and the declining effectiveness of traditional fuel tax revenues. As electric vehicle adoption rises, fuel efficiency improves, and demands for resilient, multimodal systems expand, new approaches to transportation funding and demand management are required. This paper examines a range of mobility pricing strategies—including tolling, managed lanes, congestion charges, vehicle-based fees and feebates, distance-based user charges, and parking pricing—to evaluate their potential for enhancing financial sustainability, reducing congestion, and internalizing the environmental and social costs of driving. Particular attention is given to dynamic pricing, which can flexibly manage demand for both road and parking space, and to distance-based charges that offer a more equitable and efficient alternative to fuel taxes. The analysis highlights the importance of revenue allocation to ensure that pricingstrategies not only generate funds but also support equitable investments in sustainable mobility options. While some approaches are well established, others require pilot testing and policy innovation. Given its policy leadership and commitment to climate action, California is well positioned to advance and integrate these strategies, shaping a c</w:t>
      </w:r>
    </w:p>
    <w:p>
      <w:pPr/>
      <w:r>
        <w:rPr>
          <w:b/>
        </w:rPr>
        <w:t>POSSIBLE 2026:</w:t>
      </w:r>
      <w:r>
        <w:t xml:space="preserve"> Decarbonizing the Swedish Welfare State? A Comparative Analysis of Social-Democratic and Sweden-Democratic Climate Policy Framing between 2014 and 2024 — https://openalex.org/W7214516494</w:t>
      </w:r>
    </w:p>
    <w:p>
      <w:pPr/>
      <w:r>
        <w:rPr>
          <w:b/>
        </w:rPr>
        <w:t>Shared claim-specific concepts:</w:t>
      </w:r>
      <w:r>
        <w:t xml:space="preserve"> decarbonizing, sweden, vision; EU scope visible. This is a provisional connection, not an outcome finding.</w:t>
      </w:r>
    </w:p>
    <w:p>
      <w:pPr>
        <w:pStyle w:val="SourceNote"/>
      </w:pPr>
      <w:r>
        <w:rPr>
          <w:b/>
        </w:rPr>
        <w:t>Available abstract (not full text):</w:t>
      </w:r>
      <w:r>
        <w:t xml:space="preserve"> This study examines how climate policy is discursively constructed in Sweden through a qualitative document analysis of electoral manifestos from the Social Democratic Party (SAP) and the Sweden Democrats (SD) between 2014 and 2024. The study finds that Swedish climate policy is increasingly shaped by competing discursive frames, where the Social Democrats continue to promote a vision of EU cooperation, climate leadership, and green growth grounded in welfare-state continuity, while the Sweden Democrats gain influence by reframing climate policy as economically burdensome, socially uneven, and constrained by international agreements. This shift reflects the broader rise of the far-right in Swedish politics, which does not primarily deny climate change but instead redefines its relevance through protection of rural interests, criticism of environmental regulations, and emphasis on national sovereignty, contributing to a gradual weakening and fragmentation of ambitious climate governance. Engaging with Sweden’s welfare-state ideology, the findings suggest that climate policy has shifted from a focus on green welfare framing toward a more contested policy field, where discursive struggles over national priorities, security, and international cooperation obstruct transformative climate action.</w:t>
      </w:r>
    </w:p>
    <w:p>
      <w:pPr/>
      <w:r>
        <w:rPr>
          <w:b/>
        </w:rPr>
        <w:t>POSSIBLE 2026:</w:t>
      </w:r>
      <w:r>
        <w:t xml:space="preserve"> Decarbonization of European Industry: Modelling and Open Science (DEIMOS) — https://doi.org/10.5445/ir/1000196316</w:t>
      </w:r>
    </w:p>
    <w:p>
      <w:pPr/>
      <w:r>
        <w:rPr>
          <w:b/>
        </w:rPr>
        <w:t>Shared claim-specific concepts:</w:t>
      </w:r>
      <w:r>
        <w:t xml:space="preserve"> energy, two, electrification; EU scope visible. This is a provisional connection, not an outcome finding.</w:t>
      </w:r>
    </w:p>
    <w:p>
      <w:pPr>
        <w:pStyle w:val="SourceNote"/>
      </w:pPr>
      <w:r>
        <w:rPr>
          <w:b/>
        </w:rPr>
        <w:t>Available abstract (not full text):</w:t>
      </w:r>
      <w:r>
        <w:t xml:space="preserve"> The DEIMOS project developed and applied two complementary open-source modeling frameworks, FORECAST-Sites Extended and iSTEDS, together with openly accessible industrial datasets. These resources enable transparent and reproducible analysis of industrial decarbonization pathways across sectors, technologies, and locations. FORECAST-Sites Extended captures site-specific investment decisions, including asset vintages, reinvestment timing, technology costs, and infrastructure access, while iSTEDS assesses industrial electrification and demand-side flexibility. Applied in three case studies, the models highlighted the roles of hydrogen, carbon capture, and electrification in industrial transformation. Together, the models and datasets provide an open-science foundation for analyzing industrial transition and supporting future energy and climate policy.</w:t>
      </w:r>
    </w:p>
    <w:p>
      <w:pPr/>
      <w:r>
        <w:rPr>
          <w:b/>
        </w:rPr>
        <w:t>POSSIBLE 2026:</w:t>
      </w:r>
      <w:r>
        <w:t xml:space="preserve"> Decarbonization, Dematerialization, and Economic Gains in Circular Economy for Construction and Demolition Waste Management in Europe — https://doi.org/10.1021/acs.est.6c02401</w:t>
      </w:r>
    </w:p>
    <w:p>
      <w:pPr/>
      <w:r>
        <w:rPr>
          <w:b/>
        </w:rPr>
        <w:t>Shared claim-specific concepts:</w:t>
      </w:r>
      <w:r>
        <w:t xml:space="preserve"> realize, emissions, energy; EU scope visible. This is a provisional connection, not an outcome finding.</w:t>
      </w:r>
    </w:p>
    <w:p>
      <w:pPr>
        <w:pStyle w:val="SourceNote"/>
      </w:pPr>
      <w:r>
        <w:rPr>
          <w:b/>
        </w:rPr>
        <w:t>Available abstract (not full text):</w:t>
      </w:r>
      <w:r>
        <w:t xml:space="preserve"> Abstract Construction and demolition waste (CDW) offers opportunities for decarbonization, dematerialization, and economic gains through high-value-added circular management. Yet, most of this material is downcycled. This study assesses different CDW circularity strategies in the EU27 + 4 from 2010 to 2050. Results show that continuing current trends in waste management could reduce cumulative carbon emissions by ∼2 Gt CO2-eq, material use by ∼24 Gt, and costs by ∼€680 billion compared with virgin material use. Implementing advanced circularity measures could further reduce emissions by 38–48%, material use by 7–8%, and costs by 21%. Germany, the UK, France, and Italy contribute over 70% of these benefits due to their large building stocks. While metals represent only 6% of CDW mass, they drive up to 90% of decarbonization and economic value; minerals enable over 70% of dematerialization across all scenarios. Clean energy transitions may reduce circular economy's carbon advantage as primary production also decarbonizes. Coordinated policies integrating data, technology, incentives, and holistic targets are essential to realize systemic circularity.</w:t>
      </w:r>
    </w:p>
    <w:p>
      <w:pPr/>
      <w:r>
        <w:rPr>
          <w:b/>
        </w:rPr>
        <w:t>POSSIBLE 2026:</w:t>
      </w:r>
      <w:r>
        <w:t xml:space="preserve"> Decarbonization Pathways in the European Union: Sectoral Contributions to CO2 Emissions Reductions (2000–2022) — https://doi.org/10.3390/environments13030163</w:t>
      </w:r>
    </w:p>
    <w:p>
      <w:pPr/>
      <w:r>
        <w:rPr>
          <w:b/>
        </w:rPr>
        <w:t>Shared claim-specific concepts:</w:t>
      </w:r>
      <w:r>
        <w:t xml:space="preserve"> sector, emissions, energy; EU scope visible. This is a provisional connection, not an outcome finding.</w:t>
      </w:r>
    </w:p>
    <w:p>
      <w:pPr>
        <w:pStyle w:val="SourceNote"/>
      </w:pPr>
      <w:r>
        <w:rPr>
          <w:b/>
        </w:rPr>
        <w:t>Available abstract (not full text):</w:t>
      </w:r>
      <w:r>
        <w:t xml:space="preserve"> In the European Union, decarbonization has progressed unevenly across sectors and member states. This study examines sectoral CO2 trajectories in the EU-27 during 2000–2022 using a harmonized annual panel built primarily from the European Commission’s Energy Statistical Country Datasheets and complemented with EDGAR/JRC sectoral emissions data. The empirical strategy combines descriptive analysis with OLS, fixed-effects, log-linear, and exploratory difference-in-differences specifications to assess conditional associations among per capita CO2 emissions, the renewable energy share, GDP per capita, and the carbon price. EU-wide CO2 emissions declined by 26.4% over the study period, with the largest contraction in the energy sector, while transport emissions remained comparatively stable. Across specifications, renewable energy share is consistently associated with lower emissions, although its magnitude weakens after controlling for time-invariant country heterogeneity. Carbon price is negatively associated with emissions in the baseline and log-linear models. In contrast, the exploratory DiD interaction is not statistically informative in the main treatment specification and yields negligible effect sizes in regional split models. The sign reversal in GDP between the pooled and within-country models indicates that cross-country differences and within-country dynamics should not</w:t>
      </w:r>
    </w:p>
    <w:p>
      <w:pPr/>
      <w:r>
        <w:rPr>
          <w:b/>
        </w:rPr>
        <w:t>POSSIBLE 2025:</w:t>
      </w:r>
      <w:r>
        <w:t xml:space="preserve"> Decarbonizing road transportation: Barriers and drivers in an emerging economy context — https://doi.org/10.1016/j.trd.2025.104723</w:t>
      </w:r>
    </w:p>
    <w:p>
      <w:pPr/>
      <w:r>
        <w:rPr>
          <w:b/>
        </w:rPr>
        <w:t>Shared claim-specific concepts:</w:t>
      </w:r>
      <w:r>
        <w:t xml:space="preserve"> decarbonizing, transportation, sector, greenhouse, gas, emissions; EU scope not established. This is a provisional connection, not an outcome finding.</w:t>
      </w:r>
    </w:p>
    <w:p>
      <w:pPr>
        <w:pStyle w:val="SourceNote"/>
      </w:pPr>
      <w:r>
        <w:rPr>
          <w:b/>
        </w:rPr>
        <w:t>Available abstract (not full text):</w:t>
      </w:r>
      <w:r>
        <w:t xml:space="preserve"> The transportation sector ranks as the second-largest contributor to global greenhouse gas emissions , primarily owing to its heavy reliance on fossil fuels . Consequently, the imperative to decarbonize transportation is paramount in the pursuit of sustainable development goals . However, despite its critical importance, research on decarbonization in transportation remains significantly limited. This gap in research is particularly glaring in developing countries, where there is a notable absence of studies addressing the decarbonization challenges within the transport sector. Addressing this research gap, this study aims to investigate the barriers and drivers influencing the decarbonization of the passenger transport sector in an emerging economy context, particularly for Bangladesh. The top three barriers identified include the ’Lack of concrete transportation policy’, ’Lack of decarbonization strategy/policy’, and ’Lack of biofuel refueling station/EV charging station’. These barriers are comprehensively analyzed based on various stakeholder perspectives. In terms of categorical barriers, policy barriers and technical barriers are predominant over other barriers. Despite these challenges, there is a growing interest in decarbonizing the transportation sector, albeit with some limitations. The primary drivers to decarbonize the transport sector include ‘Profitable return on</w:t>
      </w:r>
    </w:p>
    <w:p>
      <w:pPr/>
      <w:r>
        <w:rPr>
          <w:b/>
        </w:rPr>
        <w:t>POSSIBLE 2025:</w:t>
      </w:r>
      <w:r>
        <w:t xml:space="preserve"> Decarbonizing road freight transportation: recent advances and future trends — https://doi.org/10.1080/01605682.2024.2446655</w:t>
      </w:r>
    </w:p>
    <w:p>
      <w:pPr/>
      <w:r>
        <w:rPr>
          <w:b/>
        </w:rPr>
        <w:t>Shared claim-specific concepts:</w:t>
      </w:r>
      <w:r>
        <w:t xml:space="preserve"> decarbonizing, transportation, energy; EU scope not established. This is a provisional connection, not an outcome finding.</w:t>
      </w:r>
    </w:p>
    <w:p>
      <w:pPr>
        <w:pStyle w:val="SourceNote"/>
      </w:pPr>
      <w:r>
        <w:rPr>
          <w:b/>
        </w:rPr>
        <w:t>Available abstract (not full text):</w:t>
      </w:r>
      <w:r>
        <w:t xml:space="preserve"> This is a survey of decarbonization for road freight transportation. It offers a focused overview of planning models and presents a narrative that contextualizes the journey and evolution of decarbonization efforts. It first reports on recent advances in the field under the classification of operational tactical and strategic planning. It then identifies future trends in the areas of technology, infrastructure, market, behaviour, energy and regulations. The paper closes with a discussion on emerging models and presents a methodological outlook.</w:t>
      </w:r>
    </w:p>
    <w:p>
      <w:pPr/>
      <w:r>
        <w:rPr>
          <w:b/>
        </w:rPr>
        <w:t>POSSIBLE 2025:</w:t>
      </w:r>
      <w:r>
        <w:t xml:space="preserve"> The legal development of ENTSO-E as a tool for energy security and decarbonization of the European Union — https://doi.org/10.24144/2307-3322.2025.90.5.25</w:t>
      </w:r>
    </w:p>
    <w:p>
      <w:pPr/>
      <w:r>
        <w:rPr>
          <w:b/>
        </w:rPr>
        <w:t>Shared claim-specific concepts:</w:t>
      </w:r>
      <w:r>
        <w:t xml:space="preserve"> realize, vision, energy, system, within; EU scope visible. This is a provisional connection, not an outcome finding.</w:t>
      </w:r>
    </w:p>
    <w:p>
      <w:pPr>
        <w:pStyle w:val="SourceNote"/>
      </w:pPr>
      <w:r>
        <w:rPr>
          <w:b/>
        </w:rPr>
        <w:t>Available abstract (not full text):</w:t>
      </w:r>
      <w:r>
        <w:t xml:space="preserve"> The article examines the institutional and legal evolution of the European Network of Transmission System Operators for Electricity (ENTSO-E) within the broader framework of the European Union’s climate policy and its strategic vision of a climate-neutral Europe by 2050. It explores how key legislative instruments – including Regulation (EU) 2019/943, Directive (EU) 2019/944, the network codes, and the Third Energy Package – have progressively transformed ENTSO-E from a primarily technical coordination platform into a central institutional actor in the EU’s green energy transition. Particular attention is paid to the legal framework that governs the integration of renewable energy sources into the grid, the phase-out of fossil fuel-based generation, the development of advanced balancing mechanisms, and the expansion of regional coordination centers (RCCs). These developments reflect the EU’s commitment to a decarbonized, interconnected, and resilient energy system. The article further examines the impact of the legal principle of unbundling, which aims to ensure non-discriminatory access to energy networks and promote competitive electricity markets. In addition, the study addresses the external and geopolitical dimension of ENTSO-E’s role, notably the emergency synchronization of Ukraine and Moldova with the Continental European electricity grid in March 2022. This synchroniza</w:t>
      </w:r>
    </w:p>
    <w:p>
      <w:pPr/>
      <w:r>
        <w:rPr>
          <w:b/>
        </w:rPr>
        <w:t>POSSIBLE 2025:</w:t>
      </w:r>
      <w:r>
        <w:t xml:space="preserve"> Renewable Energy, Sustainable Business Models, and Decarbonization in the European Union: Comparative Analysis of Corporate Sustainability Reports — https://doi.org/10.3390/su17083646</w:t>
      </w:r>
    </w:p>
    <w:p>
      <w:pPr/>
      <w:r>
        <w:rPr>
          <w:b/>
        </w:rPr>
        <w:t>Shared claim-specific concepts:</w:t>
      </w:r>
      <w:r>
        <w:t xml:space="preserve"> sector, net, greenhouse, gas, emissions, energy; EU scope visible. This is a provisional connection, not an outcome finding.</w:t>
      </w:r>
    </w:p>
    <w:p>
      <w:pPr>
        <w:pStyle w:val="SourceNote"/>
      </w:pPr>
      <w:r>
        <w:rPr>
          <w:b/>
        </w:rPr>
        <w:t>Available abstract (not full text):</w:t>
      </w:r>
      <w:r>
        <w:t xml:space="preserve"> The purpose of this article is to investigate the development of sustainable business models (SBMs) of renewable energy companies. To assess the degree of alignment with the European Union Taxonomy for sustainable activities (Regulation 2020/852), the European Green Deal, and the Sustainable Development Goals of five renewable energy companies—Ørsted, Engie, Vattenfall, Iberdrola, and Enel—we have used their sustainability reports from 2023. We have analyzed how each company contributes to the EU climate targets and strategy to achieve a 55% reduction in greenhouse gas emissions by 2030 and net zero by 2050. The results showed the challenges faced by each company in switching from traditional fossil fuel models to renewable models. Due to regulatory constraints and different organizational structures, each company has adopted a specific SBM with respect to power generation and the green transition. The advantages and disadvantages of these SBMs were identified and described comparatively to help regulators, policymakers, and industry associations improve sustainability reporting for the energy sector.</w:t>
      </w:r>
    </w:p>
    <w:p>
      <w:pPr/>
      <w:r>
        <w:rPr>
          <w:b/>
        </w:rPr>
        <w:t>POSSIBLE 2025:</w:t>
      </w:r>
      <w:r>
        <w:t xml:space="preserve"> Decarbonizing Transportation: Cross-Country Evidence on Electric Vehicle Sales and Carbon Dioxide Emissions — https://doi.org/10.3390/wevj16120660</w:t>
      </w:r>
    </w:p>
    <w:p>
      <w:pPr/>
      <w:r>
        <w:rPr>
          <w:b/>
        </w:rPr>
        <w:t>Shared claim-specific concepts:</w:t>
      </w:r>
      <w:r>
        <w:t xml:space="preserve"> decarbonizing, transportation, long-term, greenhouse, gas, emissions; EU scope not established. This is a provisional connection, not an outcome finding.</w:t>
      </w:r>
    </w:p>
    <w:p>
      <w:pPr>
        <w:pStyle w:val="SourceNote"/>
      </w:pPr>
      <w:r>
        <w:rPr>
          <w:b/>
        </w:rPr>
        <w:t>Available abstract (not full text):</w:t>
      </w:r>
      <w:r>
        <w:t xml:space="preserve"> The increasing atmospheric carbon dioxide (CO2) emissions are widely recognized as the primary driving force behind the phenomenon of global warming. Considering environmental concerns and the depletion of fossil fuel reserves, the use of electric vehicles (EVs) in transportation has emerged as one of the most promising technological alternatives to conventional gasoline-powered cars. Compared to their gasoline counterparts, EVs significantly reduce the costs associated with air pollution and mitigate adverse effects on human health. Owing to these characteristics, EVs have become one of the key components of the transition toward a sustainable future, while also steering the transformation of the global automotive industry. This transition is reshaping the structure of the global automobile industry. Many countries aim to achieve their greenhouse gas reduction targets by promoting the adoption of EVs. This study aims to empirically examine the effects of electric vehicles on CO2 emissions in 15 high-income countries during the period 2010–2023, highlighting both short- and long-term environmental impacts. The analysis also considers economic and socio-demographic variables such as gross domestic product (GDP), urbanization, and fossil fuel consumption. The findings indicate that the share of EVs significantly reduces CO2 emissions, whereas sales have a short-term increasing ef</w:t>
      </w:r>
    </w:p>
    <w:p>
      <w:pPr/>
      <w:r>
        <w:rPr>
          <w:b/>
        </w:rPr>
        <w:t>POSSIBLE 2024:</w:t>
      </w:r>
      <w:r>
        <w:t xml:space="preserve"> DECARBONIZING FREIGHT TRANSPORTATION IN BRAZIL: METHODOLOGIES, RESULTS AND PRACTICAL IMPLICATIONS — https://doi.org/10.26668/businessreview/2024.v9i10.4667</w:t>
      </w:r>
    </w:p>
    <w:p>
      <w:pPr/>
      <w:r>
        <w:rPr>
          <w:b/>
        </w:rPr>
        <w:t>Shared claim-specific concepts:</w:t>
      </w:r>
      <w:r>
        <w:t xml:space="preserve"> decarbonizing, transportation, ghg, emissions, two; EU scope not established. This is a provisional connection, not an outcome finding.</w:t>
      </w:r>
    </w:p>
    <w:p>
      <w:pPr>
        <w:pStyle w:val="SourceNote"/>
      </w:pPr>
      <w:r>
        <w:rPr>
          <w:b/>
        </w:rPr>
        <w:t>Available abstract (not full text):</w:t>
      </w:r>
      <w:r>
        <w:t xml:space="preserve"> Objective: The objective of this technological article is to present a practical tool for calculating CO2 emissions based on fuel consumption applied in a small road freight transport company. Theoretical Framework: There are 4 methods available in the literature for calculating CO2 emissions produced during cargo transport, which stand out for their applicability: (1) GHG Procol; (2) MNT; (3) DEFRA; and (4) GLEC. The authors (Leonardi &amp; Baumgartner, 2004; Lewis et al., 2016) have methodologies for calculating emissions from freight transport, which currently present significant variability in the approaches and databases recommended. The main methodologies in this area are based on two main foundations: (1) fuel-based methodologies; (2) activity-based methodologies. Method: The calculation methodology used is based on fuel consumption (bottom-up), which considered the characteristics of the target fleet, the number of vehicles and their technological phase, the actual intensity of fleet use in operation, and real fuel consumption. Results and Discussion: From this initial information, it was possible to obtain the volume of CO2 emissions specific to the fleet, considering vehicles using regular diesel and biodiesel (S10). The results indicated a fleet CO2 emission of 1,643 tons per year with the use of biodiesel (S10), representing a 10.5% reduction compared to the total CO2 e</w:t>
      </w:r>
    </w:p>
    <w:p>
      <w:pPr>
        <w:pStyle w:val="Heading2"/>
      </w:pPr>
      <w:r>
        <w:t>787. Development and transport implications of automated vehicles in the Netherlands: scenarios for 2030 and 2050</w:t>
      </w:r>
    </w:p>
    <w:p>
      <w:pPr>
        <w:pStyle w:val="SourceNote"/>
      </w:pPr>
      <w:r>
        <w:rPr>
          <w:b/>
        </w:rPr>
        <w:t>Original source (2017):</w:t>
      </w:r>
      <w:r>
        <w:t xml:space="preserve"> https://doi.org/10.18757/ejtir.2017.17.1.3180</w:t>
      </w:r>
    </w:p>
    <w:p>
      <w:pPr/>
      <w:r>
        <w:t>Original wording (abstract; indexed_source_text_not_full_document_verified): Penetration rates are expected to vary among different scenarios between 1% and 11% (mainly conditionally automated vehicles) in 2030 and between 7% and 61% (mainly fully automated vehicles) in 2050. This study uses scenario analysis to identify plausible future development paths of automated vehicles in the Netherlands and to estimate potential implications for traffic, travel behaviour and transport planning on a time horizon up to 2030 and 2050.</w:t>
      </w:r>
    </w:p>
    <w:p>
      <w:pPr/>
      <w:r>
        <w:rPr>
          <w:b/>
        </w:rPr>
        <w:t>POSSIBLE 2026:</w:t>
      </w:r>
      <w:r>
        <w:t xml:space="preserve"> Electric Vehicle Fleet Penetration and Air Pollution Mortality in Europe — https://doi.org/10.32388/vkflrm</w:t>
      </w:r>
    </w:p>
    <w:p>
      <w:pPr/>
      <w:r>
        <w:rPr>
          <w:b/>
        </w:rPr>
        <w:t>Shared claim-specific concepts:</w:t>
      </w:r>
      <w:r>
        <w:t xml:space="preserve"> penetration, rates, expected, between, vehicles;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(not sales),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but not the only one. In addition, geographic and meteorological factors dominate pollution patterns, while many countries bundle vehicle electrification with comprehensive policies addressing all emission sources. These findings, however, prove that electric vehicles have a positive effect on air quality and reduce mortality. The replacement of internal combustion engine vehicles with electric ones must proceed as fast as possible in order to reduce pollution-related mortality, but it must be coupled with other pollution abatement measures.</w:t>
      </w:r>
    </w:p>
    <w:p>
      <w:pPr/>
      <w:r>
        <w:rPr>
          <w:b/>
        </w:rPr>
        <w:t>POSSIBLE 2026:</w:t>
      </w:r>
      <w:r>
        <w:t xml:space="preserve"> Electric Vehicle Fleet Penetration and Air Pollution Mortality in Europe — https://doi.org/10.32388/vkflrm.2</w:t>
      </w:r>
    </w:p>
    <w:p>
      <w:pPr/>
      <w:r>
        <w:rPr>
          <w:b/>
        </w:rPr>
        <w:t>Shared claim-specific concepts:</w:t>
      </w:r>
      <w:r>
        <w:t xml:space="preserve"> penetration, rates, expected, between, vehicles; EU scope visible. This is a provisional connection, not an outcome finding.</w:t>
      </w:r>
    </w:p>
    <w:p>
      <w:pPr>
        <w:pStyle w:val="SourceNote"/>
      </w:pPr>
      <w:r>
        <w:rPr>
          <w:b/>
        </w:rPr>
        <w:t>Available abstract (not full text):</w:t>
      </w:r>
      <w:r>
        <w:t xml:space="preserve"> The transition to electric vehicles is widely promoted as contributing to the reduction of urban air pollution and climate change. This study examines the correlation between electric vehicle fleet penetration and premature deaths from air pollution (PM2.5 exposure) across 28 European countries. Using 2023-2024 data on actual vehicle fleet composition, we find a statistically significant negative correlation (r = -0.465, p = 0.013). Nordic countries show high EV penetration (Norway 28%, Denmark 12.1%) with low mortality rates (6.6 and 18.3 deaths per 100,000 respectively), while Eastern European countries exhibit &lt;1% EV penetration with 70-145 deaths per 100,000. This result was expected for several reasons, the main one being that car exhaust is a major factor in air pollution in urban areas. These findings are consistent with the hypothesis that higher electric vehicle fleet penetration is associated with lower air pollution mortality, even though there are other factors that influence the trend.</w:t>
      </w:r>
    </w:p>
    <w:p>
      <w:pPr/>
      <w:r>
        <w:rPr>
          <w:b/>
        </w:rPr>
        <w:t>POSSIBLE 2025:</w:t>
      </w:r>
      <w:r>
        <w:t xml:space="preserve"> Effect of Different Sealer Placement and Activation Techniques on Sealer Penetration Depth and Penetration Area — https://doi.org/10.1002/jemt.70007</w:t>
      </w:r>
    </w:p>
    <w:p>
      <w:pPr/>
      <w:r>
        <w:rPr>
          <w:b/>
        </w:rPr>
        <w:t>Shared claim-specific concepts:</w:t>
      </w:r>
      <w:r>
        <w:t xml:space="preserve"> penetration, different, between; EU scope not established. This is a provisional connection, not an outcome finding.</w:t>
      </w:r>
    </w:p>
    <w:p>
      <w:pPr>
        <w:pStyle w:val="SourceNote"/>
      </w:pPr>
      <w:r>
        <w:rPr>
          <w:b/>
        </w:rPr>
        <w:t>Available abstract (not full text):</w:t>
      </w:r>
      <w:r>
        <w:t xml:space="preserve"> This study evaluated the effect of different activation methods (no activation, sonic, ultrasonic, and XP-Endo Finisher) on the penetration depth and area of AH Plus and MTA Fillapex sealers. Two hundred single-rooted teeth were prepared and randomly divided into eight groups (n = 25). Sealers stained with rhodamine B were inserted and activated as follows: Group 1 (control, no activation, G1A, G1M), Group 2 (sonic: G2A, G2M), Group 3 (ultrasonic: G3A, G3M), and Group 4 (XP-Endo Finisher: G4A, G4M). The single cone technique was used for filling, and specimens were sectioned perpendicularly. Confocal laser scanning microscopy (CLSM) measured penetration depth, while penetration area was calculated as the sealer's penetration relative to the canal area. Two-way ANOVA was used for statistical analysis. Ultrasonic and XP-Endo Finisher activation significantly increased the penetration depth of MTA Fillapex compared to the control group (p &lt; 0.05), while no significant difference was found for AH Plus (p &gt; 0.05). MTA Fillapex also demonstrated a significantly greater penetration area than AH Plus when ultrasonic and XP-Endo Finisher activation were applied (p &lt; 0.05). No significant differences were observed between sealers in the control and sonic groups (p &gt; 0.05). Activation methods did not significantly affect the penetration area of AH Plus (p &gt; 0.05). XP-Endo Finisher and ult</w:t>
      </w:r>
    </w:p>
    <w:p>
      <w:pPr/>
      <w:r>
        <w:rPr>
          <w:b/>
        </w:rPr>
        <w:t>POSSIBLE 2025:</w:t>
      </w:r>
      <w:r>
        <w:t xml:space="preserve"> Impact of ADAS and V2X Penetration Rates on Cooperative Active Safety — https://doi.org/10.1109/fnwf66845.2025.11317364</w:t>
      </w:r>
    </w:p>
    <w:p>
      <w:pPr/>
      <w:r>
        <w:rPr>
          <w:b/>
        </w:rPr>
        <w:t>Shared claim-specific concepts:</w:t>
      </w:r>
      <w:r>
        <w:t xml:space="preserve"> penetration, rates, automated, vehicles, traffic; EU scope not established. This is a provisional connection, not an outcome finding.</w:t>
      </w:r>
    </w:p>
    <w:p>
      <w:pPr>
        <w:pStyle w:val="SourceNote"/>
      </w:pPr>
      <w:r>
        <w:rPr>
          <w:b/>
        </w:rPr>
        <w:t>Available abstract (not full text):</w:t>
      </w:r>
      <w:r>
        <w:t xml:space="preserve"> A major driver of connected and automated driving is cooperative active safety. The effectiveness of cooperative safety applications depends on the ability of vehicles to detect traffic safety risks in advance. Such risks can be identified either through ADAS (Advanced Driving Assistance Systems) or via V2X (Vehicle to Everything) communications. More vehicles are gradually being deployed with ADAS, but ADAS sensors can be limited by their sensing range and field of view. On the other hand, V2X can experience communication ranges beyond the ADAS sensing range, but its impact is highly dependent on the V2X penetration rate. This paper analyzes the impact of ADAS and V2X penetration rates on the effectiveness of cooperative active safety applications considering an emergency braking maneuver use case in a highway scenario. Results show that while ADAS and V2X each enhance traffic safety, their combined deployment further amplifies these gains, with the effect becoming more pronounced as V2X is deployed more rapidly.</w:t>
      </w:r>
    </w:p>
    <w:p>
      <w:pPr/>
      <w:r>
        <w:rPr>
          <w:b/>
        </w:rPr>
        <w:t>POSSIBLE 2025:</w:t>
      </w:r>
      <w:r>
        <w:t xml:space="preserve"> DEVELOPMENT EMPIRICAL MODELS FOR ESTIMATING TBM PENETRATION RATE IN ROCK MASS — https://openalex.org/W7197569428</w:t>
      </w:r>
    </w:p>
    <w:p>
      <w:pPr/>
      <w:r>
        <w:rPr>
          <w:b/>
        </w:rPr>
        <w:t>Shared claim-specific concepts:</w:t>
      </w:r>
      <w:r>
        <w:t xml:space="preserve"> penetration, rates, between, estimate; EU scope not established. This is a provisional connection, not an outcome finding.</w:t>
      </w:r>
    </w:p>
    <w:p>
      <w:pPr>
        <w:pStyle w:val="SourceNote"/>
      </w:pPr>
      <w:r>
        <w:rPr>
          <w:b/>
        </w:rPr>
        <w:t>Available abstract (not full text):</w:t>
      </w:r>
      <w:r>
        <w:t xml:space="preserve"> Estimating the Rate of Penetration (ROP) of Tunnel Boring Machines (TBMs) is crucial in rock excavation and boreability, as it serves as a key input for scheduling and executing tunneling projects. Despite advancements in tunneling technologies, achieving a reliable ROP estimate remains challenging. In present one of the difficult tasks is to quantifying the properties of rock discontinuities to be use as input for the TBM performance models. Another issue is that utilizing the combination of intact rock, rock mass properties and TBM specification into the TBM performance prediction models. This thesis aims to develop several empirical models using intact rock, rock mass, disc cutter and TBM specifications for predicting TBM penetration rates in hard rock conditions. In order to achieve this goal, extensive field and laboratory tests were conducted across six TBM projects, including the Queens Water Tunnel (USA), Manapouri hydropower tunnel (New Zealand), Miryang dam tunnel (South Korea), and three Iranian water tunnels (Karaj, Zagros and Ghomrood), resulting in a database of more than 550 cases. Each case consists of the intact rock, rock mass properties and TBM field parameters. The collected data underwent preprocessing and analysis. The raw data were thoroughly examined with the literature to ensure the research output was valuable and acceptable. Common TBM performance mod</w:t>
      </w:r>
    </w:p>
    <w:p>
      <w:pPr/>
      <w:r>
        <w:rPr>
          <w:b/>
        </w:rPr>
        <w:t>POSSIBLE 2024:</w:t>
      </w:r>
      <w:r>
        <w:t xml:space="preserve"> Future electricity demand for Europe: Unraveling the dynamics of the Temperature Response Function — https://doi.org/10.1016/j.apenergy.2024.123387</w:t>
      </w:r>
    </w:p>
    <w:p>
      <w:pPr/>
      <w:r>
        <w:rPr>
          <w:b/>
        </w:rPr>
        <w:t>Shared claim-specific concepts:</w:t>
      </w:r>
      <w:r>
        <w:t xml:space="preserve"> penetration, rates, expected; EU scope visible. This is a provisional connection, not an outcome finding.</w:t>
      </w:r>
    </w:p>
    <w:p>
      <w:pPr>
        <w:pStyle w:val="SourceNote"/>
      </w:pPr>
      <w:r>
        <w:rPr>
          <w:b/>
        </w:rPr>
        <w:t>Available abstract (not full text):</w:t>
      </w:r>
      <w:r>
        <w:t xml:space="preserve"> Electricity demand is a crucial factor in energy system planning. Understanding future electricity demand is vital for developing effective energy and climate policies, as well as establishing a resilient and sustainable energy system. In light of these considerations, the escalating challenges posed by climate change are anticipated to have a substantial impact on electricity demand. This study, therefore, provides a comprehensive analysis delving into the dynamic nature of Temperature Response Functions (TRFs) of electricity demand across Europe. By examining various factors influencing electricity demand in residential buildings, such as thermal insulation, heating electrification, space cooling, and passive cooling, we aim to understand their collective impact on shaping future TRFs. To project electricity demand, our study incorporates these factors into our scenario assumptions. Through a comprehensive investigation of these scenarios, our findings reveal distinctive regional influences of these factors. In regions where heating demand prevails, an initial increase in electricity demand is anticipated due to increased electrification rates. However, improved building thermal insulation is expected to substantially reduce winter electricity demand in the long run. Conversely, in regions with pronounced cooling demand, a notable escalation in electricity demand is foreseen </w:t>
      </w:r>
    </w:p>
    <w:p>
      <w:pPr/>
      <w:r>
        <w:rPr>
          <w:b/>
        </w:rPr>
        <w:t>POSSIBLE 2024:</w:t>
      </w:r>
      <w:r>
        <w:t xml:space="preserve"> Multi-V2X: A Large Scale Multi-modal Multi-penetration-rate Dataset for Cooperative Perception — https://doi.org/10.48550/arxiv.2409.04980</w:t>
      </w:r>
    </w:p>
    <w:p>
      <w:pPr/>
      <w:r>
        <w:rPr>
          <w:b/>
        </w:rPr>
        <w:t>Shared claim-specific concepts:</w:t>
      </w:r>
      <w:r>
        <w:t xml:space="preserve"> penetration, rates, vehicles, potential; EU scope not established. This is a provisional connection, not an outcome finding.</w:t>
      </w:r>
    </w:p>
    <w:p>
      <w:pPr>
        <w:pStyle w:val="SourceNote"/>
      </w:pPr>
      <w:r>
        <w:rPr>
          <w:b/>
        </w:rPr>
        <w:t>Available abstract (not full text):</w:t>
      </w:r>
      <w:r>
        <w:t xml:space="preserve"> Cooperative perception through vehicle-to-everything (V2X) has garnered significant attention in recent years due to its potential to overcome occlusions and enhance long-distance perception. Great achievements have been made in both datasets and algorithms. However, existing real-world datasets are limited by the presence of few communicable agents, while synthetic datasets typically cover only vehicles. More importantly, the penetration rate of connected and autonomous vehicles (CAVs) , a critical factor for the deployment of cooperative perception technologies, has not been adequately addressed. To tackle these issues, we introduce Multi-V2X, a large-scale, multi-modal, multi-penetration-rate dataset for V2X perception. By co-simulating SUMO and CARLA, we equip a substantial number of cars and roadside units (RSUs) in simulated towns with sensor suites, and collect comprehensive sensing data. Datasets with specified CAV penetration rates can be obtained by masking some equipped cars as normal vehicles. In total, our Multi-V2X dataset comprises 549k RGB frames, 146k LiDAR frames, and 4,219k annotated 3D bounding boxes across six categories. The highest possible CAV penetration rate reaches 86.21%, with up to 31 agents in communication range, posing new challenges in selecting agents to collaborate with. We provide comprehensive benchmarks for cooperative 3D object detection t</w:t>
      </w:r>
    </w:p>
    <w:p>
      <w:pPr/>
      <w:r>
        <w:rPr>
          <w:b/>
        </w:rPr>
        <w:t>POSSIBLE 2024:</w:t>
      </w:r>
      <w:r>
        <w:t xml:space="preserve"> Socioeconomic Burden of Pulmonary Embolism in Europe: Shifting Priorities and Challenges for Novel Reperfusion Strategies — https://doi.org/10.1055/a-2505-8711</w:t>
      </w:r>
    </w:p>
    <w:p>
      <w:pPr/>
      <w:r>
        <w:rPr>
          <w:b/>
        </w:rPr>
        <w:t>Shared claim-specific concepts:</w:t>
      </w:r>
      <w:r>
        <w:t xml:space="preserve"> penetration, rates, among, different, potential; EU scope visible. This is a provisional connection, not an outcome finding.</w:t>
      </w:r>
    </w:p>
    <w:p>
      <w:pPr>
        <w:pStyle w:val="SourceNote"/>
      </w:pPr>
      <w:r>
        <w:rPr>
          <w:b/>
        </w:rPr>
        <w:t>Available abstract (not full text):</w:t>
      </w:r>
      <w:r>
        <w:t xml:space="preserve"> In-hospital case fatality related to acute pulmonary embolism (PE) has been falling since the beginning of this century. However, annual incidence rates continue to climb, and an increasing number of PE survivors need long-term follow-up, chronic anticoagulation treatment, and readmission(s) to the hospital. In European countries, median reimbursed hospital costs for acute PE are still moderate compared with the United States but can increase several-fold in patients with comorbidities and those necessitating potentially life-saving reperfusion treatment. The use of catheter-directed treatment (CDT) has constantly increased in the United States since the past decade, and it has now entered a rapid growth phase in Europe as well, estimated to reach an annual penetration rate of up to 31% among patients with intermediate-high- or high-risk PE by 2030. Ongoing randomised controlled trials are currently investigating the clinical efficacy and safety of these devices. In addition, they will deliver data permitting calculation of their cost-effectiveness in different health care reimbursement systems, by revealing the extent to which they can reduce complications and consequently the need for intensive care and the overall length of hospital stay. After discharge, key cost drivers are related to chronic cardiopulmonary diseases (other than PE itself) leading to frequent readmissions,</w:t>
      </w:r>
    </w:p>
    <w:p>
      <w:pPr/>
      <w:r>
        <w:rPr>
          <w:b/>
        </w:rPr>
        <w:t>POSSIBLE 2024:</w:t>
      </w:r>
      <w:r>
        <w:t xml:space="preserve"> A Survey on Penetration Path Planning in Automated Penetration Testing — https://doi.org/10.3390/app14188355</w:t>
      </w:r>
    </w:p>
    <w:p>
      <w:pPr/>
      <w:r>
        <w:rPr>
          <w:b/>
        </w:rPr>
        <w:t>Shared claim-specific concepts:</w:t>
      </w:r>
      <w:r>
        <w:t xml:space="preserve"> penetration, automated, identify, paths; EU scope not established. This is a provisional connection, not an outcome finding.</w:t>
      </w:r>
    </w:p>
    <w:p>
      <w:pPr>
        <w:pStyle w:val="SourceNote"/>
      </w:pPr>
      <w:r>
        <w:rPr>
          <w:b/>
        </w:rPr>
        <w:t>Available abstract (not full text):</w:t>
      </w:r>
      <w:r>
        <w:t xml:space="preserve"> Penetration Testing (PT) is an effective proactive security technique that simulates hacker attacks to identify vulnerabilities in networks or systems. However, traditional PT relies on specialized experience and costs extraordinary time and effort. With the advancement of artificial intelligence technologies, automated PT has emerged as a promising solution, attracting attention from researchers increasingly. In automated PT, penetration path planning is a core task that involves selecting the optimal attack paths to maximize the overall efficiency and success rate of the testing process. Recent years have seen significant progress in the field of penetration path planning, with diverse methods being proposed. This survey aims to comprehensively examine and summarize the research findings in this domain. Our work first outlines the background and challenges of penetration path planning and establishes the framework for research methods. It then provides a detailed analysis of existing studies from three key aspects: penetration path planning models, penetration path planning methods, and simulation environments. Finally, this survey offers insights into the future development trends of penetration path planning in PT. This paper aims to provide comprehensive references for academia and industry, promoting further research and application of automated PT path planning methods.</w:t>
      </w:r>
    </w:p>
    <w:p>
      <w:pPr/>
      <w:r>
        <w:rPr>
          <w:b/>
        </w:rPr>
        <w:t>POSSIBLE 2024:</w:t>
      </w:r>
      <w:r>
        <w:t xml:space="preserve"> The effect of temperature on birth rates in Europe — https://doi.org/10.1007/s11111-024-00450-x</w:t>
      </w:r>
    </w:p>
    <w:p>
      <w:pPr/>
      <w:r>
        <w:rPr>
          <w:b/>
        </w:rPr>
        <w:t>Shared claim-specific concepts:</w:t>
      </w:r>
      <w:r>
        <w:t xml:space="preserve"> rates, expected, between; EU scope visible. This is a provisional connection, not an outcome finding.</w:t>
      </w:r>
    </w:p>
    <w:p>
      <w:pPr>
        <w:pStyle w:val="SourceNote"/>
      </w:pPr>
      <w:r>
        <w:rPr>
          <w:b/>
        </w:rPr>
        <w:t>Available abstract (not full text):</w:t>
      </w:r>
      <w:r>
        <w:t xml:space="preserve"> Abstract Using data from 32 European countries for nearly 244 million live births between 1969 and 2021, this paper examines the effects of temperatures on birth rates. The results show that exposure to hot days slightly reduces birth rates five to eight months later, while much stronger negative effects are observed nine to ten months after exposure to hot temperatures. Thereafter, a partial recovery is observed, with slightly increased birth rates. This study also shows that the effect of high-humidity hot days is much stronger than that of hot days with low humidity. Besides, the effect of heatwave days has been found to be more severe than that of hot days that are not preceded by other hot days. This study finds that some adaptation to heat might be expected only in the long run.</w:t>
      </w:r>
    </w:p>
    <w:p>
      <w:pPr/>
      <w:r>
        <w:rPr>
          <w:b/>
        </w:rPr>
        <w:t>POSSIBLE 2023:</w:t>
      </w:r>
      <w:r>
        <w:t xml:space="preserve"> Investigation into Factors Affecting Penetration Rate and Favorable Ground Types of Pipe Jacking — https://doi.org/10.2174/18748368-v17-2305300-2022-24</w:t>
      </w:r>
    </w:p>
    <w:p>
      <w:pPr/>
      <w:r>
        <w:rPr>
          <w:b/>
        </w:rPr>
        <w:t>Shared claim-specific concepts:</w:t>
      </w:r>
      <w:r>
        <w:t xml:space="preserve"> penetration, among, identify; EU scope not established. This is a provisional connection, not an outcome finding.</w:t>
      </w:r>
    </w:p>
    <w:p>
      <w:pPr>
        <w:pStyle w:val="SourceNote"/>
      </w:pPr>
      <w:r>
        <w:rPr>
          <w:b/>
        </w:rPr>
        <w:t>Available abstract (not full text):</w:t>
      </w:r>
      <w:r>
        <w:t xml:space="preserve"> Introduction: Improper assessment of the penetration rate (PR) of pipe jacking (PJ) may lead to serious schedule delays and cost overruns. In the current practice, PR is estimated on the basis of the experience of practitioners. This has resulted in predicted PR values that are not consistent with the actual ones. A guideline that can be used to reliably predict PR and account for the effects of the significantly controlling factors is not available. This negatively affects the estimated project time and cost. The problems stem from the many factors that affect PR such as the ground conditions, installation depth, machine type, operator experience, and pipe diameter. Little research has been made in this regard. So this research will focus on two main objectives; the first is to identify, categorize and rank the factors that affect PR, and the second is to investigate the common types of ground and PJ machines in Egypt and the Middle East to determine the favorable ground types for PJ machines. Methods: To determine the factors that affect the PR of PJ and their relative importance, interviews were made with 17 PJ experts in Egypt. Then, a questionnaire was sent to 149 PJ experts in Egypt and the Middle East. The obtained responses were analyzed and the relative importance of all factors was determined. Based on the interviews with experts and the questionnaire survey, the favo</w:t>
      </w:r>
    </w:p>
    <w:p>
      <w:pPr/>
      <w:r>
        <w:rPr>
          <w:b/>
        </w:rPr>
        <w:t>POSSIBLE 2023:</w:t>
      </w:r>
      <w:r>
        <w:t xml:space="preserve"> Evaluation of macroscopic fundamental diagram characteristics for a quantified penetration rate of autonomous vehicles — https://doi.org/10.1186/s12544-023-00579-0</w:t>
      </w:r>
    </w:p>
    <w:p>
      <w:pPr/>
      <w:r>
        <w:rPr>
          <w:b/>
        </w:rPr>
        <w:t>Shared claim-specific concepts:</w:t>
      </w:r>
      <w:r>
        <w:t xml:space="preserve"> penetration, rates, vehicles, traffic, travel, behaviour; EU scope not established. This is a provisional connection, not an outcome finding.</w:t>
      </w:r>
    </w:p>
    <w:p>
      <w:pPr>
        <w:pStyle w:val="SourceNote"/>
      </w:pPr>
      <w:r>
        <w:rPr>
          <w:b/>
        </w:rPr>
        <w:t>Available abstract (not full text):</w:t>
      </w:r>
      <w:r>
        <w:t xml:space="preserve"> Abstract Background The availability of private vehicles with autonomous features is widespread nowadays. Various car manufacturers are providing attributes like collision warning, city automatic emergency braking, adaptive cruise control, pedestrian detection, lane-keeping assistance and lane departure warning, rear cross-traffic and blind-spot warning in their high-end models. Purpose Such features can automatically manage the macroscopic fundamental traffic parameters such as speed, headway, etc adaptively. Consequently leading to a heterogeneous traffic stream with diverse car-following behaviour comprising completely manual/traditional (TVs) and autonomous vehicles (AVs). This questions the applicability of classic traffic flow theory relationships on such heterogeneous traffic streams. Methodology This paper focuses on developing the macroscopic fundamental diagram for such heterogeneous traffic streams based on the quantified penetration rate (QPR) for autonomous vehicles. The penetration rate is devised by taking into account user demographics, land usage and road network properties. QPR is used as an input for heterogeneous urban traffic stream scenarios to calculate the aggregated urban traffic network dynamics of flow and density for the same network. Travel time versus flow characteristics is evaluated based on calibrated hyperbolic urban link travel time function f</w:t>
      </w:r>
    </w:p>
    <w:p>
      <w:pPr>
        <w:pStyle w:val="Heading2"/>
      </w:pPr>
      <w:r>
        <w:t>788. European human‐dominated landscapes provide ample space for the recolonization of large carnivore populations under future land change scenarios</w:t>
      </w:r>
    </w:p>
    <w:p>
      <w:pPr>
        <w:pStyle w:val="SourceNote"/>
      </w:pPr>
      <w:r>
        <w:rPr>
          <w:b/>
        </w:rPr>
        <w:t>Original source (2017):</w:t>
      </w:r>
      <w:r>
        <w:t xml:space="preserve"> https://doi.org/10.1111/ecog.02223</w:t>
      </w:r>
    </w:p>
    <w:p>
      <w:pPr/>
      <w:r>
        <w:t>Original wording (abstract; indexed_source_text_not_full_document_verified): Third, we projected permanent occurrences into the future across a range of land‐use change scenarios.</w:t>
      </w:r>
    </w:p>
    <w:p>
      <w:pPr/>
      <w:r>
        <w:rPr>
          <w:b/>
        </w:rPr>
        <w:t>POSSIBLE 2025:</w:t>
      </w:r>
      <w:r>
        <w:t xml:space="preserve"> Continuing recovery of wolves in Europe — https://doi.org/10.1371/journal.pstr.0000158</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2024:</w:t>
      </w:r>
      <w:r>
        <w:t xml:space="preserve"> Tipping points and farmer decision-making in European permanent grassland (PG) agricultural systems — https://doi.org/10.1016/j.jrurstud.2024.103364</w:t>
      </w:r>
    </w:p>
    <w:p>
      <w:pPr/>
      <w:r>
        <w:rPr>
          <w:b/>
        </w:rPr>
        <w:t>Shared claim-specific concepts:</w:t>
      </w:r>
      <w:r>
        <w:t xml:space="preserve"> permanent, across, land, use; EU scope visible. This is a provisional connection, not an outcome finding.</w:t>
      </w:r>
    </w:p>
    <w:p>
      <w:pPr>
        <w:pStyle w:val="SourceNote"/>
      </w:pPr>
      <w:r>
        <w:rPr>
          <w:b/>
        </w:rPr>
        <w:t>Available abstract (not full text):</w:t>
      </w:r>
      <w:r>
        <w:t xml:space="preserve"> Permanent grasslands (PG) provide multifunctional ecosystem services (ES) in Europe and globally, which are threatened by both increased farming intensity and land use change in marginal areas. Farm management decisions can represent critical thresholds, or behavioural “tipping points”, in the agricultural system. Decisions are influenced by a combination of agronomic, policy and social factors. Transformation of PG systems can be facilitated through positive tipping points and relevant policy implementation to ensure sustainable PG systems. The aim of this research was to understand the drivers of decisions regarding land use changes and management towards critical positive and negative tipping points across five biogeographic zones in Europe. Interview methodology assessed farmers’ preferences and priorities regarding the adoption of sustainable PG systems. Participants were selected from five case study countries, each representing a different biogeographic zone in Europe (Continental/Pannonian: Czech Republic, Boreal: Sweden, Mediterranean: Spain, Alpine: Switzerland, and Atlantic: UK). The sample also covered three farming intensity types within these biogeographic zones: high input/intensive conventional farms (≥1.0 LU/ha); low input/extensive conventional farms (&lt;1.0 LU/ha); and certified organic farms. In total, 373 farm interviews were obtained from the case study coun</w:t>
      </w:r>
    </w:p>
    <w:p>
      <w:pPr/>
      <w:r>
        <w:rPr>
          <w:b/>
        </w:rPr>
        <w:t>POSSIBLE 2024:</w:t>
      </w:r>
      <w:r>
        <w:t xml:space="preserve"> Twenty Years of Land Accounts in Europe — https://doi.org/10.3390/land13091350</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Land surface phenology for the characterization of Mediterranean permanent grasslands — https://doi.org/10.1007/s11119-024-10215-z</w:t>
      </w:r>
    </w:p>
    <w:p>
      <w:pPr/>
      <w:r>
        <w:rPr>
          <w:b/>
        </w:rPr>
        <w:t>Shared claim-specific concepts:</w:t>
      </w:r>
      <w:r>
        <w:t xml:space="preserve"> permanent, across, land; EU scope visible. This is a provisional connection, not an outcome finding.</w:t>
      </w:r>
    </w:p>
    <w:p>
      <w:pPr>
        <w:pStyle w:val="SourceNote"/>
      </w:pPr>
      <w:r>
        <w:rPr>
          <w:b/>
        </w:rPr>
        <w:t>Available abstract (not full text):</w:t>
      </w:r>
      <w:r>
        <w:t xml:space="preserve"> The provision of ecosystem services from Mediterranean permanent grasslands is threatened due to shifting management practices and environmental pressures. This observational study tested the hypothesis that Land Surface Phenology (LSP) parameters from high-resolution satellite data can characterize various permanent grasslands to support conservation and improvement practices. The potential of LSP derived from Sentinel-2 data in identifying the multi-layer mixed vegetation of Mediterranean grasslands, including silvopastoral systems, that were well-characterized from an agronomic and ecological perspective through field surveys, was assessed. Forty-nine polygons, representing eleven sites characterized by different grassland vegetation, soil, climate and management, were identified in Sardinia (Italy). Sentinel-2 satellite images from 2017 to 2023 were processed to derive NDVI, and LSP parameters were calculated using TIMESAT 3.3 software. The Canonical Correspondence Analysis showed a significant association ( p &lt; 0.05) between a combination of LSP metrics used as proxies of a set of relevant agronomical indicators. It was then possible to differentiate managed vs. abandoned grasslands (e.g., start and peak of the season significantly later under unmanaged grasslands, p &lt; 0.0001), wooded grasslands vs. open grasslands(e.g., base value significantly higher in woodlands and woo</w:t>
      </w:r>
    </w:p>
    <w:p>
      <w:pPr/>
      <w:r>
        <w:rPr>
          <w:b/>
        </w:rPr>
        <w:t>POSSIBLE 2022:</w:t>
      </w:r>
      <w:r>
        <w:t xml:space="preserve"> The European Registry for Patients with Mechanical Circulatory Support of the European Association for Cardio-Thoracic Surgery: third report — https://doi.org/10.1093/ejcts/ezac032</w:t>
      </w:r>
    </w:p>
    <w:p>
      <w:pPr/>
      <w:r>
        <w:rPr>
          <w:b/>
        </w:rPr>
        <w:t>Shared claim-specific concepts:</w:t>
      </w:r>
      <w:r>
        <w:t xml:space="preserve"> third, range; EU scope visible. This is a provisional connection, not an outcome finding.</w:t>
      </w:r>
    </w:p>
    <w:p>
      <w:pPr>
        <w:pStyle w:val="SourceNote"/>
      </w:pPr>
      <w:r>
        <w:rPr>
          <w:b/>
        </w:rPr>
        <w:t>Available abstract (not full text):</w:t>
      </w:r>
      <w:r>
        <w:t xml:space="preserve"> OBJECTIVES: In the third report of the European Registry for Patients with Mechanical Circulatory Support of the European Association for Cardio-Thoracic Surgery, outcomes of patients receiving mechanical circulatory support are reviewed in relation to implant era. METHODS: Procedures in adult patients (January 2011-June 2020) were included. Patients from centres with &lt;60% follow-ups completed were excluded. Outcomes were stratified into 3 eras (2011-2013, 2014-2017 and 2018-2020). Adverse event rates (AERs) were calculated and stratified into early phase (&lt;3 months) and late phase (&gt;3 months). Risk factors for death were explored using univariable Cox regression with a stepwise time-varying hazard ratio (&lt;3 vs &gt;3 months). RESULTS: In total, 4834 procedures in 4486 individual patients (72 hospitals) were included, with a median follow-up of 1.1 (interquartile range: 0.3-2.6) years. The annual number of implants (range: 346-600) did not significantly change (P = 0.41). Both Interagency Registry for Mechanically Assisted Circulatory Support class (classes 4-7: 23, 25 and 33%; P &lt; 0.001) and in-hospital deaths (18.5, 17.2 and 11.2; P &lt; 0.001) decreased significantly between eras. Overall, mortality, transplants and the probability of weaning were 55, 25 and 2% at 5 years after the implant, respectively. Major infections were mainly noted early after the implant occurred (AER&lt;3 mon</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permanent, land, use;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2022:</w:t>
      </w:r>
      <w:r>
        <w:t xml:space="preserve"> Climate drove the fire cycle and humans influenced fire occurrence in the East European boreal forest — https://doi.org/10.1002/ecm.1530</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Abstract Understanding long‐term forest fire histories of boreal landscapes is instrumental for parameterizing climate–fire interactions and the role of humans affecting natural fire regimes. The eastern sections of the European boreal zone currently lack a network of annually resolved and centuries‐long forest fire histories. To fill in this knowledge gap, we dendrochronologically reconstructed the 600‐year fire history of a middle boreal pine‐dominated landscape of the southern part of the Republic of Komi, Russia. We combined the reconstruction of fire cycle (FC) and fire occurrence with the data on the village establishment and climate proxies and discussed the relative contribution of climate versus human land use in shaping historic fire regimes. Over the 1340–1610 ce period, the territory had a FC of 66 years (with the 90% confidence envelope of 56.8 and 78.6 years). Fire activity increased during the 1620–1730 ce period, with the FC reaching 32 years (31.0–34.7 years). Between 1740–1950, the FC increased to 47 years (41.9–52.0). The most recent period, 1960–2010, marks FC's historic maximum, with the mean of 153 years (102.5–270.3). Establishment of the villages, often as small harbors on the Pechora River, was associated with a non‐significant increase in fire occurrence in the sites nearest the villages (p = 0.07–0.20). We, however, observed a temporal association bet</w:t>
      </w:r>
    </w:p>
    <w:p>
      <w:pPr/>
      <w:r>
        <w:rPr>
          <w:b/>
        </w:rPr>
        <w:t>POSSIBLE 2021:</w:t>
      </w:r>
      <w:r>
        <w:t xml:space="preserve"> ERA5-Land: a state-of-the-art global reanalysis dataset for land applications — https://doi.org/10.5194/essd-13-4349-2021</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Abstract. Framed within the Copernicus Climate Change Service of the European Commission, the European Centre for Medium-Range Weather Forecasts (ECMWF) is producing an enhanced global dataset for the land component of the 5th generation of European ReAnalysis (ERA5), hereafter named as ERA5-Land. Once completed, the period covered will span from 1950 to present, with continuous updates to support land monitoring applications. ERA5-Land describes the evolution of the water and energy cycles over land in a consistent manner over the production period, enabling the characterisation of trends and anomalies. This is achieved through global high resolution numerical integrations of the ECMWF land surface model driven by the downscaled meteorological forcing from the ERA5 climate reanalysis, including an elevation correction for the thermodynamic near-surface state. ERA5-Land shares with ERA5 most of the parametrizations that guarantees the use of the state-of-the-art land surface modeling applied to Numerical Weather Prediction (NWP) models. A main advantage of ERA5-Land compared to ERA5 and the older ERA-Interim is the horizontal resolution, which is enhanced globally to 9 km compared to 31 km (ERA5) or 80 km (ERA-Interim), whereas the temporal resolution is hourly as in ERA5. Evaluation against independent in situ observations and global model or satellite-based reference datasets</w:t>
      </w:r>
    </w:p>
    <w:p>
      <w:pPr/>
      <w:r>
        <w:rPr>
          <w:b/>
        </w:rPr>
        <w:t>POSSIBLE 2021:</w:t>
      </w:r>
      <w:r>
        <w:t xml:space="preserve"> A new European land systems representation accounting for landscape characteristics — https://doi.org/10.1007/s10980-021-01227-5</w:t>
      </w:r>
    </w:p>
    <w:p>
      <w:pPr/>
      <w:r>
        <w:rPr>
          <w:b/>
        </w:rPr>
        <w:t>Shared claim-specific concepts:</w:t>
      </w:r>
      <w:r>
        <w:t xml:space="preserve"> land, use; EU scope visible. This is a provisional connection, not an outcome finding.</w:t>
      </w:r>
    </w:p>
    <w:p>
      <w:pPr>
        <w:pStyle w:val="SourceNote"/>
      </w:pPr>
      <w:r>
        <w:rPr>
          <w:b/>
        </w:rPr>
        <w:t>Available abstract (not full text):</w:t>
      </w:r>
      <w:r>
        <w:t xml:space="preserve"> Abstract Context While land use change is the main driver of biodiversity loss, most biodiversity assessments either ignore it or use a simple land cover representation. Land cover representations lack the representation of land use and landscape characteristics relevant to biodiversity modeling. Objectives We developed a comprehensive and high-resolution representation of European land systems on a 1-km2 grid integrating important land use and landscape characteristics. Methods Combining the recent data on land cover and land use intensities, we applied an expert-based hierarchical classification approach and identified land systems that are common in Europe and meaningful for studying biodiversity. We tested the benefits of using this map as compared to land cover information to predict the distribution of bird species having different vulnerability to landscape and land use change. Results Next to landscapes dominated by one land cover, mosaic landscapes cover 14.5% of European terrestrial surface. When using the land system map, species distribution models demonstrate substantially higher predictive ability (up to 19% higher) as compared to models based on land cover maps. Our map consistently contributes more to the spatial distribution of the tested species than the use of land cover data (3.9 to 39.1% higher). Conclusions A land systems classification including essential</w:t>
      </w:r>
    </w:p>
    <w:p>
      <w:pPr/>
      <w:r>
        <w:rPr>
          <w:b/>
        </w:rPr>
        <w:t>POSSIBLE 2021:</w:t>
      </w:r>
      <w:r>
        <w:t xml:space="preserve"> Sentinel-2 Time Series Analysis for Identification of Underutilized Land in Europe — https://doi.org/10.3390/rs13234920</w:t>
      </w:r>
    </w:p>
    <w:p>
      <w:pPr/>
      <w:r>
        <w:rPr>
          <w:b/>
        </w:rPr>
        <w:t>Shared claim-specific concepts:</w:t>
      </w:r>
      <w:r>
        <w:t xml:space="preserve"> across, land, use; EU scope visible. This is a provisional connection, not an outcome finding.</w:t>
      </w:r>
    </w:p>
    <w:p>
      <w:pPr>
        <w:pStyle w:val="SourceNote"/>
      </w:pPr>
      <w:r>
        <w:rPr>
          <w:b/>
        </w:rPr>
        <w:t>Available abstract (not full text):</w:t>
      </w:r>
      <w:r>
        <w:t xml:space="preserve"> Biomass and bioenergy play a central role in Europe’s Green Transition. Currently, biomass is representing half of the renewable energy sources used. While the role of renewables in the energy mix is undisputed, there have been many controversial discussions on the use of biomass for energy due to the “food versus fuel” debate. Using previously underutilized lands for bioenergy is one possibility to prevent this discussion. This study supports the attempts to increase biomass for bioenergy through the provision of improved methods to identify underutilized lands in Europe. We employ advanced analysis methods based on time series modelling using Sentinel-2 (S2) data from 2017 to 2019 in order to distinguish utilized from underutilized land in twelve study areas in different bio-geographical regions (BGR) across Europe. The calculated parameters of the computed model function combined with temporal statistics were used to train a random forest classifier (RF). The achieved overall accuracies (OA) per study area vary between 80.25 and 96.76%, with confidence intervals (CI) ranging between 1.77% and 6.28% at a 95% confidence level. All in all, nearly 500,000 ha of underutilized land potentially available for agricultural bioenergy production were identified in this study, with the greatest amount mapped in Eastern Europe.</w:t>
      </w:r>
    </w:p>
    <w:p>
      <w:pPr/>
      <w:r>
        <w:rPr>
          <w:b/>
        </w:rPr>
        <w:t>POSSIBLE 2021:</w:t>
      </w:r>
      <w:r>
        <w:t xml:space="preserve"> Large variability in response to projected climate and land‐use changes among European bumblebee species — https://doi.org/10.1111/gcb.15780</w:t>
      </w:r>
    </w:p>
    <w:p>
      <w:pPr/>
      <w:r>
        <w:rPr>
          <w:b/>
        </w:rPr>
        <w:t>Shared claim-specific concepts:</w:t>
      </w:r>
      <w:r>
        <w:t xml:space="preserve"> across, range, land, use; EU scope visible. This is a provisional connection, not an outcome finding.</w:t>
      </w:r>
    </w:p>
    <w:p>
      <w:pPr>
        <w:pStyle w:val="SourceNote"/>
      </w:pPr>
      <w:r>
        <w:rPr>
          <w:b/>
        </w:rPr>
        <w:t>Available abstract (not full text):</w:t>
      </w:r>
      <w:r>
        <w:t xml:space="preserve"> Bumblebees (Bombus ssp.) are among the most important wild pollinators, but many species have suffered from range declines. Land-use change, agricultural intensification, and the associated loss of habitat have been identified as drivers of the observed dynamics, amplifying pressures from a changing climate. However, these drivers are still underrepresented in continental-scale species distribution modeling. Here, we project the potential distribution of 47 European bumblebee species in 2050 and 2080 from existing European-scale distribution maps, based on a set of climate and land-use futures simulated through a regional integrated assessment model and consistent with the RCP-SSP scenario framework. We compare projections including (1) dynamic climate and constant land use (CLIM); (2) constant climate and dynamic land use (LU); and (3) dynamic climate and dynamic land use (COMB) to disentangle the effects of land use and climate change on future habitat suitability, providing the first rigorous continental-scale assessment of linked climate-land-use futures for bumblebees. We find that direct climate impacts, although variable across species, dominate responses for most species, especially under high-end climate change scenarios (up to 99% range loss). Land-use impacts are highly variable across species and scenarios, ranging from severe losses (up to 75% loss) to considerable</w:t>
      </w:r>
    </w:p>
    <w:p>
      <w:pPr/>
      <w:r>
        <w:rPr>
          <w:b/>
        </w:rPr>
        <w:t>POSSIBLE 2021:</w:t>
      </w:r>
      <w:r>
        <w:t xml:space="preserve"> Deep Chlorophyll Maxima in the Global Ocean: Occurrences, Drivers and Characteristics — https://doi.org/10.1029/2020gb006759</w:t>
      </w:r>
    </w:p>
    <w:p>
      <w:pPr/>
      <w:r>
        <w:rPr>
          <w:b/>
        </w:rPr>
        <w:t>Shared claim-specific concepts:</w:t>
      </w:r>
      <w:r>
        <w:t xml:space="preserve"> permanent, occurrences, use; EU scope not established. This is a provisional connection, not an outcome finding.</w:t>
      </w:r>
    </w:p>
    <w:p>
      <w:pPr>
        <w:pStyle w:val="SourceNote"/>
      </w:pPr>
      <w:r>
        <w:rPr>
          <w:b/>
        </w:rPr>
        <w:t>Available abstract (not full text):</w:t>
      </w:r>
      <w:r>
        <w:t xml:space="preserve"> Stratified oceanic systems are characterized by the presence of a so-called Deep Chlorophyll a Maximum (DCM) not detectable by ocean color satellites. A DCM can either be a phytoplankton (carbon) biomass maximum (Deep Biomass Maximum, DBM), or the consequence of photoacclimation processes (Deep photoAcclimation Maximum, DAM) resulting in the increase of chlorophyll a per phytoplankton carbon. Even though these DCM (further qualified as either DBMs or DAMs) have long been studied, no global-scale assessment has yet been undertaken and large knowledge gaps still remain in relation to the environmental drivers responsible for their formation and maintenance. In order to investigate their spatial and temporal variability in the open ocean, we use a global data set acquired by more than 500 Biogeochemical-Argo floats given that DCMs can be detected from the comparative vertical distribution of chlorophyll a concentrations and particulate backscattering coefficients. Our findings show that the seasonal dynamics of the DCMs are clearly region-dependent. High-latitude environments are characterized by a low occurrence of intense DBMs, restricted to summer. Meanwhile, oligotrophic regions host permanent DAMs, occasionally replaced by DBMs in summer, while subequatorial waters are characterized by permanent DBMs benefiting from favorable conditions in terms of both light and nutrients. O</w:t>
      </w:r>
    </w:p>
    <w:p>
      <w:pPr>
        <w:pStyle w:val="Heading2"/>
      </w:pPr>
      <w:r>
        <w:t>789. Exploring scenario guided pathways for food assistance in Tuscany</w:t>
      </w:r>
    </w:p>
    <w:p>
      <w:pPr>
        <w:pStyle w:val="SourceNote"/>
      </w:pPr>
      <w:r>
        <w:rPr>
          <w:b/>
        </w:rPr>
        <w:t>Original source (2017):</w:t>
      </w:r>
      <w:r>
        <w:t xml:space="preserve"> https://doi.org/10.13128/bae-18520</w:t>
      </w:r>
    </w:p>
    <w:p>
      <w:pPr/>
      <w:r>
        <w:t>Original wording (abstract; indexed_source_text_not_full_document_verified): We combine the strengths of back-casted planning, which develops desirable pathways for the future, and explorative scenarios that describe plausible future contexts.</w:t>
      </w:r>
    </w:p>
    <w:p>
      <w:pPr/>
      <w:r>
        <w:rPr>
          <w:b/>
        </w:rPr>
        <w:t>POSSIBLE 2018:</w:t>
      </w:r>
      <w:r>
        <w:t xml:space="preserve"> Experimental measurement of the residual strength of particulate materials — https://doi.org/10.1201/9780203743317-22</w:t>
      </w:r>
    </w:p>
    <w:p>
      <w:pPr/>
      <w:r>
        <w:rPr>
          <w:b/>
        </w:rPr>
        <w:t>Shared claim-specific concepts:</w:t>
      </w:r>
      <w:r>
        <w:t xml:space="preserve"> combine, strengths, desirable; EU scope not established. This is a provisional connection, not an outcome finding.</w:t>
      </w:r>
    </w:p>
    <w:p>
      <w:pPr>
        <w:pStyle w:val="SourceNote"/>
      </w:pPr>
      <w:r>
        <w:rPr>
          <w:b/>
        </w:rPr>
        <w:t>Available abstract (not full text):</w:t>
      </w:r>
      <w:r>
        <w:t xml:space="preserve"> Several different approaches to the estimation of residual strength have been proposed. The earliest geotechnical approach was based on laboratory experiments. Later, geotechnical approaches based on insitu testing coupled with the backcalculation of apparent shear strengths from actual flow failures have been developed. However, very high uncertainties are associated with the residual strengths estimated using each of these approaches. The residual strength of particulate materials is important in other fields outside of mainstream geotechnical engineering. Evaluation of debris flow behavior has led to fundamental research on the flow behavior of particulates. The rheology of concentrated suspensions of particles in liquids is also important in industrial processes such as the hydraulic transport of materials such as coal, powders, minerals, and animal feeds. Experimental and analytical research in those fields have produced results that could be of use in evaluating residual strength of liquefied soil. A review of past experimental approaches to the measurement of residual strength, including approaches developed outside the field of geotechnical engineering, is presented. The strengths and weaknesses of each experimental approach are discussed. The desirable characteristics of an experimental apparatus that would combine the strengths, and minimize the weaknesses, of existin</w:t>
      </w:r>
    </w:p>
    <w:p>
      <w:pPr>
        <w:pStyle w:val="Heading2"/>
      </w:pPr>
      <w:r>
        <w:t>790. Future life expectancy in 35 industrialised countries: projections with a Bayesian model ensemble</w:t>
      </w:r>
    </w:p>
    <w:p>
      <w:pPr>
        <w:pStyle w:val="SourceNote"/>
      </w:pPr>
      <w:r>
        <w:rPr>
          <w:b/>
        </w:rPr>
        <w:t>Original source (2017):</w:t>
      </w:r>
      <w:r>
        <w:t xml:space="preserve"> https://doi.org/10.1016/s0140-6736(16)32381-9</w:t>
      </w:r>
    </w:p>
    <w:p>
      <w:pPr/>
      <w:r>
        <w:t>Original wording (abstract; indexed_source_text_not_full_document_verified): The female life expectancy advantage over men is likely to shrink by 2030 in every country except Mexico, where female life expectancy is predicted to increase more than male life expectancy, and in Chile, France, and Greece where the two sexes will see similar gains. We applied this approach to project age-specific mortality to 2030 in 35 industrialised countries with high-quality vital statistics data.</w:t>
      </w:r>
    </w:p>
    <w:p>
      <w:pPr/>
      <w:r>
        <w:rPr>
          <w:b/>
        </w:rPr>
        <w:t>POSSIBLE 2024:</w:t>
      </w:r>
      <w:r>
        <w:t xml:space="preserve"> Deciphering the sex gap in global life expectancy: the impact of female-specific cancers 1990-2019 — https://doi.org/10.1093/jnci/djae191</w:t>
      </w:r>
    </w:p>
    <w:p>
      <w:pPr/>
      <w:r>
        <w:rPr>
          <w:b/>
        </w:rPr>
        <w:t>Shared claim-specific concepts:</w:t>
      </w:r>
      <w:r>
        <w:t xml:space="preserve"> female, life, expectancy, advantage, over, country; EU scope visible. This is a provisional connection, not an outcome finding.</w:t>
      </w:r>
    </w:p>
    <w:p>
      <w:pPr>
        <w:pStyle w:val="SourceNote"/>
      </w:pPr>
      <w:r>
        <w:rPr>
          <w:b/>
        </w:rPr>
        <w:t>Available abstract (not full text):</w:t>
      </w:r>
      <w:r>
        <w:t xml:space="preserve"> BACKGROUND: Females live longer than males, which results in a sex gap in life expectancy. This study examines the contribution of female cancers to this differential by world region and country over the period 1990-2019 with special focus to the 15-69 years age group. METHODS: Cause-specific mortality data for 30 cancers, including 4 female-specific cancers from 238 countries and territories, were retrieved from the Global Burden of Disease Study 2019. Using life table techniques and demographic decomposition analysis, we estimated the contribution of cancer deaths to the sex gap in life expectancy by age and calendar period. RESULTS: At ages 15-69 years, females had a higher life expectancy than males in 2019. Countries with the largest sex gaps or the largest female advantage in life expectancy were in Eastern Europe and Northern Asia, Latin America, and Southern Africa. In contrast, countries with the smallest sex gaps were mainly located in Northern Africa, Northern America, and Northern Europe. The contribution of female-specific cancers to sex gaps in life expectancy were largely negative, ranging from -0.15 years in the Western Pacific to -0.26 years in the Eastern Mediterranean region, implying that the disproportionately higher premature cancer mortality among females contributed to a reduction in the female life expectancy advantage. CONCLUSION: Female-specific cance</w:t>
      </w:r>
    </w:p>
    <w:p>
      <w:pPr/>
      <w:r>
        <w:rPr>
          <w:b/>
        </w:rPr>
        <w:t>POSSIBLE 2024:</w:t>
      </w:r>
      <w:r>
        <w:t xml:space="preserve"> Seasonality in mortality and its impact on life expectancy levels and trends across Europe — https://doi.org/10.1136/jech-2024-223050</w:t>
      </w:r>
    </w:p>
    <w:p>
      <w:pPr/>
      <w:r>
        <w:rPr>
          <w:b/>
        </w:rPr>
        <w:t>Shared claim-specific concepts:</w:t>
      </w:r>
      <w:r>
        <w:t xml:space="preserve"> life, expectancy, approach; EU scope visible. This is a provisional connection, not an outcome finding.</w:t>
      </w:r>
    </w:p>
    <w:p>
      <w:pPr>
        <w:pStyle w:val="SourceNote"/>
      </w:pPr>
      <w:r>
        <w:rPr>
          <w:b/>
        </w:rPr>
        <w:t>Available abstract (not full text):</w:t>
      </w:r>
      <w:r>
        <w:t xml:space="preserve"> Background Seasonal fluctuations in mortality affect annual life expectancy at birth (e 0 ). Nevertheless, evidence on the impact of seasonal mortality on longevity is very limited and mainly restricted to assessing season-specific mortality levels due to shocks (e.g., heatwaves and influenza epidemics). We investigated the influence of seasonality in mortality on life expectancy levels and temporal trends across 20 European countries during 2000–2019. Data and methods We used harmonised weekly population-level mortality data from the Human Mortality Database. Seasonal contributions to life expectancy at birth and age 65, by sex, were estimated using the excess mortality approach and decomposition analysis. Time-series analysis was used to evaluate the impact on long-term mortality trends. Results Seasonal mortality had a substantial but stable impact on e 0 between 2000 and 2019. On average, we found an annual reduction in life expectancy due to seasonal excess mortality of 1.14 years for males and 0.80 years for females. Deaths in the elderly population (65+) were the main driver of this impact: around 70% and 90% of these reductions in life expectancy were attributable to older ages. Excess mortality in winter had the strongest impact on annual life expectancy, especially in Portugal and Bulgaria (around 0.8-year loss on e 0 ). Conclusions The study revealed significant cros</w:t>
      </w:r>
    </w:p>
    <w:p>
      <w:pPr/>
      <w:r>
        <w:rPr>
          <w:b/>
        </w:rPr>
        <w:t>POSSIBLE 2024:</w:t>
      </w:r>
      <w:r>
        <w:t xml:space="preserve"> Influence of social determinants of health in the evolution of the quality of life of older adults in Europe: A comparative analysis between men and women — https://doi.org/10.1057/s41599-024-02899-5</w:t>
      </w:r>
    </w:p>
    <w:p>
      <w:pPr/>
      <w:r>
        <w:rPr>
          <w:b/>
        </w:rPr>
        <w:t>Shared claim-specific concepts:</w:t>
      </w:r>
      <w:r>
        <w:t xml:space="preserve"> female, life, expectancy, men, approach; EU scope visible. This is a provisional connection, not an outcome finding.</w:t>
      </w:r>
    </w:p>
    <w:p>
      <w:pPr>
        <w:pStyle w:val="SourceNote"/>
      </w:pPr>
      <w:r>
        <w:rPr>
          <w:b/>
        </w:rPr>
        <w:t>Available abstract (not full text):</w:t>
      </w:r>
      <w:r>
        <w:t xml:space="preserve"> Abstract Population aging is a global phenomenon due to declining birth rates and increased life expectancy. This demographic shift poses a challenge to society, requiring adaptation of policies, economies, and healthcare systems to safeguard the well-being of older individuals. Health inequalities, influenced by social determinants such as education, economic status, and place of residence, impact this population group, with notable differences between men and women. Several studies have demonstrated that social determinants of health (SDH) affect the quality of life (QoL) of older individuals, especially women. In general, women report lower quality of life indicators, lower educational levels, and poorer health compared to men. This study aims to examine how social determinants of health can influence the quality of life of the population aged 50 or older in different European countries, from a sex perspective, through a longitudinal approach. The main SDHs associated with poorer QoL were female sex advanced age, economic hardship, educational level, and geographic location within Europe. Depression in women and men in Southern Europe was associated with a decrease in QoL scores.</w:t>
      </w:r>
    </w:p>
    <w:p>
      <w:pPr/>
      <w:r>
        <w:rPr>
          <w:b/>
        </w:rPr>
        <w:t>POSSIBLE 2024:</w:t>
      </w:r>
      <w:r>
        <w:t xml:space="preserve"> Inequalities in regional excess mortality and life expectancy during the COVID-19 pandemic in Europe — https://doi.org/10.1038/s41598-024-54366-5</w:t>
      </w:r>
    </w:p>
    <w:p>
      <w:pPr/>
      <w:r>
        <w:rPr>
          <w:b/>
        </w:rPr>
        <w:t>Shared claim-specific concepts:</w:t>
      </w:r>
      <w:r>
        <w:t xml:space="preserve"> life, expectancy, over, increase; EU scope visible. This is a provisional connection, not an outcome finding.</w:t>
      </w:r>
    </w:p>
    <w:p>
      <w:pPr>
        <w:pStyle w:val="SourceNote"/>
      </w:pPr>
      <w:r>
        <w:rPr>
          <w:b/>
        </w:rPr>
        <w:t>Available abstract (not full text):</w:t>
      </w:r>
      <w:r>
        <w:t xml:space="preserve"> Using data for 201 regions (NUTS 2) in Europe, we examine the mortality burden of the COVID-19 pandemic and how the mortality inequalities between regions changed between 2020 and 2022. We show that over the three years of the pandemic, not only did the level of excess mortality rate change considerably, but also its geographical distribution. Focusing on life expectancy as a summary measure of mortality conditions, we find that the variance of regional life expectancy increased sharply in 2021 but returned to the pre-pandemic level in 2022. The 2021 increase was due to a much higher-than-average excess mortality in regions with lower pre-pandemic life expectancy. While the life expectancy inequality has returned to its pre-pandemic level in 2022, the observed life expectancy in almost all regions is far below that expected without the pandemic.</w:t>
      </w:r>
    </w:p>
    <w:p>
      <w:pPr/>
      <w:r>
        <w:rPr>
          <w:b/>
        </w:rPr>
        <w:t>POSSIBLE 2024:</w:t>
      </w:r>
      <w:r>
        <w:t xml:space="preserve"> Disability free life expectancy decomposition: a comparative analysis across European countries — https://doi.org/10.71014/sieds.v78i2.264</w:t>
      </w:r>
    </w:p>
    <w:p>
      <w:pPr/>
      <w:r>
        <w:rPr>
          <w:b/>
        </w:rPr>
        <w:t>Shared claim-specific concepts:</w:t>
      </w:r>
      <w:r>
        <w:t xml:space="preserve"> female, life, expectancy, men, increase, male; EU scope visible. This is a provisional connection, not an outcome finding.</w:t>
      </w:r>
    </w:p>
    <w:p>
      <w:pPr>
        <w:pStyle w:val="SourceNote"/>
      </w:pPr>
      <w:r>
        <w:rPr>
          <w:b/>
        </w:rPr>
        <w:t>Available abstract (not full text):</w:t>
      </w:r>
      <w:r>
        <w:t xml:space="preserve"> Life expectancies (LE) at birth and at adult ages have progressively increased in recent decades in Europe. LE is a quantitative indicator and therefore it provides a limited view of the status of the population, ignoring the weight and the effects that the health condition has on the years that remain to live. To address this issue, we refer to Disability Free Life Expectancy (DFLE) indicating the average number of years a person of a given age x expects to live in good health. In this paper we analyse the change in LE and DFLE at age 65 from 2004 to 2016 for a set of the most long-lived European countries, as well as for male and female populations in order to highlight gender differences. Then we quantify the extent by which age specific mortality and morbidity contribute to changes in DFLE for understanding whether the trends observed are due to compression/expansion of morbidity or to variation in mortality patterns. This goal is important both for health policies planning and for sustainability of socio-economic and social security systems. DFLE is calculated using the Sullivan method, measuring disability in terms of the Global Activity Limitation Indicator (GALI). We refer both to step-wise and continuous change techniques for DFLE decomposition. Data sources are Human Mortality Database (HMD) for mortality rates and the European Health Life Expectancy Information Syste</w:t>
      </w:r>
    </w:p>
    <w:p>
      <w:pPr/>
      <w:r>
        <w:rPr>
          <w:b/>
        </w:rPr>
        <w:t>POSSIBLE 2024:</w:t>
      </w:r>
      <w:r>
        <w:t xml:space="preserve"> Social and Economic Determinants of Life Expectancy at Birth in Eastern Europe — https://doi.org/10.3390/healthcare12111148</w:t>
      </w:r>
    </w:p>
    <w:p>
      <w:pPr/>
      <w:r>
        <w:rPr>
          <w:b/>
        </w:rPr>
        <w:t>Shared claim-specific concepts:</w:t>
      </w:r>
      <w:r>
        <w:t xml:space="preserve"> life, expectancy, over, every, country, increase; EU scope visible. This is a provisional connection, not an outcome finding.</w:t>
      </w:r>
    </w:p>
    <w:p>
      <w:pPr>
        <w:pStyle w:val="SourceNote"/>
      </w:pPr>
      <w:r>
        <w:rPr>
          <w:b/>
        </w:rPr>
        <w:t>Available abstract (not full text):</w:t>
      </w:r>
      <w:r>
        <w:t xml:space="preserve"> Life expectancy at birth is considered a parameter of the social development, health system, or economic development of a country. We aimed to investigate the effects of GDP per capita (as the economic factor), health care expenditure, the number of medical doctors (as social factors), and CO2 emissions (as the environmental factor) on life expectancy. We used panel data analysis for 13 Eastern European countries over the 2000–2020 period. After performing the analysis, we used a cross-country fixed-effects panel (GLS with SUR weights). According to our model, a one percent increase in health expenditure (as % of GDP) increases life expectancy at birth by 0.376 years, whereas each additional medical doctor per 10,000 inhabitants increases life expectancy at birth by 0.088 years on average. At the same time, each additional 10,000 USD per capita each year would increase life expectancy at birth by 1.8 years on average. If CO2 emissions increase by 1 metric ton per capita, life expectancy at birth would decrease by 0.24 years, suggesting that higher carbon emissions are capable of reducing longevity. Every European country has to make special efforts to increase the life expectancy of its inhabitants by applying economic and health policies focused on the well-being of the population.</w:t>
      </w:r>
    </w:p>
    <w:p>
      <w:pPr/>
      <w:r>
        <w:rPr>
          <w:b/>
        </w:rPr>
        <w:t>POSSIBLE 2023:</w:t>
      </w:r>
      <w:r>
        <w:t xml:space="preserve"> Stalling life expectancy trends in Europe and decomposition analysis of mortality data — https://doi.org/10.1093/eurpub/ckad160.919</w:t>
      </w:r>
    </w:p>
    <w:p>
      <w:pPr/>
      <w:r>
        <w:rPr>
          <w:b/>
        </w:rPr>
        <w:t>Shared claim-specific concepts:</w:t>
      </w:r>
      <w:r>
        <w:t xml:space="preserve"> life, expectancy, over, increase, two, similar; EU scope visible. This is a provisional connection, not an outcome finding.</w:t>
      </w:r>
    </w:p>
    <w:p>
      <w:pPr>
        <w:pStyle w:val="SourceNote"/>
      </w:pPr>
      <w:r>
        <w:rPr>
          <w:b/>
        </w:rPr>
        <w:t>Available abstract (not full text):</w:t>
      </w:r>
      <w:r>
        <w:t xml:space="preserve"> Abstract Background Life expectancy (LE) is an important population health metric over the life course. LE has increased significantly, over the past two centuries but has showed signs of slowing recently in Europe, the United Kingdom, and the United States. Several drivers have been suggested to be causing the slowdown, including slowing improvements in cardiovascular mortality. We set out to investigate trends in LE across Europe from 1990-2019, and how deaths from different causes have contributed to annual average change in LE across two time periods: 2007-2009 to 2012-2014 and 2012-2014 to 2017-2019. Methods Data were obtained from the Global Burden of Disease (GBD) Study 2019, which are in public domain. The GBD Study is a comprehensive global epidemiologic data resource employing standardized methodology for comparability. Joinpoint regression analysis was utilised to identify trends. The Arriaga decomposition method was applied to produce estimates of the contribution of different age groups and underlying causes of death to changes in LE at birth for the two periods. Results Overall, LE in Europe was 72.6 years in 1990- increasing to 78.3 years in 2019, with significant variations within EU countries. However, LE showed a slower pace from 2012 onwards in Europe- much slower in Western Europe, and more pronounced among females. LE in females fell from an annual increase</w:t>
      </w:r>
    </w:p>
    <w:p>
      <w:pPr/>
      <w:r>
        <w:rPr>
          <w:b/>
        </w:rPr>
        <w:t>POSSIBLE 2023:</w:t>
      </w:r>
      <w:r>
        <w:t xml:space="preserve"> Global Trends in Life Expectancy and Healthy Life Expectancy — https://doi.org/10.1093/acrefore/9780190632366.013.384</w:t>
      </w:r>
    </w:p>
    <w:p>
      <w:pPr/>
      <w:r>
        <w:rPr>
          <w:b/>
        </w:rPr>
        <w:t>Shared claim-specific concepts:</w:t>
      </w:r>
      <w:r>
        <w:t xml:space="preserve"> life, expectancy, likely, country, increase, see; EU scope visible. This is a provisional connection, not an outcome finding.</w:t>
      </w:r>
    </w:p>
    <w:p>
      <w:pPr>
        <w:pStyle w:val="SourceNote"/>
      </w:pPr>
      <w:r>
        <w:rPr>
          <w:b/>
        </w:rPr>
        <w:t>Available abstract (not full text):</w:t>
      </w:r>
      <w:r>
        <w:t xml:space="preserve"> Abstract In the known history of humanity, life expectancy scarcely exceeded 30 years, with half of newborns dying before age five, up to the 18th century. However, from the 18th century onward, major epidemics were combatted more efficiently, famines became less frequent, and life expectancy thus began to increase, first in Northwest Europe, then spreading to North America, Australia, Japan, and to the rest of Europe. The health transition reached Latin America, the rest of Asia, and Africa only in the 20th century. In 2015–2020, worldwide life expectancy at birth reached 72.5 years. However, differences remained large between regions and countries. The Japanese experienced the highest level at 84.4 years, thanks to their increasingly effective noncommunicable disease (NCD) control and an especially dramatic decrease in cardiovascular mortality. On average, life expectancy was 80.9 years in high income countries, 71.4 in middle income countries and 63.4 in low income countries. It was only 60 years in sub-Saharan Africa, with some countries barely exceeding 50. High mortality countries suffer a heavy burden from both infectious and NCDs. Due to increasing life expectancy, deaths shifting to older ages, and changing cause-of-death patterns, questions arise concerning the health of populations. The health expectancies made available mainly in high income countries are indicators</w:t>
      </w:r>
    </w:p>
    <w:p>
      <w:pPr/>
      <w:r>
        <w:rPr>
          <w:b/>
        </w:rPr>
        <w:t>POSSIBLE 2023:</w:t>
      </w:r>
      <w:r>
        <w:t xml:space="preserve"> LIFE STRATEGIES OF RUSSIAN AND EUROPEAN FEMALE STUDENTS: — https://doi.org/10.18316/rcd.v15i38.11034</w:t>
      </w:r>
    </w:p>
    <w:p>
      <w:pPr/>
      <w:r>
        <w:rPr>
          <w:b/>
        </w:rPr>
        <w:t>Shared claim-specific concepts:</w:t>
      </w:r>
      <w:r>
        <w:t xml:space="preserve"> female, life, men; EU scope visible. This is a provisional connection, not an outcome finding.</w:t>
      </w:r>
    </w:p>
    <w:p>
      <w:pPr>
        <w:pStyle w:val="SourceNote"/>
      </w:pPr>
      <w:r>
        <w:rPr>
          <w:b/>
        </w:rPr>
        <w:t>Available abstract (not full text):</w:t>
      </w:r>
      <w:r>
        <w:t xml:space="preserve"> Contemporary society provides people with various ways of personality development. Young people are most susceptible to changes that occur in economics, politics, and technology. Different types of life strategies are formed and realized by young women and men, and they eventually transform public consciousness in general. The article is devoted to the analysis of life strategies and scenarios of female students living in Russia and European countries. For this purpose, a series of in-depth interviews with girls was conducted, as well as a visual analysis of the accounts of young women on the social network Instagram. Today, the process of westernization is observable – the adoption of Western European structures, practices, and lifestyles by non-European societies and countries has become a significant cultural phenomenon. Thus, based on the data obtained, it is possible to define a life strategy as a system of ideas and guidelines of the individual, aimed at the conscious design of the future. It determines and directs the behavior of individuals, reflecting the idea of the future and life path. A life strategy includes not only orientations, but also ways to achieve and realize certain goals and expectations.</w:t>
      </w:r>
    </w:p>
    <w:p>
      <w:pPr/>
      <w:r>
        <w:rPr>
          <w:b/>
        </w:rPr>
        <w:t>POSSIBLE 2023:</w:t>
      </w:r>
      <w:r>
        <w:t xml:space="preserve"> Influence of Social Determinants of Health on the Quality of Life of Older Adults in Europe: A Sex Analysis — https://doi.org/10.21203/rs.3.rs-3401316/v1</w:t>
      </w:r>
    </w:p>
    <w:p>
      <w:pPr/>
      <w:r>
        <w:rPr>
          <w:b/>
        </w:rPr>
        <w:t>Shared claim-specific concepts:</w:t>
      </w:r>
      <w:r>
        <w:t xml:space="preserve"> female, life, over, men; EU scope visible. This is a provisional connection, not an outcome finding.</w:t>
      </w:r>
    </w:p>
    <w:p>
      <w:pPr>
        <w:pStyle w:val="SourceNote"/>
      </w:pPr>
      <w:r>
        <w:rPr>
          <w:b/>
        </w:rPr>
        <w:t>Available abstract (not full text):</w:t>
      </w:r>
      <w:r>
        <w:t xml:space="preserve"> Introduction: The global aging population poses challenges for society such as health inequalities among older persons and between genders. Objectives: To determine how Social Determinants of Health (SDH) influence the quality of life (QoL) of individuals over 50 years old in various European countries, taking a gender perspective in a longitudinal study. Materials and methods: Sample of 11,493 individuals from 13 European countries from Waves 5 (2013), 6 (2015), and 7 (2017) of the SHARE study. Instruments: CASP-12 (QoL), EURO-D (depression), SDH: gender, age, educational level, socioeconomic status, ethnicity, place of residence, and European region. Sociodemographic and clinical variables. Statistical analysis: Bivariate and multivariate mixed linear models. Results: The bivariate analysis showed higher economic hardship and lower education in women compared to men. The CASP-12 score was higher in men than in women. In the multivariate analysis, the variables associated with lower QoL scores among men and women from Wave 5 to Wave 7 were: (β:-0.196, 95% CI: -0.345; -0.047) vs (β:0.038, 95% CI: -0.122; 0.197); economic hardship; and the European region between South and North (β: 2.709, 95% CI: 2.403; 3.015) vs men (β: 2.224, 95% CI: 1.896; 2.551). Conclusions: The main SDH associated with poorer QoL were female gender, advanced age, economic hardship, educational level, and </w:t>
      </w:r>
    </w:p>
    <w:p>
      <w:pPr/>
      <w:r>
        <w:rPr>
          <w:b/>
        </w:rPr>
        <w:t>POSSIBLE 2023:</w:t>
      </w:r>
      <w:r>
        <w:t xml:space="preserve"> Gains in life expectancy from decreasing cardiovascular disease and cancer mortality – an analysis of 28 European countries 1995–2019 — https://doi.org/10.1007/s10654-023-01039-8</w:t>
      </w:r>
    </w:p>
    <w:p>
      <w:pPr/>
      <w:r>
        <w:rPr>
          <w:b/>
        </w:rPr>
        <w:t>Shared claim-specific concepts:</w:t>
      </w:r>
      <w:r>
        <w:t xml:space="preserve"> female, life, expectancy, over, men, country; EU scope visible. This is a provisional connection, not an outcome finding.</w:t>
      </w:r>
    </w:p>
    <w:p>
      <w:pPr>
        <w:pStyle w:val="SourceNote"/>
      </w:pPr>
      <w:r>
        <w:rPr>
          <w:b/>
        </w:rPr>
        <w:t>Available abstract (not full text):</w:t>
      </w:r>
      <w:r>
        <w:t xml:space="preserve"> BACKGROUND: Life expectancy (LE) is an indicator of societal progress among rapidly aging populations. In recent decades, the displacement of deaths from cardiovascular disease (CVD) and cancer have been key drivers in further extending LE on the continent, though improvements vary markedly by country, sex, and over time. This study provides a comparative overview of the age-specific contributions of CVD and cancer to increasing LE in the 27 European Union member states, plus the U.K. METHODS: Cause-by-age decompositions of national changes in LE were conducted for the years 1995-1999 and 2015-2019 based on the standard approach of multiple decrement life tables to quantify the relative impact over time. The contributions of CVD and cancer mortality changes to differences in LE were computed by sex and age for each of the 28 countries. We examine the difference between the member states before 2004 ("founding countries") and those which accessed the EU after 2004 ("A10 countries"). RESULTS: Among men, declines in CVD mortality in the founding countries of the EU were larger contributors to increasing LE over the last decades than malignant neoplasms: 2.26 years were gained by CVD declines versus 1.07 years for cancer, with 2.23 and 0.84 years gained in A10 countries, respectively. Among women in founding countries, 1.81 and 0.54 additional life years were attributable to CVD an</w:t>
      </w:r>
    </w:p>
    <w:p>
      <w:pPr/>
      <w:r>
        <w:rPr>
          <w:b/>
        </w:rPr>
        <w:t>POSSIBLE 2023:</w:t>
      </w:r>
      <w:r>
        <w:t xml:space="preserve"> The underwhelming German life expectancy — https://doi.org/10.1007/s10654-023-00995-5</w:t>
      </w:r>
    </w:p>
    <w:p>
      <w:pPr/>
      <w:r>
        <w:rPr>
          <w:b/>
        </w:rPr>
        <w:t>Shared claim-specific concepts:</w:t>
      </w:r>
      <w:r>
        <w:t xml:space="preserve"> life, expectancy, france; EU scope visible. This is a provisional connection, not an outcome finding.</w:t>
      </w:r>
    </w:p>
    <w:p>
      <w:pPr>
        <w:pStyle w:val="SourceNote"/>
      </w:pPr>
      <w:r>
        <w:rPr>
          <w:b/>
        </w:rPr>
        <w:t>Available abstract (not full text):</w:t>
      </w:r>
      <w:r>
        <w:t xml:space="preserve"> This article contributes to the discussion on the determinants of diverging life expectancy in high-income countries, with a focus on Germany. To date, much of this discourse has centered around the social determinants of health, issues of healthcare equity, poverty and income inequality, and new epidemics of opioids and violence. Yet despite doing well on all of these metrics and having numerous advantages such as comparatively strong economic performance, generous social security, and an equitable and well-resourced health care system, Germany has been a long-time life expectancy laggard among the high-income countries. Using aggregated population-level mortality data for Germany and selected six high-income countries (Switzerland, France, Japan, Spain, the United Kingdom, and the United States) from the Human Mortality Database and WHO Mortality Database, we find that the German longevity shortfall is mainly explained by a longstanding disadvantage in survival among older adults and adults nearing statutory retirement age, which mainly stems from sustained excess cardiovascular disease mortality, even when compared to other laggard countries such as the US and the UK. Patchy contextual data suggests that the unfavorable pattern of cardiovascular mortality may be driven by underperforming primary care and disease prevention. More systematic and representative data on risk fac</w:t>
      </w:r>
    </w:p>
    <w:p>
      <w:pPr>
        <w:pStyle w:val="Heading2"/>
      </w:pPr>
      <w:r>
        <w:t>791. Futures of robotics. Human work in digital transformation</w:t>
      </w:r>
    </w:p>
    <w:p>
      <w:pPr>
        <w:pStyle w:val="SourceNote"/>
      </w:pPr>
      <w:r>
        <w:rPr>
          <w:b/>
        </w:rPr>
        <w:t>Original source (2017):</w:t>
      </w:r>
      <w:r>
        <w:t xml:space="preserve"> https://doi.org/10.1504/ijtm.2017.083074</w:t>
      </w:r>
    </w:p>
    <w:p>
      <w:pPr/>
      <w:r>
        <w:t>Original wording (abstract; indexed_source_text_not_full_document_verified): We evaluate key future trends in the field of robotics and analyse different scenarios regarding the futures of human beings and work life.</w:t>
      </w:r>
    </w:p>
    <w:p>
      <w:pPr/>
      <w:r>
        <w:rPr>
          <w:b/>
        </w:rPr>
        <w:t>POSSIBLE 2026:</w:t>
      </w:r>
      <w:r>
        <w:t xml:space="preserve"> Evaluating rainfall trend in four key stations of the Northwestern Himalayan region, Uttarakhand: utilizing innovative graphical approaches for trend assessment — https://doi.org/10.54302/mausam.v77i2.6492</w:t>
      </w:r>
    </w:p>
    <w:p>
      <w:pPr/>
      <w:r>
        <w:rPr>
          <w:b/>
        </w:rPr>
        <w:t>Shared claim-specific concepts:</w:t>
      </w:r>
      <w:r>
        <w:t xml:space="preserve"> evaluate, key, trends; EU scope not established. This is a provisional connection, not an outcome finding.</w:t>
      </w:r>
    </w:p>
    <w:p>
      <w:pPr>
        <w:pStyle w:val="SourceNote"/>
      </w:pPr>
      <w:r>
        <w:rPr>
          <w:b/>
        </w:rPr>
        <w:t>Available abstract (not full text):</w:t>
      </w:r>
      <w:r>
        <w:t xml:space="preserve"> Comprehending rainfall patterns is a multifaceted endeavor, both in terms of spatial and temporal dimensions. Gaining insight into these patterns necessitates a close examination of trends within rainfall time series data. The main focus of this research is to evaluate the variations in annual and seasonal precipitation characteristics within the Kosi River Basin (KRB) of Uttarakhand using globally recommended method such as., Innovative Trend Analysis (ITA), Mann-Kendall (MK) test and linear regression (LR) analysis. Through ITA, both monotonic and non-monotonic trends were discerned, irrespective of serial correlation, dataset size, or distribution characteristics. This technique proves valuable in identifying diverse trends in rainfall data. In contrast to MK tests, ITA exhibited greater efficacy in trend detection, yielding distinct results across various seasons. For instance, during the monsoon season, MK tests failed to detect trends, while ITA successfully identified them. Conversely, post-monsoon season trends were identified using all three techniques. In sum, ITA emerged as a more dependable method for trend identification in rainfall data. This insight can be instrumental in formulating strategies for sustainable water resource management and addressing potential challenges posed by climate change on water availability. The findings of this study hold significant re</w:t>
      </w:r>
    </w:p>
    <w:p>
      <w:pPr/>
      <w:r>
        <w:rPr>
          <w:b/>
        </w:rPr>
        <w:t>POSSIBLE 2026:</w:t>
      </w:r>
      <w:r>
        <w:t xml:space="preserve"> Closed-Loop Electrical Control Systems for Agricultural Machinery: State of the Art and Future Trends in Key Technologies, Typical Applications, and Performance Evaluation — https://doi.org/10.3390/pr14203366</w:t>
      </w:r>
    </w:p>
    <w:p>
      <w:pPr/>
      <w:r>
        <w:rPr>
          <w:b/>
        </w:rPr>
        <w:t>Shared claim-specific concepts:</w:t>
      </w:r>
      <w:r>
        <w:t xml:space="preserve"> key, trends, field, work; EU scope not established. This is a provisional connection, not an outcome finding.</w:t>
      </w:r>
    </w:p>
    <w:p>
      <w:pPr>
        <w:pStyle w:val="SourceNote"/>
      </w:pPr>
      <w:r>
        <w:rPr>
          <w:b/>
        </w:rPr>
        <w:t>Available abstract (not full text):</w:t>
      </w:r>
      <w:r>
        <w:t xml:space="preserve"> Control of agricultural machinery is shifting from direct operator input toward closed-loop regulation coordinated by sensors, controllers, and actuators. This transition places greater demands on real-time performance, reliability, and practical deployability because field environments are complex and operating loads vary continuously. Existing reviews generally address automated navigation, electrohydraulic control, electrification, or control algorithms in isolation; few systematically compare coupling among all elements of the electrical control loop or the strength of the supporting evidence. This study therefore combines a topic-oriented structured narrative review with evidence mapping and critical synthesis for field agricultural machinery and implements. The proposed framework comprises five functional domains: sensing and state estimation, controllers and control hardware, control methods, actuation and drives, and communication and power supply. These domains are mapped to representative applications, including tractor–implement coordination, seeding and fertilization, crop protection, harvesting, and autonomous operation. Current closed-loop applications predominantly regulate vehicle motion, actuators, and process states. By contrast, operation-quality loops that directly use agronomic outcomes, such as seed placement quality, spray deposition, or harvest loss, as </w:t>
      </w:r>
    </w:p>
    <w:p>
      <w:pPr/>
      <w:r>
        <w:rPr>
          <w:b/>
        </w:rPr>
        <w:t>POSSIBLE 2025:</w:t>
      </w:r>
      <w:r>
        <w:t xml:space="preserve"> Financial Trends and Performance in the Food Industry: An Evaluation of Key Indicators — https://doi.org/10.15414/2024.9788055228167.479-487</w:t>
      </w:r>
    </w:p>
    <w:p>
      <w:pPr/>
      <w:r>
        <w:rPr>
          <w:b/>
        </w:rPr>
        <w:t>Shared claim-specific concepts:</w:t>
      </w:r>
      <w:r>
        <w:t xml:space="preserve"> evaluate, key, trends; EU scope visible. This is a provisional connection, not an outcome finding.</w:t>
      </w:r>
    </w:p>
    <w:p>
      <w:pPr>
        <w:pStyle w:val="SourceNote"/>
      </w:pPr>
      <w:r>
        <w:rPr>
          <w:b/>
        </w:rPr>
        <w:t>Available abstract (not full text):</w:t>
      </w:r>
      <w:r>
        <w:t xml:space="preserve"> Paper's objective(s) and research backgroundThe food industry plays a crucial role in shaping cultural practices, consumer trends, and economic development.It continually adapts to changes in technology, consumer preferences, and societal demands, making it a dynamic and influential sector.The food industry has a long tradition in Slovakia, although it has undergone a significant and complicated restructuring since 1990.A significant milestone in the development of the food industry was Slovakia's accession to the EU in the context of adapting to European markets not only in terms of production but also in terms of legislation.In addition to the harmonisation of legislation, accession to the EU also brought about an increase in the share of foreign capital in food companies and their integration into international business structures.In addition, the food industry has also seen changes in terms of technical and technological innovations and organisational changes in the production, distribution and sale of food commodities. Data/MethodsThe aim of the paper is to evaluate the financial trends and performance of the food industry in the time period 2016-2022 based on selected key indicators.The analysis includes data within SK NACE Section C, Division 10.In addition to general theoretical scientific methods, we used time analysis methods. Results/Conclusions/Value addedThe analys</w:t>
      </w:r>
    </w:p>
    <w:p>
      <w:pPr/>
      <w:r>
        <w:rPr>
          <w:b/>
        </w:rPr>
        <w:t>POSSIBLE 2024:</w:t>
      </w:r>
      <w:r>
        <w:t xml:space="preserve"> Analysis and Evaluation of Trends in Natural Disasters — https://doi.org/10.38146/bsz.2024.2.7</w:t>
      </w:r>
    </w:p>
    <w:p>
      <w:pPr/>
      <w:r>
        <w:rPr>
          <w:b/>
        </w:rPr>
        <w:t>Shared claim-specific concepts:</w:t>
      </w:r>
      <w:r>
        <w:t xml:space="preserve"> key, trends, work; EU scope not established. This is a provisional connection, not an outcome finding.</w:t>
      </w:r>
    </w:p>
    <w:p>
      <w:pPr>
        <w:pStyle w:val="SourceNote"/>
      </w:pPr>
      <w:r>
        <w:rPr>
          <w:b/>
        </w:rPr>
        <w:t>Available abstract (not full text):</w:t>
      </w:r>
      <w:r>
        <w:t xml:space="preserve"> Aim: The aim of this article is to examine the terminology behind natural disasters and to group them together to give readers an insight into the world of natural hazards. The author also aims to describe the quantitative changes that have occurred in recent years.Methodology: The definitions are based on the presentation of concepts used by key authorities. Categorisation and trend analysis is based on international discourse, databases and reports from relevant bodies and organisations.Findings: The security environment is changing dramatically. One reason for this is that there is a clear increase in a number of categories of natural events (disasters). As regards definitions, there is no uniform concept, but disasters are exceptional events with significant material damage.Value: Through the author’s analytical and evaluative work, the reader will gain insight into the world of natural disasters, a broad knowledge of the relevant literature, and valuable insights into global vulnerability and changing trends.</w:t>
      </w:r>
    </w:p>
    <w:p>
      <w:pPr/>
      <w:r>
        <w:rPr>
          <w:b/>
        </w:rPr>
        <w:t>POSSIBLE 2024:</w:t>
      </w:r>
      <w:r>
        <w:t xml:space="preserve"> Principles and Guidelines for Evaluating Social Robot Navigation Algorithms — https://doi.org/10.1145/3700599</w:t>
      </w:r>
    </w:p>
    <w:p>
      <w:pPr/>
      <w:r>
        <w:rPr>
          <w:b/>
        </w:rPr>
        <w:t>Shared claim-specific concepts:</w:t>
      </w:r>
      <w:r>
        <w:t xml:space="preserve"> evaluate, field, different, human; EU scope not established. This is a provisional connection, not an outcome finding.</w:t>
      </w:r>
    </w:p>
    <w:p>
      <w:pPr>
        <w:pStyle w:val="SourceNote"/>
      </w:pPr>
      <w:r>
        <w:rPr>
          <w:b/>
        </w:rPr>
        <w:t>Available abstract (not full text):</w:t>
      </w:r>
      <w:r>
        <w:t xml:space="preserve"> A major challenge to deploying robots widely is navigation in human-populated environments, commonly referred to as social robot navigation . While the field of social navigation has advanced tremendously in recent years, the fair evaluation of algorithms that tackle social navigation remains hard because it involves not just robotic agents moving in static environments but also dynamic human agents and their perceptions of the appropriateness of robot behavior. In contrast, clear, repeatable, and accessible benchmarks have accelerated progress in fields like computer vision, natural language processing and traditional robot navigation by enabling researchers to fairly compare algorithms, revealing limitations of existing solutions and illuminating promising new directions. We believe the same approach can benefit social navigation. In this article, we pave the road toward common, widely accessible, and repeatable benchmarking criteria to evaluate social robot navigation. Our contributions include (a) a definition of a socially navigating robot as one that respects the principles of safety, comfort, legibility, politeness, social competency, agent understanding, proactivity, and responsiveness to context, (b) guidelines for the use of metrics, development of scenarios, benchmarks, datasets, and simulators to evaluate social navigation, and (c) a design of a social navigation me</w:t>
      </w:r>
    </w:p>
    <w:p>
      <w:pPr/>
      <w:r>
        <w:rPr>
          <w:b/>
        </w:rPr>
        <w:t>POSSIBLE 2024:</w:t>
      </w:r>
      <w:r>
        <w:t xml:space="preserve"> Artificial Intelligence for Predictive Maintenance Applications: Key Components, Trustworthiness, and Future Trends — https://doi.org/10.3390/app14020898</w:t>
      </w:r>
    </w:p>
    <w:p>
      <w:pPr/>
      <w:r>
        <w:rPr>
          <w:b/>
        </w:rPr>
        <w:t>Shared claim-specific concepts:</w:t>
      </w:r>
      <w:r>
        <w:t xml:space="preserve"> key, trends, human; EU scope not established. This is a provisional connection, not an outcome finding.</w:t>
      </w:r>
    </w:p>
    <w:p>
      <w:pPr>
        <w:pStyle w:val="SourceNote"/>
      </w:pPr>
      <w:r>
        <w:rPr>
          <w:b/>
        </w:rPr>
        <w:t>Available abstract (not full text):</w:t>
      </w:r>
      <w:r>
        <w:t xml:space="preserve"> Predictive maintenance (PdM) is a policy applying data and analytics to predict when one of the components in a real system has been destroyed, and some anomalies appear so that maintenance can be performed before a breakdown takes place. Using cutting-edge technologies like data analytics and artificial intelligence (AI) enhances the performance and accuracy of predictive maintenance systems and increases their autonomy and adaptability in complex and dynamic working environments. This paper reviews the recent developments in AI-based PdM, focusing on key components, trustworthiness, and future trends. The state-of-the-art (SOTA) techniques, challenges, and opportunities associated with AI-based PdM are first analyzed. The integration of AI technologies into PdM in real-world applications, the human–robot interaction, the ethical issues emerging from using AI, and the testing and validation abilities of the developed policies are later discussed. This study exhibits the potential working areas for future research, such as digital twin, metaverse, generative AI, collaborative robots (cobots), blockchain technology, trustworthy AI, and Industrial Internet of Things (IIoT), utilizing a comprehensive survey of the current SOTA techniques, opportunities, and challenges allied with AI-based PdM.</w:t>
      </w:r>
    </w:p>
    <w:p>
      <w:pPr/>
      <w:r>
        <w:rPr>
          <w:b/>
        </w:rPr>
        <w:t>POSSIBLE 2024:</w:t>
      </w:r>
      <w:r>
        <w:t xml:space="preserve"> Conclusion: key trends shaping the field — https://doi.org/10.4337/9781803928289.00045</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The conclusion provides a review of overarching themes and emerging trends across the chapters, outlines a research agenda for further advancement of the field, and predicts future directions. The chapter focuses on three themes and trends: evaluation’s potential role in addressing urgent global challenges; the rapid proliferation of data and advancement of technology available to evaluators; and the imperative that evaluators actively and intentionally advocate for social justice, including through working to decolonize the practice of evaluation itself. The editors end with a call for reflection, research on evaluation, and action to push the evaluation field towards a collectively desired future.</w:t>
      </w:r>
    </w:p>
    <w:p>
      <w:pPr/>
      <w:r>
        <w:rPr>
          <w:b/>
        </w:rPr>
        <w:t>POSSIBLE 2023:</w:t>
      </w:r>
      <w:r>
        <w:t xml:space="preserve"> A Comprehensive Evaluation of Factors Influencing Acceptance of Robotic Assistants in Field Construction Work — https://doi.org/10.1061/jmenea.meeng-5227</w:t>
      </w:r>
    </w:p>
    <w:p>
      <w:pPr/>
      <w:r>
        <w:rPr>
          <w:b/>
        </w:rPr>
        <w:t>Shared claim-specific concepts:</w:t>
      </w:r>
      <w:r>
        <w:t xml:space="preserve"> evaluate, key, field, human, work; EU scope not established. This is a provisional connection, not an outcome finding.</w:t>
      </w:r>
    </w:p>
    <w:p>
      <w:pPr>
        <w:pStyle w:val="SourceNote"/>
      </w:pPr>
      <w:r>
        <w:rPr>
          <w:b/>
        </w:rPr>
        <w:t>Available abstract (not full text):</w:t>
      </w:r>
      <w:r>
        <w:t xml:space="preserve"> The adoption of human–robot collaboration (HRC) in various forms is widely expected to help improve productivity, reduce human physical workload, and alleviate the issues created by a skilled labor shortage in the construction industry. One potential deterrent to adoption of such collaborative work methods often cited by industry stakeholders is resistance by workers stemming from their fear of losing their jobs or having to learn new approaches and methods of performing construction work. Although significant prior studies have used path analyses to statistically evaluate hypotheses about technology adoption models by estimating the relationships in the models, no research has specifically investigated the intention to work in HRC through such an approach. This study addresses this knowledge gap and empirically investigates the factors affecting construction personnel’s behavioral intention to accept HRC. HRC in this study is envisioned as robotic assistants performing the physically demanding repetitive work while construction personnel focus on cognitive tasks necessary to plan and supervise the work. An HRC adoption model based on the technology acceptance model (TAM) and innovation diffusion theory (IDT) is presented. This study expands a TAM-IDT model with new constructs such as job satisfaction and openness to training to explore an improved model that increases the unde</w:t>
      </w:r>
    </w:p>
    <w:p>
      <w:pPr/>
      <w:r>
        <w:rPr>
          <w:b/>
        </w:rPr>
        <w:t>POSSIBLE 2022:</w:t>
      </w:r>
      <w:r>
        <w:t xml:space="preserve"> Evaluating Research Trends Using Key Term Occurrences and Multivariate Mann-Kendall Test — https://doi.org/10.1109/isetc56213.2022.10010222</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This paper offers a quantifiable means for assessing the trend in the interest of scientific community in a particular research theme. Representing the research theme as a set of key terms, we investigate its trend within the scientific literature, using a corpus of paper metadata belonging to flagship journals and conferences that are relevant for the encompassing domain. Our method employs a multivariate version of the Mann-Kendall test that is applied to a multivariate time series of key term occurrences in order to discover if the trend of the research theme is ascending, descending or if there is no monotonic trend. Finally, an illustrative case study, examining the effectiveness of the proposed method for three research themes from Electronic Design Automation field, is presented.</w:t>
      </w:r>
    </w:p>
    <w:p>
      <w:pPr/>
      <w:r>
        <w:rPr>
          <w:b/>
        </w:rPr>
        <w:t>POSSIBLE 2022:</w:t>
      </w:r>
      <w:r>
        <w:t xml:space="preserve"> EVALUATING QUALITY OF GOVERNMENT REGULATORY ENFORCEMENT AND INSPECTION ACTIVITY FROM THE VIEWPOINT OF PRIVAT BUSINESS: KEY TRENDS — https://doi.org/10.5281/zenodo.7333284</w:t>
      </w:r>
    </w:p>
    <w:p>
      <w:pPr/>
      <w:r>
        <w:rPr>
          <w:b/>
        </w:rPr>
        <w:t>Shared claim-specific concepts:</w:t>
      </w:r>
      <w:r>
        <w:t xml:space="preserve"> evaluate, key, trends, regarding; EU scope not established. This is a provisional connection, not an outcome finding.</w:t>
      </w:r>
    </w:p>
    <w:p>
      <w:pPr>
        <w:pStyle w:val="SourceNote"/>
      </w:pPr>
      <w:r>
        <w:rPr>
          <w:b/>
        </w:rPr>
        <w:t>Available abstract (not full text):</w:t>
      </w:r>
      <w:r>
        <w:t xml:space="preserve"> Enhancing the government’s regulatory enforcement and oversight performance has been considered among critical measures aimed at improving the business environment in Russia; this makes the study relevant for the current governance agenda. The objective of this paper is to evaluate the dynamics of private businesses’ perceptions regarding the justified nature, efficacy, and efficiency of state oversight measures in 2017 – 2021. The subject of the study is the quality of state regulatory enforcement and oversight, including its rationality, efficacy, and efficiency. The key method used in this study is a representative sociological survey of private business entities conducted in 2021. The findings were then compared with those from similar surveys carried out in 2017 and 2020. The results presented in this paper include the analysis of businesses’ perceptions regarding all quality parameters of state regulatory and oversight interference (how justified, effective, and efficient it is). The study concludes that so far, the state regulatory system reform in Russia has not resulted in its performance being more effective (i.e., carrying lower risk of damage to the public values) or more justified. Notably, administrative costs borne by businesses due to state inspections have decreased due to a lower average cost per inspection as well as a reduction in the total number of inspect</w:t>
      </w:r>
    </w:p>
    <w:p>
      <w:pPr/>
      <w:r>
        <w:rPr>
          <w:b/>
        </w:rPr>
        <w:t>POSSIBLE 2022:</w:t>
      </w:r>
      <w:r>
        <w:t xml:space="preserve"> Human–robot collaboration and machine learning: A systematic review of recent research — https://doi.org/10.1016/j.rcim.2022.102432</w:t>
      </w:r>
    </w:p>
    <w:p>
      <w:pPr/>
      <w:r>
        <w:rPr>
          <w:b/>
        </w:rPr>
        <w:t>Shared claim-specific concepts:</w:t>
      </w:r>
      <w:r>
        <w:t xml:space="preserve"> key, trends, different, human, life; EU scope not established. This is a provisional connection, not an outcome finding.</w:t>
      </w:r>
    </w:p>
    <w:p>
      <w:pPr>
        <w:pStyle w:val="SourceNote"/>
      </w:pPr>
      <w:r>
        <w:rPr>
          <w:b/>
        </w:rPr>
        <w:t>Available abstract (not full text):</w:t>
      </w:r>
      <w:r>
        <w:t xml:space="preserve"> Technological progress increasingly envisions the use of robots interacting with people in everyday life. Human–robot collaboration (HRC) is the approach that explores the interaction between a human and a robot, during the completion of a common objective, at the cognitive and physical level. In HRC works, a cognitive model is typically built, which collects inputs from the environment and from the user, elaborates and translates these into information that can be used by the robot itself. Machine learning is a recent approach to build the cognitive model and behavioural block, with high potential in HRC. Consequently, this paper proposes a thorough literature review of the use of machine learning techniques in the context of human–robot collaboration. 45 key papers were selected and analysed, and a clustering of works based on the type of collaborative tasks, evaluation metrics and cognitive variables modelled is proposed. Then, a deep analysis on different families of machine learning algorithms and their properties, along with the sensing modalities used, is carried out. Among the observations, it is outlined the importance of the machine learning algorithms to incorporate time dependencies. The salient features of these works are then cross-analysed to show trends in HRC and give guidelines for future works, comparing them with other aspects of HRC not appeared in the revi</w:t>
      </w:r>
    </w:p>
    <w:p>
      <w:pPr/>
      <w:r>
        <w:rPr>
          <w:b/>
        </w:rPr>
        <w:t>POSSIBLE 2022:</w:t>
      </w:r>
      <w:r>
        <w:t xml:space="preserve"> A RAPID REVIEW ON ROBOTIC (EXOSKELETON) TO EVALUATE BALANCED, STANDING AND WALKING — https://doi.org/10.47750/pnr.2022.13.s06.383</w:t>
      </w:r>
    </w:p>
    <w:p>
      <w:pPr/>
      <w:r>
        <w:rPr>
          <w:b/>
        </w:rPr>
        <w:t>Shared claim-specific concepts:</w:t>
      </w:r>
      <w:r>
        <w:t xml:space="preserve"> evaluate, key, human; EU scope not established. This is a provisional connection, not an outcome finding.</w:t>
      </w:r>
    </w:p>
    <w:p>
      <w:pPr>
        <w:pStyle w:val="SourceNote"/>
      </w:pPr>
      <w:r>
        <w:rPr>
          <w:b/>
        </w:rPr>
        <w:t>Available abstract (not full text):</w:t>
      </w:r>
      <w:r>
        <w:t xml:space="preserve"> Balance evaluation during standing and walking is efficient chiefly in people with neural compensations. Rehabilitation robots, on the other hand, might make evaluation processes easier and increase their clinical usefulness. We analysed the possible use of robotic instruments for such assessments based on this overview. The uniqueness and presumed key benefits of utilising robots for assessment include their capacity to assess severely afflicted patients by offering assistance-when-needed, as well as their ability to give constant perturbations while standing and walking while recording the patient's reactions. We classify robotic devices based on three factors that are significant to their potential application in balance assessment: 1) the device's interaction with the human body; 2) on what surface the individual stands or walks when using the gadget, and 3) To what extent the wearable devices are. Also, robotic support was easy to use with no undesirable effects of skin abrasions or soreness.</w:t>
      </w:r>
    </w:p>
    <w:p>
      <w:pPr>
        <w:pStyle w:val="Heading2"/>
      </w:pPr>
      <w:r>
        <w:t>792. Futures of robotics. Human work in digital transformation</w:t>
      </w:r>
    </w:p>
    <w:p>
      <w:pPr>
        <w:pStyle w:val="SourceNote"/>
      </w:pPr>
      <w:r>
        <w:rPr>
          <w:b/>
        </w:rPr>
        <w:t>Original source (2017):</w:t>
      </w:r>
      <w:r>
        <w:t xml:space="preserve"> https://doi.org/10.1504/ijtm.2017.10004003</w:t>
      </w:r>
    </w:p>
    <w:p>
      <w:pPr/>
      <w:r>
        <w:t>Original wording (abstract; indexed_source_text_not_full_document_verified): We evaluate key future trends in the field of robotics and analyse different scenarios regarding the futures of human beings and work life.</w:t>
      </w:r>
    </w:p>
    <w:p>
      <w:pPr/>
      <w:r>
        <w:rPr>
          <w:b/>
        </w:rPr>
        <w:t>POSSIBLE 2026:</w:t>
      </w:r>
      <w:r>
        <w:t xml:space="preserve"> Evaluating rainfall trend in four key stations of the Northwestern Himalayan region, Uttarakhand: utilizing innovative graphical approaches for trend assessment — https://doi.org/10.54302/mausam.v77i2.6492</w:t>
      </w:r>
    </w:p>
    <w:p>
      <w:pPr/>
      <w:r>
        <w:rPr>
          <w:b/>
        </w:rPr>
        <w:t>Shared claim-specific concepts:</w:t>
      </w:r>
      <w:r>
        <w:t xml:space="preserve"> evaluate, key, trends; EU scope not established. This is a provisional connection, not an outcome finding.</w:t>
      </w:r>
    </w:p>
    <w:p>
      <w:pPr>
        <w:pStyle w:val="SourceNote"/>
      </w:pPr>
      <w:r>
        <w:rPr>
          <w:b/>
        </w:rPr>
        <w:t>Available abstract (not full text):</w:t>
      </w:r>
      <w:r>
        <w:t xml:space="preserve"> Comprehending rainfall patterns is a multifaceted endeavor, both in terms of spatial and temporal dimensions. Gaining insight into these patterns necessitates a close examination of trends within rainfall time series data. The main focus of this research is to evaluate the variations in annual and seasonal precipitation characteristics within the Kosi River Basin (KRB) of Uttarakhand using globally recommended method such as., Innovative Trend Analysis (ITA), Mann-Kendall (MK) test and linear regression (LR) analysis. Through ITA, both monotonic and non-monotonic trends were discerned, irrespective of serial correlation, dataset size, or distribution characteristics. This technique proves valuable in identifying diverse trends in rainfall data. In contrast to MK tests, ITA exhibited greater efficacy in trend detection, yielding distinct results across various seasons. For instance, during the monsoon season, MK tests failed to detect trends, while ITA successfully identified them. Conversely, post-monsoon season trends were identified using all three techniques. In sum, ITA emerged as a more dependable method for trend identification in rainfall data. This insight can be instrumental in formulating strategies for sustainable water resource management and addressing potential challenges posed by climate change on water availability. The findings of this study hold significant re</w:t>
      </w:r>
    </w:p>
    <w:p>
      <w:pPr/>
      <w:r>
        <w:rPr>
          <w:b/>
        </w:rPr>
        <w:t>POSSIBLE 2026:</w:t>
      </w:r>
      <w:r>
        <w:t xml:space="preserve"> Closed-Loop Electrical Control Systems for Agricultural Machinery: State of the Art and Future Trends in Key Technologies, Typical Applications, and Performance Evaluation — https://doi.org/10.3390/pr14203366</w:t>
      </w:r>
    </w:p>
    <w:p>
      <w:pPr/>
      <w:r>
        <w:rPr>
          <w:b/>
        </w:rPr>
        <w:t>Shared claim-specific concepts:</w:t>
      </w:r>
      <w:r>
        <w:t xml:space="preserve"> key, trends, field, work; EU scope not established. This is a provisional connection, not an outcome finding.</w:t>
      </w:r>
    </w:p>
    <w:p>
      <w:pPr>
        <w:pStyle w:val="SourceNote"/>
      </w:pPr>
      <w:r>
        <w:rPr>
          <w:b/>
        </w:rPr>
        <w:t>Available abstract (not full text):</w:t>
      </w:r>
      <w:r>
        <w:t xml:space="preserve"> Control of agricultural machinery is shifting from direct operator input toward closed-loop regulation coordinated by sensors, controllers, and actuators. This transition places greater demands on real-time performance, reliability, and practical deployability because field environments are complex and operating loads vary continuously. Existing reviews generally address automated navigation, electrohydraulic control, electrification, or control algorithms in isolation; few systematically compare coupling among all elements of the electrical control loop or the strength of the supporting evidence. This study therefore combines a topic-oriented structured narrative review with evidence mapping and critical synthesis for field agricultural machinery and implements. The proposed framework comprises five functional domains: sensing and state estimation, controllers and control hardware, control methods, actuation and drives, and communication and power supply. These domains are mapped to representative applications, including tractor–implement coordination, seeding and fertilization, crop protection, harvesting, and autonomous operation. Current closed-loop applications predominantly regulate vehicle motion, actuators, and process states. By contrast, operation-quality loops that directly use agronomic outcomes, such as seed placement quality, spray deposition, or harvest loss, as </w:t>
      </w:r>
    </w:p>
    <w:p>
      <w:pPr/>
      <w:r>
        <w:rPr>
          <w:b/>
        </w:rPr>
        <w:t>POSSIBLE 2025:</w:t>
      </w:r>
      <w:r>
        <w:t xml:space="preserve"> Financial Trends and Performance in the Food Industry: An Evaluation of Key Indicators — https://doi.org/10.15414/2024.9788055228167.479-487</w:t>
      </w:r>
    </w:p>
    <w:p>
      <w:pPr/>
      <w:r>
        <w:rPr>
          <w:b/>
        </w:rPr>
        <w:t>Shared claim-specific concepts:</w:t>
      </w:r>
      <w:r>
        <w:t xml:space="preserve"> evaluate, key, trends; EU scope visible. This is a provisional connection, not an outcome finding.</w:t>
      </w:r>
    </w:p>
    <w:p>
      <w:pPr>
        <w:pStyle w:val="SourceNote"/>
      </w:pPr>
      <w:r>
        <w:rPr>
          <w:b/>
        </w:rPr>
        <w:t>Available abstract (not full text):</w:t>
      </w:r>
      <w:r>
        <w:t xml:space="preserve"> Paper's objective(s) and research backgroundThe food industry plays a crucial role in shaping cultural practices, consumer trends, and economic development.It continually adapts to changes in technology, consumer preferences, and societal demands, making it a dynamic and influential sector.The food industry has a long tradition in Slovakia, although it has undergone a significant and complicated restructuring since 1990.A significant milestone in the development of the food industry was Slovakia's accession to the EU in the context of adapting to European markets not only in terms of production but also in terms of legislation.In addition to the harmonisation of legislation, accession to the EU also brought about an increase in the share of foreign capital in food companies and their integration into international business structures.In addition, the food industry has also seen changes in terms of technical and technological innovations and organisational changes in the production, distribution and sale of food commodities. Data/MethodsThe aim of the paper is to evaluate the financial trends and performance of the food industry in the time period 2016-2022 based on selected key indicators.The analysis includes data within SK NACE Section C, Division 10.In addition to general theoretical scientific methods, we used time analysis methods. Results/Conclusions/Value addedThe analys</w:t>
      </w:r>
    </w:p>
    <w:p>
      <w:pPr/>
      <w:r>
        <w:rPr>
          <w:b/>
        </w:rPr>
        <w:t>POSSIBLE 2024:</w:t>
      </w:r>
      <w:r>
        <w:t xml:space="preserve"> Analysis and Evaluation of Trends in Natural Disasters — https://doi.org/10.38146/bsz.2024.2.7</w:t>
      </w:r>
    </w:p>
    <w:p>
      <w:pPr/>
      <w:r>
        <w:rPr>
          <w:b/>
        </w:rPr>
        <w:t>Shared claim-specific concepts:</w:t>
      </w:r>
      <w:r>
        <w:t xml:space="preserve"> key, trends, work; EU scope not established. This is a provisional connection, not an outcome finding.</w:t>
      </w:r>
    </w:p>
    <w:p>
      <w:pPr>
        <w:pStyle w:val="SourceNote"/>
      </w:pPr>
      <w:r>
        <w:rPr>
          <w:b/>
        </w:rPr>
        <w:t>Available abstract (not full text):</w:t>
      </w:r>
      <w:r>
        <w:t xml:space="preserve"> Aim: The aim of this article is to examine the terminology behind natural disasters and to group them together to give readers an insight into the world of natural hazards. The author also aims to describe the quantitative changes that have occurred in recent years.Methodology: The definitions are based on the presentation of concepts used by key authorities. Categorisation and trend analysis is based on international discourse, databases and reports from relevant bodies and organisations.Findings: The security environment is changing dramatically. One reason for this is that there is a clear increase in a number of categories of natural events (disasters). As regards definitions, there is no uniform concept, but disasters are exceptional events with significant material damage.Value: Through the author’s analytical and evaluative work, the reader will gain insight into the world of natural disasters, a broad knowledge of the relevant literature, and valuable insights into global vulnerability and changing trends.</w:t>
      </w:r>
    </w:p>
    <w:p>
      <w:pPr/>
      <w:r>
        <w:rPr>
          <w:b/>
        </w:rPr>
        <w:t>POSSIBLE 2024:</w:t>
      </w:r>
      <w:r>
        <w:t xml:space="preserve"> Principles and Guidelines for Evaluating Social Robot Navigation Algorithms — https://doi.org/10.1145/3700599</w:t>
      </w:r>
    </w:p>
    <w:p>
      <w:pPr/>
      <w:r>
        <w:rPr>
          <w:b/>
        </w:rPr>
        <w:t>Shared claim-specific concepts:</w:t>
      </w:r>
      <w:r>
        <w:t xml:space="preserve"> evaluate, field, different, human; EU scope not established. This is a provisional connection, not an outcome finding.</w:t>
      </w:r>
    </w:p>
    <w:p>
      <w:pPr>
        <w:pStyle w:val="SourceNote"/>
      </w:pPr>
      <w:r>
        <w:rPr>
          <w:b/>
        </w:rPr>
        <w:t>Available abstract (not full text):</w:t>
      </w:r>
      <w:r>
        <w:t xml:space="preserve"> A major challenge to deploying robots widely is navigation in human-populated environments, commonly referred to as social robot navigation . While the field of social navigation has advanced tremendously in recent years, the fair evaluation of algorithms that tackle social navigation remains hard because it involves not just robotic agents moving in static environments but also dynamic human agents and their perceptions of the appropriateness of robot behavior. In contrast, clear, repeatable, and accessible benchmarks have accelerated progress in fields like computer vision, natural language processing and traditional robot navigation by enabling researchers to fairly compare algorithms, revealing limitations of existing solutions and illuminating promising new directions. We believe the same approach can benefit social navigation. In this article, we pave the road toward common, widely accessible, and repeatable benchmarking criteria to evaluate social robot navigation. Our contributions include (a) a definition of a socially navigating robot as one that respects the principles of safety, comfort, legibility, politeness, social competency, agent understanding, proactivity, and responsiveness to context, (b) guidelines for the use of metrics, development of scenarios, benchmarks, datasets, and simulators to evaluate social navigation, and (c) a design of a social navigation me</w:t>
      </w:r>
    </w:p>
    <w:p>
      <w:pPr/>
      <w:r>
        <w:rPr>
          <w:b/>
        </w:rPr>
        <w:t>POSSIBLE 2024:</w:t>
      </w:r>
      <w:r>
        <w:t xml:space="preserve"> Artificial Intelligence for Predictive Maintenance Applications: Key Components, Trustworthiness, and Future Trends — https://doi.org/10.3390/app14020898</w:t>
      </w:r>
    </w:p>
    <w:p>
      <w:pPr/>
      <w:r>
        <w:rPr>
          <w:b/>
        </w:rPr>
        <w:t>Shared claim-specific concepts:</w:t>
      </w:r>
      <w:r>
        <w:t xml:space="preserve"> key, trends, human; EU scope not established. This is a provisional connection, not an outcome finding.</w:t>
      </w:r>
    </w:p>
    <w:p>
      <w:pPr>
        <w:pStyle w:val="SourceNote"/>
      </w:pPr>
      <w:r>
        <w:rPr>
          <w:b/>
        </w:rPr>
        <w:t>Available abstract (not full text):</w:t>
      </w:r>
      <w:r>
        <w:t xml:space="preserve"> Predictive maintenance (PdM) is a policy applying data and analytics to predict when one of the components in a real system has been destroyed, and some anomalies appear so that maintenance can be performed before a breakdown takes place. Using cutting-edge technologies like data analytics and artificial intelligence (AI) enhances the performance and accuracy of predictive maintenance systems and increases their autonomy and adaptability in complex and dynamic working environments. This paper reviews the recent developments in AI-based PdM, focusing on key components, trustworthiness, and future trends. The state-of-the-art (SOTA) techniques, challenges, and opportunities associated with AI-based PdM are first analyzed. The integration of AI technologies into PdM in real-world applications, the human–robot interaction, the ethical issues emerging from using AI, and the testing and validation abilities of the developed policies are later discussed. This study exhibits the potential working areas for future research, such as digital twin, metaverse, generative AI, collaborative robots (cobots), blockchain technology, trustworthy AI, and Industrial Internet of Things (IIoT), utilizing a comprehensive survey of the current SOTA techniques, opportunities, and challenges allied with AI-based PdM.</w:t>
      </w:r>
    </w:p>
    <w:p>
      <w:pPr/>
      <w:r>
        <w:rPr>
          <w:b/>
        </w:rPr>
        <w:t>POSSIBLE 2024:</w:t>
      </w:r>
      <w:r>
        <w:t xml:space="preserve"> Conclusion: key trends shaping the field — https://doi.org/10.4337/9781803928289.00045</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The conclusion provides a review of overarching themes and emerging trends across the chapters, outlines a research agenda for further advancement of the field, and predicts future directions. The chapter focuses on three themes and trends: evaluation’s potential role in addressing urgent global challenges; the rapid proliferation of data and advancement of technology available to evaluators; and the imperative that evaluators actively and intentionally advocate for social justice, including through working to decolonize the practice of evaluation itself. The editors end with a call for reflection, research on evaluation, and action to push the evaluation field towards a collectively desired future.</w:t>
      </w:r>
    </w:p>
    <w:p>
      <w:pPr/>
      <w:r>
        <w:rPr>
          <w:b/>
        </w:rPr>
        <w:t>POSSIBLE 2023:</w:t>
      </w:r>
      <w:r>
        <w:t xml:space="preserve"> A Comprehensive Evaluation of Factors Influencing Acceptance of Robotic Assistants in Field Construction Work — https://doi.org/10.1061/jmenea.meeng-5227</w:t>
      </w:r>
    </w:p>
    <w:p>
      <w:pPr/>
      <w:r>
        <w:rPr>
          <w:b/>
        </w:rPr>
        <w:t>Shared claim-specific concepts:</w:t>
      </w:r>
      <w:r>
        <w:t xml:space="preserve"> evaluate, key, field, human, work; EU scope not established. This is a provisional connection, not an outcome finding.</w:t>
      </w:r>
    </w:p>
    <w:p>
      <w:pPr>
        <w:pStyle w:val="SourceNote"/>
      </w:pPr>
      <w:r>
        <w:rPr>
          <w:b/>
        </w:rPr>
        <w:t>Available abstract (not full text):</w:t>
      </w:r>
      <w:r>
        <w:t xml:space="preserve"> The adoption of human–robot collaboration (HRC) in various forms is widely expected to help improve productivity, reduce human physical workload, and alleviate the issues created by a skilled labor shortage in the construction industry. One potential deterrent to adoption of such collaborative work methods often cited by industry stakeholders is resistance by workers stemming from their fear of losing their jobs or having to learn new approaches and methods of performing construction work. Although significant prior studies have used path analyses to statistically evaluate hypotheses about technology adoption models by estimating the relationships in the models, no research has specifically investigated the intention to work in HRC through such an approach. This study addresses this knowledge gap and empirically investigates the factors affecting construction personnel’s behavioral intention to accept HRC. HRC in this study is envisioned as robotic assistants performing the physically demanding repetitive work while construction personnel focus on cognitive tasks necessary to plan and supervise the work. An HRC adoption model based on the technology acceptance model (TAM) and innovation diffusion theory (IDT) is presented. This study expands a TAM-IDT model with new constructs such as job satisfaction and openness to training to explore an improved model that increases the unde</w:t>
      </w:r>
    </w:p>
    <w:p>
      <w:pPr/>
      <w:r>
        <w:rPr>
          <w:b/>
        </w:rPr>
        <w:t>POSSIBLE 2022:</w:t>
      </w:r>
      <w:r>
        <w:t xml:space="preserve"> Evaluating Research Trends Using Key Term Occurrences and Multivariate Mann-Kendall Test — https://doi.org/10.1109/isetc56213.2022.10010222</w:t>
      </w:r>
    </w:p>
    <w:p>
      <w:pPr/>
      <w:r>
        <w:rPr>
          <w:b/>
        </w:rPr>
        <w:t>Shared claim-specific concepts:</w:t>
      </w:r>
      <w:r>
        <w:t xml:space="preserve"> key, trends, field; EU scope not established. This is a provisional connection, not an outcome finding.</w:t>
      </w:r>
    </w:p>
    <w:p>
      <w:pPr>
        <w:pStyle w:val="SourceNote"/>
      </w:pPr>
      <w:r>
        <w:rPr>
          <w:b/>
        </w:rPr>
        <w:t>Available abstract (not full text):</w:t>
      </w:r>
      <w:r>
        <w:t xml:space="preserve"> This paper offers a quantifiable means for assessing the trend in the interest of scientific community in a particular research theme. Representing the research theme as a set of key terms, we investigate its trend within the scientific literature, using a corpus of paper metadata belonging to flagship journals and conferences that are relevant for the encompassing domain. Our method employs a multivariate version of the Mann-Kendall test that is applied to a multivariate time series of key term occurrences in order to discover if the trend of the research theme is ascending, descending or if there is no monotonic trend. Finally, an illustrative case study, examining the effectiveness of the proposed method for three research themes from Electronic Design Automation field, is presented.</w:t>
      </w:r>
    </w:p>
    <w:p>
      <w:pPr/>
      <w:r>
        <w:rPr>
          <w:b/>
        </w:rPr>
        <w:t>POSSIBLE 2022:</w:t>
      </w:r>
      <w:r>
        <w:t xml:space="preserve"> EVALUATING QUALITY OF GOVERNMENT REGULATORY ENFORCEMENT AND INSPECTION ACTIVITY FROM THE VIEWPOINT OF PRIVAT BUSINESS: KEY TRENDS — https://doi.org/10.5281/zenodo.7333284</w:t>
      </w:r>
    </w:p>
    <w:p>
      <w:pPr/>
      <w:r>
        <w:rPr>
          <w:b/>
        </w:rPr>
        <w:t>Shared claim-specific concepts:</w:t>
      </w:r>
      <w:r>
        <w:t xml:space="preserve"> evaluate, key, trends, regarding; EU scope not established. This is a provisional connection, not an outcome finding.</w:t>
      </w:r>
    </w:p>
    <w:p>
      <w:pPr>
        <w:pStyle w:val="SourceNote"/>
      </w:pPr>
      <w:r>
        <w:rPr>
          <w:b/>
        </w:rPr>
        <w:t>Available abstract (not full text):</w:t>
      </w:r>
      <w:r>
        <w:t xml:space="preserve"> Enhancing the government’s regulatory enforcement and oversight performance has been considered among critical measures aimed at improving the business environment in Russia; this makes the study relevant for the current governance agenda. The objective of this paper is to evaluate the dynamics of private businesses’ perceptions regarding the justified nature, efficacy, and efficiency of state oversight measures in 2017 – 2021. The subject of the study is the quality of state regulatory enforcement and oversight, including its rationality, efficacy, and efficiency. The key method used in this study is a representative sociological survey of private business entities conducted in 2021. The findings were then compared with those from similar surveys carried out in 2017 and 2020. The results presented in this paper include the analysis of businesses’ perceptions regarding all quality parameters of state regulatory and oversight interference (how justified, effective, and efficient it is). The study concludes that so far, the state regulatory system reform in Russia has not resulted in its performance being more effective (i.e., carrying lower risk of damage to the public values) or more justified. Notably, administrative costs borne by businesses due to state inspections have decreased due to a lower average cost per inspection as well as a reduction in the total number of inspect</w:t>
      </w:r>
    </w:p>
    <w:p>
      <w:pPr/>
      <w:r>
        <w:rPr>
          <w:b/>
        </w:rPr>
        <w:t>POSSIBLE 2022:</w:t>
      </w:r>
      <w:r>
        <w:t xml:space="preserve"> Human–robot collaboration and machine learning: A systematic review of recent research — https://doi.org/10.1016/j.rcim.2022.102432</w:t>
      </w:r>
    </w:p>
    <w:p>
      <w:pPr/>
      <w:r>
        <w:rPr>
          <w:b/>
        </w:rPr>
        <w:t>Shared claim-specific concepts:</w:t>
      </w:r>
      <w:r>
        <w:t xml:space="preserve"> key, trends, different, human, life; EU scope not established. This is a provisional connection, not an outcome finding.</w:t>
      </w:r>
    </w:p>
    <w:p>
      <w:pPr>
        <w:pStyle w:val="SourceNote"/>
      </w:pPr>
      <w:r>
        <w:rPr>
          <w:b/>
        </w:rPr>
        <w:t>Available abstract (not full text):</w:t>
      </w:r>
      <w:r>
        <w:t xml:space="preserve"> Technological progress increasingly envisions the use of robots interacting with people in everyday life. Human–robot collaboration (HRC) is the approach that explores the interaction between a human and a robot, during the completion of a common objective, at the cognitive and physical level. In HRC works, a cognitive model is typically built, which collects inputs from the environment and from the user, elaborates and translates these into information that can be used by the robot itself. Machine learning is a recent approach to build the cognitive model and behavioural block, with high potential in HRC. Consequently, this paper proposes a thorough literature review of the use of machine learning techniques in the context of human–robot collaboration. 45 key papers were selected and analysed, and a clustering of works based on the type of collaborative tasks, evaluation metrics and cognitive variables modelled is proposed. Then, a deep analysis on different families of machine learning algorithms and their properties, along with the sensing modalities used, is carried out. Among the observations, it is outlined the importance of the machine learning algorithms to incorporate time dependencies. The salient features of these works are then cross-analysed to show trends in HRC and give guidelines for future works, comparing them with other aspects of HRC not appeared in the revi</w:t>
      </w:r>
    </w:p>
    <w:p>
      <w:pPr/>
      <w:r>
        <w:rPr>
          <w:b/>
        </w:rPr>
        <w:t>POSSIBLE 2022:</w:t>
      </w:r>
      <w:r>
        <w:t xml:space="preserve"> A RAPID REVIEW ON ROBOTIC (EXOSKELETON) TO EVALUATE BALANCED, STANDING AND WALKING — https://doi.org/10.47750/pnr.2022.13.s06.383</w:t>
      </w:r>
    </w:p>
    <w:p>
      <w:pPr/>
      <w:r>
        <w:rPr>
          <w:b/>
        </w:rPr>
        <w:t>Shared claim-specific concepts:</w:t>
      </w:r>
      <w:r>
        <w:t xml:space="preserve"> evaluate, key, human; EU scope not established. This is a provisional connection, not an outcome finding.</w:t>
      </w:r>
    </w:p>
    <w:p>
      <w:pPr>
        <w:pStyle w:val="SourceNote"/>
      </w:pPr>
      <w:r>
        <w:rPr>
          <w:b/>
        </w:rPr>
        <w:t>Available abstract (not full text):</w:t>
      </w:r>
      <w:r>
        <w:t xml:space="preserve"> Balance evaluation during standing and walking is efficient chiefly in people with neural compensations. Rehabilitation robots, on the other hand, might make evaluation processes easier and increase their clinical usefulness. We analysed the possible use of robotic instruments for such assessments based on this overview. The uniqueness and presumed key benefits of utilising robots for assessment include their capacity to assess severely afflicted patients by offering assistance-when-needed, as well as their ability to give constant perturbations while standing and walking while recording the patient's reactions. We classify robotic devices based on three factors that are significant to their potential application in balance assessment: 1) the device's interaction with the human body; 2) on what surface the individual stands or walks when using the gadget, and 3) To what extent the wearable devices are. Also, robotic support was easy to use with no undesirable effects of skin abrasions or soreness.</w:t>
      </w:r>
    </w:p>
    <w:p>
      <w:pPr>
        <w:pStyle w:val="Heading2"/>
      </w:pPr>
      <w:r>
        <w:t>793. Governance barriers to sustainable energy transitions – Assessing Ireland's capacity towards marine energy futures</w:t>
      </w:r>
    </w:p>
    <w:p>
      <w:pPr>
        <w:pStyle w:val="SourceNote"/>
      </w:pPr>
      <w:r>
        <w:rPr>
          <w:b/>
        </w:rPr>
        <w:t>Original source (2017):</w:t>
      </w:r>
      <w:r>
        <w:t xml:space="preserve"> https://doi.org/10.1016/j.enpol.2017.11.020</w:t>
      </w:r>
    </w:p>
    <w:p>
      <w:pPr/>
      <w:r>
        <w:t>Original wording (abstract; indexed_source_text_not_full_document_verified): We observe that ME governance is complex, as development offshore involves engagement and may often result in conflict.</w:t>
      </w:r>
    </w:p>
    <w:p>
      <w:pPr/>
      <w:r>
        <w:rPr>
          <w:b/>
        </w:rPr>
        <w:t>POSSIBLE 2026:</w:t>
      </w:r>
      <w:r>
        <w:t xml:space="preserve"> Beyond the surface: diagnosing the origins of institutional barriers in the governance of floating offshore wind — https://doi.org/10.1007/s40152-026-00499-4</w:t>
      </w:r>
    </w:p>
    <w:p>
      <w:pPr/>
      <w:r>
        <w:rPr>
          <w:b/>
        </w:rPr>
        <w:t>Shared claim-specific concepts:</w:t>
      </w:r>
      <w:r>
        <w:t xml:space="preserve"> governance, offshore, often, result; EU scope not established. This is a provisional connection, not an outcome finding.</w:t>
      </w:r>
    </w:p>
    <w:p>
      <w:pPr>
        <w:pStyle w:val="SourceNote"/>
      </w:pPr>
      <w:r>
        <w:rPr>
          <w:b/>
        </w:rPr>
        <w:t>Available abstract (not full text):</w:t>
      </w:r>
      <w:r>
        <w:t xml:space="preserve"> The expansion of floating offshore wind in the UK's Celtic Sea presents a major opportunity to accelerate the low-carbon transition while supporting regional economic development. However, its implementation is unfolding within a fragmented governance landscape, which constrains the development of new governance approaches that can deliver on multiple policy objectives, including net-zero, nature recovery, and economic growth. Fragmentation is a well-documented feature of marine governance systems and is commonly associated with institutional barriers such as path dependency, policy layering, and institutional inertia. However, few studies have examined the underlying causes of these barriers, meaning that resulting recommendations often fail to tackle foundational institutional design issues. Drawing on institutional theory and using a diagnostic analytical approach, this study identifies multiple institutional barriers that hinder the development of floating wind in the Celtic Sea. The barriers are traced to underlying institutional attributes, including those that regulate actor roles and responsibilities, structure social networks, and distribute power and authority. The paper concludes that the governance challenges observed in the UK's Celtic Sea arise from systemic and synergistic institutional barriers rather than as a result of isolated policy failures. Therefore, over</w:t>
      </w:r>
    </w:p>
    <w:p>
      <w:pPr/>
      <w:r>
        <w:rPr>
          <w:b/>
        </w:rPr>
        <w:t>POSSIBLE 2026:</w:t>
      </w:r>
      <w:r>
        <w:t xml:space="preserve"> Establishing Meta-Governance to Resolve Public Conflicts in Offshore Wind Power Projects in Korea — https://doi.org/10.3390/su18041711</w:t>
      </w:r>
    </w:p>
    <w:p>
      <w:pPr/>
      <w:r>
        <w:rPr>
          <w:b/>
        </w:rPr>
        <w:t>Shared claim-specific concepts:</w:t>
      </w:r>
      <w:r>
        <w:t xml:space="preserve"> governance, offshore; EU scope not established. This is a provisional connection, not an outcome finding.</w:t>
      </w:r>
    </w:p>
    <w:p>
      <w:pPr>
        <w:pStyle w:val="SourceNote"/>
      </w:pPr>
      <w:r>
        <w:rPr>
          <w:b/>
        </w:rPr>
        <w:t>Available abstract (not full text):</w:t>
      </w:r>
      <w:r>
        <w:t xml:space="preserve"> The Korean government has established a goal of ‘carbon neutrality by 2050’ to prepare for an era of energy and carbon transition. As one of the measures to achieve the goal, the Korean government is also focusing on expanding offshore wind power generation. However, throughout the power generation project, delays and interruptions frequently occur due to public conflicts that arise between key stakeholders such as local residents, developers, and the government. The existing liberal governance model used to resolve public conflicts is revealing limitations due to the power imbalance between stakeholders and the uncertainty of the responsibility structure. In response, this study proposes a meta-governance model in which the government takes on the coordinating and mediating role among stakeholders as a meta-governor. Through qualitative research methods such as categorizing cases of offshore wind conflicts that have occurred in Korea and analyzing prior studies and policy reports, the analysis demonstrates that this framework can be more effective in resolving public conflicts between stakeholders. Notably, this article integrates the government’s roles as legislator, facilitator, provider, and enforcer mentioned individually in existing meta-governance model research. And it proposes an implementation system designed to manage public conflicts and increase project acceptance </w:t>
      </w:r>
    </w:p>
    <w:p>
      <w:pPr/>
      <w:r>
        <w:rPr>
          <w:b/>
        </w:rPr>
        <w:t>POSSIBLE 2024:</w:t>
      </w:r>
      <w:r>
        <w:t xml:space="preserve"> The social science of offshore aquaculture: uncertainties, challenges and solution-oriented governance needs — https://doi.org/10.3389/faquc.2024.1384037</w:t>
      </w:r>
    </w:p>
    <w:p>
      <w:pPr/>
      <w:r>
        <w:rPr>
          <w:b/>
        </w:rPr>
        <w:t>Shared claim-specific concepts:</w:t>
      </w:r>
      <w:r>
        <w:t xml:space="preserve"> governance, offshore; EU scope not established. This is a provisional connection, not an outcome finding.</w:t>
      </w:r>
    </w:p>
    <w:p>
      <w:pPr>
        <w:pStyle w:val="SourceNote"/>
      </w:pPr>
      <w:r>
        <w:rPr>
          <w:b/>
        </w:rPr>
        <w:t>Available abstract (not full text):</w:t>
      </w:r>
      <w:r>
        <w:t xml:space="preserve"> Aquaculture technology is on the move, enabling production in more open and exposed ocean environments around the world. These new systems offer solutions to environmental challenges facing conventional aquaculture, yet new technologies also create new social challenges while potentially exacerbating, or at minimum recreating, others. Offshore aquaculture research and governance are still in early stages, as is our understanding of the social repercussions and challenges associated with development. This paper provides an evaluation and reflection on offshore aquaculture from a social science perspective and is based on findings from a modified World Café group discussion method including the thoughts and experiences of social science experts. Key challenges and uncertainties including a lack of an appropriate regulatory framework, societal perceptions of offshore aquaculture, and offshore aquaculture’s contribution to society were identified. The governance implications of these challenges are discussed as well as the need for social sciences to address these challenges through transformative and transdisciplinary approaches that bridge science and society.</w:t>
      </w:r>
    </w:p>
    <w:p>
      <w:pPr/>
      <w:r>
        <w:rPr>
          <w:b/>
        </w:rPr>
        <w:t>POSSIBLE 2024:</w:t>
      </w:r>
      <w:r>
        <w:t xml:space="preserve"> Practices within the European Union’s Governance — https://doi.org/10.38158/apjeus.22.1.1</w:t>
      </w:r>
    </w:p>
    <w:p>
      <w:pPr/>
      <w:r>
        <w:rPr>
          <w:b/>
        </w:rPr>
        <w:t>Shared claim-specific concepts:</w:t>
      </w:r>
      <w:r>
        <w:t xml:space="preserve"> governance, complex, often; EU scope visible. This is a provisional connection, not an outcome finding.</w:t>
      </w:r>
    </w:p>
    <w:p>
      <w:pPr>
        <w:pStyle w:val="SourceNote"/>
      </w:pPr>
      <w:r>
        <w:rPr>
          <w:b/>
        </w:rPr>
        <w:t>Available abstract (not full text):</w:t>
      </w:r>
      <w:r>
        <w:t xml:space="preserve"> The European Union’s (EU) governance’s practices are infused with power dynamics. When the power dynamics confront the social dialectic, complex effects are generated that often point in opposite directions. For example, such effects may call for integration and also fragmentation. This empirical paper explores whether or how the practice approach allows a focus on the EU’s governance’s practices, imbued with power, leading in opposite directions when confronted by social interactions. It deals with this question by means of three illustrative short cases representing broad-spectrum practices within contemporary European politics: power politics and Covid-19; the EU in Afghanistan after August 2021; and the Micro Communities of Practice and the EU’s foreign policy regarding China’s Belt and Road Initiative. By directing attention towards the power dynamics of one process and its opposite while facing the social context, we show the contribution of the practice approach to the unpacking of the informal practices that are inherent within the EU’s governance.</w:t>
      </w:r>
    </w:p>
    <w:p>
      <w:pPr/>
      <w:r>
        <w:rPr>
          <w:b/>
        </w:rPr>
        <w:t>POSSIBLE 2024:</w:t>
      </w:r>
      <w:r>
        <w:t xml:space="preserve"> Governance networks for agroecology transitions in rural Europe — https://doi.org/10.1016/j.jrurstud.2024.103482</w:t>
      </w:r>
    </w:p>
    <w:p>
      <w:pPr/>
      <w:r>
        <w:rPr>
          <w:b/>
        </w:rPr>
        <w:t>Shared claim-specific concepts:</w:t>
      </w:r>
      <w:r>
        <w:t xml:space="preserve"> governance, conflict; EU scope visible. This is a provisional connection, not an outcome finding.</w:t>
      </w:r>
    </w:p>
    <w:p>
      <w:pPr>
        <w:pStyle w:val="SourceNote"/>
      </w:pPr>
      <w:r>
        <w:rPr>
          <w:b/>
        </w:rPr>
        <w:t>Available abstract (not full text):</w:t>
      </w:r>
      <w:r>
        <w:t xml:space="preserve"> Governance networks, made of diversified and multidisciplinary actors, have a prominent role in the development and implementation of actions for agri-food system transformation that foster both farm-level and societal change, as in the case of agroecology transitions. This article aims at delivering a typology of governance networks, building on evidence from across Europe. By adopting a governance network theory perspective, a multiple case study is developed through participatory research, by characterising the emerging governance networks from transition actions at different levels in the pathway towards agroecological redesign. Three types of governance networks are identified. Adoption networks develop from early-stage actions in the agroecology transition pathway, to facilitate the shift from conventional to more sustainable farming practices. Positioning networks emerge from actions to create a demand for agroecologically produced food, through the development of marketing strategies and the creation of market channels. Amplification networks are the closest to agroecological redesign, originating from actions structured towards participatory planning and the development and reinforcement of diversity and transdisciplinarity. Advisory services play a key role in all three types, by fostering knowledge diffusion and exchange, as well as by developing trust among farmers </w:t>
      </w:r>
    </w:p>
    <w:p>
      <w:pPr/>
      <w:r>
        <w:rPr>
          <w:b/>
        </w:rPr>
        <w:t>POSSIBLE 2023:</w:t>
      </w:r>
      <w:r>
        <w:t xml:space="preserve"> The Regime Complexes for Global Climate Governance — https://doi.org/10.3390/su15119077</w:t>
      </w:r>
    </w:p>
    <w:p>
      <w:pPr/>
      <w:r>
        <w:rPr>
          <w:b/>
        </w:rPr>
        <w:t>Shared claim-specific concepts:</w:t>
      </w:r>
      <w:r>
        <w:t xml:space="preserve"> governance, complex; EU scope not established. This is a provisional connection, not an outcome finding.</w:t>
      </w:r>
    </w:p>
    <w:p>
      <w:pPr>
        <w:pStyle w:val="SourceNote"/>
      </w:pPr>
      <w:r>
        <w:rPr>
          <w:b/>
        </w:rPr>
        <w:t>Available abstract (not full text):</w:t>
      </w:r>
      <w:r>
        <w:t xml:space="preserve"> Climate change is a major challenge for human society in the 21st century and an important issue in the context of sustainable development governance. As the density of institutions in global climate governance increases, so does the potential for overlap and interaction between the various elements of institutions. The current global climate governance issue is no longer solely a state-centric governance model but presents a complex manifestation of a complex of mechanisms. Taking a global climate governance perspective, this paper finds that the institutional complex of global climate governance is shaped by internal factors, such as self-attribution, rights, and interest linkages. External factors include the rapid development of globalization and the non-governmental state of the international community. The internal logic of the institutional complex is based on the institutional fragmentation of multiple interested parties involved in the governance process and the interaction patterns of internal actors. The institutional complex of global climate governance has the following implications for policy-making: the strength of the institutional complex refers to the framework of decision-making; the flexibility of the arguments provides stakeholders with demands related to their interests and inspires different countries to join in the governance of global climate change.</w:t>
      </w:r>
    </w:p>
    <w:p>
      <w:pPr/>
      <w:r>
        <w:rPr>
          <w:b/>
        </w:rPr>
        <w:t>POSSIBLE 2023:</w:t>
      </w:r>
      <w:r>
        <w:t xml:space="preserve"> Climate Governance and Federalism in the European Union — https://doi.org/10.1017/9781009249676.008</w:t>
      </w:r>
    </w:p>
    <w:p>
      <w:pPr/>
      <w:r>
        <w:rPr>
          <w:b/>
        </w:rPr>
        <w:t>Shared claim-specific concepts:</w:t>
      </w:r>
      <w:r>
        <w:t xml:space="preserve"> governance, complex; EU scope visible. This is a provisional connection, not an outcome finding.</w:t>
      </w:r>
    </w:p>
    <w:p>
      <w:pPr>
        <w:pStyle w:val="SourceNote"/>
      </w:pPr>
      <w:r>
        <w:rPr>
          <w:b/>
        </w:rPr>
        <w:t>Available abstract (not full text):</w:t>
      </w:r>
      <w:r>
        <w:t xml:space="preserve"> Building on its climate change mitigation policies and associated greenhouse gas emissions reductions, the EU aims to become the world’s first climate-neutral economy by 2050. However, meeting the climate change challenge appears complex in the process of European differentiated integration, the (still) problematic 2004 enlargement to include former communist countries, as well as Brexit and the economic downturn caused by the Covid-19 pandemic. The EU offers an interesting combination of different federal features although it has not yet been recognized as a federation. Also, EU climate governance development is the product of peculiar federal dynamics and characteristics, namely: the favourable context for decentralized and experimental policymaking; the enhanced prospects for triggering dynamic processes of policy diffusion; and the availability of multiple levels and forums for policymaking. In this realm, however, a number of knots still need to be disentangled, as Member States’ diverging priorities on energy and sometimes conflicting positions on mitigation targets make intergovernmental decision-making in climate policy increasingly difficult. In addition, policy fragmentation and poor or delayed implementation of EU legislation by Member States remain a critical issue.</w:t>
      </w:r>
    </w:p>
    <w:p>
      <w:pPr/>
      <w:r>
        <w:rPr>
          <w:b/>
        </w:rPr>
        <w:t>POSSIBLE 2022:</w:t>
      </w:r>
      <w:r>
        <w:t xml:space="preserve"> The Governance Context for Adaptive Heritage Reuse: A Review and Typology of Fifteen European Countries — https://doi.org/10.1080/17567505.2022.2153201</w:t>
      </w:r>
    </w:p>
    <w:p>
      <w:pPr/>
      <w:r>
        <w:rPr>
          <w:b/>
        </w:rPr>
        <w:t>Shared claim-specific concepts:</w:t>
      </w:r>
      <w:r>
        <w:t xml:space="preserve"> governance, complex, engagement; EU scope visible. This is a provisional connection, not an outcome finding.</w:t>
      </w:r>
    </w:p>
    <w:p>
      <w:pPr>
        <w:pStyle w:val="SourceNote"/>
      </w:pPr>
      <w:r>
        <w:rPr>
          <w:b/>
        </w:rPr>
        <w:t>Available abstract (not full text):</w:t>
      </w:r>
      <w:r>
        <w:t xml:space="preserve"> Recent years have seen growing international interest in the practice of ‘adaptive reuse’ of heritage buildings, promoted as a financially more viable and environmentally sustainable way to achieve both regeneration and conservation. In parallel, adaptive reuse has emerged as an aim in national policy frameworks and EU governance. Much of the writing on adaptive reuse reflects its nature as a design practice and concentrates on the material form intervention may take. This paper has a different approach, considering the institutional factors that support adaptive reuse occurring, as part of a multi-faceted and complex conservation-planning assemblage, across fifteen European countries. Focusing on regulatory systems for heritage and planning, governance systems, human and financial resources and policies on civic engagement and participation, thematic analysis is used to generate a typology of approaches across the continent, grouping the countries considered into three clusters. The typology proposed is not fixed, but a way to conceptualise the similarities and differences in institutional and policy-contexts that facilitate or restrict adaptive reuse. It contributes to a more informed overview of the context for adaptive reuse and the possibilities of learning from different policy contexts.</w:t>
      </w:r>
    </w:p>
    <w:p>
      <w:pPr/>
      <w:r>
        <w:rPr>
          <w:b/>
        </w:rPr>
        <w:t>POSSIBLE 2022:</w:t>
      </w:r>
      <w:r>
        <w:t xml:space="preserve"> Transformative or piecemeal? Changes in green space planning and governance in eleven European cities — https://doi.org/10.1080/09654313.2022.2139594</w:t>
      </w:r>
    </w:p>
    <w:p>
      <w:pPr/>
      <w:r>
        <w:rPr>
          <w:b/>
        </w:rPr>
        <w:t>Shared claim-specific concepts:</w:t>
      </w:r>
      <w:r>
        <w:t xml:space="preserve"> governance, complex, often; EU scope visible. This is a provisional connection, not an outcome finding.</w:t>
      </w:r>
    </w:p>
    <w:p>
      <w:pPr>
        <w:pStyle w:val="SourceNote"/>
      </w:pPr>
      <w:r>
        <w:rPr>
          <w:b/>
        </w:rPr>
        <w:t>Available abstract (not full text):</w:t>
      </w:r>
      <w:r>
        <w:t xml:space="preserve"> Green (and blue) spaces receive attention as important components of cities that can help to mitigate the effects of climate change, support biodiversity and improve public health. Green space planning aims to transform cities towards urban sustainability and resilience. In a longitudinal study, representatives from eleven European municipalities that had previously been interviewed in 2014 were re-interviewed in 2020–2021 on changes in urban greening and related practices. The interviewees reported mainly advancements in dealing with ecological issues, such as new plans, strategies, regulations or funding programmes for climate adaptation or biodiversity support, as well as some progress in co-governance with non-governmental stakeholders. Promising developments include breaking professional silos by creating new units that can better deal with complex urban issues. In a few cases, high-level local politicians induced profound changes. These changes stimulated the development of new planning and governance cultures, resulting in more co-creation of urban green spaces. However, from a transformation studies perspective, incremental strategies dominate, and even when municipal representatives are aware that substantive changes are needed, they often lack the means to act. For more radical system change, significant extra efforts are needed.</w:t>
      </w:r>
    </w:p>
    <w:p>
      <w:pPr/>
      <w:r>
        <w:rPr>
          <w:b/>
        </w:rPr>
        <w:t>POSSIBLE 2021:</w:t>
      </w:r>
      <w:r>
        <w:t xml:space="preserve"> Ordering global governance complexes: The evolution of the governance complex for international civil aviation — https://doi.org/10.1007/s11558-020-09411-z</w:t>
      </w:r>
    </w:p>
    <w:p>
      <w:pPr/>
      <w:r>
        <w:rPr>
          <w:b/>
        </w:rPr>
        <w:t>Shared claim-specific concepts:</w:t>
      </w:r>
      <w:r>
        <w:t xml:space="preserve"> governance, complex, often, conflict; EU scope not established. This is a provisional connection, not an outcome finding.</w:t>
      </w:r>
    </w:p>
    <w:p>
      <w:pPr>
        <w:pStyle w:val="SourceNote"/>
      </w:pPr>
      <w:r>
        <w:rPr>
          <w:b/>
        </w:rPr>
        <w:t>Available abstract (not full text):</w:t>
      </w:r>
      <w:r>
        <w:t xml:space="preserve"> Many observers worry that growing numbers of international institutions with overlapping functions undermine governance effectiveness via duplication, inconsistency and conflict. Such pessimistic assessments may undervalue the mechanisms available to states and other political agents to reduce conflictual overlap and enhance inter-institutional synergy. Drawing on historical data I examine how states can mitigate conflict within Global Governance Complexes (GGCs) by dissolving or merging existing institutions or by re-configuring their mandates. I further explore how "order in complexity" can emerge through bottom-up processes of adaptation in lieu of state-led reform. My analysis supports three theoretical claims: (1) states frequently refashion governance complexes "top-down" in order to reduce conflictual overlap; (2) "top-down" restructuring and "bottom-up" adaptation present alternative mechanisms for ordering relations among component institutions of GGCs; (3) these twin mechanisms ensure that GGCs tend to (re)produce elements of order over time-albeit often temporarily. Rather than evolving towards ever-greater fragmentation and disorder, complex governance systems thus tend to fluctuate between greater or lesser integration and (dis)order.</w:t>
      </w:r>
    </w:p>
    <w:p>
      <w:pPr/>
      <w:r>
        <w:rPr>
          <w:b/>
        </w:rPr>
        <w:t>POSSIBLE 2021:</w:t>
      </w:r>
      <w:r>
        <w:t xml:space="preserve"> Offshore outsourcing of innovation by SMEs: a 4F perspective of governance — https://doi.org/10.1108/scm-09-2020-0486</w:t>
      </w:r>
    </w:p>
    <w:p>
      <w:pPr/>
      <w:r>
        <w:rPr>
          <w:b/>
        </w:rPr>
        <w:t>Shared claim-specific concepts:</w:t>
      </w:r>
      <w:r>
        <w:t xml:space="preserve"> governance, complex, offshore; EU scope visible. This is a provisional connection, not an outcome finding.</w:t>
      </w:r>
    </w:p>
    <w:p>
      <w:pPr>
        <w:pStyle w:val="SourceNote"/>
      </w:pPr>
      <w:r>
        <w:rPr>
          <w:b/>
        </w:rPr>
        <w:t>Available abstract (not full text):</w:t>
      </w:r>
      <w:r>
        <w:t xml:space="preserve"> Purpose This study aims to investigate how contract complexity and relational trust could impact offshore outsourcing innovation (OOI) performance of small and medium enterprises (SMEs). This study further examines the moderating effects of knowledge routines and joint actions on the relationships between contract complexity, as well as relational trust and OOI performance. Design/methodology/approach The empirical investigation extends transaction cost economics and the relational view of buyer-supplier dyads in the context of offshore outsourcing SMEs. To test the hypotheses, the authors collected and analysed survey data from 200 European manufacturing SMEs that have existing offshore supplier relationships. Findings The results suggest that both complex contracts and relational trust as governance structures positively affect SMEs’ OOI performance. Additionally, while both formal knowledge routines and joint actions help strengthen the relationship between complex contracts and OOI, they showed no significant moderating effect on the relationship between relational trust and OOI. Furthermore, based on the results, the authors also develop a governance framework covering four configurations – fit, firm, flexible and fragile (4F). Originality/value The 4F governance scenarios – fit, firm, flexible and fragile – introduced in this study emphasise the need for a combination of </w:t>
      </w:r>
    </w:p>
    <w:p>
      <w:pPr/>
      <w:r>
        <w:rPr>
          <w:b/>
        </w:rPr>
        <w:t>POSSIBLE 2021:</w:t>
      </w:r>
      <w:r>
        <w:t xml:space="preserve"> Agency and governance in European Union international development — https://doi.org/10.1080/01436597.2021.1979955</w:t>
      </w:r>
    </w:p>
    <w:p>
      <w:pPr/>
      <w:r>
        <w:rPr>
          <w:b/>
        </w:rPr>
        <w:t>Shared claim-specific concepts:</w:t>
      </w:r>
      <w:r>
        <w:t xml:space="preserve"> governance, complex; EU scope visible. This is a provisional connection, not an outcome finding.</w:t>
      </w:r>
    </w:p>
    <w:p>
      <w:pPr>
        <w:pStyle w:val="SourceNote"/>
      </w:pPr>
      <w:r>
        <w:rPr>
          <w:b/>
        </w:rPr>
        <w:t>Available abstract (not full text):</w:t>
      </w:r>
      <w:r>
        <w:t xml:space="preserve"> The European Union’s actorness in international development has been mainly approached from the perspective of EU foreign policy studies, by accounting for the type of power that the EU institutions have aimed to project around the world. Turning this theoretical puzzle upside down and starting from an analysis of indirect governance in EU aid policies, the current article unveils additional instances of EU agency, such as the EU as a policy facilitator and as a policy interpreter. The theoretical argument builds on indirect governance theories, a novel theoretical tool that has not been previously used for analysing EU international development actorness. Empirical examples include regional programmes in Latin America and show how delegation and orchestration as mechanisms of indirect governance have been used by the European Commission in order to continue playing a relevant role in a complex and changing international development context.</w:t>
      </w:r>
    </w:p>
    <w:p>
      <w:pPr>
        <w:pStyle w:val="Heading2"/>
      </w:pPr>
      <w:r>
        <w:t>794. How much does climate change threaten European forest tree species distributions?</w:t>
      </w:r>
    </w:p>
    <w:p>
      <w:pPr>
        <w:pStyle w:val="SourceNote"/>
      </w:pPr>
      <w:r>
        <w:rPr>
          <w:b/>
        </w:rPr>
        <w:t>Original source (2017):</w:t>
      </w:r>
      <w:r>
        <w:t xml:space="preserve"> https://doi.org/10.1111/gcb.13925</w:t>
      </w:r>
    </w:p>
    <w:p>
      <w:pPr/>
      <w:r>
        <w:t>Original wording (abstract; indexed_source_text_not_full_document_verified): We aimed to quantify changes in projected ranges and threat level by the years 2061-2080, for 12 European forest tree species under three climate change scenarios. Models were developed for three climate change scenarios-optimistic (RCP2.6), moderate (RCP4.5), and pessimistic (RPC8.5)-using three General Circulation Models, for the period 2061-2080.</w:t>
      </w:r>
    </w:p>
    <w:p>
      <w:pPr/>
      <w:r>
        <w:rPr>
          <w:b/>
        </w:rPr>
        <w:t>POSSIBLE 2026:</w:t>
      </w:r>
      <w:r>
        <w:t xml:space="preserve"> Shamonda virus in Europe: an emerging threat, the potential role of Culicoides and the need for preparedness. — https://doi.org/10.12834/vetit.4095.42263.1</w:t>
      </w:r>
    </w:p>
    <w:p>
      <w:pPr/>
      <w:r>
        <w:rPr>
          <w:b/>
        </w:rPr>
        <w:t>Shared claim-specific concepts:</w:t>
      </w:r>
      <w:r>
        <w:t xml:space="preserve"> aimed, quantify, threat, three, circulation; EU scope visible. This is a provisional connection, not an outcome finding.</w:t>
      </w:r>
    </w:p>
    <w:p>
      <w:pPr>
        <w:pStyle w:val="SourceNote"/>
      </w:pPr>
      <w:r>
        <w:rPr>
          <w:b/>
        </w:rPr>
        <w:t>Available abstract (not full text):</w:t>
      </w:r>
      <w:r>
        <w:t xml:space="preserve"> The emergence of Shamonda virus (SHAV) in Europe during the summer of 2026 is a timely reminder that the epidemiological boundaries of vector-borne animal viruses are neither fixed nor readily predictable. Shamonda virus is an enveloped, negative-sense, single-stranded RNA virus with three genome segments (L, M and S), belonging to the genus Orthobunyavirus, family Peribunyaviridae, and the Simbu serogroup. Its segmented genome is epidemiologically important because related viruses infecting the same host or vector may exchange genome segments through reassortment, potentially altering antigenicity, host range or pathogenicity. Shamonda virus was first isolated from cattle in Ibadan, Nigeria, in 1965 and was subsequently detected in cattle and Culicoides biting midges in Japan. Its veterinary relevance became clearer after infection was associated with congenital disease in southern Japan: 15 calves exposed in utero during 2015-2016 showed arthrogryposis, torticollis, spinal curvature and central nervous system lesions, and six were stillborn (Hirashima et al., 2017). In South Africa, SHAV RNA was identified retrospectively in Culicoides pools collected between 2012 and 2017 and, in 2021, in the brain and lung of an aborted goat foetus (van der Walt et al., 2023). More recent genomic work also identified a Shuni/SHAV reassortant in a fatal neurological case in a horse, illustra</w:t>
      </w:r>
    </w:p>
    <w:p>
      <w:pPr/>
      <w:r>
        <w:rPr>
          <w:b/>
        </w:rPr>
        <w:t>POSSIBLE 2026:</w:t>
      </w:r>
      <w:r>
        <w:t xml:space="preserve"> How do land-use changes shape future extreme temperatures across Europe? — https://doi.org/10.5194/egusphere-egu26-15125</w:t>
      </w:r>
    </w:p>
    <w:p>
      <w:pPr/>
      <w:r>
        <w:rPr>
          <w:b/>
        </w:rPr>
        <w:t>Shared claim-specific concepts:</w:t>
      </w:r>
      <w:r>
        <w:t xml:space="preserve"> quantify, ranges, climate; EU scope visible. This is a provisional connection, not an outcome finding.</w:t>
      </w:r>
    </w:p>
    <w:p>
      <w:pPr>
        <w:pStyle w:val="SourceNote"/>
      </w:pPr>
      <w:r>
        <w:rPr>
          <w:b/>
        </w:rPr>
        <w:t>Available abstract (not full text):</w:t>
      </w:r>
      <w:r>
        <w:t xml:space="preserve"> In recent decades, Europe has experienced a clear increase in the frequency and intensity of heatwaves, a trend projected to intensify under future climate change. Understanding the processes that modulate extreme heat is therefore critical. While land-use and land-cover changes (LULC) strongly affect surface energy and water exchanges, their role in shaping extreme temperatures at regional scales remains insufficiently explored, particularly under future climate scenarios.Here, we investigate how LUC modulates extreme temperatures and heatwaves over Europe under the SSP3-7.0 scenario using high-resolution regional climate simulations performed with the Weather Research and Forecasting (WRF v4.5.1.4) model. The simulations analyzed contribute to both the EURO-CORDEX framework and the Flagship Pilot Study LUCAS (Land Use and Climate Across Scales). A standard EURO-CORDEX future experiment with fixed LULC is compared with a corresponding simulation following LUCAS Phase 2, in which LULC evolves annually, allowing the assessment of transient LULC effects under future climate conditions.Extreme temperature days are identified using percentile-based thresholds of daily maximum temperature, and heatwaves are defined as periods of consecutive exceedances with varying durations. To enable a consistent comparison of event intensity across experiments, temperature and land-surface variab</w:t>
      </w:r>
    </w:p>
    <w:p>
      <w:pPr/>
      <w:r>
        <w:rPr>
          <w:b/>
        </w:rPr>
        <w:t>POSSIBLE 2024:</w:t>
      </w:r>
      <w:r>
        <w:t xml:space="preserve"> A scoping review of human health co-benefits of forest-based climate change mitigation in Europe — https://doi.org/10.1016/j.envint.2024.108593</w:t>
      </w:r>
    </w:p>
    <w:p>
      <w:pPr/>
      <w:r>
        <w:rPr>
          <w:b/>
        </w:rPr>
        <w:t>Shared claim-specific concepts:</w:t>
      </w:r>
      <w:r>
        <w:t xml:space="preserve"> aimed, forest, climate, developed; EU scope visible. This is a provisional connection, not an outcome finding.</w:t>
      </w:r>
    </w:p>
    <w:p>
      <w:pPr>
        <w:pStyle w:val="SourceNote"/>
      </w:pPr>
      <w:r>
        <w:rPr>
          <w:b/>
        </w:rPr>
        <w:t>Available abstract (not full text):</w:t>
      </w:r>
      <w:r>
        <w:t xml:space="preserve"> Climate change is a pressing global challenge with profound implications for human health. Forest-based climate change mitigation strategies, such as afforestation, reforestation, and sustainable forest management, offer promising solutions to mitigate climate change and simultaneously yield substantial co-benefits for human health. The objective of this scoping review was to examine research trends related to the interdisciplinary nexus between forests as carbon sinks and human health co-benefits. We developed a conceptual framework model, supporting the inclusion of exposure pathways, such as recreational opportunities or aesthetic experiences, in the co-benefit context. We used a scoping review methodology to identify the proportion of European research on forest-based mitigation strategies that acknowledge the interconnection between mitigation strategies and human impacts. We also aimed to assess whether synergies and trade-offs between forest-based carbon sink capacity and human co-benefits has been analysed and quantified. From the initial 4,062 records retrieved, 349 reports analysed European forest management principles and factors related to climate change mitigation capacity. Of those, 97 studies acknowledged human co-benefits and 13 studies quantified the impacts on exposure pathways or health co-benefits and were included for full review. Our analysis demonstrates </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threat, species, climate;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2024:</w:t>
      </w:r>
      <w:r>
        <w:t xml:space="preserve"> Zoonotic Threats: The (Re)emergence of Cercarial Dermatitis, Its Dynamics, and Impact in Europe — https://doi.org/10.3390/pathogens13040282</w:t>
      </w:r>
    </w:p>
    <w:p>
      <w:pPr/>
      <w:r>
        <w:rPr>
          <w:b/>
        </w:rPr>
        <w:t>Shared claim-specific concepts:</w:t>
      </w:r>
      <w:r>
        <w:t xml:space="preserve"> species, climate; EU scope visible. This is a provisional connection, not an outcome finding.</w:t>
      </w:r>
    </w:p>
    <w:p>
      <w:pPr>
        <w:pStyle w:val="SourceNote"/>
      </w:pPr>
      <w:r>
        <w:rPr>
          <w:b/>
        </w:rPr>
        <w:t>Available abstract (not full text):</w:t>
      </w:r>
      <w:r>
        <w:t xml:space="preserve"> Cercarial dermatitis (CD), or "Swimmer's itch" as it is also known, is a waterborne illness caused by a blood fluke from the family Schistosomatidae. It occurs when cercariae of trematode species that do not have humans as their definitive host accidentally penetrate human skin (in an aquatic environment) and trigger allergic symptoms at the site of contact. It is an emerging zoonosis that occurs through water and is often overlooked during differential diagnosis. Some of the factors contributing to the emergence of diseases like CD are related to global warming, which brings about climate change, water eutrophication, the colonization of ponds by snails susceptible to the parasite, and sunlight exposure in the summer, associated with migratory bird routes. Therefore, with the increase in tourism, especially at fluvial beaches, it is relevant to analyze the current epidemiological scenario of CD in European countries and the potential regions at risk.</w:t>
      </w:r>
    </w:p>
    <w:p>
      <w:pPr/>
      <w:r>
        <w:rPr>
          <w:b/>
        </w:rPr>
        <w:t>POSSIBLE 2024:</w:t>
      </w:r>
      <w:r>
        <w:t xml:space="preserve"> Quantifying tree canopy nitrification across European forests — https://doi.org/10.5194/egusphere-egu24-17028</w:t>
      </w:r>
    </w:p>
    <w:p>
      <w:pPr/>
      <w:r>
        <w:rPr>
          <w:b/>
        </w:rPr>
        <w:t>Shared claim-specific concepts:</w:t>
      </w:r>
      <w:r>
        <w:t xml:space="preserve"> forest, tree, species, climate; EU scope visible. This is a provisional connection, not an outcome finding.</w:t>
      </w:r>
    </w:p>
    <w:p>
      <w:pPr>
        <w:pStyle w:val="SourceNote"/>
      </w:pPr>
      <w:r>
        <w:rPr>
          <w:b/>
        </w:rPr>
        <w:t>Available abstract (not full text):</w:t>
      </w:r>
      <w:r>
        <w:t xml:space="preserve"> Fluxes and chemical composition of precipitation is substantially changed after passing through tree canopies, particularly in the case of atmospheric nitrogen compounds, with important implications on forest nitrogen cycling. The causes of these changes, however, have mostly focused on the passive role of foliar surfaces to scavenge pollutants from the atmosphere and to ion exchange processes, while biological processes involving microbes hidden in the phyllosphere have been less investigated. We combined triple oxygen isotopes approach and molecular analyses with the aim of quantifying canopy nitrification and identify microbes responsible for it, respectively. Ten sites included in the European ICP Forests monitoring network, chosen along climate and nitrogen deposition gradients, were selected to include the two most dominant tree species in Europe (Fagus sylvatica L. and Pinus sylvestris L.). Specifically, in this study we: 1) estimated the relative contribution of nitrate derived from biological canopy nitrification vs. atmospheric deposition by using δ18O and Δ17O of nitrate collected in water samples, i.e., in the open field (bulk deposition) and underneath tree canopies (throughfall); 2) quantified the functional genes related to nitrification for the two dominant tree species in European forests by using next-generation sequence analyses. Based on the isotope approach</w:t>
      </w:r>
    </w:p>
    <w:p>
      <w:pPr/>
      <w:r>
        <w:rPr>
          <w:b/>
        </w:rPr>
        <w:t>POSSIBLE 2024:</w:t>
      </w:r>
      <w:r>
        <w:t xml:space="preserve"> Shifts in native tree species distributions in Europe under climate change — https://doi.org/10.1016/j.jenvman.2024.123504</w:t>
      </w:r>
    </w:p>
    <w:p>
      <w:pPr/>
      <w:r>
        <w:rPr>
          <w:b/>
        </w:rPr>
        <w:t>Shared claim-specific concepts:</w:t>
      </w:r>
      <w:r>
        <w:t xml:space="preserve"> aimed, quantify, ranges, threat, forest, tree; EU scope visible. This is a provisional connection, not an outcome finding.</w:t>
      </w:r>
    </w:p>
    <w:p>
      <w:pPr>
        <w:pStyle w:val="SourceNote"/>
      </w:pPr>
      <w:r>
        <w:rPr>
          <w:b/>
        </w:rPr>
        <w:t>Available abstract (not full text):</w:t>
      </w:r>
      <w:r>
        <w:t xml:space="preserve"> Key European tree species are expected to contract their ranges under changing climate, thus there is a need to assess range shifts for other native tree species that could fill their forest niche. Recent studies have focused on economically important species, revealing a wide range of shifts in their distribution worldwide and highlighting several pathways for potential future changes. We aimed to quantify changes in projected ranges and threat levels by the years 2041-60 and 2061-80, for 20 European temperate forest tree species under four climate change scenarios. We compared ten standard stock tree species with ten alternative stock species, that are less frequent and less preferred by managers. We combined distribution data from several sources for each tree species and developed species distribution models using MaxEnt and seven bioclimatic variables. We applied these models to projections of future climate from four global circulation models, under four Shared Socioeconomic Pathways and for near and middle terms: 2041-60 and 2061-80. We also assessed the relationships between predicted range contraction and their functional traits. Analysis of MaxEnt models divided the studied tree species into three groups: non-threatened (Sorbus torminalis, Ulmus minor, Tilia platyphyllos, Acer pseudoplatanus, Prunus avium, and Carpinus betulus), partially threatened (U. laevis, Betula</w:t>
      </w:r>
    </w:p>
    <w:p>
      <w:pPr/>
      <w:r>
        <w:rPr>
          <w:b/>
        </w:rPr>
        <w:t>POSSIBLE 2023:</w:t>
      </w:r>
      <w:r>
        <w:t xml:space="preserve"> Tracking climate change and health in Europe — https://doi.org/10.1289/isee.2023.op-169</w:t>
      </w:r>
    </w:p>
    <w:p>
      <w:pPr/>
      <w:r>
        <w:rPr>
          <w:b/>
        </w:rPr>
        <w:t>Shared claim-specific concepts:</w:t>
      </w:r>
      <w:r>
        <w:t xml:space="preserve"> quantify, climate, developed; EU scope visible. This is a provisional connection, not an outcome finding.</w:t>
      </w:r>
    </w:p>
    <w:p>
      <w:pPr>
        <w:pStyle w:val="SourceNote"/>
      </w:pPr>
      <w:r>
        <w:rPr>
          <w:b/>
        </w:rPr>
        <w:t>Available abstract (not full text):</w:t>
      </w:r>
      <w:r>
        <w:t xml:space="preserve"> BACKGROUND AND AIM: Climate change impacts health through complex multidimensional pathways. However, whilst evidence and awareness of the health implications of climate change are increasing, there is a need for accessible information allowing effective communication of complex climate-health trends. Responding to this need in Europe, the Lancet Countdown in Europe (LCDE) developed indicators that monitor and quantify the health-climate change nexus since the 1950s. METHOD: 33 indicators act as summary measures representing the heterogenous climate-health relationships across (1) impact, exposure, and vulnerability; (2) adaption, planning and resilience; (3) mitigation actions and health co-benefits; (4) economics and finance; and (5) politics and governance. RESULTS: Health risks (1) for almost all indicators have been increasing; clinically relevant pollen seasons are starting 10-20 days earlier each year (1981-2020), the climatic suitability for climate-sensitive infectious diseases have been rapidly increasing (1951-2020), and heat exposure is estimated to have increased by 57% between the first and second half of the 21st century. Some encouraging trends for adaptation (2) could be observed. Yet, despite progress in the reduction of the carbon intensity of energy systems and phasing out coal for electricity generation, mitigation efforts remain inadequate to meet reductio</w:t>
      </w:r>
    </w:p>
    <w:p>
      <w:pPr/>
      <w:r>
        <w:rPr>
          <w:b/>
        </w:rPr>
        <w:t>POSSIBLE 2023:</w:t>
      </w:r>
      <w:r>
        <w:t xml:space="preserve"> Antimicrobial resistance in Germany and Europe – A systematic review on the increasing threat accelerated by climate change — https://doi.org/10.25646/11404</w:t>
      </w:r>
    </w:p>
    <w:p>
      <w:pPr/>
      <w:r>
        <w:rPr>
          <w:b/>
        </w:rPr>
        <w:t>Shared claim-specific concepts:</w:t>
      </w:r>
      <w:r>
        <w:t xml:space="preserve"> threat, climate; EU scope visible. This is a provisional connection, not an outcome finding.</w:t>
      </w:r>
    </w:p>
    <w:p>
      <w:pPr>
        <w:pStyle w:val="SourceNote"/>
      </w:pPr>
      <w:r>
        <w:rPr>
          <w:b/>
        </w:rPr>
        <w:t>Available abstract (not full text):</w:t>
      </w:r>
      <w:r>
        <w:t xml:space="preserve"> Background: Antimicrobial Resistance (AMR) is one of the top ten global public health threats facing humanity, alongside climate change. Here, we aim to summarise the effects of climate change (i.e. raise of temperature, change in humidity or precipitation) on spread of antibiotic resistance and on infections with antibiotic-resistant bacteria in Germany. Methods: We conducted a literature search with articles published between January 2012 and July 2022. Two authors screened titles, abstracts and full texts and extracted the data systematically. Results: From originally 2,389 titles, we identified six studies, which met our inclusion criteria. These studies show that an increase in temperature may lead to higher antibiotic resistance rates and an increased risk of colonisation as well as spread of pathogens. Furthermore, the number of healthcare-associated infections increases with increased temperature. Data indicate that higher antibiotic use is present in areas with warmer mean temperature. Conclusions: European data are scarce, but all studies identified point towards an increasing AMR burden due to climate change. However, further studies are needed to draw attention to the links between climatic factors and AMR and develop targeted preventive measures.</w:t>
      </w:r>
    </w:p>
    <w:p>
      <w:pPr/>
      <w:r>
        <w:rPr>
          <w:b/>
        </w:rPr>
        <w:t>POSSIBLE 2023:</w:t>
      </w:r>
      <w:r>
        <w:t xml:space="preserve"> The threat posed by the invasive fungal pathogen of pines Heterobasidion irregulare in Europe: observations and predictions — https://openalex.org/W7216753626</w:t>
      </w:r>
    </w:p>
    <w:p>
      <w:pPr/>
      <w:r>
        <w:rPr>
          <w:b/>
        </w:rPr>
        <w:t>Shared claim-specific concepts:</w:t>
      </w:r>
      <w:r>
        <w:t xml:space="preserve"> aimed, threat, forest, species, climate; EU scope visible. This is a provisional connection, not an outcome finding.</w:t>
      </w:r>
    </w:p>
    <w:p>
      <w:pPr>
        <w:pStyle w:val="SourceNote"/>
      </w:pPr>
      <w:r>
        <w:rPr>
          <w:b/>
        </w:rPr>
        <w:t>Available abstract (not full text):</w:t>
      </w:r>
      <w:r>
        <w:t xml:space="preserve"> Heterobasidion irregulare is a destructive fungal pathogen of pines native to North America and currently recommended for regulation by EPPO. This basidiomycete was introduced during WWII in central Italy, where the native congener H. annosum is also present. In this talk we review the findings that could help to predict the future trajectory of this alien fungal plant pathogen in Italy and in the European continent. While H. irregulare showed a greater sporulation potential, a faster growth rate in wood and a broader host range than the native H. annosum, precise predictions of future impacts of H. irregulare have been hampered by both the high fragmentation of conifer stands and the low incidence of H. annosum in central Italy. Population genetics studies allowed to predict that as the fragmentation of conifer stands decreases, the spread rate of H. irregulare will increase. Unexpectedly, experiments showed that the presence of the native H. annosum may accelerate and not slow down the spread of H. irregulare. Both results paint a troublesome scenario for areas in central and northern Europe characterized by large contiguous forest stands infested by H. annosum. Are these predicted scenarios likely to be true? In order to answer this question, we have studied the interaction between the two pathogens in central Italy. Field evidence shows not only that H. irregulare is truly </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forest, three;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2022:</w:t>
      </w:r>
      <w:r>
        <w:t xml:space="preserve"> Forest-based climate change mitigation and adaptation in Europe — https://doi.org/10.36333/fs14</w:t>
      </w:r>
    </w:p>
    <w:p>
      <w:pPr/>
      <w:r>
        <w:rPr>
          <w:b/>
        </w:rPr>
        <w:t>Shared claim-specific concepts:</w:t>
      </w:r>
      <w:r>
        <w:t xml:space="preserve"> forest, climate;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pStyle w:val="Heading2"/>
      </w:pPr>
      <w:r>
        <w:t>795. Improved Consistency of Climate Projections over Europe after Accounting for Atmospheric Circulation Variability</w:t>
      </w:r>
    </w:p>
    <w:p>
      <w:pPr>
        <w:pStyle w:val="SourceNote"/>
      </w:pPr>
      <w:r>
        <w:rPr>
          <w:b/>
        </w:rPr>
        <w:t>Original source (2017):</w:t>
      </w:r>
      <w:r>
        <w:t xml:space="preserve"> https://doi.org/10.1175/jcli-d-16-0695.1</w:t>
      </w:r>
    </w:p>
    <w:p>
      <w:pPr/>
      <w:r>
        <w:t>Original wording (abstract; indexed_source_text_not_full_document_verified): The differences in atmospheric circulation as simulated by different models in their control runs and under the historical and representative concentration pathway 8.5 (RCP8.5) forcing scenarios are investigated. A statistically significant response of sea level pressure to anthropogenic forcing is identified in the multimodel ensemble under the RCP8.5 scenario.</w:t>
      </w:r>
    </w:p>
    <w:p>
      <w:pPr/>
      <w:r>
        <w:rPr>
          <w:b/>
        </w:rPr>
        <w:t>POSSIBLE 2026:</w:t>
      </w:r>
      <w:r>
        <w:t xml:space="preserve"> A Comprehensive NMVOC Speciation Database for European Atmospheric Modelling — https://doi.org/10.1038/s41597-026-07538-z</w:t>
      </w:r>
    </w:p>
    <w:p>
      <w:pPr/>
      <w:r>
        <w:rPr>
          <w:b/>
        </w:rPr>
        <w:t>Shared claim-specific concepts:</w:t>
      </w:r>
      <w:r>
        <w:t xml:space="preserve"> atmospheric, anthropogenic; EU scope visible. This is a provisional connection, not an outcome finding.</w:t>
      </w:r>
    </w:p>
    <w:p>
      <w:pPr>
        <w:pStyle w:val="SourceNote"/>
      </w:pPr>
      <w:r>
        <w:rPr>
          <w:b/>
        </w:rPr>
        <w:t>Available abstract (not full text):</w:t>
      </w:r>
      <w:r>
        <w:t xml:space="preserve"> Speciated non-methane volatile organic compound (NMVOC) emissions are essential for air quality modelling, as they underpin atmospheric oxidation processes, secondary pollutant formation, and the evaluation of mitigation strategies. Yet, these emissions remains poorly quantified in Europe. Here, we introduce a new database of NMVOC speciation profiles that prioritises European-specific data consistent with present-day technologies, fuels, and regulatory frameworks, and covers all anthropogenic emission sources reported by European countries. The database includes 130 chemical speciation profiles and over 900 individual NMVOC species, systematically compiled and harmonised from the literature. To facilitate integration within official emission inventories, the profiles are mapped to the Selected Nomenclature for Air Pollution (SNAP) and Nomenclature for Reporting (NFR) sector classifications. Each profile provides species-level mass fractions and their aggregation into the 25 Global Emissions Inventory Activity (GEIA) NMVOC groups, enabling straightforward integration with chemical mechanisms used in contemporary air quality models. In addition, a ready-to-use file compatible with the Copernicus Atmosphere Monitoring Service European regional emission inventory (CAMS-REG) is provided.</w:t>
      </w:r>
    </w:p>
    <w:p>
      <w:pPr/>
      <w:r>
        <w:rPr>
          <w:b/>
        </w:rPr>
        <w:t>POSSIBLE 2026:</w:t>
      </w:r>
      <w:r>
        <w:t xml:space="preserve"> Evaluating effects of the terrain on modelled winds in multiple atmospheric model datasets — https://doi.org/10.5194/wes-2026-24</w:t>
      </w:r>
    </w:p>
    <w:p>
      <w:pPr/>
      <w:r>
        <w:rPr>
          <w:b/>
        </w:rPr>
        <w:t>Shared claim-specific concepts:</w:t>
      </w:r>
      <w:r>
        <w:t xml:space="preserve"> differences, atmospheric, different; EU scope visible. This is a provisional connection, not an outcome finding.</w:t>
      </w:r>
    </w:p>
    <w:p>
      <w:pPr>
        <w:pStyle w:val="SourceNote"/>
      </w:pPr>
      <w:r>
        <w:rPr>
          <w:b/>
        </w:rPr>
        <w:t>Available abstract (not full text):</w:t>
      </w:r>
      <w:r>
        <w:t xml:space="preserve"> Abstract. Numerical atmospheric models are widely used as a meteorological data source when planning the locations of new wind farms. However, before relying on model output for decision-making, it must be verified against observations. Due to commercial restrictions on the availability of observation data, previous studies on atmospheric model validation for wind energy applications are often limited to a single model or a small geographical region. This work performs a large-scale validation of modelled winds at wind turbine heights from seven model datasets against data from more than 500 observation campaigns across Europe. Principal component analysis is used to identify spatial, diurnal, and seasonal patterns of wind speed and direction biases. The results of the analysis show that all seven models exhibit similar spatial and temporal patterns of wind speed bias. Models generally show a more positive wind-speed bias in the Central European Plain and a more negative bias in mountainous regions, namely Southern Europe and the Scandinavian Mountains. Moreover, the temporal patterns of biases also differ between these regions, and wind direction bias shows the same temporal and spatial patterns as the wind speed bias. We show that these wind speed and direction biases can be explained by differences in terrain height between the models and the real world. The magnitude of the</w:t>
      </w:r>
    </w:p>
    <w:p>
      <w:pPr/>
      <w:r>
        <w:rPr>
          <w:b/>
        </w:rPr>
        <w:t>POSSIBLE 2026:</w:t>
      </w:r>
      <w:r>
        <w:t xml:space="preserve"> Climatological Characteristics and Atmospheric Circulation Associated With Three‐Dimensional Heat Wave Types in Middle Europe — https://doi.org/10.1029/2025ea004784</w:t>
      </w:r>
    </w:p>
    <w:p>
      <w:pPr/>
      <w:r>
        <w:rPr>
          <w:b/>
        </w:rPr>
        <w:t>Shared claim-specific concepts:</w:t>
      </w:r>
      <w:r>
        <w:t xml:space="preserve"> differences, atmospheric, circulation, different, pressure; EU scope visible. This is a provisional connection, not an outcome finding.</w:t>
      </w:r>
    </w:p>
    <w:p>
      <w:pPr>
        <w:pStyle w:val="SourceNote"/>
      </w:pPr>
      <w:r>
        <w:rPr>
          <w:b/>
        </w:rPr>
        <w:t>Available abstract (not full text):</w:t>
      </w:r>
      <w:r>
        <w:t xml:space="preserve"> Abstract A novel classification of three‐dimensional heat wave types is applied to Middle Europe over 1979–2022. Heat waves are classified according to their vertical structure of temperature anomalies in the ERA5 reanalysis into near‐surface (HWG), lower‐tropospheric (HWL), higher‐tropospheric (HWH), and omnipresent (HWO). Jenkinson–Collison classification is used to link circulation types (CTs) to individual heat wave types, and their climatological characteristics are studied in station‐based E‐OBS data. We show that the surface temperature anomalies are largest during HWG, which also are characterized by the driest conditions before onset. In all heat wave types, CTs with southerly flow are more common compared to the June–September climatology, but differences among the heat wave types are found for other CTs. In HWG, the CT occurring most frequently is indeterminate flow, corresponding to a little pronounced pressure field with no clear role of anticyclonic vorticity or flow direction. The expected pattern of increased anticyclonic and decreased cyclonic flow is clearly manifest only for HWH, while it is reversed during HWG. An important role of anticyclonic circulation supporting gradual warming is found before the onset of most heat wave types, except for HWH. The differences in circulation characteristics among the heat wave types are smaller after their termination, w</w:t>
      </w:r>
    </w:p>
    <w:p>
      <w:pPr/>
      <w:r>
        <w:rPr>
          <w:b/>
        </w:rPr>
        <w:t>POSSIBLE 2026:</w:t>
      </w:r>
      <w:r>
        <w:t xml:space="preserve"> Trends in short-term precipitation variability and their connection to atmospheric circulation — https://doi.org/10.5194/ems2026-287</w:t>
      </w:r>
    </w:p>
    <w:p>
      <w:pPr/>
      <w:r>
        <w:rPr>
          <w:b/>
        </w:rPr>
        <w:t>Shared claim-specific concepts:</w:t>
      </w:r>
      <w:r>
        <w:t xml:space="preserve"> differences, atmospheric, circulation, pressure; EU scope visible. This is a provisional connection, not an outcome finding.</w:t>
      </w:r>
    </w:p>
    <w:p>
      <w:pPr>
        <w:pStyle w:val="SourceNote"/>
      </w:pPr>
      <w:r>
        <w:rPr>
          <w:b/>
        </w:rPr>
        <w:t>Available abstract (not full text):</w:t>
      </w:r>
      <w:r>
        <w:t xml:space="preserve"> Long-term changes in precipitation occurrence and short-term variability influence drought and flood risk and therefore represent an important aspect of climate change assessment. In this study, we analyse trends in wet-day probability and precipitation persistence across Europe and evaluate their consistency across three widely used datasets: station observations (ECA&amp;D), gridded observations (E-OBS), and the ERA5 reanalysis. Wet-day probability is defined as the seasonal probability of daily precipitation exceeding 1 mm. Short-term variability is characterized by (i) transition probabilities between dry and wet days (dry-to-wet and wet-to-wet), assuming a two-state first-order Markov process, and (ii) persistence of precipitation quantified as the lag-1 autocorrelation of this process.The analysis covers the period 1961–2020 and is conducted separately for seasons, with particular focus on winter and summer. Trends are estimated using non-parametric (Mann-Kendall test, Kendall statistic). To interpret spatial patterns and assess potential drivers, precipitation characteristics are related to atmospheric circulation types derived from sea-level pressure using the Jenkinson–Collison classification, which describes daily flow direction, strength, and vorticity. Circulation types are further categorized as conducive or non-conducive to wet days based on their relative wet-day fre</w:t>
      </w:r>
    </w:p>
    <w:p>
      <w:pPr/>
      <w:r>
        <w:rPr>
          <w:b/>
        </w:rPr>
        <w:t>POSSIBLE 2026:</w:t>
      </w:r>
      <w:r>
        <w:t xml:space="preserve"> Day-to-day temperature variability, atmospheric fronts, and circulation types: How they fit together? — https://doi.org/10.5194/ems2026-367</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This preliminary study builds on previous work on the climatology of atmospheric fronts over Europe and their relationship with day-to-day near-surface air temperature variability. Earlier analyses have shown that temperature responses to frontal passages exhibit substantial spatial and seasonal variability, suggesting the influence of multiple interacting atmospheric processes.The present contribution focuses on the role of large-scale circulation in modulating day-to-day temperature differences (DTD) associated with atmospheric fronts. Fronts are identified using an objective detection method applied to ERA5 reanalysis data for the period 1961–2020 over Europe. The synoptic-scale circulation is characterized by the Jenkinson–Collison classification derived from sea level pressure fields and aggregated into a reduced set of circulation types.The analysis considers both warm and cold fronts during winter and summer seasons. In addition to temperature changes, the relationship between circulation types and frontal occurrence is examined using conditional probabilities, which quantify how strongly individual circulation types favour the occurrence of a given front type relative to its climatological frequency. This framework enables a systematic assessment of the links between frontal passages, temperature variability, and large-scale circulation.Preliminary results indicate that</w:t>
      </w:r>
    </w:p>
    <w:p>
      <w:pPr/>
      <w:r>
        <w:rPr>
          <w:b/>
        </w:rPr>
        <w:t>POSSIBLE 2025:</w:t>
      </w:r>
      <w:r>
        <w:t xml:space="preserve"> Climatological characteristics and atmospheric circulation associated with 3D heat wave types in European regions — https://doi.org/10.5194/egusphere-egu25-9748</w:t>
      </w:r>
    </w:p>
    <w:p>
      <w:pPr/>
      <w:r>
        <w:rPr>
          <w:b/>
        </w:rPr>
        <w:t>Shared claim-specific concepts:</w:t>
      </w:r>
      <w:r>
        <w:t xml:space="preserve"> differences, atmospheric, circulation, different, sea, level; EU scope visible. This is a provisional connection, not an outcome finding.</w:t>
      </w:r>
    </w:p>
    <w:p>
      <w:pPr>
        <w:pStyle w:val="SourceNote"/>
      </w:pPr>
      <w:r>
        <w:rPr>
          <w:b/>
        </w:rPr>
        <w:t>Available abstract (not full text):</w:t>
      </w:r>
      <w:r>
        <w:t xml:space="preserve"> We evaluate climatological characteristics (temperature anomalies, mean precipitation, and the Climatic Water balance index defined as the difference between potential evapotranspiration and precipitation) and links to atmospheric circulation for three-dimensional (3D) heat wave types in several European regions. Heat waves are classified according to their 3D structure of positive temperature anomalies in ERA5 over 1979–2022 (the satellite period) into near-surface, lower-tropospheric, higher-tropospheric, and omnipresent types (Lhotka &amp; Kyselý 2024, https://www.nature.com/articles/s43247-024-01497-2). The Jenkinson–Collison classification of daily mean sea level pressure patterns is used to identify circulation types with increased frequency during the individual heat wave types compared to the June–September climatology. We show large differences in surface temperature anomalies and dryness among the heat wave types, as well as different links to circulation patterns. The differences are most pronounced between near-surface and higher-tropospheric heat waves and point to processes important for their onset and development. The analysis contributes to better understanding the interrelationships between heat waves, atmospheric circulation, and other driving mechanisms.</w:t>
      </w:r>
    </w:p>
    <w:p>
      <w:pPr/>
      <w:r>
        <w:rPr>
          <w:b/>
        </w:rPr>
        <w:t>POSSIBLE 2025:</w:t>
      </w:r>
      <w:r>
        <w:t xml:space="preserve"> Links to atmospheric circulation vary for individual heat wave types in Middle Europe — https://doi.org/10.5194/egusphere-egu25-9815</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We evaluate links to atmospheric circulation for three-dimensional heat wave types in Middle Europe over 1979–2022. Heat waves are classified according to their vertical structures of temperature anomalies in ERA5 into near-surface (HWG), lower-tropospheric (HWL), higher-tropospheric (HWH), and omnipresent (HWO) types. Jenkinson–Collison classification of daily mean sea level pressure patterns is used to identify circulation types (CTs) with increased frequency for the individual heat wave types. In all heat wave types, CTs with southerly flow are more common compared to the June–September climatology but differences are found for other groups of CTs. In HWG, the CT occurring most frequently is indeterminate flow, corresponding to a little pronounced pressure field with no clear role of anticyclonic vorticity or flow direction. The expected pattern of increased anticyclonic and decreased cyclonic flow is clearly manifest only for HWH, while it is reversed during HWG. The role of warm advection increases for the other two heat wave types, HWL and HWO. Anticyclonic circulation supporting gradual warming is important mainly before the onset of most heat wave types, except for HWH. The reported differences reflect diverse processes leading to the various heat wave types, with the dominant roles of anticyclonic vorticity for HWH and land–atmosphere coupling under little pronounced c</w:t>
      </w:r>
    </w:p>
    <w:p>
      <w:pPr/>
      <w:r>
        <w:rPr>
          <w:b/>
        </w:rPr>
        <w:t>POSSIBLE 2025:</w:t>
      </w:r>
      <w:r>
        <w:t xml:space="preserve"> Using different TROPOMI XCH4 retrieval products in atmospheric inversions of CH4: a comparison and reconciliation over Europe — https://doi.org/10.5194/egusphere-egu25-9567</w:t>
      </w:r>
    </w:p>
    <w:p>
      <w:pPr/>
      <w:r>
        <w:rPr>
          <w:b/>
        </w:rPr>
        <w:t>Shared claim-specific concepts:</w:t>
      </w:r>
      <w:r>
        <w:t xml:space="preserve"> differences, atmospheric, different; EU scope visible. This is a provisional connection, not an outcome finding.</w:t>
      </w:r>
    </w:p>
    <w:p>
      <w:pPr>
        <w:pStyle w:val="SourceNote"/>
      </w:pPr>
      <w:r>
        <w:rPr>
          <w:b/>
        </w:rPr>
        <w:t>Available abstract (not full text):</w:t>
      </w:r>
      <w:r>
        <w:t xml:space="preserve"> Retrievals of column average methane mixing ratio (XCH4) from satellites can provide a wealth of information on the fluxes of CH4. The TROPOMI instrument onboard the satellite Sentinel-5P is particularly interesting for flux estimation using atmospheric inversions as it provides global coverage with relatively high-resolution ground pixels of 5.5 × 7.5 km2 (at nadir). Furthermore, there are several different retrieval products available for TROPOMI XCH4, making it possible to compare these and quantify the effect that differences between them have on CH4 fluxes from atmospheric inversions.In this study, we have compared XCH4 from three retrieval products: i) the official ESA product provided by SRON, ii) the Weighting Function Modified Differential (WFMD) product from the University of Bremen, and iii) the blended TROPOMI-GOSAT product (S5P-BLND) from Harvard University, in atmospheric inversions over Europe for the year 2020. In addition, we compare fluxes from each of these with those derived with an inversion using ground-based observations from the ICOS atmospheric network. For flux estimation, we use the Bayesian inversion framework, FLEXINVERT, and the Lagrangian atmospheric transport model, FLEXPART, driven by ECMWF ERA5 meteorological reanalysis data.We find that the fluxes derived using WFMD and S5P-BLND products agree better with those derived using ICOS data. The dif</w:t>
      </w:r>
    </w:p>
    <w:p>
      <w:pPr/>
      <w:r>
        <w:rPr>
          <w:b/>
        </w:rPr>
        <w:t>POSSIBLE 2025:</w:t>
      </w:r>
      <w:r>
        <w:t xml:space="preserve"> Historical (2005-2019) reconstruction of regional scale climate and atmospheric composition over Europe — https://doi.org/10.5194/ems2025-484</w:t>
      </w:r>
    </w:p>
    <w:p>
      <w:pPr/>
      <w:r>
        <w:rPr>
          <w:b/>
        </w:rPr>
        <w:t>Shared claim-specific concepts:</w:t>
      </w:r>
      <w:r>
        <w:t xml:space="preserve"> differences, atmospheric, different, historical, concentration, significant; EU scope visible. This is a provisional connection, not an outcome finding.</w:t>
      </w:r>
    </w:p>
    <w:p>
      <w:pPr>
        <w:pStyle w:val="SourceNote"/>
      </w:pPr>
      <w:r>
        <w:rPr>
          <w:b/>
        </w:rPr>
        <w:t>Available abstract (not full text):</w:t>
      </w:r>
      <w:r>
        <w:t xml:space="preserve"> The main objective of the Horizon Europe project FOCI (non-CO2 Forcers and their Climate, Weather, Air Quality and Health Impacts) is to improve our knowledge of individual and cumulative contribution of non-CO2 radiative forcers and their precursors on climate and air quality. Due to their short lifetime and their non-uniform emission footprint, the short-lived climate forcers (SLCF) are expected to have different impacts at regional scale. To describe and assess the impact of SLCF, we have developed a framework of coupling global climate model, EC-Earth3, to regional climate models (RCMs), to conduct historical simulations over Europe using CEDS SLCF emissions and LUCAS land cover to maintain consistency with CMIP6 simulations. During the first phase of the project RCMs, consisting of meteorological and chemical transport models WRF+CMAQ and WRF+FARM, have been applied over the CORDEX European domain for years 2005 -19 driven by ERA5 meteorological and CAMS global atmospheric composition reanalyses to provide an historical baseline simulation to be compared and verified versus observations and existing meteorological and tracers’ concentration reanalyses. The verification of the modelling systems performances reconstructing meteorological variables, pollutants’ concentration and their variability observed during the historical period is necessary to validate their planned dow</w:t>
      </w:r>
    </w:p>
    <w:p>
      <w:pPr/>
      <w:r>
        <w:rPr>
          <w:b/>
        </w:rPr>
        <w:t>POSSIBLE 2025:</w:t>
      </w:r>
      <w:r>
        <w:t xml:space="preserve"> Robust Assessment of Atmospheric Circulation Trends over Central Europe Using a Multi-Classification Approach — https://doi.org/10.5194/ems2025-600</w:t>
      </w:r>
    </w:p>
    <w:p>
      <w:pPr/>
      <w:r>
        <w:rPr>
          <w:b/>
        </w:rPr>
        <w:t>Shared claim-specific concepts:</w:t>
      </w:r>
      <w:r>
        <w:t xml:space="preserve"> differences, atmospheric, circulation; EU scope visible. This is a provisional connection, not an outcome finding.</w:t>
      </w:r>
    </w:p>
    <w:p>
      <w:pPr>
        <w:pStyle w:val="SourceNote"/>
      </w:pPr>
      <w:r>
        <w:rPr>
          <w:b/>
        </w:rPr>
        <w:t>Available abstract (not full text):</w:t>
      </w:r>
      <w:r>
        <w:t xml:space="preserve"> Changes in atmospheric circulation are key drivers of regional climate variability and long-term trends in the midlatitudes, particularly across Europe. This study investigates the concurrence and temporal trends in the frequency and persistence of atmospheric circulation types (CTs) over Central Europe for the period 1951–2020. We apply five distinct classifications: the large-scale Grosswetterlagen (GWL), and four regional-scale schemes—Lityński (LIT), Niedźwiedź (TN), Péczely (PEC), and the objective Jenkinson–Collinson (JCT) classification adapted to the study area.The analysis is conducted year-round as well as for the four meteorological seasons, offering a comprehensive perspective on synoptic-scale variability and its evolution over time. Results show substantial methodological differences between individual classification schemes. To assess the consistency and co-occurrence of CTs across methods, we employ a suite of statistical measures including contingency tables, mutual probabilities, Cramér’s V, Adjusted Rand Index (ARI), and Normalized Mutual Information (NMI). These measures highlight both areas of agreement and systematic discrepancies, underscoring the risk of overinterpretation when relying on a single classification.Despite differences, some robust trends emerge: notably, a consistent increase in westerly types and decline in meridional flow patterns during </w:t>
      </w:r>
    </w:p>
    <w:p>
      <w:pPr/>
      <w:r>
        <w:rPr>
          <w:b/>
        </w:rPr>
        <w:t>POSSIBLE 2024:</w:t>
      </w:r>
      <w:r>
        <w:t xml:space="preserve"> Warm‐Season Drying Across Europe and Its Links to Atmospheric Circulation — https://doi.org/10.1029/2023ea003434</w:t>
      </w:r>
    </w:p>
    <w:p>
      <w:pPr/>
      <w:r>
        <w:rPr>
          <w:b/>
        </w:rPr>
        <w:t>Shared claim-specific concepts:</w:t>
      </w:r>
      <w:r>
        <w:t xml:space="preserve"> differences, atmospheric, circulation, sea, level, pressure; EU scope visible. This is a provisional connection, not an outcome finding.</w:t>
      </w:r>
    </w:p>
    <w:p>
      <w:pPr>
        <w:pStyle w:val="SourceNote"/>
      </w:pPr>
      <w:r>
        <w:rPr>
          <w:b/>
        </w:rPr>
        <w:t>Available abstract (not full text):</w:t>
      </w:r>
      <w:r>
        <w:t xml:space="preserve"> Abstract We study drying trends across the central latitude strip of Europe (47.5–52.5°N and 2.5–27.5°E) during 1980–2019 and their links to atmospheric circulation. Daily differences between potential evapotranspiration and precipitation (PET–P) calculated from the E–OBS data are used to characterize dryness, and atmospheric circulation is represented by circulation types classified using daily sea level pressure patterns from the NCEP/NCAR reanalysis. Circulation types favoring dry conditions in vegetation season (April–September) are identified based on daily PET–P, and their temporal changes, seasonal variations, and links to trends in dryness in individual European regions are analyzed. In the early vegetation season (AMJ), drying trends are observed mainly in Western and Central Europe while in the late vegetation season (JAS), they are located predominantly in Eastern Europe. The dry circulation types include all anticyclonic types in all regions, as well as northeast to south (southwest in Eastern Europe) directional types. Trends of the dry circulation types correspond to those of dryness: the largest increase is found during AMJ in Western and Central Europe but during JAS in Eastern Europe. The results show that trends in dryness in the central latitude strip of Europe in the warm half‐year were associated with changes in atmospheric circulation, as the largest incre</w:t>
      </w:r>
    </w:p>
    <w:p>
      <w:pPr/>
      <w:r>
        <w:rPr>
          <w:b/>
        </w:rPr>
        <w:t>POSSIBLE 2024:</w:t>
      </w:r>
      <w:r>
        <w:t xml:space="preserve"> Atmospheric circulation associated with 3D heat wave types in Middle Europe — https://doi.org/10.5194/ems2024-343</w:t>
      </w:r>
    </w:p>
    <w:p>
      <w:pPr/>
      <w:r>
        <w:rPr>
          <w:b/>
        </w:rPr>
        <w:t>Shared claim-specific concepts:</w:t>
      </w:r>
      <w:r>
        <w:t xml:space="preserve"> differences, atmospheric, circulation, pressure; EU scope visible. This is a provisional connection, not an outcome finding.</w:t>
      </w:r>
    </w:p>
    <w:p>
      <w:pPr>
        <w:pStyle w:val="SourceNote"/>
      </w:pPr>
      <w:r>
        <w:rPr>
          <w:b/>
        </w:rPr>
        <w:t>Available abstract (not full text):</w:t>
      </w:r>
      <w:r>
        <w:t xml:space="preserve"> Heat waves are phenomena associated with large negative impacts on society and environment. We evaluate links between atmospheric circulation and three-dimensional (3D) heat wave types in Middle Europe (one of the PRUDENCE regions) over 1979–2022. Heat waves are classified according to their 3D structure of positive temperature anomalies in ERA5 into near-surface (HWG), lower-tropospheric (HWL), higher-tropospheric (HWH), and omnipresent (HWO) types. The Jenkinson–Collison classification is used to identify circulation types (CTs) with increased frequency during the individual heat wave types, and their climatological characteristics (including mean temperature anomaly, precipitation, and Climatic Water Balance index defined as potential evapotranspiration minus precipitation) are studied in station-based E-OBS data. We show that the surface temperature anomalies are largest during HWG (+7.1 °C), while HWL are the driest heat wave type according to mean daily precipitation (0.4 mm). At the same time, HWG types show the driest conditions before HW onset. In all heat wave types there is a large increase in the frequency of southern CTs compared to the June–September climatology, but differences among the heat wave types are found for other CTs. In HWG, the most frequent CT is U (undefined), corresponding to little pronounced pressure pattern over Middle Europe with no clear role </w:t>
      </w:r>
    </w:p>
    <w:p>
      <w:pPr>
        <w:pStyle w:val="Heading2"/>
      </w:pPr>
      <w:r>
        <w:t>796. Improving the use of crop models for risk assessment and climate change adaptation</w:t>
      </w:r>
    </w:p>
    <w:p>
      <w:pPr>
        <w:pStyle w:val="SourceNote"/>
      </w:pPr>
      <w:r>
        <w:rPr>
          <w:b/>
        </w:rPr>
        <w:t>Original source (2017):</w:t>
      </w:r>
      <w:r>
        <w:t xml:space="preserve"> https://doi.org/10.1016/j.agsy.2017.07.010</w:t>
      </w:r>
    </w:p>
    <w:p>
      <w:pPr/>
      <w:r>
        <w:t>Original wording (abstract; indexed_source_text_not_full_document_verified): The analysis highlights the limitations of focussing only on projections of future impacts and adaptation options using pre-determined time slices.</w:t>
      </w:r>
    </w:p>
    <w:p>
      <w:pPr/>
      <w:r>
        <w:rPr>
          <w:b/>
        </w:rPr>
        <w:t>POSSIBLE 2025:</w:t>
      </w:r>
      <w:r>
        <w:t xml:space="preserve"> Plastic and Reconstructive Surgery Highlights: Plastic Surgery Focus — https://doi.org/10.1097/prs.0000000000012139</w:t>
      </w:r>
    </w:p>
    <w:p>
      <w:pPr/>
      <w:r>
        <w:rPr>
          <w:b/>
        </w:rPr>
        <w:t>Shared claim-specific concepts:</w:t>
      </w:r>
      <w:r>
        <w:t xml:space="preserve"> highlights, limitations, only, projections; EU scope not established. This is a provisional connection, not an outcome finding.</w:t>
      </w:r>
    </w:p>
    <w:p>
      <w:pPr>
        <w:pStyle w:val="SourceNote"/>
      </w:pPr>
      <w:r>
        <w:rPr>
          <w:b/>
        </w:rPr>
        <w:t>Available abstract (not full text):</w:t>
      </w:r>
      <w:r>
        <w:t xml:space="preserve"> The Plastic Surgery Focus section of Plastic and Reconstructive Surgery, formerly known as Special Topics before 2018, is a unique collection of articles that cover many of the critical aspects of clinical practice, education, and research in plastic surgery. These areas do not necessarily fit neatly into the traditional anatomic subspecialties of the discipline, but instead cover a broad spectrum of important topics, including business, education, global health, technology, and wellness. Now more than ever, plastic surgeons must focus not only on the technical aspects of the specialty but also on the way they are delivered within today’s health care system. As the field, and its surrounding environment, continues to evolve rapidly, the Plastic Surgery Focus section provides the ability to stay up to date with the cutting-edge advancements that continue to shape the specialty. This Plastic and Reconstructive Surgery Highlights article reviews 10 of the most notable Plastic Surgery Focus articles from 2024. While all of the articles from 2024’s section offered important contributions, several were distinguished by their topic, design, and conclusions, providing pivotal information on certain themes, including technology, business, and practice management; health care policy and outcomes; and pharmacotherapeutics in plastic surgery. TECHNOLOGY Artificial Intelligence Technology a</w:t>
      </w:r>
    </w:p>
    <w:p>
      <w:pPr>
        <w:pStyle w:val="Heading2"/>
      </w:pPr>
      <w:r>
        <w:t>797. Institutional issues in planning for more uncertain futures</w:t>
      </w:r>
    </w:p>
    <w:p>
      <w:pPr>
        <w:pStyle w:val="SourceNote"/>
      </w:pPr>
      <w:r>
        <w:rPr>
          <w:b/>
        </w:rPr>
        <w:t>Original source (2017):</w:t>
      </w:r>
      <w:r>
        <w:t xml:space="preserve"> https://doi.org/10.1007/s11116-017-9805-z</w:t>
      </w:r>
    </w:p>
    <w:p>
      <w:pPr/>
      <w:r>
        <w:t>Original wording (abstract; indexed_source_text_not_full_document_verified): In contrast to the changing ideas around what mobility in the future will look like and the types of demand it may need to service, the practice of forecasting future travel demand remains largely unchanged as do the decision-making processes which flow from this. Alternative approaches to thinking about futures such as scenario planning exist but have had more limited deployment in the transport sector.</w:t>
      </w:r>
    </w:p>
    <w:p>
      <w:pPr/>
      <w:r>
        <w:rPr>
          <w:b/>
        </w:rPr>
        <w:t>POSSIBLE 2025:</w:t>
      </w:r>
      <w:r>
        <w:t xml:space="preserve"> Shaping institutional change in skill formation: the role of background ideas in growth strategies — https://doi.org/10.1080/13501763.2025.2490188</w:t>
      </w:r>
    </w:p>
    <w:p>
      <w:pPr/>
      <w:r>
        <w:rPr>
          <w:b/>
        </w:rPr>
        <w:t>Shared claim-specific concepts:</w:t>
      </w:r>
      <w:r>
        <w:t xml:space="preserve"> contrast, ideas, about; EU scope visible. This is a provisional connection, not an outcome finding.</w:t>
      </w:r>
    </w:p>
    <w:p>
      <w:pPr>
        <w:pStyle w:val="SourceNote"/>
      </w:pPr>
      <w:r>
        <w:rPr>
          <w:b/>
        </w:rPr>
        <w:t>Available abstract (not full text):</w:t>
      </w:r>
      <w:r>
        <w:t xml:space="preserve"> States are taking on an increasingly prominent role in shaping policy across advanced capitalist democracies. This paper conducts a comparative study of state intervention in skill formation between 2014 and 2022 and explores why state intervention was deployed for opposite goals: it increased deregulation, underlining skill formation's subordinate role in the French educational system while it strengthened collective governance and the social inclusion potential of the German system. Using a mixed-methods approach that combines process tracing and discourse network analysis of public media debates, this study argues that the non-functionalist background ideas of the actors employing skill formation in growth strategies inform this process. In Germany, beliefs about the complementarity between skill formation and economic growth tie coalitions of state actors and employers that promote institutional reproduction of skill formation even by unusual means, such as state intervention. In contrast, in France, where the skill formation system is perceived as a social policy tool, a coalition of business and state actors aims at increasing the economic potential of the system and reforming its governance according to market principles. This paper calls for more attention to the role of the ideas in influencing trajectories of institutional change.</w:t>
      </w:r>
    </w:p>
    <w:p>
      <w:pPr/>
      <w:r>
        <w:rPr>
          <w:b/>
        </w:rPr>
        <w:t>POSSIBLE 2023:</w:t>
      </w:r>
      <w:r>
        <w:t xml:space="preserve"> On Changing the Subject: ‘Secularity’, ‘Religion’, and the Idea of the Human — https://doi.org/10.3390/rel14040466</w:t>
      </w:r>
    </w:p>
    <w:p>
      <w:pPr/>
      <w:r>
        <w:rPr>
          <w:b/>
        </w:rPr>
        <w:t>Shared claim-specific concepts:</w:t>
      </w:r>
      <w:r>
        <w:t xml:space="preserve"> changing, ideas, need, about; EU scope visible. This is a provisional connection, not an outcome finding.</w:t>
      </w:r>
    </w:p>
    <w:p>
      <w:pPr>
        <w:pStyle w:val="SourceNote"/>
      </w:pPr>
      <w:r>
        <w:rPr>
          <w:b/>
        </w:rPr>
        <w:t>Available abstract (not full text):</w:t>
      </w:r>
      <w:r>
        <w:t xml:space="preserve"> The ‘religion/secular’ frame should be retired as a way of characterizing contemporary northern European cultures. The concepts of ‘secularity’ and ‘religion’ are both falsifying and question begging. They invisibly and unhelpfully predetermine the conversation about who and where we are now. Further, they are terms which increasingly lack salience in these cultures. If we seek to locate and articulate, in order to reflectively engage, the horizons within which contemporary northern Europeans generally live, the goods that orient people’s lives, the ideas and values that move and motivate them, we need to talk not about ‘religion’ and the lack of it, but about the idea of the human. Within the concept of the human is nested today the sense of orientation, meaning, goodness and importance that notions of ‘religion’ used to express. This is the conceptual territory on which arguments about ‘what really matters’ are now conducted. If one wishes to have salience in contemporary culture, one needs to speak to this.</w:t>
      </w:r>
    </w:p>
    <w:p>
      <w:pPr/>
      <w:r>
        <w:rPr>
          <w:b/>
        </w:rPr>
        <w:t>POSSIBLE 2022:</w:t>
      </w:r>
      <w:r>
        <w:t xml:space="preserve"> Mobility in pandemic times: Exploring changes and long-term effects of COVID-19 on urban mobility behavior — https://doi.org/10.1016/j.trip.2022.100668</w:t>
      </w:r>
    </w:p>
    <w:p>
      <w:pPr/>
      <w:r>
        <w:rPr>
          <w:b/>
        </w:rPr>
        <w:t>Shared claim-specific concepts:</w:t>
      </w:r>
      <w:r>
        <w:t xml:space="preserve"> contrast, changing, mobility, travel; EU scope not established. This is a provisional connection, not an outcome finding.</w:t>
      </w:r>
    </w:p>
    <w:p>
      <w:pPr>
        <w:pStyle w:val="SourceNote"/>
      </w:pPr>
      <w:r>
        <w:rPr>
          <w:b/>
        </w:rPr>
        <w:t>Available abstract (not full text):</w:t>
      </w:r>
      <w:r>
        <w:t xml:space="preserve"> The COVID-19 pandemic marked a global disruption of unprecedented scale which was closely associated with human mobility. Since mobility acts as a facilitator for spreading the virus, individuals were forced to reconsider their respective behaviors. Despite numerous studies having detected behavioral changes during the first lockdown period (spring 2020), there is a lack of longitudinal perspectives that can provide insights into the intra-pandemic dynamics and potential long-term effects. This article investigates COVID-19-induced mobility-behavioral transformations by analyzing travel patterns of Berlin residents during a 20-month pandemic period and comparing them to the pre-pandemic situation. Based on quantitative analysis of almost 800,000 recorded trips, our longitudinal examination revealed individuals having reduced average monthly travel distances by ∼20%, trip frequencies by ∼11%, and having switched to individual modes. Public transportation has suffered a continual regression, with trip frequencies experiencing a relative long-term reduction of ∼50%, and a respective decrease of traveled distances by ∼43%. In contrast, the bicycle (rather than the car) was the central beneficiary, indicated by bicycle-related trip frequencies experiencing a relative long-term increase of ∼53%, and travel distances increasing by ∼117%. Comparing behavioral responses to three pandemi</w:t>
      </w:r>
    </w:p>
    <w:p>
      <w:pPr/>
      <w:r>
        <w:rPr>
          <w:b/>
        </w:rPr>
        <w:t>POSSIBLE 2021:</w:t>
      </w:r>
      <w:r>
        <w:t xml:space="preserve"> The changing map of international student mobility — https://doi.org/10.46786/ac21.7444</w:t>
      </w:r>
    </w:p>
    <w:p>
      <w:pPr/>
      <w:r>
        <w:rPr>
          <w:b/>
        </w:rPr>
        <w:t>Shared claim-specific concepts:</w:t>
      </w:r>
      <w:r>
        <w:t xml:space="preserve"> changing, ideas, mobility; EU scope not established. This is a provisional connection, not an outcome finding.</w:t>
      </w:r>
    </w:p>
    <w:p>
      <w:pPr>
        <w:pStyle w:val="SourceNote"/>
      </w:pPr>
      <w:r>
        <w:rPr>
          <w:b/>
        </w:rPr>
        <w:t>Available abstract (not full text):</w:t>
      </w:r>
      <w:r>
        <w:t xml:space="preserve"> This article presents fifteen essays following a prompt on the changing map of international student mobility through three disruptions, namely Brexit, America First and COVID-19. These essays written by postgraduate students at Beijing Normal University were collected during the Spring semester of 2020 and edited by Stephanie Hollings and Zhang Man under the supervision of Professor Michael Peters. The fifteen texts, written in the midst of the COVID-19 pandemic, highlight the many factors and faces of the changing map of international student mobility from fifteen different perspectives. The world map is a key aspect of these essays as it is not only important as a geographical concept but as a discourse of knowledge, power, identity and ideas that will be reflected in each student’s interpretation of international student mobility. Each student draws on their own diverse background and lived experiences, some as Chinese students and some as international students in China, to give light to these disruptions through the eyes of ‘globally mobile’ students, making an important contribution to global discussions on international student mobility. These students, reflecting on being in the midst of a pandemic spreading across the world map, imagine the future post-COVID-19 and how that will interplay with the other two major student mobility disruptions of recent years (Brexit an</w:t>
      </w:r>
    </w:p>
    <w:p>
      <w:pPr/>
      <w:r>
        <w:rPr>
          <w:b/>
        </w:rPr>
        <w:t>POSSIBLE 2021:</w:t>
      </w:r>
      <w:r>
        <w:t xml:space="preserve"> A Trainable Monogenic ConvNet Layer Robust in Front of Large Contrast Changes in Image Classification — https://doi.org/10.1109/access.2021.3128552</w:t>
      </w:r>
    </w:p>
    <w:p>
      <w:pPr/>
      <w:r>
        <w:rPr>
          <w:b/>
        </w:rPr>
        <w:t>Shared claim-specific concepts:</w:t>
      </w:r>
      <w:r>
        <w:t xml:space="preserve"> contrast, ideas, types; EU scope not established. This is a provisional connection, not an outcome finding.</w:t>
      </w:r>
    </w:p>
    <w:p>
      <w:pPr>
        <w:pStyle w:val="SourceNote"/>
      </w:pPr>
      <w:r>
        <w:rPr>
          <w:b/>
        </w:rPr>
        <w:t>Available abstract (not full text):</w:t>
      </w:r>
      <w:r>
        <w:t xml:space="preserve"> Convolutional Neural Networks (ConvNets) at present achieve remarkable performance in image classification tasks. However, current ConvNets cannot guarantee the capabilities of the mammalian visual systems such as invariance to contrast and illumination changes. Some ideas to overcome the illumination and contrast variations usually have to be tuned manually and tend to fail when tested with other types of data degradation. In this context, we present a new bio-inspired entry layer, M6, which detects low-level geometric features (lines, edges, and orientations) which are similar to patterns detected by the V1 visual cortex. This new trainable layer is capable of coping with image classification even with large contrast variations. The explanation for this behavior is the monogenic signal geometry, which represents each pixel value in a 3D space using quaternions, a fact that confers a degree of explainability to the networks. We compare M6 with a conventional convolutional layer (C) and a deterministic quaternion local phase layer (Q9). The experimental setup is designed to evaluate the robustness of our M6 enriched ConvNet model and includes three architectures, four datasets, three types of contrast degradation (including non-uniform haze degradations). The numerical results reveal that the models with M6 are the most robust in front of any kind of contrast variations. This a</w:t>
      </w:r>
    </w:p>
    <w:p>
      <w:pPr/>
      <w:r>
        <w:rPr>
          <w:b/>
        </w:rPr>
        <w:t>POSSIBLE 2021:</w:t>
      </w:r>
      <w:r>
        <w:t xml:space="preserve"> The Idea of Mismatch in Evolutionary Medicine — https://doi.org/10.1086/716543</w:t>
      </w:r>
    </w:p>
    <w:p>
      <w:pPr/>
      <w:r>
        <w:rPr>
          <w:b/>
        </w:rPr>
        <w:t>Shared claim-specific concepts:</w:t>
      </w:r>
      <w:r>
        <w:t xml:space="preserve"> contrast, ideas, need, largely, about; EU scope not established. This is a provisional connection, not an outcome finding.</w:t>
      </w:r>
    </w:p>
    <w:p>
      <w:pPr>
        <w:pStyle w:val="SourceNote"/>
      </w:pPr>
      <w:r>
        <w:rPr>
          <w:b/>
        </w:rPr>
        <w:t>Available abstract (not full text):</w:t>
      </w:r>
      <w:r>
        <w:t xml:space="preserve"> Mismatch is a prominent concept in evolutionary medicine, and a number of philosophers have published analyses of this concept. The word ‘mismatch’ has been used in a diversity of ways across a range of sciences, leading these authors to regard it as a vague concept in need of philosophical clarification. Here, in contrast, we concentrate on the use of mismatch in modelling and experimentation in evolutionary medicine. This reveals a rigorous theory of mismatch within which the term ‘mismatch’ is indeed used in several ways, not because it is ill defined but because different forms of mismatch are distinguished within the theory. Contemporary evolutionary medicine has unified the idea of ‘evolutionary mismatch’, derived from the older idea of ‘adaptive lag’ in evolution, with ideas about mismatch in development and physiology derived from the developmental origins of health and disease (DOHaD) paradigm. A number of publications in evolutionary medicine have tried to make this theoretical framework explicit. We build on these to present the theory in as simple and general a form as possible. We introduce terminology, largely drawn from the existing literature, to distinguish the different forms of mismatch. This integrative theory of mismatch captures how organisms track environments across space and time on multiple scales in order to maintain an adaptive match to the environme</w:t>
      </w:r>
    </w:p>
    <w:p>
      <w:pPr/>
      <w:r>
        <w:rPr>
          <w:b/>
        </w:rPr>
        <w:t>POSSIBLE 2020:</w:t>
      </w:r>
      <w:r>
        <w:t xml:space="preserve"> How ideas matter in public policy: a review of concepts, mechanisms, and methods — https://doi.org/10.4000/irpp.1343</w:t>
      </w:r>
    </w:p>
    <w:p>
      <w:pPr/>
      <w:r>
        <w:rPr>
          <w:b/>
        </w:rPr>
        <w:t>Shared claim-specific concepts:</w:t>
      </w:r>
      <w:r>
        <w:t xml:space="preserve"> ideas, decision-making, processes, approaches; EU scope not established. This is a provisional connection, not an outcome finding.</w:t>
      </w:r>
    </w:p>
    <w:p>
      <w:pPr>
        <w:pStyle w:val="SourceNote"/>
      </w:pPr>
      <w:r>
        <w:rPr>
          <w:b/>
        </w:rPr>
        <w:t>Available abstract (not full text):</w:t>
      </w:r>
      <w:r>
        <w:t xml:space="preserve"> The recent ideational turn in political science and public administration implies that ideas matter. Ideas are an essential explanatory concept for understanding policy changes and decision-making processes. The aim of the paper is to specify how ideas matter as a variable in public policy research, providing students and scholars of public policy with a stock take of the current state-of-the-art literature on ideas in political science and public administration. The paper first identifies three approaches to ideas as a variable in the policy process. It then discusses where ideas come from and the dynamics and drivers of ideational change to shed light on the ideational mechanisms underpinning policy processes. Furthermore, it taps into different research methods that can be used to study ideas. Finally, the paper concludes with five lessons for future research endeavours on the study of ideas in public policy.</w:t>
      </w:r>
    </w:p>
    <w:p>
      <w:pPr/>
      <w:r>
        <w:rPr>
          <w:b/>
        </w:rPr>
        <w:t>POSSIBLE 2020:</w:t>
      </w:r>
      <w:r>
        <w:t xml:space="preserve"> Smart Roads: An Overview of What Future Mobility Will Look Like — https://doi.org/10.3390/infrastructures5120107</w:t>
      </w:r>
    </w:p>
    <w:p>
      <w:pPr/>
      <w:r>
        <w:rPr>
          <w:b/>
        </w:rPr>
        <w:t>Shared claim-specific concepts:</w:t>
      </w:r>
      <w:r>
        <w:t xml:space="preserve"> mobility, look, like; EU scope not established. This is a provisional connection, not an outcome finding.</w:t>
      </w:r>
    </w:p>
    <w:p>
      <w:pPr>
        <w:pStyle w:val="SourceNote"/>
      </w:pPr>
      <w:r>
        <w:rPr>
          <w:b/>
        </w:rPr>
        <w:t>Available abstract (not full text):</w:t>
      </w:r>
      <w:r>
        <w:t xml:space="preserve"> Transport engineering has recently undergone several significant changes and innovations, one of which is the appearance and spread of autonomous vehicles; with this technology becoming more common and ordinary by the day, it is now necessary to implement some systems and contexts to facilitate autonomous vehicle operations. Consequently, a different perspective is now arising when dealing with road infrastructures, aiming to simplify and improve efficiency and maintenance of the existing roads, increase the life cycle of newly built ones, and minimize the economic and financial impact at the same time. Roadway pavements are one of the primary factors affecting vehicle operations; over time, this distinctive aspect has gone through various mechanical and physical changes due to the adoption of new materials or design methods. Consequently, to the spread of autonomous vehicles, scientific research has begun to study and develop systems to make road pavements and platforms not exclusively aimed at bearing loads, but rather at considering them as a means of communication and information exchange, if not even as a source of energy. This new approach introduces the so-called “Smart Roads,” i.e., road infrastructures capable of communicating with vehicles and self-monitoring fundamental perspectives concerning driverless vehicles and the roadway platform life cycle. This paper examin</w:t>
      </w:r>
    </w:p>
    <w:p>
      <w:pPr/>
      <w:r>
        <w:rPr>
          <w:b/>
        </w:rPr>
        <w:t>POSSIBLE 2020:</w:t>
      </w:r>
      <w:r>
        <w:t xml:space="preserve"> Changing Mobility Lifestyle — https://doi.org/10.4018/ijepr.20210401.oa6</w:t>
      </w:r>
    </w:p>
    <w:p>
      <w:pPr/>
      <w:r>
        <w:rPr>
          <w:b/>
        </w:rPr>
        <w:t>Shared claim-specific concepts:</w:t>
      </w:r>
      <w:r>
        <w:t xml:space="preserve"> changing, mobility, service, about; EU scope not established. This is a provisional connection, not an outcome finding.</w:t>
      </w:r>
    </w:p>
    <w:p>
      <w:pPr>
        <w:pStyle w:val="SourceNote"/>
      </w:pPr>
      <w:r>
        <w:rPr>
          <w:b/>
        </w:rPr>
        <w:t>Available abstract (not full text):</w:t>
      </w:r>
      <w:r>
        <w:t xml:space="preserve"> The article is focused on a detailed micro-study describing changes in the behaviour of the authors in three months before and during the COVID-19 pandemic. The study is based on data from Google Location Service. Despite the fact it evaluates only three people and the study cannot be sufficiently representative, it is a unique example of possible data processing at such a level of accuracy. The most significant changes in the behaviour of authors before and during the COVID-19 quarantine are described and interpreted in detail. Another purpose of the article is to point out the possibilities of analytical processing of Google Location while being aware of personal data protection issues. The authors recognize that by visualizing the real motion data, one partially discloses their privacy, but one considers it very valuable to show how detailed data Google collects about the population and how such data can be used effectively.</w:t>
      </w:r>
    </w:p>
    <w:p>
      <w:pPr/>
      <w:r>
        <w:rPr>
          <w:b/>
        </w:rPr>
        <w:t>POSSIBLE 2020:</w:t>
      </w:r>
      <w:r>
        <w:t xml:space="preserve"> Millionaire mobility and the sale of citizenship — https://doi.org/10.1080/1369183x.2020.1758554</w:t>
      </w:r>
    </w:p>
    <w:p>
      <w:pPr/>
      <w:r>
        <w:rPr>
          <w:b/>
        </w:rPr>
        <w:t>Shared claim-specific concepts:</w:t>
      </w:r>
      <w:r>
        <w:t xml:space="preserve"> contrast, mobility; EU scope not established. This is a provisional connection, not an outcome finding.</w:t>
      </w:r>
    </w:p>
    <w:p>
      <w:pPr>
        <w:pStyle w:val="SourceNote"/>
      </w:pPr>
      <w:r>
        <w:rPr>
          <w:b/>
        </w:rPr>
        <w:t>Available abstract (not full text):</w:t>
      </w:r>
      <w:r>
        <w:t xml:space="preserve"> Why do wealthy people purchase citizenship in peripheral countries? This article investigates the demand for citizenship by investment programmes, which enable naturalisation based on a donation or financial investment. Extending research on long-distance naturalisation among the middle class and on residence by investment programmes, I examine the motives of the wealthy using citizenship by investment options. Based on over one hundred interviews with rich naturalisers and intermediaries in the citizenship industry, I find that mobility, both in the present and as a future hedge, is a strong driver, followed by business advantages. Often it is privileges in third countries – not the place granting the citizenship – that are sought. In contrast to middle-class strategic naturalisers, quality of life, education options, and job prospects were not important, though navigating geopolitical barriers and risks were. Many naturalisers were not compensating for the failures of their citizenship at birth, but manoeuvering within a world of state competition. Finally, some individuals inverted the citizenship hierarchy and downgraded from ‘first tier’ memberships when, after years of living abroad, their nationality became a liability. The conclusion elaborates on the duplex structure of intra-state and inter-state inequality that channels demand, and the implications for citizenship mo</w:t>
      </w:r>
    </w:p>
    <w:p>
      <w:pPr/>
      <w:r>
        <w:rPr>
          <w:b/>
        </w:rPr>
        <w:t>POSSIBLE 2020:</w:t>
      </w:r>
      <w:r>
        <w:t xml:space="preserve"> The Politics of Mobility: Study Abroad in an Era of Climate Change — https://openalex.org/W3029188850</w:t>
      </w:r>
    </w:p>
    <w:p>
      <w:pPr/>
      <w:r>
        <w:rPr>
          <w:b/>
        </w:rPr>
        <w:t>Shared claim-specific concepts:</w:t>
      </w:r>
      <w:r>
        <w:t xml:space="preserve"> mobility, types, travel, about, exist; EU scope not established. This is a provisional connection, not an outcome finding.</w:t>
      </w:r>
    </w:p>
    <w:p>
      <w:pPr>
        <w:pStyle w:val="SourceNote"/>
      </w:pPr>
      <w:r>
        <w:rPr>
          <w:b/>
        </w:rPr>
        <w:t>Available abstract (not full text):</w:t>
      </w:r>
      <w:r>
        <w:t xml:space="preserve"> This paper explores the fundamental tension between mobility and the environmental consequences of the transportation that allows for that movement, zeroing in on the paradox of studying abroad in order to learn about climate or environmental sciences. With this, I consider what makes students feel justified in participating in such programs, whether the perceived benefits of these experiences outweigh the environmental costs, and how these programs play into the larger discourse of sustainability and tourism. By framing travel —air travel in particular— as technology embedded with political and cultural ideals, I analyze how and why concepts of mobility influence student choices, as well as how these tensions are navigated by its participants. Through exploring the history and objectives of these types of travel-intensive programs in conjunction with the historical purposes of travel and study abroad, considering the climate impact of air travel, and relating concepts of “Academic Flying” to study abroad, I question why students feel entitled to the privilege of embarking on such an environmentally detrimental journey, and whether such programs should even exist. My research culminates in surveying over 200 School for International Training (SIT) and School for Field Studies (SFS) study abroad alumni about how the climate impact of their travel abroad impacted their decision t</w:t>
      </w:r>
    </w:p>
    <w:p>
      <w:pPr/>
      <w:r>
        <w:rPr>
          <w:b/>
        </w:rPr>
        <w:t>POSSIBLE 2020:</w:t>
      </w:r>
      <w:r>
        <w:t xml:space="preserve"> Changing environments — https://doi.org/10.4324/9781003041573-16</w:t>
      </w:r>
    </w:p>
    <w:p>
      <w:pPr/>
      <w:r>
        <w:rPr>
          <w:b/>
        </w:rPr>
        <w:t>Shared claim-specific concepts:</w:t>
      </w:r>
      <w:r>
        <w:t xml:space="preserve"> changing, mobility, look; EU scope not established. This is a provisional connection, not an outcome finding.</w:t>
      </w:r>
    </w:p>
    <w:p>
      <w:pPr>
        <w:pStyle w:val="SourceNote"/>
      </w:pPr>
      <w:r>
        <w:rPr>
          <w:b/>
        </w:rPr>
        <w:t>Available abstract (not full text):</w:t>
      </w:r>
      <w:r>
        <w:t xml:space="preserve"> This chapter begins Elements of (re)connection, learning and mobility are evident in the experiences of Murilo – the 15-year-old Brazilian boy whose reflections on solar irrigators and other technologies. It seeks to add complexity and to look otherwise (and elsewhere) at children’s changing environments, this does not mean that issues of (re)connection, learning and mobility are usurped by other issues. The chapter includes but extends beyond these kinds of concerns to prompt reflection upon what else matters in, and what else is constitutive of, the many ways in which childhoods–natures might relate. It highlights, this might mean unpicking assumptions that children are separate from and therefore ‘relate with’ the environment. The chapter explores how it might be possible to consider the complexity of environmental issues through the concept of the nexus. It looks at forms of action by children – contrasting forms of (globalised) protest with the apparently banal experimentation that took place at Murilo’s school.</w:t>
      </w:r>
    </w:p>
    <w:p>
      <w:pPr>
        <w:pStyle w:val="Heading2"/>
      </w:pPr>
      <w:r>
        <w:t>798. Long-Term Hydrocarbon Trade Options for the Maghreb Region and Europe—Renewable Energy Based Synthetic Fuels for a Net Zero Emissions World</w:t>
      </w:r>
    </w:p>
    <w:p>
      <w:pPr>
        <w:pStyle w:val="SourceNote"/>
      </w:pPr>
      <w:r>
        <w:rPr>
          <w:b/>
        </w:rPr>
        <w:t>Original source (2017):</w:t>
      </w:r>
      <w:r>
        <w:t xml:space="preserve"> https://doi.org/10.3390/su9020306</w:t>
      </w:r>
    </w:p>
    <w:p>
      <w:pPr/>
      <w:r>
        <w:t>Original wording (abstract; indexed_source_text_not_full_document_verified): Results show that, for 7% weighted average cost of capital (WACC), renewable energy based synthetic natural gas (RE-SNG) and RE-diesel can be produced in 2030 for a minimum cost of 76 €/MWhHHV (0.78 €/m3SNG) and 88 €/MWhHHV (0.85 €/L), respectively. While in 2040, these production costs can drop to 66 €/MWhHHV (0.68 €/m3SNG) and 83 €/MWhHHV (0.80 €/L), respectively.</w:t>
      </w:r>
    </w:p>
    <w:p>
      <w:pPr/>
      <w:r>
        <w:rPr>
          <w:b/>
        </w:rPr>
        <w:t>POSSIBLE 2026:</w:t>
      </w:r>
      <w:r>
        <w:t xml:space="preserve"> Dynamic Weighted Average Cost of Capital (DWACC) — https://doi.org/10.15396/eres2026_298</w:t>
      </w:r>
    </w:p>
    <w:p>
      <w:pPr/>
      <w:r>
        <w:rPr>
          <w:b/>
        </w:rPr>
        <w:t>Shared claim-specific concepts:</w:t>
      </w:r>
      <w:r>
        <w:t xml:space="preserve"> weighted, average, capital, based; EU scope not established. This is a provisional connection, not an outcome finding.</w:t>
      </w:r>
    </w:p>
    <w:p>
      <w:pPr>
        <w:pStyle w:val="SourceNote"/>
      </w:pPr>
      <w:r>
        <w:rPr>
          <w:b/>
        </w:rPr>
        <w:t>Available abstract (not full text):</w:t>
      </w:r>
      <w:r>
        <w:t xml:space="preserve"> The determination of discount rate is strategic in property valuation and consulting. Whilst in the counseling the determination of discount rate relies on the target rate of return that a specific investory tries to achieve, in the valuation process the task is more complicate because the valuer should include in the discount rate determination the market participant’s view of risk. Among the different models indicated in literature and professional standards discount rate can be calculate using weight average cost of capital based on the general accepted theory of capital structure (Modigliani Miller, 1958;1961;1963). In real estate literature a former version of weight average of capital can be considered the band of investment analysis in his version mortgage equity (Kazdin, 1944). Recently introduced cylical capitalization (d’Amato, 2013; d’Amato, 2015; d’Amato et al., 2024) offers a different approach to discount rate determination taking into account future variation along time. In this paper is proposed the definition of the dynamic weight average cost of capital as a possible alternative to the traditional one.</w:t>
      </w:r>
    </w:p>
    <w:p>
      <w:pPr/>
      <w:r>
        <w:rPr>
          <w:b/>
        </w:rPr>
        <w:t>POSSIBLE 2025:</w:t>
      </w:r>
      <w:r>
        <w:t xml:space="preserve"> Ordered Weighted Average Support Vector Regression — https://doi.org/10.1016/j.eswa.2025.126882</w:t>
      </w:r>
    </w:p>
    <w:p>
      <w:pPr/>
      <w:r>
        <w:rPr>
          <w:b/>
        </w:rPr>
        <w:t>Shared claim-specific concepts:</w:t>
      </w:r>
      <w:r>
        <w:t xml:space="preserve"> weighted, average, based, synthetic; EU scope not established. This is a provisional connection, not an outcome finding.</w:t>
      </w:r>
    </w:p>
    <w:p>
      <w:pPr>
        <w:pStyle w:val="SourceNote"/>
      </w:pPr>
      <w:r>
        <w:rPr>
          <w:b/>
        </w:rPr>
        <w:t>Available abstract (not full text):</w:t>
      </w:r>
      <w:r>
        <w:t xml:space="preserve"> This paper introduces a novel Support Vector Regression (SVR) model that incorporates Ordered Weighted Average (OWA) operators to differently penalize deviations of observations from the ɛ -strip. The penalty is determined based on the position of each deviation in the ordered vector of all deviations. A key contribution of this work is the development of two nonlinear formulations: a continuous formulation for non-decreasing monotone weight vectors and a mixed-integer formulation for general weight vectors. By leveraging dual approaches associated with these formulations, the model accommodates nonlinear kernel functions. To enhance computational efficiency, two heuristic approaches are proposed for deriving suitable regression hyperplanes in reduced computation times, as compared to exact methods. Additionally, a third heuristic approach is developed to handle nonlinear kernel functions effectively. Computational experiments conducted on both real and synthetic datasets demonstrate that the exact formulations yield remarkable regression functions with respect to the following standard metrics: mean absolute errors (MAE) and mean squared errors (MSE). The heuristic approaches are shown to be particularly efficient for larger datasets, striking a balance between solution quality and computational effort.</w:t>
      </w:r>
    </w:p>
    <w:p>
      <w:pPr/>
      <w:r>
        <w:rPr>
          <w:b/>
        </w:rPr>
        <w:t>POSSIBLE 2025:</w:t>
      </w:r>
      <w:r>
        <w:t xml:space="preserve"> Capital efficiency and organizational performance: A dynamic panel analysis of Weighted Average Cost of Capital (WACC) and ROA in Indonesia’s healthcare sector — https://doi.org/10.31940/jasafint.v8i1.26-40</w:t>
      </w:r>
    </w:p>
    <w:p>
      <w:pPr/>
      <w:r>
        <w:rPr>
          <w:b/>
        </w:rPr>
        <w:t>Shared claim-specific concepts:</w:t>
      </w:r>
      <w:r>
        <w:t xml:space="preserve"> weighted, average, capital, wacc; EU scope not established. This is a provisional connection, not an outcome finding.</w:t>
      </w:r>
    </w:p>
    <w:p>
      <w:pPr>
        <w:pStyle w:val="SourceNote"/>
      </w:pPr>
      <w:r>
        <w:rPr>
          <w:b/>
        </w:rPr>
        <w:t>Available abstract (not full text):</w:t>
      </w:r>
      <w:r>
        <w:t xml:space="preserve"> The healthcare sector in Indonesia faces challenges in managing capital efficiency and organizational performance due to high operational costs and the need for continuous investment in health technology and infrastructure. As a key driver of economic growth, especially post-COVID-19, optimal capital management is crucial for sustaining operations and creating stakeholder value. This study examines the relationship between the Weighted Average Cost of Capital (WACC) and Return on Assets (ROA) in Indonesia’s healthcare sector using a quantitative dynamic panel analysis approach. Financial data from healthcare companies listed on the Indonesia Stock Exchange were analyzed using the Generalized Method of Moments (GMM). The findings indicate that WACC negatively affects ROA, but the relationship is not statistically significant. Leverage, measured through the Debt to Asset Ratio and Debt to Equity Ratio, strengthens this relationship positively. Meanwhile, cash holdings and firm size have a negative moderating effect, whereas Net Working Capital (NWC) reinforces the relationship positively. These results highlight the importance of effective debt and liquidity management in optimizing profitability in the healthcare sector. The study contributes theoretically to capital efficiency discussions and offers practical insights for industry stakeholders, including decision-makers and inv</w:t>
      </w:r>
    </w:p>
    <w:p>
      <w:pPr/>
      <w:r>
        <w:rPr>
          <w:b/>
        </w:rPr>
        <w:t>POSSIBLE 2025:</w:t>
      </w:r>
      <w:r>
        <w:t xml:space="preserve"> Sustainability and Capital Costs: The Impact of ESG Performance, Efficiency, and Firm Characteristics on WACC — https://doi.org/10.4108/eai.30-7-2025.2360573</w:t>
      </w:r>
    </w:p>
    <w:p>
      <w:pPr/>
      <w:r>
        <w:rPr>
          <w:b/>
        </w:rPr>
        <w:t>Shared claim-specific concepts:</w:t>
      </w:r>
      <w:r>
        <w:t xml:space="preserve"> capital, wacc; EU scope not established. This is a provisional connection, not an outcome finding.</w:t>
      </w:r>
    </w:p>
    <w:p>
      <w:pPr>
        <w:pStyle w:val="SourceNote"/>
      </w:pPr>
      <w:r>
        <w:rPr>
          <w:b/>
        </w:rPr>
        <w:t>Available abstract (not full text):</w:t>
      </w:r>
      <w:r>
        <w:t xml:space="preserve"> ESG practices being widely promoted with the objectives of increasing sustainability-related transparency, demonstrating stronger performance, and reduce perceived risk. This study examines the relationship between ESG score and DEA into cost of capital as a critical indicator in assessing company p</w:t>
      </w:r>
    </w:p>
    <w:p>
      <w:pPr/>
      <w:r>
        <w:rPr>
          <w:b/>
        </w:rPr>
        <w:t>POSSIBLE 2025:</w:t>
      </w:r>
      <w:r>
        <w:t xml:space="preserve"> Implementation of the WACC Notice and challenges in determining the VHCN risk premium — https://openalex.org/W7124128098</w:t>
      </w:r>
    </w:p>
    <w:p>
      <w:pPr/>
      <w:r>
        <w:rPr>
          <w:b/>
        </w:rPr>
        <w:t>Shared claim-specific concepts:</w:t>
      </w:r>
      <w:r>
        <w:t xml:space="preserve"> weighted, average, capital, wacc; EU scope visible. This is a provisional connection, not an outcome finding.</w:t>
      </w:r>
    </w:p>
    <w:p>
      <w:pPr>
        <w:pStyle w:val="SourceNote"/>
      </w:pPr>
      <w:r>
        <w:rPr>
          <w:b/>
        </w:rPr>
        <w:t>Available abstract (not full text):</w:t>
      </w:r>
      <w:r>
        <w:t xml:space="preserve"> In 2019, the European Commission published the WACC Notice that sets out a methodology for estimating the weighted average costs of capital (WACC) used by national regulatory authorities in the cost regulation of the telecommunication sector. The Notice is explicitly limited to legacy infrastructure and does not address Very High Capacity Networks. The Commission's Recommendation on the regulatory promotion of gigabit connectivity advises that NRAs may apply a VHCN risk premium in addition to the applicable WACC, but provides less methodological guidance for its calculation. This paper provides an overview of current regulatory practices for determining the WACC for both legacy networks and VHCNs in Europe. It examines the implementation of the WACC Notice across Member States, assessing its impact and identifying notable deviations from the prescribed methodology. It further examines Member States' approaches to determining a risk premium for VHCN investments. The analysis draws on an extensive literature review and interviews with five national regulatory authorities. Findings indicate that the WACC Notice has largely standardised the methodology for calculating the regulated WACC for legacy infrastructure, although differences remain in the frequency of WACC updates. Overall, WACC values across Member States have declined since the Notice's introduction. Several NRAs adjuste</w:t>
      </w:r>
    </w:p>
    <w:p>
      <w:pPr/>
      <w:r>
        <w:rPr>
          <w:b/>
        </w:rPr>
        <w:t>POSSIBLE 2025:</w:t>
      </w:r>
      <w:r>
        <w:t xml:space="preserve"> Ser ISE impacta o WACC e o endividamento? — https://doi.org/10.9790/487x-2707010109</w:t>
      </w:r>
    </w:p>
    <w:p>
      <w:pPr/>
      <w:r>
        <w:rPr>
          <w:b/>
        </w:rPr>
        <w:t>Shared claim-specific concepts:</w:t>
      </w:r>
      <w:r>
        <w:t xml:space="preserve"> weighted, average, capital, wacc, based; EU scope not established. This is a provisional connection, not an outcome finding.</w:t>
      </w:r>
    </w:p>
    <w:p>
      <w:pPr>
        <w:pStyle w:val="SourceNote"/>
      </w:pPr>
      <w:r>
        <w:rPr>
          <w:b/>
        </w:rPr>
        <w:t>Available abstract (not full text):</w:t>
      </w:r>
      <w:r>
        <w:t xml:space="preserve"> Background: This article aims to evaluate the impact of adherence to the Corporate Sustainability Index (ISE) on the weighted average cost of capital (WACC) and debt (DE) of Brazilian companies listed on B3 (Brasil, Bolsa, Balcão). Materials and Methods: Data were collected from 332 publicly traded non-financial Brazilian companies, 85 of which belonged to the ISE for at least one year, in the period from 2010 to 2023. A descriptive and quantitative research was developed, based on secondary data, which were subjected to robust OLS regressions using unbalanced panel data. Results: In the analysis of the results, the regression model for WACC showed good explanatory capacity (R² of 57.85%), indicating that sustainable companies tend to have a lower cost of capital, a result in line with the Stakeholder, Signaling and Agency theories, which highlight the reduction in risk perceived by investors and the improvement in corporate governance. The debt model, with high explanatory power (R² of 92.13%), revealed that companies in the ISE have a higher level of debt, a result contrary to the second hypothesis of the study, but consistent with the Trade-Off Theory, suggesting that sustainable companies have greater access to credit because they are seen as less risky. Conclusion: It was found that companies belonging to the ISE have a reduction in their weighted average cost of capital. </w:t>
      </w:r>
    </w:p>
    <w:p>
      <w:pPr/>
      <w:r>
        <w:rPr>
          <w:b/>
        </w:rPr>
        <w:t>POSSIBLE 2024:</w:t>
      </w:r>
      <w:r>
        <w:t xml:space="preserve"> The Influence of Environmental, Social, and Governance Disclosure on Capital Structure: An Investigation of Leverage and WACC — https://doi.org/10.3390/jrfm17120570</w:t>
      </w:r>
    </w:p>
    <w:p>
      <w:pPr/>
      <w:r>
        <w:rPr>
          <w:b/>
        </w:rPr>
        <w:t>Shared claim-specific concepts:</w:t>
      </w:r>
      <w:r>
        <w:t xml:space="preserve"> show, weighted, average, capital, wacc; EU scope not established. This is a provisional connection, not an outcome finding.</w:t>
      </w:r>
    </w:p>
    <w:p>
      <w:pPr>
        <w:pStyle w:val="SourceNote"/>
      </w:pPr>
      <w:r>
        <w:rPr>
          <w:b/>
        </w:rPr>
        <w:t>Available abstract (not full text):</w:t>
      </w:r>
      <w:r>
        <w:t xml:space="preserve"> This paper seeks to examine the extent to which environmental, social, and governance (ESG) disclosure affects capital structure and cost of capital for non-financial Fortune 500 firms. With a sample period from 2007 to 2022 and a system (Generalized Method of Moments) GMM estimation method, we investigate the linkage between ESG disclosure scores and both leverage and the weighted average cost of capital (WACC). Thus, we find that firms with stronger ESG performance have higher ESG disclosure and lower leverage ratios and WACC, highlighting that firms with good ESG outcomes have better equity financing facilities and are perceived to be less risky. We also find the moderation effect where the effects of ESG disclosure depend on the level of ESG disclosure. The empirical results thus show that the environmental and social factors have significant influences on leverage and WACC than the governance factors. Furthermore, we show that firm size affects these relationships in that larger firms are more affected by the variables. These findings extend the literature on ESG, and provide relevant information for corporate financial managers, investors, and policymakers about the financial effects of ESG disclosure. This paper therefore provides evidence of the relevance of ESG factors in decisions on capital structure and cost of capital especially for large firms.</w:t>
      </w:r>
    </w:p>
    <w:p>
      <w:pPr/>
      <w:r>
        <w:rPr>
          <w:b/>
        </w:rPr>
        <w:t>POSSIBLE 2024:</w:t>
      </w:r>
      <w:r>
        <w:t xml:space="preserve"> An analysis of the effect of employee tenure on WACC — https://doi.org/10.1080/01559982.2024.2352671</w:t>
      </w:r>
    </w:p>
    <w:p>
      <w:pPr/>
      <w:r>
        <w:rPr>
          <w:b/>
        </w:rPr>
        <w:t>Shared claim-specific concepts:</w:t>
      </w:r>
      <w:r>
        <w:t xml:space="preserve"> show, capital, wacc, based; EU scope not established. This is a provisional connection, not an outcome finding.</w:t>
      </w:r>
    </w:p>
    <w:p>
      <w:pPr>
        <w:pStyle w:val="SourceNote"/>
      </w:pPr>
      <w:r>
        <w:rPr>
          <w:b/>
        </w:rPr>
        <w:t>Available abstract (not full text):</w:t>
      </w:r>
      <w:r>
        <w:t xml:space="preserve"> No international accounting policy exists to mandate that firms must report employee/workforce-level human capital information on a structured basis. Thus, the link between employee/workforce human capital and firm risk is not demonstrated in the literature. South Korea is a rare instance where human capital information, such as employee tenure is disclosed on Annual Reports as a rule. Therefore, we invoke resource-based theory, a human resource policy assertion, and a business ethics/sustainability inference to show whether capital providers differentiate between firms that are able/unable to retain employees, thus adjusting WACC accordingly. Using OLS regression analysis, from 2011-2020, empirical results show that firms with the ability to retain employees enjoy economically significantly lower levels of WACC. The results infer that equity/debt providers associate workforce tenure and firm risk/returns expectations. Empirical results also show that capital providers are nuanced when impounding employment information into risk/return assessments, based on incrementally different associations for investment-grade/non-investment-grade firms. The study contributes to the literature by providing evidence that management should develop strategies to retain employees to enjoy economic advantages. Because structured employee/workforce human capital information is rare internationall</w:t>
      </w:r>
    </w:p>
    <w:p>
      <w:pPr/>
      <w:r>
        <w:rPr>
          <w:b/>
        </w:rPr>
        <w:t>POSSIBLE 2024:</w:t>
      </w:r>
      <w:r>
        <w:t xml:space="preserve"> The relationship between the application of corporate sustainability policy and the weighted average cost of capital: examples of European countries — https://doi.org/10.29119/1641-3466.2024.202.8</w:t>
      </w:r>
    </w:p>
    <w:p>
      <w:pPr/>
      <w:r>
        <w:rPr>
          <w:b/>
        </w:rPr>
        <w:t>Shared claim-specific concepts:</w:t>
      </w:r>
      <w:r>
        <w:t xml:space="preserve"> weighted, average, capital, wacc; EU scope visible. This is a provisional connection, not an outcome finding.</w:t>
      </w:r>
    </w:p>
    <w:p>
      <w:pPr>
        <w:pStyle w:val="SourceNote"/>
      </w:pPr>
      <w:r>
        <w:rPr>
          <w:b/>
        </w:rPr>
        <w:t>Available abstract (not full text):</w:t>
      </w:r>
      <w:r>
        <w:t xml:space="preserve"> Purpose: This publication aims to verify whether Van Horne coefficient model affects company growth, as expressed by the WACC. Design/methodology/approach: The study was conducted on a group of nonfinancial companies listed on: the Warsaw Stock Exchange (WIG index), The Frankfurt Stock Exchange (DAX index), The Paris Stock Exchange (CAC index) and the Stockholm Stock Exchange (OMX Stockholm index) from 01/01/2000 - 31/12/2021. Van Horne's SGR model was used as an indicator of the sustainable growth of the firm. The analysis related to WACC and condition assessment of analysed companies is presented as OLS and panel models parameter estimations. The study was carried out using cross-sectional regression analysis and panel data. Several models were estimated using the OLS method, including different sets of independent variables. Findings: In the analysis, it was found that the VSGR coefficient has a negative impact on the WACC for companies from all the analysed markets, i.e. the better the implementation of the company's sustainable development policy measured by the VSGR index, the lower the WACC of the company may record. These results were also not confirmed in panel studies with fixed effects, which allows us to conclude that these relationships are very weak. Research limitations/implications: Further research should expand the analysis of firms by size and stage of develo</w:t>
      </w:r>
    </w:p>
    <w:p>
      <w:pPr/>
      <w:r>
        <w:rPr>
          <w:b/>
        </w:rPr>
        <w:t>POSSIBLE 2024:</w:t>
      </w:r>
      <w:r>
        <w:t xml:space="preserve"> Research on the refinement of atmospheric weighted average temperature model in Xi’an based on machine learning — https://doi.org/10.1016/j.asr.2024.09.045</w:t>
      </w:r>
    </w:p>
    <w:p>
      <w:pPr/>
      <w:r>
        <w:rPr>
          <w:b/>
        </w:rPr>
        <w:t>Shared claim-specific concepts:</w:t>
      </w:r>
      <w:r>
        <w:t xml:space="preserve"> weighted, average, based;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Levelized cost of hydrogen production in Northern Africa and Europe in 2050: A Monte Carlo simulation for Germany, Norway, Spain, Algeria, Morocco, and Egypt — https://doi.org/10.1016/j.ijhydene.2024.04.319</w:t>
      </w:r>
    </w:p>
    <w:p>
      <w:pPr/>
      <w:r>
        <w:rPr>
          <w:b/>
        </w:rPr>
        <w:t>Shared claim-specific concepts:</w:t>
      </w:r>
      <w:r>
        <w:t xml:space="preserve"> weighted, average, capital, renewable, production; EU scope visible. This is a provisional connection, not an outcome finding.</w:t>
      </w:r>
    </w:p>
    <w:p>
      <w:pPr>
        <w:pStyle w:val="SourceNote"/>
      </w:pPr>
      <w:r>
        <w:rPr>
          <w:b/>
        </w:rPr>
        <w:t>Available abstract (not full text):</w:t>
      </w:r>
      <w:r>
        <w:t xml:space="preserve"> The production of green hydrogen through electrolysis, utilizing renewable energies, is recognized as a pivotal element in the pursuit of decarbonization. In order to attain cost competitiveness for green hydrogen, reasonable generation costs are imperative. To identify cost-effective import partners for Germany, given its limited green hydrogen production capabilities, this study undertakes an exhaustive techno-economic analysis to determine the potential Levelized Cost of Hydrogen in Germany, Norway, Spain, Algeria, Morocco, and Egypt for the year 2050, which represents a critical milestone in European decarbonization efforts. Employing a stochastic approach with Monte Carlo simulations, the paper marks a significant contribution for projecting future cost ranges, acknowledging the multitude of uncertainties inherent in related cost parameters and emphasizing the importance of randomness in these assessments. Country-specific Weighted Average Cost of Capital are calculated in order to create a refined understanding of political and economic influences on cost formation, rather than using a uniform value across all investigated nations. Key findings reveal that among the evaluated nations, PV-based hydrogen emerges as the most cost-efficient alternative in all countries except Norway, with Spain presenting the lowest Levelized Cost of Hydrogen at 1.66 €/kg to 3.12 €/kg, follow</w:t>
      </w:r>
    </w:p>
    <w:p>
      <w:pPr/>
      <w:r>
        <w:rPr>
          <w:b/>
        </w:rPr>
        <w:t>POSSIBLE 2023:</w:t>
      </w:r>
      <w:r>
        <w:t xml:space="preserve"> A novel approach to calculate weighted average cost of capital (WACC) considering debt and firm's cash flow durations — https://doi.org/10.1002/mde.4042</w:t>
      </w:r>
    </w:p>
    <w:p>
      <w:pPr/>
      <w:r>
        <w:rPr>
          <w:b/>
        </w:rPr>
        <w:t>Shared claim-specific concepts:</w:t>
      </w:r>
      <w:r>
        <w:t xml:space="preserve"> weighted, average, capital, wacc, based; EU scope not established. This is a provisional connection, not an outcome finding.</w:t>
      </w:r>
    </w:p>
    <w:p>
      <w:pPr>
        <w:pStyle w:val="SourceNote"/>
      </w:pPr>
      <w:r>
        <w:rPr>
          <w:b/>
        </w:rPr>
        <w:t>Available abstract (not full text):</w:t>
      </w:r>
      <w:r>
        <w:t xml:space="preserve"> Abstract This paper presents a novel approach to calculate the weighted average cost of capital (WACC) but considering additional relevant variables to be applied to a specific cash flow, free cash flow to firm (FCFF), or capital cash flow (CCF), in order to value an asset. The analytical expressions deduced for this approach, one for each case, are based not only on the ratio debt to the value of the asset and the cost of debt and equity, as in the usual expression, but also includes the debt and firm's cash flow durations. The proposed novel approach to cost of capital has key advantages in comparison to the usual expression for WACC: It is an analytical expression that could be applied to whatever kind of debt or capital structure, not only perpetual debt or permanent capital structure. It is a single discount rate, and for its calculation, it is not necessary to recalculate financial factors involved, which makes easier its application. The additional financial variables involved, debt and firm's cash flow duration, allow to obtain better results for the right discount rate and for the value of an asset in the sense that the discount rate for the asset effectively will permit to reach the required level for the profitability for the investor and to cover the cost of debt.</w:t>
      </w:r>
    </w:p>
    <w:p>
      <w:pPr>
        <w:pStyle w:val="Heading2"/>
      </w:pPr>
      <w:r>
        <w:t>799. Modeling the climatic suitability of leishmaniasis vector species in Europe</w:t>
      </w:r>
    </w:p>
    <w:p>
      <w:pPr>
        <w:pStyle w:val="SourceNote"/>
      </w:pPr>
      <w:r>
        <w:rPr>
          <w:b/>
        </w:rPr>
        <w:t>Original source (2017):</w:t>
      </w:r>
      <w:r>
        <w:t xml:space="preserve"> https://doi.org/10.1038/s41598-017-13822-1</w:t>
      </w:r>
    </w:p>
    <w:p>
      <w:pPr/>
      <w:r>
        <w:t>Original wording (abstract; indexed_source_text_not_full_document_verified): Climate change will affect the geographical distribution of many species in the future. An increased number of vector species, or a higher abundance of a single species, might result in a higher transmission risk of leishmaniasis, provided that the pathogens follow the projected range shifts.</w:t>
      </w:r>
    </w:p>
    <w:p>
      <w:pPr/>
      <w:r>
        <w:rPr>
          <w:b/>
        </w:rPr>
        <w:t>POSSIBLE 2026:</w:t>
      </w:r>
      <w:r>
        <w:t xml:space="preserve"> How will climate change affect future European forest productivity by 2100 ? — https://openalex.org/W7205234882</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International audience</w:t>
      </w:r>
    </w:p>
    <w:p>
      <w:pPr/>
      <w:r>
        <w:rPr>
          <w:b/>
        </w:rPr>
        <w:t>POSSIBLE 2025:</w:t>
      </w:r>
      <w:r>
        <w:t xml:space="preserve"> Ash dieback and hydrology affect tree growth patterns under climate change in European floodplain forests — https://doi.org/10.1038/s41598-025-92079-5</w:t>
      </w:r>
    </w:p>
    <w:p>
      <w:pPr/>
      <w:r>
        <w:rPr>
          <w:b/>
        </w:rPr>
        <w:t>Shared claim-specific concepts:</w:t>
      </w:r>
      <w:r>
        <w:t xml:space="preserve"> climate, affect, species, increased, pathogens; EU scope visible. This is a provisional connection, not an outcome finding.</w:t>
      </w:r>
    </w:p>
    <w:p>
      <w:pPr>
        <w:pStyle w:val="SourceNote"/>
      </w:pPr>
      <w:r>
        <w:rPr>
          <w:b/>
        </w:rPr>
        <w:t>Available abstract (not full text):</w:t>
      </w:r>
      <w:r>
        <w:t xml:space="preserve"> Floodplain forests are currently undergoing substantial reorganization processes due to the combined effects of management-induced altered hydrological conditions, climate change and novel invasive pathogens. Nowadays, the ash dieback is one of the most concerning diseases affecting European floodplain forests, causing substantial tree mortality and threatening the loss of the dominant key tree species of the hardwood floodplain forest, Fraxinus excelsior. Understanding how the increased light availability caused by pathogen-driven mortality in combination with altered hydrological conditions and climate change affects growth responses in a diverse forest community is of crucial importance for conservation efforts. Thus, we examined growth of the main tree species in response to ash dieback and how it depended on altered hydrological conditions under novel climatic conditions for the lower and upper canopy in the floodplain forest of Leipzig, Germany. Our study period encompassed the consecutive drought years from 2018 to 2020. We found that tree growth responded mostly positively to increased light availability, but only on moist sites, while tree growth largely declined on dry sites, suggesting that water availability is a critical factor for tree species to be able to benefit from increased light availability due to canopy disturbances caused by ash dieback. This hydrologica</w:t>
      </w:r>
    </w:p>
    <w:p>
      <w:pPr/>
      <w:r>
        <w:rPr>
          <w:b/>
        </w:rPr>
        <w:t>POSSIBLE 2025:</w:t>
      </w:r>
      <w:r>
        <w:t xml:space="preserve"> How will climate change affect future European forest productivity by year 2100?: analysis of European species — https://openalex.org/W7138825369</w:t>
      </w:r>
    </w:p>
    <w:p>
      <w:pPr/>
      <w:r>
        <w:rPr>
          <w:b/>
        </w:rPr>
        <w:t>Shared claim-specific concepts:</w:t>
      </w:r>
      <w:r>
        <w:t xml:space="preserve"> climate, affect, species; EU scope visible. This is a provisional connection, not an outcome finding.</w:t>
      </w:r>
    </w:p>
    <w:p>
      <w:pPr>
        <w:pStyle w:val="SourceNote"/>
      </w:pPr>
      <w:r>
        <w:rPr>
          <w:b/>
        </w:rPr>
        <w:t>Available abstract (not full text):</w:t>
      </w:r>
      <w:r>
        <w:t xml:space="preserve"> BES annual meeting, Edinburgh 18th December 2025</w:t>
      </w:r>
    </w:p>
    <w:p>
      <w:pPr/>
      <w:r>
        <w:rPr>
          <w:b/>
        </w:rPr>
        <w:t>POSSIBLE 2025:</w:t>
      </w:r>
      <w:r>
        <w:t xml:space="preserve"> How Can Climate Change Conditions and Environmental Regulation with the Presence of COVID-19 Pandemic Affect the Human Health in the European Union countries? — https://doi.org/10.1007/s13132-025-02778-7</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Implications for the distributional range of the European bark beetles under future climate change — https://doi.org/10.1038/s41598-025-15546-z</w:t>
      </w:r>
    </w:p>
    <w:p>
      <w:pPr/>
      <w:r>
        <w:rPr>
          <w:b/>
        </w:rPr>
        <w:t>Shared claim-specific concepts:</w:t>
      </w:r>
      <w:r>
        <w:t xml:space="preserve"> climate, affect, distribution, many, species, higher; EU scope visible. This is a provisional connection, not an outcome finding.</w:t>
      </w:r>
    </w:p>
    <w:p>
      <w:pPr>
        <w:pStyle w:val="SourceNote"/>
      </w:pPr>
      <w:r>
        <w:rPr>
          <w:b/>
        </w:rPr>
        <w:t>Available abstract (not full text):</w:t>
      </w:r>
      <w:r>
        <w:t xml:space="preserve"> The European continent is rich in forest resources, with bark beetles being the most significant biological disturbance impacting European forest ecosystems. Over the past few decades, many trees have died due to bark beetle infestations, causing considerable economic damage to forestry. It is estimated that climate change will affect the distributional range of bark beetles, increasing the risk of outbreaks. However, the ability of different beetle populations to respond to climate change remains unknown. For this purpose, we selected nine species of bark beetles commonly found in Europe and constructed the MaxEnt model to simulate the distribution pattern of bark beetles under climatic conditions based on 21 environmental variables. Modeling projected changes in the distribution of different species of bark beetles under four climate scenarios for 2081-2100 using future climate variables and testing the hypothesis that narrow-ranged species are more vulnerable to climate change than wide-ranged species. The results show that the distribution of most bark beetles is influenced by temperature-related variables. With climate change, the suitable distribution areas for most species will expand and gradually shift to higher latitudes. Furthermore, most of northern Europe will be invaded by multiple bark beetle species in the future. These findings contribute to understanding the d</w:t>
      </w:r>
    </w:p>
    <w:p>
      <w:pPr/>
      <w:r>
        <w:rPr>
          <w:b/>
        </w:rPr>
        <w:t>POSSIBLE 2025:</w:t>
      </w:r>
      <w:r>
        <w:t xml:space="preserve"> Vectors on the Move: How Climate Change Fuels the Spread of Arboviruses in Europe — https://doi.org/10.3390/microorganisms13092034</w:t>
      </w:r>
    </w:p>
    <w:p>
      <w:pPr/>
      <w:r>
        <w:rPr>
          <w:b/>
        </w:rPr>
        <w:t>Shared claim-specific concepts:</w:t>
      </w:r>
      <w:r>
        <w:t xml:space="preserve"> climate, distribution, many, species, vector, transmission; EU scope visible. This is a provisional connection, not an outcome finding.</w:t>
      </w:r>
    </w:p>
    <w:p>
      <w:pPr>
        <w:pStyle w:val="SourceNote"/>
      </w:pPr>
      <w:r>
        <w:rPr>
          <w:b/>
        </w:rPr>
        <w:t>Available abstract (not full text):</w:t>
      </w:r>
      <w:r>
        <w:t xml:space="preserve"> Climate change is increasingly recognized as a major driver of emerging infectious diseases, particularly vector-borne diseases (VBDs), which are expanding in range and intensity worldwide. Europe, traditionally considered low-risk for many arboviral infections, is now experiencing autochthonous transmission of pathogens such as dengue, chikungunya, Zika virus, West Nile virus, malaria, and leishmaniasis. Rising temperatures, altered precipitation patterns, and milder winters have facilitated the establishment and spread of competent vectors, including Aedes, Anopheles, Phlebotomus, and Culex species, in previously non-endemic areas. These climatic shifts not only impact vector survival and distribution but also influence vector competence and pathogen development, ultimately increasing transmission potential. This narrative review explores the complex relationship between climate change and VBDs, with a particular focus on pediatric populations. It highlights how children may experience distinct clinical manifestations and complications, and how current data on pediatric burden remain limited for several emerging infections. Through an analysis of existing literature and reported outbreaks in Europe, this review underscores the urgent need for enhanced surveillance, integrated vector control strategies, and climate-adapted public health policies. Finally, it outlines research </w:t>
      </w:r>
    </w:p>
    <w:p>
      <w:pPr/>
      <w:r>
        <w:rPr>
          <w:b/>
        </w:rPr>
        <w:t>POSSIBLE 2025:</w:t>
      </w:r>
      <w:r>
        <w:t xml:space="preserve"> Many Plant Species in Europe Have Limited Capacity to Track Climate Change — https://doi.org/10.1111/ddi.70115</w:t>
      </w:r>
    </w:p>
    <w:p>
      <w:pPr/>
      <w:r>
        <w:rPr>
          <w:b/>
        </w:rPr>
        <w:t>Shared claim-specific concepts:</w:t>
      </w:r>
      <w:r>
        <w:t xml:space="preserve"> climate, distribution, many, species, result, range; EU scope visible. This is a provisional connection, not an outcome finding.</w:t>
      </w:r>
    </w:p>
    <w:p>
      <w:pPr>
        <w:pStyle w:val="SourceNote"/>
      </w:pPr>
      <w:r>
        <w:rPr>
          <w:b/>
        </w:rPr>
        <w:t>Available abstract (not full text):</w:t>
      </w:r>
      <w:r>
        <w:t xml:space="preserve"> ABSTRACT Aim No or unlimited dispersal capacities of species are commonly assumed in species distribution models ( SDMs ) used to assess potential impacts of climate change on biodiversity. However, these assumptions may lead to overly pessimistic or optimistic predictions. We aim to assess how outputs of broad‐scale SDMs of plants based on species‐specific dispersal estimates compare to outputs based on no and unlimited dispersal assumptions under climate change. Location Europe. Method We developed SDMs using occurrence records of 1318 vascular plant species in Europe and predictor variables representative of climate, soil and topographic conditions. We used the SDMs to project species to 2071–2100 for two climate scenarios (mild and severe climate change) combined with three dispersal assumptions: species‐specific, no dispersal, and unlimited dispersal. We then calculated the range sizes, species richness, and changes in both for each combination. Results Range size changes and species richness changes based on species‐specific dispersal estimates generally approximated those under the no dispersal assumption in both climate scenarios. This reflects that the majority of the species in our sample have a limited capacity to disperse. Only for the minority of species dispersed by wind or animals did the incorporation of species‐specific dispersal estimates result in clearly sma</w:t>
      </w:r>
    </w:p>
    <w:p>
      <w:pPr/>
      <w:r>
        <w:rPr>
          <w:b/>
        </w:rPr>
        <w:t>POSSIBLE 2025:</w:t>
      </w:r>
      <w:r>
        <w:t xml:space="preserve"> Climate change and the health of older adults in Europe: a call for a geriatric climate medicine framework — https://doi.org/10.1007/s41999-025-01336-3</w:t>
      </w:r>
    </w:p>
    <w:p>
      <w:pPr/>
      <w:r>
        <w:rPr>
          <w:b/>
        </w:rPr>
        <w:t>Shared claim-specific concepts:</w:t>
      </w:r>
      <w:r>
        <w:t xml:space="preserve"> climate, range; EU scope visible. This is a provisional connection, not an outcome finding.</w:t>
      </w:r>
    </w:p>
    <w:p>
      <w:pPr>
        <w:pStyle w:val="SourceNote"/>
      </w:pPr>
      <w:r>
        <w:rPr>
          <w:b/>
        </w:rPr>
        <w:t>Available abstract (not full text):</w:t>
      </w:r>
      <w:r>
        <w:t xml:space="preserve"> PURPOSE: Climate change is a critical determinant of health that disproportionately affects older adults. This review synthesises recent evidence on climate-related health risks in older Europeans and proposes a geriatric climate medicine framework to guide clinical practice, health system preparedness and policy action. METHODS: Narrative review of scientific literature and policy documents published between 2019 and 2025, with emphasis on European epidemiological data and adaptation frameworks. Studies were included if they reported health impacts or adaptation/mitigation strategies relevant to adults aged ≥ 65 years. RESULTS: Heatwaves, chronic and acute exposure to air pollutants, flooding and the expanding range of climate-sensitive infectious diseases increase hospitalisation, cognitive decline, and mortality in older adults, especially in women, those aged ≥ 80 years, and individuals with comorbidities or frailty. These risks remain insufficiently addressed in geriatric clinical practice and health policy. CONCLUSIONS: In a Europe warming at twice the global rate, urgent integration of climate risk assessment into geriatric care, enhanced resilience of health and social care infrastructure and climate policies that prioritise older adults are essential to reduce inequities and improve health outcomes.</w:t>
      </w:r>
    </w:p>
    <w:p>
      <w:pPr/>
      <w:r>
        <w:rPr>
          <w:b/>
        </w:rPr>
        <w:t>POSSIBLE 2024:</w:t>
      </w:r>
      <w:r>
        <w:t xml:space="preserve"> Climate change and human rights: how a landmark legal victory in Europe could affect NZ — https://doi.org/10.64628/aa.w393n9fmr</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Does Climate Change and Energy Consumption Affect the Food Security of European Union Countries? Empirical Evidence from a Panel Study — https://doi.org/10.3390/en17133237</w:t>
      </w:r>
    </w:p>
    <w:p>
      <w:pPr/>
      <w:r>
        <w:rPr>
          <w:b/>
        </w:rPr>
        <w:t>Shared claim-specific concepts:</w:t>
      </w:r>
      <w:r>
        <w:t xml:space="preserve"> climate, affect, increased; EU scope visible. This is a provisional connection, not an outcome finding.</w:t>
      </w:r>
    </w:p>
    <w:p>
      <w:pPr>
        <w:pStyle w:val="SourceNote"/>
      </w:pPr>
      <w:r>
        <w:rPr>
          <w:b/>
        </w:rPr>
        <w:t>Available abstract (not full text):</w:t>
      </w:r>
      <w:r>
        <w:t xml:space="preserve"> This study aims to provide empirical evidence on whether using renewable and non-renewable energy, CO₂ emissions and the resulting changes in temperature and precipitation can alter cereal yields in European Union countries. To this end, a panel data set covering 1992-2021 has been used to analyse the impact of climate change and economic factors on cereal production in European Union countries. The study employed various analytical techniques to understand better the relationship between climate change, energy consumption, and economic growth. These included using annual average temperature and rainfall to measure climate change and energy consumption and economic growth to analyse the economic aspects. To achieve the objective, feasible generalised least squares (FGLS) models with robust standard errors and bootstrap and a quantile regression (QR) model with marginal analysis were employed. The Westerlund cointegration test confirmed the presence of cointegration between cereal production and climate variables, economic growth, and energy consumption. The results indicate that increases in temperature and precipitation may contribute to increased cereal production in European Union countries. In contrast, energy consumption, including renewable energy and CO₂ emissions, may have a nonlinear effect on cereal production. Quantile regression analysis suggests climate change may </w:t>
      </w:r>
    </w:p>
    <w:p>
      <w:pPr/>
      <w:r>
        <w:rPr>
          <w:b/>
        </w:rPr>
        <w:t>POSSIBLE 2024:</w:t>
      </w:r>
      <w:r>
        <w:t xml:space="preserve"> Will climate change affect the proportion of melanistic northern vipers Vipera berus in a western European population with an exceptionally high rate of melanism? — https://doi.org/10.33256/hb168.2931</w:t>
      </w:r>
    </w:p>
    <w:p>
      <w:pPr/>
      <w:r>
        <w:rPr>
          <w:b/>
        </w:rPr>
        <w:t>Shared claim-specific concepts:</w:t>
      </w:r>
      <w:r>
        <w:t xml:space="preserve"> climate, affect;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Environmental Investments and Climate Change: How Environmental Protection Expenditure and Gross Domestic Product Affect Emissions in the European Union — https://doi.org/10.13044/j.sdewes.d12.0528</w:t>
      </w:r>
    </w:p>
    <w:p>
      <w:pPr/>
      <w:r>
        <w:rPr>
          <w:b/>
        </w:rPr>
        <w:t>Shared claim-specific concepts:</w:t>
      </w:r>
      <w:r>
        <w:t xml:space="preserve"> climate, affect, many, increased; EU scope visible. This is a provisional connection, not an outcome finding.</w:t>
      </w:r>
    </w:p>
    <w:p>
      <w:pPr>
        <w:pStyle w:val="SourceNote"/>
      </w:pPr>
      <w:r>
        <w:rPr>
          <w:b/>
        </w:rPr>
        <w:t>Available abstract (not full text):</w:t>
      </w:r>
      <w:r>
        <w:t xml:space="preserve"> This study analyses the relationships between economic development, environmental investments, and greenhouse gas emissions in the European Union for the period 2008-2022. Using correlation and regression analysis of data from Eurostat, the study assesses the impact of environmental protection expenditure and gross domestic product on greenhouse gas emissions. The results reveal a stable upward trend in environmental protection expenditure, especially in recent years, reflecting the European Union's growing commitment to sustainable development. At the same time, greenhouse gas emissions show an overall downward trend, with the sharpest decline between 2019 and 2020, likely due to the impact of the coronavirus disease pandemic. The correlation analysis confirms a significant inverse relationship between environmental investments and emissions, demonstrating the positive effect of "green" spending on reducing the carbon footprint. An important observation is that in many years, environmental expenditure grows at a faster rate than the European Union's gross domestic product, emphasizing the increased commitment to environmental issues even in conditions of economic growth. The regression analysis shows a strong relationship between the predictors (gross domestic product and environmental expenditure) and greenhouse gas emissions. Despite the expectation that economic growth woul</w:t>
      </w:r>
    </w:p>
    <w:p>
      <w:pPr>
        <w:pStyle w:val="Heading2"/>
      </w:pPr>
      <w:r>
        <w:t>800. Multi-model ensemble simulations of olive pollen distribution in Europe in 2014: current status and outlook</w:t>
      </w:r>
    </w:p>
    <w:p>
      <w:pPr>
        <w:pStyle w:val="SourceNote"/>
      </w:pPr>
      <w:r>
        <w:rPr>
          <w:b/>
        </w:rPr>
        <w:t>Original source (2017):</w:t>
      </w:r>
      <w:r>
        <w:t xml:space="preserve"> https://doi.org/10.5194/acp-17-12341-2017</w:t>
      </w:r>
    </w:p>
    <w:p>
      <w:pPr/>
      <w:r>
        <w:t>Original wording (abstract; indexed_source_text_not_full_document_verified): The best skill scores were obtained with data fusion, which used the previous-days observations to identify the optimal weighting coefficients of the individual model forecasts. Such combinations were tested for the forecasting period up to 4 days and shown to remain nearly optimal throughout the whole period.</w:t>
      </w:r>
    </w:p>
    <w:p>
      <w:pPr/>
      <w:r>
        <w:rPr>
          <w:b/>
        </w:rPr>
        <w:t>POSSIBLE 2026:</w:t>
      </w:r>
      <w:r>
        <w:t xml:space="preserve"> AI-Driven Weather Data Superresolution via Data Fusion for Precision Agriculture — https://doi.org/10.3390/s26041297</w:t>
      </w:r>
    </w:p>
    <w:p>
      <w:pPr/>
      <w:r>
        <w:rPr>
          <w:b/>
        </w:rPr>
        <w:t>Shared claim-specific concepts:</w:t>
      </w:r>
      <w:r>
        <w:t xml:space="preserve"> data, fusion, observations, period, remain; EU scope not established. This is a provisional connection, not an outcome finding.</w:t>
      </w:r>
    </w:p>
    <w:p>
      <w:pPr>
        <w:pStyle w:val="SourceNote"/>
      </w:pPr>
      <w:r>
        <w:rPr>
          <w:b/>
        </w:rPr>
        <w:t>Available abstract (not full text):</w:t>
      </w:r>
      <w:r>
        <w:t xml:space="preserve"> Accurate field-scale meteorological information is required for precision agriculture, but operational numerical weather prediction products remain spatially coarse and cannot resolve local microclimate variability. This study proposes a data fusion superresolution workflow that combines global GFS predictors (0.25°), regional station observations from Southern Moravia (Czech Republic), and static physiographic descriptors (elevation and terrain gradients) to predict the 2 m air temperature 24 h ahead and to generate spatially continuous high-resolution temperature fields. Several model families (LightGBM, TabPFN, Transformer, and Bayesian neural fields) are evaluated under spatiotemporal splits designed to test generalization to unseen time periods and unseen stations; spatial mapping is implemented via a KNN interpolation layer in the physiographic feature space. All learned configurations reduce the mean absolute error relative to raw GFS across splits. In the most operationally relevant regime (unseen stations and unseen future period), TabPFN-KNN achieves the lowest MAE (1.26 °C), corresponding to an ≈24% reduction versus GFS (1.66 °C). The results support the feasibility of an operational, sensor-infrastructure-compatible pipeline for high-resolution temperature superresolution in agricultural landscapes.</w:t>
      </w:r>
    </w:p>
    <w:p>
      <w:pPr/>
      <w:r>
        <w:rPr>
          <w:b/>
        </w:rPr>
        <w:t>POSSIBLE 2026:</w:t>
      </w:r>
      <w:r>
        <w:t xml:space="preserve"> HOSPITALITY SECTOR SKILLS – COMPARING CROATIA TO SOUTH EUROPEAN COUNTRIES — https://doi.org/10.20867/thi.28.06</w:t>
      </w:r>
    </w:p>
    <w:p>
      <w:pPr/>
      <w:r>
        <w:rPr>
          <w:b/>
        </w:rPr>
        <w:t>Shared claim-specific concepts:</w:t>
      </w:r>
      <w:r>
        <w:t xml:space="preserve"> skill, scores, used, individual; EU scope visible. This is a provisional connection, not an outcome finding.</w:t>
      </w:r>
    </w:p>
    <w:p>
      <w:pPr>
        <w:pStyle w:val="SourceNote"/>
      </w:pPr>
      <w:r>
        <w:rPr>
          <w:b/>
        </w:rPr>
        <w:t>Available abstract (not full text):</w:t>
      </w:r>
      <w:r>
        <w:t xml:space="preserve"> Purpose – The paper aims to comparatively analyse general skills differences among employed in the hospitality sector across South European (SE) economies. Methodology/Design/Approach – The individual responses from the Survey of Adult Skills were used to assess objective skill levels (literacy, numeracy, adaptive problem-solving) and selfperceived skill deficiencies. Descriptive comparisons across the countries and Oaxaca-Blinder decomposition were applied. Findings – The results show a relatively strong position for Croatia in literacy and numeracy, but a lower score in adaptive problem-solving. The difference in average scores between the countries is due to a compositional effect, mostly related to individuals with lower educational attainment and those of foreign origin. Originality of the research – The analysis provides objective measures of general skills in the hospitality sector in Croatia and SE economies, complementing previous findings focused on a single country.</w:t>
      </w:r>
    </w:p>
    <w:p>
      <w:pPr/>
      <w:r>
        <w:rPr>
          <w:b/>
        </w:rPr>
        <w:t>POSSIBLE 2025:</w:t>
      </w:r>
      <w:r>
        <w:t xml:space="preserve"> Factors explaining adolescents’ digital skills in Europe — https://doi.org/10.1057/s41599-025-05241-9</w:t>
      </w:r>
    </w:p>
    <w:p>
      <w:pPr/>
      <w:r>
        <w:rPr>
          <w:b/>
        </w:rPr>
        <w:t>Shared claim-specific concepts:</w:t>
      </w:r>
      <w:r>
        <w:t xml:space="preserve"> skill, scores, data; EU scope visible. This is a provisional connection, not an outcome finding.</w:t>
      </w:r>
    </w:p>
    <w:p>
      <w:pPr>
        <w:pStyle w:val="SourceNote"/>
      </w:pPr>
      <w:r>
        <w:rPr>
          <w:b/>
        </w:rPr>
        <w:t>Available abstract (not full text):</w:t>
      </w:r>
      <w:r>
        <w:t xml:space="preserve"> Information and Communication Technologies (ICTs) play a pivotal role in the everyday lives of children and adolescents, shaping their educational experiences, leisure pursuits, and well-being. Thus, it is imperative for young individuals to have the capacity to employ digital skills adeptly, leading to tangible advantages for their personal growth and development. Yet, despite being born and brought up in a digital era and surrounded by digital devices, children and young people may lack the necessary knowledge and digital skills essential for leveraging ICTs effectively and preparing for a life in a digital society. This challenge is closely linked to the concept of the digital divide, which highlights disparities in access to and effective use of digital technologies based on socio-economic and demographic factors. The present paper utilizes raw data from the latest PISA 2022 survey to examine factors explaining digital skill scores of 15-year-old students in Europe in connection with several socio-demographic variables, namely gender, parental education, and migration background, as well as interest toward ICT, distraction from digital devices, and time spent on the internet. The results reveal significant differences amongst countries, and potential predictors of digital skills are provided for each European country separately. Overall life satisfaction was also examined a</w:t>
      </w:r>
    </w:p>
    <w:p>
      <w:pPr/>
      <w:r>
        <w:rPr>
          <w:b/>
        </w:rPr>
        <w:t>POSSIBLE 2025:</w:t>
      </w:r>
      <w:r>
        <w:t xml:space="preserve"> Design of a framework for skill assessment and performance analysis of soccer players based on multimodal data fusion — https://doi.org/10.70517/ijhsa463280</w:t>
      </w:r>
    </w:p>
    <w:p>
      <w:pPr/>
      <w:r>
        <w:rPr>
          <w:b/>
        </w:rPr>
        <w:t>Shared claim-specific concepts:</w:t>
      </w:r>
      <w:r>
        <w:t xml:space="preserve"> skill, data, fusion, tested; EU scope not established. This is a provisional connection, not an outcome finding.</w:t>
      </w:r>
    </w:p>
    <w:p>
      <w:pPr>
        <w:pStyle w:val="SourceNote"/>
      </w:pPr>
      <w:r>
        <w:rPr>
          <w:b/>
        </w:rPr>
        <w:t>Available abstract (not full text):</w:t>
      </w:r>
      <w:r>
        <w:t xml:space="preserve"> The author in order to realize the skill assessment of soccer players and analyze the athletes' performance on the field.Based on the extraction of multimodal data of soccer players and the fusion of multistream data with adaptive multiscale differential graph convolutional network, the athlete action recognition model is constructed.Next, the PC-CNN skill assessment model is constructed to assess and analyze the skills of soccer players.The performance performance of the assessment model in this paper is tested through comparative experiments.Finally, analyze the performance of the soccer team in the shooting mode and shooting area.The accuracy of this paper's PC-CNN assessment model is more than 90% in the assessment of three levels of skills of soccer players, and the accuracy of the assessment of high-level skills reaches 100%, which is more accurate than other models.Among the multimodal data of athletes' physiology, joint movements had the greatest influence on the assessment accuracy of the assessment model, which reached 78.17%.The soccer teams A, B, and C had the highest success rate in the item of penalty kick shooting skill, with success rates of 75%, 66.7%, and 66.7%, respectively.Teams A and C had the highest success rate in Zone 1.Team B had the highest success rate in Zone 4.</w:t>
      </w:r>
    </w:p>
    <w:p>
      <w:pPr/>
      <w:r>
        <w:rPr>
          <w:b/>
        </w:rPr>
        <w:t>POSSIBLE 2025:</w:t>
      </w:r>
      <w:r>
        <w:t xml:space="preserve"> Personalized nutrition: perspectives on challenges, opportunities, and guiding principles for data use and fusion — https://doi.org/10.1080/10408398.2025.2461237</w:t>
      </w:r>
    </w:p>
    <w:p>
      <w:pPr/>
      <w:r>
        <w:rPr>
          <w:b/>
        </w:rPr>
        <w:t>Shared claim-specific concepts:</w:t>
      </w:r>
      <w:r>
        <w:t xml:space="preserve"> data, fusion, individual, remain; EU scope not established. This is a provisional connection, not an outcome finding.</w:t>
      </w:r>
    </w:p>
    <w:p>
      <w:pPr>
        <w:pStyle w:val="SourceNote"/>
      </w:pPr>
      <w:r>
        <w:rPr>
          <w:b/>
        </w:rPr>
        <w:t>Available abstract (not full text):</w:t>
      </w:r>
      <w:r>
        <w:t xml:space="preserve"> Personalized nutrition (PN) delivers tailored dietary guidance by integrating health, lifestyle, and behavioral data to improve individual health outcomes. Recent technological advances have enhanced access to diverse data sources, yet challenges remain in collecting, integrating, and analyzing complex datasets. To address these, the Personalized Nutrition Initiative at Illinois organized a workshop titled "Personalized Nutrition Data: Challenges &amp; Opportunities," which gathered experts to explore three essential data domains in PN: 1) health and biological, 2) social, behavioral, and environmental, and 3) consumer purchasing data. Discussions underscored the importance of cross-disciplinary collaboration to standardize data collection, enable secure data sharing, and develop data fusion techniques that respect privacy and build trust. Participants emphasized the need for representative datasets that include underserved populations, ensuring that PN services are accessible and equitable. Key principles for responsible data integration were proposed, alongside strategies to overcome barriers to effective data use. By addressing these challenges, PN can enhance health outcomes through precise, personalized recommendations tailored to diverse population needs.</w:t>
      </w:r>
    </w:p>
    <w:p>
      <w:pPr/>
      <w:r>
        <w:rPr>
          <w:b/>
        </w:rPr>
        <w:t>POSSIBLE 2024:</w:t>
      </w:r>
      <w:r>
        <w:t xml:space="preserve"> Triple Collocation-Based Uncertainty Analysis and Data Fusion of Multi-Source Evapotranspiration Data Across China — https://doi.org/10.3390/atmos15121410</w:t>
      </w:r>
    </w:p>
    <w:p>
      <w:pPr/>
      <w:r>
        <w:rPr>
          <w:b/>
        </w:rPr>
        <w:t>Shared claim-specific concepts:</w:t>
      </w:r>
      <w:r>
        <w:t xml:space="preserve"> best, data, fusion, individual, nearly; EU scope visible. This is a provisional connection, not an outcome finding.</w:t>
      </w:r>
    </w:p>
    <w:p>
      <w:pPr>
        <w:pStyle w:val="SourceNote"/>
      </w:pPr>
      <w:r>
        <w:rPr>
          <w:b/>
        </w:rPr>
        <w:t>Available abstract (not full text):</w:t>
      </w:r>
      <w:r>
        <w:t xml:space="preserve"> Accurate estimation of evapotranspiration (ET) is critical for understanding land-atmospheric interactions. Despite the advancement in ET measurement, a single ET estimate still suffers from inherent uncertainties. Data fusion provides a viable option for improving ET estimation by leveraging the strengths of individual ET products, especially the triple collocation (TC) method, which has a prominent advantage in not relying on the availability of “ground truth” data. In this work, we proposed a framework for uncertainty analysis and data fusion based on the extended TC (ETC) and multiple TC (MTC) variants. Three different sources of ET products, i.e., the Global Land Evaporation and Amsterdam Model (GLEAM), the fifth generation of European Reanalysis-Land (ERA5-Land), and the complementary relationship model (CR), were selected as the TC triplet. The analyses were conducted based on different climate zones and land cover types across China. Results show that ETC presents outstanding performance as most areas conform to the zero-error correlations assumption, while nearly half of the areas violate this assumption when using MTC. In addition, the ETC method derives a lower root mean square error (RMSE) and higher correlation coefficient (Corr) than the MTC one over most climate zones and land cover types. Among the ET products, GLEAM performs the best, while CR performs the wors</w:t>
      </w:r>
    </w:p>
    <w:p>
      <w:pPr/>
      <w:r>
        <w:rPr>
          <w:b/>
        </w:rPr>
        <w:t>POSSIBLE 2024:</w:t>
      </w:r>
      <w:r>
        <w:t xml:space="preserve"> Fusion of Soccer and Sipa and Tumbang Lata Skills in Developing a Recreational Game — https://doi.org/10.36948/ijfmr.2024.v06i03.23700</w:t>
      </w:r>
    </w:p>
    <w:p>
      <w:pPr/>
      <w:r>
        <w:rPr>
          <w:b/>
        </w:rPr>
        <w:t>Shared claim-specific concepts:</w:t>
      </w:r>
      <w:r>
        <w:t xml:space="preserve"> best, fusion, used; EU scope not established. This is a provisional connection, not an outcome finding.</w:t>
      </w:r>
    </w:p>
    <w:p>
      <w:pPr>
        <w:pStyle w:val="SourceNote"/>
      </w:pPr>
      <w:r>
        <w:rPr>
          <w:b/>
        </w:rPr>
        <w:t>Available abstract (not full text):</w:t>
      </w:r>
      <w:r>
        <w:t xml:space="preserve"> Traditional games are seen as the best platform for "promoting peace, harmony, goodwill and camaraderie" in various Philippine communities especially since today’s generation is different, most kids are stuck on their phones, iPods, and PSPs while sitting in a corner. This study highlighted a newly developed game derived from the two (2) recreational games, Sipa and Tumba Lata called Patada Lata. A game development approach that blends personalization and innovation, customized to the specific requirements of various groups. The respondents were 5 coaches of each sport (soccer and futsal) and teachers from Mindanao State University- General Santos City. The descriptive qualitative design was used following the Successive Approximation Model in deriving the development of the recreational game. A researcher-made interview guide question was utilized to obtain the feedback, comments, and suggestions of the validators, experts, and the student's experiences in playing Patada Lata. Based on the results of the study, positive feedback on the feasibility and adaptability of the game was received from participants. It is concluded that Patada Lata is playable, valid, and suitable and is highly accepted by the respondents. It recommends massive implementation to further normalize the mechanics of the recreational game Patada Lata.</w:t>
      </w:r>
    </w:p>
    <w:p>
      <w:pPr/>
      <w:r>
        <w:rPr>
          <w:b/>
        </w:rPr>
        <w:t>POSSIBLE 2024:</w:t>
      </w:r>
      <w:r>
        <w:t xml:space="preserve"> Feeding Assistance Skill Score: development and verification of reliability and validity — https://doi.org/10.1007/s41999-024-01016-8</w:t>
      </w:r>
    </w:p>
    <w:p>
      <w:pPr/>
      <w:r>
        <w:rPr>
          <w:b/>
        </w:rPr>
        <w:t>Shared claim-specific concepts:</w:t>
      </w:r>
      <w:r>
        <w:t xml:space="preserve"> skill, scores, individual; EU scope not established. This is a provisional connection, not an outcome finding.</w:t>
      </w:r>
    </w:p>
    <w:p>
      <w:pPr>
        <w:pStyle w:val="SourceNote"/>
      </w:pPr>
      <w:r>
        <w:rPr>
          <w:b/>
        </w:rPr>
        <w:t>Available abstract (not full text):</w:t>
      </w:r>
      <w:r>
        <w:t xml:space="preserve"> Abstract Purpose Feeding assistance should be safe and improve the assisted individual’s ability to feed, yet objective tools for evaluating these skills are lacking. This study focuses on developing a tool for assessing feeding assistance skills. Methods A group consisting of 25 experts employed the Delphi method to achieve a consensus on the essential items necessary for assessing feeding assistance skills. Subsequently, a draft score using a three-point scale was developed. To test the reliability of the draft scores, a group of 20 patients and 20 nurses was matched to record a meal assistance scene, which were independently evaluated by three raters. We computed the AC 1 statistic to assess both intra- and inter-rater reliability, and further examined correlations between the Feeding Assistance Skill Score (FASS) scores and outcome items to verify validity. Results Initially, an 18-item draft score was generated using the Delphi method. Subsequently, seven items were omitted from the intra- or inter-rater reliability analysis. Furthermore, after discussion, researchers removed one item that assessed food cognition, because the agreement score between the two items was 91%. Finally, the 10-item FASS was developed, showing a correlation with dietary intake upon validation. Conclusions We successfully developed a scoring system for peer evaluation of feeding assistance skills.</w:t>
      </w:r>
    </w:p>
    <w:p>
      <w:pPr/>
      <w:r>
        <w:rPr>
          <w:b/>
        </w:rPr>
        <w:t>POSSIBLE 2024:</w:t>
      </w:r>
      <w:r>
        <w:t xml:space="preserve"> Latent profiles of adolescents’ digital skills across six European countries — https://doi.org/10.1177/14614448241258704</w:t>
      </w:r>
    </w:p>
    <w:p>
      <w:pPr/>
      <w:r>
        <w:rPr>
          <w:b/>
        </w:rPr>
        <w:t>Shared claim-specific concepts:</w:t>
      </w:r>
      <w:r>
        <w:t xml:space="preserve"> best, skill, data; EU scope visible. This is a provisional connection, not an outcome finding.</w:t>
      </w:r>
    </w:p>
    <w:p>
      <w:pPr>
        <w:pStyle w:val="SourceNote"/>
      </w:pPr>
      <w:r>
        <w:rPr>
          <w:b/>
        </w:rPr>
        <w:t>Available abstract (not full text):</w:t>
      </w:r>
      <w:r>
        <w:t xml:space="preserve"> Digital skills are considered critical for functioning in contemporary society, yet there are differences between adolescents’ skills depending on demographic and socioeconomic variables. This study, utilising data from six EU countries ( N = 6221; M age = 14.5; SD = 1.4), takes a person-oriented approach to examine adolescents digital skill profiles and associations with socioeconomic, digital activity, and socioemotional antecedents. Using latent profile analyses with tests of similarity across countries, we identified five profiles: All-rounders, Informationists, Content Creators, Communicators, and No high skills. The All-rounders reported the highest proportions of skills at a high level (~77–87%) across all dimensions and performed best across digital knowledge items, but Communicators were the largest profile across countries which showed adept acquisition (~67%) of high skills only regarding communication and interaction skills. Among the most important antecedents predicting high digital skills were being male, using computers, and having strong self-efficacy.</w:t>
      </w:r>
    </w:p>
    <w:p>
      <w:pPr/>
      <w:r>
        <w:rPr>
          <w:b/>
        </w:rPr>
        <w:t>POSSIBLE 2023:</w:t>
      </w:r>
      <w:r>
        <w:t xml:space="preserve"> Ionospheric irregularity reconstruction using multisource data fusion via deep learning — https://doi.org/10.5194/acp-23-13413-2023</w:t>
      </w:r>
    </w:p>
    <w:p>
      <w:pPr/>
      <w:r>
        <w:rPr>
          <w:b/>
        </w:rPr>
        <w:t>Shared claim-specific concepts:</w:t>
      </w:r>
      <w:r>
        <w:t xml:space="preserve"> data, fusion, used, observations; EU scope not established. This is a provisional connection, not an outcome finding.</w:t>
      </w:r>
    </w:p>
    <w:p>
      <w:pPr>
        <w:pStyle w:val="SourceNote"/>
      </w:pPr>
      <w:r>
        <w:rPr>
          <w:b/>
        </w:rPr>
        <w:t>Available abstract (not full text):</w:t>
      </w:r>
      <w:r>
        <w:t xml:space="preserve"> Abstract. The ionospheric sporadic E (Es) layer is the intense plasma irregularities between 80 and 130 km in altitude, which is generally unpredictable. Reconstructing the morphology of sporadic E layer is not only essential for understanding the nature of ionospheric irregularities and many other atmospheric coupling systems, but also useful to solve a broad range of demands for reliable radio communication of many sectors reliant on ionosphere-dependent decision-making. Despite the efforts of many empirical and theoretical models, a predictive algorithm with both high accuracy and high efficiency is still lacking. Here we introduce a new approach for Sporadic E Layer Forecast using Artificial Neural Networks (SELF-ANN). The prediction engine is trained by fusing observational data from multiple sources, including high-resolution ERA5 reanalysis dataset, COSMIC RO measurements, and integrated data from OMNI. The results show that the model can effectively reconstruct the morphology of the ionospheric E layer with intraseasonal variability by learning complex patterns. The model obtains good performance and generalization capability by applying multiple evaluation criteria. The random forest algorithm used for preliminary pro- cessing shows that local time, altitude, longitude, and latitude are significantly essential for forecasting the E-layer region. Extensive evaluations b</w:t>
      </w:r>
    </w:p>
    <w:p>
      <w:pPr/>
      <w:r>
        <w:rPr>
          <w:b/>
        </w:rPr>
        <w:t>POSSIBLE 2023:</w:t>
      </w:r>
      <w:r>
        <w:t xml:space="preserve"> Modelling Skills Mismatch Evolution in the European Union — https://doi.org/10.5281/zenodo.7822460</w:t>
      </w:r>
    </w:p>
    <w:p>
      <w:pPr/>
      <w:r>
        <w:rPr>
          <w:b/>
        </w:rPr>
        <w:t>Shared claim-specific concepts:</w:t>
      </w:r>
      <w:r>
        <w:t xml:space="preserve"> data, used; EU scope visible. This is a provisional connection, not an outcome finding.</w:t>
      </w:r>
    </w:p>
    <w:p>
      <w:pPr>
        <w:pStyle w:val="SourceNote"/>
      </w:pPr>
      <w:r>
        <w:rPr>
          <w:b/>
        </w:rPr>
        <w:t>Available abstract (not full text):</w:t>
      </w:r>
      <w:r>
        <w:t xml:space="preserve"> Ensuring, that the supply of skills matches their demand in the labour market is a persistent policy concern. As a consequence, there are regular efforts to estimate skills supply-demand imbalances and project their evolution over time. However, such projections may not always take into account the complex dynamic effects, present in education and labour market systems. System dynamics (SD) modelling is well-placed to take into account such effects. Therefore, this paper attempts to model the evolution of supply, demand and imbalances of skills in the European Union, also taking into account dynamic factors, such as policy choices (e.g., education financing) and/or socio-economic tendencies (e.g., the attractiveness of higher education). The modelling exercise demonstrates that SD may be used to model skills supply-demand systems and that it can be calibrated to perform in line with historical data. Using this model, the future projection of skills mismatch evolution indicates, that by the mid-2030s an over-supply of high-skilled labour may appear in the EU. This may also happen much earlier if post-secondary VET qualifications would be considered well-matched with some of the jobs requiring a high level of skills, as has been argued to be the case by some authors earlier. There is a potential for further refining and extending this analysis with a more detailed definition of m</w:t>
      </w:r>
    </w:p>
    <w:p>
      <w:pPr/>
      <w:r>
        <w:rPr>
          <w:b/>
        </w:rPr>
        <w:t>POSSIBLE 2023:</w:t>
      </w:r>
      <w:r>
        <w:t xml:space="preserve"> Latent profiles of adolescents’ digital skills across six European countries — https://doi.org/10.31219/osf.io/xb4uj</w:t>
      </w:r>
    </w:p>
    <w:p>
      <w:pPr/>
      <w:r>
        <w:rPr>
          <w:b/>
        </w:rPr>
        <w:t>Shared claim-specific concepts:</w:t>
      </w:r>
      <w:r>
        <w:t xml:space="preserve"> best, skill, data; EU scope visible. This is a provisional connection, not an outcome finding.</w:t>
      </w:r>
    </w:p>
    <w:p>
      <w:pPr>
        <w:pStyle w:val="SourceNote"/>
      </w:pPr>
      <w:r>
        <w:rPr>
          <w:b/>
        </w:rPr>
        <w:t>Available abstract (not full text):</w:t>
      </w:r>
      <w:r>
        <w:t xml:space="preserve"> Digital skills are considered critical for functioning in contemporary society, yet there are differences between adolescents’ skills depending on demographic and socioeconomic variables. This study, ulizing data from six EU-countries (N=6221; Mage=14.5; SD=1.4), takes a person-oriented approach to examine adolescents digital skill profiles and associations with socio-economic, digital activity, and socio-emotional antecedents. Using latent profile analyses with tests of similarity across countries, we identified five profiles: Allrounders, Informationists, Content Creators, Communicators, and No high skills. The Allrounders reported the highest proportions of skills at a high level (~77-87%) across all dimensions and performed best across digital knowledge items, whereas Communicators were the largest profile across countries and showed adept aqcuisition (~67%) of high skills only regarding communication and interaction skills. Support from friends, using computers and utilizing digital media to follow news, learn something new, create content or communicate with friends predicted reflecting the Allrounders compared to the Communicators.</w:t>
      </w:r>
    </w:p>
    <w:p>
      <w:pPr>
        <w:pStyle w:val="Heading2"/>
      </w:pPr>
      <w:r>
        <w:t>801. New EU-scale environmental scenarios until 2050 – Scenario process and initial scenario applications</w:t>
      </w:r>
    </w:p>
    <w:p>
      <w:pPr>
        <w:pStyle w:val="SourceNote"/>
      </w:pPr>
      <w:r>
        <w:rPr>
          <w:b/>
        </w:rPr>
        <w:t>Original source (2017):</w:t>
      </w:r>
      <w:r>
        <w:t xml:space="preserve"> https://doi.org/10.1016/j.ecoser.2017.08.006</w:t>
      </w:r>
    </w:p>
    <w:p>
      <w:pPr/>
      <w:r>
        <w:t>Original wording (abstract; indexed_source_text_not_full_document_verified): In a participatory iterative approach four scenarios were developed for the period to 2050, involving regional and EU-level users and stakeholders. Understanding uncertainties and risks can be considered to be the main motivation behind environmental scenario studies to assess potential economic, environmental, social or technical developments and their expected consequences for society and environment.</w:t>
      </w:r>
    </w:p>
    <w:p>
      <w:pPr/>
      <w:r>
        <w:rPr>
          <w:b/>
        </w:rPr>
        <w:t>POSSIBLE 2026:</w:t>
      </w:r>
      <w:r>
        <w:t xml:space="preserve"> Mapping Participatory Approaches in Health Care Provision for Older Immigrants in Europe: A Scoping Review — https://doi.org/10.1007/s10903-026-01923-x</w:t>
      </w:r>
    </w:p>
    <w:p>
      <w:pPr/>
      <w:r>
        <w:rPr>
          <w:b/>
        </w:rPr>
        <w:t>Shared claim-specific concepts:</w:t>
      </w:r>
      <w:r>
        <w:t xml:space="preserve"> participatory, regional, potential; EU scope visible. This is a provisional connection, not an outcome finding.</w:t>
      </w:r>
    </w:p>
    <w:p>
      <w:pPr>
        <w:pStyle w:val="SourceNote"/>
      </w:pPr>
      <w:r>
        <w:rPr>
          <w:b/>
        </w:rPr>
        <w:t>Available abstract (not full text):</w:t>
      </w:r>
      <w:r>
        <w:t xml:space="preserve"> Europe faces the dual challenges of population ageing and increasing migration, resulting in a growing demographic of older immigrants with complex healthcare needs. Despite extensive research on ageing and migration, regional evidence on healthcare provision for older immigrants remains fragmented. Participatory approaches that integrate the voices and experiences of older immigrants can improve cultural sensitivity, accessibility, and health equity, ultimately leading to better outcomes. This scoping review seeks to contribute to filling the existing knowledge gap by systematically mapping the literature on healthcare provision using participatory approaches for older immigrants in Europe. This scoping review followed Arksey and O'Malley's methodological framework and the PRISMA-ScR reporting guidelines. A comprehensive search of five electronic databases was conducted in February 2025. Eligible studies included empirical research focusing on immigrants aged 60 years and older in Europe that used participatory approaches to healthcare provision. Data were charted and synthesized thematically to identify barriers and facilitators of healthcare utilization discussed in the context of participatory approaches, as well as gaps in the literature. From 2,411 records, 23 studies published between 2011 and 2025 met the inclusion criteria. Most were conducted in the United Kingdom, De</w:t>
      </w:r>
    </w:p>
    <w:p>
      <w:pPr/>
      <w:r>
        <w:rPr>
          <w:b/>
        </w:rPr>
        <w:t>POSSIBLE 2026:</w:t>
      </w:r>
      <w:r>
        <w:t xml:space="preserve"> Envisioning the future of European mountain value chains: a participatory foresight approach — https://doi.org/10.1007/s10113-025-02454-1</w:t>
      </w:r>
    </w:p>
    <w:p>
      <w:pPr/>
      <w:r>
        <w:rPr>
          <w:b/>
        </w:rPr>
        <w:t>Shared claim-specific concepts:</w:t>
      </w:r>
      <w:r>
        <w:t xml:space="preserve"> participatory, approach, four, regional, understanding; EU scope visible. This is a provisional connection, not an outcome finding.</w:t>
      </w:r>
    </w:p>
    <w:p>
      <w:pPr>
        <w:pStyle w:val="SourceNote"/>
      </w:pPr>
      <w:r>
        <w:rPr>
          <w:b/>
        </w:rPr>
        <w:t>Available abstract (not full text):</w:t>
      </w:r>
      <w:r>
        <w:t xml:space="preserve"> Abstract Mountain regions, vital socio-ecological systems covering 36% of Europe, face intensifying challenges from climate change, demographic shifts, and economic transformations, necessitating strategic long-term planning. This study presents a multi-regional participatory foresight exercise conducted across 22 European mountain areas to explore future scenarios and strategic pathways for sustainable development by 2050. Through stakeholder-driven workshops, key long-term forces shaping mountain value chains were identified, leading to the development of four archetypal futures based on their respective Theories of Change: Economic, Nature, Niche &amp; Diversification, and Knowledge &amp; Innovation, which serve as tools for understanding diverse regional trajectories and guiding strategic interventions. Findings emphasize the need for integrated, stakeholder-inclusive foresight approaches that go beyond traditional policy frameworks. The research highlights the importance of embedding value chain decisions within broader societal concerns and territorial sustainability strategies. By structuring long-term projections through archetypes, the research facilitates proactive thinking beyond short-term horizons, preventing maladaptation and fostering resilience. This research contributes to foresight methodologies by integrating participatory scenario-building with strategic thinking, s</w:t>
      </w:r>
    </w:p>
    <w:p>
      <w:pPr/>
      <w:r>
        <w:rPr>
          <w:b/>
        </w:rPr>
        <w:t>POSSIBLE 2026:</w:t>
      </w:r>
      <w:r>
        <w:t xml:space="preserve"> Mediating heritage through design: Participatory approaches to post-digital transformation — https://doi.org/10.21606/drs.2026.2338</w:t>
      </w:r>
    </w:p>
    <w:p>
      <w:pPr/>
      <w:r>
        <w:rPr>
          <w:b/>
        </w:rPr>
        <w:t>Shared claim-specific concepts:</w:t>
      </w:r>
      <w:r>
        <w:t xml:space="preserve"> participatory, iterative, approach; EU scope visible. This is a provisional connection, not an outcome finding.</w:t>
      </w:r>
    </w:p>
    <w:p>
      <w:pPr>
        <w:pStyle w:val="SourceNote"/>
      </w:pPr>
      <w:r>
        <w:rPr>
          <w:b/>
        </w:rPr>
        <w:t>Available abstract (not full text):</w:t>
      </w:r>
      <w:r>
        <w:t xml:space="preserve"> This research explores how design mediates the digital transformation of cultural heritage through hybrid and multisensory installations in archaeological contexts. Using the Case Romane del Celio in Rome as a pilot site for the European project HeritAdapt, it aims to redistribute visitor flows and promote sustainable tourism by enhancing the intangible value of minor sites. The study contributes to the post-digital museology debate by framing design as a critical, participatory practice operating across physical and virtual dimensions, fostering collaboration among engineering, management and restoration. Combining Service Design, Extended Reality and Artificial Intelligence technologies, qualitative research and iterative prototyping guided the creation of an integrated experience along the entire visitor journey. The approach seeks symbiotic interventions that ensure long-term sustainability, stakeholder involvement, storytelling-based engagement, heritage preservation and promotion. Following a testing phase, the project will develop toolkits and guidelines for GLAMs, enabling adaptable, accessible, and context-grounded digital interventions in heritage scenarios.</w:t>
      </w:r>
    </w:p>
    <w:p>
      <w:pPr/>
      <w:r>
        <w:rPr>
          <w:b/>
        </w:rPr>
        <w:t>POSSIBLE 2026:</w:t>
      </w:r>
      <w:r>
        <w:t xml:space="preserve"> Developing evidence-based health education resources: a participatory and iterative approach applied to the one health concept — https://doi.org/10.3389/fpubh.2026.1912836</w:t>
      </w:r>
    </w:p>
    <w:p>
      <w:pPr/>
      <w:r>
        <w:rPr>
          <w:b/>
        </w:rPr>
        <w:t>Shared claim-specific concepts:</w:t>
      </w:r>
      <w:r>
        <w:t xml:space="preserve"> participatory, iterative, approach, involving, users, stakeholders; EU scope not established. This is a provisional connection, not an outcome finding.</w:t>
      </w:r>
    </w:p>
    <w:p>
      <w:pPr>
        <w:pStyle w:val="SourceNote"/>
      </w:pPr>
      <w:r>
        <w:rPr>
          <w:b/>
        </w:rPr>
        <w:t>Available abstract (not full text):</w:t>
      </w:r>
      <w:r>
        <w:t xml:space="preserve"> Introduction: The development of health education resources frequently relies on a top-down approach centered on scientific or institutional expertise, which may not always reflect the needs of end users. In a context marked by the emergence of the One Health concept and its forthcoming integration into French school curricula, the development of appropriate educational resources represents a major challenge. This study aimed to describe a participatory, iterative and co-constructive approach to the development of evidence-based educational resources within the e-Bug program. Methods: Resource development followed a five-step process: needs assessment based on an evidence and context review, curriculum analysis and focus groups with teachers; resource design; prototype optimization through a second series of focus groups; scientific and institutional validation; and school-based piloting. Findings from the school-based evaluation are not reported in the present methodological study and will be presented separately. Qualitative data guided successive adaptations of the resources throughout the development process. Results: The identified needs led to the development of modular educational resources, adapted to different educational levels and readily usable in the classroom. Teacher feedback primarily concerned active learning approaches, content contextualization, activity modu</w:t>
      </w:r>
    </w:p>
    <w:p>
      <w:pPr/>
      <w:r>
        <w:rPr>
          <w:b/>
        </w:rPr>
        <w:t>POSSIBLE 2026:</w:t>
      </w:r>
      <w:r>
        <w:t xml:space="preserve"> From Engagement to Empowerment: Iterative Participatory Urbanism and Community Spatial Agency in the ECHO Project — https://doi.org/10.3390/architecture6030104</w:t>
      </w:r>
    </w:p>
    <w:p>
      <w:pPr/>
      <w:r>
        <w:rPr>
          <w:b/>
        </w:rPr>
        <w:t>Shared claim-specific concepts:</w:t>
      </w:r>
      <w:r>
        <w:t xml:space="preserve"> participatory, iterative, approach; EU scope not established. This is a provisional connection, not an outcome finding.</w:t>
      </w:r>
    </w:p>
    <w:p>
      <w:pPr>
        <w:pStyle w:val="SourceNote"/>
      </w:pPr>
      <w:r>
        <w:rPr>
          <w:b/>
        </w:rPr>
        <w:t>Available abstract (not full text):</w:t>
      </w:r>
      <w:r>
        <w:t xml:space="preserve"> Public housing in the Global South often prioritises the physical delivery of shelter at the expense of the social infrastructures needed to sustain collective life. In Malaysia’s Program Perumahan Rakyat (PPR), participatory efforts are frequently treated as brief consultative exercises that rarely reshape governance relations. This paper reconceptualises iterative participatory urbanism as a process through which community spatial agency is progressively formed through repeated engagement rather than isolated events. Unlike conventional participatory planning or co-production models centred on discrete consultation or project delivery, this approach frames participation as an evolving governance ecology. Drawing on a 12-month embedded case study of the ECHO Project at PPR Sri Cempaka, Kuala Lumpur, the study combines focus group discussions, participatory mapping, co-design workshops, and longitudinal facilitation observations to examine how residents’ relationship to shared space changed over time. Findings reveal a shift from passive expectations of state-led provision toward collective coordination, informal stewardship, and emerging shared governance practices. Spatial agency emerged not through design interventions alone but through relational continuity, visible responsiveness, and evolving shared responsibility. The study contributes to participatory urbanism and spati</w:t>
      </w:r>
    </w:p>
    <w:p>
      <w:pPr/>
      <w:r>
        <w:rPr>
          <w:b/>
        </w:rPr>
        <w:t>POSSIBLE 2026:</w:t>
      </w:r>
      <w:r>
        <w:t xml:space="preserve"> A participatory framework for assessing climate neutrality transition readiness — https://doi.org/10.5281/zenodo.22777820</w:t>
      </w:r>
    </w:p>
    <w:p>
      <w:pPr/>
      <w:r>
        <w:rPr>
          <w:b/>
        </w:rPr>
        <w:t>Shared claim-specific concepts:</w:t>
      </w:r>
      <w:r>
        <w:t xml:space="preserve"> participatory, iterative, developed, involving, regional, stakeholders; EU scope visible. This is a provisional connection, not an outcome finding.</w:t>
      </w:r>
    </w:p>
    <w:p>
      <w:pPr>
        <w:pStyle w:val="SourceNote"/>
      </w:pPr>
      <w:r>
        <w:rPr>
          <w:b/>
        </w:rPr>
        <w:t>Available abstract (not full text):</w:t>
      </w:r>
      <w:r>
        <w:t xml:space="preserve"> Climate neutrality transitions require not only technical planning but also collaborative governance ecosystems capable of ‘injecting’ strategic objectives into real implementation. Despite the increasing availability of European policy frameworks and funding mechanisms, many regional and local authorities continue to face institutional, organizational and participatory barriers limiting their transition capacity. In this context, Living Lab-oriented approaches can support stakeholder engagement, collaborative learning and evidence-informed governance. This paper proposes a participatory framework for assessing climate neutrality transition readiness across eight European areas participating in the Interreg Europe 2021–2027 SMARTFORM project. The methodology was developed through a Living Lab and Design Thinking co-creation process involving municipalities, regional authorities, academia and civil society and business stakeholders (in total 103 actors). Through iterative stakeholder engagement, the framework identified three core dimensions related to governance and planning, future readiness and gaps and barriers affecting climate neutrality transitions. The findings suggest that governance coordination, participatory capacity and institutional collaboration are perceived as critical enabling conditions for climate neutrality transitions, while implementation barriers remain s</w:t>
      </w:r>
    </w:p>
    <w:p>
      <w:pPr/>
      <w:r>
        <w:rPr>
          <w:b/>
        </w:rPr>
        <w:t>POSSIBLE 2025:</w:t>
      </w:r>
      <w:r>
        <w:t xml:space="preserve"> An Iterative and Participatory Method for Mapping Inuit Knowledge of the Ice and Ocean in Nunatsiavut — https://doi.org/10.1007/s10745-025-00631-8</w:t>
      </w:r>
    </w:p>
    <w:p>
      <w:pPr/>
      <w:r>
        <w:rPr>
          <w:b/>
        </w:rPr>
        <w:t>Shared claim-specific concepts:</w:t>
      </w:r>
      <w:r>
        <w:t xml:space="preserve"> participatory, iterative, approach; EU scope not established. This is a provisional connection, not an outcome finding.</w:t>
      </w:r>
    </w:p>
    <w:p>
      <w:pPr>
        <w:pStyle w:val="SourceNote"/>
      </w:pPr>
      <w:r>
        <w:rPr>
          <w:b/>
        </w:rPr>
        <w:t>Available abstract (not full text):</w:t>
      </w:r>
      <w:r>
        <w:t xml:space="preserve"> In 2019 and 2021, we held participatory mapping workshops in Nain, Hopedale, Postville, Makkovik, and Rigolet (Nunatsiavut, Canada) to document Labrador Inuit’s knowledge of the sea ice and ocean environment. We provide an overview of the iterative and adaptable methodological approach we used to support collaborative and transcultural marine research, emphasizing participants’ experiences during the process. The participatory mapping method created a space that encouraged participants to recall journeys across different times and places. Sharing these journeys provided essential contextual details connecting social and cultural values to the marine environment, while also conveying information about ice and ocean conditions. This approach resulted in collecting spatial and qualitative narrative data related to the marine environment that reflected local climate patterns and snapshots of unusual events or conditions observed at specific times and locations. We highlight that maps mainly facilitate knowledge-sharing rather than generating knowledge itself. This is evident in how Inuit participants interacted with the maps as objects that evoked memories and prompted movement across land-, sea-, and ice-scapes.</w:t>
      </w:r>
    </w:p>
    <w:p>
      <w:pPr/>
      <w:r>
        <w:rPr>
          <w:b/>
        </w:rPr>
        <w:t>POSSIBLE 2024:</w:t>
      </w:r>
      <w:r>
        <w:t xml:space="preserve"> Sustainable transitions in age-friendly communities in Europe: a participatory approach — https://doi.org/10.14311/app.2024.46.0001</w:t>
      </w:r>
    </w:p>
    <w:p>
      <w:pPr/>
      <w:r>
        <w:rPr>
          <w:b/>
        </w:rPr>
        <w:t>Shared claim-specific concepts:</w:t>
      </w:r>
      <w:r>
        <w:t xml:space="preserve"> participatory, approach, involving, stakeholders, environmental, potential; EU scope visible. This is a provisional connection, not an outcome finding.</w:t>
      </w:r>
    </w:p>
    <w:p>
      <w:pPr>
        <w:pStyle w:val="SourceNote"/>
      </w:pPr>
      <w:r>
        <w:rPr>
          <w:b/>
        </w:rPr>
        <w:t>Available abstract (not full text):</w:t>
      </w:r>
      <w:r>
        <w:t xml:space="preserve"> The ageing European population is driving the demand for age-friendly communities that support older individuals’ health and well-being. As communities navigate this transition, Transition Design emerges as a promising approach for addressing complex social and environmental challenges. This study explores the potential of Transition Design to create age-friendly communities in Europe. Drawing on examples from several European countries, this paper describes the key principles of Transition Design and how they can be applied to the development of age-friendly communities. This article highlights the importance of participatory processes in involving older people and other stakeholders in the design process, and discusses the role of technology in creating more accessible and inclusive environments. It also considers some of the challenges of implementing a transition design approach in a European context. In conclusion, this study asserts that Transition Design offers a promising approach for creating sustainable, inclusive, and responsive age-friendly communities.</w:t>
      </w:r>
    </w:p>
    <w:p>
      <w:pPr/>
      <w:r>
        <w:rPr>
          <w:b/>
        </w:rPr>
        <w:t>POSSIBLE 2024:</w:t>
      </w:r>
      <w:r>
        <w:t xml:space="preserve"> Participatory approach for specifying user requirements for maritime border surveillance system — https://doi.org/10.54941/ahfe1005558</w:t>
      </w:r>
    </w:p>
    <w:p>
      <w:pPr/>
      <w:r>
        <w:rPr>
          <w:b/>
        </w:rPr>
        <w:t>Shared claim-specific concepts:</w:t>
      </w:r>
      <w:r>
        <w:t xml:space="preserve"> participatory, iterative, approach, users; EU scope visible. This is a provisional connection, not an outcome finding.</w:t>
      </w:r>
    </w:p>
    <w:p>
      <w:pPr>
        <w:pStyle w:val="SourceNote"/>
      </w:pPr>
      <w:r>
        <w:rPr>
          <w:b/>
        </w:rPr>
        <w:t>Available abstract (not full text):</w:t>
      </w:r>
      <w:r>
        <w:t xml:space="preserve"> Maritime safety and security in European waters constitute of organizationally multi-layered activities, also including cooperation, coordination and information exchange between numerous civilian and military authorities and European agencies. Risks and threats at sea are multifaceted with increasing complexity over time and managing them requires increased collaboration at various levels for achieving comprehensive situational awareness and operational efficiency. A multitasking platform integrating new sensing capabilities from coastal, low-altitude and high-altitude platforms with different external data sources and exploiting novel AI supported risk assessment and visualization capabilities may support national authorities in reaching these objectives. This paper reports a user requirements development process for such a system implementing participatory, iterative design approach. Security-critical development context may severely constrain requirements process in a multi-stakeholder environment. However, in-depth interaction between users and developers does ensure consistent, holistic, and unambiguous requirements process, thus increasing technology acceptance and project success.</w:t>
      </w:r>
    </w:p>
    <w:p>
      <w:pPr/>
      <w:r>
        <w:rPr>
          <w:b/>
        </w:rPr>
        <w:t>POSSIBLE 2024:</w:t>
      </w:r>
      <w:r>
        <w:t xml:space="preserve"> Sea Level Rise in Europe: Knowledge gaps identified through a participatory approach — https://doi.org/10.5194/sp-3-slre1-3-2024</w:t>
      </w:r>
    </w:p>
    <w:p>
      <w:pPr/>
      <w:r>
        <w:rPr>
          <w:b/>
        </w:rPr>
        <w:t>Shared claim-specific concepts:</w:t>
      </w:r>
      <w:r>
        <w:t xml:space="preserve"> participatory, approach, four, regional, users, understanding; EU scope visible. This is a provisional connection, not an outcome finding.</w:t>
      </w:r>
    </w:p>
    <w:p>
      <w:pPr>
        <w:pStyle w:val="SourceNote"/>
      </w:pPr>
      <w:r>
        <w:rPr>
          <w:b/>
        </w:rPr>
        <w:t>Available abstract (not full text):</w:t>
      </w:r>
      <w:r>
        <w:t xml:space="preserve"> Abstract. The Intergovernmental Panel on Climate Change (IPCC) plays a pivotal role in delivering information and knowledge on sea level rise (SLR), a global threat impacting coastlines worldwide. However, considerable disparities still persist in Europe in understanding and applying sea level science, evaluating its repercussions, and devising effective adaptation strategies. These are influenced by local factors such as diverse environments, socioeconomic conditions, policy contexts, and diversity in stakeholder involvement, producing in turn varying knowledge gaps and information needs across European sea basins. In this context, this paper presents the findings of a comprehensive scoping process carried out by the European Knowledge Hub on Sea Level Rise (KH-SLR) to define the outline of the first KH-SLR Assessment Report. It consists of the analysis of stakeholder responses to an online survey and insights shared during four regional workshops, aiming to pinpoint critical gaps in available information on SLR and its potential consequences in European basins, both from a scientific and policy perspective. The analysis was divided into three categories: i) SLR science and information, ii) SLR impacts, and iii) SLR adaptation policies and decision-making. Regarding SLR science and information, many respondents found that significant gaps exist in regional SLR projections and </w:t>
      </w:r>
    </w:p>
    <w:p>
      <w:pPr/>
      <w:r>
        <w:rPr>
          <w:b/>
        </w:rPr>
        <w:t>POSSIBLE 2024:</w:t>
      </w:r>
      <w:r>
        <w:t xml:space="preserve"> Participatory approaches to developing sustainable futures: a global perspective — https://openalex.org/W7214139289</w:t>
      </w:r>
    </w:p>
    <w:p>
      <w:pPr/>
      <w:r>
        <w:rPr>
          <w:b/>
        </w:rPr>
        <w:t>Shared claim-specific concepts:</w:t>
      </w:r>
      <w:r>
        <w:t xml:space="preserve"> participatory, approach, potential; EU scope not established. This is a provisional connection, not an outcome finding.</w:t>
      </w:r>
    </w:p>
    <w:p>
      <w:pPr>
        <w:pStyle w:val="SourceNote"/>
      </w:pPr>
      <w:r>
        <w:rPr>
          <w:b/>
        </w:rPr>
        <w:t>Available abstract (not full text):</w:t>
      </w:r>
      <w:r>
        <w:t xml:space="preserve"> This chapter provides a brief overview of the use of participatory processes for developing sustainable futures around the world, with a particular focus on the emergence of participatory methods in the late 1960s and early 1970s. It also reflects on the diversity of current participatory methods. The influences and perspectives of CoOPLAGE in the light of the global context are reflected on, including how its underlying methods stem from a cybernetic, complex systems and engaged political approach. The chapter concludes with potential evolutions and innovations of CoOPLAGE, such as opportunities for integration of emerging technologies and more creative envisioning methods</w:t>
      </w:r>
    </w:p>
    <w:p>
      <w:pPr/>
      <w:r>
        <w:rPr>
          <w:b/>
        </w:rPr>
        <w:t>POSSIBLE 2024:</w:t>
      </w:r>
      <w:r>
        <w:t xml:space="preserve"> Participatory Budgeting as an Inclusive Placemaking Driver: Different European and American Practices — https://doi.org/10.1163/9789004691919_005</w:t>
      </w:r>
    </w:p>
    <w:p>
      <w:pPr/>
      <w:r>
        <w:rPr>
          <w:b/>
        </w:rPr>
        <w:t>Shared claim-specific concepts:</w:t>
      </w:r>
      <w:r>
        <w:t xml:space="preserve"> participatory, four, understanding, considered; EU scope visible. This is a provisional connection, not an outcome finding.</w:t>
      </w:r>
    </w:p>
    <w:p>
      <w:pPr>
        <w:pStyle w:val="SourceNote"/>
      </w:pPr>
      <w:r>
        <w:rPr>
          <w:b/>
        </w:rPr>
        <w:t>Available abstract (not full text):</w:t>
      </w:r>
      <w:r>
        <w:t xml:space="preserve"> Participatory budgeting (PB) is a paradigm that empowers residents to directly decide how a portion of the public budget is spent.Specifically, residents deliberate over spending priorities and vote over how the budget should be allocated to different public projects.As such it is a mechanism of top-down transfer of decisions on the part of budgetary expenditure to citizens.In recent years, PB has become a central topic of discussion and an important field of innovation for those involved in local development, considered one of the most successful democratic innovations of the last 25 years.Participatory budgeting contributes significantly to participatory democracy, inclusiveness processes and placemaking, but some factors limit the scale of these aspects.However, a relatively simple idea -that "ordinary citizens" should have a direct say in public budgets that impact them -has travelled the world by the most unexpected routes and landed in unlikely sites.There is no precise model for PB programmes.While there are similar tenets and institutional mechanisms, PB programmes are structured in response to each city or state's particular political, social and economic environment.Therefore, it is necessary to consider to what extent PB strengthens the discussed processes, whether it allows reaching new, inactive groups of citizens and includes them in the decision-making process re</w:t>
      </w:r>
    </w:p>
    <w:p>
      <w:pPr>
        <w:pStyle w:val="Heading2"/>
      </w:pPr>
      <w:r>
        <w:t>802. Occupational Structure in European Countries: What do Forecasts Predict?</w:t>
      </w:r>
    </w:p>
    <w:p>
      <w:pPr>
        <w:pStyle w:val="SourceNote"/>
      </w:pPr>
      <w:r>
        <w:rPr>
          <w:b/>
        </w:rPr>
        <w:t>Original source (2017):</w:t>
      </w:r>
      <w:r>
        <w:t xml:space="preserve"> https://doi.org/10.17323/1996-7845-2017-04-109</w:t>
      </w:r>
    </w:p>
    <w:p>
      <w:pPr/>
      <w:r>
        <w:t>Original wording (abstract; indexed_source_text_not_full_document_verified): The paper demonstrates that the main occupational trend over the next decade will consist in the increasing importance of professionals, as well as technicians and associate professionals. The increase in demand for health professionals and representatives of occupations providing scientific and technological innovation will be most significant.</w:t>
      </w:r>
    </w:p>
    <w:p>
      <w:pPr/>
      <w:r>
        <w:rPr>
          <w:b/>
        </w:rPr>
        <w:t>POSSIBLE 2026:</w:t>
      </w:r>
      <w:r>
        <w:t xml:space="preserve"> Digital communication and occupational well-being in 25 European countries — https://doi.org/10.1007/s10111-026-00902-4</w:t>
      </w:r>
    </w:p>
    <w:p>
      <w:pPr/>
      <w:r>
        <w:rPr>
          <w:b/>
        </w:rPr>
        <w:t>Shared claim-specific concepts:</w:t>
      </w:r>
      <w:r>
        <w:t xml:space="preserve"> occupational, over, well; EU scope visible. This is a provisional connection, not an outcome finding.</w:t>
      </w:r>
    </w:p>
    <w:p>
      <w:pPr>
        <w:pStyle w:val="SourceNote"/>
      </w:pPr>
      <w:r>
        <w:rPr>
          <w:b/>
        </w:rPr>
        <w:t>Available abstract (not full text):</w:t>
      </w:r>
      <w:r>
        <w:t xml:space="preserve"> Abstract This paper examines the association between digital communication at work and employee well-being, moderated by occupational status and the fulfillment of basic psychological needs. Two studies were conducted to investigate these relationships. Study 1 utilized data from the European Social Survey, encompassing 25 countries ( N = 24,331). Study 2 involved a longitudinal survey of Finnish workers ( N = 1817) collected at nine time points over 6-month intervals from 2019 to 2023. Multilevel regression models were employed to analyze the data. Study 1 found that digital communication positively correlates with job satisfaction in Europe, with a stronger effect observed among lower-position workers. Study 2 revealed that the use of digital platforms was associated with higher work engagement and women reported significantly higher work engagement than men. However, for higher-position office workers, particularly those in supervisory roles, increased use of organizational social media platforms and excessive social media use were linked to decreased work engagement. Several interaction effects indicated that the association between digital communication as well as digital tool use and work engagement and job satisfaction is contingent on basic psychological need satisfaction and occupational status. Organizations should tailor their digital communication strategies to acco</w:t>
      </w:r>
    </w:p>
    <w:p>
      <w:pPr/>
      <w:r>
        <w:rPr>
          <w:b/>
        </w:rPr>
        <w:t>POSSIBLE 2026:</w:t>
      </w:r>
      <w:r>
        <w:t xml:space="preserve"> A survey on occupational medicine residency programs across european countries — https://doi.org/10.1186/s12909-026-09587-9</w:t>
      </w:r>
    </w:p>
    <w:p>
      <w:pPr/>
      <w:r>
        <w:rPr>
          <w:b/>
        </w:rPr>
        <w:t>Shared claim-specific concepts:</w:t>
      </w:r>
      <w:r>
        <w:t xml:space="preserve"> occupational, health, representatives, scientific; EU scope visible. This is a provisional connection, not an outcome finding.</w:t>
      </w:r>
    </w:p>
    <w:p>
      <w:pPr>
        <w:pStyle w:val="SourceNote"/>
      </w:pPr>
      <w:r>
        <w:rPr>
          <w:b/>
        </w:rPr>
        <w:t>Available abstract (not full text):</w:t>
      </w:r>
      <w:r>
        <w:t xml:space="preserve"> BACKGROUND: The European Union of Medical Specialists aims at improving post-graduate training in different disciplines developing European Training Requirements (ETRs) that reflect scientific progress. The study assessed the completeness, coherence, and applicability of the current Occupational Medicine (OM) ETR document and identified areas requiring revision and implementation. METHODS: An online survey was conducted among 22 European specialty training representatives to address specific items concerning the training of the OM specialists, including requirements for trainees, trainers and Institutions. RESULTS: An OM specialty was present in all the countries investigated, with universities responsible for training in 56% cases. In every country theoretical knowledge and practical skills covered the following areas: framework for practice; clinical practice; hazard recognition, evaluation and control of risk; epidemiology and preventive health. Other topics, e.g., effective teaching and educational supervision; research methods; leadership, policy development and professionalism; business continuity, disaster preparedness and emergency management were not consistently covered, with gaps reported in 19-31.8% of countries. Suggested additions to the OM curriculum included disability, protection of conditions of susceptibility, future of work, ethics, interprofessional trainin</w:t>
      </w:r>
    </w:p>
    <w:p>
      <w:pPr/>
      <w:r>
        <w:rPr>
          <w:b/>
        </w:rPr>
        <w:t>POSSIBLE 2026:</w:t>
      </w:r>
      <w:r>
        <w:t xml:space="preserve"> Occupational pension schemes in Germany: Learning from other European countries — https://doi.org/10.7190/shu-thesis-00843</w:t>
      </w:r>
    </w:p>
    <w:p>
      <w:pPr/>
      <w:r>
        <w:rPr>
          <w:b/>
        </w:rPr>
        <w:t>Shared claim-specific concepts:</w:t>
      </w:r>
      <w:r>
        <w:t xml:space="preserve"> main, occupational, over, significant; EU scope visible. This is a provisional connection, not an outcome finding.</w:t>
      </w:r>
    </w:p>
    <w:p>
      <w:pPr>
        <w:pStyle w:val="SourceNote"/>
      </w:pPr>
      <w:r>
        <w:rPr>
          <w:b/>
        </w:rPr>
        <w:t>Available abstract (not full text):</w:t>
      </w:r>
      <w:r>
        <w:t xml:space="preserve"> The objective of the present doctoral thesis is to explore the possibility of a more sustainable and acceptable occupational pension system (OPS) for Germany and how this might be promoted and implemented in the future. Based on the researcher’s work as a practitioner in various roles in the area of occupational pension schemes in Germany over approximately 15 years, several weaknesses in the system were identified, which is supported by existing literature. The research objective of the present doctoral thesis is to explore these weaknesses further and to reflect on a system that could be more effective in the German context. The research applies a pragmatic philosophical standpoint using mixed methods to answer the research questions. The qualitative part follows the quantitative one, whereby the qualitative part comprises the main component of the research. The quantitative part is a macroeconomic comparison between Germany, France and the United Kingdom, serving to show the gaps Germany might have in terms of OPS. Additionally, four regression analyses with constructed datasets were conducted, focusing on Germany only, to simulate what might happen if things remain unchanged. The qualitative part is a case study on OPS in the German chemistry sector and analyses semi-structured interviews (SSIs) which have been conducted with stakeholders (employee, employer and trade union</w:t>
      </w:r>
    </w:p>
    <w:p>
      <w:pPr/>
      <w:r>
        <w:rPr>
          <w:b/>
        </w:rPr>
        <w:t>POSSIBLE 2026:</w:t>
      </w:r>
      <w:r>
        <w:t xml:space="preserve"> European Code Against Cancer, 5th edition – occupational exposures and cancer — https://doi.org/10.1002/1878-0261.70174</w:t>
      </w:r>
    </w:p>
    <w:p>
      <w:pPr/>
      <w:r>
        <w:rPr>
          <w:b/>
        </w:rPr>
        <w:t>Shared claim-specific concepts:</w:t>
      </w:r>
      <w:r>
        <w:t xml:space="preserve"> occupational, increasing, health; EU scope visible. This is a provisional connection, not an outcome finding.</w:t>
      </w:r>
    </w:p>
    <w:p>
      <w:pPr>
        <w:pStyle w:val="SourceNote"/>
      </w:pPr>
      <w:r>
        <w:rPr>
          <w:b/>
        </w:rPr>
        <w:t>Available abstract (not full text):</w:t>
      </w:r>
      <w:r>
        <w:t xml:space="preserve"> Occupational exposure to cancer-causing agents is a major, yet preventable, contributor to cancer in Europe and globally. In the European Union (EU), cancer is responsible for nearly half of all work-related deaths, underscoring the critical need for prevention measures. Effective strategies typically involve regulatory and workplace measures aimed at reducing or eliminating exposure risks. Raising awareness of hazardous workplace exposures is essential to empower individuals, foster a culture of prevention, and support effective regulation. The 5th edition of the European Code Against Cancer (ECAC5) includes a recommendation on how individuals can minimize their cancer risk and highlights the shared responsibilities of workers and employers for occupational safety and health: 'Inform yourself about cancer-causing factors at work and call on your employer to protect you against them. Always follow health and safety instructions at your workplace'. Key to ECAC5 is the addition of policy pointers at the governance level to support employers in taking preventive action and improving worker awareness. Strengthening regulatory frameworks and increasing awareness are crucial steps toward reducing the burden of occupational cancer.</w:t>
      </w:r>
    </w:p>
    <w:p>
      <w:pPr/>
      <w:r>
        <w:rPr>
          <w:b/>
        </w:rPr>
        <w:t>POSSIBLE 2025:</w:t>
      </w:r>
      <w:r>
        <w:t xml:space="preserve"> Telework and Occupational Segregation in Europe — https://doi.org/10.3390/economies13100292</w:t>
      </w:r>
    </w:p>
    <w:p>
      <w:pPr/>
      <w:r>
        <w:rPr>
          <w:b/>
        </w:rPr>
        <w:t>Shared claim-specific concepts:</w:t>
      </w:r>
      <w:r>
        <w:t xml:space="preserve"> occupational, well, occupations; EU scope visible. This is a provisional connection, not an outcome finding.</w:t>
      </w:r>
    </w:p>
    <w:p>
      <w:pPr>
        <w:pStyle w:val="SourceNote"/>
      </w:pPr>
      <w:r>
        <w:rPr>
          <w:b/>
        </w:rPr>
        <w:t>Available abstract (not full text):</w:t>
      </w:r>
      <w:r>
        <w:t xml:space="preserve"> Occupational segregation between men and women and between rural and urban areas is a persistent driver of labor market inequality in Europe. Women and rural workers are often overrepresented in lower-paid and lower-status occupations, reflecting structural barriers to occupational mobility. This paper investigates how occupational segregation varies across gender, space, and telework status and examines the potential of telework to reduce these inequalities. Using microdata from the 2023 European Labor Force Survey, we calculate segregation indices to measure occupational segregation and monetary gains, as well as losses due to segregation. We further analyze the relationship of segregation and telework. We find the highest segregation and economic disadvantages due to segregation for rural men. Female teleworkers are less clustered in feminized roles compared to non-teleworking women, suggesting that remote work can broaden occupational opportunities. Telework shows reduced segregation when primarily working remotely, but not in hybrid settings. Our findings contribute to a better understanding of spatial and gendered labor market disparities. We further identify the potential of telework to promote a more equitable occupational integration across gender and space.</w:t>
      </w:r>
    </w:p>
    <w:p>
      <w:pPr/>
      <w:r>
        <w:rPr>
          <w:b/>
        </w:rPr>
        <w:t>POSSIBLE 2025:</w:t>
      </w:r>
      <w:r>
        <w:t xml:space="preserve"> INTEGRATION OF EUROPEAN STANDARDS OF OCCUPATIONAL HEALTH AND SAFETY, ENVIRONMENTAL MANAGEMENTAND SOCIAL SUSTAINABILITY INTO THE MANAGEMENT SYSTEMOF MARITIME INFRASTRUCTURE IN UKRAINE — https://doi.org/10.15589/smi2025.2(21).12</w:t>
      </w:r>
    </w:p>
    <w:p>
      <w:pPr/>
      <w:r>
        <w:rPr>
          <w:b/>
        </w:rPr>
        <w:t>Shared claim-specific concepts:</w:t>
      </w:r>
      <w:r>
        <w:t xml:space="preserve"> demonstrates, main, occupational, health; EU scope visible. This is a provisional connection, not an outcome finding.</w:t>
      </w:r>
    </w:p>
    <w:p>
      <w:pPr>
        <w:pStyle w:val="SourceNote"/>
      </w:pPr>
      <w:r>
        <w:rPr>
          <w:b/>
        </w:rPr>
        <w:t>Available abstract (not full text):</w:t>
      </w:r>
      <w:r>
        <w:t xml:space="preserve"> This article explores the pressing issues surrounding the integration of European approaches to occupational health and safety, environmental protection, and social responsibility into the management systems of maritime infrastructure enterprises in Ukraine.It is emphasized that the implementation of a comprehensive, integrated approach based on international standards ISO 14001, ISO 45001, and ISO 26000 is a necessary condition for ensuring the effective functioning and sustainable development of the sector.An analysis of the current state of Ukraine's seaport system enterprises is conducted, along with a review of key strategic documents and regulatory acts that define the main directions of them reform on the example of the State Enterprise "Ukrainian Sea Ports Authority".Particular attention is paid to the positive dynamics in the functioning of seaports under martial law, which demonstrates their resilience and adaptability to external challenges.The study substantiates the application of the PDCA (Plan-Do-Check-Act) cycle as a mechanism for continuous improvement of occupational health and safety management, environmental management, and social responsibility within maritime infrastructure enterprises.The proposed PDCA implementation model facilitates the integration of relevant processes and standards into a unified management system, enabling timely Iryna V. Remeshevska</w:t>
      </w:r>
    </w:p>
    <w:p>
      <w:pPr/>
      <w:r>
        <w:rPr>
          <w:b/>
        </w:rPr>
        <w:t>POSSIBLE 2025:</w:t>
      </w:r>
      <w:r>
        <w:t xml:space="preserve"> Occupational Infections Among Workers in Europe: Protocol for a Scoping Review — https://doi.org/10.2196/59606</w:t>
      </w:r>
    </w:p>
    <w:p>
      <w:pPr/>
      <w:r>
        <w:rPr>
          <w:b/>
        </w:rPr>
        <w:t>Shared claim-specific concepts:</w:t>
      </w:r>
      <w:r>
        <w:t xml:space="preserve"> occupational, increasing, scientific; EU scope visible. This is a provisional connection, not an outcome finding.</w:t>
      </w:r>
    </w:p>
    <w:p>
      <w:pPr>
        <w:pStyle w:val="SourceNote"/>
      </w:pPr>
      <w:r>
        <w:rPr>
          <w:b/>
        </w:rPr>
        <w:t>Available abstract (not full text):</w:t>
      </w:r>
      <w:r>
        <w:t xml:space="preserve"> BACKGROUND: Workers may be exposed to different infectious agents, putting them at risk of developing occupational diseases. This can occur in many ways, through deliberate use of speciﬁc microorganisms or through potential exposure from close contact with biological material. Infection prevention and control measures against biohazards can reduce the risk of infection among workers. During the last few decades, an increasing proportion of workers in Europe have been exposed to infectious biological agents in their workplace. Knowledge gaps on this topic in Europe have limited our understanding of the overall phenomenon in occupational settings. OBJECTIVE: This study aims to understand the extent and type of evidence on the epidemiology of occupational or work-related infections caused by bacterial, viral, fungal, and parasitical agents in European countries, the factors affecting their occurrence among workers, and the burden of disease among workers due to occupational risk. METHODS: The review will be conducted following the Joanna Briggs Institute methodology for scoping reviews and the PRISMA-ScR (Preferred Reporting Items for Systematic Reviews and Meta-Analyses extension for Scoping Reviews) guidelines. This review will consider studies that include data on the epidemiology of occupational infections, risk factors and determinants, and burden of disease among workers emp</w:t>
      </w:r>
    </w:p>
    <w:p>
      <w:pPr/>
      <w:r>
        <w:rPr>
          <w:b/>
        </w:rPr>
        <w:t>POSSIBLE 2025:</w:t>
      </w:r>
      <w:r>
        <w:t xml:space="preserve"> Gender Differences in Intergenerational Occupational Persistence and Mobility in Central Europe — https://doi.org/10.13060/csr.2024.041</w:t>
      </w:r>
    </w:p>
    <w:p>
      <w:pPr/>
      <w:r>
        <w:rPr>
          <w:b/>
        </w:rPr>
        <w:t>Shared claim-specific concepts:</w:t>
      </w:r>
      <w:r>
        <w:t xml:space="preserve"> occupational, trend, well, occupations; EU scope visible. This is a provisional connection, not an outcome finding.</w:t>
      </w:r>
    </w:p>
    <w:p>
      <w:pPr>
        <w:pStyle w:val="SourceNote"/>
      </w:pPr>
      <w:r>
        <w:rPr>
          <w:b/>
        </w:rPr>
        <w:t>Available abstract (not full text):</w:t>
      </w:r>
      <w:r>
        <w:t xml:space="preserve"> This article investigates intergenerational occupational persistence and mobility across Central Europe (Austria, Czech Republic, Hungary, Poland, and Slovakia) on the basis of EU-SILC survey data from 2005, 2011, and 2019. Social Stratification in Eastern Europe survey data from 1993 is also used as a historical comparison. These surveys are uniquely suited for the analysis of occupational mobility due to their large sample sizes and inclusion of detailed parental occupation data. I report gender differences in total and net mobility rates based on the analysis of 7x7 occupational mobility tables, as well as predicted probabilities (derived from log odds from multinomial regression) of attaining specific occupational destinations based on parental occupational origins. The reproduction of occupational status is particularly strong in professional occupations (for both men and women), trade and crafts (for men), and sales/clerical occupations (for women), which seem to be in dynamic equilibrium. Compared to men, women’s increases in social fluidity (and higher rates of upward mobility) are shaped much more strongly by changes in occupational structure, though this has weakened in both the Czech Republic and Slovakia. Lastly, I find that women have much greater chances than men in upward mobility in attaining professional occupations from lower family origins, and that this tren</w:t>
      </w:r>
    </w:p>
    <w:p>
      <w:pPr/>
      <w:r>
        <w:rPr>
          <w:b/>
        </w:rPr>
        <w:t>POSSIBLE 2025:</w:t>
      </w:r>
      <w:r>
        <w:t xml:space="preserve"> Occupational Autonomy and Wage Divergence: Evidence From European Survey Data — https://doi.org/10.1111/bjir.70003</w:t>
      </w:r>
    </w:p>
    <w:p>
      <w:pPr/>
      <w:r>
        <w:rPr>
          <w:b/>
        </w:rPr>
        <w:t>Shared claim-specific concepts:</w:t>
      </w:r>
      <w:r>
        <w:t xml:space="preserve"> occupational, trend, over, well, occupations, technological; EU scope visible. This is a provisional connection, not an outcome finding.</w:t>
      </w:r>
    </w:p>
    <w:p>
      <w:pPr>
        <w:pStyle w:val="SourceNote"/>
      </w:pPr>
      <w:r>
        <w:rPr>
          <w:b/>
        </w:rPr>
        <w:t>Available abstract (not full text):</w:t>
      </w:r>
      <w:r>
        <w:t xml:space="preserve"> ABSTRACT Wages across occupations in Western Europe have diverged, resulting in increased wage inequality. However, existing theories such as routine‐biased technological change (RBTC) or task offshoring fail to explain this trend. We propose a new explanation based on occupational autonomy. Autonomy measures workers' control and influence over their work process based on the tasks required in an occupation. Analysing individual‐level data from the EU Survey of Income and Living Conditions, we reveal a rising autonomy wage premium, that is, higher wage growth for occupations with higher autonomy, which accurately predicts the observed occupational wage divergence. We also find that the autonomy premium increases more rapidly in countries and industries with greater employee monitoring and outsourcing, as well as in countries with declining minimum wages. These findings imply that low‐autonomy occupations have been disadvantaged by recent socioeconomic trends that have altered power relations in the workplace. Notably, our analysis does not support previous explanations for occupational wage trends based on RBTC or task offshoring.</w:t>
      </w:r>
    </w:p>
    <w:p>
      <w:pPr/>
      <w:r>
        <w:rPr>
          <w:b/>
        </w:rPr>
        <w:t>POSSIBLE 2024:</w:t>
      </w:r>
      <w:r>
        <w:t xml:space="preserve"> Immigration and Occupational Shortage in Western European Countries — https://openalex.org/W7200861707</w:t>
      </w:r>
    </w:p>
    <w:p>
      <w:pPr/>
      <w:r>
        <w:rPr>
          <w:b/>
        </w:rPr>
        <w:t>Shared claim-specific concepts:</w:t>
      </w:r>
      <w:r>
        <w:t xml:space="preserve"> occupational, over, increase, occupations; EU scope visible. This is a provisional connection, not an outcome finding.</w:t>
      </w:r>
    </w:p>
    <w:p>
      <w:pPr>
        <w:pStyle w:val="SourceNote"/>
      </w:pPr>
      <w:r>
        <w:rPr>
          <w:b/>
        </w:rPr>
        <w:t>Available abstract (not full text):</w:t>
      </w:r>
      <w:r>
        <w:t xml:space="preserve"> In Western European countries where immigration rates are rising and labour shortages persist, the former could potentially serve as a solution to the latter. We examine the impact of an exogenous increase in migrant workers on occupational shortages in 14 Western European countries over the period 2006- 2018. We construct an occupational shortage indicator that includes five components representing supply and demand for each country and occupation at the 2-digit level each year. In our model, which assesses the influence of the migrant share on the occupational shortage index and identifies occupations facing shortages, we show that immigration flows reduce occupational shortages, with a more pronounced effect observed for migrants from non-EU countries. By recognising the contribution of migrants to addressing occupational shortages, policymakers can implement more effective strategies for managing migration flows and harnessing the potential of migrant workers not only in the EU but globally. Note:</w:t>
      </w:r>
    </w:p>
    <w:p>
      <w:pPr/>
      <w:r>
        <w:rPr>
          <w:b/>
        </w:rPr>
        <w:t>POSSIBLE 2024:</w:t>
      </w:r>
      <w:r>
        <w:t xml:space="preserve"> Positions of the Leading European Parties on the Eve of the European Parliament Elections 2024 — https://doi.org/10.31857/s0201708324030069</w:t>
      </w:r>
    </w:p>
    <w:p>
      <w:pPr/>
      <w:r>
        <w:rPr>
          <w:b/>
        </w:rPr>
        <w:t>Shared claim-specific concepts:</w:t>
      </w:r>
      <w:r>
        <w:t xml:space="preserve"> demonstrates, main, over, next, increasing, well; EU scope visible. This is a provisional connection, not an outcome finding.</w:t>
      </w:r>
    </w:p>
    <w:p>
      <w:pPr>
        <w:pStyle w:val="SourceNote"/>
      </w:pPr>
      <w:r>
        <w:rPr>
          <w:b/>
        </w:rPr>
        <w:t>Available abstract (not full text):</w:t>
      </w:r>
      <w:r>
        <w:t xml:space="preserve"> The article analyses the main trends in the transformation of the party and political system of the European Union on the eve of the next elections to the European Parliament in June 2024. The article examines the main events of recent years that had the main impact on the process of this transformation. New trends in the change of this system were noted, which included strengthening the popularity and influence of Eurosceptic parties, increasing internal tension concerning relations between old and new members of the European Union. The research demonstrates that following the results of the national parliamentary elections held over the past five years in almost all EU member states, the influence of the leading political parties, which for many years occupied dominant positions in the executive and representative authorities of these countries, has significantly decreased. The phenomenon of increasing representation of women in the bodies of the EU and its member states and its impact on their formation is considered. The influence of changes in the social structure of the European community and their impact on the electoral preferences of Europeans is analysed. The preelection positions of all leading European parties that currently have their factions in the European Parliament are presented, including their election manifestos and candidacies for the post of the President</w:t>
      </w:r>
    </w:p>
    <w:p>
      <w:pPr/>
      <w:r>
        <w:rPr>
          <w:b/>
        </w:rPr>
        <w:t>POSSIBLE 2024:</w:t>
      </w:r>
      <w:r>
        <w:t xml:space="preserve"> The Struggle over Law in Europe — https://doi.org/10.4324/9781003302094</w:t>
      </w:r>
    </w:p>
    <w:p>
      <w:pPr/>
      <w:r>
        <w:rPr>
          <w:b/>
        </w:rPr>
        <w:t>Shared claim-specific concepts:</w:t>
      </w:r>
      <w:r>
        <w:t xml:space="preserve"> over, next, well; EU scope visible. This is a provisional connection, not an outcome finding.</w:t>
      </w:r>
    </w:p>
    <w:p>
      <w:pPr>
        <w:pStyle w:val="SourceNote"/>
      </w:pPr>
      <w:r>
        <w:rPr>
          <w:b/>
        </w:rPr>
        <w:t>Available abstract (not full text):</w:t>
      </w:r>
      <w:r>
        <w:t xml:space="preserve"> This book examines the role of law in Europe at a time when economic policies have become dominant not only on this continent but globally. Can law be seen as a mere infrastructure? Or does it contribute to defining the social and legal order through its own inherent rules? If the second hypothesis is true, what might these rules be, and how may they be identified? Lastly, to what extent can agreeing a definition of the role of law affect the future of Europe? With the Next Generation European Union, the EU has introduced an unprecedented investment plan for economic recovery and resilience. In doing so, it has become the most important financial intermediary on the continent. But is this simply the prelude to a European economic and financial revival, or does it also aim to strengthen the European legal order in social, political, and constitutional terms? This book argues that the role of law in Europe should be to achieve a balanced relationship between freedom and solidarity; encouraging economic competition, but also social cohesion. Analyzing the role of law in the project of European integration, it maintains that law should be more than an infrastructure for finance and economics, showing how it can act as a guide and a binding force to achieve a more balanced relationship between economics, politics, and law. This book will be of interest to scholars in the fields of p</w:t>
      </w:r>
    </w:p>
    <w:p>
      <w:pPr>
        <w:pStyle w:val="Heading2"/>
      </w:pPr>
      <w:r>
        <w:t>803. Pathways to Decarbonise the European Car Fleet: A Scenario Analysis Using the Backcasting Approach</w:t>
      </w:r>
    </w:p>
    <w:p>
      <w:pPr>
        <w:pStyle w:val="SourceNote"/>
      </w:pPr>
      <w:r>
        <w:rPr>
          <w:b/>
        </w:rPr>
        <w:t>Original source (2017):</w:t>
      </w:r>
      <w:r>
        <w:t xml:space="preserve"> https://doi.org/10.3390/en11010020</w:t>
      </w:r>
    </w:p>
    <w:p>
      <w:pPr/>
      <w:r>
        <w:t>Original wording (abstract; indexed_source_text_not_full_document_verified): This paper analyses decarbonisation scenarios for the European passenger car fleet in 2050. The analysis showed that if car mobility and ownership continue to increase as expected in a ‘business as usual’ case, a share of 97% plug-in hybrid or battery electric vehicles might be required by 2050, together with a substantial decrease in greenhouse gas emission from electricity production.</w:t>
      </w:r>
    </w:p>
    <w:p>
      <w:pPr/>
      <w:r>
        <w:rPr>
          <w:b/>
        </w:rPr>
        <w:t>POSSIBLE 2026:</w:t>
      </w:r>
      <w:r>
        <w:t xml:space="preserve"> An Integrated Approach to Assessing Road Passenger Transport Decarbonisation Pathways — https://doi.org/10.7250/9789934373589</w:t>
      </w:r>
    </w:p>
    <w:p>
      <w:pPr/>
      <w:r>
        <w:rPr>
          <w:b/>
        </w:rPr>
        <w:t>Shared claim-specific concepts:</w:t>
      </w:r>
      <w:r>
        <w:t xml:space="preserve"> analyses, decarbonisation, passenger; EU scope not established. This is a provisional connection, not an outcome finding.</w:t>
      </w:r>
    </w:p>
    <w:p>
      <w:pPr>
        <w:pStyle w:val="SourceNote"/>
      </w:pPr>
      <w:r>
        <w:rPr>
          <w:b/>
        </w:rPr>
        <w:t>Available abstract (not full text):</w:t>
      </w:r>
      <w:r>
        <w:t xml:space="preserve"> The Doctoral Thesis develops an integrated approach to assessing road passenger transport decarbonisation pathways by combining technological, behavioural, and multi-level policy implementation factors. Using system dynamics modelling and other assessment methods, the study analyses the deployment of alternative technologies, factors influencing transport mode choice, and interactions between national and municipal policy measures. The developed approach enables a more comprehensive assessment of decarbonisation pathways and supports coordinated transport decarbonisation planning.</w:t>
      </w:r>
    </w:p>
    <w:p>
      <w:pPr/>
      <w:r>
        <w:rPr>
          <w:b/>
        </w:rPr>
        <w:t>POSSIBLE 2026:</w:t>
      </w:r>
      <w:r>
        <w:t xml:space="preserve"> Global trajectories for urban passenger transport decarbonisation: a policy-based modelling approach — https://doi.org/10.1038/s44333-026-00092-6</w:t>
      </w:r>
    </w:p>
    <w:p>
      <w:pPr/>
      <w:r>
        <w:rPr>
          <w:b/>
        </w:rPr>
        <w:t>Shared claim-specific concepts:</w:t>
      </w:r>
      <w:r>
        <w:t xml:space="preserve"> decarbonisation, passenger, hybrid; EU scope not established. This is a provisional connection, not an outcome finding.</w:t>
      </w:r>
    </w:p>
    <w:p>
      <w:pPr>
        <w:pStyle w:val="SourceNote"/>
      </w:pPr>
      <w:r>
        <w:rPr>
          <w:b/>
        </w:rPr>
        <w:t>Available abstract (not full text):</w:t>
      </w:r>
      <w:r>
        <w:t xml:space="preserve"> Abstract Understanding the impact of public policy measures on urban transport outcomes is essential for the development of evidence-based transport decarbonisation strategies. This paper presents a modelling framework to estimate the evolution of urban passenger travel and related social externalities for each of the 9234 urban areas in the world. It builds on a hybrid four-step model and systems dynamic modelling approach considering socio-economic projections and forecasts of urban growth, transport supply provision and policy assumptions to estimate transport outcomes for 19 world regions. As a result of its detailed representation of 18 transport modes and 20 policy measures, the model can be used to identify effective levers for reducing carbon emissions while improving urban public health, safety, and access to opportunities. An Increased Ambition policy scenario explores the impact of greater climate ambition on global carbon emissions from transport and other transport externalities relative to the status quo.</w:t>
      </w:r>
    </w:p>
    <w:p>
      <w:pPr/>
      <w:r>
        <w:rPr>
          <w:b/>
        </w:rPr>
        <w:t>POSSIBLE 2026:</w:t>
      </w:r>
      <w:r>
        <w:t xml:space="preserve"> The military green transition: Decarbonisation as warfighting opportunity — https://doi.org/10.1016/j.polgeo.2026.103573</w:t>
      </w:r>
    </w:p>
    <w:p>
      <w:pPr/>
      <w:r>
        <w:rPr>
          <w:b/>
        </w:rPr>
        <w:t>Shared claim-specific concepts:</w:t>
      </w:r>
      <w:r>
        <w:t xml:space="preserve"> decarbonisation, business, electric, together; EU scope visible. This is a provisional connection, not an outcome finding.</w:t>
      </w:r>
    </w:p>
    <w:p>
      <w:pPr>
        <w:pStyle w:val="SourceNote"/>
      </w:pPr>
      <w:r>
        <w:rPr>
          <w:b/>
        </w:rPr>
        <w:t>Available abstract (not full text):</w:t>
      </w:r>
      <w:r>
        <w:t xml:space="preserve"> Amid rising concern for the operational implications of climate change and industrial decarbonisation, European military sectors are preparing for a military green transition. Rather than constitute a meaningful form of ecological stewardship, this article argues that said transition is best understood as militarism's greening through which war making, preparation and profiteering are normalised and facilitated in the name of climate action and environmental sustainability. The article unfolds over three sections. First, I identify military and green technological supply chains' entangled geopolitical ecologies, connecting the people and places implicated in both war's violence and ecological modernisation. Second, drawing on policy analysis, interviews and visits to military trade shows, I demonstrate how the military green transition materialises through the electric, digital, lower-carbon and alternative fuel transformation of war – initiatives that warp socio-ecological care into a battlefield and business opportunity. Third, I trace the socio-ecological harms that the greening of European military capabilities risk exacerbating – linking weapons production and use with the toxic geographies of ‘renewable’ energy infrastructure, mineral extraction, e-waste processing, data centre expansion, nuclear proliferation, biofuel development and beyond. Together, the three sections </w:t>
      </w:r>
    </w:p>
    <w:p>
      <w:pPr/>
      <w:r>
        <w:rPr>
          <w:b/>
        </w:rPr>
        <w:t>POSSIBLE 2026:</w:t>
      </w:r>
      <w:r>
        <w:t xml:space="preserve"> Electrification pathways for passenger cars: A comparative analysis of China and Europe — https://doi.org/10.1016/j.esr.2026.102369</w:t>
      </w:r>
    </w:p>
    <w:p>
      <w:pPr/>
      <w:r>
        <w:rPr>
          <w:b/>
        </w:rPr>
        <w:t>Shared claim-specific concepts:</w:t>
      </w:r>
      <w:r>
        <w:t xml:space="preserve"> passenger, mobility, ownership, battery, electric, vehicles; EU scope visible. This is a provisional connection, not an outcome finding.</w:t>
      </w:r>
    </w:p>
    <w:p>
      <w:pPr>
        <w:pStyle w:val="SourceNote"/>
      </w:pPr>
      <w:r>
        <w:rPr>
          <w:b/>
        </w:rPr>
        <w:t>Available abstract (not full text):</w:t>
      </w:r>
      <w:r>
        <w:t xml:space="preserve"> China and Europe have made significant progress in the electrification of mobility, but they differ substantially in their policy approaches and institutional frameworks. This paper presents a comparative analysis of their electrification pathways, focusing on the motivations, policy strategies, and challenges associated with scaling up electric-vehicle adoption. The study aims to: (i) examine the policy measures implemented in each region; (ii) assess outcomes in terms of market growth, infrastructure development, and industrial competitiveness; and (iii) identify key similarities and differences while deriving lessons to support transport-sector decarbonization. The comparison of battery electric vehicles (BEVs) and comparable diesel vehicles shows substantial regional differences in economic competitiveness. Based on Total Cost of Ownership analysis, BEVs are approximately 17% cheaper than diesel vehicles in China, while diesel vehicles remain about 25% cheaper than BEVs in Europe, reflecting differences in policy, market, energy, and industrial conditions. China's state-led approach has supported rapid market expansion, cost reductions, and industrial competitiveness, with local governments implementing targeted measures to promote battery-electric-vehicle adoption. In contrast, Europe relies more heavily on cooperation between public and private stakeholders, emphasizing l</w:t>
      </w:r>
    </w:p>
    <w:p>
      <w:pPr/>
      <w:r>
        <w:rPr>
          <w:b/>
        </w:rPr>
        <w:t>POSSIBLE 2025:</w:t>
      </w:r>
      <w:r>
        <w:t xml:space="preserve"> Battery electric vehicles show the lowest carbon footprints among passenger cars across 1.5–3.0 °C energy decarbonisation pathways — https://doi.org/10.1038/s43247-025-02447-2</w:t>
      </w:r>
    </w:p>
    <w:p>
      <w:pPr/>
      <w:r>
        <w:rPr>
          <w:b/>
        </w:rPr>
        <w:t>Shared claim-specific concepts:</w:t>
      </w:r>
      <w:r>
        <w:t xml:space="preserve"> decarbonisation, passenger, car, plug-in, hybrid, battery; EU scope not established. This is a provisional connection, not an outcome finding.</w:t>
      </w:r>
    </w:p>
    <w:p>
      <w:pPr>
        <w:pStyle w:val="SourceNote"/>
      </w:pPr>
      <w:r>
        <w:rPr>
          <w:b/>
        </w:rPr>
        <w:t>Available abstract (not full text):</w:t>
      </w:r>
      <w:r>
        <w:t xml:space="preserve"> Passenger car carbon footprints are highly sensitive to future energy systems, a factor often overlooked in life cycle assessment. We use a time-dependent prospective life cycle assessment to enhance carbon footprints under four 1.5-3.0 °C decarbonisation pathways for electricity, fuel, and hydrogen from an energy-based integrated assessment model. Across 5000 comparative cases, battery electric vehicles consistently have the lowest carbon footprints compared to hybrid, plug-in hybrid, and fuel-cell vehicles. For example, battery electric vehicles show an average 32 to 47% lower footprint than hybrid combustion in 3.0 °C and 1.5 °C climate-compatible futures, respectively. This is driven by greater projected decarbonisation of electricity compared to fossil-dominated fuels and hydrogen. Battery electric vehicles meaningfully retain their advantage for mileages over 100,000 km, even in regions with carbon-intensive electricity since these are anticipated to decarbonise the most. Although our study supports battery electric vehicles as the most reliable climate-mitigation option for passenger cars, reducing their high manufacturing footprint remains important.</w:t>
      </w:r>
    </w:p>
    <w:p>
      <w:pPr/>
      <w:r>
        <w:rPr>
          <w:b/>
        </w:rPr>
        <w:t>POSSIBLE 2025:</w:t>
      </w:r>
      <w:r>
        <w:t xml:space="preserve"> An Online Tool for Guiding Bus Fleet Decarbonisation Through Green Hydrogen and Electrification — https://doi.org/10.1007/978-3-031-89444-2_92</w:t>
      </w:r>
    </w:p>
    <w:p>
      <w:pPr/>
      <w:r>
        <w:rPr>
          <w:b/>
        </w:rPr>
        <w:t>Shared claim-specific concepts:</w:t>
      </w:r>
      <w:r>
        <w:t xml:space="preserve"> decarbonisation, fleet, battery, electric, required; EU scope not established. This is a provisional connection, not an outcome finding.</w:t>
      </w:r>
    </w:p>
    <w:p>
      <w:pPr>
        <w:pStyle w:val="SourceNote"/>
      </w:pPr>
      <w:r>
        <w:rPr>
          <w:b/>
        </w:rPr>
        <w:t>Available abstract (not full text):</w:t>
      </w:r>
      <w:r>
        <w:t xml:space="preserve"> Abstract The transition to zero emission bus (ZEB) fleets is accelerating. Two prevalent ZEB options that are often compared to each other are battery electric buses (BEBs) and fuel cell electric buses (FCEBs) fueled by green hydrogen. Hydrogen is labelled as green when it is produced by electrolysis powered by renewable electricity. From the perspective of a bus fleet operator or regional authority interested in replacing a conventional diesel bus fleet with one of these new technologies, it can be unclear which combinations of BEBs and FCEBs are most suitable in terms of cost, emission reduction, and capability to maintain regular operation of the bus fleet. This work develops the Enabling Support Tool (EST), an easy-to-use model that can assess the trade-offs between BEBs and FCEBs in terms of their technical performance, required infrastructure, cost, and emissions reduction potential. Using a novel input process that does not require complex drive-cycle data, the EST allows the user to quickly investigate the feasibility of a mixed fleet of BEBs and FCEBs, considering the effects of local climate conditions, road gradient, and varying bus payload on the daily range of BEBs. This enables users to explore the feasibility of different combinations of BEBs and FCEBs and thus guide cost-effective full fleet decarbonisation.</w:t>
      </w:r>
    </w:p>
    <w:p>
      <w:pPr/>
      <w:r>
        <w:rPr>
          <w:b/>
        </w:rPr>
        <w:t>POSSIBLE 2025:</w:t>
      </w:r>
      <w:r>
        <w:t xml:space="preserve"> Mixes of Policy Instruments for the Full Decarbonisation of Energy Systems: A Review — https://doi.org/10.3390/en18010148</w:t>
      </w:r>
    </w:p>
    <w:p>
      <w:pPr/>
      <w:r>
        <w:rPr>
          <w:b/>
        </w:rPr>
        <w:t>Shared claim-specific concepts:</w:t>
      </w:r>
      <w:r>
        <w:t xml:space="preserve"> decarbonisation, greenhouse; EU scope visible. This is a provisional connection, not an outcome finding.</w:t>
      </w:r>
    </w:p>
    <w:p>
      <w:pPr>
        <w:pStyle w:val="SourceNote"/>
      </w:pPr>
      <w:r>
        <w:rPr>
          <w:b/>
        </w:rPr>
        <w:t>Available abstract (not full text):</w:t>
      </w:r>
      <w:r>
        <w:t xml:space="preserve"> Stand-alone carbon pricing is still predominantly advanced as the policy instrument of choice for abating greenhouse gas emissions, although it has enjoyed limited support in practice. Against this background, the current paper investigates whether combinations of climate policy measures constitute a promising avenue for reaching zero emissions in the power, transport, buildings, and industry sectors. Adopting a sectoral approach, we review the international literature on instrument mixes and consolidate previous findings according to four widely employed evaluation criteria, namely environmental effectiveness, economic efficiency, social equity, and political feasibility. The performance of mixes along these dimensions is critically assessed by studying the inter-relationships between decarbonisation levers, decarbonisation barriers, and policy instrument characteristics. Our analysis suggests that carefully designed combinations of measures may perform better than stand-alone instruments in many instances, although trade-offs between policy objectives are inevitable. We show evidence that desirable instrument mixes should be tailored to the characteristics of targeted agents and technologies, but argue that some level of carbon pricing typically offers high potential for synergies with complementary measures in all sectors. The study focuses on Switzerland for illustrative pu</w:t>
      </w:r>
    </w:p>
    <w:p>
      <w:pPr/>
      <w:r>
        <w:rPr>
          <w:b/>
        </w:rPr>
        <w:t>POSSIBLE 2024:</w:t>
      </w:r>
      <w:r>
        <w:t xml:space="preserve"> EU Railways: Contribution to Decarbonisation Solution — https://doi.org/10.31857/s0201708324020062</w:t>
      </w:r>
    </w:p>
    <w:p>
      <w:pPr/>
      <w:r>
        <w:rPr>
          <w:b/>
        </w:rPr>
        <w:t>Shared claim-specific concepts:</w:t>
      </w:r>
      <w:r>
        <w:t xml:space="preserve"> analyses, decarbonisation, passenger, increase, greenhouse; EU scope visible. This is a provisional connection, not an outcome finding.</w:t>
      </w:r>
    </w:p>
    <w:p>
      <w:pPr>
        <w:pStyle w:val="SourceNote"/>
      </w:pPr>
      <w:r>
        <w:rPr>
          <w:b/>
        </w:rPr>
        <w:t>Available abstract (not full text):</w:t>
      </w:r>
      <w:r>
        <w:t xml:space="preserve"> The EU transport system is entering the next phase of fundamental transformation. The railways are becoming one of the key tools for implementing the Green Deal and solving ecological problems for the period up to 2050. A range of documents aimed at advancing the realisation of the Trans-European Transport Network (TEN-T) was adopted at the Union level in recent years. Transfer a large proportion of transport from road and aviation to rail, multimodal transportation, advanced construction and modernisation of high-speed railway lines (HSR) are the priorities of the policy. This article has a twofold objective. First, it analyses the condition and market environment of the railways. Second, it investigates the possibilities of implementing the TEN-T program to reduce greenhouse gas (GHG) emissions, increase multimodal transportation and the construction/upgrading new HSR. The results suggest that a set of obstacles impede GHG emissions reduction in the shifting of transport from road and aviation to rail, multimodal transportation and the construction of HSR. The main trend is that rail transport activity in the EU remained almost constant from 2010 to 2022 with a slight increase in passenger transport and some structural changes. Within the next 25 years, the most tangible impact for the EU economy, ecology and society of all modes of transport can be provided by HSR expansion.</w:t>
      </w:r>
    </w:p>
    <w:p>
      <w:pPr/>
      <w:r>
        <w:rPr>
          <w:b/>
        </w:rPr>
        <w:t>POSSIBLE 2024:</w:t>
      </w:r>
      <w:r>
        <w:t xml:space="preserve"> Models and methods for transport demand and decarbonisation: a review — https://doi.org/10.1088/1748-9326/ad6b3a</w:t>
      </w:r>
    </w:p>
    <w:p>
      <w:pPr/>
      <w:r>
        <w:rPr>
          <w:b/>
        </w:rPr>
        <w:t>Shared claim-specific concepts:</w:t>
      </w:r>
      <w:r>
        <w:t xml:space="preserve"> decarbonisation, greenhouse; EU scope not established. This is a provisional connection, not an outcome finding.</w:t>
      </w:r>
    </w:p>
    <w:p>
      <w:pPr>
        <w:pStyle w:val="SourceNote"/>
      </w:pPr>
      <w:r>
        <w:rPr>
          <w:b/>
        </w:rPr>
        <w:t>Available abstract (not full text):</w:t>
      </w:r>
      <w:r>
        <w:t xml:space="preserve"> Abstract Rising global greenhouse gas emissions from the transport sector pose a major challenge to meeting the targets of the Paris Agreement. This raises questions of how technology, infrastructure and societal trends and policies can influence transport demand and thus also emissions, energy demand and service levels. Here, we review the literature on factors relevant to shifting total transport activity and mode shares, categorised into exogenous drivers, socio-behavioural, infrastructural and technological aspects. For each factor, we summarise current approaches to modelling and measuring the impact of each factor on transport systems, resulting in a proposed taxonomy to classify transport demand modelling approaches. We then comment on the suitability and sufficiency of existing modelling approaches for representing scenarios consistent with the Paris Agreement targets in models of the entire global energy system. Factors that affect transport demand are currently insufficiently represented in integrated assessment modelling approaches and thus emission reduction pathways. Improving the comprehension and representation of diverse factors that affect transport demand in global energy systems models, by incorporating features of complementary models with high resolution representations of transport, holds promise for generating well informed policy recommendations. Accordi</w:t>
      </w:r>
    </w:p>
    <w:p>
      <w:pPr/>
      <w:r>
        <w:rPr>
          <w:b/>
        </w:rPr>
        <w:t>POSSIBLE 2024:</w:t>
      </w:r>
      <w:r>
        <w:t xml:space="preserve"> Optimal decarbonisation pathway for mining truck fleets — https://doi.org/10.1016/j.jai.2024.03.003</w:t>
      </w:r>
    </w:p>
    <w:p>
      <w:pPr/>
      <w:r>
        <w:rPr>
          <w:b/>
        </w:rPr>
        <w:t>Shared claim-specific concepts:</w:t>
      </w:r>
      <w:r>
        <w:t xml:space="preserve"> analyses, decarbonisation, case; EU scope not established. This is a provisional connection, not an outcome finding.</w:t>
      </w:r>
    </w:p>
    <w:p>
      <w:pPr>
        <w:pStyle w:val="SourceNote"/>
      </w:pPr>
      <w:r>
        <w:rPr>
          <w:b/>
        </w:rPr>
        <w:t>Available abstract (not full text):</w:t>
      </w:r>
      <w:r>
        <w:t xml:space="preserve"> The decarbonisation of fossil fuel powered mine truck fleets, which can contribute up to 80% of total emissions in open pit mines, is critical for the mining industry. This study investigates the optimal decarbonisation framework for mining truck fleets to determine the optimal decarbonisation pathway to minimise the life cycle costs during the planning period. Notably, our proposed framework incorporates power generation, negative carbon technologies, and carbon trading. Technical, financial, and environmental models of decarbonisation technologies are established, capturing regional variations and dynamic characteristics such as cost trends and carbon capture efficiency. The dynamic natures of these characteristics pose challenges for using the cost-effective analyses approach to find the optimal decarbonisation pathway. To address this, we introduce a mixed-integer programming optimisation based framework designed to optimise the decarbonisation pathway. A case study for the optimal decarbonisation pathway of truck fleets in a South African coal mine is conducted to illustrate the applicability of the proposed model. Results indicate that the optimal decarbonisation pathway is significantly influenced by factors such as land cost, annual budget, and carbon trading prices. The proposed method provides invaluable guidance for transitioning towards a cleaner and more sustainabl</w:t>
      </w:r>
    </w:p>
    <w:p>
      <w:pPr/>
      <w:r>
        <w:rPr>
          <w:b/>
        </w:rPr>
        <w:t>POSSIBLE 2024:</w:t>
      </w:r>
      <w:r>
        <w:t xml:space="preserve"> Accelerating Light-Duty Fleet Decarbonisation through Energy Efficiency Audits: Results and Methodology Assessment — https://doi.org/10.1051/e3sconf/202448702001</w:t>
      </w:r>
    </w:p>
    <w:p>
      <w:pPr/>
      <w:r>
        <w:rPr>
          <w:b/>
        </w:rPr>
        <w:t>Shared claim-specific concepts:</w:t>
      </w:r>
      <w:r>
        <w:t xml:space="preserve"> decarbonisation, fleet, mobility; EU scope visible. This is a provisional connection, not an outcome finding.</w:t>
      </w:r>
    </w:p>
    <w:p>
      <w:pPr>
        <w:pStyle w:val="SourceNote"/>
      </w:pPr>
      <w:r>
        <w:rPr>
          <w:b/>
        </w:rPr>
        <w:t>Available abstract (not full text):</w:t>
      </w:r>
      <w:r>
        <w:t xml:space="preserve"> The transport sector is responsible for 37% of the energy consumption in Portugal (70% of it due to road transportation), supplied almost completely by fossil fuels. Portugal must reduce these sector’s emissions by 98% to achieve carbon neutrality by 2050, thus making transportation a crucial sector for a successful decarbonisation of the economy. This scenario sparked action at ADENE – the Portuguese Energy Agency to create MOVE+, an auditing methodology that incentivises and guides a broad group of stakeholders to act on the decarbonisation of mobility, starting with light duty and freight fleets. It comprises a framework to rate fleets on energy efficiency which enables regular implementation and monitoring of decarbonisation measures in areas such as vehicle technology, telematics, driver training, tyre selection, and maintenance. This paper shows that the application of the MOVE+ methodology helped identify an electrification potential of 24% on average per fleet, according to the Best-in-Class (whereas the analysed sample shows 20% of electrification). A multiple linear regression model validates the correlation between MOVE+ obtained scores, in the evaluated dimensions, and the fleet’s specific CO2 emissions. The methodology also allows us to assess that Portugal is lagging to meet the carbon neutrality target for the transport sector by 2050. Such assessment allows us t</w:t>
      </w:r>
    </w:p>
    <w:p>
      <w:pPr/>
      <w:r>
        <w:rPr>
          <w:b/>
        </w:rPr>
        <w:t>POSSIBLE 2024:</w:t>
      </w:r>
      <w:r>
        <w:t xml:space="preserve"> Decarbonisation pathways for UK transport — https://doi.org/10.1111/newe.12410</w:t>
      </w:r>
    </w:p>
    <w:p>
      <w:pPr/>
      <w:r>
        <w:rPr>
          <w:b/>
        </w:rPr>
        <w:t>Shared claim-specific concepts:</w:t>
      </w:r>
      <w:r>
        <w:t xml:space="preserve"> decarbonisation, passenger, fleet, increase, battery, electric; EU scope not established. This is a provisional connection, not an outcome finding.</w:t>
      </w:r>
    </w:p>
    <w:p>
      <w:pPr>
        <w:pStyle w:val="SourceNote"/>
      </w:pPr>
      <w:r>
        <w:rPr>
          <w:b/>
        </w:rPr>
        <w:t>Available abstract (not full text):</w:t>
      </w:r>
      <w:r>
        <w:t xml:space="preserve"> W hile other sectors of the UK economy have made some progress in reducing their greenhouse gas emissions 1 since 1990, the transport sector, taken to include both air and surface modes as well as domestic and international movements from the UK, has yet to do so (figure 1).In 2019, emissions were 11 per cent above 1990 levels compared to the 53 per cent reduction achieved by the rest of the economic sectors. 2 Emissions from transport finally fell below the baseline level in 2020, due to the impacts on travel activity posed by the Covid-19 pandemic, only to bounce back again since.The latest figures (2023) show transport, including international movements, standing at 151 MtCO 2 e, essentially still at the 1990 baseline.Without some specific policy instruments used over recent decades, the situation would have been even worse.The mandatory CO 2 vehicle emissions performance standards for cars and vans since 2009 4 and the Renewable Transport Fuels Obligation since 2008 5 brought continuous attention to the carbon intensity of the light duty vehicle fleet in use.However, the benefits achieved by these efforts have been more than negated by the cumulative impact of a combination of trends, many of which still prevail today.These include discrepancies between vehicle test-cycle and real-world performance, the growth in the size and weight of new cars, the slow uptake of pure batt</w:t>
      </w:r>
    </w:p>
    <w:p>
      <w:pPr>
        <w:pStyle w:val="Heading2"/>
      </w:pPr>
      <w:r>
        <w:t>804. Policy insights and modelling challenges: The case of passenger car powertrain technology transition in the European Union</w:t>
      </w:r>
    </w:p>
    <w:p>
      <w:pPr>
        <w:pStyle w:val="SourceNote"/>
      </w:pPr>
      <w:r>
        <w:rPr>
          <w:b/>
        </w:rPr>
        <w:t>Original source (2017):</w:t>
      </w:r>
      <w:r>
        <w:t xml:space="preserve"> https://doi.org/10.1007/s12544-017-0252-x</w:t>
      </w:r>
    </w:p>
    <w:p>
      <w:pPr/>
      <w:r>
        <w:t>Original wording (abstract; indexed_source_text_not_full_document_verified): We then transfer the policy scenarios to other EU member states and assess the transferability of the policies.</w:t>
      </w:r>
    </w:p>
    <w:p>
      <w:pPr/>
      <w:r>
        <w:rPr>
          <w:b/>
        </w:rPr>
        <w:t>POSSIBLE 2026:</w:t>
      </w:r>
      <w:r>
        <w:t xml:space="preserve"> Media Policy Transfer in Europe — https://doi.org/10.1017/9781009568159.013</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The Audiovisual Media Services Directive (AVMSD) serves as a cornerstone of the EU’s efforts to align audiovisual media policies across Member States and candidate countries. Central to the Europeanisation process, the AVMSD aims to safeguard media freedom, pluralism, and cultural diversity while addressing emerging challenges in the digital landscape. However, the transfer of EU media policy has faced significant hurdles, particularly in candidate countries such as Serbia, Ukraine, and Georgia. These challenges include weak institutional capacity, limited independence of national regulatory authorities (NRAs), and the misalignment of EU policies with local contexts. The 2018 AVMSD revision introduced rules extending regulatory frameworks to video-sharing platforms and reinforced NRA independence. Yet enforcement remains inconsistent within the EU, complicating its transfer to countries grappling with systemic political and economic pressures. Furthermore, geopolitical tensions, disinformation, and internal governance failures amplify the risks of exporting untested or problematic EU practices. This chapter critically examines the EU’s media policy transfer mechanisms, highlighting their inadequacies in fostering resilient governance structures. It underscores the need for reciprocal feedback during the accession process, advocating for reforms that integrate diverse cultural a</w:t>
      </w:r>
    </w:p>
    <w:p>
      <w:pPr/>
      <w:r>
        <w:rPr>
          <w:b/>
        </w:rPr>
        <w:t>POSSIBLE 2026:</w:t>
      </w:r>
      <w:r>
        <w:t xml:space="preserve"> Transfer of Green Policies from European Union to its Member States — https://openalex.org/W7165424889</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The environmental degradation and climate change are among the most threatening issues to the humanity of 21st century. EU is among the most capable actors on the stage of international politics to tackle these issues effectively. The most important initiative from EU green policy framework is the European Green Deal as it includes the most ambitious goals and robust systems for implementation and monitoring. Policies from EGD however have some issues with implementation in EU member states and academic studies showed numerous times that rural areas face many hinderances with implementation. To fill in the research gap of successful EU green policy implementation this work studies EU policy documents with qualitative content analysis methodology while utilizing theories form the field of policy transfer and urban studies. The findings from EU policy documents show solid green policy transfer framework.</w:t>
      </w:r>
    </w:p>
    <w:p>
      <w:pPr/>
      <w:r>
        <w:rPr>
          <w:b/>
        </w:rPr>
        <w:t>POSSIBLE 2026:</w:t>
      </w:r>
      <w:r>
        <w:t xml:space="preserve"> The Europeanization of constitutions: experience of European Union Member States in the context of Ukraine’s candidate status — https://doi.org/10.33663/0869-2491-2026-37-660-676</w:t>
      </w:r>
    </w:p>
    <w:p>
      <w:pPr/>
      <w:r>
        <w:rPr>
          <w:b/>
        </w:rPr>
        <w:t>Shared claim-specific concepts:</w:t>
      </w:r>
      <w:r>
        <w:t xml:space="preserve"> transfer, member, states; EU scope visible. This is a provisional connection, not an outcome finding.</w:t>
      </w:r>
    </w:p>
    <w:p>
      <w:pPr>
        <w:pStyle w:val="SourceNote"/>
      </w:pPr>
      <w:r>
        <w:rPr>
          <w:b/>
        </w:rPr>
        <w:t>Available abstract (not full text):</w:t>
      </w:r>
      <w:r>
        <w:t xml:space="preserve"> Introduction. This study analyses the Europeanisation of the supreme laws of European Union Member States in the context of Ukraine’s acquisition of candidate country status for accession to the European Union (hereinafter referred to as the EU). It highlights contemporary approaches, theoretical differences and existing practices in the field of the Europeanisation of constitutions, reflecting the specific features of European integration. Particular attention is paid to the potential impact of the process of European integration on the Constitution of Ukraine. The aim of the article. It should be noted that, in scientific literature, there has been no comprehensive analysis of the Europeanisation of the constitutions of EU Member States, nor of the need to take this into account in view of Ukraine’s candidate status. This determines the purpose of the study and its theoretical and methodological basis, emphasising the relevance and importance of systematically analysing the selected issues for practical purposes. Results. The research highlights systemic priorities, core elements, defining parameters, legal factors, existing gaps and conflicts, unresolved issues, the current state of affairs, the latest approaches and established / different practices in the context of the issues outlined (such as the recognition and consolidation at the constitutional level of the primacy of</w:t>
      </w:r>
    </w:p>
    <w:p>
      <w:pPr/>
      <w:r>
        <w:rPr>
          <w:b/>
        </w:rPr>
        <w:t>POSSIBLE 2026:</w:t>
      </w:r>
      <w:r>
        <w:t xml:space="preserve"> National AI development and adult lifelong-learning participation: Evidence for knowledge-transfer policy in European countries — https://doi.org/10.21511/kpm.10(2).2026.09</w:t>
      </w:r>
    </w:p>
    <w:p>
      <w:pPr/>
      <w:r>
        <w:rPr>
          <w:b/>
        </w:rPr>
        <w:t>Shared claim-specific concepts:</w:t>
      </w:r>
      <w:r>
        <w:t xml:space="preserve"> transfer, policies; EU scope visible. This is a provisional connection, not an outcome finding.</w:t>
      </w:r>
    </w:p>
    <w:p>
      <w:pPr>
        <w:pStyle w:val="SourceNote"/>
      </w:pPr>
      <w:r>
        <w:rPr>
          <w:b/>
        </w:rPr>
        <w:t>Available abstract (not full text):</w:t>
      </w:r>
      <w:r>
        <w:t xml:space="preserve"> Type of the article: Research ArticleArtificial intelligence has become a driver of knowledge transformation, skills renewal, and institutional change, making lifelong learning increasingly important for adapting to AI-driven labor markets and societies. This study aims to examine whether national AI development indicators are associated with realized participation in education and training across different adult age groups in European countries, and to discuss what these associations may imply for lifelong learning and knowledge transfer policies. The analysis is based on a panel of 18 European countries for 2017–2024 and applies two-way fixed-effects models with country and year effects, contemporaneous, one-year, and two-year lag specifications, and Driscoll–Kraay robustness checks. The results show that the total AI Vibrancy Score is not a statistically significant predictor of participation in education and training: the contemporaneous coefficients are 0.4822 for adults aged 18-74, 0.1054 for those aged 45-54, and 0.5006 for those aged 50-74. Descriptive statistics indicate that average lifelong-learning participation declines with age, from 20.09% among adults aged 18-74 to 14.82% among those aged 45-54, and 9.34% among those aged 50-74. The lagged structural models show that AI-related R&amp;D is negatively associated with subsequent participation, with one-year lag coeffic</w:t>
      </w:r>
    </w:p>
    <w:p>
      <w:pPr/>
      <w:r>
        <w:rPr>
          <w:b/>
        </w:rPr>
        <w:t>POSSIBLE 2025:</w:t>
      </w:r>
      <w:r>
        <w:t xml:space="preserve"> Minding the Gaps: Solidaristic Transfers and Burden‐Sharing in the European Union and Its Member States' Pandemic Response — https://doi.org/10.1111/jcms.13726</w:t>
      </w:r>
    </w:p>
    <w:p>
      <w:pPr/>
      <w:r>
        <w:rPr>
          <w:b/>
        </w:rPr>
        <w:t>Shared claim-specific concepts:</w:t>
      </w:r>
      <w:r>
        <w:t xml:space="preserve"> other, member, states; EU scope visible. This is a provisional connection, not an outcome finding.</w:t>
      </w:r>
    </w:p>
    <w:p>
      <w:pPr>
        <w:pStyle w:val="SourceNote"/>
      </w:pPr>
      <w:r>
        <w:rPr>
          <w:b/>
        </w:rPr>
        <w:t>Available abstract (not full text):</w:t>
      </w:r>
      <w:r>
        <w:t xml:space="preserve"> Abstract The paper offers a hitherto‐lacking comprehensive appraisal of solidaristic transfers by European Union Member States (EUMS) during the first year of the COVID‐19 pandemic. These transfers include bilateral assistance, collective burden‐sharing on the EU level and even external EU aid. The article uses data on inter‐EUMS solidarity actions collected by the European Solidarity Tracker (EST), a widely referenced dataset on pandemic‐related actions of solidarity. It cleans these data to address its deficiencies, including by filtering out symbolic and tokenistic actions, to focus on instances of truly meaningful assistance between EUMS. The EST is complemented by two further sets of data: an overview of EU‐level measures, as examples of institutionalized and institutionally enabled forms of solidarity; and, given the global connectedness of the EU, data on pandemic assistance to developing countries. Based on this broad understanding of solidaristic transfers, the EU's response is found to have been significant but insufficient overall to fill the gaps in pandemic response. The gaps identified have inevitably fed into the pandemic, contributing to permissive conditions for its resurgence. EU‐level measures mattered, but practical manifestations of bilateral solidarity between EUMS have been haphazard. Furthermore, although the EU increased its external health and other de</w:t>
      </w:r>
    </w:p>
    <w:p>
      <w:pPr/>
      <w:r>
        <w:rPr>
          <w:b/>
        </w:rPr>
        <w:t>POSSIBLE 2025:</w:t>
      </w:r>
      <w:r>
        <w:t xml:space="preserve"> POLICY TRANSFER IN AI GOVERNANCE: ADAPTING THE EUROPEAN UNION AI ACT TO PAKISTAN’S REGULATORY LANDSCAPE — https://openalex.org/W7220082439</w:t>
      </w:r>
    </w:p>
    <w:p>
      <w:pPr/>
      <w:r>
        <w:rPr>
          <w:b/>
        </w:rPr>
        <w:t>Shared claim-specific concepts:</w:t>
      </w:r>
      <w:r>
        <w:t xml:space="preserve"> transfer, states, transferability; EU scope visible. This is a provisional connection, not an outcome finding.</w:t>
      </w:r>
    </w:p>
    <w:p>
      <w:pPr>
        <w:pStyle w:val="SourceNote"/>
      </w:pPr>
      <w:r>
        <w:rPr>
          <w:b/>
        </w:rPr>
        <w:t>Available abstract (not full text):</w:t>
      </w:r>
      <w:r>
        <w:t xml:space="preserve"> The rapid diffusion of artificial intelligence (AI) regulation worldwide has placed the European Union’s Artificial Intelligence Act (Regulation (EU) 2024/1689) at the centre of global regulatory discourse. It has prompted developing states to consider whether, and how, its provisions can be transplanted into different legal and administrative environments. This paper applies Policy Transfer Theory to examine the transferability of the EU AI Act to Pakistan. The paper employs qualitative comparative policy analysis of primary legal texts and secondary policy documents including Pakistan’s National Artificial Intelligence Policy 2025 to develop an original analytical tool termed as the Pakistan AI Regulatory Adaptation Framework (PARAF). It classifies EU AI Act provisions into three categories; Directly Transferable, Transferable with Adaptation, and Not Currently Transferable. The analysis indicates that transparency obligations and risk-tiering principles are comparatively easier to adapt to Pakistan's regulatory context. In contrast, the enforcement architecture and conformity assessment mechanisms require substantial modification to align with Pakistan's federal and administrative structure. It further suggests that provisions dependent on comprehensive data protection legislation and independent regulatory authorities are not presently transferable because Pakistan lacks co</w:t>
      </w:r>
    </w:p>
    <w:p>
      <w:pPr/>
      <w:r>
        <w:rPr>
          <w:b/>
        </w:rPr>
        <w:t>POSSIBLE 2024:</w:t>
      </w:r>
      <w:r>
        <w:t xml:space="preserve"> Social transfer policies and child poverty in European countries: Evaluating policy alternatives through a multiobjective programming model — https://doi.org/10.1016/j.seps.2024.101892</w:t>
      </w:r>
    </w:p>
    <w:p>
      <w:pPr/>
      <w:r>
        <w:rPr>
          <w:b/>
        </w:rPr>
        <w:t>Shared claim-specific concepts:</w:t>
      </w:r>
      <w:r>
        <w:t xml:space="preserve"> transfer, assess, policies; EU scope visible. This is a provisional connection, not an outcome finding.</w:t>
      </w:r>
    </w:p>
    <w:p>
      <w:pPr>
        <w:pStyle w:val="SourceNote"/>
      </w:pPr>
      <w:r>
        <w:rPr>
          <w:b/>
        </w:rPr>
        <w:t>Available abstract (not full text):</w:t>
      </w:r>
      <w:r>
        <w:t xml:space="preserve"> Child poverty remains a significant concern across Europe and citizens regard policy interventions that effectively address this issue to be of utmost importance. In this work, we analyse the potential of social transfer policy alternatives to alleviate child and overall poverty simultaneously in European countries. Using a logistic regression to define the objective functions and constraints, we rely on multiobjective programming to assess key features of national social transfer systems that can minimize child and overall poverty and tend to equal both levels downwards. Taking into account the starting levels of each country, the results underline the importance of finding an adequate combination of pro-child and pro-poor targeting of social transfer policies. For most European countries, an increase in the level of cash benefits for children is advisable – particularly universal benefits – except in Croatia, the Netherlands, and Norway. Nonetheless, in France, Greece, Italy, Ireland, the Netherlands, and Spain, the recommended proportion of GDP allocated to universal cash benefits is lower than the proportion allocated to means-tested benefits. In this regard, our research provides an innovative approach for policymakers to optimize poverty reduction strategies by contributing valuable insights for the design and implementation of effective social transfer policies to combat</w:t>
      </w:r>
    </w:p>
    <w:p>
      <w:pPr/>
      <w:r>
        <w:rPr>
          <w:b/>
        </w:rPr>
        <w:t>POSSIBLE 2024:</w:t>
      </w:r>
      <w:r>
        <w:t xml:space="preserve"> Stronger Member States for a Stronger European Union — https://doi.org/10.62733/2024.2.143-161</w:t>
      </w:r>
    </w:p>
    <w:p>
      <w:pPr/>
      <w:r>
        <w:rPr>
          <w:b/>
        </w:rPr>
        <w:t>Shared claim-specific concepts:</w:t>
      </w:r>
      <w:r>
        <w:t xml:space="preserve"> other, member, states;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2024:</w:t>
      </w:r>
      <w:r>
        <w:t xml:space="preserve"> COMPARATIVE ANALYSIS OF TRANSFER PRICING LEGISLATION IN THE REGULATORY FRAMEWORK OF EU MEMBER STATES — https://doi.org/10.32782/2707-8019/2024-2-2</w:t>
      </w:r>
    </w:p>
    <w:p>
      <w:pPr/>
      <w:r>
        <w:rPr>
          <w:b/>
        </w:rPr>
        <w:t>Shared claim-specific concepts:</w:t>
      </w:r>
      <w:r>
        <w:t xml:space="preserve"> transfer, other, member, states; EU scope visible. This is a provisional connection, not an outcome finding.</w:t>
      </w:r>
    </w:p>
    <w:p>
      <w:pPr>
        <w:pStyle w:val="SourceNote"/>
      </w:pPr>
      <w:r>
        <w:rPr>
          <w:b/>
        </w:rPr>
        <w:t>Available abstract (not full text):</w:t>
      </w:r>
      <w:r>
        <w:t xml:space="preserve"> The article carries out a comparative analysis and assessment of the adequacy of legal regulation of transfer pricing in the EU Member States. The necessity and importance of studying foreign experience in building and improving the legal framework for transfer pricing is substantiated. The authors determine that the relevance of transfer pricing and related issues both in terms of ensuring the proper functioning of the single market and eliminating base erosion and profit shifting is confirmed by the existence of a special advisory body under the European Commission - the Joint Transfer Pricing Forum (JTPF), which advises the European Commission on transfer pricing taxation. The article identifies the main aspects of transfer pricing regulation in the EU Member States with a view to a detailed analysis of the regulatory framework. The criteria of related parties in the EU transfer pricing legislation are studied. It is found that a common feature in the definition of related parties is the direct or indirect influence of one person on another. The author examines and compares the grounds for conducting an audit in the EU transfer pricing legislation and finds that in the vast majority of EU Member States there is a so-called "self-assessment" regime for companies, according to which the taxpayer must ensure compliance with the transfer pricing rules; the risk factors that are </w:t>
      </w:r>
    </w:p>
    <w:p>
      <w:pPr/>
      <w:r>
        <w:rPr>
          <w:b/>
        </w:rPr>
        <w:t>POSSIBLE 2024:</w:t>
      </w:r>
      <w:r>
        <w:t xml:space="preserve"> The genesis of pardon in Ukraine and the European Union Member States — https://doi.org/10.24144/2307-3322.2024.84.3.45</w:t>
      </w:r>
    </w:p>
    <w:p>
      <w:pPr/>
      <w:r>
        <w:rPr>
          <w:b/>
        </w:rPr>
        <w:t>Shared claim-specific concepts:</w:t>
      </w:r>
      <w:r>
        <w:t xml:space="preserve"> transfer, other, member, states; EU scope visible. This is a provisional connection, not an outcome finding.</w:t>
      </w:r>
    </w:p>
    <w:p>
      <w:pPr>
        <w:pStyle w:val="SourceNote"/>
      </w:pPr>
      <w:r>
        <w:rPr>
          <w:b/>
        </w:rPr>
        <w:t>Available abstract (not full text):</w:t>
      </w:r>
      <w:r>
        <w:t xml:space="preserve"> This article is devoted to the historical and legal study of the origin and evolution of the institution of pardon in Ukraine and the European Union Member States. The author analyses the emergence of pardon in ancient Rome, its social and political role. The author points to the existence of three main forms of pardon in the Roman Empire: abolition, intercession and indulgence. The author emphasises the impact of the reception of Roman law and the growing role of the Roman Catholic Church on the establishment of the right of pardon as an element of the absolute power of the monarch in medieval Europe. Attention is drawn to the established tradition of pardoning convicted persons on the occasion of significant religious or state events. The author points out that the right to pardon is legally enshrined in the legislative collection ‘Siete Partidas’ in the Kingdom of Spain and to the modern subjects of pardon in the said State. The author analyses the evolution of the pardon procedure, in particular, with regard to the participation of not only the head of state, but also other subjects, including the Minister of Justice, in order to ensure a greater level of political neutrality. The features of pardon in medieval Italy, the transfer of this right from the city councils to the monarch along with the establishment of the seigniorial regime are highlighted. The author also descr</w:t>
      </w:r>
    </w:p>
    <w:p>
      <w:pPr/>
      <w:r>
        <w:rPr>
          <w:b/>
        </w:rPr>
        <w:t>POSSIBLE 2024:</w:t>
      </w:r>
      <w:r>
        <w:t xml:space="preserve"> Researching policy transfer of vocational education and training across the European Union: a systematic literature review — https://doi.org/10.1080/13636820.2024.2442030</w:t>
      </w:r>
    </w:p>
    <w:p>
      <w:pPr/>
      <w:r>
        <w:rPr>
          <w:b/>
        </w:rPr>
        <w:t>Shared claim-specific concepts:</w:t>
      </w:r>
      <w:r>
        <w:t xml:space="preserve"> transfer, member, states, policies; EU scope visible. This is a provisional connection, not an outcome finding.</w:t>
      </w:r>
    </w:p>
    <w:p>
      <w:pPr>
        <w:pStyle w:val="SourceNote"/>
      </w:pPr>
      <w:r>
        <w:rPr>
          <w:b/>
        </w:rPr>
        <w:t>Available abstract (not full text):</w:t>
      </w:r>
      <w:r>
        <w:t xml:space="preserve"> Various academic fields have focused on the transfer of Vocational Education and Training (VET) policies and practices, and the research base on VET policy transfer is broadly scattered. Recognising this deficit, researchers have sought to organise the current research. However, VET policy transfer studies carried out in European Union (EU) member states have made no such synthesising attempts. I conducted this systematic literature review to analyse the research methodology in this context. I searched for publications on the Scopus, Academic Search Ultimate (EBSCO), and ERIC databases, identifying a total of 577 publications, finding a total of 35 publications that met the inclusion criteria and that I subsequently analysed in detail. This review argues that research on VET policy transfer in the EU has particular gaps. It outlines four key areas that require attention: the lack of methodological diversity; the data collection from specific policy transfer actors and the exclusion of others; the geographical spaces that remain unexamined; and the focus on particular VET practices at the centre of policy transfer. The results identify lacunas in the current methodological practice of research on VET policy transfer in the EU and provide recommendations for future research.</w:t>
      </w:r>
    </w:p>
    <w:p>
      <w:pPr/>
      <w:r>
        <w:rPr>
          <w:b/>
        </w:rPr>
        <w:t>POSSIBLE 2023:</w:t>
      </w:r>
      <w:r>
        <w:t xml:space="preserve"> Agents and Impacts of Interorganizational Transfers between the Council of Europe and the European Union in the Area of Cultural Policy — https://doi.org/10.4000/bssg.3433</w:t>
      </w:r>
    </w:p>
    <w:p>
      <w:pPr/>
      <w:r>
        <w:rPr>
          <w:b/>
        </w:rPr>
        <w:t>Shared claim-specific concepts:</w:t>
      </w:r>
      <w:r>
        <w:t xml:space="preserve"> transfer, other; EU scope visible. This is a provisional connection, not an outcome finding.</w:t>
      </w:r>
    </w:p>
    <w:p>
      <w:pPr>
        <w:pStyle w:val="SourceNote"/>
      </w:pPr>
      <w:r>
        <w:rPr>
          <w:b/>
        </w:rPr>
        <w:t>Available abstract (not full text):</w:t>
      </w:r>
      <w:r>
        <w:t xml:space="preserve"> This article analyses the transfer dynamics between the Council of Europe and the European Community/Union in the domain of cultural policy. The analysis is based on two case studies. One centres on audiovisual policy (1980s), and the other on the development of cultural programmes within the European Union in the wake of the Maastricht Treaty (1990s-2000s). In the 1980s, when relations between the Council of Europe and the European Community were only very weakly institutionalized, the circulation of norms between the two institutions was facilitated by informal exchanges on the margins of negotiations between senior officials mandated by their governments. In the 1990s and 2000s, although the circulation of norms and practices had been institutionalized through agreements, it was nevertheless the multipositioning of government delegates and the mobility of some high-level officials between the two organizations and between the institutional and cultural management spheres that opened up key channels for the transfer of norms and practices between the Council of Europe and the European Union.</w:t>
      </w:r>
    </w:p>
    <w:p>
      <w:pPr>
        <w:pStyle w:val="Heading2"/>
      </w:pPr>
      <w:r>
        <w:t>805. Pressures on soil functions from soil management in Germany. A foresight review</w:t>
      </w:r>
    </w:p>
    <w:p>
      <w:pPr>
        <w:pStyle w:val="SourceNote"/>
      </w:pPr>
      <w:r>
        <w:rPr>
          <w:b/>
        </w:rPr>
        <w:t>Original source (2017):</w:t>
      </w:r>
      <w:r>
        <w:t xml:space="preserve"> https://doi.org/10.1007/s13593-017-0473-3</w:t>
      </w:r>
    </w:p>
    <w:p>
      <w:pPr/>
      <w:r>
        <w:t>Original wording (abstract; indexed_source_text_not_full_document_verified): We analyzed socio-economic, biophysical and technological drivers and identified two types of future management changes: (1) Quantitative changes, i.e., more or less of the same input factors, such as fertilizers, as part of a moderate intensification. Positive practices may be reinforced by a behavioral trend towards sustainable soil management, driven by increasing awareness, knowledge, and consumer demand.</w:t>
      </w:r>
    </w:p>
    <w:p>
      <w:pPr/>
      <w:r>
        <w:rPr>
          <w:b/>
        </w:rPr>
        <w:t>POSSIBLE 2025:</w:t>
      </w:r>
      <w:r>
        <w:t xml:space="preserve"> Socio-economic and Biophysical Resource Characterization in Gur Watershed, Girar Jarso District, North Shewa Zone, Oromia — https://doi.org/10.11648/j.ijema.20251303.14</w:t>
      </w:r>
    </w:p>
    <w:p>
      <w:pPr/>
      <w:r>
        <w:rPr>
          <w:b/>
        </w:rPr>
        <w:t>Shared claim-specific concepts:</w:t>
      </w:r>
      <w:r>
        <w:t xml:space="preserve"> analyzed, socio-economic, biophysical, management; EU scope not established. This is a provisional connection, not an outcome finding.</w:t>
      </w:r>
    </w:p>
    <w:p>
      <w:pPr>
        <w:pStyle w:val="SourceNote"/>
      </w:pPr>
      <w:r>
        <w:rPr>
          <w:b/>
        </w:rPr>
        <w:t>Available abstract (not full text):</w:t>
      </w:r>
      <w:r>
        <w:t xml:space="preserve"> Socio-economic and biophysical resource characterization builds necessary foundation for the plan and obtains proper information for elective planning, implementation and monitoring of the research in the field of natural resources. The objective of the study was to identify and characterize existing socio-economic and biophysical resources and document baseline information on socio-economic and biophysical aspects used as benchmark for planning and impact monitoring in the watershed. The site was selected depending on agro-ecological representation, prevalence of resource management and land degradation problems. The data were collected through field observations, HH survey, FGD and KII’s and the collected data were analyzed using SPSS software. Results of study indicated that, decline of soil fertility, soil erosion, and shortage of agricultural inputs are the major crop production constraints in the watershed. According to the results, the farmers majorly implemented physical SWC measures such as stone bund, stone faced soil bund, water ways. About 97.7%, of the sample farmers in the Gur watershed were participating in construction of SWC measures by their own interest respectively. Analysis of the result shows that the major constraints in practicing of physical SWC structures were serves as breed and hiding places of rodents, it requires large number of labors and lack of </w:t>
      </w:r>
    </w:p>
    <w:p>
      <w:pPr/>
      <w:r>
        <w:rPr>
          <w:b/>
        </w:rPr>
        <w:t>POSSIBLE 2025:</w:t>
      </w:r>
      <w:r>
        <w:t xml:space="preserve"> ADVANCEMENTS AND INTEGRATION OF BIOPHYSICAL, SOCIO-ECONOMIC, AND LOCAL KNOWLEDGE IN AGRICULTURAL LAND SUITABILITY ASSESSMENTS: A SYSTEMATIC LITERATURE REVIEW — https://doi.org/10.33899/mja.2025.156944.1531</w:t>
      </w:r>
    </w:p>
    <w:p>
      <w:pPr/>
      <w:r>
        <w:rPr>
          <w:b/>
        </w:rPr>
        <w:t>Shared claim-specific concepts:</w:t>
      </w:r>
      <w:r>
        <w:t xml:space="preserve"> socio-economic, biophysical, identified, management, factors, practices; EU scope not established. This is a provisional connection, not an outcome finding.</w:t>
      </w:r>
    </w:p>
    <w:p>
      <w:pPr>
        <w:pStyle w:val="SourceNote"/>
      </w:pPr>
      <w:r>
        <w:rPr>
          <w:b/>
        </w:rPr>
        <w:t>Available abstract (not full text):</w:t>
      </w:r>
      <w:r>
        <w:t xml:space="preserve"> Land suitability assessments are pivotal for sustainable land use planning, agricultural productivity, and environmental management. Despite substantial advancements, a comprehensive understanding of methodologies, applications, and sustainability challenges across diverse contexts remains limited. This systematic literature review aims to address these gaps by examining advancements, regional practices, and adaptation strategies in land suitability assessments. Using the PRISMA framework, an advanced search of Scopus and Web of Science databases identified 34 eligible studies (n=34) for analysis. These studies were categorized into three key themes: (1) advancements in methodologies, including GIS-based multi-criteria decision-making (MCDM), machine learning, and hybrid models; (2) applications of land suitability for specific crops and regions, highlighting varying ecological and socio-economic factors influencing implementation; and (3) sustainability and adaptation in land use planning, focusing on the integration of climate resilience and resource conservation. Results indicate that GIS-MCDM approaches dominate, representing 65% of the studies, with machine learning and hybrid methods contributing 20% and 15%, respectively. The review underscores the increasing role of advanced technologies such as remote sensing and IoT in improving precision, yet challenges persist in pa</w:t>
      </w:r>
    </w:p>
    <w:p>
      <w:pPr/>
      <w:r>
        <w:rPr>
          <w:b/>
        </w:rPr>
        <w:t>POSSIBLE 2025:</w:t>
      </w:r>
      <w:r>
        <w:t xml:space="preserve"> GOVERNANCE OF HOUSING SPATIAL PLANNING OF SEMARANG CITY IN LANDSLIDE MITIGATION AND THE INFLUENCE OF BIOPHYSICAL, CLIMATIC, AND SOCIO-ECONOMIC FACTORS — https://doi.org/10.21837/pm.v23i38.1783</w:t>
      </w:r>
    </w:p>
    <w:p>
      <w:pPr/>
      <w:r>
        <w:rPr>
          <w:b/>
        </w:rPr>
        <w:t>Shared claim-specific concepts:</w:t>
      </w:r>
      <w:r>
        <w:t xml:space="preserve"> socio-economic, biophysical, factors; EU scope not established. This is a provisional connection, not an outcome finding.</w:t>
      </w:r>
    </w:p>
    <w:p>
      <w:pPr>
        <w:pStyle w:val="SourceNote"/>
      </w:pPr>
      <w:r>
        <w:rPr>
          <w:b/>
        </w:rPr>
        <w:t>Available abstract (not full text):</w:t>
      </w:r>
      <w:r>
        <w:t xml:space="preserve"> The highland areas of Semarang City are vulnerable to landslide disasters. This study investigated the governance of Semarang's spatial planning and the factors that influence the mitigation of landslide disasters. We used spatial and descriptive analysis to evaluate the data. This study found that most of the designated housing areas in highland areas of Semarang City are laid on vulnerable landslides. Biophysical factors such as steepness levels of up to 40 percent, volcanic rock formations that are susceptible to landslides, and the changes in rainfall intensity due to climatic change have caused vulnerability to landslides. Poor mitigation governance such as land use conversion, unsuitability of spatial plans, huge extraction of groundwater, and weak evaluation and monitoring of spatial planning also increase landslide disasters and risk in Semarang. Incorporating hazard assessment into spatial planning and tightening the implementation of spatial plans are very important to be noticed by the government to reduce landslides.</w:t>
      </w:r>
    </w:p>
    <w:p>
      <w:pPr/>
      <w:r>
        <w:rPr>
          <w:b/>
        </w:rPr>
        <w:t>POSSIBLE 2025:</w:t>
      </w:r>
      <w:r>
        <w:t xml:space="preserve"> Addressing socio-economic drivers of management style evolution — https://openalex.org/W7219528483</w:t>
      </w:r>
    </w:p>
    <w:p>
      <w:pPr/>
      <w:r>
        <w:rPr>
          <w:b/>
        </w:rPr>
        <w:t>Shared claim-specific concepts:</w:t>
      </w:r>
      <w:r>
        <w:t xml:space="preserve"> socio-economic, drivers, management, factors, practices; EU scope not established. This is a provisional connection, not an outcome finding.</w:t>
      </w:r>
    </w:p>
    <w:p>
      <w:pPr>
        <w:pStyle w:val="SourceNote"/>
      </w:pPr>
      <w:r>
        <w:rPr>
          <w:b/>
        </w:rPr>
        <w:t>Available abstract (not full text):</w:t>
      </w:r>
      <w:r>
        <w:t xml:space="preserve"> Background: The information age has ushered in a novel economic model known as the information economy, challenging traditional bureaucratic mechanisms that were primarily seen as tools to mitigate uncertainty. Within this context, complex leadership emerges as a paradigm that thrives on systemic interactions and intricate dynamics. Here, the onus lies on establishing the framework and conditions that empower the adaptive essence of leadership to flourish. Purpose: The aim of this research is to establish a framework for optimal leadership management, uncovering previously unexplored factors shaping employee work behavior. By identifying and defining key components within management mechanisms that greatly enhance employee performance, the objective is to cultivate rooted and effective management practices. Study design/methodology/approach: The research involved 480 respondents from diverse sociodemographic backgrounds and companies. Complexity leadership was assessed using the Complexity Leadership Scale, measuring Generative and Administrative leadership. Employee cooperation was evaluated with the Scala Supportive and Non-Controlling Supervision. Statistical methods included multiple regression, Pearson correlation, t-tests, and MANOVA. Findings/conclusions: The evaluation shows that both Generative and Administrative leadership are moderately expressed. Generative leadersh</w:t>
      </w:r>
    </w:p>
    <w:p>
      <w:pPr/>
      <w:r>
        <w:rPr>
          <w:b/>
        </w:rPr>
        <w:t>POSSIBLE 2025:</w:t>
      </w:r>
      <w:r>
        <w:t xml:space="preserve"> Socio-Economic Drivers and Sustainability Challenges of Urban Green Space Distribution in Jinan, China — https://doi.org/10.3390/su17135993</w:t>
      </w:r>
    </w:p>
    <w:p>
      <w:pPr/>
      <w:r>
        <w:rPr>
          <w:b/>
        </w:rPr>
        <w:t>Shared claim-specific concepts:</w:t>
      </w:r>
      <w:r>
        <w:t xml:space="preserve"> socio-economic, drivers, two, types, factors; EU scope not established. This is a provisional connection, not an outcome finding.</w:t>
      </w:r>
    </w:p>
    <w:p>
      <w:pPr>
        <w:pStyle w:val="SourceNote"/>
      </w:pPr>
      <w:r>
        <w:rPr>
          <w:b/>
        </w:rPr>
        <w:t>Available abstract (not full text):</w:t>
      </w:r>
      <w:r>
        <w:t xml:space="preserve"> Urban green spaces (UGSs), including parks, forests, and community gardens, play a critical role in enhancing public health and well-being by providing essential ecosystem services such as improving air quality, reducing surface temperatures, and mitigating harmful substances. As urbanization accelerates, especially in rapidly growing cities like Jinan, China, the demand for UGSs is intensifying, necessitating careful urban planning to balance development and environmental protection. While previous studies have often focused on city-level green coverage, this study shifts the analytical focus from UGS as a whole to urban functional units (UFUs), allowing for a more detailed examination of how green space is distributed across different land use types. We investigate UGS changes in Jinan over the past two decades and assess the influence of socio-economic factors—such as housing prices, land use types, and building age—on UGS distribution within UFUs. Remote sensing technology was employed to analyze the spatiotemporal dynamics of UGS and its correlation with these variables. Our findings reveal a significant shift in UGS distribution, with parks and leisure areas becoming primary drivers of UGS expansion. This study also highlights the growing influence of economic factors, particularly housing prices, on UGS distribution in more affluent UFUs. Additionally, while UGS in Jinan</w:t>
      </w:r>
    </w:p>
    <w:p>
      <w:pPr/>
      <w:r>
        <w:rPr>
          <w:b/>
        </w:rPr>
        <w:t>POSSIBLE 2025:</w:t>
      </w:r>
      <w:r>
        <w:t xml:space="preserve"> Public Acceptance and Socio-Economic Drivers of Renewable District Heating: Evidence from Italy — https://doi.org/10.3390/en19010096</w:t>
      </w:r>
    </w:p>
    <w:p>
      <w:pPr/>
      <w:r>
        <w:rPr>
          <w:b/>
        </w:rPr>
        <w:t>Shared claim-specific concepts:</w:t>
      </w:r>
      <w:r>
        <w:t xml:space="preserve"> socio-economic, technological, drivers, factors; EU scope visible. This is a provisional connection, not an outcome finding.</w:t>
      </w:r>
    </w:p>
    <w:p>
      <w:pPr>
        <w:pStyle w:val="SourceNote"/>
      </w:pPr>
      <w:r>
        <w:rPr>
          <w:b/>
        </w:rPr>
        <w:t>Available abstract (not full text):</w:t>
      </w:r>
      <w:r>
        <w:t xml:space="preserve"> District heating (DH) is increasingly recognised as a crucial solution for urban energy needs, contributing to energy efficiency and the reduction of greenhouse gas emissions. However, the transition towards adopting renewable energy sources (RES) in DH poses several challenges. The success of such a transition depends on technological innovation, acceptance, and public perception as well as a range of socio-economic, regulatory, and behavioural factors. This study investigates how these key dimensions influence public attitudes towards renewable DH systems in Italy. Based on a survey of 1,200 citizens in Turin we examine how public attitudes towards decarbonised heating options, the integration of renewables and demand-side flexibility are influenced by socio-economic characteristics. These characteristics include income, education, age, housing tenure, eco-awareness, trust in institutions, and technological affinity. Results show widespread support for efficiency and comfort benefits of DH. However, the results also show a limited willingness to pay more for renewable heat, particularly among economically vulnerable groups. The study has important implications for strategies that can facilitate the transition towards adopting RES in DH. In particular, the study points to the relevance of economic incentives, institutional trust, and clarity about benefits, as well as communit</w:t>
      </w:r>
    </w:p>
    <w:p>
      <w:pPr/>
      <w:r>
        <w:rPr>
          <w:b/>
        </w:rPr>
        <w:t>POSSIBLE 2023:</w:t>
      </w:r>
      <w:r>
        <w:t xml:space="preserve"> Climate policy must account for community-specific socio-economic, health, and biophysical conditions—evidence from coastal Alaska — https://doi.org/10.1007/s10113-023-02080-9</w:t>
      </w:r>
    </w:p>
    <w:p>
      <w:pPr/>
      <w:r>
        <w:rPr>
          <w:b/>
        </w:rPr>
        <w:t>Shared claim-specific concepts:</w:t>
      </w:r>
      <w:r>
        <w:t xml:space="preserve"> socio-economic, biophysical, management, factors, moderate; EU scope not established. This is a provisional connection, not an outcome finding.</w:t>
      </w:r>
    </w:p>
    <w:p>
      <w:pPr>
        <w:pStyle w:val="SourceNote"/>
      </w:pPr>
      <w:r>
        <w:rPr>
          <w:b/>
        </w:rPr>
        <w:t>Available abstract (not full text):</w:t>
      </w:r>
      <w:r>
        <w:t xml:space="preserve"> Abstract Climate warming, sea level rise, and extreme weather events are creating intensifying and more frequent hazards for human populations inhabiting the coast. In Alaska’s remote coastal communities, flooding and erosion are rapidly increasing due to the combined effect of sea level rise, more frequent storm surges, and increasingly powerful wave action from lack of sea ice. This paper presents survey results documenting socio-economic and psychological livelihood impacts and relocation preferences as reported by residents of a remote coastal Indigenous community. We quantified direct costs of lost or damaged private property, affected community infrastructure, and interruption of public services and found that the resulting financial hardship adds to existing economic challenges and climate stressors. Findings underline a community-level preoccupation with coastal climate threats that manifests primarily in intrusive and distressing thoughts of consequences from storms and other destructive climatic events. We highlight the need to monitor more broadly livelihood impacts to inform the design of innovative risk management tools to moderate financial hardship and strengthen community-driven action. We conclude that new policy responding to the needs of remote Indigenous communities affected by repetitive environmental disasters needs to account for a complex array of commun</w:t>
      </w:r>
    </w:p>
    <w:p>
      <w:pPr/>
      <w:r>
        <w:rPr>
          <w:b/>
        </w:rPr>
        <w:t>POSSIBLE 2023:</w:t>
      </w:r>
      <w:r>
        <w:t xml:space="preserve"> Integration matters: Combining socio-cultural and biophysical methods for mapping ecosystem service bundles — https://doi.org/10.1007/s13280-023-01830-7</w:t>
      </w:r>
    </w:p>
    <w:p>
      <w:pPr/>
      <w:r>
        <w:rPr>
          <w:b/>
        </w:rPr>
        <w:t>Shared claim-specific concepts:</w:t>
      </w:r>
      <w:r>
        <w:t xml:space="preserve"> biophysical, two, management, sustainable; EU scope visible. This is a provisional connection, not an outcome finding.</w:t>
      </w:r>
    </w:p>
    <w:p>
      <w:pPr>
        <w:pStyle w:val="SourceNote"/>
      </w:pPr>
      <w:r>
        <w:rPr>
          <w:b/>
        </w:rPr>
        <w:t>Available abstract (not full text):</w:t>
      </w:r>
      <w:r>
        <w:t xml:space="preserve"> Ecosystem services (ESs) play an important role in sustainable landscape management. People value ESs in diverse ways encompassing social and ecological domains and we need to bring these different values together. We used social-cultural and biophysical methods to map a diverse set of ESs at two spatial scales in a UNESCO Biosphere Reserve in Norway. The ESs bundled into three distinct social-ecological system archetypes which were similar in their distribution and relative ES values at both spatial scales. The bundles were also well matched to relative ESs values of the Biosphere Reserve zones (core, buffer, and transition) indicating that the bundles capture the social-ecological systems of the zones. We argue that it is important to consider the social-ecological context of the zones to provide sufficient knowledge to inform management. Our work has the capacity to contribute to sustainable land management that takes biocultural values into consideration.</w:t>
      </w:r>
    </w:p>
    <w:p>
      <w:pPr/>
      <w:r>
        <w:rPr>
          <w:b/>
        </w:rPr>
        <w:t>POSSIBLE 2023:</w:t>
      </w:r>
      <w:r>
        <w:t xml:space="preserve"> Working in (Slow) Progress: Socio-Environmental and Economic Dynamics in the Forestry Sector and the Contribution to Sustainable Development in Europe — https://doi.org/10.3390/su151310271</w:t>
      </w:r>
    </w:p>
    <w:p>
      <w:pPr/>
      <w:r>
        <w:rPr>
          <w:b/>
        </w:rPr>
        <w:t>Shared claim-specific concepts:</w:t>
      </w:r>
      <w:r>
        <w:t xml:space="preserve"> management, same, practices, sustainable; EU scope visible. This is a provisional connection, not an outcome finding.</w:t>
      </w:r>
    </w:p>
    <w:p>
      <w:pPr>
        <w:pStyle w:val="SourceNote"/>
      </w:pPr>
      <w:r>
        <w:rPr>
          <w:b/>
        </w:rPr>
        <w:t>Available abstract (not full text):</w:t>
      </w:r>
      <w:r>
        <w:t xml:space="preserve"> Forest ecosystems are increasingly subject to disturbances, such as extreme (climate) events, fires and pathological outbreaks, which exert significant (and still poorly quantified) economic impacts, despite their intrinsic resilience. How forest management addresses these challenges will have profound effects on human health, environmental diversity, (ecological and economic) productivity and the ability of forest ecosystems to recovery from exogenous shocks. Assuming forests as ensuring ecosystem services that are vital to society and human well-being, in addition to providing wood material, a better knowledge of forest ecosystems appears a key requirement to delineate a developmental strategy that guarantees environmental protection objectives and achievement of climate and energy targets. In the context of Sustainable Development Goals of the United Nations 2030 Agenda, the information available on forest management practices in Europe still seems not completely suitable to provide a comprehensive overview of ecosystem conditions, their economic value, and their biodiversity. Based on a literature review, the present contribution focuses on recent dynamics of the forestry sector in Europe, delineating the inherent complexity in the environmental-economic nexus. Additionally, the extensive use of a key natural resource such as wood exerts social implications for local distri</w:t>
      </w:r>
    </w:p>
    <w:p>
      <w:pPr/>
      <w:r>
        <w:rPr>
          <w:b/>
        </w:rPr>
        <w:t>POSSIBLE 2023:</w:t>
      </w:r>
      <w:r>
        <w:t xml:space="preserve"> Detecting the socio-economic drivers of confidence in government with eXplainable Artificial Intelligence — https://doi.org/10.1038/s41598-023-28020-5</w:t>
      </w:r>
    </w:p>
    <w:p>
      <w:pPr/>
      <w:r>
        <w:rPr>
          <w:b/>
        </w:rPr>
        <w:t>Shared claim-specific concepts:</w:t>
      </w:r>
      <w:r>
        <w:t xml:space="preserve"> socio-economic, drivers, two, quantitative, factors, positive; EU scope visible. This is a provisional connection, not an outcome finding.</w:t>
      </w:r>
    </w:p>
    <w:p>
      <w:pPr>
        <w:pStyle w:val="SourceNote"/>
      </w:pPr>
      <w:r>
        <w:rPr>
          <w:b/>
        </w:rPr>
        <w:t>Available abstract (not full text):</w:t>
      </w:r>
      <w:r>
        <w:t xml:space="preserve"> The European Quality of Government Index (EQI) measures the perceived level of government quality by European Union citizens, combining surveys on corruption, impartiality and quality of provided services. It is, thus, an index based on individual subjective evaluations. Understanding the most relevant objective factors affecting the EQI outcomes is important for both evaluators and policy makers, especially in view of the fact that perception of government integrity contributes to determine the level of civic engagement. In our research, we employ methods of Artificial Intelligence and complex systems physics to measure the impact on the perceived government quality of multifaceted variables, describing territorial development and citizen well-being, from an economic, social and environmental viewpoint. Our study, focused on a set of regions in European Union at a subnational scale, leads to identifying the territorial and demographic drivers of citizens' confidence in government institutions. In particular, we find that the 2021 EQI values are significantly related to two indicators: the first one is the difference between female and male labour participation rates, and the second one is a proxy of wealth and welfare such as the average number of rooms per inhabitant. This result corroborates the idea of a central role played by labour gender equity and housing policies in go</w:t>
      </w:r>
    </w:p>
    <w:p>
      <w:pPr/>
      <w:r>
        <w:rPr>
          <w:b/>
        </w:rPr>
        <w:t>POSSIBLE 2022:</w:t>
      </w:r>
      <w:r>
        <w:t xml:space="preserve"> Innovating European Long-Term Care Policies through the Socio-Economic Support of Families: A Lesson from Practices — https://doi.org/10.3390/su14074097</w:t>
      </w:r>
    </w:p>
    <w:p>
      <w:pPr/>
      <w:r>
        <w:rPr>
          <w:b/>
        </w:rPr>
        <w:t>Shared claim-specific concepts:</w:t>
      </w:r>
      <w:r>
        <w:t xml:space="preserve"> socio-economic, drivers, two, practices, sustainable; EU scope visible. This is a provisional connection, not an outcome finding.</w:t>
      </w:r>
    </w:p>
    <w:p>
      <w:pPr>
        <w:pStyle w:val="SourceNote"/>
      </w:pPr>
      <w:r>
        <w:rPr>
          <w:b/>
        </w:rPr>
        <w:t>Available abstract (not full text):</w:t>
      </w:r>
      <w:r>
        <w:t xml:space="preserve"> LTC and socio-economic deprivation of families are two relevant issues in international debate. The economic or time investment made by families in caregiving has an impact on the socio-economic status of family members in terms of economic means and social inclusion. This study analyzes the practices that are supported by home LTC, examining their characteristics, identifying their strengths, weaknesses, drivers, and barriers, as well as identifying social innovation aspects. The study provides a qualitative interpretative comparison of 22 practices from eight countries, representing the four LTC care models existing in Europe. Cross-studies aid in the development of sustainable policies. The study highlights the differences and similarities between selected practices. The results indicate the effectiveness of integrative and coordination strategies at the macro, meso, and micro levels for the development of supportive policies for family members with burdens of care. Nevertheless, the results underline the lack of a genuine focus on families’ socio-economic support for providing care. The partial support provided by compensatory cash benefits or unpaid care leave schemes partially addresses the difficulties of familial burden of care. The study recommends that fair economic compensation and social security benefits be incorporated into innovative and sustainable strategies fo</w:t>
      </w:r>
    </w:p>
    <w:p>
      <w:pPr/>
      <w:r>
        <w:rPr>
          <w:b/>
        </w:rPr>
        <w:t>POSSIBLE 2022:</w:t>
      </w:r>
      <w:r>
        <w:t xml:space="preserve"> Windstorm Impacts on Forest-Related Socio-Ecological Systems: An Analysis from a Socio-Economic and Institutional Perspective — https://doi.org/10.3390/f13060939</w:t>
      </w:r>
    </w:p>
    <w:p>
      <w:pPr/>
      <w:r>
        <w:rPr>
          <w:b/>
        </w:rPr>
        <w:t>Shared claim-specific concepts:</w:t>
      </w:r>
      <w:r>
        <w:t xml:space="preserve"> analyzed, socio-economic, drivers, positive, sustainable; EU scope visible. This is a provisional connection, not an outcome finding.</w:t>
      </w:r>
    </w:p>
    <w:p>
      <w:pPr>
        <w:pStyle w:val="SourceNote"/>
      </w:pPr>
      <w:r>
        <w:rPr>
          <w:b/>
        </w:rPr>
        <w:t>Available abstract (not full text):</w:t>
      </w:r>
      <w:r>
        <w:t xml:space="preserve"> Windstorms are considered among the most impacting natural events for European forests and related Socio-Ecological Systems (SES). Given that their intensity and frequency are increasing, an in-depth understanding of their impacts is crucial to mitigate risks and potential negative effects. However, so far, scientific research on windstorm impacts has mainly focused on environmental dimensions, while socio-economic and institutional ones are rarely taken into consideration. Our analysis aims at enriching the current scientific knowledge on windstorm impacts on forest SES by providing an overview of the state-of-the-art academic investigations on windstorm impacts on socio-economic and institutional dimensions. Overall, 46 papers were reviewed to identify the most recurrent post-windstorm dynamics and drivers that influence resilience and adaptation of socio-economic, institutional and related governance dimensions of European forest SES. Results show that the current scientific knowledge on socio-economic impacts of windstorms mainly concentrates on forest-related stakeholders and sectors, paying little attention to the broader social, cultural and institutional drivers that contribute to forest SES resilience. Further, cascade effects linking environmental, social and institutional dimensions are poorly analyzed. This restricted focus could lead to an incomplete understanding </w:t>
      </w:r>
    </w:p>
    <w:p>
      <w:pPr>
        <w:pStyle w:val="Heading2"/>
      </w:pPr>
      <w:r>
        <w:t>806. Projections of Future Precipitation Extremes Over Europe: A Multimodel Assessment of Climate Simulations</w:t>
      </w:r>
    </w:p>
    <w:p>
      <w:pPr>
        <w:pStyle w:val="SourceNote"/>
      </w:pPr>
      <w:r>
        <w:rPr>
          <w:b/>
        </w:rPr>
        <w:t>Original source (2017):</w:t>
      </w:r>
      <w:r>
        <w:t xml:space="preserve"> https://doi.org/10.1002/2017jd027176</w:t>
      </w:r>
    </w:p>
    <w:p>
      <w:pPr/>
      <w:r>
        <w:t>Original wording (abstract; indexed_source_text_not_full_document_verified): Projections of precipitation and its extremes over the European continent are analyzed in an extensive multimodel ensemble of 12 and 50 km resolution EURO‐CORDEX Regional Climate Models (RCMs) forced by RCP2.6, RCP4.5, and RCP8.5 (Representative Concentration Pathway) aerosol and greenhouse gas emission scenarios. The projected changes of the European hydrological cycle may have substantial impact on environmental and anthropogenic systems.</w:t>
      </w:r>
    </w:p>
    <w:p>
      <w:pPr/>
      <w:r>
        <w:rPr>
          <w:b/>
        </w:rPr>
        <w:t>POSSIBLE 2026:</w:t>
      </w:r>
      <w:r>
        <w:t xml:space="preserve"> European summer precipitation — https://doi.org/10.5194/acp-26-2041-2026</w:t>
      </w:r>
    </w:p>
    <w:p>
      <w:pPr/>
      <w:r>
        <w:rPr>
          <w:b/>
        </w:rPr>
        <w:t>Shared claim-specific concepts:</w:t>
      </w:r>
      <w:r>
        <w:t xml:space="preserve"> abstract, projections, precipitation, over, regional, climate; EU scope visible. This is a provisional connection, not an outcome finding.</w:t>
      </w:r>
    </w:p>
    <w:p>
      <w:pPr>
        <w:pStyle w:val="SourceNote"/>
      </w:pPr>
      <w:r>
        <w:rPr>
          <w:b/>
        </w:rPr>
        <w:t>Available abstract (not full text):</w:t>
      </w:r>
      <w:r>
        <w:t xml:space="preserve"> Abstract. Observations indicate that parts of Europe have experienced summer drying over recent decades. There is, however, substantial uncertainty in terms of precipitation changes projected by global climate models, underscoring the need for improved understanding to guide adaptation. Here, we analyse changes in European summer precipitation with global warming in 35 CMIP6 Earth system Models using a regional atmospheric energy budget framework. Over the historical period we compare these models to two reanalysis datasets, ERA5 and MERRA-2, as well as the E-OBS daily gridded observational dataset. Although ERA5 and MERRA-2 compares well to observed precipitation, both reanalysis datasets exhibit large discrepancies with the CMIP6 models when evaluating other terms in the atmospheric energy. In future projections, the model spread is increased compared to historical diversity for the change in precipitation, sensible heat and the dry static energy flux divergence, highlighting the uncertainties in the magnitude of these terms. Nevertheless, the models show consistent agreement on the projection of summer drying over continental Europe with anthropogenic forcing over time.</w:t>
      </w:r>
    </w:p>
    <w:p>
      <w:pPr/>
      <w:r>
        <w:rPr>
          <w:b/>
        </w:rPr>
        <w:t>POSSIBLE 2026:</w:t>
      </w:r>
      <w:r>
        <w:t xml:space="preserve"> Persisting Modulation of Interdecadal Pacific Oscillation on Near‐Future Winter Precipitation Projections in Northern Europe — https://doi.org/10.1029/2025gl119484</w:t>
      </w:r>
    </w:p>
    <w:p>
      <w:pPr/>
      <w:r>
        <w:rPr>
          <w:b/>
        </w:rPr>
        <w:t>Shared claim-specific concepts:</w:t>
      </w:r>
      <w:r>
        <w:t xml:space="preserve"> abstract, projections, precipitation, ensemble, regional, climate; EU scope visible. This is a provisional connection, not an outcome finding.</w:t>
      </w:r>
    </w:p>
    <w:p>
      <w:pPr>
        <w:pStyle w:val="SourceNote"/>
      </w:pPr>
      <w:r>
        <w:rPr>
          <w:b/>
        </w:rPr>
        <w:t>Available abstract (not full text):</w:t>
      </w:r>
      <w:r>
        <w:t xml:space="preserve"> Abstract European winter precipitation profoundly influences regional hydroclimate, yet the relative roles of internal variability and external forcing in its decadal changes remain elusive. Using large‐ensemble climate simulations, we identify the Interdecadal Pacific Oscillation (IPO) as a potential driver of interdecadal changes in winter northern European precipitation. During the 1980–2014 IPO phase transition, internal variability induced a drying trend of −0.07 mm day −1 (35 years) −1 , offsetting a concurrent externally forced wetting trend of +0.19 mm day −1 (35 years) −1 . This influence arises from IPO‐related modulation of atmospheric circulation and moisture transport. The persistence of IPO–WNEP linkages into 2015–2050 suggests that internal variability may continue to shape near‐future hydroclimate. Accounting for IPO‐related influences reduces projection uncertainty by 30% historically and 20% in the near future. These results highlight the critical role of internal variability in long‐term European precipitation trends and emphasize its relevance for regional water resource planning.</w:t>
      </w:r>
    </w:p>
    <w:p>
      <w:pPr/>
      <w:r>
        <w:rPr>
          <w:b/>
        </w:rPr>
        <w:t>POSSIBLE 2026:</w:t>
      </w:r>
      <w:r>
        <w:t xml:space="preserve"> Extreme precipitation projections over Europe from the Euro-CORDEX regional climate models — https://doi.org/10.2139/ssrn.7352664</w:t>
      </w:r>
    </w:p>
    <w:p>
      <w:pPr/>
      <w:r>
        <w:rPr>
          <w:b/>
        </w:rPr>
        <w:t>Shared claim-specific concepts:</w:t>
      </w:r>
      <w:r>
        <w:t xml:space="preserve"> projections, precipitation, over, regional, climate;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Too‐stable North Atlantic climate system in CMIP6 experiments undermines precipitation projections in Europe — https://doi.org/10.1002/qj.4999</w:t>
      </w:r>
    </w:p>
    <w:p>
      <w:pPr/>
      <w:r>
        <w:rPr>
          <w:b/>
        </w:rPr>
        <w:t>Shared claim-specific concepts:</w:t>
      </w:r>
      <w:r>
        <w:t xml:space="preserve"> abstract, projections, precipitation, over, analyzed, climate; EU scope visible. This is a provisional connection, not an outcome finding.</w:t>
      </w:r>
    </w:p>
    <w:p>
      <w:pPr>
        <w:pStyle w:val="SourceNote"/>
      </w:pPr>
      <w:r>
        <w:rPr>
          <w:b/>
        </w:rPr>
        <w:t>Available abstract (not full text):</w:t>
      </w:r>
      <w:r>
        <w:t xml:space="preserve"> Abstract This study investigates fluctuations in the spatial pattern of the North Atlantic Oscillation (NAO) during the Industrial Era. NAO variability was analyzed over successive 30‐year periods, clustering its spatial patterns using two metrics: the gradient (g) between its action centres and flux direction (fd). Three distinct NAO patterns were identified, each exhibiting significant implications for NAO–precipitation modulation in the North Atlantic region. Coupled Model Intercomparison Project (CMIP6) climate models were evaluated for their ability to replicate these observed patterns. While many models accurately reproduce all three patterns, they frequently misinterpret their frequencies, favouring a disproportionately stable NAO. This bias, consistent across historical, natural‐only, and greenhouse gas forcings (GHG only), as well as piControl simulations, appears intrinsic to the models. This misinterpretation is significantly reduced in ssp585 scenarios, suggesting a potential link between forcing levels and improved multidecadal NAO variability in models. The occurrence of those different NAO patterns introduces uncertainty in precipitation projections, as this bias can persist in future scenarios. These findings highlight the need for improved model representation of NAO spatial variability to enhance the reliability of precipitation projections, particularly for E</w:t>
      </w:r>
    </w:p>
    <w:p>
      <w:pPr/>
      <w:r>
        <w:rPr>
          <w:b/>
        </w:rPr>
        <w:t>POSSIBLE 2025:</w:t>
      </w:r>
      <w:r>
        <w:t xml:space="preserve"> Decadal predictions outperform climate projections in forecasting Mediterranean wintertime precipitation — https://doi.org/10.1088/1748-9326/adb59e</w:t>
      </w:r>
    </w:p>
    <w:p>
      <w:pPr/>
      <w:r>
        <w:rPr>
          <w:b/>
        </w:rPr>
        <w:t>Shared claim-specific concepts:</w:t>
      </w:r>
      <w:r>
        <w:t xml:space="preserve"> abstract, projections, precipitation, over, ensemble, climate; EU scope visible. This is a provisional connection, not an outcome finding.</w:t>
      </w:r>
    </w:p>
    <w:p>
      <w:pPr>
        <w:pStyle w:val="SourceNote"/>
      </w:pPr>
      <w:r>
        <w:rPr>
          <w:b/>
        </w:rPr>
        <w:t>Available abstract (not full text):</w:t>
      </w:r>
      <w:r>
        <w:t xml:space="preserve"> Abstract The Mediterranean region is highly sensitive to climate change, having experienced an intense warming and drying trend in recent decades. In the context of decision-making processes, there is growing interest in understanding the near-term climate evolution of this region. Climate change projections consistently indicate that Southern Europe and the Mediterranean region will undergo significantly drier conditions in the latter half of the 21st century. However, in considering the upcoming decade, a critical question arises: Are climate change projections the best product for understanding climate evolution in the near future? This is a matter of great importance for numerous stakeholders and decision-makers. In this study, using retrospective forecasts from eight decadal prediction systems contributing to the CMIP6 Decadal Climate Prediction Project and the corresponding ensemble of non-initialized simulations (historical and projections), we compare the capabilities of the state-of-the-art climate models in predicting the near-term climate anomalies of the wintertime Mediterranean region for some key quantities, also assessing the added value of initialization. Our findings indicate the superior performance of the decadal predictions, exhibiting higher skill than uninitialized historical simulations and projections, particularly over the North Atlantic subpolar gyre f</w:t>
      </w:r>
    </w:p>
    <w:p>
      <w:pPr/>
      <w:r>
        <w:rPr>
          <w:b/>
        </w:rPr>
        <w:t>POSSIBLE 2024:</w:t>
      </w:r>
      <w:r>
        <w:t xml:space="preserve"> Reversal of Projected European Summer Precipitation Decline in a Stabilizing Climate — https://doi.org/10.1029/2023gl107448</w:t>
      </w:r>
    </w:p>
    <w:p>
      <w:pPr/>
      <w:r>
        <w:rPr>
          <w:b/>
        </w:rPr>
        <w:t>Shared claim-specific concepts:</w:t>
      </w:r>
      <w:r>
        <w:t xml:space="preserve"> abstract, projections, precipitation, over, climate; EU scope visible. This is a provisional connection, not an outcome finding.</w:t>
      </w:r>
    </w:p>
    <w:p>
      <w:pPr>
        <w:pStyle w:val="SourceNote"/>
      </w:pPr>
      <w:r>
        <w:rPr>
          <w:b/>
        </w:rPr>
        <w:t>Available abstract (not full text):</w:t>
      </w:r>
      <w:r>
        <w:t xml:space="preserve"> Abstract Precipitation projections in transient climate change scenarios have been extensively studied over multiple climate model generations. Although these simulations have also been used to make projections at specific Global Warming Levels (GWLs), dedicated simulations are more appropriate to study changes in a stabilizing climate. Here, we analyze precipitation projections in six multi‐century experiments with fixed atmospheric concentrations of greenhouse gases, conducted with the UK Earth System Model and which span a range of GWLs between 1.5 and 5°C of warming. Regions are identified where the sign of precipitation trends in high‐emission transient projections is reversed in the stabilization experiments. For example, stabilization reverses a summertime precipitation decline across Europe. This precipitation recovery occurs concurrently with changes in the pattern of Atlantic sea surface temperature trends due to a slow recovery of the Atlantic Meridional Overturning Circulation in the stabilization experiments, along with changes in humidity and atmospheric circulation.</w:t>
      </w:r>
    </w:p>
    <w:p>
      <w:pPr/>
      <w:r>
        <w:rPr>
          <w:b/>
        </w:rPr>
        <w:t>POSSIBLE 2024:</w:t>
      </w:r>
      <w:r>
        <w:t xml:space="preserve"> Constraints on regional projections of mean and extreme precipitation under warming — https://doi.org/10.1073/pnas.2312400121</w:t>
      </w:r>
    </w:p>
    <w:p>
      <w:pPr/>
      <w:r>
        <w:rPr>
          <w:b/>
        </w:rPr>
        <w:t>Shared claim-specific concepts:</w:t>
      </w:r>
      <w:r>
        <w:t xml:space="preserve"> projections, precipitation, over, regional, climate; EU scope not established. This is a provisional connection, not an outcome finding.</w:t>
      </w:r>
    </w:p>
    <w:p>
      <w:pPr>
        <w:pStyle w:val="SourceNote"/>
      </w:pPr>
      <w:r>
        <w:rPr>
          <w:b/>
        </w:rPr>
        <w:t>Available abstract (not full text):</w:t>
      </w:r>
      <w:r>
        <w:t xml:space="preserve"> The projected changes in the hydrological cycle under global warming remain highly uncertain across current climate models. Here, we demonstrate that the observational past warming trend can be utilized to effectively co1nstrain future projections in mean and extreme precipitation on both global and regional scales. The physical basis for such constraints relies on the relatively constant climate sensitivity in individual models and the reasonable consistency of regional hydrological sensitivity among the models, which is dominated and regulated by the increases in atmospheric moisture. For the high-emission scenario, on the global average, the projected changes in mean precipitation are lowered from 6.9 to 5.2% and those in extreme precipitation from 24.5 to 18.1%, with the inter-model variances reduced by 31.0 and 22.7%, respectively. Moreover, the constraint can be applied to regions in middle-to-high latitudes, particularly over land. These constraints result in spatially resolved corrections that deviate substantially and inhomogeneously from the global mean corrections. This study provides regionally constrained hydrological responses over the globe, with direct implications for climate adaptation in specific areas.</w:t>
      </w:r>
    </w:p>
    <w:p>
      <w:pPr/>
      <w:r>
        <w:rPr>
          <w:b/>
        </w:rPr>
        <w:t>POSSIBLE 2024:</w:t>
      </w:r>
      <w:r>
        <w:t xml:space="preserve"> Spatial Modeling and Future Projection of Extreme Precipitation Extents — https://doi.org/10.1080/01621459.2024.2408045</w:t>
      </w:r>
    </w:p>
    <w:p>
      <w:pPr/>
      <w:r>
        <w:rPr>
          <w:b/>
        </w:rPr>
        <w:t>Shared claim-specific concepts:</w:t>
      </w:r>
      <w:r>
        <w:t xml:space="preserve"> projections, precipitation, extremes, climate; EU scope not established. This is a provisional connection, not an outcome finding.</w:t>
      </w:r>
    </w:p>
    <w:p>
      <w:pPr>
        <w:pStyle w:val="SourceNote"/>
      </w:pPr>
      <w:r>
        <w:rPr>
          <w:b/>
        </w:rPr>
        <w:t>Available abstract (not full text):</w:t>
      </w:r>
      <w:r>
        <w:t xml:space="preserve"> Extreme precipitation events with large spatial extents may have more severe impacts than localized events as they can lead to widespread flooding. It is debated how climate change may affect the spatial extent of precipitation extremes, whose investigation often directly relies on simulations of precipitation from climate models. Here, we use a different strategy to investigate how future changes in spatial extents of precipitation extremes differ across climate zones and seasons in two river basins (Danube and Mississippi). We rely on observed precipitation extremes while exploiting a physics-based average-temperature covariate, enabling us to project future precipitation extents based on projected temperatures. We include the covariate into newly developed time-varying r-Pareto processes using suitably chosen spatial risk functionals r. This model captures temporal non-stationarity in the spatial dependence structure of precipitation extremes by linking it to the temperature covariate, derived from reanalysis data (ERA5-Land) for model calibration and from bias-corrected climate simulations (CMIP6) for projections. Our results show an increasing trend in the margins, with both significantly positive or negative trend coefficients depending on season and river (sub-)basin. During major rainy seasons, the significant trends indicate that future spatial extreme events will beco</w:t>
      </w:r>
    </w:p>
    <w:p>
      <w:pPr/>
      <w:r>
        <w:rPr>
          <w:b/>
        </w:rPr>
        <w:t>POSSIBLE 2023:</w:t>
      </w:r>
      <w:r>
        <w:t xml:space="preserve"> Historical assessment and future projection of extreme precipitation in CMIP6 models: Global and continental — https://doi.org/10.1002/joc.8077</w:t>
      </w:r>
    </w:p>
    <w:p>
      <w:pPr/>
      <w:r>
        <w:rPr>
          <w:b/>
        </w:rPr>
        <w:t>Shared claim-specific concepts:</w:t>
      </w:r>
      <w:r>
        <w:t xml:space="preserve"> abstract, precipitation, over, ensemble, climate, pathway; EU scope visible. This is a provisional connection, not an outcome finding.</w:t>
      </w:r>
    </w:p>
    <w:p>
      <w:pPr>
        <w:pStyle w:val="SourceNote"/>
      </w:pPr>
      <w:r>
        <w:rPr>
          <w:b/>
        </w:rPr>
        <w:t>Available abstract (not full text):</w:t>
      </w:r>
      <w:r>
        <w:t xml:space="preserve"> Abstract In this study, the new gridded daily precipitation dataset REGEN (Rainfall Estimates on a Gridded Network) was used to verify the performance of 23 global climate models participating in the 6th phase of the Coupled Model Intercomparison Project (CMIP6) in terms of extreme precipitation over global and continents during 1950–2014. Projected changes were also evaluated using CMIP6 multi‐model ensemble (MME) under different Shared Socioeconomic Pathway (SSP) by the end of the 21st century. Although positive biases exist in the climatology of most extreme precipitation indices simulated by the CMIP6 MME compared with observations, most of the CMIP6 models can reproduce the spatial distribution characteristics and temporal evolution trends of global extreme precipitation. The simulation is improved by using the CMIP6 MME, relative to the results from individual models. The projected results showed that in most regions of the world, extreme precipitation will significantly increase in the future, with more significant increase under higher SSPs. By the end of the 21st century, total precipitation of wet days (PRCPTOT), simple daily intensity (SDII), the number of very heavy rain days (R20mm), maximum 1‐day precipitation (Rx1day) and maximum consecutive 5‐day precipitation (Rx5day) over the global will increase by up to 50%, 20%, 70%, 50% and 50%, respectively, under the SSP</w:t>
      </w:r>
    </w:p>
    <w:p>
      <w:pPr/>
      <w:r>
        <w:rPr>
          <w:b/>
        </w:rPr>
        <w:t>POSSIBLE 2023:</w:t>
      </w:r>
      <w:r>
        <w:t xml:space="preserve"> An assessment of CMIP6 climate signals and biases in temperature, precipitation and soil moisture over Europe — https://doi.org/10.1002/joc.8169</w:t>
      </w:r>
    </w:p>
    <w:p>
      <w:pPr/>
      <w:r>
        <w:rPr>
          <w:b/>
        </w:rPr>
        <w:t>Shared claim-specific concepts:</w:t>
      </w:r>
      <w:r>
        <w:t xml:space="preserve"> abstract, projections, precipitation, over, ensemble, regional; EU scope visible. This is a provisional connection, not an outcome finding.</w:t>
      </w:r>
    </w:p>
    <w:p>
      <w:pPr>
        <w:pStyle w:val="SourceNote"/>
      </w:pPr>
      <w:r>
        <w:rPr>
          <w:b/>
        </w:rPr>
        <w:t>Available abstract (not full text):</w:t>
      </w:r>
      <w:r>
        <w:t xml:space="preserve"> Abstract The CMIP6 projections constitute the basis of our latest understanding of the climate response to anthropogenic forcing. However, there is still considerable uncertainty in the projections, especially at the regional scale. One way to constrain the uncertainty is by comparing the models historical climate change signals against observations and investigate the physical reasons for divergences. Here, we assess the signal‐to‐noise ratio (S/N) of surface air temperature (SAT), precipitation (PREC) and soil moisture (SM) over Europe for a set of CMIP6 historical simulations and compare them against the E‐OBS observational product and the ERA5 reanalysis. We found considerable divergences between the CMIP6 ensemble mean S/N and that of E‐OBS and ERA5, as well as between ERA5 and E‐OBS. The latter indicates that the S/N is affected by data coverage. We show that the differences among model signals are associated with different atmospheric circulation responses. We also investigate the potential relationships between the models' signals and climatological biases, and we found evidence that the models with a warm climatological bias in southern Europe tend to have smaller SAT signals (warm less). Finally, we found no apparent relationship between SM biases and the warming signal, suggesting that the mechanism by which SM–atmosphere interactions affect climate variability does </w:t>
      </w:r>
    </w:p>
    <w:p>
      <w:pPr/>
      <w:r>
        <w:rPr>
          <w:b/>
        </w:rPr>
        <w:t>POSSIBLE 2023:</w:t>
      </w:r>
      <w:r>
        <w:t xml:space="preserve"> Assessment of Precipitation and Hydrological Droughts in South America through Statistically Downscaled CMIP6 Projections — https://doi.org/10.3390/cli11080166</w:t>
      </w:r>
    </w:p>
    <w:p>
      <w:pPr/>
      <w:r>
        <w:rPr>
          <w:b/>
        </w:rPr>
        <w:t>Shared claim-specific concepts:</w:t>
      </w:r>
      <w:r>
        <w:t xml:space="preserve"> projections, precipitation, over, continent, climate; EU scope not established. This is a provisional connection, not an outcome finding.</w:t>
      </w:r>
    </w:p>
    <w:p>
      <w:pPr>
        <w:pStyle w:val="SourceNote"/>
      </w:pPr>
      <w:r>
        <w:rPr>
          <w:b/>
        </w:rPr>
        <w:t>Available abstract (not full text):</w:t>
      </w:r>
      <w:r>
        <w:t xml:space="preserve"> Drought events are critical environmental threats that yield several socioeconomic impacts. Such effects are even more relevant for South America (SA) since different activities essential for the continent, such as agriculture and energy generation, depend highly on water resources. Thus, this study aimed to evaluate future changes in precipitation and hydrological drought occurrence in SA through climate projections from eight global climate models (GCMs) of CMIP6. To this end, statistical downscaling was applied to the projections obtained using the quantile delta mapping technique, and the method proved to be efficient in reducing systematic biases and preserving GCMs’ trends. For the following decades, the results show considerable and statistically significant reductions in precipitation over most of SA, especially during the austral spring, with the most intense signal under the SSP5-8.5 forcing scenario. Furthermore, GCMs showed mixed signals about projections of the frequency and intensity of drought events. Still, they indicated agreement regarding the increased duration and severity of events over the continent and a substantial proportion of moderate and severe events over most of Brazil during the 21st century. These results can be helpful for better management of water resources by decision-makers and energy planners.</w:t>
      </w:r>
    </w:p>
    <w:p>
      <w:pPr/>
      <w:r>
        <w:rPr>
          <w:b/>
        </w:rPr>
        <w:t>POSSIBLE 2022:</w:t>
      </w:r>
      <w:r>
        <w:t xml:space="preserve"> The Role of the North Atlantic Oscillation for Projections of Winter Mean Precipitation in Europe — https://doi.org/10.1029/2022gl099083</w:t>
      </w:r>
    </w:p>
    <w:p>
      <w:pPr/>
      <w:r>
        <w:rPr>
          <w:b/>
        </w:rPr>
        <w:t>Shared claim-specific concepts:</w:t>
      </w:r>
      <w:r>
        <w:t xml:space="preserve"> abstract, projections, precipitation, extremes, multimodel, ensemble; EU scope visible. This is a provisional connection, not an outcome finding.</w:t>
      </w:r>
    </w:p>
    <w:p>
      <w:pPr>
        <w:pStyle w:val="SourceNote"/>
      </w:pPr>
      <w:r>
        <w:rPr>
          <w:b/>
        </w:rPr>
        <w:t>Available abstract (not full text):</w:t>
      </w:r>
      <w:r>
        <w:t xml:space="preserve"> Abstract Climate models generally project an increase in the winter North Atlantic Oscillation (NAO) index under a future high‐emissions scenario, alongside an increase in winter precipitation in northern Europe and a decrease in southern Europe. The extent to which future forced NAO trends are important for European winter precipitation trends and their uncertainty remains unclear. We show using the Multimodel Large Ensemble Archive that the NAO plays a small role in northern European mean winter precipitation projections for 2080–2099. Conversely, half of the model uncertainty in southern European mean winter precipitation projections is potentially reducible through improved understanding of the NAO projections. Extreme positive NAO winters increase in frequency in most models as a consequence of mean NAO changes. These extremes also have more severe future precipitation impacts, largely because of mean precipitation changes. This has implications for future resilience to extreme positive NAO winters, which frequently have severe societal impacts.</w:t>
      </w:r>
    </w:p>
    <w:p>
      <w:pPr>
        <w:pStyle w:val="Heading2"/>
      </w:pPr>
      <w:r>
        <w:t>807. Realising transition pathways for a more electric, low-carbon energy system in the United Kingdom: Challenges, insights and opportunities</w:t>
      </w:r>
    </w:p>
    <w:p>
      <w:pPr>
        <w:pStyle w:val="SourceNote"/>
      </w:pPr>
      <w:r>
        <w:rPr>
          <w:b/>
        </w:rPr>
        <w:t>Original source (2017):</w:t>
      </w:r>
      <w:r>
        <w:t xml:space="preserve"> https://doi.org/10.1177/0957650917695448</w:t>
      </w:r>
    </w:p>
    <w:p>
      <w:pPr/>
      <w:r>
        <w:t>Original wording (abstract; indexed_source_text_not_full_document_verified): The United Kingdom has placed itself on a transition towards a low-carbon economy and society, through the imposition of a legally-binding goal aimed at reducing its ‘greenhouse gas’ emissions by 80% by 2050 against a 1990 baseline. This provided a basis for integrating the analysis within a whole systems framework of electricity system development, together with the evaluation of future economic benefits, costs and uncertainties.</w:t>
      </w:r>
    </w:p>
    <w:p>
      <w:pPr/>
      <w:r>
        <w:rPr>
          <w:b/>
        </w:rPr>
        <w:t>POSSIBLE 2026:</w:t>
      </w:r>
      <w:r>
        <w:t xml:space="preserve"> Open-Source AI and Market Competition: Why the United Kingdom Is Well Placed to Promote Openness as Competition Policy — https://doi.org/10.2139/ssrn.7431620</w:t>
      </w:r>
    </w:p>
    <w:p>
      <w:pPr/>
      <w:r>
        <w:rPr>
          <w:b/>
        </w:rPr>
        <w:t>Shared claim-specific concepts:</w:t>
      </w:r>
      <w:r>
        <w:t xml:space="preserve"> united, kingdom, placed; EU scope not established. This is a provisional connection, not an outcome finding.</w:t>
      </w:r>
    </w:p>
    <w:p>
      <w:pPr>
        <w:pStyle w:val="SourceNote"/>
      </w:pPr>
      <w:r>
        <w:rPr>
          <w:b/>
        </w:rPr>
        <w:t>Available abstract (not full text):</w:t>
      </w:r>
      <w:r>
        <w:t xml:space="preserve"> Unavailable</w:t>
      </w:r>
    </w:p>
    <w:p>
      <w:pPr/>
      <w:r>
        <w:rPr>
          <w:b/>
        </w:rPr>
        <w:t>POSSIBLE 2026:</w:t>
      </w:r>
      <w:r>
        <w:t xml:space="preserve"> The Law of Treaty Withdrawal in the United Kingdom — https://doi.org/10.4324/9781003712633-7</w:t>
      </w:r>
    </w:p>
    <w:p>
      <w:pPr/>
      <w:r>
        <w:rPr>
          <w:b/>
        </w:rPr>
        <w:t>Shared claim-specific concepts:</w:t>
      </w:r>
      <w:r>
        <w:t xml:space="preserve"> united, kingdom, placed, framework; EU scope visible. This is a provisional connection, not an outcome finding.</w:t>
      </w:r>
    </w:p>
    <w:p>
      <w:pPr>
        <w:pStyle w:val="SourceNote"/>
      </w:pPr>
      <w:r>
        <w:rPr>
          <w:b/>
        </w:rPr>
        <w:t>Available abstract (not full text):</w:t>
      </w:r>
      <w:r>
        <w:t xml:space="preserve"> Constitutional law in the United Kingdom has traditionally placed processes relating to international treaties in the hands of the executive. Although there has been considerable political pressure and reform of the process surrounding the ratification of treaties, until R (Miller) v Secretary of State for Exiting the European Union , the process surrounding treaty withdrawal had not been given as much attention. This chapter analyses the approach in UK constitutional law to treaty withdrawal and assesses how this interacts with the law of treaty withdrawal on the international plane. Drawing on comparative case studies from other jurisdictions, international case law, and the experience of the Brexit process, it is shown how treaty withdrawal should not simply be treated as the inverse of treaty ratification in domestic law. The first section of this chapter assesses how the decision to denounce a treaty on the international plane is made. The second section looks at the domestic legal framework on treaties, which highlights the paucity of controls in respect of treaty withdrawal. The final part of this chapter sets out the case for reforming domestic law in relation to treaty withdrawal, in relation to both incorporated and unincorporated treaties, highlighting the gaps in relation to the protection of rights and the tensions that this could raise with the devolved parliament</w:t>
      </w:r>
    </w:p>
    <w:p>
      <w:pPr/>
      <w:r>
        <w:rPr>
          <w:b/>
        </w:rPr>
        <w:t>POSSIBLE 2025:</w:t>
      </w:r>
      <w:r>
        <w:t xml:space="preserve"> United Kingdom — https://doi.org/10.1093/9780197758847.003.0031</w:t>
      </w:r>
    </w:p>
    <w:p>
      <w:pPr/>
      <w:r>
        <w:rPr>
          <w:b/>
        </w:rPr>
        <w:t>Shared claim-specific concepts:</w:t>
      </w:r>
      <w:r>
        <w:t xml:space="preserve"> united, kingdom, placed, within; EU scope not established. This is a provisional connection, not an outcome finding.</w:t>
      </w:r>
    </w:p>
    <w:p>
      <w:pPr>
        <w:pStyle w:val="SourceNote"/>
      </w:pPr>
      <w:r>
        <w:rPr>
          <w:b/>
        </w:rPr>
        <w:t>Available abstract (not full text):</w:t>
      </w:r>
      <w:r>
        <w:t xml:space="preserve"> Abstract Improving outcomes for care leavers has been high on the policy agenda across the United Kingdom. This chapter provides a synopsis of these developments, which are oriented toward facilitating more extended and gradual transitions into adulthood and include statutory duties to assess youth’s support needs, allocate a personal adviser (aftercare worker) to provide or coordinate support, offer extended foster care post-18 (and extended residential placements in Scotland), and offer access to aftercare support up to 25 (or 26 years in Scotland). Drawing on a rich body of research in each nation, including participatory and coproduced studies with care experienced youth, findings illuminate significant gaps in implementation of reforms and the persistence of inequalities in outcomes within the care experienced community, and compared to the general population. Barriers to implementation include budget constraints, a shortage of suitable accommodation, high thresholds for access to services;, and limited investment to support implementation of reforms and to facilitate a cultural shift away from practice focused on preparing youth to be “independent” and toward broader support for interdependence in early adulthood. The situation in the United Kingdom highlights that legislation and policy guidance are not sufficient in themselves. At the micro level greater emphasis needs </w:t>
      </w:r>
    </w:p>
    <w:p>
      <w:pPr/>
      <w:r>
        <w:rPr>
          <w:b/>
        </w:rPr>
        <w:t>POSSIBLE 2025:</w:t>
      </w:r>
      <w:r>
        <w:t xml:space="preserve"> The United Kingdom — https://doi.org/10.1017/9781009665872.008</w:t>
      </w:r>
    </w:p>
    <w:p>
      <w:pPr/>
      <w:r>
        <w:rPr>
          <w:b/>
        </w:rPr>
        <w:t>Shared claim-specific concepts:</w:t>
      </w:r>
      <w:r>
        <w:t xml:space="preserve"> united, kingdom, within; EU scope not established. This is a provisional connection, not an outcome finding.</w:t>
      </w:r>
    </w:p>
    <w:p>
      <w:pPr>
        <w:pStyle w:val="SourceNote"/>
      </w:pPr>
      <w:r>
        <w:rPr>
          <w:b/>
        </w:rPr>
        <w:t>Available abstract (not full text):</w:t>
      </w:r>
      <w:r>
        <w:t xml:space="preserve"> This chapter explores the pronounced divide in England’s environmental and social policy implementation, painting a highly diverse picture of policy triage across organizations. The Environment Agency, initially envisaged as an integrated “one-stop shop,” now exemplifies frequent and severe triage. Chronic underfunding, staff attrition, and politically induced blame-shifting in combination with ever-increasing workloads undermine its monitoring, enforcement, and crisis-preparedness functions. In contrast, most local authorities sustain only moderate triage levels, where increasing implementations tasks are mitigated by a broader range of financing avenues and political networks. In the social sector, the Department for Work and Pensions displays striking levels of triage despite minimal formal policy growth, as unrelenting welfare reforms, departmental downsizing, and inadequate cross-agency collaboration spur severe and frequent trade-offs. Meanwhile, The Pensions Regulator remains a near-anomaly, effectively managing regulatory expansion. The English case study thus underscores how variation in blame-shifting, opportunities for resource mobilization, and organizational overload compensation can yield a highly diverse triage scenario — even within a country.</w:t>
      </w:r>
    </w:p>
    <w:p>
      <w:pPr/>
      <w:r>
        <w:rPr>
          <w:b/>
        </w:rPr>
        <w:t>POSSIBLE 2025:</w:t>
      </w:r>
      <w:r>
        <w:t xml:space="preserve"> New developments in optometric training in the United Kingdom — https://doi.org/10.1080/08164622.2024.2448242</w:t>
      </w:r>
    </w:p>
    <w:p>
      <w:pPr/>
      <w:r>
        <w:rPr>
          <w:b/>
        </w:rPr>
        <w:t>Shared claim-specific concepts:</w:t>
      </w:r>
      <w:r>
        <w:t xml:space="preserve"> united, kingdom, placed, systems, framework; EU scope not established. This is a provisional connection, not an outcome finding.</w:t>
      </w:r>
    </w:p>
    <w:p>
      <w:pPr>
        <w:pStyle w:val="SourceNote"/>
      </w:pPr>
      <w:r>
        <w:rPr>
          <w:b/>
        </w:rPr>
        <w:t>Available abstract (not full text):</w:t>
      </w:r>
      <w:r>
        <w:t xml:space="preserve"> With optometrists well placed to address the challenges and opportunities faced by contemporary eye care systems, it is ever more important to understand the genesis and development of the profession, so that optometrists can continue to build on this legacy for patient benefit. While the optometry profession of optometry in the United Kingdom can arguably trace its foundation back to 1629 and the Royal Charter gifted by Charles I to the Worshipful Company of Spectacle Makers to establish the 60th Livery Company of the City of London, the genesis of optometry as an independent profession (initially known as ‘ophthalmic optics’) can perhaps best be attributed to the formation of the British Optical Association in 1895. This paper reviews the current legal framework and recent changes that dictates how the optometry profession are trained and practice, along with clinical and educational innovations that are shaping the future role of the profession.</w:t>
      </w:r>
    </w:p>
    <w:p>
      <w:pPr/>
      <w:r>
        <w:rPr>
          <w:b/>
        </w:rPr>
        <w:t>POSSIBLE 2024:</w:t>
      </w:r>
      <w:r>
        <w:t xml:space="preserve"> Teaching-Track Economists in the United Kingdom — https://doi.org/10.1257/pandp.20241034</w:t>
      </w:r>
    </w:p>
    <w:p>
      <w:pPr/>
      <w:r>
        <w:rPr>
          <w:b/>
        </w:rPr>
        <w:t>Shared claim-specific concepts:</w:t>
      </w:r>
      <w:r>
        <w:t xml:space="preserve"> united, kingdom, placed; EU scope not established. This is a provisional connection, not an outcome finding.</w:t>
      </w:r>
    </w:p>
    <w:p>
      <w:pPr>
        <w:pStyle w:val="SourceNote"/>
      </w:pPr>
      <w:r>
        <w:rPr>
          <w:b/>
        </w:rPr>
        <w:t>Available abstract (not full text):</w:t>
      </w:r>
      <w:r>
        <w:t xml:space="preserve"> In this companion paper to Arico et al (2024), we use a mixed-methods approach to characterize teaching-track faculty positions in the United Kingdom. We find these roles are more prevalent in the United Kingdom compared to the United States or Canada, and notably more oriented toward scholarship and administration duties. A high value is placed by role holders on the existence of formal networks that connect teaching-track economists across universities. We provide some context to help understand these findings, which will be relevant for academics considering these roles as well as department and university leaders.</w:t>
      </w:r>
    </w:p>
    <w:p>
      <w:pPr/>
      <w:r>
        <w:rPr>
          <w:b/>
        </w:rPr>
        <w:t>POSSIBLE 2024:</w:t>
      </w:r>
      <w:r>
        <w:t xml:space="preserve"> Racialization and Sexual Modernity in the United Kingdom — https://doi.org/10.1215/10642684-11331018</w:t>
      </w:r>
    </w:p>
    <w:p>
      <w:pPr/>
      <w:r>
        <w:rPr>
          <w:b/>
        </w:rPr>
        <w:t>Shared claim-specific concepts:</w:t>
      </w:r>
      <w:r>
        <w:t xml:space="preserve"> united, kingdom, placed, against, systems; EU scope visible. This is a provisional connection, not an outcome finding.</w:t>
      </w:r>
    </w:p>
    <w:p>
      <w:pPr>
        <w:pStyle w:val="SourceNote"/>
      </w:pPr>
      <w:r>
        <w:rPr>
          <w:b/>
        </w:rPr>
        <w:t>Available abstract (not full text):</w:t>
      </w:r>
      <w:r>
        <w:t xml:space="preserve"> Sita Balani's first single-authored monograph, Deadly and Slick: Sexual Modernity and the Making of Race, is an exploration of the co-constitution of race and sexuality primarily based on the British Empire and contemporary United Kingdom. The title derives from the description by Cedric J. Robinson (2007: 4) that “race is mercurial—deadly and slick” in the book Forgeries of Memory and Meaning. Grounded in the tradition of British cultural studies, the book is divided into eight chapters, arguing that it is the co-imbrication of the development and management of sexual modernity and racialization that gives race its “slickness” and durability. Many scholars like Kimberlé Crenshaw (1991), Anjali Arondekar (2009), Ann Laura Stoler (2010), and Maria Lugones (2007) have argued that gender and race are co-constitutive in their productions and should not be taken as discrete categories of analysis, so this work seems to be a contribution to a well-established field of feminist scholarship. Deadly and Slick is well suited for undergraduate curriculums as an introduction to questions of gender, sexual modernity, and racialization.Balani relies on literary fiction, Netflix series, and secondary historical texts to present a cultural critique of shifting racial-gendered formations, swiftly moving across different sites and time periods. The book begins with sexual modernity as rooted in </w:t>
      </w:r>
    </w:p>
    <w:p>
      <w:pPr/>
      <w:r>
        <w:rPr>
          <w:b/>
        </w:rPr>
        <w:t>POSSIBLE 2023:</w:t>
      </w:r>
      <w:r>
        <w:t xml:space="preserve"> FORWARD Study of GORE VIABAHN Balloon-Expandable Endoprostheses and Bare Metal Stents in the United States, European Union, United Kingdom, Australia, and New Zealand When Placed to Treat Complex Iliac Occlusive Disease: Protocol for a Randomized Superiority Trial — https://doi.org/10.2196/51480</w:t>
      </w:r>
    </w:p>
    <w:p>
      <w:pPr/>
      <w:r>
        <w:rPr>
          <w:b/>
        </w:rPr>
        <w:t>Shared claim-specific concepts:</w:t>
      </w:r>
      <w:r>
        <w:t xml:space="preserve"> united, kingdom, placed, baseline; EU scope visible. This is a provisional connection, not an outcome finding.</w:t>
      </w:r>
    </w:p>
    <w:p>
      <w:pPr>
        <w:pStyle w:val="SourceNote"/>
      </w:pPr>
      <w:r>
        <w:rPr>
          <w:b/>
        </w:rPr>
        <w:t>Available abstract (not full text):</w:t>
      </w:r>
      <w:r>
        <w:t xml:space="preserve"> BACKGROUND: The recommendations for the use of and selection of covered stent grafts in patients with aortoiliac occlusive disease are limited. OBJECTIVE: The GORE VBX FORWARD clinical study aims to demonstrate the superiority of the GORE VIABAHN VBX Balloon Expandable Endoprosthesis (VBX device) for primary patency when compared to bare metal stenting (BMS) for the treatment of complex iliac artery occlusive disease. METHODS: A prospective, multicenter, randomized control study in the United States, European Union, United Kingdom, Australia, and New Zealand will enroll patients with symptomatic, complex iliac artery occlusive disease. In this study, iliac artery occlusive disease is defined as a unilateral or bilateral disease with single or multiple lesions (with &gt;50% stenosis or chronic total occlusion) each between 4 and 11 cm in length. In an attempt to more closely match real-world practices, patients with minor tissue loss (Rutherford class 5) and patients requiring hemodialysis will be included. Baseline aortoiliac angiography will be performed to assess target lesion characteristics and determine final patient eligibility. Once the patient is confirmed and guidewires are in place across the target lesions, the patient will be randomized in a 1:1 format to treatment with either the VBX device or a BMS. The BMS can be balloon- or self-expanding and must be approved for t</w:t>
      </w:r>
    </w:p>
    <w:p>
      <w:pPr/>
      <w:r>
        <w:rPr>
          <w:b/>
        </w:rPr>
        <w:t>POSSIBLE 2023:</w:t>
      </w:r>
      <w:r>
        <w:t xml:space="preserve"> Hybrid warfare management of the United Kingdom — https://doi.org/10.5937/nabepo28-43140</w:t>
      </w:r>
    </w:p>
    <w:p>
      <w:pPr/>
      <w:r>
        <w:rPr>
          <w:b/>
        </w:rPr>
        <w:t>Shared claim-specific concepts:</w:t>
      </w:r>
      <w:r>
        <w:t xml:space="preserve"> united, kingdom, placed, within; EU scope not established. This is a provisional connection, not an outcome finding.</w:t>
      </w:r>
    </w:p>
    <w:p>
      <w:pPr>
        <w:pStyle w:val="SourceNote"/>
      </w:pPr>
      <w:r>
        <w:rPr>
          <w:b/>
        </w:rPr>
        <w:t>Available abstract (not full text):</w:t>
      </w:r>
      <w:r>
        <w:t xml:space="preserve"> The United Kingdom achieves national security by acting in accordance with the Fusion Doctrine, as a new approach to national security that should ensure the integration of all resources of national power. The Fusion Doctrine was officially accepted in 2021 within the new national security strategy. The new strategy integrated defence, security and foreign policies into a single act which reflects the Fusion Doctrine in the best manner. The new approach to security led to organizational changes of the entire state administration system, as well as within individual departments. Special emphasis was placed on the efficient coordination of the complex state apparatus.</w:t>
      </w:r>
    </w:p>
    <w:p>
      <w:pPr/>
      <w:r>
        <w:rPr>
          <w:b/>
        </w:rPr>
        <w:t>POSSIBLE 2023:</w:t>
      </w:r>
      <w:r>
        <w:t xml:space="preserve"> United Kingdom — https://doi.org/10.5089/9798400248627.002</w:t>
      </w:r>
    </w:p>
    <w:p>
      <w:pPr/>
      <w:r>
        <w:rPr>
          <w:b/>
        </w:rPr>
        <w:t>Shared claim-specific concepts:</w:t>
      </w:r>
      <w:r>
        <w:t xml:space="preserve"> united, kingdom, transition, against; EU scope not established. This is a provisional connection, not an outcome finding.</w:t>
      </w:r>
    </w:p>
    <w:p>
      <w:pPr>
        <w:pStyle w:val="SourceNote"/>
      </w:pPr>
      <w:r>
        <w:rPr>
          <w:b/>
        </w:rPr>
        <w:t>Available abstract (not full text):</w:t>
      </w:r>
      <w:r>
        <w:t xml:space="preserve"> The 2023 Article IV Consultation with the United Kingdom discusses that market stress following the September 2022 “mini-budget” has dissipated, in the context of a successful financial stability intervention by the Bank of England (BoE) and two prudent budgets. The post-pandemic recovery was disrupted by the sharp energy price shock due to Russia’s war in Ukraine; labor force participation has declined, mainly because of rising long-term illness; and large policy rate increases—needed to arrest high and sticky inflation—have tightened financial conditions. The overarching policy objectives are price and financial stability, while reforming the fiscal and financial frameworks, and boosting sustainable, medium-term growth. Monetary Policy will need to be tightened further to arrest inflationary pressures, which have shown greater-than-expected persistence, and durably bring inflation to the 2 percent target. Fiscal Policy should remain aligned with monetary policy in the fight against inflation and account for very significant medium-term pressures related to service delivery (especially healthcare), and needed investments in skills, innovation, infrastructure, and the green transition.</w:t>
      </w:r>
    </w:p>
    <w:p>
      <w:pPr/>
      <w:r>
        <w:rPr>
          <w:b/>
        </w:rPr>
        <w:t>POSSIBLE 2023:</w:t>
      </w:r>
      <w:r>
        <w:t xml:space="preserve"> Carbon footprint of low-energy buildings in the United Kingdom: Effects of mitigating technological pathways and decarbonization strategies — https://doi.org/10.1016/j.scitotenv.2023.163490</w:t>
      </w:r>
    </w:p>
    <w:p>
      <w:pPr/>
      <w:r>
        <w:rPr>
          <w:b/>
        </w:rPr>
        <w:t>Shared claim-specific concepts:</w:t>
      </w:r>
      <w:r>
        <w:t xml:space="preserve"> united, kingdom, greenhouse, gas, emissions, baseline; EU scope not established. This is a provisional connection, not an outcome finding.</w:t>
      </w:r>
    </w:p>
    <w:p>
      <w:pPr>
        <w:pStyle w:val="SourceNote"/>
      </w:pPr>
      <w:r>
        <w:rPr>
          <w:b/>
        </w:rPr>
        <w:t>Available abstract (not full text):</w:t>
      </w:r>
      <w:r>
        <w:t xml:space="preserve"> There is a limited comprehensive analysis of the effectiveness of adopted carbon mitigation strategies for buildings over their life cycle, that are concerned with temporal perspectives of emissions. Accordingly, this paper explores a life cycle assessment (LCA) to address the concerns regarding mitigating the carbon footprint of a UK timber-frame low-energy dwelling. In particular, it aims to investigate the potential greenhouse gas (GHG) emission reduction in terms of three different heating and ventilation options, and to analyze the influence of decarbonization of electricity production as well as the technological progress of the waste treatment of timber on the building's environmental performance. Thus, the whole life‑carbon of the building case studies was evaluated for a total of eight investigated prospective scenarios, and they were compared to the LCA results of the baseline scenario, where the existing technology and context remained constant over time. Results show that using a compact heat pump would lead to a significant whole life-cycle emission reduction of the dwelling, by 19 %; while GHG emission savings can be reinforced if the assessed systems are employed simultaneously with grid decarbonization, exhibiting a 25 %-60 % reduction compared to the baseline scenario. Moreover, technological changes in the waste treatments of timber products could substantiall</w:t>
      </w:r>
    </w:p>
    <w:p>
      <w:pPr/>
      <w:r>
        <w:rPr>
          <w:b/>
        </w:rPr>
        <w:t>POSSIBLE 2023:</w:t>
      </w:r>
      <w:r>
        <w:t xml:space="preserve"> Determinants of public preferences on low-carbon energy sources: Evidence from the United Kingdom — https://doi.org/10.1016/j.energy.2023.128704</w:t>
      </w:r>
    </w:p>
    <w:p>
      <w:pPr/>
      <w:r>
        <w:rPr>
          <w:b/>
        </w:rPr>
        <w:t>Shared claim-specific concepts:</w:t>
      </w:r>
      <w:r>
        <w:t xml:space="preserve"> united, kingdom, low-carbon; EU scope not established. This is a provisional connection, not an outcome finding.</w:t>
      </w:r>
    </w:p>
    <w:p>
      <w:pPr>
        <w:pStyle w:val="SourceNote"/>
      </w:pPr>
      <w:r>
        <w:rPr>
          <w:b/>
        </w:rPr>
        <w:t>Available abstract (not full text):</w:t>
      </w:r>
      <w:r>
        <w:t xml:space="preserve"> Unavailable</w:t>
      </w:r>
    </w:p>
    <w:p>
      <w:pPr>
        <w:pStyle w:val="Heading2"/>
      </w:pPr>
      <w:r>
        <w:t>808. Scenarios for Chemistry Teacher Training and Practice in Romania in 2030: Views of Chemistry Students</w:t>
      </w:r>
    </w:p>
    <w:p>
      <w:pPr>
        <w:pStyle w:val="SourceNote"/>
      </w:pPr>
      <w:r>
        <w:rPr>
          <w:b/>
        </w:rPr>
        <w:t>Original source (2017):</w:t>
      </w:r>
      <w:r>
        <w:t xml:space="preserve"> https://doi.org/10.13187/ejced.2017.4.797</w:t>
      </w:r>
    </w:p>
    <w:p>
      <w:pPr/>
      <w:r>
        <w:t>Original wording (abstract; indexed_source_text_not_full_document_verified): Four scenarios regarding Chemistry teacher training and practice in Romania in 2030 were developed by using the 2x2 matrix design for scenario writing.The two driving forces taken in account for the design of scenarios were migration and consumerism.In two of the proposed scenarios teachers are trained to teach socioscientific courses at class.One aim of this study was to collect Chemistry students' views on the developed scenarios for Chemistry teacher training and practice in Romania in 2030.From the N=111 students tested, 51.35 % of students selected the most auspicious scenario as the scenario for teacher training and practice in 2030, a scenario which did not include teaching socioscientific courses at class.This result was confirmed to be statistically significant by the Kruskal-Wallis test (p&lt;0.01)and the Mann-Whitney U test (p &lt; 0.01).This made us wonder if the students are aware of the consequences in time of migration and consumerism and if a more comprehensive study was necessary, to identify the predictors for their selection of scenarios.</w:t>
      </w:r>
    </w:p>
    <w:p>
      <w:pPr/>
      <w:r>
        <w:rPr>
          <w:b/>
        </w:rPr>
        <w:t>POSSIBLE 2026:</w:t>
      </w:r>
      <w:r>
        <w:t xml:space="preserve"> The Current Landscape of Ophthalmology Training in Europe — https://doi.org/10.7759/cureus.103487</w:t>
      </w:r>
    </w:p>
    <w:p>
      <w:pPr/>
      <w:r>
        <w:rPr>
          <w:b/>
        </w:rPr>
        <w:t>Shared claim-specific concepts:</w:t>
      </w:r>
      <w:r>
        <w:t xml:space="preserve"> four, training, practice, two; EU scope visible. This is a provisional connection, not an outcome finding.</w:t>
      </w:r>
    </w:p>
    <w:p>
      <w:pPr>
        <w:pStyle w:val="SourceNote"/>
      </w:pPr>
      <w:r>
        <w:rPr>
          <w:b/>
        </w:rPr>
        <w:t>Available abstract (not full text):</w:t>
      </w:r>
      <w:r>
        <w:t xml:space="preserve"> Ophthalmology training across Europe has undergone a significant transformation over the last two decades. Although individual countries retain distinct systems for resident recruitment, training structure, and surgical exposure, the overarching goal has been to converge toward competency-based education guided by the European Board of Ophthalmology (EBO) and the European Union of Medical Specialists (UEMS). This narrative review draws on official EBO and UEMS policy documents, recent peer-reviewed literature, national curricula, and surveys of residents and educators. It examines the structure and duration of training, curriculum reforms, surgical exposure, simulation, fellowship opportunities, and the influence of European legislation on professional mobility. Residency programs in Europe vary in length from four to six years, with considerable heterogeneity in surgical case volume, fellowship opportunities, and access to simulation. The 2024 European Training Requirements (ETR) introduced Entrustable Professional Activities (EPAs), programmatic assessment, and e-portfolios, providing a common reference for national curricula. The EBO Diploma (EBOD) serves as a recognized benchmark for harmonization. Simulation-based cataract training has moved from optional to integral, though adoption remains inconsistent. Pressures such as the European Working Time Directive (EWTD) and the</w:t>
      </w:r>
    </w:p>
    <w:p>
      <w:pPr/>
      <w:r>
        <w:rPr>
          <w:b/>
        </w:rPr>
        <w:t>POSSIBLE 2026:</w:t>
      </w:r>
      <w:r>
        <w:t xml:space="preserve"> The 11th European variety in university chemistry education (EuroVariety) 2025 conference in Kraków, Poland — https://doi.org/10.1515/cti-2026-0058</w:t>
      </w:r>
    </w:p>
    <w:p>
      <w:pPr/>
      <w:r>
        <w:rPr>
          <w:b/>
        </w:rPr>
        <w:t>Shared claim-specific concepts:</w:t>
      </w:r>
      <w:r>
        <w:t xml:space="preserve"> four, chemistry, two; EU scope visible. This is a provisional connection, not an outcome finding.</w:t>
      </w:r>
    </w:p>
    <w:p>
      <w:pPr>
        <w:pStyle w:val="SourceNote"/>
      </w:pPr>
      <w:r>
        <w:rPr>
          <w:b/>
        </w:rPr>
        <w:t>Available abstract (not full text):</w:t>
      </w:r>
      <w:r>
        <w:t xml:space="preserve"> Since the inaugural EuroVariety (European Variety in University Chemistry Education) conference (Figure 1) organised by the European Chemical Society Division of Chemical Education, was held in Kraków in 2005, chemistry educators and chemistry education researchers from across Europe and beyond have convened biennially to discuss emerging issues and developments in higher chemistry education.Each EuroVariety conference provides a collaborative forum for the exchange of ideas, experiences, and innovative pedagogical approaches.A defining characteristic of the this conference has been its strong emphasis on practice-informed chemistry teaching and learning at tertiary level, highlighting effective strategies that have been successfully implemented in diverse academic settings.Over the past two decades, EuroVariety has become an important platform for disseminating educational innovations and fostering dialogue on approaches that extend beyond traditional models of chemistry instruction.Through oral presentations, poster sessions, workshops, and networking opportunities, the conference promotes both the sharing of educational research and the adoption of evidence-based teaching practices that enhance student learning and engagement.In 2025, marking the 20th anniversary of the conference series, EuroVariety returned to its birthplace at the Faculty of Chemistry, Jagiellonian Univer</w:t>
      </w:r>
    </w:p>
    <w:p>
      <w:pPr/>
      <w:r>
        <w:rPr>
          <w:b/>
        </w:rPr>
        <w:t>POSSIBLE 2024:</w:t>
      </w:r>
      <w:r>
        <w:t xml:space="preserve"> Envisioning chemistry education in the anthropocene — https://doi.org/10.24834/isbn.9789178775132</w:t>
      </w:r>
    </w:p>
    <w:p>
      <w:pPr/>
      <w:r>
        <w:rPr>
          <w:b/>
        </w:rPr>
        <w:t>Shared claim-specific concepts:</w:t>
      </w:r>
      <w:r>
        <w:t xml:space="preserve"> four, regarding, chemistry, teacher, developed, two; EU scope visible. This is a provisional connection, not an outcome finding.</w:t>
      </w:r>
    </w:p>
    <w:p>
      <w:pPr>
        <w:pStyle w:val="SourceNote"/>
      </w:pPr>
      <w:r>
        <w:rPr>
          <w:b/>
        </w:rPr>
        <w:t>Available abstract (not full text):</w:t>
      </w:r>
      <w:r>
        <w:t xml:space="preserve"> The urgent and contemporary challenges of the Anthropocene declare humanity’s vulnerability through complex entanglements and uncertainty. The cause-and-effect relationships and temporality are disturbed; and human-decentred views and materiality come to the fore. Consequently, it becomes challenging to find a “common answer” for how to educate. This thesis engages with this challenge as a prospective-generating project and adopts the concept of Anthropocene as a framing in science education research. More specifically, this thesis focuses on school chemistry content and science teachers. The overarching aim of this thesis is to problematise school chemistry knowledge through the perspective of the Anthropocene. The ambition is to create knowledge about school chemistry knowledge when it is situated in the intersection of content, purposes, and relationships, framed by the challenges of the Anthropocene. Therefore, approaches to school chemistry knowledge in the Anthropocene were explored in this research. This overarching aim is addressed through two research purposes. These research purposes are addressed in four individual studies. Each study has its own theoretical and analytical focus and its own set of research questions. The first purpose is to theoretically elaborate desired school chemistry knowledge areas (Articles I and II). The second purpose is to empirically study</w:t>
      </w:r>
    </w:p>
    <w:p>
      <w:pPr/>
      <w:r>
        <w:rPr>
          <w:b/>
        </w:rPr>
        <w:t>POSSIBLE 2024:</w:t>
      </w:r>
      <w:r>
        <w:t xml:space="preserve"> A Focus Group Study on Participatory Practices in Early Childhood Education and Care Across Four European Countries — https://doi.org/10.1080/10409289.2024.2360868</w:t>
      </w:r>
    </w:p>
    <w:p>
      <w:pPr/>
      <w:r>
        <w:rPr>
          <w:b/>
        </w:rPr>
        <w:t>Shared claim-specific concepts:</w:t>
      </w:r>
      <w:r>
        <w:t xml:space="preserve"> four, regarding, practice, teachers; EU scope visible. This is a provisional connection, not an outcome finding.</w:t>
      </w:r>
    </w:p>
    <w:p>
      <w:pPr>
        <w:pStyle w:val="SourceNote"/>
      </w:pPr>
      <w:r>
        <w:rPr>
          <w:b/>
        </w:rPr>
        <w:t>Available abstract (not full text):</w:t>
      </w:r>
      <w:r>
        <w:t xml:space="preserve"> Participation in educational settings is a universal right of every child, consigned by the United Nations Convention on the Rights of the Child. This right encompasses the need to protect and encourage young children´s active participation and decision-making in early childhood education and care. Research Findings: This qualitative study, inspired by the Lundy model (2007), examined ECEC teachers’ (n = 25) and coordinators’ (n = 25) perceptions about participation practices, collected through focus groups conducted in Belgium, Greece, Poland, and Portugal. Participants were previously referred as implementing participatory practices. Results showed that the four dimensions of the Lundy model emerged in teachers’ and coordinators’ group discussions: Participative space, Children’s voice, Audience of children’s perspectives, and Influence. Furthermore, a number of subcategories in each dimension reflected different orientations toward participatory pedagogy. Practice or Policy: This study contributes to informing and inspiring participation practices in ECEC across Europe and to enriching policy discussions regarding children´s participation rights, particularly in the early years. Promising participatory practices were identified in the various dimensions of participation, though some challenges remain, requiring in-depth knowledge about pedagogical practices and the promotion</w:t>
      </w:r>
    </w:p>
    <w:p>
      <w:pPr/>
      <w:r>
        <w:rPr>
          <w:b/>
        </w:rPr>
        <w:t>POSSIBLE 2024:</w:t>
      </w:r>
      <w:r>
        <w:t xml:space="preserve"> Recommendations for the training and practice of fetal cardiology from the Association of European Paediatric Cardiology — https://doi.org/10.1017/s1047951124025885</w:t>
      </w:r>
    </w:p>
    <w:p>
      <w:pPr/>
      <w:r>
        <w:rPr>
          <w:b/>
        </w:rPr>
        <w:t>Shared claim-specific concepts:</w:t>
      </w:r>
      <w:r>
        <w:t xml:space="preserve"> regarding, training, practice, developed; EU scope visible. This is a provisional connection, not an outcome finding.</w:t>
      </w:r>
    </w:p>
    <w:p>
      <w:pPr>
        <w:pStyle w:val="SourceNote"/>
      </w:pPr>
      <w:r>
        <w:rPr>
          <w:b/>
        </w:rPr>
        <w:t>Available abstract (not full text):</w:t>
      </w:r>
      <w:r>
        <w:t xml:space="preserve"> Prenatal detection of cardiac abnormalities has increased significantly over the past few decades, such that fetal cardiology has developed into a sub-specialty of paediatric and congenital cardiology. As this speciality develops further and extends across Europe and more globally, it is important to standardize the requirements for training and subsequent practice, to optimize prenatal diagnosis and perinatal care. In addition to the knowledge and technical skills required to make a correct diagnosis, the counseling of families after diagnosis and the planning of appropriate perinatal management is equally important. The aim of these recommendations is to provide a framework for both basic and advanced training for paediatric cardiologists wishing to practice as fetal cardiologists, as well as highlighting requisites for a fetal cardiology service. All aspects regarding training in fetal cardiology and service provision are addressed including diagnosis, counseling and management.</w:t>
      </w:r>
    </w:p>
    <w:p>
      <w:pPr/>
      <w:r>
        <w:rPr>
          <w:b/>
        </w:rPr>
        <w:t>POSSIBLE 2023:</w:t>
      </w:r>
      <w:r>
        <w:t xml:space="preserve"> Team Chemistry and COVID in European Football — https://doi.org/10.2174/1875399x-v16-e230510-2022-37</w:t>
      </w:r>
    </w:p>
    <w:p>
      <w:pPr/>
      <w:r>
        <w:rPr>
          <w:b/>
        </w:rPr>
        <w:t>Shared claim-specific concepts:</w:t>
      </w:r>
      <w:r>
        <w:t xml:space="preserve"> four, chemistry, two; EU scope visible. This is a provisional connection, not an outcome finding.</w:t>
      </w:r>
    </w:p>
    <w:p>
      <w:pPr>
        <w:pStyle w:val="SourceNote"/>
      </w:pPr>
      <w:r>
        <w:rPr>
          <w:b/>
        </w:rPr>
        <w:t>Available abstract (not full text):</w:t>
      </w:r>
      <w:r>
        <w:t xml:space="preserve"> Objective: This research investigates the influence of team chemistry and COVID on football matches. Methods: This is done by estimating the effect of both chemistryand COVID on match results and analysing the performance of prediction models where both effects are included and threshold intervals are usedfor classification. Four different chemistry measures are introduced and all are evaluated. Results: Chemistry has the expected positive effect on performance only for the top teams in the estimations where interaction effects are included for two different chemistry measures. COVID has the expected mitigating effect on home advantage. The inclusion of both effects in prediction models does not increase prediction accuracy consistently, although for various symmetric threshold intervals the prediction models with chemistry and COVID included outperforming the baseline models. Conclusion: Chemistry can have a positive influence on the perfomrance of a team and empty stadiums due to COVID mitigate the effect of home advantage. Including COVID and chemistry measures based on region in predictions is highly recommended.</w:t>
      </w:r>
    </w:p>
    <w:p>
      <w:pPr/>
      <w:r>
        <w:rPr>
          <w:b/>
        </w:rPr>
        <w:t>POSSIBLE 2023:</w:t>
      </w:r>
      <w:r>
        <w:t xml:space="preserve"> Behavior Analysts’ Training and Practice Regarding Trauma-Informed Care — https://doi.org/10.1007/s40617-023-00836-7</w:t>
      </w:r>
    </w:p>
    <w:p>
      <w:pPr/>
      <w:r>
        <w:rPr>
          <w:b/>
        </w:rPr>
        <w:t>Shared claim-specific concepts:</w:t>
      </w:r>
      <w:r>
        <w:t xml:space="preserve"> regarding, training, practice;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Chemistry, structure and function of approved oligonucleotide therapeutics — https://doi.org/10.1093/nar/gkad067</w:t>
      </w:r>
    </w:p>
    <w:p>
      <w:pPr/>
      <w:r>
        <w:rPr>
          <w:b/>
        </w:rPr>
        <w:t>Shared claim-specific concepts:</w:t>
      </w:r>
      <w:r>
        <w:t xml:space="preserve"> chemistry, two, account, class; EU scope not established. This is a provisional connection, not an outcome finding.</w:t>
      </w:r>
    </w:p>
    <w:p>
      <w:pPr>
        <w:pStyle w:val="SourceNote"/>
      </w:pPr>
      <w:r>
        <w:rPr>
          <w:b/>
        </w:rPr>
        <w:t>Available abstract (not full text):</w:t>
      </w:r>
      <w:r>
        <w:t xml:space="preserve"> Eighteen nucleic acid therapeutics have been approved for treatment of various diseases in the last 25 years. Their modes of action include antisense oligonucleotides (ASOs), splice-switching oligonucleotides (SSOs), RNA interference (RNAi) and an RNA aptamer against a protein. Among the diseases targeted by this new class of drugs are homozygous familial hypercholesterolemia, spinal muscular atrophy, Duchenne muscular dystrophy, hereditary transthyretin-mediated amyloidosis, familial chylomicronemia syndrome, acute hepatic porphyria, and primary hyperoxaluria. Chemical modification of DNA and RNA was central to making drugs out of oligonucleotides. Oligonucleotide therapeutics brought to market thus far contain just a handful of first- and second-generation modifications, among them 2'-fluoro-RNA, 2'-O-methyl RNA and the phosphorothioates that were introduced over 50 years ago. Two other privileged chemistries are 2'-O-(2-methoxyethyl)-RNA (MOE) and the phosphorodiamidate morpholinos (PMO). Given their importance in imparting oligonucleotides with high target affinity, metabolic stability and favorable pharmacokinetic and -dynamic properties, this article provides a review of these chemistries and their use in nucleic acid therapeutics. Breakthroughs in lipid formulation and GalNAc conjugation of modified oligonucleotides have paved the way to efficient delivery and robust, lo</w:t>
      </w:r>
    </w:p>
    <w:p>
      <w:pPr/>
      <w:r>
        <w:rPr>
          <w:b/>
        </w:rPr>
        <w:t>POSSIBLE 2022:</w:t>
      </w:r>
      <w:r>
        <w:t xml:space="preserve"> Reticular Chemistry for Highly Porous Metal–Organic Frameworks: The Chemistry and Applications — https://doi.org/10.1021/acs.accounts.1c00707</w:t>
      </w:r>
    </w:p>
    <w:p>
      <w:pPr/>
      <w:r>
        <w:rPr>
          <w:b/>
        </w:rPr>
        <w:t>Shared claim-specific concepts:</w:t>
      </w:r>
      <w:r>
        <w:t xml:space="preserve"> four, chemistry, developed, design, two, account; EU scope not established. This is a provisional connection, not an outcome finding.</w:t>
      </w:r>
    </w:p>
    <w:p>
      <w:pPr>
        <w:pStyle w:val="SourceNote"/>
      </w:pPr>
      <w:r>
        <w:rPr>
          <w:b/>
        </w:rPr>
        <w:t>Available abstract (not full text):</w:t>
      </w:r>
      <w:r>
        <w:t xml:space="preserve"> Conspectus Current global crises related to clean energy and the environment entail the development of materials that are capable of addressing these challenges. Metal–organic frameworks (MOFs), a class of functional materials assembled from metal-containing nodes and organic ligands via coordination bonds, have been successfully developed for various applications, including catalysis, toxic chemical removal, and gas storage and separation, as a result of their highly tailorable nature and precisely engineered pore structures. In particular, the exceptionally high surface areas and porosities of MOFs are two of their most attractive characteristics and place them among the best porous materials for the storage of clean energy gases, such as hydrogen and methane. Reticular chemistry stands out as a prominent approach to the design of MOFs as this strategy allows for the rational top-down design of frameworks guided by topological nets to afford extended framework structures with precise architectural arrangements at the molecular level. Bridging the gap between reticular chemistry design strategies and highly porous MOFs can facilitate the development of next-generation high-performance materials through state-of-the-art chemical design. In this Account, we summarize our group’s efforts over the past few years toward the synthesis and applications of highly porous MOFs inspired </w:t>
      </w:r>
    </w:p>
    <w:p>
      <w:pPr/>
      <w:r>
        <w:rPr>
          <w:b/>
        </w:rPr>
        <w:t>POSSIBLE 2022:</w:t>
      </w:r>
      <w:r>
        <w:t xml:space="preserve"> Police Training in Practice: Organization and Delivery According to European Law Enforcement Agencies — https://doi.org/10.3389/fpsyg.2021.798067</w:t>
      </w:r>
    </w:p>
    <w:p>
      <w:pPr/>
      <w:r>
        <w:rPr>
          <w:b/>
        </w:rPr>
        <w:t>Shared claim-specific concepts:</w:t>
      </w:r>
      <w:r>
        <w:t xml:space="preserve"> training, practice, two; EU scope visible. This is a provisional connection, not an outcome finding.</w:t>
      </w:r>
    </w:p>
    <w:p>
      <w:pPr>
        <w:pStyle w:val="SourceNote"/>
      </w:pPr>
      <w:r>
        <w:rPr>
          <w:b/>
        </w:rPr>
        <w:t>Available abstract (not full text):</w:t>
      </w:r>
      <w:r>
        <w:t xml:space="preserve"> Police training plays a crucial role in the development of police officers. Because the training of police officers combines various educational components and is governed by organizational guidelines, police training is a complex, multifaceted topic. The current study investigates training at six European law enforcement agencies and aims to identify strengths and challenges of current training organization and practice. We interviewed a total of 16 police instructors and seven police coordinators with conceptual training tasks. A thematic analysis (Braun and Clarke, 2006; Terry et al., 2017) was conducted and results organized in the two main themes evident across all six law enforcement agencies: organization of training and delivery of training. Results show that governmental structures and police executive boards are seen as the primary authorities that define the training framework in which police instructors operate. These administrative structures regulate distant and immediate resources, such as available training time, training facilities, equipment, and personnel. Within the confines of available resources and predetermined training frameworks, results indicate that police instructors thoroughly enjoy teaching, creating supportive and motivating learning environments, and applying their personal learning perspectives to training. Nonetheless, police instructors are c</w:t>
      </w:r>
    </w:p>
    <w:p>
      <w:pPr/>
      <w:r>
        <w:rPr>
          <w:b/>
        </w:rPr>
        <w:t>POSSIBLE 2021:</w:t>
      </w:r>
      <w:r>
        <w:t xml:space="preserve"> The cybersecurity labour shortage in Europe: Moving to a new concept for education and training — https://doi.org/10.1016/j.techsoc.2021.101769</w:t>
      </w:r>
    </w:p>
    <w:p>
      <w:pPr/>
      <w:r>
        <w:rPr>
          <w:b/>
        </w:rPr>
        <w:t>Shared claim-specific concepts:</w:t>
      </w:r>
      <w:r>
        <w:t xml:space="preserve"> training, taken, proposed, courses; EU scope visible. This is a provisional connection, not an outcome finding.</w:t>
      </w:r>
    </w:p>
    <w:p>
      <w:pPr>
        <w:pStyle w:val="SourceNote"/>
      </w:pPr>
      <w:r>
        <w:rPr>
          <w:b/>
        </w:rPr>
        <w:t>Available abstract (not full text):</w:t>
      </w:r>
      <w:r>
        <w:t xml:space="preserve"> Recruiting, retaining and maintaining sufficient numbers of cybersecurity professionals in the workplace is a constant battle, not only for the technical side of cybersecurity, but also for the overlooked area of non-technical, managerial-related jobs in the cyber sector. This paper addresses the lack of cybersecurity skills in the European labour force market and the actions taken to improve the education in cybersecurity for meeting the identified needs. The paper analyses what kind of topics are missing within the cybersecurity curricula of the high-level educational institutions in Europe and in the courses provided by the cybersecurity trainers on the market. The findings are based on the data collected by the surveys carried out by the European competence centres on cybersecurity and the European CyberSecurity organization. These findings show that there are missing topics in the context of higher education cybersecurity programmes and within the private courses offered on the market. The problem of common programme accreditation of European higher education institutes (HEI) and the competence certifications for different work profiles in the area of cybersecurity are briefly presented and discussed as well. The actions undertaken to improve the education in both sectors are presented and the emerging educational landscape is proposed based on our findings. Recommendation</w:t>
      </w:r>
    </w:p>
    <w:p>
      <w:pPr/>
      <w:r>
        <w:rPr>
          <w:b/>
        </w:rPr>
        <w:t>POSSIBLE 2021:</w:t>
      </w:r>
      <w:r>
        <w:t xml:space="preserve"> The Current Perceptions of Practicing Audiologists Regarding the State of Teleaudiology Education and Training — https://openalex.org/W3159985972</w:t>
      </w:r>
    </w:p>
    <w:p>
      <w:pPr/>
      <w:r>
        <w:rPr>
          <w:b/>
        </w:rPr>
        <w:t>Shared claim-specific concepts:</w:t>
      </w:r>
      <w:r>
        <w:t xml:space="preserve"> regarding, training, practice, developed, courses; EU scope not established. This is a provisional connection, not an outcome finding.</w:t>
      </w:r>
    </w:p>
    <w:p>
      <w:pPr>
        <w:pStyle w:val="SourceNote"/>
      </w:pPr>
      <w:r>
        <w:rPr>
          <w:b/>
        </w:rPr>
        <w:t>Available abstract (not full text):</w:t>
      </w:r>
      <w:r>
        <w:t xml:space="preserve"> Telemedicine is the practice of providing medical care remotely, when the patient and the clinician are not meeting face to face (Krumm &amp; Syms, 2012). The practice of telemedicine in audiology is teleaudiology. The purpose of the current study was to determine the current perceptions and experiences audiologists have about teleaudiology practices, education, and training. A 16-question survey was developed using Qualtrics and distributed to audiologists via various social media groups for audiologists online and it consisted of 16 questions. There were 352 respondents. Overall, a large percentage of audiologists do perform teleaudiology services, and most reported their training for teleaudiology was on the job or through workshops. The vast majority of participants (93%) reported that they felt there was a need for teleaudiology education and training, while only about 30% of respondents reported there was adequate teleaudiology education and training in their area. Results were further analyzed for the entire group as well as by various demographic factors such as years of experience, practice setting, etc. to see if those factors influenced responses. The results were highly consistent across subgroups such that the factors did not appear to influence the overall perceptions or practices of participants. The respondents had a chance to make additional comments at the end of </w:t>
      </w:r>
    </w:p>
    <w:p>
      <w:pPr>
        <w:pStyle w:val="Heading2"/>
      </w:pPr>
      <w:r>
        <w:t>809. THE EUROPEAN MIGRATION CRISIS – ECONOMIC AND POLITICAL FACTORS AND CHALLENGES FOR THE FUTURE</w:t>
      </w:r>
    </w:p>
    <w:p>
      <w:pPr>
        <w:pStyle w:val="SourceNote"/>
      </w:pPr>
      <w:r>
        <w:rPr>
          <w:b/>
        </w:rPr>
        <w:t>Original source (2017):</w:t>
      </w:r>
      <w:r>
        <w:t xml:space="preserve"> https://doi.org/10.5755/j01.eis.0.11.18958</w:t>
      </w:r>
    </w:p>
    <w:p>
      <w:pPr/>
      <w:r>
        <w:t>Original wording (abstract; indexed_source_text_not_full_document_verified): The need for tight cooperation and support for the countries affected must lead to the development of a long-term strategy for the future. In 2015 alone, over a million migrants arrived in the EU, creating an urgent need to develop adequate solutions and mechanisms that would help to manage this influx and prevent its negative effects.</w:t>
      </w:r>
    </w:p>
    <w:p>
      <w:pPr/>
      <w:r>
        <w:rPr>
          <w:b/>
        </w:rPr>
        <w:t>POSSIBLE 2026:</w:t>
      </w:r>
      <w:r>
        <w:t xml:space="preserve"> Between North and Europe : A case study of Nordic cooperation during the pandemic — https://openalex.org/W7154931280</w:t>
      </w:r>
    </w:p>
    <w:p>
      <w:pPr/>
      <w:r>
        <w:rPr>
          <w:b/>
        </w:rPr>
        <w:t>Shared claim-specific concepts:</w:t>
      </w:r>
      <w:r>
        <w:t xml:space="preserve"> cooperation, countries, mechanisms; EU scope visible. This is a provisional connection, not an outcome finding.</w:t>
      </w:r>
    </w:p>
    <w:p>
      <w:pPr>
        <w:pStyle w:val="SourceNote"/>
      </w:pPr>
      <w:r>
        <w:rPr>
          <w:b/>
        </w:rPr>
        <w:t>Available abstract (not full text):</w:t>
      </w:r>
      <w:r>
        <w:t xml:space="preserve"> The thesis looks into what the COVID‑19 pandemic reveals about the character of regional order and institutions of the Nordic regional international society. The main argument is that the choice of policy instruments and cooperation practices between the Nordic countries reflects the underlying institutional architecture. The thesis uses the pandemic as a lens to reveal that Nordic cooperation operates within, and is constrained by, a wider European and EU framework. The study adopts an English School perspective, focusing on Nordic regional international society and the primary and secondary institutions within it. The starting point is an established framework of the Scandinavian international society by Laust Schouenborg. In this thesis, secondary institutions and their respective organizational subunits are systematically incorporated in this framework and treated as key to understanding a possible change from Schouenborg’s earlier notions about the regional international society in question. In doing so, the thesis advances English School debates by showing how secondary institutions and their subunits can be analytically integrated into the study of institutional evolution within a regional international society. The institutional change is mostly based on Tonny Brems Knudsen and Kalevi Holsti’s theorizations. Methodologically, the study uses Ludvig Norman’s Interpretive </w:t>
      </w:r>
    </w:p>
    <w:p>
      <w:pPr/>
      <w:r>
        <w:rPr>
          <w:b/>
        </w:rPr>
        <w:t>POSSIBLE 2025:</w:t>
      </w:r>
      <w:r>
        <w:t xml:space="preserve"> Bibliographic Review on Transnational Cooperation in Environmental Issues in European Countries (2010–2025) — https://doi.org/10.3390/earth7010002</w:t>
      </w:r>
    </w:p>
    <w:p>
      <w:pPr/>
      <w:r>
        <w:rPr>
          <w:b/>
        </w:rPr>
        <w:t>Shared claim-specific concepts:</w:t>
      </w:r>
      <w:r>
        <w:t xml:space="preserve"> need, cooperation, countries; EU scope visible. This is a provisional connection, not an outcome finding.</w:t>
      </w:r>
    </w:p>
    <w:p>
      <w:pPr>
        <w:pStyle w:val="SourceNote"/>
      </w:pPr>
      <w:r>
        <w:rPr>
          <w:b/>
        </w:rPr>
        <w:t>Available abstract (not full text):</w:t>
      </w:r>
      <w:r>
        <w:t xml:space="preserve"> Europe is dealing with environmental problems that require cooperation beyond national and regional borders. Air pollution, water pollution, biodiversity loss, and waste management are the major issues that are not only complex but also cross borders. Therefore, it is necessary to provide collaborative responses that go beyond the capacity of individual countries. This inquiry centers on the question of what the best way is to set up and govern the transnational cooperation in Europe to confront these major environmental challenges. A systematic bibliographic review of the research conducted between 2010 and 2025 forms the basis of this work. The research combines semantic analysis and Latent Dirichlet Allocation (LDA) modeling to study 80 selected publications to find the tenets of the themes discussed. The identified topics are urban climate change adaptation and mitigation, climate policy and management, adaptation and vulnerability frameworks, land use and biodiversity impacts, and future climate projections and assessment. The findings show that there are strong synergies between biodiversity and climate adaptation, resilience, and environmental governance, as well as the great influence of climate change on the water management sector. The study has unveiled the significance of institutional policy frameworks in bringing about environmental cooperation across borders. In </w:t>
      </w:r>
    </w:p>
    <w:p>
      <w:pPr/>
      <w:r>
        <w:rPr>
          <w:b/>
        </w:rPr>
        <w:t>POSSIBLE 2024:</w:t>
      </w:r>
      <w:r>
        <w:t xml:space="preserve"> China-Central and Eastern European Countries Cooperation: Challenges and Restart — https://doi.org/10.18485/iipe_dijalozi_kina.2024.4.2.ch20</w:t>
      </w:r>
    </w:p>
    <w:p>
      <w:pPr/>
      <w:r>
        <w:rPr>
          <w:b/>
        </w:rPr>
        <w:t>Shared claim-specific concepts:</w:t>
      </w:r>
      <w:r>
        <w:t xml:space="preserve"> cooperation, countries, must, over; EU scope visible. This is a provisional connection, not an outcome finding.</w:t>
      </w:r>
    </w:p>
    <w:p>
      <w:pPr>
        <w:pStyle w:val="SourceNote"/>
      </w:pPr>
      <w:r>
        <w:rPr>
          <w:b/>
        </w:rPr>
        <w:t>Available abstract (not full text):</w:t>
      </w:r>
      <w:r>
        <w:t xml:space="preserve"> The cooperation mechanism between China and Central and Eastern European countries has achieved significant results over the past 12 years.However, it now faces challenges and adjustments due to changes in the international landscape and factors such as the Russia-Ukraine conflict.The United States' geopolitical influence, various crises within and outside Europe, and the diverse interests of CEEC countries have all had an impact on the cooperation mechanism.At the same time, there is immense potential and opportunity for cooperation in areas such as trade, cultural exchange, and green cooperation.Future cooperation must be revitalised to achieve a win-win outcome through high-level leadership, economic and trade collaboration, and local partnerships.</w:t>
      </w:r>
    </w:p>
    <w:p>
      <w:pPr/>
      <w:r>
        <w:rPr>
          <w:b/>
        </w:rPr>
        <w:t>POSSIBLE 2024:</w:t>
      </w:r>
      <w:r>
        <w:t xml:space="preserve"> Reflections on Economic Governance in the Central European Countries — https://doi.org/10.54237/profnet.2024.znecogov_37</w:t>
      </w:r>
    </w:p>
    <w:p>
      <w:pPr/>
      <w:r>
        <w:rPr>
          <w:b/>
        </w:rPr>
        <w:t>Shared claim-specific concepts:</w:t>
      </w:r>
      <w:r>
        <w:t xml:space="preserve"> need, countries, must, mechanisms; EU scope visible. This is a provisional connection, not an outcome finding.</w:t>
      </w:r>
    </w:p>
    <w:p>
      <w:pPr>
        <w:pStyle w:val="SourceNote"/>
      </w:pPr>
      <w:r>
        <w:rPr>
          <w:b/>
        </w:rPr>
        <w:t>Available abstract (not full text):</w:t>
      </w:r>
      <w:r>
        <w:t xml:space="preserve"> The integration of the European Union is constantly evolving and changing.The economic integration process is becoming increasingly extensive.However, linking national economies to a single system through economic integration involves economic and regulatory problems.1 Coordinating fiscal and monetary policies raises many problems for national, macroeconomic, and European Union (EU) economic policies.These conflicts are reflected in the regulatory level.As economic and social processes change, the integration processes are also in flux.The strengthening or weakening of national sovereignty influences both the deepening and weakening of conflict.However, integration processes must achieve the objective that the primary goal of integration is to ensure security, efficiency, and prosperity for the societies involved.2 The European Council defines what economic governance means.Economic governance is a system of institutions and procedures established to coordinate economic policies and achieve the objectives of the European Union.Therefore, for the EU to maintain a balanced economic situation, Member States' economies must also be free from imbalances.The fundamental aim is to ensure the regulatory framework is conducive to economic growth and low unemployment.This requires ensuring sustainable public finance management and economic growth.The regulatory framework that ensures thi</w:t>
      </w:r>
    </w:p>
    <w:p>
      <w:pPr/>
      <w:r>
        <w:rPr>
          <w:b/>
        </w:rPr>
        <w:t>POSSIBLE 2024:</w:t>
      </w:r>
      <w:r>
        <w:t xml:space="preserve"> Understanding Cooperation in an Intertemporal Context — https://doi.org/10.1287/mnsc.2020.03757</w:t>
      </w:r>
    </w:p>
    <w:p>
      <w:pPr/>
      <w:r>
        <w:rPr>
          <w:b/>
        </w:rPr>
        <w:t>Shared claim-specific concepts:</w:t>
      </w:r>
      <w:r>
        <w:t xml:space="preserve"> cooperation, support, strategy, mechanisms; EU scope visible. This is a provisional connection, not an outcome finding.</w:t>
      </w:r>
    </w:p>
    <w:p>
      <w:pPr>
        <w:pStyle w:val="SourceNote"/>
      </w:pPr>
      <w:r>
        <w:rPr>
          <w:b/>
        </w:rPr>
        <w:t>Available abstract (not full text):</w:t>
      </w:r>
      <w:r>
        <w:t xml:space="preserve"> Cooperation between individuals, a critical component of organizational and societal success, typically involves costs and benefits that accrue at different points in time. Using a series of controlled experiments, this paper provides a comprehensive analysis of the determinants of cooperation in an intertemporal context. Our findings demonstrate that cooperation is significantly reduced when the benefits of cooperation are shifted into the future, whereas delaying costs leads to an increase in cooperation. Our analysis of the underlying behavioral mechanisms reveals that the change in the level of cooperation can be explained by three factors: (i) a shift in the beliefs about others’ efforts, (ii) a shift in the willingness to conditionally cooperate, and (iii) an individual’s degree of impatience. We further find that injunctive norms of cooperation are unaffected by the timing of consequences, indicating that changes in behavior are due to a change in norm compliance rather than the norm itself. Implications for management practices are discussed. This paper was accepted by Yan Chen, behavioral economics and decision analysis. Funding: Financial support from the Center for Social and Economic Behavior at the University of Cologne and the Deutsche Forschungsgemeinschaft (German Research Foundation) under Germany’s Excellence Strategy [Grant EXC 2126/1- 390838866] is gratefull</w:t>
      </w:r>
    </w:p>
    <w:p>
      <w:pPr/>
      <w:r>
        <w:rPr>
          <w:b/>
        </w:rPr>
        <w:t>POSSIBLE 2023:</w:t>
      </w:r>
      <w:r>
        <w:t xml:space="preserve"> Do tight environmental regulations cause economic contraction? Panel evidence from the European countries — https://doi.org/10.1111/1477-8947.12322</w:t>
      </w:r>
    </w:p>
    <w:p>
      <w:pPr/>
      <w:r>
        <w:rPr>
          <w:b/>
        </w:rPr>
        <w:t>Shared claim-specific concepts:</w:t>
      </w:r>
      <w:r>
        <w:t xml:space="preserve"> need, tight, countries, affected, develop; EU scope visible. This is a provisional connection, not an outcome finding.</w:t>
      </w:r>
    </w:p>
    <w:p>
      <w:pPr>
        <w:pStyle w:val="SourceNote"/>
      </w:pPr>
      <w:r>
        <w:rPr>
          <w:b/>
        </w:rPr>
        <w:t>Available abstract (not full text):</w:t>
      </w:r>
      <w:r>
        <w:t xml:space="preserve"> Abstract Developed countries have long tried to increase their environmental standards to mitigate the negative effects of economic activities. For this purpose, they impose environmental taxes, energy taxes, and emission limits. In the last decade, a new measurement technique for environmental policy was introduced: the Environmental Policy Stringency Index (EPS index). This index takes values from 0.00 to 6.00, and higher values refer to more stringent environmental policies, whereas lower values suggest lax policies. This study aims to explore the impact of the EPS index on economic activities at the aggregate and sectoral levels for 20 European countries covering the period 1995–2020. For this purpose, this study utilizes the dynamic panel data approach, the two‐step system generalized method of moments (GMM) estimation method. The empirical findings show that an increase in the EPS index causes a decline in economic growth at the aggregate level. At the sectoral level, it was found that the industry sector is negatively affected by increases in environmental standards. In addition to the system GMM results, this study employs the Dumitrescu–Hurlin panel non‐causality test to detect causal linkages between variables. The empirical findings show that the EPS index Granger causes economic activity in almost all sectors. The empirical results indicate that environmental regula</w:t>
      </w:r>
    </w:p>
    <w:p>
      <w:pPr/>
      <w:r>
        <w:rPr>
          <w:b/>
        </w:rPr>
        <w:t>POSSIBLE 2023:</w:t>
      </w:r>
      <w:r>
        <w:t xml:space="preserve"> Impact of COVID-19 on labour force and recovery peculiarities in selected countries of Europe — https://doi.org/10.9770/jesi.2023.10.3(20)</w:t>
      </w:r>
    </w:p>
    <w:p>
      <w:pPr/>
      <w:r>
        <w:rPr>
          <w:b/>
        </w:rPr>
        <w:t>Shared claim-specific concepts:</w:t>
      </w:r>
      <w:r>
        <w:t xml:space="preserve"> need, countries, affected; EU scope visible. This is a provisional connection, not an outcome finding.</w:t>
      </w:r>
    </w:p>
    <w:p>
      <w:pPr>
        <w:pStyle w:val="SourceNote"/>
      </w:pPr>
      <w:r>
        <w:rPr>
          <w:b/>
        </w:rPr>
        <w:t>Available abstract (not full text):</w:t>
      </w:r>
      <w:r>
        <w:t xml:space="preserve"> In this paper, we have examined the impact of COVID-19 on labour force and recovery peculiarities in selected countries of Europe.Our goal has been to reach patients with post-COVID-19 or long-COVID-19 symptoms who were treated since 2020 and latest 2021 in different medical spas around Europe.Our research focused on whether work affects any aspect of life during illness and whether complaints experienced during post-COVID-19 treatments affect any aspect of life during illness.To achieve our results, we used quantitative research and tested two hypotheses.Our primary survey was conducted in May-June 2022.A total of 110 valid responses were received.The data collected through the questionnaire was examined using statistical analysis and calculationsdescriptive statistics, oneway ANOVA, linear regression analysis.All the respondents had COVID-19 positive test results in their life and attended post-COVID treatments in different medical spas in Europe.The results showed that coronavirus symptoms (post-or long-COVID-19 syndrome) were most likely to interfere with social and leisure activities and work.Well-being and pain need improvement.Improvement is possible with spa rehabilitation packages offering complex interventions such as balneotherapy (which uses local natural resources such as natural healing water, peloids, mofette), climatotherapy, physiotherapy, occupational therapy,</w:t>
      </w:r>
    </w:p>
    <w:p>
      <w:pPr/>
      <w:r>
        <w:rPr>
          <w:b/>
        </w:rPr>
        <w:t>POSSIBLE 2022:</w:t>
      </w:r>
      <w:r>
        <w:t xml:space="preserve"> European IoT International Cooperation in Research and Innovation — https://doi.org/10.1201/9781003337966-10</w:t>
      </w:r>
    </w:p>
    <w:p>
      <w:pPr/>
      <w:r>
        <w:rPr>
          <w:b/>
        </w:rPr>
        <w:t>Shared claim-specific concepts:</w:t>
      </w:r>
      <w:r>
        <w:t xml:space="preserve"> cooperation, countries, solutions; EU scope visible. This is a provisional connection, not an outcome finding.</w:t>
      </w:r>
    </w:p>
    <w:p>
      <w:pPr>
        <w:pStyle w:val="SourceNote"/>
      </w:pPr>
      <w:r>
        <w:rPr>
          <w:b/>
        </w:rPr>
        <w:t>Available abstract (not full text):</w:t>
      </w:r>
      <w:r>
        <w:t xml:space="preserve"> The IoT is now a global happening that is requiring cooperation at international level to address its key challenges. Europe has established as a priority the international cooperation on IoT research and innovation. The work revolves around aligning strategies and plans for IoT globalisation but also exploring differentiations, and specificities for local exploitation of IoT. Notice: EU is cooperating with African countries on cost-effective open IoT innovation; Europe is supporting Brazil to build-up its IoT ecosystem supported onEUbest practices; the EU-China IoT Advisory Group is active on pushing global IoT standards while developing competitive IoT solutions; the EU-Japan joint cooperation follows-on on the integration/federation of IoT with Big Data and Cloud; and the EU-Korea engagement is looking at major global IoT standardisation activities; EU-US cooperation is active especially via the respective global IoT initiative frameworks, the AIOTI and IIC. And cooperation is expected to start with India on the vision of a connected and smart IoT based system for their economy, society, environment and global needs. This chapter reports on EU international cooperation activities with partner countries and regions on the Internet of Things (IoT) .</w:t>
      </w:r>
    </w:p>
    <w:p>
      <w:pPr/>
      <w:r>
        <w:rPr>
          <w:b/>
        </w:rPr>
        <w:t>POSSIBLE 2022:</w:t>
      </w:r>
      <w:r>
        <w:t xml:space="preserve"> China and the transatlantic relationship: obstacles to deeper European–US cooperation — https://doi.org/10.55317/9781784135287</w:t>
      </w:r>
    </w:p>
    <w:p>
      <w:pPr/>
      <w:r>
        <w:rPr>
          <w:b/>
        </w:rPr>
        <w:t>Shared claim-specific concepts:</w:t>
      </w:r>
      <w:r>
        <w:t xml:space="preserve"> cooperation, countries, over; EU scope visible. This is a provisional connection, not an outcome finding.</w:t>
      </w:r>
    </w:p>
    <w:p>
      <w:pPr>
        <w:pStyle w:val="SourceNote"/>
      </w:pPr>
      <w:r>
        <w:rPr>
          <w:b/>
        </w:rPr>
        <w:t>Available abstract (not full text):</w:t>
      </w:r>
      <w:r>
        <w:t xml:space="preserve"> The rise of China is one of the greatest challenges for the transatlantic relationship. European countries and the US have similar concerns over China, but fundamental obstacles hinder a more joined-up approach. Although no longer aiming for decoupling as under the Trump administration, the US under President Joe Biden still sees itself in ‘strategic competition’ with China, while the European Commission has identified China as a ‘systemic rival’. However, differences remain between Europe and US on the scale of the challenge, and also within the EU over the desired level of economic and political engagement with China and over policy responses on the national, bilateral and global levels. This paper presents results from a two-year joint research project by Chatham House and the Royal United Services Institute on a Transatlantic Dialogue on China. The project examined the transatlantic relationship in the context of the China challenge by looking at four different policy areas – trade and investment, digital technology, climate change and the global commons.</w:t>
      </w:r>
    </w:p>
    <w:p>
      <w:pPr/>
      <w:r>
        <w:rPr>
          <w:b/>
        </w:rPr>
        <w:t>POSSIBLE 2021:</w:t>
      </w:r>
      <w:r>
        <w:t xml:space="preserve"> The relationship between cultural tightness–looseness and COVID-19 cases and deaths: a global analysis — https://doi.org/10.1016/s2542-5196(20)30301-6</w:t>
      </w:r>
    </w:p>
    <w:p>
      <w:pPr/>
      <w:r>
        <w:rPr>
          <w:b/>
        </w:rPr>
        <w:t>Shared claim-specific concepts:</w:t>
      </w:r>
      <w:r>
        <w:t xml:space="preserve"> tight, countries, million, help; EU scope not established. This is a provisional connection, not an outcome finding.</w:t>
      </w:r>
    </w:p>
    <w:p>
      <w:pPr>
        <w:pStyle w:val="SourceNote"/>
      </w:pPr>
      <w:r>
        <w:rPr>
          <w:b/>
        </w:rPr>
        <w:t>Available abstract (not full text):</w:t>
      </w:r>
      <w:r>
        <w:t xml:space="preserve"> BACKGROUND: The COVID-19 pandemic is a global health crisis, yet certain countries have had far more success in limiting COVID-19 cases and deaths. We suggest that collective threats require a tremendous amount of coordination, and that strict adherence to social norms is a key mechanism that enables groups to do so. Here we examine how the strength of social norms-or cultural tightness-looseness-was associated with countries' success in limiting cases and deaths by October, 2020. We expected that tight cultures, which have strict norms and punishments for deviance, would have fewer cases and deaths per million as compared with loose cultures, which have weaker norms and are more permissive. METHODS: We estimated the relationship between cultural tightness-looseness and COVID-19 case and mortality rates as of Oct 16, 2020, using ordinary least squares regression. We fit a series of stepwise models to capture whether cultural tightness-looseness explained variation in case and death rates controlling for under-reporting, demographics, geopolitical factors, other cultural dimensions, and climate. FINDINGS: The results indicated that, compared with nations with high levels of cultural tightness, nations with high levels of cultural looseness are estimated to have had 4·99 times the number of cases (7132 per million vs 1428 per million, respectively) and 8·71 times the number of de</w:t>
      </w:r>
    </w:p>
    <w:p>
      <w:pPr/>
      <w:r>
        <w:rPr>
          <w:b/>
        </w:rPr>
        <w:t>POSSIBLE 2020:</w:t>
      </w:r>
      <w:r>
        <w:t xml:space="preserve"> Interdependence and cooperation in daily life. — https://doi.org/10.1037/pspi0000253</w:t>
      </w:r>
    </w:p>
    <w:p>
      <w:pPr/>
      <w:r>
        <w:rPr>
          <w:b/>
        </w:rPr>
        <w:t>Shared claim-specific concepts:</w:t>
      </w:r>
      <w:r>
        <w:t xml:space="preserve"> cooperation, affected, over; EU scope not established. This is a provisional connection, not an outcome finding.</w:t>
      </w:r>
    </w:p>
    <w:p>
      <w:pPr>
        <w:pStyle w:val="SourceNote"/>
      </w:pPr>
      <w:r>
        <w:rPr>
          <w:b/>
        </w:rPr>
        <w:t>Available abstract (not full text):</w:t>
      </w:r>
      <w:r>
        <w:t xml:space="preserve"> Philosophers and scientists have long debated the nature of human social interactions and the prevalence of mutual dependence, conflict of interests, and power asymmetry in social situations. Yet, there is surprisingly little empirical work documenting the patterns of interdependence that people experience in daily life. We use experience sampling to study how people think about three dimensions of interdependence in daily life and how these dimensions relate to cooperation. In Study 1, 139 romantic couples (n = 278) reported on situations experienced with their partner (k = 6,766); in Study 2, individuals (n = 284) reported on situations experienced with any other person (k = 7,248), over the course of one week. Across both samples, we found that most social interactions were perceived as containing moderate mutual dependence, equal power, and corresponding interests. When couples reported on the same situation (Study 1), they largely agreed on their experienced interdependence and cooperation, suggesting that their reports reflect an underlying shared reality. In daily interactions across both samples, higher mutual dependence and lower conflict of interests were associated with more cooperation, whereas relative power was not directly related to cooperation. These associations replicated in laboratory experiments (Study 2). In daily life, high mutual dependence and high rela</w:t>
      </w:r>
    </w:p>
    <w:p>
      <w:pPr/>
      <w:r>
        <w:rPr>
          <w:b/>
        </w:rPr>
        <w:t>POSSIBLE 2020:</w:t>
      </w:r>
      <w:r>
        <w:t xml:space="preserve"> Migrant women’s experiences of pregnancy, childbirth and maternity care in European countries: A systematic review — https://doi.org/10.1371/journal.pone.0228378</w:t>
      </w:r>
    </w:p>
    <w:p>
      <w:pPr/>
      <w:r>
        <w:rPr>
          <w:b/>
        </w:rPr>
        <w:t>Shared claim-specific concepts:</w:t>
      </w:r>
      <w:r>
        <w:t xml:space="preserve"> need, countries, strategy, migrants; EU scope visible. This is a provisional connection, not an outcome finding.</w:t>
      </w:r>
    </w:p>
    <w:p>
      <w:pPr>
        <w:pStyle w:val="SourceNote"/>
      </w:pPr>
      <w:r>
        <w:rPr>
          <w:b/>
        </w:rPr>
        <w:t>Available abstract (not full text):</w:t>
      </w:r>
      <w:r>
        <w:t xml:space="preserve"> BACKGROUND: Across Europe there are increasing numbers of migrant women who are of childbearing age. Migrant women are at risk of poorer pregnancy outcomes. Models of maternity care need to be designed to meet the needs of all women in society to ensure equitable access to services and to address health inequalities. OBJECTIVE: To provide up-to-date systematic evidence on migrant women's experiences of pregnancy, childbirth and maternity care in their destination European country. SEARCH STRATEGY: CINAHL, MEDLINE, PubMed, PsycINFO and Scopus were searched for peer-reviewed articles published between 2007 and 2017. SELECTION CRITERIA: Qualitative and mixed-methods studies with a relevant qualitative component were considered for inclusion if they explored any aspect of migrant women's experiences of maternity care in Europe. DATA COLLECTION AND ANALYSIS: Qualitative data were extracted and analysed using thematic synthesis. RESULTS: The search identified 7472 articles, of which 51 were eligible and included. Studies were conducted in 14 European countries and focused on women described as migrants, refugees or asylum seekers. Four overarching themes emerged: 'Finding the way-the experience of navigating the system in a new place', 'We don't understand each other', 'The way you treat me matters', and 'My needs go beyond being pregnant'. CONCLUSIONS: Migrant women need culturally-</w:t>
      </w:r>
    </w:p>
    <w:p>
      <w:pPr>
        <w:pStyle w:val="Heading2"/>
      </w:pPr>
      <w:r>
        <w:t>810. THREE INVESTMENT SCENARIOS FOR  FUTURE NUCLEAR REACTORS IN EUROPE</w:t>
      </w:r>
    </w:p>
    <w:p>
      <w:pPr>
        <w:pStyle w:val="SourceNote"/>
      </w:pPr>
      <w:r>
        <w:rPr>
          <w:b/>
        </w:rPr>
        <w:t>Original source (2017):</w:t>
      </w:r>
      <w:r>
        <w:t xml:space="preserve"> https://doi.org/10.15173/esr.v23i1.3312</w:t>
      </w:r>
    </w:p>
    <w:p>
      <w:pPr/>
      <w:r>
        <w:t>Original wording (abstract; indexed_source_text_not_full_document_verified): While nuclear power may experience a technological breakthrough in Europe with Generation IV nuclear reactors within a few decades (2040), several events and drivers could question this possibility, e.g. the Fukushima accident, climate issues and liberalization of the electricity market.This article analyzes how the conditions necessary for their industrial development from now up to 2040 can be either favorable or detrimental to future nuclear reactors compared with other technologies and according to four main investment drivers: 1) technical change, 2) policy, 3) market, and 4) power company drivers.Twenty-four scenarios have been identified through structural analysis, with only three proving to be favorable to the development of future nuclear reactors.</w:t>
      </w:r>
    </w:p>
    <w:p>
      <w:pPr/>
      <w:r>
        <w:rPr>
          <w:b/>
        </w:rPr>
        <w:t>POSSIBLE 2026:</w:t>
      </w:r>
      <w:r>
        <w:t xml:space="preserve"> Assessment of beryllium use in nuclear power generation — https://doi.org/10.1038/s43246-026-01295-7</w:t>
      </w:r>
    </w:p>
    <w:p>
      <w:pPr/>
      <w:r>
        <w:rPr>
          <w:b/>
        </w:rPr>
        <w:t>Shared claim-specific concepts:</w:t>
      </w:r>
      <w:r>
        <w:t xml:space="preserve"> nuclear, power, generation, reactors; EU scope not established. This is a provisional connection, not an outcome finding.</w:t>
      </w:r>
    </w:p>
    <w:p>
      <w:pPr>
        <w:pStyle w:val="SourceNote"/>
      </w:pPr>
      <w:r>
        <w:rPr>
          <w:b/>
        </w:rPr>
        <w:t>Available abstract (not full text):</w:t>
      </w:r>
      <w:r>
        <w:t xml:space="preserve"> Abstract Beryllium has extraordinary physical, mechanical, and nuclear properties that make it an ideal material for improving nuclear reactor physics, particularly for compact and high-performance reactors such as fission microreactors and fusion reactors. However, beryllium and its useful oxide have been excluded from commercial power reactors because they are expensive. This review discusses why beryllium is disproportionately more expensive than other metals and presents current opportunities to reduce costs for implementation in advanced nuclear reactors. The cost is primarily caused by the health hazards of beryllium which require extensive infrastructure and procedures to keep personnel safe throughout the entire supply chain and lifecycle. The hazards of beryllium have been discussed elsewhere and are only summarized before discussing practical hazard mitigation strategies. Detection of beryllium contamination is identified as a major challenge that inflates costs of research and industry. Additional costs arise from the supply chain, fabrication, and a relatively small market share for nuclear applications. Available beryllium material forms and manufacturing methods are discussed to assess their potential value to reactor designers along with corrosion and irradiation constraints. Aluminum-beryllium composites and additive manufacturing of beryllium are identified as </w:t>
      </w:r>
    </w:p>
    <w:p>
      <w:pPr/>
      <w:r>
        <w:rPr>
          <w:b/>
        </w:rPr>
        <w:t>POSSIBLE 2026:</w:t>
      </w:r>
      <w:r>
        <w:t xml:space="preserve"> Nuclear Technology Transition Towards SMR and Generation-IV — https://doi.org/10.1007/978-3-032-15512-2_15</w:t>
      </w:r>
    </w:p>
    <w:p>
      <w:pPr/>
      <w:r>
        <w:rPr>
          <w:b/>
        </w:rPr>
        <w:t>Shared claim-specific concepts:</w:t>
      </w:r>
      <w:r>
        <w:t xml:space="preserve"> nuclear, power, reactors, climate; EU scope visible. This is a provisional connection, not an outcome finding.</w:t>
      </w:r>
    </w:p>
    <w:p>
      <w:pPr>
        <w:pStyle w:val="SourceNote"/>
      </w:pPr>
      <w:r>
        <w:rPr>
          <w:b/>
        </w:rPr>
        <w:t>Available abstract (not full text):</w:t>
      </w:r>
      <w:r>
        <w:t xml:space="preserve"> Concern about climate warming is a strong driving force for reduced fossil fuel consumption. European leaders want to reduce greenhouse gas releases to nearly zero by 2050 and extend the electrification of final energy use as much as possible. Nuclear energy should be a primary choice in this perspective. Unfortunately, hostility towards nuclear energy persists despite past successful achievements. The arguments of deniers are based on economic viability, risks of accidents and long-lived nuclear wastes. None of these arguments—partially justified for today’s light-water technology—is a showstopper in the long term. Technologies have something in common with the living world: they are in constant evolution. The process is slow, taking almost a century to produce disruptive changes. Starting in 1950, nuclear technology should be very different in 2050 as a result of current R&amp;D. Factory-made modules with reduced power sizes known as SMR ( Small Modular Reactors ), will address some of the economic and safety concerns. Emergent technologies dubbed Generation-IV will considerably enlarge the applications towards water desalination, high temperature heat and naval propulsion. Adoption of different reactor coolant fluids (helium gas, liquid heavy metals or molten salts) instead of water should reduce the safety concerns. Combining specific choices of reactor fuels with adequate neut</w:t>
      </w:r>
    </w:p>
    <w:p>
      <w:pPr/>
      <w:r>
        <w:rPr>
          <w:b/>
        </w:rPr>
        <w:t>POSSIBLE 2025:</w:t>
      </w:r>
      <w:r>
        <w:t xml:space="preserve"> Atomic rivers. The (Un)sustainability of nuclear power in an age of climate change — https://doi.org/10.1016/j.enpol.2025.114631</w:t>
      </w:r>
    </w:p>
    <w:p>
      <w:pPr/>
      <w:r>
        <w:rPr>
          <w:b/>
        </w:rPr>
        <w:t>Shared claim-specific concepts:</w:t>
      </w:r>
      <w:r>
        <w:t xml:space="preserve"> nuclear, power, climate, electricity, conditions; EU scope visible. This is a provisional connection, not an outcome finding.</w:t>
      </w:r>
    </w:p>
    <w:p>
      <w:pPr>
        <w:pStyle w:val="SourceNote"/>
      </w:pPr>
      <w:r>
        <w:rPr>
          <w:b/>
        </w:rPr>
        <w:t>Available abstract (not full text):</w:t>
      </w:r>
      <w:r>
        <w:t xml:space="preserve"> The sustainability of nuclear energy amidst climate change and environmental regulations poses critical challenges, particularly in European contexts where major rivers like the Rhine, the Danube, and the Rhône are experiencing declining water levels and rising temperatures. We scrutinise the operational difficulties nuclear power plants encounter, arising from insufficient cooling water and environmental mandates that prevent the discharge of overly warm cooling water into rivers. These conditions have led to partial or full shutdowns of nuclear facilities across France, Germany, Switzerland, Belgium, Spain, Romania, and other countries, emphasising the tension between nuclear energy as a low-carbon solution and its environmental impacts. We explore the concept of sustainability in the context of riverine nuclear energy from three angles: technical challenges posed by water scarcity, regulatory constraints on cooling water temperatures, and the ecological impacts of thermal discharges on riverine ecosystems. Our analysis reveals an emerging contradiction between ensuring electricity supply and adhering to environmental protection, highlighting the need for a reevaluation of nuclear energy's role in a future sustainable energy landscape. • The sustainability of riverine nuclear power plants is questionable. • Extreme weather, like heatwaves combined with water scarcity, threate</w:t>
      </w:r>
    </w:p>
    <w:p>
      <w:pPr/>
      <w:r>
        <w:rPr>
          <w:b/>
        </w:rPr>
        <w:t>POSSIBLE 2025:</w:t>
      </w:r>
      <w:r>
        <w:t xml:space="preserve"> Nuclear nostalgia – Unveiling the sociotechnical imaginary of new nuclear power in Sweden — https://doi.org/10.5194/safend2025-64</w:t>
      </w:r>
    </w:p>
    <w:p>
      <w:pPr/>
      <w:r>
        <w:rPr>
          <w:b/>
        </w:rPr>
        <w:t>Shared claim-specific concepts:</w:t>
      </w:r>
      <w:r>
        <w:t xml:space="preserve"> nuclear, power, experience, reactors, within, several; EU scope visible. This is a provisional connection, not an outcome finding.</w:t>
      </w:r>
    </w:p>
    <w:p>
      <w:pPr>
        <w:pStyle w:val="SourceNote"/>
      </w:pPr>
      <w:r>
        <w:rPr>
          <w:b/>
        </w:rPr>
        <w:t>Available abstract (not full text):</w:t>
      </w:r>
      <w:r>
        <w:t xml:space="preserve"> Recently, interest in nuclear power has surged. Several countries are either planning for or have already begun constructing new nuclear power plants. The European Union now includes nuclear in its green taxonomy (EU 2022/1214). Coupled with recent technical development, most notably 4th generation- and Small Modular Reactor technology, there are even talks of a renaissance of nuclear power.In Sweden, this phenomenon has manifested in plans to again build nuclear power plants. The government has launched a new nuclear program (Busch et al, 2023), laws are being changed (Andersson, 2023) and investigations are ongoing to facilitate the financing of new power plants (Dillén, 2024).In the past, Sweden was at the forefront of civil nuclear technology by building twelve reactors between 1971 and 1985 (IAEA, 2021). Thereafter followed, however, a period of decommissioning where six reactors were phased out (ibid, 2021). With recent plans to build new nuclear plants, Sweden has once again changed paths.According to theoretical insights of sociotechnical imaginaries (STI) this development can be understood as informed by visions of how nuclear power will aid in achieving a beneficial future (Jasanoff &amp; Kim, 2015; 2009). Within this field of research, several papers have studied different nations’ constructions of (un)desirable futures of nuclear power (e.g., Felt, 2015; Jasanoff &amp; Kim,</w:t>
      </w:r>
    </w:p>
    <w:p>
      <w:pPr/>
      <w:r>
        <w:rPr>
          <w:b/>
        </w:rPr>
        <w:t>POSSIBLE 2024:</w:t>
      </w:r>
      <w:r>
        <w:t xml:space="preserve"> Can the European nuclear power industry compete with the Chinese nuclear power industry? — https://doi.org/10.24294/jipd.v8i11.8715</w:t>
      </w:r>
    </w:p>
    <w:p>
      <w:pPr/>
      <w:r>
        <w:rPr>
          <w:b/>
        </w:rPr>
        <w:t>Shared claim-specific concepts:</w:t>
      </w:r>
      <w:r>
        <w:t xml:space="preserve"> nuclear, power, generation; EU scope visible. This is a provisional connection, not an outcome finding.</w:t>
      </w:r>
    </w:p>
    <w:p>
      <w:pPr>
        <w:pStyle w:val="SourceNote"/>
      </w:pPr>
      <w:r>
        <w:rPr>
          <w:b/>
        </w:rPr>
        <w:t>Available abstract (not full text):</w:t>
      </w:r>
      <w:r>
        <w:t xml:space="preserve"> European commissioner for the Internal Market, Thierry Breton, told Le Journal du Dimanche in January 2022, “Existing nuclear plants alone will need 50 billion euros of investment from now until 2030. And new generation ones will need 500 billion”. This paper considers whether these values are realistic. Further, it asks whether these investments would yield an internationally competitive European nuclear power infrastructure given that the nuclear power industries in the Organization for Economic Cooperation and Development member countries have lost global nuclear market share to Russian and Chinese firms since 1995.The paper investigates whether the European nuclear industry even with massive investment can compete with the Chinese nuclear industries. It concludes that the European (in particular, the French) nuclear power industry will be unlikely to be cost competitive with the Chinese nuclear power industry unless financing and new plant orders are immediately forthcoming. To achieve carbon neutrality, the issue becomes whether European Union countries can afford indigenous nuclear technologies or will need to import nuclear power plants from Asia.</w:t>
      </w:r>
    </w:p>
    <w:p>
      <w:pPr/>
      <w:r>
        <w:rPr>
          <w:b/>
        </w:rPr>
        <w:t>POSSIBLE 2024:</w:t>
      </w:r>
      <w:r>
        <w:t xml:space="preserve"> Towards strategic agenda for European nuclear education, training, and knowledge management — https://doi.org/10.1016/j.nucengdes.2024.113001</w:t>
      </w:r>
    </w:p>
    <w:p>
      <w:pPr/>
      <w:r>
        <w:rPr>
          <w:b/>
        </w:rPr>
        <w:t>Shared claim-specific concepts:</w:t>
      </w:r>
      <w:r>
        <w:t xml:space="preserve"> nuclear, power, experience, generation, within, decades; EU scope visible. This is a provisional connection, not an outcome finding.</w:t>
      </w:r>
    </w:p>
    <w:p>
      <w:pPr>
        <w:pStyle w:val="SourceNote"/>
      </w:pPr>
      <w:r>
        <w:rPr>
          <w:b/>
        </w:rPr>
        <w:t>Available abstract (not full text):</w:t>
      </w:r>
      <w:r>
        <w:t xml:space="preserve"> The key elements of the EU-wide strategic agenda for nuclear education, training, and knowledge management are proposed in this paper. They were developed partly within the ENEN+ and ENEN# projects, to support and consolidate the efforts of the nuclear stakeholders to attract, develop, and retain new talents. The paper considers the projections of needs developed by the European Human Resources Observatory-Nuclear (EHRO-N). It builds on the existing national nuclear education strategies in the EU and beyond and more than two decades of experience with the European Nuclear Education Network (ENEN). The paper outlines and substantiates the most important actions and risks related to human resources, which need to be managed successfully for the EU to contribute to the tripling of the nuclear power generation capacity on the planet by 2050 (as announced in COP28) and to retain its leading role in the nuclear power and non-power applications. The sheer complexity of this challenge calls for high-level strategic support, coordination, and partnership between all nuclear stakeholders, especially those involved in the decision-making. The present situation calls for urgent strategic actions with long-term sustainability.</w:t>
      </w:r>
    </w:p>
    <w:p>
      <w:pPr/>
      <w:r>
        <w:rPr>
          <w:b/>
        </w:rPr>
        <w:t>POSSIBLE 2024:</w:t>
      </w:r>
      <w:r>
        <w:t xml:space="preserve"> Nuclear industry experiences in radiation exposures — https://doi.org/10.1177/01466453241283931q</w:t>
      </w:r>
    </w:p>
    <w:p>
      <w:pPr/>
      <w:r>
        <w:rPr>
          <w:b/>
        </w:rPr>
        <w:t>Shared claim-specific concepts:</w:t>
      </w:r>
      <w:r>
        <w:t xml:space="preserve"> nuclear, power, generation, climate; EU scope not established. This is a provisional connection, not an outcome finding.</w:t>
      </w:r>
    </w:p>
    <w:p>
      <w:pPr>
        <w:pStyle w:val="SourceNote"/>
      </w:pPr>
      <w:r>
        <w:rPr>
          <w:b/>
        </w:rPr>
        <w:t>Available abstract (not full text):</w:t>
      </w:r>
      <w:r>
        <w:t xml:space="preserve"> The ‘As Low As Reasonably Achievable’ (ALARA) principle is one of the 3 fundamental elements of radiation protection. Noting that ionising radiation is both encountered naturally in the environment as part of everyday life, and artificially as part of a range of practices, the ALARA principle aims to provide a means of optimising radiation exposures. Since the introduction of the principle the nuclear industry has had a good track record of progressively reducing occupational and environmental exposures across the nuclear fuel cycle. However, recent industry feedback has highlighted that as the exposures continue to decline, there is evidence that its application in the purest sense can result in a disproportionate outcome in terms of wider non-radiological hazards, and / or use of resources both physical and human. This is leading to a general push for day-to-day exposures in nuclear power generation to be far lower than other forms of energy generation, sectors such as medical or minerals refinement, or compared to exposures we get from natural sources of radioactivity. This is at great cost for what is a negligible improvement in public protection. With the ongoing concerns of climate change, many countries have made a commitment to embrace low carbon energy systems. In support of this ambition new nuclear power has been identified as a key part of the energy mix, highlighti</w:t>
      </w:r>
    </w:p>
    <w:p>
      <w:pPr/>
      <w:r>
        <w:rPr>
          <w:b/>
        </w:rPr>
        <w:t>POSSIBLE 2024:</w:t>
      </w:r>
      <w:r>
        <w:t xml:space="preserve"> Sustaining regional Nuclear Human Capacity Building in Europe — https://doi.org/10.1016/j.nucengdes.2024.112916</w:t>
      </w:r>
    </w:p>
    <w:p>
      <w:pPr/>
      <w:r>
        <w:rPr>
          <w:b/>
        </w:rPr>
        <w:t>Shared claim-specific concepts:</w:t>
      </w:r>
      <w:r>
        <w:t xml:space="preserve"> nuclear, power, experience, within; EU scope visible. This is a provisional connection, not an outcome finding.</w:t>
      </w:r>
    </w:p>
    <w:p>
      <w:pPr>
        <w:pStyle w:val="SourceNote"/>
      </w:pPr>
      <w:r>
        <w:rPr>
          <w:b/>
        </w:rPr>
        <w:t>Available abstract (not full text):</w:t>
      </w:r>
      <w:r>
        <w:t xml:space="preserve"> Nuclear science, a pillar of human advancement in the last century, contributes significantly to clean energy and advanced medical care worldwide. This work highlights the critical importance of preserving nuclear human capacity in Europe to maintain a robust pool of expertise and nuclear Education and Training (E&amp;T) infrastructure. Since 2000, the Organization for Economic Co-operation and Development - Nuclear Energy Agency (OECD-NEA) has expressed deep concern regarding the potential shortage of human resources in the field of nuclear science. The European Human Resources Observatory for Nuclear (EHRO-N) provided insight into the actual human resource levels needed in the nuclear industry in Europe, and this concern remains prevalent in the international community as of the year 2023, especially considering the projected nuclear power capacity by 2050. Given the distinctive and diverse challenges encountered within Europe, a novel quadrangular analysis model is introduced to facilitate the understanding of the diverse Nuclear Human Capacity Building (NHCB) development scenarios in the region. In the European Union (EU), concerted efforts were initiated in 2003 to establish regional networking activities dedicated to nuclear E&amp;T. Since then, a wide range of nuclear stakeholders, including universities, research centers, industry representatives, technical support organization</w:t>
      </w:r>
    </w:p>
    <w:p>
      <w:pPr/>
      <w:r>
        <w:rPr>
          <w:b/>
        </w:rPr>
        <w:t>POSSIBLE 2024:</w:t>
      </w:r>
      <w:r>
        <w:t xml:space="preserve"> Investigating the role of nuclear power and battery storage in Hungary's energy transition using hourly resolution electricity market simulations — https://doi.org/10.1016/j.heliyon.2024.e29841</w:t>
      </w:r>
    </w:p>
    <w:p>
      <w:pPr/>
      <w:r>
        <w:rPr>
          <w:b/>
        </w:rPr>
        <w:t>Shared claim-specific concepts:</w:t>
      </w:r>
      <w:r>
        <w:t xml:space="preserve"> nuclear, power, experience, generation, electricity; EU scope visible. This is a provisional connection, not an outcome finding.</w:t>
      </w:r>
    </w:p>
    <w:p>
      <w:pPr>
        <w:pStyle w:val="SourceNote"/>
      </w:pPr>
      <w:r>
        <w:rPr>
          <w:b/>
        </w:rPr>
        <w:t>Available abstract (not full text):</w:t>
      </w:r>
      <w:r>
        <w:t xml:space="preserve"> Electricity supply in European countries faces a number of challenges, such as achieving carbon neutrality, tackling rising prices, reducing dependence on fossil fuels, including fossil fuel imports. To achieve these goals, the electricity systems of all European countries will have to undergo major changes, while taking into account technical, environmental, economic and social objectives. Our simulations provide essential data for this transition by analyzing different power plant portfolios and electricity consumption scenarios. The analyses focus on the cooperation of nuclear power and weather-dependent renewables, and on the possible role that battery-based electricity storage can play in the Hungarian electricity system. In this paper, we present the experience gained in setting up an electricity market model and the results of running the model on the electricity systems of Hungary and its six neighboring countries (Slovakia, Romania, Serbia, Croatia, Slovenia and Austria), taking into account the constraints of the cross-border capacities. The results of the sensitivity analysis for the 2030 power plant portfolios, battery capacities and renewables analyzed in this paper cover Hungary's import/export position, the energy source structure of its electricity generation, battery operation, CO2 emissions from electricity generation, expected prices in the system and the uti</w:t>
      </w:r>
    </w:p>
    <w:p>
      <w:pPr/>
      <w:r>
        <w:rPr>
          <w:b/>
        </w:rPr>
        <w:t>POSSIBLE 2023:</w:t>
      </w:r>
      <w:r>
        <w:t xml:space="preserve"> Democracy and Nuclear Power in the Czech Republic — https://doi.org/10.4324/9781003421368-17</w:t>
      </w:r>
    </w:p>
    <w:p>
      <w:pPr/>
      <w:r>
        <w:rPr>
          <w:b/>
        </w:rPr>
        <w:t>Shared claim-specific concepts:</w:t>
      </w:r>
      <w:r>
        <w:t xml:space="preserve"> nuclear, power, experience; EU scope visible. This is a provisional connection, not an outcome finding.</w:t>
      </w:r>
    </w:p>
    <w:p>
      <w:pPr>
        <w:pStyle w:val="SourceNote"/>
      </w:pPr>
      <w:r>
        <w:rPr>
          <w:b/>
        </w:rPr>
        <w:t>Available abstract (not full text):</w:t>
      </w:r>
      <w:r>
        <w:t xml:space="preserve"> This chapter explores the construction of the one-thousand megawatt Temelin nuclear power plant in the Czech Republic. The Czech Republic is in the first group of candidates in central and eastern Europe to join both the European Union and the North Atlantic Treaty Organization. The Czech experience with nuclear power is a test case that will affect the viability and future marketability of nuclear power in central and eastern Europe. Nuclear power advocates saw the opportunity and accepted the challenge. The former Soviet Union, with compliance or agreement from the states of central and eastern Europe, had planned dozens of nuclear power plants for the region. The most widely used definition of sustainable development is “development that meets the needs of the present without compromising the ability of future generations to meet their own needs”. Under communism, environmentalists were labeled right wing because they were accused of trying to destroy socialist dreams by imposing costly demands on the government.</w:t>
      </w:r>
    </w:p>
    <w:p>
      <w:pPr/>
      <w:r>
        <w:rPr>
          <w:b/>
        </w:rPr>
        <w:t>POSSIBLE 2023:</w:t>
      </w:r>
      <w:r>
        <w:t xml:space="preserve"> Historical diffusion of nuclear, wind and solar power in different national contexts: implications for climate mitigation pathways — https://doi.org/10.1088/1748-9326/acf47a</w:t>
      </w:r>
    </w:p>
    <w:p>
      <w:pPr/>
      <w:r>
        <w:rPr>
          <w:b/>
        </w:rPr>
        <w:t>Shared claim-specific concepts:</w:t>
      </w:r>
      <w:r>
        <w:t xml:space="preserve"> nuclear, power, climate, electricity; EU scope visible. This is a provisional connection, not an outcome finding.</w:t>
      </w:r>
    </w:p>
    <w:p>
      <w:pPr>
        <w:pStyle w:val="SourceNote"/>
      </w:pPr>
      <w:r>
        <w:rPr>
          <w:b/>
        </w:rPr>
        <w:t>Available abstract (not full text):</w:t>
      </w:r>
      <w:r>
        <w:t xml:space="preserve"> Abstract Climate change mitigation requires rapid expansion of low-carbon electricity but there is a disagreement on whether available technologies such as renewables and nuclear power can be scaled up sufficiently fast. Here we analyze the diffusion of nuclear (from the 1960s), as well as wind and solar (from the 1980–90s) power. We show that all these technologies have been adopted in most large economies except major energy exporters, but solar and wind have diffused across countries faster and wider than nuclear. After the initial adoption, the maximum annual growth for nuclear power has been 2.6% of national electricity supply (IQR 1.3%–6%), for wind − 1.1% (0.6%–1.7%), and for solar − 0.8% (0.5%–1.3%). The fastest growth of nuclear power occurred in Western Europe in the 1980s, a response by industrialized democracies to the energy supply crises of the 1970s. The European Union (EU), currently experiencing a similar energy supply shock, is planning to expand wind and solar at similarly fast rates. This illustrates that national contexts can impact the speed of technology diffusion at least as much as technology characteristics like cost, granularity, and complexity. In the Intergovernmental Panel on Climate Change mitigation pathways, renewables grow much faster than nuclear due to their lower projected costs, though empirical evidence does not show that the cost is the s</w:t>
      </w:r>
    </w:p>
    <w:p>
      <w:pPr/>
      <w:r>
        <w:rPr>
          <w:b/>
        </w:rPr>
        <w:t>POSSIBLE 2023:</w:t>
      </w:r>
      <w:r>
        <w:t xml:space="preserve"> The Economy of the Countries of the World is Experiencing the Need for Nuclear Power Plants — https://openalex.org/W7219353948</w:t>
      </w:r>
    </w:p>
    <w:p>
      <w:pPr/>
      <w:r>
        <w:rPr>
          <w:b/>
        </w:rPr>
        <w:t>Shared claim-specific concepts:</w:t>
      </w:r>
      <w:r>
        <w:t xml:space="preserve"> nuclear, power, electricity, article; EU scope not established. This is a provisional connection, not an outcome finding.</w:t>
      </w:r>
    </w:p>
    <w:p>
      <w:pPr>
        <w:pStyle w:val="SourceNote"/>
      </w:pPr>
      <w:r>
        <w:rPr>
          <w:b/>
        </w:rPr>
        <w:t>Available abstract (not full text):</w:t>
      </w:r>
      <w:r>
        <w:t xml:space="preserve"> This scientific article examines the sources on the need for nuclear power plants in the economies of the countries of the world. The existing nuclear power plants in the countries of the world, their capacity, the disadvantages and advantages of nuclear power plants, the role of nuclear power plants in the production of electricity, differences in the prices of electricity generated by them, the possibilities of achieving economic and social goals of low-cost sustainable development in the production of electricity using nuclear power are analyzed.</w:t>
      </w:r>
    </w:p>
    <w:p>
      <w:pPr>
        <w:pStyle w:val="Heading2"/>
      </w:pPr>
      <w:r>
        <w:t>811. The European Union and Africa towards 2030: perspectives from transnational civil society organisations</w:t>
      </w:r>
    </w:p>
    <w:p>
      <w:pPr>
        <w:pStyle w:val="SourceNote"/>
      </w:pPr>
      <w:r>
        <w:rPr>
          <w:b/>
        </w:rPr>
        <w:t>Original source (2017):</w:t>
      </w:r>
      <w:r>
        <w:t xml:space="preserve"> https://doi.org/10.4000/151gv</w:t>
      </w:r>
    </w:p>
    <w:p>
      <w:pPr/>
      <w:r>
        <w:t>Original wording (abstract; indexed_source_text_not_full_document_verified): SDG17 sets the legal (morally binding) framework under which supranational actors, among others, are warmly invited to contribute to reach Sustainable Development by 2030. The rhetoric of aid as redeeming for the poor and redemptive for the rich, in line with an updated ‘white man’s burden’, might be transubstantiated in the narrative of a new EU-AU ‘equal partnership’.</w:t>
      </w:r>
    </w:p>
    <w:p>
      <w:pPr/>
      <w:r>
        <w:rPr>
          <w:b/>
        </w:rPr>
        <w:t>POSSIBLE 2026:</w:t>
      </w:r>
      <w:r>
        <w:t xml:space="preserve"> In Search of a Global Approach to Air Pollution: Some Legal Reflections on the Role of the SDGs — https://doi.org/10.1177/18785395261435146</w:t>
      </w:r>
    </w:p>
    <w:p>
      <w:pPr/>
      <w:r>
        <w:rPr>
          <w:b/>
        </w:rPr>
        <w:t>Shared claim-specific concepts:</w:t>
      </w:r>
      <w:r>
        <w:t xml:space="preserve"> legal, framework, actors, contribute, sustainable, poor; EU scope not established. This is a provisional connection, not an outcome finding.</w:t>
      </w:r>
    </w:p>
    <w:p>
      <w:pPr>
        <w:pStyle w:val="SourceNote"/>
      </w:pPr>
      <w:r>
        <w:rPr>
          <w:b/>
        </w:rPr>
        <w:t>Available abstract (not full text):</w:t>
      </w:r>
      <w:r>
        <w:t xml:space="preserve"> Air pollution is a major environmental problem, yet existing international legal responses fall short of adequately addressing the problem on a global scale. This article investigates if and how the Sustainable Development Goals (SDGs) fill the current legal and regulatory gap, and whether they can contribute to problem-solving. The SDGs do not have a separate goal that covers addressing poor air quality in its scope; however, they include several targets and indicators specific to the problem. The SDG framework is still far from offering a comprehensive approach to air pollution. Nonetheless, even in this limited capacity, the SDGs contribute meaningfully to legal responses to air pollution. First, the SDGs frame air pollution as a global development concern, given its impacts on health, the environment and economy worldwide. Second, the SDG framework proposes relatively precise targets and indicators on air quality that are globally applicable, which is significant given the absence of a global legal agreement on preventing air pollution. Third, the SDGs exhibit strong transnational legal characteristics and broadly define their norm addressees, thereby opening opportunities for a range of actors - nation-states, international organizations, and various stakeholders - to foster multi-stakeholder, multi-level cooperation to implement the Goals. Thus, the SDGs lay an important </w:t>
      </w:r>
    </w:p>
    <w:p>
      <w:pPr/>
      <w:r>
        <w:rPr>
          <w:b/>
        </w:rPr>
        <w:t>POSSIBLE 2026:</w:t>
      </w:r>
      <w:r>
        <w:t xml:space="preserve"> Critical Success Factors and a Modus Operandi Framework for Managing Multi‐Actor Research Partnerships for Sustainable Food Systems — https://doi.org/10.1002/sd.70930</w:t>
      </w:r>
    </w:p>
    <w:p>
      <w:pPr/>
      <w:r>
        <w:rPr>
          <w:b/>
        </w:rPr>
        <w:t>Shared claim-specific concepts:</w:t>
      </w:r>
      <w:r>
        <w:t xml:space="preserve"> framework, sustainable; EU scope not established. This is a provisional connection, not an outcome finding.</w:t>
      </w:r>
    </w:p>
    <w:p>
      <w:pPr>
        <w:pStyle w:val="SourceNote"/>
      </w:pPr>
      <w:r>
        <w:rPr>
          <w:b/>
        </w:rPr>
        <w:t>Available abstract (not full text):</w:t>
      </w:r>
      <w:r>
        <w:t xml:space="preserve"> ABSTRACT This paper investigates critical success factors for managing multi‐actor research partnerships for sustainable food systems along their lifecycle. Such partnerships coordinate both internal activities and manage externally funded projects. Drawing on evidence from case studies and workshops with diverse experts, the study identifies critical success factors for distinguishable development and operational phases, core pillars, and management categories for supported research projects. Guiding principles like adaptability, trust, transparency, consensus, and proactiveness are essential for ensuring inclusiveness and sustainability‐orientation. Additionally, successful partnership management depends on key performance indicators, in critical success factor represented areas, for continuous coordination and management, monitoring and reporting, and coherent communication, dissemination, and exploitation. Based on these unique expert‐driven insights, a novel conceptual Modus Operandi framework is developed, contributing to knowledge on research partnership management. Once validated in different contexts, this framework can support project managers and policymakers in effectively managing and guiding food system research partnerships.</w:t>
      </w:r>
    </w:p>
    <w:p>
      <w:pPr/>
      <w:r>
        <w:rPr>
          <w:b/>
        </w:rPr>
        <w:t>POSSIBLE 2026:</w:t>
      </w:r>
      <w:r>
        <w:t xml:space="preserve"> Navigating the 2030 Agenda: A Holistic Evaluation of Global Progress and Systemic Barriers Across All 17 Sustainable Development Goals — https://doi.org/10.65326/u7y.specsdg10010</w:t>
      </w:r>
    </w:p>
    <w:p>
      <w:pPr/>
      <w:r>
        <w:rPr>
          <w:b/>
        </w:rPr>
        <w:t>Shared claim-specific concepts:</w:t>
      </w:r>
      <w:r>
        <w:t xml:space="preserve"> sets, binding, sustainable; EU scope not established. This is a provisional connection, not an outcome finding.</w:t>
      </w:r>
    </w:p>
    <w:p>
      <w:pPr>
        <w:pStyle w:val="SourceNote"/>
      </w:pPr>
      <w:r>
        <w:rPr>
          <w:b/>
        </w:rPr>
        <w:t>Available abstract (not full text):</w:t>
      </w:r>
      <w:r>
        <w:t xml:space="preserve"> With five years remaining before the 2030 deadline, the United Nations reports that 35% of assessable Sustainable Development Goal targets are on track or advancing moderately and that 18% have regressed below their 2015 baseline. Explanations for the shortfall divide into three diagnoses that are rarely tested against one another: an investment gap now estimated near four trillion dollars a year, a governance architecture that sets goals without binding anyone to them, and a measurement system that cannot see roughly half of what it is meant to track. This policy analysis appraises the progress record against the monitoring infrastructure that produces it, then examines the four constraints that the literature treats as parallel obstacles: commitment design, measurement and visibility, selective national implementation, and financing. The analysis finds the constraints are causally coupled rather than additive. Indicator selection removed the distributional and environmental content of several goals; the goals that lost measurability were subsequently deprioritised in national reviews; weak accountability then permitted the shortfall to be attributed to insufficient finance; and financing responses concentrated on the goals that remained visible. Shocks act on this cycle as an amplifier rather than an independent cause. The paper sets out three feedback loops that sustain the </w:t>
      </w:r>
    </w:p>
    <w:p>
      <w:pPr/>
      <w:r>
        <w:rPr>
          <w:b/>
        </w:rPr>
        <w:t>POSSIBLE 2026:</w:t>
      </w:r>
      <w:r>
        <w:t xml:space="preserve"> Reimagining SDG 17 in Africa Through the Marshall Plan Paradigm: A Conceptual Framework for Equitable and Sustainable Global Partnerships — https://doi.org/10.3390/su18083688</w:t>
      </w:r>
    </w:p>
    <w:p>
      <w:pPr/>
      <w:r>
        <w:rPr>
          <w:b/>
        </w:rPr>
        <w:t>Shared claim-specific concepts:</w:t>
      </w:r>
      <w:r>
        <w:t xml:space="preserve"> framework, actors, sustainable; EU scope not established. This is a provisional connection, not an outcome finding.</w:t>
      </w:r>
    </w:p>
    <w:p>
      <w:pPr>
        <w:pStyle w:val="SourceNote"/>
      </w:pPr>
      <w:r>
        <w:rPr>
          <w:b/>
        </w:rPr>
        <w:t>Available abstract (not full text):</w:t>
      </w:r>
      <w:r>
        <w:t xml:space="preserve"> This study develops a conceptual framework for reimagining Sustainable Development Goal 17 (SDG 17) in Africa through a reinterpretation of the Marshall Plan’s governance logic. The primary focus is to address persistent failures in development partnerships—namely, fragmentation, weak coordination, power asymmetries, and limited institutional capacity—by proposing a structured model of partnership governance. Using a theory-building methodology grounded in historical analysis and documentary evidence, the study applies a systematic adaptation logic in which core governance mechanisms from the Marshall Plan are re-specified to reflect African institutional realities. These mechanisms—coordination, mutual accountability, collective action, state capacity, and trust—are translated into eight operational pillars: co-development, institutional strengthening, structural transformation, regional integration, blended finance, digital public infrastructure, knowledge co-production, and resilience. The framework conceptualizes SDG 17 as a meta-governance system that aligns actors, institutions, and resources across sectors. By moving from historical abstraction to context-sensitive application, the study contributes a coherent, Africa-centered governance model that enhances partnership effectiveness and informs post-2030 development policy.</w:t>
      </w:r>
    </w:p>
    <w:p>
      <w:pPr/>
      <w:r>
        <w:rPr>
          <w:b/>
        </w:rPr>
        <w:t>POSSIBLE 2025:</w:t>
      </w:r>
      <w:r>
        <w:t xml:space="preserve"> Do European Social Funds Matter in Achieving the Sustainable Development Goals? — https://doi.org/10.3390/su17020381</w:t>
      </w:r>
    </w:p>
    <w:p>
      <w:pPr/>
      <w:r>
        <w:rPr>
          <w:b/>
        </w:rPr>
        <w:t>Shared claim-specific concepts:</w:t>
      </w:r>
      <w:r>
        <w:t xml:space="preserve"> sdg17, sustainable; EU scope visible. This is a provisional connection, not an outcome finding.</w:t>
      </w:r>
    </w:p>
    <w:p>
      <w:pPr>
        <w:pStyle w:val="SourceNote"/>
      </w:pPr>
      <w:r>
        <w:rPr>
          <w:b/>
        </w:rPr>
        <w:t>Available abstract (not full text):</w:t>
      </w:r>
      <w:r>
        <w:t xml:space="preserve"> The aim and novelty of this study lie in analyzing the role of the European Social Fund (ESF) in supporting the implementation of the Sustainable Development Goals (SDGs) within European Union (EU) countries over the 2015–2023 period. EU Member States were grouped into two clusters: Cluster A (15 lower-income states) and Cluster B (12 higher-income states). The study used ESF payments as the explanatory variable and 17 SDG indicators as dependent variables. The methodology combined exploratory factor analysis (EFA) and robust regression to analyze the relationship between the ESF and the SDGs. The ESF has a significant impact on reducing poverty (SDG1), fostering economic growth (SDG8), and enhancing industry and innovation (SDG9), particularly in less-developed regions where its interventions address structural challenges through vocational training, job creation, and infrastructure development. However, its contributions to sustainability goals (SDGs 7, 12, and 13) are limited or even negative in some cases, as economic priorities often overshadow environmental objectives, especially in more-developed regions where climate and energy transitions rely on other funding sources. The ESF excels in fostering partnerships (SDG17) in less-developed regions by mobilizing resources and promoting collaboration, but its role is less impactful in developed regions where institutional fra</w:t>
      </w:r>
    </w:p>
    <w:p>
      <w:pPr/>
      <w:r>
        <w:rPr>
          <w:b/>
        </w:rPr>
        <w:t>POSSIBLE 2025:</w:t>
      </w:r>
      <w:r>
        <w:t xml:space="preserve"> Sustainable Development Goal‐Related Innovations and Financial Performance: Evidence From European Grocery Retailers — https://doi.org/10.1002/csr.70013</w:t>
      </w:r>
    </w:p>
    <w:p>
      <w:pPr/>
      <w:r>
        <w:rPr>
          <w:b/>
        </w:rPr>
        <w:t>Shared claim-specific concepts:</w:t>
      </w:r>
      <w:r>
        <w:t xml:space="preserve"> sustainable, line; EU scope visible. This is a provisional connection, not an outcome finding.</w:t>
      </w:r>
    </w:p>
    <w:p>
      <w:pPr>
        <w:pStyle w:val="SourceNote"/>
      </w:pPr>
      <w:r>
        <w:rPr>
          <w:b/>
        </w:rPr>
        <w:t>Available abstract (not full text):</w:t>
      </w:r>
      <w:r>
        <w:t xml:space="preserve"> ABSTRACT The grocery retail industry is of great economic importance, with millions of people employed in the sector and billions of customers served. Consequently, the sustainability initiatives undertaken by retailers have a substantial impact. This paper explores the impact of innovations related to the Sustainable Development Goals (SDGs) on retailers' financial performance. The findings of this study indicate that the 18 largest European grocery retailers introduced 2701 innovations between 2007 and 2021, of which 783 were SDG‐related. Furthermore, these SDG‐related innovations impacted financial performance positively. Innovations related to SDG2 (zero hunger), SDG9 (industry, innovation and infrastructure), and SDG12 (responsible consumption and production) had a significant and positive effect on the financial performance of grocery retailers, thereby inspiring a new wave of sustainability‐related practices in the industry. The present study contributes to the extant literature by demonstrating that profitable SDG‐related innovations have been identified in all three areas of the triple bottom line approach.</w:t>
      </w:r>
    </w:p>
    <w:p>
      <w:pPr/>
      <w:r>
        <w:rPr>
          <w:b/>
        </w:rPr>
        <w:t>POSSIBLE 2025:</w:t>
      </w:r>
      <w:r>
        <w:t xml:space="preserve"> Globalization, glocalization, and Internationalization at Home from a Chinese perspective: case studies of China–Europe higher education cooperation — https://doi.org/10.1177/17454999251325120</w:t>
      </w:r>
    </w:p>
    <w:p>
      <w:pPr/>
      <w:r>
        <w:rPr>
          <w:b/>
        </w:rPr>
        <w:t>Shared claim-specific concepts:</w:t>
      </w:r>
      <w:r>
        <w:t xml:space="preserve"> framework, sustainable; EU scope visible. This is a provisional connection, not an outcome finding.</w:t>
      </w:r>
    </w:p>
    <w:p>
      <w:pPr>
        <w:pStyle w:val="SourceNote"/>
      </w:pPr>
      <w:r>
        <w:rPr>
          <w:b/>
        </w:rPr>
        <w:t>Available abstract (not full text):</w:t>
      </w:r>
      <w:r>
        <w:t xml:space="preserve"> In a dynamic global environment, higher education cooperation is a driving force behind the advancement of scientific knowledge that offers potential solutions to world problems and global challenges. China and Europe have a long history of higher education exchange. In the literature, most papers on China–Europe higher education cooperation have focused on the development prior to the latest dramatic period of change. To fill this significant gap in knowledge and evidence, we develop a unified conceptual framework that links the modes of contemporary higher education cooperation in the context of China (globalization, glocalization, and Internationalization at Home), with the models of internationalized higher education institutions in the literature (classical, satellite, and co-founded). We then apply our analytical framework and examine three case studies: China Europe International Business School (CEIBS), Hainan Bielefeld University of Applied Sciences (BiUH), and Zhejiang University – University of Edinburgh Institute (ZJE). Overall, our paper sheds light on how each China–Europe higher education cooperation model can tackle the global challenges faced by global society as in the UN Sustainable Development Goals (SDGs).</w:t>
      </w:r>
    </w:p>
    <w:p>
      <w:pPr/>
      <w:r>
        <w:rPr>
          <w:b/>
        </w:rPr>
        <w:t>POSSIBLE 2025:</w:t>
      </w:r>
      <w:r>
        <w:t xml:space="preserve"> Driving SDG15 : The Role of HEIs in Biodiversity Conservation Through Digitalization and Reporting — https://doi.org/10.1002/sd.3504</w:t>
      </w:r>
    </w:p>
    <w:p>
      <w:pPr/>
      <w:r>
        <w:rPr>
          <w:b/>
        </w:rPr>
        <w:t>Shared claim-specific concepts:</w:t>
      </w:r>
      <w:r>
        <w:t xml:space="preserve"> sdg17, sustainable; EU scope visible. This is a provisional connection, not an outcome finding.</w:t>
      </w:r>
    </w:p>
    <w:p>
      <w:pPr>
        <w:pStyle w:val="SourceNote"/>
      </w:pPr>
      <w:r>
        <w:rPr>
          <w:b/>
        </w:rPr>
        <w:t>Available abstract (not full text):</w:t>
      </w:r>
      <w:r>
        <w:t xml:space="preserve"> ABSTRACT Education, research, and public engagement are key strategies guiding European higher education institutions (HEIs) in advancing the United Nations Sustainable Development Goals (SDGs). Through stakeholder, legitimacy, and resource‐based view theories, this study examines the contributions of HEIs to saving Life on Land (SDG15), focusing on the role of digital technologies and Partnerships (SDG17) in biodiversity conservation. Despite interest in biodiversity conservation and the adoption of digital technologies in HEIs, knowledge about SDG15 issues is still limited. A double‐level content analysis through Leximancer v.5 and manual analysis was performed on 653 documents (191 sustainability reports and 462 website pages) from 50 European HEIs published between 2018 and 2024. The results highlight the key role of SDG17 and digital technologies in supporting biodiversity conservation efforts but also reveal a lack of standardized reporting frameworks, underscoring the need for a unified European approach to biodiversity disclosure to ensure more consistent and impactful contributions toward the SDGs. To the best of the authors' knowledge, this is the first study to address knowledge gaps on biodiversity practices supported by digitalization and partnerships, as adopted and shared through sustainability reporting by the top 50 universities leading in land conservation in </w:t>
      </w:r>
    </w:p>
    <w:p>
      <w:pPr/>
      <w:r>
        <w:rPr>
          <w:b/>
        </w:rPr>
        <w:t>POSSIBLE 2025:</w:t>
      </w:r>
      <w:r>
        <w:t xml:space="preserve"> From Goals to Action: A Targeted Framework for Sustainable Development Goals in Higher Education — https://doi.org/10.5772/intechopen.1010565</w:t>
      </w:r>
    </w:p>
    <w:p>
      <w:pPr/>
      <w:r>
        <w:rPr>
          <w:b/>
        </w:rPr>
        <w:t>Shared claim-specific concepts:</w:t>
      </w:r>
      <w:r>
        <w:t xml:space="preserve"> framework, sustainable; EU scope not established. This is a provisional connection, not an outcome finding.</w:t>
      </w:r>
    </w:p>
    <w:p>
      <w:pPr>
        <w:pStyle w:val="SourceNote"/>
      </w:pPr>
      <w:r>
        <w:rPr>
          <w:b/>
        </w:rPr>
        <w:t>Available abstract (not full text):</w:t>
      </w:r>
      <w:r>
        <w:t xml:space="preserve"> In recent years, the accelerating trend of digital transformation has compelled Higher Education Institutions (HEIs) to redefine their role and contribution to individual learners’ lives. This study builds on our previous work undertaken on Widening Participation (WP) and international students under current education 4.0 paradigms and ongoing digital transformation. We propose a practical framework to make the integration of Sustainable Development Goals (SDGs) more targeted and actionable for effective accessibility, inclusivity, and sustainability within the UK Higher Education sector. Critical inquiries have established a clear aim for HEIs to meet these indicators, although obstacles were identified within the subsequent gap analysis of the “2015 UN SDG Agenda” in their execution. Our chapter focuses primarily on the strategic alignment of SDG 4 (Quality Education), SDG 5 (Gender Equality), SDG 10 (Reduced Inequalities), and SDG 17 (Partnerships for the Goals) with institutional practices and graduate employability pathways. Furthermore, the discourse responds to criticisms that SDG implementation has been too broad or perceived as a “box-ticking” exercise, rather than a thoughtfully designed initiative that delivers measurable outcomes. The SDG Prism Framework essentially transforms the broad ambitions of SDGs through the process of “refraction” for realistic implementati</w:t>
      </w:r>
    </w:p>
    <w:p>
      <w:pPr/>
      <w:r>
        <w:rPr>
          <w:b/>
        </w:rPr>
        <w:t>POSSIBLE 2025:</w:t>
      </w:r>
      <w:r>
        <w:t xml:space="preserve"> The Future of Sustainable Development Goals and Culture: Addressing Missing Dimensions from Four Cosmovisions African Ubuntu, Latin-American Buen Vivir, Buddhist Happiness and Nordic Sami Arbediehtu — https://doi.org/10.1057/s41287-025-00708-6</w:t>
      </w:r>
    </w:p>
    <w:p>
      <w:pPr/>
      <w:r>
        <w:rPr>
          <w:b/>
        </w:rPr>
        <w:t>Shared claim-specific concepts:</w:t>
      </w:r>
      <w:r>
        <w:t xml:space="preserve"> sdg17, others, sustainable; EU scope not established. This is a provisional connection, not an outcome finding.</w:t>
      </w:r>
    </w:p>
    <w:p>
      <w:pPr>
        <w:pStyle w:val="SourceNote"/>
      </w:pPr>
      <w:r>
        <w:rPr>
          <w:b/>
        </w:rPr>
        <w:t>Available abstract (not full text):</w:t>
      </w:r>
      <w:r>
        <w:t xml:space="preserve"> Abstract The SDGs miss crucial dimensions when viewed from the cosmovisions of Ubuntu, Buen Vivir, Buddhist Happiness and Sami Arbediehtu. What principles can be derived from these cosmovisions to guide discussions after 2030? As methodology we use a dialogical intercultural philosophical reflection and a decolonial stance addressing planetary survival instead of sustainable development, to develop principles for after 2030, for example to be included in a Culture Goal using the transformative power of culture. After analysing and comparing the four cosmovisions, we suggest ‘Harmony with Nature’ as an umbrella planetary wellbeing concept. Other principles could be: (social SDGs:) harmony with oneself, others and nature; interculturality and epistemic diversity; community flourishing; balance of masculine and feminine values; intertwinement of spiritual, emotional, physical, communal health; serving others as educational goal; (green SDGs:) intrinsic value of nature as part of the community; recognizing ancestorial legacy and future generations’ needs; (economic SDGs:) economics of collective well-being, earth governance and society-oriented businesses; (SDG16:) participatory, ‘deep’ consensus oriented democracy; collective dignity, restorative justice; (SDG17 global partnership:) interdependence of all life.</w:t>
      </w:r>
    </w:p>
    <w:p>
      <w:pPr/>
      <w:r>
        <w:rPr>
          <w:b/>
        </w:rPr>
        <w:t>POSSIBLE 2025:</w:t>
      </w:r>
      <w:r>
        <w:t xml:space="preserve"> Bridging Regional Development and Sustainability: The Contribution of the European Regional Development Fund to Sustainable Development Goals Progress in the EU — https://doi.org/10.3390/su17083665</w:t>
      </w:r>
    </w:p>
    <w:p>
      <w:pPr/>
      <w:r>
        <w:rPr>
          <w:b/>
        </w:rPr>
        <w:t>Shared claim-specific concepts:</w:t>
      </w:r>
      <w:r>
        <w:t xml:space="preserve"> contribute, sustainable; EU scope visible. This is a provisional connection, not an outcome finding.</w:t>
      </w:r>
    </w:p>
    <w:p>
      <w:pPr>
        <w:pStyle w:val="SourceNote"/>
      </w:pPr>
      <w:r>
        <w:rPr>
          <w:b/>
        </w:rPr>
        <w:t>Available abstract (not full text):</w:t>
      </w:r>
      <w:r>
        <w:t xml:space="preserve"> The primary focus and innovation of this study lie in examining the role of the European Regional Development Fund (ERDF) in advancing the implementation of the Sustainable Development Goals (SDGs) across the EU member states during the 2015–2023 period. For this purpose, the EU member states were categorized into two groups: Group A (lower-income states) and Group B (higher-income states). This study utilized ERDF payments as the independent variable, while 17 SDG indicators were treated as the dependent variables. The methodology combined an Exploratory Factor Analysis (EFA) with robust regression techniques to explore the relationships between ERDF allocations and SDGs. This study highlights that the associations between ERDF allocations and SDGs progress are shaped by variations in the socio-economic contexts, institutional capacities, and developmental priorities across the different clusters. While tailored strategies reflecting these distinctions have been increasingly adopted to ensure that investments address immediate challenges and foster long-term sustainability, this analysis underscores the need for the continuous refinement of these approaches to maximize their effectiveness. In less developed regions, a focus on capacity-building initiatives and targeted administrative support is essential. Conversely, in more developed regions, prioritizing innovation, green te</w:t>
      </w:r>
    </w:p>
    <w:p>
      <w:pPr/>
      <w:r>
        <w:rPr>
          <w:b/>
        </w:rPr>
        <w:t>POSSIBLE 2025:</w:t>
      </w:r>
      <w:r>
        <w:t xml:space="preserve"> An Approach for Identifying a Global Core Indicator Set for Post-2030 International Development Goals — https://doi.org/10.3390/su17157076</w:t>
      </w:r>
    </w:p>
    <w:p>
      <w:pPr/>
      <w:r>
        <w:rPr>
          <w:b/>
        </w:rPr>
        <w:t>Shared claim-specific concepts:</w:t>
      </w:r>
      <w:r>
        <w:t xml:space="preserve"> framework, contribute, sustainable; EU scope not established. This is a provisional connection, not an outcome finding.</w:t>
      </w:r>
    </w:p>
    <w:p>
      <w:pPr>
        <w:pStyle w:val="SourceNote"/>
      </w:pPr>
      <w:r>
        <w:rPr>
          <w:b/>
        </w:rPr>
        <w:t>Available abstract (not full text):</w:t>
      </w:r>
      <w:r>
        <w:t xml:space="preserve"> The global indicator framework for monitoring the progress of the United Nations Sustainable Development Goals (SDGs) faces challenges such as insufficient data availability and comparability. However, fundamental changes to the SDG indicator framework are unlikely to occur by the SDG target year of 2030. An opportunity for improvements lies in the development of post-2030 international development goals. To contribute to future discussions on the post-2030 indicator framework, this study investigates how to address data availability and comparability issues. A suggested improvement is to develop a relatively small set of indicators, named “core indicators,” which are intended to reduce the data compilation burden for countries while enabling the monitoring of the overall progress of goals. To examine the feasibility of identifying the core indicators, this study undertook an analysis of official SDG data from 2000 to 2023, and selected 47 disaggregated indicators (DIs) utilizing statistical correlations between DI pairs. The analysis revealed that the 47 core DIs could produce country SDG progress scores similar to those calculated with a much larger dataset of 1112 DIs. The results indicated the usefulness of the proposed approach in selecting the core indicators for the post-2030 international development goals.</w:t>
      </w:r>
    </w:p>
    <w:p>
      <w:pPr>
        <w:pStyle w:val="Heading2"/>
      </w:pPr>
      <w:r>
        <w:t>812. The European forest sector: past and future carbon budget and fluxes under different management scenarios</w:t>
      </w:r>
    </w:p>
    <w:p>
      <w:pPr>
        <w:pStyle w:val="SourceNote"/>
      </w:pPr>
      <w:r>
        <w:rPr>
          <w:b/>
        </w:rPr>
        <w:t>Original source (2017):</w:t>
      </w:r>
      <w:r>
        <w:t xml:space="preserve"> https://doi.org/10.5194/bg-14-2387-2017</w:t>
      </w:r>
    </w:p>
    <w:p>
      <w:pPr/>
      <w:r>
        <w:t>Original wording (abstract; indexed_source_text_not_full_document_verified): Under the constant harvest rate scenario, our findings show an incipient aging process of the forests existing in 1990: although NPP increases (+7 %), heterotrophic respiration increases at a greater rate (+13 %) and this leads to a decrease in the sink in the forest pools (−6 %) in 2030 compared to the historical period. The detailed picture of the C fluxes condensed in this study, and their evolution under different harvest scenarios, may represent both a benchmark for similar studies and a basis for broader analyses (e.g., including substitution effects of wood) on the mitigation potential of the EU forest sector.</w:t>
      </w:r>
    </w:p>
    <w:p>
      <w:pPr/>
      <w:r>
        <w:rPr>
          <w:b/>
        </w:rPr>
        <w:t>POSSIBLE 2025:</w:t>
      </w:r>
      <w:r>
        <w:t xml:space="preserve"> Understanding Europe's Forest Harvesting Regimes — https://doi.org/10.1029/2024ef005225</w:t>
      </w:r>
    </w:p>
    <w:p>
      <w:pPr/>
      <w:r>
        <w:rPr>
          <w:b/>
        </w:rPr>
        <w:t>Shared claim-specific concepts:</w:t>
      </w:r>
      <w:r>
        <w:t xml:space="preserve"> harvest, forests, forest; EU scope visible. This is a provisional connection, not an outcome finding.</w:t>
      </w:r>
    </w:p>
    <w:p>
      <w:pPr>
        <w:pStyle w:val="SourceNote"/>
      </w:pPr>
      <w:r>
        <w:rPr>
          <w:b/>
        </w:rPr>
        <w:t>Available abstract (not full text):</w:t>
      </w:r>
      <w:r>
        <w:t xml:space="preserve"> Abstract European forests are being shaped by active human use and management, and by harvesting of wood in particular. Yet, our understanding of how forests are harvested across Europe is limited, as the real harvest regimes are not well described by currently available data. Here, we analyse recent harvests, as observed in permanent plots of forest inventories in 11 European countries, totaling to 182,649 plots and covering all major forest types. We (a) characterize harvest regimes through the frequency and intensity of harvest events spatially across Europe, and (b) build models for the probability and intensity of harvest events at the plot‐level and examine the links to potential drivers of harvest, including the pre‐harvest forest structure and composition, climatic, topographic and socio‐economic factors, and past natural disturbances. The results revealed notable variation in harvest regimes across Europe, ranging from high‐frequency and low‐intensity harvests in eastern Central Europe to low‐frequency and high‐intensity harvests in the north, with different strategies emerging in regions with similar total harvest rates. The harvest regimes were strongly driven by country‐level variation, emphasizing the role of national‐level factors. Pre‐harvest forest properties were important drivers for the intensity of harvest, whereas the probability of harvest was more related</w:t>
      </w:r>
    </w:p>
    <w:p>
      <w:pPr/>
      <w:r>
        <w:rPr>
          <w:b/>
        </w:rPr>
        <w:t>POSSIBLE 2024:</w:t>
      </w:r>
      <w:r>
        <w:t xml:space="preserve"> Evaluation of Pencycuron Residue Dynamics in Eggplant Using LC-MS/MS and Establishment of Pre-Harvest Residue Limits — https://doi.org/10.3390/foods13233754</w:t>
      </w:r>
    </w:p>
    <w:p>
      <w:pPr/>
      <w:r>
        <w:rPr>
          <w:b/>
        </w:rPr>
        <w:t>Shared claim-specific concepts:</w:t>
      </w:r>
      <w:r>
        <w:t xml:space="preserve"> constant, harvest, rate, period; EU scope visible. This is a provisional connection, not an outcome finding.</w:t>
      </w:r>
    </w:p>
    <w:p>
      <w:pPr>
        <w:pStyle w:val="SourceNote"/>
      </w:pPr>
      <w:r>
        <w:rPr>
          <w:b/>
        </w:rPr>
        <w:t>Available abstract (not full text):</w:t>
      </w:r>
      <w:r>
        <w:t xml:space="preserve"> Pencycuron is a fungicide whose maximum residue limit (MRL) in eggplant is either set at very low levels (0.02 mg/kg in European Union) or remains unestablished in many countries, necessitating stringent pesticide management. To enable timely interventions by farmers and regulators, pre-harvest residue limits (PHRLs) propose maximum allowable pesticide concentrations for each day during the pre-harvest period. An analytical method was developed to conduct residue determination trials, demonstrating that graphitized carbon black (GCB) effectively removes eggplant matrices during sample preparation. The LC-MS/MS method was established with a limit of quantification (LOQ) of 0.005 mg/kg, recovery rates ranging from 102.6% to 106.1% with relative standard deviation (RSD; 2.3–6.4%), and a matrix effect (%ME) of +8.1%. Residue analysis revealed a concentration of 0.045 mg/kg at 0 days after treatment (DAT), decreasing to 0.006 mg/kg at 14 DAT. The residue dynamics followed a first-order kinetic model, as confirmed by the F-test, with a rate constant of 0.1405. Therefore, the half-life was determined to be 4.9 d. Based on the MRL value of 0.02 mg/kg at 0 days before harvest (DBH), the PHRL was determined using both k and kmin, resulting in values of 0.04 mg/kg and 0.02 mg/kg at 5 days and 0.08 mg/kg and 0.03 mg/kg at 10 DBH, respectively. Using kmin yields more conservative results, w</w:t>
      </w:r>
    </w:p>
    <w:p>
      <w:pPr/>
      <w:r>
        <w:rPr>
          <w:b/>
        </w:rPr>
        <w:t>POSSIBLE 2024:</w:t>
      </w:r>
      <w:r>
        <w:t xml:space="preserve"> Preliminary results of dandelion cultivation under different seeding rates and harvest regimes — https://doi.org/10.1002/agg2.20521</w:t>
      </w:r>
    </w:p>
    <w:p>
      <w:pPr/>
      <w:r>
        <w:rPr>
          <w:b/>
        </w:rPr>
        <w:t>Shared claim-specific concepts:</w:t>
      </w:r>
      <w:r>
        <w:t xml:space="preserve"> harvest, rate, compared; EU scope visible. This is a provisional connection, not an outcome finding.</w:t>
      </w:r>
    </w:p>
    <w:p>
      <w:pPr>
        <w:pStyle w:val="SourceNote"/>
      </w:pPr>
      <w:r>
        <w:rPr>
          <w:b/>
        </w:rPr>
        <w:t>Available abstract (not full text):</w:t>
      </w:r>
      <w:r>
        <w:t xml:space="preserve"> Abstract In the past, several wild plants were widely consumed as food by humans. Dandelion [Taraxacum officinale (L.) Weber ex F.H. Wigg] is a wild species with remarkable nutritional and medicinal properties. Many studies have investigated the chemical components of the plant for human health. Nonetheless, little research has been carried out on the cultivation and related production of this species. With this study, we intend to investigate some cultural practices to start defining an efficient protocol for dandelion cultivation in northern Italy. Two seeding rates (0.14 and 0.55 g m−2) and two harvest regimes (when leaves reached a length of 20 cm and 1 week later) were compared. Leaf fresh weight yield was determined at each harvest, and the following morphological parameters were measured: plant height, number of plants per square meter, number of leaves per square meter, leaf area index, number of leaves per plant, leaf weight, and specific leaf weight. The productivity of dandelion was found to be unaffected by the seeding rate, and no significant differences were found between harvest regimes. The delayed harvest regime was only advantageous at the first cut as it allowed for a longer establishment phase, resulting in a higher yield. The nitrate content in the leaves differed between the first two cuts and the third and fourth cuts with both harvest regimes and both so</w:t>
      </w:r>
    </w:p>
    <w:p>
      <w:pPr/>
      <w:r>
        <w:rPr>
          <w:b/>
        </w:rPr>
        <w:t>POSSIBLE 2023:</w:t>
      </w:r>
      <w:r>
        <w:t xml:space="preserve"> The carbon costs of global wood harvests — https://doi.org/10.1038/s41586-023-06187-1</w:t>
      </w:r>
    </w:p>
    <w:p>
      <w:pPr/>
      <w:r>
        <w:rPr>
          <w:b/>
        </w:rPr>
        <w:t>Shared claim-specific concepts:</w:t>
      </w:r>
      <w:r>
        <w:t xml:space="preserve"> harvest, forests, although, forest; EU scope not established. This is a provisional connection, not an outcome finding.</w:t>
      </w:r>
    </w:p>
    <w:p>
      <w:pPr>
        <w:pStyle w:val="SourceNote"/>
      </w:pPr>
      <w:r>
        <w:rPr>
          <w:b/>
        </w:rPr>
        <w:t>Available abstract (not full text):</w:t>
      </w:r>
      <w:r>
        <w:t xml:space="preserve"> Abstract After agriculture, wood harvest is the human activity that has most reduced the storage of carbon in vegetation and soils 1,2 . Although felled wood releases carbon to the atmosphere in various steps, the fact that growing trees absorb carbon has led to different carbon-accounting approaches for wood use, producing widely varying estimates of carbon costs. Many approaches give the impression of low, zero or even negative greenhouse gas emissions from wood harvests because, in different ways, they offset carbon losses from new harvests with carbon sequestration from growth of broad forest areas 3,4 . Attributing this sequestration to new harvests is inappropriate because this other forest growth would occur regardless of new harvests and typically results from agricultural abandonment, recovery from previous harvests and climate change itself. Nevertheless some papers count gross emissions annually, which assigns no value to the capacity of newly harvested forests to regrow and approach the carbon stocks of unharvested forests. Here we present results of a new model that uses time discounting to estimate the present and future carbon costs of global wood harvests under different scenarios. We find that forest harvests between 2010 and 2050 will probably have annualized carbon costs of 3.5–4.2 Gt CO 2 e yr −1 , which approach common estimates of annual emissions from lan</w:t>
      </w:r>
    </w:p>
    <w:p>
      <w:pPr/>
      <w:r>
        <w:rPr>
          <w:b/>
        </w:rPr>
        <w:t>POSSIBLE 2023:</w:t>
      </w:r>
      <w:r>
        <w:t xml:space="preserve"> Response of forage maize yield and quality to mulch film and harvest time in Northern Europe — https://doi.org/10.23986/afsci.125326</w:t>
      </w:r>
    </w:p>
    <w:p>
      <w:pPr/>
      <w:r>
        <w:rPr>
          <w:b/>
        </w:rPr>
        <w:t>Shared claim-specific concepts:</w:t>
      </w:r>
      <w:r>
        <w:t xml:space="preserve"> harvest, rate, although; EU scope visible. This is a provisional connection, not an outcome finding.</w:t>
      </w:r>
    </w:p>
    <w:p>
      <w:pPr>
        <w:pStyle w:val="SourceNote"/>
      </w:pPr>
      <w:r>
        <w:rPr>
          <w:b/>
        </w:rPr>
        <w:t>Available abstract (not full text):</w:t>
      </w:r>
      <w:r>
        <w:t xml:space="preserve"> Forage maize (Zea mays L.) yield and nutritional quality fluctuate markedly in Northern Europe due to weather conditions. A field experiment was conducted in Southern Finland (Helsinki, 2018–2020) and in Central Finland (Maaninka, Kuopio, 2019–2020) to study the effect of harvest time and use of mulch film, in order to optimize the dry matter (DM) yield and quality. Treatments included oxo-biodegradable mulch film and no mulch, and three harvest times (the latter only in Helsinki). Mulch film increased DM yield on average by 2.3 Mg ha-1 in Helsinki and by 3.8 Mg ha-1 in Maaninka. Mulch film had a minor effect on the quality, and overall, the quality improved, although DM yield accumulation had already ceased. Nevertheless, the starch contents fluctuated and remained mostly below the target rate – 300 g kg-1 DM – especially in Central Finland. The results indicate that mulch film improves forage maize yield, but a late harvest is still required to improve forage quality. However, climate conditions still restrict starch accumulation to ears in Northern European climate conditions, especially in the important milk production area in Central Finland.</w:t>
      </w:r>
    </w:p>
    <w:p>
      <w:pPr/>
      <w:r>
        <w:rPr>
          <w:b/>
        </w:rPr>
        <w:t>POSSIBLE 2023:</w:t>
      </w:r>
      <w:r>
        <w:t xml:space="preserve"> A Model for Predicting Forest Growth and Harvesting Level — https://doi.org/10.21275/sr23718231315</w:t>
      </w:r>
    </w:p>
    <w:p>
      <w:pPr/>
      <w:r>
        <w:rPr>
          <w:b/>
        </w:rPr>
        <w:t>Shared claim-specific concepts:</w:t>
      </w:r>
      <w:r>
        <w:t xml:space="preserve"> harvest, rate, forests, forest; EU scope not established. This is a provisional connection, not an outcome finding.</w:t>
      </w:r>
    </w:p>
    <w:p>
      <w:pPr>
        <w:pStyle w:val="SourceNote"/>
      </w:pPr>
      <w:r>
        <w:rPr>
          <w:b/>
        </w:rPr>
        <w:t>Available abstract (not full text):</w:t>
      </w:r>
      <w:r>
        <w:t xml:space="preserve"> The study of forest dynamics is concerned with the changes in forest structure and composition over time,and it is obvious that forests managed in a sustainable manner are able to produce both high quality wood products and other ecological goods and services which include water purification, wildlife habitat and carbon sequestration.Similarly, forest management practices that protect aquatic systems, minimise soil disturbance and erosion, and promote rapid forest regeneration are all components of sustainable forestry.These factors have therefore necessitated this study of modelling forest growth and its associated harvesting policy for determining future sequence in order not to compromise its benefits.A number of growth models such as The Malthusian Growth Model, The Logistic Growth Model, Verhulst Logistic Growth Scaled with a 'Delaying' Factor   1 1 c N K     , and Richard's Growth Equation were some of the growth models mentioned in this study of the dynamics of the forest stand.The two possible equilibrium values for the solution of the model are 0 e P  and   1000 1 5 e Ph  .Whenever hr  , this will lead to extinction of the population and therefore as 0.2 hr  , the population size will settle down to the stable equilibrium 15 e Ph  .Hence for as long as 0 0.2 h  one can be confident that, the population won't die out.Again, 0.1 h  which is one-half </w:t>
      </w:r>
    </w:p>
    <w:p>
      <w:pPr/>
      <w:r>
        <w:rPr>
          <w:b/>
        </w:rPr>
        <w:t>POSSIBLE 2023:</w:t>
      </w:r>
      <w:r>
        <w:t xml:space="preserve"> Power Gain from Energy Harvesting Sources at High MPPT Sampling Rates — https://doi.org/10.3390/s23094388</w:t>
      </w:r>
    </w:p>
    <w:p>
      <w:pPr/>
      <w:r>
        <w:rPr>
          <w:b/>
        </w:rPr>
        <w:t>Shared claim-specific concepts:</w:t>
      </w:r>
      <w:r>
        <w:t xml:space="preserve"> constant, rate, process, increases, period; EU scope not established. This is a provisional connection, not an outcome finding.</w:t>
      </w:r>
    </w:p>
    <w:p>
      <w:pPr>
        <w:pStyle w:val="SourceNote"/>
      </w:pPr>
      <w:r>
        <w:rPr>
          <w:b/>
        </w:rPr>
        <w:t>Available abstract (not full text):</w:t>
      </w:r>
      <w:r>
        <w:t xml:space="preserve"> Energy harvesting (EH) sources require the tracking of their maximum power point (MPP) to ensure that maximum energy is captured. This tracking process, performed by an MPP tracker (MPPT), is performed by periodically measuring the EH transducer's output at a given sampling rate. The harvested power as a function of the sampling parameters has been analyzed in a few works, but the power gain achieved with respect to the case of a much slower sampling rate than the EH source's frequency has not been assessed so far. In this work, simple expressions are obtained that predict this gain assuming a Thévenin equivalent for the EH transducer. It is shown that the power gain depends on the relationship between the square of AC to DC open circuit voltage of the EH transducer. On the other hand, it is proven that harvested power increases, using a suitable constant signal for the MPP voltage instead of tracking the MPP at a low sampling rate. Experimental results confirmed the theoretical predictions. First, a function generator with a series resistor of 1 kΩ was used, emulating a generic Thévenin equivalent EH. Three waveform types were used (sinus, square, and triangular) with a DC voltage of 2.5 V and AC rms voltage of 0.83 V. A commercial MPPT with a fixed sampling rate of 3 Hz was used and the frequency of the waveforms was changed from 50 mHz to 50 Hz, thus effectively emulating di</w:t>
      </w:r>
    </w:p>
    <w:p>
      <w:pPr/>
      <w:r>
        <w:rPr>
          <w:b/>
        </w:rPr>
        <w:t>POSSIBLE 2023:</w:t>
      </w:r>
      <w:r>
        <w:t xml:space="preserve"> Single-Pass Grain Corn Harvest and Stubble Shredding: Performance of Three Corn Header Configurations as Effected by Harvesting Speed and Cutting Height — https://doi.org/10.3390/agriculture13040833</w:t>
      </w:r>
    </w:p>
    <w:p>
      <w:pPr/>
      <w:r>
        <w:rPr>
          <w:b/>
        </w:rPr>
        <w:t>Shared claim-specific concepts:</w:t>
      </w:r>
      <w:r>
        <w:t xml:space="preserve"> harvest, show, compared; EU scope not established. This is a provisional connection, not an outcome finding.</w:t>
      </w:r>
    </w:p>
    <w:p>
      <w:pPr>
        <w:pStyle w:val="SourceNote"/>
      </w:pPr>
      <w:r>
        <w:rPr>
          <w:b/>
        </w:rPr>
        <w:t>Available abstract (not full text):</w:t>
      </w:r>
      <w:r>
        <w:t xml:space="preserve"> This study aims to evaluate the efficiency of a new type of corn header equipped with flail knives that shreds corn stubble close to the ground. A field trial was carried out to quantify the influence of the shredding tool design (flail knives, standard knives, horizontal choppers disengaged), harvesting speed (1.5, 3.0, 4.5, 6.0 km/h) and cutting height (approx. 20 cm variation, 4 levels) on the power consumption of the corn header, engine load and fuel consumption of the combine harvester. The regression analyses revealed that modifications of the shredding tool assembly have significant effects on the parameters of the functional relationships. The power consumption of the flail knives configuration was 15 kW/row unit at 6 km/h at the lowest cutting height setting, making it compatible with most current combine harvester models. The additional power demand and fuel consumption that arise when switching to the new shredding tool design (flail knives) show a wide range, depending on the initial situation. Compared to the standard knives at 6 km/h, the additional power consumption was 3.6–5.5 kW/row unit and the additional fuel consumption was 2.6–3.9 L/ha. Compared to the configuration with disengaged horizontal choppers, it was 5.3–6.6 kW/row unit and 3.9–5.1 L/ha, respectively. At 90% engine load the additional power requirement was 1.6–3.1 kW/row unit and the additional fue</w:t>
      </w:r>
    </w:p>
    <w:p>
      <w:pPr/>
      <w:r>
        <w:rPr>
          <w:b/>
        </w:rPr>
        <w:t>POSSIBLE 2022:</w:t>
      </w:r>
      <w:r>
        <w:t xml:space="preserve"> Exploring a relative harvest rate strategy for moderately data-limited fisheries management — https://doi.org/10.1093/icesjms/fsac103</w:t>
      </w:r>
    </w:p>
    <w:p>
      <w:pPr/>
      <w:r>
        <w:rPr>
          <w:b/>
        </w:rPr>
        <w:t>Shared claim-specific concepts:</w:t>
      </w:r>
      <w:r>
        <w:t xml:space="preserve"> harvest, rate, historical; EU scope not established. This is a provisional connection, not an outcome finding.</w:t>
      </w:r>
    </w:p>
    <w:p>
      <w:pPr>
        <w:pStyle w:val="SourceNote"/>
      </w:pPr>
      <w:r>
        <w:rPr>
          <w:b/>
        </w:rPr>
        <w:t>Available abstract (not full text):</w:t>
      </w:r>
      <w:r>
        <w:t xml:space="preserve"> Abstract Moderately data-limited fisheries can be managed with simple empirical management procedures without analytical stock assessments. Often, control rules adjust advised catches by the trend of an abundance index. We explored an alternative approach where a relative harvest rate, defined by the catch relative to a biomass index, is used and the target level derived from analysing historical catch length data. This harvest rate rule was tested generically with management strategy evaluation. A genetic algorithm was deployed as an optimisation procedure to tune the parameters of the control rule to meet maximum sustainable yield and precautionary management objectives. Results indicated that this method could outperform trend-based strategies, particularly when optimised, achieving higher long-term yields while remaining precautionary. However, optimum harvest rate levels can be narrow and challenging to find because they depend on historical exploitation and life history characteristics. Misspecification of target levels can have a detrimental impact on management. Nevertheless, harvest rates appear to be a suitable management option for moderately data-limited resources, and their application has modest data requirements. Harvest rate strategies are especially suitable for stocks for which case-specific analyses can be conducted.</w:t>
      </w:r>
    </w:p>
    <w:p>
      <w:pPr/>
      <w:r>
        <w:rPr>
          <w:b/>
        </w:rPr>
        <w:t>POSSIBLE 2021:</w:t>
      </w:r>
      <w:r>
        <w:t xml:space="preserve"> Short Term Impacts of Harvesting 0perations on Soil Chemical Properties in a Mediterranean Oak Ecosystem — https://doi.org/10.5552/crojfe.2021.1100</w:t>
      </w:r>
    </w:p>
    <w:p>
      <w:pPr/>
      <w:r>
        <w:rPr>
          <w:b/>
        </w:rPr>
        <w:t>Shared claim-specific concepts:</w:t>
      </w:r>
      <w:r>
        <w:t xml:space="preserve"> forest, compared, period; EU scope visible. This is a provisional connection, not an outcome finding.</w:t>
      </w:r>
    </w:p>
    <w:p>
      <w:pPr>
        <w:pStyle w:val="SourceNote"/>
      </w:pPr>
      <w:r>
        <w:rPr>
          <w:b/>
        </w:rPr>
        <w:t>Available abstract (not full text):</w:t>
      </w:r>
      <w:r>
        <w:t xml:space="preserve"> Soil physical and chemical properties can be seriously affected by forest operations. There is a knowledge gap on this topic for oak ecosystems, which can play a significant role in the context of multiple-use forestry. The main objective of this study was to analyse forest floor and topsoil changes (0–10 cm) two years after the application of small-scale thinning (50% reduction of basal area) and clear-cut operations using mules to carry harvested material in a Northern Greece oak (Quercus frainetto Ten)ecosystem. The total amount of forest floor (O1+O2 horizons) was reduced by 37.8% in the thinned and 30.8% in the clear-cut plots compared to control plots. These large reductions are mainly due to reduction in the O2 horizon in the treated plots. Decomposition was reduced in the treated plots, possibly due to the new drier conditions. Treatments increased the soil pH but not to a significant extent. No evidence of erosion was found in the experimental plots due to the protective function of the forest floor and the use of designated mule trails. The areal extent of soil compaction was limited to only 3% of the total area mainly due to the careful planning and implementation of animal skidding. Small differences in C (%) and Ν (%) were found among control, thinned and clear-cut plots. The limiting growth factors in Mediterranean oak ecosystems are soil depth and the seasonal ch</w:t>
      </w:r>
    </w:p>
    <w:p>
      <w:pPr/>
      <w:r>
        <w:rPr>
          <w:b/>
        </w:rPr>
        <w:t>POSSIBLE 2020:</w:t>
      </w:r>
      <w:r>
        <w:t xml:space="preserve"> Does harvest of the European grayling, Thymallus thymallus (Actinopterygii: Salmoniformes: Salmonidae), change over time with different intensity of fish stocking and fishing effort? — https://doi.org/10.3750/aiep/02643</w:t>
      </w:r>
    </w:p>
    <w:p>
      <w:pPr/>
      <w:r>
        <w:rPr>
          <w:b/>
        </w:rPr>
        <w:t>Shared claim-specific concepts:</w:t>
      </w:r>
      <w:r>
        <w:t xml:space="preserve"> constant, harvest, period; EU scope visible. This is a provisional connection, not an outcome finding.</w:t>
      </w:r>
    </w:p>
    <w:p>
      <w:pPr>
        <w:pStyle w:val="SourceNote"/>
      </w:pPr>
      <w:r>
        <w:rPr>
          <w:b/>
        </w:rPr>
        <w:t>Available abstract (not full text):</w:t>
      </w:r>
      <w:r>
        <w:t xml:space="preserve"> Background. The European grayling, Thymallus thymallus (Linnaeus, 1758), is a fish species of high value in recreational fishing. The monitoring of changes in grayling populations is a high priority in fisheries. Data on the harvest of recreational anglers can potentially serve as an easy and inexpensive way to monitor changes in fish populations. This study aimed to assess spatio-temporal trends in catches of grayling in a larger geographical area. Materials and methods. This study analysed harvest rates of grayling by recreational anglers on 241 fishing grounds, in the Czech Republic, within 1986–2015 (30 years). Data from individual angling logbooks were used. The data were collected by individual anglers and processed by the Czech Fishing Union (Český rybářský svaz). Results. Over the period of 30 years, Czech anglers harvested a total of 9 928 grayling specimens weighing altogether 3 357 kg. Within the period surveyed, both parameters (the grayling biomass harvested and the representation of grayling in overall fish harvest) decreased to 10% of the initial values. The percentage of fishing grounds with a harvest of grayling decreased to 30% of the initial values. Harvest per effort decreased to 20% of the initial values over 11 years. There was only a weak correlation between fish stocking and fish harvest. There was a negative relation between the number of angler fishing</w:t>
      </w:r>
    </w:p>
    <w:p>
      <w:pPr/>
      <w:r>
        <w:rPr>
          <w:b/>
        </w:rPr>
        <w:t>POSSIBLE 2020:</w:t>
      </w:r>
      <w:r>
        <w:t xml:space="preserve"> Harvesting reflective knowledge exchange for inbound open innovation in complex collaborative networks: an empirical verification in Europe — https://doi.org/10.1108/jkm-04-2020-0300</w:t>
      </w:r>
    </w:p>
    <w:p>
      <w:pPr/>
      <w:r>
        <w:rPr>
          <w:b/>
        </w:rPr>
        <w:t>Shared claim-specific concepts:</w:t>
      </w:r>
      <w:r>
        <w:t xml:space="preserve"> findings, process, period; EU scope visible. This is a provisional connection, not an outcome finding.</w:t>
      </w:r>
    </w:p>
    <w:p>
      <w:pPr>
        <w:pStyle w:val="SourceNote"/>
      </w:pPr>
      <w:r>
        <w:rPr>
          <w:b/>
        </w:rPr>
        <w:t>Available abstract (not full text):</w:t>
      </w:r>
      <w:r>
        <w:t xml:space="preserve"> Purpose This study aims to investigate the effects of open innovation (OI) and big data analytics (BDA) on reflective knowledge exchange (RKE) within the context of complex collaborative networks. Specifically, it considers the relationships between sourcing knowledge from an external environment, transferring knowledge to an external environment and adopting solutions that are useful to appropriate returns from innovation. Design/methodology/approach This study analyzes the connection between the number of patent applications and the amount of OI, as well as the association between the number of patent applications and the use of BDA. Data from firms in the 27 European Union countries were retrieved from the Eurostat database for the period 2014–2019 and were investigated using an ordinary least squares regression analysis. Findings Because of its twofold lens based on both knowledge management and OI, this study sheds light on OI collaboration modes and highlights the crucial role they could play in innovation. In particular, the results suggest that OI collaboration modes have a strong effect on innovation performance, stimulating the search for RKE. Originality/value This study furthers a deeper understanding of RKE, which is shown to be an important mechanism that incentivizes firms to increase their efforts in the innovation process. Further, RKE supports firms in taking </w:t>
      </w:r>
    </w:p>
    <w:p>
      <w:pPr>
        <w:pStyle w:val="Heading2"/>
      </w:pPr>
      <w:r>
        <w:t>813. The European pulp and paper industry in transition to a bio-economy: A Delphi study</w:t>
      </w:r>
    </w:p>
    <w:p>
      <w:pPr>
        <w:pStyle w:val="SourceNote"/>
      </w:pPr>
      <w:r>
        <w:rPr>
          <w:b/>
        </w:rPr>
        <w:t>Original source (2017):</w:t>
      </w:r>
      <w:r>
        <w:t xml:space="preserve"> https://doi.org/10.1016/j.futures.2017.02.002</w:t>
      </w:r>
    </w:p>
    <w:p>
      <w:pPr/>
      <w:r>
        <w:t>Original wording (abstract; indexed_source_text_not_full_document_verified): This study adopts a three-round dissensus-based Delphi approach in order to explore our key research question of how the pulp and paper industry may change strategically, and what is the potential for value creation in the year 2030. According to our expert panel, the main drivers of competitiveness in 2030 will include energy and material efficiency, sustainability, as well as new innovations in products to serve customer needs better.</w:t>
      </w:r>
    </w:p>
    <w:p>
      <w:pPr/>
      <w:r>
        <w:rPr>
          <w:b/>
        </w:rPr>
        <w:t>POSSIBLE 2025:</w:t>
      </w:r>
      <w:r>
        <w:t xml:space="preserve"> Climate change skepticism of European farmers and implications for effective policy actions — https://doi.org/10.1038/s43247-025-02304-2</w:t>
      </w:r>
    </w:p>
    <w:p>
      <w:pPr/>
      <w:r>
        <w:rPr>
          <w:b/>
        </w:rPr>
        <w:t>Shared claim-specific concepts:</w:t>
      </w:r>
      <w:r>
        <w:t xml:space="preserve"> key, according; EU scope visible. This is a provisional connection, not an outcome finding.</w:t>
      </w:r>
    </w:p>
    <w:p>
      <w:pPr>
        <w:pStyle w:val="SourceNote"/>
      </w:pPr>
      <w:r>
        <w:rPr>
          <w:b/>
        </w:rPr>
        <w:t>Available abstract (not full text):</w:t>
      </w:r>
      <w:r>
        <w:t xml:space="preserve"> European farmers struggle with mitigating global emissions of greenhouse gases effectively and to cope with climate change. European regulators and national governments encounter obstacles in implementing environmental policies, feeding frustration amongst farmers. We hypothesize that these issues relate to climate change skepticism within the farming community and dissensus with non-farmers and between countries. To test this hypothesis, we analyzed climate attribution and impact skepticism amongst farmers and the rest of the working population using the Eurobarometer and the European Social Survey, and national data about gross domestic product (GDP), innovativeness, share of agricultural land, and climate damage risk for agriculture. Impact skepticism of farmers increases with decreasing risk of climate damage and increasing GDP, causing a South-North gradient in Europe. The majority of farmers in the EU countries were more skeptical than non-farmers. Understanding and reducing this skepticism provides a key to more effective mitigation and adaptation. The majority of farmers in European Union countries are more skeptical about climate change impact and attribution than the general population, and more so in more innovative and higher-income countries, according to an analysis of European-level surveys.</w:t>
      </w:r>
    </w:p>
    <w:p>
      <w:pPr/>
      <w:r>
        <w:rPr>
          <w:b/>
        </w:rPr>
        <w:t>POSSIBLE 2025:</w:t>
      </w:r>
      <w:r>
        <w:t xml:space="preserve"> Game Changers: National Referendums and the Politicization of Europe — https://doi.org/10.17645/pag.9261</w:t>
      </w:r>
    </w:p>
    <w:p>
      <w:pPr/>
      <w:r>
        <w:rPr>
          <w:b/>
        </w:rPr>
        <w:t>Shared claim-specific concepts:</w:t>
      </w:r>
      <w:r>
        <w:t xml:space="preserve"> key, question, include; EU scope visible. This is a provisional connection, not an outcome finding.</w:t>
      </w:r>
    </w:p>
    <w:p>
      <w:pPr>
        <w:pStyle w:val="SourceNote"/>
      </w:pPr>
      <w:r>
        <w:rPr>
          <w:b/>
        </w:rPr>
        <w:t>Available abstract (not full text):</w:t>
      </w:r>
      <w:r>
        <w:t xml:space="preserve"> How do national referendums shape political contestation? This article explores this question by examining the politicization of European integration, a key “cleavage issue” restructuring political conflict across Europe. While national referendums are often assumed to intensify public contestation over European integration, systematic comparative evidence remains limited. This study contributes to the debate by analyzing 87 public debates on European integration across six Western European countries (Austria, Britain, France, Germany, Sweden, and Switzerland), including 12 debates with national referendums. The analysis draws on the PolDem dataset (Hutter et al., 2016), updated to include the Brexit referendum. Through comprehensive across-debate and within-debate analyses, the findings show that referendums are associated with heightened politicization, particularly by expanding actor participation and increasing issue salience. Civil society and other non-executive actors gain visibility in referendum contexts, reinforcing the view that referendums level the political playing field. Although referendums increase framing diversity, they do not consistently lead to more polarized or identity-focused debates involving radical parties, challenging the notion that referendums inherently drive cultural conflict. This study advances our understanding of how direct democracy shapes </w:t>
      </w:r>
    </w:p>
    <w:p>
      <w:pPr/>
      <w:r>
        <w:rPr>
          <w:b/>
        </w:rPr>
        <w:t>POSSIBLE 2024:</w:t>
      </w:r>
      <w:r>
        <w:t xml:space="preserve"> Radical devices: Rethinking Art and Architecture as Forms of Dissensus in Urban Environments — https://doi.org/10.14198/uou.2024.8.12</w:t>
      </w:r>
    </w:p>
    <w:p>
      <w:pPr/>
      <w:r>
        <w:rPr>
          <w:b/>
        </w:rPr>
        <w:t>Shared claim-specific concepts:</w:t>
      </w:r>
      <w:r>
        <w:t xml:space="preserve"> explore, potential, creation; EU scope not established. This is a provisional connection, not an outcome finding.</w:t>
      </w:r>
    </w:p>
    <w:p>
      <w:pPr>
        <w:pStyle w:val="SourceNote"/>
      </w:pPr>
      <w:r>
        <w:rPr>
          <w:b/>
        </w:rPr>
        <w:t>Available abstract (not full text):</w:t>
      </w:r>
      <w:r>
        <w:t xml:space="preserve"> The aim of this paper is to investigate the possibilities opened up by radical interventions in public space: is it possible to foster reflection and create a critical methodology for analysing the topic of Commons in the urban context? Presenting the project “Stente: Residual Zones” as an example, the aim is to explore these questions using Umeå School of Architecture as a case study. Through the creation of an art/architectural object, the project seeks to use artistic and architectural practices as tools to engage city residents in an active dialogue about Common spaces. Starting with a theoretical framework for situating the critical potential of art and architectural objects in public spaces, in this paper the project is seen as an example of a temporary critical moving device, gathering and amplifying the voices of the inhabitants through the city: it aims to represent an open-ended invitation to reinterpret the boundaries between nature and the city, posing itself as a radical (from the latin radicalis) form of dissensus (Rancière 2010) The experiment was conducted at the Umeå School of Architecture between March and May 2024 within the research group “Designing the Contemporary City” at Umeå University.</w:t>
      </w:r>
    </w:p>
    <w:p>
      <w:pPr/>
      <w:r>
        <w:rPr>
          <w:b/>
        </w:rPr>
        <w:t>POSSIBLE 2024:</w:t>
      </w:r>
      <w:r>
        <w:t xml:space="preserve"> Arming Europe — https://doi.org/10.33540/2454</w:t>
      </w:r>
    </w:p>
    <w:p>
      <w:pPr/>
      <w:r>
        <w:rPr>
          <w:b/>
        </w:rPr>
        <w:t>Shared claim-specific concepts:</w:t>
      </w:r>
      <w:r>
        <w:t xml:space="preserve"> industry, potential, according; EU scope visible. This is a provisional connection, not an outcome finding.</w:t>
      </w:r>
    </w:p>
    <w:p>
      <w:pPr>
        <w:pStyle w:val="SourceNote"/>
      </w:pPr>
      <w:r>
        <w:rPr>
          <w:b/>
        </w:rPr>
        <w:t>Available abstract (not full text):</w:t>
      </w:r>
      <w:r>
        <w:t xml:space="preserve"> This articles-based dissertation assesses the constitutional effectiveness of the European Commission’s defence-industrial policy in the wake of the 2016 European Defence Action Plan (EDAP). This plan focused on developing and integrating the defence industry of the European Union (EU) through defence industry subsidies and arms trade liberalisation. The dissertation studies the EDAP against the background of the EU’s constitution, formed by the Treaty on European Union (TEU) and Treaty on the Functioning of the European Union (TFEU). That constitution is characterised by purpose-driven functionalism: it grants the EU functionally-defined competences to pursue specified objectives. Among those competences, a separation must be made between economic policy (which is supranational) and defence policy (which is intergovernmental). The EU Treaties thus form a dual constitution, of which the two parts function according to distinct logics and governance structures while standing in service to shared objectives. For the EDAP to be considered constitutionally effective, it must simultaneously respect this constitutional separation of powers and contribute to the EU’s objectives of promoting peace, its values, and the wellbeing of its peoples. Arms controls are now regulated in part through the internal market, but fall primarily within the remit of the Common Foreign and Security Poli</w:t>
      </w:r>
    </w:p>
    <w:p>
      <w:pPr/>
      <w:r>
        <w:rPr>
          <w:b/>
        </w:rPr>
        <w:t>POSSIBLE 2023:</w:t>
      </w:r>
      <w:r>
        <w:t xml:space="preserve"> The expected speed and impacts of vehicle automation in passenger and freight transport: A Dissensus Delphi study among UK professionals — https://doi.org/10.1016/j.rtbm.2023.100973</w:t>
      </w:r>
    </w:p>
    <w:p>
      <w:pPr/>
      <w:r>
        <w:rPr>
          <w:b/>
        </w:rPr>
        <w:t>Shared claim-specific concepts:</w:t>
      </w:r>
      <w:r>
        <w:t xml:space="preserve"> adopts, delphi, approach, potential; EU scope not established. This is a provisional connection, not an outcome finding.</w:t>
      </w:r>
    </w:p>
    <w:p>
      <w:pPr>
        <w:pStyle w:val="SourceNote"/>
      </w:pPr>
      <w:r>
        <w:rPr>
          <w:b/>
        </w:rPr>
        <w:t>Available abstract (not full text):</w:t>
      </w:r>
      <w:r>
        <w:t xml:space="preserve"> Vehicle automation is one of the most researched topics in transport studies but much remains uncertain about the speed of adoption and potential impacts, including if and how it can contribute to greater environmental sustainability. This study adopts a Delphi approach to examine the speed with which 15% of new vehicles will be automated (SAE-3, SAE-4 or SAE-5) and what impacts automation may have on motility, mobility, resource use and externalities in both passenger and freight transport. Although challenges with recruitment mean that all findings must be caveated and seen as exploratory, the analysis demonstrates considerable dissensus regarding the expected speed and impacts of vehicle automation in both passenger and freight transport among the participants. For both aspects, a diversity of views remains once participants were informed about the expectations of other panellists. The range of views is organised around the axes of optimism and certainty about what may happen. Considerable differences between passenger and freight transport can be identified for potential impacts of vehicle automation but not for speed of adoption.</w:t>
      </w:r>
    </w:p>
    <w:p>
      <w:pPr/>
      <w:r>
        <w:rPr>
          <w:b/>
        </w:rPr>
        <w:t>POSSIBLE 2022:</w:t>
      </w:r>
      <w:r>
        <w:t xml:space="preserve"> Perceived drivers and barriers in the governance of wastewater treatment and reuse in India: Insights from a two-round Delphi study — https://doi.org/10.1016/j.resconrec.2022.106285</w:t>
      </w:r>
    </w:p>
    <w:p>
      <w:pPr/>
      <w:r>
        <w:rPr>
          <w:b/>
        </w:rPr>
        <w:t>Shared claim-specific concepts:</w:t>
      </w:r>
      <w:r>
        <w:t xml:space="preserve"> delphi, key, drivers; EU scope not established. This is a provisional connection, not an outcome finding.</w:t>
      </w:r>
    </w:p>
    <w:p>
      <w:pPr>
        <w:pStyle w:val="SourceNote"/>
      </w:pPr>
      <w:r>
        <w:rPr>
          <w:b/>
        </w:rPr>
        <w:t>Available abstract (not full text):</w:t>
      </w:r>
      <w:r>
        <w:t xml:space="preserve"> Wastewater treatment and reuse practices are limited in India despite the known benefits of preventing water resources pollution and contributing to sustainable production and consumption systems. We identify the perceived key drivers and barriers to wastewater treatment and reuse governance in a two-round Delphi study, including literature and case study analyses and consultation with 75 panelists. Panelists indicated that the most significant driver for wastewater treatment and water reuse is persistent water scarcity that necessitates diversification to alternative water supplies. In contrast, the most significant barriers are the lack of enforcement of pollution monitoring and control, the lack of an umbrella directive for integrated water resources management, and insufficient collaboration between responsible governmental organizations, central and state water authorities. Given the absence of central guidelines, only a few Indian states such as Maharashtra, Gujarat or Punjab have adopted effective governance structures. These states showcase that defined reuse standards can create successful wastewater treatment and reuse practices but require target-based regulations which are enforced and regularly monitored and financing mechanisms for their long-term operation. The new effluent discharge standards by the National Green Tribunal, the government support programmes, and</w:t>
      </w:r>
    </w:p>
    <w:p>
      <w:pPr/>
      <w:r>
        <w:rPr>
          <w:b/>
        </w:rPr>
        <w:t>POSSIBLE 2022:</w:t>
      </w:r>
      <w:r>
        <w:t xml:space="preserve"> Organizational readiness to adopt artificial intelligence in the exhibition sector in Western Europe — https://doi.org/10.1016/j.ijinfomgt.2022.102497</w:t>
      </w:r>
    </w:p>
    <w:p>
      <w:pPr/>
      <w:r>
        <w:rPr>
          <w:b/>
        </w:rPr>
        <w:t>Shared claim-specific concepts:</w:t>
      </w:r>
      <w:r>
        <w:t xml:space="preserve"> approach, industry, competitiveness; EU scope visible. This is a provisional connection, not an outcome finding.</w:t>
      </w:r>
    </w:p>
    <w:p>
      <w:pPr>
        <w:pStyle w:val="SourceNote"/>
      </w:pPr>
      <w:r>
        <w:rPr>
          <w:b/>
        </w:rPr>
        <w:t>Available abstract (not full text):</w:t>
      </w:r>
      <w:r>
        <w:t xml:space="preserve"> This exploratory study explores perceptions of Artificial Intelligence (AI) and organizational readiness to adopt AI, in the exhibition sector of the events industry. A theoretical framework synthesizing the Technology - Organization - Environment framework and the Technology Readiness Index was developed to guide this qualitative study. Seventeen senior managerial representatives from exhibition organizations across nine Western European countries were interviewed, and a reflexive thematic approach was adopted to analyse the data. The findings suggest that the European exhibition industry is a slow adopter of AI, which may impact its future competitiveness, despite the stimulus provided to AI adoption during the COVID-19 pandemic. The degree of confidence in organizational technological practices, financial resources, the size of the organization, and issues of data management and protection, as well as the impacts of the COVID-19 pandemic, motivate or inhibit readiness for AI adoption in the event industry. A new Exhibition Sector Readiness for AI Adoption Model is presented in this research that managers and researchers can use to analyze inhibitors and motivations for AI adoption, which is contextualized for the current challenges facing the exhibitions sector.</w:t>
      </w:r>
    </w:p>
    <w:p>
      <w:pPr/>
      <w:r>
        <w:rPr>
          <w:b/>
        </w:rPr>
        <w:t>POSSIBLE 2019:</w:t>
      </w:r>
      <w:r>
        <w:t xml:space="preserve"> Unravelling the Scientific Debate on How to Address Wolf-Dog Hybridization in Europe — https://doi.org/10.3389/fevo.2019.00175</w:t>
      </w:r>
    </w:p>
    <w:p>
      <w:pPr/>
      <w:r>
        <w:rPr>
          <w:b/>
        </w:rPr>
        <w:t>Shared claim-specific concepts:</w:t>
      </w:r>
      <w:r>
        <w:t xml:space="preserve"> three-round, delphi, according; EU scope visible. This is a provisional connection, not an outcome finding.</w:t>
      </w:r>
    </w:p>
    <w:p>
      <w:pPr>
        <w:pStyle w:val="SourceNote"/>
      </w:pPr>
      <w:r>
        <w:rPr>
          <w:b/>
        </w:rPr>
        <w:t>Available abstract (not full text):</w:t>
      </w:r>
      <w:r>
        <w:t xml:space="preserve"> Anthropogenic hybridisation is widely perceived as a threat to the conservation of biodiversity. Nevertheless, to date, relevant policy and management interventions are unresolved and highly convoluted. While this is due to the inherent complexity of the issue, we hereby hypothesise that lack of agreement concerning management goals and approaches, within the scientific community, may explain the lack of social awareness on this phenomenon, and the absence of effective pressure on decision-makers. By focusing on wolf x dog hybridisation in Europe, we hereby (a) assess the state of the art of issues on wolf x dog hybridisation within the scientific community, (b) assess the conceptual bases for different viewpoints, and (c) provide a conceptual framework aiming at reducing the disagreement. We adopted the Delphi technique, involving a three-round iterative survey addressed to a selected sample of experts who published on Web of Science listed journals, in the last ten years on wolf x dog hybridisation and related topics. Consensus was reached that admixed individuals should always be defined according to their genetic profile, and that a reference threshold for admixture (i.e., q-value in assignment tests) should be formally adopted for their identification. To mitigate hybridisation, experts agreed on adopting preventive, proactive and, when concerning small and recovering wolf</w:t>
      </w:r>
    </w:p>
    <w:p>
      <w:pPr/>
      <w:r>
        <w:rPr>
          <w:b/>
        </w:rPr>
        <w:t>POSSIBLE 2019:</w:t>
      </w:r>
      <w:r>
        <w:t xml:space="preserve"> Overview of the DEMO staged design approach in Europe — https://doi.org/10.1088/1741-4326/ab1178</w:t>
      </w:r>
    </w:p>
    <w:p>
      <w:pPr/>
      <w:r>
        <w:rPr>
          <w:b/>
        </w:rPr>
        <w:t>Shared claim-specific concepts:</w:t>
      </w:r>
      <w:r>
        <w:t xml:space="preserve"> approach, industry, main; EU scope visible. This is a provisional connection, not an outcome finding.</w:t>
      </w:r>
    </w:p>
    <w:p>
      <w:pPr>
        <w:pStyle w:val="SourceNote"/>
      </w:pPr>
      <w:r>
        <w:rPr>
          <w:b/>
        </w:rPr>
        <w:t>Available abstract (not full text):</w:t>
      </w:r>
      <w:r>
        <w:t xml:space="preserve"> This paper describes the status of the pre-conceptual design activities in Europe to advance the technical basis of the design of a DEMOnstration Fusion Power Plant (DEMO) to come in operation around the middle of this century with the main aims of demonstrating the production of few hundred MWs of net electricity, the feasibility of operation with a closed-tritium fuel cycle, and maintenance systems capable of achieving adequate plant availability. This is expected to benefit as much as possible from the ITER experience, in terms of design, licensing, and construction. Emphasis is on an integrated design approach, based on system engineering, which provides a clear path for urgent R&amp;D and addresses the main design integration issues by taking account critical systems interdependencies and inherent uncertainties of important design assumptions (physics and technology). A design readiness evaluation, together with a technology maturation and down selection strategy are planned through structured and transparent Gate Reviews. By embedding industry experience in the design from the beginning it will ensure that early attention is given to technology readiness and industrial feasibility, costs, maintenance, power conversion, nuclear safety and licensing aspects.</w:t>
      </w:r>
    </w:p>
    <w:p>
      <w:pPr/>
      <w:r>
        <w:rPr>
          <w:b/>
        </w:rPr>
        <w:t>POSSIBLE 2018:</w:t>
      </w:r>
      <w:r>
        <w:t xml:space="preserve"> Adopting a models-based approach to teaching physical education — https://doi.org/10.1080/17408989.2018.1429588</w:t>
      </w:r>
    </w:p>
    <w:p>
      <w:pPr/>
      <w:r>
        <w:rPr>
          <w:b/>
        </w:rPr>
        <w:t>Shared claim-specific concepts:</w:t>
      </w:r>
      <w:r>
        <w:t xml:space="preserve"> approach, key, value; EU scope not established. This is a provisional connection, not an outcome finding.</w:t>
      </w:r>
    </w:p>
    <w:p>
      <w:pPr>
        <w:pStyle w:val="SourceNote"/>
      </w:pPr>
      <w:r>
        <w:rPr>
          <w:b/>
        </w:rPr>
        <w:t>Available abstract (not full text):</w:t>
      </w:r>
      <w:r>
        <w:t xml:space="preserve"> Background: The popularised notion of models-based practice (MBP) is one that focuses on the delivery of a model, e.g. Cooperative Learning, Sport Education, Teaching Personal and Social Responsibility, Teaching Games for Understanding. Indeed, while an abundance of research studies have examined the delivery of a single model and some have explored hybrid models, few have sought to meaningfully and purposefully connect different models in a school's curriculum (see Kirk, D. 2013. ‘Educational Value and Models-based Practice in Physical Education.’ Educational Philosophy and Theory 45 (9): 973–986.; Lund, J., and D. Tannehill. 2015. Standards-based Physical Education Curriculum Development. 3rd ed. Burlington, MA: Jones &amp; Bartlett.; Quay, J., and J. Peters. 2008. ‘Skills, Strategies, Sport, and Social Responsibility: Reconnecting Physical Education.’ Journal of Curriculum Studies 40 (5): 601–626.). Significantly none, to date, have empirically investigated broader notions of MBP that make use of a range of different pedagogical models in/through the PE curriculum (Kirk, D. 2013. ‘Educational Value and Models-based Practice in Physical Education.’ Educational Philosophy and Theory 45 (9): 973–986.).Aim: To provide a first empirical insight into using a MBP approach involving several models to teach physical education. At its heart, this paper presents the reader with the realist</w:t>
      </w:r>
    </w:p>
    <w:p>
      <w:pPr/>
      <w:r>
        <w:rPr>
          <w:b/>
        </w:rPr>
        <w:t>POSSIBLE 2018:</w:t>
      </w:r>
      <w:r>
        <w:t xml:space="preserve"> Unintended Side Effects of the Digital Transition: European Scientists’ Messages from a Proposition-Based Expert Round Table — https://doi.org/10.3390/su10062001</w:t>
      </w:r>
    </w:p>
    <w:p>
      <w:pPr/>
      <w:r>
        <w:rPr>
          <w:b/>
        </w:rPr>
        <w:t>Shared claim-specific concepts:</w:t>
      </w:r>
      <w:r>
        <w:t xml:space="preserve"> key, industry, value, expert, main; EU scope visible. This is a provisional connection, not an outcome finding.</w:t>
      </w:r>
    </w:p>
    <w:p>
      <w:pPr>
        <w:pStyle w:val="SourceNote"/>
      </w:pPr>
      <w:r>
        <w:rPr>
          <w:b/>
        </w:rPr>
        <w:t>Available abstract (not full text):</w:t>
      </w:r>
      <w:r>
        <w:t xml:space="preserve"> We present the main messages of a European Expert Round Table (ERT) on the unintended side effects (unseens) of the digital transition. Seventeen experts provided 42 propositions from ten different perspectives as input for the ERT. A full-day ERT deliberated communalities and relationships among these unseens and provided suggestions on (i) what the major unseens are; (ii) how rebound effects of digital transitioning may become the subject of overarching research; and (iii) what unseens should become subjects of transdisciplinary theory and practice processes for developing socially robust orientations. With respect to the latter, the experts suggested that the “ownership, economic value, use and access of data” and, related to this, algorithmic decision-making call for transdisciplinary processes that may provide guidelines for key stakeholder groups on how the responsible use of digital data can be developed. A cluster-based content analysis of the propositions, the discussion and inputs of the ERT, and a theoretical analysis of major changes to levels of human systems and the human–environment relationship resulted in the following greater picture: The digital transition calls for redefining economy, labor, democracy, and humanity. Artificial Intelligence (AI)-based machines may take over major domains of human labor, reorganize supply chains, induce platform economics, and</w:t>
      </w:r>
    </w:p>
    <w:p>
      <w:pPr>
        <w:pStyle w:val="Heading2"/>
      </w:pPr>
      <w:r>
        <w:t>814. The Future of Rural Poland: the Main Trends and Possible Scenarios.</w:t>
      </w:r>
    </w:p>
    <w:p>
      <w:pPr>
        <w:pStyle w:val="SourceNote"/>
      </w:pPr>
      <w:r>
        <w:rPr>
          <w:b/>
        </w:rPr>
        <w:t>Original source (2017):</w:t>
      </w:r>
      <w:r>
        <w:t xml:space="preserve"> https://doi.org/10.1515/eec-2017-0004</w:t>
      </w:r>
    </w:p>
    <w:p>
      <w:pPr/>
      <w:r>
        <w:t>Original wording (abstract; indexed_source_text_not_full_document_verified): The objective of the report is to attempt the identification of the most significant factors that will shape Polish countryside until the year 2050 and to outline the feasible scenarios of changes in rural areas. The image of the Polish countryside in the perspective of the decades to come will most probably not undergo radical shifts.</w:t>
      </w:r>
    </w:p>
    <w:p>
      <w:pPr/>
      <w:r>
        <w:rPr>
          <w:b/>
        </w:rPr>
        <w:t>POSSIBLE 2025:</w:t>
      </w:r>
      <w:r>
        <w:t xml:space="preserve"> Abstracts of the 19th European Congress of Psychology — https://doi.org/10.1024/2673-8627/a000085</w:t>
      </w:r>
    </w:p>
    <w:p>
      <w:pPr/>
      <w:r>
        <w:rPr>
          <w:b/>
        </w:rPr>
        <w:t>Shared claim-specific concepts:</w:t>
      </w:r>
      <w:r>
        <w:t xml:space="preserve"> significant, shape, not; EU scope visible. This is a provisional connection, not an outcome finding.</w:t>
      </w:r>
    </w:p>
    <w:p>
      <w:pPr>
        <w:pStyle w:val="SourceNote"/>
      </w:pPr>
      <w:r>
        <w:rPr>
          <w:b/>
        </w:rPr>
        <w:t>Available abstract (not full text):</w:t>
      </w:r>
      <w:r>
        <w:t xml:space="preserve"> Psychology plays a crucial role in addressing the diverse challenges facing Europe.Its interdisciplinary nature allows it to connect with various sciences and professions.Despite differences in how individual countries are both affected by and handle these challenges, there's a shared framework provided by the United Nations Sustainable Development Goals (SDGs).Mental health and wellbeing have become a core human concern, underscored by recent events like the COVID-19 pandemic and the war in Ukraine.Climate change has significant psychological implications.The workplace also faces mental health challenges, with one-quarter of the EU workforce experiencing mental health issues.Digitalisation proceeding at pace has implications across the board.Psychology is increasingly involved in social discourses across Europe.Psychology collaborates at the international organizations like the United Nations and the World Health Organization.It is significantly engaged with the European Union institutions of the Parliament and Commission, and more widely across EU candidate countries and those on the continent of Europe but outside of the EU.This work is fostering a European-level approach.In times of fundamental change, it is important to take stock.Questions about the 'where from' are linked to the search for solutions and sustainable perspectives for the future.By realigning education and </w:t>
      </w:r>
    </w:p>
    <w:p>
      <w:pPr/>
      <w:r>
        <w:rPr>
          <w:b/>
        </w:rPr>
        <w:t>POSSIBLE 2025:</w:t>
      </w:r>
      <w:r>
        <w:t xml:space="preserve"> A DIGITAL MATURITY OF INSTITUTIONS IN POLAND – AN ATTEMPT AT IDENTIFICATION — https://doi.org/10.29119/1641-3466.2025.228.13</w:t>
      </w:r>
    </w:p>
    <w:p>
      <w:pPr/>
      <w:r>
        <w:rPr>
          <w:b/>
        </w:rPr>
        <w:t>Shared claim-specific concepts:</w:t>
      </w:r>
      <w:r>
        <w:t xml:space="preserve"> attempt, identification, significant, factors, polish, areas; EU scope visible. This is a provisional connection, not an outcome finding.</w:t>
      </w:r>
    </w:p>
    <w:p>
      <w:pPr>
        <w:pStyle w:val="SourceNote"/>
      </w:pPr>
      <w:r>
        <w:rPr>
          <w:b/>
        </w:rPr>
        <w:t>Available abstract (not full text):</w:t>
      </w:r>
      <w:r>
        <w:t xml:space="preserve"> Purpose: The purpose of this article is to identify and assess the level of digital maturity among institutions in Poland, with a focus on distinguishing patterns between public and private sector organizations. Design/methodology/approach: The study combines a systematic literature review with an empirical survey conducted among representatives of Polish institutions. The survey, based on a 7-point Likert scale, examined eight dimensions of digital maturity. Findings: The results indicate a moderate level of digital maturity across both public and private institutions, with notable differences in specific areas. While public institutions demonstrate higher maturity in regulated areas such as data management and infrastructure, private institutions score higher in digital leadership and cultural readiness. However, both sectors exhibit insufficient levels of innovation and agility, confirming that technological development alone does not ensure comprehensive digital transformation. Research limitations/implications: This study is limited to the Polish context and uses self reported data, which may be subject to bias. Future research could incorporate comparative studies across different countries or sectors, and expand with qualitative methods to explore internal organizational factors that support or hinder digital maturity. Practical implications: The findings offer practical</w:t>
      </w:r>
    </w:p>
    <w:p>
      <w:pPr/>
      <w:r>
        <w:rPr>
          <w:b/>
        </w:rPr>
        <w:t>POSSIBLE 2025:</w:t>
      </w:r>
      <w:r>
        <w:t xml:space="preserve"> The role of social, policy and economic forces in shaping forest restoration practices in Europe — https://doi.org/10.1016/j.landusepol.2025.107876</w:t>
      </w:r>
    </w:p>
    <w:p>
      <w:pPr/>
      <w:r>
        <w:rPr>
          <w:b/>
        </w:rPr>
        <w:t>Shared claim-specific concepts:</w:t>
      </w:r>
      <w:r>
        <w:t xml:space="preserve"> factors, rural; EU scope visible. This is a provisional connection, not an outcome finding.</w:t>
      </w:r>
    </w:p>
    <w:p>
      <w:pPr>
        <w:pStyle w:val="SourceNote"/>
      </w:pPr>
      <w:r>
        <w:rPr>
          <w:b/>
        </w:rPr>
        <w:t>Available abstract (not full text):</w:t>
      </w:r>
      <w:r>
        <w:t xml:space="preserve"> Forest restoration in Europe has a complex history strongly influenced by various social, policy and economic factors. Understanding these influences is essential for shaping effective restoration strategies and avoiding past mistakes, particularly in light of meeting ambitious targets outlined in initiatives such as the EU Nature Restoration Regulation. Here we identify the key social, policy and economic drivers, barriers and enablers that have historically shaped forest restoration across Europe. We analyzed and synthesized detailed information from historical national narratives on forest restoration provided by experts from 18 European countries. Our work details how wars, changes in governance (centralization vs. decentralization) and forest tenure (privatization vs. nationalization), different policy instruments (regulatory, financial, persuasive and organizational), market fluctuations and sociodemographic changes (e.g., rural abandonment, changes in public opinion) have driven the development of forest restoration in Europe. The findings underscore the need to use inclusive and innovative governance mechanisms to reconcile diverging societal paradigms (e.g., rural vs. urban, conservation vs. forestry) partly reflected in incoherent forest-related policies, as well as to address the fragmentation resulting from forest privatization. Ensuring stable funding mechanisms (e</w:t>
      </w:r>
    </w:p>
    <w:p>
      <w:pPr/>
      <w:r>
        <w:rPr>
          <w:b/>
        </w:rPr>
        <w:t>POSSIBLE 2025:</w:t>
      </w:r>
      <w:r>
        <w:t xml:space="preserve"> Shaping the Doctrine of European and Constitutional Identity into the Context of the European Integration of Ukraine — https://doi.org/10.62733/2025.2.89-121</w:t>
      </w:r>
    </w:p>
    <w:p>
      <w:pPr/>
      <w:r>
        <w:rPr>
          <w:b/>
        </w:rPr>
        <w:t>Shared claim-specific concepts:</w:t>
      </w:r>
      <w:r>
        <w:t xml:space="preserve"> perspective, not; EU scope visible. This is a provisional connection, not an outcome finding.</w:t>
      </w:r>
    </w:p>
    <w:p>
      <w:pPr>
        <w:pStyle w:val="SourceNote"/>
      </w:pPr>
      <w:r>
        <w:rPr>
          <w:b/>
        </w:rPr>
        <w:t>Available abstract (not full text):</w:t>
      </w:r>
      <w:r>
        <w:t xml:space="preserve"> The concept of constitutional identity is a fundamental idea that was developed into the jurisprudence of the Federal Constitutional Court of Germany and other European constitutional courts. It reflects the trends that have developed into the national constitutional law of the EU Member States as a result of determining the role and significance of national constitutions in the process of European integration. As a rule, national constitutions have the highest legal force within national legal systems, which in turn is closely related to the principle of state sovereignty and the priority of the constituent power of the people. The modern concept of constitutional identity defines the boundaries of state sovereignty and the need for national constitutional control over the state powers delegated to European institutions. In addition, national European constitutions have their own special nature, core and eternal values that cannot be replaced or abolished even in the process of constitutional changes. Fundamental rights and freedoms also retain their identity, their essential content, which must be protected from laws, politicians and European institutions by CJEU and national judiciary (constitutional courts). Ukraine not only announced its desire to join the EU, but also established in the Preamble to the Constitution its European geopolitical choice and the European identit</w:t>
      </w:r>
    </w:p>
    <w:p>
      <w:pPr/>
      <w:r>
        <w:rPr>
          <w:b/>
        </w:rPr>
        <w:t>POSSIBLE 2023:</w:t>
      </w:r>
      <w:r>
        <w:t xml:space="preserve"> Organizational Models in European Forestry: An Attempt of Conceptualization and Categorization — https://doi.org/10.3390/f14050905</w:t>
      </w:r>
    </w:p>
    <w:p>
      <w:pPr/>
      <w:r>
        <w:rPr>
          <w:b/>
        </w:rPr>
        <w:t>Shared claim-specific concepts:</w:t>
      </w:r>
      <w:r>
        <w:t xml:space="preserve"> attempt, decades; EU scope visible. This is a provisional connection, not an outcome finding.</w:t>
      </w:r>
    </w:p>
    <w:p>
      <w:pPr>
        <w:pStyle w:val="SourceNote"/>
      </w:pPr>
      <w:r>
        <w:rPr>
          <w:b/>
        </w:rPr>
        <w:t>Available abstract (not full text):</w:t>
      </w:r>
      <w:r>
        <w:t xml:space="preserve"> The changes and challenges that are tackling the forest sector in recent decades have prompted governments and foresters to work hard to find innovative solutions. Research in the forestry domain has focused on product and process innovation, and more recently on business systems and social innovation. In addition, organizational innovation is recognized and documented. However, while consistent conceptualization work has been conducted for business models and social innovation, the organizational domain in forestry seems less clear, characterized by multiple actors and often overlapping in literature, while a clear framework to describe it is missing. This work proposes a conceptualization of the “organizational model”, a concept embracing different approaches to build an analytical framework used to describe and characterize organizations in the forestry sector. The framework is drafted referring to existing theories, then tested (and further developed) through a semi-systematic literature review on organizations operating in forest management in Europe that are identified, categorized, and characterized. This exercise confirms that forest management organizations can be described with several diverse arrangements and can be complex entities: a holistic and comprehensive approach is more likely to be used by policy initiatives addressing improvement of forest management.</w:t>
      </w:r>
    </w:p>
    <w:p>
      <w:pPr/>
      <w:r>
        <w:rPr>
          <w:b/>
        </w:rPr>
        <w:t>POSSIBLE 2023:</w:t>
      </w:r>
      <w:r>
        <w:t xml:space="preserve"> Dream of European Army: Is It a Feasible Objective or Not? — https://doi.org/10.37880/cumuiibf.1334315</w:t>
      </w:r>
    </w:p>
    <w:p>
      <w:pPr/>
      <w:r>
        <w:rPr>
          <w:b/>
        </w:rPr>
        <w:t>Shared claim-specific concepts:</w:t>
      </w:r>
      <w:r>
        <w:t xml:space="preserve"> objective, attempt, significant, feasible, areas, decades; EU scope visible. This is a provisional connection, not an outcome finding.</w:t>
      </w:r>
    </w:p>
    <w:p>
      <w:pPr>
        <w:pStyle w:val="SourceNote"/>
      </w:pPr>
      <w:r>
        <w:rPr>
          <w:b/>
        </w:rPr>
        <w:t>Available abstract (not full text):</w:t>
      </w:r>
      <w:r>
        <w:t xml:space="preserve"> The European Union’s (EU) defense initiatives have changed over time, reflecting both the pursuit of security and defense goals and the shifting dynamics of European integration. To improve defense cooperation and create a common defense strategy for the EU, several initiatives have been made. The EU’s Common Security and Defense Policy (CSDP), which strives to strengthen its capacity to handle security concerns and preserve stability, has a significant influence on defense-related operations. We have witnessed new security and military efforts from the EU in the first two decades of the 2000s, such as the European Security Strategy, EU’s Global Strategy and Security Compass. 2013 marked a turning point when the USA deployed its new nuclear weapons in Europe. The announcement of the creation of the European army was made on November 13, 2017. Europe should be able to act independently in areas of defense and security rather than merely relying on the US or NATO. Because of these kinds of reservations, desires to pursue more advanced capabilities on their own have been raised. There has been a lot of debate and analysis around the reasons for and against the formation of a European army. Numerous parties have expressed interest in and influence over the notion of a European army. The development of a European army has been heavily debated over the past several years. Why is the </w:t>
      </w:r>
    </w:p>
    <w:p>
      <w:pPr/>
      <w:r>
        <w:rPr>
          <w:b/>
        </w:rPr>
        <w:t>POSSIBLE 2023:</w:t>
      </w:r>
      <w:r>
        <w:t xml:space="preserve"> Determining factors in shaping the sustainable behavior of the generation Z consumer — https://doi.org/10.3389/fenvs.2023.1096183</w:t>
      </w:r>
    </w:p>
    <w:p>
      <w:pPr/>
      <w:r>
        <w:rPr>
          <w:b/>
        </w:rPr>
        <w:t>Shared claim-specific concepts:</w:t>
      </w:r>
      <w:r>
        <w:t xml:space="preserve"> identification, factors, perspective; EU scope not established. This is a provisional connection, not an outcome finding.</w:t>
      </w:r>
    </w:p>
    <w:p>
      <w:pPr>
        <w:pStyle w:val="SourceNote"/>
      </w:pPr>
      <w:r>
        <w:rPr>
          <w:b/>
        </w:rPr>
        <w:t>Available abstract (not full text):</w:t>
      </w:r>
      <w:r>
        <w:t xml:space="preserve"> Introduction: Organizations currently emphasize green marketing strategies by implementing marketing practices, aiming to design, produce, promote and sell green products. Thus, both consumers and producers have turned their attention to the category of environmental friendly products, taking into account that the concept of green marketing is now being given greater importance. Responsible organizations have begun to adapt their strategies in production, promotion and interaction activities with consumers or potential consumers of organic products in the context we are going through, when environmental protection becomes an imperative. Analysis of the sustainable behavior of Generation Z is a determining factor from the perspective of the task that this generation will naturally take on, in terms of environmental responsibility. Methods: The research aims to determine the profile of the Generation Z consumer, in order to adapt the strategic actions of the government or organizations to direct and educate as objectively and efficiently as possible towards adopting the principles of ecological, sustainable and responsible consumption. Based on the data collected through a survey, we analyzed the sustainable behavior of Generation Z consumers studying at Romanian universities where there are specializations in this field. The research is quantitative, using structural equation mo</w:t>
      </w:r>
    </w:p>
    <w:p>
      <w:pPr/>
      <w:r>
        <w:rPr>
          <w:b/>
        </w:rPr>
        <w:t>POSSIBLE 2021:</w:t>
      </w:r>
      <w:r>
        <w:t xml:space="preserve"> Identification of Suicide Attempt Risk Factors in a National US Survey Using Machine Learning — https://doi.org/10.1001/jamapsychiatry.2020.4165</w:t>
      </w:r>
    </w:p>
    <w:p>
      <w:pPr/>
      <w:r>
        <w:rPr>
          <w:b/>
        </w:rPr>
        <w:t>Shared claim-specific concepts:</w:t>
      </w:r>
      <w:r>
        <w:t xml:space="preserve"> objective, attempt, identification, factors, not; EU scope not established. This is a provisional connection, not an outcome finding.</w:t>
      </w:r>
    </w:p>
    <w:p>
      <w:pPr>
        <w:pStyle w:val="SourceNote"/>
      </w:pPr>
      <w:r>
        <w:rPr>
          <w:b/>
        </w:rPr>
        <w:t>Available abstract (not full text):</w:t>
      </w:r>
      <w:r>
        <w:t xml:space="preserve"> Importance: Because more than one-third of people making nonfatal suicide attempts do not receive mental health treatment, it is essential to extend suicide attempt risk factors beyond high-risk clinical populations to the general adult population. Objective: To identify future suicide attempt risk factors in the general population using a data-driven machine learning approach including more than 2500 questions from a large, nationally representative survey of US adults. Design, Setting, and Participants: Data came from wave 1 (2001 to 2002) and wave 2 (2004 to 2005) of the National Epidemiologic Survey on Alcohol and Related Conditions (NESARC). NESARC is a face-to-face longitudinal survey conducted with a national representative sample of noninstitutionalized civilian population 18 years and older in the US. The cumulative response rate across both waves was 70.2% resulting in 34 653 wave 2 interviews. A balanced random forest was trained using cross-validation to develop a suicide attempt risk model. Out-of-fold model prediction was used to assess model performance, including the area under the receiver operator curve, sensitivity, and specificity. Survey design and nonresponse weights allowed estimates to be representative of the US civilian population based on the 2000 census. Analyses were performed between May 15, 2019, and June 10, 2020. Main Outcomes and Measures: Atte</w:t>
      </w:r>
    </w:p>
    <w:p>
      <w:pPr/>
      <w:r>
        <w:rPr>
          <w:b/>
        </w:rPr>
        <w:t>POSSIBLE 2021:</w:t>
      </w:r>
      <w:r>
        <w:t xml:space="preserve"> Social Enterprise in Western Europe — https://doi.org/10.4324/9780429055140</w:t>
      </w:r>
    </w:p>
    <w:p>
      <w:pPr/>
      <w:r>
        <w:rPr>
          <w:b/>
        </w:rPr>
        <w:t>Shared claim-specific concepts:</w:t>
      </w:r>
      <w:r>
        <w:t xml:space="preserve"> objective, attempt, identification, decades; EU scope visible. This is a provisional connection, not an outcome finding.</w:t>
      </w:r>
    </w:p>
    <w:p>
      <w:pPr>
        <w:pStyle w:val="SourceNote"/>
      </w:pPr>
      <w:r>
        <w:rPr>
          <w:b/>
        </w:rPr>
        <w:t>Available abstract (not full text):</w:t>
      </w:r>
      <w:r>
        <w:t xml:space="preserve"> In the last two decades, the quest for a widely accepted definition of social enterprise has been a central issue in a great number of publications.The main objective of the ICSEM Project on which this book is based was to show that the social enterprise field would benefit much more from linking conceptualisation efforts to the huge diversity of social enterprises than from an additional and ambitious attempt at providing an encompassing definition. Starting from a hypothesis that could be termed "the impossibility of a unified definition", the ICSEM research strategy relied on bottom-up approaches to capture the social enterprise phenomenon in its local and national contexts. This strategy made it possible to take into account and give legitimacy to locally embedded approaches, while simultaneously allowing for the identification of major social enterprise models to delineate the field on common grounds at the international level.Social Enterprise in Western Europe –the third volume in a series of four ICSEM-based books on social enterprise worldwide – will serve as a key reference and resource for teachers, researchers, students, experts, policy makers, journalists and others who want to acquire a broad understanding of the social enterprise and social entrepreneurship phenomena as they emerge and develop in this region.</w:t>
      </w:r>
    </w:p>
    <w:p>
      <w:pPr/>
      <w:r>
        <w:rPr>
          <w:b/>
        </w:rPr>
        <w:t>POSSIBLE 2021:</w:t>
      </w:r>
      <w:r>
        <w:t xml:space="preserve"> Factors associated with abstinence after a recent smoking cessation attempt across 28 European Union member states — https://doi.org/10.18332/tpc/132123</w:t>
      </w:r>
    </w:p>
    <w:p>
      <w:pPr/>
      <w:r>
        <w:rPr>
          <w:b/>
        </w:rPr>
        <w:t>Shared claim-specific concepts:</w:t>
      </w:r>
      <w:r>
        <w:t xml:space="preserve"> attempt, factors, not; EU scope visible. This is a provisional connection, not an outcome finding.</w:t>
      </w:r>
    </w:p>
    <w:p>
      <w:pPr>
        <w:pStyle w:val="SourceNote"/>
      </w:pPr>
      <w:r>
        <w:rPr>
          <w:b/>
        </w:rPr>
        <w:t>Available abstract (not full text):</w:t>
      </w:r>
      <w:r>
        <w:t xml:space="preserve"> INTRODUCTION: There is a lack of information regarding factors associated with successful smoking cessation on a population and European Union (EU)-wide level. Our study seeks to explore individual and country-level factors associated with abstinence after a recent smoking cessation attempt across the EU. METHODS: We obtained data from the March 2017 Special Eurobarometer 87.1 (n=27901). Regression analysis was performed on a subset of 1472 individuals who made quit attempts in the past 12 months. Sociodemographic, policy and country-level factors were assessed using logistic regression among smokers and ex-smokers who attempted to quit approximately 12 months before the survey date. We defined and examined the Cessation Ratio (ratio of number of recent quitters to those who did not succeed) across 28 EU Member States. RESULTS: In all, 14.9% (n=1018) of current smokers and 8.80% (n=454) of ex-smokers attempted to quit in approximately the last 12 months (n=1472). Cessation Ratios ranged from 0.182 (95% CI: 0.045-0.319) in Estonia to 1.060 (95% CI: 0.262-1.860) in Sweden. There is a quadratic, U-shaped relationship between odds of quitting and smoking prevalence. The lowest odds of cessation were observed at a prevalence of 26.3%, with higher odds of cessation observed above and below this point. Respondents who reported financial difficulties were less likely to quit (AOR=0.66;</w:t>
      </w:r>
    </w:p>
    <w:p>
      <w:pPr/>
      <w:r>
        <w:rPr>
          <w:b/>
        </w:rPr>
        <w:t>POSSIBLE 2020:</w:t>
      </w:r>
      <w:r>
        <w:t xml:space="preserve"> Subjective or Objective? How Objective Measures Relate to Subjective Life Satisfaction in Europe — https://doi.org/10.3390/ijgi9050320</w:t>
      </w:r>
    </w:p>
    <w:p>
      <w:pPr/>
      <w:r>
        <w:rPr>
          <w:b/>
        </w:rPr>
        <w:t>Shared claim-specific concepts:</w:t>
      </w:r>
      <w:r>
        <w:t xml:space="preserve"> objective, significant, factors; EU scope visible. This is a provisional connection, not an outcome finding.</w:t>
      </w:r>
    </w:p>
    <w:p>
      <w:pPr>
        <w:pStyle w:val="SourceNote"/>
      </w:pPr>
      <w:r>
        <w:rPr>
          <w:b/>
        </w:rPr>
        <w:t>Available abstract (not full text):</w:t>
      </w:r>
      <w:r>
        <w:t xml:space="preserve"> Quality of life and life satisfaction are topics that currently receive a great deal of attention across the globe. Many approaches exist, which use both qualitative and quantitative methods, to capture these phenomena. Historically, quality of life was measured exclusively by economic indicators. However, it is indisputable that other factors influence people’s life satisfaction, which is captured by subjective survey-based data. By contrast, objective data can easily be obtained and cover a wider range, in terms of population and area. In this research, the multiple fuzzy linear regression model is applied in order to explain the relationship between subjective life satisfaction and selected objective indicators used to evaluate quality of life. The great advantage of the fuzzy model lies in its ability to capture uncertainty, which is undoubtedly associated with the vague concept of subjective life satisfaction. The main outcome of the paper is the detection of indicators that have a statistically significant relationship with life satisfaction. Subsequently, a pan-European sub-national prediction of life satisfaction after the consideration of the most relevant input indicators was proposed, including the uncertainty associated with the prediction of such a phenomenon. The study revealed significant regional differences and similarities between the originally reported satis</w:t>
      </w:r>
    </w:p>
    <w:p>
      <w:pPr/>
      <w:r>
        <w:rPr>
          <w:b/>
        </w:rPr>
        <w:t>POSSIBLE 2020:</w:t>
      </w:r>
      <w:r>
        <w:t xml:space="preserve"> SUBJECTIVE AND OBJECTIVE IN THE NATIONAL SELF-IDENTIFICATION OF MACEDONIANS IN BULGARIA — https://doi.org/10.46763/bssr2016227b</w:t>
      </w:r>
    </w:p>
    <w:p>
      <w:pPr/>
      <w:r>
        <w:rPr>
          <w:b/>
        </w:rPr>
        <w:t>Shared claim-specific concepts:</w:t>
      </w:r>
      <w:r>
        <w:t xml:space="preserve"> objective, decades, not; EU scope visible. This is a provisional connection, not an outcome finding.</w:t>
      </w:r>
    </w:p>
    <w:p>
      <w:pPr>
        <w:pStyle w:val="SourceNote"/>
      </w:pPr>
      <w:r>
        <w:rPr>
          <w:b/>
        </w:rPr>
        <w:t>Available abstract (not full text):</w:t>
      </w:r>
      <w:r>
        <w:t xml:space="preserve"> Through the prism of “subjective” and “objective” criteria, this paper analyses the theoretical and practical problems associated with the self-identification of the Macedonians and the non-recognition of the Macedonian minority by the Bulgarian state. Realization of the fundamental natural subjective human right to independent and free national self-identification is extremely difficult in the absence of objective conditions, such as state guarantees aimed at the development of specific national minorities. The Bulgarian state not only does not provide any guarantees for the development of the Macedonian minority, but for many decades has denied the very fact of its existence in Bulgaria, which is consistently implemented in the lawmaking and enforcement activities of this state. In result Macedonians cannot even register their own NGOs, which led to numerous decisions of ECHR against Bulgaria.The authors of the paper critically assess the Bulgarian state national ideology and politics, devoid of any signs of tolerance and not based on real, internationally recognized objective facts confirming the centuries-old existence of the Macedonian minority, the Macedonian language and culture on the territory of modern Bulgaria. In addition, the official state myths that the citizens of Bulgaria who identify themselves with the Macedonian national minority are enemies of theBulgarian </w:t>
      </w:r>
    </w:p>
    <w:p>
      <w:pPr>
        <w:pStyle w:val="Heading2"/>
      </w:pPr>
      <w:r>
        <w:t>815. Towards the European Union's Foreign Policy 2025 – Taking Stock of the Dahrendorf Foresight Project</w:t>
      </w:r>
    </w:p>
    <w:p>
      <w:pPr>
        <w:pStyle w:val="SourceNote"/>
      </w:pPr>
      <w:r>
        <w:rPr>
          <w:b/>
        </w:rPr>
        <w:t>Original source (2017):</w:t>
      </w:r>
      <w:r>
        <w:t xml:space="preserve"> https://doi.org/10.1111/1758-5899.12438</w:t>
      </w:r>
    </w:p>
    <w:p>
      <w:pPr/>
      <w:r>
        <w:t>Original wording (abstract; indexed_source_text_not_full_document_verified): Based on an analysis of the current state of the Union, this paper takes stock of the outcomes of the Dahrendorf Foresight Project and looks ahead at the EU 's role in the world of 2025.</w:t>
      </w:r>
    </w:p>
    <w:p>
      <w:pPr/>
      <w:r>
        <w:rPr>
          <w:b/>
        </w:rPr>
        <w:t>POSSIBLE 2026:</w:t>
      </w:r>
      <w:r>
        <w:t xml:space="preserve"> Current state and potential of hospitals for automated healthcare-associated infection surveillance: data from 24 European countries, 2022 to 2023 — https://doi.org/10.2807/1560-7917.es.2026.31.19.2500736</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BACKGROUND Although electronic health records are increasingly used for automated surveillance (AS) of healthcare-associated infections (HAIs), implementation is still a challenge. To develop more targeted implementation initiatives across Europe, knowledge about the current state of AS and potential to implement AS systems is needed. AIM To assess the adoption and feasibility of AS based on the 2022–2023 European Centre for Disease Prevention and Control (ECDC) Point Prevalence Survey (PPS). METHODS The 2022–2023 ECDC PPS included questions on the degree of AS and digital data storage for seven HAIs. Descriptive analyses of the responses were performed and stratified by geographic region and hospital characteristics. Categorical variables were analysed as such and converted to ordinal scales. RESULTS Overall, 992 hospitals from 24 European countries participated. Across all seven HAIs, fully manual surveillance was the most common method (from healthcare-associated pneumonia (HAP) 38.8% to Clostridioides difficile infection (CDI) 45.4%). A considerable proportion, i.e. 19.3% (HAP) to 29.8% (CDI), employed some form of automation (automated denominator 5.3–11.3%; semi-automated 12.2–16.9%; fully automated 1.8–2.9%). Many hospitals not employing AS had required source data digitally stored. Generally, tertiary hospitals had higher levels of automation and digital data storage co</w:t>
      </w:r>
    </w:p>
    <w:p>
      <w:pPr/>
      <w:r>
        <w:rPr>
          <w:b/>
        </w:rPr>
        <w:t>POSSIBLE 2025:</w:t>
      </w:r>
      <w:r>
        <w:t xml:space="preserve"> Analysis of the current state of sewage sludge treatment from the perspective of current European directives — https://doi.org/10.1186/s12302-025-01097-7</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Due to its produced quantity, sewage sludge is a serious environmental problem not only in Slovakia, but also on a global scale. The submitted study deals with the current state of sewage sludge treatment with a focus on assessing the advantages and disadvantages of selected technologies. The main objective of the review study is to evaluate the advantages and limitations of individual sewage sludge processing technologies. Based on the evaluation of the advantages and limitations, another objective of the study was to determine the most suitable, less suitable, or unsuitable technologies for sewage sludge processing. Another objective of the study was to evaluate innovative technologies (not only commonly used ones). The purpose of this objective was to monitor the most current trends in sewage sludge processing technologies and, by evaluating them, to expand knowledge in this scientific field. The presented analysis of sewage sludge treatment was carried out in accordance with current European directives. The main novelty of the review study is a comprehensive assessment of sludge processing technologies with a focus on their main advantages and limitations. Another novelty is the focus of the study on innovative methods of sewage sludge processing. As part of the analysis, the evaluated sludge treatment technologies were divided into three categories: conventional, alternati</w:t>
      </w:r>
    </w:p>
    <w:p>
      <w:pPr/>
      <w:r>
        <w:rPr>
          <w:b/>
        </w:rPr>
        <w:t>POSSIBLE 2024:</w:t>
      </w:r>
      <w:r>
        <w:t xml:space="preserve"> Obesity: current state of the problem, multidisciplinary approach. (based on the consensus of the World Gastroenterological Organization “Obesity 2023” and the European guideline on obesity care in patients with gastrointestinal and liver diseases, 2022) — https://doi.org/10.31146/1682-8658-ecg-218-10-5-47</w:t>
      </w:r>
    </w:p>
    <w:p>
      <w:pPr/>
      <w:r>
        <w:rPr>
          <w:b/>
        </w:rPr>
        <w:t>Shared claim-specific concepts:</w:t>
      </w:r>
      <w:r>
        <w:t xml:space="preserve"> based, current, state, world; EU scope visible. This is a provisional connection, not an outcome finding.</w:t>
      </w:r>
    </w:p>
    <w:p>
      <w:pPr>
        <w:pStyle w:val="SourceNote"/>
      </w:pPr>
      <w:r>
        <w:rPr>
          <w:b/>
        </w:rPr>
        <w:t>Available abstract (not full text):</w:t>
      </w:r>
      <w:r>
        <w:t xml:space="preserve"> Obesity is the largest pandemic in the world, and its prevalence continues to increase. The purpose of the presented publication is to raise awareness of doctors about modern methods of diagnosing obesity and approaches to therapy, using an interdisciplinary team approach similar to that used in other chronic diseases, such as diabetes, heart disease and cancer. The article presents data from the World Gastroenterological Organization (2023) and the European Guidelines for the Treatment of Obesity in patients with diseases of the gastrointestinal tract and liver (2022). According to modern approaches, obesity should be considered as a chronic recurrent progressive disease, the treatment of which requires a comprehensive interdisciplinary approach involving psychologists and psychiatrists, nutritionists/nutritionists, therapists, endoscopists and surgeons, including lifestyle changes, a well-defined diet and exercise regimen, drug therapy, endoscopic or surgical methods of treatment. Conclusions. In order to stop the growing wave of obesity and its many complications and costs, doctors, insurance companies and health authorities should make systematic efforts to raise public awareness of both the adverse health risks associated with obesity and the potential reduction of risks through a comprehensive approach to therapy.</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2023:</w:t>
      </w:r>
      <w:r>
        <w:t xml:space="preserve"> Area-based conservation: Taking stock and looking ahead — https://doi.org/10.1016/j.oneear.2023.01.012</w:t>
      </w:r>
    </w:p>
    <w:p>
      <w:pPr/>
      <w:r>
        <w:rPr>
          <w:b/>
        </w:rPr>
        <w:t>Shared claim-specific concepts:</w:t>
      </w:r>
      <w:r>
        <w:t xml:space="preserve"> stock, outcomes, ahead, world; EU scope not established. This is a provisional connection, not an outcome finding.</w:t>
      </w:r>
    </w:p>
    <w:p>
      <w:pPr>
        <w:pStyle w:val="SourceNote"/>
      </w:pPr>
      <w:r>
        <w:rPr>
          <w:b/>
        </w:rPr>
        <w:t>Available abstract (not full text):</w:t>
      </w:r>
      <w:r>
        <w:t xml:space="preserve"> Area-based conservation, particularly of protected areas, is the primary approach used globally to address biodiversity decline and currently covers 8% of the world's oceans and 17% of its lands. In the wake of the adoption of the Kunming-Montreal Global Biodiversity Framework under the Convention on Biological Diversity, area-based conservation (including protected areas and other effective area-based conservation measures [OECMs]) is set to diversify and rapidly expand as mandated by the 30x30 target to protect 30% of the planet by 2030. At this pivotal point, we take stock of the approach, including its history in global conservation policy and performance to date. We outline the following priority directions to ensure area-based conservation contributes to securing a sustainable and just future: (1) embracing a diverse area-based conservation toolbox to stem biodiversity loss, (2) centering social equity in area-based conservation, and (3) adopting robust monitoring and review processes to ensure effective and equitable outcomes.</w:t>
      </w:r>
    </w:p>
    <w:p>
      <w:pPr/>
      <w:r>
        <w:rPr>
          <w:b/>
        </w:rPr>
        <w:t>POSSIBLE 2023:</w:t>
      </w:r>
      <w:r>
        <w:t xml:space="preserve"> CURRENT STATE OF BURNOUT SYNDROME FREQUENCY IN EUROPEAN MEDICAL PROFESSIONALS — https://doi.org/10.32689/2663-0672-2023-1-2</w:t>
      </w:r>
    </w:p>
    <w:p>
      <w:pPr/>
      <w:r>
        <w:rPr>
          <w:b/>
        </w:rPr>
        <w:t>Shared claim-specific concepts:</w:t>
      </w:r>
      <w:r>
        <w:t xml:space="preserve"> based, current, state, world; EU scope visible. This is a provisional connection, not an outcome finding.</w:t>
      </w:r>
    </w:p>
    <w:p>
      <w:pPr>
        <w:pStyle w:val="SourceNote"/>
      </w:pPr>
      <w:r>
        <w:rPr>
          <w:b/>
        </w:rPr>
        <w:t>Available abstract (not full text):</w:t>
      </w:r>
      <w:r>
        <w:t xml:space="preserve"> Formulation of the problem. The article is devoted to study the issues related to current state of burnout syndrome frequency in European medical professionals which are important not only for domestic and foreign psychology, but also for clinical medicine in particular, due to its increased social significance and worldwide prevalence, while therefore there is a need for more detailed research. Analysis of recent research and publications. Burnout syndrome among medical professionals is common and usually may associate with negative consequences that can lead to poor patient’s care. According to the World Health Organization (ICD-11: Burnout QD85), burnout syndrome is understood as an occupational phenomenon that contains 3 components: emotional exhaustion/EE, depersonalization/DP, and also reduced personal accomplishment/PA. Formulation of the aim of an article. Article aimed to determine the current state of burnout syndrome frequency in European medical professionals. Presenting main material. The article includes the scientific studies of researchers who explored burnout syndrome among medical professionals (including family doctors) by using the Maslach Burnout Inventory/MBI and Copenhagen Burnout Inventory/CBI. Conclusions and prospects for additional research. Based on our study, we consider it necessary to conclude the following: the majority of research on the investi</w:t>
      </w:r>
    </w:p>
    <w:p>
      <w:pPr/>
      <w:r>
        <w:rPr>
          <w:b/>
        </w:rPr>
        <w:t>POSSIBLE 2023:</w:t>
      </w:r>
      <w:r>
        <w:t xml:space="preserve"> Risk categorisation of abattoirs in Europe: Current state of play — https://doi.org/10.1016/j.foodcont.2023.109863</w:t>
      </w:r>
    </w:p>
    <w:p>
      <w:pPr/>
      <w:r>
        <w:rPr>
          <w:b/>
        </w:rPr>
        <w:t>Shared claim-specific concepts:</w:t>
      </w:r>
      <w:r>
        <w:t xml:space="preserve"> based, current, state, outcomes; EU scope visible. This is a provisional connection, not an outcome finding.</w:t>
      </w:r>
    </w:p>
    <w:p>
      <w:pPr>
        <w:pStyle w:val="SourceNote"/>
      </w:pPr>
      <w:r>
        <w:rPr>
          <w:b/>
        </w:rPr>
        <w:t>Available abstract (not full text):</w:t>
      </w:r>
      <w:r>
        <w:t xml:space="preserve"> In the last decades, a risk-based approach has been identified as a step forward in modernising meat safety system in Europe. Risk categorisation of abattoirs based on their process hygiene and the appropriate use of harmonised epidemiological indicators (HEIs) has been suggested as one essential component of the risk-based meat safety assurance system. However, to date, only a limited number of papers have investigated abattoir risk categorisation. Therefore, the objectives of this study were to (i) provide an overview of the use of risk categorisation systems in poultry, pig, cattle and small ruminant abattoirs in Europe and (ii) explore the criteria, relevance and applicability of risk categorisation systems for competent authorities (CAs). To that aim, a questionnaire was designed and sent to representatives of 35 European CAs. Of the 18/35 respondents (51%), 14 (78%) indicated that abattoirs in their country are categorised according to their food safety risk in a systematic way, whilst four countries (22%) do not categorise abattoirs according to their food safety risk. The main reported purpose of categorising abattoirs is to adapt the frequency of official controls. Major differences in the described categorisation systems were found between countries, particularly in their complexity and the criteria used. The number of included criteria ranged from 1 to 10, the main o</w:t>
      </w:r>
    </w:p>
    <w:p>
      <w:pPr/>
      <w:r>
        <w:rPr>
          <w:b/>
        </w:rPr>
        <w:t>POSSIBLE 2022:</w:t>
      </w:r>
      <w:r>
        <w:t xml:space="preserve"> Comparative Multidimensional Analysis of the Current State of European Economies Based on the Complex of Macroeconomic Indicators — https://doi.org/10.3390/math10050847</w:t>
      </w:r>
    </w:p>
    <w:p>
      <w:pPr/>
      <w:r>
        <w:rPr>
          <w:b/>
        </w:rPr>
        <w:t>Shared claim-specific concepts:</w:t>
      </w:r>
      <w:r>
        <w:t xml:space="preserve"> based, current, state; EU scope visible. This is a provisional connection, not an outcome finding.</w:t>
      </w:r>
    </w:p>
    <w:p>
      <w:pPr>
        <w:pStyle w:val="SourceNote"/>
      </w:pPr>
      <w:r>
        <w:rPr>
          <w:b/>
        </w:rPr>
        <w:t>Available abstract (not full text):</w:t>
      </w:r>
      <w:r>
        <w:t xml:space="preserve"> The stability of the economy of any country is primarily determined by the totality of macroeconomic indicators that describe the current economic state. This article provides a multi-dimensional analysis of the macroeconomic situation in Europe according to the data of 2020. The purpose of the article is to give a clear idea of the relative position of the economies of European countries, their proximity or the significance of their differences to determine each country’s place in the overall European economic system. Research objectives: (1) to identify the necessary macroeconomic indicators for the research; (2) to determine the direction of the impact of these indicators on the economic situation of European countries; (3) to carry out a cluster division of the studied countries with the identification of the main characteristics of each cluster; (4) to identify the main macroeconomic indicators that determine the level of welfare of European countries, (5) to reduce the dimension of the multi-dimensional economic space using integrated latent factors, (6) to build a fuzzy mathematical model to predict the level of welfare of the country when the specified values of latent factors are achieved. The methodological basis of the analysis is the methods of processing multi-dimensional information, such as multi-dimensional scaling, cluster analysis, factor analysis, multivariat</w:t>
      </w:r>
    </w:p>
    <w:p>
      <w:pPr/>
      <w:r>
        <w:rPr>
          <w:b/>
        </w:rPr>
        <w:t>POSSIBLE 2022:</w:t>
      </w:r>
      <w:r>
        <w:t xml:space="preserve"> The Current State of the “Green” Parties: Russia, Europe, the World — https://doi.org/10.22394/1726-1139-2022-8-15-27</w:t>
      </w:r>
    </w:p>
    <w:p>
      <w:pPr/>
      <w:r>
        <w:rPr>
          <w:b/>
        </w:rPr>
        <w:t>Shared claim-specific concepts:</w:t>
      </w:r>
      <w:r>
        <w:t xml:space="preserve"> current, state, world; EU scope visible. This is a provisional connection, not an outcome finding.</w:t>
      </w:r>
    </w:p>
    <w:p>
      <w:pPr>
        <w:pStyle w:val="SourceNote"/>
      </w:pPr>
      <w:r>
        <w:rPr>
          <w:b/>
        </w:rPr>
        <w:t>Available abstract (not full text):</w:t>
      </w:r>
      <w:r>
        <w:t xml:space="preserve"> The article is devoted to the study of the current state of the «green» parties in the world as a whole, as well as in Europe and the Russian Federation in particular. The history of the formation of the «green» parties is also revealed and their common features are analyzed. In addition, the difference between the European «green» parties and the Russian ones is considered there. An important part of the study is the analysis of the percentage of representatives of «green» parties in the legislative authorities in the countries. As a result of the research, the author comes to several conclusions: currently, «green» parties exist in almost half of the countries where the existence of parties is possible as such. In a quarter of these countries, representatives of these parties are in the government, and about 4% of them are in the ruling coalitions. Nevertheless, for half a century, this is quite a great achievement for parties that were once considered oppositional. Most of these parties are represented in the European parliaments, but they have a number of differences from the «green» parties of the Russian Federation, which is also noted in this article.</w:t>
      </w:r>
    </w:p>
    <w:p>
      <w:pPr/>
      <w:r>
        <w:rPr>
          <w:b/>
        </w:rPr>
        <w:t>POSSIBLE 2021:</w:t>
      </w:r>
      <w:r>
        <w:t xml:space="preserve"> Marine Citizen Science: Current State in Europe and New Technological Developments — https://doi.org/10.3389/fmars.2021.621472</w:t>
      </w:r>
    </w:p>
    <w:p>
      <w:pPr/>
      <w:r>
        <w:rPr>
          <w:b/>
        </w:rPr>
        <w:t>Shared claim-specific concepts:</w:t>
      </w:r>
      <w:r>
        <w:t xml:space="preserve"> based, current, state, project; EU scope visible. This is a provisional connection, not an outcome finding.</w:t>
      </w:r>
    </w:p>
    <w:p>
      <w:pPr>
        <w:pStyle w:val="SourceNote"/>
      </w:pPr>
      <w:r>
        <w:rPr>
          <w:b/>
        </w:rPr>
        <w:t>Available abstract (not full text):</w:t>
      </w:r>
      <w:r>
        <w:t xml:space="preserve"> Marine citizen science is emerging with promising opportunities for science, policy and public but there is still no comprehensive overview of the current state in Europe. Based on 127 projects identified for the North Sea area we estimate there might be as much as 500 marine and coastal citizen science projects running in Europe, i.e., one marine citizen science project per ∼85 km of coastline, with an exponential growth since 1990. Beach-based projects are more accessible and hence most popular (60% of the projects), and the mean duration of the projects is 18–20 years. Current trends, topics, organizers, aims, and types of programme in terms of participation are presented in this overview. Progress in marine citizen science is specially enabled and promoted through technological developments. Recent technological advances and best practise examples are provided here, untapping the potential of smart mobile apps, do-it-yourself (DIY) technologies, drones, and artificial intelligence (AI) web services.</w:t>
      </w:r>
    </w:p>
    <w:p>
      <w:pPr/>
      <w:r>
        <w:rPr>
          <w:b/>
        </w:rPr>
        <w:t>POSSIBLE 2021:</w:t>
      </w:r>
      <w:r>
        <w:t xml:space="preserve"> Addressing underwater noise in Europe: Current state of knowledge and future priorities — https://doi.org/10.5281/zenodo.5534223</w:t>
      </w:r>
    </w:p>
    <w:p>
      <w:pPr/>
      <w:r>
        <w:rPr>
          <w:b/>
        </w:rPr>
        <w:t>Shared claim-specific concepts:</w:t>
      </w:r>
      <w:r>
        <w:t xml:space="preserve"> current, state, world; EU scope visible. This is a provisional connection, not an outcome finding.</w:t>
      </w:r>
    </w:p>
    <w:p>
      <w:pPr>
        <w:pStyle w:val="SourceNote"/>
      </w:pPr>
      <w:r>
        <w:rPr>
          <w:b/>
        </w:rPr>
        <w:t>Available abstract (not full text):</w:t>
      </w:r>
      <w:r>
        <w:t xml:space="preserve"> The Ocean presents a cacophony of sounds originating from natural as well as anthropogenic sources. Marine organisms heavily rely on sound to communicate and understand the world around them, and are therefore potentially impacted by anthropogenic sound. However, in developing our Blue Economy and in advancing our knowledge of marine environments and ecosystems, anthropogenic noise is sometimes unavoidable. Understanding the potential effects of anthropogenic noise is therefore integral to addressing this conflict, as it is needed to develop proportionate mitigation strategies and effective regulation. Next to providing an overview of our current knowledge about underwater noise, this publication highlights the priority areas for further research addressing the remaining knowledge gaps about the effects of anthropogenic noise. Furthermore, it points out the relevant actions needed to take in order to ensure ecosystem-based and precautionary legislation.</w:t>
      </w:r>
    </w:p>
    <w:p>
      <w:pPr/>
      <w:r>
        <w:rPr>
          <w:b/>
        </w:rPr>
        <w:t>POSSIBLE 2021:</w:t>
      </w:r>
      <w:r>
        <w:t xml:space="preserve"> Accuracy of European Stock Target Prices — https://doi.org/10.3390/jrfm14090443</w:t>
      </w:r>
    </w:p>
    <w:p>
      <w:pPr/>
      <w:r>
        <w:rPr>
          <w:b/>
        </w:rPr>
        <w:t>Shared claim-specific concepts:</w:t>
      </w:r>
      <w:r>
        <w:t xml:space="preserve"> based, current, stock; EU scope visible. This is a provisional connection, not an outcome finding.</w:t>
      </w:r>
    </w:p>
    <w:p>
      <w:pPr>
        <w:pStyle w:val="SourceNote"/>
      </w:pPr>
      <w:r>
        <w:rPr>
          <w:b/>
        </w:rPr>
        <w:t>Available abstract (not full text):</w:t>
      </w:r>
      <w:r>
        <w:t xml:space="preserve"> Equity researches are conducted by professionals, who also provide buy/hold/sell recommendations to investors. Nowadays, target prices determined by financial analysts are publicly available to investors, who may decide to use them for investment purposes. Studying the accuracy of such analysts' forecasts is, thus, of paramount importance. Based upon empirical data on 50 of the biggest (larger capitalisation) European stocks over a 15 year period, from 2004 to 2019 and using a panel data approach, this is the first study looking at overall accuracy in European stock markets. We find that Bloomberg's 12-month consensus target prices have no predictive over future market prices. Panel results are robust to company fixed effects and sub-period analysis. These results are in line with the (mostly US-based) evidence in the literature. Extending common practice, we perform a comparative accuracy analysis, comparing the accuracy of target prices with that of simple capitalisations of current prices. It turns out target prices are not better in forecasting, than simple capitalisations. More interestingly, by analysing also the relationship between both measures – target prices and capitalised prices – we find evidence that capitalised prices partially explain how target prices are determined. Even when considering individual regressions, accuracy is still very low, but varies considera</w:t>
      </w:r>
    </w:p>
    <w:p>
      <w:pPr>
        <w:pStyle w:val="Heading2"/>
      </w:pPr>
      <w:r>
        <w:t>816. Transition pathways for a UK low-carbon electricity system: Comparing scenarios and technology implications</w:t>
      </w:r>
    </w:p>
    <w:p>
      <w:pPr>
        <w:pStyle w:val="SourceNote"/>
      </w:pPr>
      <w:r>
        <w:rPr>
          <w:b/>
        </w:rPr>
        <w:t>Original source (2017):</w:t>
      </w:r>
      <w:r>
        <w:t xml:space="preserve"> https://doi.org/10.1016/j.rser.2017.10.007</w:t>
      </w:r>
    </w:p>
    <w:p>
      <w:pPr/>
      <w:r>
        <w:t>Original wording (abstract; indexed_source_text_not_full_document_verified): This can aid an informed debate on the technical feasibility and social acceptability of realising transition pathways for decarbonising the UK energy sector by 2050. The United Kingdom (UK) has placed itself on a transition towards a low-carbon economy and society, through the imposition of a goal of reducing its ‘greenhouse’ gas emissions by 80% by 2050.</w:t>
      </w:r>
    </w:p>
    <w:p>
      <w:pPr/>
      <w:r>
        <w:rPr>
          <w:b/>
        </w:rPr>
        <w:t>POSSIBLE 2025:</w:t>
      </w:r>
      <w:r>
        <w:t xml:space="preserve"> Forms of autonomy and dependence in food aid: unravelling how they are related and perceived by recipients — https://doi.org/10.1007/s10460-025-10715-2</w:t>
      </w:r>
    </w:p>
    <w:p>
      <w:pPr/>
      <w:r>
        <w:rPr>
          <w:b/>
        </w:rPr>
        <w:t>Shared claim-specific concepts:</w:t>
      </w:r>
      <w:r>
        <w:t xml:space="preserve"> aid, informed, society; EU scope visible. This is a provisional connection, not an outcome finding.</w:t>
      </w:r>
    </w:p>
    <w:p>
      <w:pPr>
        <w:pStyle w:val="SourceNote"/>
      </w:pPr>
      <w:r>
        <w:rPr>
          <w:b/>
        </w:rPr>
        <w:t>Available abstract (not full text):</w:t>
      </w:r>
      <w:r>
        <w:t xml:space="preserve"> Abstract Dependence is an inherent aspect of human existence, yet independence and autonomy are powerful ideals, especially where they seem lacking. In the case of food aid, the dependence that it signifies is often experienced as shameful. Food justice scholars and practitioners advocate that people with low incomes should have greater autonomy in exercising their right to food, for example by receiving cash transfers instead of food donations. In this paper, we challenge an understanding of autonomy defined in opposition to dependence. Using a relational autonomy lens, we unravel how practices of autonomy are interrelated with forms of dependence in a food aid initiative. By better understanding these interrelations, and how forms of autonomy and dependence are experienced by recipients, it becomes possible to have more informed debates about desirable and undesirable ways of doing food aid. Our analysis is rooted in an ethnographic case study of a pilot program for money-based food aid in the Netherlands. This program gave food-insecure households a weekly budget to buy healthy groceries at regular stores. We unravel how this form of food aid shifted dependencies compared to the parcel-based aid it replaced, and how this reshaped practices of autonomy for recipients. Through the themes ‘concealing and revealing charity’, ‘upholding norms and caring through food choices’, and</w:t>
      </w:r>
    </w:p>
    <w:p>
      <w:pPr/>
      <w:r>
        <w:rPr>
          <w:b/>
        </w:rPr>
        <w:t>POSSIBLE 2025:</w:t>
      </w:r>
      <w:r>
        <w:t xml:space="preserve"> Psychological First Aid Manual — https://doi.org/10.5281/zenodo.19708751</w:t>
      </w:r>
    </w:p>
    <w:p>
      <w:pPr/>
      <w:r>
        <w:rPr>
          <w:b/>
        </w:rPr>
        <w:t>Shared claim-specific concepts:</w:t>
      </w:r>
      <w:r>
        <w:t xml:space="preserve"> aid, reducing; EU scope visible. This is a provisional connection, not an outcome finding.</w:t>
      </w:r>
    </w:p>
    <w:p>
      <w:pPr>
        <w:pStyle w:val="SourceNote"/>
      </w:pPr>
      <w:r>
        <w:rPr>
          <w:b/>
        </w:rPr>
        <w:t>Available abstract (not full text):</w:t>
      </w:r>
      <w:r>
        <w:t xml:space="preserve"> From the outset, it is essential to define what is meant by Psychological First Aid (PFA). Although this concept will be explored in greater detail in Chapter Four, we wish to emphasize that PFA should not be considered as a clinical or therapeutic intervention. Instead, it refers to a series of evidence-informed actions based on fundamental psychological principles aimed at reducing initial distress and supporting the short- and medium-term recovery of individuals affected by acute stress. Therefore, it is not necessarily delivered by mental health professionals, yet can be implemented by trained personnel across diverse settings, including education, social care, and humanitarian response.This manual advocates for the use of creative practices as tools within PFA. As we will see in the following chapters, we recognize that immediately following acute traumatic events creative interventions may not be appropriate for a number of reasons. However, some time later, when the initial stress has subsided but remains at a high level and carries the risk of becoming chronic (for example, generalized anxiety and hypervigilance weeks after an earthquake), creative practices developed in educational or social settings can serve as highly useful preventive tools. In this sense, and with a flexible approach, we understand them as instruments of PFA.Stress and change are closely interconne</w:t>
      </w:r>
    </w:p>
    <w:p>
      <w:pPr/>
      <w:r>
        <w:rPr>
          <w:b/>
        </w:rPr>
        <w:t>POSSIBLE 2024:</w:t>
      </w:r>
      <w:r>
        <w:t xml:space="preserve"> Assessing the Feasibility of Using Parents’ Social Media Conversations to Inform Burn First Aid Interventions: Mixed Methods Study — https://doi.org/10.2196/48695</w:t>
      </w:r>
    </w:p>
    <w:p>
      <w:pPr/>
      <w:r>
        <w:rPr>
          <w:b/>
        </w:rPr>
        <w:t>Shared claim-specific concepts:</w:t>
      </w:r>
      <w:r>
        <w:t xml:space="preserve"> aid, feasibility; EU scope not established. This is a provisional connection, not an outcome finding.</w:t>
      </w:r>
    </w:p>
    <w:p>
      <w:pPr>
        <w:pStyle w:val="SourceNote"/>
      </w:pPr>
      <w:r>
        <w:rPr>
          <w:b/>
        </w:rPr>
        <w:t>Available abstract (not full text):</w:t>
      </w:r>
      <w:r>
        <w:t xml:space="preserve"> BACKGROUND: Burns are common childhood injuries, which can lead to serious physical and psychological outcomes. Appropriate first aid is essential in managing the pain and severity of these injuries; hence, parents who need timely access to such information often seek it from the web. In particular, social media allow them to reach other parents, hence these conversations may provide insight to aid the design and evaluation of burn first aid interventions for parents. OBJECTIVE: This study aims to determine the feasibility of finding, accessing, and analyzing parent burn first aid conversations on social media to inform intervention research. METHODS: The initial choice of the relevant social media was made based on the results of a parent focus group and survey. We considered Facebook (Meta Platforms, Inc), Mumsnet (Mumsnet Limited), Netmums (Aufeminin Group), Twitter (subsequently rebranded as "X"; X Corp), Reddit (Reddit, Inc), and YouTube (Google LLC). To locate the relevant data on these platforms, we collated a taxonomy of search terms and designed a search strategy. A combination of natural language processing and manual inspection was used to filter out irrelevant data. The remaining data were analyzed manually to determine the length of conversations, the number of participants, the purpose of the initial post (eg, asking for or offering advice), burn types, and distri</w:t>
      </w:r>
    </w:p>
    <w:p>
      <w:pPr/>
      <w:r>
        <w:rPr>
          <w:b/>
        </w:rPr>
        <w:t>POSSIBLE 2024:</w:t>
      </w:r>
      <w:r>
        <w:t xml:space="preserve"> A Gender-Informed Smoking Cessation App for Women: Protocol for an Acceptability and Feasibility Study — https://doi.org/10.2196/60677</w:t>
      </w:r>
    </w:p>
    <w:p>
      <w:pPr/>
      <w:r>
        <w:rPr>
          <w:b/>
        </w:rPr>
        <w:t>Shared claim-specific concepts:</w:t>
      </w:r>
      <w:r>
        <w:t xml:space="preserve"> informed, feasibility, acceptability, goal; EU scope not established. This is a provisional connection, not an outcome finding.</w:t>
      </w:r>
    </w:p>
    <w:p>
      <w:pPr>
        <w:pStyle w:val="SourceNote"/>
      </w:pPr>
      <w:r>
        <w:rPr>
          <w:b/>
        </w:rPr>
        <w:t>Available abstract (not full text):</w:t>
      </w:r>
      <w:r>
        <w:t xml:space="preserve"> BACKGROUND: Tobacco smoking remains the leading preventable cause of death and disease among women. Quitting smoking offers numerous health benefits; however, women tend to have less success than men when attempting to quit. This discrepancy is partly due to sex- and gender-related factors, including the lower effectiveness of smoking cessation medication and the presence of unique motives for smoking and barriers to quitting among women. Despite the gendered nature of smoking, most smoking cessation apps are gender-neutral and fail to address women's specific needs. OBJECTIVE: This study aims to test the acceptability and feasibility of a smartphone app that delivers gender-informed content to support women in quitting smoking. METHODS: We co-developed a smoking cessation app specifically tailored for women, named My Change Plan-Women (MCP-W). This app builds upon our previous gender-neutral app, MCP, by retaining its content grounded in behavioral change techniques aimed at supporting tobacco reduction and cessation. This includes goal setting for quitting, identifying triggers to smoking, creating coping strategies, tracking cigarettes and cravings, and assessing financial savings from quitting smoking. The MCP-W app contains additional gender-informed content that acknowledges barriers to quitting, such as coping with stress, having smokers in one's social circle, and manag</w:t>
      </w:r>
    </w:p>
    <w:p>
      <w:pPr/>
      <w:r>
        <w:rPr>
          <w:b/>
        </w:rPr>
        <w:t>POSSIBLE 2024:</w:t>
      </w:r>
      <w:r>
        <w:t xml:space="preserve"> Social workers in schools: A feasibility study of three local authorities — https://doi.org/10.1177/14680173241258927</w:t>
      </w:r>
    </w:p>
    <w:p>
      <w:pPr/>
      <w:r>
        <w:rPr>
          <w:b/>
        </w:rPr>
        <w:t>Shared claim-specific concepts:</w:t>
      </w:r>
      <w:r>
        <w:t xml:space="preserve"> feasibility, acceptability, reducing; EU scope not established. This is a provisional connection, not an outcome finding.</w:t>
      </w:r>
    </w:p>
    <w:p>
      <w:pPr>
        <w:pStyle w:val="SourceNote"/>
      </w:pPr>
      <w:r>
        <w:rPr>
          <w:b/>
        </w:rPr>
        <w:t>Available abstract (not full text):</w:t>
      </w:r>
      <w:r>
        <w:t xml:space="preserve"> Summary This study evaluated the feasibility of ‘Social Workers in Schools’, an intervention that involved social workers being based within schools across three local authorities in England (SWIS). Schools make a large number of referrals to Children's Social Care and play an important role in recognizing risks to children and protecting them from harm, but it is unusual for social workers to be based in schools in the U.K. and to do statutory work. We evaluated the pilots on the basis of the feasibility of implementing SWIS, how promising it was in terms of reducing the need for statutory intervention, and the extent to which it be scaled. We used a mixed methods approach, with a process evaluation and a difference in differences analysis of indicative impact on key social care outcomes. In addition, we estimated the cost of implementing and maintaining SWIS. Findings We found high levels of acceptability among those involved, and examples of how SWIS enhances the way safeguarding issues are addressed. There was also some evidence that it may reduce the need for social care interventions, though this needs ratifying with more and better data. Applications The study suggests that SWIS is a promising intervention. Both the qualitative and quantitative findings suggest it may have the intended policy impact, but this needs to be tested on a larger scale and with a more rigorous </w:t>
      </w:r>
    </w:p>
    <w:p>
      <w:pPr/>
      <w:r>
        <w:rPr>
          <w:b/>
        </w:rPr>
        <w:t>POSSIBLE 2024:</w:t>
      </w:r>
      <w:r>
        <w:t xml:space="preserve"> On race, equity and aid — https://doi.org/10.4337/9781800886810.00032</w:t>
      </w:r>
    </w:p>
    <w:p>
      <w:pPr/>
      <w:r>
        <w:rPr>
          <w:b/>
        </w:rPr>
        <w:t>Shared claim-specific concepts:</w:t>
      </w:r>
      <w:r>
        <w:t xml:space="preserve"> aid, informed, sector; EU scope not established. This is a provisional connection, not an outcome finding.</w:t>
      </w:r>
    </w:p>
    <w:p>
      <w:pPr>
        <w:pStyle w:val="SourceNote"/>
      </w:pPr>
      <w:r>
        <w:rPr>
          <w:b/>
        </w:rPr>
        <w:t>Available abstract (not full text):</w:t>
      </w:r>
      <w:r>
        <w:t xml:space="preserve"> Development assistance and development as ideology has long been criticized, first, for being guided by the same exploitative and often violent quest for maintaining asymmetrical power relationships inherent in the colonial project, but second, for being deeply imbued with the same structural racism and racist ideologies that underpinned it. This chapter takes a look at ongoing conversations within the international development sector about how to address legacies of racism that continue to condition practices and perceptions. It begins with an exploration of the different ways in which race as ideology was constructed and leveraged to sustain the colonial project and how it has subsequently informed the construction of development as ideology and practice, ever since. The chapter then explores the different ways questions of race and anti-racism are informing debates about ‘decolonizing’ the sector. The chapter concludes with a discussion of possible ways forward.</w:t>
      </w:r>
    </w:p>
    <w:p>
      <w:pPr/>
      <w:r>
        <w:rPr>
          <w:b/>
        </w:rPr>
        <w:t>POSSIBLE 2024:</w:t>
      </w:r>
      <w:r>
        <w:t xml:space="preserve"> 097 Interpersonal decision-making processes on aid in dying: an international scoping review — https://doi.org/10.1136/bmjebm-2024-sdc.96</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Introduction Aid in dying (AID) means supporting a person in hastening their death voluntarily. Decision-making on this existential, very personal, and ethically complex issue is a major challenge and communication between people seeking AID and health care professionals is an important aspect. Thus, we aimed to explore the current state regarding interpersonal AID decision-making processes from multiple perspectives. Methods For this scoping review, we searched Web of Science, PubMed, and CINAHL. We sought records on AID in a professional healthcare context that reported on interpersonal aspects of decision- making processes. Results We included n=109. Records showed a great variety of participants in AID decision-making processes and mentioned professionalized and/or team approaches. Several, possibly iterative process phases (e.g. beginning, assessment, preparation, realization, aftercare) and overarching themes such as coordination, patient-centered care, and multidisciplinary teamwork were described. A range of decisions that need to be made by different stakeholders was found. This complex process requires appropriate communication skills. For example, going from vague requests to informed decisions in a shared process and fulfilling patient-centered care needs and procedural requirements simultaneously. Examples of facilitators for such processes were a trusting pre-exis</w:t>
      </w:r>
    </w:p>
    <w:p>
      <w:pPr/>
      <w:r>
        <w:rPr>
          <w:b/>
        </w:rPr>
        <w:t>POSSIBLE 2023:</w:t>
      </w:r>
      <w:r>
        <w:t xml:space="preserve"> Foreign Aid — https://doi.org/10.4324/9781003265320</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Foreign Aid: Policy and Practice offers a complete overview of the basics of foreign aid. Who is it for? Who pays for it? Why does it exist? What is it spent on? How much is it? And most important, does it work? The aid debate has been flooded by academic studies and popular books that either challenge or champion the effectiveness of aid. Most presume that the reader already knows the basic facts and characteristics of the aid industry. This book provides readers with a comprehensive summary of the background, actors, core principles and policies, and intended (and unintended) outcomes of foreign aid, followed by a more informed and balanced treatment of the key controversies and trends in aid today. Drawing on the author’s 25 years’ experience in development practice and 15 years in teaching, the book reflects on recent efforts to accelerate aid’s impact and concludes by taking a look at the future of aid and the headwinds it will face in the first half of the 21st century. Perfect for university teaching at advanced undergraduate and graduate levels, this book will also encourage development practitioners, policy makers, and members of the public to engage in more informed debates about aid and development finance.</w:t>
      </w:r>
    </w:p>
    <w:p>
      <w:pPr/>
      <w:r>
        <w:rPr>
          <w:b/>
        </w:rPr>
        <w:t>POSSIBLE 2023:</w:t>
      </w:r>
      <w:r>
        <w:t xml:space="preserve"> Working Conditions in Legal Aid — https://doi.org/10.5040/9781509957835.ch-004</w:t>
      </w:r>
    </w:p>
    <w:p>
      <w:pPr/>
      <w:r>
        <w:rPr>
          <w:b/>
        </w:rPr>
        <w:t>Shared claim-specific concepts:</w:t>
      </w:r>
      <w:r>
        <w:t xml:space="preserve"> aid, informed; EU scope visible. This is a provisional connection, not an outcome finding.</w:t>
      </w:r>
    </w:p>
    <w:p>
      <w:pPr>
        <w:pStyle w:val="SourceNote"/>
      </w:pPr>
      <w:r>
        <w:rPr>
          <w:b/>
        </w:rPr>
        <w:t>Available abstract (not full text):</w:t>
      </w:r>
      <w:r>
        <w:t xml:space="preserve"> Robert K Merton , ' On Sociological Th eories of the Middle Range ' , in Robert K Merton , On Th eoretical Sociology: Five Essays, Old and New ( Free Press , 1967 ) as cited by Martha A Fineman , ' Vulnerability and Social Justice ' ( 2019 ) 53 Valparaiso University Law Review 341 .18 Of course, it is entirely possible to consider the working conditions of legal aid lawyers through the kind of grand theory that is the apotheosis of a middle range theory.For example, Newman (2016) has elsewhere considered criminal legal aid lawyers applying perhaps the most famous grand theory of all, Marx and Engels ' historical materialism, particularly drawing out the notion of alienation.Powerful as a grand theory approach such as Marxism might be in providing impactful accounts of the issues faced by these lawyers in their practice, this chapter is informed by an approach that foregrounds the experiences of the lawyers to help give a fl avour of the reality of their working conditions.In doing so, it is hoped that an understanding of this lived reality will be valuable in informing broader debates, both later in this book and more widely amongst those who read it.See further Daniel Newman , ' Are Lawyers Alienated Workers ?' ( 2016 ) 22 European Journal of Current Legal Issues 1 .However, they go on to note that: Austerity justice under-funding key institutions such as the police and legal </w:t>
      </w:r>
    </w:p>
    <w:p>
      <w:pPr/>
      <w:r>
        <w:rPr>
          <w:b/>
        </w:rPr>
        <w:t>POSSIBLE 2023:</w:t>
      </w:r>
      <w:r>
        <w:t xml:space="preserve"> The Ethics of Food Aid and Famine Relief — https://doi.org/10.1093/oso/9780197744727.003.0004</w:t>
      </w:r>
    </w:p>
    <w:p>
      <w:pPr/>
      <w:r>
        <w:rPr>
          <w:b/>
        </w:rPr>
        <w:t>Shared claim-specific concepts:</w:t>
      </w:r>
      <w:r>
        <w:t xml:space="preserve"> aid, informed, debate; EU scope not established. This is a provisional connection, not an outcome finding.</w:t>
      </w:r>
    </w:p>
    <w:p>
      <w:pPr>
        <w:pStyle w:val="SourceNote"/>
      </w:pPr>
      <w:r>
        <w:rPr>
          <w:b/>
        </w:rPr>
        <w:t>Available abstract (not full text):</w:t>
      </w:r>
      <w:r>
        <w:t xml:space="preserve"> Abstract Peter Singer’s 1972 article “Famine, Affluence and Morality” set the stage for philosophical debate over food security and international development policy for a half century. Paired with articles criticizing the impact of food aid programs, philosophy professors approached the problem in terms of whether better-off people have an obligation to give aid. Though initially focused on food aid, the trend has been to subsume Singer’s original focus on famine relief with a more general emphasis on ending poverty. These analyses ignore aspects of hunger that are ethically significant, as well as facts about the structure and operation of international assistance operations and their use of agricultural commodities. As argued in From Field to Fork, food aid can be damaging to local producers, who are often among the most vulnerable members of their respective societies. However, this does not subvert Singer’s original argument, which was focused on a food emergency, rather than poverty relief. Indeed, we should maintain Singer’s early focus on food, supporting food aid in response to both natural and human-caused emergencies. Programs to promote economic and social development are more complex and must be subjected to more extensive and empirically informed ethical analysis.</w:t>
      </w:r>
    </w:p>
    <w:p>
      <w:pPr/>
      <w:r>
        <w:rPr>
          <w:b/>
        </w:rPr>
        <w:t>POSSIBLE 2023:</w:t>
      </w:r>
      <w:r>
        <w:t xml:space="preserve"> The Feasibility and Impact of a Computer-Aided Genetics Education Module in an Obstetrics Clinic: A Randomized Controlled Trial — https://doi.org/10.1080/19325037.2023.2209616</w:t>
      </w:r>
    </w:p>
    <w:p>
      <w:pPr/>
      <w:r>
        <w:rPr>
          <w:b/>
        </w:rPr>
        <w:t>Shared claim-specific concepts:</w:t>
      </w:r>
      <w:r>
        <w:t xml:space="preserve"> aid, informed, feasibility, acceptability; EU scope not established. This is a provisional connection, not an outcome finding.</w:t>
      </w:r>
    </w:p>
    <w:p>
      <w:pPr>
        <w:pStyle w:val="SourceNote"/>
      </w:pPr>
      <w:r>
        <w:rPr>
          <w:b/>
        </w:rPr>
        <w:t>Available abstract (not full text):</w:t>
      </w:r>
      <w:r>
        <w:t xml:space="preserve"> Background Rapid advances in prenatal genetic testing highlight the need for technology-based tools to assist in informed decision-making.Purpose This study evaluates the feasibility, acceptability, and efficacy of a Computer-Aided Genetics Education Module (CAGEM) as an e-counseling tool and decision aid in a busy obstetric clinic among a socially disadvantaged patient population.Methods A randomized controlled trial with patients randomized (1:1) to receive the intervention in addition to standard of care or standard of care only. Participants responded to pre- and posttest questionnaires.Results Although limited in recruitment by the COVID-19 pandemic, this tool scored 81.0% acceptability and 91.0% feasibility among 88 participants. No statistically significant difference was detected between the overall improvement in knowledge scores and the total posttest knowledge scores among the intervention and control groups. However, the intervention group scored significantly higher on the posttest questions regarding NIPT interpretation (61.7 ± 49.1 vs 80.9 ± 39.8, p = .049), Down syndrome (78.7 ± 41.4 vs 93.6 ± 24.7, p = .016), and inheritance of recessive conditions (59.6 ± 49.6 vs 91.4 ± 28.2, p &lt; .001). The intervention group also showed a greater improvement in knowledge scores for inheritance of recessive conditions (31.9 ± 8.1 vs 0 ± 7.8, p = .006) and a protective effect i</w:t>
      </w:r>
    </w:p>
    <w:p>
      <w:pPr/>
      <w:r>
        <w:rPr>
          <w:b/>
        </w:rPr>
        <w:t>POSSIBLE 2023:</w:t>
      </w:r>
      <w:r>
        <w:t xml:space="preserve"> A feasibility study of psychological first aid as a supportive intervention among police officers exposed to traumatic events — https://doi.org/10.3389/fpsyg.2023.1149597</w:t>
      </w:r>
    </w:p>
    <w:p>
      <w:pPr/>
      <w:r>
        <w:rPr>
          <w:b/>
        </w:rPr>
        <w:t>Shared claim-specific concepts:</w:t>
      </w:r>
      <w:r>
        <w:t xml:space="preserve"> aid, feasibility, acceptability; EU scope not established. This is a provisional connection, not an outcome finding.</w:t>
      </w:r>
    </w:p>
    <w:p>
      <w:pPr>
        <w:pStyle w:val="SourceNote"/>
      </w:pPr>
      <w:r>
        <w:rPr>
          <w:b/>
        </w:rPr>
        <w:t>Available abstract (not full text):</w:t>
      </w:r>
      <w:r>
        <w:t xml:space="preserve"> Introduction: Police officers are often exposed to traumatic events, which can induce psychological distress and increase the risk of developing post-traumatic stress injuries. To date, little is known about support and prevention of traumatic events in police organizations. Psychological first aid (PFA) has been promoted as a promising solution to prevent psychological distress following exposure to a traumatic event. However, PFA has not yet been adapted to policing reality, let alone to the frequent exposure to traumatic events faced by this population. This study aimed to evaluate the feasibility of PFA as an early intervention for the prevention of post-traumatic stress injuries among police officers in Quebec, Canada. Specifically, the objectives were to evaluate: (1) the demand. (2) the practicality, and (3) the acceptability of PFA in a police organization. Methods: = 6). Interviews were transcribed, coded, and evaluated according to a thematic analysis. Results: Eleven themes emerged from participants' responses. Results suggested that PFA met individual and organizational needs. References were also made regarding the impacts of this intervention. Moreover, participants provided feedback for improving the implementation and sustainability of a PFA program. All three groups of participants shared similar thematic content. Discussion: Findings revealed that implementati</w:t>
      </w:r>
    </w:p>
    <w:p>
      <w:pPr>
        <w:pStyle w:val="Heading2"/>
      </w:pPr>
      <w:r>
        <w:t>817. An exploratory policy analysis of electric vehicle sales competition and sensitivity to infrastructure in Europe</w:t>
      </w:r>
    </w:p>
    <w:p>
      <w:pPr>
        <w:pStyle w:val="SourceNote"/>
      </w:pPr>
      <w:r>
        <w:rPr>
          <w:b/>
        </w:rPr>
        <w:t>Original source (2016):</w:t>
      </w:r>
      <w:r>
        <w:t xml:space="preserve"> https://doi.org/10.1016/j.techfore.2016.08.007</w:t>
      </w:r>
    </w:p>
    <w:p>
      <w:pPr/>
      <w:r>
        <w:t>Original wording (abstract; indexed_source_text_not_full_document_verified): Infrastructure provision is important for improving the utility of a PiEV, but we find that in the early market it may have a weaker correlation with uptake than other policy options, until the PiEV stock share is over around 5%. Furthermore, an attempt to install a ratio of much more than one charge point per 10 PiEV may lead to little gains and high costs.</w:t>
      </w:r>
    </w:p>
    <w:p>
      <w:pPr/>
      <w:r>
        <w:rPr>
          <w:b/>
        </w:rPr>
        <w:t>POSSIBLE 2026:</w:t>
      </w:r>
      <w:r>
        <w:t xml:space="preserve"> Public Charging Infrastructure and Electrification Dynamics in Europe: A Descriptive Assessment of Infrastructure Strain — https://doi.org/10.3390/en19092063</w:t>
      </w:r>
    </w:p>
    <w:p>
      <w:pPr/>
      <w:r>
        <w:rPr>
          <w:b/>
        </w:rPr>
        <w:t>Shared claim-specific concepts:</w:t>
      </w:r>
      <w:r>
        <w:t xml:space="preserve"> infrastructure, but, uptake, share, over; EU scope visible. This is a provisional connection, not an outcome finding.</w:t>
      </w:r>
    </w:p>
    <w:p>
      <w:pPr>
        <w:pStyle w:val="SourceNote"/>
      </w:pPr>
      <w:r>
        <w:rPr>
          <w:b/>
        </w:rPr>
        <w:t>Available abstract (not full text):</w:t>
      </w:r>
      <w:r>
        <w:t xml:space="preserve"> The transition to low-emission road transport in Europe depends not only on the growth of plug-in electric vehicle (PEV) uptake, but also on the timely expansion of publicly accessible charging infrastructure. This article provides a descriptive and diagnostic assessment of the relationship between electrification dynamics and public charging infrastructure development in Europe. The analysis combines a long-run descriptive window (2015–2024, with 2025 treated separately as a scenario observation) and a core diagnostic window (2020–2024) for which a consistent proxy of potential infrastructure strain—plug-in vehicles per public recharging point (VPP)—is available. The results show a strong increase in PEV share in new registrations, from 1.0% in 2015 to 20.92% in 2024, while the number of public recharging points rose from 67,064 to 900,000 over the same period. In the core sample, VPP declined from 15.24 in 2020 to 13.92 in 2024, which is consistent with a catch-up phase in infrastructure deployment after 2021. At the same time, the short-window relationship between PEV share, infrastructure scale and average CO2 emissions of newly registered cars remains weak and unstable, indicating the role of additional structural factors. The article contributes a transparent, replicable indicator-based framework for describing infrastructure strain in aggregate European data. In policy t</w:t>
      </w:r>
    </w:p>
    <w:p>
      <w:pPr/>
      <w:r>
        <w:rPr>
          <w:b/>
        </w:rPr>
        <w:t>POSSIBLE 2026:</w:t>
      </w:r>
      <w:r>
        <w:t xml:space="preserve"> Mapping school food provision models in European cities: Operational, infrastructural, and financial insights — https://doi.org/10.1016/j.ypmed.2026.108515</w:t>
      </w:r>
    </w:p>
    <w:p>
      <w:pPr/>
      <w:r>
        <w:rPr>
          <w:b/>
        </w:rPr>
        <w:t>Shared claim-specific concepts:</w:t>
      </w:r>
      <w:r>
        <w:t xml:space="preserve"> infrastructure, provision; EU scope visible. This is a provisional connection, not an outcome finding.</w:t>
      </w:r>
    </w:p>
    <w:p>
      <w:pPr>
        <w:pStyle w:val="SourceNote"/>
      </w:pPr>
      <w:r>
        <w:rPr>
          <w:b/>
        </w:rPr>
        <w:t>Available abstract (not full text):</w:t>
      </w:r>
      <w:r>
        <w:t xml:space="preserve"> OBJECTIVE: This study aims to provide a comparative overview of school food provision models in 17 cities across 12 European countries. It explores the operational, infrastructural, and financial dimensions of these models, identifying key trade-offs, challenges and opportunities for promoting healthy and sustainable school food environments. METHODS: Data were collected via an electronic questionnaire administered to SchoolFood4Change project partners in 2022. The questionnaire covered meal types and costs, operational and manufacturing models, and kitchen infrastructure. Supplementary desk research was conducted to clarify responses and gain a deeper understanding of the findings' context. RESULTS: The analysis reveals that school food provision models are more influenced by institutional, historical, and policy contexts than by city size. Contract catering dominates, yet in-house systems persist where welfare traditions and nutrition education policies emphasise child health and learning. Centralised kitchens often reflect historical planning or socialist legacies, while mixed systems arise in decentralised governance contexts. CONCLUSIONS: Organisational diversity stems from the interaction of governance structures, policy priorities, and infrastructure, illustrating how Europe's school food systems balance economic efficiency with social and educational goals for children'</w:t>
      </w:r>
    </w:p>
    <w:p>
      <w:pPr/>
      <w:r>
        <w:rPr>
          <w:b/>
        </w:rPr>
        <w:t>POSSIBLE 2024:</w:t>
      </w:r>
      <w:r>
        <w:t xml:space="preserve"> Dynamics of Legal Framework for Public-Private Partnership (PPP) in Infrastructure Provision — https://openalex.org/W7219943541</w:t>
      </w:r>
    </w:p>
    <w:p>
      <w:pPr/>
      <w:r>
        <w:rPr>
          <w:b/>
        </w:rPr>
        <w:t>Shared claim-specific concepts:</w:t>
      </w:r>
      <w:r>
        <w:t xml:space="preserve"> infrastructure, provision, but, other; EU scope not established. This is a provisional connection, not an outcome finding.</w:t>
      </w:r>
    </w:p>
    <w:p>
      <w:pPr>
        <w:pStyle w:val="SourceNote"/>
      </w:pPr>
      <w:r>
        <w:rPr>
          <w:b/>
        </w:rPr>
        <w:t>Available abstract (not full text):</w:t>
      </w:r>
      <w:r>
        <w:t xml:space="preserve"> The increasing demand for public infrastructure in Indonesia, coupled with national budget limitations, has elevated the importance of the Public-Private Partnership (PPP) scheme as an alternative financing mechanism. This study aims to analyze the legal framework and challenges associated with the implementation of PPP in infrastructure provision. Using a qualitative approach, the research examines existing regulations, including Presidential Regulation No. 38 of 2015, as well as other supporting policies that form the basis of PPP implementation in Indonesia. The findings reveal two critical aspects: first, the current legal framework for PPP provides a foundation for collaboration but requires enhancement to address gaps in clarity and effectiveness; second, significant challenges, including risk allocation, dispute resolution, and legal protection for parties, hinder the execution of PPP projects. The study concludes that an improved and accountable legal framework is essential to attract private sector investment and ensure the success of PPP projects. Strengthening regulatory certainty and addressing legal challenges are pivotal for fostering sustainable infrastructure development in Indonesia.</w:t>
      </w:r>
    </w:p>
    <w:p>
      <w:pPr/>
      <w:r>
        <w:rPr>
          <w:b/>
        </w:rPr>
        <w:t>POSSIBLE 2024:</w:t>
      </w:r>
      <w:r>
        <w:t xml:space="preserve"> Aerosol, Clouds and Trace Gases Research Infrastructure (ACTRIS): The European Research Infrastructure Supporting Atmospheric Science — https://doi.org/10.1175/bams-d-23-0064.1</w:t>
      </w:r>
    </w:p>
    <w:p>
      <w:pPr/>
      <w:r>
        <w:rPr>
          <w:b/>
        </w:rPr>
        <w:t>Shared claim-specific concepts:</w:t>
      </w:r>
      <w:r>
        <w:t xml:space="preserve"> infrastructure, provision, over; EU scope visible. This is a provisional connection, not an outcome finding.</w:t>
      </w:r>
    </w:p>
    <w:p>
      <w:pPr>
        <w:pStyle w:val="SourceNote"/>
      </w:pPr>
      <w:r>
        <w:rPr>
          <w:b/>
        </w:rPr>
        <w:t>Available abstract (not full text):</w:t>
      </w:r>
      <w:r>
        <w:t xml:space="preserve"> Abstract The Aerosol, Clouds and Trace Gases Research Infrastructure (ACTRIS) officially became the 33rd European Research Infrastructure Consortium (ERIC) on 25 April 2023 with the support of 17 founding member and observer countries. As a pan-European legal organization, ACTRIS ERIC will coordinate the provision of data and data products on short-lived atmospheric constituents and clouds relevant to climate and air pollution over the next 15–20 years. ACTRIS was designed more than a decade ago, and its development was funded at national and European levels. It was included in the European Strategy Forum on Research Infrastructures (ESFRI) roadmap in 2016 and, subsequently, in the national infrastructure roadmaps of European countries. It became a landmark of the ESFRI roadmap in 2021. The purpose of this paper is to describe the mission of ACTRIS, its added value to the community of atmospheric scientists, providing services to academia as well as the public and private sectors, and to summarize its main achievements. The present publication serves as a reference document for ACTRIS, its users, and the scientific community as a whole. It provides the reader with relevant information and an overview on ACTRIS governance and services, as well as a summary of the main scientific achievements of the last 20 years. The paper concludes with an outlook on the upcoming challenges for</w:t>
      </w:r>
    </w:p>
    <w:p>
      <w:pPr/>
      <w:r>
        <w:rPr>
          <w:b/>
        </w:rPr>
        <w:t>POSSIBLE 2023:</w:t>
      </w:r>
      <w:r>
        <w:t xml:space="preserve"> Social Infrastructure and the Alleviation of Loneliness in Europe — https://doi.org/10.1007/s11577-023-00883-6</w:t>
      </w:r>
    </w:p>
    <w:p>
      <w:pPr/>
      <w:r>
        <w:rPr>
          <w:b/>
        </w:rPr>
        <w:t>Shared claim-specific concepts:</w:t>
      </w:r>
      <w:r>
        <w:t xml:space="preserve"> infrastructure, provision, other; EU scope visible. This is a provisional connection, not an outcome finding.</w:t>
      </w:r>
    </w:p>
    <w:p>
      <w:pPr>
        <w:pStyle w:val="SourceNote"/>
      </w:pPr>
      <w:r>
        <w:rPr>
          <w:b/>
        </w:rPr>
        <w:t>Available abstract (not full text):</w:t>
      </w:r>
      <w:r>
        <w:t xml:space="preserve"> In Europe, individualist societies, in which people more highly value independence, have fewer people who are lonely. Yet these societies also have more people who live alone, a strong determinant of loneliness. Evidence suggests that some unrecognized societal-level resources or characteristics can explain this. We uncover multiple pathways toward a lower degree of loneliness among European societies using an ideal method for this purpose, fuzzy-set qualitative comparative analysis. Using data from the 2014 wave of the European Social Survey and other sources, we analyzed loneliness outcomes among 26 European societies. Our findings suggest two necessary conditions for a low degree of loneliness: high internet access and high association participation. Further, three pathways are sufficient for achieving less loneliness at the societal level. Most societies that have less loneliness follow both the welfare support and cultural support pathways. The third path, commercial provision, is mutually exclusive with welfare support because the former requires a weak welfare state. The surest policy for building societies that have lower rates of loneliness includes the expansion of internet accessibility, the fostering of civil society through association participation and volunteering, and a welfare state that protects potentially vulnerable populations while funding opportunities fo</w:t>
      </w:r>
    </w:p>
    <w:p>
      <w:pPr/>
      <w:r>
        <w:rPr>
          <w:b/>
        </w:rPr>
        <w:t>POSSIBLE 2022:</w:t>
      </w:r>
      <w:r>
        <w:t xml:space="preserve"> Technology Adoption and Early Network Infrastructure Provision in the Market for Electric Vehicles — https://doi.org/10.1007/s10640-022-00703-z</w:t>
      </w:r>
    </w:p>
    <w:p>
      <w:pPr/>
      <w:r>
        <w:rPr>
          <w:b/>
        </w:rPr>
        <w:t>Shared claim-specific concepts:</w:t>
      </w:r>
      <w:r>
        <w:t xml:space="preserve"> infrastructure, provision, early, stock; EU scope not established. This is a provisional connection, not an outcome finding.</w:t>
      </w:r>
    </w:p>
    <w:p>
      <w:pPr>
        <w:pStyle w:val="SourceNote"/>
      </w:pPr>
      <w:r>
        <w:rPr>
          <w:b/>
        </w:rPr>
        <w:t>Available abstract (not full text):</w:t>
      </w:r>
      <w:r>
        <w:t xml:space="preserve"> We document non-linear stock effects in the relationship linking emerging technology adoption and network infrastructure increments. We exploit 2010-2017 data covering nascent to mature electric vehicle (EV) markets across 422 Norwegian municipalities together with two complementary identification strategies: control function regressions of EV sales on flexible polynomials in the stock of charging stations and charging points, and synthetic control methods to quantify the impact of initial infrastructure provision in municipalities that previously had none. Our results are consistent with indirect network effects and the behavioral bias called "range anxiety," and support policies targeting early infrastructure provision to incentivize EV adoption.</w:t>
      </w:r>
    </w:p>
    <w:p>
      <w:pPr/>
      <w:r>
        <w:rPr>
          <w:b/>
        </w:rPr>
        <w:t>POSSIBLE 2022:</w:t>
      </w:r>
      <w:r>
        <w:t xml:space="preserve"> The Politics Of Infrastructural Provision in Rural Areas of Oyo State Nigeria — https://doi.org/10.57054/asr.v26i1.3992</w:t>
      </w:r>
    </w:p>
    <w:p>
      <w:pPr/>
      <w:r>
        <w:rPr>
          <w:b/>
        </w:rPr>
        <w:t>Shared claim-specific concepts:</w:t>
      </w:r>
      <w:r>
        <w:t xml:space="preserve"> infrastructure, provision, over; EU scope not established. This is a provisional connection, not an outcome finding.</w:t>
      </w:r>
    </w:p>
    <w:p>
      <w:pPr>
        <w:pStyle w:val="SourceNote"/>
      </w:pPr>
      <w:r>
        <w:rPr>
          <w:b/>
        </w:rPr>
        <w:t>Available abstract (not full text):</w:t>
      </w:r>
      <w:r>
        <w:t xml:space="preserve"> Over the years, rural service delivery is often subjected to political players and less of the rural public interest. The study examined rural people experiences of local government rural LGAs of Oyo state, Nigeria. The concept of governance provides the conceptual balance for this study. The study made use of a mixed approach for data collection, qualitative and quantitative tools of questionnaire and in-depth interview respectively. Two hundred and fifty (250) rural households across six (6) LGAs were administered questionnaire randomly from the purposively identified rural local government areas. Study revealed that infrastructure politicking is a challenge that limits sustainable rural facility delivery. This is because infrastructures such as water infrastructure, school buildings and drainage construction were provided based on political affiliation. Over half of the respondents consider rural governance not to be participatory and inclusive towards rural development. The study recommends that democratic local government autonomy remains the feasible and responsive solution to efficient service delivery in the local space.</w:t>
      </w:r>
    </w:p>
    <w:p>
      <w:pPr/>
      <w:r>
        <w:rPr>
          <w:b/>
        </w:rPr>
        <w:t>POSSIBLE 2022:</w:t>
      </w:r>
      <w:r>
        <w:t xml:space="preserve"> ORGANIZATIONAL AND ECONOMIC ENSURING THE PROVISION OF DIGITAL SERVICES: EUROPEAN EXPERIENCE — https://doi.org/10.25140/2411-5215-2022-4(32)-79-86</w:t>
      </w:r>
    </w:p>
    <w:p>
      <w:pPr/>
      <w:r>
        <w:rPr>
          <w:b/>
        </w:rPr>
        <w:t>Shared claim-specific concepts:</w:t>
      </w:r>
      <w:r>
        <w:t xml:space="preserve"> infrastructure, provision, important; EU scope visible. This is a provisional connection, not an outcome finding.</w:t>
      </w:r>
    </w:p>
    <w:p>
      <w:pPr>
        <w:pStyle w:val="SourceNote"/>
      </w:pPr>
      <w:r>
        <w:rPr>
          <w:b/>
        </w:rPr>
        <w:t>Available abstract (not full text):</w:t>
      </w:r>
      <w:r>
        <w:t xml:space="preserve"> The article examines the current state of development of digital services in the countries of the European Union. Key infrastructure components have been formed. The importance of each of them in the conditions of the current state of development of digitalization is substantiated. The experience of organizational and economic support for the provision of digital services of the EU countries in terms of the relevant institutional and legal aspects, implemented at the national level of the leading countries in this field, is considered. A conceptual model of organizational and economic support for the provision of digital services in the regions of Ukraine based on the implementation of the EU experience is proposed, which will cover structural and management components.Summarizing the results of the research, the author formed a conceptual approach to the organizational and economic provision of digital services in the regions of Ukraine based on the implementation of EU experience, covering structural and management components.The structural component of the model will include the organizational basis of the process of providing digital services, determining the object and subject composition of the process, the classification of types of digital services according to content, the key principles of providing digital services in modern conditions, and a list of the most importa</w:t>
      </w:r>
    </w:p>
    <w:p>
      <w:pPr/>
      <w:r>
        <w:rPr>
          <w:b/>
        </w:rPr>
        <w:t>POSSIBLE 2021:</w:t>
      </w:r>
      <w:r>
        <w:t xml:space="preserve"> The sustainability of infrastructure provision of Montongsari Tourism Village Kendal — https://doi.org/10.1088/1755-1315/871/1/012010</w:t>
      </w:r>
    </w:p>
    <w:p>
      <w:pPr/>
      <w:r>
        <w:rPr>
          <w:b/>
        </w:rPr>
        <w:t>Shared claim-specific concepts:</w:t>
      </w:r>
      <w:r>
        <w:t xml:space="preserve"> infrastructure, provision, improving; EU scope not established. This is a provisional connection, not an outcome finding.</w:t>
      </w:r>
    </w:p>
    <w:p>
      <w:pPr>
        <w:pStyle w:val="SourceNote"/>
      </w:pPr>
      <w:r>
        <w:rPr>
          <w:b/>
        </w:rPr>
        <w:t>Available abstract (not full text):</w:t>
      </w:r>
      <w:r>
        <w:t xml:space="preserve"> Montongsari is one of the pilot tourism villages in the superior program of Kendal Regency to create village independence through tourism activities. However, the available infrastructure is still limited. This article aims to identify the sustainability of the provision of infrastructure as the main factor in tourism village development. Qualitative methods are used in this research, with data collection techniques through in-depth interviews and observation. In-depth interviews were carried out by asking village officials, and community leaders to gather information from tourism actors on the problems related to infrastructure and prioritizing infrastructure provision physically and spatially. Additionally, observations are conducted simultaneously to confirm the data. This research found that access to the tourism area is the most significant factor, followed by the provision of drainage to prevent flood hazards in tourist areas. The result also shows the strong role of community participation in the construction of bridges as the main access to improving the community's economy. The role and collaboration of stakeholders are needed in providing infrastructure to support the economic improvement of residents in the form of tourism activities.</w:t>
      </w:r>
    </w:p>
    <w:p>
      <w:pPr/>
      <w:r>
        <w:rPr>
          <w:b/>
        </w:rPr>
        <w:t>POSSIBLE 2021:</w:t>
      </w:r>
      <w:r>
        <w:t xml:space="preserve"> The state of play in electric vehicle charging services – A review of infrastructure provision, players, and policies — https://doi.org/10.1016/j.rser.2021.111733</w:t>
      </w:r>
    </w:p>
    <w:p>
      <w:pPr/>
      <w:r>
        <w:rPr>
          <w:b/>
        </w:rPr>
        <w:t>Shared claim-specific concepts:</w:t>
      </w:r>
      <w:r>
        <w:t xml:space="preserve"> infrastructure, provision, find, uptake; EU scope not established. This is a provisional connection, not an outcome finding.</w:t>
      </w:r>
    </w:p>
    <w:p>
      <w:pPr>
        <w:pStyle w:val="SourceNote"/>
      </w:pPr>
      <w:r>
        <w:rPr>
          <w:b/>
        </w:rPr>
        <w:t>Available abstract (not full text):</w:t>
      </w:r>
      <w:r>
        <w:t xml:space="preserve"> This paper reviews the market for electric vehicle (EV) charging infrastructure; it focuses on the types of existing charging, the main functions and actors in the market and the future policy actions required for widespread expansion. Electric vehicles represent a key technology in the mitigation of transportation greenhouse gas emissions and ambitious EV adoption targets have been set by many governments by 2030 and beyond. The rollout of EV charging infrastructure is vital in achieving this goal, as the uptake of EVs is linked to the level of coverage of EV chargers. To date, both the public and private sectors have been involved in the provision of charging stations and it is timely to consider the roles of the different actors in this market. We consider whether EV charging infrastructure is a public good or private asset and address the issues of the location of future chargers, the deployment models needed to develop, operate and own charging infrastructure, and finally the policy context for the development of charging infrastructure. We find that clear roles should be assigned to the individual public and private actors and funders, in order to achieve efficient development of the required infrastructure for large-scale EV deployment.</w:t>
      </w:r>
    </w:p>
    <w:p>
      <w:pPr/>
      <w:r>
        <w:rPr>
          <w:b/>
        </w:rPr>
        <w:t>POSSIBLE 2021:</w:t>
      </w:r>
      <w:r>
        <w:t xml:space="preserve"> Urban heat island mitigation by green infrastructure in European Functional Urban Areas — https://doi.org/10.1016/j.scs.2021.103564</w:t>
      </w:r>
    </w:p>
    <w:p>
      <w:pPr/>
      <w:r>
        <w:rPr>
          <w:b/>
        </w:rPr>
        <w:t>Shared claim-specific concepts:</w:t>
      </w:r>
      <w:r>
        <w:t xml:space="preserve"> infrastructure, but, furthermore; EU scope visible. This is a provisional connection, not an outcome finding.</w:t>
      </w:r>
    </w:p>
    <w:p>
      <w:pPr>
        <w:pStyle w:val="SourceNote"/>
      </w:pPr>
      <w:r>
        <w:rPr>
          <w:b/>
        </w:rPr>
        <w:t>Available abstract (not full text):</w:t>
      </w:r>
      <w:r>
        <w:t xml:space="preserve"> The Urban Heat Island (UHI) effect is one of the most harmful environmental hazards for urban dwellers. Climate change is expected to increase the intensity of the UHI effect. In this context, the implementation of Urban Green Infrastructure (UGI) can partially reduce UHI intensity, promoting a resilient urban environment and contributing to climate change adaptation and mitigation. In order to achieve this result, there is a need to systematically integrate UGI into urban planning and legislation, but this process is subject to the availability of widely applicable, easily accessible and quantitative evidence. To offer a big picture of urban heat intensity and opportunities to mitigate high temperatures, we developed a model that reports the Ecosystem Service (ES) of microclimate regulation of UGI in 601 European cities. The model simulates the temperature difference between a baseline and a no-vegetation scenario, extrapolating the role of UGI in mitigating UHI in different urban contexts. Finally, a practical, quantitative indicator that can be applied by policymakers and city administrations has been elaborated, allowing to estimate the amount of urban vegetation that is needed to cool summer temperatures by a certain degree. UGI is found to cool European cities by 1.07 °C on average, and up to 2.9 °C, but in order to achieve a 1 °C drop in urban temperatures, a tree cover </w:t>
      </w:r>
    </w:p>
    <w:p>
      <w:pPr/>
      <w:r>
        <w:rPr>
          <w:b/>
        </w:rPr>
        <w:t>POSSIBLE 2020:</w:t>
      </w:r>
      <w:r>
        <w:t xml:space="preserve"> INFRASTRUCTURE PROVISION OF THE AGRARIAN MARKET IN THE GLOBALIZED ENVIRONMENT — https://doi.org/10.30525/2256-0742/2019-5-5-39-46</w:t>
      </w:r>
    </w:p>
    <w:p>
      <w:pPr/>
      <w:r>
        <w:rPr>
          <w:b/>
        </w:rPr>
        <w:t>Shared claim-specific concepts:</w:t>
      </w:r>
      <w:r>
        <w:t xml:space="preserve"> infrastructure, provision; EU scope not established. This is a provisional connection, not an outcome finding.</w:t>
      </w:r>
    </w:p>
    <w:p>
      <w:pPr>
        <w:pStyle w:val="SourceNote"/>
      </w:pPr>
      <w:r>
        <w:rPr>
          <w:b/>
        </w:rPr>
        <w:t>Available abstract (not full text):</w:t>
      </w:r>
      <w:r>
        <w:t xml:space="preserve"> The main results of the research, which consist in determining the essence and features of the infrastructure provision of the agrarian market in the globalized environment, are formed. The priority of approaches in the development of logistics activities in the context of guaranteeing food security of regions and countries of the world is determined. The essence of the logistic process, strengthening the influence of the global market on the quality of agrarian products, is determined. The influence of the infrastructure provision of the agrarian market on the competitive positions of commodity producers is generalized, advantages and disadvantages in development are determined. The essence of informational logistics, its influence on the development of infrastructure provision of agricultural products market, satisfaction of consumers’ needs is investigated. The urgency of the introduction of e-commerce, which allows commodity producers to combine marketing activities with optimization of advertising costs, to ensure the efficiency and convenience of carrying out operations for the sale of agricultural products, its transportation, manage all logistics processes. It is proved that improvement of the infrastructure provision of the agrarian market of the world countries that adapts to the global market should be based on the dissemination of information opportunities, and the </w:t>
      </w:r>
    </w:p>
    <w:p>
      <w:pPr>
        <w:pStyle w:val="Heading2"/>
      </w:pPr>
      <w:r>
        <w:t>818. Argentinian Energy Landscapes - Case Study of the Neo-Carbon Energy Project</w:t>
      </w:r>
    </w:p>
    <w:p>
      <w:pPr>
        <w:pStyle w:val="SourceNote"/>
      </w:pPr>
      <w:r>
        <w:rPr>
          <w:b/>
        </w:rPr>
        <w:t>Original source (2016):</w:t>
      </w:r>
      <w:r>
        <w:t xml:space="preserve"> https://doi.org/10.13140/rg.2.2.13727.82088</w:t>
      </w:r>
    </w:p>
    <w:p>
      <w:pPr/>
      <w:r>
        <w:t>Original wording (abstract; indexed_source_text_not_full_document_verified): Therefore, it is important to explore different scenarios of how neo-carbon energy system can affect a society, businesses, individual’s lives and relationships.</w:t>
      </w:r>
    </w:p>
    <w:p>
      <w:pPr/>
      <w:r>
        <w:rPr>
          <w:b/>
        </w:rPr>
        <w:t>POSSIBLE 2026:</w:t>
      </w:r>
      <w:r>
        <w:t xml:space="preserve"> Exploring learners — https://doi.org/10.4324/9781003588924-6</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Exploring learners is very important and the foremost requirement of an effective teaching-learning process. As a beginner teacher, one needs to be aware that everything cannot be learned solely in the class. Therefore, exploring students gives an opportunity to see the real-life challenges in actual teaching-learning situations in the classrooms. For a trainee teacher, the focus should be to understand and experience the general pedagogical knowledge. This includes all aspects of the teaching-learning process such as rapport with the class, classroom management, instructional strategies, inclusive nature of the class, and assessment techniques. We humans are forever reflecting and making decisions, but as teachers when we explore learners, we tend to improve simultaneously as a teacher. This means that exploring learners is important not only during my period as a trainee teacher but also at every stage of my teaching career. We need to explore every learner in detail so that we can guide, teach and educate them to bring the best in them. This chapter deals with all these things including the naïve concept, how to negotiate and mediate learning in science and how to encourage learners for their best learning and development.</w:t>
      </w:r>
    </w:p>
    <w:p>
      <w:pPr/>
      <w:r>
        <w:rPr>
          <w:b/>
        </w:rPr>
        <w:t>POSSIBLE 2023:</w:t>
      </w:r>
      <w:r>
        <w:t xml:space="preserve"> HOW IMPORTANT EDUCATION IS? AN EXPLORATIVE ANALYSIS OF THE DROPOUT PHENOMENON IN EASTERN EUROPE — https://doi.org/10.47535/1991auoes32(1)005</w:t>
      </w:r>
    </w:p>
    <w:p>
      <w:pPr/>
      <w:r>
        <w:rPr>
          <w:b/>
        </w:rPr>
        <w:t>Shared claim-specific concepts:</w:t>
      </w:r>
      <w:r>
        <w:t xml:space="preserve"> therefore, important, system, relationships; EU scope visible. This is a provisional connection, not an outcome finding.</w:t>
      </w:r>
    </w:p>
    <w:p>
      <w:pPr>
        <w:pStyle w:val="SourceNote"/>
      </w:pPr>
      <w:r>
        <w:rPr>
          <w:b/>
        </w:rPr>
        <w:t>Available abstract (not full text):</w:t>
      </w:r>
      <w:r>
        <w:t xml:space="preserve"> Early school leaving is a structural problem related to the socioeconomic environment involving aspects of local culture and customs that characterize a country. If not controlled, with the intent of hindering it, this phenomenon can generate unemployment, social exclusion, poverty, health problems and a slowdown in the country’s economic growth. Since education policies are one of the most important concerns of national governments and international organizations, the UN 2030 Agenda, containing the common ambitions of the signatory countries, proposes 17 sustainable development goals and specifically, among these, inclusive and equitable quality education. In some Eastern European countries, the percentage of young people who decide not to continue their studies is really too high, exceeding 10%. Therefore, the aim of the paper is to study the dropout phenomenon in this context. We employ a panel vector autoregressive model in first differences to test complex dynamic relationships between share of the population aged 18 to 24 not involved in any education or training (as a proxy for the dropout phenomenon), GDP per capita (as a proxy for a country’s wealth and industrial modernity), gross domestic expenditure on R&amp;D in higher education (as a proxy for a country’s effort to improve its education system), and share of people reporting crime, violence or vandalism (as a proxy fo</w:t>
      </w:r>
    </w:p>
    <w:p>
      <w:pPr/>
      <w:r>
        <w:rPr>
          <w:b/>
        </w:rPr>
        <w:t>POSSIBLE 2023:</w:t>
      </w:r>
      <w:r>
        <w:t xml:space="preserve"> Did We Miss Something Important? Studying and Exploring Variable-Aware Log Abstraction — https://doi.org/10.1109/icse48619.2023.00078</w:t>
      </w:r>
    </w:p>
    <w:p>
      <w:pPr/>
      <w:r>
        <w:rPr>
          <w:b/>
        </w:rPr>
        <w:t>Shared claim-specific concepts:</w:t>
      </w:r>
      <w:r>
        <w:t xml:space="preserve"> important, explore, different; EU scope not established. This is a provisional connection, not an outcome finding.</w:t>
      </w:r>
    </w:p>
    <w:p>
      <w:pPr>
        <w:pStyle w:val="SourceNote"/>
      </w:pPr>
      <w:r>
        <w:rPr>
          <w:b/>
        </w:rPr>
        <w:t>Available abstract (not full text):</w:t>
      </w:r>
      <w:r>
        <w:t xml:space="preserve"> Due to the sheer size of software logs, developers rely on automated techniques for log analysis. One of the first and most important steps of automated log analysis is log abstraction, which parses the raw logs into a structured format. Prior log abstraction techniques aim to identify and abstract all the dynamic variables in logs and output a static log template for automated log analysis. However, these abstracted dynamic variables may also contain important information that is useful to different tasks in log analysis. In this paper, we investigate the characteristics of dynamic variables and their importance in practice, and explore the potential of a variable-aware log abstraction technique. Through manual investigations and surveys with practitioners, we find that different categories of dynamic variables record various information that can be important depending on the given tasks, the distinction of dynamic variables in log abstraction can further assist in log analysis. We then propose a deep learning based log abstraction approach, named VALB, which can identify different categories of dynamic variables and preserve the value of specified categories of dynamic variables along with the log templates (i.e., variable-aware log abstraction). Through the evaluation on a widely used log abstraction benchmark, we find that VALB outperforms other state-of-the-art log abstrac</w:t>
      </w:r>
    </w:p>
    <w:p>
      <w:pPr/>
      <w:r>
        <w:rPr>
          <w:b/>
        </w:rPr>
        <w:t>POSSIBLE 2022:</w:t>
      </w:r>
      <w:r>
        <w:t xml:space="preserve"> ‘Reflexology: Exploring the mechanism of action’ — https://doi.org/10.1016/j.ctcp.2022.101606</w:t>
      </w:r>
    </w:p>
    <w:p>
      <w:pPr/>
      <w:r>
        <w:rPr>
          <w:b/>
        </w:rPr>
        <w:t>Shared claim-specific concepts:</w:t>
      </w:r>
      <w:r>
        <w:t xml:space="preserve"> therefore, important, individual; EU scope not established. This is a provisional connection, not an outcome finding.</w:t>
      </w:r>
    </w:p>
    <w:p>
      <w:pPr>
        <w:pStyle w:val="SourceNote"/>
      </w:pPr>
      <w:r>
        <w:rPr>
          <w:b/>
        </w:rPr>
        <w:t>Available abstract (not full text):</w:t>
      </w:r>
      <w:r>
        <w:t xml:space="preserve"> Reflexology is a complementary therapy focusing mainly on the application of pressure on the feet, hands and ears. A small but growing evidence base suggests that positive outcomes can be gained in the management and improvement of symptoms across a range of conditions. Biological plausibility is a key concept in the determination of the usefulness of therapies. Research which tests for safety and efficacy alongside the underpinning mechanism of action are therefore important. This paper explores the potential mechanism of action for the outcomes associated with reflexology treatment as reflected in the current evidence. The influences of therapeutic touch, relaxation, placebo effects and the similarities with other therapeutic methods of structural manipulation are considered. The lack of clarity around the precise definition of reflexology and the challenges of researching the therapy as a treatment tailored to individual need are discussed. A deeper understanding of the mechanism of action for reflexology may help to further develop research into safety and efficacy. Such an understanding may lead to the integration of knowledge which may provide both symptomatic support and longer term preventative health benefits.</w:t>
      </w:r>
    </w:p>
    <w:p>
      <w:pPr/>
      <w:r>
        <w:rPr>
          <w:b/>
        </w:rPr>
        <w:t>POSSIBLE 2022:</w:t>
      </w:r>
      <w:r>
        <w:t xml:space="preserve"> Does Value Lead to Loyalty? Exploring the Important Role of the Tourist–Destination Relationship — https://doi.org/10.3390/bs12050136</w:t>
      </w:r>
    </w:p>
    <w:p>
      <w:pPr/>
      <w:r>
        <w:rPr>
          <w:b/>
        </w:rPr>
        <w:t>Shared claim-specific concepts:</w:t>
      </w:r>
      <w:r>
        <w:t xml:space="preserve"> therefore, important, affect; EU scope not established. This is a provisional connection, not an outcome finding.</w:t>
      </w:r>
    </w:p>
    <w:p>
      <w:pPr>
        <w:pStyle w:val="SourceNote"/>
      </w:pPr>
      <w:r>
        <w:rPr>
          <w:b/>
        </w:rPr>
        <w:t>Available abstract (not full text):</w:t>
      </w:r>
      <w:r>
        <w:t xml:space="preserve"> The perceived value of a tourist's trip, representing a trade-off between costs and benefits of travelling to a destination, can exert a significant influence on tourists' loyalty, which is a main concern for managers of tourist destinations. However, the mechanism between the destination value and tourist loyalty remains unexplored, especially in the new context of relationship marketing. To advance the understanding of the mechanism, we introduced 3 variables of "tourist-destination relationship", namely place attachment (PA), destination trust (DT) and tourist satisfaction (TS), combined with perceived value (PV) and tourist loyalty (TL), and therefore constructed the conceptual model. Taking the Hangzhou City of China as an example, the conceptual model was fitted and tested using the structural equation model (SEM). The results show that: (1) PV can directly and positively affect TS and DT respectively, while there was no significant effect of PV on PA; (2) TS and DT can directly and positively influence TL, but the effect of PA on TL has not been supported empirically; (3) PV has a significant positive effect on TL; and (4) there are internal relationship among the 3 variables measuring the tourist-destination relationship, in other words, TS can significantly affects PA, DT respectively, and DT has a significant positive effect on PA. The findings of this study provide e</w:t>
      </w:r>
    </w:p>
    <w:p>
      <w:pPr/>
      <w:r>
        <w:rPr>
          <w:b/>
        </w:rPr>
        <w:t>POSSIBLE 2022:</w:t>
      </w:r>
      <w:r>
        <w:t xml:space="preserve"> Considering sustainability in projects: exploring the perspective of suppliers — https://doi.org/10.12821/ijispm060201</w:t>
      </w:r>
    </w:p>
    <w:p>
      <w:pPr/>
      <w:r>
        <w:rPr>
          <w:b/>
        </w:rPr>
        <w:t>Shared claim-specific concepts:</w:t>
      </w:r>
      <w:r>
        <w:t xml:space="preserve"> therefore, important, explore, different, society; EU scope not established. This is a provisional connection, not an outcome finding.</w:t>
      </w:r>
    </w:p>
    <w:p>
      <w:pPr>
        <w:pStyle w:val="SourceNote"/>
      </w:pPr>
      <w:r>
        <w:rPr>
          <w:b/>
        </w:rPr>
        <w:t>Available abstract (not full text):</w:t>
      </w:r>
      <w:r>
        <w:t xml:space="preserve"> Projects play an important role in the development towards a more sustainable society. Companies are integrating sustainability in their strategies, processes and actions. In the implementation of strategies, projects play an essential role. The relationship between sustainability and project management is therefore being addressed in a growing number of studies and publications and sustainability can be considered one of the recent trends in project management. However, there is still a gap between the literature on sustainability in project management and what is carried out in practice. A logical enabler for the consideration of sustainability in projects may be the demand of the client in the project, although the supplier’s strategy may also be an enabler of sustainability. This article therefore reports a study into the enablers of the integration of sustainability in projects as perceived by project suppliers. The study used Qmethodology to explore different subjective patterns of perceived enablers. Based on the factor analysis of 19 Q-sorts, we discovered three distinct patterns of enablers of the integration of sustainability, that we labelled as “Benefits driven”, “Demand and intrinsic motivation driven” and “Demand and Strategy driven”. As expected, the study found that for project suppliers, integrating sustainability in projects is strongly dependent on the demand</w:t>
      </w:r>
    </w:p>
    <w:p>
      <w:pPr/>
      <w:r>
        <w:rPr>
          <w:b/>
        </w:rPr>
        <w:t>POSSIBLE 2021:</w:t>
      </w:r>
      <w:r>
        <w:t xml:space="preserve"> Exploring Sparsity in Image Super-Resolution for Efficient Inference — https://doi.org/10.1109/cvpr46437.2021.00488</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Current CNN-based super-resolution (SR) methods process all locations equally with computational resources being uniformly assigned in space. However, since missing details in low-resolution (LR) images mainly exist in regions of edges and textures, less computational resources are required for those flat regions. Therefore, existing CNN-based methods involve redundant computation in flat regions, which increases their computational cost and limits their applications on mobile devices. In this paper, we explore the sparsity in image SR to improve inference efficiency of SR networks. Specifically, we develop a Sparse Mask SR (SMSR) network to learn sparse masks to prune redundant computation. Within our SMSR, spatial masks learn to identify "important" regions while channel masks learn to mark redundant channels in those "unimportant" regions. Consequently, redundant computation can be accurately localized and skipped while maintaining comparable performance. It is demonstrated that our SMSR achieves state-of-the-art performance with 41%/33%/27% FLOPs being reduced for ×2/3/4 SR. Code is available at: https://github.com/LongguangWang/SMSR.</w:t>
      </w:r>
    </w:p>
    <w:p>
      <w:pPr/>
      <w:r>
        <w:rPr>
          <w:b/>
        </w:rPr>
        <w:t>POSSIBLE 2021:</w:t>
      </w:r>
      <w:r>
        <w:t xml:space="preserve"> Exploring Maieutic Instruction — https://doi.org/10.4018/978-1-7998-7172-9.ch006</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General views of the Socratic Method consist of it being a dialectical exchange based on probing questions concerning a topic. While this definition may prove practical, it may not do justice to the broad nature and practice of the instructional strategy. It is, therefore, equally important to explore how maieutic questioning grounds the Socratic Method as a viable instructional strategy. By realizing the maieutic process as giving birth to discoveries, educationists and students are given a clearer framework in implementing the Socratic Method in educational experiences. In further elucidating this claim, this chapter first draws from the maieutic practice found in Plato's dialogues. Second, the chapter explores research on maieutic questioning in teaching and learning experiences. Lastly, a recognition of both Socrates' original maieutic practice and the modern conception of it are advanced as strategies educationists can implement in their courses.</w:t>
      </w:r>
    </w:p>
    <w:p>
      <w:pPr/>
      <w:r>
        <w:rPr>
          <w:b/>
        </w:rPr>
        <w:t>POSSIBLE 2021:</w:t>
      </w:r>
      <w:r>
        <w:t xml:space="preserve"> Role of Biofuels in Energy Transition, Green Economy and Carbon Neutrality — https://doi.org/10.3390/su132212374</w:t>
      </w:r>
    </w:p>
    <w:p>
      <w:pPr/>
      <w:r>
        <w:rPr>
          <w:b/>
        </w:rPr>
        <w:t>Shared claim-specific concepts:</w:t>
      </w:r>
      <w:r>
        <w:t xml:space="preserve"> different, energy; EU scope not established. This is a provisional connection, not an outcome finding.</w:t>
      </w:r>
    </w:p>
    <w:p>
      <w:pPr>
        <w:pStyle w:val="SourceNote"/>
      </w:pPr>
      <w:r>
        <w:rPr>
          <w:b/>
        </w:rPr>
        <w:t>Available abstract (not full text):</w:t>
      </w:r>
      <w:r>
        <w:t xml:space="preserve"> Modern civilization is heavily reliant on petroleum-based fuels to meet the energy demand of the transportation sector. However, burning fossil fuels in engines emits greenhouse gas emissions that harm the environment. Biofuels are commonly regarded as an alternative for sustainable transportation and economic development. Algal-based fuels, solar fuels, e-fuels, and CO2-to-fuels are marketed as next-generation sources that address the shortcomings of first-generation and second-generation biofuels. This article investigates the benefits, limitations, and trends in different generations of biofuels through a review of the literature. The study also addresses the newer generation of biofuels highlighting the social, economic, and environmental aspects, providing the reader with information on long-term sustainability. The use of nanoparticles in the commercialization of biofuel is also highlighted. Finally, the paper discusses the recent advancements that potentially enable a sustainable energy transition, green economy, and carbon neutrality in the biofuel sector.</w:t>
      </w:r>
    </w:p>
    <w:p>
      <w:pPr/>
      <w:r>
        <w:rPr>
          <w:b/>
        </w:rPr>
        <w:t>POSSIBLE 2021:</w:t>
      </w:r>
      <w:r>
        <w:t xml:space="preserve"> Low-carbon energy democracy in the Global South? — https://doi.org/10.4324/9780429402302-41</w:t>
      </w:r>
    </w:p>
    <w:p>
      <w:pPr/>
      <w:r>
        <w:rPr>
          <w:b/>
        </w:rPr>
        <w:t>Shared claim-specific concepts:</w:t>
      </w:r>
      <w:r>
        <w:t xml:space="preserve"> energy, businesses; EU scope not established. This is a provisional connection, not an outcome finding.</w:t>
      </w:r>
    </w:p>
    <w:p>
      <w:pPr>
        <w:pStyle w:val="SourceNote"/>
      </w:pPr>
      <w:r>
        <w:rPr>
          <w:b/>
        </w:rPr>
        <w:t>Available abstract (not full text):</w:t>
      </w:r>
      <w:r>
        <w:t xml:space="preserve"> Social science tools and practitioner experiences help to understand relations of democratic processes to low-carbon energy transitions in the Global South. This requires interrogating Euro-centric assumptions about participation, national development, and infrastructure models in conditions of inequality and state capture. Issues of historical extractive energy injustice and the asymmetries of Southern climate vulnerability, as compared to Northern GHG emission sources, drag this topic into political focus for questioning the models of mass consumption that have driven economic development for over two centuries. Can democracy be reinvented with renewables? The UK Low Carbon Energy for Development Network (LCEDN) has since 2012 pooled expertise across disciplines involved in energy research in the developing world in order to enhance the ability of renewable energy systems to address poverty and gender inequality issues off-grid. The LCEDN has come to constitute an overarching community of practice linked to other communities of practice formed by the NGOs, businesses, and policy community committed to low-carbon transitions and centered on energy development justice. The LCEDN and associate communities have determined to widen an agenda of acquiring evidence from case studies, critical participatory approaches, and research into grassroots and municipal initiatives, thereby i</w:t>
      </w:r>
    </w:p>
    <w:p>
      <w:pPr/>
      <w:r>
        <w:rPr>
          <w:b/>
        </w:rPr>
        <w:t>POSSIBLE 2021:</w:t>
      </w:r>
      <w:r>
        <w:t xml:space="preserve"> Exploring biometric identification in FinTech applications based on the modified TAM — https://doi.org/10.1186/s40854-021-00260-2</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Abstract In recent years, biometric technologies have been widely embedded in mobile devices; these technologies were originally employed to enhance the security of mobile devices. With the rise of financial technology (FinTech), which uses mobile devices and applications as promotional platforms, biometrics has the important role of strengthening the identification of such applications for security. However, users still have privacy and trust concerns about biometrics. Previous studies have demonstrated that the technology acceptance model (TAM) can rigorously explain and predict user acceptance of new technologies. This study therefore modifies the TAM as a basic research architecture. Based on a literature review, we add two new variables, namely, “perceived privacy” and “perceived trust,” to extend the traditional TAM to examine user acceptance of biometric identification in FinTech applications. First, we apply the analytic hierarchy process (AHP) to evaluate the defined objects and relevant criteria of the research framework. Second, we use the AHP results in the scenario analysis to explore biometric identification methods that correspond to objects and criteria. The results indicate that face and voice recognition are the two most preferred identification methods in FinTech applications. In addition, there are significant changes in the results of the perceived trust an</w:t>
      </w:r>
    </w:p>
    <w:p>
      <w:pPr/>
      <w:r>
        <w:rPr>
          <w:b/>
        </w:rPr>
        <w:t>POSSIBLE 2021:</w:t>
      </w:r>
      <w:r>
        <w:t xml:space="preserve"> Exploring long-term effects of biochar on mitigating methane emissions from paddy soil: a review — https://doi.org/10.1007/s42773-021-00096-0</w:t>
      </w:r>
    </w:p>
    <w:p>
      <w:pPr/>
      <w:r>
        <w:rPr>
          <w:b/>
        </w:rPr>
        <w:t>Shared claim-specific concepts:</w:t>
      </w:r>
      <w:r>
        <w:t xml:space="preserve"> therefore, important, explore; EU scope not established. This is a provisional connection, not an outcome finding.</w:t>
      </w:r>
    </w:p>
    <w:p>
      <w:pPr>
        <w:pStyle w:val="SourceNote"/>
      </w:pPr>
      <w:r>
        <w:rPr>
          <w:b/>
        </w:rPr>
        <w:t>Available abstract (not full text):</w:t>
      </w:r>
      <w:r>
        <w:t xml:space="preserve"> Abstract Biochar has been reported to mitigate short-term methane (CH 4 ) emissions from paddy soil. Currently, CH 4 mitigation by biochar has primarily focused on the abundance and variations of methanogens and methanotrophs, and changes in their activities during methane production and consumption. However, long-term effects of biochar on methane mitigation from paddy soil remain controversial. This review overviewed the existing mechanisms for CH 4 mitigation as a result of biochar application. In addition, the two existing opinions on the long-term CH 4 mitigation effect upon biochar application were highlighted. Combining the already explored mechanisms of fresh biochar on CH 4 mitigation from paddy soil and a novel discovery, the potential mechanisms of biochar on long-term methane emission response were proposed. This review also revealed the uncertain responses of biochar on long-term CH 4 mitigation. Therefore, to achieve carbon neutral goal, it is important to further explore the mechanisms of long-term CH 4 mitigation under biochar application.</w:t>
      </w:r>
    </w:p>
    <w:p>
      <w:pPr>
        <w:pStyle w:val="Heading2"/>
      </w:pPr>
      <w:r>
        <w:t>819. Assessing the desirability and feasibility of scenarios on eco-efficient transport: a heuristic for efficient stakeholder involvement during foresight processes</w:t>
      </w:r>
    </w:p>
    <w:p>
      <w:pPr>
        <w:pStyle w:val="SourceNote"/>
      </w:pPr>
      <w:r>
        <w:rPr>
          <w:b/>
        </w:rPr>
        <w:t>Original source (2016):</w:t>
      </w:r>
      <w:r>
        <w:t xml:space="preserve"> https://doi.org/10.1108/fs-05-2014-0034</w:t>
      </w:r>
    </w:p>
    <w:p>
      <w:pPr/>
      <w:r>
        <w:t>Original wording (abstract; indexed_source_text_not_full_document_verified): Purpose – The purpose of this paper is to illustrate and discuss how stakeholder assessment of scenarios can be used to trigger a structured and, therefore, more efficient debate amongst stakeholders about future options for achieving a more eco-efficient transport system in Europe.</w:t>
      </w:r>
    </w:p>
    <w:p>
      <w:pPr/>
      <w:r>
        <w:rPr>
          <w:b/>
        </w:rPr>
        <w:t>POSSIBLE 2026:</w:t>
      </w:r>
      <w:r>
        <w:t xml:space="preserve"> EDUCATION AND EUROPEAN INTEGRATION — https://doi.org/10.82444/warw.33551740</w:t>
      </w:r>
    </w:p>
    <w:p>
      <w:pPr/>
      <w:r>
        <w:rPr>
          <w:b/>
        </w:rPr>
        <w:t>Shared claim-specific concepts:</w:t>
      </w:r>
      <w:r>
        <w:t xml:space="preserve"> purpose, illustrate, discuss, used; EU scope visible. This is a provisional connection, not an outcome finding.</w:t>
      </w:r>
    </w:p>
    <w:p>
      <w:pPr>
        <w:pStyle w:val="SourceNote"/>
      </w:pPr>
      <w:r>
        <w:rPr>
          <w:b/>
        </w:rPr>
        <w:t>Available abstract (not full text):</w:t>
      </w:r>
      <w:r>
        <w:t xml:space="preserve"> The main purpose of this article is to discuss the implications for education and training of the movement towards integration in Europe in the historic context of the creation of a single market within the European Community (EC) and the end of the Communist regimes in Central and Eastern Europe. The experience of the EC is used to illustrate trends and problems in the development of international cooperation in education and training. Common concerns and priorities throughout the new Europe are then identified and discussed. These include the pursuit of quality in schooling, efforts to serve the interests of disadvantaged learners, and the treatment of European Studies in the curriculum, including the improvement of the teaching of foreign languages.</w:t>
      </w:r>
    </w:p>
    <w:p>
      <w:pPr/>
      <w:r>
        <w:rPr>
          <w:b/>
        </w:rPr>
        <w:t>POSSIBLE 2021:</w:t>
      </w:r>
      <w:r>
        <w:t xml:space="preserve"> Assessment of Trends and Uncertainties in the Atmospheric Boundary Layer Height Estimated Using Radiosounding Observations over Europe — https://doi.org/10.3390/atmos12030301</w:t>
      </w:r>
    </w:p>
    <w:p>
      <w:pPr/>
      <w:r>
        <w:rPr>
          <w:b/>
        </w:rPr>
        <w:t>Shared claim-specific concepts:</w:t>
      </w:r>
      <w:r>
        <w:t xml:space="preserve"> assessment, used, about; EU scope visible. This is a provisional connection, not an outcome finding.</w:t>
      </w:r>
    </w:p>
    <w:p>
      <w:pPr>
        <w:pStyle w:val="SourceNote"/>
      </w:pPr>
      <w:r>
        <w:rPr>
          <w:b/>
        </w:rPr>
        <w:t>Available abstract (not full text):</w:t>
      </w:r>
      <w:r>
        <w:t xml:space="preserve"> Trends in atmospheric boundary layer height may represent an indication of climate changes. The related modified interaction between the surface and free atmosphere affects both thermodynamics variables and dilution of chemical constituents. Boundary layer is also a major player in various feedback mechanisms of interest for climate models. This paper investigates trends in the nocturnal and convective boundary layer height at mid-latitudes in Europe using radiosounding profiles from the Integrated Global Radiosounding Archive (IGRA). Atmospheric data from the European Centre for Medium-Range Weather Forecasts (ECMWF) ReAnalysis v5 (ERA5) and from the GCOS Reference Upper-Air Network (GRUAN) Lindenberg station are used as intercomparison datasets for the study of structural and parametric uncertainties in the trend analysis. Trends are calculated after the removal of the lag-1 autocorrelation term for each time series. The study confirms the large differences reported in literature between the boundary layer height estimates obtained with the two different algorithms used for IGRA and ERA5 data: ERA5 shows a density distribution with median values of 350 m and 1150 m for the night and the daytime data, respectively, while the corresponding IGRA median values are of 1150 m and 1750 m. An overall good agreement between the estimated trends is found for nighttime data, while dayti</w:t>
      </w:r>
    </w:p>
    <w:p>
      <w:pPr/>
      <w:r>
        <w:rPr>
          <w:b/>
        </w:rPr>
        <w:t>POSSIBLE 2021:</w:t>
      </w:r>
      <w:r>
        <w:t xml:space="preserve"> Stakeholder perspectives and requirements on cybersecurity in Europe — https://doi.org/10.1016/j.jisa.2021.102916</w:t>
      </w:r>
    </w:p>
    <w:p>
      <w:pPr/>
      <w:r>
        <w:rPr>
          <w:b/>
        </w:rPr>
        <w:t>Shared claim-specific concepts:</w:t>
      </w:r>
      <w:r>
        <w:t xml:space="preserve"> stakeholder, stakeholders, achieving, transport; EU scope visible. This is a provisional connection, not an outcome finding.</w:t>
      </w:r>
    </w:p>
    <w:p>
      <w:pPr>
        <w:pStyle w:val="SourceNote"/>
      </w:pPr>
      <w:r>
        <w:rPr>
          <w:b/>
        </w:rPr>
        <w:t>Available abstract (not full text):</w:t>
      </w:r>
      <w:r>
        <w:t xml:space="preserve"> This article presents an overview and analysis of the key cybersecurity problems, challenges and requirements to be addressed in the future, which we derived through 63 interviews with European stakeholders from security-critical sectors including Open Banking, Supply Chain, Privacy-preserving Identity Management, Security Incident Reporting, Maritime Transport, Medical Data Exchange, and Smart Cities. We show that common problems, challenges and requirements across these sectors exist in relation to building trust, implementing privacy and identity management including secure and useable authentication, building resilient systems, standardisation and certification, achieving security and privacy by design, secure and privacy-compliant data and information sharing, and government regulations. Our results also indicate cybersecurity trends and allow to derive directions for future research and innovation activities that will be of high importance for Europe.</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discuss, used, therefore, transport;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Application of the World Café method to discuss the efficiency of African swine fever control strategies in European wild boar (Sus scrofa) populations — https://doi.org/10.1016/j.prevetmed.2020.105178</w:t>
      </w:r>
    </w:p>
    <w:p>
      <w:pPr/>
      <w:r>
        <w:rPr>
          <w:b/>
        </w:rPr>
        <w:t>Shared claim-specific concepts:</w:t>
      </w:r>
      <w:r>
        <w:t xml:space="preserve"> discuss, stakeholder, efficient; EU scope visible. This is a provisional connection, not an outcome finding.</w:t>
      </w:r>
    </w:p>
    <w:p>
      <w:pPr>
        <w:pStyle w:val="SourceNote"/>
      </w:pPr>
      <w:r>
        <w:rPr>
          <w:b/>
        </w:rPr>
        <w:t>Available abstract (not full text):</w:t>
      </w:r>
      <w:r>
        <w:t xml:space="preserve"> In the current epidemic of African swine fever (ASF) in Europe, the maintenance and spread of the disease among wild boar populations remains the most important epidemiological challenge. Affected and at-risk countries have addressed this situation using a diversity of wild boar management methods with varying levels of success. The methods applied range from conventional animal disease intervention measures (zoning, stakeholder awareness campaigns, increased surveillance and biosecurity measures) to measures aimed at reducing wild boar population movements (fencing and baiting/feeding) or population numbers (intensive hunting). To assess the perceived efficiency and acceptance of such measures in the context of a focal introduction of ASF, the authors organised a participatory workshop inviting experts from the fields of wildlife management, wild boar ecology, sociology, epidemiology and animal disease management to discuss the advantages and disadvantages of various control approaches. The discussions between professionals from different countries took place using the World Café method. This paper documents the World Café method as a tool for increasing the level of participation in multi-stakeholder group discussions, and describes the outputs of the workshop pertaining to the control measures. In summary, the World Café method was perceived as an efficient tool for quickly </w:t>
      </w:r>
    </w:p>
    <w:p>
      <w:pPr/>
      <w:r>
        <w:rPr>
          <w:b/>
        </w:rPr>
        <w:t>POSSIBLE 2020:</w:t>
      </w:r>
      <w:r>
        <w:t xml:space="preserve"> An assessment of attitudes towards plastics and bioplastics in Europe — https://doi.org/10.1016/j.scitotenv.2020.142732</w:t>
      </w:r>
    </w:p>
    <w:p>
      <w:pPr/>
      <w:r>
        <w:rPr>
          <w:b/>
        </w:rPr>
        <w:t>Shared claim-specific concepts:</w:t>
      </w:r>
      <w:r>
        <w:t xml:space="preserve"> assessment, used, therefore, about; EU scope visible. This is a provisional connection, not an outcome finding.</w:t>
      </w:r>
    </w:p>
    <w:p>
      <w:pPr>
        <w:pStyle w:val="SourceNote"/>
      </w:pPr>
      <w:r>
        <w:rPr>
          <w:b/>
        </w:rPr>
        <w:t>Available abstract (not full text):</w:t>
      </w:r>
      <w:r>
        <w:t xml:space="preserve"> Over the last 50 years, conventional fossil-based plastics have become an integral part of our everyday lives. Apart from their low production costs, this is due to a number of their unique properties, including durability, strength, lightness, electrical and thermal insulation, resistance to chemicals and corrosion. The production of plastics has increased from 1.5 million metric tons in 1950 to 359 million metric tons in 2018. Of this total, 61.8 million metric tons were produced in Europe. There are various problems associated with plastic use and disposal that pose a serious threat to both the physical environment and human health. Since public behaviour plays a key role when it comes to the use of plastic, this paper reports on a study that focused on an assessment of attitudes towards plastics and bioplastics in Europe. The results showed that packaging is the most frequent modality of plastic used among participants. In addition, majority of participants are aware that plastic waste can affect environment and human health and therefore segregate and properly dispose plastics. Also, even though most respondents were aware of the environmental problems related to plastic use and showed a positive inclination towards using bioplastic materials, their limited availability and lack of relevant information about bioplastics pose a problem for wider use. Departing from the assu</w:t>
      </w:r>
    </w:p>
    <w:p>
      <w:pPr/>
      <w:r>
        <w:rPr>
          <w:b/>
        </w:rPr>
        <w:t>POSSIBLE 2020:</w:t>
      </w:r>
      <w:r>
        <w:t xml:space="preserve"> Integrated assessment projections for the impact of innovation on CCS deployment in Europe — https://doi.org/10.1016/j.ijggc.2020.103133</w:t>
      </w:r>
    </w:p>
    <w:p>
      <w:pPr/>
      <w:r>
        <w:rPr>
          <w:b/>
        </w:rPr>
        <w:t>Shared claim-specific concepts:</w:t>
      </w:r>
      <w:r>
        <w:t xml:space="preserve"> assessment, about, achieving, system; EU scope visible. This is a provisional connection, not an outcome finding.</w:t>
      </w:r>
    </w:p>
    <w:p>
      <w:pPr>
        <w:pStyle w:val="SourceNote"/>
      </w:pPr>
      <w:r>
        <w:rPr>
          <w:b/>
        </w:rPr>
        <w:t>Available abstract (not full text):</w:t>
      </w:r>
      <w:r>
        <w:t xml:space="preserve"> CCS is expected to play a sizeable role over the next several decades to drastically abate greenhouse gas emissions in the energy system by 2050. With the integrated assessment model TIAM-ECN we project how large its contribution could be in Europe in the power sector and industry, and analyze how this contribution may be affected by cost decline (driven by technological innovation) and ambitious greenhouse gas emission reduction targets. If Europe stays on track of achieving zero net emissions by mid-century, we find that CO2 capture activities in Europe may grow to a total amount of some 1700 MtCO2/yr in 2050. We project that by 2050 power plants equipped with CCS could contribute by approximately 25 % to total electricity generation, in competition with low-carbon alternatives such as nuclear energy and renewables like solar photovoltaic and wind power. CCS in association with the use of natural gas could account for about 35 % of energy use in industrial applications, while the use of biomass and coal combined with CCS could be employed for the production of hydrogen. We find that stringent climate policy measures constitute a bigger driver of broad CCS diffusion than CCS technology cost reductions. We project that under stringent climate policy targeting zero net emissions by 2050, a 30 % CCS capital cost reduction as a result of technological advancement could proffer Eur</w:t>
      </w:r>
    </w:p>
    <w:p>
      <w:pPr/>
      <w:r>
        <w:rPr>
          <w:b/>
        </w:rPr>
        <w:t>POSSIBLE 2020:</w:t>
      </w:r>
      <w:r>
        <w:t xml:space="preserve"> European biodiversity assessments in livestock science: A review of research characteristics and indicators — https://doi.org/10.1016/j.ecolind.2019.105902</w:t>
      </w:r>
    </w:p>
    <w:p>
      <w:pPr/>
      <w:r>
        <w:rPr>
          <w:b/>
        </w:rPr>
        <w:t>Shared claim-specific concepts:</w:t>
      </w:r>
      <w:r>
        <w:t xml:space="preserve"> used, therefore, about; EU scope visible. This is a provisional connection, not an outcome finding.</w:t>
      </w:r>
    </w:p>
    <w:p>
      <w:pPr>
        <w:pStyle w:val="SourceNote"/>
      </w:pPr>
      <w:r>
        <w:rPr>
          <w:b/>
        </w:rPr>
        <w:t>Available abstract (not full text):</w:t>
      </w:r>
      <w:r>
        <w:t xml:space="preserve"> Developments in agriculture are a main driver for biodiversity loss, in which livestock play a major role through pastures and feed crop cultivation. Addressing biodiversity loss is challenging due to the broad definition of and the multitude of indicators for biodiversity. We reviewed scientific literature assessing effects of livestock on biodiversity in Europe, to provide an overview of general characteristics of these studies and their indicators for biodiversity. The search was performed in SCOPUS and Web of Science and yielded 857 records after deduplication, which was narrowed down to 131 articles that assessed biodiversity impacts of livestock in Europe. Analysis of these articles focused on general characteristics of the research (i.e. context, scale, species, function of livestock, approach), indicators used, and the general conclusion regarding the impact of livestock on biodiversity. The majority of articles studied biodiversity in France, UK, Italy, Germany and Spain; and studied the direct impact of grazing cattle and sheep on biodiversity at field scale. Indirect impacts of livestock on biodiversity through feed production were assessed in few studies. In about one third of the studies, the function of livestock was not related to food production, but to conservation of open landscapes through grazing. We found a large variety of indicators used to assess the imp</w:t>
      </w:r>
    </w:p>
    <w:p>
      <w:pPr/>
      <w:r>
        <w:rPr>
          <w:b/>
        </w:rPr>
        <w:t>POSSIBLE 2019:</w:t>
      </w:r>
      <w:r>
        <w:t xml:space="preserve"> Plantation forests in Europe: challenges and opportunities — https://doi.org/10.36333/fs09</w:t>
      </w:r>
    </w:p>
    <w:p>
      <w:pPr/>
      <w:r>
        <w:rPr>
          <w:b/>
        </w:rPr>
        <w:t>Shared claim-specific concepts:</w:t>
      </w:r>
      <w:r>
        <w:t xml:space="preserve"> stakeholder, therefore, about, options, achieving; EU scope visible. This is a provisional connection, not an outcome finding.</w:t>
      </w:r>
    </w:p>
    <w:p>
      <w:pPr>
        <w:pStyle w:val="SourceNote"/>
      </w:pPr>
      <w:r>
        <w:rPr>
          <w:b/>
        </w:rPr>
        <w:t>Available abstract (not full text):</w:t>
      </w:r>
      <w:r>
        <w:t xml:space="preserve"> The Sustainable Development Goals, Paris Climate Agreement, the Forest Europe process, and EU targets and policies set new demands for European forests. These include helping to mitigate climate change, providing goods and services, gen-erating jobs and acting as a source of fuel and mate-rials. The development of an innovative, sustainable bioeconomy is a key strategy, and in Europe forestry is expected to play a major part in supplying the feed-stock and services required. Plantation forests can play a key role in meeting these objectives. Globally forest area continues to decline, from 4.3 billion hectares to 4 billion hectares during the period 1990 to 2015. However, over the same timeframe the area of planted forests has in-creased, and they now comprise 7% of the total glob-al forest area and provide about 33% of the world’s roundwood.In Europe, the area of plantation forestry is also in-creasing, together with the proportion of roundwood and other services provided by plantation forests. There is new evidence that the sustainable manage-ment of plantations, particularly as part of a land-scape-scale mosaic, has strong potential to deliver against Europe’s emerging policy priorities. The scientific evidence on how best to achieve these targets, while achieving multifunctionality and maxi-mizing the synergies between ecosystem services is key to the success of future fores</w:t>
      </w:r>
    </w:p>
    <w:p>
      <w:pPr/>
      <w:r>
        <w:rPr>
          <w:b/>
        </w:rPr>
        <w:t>POSSIBLE 2019:</w:t>
      </w:r>
      <w:r>
        <w:t xml:space="preserve"> A climatological assessment of balancing effects and shortfall risks of photovoltaics and wind energy in Germany and Europe — https://doi.org/10.5194/asr-16-119-2019</w:t>
      </w:r>
    </w:p>
    <w:p>
      <w:pPr/>
      <w:r>
        <w:rPr>
          <w:b/>
        </w:rPr>
        <w:t>Shared claim-specific concepts:</w:t>
      </w:r>
      <w:r>
        <w:t xml:space="preserve"> illustrate, assessment, system; EU scope visible. This is a provisional connection, not an outcome finding.</w:t>
      </w:r>
    </w:p>
    <w:p>
      <w:pPr>
        <w:pStyle w:val="SourceNote"/>
      </w:pPr>
      <w:r>
        <w:rPr>
          <w:b/>
        </w:rPr>
        <w:t>Available abstract (not full text):</w:t>
      </w:r>
      <w:r>
        <w:t xml:space="preserve"> Abstract. With an increased share of solar and wind energy e.g. in the German and European energy systems it is becoming increasingly important to analyze the impact of weather variability on the reliability of the energy production. In this study, we calculate solar PV and wind power capacity factors using two recently developed climatological datasets that provide information with high spatial and temporal details on the continental (European) scale and are of sufficient length for assessments at climatological time scales: Surface radiation derived from meteorological satellites (SARAH-2) and wind speed from a high-resolution regional reanalysis (COSMO-REA6). Balancing effects are analysed: On average, the seasonal cycles of PV and wind power production complement each other in Germany as well as in Europe. The frequency of events with a risk of low electricity generation is analyzed under different assumptions. When using wind energy over German land areas as a reference case, the results illustrate that the number of low production events is reduced when Germany's Exclusive Economic Zone is included into the analysis, or when a combined system of PV and wind energy is considered. A European-wide analysis also leads to a distinct reduction of such events.</w:t>
      </w:r>
    </w:p>
    <w:p>
      <w:pPr/>
      <w:r>
        <w:rPr>
          <w:b/>
        </w:rPr>
        <w:t>POSSIBLE 2019:</w:t>
      </w:r>
      <w:r>
        <w:t xml:space="preserve"> Is the nitrogen footprint fit for purpose? An assessment of models and proposed uses — https://doi.org/10.1016/j.jenvman.2019.03.083</w:t>
      </w:r>
    </w:p>
    <w:p>
      <w:pPr/>
      <w:r>
        <w:rPr>
          <w:b/>
        </w:rPr>
        <w:t>Shared claim-specific concepts:</w:t>
      </w:r>
      <w:r>
        <w:t xml:space="preserve"> purpose, assessment, used, therefore, debate, options; EU scope not established. This is a provisional connection, not an outcome finding.</w:t>
      </w:r>
    </w:p>
    <w:p>
      <w:pPr>
        <w:pStyle w:val="SourceNote"/>
      </w:pPr>
      <w:r>
        <w:rPr>
          <w:b/>
        </w:rPr>
        <w:t>Available abstract (not full text):</w:t>
      </w:r>
      <w:r>
        <w:t xml:space="preserve"> The nitrogen footprint has been proposed as an environmental indicator to quantify and highlight how individuals, organizations, or countries contribute to nitrogen pollution. While some footprint indicators have been successful in raising awareness of environmental pressures among the public and policy-makers, they have also attracted criticism from members of the life cycle assessment (LCA) community who find some footprints confusing and misleading as they measure substance and energy flows without considering their environmental impacts. However, there are also legitimate reasons to defend footprints as a useful class of indicators despite their incompatibility with LCA principles. Here, in light of this previous research and debate, we critically assess models and proposed uses for the nitrogen footprint, and explore options for further development. As the nitrogen footprint merely quantifies gross nitrogen emissions irrespective of time, location, and chemical form, it is a crude proxy of environmental and health impacts compared to other, more sophisticated environmental impact indicators. However, developing the nitrogen footprint toward LCA-compatible impact assessment would imply more uncertainty, more complexity, and more work. Furthermore, we emphasize that impact assessment has an unavoidable subjective dimension that should be recognized in any development toward </w:t>
      </w:r>
    </w:p>
    <w:p>
      <w:pPr/>
      <w:r>
        <w:rPr>
          <w:b/>
        </w:rPr>
        <w:t>POSSIBLE 2018:</w:t>
      </w:r>
      <w:r>
        <w:t xml:space="preserve"> Are advisory services “fit for purpose” to support sustainable soil management? An assessment of advice in Europe — https://doi.org/10.1111/sum.12452</w:t>
      </w:r>
    </w:p>
    <w:p>
      <w:pPr/>
      <w:r>
        <w:rPr>
          <w:b/>
        </w:rPr>
        <w:t>Shared claim-specific concepts:</w:t>
      </w:r>
      <w:r>
        <w:t xml:space="preserve"> purpose, assessment, structured, about, achieving; EU scope visible. This is a provisional connection, not an outcome finding.</w:t>
      </w:r>
    </w:p>
    <w:p>
      <w:pPr>
        <w:pStyle w:val="SourceNote"/>
      </w:pPr>
      <w:r>
        <w:rPr>
          <w:b/>
        </w:rPr>
        <w:t>Available abstract (not full text):</w:t>
      </w:r>
      <w:r>
        <w:t xml:space="preserve"> Abstract This assessment examines the extent to which advisory services are able to address current and emerging knowledge needs of practitioners (primarily farmers) about sustainable soil management ( SSM ) in Europe. The assessment is structured around the following components: the context of advice (policy, market, socio‐economic conditions, privatization of advisory systems); the challenges that SSM presents for advice; the current and emerging practitioner knowledge needs; and the existing structure and function of advisory services for SSM . The analysis reveals fragmented policy and advisory services, paralleled by the multi‐scale character of SSM and a diverse audience for advice. The challenges and opportunities this complex arena presents are analysed, and suggestions made for achieving more effective advisory services for SSM , together with examples of existing approaches.</w:t>
      </w:r>
    </w:p>
    <w:p>
      <w:pPr>
        <w:pStyle w:val="Heading2"/>
      </w:pPr>
      <w:r>
        <w:t>820. Bioenergy futures in Sweden – Modeling integration scenarios for biofuel production</w:t>
      </w:r>
    </w:p>
    <w:p>
      <w:pPr>
        <w:pStyle w:val="SourceNote"/>
      </w:pPr>
      <w:r>
        <w:rPr>
          <w:b/>
        </w:rPr>
        <w:t>Original source (2016):</w:t>
      </w:r>
      <w:r>
        <w:t xml:space="preserve"> https://doi.org/10.1016/j.energy.2016.04.044</w:t>
      </w:r>
    </w:p>
    <w:p>
      <w:pPr/>
      <w:r>
        <w:t>Original wording (abstract; indexed_source_text_not_full_document_verified): However, even though biomass is a renewable resource, the potential is limited, and efficient use of available biomass resources will become increasingly important.</w:t>
      </w:r>
    </w:p>
    <w:p>
      <w:pPr/>
      <w:r>
        <w:rPr>
          <w:b/>
        </w:rPr>
        <w:t>POSSIBLE 2025:</w:t>
      </w:r>
      <w:r>
        <w:t xml:space="preserve"> Increased Holocene Diversity in Europe Linked to Human‐Associated Vegetation Change — https://doi.org/10.1111/geb.70166</w:t>
      </w:r>
    </w:p>
    <w:p>
      <w:pPr/>
      <w:r>
        <w:rPr>
          <w:b/>
        </w:rPr>
        <w:t>Shared claim-specific concepts:</w:t>
      </w:r>
      <w:r>
        <w:t xml:space="preserve"> however, though, use, increasingly; EU scope visible. This is a provisional connection, not an outcome finding.</w:t>
      </w:r>
    </w:p>
    <w:p>
      <w:pPr>
        <w:pStyle w:val="SourceNote"/>
      </w:pPr>
      <w:r>
        <w:rPr>
          <w:b/>
        </w:rPr>
        <w:t>Available abstract (not full text):</w:t>
      </w:r>
      <w:r>
        <w:t xml:space="preserve"> ABSTRACT Aim It is widely reported that aspects of present‐day global biodiversity are declining, with humans largely to blame. However—perhaps paradoxically—in Europe, floristic diversity and human populations have grown in tandem for millennia. Disturbance intensity and habitat heterogeneity potentially explain this phenomenon, though we lack understanding of how human land use intensity affected biodiversity at numerous spatial scales over the Holocene. Here, we examine the relationships between anthropogenic vegetation change and floristic diversity over the last 12 millennia in Europe, at multiple spatial scales. Location Europe. Time Period The Holocene (11,700–100 cal yr BP). Major Taxa Studied Plants. Methods We examined the spatio‐temporal dynamics of, and relationships between, floristic richness, evenness and compositional turnover with an index of anthropogenic vegetation change since 11,700 cal yr. BP, analysing 7853 pollen samples from 213 records (sites). We evaluated how changes to the proportional site occupancies of human‐associated and other taxa related to diversity patterns. Results (1) Floristic richness, evenness, and compositional turnover increased from 9000 years ago to 1850 CE. (2) Temporal increases in richness and evenness were positively associated with the anthropogenic vegetation index in the majority of vegetation zones and sites, whereas compos</w:t>
      </w:r>
    </w:p>
    <w:p>
      <w:pPr/>
      <w:r>
        <w:rPr>
          <w:b/>
        </w:rPr>
        <w:t>POSSIBLE 2024:</w:t>
      </w:r>
      <w:r>
        <w:t xml:space="preserve"> Investigating the heterogeneity within Wild bird indices in Europe — https://doi.org/10.1016/j.biocon.2024.110452</w:t>
      </w:r>
    </w:p>
    <w:p>
      <w:pPr/>
      <w:r>
        <w:rPr>
          <w:b/>
        </w:rPr>
        <w:t>Shared claim-specific concepts:</w:t>
      </w:r>
      <w:r>
        <w:t xml:space="preserve"> however, even, though, potential, important; EU scope visible. This is a provisional connection, not an outcome finding.</w:t>
      </w:r>
    </w:p>
    <w:p>
      <w:pPr>
        <w:pStyle w:val="SourceNote"/>
      </w:pPr>
      <w:r>
        <w:rPr>
          <w:b/>
        </w:rPr>
        <w:t>Available abstract (not full text):</w:t>
      </w:r>
      <w:r>
        <w:t xml:space="preserve"> Biodiversity decline is monitored through a multitude of proxies. One of the most common proxies are aggregate indices constructed from time-series of species. Because of their standardised construction and simplicity of interpretation, these indices are often used as official indicators for biodiversity monitoring. However, aggregate indices hide variability among species dynamics from which they are built. Understanding this diversity is essential to interpret indices and avoid missing particular subsets of species with strong dynamics or groups of species with opposing dynamics that may result in little change in the overall index. In this study, we analyse heterogeneity within the most widely used Wild bird indices in Europe, Farmland Bird Index (FaBI) and Forest Bird Index (FoBI) in 20 European countries between 2000 and 2017. We analyse potential heterogeneity in dynamics within FaBI and FoBI of each country. We show that there is structural heterogeneity in dynamics among species as well as clusters of species with differing dynamics co-existing within aggregated indices in most countries studied. This was the case for farmland birds, even though this group shows strong general declines across Europe, and for forest birds that have less coherent long-term dynamics. We further explored whether clusters may be distinctly linked to major ecological traits, habitat specialis</w:t>
      </w:r>
    </w:p>
    <w:p>
      <w:pPr/>
      <w:r>
        <w:rPr>
          <w:b/>
        </w:rPr>
        <w:t>POSSIBLE 2024:</w:t>
      </w:r>
      <w:r>
        <w:t xml:space="preserve"> THE FAILURE OF EUROPEAN CONSTITUTION — https://doi.org/10.62792/ut.jus.v12.i21-22.p2754</w:t>
      </w:r>
    </w:p>
    <w:p>
      <w:pPr/>
      <w:r>
        <w:rPr>
          <w:b/>
        </w:rPr>
        <w:t>Shared claim-specific concepts:</w:t>
      </w:r>
      <w:r>
        <w:t xml:space="preserve"> however, even, though; EU scope visible. This is a provisional connection, not an outcome finding.</w:t>
      </w:r>
    </w:p>
    <w:p>
      <w:pPr>
        <w:pStyle w:val="SourceNote"/>
      </w:pPr>
      <w:r>
        <w:rPr>
          <w:b/>
        </w:rPr>
        <w:t>Available abstract (not full text):</w:t>
      </w:r>
      <w:r>
        <w:t xml:space="preserve"> The debate about the failure of the European Constitution has tended to polarize many scholars regarding the reasons why the European Constitution failed. However, having looked backwards into history in order to receive a more general overview a remaining puzzle is still there. In constitutional scholarship many efforts have been spent in trying to detach the concept of constitution from the nation-state framework and put it into a transnational concept even though in legal and political rhetoric the constitution appears to be linked with the nation-state only. The process in establishing a constitution for Europe encountered a debacle when the Netherlands and France refused the proposal. Scholars have debated this issue more than enough but still many questions remain unanswered regarding the failure of the European Constitution. From the documents and articles consulted no single narrative fully explains the failure of the constitutional project that’s why the paper is striving to bridge this gap and give another perspective in this direction, even though there is an arsenal of reasons that explains the failure.</w:t>
      </w:r>
    </w:p>
    <w:p>
      <w:pPr/>
      <w:r>
        <w:rPr>
          <w:b/>
        </w:rPr>
        <w:t>POSSIBLE 2024:</w:t>
      </w:r>
      <w:r>
        <w:t xml:space="preserve"> Evolution of the European offshore renewable energy resource under multiple climate change scenarios and forecasting horizons via CMIP6 — https://doi.org/10.1016/j.enconman.2023.118058</w:t>
      </w:r>
    </w:p>
    <w:p>
      <w:pPr/>
      <w:r>
        <w:rPr>
          <w:b/>
        </w:rPr>
        <w:t>Shared claim-specific concepts:</w:t>
      </w:r>
      <w:r>
        <w:t xml:space="preserve"> however, even, renewable, resource, resources; EU scope visible. This is a provisional connection, not an outcome finding.</w:t>
      </w:r>
    </w:p>
    <w:p>
      <w:pPr>
        <w:pStyle w:val="SourceNote"/>
      </w:pPr>
      <w:r>
        <w:rPr>
          <w:b/>
        </w:rPr>
        <w:t>Available abstract (not full text):</w:t>
      </w:r>
      <w:r>
        <w:t xml:space="preserve"> The design of the different offshore renewable Energy (ORE) technologies greatly depends on the characteristics of the wind/wave resource. However, these characteristics are not stationary. Even more so under the effect of climate change. The present study aims at assessing the evolution of the European offshore wave/wind resource under low- and high-emissions scenarios based on Shared Socioeconomic Pathways, and three forecasting horizons including near- (2023-2032), mid- (2041-2050) and long-term (2091-2100). The novelties lie in (i) combining wind and wave resources, (ii) using data with a 3-hour temporal horizon and (ii) performing a local-scale statistical analysis. Results illustrate that variations along the 21st century are significant, reversing the historical increasing trend by 2030. Overall, all scenarios tend to average wind and wave resource reductions all over Europe. However, extreme conditions follow a different pattern. Considering the 99th percentile, extreme conditions seem to be milder, following the evolution observed with the average resource. Exceptions to this are the Iberian Peninsula and the North Sea. In contrast, the local-scale statistical analysis shows that the most extreme conditions tend to increase even when the 99th percentile decreases. This combination of decreasing average and increasing extremes presents the worst-case scenario for ORE te</w:t>
      </w:r>
    </w:p>
    <w:p>
      <w:pPr/>
      <w:r>
        <w:rPr>
          <w:b/>
        </w:rPr>
        <w:t>POSSIBLE 2023:</w:t>
      </w:r>
      <w:r>
        <w:t xml:space="preserve"> The potential impact of climate change on European renewable energy droughts — https://doi.org/10.1016/j.rser.2023.114011</w:t>
      </w:r>
    </w:p>
    <w:p>
      <w:pPr/>
      <w:r>
        <w:rPr>
          <w:b/>
        </w:rPr>
        <w:t>Shared claim-specific concepts:</w:t>
      </w:r>
      <w:r>
        <w:t xml:space="preserve"> renewable, potential;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Risk aversion in renewable resource harvesting — https://doi.org/10.1016/j.jeem.2023.102855</w:t>
      </w:r>
    </w:p>
    <w:p>
      <w:pPr/>
      <w:r>
        <w:rPr>
          <w:b/>
        </w:rPr>
        <w:t>Shared claim-specific concepts:</w:t>
      </w:r>
      <w:r>
        <w:t xml:space="preserve"> renewable, resource, use; EU scope not established. This is a provisional connection, not an outcome finding.</w:t>
      </w:r>
    </w:p>
    <w:p>
      <w:pPr>
        <w:pStyle w:val="SourceNote"/>
      </w:pPr>
      <w:r>
        <w:rPr>
          <w:b/>
        </w:rPr>
        <w:t>Available abstract (not full text):</w:t>
      </w:r>
      <w:r>
        <w:t xml:space="preserve"> We study optimal harvesting of a renewable resource with stochastic dynamics. To focus on the effect of risk aversion, we consider a resource user who is indifferent with respect to intertemporal variability. We find that a constant escapement strategy is optimal, i.e. the stock after harvesting is constant. Under common specifications of risk aversion, increas ing risk and risk aversion increase current resource use, the reason being a substitution effect, i.e. the resource user substitutes assets away from the risky resource stock. We apply the model to the case of the Eastern Baltic cod fishery and, in contrast to the previous literature, find a strong effect of risk and risk aversion on optimal harvesting.</w:t>
      </w:r>
    </w:p>
    <w:p>
      <w:pPr/>
      <w:r>
        <w:rPr>
          <w:b/>
        </w:rPr>
        <w:t>POSSIBLE 2023:</w:t>
      </w:r>
      <w:r>
        <w:t xml:space="preserve"> Exploring pathways to 100% renewable energy in European industry — https://doi.org/10.1016/j.energy.2023.126687</w:t>
      </w:r>
    </w:p>
    <w:p>
      <w:pPr/>
      <w:r>
        <w:rPr>
          <w:b/>
        </w:rPr>
        <w:t>Shared claim-specific concepts:</w:t>
      </w:r>
      <w:r>
        <w:t xml:space="preserve"> however, renewable, available;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r>
        <w:rPr>
          <w:b/>
        </w:rPr>
        <w:t>POSSIBLE 2023:</w:t>
      </w:r>
      <w:r>
        <w:t xml:space="preserve"> The COVID-19 pandemic and the European Union: politics, policies and institutions — https://doi.org/10.1080/13501763.2022.2141305</w:t>
      </w:r>
    </w:p>
    <w:p>
      <w:pPr/>
      <w:r>
        <w:rPr>
          <w:b/>
        </w:rPr>
        <w:t>Shared claim-specific concepts:</w:t>
      </w:r>
      <w:r>
        <w:t xml:space="preserve"> however, even, though, limited, become, increasingly; EU scope visible. This is a provisional connection, not an outcome finding.</w:t>
      </w:r>
    </w:p>
    <w:p>
      <w:pPr>
        <w:pStyle w:val="SourceNote"/>
      </w:pPr>
      <w:r>
        <w:rPr>
          <w:b/>
        </w:rPr>
        <w:t>Available abstract (not full text):</w:t>
      </w:r>
      <w:r>
        <w:t xml:space="preserve"> The COVID-19 pandemic posed unprecedented challenges to the European Union (EU) and its member states. In the EU, health policy competence has been and remains largely with member states. However, faced with a major external crisis, which more or less affected all member states at the same time, the EU developed a framework within which the member states (and their subnational units) could respond together to the crisis. This introductory article to the Special Issue ‘The COVID-19 Pandemic and the European Union,’ briefly examines how EU institutions, policies and politics were affected by the crisis. Contrary to earlier crises, the EU responded speedily and effectively this time around. The EU has become increasingly important in crisis management, in part due to the nature of transboundary crises. The EU proved itself to be a good crisis manager on some dimensions, but certainly not on all. The crisis created momentum for collective action and for fast decision-making, even though the legitimacy of some these actions has been subject to limited public scrutiny.</w:t>
      </w:r>
    </w:p>
    <w:p>
      <w:pPr/>
      <w:r>
        <w:rPr>
          <w:b/>
        </w:rPr>
        <w:t>POSSIBLE 2022:</w:t>
      </w:r>
      <w:r>
        <w:t xml:space="preserve"> Assessment of the 2021 summer flood in Central Europe — https://doi.org/10.1186/s12302-022-00685-1</w:t>
      </w:r>
    </w:p>
    <w:p>
      <w:pPr/>
      <w:r>
        <w:rPr>
          <w:b/>
        </w:rPr>
        <w:t>Shared claim-specific concepts:</w:t>
      </w:r>
      <w:r>
        <w:t xml:space="preserve"> however, even, though, become; EU scope visible. This is a provisional connection, not an outcome finding.</w:t>
      </w:r>
    </w:p>
    <w:p>
      <w:pPr>
        <w:pStyle w:val="SourceNote"/>
      </w:pPr>
      <w:r>
        <w:rPr>
          <w:b/>
        </w:rPr>
        <w:t>Available abstract (not full text):</w:t>
      </w:r>
      <w:r>
        <w:t xml:space="preserve"> Abstract The flood event in July 2021 in the uplands of the Eifel-Ardennes mountains in Germany, Belgium and The Netherlands and their foreland was caused by heavy rainfall and resulted in one of the largest flood disasters in Western Europe for decades. Due to climate change, it can be assumed that such events will become more frequent in future. Even though such extreme flood can happen at any time, the consequences and impacts can be significantly reduced by appropriate technical and non-technical measures. However, such measures always require a comprehensive understanding and knowledge of previous events and comparable processes. Therefore, this special issue aims at collecting the scientific evaluation and its implications of the 2021 extreme summer flood. This editorial serves as an introduction for an article collection published in the journal Environmental Sciences Europe, providing an overview of the current state of integrative assessment of the 2021 summer flood in Central Europe.</w:t>
      </w:r>
    </w:p>
    <w:p>
      <w:pPr/>
      <w:r>
        <w:rPr>
          <w:b/>
        </w:rPr>
        <w:t>POSSIBLE 2022:</w:t>
      </w:r>
      <w:r>
        <w:t xml:space="preserve"> A copula-based assessment of renewable energy droughts across Europe — https://doi.org/10.1016/j.renene.2022.10.091</w:t>
      </w:r>
    </w:p>
    <w:p>
      <w:pPr/>
      <w:r>
        <w:rPr>
          <w:b/>
        </w:rPr>
        <w:t>Shared claim-specific concepts:</w:t>
      </w:r>
      <w:r>
        <w:t xml:space="preserve"> renewable; EU scope visible. This is a provisional connection, not an outcome finding.</w:t>
      </w:r>
    </w:p>
    <w:p>
      <w:pPr>
        <w:pStyle w:val="SourceNote"/>
      </w:pPr>
      <w:r>
        <w:rPr>
          <w:b/>
        </w:rPr>
        <w:t>Available abstract (not full text):</w:t>
      </w:r>
      <w:r>
        <w:t xml:space="preserve"> Meeting carbon-reduction targets will require thorough consideration of climate variability and climate change due to the increasing share of climate-sensitive renewable energy sources (RES). One of the main concerns arises from situations of low renewable production and high demand, which can hinder the power system. We analysed energy droughts, defined as periods of low energy production (wind plus solar generation) or high residual load (demand minus production), in terms of two main properties: duration and severity. We estimated the joint return periods associated with energy droughts of residual load and power production. We showed that moderate winter energy droughts of both low renewable production and high residual load occur every half a year, while summer events occur every 3.6 and 2.4 years (on average). As expected, the occurrence of energy droughts tends to decrease with the degree of the severity of the energy drought, and moderate and extreme energy droughts showed longer return periods for most countries. In general, we found a large variability across Europe in summer, with some countries (e.g. Italy) being more sensitive to energy droughts. Our results highlight the relevance of sharing RES during prolonged periods of low production and high demand.</w:t>
      </w:r>
    </w:p>
    <w:p>
      <w:pPr/>
      <w:r>
        <w:rPr>
          <w:b/>
        </w:rPr>
        <w:t>POSSIBLE 2021:</w:t>
      </w:r>
      <w:r>
        <w:t xml:space="preserve"> Malignant mesothelioma and asbestos exposure in Europe: Evidence of spatial clustering — https://doi.org/10.4081/gh.2021.951</w:t>
      </w:r>
    </w:p>
    <w:p>
      <w:pPr/>
      <w:r>
        <w:rPr>
          <w:b/>
        </w:rPr>
        <w:t>Shared claim-specific concepts:</w:t>
      </w:r>
      <w:r>
        <w:t xml:space="preserve"> however, even, though, use; EU scope visible. This is a provisional connection, not an outcome finding.</w:t>
      </w:r>
    </w:p>
    <w:p>
      <w:pPr>
        <w:pStyle w:val="SourceNote"/>
      </w:pPr>
      <w:r>
        <w:rPr>
          <w:b/>
        </w:rPr>
        <w:t>Available abstract (not full text):</w:t>
      </w:r>
      <w:r>
        <w:t xml:space="preserve"> Exposure to asbestos causes a wide range of diseases, such as asbestosis, malignant mesothelioma (MM) and other types of cancer. Many European countries have reduced production and use of asbestos and some have banned it altogether. Based on data derived from the World Health Organisation (WHO) Cancer Mortality Database, we investigated whether some regions in Europe could have a higher relative risk of MM incidence than others. The data were compared, including the number of MM deaths per million inhabitants and aged-standardized mortality rates. Applying Moran's I and Getis-Ord Gi statistic on the agedstandardized mortality rates of MM cases assisted the spatial analysis of the occurrence of health events leading to an assessment of the heterogeneity of distribution and cluster detection of MM. We found a statistically significant positive autocorrelation for the male population and also the general population, while there was no statistically significant positive one for the female population. Hotspots of relative risk of developing MM were found in northwestern Europe. For the general population, Great Britain and the Netherlands stood out with high levels at the 99% and 95% confidence levels, respectively. For the male population, the results were similar, but with addition of risk also in Belgium and Switzerland. However, in many European countries with high asbestos use </w:t>
      </w:r>
    </w:p>
    <w:p>
      <w:pPr/>
      <w:r>
        <w:rPr>
          <w:b/>
        </w:rPr>
        <w:t>POSSIBLE 2021:</w:t>
      </w:r>
      <w:r>
        <w:t xml:space="preserve"> The Expiry of Humira® Market Exclusivity and the Entry of Adalimumab Biosimilars in Europe: An Overview of Pricing and National Policy Measures — https://doi.org/10.3389/fphar.2020.591134</w:t>
      </w:r>
    </w:p>
    <w:p>
      <w:pPr/>
      <w:r>
        <w:rPr>
          <w:b/>
        </w:rPr>
        <w:t>Shared claim-specific concepts:</w:t>
      </w:r>
      <w:r>
        <w:t xml:space="preserve"> however, even, though, use, available; EU scope visible. This is a provisional connection, not an outcome finding.</w:t>
      </w:r>
    </w:p>
    <w:p>
      <w:pPr>
        <w:pStyle w:val="SourceNote"/>
      </w:pPr>
      <w:r>
        <w:rPr>
          <w:b/>
        </w:rPr>
        <w:t>Available abstract (not full text):</w:t>
      </w:r>
      <w:r>
        <w:t xml:space="preserve"> Background: From October 2018, adalimumab biosimilars could enter the European market. However, in some countries, such as Netherlands, high discounts reported for the originator product may have influenced biosimilar entry. Objectives: The aim of this paper is to provide a European overview of (list) prices of originator adalimumab, before and after loss of exclusivity; to report changes in the reimbursement status of adalimumab products; and discuss relevant policy measures. Methods: Experts in European countries received a survey consisting of three parts: 1) general financing/co-payment of medicines, 2) reimbursement status and prices of originator adalimumab, and availability of biosimilars, and 3) policy measures related to the use of adalimumab. Results: In May 2019, adalimumab biosimilars were available in 24 of the 30 countries surveyed. Following introduction of adalimumab biosimilars, a number of countries have made changes in relation to the reimbursement status of adalimumab products. Originator adalimumab list prices varied between countries by a factor of 2.8 before and 4.1 after loss of exclusivity. Overall, list prices of originator adalimumab decreased after loss of exclusivity, although for 13 countries list prices were unchanged. When reported, discounts/rebates on originator adalimumab after loss of exclusivity ranged from 0% to approximately 26% (Romania),</w:t>
      </w:r>
    </w:p>
    <w:p>
      <w:pPr>
        <w:pStyle w:val="Heading2"/>
      </w:pPr>
      <w:r>
        <w:t>821. Changing knowledge, changing technology: implications for teacher education futures</w:t>
      </w:r>
    </w:p>
    <w:p>
      <w:pPr>
        <w:pStyle w:val="SourceNote"/>
      </w:pPr>
      <w:r>
        <w:rPr>
          <w:b/>
        </w:rPr>
        <w:t>Original source (2016):</w:t>
      </w:r>
      <w:r>
        <w:t xml:space="preserve"> https://doi.org/10.1080/02607476.2015.1125432</w:t>
      </w:r>
    </w:p>
    <w:p>
      <w:pPr/>
      <w:r>
        <w:t>Original wording (abstract; indexed_source_text_not_full_document_verified): Data from these interviews were analysed to stimulate the construction of four future teacher education scenarios.</w:t>
      </w:r>
    </w:p>
    <w:p>
      <w:pPr/>
      <w:r>
        <w:rPr>
          <w:b/>
        </w:rPr>
        <w:t>POSSIBLE 2026:</w:t>
      </w:r>
      <w:r>
        <w:t xml:space="preserve"> Digital Story 2. Visual timeline creation as a reflexive practice - an experiential approach to designing interview guides and analysing multimedia data — https://doi.org/10.6084/m9.figshare.31353376</w:t>
      </w:r>
    </w:p>
    <w:p>
      <w:pPr/>
      <w:r>
        <w:rPr>
          <w:b/>
        </w:rPr>
        <w:t>Shared claim-specific concepts:</w:t>
      </w:r>
      <w:r>
        <w:t xml:space="preserve"> data, interviews, analysed, four, teacher, education; EU scope not established. This is a provisional connection, not an outcome finding.</w:t>
      </w:r>
    </w:p>
    <w:p>
      <w:pPr>
        <w:pStyle w:val="SourceNote"/>
      </w:pPr>
      <w:r>
        <w:rPr>
          <w:b/>
        </w:rPr>
        <w:t>Available abstract (not full text):</w:t>
      </w:r>
      <w:r>
        <w:t xml:space="preserve"> This digital story was published as part of an Environmental Education Research journal article titled: Co-developing professional learning practices in support of a whole school approach to sustainability-oriented education. This digital story illustrates how the creation of visual timelines (representing individual and collective professional learning journeys) became a key analysis stage in the study and were used as visual interview guides in interviews with teacher participants that took place post continuing professional development.Article AbstractThis multimedia article explores a Norwegian Continuing Professional Development (CPD) programme co-developing professional learning practices concerning a Whole School Approach (WSA) to sustainability-oriented education. Eleven teachers from four upper-secondary schools participated as co-developers in a year-long CPD and research combined programme, which also involved multiple school leaders, university-based educators, and researchers. Conventional CPD and data collection methods, including interviews, questionnaires, academic lectures, and research-informed activities, were combined with experiential approaches and the introduction of participatory methods such as photo-elicitation, world café events, and arts-based activities. Multiple data sources were gathered and analysed through iterative phases of CPD design, enactme</w:t>
      </w:r>
    </w:p>
    <w:p>
      <w:pPr/>
      <w:r>
        <w:rPr>
          <w:b/>
        </w:rPr>
        <w:t>POSSIBLE 2026:</w:t>
      </w:r>
      <w:r>
        <w:t xml:space="preserve"> Towards a harmonised data framework for design for disassembly in construction — https://doi.org/10.5281/zenodo.22679835</w:t>
      </w:r>
    </w:p>
    <w:p>
      <w:pPr/>
      <w:r>
        <w:rPr>
          <w:b/>
        </w:rPr>
        <w:t>Shared claim-specific concepts:</w:t>
      </w:r>
      <w:r>
        <w:t xml:space="preserve"> data, interviews, construction; EU scope not established. This is a provisional connection, not an outcome finding.</w:t>
      </w:r>
    </w:p>
    <w:p>
      <w:pPr>
        <w:pStyle w:val="SourceNote"/>
      </w:pPr>
      <w:r>
        <w:rPr>
          <w:b/>
        </w:rPr>
        <w:t>Available abstract (not full text):</w:t>
      </w:r>
      <w:r>
        <w:t xml:space="preserve"> The construction industry's transition to a circular economy requires robust, standardised data management to support Design for Disassembly (DfD). This paper presents a two-phase research project developing a harmonised DfD data requirements framework for the built environment. Phase 1 synthesised 688 explicit data-level requirements from 42 literature sources, consolidated into 128 harmonised data points across 12 thematic clusters through a manual three-pass harmonisation process. Phase 2 extended and validated this framework through seven semi-structured interviews with sustainability engineers, architects, manufacturers, contractors, material data platform engineers, and a digital construction research scientist. Interview analysis produced 92 additional data points, 18 modifications, and identified a new thirteenth cluster on Stakeholder and Organisation dimensions, resulting in a revised framework of 211 substantive data points across 13 clusters. Key practitioner insights challenge assumptions prevalent in the literature, including the economic trade-off in connection reversibility, the primacy of short-lifecycle fit-out components for DfD impact, and the critical role of demolition contractors as knowledge holders. The framework serves as a foundation of data requirements to inform the development of a formal DfD ontology, supporting semantic interoperability for circu</w:t>
      </w:r>
    </w:p>
    <w:p>
      <w:pPr/>
      <w:r>
        <w:rPr>
          <w:b/>
        </w:rPr>
        <w:t>POSSIBLE 2025:</w:t>
      </w:r>
      <w:r>
        <w:t xml:space="preserve"> WORKWELL process evaluation: qualitative data analyses of the participant interviews at 12- and 36-month follow-ups — https://doi.org/10.1093/rap/rkaf034</w:t>
      </w:r>
    </w:p>
    <w:p>
      <w:pPr/>
      <w:r>
        <w:rPr>
          <w:b/>
        </w:rPr>
        <w:t>Shared claim-specific concepts:</w:t>
      </w:r>
      <w:r>
        <w:t xml:space="preserve"> data, interviews, four; EU scope not established. This is a provisional connection, not an outcome finding.</w:t>
      </w:r>
    </w:p>
    <w:p>
      <w:pPr>
        <w:pStyle w:val="SourceNote"/>
      </w:pPr>
      <w:r>
        <w:rPr>
          <w:b/>
        </w:rPr>
        <w:t>Available abstract (not full text):</w:t>
      </w:r>
      <w:r>
        <w:t xml:space="preserve"> Objectives: This study aimed to qualitatively examine the delivery of the WORKWELL trial, a job retention vocational rehabilitation (JRVR) programme designed to help individuals with inflammatory arthritis (IA) maintain employment. A qualitative process evaluation used the Normalization Process Theory (NPT) to understand participant experiences and identify factors influencing implementation and outcomes. Methods: Data were collected via one-to-one telephone interviews with trial participants at 12 and 36 months. An inductive reflexive thematic analysis was followed by a deductive analysis based on NPT's four constructs (coherence, cognitive participation, collective action and reflexive monitoring). Results: Sixty-two participants (mean age 51.0; 82.3% female) were interviewed, most diagnosed with RA (75.8%). Four secondary themes were generated under NPT constructs. For 'Coherence', themes included 'Exploring the Purpose and Impact of Taking Part in WORKWELL' and 'Questionnaires as Instrument for Reflection'. In 'Cognitive Participation', the theme was 'Commitment and Investment to WORKWELL'. For 'Collective Action', we identified 'Key Actions for Successful WORKWELL', and under 'Reflexive Monitoring', the theme was 'Suggestions for Improving WORKWELL'. These themes reflected participants' mixed feelings about the intervention, finding value in the intervention but highlighti</w:t>
      </w:r>
    </w:p>
    <w:p>
      <w:pPr/>
      <w:r>
        <w:rPr>
          <w:b/>
        </w:rPr>
        <w:t>POSSIBLE 2025:</w:t>
      </w:r>
      <w:r>
        <w:t xml:space="preserve"> Chatbots for Data Collection in Surveys: A Comparison of Four Theory-Based Interview Probes — https://doi.org/10.1145/3706598.3714128</w:t>
      </w:r>
    </w:p>
    <w:p>
      <w:pPr/>
      <w:r>
        <w:rPr>
          <w:b/>
        </w:rPr>
        <w:t>Shared claim-specific concepts:</w:t>
      </w:r>
      <w:r>
        <w:t xml:space="preserve"> data, interviews, four; EU scope not established. This is a provisional connection, not an outcome finding.</w:t>
      </w:r>
    </w:p>
    <w:p>
      <w:pPr>
        <w:pStyle w:val="SourceNote"/>
      </w:pPr>
      <w:r>
        <w:rPr>
          <w:b/>
        </w:rPr>
        <w:t>Available abstract (not full text):</w:t>
      </w:r>
      <w:r>
        <w:t xml:space="preserve"> Surveys are a widespread method for collecting data at scale, but their rigid structure often limits the depth of qualitative insights obtained. While interviews naturally yield richer responses, they are challenging to conduct across diverse locations and large participant pools. To partially bridge this gap, we investigate the potential of using LLM-based chatbots to support qualitative data collection through interview probes embedded in surveys. We assess four theory-based interview probes: descriptive, idiographic, clarifying, and explanatory. Through a split-plot study design (N=64), we compare the probes' impact on response quality and user experience across three key stages of HCI research: exploration, requirements gathering, and evaluation. Our results show that probes facilitate the collection of high-quality survey data, with specific probes proving effective at different research stages. We contribute practical and methodological implications for using chatbots as research tools to enrich qualitative data collection.</w:t>
      </w:r>
    </w:p>
    <w:p>
      <w:pPr/>
      <w:r>
        <w:rPr>
          <w:b/>
        </w:rPr>
        <w:t>POSSIBLE 2025:</w:t>
      </w:r>
      <w:r>
        <w:t xml:space="preserve"> HOW TO DEVELOP A FRAMEWORK MANUALLY FROM QUALITATIVE INTERVIEW DATA — https://doi.org/10.55197/qjssh.v6i4.767</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Framework development in qualitative research is the systematic categorisation and interpretation of information or data to construct a conceptual structure which can be presented to explain relationships between emerging themes. However, the prevailing trend to use advanced software tools to analyse qualitative data poses several challenges for many researchers, especially those who consider those tools nonintuitive, resource-consuming, or not well-suited for their specific depth of inquiry. The objective of this review is to outline a structured, manual process for developing a conceptual framework grounded in interview data, highlighting each analytical stage from data familiarisation to thematic synthesis and framework construction. This review is a narrative review that discusses the processes involved in manually constructing a conceptual framework using the interview data in qualitative research. In qualitative research, especially in research where interviews are methods for data collection, the formation of a conceptual framework is a systematic process of inquiry that is rooted in the experiences of the participants and reflects the aggregated data. The process typically unfolds in four sequential but iterative steps: (a) data familiarisation; (b) initial coding and categorisation; (c) theme development; and (d) framework construction. In conclusion, the manual proces</w:t>
      </w:r>
    </w:p>
    <w:p>
      <w:pPr/>
      <w:r>
        <w:rPr>
          <w:b/>
        </w:rPr>
        <w:t>POSSIBLE 2025:</w:t>
      </w:r>
      <w:r>
        <w:t xml:space="preserve"> A Study on the Construction of Living Lab in Hospital Using Focus Group Interview (FGI) — https://doi.org/10.34264/jkafa.2025.17.2.23</w:t>
      </w:r>
    </w:p>
    <w:p>
      <w:pPr/>
      <w:r>
        <w:rPr>
          <w:b/>
        </w:rPr>
        <w:t>Shared claim-specific concepts:</w:t>
      </w:r>
      <w:r>
        <w:t xml:space="preserve"> data, interviews, construction, education; EU scope not established. This is a provisional connection, not an outcome finding.</w:t>
      </w:r>
    </w:p>
    <w:p>
      <w:pPr>
        <w:pStyle w:val="SourceNote"/>
      </w:pPr>
      <w:r>
        <w:rPr>
          <w:b/>
        </w:rPr>
        <w:t>Available abstract (not full text):</w:t>
      </w:r>
      <w:r>
        <w:t xml:space="preserve"> Objective: The purpose of this study is to analyze specific measures related to the construction of living labs for experts for the “AI-Robot-Based Digital Twin Platform” project in the hospital and present practical grounds for the construction of living labs through this. Methods: This study selected seven experts with experience related to living labs and care robots at home and abroad and conducted focus group interviews. The research was conducted in six stages: expert selection, preliminary preparation, interview, transcription, analysis, and result derivation, and the core subjects were derived through open coding, axial coding, and selective coding using Kryger (1998)'s four-stage analysis process. Results: As a result of the analysis, five key elements were identified to build a living lab in the hospital. First, space and environmental design that reflects the specificity of medical institutions such as infection management, patient safety, hospital room structure, and mobility of equipment are needed. Second, it is important to actively participate not only in management but also in working-level officials such as nurses and caregivers and to cooperate with stakeholders through feedback sharing. Third, data management and security are essential, such as pseudonymizing sensitive medical data, limiting access rights, and establishing a storage system in the hospital. F</w:t>
      </w:r>
    </w:p>
    <w:p>
      <w:pPr/>
      <w:r>
        <w:rPr>
          <w:b/>
        </w:rPr>
        <w:t>POSSIBLE 2024:</w:t>
      </w:r>
      <w:r>
        <w:t xml:space="preserve"> Experience in applying large language models to analyse sociological data obtained as a result of interviews on students’ perception of entrepreneurial activity — https://doi.org/10.26425/2658-347x-2024-7-3-4-14</w:t>
      </w:r>
    </w:p>
    <w:p>
      <w:pPr/>
      <w:r>
        <w:rPr>
          <w:b/>
        </w:rPr>
        <w:t>Shared claim-specific concepts:</w:t>
      </w:r>
      <w:r>
        <w:t xml:space="preserve"> data, interviews, construction; EU scope not established. This is a provisional connection, not an outcome finding.</w:t>
      </w:r>
    </w:p>
    <w:p>
      <w:pPr>
        <w:pStyle w:val="SourceNote"/>
      </w:pPr>
      <w:r>
        <w:rPr>
          <w:b/>
        </w:rPr>
        <w:t>Available abstract (not full text):</w:t>
      </w:r>
      <w:r>
        <w:t xml:space="preserve"> Modern society is experiencing a digital transformation of various spheres associated with the development of artificial intelligence and big data. The introduction of large language models (hereinafter referred to as LLM) into scientific research opens new opportunities, but also raises a number of questions, which makes it relevant to study the peculiarities of their application for qualitative data analysis in sociology. The purpose of this article is to explore how LLM can influence the methodology and practice of sociological research, and to identify the advantages and disadvantages of their application. The authors rely on the use of the Calude-3 LLM to qualitatively analyse empirical data from a sociological study of students’ perception of ­entrepreneurship. The possibilities of LLM in the analysis of qualitative data are revealed: analysis of sentiment, construction of logical conclusions, classification, clustering, and formation of typologies. The advantages of using LLM are shown: increased data processing speed, saving time and resources. The application of LLM becomes a tool to optimise the research process in sociology, allowing to deepen the analysis of qualitative data, but it also has a number of limitations: social and political bias, difficulties with hallucinations. It is necessary to increase the transparency of models, improve their interpretability and </w:t>
      </w:r>
    </w:p>
    <w:p>
      <w:pPr/>
      <w:r>
        <w:rPr>
          <w:b/>
        </w:rPr>
        <w:t>POSSIBLE 2024:</w:t>
      </w:r>
      <w:r>
        <w:t xml:space="preserve"> DELAY RED FLAG CONSTRUCTION COMPANY: CONTROL ANALYSIS WITH FOUR LEVER OF CONTROL — https://doi.org/10.37641/riset.v6i2.2118</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Despite extensive research on construction delays, this persistent issue continues to challenge the global construction industry. This case study aims to enhance the theoretical and practical understanding of management control systems (MCS) in construction firms by identifying the primary causes of project delays and examining the MCS components involved. A qualitative case study was conducted at a national private construction company (Jakons) to identify delay factors and propose solutions by linking them to MCS. The study focused on two Jakons projects that experienced delays, with primary data collected through interviews with five key informants directly engaged in MCS for the projects. Analysis of the interviews revealed common delay causes related to the project owner, consultants, labor, and materials. These causes were then connected to MCS practices and assessed using the four Levers of Control (LoC) framework, including Belief, Boundary, Diagnostic, and Interactive control systems. The study identified areas for improvement in MCS related to communication management, coordination, competence, and risk management that impact schedule delays. These findings provide valuable guidance for construction practitioners in planning and managing projects and offer insights to reassess MCS strategies to mitigate delays and achieve timely project completion.</w:t>
      </w:r>
    </w:p>
    <w:p>
      <w:pPr/>
      <w:r>
        <w:rPr>
          <w:b/>
        </w:rPr>
        <w:t>POSSIBLE 2022:</w:t>
      </w:r>
      <w:r>
        <w:t xml:space="preserve"> Analysis of the Drivers of Highway Construction Companies Adopting Smart Construction Technology — https://doi.org/10.3390/su15010703</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In this study, we aimed to identify the influencing factors that drive highway construction companies to adopt smart construction technologies. Using expert interviews and expert scoring, we collected interview data from 25 experts in the field and we proposed the TOSE framework based on the TOE framework, identifying four dimensions and fourteen influencing factors. We analyzed the results using the Fuzzy DEMATEL-ISM method, and we then summarized the findings according to the evaluation criteria to determine the validity of the fourteen hypotheses and the extent to which they drive highway construction companies to adopt smart construction technologies. The findings of this paper are of high value to decision makers and participants in highway construction companies, as well as to other companies in the construction industry, in their decision to adopt smart construction technologies.</w:t>
      </w:r>
    </w:p>
    <w:p>
      <w:pPr/>
      <w:r>
        <w:rPr>
          <w:b/>
        </w:rPr>
        <w:t>POSSIBLE 2022:</w:t>
      </w:r>
      <w:r>
        <w:t xml:space="preserve"> Construction Path of Smart City Under Mobile Big Data — https://doi.org/10.1109/icerect56837.2022.10060717</w:t>
      </w:r>
    </w:p>
    <w:p>
      <w:pPr/>
      <w:r>
        <w:rPr>
          <w:b/>
        </w:rPr>
        <w:t>Shared claim-specific concepts:</w:t>
      </w:r>
      <w:r>
        <w:t xml:space="preserve"> data, construction, four; EU scope not established. This is a provisional connection, not an outcome finding.</w:t>
      </w:r>
    </w:p>
    <w:p>
      <w:pPr>
        <w:pStyle w:val="SourceNote"/>
      </w:pPr>
      <w:r>
        <w:rPr>
          <w:b/>
        </w:rPr>
        <w:t>Available abstract (not full text):</w:t>
      </w:r>
      <w:r>
        <w:t xml:space="preserve"> Establishing a new model of smart city is one of the significant work of urban development and construction, and the built of the smart city is inseparable with the support of big data technology. Through literature reading and interview method, this paper studies the smart city construction in Wuhan with the support of mobile big data technology, analyzes some current situation of Wuhan smart city construction, discusses the experience and shortcomings of smart construction under mobile big data, and analyzes four aspects about system, technology, management and personnel, then innovative construction methods are proposed. In the conclusion, firstly strengthen the overall integration of smart city construction, secondly broaden the channels and ways for citizens to participate, thirdly strengthen the construction of information security, lastly strengthen the construction of relevant systems. This paper suggests jointly promoting the development the new smart city of new technologies under the mobile big data, further promoting the realization of the harmonious society.</w:t>
      </w:r>
    </w:p>
    <w:p>
      <w:pPr/>
      <w:r>
        <w:rPr>
          <w:b/>
        </w:rPr>
        <w:t>POSSIBLE 2022:</w:t>
      </w:r>
      <w:r>
        <w:t xml:space="preserve"> Factoring construction and demolition waste in the Zambian construction industry — https://doi.org/10.30574/gjeta.2022.11.2.0089</w:t>
      </w:r>
    </w:p>
    <w:p>
      <w:pPr/>
      <w:r>
        <w:rPr>
          <w:b/>
        </w:rPr>
        <w:t>Shared claim-specific concepts:</w:t>
      </w:r>
      <w:r>
        <w:t xml:space="preserve"> data, interviews, construction, four; EU scope not established. This is a provisional connection, not an outcome finding.</w:t>
      </w:r>
    </w:p>
    <w:p>
      <w:pPr>
        <w:pStyle w:val="SourceNote"/>
      </w:pPr>
      <w:r>
        <w:rPr>
          <w:b/>
        </w:rPr>
        <w:t>Available abstract (not full text):</w:t>
      </w:r>
      <w:r>
        <w:t xml:space="preserve"> The Zambian Construction Industry (ZCI) is one of the fastest growing sectors in Zambia arising from increased infrastructure development. The ZCI, like elsewhere, is composed of many players including designers, contractors, regulators, manufacturers and suppliers of construction materials. The country has seen an upsurge in Construction and Demolition Waste (CDW) generation due to increased construction activities. However, opportunities for utilizing CDW for sustainable construction and management have been minimal. Most research in developing countries has focused on Municipal Waste Management (MWM) rather CDW. In Zambia, CDW is a challenge in the absence of legislation, guidelines and regulation. In the developed countries, guidelines, legislation and regulation, exist. Sustainable utilization of CDW in Zambia is limited due to inadequate policy guidelines and legislation. The research aimed at estimating the levels of CDW waste generation and utilization, and proposing a framework for sustainable utilization and management of CDW. The research required both qualitative and quantitative data. Primary data was collected through questionnaires, interviews and site visits whilst secondary data was obtained through literature review. The research, conducted in four provinces of Zambia, established that CDW generation rates were mainly in the 1-10% levels and utilization was lo</w:t>
      </w:r>
    </w:p>
    <w:p>
      <w:pPr/>
      <w:r>
        <w:rPr>
          <w:b/>
        </w:rPr>
        <w:t>POSSIBLE 2022:</w:t>
      </w:r>
      <w:r>
        <w:t xml:space="preserve"> Four Themes About Construction of Histograms — https://doi.org/10.52041/iase.icots11.t14i3</w:t>
      </w:r>
    </w:p>
    <w:p>
      <w:pPr/>
      <w:r>
        <w:rPr>
          <w:b/>
        </w:rPr>
        <w:t>Shared claim-specific concepts:</w:t>
      </w:r>
      <w:r>
        <w:t xml:space="preserve"> data, construction, four; EU scope not established. This is a provisional connection, not an outcome finding.</w:t>
      </w:r>
    </w:p>
    <w:p>
      <w:pPr>
        <w:pStyle w:val="SourceNote"/>
      </w:pPr>
      <w:r>
        <w:rPr>
          <w:b/>
        </w:rPr>
        <w:t>Available abstract (not full text):</w:t>
      </w:r>
      <w:r>
        <w:t xml:space="preserve"> This article reports findings from a multi-year mixed-method study that explored the challenges students encountered while answering fundamental histogram questions. In the first stage in 2017, an exploratory study was conducted using think-aloud protocols. In the second stage in 2019, an online survey was developed to confirm the preliminary themes. Four themes were identified. The themes are as follows: (a) identify the correct type of graph to explore the center and variability of one quantitative variable; (b) realize data has its own expressed shape; (c) lose concrete identifiers; and (d) create bins and count individual values. These themes will add to the current knowledge of students' difficulty with interpreting and describing histograms. This knowledge can help teachers prepare activities to promote understanding of histograms.</w:t>
      </w:r>
    </w:p>
    <w:p>
      <w:pPr>
        <w:pStyle w:val="Heading2"/>
      </w:pPr>
      <w:r>
        <w:t>822. Consistent economic cross-sectoral climate change impact scenario analysis: Method and application to Austria</w:t>
      </w:r>
    </w:p>
    <w:p>
      <w:pPr>
        <w:pStyle w:val="SourceNote"/>
      </w:pPr>
      <w:r>
        <w:rPr>
          <w:b/>
        </w:rPr>
        <w:t>Original source (2016):</w:t>
      </w:r>
      <w:r>
        <w:t xml:space="preserve"> https://doi.org/10.1016/j.cliser.2016.02.003</w:t>
      </w:r>
    </w:p>
    <w:p>
      <w:pPr/>
      <w:r>
        <w:t>Original wording (abstract; indexed_source_text_not_full_document_verified): Thus, we develop here an approach which applies climate and socioeconomic scenario analysis, harmonized economic costing, and sector explicit bandwidth analysis in a coupled framework of eleven (bio)physical impact assessment models and a uniform multi-sectoral computable general equilibrium model.</w:t>
      </w:r>
    </w:p>
    <w:p>
      <w:pPr/>
      <w:r>
        <w:rPr>
          <w:b/>
        </w:rPr>
        <w:t>POSSIBLE 2024:</w:t>
      </w:r>
      <w:r>
        <w:t xml:space="preserve"> Climate resilience of European wine regions — https://doi.org/10.1038/s41467-024-50549-w</w:t>
      </w:r>
    </w:p>
    <w:p>
      <w:pPr/>
      <w:r>
        <w:rPr>
          <w:b/>
        </w:rPr>
        <w:t>Shared claim-specific concepts:</w:t>
      </w:r>
      <w:r>
        <w:t xml:space="preserve"> thus, here, climate, socioeconomic, sector, assessment; EU scope visible. This is a provisional connection, not an outcome finding.</w:t>
      </w:r>
    </w:p>
    <w:p>
      <w:pPr>
        <w:pStyle w:val="SourceNote"/>
      </w:pPr>
      <w:r>
        <w:rPr>
          <w:b/>
        </w:rPr>
        <w:t>Available abstract (not full text):</w:t>
      </w:r>
      <w:r>
        <w:t xml:space="preserve"> Over centuries, European vintners have developed a profound knowledge about grapes, environment, and techniques that yield the most distinguishable wines. In many regions, this knowledge is reflected in the system of wine geographical indications (GI), but climate change is challenging this historical union. Here, we present a climate change vulnerability assessment of 1085 wine GIs across Europe and propose climate-resilient development pathways using an ensemble of biophysical and socioeconomic indicators. Results indicate that wine regions in Southern Europe are among the most vulnerable, with high levels also found in Eastern Europe. Vulnerability is influenced by the rigidity of the GI system, which restricts grape variety diversity and thus contributes to an increased sensitivity to climate change. Contextual deficiencies, such as limited socioeconomic resources, may further contribute to increased vulnerability. Building a climate-resilient wine sector will require rethinking the GI system by allowing innovation to compensate for the negative effects of climate change.</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climate, coupled;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In temperate Europe, fire is already here: The case of The Netherlands — https://doi.org/10.1007/s13280-023-01960-y</w:t>
      </w:r>
    </w:p>
    <w:p>
      <w:pPr/>
      <w:r>
        <w:rPr>
          <w:b/>
        </w:rPr>
        <w:t>Shared claim-specific concepts:</w:t>
      </w:r>
      <w:r>
        <w:t xml:space="preserve"> here, climate, framework; EU scope visible. This is a provisional connection, not an outcome finding.</w:t>
      </w:r>
    </w:p>
    <w:p>
      <w:pPr>
        <w:pStyle w:val="SourceNote"/>
      </w:pPr>
      <w:r>
        <w:rPr>
          <w:b/>
        </w:rPr>
        <w:t>Available abstract (not full text):</w:t>
      </w:r>
      <w:r>
        <w:t xml:space="preserve"> Abstract Landscape fires are usually not associated with temperate Europe, yet not all temperate countries record statistics indicating that actual risks remain unknown. Here we introduce new wildfire statistics for The Netherlands, and summarize significant events and fatalities. The period 2017–2022 saw 611 wildfires and 405 ha burned per year, which Copernicus’ European Forest Fire Information System satellite data vastly underestimate. Fires burned more heathland than forest, were small (mean fire size 1.5 ha), were caused by people, and often burned simultaneously, in Spring and in Summer drought. Suppression, restoration and traffic delays cost 3 M€ year−1. Dozens of significant events illustrate fire has never been away and has major societal impact amidst grave concerns for firefighter safety. Since 1833, 31 fatalities were reported. A legal framework is needed to ensure continuity of recordkeeping, as the core foundation of integrated fire management, to create a baseline for climate change, and to fulfill international reporting requirements.</w:t>
      </w:r>
    </w:p>
    <w:p>
      <w:pPr/>
      <w:r>
        <w:rPr>
          <w:b/>
        </w:rPr>
        <w:t>POSSIBLE 2023:</w:t>
      </w:r>
      <w:r>
        <w:t xml:space="preserve"> The first map of crop sequence types in Europe over 2012–2018 — https://doi.org/10.5194/essd-15-5651-2023</w:t>
      </w:r>
    </w:p>
    <w:p>
      <w:pPr/>
      <w:r>
        <w:rPr>
          <w:b/>
        </w:rPr>
        <w:t>Shared claim-specific concepts:</w:t>
      </w:r>
      <w:r>
        <w:t xml:space="preserve"> thus, here, approach; EU scope visible. This is a provisional connection, not an outcome finding.</w:t>
      </w:r>
    </w:p>
    <w:p>
      <w:pPr>
        <w:pStyle w:val="SourceNote"/>
      </w:pPr>
      <w:r>
        <w:rPr>
          <w:b/>
        </w:rPr>
        <w:t>Available abstract (not full text):</w:t>
      </w:r>
      <w:r>
        <w:t xml:space="preserve"> Abstract. Crop diversification is considered a key element of agroecological transition, whereas current dominant cropping systems are known to rely on only a few crop species – like cereals in Europe. To assess the benefits of crop diversification at a large scale, an accurate description of current crop sequences is required as a baseline. However, such a description is lacking at the scale of Europe. Here, we developed the first map of dominant crop sequences in Europe for the period 2012–2018. We used the Land Use Cover Area frame statistical Survey (LUCAS) dataset that provides temporally incomplete (2012, 2015 and 2018) land cover information from a stable grid of points covering Europe. Eight crop sequence types were identified using hierarchical clustering implemented on LUCAS data and mapped over Europe. We show, in France, that the relative importance of these eight crop sequence types (as estimated from LUCAS data) was highly consistent with those derived from an almost spatially exhaustive temporally complete national dataset (the French Land Parcel Identification System) for the same period, thus validating the method and typology for this country. Land use (i.e. crop production area) derived from our map of dominant crop sequences was also highly consistent with land use reported by official statistics at both national and European levels, validating the approach </w:t>
      </w:r>
    </w:p>
    <w:p>
      <w:pPr/>
      <w:r>
        <w:rPr>
          <w:b/>
        </w:rPr>
        <w:t>POSSIBLE 2023:</w:t>
      </w:r>
      <w:r>
        <w:t xml:space="preserve"> The Future of HSR Program Evaluation: A European Perspective — https://doi.org/10.1093/eurpub/ckad160.052</w:t>
      </w:r>
    </w:p>
    <w:p>
      <w:pPr/>
      <w:r>
        <w:rPr>
          <w:b/>
        </w:rPr>
        <w:t>Shared claim-specific concepts:</w:t>
      </w:r>
      <w:r>
        <w:t xml:space="preserve"> thus, here, approach, framework; EU scope visible. This is a provisional connection, not an outcome finding.</w:t>
      </w:r>
    </w:p>
    <w:p>
      <w:pPr>
        <w:pStyle w:val="SourceNote"/>
      </w:pPr>
      <w:r>
        <w:rPr>
          <w:b/>
        </w:rPr>
        <w:t>Available abstract (not full text):</w:t>
      </w:r>
      <w:r>
        <w:t xml:space="preserve"> Abstract There is a long tradition of program evaluation in public health, due to the influence of medical approaches and the development of evidence-based medicine. Health services research have thus provided substantial evidence and built itself partially on the evaluation of organizational innovations over time in various international healthcare settings. What is new here? What is the future of HSR from an evaluation perspective? Since the turn of the century, two main shifts in the resources and methods available to public health researchers could provide a significant leap for HSR research in Europe, and in France especially. First, more data are being produced and made available to researchers. Most healthcare systems in Europe have implemented DRGs and for doing so, information systems have been developed incidentally. This led to the routine production of data initially used for payment schemes, that are now increasingly being used for research. Although this is similar to what happened in the US, the main difference with European healthcare systems lies in the generalized approach of the welfare system to the whole population. Second, evaluation methods recently evolved towards the framework of what is known as “realist evaluation” based on the causal analysis of programs or public policies while incorporating contextual effects and a theoretical perspective to explai</w:t>
      </w:r>
    </w:p>
    <w:p>
      <w:pPr/>
      <w:r>
        <w:rPr>
          <w:b/>
        </w:rPr>
        <w:t>POSSIBLE 2022:</w:t>
      </w:r>
      <w:r>
        <w:t xml:space="preserve"> Developing context-specific frameworks for integrated sustainability assessment of agricultural intensity change: An application for Europe — https://doi.org/10.1016/j.envsci.2022.08.014</w:t>
      </w:r>
    </w:p>
    <w:p>
      <w:pPr/>
      <w:r>
        <w:rPr>
          <w:b/>
        </w:rPr>
        <w:t>Shared claim-specific concepts:</w:t>
      </w:r>
      <w:r>
        <w:t xml:space="preserve"> thus, approach, framework, assessment, general; EU scope visible. This is a provisional connection, not an outcome finding.</w:t>
      </w:r>
    </w:p>
    <w:p>
      <w:pPr>
        <w:pStyle w:val="SourceNote"/>
      </w:pPr>
      <w:r>
        <w:rPr>
          <w:b/>
        </w:rPr>
        <w:t>Available abstract (not full text):</w:t>
      </w:r>
      <w:r>
        <w:t xml:space="preserve"> Agriculture plays a central role in achieving most Sustainable Development Goals (SDGs). Sustainable intensification (SI) of agriculture has been proposed as a promising concept for safeguarding global food security, while simultaneously protecting the environment and promoting good quality of life. However, SI often leads to context-specific sustainability trade-offs. Operationalising SI thus needs to be supported by transparent sustainability assessments. In this article, we propose a general systematic approach to developing context-specific frameworks for integrated sustainability assessment of agricultural intensity change. Firstly, we specify a comprehensive system representation for analysing how changes in agricultural intensity lead to a multitude of sustainability outcomes affecting different societal groups across geographical scales. We then introduce a procedure for identifying the attributes that are relevant for assessment within particular contexts, and respective indicator metrics. Finally, we illustrate the proposed approach by developing an assessment framework for evaluating a wide range of intensification pathways in Europe. The application of the approach revealed processes and effects that are relevant for the European context but are rarely considered in SI assessments. These include farmers’ health, workers’ living conditions, cultural heritage and sens</w:t>
      </w:r>
    </w:p>
    <w:p>
      <w:pPr/>
      <w:r>
        <w:rPr>
          <w:b/>
        </w:rPr>
        <w:t>POSSIBLE 2022:</w:t>
      </w:r>
      <w:r>
        <w:t xml:space="preserve"> Forest-based climate change mitigation and adaptation in Europe — https://doi.org/10.36333/fs14</w:t>
      </w:r>
    </w:p>
    <w:p>
      <w:pPr/>
      <w:r>
        <w:rPr>
          <w:b/>
        </w:rPr>
        <w:t>Shared claim-specific concepts:</w:t>
      </w:r>
      <w:r>
        <w:t xml:space="preserve"> climate, sector;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r>
        <w:rPr>
          <w:b/>
        </w:rPr>
        <w:t>POSSIBLE 2022:</w:t>
      </w:r>
      <w:r>
        <w:t xml:space="preserve"> Central European forest–steppe: An ecosystem shaped by climate, topography and disturbances — https://doi.org/10.1111/jbi.14364</w:t>
      </w:r>
    </w:p>
    <w:p>
      <w:pPr/>
      <w:r>
        <w:rPr>
          <w:b/>
        </w:rPr>
        <w:t>Shared claim-specific concepts:</w:t>
      </w:r>
      <w:r>
        <w:t xml:space="preserve"> develop, here, climate, framework, general; EU scope visible. This is a provisional connection, not an outcome finding.</w:t>
      </w:r>
    </w:p>
    <w:p>
      <w:pPr>
        <w:pStyle w:val="SourceNote"/>
      </w:pPr>
      <w:r>
        <w:rPr>
          <w:b/>
        </w:rPr>
        <w:t>Available abstract (not full text):</w:t>
      </w:r>
      <w:r>
        <w:t xml:space="preserve"> Abstract The occurrence and origin of dry grasslands and their rich biota in the moderately humid Central‐European climate have fascinated scientists for over a century. Modern palaeoecological and phylogeographical data support earlier hypotheses that these grasslands are late Pleistocene relicts and can therefore be considered part of the Eurasian forest–steppe biome. However, it is still unclear which factors fostered the maintenance of steppe patches in Central Europe throughout the Holocene. Here, we provide an overview of the main hypotheses, which stress, respectively, the effects of climate, edaphic conditions and disturbances. We then develop a general conceptual framework on how these three factors interact to form forest–steppe mosaics. We thereby emphasize the role of topography as a crucial control on forest–steppe patterns at the landscape scale. Topography is related to several mechanistic drivers that influence vegetation processes, such as near‐surface microclimate and soil formation. Consequently, topographic variation allows both forest and steppe patches to occur beyond their macroclimatic niche, favouring the development of forest–steppe mosaics. To illustrate our framework, we demonstrate the interactive effect of macroclimate and topography on the occurrence of steppe patches at 108 selected Central European forest–steppe sites. Although we developed our </w:t>
      </w:r>
    </w:p>
    <w:p>
      <w:pPr/>
      <w:r>
        <w:rPr>
          <w:b/>
        </w:rPr>
        <w:t>POSSIBLE 2022:</w:t>
      </w:r>
      <w:r>
        <w:t xml:space="preserve"> The 2018–2020 Multi‐Year Drought Sets a New Benchmark in Europe — https://doi.org/10.1029/2021ef002394</w:t>
      </w:r>
    </w:p>
    <w:p>
      <w:pPr/>
      <w:r>
        <w:rPr>
          <w:b/>
        </w:rPr>
        <w:t>Shared claim-specific concepts:</w:t>
      </w:r>
      <w:r>
        <w:t xml:space="preserve"> thus, here, climate, socioeconomic, coupled, assessment;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2021:</w:t>
      </w:r>
      <w:r>
        <w:t xml:space="preserve"> Gastrointestinal cancers in China, the USA, and Europe — https://doi.org/10.1093/gastro/goab010</w:t>
      </w:r>
    </w:p>
    <w:p>
      <w:pPr/>
      <w:r>
        <w:rPr>
          <w:b/>
        </w:rPr>
        <w:t>Shared claim-specific concepts:</w:t>
      </w:r>
      <w:r>
        <w:t xml:space="preserve"> thus, here; EU scope visible. This is a provisional connection, not an outcome finding.</w:t>
      </w:r>
    </w:p>
    <w:p>
      <w:pPr>
        <w:pStyle w:val="SourceNote"/>
      </w:pPr>
      <w:r>
        <w:rPr>
          <w:b/>
        </w:rPr>
        <w:t>Available abstract (not full text):</w:t>
      </w:r>
      <w:r>
        <w:t xml:space="preserve"> Gastrointestinal (GI) cancers, including colorectal cancer, gastric cancer, and esophageal cancer, are a major medical and economic burden worldwide and have the largest number of new cancer cases and cancer deaths each year. Esophageal and gastric cancers are most common in developing countries, while colorectal cancer forms the major GI malignancy in Western countries. However, a great shift in the predominant GI-cancer type is happening in countries under economically transitioning and, at the same time, esophageal and gastric cancers are reigniting in Western countries due to the higher exposure to certain risk factors. The development of all GI cancers is highly associated with lifestyle habits and all can be detected by identified precancerous diseases. Thus, they are all suitable for cancer screening. Here, we review the epidemiological status of GI cancers in China, the USA, and Europe; the major risk factors and their distribution in these regions; and the current screening strategies.</w:t>
      </w:r>
    </w:p>
    <w:p>
      <w:pPr/>
      <w:r>
        <w:rPr>
          <w:b/>
        </w:rPr>
        <w:t>POSSIBLE 2021:</w:t>
      </w:r>
      <w:r>
        <w:t xml:space="preserve"> Current and projected regional economic impacts of heatwaves in Europe — https://doi.org/10.1038/s41467-021-26050-z</w:t>
      </w:r>
    </w:p>
    <w:p>
      <w:pPr/>
      <w:r>
        <w:rPr>
          <w:b/>
        </w:rPr>
        <w:t>Shared claim-specific concepts:</w:t>
      </w:r>
      <w:r>
        <w:t xml:space="preserve"> thus, here;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823. Decarbonizing the EU energy system by 2050: an important role for BECCS</w:t>
      </w:r>
    </w:p>
    <w:p>
      <w:pPr>
        <w:pStyle w:val="SourceNote"/>
      </w:pPr>
      <w:r>
        <w:rPr>
          <w:b/>
        </w:rPr>
        <w:t>Original source (2016):</w:t>
      </w:r>
      <w:r>
        <w:t xml:space="preserve"> https://doi.org/10.1080/14693062.2016.1242058</w:t>
      </w:r>
    </w:p>
    <w:p>
      <w:pPr/>
      <w:r>
        <w:t>Original wording (abstract; indexed_source_text_not_full_document_verified): The key conclusions are as follows: (a) the achievement of negative emissions in the power sector via the use of biomass with carbon capture and storage (BECCS) allows for much more limited decarbonization in the buildings and transport sectors; (b) CCS is also extensively used for decarbonization of the industrial sector; (c) because of the absence in the model of options for transport mode-switching and building fabric efficiency improvements, the transport and buildings sectors achieve relatively little abatement by 2050 – the inclusion of these options could considerably reduce the need for BECCS and the cost of abatement; (d) decarbonization of the EU’s energy system by 2050 would increase energy system costs by 14% compared to a Reference scenario with no CO2 constraints; and (e) average EU-wide marginal CO2 abatement costs in Policy Success reach $300/tCO2 in 2050.</w:t>
      </w:r>
    </w:p>
    <w:p>
      <w:pPr/>
      <w:r>
        <w:rPr>
          <w:b/>
        </w:rPr>
        <w:t>POSSIBLE 2026:</w:t>
      </w:r>
      <w:r>
        <w:t xml:space="preserve"> Guidance on negative emissions for cities — https://doi.org/10.2760/5398979</w:t>
      </w:r>
    </w:p>
    <w:p>
      <w:pPr/>
      <w:r>
        <w:rPr>
          <w:b/>
        </w:rPr>
        <w:t>Shared claim-specific concepts:</w:t>
      </w:r>
      <w:r>
        <w:t xml:space="preserve"> key, negative, emissions, use, carbon; EU scope not established. This is a provisional connection, not an outcome finding.</w:t>
      </w:r>
    </w:p>
    <w:p>
      <w:pPr>
        <w:pStyle w:val="SourceNote"/>
      </w:pPr>
      <w:r>
        <w:rPr>
          <w:b/>
        </w:rPr>
        <w:t>Available abstract (not full text):</w:t>
      </w:r>
      <w:r>
        <w:t xml:space="preserve"> This “Guidance on negative emissions for cities” primarily addresses cities involved in the 100 Climate-Neutral and Smart Cities Mission but can be used as a conceptual and practical reference by any city targeting net-zero emissions. The main objectives are to offer precise directions for negative emissions strategies and accounting, distil key principles and create a conceptual framework around the use of emissions compensation mechanisms (local carbon removals and carbon credits). The focus is on guaranteeing high climate and environmental integrity, managed through a transparent and ethical process, aligned with international best practices. Key recommendations include ensuring clarity in target boundary definitions, reporting separately each term of the net emissions equation (gross emissions, in-boundary removals, sold and retired credits), and avoiding double counting or claiming. This guidance underscores the importance of delivering a compelling set of co-benefits and diversifying compensation strategies while providing practical advice for cities to develop time- and cost-effective residual emissions strategies. It does not shift the attention away from the key objective of a climate neutrality target: priority is always on emissions reduction at source. A “Summary for Decision Makers” is published alongside this guidance to provide a concise and actionable roadmap fo</w:t>
      </w:r>
    </w:p>
    <w:p>
      <w:pPr/>
      <w:r>
        <w:rPr>
          <w:b/>
        </w:rPr>
        <w:t>POSSIBLE 2025:</w:t>
      </w:r>
      <w:r>
        <w:t xml:space="preserve"> Cancer burden in Europe: a systematic analysis of the GLOBOCAN database (2022) — https://doi.org/10.1186/s12885-025-13862-1</w:t>
      </w:r>
    </w:p>
    <w:p>
      <w:pPr/>
      <w:r>
        <w:rPr>
          <w:b/>
        </w:rPr>
        <w:t>Shared claim-specific concepts:</w:t>
      </w:r>
      <w:r>
        <w:t xml:space="preserve"> key, conclusions, limited, also; EU scope visible. This is a provisional connection, not an outcome finding.</w:t>
      </w:r>
    </w:p>
    <w:p>
      <w:pPr>
        <w:pStyle w:val="SourceNote"/>
      </w:pPr>
      <w:r>
        <w:rPr>
          <w:b/>
        </w:rPr>
        <w:t>Available abstract (not full text):</w:t>
      </w:r>
      <w:r>
        <w:t xml:space="preserve"> BACKGROUND: Cancer remains a significant public health challenge in Europe, with substantial regional disparities in incidence, mortality, and access to healthcare. This study analyses cancer patterns across Eastern, Northern, Southern, and Western Europe in 2022, highlighting key public health implications and gaps in prevention and treatment. METHODS: Using data from GLOBOCAN 2022, this study assessed total new cancer cases, age-standardized incidence and mortality rates (ASRs) per 100,000, and cumulative cancer risk at age 75. The top three cancers by sex and region were also analysed to identify trends and disparities. RESULTS: In 2022, Europe recorded 4,471,422 new cancer cases (ASR 280 per 100,000), with a cumulative risk of 27.9% by age 75. Males accounted for 2,359,303 cases (ASR 319.6, cumulative risk 31.9%), while females had 2,112,119 cases (ASR 253.4, cumulative risk 24.7%). Northern and Western Europe had the highest incidence rates, with Denmark leading at 374.7 per 100,000 (cumulative risk 34.9%), likely due to advanced screening and healthcare. Conversely, Eastern Europe had the highest mortality, with 1,091,871 deaths (ASR 135.3), reflecting late diagnoses and limited access of treatment. Hungary exhibited the highest mortality rate (ASR 143.7, cumulative risk 15.8%), followed by Poland (ASR 133.1). Prostate and breast cancers were the most common in males and </w:t>
      </w:r>
    </w:p>
    <w:p>
      <w:pPr/>
      <w:r>
        <w:rPr>
          <w:b/>
        </w:rPr>
        <w:t>POSSIBLE 2025:</w:t>
      </w:r>
      <w:r>
        <w:t xml:space="preserve"> Conclusions on Land Policies in Europe — https://doi.org/10.1007/978-3-031-83725-8_17</w:t>
      </w:r>
    </w:p>
    <w:p>
      <w:pPr/>
      <w:r>
        <w:rPr>
          <w:b/>
        </w:rPr>
        <w:t>Shared claim-specific concepts:</w:t>
      </w:r>
      <w:r>
        <w:t xml:space="preserve"> key, conclusions, sector, use; EU scope visible. This is a provisional connection, not an outcome finding.</w:t>
      </w:r>
    </w:p>
    <w:p>
      <w:pPr>
        <w:pStyle w:val="SourceNote"/>
      </w:pPr>
      <w:r>
        <w:rPr>
          <w:b/>
        </w:rPr>
        <w:t>Available abstract (not full text):</w:t>
      </w:r>
      <w:r>
        <w:t xml:space="preserve"> Abstract This concluding chapter presents four main conclusions based on the 12 cases and the reflections on land policy in European countries (AT, BE, CH, CZ, DE, ENG, FI, FR, NL, NO, PL, SE): Although land policy closely relates to spatial planning, it differs in two dimensions: (1) in its allocative and distributive perspective and (2) at strategic and operational levels of public policy. Based on this distinction four elements of land policy emerge: land use policy, land use planning, land tenure policy, and land management. Land policies comprise intentional decisions or activities led by public actors, sometimes with private sector cooperation. Land policy strategies stem from different interpretations of landowners’ roles, which are often more decisive than specific instruments. Public actors conceptualise the relationship between property rights and land policy: To one end, landowners are key stakeholders; at the other end, they are partners in spatial projects. The chapter concludes that the international comparative analysis can deepen the understanding of land-use planning, property rights, and spatial development.</w:t>
      </w:r>
    </w:p>
    <w:p>
      <w:pPr/>
      <w:r>
        <w:rPr>
          <w:b/>
        </w:rPr>
        <w:t>POSSIBLE 2025:</w:t>
      </w:r>
      <w:r>
        <w:t xml:space="preserve"> Key elements of follow-up care after acute pulmonary embolism focusing on long-term sequelae: a Delphi study among European experts — https://doi.org/10.1093/ehjqcco/qcaf053</w:t>
      </w:r>
    </w:p>
    <w:p>
      <w:pPr/>
      <w:r>
        <w:rPr>
          <w:b/>
        </w:rPr>
        <w:t>Shared claim-specific concepts:</w:t>
      </w:r>
      <w:r>
        <w:t xml:space="preserve"> key, limited, also; EU scope visible. This is a provisional connection, not an outcome finding.</w:t>
      </w:r>
    </w:p>
    <w:p>
      <w:pPr>
        <w:pStyle w:val="SourceNote"/>
      </w:pPr>
      <w:r>
        <w:rPr>
          <w:b/>
        </w:rPr>
        <w:t>Available abstract (not full text):</w:t>
      </w:r>
      <w:r>
        <w:t xml:space="preserve"> AIMS: A considerable proportion of patients develop long-term sequelae after an acute pulmonary embolism (PE). Beyond chronic thrombo-embolic pulmonary hypertension (CTEPH), current guidelines provide limited guidance regarding a structured approach for assessment and management of these patients. This study aimed to establish a framework of multidisciplinary follow-up care of PE-survivors. METHODS AND RESULTS: A Delphi study was conducted among a multidisciplinary panel of PE specialists from across Europe to gather expert opinions, and where possible reach consensus, on key aspects of PE follow-up care. Two rounds of surveys were distributed among 45 venous thromboembolism (VTE) experts, with 39 completing both rounds. Consensus was reached that follow-up of PE survivors should address the entire spectrum of post-PE sequelae, i.e. CTEPH, chronic thromboembolic pulmonary disease, but also all other presentations of the post-PE syndrome. Routine assessment at 3 months should involve patient-reported outcome measures, including quality of life. A single, uniform protocol was preferred over locally adapted approaches. Earlier follow-up, prior to the 3-month mark, to detect post-PE sequelae was not considered necessary for most patient subgroups. Right heart catheterization to confirm CTEPH should be reserved for specialized pulmonary hypertension centres, while other diagnostic m</w:t>
      </w:r>
    </w:p>
    <w:p>
      <w:pPr/>
      <w:r>
        <w:rPr>
          <w:b/>
        </w:rPr>
        <w:t>POSSIBLE 2024:</w:t>
      </w:r>
      <w:r>
        <w:t xml:space="preserve"> Carbon farming, overestimated negative emissions and the limits to emissions trading in land-use governance: the EU carbon removal certification proposal — https://doi.org/10.1186/s12302-024-00892-y</w:t>
      </w:r>
    </w:p>
    <w:p>
      <w:pPr/>
      <w:r>
        <w:rPr>
          <w:b/>
        </w:rPr>
        <w:t>Shared claim-specific concepts:</w:t>
      </w:r>
      <w:r>
        <w:t xml:space="preserve"> key, negative, emissions, use, carbon; EU scope visible. This is a provisional connection, not an outcome finding.</w:t>
      </w:r>
    </w:p>
    <w:p>
      <w:pPr>
        <w:pStyle w:val="SourceNote"/>
      </w:pPr>
      <w:r>
        <w:rPr>
          <w:b/>
        </w:rPr>
        <w:t>Available abstract (not full text):</w:t>
      </w:r>
      <w:r>
        <w:t xml:space="preserve"> Abstract This article conducts a qualitative governance analysis of the European Commission’s 2022 proposal for a certification framework for carbon removals (CRCF). It highlights potential challenges and legal implications—with a specific focus on carbon farming. While the European Union (EU) acknowledges carbon farming as an important strategy to offset residual emissions, such carbon removal activities are prone to reversals and models often overestimate their sequestration potential. The CRCF aims to account for these issues, but the analysis shows that the proposal may, in part, undermine international climate and biodiversity goals set by the Paris Agreement and the Convention on Biological Diversity. Key concerns include its failure to consider the normative hierarchy between emission reductions and removals mandated by EU and international law, the introduction of a temporary removal crediting system, the extensive delegation of powers to the Commission, the possibility that it may incentivise shifting effects, and its lack of alignment with other EU environmental policies. Additionally, the CRCF’s failure to restrict the use of carbon credits after certification increases the risk of double claiming of removal activities—and the proposal may open the door for to future integration of carbon removals into the EU’s emission trading scheme, which should be avoided for var</w:t>
      </w:r>
    </w:p>
    <w:p>
      <w:pPr/>
      <w:r>
        <w:rPr>
          <w:b/>
        </w:rPr>
        <w:t>POSSIBLE 2023:</w:t>
      </w:r>
      <w:r>
        <w:t xml:space="preserve"> Unveiling the Carbon Footprint of Europe and Central Asia: Insights into the Impact of Key Factors on CO2 Emissions — https://doi.org/10.5281/zenodo.7669782</w:t>
      </w:r>
    </w:p>
    <w:p>
      <w:pPr/>
      <w:r>
        <w:rPr>
          <w:b/>
        </w:rPr>
        <w:t>Shared claim-specific concepts:</w:t>
      </w:r>
      <w:r>
        <w:t xml:space="preserve"> key, negative, emissions, carbon; EU scope visible. This is a provisional connection, not an outcome finding.</w:t>
      </w:r>
    </w:p>
    <w:p>
      <w:pPr>
        <w:pStyle w:val="SourceNote"/>
      </w:pPr>
      <w:r>
        <w:rPr>
          <w:b/>
        </w:rPr>
        <w:t>Available abstract (not full text):</w:t>
      </w:r>
      <w:r>
        <w:t xml:space="preserve"> This study delves into the intricate relationship between carbon dioxide (CO2) emissions and crucial variables in Europe and Central Asia from 1990-2021. By examining the impact of renewable energy, industry value added, foreign direct investment (FDI), gross domestic product (GDP) per capita, and population density on CO2 emissions using the autoregressive distributed lag (ARDL) method, the study uncovers intriguing findings. The study reveals a significant negative correlation between linear per capita income and CO2 emissions in both the short and long run. Moreover, it confirms the inverted N-shaped environmental Kuznets curve (EKC) relationship between the variables. The study further highlights the unfavorable impact of renewable energy and industry value added on CO2 emissions, pointing to the fact that their growth increases CO2 emissions. On the other hand, population density is found to be a vital factor in reducing CO2 emissions. FDI is identified to have a negative and insignificant impact on CO2 emissions, suggesting that it may not be an effective tool for reducing carbon emissions in the region. The insights from this study have significant implications for policymakers in the region to design and implement effective strategies to reduce CO2 emissions.</w:t>
      </w:r>
    </w:p>
    <w:p>
      <w:pPr/>
      <w:r>
        <w:rPr>
          <w:b/>
        </w:rPr>
        <w:t>POSSIBLE 2023:</w:t>
      </w:r>
      <w:r>
        <w:t xml:space="preserve"> Conclusion — https://doi.org/10.1017/9781009103862.010</w:t>
      </w:r>
    </w:p>
    <w:p>
      <w:pPr/>
      <w:r>
        <w:rPr>
          <w:b/>
        </w:rPr>
        <w:t>Shared claim-specific concepts:</w:t>
      </w:r>
      <w:r>
        <w:t xml:space="preserve"> key, power, also; EU scope visible. This is a provisional connection, not an outcome finding.</w:t>
      </w:r>
    </w:p>
    <w:p>
      <w:pPr>
        <w:pStyle w:val="SourceNote"/>
      </w:pPr>
      <w:r>
        <w:rPr>
          <w:b/>
        </w:rPr>
        <w:t>Available abstract (not full text):</w:t>
      </w:r>
      <w:r>
        <w:t xml:space="preserve"> The conclusion identifies the key turning points in the Court’s jurisprudence in light of the established theoretical framework and presents several key findings that further the debate on judicial politics and on the backlash. The main takeaway is that international courts may not always attempt to expand their power. On the contrary, concern for institutional survival or public image may compel them to under-utilize their power. Courts will follow forbearing or selectively forbearing policies to prevent or mitigate political pushback or backlash. They will reserve audacity or selective audacity for moments when they feel safe from political repercussions. Drawing upon my analysis of the Court over five decades, I call for historicizing the current instances of backlash against international courts and liberal institutions. At least in the context of the European Court, an important lesson is that the backlash is not unique to today’s political climate. The Court has seen different episodes of backlash and, as a result, it has forged a resilience strategy to fend off or pre-empt backlash. Such strategies can also be traced in other courts and institutions with delegated authority.</w:t>
      </w:r>
    </w:p>
    <w:p>
      <w:pPr/>
      <w:r>
        <w:rPr>
          <w:b/>
        </w:rPr>
        <w:t>POSSIBLE 2022:</w:t>
      </w:r>
      <w:r>
        <w:t xml:space="preserve"> Key factors for successful uptake of biosimilars: Europe and the US — https://doi.org/10.5639/gabij.2022.1103.018</w:t>
      </w:r>
    </w:p>
    <w:p>
      <w:pPr/>
      <w:r>
        <w:rPr>
          <w:b/>
        </w:rPr>
        <w:t>Shared claim-specific concepts:</w:t>
      </w:r>
      <w:r>
        <w:t xml:space="preserve"> key, via, also; EU scope visible. This is a provisional connection, not an outcome finding.</w:t>
      </w:r>
    </w:p>
    <w:p>
      <w:pPr>
        <w:pStyle w:val="SourceNote"/>
      </w:pPr>
      <w:r>
        <w:rPr>
          <w:b/>
        </w:rPr>
        <w:t>Available abstract (not full text):</w:t>
      </w:r>
      <w:r>
        <w:t xml:space="preserve"> Introduction: Biosimilars were first introduced in Europe in 2006 and then in the US in 2015. An online webinar on the successful uptake in Europe and the US was held to discuss measures taken for improving biosimilar uptake, and trends in uptake. Methods: The webinar was held by the Alliance for Safe Biologic Medicines (ASBM) in collaboration with Generics and Biosimilars Initiative (GaBI) on 29 June 2022. It consisted of a number of expert speaker presentations followed by a Q&amp;A with the panel and the audience also had the opportunity to ask questions online throughout the webinar. Results: Presentations discussed key elements contributing to the wide uptake of biosimilars in Europe and the US and physicians’ trust in prescribing and switching of biosimilars. Further details of the presentations were discussed during the Q&amp;A and clarifications made via the concurrent online Q&amp;A. Conclusion: The webinar enabled in-depth discussion of the current status of biosimilar adoption in Europe and the US. It was highlighted that, although the US adopted biosimilars at a later date, their uptake is starting to rival that of Europe. Aspects of forced switching policies in Canada and Australia were also discussed.</w:t>
      </w:r>
    </w:p>
    <w:p>
      <w:pPr/>
      <w:r>
        <w:rPr>
          <w:b/>
        </w:rPr>
        <w:t>POSSIBLE 2022:</w:t>
      </w:r>
      <w:r>
        <w:t xml:space="preserve"> Environmental sustainability of negative emissions technologies: A review — https://doi.org/10.1016/j.spc.2022.06.028</w:t>
      </w:r>
    </w:p>
    <w:p>
      <w:pPr/>
      <w:r>
        <w:rPr>
          <w:b/>
        </w:rPr>
        <w:t>Shared claim-specific concepts:</w:t>
      </w:r>
      <w:r>
        <w:t xml:space="preserve"> negative, emissions, use, biomass, carbon, capture; EU scope not established. This is a provisional connection, not an outcome finding.</w:t>
      </w:r>
    </w:p>
    <w:p>
      <w:pPr>
        <w:pStyle w:val="SourceNote"/>
      </w:pPr>
      <w:r>
        <w:rPr>
          <w:b/>
        </w:rPr>
        <w:t>Available abstract (not full text):</w:t>
      </w:r>
      <w:r>
        <w:t xml:space="preserve"> Negative emissions technologies (NETs) are expected to play a significant role in mitigating climate change. However, there are also concerns that a large scale deployment of NETs may cause various environmental impacts due to the use of land, water and energy resources. A number of studies have assessed the environmental performance of various NETs; however, a comprehensive review comparing a range of different NETs is not available in the literature. To address this research gap, this paper compares life cycle assessment (LCA) studies of the following options for which the data were available in the literature: bioenergy with carbon capture and storage (BECCS), biochar incorporation into soil, afforestation and reforestation, soil carbon sequestration, building with biomass, direct air carbon capture and storage (DACCS), enhanced weathering and mineral carbonation. It is evident from this review that these technologies can have net negative life cycle GHG emissions, ranging from −603 kg CO 2 eq./t CO 2 removed for building with biomass to −1173 kg CO 2 eq./t CO 2 removed for biochar incorporation into soil. However, the estimates of GHG removal potentials vary widely among the studies for each technology as well as among the NETs owing to technological differences, methodological choices and differing assumptions. For example, the net global warming potential (GWP) of biochar</w:t>
      </w:r>
    </w:p>
    <w:p>
      <w:pPr/>
      <w:r>
        <w:rPr>
          <w:b/>
        </w:rPr>
        <w:t>POSSIBLE 2022:</w:t>
      </w:r>
      <w:r>
        <w:t xml:space="preserve"> Perspective on the hydrogen economy as a pathway to reach net-zero CO 2 emissions in Europe — https://doi.org/10.1039/d1ee02118d</w:t>
      </w:r>
    </w:p>
    <w:p>
      <w:pPr/>
      <w:r>
        <w:rPr>
          <w:b/>
        </w:rPr>
        <w:t>Shared claim-specific concepts:</w:t>
      </w:r>
      <w:r>
        <w:t xml:space="preserve"> emissions; EU scope visible. This is a provisional connection, not an outcome finding.</w:t>
      </w:r>
    </w:p>
    <w:p>
      <w:pPr>
        <w:pStyle w:val="SourceNote"/>
      </w:pPr>
      <w:r>
        <w:rPr>
          <w:b/>
        </w:rPr>
        <w:t>Available abstract (not full text):</w:t>
      </w:r>
      <w:r>
        <w:t xml:space="preserve"> The envisioned role of hydrogen in the energy transition – or the concept of a hydrogen economy – has varied through the years.</w:t>
      </w:r>
    </w:p>
    <w:p>
      <w:pPr/>
      <w:r>
        <w:rPr>
          <w:b/>
        </w:rPr>
        <w:t>POSSIBLE 2021:</w:t>
      </w:r>
      <w:r>
        <w:t xml:space="preserve"> Carbon capture and biomass in industry: A techno-economic analysis and comparison of negative emission options — https://doi.org/10.1016/j.rser.2021.111028</w:t>
      </w:r>
    </w:p>
    <w:p>
      <w:pPr/>
      <w:r>
        <w:rPr>
          <w:b/>
        </w:rPr>
        <w:t>Shared claim-specific concepts:</w:t>
      </w:r>
      <w:r>
        <w:t xml:space="preserve"> negative, emissions, sector, use, biomass, carbon; EU scope not established. This is a provisional connection, not an outcome finding.</w:t>
      </w:r>
    </w:p>
    <w:p>
      <w:pPr>
        <w:pStyle w:val="SourceNote"/>
      </w:pPr>
      <w:r>
        <w:rPr>
          <w:b/>
        </w:rPr>
        <w:t>Available abstract (not full text):</w:t>
      </w:r>
      <w:r>
        <w:t xml:space="preserve"> Meeting the Paris Agreement will most likely require the combination of CO2 capture and biomass in the industrial sector, resulting in net negative emissions. CO2 capture within the industry has been extensively investigated. However, biomass options have been poorly explored, with literature alluding to technical and economic barriers. In addition, a lack of consistency among studies makes comparing the performance of CO2 capture and/or biomass use between studies and sectors difficult. These inconsistencies include differences in methodology, system boundaries, level of integration, costs, greenhouse gas intensity of feedstock and energy carriers, and capital cost estimations. Therefore, an integrated evaluation of the techno-economic performance regarding CO2 capture and biomass use was performed for five energy-intensive industrial sub-sectors. Harmonization results indicate that CO2 mitigation potentials vary for each sub-sector, resulting in reductions of 1.4–2.7 t CO2/t steel (77%–149%), 0.7 t CO2/t cement (92%), 0.2 t CO2/t crude oil (68%), 1.9 t CO2/t pulp (1663%–2548%), and 34.9 t CO2/t H2 (313%). Negative emissions can be reached in the steel, paper and H2 sectors. Novel bio-based production routes might enable net negative emissions in the cement and (petro)chemical sectors as well. All the above-mentioned potentials can be reached for 100 €/t CO2 or less. Implement</w:t>
      </w:r>
    </w:p>
    <w:p>
      <w:pPr/>
      <w:r>
        <w:rPr>
          <w:b/>
        </w:rPr>
        <w:t>POSSIBLE 2021:</w:t>
      </w:r>
      <w:r>
        <w:t xml:space="preserve"> Time-resolved emission reductions for atmospheric chemistry modelling in Europe during the COVID-19 lockdowns — https://doi.org/10.5194/acp-21-773-2021</w:t>
      </w:r>
    </w:p>
    <w:p>
      <w:pPr/>
      <w:r>
        <w:rPr>
          <w:b/>
        </w:rPr>
        <w:t>Shared claim-specific concepts:</w:t>
      </w:r>
      <w:r>
        <w:t xml:space="preserve"> emissions, power, sector, transport, sectors, also; EU scope visible. This is a provisional connection, not an outcome finding.</w:t>
      </w:r>
    </w:p>
    <w:p>
      <w:pPr>
        <w:pStyle w:val="SourceNote"/>
      </w:pPr>
      <w:r>
        <w:rPr>
          <w:b/>
        </w:rPr>
        <w:t>Available abstract (not full text):</w:t>
      </w:r>
      <w:r>
        <w:t xml:space="preserve"> Abstract. We quantify the reductions in primary emissions due to the COVID-19 lockdowns in Europe. Our estimates are provided in the form of a dataset of reduction factors varying per country and day that will allow modelling and identifying the associated impacts upon air quality. The country- and daily-resolved reduction factors are provided for each of the following source categories: energy industry (power plants), manufacturing industry, road traffic and aviation (landing and take-off cycle). We computed the reduction factors based on open access and near-real time measured activity data from a wide range of information sources. We also trained a machine learning model with meteorological data to derive weather-normalised electricity consumption reductions. The time period covered is from 21 February, when the first European localised lockdown was implemented in the region of Lombardy (Italy), until 26 April 2020. This period includes five weeks (23 March until 26 April) with the most severe and relatively unchanged restrictions upon mobility and socio-economic activities across Europe. The computed reduction factors were combined with the Copernicus Atmosphere Monitoring Service's European emission inventory using adjusted emission temporal profiles in order to derive time-resolved emission reductions per country and pollutant sector. During the most severe lockdown perio</w:t>
      </w:r>
    </w:p>
    <w:p>
      <w:pPr>
        <w:pStyle w:val="Heading2"/>
      </w:pPr>
      <w:r>
        <w:t>824. Developed Foresight for Borders Model Predicts the Amount of Borders Traffic in Finland</w:t>
      </w:r>
    </w:p>
    <w:p>
      <w:pPr>
        <w:pStyle w:val="SourceNote"/>
      </w:pPr>
      <w:r>
        <w:rPr>
          <w:b/>
        </w:rPr>
        <w:t>Original source (2016):</w:t>
      </w:r>
      <w:r>
        <w:t xml:space="preserve"> https://doi.org/10.30958/ajt.3-2-3</w:t>
      </w:r>
    </w:p>
    <w:p>
      <w:pPr/>
      <w:r>
        <w:t>Original wording (abstract; indexed_source_text_not_full_document_verified): This paper describes the factors which have an influence on travelling and presents the forecast model to Finnish-Russian land border.The number of border traffic between Finland and the Russian Federation's border stations has been an upward trend through the 2000s.A significant part of growth is due to increased travelling of the Russian Federation's citizens to the European Union.Forecasting of cross-border traffic and tourism in Finnish-Russian land border has been based on the official statistics.Laurea University of Applied Sciences carried out a study which generates information on the factors that influence on border traffic.The research study is based on qualitative methods and co-creation tools.As a finding, the key structural factors are tourist's motivations, service and infrastructure in border station, and travelling documents.Foresight for Borders model predicts the amount of border traffic which are based on the key structural factors.Foresight for Borders model will improve service at the border stations by providing information of the traffic amounts that are anticipated to cross the border during specified time periods.As a conclusion, the study can be stated to be necessary in terms of creating new approaches to border service, security and tourism studies.</w:t>
      </w:r>
    </w:p>
    <w:p>
      <w:pPr/>
      <w:r>
        <w:rPr>
          <w:b/>
        </w:rPr>
        <w:t>POSSIBLE 2025:</w:t>
      </w:r>
      <w:r>
        <w:t xml:space="preserve"> Factors Influencing the Perception of Corruption in the Countries of the European Union — https://doi.org/10.28991/esj-2025-09-03-03</w:t>
      </w:r>
    </w:p>
    <w:p>
      <w:pPr/>
      <w:r>
        <w:rPr>
          <w:b/>
        </w:rPr>
        <w:t>Shared claim-specific concepts:</w:t>
      </w:r>
      <w:r>
        <w:t xml:space="preserve"> factors, between, significant, part, citizens, union; EU scope visible. This is a provisional connection, not an outcome finding.</w:t>
      </w:r>
    </w:p>
    <w:p>
      <w:pPr>
        <w:pStyle w:val="SourceNote"/>
      </w:pPr>
      <w:r>
        <w:rPr>
          <w:b/>
        </w:rPr>
        <w:t>Available abstract (not full text):</w:t>
      </w:r>
      <w:r>
        <w:t xml:space="preserve"> Objectives: The European Union regularly publishes reports on corruption as part of its Eurobarometer surveys. These report on the opinions of European citizens regarding corruption and the presence of corruption they perceive. Based on survey data from 2008-2022, this study examines the perception of corruption in EU member states. Methods: As a method, the authors use statistical tests. They examine the differences between geographical regions and created country clusters to examine the effect of geographical location on the perception of corruption. They managed to show a difference between north and south. Findings: Based on the results, the role of the cultural and historical background is the most significant in the perception of corruption. Other influences, such as democratization, play a role in shaping opinions. However, the impact of the anti-corruption fight is evaluated independently of the region. It is also a common opinion that corruption cannot be eradicated. Novelty: This study provides a structured approach to analysing corruption perception across regions, emphasizing statistical validation. The findings contribute to understanding the persistence of corruption perception and highlight key influencing factors.</w:t>
      </w:r>
    </w:p>
    <w:p>
      <w:pPr/>
      <w:r>
        <w:rPr>
          <w:b/>
        </w:rPr>
        <w:t>POSSIBLE 2025:</w:t>
      </w:r>
      <w:r>
        <w:t xml:space="preserve"> Factors influencing internationalization of micro-enterprises and SMEs in Central Europe — https://doi.org/10.14254/2071-8330.2025/18-1/11</w:t>
      </w:r>
    </w:p>
    <w:p>
      <w:pPr/>
      <w:r>
        <w:rPr>
          <w:b/>
        </w:rPr>
        <w:t>Shared claim-specific concepts:</w:t>
      </w:r>
      <w:r>
        <w:t xml:space="preserve"> factors, influence, between, significant, due; EU scope visible. This is a provisional connection, not an outcome finding.</w:t>
      </w:r>
    </w:p>
    <w:p>
      <w:pPr>
        <w:pStyle w:val="SourceNote"/>
      </w:pPr>
      <w:r>
        <w:rPr>
          <w:b/>
        </w:rPr>
        <w:t>Available abstract (not full text):</w:t>
      </w:r>
      <w:r>
        <w:t xml:space="preserve"> Internationalizing a company is particularly challenging for micro-enterprises and SMEs due to the limited resources available for managing strategic activities. This paper aimed to create a model of the factors influencing the internationalization process of micro-enterprises and SMEs from Central Europe. The study employed principal component analysis to identify latent components of the model, namely innovation, strategic management (SM), and barriers. The factors and their relationships were analyzed using Logit regression and ANOVA. Additionally, the influence of two control variables on the selected factors and barriers to internationalization was examined. The research findings indicate that the most significant barrier to internationalization is the difference in tax policies. Furthermore, a significant correlation exists between innovation and strategic management barriers, while the strategies for innovation depend on the size and age of the company.</w:t>
      </w:r>
    </w:p>
    <w:p>
      <w:pPr/>
      <w:r>
        <w:rPr>
          <w:b/>
        </w:rPr>
        <w:t>POSSIBLE 2024:</w:t>
      </w:r>
      <w:r>
        <w:t xml:space="preserve"> Structured factor copulas for modeling the systemic risk of European and United States banks — https://doi.org/10.1016/j.irfa.2024.103621</w:t>
      </w:r>
    </w:p>
    <w:p>
      <w:pPr/>
      <w:r>
        <w:rPr>
          <w:b/>
        </w:rPr>
        <w:t>Shared claim-specific concepts:</w:t>
      </w:r>
      <w:r>
        <w:t xml:space="preserve"> factors, between; EU scope visible. This is a provisional connection, not an outcome finding.</w:t>
      </w:r>
    </w:p>
    <w:p>
      <w:pPr>
        <w:pStyle w:val="SourceNote"/>
      </w:pPr>
      <w:r>
        <w:rPr>
          <w:b/>
        </w:rPr>
        <w:t>Available abstract (not full text):</w:t>
      </w:r>
      <w:r>
        <w:t xml:space="preserve"> In this paper, we employ Credit Default Swaps (CDS) to model the joint and conditional distress probabilities of banks in Europe and the U.S. using factor copulas. We propose multi-factor, structured factor, and factor-vine models where the banks in the sample are clustered according to their geographic location. We find that within each region, the co-dependence between banks is best described using both, systematic and idiosyncratic, financial contagion channels. However, if we consider the banking system as a whole, then the systematic contagion channel prevails, meaning that the distress probabilities are driven by a latent global factor and region-specific factors. In all cases, the co-dependence structure of bank CDS spreads is highly correlated in the tail. The out-of-sample forecasts of several measures of systemic risk allow us to identify the periods of distress in the banking sector over the recent years including the COVID-19 pandemic, the interest rate hikes in 2022, and the banking crisis in 2023. • We identify the systematic and idiosyncratic sources of financial contagion – global and local – through factor copula models. • We employ the Variational Bayes (VB) method for estimating the multi-factor, structured factor, and factor-vine copulas. • Within each region, the co-dependence between banks is best described using both, systematic and idiosyncratic, financi</w:t>
      </w:r>
    </w:p>
    <w:p>
      <w:pPr/>
      <w:r>
        <w:rPr>
          <w:b/>
        </w:rPr>
        <w:t>POSSIBLE 2024:</w:t>
      </w:r>
      <w:r>
        <w:t xml:space="preserve"> Determinants of Financial Security of European Union Farms—A Factor Analysis Model Approach — https://doi.org/10.3390/agriculture14010119</w:t>
      </w:r>
    </w:p>
    <w:p>
      <w:pPr/>
      <w:r>
        <w:rPr>
          <w:b/>
        </w:rPr>
        <w:t>Shared claim-specific concepts:</w:t>
      </w:r>
      <w:r>
        <w:t xml:space="preserve"> factors, number, between, union; EU scope visible. This is a provisional connection, not an outcome finding.</w:t>
      </w:r>
    </w:p>
    <w:p>
      <w:pPr>
        <w:pStyle w:val="SourceNote"/>
      </w:pPr>
      <w:r>
        <w:rPr>
          <w:b/>
        </w:rPr>
        <w:t>Available abstract (not full text):</w:t>
      </w:r>
      <w:r>
        <w:t xml:space="preserve"> The objective of this study was to assess the level of financial security of farms and identify its determinants based on factor analysis. The data used in this research were obtained from the European FADN (Farm Accountancy Data Network). Factor analysis (FA) was employed to reduce the number of variables that potentially determine the financial security of farms. The results indicate that the surveyed entities maintained financial security between 2014 and 2021. This study suggests that it is necessary to examine these factors separately for farms engaged in crop farming and animal production. The results obtained for all farms were less satisfactory than those that took into account the specifics of agricultural production. This study addresses a gap in the literature by including highly correlated variables in the analysis of the determinants of financial security. Factor analysis is used to reduce the number of variables without losing important information. Firstly, seventeen variables related to the financial security of all farms were assigned to six factors. These were income and self-financing of operations; area and subsidies; long-term investments and financial decisions consequences; economic size, taxes, and non-breeding livestocks; investment activity; and inputs, stock, short-term loans, and labor. Then, the determinants of the financial security of farms were e</w:t>
      </w:r>
    </w:p>
    <w:p>
      <w:pPr/>
      <w:r>
        <w:rPr>
          <w:b/>
        </w:rPr>
        <w:t>POSSIBLE 2024:</w:t>
      </w:r>
      <w:r>
        <w:t xml:space="preserve"> Factors influencing the reimbursement of cancer drugs in Europe: A scoping review — https://doi.org/10.1111/jep.14080</w:t>
      </w:r>
    </w:p>
    <w:p>
      <w:pPr/>
      <w:r>
        <w:rPr>
          <w:b/>
        </w:rPr>
        <w:t>Shared claim-specific concepts:</w:t>
      </w:r>
      <w:r>
        <w:t xml:space="preserve"> factors, influence, between; EU scope visible. This is a provisional connection, not an outcome finding.</w:t>
      </w:r>
    </w:p>
    <w:p>
      <w:pPr>
        <w:pStyle w:val="SourceNote"/>
      </w:pPr>
      <w:r>
        <w:rPr>
          <w:b/>
        </w:rPr>
        <w:t>Available abstract (not full text):</w:t>
      </w:r>
      <w:r>
        <w:t xml:space="preserve"> RATIONALE: Reimbursement process of oncology drugs in Europe occurs within a complex decision-making process that varies between Member States. Distinctions between the States trigger societal debates since it is necessary to balance access to medicines and health systems sustainability. AIMS AND OBJECTIVES: We aimed to review the evidence concerning factors associated with the reimbursement decision or Health Technology Agency recommendation of oncology drugs in Europe. METHODS: A systematic literature search was performed in two databases from inception to august 2023. Screening and data extraction were performed by pairs. RESULTS: Thirteen articles were included and encompassed data from 11 nations. Seven articles showed that cost-effective (C-E) drugs and lower Incremental Cost-Effectiveness Ratios (ICERs) had higher likelihood of reimbursement. Disease severity might influence the reimbursement decision with financial agreements. Improvement in clinical outcomes, substantial clinical benefit (p &lt; 0.01) or overall survival gains (p &lt; 0.05) were positively associated. Orphan drug designation impact varies between countries but positive decisions are usually achieved under specific conditions. Clinical and C-E uncertainty frequently led to reimbursement with financial agreements or outcomes-based conditions. Sociodemographic factors as: social health insurance system, higher </w:t>
      </w:r>
    </w:p>
    <w:p>
      <w:pPr/>
      <w:r>
        <w:rPr>
          <w:b/>
        </w:rPr>
        <w:t>POSSIBLE 2023:</w:t>
      </w:r>
      <w:r>
        <w:t xml:space="preserve"> A systematic review of environmental factors related to WNV circulation in European and Mediterranean countries — https://doi.org/10.1016/j.onehlt.2022.100478</w:t>
      </w:r>
    </w:p>
    <w:p>
      <w:pPr/>
      <w:r>
        <w:rPr>
          <w:b/>
        </w:rPr>
        <w:t>Shared claim-specific concepts:</w:t>
      </w:r>
      <w:r>
        <w:t xml:space="preserve"> factors, influence, between, significant, due; EU scope visible. This is a provisional connection, not an outcome finding.</w:t>
      </w:r>
    </w:p>
    <w:p>
      <w:pPr>
        <w:pStyle w:val="SourceNote"/>
      </w:pPr>
      <w:r>
        <w:rPr>
          <w:b/>
        </w:rPr>
        <w:t>Available abstract (not full text):</w:t>
      </w:r>
      <w:r>
        <w:t xml:space="preserve"> Introduction/objective: spp. are the main vectors, and birds its main vertebrate hosts. It can occasionally infect mammals, including humans. Different environmental factors can influence its distribution and transmission through its effects on vector or host populations. Our objective was to determine environmental factors associated with changes in vector distribution and WNV transmission in Europe and MR. Material &amp; methods: Systematic peer review of articles published between 2000 and 2020. We selected studies on WNV, and its vectors carried out in Europe and MR. The search included terms referring to climatic and environmental factors. Results: spp. was studied in 26 papers (40%), humans in 19 papers (29%) and host animals (mainly horses) in 16 papers (25%), whereas bird reservoirs were addressed in 5 studies (8%). A significant positive relationship was observed between changes in temperature and precipitation patterns and the epidemiology of WNV, although contrasting results were found among studies. Other factors positively related to WNV dynamics were the normalized difference vegetation index (NDVI] and expansion of anthropized habitats. Conclusion: The epidemiology of WNV seems to be related to climatic factors that are changing globally due to ongoing climate change. Unfortunately, the complete zoonotic cycle was not analyzed in most papers, making it difficult to d</w:t>
      </w:r>
    </w:p>
    <w:p>
      <w:pPr/>
      <w:r>
        <w:rPr>
          <w:b/>
        </w:rPr>
        <w:t>POSSIBLE 2023:</w:t>
      </w:r>
      <w:r>
        <w:t xml:space="preserve"> The Direct and Indirect Influences of Interrelated Regional-Level Sociodemographic Factors on Heat-Attributable Mortality in Europe: Insights for Adaptation Strategies — https://doi.org/10.1289/ehp11766</w:t>
      </w:r>
    </w:p>
    <w:p>
      <w:pPr/>
      <w:r>
        <w:rPr>
          <w:b/>
        </w:rPr>
        <w:t>Shared claim-specific concepts:</w:t>
      </w:r>
      <w:r>
        <w:t xml:space="preserve"> factors, between, significant; EU scope visible. This is a provisional connection, not an outcome finding.</w:t>
      </w:r>
    </w:p>
    <w:p>
      <w:pPr>
        <w:pStyle w:val="SourceNote"/>
      </w:pPr>
      <w:r>
        <w:rPr>
          <w:b/>
        </w:rPr>
        <w:t>Available abstract (not full text):</w:t>
      </w:r>
      <w:r>
        <w:t xml:space="preserve"> BACKGROUND: Heat is a significant cause of mortality, but impact patterns are heterogenous. Previous studies assessing such heterogeneity focused exclusively on risk rather than heat-attributable mortality burdens and assume predictors are independent. OBJECTIVES: We assessed how four interrelated regional-level sociodemographic predictors-education, life expectancy, the ratio of older to younger people (aging index), and relative income-influence heterogeneity in heat-attributable mortality burdens in Europe and then derived insights into adaptation strategies. METHODS: We extracted four outcomes from a temperature-mortality study covering 16 European countries: the rate of increase in mortality risk at moderate and extreme temperatures (moderate and extreme slope, respectively), the minimum mortality temperature percentile (MMTP), and the underlying mortality rate. We used structural equation modeling with country-level random effects to quantify the direct and indirect influences of the predictors on the outcomes. RESULTS: ). Relative income had relatively small, mixed influences. DISCUSSION: Our novel approach provided insights into actions for reducing the health impacts of heat. First, the results show the interrelations between possible vulnerability-generating mechanisms and suggest future research directions. Second, the findings point to the need for a dual approach t</w:t>
      </w:r>
    </w:p>
    <w:p>
      <w:pPr/>
      <w:r>
        <w:rPr>
          <w:b/>
        </w:rPr>
        <w:t>POSSIBLE 2022:</w:t>
      </w:r>
      <w:r>
        <w:t xml:space="preserve"> Factors influencing antimicrobial resistance in the European food system and potential leverage points for intervention: A participatory, One Health study — https://doi.org/10.1371/journal.pone.0263914</w:t>
      </w:r>
    </w:p>
    <w:p>
      <w:pPr/>
      <w:r>
        <w:rPr>
          <w:b/>
        </w:rPr>
        <w:t>Shared claim-specific concepts:</w:t>
      </w:r>
      <w:r>
        <w:t xml:space="preserve"> factors, number, between; EU scope visible. This is a provisional connection, not an outcome finding.</w:t>
      </w:r>
    </w:p>
    <w:p>
      <w:pPr>
        <w:pStyle w:val="SourceNote"/>
      </w:pPr>
      <w:r>
        <w:rPr>
          <w:b/>
        </w:rPr>
        <w:t>Available abstract (not full text):</w:t>
      </w:r>
      <w:r>
        <w:t xml:space="preserve"> INTRODUCTION: Antimicrobial resistance (AMR) is a global crisis that evolves from a complex system of factors. Understanding what factors interact is key to finding solutions. Our objective was to identify the factors influencing AMR in the European food system and places to intervene. MATERIALS AND METHODS: We conducted two workshops involving participants with diverse perspectives to identify the factors influencing AMR and leverage points (places) to target interventions. Transcripts were open coded for factors and connections, then transcribed into Vensim 8.0.4 to develop a causal loop diagram (CLD) and compute the number of feedback loops. Thematic analysis followed to describe AMR dynamics in Europe's food system and places for intervention. The CLD and themes were confirmed via participant feedback. RESULTS: Seventeen participants representing human, animal and agricultural sectors identified 91 CLD factors and 331 connections. Seven themes (e.g., social and economic conditions) describing AMR dynamics in Europe's food system, five 'overarching factors' that impact the entire CLD system (e.g., leadership) and fourteen places for intervention (e.g., consumer demand) emerged from workshop discussions. Most leverage points fell on highly networked feedback loops suggesting that intervening at these places may create unpredictable consequences. CONCLUSIONS: Our study produce</w:t>
      </w:r>
    </w:p>
    <w:p>
      <w:pPr/>
      <w:r>
        <w:rPr>
          <w:b/>
        </w:rPr>
        <w:t>POSSIBLE 2022:</w:t>
      </w:r>
      <w:r>
        <w:t xml:space="preserve"> INFLUENCE OF THE EUROPEAN INTEGRATION ON LINGUISTIC ASPECTS — https://doi.org/10.52058/2786-6165-2022-4(4)-8-21</w:t>
      </w:r>
    </w:p>
    <w:p>
      <w:pPr/>
      <w:r>
        <w:rPr>
          <w:b/>
        </w:rPr>
        <w:t>Shared claim-specific concepts:</w:t>
      </w:r>
      <w:r>
        <w:t xml:space="preserve"> factors, influence, between, federation, significant, union; EU scope visible. This is a provisional connection, not an outcome finding.</w:t>
      </w:r>
    </w:p>
    <w:p>
      <w:pPr>
        <w:pStyle w:val="SourceNote"/>
      </w:pPr>
      <w:r>
        <w:rPr>
          <w:b/>
        </w:rPr>
        <w:t>Available abstract (not full text):</w:t>
      </w:r>
      <w:r>
        <w:t xml:space="preserve"> The article deals with factors of linguistic integration and the role of the European Union in these processes.The issue of the influence of English loanwords on the Ukrainian linguistic picture of the world is under consideration.Linguistic policy aimed at preserving national identity acts as an opposition to integration.The European choice of Ukraine is conditioned by the awareness of integration as a factor contributing to state independence, national security, political stability, economic development, intellectual progress, and restoration of the country's European essence.The topic of language in modern conditions is significant and interesting within various disciplines of social and humanitarian knowledge: linguistics, sociolinguistics, ethnolinguistics, pedagogy and psychology, sociology, political science, ethnopolitical science.Language is a dominant factor in the development of any society.Ukraine's acquisition of associate membership in the European Federation of National Language Institutes (EFNIL) will significantly strengthen the position of the Ukrainian language as the state language and contribute to its prospective use as a mandatory language in EU countries.The main importance of linguistic identity is one of the key factors in the formation of a single political community capable of developing a common national course, the clear and consistent observance o</w:t>
      </w:r>
    </w:p>
    <w:p>
      <w:pPr/>
      <w:r>
        <w:rPr>
          <w:b/>
        </w:rPr>
        <w:t>POSSIBLE 2022:</w:t>
      </w:r>
      <w:r>
        <w:t xml:space="preserve"> Modelling site response at regional scale for the 2020 European Seismic Risk Model (ESRM20) — https://doi.org/10.1007/s10518-022-01526-5</w:t>
      </w:r>
    </w:p>
    <w:p>
      <w:pPr/>
      <w:r>
        <w:rPr>
          <w:b/>
        </w:rPr>
        <w:t>Shared claim-specific concepts:</w:t>
      </w:r>
      <w:r>
        <w:t xml:space="preserve"> influence, stations; EU scope visible. This is a provisional connection, not an outcome finding.</w:t>
      </w:r>
    </w:p>
    <w:p>
      <w:pPr>
        <w:pStyle w:val="SourceNote"/>
      </w:pPr>
      <w:r>
        <w:rPr>
          <w:b/>
        </w:rPr>
        <w:t>Available abstract (not full text):</w:t>
      </w:r>
      <w:r>
        <w:t xml:space="preserve"> Abstract Quantitative estimation of seismic risk over a region requires both an underlying probabilistic seismic hazard model and a means to characterise shallow site response over a large scale. The 2020 European Seismic Risk Model (ESRM20) builds on the 2020 European Seismic Hazard Model (ESHM20), requiring additional information to firstly parameterise the local site condition across all of Europe, and subsequently determine its influence on the prediction of seismic ground motion. Initially, a harmonised digital geological database for Europe is compiled, alongside a model of topographic/bathymetric elevation and a database of 30 m averaged shearwave velocity measurements ( $$V_{S30}$$ VS30 ), in order to produce separate 30 arc-second maps of inferred $$V_{S30}$$ VS30 based on topography and on geology. We then capitalise on a large database of seismic recording stations in Europe for which site-to-site ground motion residuals ( $$\delta S2S_{S}$$ δS2SS ) have been determined with respect to the shallow crustal ground motion model used in the ESHM20. These residuals allow us to incorporate site amplification functions into the European GMM calibrated upon either observed or inferred $$V_{S30}$$ VS30 , or on the European geology and topography models. We present the resulting pan-European seismic site amplification model and assess its impact on seismic hazard and risk comp</w:t>
      </w:r>
    </w:p>
    <w:p>
      <w:pPr/>
      <w:r>
        <w:rPr>
          <w:b/>
        </w:rPr>
        <w:t>POSSIBLE 2022:</w:t>
      </w:r>
      <w:r>
        <w:t xml:space="preserve"> Rural Specificity as a Factor Influencing Energy Poverty in European Union Countries — https://doi.org/10.3390/en15155463</w:t>
      </w:r>
    </w:p>
    <w:p>
      <w:pPr/>
      <w:r>
        <w:rPr>
          <w:b/>
        </w:rPr>
        <w:t>Shared claim-specific concepts:</w:t>
      </w:r>
      <w:r>
        <w:t xml:space="preserve"> influence, between, union; EU scope visible. This is a provisional connection, not an outcome finding.</w:t>
      </w:r>
    </w:p>
    <w:p>
      <w:pPr>
        <w:pStyle w:val="SourceNote"/>
      </w:pPr>
      <w:r>
        <w:rPr>
          <w:b/>
        </w:rPr>
        <w:t>Available abstract (not full text):</w:t>
      </w:r>
      <w:r>
        <w:t xml:space="preserve"> This study focuses on the empirical verification of the influence of rural specificity on energy poverty across European Union countries, in the period 2010–2020. The research aimed at specifying the role of the agricultural character of a country, as well as economic disparities between rural and urban areas, in inducing problems of energy affordability. Based on the literature consensus about the most important determinants of energy poverty, namely income, energy prices, energy productivity, quality of dwellings, and climate conditions, a standard model was constructed concerning the role of the rural character of an economy, with its traditional features such as agricultural employment, and indices of rural–urban divide, in terms of median income and material poverty. Models for panel data with fixed effects were estimated. The results indicate agricultural employment as a factor increasing the subjective energy poverty of households. However, the scale of rural settlement cannot be specified as a factor determining energy poverty, neither concerning energy consumption nor self-reported difficulties. This suggests that only the traditional agricultural character of rural areas negatively influences energy poverty. The processes of gentrification of rural areas observable in many EU countries changes the typical pattern of the identification of villagers with the most exclud</w:t>
      </w:r>
    </w:p>
    <w:p>
      <w:pPr/>
      <w:r>
        <w:rPr>
          <w:b/>
        </w:rPr>
        <w:t>POSSIBLE 2022:</w:t>
      </w:r>
      <w:r>
        <w:t xml:space="preserve"> The status of implementation of photovoltaic systems and its influencing factors in European countries — https://doi.org/10.1002/pip.3613</w:t>
      </w:r>
    </w:p>
    <w:p>
      <w:pPr/>
      <w:r>
        <w:rPr>
          <w:b/>
        </w:rPr>
        <w:t>Shared claim-specific concepts:</w:t>
      </w:r>
      <w:r>
        <w:t xml:space="preserve"> factors, number, between, significant, due; EU scope visible. This is a provisional connection, not an outcome finding.</w:t>
      </w:r>
    </w:p>
    <w:p>
      <w:pPr>
        <w:pStyle w:val="SourceNote"/>
      </w:pPr>
      <w:r>
        <w:rPr>
          <w:b/>
        </w:rPr>
        <w:t>Available abstract (not full text):</w:t>
      </w:r>
      <w:r>
        <w:t xml:space="preserve"> Abstract This paper gives an overview of the status of implementation of photovoltaic (PV) systems among 34 member countries involved in the COST Action PEARL PV in the year 2018. Besides this, influencing factors that have an impact on the implementation of PV systems in each country have been assessed. The implementation of PV systems varies in European countries due to differences in solar irradiation and weather conditions, electricity consumption, national economic situation, and governmental approaches to promote PV. For this paper, data sets covering, among others, numbers installed PV systems, and the variables mentioned above, were collected, processed, and synchronized. Subsequently, relations between data were analyzed by geographic mapping and mutual correlations. The 34 countries evaluated produced together 120 TWh of PV electricity in 2018. It was notable that Germany produced the highest amount (45 TWh) and has the highest share (8.4%) of PV in its electricity generation. Weak correlations were found between the different variables and the gross domestic product, annual global irradiation, number of subsidy schemes, cumulative installed capacity, annual electricity generated by PV, the share of RE, and share of PV. Logically, as expected, strong correlations (R2 = 0.9) were found between the number of inhabitants and the annual electricity production and consumpt</w:t>
      </w:r>
    </w:p>
    <w:p>
      <w:pPr>
        <w:pStyle w:val="Heading2"/>
      </w:pPr>
      <w:r>
        <w:t>825. Dynamics of the land use, land use change, and forestry sink in the European Union: the impacts of energy and climate targets for 2030</w:t>
      </w:r>
    </w:p>
    <w:p>
      <w:pPr>
        <w:pStyle w:val="SourceNote"/>
      </w:pPr>
      <w:r>
        <w:rPr>
          <w:b/>
        </w:rPr>
        <w:t>Original source (2016):</w:t>
      </w:r>
      <w:r>
        <w:t xml:space="preserve"> https://doi.org/10.1007/s10584-016-1729-7</w:t>
      </w:r>
    </w:p>
    <w:p>
      <w:pPr/>
      <w:r>
        <w:t>Original wording (abstract; indexed_source_text_not_full_document_verified): We show that implementing a 40 % GHG emission reduction target by 2030 may only have a small negative impact on the domestic LULUCF sink if the additional biomass demand for energy is mostly met through ligno-cellulosic energy crops rather than forest removals. However, if the increased biomass demand were met through higher rates of forest harvest removals, a more negative impact on the LULUCF sink could be expected.</w:t>
      </w:r>
    </w:p>
    <w:p>
      <w:pPr/>
      <w:r>
        <w:rPr>
          <w:b/>
        </w:rPr>
        <w:t>POSSIBLE 2026:</w:t>
      </w:r>
      <w:r>
        <w:t xml:space="preserve"> European environmental sustainability through unraveling the nexus of total energy consumption, value addition, and GHG emissions in agriculture — https://doi.org/10.1177/0958305x261438604</w:t>
      </w:r>
    </w:p>
    <w:p>
      <w:pPr/>
      <w:r>
        <w:rPr>
          <w:b/>
        </w:rPr>
        <w:t>Shared claim-specific concepts:</w:t>
      </w:r>
      <w:r>
        <w:t xml:space="preserve"> show, implementing, ghg, emission, negative, domestic; EU scope visible. This is a provisional connection, not an outcome finding.</w:t>
      </w:r>
    </w:p>
    <w:p>
      <w:pPr>
        <w:pStyle w:val="SourceNote"/>
      </w:pPr>
      <w:r>
        <w:rPr>
          <w:b/>
        </w:rPr>
        <w:t>Available abstract (not full text):</w:t>
      </w:r>
      <w:r>
        <w:t xml:space="preserve"> Agriculture is a critical sector contributing significantly to greenhouse gas (GHG) emissions in Europe, primarily through land-use change, fertilizer application, and energy-intensive practices. This study provides an in-depth exploration of the factors influencing GHG emissions from agriculture in Europe (30 countries) from 1995 to 2022, utilizing a diverse range of variables, including agricultural value added (AVA), cereal yield (CY), total agricultural land (TAL), and total energy consumption agriculture (EGYTA). By implementing a composite index derived from principal component analysis and two interaction terms (AVA*CY and AVA*EGYTA), the study provides a comprehensive understanding of the relationships between these variables. The cross-sectionally augmented autoregressive distributed lag technique elucidates the dynamics influencing agricultural GHG (A-GHG) emissions. Key findings indicate that in the long run, a 1% increase in AVA is associated with approximately a 0.07% decrease in A-GHG emissions, while TAL exhibits a positive elasticity of 0.334. CY, EGYTA, and AVA*CY also positively correlate with A-GHG emissions, contributing to elevated GHG emission levels in the sector. It implies that increasing reliance on fertilizers and escalating energy consumption in modern farming are identified as significant concerns. Conversely, AVA, gross domestic product, and AVA*EG</w:t>
      </w:r>
    </w:p>
    <w:p>
      <w:pPr/>
      <w:r>
        <w:rPr>
          <w:b/>
        </w:rPr>
        <w:t>POSSIBLE 2026:</w:t>
      </w:r>
      <w:r>
        <w:t xml:space="preserve"> Decarbonizing European refineries: GHG accounting framework and potential assessment for co-processed biofuels — https://doi.org/10.1016/j.enconman.2026.122090</w:t>
      </w:r>
    </w:p>
    <w:p>
      <w:pPr/>
      <w:r>
        <w:rPr>
          <w:b/>
        </w:rPr>
        <w:t>Shared claim-specific concepts:</w:t>
      </w:r>
      <w:r>
        <w:t xml:space="preserve"> ghg, reduction, energy; EU scope visible. This is a provisional connection, not an outcome finding.</w:t>
      </w:r>
    </w:p>
    <w:p>
      <w:pPr>
        <w:pStyle w:val="SourceNote"/>
      </w:pPr>
      <w:r>
        <w:rPr>
          <w:b/>
        </w:rPr>
        <w:t>Available abstract (not full text):</w:t>
      </w:r>
      <w:r>
        <w:t xml:space="preserve"> Co-processing of biogenic feedstocks in existing crude oil refineries is a promising, near-term option to decarbonize transport fuels by using existing fossil conversion infrastructure. This study quantifies the life cycle greenhouse gas (GHG) emissions of co-processed biofuels under an average European refinery configuration, using a policy-compliant approach consistent with the EU Renewable Energy Directive (RED), which has been integrated with a refinery-wide mass and energy balance model. Four case studies were selected: used cooking oil (UCO) co-processing in hydrotreating (HT) and hydrocracking (HC) conversion routes, and fast pyrolysis oil (FPO) and stabilized/hydrotreated pyrolysis oil (SPO/HDO) co-processing in fluid catalytic cracking (FCC) conversion pathways. Biogenic feed shares of 5–20 wt% at the conversion unit inlet were modelled, together with a full mass and energy balance for all pathways, derived to develop a comprehensive LCI for each pathway. Considered products comprised biogenic diesel, biogenic gasoline and biogenic kerosene. All pathways achieved substantial GHG savings relative to fossil fuels, with carbon intensities ranging from 3.9 to 25.8 g CO 2 e MJ −1 and GHG emissions savings of 73–96 %, thus remaining well above the 65 % RED minimum GHG emissions reduction threshold. UCO hydroprocessing delivered the lowest carbon intensities, while FCC pathwa</w:t>
      </w:r>
    </w:p>
    <w:p>
      <w:pPr/>
      <w:r>
        <w:rPr>
          <w:b/>
        </w:rPr>
        <w:t>POSSIBLE 2025:</w:t>
      </w:r>
      <w:r>
        <w:t xml:space="preserve"> Implementing the GHG Protocol - advantages of implementation — https://doi.org/10.57263/jmq.04.01.20252</w:t>
      </w:r>
    </w:p>
    <w:p>
      <w:pPr/>
      <w:r>
        <w:rPr>
          <w:b/>
        </w:rPr>
        <w:t>Shared claim-specific concepts:</w:t>
      </w:r>
      <w:r>
        <w:t xml:space="preserve"> implementing, ghg; EU scope not established. This is a provisional connection, not an outcome finding.</w:t>
      </w:r>
    </w:p>
    <w:p>
      <w:pPr>
        <w:pStyle w:val="SourceNote"/>
      </w:pPr>
      <w:r>
        <w:rPr>
          <w:b/>
        </w:rPr>
        <w:t>Available abstract (not full text):</w:t>
      </w:r>
      <w:r>
        <w:t xml:space="preserve"> Climate change has become a major global concern, and companies across all industries are facing increasing pressure to reduce their greenhouse gas (GHG) emissions. The Greenhouse Gas Protocol is a voluntary international standard widely used to measure and report organizations’ GHG emissions. Essentially, the GHG Protocol provides a “common language” and a set of clear methodologies by which companies can calculate their carbon footprint consistently and transparently, dividing emissions into Scope 1 (direct, from owned/operated sources), Scope 2 (indirect from purchased electricity and heating and cooling) and Scope 3 (all other indirect emissions in the value chain). This seemingly bureaucratic reporting standard can become a valuable tool for corporate efficiency, innovation and sustainability.</w:t>
      </w:r>
    </w:p>
    <w:p>
      <w:pPr/>
      <w:r>
        <w:rPr>
          <w:b/>
        </w:rPr>
        <w:t>POSSIBLE 2024:</w:t>
      </w:r>
      <w:r>
        <w:t xml:space="preserve"> Transformation of Peatland Management Toward Climate Targets in Europe — https://doi.org/10.34133/ehs.0239</w:t>
      </w:r>
    </w:p>
    <w:p>
      <w:pPr/>
      <w:r>
        <w:rPr>
          <w:b/>
        </w:rPr>
        <w:t>Shared claim-specific concepts:</w:t>
      </w:r>
      <w:r>
        <w:t xml:space="preserve"> implementing, emission, reduction, target, however; EU scope visible. This is a provisional connection, not an outcome finding.</w:t>
      </w:r>
    </w:p>
    <w:p>
      <w:pPr>
        <w:pStyle w:val="SourceNote"/>
      </w:pPr>
      <w:r>
        <w:rPr>
          <w:b/>
        </w:rPr>
        <w:t>Available abstract (not full text):</w:t>
      </w:r>
      <w:r>
        <w:t xml:space="preserve"> Agriculture and forestry on drained peatlands contribute substantial amounts of anthropogenic greenhouse gas emissions. The transformation of peatland management toward “wet” land use takes on an increasingly critical role in achieving zero net carbon emissions by 2050. Yet, the translation of European Union climate target ambitions into peatland relevancy on emission reduction remains unclear. The study presents an analysis of the current status and future pathways of peatland transformation in European countries. Our data are collected by a survey with 60 experts in 8 countries and a workshop with 16 experts in 3 countries. The analysis shows expected trends for drained peatlands, indicating a shift from drainage-based cropland to grassland or wetland use. Although these trends support emission reduction, nations with lucrative peatland areas are likely to resist shifting to less profitable land uses. Three categories of management practices were identified based on water level. Among them, grassland paludiculture and grassland with elevated water tables are appreciated by experts. The transition pathways for Finland, Germany, and the Netherlands reflect the consensus that peatland emissions have to be reduced drastically. However, differences in soil types, geoclimatic zones, and diverse management approaches among countries pose a challenge when assessing and implementing t</w:t>
      </w:r>
    </w:p>
    <w:p>
      <w:pPr/>
      <w:r>
        <w:rPr>
          <w:b/>
        </w:rPr>
        <w:t>POSSIBLE 2024:</w:t>
      </w:r>
      <w:r>
        <w:t xml:space="preserve"> A commentary comparing the GHG Protocol and E-liability approaches to corporate GHG accounting and reporting — https://doi.org/10.1080/17583004.2024.2397498</w:t>
      </w:r>
    </w:p>
    <w:p>
      <w:pPr/>
      <w:r>
        <w:rPr>
          <w:b/>
        </w:rPr>
        <w:t>Shared claim-specific concepts:</w:t>
      </w:r>
      <w:r>
        <w:t xml:space="preserve"> implementing, ghg, emission, target, however; EU scope not established. This is a provisional connection, not an outcome finding.</w:t>
      </w:r>
    </w:p>
    <w:p>
      <w:pPr>
        <w:pStyle w:val="SourceNote"/>
      </w:pPr>
      <w:r>
        <w:rPr>
          <w:b/>
        </w:rPr>
        <w:t>Available abstract (not full text):</w:t>
      </w:r>
      <w:r>
        <w:t xml:space="preserve"> E-liability is a GHG data management approach that has been proposed as an alternative to the GHG Protocol corporate standards, already widely adopted by businesses and voluntary and regulatory programs. E-liability resembles the GHG Protocol in its methods for calculating and allocating emissions from suppliers. But while the GHG Protocol takes a cradle-to-grave approach to corporate inventories, E-liability focuses narrowly on cradle-to-gate and direct emissions. Leaving out information on downstream emissions could misinform GHG management decisions, limiting E-liability’s usefulness for comprehensive corporate GHG management, target setting, risk assessments and disclosures. The E-liability approach offloads emission liabilities to downstream customers potentially leaving them responsible for the burden of managing them. E-liability aims to deliver mutually exclusive emissions data so that organizations do not multi-count emissions across value chains. But whether multi-counting matters depends on the goal: whether it is to produce a mutually exclusive corporate GHG liabilities report, or to strategically manage and reduce emissions across value chains. E-liability’s use of primary data and mutually exclusive emissions accounting could improve data quality and support carbon pricing and tariffs. However, implementing E-liability would require broad adoption and that would l</w:t>
      </w:r>
    </w:p>
    <w:p>
      <w:pPr/>
      <w:r>
        <w:rPr>
          <w:b/>
        </w:rPr>
        <w:t>POSSIBLE 2023:</w:t>
      </w:r>
      <w:r>
        <w:t xml:space="preserve"> Impact of Key Drivers on Energy Intensity and GHG Emissions in Manufacturing in the Baltic States — https://doi.org/10.3390/su15043330</w:t>
      </w:r>
    </w:p>
    <w:p>
      <w:pPr/>
      <w:r>
        <w:rPr>
          <w:b/>
        </w:rPr>
        <w:t>Shared claim-specific concepts:</w:t>
      </w:r>
      <w:r>
        <w:t xml:space="preserve"> ghg, energy; EU scope visible. This is a provisional connection, not an outcome finding.</w:t>
      </w:r>
    </w:p>
    <w:p>
      <w:pPr>
        <w:pStyle w:val="SourceNote"/>
      </w:pPr>
      <w:r>
        <w:rPr>
          <w:b/>
        </w:rPr>
        <w:t>Available abstract (not full text):</w:t>
      </w:r>
      <w:r>
        <w:t xml:space="preserve"> The improvement in energy efficiency (EE) and increasing consumption of renewable energy sources (RES) in manufacturing play an important role in pursuing sustainable development in the Baltic States and contribute to the transition to a low-carbon economy. This paper presents the results of a detailed analysis of the channel through which EE, along with structural activity changes, passes energy intensity and total energy savings and in combination with other key drivers results in reductions in greenhouse gas (GHG) emissions in manufacturing in Estonia, Latvia, and Lithuania during the period 2010–2020, taking into account the role of transformations in the energy and climate framework of the European Union (EU). The Fisher Ideal Index, the Kaya identity, the Logarithmic Mean Divisia Index (LMDI), and comparative analysis methods are used. The results of the impact analysis of key drivers on energy intensity showed different contributions towards improvements in EE and structural activity changes to changes in energy intensity in manufacturing, which decreased by 53.1% in Estonia, by 30.5% in Lithuania, and by 16.5% in Latvia. The dominant role of EE improvements on total energy savings is identified. The results of the GHG decomposition analysis showed that because of improvements in energy intensity, reductions in the share of fossil fuels, and increases in labour productiv</w:t>
      </w:r>
    </w:p>
    <w:p>
      <w:pPr/>
      <w:r>
        <w:rPr>
          <w:b/>
        </w:rPr>
        <w:t>POSSIBLE 2023:</w:t>
      </w:r>
      <w:r>
        <w:t xml:space="preserve"> Empirical Assessment of Carbon Reduction and Energy Transition Targets of European Companies — https://doi.org/10.2478/picbe-2023-0067</w:t>
      </w:r>
    </w:p>
    <w:p>
      <w:pPr/>
      <w:r>
        <w:rPr>
          <w:b/>
        </w:rPr>
        <w:t>Shared claim-specific concepts:</w:t>
      </w:r>
      <w:r>
        <w:t xml:space="preserve"> show, reduction, energy; EU scope visible. This is a provisional connection, not an outcome finding.</w:t>
      </w:r>
    </w:p>
    <w:p>
      <w:pPr>
        <w:pStyle w:val="SourceNote"/>
      </w:pPr>
      <w:r>
        <w:rPr>
          <w:b/>
        </w:rPr>
        <w:t>Available abstract (not full text):</w:t>
      </w:r>
      <w:r>
        <w:t xml:space="preserve"> Abstract The paper presents an analysis of the carbon reduction and energy transition targets set by all companies included in the STOXX All Europe 100 index. This is an emerging topic, and the scientific literature is scarce. We employ a quantitative research method, as we extract by hand the targets from various sources: corporate annual reports, Refinitiv Database, Science Based Targets etc. The research question is: Which are the directions of corporate European strategies regarding carbon emissions and reduction targets? The total number of emissions reduction targets in the sample is 427, while renewable energy targets are 89, efficiency targets are 33, and electric vehicle adoption targets are 29. The analysis reveals that most of the targets are set for a short or medium time frame. Also, most of them are expressed in absolute terms and some of them have already been achieved. The research has implications for policy setting, as we show that the regulations should be an incentive for companies to strive to achieve meaningful targets. Thus, the results show that longer term targets are more difficult to track, and progress is less disclosed in the annual reports. The countries in which the sample companies are headquartered are not yet on track to achieve the goals of the Paris Agreement, which means that environmental and disclosure policies need to be improved.</w:t>
      </w:r>
    </w:p>
    <w:p>
      <w:pPr/>
      <w:r>
        <w:rPr>
          <w:b/>
        </w:rPr>
        <w:t>POSSIBLE 2023:</w:t>
      </w:r>
      <w:r>
        <w:t xml:space="preserve"> Assessing WHO2021 air quality guideline levels in Europe: Population exposure and PM2.5 reduction potential — https://doi.org/10.5194/egusphere-egu23-15917</w:t>
      </w:r>
    </w:p>
    <w:p>
      <w:pPr/>
      <w:r>
        <w:rPr>
          <w:b/>
        </w:rPr>
        <w:t>Shared claim-specific concepts:</w:t>
      </w:r>
      <w:r>
        <w:t xml:space="preserve"> implementing, emission, reduction, however; EU scope visible. This is a provisional connection, not an outcome finding.</w:t>
      </w:r>
    </w:p>
    <w:p>
      <w:pPr>
        <w:pStyle w:val="SourceNote"/>
      </w:pPr>
      <w:r>
        <w:rPr>
          <w:b/>
        </w:rPr>
        <w:t>Available abstract (not full text):</w:t>
      </w:r>
      <w:r>
        <w:t xml:space="preserve"> Although anthropogenic emissions have decreased during the last two decades, air pollution is still problematic in many regions in Europe. In 2021, the World Health Organisation has released updated air quality guideline levels that base on newest medical research and have drastically decreased in comparison to the previous levels, except for SO2. These levels reflect the minimum concentration for which evidence of adverse health effects have been found. This study analyses the air quality in Europe using simulations by EURAD-IM for the year 2016 with optimized emissions to evaluate guideline exceedances for PM2.5, NO2, and O3. All air pollutant concentrations in Europe exceed the WHO2021 annual guideline levels by a large amount. High PM2.5 and O3 concentrations are homogeneously distributed across Europe with 99 % and 100 % of the EU38 population (European Union and eleven other European states) exposed to concentrations above the guideline levels. High NO2 concentrations are linked to densely populated areas. However, 61% of the EU38 population is exposed to concentrations above the guideline level. For PM2.5, the effect of different aerosol classes on the bulk mass and different PM reduction scenarios are analysed. NO3- shows the largest contribution to total PM2.5 while primary anthropogenic aerosols are mainly responsible for extremely high PM2.5 concentrations of up to 3</w:t>
      </w:r>
    </w:p>
    <w:p>
      <w:pPr/>
      <w:r>
        <w:rPr>
          <w:b/>
        </w:rPr>
        <w:t>POSSIBLE 2022:</w:t>
      </w:r>
      <w:r>
        <w:t xml:space="preserve"> How COVID-19 Affected GHG Emissions of Ferries in Europe — https://doi.org/10.3390/su14095287</w:t>
      </w:r>
    </w:p>
    <w:p>
      <w:pPr/>
      <w:r>
        <w:rPr>
          <w:b/>
        </w:rPr>
        <w:t>Shared claim-specific concepts:</w:t>
      </w:r>
      <w:r>
        <w:t xml:space="preserve"> ghg, reduction, additional; EU scope visible. This is a provisional connection, not an outcome finding.</w:t>
      </w:r>
    </w:p>
    <w:p>
      <w:pPr>
        <w:pStyle w:val="SourceNote"/>
      </w:pPr>
      <w:r>
        <w:rPr>
          <w:b/>
        </w:rPr>
        <w:t>Available abstract (not full text):</w:t>
      </w:r>
      <w:r>
        <w:t xml:space="preserve"> Unprecedented socioeconomic conditions during the COVID-19 pandemic impacted shipping. We combined ferry CO2 emissions in Europe (from the EU-MRV) with port call data and vessel parameters, and analysed them using mixed-effects linear models with interactions. We found a generalized reduction in unitary emissions in 2020, confirming its causal relation with COVID-19. Furthermore, for larger ferries, additional and COVID-19-related reductions between 14% and 31% occurred, with the larger reductions for those built before 1999. Ferries operating in the Baltic and Mediterranean Seas experienced comparable reductions in their unitary emissions, but in the North Sea per-ship emissions decreased by an additional 18%. Per-ship emissions at berth, while showing increases or decreases depending on ferry type, did not significantly change at the fleet level. We believe that our methodology may help assess the progress of shipping toward decarbonisation in the presence of external shocks.</w:t>
      </w:r>
    </w:p>
    <w:p>
      <w:pPr/>
      <w:r>
        <w:rPr>
          <w:b/>
        </w:rPr>
        <w:t>POSSIBLE 2022:</w:t>
      </w:r>
      <w:r>
        <w:t xml:space="preserve"> Literature review on policies to mitigate GHG emissions for cement and concrete — https://doi.org/10.1016/j.resconrec.2022.106278</w:t>
      </w:r>
    </w:p>
    <w:p>
      <w:pPr/>
      <w:r>
        <w:rPr>
          <w:b/>
        </w:rPr>
        <w:t>Shared claim-specific concepts:</w:t>
      </w:r>
      <w:r>
        <w:t xml:space="preserve"> ghg, emission, reduction, energy; EU scope not established. This is a provisional connection, not an outcome finding.</w:t>
      </w:r>
    </w:p>
    <w:p>
      <w:pPr>
        <w:pStyle w:val="SourceNote"/>
      </w:pPr>
      <w:r>
        <w:rPr>
          <w:b/>
        </w:rPr>
        <w:t>Available abstract (not full text):</w:t>
      </w:r>
      <w:r>
        <w:t xml:space="preserve"> The production and use of cement, the binding agent in concrete, emits seven percent of global greenhouse gas emissions annually. Achieving climate change mitigation targets, such as those proposed in the Paris Agreement, requires emission reductions from this sector. The body of research on technical solutions to cement and concrete decarbonization is wide, but technical measures must be coupled with effective policy to achieve decarbonization. This study undertakes a review of previous research on cement and concrete decarbonization and analyzes the most common proposed measures along their level of action, involved stakeholders, barriers to implementation, and coordinated policy actions. The review yielded 37 studies from peer-reviewed articles and technical reports. Analysis showed consensus on the primary technical measures to decarbonize. For cement production, measures include (I) improved energy efficiency, (II) fuel switching, (III) carbon capture utilization and storage, and (IV) reduction of the clinker-to-cement ratio. For concrete production and its end-uses common proposed measures include (V) alternative binders, (VI) material and construction efficiency and (VII) CO2 uptake by concrete. While the literature shows an emerging consensus around technical solutions for decarbonization, there was less clarity about preferred policy solutions and key barriers. The rev</w:t>
      </w:r>
    </w:p>
    <w:p>
      <w:pPr/>
      <w:r>
        <w:rPr>
          <w:b/>
        </w:rPr>
        <w:t>POSSIBLE 2022:</w:t>
      </w:r>
      <w:r>
        <w:t xml:space="preserve"> Balancing GHG mitigation and land-use conflicts: Alternative Northern European energy system scenarios — https://doi.org/10.1016/j.apenergy.2022.118557</w:t>
      </w:r>
    </w:p>
    <w:p>
      <w:pPr/>
      <w:r>
        <w:rPr>
          <w:b/>
        </w:rPr>
        <w:t>Shared claim-specific concepts:</w:t>
      </w:r>
      <w:r>
        <w:t xml:space="preserve"> show, ghg, target, energy, however; EU scope visible. This is a provisional connection, not an outcome finding.</w:t>
      </w:r>
    </w:p>
    <w:p>
      <w:pPr>
        <w:pStyle w:val="SourceNote"/>
      </w:pPr>
      <w:r>
        <w:rPr>
          <w:b/>
        </w:rPr>
        <w:t>Available abstract (not full text):</w:t>
      </w:r>
      <w:r>
        <w:t xml:space="preserve"> Long-term power market outlooks suggest a rapid increase in renewable energy deployment as a main solution to greenhouse gas mitigation in the Northern European energy system. However, the consequential area requirement is a non-techno-economic aspect that currently is omitted by many energy system optimization models. This study applies modeling to generate alternatives (MGA) technique to the Balmorel energy system model to address spatial conflicts related to increased renewable energy deployment. The approach searches for alternative solutions that minimize land-use conflicts while meeting the low-carbon target, by allowing a 1% to 15% increase in system costs compared to the least-cost solution. Two alternative objectives are defined to reflect various aspects of spatial impact. The results show that the least-cost solution requires 1.2%–3.6% of the land in the modeled countries in 2040 for onshore wind and solar PV installations. A 10% increase in costs can reduce the required land area by 58% by relying more on offshore wind. Nuclear energy may also be an option if both onshore and offshore areas are to be reduced, or in a less flexible system. Both offshore wind and nuclear energy technologies are associated with higher risks and pose uncertainties in terms of reaching the climate targets in time. The changes in costs and required land areas imply significantly higher an</w:t>
      </w:r>
    </w:p>
    <w:p>
      <w:pPr/>
      <w:r>
        <w:rPr>
          <w:b/>
        </w:rPr>
        <w:t>POSSIBLE 2022:</w:t>
      </w:r>
      <w:r>
        <w:t xml:space="preserve"> Targeted, Implementable, and Practical Energy Relief Measures for Households in Europe — https://doi.org/10.5089/9798400227400.001</w:t>
      </w:r>
    </w:p>
    <w:p>
      <w:pPr/>
      <w:r>
        <w:rPr>
          <w:b/>
        </w:rPr>
        <w:t>Shared claim-specific concepts:</w:t>
      </w:r>
      <w:r>
        <w:t xml:space="preserve"> energy, however; EU scope visible. This is a provisional connection, not an outcome finding.</w:t>
      </w:r>
    </w:p>
    <w:p>
      <w:pPr>
        <w:pStyle w:val="SourceNote"/>
      </w:pPr>
      <w:r>
        <w:rPr>
          <w:b/>
        </w:rPr>
        <w:t>Available abstract (not full text):</w:t>
      </w:r>
      <w:r>
        <w:t xml:space="preserve"> The recommended way of helping households during the ongoing European energy crisis is to allow price signals to operate freely while providing targeted compensation to the vulnerable. In practice, however, institutional, political, and technical constraints have led many European governments to adopt broad, price-suppressing measures, which impede the adjustment in demand, have high fiscal costs, and widen cross-country gaps in prices. This paper focuses on easy-to-implement, second-best policies. Bonuses or rebates on energy bills (that are not linked to the current volume of consumption) or block tariffs are simple options which would improve on the current policy design in many countries. To avoid stoking inflation, fiscal policy should not add to aggregate demand, so relief for energy bills should be targeted and coupled with offsetting fiscal measures. One option is to reclaim the relief from the better-off through income taxation, which would also make support more progressive.</w:t>
      </w:r>
    </w:p>
    <w:p>
      <w:pPr>
        <w:pStyle w:val="Heading2"/>
      </w:pPr>
      <w:r>
        <w:t>826. Electromobility Scenarios: Research Findings to Inform Policy</w:t>
      </w:r>
    </w:p>
    <w:p>
      <w:pPr>
        <w:pStyle w:val="SourceNote"/>
      </w:pPr>
      <w:r>
        <w:rPr>
          <w:b/>
        </w:rPr>
        <w:t>Original source (2016):</w:t>
      </w:r>
      <w:r>
        <w:t xml:space="preserve"> https://doi.org/10.1016/j.trpro.2016.05.346</w:t>
      </w:r>
    </w:p>
    <w:p>
      <w:pPr/>
      <w:r>
        <w:t>Original wording (abstract; indexed_source_text_not_full_document_verified): We also present the cost-benefit-analysis of the modelling results to assess the different scenarios and to show variation between regions regarding profitability of alternative technological or political support and interventions. The model allows calculating the market diffusion of alternative powertrain technologies to the European market until 2030, taking into account different taxation schemes, incentives and other country-specific characteristics.</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present, between, regions;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2024:</w:t>
      </w:r>
      <w:r>
        <w:t xml:space="preserve"> Geodiversity data for Europe — https://doi.org/10.1098/rsta.2023.0173</w:t>
      </w:r>
    </w:p>
    <w:p>
      <w:pPr/>
      <w:r>
        <w:rPr>
          <w:b/>
        </w:rPr>
        <w:t>Shared claim-specific concepts:</w:t>
      </w:r>
      <w:r>
        <w:t xml:space="preserve"> also, present, assess, different, between, regions; EU scope visible. This is a provisional connection, not an outcome finding.</w:t>
      </w:r>
    </w:p>
    <w:p>
      <w:pPr>
        <w:pStyle w:val="SourceNote"/>
      </w:pPr>
      <w:r>
        <w:rPr>
          <w:b/>
        </w:rPr>
        <w:t>Available abstract (not full text):</w:t>
      </w:r>
      <w:r>
        <w:t xml:space="preserve"> Geodiversity is an essential part of nature's diversity. However, geodiversity is insufficiently understood in terms of its spatial distribution and its relationship to biodiversity over large spatial extents. Here, we present European geodiversity data at resolutions of 1 km and 10 km. We assess terrestrial geodiversity quantitatively as a richness variable (georichness) using a commonly employed grid-based approach. The data incorporate aspects of geological, pedological, geomorphological and hydrological diversity, which are also available as separate richness variables. To evaluate the data, we correlated European georichness with empirically tested national georichness data from Finland, revealing a positive correlation at both 1 km ( r p = 0.37, p &lt; 0.001) and 10 km ( r p = 0.59, p &lt; 0.001) resolutions. We also demonstrate potential uses of the European data by correlating georichness with vascular plant species richness in two contrasting example areas: Finland and Switzerland. The positive correlations between georichness and species richness in Finland ( r p = 0.34, p &lt; 0.001) and Switzerland ( r p = 0.26, p &lt; 0.001) further support the use of our data in geodiversity–biodiversity research. Moreover, there is great potential beyond geodiversity–biodiversity questions, as the data can be exploited across different regions, ecosystems and scales. These geodiversity data </w:t>
      </w:r>
    </w:p>
    <w:p>
      <w:pPr/>
      <w:r>
        <w:rPr>
          <w:b/>
        </w:rPr>
        <w:t>POSSIBLE 2023:</w:t>
      </w:r>
      <w:r>
        <w:t xml:space="preserve"> Comparative cost-benefit analysis of upgrading existing office buildings in European climates — https://doi.org/10.26868/25222708.2023.1461</w:t>
      </w:r>
    </w:p>
    <w:p>
      <w:pPr/>
      <w:r>
        <w:rPr>
          <w:b/>
        </w:rPr>
        <w:t>Shared claim-specific concepts:</w:t>
      </w:r>
      <w:r>
        <w:t xml:space="preserve"> also, present, different, between, regarding, interventions; EU scope visible. This is a provisional connection, not an outcome finding.</w:t>
      </w:r>
    </w:p>
    <w:p>
      <w:pPr>
        <w:pStyle w:val="SourceNote"/>
      </w:pPr>
      <w:r>
        <w:rPr>
          <w:b/>
        </w:rPr>
        <w:t>Available abstract (not full text):</w:t>
      </w:r>
      <w:r>
        <w:t xml:space="preserve"> *Aim and Approach*Geographical locations can significantly impact the economic viability of building upgrading strategies. Previous research into environmental and economic assessments has yielded conflicting results regarding whether decarbonization measures result in additional expenditures or cost savings. To address this issue, the cost-benefit analysis (CBA) approach is applied to different climatic conditions representing the three European climate zones Nordic, Continental, and Mediterranean. A case study representative for existing European office buildings is placed in the respective locations to generate an in-depth understanding of results in real-life conditions. The physical properties of the building’s skins are modified to align with the regional characteristics of each location. To represent the main available active and passive intervention scenarios, the addition of photovoltaic panels and the replacement of windows are evaluated. By integrating energy simulation and life-cycle analysis, this paper calculates the environmental and financial costs and benefits of these strategies and discusses how the economic viability would change if different climatic conditions, building typologies, and financial indicators were considered. To this end, the net present value and benefit-to-cost ratio (BCR) are calculated using the results of energy and radiation analysis. T</w:t>
      </w:r>
    </w:p>
    <w:p>
      <w:pPr/>
      <w:r>
        <w:rPr>
          <w:b/>
        </w:rPr>
        <w:t>POSSIBLE 2023:</w:t>
      </w:r>
      <w:r>
        <w:t xml:space="preserve"> Cost benefit analysis of diversified farming systems across Europe: Incorporating non-market benefits of ecosystem services — https://doi.org/10.1016/j.scitotenv.2023.169272</w:t>
      </w:r>
    </w:p>
    <w:p>
      <w:pPr/>
      <w:r>
        <w:rPr>
          <w:b/>
        </w:rPr>
        <w:t>Shared claim-specific concepts:</w:t>
      </w:r>
      <w:r>
        <w:t xml:space="preserve"> assess, different, show, regions; EU scope visible. This is a provisional connection, not an outcome finding.</w:t>
      </w:r>
    </w:p>
    <w:p>
      <w:pPr>
        <w:pStyle w:val="SourceNote"/>
      </w:pPr>
      <w:r>
        <w:rPr>
          <w:b/>
        </w:rPr>
        <w:t>Available abstract (not full text):</w:t>
      </w:r>
      <w:r>
        <w:t xml:space="preserve"> Crop diversification can enhance farm economic sustainability while reducing the negative impact on the environment and ecosystem services related. Despite the market and non-market benefits of crop diversification, monocropping is a widely used dominant practice in Europe. In this context, this works aims to assess the overall economic impact of several crop diversification systems across Europe and compared it to the monocropping system. For this purpose, an economic valuation by integrating market and non-market values for eight case studies distributed across three different European pedoclimatic regions (Southern Mediterranean, Northern Mediterranean and Boreal) is proposed. The economic valuation was conducted both in the short and medium-long term. For the short-term we conducted a social gross margin analysis, while for the medium-long term a cost-benefit analysis is developed. The results show an improvement in social gross margins for most of the diversification scenarios assessed when environmental and socio-cultural benefits are considered in the short-term. In the medium and long-term the transformation of cropping towards a more diversified agriculture is encouraged by greater economic benefits. These results provide a first insight in global economic performance of diversified cropping systems, whose main contribution relies on the integration of market and non-m</w:t>
      </w:r>
    </w:p>
    <w:p>
      <w:pPr/>
      <w:r>
        <w:rPr>
          <w:b/>
        </w:rPr>
        <w:t>POSSIBLE 2023:</w:t>
      </w:r>
      <w:r>
        <w:t xml:space="preserve"> Metaverse applications in education: a systematic review and a cost-benefit analysis — https://doi.org/10.1108/itse-01-2023-0017</w:t>
      </w:r>
    </w:p>
    <w:p>
      <w:pPr/>
      <w:r>
        <w:rPr>
          <w:b/>
        </w:rPr>
        <w:t>Shared claim-specific concepts:</w:t>
      </w:r>
      <w:r>
        <w:t xml:space="preserve"> also, different, technologies; EU scope not established. This is a provisional connection, not an outcome finding.</w:t>
      </w:r>
    </w:p>
    <w:p>
      <w:pPr>
        <w:pStyle w:val="SourceNote"/>
      </w:pPr>
      <w:r>
        <w:rPr>
          <w:b/>
        </w:rPr>
        <w:t>Available abstract (not full text):</w:t>
      </w:r>
      <w:r>
        <w:t xml:space="preserve"> Purpose Many educators are increasingly acquainting themselves and becoming adept with interactive technologies like augmented reality and virtual reality. Some of them are also looking forward to using Metaverse applications, as they want to benefit from its immersive three-dimensional capabilities. Therefore, the purpose of this study is to critically review the extant literature to investigate how, why, where and when the Metaverse can be used for educational purposes. This study also discusses opportunities, challenges and risks related to this disruptive technology. Design/methodology/approach A Preferred Reporting Items for Systematic Reviews and Meta-Analyses rigorous protocol is used to search, extract, scrutinize and synthesize content from high-impact articles focused on the use of the Metaverse technology in the realms of education. Afterwards, this study theorizes on the costs and benefits of using this interactive technology with students. Findings A number of researchers are already experimenting with virtual technologies that are very similar to the Metaverse, in different contexts. This research indicates that most students are lured by immersive multi-sensory three-dimensional environments as well as by virtual reality applications that could simulate real-life situations and provide engaging experiences with virtual representations of people, places and object</w:t>
      </w:r>
    </w:p>
    <w:p>
      <w:pPr/>
      <w:r>
        <w:rPr>
          <w:b/>
        </w:rPr>
        <w:t>POSSIBLE 2023:</w:t>
      </w:r>
      <w:r>
        <w:t xml:space="preserve"> Assessing the Potential of Artificial Intelligence in Advancing Clean Energy Technologies in Europe: A Systematic Review — https://doi.org/10.3390/en16227633</w:t>
      </w:r>
    </w:p>
    <w:p>
      <w:pPr/>
      <w:r>
        <w:rPr>
          <w:b/>
        </w:rPr>
        <w:t>Shared claim-specific concepts:</w:t>
      </w:r>
      <w:r>
        <w:t xml:space="preserve"> also, different, technologies; EU scope visible. This is a provisional connection, not an outcome finding.</w:t>
      </w:r>
    </w:p>
    <w:p>
      <w:pPr>
        <w:pStyle w:val="SourceNote"/>
      </w:pPr>
      <w:r>
        <w:rPr>
          <w:b/>
        </w:rPr>
        <w:t>Available abstract (not full text):</w:t>
      </w:r>
      <w:r>
        <w:t xml:space="preserve"> This systematic review investigates the role of artificial intelligence (AI) in advancing clean energy technologies within Europe, based on a literature survey from 2006 to 2023. The assessment reveals that AI, particularly through deep learning and neural networks, enhances the efficiency, optimization, and management of clean energy systems. Noteworthy is AI’s capacity to improve short-term energy forecasts, essential for smart cities and IoT applications. Our findings indicate that AI drives innovation in renewable energy, contributing to the development of smart grids and enabling collaborative energy-sharing models. While the research underscores AI’s substantial influence in Europe’s energy sector, it also identifies gaps, such as varied AI algorithm applications in different renewable energy sectors. The study emphasizes the need for integrating AI with emerging clean energy innovations, advocating for interdisciplinary research to navigate the socio-economic, environmental, and policy dimensions. This approach is crucial for guiding a sustainable and balanced advancement in the clean energy landscape, signifying AI’s pivotal role in Europe’s energy transition.</w:t>
      </w:r>
    </w:p>
    <w:p>
      <w:pPr/>
      <w:r>
        <w:rPr>
          <w:b/>
        </w:rPr>
        <w:t>POSSIBLE 2021:</w:t>
      </w:r>
      <w:r>
        <w:t xml:space="preserve"> Wind resource evolution in Europe under different scenarios of climate change characterised by the novel Shared Socioeconomic Pathways — https://doi.org/10.1016/j.enconman.2021.113961</w:t>
      </w:r>
    </w:p>
    <w:p>
      <w:pPr/>
      <w:r>
        <w:rPr>
          <w:b/>
        </w:rPr>
        <w:t>Shared claim-specific concepts:</w:t>
      </w:r>
      <w:r>
        <w:t xml:space="preserve"> also, different, regions, political; EU scope visible. This is a provisional connection, not an outcome finding.</w:t>
      </w:r>
    </w:p>
    <w:p>
      <w:pPr>
        <w:pStyle w:val="SourceNote"/>
      </w:pPr>
      <w:r>
        <w:rPr>
          <w:b/>
        </w:rPr>
        <w:t>Available abstract (not full text):</w:t>
      </w:r>
      <w:r>
        <w:t xml:space="preserve"> Wind energy is a fundamental pillar of the energy mix in Europe – hence the need for understanding the evolution of the wind energy resource under climate change. For this purpose, near-, mid- and long-term wind speed projections from 18 global climate models are considered and a multi-model ensemble is constructed with the ones found to best reproduce past-present conditions. The evolution and temporal variability of wind power is investigated considering different climate change scenarios through the novel Shared Socioeconomic Pathways (SSPs). More specifically, two SSPs are considered, each corresponding to its own socio-economic and political environment and, therefore, its own level of greenhouse emissions: SSP5-8.5 (highest emissions scenario) and SSP2-4.5 (intermediate emissions scenario). Both scenarios lead to a significant reduction (up to 35%) in wind power density in northern Continental Europe and the Central Mediterranean, and an increase of similar magnitude in West Finland. Over the Atlantic Ocean, Ireland and Britain the resource is also projected to decrease significantly. In other regions, however, the general trend (positive or negative) depends on the SSP scenario. This is the case, notably, of Central Europe, with considerable growth in SSP2-4.5 but some reduction in SSP5-8.5. Thus, in the intermediate emissions scenario (SSP2-4.5) both growth and decline </w:t>
      </w:r>
    </w:p>
    <w:p>
      <w:pPr/>
      <w:r>
        <w:rPr>
          <w:b/>
        </w:rPr>
        <w:t>POSSIBLE 2021:</w:t>
      </w:r>
      <w:r>
        <w:t xml:space="preserve"> Assessing the Distribution of Exotic Egg Parasitoids of Halyomorpha halys in Europe with a Large-Scale Monitoring Program — https://doi.org/10.3390/insects12040316</w:t>
      </w:r>
    </w:p>
    <w:p>
      <w:pPr/>
      <w:r>
        <w:rPr>
          <w:b/>
        </w:rPr>
        <w:t>Shared claim-specific concepts:</w:t>
      </w:r>
      <w:r>
        <w:t xml:space="preserve"> also, present, assess; EU scope visible. This is a provisional connection, not an outcome finding.</w:t>
      </w:r>
    </w:p>
    <w:p>
      <w:pPr>
        <w:pStyle w:val="SourceNote"/>
      </w:pPr>
      <w:r>
        <w:rPr>
          <w:b/>
        </w:rPr>
        <w:t>Available abstract (not full text):</w:t>
      </w:r>
      <w:r>
        <w:t xml:space="preserve"> The brown marmorated stink bug Halyomorpha halys is an invasive agricultural pest with a worldwide distribution. Classical biological control has been identified as the most promising method to reduce the populations of H. halys. Adventive populations of two candidates for releases, Trissolcus japonicus and Trissolcus mitsukurii, have recently been detected in Europe. To assess their distribution and abundance, a large-scale survey was performed. From May to September 2019, a wide area covering northern Italy and parts of Switzerland was surveyed, highlighting the expanding distribution of both Tr. japonicus and Tr. mitsukurii. Within four years after their first detection in Europe, both species have rapidly spread into all types of habitats where H. halys is present, showing a wide distribution and continuous expansion. Both exotic Trissolcus showed high levels of parasitism rate towards H. halys, while parasitization of non-target species was a rare event. The generalist Anastatus bifasciatus was the predominant native parasitoid of H. halys, while the emergence of native scelionids from H. halys eggs was rarely observed. The presence of the hyperparasitoid Acroclisoides sinicus was also recorded. This study provided fundamental data that supported the development of the first inoculative release program of Tr. japonicus in Europe.</w:t>
      </w:r>
    </w:p>
    <w:p>
      <w:pPr/>
      <w:r>
        <w:rPr>
          <w:b/>
        </w:rPr>
        <w:t>POSSIBLE 2021:</w:t>
      </w:r>
      <w:r>
        <w:t xml:space="preserve"> European Stroke Organisation and European Society for Swallowing Disorders guideline for the diagnosis and treatment of post-stroke dysphagia — https://doi.org/10.1177/23969873211039721</w:t>
      </w:r>
    </w:p>
    <w:p>
      <w:pPr/>
      <w:r>
        <w:rPr>
          <w:b/>
        </w:rPr>
        <w:t>Shared claim-specific concepts:</w:t>
      </w:r>
      <w:r>
        <w:t xml:space="preserve"> also, present, different, interventions; EU scope visible. This is a provisional connection, not an outcome finding.</w:t>
      </w:r>
    </w:p>
    <w:p>
      <w:pPr>
        <w:pStyle w:val="SourceNote"/>
      </w:pPr>
      <w:r>
        <w:rPr>
          <w:b/>
        </w:rPr>
        <w:t>Available abstract (not full text):</w:t>
      </w:r>
      <w:r>
        <w:t xml:space="preserve"> Post-stroke dysphagia (PSD) is present in more than 50% of acute stroke patients, increases the risk of complications, in particular aspiration pneumonia, malnutrition and dehydration, and is linked to poor outcome and mortality. The aim of this guideline is to assist all members of the multidisciplinary team in their management of patients with PSD. These guidelines were developed based on the European Stroke Organisation (ESO) standard operating procedure and followed the Grading of Recommendations, Assessment, Development and Evaluation (GRADE) approach. An interdisciplinary working group identified 20 relevant questions, performed systematic reviews and meta-analyses of the literature, assessed the quality of the available evidence and wrote evidence-based recommendations. Expert opinion was provided if not enough evidence was available to provide recommendations based on the GRADE approach. We found moderate quality of evidence to recommend dysphagia screening in all stroke patients to prevent post-stroke pneumonia and to early mortality and low quality of evidence to suggest dysphagia assessment in stroke patients having been identified at being at risk of PSD. We found low to moderate quality of evidence for a variety of treatment options to improve swallowing physiology and swallowing safety. These options include dietary interventions, behavioural swallowing treatment </w:t>
      </w:r>
    </w:p>
    <w:p>
      <w:pPr/>
      <w:r>
        <w:rPr>
          <w:b/>
        </w:rPr>
        <w:t>POSSIBLE 2021:</w:t>
      </w:r>
      <w:r>
        <w:t xml:space="preserve"> Assessing Nearly Zero Energy Buildings (NZEBs) development in Europe — https://doi.org/10.1016/j.esr.2021.100680</w:t>
      </w:r>
    </w:p>
    <w:p>
      <w:pPr/>
      <w:r>
        <w:rPr>
          <w:b/>
        </w:rPr>
        <w:t>Shared claim-specific concepts:</w:t>
      </w:r>
      <w:r>
        <w:t xml:space="preserve"> also, different, diffusion, technologies; EU scope visible. This is a provisional connection, not an outcome finding.</w:t>
      </w:r>
    </w:p>
    <w:p>
      <w:pPr>
        <w:pStyle w:val="SourceNote"/>
      </w:pPr>
      <w:r>
        <w:rPr>
          <w:b/>
        </w:rPr>
        <w:t>Available abstract (not full text):</w:t>
      </w:r>
      <w:r>
        <w:t xml:space="preserve"> Decarbonising the energy sector is crucial to reach future climate and energy goals. As established by the Energy Performance of Building Directive recast, Nearly Zero Energy Buildings (NZEBs) are the mandatory building target in Europe for all new buildings from 2021 onwards. In the light of the approaching deadline, this paper assesses the development of NZEBs in Europe based on the most recent collected data and information. This paper provides an overview of the implementation of national definitions and energy performance values for new, existing, residential, and non-residential buildings in Member States. It evaluates the differences with the established European benchmark and cost-optimal levels. An overview of the most commonly implemented technologies in NZEBs is given together with costs and the relative projections over next decades. Finally, quantitative data on the NZEBs diffusion in Member States are given as recently assessed. The evolution of the NZEB concept and the future NZEBs role is also forecasted. The results assume a strategic value in the light of future targets for the building sector, showing the progress made by Member States in relation to different NZEBs aspects. They provide a comprehensive analysis of the European NZEBs implementation depicting a positive overall progress improvement for NZEBs definitions, uptake, technology development, and ene</w:t>
      </w:r>
    </w:p>
    <w:p>
      <w:pPr/>
      <w:r>
        <w:rPr>
          <w:b/>
        </w:rPr>
        <w:t>POSSIBLE 2020:</w:t>
      </w:r>
      <w:r>
        <w:t xml:space="preserve"> Economic analysis of BIPV systems as a building envelope material for building skins in Europe — https://doi.org/10.1016/j.energy.2020.117931</w:t>
      </w:r>
    </w:p>
    <w:p>
      <w:pPr/>
      <w:r>
        <w:rPr>
          <w:b/>
        </w:rPr>
        <w:t>Shared claim-specific concepts:</w:t>
      </w:r>
      <w:r>
        <w:t xml:space="preserve"> also, present, alternative; EU scope visible. This is a provisional connection, not an outcome finding.</w:t>
      </w:r>
    </w:p>
    <w:p>
      <w:pPr>
        <w:pStyle w:val="SourceNote"/>
      </w:pPr>
      <w:r>
        <w:rPr>
          <w:b/>
        </w:rPr>
        <w:t>Available abstract (not full text):</w:t>
      </w:r>
      <w:r>
        <w:t xml:space="preserve"> The main purpose of this study is to evaluate the economic feasibility of the BIPV system as a building envelope material for the whole building skins. The paper is dealing with the lifecycle cost analysis (LCCA) of BIPV system in the capitals of all the European Union member states (EU) as well as the capitals of Norway and Switzerland. The results revealed that by a discount rate of zero, BIPV system could refund all the investment even on the north facades while in terms of traditional building envelope materials as an alternative option for building skins, there would be rarely added benefits after investment. Furthermore, the societal and environmental benefits of a BIPV system in Europe have its greatest impact on the south façade. Moreover, for all the studied directions of building skins with a discount rate of five present in Europe except the north facade, just the quantified amount of societal and environmental advantages of BIPV systems could almost reimburse all the invested money. The results illustrated that the BIPV system as a building envelope material for the whole building skins could reimburse not only all the investment costs but also become a source of income for the building.</w:t>
      </w:r>
    </w:p>
    <w:p>
      <w:pPr/>
      <w:r>
        <w:rPr>
          <w:b/>
        </w:rPr>
        <w:t>POSSIBLE 2020:</w:t>
      </w:r>
      <w:r>
        <w:t xml:space="preserve"> Flood trends in Europe: are changes in small and big floods different? — https://doi.org/10.5194/hess-24-1805-2020</w:t>
      </w:r>
    </w:p>
    <w:p>
      <w:pPr/>
      <w:r>
        <w:rPr>
          <w:b/>
        </w:rPr>
        <w:t>Shared claim-specific concepts:</w:t>
      </w:r>
      <w:r>
        <w:t xml:space="preserve"> also, assess, different, show, regions; EU scope visible. This is a provisional connection, not an outcome finding.</w:t>
      </w:r>
    </w:p>
    <w:p>
      <w:pPr>
        <w:pStyle w:val="SourceNote"/>
      </w:pPr>
      <w:r>
        <w:rPr>
          <w:b/>
        </w:rPr>
        <w:t>Available abstract (not full text):</w:t>
      </w:r>
      <w:r>
        <w:t xml:space="preserve"> Abstract. Recent studies have revealed evidence of trends in the median or mean flood discharge in Europe over the last five decades, with clear and coherent regional patterns. The aim of this study is to assess whether trends also occurred for larger return periods accounting for the effect of catchment scale. We analyze 2370 flood records, selected from a newly-available pan-European flood database, with record length of at least 40 years over the period 1960–2010 and with contributing catchment area ranging from 5 to 100 000 km2. To estimate regional flood trends, we use a non-stationary regional flood frequency approach consisting of a regional Gumbel distribution, whose median and growth factor can vary in time with different strengths for different catchment sizes. A Bayesian Monte Carlo Markov Chain (MCMC) approach is used for parameter estimation. We quantify regional trends (and the related sample uncertainties), for floods of selected return periods and for selected catchment areas, across Europe and for three regions where coherent flood trends have been identified in previous studies. Results show that, in the Atlantic region, the trends in flood magnitude are generally positive. In small catchments (up to 100 km2), the 100-year flood increases more than the median flood, while the opposite is observed in medium and large catchments, where even some negative trends </w:t>
      </w:r>
    </w:p>
    <w:p>
      <w:pPr>
        <w:pStyle w:val="Heading2"/>
      </w:pPr>
      <w:r>
        <w:t>827. Environmental Implications of Dynamic Policies on Food Consumption and Waste Handling in the European Union</w:t>
      </w:r>
    </w:p>
    <w:p>
      <w:pPr>
        <w:pStyle w:val="SourceNote"/>
      </w:pPr>
      <w:r>
        <w:rPr>
          <w:b/>
        </w:rPr>
        <w:t>Original source (2016):</w:t>
      </w:r>
      <w:r>
        <w:t xml:space="preserve"> https://doi.org/10.3390/su8030282</w:t>
      </w:r>
    </w:p>
    <w:p>
      <w:pPr/>
      <w:r>
        <w:t>Original wording (abstract; indexed_source_text_not_full_document_verified): The implications are reviewed using a number of scenarios for the years 2030 and 2050 assuming policy instruments are fully effective.</w:t>
      </w:r>
    </w:p>
    <w:p>
      <w:pPr/>
      <w:r>
        <w:rPr>
          <w:b/>
        </w:rPr>
        <w:t>POSSIBLE 2025:</w:t>
      </w:r>
      <w:r>
        <w:t xml:space="preserve"> Mixes of Policy Instruments for the Full Decarbonisation of Energy Systems: A Review — https://doi.org/10.3390/en18010148</w:t>
      </w:r>
    </w:p>
    <w:p>
      <w:pPr/>
      <w:r>
        <w:rPr>
          <w:b/>
        </w:rPr>
        <w:t>Shared claim-specific concepts:</w:t>
      </w:r>
      <w:r>
        <w:t xml:space="preserve"> implications, instruments; EU scope visible. This is a provisional connection, not an outcome finding.</w:t>
      </w:r>
    </w:p>
    <w:p>
      <w:pPr>
        <w:pStyle w:val="SourceNote"/>
      </w:pPr>
      <w:r>
        <w:rPr>
          <w:b/>
        </w:rPr>
        <w:t>Available abstract (not full text):</w:t>
      </w:r>
      <w:r>
        <w:t xml:space="preserve"> Stand-alone carbon pricing is still predominantly advanced as the policy instrument of choice for abating greenhouse gas emissions, although it has enjoyed limited support in practice. Against this background, the current paper investigates whether combinations of climate policy measures constitute a promising avenue for reaching zero emissions in the power, transport, buildings, and industry sectors. Adopting a sectoral approach, we review the international literature on instrument mixes and consolidate previous findings according to four widely employed evaluation criteria, namely environmental effectiveness, economic efficiency, social equity, and political feasibility. The performance of mixes along these dimensions is critically assessed by studying the inter-relationships between decarbonisation levers, decarbonisation barriers, and policy instrument characteristics. Our analysis suggests that carefully designed combinations of measures may perform better than stand-alone instruments in many instances, although trade-offs between policy objectives are inevitable. We show evidence that desirable instrument mixes should be tailored to the characteristics of targeted agents and technologies, but argue that some level of carbon pricing typically offers high potential for synergies with complementary measures in all sectors. The study focuses on Switzerland for illustrative pu</w:t>
      </w:r>
    </w:p>
    <w:p>
      <w:pPr/>
      <w:r>
        <w:rPr>
          <w:b/>
        </w:rPr>
        <w:t>POSSIBLE 2023:</w:t>
      </w:r>
      <w:r>
        <w:t xml:space="preserve"> Investigating local policy instruments for different types of urban agriculture in four European cities: A case study analysis on the use and effectiveness of the applied policy instruments — https://doi.org/10.1016/j.landusepol.2023.106695</w:t>
      </w:r>
    </w:p>
    <w:p>
      <w:pPr/>
      <w:r>
        <w:rPr>
          <w:b/>
        </w:rPr>
        <w:t>Shared claim-specific concepts:</w:t>
      </w:r>
      <w:r>
        <w:t xml:space="preserve"> reviewed, instruments; EU scope visible. This is a provisional connection, not an outcome finding.</w:t>
      </w:r>
    </w:p>
    <w:p>
      <w:pPr>
        <w:pStyle w:val="SourceNote"/>
      </w:pPr>
      <w:r>
        <w:rPr>
          <w:b/>
        </w:rPr>
        <w:t>Available abstract (not full text):</w:t>
      </w:r>
      <w:r>
        <w:t xml:space="preserve"> Over the last decades, urban agriculture (UA) and controlled environmental agriculture (CEA) have been growing in many urban areas of the world to supply fresh food locally and to provide multiple benefits for the sustainable development of urban landscapes. Municipal policies and regulatory tools are increasingly employed to support UA/CEA and minimize practical challenges. However, especially in Europe, there is a lack of systematic reviews that evaluate the impacts of city-level food policies for UA/CEA and their effectiveness as perceived by local responsible actors. To address this gap, this study presents a qualitative overview of municipal policies that affect UA/CEA. We reviewed more than 83 policy documents and manuscripts and performed an online structured survey targeting key local managers or employees of UA and innovative CEA systems in four EU cities – Barcelona (Spain), Lyon (France), Trieste and Udine (Italy). We assessed policy tools, especially for three identified types of UA (allotment gardens, community gardens and closed spaces using CEA) by mainly focusing on public and private institutions and including aspects concerning land use planning, health and environmental policies. The findings demonstrate how the four cities’ municipal governments specifically designed and combined a multiplicity of policy instruments to enable, regulate and acknowledge UA/CEA</w:t>
      </w:r>
    </w:p>
    <w:p>
      <w:pPr/>
      <w:r>
        <w:rPr>
          <w:b/>
        </w:rPr>
        <w:t>POSSIBLE 2021:</w:t>
      </w:r>
      <w:r>
        <w:t xml:space="preserve"> Double materiality and the shift from non-financial to European sustainability reporting: review, outlook and implications — https://doi.org/10.1108/jaar-04-2021-0114</w:t>
      </w:r>
    </w:p>
    <w:p>
      <w:pPr/>
      <w:r>
        <w:rPr>
          <w:b/>
        </w:rPr>
        <w:t>Shared claim-specific concepts:</w:t>
      </w:r>
      <w:r>
        <w:t xml:space="preserve"> implications, number, fully; EU scope visible. This is a provisional connection, not an outcome finding.</w:t>
      </w:r>
    </w:p>
    <w:p>
      <w:pPr>
        <w:pStyle w:val="SourceNote"/>
      </w:pPr>
      <w:r>
        <w:rPr>
          <w:b/>
        </w:rPr>
        <w:t>Available abstract (not full text):</w:t>
      </w:r>
      <w:r>
        <w:t xml:space="preserve"> Purpose This paper outlines the development of the principle of materiality in the European accounting framework, from the Modernization Directive (2003/51/EC) to the NFI Directive (2014/95/EU) and on to the proposals for a Corporate Sustainability Reporting (CSR) Directive (2021/0104 (COD)). The authors highlight how the requirements for corporate reporting in terms of sustainability matters have changed, underlining the main issues that require further attention by practitioners, researchers and legislators. Design/methodology/approach This paper is based upon a historic analysis of European Union (EU) regulations in the field of non-financial and sustainability reporting and how these have changed over time. A conceptual comparison of different reporting concepts is presented, and changes in their relevance to the EU accounting framework are discussed as part of the historic analysis. Implications from corporate practice are derived from previous empirical findings from the EU Commission's consultations. Findings The proposed change from non-financial to sustainability reporting within the EU affects more than simply the terminology used. It implies that a different understanding is needed of both the purposes of company reporting on sustainability matters and the aims of carrying out such reporting. This change was driven by the need and desire to appropriately interpret th</w:t>
      </w:r>
    </w:p>
    <w:p>
      <w:pPr/>
      <w:r>
        <w:rPr>
          <w:b/>
        </w:rPr>
        <w:t>POSSIBLE 2020:</w:t>
      </w:r>
      <w:r>
        <w:t xml:space="preserve"> European environment policy for the circular economy: Implications for business and industry stakeholders — https://doi.org/10.1002/sd.2113</w:t>
      </w:r>
    </w:p>
    <w:p>
      <w:pPr/>
      <w:r>
        <w:rPr>
          <w:b/>
        </w:rPr>
        <w:t>Shared claim-specific concepts:</w:t>
      </w:r>
      <w:r>
        <w:t xml:space="preserve"> implications, number; EU scope visible. This is a provisional connection, not an outcome finding.</w:t>
      </w:r>
    </w:p>
    <w:p>
      <w:pPr>
        <w:pStyle w:val="SourceNote"/>
      </w:pPr>
      <w:r>
        <w:rPr>
          <w:b/>
        </w:rPr>
        <w:t>Available abstract (not full text):</w:t>
      </w:r>
      <w:r>
        <w:t xml:space="preserve"> Abstract European Union (EU) institutions and agencies are increasingly raising awareness on the circular economy agenda. They are encouraging marketplace stakeholders to engage in sustainable production and consumption behaviors by reducing, reusing, restoring, refurbishing, and recycling resources in all stages of their value chain. Therefore, this research evaluates the latest European environmental policies including its “new circular economy plans for a cleaner and more competitive Europe.” Afterwards, it presents a systematic literature review that is focused on the circular economy in the EU context. The findings suggest that there are a number of opportunities as well as challenges for the successful planning, organization, implementation, and measurement of circular economy practices for sustainable supply chains in Europe. This contribution identifies key implications and provides reasonable recommendations to policy makers and industry practitioners.</w:t>
      </w:r>
    </w:p>
    <w:p>
      <w:pPr/>
      <w:r>
        <w:rPr>
          <w:b/>
        </w:rPr>
        <w:t>POSSIBLE 2020:</w:t>
      </w:r>
      <w:r>
        <w:t xml:space="preserve"> Mapping the evidence of climate change adaptation policy instruments in Europe — https://doi.org/10.1088/1748-9326/ab8fd1</w:t>
      </w:r>
    </w:p>
    <w:p>
      <w:pPr/>
      <w:r>
        <w:rPr>
          <w:b/>
        </w:rPr>
        <w:t>Shared claim-specific concepts:</w:t>
      </w:r>
      <w:r>
        <w:t xml:space="preserve"> number, instruments; EU scope visible. This is a provisional connection, not an outcome finding.</w:t>
      </w:r>
    </w:p>
    <w:p>
      <w:pPr>
        <w:pStyle w:val="SourceNote"/>
      </w:pPr>
      <w:r>
        <w:rPr>
          <w:b/>
        </w:rPr>
        <w:t>Available abstract (not full text):</w:t>
      </w:r>
      <w:r>
        <w:t xml:space="preserve"> Abstract With climate change impacts being felt across Europe, governments have started to invest in designing and implementing adaptation actions. The means through which governments adapt is generally referred to as policy instruments. Although there is a large body of adaptation policy literature emerging, our comprehensive understanding of policy instruments is limited nor do we know much about how scholarship on adaptation is addressing critical questions about policy instrument choice and effectiveness to support policy practice. In this article we map academic scholarship on climate change adaptation policy instruments in Europe. Using systematic approaches, we identify 184 relevant articles published 2014–2019. Our findings show that research is heavily concentrated on a limited number of western-European countries, with hardly any insights from eastern Europe and smaller countries. Most studies do not connect climate change impacts and risks with policy instruments, making assessment of policy effectiveness difficult, if not impossible. We argue that expanding the geographical scope of future research and enhancing the diversity of study types across Europe is critical for advancing theories on climate change adaptation policy, as well as providing useful recommendations for policy makers to strengthen the solution space and accelerate climate change adaptation.</w:t>
      </w:r>
    </w:p>
    <w:p>
      <w:pPr/>
      <w:r>
        <w:rPr>
          <w:b/>
        </w:rPr>
        <w:t>POSSIBLE 2020:</w:t>
      </w:r>
      <w:r>
        <w:t xml:space="preserve"> Basel IV implementation: a review of the case of the European Union — https://doi.org/10.1108/jcms-04-2020-0006</w:t>
      </w:r>
    </w:p>
    <w:p>
      <w:pPr/>
      <w:r>
        <w:rPr>
          <w:b/>
        </w:rPr>
        <w:t>Shared claim-specific concepts:</w:t>
      </w:r>
      <w:r>
        <w:t xml:space="preserve"> implications, number; EU scope visible. This is a provisional connection, not an outcome finding.</w:t>
      </w:r>
    </w:p>
    <w:p>
      <w:pPr>
        <w:pStyle w:val="SourceNote"/>
      </w:pPr>
      <w:r>
        <w:rPr>
          <w:b/>
        </w:rPr>
        <w:t>Available abstract (not full text):</w:t>
      </w:r>
      <w:r>
        <w:t xml:space="preserve"> Purpose Introducing radical changes to the methodologies for the determination of capital requirements, the final stage of the Basel III standards, which is referred to as “Basel IV” by the industry, will be a significant challenge for the global banking sector. This article reviews the main components of the new framework, analyses its ongoing implementation in the European Union and discusses its potential impact on banks, putting forward policy recommendations. Design/methodology/approach This article uses primary sources such as the publications by the Basel Committee for Banking Supervision and the European Commission. It also reviews the secondary sources, including both academic articles and analyses by various stakeholders. However, this article does not undertake any empirical analysis. Findings This article discusses that Basel IV will introduce strategic, operational and regulatory challenges for banks in scope. It also identifies a number of areas which are subject to further debate in the European Union such as the enhanced due diligence requirements under the new credit risk framework; governance, reporting and control rules under the operational risk framework; exemptions for certain derivative transactions under the credit valuation adjustment framework and the level of application of the capital floors within banking groups. This article concludes that the glob</w:t>
      </w:r>
    </w:p>
    <w:p>
      <w:pPr/>
      <w:r>
        <w:rPr>
          <w:b/>
        </w:rPr>
        <w:t>POSSIBLE 2018:</w:t>
      </w:r>
      <w:r>
        <w:t xml:space="preserve"> Regional inequality in Europe: evidence, theory and policy implications — https://doi.org/10.1093/jeg/lby021</w:t>
      </w:r>
    </w:p>
    <w:p>
      <w:pPr/>
      <w:r>
        <w:rPr>
          <w:b/>
        </w:rPr>
        <w:t>Shared claim-specific concepts:</w:t>
      </w:r>
      <w:r>
        <w:t xml:space="preserve"> implications, effective; EU scope visible. This is a provisional connection, not an outcome finding.</w:t>
      </w:r>
    </w:p>
    <w:p>
      <w:pPr>
        <w:pStyle w:val="SourceNote"/>
      </w:pPr>
      <w:r>
        <w:rPr>
          <w:b/>
        </w:rPr>
        <w:t>Available abstract (not full text):</w:t>
      </w:r>
      <w:r>
        <w:t xml:space="preserve"> Regional economic divergence has become a threat to economic progress, social cohesion and political stability in Europe. Market processes and policies that are supposed to spread prosperity and opportunity are no longer sufficiently effective. The evidence points to the existence of several different modes of regional economic performance in Europe, responding to different development challenges and opportunities. Both mainstream and heterodox theories have gaps in their ability to explain the existence of these different regional trajectories and the weakness of the convergence processes among them. Therefore, a different approach is required, one that strengthens Europe’s strongest regions but develops new approaches to promote opportunity in industrial declining and less-developed regions. There is ample new theory and evidence to support such an approach, which we have labelled ‘place-sensitive distributed development policy’.</w:t>
      </w:r>
    </w:p>
    <w:p>
      <w:pPr/>
      <w:r>
        <w:rPr>
          <w:b/>
        </w:rPr>
        <w:t>POSSIBLE 2018:</w:t>
      </w:r>
      <w:r>
        <w:t xml:space="preserve"> Review: Beef-eating quality: a European journey — https://doi.org/10.1017/s1751731118001672</w:t>
      </w:r>
    </w:p>
    <w:p>
      <w:pPr/>
      <w:r>
        <w:rPr>
          <w:b/>
        </w:rPr>
        <w:t>Shared claim-specific concepts:</w:t>
      </w:r>
      <w:r>
        <w:t xml:space="preserve"> implications, number, effective; EU scope visible. This is a provisional connection, not an outcome finding.</w:t>
      </w:r>
    </w:p>
    <w:p>
      <w:pPr>
        <w:pStyle w:val="SourceNote"/>
      </w:pPr>
      <w:r>
        <w:rPr>
          <w:b/>
        </w:rPr>
        <w:t>Available abstract (not full text):</w:t>
      </w:r>
      <w:r>
        <w:t xml:space="preserve"> This paper reviews recent research into predicting the eating qualities of beef. A range of instrumental and grading approaches have been discussed, highlighting implications for the European beef industry. Studies incorporating a number of instrumental and spectroscopic techniques illustrate the potential for online systems to non-destructively measure muscle pH, colour, fat and moisture content of beef with R 2 (coefficient of determination) values &gt;0.90. Direct predictions of eating quality (tenderness, flavour, juiciness) and fatty acid content using these methods are also discussed though success is greatly variable. R 2 values for instrumental measures of tenderness have been quoted as high as 0.85 though R 2 values for sensory tenderness values can be as low as 0.01. Discriminant analysis models can improve prediction of variables such as pH and shear force, correctly classifying beef samples into categorical groups with &gt;90% accuracy. Prediction of beef flavour continues to challenge researchers and the industry alike, with R 2 values rarely quoted above 0.50, regardless of instrumental or statistical analysis used. Beef grading systems such as EUROP and United States Department of Agriculture systems provide carcase classification and some indication of yield. Other systems attempt to classify the whole carcase according to expected eating quality. These are being supp</w:t>
      </w:r>
    </w:p>
    <w:p>
      <w:pPr>
        <w:pStyle w:val="Heading2"/>
      </w:pPr>
      <w:r>
        <w:t>828. European Water Footprint Scenarios for 2050</w:t>
      </w:r>
    </w:p>
    <w:p>
      <w:pPr>
        <w:pStyle w:val="SourceNote"/>
      </w:pPr>
      <w:r>
        <w:rPr>
          <w:b/>
        </w:rPr>
        <w:t>Original source (2016):</w:t>
      </w:r>
      <w:r>
        <w:t xml:space="preserve"> https://doi.org/10.3390/w8060226</w:t>
      </w:r>
    </w:p>
    <w:p>
      <w:pPr/>
      <w:r>
        <w:t>Original wording (abstract; indexed_source_text_not_full_document_verified): This study develops water footprint scenarios for Europe for 2050, at the country level, based on projections regarding population and economic growth, production and trade patterns, consumption patterns (diets and bioenergy use) and technological development. We develop four scenarios, considering globalization versus regional self-sufficiency, and development driven by economic objectives versus development driven by social and environmental objectives.</w:t>
      </w:r>
    </w:p>
    <w:p>
      <w:pPr/>
      <w:r>
        <w:rPr>
          <w:b/>
        </w:rPr>
        <w:t>POSSIBLE 2026:</w:t>
      </w:r>
      <w:r>
        <w:t xml:space="preserve"> The water–agriculture–food nexus in Europe: a governance perspective — https://openalex.org/W7205710043</w:t>
      </w:r>
    </w:p>
    <w:p>
      <w:pPr/>
      <w:r>
        <w:rPr>
          <w:b/>
        </w:rPr>
        <w:t>Shared claim-specific concepts:</w:t>
      </w:r>
      <w:r>
        <w:t xml:space="preserve"> water, use, four; EU scope visible. This is a provisional connection, not an outcome finding.</w:t>
      </w:r>
    </w:p>
    <w:p>
      <w:pPr>
        <w:pStyle w:val="SourceNote"/>
      </w:pPr>
      <w:r>
        <w:rPr>
          <w:b/>
        </w:rPr>
        <w:t>Available abstract (not full text):</w:t>
      </w:r>
      <w:r>
        <w:t xml:space="preserve"> Achieving water use within planetary boundaries requires greater alignment among the actors governing water use in food systems. These systems involve multiple actors with diverse and sometimes competing interests, increasing the complexity of understanding how institutional arrangements shape user decisions. This study analyses the water–agriculture–food (WAF) nexus in Europe and proposes a framework, grounded in the Institutional Analysis and Development (IAD) framework, to classify key actors and governance instruments across four institutional levels, from global agenda-setting to local implementation.The findings show that literature remains predominantly water-centered and sectorally fragmented. While water–agriculture linkages are relatively well developed, food-system dimensions and user behavior are less consistently integrated into institutional analyses. Coordination gaps across governance levels further limit the operationalization of nexus-based water conservation strategies. The study also identifies structural economic challenges -including unpriced externalities, information failures, and market power asymmetries- that constrain effective cross-sector governance, and points toward a future research agenda for integrated WAF nexus governance.</w:t>
      </w:r>
    </w:p>
    <w:p>
      <w:pPr/>
      <w:r>
        <w:rPr>
          <w:b/>
        </w:rPr>
        <w:t>POSSIBLE 2025:</w:t>
      </w:r>
      <w:r>
        <w:t xml:space="preserve"> Blue and Green Water Footprint disparities of European households: A spatial structural decomposition analysis approach — https://doi.org/10.5194/egusphere-egu25-18436</w:t>
      </w:r>
    </w:p>
    <w:p>
      <w:pPr/>
      <w:r>
        <w:rPr>
          <w:b/>
        </w:rPr>
        <w:t>Shared claim-specific concepts:</w:t>
      </w:r>
      <w:r>
        <w:t xml:space="preserve"> water, footprint, patterns, consumption; EU scope visible. This is a provisional connection, not an outcome finding.</w:t>
      </w:r>
    </w:p>
    <w:p>
      <w:pPr>
        <w:pStyle w:val="SourceNote"/>
      </w:pPr>
      <w:r>
        <w:rPr>
          <w:b/>
        </w:rPr>
        <w:t>Available abstract (not full text):</w:t>
      </w:r>
      <w:r>
        <w:t xml:space="preserve"> Water is an essential resource for the development of any economy as well as for human well-being. However, recent environmental crises, such as long periods of drought, are increasingly jeopardising the availability of this resource. The water footprint is caused not only by productive activity but also by household consumption. Thus, households also have a responsibility to be aware of their consumption, as their consumption patterns will produce a certain water footprint.It is in this context that we propose this article. Using a socially (different income groups) as well as environmentally (blue and green water footprint) extended multi-regional and multi-sectoral input-output model, we aim to analyse the per capita blue water footprint of European households for the year 2021. Not only that, but through a spatial structural decomposition analysis, we aim to investigate the disparities in the water footprint of European households, trying to find out what factors lie behind these differences. We intend to do this research not only for the total number of European households, but also for their income quintiles.The first results show that households in the most developed European economies have the largest per capita blue water footprint. Behind this footprint is the fact that the intensity effect distances these powers from the European average. On the other hand, the consu</w:t>
      </w:r>
    </w:p>
    <w:p>
      <w:pPr/>
      <w:r>
        <w:rPr>
          <w:b/>
        </w:rPr>
        <w:t>POSSIBLE 2024:</w:t>
      </w:r>
      <w:r>
        <w:t xml:space="preserve"> The water footprint of hydrogen production — https://doi.org/10.1016/j.scitotenv.2024.172384</w:t>
      </w:r>
    </w:p>
    <w:p>
      <w:pPr/>
      <w:r>
        <w:rPr>
          <w:b/>
        </w:rPr>
        <w:t>Shared claim-specific concepts:</w:t>
      </w:r>
      <w:r>
        <w:t xml:space="preserve"> water, footprint, production; EU scope not established. This is a provisional connection, not an outcome finding.</w:t>
      </w:r>
    </w:p>
    <w:p>
      <w:pPr>
        <w:pStyle w:val="SourceNote"/>
      </w:pPr>
      <w:r>
        <w:rPr>
          <w:b/>
        </w:rPr>
        <w:t>Available abstract (not full text):</w:t>
      </w:r>
      <w:r>
        <w:t xml:space="preserve"> Unavailable</w:t>
      </w:r>
    </w:p>
    <w:p>
      <w:pPr/>
      <w:r>
        <w:rPr>
          <w:b/>
        </w:rPr>
        <w:t>POSSIBLE 2024:</w:t>
      </w:r>
      <w:r>
        <w:t xml:space="preserve"> The Domestic Water Footprint of the Inhabitants of Iași Municipality. Preliminary results — https://doi.org/10.47743/lsgdc.v52i2.01</w:t>
      </w:r>
    </w:p>
    <w:p>
      <w:pPr/>
      <w:r>
        <w:rPr>
          <w:b/>
        </w:rPr>
        <w:t>Shared claim-specific concepts:</w:t>
      </w:r>
      <w:r>
        <w:t xml:space="preserve"> water, footprint, based, consumption; EU scope visible. This is a provisional connection, not an outcome finding.</w:t>
      </w:r>
    </w:p>
    <w:p>
      <w:pPr>
        <w:pStyle w:val="SourceNote"/>
      </w:pPr>
      <w:r>
        <w:rPr>
          <w:b/>
        </w:rPr>
        <w:t>Available abstract (not full text):</w:t>
      </w:r>
      <w:r>
        <w:t xml:space="preserve"> The water footprint is an essential indicator reflecting water usage across human activities, encompassing blue, green, and grey footprints. It raises awareness of direct and indirect water consumption and its environmental impacts. In our research, we developed a methodology based on bibliographic analysis, focusing specifically on the residential component of water usage. The results are based on average values of evaluated parameters, which provide suggestive insights. To gather data, we distributed a quantitative questionnaire to residents of the Iași metropolitan area. The preliminary findings, based on 175 anonymous responses, reveal an average water footprint of 7,999.277 liters per day per person. By comparison, the average daily water footprint is 3,397 liters globally, 3,287 liters in Europe and 4,627 liters in Romania. The highest footprint (11,536.22 liters per day) was found in Moara de Vânt-Țicău, while the lowest (6,293.57 liters per day) was in Centru. Statistical analyses were conducted to examine the relationship between water consumption and various demographic, educational and social factors (for instance, higher water usage among more educated individuals could be attributed to their habits or social influences). The study faced limitations, including poor questionnaire response rates, age restrictions, partial water footprint analysis, and uneven neighborh</w:t>
      </w:r>
    </w:p>
    <w:p>
      <w:pPr/>
      <w:r>
        <w:rPr>
          <w:b/>
        </w:rPr>
        <w:t>POSSIBLE 2023:</w:t>
      </w:r>
      <w:r>
        <w:t xml:space="preserve"> Advancing water footprint assessments: Combining the impacts of water pollution and scarcity — https://doi.org/10.1016/j.scitotenv.2023.161910</w:t>
      </w:r>
    </w:p>
    <w:p>
      <w:pPr/>
      <w:r>
        <w:rPr>
          <w:b/>
        </w:rPr>
        <w:t>Shared claim-specific concepts:</w:t>
      </w:r>
      <w:r>
        <w:t xml:space="preserve"> water, footprint, level, consumption, use; EU scope visible. This is a provisional connection, not an outcome finding.</w:t>
      </w:r>
    </w:p>
    <w:p>
      <w:pPr>
        <w:pStyle w:val="SourceNote"/>
      </w:pPr>
      <w:r>
        <w:rPr>
          <w:b/>
        </w:rPr>
        <w:t>Available abstract (not full text):</w:t>
      </w:r>
      <w:r>
        <w:t xml:space="preserve"> Several water footprint indicators have been developed to curb freshwater stress. Volumetric footprints support water allocation decisions and strive to increase water productivity in all sectors. In contrast, impact-oriented footprints are used to minimize the impacts of water use on human health, ecosystems, and freshwater resources. Efforts to combine both perspectives in a harmonized framework have been undertaken, but common challenges remain, such as pollution and ecosystems impacts modelling. To address these knowledge gaps, we build upon a water footprint assessment framework proposed at conceptual level to expand and operationalize relevant features. We propose two regionalized indicators, namely the water biodiversity footprint and the water resource footprint, that aggregate all impacts from toxic chemicals, nutrients, and water scarcity. The first impact indicator represents the impacts on freshwater ecosystems. The second one models the competition for freshwater resources and its consequences on freshwater availability. As part of the framework, we complement the two indicators with a sustainability assessment representing the levels above which ecological and human freshwater needs are no longer sustained. We test our approach assessing the sustainability of water use in the European Union in 2010. Water stress hampers 15 % of domestic, agricultural and industria</w:t>
      </w:r>
    </w:p>
    <w:p>
      <w:pPr/>
      <w:r>
        <w:rPr>
          <w:b/>
        </w:rPr>
        <w:t>POSSIBLE 2023:</w:t>
      </w:r>
      <w:r>
        <w:t xml:space="preserve"> Gone with the clouds: Estimating the electricity and water footprint of digital data services in Europe — https://doi.org/10.1016/j.enconman.2023.117225</w:t>
      </w:r>
    </w:p>
    <w:p>
      <w:pPr/>
      <w:r>
        <w:rPr>
          <w:b/>
        </w:rPr>
        <w:t>Shared claim-specific concepts:</w:t>
      </w:r>
      <w:r>
        <w:t xml:space="preserve"> water, footprint, population, consumption, technological; EU scope visible. This is a provisional connection, not an outcome finding.</w:t>
      </w:r>
    </w:p>
    <w:p>
      <w:pPr>
        <w:pStyle w:val="SourceNote"/>
      </w:pPr>
      <w:r>
        <w:rPr>
          <w:b/>
        </w:rPr>
        <w:t>Available abstract (not full text):</w:t>
      </w:r>
      <w:r>
        <w:t xml:space="preserve"> Cloud and data services have experienced a constant increase in demand ever since their availability. Whether for computing of complex models, digital data storage, blockchain transactions or digital service hosting, digital data is having an increasingly important role in society. However, with the increasing presence of data centers, not only the availability and quality of cloud and data services increases, but also the demand for electricity and water by the digital services industry. This work aims to provide an estimation for the current and future water consumption of digital data services in Europe from 2022 to 2030. The projection considers European trends for population, data services consumption, technological development, data transmission and energy consumption among other factors. Publicly available data was combined with literature research to extrapolate the development of digital data usage in Europe until 2030. The results demonstrate that from 273.4 to 820.1 million cubic meters of water and from 56.3 to 169 Terawatt-hour of electricity will be consumed yearly in Europe in 2030 for internet usage.</w:t>
      </w:r>
    </w:p>
    <w:p>
      <w:pPr/>
      <w:r>
        <w:rPr>
          <w:b/>
        </w:rPr>
        <w:t>POSSIBLE 2023:</w:t>
      </w:r>
      <w:r>
        <w:t xml:space="preserve"> European Union Regulation of Water Stress Risks — https://doi.org/10.1017/err.2023.76</w:t>
      </w:r>
    </w:p>
    <w:p>
      <w:pPr/>
      <w:r>
        <w:rPr>
          <w:b/>
        </w:rPr>
        <w:t>Shared claim-specific concepts:</w:t>
      </w:r>
      <w:r>
        <w:t xml:space="preserve"> water, level, based; EU scope visible. This is a provisional connection, not an outcome finding.</w:t>
      </w:r>
    </w:p>
    <w:p>
      <w:pPr>
        <w:pStyle w:val="SourceNote"/>
      </w:pPr>
      <w:r>
        <w:rPr>
          <w:b/>
        </w:rPr>
        <w:t>Available abstract (not full text):</w:t>
      </w:r>
      <w:r>
        <w:t xml:space="preserve"> Abstract Water stress is a growing concern in Europe, partly due to the changing climate context. Despite the cross-cutting impacts that water availability has on different areas under the competence of the European Union (EU), there is not currently a comprehensive and systematic legal framework addressing this issue. The purpose of this article is therefore to examine the EU legislation that concerns the measures aimed at mitigating these risks. To this purpose, it is first examined how droughts and water scarcity are framed within EU legal acts. Based on such an overview, the analysis is directed to the mechanisms developed at the EU level for monitoring, identifying and forecasting water stress risks, as well as the legal provisions relating to the planning tools. The remainder of the article is devoted to the regulation of preventative measures for water scarcity and drought risk reduction, following the water hierarchy resulting from COM(2007) 414.</w:t>
      </w:r>
    </w:p>
    <w:p>
      <w:pPr/>
      <w:r>
        <w:rPr>
          <w:b/>
        </w:rPr>
        <w:t>POSSIBLE 2022:</w:t>
      </w:r>
      <w:r>
        <w:t xml:space="preserve"> Analysis of the Water Footprint of Central and Eastern Europe Countries — https://doi.org/10.21697/seb.2022.27</w:t>
      </w:r>
    </w:p>
    <w:p>
      <w:pPr/>
      <w:r>
        <w:rPr>
          <w:b/>
        </w:rPr>
        <w:t>Shared claim-specific concepts:</w:t>
      </w:r>
      <w:r>
        <w:t xml:space="preserve"> water, footprint, production; EU scope visible. This is a provisional connection, not an outcome finding.</w:t>
      </w:r>
    </w:p>
    <w:p>
      <w:pPr>
        <w:pStyle w:val="SourceNote"/>
      </w:pPr>
      <w:r>
        <w:rPr>
          <w:b/>
        </w:rPr>
        <w:t>Available abstract (not full text):</w:t>
      </w:r>
      <w:r>
        <w:t xml:space="preserve"> The article presents an analysis of the water footprint of five Central and Eastern European countries, i.e. Poland, Slovakia, Lithuania, Ukraine and Belarus. The first three are members of the European Union, the other two are not. These countries also differ in terms of climate. The green, blue and grey water footprints of crop production, grazing, animal water supply, industrial production and domestic water supply are analysed. The per capita water footprint is also calculated. It is the highest for the countries of the former Soviet Union, that is Ukraine, Belarus and Lithuania, and half as low for Poland and Slovakia. In the case of virtual water, Poland dominates in the area of import, and Ukraine in export. The index of the net import of virtual water is unfavourable for Ukraine and Lithuania and is much more positive for Poland and Belarus. When calculated per capita, the net import of green virtual water is the highest for Belarus (340 m3/person/year) and Poland (148 m3/person/year). A positive value of this index was also recorded for Slovakia and negative for Lithuania and Ukraine (-282 m3/person/year). Taking into account the exposure of the southern Ukraine steppe to water stress, this is not a favourable situation for greater export of virtual water than its import.</w:t>
      </w:r>
    </w:p>
    <w:p>
      <w:pPr/>
      <w:r>
        <w:rPr>
          <w:b/>
        </w:rPr>
        <w:t>POSSIBLE 2022:</w:t>
      </w:r>
      <w:r>
        <w:t xml:space="preserve"> IoT-Based Solutions to Monitor Water Level, Leakage, and Motor Control for Smart Water Tanks — https://doi.org/10.3390/w14030309</w:t>
      </w:r>
    </w:p>
    <w:p>
      <w:pPr/>
      <w:r>
        <w:rPr>
          <w:b/>
        </w:rPr>
        <w:t>Shared claim-specific concepts:</w:t>
      </w:r>
      <w:r>
        <w:t xml:space="preserve"> water, level, population; EU scope not established. This is a provisional connection, not an outcome finding.</w:t>
      </w:r>
    </w:p>
    <w:p>
      <w:pPr>
        <w:pStyle w:val="SourceNote"/>
      </w:pPr>
      <w:r>
        <w:rPr>
          <w:b/>
        </w:rPr>
        <w:t>Available abstract (not full text):</w:t>
      </w:r>
      <w:r>
        <w:t xml:space="preserve"> Today, a large portion of the human population around the globe has no access to freshwater for drinking, cooking, and other domestic applications. Water resources in numerous countries are becoming scarce due to over urbanization, rapid industrial growth, and current global warming. Water is often stored in the aboveground or underground tanks. In developing countries, these tanks are maintained manually, and in some cases, water is wasted due to human negligence. In addition, water could also leak out from tanks and supply pipes due to the decayed infrastructure. To address these issues, researchers worldwide turned to the Internet-of-Things (IoT) technology to efficiently monitor water levels, detect leakage, and auto refill tanks whenever needed. Notably, this technology can also supply real-time feedback to end-users and other experts through a webpage or a smartphone. Literature reveals a plethora of review articles on smart water monitoring, including water quality, supply pipes leakage, and water waste recycling. However, none of the reviews focus on the IoT-based solution to monitor water level, detect water leakage, and auto control water pumps, especially at the induvial level that form a vast proportion of water consumers worldwide. To fill this gap in the literature, this study presents a review of IoT-controlled water storage tanks (IoT-WST). Some important contri</w:t>
      </w:r>
    </w:p>
    <w:p>
      <w:pPr/>
      <w:r>
        <w:rPr>
          <w:b/>
        </w:rPr>
        <w:t>POSSIBLE 2022:</w:t>
      </w:r>
      <w:r>
        <w:t xml:space="preserve"> A Water Level Measurement Approach Based on YOLOv5s — https://doi.org/10.3390/s22103714</w:t>
      </w:r>
    </w:p>
    <w:p>
      <w:pPr/>
      <w:r>
        <w:rPr>
          <w:b/>
        </w:rPr>
        <w:t>Shared claim-specific concepts:</w:t>
      </w:r>
      <w:r>
        <w:t xml:space="preserve"> water, level, based; EU scope not established. This is a provisional connection, not an outcome finding.</w:t>
      </w:r>
    </w:p>
    <w:p>
      <w:pPr>
        <w:pStyle w:val="SourceNote"/>
      </w:pPr>
      <w:r>
        <w:rPr>
          <w:b/>
        </w:rPr>
        <w:t>Available abstract (not full text):</w:t>
      </w:r>
      <w:r>
        <w:t xml:space="preserve"> Existing water gauge reading approaches based on image analysis have problems such as poor scene adaptability and weak robustness. Here, we proposed a novel water level measurement method based on deep learning (YOLOv5s, convolutional neural network) to overcome these problems. The proposed method uses the YOLOv5s to extract the water gauge area and all scale character areas in the original video image, uses image processing technology to identify the position of the water surface line, and then calculates the actual water level elevation. The proposed method is validated with a video monitoring station on a river in Beijing, and the results show that the systematic error of the proposed method is only 7.7 mm, the error is within 1 cm/the error is between 1 cm and 3 cm, and the proportion of the number of images is 95%/5% (daylight), 98%/2% (infrared lighting at night), 97%/2% (strong light), 45%/44% (transparent water body), 91%/9% (rainfall), and 90%/10% (water gauge is slightly dirty). The results demonstrate that the proposed method shows good performance in different scenes, and its effectiveness has been confirmed. At the same time, it has a strong robustness and provides a certain reference for the application of deep learning in the field of hydrological monitoring.</w:t>
      </w:r>
    </w:p>
    <w:p>
      <w:pPr/>
      <w:r>
        <w:rPr>
          <w:b/>
        </w:rPr>
        <w:t>POSSIBLE 2022:</w:t>
      </w:r>
      <w:r>
        <w:t xml:space="preserve"> Historical simulation of maize water footprints with a new global gridded crop model ACEA — https://doi.org/10.5194/hess-26-923-2022</w:t>
      </w:r>
    </w:p>
    <w:p>
      <w:pPr/>
      <w:r>
        <w:rPr>
          <w:b/>
        </w:rPr>
        <w:t>Shared claim-specific concepts:</w:t>
      </w:r>
      <w:r>
        <w:t xml:space="preserve"> water, footprint, production, develop; EU scope visible. This is a provisional connection, not an outcome finding.</w:t>
      </w:r>
    </w:p>
    <w:p>
      <w:pPr>
        <w:pStyle w:val="SourceNote"/>
      </w:pPr>
      <w:r>
        <w:rPr>
          <w:b/>
        </w:rPr>
        <w:t>Available abstract (not full text):</w:t>
      </w:r>
      <w:r>
        <w:t xml:space="preserve"> Abstract. Crop water productivity is a key element of water and food security in the world and can be quantified by the water footprint (WF). Previous studies have looked at the spatially explicit distribution of crop WFs but little is known about the temporal dynamics. We develop a new global gridded crop model – AquaCrop-Earth@lternatives (ACEA) – that can simulate three consumptive WF components: green (WFg), blue from irrigation (WFbi), and blue from capillary rise (WFbc) at high temporal and spatial resolutions. The model is applied to analyse global maize production during 1986–2016 at 5 × 5 arc minute grid. Our results show that in 2012–2016, the global average unit WF of maize is 723.2 m3 t−1 y−1 (89.5 % WFg, 8.3 % WFbi, 2.2 % WFbc) with values varying greatly around the world. Regions characterised by high agricultural development generally show a small unit WF and its interannual variation, such as Western Europe and Northern America (WF &lt; 500 m3 t−1 y−1, CV &lt; 15 %). On the contrary, regions with low agricultural development show opposite outcomes, such as Middle and Eastern Africa (WF &gt; 2500 m3 t−1 y−1, CV &gt; 40 %). Since 1986, the global unit WF of maize has reduced by 34.6 % mainly due to the historical decrease in yield gaps. However, due to the rapid expansion of rainfed and irrigated cropland, the global WF of maize production has increased by 48.8 % peaking at 7</w:t>
      </w:r>
    </w:p>
    <w:p>
      <w:pPr/>
      <w:r>
        <w:rPr>
          <w:b/>
        </w:rPr>
        <w:t>POSSIBLE 2022:</w:t>
      </w:r>
      <w:r>
        <w:t xml:space="preserve"> Food Recommendations for Reducing Water Footprint — https://doi.org/10.3390/su14073833</w:t>
      </w:r>
    </w:p>
    <w:p>
      <w:pPr/>
      <w:r>
        <w:rPr>
          <w:b/>
        </w:rPr>
        <w:t>Shared claim-specific concepts:</w:t>
      </w:r>
      <w:r>
        <w:t xml:space="preserve"> water, footprint, production; EU scope not established. This is a provisional connection, not an outcome finding.</w:t>
      </w:r>
    </w:p>
    <w:p>
      <w:pPr>
        <w:pStyle w:val="SourceNote"/>
      </w:pPr>
      <w:r>
        <w:rPr>
          <w:b/>
        </w:rPr>
        <w:t>Available abstract (not full text):</w:t>
      </w:r>
      <w:r>
        <w:t xml:space="preserve"> Most existing food-related research efforts focus on recipe retrieval, user preference-based food recommendation, kitchen assistance, or nutritional and caloric estimation of dishes, ignoring personalized and conscious food recommendations resources of the planet. Therefore, in this work, we present a personalized food recommendation scheme, mapping the ingredients to the most resource-friendly dishes on the planet and in particular, selecting recipes that contain ingredients that consume as little water as possible for their production. The system proposed here is able to understand the user’s behavior and to suggest tailor-made recipes with lower water quantity used in production. By continuously using the system, the user can gradually reduce their water footprint and benefit from a healthier diet. The proposed recommendation system was compared with the results of two papers available in the literature that represent the state of the art, obtaining similar results. Therefore, the results of the presented recommendation system can be considered reliable.</w:t>
      </w:r>
    </w:p>
    <w:p>
      <w:pPr>
        <w:pStyle w:val="Heading2"/>
      </w:pPr>
      <w:r>
        <w:t>829. Financing Innovations for the Renewable Energy Transition in Europe</w:t>
      </w:r>
    </w:p>
    <w:p>
      <w:pPr>
        <w:pStyle w:val="SourceNote"/>
      </w:pPr>
      <w:r>
        <w:rPr>
          <w:b/>
        </w:rPr>
        <w:t>Original source (2016):</w:t>
      </w:r>
      <w:r>
        <w:t xml:space="preserve"> https://doi.org/10.3390/en9120990</w:t>
      </w:r>
    </w:p>
    <w:p>
      <w:pPr/>
      <w:r>
        <w:t>Original wording (abstract; indexed_source_text_not_full_document_verified): Results indicate that Member States in Europe currently tend to fund renewables more than the European Commission, but funding from both sources is expected to increase in the future. Both scenarios are compared to the European 2030 climate and energy framework target sets.</w:t>
      </w:r>
    </w:p>
    <w:p>
      <w:pPr/>
      <w:r>
        <w:rPr>
          <w:b/>
        </w:rPr>
        <w:t>POSSIBLE 2026:</w:t>
      </w:r>
      <w:r>
        <w:t xml:space="preserve"> The Budgetary and Economic Impact of Taxation in the Member States of the European Union — https://openalex.org/W7169690466</w:t>
      </w:r>
    </w:p>
    <w:p>
      <w:pPr/>
      <w:r>
        <w:rPr>
          <w:b/>
        </w:rPr>
        <w:t>Shared claim-specific concepts:</w:t>
      </w:r>
      <w:r>
        <w:t xml:space="preserve"> member, states, framework; EU scope visible. This is a provisional connection, not an outcome finding.</w:t>
      </w:r>
    </w:p>
    <w:p>
      <w:pPr>
        <w:pStyle w:val="SourceNote"/>
      </w:pPr>
      <w:r>
        <w:rPr>
          <w:b/>
        </w:rPr>
        <w:t>Available abstract (not full text):</w:t>
      </w:r>
      <w:r>
        <w:t xml:space="preserve"> Fiscal policy is a key strategic instrument in the European macroeconomic framework, serving a dual role: as the primary source of public revenue and as a mechanism for countercyclical intervention, redistribution, and the correction of market failures. This research proposes an integrated, theoretical-empirical examination of the budgetary and macroeconomic repercussions of taxation in European Union member states, emphasizing the mechanisms through which the level and composition of tax revenues influence GDP growth, fiscal balance, employment, and living standards. Conceptually, the study is based on the classical and contemporary paradigms of public finance and on approaches regarding the nonlinear relationships between tax pressure and tax revenue. Methodologically, the study employs a comparative structural approach combined with descriptive analyses of time series and econometric inference – including higher-order polynomial regressions to test the empirical form of the Laffer Curve – based on official statistical data (EUROSTAT, AMECO). The main findings highlight persistent heterogeneity in fiscal positions across EU, a robust relationship between employment and the level of tax revenue collected, and a complex correlation between the tax burden and living standards, mediated by the tax base and productivity. The Romania case study indicates high elasticity of tax reve</w:t>
      </w:r>
    </w:p>
    <w:p>
      <w:pPr/>
      <w:r>
        <w:rPr>
          <w:b/>
        </w:rPr>
        <w:t>POSSIBLE 2026:</w:t>
      </w:r>
      <w:r>
        <w:t xml:space="preserve"> Maritime Passenger Mobility in the European Union: Trends, Recovery and a Typology of Member States — https://doi.org/10.35808/ersj/4439</w:t>
      </w:r>
    </w:p>
    <w:p>
      <w:pPr/>
      <w:r>
        <w:rPr>
          <w:b/>
        </w:rPr>
        <w:t>Shared claim-specific concepts:</w:t>
      </w:r>
      <w:r>
        <w:t xml:space="preserve"> indicate, member, states, both, increase; EU scope visible. This is a provisional connection, not an outcome finding.</w:t>
      </w:r>
    </w:p>
    <w:p>
      <w:pPr>
        <w:pStyle w:val="SourceNote"/>
      </w:pPr>
      <w:r>
        <w:rPr>
          <w:b/>
        </w:rPr>
        <w:t>Available abstract (not full text):</w:t>
      </w:r>
      <w:r>
        <w:t xml:space="preserve"> Purpose: The aim of this article is to identify and assess the differentiated recovery trajectories of maritime passenger mobility in European Union Member States following the disruption caused by the COVID-19 pandemic.The study focuses on determining the extent to which individual countries restored passenger traffic levels and whether groups of countries characterised by similar recovery patterns can be distinguished over the period 2019-2024.Design/MethodologyApproach: The study covers European Union Member States for which comparable statistical data on maritime passenger transport were available for 2019-2024.Eurostat data on the number of passengers handled in seaports were used.Changes were assessed using growth indices, the Recovery Index and the average post-pandemic recovery growth rate.To identify countries with similar trajectories, hierarchical cluster analysis using Ward's method was applied after standardisation of the variables. Findings:The results indicate that the recovery of maritime passenger mobility in the European Union was clearly heterogeneous.Despite an overall increase in passenger numbers after 2020, both the pace and scale of recovery differed substantially across Member States.Cluster analysis identified distinct recovery trajectories, ranging from countries that rapidly returned to or exceeded pre-pandemic passenger levels to cases of persistent</w:t>
      </w:r>
    </w:p>
    <w:p>
      <w:pPr/>
      <w:r>
        <w:rPr>
          <w:b/>
        </w:rPr>
        <w:t>POSSIBLE 2025:</w:t>
      </w:r>
      <w:r>
        <w:t xml:space="preserve"> Comparison of Excise Duties in the Member States of the European Union — https://openalex.org/W7128985412</w:t>
      </w:r>
    </w:p>
    <w:p>
      <w:pPr/>
      <w:r>
        <w:rPr>
          <w:b/>
        </w:rPr>
        <w:t>Shared claim-specific concepts:</w:t>
      </w:r>
      <w:r>
        <w:t xml:space="preserve"> indicate, member, states, both, framework; EU scope visible. This is a provisional connection, not an outcome finding.</w:t>
      </w:r>
    </w:p>
    <w:p>
      <w:pPr>
        <w:pStyle w:val="SourceNote"/>
      </w:pPr>
      <w:r>
        <w:rPr>
          <w:b/>
        </w:rPr>
        <w:t>Available abstract (not full text):</w:t>
      </w:r>
      <w:r>
        <w:t xml:space="preserve"> This thesis focuses on the regulation of excise duties in the member states of the European Union, their harmonization, legislative framework, and application across individual EU countries. It analyses the overall tax burden, tax rates, and revenues from excise duties. Both qualitative methods, such as data collection and observation, and quantitative methods, including cluster analysis, trend analysis, and data comparison, are used. The results show a high level of similarity among member states' tax systems, confirming the significant impact of harmonization. Exceptions occur infrequently. The findings also indicate that increasing tax rates as part of the harmonization process contributes in most countries to reducing the consumption of harmful commodities and provides stable public revenue. Thus, the harmonization of excise duties within the EU fulfils its role both fiscally and in terms of public health.</w:t>
      </w:r>
    </w:p>
    <w:p>
      <w:pPr/>
      <w:r>
        <w:rPr>
          <w:b/>
        </w:rPr>
        <w:t>POSSIBLE 2025:</w:t>
      </w:r>
      <w:r>
        <w:t xml:space="preserve"> The Governance and Funding of European Rearmament — https://doi.org/10.2478/ie-2025-0041</w:t>
      </w:r>
    </w:p>
    <w:p>
      <w:pPr/>
      <w:r>
        <w:rPr>
          <w:b/>
        </w:rPr>
        <w:t>Shared claim-specific concepts:</w:t>
      </w:r>
      <w:r>
        <w:t xml:space="preserve"> states, fund, but, funding, both, increase; EU scope visible. This is a provisional connection, not an outcome finding.</w:t>
      </w:r>
    </w:p>
    <w:p>
      <w:pPr>
        <w:pStyle w:val="SourceNote"/>
      </w:pPr>
      <w:r>
        <w:rPr>
          <w:b/>
        </w:rPr>
        <w:t>Available abstract (not full text):</w:t>
      </w:r>
      <w:r>
        <w:t xml:space="preserve"> Europe faces a grave security threat. Gaps in European military equipment are substantial compared to Russia's military build-up. The European defence market is fragmented and weakened by home bias in procurement, low order numbers and technological gaps. These problems reflect the combination of past reliance on the United States and Europe's nationally-based defence governance. With the US now retreating from its role of European guardian, greater cooperation is essential to close technological gaps and reduce rearmament costs. Unless procurement is pooled and fragmentation reduced, additional demand for defence goods will mainly drive up prices. Better-integrated defence markets would both increase competition and facilitate entry of new defence technology firms. The combination of integrated markets and scaled-up procurement could lead to a halving of unit costs. European Union measures including the European Defence Fund, the Act in Support of Ammunition Production, the European Defence Industry Reinforcement through Common Procurement Act and ReArm Europe represent progress towards strengthening the supply of military goods but the incentives offered are too small to address the home bias in procurement or to coordinate the provision of 'strategic enablers' such as military satellites. To go further, the EU and its European allies have two options. First, the role of the </w:t>
      </w:r>
    </w:p>
    <w:p>
      <w:pPr/>
      <w:r>
        <w:rPr>
          <w:b/>
        </w:rPr>
        <w:t>POSSIBLE 2025:</w:t>
      </w:r>
      <w:r>
        <w:t xml:space="preserve"> Settling the debate: does digitalisation impact the economic growth in the European Union Member States? — https://doi.org/10.3846/tede.2025.22576</w:t>
      </w:r>
    </w:p>
    <w:p>
      <w:pPr/>
      <w:r>
        <w:rPr>
          <w:b/>
        </w:rPr>
        <w:t>Shared claim-specific concepts:</w:t>
      </w:r>
      <w:r>
        <w:t xml:space="preserve"> indicate, member, states; EU scope visible. This is a provisional connection, not an outcome finding.</w:t>
      </w:r>
    </w:p>
    <w:p>
      <w:pPr>
        <w:pStyle w:val="SourceNote"/>
      </w:pPr>
      <w:r>
        <w:rPr>
          <w:b/>
        </w:rPr>
        <w:t>Available abstract (not full text):</w:t>
      </w:r>
      <w:r>
        <w:t xml:space="preserve"> This research analyses the influence of digitalisation (Digitalisation Composite Indicator (ITC)) on economic growth (GDP per capita) by scrutinising the progression of digitalisation intensity and its impact. Digital technology has the potential to exert a substantial influence on various facets of the national economy, significantly impacting economic growth, innovation, and overall quality of life. Given the disparities among European Union Member States concerning governance quality, the imperative of digitalisation becomes evident in advancing economic prosperity, irrespective of a country’s development status. Specifically, our study aims to evaluate the effects of the implementation of digital tools on economic growth in the Member States of the European Union (EU-27) from 2017 to 2021. Two advanced methods, Principal Component Analysis (PCA) and the Ordinary Least Square model (OLS), were employed to conduct the empirical research. The findings indicate that before the pandemic, the level of digitalisation was subpar, marked by limited technological advancement. Nations exhibiting a heightened degree of digitalisation also demonstrate elevated levels of economic development. These results underscore countries’ need to realign and reconfigure their digital transformation strategies, emphasising incorporating digital technologies and cultivating ongoing innovation to bols</w:t>
      </w:r>
    </w:p>
    <w:p>
      <w:pPr/>
      <w:r>
        <w:rPr>
          <w:b/>
        </w:rPr>
        <w:t>POSSIBLE 2025:</w:t>
      </w:r>
      <w:r>
        <w:t xml:space="preserve"> Small and Medium-Sized Central European Member States vs. EU Reform — https://doi.org/10.1007/978-94-6265-718-2_16</w:t>
      </w:r>
    </w:p>
    <w:p>
      <w:pPr/>
      <w:r>
        <w:rPr>
          <w:b/>
        </w:rPr>
        <w:t>Shared claim-specific concepts:</w:t>
      </w:r>
      <w:r>
        <w:t xml:space="preserve"> member, states, commission; EU scope visible. This is a provisional connection, not an outcome finding.</w:t>
      </w:r>
    </w:p>
    <w:p>
      <w:pPr>
        <w:pStyle w:val="SourceNote"/>
      </w:pPr>
      <w:r>
        <w:rPr>
          <w:b/>
        </w:rPr>
        <w:t>Available abstract (not full text):</w:t>
      </w:r>
      <w:r>
        <w:t xml:space="preserve"> The process of the next constitutional reform of the European Union (EU), of which the publication of the report of the German–French working group (2023), as well as the adoption by the European Parliament of the proposal to amend the EU’s treaty basis in November 2023, was an important milestone, as announced by the old-new President of the European Commission, U. von der Leyen will be continued. The directions of this reform indicated in multiple EU documents, including also the current practice of applying EU law, call for an in-depth reflection on the present status of medium and small-sized Member States from Central Europe and the consequences of the proposed solutions for them. Having in mind the title of the volume “The European Union 2004–2024: Twenty Years of Legal Experience, Challenges and Growth after Unprecedented EU Enlargement”, the chapter will be definitely focused on experiences and challenges from the perspective of Member States which acceded to the EU respectively in 2004, 2007 and 2013, and which belong to small and medium-sized countries and are located in Central Europe. The overall assessment of 20 years of membership is positive, although the process of integration of these countries has been completed neither at the economic level, reaching 51% of the EU average real GDP, nor at the institutional level, i.e. the omission of representatives of these </w:t>
      </w:r>
    </w:p>
    <w:p>
      <w:pPr/>
      <w:r>
        <w:rPr>
          <w:b/>
        </w:rPr>
        <w:t>POSSIBLE 2024:</w:t>
      </w:r>
      <w:r>
        <w:t xml:space="preserve"> Stronger Member States for a Stronger European Union — https://doi.org/10.62733/2024.2.143-161</w:t>
      </w:r>
    </w:p>
    <w:p>
      <w:pPr/>
      <w:r>
        <w:rPr>
          <w:b/>
        </w:rPr>
        <w:t>Shared claim-specific concepts:</w:t>
      </w:r>
      <w:r>
        <w:t xml:space="preserve"> member, states, both; EU scope visible. This is a provisional connection, not an outcome finding.</w:t>
      </w:r>
    </w:p>
    <w:p>
      <w:pPr>
        <w:pStyle w:val="SourceNote"/>
      </w:pPr>
      <w:r>
        <w:rPr>
          <w:b/>
        </w:rPr>
        <w:t>Available abstract (not full text):</w:t>
      </w:r>
      <w:r>
        <w:t xml:space="preserve"> When discussing topics such as national sovereignty and the primacy of European Union (EU) law, the main question boils down to the distribution of competences. We must acknowledge both the historical context of the EU and the current trends in its role in the world’s geopolitical structure. This study focuses on identifying the extent of the limitations surrounding the EU’s power in the Hungarian legislature, how sovereignty is defined, and what aspects of constitutional identity are raised in conversations around this issue. Furthermore, the study aims to present relevant national case law related to the principle of the primacy of EU law and its relationship with Hungary’s national sovereignty and compare it with the position of other Member States’ national courts. This is a vital part of the discussion at hand, which will hopefully lead to an open conversation regarding the future of the EU, the possible outcome of a Convent, and what the continent will look like in the future. The study hypothesises that Member States will follow the trend of attempting to maintain as much sovereignty as possible via the decisions of their Constitutional Courts, in addition to contradicting some EU measures and resisting certain aspirations. Despite this phenomenon, integration is undoubtedly necessary; therefore, this conflict requires an urgent resolution, which will hopefully draw a li</w:t>
      </w:r>
    </w:p>
    <w:p>
      <w:pPr/>
      <w:r>
        <w:rPr>
          <w:b/>
        </w:rPr>
        <w:t>POSSIBLE 2024:</w:t>
      </w:r>
      <w:r>
        <w:t xml:space="preserve"> Conservation needs and opportunities drive LIFE funding allocation for European birds — https://doi.org/10.1016/j.biocon.2024.110833</w:t>
      </w:r>
    </w:p>
    <w:p>
      <w:pPr/>
      <w:r>
        <w:rPr>
          <w:b/>
        </w:rPr>
        <w:t>Shared claim-specific concepts:</w:t>
      </w:r>
      <w:r>
        <w:t xml:space="preserve"> member, tend, but, funding, expected; EU scope visible. This is a provisional connection, not an outcome finding.</w:t>
      </w:r>
    </w:p>
    <w:p>
      <w:pPr>
        <w:pStyle w:val="SourceNote"/>
      </w:pPr>
      <w:r>
        <w:rPr>
          <w:b/>
        </w:rPr>
        <w:t>Available abstract (not full text):</w:t>
      </w:r>
      <w:r>
        <w:t xml:space="preserve"> Conservation resources are unevenly distributed among species and this can hamper conservation efforts. Previous research indicates that species popularity can be strongly associated with conservation funding allocation, suggesting conservation outcomes can be partly influenced by subjective human perceptions. We assessed the allocation of European Union LIFE projects targeting species conservation among European birds (548 species) and how it associates with species' conservation priorities, scientific knowledge availability, distribution, popularity and visual aesthetic attractiveness. We modelled how these factors relate to the probability that a species has received EU LIFE funding, and how many projects have targeted it. As expected given LIFE funding regulations, species listed in the EU Birds Directive Annex I are more likely to receive funding than non-listed species, and receive more projects. We also found that knowledge availability, presence in more EU member countries with access to LIFE funding, and higher conservation priority in Europe are positively associated with the probability of receiving funding, and the number of projects received. More popular species are less likely to receive conservation funding, but tend to receive more projects when allocated funding. Visual attractiveness was not associated with funding. These results suggest that pragmatic factor</w:t>
      </w:r>
    </w:p>
    <w:p>
      <w:pPr/>
      <w:r>
        <w:rPr>
          <w:b/>
        </w:rPr>
        <w:t>POSSIBLE 2024:</w:t>
      </w:r>
      <w:r>
        <w:t xml:space="preserve"> THE INFLUENCE OF EUROPEAN FISCAL POLICIES ON STRATEGIES FOR ATTRACTING EUROPEAN FUNDS – A COMPARATIVE ANALYSIS — https://doi.org/10.61846/cuji-ssh.2024.4.08</w:t>
      </w:r>
    </w:p>
    <w:p>
      <w:pPr/>
      <w:r>
        <w:rPr>
          <w:b/>
        </w:rPr>
        <w:t>Shared claim-specific concepts:</w:t>
      </w:r>
      <w:r>
        <w:t xml:space="preserve"> member, states, fund, commission, funding, framework; EU scope visible. This is a provisional connection, not an outcome finding.</w:t>
      </w:r>
    </w:p>
    <w:p>
      <w:pPr>
        <w:pStyle w:val="SourceNote"/>
      </w:pPr>
      <w:r>
        <w:rPr>
          <w:b/>
        </w:rPr>
        <w:t>Available abstract (not full text):</w:t>
      </w:r>
      <w:r>
        <w:t xml:space="preserve"> European fiscal policies significantly shape member states' strategies for attracting and utilising European funds, influencing the allocation of resources, compliance requirements, and fund accessibility. This article explores the comparative impact of these policies on fund attraction strategies across EU member states, focusing on how fiscal regulations either facilitate or restrict effective fund utilisation. Using a legislative comparative analysis alongside cause-effect methodology, this study examines variations in fiscal policy frameworks, compliance dynamics, and administrative capacities. Findings suggest that while aligned fiscal policies can foster efficiency and transparency, variations in national frameworks create disparities in fund attraction success, requiring adaptive strategies tailored to each member state. KEYWORDS: comparative analysis, european fiscal policies, EU member states, fiscal strategy, fund attraction, legislative impact. J.E.L. CLASSIFICATION: H77, H87, E62 1. INTRODUCTION European fiscal policies play a pivotal role in shaping the ability of member states to attract and utilise European funds, which are essential for financing local development, infrastructure, and economic growth. By setting overarching regulatory frameworks, the European Union (EU) aims to standardise fund accessibility and encourage fiscal responsibility across its member </w:t>
      </w:r>
    </w:p>
    <w:p>
      <w:pPr/>
      <w:r>
        <w:rPr>
          <w:b/>
        </w:rPr>
        <w:t>POSSIBLE 2023:</w:t>
      </w:r>
      <w:r>
        <w:t xml:space="preserve"> The impact of the European social fund on youth education and employment — https://doi.org/10.1016/j.seps.2023.101650</w:t>
      </w:r>
    </w:p>
    <w:p>
      <w:pPr/>
      <w:r>
        <w:rPr>
          <w:b/>
        </w:rPr>
        <w:t>Shared claim-specific concepts:</w:t>
      </w:r>
      <w:r>
        <w:t xml:space="preserve"> fund, funding, both; EU scope visible. This is a provisional connection, not an outcome finding.</w:t>
      </w:r>
    </w:p>
    <w:p>
      <w:pPr>
        <w:pStyle w:val="SourceNote"/>
      </w:pPr>
      <w:r>
        <w:rPr>
          <w:b/>
        </w:rPr>
        <w:t>Available abstract (not full text):</w:t>
      </w:r>
      <w:r>
        <w:t xml:space="preserve"> The effectiveness of the European Union's Cohesion Policy in reducing regional socio-economic gaps remains an open empirical issue, while evidence as to how the policy is affected by specific territorial factors and which social groups benefit most from it remains sparse. This article seeks to address this gap by disentangling the impact of the European Social Fund (ESF) on youth education and employment prospects. Drawing on macro-level data for the European NUTS-2 regions, we assess the impact that this fund has on different education-specific youth population shares and employment rates. In the case of education, we find that the receipt of funding is associated with a human capital polarization of regional populations. Specifically, we identify a positive impact of the ESF on population shares with lower-secondary and tertiary education, and a simultaneous negative impact on the share of those with upper-secondary education. In the case of employment, we find a positive response for youth of all education levels. A heterogeneity analysis indicates that both the education and employment responses of the youth population to the receipt of the ESF are strongly influenced by local specialization in high-skilled activities.</w:t>
      </w:r>
    </w:p>
    <w:p>
      <w:pPr/>
      <w:r>
        <w:rPr>
          <w:b/>
        </w:rPr>
        <w:t>POSSIBLE 2023:</w:t>
      </w:r>
      <w:r>
        <w:t xml:space="preserve"> Environmental Assessment of Residential Space Heating and Cooling Technologies in Europe: A Review of 11 European Member States — https://doi.org/10.3390/su15054288</w:t>
      </w:r>
    </w:p>
    <w:p>
      <w:pPr/>
      <w:r>
        <w:rPr>
          <w:b/>
        </w:rPr>
        <w:t>Shared claim-specific concepts:</w:t>
      </w:r>
      <w:r>
        <w:t xml:space="preserve"> member, states, climate, energy; EU scope visible. This is a provisional connection, not an outcome finding.</w:t>
      </w:r>
    </w:p>
    <w:p>
      <w:pPr>
        <w:pStyle w:val="SourceNote"/>
      </w:pPr>
      <w:r>
        <w:rPr>
          <w:b/>
        </w:rPr>
        <w:t>Available abstract (not full text):</w:t>
      </w:r>
      <w:r>
        <w:t xml:space="preserve"> Greenhouse gas emissions have reached critical levels and climate change is threatening the globe. Thus, the space heating and cooling sector is striving to decarbonize assets through higher efficiency and renewable energy adoption for 2030 and 2050. This article reviewed data about the environmental impact and the primary energy consumption of 27 space heating and cooling technologies for the residential sector as if they were adopted in 11 different European member states: Austria, Cyprus, Denmark, Estonia, France, Germany, Italy, Poland, Romania, Spain, and Sweden. Direct emissions from the machineries and upstream indirect emissions from the energy carriers were considered. The analysis indicates that the adoption of renewable energy-powered technologies should be prioritized due to the significantly lower emissions related to these technologies. Notably, the emissions of electricity-powered technologies, if not driven by the direct self-consumption of renewable energy systems, highly depend on the region of adoption: in specific cases, such as in Poland, Cyprus, and Estonia, they can even exceed the emissions of coal-powered technologies. These countries should speed up the adoption of decarbonization policies regarding the residential sector to close the gap with the other EU member states and provide their contribution to the EU climate change goals.</w:t>
      </w:r>
    </w:p>
    <w:p>
      <w:pPr/>
      <w:r>
        <w:rPr>
          <w:b/>
        </w:rPr>
        <w:t>POSSIBLE 2023:</w:t>
      </w:r>
      <w:r>
        <w:t xml:space="preserve"> The European Union and within‐country income inequalities. The case of the new member states — https://doi.org/10.1111/twec.13388</w:t>
      </w:r>
    </w:p>
    <w:p>
      <w:pPr/>
      <w:r>
        <w:rPr>
          <w:b/>
        </w:rPr>
        <w:t>Shared claim-specific concepts:</w:t>
      </w:r>
      <w:r>
        <w:t xml:space="preserve"> indicate, member, states; EU scope visible. This is a provisional connection, not an outcome finding.</w:t>
      </w:r>
    </w:p>
    <w:p>
      <w:pPr>
        <w:pStyle w:val="SourceNote"/>
      </w:pPr>
      <w:r>
        <w:rPr>
          <w:b/>
        </w:rPr>
        <w:t>Available abstract (not full text):</w:t>
      </w:r>
      <w:r>
        <w:t xml:space="preserve"> Abstract Although addressing income inequalities is one of the main challenges in the European Union (EU), whether the EU has influenced income distributions, possibly causing a rise in inequalities, is still a heavily underexplored topic. Using the newest methodological developments associated with the counterfactual estimations, I assessed the distributional effects of the 2004 EU enlargement. The results indicate that EU accession cannot be held responsible for any significant changes in income inequalities in the New Member States. That finding is robust to changes in the method of estimation, and it is also supported by dynamic panel data methods.</w:t>
      </w:r>
    </w:p>
    <w:p>
      <w:pPr>
        <w:pStyle w:val="Heading2"/>
      </w:pPr>
      <w:r>
        <w:t>830. First-mover advantages of the European Union's climate change mitigation strategy</w:t>
      </w:r>
    </w:p>
    <w:p>
      <w:pPr>
        <w:pStyle w:val="SourceNote"/>
      </w:pPr>
      <w:r>
        <w:rPr>
          <w:b/>
        </w:rPr>
        <w:t>Original source (2016):</w:t>
      </w:r>
      <w:r>
        <w:t xml:space="preserve"> https://doi.org/10.1002/er.3487</w:t>
      </w:r>
    </w:p>
    <w:p>
      <w:pPr/>
      <w:r>
        <w:t>Original wording (abstract; indexed_source_text_not_full_document_verified): Assuming that strong climate mitigation action will be undertaken only after 2030, the scenarios compare two main strategies for the EU: pursuing strong emission reduction unilaterally until 2030 versus deferring action for the period after 2030. The model-based projections show clear advantages for the EU as a first mover in climate change mitigation compared with a delaying of climate action until 2030.</w:t>
      </w:r>
    </w:p>
    <w:p>
      <w:pPr/>
      <w:r>
        <w:rPr>
          <w:b/>
        </w:rPr>
        <w:t>POSSIBLE 2026:</w:t>
      </w:r>
      <w:r>
        <w:t xml:space="preserve"> Climate change will increase forest disturbances in Europe throughout the 21st century — https://doi.org/10.1126/science.adx6329</w:t>
      </w:r>
    </w:p>
    <w:p>
      <w:pPr/>
      <w:r>
        <w:rPr>
          <w:b/>
        </w:rPr>
        <w:t>Shared claim-specific concepts:</w:t>
      </w:r>
      <w:r>
        <w:t xml:space="preserve"> climate, main, show; EU scope visible. This is a provisional connection, not an outcome finding.</w:t>
      </w:r>
    </w:p>
    <w:p>
      <w:pPr>
        <w:pStyle w:val="SourceNote"/>
      </w:pPr>
      <w:r>
        <w:rPr>
          <w:b/>
        </w:rPr>
        <w:t>Available abstract (not full text):</w:t>
      </w:r>
      <w:r>
        <w:t xml:space="preserve"> Wildfires, insect outbreaks, and storms cause large pulses of tree mortality. Climate change amplifies these forest disturbances, yet their future magnitude and extent remain uncertain. Here, we simulated future forest disturbance regimes at 100-meter resolution across Europe using a deep learning-based simulation framework. Our results show that forest disturbances will continue to increase throughout the 21st century, with disturbed areas more than doubling relative to the recent past under an unabated continuation of climate change. Wildfires are the main agent driving future disturbance change. Changing disturbances result in an increase in young forests, substantially altering Europe's forest demography. Because of their profound implications for forest carbon storage and the habitat value of forest ecosystems, disturbances should be a priority of forest policy and management.</w:t>
      </w:r>
    </w:p>
    <w:p>
      <w:pPr/>
      <w:r>
        <w:rPr>
          <w:b/>
        </w:rPr>
        <w:t>POSSIBLE 2025:</w:t>
      </w:r>
      <w:r>
        <w:t xml:space="preserve"> Outpacing climate change: adaptation to heatwaves in Europe — https://doi.org/10.1007/s00484-025-02872-0</w:t>
      </w:r>
    </w:p>
    <w:p>
      <w:pPr/>
      <w:r>
        <w:rPr>
          <w:b/>
        </w:rPr>
        <w:t>Shared claim-specific concepts:</w:t>
      </w:r>
      <w:r>
        <w:t xml:space="preserve"> assuming, climate, reduction, period; EU scope visible. This is a provisional connection, not an outcome finding.</w:t>
      </w:r>
    </w:p>
    <w:p>
      <w:pPr>
        <w:pStyle w:val="SourceNote"/>
      </w:pPr>
      <w:r>
        <w:rPr>
          <w:b/>
        </w:rPr>
        <w:t>Available abstract (not full text):</w:t>
      </w:r>
      <w:r>
        <w:t xml:space="preserve"> Current predictions of climate change impacts rely on conservative assumptions about a lack of adaptation, projecting significantly increased heatwave mortality. However, long-term studies have shown a decline in actual heatwave deaths, raising questions about the underlying mechanisms. We combined Eurostat weekly mortality data (baseline extracted via Seasonal-Trend decomposition by Loess and smoothed through Principal Component Analysis dimension reduction and reconstruction) with economic indicators, Copernicus temperature data since 1950, and ENTSO-E electricity demand data. Panel regression analyzed mortality patterns during weeks with daily temperatures exceeding 22 °C for 2000-2022. During the analyzed period, Europe outpaced climate change, with the capacity to tolerate an additional 1 °C rise every 17.9 years [95% CI 15.3-22.7]. Extending the temperature indicators beyond the prior 3 years did not enhance predictive accuracy, suggesting swift adaptations and historical climate lacked any predictive value. Additionally, increasing economic output, likely driven by infrastructural improvements, especially greater affordability of air conditioning, enabled tolerating each additional 1 °C due to a per capita GDP increase of 19.7 thousand euros [95% CI 14.6-30.3]. Consistently, the increase in cooling energy demand was the strongest in eastern Europe. The findings shed ligh</w:t>
      </w:r>
    </w:p>
    <w:p>
      <w:pPr/>
      <w:r>
        <w:rPr>
          <w:b/>
        </w:rPr>
        <w:t>POSSIBLE 2024:</w:t>
      </w:r>
      <w:r>
        <w:t xml:space="preserve"> Climate Obstruction across Europe — https://doi.org/10.1093/oso/9780197762042.001.0001</w:t>
      </w:r>
    </w:p>
    <w:p>
      <w:pPr/>
      <w:r>
        <w:rPr>
          <w:b/>
        </w:rPr>
        <w:t>Shared claim-specific concepts:</w:t>
      </w:r>
      <w:r>
        <w:t xml:space="preserve"> climate, action, strategies; EU scope visible. This is a provisional connection, not an outcome finding.</w:t>
      </w:r>
    </w:p>
    <w:p>
      <w:pPr>
        <w:pStyle w:val="SourceNote"/>
      </w:pPr>
      <w:r>
        <w:rPr>
          <w:b/>
        </w:rPr>
        <w:t>Available abstract (not full text):</w:t>
      </w:r>
      <w:r>
        <w:t xml:space="preserve"> Abstract Understanding climate obstruction is foundational to advancing effective action on the issue. Starting in the late 1980s, a broad range of actors, including corporations and trade associations, acting in coordination with conservative think tanks, foundations, and public relations firms, mounted a long-term effort to oppose action to mitigate carbon emissions responsible for climate change. Many portrayals of this effort focus on the United States; Climate Obstruction across Europe for the first time documents the development and nature of these activities across the Continent and the United Kingdom. Leading teams of experts examine case studies of eleven nations and the European Union (EU). Each team documents the historic development of climate obstruction in a country, the principal organizations involved in these efforts, the strategies and tactics utilized, and the nature of the arguments made to slow or stop climate action. Noting significant differences between countries, the book concludes with ten lessons on climate obstruction across Europe which emerge from the studies. National economies and histories are foundational in shaping obstruction and shaping the actors, lobbies, and the places for think tanks to operate. The public relations industry pushes climate delay into the public and policymaking arenas, providing fodder for a media already inclined to sup</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climate, mitigation, projections;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2023:</w:t>
      </w:r>
      <w:r>
        <w:t xml:space="preserve"> Famines in medieval and early modern Europe—Connecting climate and society — https://doi.org/10.1002/wcc.859</w:t>
      </w:r>
    </w:p>
    <w:p>
      <w:pPr/>
      <w:r>
        <w:rPr>
          <w:b/>
        </w:rPr>
        <w:t>Shared claim-specific concepts:</w:t>
      </w:r>
      <w:r>
        <w:t xml:space="preserve"> strong, climate, main, period; EU scope visible. This is a provisional connection, not an outcome finding.</w:t>
      </w:r>
    </w:p>
    <w:p>
      <w:pPr>
        <w:pStyle w:val="SourceNote"/>
      </w:pPr>
      <w:r>
        <w:rPr>
          <w:b/>
        </w:rPr>
        <w:t>Available abstract (not full text):</w:t>
      </w:r>
      <w:r>
        <w:t xml:space="preserve"> Abstract The article evaluates recent scholarship on famines in Europe during the medieval and early modern periods (c. 700–1800), synthesizing the state‐of‐the‐art knowledge and identifying both research gaps and interdisciplinary potentials. Particular focus is placed on how, and to what extent, climatic change and variability is given explanatory power in famine causation. Current research, supported by recent advances in palaeoclimatology, reveals that anomalous cold conditions constituted the main environmental backdrop for severe food production crises that could result in famines in pre‐industrial Europe. Such food crises occurred most frequently between c. 1550 and 1710, during the climax of the Little Ice Age cooling, and can be connected to the strong dependency on grain in Europe during this period. The available body of scholarship demonstrates that famines in medieval and early modern Europe best can be understood as the result of the interactions of climatic and societal stressors responding to pre‐existing vulnerabilities. Recent research has shown that societal responses to these famines, and the appropriation of their consequences, have been much more comprehensive, dynamic, and substantial than previously assumed. The article concludes by providing recommendations for future studies on historical famines. This article is categorized under: Climate, History, So</w:t>
      </w:r>
    </w:p>
    <w:p>
      <w:pPr/>
      <w:r>
        <w:rPr>
          <w:b/>
        </w:rPr>
        <w:t>POSSIBLE 2023:</w:t>
      </w:r>
      <w:r>
        <w:t xml:space="preserve"> Climate-trait relationships exhibit strong habitat specificity in plant communities across Europe — https://doi.org/10.1038/s41467-023-36240-6</w:t>
      </w:r>
    </w:p>
    <w:p>
      <w:pPr/>
      <w:r>
        <w:rPr>
          <w:b/>
        </w:rPr>
        <w:t>Shared claim-specific concepts:</w:t>
      </w:r>
      <w:r>
        <w:t xml:space="preserve"> assuming, strong, climate, only; EU scope visible. This is a provisional connection, not an outcome finding.</w:t>
      </w:r>
    </w:p>
    <w:p>
      <w:pPr>
        <w:pStyle w:val="SourceNote"/>
      </w:pPr>
      <w:r>
        <w:rPr>
          <w:b/>
        </w:rPr>
        <w:t>Available abstract (not full text):</w:t>
      </w:r>
      <w:r>
        <w:t xml:space="preserve"> Ecological theory predicts close relationships between macroclimate and functional traits. Yet, global climatic gradients correlate only weakly with the trait composition of local plant communities, suggesting that important factors have been ignored. Here, we investigate the consistency of climate-trait relationships for plant communities in European habitats. Assuming that local factors are better accounted for in more narrowly defined habitats, we assigned &gt; 300,000 vegetation plots to hierarchically classified habitats and modelled the effects of climate on the community-weighted means of four key functional traits using generalized additive models. We found that the predictive power of climate increased from broadly to narrowly defined habitats for specific leaf area and root length, but not for plant height and seed mass. Although macroclimate generally predicted the distribution of all traits, its effects varied, with habitat-specificity increasing toward more narrowly defined habitats. We conclude that macroclimate is an important determinant of terrestrial plant communities, but future predictions of climatic effects must consider how habitats are defined.</w:t>
      </w:r>
    </w:p>
    <w:p>
      <w:pPr/>
      <w:r>
        <w:rPr>
          <w:b/>
        </w:rPr>
        <w:t>POSSIBLE 2022:</w:t>
      </w:r>
      <w:r>
        <w:t xml:space="preserve"> 21st Century alpine climate change — https://doi.org/10.1007/s00382-022-06303-3</w:t>
      </w:r>
    </w:p>
    <w:p>
      <w:pPr/>
      <w:r>
        <w:rPr>
          <w:b/>
        </w:rPr>
        <w:t>Shared claim-specific concepts:</w:t>
      </w:r>
      <w:r>
        <w:t xml:space="preserve"> strong, climate, two, main, emission, show; EU scope visible. This is a provisional connection, not an outcome finding.</w:t>
      </w:r>
    </w:p>
    <w:p>
      <w:pPr>
        <w:pStyle w:val="SourceNote"/>
      </w:pPr>
      <w:r>
        <w:rPr>
          <w:b/>
        </w:rPr>
        <w:t>Available abstract (not full text):</w:t>
      </w:r>
      <w:r>
        <w:t xml:space="preserve"> Abstract A comprehensive assessment of twenty-first century climate change in the European Alps is presented. The analysis is based on the EURO-CORDEX regional climate model ensemble available at two grid spacings (12.5 and 50 km) and for three different greenhouse gas emission scenarios (RCPs 2.6, 4.5 and 8.5). The core simulation ensemble has been subject to a dedicated evaluation exercise carried out in the frame of the CH2018 Climate Scenarios for Switzerland. Results reveal that the entire Alpine region will face a warmer climate in the course of the twenty-first century for all emission scenarios considered. Strongest warming is projected for the summer season, for regions south of the main Alpine ridge and for the high-end RCP 8.5 scenario. Depending on the season, medium to high elevations might experience an amplified warming. Model uncertainty can be considerable, but the major warming patterns are consistent across the ensemble. For precipitation, a seasonal shift of precipitation amounts from summer to winter over most parts of the domain is projected. However, model uncertainty is high and individual simulations can show change signals of opposite sign. Daily precipitation intensity is projected to increase in all seasons and all sub-domains, while the wet-day frequency will decrease in the summer season. The projected temperature change in summer is negatively cor</w:t>
      </w:r>
    </w:p>
    <w:p>
      <w:pPr/>
      <w:r>
        <w:rPr>
          <w:b/>
        </w:rPr>
        <w:t>POSSIBLE 2021:</w:t>
      </w:r>
      <w:r>
        <w:t xml:space="preserve"> Assessing the Economic Structure, Climate Change and Decarbonisation in Europe — https://doi.org/10.1007/s41748-021-00232-7</w:t>
      </w:r>
    </w:p>
    <w:p>
      <w:pPr/>
      <w:r>
        <w:rPr>
          <w:b/>
        </w:rPr>
        <w:t>Shared claim-specific concepts:</w:t>
      </w:r>
      <w:r>
        <w:t xml:space="preserve"> assuming, strong, climate, mitigation, emission, reduction; EU scope visible. This is a provisional connection, not an outcome finding.</w:t>
      </w:r>
    </w:p>
    <w:p>
      <w:pPr>
        <w:pStyle w:val="SourceNote"/>
      </w:pPr>
      <w:r>
        <w:rPr>
          <w:b/>
        </w:rPr>
        <w:t>Available abstract (not full text):</w:t>
      </w:r>
      <w:r>
        <w:t xml:space="preserve"> Abstract Anthropogenic greenhouse gas (GHG) emissions coming mainly from fossil fuel combustion for energy use are causing air temperature increases resulting in climate change. This study employs an environmentally extended input–output model to conduct an economy-wide assessment of GHG emissions in the European Union (EU). Model results indicate that the assumed growth of economic activity by 2030 will lead to a large increase in GHG emissions by 89%, assuming no technological change and no additional policy mitigation efforts. The electricity sector and agriculture create the highest direct and indirect GHG emissions per unit of economic output across the 27 EU member states (EU-27); for every 1-million-euro-increase in the final demand for the products and services of the electricity sector and agriculture, 2198 and 1410 additional tons of GHG emit, respectively. Regional climate projections under a low-decarbonisation pathway (RCP8.5), in accordance with our economic analysis, indicate a further increase of regional warming, combined with pronounced changes in the hydrological cycle. Contrariwise, following a strong mitigation pathway (RCP2.6) will result in warming levels lower than 1.5 °C with respect to the 1986–2005 reference period. Our findings reveal the importance of both direct and indirect contribution of economic sectors in the generation of GHG emissions, takin</w:t>
      </w:r>
    </w:p>
    <w:p>
      <w:pPr/>
      <w:r>
        <w:rPr>
          <w:b/>
        </w:rPr>
        <w:t>POSSIBLE 2021:</w:t>
      </w:r>
      <w:r>
        <w:t xml:space="preserve"> Emergent vulnerability to climate-driven disturbances in European forests — https://doi.org/10.1038/s41467-021-21399-7</w:t>
      </w:r>
    </w:p>
    <w:p>
      <w:pPr/>
      <w:r>
        <w:rPr>
          <w:b/>
        </w:rPr>
        <w:t>Shared claim-specific concepts:</w:t>
      </w:r>
      <w:r>
        <w:t xml:space="preserve"> climate, mitigation, strategies, reduction, period, show; EU scope visible. This is a provisional connection, not an outcome finding.</w:t>
      </w:r>
    </w:p>
    <w:p>
      <w:pPr>
        <w:pStyle w:val="SourceNote"/>
      </w:pPr>
      <w:r>
        <w:rPr>
          <w:b/>
        </w:rPr>
        <w:t>Available abstract (not full text):</w:t>
      </w:r>
      <w:r>
        <w:t xml:space="preserve"> Forest disturbance regimes are expected to intensify as Earth's climate changes. Quantifying forest vulnerability to disturbances and understanding the underlying mechanisms is crucial to develop mitigation and adaptation strategies. However, observational evidence is largely missing at regional to continental scales. Here, we quantify the vulnerability of European forests to fires, windthrows and insect outbreaks during the period 1979-2018 by integrating machine learning with disturbance data and satellite products. We show that about 33.4 billion tonnes of forest biomass could be seriously affected by these disturbances, with higher relative losses when exposed to windthrows (40%) and fires (34%) compared to insect outbreaks (26%). The spatial pattern in vulnerability is strongly controlled by the interplay between forest characteristics and background climate. Hotspot regions for vulnerability are located at the borders of the climate envelope, in both southern and northern Europe. There is a clear trend in overall forest vulnerability that is driven by a warming-induced reduction in plant defence mechanisms to insect outbreaks, especially at high latitudes.</w:t>
      </w:r>
    </w:p>
    <w:p>
      <w:pPr/>
      <w:r>
        <w:rPr>
          <w:b/>
        </w:rPr>
        <w:t>POSSIBLE 2021:</w:t>
      </w:r>
      <w:r>
        <w:t xml:space="preserve"> Climate change impacts on solar power generation and its spatial variability in Europe based on CMIP6 — https://doi.org/10.5194/esd-12-1099-2021</w:t>
      </w:r>
    </w:p>
    <w:p>
      <w:pPr/>
      <w:r>
        <w:rPr>
          <w:b/>
        </w:rPr>
        <w:t>Shared claim-specific concepts:</w:t>
      </w:r>
      <w:r>
        <w:t xml:space="preserve"> climate, mitigation, only; EU scope visible. This is a provisional connection, not an outcome finding.</w:t>
      </w:r>
    </w:p>
    <w:p>
      <w:pPr>
        <w:pStyle w:val="SourceNote"/>
      </w:pPr>
      <w:r>
        <w:rPr>
          <w:b/>
        </w:rPr>
        <w:t>Available abstract (not full text):</w:t>
      </w:r>
      <w:r>
        <w:t xml:space="preserve"> Abstract. Solar photovoltaics (PV) plays an essential role in decarbonizing the European energy system. However, climate change affects surface solar radiation and thereby will directly influence future PV power generation. We use scenarios from the sixth phase of the Coupled Model Intercomparison Project (CMIP6) for a mitigation (SSP1-2.6) and a fossil-fuel dependent (SSP5-8.5) pathway, to quantify climate risk for solar PV in Europe simulated by the Global Solar Energy Estimator (GSEE). We find that PV potential increases by around 5 % in the mitigation scenario, suggesting a positive feedback loop between climate change mitigation and PV potential. While increased clear-sky radiation and reduced cloud cover go hand in hand in SSP1-2.6, a decrease in clear-sky radiation is overcompensated by a decrease in cloud cover in SSP5-8.5, resulting in an increase of all-sky radiation. Moreover, we find that the seasonal cycle of PV generation changes in most places as generation grows more strongly in winter than in summer (SSP1-2.6) or increases in summer and declines in winter (SSP5-8.5). We further analyze climate change impacts on the spatial variability of PV power generation. Similar to effects anticipated for wind energy, we report an increase of the spatial correlations of daily PV production with large inter-model agreement yet relatively small amplitude, implying that PV pow</w:t>
      </w:r>
    </w:p>
    <w:p>
      <w:pPr/>
      <w:r>
        <w:rPr>
          <w:b/>
        </w:rPr>
        <w:t>POSSIBLE 2021:</w:t>
      </w:r>
      <w:r>
        <w:t xml:space="preserve"> Extreme wind projections over Europe from the Euro-CORDEX regional climate models — https://doi.org/10.1016/j.wace.2021.100363</w:t>
      </w:r>
    </w:p>
    <w:p>
      <w:pPr/>
      <w:r>
        <w:rPr>
          <w:b/>
        </w:rPr>
        <w:t>Shared claim-specific concepts:</w:t>
      </w:r>
      <w:r>
        <w:t xml:space="preserve"> strong, climate, period, projections, show, clear; EU scope visible. This is a provisional connection, not an outcome finding.</w:t>
      </w:r>
    </w:p>
    <w:p>
      <w:pPr>
        <w:pStyle w:val="SourceNote"/>
      </w:pPr>
      <w:r>
        <w:rPr>
          <w:b/>
        </w:rPr>
        <w:t>Available abstract (not full text):</w:t>
      </w:r>
      <w:r>
        <w:t xml:space="preserve"> Extreme weather events represent one of the most visible and immediate hazards to society. Many of these types of phenomena are projected to increase in intensity, duration or frequency as the climate warms. Of these extreme winds are among the most damaging historically over Europe yet assessments of their future changes remain fraught with uncertainty. This uncertainty arises due to both the rare nature of extreme wind events and the fact that most model are unable to faithfully represent them. Here we take advantage of a 15 member ensemble of high resolution Euro-CORDEX simulations (∼12 km) and investigate projected changes in extreme winds using a peaks-over-threshold approach. Additionally we show that – despite lingering model deficiencies and inadequate observational coverage – there is clear added value of the higher resolution simulations over coarser resolution counterparts. Further, the spatial heterogeneity and highly localised nature is well captured. Effects such as orographic interactions, drag due to urban areas, and even individual storm tracks over the oceans are clearly visible. As such future changes also exhibit strong spatial heterogeneity. These results emphasise the need for careful case-by-case treatment of extreme wind analysis, especially when done in a climate adaptation or decision making context. However, for more general assessments the picture is</w:t>
      </w:r>
    </w:p>
    <w:p>
      <w:pPr/>
      <w:r>
        <w:rPr>
          <w:b/>
        </w:rPr>
        <w:t>POSSIBLE 2021:</w:t>
      </w:r>
      <w:r>
        <w:t xml:space="preserve"> Socioeconomic geography of climate change views in Europe — https://doi.org/10.1016/j.gloenvcha.2021.102453</w:t>
      </w:r>
    </w:p>
    <w:p>
      <w:pPr/>
      <w:r>
        <w:rPr>
          <w:b/>
        </w:rPr>
        <w:t>Shared claim-specific concepts:</w:t>
      </w:r>
      <w:r>
        <w:t xml:space="preserve"> climate, mitigation, show; EU scope visible. This is a provisional connection, not an outcome finding.</w:t>
      </w:r>
    </w:p>
    <w:p>
      <w:pPr>
        <w:pStyle w:val="SourceNote"/>
      </w:pPr>
      <w:r>
        <w:rPr>
          <w:b/>
        </w:rPr>
        <w:t>Available abstract (not full text):</w:t>
      </w:r>
      <w:r>
        <w:t xml:space="preserve"> Climate change views have their socioeconomic foundations but also specific geographies. In merging these perspectives, this analysis uses ESS Round 8 data from 23 European countries to examine whether climate change scepticism and concern, pro-environmental personal norm and a willingness to engage in energy-saving behaviour exhibit, first, urban–rural and/or regional differences, and second, if these attitudes can be explained at individual level by socioeconomic position and wellbeing resources. We find that climate change scepticism and concern do exhibit urban–rural differences, where living in a country village is associated with greater climate scepticism and lower concern compared to living in a big city. Also, higher climate change concern and pro-environmental norms are associated with living in a region with constant population growth. These geographical differences are independent of individual-level socioeconomic attributes as well as one’s political orientation. Additionally, the results show that both climate change attitudes and reporting energy-saving behaviour are strongly stratified by level of education and reveal that those in lower income deciles feel less pro-environmental norm but nonetheless report greater engagement with energy-saving behaviour. In sum, the results highlight that climate change mitigation is not a uniform project either spatially or wi</w:t>
      </w:r>
    </w:p>
    <w:p>
      <w:pPr>
        <w:pStyle w:val="Heading2"/>
      </w:pPr>
      <w:r>
        <w:t>831. Foresighting organizational learning equilibrium in European universities</w:t>
      </w:r>
    </w:p>
    <w:p>
      <w:pPr>
        <w:pStyle w:val="SourceNote"/>
      </w:pPr>
      <w:r>
        <w:rPr>
          <w:b/>
        </w:rPr>
        <w:t>Original source (2016):</w:t>
      </w:r>
      <w:r>
        <w:t xml:space="preserve"> https://doi.org/10.1007/s40309-016-0108-y</w:t>
      </w:r>
    </w:p>
    <w:p>
      <w:pPr/>
      <w:r>
        <w:t>Original wording (abstract; indexed_source_text_not_full_document_verified): Presently, the rate of change (and especially exogenous change) have reached a level that has given researchers and managers alike reason to reflect upon and be concerned about whether this balance could or should be maintained in the future. In this article, we use a classical organizational learning model to envision and simulate how a primary driver (mutual learning) in the balance between exploration and exploitation of knowledge in universities may evolve over time.</w:t>
      </w:r>
    </w:p>
    <w:p>
      <w:pPr/>
      <w:r>
        <w:rPr>
          <w:b/>
        </w:rPr>
        <w:t>POSSIBLE 2024:</w:t>
      </w:r>
      <w:r>
        <w:t xml:space="preserve"> Tools for pathogen genetic surveillance: Lessons from the ash dieback invasion of Europe — https://doi.org/10.1371/journal.ppat.1012182</w:t>
      </w:r>
    </w:p>
    <w:p>
      <w:pPr/>
      <w:r>
        <w:rPr>
          <w:b/>
        </w:rPr>
        <w:t>Shared claim-specific concepts:</w:t>
      </w:r>
      <w:r>
        <w:t xml:space="preserve"> presently, rate, upon, use; EU scope visible. This is a provisional connection, not an outcome finding.</w:t>
      </w:r>
    </w:p>
    <w:p>
      <w:pPr>
        <w:pStyle w:val="SourceNote"/>
      </w:pPr>
      <w:r>
        <w:rPr>
          <w:b/>
        </w:rPr>
        <w:t>Available abstract (not full text):</w:t>
      </w:r>
      <w:r>
        <w:t xml:space="preserve"> Human movement and climate change are exposing new environments to pathogens and increasing the rate of invasions [1].Presently, most pathogens are studied independently, requiring species-specific expertise, particularly at the sampling stage.Genomic surveillance strategies can be applied to identify species presence/absence but also within-species diversity, which may not currently be capitalised upon.Here, we use the ash dieback invasion of Europe [2] to frame a discussion on the significance of different types of genomic variation to invasion biology and review the application of developing microbiome sequencing technologies to pathogen surveillance.</w:t>
      </w:r>
    </w:p>
    <w:p>
      <w:pPr/>
      <w:r>
        <w:rPr>
          <w:b/>
        </w:rPr>
        <w:t>POSSIBLE 2023:</w:t>
      </w:r>
      <w:r>
        <w:t xml:space="preserve"> Effects of Climate Change on Areas Suitable for Maize Cultivation and Aflatoxin Contamination in Europe — https://doi.org/10.3390/toxins15100599</w:t>
      </w:r>
    </w:p>
    <w:p>
      <w:pPr/>
      <w:r>
        <w:rPr>
          <w:b/>
        </w:rPr>
        <w:t>Shared claim-specific concepts:</w:t>
      </w:r>
      <w:r>
        <w:t xml:space="preserve"> presently, especially, about, use; EU scope visible. This is a provisional connection, not an outcome finding.</w:t>
      </w:r>
    </w:p>
    <w:p>
      <w:pPr>
        <w:pStyle w:val="SourceNote"/>
      </w:pPr>
      <w:r>
        <w:rPr>
          <w:b/>
        </w:rPr>
        <w:t>Available abstract (not full text):</w:t>
      </w:r>
      <w:r>
        <w:t xml:space="preserve"> The climate is changing in Europe: average temperatures are increasing, and so is the frequency of extreme weather events. Climate change has a severe impact on areas suitable for growing certain crops and on food safety, for example, affecting the occurrence of the aflatoxin contamination of maize. The aim of this study was to obtain insights into the impact of climate change on possible changes in land use in Europe, particularly in areas suitable for maize cultivation, and on the probability of the mycotoxin contamination of maize in order to give directions for long-term adaptation to climate change. By combining a land use model and a mycotoxin prediction model, the suitability of land for maize cultivation and the probability of aflatoxin contamination were estimated for suitable areas in Europe, comparing the current climate with the 2050 scenario. In 2050, the occurrence of aflatoxin contamination in Europe is predicted to severely increase, especially in Central and Southern Europe. More northern regions, presently unsuitable for maize cultivation, will become suitable for maize cultivation in 2050. In the baseline scenario, most regions suitable for maize cultivation have a low probability of aflatoxin contamination, whereas in 2050, about half of the regions suitable for maize cultivation have a medium to high probability of aflatoxin contamination. Regions for safel</w:t>
      </w:r>
    </w:p>
    <w:p>
      <w:pPr/>
      <w:r>
        <w:rPr>
          <w:b/>
        </w:rPr>
        <w:t>POSSIBLE 2022:</w:t>
      </w:r>
      <w:r>
        <w:t xml:space="preserve"> What should European nephrology do with the new CKD-EPI equation? — https://doi.org/10.1093/ndt/gfac254</w:t>
      </w:r>
    </w:p>
    <w:p>
      <w:pPr/>
      <w:r>
        <w:rPr>
          <w:b/>
        </w:rPr>
        <w:t>Shared claim-specific concepts:</w:t>
      </w:r>
      <w:r>
        <w:t xml:space="preserve"> rate, especially, exogenous, level, about, use; EU scope visible. This is a provisional connection, not an outcome finding.</w:t>
      </w:r>
    </w:p>
    <w:p>
      <w:pPr>
        <w:pStyle w:val="SourceNote"/>
      </w:pPr>
      <w:r>
        <w:rPr>
          <w:b/>
        </w:rPr>
        <w:t>Available abstract (not full text):</w:t>
      </w:r>
      <w:r>
        <w:t xml:space="preserve"> Knowledge about a patient’s glomerular filtration rate (GFR) is central to the practice of medicine. It is needed to diagnose and classify chronic kidney disease (CKD), and helpful to establish prognosis [1]. In addition, it is used to decide when to start specific medication, how to dose medication and when to refer patients for specialist nephrology care or when to start kidney function replacement treatment. GFR can best be measured (mGFR) by injection of exogenous tracers, such as iothalamate and iohexol, and serial blood sampling. This is a relatively cumbersome and expensive technique, and is therefore only used in specific cases. In clinical practice, equations are used to estimate GFR (Fig. 1 and Table 1). These equations use readily available information about patient characteristics, such as age and sex, and about creatinine as an endogenous filtration marker. The oldest equation is the one developed by Cockcroft and Gault in 1976 [2]. It should be noted that their equation does not estimate GFR, but creatinine clearance. Creatinine clearance is determined not only by glomerular filtration of creatinine, but also by tubular secretion of creatinine. Tubular creatinine clearance can amount to up to 50% of total creatinine clearance, especially in subjects with impaired kidney function and obesity [3]. Consequently, the Cockcroft–Gault equation should not be used to esti</w:t>
      </w:r>
    </w:p>
    <w:p>
      <w:pPr/>
      <w:r>
        <w:rPr>
          <w:b/>
        </w:rPr>
        <w:t>POSSIBLE 2019:</w:t>
      </w:r>
      <w:r>
        <w:t xml:space="preserve"> Heat stress risk in European dairy cattle husbandry under different climate change scenarios – uncertainties and potential impacts — https://doi.org/10.5194/esd-10-859-2019</w:t>
      </w:r>
    </w:p>
    <w:p>
      <w:pPr/>
      <w:r>
        <w:rPr>
          <w:b/>
        </w:rPr>
        <w:t>Shared claim-specific concepts:</w:t>
      </w:r>
      <w:r>
        <w:t xml:space="preserve"> presently, rate, about, balance; EU scope visible. This is a provisional connection, not an outcome finding.</w:t>
      </w:r>
    </w:p>
    <w:p>
      <w:pPr>
        <w:pStyle w:val="SourceNote"/>
      </w:pPr>
      <w:r>
        <w:rPr>
          <w:b/>
        </w:rPr>
        <w:t>Available abstract (not full text):</w:t>
      </w:r>
      <w:r>
        <w:t xml:space="preserve"> Abstract. In the last decades, an exceptional global warming trend was observed. Along with the temperature increase, modifications in the humidity and wind regime amplify the regional and local impacts on livestock husbandry. Direct impacts include the occurrence of climatic stress conditions. In Europe, cows are economically highly relevant and are mainly kept in naturally ventilated buildings that are most susceptible to climate change. The high-yielding cows are particularly vulnerable to heat stress. Modifications in housing management are the main measures taken to improve the ability of livestock to cope with these conditions. Measures are, however, typically taken in direct reaction to uncomfortable conditions instead of in anticipation of a long term risk for climatic stress. Moreover, measures that balance welfare, environmental and economic issues are barely investigated in the context of climate change and are thus almost not available for commercial farms. Quantitative analysis of the climate change impacts on the animal welfare and linked economic and environmental factors are rare. Therefore, we used a numerical modeling approach to estimate the future heat stress risk in such dairy cattle husbandry systems. The indoor climate was monitored inside three reference barns in Central Europe and in the Mediterranean region. An artificial neuronal network (ANN) was tra</w:t>
      </w:r>
    </w:p>
    <w:p>
      <w:pPr/>
      <w:r>
        <w:rPr>
          <w:b/>
        </w:rPr>
        <w:t>POSSIBLE 2019:</w:t>
      </w:r>
      <w:r>
        <w:t xml:space="preserve"> Control of hospital acquired infections and antimicrobial resistance in Europe: the way to go — https://doi.org/10.1007/s10354-018-0676-5</w:t>
      </w:r>
    </w:p>
    <w:p>
      <w:pPr/>
      <w:r>
        <w:rPr>
          <w:b/>
        </w:rPr>
        <w:t>Shared claim-specific concepts:</w:t>
      </w:r>
      <w:r>
        <w:t xml:space="preserve"> level, reflect, use, classical; EU scope visible. This is a provisional connection, not an outcome finding.</w:t>
      </w:r>
    </w:p>
    <w:p>
      <w:pPr>
        <w:pStyle w:val="SourceNote"/>
      </w:pPr>
      <w:r>
        <w:rPr>
          <w:b/>
        </w:rPr>
        <w:t>Available abstract (not full text):</w:t>
      </w:r>
      <w:r>
        <w:t xml:space="preserve"> One of the major challenges for modern medicine is our ageing society and an increased level of immunocompromised hosts. More invasive and intensive medical interventions will increase the number of healthcare-associated infections (HCAI), which means infection that occur because of or in concomitance, but in any case, during or after healthcare interventions. Such infections are caused usually endogenously from microbial components of the patient's own microbiome. Usually, the microorganisms of the microbiome show a natural resistance against a few antibiotics. Due to selection processes and epidemic transmission of specific clones, microorganisms that have become resistant to multiple antibiotics become part of the patient's microbiome and can subsequently cause infections that are difficult or even impossible to treat. The kind of infections that will occur depends on diverse factors. Already today, according to Cassini et al., 2,609,911 new cases of HCAI occur every year in the European Union and European Economic Area (EU/EEA). The cumulative burden of the six HAIs was estimated at 501 disability-adjusted life years (DALYs) per 100,000 general population each year in the EU/EEA. In a recent publication, 426,277 healthcare-associated infections caused by antimicrobial resistant microorganisms were calculated to occur in the EU every year. Attributable deaths in the EU due t</w:t>
      </w:r>
    </w:p>
    <w:p>
      <w:pPr/>
      <w:r>
        <w:rPr>
          <w:b/>
        </w:rPr>
        <w:t>POSSIBLE 2019:</w:t>
      </w:r>
      <w:r>
        <w:t xml:space="preserve"> Europe as an Idea, Will, and Profanation — https://doi.org/10.17265/2159-5313/2019.11.001</w:t>
      </w:r>
    </w:p>
    <w:p>
      <w:pPr/>
      <w:r>
        <w:rPr>
          <w:b/>
        </w:rPr>
        <w:t>Shared claim-specific concepts:</w:t>
      </w:r>
      <w:r>
        <w:t xml:space="preserve"> reason, upon, about; EU scope visible. This is a provisional connection, not an outcome finding.</w:t>
      </w:r>
    </w:p>
    <w:p>
      <w:pPr>
        <w:pStyle w:val="SourceNote"/>
      </w:pPr>
      <w:r>
        <w:rPr>
          <w:b/>
        </w:rPr>
        <w:t>Available abstract (not full text):</w:t>
      </w:r>
      <w:r>
        <w:t xml:space="preserve"> Author reflects on Europe as an idea, will and profanation. He argues that Europe has never crossed the threshold of sheer imagination, i.e. it has never been realized and it is for this reason that it remains a fantasy haunting the modern politics. The phantasm that Europe is – the author claims – turned out to be too weak to allow for the translation of the symbolic into a material dimension of Europe. The author ponders upon the reasons of this weakness to conclude that Europe is not only devoid of imagination, but it is also devoid of will (power) in its preference of the forms of as-if existence (a type of le bovarisme) which exercise the ability to imitate and to consider one as a different self. Following Agamben, the author arrives at the conclusion that the only remaining way of thinking about Europe is in terms of profanation whereby the contents of what was previously ascribed to the realm of the sacred is now accessible to all within the community. Yet, without desecration the original phantasm that Europe is would remain unchallenged and it would resist any attempts of its reconfiguration. Profanation should therefore be conceived as the necessary solicitation in order to create and construe a sort of “anti-device” or “anti-Europe”. Such despoliation of Europe restores the otherwise lost child’s seriousness, the seriousness observed in children playing war games. T</w:t>
      </w:r>
    </w:p>
    <w:p>
      <w:pPr/>
      <w:r>
        <w:rPr>
          <w:b/>
        </w:rPr>
        <w:t>POSSIBLE 2019:</w:t>
      </w:r>
      <w:r>
        <w:t xml:space="preserve"> Get It Right This Time? Leaving the Periphery of the European Economic Development — https://doi.org/10.1007/978-3-030-11361-2_4</w:t>
      </w:r>
    </w:p>
    <w:p>
      <w:pPr/>
      <w:r>
        <w:rPr>
          <w:b/>
        </w:rPr>
        <w:t>Shared claim-specific concepts:</w:t>
      </w:r>
      <w:r>
        <w:t xml:space="preserve"> presently, rate, level; EU scope visible. This is a provisional connection, not an outcome finding.</w:t>
      </w:r>
    </w:p>
    <w:p>
      <w:pPr>
        <w:pStyle w:val="SourceNote"/>
      </w:pPr>
      <w:r>
        <w:rPr>
          <w:b/>
        </w:rPr>
        <w:t>Available abstract (not full text):</w:t>
      </w:r>
      <w:r>
        <w:t xml:space="preserve"> Abstract In 1990, the Central and East European countries started, at approximately the same level, the race to change their economic systems from communism to capitalism, which in turn was undergoing full-fledged mutations. Almost three decades later, the gap between Romania and other ex-communist, presently EU member states, is wider. Moreover, after joining the European Union, Romania did not surmount the inequalities, so in 2016 it was a paradoxical country, enjoying the highest rate of economic growth in the UE but, at the same time, ranking systematically low in welfare and development ratings. How can one explain such a meandering evolution? How is it that a country of significant natural resources and a development level like the others’ in the region, is behind three decades later? What can still be done, in the context of a globalized economy, undergoing higher and higher and unexpected pressure, where the big tend to become ever bigger? Decision makers might answer that the economy needed to be systemically changed to contain high value, ripple-effect activities. Yet this would involve structural investments in education and R&amp;D and attracting funds for production capacities that do not rely only on cheap labour at a time when Romania is facing a constant demographic decline, a lack of domestic capital and a deterioration in the systems of education, research and tra</w:t>
      </w:r>
    </w:p>
    <w:p>
      <w:pPr/>
      <w:r>
        <w:rPr>
          <w:b/>
        </w:rPr>
        <w:t>POSSIBLE 2018:</w:t>
      </w:r>
      <w:r>
        <w:t xml:space="preserve"> Molecular Epidemiology and Evolution of European Bat Lyssavirus 2 — https://doi.org/10.3390/ijms19010156</w:t>
      </w:r>
    </w:p>
    <w:p>
      <w:pPr/>
      <w:r>
        <w:rPr>
          <w:b/>
        </w:rPr>
        <w:t>Shared claim-specific concepts:</w:t>
      </w:r>
      <w:r>
        <w:t xml:space="preserve"> presently, rate, level; EU scope visible. This is a provisional connection, not an outcome finding.</w:t>
      </w:r>
    </w:p>
    <w:p>
      <w:pPr>
        <w:pStyle w:val="SourceNote"/>
      </w:pPr>
      <w:r>
        <w:rPr>
          <w:b/>
        </w:rPr>
        <w:t>Available abstract (not full text):</w:t>
      </w:r>
      <w:r>
        <w:t xml:space="preserve"> Bat rabies cases in Europe are mainly attributed to two lyssaviruses, namely European Bat Lyssavirus 1 (EBLV-1) and European Bat Lyssavirus 2 (EBLV-2). Prior to the death of a bat worker in Finland in 1985, very few bat rabies cases were reported. Enhanced surveillance in the two subsequent years (1986–1987) identified 263 cases (more than a fifth of all reported cases to date). Between 1977 and 2016, 1183 cases of bat rabies were reported, with the vast majority (&gt;97%) being attributed to EBLV-1. In contrast, there have been only 39 suspected cases of EBLV-2, of which 34 have been confirmed by virus typing and presently restricted to just two bat species; Myotis daubentonii and Myotis dasycneme. The limited number of EBLV-2 cases in Europe prompted the establishment of a network of European reference laboratories to collate all available viruses and data. Despite the relatively low number of EBLV-2 cases, a large amount of anomalous data has been published in the scientific literature, which we have here reviewed and clarified. In this review, 29 EBLV-2 full genome sequences have been analysed to further our understanding of the diversity and molecular evolution of EBLV-2 in Europe. Analysis of the 29 complete EBLV-2 genome sequences clearly corroborated geographical relationships with all EBLV-2 sequences clustering at the country level irrespective of the gene studied. Furth</w:t>
      </w:r>
    </w:p>
    <w:p>
      <w:pPr/>
      <w:r>
        <w:rPr>
          <w:b/>
        </w:rPr>
        <w:t>POSSIBLE 2018:</w:t>
      </w:r>
      <w:r>
        <w:t xml:space="preserve"> Examining the Effects of Exogenous Ketones on Exercise Metabolism and Performance in Male Varsity Athletes — https://openalex.org/W2811360614</w:t>
      </w:r>
    </w:p>
    <w:p>
      <w:pPr/>
      <w:r>
        <w:rPr>
          <w:b/>
        </w:rPr>
        <w:t>Shared claim-specific concepts:</w:t>
      </w:r>
      <w:r>
        <w:t xml:space="preserve"> exogenous, reached, maintained; EU scope not established. This is a provisional connection, not an outcome finding.</w:t>
      </w:r>
    </w:p>
    <w:p>
      <w:pPr>
        <w:pStyle w:val="SourceNote"/>
      </w:pPr>
      <w:r>
        <w:rPr>
          <w:b/>
        </w:rPr>
        <w:t>Available abstract (not full text):</w:t>
      </w:r>
      <w:r>
        <w:t xml:space="preserve"> Previous research has shown that administration of exogenous acetoacetate (AcAc), beta-hydroxybutyrate (BHB) and glucose in a perfused rodent heart model can increase cardiac output while reducing oxygen uptake compared with glucose alone. With this apparent improvement in mechanical efficiency induced by AcAc and BHB, there is speculation that they may also enhance exercise performance in athletes. Although AcAc and BHB can be produced endogenously, exogenous BHB supplements have recently become commercially available in the form of ketone mineral salts (KS). Research to date has not found any performance enhancing effects of an acute dose of KS but the effects of more regular KS supplementation on whole body metabolism and exercise performance are unknown. Furthermore, medium-chain triglycerides (MCT) have recently been added to KS supplements, as the administration of KS plus MCT in rodents has been shown to increase blood BHB concentrations compared to KS administration alone. Therefore, the overall purpose of this study was to examine the hypotheses that a twice-daily KS plus MCT supplementation protocol would increase mechanical efficiency and improve exercise performance during a submaximal time to exhaustion (TTE) cycling protocol and a time trial (TT) cycling protocol in male varsity athletes. A single-blinded placebo-controlled crossover design was employed where part</w:t>
      </w:r>
    </w:p>
    <w:p>
      <w:pPr>
        <w:pStyle w:val="Heading2"/>
      </w:pPr>
      <w:r>
        <w:t>832. Futures of science with and for society: towards transformative policy orientations</w:t>
      </w:r>
    </w:p>
    <w:p>
      <w:pPr>
        <w:pStyle w:val="SourceNote"/>
      </w:pPr>
      <w:r>
        <w:rPr>
          <w:b/>
        </w:rPr>
        <w:t>Original source (2016):</w:t>
      </w:r>
      <w:r>
        <w:t xml:space="preserve"> https://doi.org/10.1108/fs-10-2014-0063</w:t>
      </w:r>
    </w:p>
    <w:p>
      <w:pPr/>
      <w:r>
        <w:t>Original wording (abstract; indexed_source_text_not_full_document_verified): This paper analyzes methodological and content issues of five future scenarios of transformed R&amp;I systems. Design/methodology/approach The paper elaborates a four-step methodology to assess the scenario’s policy implications: first, by articulating the scenario implications for six core dimensions of R&amp;I systems; second, an RRI assessment framework is developed to assess in each scenario opportunities and limitations for transforming R&amp;I systems towards responsibility goals; the third involves a cross-scenario analysis of similarities and differences between the scenarios, allowing the identification of robust policy options that make sense in more than one scenario.</w:t>
      </w:r>
    </w:p>
    <w:p>
      <w:pPr/>
      <w:r>
        <w:rPr>
          <w:b/>
        </w:rPr>
        <w:t>POSSIBLE 2026:</w:t>
      </w:r>
      <w:r>
        <w:t xml:space="preserve"> The Methodological Essence and Content of the Concept of Cultural Development — https://openalex.org/W7219340893</w:t>
      </w:r>
    </w:p>
    <w:p>
      <w:pPr/>
      <w:r>
        <w:rPr>
          <w:b/>
        </w:rPr>
        <w:t>Shared claim-specific concepts:</w:t>
      </w:r>
      <w:r>
        <w:t xml:space="preserve"> methodological, content, dimensions; EU scope not established. This is a provisional connection, not an outcome finding.</w:t>
      </w:r>
    </w:p>
    <w:p>
      <w:pPr>
        <w:pStyle w:val="SourceNote"/>
      </w:pPr>
      <w:r>
        <w:rPr>
          <w:b/>
        </w:rPr>
        <w:t>Available abstract (not full text):</w:t>
      </w:r>
      <w:r>
        <w:t xml:space="preserve"> This article examines the methodological essence and substantive content of the concept of “cultural development” in contemporary social and humanitarian sciences. Cultural development is interpreted as a complex social process that reflects qualitative transformations in the spiritual life of society. The paper elucidates its key dimensions, including the transformation of values, the development of social consciousness, the growth of knowledge and educational attainment, the expansion of creative potential, the stability of cultural institutions, and the strengthening of intercultural communication.The study provides a substantive justification of the systemic, historical, institutional, and axiological approaches to the study of cultural development and demonstrates their analytical potential. It is concluded that analyzing cultural development on a comprehensive methodological basis contributes to a deeper understanding of the moral criteria of social progress and supports the improvement of cultural policy as well as educational and critical-reflective thinking practices.</w:t>
      </w:r>
    </w:p>
    <w:p>
      <w:pPr/>
      <w:r>
        <w:rPr>
          <w:b/>
        </w:rPr>
        <w:t>POSSIBLE 2026:</w:t>
      </w:r>
      <w:r>
        <w:t xml:space="preserve"> AI in research methodology — https://openalex.org/W7160366582</w:t>
      </w:r>
    </w:p>
    <w:p>
      <w:pPr/>
      <w:r>
        <w:rPr>
          <w:b/>
        </w:rPr>
        <w:t>Shared claim-specific concepts:</w:t>
      </w:r>
      <w:r>
        <w:t xml:space="preserve"> methodological, five, methodology, approach; EU scope visible. This is a provisional connection, not an outcome finding.</w:t>
      </w:r>
    </w:p>
    <w:p>
      <w:pPr>
        <w:pStyle w:val="SourceNote"/>
      </w:pPr>
      <w:r>
        <w:rPr>
          <w:b/>
        </w:rPr>
        <w:t>Available abstract (not full text):</w:t>
      </w:r>
      <w:r>
        <w:t xml:space="preserve"> This paper explores the transformative impact of Generative Artificial Intelligence (GenAI) on scientific research methodology. It contrasts the traditional linear research approach with emerging AI-driven paradigms, highlighting the closed-loop automation demonstrated by frameworks like DOLPHIN. We identify five primary use cases for GenAI in science—Literature Review, Gap Finding, Hypothesis Generation, Research Question Refinement, and the Socratic Opponent—and analyze four key tools (Elicit, ResearchRabbit, Scite, Consensus) facilitating these tasks. Finally, we address critical risks such as hallucinations and methodological monoculture, alongside the strategic perspective of the European Commission regarding AI in science.</w:t>
      </w:r>
    </w:p>
    <w:p>
      <w:pPr/>
      <w:r>
        <w:rPr>
          <w:b/>
        </w:rPr>
        <w:t>POSSIBLE 2026:</w:t>
      </w:r>
      <w:r>
        <w:t xml:space="preserve"> Innovations in Methodology for Analyzing Automotive Engine Vibration Signals Based on Wavelet Transform Techniques to Determine Maintenance Needs — https://doi.org/10.70917/ijcisim-2026-0063</w:t>
      </w:r>
    </w:p>
    <w:p>
      <w:pPr/>
      <w:r>
        <w:rPr>
          <w:b/>
        </w:rPr>
        <w:t>Shared claim-specific concepts:</w:t>
      </w:r>
      <w:r>
        <w:t xml:space="preserve"> analyzes, methodological, methodology; EU scope not established. This is a provisional connection, not an outcome finding.</w:t>
      </w:r>
    </w:p>
    <w:p>
      <w:pPr>
        <w:pStyle w:val="SourceNote"/>
      </w:pPr>
      <w:r>
        <w:rPr>
          <w:b/>
        </w:rPr>
        <w:t>Available abstract (not full text):</w:t>
      </w:r>
      <w:r>
        <w:t xml:space="preserve"> This paper takes automotive engine vibration signals as its research object, proposes a wavelet transform analysis of automotive engine vibration signals, and further calculates the maintenance requirements of automotive engine vibration signals. It also analyzes the various operational status information contained in complex vibration signals. For engine vibration signals, traditional signal analysis techniques such as the Fourier transform have limitations in their analysis capabilities, particularly when dealing with non-stationary and nonlinear vibration signals. However, the wavelet analysis method, with its time-frequency locality characteristics, can completely avoid such contradictions. Under such circumstances, the analysis of engine vibration signals has a solid foundation and possesses fundamental functional significance. Based on this understanding, this paper conducts a specific and scientific study, establishing a scientifically reasonable signal analysis model. Using specific techniques such as wavelet packet decomposition and reconstruction, the paper performs a more in-depth and detailed analysis of the vibration signals of the Cummins KTA50 engine. Finally, the signal analysis process is validated through practical examples. The results demonstrate that wavelet transform technology can be used for the detection and analysis of engine fault information. Under c</w:t>
      </w:r>
    </w:p>
    <w:p>
      <w:pPr/>
      <w:r>
        <w:rPr>
          <w:b/>
        </w:rPr>
        <w:t>POSSIBLE 2026:</w:t>
      </w:r>
      <w:r>
        <w:t xml:space="preserve"> Beyond the "black box": Neil Postman's concept as a methodological basis for analyzing the ethical issues of artificial intelligence — https://doi.org/10.18287/2782-2966-2026-6-1-8-15</w:t>
      </w:r>
    </w:p>
    <w:p>
      <w:pPr/>
      <w:r>
        <w:rPr>
          <w:b/>
        </w:rPr>
        <w:t>Shared claim-specific concepts:</w:t>
      </w:r>
      <w:r>
        <w:t xml:space="preserve"> analyzes, methodological, content, issues, five, approach; EU scope not established. This is a provisional connection, not an outcome finding.</w:t>
      </w:r>
    </w:p>
    <w:p>
      <w:pPr>
        <w:pStyle w:val="SourceNote"/>
      </w:pPr>
      <w:r>
        <w:rPr>
          <w:b/>
        </w:rPr>
        <w:t>Available abstract (not full text):</w:t>
      </w:r>
      <w:r>
        <w:t xml:space="preserve"> The article analyzes the problem of finding adequate methodological and conceptual foundations for the ethics of artificial intelligence (AI), considering the gap between theoretical propositions and their practical implementation, as well as the predominance of the instrumental approach over humanitarian analysis. The author substantiates the possibility of applying Neil Postman’s media ecology to construct a critical approach to AI ethics. The study analyzes existing approaches: the principle-based approach (flexible but susceptible to manipulation) and the person-oriented approach (facing the problem of the "responsibility gap" due to the "opacity" of algorithms). It is noted that these approaches treat AI as a neutral tool and do not question the profound transformations caused by the technology. Through Postman’s five theses, the key risks of AI implementation are identified: the loss of human agency and the degradation of cognitive skills in exchange for convenience; increasing inequality between tech giants and disadvantaged parties; the risk of the disappearance of wisdom and truth, replaced by content generation; the "ecological" nature of technological changes transforming social institutions; and the mythologization of technologies leading to "algorithmic idolatry" and loss of control. It is argued that the goal of a critical approach should be the identification and</w:t>
      </w:r>
    </w:p>
    <w:p>
      <w:pPr/>
      <w:r>
        <w:rPr>
          <w:b/>
        </w:rPr>
        <w:t>POSSIBLE 2026:</w:t>
      </w:r>
      <w:r>
        <w:t xml:space="preserve"> INCREASING THE EFFECTIVENESS OF METHODOLOGICAL EDUCATION IN THE CONTEXT OF UPDATING THE CONTENT OF PRIMARY EDUCATION — https://openalex.org/W7220097868</w:t>
      </w:r>
    </w:p>
    <w:p>
      <w:pPr/>
      <w:r>
        <w:rPr>
          <w:b/>
        </w:rPr>
        <w:t>Shared claim-specific concepts:</w:t>
      </w:r>
      <w:r>
        <w:t xml:space="preserve"> analyzes, methodological, content, issues; EU scope not established. This is a provisional connection, not an outcome finding.</w:t>
      </w:r>
    </w:p>
    <w:p>
      <w:pPr>
        <w:pStyle w:val="SourceNote"/>
      </w:pPr>
      <w:r>
        <w:rPr>
          <w:b/>
        </w:rPr>
        <w:t>Available abstract (not full text):</w:t>
      </w:r>
      <w:r>
        <w:t xml:space="preserve"> This article discusses the issues of increasing the effectiveness of methodological education in the context of updating the content of primary education. It analyzes the methodological training of primary school teachers based on modern educational requirements, the role of new generation textbooks and innovative pedagogical technologies. It also considers the use of interactive methods in organizing the educational process, methodological approaches aimed at developing independent and creative thinking of students. The results of the article will serve to improve the quality of primary education and develop the professional competencies of teachers.</w:t>
      </w:r>
    </w:p>
    <w:p>
      <w:pPr/>
      <w:r>
        <w:rPr>
          <w:b/>
        </w:rPr>
        <w:t>POSSIBLE 2025:</w:t>
      </w:r>
      <w:r>
        <w:t xml:space="preserve"> An innovative methodology in analyzing certain pendulum oscillators — https://doi.org/10.1038/s41598-025-99645-x</w:t>
      </w:r>
    </w:p>
    <w:p>
      <w:pPr/>
      <w:r>
        <w:rPr>
          <w:b/>
        </w:rPr>
        <w:t>Shared claim-specific concepts:</w:t>
      </w:r>
      <w:r>
        <w:t xml:space="preserve"> issues, methodology, approach, assess; EU scope not established. This is a provisional connection, not an outcome finding.</w:t>
      </w:r>
    </w:p>
    <w:p>
      <w:pPr>
        <w:pStyle w:val="SourceNote"/>
      </w:pPr>
      <w:r>
        <w:rPr>
          <w:b/>
        </w:rPr>
        <w:t>Available abstract (not full text):</w:t>
      </w:r>
      <w:r>
        <w:t xml:space="preserve"> Pendulum oscillators study harmonic motion, energy conservation, and nonlinear dynamics, providing insights into mechanical vibrations, wave phenomena, weather patterns, and quantum mechanics, with real-world applications in engineering, seismology, and clock mechanisms. The present study addresses three distinct issues related to SPs; a charged magnetic spherical simple pendulum (SP), and a SP composed of heavy cylinders that roll freely in a horizontal plane, and a nonlinear model depicting the motion of a damped SP in a fluid flow. The SPs are analyzed via an innovative technology known as the non-perturbative approach (NPA), which is based on He's frequency formula (HFF). This advanced approach linearizes a nonlinear ordinary differential equation (ODE), enabling more straightforward analysis and solution. As-well known, implementing the NPA has several advantages, chief among them the removal of the constraints associated with managing Taylor expansions. Consequently, there have been no augmentations to the current restorative forces. Secondly, the novel method enables us to assess the stability criteria of the system away from the traditional perturbation techniques. The numerical comparison of nonlinear ODEs into linear ones using Mathematica Software (MS) is conducted to validate this innovative method. An analysis of the two responses demonstrates a strong concordance,</w:t>
      </w:r>
    </w:p>
    <w:p>
      <w:pPr/>
      <w:r>
        <w:rPr>
          <w:b/>
        </w:rPr>
        <w:t>POSSIBLE 2025:</w:t>
      </w:r>
      <w:r>
        <w:t xml:space="preserve"> METHODOLOGICAL BASIS FOR DEVELOPING DIGITAL ASTRONOMY CONTENT IN PEDAGOGICAL UNIVERSITIES — https://openalex.org/W7220225929</w:t>
      </w:r>
    </w:p>
    <w:p>
      <w:pPr/>
      <w:r>
        <w:rPr>
          <w:b/>
        </w:rPr>
        <w:t>Shared claim-specific concepts:</w:t>
      </w:r>
      <w:r>
        <w:t xml:space="preserve"> analyzes, methodological, content; EU scope not established. This is a provisional connection, not an outcome finding.</w:t>
      </w:r>
    </w:p>
    <w:p>
      <w:pPr>
        <w:pStyle w:val="SourceNote"/>
      </w:pPr>
      <w:r>
        <w:rPr>
          <w:b/>
        </w:rPr>
        <w:t>Available abstract (not full text):</w:t>
      </w:r>
      <w:r>
        <w:t xml:space="preserve"> This article analyzes methodological foundations for developing digital astronomy content in pedagogical higher education institutions. Stages of development of digital materials, their organization based on didactic principles, and the use of visual and interactive software are considered. Particular attention is attended to the role of digital content in improving the effectiveness of education and supporting of students’ independent cognitive activity.</w:t>
      </w:r>
    </w:p>
    <w:p>
      <w:pPr/>
      <w:r>
        <w:rPr>
          <w:b/>
        </w:rPr>
        <w:t>POSSIBLE 2025:</w:t>
      </w:r>
      <w:r>
        <w:t xml:space="preserve"> FROM THE EXPERIENCE OF DEVELOPING HISTORICAL-METHODOLOGICAL DIDACTIC CONTENT ON THEORY OF RELATIVITY — https://doi.org/10.48081/wjyr5545</w:t>
      </w:r>
    </w:p>
    <w:p>
      <w:pPr/>
      <w:r>
        <w:rPr>
          <w:b/>
        </w:rPr>
        <w:t>Shared claim-specific concepts:</w:t>
      </w:r>
      <w:r>
        <w:t xml:space="preserve"> methodological, content, systems, methodology, approach, first; EU scope not established. This is a provisional connection, not an outcome finding.</w:t>
      </w:r>
    </w:p>
    <w:p>
      <w:pPr>
        <w:pStyle w:val="SourceNote"/>
      </w:pPr>
      <w:r>
        <w:rPr>
          <w:b/>
        </w:rPr>
        <w:t>Available abstract (not full text):</w:t>
      </w:r>
      <w:r>
        <w:t xml:space="preserve"> The relevance of this research is determined by the fact that the quality of training specialists in physics for science and education depends not only on their level of specialized knowledge but also on their cognitive thinking and metacognitive skills. In the digital era, the development of educational content for specialized courses aligned with modern constructivist didactic systems remains a pressing challenge. These systems aim to enhance the learning process through the integration of historical and methodological material. However, in the current practice of scientific and professional education, the application of metacognitive learning technologies is rare due to the lack of systematized historical-methodological content based on primary sources and methodological literature. The study aims to develop historical-methodological didactic content for a specialized course section on “Einstein’s Theory of Relativity.” The theoretical basis of the research involves the analysis of primary sources on the topic using a cognitive approach. Research Results: 1) based on a review and analysis of events from the first half of the 20th century, which saw a revolutionary leap in the development of physics content and methodology, historical facts concerning the emergence, development, and formulation of the fundamental principles of Einstein’s theory of relativity were selected and</w:t>
      </w:r>
    </w:p>
    <w:p>
      <w:pPr/>
      <w:r>
        <w:rPr>
          <w:b/>
        </w:rPr>
        <w:t>POSSIBLE 2025:</w:t>
      </w:r>
      <w:r>
        <w:t xml:space="preserve"> THE CONTENT OF FOREIGN LANGUAGE TEACHING IN THE METHODOLOGY OF TEACHING LANGUAGES AND EDUCATION TECHNOLOGIES — https://doi.org/10.5281/zenodo.17967534</w:t>
      </w:r>
    </w:p>
    <w:p>
      <w:pPr/>
      <w:r>
        <w:rPr>
          <w:b/>
        </w:rPr>
        <w:t>Shared claim-specific concepts:</w:t>
      </w:r>
      <w:r>
        <w:t xml:space="preserve"> content, design, methodology, framework; EU scope not established. This is a provisional connection, not an outcome finding.</w:t>
      </w:r>
    </w:p>
    <w:p>
      <w:pPr>
        <w:pStyle w:val="SourceNote"/>
      </w:pPr>
      <w:r>
        <w:rPr>
          <w:b/>
        </w:rPr>
        <w:t>Available abstract (not full text):</w:t>
      </w:r>
      <w:r>
        <w:t xml:space="preserve"> This article examines the essential components of foreign language teaching within the framework of modern language teaching methodology and educational technologies. It explores theoretical foundations, principles, and practical aspects that shape the design of foreign language curricula. The integration of communicative, cognitive, sociocultural, and technological approaches is analyzed in order to define how content is selected, organized, and delivered in contemporary classrooms. Particular attention is given to the development of linguistic and communicative competence, the role of cultural knowledge, the incorporation of digital tools, and the importance of learner-centered instruction. By synthesizing current research and best practices, the article provides insights into how foreign language teaching content can be optimized to meet the needs of 21st-century learners.</w:t>
      </w:r>
    </w:p>
    <w:p>
      <w:pPr/>
      <w:r>
        <w:rPr>
          <w:b/>
        </w:rPr>
        <w:t>POSSIBLE 2025:</w:t>
      </w:r>
      <w:r>
        <w:t xml:space="preserve"> Methodology for studying images of the future and the place in it of sociolinguistic analysis of digital content — https://doi.org/10.17223/15617793/510/8</w:t>
      </w:r>
    </w:p>
    <w:p>
      <w:pPr/>
      <w:r>
        <w:rPr>
          <w:b/>
        </w:rPr>
        <w:t>Shared claim-specific concepts:</w:t>
      </w:r>
      <w:r>
        <w:t xml:space="preserve"> methodological, content, methodology, developed; EU scope not established. This is a provisional connection, not an outcome finding.</w:t>
      </w:r>
    </w:p>
    <w:p>
      <w:pPr>
        <w:pStyle w:val="SourceNote"/>
      </w:pPr>
      <w:r>
        <w:rPr>
          <w:b/>
        </w:rPr>
        <w:t>Available abstract (not full text):</w:t>
      </w:r>
      <w:r>
        <w:t xml:space="preserve"> The authors of the article aim to present existing methodological approaches to the study of images of the future, to analyze their connection with the research objectives and the materials used. The authors introduce readers to the developed and tested methodology of a sociolinguistic analysis of information flows on the Internet, thematically oriented to the image of the future. The article presents the results of a study conducted in November, 2023, and January, 2024. The database included 50,036,592 tokens. The results of the study revealed both positive and negative semantic accents, which turned out to be the most significant for the participants in the discussions. The research strategy aimed at fixing the "information waves" and the reaction to them allows us to identify the main content orientations of the idea of the future. In addition, this strategy makes possible to reveal the actors of these ideas, on the one hand, and to track their reaction to the proposed models of the future, on the other hand. Thus, according to the authors, this method makes it possible to get closer to the solution of the issue of the principles of the emergence of images of the future as phenomena of public consciousness. The presented methods have advantages such as the possibility of significantly reducing the number of analysis units by isolating information waves, as well as the abilit</w:t>
      </w:r>
    </w:p>
    <w:p>
      <w:pPr/>
      <w:r>
        <w:rPr>
          <w:b/>
        </w:rPr>
        <w:t>POSSIBLE 2025:</w:t>
      </w:r>
      <w:r>
        <w:t xml:space="preserve"> METHODOLOGY FOR ANALYZING AND EVALUATING LESSONS — https://doi.org/10.33514/1694-7851-2025-4/2-200-209</w:t>
      </w:r>
    </w:p>
    <w:p>
      <w:pPr/>
      <w:r>
        <w:rPr>
          <w:b/>
        </w:rPr>
        <w:t>Shared claim-specific concepts:</w:t>
      </w:r>
      <w:r>
        <w:t xml:space="preserve"> methodological, content, methodology, framework; EU scope not established. This is a provisional connection, not an outcome finding.</w:t>
      </w:r>
    </w:p>
    <w:p>
      <w:pPr>
        <w:pStyle w:val="SourceNote"/>
      </w:pPr>
      <w:r>
        <w:rPr>
          <w:b/>
        </w:rPr>
        <w:t>Available abstract (not full text):</w:t>
      </w:r>
      <w:r>
        <w:t xml:space="preserve"> One of the main goals of the education system is to provide students with deep, solid, and meaningful knowledge, as well as to develop a structured system of skills and competencies through the study of each subject. This process creates the conditions necessary for students’ intellectual, social, and spiritual development. The implementation of this goal requires well-thoughtout lesson content, proper planning, methodological consistency, and diversity in teaching forms and methods. Therefore, along with organizing the lesson effectively, an important aspect of a teacher’s professional activity is the analysis of the lesson’s progress and effectiveness. This article briefly examines the objectives of lesson analysis, an approximate plan of questions for teachers’ selfassessment of their lessons, the stages of lesson analysis, and a suggested framework for a comprehensive psychological and pedagogical analysis. In the modern educational process, the lesson remains the primary form of active interaction between teacher and student. Each lesson integrates the goals of education, upbringing, and personal development in close interrelation. However, achieving these goals requires a deep and comprehensive analysis of the lesson.</w:t>
      </w:r>
    </w:p>
    <w:p>
      <w:pPr/>
      <w:r>
        <w:rPr>
          <w:b/>
        </w:rPr>
        <w:t>POSSIBLE 2024:</w:t>
      </w:r>
      <w:r>
        <w:t xml:space="preserve"> The essence and content of scientific research methodology — https://doi.org/10.12775/jehs.2024.63.020</w:t>
      </w:r>
    </w:p>
    <w:p>
      <w:pPr/>
      <w:r>
        <w:rPr>
          <w:b/>
        </w:rPr>
        <w:t>Shared claim-specific concepts:</w:t>
      </w:r>
      <w:r>
        <w:t xml:space="preserve"> analyzes, content, methodology; EU scope not established. This is a provisional connection, not an outcome finding.</w:t>
      </w:r>
    </w:p>
    <w:p>
      <w:pPr>
        <w:pStyle w:val="SourceNote"/>
      </w:pPr>
      <w:r>
        <w:rPr>
          <w:b/>
        </w:rPr>
        <w:t>Available abstract (not full text):</w:t>
      </w:r>
      <w:r>
        <w:t xml:space="preserve"> The article analyzes the essence and content of the concepts "methodology", "methods of scientific research". The content of general and special methods of conducting scientific research is disclosed. It has been established that the methodology of scientific research is a conceptual statement of the content, purpose, and methods of research that allow obtaining the most objective, systematized and accurate information about phenomena and processes. The methodology systematizes the methods, methods and methods of learning objective reality, ensuring the reliability of the obtained knowledge about the object of research, their compliance with the subject of research, and is also a means of substantiating the results and conclusions of the conducted scientific research. The methods of scientific research mean a set of cognitive rules and techniques, implemented in the form of interconnected operations, designed to obtain new knowledge, consisting of three stages: research, proof and explanation. Methods are a set of techniques and methods of activity that allow a person or organization to achieve set goals. The choice of methods depends on the nature and content of the problem, the terms and resources allocated for its study, the amount and quality of available information. The authors characterized the content of empirical, theoretical and special methods of scientific research.</w:t>
      </w:r>
    </w:p>
    <w:p>
      <w:pPr>
        <w:pStyle w:val="Heading2"/>
      </w:pPr>
      <w:r>
        <w:t>833. Futuribles of learning 2030 - Delphi supports the reform of the core curricula in Finland</w:t>
      </w:r>
    </w:p>
    <w:p>
      <w:pPr>
        <w:pStyle w:val="SourceNote"/>
      </w:pPr>
      <w:r>
        <w:rPr>
          <w:b/>
        </w:rPr>
        <w:t>Original source (2016):</w:t>
      </w:r>
      <w:r>
        <w:t xml:space="preserve"> https://doi.org/10.1007/s40309-016-0096-y</w:t>
      </w:r>
    </w:p>
    <w:p>
      <w:pPr/>
      <w:r>
        <w:t>Original wording (abstract; indexed_source_text_not_full_document_verified): The aim of the Barometer is to acknowledge the futuribles of learning and take into consideration the possibilities and challenges that may affect the development of school, teaching and learning.</w:t>
      </w:r>
    </w:p>
    <w:p>
      <w:pPr/>
      <w:r>
        <w:rPr>
          <w:b/>
        </w:rPr>
        <w:t>POSSIBLE 2024:</w:t>
      </w:r>
      <w:r>
        <w:t xml:space="preserve"> Prevalence and epidemiological characteristics of chronic pain in the Spanish population. Results from the pain barometer — https://doi.org/10.1002/ejp.4705</w:t>
      </w:r>
    </w:p>
    <w:p>
      <w:pPr/>
      <w:r>
        <w:rPr>
          <w:b/>
        </w:rPr>
        <w:t>Shared claim-specific concepts:</w:t>
      </w:r>
      <w:r>
        <w:t xml:space="preserve"> aim, barometer, consideration; EU scope not established. This is a provisional connection, not an outcome finding.</w:t>
      </w:r>
    </w:p>
    <w:p>
      <w:pPr>
        <w:pStyle w:val="SourceNote"/>
      </w:pPr>
      <w:r>
        <w:rPr>
          <w:b/>
        </w:rPr>
        <w:t>Available abstract (not full text):</w:t>
      </w:r>
      <w:r>
        <w:t xml:space="preserve"> BACKGROUND: Chronic pain (CP) is a public health problem worldwide. AIM: To update the prevalence of CP and compare the clinical and social characteristics of people with CP with those with non-chronic continuous pain and a group without pain. METHODS: An observational cross-sectional study was carried out in a representative sample of 7058 adults from the Spanish population. Sociodemographic data, the presence of CP and non-chronic continuous pain, characteristics of pain, limitations on activities of daily living (ADL), the presence and level of anxiety and depression (HADS), quality of life (SF-12v2) and social support (DUKE) were collected. Descriptive and bivariate analyses were performed. RESULTS: The prevalence of CP was 25.9% (95% CI;24.8-26.9) and that of non-chronic continuous pain was 7.7% (95% CI;7.1-8.3). Women presented a higher prevalence of both CP (30.5% vs. 21.3%) and non-chronic continuous pain (8.8% vs. 6.6%). CP was more common in the group between 55 and 75 years old (30.6%, 95% CI = 28.6-32.6%), non-chronic continuous pain affected most the population between 18 and 34 years old (11.2%, 95% CI = 9.6-12.7%). The median duration of CP was 4 years. The lumbar was the most frequent pain site (58.1%), and 27.1% did not know the cause. A greater frequency of limitations on ADL, more anxiety and depression, and worse quality of life were shown among the subjects</w:t>
      </w:r>
    </w:p>
    <w:p>
      <w:pPr/>
      <w:r>
        <w:rPr>
          <w:b/>
        </w:rPr>
        <w:t>POSSIBLE 2023:</w:t>
      </w:r>
      <w:r>
        <w:t xml:space="preserve"> A Review of the AGE Barometer 2023: EU Good Practices and Barriers in the Empowerment of Elderly in the Labour Market - The Case of Hungary — https://doi.org/10.47225/mg/15/42/14315</w:t>
      </w:r>
    </w:p>
    <w:p>
      <w:pPr/>
      <w:r>
        <w:rPr>
          <w:b/>
        </w:rPr>
        <w:t>Shared claim-specific concepts:</w:t>
      </w:r>
      <w:r>
        <w:t xml:space="preserve"> barometer, consideration, challenges; EU scope visible. This is a provisional connection, not an outcome finding.</w:t>
      </w:r>
    </w:p>
    <w:p>
      <w:pPr>
        <w:pStyle w:val="SourceNote"/>
      </w:pPr>
      <w:r>
        <w:rPr>
          <w:b/>
        </w:rPr>
        <w:t>Available abstract (not full text):</w:t>
      </w:r>
      <w:r>
        <w:t xml:space="preserve"> The 2023 edition of the AGE Barometer was released by the Age Platform Europe, aimed at consolidating data from European statistics and national-level sources and enriched by feedback from 19 European countries, including Hungary. The publication aimed at empowering older people in the labour market and promoting sustainable and high-quality working lives for them. The Barometer revealed that the European Union (EU) is far from reaching its 78% employment target for adults aged 20 to 64 with its current state of just 62.3%. This could be due to various barriers to the integration of older people in the labour market, which include inadequate supportive policies, ageism, and unfavourable workplace conditions. Conversely, these are broadly stated in the context of the EU; hence, a deeper analysis of these results, with a special focus on the case of a single country, such as Hungary, is relevant to establish a clearer understanding of the national and local framework of these findings and in determining facilitating policies and programmes as well as gaps in promoting elderly inclusion in the labour sector. Using various methods such as critical analysis, desk and literature review, and thematic analysis, this article examined the Barometer report and other relevant publications. The Barometer 2023 effectively provided general issues and actionable areas in supporting older peopl</w:t>
      </w:r>
    </w:p>
    <w:p>
      <w:pPr/>
      <w:r>
        <w:rPr>
          <w:b/>
        </w:rPr>
        <w:t>POSSIBLE 2020:</w:t>
      </w:r>
      <w:r>
        <w:t xml:space="preserve"> COVID-19 and schooling: evaluation, assessment and accountability in times of crises—reacting quickly to explore key issues for policy, practice and research with the school barometer — https://doi.org/10.1007/s11092-020-09322-y</w:t>
      </w:r>
    </w:p>
    <w:p>
      <w:pPr/>
      <w:r>
        <w:rPr>
          <w:b/>
        </w:rPr>
        <w:t>Shared claim-specific concepts:</w:t>
      </w:r>
      <w:r>
        <w:t xml:space="preserve"> aim, barometer, challenges, school; EU scope visible. This is a provisional connection, not an outcome finding.</w:t>
      </w:r>
    </w:p>
    <w:p>
      <w:pPr>
        <w:pStyle w:val="SourceNote"/>
      </w:pPr>
      <w:r>
        <w:rPr>
          <w:b/>
        </w:rPr>
        <w:t>Available abstract (not full text):</w:t>
      </w:r>
      <w:r>
        <w:t xml:space="preserve"> The crisis caused by the COVID-19 virus has far-reaching effects in the field of education, as schools were closed in March 2020 in many countries around the world. In this article, we present and discuss the School Barometer, a fast survey (in terms of reaction time, time to answer and dissemination time) that was conducted in Germany, Austria and Switzerland during the early weeks of the school lockdown to assess and evaluate the current school situation caused by COVID-19. Later, the School Barometer was extended to an international survey, and some countries conducted the survey in their own languages. In Germany, Austria and Switzerland, 7116 persons participated in the German language version: 2222 parents, 2152 students, 1949 school staff, 655 school leaders, 58 school authority and 80 members of the school support system. The aim was to gather, analyse and present data in an exploratory way to inform policy, practice and further research. In this article, we present some exemplary first results and possible implications for policy, practice and research. Furthermore, we reflect on the strengths and limitations of the School Barometer and fast surveys as well as the methodological options for data collection and analysis when using a short monitoring survey approach. Specifically, we discuss the methodological challenges associated with survey data of this kind, includin</w:t>
      </w:r>
    </w:p>
    <w:p>
      <w:pPr/>
      <w:r>
        <w:rPr>
          <w:b/>
        </w:rPr>
        <w:t>POSSIBLE 2018:</w:t>
      </w:r>
      <w:r>
        <w:t xml:space="preserve"> Seabird sentinels: The barometer for island conservation in a changing world — https://openalex.org/W2810691331</w:t>
      </w:r>
    </w:p>
    <w:p>
      <w:pPr/>
      <w:r>
        <w:rPr>
          <w:b/>
        </w:rPr>
        <w:t>Shared claim-specific concepts:</w:t>
      </w:r>
      <w:r>
        <w:t xml:space="preserve"> barometer, take, consideration, affect; EU scope not established. This is a provisional connection, not an outcome finding.</w:t>
      </w:r>
    </w:p>
    <w:p>
      <w:pPr>
        <w:pStyle w:val="SourceNote"/>
      </w:pPr>
      <w:r>
        <w:rPr>
          <w:b/>
        </w:rPr>
        <w:t>Available abstract (not full text):</w:t>
      </w:r>
      <w:r>
        <w:t xml:space="preserve"> Seabirds are the most threatened group of marine animals, 53% of Procellariiformes (albatrosses, petrels, storm petrels, shearwaters, fulmars, and prions) are experiencing population declines; thus, their protection is a global conservation priority. On land, seabirds are vulnerable to invasive mammalian predators, due to physiological, behavioural and demographic traits, such as extended immaturity, low reproductive output and colonial nesting habits. At-sea, seabirds are impacted by human activities; suffering increasing levels of mortality from fisheries bycatch, pollution, and climate change. Land-based conservation actions, such as predator eradication have been the focus of conservation efforts. Currently, gaps remain in our understanding about the recovery of seabirds on islands following predator eradication. Moreover, little is known about the population level impacts of extrinsic stressors. In this thesis, I am to contribute to understanding if invasive predator control will deliver enduring benefits for seabirds and their island ecosystems. To do this, I investigate the factors that influence seabirds returning to islands after predator eradication, how island ecosystems are recovering, new ways of measuring the abundance and recovery of seabirds to islands, and how seabird recovery is affected by intensifying marine threats. In chapter 2, I evaluate the recovery of </w:t>
      </w:r>
    </w:p>
    <w:p>
      <w:pPr>
        <w:pStyle w:val="Heading2"/>
      </w:pPr>
      <w:r>
        <w:t>834. Futuring European industry: assessing the ManuFuture road towards EU re-industrialization</w:t>
      </w:r>
    </w:p>
    <w:p>
      <w:pPr>
        <w:pStyle w:val="SourceNote"/>
      </w:pPr>
      <w:r>
        <w:rPr>
          <w:b/>
        </w:rPr>
        <w:t>Original source (2016):</w:t>
      </w:r>
      <w:r>
        <w:t xml:space="preserve"> https://doi.org/10.1007/s40309-016-0100-6</w:t>
      </w:r>
    </w:p>
    <w:p>
      <w:pPr/>
      <w:r>
        <w:t>Original wording (abstract; indexed_source_text_not_full_document_verified): Based on a systemic assessment of the multi-actor, multi-governance-level and multi-sector policy approach, success factors are elaborated as guiding principles and framework for the upcoming Vision 2030 process.</w:t>
      </w:r>
    </w:p>
    <w:p>
      <w:pPr/>
      <w:r>
        <w:rPr>
          <w:b/>
        </w:rPr>
        <w:t>POSSIBLE 2026:</w:t>
      </w:r>
      <w:r>
        <w:t xml:space="preserve"> A network analysis of systemic risk in the European banking sector — https://doi.org/10.1007/s10203-026-00600-w</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Abstract In this paper, we adopt a conditional tail risk network methodology for the assessment of transmission channels of risk. In particular, we employ weighted and directed networks to model the mutual influence between banks, with the weights being linked to tail risk measures. More specifically, in the empirical comparison we focus on MES-based pairwise dependence networks and on the parametric $$\Delta $$ Δ CoVaR network estimated on ARMA(1,1)-GARCH(1,1) residuals through SCAD-penalized quantile regression. We use different network indicators to investigate the importance of a bank’s role in both spreading and absorbing risk from other financial institutions. Our analysis focuses on a sample based on banks included in the European Banking Authority 2023 stress test, complemented by two additional systemically relevant European institutions and we consider daily data for the period 2015–2024. The analyses are conducted over four economically meaningful subperiods in order to evaluate the evolution of systemic interconnections across different macro-financial regimes. We find that the choice of tail risk measure leads to substantial differences in network topology, centrality rankings, and community composition. The empirical results demonstrate significant variations in the structural characteristics of the networks through time.</w:t>
      </w:r>
    </w:p>
    <w:p>
      <w:pPr/>
      <w:r>
        <w:rPr>
          <w:b/>
        </w:rPr>
        <w:t>POSSIBLE 2026:</w:t>
      </w:r>
      <w:r>
        <w:t xml:space="preserve"> Institutional Transformations of Multi-Level Governance in Ukraine under the Conditions of European Integration and Wartime Challenges — https://openalex.org/W7213573513</w:t>
      </w:r>
    </w:p>
    <w:p>
      <w:pPr/>
      <w:r>
        <w:rPr>
          <w:b/>
        </w:rPr>
        <w:t>Shared claim-specific concepts:</w:t>
      </w:r>
      <w:r>
        <w:t xml:space="preserve"> based, systemic, principles, framework; EU scope visible. This is a provisional connection, not an outcome finding.</w:t>
      </w:r>
    </w:p>
    <w:p>
      <w:pPr>
        <w:pStyle w:val="SourceNote"/>
      </w:pPr>
      <w:r>
        <w:rPr>
          <w:b/>
        </w:rPr>
        <w:t>Available abstract (not full text):</w:t>
      </w:r>
      <w:r>
        <w:t xml:space="preserve"> Abstract. The article examines the institutional transformations of multi-level governance in Ukraine in the context of European integration and wartime challenges. The study focuses on the structural changes in the territorial organization of public authority resulting from decentralization reform and assesses their compliance with the principles of the European multi-level governance (MLG) model. It is argued that decentralization has created institutional prerequisites for a polycentric system of public authority, particularly at the local level, by expanding the powers, resources, and decision-making autonomy of territorial communities. At the same time, the absence of synchronized institutional transformations at the subregional and regional levels has resulted in structural asymmetry and institutional inconsistency within the territorial organization of public authority. Particular attention is paid to the incomplete institutional transformation of regional governance, the limited role of oblast councils, the preservation of centralized administrative practices, and the uncertain institutional status of the subregional level. The article also examines how wartime conditions have intensified the tension between the need for centralized decision-making in the security sphere and the principles of decentralization and local autonomy. The analysis demonstrates that Ukraine ha</w:t>
      </w:r>
    </w:p>
    <w:p>
      <w:pPr/>
      <w:r>
        <w:rPr>
          <w:b/>
        </w:rPr>
        <w:t>POSSIBLE 2026:</w:t>
      </w:r>
      <w:r>
        <w:t xml:space="preserve"> Industrial energy transformation and multi-level governance: evidence from Germany — https://doi.org/10.32846/2306-9716/2026.eco.3-66.30</w:t>
      </w:r>
    </w:p>
    <w:p>
      <w:pPr/>
      <w:r>
        <w:rPr>
          <w:b/>
        </w:rPr>
        <w:t>Shared claim-specific concepts:</w:t>
      </w:r>
      <w:r>
        <w:t xml:space="preserve"> based, systemic, success, framework, process; EU scope visible. This is a provisional connection, not an outcome finding.</w:t>
      </w:r>
    </w:p>
    <w:p>
      <w:pPr>
        <w:pStyle w:val="SourceNote"/>
      </w:pPr>
      <w:r>
        <w:rPr>
          <w:b/>
        </w:rPr>
        <w:t>Available abstract (not full text):</w:t>
      </w:r>
      <w:r>
        <w:t xml:space="preserve"> This paper investigates the energy sector transformation in the German federal state of North Rhine-Westphalia as a process of systemic industrial restructuring within one of Europe's historically most carbon-intensive production regions.Drawing on an integrated analytical framework that combines legislative analysis with comparative empirical case studies, the study examines how climate-neutral transformation ambitions are operationalised in practice at the regional level.The analysis situates contemporary decarbonisation strategies within the long-term economic-historical pathway of the Ruhr industrial complex, characterised by strong path dependencies in fossil-fuel-based infrastructures, spatial industrial clustering, and high energy intensity.The findings demonstrate that energy transition in advanced manufacturing regions unfolds as a multidimensional reconfiguration of technological systems, infrastructure networks and governance arrangements, rather than as a linear substitution of energy carriers.The empirical analysis is based on six industrial transition case studies -Thyssenkrupp Steel tkH₂Steel, Carbon2Chem, STEAG / Iqony HydrOxy Hub Walsum, HyCologne regional hydrogen initiative, LyondellBasell MoReTec, and the Dortmund district heating modernisation -complemented by one municipal modernisation example, namely the renewable electricity procurement and public build</w:t>
      </w:r>
    </w:p>
    <w:p>
      <w:pPr/>
      <w:r>
        <w:rPr>
          <w:b/>
        </w:rPr>
        <w:t>POSSIBLE 2026:</w:t>
      </w:r>
      <w:r>
        <w:t xml:space="preserve"> Multi-Level Governance Through Public-Sector Intermediaries: Integration Versus Disintegration — https://doi.org/10.31083/mrev58329</w:t>
      </w:r>
    </w:p>
    <w:p>
      <w:pPr/>
      <w:r>
        <w:rPr>
          <w:b/>
        </w:rPr>
        <w:t>Shared claim-specific concepts:</w:t>
      </w:r>
      <w:r>
        <w:t xml:space="preserve"> based, process; EU scope not established. This is a provisional connection, not an outcome finding.</w:t>
      </w:r>
    </w:p>
    <w:p>
      <w:pPr>
        <w:pStyle w:val="SourceNote"/>
      </w:pPr>
      <w:r>
        <w:rPr>
          <w:b/>
        </w:rPr>
        <w:t>Available abstract (not full text):</w:t>
      </w:r>
      <w:r>
        <w:t xml:space="preserve"> This study investigates how public-sector intermediaries integrate their goals and functions across macro, meso, and micro system levels to support industry development, using the Swedish tourism sector as an empirical context. Drawing on the Three-Cycle Model of Innovation Efforts and a stakeholder–goal–function–outcome lens, the research conceptualizes public-sector intermediation as a dynamic, multi-scalar process shaped by institutional mandates, stakeholder expectations, and contextual constraints. Based on 15 semi-structured interviews, agenda-setting meetings, and document analysis across seven Swedish regions, the findings show that while intermediary goals often center on resource mobilization, networking, and development, their enacted functions are fluid and highly context-dependent. Integration across levels is frequently challenged by misaligned information structures, regulatory rigidity, fragmented digital infrastructures, and competing institutional logics, yet is enabled by adaptive mechanisms such as cross-sectoral networking, bidirectional translation work, and reflexive governance practices. The study contributes to theory by offering an extended conceptual model of goal–function integration, positioning public-sector intermediaries as boundary-spanning actors engaged in both downward policy translation and the upward articulation of situated knowledge. This</w:t>
      </w:r>
    </w:p>
    <w:p>
      <w:pPr/>
      <w:r>
        <w:rPr>
          <w:b/>
        </w:rPr>
        <w:t>POSSIBLE 2026:</w:t>
      </w:r>
      <w:r>
        <w:t xml:space="preserve"> Systemic Failure of Judicial Protection in Latvian Enforcement Proceedings: A Legal Assessment — https://doi.org/10.5281/zenodo.21709610</w:t>
      </w:r>
    </w:p>
    <w:p>
      <w:pPr/>
      <w:r>
        <w:rPr>
          <w:b/>
        </w:rPr>
        <w:t>Shared claim-specific concepts:</w:t>
      </w:r>
      <w:r>
        <w:t xml:space="preserve"> based, systemic, assessment, principles, process; EU scope visible. This is a provisional connection, not an outcome finding.</w:t>
      </w:r>
    </w:p>
    <w:p>
      <w:pPr>
        <w:pStyle w:val="SourceNote"/>
      </w:pPr>
      <w:r>
        <w:rPr>
          <w:b/>
        </w:rPr>
        <w:t>Available abstract (not full text):</w:t>
      </w:r>
      <w:r>
        <w:t xml:space="preserve"> Description This report presents an independent legal assessment of enforcement proceedings conducted in Latvia, examining whether the procedural actions and decisions taken during the enforcement process comply with Latvian law, the Charter of Fundamental Rights of the European Union, the European Convention on Human Rights, and internationally recognised principles of the rule of law. The analysis is based exclusively on official procedural documents, court decisions, enforcement records and other documentary evidence. Each procedural step is examined chronologically to evaluate its legality, procedural fairness, proportionality, reasoning, consistency and compliance with the principle of effective judicial protection. Particular attention is given to: procedural legality of enforcement measures; protection of property rights; access to justice and effective judicial protection; proportionality of enforcement actions; procedural fairness and equality of arms; assessment of evidence submitted by the debtor; duty to provide reasoned decisions; compliance with Articles 17, 41 and 47 of the Charter of Fundamental Rights of the European Union; compliance with Articles 6 and 13 of the European Convention on Human Rights. The report also examines whether the enforcement proceedings reveal systemic deficiencies affecting effective judicial protection, including situations in which pr</w:t>
      </w:r>
    </w:p>
    <w:p>
      <w:pPr/>
      <w:r>
        <w:rPr>
          <w:b/>
        </w:rPr>
        <w:t>POSSIBLE 2026:</w:t>
      </w:r>
      <w:r>
        <w:t xml:space="preserve"> A Scoping Review of Systemic Assessment for Clients Presenting in Adults with Traumatic Brain Injuries: Integrating Biopsychosocial and Family Systems Perspectives — https://doi.org/10.47772/ijriss.2026.100900136</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The complexity of traumatic brain injury (TBI) requires coordination across professional disciplines and across stages of recovery. Further, the multidimensional consequences of TBI demand an appraisal method that extends beyond neurological and physical impairment. In spite of the recognition that TBI affects interconnected biological, psychological, social, functional and family domains, it remains unclear how these domains are brought together during assessment. This scoping review maps and synthesises the existing evidence on assessment across biological, cognitive, psychological, social, functional, family, caregiver and relational domains; establishes the extent of family and inter-disciplinary involvement; and determines integration gaps. The review was conducted within the context of adult TBI care and rehabilitation. A total of 26 publications were included in the study. The inclusion criteria was articles based on primary research and published between January 2000 to September 2026 involving adults with TBI, The studies selected were published in English language. The search strategy involved a systematic, comprehensive search of PubMed/MEDLINE, Europe PubMed Central, and Director of Open Access Journals (DOAJ). Thematic analysis was then utilized to identify common categories and patterns across the extracted information, undertaking narrative content analysis to ca</w:t>
      </w:r>
    </w:p>
    <w:p>
      <w:pPr/>
      <w:r>
        <w:rPr>
          <w:b/>
        </w:rPr>
        <w:t>POSSIBLE 2025:</w:t>
      </w:r>
      <w:r>
        <w:t xml:space="preserve"> Potential systemic availability classification of chemicals for safety assessment — https://doi.org/10.1016/j.envint.2025.109636</w:t>
      </w:r>
    </w:p>
    <w:p>
      <w:pPr/>
      <w:r>
        <w:rPr>
          <w:b/>
        </w:rPr>
        <w:t>Shared claim-specific concepts:</w:t>
      </w:r>
      <w:r>
        <w:t xml:space="preserve"> based, systemic, assessment, approach, framework; EU scope visible. This is a provisional connection, not an outcome finding.</w:t>
      </w:r>
    </w:p>
    <w:p>
      <w:pPr>
        <w:pStyle w:val="SourceNote"/>
      </w:pPr>
      <w:r>
        <w:rPr>
          <w:b/>
        </w:rPr>
        <w:t>Available abstract (not full text):</w:t>
      </w:r>
      <w:r>
        <w:t xml:space="preserve"> The assessment of chemical safety is essential for protecting human health, yet current approaches have severe limitations. They are unable to address the rapidly growing number of substances requiring evaluation and further rely on animal testing, which the public expects to be phased out for ethical reasons. To address this, the European Partnership for Alternative Approaches to Animal Testing (EPAA) proposed the use of a novel framework for the classification of systemic toxicity based on new approach methodologies. One dimension of this framework is the grouping of substances into different classes of Potential Systemic Availability (PSA) concern (low, medium, high). But so far it remained conceptually and practically unclear how this classification can be achieved. Here, we outline the theoretical considerations for a health-protective definition of PSA concern classes and present a method for the quantitative evaluation of this property. Using high-throughput physiologically based kinetic modelling, we are able to classify the PSA concerns of 139 out of 150 EPAA NAM Designathon compounds. Further, we manually annotate these compounds to evaluate the plausibility of predicted classifications against expert judgement. Our results outline under which circumstances it is appropriate to prioritise or deprioritise chemicals due to their toxicokinetic properties. However, we fin</w:t>
      </w:r>
    </w:p>
    <w:p>
      <w:pPr/>
      <w:r>
        <w:rPr>
          <w:b/>
        </w:rPr>
        <w:t>POSSIBLE 2025:</w:t>
      </w:r>
      <w:r>
        <w:t xml:space="preserve"> The Opinions of Chemistry Teachers and Chemistry Teaching Students on Systemic Assessment — https://doi.org/10.1088/1742-6596/3037/1/012018</w:t>
      </w:r>
    </w:p>
    <w:p>
      <w:pPr/>
      <w:r>
        <w:rPr>
          <w:b/>
        </w:rPr>
        <w:t>Shared claim-specific concepts:</w:t>
      </w:r>
      <w:r>
        <w:t xml:space="preserve"> based, systemic, assessment, approach; EU scope not established. This is a provisional connection, not an outcome finding.</w:t>
      </w:r>
    </w:p>
    <w:p>
      <w:pPr>
        <w:pStyle w:val="SourceNote"/>
      </w:pPr>
      <w:r>
        <w:rPr>
          <w:b/>
        </w:rPr>
        <w:t>Available abstract (not full text):</w:t>
      </w:r>
      <w:r>
        <w:t xml:space="preserve"> Abstract The paper deals with the education strategy referred to as SATL (Systemic Approach in Teaching and Learning). This approach involves systemic assessment. It is based on systemic tasks in which students are supposed to consider multiple concepts at once and apply them in a new situation, which requires synthesis to formulate a complex answer. The research goal was to collect the opinions of chemistry teachers and chemistry teaching students on the implementation of systemic tasks in teaching. For this purpose, worksheets with different types of systemic tasks were created (e.g. systemic synthesis, systemic analysis, multiple choice, true/false, matching, arranging) for the selected topics of inorganic (sodium and its compounds, calcium and its compounds) and organic (e.g. hydrocarbons, hydroxy derivatives, carboxylic acids) chemistry. 89 teachers implemented the worksheets in their teaching over two school years (2019 – 2021) with a sample of 2136 2nd-year grammar school students. Subsequently, these teachers expressed their views and attitudes towards this type of task in a questionnaire. 40 chemistry teaching students were learning about systemic tasks and performing them during the Chemistry Didactics course over two academic years (2019 – 2021). Subsequently, they expressed their opinions on and attitudes to these tasks in a questionnaire developed by the authors. T</w:t>
      </w:r>
    </w:p>
    <w:p>
      <w:pPr/>
      <w:r>
        <w:rPr>
          <w:b/>
        </w:rPr>
        <w:t>POSSIBLE 2025:</w:t>
      </w:r>
      <w:r>
        <w:t xml:space="preserve"> Polycrisis and Systemic Risk: Assessment, Governance, and Communication — https://doi.org/10.1007/s13753-025-00636-3</w:t>
      </w:r>
    </w:p>
    <w:p>
      <w:pPr/>
      <w:r>
        <w:rPr>
          <w:b/>
        </w:rPr>
        <w:t>Shared claim-specific concepts:</w:t>
      </w:r>
      <w:r>
        <w:t xml:space="preserve"> based, systemic, assessment; EU scope not established. This is a provisional connection, not an outcome finding.</w:t>
      </w:r>
    </w:p>
    <w:p>
      <w:pPr>
        <w:pStyle w:val="SourceNote"/>
      </w:pPr>
      <w:r>
        <w:rPr>
          <w:b/>
        </w:rPr>
        <w:t>Available abstract (not full text):</w:t>
      </w:r>
      <w:r>
        <w:t xml:space="preserve"> Abstract The emphasis of integrated disaster and risk research has shifted from topical analysis, such as dealing with natural hazard-related disasters, technological accidents, or environmental crises, to a comprehensive analysis of interconnected and mutually interactive risk sources and crises. This interaction has often been framed in the language of “polycrisis” indicating the potentially amplifying and cascading effects of each crisis from one domain to the next. At the same time, the literature on systemic risk also includes the effects of multiple, interacting risks on the functionality and survivability of entire systems such as climate stability, cybersecurity, or energy production. This review article provides first a summary of the literature on both concepts, explicates the commonalities and differences and develops a risk and crisis concept that builds a bridge between the two research traditions. Based on this concept, the review delineates the implementations of a joint understanding of polycrisis and systemic risk for risk assessment, risk and crisis governance, and effective communication to different audiences.</w:t>
      </w:r>
    </w:p>
    <w:p>
      <w:pPr/>
      <w:r>
        <w:rPr>
          <w:b/>
        </w:rPr>
        <w:t>POSSIBLE 2024:</w:t>
      </w:r>
      <w:r>
        <w:t xml:space="preserve"> Evaluation of the European Society of Cardiology Risk Assessment Score in Incident Systemic Sclerosis‐Associated Pulmonary Arterial Hypertension — https://doi.org/10.1002/acr.25328</w:t>
      </w:r>
    </w:p>
    <w:p>
      <w:pPr/>
      <w:r>
        <w:rPr>
          <w:b/>
        </w:rPr>
        <w:t>Shared claim-specific concepts:</w:t>
      </w:r>
      <w:r>
        <w:t xml:space="preserve"> based, systemic, assessment; EU scope visible. This is a provisional connection, not an outcome finding.</w:t>
      </w:r>
    </w:p>
    <w:p>
      <w:pPr>
        <w:pStyle w:val="SourceNote"/>
      </w:pPr>
      <w:r>
        <w:rPr>
          <w:b/>
        </w:rPr>
        <w:t>Available abstract (not full text):</w:t>
      </w:r>
      <w:r>
        <w:t xml:space="preserve"> OBJECTIVE: Patients with pulmonary arterial hypertension (PAH) may be stratified as low, intermediate, or high risk of 1-year mortality. In 2022, the European Society of Cardiology (ESC) updated and simplified its risk stratification tool, based on three variables: World Health Organization functional class, serum N-terminal pro-brain type natriuretic peptide and six-minute walk distance, applied at follow-up visits, intended to guide therapy over time. METHODS: We applied the 2022 ESC risk assessment tool at baseline and follow-up (within 2 years) to a multinational incident cohort of systemic sclerosis-associated PAH (SSc-PAH). Kaplan-Meier curves, Cox hazards regression, and accelerated failure time models were used to evaluate survival by risk score. RESULTS: At baseline (n = 260), the majority of SSc-PAH (72.2%) were graded as intermediate risk of death according to the 2022 tool. At follow-up, according to 2022 tool, half (55.5%) of the cohort were classified as low or intermediate-low risk. The 2022 risk model at follow-up was able to differentiate survival between risk strata. All three individual parameters (World Health Organization functional class, N-terminal pro-brain type natriuretic peptide, six-minute walk distance) were significantly associated with mortality at baseline and/or follow-up. CONCLUSION: The 2022 ESC risk assessment strategy applied at baseline and</w:t>
      </w:r>
    </w:p>
    <w:p>
      <w:pPr/>
      <w:r>
        <w:rPr>
          <w:b/>
        </w:rPr>
        <w:t>POSSIBLE 2024:</w:t>
      </w:r>
      <w:r>
        <w:t xml:space="preserve"> Multi-level learning for systemic transformation: Experiences from an expedition in North Mid Sweden — https://doi.org/10.1016/j.envsci.2024.103740</w:t>
      </w:r>
    </w:p>
    <w:p>
      <w:pPr/>
      <w:r>
        <w:rPr>
          <w:b/>
        </w:rPr>
        <w:t>Shared claim-specific concepts:</w:t>
      </w:r>
      <w:r>
        <w:t xml:space="preserve"> based, systemic, approach; EU scope visible. This is a provisional connection, not an outcome finding.</w:t>
      </w:r>
    </w:p>
    <w:p>
      <w:pPr>
        <w:pStyle w:val="SourceNote"/>
      </w:pPr>
      <w:r>
        <w:rPr>
          <w:b/>
        </w:rPr>
        <w:t>Available abstract (not full text):</w:t>
      </w:r>
      <w:r>
        <w:t xml:space="preserve"> Learning is often a component, and sometimes an explicit goal, of sustainability transition projects. Despite a growing interest in designing, facilitating, and evaluating such exploratory initiatives with respect to their systemic, less work has focused on how such initiatives support learning and capacity-building among its partaking actors and institutions including building experimental governance capacity. In this paper, we aim to better understand how exploratory and experimental initiatives with transformative sustainability ambitions relate to and influence their partaking actors and institutions. We draw from the North Mid Sweden Challenge Lab, an initiative to adapt, test and learn a governance approach to navigate complex sustainability challenges and transformations. It was part of a high impact action within a pilot for regional industrial transition framed around experiments in governance and policy by the European Commission and Organisation for Economic Co-operation and Development, where peer-learnings by and between regions was stated as an explicit goal. We focus on the kind of learning and knowledge creation processes that occur in these open-ended and multi-levelled social interaction processes. In this paper, we empirically engage with such learning processes with a focus on governance capacity, based on direct experiences from its participating actors and</w:t>
      </w:r>
    </w:p>
    <w:p>
      <w:pPr/>
      <w:r>
        <w:rPr>
          <w:b/>
        </w:rPr>
        <w:t>POSSIBLE 2024:</w:t>
      </w:r>
      <w:r>
        <w:t xml:space="preserve"> Challenges in assessing and managing multi-hazard risks: A European stakeholders perspective — https://doi.org/10.1016/j.envsci.2024.103774</w:t>
      </w:r>
    </w:p>
    <w:p>
      <w:pPr/>
      <w:r>
        <w:rPr>
          <w:b/>
        </w:rPr>
        <w:t>Shared claim-specific concepts:</w:t>
      </w:r>
      <w:r>
        <w:t xml:space="preserve"> based, assessment, guiding, framework; EU scope visible. This is a provisional connection, not an outcome finding.</w:t>
      </w:r>
    </w:p>
    <w:p>
      <w:pPr>
        <w:pStyle w:val="SourceNote"/>
      </w:pPr>
      <w:r>
        <w:rPr>
          <w:b/>
        </w:rPr>
        <w:t>Available abstract (not full text):</w:t>
      </w:r>
      <w:r>
        <w:t xml:space="preserve"> The latest evidence suggests that multi-hazards and their interrelationships (e.g., triggering, compound, and consecutive hazards) are becoming more frequent across Europe, underlying a need for resilience building by moving from single-hazard-focused to multi-hazard risk assessment and management. Although significant advancements were made in our understanding of these events, mainstream practice is still focused on risks due to single hazards (e.g., flooding, earthquakes, droughts), with a limited understanding of the stakeholder needs on the ground. To overcome this limitation, this paper sets out to understand the challenges for moving towards multi-hazard risk management through the perspective of European stakeholders. Based on five workshops across different European pilots (Danube Region, Veneto Region, Scandinavia, North Sea, and Canary Islands) and an expert workshop, we identify five prime challenges: i) governance, ii) knowledge of multi-hazards and multi-risks, iii) existing approaches to disaster risk management, iv) translation of science to policy and practice, and v) lack of data. These challenges are inherently linked and cannot be tackled in isolation with path dependency posing a significant hurdle in transitioning from single- to multi-hazard risk management. Going forward, we identify promising approaches for overcoming some of the challenges, including e</w:t>
      </w:r>
    </w:p>
    <w:p>
      <w:pPr>
        <w:pStyle w:val="Heading2"/>
      </w:pPr>
      <w:r>
        <w:t>835. GLOBAL FORECAST OF US NATIONAL INTELLIGENCE COUNCIL</w:t>
      </w:r>
    </w:p>
    <w:p>
      <w:pPr>
        <w:pStyle w:val="SourceNote"/>
      </w:pPr>
      <w:r>
        <w:rPr>
          <w:b/>
        </w:rPr>
        <w:t>Original source (2016):</w:t>
      </w:r>
      <w:r>
        <w:t xml:space="preserve"> https://doi.org/10.20542/0131-2227-2016-60-11-5-13</w:t>
      </w:r>
    </w:p>
    <w:p>
      <w:pPr/>
      <w:r>
        <w:t>Original wording (abstract; indexed_source_text_not_full_document_verified): The paper gives an analysis of the background, main trends, scenarios and factors of the long-term development of the world till 2030 which are exposed in forecasts of the National Intelligence Council (NIC) in its report of 2012.</w:t>
      </w:r>
    </w:p>
    <w:p>
      <w:pPr/>
      <w:r>
        <w:rPr>
          <w:b/>
        </w:rPr>
        <w:t>POSSIBLE 2026:</w:t>
      </w:r>
      <w:r>
        <w:t xml:space="preserve"> Factors Influencing Long-term Home Care for Patients with Tracheostomy from the Perspectives of their Family Members — https://doi.org/10.4103/ijnmr.ijnmr_379_24</w:t>
      </w:r>
    </w:p>
    <w:p>
      <w:pPr/>
      <w:r>
        <w:rPr>
          <w:b/>
        </w:rPr>
        <w:t>Shared claim-specific concepts:</w:t>
      </w:r>
      <w:r>
        <w:t xml:space="preserve"> background, main, factors, long-term; EU scope not established. This is a provisional connection, not an outcome finding.</w:t>
      </w:r>
    </w:p>
    <w:p>
      <w:pPr>
        <w:pStyle w:val="SourceNote"/>
      </w:pPr>
      <w:r>
        <w:rPr>
          <w:b/>
        </w:rPr>
        <w:t>Available abstract (not full text):</w:t>
      </w:r>
      <w:r>
        <w:t xml:space="preserve"> Background: Family caregivers are the principal caregivers of patients with tracheostomy and can reduce the risk of re-hospitalization through giving quality care to their patients. Caregiving to patients with tracheostomy is a complex process influenced by many different factors. However, there are inadequate data about these factors, and hence, this study aimed at exploring the factors influencing long-term home care for patients with tracheostomy from the perspectives of their family caregivers. Materials and Methods: We conducted this descriptive qualitative study in 2023-2024. Participants were nine family caregivers, one patient with a tracheostomy history of three years, a home care nurse, and an anesthesiologist purposefully selected from Mazandaran, Iran. Data were collected through 12 in-depth semi-structured interviews and were analyzed through conventional content analysis. The criteria proposed by Lincoln and Guba were used to ensure trustworthiness. Results: The three main categories of the factors influencing long-term home care for patients with tracheostomy were healthcare system dysfunction, challenges of tracheostomy care, and effective management of tracheostomy care. These three categories had 13 subcategories. Conclusions: Careful attention to the special needs of patients with tracheostomy, close collaboration among healthcare professionals and family car</w:t>
      </w:r>
    </w:p>
    <w:p>
      <w:pPr/>
      <w:r>
        <w:rPr>
          <w:b/>
        </w:rPr>
        <w:t>POSSIBLE 2025:</w:t>
      </w:r>
      <w:r>
        <w:t xml:space="preserve"> Factors Affecting Long-Term Outcomes for Patients with Inflammatory Bowel Disease—A Cross-Sectional Design — https://doi.org/10.3390/nursrep15070231</w:t>
      </w:r>
    </w:p>
    <w:p>
      <w:pPr/>
      <w:r>
        <w:rPr>
          <w:b/>
        </w:rPr>
        <w:t>Shared claim-specific concepts:</w:t>
      </w:r>
      <w:r>
        <w:t xml:space="preserve"> background, factors, long-term; EU scope visible. This is a provisional connection, not an outcome finding.</w:t>
      </w:r>
    </w:p>
    <w:p>
      <w:pPr>
        <w:pStyle w:val="SourceNote"/>
      </w:pPr>
      <w:r>
        <w:rPr>
          <w:b/>
        </w:rPr>
        <w:t>Available abstract (not full text):</w:t>
      </w:r>
      <w:r>
        <w:t xml:space="preserve"> Background: Symptoms of and treatments for inflammatory bowel disease have an impact on patients’ health-related quality of life and result in a need for self-care strategies. Little is known about factors affecting long-term outcomes and the types of coping strategies used by adult patients with inflammatory bowel disease to better cope with their chronic illness. Objective: This study aims to explore coping strategies, social support, and health-related quality of life and describe factors affecting long-term outcomes for patients with inflammatory bowel disease. Methods: A cross-sectional design was used, with a consecutive sample of 206 patients with inflammatory bowel disease who were recruited at three gastroenterology clinics in Sweden and given surveys consisting of patient characteristics, the Brief COPE, and a social support questionnaire. Descriptive statistics were used to analyze the data. This study was guided by Strengthening the Reporting of Observational Studies in Epidemiology (STROBE) guidelines. Results: The sample was 53% women and included 206 patients with a median age of 48 years. The coping mechanisms often used were active coping methods (problem-focused). Most of the patients had someone special by whom they felt supported (89%). Gender differences were shown for emotional support and whether the patients had someone they felt close to. According to t</w:t>
      </w:r>
    </w:p>
    <w:p>
      <w:pPr/>
      <w:r>
        <w:rPr>
          <w:b/>
        </w:rPr>
        <w:t>POSSIBLE 2024:</w:t>
      </w:r>
      <w:r>
        <w:t xml:space="preserve"> INDUSTRIAL TOURISM OF ORENBURG REGION: BACKGROUND OF DEVELOPMENT AND MAIN CENTERS — https://doi.org/10.34660/inf.2019.18.38833</w:t>
      </w:r>
    </w:p>
    <w:p>
      <w:pPr/>
      <w:r>
        <w:rPr>
          <w:b/>
        </w:rPr>
        <w:t>Shared claim-specific concepts:</w:t>
      </w:r>
      <w:r>
        <w:t xml:space="preserve"> background, main; EU scope not established. This is a provisional connection, not an outcome finding.</w:t>
      </w:r>
    </w:p>
    <w:p>
      <w:pPr>
        <w:pStyle w:val="SourceNote"/>
      </w:pPr>
      <w:r>
        <w:rPr>
          <w:b/>
        </w:rPr>
        <w:t>Available abstract (not full text):</w:t>
      </w:r>
      <w:r>
        <w:t xml:space="preserve"> 这些会议文集结合了会议的材料 -研究论文和科学工作 者的论文报告。 它考察了职业化人格的技术和社会学问题。 一些文章涉及人格职业化研究问题的理论和方法论方法和原 则。 作者对所引用的出版物，事实，数字，引用，统计数据，专 有名称和其他信息的准确性负责 These Conference Proceedings combine materials of the conference -research papers and thesis reports of scientific workers.They examines tecnical and sociological issues of research issues.Some articles deal with theoretical and methodological approaches and principles of research questions of personality professionalization.Authors are responsible for the accuracy of cited publications, facts, figures, quotations, statistics, proper names and other information.</w:t>
      </w:r>
    </w:p>
    <w:p>
      <w:pPr/>
      <w:r>
        <w:rPr>
          <w:b/>
        </w:rPr>
        <w:t>POSSIBLE 2023:</w:t>
      </w:r>
      <w:r>
        <w:t xml:space="preserve"> Predictive factors of long‐term follow‐up attendance in very long‐term childhood cancer survivors — https://doi.org/10.1002/cncr.34944</w:t>
      </w:r>
    </w:p>
    <w:p>
      <w:pPr/>
      <w:r>
        <w:rPr>
          <w:b/>
        </w:rPr>
        <w:t>Shared claim-specific concepts:</w:t>
      </w:r>
      <w:r>
        <w:t xml:space="preserve"> background, factors, long-term; EU scope not established. This is a provisional connection, not an outcome finding.</w:t>
      </w:r>
    </w:p>
    <w:p>
      <w:pPr>
        <w:pStyle w:val="SourceNote"/>
      </w:pPr>
      <w:r>
        <w:rPr>
          <w:b/>
        </w:rPr>
        <w:t>Available abstract (not full text):</w:t>
      </w:r>
      <w:r>
        <w:t xml:space="preserve"> BACKGROUND: Long-term follow-up (LTFU) clinics have been developed but only some childhood cancer survivors (CCS) attend long-term follow-up (LTFU). OBJECTIVE: To identify factors that influence LTFU attendance. METHODS: Five-year CCS treated for a solid tumor or lymphoma in Gustave Roussy before 2000, included in the FCCSS cohort (French Childhood Cancer Survivor Study), aged &gt;18 years and alive at the date of the LTFU Clinic opening (January 2012) were invited to a LTFU visit. Factors associated with attendance at the LTFU clinic between 2012 and 2020 were estimated using logistic regression analyses. Analyses included different types of factors: clinical (tumor characteristics, cancer treatments, late effects), medical (medical expenses were used as a proxy of survivor's health status), social (deprivation index based on census-tract data relating to income, educational level, proportion of blue-collar workers, and unemployed people living in the area of residence), and spatial (distance to the LTFU clinic). RESULTS: Among 2341 CCS contacted (55% males, mean age at study, 45 years; SD ± 10 years; mean age at diagnosis, 6 years; SD ± 5 years), 779 (33%) attended at least one LTFU visit. Initial cancer-related factors associated with LTFU visit attendance were: treatment with both radiotherapy and chemotherapy (odds ratio [OR], 4.02; 95% CI, 2.11-7.70), bone sarcoma (OR, 2.43;</w:t>
      </w:r>
    </w:p>
    <w:p>
      <w:pPr/>
      <w:r>
        <w:rPr>
          <w:b/>
        </w:rPr>
        <w:t>POSSIBLE 2022:</w:t>
      </w:r>
      <w:r>
        <w:t xml:space="preserve"> Long-Term Effects in Structures: background and recent developments — https://doi.org/10.21203/rs.3.rs-2009060/v1</w:t>
      </w:r>
    </w:p>
    <w:p>
      <w:pPr/>
      <w:r>
        <w:rPr>
          <w:b/>
        </w:rPr>
        <w:t>Shared claim-specific concepts:</w:t>
      </w:r>
      <w:r>
        <w:t xml:space="preserve"> background, main, long-term; EU scope not established. This is a provisional connection, not an outcome finding.</w:t>
      </w:r>
    </w:p>
    <w:p>
      <w:pPr>
        <w:pStyle w:val="SourceNote"/>
      </w:pPr>
      <w:r>
        <w:rPr>
          <w:b/>
        </w:rPr>
        <w:t>Available abstract (not full text):</w:t>
      </w:r>
      <w:r>
        <w:t xml:space="preserve"> Abstract The article presents overview of selected long-term effects in civil-engineering structures. Those effects are usually neglected in standard engineering practice, but in some cases can be very important for mechanical resistance and safety of the structures. Main aspects of these phenomena are discussed, with three illustrative examples which accentuated why is important to take them into account.</w:t>
      </w:r>
    </w:p>
    <w:p>
      <w:pPr/>
      <w:r>
        <w:rPr>
          <w:b/>
        </w:rPr>
        <w:t>POSSIBLE 2022:</w:t>
      </w:r>
      <w:r>
        <w:t xml:space="preserve"> Active methodologies and ICT to prevent bullying. Main study background and contributions — https://doi.org/10.46661/ijeri.5222</w:t>
      </w:r>
    </w:p>
    <w:p>
      <w:pPr/>
      <w:r>
        <w:rPr>
          <w:b/>
        </w:rPr>
        <w:t>Shared claim-specific concepts:</w:t>
      </w:r>
      <w:r>
        <w:t xml:space="preserve"> gives, background, main, world; EU scope not established. This is a provisional connection, not an outcome finding.</w:t>
      </w:r>
    </w:p>
    <w:p>
      <w:pPr>
        <w:pStyle w:val="SourceNote"/>
      </w:pPr>
      <w:r>
        <w:rPr>
          <w:b/>
        </w:rPr>
        <w:t>Available abstract (not full text):</w:t>
      </w:r>
      <w:r>
        <w:t xml:space="preserve"> Bullying is a widespread problem that has caused great social alarm in recent years because of its serious effects on children. In the educational context it is one of the most common expressions of peer violence along with cyber-bullying. The aim of this research has been to analyse the scientific production about the prevention of school bullying through active methodologies and the use of ICTs in formal educational contexts. This study derives from a research project financed through the Ministry of Science, Innovation and Universities (FPU18/00676) and is the result of a bibliometric study, in which various current articles have been analysed through the application of different indicators. The results show that scientific productivity on this subject has proliferated in recent years, which gives a glimpse of the relevance given to these issues in the scientific community. Among the conclusions of this work, the advantages of the use of gamification and the use of digital applications such as Kahoot or digital comics, which allow students to simulate experiences that would occur in the real world in order to develop new skills, critical self-reflection and greater awareness of the problem, should be highlighted. In the same way, it is essential that teachers, through the use of these teaching strategies, promote the students' protagonism, their expectations towards learning</w:t>
      </w:r>
    </w:p>
    <w:p>
      <w:pPr/>
      <w:r>
        <w:rPr>
          <w:b/>
        </w:rPr>
        <w:t>POSSIBLE 2022:</w:t>
      </w:r>
      <w:r>
        <w:t xml:space="preserve"> Background* — https://doi.org/10.4324/9781003343653-2</w:t>
      </w:r>
    </w:p>
    <w:p>
      <w:pPr/>
      <w:r>
        <w:rPr>
          <w:b/>
        </w:rPr>
        <w:t>Shared claim-specific concepts:</w:t>
      </w:r>
      <w:r>
        <w:t xml:space="preserve"> background, main; EU scope not established. This is a provisional connection, not an outcome finding.</w:t>
      </w:r>
    </w:p>
    <w:p>
      <w:pPr>
        <w:pStyle w:val="SourceNote"/>
      </w:pPr>
      <w:r>
        <w:rPr>
          <w:b/>
        </w:rPr>
        <w:t>Available abstract (not full text):</w:t>
      </w:r>
      <w:r>
        <w:t xml:space="preserve"> Methods of personality screening based on psychological tests arose in part from the attempt to exclude from combat those who might break down under its most severe stresses; the measurement of motivation was allied to the selection of suitable persons for promotion; the development of role theory to the need for an impersonal system of command and obedience. From the early 1950s onwards the systematic study of values began to gain momentum. To a few theorists it appeared, indeed, that insight into values might be the fundamental key to the understanding of human behaviour. In the natural sciences there have been two main views about the function of models. For positivists they serve simply as heuristic aids, and that is the end of matter. Realists, on the other hand, give them a more substantial function. In the social sciences, however, the function of models is more problematic. Even an approximate ‘fit’ between theory and fact is much harder to obtain.</w:t>
      </w:r>
    </w:p>
    <w:p>
      <w:pPr/>
      <w:r>
        <w:rPr>
          <w:b/>
        </w:rPr>
        <w:t>POSSIBLE 2020:</w:t>
      </w:r>
      <w:r>
        <w:t xml:space="preserve"> Adapting the Multilingual Assessment Instrument for Narratives (MAIN) to Torwali — https://doi.org/10.21248/zaspil.64.2020.583</w:t>
      </w:r>
    </w:p>
    <w:p>
      <w:pPr/>
      <w:r>
        <w:rPr>
          <w:b/>
        </w:rPr>
        <w:t>Shared claim-specific concepts:</w:t>
      </w:r>
      <w:r>
        <w:t xml:space="preserve"> gives, background, main; EU scope not established. This is a provisional connection, not an outcome finding.</w:t>
      </w:r>
    </w:p>
    <w:p>
      <w:pPr>
        <w:pStyle w:val="SourceNote"/>
      </w:pPr>
      <w:r>
        <w:rPr>
          <w:b/>
        </w:rPr>
        <w:t>Available abstract (not full text):</w:t>
      </w:r>
      <w:r>
        <w:t xml:space="preserve"> Torwali, a Dardic language of the Indo-Aryan family spoken in the District Swat in Pakistan, is an endangered language that lacks a literary tradition. This paper gives a background on the Torwali language and people, and describes the development of an orthography for Torwali and the establishment of Torwali-medium schools by the local organization Idara Baraye Taleem-o-Taraqi ‘institute for education and development’ (IBT). Finally, the process of adapting the Multilingual Assessment Instruments for Narratives (MAIN) to Torwali is outlined.</w:t>
      </w:r>
    </w:p>
    <w:p>
      <w:pPr/>
      <w:r>
        <w:rPr>
          <w:b/>
        </w:rPr>
        <w:t>POSSIBLE 2020:</w:t>
      </w:r>
      <w:r>
        <w:t xml:space="preserve"> Digital transformation: theoretical backgrounds of digital change — https://doi.org/10.15611/ms.2019.4.05</w:t>
      </w:r>
    </w:p>
    <w:p>
      <w:pPr/>
      <w:r>
        <w:rPr>
          <w:b/>
        </w:rPr>
        <w:t>Shared claim-specific concepts:</w:t>
      </w:r>
      <w:r>
        <w:t xml:space="preserve"> gives, background, main, trends, world; EU scope not established. This is a provisional connection, not an outcome finding.</w:t>
      </w:r>
    </w:p>
    <w:p>
      <w:pPr>
        <w:pStyle w:val="SourceNote"/>
      </w:pPr>
      <w:r>
        <w:rPr>
          <w:b/>
        </w:rPr>
        <w:t>Available abstract (not full text):</w:t>
      </w:r>
      <w:r>
        <w:t xml:space="preserve"> The purpose of this paper is a review of the existing deﬁnitions of digital transformation (abbrev. DT) and to structure its implications for new business models and implementation activities. This article was inspired by literature review whose main aim was to provide insight into the understanding of the theoretical background of digital transformation by means of the digitization and current megatrends in the VUCA world. The author gives examples, completes the literature research and shows the theoretical aspects of concepts, as well briefly analyzes the trends concerning DT. The article starts from definitions of DT, through digital readiness, to efficiency in the DT area. The main findings are that the approach for the structured digitization of business models is expanding, several excellence models have been developed over the past few years, and the implementation model for DT becomes a widely known concept. The author offers a clear deﬁnition, which corresponds to phases for DT of business models using a Digital Capability Maturity Models overview. Moreover, this paper is the author’s declaration of further DT’s research in its practical dimension</w:t>
      </w:r>
    </w:p>
    <w:p>
      <w:pPr/>
      <w:r>
        <w:rPr>
          <w:b/>
        </w:rPr>
        <w:t>POSSIBLE 2020:</w:t>
      </w:r>
      <w:r>
        <w:t xml:space="preserve"> Theoretical background — https://doi.org/10.4324/9781003018353-2</w:t>
      </w:r>
    </w:p>
    <w:p>
      <w:pPr/>
      <w:r>
        <w:rPr>
          <w:b/>
        </w:rPr>
        <w:t>Shared claim-specific concepts:</w:t>
      </w:r>
      <w:r>
        <w:t xml:space="preserve"> gives, background, main, factors; EU scope visible. This is a provisional connection, not an outcome finding.</w:t>
      </w:r>
    </w:p>
    <w:p>
      <w:pPr>
        <w:pStyle w:val="SourceNote"/>
      </w:pPr>
      <w:r>
        <w:rPr>
          <w:b/>
        </w:rPr>
        <w:t>Available abstract (not full text):</w:t>
      </w:r>
      <w:r>
        <w:t xml:space="preserve"> This chapter gives an overview of the main literature used to form the theoretical background of this book. Being a small state, Lithuania is guided by a foreign policy that is characteristic to this category of states. The typical security and foreign policy strategies of small states discussed in this chapter will later serve to analyse the extent to which Lithuania’s foreign policy has conformed to the typical role of small states in international politics. Also discussed are the classic and modern dilemmas of structure and agent in international politics. These concepts help us to understand the role of the agent (President Grybauskaitė) and the opportunities to operate in the international system. Finally, this chapter examines the importance of leaders in international politics. The psychological factors and the behaviour of political leaders are embedded in foreign policy analysis, as it can assist in clarifying why certain agents make particular decisions, and how that may change a state’s foreign policy course and even international structures.</w:t>
      </w:r>
    </w:p>
    <w:p>
      <w:pPr/>
      <w:r>
        <w:rPr>
          <w:b/>
        </w:rPr>
        <w:t>POSSIBLE 2020:</w:t>
      </w:r>
      <w:r>
        <w:t xml:space="preserve"> Long-Term Characterization of Submicron Atmospheric Particles in an Urban Background Site in Southern Italy — https://doi.org/10.3390/atmos11040334</w:t>
      </w:r>
    </w:p>
    <w:p>
      <w:pPr/>
      <w:r>
        <w:rPr>
          <w:b/>
        </w:rPr>
        <w:t>Shared claim-specific concepts:</w:t>
      </w:r>
      <w:r>
        <w:t xml:space="preserve"> background, main, trends, long-term; EU scope visible. This is a provisional connection, not an outcome finding.</w:t>
      </w:r>
    </w:p>
    <w:p>
      <w:pPr>
        <w:pStyle w:val="SourceNote"/>
      </w:pPr>
      <w:r>
        <w:rPr>
          <w:b/>
        </w:rPr>
        <w:t>Available abstract (not full text):</w:t>
      </w:r>
      <w:r>
        <w:t xml:space="preserve"> Continuous measurements of particle number size distributions in the size range from 10 nm to 800 nm were performed from 2015 to 2019 at the ECO Environmental-Climate Observatory of Lecce (Global Atmosphere Watch Programme/Aerosol, Clouds and Trace Gases Research Infrastructure (GAW/ACTRIS) regional station). The main objectives of this work were to investigate the daily, weekly and seasonal trends of particle number concentrations and their dependence on meteorological parameters gathering information on potential sources. The highest total number concentrations were observed during autumn-winter with average values nearly twice as high as in summer. More than 52% of total particle number concentration consisted of Aitken mode (20 nm &lt; particle diameter (Dp) &lt; 100 nm) particles followed by accumulation (100 nm &lt; Dp &lt; 800 nm) and nucleation (10 nm &lt; Dp &lt; 20 nm) modes representing, respectively, 27% and 21% of particles. The total number concentration was usually significantly higher during workdays than during weekends/holidays in all years, showing a trend likely correlated with local traffic activities. The number concentration of each particle mode showed a characteristic daily variation that was different in cold and warm seasons. The highest concentrations of the Aitken and accumulation particle mode were observed in the morning and the late evening, during typical rush ho</w:t>
      </w:r>
    </w:p>
    <w:p>
      <w:pPr/>
      <w:r>
        <w:rPr>
          <w:b/>
        </w:rPr>
        <w:t>POSSIBLE 2020:</w:t>
      </w:r>
      <w:r>
        <w:t xml:space="preserve"> Downscaling of Long-Term Global Scenarios to Regions with a Forest Sector Model — https://doi.org/10.3390/f11050500</w:t>
      </w:r>
    </w:p>
    <w:p>
      <w:pPr/>
      <w:r>
        <w:rPr>
          <w:b/>
        </w:rPr>
        <w:t>Shared claim-specific concepts:</w:t>
      </w:r>
      <w:r>
        <w:t xml:space="preserve"> background, factors, long-term, national; EU scope not established. This is a provisional connection, not an outcome finding.</w:t>
      </w:r>
    </w:p>
    <w:p>
      <w:pPr>
        <w:pStyle w:val="SourceNote"/>
      </w:pPr>
      <w:r>
        <w:rPr>
          <w:b/>
        </w:rPr>
        <w:t>Available abstract (not full text):</w:t>
      </w:r>
      <w:r>
        <w:t xml:space="preserve"> Research Highlights: Long-term global scenarios give insights on how social and economic developments and international agreements may impact land use, trade, product markets, and carbon balances. They form a valuable basis for forming national forest policies. Many aspects related to long-term management of forests and consequences for biodiversity and ecosystem services can only be addressed at regional and landscape levels. In order to be attended to in the policy process, there is a need for a method that downscales national scenarios to these finer levels. Background and Objectives: Regional framework conditions depend on management activities in the country as a whole. The aim of this study is to evaluate the use of a forest sector model (FSM) as a method for downscaling national scenarios results to regional level. The national FSM takes the global scenario data (e.g., harvest level and market prices over time) and solves the national problem. The result for the region of interest is taken as framework conditions for the regional study. Materials and Methods: Two different specifications are tested. One lets product volumes and prices represent endogenous variables in the FSM model. The other takes volumes and prices from the global scenario as exogenous parameters. The first specification attains a maximum net social payoff whereas the second specification means that ne</w:t>
      </w:r>
    </w:p>
    <w:p>
      <w:pPr>
        <w:pStyle w:val="Heading2"/>
      </w:pPr>
      <w:r>
        <w:t>836. Global food security: assessing trends in view of guiding future EU policies</w:t>
      </w:r>
    </w:p>
    <w:p>
      <w:pPr>
        <w:pStyle w:val="SourceNote"/>
      </w:pPr>
      <w:r>
        <w:rPr>
          <w:b/>
        </w:rPr>
        <w:t>Original source (2016):</w:t>
      </w:r>
      <w:r>
        <w:t xml:space="preserve"> https://doi.org/10.1108/fs-07-2015-0040</w:t>
      </w:r>
    </w:p>
    <w:p>
      <w:pPr/>
      <w:r>
        <w:t>Original wording (abstract; indexed_source_text_not_full_document_verified): The structure of the foresight was designed based on the following five objectives: envision the future of food systems, agree on the most crucial drivers of change affecting food security, reach a consensus on a likely vision for 2030, challenge this vision and analyse current policies and policy needs in terms of responsiveness and resilience to food security future challenges. A new paradigm shift is proposed: securing “regular” access to adequate food for the majority of the 8-9 billion people who will live on earth in the period 2030-2050, while addressing the food insecurity of a fraction of that total, is how a future European food security policy should be approached.</w:t>
      </w:r>
    </w:p>
    <w:p>
      <w:pPr/>
      <w:r>
        <w:rPr>
          <w:b/>
        </w:rPr>
        <w:t>POSSIBLE 2026:</w:t>
      </w:r>
      <w:r>
        <w:t xml:space="preserve"> Foresight on spatial mobility during green and digital transitions: insights from five European regions — https://doi.org/10.1080/09654313.2026.2698851</w:t>
      </w:r>
    </w:p>
    <w:p>
      <w:pPr/>
      <w:r>
        <w:rPr>
          <w:b/>
        </w:rPr>
        <w:t>Shared claim-specific concepts:</w:t>
      </w:r>
      <w:r>
        <w:t xml:space="preserve"> foresight, five; EU scope visible. This is a provisional connection, not an outcome finding.</w:t>
      </w:r>
    </w:p>
    <w:p>
      <w:pPr>
        <w:pStyle w:val="SourceNote"/>
      </w:pPr>
      <w:r>
        <w:rPr>
          <w:b/>
        </w:rPr>
        <w:t>Available abstract (not full text):</w:t>
      </w:r>
      <w:r>
        <w:t xml:space="preserve"> The paper advances an anticipatory approach to European regional policy by integrating foresight analysis within the framework of the green and digital transitions, focusing on the changing nature of spatial mobility and its impact on demographics. Building on the MOBI-TWIN project, it develops a foresight scenario archetype framework, structured around two empirically derived axes of regional transformation, adaptiveness and momentum, drawn from quantitative analysis of regional attractiveness and mobility flows, and applies it through a harmonized methodology across five heterogeneous pilot regions to explore how digitalisation and green transitions interact with mobility dynamics. The resulting scenarios, elaborated and regionally articulated through participatory co-creation workshops and validated through an expert survey and local stakeholder workshops, capture distinct combinations of transition capacity, governance quality and resilience. The findings reveal that most regions are expected to remain in low-pace trajectories of incremental adaptation, constrained by institutional inertia, demographic decline and fragmented policy coordination. However, innovation niches and anticipatory governance practices in some of the pilot regions illustrate how peripherality can evolve into renewal through coordinated foresight and stakeholder collaboration. The comparative analysis</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designed, based, systems, security, reach;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in heritage: fostering future consciousness to proactively face change — https://doi.org/10.1108/jchmsd-12-2024-0298</w:t>
      </w:r>
    </w:p>
    <w:p>
      <w:pPr/>
      <w:r>
        <w:rPr>
          <w:b/>
        </w:rPr>
        <w:t>Shared claim-specific concepts:</w:t>
      </w:r>
      <w:r>
        <w:t xml:space="preserve"> foresight, drivers, current; EU scope visible. This is a provisional connection, not an outcome finding.</w:t>
      </w:r>
    </w:p>
    <w:p>
      <w:pPr>
        <w:pStyle w:val="SourceNote"/>
      </w:pPr>
      <w:r>
        <w:rPr>
          <w:b/>
        </w:rPr>
        <w:t>Available abstract (not full text):</w:t>
      </w:r>
      <w:r>
        <w:t xml:space="preserve"> Purpose This paper introduces Foresight as a structured approach that is increasingly employed across industries and disciplines for anticipating future change and proposes its utility for the heritage sector. We illustrate how integrating greater Foresight into heritage practice can encourage proactive engagement with emerging trends; develop resilient strategies for heritage research, planning and management; and locate where heritage-based actions can bring transformative change for both communities and societies. Design/methodology/approach This paper presents research undertaken as part of the Alliance for Cultural Heritage Research in Europe (ARCHE) to inform a new Strategic Research and Innovation Agenda. We analysed foresight and future-oriented publications from a range of disciplines to consolidate insights on current and emerging trends across sectors and global regions and to understand the heritage sector's engagement with Foresight approaches thus far. Findings The analysis identifies several drivers shaping our existing and future landscape and their implications for heritage research and practice. It also highlights opportunities for action where heritage can have a vital role in shaping futures and catalysing societal benefits. To conclude, the paper discusses gaps in the current body of heritage foresight research and identifies avenues to produce a more robus</w:t>
      </w:r>
    </w:p>
    <w:p>
      <w:pPr/>
      <w:r>
        <w:rPr>
          <w:b/>
        </w:rPr>
        <w:t>POSSIBLE 2025:</w:t>
      </w:r>
      <w:r>
        <w:t xml:space="preserve"> The Need for Synergy in Foresight Research for Healthcare and Medical Sciences — https://doi.org/10.36401/iddb-25-1</w:t>
      </w:r>
    </w:p>
    <w:p>
      <w:pPr/>
      <w:r>
        <w:rPr>
          <w:b/>
        </w:rPr>
        <w:t>Shared claim-specific concepts:</w:t>
      </w:r>
      <w:r>
        <w:t xml:space="preserve"> foresight, systems, drivers, security, consensus, policies; EU scope visible. This is a provisional connection, not an outcome finding.</w:t>
      </w:r>
    </w:p>
    <w:p>
      <w:pPr>
        <w:pStyle w:val="SourceNote"/>
      </w:pPr>
      <w:r>
        <w:rPr>
          <w:b/>
        </w:rPr>
        <w:t>Available abstract (not full text):</w:t>
      </w:r>
      <w:r>
        <w:t xml:space="preserve"> The rapid integration of artificial intelligence (AI) and machine learning (ML) technologies into healthcare represents a transformative opportunity. These technologies can interrogate and interpret complex medical datasets, thereby offering the potential for enhanced diagnostics, better patient outcomes, and optimized resource allocation.[1,2] We propose combining AI and ML with foresight methods, in synergy with medical expertise, and respecting the principles of responsible research and innovation (RRI) to guide research and support decision-making in the context of future challenges.[3] The core principles of foresight methods are to explore uncertainty over longer horizons by combining future-oriented, knowledge-based creativity, interaction, expertise, and evidence, enabling stakeholders to anticipate potential scenarios and develop proactive strategies.[4–6]The RRI paradigm incorporates reflexivity, responsiveness, deliberation, and anticipation to make scientific and technological progress more aligned with societal needs and values.[7] By incorporating foresight into AI and ML development in a more global context, the healthcare sector can address upcoming challenges, creating a more sustainable, inclusive, and ethical future for healthcare. By leveraging advanced predictive analytics, these technologies can identify critical issues, like drivers, barriers, opportuniti</w:t>
      </w:r>
    </w:p>
    <w:p>
      <w:pPr/>
      <w:r>
        <w:rPr>
          <w:b/>
        </w:rPr>
        <w:t>POSSIBLE 2024:</w:t>
      </w:r>
      <w:r>
        <w:t xml:space="preserve"> Emerging Biotechnologies in Europe: Foresight for Policy — https://doi.org/10.2760/4814109</w:t>
      </w:r>
    </w:p>
    <w:p>
      <w:pPr/>
      <w:r>
        <w:rPr>
          <w:b/>
        </w:rPr>
        <w:t>Shared claim-specific concepts:</w:t>
      </w:r>
      <w:r>
        <w:t xml:space="preserve"> foresight, policies;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What future for EU foresight? A critical perspective on the institutionalisation of foresight — https://doi.org/10.1111/eulj.12528</w:t>
      </w:r>
    </w:p>
    <w:p>
      <w:pPr/>
      <w:r>
        <w:rPr>
          <w:b/>
        </w:rPr>
        <w:t>Shared claim-specific concepts:</w:t>
      </w:r>
      <w:r>
        <w:t xml:space="preserve"> foresight, crucial, current; EU scope visible. This is a provisional connection, not an outcome finding.</w:t>
      </w:r>
    </w:p>
    <w:p>
      <w:pPr>
        <w:pStyle w:val="SourceNote"/>
      </w:pPr>
      <w:r>
        <w:rPr>
          <w:b/>
        </w:rPr>
        <w:t>Available abstract (not full text):</w:t>
      </w:r>
      <w:r>
        <w:t xml:space="preserve"> Abstract What are the potential strengths and weaknesses in the current reconstruction of foresight at the EU level? In questioning foresight's institutionalisation processes from both a historical and a political sociology perspective, the article claims that charting the future is an issue of political power and that, hence, foresight's institutionalisation can never be taken for granted. More precisely, we identify two factors that determine how such process plays out. First, it depends on the definition and importance of the future according to specific contexts (war, economic or health crisis, periods of growth, etc.). Second, this changing definition intertwines with socio‐institutional structures and agents that are crucial for this institutionalisation to be sustainable. The analysis is twofold. First, we provide an overview of past international experiences of projections into the future (both foresight and forecast). Second, we illustrate how these issues may resurface and rebound within the EU’s unique power context.</w:t>
      </w:r>
    </w:p>
    <w:p>
      <w:pPr/>
      <w:r>
        <w:rPr>
          <w:b/>
        </w:rPr>
        <w:t>POSSIBLE 2024:</w:t>
      </w:r>
      <w:r>
        <w:t xml:space="preserve"> Design Futures: Cultivating Strategic Foresight Competencies in Design Education — https://doi.org/10.5772/intechopen.1007696</w:t>
      </w:r>
    </w:p>
    <w:p>
      <w:pPr/>
      <w:r>
        <w:rPr>
          <w:b/>
        </w:rPr>
        <w:t>Shared claim-specific concepts:</w:t>
      </w:r>
      <w:r>
        <w:t xml:space="preserve"> foresight, crucial, current; EU scope not established. This is a provisional connection, not an outcome finding.</w:t>
      </w:r>
    </w:p>
    <w:p>
      <w:pPr>
        <w:pStyle w:val="SourceNote"/>
      </w:pPr>
      <w:r>
        <w:rPr>
          <w:b/>
        </w:rPr>
        <w:t>Available abstract (not full text):</w:t>
      </w:r>
      <w:r>
        <w:t xml:space="preserve"> Future thinking and speculation practices can be seen as a crucial premise to approach solving a problem in an innovative way. It is profitable at circumstances in which challenges are complex. Future thinking incorporates two particular approaches: diverging and converging. It requires a flexible way of understanding, to come with different thoughts. This chapter reviews the literature crossing Strategic Foresight and Design disciplines with the accentuation put on how innovation design students, educators and design practitioners may engage with the future. Combining Foresight and Design, as part of Strategic Planning processes, can help the emergence of new possibilities, cultivate the incorporation of diverse stakeholders, and provide for continuous learning through experimentation by utilizing design approaches to attain more profound knowledge and arrangement around current reality. A framework was presented to integrate speculation in design education highlighting the significance of the strategic foresight approach and explaining the theoretical background behind creating the framework. A participatory design workshop was conducted to explain methods used to validate the results of the theoretical background in order to further develop the framework. This framework can be adopted in the design field in order to facilitate the process and to support practitioners’ decisi</w:t>
      </w:r>
    </w:p>
    <w:p>
      <w:pPr/>
      <w:r>
        <w:rPr>
          <w:b/>
        </w:rPr>
        <w:t>POSSIBLE 2024:</w:t>
      </w:r>
      <w:r>
        <w:t xml:space="preserve"> European foresight (1950–2020): A history of contrasts. Intellectual inspirations and the political conditions for success — https://doi.org/10.1111/eulj.12524</w:t>
      </w:r>
    </w:p>
    <w:p>
      <w:pPr/>
      <w:r>
        <w:rPr>
          <w:b/>
        </w:rPr>
        <w:t>Shared claim-specific concepts:</w:t>
      </w:r>
      <w:r>
        <w:t xml:space="preserve"> foresight, based, policies; EU scope visible. This is a provisional connection, not an outcome finding.</w:t>
      </w:r>
    </w:p>
    <w:p>
      <w:pPr>
        <w:pStyle w:val="SourceNote"/>
      </w:pPr>
      <w:r>
        <w:rPr>
          <w:b/>
        </w:rPr>
        <w:t>Available abstract (not full text):</w:t>
      </w:r>
      <w:r>
        <w:t xml:space="preserve"> Abstract Although foresight has played a central role in the history of European integration since its inception in the 1950s, it has not always had the same meaning, nor has it always been used in the same political way. This article looks at the genesis and development of foresight on a European scale between 1950 and 2020, analysing it as a specific public policy: such a perspective aims to highlight the differentiated relationships to time and future, the different conceptions of the respective roles of administration, politics and science, and the forms of competence on which successive foresight policies are based. It also enables us to identify the institutional and political factors that explain its development, and the particular forms it takes.</w:t>
      </w:r>
    </w:p>
    <w:p>
      <w:pPr/>
      <w:r>
        <w:rPr>
          <w:b/>
        </w:rPr>
        <w:t>POSSIBLE 2023:</w:t>
      </w:r>
      <w:r>
        <w:t xml:space="preserve"> Design Thinking for Innovation in Sustainable Built Environments and the Integration of an Inclusive Foresight and Design Thinking Framework — https://doi.org/10.18280/ijsdp.180314</w:t>
      </w:r>
    </w:p>
    <w:p>
      <w:pPr/>
      <w:r>
        <w:rPr>
          <w:b/>
        </w:rPr>
        <w:t>Shared claim-specific concepts:</w:t>
      </w:r>
      <w:r>
        <w:t xml:space="preserve"> foresight, based, following; EU scope not established. This is a provisional connection, not an outcome finding.</w:t>
      </w:r>
    </w:p>
    <w:p>
      <w:pPr>
        <w:pStyle w:val="SourceNote"/>
      </w:pPr>
      <w:r>
        <w:rPr>
          <w:b/>
        </w:rPr>
        <w:t>Available abstract (not full text):</w:t>
      </w:r>
      <w:r>
        <w:t xml:space="preserve"> The search for new methods and tools to successfully address sustainability challenges is gaining momentum, due to the growing awareness of sustainability issues.Over the past two decades, design thinking (DT) has become a phenomenon in a wide range of contexts, and has recently drawn research attention as an innovative approach for handling complex socioecological problems.This review paper analyzes DT processes covered in sustainable built environment (SBE) articles that focus specifically on DT and innovation, with a view to suggesting/developing an affective new model for sustainability research.The research design was developed following Denyer and Tranfield's method.The author reviewed documents using the evidence from all open access English language articles related to this issue between 2000 and 2022 identified using a Scopus database search in order to clearly identify and analyze the challenges and opportunities for innovation growth in SBE using a DT and innovation framework, 50 articles were selected based on the PRISMA statement and plotted on a modified Ansoff Matrix.This systematic literature review indicates that research regarding DT for innovation in SBE is challenged by the matter of how to identify new contexts and new solutions for future-oriented sustainability.It is also proposed that a wider range of stakeholders are required to help optimize the soluti</w:t>
      </w:r>
    </w:p>
    <w:p>
      <w:pPr/>
      <w:r>
        <w:rPr>
          <w:b/>
        </w:rPr>
        <w:t>POSSIBLE 2022:</w:t>
      </w:r>
      <w:r>
        <w:t xml:space="preserve"> Unsettling the Coloniality of Foresight — https://doi.org/10.4324/9781003199816-10</w:t>
      </w:r>
    </w:p>
    <w:p>
      <w:pPr/>
      <w:r>
        <w:rPr>
          <w:b/>
        </w:rPr>
        <w:t>Shared claim-specific concepts:</w:t>
      </w:r>
      <w:r>
        <w:t xml:space="preserve"> foresight, designed, systems; EU scope not established. This is a provisional connection, not an outcome finding.</w:t>
      </w:r>
    </w:p>
    <w:p>
      <w:pPr>
        <w:pStyle w:val="SourceNote"/>
      </w:pPr>
      <w:r>
        <w:rPr>
          <w:b/>
        </w:rPr>
        <w:t>Available abstract (not full text):</w:t>
      </w:r>
      <w:r>
        <w:t xml:space="preserve"> The practice of foresight is not neutral. It is conditioned by society’s cultural values, its economic systems, and its capacity for collective imagination. Pursuing rigid frames of progress forces people to bend their choices, their perspectives, and their sense of selves to fit those rigid frames, and therefore reduce the breadth of their collective humanity to templates that are designed and understood by a privileged few. This chapter discusses the practice of decoloniality in foresight that interrogates and repairs the deep systemic levels of oppressions that have marginalised and minoritised so many. It requires a consideration of justice in the governance of futures so that we are not locking those that are excluded from these conversations into future indebtedness or inequity. It ensures the responsibilities of intended and unintended consequences of actions in the short and long term are embedded in design, decision-making and governance processes.</w:t>
      </w:r>
    </w:p>
    <w:p>
      <w:pPr/>
      <w:r>
        <w:rPr>
          <w:b/>
        </w:rPr>
        <w:t>POSSIBLE 2022:</w:t>
      </w:r>
      <w:r>
        <w:t xml:space="preserve"> Analysis and foresight of the European Union - Mercosur Association Agreement — https://doi.org/10.33960/issn-e.1885-9119.dtff04en</w:t>
      </w:r>
    </w:p>
    <w:p>
      <w:pPr/>
      <w:r>
        <w:rPr>
          <w:b/>
        </w:rPr>
        <w:t>Shared claim-specific concepts:</w:t>
      </w:r>
      <w:r>
        <w:t xml:space="preserve"> foresight, following, current; EU scope visible. This is a provisional connection, not an outcome finding.</w:t>
      </w:r>
    </w:p>
    <w:p>
      <w:pPr>
        <w:pStyle w:val="SourceNote"/>
      </w:pPr>
      <w:r>
        <w:rPr>
          <w:b/>
        </w:rPr>
        <w:t>Available abstract (not full text):</w:t>
      </w:r>
      <w:r>
        <w:t xml:space="preserve"> After a negotiation that has been ongoing for more than two decades, the “agreement in principle” between the European Union and Mercosur regarding the trade pillar, announced in June 2019, has not been confirmed. Moreover, in the current context, the perspectives that are outlined in both blocks are not auspicious, for various reasons that are analyzed. In this context, the text will analyzes the following points: i) in the absence of a specific Treaty in progress of application, it informs about the negotiations of the trade pillar, its current status, the contents of the principle of agreement signed in 2019, the possibilities of closure and ratification by the two parties and the main expected impacts; ii) the potential implications of this agreement for both the European Union and Mercosur, in particular with regard to its foreseeable consequences for the strategic autonomy of both regions and for the strengthening of multilateralism at present; and iii) the expected impacts of the COVID-19 pandemic and the eventual contribution of this Association Agreement in the new scenarios. The text closes with a brief overview.</w:t>
      </w:r>
    </w:p>
    <w:p>
      <w:pPr/>
      <w:r>
        <w:rPr>
          <w:b/>
        </w:rPr>
        <w:t>POSSIBLE 2022:</w:t>
      </w:r>
      <w:r>
        <w:t xml:space="preserve"> Emerging smart city, transport and energy trends in urban settings: Results of a pan-European foresight exercise with 120 experts — https://doi.org/10.1016/j.techfore.2022.121915</w:t>
      </w:r>
    </w:p>
    <w:p>
      <w:pPr/>
      <w:r>
        <w:rPr>
          <w:b/>
        </w:rPr>
        <w:t>Shared claim-specific concepts:</w:t>
      </w:r>
      <w:r>
        <w:t xml:space="preserve"> foresight, policies; EU scope visible. This is a provisional connection, not an outcome finding.</w:t>
      </w:r>
    </w:p>
    <w:p>
      <w:pPr>
        <w:pStyle w:val="SourceNote"/>
      </w:pPr>
      <w:r>
        <w:rPr>
          <w:b/>
        </w:rPr>
        <w:t>Available abstract (not full text):</w:t>
      </w:r>
      <w:r>
        <w:t xml:space="preserve"> Forecasting future trends constitutes a key process for supporting urban and territorial policy making in general. In this work, we explore how the domains of smart cities, smart transport, and smart energy will evolve until 2030 from a scientific and technological perspective, as a means to inform future policies for urban development in Europe. We started our work with an extensive review of recent and relevant research, covering policy and market reports, scientific journal articles, and other scientific publications. Then, a two-round Delphi survey with 120 field experts was conducted to assess the plausibility of the literature review findings to materialize until 2030. According to our empirical findings, there will be several speedy and structural changes in the three domains: we were able to identify a set of 18 statements that are highly probable to become reality in the next decade, whereas 17 statements were classified as plausible but not highly probable, and three statements raised controversiality. This work provides significant added value in supporting territorial policymakers' and stakeholders' decision making under uncertainty, as well as in designing highly relevant research agendas, attuned to contemporary and emerging trends.</w:t>
      </w:r>
    </w:p>
    <w:p>
      <w:pPr>
        <w:pStyle w:val="Heading2"/>
      </w:pPr>
      <w:r>
        <w:t>837. Imaginary scenarios: Literature and Democracy in Europe</w:t>
      </w:r>
    </w:p>
    <w:p>
      <w:pPr>
        <w:pStyle w:val="SourceNote"/>
      </w:pPr>
      <w:r>
        <w:rPr>
          <w:b/>
        </w:rPr>
        <w:t>Original source (2016):</w:t>
      </w:r>
      <w:r>
        <w:t xml:space="preserve"> https://doi.org/10.25071/2369-7326.40256</w:t>
      </w:r>
    </w:p>
    <w:p>
      <w:pPr/>
      <w:r>
        <w:t>Original wording (abstract; indexed_source_text_not_full_document_verified): The concept ‘imaginary scenario’ will be implemented to investigate imaginative scripts and settings constructed by authors to visualize democratic structures, as such commenting on political and social events and ideas. Tavares (Learning to pray in the age of technique) build their novels around a Vorstellung of how (future) individuals and people in power could act and speak.</w:t>
      </w:r>
    </w:p>
    <w:p>
      <w:pPr/>
      <w:r>
        <w:rPr>
          <w:b/>
        </w:rPr>
        <w:t>POSSIBLE 2025:</w:t>
      </w:r>
      <w:r>
        <w:t xml:space="preserve"> Co-creating Gen-AI imaginaries — https://doi.org/10.34190/ecel.24.1.3950</w:t>
      </w:r>
    </w:p>
    <w:p>
      <w:pPr/>
      <w:r>
        <w:rPr>
          <w:b/>
        </w:rPr>
        <w:t>Shared claim-specific concepts:</w:t>
      </w:r>
      <w:r>
        <w:t xml:space="preserve"> concept, imaginative, learning; EU scope not established. This is a provisional connection, not an outcome finding.</w:t>
      </w:r>
    </w:p>
    <w:p>
      <w:pPr>
        <w:pStyle w:val="SourceNote"/>
      </w:pPr>
      <w:r>
        <w:rPr>
          <w:b/>
        </w:rPr>
        <w:t>Available abstract (not full text):</w:t>
      </w:r>
      <w:r>
        <w:t xml:space="preserve"> Educational futures are often shaped by techno-utopian narratives. Moving beyond technology-pedagogy dichotomies, this paper adopts the concept of entangled pedagogy to explore how GenAI and large language models (LLMs) can reshape inclusive language education. Using a speculative and scenario-based participatory design approach, we engaged pre-service and in-service teachers in envisioning future classrooms. Through imaginative case studies and recursive scenario development, we examine how imaginaries inform practical design for postdigital learning environments. The study focuses on teachers meaning making when given concrete and pedagogical scenarios of GenAI use cases co-created by human-AI interaction. The results reveal tensions between imagination and the imaginable, hope and caution, underscoring the crucial role of the sociocultural context, as well as the importance of human mediation in GenAI-driven futures.</w:t>
      </w:r>
    </w:p>
    <w:p>
      <w:pPr/>
      <w:r>
        <w:rPr>
          <w:b/>
        </w:rPr>
        <w:t>POSSIBLE 2025:</w:t>
      </w:r>
      <w:r>
        <w:t xml:space="preserve"> Shaping the future: A conceptual review of sociotechnical imaginaries — https://doi.org/10.1016/j.futures.2025.103607</w:t>
      </w:r>
    </w:p>
    <w:p>
      <w:pPr/>
      <w:r>
        <w:rPr>
          <w:b/>
        </w:rPr>
        <w:t>Shared claim-specific concepts:</w:t>
      </w:r>
      <w:r>
        <w:t xml:space="preserve"> concept, investigate, political, build, around; EU scope not established. This is a provisional connection, not an outcome finding.</w:t>
      </w:r>
    </w:p>
    <w:p>
      <w:pPr>
        <w:pStyle w:val="SourceNote"/>
      </w:pPr>
      <w:r>
        <w:rPr>
          <w:b/>
        </w:rPr>
        <w:t>Available abstract (not full text):</w:t>
      </w:r>
      <w:r>
        <w:t xml:space="preserve"> The literature around sociotechnical imaginaries has proliferated since the seminal publications of Jasanoff and Kim (2009, 2015). In this conceptual review, we examine the evolution of the concept and engagement with it across disciplines. To investigate this, we develop and analyse a corpus of 306 papers that deal with, build on or develop the concept. We provide a description of the citation trends, the journals in which papers are published, and the empirical topics that are covered in the literature. Building on Jasanoff’s foundational insights about political differences, time, space, and collective identity, our evaluation examines how scholars have both elaborated and extended these dimensions. Our analysis focuses on four key areas of conceptual development: (1) how the future has been engaged with, (2) how the concept is used to trace changes over time, (3) the forms of comparison employed in research, and (4) the ways in which the spatio-material emphasis is manifested. Our analysis highlights how the concept has evolved through diverse encounters with other fields, and underscores how the concept can be useful for further research. We suggest focusing on the relations between imaginaries and adjacent concepts, the endurance of imaginaries, and the mediums through which imaginaries are channelled for further conceptual development with and through the concept. • Soci</w:t>
      </w:r>
    </w:p>
    <w:p>
      <w:pPr/>
      <w:r>
        <w:rPr>
          <w:b/>
        </w:rPr>
        <w:t>POSSIBLE 2024:</w:t>
      </w:r>
      <w:r>
        <w:t xml:space="preserve"> Navigating the transition: Unraveling the EU's different imaginaries for a just future — https://doi.org/10.1016/j.futures.2024.103483</w:t>
      </w:r>
    </w:p>
    <w:p>
      <w:pPr/>
      <w:r>
        <w:rPr>
          <w:b/>
        </w:rPr>
        <w:t>Shared claim-specific concepts:</w:t>
      </w:r>
      <w:r>
        <w:t xml:space="preserve"> concept, imaginary; EU scope visible. This is a provisional connection, not an outcome finding.</w:t>
      </w:r>
    </w:p>
    <w:p>
      <w:pPr>
        <w:pStyle w:val="SourceNote"/>
      </w:pPr>
      <w:r>
        <w:rPr>
          <w:b/>
        </w:rPr>
        <w:t>Available abstract (not full text):</w:t>
      </w:r>
      <w:r>
        <w:t xml:space="preserve"> The European Union has translated the imperative of Just Transition into a comprehensive mix of instruments. In this way, the EU formulates its future visions of a just and sustainable European society. However, researchers have not yet examined the mix of instruments as an object of “making of futures”. To understand these future visions and the practical implications for the implementation of the instrument mix, our paper draws on the concept of imaginaries. Through a typological content analysis of the instruments, we reveal that the instruments are rooted in two distinct imaginaries. The Impact Mitigation Imaginary conservatively seeks to mitigate the negative impacts of transition on the socio-economic status quo. The Social Justice Imaginary, by contrast, progressively aims for a more equitable society during the transition. Considering also the implementation aspects of the instruments, we show that the instrument mix is inconsistent and only partially credible. We conclude that the implementation of the mix shifts the negotiation between progressive and conservative visions of a just and sustainable future to the national level with its own (power) interests. In this process, several implementation challenges may arise.</w:t>
      </w:r>
    </w:p>
    <w:p>
      <w:pPr/>
      <w:r>
        <w:rPr>
          <w:b/>
        </w:rPr>
        <w:t>POSSIBLE 2023:</w:t>
      </w:r>
      <w:r>
        <w:t xml:space="preserve"> European Constitutional Imaginaries — https://doi.org/10.1093/oso/9780192855480.003.0001</w:t>
      </w:r>
    </w:p>
    <w:p>
      <w:pPr/>
      <w:r>
        <w:rPr>
          <w:b/>
        </w:rPr>
        <w:t>Shared claim-specific concepts:</w:t>
      </w:r>
      <w:r>
        <w:t xml:space="preserve"> concept, imaginary, political; EU scope visible. This is a provisional connection, not an outcome finding.</w:t>
      </w:r>
    </w:p>
    <w:p>
      <w:pPr>
        <w:pStyle w:val="SourceNote"/>
      </w:pPr>
      <w:r>
        <w:rPr>
          <w:b/>
        </w:rPr>
        <w:t>Available abstract (not full text):</w:t>
      </w:r>
      <w:r>
        <w:t xml:space="preserve"> Abstract This chapter acts as an introduction to the whole volume. It first defines the concept of constitutional imaginary and sets it in the wider context of political theory and philosophy. Next, it explains what is missing from a number of recent publications that deal with European constitutionalism at a more reflexive and theoretical level and how the approach taken in this volume can enrich our understanding of the EU’s present predicament. Two perspectives are particularly important: that of history and that of political economy. The conclusion presents the broader project of which this volume is part and gives a brief overview of each chapter’s contents.</w:t>
      </w:r>
    </w:p>
    <w:p>
      <w:pPr/>
      <w:r>
        <w:rPr>
          <w:b/>
        </w:rPr>
        <w:t>POSSIBLE 2023:</w:t>
      </w:r>
      <w:r>
        <w:t xml:space="preserve"> A Rocket to Protect? Sociotechnical Imaginaries of Strategic Autonomy in Controversies About the European Rocket Program — https://doi.org/10.1080/14650045.2023.2177157</w:t>
      </w:r>
    </w:p>
    <w:p>
      <w:pPr/>
      <w:r>
        <w:rPr>
          <w:b/>
        </w:rPr>
        <w:t>Shared claim-specific concepts:</w:t>
      </w:r>
      <w:r>
        <w:t xml:space="preserve"> political, age; EU scope visible. This is a provisional connection, not an outcome finding.</w:t>
      </w:r>
    </w:p>
    <w:p>
      <w:pPr>
        <w:pStyle w:val="SourceNote"/>
      </w:pPr>
      <w:r>
        <w:rPr>
          <w:b/>
        </w:rPr>
        <w:t>Available abstract (not full text):</w:t>
      </w:r>
      <w:r>
        <w:t xml:space="preserve"> When we think about European integration practices, we rarely consider how they may extend to outer space. Yet, a new global space race is in full swing, in which commercial and government actors worldwide are putting forward bold visions of human futures in outer space. Europe is at the cusp of deciding which role to play in this new Space Age, with the European rocket program Ariane being at the centre of many debates about the future of Europe in space. Controversies about the future of the jointly built and heavily subsidised rocket entangle questions of innovation, in/security, and geopolitical power constellations. This paper traces which kind of space futures are projected onto and realised through Ariane, how the current geopolitical dynamics in the accelerating New Space Age are co-constitutive of how European strategic autonomy is envisioned, and how these futures relate to ideals and tensions of European integration. Mobilising work in science and technology studies (STS) on sociotechnical imaginaries and insights from the emerging social studies of outer space (SSOS), the paper offers unique and timely insights into how future visions of space shape forms of European collaboration in the present and how, conversely, geopolitical relations on Earth shape how and by whom these futures are imagined. The empirical part builds on two years of fieldwork in the European sp</w:t>
      </w:r>
    </w:p>
    <w:p>
      <w:pPr/>
      <w:r>
        <w:rPr>
          <w:b/>
        </w:rPr>
        <w:t>POSSIBLE 2022:</w:t>
      </w:r>
      <w:r>
        <w:t xml:space="preserve"> (Re)making hydrosocial territories: Materializing and contesting imaginaries and subjectivities through hydraulic infrastructure — https://doi.org/10.1016/j.polgeo.2022.102698</w:t>
      </w:r>
    </w:p>
    <w:p>
      <w:pPr/>
      <w:r>
        <w:rPr>
          <w:b/>
        </w:rPr>
        <w:t>Shared claim-specific concepts:</w:t>
      </w:r>
      <w:r>
        <w:t xml:space="preserve"> political, ideas, build, around; EU scope not established. This is a provisional connection, not an outcome finding.</w:t>
      </w:r>
    </w:p>
    <w:p>
      <w:pPr>
        <w:pStyle w:val="SourceNote"/>
      </w:pPr>
      <w:r>
        <w:rPr>
          <w:b/>
        </w:rPr>
        <w:t>Available abstract (not full text):</w:t>
      </w:r>
      <w:r>
        <w:t xml:space="preserve"> Infrastructures and their roles and connections to and in territories and territorialization processes have increasingly become objects of study in political geography scholarship. In this contribution, we build on these emerging insights and advance them by further conceptually disentangling the agential role of infrastructure. We bring together the notions of territory, governmentality, imaginaries and subjectivities, to clarify how exactly hydraulic infrastructure acts to transform relations between space, people and materiality. We start by introducing territorialization as a process of ‘ordering things’ in a certain space and time through different techniques of government. We then show how, at the base of such territorialization processes, are imaginaries that contain normative ideas about how space and socio-territorial relations should be ordered. Imaginaries are consequently materialized through hydraulic infrastructure through the inscription of morals, values and norms in infrastructure design, construction and operation. This set of materialities and relations embedded in infrastructure brings changes to the existing relations between space, water and people. In particular, we highlight the repercussions of infrastructure for how people understand and relate to each other, the environment, water, technology and space: in other words, how subjectivities change as an </w:t>
      </w:r>
    </w:p>
    <w:p>
      <w:pPr/>
      <w:r>
        <w:rPr>
          <w:b/>
        </w:rPr>
        <w:t>POSSIBLE 2022:</w:t>
      </w:r>
      <w:r>
        <w:t xml:space="preserve"> Introduction to the Imaginary of Precision Oncology — https://doi.org/10.1007/978-3-030-92612-0_2</w:t>
      </w:r>
    </w:p>
    <w:p>
      <w:pPr/>
      <w:r>
        <w:rPr>
          <w:b/>
        </w:rPr>
        <w:t>Shared claim-specific concepts:</w:t>
      </w:r>
      <w:r>
        <w:t xml:space="preserve"> imaginary, ideas, around; EU scope not established. This is a provisional connection, not an outcome finding.</w:t>
      </w:r>
    </w:p>
    <w:p>
      <w:pPr>
        <w:pStyle w:val="SourceNote"/>
      </w:pPr>
      <w:r>
        <w:rPr>
          <w:b/>
        </w:rPr>
        <w:t>Available abstract (not full text):</w:t>
      </w:r>
      <w:r>
        <w:t xml:space="preserve"> Abstract Ideas about precision medicine found its way into cancer research around the turn of the twentieth century and resulted in the imaginary of precision oncology. This chapter presents the emergence of the imaginary as well as its historical background. It furthermore argues that the imaginary is not well suited to take full biological complexity into account. This gives rise to conceptual limitations as well as practical risks as ambitions of precision are translated into practice.</w:t>
      </w:r>
    </w:p>
    <w:p>
      <w:pPr/>
      <w:r>
        <w:rPr>
          <w:b/>
        </w:rPr>
        <w:t>POSSIBLE 2022:</w:t>
      </w:r>
      <w:r>
        <w:t xml:space="preserve"> Towards the imaginary of collective prosperity in the European Union (EU): reorienting the corporation — https://doi.org/10.1017/elo.2023.5</w:t>
      </w:r>
    </w:p>
    <w:p>
      <w:pPr/>
      <w:r>
        <w:rPr>
          <w:b/>
        </w:rPr>
        <w:t>Shared claim-specific concepts:</w:t>
      </w:r>
      <w:r>
        <w:t xml:space="preserve"> concept, imaginary, political; EU scope visible. This is a provisional connection, not an outcome finding.</w:t>
      </w:r>
    </w:p>
    <w:p>
      <w:pPr>
        <w:pStyle w:val="SourceNote"/>
      </w:pPr>
      <w:r>
        <w:rPr>
          <w:b/>
        </w:rPr>
        <w:t>Available abstract (not full text):</w:t>
      </w:r>
      <w:r>
        <w:t xml:space="preserve"> Abstract In February 2022, the European Commission published the ‘Proposal for a Directive on Sustainable Due Diligence’. This proposal appears a first tentative step to move the European Union (EU) away from a neoliberal conception of corporation. It replaces the wholesale trust in shareholders as the drivers of social progress with a greater reliance on public intervention that, via law, should expand the purposes pursued by corporations and set more sustainable rules for their action. This intended shift towards a more socially responsible, ‘collectivist’ understanding of corporation, I argue, should be seen as part of a broader change in perception of the desirable relationship between the market, government and law in the EU, forced by the many unfolding crises. In this paper I develop the concept of ‘imaginaries of prosperity’ as an analytical category that should enable us to grasp deep changes in the conception of political economy that the EU is currently undergoing. I use the Commission’s attempt to transform one of the core institutions of the deeply entrenched imaginary of privatised prosperity – the neoliberal corporation – to identify shifts in our background understanding of the economy, politics, government, nature and law which are pointing to the emergence of a more collective imaginary of prosperity in the EU. However, even if Commission’s due diligence propo</w:t>
      </w:r>
    </w:p>
    <w:p>
      <w:pPr/>
      <w:r>
        <w:rPr>
          <w:b/>
        </w:rPr>
        <w:t>POSSIBLE 2022:</w:t>
      </w:r>
      <w:r>
        <w:t xml:space="preserve"> A Further Conversation on Social Imaginaries — https://doi.org/10.1163/27727866-bja00007</w:t>
      </w:r>
    </w:p>
    <w:p>
      <w:pPr/>
      <w:r>
        <w:rPr>
          <w:b/>
        </w:rPr>
        <w:t>Shared claim-specific concepts:</w:t>
      </w:r>
      <w:r>
        <w:t xml:space="preserve"> imaginary, political; EU scope not established. This is a provisional connection, not an outcome finding.</w:t>
      </w:r>
    </w:p>
    <w:p>
      <w:pPr>
        <w:pStyle w:val="SourceNote"/>
      </w:pPr>
      <w:r>
        <w:rPr>
          <w:b/>
        </w:rPr>
        <w:t>Available abstract (not full text):</w:t>
      </w:r>
      <w:r>
        <w:t xml:space="preserve"> Abstract The conversation begins with a discussion of political philosophy, a critique of a priori normativist approaches to that field, and reflections on the distinction between politics and the political. It moves on to clarify the place of the political within an ontology of the social-historical; while the pioneering contribution of Castoriadis to such an ontology is acknowledged, the need for a more elaborate theory of creative action, with due allowance for its involvement in historical processes, is emphasized. After some considerations on the role of ideology and utopia within the social-historical context, the conversation moves back to the questions of autonomy, creativity and the imaginary, and underlines the need to theorize autonomy as an imaginary signification in its own right, rather than merely a new attitude to imaginary significations. Implications of that view for the idea of reflective autonomy are discussed, with particular emphasis on confronting the omnipresent temptation of hubris, the condition of value pluralism and the fundamental fact of uncertainty about the future. The conversation concludes with some comments on diagnoses of our times, and a critique of various “postisms” as well as of the attempts to reduce contemporary societies to a single denominator.</w:t>
      </w:r>
    </w:p>
    <w:p>
      <w:pPr/>
      <w:r>
        <w:rPr>
          <w:b/>
        </w:rPr>
        <w:t>POSSIBLE 2021:</w:t>
      </w:r>
      <w:r>
        <w:t xml:space="preserve"> Popular imaginative geographies and Brexit: Evidence from Mass Observation — https://doi.org/10.1111/tran.12444</w:t>
      </w:r>
    </w:p>
    <w:p>
      <w:pPr/>
      <w:r>
        <w:rPr>
          <w:b/>
        </w:rPr>
        <w:t>Shared claim-specific concepts:</w:t>
      </w:r>
      <w:r>
        <w:t xml:space="preserve"> imaginative, political, events; EU scope visible. This is a provisional connection, not an outcome finding.</w:t>
      </w:r>
    </w:p>
    <w:p>
      <w:pPr>
        <w:pStyle w:val="SourceNote"/>
      </w:pPr>
      <w:r>
        <w:rPr>
          <w:b/>
        </w:rPr>
        <w:t>Available abstract (not full text):</w:t>
      </w:r>
      <w:r>
        <w:t xml:space="preserve"> The EU Referendum of 2016 was one of the most significant events in recent British political history. It is widely recognised that citizens engaged with the referendum through understandings of Britain, the EU, the world, and their place in it. This study complements existing research where such understandings have been inferred from citizens’ demographic characteristics, the characteristics of their localities/regions, or elite discourses. It builds on existing research where a more direct engagement with citizens’ understandings has been achieved through interviews or focus groups, allowing the content of understandings to be thickly described. To these latter studies, this paper makes three main contributions. First, it focuses on popular imaginative geographies, which are conceptualised drawing on literatures in Geography and Political Science as fast‐thinking heuristics. Second, it brings new evidence to the conversation in the form of volunteer writing for Mass Observation. Third, the focus is on the content of popular imaginative geographies, but also how and why such geographies were used by voters in the referendum. The main findings include that many Leave supporters imagined Britain as an island – either a once great military and imperial power, an island separate from Europe, needing freedom from Europe to engage in the wider world; or a small island, a full contain</w:t>
      </w:r>
    </w:p>
    <w:p>
      <w:pPr/>
      <w:r>
        <w:rPr>
          <w:b/>
        </w:rPr>
        <w:t>POSSIBLE 2021:</w:t>
      </w:r>
      <w:r>
        <w:t xml:space="preserve"> The meaning of convenience in smart home imaginaries: tech industry insights — https://doi.org/10.5334/bc.93</w:t>
      </w:r>
    </w:p>
    <w:p>
      <w:pPr/>
      <w:r>
        <w:rPr>
          <w:b/>
        </w:rPr>
        <w:t>Shared claim-specific concepts:</w:t>
      </w:r>
      <w:r>
        <w:t xml:space="preserve"> concept, imaginary, ideas; EU scope visible. This is a provisional connection, not an outcome finding.</w:t>
      </w:r>
    </w:p>
    <w:p>
      <w:pPr>
        <w:pStyle w:val="SourceNote"/>
      </w:pPr>
      <w:r>
        <w:rPr>
          <w:b/>
        </w:rPr>
        <w:t>Available abstract (not full text):</w:t>
      </w:r>
      <w:r>
        <w:t xml:space="preserve"> Smart home technology (SHT) is being promoted for the enhancement of occupants’ convenience, as well as more efficient and sustainable energy consumption. However, recent research indicates that convenience often takes precedence over energy reduction, threatening to affect inhabitants’ everyday practices in a non-sustainable way. In order to understand the social and environmental consequences of SHT, the meaning of convenience is investigated. How is the concept of convenience developed in concert with technological development? Presenting SHT imaginaries from the industry, the paper builds on qualitative interviews with 11 SHT professionals. By exploring the practices, roles, and relations at play in SHT development, it is demonstrated how the vision to enhance convenience in everyday life is related to a user imaginary characterized by passivity and disengagement from energy savings. Furthermore, convenience is enabled and enforced through the notion of interoperability. Interoperability refers to not only technologies ‘speaking together’ but also a strong interdependency between professional actors. By exploring the practices at play in SHT development, the meaning of convenience is revealed to be an outcome of this interdependency as well as the collectively shaped ideas, and technological standards embedded in the industry. Policy relevance SHT is shaping our domestic fu</w:t>
      </w:r>
    </w:p>
    <w:p>
      <w:pPr/>
      <w:r>
        <w:rPr>
          <w:b/>
        </w:rPr>
        <w:t>POSSIBLE 2020:</w:t>
      </w:r>
      <w:r>
        <w:t xml:space="preserve"> Law, biomedical technoscience, and imaginaries — https://doi.org/10.1093/jlb/lsaa088</w:t>
      </w:r>
    </w:p>
    <w:p>
      <w:pPr/>
      <w:r>
        <w:rPr>
          <w:b/>
        </w:rPr>
        <w:t>Shared claim-specific concepts:</w:t>
      </w:r>
      <w:r>
        <w:t xml:space="preserve"> concept, imaginary, investigate, constructed; EU scope visible. This is a provisional connection, not an outcome finding.</w:t>
      </w:r>
    </w:p>
    <w:p>
      <w:pPr>
        <w:pStyle w:val="SourceNote"/>
      </w:pPr>
      <w:r>
        <w:rPr>
          <w:b/>
        </w:rPr>
        <w:t>Available abstract (not full text):</w:t>
      </w:r>
      <w:r>
        <w:t xml:space="preserve"> This special issue advances understanding of the way in which imaginaries underpin law’s engagement with biomedical technologies and science. It is the first collection of law-led interdisciplinary accounts of imaginaries. The articles draw upon examples from biomedical technoscience to illuminate the hitherto unseen or underappreciated roles of imaginaries in the relationships between law and biomedical technoscience. We have conceptualized ‘law’, ‘biomedical technoscience’, and ‘imaginaries’ in broad, inclusive, and dynamic ways. ‘Law’ and ‘biomedical technoscience’ (biomedical technology and science) require no further clarification. ‘Imaginaries’, though, is a relatively novel concept within legal, socio-legal, and regulatory studies scholarship,1 and as such it requires an introduction. In the following, we introduce imaginaries before explaining how this special issue aims to address the dearth of legal scholarship on them. Subsequently, we note the conceptualizations of imaginaries in the articles, where imaginaries can be found in law and legal discourse, and finally what it is that imaginaries do and why they matter for law. Conceptualizations of imaginaries are found in several disciplines. Beckert, working within economics, formulates imaginaries as ‘imagined futures’.2 Jasanoff and Kim, from science and technology studies (STS), conceive sociotechnical imaginaries a</w:t>
      </w:r>
    </w:p>
    <w:p>
      <w:pPr>
        <w:pStyle w:val="Heading2"/>
      </w:pPr>
      <w:r>
        <w:t>838. Interpreting long-term energy scenarios and the role of bioenergy in Germany</w:t>
      </w:r>
    </w:p>
    <w:p>
      <w:pPr>
        <w:pStyle w:val="SourceNote"/>
      </w:pPr>
      <w:r>
        <w:rPr>
          <w:b/>
        </w:rPr>
        <w:t>Original source (2016):</w:t>
      </w:r>
      <w:r>
        <w:t xml:space="preserve"> https://doi.org/10.1016/j.rser.2016.02.016</w:t>
      </w:r>
    </w:p>
    <w:p>
      <w:pPr/>
      <w:r>
        <w:t>Original wording (abstract; indexed_source_text_not_full_document_verified): This article aims to provide with information for better understanding energy scenarios and to interpret the expectations of the role that bioenergy can play in 2050. The results for the four indicators show a high uncertainty and a wide range of potential bioenergy development futures in Germany by 2050 – e.g. the sustainable domestic biomass potential ranges from 350 to 1700 PJ, the share of biomass in final energy consumption lies between 5 and 28% – principally due to the different key questions and methods and heterogeneous driving forces.</w:t>
      </w:r>
    </w:p>
    <w:p>
      <w:pPr/>
      <w:r>
        <w:rPr>
          <w:b/>
        </w:rPr>
        <w:t>POSSIBLE 2025:</w:t>
      </w:r>
      <w:r>
        <w:t xml:space="preserve"> The Securitization of Islam in the Context of European Identityand the Attitudes of Europeans Towards Muslim Immigrants and Refugees — https://doi.org/10.34739/dsd.2024.02.02</w:t>
      </w:r>
    </w:p>
    <w:p>
      <w:pPr/>
      <w:r>
        <w:rPr>
          <w:b/>
        </w:rPr>
        <w:t>Shared claim-specific concepts:</w:t>
      </w:r>
      <w:r>
        <w:t xml:space="preserve"> article, aims, better, understanding, show; EU scope visible. This is a provisional connection, not an outcome finding.</w:t>
      </w:r>
    </w:p>
    <w:p>
      <w:pPr>
        <w:pStyle w:val="SourceNote"/>
      </w:pPr>
      <w:r>
        <w:rPr>
          <w:b/>
        </w:rPr>
        <w:t>Available abstract (not full text):</w:t>
      </w:r>
      <w:r>
        <w:t xml:space="preserve"> This article aims to present selected dimensions of the securitization of Islam in Europe in the context of European identity, and to show the impact of this process on the attitudes of Europeans towards Muslim migrants. The first part of the article focuses on the issue of European identity. This theoretical introduction allows for a better understanding of the dimensions of the securitization of Islam in Europe and their impact on the attitudes of citizens of selected the European Union (EU) and European Free Trade Association (EFTA) states towards migrants. The method used to conduct the research in this article is desk research and the qualitative method of analyzing written sources, both qualitative and quantitative data. The analysis uses numerous public opinion surveys, including the report “Trends in attitudes towards migration in Europe. A comparative analysis”, prepared on the basis of the European Social Survey from 2018.</w:t>
      </w:r>
    </w:p>
    <w:p>
      <w:pPr/>
      <w:r>
        <w:rPr>
          <w:b/>
        </w:rPr>
        <w:t>POSSIBLE 2025:</w:t>
      </w:r>
      <w:r>
        <w:t xml:space="preserve"> A systematic literature review focusing on luxury hotels in Europe and Asia — https://doi.org/10.15170/tvt.2025.10.01.05</w:t>
      </w:r>
    </w:p>
    <w:p>
      <w:pPr/>
      <w:r>
        <w:rPr>
          <w:b/>
        </w:rPr>
        <w:t>Shared claim-specific concepts:</w:t>
      </w:r>
      <w:r>
        <w:t xml:space="preserve"> article, role, play; EU scope visible. This is a provisional connection, not an outcome finding.</w:t>
      </w:r>
    </w:p>
    <w:p>
      <w:pPr>
        <w:pStyle w:val="SourceNote"/>
      </w:pPr>
      <w:r>
        <w:rPr>
          <w:b/>
        </w:rPr>
        <w:t>Available abstract (not full text):</w:t>
      </w:r>
      <w:r>
        <w:t xml:space="preserve"> Following the significant impact of the pandemic on the hotel industry, hotels continue to play a key role in the economy sector. However, maintaining financial stability is a major challenge for them. Luxury and sustainability may seem like contradictory concepts, but there are “best practices” that refer to the coexistence of these two concepts (Peng &amp; Chen, 2019). The aim is to systematically review the literature on luxury hotels in Europe and Asia, after formulating a unique definition of the term luxury. Few studies are available on this topic, despite the rapid and global growth of the sector (Moore, 2024). This article provides a comprehensive overview of the characteristics of luxury hotels, drawing key correlations from European and Asian publications.</w:t>
      </w:r>
    </w:p>
    <w:p>
      <w:pPr/>
      <w:r>
        <w:rPr>
          <w:b/>
        </w:rPr>
        <w:t>POSSIBLE 2024:</w:t>
      </w:r>
      <w:r>
        <w:t xml:space="preserve"> A Mapping of Textile Waste Recycling Technologies in Europe and Spain — https://doi.org/10.3390/textiles4030022</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Textiles are composed of different types of fibers; thus, different processes for end-of-life recovery are currently applied. After collection, a prior sorting process is essential to classify the textiles and assess their quality in order to ensure that the best available technology is selected, with mechanical recycling being the most widespread and mature. Nevertheless, it still has important limitations as it is not suitable for the treatment of all fibers, especially those of non-organic origin and blends. On the other hand, chemical recycling appears to be a necessary technology to valorize the fibers that cannot be reused or mechanically recycled and to avoid landfilling. This article aims to provide an overview of the available technologies in the field of textile waste recycling, including collection, pretreatment, and mechanical and chemical recycling processes. Each technology is described identifying pros and cons, and a techno-economical assessment is presented including technology readiness levels (TRLs), investments, and costs. European and Spanish regulations and policies on textile waste are analyzed to identify the trends and directions the sector is moving towards.</w:t>
      </w:r>
    </w:p>
    <w:p>
      <w:pPr/>
      <w:r>
        <w:rPr>
          <w:b/>
        </w:rPr>
        <w:t>POSSIBLE 2024:</w:t>
      </w:r>
      <w:r>
        <w:t xml:space="preserve"> Towards a better uptake of home dialysis in Europe: understanding the present and looking to the future — https://doi.org/10.1093/ckj/sfae082</w:t>
      </w:r>
    </w:p>
    <w:p>
      <w:pPr/>
      <w:r>
        <w:rPr>
          <w:b/>
        </w:rPr>
        <w:t>Shared claim-specific concepts:</w:t>
      </w:r>
      <w:r>
        <w:t xml:space="preserve"> aims, better, understanding; EU scope visible. This is a provisional connection, not an outcome finding.</w:t>
      </w:r>
    </w:p>
    <w:p>
      <w:pPr>
        <w:pStyle w:val="SourceNote"/>
      </w:pPr>
      <w:r>
        <w:rPr>
          <w:b/>
        </w:rPr>
        <w:t>Available abstract (not full text):</w:t>
      </w:r>
      <w:r>
        <w:t xml:space="preserve"> Use of peritoneal dialysis and home haemodialysis remains low in Europe, with the highest use in Scandinavian countries and the lowest in Eastern and Central Europe despite the advantages for people on dialysis and economic advantages for healthcare systems. This is partly due to the impact of the haemodialysis industry resulting in proliferation of haemodialysis units and nephrologist reimbursement related to use of haemodialysis. Equally important is the bias against home dialysis at both clinician and healthcare system levels. The underlying causes of this bias are discussed in relation to a mechanistic view of the human body, lack of compassion, failure to adjust dialysis provision for older age and frailty, proliferation of small dialysis centres, and complexity of decision-making and clinical care. For home dialysis to flourish, we need to foster a change in attitude to and vision of the aims of healthcare so that enabling meaningful activities of people requiring dialysis, as explored in the Standardized Outcomes in Nephrology initiative, rather than achieving biological numbers become the focus of care delivery.</w:t>
      </w:r>
    </w:p>
    <w:p>
      <w:pPr/>
      <w:r>
        <w:rPr>
          <w:b/>
        </w:rPr>
        <w:t>POSSIBLE 2024:</w:t>
      </w:r>
      <w:r>
        <w:t xml:space="preserve"> LITERATURE REVIEW AND ANALYSIS OF RESEARCH CONDUCTED IN EUROPE ON HEALTH LITERACY — https://doi.org/10.34739/zn.2023.61.13</w:t>
      </w:r>
    </w:p>
    <w:p>
      <w:pPr/>
      <w:r>
        <w:rPr>
          <w:b/>
        </w:rPr>
        <w:t>Shared claim-specific concepts:</w:t>
      </w:r>
      <w:r>
        <w:t xml:space="preserve"> article, information, better, understanding, high; EU scope visible. This is a provisional connection, not an outcome finding.</w:t>
      </w:r>
    </w:p>
    <w:p>
      <w:pPr>
        <w:pStyle w:val="SourceNote"/>
      </w:pPr>
      <w:r>
        <w:rPr>
          <w:b/>
        </w:rPr>
        <w:t>Available abstract (not full text):</w:t>
      </w:r>
      <w:r>
        <w:t xml:space="preserve"> According to World Health Organization, Health Literacy encompasses the cognitive and social skills that determine the motivation and ability of individuals to access, understand and use information in a way that promotes and maintains good health. The aim of this article is to present the concept of “health literacy”, its determinants and consequences, as well as to review research conducted in Europe using the European Health Literacy Survey Questionnaire – HLS-EU-Q16 indicator. For this purpose, a literature review was conducted, to incorporate analysis and criticism. The article determines the scope of research on health literacy in Europe using the European Health Literacy Survey Questionnaire – HLS-EU-Q16, based on literature analysis. The greater people’s health literacy, the better their understanding of prevention and treatment. Low health awareness means financial losses, both personal and global. High Health Literacy enables good prevention, which is the best and cheapest method in every health system.</w:t>
      </w:r>
    </w:p>
    <w:p>
      <w:pPr/>
      <w:r>
        <w:rPr>
          <w:b/>
        </w:rPr>
        <w:t>POSSIBLE 2024:</w:t>
      </w:r>
      <w:r>
        <w:t xml:space="preserve"> EUROPEAN SECURITY AND DEFENCE – KEY ELEMENTS OF DEEP INTEGRATION AT THE LEVEL OF THE EUROPEAN UNION — https://doi.org/10.53477/2784-2487-24-01</w:t>
      </w:r>
    </w:p>
    <w:p>
      <w:pPr/>
      <w:r>
        <w:rPr>
          <w:b/>
        </w:rPr>
        <w:t>Shared claim-specific concepts:</w:t>
      </w:r>
      <w:r>
        <w:t xml:space="preserve"> article, aims, provide, better, understanding; EU scope visible. This is a provisional connection, not an outcome finding.</w:t>
      </w:r>
    </w:p>
    <w:p>
      <w:pPr>
        <w:pStyle w:val="SourceNote"/>
      </w:pPr>
      <w:r>
        <w:rPr>
          <w:b/>
        </w:rPr>
        <w:t>Available abstract (not full text):</w:t>
      </w:r>
      <w:r>
        <w:t xml:space="preserve"> The purpose of this article is to highlight the key elements in European security and defence that enables a deeper integration within the European Union. The security and defence represent a fundamental domain in the European architecture, a benchmark, and a challenge regarding the loyal cooperation between Member States.The methodology used is represented by a synthetic qualitative documentary analysis with an additional quantitative support.The research hypothesis is related to the correlation of key elements in the field of security and defence with the development of a deeper integration of Member States into the European project. As their own defence and security policies belong to the Member States, the research question will provide the answer to whether key elements in European security and defence generate better cooperation between Member States and deeper integration.This article aims to provide a profound understanding of the obligations, challenges, and the impact on the Member States policy on common defence. Following the latest developments in implementing the Strategic Compass for Security and Defence, new steps should be taken to achieve the common defence goal.The presentation will also seek to highlight whether the coherence of Member States policies on achieving the common goal is linked to their deeper integration into the European project.</w:t>
      </w:r>
    </w:p>
    <w:p>
      <w:pPr/>
      <w:r>
        <w:rPr>
          <w:b/>
        </w:rPr>
        <w:t>POSSIBLE 2024:</w:t>
      </w:r>
      <w:r>
        <w:t xml:space="preserve"> The European green deal, retail investors and sustainable investments: A perspective article covering economic, behavioral, and regulatory insights — https://doi.org/10.1016/j.crsust.2024.100241</w:t>
      </w:r>
    </w:p>
    <w:p>
      <w:pPr/>
      <w:r>
        <w:rPr>
          <w:b/>
        </w:rPr>
        <w:t>Shared claim-specific concepts:</w:t>
      </w:r>
      <w:r>
        <w:t xml:space="preserve"> article, provide, information, sustainable; EU scope visible. This is a provisional connection, not an outcome finding.</w:t>
      </w:r>
    </w:p>
    <w:p>
      <w:pPr>
        <w:pStyle w:val="SourceNote"/>
      </w:pPr>
      <w:r>
        <w:rPr>
          <w:b/>
        </w:rPr>
        <w:t>Available abstract (not full text):</w:t>
      </w:r>
      <w:r>
        <w:t xml:space="preserve"> The purpose of the European Green Deal and the regulation associated with the so-called EU Taxonomy for Sustainable Activities is to lead capital flows towards sustainable investments. According to the European Commission this is necessary to finance solutions for the immense challenges ahead, such as climate change, social inequality, and loss of biodiversity. However, academic research raises concerns that sustainable investments may earn lower risk-adjusted returns in the long run. The European Supervisory Authorities identify greenwashing risks and pronounce the limited ability of retail investors to make informed investment decisions. The aim of this perspective article is to provide suggestions for a regulation on relevant information on sustainable investments provided by financial service providers to retail investors. Therefore, the existing regulations are put in relation with recent research on investments considering ESG issues. To enable retail investors' self-determined decision-making, financial service providers such as banks, mutual funds, and financial advisors must provide easily accessible, clear, and easily understandable information regarding the ESG-conformity of the offered financial products. In addition, financial service providers must inform retail investors about some specific risks that can arise from a narrow focus on ESG assets such as under-dive</w:t>
      </w:r>
    </w:p>
    <w:p>
      <w:pPr/>
      <w:r>
        <w:rPr>
          <w:b/>
        </w:rPr>
        <w:t>POSSIBLE 2023:</w:t>
      </w:r>
      <w:r>
        <w:t xml:space="preserve"> The European Universities Initiative and European spatial imaginaries — https://doi.org/10.1080/14767724.2023.2210515</w:t>
      </w:r>
    </w:p>
    <w:p>
      <w:pPr/>
      <w:r>
        <w:rPr>
          <w:b/>
        </w:rPr>
        <w:t>Shared claim-specific concepts:</w:t>
      </w:r>
      <w:r>
        <w:t xml:space="preserve"> article, role, range; EU scope visible. This is a provisional connection, not an outcome finding.</w:t>
      </w:r>
    </w:p>
    <w:p>
      <w:pPr>
        <w:pStyle w:val="SourceNote"/>
      </w:pPr>
      <w:r>
        <w:rPr>
          <w:b/>
        </w:rPr>
        <w:t>Available abstract (not full text):</w:t>
      </w:r>
      <w:r>
        <w:t xml:space="preserve"> The European Universities Initiative (EUI), launched in 2019, fosters the development of networks of universities across Europe with the aim of enabling students to obtain a degree by combining studies in several countries and strengthening collaboration in both teaching and research, and by extension, the international competitiveness of European universities. As well as constituting one of the European Commission’s most significant policies with respect to higher education, over recent years, the initiative also provides a useful lens to explore how European higher education is understood by a range of social actors. Indeed, drawing on relevant policy documents and interviews with key policy actors, this article examines what broader messages about the European higher education space (actual and ideal) are conveyed by public discussions about EUI networks. The analysis reveals significantly different perspectives about: the geographical boundaries of the European higher education space; the extent to which European higher education should be inclusive and/or aim to promote excellence; whether higher education constitutes a vehicle for further Europeanisation; and the role of nation-states in a changing Europe.</w:t>
      </w:r>
    </w:p>
    <w:p>
      <w:pPr/>
      <w:r>
        <w:rPr>
          <w:b/>
        </w:rPr>
        <w:t>POSSIBLE 2023:</w:t>
      </w:r>
      <w:r>
        <w:t xml:space="preserve"> The Impact of COVID-19 in Europe: A Comprehensive Analysis — https://doi.org/10.54783/ijsoc.v5i4.787</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The COVID-19 pandemic, caused by the novel coronavirus SARS-CoV-2, has had a profound impact on the European continent. This scientific journal article aims to provide a comprehensive analysis of the spread, healthcare response, socio-economic consequences, and lessons learned from the COVID-19 pandemic in Europe. It combines data-driven insights with a review of relevant scientific literature to present a holistic view of the situation in Europe</w:t>
      </w:r>
    </w:p>
    <w:p>
      <w:pPr/>
      <w:r>
        <w:rPr>
          <w:b/>
        </w:rPr>
        <w:t>POSSIBLE 2023:</w:t>
      </w:r>
      <w:r>
        <w:t xml:space="preserve"> A Study on the Interpretation and Application of Article 2 of the European Convention on Human Rights: Focusing on the Case Law of the European Court of Human Rights — https://doi.org/10.21592/eucj.2023.42.99</w:t>
      </w:r>
    </w:p>
    <w:p>
      <w:pPr/>
      <w:r>
        <w:rPr>
          <w:b/>
        </w:rPr>
        <w:t>Shared claim-specific concepts:</w:t>
      </w:r>
      <w:r>
        <w:t xml:space="preserve"> article, aims, provide, understanding, role; EU scope visible. This is a provisional connection, not an outcome finding.</w:t>
      </w:r>
    </w:p>
    <w:p>
      <w:pPr>
        <w:pStyle w:val="SourceNote"/>
      </w:pPr>
      <w:r>
        <w:rPr>
          <w:b/>
        </w:rPr>
        <w:t>Available abstract (not full text):</w:t>
      </w:r>
      <w:r>
        <w:t xml:space="preserve"> This study examines the interpretation and application of Article 2, the right to life, which is one of the most central rights guaranteed by the European Convention on Human Rights. It is universally recognized that the right to life represents a fundamental right of all human beings and that its proper understanding and protection is a fundamental basis for individual freedom and respect for human rights. The European Convention on Human Rights is an important document that ensures that individuals in Europe are guaranteed their fundamental rights and freedoms as human beings. Article 2, the right to life, is at the heart of the Convention and guarantees one of the most fundamental rights that every human being has. However, the understanding and application of this right to life can raise complex issues in different social and political contexts. For this reason, this study aims to provide an in-depth examination of the complexities of the right to life. The aim is to examine the role of the right to life in ensuring human dignity and promoting social justice through the case law of the European Court of Human Rights. Based on this, the general concept of the right to life and the interpretation of the right to life by the European Court of Human Rights will be introduced in the next chapter, followed by an analysis of the Court's main decisions, with the aim of bridging the</w:t>
      </w:r>
    </w:p>
    <w:p>
      <w:pPr/>
      <w:r>
        <w:rPr>
          <w:b/>
        </w:rPr>
        <w:t>POSSIBLE 2023:</w:t>
      </w:r>
      <w:r>
        <w:t xml:space="preserve"> The Impact of COVID-19 in Europe: An Overview of the Pandemic's Challenges and Responses — https://openalex.org/W7217768397</w:t>
      </w:r>
    </w:p>
    <w:p>
      <w:pPr/>
      <w:r>
        <w:rPr>
          <w:b/>
        </w:rPr>
        <w:t>Shared claim-specific concepts:</w:t>
      </w:r>
      <w:r>
        <w:t xml:space="preserve"> article, aims, provide; EU scope visible. This is a provisional connection, not an outcome finding.</w:t>
      </w:r>
    </w:p>
    <w:p>
      <w:pPr>
        <w:pStyle w:val="SourceNote"/>
      </w:pPr>
      <w:r>
        <w:rPr>
          <w:b/>
        </w:rPr>
        <w:t>Available abstract (not full text):</w:t>
      </w:r>
      <w:r>
        <w:t xml:space="preserve"> The COVID-19 pandemic has emerged as one of the most significant global health crises in recent history, affecting nearly every corner of the world, including Europe. This article aims to provide a comprehensive overview of the impact of COVID-19 in Europe, focusing on the challenges faced by the region and the responses adopted by various countries to combat the spread of the virus. By examining the epidemiological trends, healthcare infrastructure, socio-economic implications, and public health strategies, this study aims to shed light on the lessons learned from the pandemic and the way forward for Europe's health systems.</w:t>
      </w:r>
    </w:p>
    <w:p>
      <w:pPr/>
      <w:r>
        <w:rPr>
          <w:b/>
        </w:rPr>
        <w:t>POSSIBLE 2023:</w:t>
      </w:r>
      <w:r>
        <w:t xml:space="preserve"> Current Understanding of Polyphenols to Enhance Bioavailability for Better Therapies — https://doi.org/10.3390/biomedicines11072078</w:t>
      </w:r>
    </w:p>
    <w:p>
      <w:pPr/>
      <w:r>
        <w:rPr>
          <w:b/>
        </w:rPr>
        <w:t>Shared claim-specific concepts:</w:t>
      </w:r>
      <w:r>
        <w:t xml:space="preserve"> better, understanding; EU scope not established. This is a provisional connection, not an outcome finding.</w:t>
      </w:r>
    </w:p>
    <w:p>
      <w:pPr>
        <w:pStyle w:val="SourceNote"/>
      </w:pPr>
      <w:r>
        <w:rPr>
          <w:b/>
        </w:rPr>
        <w:t>Available abstract (not full text):</w:t>
      </w:r>
      <w:r>
        <w:t xml:space="preserve"> In recent years, plant polyphenols have become a popular focus for the development of novel functional foods. Polyphenols, a class of bioactive compounds, including flavonoids, phenolic acids, and lignans, are commonly found in plant-based diets with a variety of biological actions, including antioxidant, anti-inflammatory, and anticancer effects. Unfortunately, polyphenols are not widely used in nutraceuticals since many of the chemicals in polyphenols possess poor oral bioavailability. Thankfully, polyphenols can be encapsulated and transported using bio-based nanocarriers, thereby increasing their bioavailability. Polyphenols' limited water solubility and low bioavailability are limiting factors for their practical usage, but this issue can be resolved if suitable delivery vehicles are developed for encapsulating and delivering polyphenolic compounds. This paper provides an overview of the study of nanocarriers for the enhancement of polyphenol oral bioavailability, as well as a summary of the health advantages of polyphenols in the prevention and treatment of several diseases.</w:t>
      </w:r>
    </w:p>
    <w:p>
      <w:pPr>
        <w:pStyle w:val="Heading2"/>
      </w:pPr>
      <w:r>
        <w:t>839. Long-term outlook for wood construction in Europe</w:t>
      </w:r>
    </w:p>
    <w:p>
      <w:pPr>
        <w:pStyle w:val="SourceNote"/>
      </w:pPr>
      <w:r>
        <w:rPr>
          <w:b/>
        </w:rPr>
        <w:t>Original source (2016):</w:t>
      </w:r>
      <w:r>
        <w:t xml:space="preserve"> https://doi.org/10.14214/df.211</w:t>
      </w:r>
    </w:p>
    <w:p>
      <w:pPr/>
      <w:r>
        <w:t>Original wording (abstract; indexed_source_text_not_full_document_verified): The aim of the study is to examine the factors affecting the market potential of wood construction in Europe towards 2030.The study takes three complementary perspectives: Past trends and current structures, future trends and uncertainties and measures required to meet the long-term targets of the industries.The methodological framework builds on combining quantitative, descriptive and participative research approaches.By adopting methods and approaches from the field of foresight, the study aims to contribute also to the methodology development for long-term forest sector outlook studies.The trends and pressures in the operating environment of construction were found to primarily relate to the need for reducing the environmental impact of construction and improving the quality and productivity of construction.However, few of the trends would appear to have decisive impact on the diffusion of wood construction.That is, the positive drivers might not translate into improved competitive advantage for wood construction to the extent often expected, due to the lack of willingness or ability to pay for the attributes exceeding the requirements posed by the building regulations.Instead, the cultural and structural hindrances culminating to the fragmented structure and risk-averse characteristics of the construction and wood products industries seem to create significant inertia for the diffusion of wood construction.Based on scenario analysis, the outlook would appear to be dependent on the possible regulatory push for green building and on the possible changes in the strategic orientations of the industries.However, the empirical part indicated that the short-term strategy and policy measures suggested by experts are regarded either as unlikely or as unattractive by the industry stakeholders.The results therefore suggest that the diffusion of wood construction in Europe is likely to be a gradual process, subject to significant inertia, and restricted to a few niche sub-sectors and regions towards 2030.</w:t>
      </w:r>
    </w:p>
    <w:p>
      <w:pPr/>
      <w:r>
        <w:rPr>
          <w:b/>
        </w:rPr>
        <w:t>POSSIBLE 2026:</w:t>
      </w:r>
      <w:r>
        <w:t xml:space="preserve"> Value creation and competitiveness in small European markets — https://doi.org/10.5281/zenodo.19133639</w:t>
      </w:r>
    </w:p>
    <w:p>
      <w:pPr/>
      <w:r>
        <w:rPr>
          <w:b/>
        </w:rPr>
        <w:t>Shared claim-specific concepts:</w:t>
      </w:r>
      <w:r>
        <w:t xml:space="preserve"> examine, factors, potential, industries, framework; EU scope visible. This is a provisional connection, not an outcome finding.</w:t>
      </w:r>
    </w:p>
    <w:p>
      <w:pPr>
        <w:pStyle w:val="SourceNote"/>
      </w:pPr>
      <w:r>
        <w:rPr>
          <w:b/>
        </w:rPr>
        <w:t>Available abstract (not full text):</w:t>
      </w:r>
      <w:r>
        <w:t xml:space="preserve"> This report examines the competitive dynamics of small European film ecosystems through the lens of the Small European Film Ecosystem Model (SEFEM). SEFEM identifies four key avenues—production services, cultural resonance, exports, and cinematic arts—pursued by these ecosystems in varying ways, with different levels of intensity and in different constellations. The model differentiates these avenues based on factors such as legitimacy, success criteria, policy frameworks, financing logic, primary challenges, exposure to external competition, and key competitive factors. While SEFEM is rooted in the context of small European film ecosystems, its framework holds broader potential applicability. The report builds on data from Small European Film Markets: Portraits and Comparisons, enriched with updated data from for instance the European Audiovisual Observatory and Eurostat. New case-specific data from CresCine markets provide deeper insights into the challenges and dynamics of small film ecosystems. Empirical findings are drawn from diverse case studies that examine different avenues and markets. These chapters investigate topics such as production incentives, cultural resonance, film distribution, Video-on-Demand (VoD), and the concept of “collective agility” as a competitive advantage for small markets. Key insights: The report highlights that small film industries are highly </w:t>
      </w:r>
    </w:p>
    <w:p>
      <w:pPr/>
      <w:r>
        <w:rPr>
          <w:b/>
        </w:rPr>
        <w:t>POSSIBLE 2026:</w:t>
      </w:r>
      <w:r>
        <w:t xml:space="preserve"> Market analysis for Superhood Oy's European expansion — https://openalex.org/W7162354352</w:t>
      </w:r>
    </w:p>
    <w:p>
      <w:pPr/>
      <w:r>
        <w:rPr>
          <w:b/>
        </w:rPr>
        <w:t>Shared claim-specific concepts:</w:t>
      </w:r>
      <w:r>
        <w:t xml:space="preserve"> aim, potential, framework; EU scope visible. This is a provisional connection, not an outcome finding.</w:t>
      </w:r>
    </w:p>
    <w:p>
      <w:pPr>
        <w:pStyle w:val="SourceNote"/>
      </w:pPr>
      <w:r>
        <w:rPr>
          <w:b/>
        </w:rPr>
        <w:t>Available abstract (not full text):</w:t>
      </w:r>
      <w:r>
        <w:t xml:space="preserve"> This thesis examined the international market strategy for a Finnish Tech company Superhood Oy based in Finland, which operates a hyper local digital platform and is seeking to expand its operations into European markets. The aim of the thesis was to identify and evaluate most suitable European markets for entry as previously, formal market research had not been conducted by the company. In this thesis, a multi-stage screening process was utilized as the research methodology to evaluate potential countries. The first stage involved quantitative screening of European countries using English proficiency, national digital skill levels and urbanization rates. The second stage involved qualitative analysis using a focused PESTEL framework and initial competitor scan to identify the market saturation. The findings were collected using secondary data sources and the informal communication conducted with the commissioning company. The final results indicated that Norway, Sweden, Denmark, the Netherlands and the United Kingdom met the criteria. Further findings confirmed that all of these countries have highly urbanized markets therefore national digital literacy rates provide a reliable reflection of urban readiness. This study identified Norway as the first entry point due to its high level of social trust and lack of dominant competitor, while Sweden and Denmark were given the medium</w:t>
      </w:r>
    </w:p>
    <w:p>
      <w:pPr/>
      <w:r>
        <w:rPr>
          <w:b/>
        </w:rPr>
        <w:t>POSSIBLE 2026:</w:t>
      </w:r>
      <w:r>
        <w:t xml:space="preserve"> Public acceptance of geothermal energy in Europe: Factors and strategies — https://doi.org/10.1016/j.nxener.2026.100711</w:t>
      </w:r>
    </w:p>
    <w:p>
      <w:pPr/>
      <w:r>
        <w:rPr>
          <w:b/>
        </w:rPr>
        <w:t>Shared claim-specific concepts:</w:t>
      </w:r>
      <w:r>
        <w:t xml:space="preserve"> examine, factors, potential, three, framework; EU scope visible. This is a provisional connection, not an outcome finding.</w:t>
      </w:r>
    </w:p>
    <w:p>
      <w:pPr>
        <w:pStyle w:val="SourceNote"/>
      </w:pPr>
      <w:r>
        <w:rPr>
          <w:b/>
        </w:rPr>
        <w:t>Available abstract (not full text):</w:t>
      </w:r>
      <w:r>
        <w:t xml:space="preserve"> The transition to a climate-neutral economy in Europe, as mandated by the EU Green Deal and the Fit for 55 package, necessitates a rapid and diversified deployment of renewable energy sources. Geothermal energy, with its potential for baseload power and heating, is a critical component of this strategy. However, its deployment is often hindered by challenges related to social acceptance, which are distinct from those faced by other renewables. This systematic literature review (SLR) aims to examine the determinants of social acceptance of geothermal energy across the European context. Employing the PRISMA protocol, a comprehensive search was conducted across major databases (Scopus and Web of Science) for peer-reviewed literature published between 2015 and 2025. The review identified 40 highly relevant studies for in-depth synthesis. Key findings reveal that acceptance is primarily driven by three interlinked factors : trust in institutions , the perception of procedural and distributional justice , and the management of perceived risks, particularly induced seismicity. The paper critically examines the interplay of these sociopolitical, economic, and psychological factors. The primary contribution is a synthesized framework of effective mitigation strategies, including participatory decision-making, transparent risk communication, and local benefit-sharing mechanisms. This fra</w:t>
      </w:r>
    </w:p>
    <w:p>
      <w:pPr/>
      <w:r>
        <w:rPr>
          <w:b/>
        </w:rPr>
        <w:t>POSSIBLE 2025:</w:t>
      </w:r>
      <w:r>
        <w:t xml:space="preserve"> European initiatives to support labor mobility and Ukraine’s integration into the European labor market — https://doi.org/10.24144/2788-6018.2025.03.1.84</w:t>
      </w:r>
    </w:p>
    <w:p>
      <w:pPr/>
      <w:r>
        <w:rPr>
          <w:b/>
        </w:rPr>
        <w:t>Shared claim-specific concepts:</w:t>
      </w:r>
      <w:r>
        <w:t xml:space="preserve"> potential, current; EU scope visible. This is a provisional connection, not an outcome finding.</w:t>
      </w:r>
    </w:p>
    <w:p>
      <w:pPr>
        <w:pStyle w:val="SourceNote"/>
      </w:pPr>
      <w:r>
        <w:rPr>
          <w:b/>
        </w:rPr>
        <w:t>Available abstract (not full text):</w:t>
      </w:r>
      <w:r>
        <w:t xml:space="preserve"> As a result of the full-scale criminal invasion of the Russian Federation into Ukraine, a large number of Ukrainians were forced to leave their homes and seek refuge in EU countries. On the one hand, the war creates additional challenges, such as mass migration, economic destruction and instability, on the other hand, it emphasizes the need to integrate the Ukrainian labor market into the European one to support the economy and provide opportunities for Ukrainians. The article examines key current European initiatives aimed at integrating Ukraine into the European labor market, especially in the context of unprecedented migration of Ukrainians caused by the war. Support programs and projects, such as temporary protection, initiatives for the recognition of qualifications, retraining programs and employment opportunities, are analyzed. Special attention is paid to the review of regional initiatives to support labor mobility on the example of individual EU countries, as an important tool for Ukraine’s integration into the European labor market. Examples of successful initiatives and projects (including information support, vocational training, assistance in legalizing employment and adaptation to a new workplace) are given, aimed at facilitating Ukrainian citizens’ access to employment in other countries of the European Union. Special attention is paid to the study of the effecti</w:t>
      </w:r>
    </w:p>
    <w:p>
      <w:pPr/>
      <w:r>
        <w:rPr>
          <w:b/>
        </w:rPr>
        <w:t>POSSIBLE 2025:</w:t>
      </w:r>
      <w:r>
        <w:t xml:space="preserve"> Aging workforce and labour market trends in the European Union — https://doi.org/10.18045/zbefri.2025.1.7</w:t>
      </w:r>
    </w:p>
    <w:p>
      <w:pPr/>
      <w:r>
        <w:rPr>
          <w:b/>
        </w:rPr>
        <w:t>Shared claim-specific concepts:</w:t>
      </w:r>
      <w:r>
        <w:t xml:space="preserve"> potential, takes, trends; EU scope visible. This is a provisional connection, not an outcome finding.</w:t>
      </w:r>
    </w:p>
    <w:p>
      <w:pPr>
        <w:pStyle w:val="SourceNote"/>
      </w:pPr>
      <w:r>
        <w:rPr>
          <w:b/>
        </w:rPr>
        <w:t>Available abstract (not full text):</w:t>
      </w:r>
      <w:r>
        <w:t xml:space="preserve"> This study examines the main consequences of Europe’s ageing population, including its effects on the labour market, employment dynamics, education, and socio-economic inequalities. It aims to identify and analyse trends and thematic priorities of these challenges, as well as regional differences within the EU (European Union). We used VOSviewer to perform a bibliometric analysis to analyse the publications indexed in the Web of Science Core Collection. The general overview of this area was based on the scientific fields of economics, business and demography. The results show a clear difference in thematic focus between Central and Eastern European (CEE) countries and Western European (WE) countries. The main emphasis in research in CEE countries concerning the challenges of an ageing workforce is on (un)employment. This research takes an optimistic view of the potential benefits of migration. In contrast, research in WE countries focuses primarily on the social impacts of migration, socio-economic inequalities and policy interventions. Moreover, WE studies are cited more frequently and have more influence, indicating their central role in shaping EUwide discussions and policies. This research led to the conclusion that while ageing remains a challenge for Europe as a whole, regional priorities and the heterogeneity of scientific results reflect different socio-economic context</w:t>
      </w:r>
    </w:p>
    <w:p>
      <w:pPr/>
      <w:r>
        <w:rPr>
          <w:b/>
        </w:rPr>
        <w:t>POSSIBLE 2024:</w:t>
      </w:r>
      <w:r>
        <w:t xml:space="preserve"> Community Mental Health in Türkiye and Europe: Data and Influencing Factors — https://doi.org/10.18863/pgy.1392348</w:t>
      </w:r>
    </w:p>
    <w:p>
      <w:pPr/>
      <w:r>
        <w:rPr>
          <w:b/>
        </w:rPr>
        <w:t>Shared claim-specific concepts:</w:t>
      </w:r>
      <w:r>
        <w:t xml:space="preserve"> aim, examine, factors, affecting, three; EU scope visible. This is a provisional connection, not an outcome finding.</w:t>
      </w:r>
    </w:p>
    <w:p>
      <w:pPr>
        <w:pStyle w:val="SourceNote"/>
      </w:pPr>
      <w:r>
        <w:rPr>
          <w:b/>
        </w:rPr>
        <w:t>Available abstract (not full text):</w:t>
      </w:r>
      <w:r>
        <w:t xml:space="preserve"> Human is an entity that can be completed with the combination of biological, psychological and social factors. The concept of health is defined as being in a state of complete mental, social and physical well-being. The term "community mental health" defines mental health care in relation to the individual and the environment in which the individual interacts. If the factors affecting mental health are known and intervened, it is predicted that community mental health will make positive progress. The aim of this study is to examine and compare the factors affecting community mental health by analysing community mental health data in Türkiye and Europe. The World Health Organisation (WHO) examines these factors in three groups as individual, family and community and structural factors. In order to analyse the degree to which these factors affect mental health, data from Türkiye and Europe were analysed by examining the reports of the World Health Organization, European Commission, European Parliament, OECD, Institute for Health Metrics and Evaluation and Turkish Statistical Institute. It is seen that community mental health is affected by the community's understanding of health and illness, access to mental health services, gender, age, education, the concept of loneliness, unemployment, diseases affecting the world such as pandemics and the economy. As a result of mental health</w:t>
      </w:r>
    </w:p>
    <w:p>
      <w:pPr/>
      <w:r>
        <w:rPr>
          <w:b/>
        </w:rPr>
        <w:t>POSSIBLE 2024:</w:t>
      </w:r>
      <w:r>
        <w:t xml:space="preserve"> Examining the Market Potential for Smart Intelligent Packaging: A Focus on Italian Consumers — https://doi.org/10.34021/ve.2024.07.02(5)</w:t>
      </w:r>
    </w:p>
    <w:p>
      <w:pPr/>
      <w:r>
        <w:rPr>
          <w:b/>
        </w:rPr>
        <w:t>Shared claim-specific concepts:</w:t>
      </w:r>
      <w:r>
        <w:t xml:space="preserve"> factors, potential, meet; EU scope not established. This is a provisional connection, not an outcome finding.</w:t>
      </w:r>
    </w:p>
    <w:p>
      <w:pPr>
        <w:pStyle w:val="SourceNote"/>
      </w:pPr>
      <w:r>
        <w:rPr>
          <w:b/>
        </w:rPr>
        <w:t>Available abstract (not full text):</w:t>
      </w:r>
      <w:r>
        <w:t xml:space="preserve"> This study addresses the effect of smart intelligent packaging on consumers’ perceptions and aims to explore new market opportunities for smart intelligent packaging. Based on a quantitative research methodology, this study is exploratory in nature and aims to determine consumer attitudes toward smart, intelligent food packaging. The research findings show that smart packaging offers new technologies that better satisfy consumers’ needs. Italian respondents appreciate the monitoring and tracking functions of food packaging. In addition, different factors of food packaging that lead consumers to purchase are emphasized in our findings. This study confirms that packaging affects consumer purchase decisions. According to the results, although consumers’ knowledge of smart packaging technologies was low, their interest in obtaining more information related to smart intelligent packaging was high. Findings indicate that integrating smart packaging with advanced storage systems and technologies designed to prolong product shelf life is a sought-after technological approach for reducing food wastage. However, the research highlights a lack of consumer awareness and understanding concerning intelligent active packaging, hindering its widespread adoption. Therefore, it is recommended to ascertain consumer preferences regarding packaging characteristics to uncover effective marketing str</w:t>
      </w:r>
    </w:p>
    <w:p>
      <w:pPr/>
      <w:r>
        <w:rPr>
          <w:b/>
        </w:rPr>
        <w:t>POSSIBLE 2023:</w:t>
      </w:r>
      <w:r>
        <w:t xml:space="preserve"> Market and Market Potential: A Conceptual Paper — https://doi.org/10.61739/tbf.2023.12.2.341</w:t>
      </w:r>
    </w:p>
    <w:p>
      <w:pPr/>
      <w:r>
        <w:rPr>
          <w:b/>
        </w:rPr>
        <w:t>Shared claim-specific concepts:</w:t>
      </w:r>
      <w:r>
        <w:t xml:space="preserve"> factors, potential, trends, industries, framework; EU scope not established. This is a provisional connection, not an outcome finding.</w:t>
      </w:r>
    </w:p>
    <w:p>
      <w:pPr>
        <w:pStyle w:val="SourceNote"/>
      </w:pPr>
      <w:r>
        <w:rPr>
          <w:b/>
        </w:rPr>
        <w:t>Available abstract (not full text):</w:t>
      </w:r>
      <w:r>
        <w:t xml:space="preserve"> This paper focuses on an important aspect of marketing upon which all the concepts of marketing depend like segmentation, targeting, positioning, distribution, pricing, etc.This conceptual research paper delves into the fundamental concepts of markets and market potential.As essential drivers of economic activity, markets serve as pivotal arenas where buyers and sellers interact to exchange goods, services, and information.The paper explores the multifaceted dimensions of markets, and types of demand, elucidating their characteristics, classi ications, and functions in diverse industries and sectors.The market plays an important role in all the sectors like primary (Agriculture), secondary, and tertiary sector.Central to this study is the exploration of market potential, a crucial aspect that determines the growth prospects and pro itability of businesses and the agricultural sector.By delving into market potential analysis, this paper examines the underlying factors that in luence market attractiveness, including consumer demographics, purchasing power, demand trends, and competitive landscapes.Through a comprehensive review of existing literature, this research seeks to provide a conceptual framework that deepens the understanding of markets, types of demand, and market potential.</w:t>
      </w:r>
    </w:p>
    <w:p>
      <w:pPr/>
      <w:r>
        <w:rPr>
          <w:b/>
        </w:rPr>
        <w:t>POSSIBLE 2023:</w:t>
      </w:r>
      <w:r>
        <w:t xml:space="preserve"> Factors affecting prevalence of pain among European population — https://openalex.org/W7135870697</w:t>
      </w:r>
    </w:p>
    <w:p>
      <w:pPr/>
      <w:r>
        <w:rPr>
          <w:b/>
        </w:rPr>
        <w:t>Shared claim-specific concepts:</w:t>
      </w:r>
      <w:r>
        <w:t xml:space="preserve"> aim, factors, affecting; EU scope visible. This is a provisional connection, not an outcome finding.</w:t>
      </w:r>
    </w:p>
    <w:p>
      <w:pPr>
        <w:pStyle w:val="SourceNote"/>
      </w:pPr>
      <w:r>
        <w:rPr>
          <w:b/>
        </w:rPr>
        <w:t>Available abstract (not full text):</w:t>
      </w:r>
      <w:r>
        <w:t xml:space="preserve"> Pain is a part of many people's lives and can also affect them in significant ways. This paper examined various factors that are related to the prevalence of pain in the European population. The aim was to identify these factors and describe the differences between the population groups. The analyses involved individuals aged 20 years and older who participated in the 2019 European Health Interview Survey. The association between selected demographic, sociodemographic and socioeconomic factors, as well as between lifestyle factors and pain prevalence, was analyzed using chi-square tests and binary logistic regression. Attention was also paid to the relationship between mental health and pain prevalence. It was found that women are more prone to the occurrence of pain as well as persons of advanced age. Although married people show a lower risk of suffering from pain, the impact of living with a partner on the incidence of pain is quite contradictory. The association between this variable and pain prevalence varies depending on control variables. More educated persons are less likely to report prevalence of pain. In turn, unhealthy lifestyle activities, other than alcohol consumption, are considered to be risk factors. Also, individuals with severe symptoms of depression have a higher likelihood of...</w:t>
      </w:r>
    </w:p>
    <w:p>
      <w:pPr/>
      <w:r>
        <w:rPr>
          <w:b/>
        </w:rPr>
        <w:t>POSSIBLE 2022:</w:t>
      </w:r>
      <w:r>
        <w:t xml:space="preserve"> Hydrogen in Grid Balancing: The European Market Potential for Pressurized Alkaline Electrolyzers — https://doi.org/10.3390/en15020637</w:t>
      </w:r>
    </w:p>
    <w:p>
      <w:pPr/>
      <w:r>
        <w:rPr>
          <w:b/>
        </w:rPr>
        <w:t>Shared claim-specific concepts:</w:t>
      </w:r>
      <w:r>
        <w:t xml:space="preserve"> aim, potential; EU scope visible. This is a provisional connection, not an outcome finding.</w:t>
      </w:r>
    </w:p>
    <w:p>
      <w:pPr>
        <w:pStyle w:val="SourceNote"/>
      </w:pPr>
      <w:r>
        <w:rPr>
          <w:b/>
        </w:rPr>
        <w:t>Available abstract (not full text):</w:t>
      </w:r>
      <w:r>
        <w:t xml:space="preserve"> To limit the global temperature change to no more than 2 °C by reducing global emissions, the European Union (EU) set up a goal of a 20% improvement on energy efficiency, a 20% cut of greenhouse gas emissions, and a 20% share of energy from renewable sources by 2020 (10% share of renewable energy (RE), specifically in the transport sector). By 2030, the goal is a 27% improvement in energy efficiency, a 40% cut of greenhouse gas emissions, and a 27% share of RE. However, the integration of RE in energy system faces multiple challenges. The geographical distribution of energy supply changes significantly the availability of the primary energy source (wind, solar, water) and is the determining factor, rather than where the consumers are. This leads to an increasing demand to match supply and demand for power. Especially intermittent RE like wind and solar power face the issue of energy production unrelated to demand (issue of excess energy production beyond demand and/or grid capacity) and forecast errors leading to an increasing demand for grid services like balancing power. Megawatt electrolyzer units (beyond 3 MW) can provide a technical solution to convert large amounts of excess electricity into hydrogen for industrial applications, substitute for natural gas, or the decarbonization of the mobility sector. The demonstration of successful MW electrolyzer operation providing gr</w:t>
      </w:r>
    </w:p>
    <w:p>
      <w:pPr/>
      <w:r>
        <w:rPr>
          <w:b/>
        </w:rPr>
        <w:t>POSSIBLE 2022:</w:t>
      </w:r>
      <w:r>
        <w:t xml:space="preserve"> Russia–Ukraine crisis: The effects on the European stock market — https://doi.org/10.1111/eufm.12386</w:t>
      </w:r>
    </w:p>
    <w:p>
      <w:pPr/>
      <w:r>
        <w:rPr>
          <w:b/>
        </w:rPr>
        <w:t>Shared claim-specific concepts:</w:t>
      </w:r>
      <w:r>
        <w:t xml:space="preserve"> examine, industries; EU scope visible. This is a provisional connection, not an outcome finding.</w:t>
      </w:r>
    </w:p>
    <w:p>
      <w:pPr>
        <w:pStyle w:val="SourceNote"/>
      </w:pPr>
      <w:r>
        <w:rPr>
          <w:b/>
        </w:rPr>
        <w:t>Available abstract (not full text):</w:t>
      </w:r>
      <w:r>
        <w:t xml:space="preserve"> Abstract We examine the effect of the Russia–Ukraine crisis on the European stock markets. Because of increased political uncertainty, geographic proximity and the ramifications of the fresh sanctions imposed on Russia, the European stock markets tended to react negatively to this crisis. We find that on 21 February 2022, when Russia recognized two Ukrainian states as autonomous regions, European stocks incurred a significant negative abnormal return. Moreover, the negative stock price reactions continued in the post‐event period. The magnitude of the stock price reactions to this crisis exhibits considerable variation across industries, countries and size of the company.</w:t>
      </w:r>
    </w:p>
    <w:p>
      <w:pPr/>
      <w:r>
        <w:rPr>
          <w:b/>
        </w:rPr>
        <w:t>POSSIBLE 2022:</w:t>
      </w:r>
      <w:r>
        <w:t xml:space="preserve"> Factors impacting university–industry collaboration in European countries — https://doi.org/10.1186/s13731-022-00226-3</w:t>
      </w:r>
    </w:p>
    <w:p>
      <w:pPr/>
      <w:r>
        <w:rPr>
          <w:b/>
        </w:rPr>
        <w:t>Shared claim-specific concepts:</w:t>
      </w:r>
      <w:r>
        <w:t xml:space="preserve"> examine, factors, three; EU scope visible. This is a provisional connection, not an outcome finding.</w:t>
      </w:r>
    </w:p>
    <w:p>
      <w:pPr>
        <w:pStyle w:val="SourceNote"/>
      </w:pPr>
      <w:r>
        <w:rPr>
          <w:b/>
        </w:rPr>
        <w:t>Available abstract (not full text):</w:t>
      </w:r>
      <w:r>
        <w:t xml:space="preserve"> Abstract This paper aims to examine the links between university-industry collaboration (UIC) predictors (inputs), and the results of UIC cooperation (outputs). The focus of the research is UIC within the European Union member states and the Western Balkan countries.The analysis was conducted using the partial least squares structural equation modeling (PLS-SEM). This method enabled examining the links between variables that are not directly observable. The authors used data for the period of three years, 2015–2018. The results prove that countries investing in UIC predictors (inputs) have better UIC performance (outputs). Based on the statistical analysis, the authors identified the investments in knowledge, networking, and research and development (R&amp;D), in general, as the most significant that impact UIC performance.</w:t>
      </w:r>
    </w:p>
    <w:p>
      <w:pPr>
        <w:pStyle w:val="Heading2"/>
      </w:pPr>
      <w:r>
        <w:t>840. New opportunities for future tourism after 25 years of political and socioeconomic transformation – foresight in Poland’s tourism planning</w:t>
      </w:r>
    </w:p>
    <w:p>
      <w:pPr>
        <w:pStyle w:val="SourceNote"/>
      </w:pPr>
      <w:r>
        <w:rPr>
          <w:b/>
        </w:rPr>
        <w:t>Original source (2016):</w:t>
      </w:r>
      <w:r>
        <w:t xml:space="preserve"> https://doi.org/10.1108/jtf-05-2015-0031</w:t>
      </w:r>
    </w:p>
    <w:p>
      <w:pPr/>
      <w:r>
        <w:t>Original wording (abstract; indexed_source_text_not_full_document_verified): Since one of the main foresight goals is to identify trends, the paper takes attempt to verify trends that occurred in Poland after 1989 and if they have now and will have in the near future influence on Polish tourism. Findings The analysis of the political and economic changes that have taken place in Poland over the last 25 years shows that they were positive for the development of tourism base.</w:t>
      </w:r>
    </w:p>
    <w:p>
      <w:pPr/>
      <w:r>
        <w:rPr>
          <w:b/>
        </w:rPr>
        <w:t>POSSIBLE 2026:</w:t>
      </w:r>
      <w:r>
        <w:t xml:space="preserve"> From the Single European Act to the One Europe, One Market Agenda. — https://doi.org/10.22370/pe.2026.20.5851</w:t>
      </w:r>
    </w:p>
    <w:p>
      <w:pPr/>
      <w:r>
        <w:rPr>
          <w:b/>
        </w:rPr>
        <w:t>Shared claim-specific concepts:</w:t>
      </w:r>
      <w:r>
        <w:t xml:space="preserve"> since, one, main, political; EU scope visible. This is a provisional connection, not an outcome finding.</w:t>
      </w:r>
    </w:p>
    <w:p>
      <w:pPr>
        <w:pStyle w:val="SourceNote"/>
      </w:pPr>
      <w:r>
        <w:rPr>
          <w:b/>
        </w:rPr>
        <w:t>Available abstract (not full text):</w:t>
      </w:r>
      <w:r>
        <w:t xml:space="preserve"> This article traces the main stages that have characterized the construction of the current European Union. To do this, we outlined the relationship among law, politics, public policies. In particular, through a rigorous methodological approach based on the comparison of sources and the search for technical aspects investigated through the specific categories of multiple disciplines to have the broadest possible vision of the phenomenon, the historical stages that led the European elites to pursue a common idea of Europe that exists and live the challenges of contemporaneity to ensure a solid peace through a transversal involvement of institutions are retraced public and private on the basis of economic interests. The common thread of this work is the theme of European competitiveness and the position that Europe assumes on the geopolitical chessboard: from the entry into force of the Single European Act in 1986 to the presentation of the One Europe, One Market Agenda in 2026. The research is aimed at showing the importance of choral choices in the path of integration and Europeanization, highliting the limits and potential that the Old Continent has faced since the dawn of the project of a united Europe and what prospects remain open in the current scenarios according to the agenda of leaders who see in a systemic approach the way to compete with other global technological and</w:t>
      </w:r>
    </w:p>
    <w:p>
      <w:pPr/>
      <w:r>
        <w:rPr>
          <w:b/>
        </w:rPr>
        <w:t>POSSIBLE 2026:</w:t>
      </w:r>
      <w:r>
        <w:t xml:space="preserve"> Scrutinising European land-use planning: Identifying the priorities and goals of building regulations — https://doi.org/10.1016/j.landusepol.2025.107916</w:t>
      </w:r>
    </w:p>
    <w:p>
      <w:pPr/>
      <w:r>
        <w:rPr>
          <w:b/>
        </w:rPr>
        <w:t>Shared claim-specific concepts:</w:t>
      </w:r>
      <w:r>
        <w:t xml:space="preserve"> goals, they, findings; EU scope visible. This is a provisional connection, not an outcome finding.</w:t>
      </w:r>
    </w:p>
    <w:p>
      <w:pPr>
        <w:pStyle w:val="SourceNote"/>
      </w:pPr>
      <w:r>
        <w:rPr>
          <w:b/>
        </w:rPr>
        <w:t>Available abstract (not full text):</w:t>
      </w:r>
      <w:r>
        <w:t xml:space="preserve"> The rapid growth and increasing complexity of European cities highlight the need for urban planning and governance in creating sustainable urban environments. Specifically, regulations on building form and location are key to designing efficient and equitable cities. However, these regulations vary widely among municipalities across European countries and are not well understood. Notably, there is no comprehensive overview of the prevailing regulations and their objectives. This study fills this gap by analysing how European countries prioritise local building regulations and whether they pursue efficiency, i.e. making the best use of space, or equity, i.e. promoting fair and inclusive distribution of urban benefits. We examine regulations related to building height, volume, density, outlook, design coherence, value capacity, and hazard prevention. Through an online survey of planning experts in 30 countries, we found that regulations on height and density are prioritised the most and are primarily efficiency-oriented. While some regulations of lesser priority exhibited a more balanced pursuit of both goals, overall, building regulations in Europe pursue efficiency more than equity. The findings from this study are expected to enhance knowledge exchange in planning practice and foster better cooperation between countries. Furthermore, they provide an important empirical basis f</w:t>
      </w:r>
    </w:p>
    <w:p>
      <w:pPr/>
      <w:r>
        <w:rPr>
          <w:b/>
        </w:rPr>
        <w:t>POSSIBLE 2024:</w:t>
      </w:r>
      <w:r>
        <w:t xml:space="preserve"> The Main Concerns towards the European Union that Led the British to Vote for Brexit — https://doi.org/10.2478/eustu-2024-0008</w:t>
      </w:r>
    </w:p>
    <w:p>
      <w:pPr/>
      <w:r>
        <w:rPr>
          <w:b/>
        </w:rPr>
        <w:t>Shared claim-specific concepts:</w:t>
      </w:r>
      <w:r>
        <w:t xml:space="preserve"> since, one, main; EU scope visible. This is a provisional connection, not an outcome finding.</w:t>
      </w:r>
    </w:p>
    <w:p>
      <w:pPr>
        <w:pStyle w:val="SourceNote"/>
      </w:pPr>
      <w:r>
        <w:rPr>
          <w:b/>
        </w:rPr>
        <w:t>Available abstract (not full text):</w:t>
      </w:r>
      <w:r>
        <w:t xml:space="preserve"> Summary Brexit is one of the main international events of the twenty-first century. Although as a process it was finalized in 2021, there is still curiosity about its causes. The purpose of this article is to specify the main concerns towards the European Union that led the Britons to vote for Brexit. For realization of the research were used qualitative methods, characterized by the collection of data from the bibliography and internet sources related to the United Kingdom, the EU and the Brexit process. The research results show that since its membership in the European Economic Community in 1973, the UK has had contradictions with certain EU policies. But, immigration was the biggest concern and the main factor that led the British people to vote for Brexit. The conclusions aim to increase information about the Brexit process and factors that had a great impact on the British people’s vote for Brexit.</w:t>
      </w:r>
    </w:p>
    <w:p>
      <w:pPr/>
      <w:r>
        <w:rPr>
          <w:b/>
        </w:rPr>
        <w:t>POSSIBLE 2024:</w:t>
      </w:r>
      <w:r>
        <w:t xml:space="preserve"> The role of universities in accelerating the sustainable development goals in Europe — https://doi.org/10.1038/s41598-024-65820-9</w:t>
      </w:r>
    </w:p>
    <w:p>
      <w:pPr/>
      <w:r>
        <w:rPr>
          <w:b/>
        </w:rPr>
        <w:t>Shared claim-specific concepts:</w:t>
      </w:r>
      <w:r>
        <w:t xml:space="preserve"> goals, they; EU scope visible. This is a provisional connection, not an outcome finding.</w:t>
      </w:r>
    </w:p>
    <w:p>
      <w:pPr>
        <w:pStyle w:val="SourceNote"/>
      </w:pPr>
      <w:r>
        <w:rPr>
          <w:b/>
        </w:rPr>
        <w:t>Available abstract (not full text):</w:t>
      </w:r>
      <w:r>
        <w:t xml:space="preserve"> The process of implementation of the UN Sustainable Development Goals (SDGs) which were approved by the UN General Assembly in 2015 has not been simple, being influenced by variety of social, economic, and logistical problems. It has also been negatively affected by the COVID-19 pandemic. There are to date no specific studies aimed at assessing the extent to which higher universities institutions in Europe are active in the SDGs implementation process. Departing from this research need, this paper reports on a study aimed at examining the current degree of engagement of European universities in the implementing the SDGs. By using a multi-methods approach, which entails a review of existing documents, a survey involving participants from 22 countries and case studies, the paper maps, documents and disseminates examples of what European universities are doing to implement the SDGs, the challenges they face, and the solutions being deployed to overcome them.</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goals, trends;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2023:</w:t>
      </w:r>
      <w:r>
        <w:t xml:space="preserve"> Genomic epidemiology of West Nile virus in Europe — https://doi.org/10.1016/j.onehlt.2023.100664</w:t>
      </w:r>
    </w:p>
    <w:p>
      <w:pPr/>
      <w:r>
        <w:rPr>
          <w:b/>
        </w:rPr>
        <w:t>Shared claim-specific concepts:</w:t>
      </w:r>
      <w:r>
        <w:t xml:space="preserve"> since, one, main, occurred; EU scope visible. This is a provisional connection, not an outcome finding.</w:t>
      </w:r>
    </w:p>
    <w:p>
      <w:pPr>
        <w:pStyle w:val="SourceNote"/>
      </w:pPr>
      <w:r>
        <w:rPr>
          <w:b/>
        </w:rPr>
        <w:t>Available abstract (not full text):</w:t>
      </w:r>
      <w:r>
        <w:t xml:space="preserve"> West Nile virus is one of the most widespread mosquito-borne zoonotic viruses, with unique transmission dynamics in various parts of the world. Genomic surveillance has provided important insights in the global patterns of West Nile virus emergence and spread. In Europe, multiple West Nile virus lineages have been isolated, with lineage 1a and 2 being the main lineages responsible for human infections. In contrast to North America, where a single introduction of lineage 1a resulted in the virus establishing itself in a new continent, at least 13 introductions of lineages 1a and 2 have occurred into Europe, which is likely a vast underestimation of the true number of introductions. Historically, lineage 1a was the main lineage circulating in Europe, but since the emergence of lineage 2 in the early 2000s, the latter has become the predominant lineage. This shift in West Nile virus lineage prevalence has been broadly linked to the expansion of the virus into northerly temperate regions, where autochthonous cases in animals and humans have been reported in Germany and The Netherlands. Here, we discuss how genomic analysis has increased our understanding of the epidemiology of West Nile virus in Europe, and we present a global Nextstrain build consisting of publicly available West Nile virus genomes (https://nextstrain.org/community/grubaughlab/WNV-Global). Our results elucidate re</w:t>
      </w:r>
    </w:p>
    <w:p>
      <w:pPr/>
      <w:r>
        <w:rPr>
          <w:b/>
        </w:rPr>
        <w:t>POSSIBLE 2023:</w:t>
      </w:r>
      <w:r>
        <w:t xml:space="preserve"> The World Order Challenges and the Main Risks of European Integration — https://openalex.org/W4414693906</w:t>
      </w:r>
    </w:p>
    <w:p>
      <w:pPr/>
      <w:r>
        <w:rPr>
          <w:b/>
        </w:rPr>
        <w:t>Shared claim-specific concepts:</w:t>
      </w:r>
      <w:r>
        <w:t xml:space="preserve"> since, one, main, after, influence; EU scope visible. This is a provisional connection, not an outcome finding.</w:t>
      </w:r>
    </w:p>
    <w:p>
      <w:pPr>
        <w:pStyle w:val="SourceNote"/>
      </w:pPr>
      <w:r>
        <w:rPr>
          <w:b/>
        </w:rPr>
        <w:t>Available abstract (not full text):</w:t>
      </w:r>
      <w:r>
        <w:t xml:space="preserve"> This paper is dedicated to the World Economic Order and to its evolution since the end of the Second World War, while showing its influence on the European Union's position as one of the key global actors. The author highlights also the new phase of the Global Order and the main forces that drive a new system of international relations under the strength of regionalization. At the same time, the position of the EU under the pressure of the main challenging forces has been analysed by the author, after more than 15 years since the eruption and spreading of the deepest financial international crises of the last century. The 2008 international financial crash and the post-crisis period embodied a seismic shock to the world economy in the form of a deep economic recession. It is important in the rapidly changing world that the EU Member States take the necessary measures to increase their competitiveness position in the world.</w:t>
      </w:r>
    </w:p>
    <w:p>
      <w:pPr/>
      <w:r>
        <w:rPr>
          <w:b/>
        </w:rPr>
        <w:t>POSSIBLE 2023:</w:t>
      </w:r>
      <w:r>
        <w:t xml:space="preserve"> TRENDS AND MAIN WAYS OF UPGRADING EUROPEAN EDUCATION — https://doi.org/10.32342/2522-4115-2023-1-25-13</w:t>
      </w:r>
    </w:p>
    <w:p>
      <w:pPr/>
      <w:r>
        <w:rPr>
          <w:b/>
        </w:rPr>
        <w:t>Shared claim-specific concepts:</w:t>
      </w:r>
      <w:r>
        <w:t xml:space="preserve"> since, one, main, goals, identify, trends; EU scope visible. This is a provisional connection, not an outcome finding.</w:t>
      </w:r>
    </w:p>
    <w:p>
      <w:pPr>
        <w:pStyle w:val="SourceNote"/>
      </w:pPr>
      <w:r>
        <w:rPr>
          <w:b/>
        </w:rPr>
        <w:t>Available abstract (not full text):</w:t>
      </w:r>
      <w:r>
        <w:t xml:space="preserve"> In the modern socio-economic context of the development of educational systems, the processes of globalization and internationalization play an important role, which determine the reformation of higher education. Competition and cooperation between educational and scientific organizations are intensifying all over the world, the exchange of students, teachers, graduate students and researchers is intensifying, distance education is becoming widespread, and the role of continuing education is growing. The purpose of the research is to identify and justify system-wide trends in the renewal of European education. The main task of this research is to determine the mechanisms and characterize the orientation of the renewal of the European education system under the conditions of internationalization and globalization. The methodological basis of the research consists of: the general scientific principle of objectivity; the principle of historical and logical unity; systemic and contextual approach, principle of interconnection; sociological, cultural and pedagogical concepts. It is determined that today the European Union is one of the world leaders in research and innovation. It is scientific knowledge, experience, high standards of the research, developed research infrastructure that guarantee many years of successful cooperation between the EU and other countries. At the present </w:t>
      </w:r>
    </w:p>
    <w:p>
      <w:pPr/>
      <w:r>
        <w:rPr>
          <w:b/>
        </w:rPr>
        <w:t>POSSIBLE 2023:</w:t>
      </w:r>
      <w:r>
        <w:t xml:space="preserve"> A Review of Herbal Regulations and Approval Process in India and Europe — https://doi.org/10.22270/ijdra.v11i4.629</w:t>
      </w:r>
    </w:p>
    <w:p>
      <w:pPr/>
      <w:r>
        <w:rPr>
          <w:b/>
        </w:rPr>
        <w:t>Shared claim-specific concepts:</w:t>
      </w:r>
      <w:r>
        <w:t xml:space="preserve"> since, main, they; EU scope visible. This is a provisional connection, not an outcome finding.</w:t>
      </w:r>
    </w:p>
    <w:p>
      <w:pPr>
        <w:pStyle w:val="SourceNote"/>
      </w:pPr>
      <w:r>
        <w:rPr>
          <w:b/>
        </w:rPr>
        <w:t>Available abstract (not full text):</w:t>
      </w:r>
      <w:r>
        <w:t xml:space="preserve"> The main suppliers of herbal plants and medications are India and Europe. People prefer using plants and herbs as remedies over synthetic ones since they have fewer adverse effects. In India, AYUSH, CDSCO (Central Drugs Standard Control Organization), AND D&amp;C Act 1940 &amp; 1945(amendment) all control herbal medications. In India, AYUSH systems have been developed to house almost 8000 herbal medications. While in Europe, the European Medicines Agency (EMA) and the Herbal Medicinal Products Committee (HMPC) are in charge of overseeing herbal medications. The regulation of herbal goods in India and Europe is the subject of this essay.</w:t>
      </w:r>
    </w:p>
    <w:p>
      <w:pPr/>
      <w:r>
        <w:rPr>
          <w:b/>
        </w:rPr>
        <w:t>POSSIBLE 2022:</w:t>
      </w:r>
      <w:r>
        <w:t xml:space="preserve"> Seropositivity of main vector-borne pathogens in dogs across Europe — https://doi.org/10.1186/s13071-022-05316-5</w:t>
      </w:r>
    </w:p>
    <w:p>
      <w:pPr/>
      <w:r>
        <w:rPr>
          <w:b/>
        </w:rPr>
        <w:t>Shared claim-specific concepts:</w:t>
      </w:r>
      <w:r>
        <w:t xml:space="preserve"> main, identify; EU scope visible. This is a provisional connection, not an outcome finding.</w:t>
      </w:r>
    </w:p>
    <w:p>
      <w:pPr>
        <w:pStyle w:val="SourceNote"/>
      </w:pPr>
      <w:r>
        <w:rPr>
          <w:b/>
        </w:rPr>
        <w:t>Available abstract (not full text):</w:t>
      </w:r>
      <w:r>
        <w:t xml:space="preserve"> BACKGROUND: Canine vector-borne disease (CVBD) has been an area of increasing interest in Europe over the last few decades, and there have been changes in the prevalence and distribution of many of these diseases. Monitoring CVBD infections in Europe is often done by individual countries, but aggregated data for the European countries are helpful to understand the distribution of CVBDs. METHODS: We used an extensive retrospective database of results from point-of-care rapid enzyme-linked immunosorbent assay (ELISA) tests on dogs across Europe to identify distribution and seropositivity in animals tested for selected CVBDs (Anaplasma spp., Ehrlichia spp., Borrelia burgdorferi, Leishmania spp., and Dirofilaria immitis) from 2016 through 2020. Geographic distribution of positive tests and relative percent positive values were mapped by the Nomenclature of Territorial Units for Statistics classification for regions with sufficient test results for reporting. RESULTS: A total of 404,617 samples corresponding to 1,134,648 canine results were available from dogs tested in 35 countries over the 5-year study period. Over this period the number of test results per year increased whereas test positivity decreased. Leishmania spp. had the largest increase in total test results from 25,000 results in 2016 to over 60,000 results in 2020. Test positivity for Leishmania spp. fell from 13.9% in</w:t>
      </w:r>
    </w:p>
    <w:p>
      <w:pPr/>
      <w:r>
        <w:rPr>
          <w:b/>
        </w:rPr>
        <w:t>POSSIBLE 2021:</w:t>
      </w:r>
      <w:r>
        <w:t xml:space="preserve"> The European Union's fishing activity outside of European waters and the Sustainable Development Goals — https://doi.org/10.1111/faf.12533</w:t>
      </w:r>
    </w:p>
    <w:p>
      <w:pPr/>
      <w:r>
        <w:rPr>
          <w:b/>
        </w:rPr>
        <w:t>Shared claim-specific concepts:</w:t>
      </w:r>
      <w:r>
        <w:t xml:space="preserve"> goals, identify; EU scope visible. This is a provisional connection, not an outcome finding.</w:t>
      </w:r>
    </w:p>
    <w:p>
      <w:pPr>
        <w:pStyle w:val="SourceNote"/>
      </w:pPr>
      <w:r>
        <w:rPr>
          <w:b/>
        </w:rPr>
        <w:t>Available abstract (not full text):</w:t>
      </w:r>
      <w:r>
        <w:t xml:space="preserve"> Abstract The EU's fishing fleet engages in extensive fishing activities in the Exclusive Economic Zones of non‐EU countries as well as in areas beyond national jurisdiction. These activities are regulated by an external dimension in the EU's Common Fisheries Policy (CFP). We review the relationship between the CFP, including regulations for the Sustainable Management of External Fishing Fleets (SMEFF) and the role of Sustainable Fisheries Partnership Agreements (SFPAs) and Regional Fisheries Management Organisations (RFMOs), and the internationally agreed aims and definitions of sustainability provided by the United Nations Sustainable Development Goals (SDGs). The SDG that most directly relates to fish and fisheries is goal 14, to "conserve and sustainably use the oceans." This paper, however, focuses on relationships between the CFP and SDGs that target social and economic dimensions, including those aiming to eliminate poverty (1) and hunger (2), improve health (3), provide decent work and economic growth (8), and achieve gender equality (5) and peaceful institutions (16). We identify several areas where the EU's external fishing fleet interacts with different facets of those goals, and suggest some important improvements that can be made to support the development of the EU’s external fleet into a contributor, rather than counterforce, to sustainable development in line wit</w:t>
      </w:r>
    </w:p>
    <w:p>
      <w:pPr/>
      <w:r>
        <w:rPr>
          <w:b/>
        </w:rPr>
        <w:t>POSSIBLE 2021:</w:t>
      </w:r>
      <w:r>
        <w:t xml:space="preserve"> Alignment of the European Green Deal, the Sustainable Development Goals and the European Semester Process: Method and Application — https://doi.org/10.4236/tel.2021.114049</w:t>
      </w:r>
    </w:p>
    <w:p>
      <w:pPr/>
      <w:r>
        <w:rPr>
          <w:b/>
        </w:rPr>
        <w:t>Shared claim-specific concepts:</w:t>
      </w:r>
      <w:r>
        <w:t xml:space="preserve"> main, goals, after, taken; EU scope visible. This is a provisional connection, not an outcome finding.</w:t>
      </w:r>
    </w:p>
    <w:p>
      <w:pPr>
        <w:pStyle w:val="SourceNote"/>
      </w:pPr>
      <w:r>
        <w:rPr>
          <w:b/>
        </w:rPr>
        <w:t>Available abstract (not full text):</w:t>
      </w:r>
      <w:r>
        <w:t xml:space="preserve"> The Agenda 2030 with its 17 Sustainable Development Goals (SDGs) along with the European Green Deal and its 9 Policy Areas, are the key strategic frameworks for the transformation of Europe into a climate-neutral continent in the future decades. Thus, the mandates derived from these contexts must be taken into consideration by the European countries. This report aims to suggest a methodology for the co-integration of the Sustainable Development Goals (SDGs) and the European Green Deal (EGD), with the Country-specific recommendations (CSRs) made by the European Commission as part of the Semester process. At the same time, all these should be aligned with the EU Recovery Plan, to supply applicable strategies to the European policymakers and strengthen the national recovery Plans of the Member States, which are driven by the above-mentioned EU-driven packs, in line with the superior UN Agenda for the Sustainable Development. For the alignment of CSRs, the SDGs, and the EGD a 3D-mapping approach is proposed. After the Introduction in Section 1, the framework of the applicable Policies is presented in Section 2 and our Methodology is described in Section 3. In Section 4 our results are demonstrated for the EU and in Section 5 the main conclusions are listed along with a discussion for future directions. Our analysis shows that overall, the EU has sufficiently incorporated the SDGs i</w:t>
      </w:r>
    </w:p>
    <w:p>
      <w:pPr>
        <w:pStyle w:val="Heading2"/>
      </w:pPr>
      <w:r>
        <w:t>841. Pathways to Deep Decarbonization in Italy</w:t>
      </w:r>
    </w:p>
    <w:p>
      <w:pPr>
        <w:pStyle w:val="SourceNote"/>
      </w:pPr>
      <w:r>
        <w:rPr>
          <w:b/>
        </w:rPr>
        <w:t>Original source (2016):</w:t>
      </w:r>
      <w:r>
        <w:t xml:space="preserve"> https://doi.org/10.22004/ag.econ.230582</w:t>
      </w:r>
    </w:p>
    <w:p>
      <w:pPr/>
      <w:r>
        <w:t>Original wording (abstract; indexed_source_text_not_full_document_verified): These 16 countries are: Australia, Brazil, Canada, China, France, Germany, India, Indonesia, Italy, Japan, Mexico, Russia, South Africa, South Korea, the United Kingdom, and the United States. “Pathways to Deep Carbonization in Italy” contributes to the national debate on climate-change mitigation, and the importance of deep decarbonization, by examining three alternative pathways that could reduce Italian CO2 emissions by at least 40% in 2030 and 80% in 2050, compared to 1990. It analyzes the challenges the Italian energy system faces, and possible future technological developments that will need to be pursued.</w:t>
      </w:r>
    </w:p>
    <w:p>
      <w:pPr/>
      <w:r>
        <w:rPr>
          <w:b/>
        </w:rPr>
        <w:t>POSSIBLE 2026:</w:t>
      </w:r>
      <w:r>
        <w:t xml:space="preserve"> BOOK REVIEW: OPEN AND DISTANCE EDUCATION IN AUSTRALIA, EUROPE AND THE AMERICAS: NATIONAL PERSPECTIVES IN A DIGITAL AGE — https://openalex.org/W7167292450</w:t>
      </w:r>
    </w:p>
    <w:p>
      <w:pPr/>
      <w:r>
        <w:rPr>
          <w:b/>
        </w:rPr>
        <w:t>Shared claim-specific concepts:</w:t>
      </w:r>
      <w:r>
        <w:t xml:space="preserve"> australia, brazil, canada, germany, united, kingdom; EU scope visible. This is a provisional connection, not an outcome finding.</w:t>
      </w:r>
    </w:p>
    <w:p>
      <w:pPr>
        <w:pStyle w:val="SourceNote"/>
      </w:pPr>
      <w:r>
        <w:rPr>
          <w:b/>
        </w:rPr>
        <w:t>Available abstract (not full text):</w:t>
      </w:r>
      <w:r>
        <w:t xml:space="preserve"> This book review examines Open and Distance Education in Australia, Europe and the Americas: National Perspectives in a Digital Age, edited by Adnan Qayyum and Olaf Zawacki-Richter, offers a comparative analysis of open and distance education within diverse national higher education systems. Moving beyond technology-centered explanations, the book situates distance education within historical, political, regulatory, and socio-economic contexts. Through country-based chapters covering Brazil, Canada, Germany, the United Kingdom, and the United States, the volumes illustrate how open and distance education has evolved from marginal and experimental practices into institutionally recognized—though unevenly integrated—components of higher education. The book highlights differing governance structures, public–private dynamics, quality assurance mechanisms, and policy frameworks shaping digital and distance learning across regions. By foregrounding national trajectories rather than universal models, the work contributes to a nuanced understanding of digital transformation in higher education. Overall, the book provides a valuable resource for researchers, policymakers, and practitioners seeking to understand the structural conditions, opportunities, and limitations of open and distance education in a global yet nationally embedded context.</w:t>
      </w:r>
    </w:p>
    <w:p>
      <w:pPr/>
      <w:r>
        <w:rPr>
          <w:b/>
        </w:rPr>
        <w:t>POSSIBLE 2026:</w:t>
      </w:r>
      <w:r>
        <w:t xml:space="preserve"> Cellular agriculture in the media: newspaper coverage in Australia, Brazil, Germany, and India — https://doi.org/10.5194/gh-81-255-2026</w:t>
      </w:r>
    </w:p>
    <w:p>
      <w:pPr/>
      <w:r>
        <w:rPr>
          <w:b/>
        </w:rPr>
        <w:t>Shared claim-specific concepts:</w:t>
      </w:r>
      <w:r>
        <w:t xml:space="preserve"> countries, australia, brazil, germany, india; EU scope visible. This is a provisional connection, not an outcome finding.</w:t>
      </w:r>
    </w:p>
    <w:p>
      <w:pPr>
        <w:pStyle w:val="SourceNote"/>
      </w:pPr>
      <w:r>
        <w:rPr>
          <w:b/>
        </w:rPr>
        <w:t>Available abstract (not full text):</w:t>
      </w:r>
      <w:r>
        <w:t xml:space="preserve"> Cellular agriculture (CellAg) emerges as a technology aiming to address critical issues within the food system by offering an alternative to conventional meat. The dissemination of information about it to non-scientific communities faces challenges regarding the translation of complex technical developments, with the public reliant on the coverage from media outlets. We developed a collaborative approach to contribute to this discussion, focusing on four cases: Brazil, India, Australia, and Germany. Newspapers from these countries were analyzed using a qualitative content analysis and a subsequent joint interpretation. A major finding was the striking similarity in the main topics covered by the media in the studied countries. In addition, a large proportion of newspaper articles adopted a positive and market-oriented perspective. Germany stands out for its emphasis on research and development news. Australia is characterized by its focus on market and consumption elements. India is notable for its prioritization of food security. Brazil highlights market factors and brings to light concerns about market barriers. The results deserve further studies as they reveal that societies across geographical areas are receiving mostly superficial positive news instead of perspectives with higher-quality analyses of all impacts that may occur.</w:t>
      </w:r>
    </w:p>
    <w:p>
      <w:pPr/>
      <w:r>
        <w:rPr>
          <w:b/>
        </w:rPr>
        <w:t>POSSIBLE 2025:</w:t>
      </w:r>
      <w:r>
        <w:t xml:space="preserve"> The Brazilian and Australian political-institutional scenario concerning water resources management — https://doi.org/10.5585/2025.25216</w:t>
      </w:r>
    </w:p>
    <w:p>
      <w:pPr/>
      <w:r>
        <w:rPr>
          <w:b/>
        </w:rPr>
        <w:t>Shared claim-specific concepts:</w:t>
      </w:r>
      <w:r>
        <w:t xml:space="preserve"> countries, australia, brazil, states; EU scope not established. This is a provisional connection, not an outcome finding.</w:t>
      </w:r>
    </w:p>
    <w:p>
      <w:pPr>
        <w:pStyle w:val="SourceNote"/>
      </w:pPr>
      <w:r>
        <w:rPr>
          <w:b/>
        </w:rPr>
        <w:t>Available abstract (not full text):</w:t>
      </w:r>
      <w:r>
        <w:t xml:space="preserve"> Aim: This research aims to analytically compare the functioning of the institutional procedures concerning water resources management in Brazil and Australia. Method: Through a literature review and document analysis, this paper presents a characterization of the Brazilian and Australian political-institutional water management scenarios based on both direct and indirect information sources. It then compares the institutional processes of these two countries using a SWOT matrix analysis, highlighting their strengths, weaknesses, opportunities, and threats. Novelty/Relevance: This research seeks to fill a scientific information gap by examining how actors in both developing and developed countries' influence decision-making toward more sustainable environmental management, using water management as a case study. Results: The results show that both countries have legislation prescribing decentralized and participatory decision-making processes. However, the implementation of this legislation does not guarantee democratic management of hydric resources. Moreover, the stages and scopes of legislative implementation and execution differ between Brazil and Australia. The Brazilian institutional scenario demonstrates a weaker capacity for implementing and enforcing water legislation compared to Australia, where a more developed water management system exists, and society shows greater</w:t>
      </w:r>
    </w:p>
    <w:p>
      <w:pPr/>
      <w:r>
        <w:rPr>
          <w:b/>
        </w:rPr>
        <w:t>POSSIBLE 2024:</w:t>
      </w:r>
      <w:r>
        <w:t xml:space="preserve"> THE RELEVANCE OF THE BRAZILIAN AMAZON FOR THE RELATIONSHIP BETWEEN BRAZIL AND THE EUROPEAN UNION — https://openalex.org/W7119374139</w:t>
      </w:r>
    </w:p>
    <w:p>
      <w:pPr/>
      <w:r>
        <w:rPr>
          <w:b/>
        </w:rPr>
        <w:t>Shared claim-specific concepts:</w:t>
      </w:r>
      <w:r>
        <w:t xml:space="preserve"> countries, brazil, national; EU scope visible. This is a provisional connection, not an outcome finding.</w:t>
      </w:r>
    </w:p>
    <w:p>
      <w:pPr>
        <w:pStyle w:val="SourceNote"/>
      </w:pPr>
      <w:r>
        <w:rPr>
          <w:b/>
        </w:rPr>
        <w:t>Available abstract (not full text):</w:t>
      </w:r>
      <w:r>
        <w:t xml:space="preserve"> There is plentiful scientific literature about the importance of the Amazon Forest to climate regulation and biological diversity drawing from analytical frameworks such as the Anthropocene, “planetary boundaries” and “Earth System Governance”. In the Brazilian case, the forest is part of the Legal Amazon region, which comprises other biomes also threatened by the recent and predatory expansion of the agricultural frontiers, as well as other illegal activities. They violate the rights of more than thirty-eight million local inhabitants, especially indigenous communities (Fellows et al, 2023). In this context, we raise the question: how is the Legal Amazon important for the relationship between Brasilia and Brussels? We contend Brazilians keep the national approach on the Legal Amazon, while the Europeans have a more global view, but focusing on the forest. From an international political economy perspective, the two tipping points chosen were the signature of the trade agreement between the European Union (EU) and Brazil in 2019, and the European Regulation on Deforestation-free products of 2022. In this context of valorization of the standing forest and the ecosystem services it provides, this article aims to analyse the relevance of the Legal Amazon to the relationship between the EU and Brazil, based on the concept of “deforestation-free value chains”, which is the basis of </w:t>
      </w:r>
    </w:p>
    <w:p>
      <w:pPr/>
      <w:r>
        <w:rPr>
          <w:b/>
        </w:rPr>
        <w:t>POSSIBLE 2024:</w:t>
      </w:r>
      <w:r>
        <w:t xml:space="preserve"> Engagement of European Countries in the Implementation of the US Indo-Pacific Strategy (Part 2) — https://doi.org/10.22394/1726-1139-2023-12-9-33</w:t>
      </w:r>
    </w:p>
    <w:p>
      <w:pPr/>
      <w:r>
        <w:rPr>
          <w:b/>
        </w:rPr>
        <w:t>Shared claim-specific concepts:</w:t>
      </w:r>
      <w:r>
        <w:t xml:space="preserve"> countries, australia, china, france, germany, russia; EU scope visible. This is a provisional connection, not an outcome finding.</w:t>
      </w:r>
    </w:p>
    <w:p>
      <w:pPr>
        <w:pStyle w:val="SourceNote"/>
      </w:pPr>
      <w:r>
        <w:rPr>
          <w:b/>
        </w:rPr>
        <w:t>Available abstract (not full text):</w:t>
      </w:r>
      <w:r>
        <w:t xml:space="preserve"> Globalization has contributed to the development of economic relations between Europe and the Indo-Pacific. However, after 2011 they were influenced by the American “pivot to Asia” and the shift of US attention from countering international terrorism to rivalry with the “revisionist” powers — Russia and China. In 2019, with the adoption of the US Indo-Pacific Strategy, China became their main regional rival. The rivalry with him provided for the Americans to unite their Asian allies in a network of managed formal alliances, as well as to connect Great Britain and France to solving strategic tasks. On February 11, 2022, a new Indo-Pacific strategy of the United States appeared. This document emphasized the strategic value and increasing role of Great Britain, France, the EU and NATO in Indo-Pacific and set the task of building bridges between the Indo-Pacific and Euro-Atlantic regions. The main role in its solution was assigned to AUKUS, a trilateral military alliance of the United States, Great Britain and Australia, created on September 15, 2021. At about the same time, France, Germany, the Netherlands and the European Union approved their own strategies in Indo-Pacific. They had in common an unwillingness to see China as the main opponent in the context of the US-Chinese rivalry. At the same time, the documents did not indicate that Europe was equidistant from global rivals. </w:t>
      </w:r>
    </w:p>
    <w:p>
      <w:pPr/>
      <w:r>
        <w:rPr>
          <w:b/>
        </w:rPr>
        <w:t>POSSIBLE 2023:</w:t>
      </w:r>
      <w:r>
        <w:t xml:space="preserve"> Cross-cultural Communication of Traditional Chinese Medicine under the Background of the Belt and Road Initiative —A Case Study of Central and Eastern European countries — https://doi.org/10.22158/jecs.v7n4p25</w:t>
      </w:r>
    </w:p>
    <w:p>
      <w:pPr/>
      <w:r>
        <w:rPr>
          <w:b/>
        </w:rPr>
        <w:t>Shared claim-specific concepts:</w:t>
      </w:r>
      <w:r>
        <w:t xml:space="preserve"> countries, australia, canada, france, japan, united; EU scope visible. This is a provisional connection, not an outcome finding.</w:t>
      </w:r>
    </w:p>
    <w:p>
      <w:pPr>
        <w:pStyle w:val="SourceNote"/>
      </w:pPr>
      <w:r>
        <w:rPr>
          <w:b/>
        </w:rPr>
        <w:t>Available abstract (not full text):</w:t>
      </w:r>
      <w:r>
        <w:t xml:space="preserve"> With the effective implementation of the Belt and Road Initiative, Chinese culture has been accepted by more and more Central and Eastern European countries, and has further promoted political, economic and cultural exchanges and cooperation among these countries. As an important part of Chinese culture, traditional Chinese medicine (TCM) has become a channel of cultural exchange, and has been paid more and more attention. However, in general, the development and scale of traditional Chinese medicine in central and Eastern Europe are far smaller than that of the United States, Canada and Japan, and Australia as well as Western European countries, such as the United Kingdom, France and the Netherlands. Therefore, it is necessary to promote traditional Chinese medicine to CEE in order to further spread traditional Chinese medicine culture and open up more opportunities for cooperation.</w:t>
      </w:r>
    </w:p>
    <w:p>
      <w:pPr/>
      <w:r>
        <w:rPr>
          <w:b/>
        </w:rPr>
        <w:t>POSSIBLE 2023:</w:t>
      </w:r>
      <w:r>
        <w:t xml:space="preserve"> Engagement of European Countries in the Implementation of the US Indo-Pacific Strategy (Part 1) — https://doi.org/10.22394/1726-1139-2023-11-25-45</w:t>
      </w:r>
    </w:p>
    <w:p>
      <w:pPr/>
      <w:r>
        <w:rPr>
          <w:b/>
        </w:rPr>
        <w:t>Shared claim-specific concepts:</w:t>
      </w:r>
      <w:r>
        <w:t xml:space="preserve"> countries, australia, china, france, germany, russia; EU scope visible. This is a provisional connection, not an outcome finding.</w:t>
      </w:r>
    </w:p>
    <w:p>
      <w:pPr>
        <w:pStyle w:val="SourceNote"/>
      </w:pPr>
      <w:r>
        <w:rPr>
          <w:b/>
        </w:rPr>
        <w:t>Available abstract (not full text):</w:t>
      </w:r>
      <w:r>
        <w:t xml:space="preserve"> Globalization has contributed to the development of economic relations between Europe and the Indo-Pacific. However, after 2011 they were influenced by the American “pivot to Asia” and the shift of US attention from countering international terrorism to rivalry with the “revisionist” powers — Russia and China. In 2019, with the adoption of the US Indo-Pacific Strategy, China became their main regional rival. The rivalry with him provided for the Americans to unite their Asian allies in a network of managed formal alliances, as well as to connect Great Britain and France to solving strategic tasks. On February 11, 2022, a new Indo-Pacific strategy of the United States appeared. This document emphasized the strategic value and increasing role of Great Britain, France, the EU and NATO in Indo-Pacific and set the task of building bridges between the Indo-Pacific and Euro-Atlantic regions. The main role in its solution was assigned to AUKUS, a trilateral military alliance of the United States, Great Britain and Australia, created on September 15, 2021. At about the same time, France, Germany, the Netherlands and the European Union approved their own strategies in Indo-Pacific. They had in common an unwillingness to see China as the main opponent in the context of the US-Chinese rivalry. At the same time, the documents did not indicate that Europe was equidistant from global rivals. </w:t>
      </w:r>
    </w:p>
    <w:p>
      <w:pPr/>
      <w:r>
        <w:rPr>
          <w:b/>
        </w:rPr>
        <w:t>POSSIBLE 2022:</w:t>
      </w:r>
      <w:r>
        <w:t xml:space="preserve"> Systematic literature review and meta-analysis of the prevalence of secondary progressive multiple sclerosis in the USA, Europe, Canada, Australia, and Brazil — https://doi.org/10.1186/s12883-022-02820-0</w:t>
      </w:r>
    </w:p>
    <w:p>
      <w:pPr/>
      <w:r>
        <w:rPr>
          <w:b/>
        </w:rPr>
        <w:t>Shared claim-specific concepts:</w:t>
      </w:r>
      <w:r>
        <w:t xml:space="preserve"> countries, australia, brazil, canada, united, states; EU scope visible. This is a provisional connection, not an outcome finding.</w:t>
      </w:r>
    </w:p>
    <w:p>
      <w:pPr>
        <w:pStyle w:val="SourceNote"/>
      </w:pPr>
      <w:r>
        <w:rPr>
          <w:b/>
        </w:rPr>
        <w:t>Available abstract (not full text):</w:t>
      </w:r>
      <w:r>
        <w:t xml:space="preserve"> BACKGROUND: Secondary progressive multiple sclerosis (SPMS) is a subtype of multiple sclerosis (MS), which is a chronic neurological disease, characterised by inflammation of the central nervous system. Most of MS patients eventually progress to SPMS. This study estimates the prevalence of SPMS in the United States of America, Europe, Canada, Australia, and Brazil. METHODS: A systematic literature search of the Medline and Embase databases was performed using the OVID™ SP platform to identify MS epidemiological studies published in English from database inception to September 22, 2020. Studies reporting the prevalence of MS and proportion of SPMS patients in the included population were selected. The pooled prevalence of SPMS was calculated based on the proportion of SPMS patients. The Loney quality assessment checklist was used for quality grading. A meta-analysis of the proportions was conducted in RStudio. RESULTS: A total of 4754 articles were retrieved, and prevalence was calculated from 97 relevant studies. Overall, 86 medium- and high-quality studies were included in the meta-analysis. Most studies were conducted in European countries (84 studies). The estimated pooled prevalence of SPMS was 22.42 (99% confidence interval: 18.30, 26.95)/100,000. The prevalence of SPMS was more in the North European countries, highest in Sweden and lowest in Brazil. A decline in SPMS prev</w:t>
      </w:r>
    </w:p>
    <w:p>
      <w:pPr/>
      <w:r>
        <w:rPr>
          <w:b/>
        </w:rPr>
        <w:t>POSSIBLE 2022:</w:t>
      </w:r>
      <w:r>
        <w:t xml:space="preserve"> Potential Distribution of and Sensitivity Analysis for Urochloa panicoides Weed Using Modeling: An Implication of Invasion Risk Analysis for China and Europe — https://doi.org/10.3390/plants11131761</w:t>
      </w:r>
    </w:p>
    <w:p>
      <w:pPr/>
      <w:r>
        <w:rPr>
          <w:b/>
        </w:rPr>
        <w:t>Shared claim-specific concepts:</w:t>
      </w:r>
      <w:r>
        <w:t xml:space="preserve"> countries, australia, brazil, china, india, mexico; EU scope visible. This is a provisional connection, not an outcome finding.</w:t>
      </w:r>
    </w:p>
    <w:p>
      <w:pPr>
        <w:pStyle w:val="SourceNote"/>
      </w:pPr>
      <w:r>
        <w:rPr>
          <w:b/>
        </w:rPr>
        <w:t>Available abstract (not full text):</w:t>
      </w:r>
      <w:r>
        <w:t xml:space="preserve"> Urochloapanicoides P. Beauv. is considered one of the most harmful weeds in the United States and Australia. It is invasive in Pakistan, Mexico, and Brazil, but its occurrence is hardly reported in China and European countries. Species distribution models enable the measurement of the impact of climate change on plant growth, allowing for risk analysis, effective management, and invasion prevention. The objective of this study was to develop current and future climate models of suitable locations for U. panicoides and to determine the most influential climatic parameters. Occurrence data and biological information on U. panicoides were collected, and climatic parameters were used to generate the Ecoclimatic Index (EI) and to perform sensitivity analysis. The future projections for 2050, 2080, and 2100 were modeled under the A2 SRES scenario using the Global Climate Model, CSIRO-Mk3.0 (CS). The potential distribution of U. panicoides coincided with the data collected, and the reliability of the final model was demonstrated. The generated model identified regions where the occurrence was favorable, despite few records of the species. Sensitivity analysis showed that the most sensitive parameters of the model were related to temperature, humidity, and cold stress. Future projections predict reductions in climate suitability for U. panicoides in Brazil, Australia, India, and Africa</w:t>
      </w:r>
    </w:p>
    <w:p>
      <w:pPr/>
      <w:r>
        <w:rPr>
          <w:b/>
        </w:rPr>
        <w:t>POSSIBLE 2021:</w:t>
      </w:r>
      <w:r>
        <w:t xml:space="preserve"> Relevant aspects of carbon storage activities’ liability in paradigmatic countries: Australia, Brazil, Canada, European Union, Japan, Norway, United Kingdom, and United States — https://doi.org/10.1016/b978-0-323-85250-0.00013-x</w:t>
      </w:r>
    </w:p>
    <w:p>
      <w:pPr/>
      <w:r>
        <w:rPr>
          <w:b/>
        </w:rPr>
        <w:t>Shared claim-specific concepts:</w:t>
      </w:r>
      <w:r>
        <w:t xml:space="preserve"> countries, australia, brazil, canada, japan, united; EU scope visible. This is a provisional connection, not an outcome finding.</w:t>
      </w:r>
    </w:p>
    <w:p>
      <w:pPr>
        <w:pStyle w:val="SourceNote"/>
      </w:pPr>
      <w:r>
        <w:rPr>
          <w:b/>
        </w:rPr>
        <w:t>Available abstract (not full text):</w:t>
      </w:r>
      <w:r>
        <w:t xml:space="preserve"> Unavailable</w:t>
      </w:r>
    </w:p>
    <w:p>
      <w:pPr/>
      <w:r>
        <w:rPr>
          <w:b/>
        </w:rPr>
        <w:t>POSSIBLE 2021:</w:t>
      </w:r>
      <w:r>
        <w:t xml:space="preserve"> Comparison of Prices and Affordability of Cancer Medicines in 16 Countries in Europe and Latin America — https://doi.org/10.1007/s40258-021-00670-4</w:t>
      </w:r>
    </w:p>
    <w:p>
      <w:pPr/>
      <w:r>
        <w:rPr>
          <w:b/>
        </w:rPr>
        <w:t>Shared claim-specific concepts:</w:t>
      </w:r>
      <w:r>
        <w:t xml:space="preserve"> countries, brazil, france, germany, mexico, national; EU scope visible. This is a provisional connection, not an outcome finding.</w:t>
      </w:r>
    </w:p>
    <w:p>
      <w:pPr>
        <w:pStyle w:val="SourceNote"/>
      </w:pPr>
      <w:r>
        <w:rPr>
          <w:b/>
        </w:rPr>
        <w:t>Available abstract (not full text):</w:t>
      </w:r>
      <w:r>
        <w:t xml:space="preserve"> BACKGROUND: There are concerns that high prices of cancer medicines may limit patient access. Since information on prices for cancer medicines and their impact on affordability is lacking for several countries, particularly for lower income countries, this study surveys prices of originator cancer medicines in Europe and Latin America and assesses their affordability. METHODS: For 19 cancer medicines, public procurement and ex-factory prices, as of 2017, were surveyed in five Latin American (LATAM) countries (Brazil, Chile, Colombia, Mexico, and Peru) and 11 European countries (Austria, France, Germany, Greece, Hungary, the Netherlands, Poland, Romania, Spain, Sweden, and the UK). Price data (public procurement prices in LATAM and ex-factory prices in Europe) in US dollar purchasing power parities (PPP) were analyzed per defined daily dose. Affordability was measured by setting medicines prices in relation to national minimum wages. RESULTS: The prices of cancer medicines varied considerably between countries. In European countries with higher levels of income, PPP-adjusted prices tended to be lower than in European countries of lower income and LATAM countries. Except for one medicine, all surveyed medicines were considered unaffordable in most countries. In European countries of lower income and LATAM countries, more than 15 days' worth of minimum wages would be required by a</w:t>
      </w:r>
    </w:p>
    <w:p>
      <w:pPr/>
      <w:r>
        <w:rPr>
          <w:b/>
        </w:rPr>
        <w:t>POSSIBLE 2021:</w:t>
      </w:r>
      <w:r>
        <w:t xml:space="preserve"> Clinical practices related to high-flow nasal cannulas in pediatric critical care in Brazil compared to other countries: a Brazilian survey — https://doi.org/10.5935/0103-507x.20210055</w:t>
      </w:r>
    </w:p>
    <w:p>
      <w:pPr/>
      <w:r>
        <w:rPr>
          <w:b/>
        </w:rPr>
        <w:t>Shared claim-specific concepts:</w:t>
      </w:r>
      <w:r>
        <w:t xml:space="preserve"> countries, australia, brazil, canada, india, south; EU scope visible. This is a provisional connection, not an outcome finding.</w:t>
      </w:r>
    </w:p>
    <w:p>
      <w:pPr>
        <w:pStyle w:val="SourceNote"/>
      </w:pPr>
      <w:r>
        <w:rPr>
          <w:b/>
        </w:rPr>
        <w:t>Available abstract (not full text):</w:t>
      </w:r>
      <w:r>
        <w:t xml:space="preserve"> OBJECTIVE: To describe current clinical practices related to the use of high-flow nasal cannula therapy by Brazilian pediatric intensivists and compare them with those in other countries. METHODS: A questionnaire was administered to pediatric intensivists in North and South America, Asia, Europe, and Australia/New Zealand for the main study. We compared the Brazilian cohort with cohorts in the United States of America, Canada, the United Kingdom, and India. RESULTS: Overall, 501 physicians responded, 127 of which were in Brazil. Only 63.8% of respondents in Brazil had a high-flow nasal cannula available, in contrast to 100% of respondents in the United Kingdom, Canada, and the United States. The attending physician was responsible for the decision to start a high-flow nasal cannula according to 61.2% respondents in Brazil, 95.5% in the United Kingdom, 96.6% in the United States, 96.8% in Canada, and 84.7% in India. A total of 62% of respondents in Brazil, 96.3% in the United Kingdom, 96.6% in the United States, 96.8% in Canada, and 84.7% in India reported that the attending physician was responsible for the decision to wean or modify the high-flow nasal cannula settings. When high-flow nasal cannula therapy failed due to respiratory distress/failure, 82% of respondents in Brazil would consider a trial of noninvasive ventilation before endotracheal intubation, compared to 93% in</w:t>
      </w:r>
    </w:p>
    <w:p>
      <w:pPr>
        <w:pStyle w:val="Heading2"/>
      </w:pPr>
      <w:r>
        <w:t>842. Possible Futures towards a Wood-Based Bioeconomy: A Scenario Analysis for Germany</w:t>
      </w:r>
    </w:p>
    <w:p>
      <w:pPr>
        <w:pStyle w:val="SourceNote"/>
      </w:pPr>
      <w:r>
        <w:rPr>
          <w:b/>
        </w:rPr>
        <w:t>Original source (2016):</w:t>
      </w:r>
      <w:r>
        <w:t xml:space="preserve"> https://doi.org/10.3390/su8010098</w:t>
      </w:r>
    </w:p>
    <w:p>
      <w:pPr/>
      <w:r>
        <w:t>Original wording (abstract; indexed_source_text_not_full_document_verified): Driven by the growing awareness of the finite nature of fossil raw materials and the need for sustainable pathways of industrial production, the bio-based economy is expected to expand worldwide. We conclude that the wood-based bioeconomy has a certain potential to develop further, if adequate political framework conditions are implemented and meet voter support, if consumers exhibit an enhanced willingness to pay for bio-based products, and if among companies, a chance-oriented advocacy coalition of bioeconomy supporters dominates over proponents of fossil pathways.</w:t>
      </w:r>
    </w:p>
    <w:p>
      <w:pPr/>
      <w:r>
        <w:rPr>
          <w:b/>
        </w:rPr>
        <w:t>POSSIBLE 2025:</w:t>
      </w:r>
      <w:r>
        <w:t xml:space="preserve"> Europe Lawn Care Products Market Overview — https://doi.org/10.5281/zenodo.17897377</w:t>
      </w:r>
    </w:p>
    <w:p>
      <w:pPr/>
      <w:r>
        <w:rPr>
          <w:b/>
        </w:rPr>
        <w:t>Shared claim-specific concepts:</w:t>
      </w:r>
      <w:r>
        <w:t xml:space="preserve"> driven, growing, awareness, sustainable; EU scope visible. This is a provisional connection, not an outcome finding.</w:t>
      </w:r>
    </w:p>
    <w:p>
      <w:pPr>
        <w:pStyle w:val="SourceNote"/>
      </w:pPr>
      <w:r>
        <w:rPr>
          <w:b/>
        </w:rPr>
        <w:t>Available abstract (not full text):</w:t>
      </w:r>
      <w:r>
        <w:t xml:space="preserve"> The Europe Lawn Care Products Market was valued at USD 11.53 billion in 2023 and is projected to reach USD 17.46 billion by 2030, growing at a CAGR of 5.7%. Demand is driven by rising homeowner interest in outdoor aesthetics, increased urbanization, and growing awareness of lawn health. Consumers are also leaning toward organic and eco-friendly products, boosting innovation in sustainable lawn care solutions. For more information visit: https://www.nextmsc.com/report/europe-lawn-care-products-market</w:t>
      </w:r>
    </w:p>
    <w:p>
      <w:pPr/>
      <w:r>
        <w:rPr>
          <w:b/>
        </w:rPr>
        <w:t>POSSIBLE 2025:</w:t>
      </w:r>
      <w:r>
        <w:t xml:space="preserve"> Europe Electric Vehicle Charging Market: Accelerating Infrastructure for a Sustainable Mobility Future — https://doi.org/10.5281/zenodo.18081601</w:t>
      </w:r>
    </w:p>
    <w:p>
      <w:pPr/>
      <w:r>
        <w:rPr>
          <w:b/>
        </w:rPr>
        <w:t>Shared claim-specific concepts:</w:t>
      </w:r>
      <w:r>
        <w:t xml:space="preserve"> driven, growing, awareness, sustainable; EU scope visible. This is a provisional connection, not an outcome finding.</w:t>
      </w:r>
    </w:p>
    <w:p>
      <w:pPr>
        <w:pStyle w:val="SourceNote"/>
      </w:pPr>
      <w:r>
        <w:rPr>
          <w:b/>
        </w:rPr>
        <w:t>Available abstract (not full text):</w:t>
      </w:r>
      <w:r>
        <w:t xml:space="preserve"> The Europe Electric Vehicle (EV) Charging Market is witnessing strong expansion, driven by rapid electrification of transportation and increasing commitments toward carbon neutrality. Governments, utility providers, and private stakeholders are investing heavily in charging networks to address infrastructure gaps and range anxiety among EV users. The market benefits from a well-established automotive ecosystem, strong policy alignment, and growing consumer awareness regarding environmental sustainability. Access Full Report- https://www.nextmsc.com/report/europe-electric-vehicle-ev-charging-market</w:t>
      </w:r>
    </w:p>
    <w:p>
      <w:pPr/>
      <w:r>
        <w:rPr>
          <w:b/>
        </w:rPr>
        <w:t>POSSIBLE 2025:</w:t>
      </w:r>
      <w:r>
        <w:t xml:space="preserve"> Europe Pet Food Ingredients Market: Growth Dynamics, Trends, and Regional Insights — https://doi.org/10.5281/zenodo.17731410</w:t>
      </w:r>
    </w:p>
    <w:p>
      <w:pPr/>
      <w:r>
        <w:rPr>
          <w:b/>
        </w:rPr>
        <w:t>Shared claim-specific concepts:</w:t>
      </w:r>
      <w:r>
        <w:t xml:space="preserve"> driven, growing, awareness, sustainable, expected; EU scope visible. This is a provisional connection, not an outcome finding.</w:t>
      </w:r>
    </w:p>
    <w:p>
      <w:pPr>
        <w:pStyle w:val="SourceNote"/>
      </w:pPr>
      <w:r>
        <w:rPr>
          <w:b/>
        </w:rPr>
        <w:t>Available abstract (not full text):</w:t>
      </w:r>
      <w:r>
        <w:t xml:space="preserve"> The Europe Pet Food Ingredients Market has witnessed significant growth, driven by rising pet ownership, increasing consumer awareness of pet nutrition, and growing sustainability concerns. Valued at USD 11.67 billion in 2023, the market is projected to reach USD 21.98 billion by 2030, growing at a CAGR of 9.0% from 2024 to 2030. In terms of volume, the market stood at 1,804.21 kilotons in 2023 and is expected to reach 2,756.01 kilotons by 2030, at a CAGR of 5.9%. This manuscript provides a comprehensive overview of the European market, analyzing key growth drivers, restraints, opportunities, regional dynamics, and competitive landscape. It also highlights emerging trends such as sustainable protein adoption and consumer preference for ethically sourced pet food ingredients.</w:t>
      </w:r>
    </w:p>
    <w:p>
      <w:pPr/>
      <w:r>
        <w:rPr>
          <w:b/>
        </w:rPr>
        <w:t>POSSIBLE 2025:</w:t>
      </w:r>
      <w:r>
        <w:t xml:space="preserve"> What Factors Drive a Sustainable Energy Transition in Europe? A Data-Driven Exploration of Economic and Policy Influences — https://doi.org/10.22541/au.175883292.27456920/v1</w:t>
      </w:r>
    </w:p>
    <w:p>
      <w:pPr/>
      <w:r>
        <w:rPr>
          <w:b/>
        </w:rPr>
        <w:t>Shared claim-specific concepts:</w:t>
      </w:r>
      <w:r>
        <w:t xml:space="preserve"> driven, growing, awareness, fossil, sustainable, further; EU scope visible. This is a provisional connection, not an outcome finding.</w:t>
      </w:r>
    </w:p>
    <w:p>
      <w:pPr>
        <w:pStyle w:val="SourceNote"/>
      </w:pPr>
      <w:r>
        <w:rPr>
          <w:b/>
        </w:rPr>
        <w:t>Available abstract (not full text):</w:t>
      </w:r>
      <w:r>
        <w:t xml:space="preserve"> The global transition to cleaner energy is accelerating, driven by government policies, technological advances, financial support, and growing public demand for sustainable solutions. Policies aimed at reducing greenhouse gas emissions and encouraging renewable adoption, combined with technological investments, are central to this shift. At the same time, public awareness, international collaboration, and economic incentives further strengthen the momentum. Despite significant progress, comparative studies that examine how different countries approach energy use remain limited. This study analyzes global energy trends with a particular focus on Europe, investigating whether higher investments in renewable energy sources such as wind and hydropower are associated with lower reliance on fossil fuels. To explore this relationship, we apply statistical techniques including linear regression, logistic regression, multicollinearity testing, and exploratory factor analysis to assess the influence of economic, policy, and technological factors on the transition to clean energy. The results highlight key drivers of successful energy transitions and provide insights for Norway and other European nations to identify effective strategies that can be adapted and scaled in pursuit of a sustainable green transition.</w:t>
      </w:r>
    </w:p>
    <w:p>
      <w:pPr/>
      <w:r>
        <w:rPr>
          <w:b/>
        </w:rPr>
        <w:t>POSSIBLE 2025:</w:t>
      </w:r>
      <w:r>
        <w:t xml:space="preserve"> Economic Analysis of Fossil CO2 Emissions: A European Perspective on Sustainable Development — https://doi.org/10.3390/en18082106</w:t>
      </w:r>
    </w:p>
    <w:p>
      <w:pPr/>
      <w:r>
        <w:rPr>
          <w:b/>
        </w:rPr>
        <w:t>Shared claim-specific concepts:</w:t>
      </w:r>
      <w:r>
        <w:t xml:space="preserve"> driven, fossil, need, sustainable, economy; EU scope visible. This is a provisional connection, not an outcome finding.</w:t>
      </w:r>
    </w:p>
    <w:p>
      <w:pPr>
        <w:pStyle w:val="SourceNote"/>
      </w:pPr>
      <w:r>
        <w:rPr>
          <w:b/>
        </w:rPr>
        <w:t>Available abstract (not full text):</w:t>
      </w:r>
      <w:r>
        <w:t xml:space="preserve"> The economic assessment of CO2 emissions from fossil fuels is gaining importance in the context of sustainable development. Climate change, driven by excessive greenhouse gas emissions, poses a significant threat to humanity, requiring an integrated approach that considers both environmental and economic factors. The European Union (EU) plays a key role in global efforts to reduce CO2 emissions and promote sustainability. This study explores economic approaches to analyzing CO2 emissions in Europe, focusing on trends in fossil fuel use and their economic drivers. The research highlights the connection between economic activity, energy consumption, and emissions, contributing to a better understanding of climate change mitigation strategies. The findings emphasize the strong influence of demographic factors on carbon emissions, stressing the need for targeted policies to address the environmental impact of population growth. This study presents a literature-based assessment of CO2 emissions from fossil fuel consumption in the context of sustainable development, with a focus on Europe. Recognizing the urgent threat posed by climate change, the paper explores how economic and demographic factors influence emissions trends and energy consumption. Through the synthesis of recent research and statistical data, it examines the relationship between economic activity and CO2 emissions a</w:t>
      </w:r>
    </w:p>
    <w:p>
      <w:pPr/>
      <w:r>
        <w:rPr>
          <w:b/>
        </w:rPr>
        <w:t>POSSIBLE 2025:</w:t>
      </w:r>
      <w:r>
        <w:t xml:space="preserve"> AI Driven Defense in Europe: Shaping the Future of Military — https://doi.org/10.47205/jdss.2025(6-iii)17</w:t>
      </w:r>
    </w:p>
    <w:p>
      <w:pPr/>
      <w:r>
        <w:rPr>
          <w:b/>
        </w:rPr>
        <w:t>Shared claim-specific concepts:</w:t>
      </w:r>
      <w:r>
        <w:t xml:space="preserve"> driven, growing, need, worldwide; EU scope visible. This is a provisional connection, not an outcome finding.</w:t>
      </w:r>
    </w:p>
    <w:p>
      <w:pPr>
        <w:pStyle w:val="SourceNote"/>
      </w:pPr>
      <w:r>
        <w:rPr>
          <w:b/>
        </w:rPr>
        <w:t>Available abstract (not full text):</w:t>
      </w:r>
      <w:r>
        <w:t xml:space="preserve"> This research examines the way Artificial Intelligence (AI) is revolutionizing defense strategies among prominent European players France, Germany, the UK, Italy, Spain, and the EU, with a focus on its military uses. The research confines its examination to state-level and EU-level. AI integration within European defense reflects evolving geopolitical priorities, ethical challenges, and new regulatory demands. Employing qualitative case study approach grounded in Regional Security Complex Theory (RSCT), the research draws on official policy briefs and reports. Results show Germany and France dominating AI defense innovation, while the UK emphasizes ethical AI and NATO interoperability. Italy and Spain are emerging powers with growing public-private partnerships. The EU, lacking military capability, exerts normative influence through regulatory tools like the AI Act. These dynamics reshape regional defense cohesion and power relations. Future efforts will have to be focused on cooperative regulatory strategies, ethically sound innovation, and collective defense policies to optimize ethical AI militarization and strategic autonomy in Europe. Cooperative European defense initiatives and testing regulation frameworks need to be investigated in future research. Comparative analysis with Asia or North America like regional complexes would better convey how regional systems determine </w:t>
      </w:r>
    </w:p>
    <w:p>
      <w:pPr/>
      <w:r>
        <w:rPr>
          <w:b/>
        </w:rPr>
        <w:t>POSSIBLE 2024:</w:t>
      </w:r>
      <w:r>
        <w:t xml:space="preserve"> Ancillary services in power system transition toward a 100% non-fossil future: Market design challenges in the United States and Europe — https://doi.org/10.1016/j.epsr.2024.110885</w:t>
      </w:r>
    </w:p>
    <w:p>
      <w:pPr/>
      <w:r>
        <w:rPr>
          <w:b/>
        </w:rPr>
        <w:t>Shared claim-specific concepts:</w:t>
      </w:r>
      <w:r>
        <w:t xml:space="preserve"> driven, need, industrial, potential; EU scope visible. This is a provisional connection, not an outcome finding.</w:t>
      </w:r>
    </w:p>
    <w:p>
      <w:pPr>
        <w:pStyle w:val="SourceNote"/>
      </w:pPr>
      <w:r>
        <w:rPr>
          <w:b/>
        </w:rPr>
        <w:t>Available abstract (not full text):</w:t>
      </w:r>
      <w:r>
        <w:t xml:space="preserve"> The expansion of variable generation has driven a transition toward a 100% non-fossil power system. New system needs are challenging system stability and suggesting the need for a redesign of the ancillary service (AS) markets. This paper presents a comprehensive and broad review for industrial practitioners and academic researchers regarding the challenges and potential solutions to accommodate high shares of variable renewable energy (VRE) generation levels. We detail the main drivers enabling the energy transition and facilitating the provision of ASs. A systematic review of the United States and European AS markets is conducted. We clearly organize the main ASs in a standard taxonomy, identifying current practices and initiatives to support the increasing VRE share. Furthermore, we envision the future of modern AS markets, proposing potential solutions for some remaining fundamental technical and market design challenges.</w:t>
      </w:r>
    </w:p>
    <w:p>
      <w:pPr/>
      <w:r>
        <w:rPr>
          <w:b/>
        </w:rPr>
        <w:t>POSSIBLE 2023:</w:t>
      </w:r>
      <w:r>
        <w:t xml:space="preserve"> Bedrock geological map predictions for Phanerozoic fossil occurrences — https://doi.org/10.1017/pab.2022.46</w:t>
      </w:r>
    </w:p>
    <w:p>
      <w:pPr/>
      <w:r>
        <w:rPr>
          <w:b/>
        </w:rPr>
        <w:t>Shared claim-specific concepts:</w:t>
      </w:r>
      <w:r>
        <w:t xml:space="preserve"> fossil, need, expected; EU scope visible. This is a provisional connection, not an outcome finding.</w:t>
      </w:r>
    </w:p>
    <w:p>
      <w:pPr>
        <w:pStyle w:val="SourceNote"/>
      </w:pPr>
      <w:r>
        <w:rPr>
          <w:b/>
        </w:rPr>
        <w:t>Available abstract (not full text):</w:t>
      </w:r>
      <w:r>
        <w:t xml:space="preserve"> Abstract Geographically explicit, taxonomically resolved fossil occurrences are necessary for reconstructing macroevolutionary patterns and for testing a wide range of hypotheses in the Earth and life sciences. Heterogeneity in the spatial and temporal distribution of fossil occurrences in the Paleobiology Database (PBDB) is attributable to several different factors, including turnover among biological communities, socioeconomic disparities in the intensity of paleontological research, and geological controls on the distribution and fossil yield of sedimentary deposits. Here we use the intersection of global geological map data from Macrostrat and fossil collections in the PBDB to assess the extent to which the potentially fossil-bearing, surface-expressed sedimentary record has yielded fossil occurrences. We find a significant and moderately strong positive correlation between geological map area and the number of fossil occurrences. This correlation is consistent regardless of map unit age and binning protocol, except at period level; the Neogene and Quaternary have non-marine map units covering large areas and yielding fewer occurrences than expected. The sedimentary record of North America and Europe yields significantly more fossil occurrences per sedimentary area than similarly aged deposits in most of the rest of the world. However, geographic differences in area and age</w:t>
      </w:r>
    </w:p>
    <w:p>
      <w:pPr/>
      <w:r>
        <w:rPr>
          <w:b/>
        </w:rPr>
        <w:t>POSSIBLE 2023:</w:t>
      </w:r>
      <w:r>
        <w:t xml:space="preserve"> Assessing the energy trap of industrial agriculture in North America and Europe: 82 balances from 1830 to 2012 — https://doi.org/10.1007/s13593-023-00925-5</w:t>
      </w:r>
    </w:p>
    <w:p>
      <w:pPr/>
      <w:r>
        <w:rPr>
          <w:b/>
        </w:rPr>
        <w:t>Shared claim-specific concepts:</w:t>
      </w:r>
      <w:r>
        <w:t xml:space="preserve"> driven, growing, industrial, production, conclude; EU scope visible. This is a provisional connection, not an outcome finding.</w:t>
      </w:r>
    </w:p>
    <w:p>
      <w:pPr>
        <w:pStyle w:val="SourceNote"/>
      </w:pPr>
      <w:r>
        <w:rPr>
          <w:b/>
        </w:rPr>
        <w:t>Available abstract (not full text):</w:t>
      </w:r>
      <w:r>
        <w:t xml:space="preserve"> Early energy analyses of agriculture revealed that behind higher labor and land productivity of industrial farming, there was a decrease in energy returns on energy (EROI) invested, in comparison to more traditional organic agricultural systems. Studies on recent trends show that efficiency gains in production and use of inputs have again somewhat improved energy returns. However, most of these agricultural energy studies have focused only on external inputs at the crop level, concealing the important role of internal biomass flows that livestock and forestry recirculate within agroecosystems. Here, we synthesize the results of 82 farm systems in North America and Europe from 1830 to 2012 that for the first time show the changing energy profiles of agroecosystems, including livestock and forestry, with a multi-EROI approach that accounts for the energy returns on external inputs, on internal biomass reuses, and on all inputs invested. With this historical circular bioeconomic approach, we found a general trend towards much lower external returns, little or no increases in internal returns, and almost no improvement in total returns. This "energy trap" was driven by shifts towards a growing dependence of crop production on fossil-fueled external inputs, much more intensive livestock production based on feed grains, less forestry, and a structural disintegration of agroecosystem </w:t>
      </w:r>
    </w:p>
    <w:p>
      <w:pPr/>
      <w:r>
        <w:rPr>
          <w:b/>
        </w:rPr>
        <w:t>POSSIBLE 2023:</w:t>
      </w:r>
      <w:r>
        <w:t xml:space="preserve"> Potential impacts of rapidly changing european use of fossil fuels on global warming — https://doi.org/10.1088/2515-7620/acf3d7</w:t>
      </w:r>
    </w:p>
    <w:p>
      <w:pPr/>
      <w:r>
        <w:rPr>
          <w:b/>
        </w:rPr>
        <w:t>Shared claim-specific concepts:</w:t>
      </w:r>
      <w:r>
        <w:t xml:space="preserve"> fossil, pathways, potential; EU scope visible. This is a provisional connection, not an outcome finding.</w:t>
      </w:r>
    </w:p>
    <w:p>
      <w:pPr>
        <w:pStyle w:val="SourceNote"/>
      </w:pPr>
      <w:r>
        <w:rPr>
          <w:b/>
        </w:rPr>
        <w:t>Available abstract (not full text):</w:t>
      </w:r>
      <w:r>
        <w:t xml:space="preserve"> Abstract The balance of primary energy sources for Europe has been changing rapidly over recent decades, shifting towards more renewables and using fossil fuels with lower carbon emissions. However, the latter is being impacted by the Russia-Ukraine conflict. Here, we determine the potential bounds of how this may affect global warming, based on whether the European use of Russian gas and oil is replaced with either less efficient burning of coal (with and without the gas and oil then used in new markets elsewhere) or with renewables. We perform calculations as perturbations from a baseline carbon dioxide (CO2) trajectory associated with ‘middle range’ and ‘low’ Shared Socioeconomic Pathways (SSP), SSP2-45 and SSP1-26. We calculate the CO2 perturbations as a simulated step change in emissions for the year 2023, which then decays linearly to zero by 2043. The emission profiles drive the FaIR simple climate model. FaIR links greenhouse gas emissions to global warming levels and includes a representation of warming uncertainty based on projections made using more complex Earth system models. We find that the direct impact of the conflict on the global mean temperature is likely to be relatively small, amounting to the worst case of nearly one-hundredth of a degree. This warming is equivalent to approximately an extra half year of current global CO2 emissions. However, we suggest t</w:t>
      </w:r>
    </w:p>
    <w:p>
      <w:pPr/>
      <w:r>
        <w:rPr>
          <w:b/>
        </w:rPr>
        <w:t>POSSIBLE 2023:</w:t>
      </w:r>
      <w:r>
        <w:t xml:space="preserve"> Uncertainty-aware data-driven predictive control in a stochastic setting — https://doi.org/10.1016/j.ifacol.2023.10.878</w:t>
      </w:r>
    </w:p>
    <w:p>
      <w:pPr/>
      <w:r>
        <w:rPr>
          <w:b/>
        </w:rPr>
        <w:t>Shared claim-specific concepts:</w:t>
      </w:r>
      <w:r>
        <w:t xml:space="preserve"> finite, need, potential; EU scope not established. This is a provisional connection, not an outcome finding.</w:t>
      </w:r>
    </w:p>
    <w:p>
      <w:pPr>
        <w:pStyle w:val="SourceNote"/>
      </w:pPr>
      <w:r>
        <w:rPr>
          <w:b/>
        </w:rPr>
        <w:t>Available abstract (not full text):</w:t>
      </w:r>
      <w:r>
        <w:t xml:space="preserve"> Data-Driven Predictive Control (DDPC) has been recently proposed as an effective alternative to traditional Model Predictive Control (MPC), in that the same constrained optimization problem can be addressed without the need to explicitly identify a full model of the plant. However, DDPC is built upon input/output trajectories. Therefore, the finite sample effect of stochastic data, due to, e.g., measurement noise, may have a detrimental impact on closed-loop performance. Exploiting a formal statistical analysis of the prediction error, in this paper we propose the first systematic approach to deal with uncertainty due to finite sample effects. To this end, we introduce two regularization strategies for which, differently from existing regularization-based DDPC techniques, we propose a tuning rationale allowing us to select the regularization hyper-parameters before closing the loop and without additional experiments. Simulation results confirm the potential of the proposed strategy when closing the loop.</w:t>
      </w:r>
    </w:p>
    <w:p>
      <w:pPr/>
      <w:r>
        <w:rPr>
          <w:b/>
        </w:rPr>
        <w:t>POSSIBLE 2021:</w:t>
      </w:r>
      <w:r>
        <w:t xml:space="preserve"> Growing environmental footprint of plastics driven by coal combustion — https://doi.org/10.1038/s41893-021-00807-2</w:t>
      </w:r>
    </w:p>
    <w:p>
      <w:pPr/>
      <w:r>
        <w:rPr>
          <w:b/>
        </w:rPr>
        <w:t>Shared claim-specific concepts:</w:t>
      </w:r>
      <w:r>
        <w:t xml:space="preserve"> driven, growing, sustainable, production; EU scope visible. This is a provisional connection, not an outcome finding.</w:t>
      </w:r>
    </w:p>
    <w:p>
      <w:pPr>
        <w:pStyle w:val="SourceNote"/>
      </w:pPr>
      <w:r>
        <w:rPr>
          <w:b/>
        </w:rPr>
        <w:t>Available abstract (not full text):</w:t>
      </w:r>
      <w:r>
        <w:t xml:space="preserve"> Abstract Research on the environmental impacts from the global value chain of plastics has typically focused on the disposal phase, considered most harmful to the environment and human health. However, the production of plastics is also responsible for substantial environmental, health and socioeconomic impacts. We show that the carbon and particulate-matter-related health footprint of plastics has doubled since 1995, due mainly to growth in plastics production in coal-based economies. Coal-based emissions have quadrupled since 1995, causing almost half of the plastics-related carbon and particulate-matter-related health footprint in 2015. Plastics-related carbon footprints of China’s transportation, Indonesia’s electronics industry and India’s construction sector have increased more than 50-fold since 1995. In 2015, plastics caused 4.5% of global greenhouse gas emissions. Moreover, 6% of global coal electricity is used for plastics production. The European Union and the United States have increasingly consumed plastics produced in coal-based economies. In 2015, 85% of the workforce required for plastics consumed by the European Union and the United States was employed abroad, but 80% of the related value added was generated domestically. As high-income regions have outsourced the energy-intensive steps of plastics production to coal-based economies, renewable energy investment</w:t>
      </w:r>
    </w:p>
    <w:p>
      <w:pPr>
        <w:pStyle w:val="Heading2"/>
      </w:pPr>
      <w:r>
        <w:t>843. Prediction of population with Alzheimer's disease in the European Union using a system dynamics model</w:t>
      </w:r>
    </w:p>
    <w:p>
      <w:pPr>
        <w:pStyle w:val="SourceNote"/>
      </w:pPr>
      <w:r>
        <w:rPr>
          <w:b/>
        </w:rPr>
        <w:t>Original source (2016):</w:t>
      </w:r>
      <w:r>
        <w:t xml:space="preserve"> https://doi.org/10.2147/ndt.s107969</w:t>
      </w:r>
    </w:p>
    <w:p>
      <w:pPr/>
      <w:r>
        <w:t>Original wording (abstract; indexed_source_text_not_full_document_verified): In this research, population growth of the European Union (EU) until the year 2080 and the number of patients with AD are modeled.</w:t>
      </w:r>
    </w:p>
    <w:p>
      <w:pPr/>
      <w:r>
        <w:rPr>
          <w:b/>
        </w:rPr>
        <w:t>POSSIBLE 2026:</w:t>
      </w:r>
      <w:r>
        <w:t xml:space="preserve"> Assessment of the impact of population ageing on economic growth in European Union countries — https://openalex.org/W7161216025</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Visuomenės senėjimas yra vienas svarbiausių šiuolaikinių demografinių procesų, darantis reikšmingą įtaką ekonominiam augimui Europos Sąjungos (ES) šalyse. Tyrimo problema – kokį poveikį visuomenės senėjimas daro ekonominiam augimui ES šalyse? Darbo objektas – visuomenės senėjimo poveikis ekonominiam augimui ES šalyse. Darbo tikslas – įvertinti visuomenės senėjimo poveikį ekonominiam augimui ES šalyse, remiantis 2015-2024 m. laikotarpio duomenimis. Tyrimo metodai – mokslinės literatūros analizė, aprašomoji statistinė analizė, koreliacinė analizė ir panelinių duomenų regresijos metodas. Tyrime analizuojamas visuomenės senėjimo poveikis ekonominiam augimui ES šalyse, taikant panelinių duomenų regresijos modelį. Pagrindinis aiškinamasis kintamasis – senatvės priklausomybės koeficientas. Į modelį taip pat įtraukti kontroliniai kintamieji: investicijos (bendrojo pagrindinio kapitalo formavimas, proc. nuo BVP), nedarbo lygis, infliacija, švietimo lygis, eksportas, importas, institucinės aplinkos kokybė bei ekonominio išsivystymo lygį atspindintis logaritmuotas BVP vienam gyventojui rodiklis. Išvados – visuomenės senėjimas daro teigiamą ir statistiškai reikšmingą poveikį ekonominiam augimui ES šalyse. Taip pat nustatyta, kad investicijos ir eksportas daro teigiamą poveikį ekonominiam augimui, o nedarbo lygis ir importas – neigiamą. Švietimo ir institucinės aplinkos kokybės poveikis sta</w:t>
      </w:r>
    </w:p>
    <w:p>
      <w:pPr/>
      <w:r>
        <w:rPr>
          <w:b/>
        </w:rPr>
        <w:t>POSSIBLE 2026:</w:t>
      </w:r>
      <w:r>
        <w:t xml:space="preserve"> CO2 Emissions Scenarios in the European Union—The Urgency of Carbon Capture and Controlled Economic Growth — https://doi.org/10.3390/su18021043</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Although greenhouse gas emissions have significantly reduced, the European Union still faces a major challenge in meeting its 2050 net-zero goal set under the European Green Deal. Focusing on the impacts of population, economic output, and carbon intensity of economy, this study employs Index Decomposition Analysis to estimate the reductions in carbon intensity needed to reach this target. The findings show that the extent of the technical effort required for decarbonization is much influenced by economic expansion. Under a 3% annual Gross Domestic Product growth scenario, the EU’s carbon intensity of economy must decline by 11.8% per year, which is a particularly demanding rate given the already low baseline. The decomposition also quantifies the technological challenge: under high growth, up to 5867 MtCO2 in reductions would be needed by 2050 (compared with 1990), with Carbon Capture and Storage (CCS) contributing only 10–15%. In contrast, in zero- or negative-growth scenarios, required reductions fall to 4923–4594 MtCO2, with CCS accounting for up to 50–90%. These results show that decarbonization in EU industrial sectors requires systemic transformations and strategic CCS deployment. A balanced approach, limiting economic growth and increasing innovation, appears essential to achieve the climate neutrality target.</w:t>
      </w:r>
    </w:p>
    <w:p>
      <w:pPr/>
      <w:r>
        <w:rPr>
          <w:b/>
        </w:rPr>
        <w:t>POSSIBLE 2025:</w:t>
      </w:r>
      <w:r>
        <w:t xml:space="preserve"> Effect of Population Aging on Economic Growth in countries of the European Union — https://openalex.org/W7135768500</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CHARLES UNIVERSITY FACULTY OF SOCIAL SCIENCES Institute of Economic Studies Abstract - English 2025 Maximilián Demko CHARLES UNIVERSITY FACULTY OF SOCIAL SCIENCES Institute of Economic Studies Effect of Population Aging on Economic Growth in countries of the European Union Bachelor's Thesis Author of the Thesis: Maximilián Demko Study programme: Economics and Finance Supervisor: Mgr. Barbara Pertold-Gebicka, M.A., Ph.D. Year of the defence: 2025 8 Abstract The thesis examines the impact of aging on economic growth in countries of the European Union, by examining the relationship between the changes in the old-age dependency ratio, defined as the proportion of individuals aged 65 and over to those aged 20 to 64, and economic growth in all current 27 countries of the European Union in the period from 1980 to 2020. By utilising econometric methods, this thesis presents conclusive evidence, that an increase in this ratio has a negative impact on economic growth in the countries of the Union. According to the main estimate, a one percentage point increase in the old-age dependency ratio is associated with a 0,95% decrease in GDP per capita growth over a 5-year period. Subsample analysis revealed that effect of changes in old-age dependency is more pronounced in the core member countries of the European union,...</w:t>
      </w:r>
    </w:p>
    <w:p>
      <w:pPr/>
      <w:r>
        <w:rPr>
          <w:b/>
        </w:rPr>
        <w:t>POSSIBLE 2025:</w:t>
      </w:r>
      <w:r>
        <w:t xml:space="preserve"> Europeans support large carnivore recovery while opposing both further population growth and hunting — https://doi.org/10.1038/s41559-025-02914-1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After centuries of persecution in Europe, large carnivores are now recovering. Whether this conservation success continues depends in part on public support. Here we show, using a survey of 10,000 respondents across European Union Member States, that while support for the recovery of wolves, bears and lynx remains strong, most respondents oppose both further population growth and hunting-particularly of wolves. Attitudes are remarkably consistent across rural and urban populations, and many respondents express no strong position, suggesting that large carnivores are less polarizing than often portrayed. The recent amendment to the Habitats Directive, which grants Member States greater flexibility to manage their wolf populations, appears broadly aligned with public opinion, as long as its implementation does not lead to population declines. However, the presence of views in tension-rejecting both population growth and hunting- may pose challenges for designing policies that are both science based and supported by the public.</w:t>
      </w:r>
    </w:p>
    <w:p>
      <w:pPr/>
      <w:r>
        <w:rPr>
          <w:b/>
        </w:rPr>
        <w:t>POSSIBLE 2025:</w:t>
      </w:r>
      <w:r>
        <w:t xml:space="preserve"> Economic recovery and resilience in post-pandemic Europe: evidence from eleven European Union economies — https://doi.org/10.1007/s11135-025-02194-8</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This study examines the economic recovery and resilience of eleven European Union member states after the COVID-19 pandemic, using annual data from 1990 to 2022. It applies a multi-method approach, combining the Pooled Mean Group (PMG) estimator, Nonlinear Autoregressive Distributed Lag (NARDL) model, and Common Correlated Effects Estimator to analyze long- and short-run relationships. The findings show that, in the long run, inflation and mobile cellular subscriptions slow growth, while greenhouse gas emissions have a positive effect. Youth unemployment, labor force participation, trade openness, population growth, and foreign direct investment (FDI) do not show significant effects. In the short run, inflation and mobile subscriptions remain negative, while emissions continue to support growth. PMG results confirm that labor force participation, inflation, and mobile subscriptions reduce long-term growth, whereas population growth, trade openness, and emissions contribute positively. The NARDL model finds uneven effects of FDI, inflation, population growth, and trade openness, with short-run imbalances in inflation and trade openness. Causality analysis shows two-way links between inflation, trade openness, youth unemployment, and GDP growth, while one-way effects are observed for greenhouse gas emissions, population growth, and mobile subscriptions. These results hel</w:t>
      </w:r>
    </w:p>
    <w:p>
      <w:pPr/>
      <w:r>
        <w:rPr>
          <w:b/>
        </w:rPr>
        <w:t>POSSIBLE 2024:</w:t>
      </w:r>
      <w:r>
        <w:t xml:space="preserve"> TRANSPORT INFRASTRUCTURE DEVELOPMENT AND ECONOMIC GROWTH IN THE EUROPEAN UNION — https://doi.org/10.47535/1991auoes33(1)007</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Transport infrastructure has a strategic importance in the social and economic development of countries. From Antiquity to the present day, transport infrastructure has aimed to facilitate freedom of movement, and access to goods, services, and information. Investments in the development of transport infrastructure led to economic growth, the development of trade, the increase of national and regional competitiveness, as well as the increase of the well-being of the population. The purpose of this article is to analyze the contribution that transport infrastructure manifests to the economic growth of European Union countries. Through this article we aim to explore the correlation between public expenditures on transport infrastructure and economic growth, using the data available in the Eurostat database. The obtained results confirm the hypothesis that, indeed, public spending on transport infrastructure contributes significantly to the economic growth of EU states. The main conclusion of the study carried out in this article supports the need for investments in the modernization and maintenance of the transport infrastructure to enhance sustainable economic growth and the well-being of the population.</w:t>
      </w:r>
    </w:p>
    <w:p>
      <w:pPr/>
      <w:r>
        <w:rPr>
          <w:b/>
        </w:rPr>
        <w:t>POSSIBLE 2024:</w:t>
      </w:r>
      <w:r>
        <w:t xml:space="preserve"> Government Expenditure, Education, and Productivity in the European Union: Effects on Economic Growth — https://doi.org/10.1515/econ-2022-0081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In this article, we will analyse the effects of public spending on education on productivity, wages, and growth at European Union level. We are trying to find out to what extent education expenditures and human capital contribute to improving productivity, achieving higher wages, and enhancing the standard of living of the population, as measured by per capita growth. Our results do not show a clear and direct relationship between public expenditure on education and productivity, but an indirect relationship through the acquisition of a higher level of human capital and technological skills, which leads to output increases.</w:t>
      </w:r>
    </w:p>
    <w:p>
      <w:pPr/>
      <w:r>
        <w:rPr>
          <w:b/>
        </w:rPr>
        <w:t>POSSIBLE 2023:</w:t>
      </w:r>
      <w:r>
        <w:t xml:space="preserve"> Zero population growth rate and eldercare hours: Are both optimal for some European Union countries?# — https://doi.org/10.1111/1468-0106.12418</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Abstract As zero population growth rates have existed for approximately 30 years in many European Union countries, one wonders whether this is optimal in these countries, considering differences in consumer preferences and wages. In this paper, we construct a framework to examine this issue, in particular incorporating both eldercare and immigration. Our theoretical and empirical analyses show that zero population growth rates are optimal, population growth rates and eldercare hours are determined separately, and eldercare hours may be optimal because of added support with public long‐term care spending of each country.</w:t>
      </w:r>
    </w:p>
    <w:p>
      <w:pPr/>
      <w:r>
        <w:rPr>
          <w:b/>
        </w:rPr>
        <w:t>POSSIBLE 2023:</w:t>
      </w:r>
      <w:r>
        <w:t xml:space="preserve"> Solving the stochastic dynamics of population growth — https://doi.org/10.1002/ece3.10295</w:t>
      </w:r>
    </w:p>
    <w:p>
      <w:pPr/>
      <w:r>
        <w:rPr>
          <w:b/>
        </w:rPr>
        <w:t>Shared claim-specific concepts:</w:t>
      </w:r>
      <w:r>
        <w:t xml:space="preserve"> population, number; EU scope not established. This is a provisional connection, not an outcome finding.</w:t>
      </w:r>
    </w:p>
    <w:p>
      <w:pPr>
        <w:pStyle w:val="SourceNote"/>
      </w:pPr>
      <w:r>
        <w:rPr>
          <w:b/>
        </w:rPr>
        <w:t>Available abstract (not full text):</w:t>
      </w:r>
      <w:r>
        <w:t xml:space="preserve"> Population growth is a fundamental process in ecology and evolution. The population size dynamics during growth are often described by deterministic equations derived from kinetic models. Here, we simulate several population growth models and compare the size averaged over many stochastic realizations with the deterministic predictions. We show that these deterministic equations are generically bad predictors of the average stochastic population dynamics. Specifically, deterministic predictions overestimate the simulated population sizes, especially those of populations starting with a small number of individuals. Describing population growth as a stochastic birth process, we prove that the discrepancy between deterministic predictions and simulated data is due to unclosed-moment dynamics. In other words, the deterministic approach does not consider the variability of birth times, which is particularly important with small population sizes. We show that some moment-closure approximations describe the growth dynamics better than the deterministic prediction. However, they do not reduce the error satisfactorily and only apply to some population growth models. We explicitly solve the stochastic growth dynamics, and our solution applies to any population growth model. We show that our solution exactly quantifies the dynamics of a community composed of different strains and correctl</w:t>
      </w:r>
    </w:p>
    <w:p>
      <w:pPr/>
      <w:r>
        <w:rPr>
          <w:b/>
        </w:rPr>
        <w:t>POSSIBLE 2023:</w:t>
      </w:r>
      <w:r>
        <w:t xml:space="preserve"> Environmental taxation as a boost mechanism for European Union green growth: The Greek response — https://doi.org/10.22495/rgcv13i1p1</w:t>
      </w:r>
    </w:p>
    <w:p>
      <w:pPr/>
      <w:r>
        <w:rPr>
          <w:b/>
        </w:rPr>
        <w:t>Shared claim-specific concepts:</w:t>
      </w:r>
      <w:r>
        <w:t xml:space="preserve"> population, union; EU scope visible. This is a provisional connection, not an outcome finding.</w:t>
      </w:r>
    </w:p>
    <w:p>
      <w:pPr>
        <w:pStyle w:val="SourceNote"/>
      </w:pPr>
      <w:r>
        <w:rPr>
          <w:b/>
        </w:rPr>
        <w:t>Available abstract (not full text):</w:t>
      </w:r>
      <w:r>
        <w:t xml:space="preserve"> Before the early negative effects of human activity on the environment and nature became apparent, there was no particular concern. The consequences of exponential population growth over the years brought a negative impact, increasing the risk and concern for the future. In recent decades, there has been an admittedly large, joint, and ambitious effort at the international and European levels to promote and implement the values and rules of green development and growth. Green growth is crucial regarding the policy implemented by the European Union (EU). Therefore, it calls on all its member states to participate in this effort concerning the environment and natural resources, having as its main tool environmental taxation. This paper primarily aims in proving that environmental taxation facilitates, through the proper implementation of European Union rules, the achievement of green growth. The research methodology followed, was the study of the environmental indexes of the European Union countries from 2002 to 2020, including Greece. They were analyzed and compared to the European Union average indexes (Eurostat, 2020). The study results highlighted that environmental taxation is crucial in enhancing green growth by increasing the revenues of state funds and reducing environmental problems at European and international levels.</w:t>
      </w:r>
    </w:p>
    <w:p>
      <w:pPr/>
      <w:r>
        <w:rPr>
          <w:b/>
        </w:rPr>
        <w:t>POSSIBLE 2022:</w:t>
      </w:r>
      <w:r>
        <w:t xml:space="preserve"> Effects of Immigrants, Health, and Ageing on Economic Growth in the European Union — https://doi.org/10.3390/ijerph20010224</w:t>
      </w:r>
    </w:p>
    <w:p>
      <w:pPr/>
      <w:r>
        <w:rPr>
          <w:b/>
        </w:rPr>
        <w:t>Shared claim-specific concepts:</w:t>
      </w:r>
      <w:r>
        <w:t xml:space="preserve"> population, union, number, modeled; EU scope visible. This is a provisional connection, not an outcome finding.</w:t>
      </w:r>
    </w:p>
    <w:p>
      <w:pPr>
        <w:pStyle w:val="SourceNote"/>
      </w:pPr>
      <w:r>
        <w:rPr>
          <w:b/>
        </w:rPr>
        <w:t>Available abstract (not full text):</w:t>
      </w:r>
      <w:r>
        <w:t xml:space="preserve"> Population ageing and low birth rates are two problems of the EU that have an impact on employment, production, and economic growth. Against this background, immigration, health expenditure, and the health of migrants must become a key element of European policy. For this reason, this paper focused on identifying the effect of immigration, health, and ageing on economic growth in order to highlight their importance from an economic perspective. We constructed different econometric models with Eurostat data for 27 countries and 13 years (2008-2020), whose dependent variable was gross domestic product. Independent variables were the number of immigrants by gender and age, health expenditure per capita (total and by function), immigrants' perception of their health as very good, and the proportion of the population aged 65 years and over. The model selected to analyze the results was Prais-Winsten regression heteroskedastic panels corrected standard errors modeled by applying the option (ar1) to correct for autocorrelation, using Stata software (version 16). The results show that health expenditure has a significant positive effect on economic growth, higher in hospital services, followed by medical products; immigrants' perception as very good is only significant in some models. The number of immigrants has a (positive) effect, although less significant than public expenditure on</w:t>
      </w:r>
    </w:p>
    <w:p>
      <w:pPr/>
      <w:r>
        <w:rPr>
          <w:b/>
        </w:rPr>
        <w:t>POSSIBLE 2022:</w:t>
      </w:r>
      <w:r>
        <w:t xml:space="preserve"> Projected number of osteoarthritis patients in Austria for the next decades – quantifying the necessity of treatment and prevention strategies in Europe — https://doi.org/10.1186/s12891-022-05091-5</w:t>
      </w:r>
    </w:p>
    <w:p>
      <w:pPr/>
      <w:r>
        <w:rPr>
          <w:b/>
        </w:rPr>
        <w:t>Shared claim-specific concepts:</w:t>
      </w:r>
      <w:r>
        <w:t xml:space="preserve"> population, number, patients; EU scope visible. This is a provisional connection, not an outcome finding.</w:t>
      </w:r>
    </w:p>
    <w:p>
      <w:pPr>
        <w:pStyle w:val="SourceNote"/>
      </w:pPr>
      <w:r>
        <w:rPr>
          <w:b/>
        </w:rPr>
        <w:t>Available abstract (not full text):</w:t>
      </w:r>
      <w:r>
        <w:t xml:space="preserve"> BACKGROUND: The present study aimed to predict the expected number of patients with osteoarthritis (OA) in Austria up to the year 2080. METHODS: Demographic data and population projections between 2019 and 2080 were obtained from European authorities. Information about recent age- and sex-stratified prevalence of patients with self-reported physician-diagnosed OA was obtained from the Austrian Health Interview Survey (n = 15,771). Projections were stratified by age and sex; sensitivity analyses were performed based on aging, main (most likely), and growth scenarios of the population. RESULTS: Based on the projection, the overall increase in the total number of patients with OA from 2019 to 2080 will be 38% for men and women. In 2019, the highest number of OA-patients nested in the groups of persons aged 70-79 (n = 238,749) and 60-69 (n = 237,729) years. In 2080, the 80+ age group is predicted to have the highest number of OA with 421,548 individuals (i.e. factor 3.45 and factor 2.48 increase in the male and female group, respectively, compared to 2019), followed by the group aged 70-79 with 314,617 individuals (factor 1.45 and factor 1.28 increase in the male and female group, respectively, compared to 2019). Similar trends were found in the ageing and growing scenarios. CONCLUSIONS: The projected increase in the occurrence of OA will likely lead to a substantial socioeconomic </w:t>
      </w:r>
    </w:p>
    <w:p>
      <w:pPr>
        <w:pStyle w:val="Heading2"/>
      </w:pPr>
      <w:r>
        <w:t>844. Problem of “Dinosauring” of European Union and Mapping of Its Future</w:t>
      </w:r>
    </w:p>
    <w:p>
      <w:pPr>
        <w:pStyle w:val="SourceNote"/>
      </w:pPr>
      <w:r>
        <w:rPr>
          <w:b/>
        </w:rPr>
        <w:t>Original source (2016):</w:t>
      </w:r>
      <w:r>
        <w:t xml:space="preserve"> https://doi.org/10.11114/smc.v4i1.1617</w:t>
      </w:r>
    </w:p>
    <w:p>
      <w:pPr/>
      <w:r>
        <w:t>Original wording (abstract; indexed_source_text_not_full_document_verified): The popular European vision of its future can be called The Davos World - simple scenario based of the economic benefits, predicting that the driving force for ruling the world will be the endless economic interest.</w:t>
      </w:r>
    </w:p>
    <w:p>
      <w:pPr/>
      <w:r>
        <w:rPr>
          <w:b/>
        </w:rPr>
        <w:t>POSSIBLE 2026:</w:t>
      </w:r>
      <w:r>
        <w:t xml:space="preserve"> Filbert’s Vision | La visión de Filiberto — https://doi.org/10.25740/rn519df7423</w:t>
      </w:r>
    </w:p>
    <w:p>
      <w:pPr/>
      <w:r>
        <w:rPr>
          <w:b/>
        </w:rPr>
        <w:t>Shared claim-specific concepts:</w:t>
      </w:r>
      <w:r>
        <w:t xml:space="preserve"> popular, vision, called; EU scope visible. This is a provisional connection, not an outcome finding.</w:t>
      </w:r>
    </w:p>
    <w:p>
      <w:pPr>
        <w:pStyle w:val="SourceNote"/>
      </w:pPr>
      <w:r>
        <w:rPr>
          <w:b/>
        </w:rPr>
        <w:t>Available abstract (not full text):</w:t>
      </w:r>
      <w:r>
        <w:t xml:space="preserve"> The Visión de Filiberto, “Filbert’s Vision,” is a fictional debate witnessed by a holy man called Filbert between the body and the soul of a recently deceased person. The body-soul debate was an extremely popular genre across Europe from the twelth to the fifteenth century CE, and reflects medieval Christian concerns with the different parts of human nature, and with the impact that actions committed during life might have after death. In this text, the body and the soul discuss their own natures and debate the blame that each of them should receive for the sins that the person they belonged to committed during his lifetime. Shocked by the debate that he has witnessed, Filbert devotes himself to religion with renewed zeal. This text is a reworking in Old Castilian (an earlier form of Spanish) of a thirteenth-century Latin text, the Visio Philiberti, of which more than 130 copies survive – an extremely high number by medieval standards. The popularity of this text was such that almost every major European language has at least one surviving manuscript version. The Middle English reworking, entitled “þe Desputisioun bitween þe Bodi and þe Soule,” has seven!</w:t>
      </w:r>
    </w:p>
    <w:p>
      <w:pPr/>
      <w:r>
        <w:rPr>
          <w:b/>
        </w:rPr>
        <w:t>POSSIBLE 2023:</w:t>
      </w:r>
      <w:r>
        <w:t xml:space="preserve"> The European Rural Development Vision in Romanian Context — https://doi.org/10.15835/buasvmcn-hort:2022.0034</w:t>
      </w:r>
    </w:p>
    <w:p>
      <w:pPr/>
      <w:r>
        <w:rPr>
          <w:b/>
        </w:rPr>
        <w:t>Shared claim-specific concepts:</w:t>
      </w:r>
      <w:r>
        <w:t xml:space="preserve"> vision, based; EU scope visible. This is a provisional connection, not an outcome finding.</w:t>
      </w:r>
    </w:p>
    <w:p>
      <w:pPr>
        <w:pStyle w:val="SourceNote"/>
      </w:pPr>
      <w:r>
        <w:rPr>
          <w:b/>
        </w:rPr>
        <w:t>Available abstract (not full text):</w:t>
      </w:r>
      <w:r>
        <w:t xml:space="preserve"> Rural areas need our implication more than ever, in Romania, we identify a large percentage of people leaving behind their homes. Without a strategy to support and create opportunities, we will lose the heartbeat of our economy and an important part of our identity. This paper aims to study ways to develop self-sustained communities and achieve economic potential by investing in our rural areas’ future through good policies. Based on debate between 25 participants from various professional backgrounds for 5 days, the focus group investigated the study cases of their nations to better grasp the future steps. The focus group is a dynamic mix of youth from European countries such as Greece, Ireland, Croatia, Ireland, and Romania with different educational backgrounds who took the opportunity to study the High value and rural areas in their countries. They identify the needs of different village stockholders and bring all the knowledge together. A great lack of trust in collaboration between farmers and the need for more practical policies was found, in addition to the need for education and a better understanding of how they can round their income. The objectives of this vision will be accomplished with the aid of a Rural Pact and an EU Rural Action Plan with concrete flagship projects and innovative tools.</w:t>
      </w:r>
    </w:p>
    <w:p>
      <w:pPr/>
      <w:r>
        <w:rPr>
          <w:b/>
        </w:rPr>
        <w:t>POSSIBLE 2023:</w:t>
      </w:r>
      <w:r>
        <w:t xml:space="preserve"> Fool Your (Vision and) Language Model With Embarrassingly Simple Permutations — https://doi.org/10.48550/arxiv.2310.01651</w:t>
      </w:r>
    </w:p>
    <w:p>
      <w:pPr/>
      <w:r>
        <w:rPr>
          <w:b/>
        </w:rPr>
        <w:t>Shared claim-specific concepts:</w:t>
      </w:r>
      <w:r>
        <w:t xml:space="preserve"> popular, vision, simple; EU scope not established. This is a provisional connection, not an outcome finding.</w:t>
      </w:r>
    </w:p>
    <w:p>
      <w:pPr>
        <w:pStyle w:val="SourceNote"/>
      </w:pPr>
      <w:r>
        <w:rPr>
          <w:b/>
        </w:rPr>
        <w:t>Available abstract (not full text):</w:t>
      </w:r>
      <w:r>
        <w:t xml:space="preserve"> Large language and vision-language models are rapidly being deployed in practice thanks to their impressive capabilities in instruction following, in-context learning, and so on. This raises an urgent need to carefully analyse their robustness so that stakeholders can understand if and when such models are trustworthy enough to be relied upon in any given application. In this paper, we highlight a specific vulnerability in popular models, namely permutation sensitivity in multiple-choice question answering (MCQA). Specifically, we show empirically that popular models are vulnerable to adversarial permutation in answer sets for multiple-choice prompting, which is surprising as models should ideally be as invariant to prompt permutation as humans are. These vulnerabilities persist across various model sizes, and exist in very recent language and vision-language models. Code is available at https://github.com/ys-zong/FoolyourVLLMs.</w:t>
      </w:r>
    </w:p>
    <w:p>
      <w:pPr/>
      <w:r>
        <w:rPr>
          <w:b/>
        </w:rPr>
        <w:t>POSSIBLE 2020:</w:t>
      </w:r>
      <w:r>
        <w:t xml:space="preserve"> European Strategic Autonomy - chances and challenges for Europe — https://openalex.org/W3129001693</w:t>
      </w:r>
    </w:p>
    <w:p>
      <w:pPr/>
      <w:r>
        <w:rPr>
          <w:b/>
        </w:rPr>
        <w:t>Shared claim-specific concepts:</w:t>
      </w:r>
      <w:r>
        <w:t xml:space="preserve"> popular, vision, based; EU scope visible. This is a provisional connection, not an outcome finding.</w:t>
      </w:r>
    </w:p>
    <w:p>
      <w:pPr>
        <w:pStyle w:val="SourceNote"/>
      </w:pPr>
      <w:r>
        <w:rPr>
          <w:b/>
        </w:rPr>
        <w:t>Available abstract (not full text):</w:t>
      </w:r>
      <w:r>
        <w:t xml:space="preserve"> The thesis explores the use of the term European Strategic Autonomy in the Common Security and Defence Policy (CFSP) of the European Union. The security environment around Europe has become increasingly unstable in the last 15 years. The EU Commission has tried to take account of the deteriorating geopolitical landscape by publishing an EU Global Strategy document in 2016 to share its vision for a stronger Europe. The document calls for strategic autonomy without properly defining it. Since then, many policy papers have captured the term and used it as a popular buzzword. Because it has not been properly defined on the political level, European Strategy Autonomy (ESA) was subject to speculations and national interpretations which did not help to advance the debate. Based on an extensive literature review the paper provides a comprehensive understanding by giving an historic overview and presenting different configurations of ESA in the contemporary context. A comparative case study, including France, Germany, and the Czech Republic has been conducted to assess their interpretation of the notion. The result of the case studies showed inherently different perceptions underlaid by different motivations and identifies the political layer to be the biggest challenge for moving forward with the topic....</w:t>
      </w:r>
    </w:p>
    <w:p>
      <w:pPr/>
      <w:r>
        <w:rPr>
          <w:b/>
        </w:rPr>
        <w:t>POSSIBLE 2019:</w:t>
      </w:r>
      <w:r>
        <w:t xml:space="preserve"> Conan Fischer. A Vision of Europe: Franco-German Relations during the Great Depression, 1929–1932. — https://doi.org/10.1093/ahr/rhz1012</w:t>
      </w:r>
    </w:p>
    <w:p>
      <w:pPr/>
      <w:r>
        <w:rPr>
          <w:b/>
        </w:rPr>
        <w:t>Shared claim-specific concepts:</w:t>
      </w:r>
      <w:r>
        <w:t xml:space="preserve"> popular, vision, world; EU scope visible. This is a provisional connection, not an outcome finding.</w:t>
      </w:r>
    </w:p>
    <w:p>
      <w:pPr>
        <w:pStyle w:val="SourceNote"/>
      </w:pPr>
      <w:r>
        <w:rPr>
          <w:b/>
        </w:rPr>
        <w:t>Available abstract (not full text):</w:t>
      </w:r>
      <w:r>
        <w:t xml:space="preserve"> With the one hundredth anniversary of the signing of the Treaty of Versailles (June 28, 1919), historians have lined up to have their say on what went wrong in post–World War I Europe. Two rather entrenched narratives usually parse the Paris Peace Conference of 1919. On the one hand, the conference is lauded for creating a world system in the League of Nations, which was ultimately betrayed and hobbled by the depredations of the dictators in the 1930s. The second interpretation is more specifically related to the Treaty of Versailles, which brought a formal end to World War I between Germany and the Entente Powers. In A Vision of Europe: Franco-German Relations during the Great Depression, 1929–1932, Conan Fischer calls it “a treaty too benign to guarantee French security and too severe to secure German goodwill” (14); Versailles is linked in the popular and scholarly minds with the advent...</w:t>
      </w:r>
    </w:p>
    <w:p>
      <w:pPr/>
      <w:r>
        <w:rPr>
          <w:b/>
        </w:rPr>
        <w:t>POSSIBLE 2019:</w:t>
      </w:r>
      <w:r>
        <w:t xml:space="preserve"> The Church in a Pluralistic World: The Public Vision of Ressourcement — https://doi.org/10.3390/rel10110594</w:t>
      </w:r>
    </w:p>
    <w:p>
      <w:pPr/>
      <w:r>
        <w:rPr>
          <w:b/>
        </w:rPr>
        <w:t>Shared claim-specific concepts:</w:t>
      </w:r>
      <w:r>
        <w:t xml:space="preserve"> vision, world, based; EU scope visible. This is a provisional connection, not an outcome finding.</w:t>
      </w:r>
    </w:p>
    <w:p>
      <w:pPr>
        <w:pStyle w:val="SourceNote"/>
      </w:pPr>
      <w:r>
        <w:rPr>
          <w:b/>
        </w:rPr>
        <w:t>Available abstract (not full text):</w:t>
      </w:r>
      <w:r>
        <w:t xml:space="preserve"> The dual concern of this article is to present the vision of the church articulated by the renowned generation of Catholic ressourcement thinkers in the mid-twentieth century, and to demonstrate its continued fecundity in the pluralist, multi-cultural context of contemporary western society. It seeks to contribute primarily to ecclesiology, while also providing historical and social commentary with respectful suggestions for its relevance to present-day ecclesiology. The article provides an interpretative framework for understanding ressourcement with reference to its philosophical foundations and the vision of its founders. Its aims are, first, to articulate the role of ressourcement in the modern context and, secondly, to document the genesis and emergence of that movement’s perception of the church’s mandate in the world, based on an essential return to the sources of Christianity. The paper presents the public vision of ressourcement ecclesiology in two parts, drawing principally, though not exclusively, on the work of the two leading intellectual orders of the Catholic Church at the time of its formulation, namely, the Dominicans and the Jesuits of France. In this paper, I limit myself to the French-speaking Jesuits and Dominicans and do not refer to Rahner, Semmelroth, Schillebeeckx or Schoonenberg.</w:t>
      </w:r>
    </w:p>
    <w:p>
      <w:pPr/>
      <w:r>
        <w:rPr>
          <w:b/>
        </w:rPr>
        <w:t>POSSIBLE 2019:</w:t>
      </w:r>
      <w:r>
        <w:t xml:space="preserve"> H.C. ANDERSEN’S TRAVEL BOOKS – A FAIRY-TALE VISION OF EUROPE — https://doi.org/10.2307/j.ctvggx29s.22</w:t>
      </w:r>
    </w:p>
    <w:p>
      <w:pPr/>
      <w:r>
        <w:rPr>
          <w:b/>
        </w:rPr>
        <w:t>Shared claim-specific concepts:</w:t>
      </w:r>
      <w:r>
        <w:t xml:space="preserve"> vision, world, based; EU scope visible. This is a provisional connection, not an outcome finding.</w:t>
      </w:r>
    </w:p>
    <w:p>
      <w:pPr>
        <w:pStyle w:val="SourceNote"/>
      </w:pPr>
      <w:r>
        <w:rPr>
          <w:b/>
        </w:rPr>
        <w:t>Available abstract (not full text):</w:t>
      </w:r>
      <w:r>
        <w:t xml:space="preserve"> Hans Christian Andersen is well known as a writer of fairy tales, but a corpus of travel books also constitutes a large part of his literary heritage. Influenced by the poetics of the novel, the focus of travel books shifted from images of foreign countries, landscapes and descriptions of unusual situations, to the inner world of the traveller, which might be more interesting for a reader than the external world. The narrator thus becomes the protagonist of the tale, bringing such travel books closer to fiction. It is argued that Andersen's fairy tale poetics has its roots in his travel books. These books include many stories, each of which could be considered a separate text. The first book, Skyggebillede (1831), was based on his trip to Germany and contains a number of small narratives similar to fairy tales published after 1835. Here, Andersen transformed the traditional form of travel book, with his poetic vision of Germany more important than reality, which was only the background for the author's fantasy. His later travel books, En digters bazar (1842) and I Sverige (1849), contain texts which were included in Andersen's collections of fairy tales and stories. Here, his images of European cities, nature and other famous sites are not mere descriptions but also romantic pictures where fairy tale fantasy plays a very important role.</w:t>
      </w:r>
    </w:p>
    <w:p>
      <w:pPr/>
      <w:r>
        <w:rPr>
          <w:b/>
        </w:rPr>
        <w:t>POSSIBLE 2017:</w:t>
      </w:r>
      <w:r>
        <w:t xml:space="preserve"> MobileNets: Efficient Convolutional Neural Networks for Mobile Vision Applications — https://doi.org/10.48550/arxiv.1704.04861</w:t>
      </w:r>
    </w:p>
    <w:p>
      <w:pPr/>
      <w:r>
        <w:rPr>
          <w:b/>
        </w:rPr>
        <w:t>Shared claim-specific concepts:</w:t>
      </w:r>
      <w:r>
        <w:t xml:space="preserve"> popular, vision, called, simple, based; EU scope not established. This is a provisional connection, not an outcome finding.</w:t>
      </w:r>
    </w:p>
    <w:p>
      <w:pPr>
        <w:pStyle w:val="SourceNote"/>
      </w:pPr>
      <w:r>
        <w:rPr>
          <w:b/>
        </w:rPr>
        <w:t>Available abstract (not full text):</w:t>
      </w:r>
      <w:r>
        <w:t xml:space="preserve"> We present a class of efficient models called MobileNets for mobile and embedded vision applications. MobileNets are based on a streamlined architecture that uses depth-wise separable convolutions to build light weight deep neural networks. We introduce two simple global hyper-parameters that efficiently trade off between latency and accuracy. These hyper-parameters allow the model builder to choose the right sized model for their application based on the constraints of the problem. We present extensive experiments on resource and accuracy tradeoffs and show strong performance compared to other popular models on ImageNet classification. We then demonstrate the effectiveness of MobileNets across a wide range of applications and use cases including object detection, finegrain classification, face attributes and large scale geo-localization.</w:t>
      </w:r>
    </w:p>
    <w:p>
      <w:pPr>
        <w:pStyle w:val="Heading2"/>
      </w:pPr>
      <w:r>
        <w:t>845. Prospects of labour migration pressure in Algeria, Morocco, Tunisia and Turkey</w:t>
      </w:r>
    </w:p>
    <w:p>
      <w:pPr>
        <w:pStyle w:val="SourceNote"/>
      </w:pPr>
      <w:r>
        <w:rPr>
          <w:b/>
        </w:rPr>
        <w:t>Original source (2016):</w:t>
      </w:r>
      <w:r>
        <w:t xml:space="preserve"> https://doi.org/10.1186/s41118-016-0015-x</w:t>
      </w:r>
    </w:p>
    <w:p>
      <w:pPr/>
      <w:r>
        <w:t>Original wording (abstract; indexed_source_text_not_full_document_verified): This model is then used as framework for deriving storylines for three different scenarios of economic and demographic change up to 2035. Subsequently, storylines are operationalized, leading to scenario estimates of migration pressure up to 2035.</w:t>
      </w:r>
    </w:p>
    <w:p>
      <w:pPr/>
      <w:r>
        <w:rPr>
          <w:b/>
        </w:rPr>
        <w:t>POSSIBLE 2026:</w:t>
      </w:r>
      <w:r>
        <w:t xml:space="preserve"> Deriving Character Logic from Storyline as Codified Decision Trees — https://doi.org/10.18653/v1/2026.acl-long.568</w:t>
      </w:r>
    </w:p>
    <w:p>
      <w:pPr/>
      <w:r>
        <w:rPr>
          <w:b/>
        </w:rPr>
        <w:t>Shared claim-specific concepts:</w:t>
      </w:r>
      <w:r>
        <w:t xml:space="preserve"> framework, deriving, leading; EU scope not established. This is a provisional connection, not an outcome finding.</w:t>
      </w:r>
    </w:p>
    <w:p>
      <w:pPr>
        <w:pStyle w:val="SourceNote"/>
      </w:pPr>
      <w:r>
        <w:rPr>
          <w:b/>
        </w:rPr>
        <w:t>Available abstract (not full text):</w:t>
      </w:r>
      <w:r>
        <w:t xml:space="preserve"> Role-playing (RP) agents rely on behavioral profiles to act consistently across diverse narrative contexts, yet existing profiles are largely unstructured, non-executable, and weakly validated, leading to brittle agent behavior.We propose Codified Decision Trees (CDT), a datadriven framework that induces an executable and interpretable decision structure from largescale narrative data.CDT represents behavioral profiles as a tree of conditional rules, where internal nodes correspond to validated scene conditions and leaves encode grounded behavioral statements, enabling deterministic retrieval of context-appropriate rules at execution time.The tree is learned by iteratively inducing candidate scene-action rules, validating them against data, and refining them through hierarchical specialization, yielding profiles that support transparent inspection and principled updates.Across multiple benchmarks, CDT substantially outperforms human-written profiles and prior profile induction methods on 85 characters across 16 artifacts, indicating that codified and validated behavioral representations lead to more reliable agent grounding.1</w:t>
      </w:r>
    </w:p>
    <w:p>
      <w:pPr/>
      <w:r>
        <w:rPr>
          <w:b/>
        </w:rPr>
        <w:t>POSSIBLE 2026:</w:t>
      </w:r>
      <w:r>
        <w:t xml:space="preserve"> Probabilistic storyline attribution using machine learning — https://doi.org/10.1088/3049-4753/aea4b7</w:t>
      </w:r>
    </w:p>
    <w:p>
      <w:pPr/>
      <w:r>
        <w:rPr>
          <w:b/>
        </w:rPr>
        <w:t>Shared claim-specific concepts:</w:t>
      </w:r>
      <w:r>
        <w:t xml:space="preserve"> deriving, storylines, different; EU scope visible. This is a provisional connection, not an outcome finding.</w:t>
      </w:r>
    </w:p>
    <w:p>
      <w:pPr>
        <w:pStyle w:val="SourceNote"/>
      </w:pPr>
      <w:r>
        <w:rPr>
          <w:b/>
        </w:rPr>
        <w:t>Available abstract (not full text):</w:t>
      </w:r>
      <w:r>
        <w:t xml:space="preserve"> A fundamental goal in climate attribution is to estimate how forced climate change contributes to observed extreme weather events. The storyline attribution method compares an observed weather event, conditional on its atmospheric dynamic state (i.e., atmospheric circulation), in the current, 'factual' climate to an event with very similar circulation conditions in a hypothetical, 'counterfactual' climate. However, simulating these storylines with physical climate models across different climate forcing states is computationally costly, allowing only a limited number of storyline realizations. Statistical and machine learning techniques may overcome this limitation; yet, emulating circulation-conditional extreme events under different climate states is challenging. Here, we demonstrate distributional autoencoders (DAEs) as a versatile method for generating climate counterfactuals. They model the distribution of spatially resolved European temperature fields conditional on the atmospheric circulation state and the mean global warming level. These distributions allow for deriving meaningful conditional probability ratios, which is a particular advantage of the DAE-based storyline approach. We train DAEs on fully coupled climate model simulations and we evaluate the modelled distributions across different factual and storyline-based counterfactual climate model simulations. In an </w:t>
      </w:r>
    </w:p>
    <w:p>
      <w:pPr/>
      <w:r>
        <w:rPr>
          <w:b/>
        </w:rPr>
        <w:t>POSSIBLE 2026:</w:t>
      </w:r>
      <w:r>
        <w:t xml:space="preserve"> Storyline Trees: Hierarchical Representations for Long-Form Narratives — https://doi.org/10.48550/arxiv.2606.20900</w:t>
      </w:r>
    </w:p>
    <w:p>
      <w:pPr/>
      <w:r>
        <w:rPr>
          <w:b/>
        </w:rPr>
        <w:t>Shared claim-specific concepts:</w:t>
      </w:r>
      <w:r>
        <w:t xml:space="preserve"> then, storylines, three; EU scope not established. This is a provisional connection, not an outcome finding.</w:t>
      </w:r>
    </w:p>
    <w:p>
      <w:pPr>
        <w:pStyle w:val="SourceNote"/>
      </w:pPr>
      <w:r>
        <w:rPr>
          <w:b/>
        </w:rPr>
        <w:t>Available abstract (not full text):</w:t>
      </w:r>
      <w:r>
        <w:t xml:space="preserve"> Long-form narratives are challenging for long-context models because their structure is implicit: events, characters, and plotlines interact across hundreds of pages without the explicit cues that guide navigation in structured documents. We address this by constructing storyline trees, hierarchical representations that organize narratives from global themes and major plotlines to fine-grained events. We first segment chapters into contiguous narrative segments, or scenes, and use them as the basic units for tree construction. We then infer storyline trees through complementary top-down and bottom-up procedures that derive, refine, cluster, and summarize storylines at multiple levels of abstraction. We showcase the utility of this representation for question answering: storyline trees enable adaptive retrieval, allowing models to iteratively inspect high-level narrative structure and retrieve scene-level evidence on demand. Experiments on three long-context narrative QA benchmarks show that adaptive retrieval outperforms strong baselines, including post-trained long-context models and agentic chunk-based methods. Ablations confirm that scenes are more effective basic units than chapters or generic segmentation, and that gains persist under matched retrieval budgets</w:t>
      </w:r>
    </w:p>
    <w:p>
      <w:pPr/>
      <w:r>
        <w:rPr>
          <w:b/>
        </w:rPr>
        <w:t>POSSIBLE 2025:</w:t>
      </w:r>
      <w:r>
        <w:t xml:space="preserve"> Exploring AI-Driven Event-based Storylines — https://doi.org/10.5194/egusphere-egu25-8169</w:t>
      </w:r>
    </w:p>
    <w:p>
      <w:pPr/>
      <w:r>
        <w:rPr>
          <w:b/>
        </w:rPr>
        <w:t>Shared claim-specific concepts:</w:t>
      </w:r>
      <w:r>
        <w:t xml:space="preserve"> framework, storylines; EU scope not established. This is a provisional connection, not an outcome finding.</w:t>
      </w:r>
    </w:p>
    <w:p>
      <w:pPr>
        <w:pStyle w:val="SourceNote"/>
      </w:pPr>
      <w:r>
        <w:rPr>
          <w:b/>
        </w:rPr>
        <w:t>Available abstract (not full text):</w:t>
      </w:r>
      <w:r>
        <w:t xml:space="preserve"> Artificial Intelligence-based Numerical Weather Prediction (AI-NWP) models have recently emerged as powerful tools for weather forecasting, offering computational efficiency and high accuracy. This study explores the extreme weather events simulated by the Artificial Intelligence Forecasting System (AIFS), initialised with conditions derived from kilometer-scale storyline experiments using the IFS-FESOM model ─ where the atmospheric circulation is constrained to observations. We present two case studies: the 2023 South Asian humid heatwave and the 2024 Storm Boris. These two events are reproduced in the present climate, but also simulated if they were to unfold in pre-industrial and +2K future climates, effectively creating AI-driven storylines. The methodology we employ offers a complementary framework, where the use of AI-driven ensembles provides a scalable and rapid way to assess the potential uncertainty and variability associated with such events, by enabling us to explore a broader range of plausible outcomes at very low computational costs. By combining the strengths of physics-based modelling with the efficiency and flexibility of AI-driven simulations, this dual approach offers a pathway to operationalise ensemble-based extreme weather storylines.</w:t>
      </w:r>
    </w:p>
    <w:p>
      <w:pPr/>
      <w:r>
        <w:rPr>
          <w:b/>
        </w:rPr>
        <w:t>POSSIBLE 2023:</w:t>
      </w:r>
      <w:r>
        <w:t xml:space="preserve"> Modeling hadronization using machine learning — https://doi.org/10.21468/scipostphys.14.3.027</w:t>
      </w:r>
    </w:p>
    <w:p>
      <w:pPr/>
      <w:r>
        <w:rPr>
          <w:b/>
        </w:rPr>
        <w:t>Shared claim-specific concepts:</w:t>
      </w:r>
      <w:r>
        <w:t xml:space="preserve"> then, used; EU scope not established. This is a provisional connection, not an outcome finding.</w:t>
      </w:r>
    </w:p>
    <w:p>
      <w:pPr>
        <w:pStyle w:val="SourceNote"/>
      </w:pPr>
      <w:r>
        <w:rPr>
          <w:b/>
        </w:rPr>
        <w:t>Available abstract (not full text):</w:t>
      </w:r>
      <w:r>
        <w:t xml:space="preserve"> We present the first steps in the development of a new class of hadronization models utilizing machine learning techniques. We successfully implement, validate, and train a conditional sliced-Wasserstein autoencoder to replicate the Pythia generated kinematic distributions of first-hadron emissions, when the Lund string model of hadronization implemented in Pythia is restricted to the emissions of pions only. The trained models are then used to generate the full hadronization chains, with an IR cutoff energy imposed externally. The hadron multiplicities and cumulative kinematic distributions are shown to match the Pythia generated ones. We also discuss possible future generalizations of our results.</w:t>
      </w:r>
    </w:p>
    <w:p>
      <w:pPr/>
      <w:r>
        <w:rPr>
          <w:b/>
        </w:rPr>
        <w:t>POSSIBLE 2022:</w:t>
      </w:r>
      <w:r>
        <w:t xml:space="preserve"> Geo-Storylines: Integrating Maps Into Storyline Visualizations — https://doi.org/10.1109/tvcg.2022.3209480</w:t>
      </w:r>
    </w:p>
    <w:p>
      <w:pPr/>
      <w:r>
        <w:rPr>
          <w:b/>
        </w:rPr>
        <w:t>Shared claim-specific concepts:</w:t>
      </w:r>
      <w:r>
        <w:t xml:space="preserve"> used, storylines, three, different; EU scope not established. This is a provisional connection, not an outcome finding.</w:t>
      </w:r>
    </w:p>
    <w:p>
      <w:pPr>
        <w:pStyle w:val="SourceNote"/>
      </w:pPr>
      <w:r>
        <w:rPr>
          <w:b/>
        </w:rPr>
        <w:t>Available abstract (not full text):</w:t>
      </w:r>
      <w:r>
        <w:t xml:space="preserve"> Storyline visualizations are a powerful way to compactly visualize how the relationships between people evolve over time. Real-world relationships often also involve space, for example the cities that two political rivals visited together or alone over the years. By default, Storyline visualizations only show implicitly geospatial co-occurrence between people (drawn as lines), by bringing their lines together. Even the few designs that do explicitly show geographic locations only do so in abstract ways (e.g., annotations) and do not communicate geospatial information, such as the direction or extent of their political campains. We introduce Geo-Storylines, a collection of visualisation designs that integrate geospatial context into Storyline visualizations, using different strategies for compositing time and space. Our contribution is twofold. First, we present the results of a sketching workshop with 11 participants, that we used to derive a design space for integrating maps into Storylines. Second, by analyzing the strengths and weaknesses of the potential designs of the design space in terms of legibility and ability to scale to multiple relationships, we extract the three most promising: Time Glyphs, Coordinated Views, and Map Glyphs. We compare these three techniques first in a controlled study with 18 participants, under five different geospatial tasks and two maps of dif</w:t>
      </w:r>
    </w:p>
    <w:p>
      <w:pPr/>
      <w:r>
        <w:rPr>
          <w:b/>
        </w:rPr>
        <w:t>POSSIBLE 2022:</w:t>
      </w:r>
      <w:r>
        <w:t xml:space="preserve"> Regionalization of hydrological model parameters using gradient boosting machine — https://doi.org/10.5194/hess-26-505-2022</w:t>
      </w:r>
    </w:p>
    <w:p>
      <w:pPr/>
      <w:r>
        <w:rPr>
          <w:b/>
        </w:rPr>
        <w:t>Shared claim-specific concepts:</w:t>
      </w:r>
      <w:r>
        <w:t xml:space="preserve"> used, deriving; EU scope not established. This is a provisional connection, not an outcome finding.</w:t>
      </w:r>
    </w:p>
    <w:p>
      <w:pPr>
        <w:pStyle w:val="SourceNote"/>
      </w:pPr>
      <w:r>
        <w:rPr>
          <w:b/>
        </w:rPr>
        <w:t>Available abstract (not full text):</w:t>
      </w:r>
      <w:r>
        <w:t xml:space="preserve"> Abstract. Regionalization of hydrological model parameters is key to hydrological predictions in ungauged basins. The commonly used multiple linear regression (MLR) method may not be applicable in complex and nonlinear relationships between model parameters and watershed properties. Moreover, most regionalization methods assume lumped parameters for each catchment without considering within-catchment heterogeneity. Here we incorporated the Penman-Monteith-Leuning (PML) equation into the Distributed Time-Variant Gain Model (DTVGM) to improve the mechanistic representation of the evapotranspiration process. We calibrated six key model parameters grid-by-grid across China using a multivariable calibration strategy, which incorporates spatiotemporal runoff and evapotranspiration (ET) datasets (0.25°, monthly) as reference. In addition, we used the gradient boosting machine (GBM), a machine learning technique, to portray the dependence of model parameters on soil and terrain attributes in four distinct climatic zones across China. We show that the modified DTVGM could reasonably estimate the runoff and ET over China using the calibrated parameters, but performed better in humid than arid regions for the validation period. The regionalized parameters by the GBM method exhibited better spatial coherence relative to the calibrated grid-by-grid parameters. In addition, GBM outperformed </w:t>
      </w:r>
    </w:p>
    <w:p>
      <w:pPr/>
      <w:r>
        <w:rPr>
          <w:b/>
        </w:rPr>
        <w:t>POSSIBLE 2021:</w:t>
      </w:r>
      <w:r>
        <w:t xml:space="preserve"> Large ensemble climate modelling time series for the Rhine catchment, including drought2018 storylines — https://doi.org/10.5281/zenodo.5083159</w:t>
      </w:r>
    </w:p>
    <w:p>
      <w:pPr/>
      <w:r>
        <w:rPr>
          <w:b/>
        </w:rPr>
        <w:t>Shared claim-specific concepts:</w:t>
      </w:r>
      <w:r>
        <w:t xml:space="preserve"> storylines, three; EU scope visible. This is a provisional connection, not an outcome finding.</w:t>
      </w:r>
    </w:p>
    <w:p>
      <w:pPr>
        <w:pStyle w:val="SourceNote"/>
      </w:pPr>
      <w:r>
        <w:rPr>
          <w:b/>
        </w:rPr>
        <w:t>Available abstract (not full text):</w:t>
      </w:r>
      <w:r>
        <w:t xml:space="preserve"> Dataset associated with Van der Wiel, Lenderink, De Vries (2021): Physical storylines of future European drought events like 2018 based on ensemble climate modelling, Weather and Climate Extremes, DOI 10.1016/j.wace.2021.100350. Large ensemble climate modelling time series for the Rhine catchment. The dataset contains three ensembles (present-day, pre-industrial + 2C-warming, pre-industrial + 3C-warming) of 2000 years each, various variables related to drought are included. All data is derived from the EC-Earth global climate model (v2, Hazeleger et al. 2012, DOI 10.1007/s00382-011-1228-5). Descriptions of large ensemble experimental setup can be found in Van der Wiel et al. (2019, DOI 10.1029/2019GL081967). Files: *_d_ECEarth_??_Rhine.tar.gz Additionally, three sets of storylines of droughts similar to the western European drought of 2018 are included. These are the simulated events selected from the large ensembles, using metrics 1, 2 and 3 of Van der Wiel et al. (2021, DOI 10.1016/j.wace.2021.100350). Files: drought18_m[123]_Rhine.tar.gz</w:t>
      </w:r>
    </w:p>
    <w:p>
      <w:pPr/>
      <w:r>
        <w:rPr>
          <w:b/>
        </w:rPr>
        <w:t>POSSIBLE 2020:</w:t>
      </w:r>
      <w:r>
        <w:t xml:space="preserve"> A primer on model selection using the Akaike Information Criterion — https://doi.org/10.1016/j.idm.2019.12.010</w:t>
      </w:r>
    </w:p>
    <w:p>
      <w:pPr/>
      <w:r>
        <w:rPr>
          <w:b/>
        </w:rPr>
        <w:t>Shared claim-specific concepts:</w:t>
      </w:r>
      <w:r>
        <w:t xml:space="preserve"> then, different; EU scope not established. This is a provisional connection, not an outcome finding.</w:t>
      </w:r>
    </w:p>
    <w:p>
      <w:pPr>
        <w:pStyle w:val="SourceNote"/>
      </w:pPr>
      <w:r>
        <w:rPr>
          <w:b/>
        </w:rPr>
        <w:t>Available abstract (not full text):</w:t>
      </w:r>
      <w:r>
        <w:t xml:space="preserve"> A powerful investigative tool in biology is to consider not a single mathematical model but a collection of models designed to explore different working hypotheses and select the best model in that collection. In these lecture notes, the usual workflow of the use of mathematical models to investigate a biological problem is described and the use of a collection of model is motivated. Models depend on parameters that must be estimated using observations; and when a collection of models is considered, the best model has then to be identified based on available observations. Hence, model calibration and selection, which are intrinsically linked, are essential steps of the workflow. Here, some procedures for model calibration and a criterion, the Akaike Information Criterion, of model selection based on experimental data are described. Rough derivation, practical technique of computation and use of this criterion are detailed.</w:t>
      </w:r>
    </w:p>
    <w:p>
      <w:pPr/>
      <w:r>
        <w:rPr>
          <w:b/>
        </w:rPr>
        <w:t>POSSIBLE 2020:</w:t>
      </w:r>
      <w:r>
        <w:t xml:space="preserve"> Positioning of systemic intermediaries in sustainability transitions: Between storylines and speech acts — https://doi.org/10.1016/j.eist.2020.02.006</w:t>
      </w:r>
    </w:p>
    <w:p>
      <w:pPr/>
      <w:r>
        <w:rPr>
          <w:b/>
        </w:rPr>
        <w:t>Shared claim-specific concepts:</w:t>
      </w:r>
      <w:r>
        <w:t xml:space="preserve"> storylines, three, different; EU scope not established. This is a provisional connection, not an outcome finding.</w:t>
      </w:r>
    </w:p>
    <w:p>
      <w:pPr>
        <w:pStyle w:val="SourceNote"/>
      </w:pPr>
      <w:r>
        <w:rPr>
          <w:b/>
        </w:rPr>
        <w:t>Available abstract (not full text):</w:t>
      </w:r>
      <w:r>
        <w:t xml:space="preserve"> How do systemic intermediaries obtain legitimate roles for themselves in innovation systems and transition processes? This is still an understudied question in the study of systemic intermediaries. We start from the observation that roles, or positions, are not given, but emerge in interactions as a negotiated set of rights and obligations. Inspired by positioning theory, which has its roots in symbolic interactionism, we analyse how positions are invoked in the actors’ various actions and statements (‘speech acts’) and how they draw from the mutually constructed narratives (‘storylines’) that enable and constrain the range of possible positions. We analyse, over time, the positioning of three Dutch systemic intermediaries in agriculture, energy production, and healthcare. We conclude that systemic intermediaries move together with the promise of the field and, as a consequence, have to reposition themselves. In different phases, they both profit and suffer from the dilemma between initiating and sustaining innovative systemic changes.</w:t>
      </w:r>
    </w:p>
    <w:p>
      <w:pPr/>
      <w:r>
        <w:rPr>
          <w:b/>
        </w:rPr>
        <w:t>POSSIBLE 2020:</w:t>
      </w:r>
      <w:r>
        <w:t xml:space="preserve"> The role of spatial and temporal model resolution in a flood event storyline approach in western Norway — https://doi.org/10.1016/j.wace.2020.100259</w:t>
      </w:r>
    </w:p>
    <w:p>
      <w:pPr/>
      <w:r>
        <w:rPr>
          <w:b/>
        </w:rPr>
        <w:t>Shared claim-specific concepts:</w:t>
      </w:r>
      <w:r>
        <w:t xml:space="preserve"> used, different, leading; EU scope visible. This is a provisional connection, not an outcome finding.</w:t>
      </w:r>
    </w:p>
    <w:p>
      <w:pPr>
        <w:pStyle w:val="SourceNote"/>
      </w:pPr>
      <w:r>
        <w:rPr>
          <w:b/>
        </w:rPr>
        <w:t>Available abstract (not full text):</w:t>
      </w:r>
      <w:r>
        <w:t xml:space="preserve"> We apply a physical climate storyline approach to an autumn flood event in the West Coast of Norway caused by an atmospheric river to demonstrate the value and challenges of higher spatial and temporal resolution in simulating flood impacts. We use a modelling chain whose outputs are familiar and used operationally, for example to issue flood warnings. With two different versions of a hydrological model, we show that (1) the higher spatial resolution between the global and regional climate model is necessary to realistically simulate the high spatial variability of precipitation in this mountainous region and (2) only with hourly data are we able to capture the fast flood-generating processes leading to the peak streamflow. The higher resolution regional atmospheric model captures the fact that with the passage of an atmospheric river, some valleys receive high amounts of precipitation and others not, while the coarser resolution global model shows uniform precipitation in the whole region. Translating the event into the future leads to similar results: while in some catchments, a future flood might be much larger than a present one, in others no event occurs as the atmospheric river simply does not hit that catchment. The use of an operational flood warning system for future events is expected to facilitate stakeholder engagement.</w:t>
      </w:r>
    </w:p>
    <w:p>
      <w:pPr/>
      <w:r>
        <w:rPr>
          <w:b/>
        </w:rPr>
        <w:t>POSSIBLE 2019:</w:t>
      </w:r>
      <w:r>
        <w:t xml:space="preserve"> A note on model selection using information criteria for general linear models estimated using REML — https://doi.org/10.1111/anzs.12254</w:t>
      </w:r>
    </w:p>
    <w:p>
      <w:pPr/>
      <w:r>
        <w:rPr>
          <w:b/>
        </w:rPr>
        <w:t>Shared claim-specific concepts:</w:t>
      </w:r>
      <w:r>
        <w:t xml:space="preserve"> then, used, different, estimates; EU scope not established. This is a provisional connection, not an outcome finding.</w:t>
      </w:r>
    </w:p>
    <w:p>
      <w:pPr>
        <w:pStyle w:val="SourceNote"/>
      </w:pPr>
      <w:r>
        <w:rPr>
          <w:b/>
        </w:rPr>
        <w:t>Available abstract (not full text):</w:t>
      </w:r>
      <w:r>
        <w:t xml:space="preserve"> It is common practice to compare the fit of non‐nested models using the Akaike (AIC) or Bayesian (BIC) information criteria. The basis of these criteria is the log‐likelihood evaluated at the maximum likelihood estimates of the unknown parameters. For the general linear model (and the linear mixed model, which is a special case), estimation is usually carried out using residual or restricted maximum likelihood (REML). However, for models with different fixed effects, the residual likelihoods are not comparable and hence information criteria based on the residual likelihood cannot be used. For model selection, it is often suggested that the models are refitted using maximum likelihood to enable the criteria to be used. The first aim of this paper is to highlight that both the AIC and BIC can be used for the general linear model by using the full log‐likelihood evaluated at the REML estimates. The second aim is to provide a derivation of the criteria under REML estimation. This aim is achieved by noting that the full likelihood can be decomposed into a marginal (residual) and conditional likelihood and this decomposition then incorporates aspects of both the fixed effects and variance parameters. Using this decomposition, the appropriate information criteria for model selection of models which differ in their fixed effects specification can be derived. An example is presented to </w:t>
      </w:r>
    </w:p>
    <w:p>
      <w:pPr>
        <w:pStyle w:val="Heading2"/>
      </w:pPr>
      <w:r>
        <w:t>846. Record dry summer in 2015 challenges precipitation projections in Central Europe</w:t>
      </w:r>
    </w:p>
    <w:p>
      <w:pPr>
        <w:pStyle w:val="SourceNote"/>
      </w:pPr>
      <w:r>
        <w:rPr>
          <w:b/>
        </w:rPr>
        <w:t>Original source (2016):</w:t>
      </w:r>
      <w:r>
        <w:t xml:space="preserve"> https://doi.org/10.1038/srep28334</w:t>
      </w:r>
    </w:p>
    <w:p>
      <w:pPr/>
      <w:r>
        <w:t>Original wording (abstract; indexed_source_text_not_full_document_verified): Climate change projections suggest that climate in this area will shift towards warmer temperatures by the end of the 21 st century, while projected precipitation changes are highly uncertain. Even though the models best capturing past droughts are not necessarily generally more reliable in the future, the 2015 drought event illustrates that potential future drying trends have severe implications and could be stronger than commonly assumed from the entire IPCC AR5 model ensemble.</w:t>
      </w:r>
    </w:p>
    <w:p>
      <w:pPr/>
      <w:r>
        <w:rPr>
          <w:b/>
        </w:rPr>
        <w:t>POSSIBLE 2026:</w:t>
      </w:r>
      <w:r>
        <w:t xml:space="preserve"> Mopo pan-European VRE data: Climate change projections — https://doi.org/10.5281/zenodo.18549864</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This dataset provides simulated hourly wind and solar PV generation time series used in the Mopo project for pan‑European energy system modeling. The modeling framework follows https://doi.org/10.5281/zenodo.17950647 (validated in Nayak et al. (2025)), extended here to run on climate projections. Climate inputs come from two models from the Copernicus Climate Change Service (2024): MPI‑ESM1‑2‑HR (MEHR)and EC‑Earth3 (ECE3). For each model, two scenarios are simulated: SSP2‑4.5, representing an intermediate “middle‑of‑the‑road” pathway, and SSP5‑8.5, representing a very high‑emission pathway. This yields four climate projections covering 2015–2100 at hourly resolution. Following Luzia (2023), wind speeds in all projections are scaled using GWA2. Each climate projection includes: Solar PV: 3 simulated PV technologies. Offshore wind: 4 specific technologies (2 bottom‑fixed (FB) and 2 floating (FO)) plus an “existing” configuration. Onshore wind: 9 specific technologies plus an “existing” configuration. “Existing” runs represent installations characteristic of 2020 in the analyzed regions, while “specific technology” runs represent possible future VRE installations. See https://doi.org/10.5281/zenodo.17950647 for more details about the simulated VRE technologies and regions.</w:t>
      </w:r>
    </w:p>
    <w:p>
      <w:pPr/>
      <w:r>
        <w:rPr>
          <w:b/>
        </w:rPr>
        <w:t>POSSIBLE 2026:</w:t>
      </w:r>
      <w:r>
        <w:t xml:space="preserve"> Hydrological drought projections across Europe under climate change — https://doi.org/10.1038/s44304-025-00152-w</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Abstract Although drought is a natural hazard, growing global concern surrounds its increasing frequency and severity due to climate change. Projections indicate that drought conditions are expected to intensify worldwide in the future, and Europe is no exception. Therefore, understanding the pattern and characteristics of future drought is crucial to developing region-specific adaptation strategies to enhance resilience. This study presents a comprehensive assessment of future hydrological drought dynamics across Europe using the standardized runoff index (SRI). SRI was calculated at 1- and 3-month timescales for the historical period (1990–2014) and near-future period (2015–2049) based on downscaled climate data from Coupled Model Intercomparison Project Phase 6 (CMIP6) under two emission scenarios: SSP1-2.6 and SSP5-8.5, where SSP stands for shared socioeconomic pathways. The findings reveal an intensification of hydrological drought conditions, particularly in southern Europe. Notable increases in the frequency, severity, and spatial extent of drought events are observed, especially in countries such as France, Spain, and the Balkans. Seasonal analysis highlights spring as the most drought-prone season under both scenarios. These results underscore the urgent need for seasonally adaptive water management strategies to better anticipate future drought risks and strengthen re</w:t>
      </w:r>
    </w:p>
    <w:p>
      <w:pPr/>
      <w:r>
        <w:rPr>
          <w:b/>
        </w:rPr>
        <w:t>POSSIBLE 2026:</w:t>
      </w:r>
      <w:r>
        <w:t xml:space="preserve"> Exploiting km-scale climate projections to provide new insights into changing convective hazards in UK, Europe and Africa — https://doi.org/10.5194/egusphere-egu26-3880</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At the UK Met Office, recent advances in km-scale climate modelling include the first continuous 100-year ensemble projections at 2.2km resolution over the UK ( ‘UKCP Local’), and 4.5km ensemble projections over Africa. In this talk I will highlight new understanding of changes in heavy rainfall, convective storm hazards and tropical cyclones, with implications for flooding and adaptation planning. This includes insights into the interplay between natural variability and climate change, and the factors leading to apparent rapid transitions in the occurrence of local rainfall extremes through time. Over Europe, new understanding includes changes in severe convective storms and hail, that contrast with previous studies based on environmental proxies from coarser resolution climate models. Over Africa, km-scale models are able to capture the most intense tropical cyclones, providing a key advance in our modelling capability. This is showing that we need to be prepared for Category 5 tropical cyclones making landfall over Africa and the potential for landfall at southerly latitudes, both of which are unprecedented in the historical record.</w:t>
      </w:r>
    </w:p>
    <w:p>
      <w:pPr/>
      <w:r>
        <w:rPr>
          <w:b/>
        </w:rPr>
        <w:t>POSSIBLE 2026:</w:t>
      </w:r>
      <w:r>
        <w:t xml:space="preserve"> Agrometeorological risk of Epitrix papa in Europe under climate change using ERA5-land and EURO-CORDEX projections — https://doi.org/10.1016/j.scitotenv.2026.181366</w:t>
      </w:r>
    </w:p>
    <w:p>
      <w:pPr/>
      <w:r>
        <w:rPr>
          <w:b/>
        </w:rPr>
        <w:t>Shared claim-specific concepts:</w:t>
      </w:r>
      <w:r>
        <w:t xml:space="preserve"> climate, projections, shift, past; EU scope visible. This is a provisional connection, not an outcome finding.</w:t>
      </w:r>
    </w:p>
    <w:p>
      <w:pPr>
        <w:pStyle w:val="SourceNote"/>
      </w:pPr>
      <w:r>
        <w:rPr>
          <w:b/>
        </w:rPr>
        <w:t>Available abstract (not full text):</w:t>
      </w:r>
      <w:r>
        <w:t xml:space="preserve"> The European distribution range of the recently described potentially threatening potato flea beetle Epitrix papa remain unknown. Understanding its potential range and future spread dynamics requires a host-specific thermal niche assessment. We developed an Epitrix Suitability Index (ESI) by combining a potato Host Suitability Index (HSI), proxied by July mean air temperature with, a Climate Suitability Index (CSI),derived from degree-day accumulation between 1 March and30 September (base 8.1 °C, 625 °Cday per generation). Past conditions were reconstructed from ERA5-Land for 1990–2024; whilefuture projections based on CORDEX-CORE (EUR-22) RegCM4 downscaling of three GCMs under RCP2.6 / SSP1–2.6-TYPE LOW FORCING and RCP8.5 / SSP5–8.5-TYPE HIGH FORCING for 2041–2070 and 2071–2099. Present-day patterns reproduce known potato belts and show high model-agreement across Western and Central Europe, with greater spread across complex terrains such as Alps, the Carpathians, and Fennoscandia, as well as at transition zones. Projections indicate a possible northward shift of suitability of the host and pest, with the strongest shift under RCP8.5 / SSP5–8.5-TYPE HIGH FORCING during 2071–2099. This shift is accompanied by an increasing ESI across the British Isles, southern Scandinavia and the Baltic region, while parts of the Mediterranean may become less suitableas a result of heat stres</w:t>
      </w:r>
    </w:p>
    <w:p>
      <w:pPr/>
      <w:r>
        <w:rPr>
          <w:b/>
        </w:rPr>
        <w:t>POSSIBLE 2025:</w:t>
      </w:r>
      <w:r>
        <w:t xml:space="preserve"> Projections of streamflow intermittence under climate change in European drying river networks — https://doi.org/10.5194/hess-29-1615-2025</w:t>
      </w:r>
    </w:p>
    <w:p>
      <w:pPr/>
      <w:r>
        <w:rPr>
          <w:b/>
        </w:rPr>
        <w:t>Shared claim-specific concepts:</w:t>
      </w:r>
      <w:r>
        <w:t xml:space="preserve"> climate, projections, shift, end, century, past; EU scope visible. This is a provisional connection, not an outcome finding.</w:t>
      </w:r>
    </w:p>
    <w:p>
      <w:pPr>
        <w:pStyle w:val="SourceNote"/>
      </w:pPr>
      <w:r>
        <w:rPr>
          <w:b/>
        </w:rPr>
        <w:t>Available abstract (not full text):</w:t>
      </w:r>
      <w:r>
        <w:t xml:space="preserve"> Abstract. Climate and land use changes, as well as human water use and flow alterations, are causing worldwide shifts in river flow dynamics. During the last decades, low-flows, flow intermittence, and drying have increased in many regions of the world, including Europe. This trend is projected to continue and exacerbate in the future, resulting in more frequent and intense hydrological droughts. However, due to a lack of data and studies on temporary rivers in the past, little is known about the processes governing the development of flow intermittence and drying, their timing and frequency, as well as their long-term evolution under climate change. Moreover, understanding the impact of climate change on the drying up of rivers is crucial to assess the impact of climate change on aquatic ecosystems, biodiversity and functional integrity of freshwater systems. This study is one of the first to present future projections of drying in intermittent river networks, and to analyze future changes in the drying patterns at high resolution spatial and temporal scale. The flow intermittence projections were produced using a hybrid hydrological model forced with climate projection data from 1985 until 2100 under three climate scenarios in six European drying river networks. The watersheds areas are situated in different biogeographic regions, located in Spain, France, Croatia, Hungary, C</w:t>
      </w:r>
    </w:p>
    <w:p>
      <w:pPr/>
      <w:r>
        <w:rPr>
          <w:b/>
        </w:rPr>
        <w:t>POSSIBLE 2025:</w:t>
      </w:r>
      <w:r>
        <w:t xml:space="preserve"> The Accelerating Exposure of European Protected Areas to Climate Change — https://doi.org/10.1111/gcb.70261</w:t>
      </w:r>
    </w:p>
    <w:p>
      <w:pPr/>
      <w:r>
        <w:rPr>
          <w:b/>
        </w:rPr>
        <w:t>Shared claim-specific concepts:</w:t>
      </w:r>
      <w:r>
        <w:t xml:space="preserve"> climate, area, highly; EU scope visible. This is a provisional connection, not an outcome finding.</w:t>
      </w:r>
    </w:p>
    <w:p>
      <w:pPr>
        <w:pStyle w:val="SourceNote"/>
      </w:pPr>
      <w:r>
        <w:rPr>
          <w:b/>
        </w:rPr>
        <w:t>Available abstract (not full text):</w:t>
      </w:r>
      <w:r>
        <w:t xml:space="preserve"> All ecosystems are affected by climate change, but differences in the pace of change will render some areas more exposed than others. Such spatial patterns of risk are important when assessing the continued functionality of protected area (PA) networks or planning for their expansion. Europe is undertaking an expansion of the PA network to cover 30% of its land and sea surface by 2030, but this must account for climate risk. Here, we estimate four metrics of future climate risk across Europe: local velocity, analog velocity, magnitude, and residence time, and assess the level of climate exposure of European PAs vs. nonprotected control sites. We also evaluate the intensity of climate risks on &gt; 1000 European species of conservation concern associated with Natura 2000 sites. Our results show large spatial differences in climate change exposure across Europe, with a faster pace and farther shifts in the Boreal, Steppic, and Pannonian regions but slower changes in the Mediterranean, Alpine, Arctic, and Macaronesia regions. The magnitude of climate change was higher for the Arctic, Alpine, and Mediterranean regions, implying large local differences between present and future climate. These spatial risk patterns were largely consistent across scenarios, but with up to three times higher risk under the most pessimistic vs. the most optimistic scenario. Large variation in climate expo</w:t>
      </w:r>
    </w:p>
    <w:p>
      <w:pPr/>
      <w:r>
        <w:rPr>
          <w:b/>
        </w:rPr>
        <w:t>POSSIBLE 2025:</w:t>
      </w:r>
      <w:r>
        <w:t xml:space="preserve"> Functional bat diversity and the role of the protected areas against climate change projections across Europe — https://doi.org/10.1016/j.scitotenv.2025.180567</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Assessment of the monthly risk of dirofilariosis infection in Europe and its projection to 2100 under climate change from a One Health perspective — https://doi.org/10.1186/s13071-025-07148-5</w:t>
      </w:r>
    </w:p>
    <w:p>
      <w:pPr/>
      <w:r>
        <w:rPr>
          <w:b/>
        </w:rPr>
        <w:t>Shared claim-specific concepts:</w:t>
      </w:r>
      <w:r>
        <w:t xml:space="preserve"> climate, temperatures; EU scope visible. This is a provisional connection, not an outcome finding.</w:t>
      </w:r>
    </w:p>
    <w:p>
      <w:pPr>
        <w:pStyle w:val="SourceNote"/>
      </w:pPr>
      <w:r>
        <w:rPr>
          <w:b/>
        </w:rPr>
        <w:t>Available abstract (not full text):</w:t>
      </w:r>
      <w:r>
        <w:t xml:space="preserve"> BACKGROUND: Dirofilariosis is a vector-borne zoonotic disease primarily caused by the parasitic nematodes Dirofilaria immitis and D. repens. In Europe, the disease has expanded from traditionally endemic southern countries to central and northeastern regions, many of which are now also considered endemic. This study aimed to generate infection risk maps for dirofilariosis in Europe using ecoinformatic tools, at both annual and monthly scales, to serve as a prevention tool and contribute to more effective control of the disease, as well as helping to stop its spread. METHODS: A habitat suitability map was generated for the two most important and widely distributed culicid vectors in Europe (Culex pipiens and Aedes albopictus). This map was weighted with the number of D. immitis generations in the vectors, both annually and monthly. The resulting annual risk map was validated with georeferenced records of D. immitis- and D. repens-infected dogs and cats. In addition, a future habitat suitability projection for both vector species was performed for the year 2100 under the Representative Concentration Pathway (RCP) 8.5 climate change scenario. RESULTS: Dirofilariosis infection risk in Europe is highest in southern countries, where favorable climatic conditions and increased vector activity coincide. Central Europe showed medium- to high-risk values, while northern latitudes exhibit</w:t>
      </w:r>
    </w:p>
    <w:p>
      <w:pPr/>
      <w:r>
        <w:rPr>
          <w:b/>
        </w:rPr>
        <w:t>POSSIBLE 2025:</w:t>
      </w:r>
      <w:r>
        <w:t xml:space="preserve"> What do warming-adjusted CORDEX RCM projections tell us about climate change in central Europe? — https://doi.org/10.5194/egusphere-egu25-15870</w:t>
      </w:r>
    </w:p>
    <w:p>
      <w:pPr/>
      <w:r>
        <w:rPr>
          <w:b/>
        </w:rPr>
        <w:t>Shared claim-specific concepts:</w:t>
      </w:r>
      <w:r>
        <w:t xml:space="preserve"> climate, projections; EU scope visible. This is a provisional connection, not an outcome finding.</w:t>
      </w:r>
    </w:p>
    <w:p>
      <w:pPr>
        <w:pStyle w:val="SourceNote"/>
      </w:pPr>
      <w:r>
        <w:rPr>
          <w:b/>
        </w:rPr>
        <w:t>Available abstract (not full text):</w:t>
      </w:r>
      <w:r>
        <w:t xml:space="preserve"> The majority of CORDEX RCMs show an underestimation of historical warming compared to observations, as well as an underestimation of projected warming compared to global climate models. This is in part due to a lack of consideration of changing aerosol concentrations, with a particularly strong effect in Europe leading to a delayed warming. We have developed a new method to address this issue and present the results of the warming-adjusted data. The method adjusts the CORDEX RCM simulations by using a mapping based on large scale warming with only few parameters and minimal interventions, preserving time monotony. The impact of the method is strongest for high emission scenarios but can be demonstrated for all emission scenarios.An application is shown for a central European region and within this framework we analyze adjusted climate projections. Compared to global climate model experiments, warming-adjusted RCM simulations better capture fine-scale details such as complex orography, yet – by design – feature the same overall temperature evolution across Western Europe. The presented method could also be useful for CORDEX projections for other regions and can provide information for upcoming assessment reports.</w:t>
      </w:r>
    </w:p>
    <w:p>
      <w:pPr/>
      <w:r>
        <w:rPr>
          <w:b/>
        </w:rPr>
        <w:t>POSSIBLE 2025:</w:t>
      </w:r>
      <w:r>
        <w:t xml:space="preserve"> Assessment of the monthly risk of dirofilariosis infection in Europe and its projection to 2100 under climate change from a One Health perspective — https://doi.org/10.6084/m9.figshare.c.8225063</w:t>
      </w:r>
    </w:p>
    <w:p>
      <w:pPr/>
      <w:r>
        <w:rPr>
          <w:b/>
        </w:rPr>
        <w:t>Shared claim-specific concepts:</w:t>
      </w:r>
      <w:r>
        <w:t xml:space="preserve"> climate, temperatures; EU scope visible. This is a provisional connection, not an outcome finding.</w:t>
      </w:r>
    </w:p>
    <w:p>
      <w:pPr>
        <w:pStyle w:val="SourceNote"/>
      </w:pPr>
      <w:r>
        <w:rPr>
          <w:b/>
        </w:rPr>
        <w:t>Available abstract (not full text):</w:t>
      </w:r>
      <w:r>
        <w:t xml:space="preserve"> Abstract Background Dirofilariosis is a vector-borne zoonotic disease primarily caused by the parasitic nematodes Dirofilaria immitis and D. repens. In Europe, the disease has expanded from traditionally endemic southern countries to central and northeastern regions, many of which are now also considered endemic. This study aimed to generate infection risk maps for dirofilariosis in Europe using ecoinformatic tools, at both annual and monthly scales, to serve as a prevention tool and contribute to more effective control of the disease, as well as helping to stop its spread. Methods A habitat suitability map was generated for the two most important and widely distributed culicid vectors in Europe (Culex pipiens and Aedes albopictus). This map was weighted with the number of D. immitis generations in the vectors, both annually and monthly. The resulting annual risk map was validated with georeferenced records of D. immitis- and D. repens-infected dogs and cats. In addition, a future habitat suitability projection for both vector species was performed for the year 2100 under the Representative Concentration Pathway (RCP) 8.5 climate change scenario. Results Dirofilariosis infection risk in Europe is highest in southern countries, where favorable climatic conditions and increased vector activity coincide. Central Europe showed medium- to high-risk values, while northern latitudes e</w:t>
      </w:r>
    </w:p>
    <w:p>
      <w:pPr/>
      <w:r>
        <w:rPr>
          <w:b/>
        </w:rPr>
        <w:t>POSSIBLE 2024:</w:t>
      </w:r>
      <w:r>
        <w:t xml:space="preserve"> Projections and uncertainties of winter windstorm damage in Europe in a changing climate — https://doi.org/10.5194/nhess-24-1555-2024</w:t>
      </w:r>
    </w:p>
    <w:p>
      <w:pPr/>
      <w:r>
        <w:rPr>
          <w:b/>
        </w:rPr>
        <w:t>Shared claim-specific concepts:</w:t>
      </w:r>
      <w:r>
        <w:t xml:space="preserve"> climate, projections, highly, uncertain; EU scope visible. This is a provisional connection, not an outcome finding.</w:t>
      </w:r>
    </w:p>
    <w:p>
      <w:pPr>
        <w:pStyle w:val="SourceNote"/>
      </w:pPr>
      <w:r>
        <w:rPr>
          <w:b/>
        </w:rPr>
        <w:t>Available abstract (not full text):</w:t>
      </w:r>
      <w:r>
        <w:t xml:space="preserve"> Abstract. Winter windstorms are among the most significant natural hazards in Europe linked to fatalities and substantial economic damages. However, projections of windstorm impact in Europe under climate change are highly uncertain. This study combines climate projections from 30 general circulation models participating in CMIP6 with the climate-risk assessment model CLIMADA to obtain projections of future change in windstorm-induced damages over Europe. We conduct an uncertainty-sensitivity analysis, and find large uncertainties in the projected changes in the damages, with climate model uncertainty being the dominant factor of uncertainty in the projections. We investigate spatial patterns of the future changes in windstorm damages and find an increase in the damages in northwestern and northern-central Europe, and a decrease over the rest of Europe, in agreement with an eastward extension of the North Atlantic storm track into Europe. We combine all 30 available climate models in an ensemble of opportunity approach and find evidence for an intensification of future windstorm damages, with damages with return periods of 100 years under current climate conditions becoming damages with return periods of 28 years under future SSP585 climate scenarios. Our findings demonstrate the importance of climate model uncertainty for the CMIP6 projections of windstorms in Europe, and emph</w:t>
      </w:r>
    </w:p>
    <w:p>
      <w:pPr/>
      <w:r>
        <w:rPr>
          <w:b/>
        </w:rPr>
        <w:t>POSSIBLE 2024:</w:t>
      </w:r>
      <w:r>
        <w:t xml:space="preserve"> Changes in universal thermal climate index from regional climate model projections over European beaches — https://doi.org/10.1016/j.cliser.2024.100447</w:t>
      </w:r>
    </w:p>
    <w:p>
      <w:pPr/>
      <w:r>
        <w:rPr>
          <w:b/>
        </w:rPr>
        <w:t>Shared claim-specific concepts:</w:t>
      </w:r>
      <w:r>
        <w:t xml:space="preserve"> climate, projections, end, century; EU scope visible. This is a provisional connection, not an outcome finding.</w:t>
      </w:r>
    </w:p>
    <w:p>
      <w:pPr>
        <w:pStyle w:val="SourceNote"/>
      </w:pPr>
      <w:r>
        <w:rPr>
          <w:b/>
        </w:rPr>
        <w:t>Available abstract (not full text):</w:t>
      </w:r>
      <w:r>
        <w:t xml:space="preserve"> Millions of people travel to European beaches making beach tourism the largest tourism sector. Understanding how person’s thermal comfort changes with projected climate change, which is paramount in deciding where and when to visit, can help the tourism sector mitigate risk and identify opportunities. Sustainable adaptation strategies for coastal tourism can be developed for different regional changes. This work calculates the Universal Thermal Comfort Index (UTCI), a comprehensive assessment of the human physiological response to the thermal environment, from an ensemble of regional climate models participating in EURO-CORDEX. Under Representative Concentration Pathways (RCP) 8.5, the ensemble’s projections of the UTCI in the near- and far-future, compared to a historical reference period, show a robust and statistically significant increase across the entire EURO-CORDEX domain. Four popular beach regions in Germany, Italy, France, and Spain show the beach season can be extended - starting earlier and ending later each year. Across the Mediterranean, July and August exhibit, on average, 4 more days of ‘very strong’ heat stress and 1 day of ‘extreme’ heat stress at the end of the century. In accordance with FAIR data science principles, the UTCI calculation is available in the xclim open-source python library.</w:t>
      </w:r>
    </w:p>
    <w:p>
      <w:pPr>
        <w:pStyle w:val="Heading2"/>
      </w:pPr>
      <w:r>
        <w:t>847. STRATEGIC DIRECTIONS OF DEVELOPMENT OF THE POLISH POWER SECTOR IN THE LIGHT OF CLIMATE AND ENERGY POLICY OF THE EUROPEAN UNION</w:t>
      </w:r>
    </w:p>
    <w:p>
      <w:pPr>
        <w:pStyle w:val="SourceNote"/>
      </w:pPr>
      <w:r>
        <w:rPr>
          <w:b/>
        </w:rPr>
        <w:t>Original source (2016):</w:t>
      </w:r>
      <w:r>
        <w:t xml:space="preserve"> https://doi.org/10.7862/rz.2016.hss.18</w:t>
      </w:r>
    </w:p>
    <w:p>
      <w:pPr/>
      <w:r>
        <w:t>Original wording (abstract; indexed_source_text_not_full_document_verified): The paper analyzes the possible directions of development of the Polish electricity sector by 2050 in terms of its adaptation to the EU requirements.The analysis was performed for different scenarios of development of CCS technology, nuclear energy development conditions and forecasted fuel prices on the domestic market, assuming the EU's targets for energy and climate policy.Strategic directions of sector development, taking into account investments in gas-fired and nuclear power plants were considered.Position of coal in the future fuel structure of Polish electricity generation and its conditions were discussed.The costs of electricity production in the analyzed scenarios are set out.The areas of government activityessential for strategic decisions determining the direction of development of the energy sector in Poland are presented.The presented studies assumed equal preferences for all types of fuels and technologies while assuming the market prices of fuels.The Government, determining the desired directions of development of the sector, can stimulate their development by creating preferences, such as preferential tax treatment.Essential is active participation of the Polish government in setting the specific targets valid for European countries in future.Without denying the need to reduce emissions, Poland should have an impact on the choice of quantity and quality of indicative targets, which will have to be met.A target to reduce emissions should not be accompanied by further objectives.For example, a target to increase share of renewable energy sources limits the development of energy mix.</w:t>
      </w:r>
    </w:p>
    <w:p>
      <w:pPr/>
      <w:r>
        <w:rPr>
          <w:b/>
        </w:rPr>
        <w:t>POSSIBLE 2026:</w:t>
      </w:r>
      <w:r>
        <w:t xml:space="preserve"> On Possibility of Converting Electricity Generation System Based on Fossil Fuels to Fully Renewable—Polish Case — https://doi.org/10.3390/en19020483</w:t>
      </w:r>
    </w:p>
    <w:p>
      <w:pPr/>
      <w:r>
        <w:rPr>
          <w:b/>
        </w:rPr>
        <w:t>Shared claim-specific concepts:</w:t>
      </w:r>
      <w:r>
        <w:t xml:space="preserve"> polish, electricity, sector, energy, conditions, fuel; EU scope visible. This is a provisional connection, not an outcome finding.</w:t>
      </w:r>
    </w:p>
    <w:p>
      <w:pPr>
        <w:pStyle w:val="SourceNote"/>
      </w:pPr>
      <w:r>
        <w:rPr>
          <w:b/>
        </w:rPr>
        <w:t>Available abstract (not full text):</w:t>
      </w:r>
      <w:r>
        <w:t xml:space="preserve"> The energy sector in all countries around the world is undergoing a transformation, with the main trend being the increasing share of renewable sources. Some countries, such as those in the European Union, have set themselves the goal of completely phasing out fossil fuels by 2050. Currently, the energy systems of European countries are far from this goal, and fossil fuels play a key role in balancing energy systems. This article presents a one-year simulation of a hypothetical Polish energy system based solely on renewable sources and utilizing biomethane, synthetic ammonia, and solid biomass as sources to ensure energy supply in the event of unfavorable weather conditions, which means a lack of wind and solar radiation. Six variants of these systems were analyzed, demonstrating the feasibility of such a system using only biogas as a stabilizing fuel. The required generating capacities of wind turbines, photovoltaic panels, and installations for converting biomethane, ammonia, and solid biomass into electricity were determined. Calculations were based on historical data recorded in 2024 in the Polish energy system. It was found that by increasing currently installed PV and wind turbines by a factor of 4.8 and installing 24 GW of ICE engines fueled with biomethane and an additional 10 GW of ORC modules, current electricity demand would be covered 100% by renewable energy source</w:t>
      </w:r>
    </w:p>
    <w:p>
      <w:pPr/>
      <w:r>
        <w:rPr>
          <w:b/>
        </w:rPr>
        <w:t>POSSIBLE 2026:</w:t>
      </w:r>
      <w:r>
        <w:t xml:space="preserve"> Analysis of Demand-Driven Operation in an Existing Biogas Plant Under Polish Electricity Market Conditions — https://doi.org/10.3390/en19133119</w:t>
      </w:r>
    </w:p>
    <w:p>
      <w:pPr/>
      <w:r>
        <w:rPr>
          <w:b/>
        </w:rPr>
        <w:t>Shared claim-specific concepts:</w:t>
      </w:r>
      <w:r>
        <w:t xml:space="preserve"> polish, electricity, energy, conditions; EU scope visible. This is a provisional connection, not an outcome finding.</w:t>
      </w:r>
    </w:p>
    <w:p>
      <w:pPr>
        <w:pStyle w:val="SourceNote"/>
      </w:pPr>
      <w:r>
        <w:rPr>
          <w:b/>
        </w:rPr>
        <w:t>Available abstract (not full text):</w:t>
      </w:r>
      <w:r>
        <w:t xml:space="preserve"> This study addresses the increasing need for flexibility in the Polish Power System (PPS), particularly in the context of growing price volatility on the Day-Ahead Market (DAM) resulting from the rising share of renewable energy sources (RESs). The aim of the study was to assess the feasibility of implementing demand-driven operation in an existing linear biogas plant in Poland and to develop a Decision-Making Model (DMM) for optimizing its operation based on electricity price forecasts. A machine learning model based on Extreme Gradient Boosting (XGBoost) was developed using historical electricity price, demand and weather data and integrated into the DMM to generate hourly operating schedules. The model achieved high predictive accuracy, with a Mean Absolute Error (MAE) of approximately 51 PLN/MWh, and effectively captured nonlinear price dynamics. Based on predefined decision thresholds—biogas production rate, current biogas storage level, upper and lower limits of pressure in biogas storage capacity, maximum biogas storage duration, power quotient (PQ) and electricity price levels—optimal operating strategies were determined. The results indicate that while demand-driven operation is technically feasible and enables better alignment with market signals, its economic viability remains limited under current market and regulatory conditions. Investment in additional cogenerati</w:t>
      </w:r>
    </w:p>
    <w:p>
      <w:pPr/>
      <w:r>
        <w:rPr>
          <w:b/>
        </w:rPr>
        <w:t>POSSIBLE 2025:</w:t>
      </w:r>
      <w:r>
        <w:t xml:space="preserve"> Forecasting electricity prices in the Polish Day-Ahead Market using machine learning models — https://doi.org/10.33223/epj/207197</w:t>
      </w:r>
    </w:p>
    <w:p>
      <w:pPr/>
      <w:r>
        <w:rPr>
          <w:b/>
        </w:rPr>
        <w:t>Shared claim-specific concepts:</w:t>
      </w:r>
      <w:r>
        <w:t xml:space="preserve"> polish, electricity, energy; EU scope not established. This is a provisional connection, not an outcome finding.</w:t>
      </w:r>
    </w:p>
    <w:p>
      <w:pPr>
        <w:pStyle w:val="SourceNote"/>
      </w:pPr>
      <w:r>
        <w:rPr>
          <w:b/>
        </w:rPr>
        <w:t>Available abstract (not full text):</w:t>
      </w:r>
      <w:r>
        <w:t xml:space="preserve"> Given the constantly changing market situation for electricity prices, driven by shifts in the energy mix, regulatory reforms, and broader socio-economic factors, it is necessary to reassess the understanding of price forecasting periodically.Traditional statistical methods may struggle when faced with heightened volatility, nonlinear dependencies, and rapidly changing input features.In contrast, machine learning models, particularly Artificial Neural Networks (ANNs), can adapt more effectively to complex, non-stationary patterns in price time series.In this study, six distinct artificial neural network (ANN) architectures were developed and trained using eight years of historical Polish Day-Ahead Market electricity price data (2016-2024).Four of these were plain deep learning models: a Multilayer Perceptron (MLP), a Convolutional Neural Network (CNN), a Long Short-Term Memory (LSTM) model, and a Gated Recurrent Unit (GRU) model.Two others were hybrid models combining convolutional layers with recurrent layers.The hybrid architectures, namely CNN+LSTM and CNN+GRU, were designed to leverage the capacity of CNN to automatically extract features from narrower sliding windows of past prices and the LSTM/GRU layers' ability to capture long-term temporal dependencies.The models' performances were evaluated using three metrics: Mean Absolute Error (MAE), Root Mean Squared Error (RMSE)</w:t>
      </w:r>
    </w:p>
    <w:p>
      <w:pPr/>
      <w:r>
        <w:rPr>
          <w:b/>
        </w:rPr>
        <w:t>POSSIBLE 2025:</w:t>
      </w:r>
      <w:r>
        <w:t xml:space="preserve"> How to Mitigate the Risk of Late Payments? The Case of the Largest Polish Companies Selling Electricity in 2018–2023 — https://doi.org/10.3390/en18081918</w:t>
      </w:r>
    </w:p>
    <w:p>
      <w:pPr/>
      <w:r>
        <w:rPr>
          <w:b/>
        </w:rPr>
        <w:t>Shared claim-specific concepts:</w:t>
      </w:r>
      <w:r>
        <w:t xml:space="preserve"> analyzes, polish, electricity, terms, energy; EU scope visible. This is a provisional connection, not an outcome finding.</w:t>
      </w:r>
    </w:p>
    <w:p>
      <w:pPr>
        <w:pStyle w:val="SourceNote"/>
      </w:pPr>
      <w:r>
        <w:rPr>
          <w:b/>
        </w:rPr>
        <w:t>Available abstract (not full text):</w:t>
      </w:r>
      <w:r>
        <w:t xml:space="preserve"> Companies operating in the energy market in Poland conduct business activity on the basis of special regulations applicable to this type of entity. However, they are, like any other entrepreneur, exposed to the risk of delays in payments, non-payment, restructuring, or even bankruptcy of their contractor. Appropriate instruments should be used to mitigate these risks. There are many methods available today to deal with trading risks. However, they should be tailored to the individual needs of each entrepreneur based on an in-depth analysis of its contractors. This article analyzes the five largest companies selling electricity in Poland in terms of the risk of late payments in the period 2018–2023. It turned out that in the surveyed companies in the period 2018–2013, the amount of receivables was constantly increasing, and the average recovery term was longer than the average payment term in enterprises in general. The real impact of delayed payments on the profitability of the surveyed companies was also calculated. Then, the available methods of transaction risk mitigation (tangible collateral, personal collateral, form of paying, other legal, banking and insurance instruments) were analyzed and described, and whether and to what extent they are used in the surveyed companies. The conducted research also allowed the author to conclude that, unfortunately, despite the existenc</w:t>
      </w:r>
    </w:p>
    <w:p>
      <w:pPr/>
      <w:r>
        <w:rPr>
          <w:b/>
        </w:rPr>
        <w:t>POSSIBLE 2025:</w:t>
      </w:r>
      <w:r>
        <w:t xml:space="preserve"> A Possible Way to Enhance European Competitiveness — https://doi.org/10.34190/ecie.20.1.3930</w:t>
      </w:r>
    </w:p>
    <w:p>
      <w:pPr/>
      <w:r>
        <w:rPr>
          <w:b/>
        </w:rPr>
        <w:t>Shared claim-specific concepts:</w:t>
      </w:r>
      <w:r>
        <w:t xml:space="preserve"> possible, directions; EU scope visible. This is a provisional connection, not an outcome finding.</w:t>
      </w:r>
    </w:p>
    <w:p>
      <w:pPr>
        <w:pStyle w:val="SourceNote"/>
      </w:pPr>
      <w:r>
        <w:rPr>
          <w:b/>
        </w:rPr>
        <w:t>Available abstract (not full text):</w:t>
      </w:r>
      <w:r>
        <w:t xml:space="preserve"> In our Conference presentation, we would like to present a possible way to enhance European Competitiveness, which is registered in the Hungarian Intellectual Property Office under the name of the “IK &amp; International Innovation Center” Project. (Voluntary registration number: Y2500012). In the introductory part, our previous research results – primarily related to Library Innovation, generating creativity and startups and the associated social media platform – will be briefly presented. In our presentation, we will also discuss the results of university students’ responses to online questionnaires related to this topic. The International Innovation Center Project (IICP) aims to increase the competitiveness of the EU by establishing an International Innovation Center, which would be implemented in the capital of an EU member state, with the participation of all EU countries. Some main parameters: in the 27-story “Metropolis”, each EU member state would have its own floor – research lab, mini innovative exhibition area, luxury apartment – ​​as well as a “common” innovative Startup centre (permanent interactive exhibition open to both professionals and the general public), a common, high-tech equipped, ergonomic, library research and development lab including Coworking elements, an international conference centre, a cultural and sports centre, an Innovation Park with a helipad. Th</w:t>
      </w:r>
    </w:p>
    <w:p>
      <w:pPr/>
      <w:r>
        <w:rPr>
          <w:b/>
        </w:rPr>
        <w:t>POSSIBLE 2024:</w:t>
      </w:r>
      <w:r>
        <w:t xml:space="preserve"> Study of directions of unification of technology transfer in ukraine with the regulation of the European Union — https://doi.org/10.37772/2518-1718-2024-3(47)-2</w:t>
      </w:r>
    </w:p>
    <w:p>
      <w:pPr/>
      <w:r>
        <w:rPr>
          <w:b/>
        </w:rPr>
        <w:t>Shared claim-specific concepts:</w:t>
      </w:r>
      <w:r>
        <w:t xml:space="preserve"> possible, directions, requirements, technology, conditions; EU scope visible. This is a provisional connection, not an outcome finding.</w:t>
      </w:r>
    </w:p>
    <w:p>
      <w:pPr>
        <w:pStyle w:val="SourceNote"/>
      </w:pPr>
      <w:r>
        <w:rPr>
          <w:b/>
        </w:rPr>
        <w:t>Available abstract (not full text):</w:t>
      </w:r>
      <w:r>
        <w:t xml:space="preserve"> Problem setting. In modern economic conditions, the key to effective economic development of any country is the development of the production sphere of the national economy. At the same time, its level depends on the penetration of knowledge-intensive, advanced and breakthrough technologies. Most economically developed countries even implement integrated state policies aimed at stimulating and scaling technology transfer processes. Thanks to this, the number of those technologies that are implemented in the sphere of public production increases, and the share of highly competitive products increases significantly. The economic system of Ukraine is no exception to this rule. Thus, since 2006, Ukraine has had a special official document the Law of Ukraine “On State Regulation of Activities in the Field of Technology Transfer”. Its main task is to determine the requirements of how the state (in the form of authorized bodies) will contribute to the scaling process of technology transfer. The course announced by Ukraine for joining the European Union (hereinafter referred to as “the EU”) imposes on it special obligations regarding the unification of regulatory approaches to the identification of technology transfer with EU requirements. The specified situation determines, on the one hand, the relevance of scientific research on this topic, and places on scientists the task of formin</w:t>
      </w:r>
    </w:p>
    <w:p>
      <w:pPr/>
      <w:r>
        <w:rPr>
          <w:b/>
        </w:rPr>
        <w:t>POSSIBLE 2024:</w:t>
      </w:r>
      <w:r>
        <w:t xml:space="preserve"> THE POLISH ENERGY SECTOR CHARACTERISTICS IN COMPARISON TO EUROPEAN UNION COUNTRIES IN TERMS OF SUSTAINABLE DEVELOPMENT — https://doi.org/10.64758/6drf3g79</w:t>
      </w:r>
    </w:p>
    <w:p>
      <w:pPr/>
      <w:r>
        <w:rPr>
          <w:b/>
        </w:rPr>
        <w:t>Shared claim-specific concepts:</w:t>
      </w:r>
      <w:r>
        <w:t xml:space="preserve"> analyzes, possible, polish, electricity, sector, terms; EU scope visible. This is a provisional connection, not an outcome finding.</w:t>
      </w:r>
    </w:p>
    <w:p>
      <w:pPr>
        <w:pStyle w:val="SourceNote"/>
      </w:pPr>
      <w:r>
        <w:rPr>
          <w:b/>
        </w:rPr>
        <w:t>Available abstract (not full text):</w:t>
      </w:r>
      <w:r>
        <w:t xml:space="preserve"> In every country, the energy sector plays a very important role - from its efficient operation electricity and heat supplies depend on. Moreover, its level of efficiency can measurably affect the condition of the natural and the social environment. Therefore, the purpose of this article was to examine to what extent the Polish energy sector fulfills the framework of sustainable development conception. In order to achieve the adopted objective, comparative analyzes have been carried out among all European Union countries. It allowed to identify areas in which the Polish energy sector fully implements the principles and objectives of this concept, as well as areas where still there is a lot need to be dome. The analyzes concerned several key issues: the level of energy generated from renewable energy sources (RES), the structure of sources of raw materials for energy production, the values of regulatory indicators for sustainable energy, level of greenhouse gas and pollutants emissions by energy sector, environmental taxes paid by energy sector, environmental protection expenditure of energy sector, environmental investments and wastewater management and, last but not least, innovations expenditures of energy sector. Examining these issues makes it possible to determine the so-called “level of sustainability" or the sustainability in energy sector degree’s determination for Polan</w:t>
      </w:r>
    </w:p>
    <w:p>
      <w:pPr/>
      <w:r>
        <w:rPr>
          <w:b/>
        </w:rPr>
        <w:t>POSSIBLE 2024:</w:t>
      </w:r>
      <w:r>
        <w:t xml:space="preserve"> Perspectives of Electricity Production from Biogas in the European Union — https://doi.org/10.3390/en17051169</w:t>
      </w:r>
    </w:p>
    <w:p>
      <w:pPr/>
      <w:r>
        <w:rPr>
          <w:b/>
        </w:rPr>
        <w:t>Shared claim-specific concepts:</w:t>
      </w:r>
      <w:r>
        <w:t xml:space="preserve"> electricity, different, technology, energy; EU scope visible. This is a provisional connection, not an outcome finding.</w:t>
      </w:r>
    </w:p>
    <w:p>
      <w:pPr>
        <w:pStyle w:val="SourceNote"/>
      </w:pPr>
      <w:r>
        <w:rPr>
          <w:b/>
        </w:rPr>
        <w:t>Available abstract (not full text):</w:t>
      </w:r>
      <w:r>
        <w:t xml:space="preserve"> Biogas is a renewable energy source (RES). The aim of this research was to analyze the perspectives of electricity production from biogas in the European Union. The main source of information was data from Eurostat. We analyzed electricity production from biogas in the European Union (EU). The scope of this research was data from 2012 to 2021. First, we presented biogas production by feedstock type across the world. Then, we presented changes in electricity production from biogas in the EU. We used different methods to evaluate the changes in biogas production. First, we used the ARiMA (Autoregressive Moving Average) model to evaluate the stationarity of the time series. Our electricity production from biogas data proved to be stationary. Second, we elaborated on the prognosis of future changes in electricity production from biogas. The largest producer of biogas is the EU, and it is produced from crops, animal manure, and municipal solid waste. Our research found that the largest production from biogas in 2021 took place in Germany, Italy, and France. These countries have the greatest potential for electricity production from biogas, and they have spent significant funds on facilities and technology. Such countries as Ireland, Greece, Spain, France, Croatia, Poland, Portugal, Romania, Finland, and Sweden increased their electricity production from biogas in 2021 compared to 20</w:t>
      </w:r>
    </w:p>
    <w:p>
      <w:pPr/>
      <w:r>
        <w:rPr>
          <w:b/>
        </w:rPr>
        <w:t>POSSIBLE 2024:</w:t>
      </w:r>
      <w:r>
        <w:t xml:space="preserve"> Changes in Gross Nuclear Electricity Production in the European Union — https://doi.org/10.3390/en17143554</w:t>
      </w:r>
    </w:p>
    <w:p>
      <w:pPr/>
      <w:r>
        <w:rPr>
          <w:b/>
        </w:rPr>
        <w:t>Shared claim-specific concepts:</w:t>
      </w:r>
      <w:r>
        <w:t xml:space="preserve"> electricity, terms, nuclear, energy, fuel; EU scope visible. This is a provisional connection, not an outcome finding.</w:t>
      </w:r>
    </w:p>
    <w:p>
      <w:pPr>
        <w:pStyle w:val="SourceNote"/>
      </w:pPr>
      <w:r>
        <w:rPr>
          <w:b/>
        </w:rPr>
        <w:t>Available abstract (not full text):</w:t>
      </w:r>
      <w:r>
        <w:t xml:space="preserve"> Economic development requires a constant supply of energy. The utilization of fossil fuels causes environmental pollution and greenhouse gas emissions. The effects of fossil fuel use have impacted global warming, which may affect the world. The problem of environmental degradation can be decreased by using renewable energy sources and nuclear energy. The role of nuclear energy is increasing. More than 10% of electric energy is now produced from nuclear energy worldwide. However, the share varies by country. For example, in France, it is 70%, in Slovakia, it is 55%, and in Ukraine, it is 53%. Many countries do not have nuclear energy at all. This study aims to investigate the development of gross nuclear electricity production both in the world and in the European Union (EU) in terms of stationarity and prognosis. To achieve the goal of this study, the authors utilized descriptive statistics. The time range included the period 1990–2022. This long time period enabled us to conduct the ADF (Augmented Dickey Fuller) test. According to our analysis, gross nuclear electricity production in the European Union (EU) was stationary. We also evaluated future prognosis using the ARIMA (Autoregressive Moving Average) model. We also used the Vector Autoregressive (VAR) model to evaluate changes within nuclear electricity production. Based on our research, we can conclude that the data were </w:t>
      </w:r>
    </w:p>
    <w:p>
      <w:pPr/>
      <w:r>
        <w:rPr>
          <w:b/>
        </w:rPr>
        <w:t>POSSIBLE 2024:</w:t>
      </w:r>
      <w:r>
        <w:t xml:space="preserve"> Recombination of Porcine Reproductive and Respiratory Syndrome Virus: Features, Possible Mechanisms, and Future Directions — https://doi.org/10.3390/v16060929</w:t>
      </w:r>
    </w:p>
    <w:p>
      <w:pPr/>
      <w:r>
        <w:rPr>
          <w:b/>
        </w:rPr>
        <w:t>Shared claim-specific concepts:</w:t>
      </w:r>
      <w:r>
        <w:t xml:space="preserve"> possible, directions, different; EU scope not established. This is a provisional connection, not an outcome finding.</w:t>
      </w:r>
    </w:p>
    <w:p>
      <w:pPr>
        <w:pStyle w:val="SourceNote"/>
      </w:pPr>
      <w:r>
        <w:rPr>
          <w:b/>
        </w:rPr>
        <w:t>Available abstract (not full text):</w:t>
      </w:r>
      <w:r>
        <w:t xml:space="preserve"> Recombination is a pervasive phenomenon in RNA viruses and an important strategy for accelerating the evolution of RNA virus populations. Recombination in the porcine reproductive and respiratory syndrome virus (PRRSV) was first reported in 1999, and many case reports have been published in recent years. In this review, all the existing reports on PRRSV recombination events were collected, and the genotypes, parental strains, and locations of the recombination breakpoints have been summarized and analyzed. The results showed that the recombination pattern constantly changes; whether inter- or intra-lineage recombination, the recombination hotspots vary in different recombination patterns. The virulence of recombinant PRRSVs was higher than that of the parental strains, and the emergence of virulence reversion was caused by recombination after using MLV vaccines. This could be attributed to the enhanced adaptability of recombinant PRRSV for entry and replication, facilitating their rapid propagation. The aim of this paper was to identify common features of recombinant PRRSV strains, reduce the recombination risk, and provide a foundation for future research into the mechanism of PRRSV recombination.</w:t>
      </w:r>
    </w:p>
    <w:p>
      <w:pPr/>
      <w:r>
        <w:rPr>
          <w:b/>
        </w:rPr>
        <w:t>POSSIBLE 2023:</w:t>
      </w:r>
      <w:r>
        <w:t xml:space="preserve"> Decoding ChatGPT: A taxonomy of existing research, current challenges, and possible future directions — https://doi.org/10.1016/j.jksuci.2023.101675</w:t>
      </w:r>
    </w:p>
    <w:p>
      <w:pPr/>
      <w:r>
        <w:rPr>
          <w:b/>
        </w:rPr>
        <w:t>Shared claim-specific concepts:</w:t>
      </w:r>
      <w:r>
        <w:t xml:space="preserve"> possible, directions; EU scope not established. This is a provisional connection, not an outcome finding.</w:t>
      </w:r>
    </w:p>
    <w:p>
      <w:pPr>
        <w:pStyle w:val="SourceNote"/>
      </w:pPr>
      <w:r>
        <w:rPr>
          <w:b/>
        </w:rPr>
        <w:t>Available abstract (not full text):</w:t>
      </w:r>
      <w:r>
        <w:t xml:space="preserve"> Chat Generative Pre-trained Transformer (ChatGPT) has gained significant interest and attention since its launch in November 2022. It has shown impressive performance in various domains, including passing exams and creative writing. However, challenges and concerns related to biases and trust persist. In this work, we present a comprehensive review of over 100 Scopus-indexed publications on ChatGPT, aiming to provide a taxonomy of ChatGPT research and explore its applications. We critically analyze the existing literature, identifying common approaches employed in the studies. Additionally, we investigate diverse application areas where ChatGPT has found utility, such as healthcare, marketing and financial services, software engineering, academic and scientific writing, research and education, environmental science, and natural language processing. Through examining these applications, we gain valuable insights into the potential of ChatGPT in addressing real-world challenges. We also discuss crucial issues related to ChatGPT, including biases and trustworthiness, emphasizing the need for further research and development in these areas. Furthermore, we identify potential future directions for ChatGPT research, proposing solutions to current challenges and speculating on expected advancements. By fully leveraging the capabilities of ChatGPT, we can unlock its potential across va</w:t>
      </w:r>
    </w:p>
    <w:p>
      <w:pPr/>
      <w:r>
        <w:rPr>
          <w:b/>
        </w:rPr>
        <w:t>POSSIBLE 2023:</w:t>
      </w:r>
      <w:r>
        <w:t xml:space="preserve"> Directions and risks for the recovery of Ukraine in the context of European integration during the recovery period — https://doi.org/10.24144/2788-6018.2023.03.15</w:t>
      </w:r>
    </w:p>
    <w:p>
      <w:pPr/>
      <w:r>
        <w:rPr>
          <w:b/>
        </w:rPr>
        <w:t>Shared claim-specific concepts:</w:t>
      </w:r>
      <w:r>
        <w:t xml:space="preserve"> analyzes, possible, directions, terms, adaptation, domestic; EU scope visible. This is a provisional connection, not an outcome finding.</w:t>
      </w:r>
    </w:p>
    <w:p>
      <w:pPr>
        <w:pStyle w:val="SourceNote"/>
      </w:pPr>
      <w:r>
        <w:rPr>
          <w:b/>
        </w:rPr>
        <w:t>Available abstract (not full text):</w:t>
      </w:r>
      <w:r>
        <w:t xml:space="preserve"> The work highlights directions for the restoration of Ukraine in the modern and post-war period. The main principles of the country’s recovery plan have been defined and analyzed, including the immediate start and gradual development of building up fair welfare, integration into the EU, restoration and building up of the economy for, the fight against corruption, and the stimulation of private investments. It has been determined that the institutional reforms discussed at the domestic and international level in Ukraine will become prerequisites for economic development, but appropriate measures aimed at the development of international trade and the attraction of direct foreign investment, the creation of a favorable business climate and an inclusive and sustainable financial system will also be required. For example, war risk insurance (similar to what is done by the World Bank-run Multilateral Investment Guarantee Agency (MIGA)) will be necessary to address security concerns that Ukrainian and foreign investors may have. While the process of preparation for the negotiations on Ukraine’s accession to the European Union continues, our country must carry out extensive preparatory work, including in terms of adapting national legislation to the norms of the Union, which, by the way, are also constantly changing, and prevent the occurrence of numerous risks along the way. Of cours</w:t>
      </w:r>
    </w:p>
    <w:p>
      <w:pPr>
        <w:pStyle w:val="Heading2"/>
      </w:pPr>
      <w:r>
        <w:t>848. Scenario planning as communicative action: Lessons from participatory exercises conducted for the Scottish livestock industry</w:t>
      </w:r>
    </w:p>
    <w:p>
      <w:pPr>
        <w:pStyle w:val="SourceNote"/>
      </w:pPr>
      <w:r>
        <w:rPr>
          <w:b/>
        </w:rPr>
        <w:t>Original source (2016):</w:t>
      </w:r>
      <w:r>
        <w:t xml:space="preserve"> https://doi.org/10.1016/j.techfore.2016.07.034</w:t>
      </w:r>
    </w:p>
    <w:p>
      <w:pPr/>
      <w:r>
        <w:t>Original wording (abstract; indexed_source_text_not_full_document_verified): The paper considers the extent to which the case study approximates the conditions for ‘ideal speech situations’ and how these conditions could be applied more widely in participatory scenario planning. The authors explore the rationale for participatory scenario planning within the science–policy interface with critical reference to the corporate context in which scenario planning has evolved.</w:t>
      </w:r>
    </w:p>
    <w:p>
      <w:pPr/>
      <w:r>
        <w:rPr>
          <w:b/>
        </w:rPr>
        <w:t>POSSIBLE 2026:</w:t>
      </w:r>
      <w:r>
        <w:t xml:space="preserve"> Modelling the frequency and extent of waterlogging: a case study — https://doi.org/10.36334/modsim2025.j10.beverly</w:t>
      </w:r>
    </w:p>
    <w:p>
      <w:pPr/>
      <w:r>
        <w:rPr>
          <w:b/>
        </w:rPr>
        <w:t>Shared claim-specific concepts:</w:t>
      </w:r>
      <w:r>
        <w:t xml:space="preserve"> extent, case, conditions, applied, within; EU scope not established. This is a provisional connection, not an outcome finding.</w:t>
      </w:r>
    </w:p>
    <w:p>
      <w:pPr>
        <w:pStyle w:val="SourceNote"/>
      </w:pPr>
      <w:r>
        <w:rPr>
          <w:b/>
        </w:rPr>
        <w:t>Available abstract (not full text):</w:t>
      </w:r>
      <w:r>
        <w:t xml:space="preserve"> Waterlogging in soils due to the formation of perched water tables is a significant issue within the Australian landscape, resulting in annual crop losses of $300M.The ability to predict the timing and extent of waterlogging enables the formulation of adaptation and mitigation strategies, including land forming, surface and sub-soil drainage, soil management, crop selection and management, genetic breeding and combinations thereof for enhanced waterlogging tolerance.Assessing these options to increase agricultural production under varying agroclimatic conditions requires the creation and application of a spatiotemporal modelling framework that accounts for the complex interactions between landscape hydrology, soil properties and plant dynamics.To assess the frequency and duration of waterlogging, a pseudo three-dimensional modelling framework was developed that accounts for landscape position and hydrological connectivity whereby upslope management units connect to adjacent downslope units.The novel aspect of the framework is the integration of farming system models that simulate daily soil-water-crop interactions with a hydrologically connected surface element network, enabling application across varying scales, from farm to sub-catchment to basin.The current study aimed to evaluate the impact of landscape position on the establishment of perched water tables and the influence</w:t>
      </w:r>
    </w:p>
    <w:p>
      <w:pPr/>
      <w:r>
        <w:rPr>
          <w:b/>
        </w:rPr>
        <w:t>POSSIBLE 2026:</w:t>
      </w:r>
      <w:r>
        <w:t xml:space="preserve"> Extent of Underemployment among Government Service Employees in Kerala — https://openalex.org/W7218043265</w:t>
      </w:r>
    </w:p>
    <w:p>
      <w:pPr/>
      <w:r>
        <w:rPr>
          <w:b/>
        </w:rPr>
        <w:t>Shared claim-specific concepts:</w:t>
      </w:r>
      <w:r>
        <w:t xml:space="preserve"> extent, case, context; EU scope not established. This is a provisional connection, not an outcome finding.</w:t>
      </w:r>
    </w:p>
    <w:p>
      <w:pPr>
        <w:pStyle w:val="SourceNote"/>
      </w:pPr>
      <w:r>
        <w:rPr>
          <w:b/>
        </w:rPr>
        <w:t>Available abstract (not full text):</w:t>
      </w:r>
      <w:r>
        <w:t xml:space="preserve"> Underemployment in the public sector is defined as a situation in which government employees are employed below their education or skill level, or their availability. It is a social problem that affects job growth, career growth and the emotional health of underemployed workers. The study checked the extent of underemployment among Kerala government service employees in the context of their education, age and gender wise analysis. The result revealed that age matters in the perception of employees on underemployment and is negatively related to underemployment. In the case of lower age people, they consider them as underemployed while aged people do not bother about it. Gender and qualification do not play a role in the employee’s perception of feeling on underemployment.</w:t>
      </w:r>
    </w:p>
    <w:p>
      <w:pPr/>
      <w:r>
        <w:rPr>
          <w:b/>
        </w:rPr>
        <w:t>POSSIBLE 2025:</w:t>
      </w:r>
      <w:r>
        <w:t xml:space="preserve"> 7. Using cases — https://doi.org/10.1093/he/9780198924722.003.0007</w:t>
      </w:r>
    </w:p>
    <w:p>
      <w:pPr/>
      <w:r>
        <w:rPr>
          <w:b/>
        </w:rPr>
        <w:t>Shared claim-specific concepts:</w:t>
      </w:r>
      <w:r>
        <w:t xml:space="preserve"> considers, extent, case; EU scope visible. This is a provisional connection, not an outcome finding.</w:t>
      </w:r>
    </w:p>
    <w:p>
      <w:pPr>
        <w:pStyle w:val="SourceNote"/>
      </w:pPr>
      <w:r>
        <w:rPr>
          <w:b/>
        </w:rPr>
        <w:t>Available abstract (not full text):</w:t>
      </w:r>
      <w:r>
        <w:t xml:space="preserve"> This chapter explains how to use cases. It first looks at the ‘anatomy’ of a law report, before considering how the key legal principles can be extracted from the case. Once the legal principles are known, it considers the extent to which those principles are binding on other courts via the doctrine of judicial precedent. Finally, it examines the impact of both the Human Rights Act 1998 and EU law on the operation of precedent. The ability to use cases and knowledge of the operation of precedent are both vital legal skills. Equally, when charting the development of particular areas of law, it is necessary to understand how the decisions given in cases have changed the law over time.</w:t>
      </w:r>
    </w:p>
    <w:p>
      <w:pPr/>
      <w:r>
        <w:rPr>
          <w:b/>
        </w:rPr>
        <w:t>POSSIBLE 2024:</w:t>
      </w:r>
      <w:r>
        <w:t xml:space="preserve"> Extent of Corporate Sustainability Adoption in the Hospitality Industry: A Case Study of Tourist Hotels in Sri Lanka — https://doi.org/10.47772/ijriss.2024.809007</w:t>
      </w:r>
    </w:p>
    <w:p>
      <w:pPr/>
      <w:r>
        <w:rPr>
          <w:b/>
        </w:rPr>
        <w:t>Shared claim-specific concepts:</w:t>
      </w:r>
      <w:r>
        <w:t xml:space="preserve"> considers, extent, case, corporate; EU scope not established. This is a provisional connection, not an outcome finding.</w:t>
      </w:r>
    </w:p>
    <w:p>
      <w:pPr>
        <w:pStyle w:val="SourceNote"/>
      </w:pPr>
      <w:r>
        <w:rPr>
          <w:b/>
        </w:rPr>
        <w:t>Available abstract (not full text):</w:t>
      </w:r>
      <w:r>
        <w:t xml:space="preserve"> The hospitality industry, particularly in emerging tourism destinations, faces increasing pressure to adopt sustainable practices that align with global environmental and social standards. This study investigate the existing level of corporate sustainability adoption by tourist hotels in Sri Lanka. Through a case study approach, the research investigates the extent to which these hotels have integrated sustainable practices into their operations, including economic, socio-cultural and environmental practices. Quantitative method was employed as the research method and questionnaire survey method has been utilized to collect the required data. 247 questionnaires were distributed among the registered tourist hotels &amp; a representative of the top management was invited to fill the questionnaire from each hotel. 213 questionnaires received and 207 completed questionnaires were used for data analysis and the mean ranking technique was employed by using the SPSS software. The findings revealed a significant emphasis on environmental sustainability initiatives by these tourist hotels. This prioritization aligns with broader trends observed in developing nations, where businesses tend to focus more on environmental aspects than on socio-cultural and economic dimensions. The dominance of environmental practices in the sustainability efforts of Sri Lanka’s tourist hotels underscores the s</w:t>
      </w:r>
    </w:p>
    <w:p>
      <w:pPr/>
      <w:r>
        <w:rPr>
          <w:b/>
        </w:rPr>
        <w:t>POSSIBLE 2024:</w:t>
      </w:r>
      <w:r>
        <w:t xml:space="preserve"> Relationship Between Working Memory, Compression, and Beamformers in Ideal Conditions — https://doi.org/10.1097/aud.0000000000001605</w:t>
      </w:r>
    </w:p>
    <w:p>
      <w:pPr/>
      <w:r>
        <w:rPr>
          <w:b/>
        </w:rPr>
        <w:t>Shared claim-specific concepts:</w:t>
      </w:r>
      <w:r>
        <w:t xml:space="preserve"> conditions, ideal, speech; EU scope not established. This is a provisional connection, not an outcome finding.</w:t>
      </w:r>
    </w:p>
    <w:p>
      <w:pPr>
        <w:pStyle w:val="SourceNote"/>
      </w:pPr>
      <w:r>
        <w:rPr>
          <w:b/>
        </w:rPr>
        <w:t>Available abstract (not full text):</w:t>
      </w:r>
      <w:r>
        <w:t xml:space="preserve"> OBJECTIVES: Previous research has shown that speech recognition with different wide dynamic range compression (WDRC) time-constants (fast-acting or Fast and slow-acting or Slow) is associated with individual working memory ability, especially in adverse listening conditions. Until recently, much of this research has been limited to omnidirectional hearing aid settings and colocated speech and noise, whereas most hearing aids are fit with directional processing that may improve the listening environment in spatially separated conditions and interact with WDRC processing. The primary objective of this study was to determine whether there is an association between individual working memory ability and speech recognition in noise with different WDRC time-constants, with and without microphone directionality (binaural beamformer or Beam versus omnidirectional or Omni) in a spatial condition ideal for the beamformer (speech at 0 , noise at 180 ). The hypothesis was that the relationship between speech recognition ability and different WDRC time-constants would depend on working memory in the Omni mode, whereas the relationship would diminish in the Beam mode. The study also examined whether this relationship is different from the effects of working memory on speech recognition with WDRC time-constants previously studied in colocated conditions. DESIGN: Twenty-one listeners with bilat</w:t>
      </w:r>
    </w:p>
    <w:p>
      <w:pPr/>
      <w:r>
        <w:rPr>
          <w:b/>
        </w:rPr>
        <w:t>POSSIBLE 2024:</w:t>
      </w:r>
      <w:r>
        <w:t xml:space="preserve"> Case 7: Acne — https://doi.org/10.1201/9781003449737-8</w:t>
      </w:r>
    </w:p>
    <w:p>
      <w:pPr/>
      <w:r>
        <w:rPr>
          <w:b/>
        </w:rPr>
        <w:t>Shared claim-specific concepts:</w:t>
      </w:r>
      <w:r>
        <w:t xml:space="preserve"> extent, case, conditions; EU scope not established. This is a provisional connection, not an outcome finding.</w:t>
      </w:r>
    </w:p>
    <w:p>
      <w:pPr>
        <w:pStyle w:val="SourceNote"/>
      </w:pPr>
      <w:r>
        <w:rPr>
          <w:b/>
        </w:rPr>
        <w:t>Available abstract (not full text):</w:t>
      </w:r>
      <w:r>
        <w:t xml:space="preserve"> This chapter looks at the case of a young boy who is troubled by what may be considered to be mild acne. It explores the mismatch that may exist between the clinician and the patient in terms of understanding the extent of the condition. It encourages the reader to consider the psychological impact of dermatological conditions. The various treatment regimens available for acne and their efficacy are discussed. The learning tip revolves around the importance of developing skills to appropriately manage the expectations of patients. The AKT questions further look at other skin conditions and their management.</w:t>
      </w:r>
    </w:p>
    <w:p>
      <w:pPr/>
      <w:r>
        <w:rPr>
          <w:b/>
        </w:rPr>
        <w:t>POSSIBLE 2024:</w:t>
      </w:r>
      <w:r>
        <w:t xml:space="preserve"> Exploring empathy of nursing students and the extent of their clinical experiences: a cross-case analysis — https://doi.org/10.20473/jn.v19i4.56238</w:t>
      </w:r>
    </w:p>
    <w:p>
      <w:pPr/>
      <w:r>
        <w:rPr>
          <w:b/>
        </w:rPr>
        <w:t>Shared claim-specific concepts:</w:t>
      </w:r>
      <w:r>
        <w:t xml:space="preserve"> extent, case, conditions; EU scope not established. This is a provisional connection, not an outcome finding.</w:t>
      </w:r>
    </w:p>
    <w:p>
      <w:pPr>
        <w:pStyle w:val="SourceNote"/>
      </w:pPr>
      <w:r>
        <w:rPr>
          <w:b/>
        </w:rPr>
        <w:t>Available abstract (not full text):</w:t>
      </w:r>
      <w:r>
        <w:t xml:space="preserve"> Introduction: Empathy is the ability of a nurse to understand the circumstances, experiences, and feelings of the patients. It is a vital component of a nurse as this enables the nurse to respond therapeutically to the needs of the clients, thereby providing quality nursing care. This study explored the development of empathy among nursing students based on their hospital exposure and other factors that provide a more in-depth understanding of the phenomenon investigated. Methods: Using the intrinsic case study method, the study interviewed six nursing students as informants, selected based on their extent of clinical exposure through purposive sampling. A standardized Jefferson Scale of Empathy (JSE) was also used to provide information on empathy. A cross-case analysis was used to generate the findings of this study. Results: Findings generated five themes: maintaining empathy level across different conditions, prior clinical experiences affect empathy levels, empathy increases with knowledge, expression of empathy is hindered by academic workload and mismatch between perceived and objectively measured empathy levels. Conclusions: Empathy was more developed by nursing students when they were exposed to patient care experiences. The extent of knowledge and the continued experience in the clinical field are major factors that contribute to their increased empathy levels of nurs</w:t>
      </w:r>
    </w:p>
    <w:p>
      <w:pPr/>
      <w:r>
        <w:rPr>
          <w:b/>
        </w:rPr>
        <w:t>POSSIBLE 2023:</w:t>
      </w:r>
      <w:r>
        <w:t xml:space="preserve"> 7. Using cases — https://doi.org/10.1093/he/9780192873088.003.0007</w:t>
      </w:r>
    </w:p>
    <w:p>
      <w:pPr/>
      <w:r>
        <w:rPr>
          <w:b/>
        </w:rPr>
        <w:t>Shared claim-specific concepts:</w:t>
      </w:r>
      <w:r>
        <w:t xml:space="preserve"> considers, extent, case; EU scope visible. This is a provisional connection, not an outcome finding.</w:t>
      </w:r>
    </w:p>
    <w:p>
      <w:pPr>
        <w:pStyle w:val="SourceNote"/>
      </w:pPr>
      <w:r>
        <w:rPr>
          <w:b/>
        </w:rPr>
        <w:t>Available abstract (not full text):</w:t>
      </w:r>
      <w:r>
        <w:t xml:space="preserve"> This chapter explains how to use cases. It first looks at the ‘anatomy’ of a law report, before considering how the key legal principles can be extracted from the case. Once the legal principles are known it considers the extent to which those principles are binding on other courts via the doctrine of judicial precedent. Finally, it examines the impact of both the Human Rights Act 1998 and EU law on the operation of precedent.</w:t>
      </w:r>
    </w:p>
    <w:p>
      <w:pPr/>
      <w:r>
        <w:rPr>
          <w:b/>
        </w:rPr>
        <w:t>POSSIBLE 2023:</w:t>
      </w:r>
      <w:r>
        <w:t xml:space="preserve"> Climate change and ideal thermal transmittance of residential buildings in Iran — https://doi.org/10.1016/j.jobe.2023.106919</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Climate change will make the Iranian climate hotter and drier. This increase in the harshness of the boundary conditions poses a new question of whether today's high-performance buildings, whose envelope thermophysical properties are optimized for the current climate, will underperform. Therefore, it is important to (i) identify the regions in Iran that will lead to such underperformance and (ii) determine to what extent the thermophysical properties will need to change to remain optimal. This paper determines and compares the ideal thermal transmittances (U-value) of residential building envelopes for current and future climate scenarios. The EPSAP generative design method created twelve thousand buildings with random geometries to evaluate their energy demand for heating and cooling in EnergyPlus. The U-values of the envelop elements for these buildings were randomly assigned and simulated for 21 locations in Iran for the current period and two future timeframes (2050 and 2080). The future weather was created using the Future Weather Generator tool to morph today's typical meteorological weather to match the EC-Earth3 data for the SSP5-8.5 scenario. The results confirm that climate change will significantly impact the energy performance of a building. However, consequences and mitigation actions will differ depending on the region. Future ideal U-values will be higher or lowe</w:t>
      </w:r>
    </w:p>
    <w:p>
      <w:pPr/>
      <w:r>
        <w:rPr>
          <w:b/>
        </w:rPr>
        <w:t>POSSIBLE 2023:</w:t>
      </w:r>
      <w:r>
        <w:t xml:space="preserve"> Family education as a process of translation of ideals and values of culture — https://doi.org/10.25136/2409-7144.2023.9.43635</w:t>
      </w:r>
    </w:p>
    <w:p>
      <w:pPr/>
      <w:r>
        <w:rPr>
          <w:b/>
        </w:rPr>
        <w:t>Shared claim-specific concepts:</w:t>
      </w:r>
      <w:r>
        <w:t xml:space="preserve"> extent, conditions, authors; EU scope not established. This is a provisional connection, not an outcome finding.</w:t>
      </w:r>
    </w:p>
    <w:p>
      <w:pPr>
        <w:pStyle w:val="SourceNote"/>
      </w:pPr>
      <w:r>
        <w:rPr>
          <w:b/>
        </w:rPr>
        <w:t>Available abstract (not full text):</w:t>
      </w:r>
      <w:r>
        <w:t xml:space="preserve"> In the article, the authors consider issues related to the family as a social institution of society, which through the education system is a carrier, keeper and translator of cultural ideals. The subject of the study is family education, interpreted as the process of translating the ideals and values of culture. The article examines the concept and functions of the family as a leading social institution, sacred and profane ideals of culture and their mutual influence, types of family education, distinguished depending on the characteristics of the transmitted cultural values. When writing the work, such general scientific and private scientific research methods as analysis, synthesis, classification, generalization, comparison, historical method, analysis of empirical and sociological data on the studied problem were used. The general methodology of the work was compiled by scientific works of both domestic and foreign scientists devoted to the family as a carrier of cultural values. The analysis of scientific literature on research issues has shown that the modern family performs not only reproductive functions, but also the functions of preserving and reproducing cultural values, allowing society and the state to maintain stability and develop in the conditions of globalization and active influence on society through the imposition of new cultural values. The scientific nove</w:t>
      </w:r>
    </w:p>
    <w:p>
      <w:pPr/>
      <w:r>
        <w:rPr>
          <w:b/>
        </w:rPr>
        <w:t>POSSIBLE 2023:</w:t>
      </w:r>
      <w:r>
        <w:t xml:space="preserve"> Towards Ideal Understanding — https://doi.org/10.3998/ergo.4651</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What does it take to understand a phenomenon ideally, or to the highest conceivable extent? In this paper, we answer this question by arguing for five necessary conditions for ideal understanding: (i) sufficient representational accuracy, (ii) intelligibility, (iii) sufficient truth, (iv) reasonable endorsement, and (v) fit. Even if one disagrees that there is some form of ideal understanding, these five conditions can be regarded as sufficient conditions for a particularly deep level of understanding. We then argue that grasping, novel predictions, and transparency are not reasonable conditions for ideal understanding.</w:t>
      </w:r>
    </w:p>
    <w:p>
      <w:pPr/>
      <w:r>
        <w:rPr>
          <w:b/>
        </w:rPr>
        <w:t>POSSIBLE 2023:</w:t>
      </w:r>
      <w:r>
        <w:t xml:space="preserve"> Building for tomorrow: Analyzing ideal thermal transmittances in the face of climate change in Brazil — https://doi.org/10.1016/j.apenergy.2023.122360</w:t>
      </w:r>
    </w:p>
    <w:p>
      <w:pPr/>
      <w:r>
        <w:rPr>
          <w:b/>
        </w:rPr>
        <w:t>Shared claim-specific concepts:</w:t>
      </w:r>
      <w:r>
        <w:t xml:space="preserve"> extent, conditions, ideal; EU scope not established. This is a provisional connection, not an outcome finding.</w:t>
      </w:r>
    </w:p>
    <w:p>
      <w:pPr>
        <w:pStyle w:val="SourceNote"/>
      </w:pPr>
      <w:r>
        <w:rPr>
          <w:b/>
        </w:rPr>
        <w:t>Available abstract (not full text):</w:t>
      </w:r>
      <w:r>
        <w:t xml:space="preserve"> The climate will become hotter, and buildings will perform differently as outdoor conditions evolve. If the lowest energy demand is desired, it is crucial to determine the ideal thermophysical properties of the envelope over the buildings' life span. However, the scientific literature is still scarce in providing a compelling answer. Therefore, this study (i) determines ideal thermal transmittance values (U-values) for present-day and future climates, (ii) determines to what extent the thermophysical properties will need to change to remain ideal, (iii) identifies different trends of U-values over time, (iv) establishes a relationship between outdoor air temperatures, cooling and heating setpoints, and ideal U-values, and (v) proposes a set of design strategies according to each trend. The EPSAP generative design method was used to create a large dataset of residential buildings with random geometries and U-values to evaluate their energy demand for heating and cooling in EnergyPlus. The thermal performance of each building was evaluated for 30 locations in Brazil for the current period and two future timeframes (2050 and 2080). The Future Weather Generator tool was used to morph today's typical meteorological weather to match the EC-Earth3 data for the SSP5–8.5 scenario. Although climate change has a similar relative impact, its consequences differ over time in each location. </w:t>
      </w:r>
    </w:p>
    <w:p>
      <w:pPr>
        <w:pStyle w:val="Heading2"/>
      </w:pPr>
      <w:r>
        <w:t>849. Secular stagnation – are we stuck in Summers' long winter?</w:t>
      </w:r>
    </w:p>
    <w:p>
      <w:pPr>
        <w:pStyle w:val="SourceNote"/>
      </w:pPr>
      <w:r>
        <w:rPr>
          <w:b/>
        </w:rPr>
        <w:t>Original source (2016):</w:t>
      </w:r>
      <w:r>
        <w:t xml:space="preserve"> https://doi.org/10.1111/1468-0319.12197</w:t>
      </w:r>
    </w:p>
    <w:p>
      <w:pPr/>
      <w:r>
        <w:t>Original wording (abstract; indexed_source_text_not_full_document_verified): Growth could be stronger were it not for the sizeable drag from fiscal consolidation over the next four years and the dampening effect that this will have on activity. Usually this would drive a period of strong economic growth, but we expect GDP growth to average a relatively underwhelming 2.4% a year over this period, largely due to the drag from aggressive fiscal consolidation.</w:t>
      </w:r>
    </w:p>
    <w:p>
      <w:pPr/>
      <w:r>
        <w:rPr>
          <w:b/>
        </w:rPr>
        <w:t>POSSIBLE 2026:</w:t>
      </w:r>
      <w:r>
        <w:t xml:space="preserve"> Sensselo Male Enhancement Device | Safe Size Growth &amp; Stronger Erections — https://doi.org/10.5281/zenodo.18785338</w:t>
      </w:r>
    </w:p>
    <w:p>
      <w:pPr/>
      <w:r>
        <w:rPr>
          <w:b/>
        </w:rPr>
        <w:t>Shared claim-specific concepts:</w:t>
      </w:r>
      <w:r>
        <w:t xml:space="preserve"> stronger, over; EU scope not established. This is a provisional connection, not an outcome finding.</w:t>
      </w:r>
    </w:p>
    <w:p>
      <w:pPr>
        <w:pStyle w:val="SourceNote"/>
      </w:pPr>
      <w:r>
        <w:rPr>
          <w:b/>
        </w:rPr>
        <w:t>Available abstract (not full text):</w:t>
      </w:r>
      <w:r>
        <w:t xml:space="preserve"> When it comes to male confidence, performance and satisfaction matter. Many men today are searching for safe, effective, and reliable solutions to enhance their size and improve stamina. Sensselo is designed to meet that demand with cutting-edge engineering, premium medical-grade materials, and innovative vacuum seal technology that supports natural enlargement and longer-lasting erections. If you’re looking for a trusted male enhancement solution that delivers visible results and lasting performance, Sensselo is quickly becoming a top choice. 🛒Buy Sensselo Now and Transform Your Performance Today 🔥 What Is Sensselo? Sensselo is a premium male enhancement device engineered to help increase size by up to 2x while promoting stronger, firmer, and longer-lasting erections. Unlike risky supplements or invasive procedures, Sensselo uses a controlled vacuum seal system to naturally stimulate blood flow and expansion. The result? Improved girth, enhanced length, and greater confidence in the bedroom — all without harmful chemicals or unsafe methods. How Sensselo Works At the core of Sensselo is its innovative vacuum seal technology. This system creates a secure, controlled suction environment that encourages increased blood circulation to the penile tissues. Here’s how it benefits you: Encourages natural tissue expansion Promotes stronger blood flow Supports firmer, longer-lasting erec</w:t>
      </w:r>
    </w:p>
    <w:p>
      <w:pPr/>
      <w:r>
        <w:rPr>
          <w:b/>
        </w:rPr>
        <w:t>POSSIBLE 2026:</w:t>
      </w:r>
      <w:r>
        <w:t xml:space="preserve"> Population Ageing: Implications for Economic Growth and Fiscal Sustainability — https://doi.org/10.1111/1467-8454.70029</w:t>
      </w:r>
    </w:p>
    <w:p>
      <w:pPr/>
      <w:r>
        <w:rPr>
          <w:b/>
        </w:rPr>
        <w:t>Shared claim-specific concepts:</w:t>
      </w:r>
      <w:r>
        <w:t xml:space="preserve"> stronger, drag, fiscal, gdp; EU scope not established. This is a provisional connection, not an outcome finding.</w:t>
      </w:r>
    </w:p>
    <w:p>
      <w:pPr>
        <w:pStyle w:val="SourceNote"/>
      </w:pPr>
      <w:r>
        <w:rPr>
          <w:b/>
        </w:rPr>
        <w:t>Available abstract (not full text):</w:t>
      </w:r>
      <w:r>
        <w:t xml:space="preserve"> ABSTRACT Population ageing poses significant challenges to economic growth and fiscal sustainability in advanced economies. This study examines how fiscal sustainability and labour force participation moderate the impact of ageing on gross domestic product (GDP) growth across 37 Organisation for Economic Co‐operation and Development member countries from 1995 to 2023. We introduce a novel composite fiscal sustainability index that captures fiscal health through nine macro‐fiscal indicators, integrating expenditure control, revenue adequacy, macroeconomic stability, and debt management. Employing a dynamic panel data approach with system generalised method of moments estimation, we address endogeneity and unobserved heterogeneity to derive robust causal inferences. Our findings reveal that a 1% increase in the share of the older adult population reduces short‐run GDP growth by 0.31% and long‐run GDP growth by 0.37%. Stronger fiscal discipline significantly attenuates the negative growth impact of ageing, mitigating the growth drag by approximately 0.077 percentage points in the short run. Moreover, higher labour force participation cushions the adverse effects of demographic shifts and positively contributes to growth in both the short and long run. These results underscore the crucial roles of sound fiscal governance and inclusive labour market policies in sustaining economic v</w:t>
      </w:r>
    </w:p>
    <w:p>
      <w:pPr/>
      <w:r>
        <w:rPr>
          <w:b/>
        </w:rPr>
        <w:t>POSSIBLE 2026:</w:t>
      </w:r>
      <w:r>
        <w:t xml:space="preserve"> Impact of fiscal sustainability on economic growth in Kenya — https://doi.org/10.65748/fiqf-2026-0001</w:t>
      </w:r>
    </w:p>
    <w:p>
      <w:pPr/>
      <w:r>
        <w:rPr>
          <w:b/>
        </w:rPr>
        <w:t>Shared claim-specific concepts:</w:t>
      </w:r>
      <w:r>
        <w:t xml:space="preserve"> fiscal, over, effect; EU scope not established. This is a provisional connection, not an outcome finding.</w:t>
      </w:r>
    </w:p>
    <w:p>
      <w:pPr>
        <w:pStyle w:val="SourceNote"/>
      </w:pPr>
      <w:r>
        <w:rPr>
          <w:b/>
        </w:rPr>
        <w:t>Available abstract (not full text):</w:t>
      </w:r>
      <w:r>
        <w:t xml:space="preserve"> Fiscal sustainability refers to a government's capacity to generate sufficient revenue to cover its expenses and repay its debts without accumulating excessive liabilities or creating new money. Recent observations indicate that Kenya's economic growth has slowed, prompting concerns about its fiscal sustainability. This study investigates the long-term relationship between Kenya's economic growth and certain budgetary sustainability indicators, specifically the public primary budget balance and external debt. Two control variables-trade balance and inflation-were also considered, with data sourced from the IMF and World Bank. Utilizing time series annual data spanning from 1990 to 2023, the study employed the autoregressive distributed lag (ARDL) bounds test and error correction model to analyze the data through three stages: unit root testing, F-bounds cointegration testing, and estimating the ARDL error correction model. The findings reveal a long-term relationship between fiscal sustainability indicators and economic growth in Kenya. Notably, the primary budget balance, which serves as a proxy for fiscal sustainability, as well as inflation and trade balance, were found to negatively and significantly impact economic growth in the country. Conversely, external debt, another proxy for fiscal sustainability, exhibited a positive effect on economic growth over the long term. To</w:t>
      </w:r>
    </w:p>
    <w:p>
      <w:pPr/>
      <w:r>
        <w:rPr>
          <w:b/>
        </w:rPr>
        <w:t>POSSIBLE 2026:</w:t>
      </w:r>
      <w:r>
        <w:t xml:space="preserve"> Taxes, Growth, and Equity: The Illusions of Fiscal Policy — https://doi.org/10.3390/ijfs14020030</w:t>
      </w:r>
    </w:p>
    <w:p>
      <w:pPr/>
      <w:r>
        <w:rPr>
          <w:b/>
        </w:rPr>
        <w:t>Shared claim-specific concepts:</w:t>
      </w:r>
      <w:r>
        <w:t xml:space="preserve"> fiscal, over; EU scope not established. This is a provisional connection, not an outcome finding.</w:t>
      </w:r>
    </w:p>
    <w:p>
      <w:pPr>
        <w:pStyle w:val="SourceNote"/>
      </w:pPr>
      <w:r>
        <w:rPr>
          <w:b/>
        </w:rPr>
        <w:t>Available abstract (not full text):</w:t>
      </w:r>
      <w:r>
        <w:t xml:space="preserve"> For over a century now, one of the central debates of economic policy has been around fiscal policy. Taxation and government spending have been a feature of most political campaigns, with one (more vocal) side claiming that taxation chokes economic growth and benefits special interests, while leaving a legacy of debt. Another side sees taxation as a necessary tool for creating equal opportunity and ensuring adequate investment in collective public goods, including human capital. Using newly constructed datasets that we will make available, we take a fresh look at fiscal policy on the global level and across U.S. states, measuring its effects on growth and equity. We utilize a new technique, functional data analysis (FDA). We find limited evidence for both the conservative and progressive arguments around fiscal policy in the short term. Rather, the data suggest persistent fiscal patterns across space and time that reflect long-term social value choices around the tradeoffs of growth vs. public investment and equity.</w:t>
      </w:r>
    </w:p>
    <w:p>
      <w:pPr/>
      <w:r>
        <w:rPr>
          <w:b/>
        </w:rPr>
        <w:t>POSSIBLE 2026:</w:t>
      </w:r>
      <w:r>
        <w:t xml:space="preserve"> Fiscal Policy, Debt Management and Economic Growth in Nigeria — https://doi.org/10.47772/ijriss.2026.100500380</w:t>
      </w:r>
    </w:p>
    <w:p>
      <w:pPr/>
      <w:r>
        <w:rPr>
          <w:b/>
        </w:rPr>
        <w:t>Shared claim-specific concepts:</w:t>
      </w:r>
      <w:r>
        <w:t xml:space="preserve"> stronger, fiscal, effect, strong, gdp, largely; EU scope not established. This is a provisional connection, not an outcome finding.</w:t>
      </w:r>
    </w:p>
    <w:p>
      <w:pPr>
        <w:pStyle w:val="SourceNote"/>
      </w:pPr>
      <w:r>
        <w:rPr>
          <w:b/>
        </w:rPr>
        <w:t>Available abstract (not full text):</w:t>
      </w:r>
      <w:r>
        <w:t xml:space="preserve"> This study examines fiscal policy, debt management, and economic growth in Nigeria using annual data from 1990 to 2023 within an Autoregressive Distributed Lag (ARDL) framework. The results show that in the short run, government revenue to GDP has a negative and marginal effect on economic growth (β = –0.335, p≈0.055), while debt service payments significantly reduce economic growth (β = –3.70, p = 0.0120). External debt to GDP also exerts a delayed negative effect on growth (β = –0.932, p = 0.0068), whereas regulatory quality positively influences growth in the short run (β = 0.268, p = 0.0229). Foreign direct investment shows limited short run impact, while the error correction term is negative and highly significant (β = –0.889973, p = 0.0010), indicating a strong adjustment speed of about 89 percent toward long run equilibrium. In the long run, external debt to GDP positively affects economic growth (β = 1.68, p = 0.0001), alongside regulatory quality which also shows a significant positive effect (β = 1.31, p = 0.0006), suggesting that well managed borrowing and strong institutions support growth performance. However, government revenue to GDP (β = –1.49, p = 0.0134) and debt service payments (β = –1.01, p = 0.0013) exert significant negative effects on economic growth, indicating fiscal inefficiencies and crowding out of productive expenditure. The model explains about 70</w:t>
      </w:r>
    </w:p>
    <w:p>
      <w:pPr/>
      <w:r>
        <w:rPr>
          <w:b/>
        </w:rPr>
        <w:t>POSSIBLE 2026:</w:t>
      </w:r>
      <w:r>
        <w:t xml:space="preserve"> Fiscal Imbalances and Economic Growth: Evidence from India — https://doi.org/10.37622/ijhss/14.2.2025.173-181</w:t>
      </w:r>
    </w:p>
    <w:p>
      <w:pPr/>
      <w:r>
        <w:rPr>
          <w:b/>
        </w:rPr>
        <w:t>Shared claim-specific concepts:</w:t>
      </w:r>
      <w:r>
        <w:t xml:space="preserve"> fiscal, over, effect, period; EU scope not established. This is a provisional connection, not an outcome finding.</w:t>
      </w:r>
    </w:p>
    <w:p>
      <w:pPr>
        <w:pStyle w:val="SourceNote"/>
      </w:pPr>
      <w:r>
        <w:rPr>
          <w:b/>
        </w:rPr>
        <w:t>Available abstract (not full text):</w:t>
      </w:r>
      <w:r>
        <w:t xml:space="preserve"> A fiscal deficit plays a crucial role in a nation's macroeconomic framework, as it enables the government to finance infrastructure, support economic growth, and counter-economic emergencies or crises effectively.However, its effective management is essential for long-term fiscal sustainability.Owing to its dynamic nature, the contribution of fiscal deficit to economic performance varies across countries due to structural and institutional factors.Against this backdrop, the present study investigates the impact of deficit on India's economic growth in India over the period 1990-2024.The "Autoregressive Distributed Lag (ARDL)" approach is used to capture both short-run and longrun dynamics of the model.Empirical results signify that fiscal deficit has a contractionary effect on economic growth in short run, highlighting inefficiencies and crowding-out effects associated with deficit financing.Furthermore, COVID-19 caused a significant and measurable drop in economic performance in the short-run.</w:t>
      </w:r>
    </w:p>
    <w:p>
      <w:pPr/>
      <w:r>
        <w:rPr>
          <w:b/>
        </w:rPr>
        <w:t>POSSIBLE 2025:</w:t>
      </w:r>
      <w:r>
        <w:t xml:space="preserve"> Survivorship therapy needs after radiotherapy for head and neck cancer: surveying opportunities for growth (STRONG) — https://doi.org/10.1007/s00520-025-09429-2</w:t>
      </w:r>
    </w:p>
    <w:p>
      <w:pPr/>
      <w:r>
        <w:rPr>
          <w:b/>
        </w:rPr>
        <w:t>Shared claim-specific concepts:</w:t>
      </w:r>
      <w:r>
        <w:t xml:space="preserve"> not, strong; EU scope not established. This is a provisional connection, not an outcome finding.</w:t>
      </w:r>
    </w:p>
    <w:p>
      <w:pPr>
        <w:pStyle w:val="SourceNote"/>
      </w:pPr>
      <w:r>
        <w:rPr>
          <w:b/>
        </w:rPr>
        <w:t>Available abstract (not full text):</w:t>
      </w:r>
      <w:r>
        <w:t xml:space="preserve"> INTRODUCTION: Patients with head and neck squamous cell carcinoma (HNSCC) are at risk for long-term side effects and require thorough survivorship care following completion of radiation therapy (RT). We aimed to identify survivorship interest and needs following RT. METHODS: Patients with HNSCC who completed RT from Jan 2013 to April 2023 completed questions based on the five-domain Cancer Survivorship Framework (physical effects, psychosocial effects, cancer screening, chronic conditions, health promotion) and the Consolidated Framework for Implementation Research (interest, knowledge, barriers). RESULTS: Of 1,123 patients, 317 participated (response rate 28%). Patients were 64% (n = 203) male with a mean age of 64 years (SD 12), with 66% (n = 209) finishing treatment &gt; 2-years prior. 36% (n = 115) were interested in, 34% (n = 108) prioritized, and 28% (n = 88) had information related to survivorship. For survivorship domains, within physical effects, dry mouth (40%, n = 126) and trouble swallowing (24%, n = 75) were most bothersome. For psychosocial, 15% (n = 46) reported current depression (mean PHQ2 score ≥ 3) and 71% (n = 226) felt mental health needs were not addressed during treatment. Forty-two percent felt that diet, exercise, and smoking were not addressed (n = 134). Seventy-six percent (n = 240) understood the importance of cancer screening. Most patients wished to a</w:t>
      </w:r>
    </w:p>
    <w:p>
      <w:pPr/>
      <w:r>
        <w:rPr>
          <w:b/>
        </w:rPr>
        <w:t>POSSIBLE 2024:</w:t>
      </w:r>
      <w:r>
        <w:t xml:space="preserve"> Fiscal drag: the heterogeneous impact of inflation on personal income tax revenue — https://doi.org/10.53479/37393</w:t>
      </w:r>
    </w:p>
    <w:p>
      <w:pPr/>
      <w:r>
        <w:rPr>
          <w:b/>
        </w:rPr>
        <w:t>Shared claim-specific concepts:</w:t>
      </w:r>
      <w:r>
        <w:t xml:space="preserve"> not, drag, fiscal, effect, strong, gdp; EU scope not established. This is a provisional connection, not an outcome finding.</w:t>
      </w:r>
    </w:p>
    <w:p>
      <w:pPr>
        <w:pStyle w:val="SourceNote"/>
      </w:pPr>
      <w:r>
        <w:rPr>
          <w:b/>
        </w:rPr>
        <w:t>Available abstract (not full text):</w:t>
      </w:r>
      <w:r>
        <w:t xml:space="preserve"> In recent years, personal income tax collection has shown strong dynamism. Part of this increase is due to household income growth, while another part is due to the “fiscal drag” effect, which results in an increase in average effective rates when the parameters that determine the tax (brackets and tax benefits) are not fully updated with inflation. This paper uses a tax microsimulation tool based on tax filers’ administrative data to study the magnitude of the fiscal drag effect, its heterogeneity across the income distribution, its mechanisms and its impact on tax collection and on average effective tax rates in recent years and in the future. It is estimated that, in the absence of indexation of the nominally defined parameters of the tax, a homogeneous increase in household income of 1% would lead to an increase in income tax revenue of 1.85%, in line with the average elasticity estimated for OECD countries. This effect is greater for middle and upper-middle incomes and produces an increase in effective tax rates across the entire distribution of tax filers, leading to a reduction in net income inequality. It is estimated that around half of the increase in the personal income tax-to-GDP ratio observed between 2019 and 2023 can be explained by the fiscal drag effect. Going forward, in the absence of changes in tax parameters, the ratio of personal income tax revenue to GDP </w:t>
      </w:r>
    </w:p>
    <w:p>
      <w:pPr/>
      <w:r>
        <w:rPr>
          <w:b/>
        </w:rPr>
        <w:t>POSSIBLE 2023:</w:t>
      </w:r>
      <w:r>
        <w:t xml:space="preserve"> Morocco’s Quest for Stronger and Inclusive Growth — https://doi.org/10.5089/9798400225406.071</w:t>
      </w:r>
    </w:p>
    <w:p>
      <w:pPr/>
      <w:r>
        <w:rPr>
          <w:b/>
        </w:rPr>
        <w:t>Shared claim-specific concepts:</w:t>
      </w:r>
      <w:r>
        <w:t xml:space="preserve"> stronger, not, but; EU scope not established. This is a provisional connection, not an outcome finding.</w:t>
      </w:r>
    </w:p>
    <w:p>
      <w:pPr>
        <w:pStyle w:val="SourceNote"/>
      </w:pPr>
      <w:r>
        <w:rPr>
          <w:b/>
        </w:rPr>
        <w:t>Available abstract (not full text):</w:t>
      </w:r>
      <w:r>
        <w:t xml:space="preserve"> Throughout the past two decades, Morocco has faced several external and domestic shocks, including large swings in international oil prices, regional geopolitical tensions, severe droughts, and most recently the impact of the pandemic and the economic fallout from Russia’s invasion of Ukraine. Despite rough waters, the government stayed the course and remained focused not only on immediate stability, but also on the long-term needs of the Moroccan economy. This involved the adoption of a series of difficult measures, like the elimination of energy subsidies, and a strategy aimed at improving the country’s infrastructure, diversifying the production and export bases by attracting foreign investment, and modernizing the governance structure of the public administration. The road to higher and more inclusive growth, however, remains steep. Despite gains in poverty reduction, literacy and lifespans, Morocco economy continues to face a high share of inactive youth, large gaps in economic opportunities for women, a fragmented social protection system, and remaining barriers to private sector development. An ambitious reform agenda is needed to better meet the aspirations of Moroccans, by making economic growth stronger, more resilient and more inclusive, particularly to provide greater opportunities for young, women, and entrepreneurs. Morocco appears well positioned to address these</w:t>
      </w:r>
    </w:p>
    <w:p>
      <w:pPr/>
      <w:r>
        <w:rPr>
          <w:b/>
        </w:rPr>
        <w:t>POSSIBLE 2023:</w:t>
      </w:r>
      <w:r>
        <w:t xml:space="preserve"> Strong Inhibition of Ice Growth by Biomimetic Crowding Coacervates — https://doi.org/10.1002/anie.202311047</w:t>
      </w:r>
    </w:p>
    <w:p>
      <w:pPr/>
      <w:r>
        <w:rPr>
          <w:b/>
        </w:rPr>
        <w:t>Shared claim-specific concepts:</w:t>
      </w:r>
      <w:r>
        <w:t xml:space="preserve"> not, activity, strong, but; EU scope not established. This is a provisional connection, not an outcome finding.</w:t>
      </w:r>
    </w:p>
    <w:p>
      <w:pPr>
        <w:pStyle w:val="SourceNote"/>
      </w:pPr>
      <w:r>
        <w:rPr>
          <w:b/>
        </w:rPr>
        <w:t>Available abstract (not full text):</w:t>
      </w:r>
      <w:r>
        <w:t xml:space="preserve"> The freezing of biological fluids is intensively studied but remains elusive as it is affected not only by the various components but also by the crowding nature of the biological fluids. Herein, we constructed spherical crowders, fibrous crowders, and coacervates by various components ranging from surfactants to polymers and proteins, to mimic three typical crowders in biological fluids, i.e., globular proteins, fibrous networks, and condensates of biomolecules. It is elucidated that the three crowders exhibit low, moderate, and strong ice growth inhibition activity, respectively, resulting from their different abilities in slowing down water dynamics. Intriguingly, the coacervate consisting of molecules without obvious ice growth inhibition activity strongly inhibits ice growth, which is firstly employed as a highly-potent cryoprotectant. This work provides new insights into the survival of freezing-tolerant organisms and opens an avenue for the design of ice-controlling materials.</w:t>
      </w:r>
    </w:p>
    <w:p>
      <w:pPr/>
      <w:r>
        <w:rPr>
          <w:b/>
        </w:rPr>
        <w:t>POSSIBLE 2023:</w:t>
      </w:r>
      <w:r>
        <w:t xml:space="preserve"> Africa-In Pursuit of Stronger Growth and Resilience — https://doi.org/10.5089/9798400254772.086.ch001</w:t>
      </w:r>
    </w:p>
    <w:p>
      <w:pPr/>
      <w:r>
        <w:rPr>
          <w:b/>
        </w:rPr>
        <w:t>Shared claim-specific concepts:</w:t>
      </w:r>
      <w:r>
        <w:t xml:space="preserve"> stronger, fiscal, four, activity; EU scope not established. This is a provisional connection, not an outcome finding.</w:t>
      </w:r>
    </w:p>
    <w:p>
      <w:pPr>
        <w:pStyle w:val="SourceNote"/>
      </w:pPr>
      <w:r>
        <w:rPr>
          <w:b/>
        </w:rPr>
        <w:t>Available abstract (not full text):</w:t>
      </w:r>
      <w:r>
        <w:t xml:space="preserve"> On the occasion of the World Bank-IMF Annual Meetings’ return to the African continent after 50 years—specifically to Marrakech, Morocco—this Special Issue on Africa discusses economic developments for the entire continent. After four years of crises and at the close of another difficult year, recent events, including the devastating earthquake in Morocco, severe floods in Libya, and the impact of Cyclone Freddy in Malawi, have underscored the continent’s ongoing vulnerability to natural disasters and the need to build resilience. In the near term, there are tentative signs that the outlook in many countries in Africa is improving. Inflation is generally easing, economic activity is starting to pick up, and fiscal imbalances are gradually moderating. However, significant challenges remain, and it is too early to celebrate. For too many countries, inflation is still too high, debt vulnerabilities remain elevated, and medium-term growth rates are too low. Recent episodes of political instability also underscore the fragility of conflict-affected states. Against this background, Africa’s policymakers should prioritize efforts to boost resilience by ensuring macroeconomic stability and accel-erating structural reforms to foster stronger, more inclusive growth. The international community should maintain and enhance a cooperative approach to the provision of global public goods. In </w:t>
      </w:r>
    </w:p>
    <w:p>
      <w:pPr/>
      <w:r>
        <w:rPr>
          <w:b/>
        </w:rPr>
        <w:t>POSSIBLE 2022:</w:t>
      </w:r>
      <w:r>
        <w:t xml:space="preserve"> Global growth on life support? The contributions of fiscal and monetary policy since the global financial crisis — https://doi.org/10.1002/ijfe.2675</w:t>
      </w:r>
    </w:p>
    <w:p>
      <w:pPr/>
      <w:r>
        <w:rPr>
          <w:b/>
        </w:rPr>
        <w:t>Shared claim-specific concepts:</w:t>
      </w:r>
      <w:r>
        <w:t xml:space="preserve"> drag, fiscal, consolidation, strong, but, gdp; EU scope not established. This is a provisional connection, not an outcome finding.</w:t>
      </w:r>
    </w:p>
    <w:p>
      <w:pPr>
        <w:pStyle w:val="SourceNote"/>
      </w:pPr>
      <w:r>
        <w:rPr>
          <w:b/>
        </w:rPr>
        <w:t>Available abstract (not full text):</w:t>
      </w:r>
      <w:r>
        <w:t xml:space="preserve"> Abstract This paper compares the role of monetary and fiscal policy shocks in advanced and emerging economies. Using a model with a hierarchical structure, we capture the variability of GDP response to policy shocks both between and within the groups of advanced and emerging countries. Our results show that the effects of fiscal stimulus are higher in advanced economies compared to emerging markets, while monetary policy is found to have more homogeneous effects on GDP. We quantify the policy contribution on GDP growth in the decade that followed the global financial crisis by means of a structural counterfactual analysis based on conditional forecasts. We find that global GDP growth benefited from substantial policy support during the global financial crisis but policy tightening thereafter, particularly fiscal consolidation, acted as a significant drag on the subsequent global recovery. In addition, we show that the role of policy has differed across countries. Specifically, in advanced economies, highly accommodative monetary policy has been counteracted by strong fiscal consolidation. By contrast, in emerging economies, monetary policy has been less accommodative since the global recession.</w:t>
      </w:r>
    </w:p>
    <w:p>
      <w:pPr>
        <w:pStyle w:val="Heading2"/>
      </w:pPr>
      <w:r>
        <w:t>850. Shaping the ‘Energy Union': between national positions and governance innovation in EU energy and climate policy</w:t>
      </w:r>
    </w:p>
    <w:p>
      <w:pPr>
        <w:pStyle w:val="SourceNote"/>
      </w:pPr>
      <w:r>
        <w:rPr>
          <w:b/>
        </w:rPr>
        <w:t>Original source (2016):</w:t>
      </w:r>
      <w:r>
        <w:t xml:space="preserve"> https://doi.org/10.1080/14693062.2015.1135100</w:t>
      </w:r>
    </w:p>
    <w:p>
      <w:pPr/>
      <w:r>
        <w:t>Original wording (abstract; indexed_source_text_not_full_document_verified): We sketch two possible scenarios for the future of EU energy policy, as suggested by the intergovernmentalist and supranationalist approaches and emphasize the potential impact of the governance mechanism of the Energy Union, which could reach far beyond what is expected and provide welcome coherence in Europe's energy and climate policy.Policy relevanceThe article structures the policy debate on the Energy Union, discussing the different elements and instruments proposed by key EU actors and provides a useful overview of national interests of some important players, set in the context of their wider systemic conditions and policy goals.</w:t>
      </w:r>
    </w:p>
    <w:p>
      <w:pPr/>
      <w:r>
        <w:rPr>
          <w:b/>
        </w:rPr>
        <w:t>POSSIBLE 2026:</w:t>
      </w:r>
      <w:r>
        <w:t xml:space="preserve"> European Media Policy Grounded in Fundamental Rights — https://doi.org/10.1017/9781009568159.005</w:t>
      </w:r>
    </w:p>
    <w:p>
      <w:pPr/>
      <w:r>
        <w:rPr>
          <w:b/>
        </w:rPr>
        <w:t>Shared claim-specific concepts:</w:t>
      </w:r>
      <w:r>
        <w:t xml:space="preserve"> sketch, two, union, provide; EU scope visible. This is a provisional connection, not an outcome finding.</w:t>
      </w:r>
    </w:p>
    <w:p>
      <w:pPr>
        <w:pStyle w:val="SourceNote"/>
      </w:pPr>
      <w:r>
        <w:rPr>
          <w:b/>
        </w:rPr>
        <w:t>Available abstract (not full text):</w:t>
      </w:r>
      <w:r>
        <w:t xml:space="preserve"> This chapter explores the evolving interplay between the Council of Europe (CoE) and the European Union (EU) in safeguarding fundamental rights in the context of media policy. Both organisations have a long history in media policy, and both have extensively adapted their standards to counter recent threats resulting from digitisation and democratic backsliding. In this process the EU has significantly expanded its safeguards for fundamental rights, traditionally the CoE’s main focus. This convergence raises the possibility of conflict but also that of mutual reinforcement. In this chapter we first sketch the history of increasing convergence between EU and CoE media policy and provide an overview of each institution’s recent overlapping activities. We then argue for a closer relationship between the two institutions in the context of fundamental rights in media policy, focusing on the need for consistency between their respective standards, the normative guidance CoE standards can provide to the EU, and the practical implementation of fundamental rights standards EU enforcement can ensure. We close by suggesting ways in which a mutually reinforcing relationship between the two institutions can be operationalised through closer legal and organisational ties.</w:t>
      </w:r>
    </w:p>
    <w:p>
      <w:pPr/>
      <w:r>
        <w:rPr>
          <w:b/>
        </w:rPr>
        <w:t>POSSIBLE 2026:</w:t>
      </w:r>
      <w:r>
        <w:t xml:space="preserve"> Policy Dynamics in the European Union — https://doi.org/10.1017/9781009410274</w:t>
      </w:r>
    </w:p>
    <w:p>
      <w:pPr/>
      <w:r>
        <w:rPr>
          <w:b/>
        </w:rPr>
        <w:t>Shared claim-specific concepts:</w:t>
      </w:r>
      <w:r>
        <w:t xml:space="preserve"> governance, union; EU scope visible. This is a provisional connection, not an outcome finding.</w:t>
      </w:r>
    </w:p>
    <w:p>
      <w:pPr>
        <w:pStyle w:val="SourceNote"/>
      </w:pPr>
      <w:r>
        <w:rPr>
          <w:b/>
        </w:rPr>
        <w:t>Available abstract (not full text):</w:t>
      </w:r>
      <w:r>
        <w:t xml:space="preserve"> In multilevel governance systems, member states work together to address cross-border problems, yet people still lack a clear understanding of how and why their policies differ or converge. Existing research offers many explanations but often treats them separately or overstates the EU's independent influence. This Element brings these perspectives together in a single framework of policy dynamics. It distinguishes policy areas shaped mainly by EU institutions or member states, or by their interaction. It introduces an actor-centered typology of policy dynamics – stable patterns of actors, incentives, and mechanisms that shape policy over time. The Element shows that these dynamics matter only when governments, interest groups, and NGOs have the incentives, capacity, and leverage to build coalitions and pursue goals. The policy dynamics framework helps learners identify likely causal mechanisms and supports clearer comparison, explanation, and teaching of EU policymaking. This title is also available as Open Access on Cambridge Core.</w:t>
      </w:r>
    </w:p>
    <w:p>
      <w:pPr/>
      <w:r>
        <w:rPr>
          <w:b/>
        </w:rPr>
        <w:t>POSSIBLE 2023:</w:t>
      </w:r>
      <w:r>
        <w:t xml:space="preserve"> Two and a Half Tales of Europe: How the European Commission Narrates Peoplehood in Migration and Citizenship Policy — https://doi.org/10.1111/jcms.13479</w:t>
      </w:r>
    </w:p>
    <w:p>
      <w:pPr/>
      <w:r>
        <w:rPr>
          <w:b/>
        </w:rPr>
        <w:t>Shared claim-specific concepts:</w:t>
      </w:r>
      <w:r>
        <w:t xml:space="preserve"> two, article; EU scope visible. This is a provisional connection, not an outcome finding.</w:t>
      </w:r>
    </w:p>
    <w:p>
      <w:pPr>
        <w:pStyle w:val="SourceNote"/>
      </w:pPr>
      <w:r>
        <w:rPr>
          <w:b/>
        </w:rPr>
        <w:t>Available abstract (not full text):</w:t>
      </w:r>
      <w:r>
        <w:t xml:space="preserve"> Abstract Since 2019, the European Commission has had a vice president for ‘promoting our European way of life’, but whether a European ‘we’ exists at all is disputed. This article investigates whether and how the Commission has constructed this ‘we’ through narratives of peoplehood. Analysing official communications in migration and citizenship policy between 2007 and 2020, it traces three narrative elements: characters, plot and main theme. The article argues, first, that the Commission's narrative of ‘realizing European citizenship’ creates a sense of peoplehood more than its narrative of ‘achieving a comprehensive migration policy’ and, second, that it has largely repeated its citizenship narrative while adapting its migration narrative. The findings suggest that the Commission is a rather subtle narrator of peoplehood and call into question whether it has a clear idea of the ‘we’ whose ‘way of life’ it seeks to promote.</w:t>
      </w:r>
    </w:p>
    <w:p>
      <w:pPr/>
      <w:r>
        <w:rPr>
          <w:b/>
        </w:rPr>
        <w:t>POSSIBLE 2022:</w:t>
      </w:r>
      <w:r>
        <w:t xml:space="preserve"> Facial-sketch Synthesis: A New Challenge — https://doi.org/10.1007/s11633-022-1349-9</w:t>
      </w:r>
    </w:p>
    <w:p>
      <w:pPr/>
      <w:r>
        <w:rPr>
          <w:b/>
        </w:rPr>
        <w:t>Shared claim-specific concepts:</w:t>
      </w:r>
      <w:r>
        <w:t xml:space="preserve"> sketch, two, approaches; EU scope not established. This is a provisional connection, not an outcome finding.</w:t>
      </w:r>
    </w:p>
    <w:p>
      <w:pPr>
        <w:pStyle w:val="SourceNote"/>
      </w:pPr>
      <w:r>
        <w:rPr>
          <w:b/>
        </w:rPr>
        <w:t>Available abstract (not full text):</w:t>
      </w:r>
      <w:r>
        <w:t xml:space="preserve"> Abstract This paper aims to conduct a comprehensive study on facial-sketch synthesis (FSS). However, due to the high cost of obtaining hand-drawn sketch datasets, there is a lack of a complete benchmark for assessing the development of FSS algorithms over the last decade. We first introduce a high-quality dataset for FSS, named FS2K, which consists of 2 104 image-sketch pairs spanning three types of sketch styles, image backgrounds, lighting conditions, skin colors, and facial attributes. FS2K differs from previous FSS datasets in difficulty, diversity, and scalability and should thus facilitate the progress of FSS research. Second, we present the largest-scale FSS investigation by reviewing 89 classic methods, including 25 handcrafted feature-based facial-sketch synthesis approaches, 29 general translation methods, and 35 image-to-sketch approaches. In addition, we elaborate comprehensive experiments on the existing 19 cutting-edge models. Third, we present a simple baseline for FSS, named FSGAN. With only two straightforward components, i.e., facial-aware masking and style-vector expansion, our FSGAN surpasses the performance of all previous state-of-the-art models on the proposed FS2K dataset by a large margin. Finally, we conclude with lessons learned over the past years and point out several unsolved challenges. Our code is available at https://github.com/DengPingFan/FSGAN</w:t>
      </w:r>
    </w:p>
    <w:p>
      <w:pPr/>
      <w:r>
        <w:rPr>
          <w:b/>
        </w:rPr>
        <w:t>POSSIBLE 2022:</w:t>
      </w:r>
      <w:r>
        <w:t xml:space="preserve"> A sketch grammar of Seletar — https://doi.org/10.32657/10356/165162</w:t>
      </w:r>
    </w:p>
    <w:p>
      <w:pPr/>
      <w:r>
        <w:rPr>
          <w:b/>
        </w:rPr>
        <w:t>Shared claim-specific concepts:</w:t>
      </w:r>
      <w:r>
        <w:t xml:space="preserve"> sketch, two, climate; EU scope not established. This is a provisional connection, not an outcome finding.</w:t>
      </w:r>
    </w:p>
    <w:p>
      <w:pPr>
        <w:pStyle w:val="SourceNote"/>
      </w:pPr>
      <w:r>
        <w:rPr>
          <w:b/>
        </w:rPr>
        <w:t>Available abstract (not full text):</w:t>
      </w:r>
      <w:r>
        <w:t xml:space="preserve"> language and share their stories.I am also extremely grateful to my interpreter and point of contact, M, for giving me a chance to meet your extended family.Also to my two Seletar interpreters that I met in Singapore (virtually) during the pandemic, without your help, I would never have completed this work.I am glad that the borders are now open and we can all go home and visit our families regularly.Currently, the times are hard for the Orang Seletar with depleting catch due to climate change, and I sincerely hope the best for the entire Orang Seletar community</w:t>
      </w:r>
    </w:p>
    <w:p>
      <w:pPr/>
      <w:r>
        <w:rPr>
          <w:b/>
        </w:rPr>
        <w:t>POSSIBLE 2021:</w:t>
      </w:r>
      <w:r>
        <w:t xml:space="preserve"> A New Idea(l) for Europe: Report on the Future of Cosmopolitanism in Europe — https://doi.org/10.17185/duepublico/74426</w:t>
      </w:r>
    </w:p>
    <w:p>
      <w:pPr/>
      <w:r>
        <w:rPr>
          <w:b/>
        </w:rPr>
        <w:t>Shared claim-specific concepts:</w:t>
      </w:r>
      <w:r>
        <w:t xml:space="preserve"> sketch, two, possible, emphasize, union; EU scope visible. This is a provisional connection, not an outcome finding.</w:t>
      </w:r>
    </w:p>
    <w:p>
      <w:pPr>
        <w:pStyle w:val="SourceNote"/>
      </w:pPr>
      <w:r>
        <w:rPr>
          <w:b/>
        </w:rPr>
        <w:t>Available abstract (not full text):</w:t>
      </w:r>
      <w:r>
        <w:t xml:space="preserve"> While designing its migration policies, the European Union must carefully weigh two conflicting considerations. On the one hand, the Union has set some normative standards for itself in its Charter of Fundamental Rights. On the other hand, after the sudden influx of asylum seekers over the summer of 2015, several member states signalled that their reception facilities could not cope with the tide of new arrivals, while some populations voted into power or confirmed national governments committed to restricting immigration into Europe. This report aims to offer some constructive criticisms and to present various solutions that would reconcile the Union’s normative commitments with its migration practices. To that end, we will proceed in four major steps. To begin with, we present a thorough diagnostic of the current situation of the Union’s migration policies and of its adequation to its self-assigned values and norms. Then, we introduce three possible scenarios for the future of the Union’s migration policies. In our first scenario, we suggest that the current status quo is unstable and that its perpetuation is likely to come at a political cost. We then sketch two alternative options. In the second scenario, the Union takes a step back in the management of its external borders, hands over most of the operational responsibilities to its member states and limits itself to a supe</w:t>
      </w:r>
    </w:p>
    <w:p>
      <w:pPr/>
      <w:r>
        <w:rPr>
          <w:b/>
        </w:rPr>
        <w:t>POSSIBLE 2021:</w:t>
      </w:r>
      <w:r>
        <w:t xml:space="preserve"> The Grand Tour of Europe — https://doi.org/10.7146/nts.v32i2.124349</w:t>
      </w:r>
    </w:p>
    <w:p>
      <w:pPr/>
      <w:r>
        <w:rPr>
          <w:b/>
        </w:rPr>
        <w:t>Shared claim-specific concepts:</w:t>
      </w:r>
      <w:r>
        <w:t xml:space="preserve"> two, possible, article; EU scope visible. This is a provisional connection, not an outcome finding.</w:t>
      </w:r>
    </w:p>
    <w:p>
      <w:pPr>
        <w:pStyle w:val="SourceNote"/>
      </w:pPr>
      <w:r>
        <w:rPr>
          <w:b/>
        </w:rPr>
        <w:t>Available abstract (not full text):</w:t>
      </w:r>
      <w:r>
        <w:t xml:space="preserve"> This article investigates the artistic Grand Tour of the nineteenth-century Danish theatre painter C.F. Christensen made between the spring of 1838 and the fall of 1839, and how it influenced his later scenographic work at the Royal Danish Theatre. Using a variety of archival sources, his Grand Tour is reconstructed. His travels through Germany, Bohemia, Moravia, Switzerland, France, Italy, and the Tyrol exposed him to some of the greatest art and most innovative theatre Europe had to offer. Through the sketches done on his trip, it is possible to see the seeds of inspiration that took root in his scenography upon his return to Copenhagen. Scenography for two August Bournonville ballets that Christensen created after his return will be analyzed: The Festival in Albano and Acts 2 and 3 of Napoli.</w:t>
      </w:r>
    </w:p>
    <w:p>
      <w:pPr/>
      <w:r>
        <w:rPr>
          <w:b/>
        </w:rPr>
        <w:t>POSSIBLE 2020:</w:t>
      </w:r>
      <w:r>
        <w:t xml:space="preserve"> Public Policy during COVID-19: Challenges for Public Administration and Policy Research in Central and Eastern Europe — https://doi.org/10.2478/nispa-2020-0011</w:t>
      </w:r>
    </w:p>
    <w:p>
      <w:pPr/>
      <w:r>
        <w:rPr>
          <w:b/>
        </w:rPr>
        <w:t>Shared claim-specific concepts:</w:t>
      </w:r>
      <w:r>
        <w:t xml:space="preserve"> suggested, article; EU scope visible. This is a provisional connection, not an outcome finding.</w:t>
      </w:r>
    </w:p>
    <w:p>
      <w:pPr>
        <w:pStyle w:val="SourceNote"/>
      </w:pPr>
      <w:r>
        <w:rPr>
          <w:b/>
        </w:rPr>
        <w:t>Available abstract (not full text):</w:t>
      </w:r>
      <w:r>
        <w:t xml:space="preserve"> Abstract The authors of this text decided to prepare a short article, with the aim to induce further discussion and to orient ongoing and future research efforts in Central and Eastern Europe but also worldwide. The article uses the method of a multi-country case study as the basis for proposing several critical research (and policy) challenges for our region – but many of them of a world-wide character. Four countries are covered by our thumbnail informative sketches – the Czech Republic, Estonia, Hungary and the Slovak Republic. The final part of this article proposes a set of questions suggested by the CEE experience with COVID-19 for future research. Such research will both be necessary and interesting for scholarship and policy in the region, and – as a particularly interesting context and area – helpful, one hopes, for questions and answers globally, concerning the pandemic, as well as public administration and policy as a whole.</w:t>
      </w:r>
    </w:p>
    <w:p>
      <w:pPr/>
      <w:r>
        <w:rPr>
          <w:b/>
        </w:rPr>
        <w:t>POSSIBLE 2019:</w:t>
      </w:r>
      <w:r>
        <w:t xml:space="preserve"> Innovators in the Crossfire: A Policy Sketch for Unknowable Risks in European and United States Product Liability Law — https://doi.org/10.37381/tds8a957</w:t>
      </w:r>
    </w:p>
    <w:p>
      <w:pPr/>
      <w:r>
        <w:rPr>
          <w:b/>
        </w:rPr>
        <w:t>Shared claim-specific concepts:</w:t>
      </w:r>
      <w:r>
        <w:t xml:space="preserve"> sketch, possible, union, far, article; EU scope visible. This is a provisional connection, not an outcome finding.</w:t>
      </w:r>
    </w:p>
    <w:p>
      <w:pPr>
        <w:pStyle w:val="SourceNote"/>
      </w:pPr>
      <w:r>
        <w:rPr>
          <w:b/>
        </w:rPr>
        <w:t>Available abstract (not full text):</w:t>
      </w:r>
      <w:r>
        <w:t xml:space="preserve"> hrrRopucroNA product defect results from an unknowable innovation riskl when available scientific testing procedures could not have permitted discovery of the defect prior to the product's initial manufacture.Such product defects occur rather commonly in innovative or newly developed products and materials2 typically found in the pharmaceutical, medico- technical, nuclear, aviation, and biochemical engineering industries.Irgal treatment of product innovation risks has significant economic implications, which this Article addresses.Although strict liabilityincluding liability for innovation risks-has expanded for the last twenty years,3 it now seems to have started to contract on both sides of the Atlantic.4The role of innovation risks in product liability law is currently attracting attention from both lawyers and government administrators.Although cunently on the European Union's agenda, the subject of innovation risk has thus far beon addressed only tentatively in Council Directive 85/374 of July 25, 1985, concerning the member states'l.This term excludes losses occurring after the risk has been detected because such lesses result from failure to forewam a user of its consequences, not from the innovation risk itself.James A. Henderson, h., Coping with the Time Dimension in Products linbility,69 Cru-.L. REV.919, 922 n.5 (1981).Because these cases do not pose special problems </w:t>
      </w:r>
    </w:p>
    <w:p>
      <w:pPr/>
      <w:r>
        <w:rPr>
          <w:b/>
        </w:rPr>
        <w:t>POSSIBLE 2019:</w:t>
      </w:r>
      <w:r>
        <w:t xml:space="preserve"> European Union social policy — https://doi.org/10.4324/9780429290510-30</w:t>
      </w:r>
    </w:p>
    <w:p>
      <w:pPr/>
      <w:r>
        <w:rPr>
          <w:b/>
        </w:rPr>
        <w:t>Shared claim-specific concepts:</w:t>
      </w:r>
      <w:r>
        <w:t xml:space="preserve"> two, potential, union; EU scope visible. This is a provisional connection, not an outcome finding.</w:t>
      </w:r>
    </w:p>
    <w:p>
      <w:pPr>
        <w:pStyle w:val="SourceNote"/>
      </w:pPr>
      <w:r>
        <w:rPr>
          <w:b/>
        </w:rPr>
        <w:t>Available abstract (not full text):</w:t>
      </w:r>
      <w:r>
        <w:t xml:space="preserve"> This chapter presents quantitative and qualitative developments of EU social policy over the last two decades. It differentiates between instrument types (spending, regulatory, and coordinating) and areas of EU social policy (freedom of movement, unemployment, old age, and health) to show that overall continuity prevails. Economic integration continues to dominate over social integration, developments are incremental and frequently take place in form of soft, non-binding rather than binding instruments. This is astonishing as deepening economic integration, austerity policies, and hardship of the economic and financial crisis create demand for more or for a different EU social policy. Turning to potential explanations for this paradox, the chapter finishes by discussing the heterogeneity of member states and their interests as well as EU politics.</w:t>
      </w:r>
    </w:p>
    <w:p>
      <w:pPr/>
      <w:r>
        <w:rPr>
          <w:b/>
        </w:rPr>
        <w:t>POSSIBLE 2019:</w:t>
      </w:r>
      <w:r>
        <w:t xml:space="preserve"> Energy Policy and European Union Politics — https://doi.org/10.1093/acrefore/9780190228637.013.1079</w:t>
      </w:r>
    </w:p>
    <w:p>
      <w:pPr/>
      <w:r>
        <w:rPr>
          <w:b/>
        </w:rPr>
        <w:t>Shared claim-specific concepts:</w:t>
      </w:r>
      <w:r>
        <w:t xml:space="preserve"> energy, governance, union, beyond, coherence; EU scope visible. This is a provisional connection, not an outcome finding.</w:t>
      </w:r>
    </w:p>
    <w:p>
      <w:pPr>
        <w:pStyle w:val="SourceNote"/>
      </w:pPr>
      <w:r>
        <w:rPr>
          <w:b/>
        </w:rPr>
        <w:t>Available abstract (not full text):</w:t>
      </w:r>
      <w:r>
        <w:t xml:space="preserve"> Abstract Energy policy has been considered as a “special case of Europeanization,” due to its tardy and patchy development as a domain of EU activity as well as its important but highly contested external dimension. Divergent energy pathways across Member States and the sensitivity of this policy domain have militated against a unified European Energy Policy. And yet, since the mid-2000s cooperation in this policy area has picked up speed, leading to the adoption of the Energy Union, presented by the European Commission as the most ambitious energy initiative since the European Coal and Steel Community. This dynamism has attracted growing scholarly attention, seeking to determine whether, why and how European Energy Policy has consolidated against all odds during a particularly critical moment for European integration. The underlying question that emerges in this context is whether the Energy Union represents a step forward towards a more homogenous and joined-up energy policy or, rather a strategy to manage heterogeneity through greater flexibility and differentiated integration. Given the multilevel and multisectoral characteristics of energy policy, answering these questions requires a three-fold analysis of (1) the degree of centralization of European Energy Policy (vertical integration), (2) the coherence between energy sub-sectors (cross-sectoral integration), and (3) the</w:t>
      </w:r>
    </w:p>
    <w:p>
      <w:pPr/>
      <w:r>
        <w:rPr>
          <w:b/>
        </w:rPr>
        <w:t>POSSIBLE 2018:</w:t>
      </w:r>
      <w:r>
        <w:t xml:space="preserve"> Institutional Economics: A Sketch of Economic Growth Policy — https://openalex.org/W2785147937</w:t>
      </w:r>
    </w:p>
    <w:p>
      <w:pPr/>
      <w:r>
        <w:rPr>
          <w:b/>
        </w:rPr>
        <w:t>Shared claim-specific concepts:</w:t>
      </w:r>
      <w:r>
        <w:t xml:space="preserve"> sketch, possible; EU scope not established. This is a provisional connection, not an outcome finding.</w:t>
      </w:r>
    </w:p>
    <w:p>
      <w:pPr>
        <w:pStyle w:val="SourceNote"/>
      </w:pPr>
      <w:r>
        <w:rPr>
          <w:b/>
        </w:rPr>
        <w:t>Available abstract (not full text):</w:t>
      </w:r>
      <w:r>
        <w:t xml:space="preserve"> In the postwar period until today the call for more intensive economic growth, again and again, enjoyed a substantial popularity in the world of politics, in particular with reference to possible current solutions of given economic problems. Here growth considerations and decisions in the past concentrating on some few years will be critically evaluated and found to be inadequate. Since economic growth is a long-term phenomenon, pertaining institutional and organizational precautions for formulating policies must be taken that will embody the preconditions of growth, the infrastructure of the market economy. In this context a proposal will be made on the basis of a wellknown constitutional model.</w:t>
      </w:r>
    </w:p>
    <w:p>
      <w:pPr>
        <w:pStyle w:val="Heading2"/>
      </w:pPr>
      <w:r>
        <w:t>851. Situational analysis of EU renewable energy legislation</w:t>
      </w:r>
    </w:p>
    <w:p>
      <w:pPr>
        <w:pStyle w:val="SourceNote"/>
      </w:pPr>
      <w:r>
        <w:rPr>
          <w:b/>
        </w:rPr>
        <w:t>Original source (2016):</w:t>
      </w:r>
      <w:r>
        <w:t xml:space="preserve"> https://doi.org/10.1080/14693062.2015.1135412</w:t>
      </w:r>
    </w:p>
    <w:p>
      <w:pPr/>
      <w:r>
        <w:t>Original wording (abstract; indexed_source_text_not_full_document_verified): It next seeks to identify relationships between internal weaknesses and strengths and external threats and opportunities, resulting in four sets of policy options.Policy relevanceIn October 2014, the EU Heads of State and Government agreed to increase the EU's greenhouse gas reduction target to -40% by 2030. This article applies a situational analysis tool to help answer the question of how EU renewable energy policy could be reshaped after 2020 to further enhance renewable energy deployment in the EU.</w:t>
      </w:r>
    </w:p>
    <w:p>
      <w:pPr/>
      <w:r>
        <w:rPr>
          <w:b/>
        </w:rPr>
        <w:t>POSSIBLE 2025:</w:t>
      </w:r>
      <w:r>
        <w:t xml:space="preserve"> Scenario-Building Papers for Europe 2030 - INTERNAL AND EXTERNAL DYNAMICS OF EUROPEAN INTEGRATION (DEBUE). — https://doi.org/10.5281/zenodo.17566447</w:t>
      </w:r>
    </w:p>
    <w:p>
      <w:pPr/>
      <w:r>
        <w:rPr>
          <w:b/>
        </w:rPr>
        <w:t>Shared claim-specific concepts:</w:t>
      </w:r>
      <w:r>
        <w:t xml:space="preserve"> next, seeks, between, internal, external, threats; EU scope visible. This is a provisional connection, not an outcome finding.</w:t>
      </w:r>
    </w:p>
    <w:p>
      <w:pPr>
        <w:pStyle w:val="SourceNote"/>
      </w:pPr>
      <w:r>
        <w:rPr>
          <w:b/>
        </w:rPr>
        <w:t>Available abstract (not full text):</w:t>
      </w:r>
      <w:r>
        <w:t xml:space="preserve"> This report presents papers from scenario-building exercises carried out in the context of the Jean Monnet DEBUE module. Beginning with a brief overview of scenario-building methodologies some of the most insightful student papers based on the ‘best’, ‘worst’ and ‘wildcard’ future scenarios for the European Union (EU) in 2030 are presented. Student-written scenario papers represent creative outputs from the DEBUE Jean Monnet Module. Scenario-building is central to DEBUE’s high-impact pedagogy which seeks to move learning away from the classroom towards real-world foresight when it comes to EU studies. Using the Turning Point and Matrix methods described above, students were encouraged to think strategically about how Europe might evolve by 2030, by identifying key variables, shocks, trends and policy choices that could potentially drive and shape Europe and its role in the world over the next decade. The scenarios presented below suggest that students approach the European project with a mixture of critical optimism and realism in that they recognise the Union’s fragility and limitations but also its transformative potential and power of attraction. Across the best-case, worst-case and wild-card scenarios, a coherent picture emerges of what matters most. Democracy, equality, climate security and solidarity are consistently seen as the cornerstones of Europe’s future. Conversely</w:t>
      </w:r>
    </w:p>
    <w:p>
      <w:pPr/>
      <w:r>
        <w:rPr>
          <w:b/>
        </w:rPr>
        <w:t>POSSIBLE 2024:</w:t>
      </w:r>
      <w:r>
        <w:t xml:space="preserve"> Internal mobility of international migrants in Europe: A critical literature review and research agenda — https://doi.org/10.1002/psp.2822</w:t>
      </w:r>
    </w:p>
    <w:p>
      <w:pPr/>
      <w:r>
        <w:rPr>
          <w:b/>
        </w:rPr>
        <w:t>Shared claim-specific concepts:</w:t>
      </w:r>
      <w:r>
        <w:t xml:space="preserve"> between, internal, state; EU scope visible. This is a provisional connection, not an outcome finding.</w:t>
      </w:r>
    </w:p>
    <w:p>
      <w:pPr>
        <w:pStyle w:val="SourceNote"/>
      </w:pPr>
      <w:r>
        <w:rPr>
          <w:b/>
        </w:rPr>
        <w:t>Available abstract (not full text):</w:t>
      </w:r>
      <w:r>
        <w:t xml:space="preserve"> Abstract This paper reviews the literature on the internal mobility of international migrants and their descendants in Europe from an interdisciplinary perspective. Europe is becoming increasingly diverse. Where international migrants live and move to after arriving in their destination country influences both individual life courses and macro‐level population compositions. So far, a comprehensive overview of internal mobility patterns and drivers among migrants is missing. The aim of this paper is threefold: first, to discuss the development of the field across disciplines; second, to present and reflect on the current state of knowledge of internal mobility of migrants in Europe, and third, to conclude by setting an agenda for future research. This paper stresses the importance of studying the internal mobility of migrant populations over their life courses, testing theories across migrant generations, doing more justice to population diversity, strengthening the link between the literature on internal and international migration, and finally, emphasises the need for comparative research.</w:t>
      </w:r>
    </w:p>
    <w:p>
      <w:pPr/>
      <w:r>
        <w:rPr>
          <w:b/>
        </w:rPr>
        <w:t>POSSIBLE 2024:</w:t>
      </w:r>
      <w:r>
        <w:t xml:space="preserve"> The EU Internal Market in the Next Decade – Quo Vadis? — https://doi.org/10.1163/9789004712119</w:t>
      </w:r>
    </w:p>
    <w:p>
      <w:pPr/>
      <w:r>
        <w:rPr>
          <w:b/>
        </w:rPr>
        <w:t>Shared claim-specific concepts:</w:t>
      </w:r>
      <w:r>
        <w:t xml:space="preserve"> next, between, internal; EU scope visible. This is a provisional connection, not an outcome finding.</w:t>
      </w:r>
    </w:p>
    <w:p>
      <w:pPr>
        <w:pStyle w:val="SourceNote"/>
      </w:pPr>
      <w:r>
        <w:rPr>
          <w:b/>
        </w:rPr>
        <w:t>Available abstract (not full text):</w:t>
      </w:r>
      <w:r>
        <w:t xml:space="preserve"> In this chapter, the author explores the role which translation of legal texts plays as a tool of harmonisation and the techniques involved in securing uniformity between texts, which uniformity is vital to ensure legal certainty.</w:t>
      </w:r>
    </w:p>
    <w:p>
      <w:pPr/>
      <w:r>
        <w:rPr>
          <w:b/>
        </w:rPr>
        <w:t>POSSIBLE 2024:</w:t>
      </w:r>
      <w:r>
        <w:t xml:space="preserve"> Climate Policy Priorities for the Next European Commission — https://openalex.org/W4392885355</w:t>
      </w:r>
    </w:p>
    <w:p>
      <w:pPr/>
      <w:r>
        <w:rPr>
          <w:b/>
        </w:rPr>
        <w:t>Shared claim-specific concepts:</w:t>
      </w:r>
      <w:r>
        <w:t xml:space="preserve"> next, external, increase;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next, opportunities, increase;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r>
        <w:rPr>
          <w:b/>
        </w:rPr>
        <w:t>POSSIBLE 2021:</w:t>
      </w:r>
      <w:r>
        <w:t xml:space="preserve"> Seeking Proxies for Internal States as a Possible Alternative for Rationality and Experientiality — https://doi.org/10.1177/2158244020986533</w:t>
      </w:r>
    </w:p>
    <w:p>
      <w:pPr/>
      <w:r>
        <w:rPr>
          <w:b/>
        </w:rPr>
        <w:t>Shared claim-specific concepts:</w:t>
      </w:r>
      <w:r>
        <w:t xml:space="preserve"> between, internal, external; EU scope not established. This is a provisional connection, not an outcome finding.</w:t>
      </w:r>
    </w:p>
    <w:p>
      <w:pPr>
        <w:pStyle w:val="SourceNote"/>
      </w:pPr>
      <w:r>
        <w:rPr>
          <w:b/>
        </w:rPr>
        <w:t>Available abstract (not full text):</w:t>
      </w:r>
      <w:r>
        <w:t xml:space="preserve"> The Cognitive–Experiential Self-Theory (CEST) proposes rationality and experientiality as independent personality constructs explaining how people process information. Recent empirical studies show that some people have low scores on both of these dimensions (the so-called disengaged profile). Another model, Seeking Proxies for Internal States (SPIS), primarily proposed to explain obsessive-compulsive tendencies, provides a framework under which both rationality and experientiality can be understood as internal resources of a person. Low rationality and experientiality could thus be overcome by seeking external clues. In two subsequent studies on independent nonclinical samples (psychology students N = 268 and technical sciences students N = 549), we examined the relationship between constructs from CEST and SPIS models, and in addition, explored their patterns of interoceptive awareness (IA) in Study 2. A latent profile analysis showed that the disengaged profile was related to high SPIS and OC tendencies in both samples. In addition, rationality and experientiality had similar and more positive correlations with some IA dimensions, compared to SPIS (and OCI)—IA correlations. Thus, impaired connection to internal states together with OC tendencies might contribute to the understanding of the specific thinking style of those who do not primarily rely on either rationality or ex</w:t>
      </w:r>
    </w:p>
    <w:p>
      <w:pPr/>
      <w:r>
        <w:rPr>
          <w:b/>
        </w:rPr>
        <w:t>POSSIBLE 2021:</w:t>
      </w:r>
      <w:r>
        <w:t xml:space="preserve"> DIAGNOSIS OF THREATS TO THE EUROPEAN UNION’S INTERNAL SECURITY — https://doi.org/10.7862/rz.2021.hss.19</w:t>
      </w:r>
    </w:p>
    <w:p>
      <w:pPr/>
      <w:r>
        <w:rPr>
          <w:b/>
        </w:rPr>
        <w:t>Shared claim-specific concepts:</w:t>
      </w:r>
      <w:r>
        <w:t xml:space="preserve"> identify, internal, threats, state; EU scope visible. This is a provisional connection, not an outcome finding.</w:t>
      </w:r>
    </w:p>
    <w:p>
      <w:pPr>
        <w:pStyle w:val="SourceNote"/>
      </w:pPr>
      <w:r>
        <w:rPr>
          <w:b/>
        </w:rPr>
        <w:t>Available abstract (not full text):</w:t>
      </w:r>
      <w:r>
        <w:t xml:space="preserve"> There is a common belief that despite the many legal, practical, and supportive solutions that the EU has introduced in recent years in the area of internal security, its citizens still lack assurance.In order to obtain the desired state of security, it is necessary to improve the existing solutions and create completely new ones.This need is associated with a deep awareness of threats, as well as knowledge of the mechanisms of their emergence and functioning.The aim of this article is to identify threats selected by scientists and experts that cause the greatest fear and anxiety in all the EU states and their citizens using theoretical methods such as analysis, synthesis, generalization, and inference.These findings highlight the opportunity to learn about the essence of threats to the internal security of the EU states that arise from contradictions and antagonisms on political, economic, and social bases and are caused not only by human activities but also by natural phenomena, the effects of which may be immediate or anticipated and very severe.</w:t>
      </w:r>
    </w:p>
    <w:p>
      <w:pPr/>
      <w:r>
        <w:rPr>
          <w:b/>
        </w:rPr>
        <w:t>POSSIBLE 2020:</w:t>
      </w:r>
      <w:r>
        <w:t xml:space="preserve"> Shadow Education in Europe: Growing Prevalence, Underlying Forces, and Policy Implications — https://doi.org/10.1177/2096531119890142</w:t>
      </w:r>
    </w:p>
    <w:p>
      <w:pPr/>
      <w:r>
        <w:rPr>
          <w:b/>
        </w:rPr>
        <w:t>Shared claim-specific concepts:</w:t>
      </w:r>
      <w:r>
        <w:t xml:space="preserve"> four, government; EU scope visible. This is a provisional connection, not an outcome finding.</w:t>
      </w:r>
    </w:p>
    <w:p>
      <w:pPr>
        <w:pStyle w:val="SourceNote"/>
      </w:pPr>
      <w:r>
        <w:rPr>
          <w:b/>
        </w:rPr>
        <w:t>Available abstract (not full text):</w:t>
      </w:r>
      <w:r>
        <w:t xml:space="preserve"> Purpose: Private supplementary tutoring, widely known as shadow education, has long been visible in East Asia, and now has spread to other parts of the world including Europe. This article maps the phenomenon, showing variations within Europe and analyzing its growth, underlying forces, and policy implications. Design/Approach/Methods: The article assembles a regional picture from available national sources. It focuses on the 28 members of the European Union. Findings: Within Europe, four subregions may be identified. Most prominent for the longest duration has been Southern Europe, pushed by political forces and cultural factors. In Eastern Europe, shadow education became prominent following the collapse of the Soviet Union and accompanying economic and social structures during which teachers and others had to earn extra incomes. In Western Europe, the advent of marketization alongside government schooling has fueled the growth of shadow education. Only in Northern Europe does shadow education remain modest in scale, but it is growing there too. Originality/Value: The article identifies forces underlying the growth of shadow education in Europe and highlights policy implications. By contributing this regional perspective to the wider literature on shadow education, the article permits juxtaposition with patterns in East Asia and elsewhere.</w:t>
      </w:r>
    </w:p>
    <w:p>
      <w:pPr/>
      <w:r>
        <w:rPr>
          <w:b/>
        </w:rPr>
        <w:t>POSSIBLE 2020:</w:t>
      </w:r>
      <w:r>
        <w:t xml:space="preserve"> People in transitions: Energy citizenship, prosumerism and social movements in Europe — https://doi.org/10.1016/j.erss.2020.101718</w:t>
      </w:r>
    </w:p>
    <w:p>
      <w:pPr/>
      <w:r>
        <w:rPr>
          <w:b/>
        </w:rPr>
        <w:t>Shared claim-specific concepts:</w:t>
      </w:r>
      <w:r>
        <w:t xml:space="preserve"> relationships, between; EU scope visible. This is a provisional connection, not an outcome finding.</w:t>
      </w:r>
    </w:p>
    <w:p>
      <w:pPr>
        <w:pStyle w:val="SourceNote"/>
      </w:pPr>
      <w:r>
        <w:rPr>
          <w:b/>
        </w:rPr>
        <w:t>Available abstract (not full text):</w:t>
      </w:r>
      <w:r>
        <w:t xml:space="preserve"> Active energy citizens are leading energy transitions, co-producing new cultures, practices and structures of production and consumption. This article aims to understand if prosumerism – the collective participation of prosumers in energy projects with social, economic and environmental benefits to society – can be referred to as a social movement. The article draws on a review of Social Movements Theory and applies thematic analysis to characterize 46 prosumer initiatives in Europe. The collective identities, socio-political opponents, knowledge-making activities, collective learning, and collective action aspects of these prosumers are described. The results show that prosumer initiatives converge towards a transformative social movement. This movement upholds decentralized renewable energy production and consumption, and presents itself as a socially inclusive, transparent and participatory energy model, replicable across the globe, in what can be described as a collective action towards a decentralized democratic energy model. The discussion highlights relationships between prosumerism and framings such as energy justice (including energy poverty and gender issues), energy democracy, climate change action and anti-nuclear movements, to reach a conclusion considering the relevance of calling prosumerism a social movement, while opening up some avenues for future research.</w:t>
      </w:r>
    </w:p>
    <w:p>
      <w:pPr/>
      <w:r>
        <w:rPr>
          <w:b/>
        </w:rPr>
        <w:t>POSSIBLE 2019:</w:t>
      </w:r>
      <w:r>
        <w:t xml:space="preserve"> Achievements of the European Union Countries in Seeking a Sustainable Electricity Sector — https://doi.org/10.3390/en12122254</w:t>
      </w:r>
    </w:p>
    <w:p>
      <w:pPr/>
      <w:r>
        <w:rPr>
          <w:b/>
        </w:rPr>
        <w:t>Shared claim-specific concepts:</w:t>
      </w:r>
      <w:r>
        <w:t xml:space="preserve"> seeks, identify, increase; EU scope visible. This is a provisional connection, not an outcome finding.</w:t>
      </w:r>
    </w:p>
    <w:p>
      <w:pPr>
        <w:pStyle w:val="SourceNote"/>
      </w:pPr>
      <w:r>
        <w:rPr>
          <w:b/>
        </w:rPr>
        <w:t>Available abstract (not full text):</w:t>
      </w:r>
      <w:r>
        <w:t xml:space="preserve"> The electricity production sector has a significant share of final energy consumption and has a huge potential to use more renewable energy sources. Over the last two decades, the European Union (EU) reform of electricity markets has had positive results, and market liberalization acts as a stimulus for energy efficiency, lower prices, and technological progress. Today’s EU policy for the development of electricity and the entire energy sector seeks to provide system modernization, stability, reinforcement of the single market, and implementation of climate change policy with an emphasis on the decarbonization of energy sources and the increase of energy efficiency. After all of the EU efforts to form an electricity sector in member states, it is necessary to assess the efficiency of the policy implemented and to identify the results achieved in shaping a sustainable electricity sector. The purpose of this article is to carry out a sustainability assessment of the electricity sector in the EU countries. A set of eight indicators designed to assess the sustainability of the electricity sector of different EU countries in 2017 has been drawn up. The assessment is made using the multi-criteria decision-making method (MCDM) Technique for Order Preference (TOPSIS). The assessment shows that the electricity market of Slovenia is the most sustainable, with Luxembourg in the second pos</w:t>
      </w:r>
    </w:p>
    <w:p>
      <w:pPr/>
      <w:r>
        <w:rPr>
          <w:b/>
        </w:rPr>
        <w:t>POSSIBLE 2019:</w:t>
      </w:r>
      <w:r>
        <w:t xml:space="preserve"> Social Innovation in Community Energy in Europe: A Review of the Evidence — https://doi.org/10.3389/fenrg.2019.00031</w:t>
      </w:r>
    </w:p>
    <w:p>
      <w:pPr/>
      <w:r>
        <w:rPr>
          <w:b/>
        </w:rPr>
        <w:t>Shared claim-specific concepts:</w:t>
      </w:r>
      <w:r>
        <w:t xml:space="preserve"> identify, opportunities, government;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r>
        <w:rPr>
          <w:b/>
        </w:rPr>
        <w:t>POSSIBLE 2019:</w:t>
      </w:r>
      <w:r>
        <w:t xml:space="preserve"> The populist citizen: Empirical evidence from Europe and Latin America — https://doi.org/10.1017/s1755773919000262</w:t>
      </w:r>
    </w:p>
    <w:p>
      <w:pPr/>
      <w:r>
        <w:rPr>
          <w:b/>
        </w:rPr>
        <w:t>Shared claim-specific concepts:</w:t>
      </w:r>
      <w:r>
        <w:t xml:space="preserve"> identify, between, government; EU scope visible. This is a provisional connection, not an outcome finding.</w:t>
      </w:r>
    </w:p>
    <w:p>
      <w:pPr>
        <w:pStyle w:val="SourceNote"/>
      </w:pPr>
      <w:r>
        <w:rPr>
          <w:b/>
        </w:rPr>
        <w:t>Available abstract (not full text):</w:t>
      </w:r>
      <w:r>
        <w:t xml:space="preserve"> Abstract Scholars are increasingly interested in ‘populist attitudes’, which – studies show – can explain party support and vote choice. However, current research has not yet analyzed in detail the characteristics of those individuals with populist proclivities, or so-called populist citizens . To address this research gap, we harmonize survey data on populist attitudes for nine European countries, five Latin American countries, and Turkey in order to uncover shared or distinct features of populist citizens. Our findings are threefold. First, we identify differences in the sociodemographic characteristics of populist citizens, notably between Europe and Latin America. Second, we find similar patterns of heterogeneity in the political features of populist citizens. Third, we show that populist citizens across all countries have the same democratic profile. They systematically support democracy over other forms of government, while being dissatisfied with its implementation. This suggests populist attitudes are intrinsic to the political culture of contemporary democracies.</w:t>
      </w:r>
    </w:p>
    <w:p>
      <w:pPr>
        <w:pStyle w:val="Heading2"/>
      </w:pPr>
      <w:r>
        <w:t>852. Society in need of transformation. Citizen-Foresight as a method to co-create urban future</w:t>
      </w:r>
    </w:p>
    <w:p>
      <w:pPr>
        <w:pStyle w:val="SourceNote"/>
      </w:pPr>
      <w:r>
        <w:rPr>
          <w:b/>
        </w:rPr>
        <w:t>Original source (2016):</w:t>
      </w:r>
      <w:r>
        <w:t xml:space="preserve"> https://doi.org/10.14746/fped.2016.5.2.21</w:t>
      </w:r>
    </w:p>
    <w:p>
      <w:pPr/>
      <w:r>
        <w:t>Original wording (abstract; indexed_source_text_not_full_document_verified): Third, we show how this can work in reality by shortly outlining two Citizen-Foresight cases with elderlies and, fourth, we derive selection-criteria for methods aiming at transforming mental images, maps and behaviour.</w:t>
      </w:r>
    </w:p>
    <w:p>
      <w:pPr/>
      <w:r>
        <w:rPr>
          <w:b/>
        </w:rPr>
        <w:t>POSSIBLE 2026:</w:t>
      </w:r>
      <w:r>
        <w:t xml:space="preserve"> Work as a Third Pathway to New Longevity — https://doi.org/10.12660/gvexec.v25n1.2026.98714</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Objective: To show how work, when redesigned for longer lives and multigenerational teams, can turn population aging into a strategic opportunity for organizations, economic development, and social resilience. State of the Art: Contemporary debates on aging have emphasized pressures on health and pension systems. Responses have largely focused on telemedicine and pension reforms. Recent evidence, however, indicates that lifelong contribution—such as work, learning, and social participation—improves health, purpose, and resilience, generating positive individual and macroeconomic effects. Originality: The article proposes a third pathway beyond the health-pension debate by positioning work as a pillar of longevity. It articulates cultural, organizational, and economic dimensions and presents examples of companies, governments, social entrepreneurs and social innovators that are redesigning practices and models for longer lives. Impacts: The article offers a strategic view of longevity as an opportunity, provides examples applicable to management and public policy, and proposes a conceptual framework for redesigning more inclusive and resilient models of work. SDGs: 3 – Good health and well-being; 8 – Decent work and economic growth; 10 – Reduced inequalities.</w:t>
      </w:r>
    </w:p>
    <w:p>
      <w:pPr/>
      <w:r>
        <w:rPr>
          <w:b/>
        </w:rPr>
        <w:t>POSSIBLE 2026:</w:t>
      </w:r>
      <w:r>
        <w:t xml:space="preserve"> Unmasking the spatial-temporal characteristics of knowledge workers’ third-place remote work — https://doi.org/10.1177/27541231261444208</w:t>
      </w:r>
    </w:p>
    <w:p>
      <w:pPr/>
      <w:r>
        <w:rPr>
          <w:b/>
        </w:rPr>
        <w:t>Shared claim-specific concepts:</w:t>
      </w:r>
      <w:r>
        <w:t xml:space="preserve"> third, show, work, methods; EU scope not established. This is a provisional connection, not an outcome finding.</w:t>
      </w:r>
    </w:p>
    <w:p>
      <w:pPr>
        <w:pStyle w:val="SourceNote"/>
      </w:pPr>
      <w:r>
        <w:rPr>
          <w:b/>
        </w:rPr>
        <w:t>Available abstract (not full text):</w:t>
      </w:r>
      <w:r>
        <w:t xml:space="preserve"> Knowledge workers tend to choose third places as alternatives for remote work. Since previous studies lack high-precision spatial-temporal data collection approaches and analysis for third-place remote workers, this study aims to investigate the spatial-temporal characteristics of knowledge workers engaging in remote work at third places using refined data collection methods. We recruited 20 knowledge workers in Beijing, China, collected their spatial-temporal data using activity diaries and wearable devices, including Global Positioning System (GPS) trackers and wearable cameras, for seven days, and visualized their spatial-temporal characteristics, encompassing work time allocation, commute duration, and spatial distribution of various workplaces. The results show that: (1) Temporally, in addition to heterogeneity in work rhythms such as fragmented versus continuous sessions and weekday-weekend contrasts, these workers work an average of 6.3 hours daily for 6.6 days a week, with 46.7% of their work time spent in third places and a 34-minute commute. (2) Spatially, most third places are located close to home with some suburban–center movements, and workers typically use 4.5 different third places for remote work and prefer third places within 5 kilometers or beyond 15 kilometers from home.</w:t>
      </w:r>
    </w:p>
    <w:p>
      <w:pPr/>
      <w:r>
        <w:rPr>
          <w:b/>
        </w:rPr>
        <w:t>POSSIBLE 2026:</w:t>
      </w:r>
      <w:r>
        <w:t xml:space="preserve"> From non-places to third places. The potential of railway stations for mobile work — https://openalex.org/W7221284877</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Purpose: Advances in mobile tech and optimising commuting time now allow work across various locations, including transient 'non-places".Yet, workplace research often ignores the experiences and needs in these environments.This paper explores mobile workers' needs and whether temporary workplaces in railway premises can meet these needs. Research Goal(s):This study aims to identify the needs of mobile workers and to understand whether these needs could fit temporary workplaces within underutilised railway premises. Theoretical Background:The literature on non-places and third places provides a theoretical basis for conceptualising underutilised railway stations as places of work.Design/Methodology: The paper adopts a multi-step methodology.First, a survey was administered to a sample of Italian mobile workers to collect their needs and habits while on the move, including a willingness-to-pay inquiry.Second, seven case studies of temporary workplaces, both within and outside railway stations, are examined to identify alternative spatial models of productive environments.Findings: Findings show that most users spend short periods there, mainly making phone calls, and would value quiet, safe, and equipped workspaces.Many are willing to pay for such amenities, suggesting a missed opportunity in stations compared to other contexts.The case study analysis shows that existing temporar</w:t>
      </w:r>
    </w:p>
    <w:p>
      <w:pPr/>
      <w:r>
        <w:rPr>
          <w:b/>
        </w:rPr>
        <w:t>POSSIBLE 2026:</w:t>
      </w:r>
      <w:r>
        <w:t xml:space="preserve"> Work and Leisure Oriented Time Use Pattern among Male, Female and Third Gender — https://doi.org/10.1007/s41027-026-00631-2</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One of the long-standing social issues extending to everyday activity is gender-based inequality. An appropriate method to study gender inequality would be to observe how different genders spend their time on various activities. The core purpose of the study is to check whether there is a significant difference in how different genders allocate their time to various activities. Another purpose of the study is to emphasise the time spent on work and leisure by different genders and to identify factors that impact an individual’s work–life balance. The study used the unit-level data from National Sample Survey Organisation's (NSSO) first Time Use Survey 2019. The study sample is restricted to a population aged 15 years and above, comprising 382,228 persons: 192,266 males, 189,854 females and 108 of the third gender. Work-oriented and leisure-oriented time allocation has been defined as the population above one standard deviation of the mean time spent on the activities. Stratified logistic regressions based on gender have been used to understand the influence of factors on work and leisure time allocation. Results show that males spent substantially more time on employment and related activities, while females spent substantially more time on unpaid domestic and caregiving services. Consuming meals constitutes the second most time-intensive activity for males and the third gender</w:t>
      </w:r>
    </w:p>
    <w:p>
      <w:pPr/>
      <w:r>
        <w:rPr>
          <w:b/>
        </w:rPr>
        <w:t>POSSIBLE 2025:</w:t>
      </w:r>
      <w:r>
        <w:t xml:space="preserve"> Reputation on the Line: How the Third-Party Dilemma Shapes Trust in High-Risk Work — https://doi.org/10.1177/00018392251387673</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Despite scholars’ increasing acknowledgment of the role third parties can play in others’ trust decisions, we know very little about what motivates these parties’ information sharing. Our research examines this process via a qualitative, inductive study of linemen: the men and women who work on power lines. We show how features of their work context give rise to a strong reliance on third-party information for trust and strong accountability for third parties who share reputational information. These conditions cultivate what we call the “third-party dilemma”: Linemen feel trapped between desires to keep trustors safe and desires to protect their own reputations. We further explain how the information-sharing practices by which they manage this dilemma ultimately affect the trust triad by allowing third parties to partially safeguard their reputations, encouraging trustors to provisionally grant or withhold trust, and subjecting trustees to either sticky negative reputations or fragile positive reputations. These dynamics encourage lower trust within the triad. We conclude by highlighting the importance of the work context in shaping third-party motives, discussing the trust-related implications of how the third-party dilemma is managed, and redirecting trust research beyond dyadic (trustor–trustee) models of trust.</w:t>
      </w:r>
    </w:p>
    <w:p>
      <w:pPr/>
      <w:r>
        <w:rPr>
          <w:b/>
        </w:rPr>
        <w:t>POSSIBLE 2025:</w:t>
      </w:r>
      <w:r>
        <w:t xml:space="preserve"> Rethinking Automation and the Future of Work with Hannah Arendt — https://doi.org/10.1007/s10551-025-05991-1</w:t>
      </w:r>
    </w:p>
    <w:p>
      <w:pPr/>
      <w:r>
        <w:rPr>
          <w:b/>
        </w:rPr>
        <w:t>Shared claim-specific concepts:</w:t>
      </w:r>
      <w:r>
        <w:t xml:space="preserve"> third, show, work, fourth; EU scope not established. This is a provisional connection, not an outcome finding.</w:t>
      </w:r>
    </w:p>
    <w:p>
      <w:pPr>
        <w:pStyle w:val="SourceNote"/>
      </w:pPr>
      <w:r>
        <w:rPr>
          <w:b/>
        </w:rPr>
        <w:t>Available abstract (not full text):</w:t>
      </w:r>
      <w:r>
        <w:t xml:space="preserve"> Abstract Recent technological developments have given rise to debates about automation and the future of work. These debates touch on concerns about the availability, nature, and meaningfulness of jobs in the present and near future. The aim of this article is to show that Hannah Arendt’s phenomenology of labor, work, and action can improve current debates about automation and the future of work. First of all, an analysis of Arendt’s critique of modern society and the more recent notion of ‘immaterial labor’ demonstrates that we (still) live in a society dominated by labor and consumption. Second, a conceptual distinction between labor, work, and action can add relevant nuances to contemporary debates about automation and the future of work. Third, Arendt’s warning for a society of laborers without labor inspires to add over-consumption to the list of problems arising from automation. Fourth, Arendt’s description of the human condition can give clarity to contemporary worries about automation’s impact on meaning. It is concluded, finally, that a revaluation of work and action can counter the threats associated with the automation of labor.</w:t>
      </w:r>
    </w:p>
    <w:p>
      <w:pPr/>
      <w:r>
        <w:rPr>
          <w:b/>
        </w:rPr>
        <w:t>POSSIBLE 2025:</w:t>
      </w:r>
      <w:r>
        <w:t xml:space="preserve"> The Division of Domestic Labor and the Invisible Work of the Third Shift Among Parents in Norway – A Mixed-Methods Study — https://doi.org/10.1080/08038740.2025.2518958</w:t>
      </w:r>
    </w:p>
    <w:p>
      <w:pPr/>
      <w:r>
        <w:rPr>
          <w:b/>
        </w:rPr>
        <w:t>Shared claim-specific concepts:</w:t>
      </w:r>
      <w:r>
        <w:t xml:space="preserve"> third, show, work, two; EU scope visible. This is a provisional connection, not an outcome finding.</w:t>
      </w:r>
    </w:p>
    <w:p>
      <w:pPr>
        <w:pStyle w:val="SourceNote"/>
      </w:pPr>
      <w:r>
        <w:rPr>
          <w:b/>
        </w:rPr>
        <w:t>Available abstract (not full text):</w:t>
      </w:r>
      <w:r>
        <w:t xml:space="preserve"> Over the last few decades, mothers and fathers in Norway have increasingly been approaching each other in terms of time spent on the first shift (paid work), and time spent on the second shift (unpaid domestic work). However, the so called third shift (the invisible, emotional and cognitive administration of a family) is still unevenly distributed between mothers and fathers, even in an egalitarian country like Norway. In this article we explore how the distribution of domestic tasks and practices and experiences of the third shift may be a possible source of gender differentiated experiences of everyday life. The article builds on mixed-methods, using representative survey data (N = 602) among parents with children under 18, and two rounds of qualitative interviews with 35 families. Findings show that a gendered division of invisible third shift tasks is present even among couples who express strong ideals of gender equality and share household chores equally among them. Analyzed against an emerging cultural and social norm of intensive parenting the findings suggest that the third shift may contribute to preserve gender inequality within families with children. Findings also show that even with equal distribution of household chores, mothers experience more everyday life stress than fathers.</w:t>
      </w:r>
    </w:p>
    <w:p>
      <w:pPr/>
      <w:r>
        <w:rPr>
          <w:b/>
        </w:rPr>
        <w:t>POSSIBLE 2024:</w:t>
      </w:r>
      <w:r>
        <w:t xml:space="preserve"> The impact of Finnish politics on third-sector organizations’ human trafficking work — https://openalex.org/W7132975241</w:t>
      </w:r>
    </w:p>
    <w:p>
      <w:pPr/>
      <w:r>
        <w:rPr>
          <w:b/>
        </w:rPr>
        <w:t>Shared claim-specific concepts:</w:t>
      </w:r>
      <w:r>
        <w:t xml:space="preserve"> third, show, work; EU scope visible. This is a provisional connection, not an outcome finding.</w:t>
      </w:r>
    </w:p>
    <w:p>
      <w:pPr>
        <w:pStyle w:val="SourceNote"/>
      </w:pPr>
      <w:r>
        <w:rPr>
          <w:b/>
        </w:rPr>
        <w:t>Available abstract (not full text):</w:t>
      </w:r>
      <w:r>
        <w:t xml:space="preserve"> Human trafficking is an increasingly recognized phenomenon. It is global and diverse in nature, and hence, different sectors of society participate in combating it and helping those affected. One of these actors is the third sector, which this thesis examines. The potential of third-sector organizations (TSOs) in human trafficking work has been recognized nationally and internationally, but is not fully utilized. This study aimed to shed light on the political and governmental factors in Finland that impact TSOs’ human trafficking work. I used the resource dependence theory and the political feedback theory as the theoretical background of this thesis. Based on them, I created a theoretical framework that visualizes TSOs’ dependence on the resources of governmental actors. The theoretical framework also considers how TSOs’ operations change as a result of political changes, and the feedback effects that can be created through this process. I collected data by interviewing representatives of six Finnish TSOs who encounter human trafficking. I asked interviewees, for example, about how the organization has been affected by political changes and what they would change in the organization's external environment to conduct human trafficking work more successfully. I analyzed the data using thematic analysis. I deductively divided the results into five thematic categories, which prov</w:t>
      </w:r>
    </w:p>
    <w:p>
      <w:pPr/>
      <w:r>
        <w:rPr>
          <w:b/>
        </w:rPr>
        <w:t>POSSIBLE 2024:</w:t>
      </w:r>
      <w:r>
        <w:t xml:space="preserve"> Nonlinear Influence of the Built Environment on the Attraction of the Third Activity: A Comparative Analysis of Inflow from Home and Work — https://doi.org/10.3390/ijgi13090337</w:t>
      </w:r>
    </w:p>
    <w:p>
      <w:pPr/>
      <w:r>
        <w:rPr>
          <w:b/>
        </w:rPr>
        <w:t>Shared claim-specific concepts:</w:t>
      </w:r>
      <w:r>
        <w:t xml:space="preserve"> third, show, work; EU scope not established. This is a provisional connection, not an outcome finding.</w:t>
      </w:r>
    </w:p>
    <w:p>
      <w:pPr>
        <w:pStyle w:val="SourceNote"/>
      </w:pPr>
      <w:r>
        <w:rPr>
          <w:b/>
        </w:rPr>
        <w:t>Available abstract (not full text):</w:t>
      </w:r>
      <w:r>
        <w:t xml:space="preserve"> Gaining an understanding of the intricate mechanisms between human activity and the built environment can help in promoting sustainable urban development. However, most scholars have focused on residents’ life and work behavior and have ignored the third activity (e.g., shopping, eating, and entertainment). In this study, a random forest algorithm and SHapley Additive exPlanation model were utilized to explore the nonlinear influence of the built environment on the attraction of the third activity (other than home and work). A comparative analysis of the inflow of the third activity from home and work was also carried out. The results show that the contributions of all built environment variables to the attraction of the third activity differ between home–other flow (HO) and work–other flow (WO) at the global scale, but their local effects are significantly similar. Furthermore, the nonlinear influence of the built environment on the attractions of the third activity can vary from one factor to another. A significant spatial heterogeneity can be observed on the built environment variables’ local effects on the attractions of the third activity. These findings can provide urban planners with insights that will help in the planning and optimization of communities for pursuing the third activity.</w:t>
      </w:r>
    </w:p>
    <w:p>
      <w:pPr/>
      <w:r>
        <w:rPr>
          <w:b/>
        </w:rPr>
        <w:t>POSSIBLE 2023:</w:t>
      </w:r>
      <w:r>
        <w:t xml:space="preserve"> THE HALF AND THE THIRD – BINARY CONTINUITY LESSON IN THIRD AND FIFTH GRADES — https://doi.org/10.26883/2010.232.5592</w:t>
      </w:r>
    </w:p>
    <w:p>
      <w:pPr/>
      <w:r>
        <w:rPr>
          <w:b/>
        </w:rPr>
        <w:t>Shared claim-specific concepts:</w:t>
      </w:r>
      <w:r>
        <w:t xml:space="preserve"> third, show, work, two; EU scope not established. This is a provisional connection, not an outcome finding.</w:t>
      </w:r>
    </w:p>
    <w:p>
      <w:pPr>
        <w:pStyle w:val="SourceNote"/>
      </w:pPr>
      <w:r>
        <w:rPr>
          <w:b/>
        </w:rPr>
        <w:t>Available abstract (not full text):</w:t>
      </w:r>
      <w:r>
        <w:t xml:space="preserve"> This is a binary mathematics lesson to reinforce the concepts of halves and the thirds. The new knowledge that third graders gain in the lesson is their introduction to the appropriate notation of halves and thirds with fractions. This is also the continuity between third and fifth grade. The lesson combines knowledge and skills in mathematics, Bulgarian language and literature, fine arts, technology, and entrepreneurship. The pre-project activity „The Half and the third“ gives a visual image of these concepts. Hands-on teamwork activities in a lesson are a great way to represent the concepts with real objects and a way to work with units of measurement that have been learned. Students should present what they have already learned about halves and thirds with a paper and cardboard presentation in the shape of flowers. They present drawn geometric shapes that are divided into two or three equal parts. In some of the shapes one of the two /three/ equal parts is colored. This is the problem situation – how to label this part in the presentation? The task of the fifth-grade teacher is to introduce fractions one-half and one-third of something whole through demonstration and with mathematical expression that is understandable to third graders. To show, explain and write down the fractions 1/2 and 1/3. The lesson ends with an emotional story about the symbolism of flowers by the scho</w:t>
      </w:r>
    </w:p>
    <w:p>
      <w:pPr/>
      <w:r>
        <w:rPr>
          <w:b/>
        </w:rPr>
        <w:t>POSSIBLE 2022:</w:t>
      </w:r>
      <w:r>
        <w:t xml:space="preserve"> Eliciting third person perspectives in social work case discussions: A device for reflective supervision? — https://doi.org/10.1177/14733250221124206</w:t>
      </w:r>
    </w:p>
    <w:p>
      <w:pPr/>
      <w:r>
        <w:rPr>
          <w:b/>
        </w:rPr>
        <w:t>Shared claim-specific concepts:</w:t>
      </w:r>
      <w:r>
        <w:t xml:space="preserve"> third, show, work, two, methods; EU scope not established. This is a provisional connection, not an outcome finding.</w:t>
      </w:r>
    </w:p>
    <w:p>
      <w:pPr>
        <w:pStyle w:val="SourceNote"/>
      </w:pPr>
      <w:r>
        <w:rPr>
          <w:b/>
        </w:rPr>
        <w:t>Available abstract (not full text):</w:t>
      </w:r>
      <w:r>
        <w:t xml:space="preserve"> Reflective supervision is widely recommended as an effective way to support social workers to think about their practice and to make better decisions. Although previous research has proposed methods of pursuing reflective supervision, little is known about how supervisors attempt this in actual supervision meetings. One proposed method for supervisors is to elicit third person perspectives so that social workers can consider a situation from different points of view. In this article, we examine this method by analysing audio recordings of 12 supervision meetings from one local authority Children and Families Social Work team. Using Conversation Analysis (CA), we explore supervisors’ attempts to elicit other people’s perspectives, focusing on how such requests were formed and how the social worker responded. We found 35 instances of supervisors attempting to elicit third person perspectives and identified four different ways that supervisors designed these enquiries. Supervisors oriented to two concerns, based on whether they enquired about a perspective that was currently established or projected into the future, and whether the information was verifiable through speech or actions, or imagined based on the other person’s thoughts or understanding. We draw on CA work on epistemics and stance to show how these different approaches have implications for what the social worker is e</w:t>
      </w:r>
    </w:p>
    <w:p>
      <w:pPr/>
      <w:r>
        <w:rPr>
          <w:b/>
        </w:rPr>
        <w:t>POSSIBLE 2022:</w:t>
      </w:r>
      <w:r>
        <w:t xml:space="preserve"> Berry connection polarizability tensor and third-order Hall effect — https://doi.org/10.1103/physrevb.105.045118</w:t>
      </w:r>
    </w:p>
    <w:p>
      <w:pPr/>
      <w:r>
        <w:rPr>
          <w:b/>
        </w:rPr>
        <w:t>Shared claim-specific concepts:</w:t>
      </w:r>
      <w:r>
        <w:t xml:space="preserve"> show, work, derive; EU scope not established. This is a provisional connection, not an outcome finding.</w:t>
      </w:r>
    </w:p>
    <w:p>
      <w:pPr>
        <w:pStyle w:val="SourceNote"/>
      </w:pPr>
      <w:r>
        <w:rPr>
          <w:b/>
        </w:rPr>
        <w:t>Available abstract (not full text):</w:t>
      </w:r>
      <w:r>
        <w:t xml:space="preserve"> One big achievement in modern condensed matter physics is the recognition of the importance of various band geometric quantities in physical effects. As prominent examples, Berry curvature and the Berry curvature dipole are connected to the linear and the second-order Hall effects, respectively. Here, we show that the Berry connection polarizability (BCP) tensor, as another intrinsic band geometric quantity, plays a key role in the third-order Hall effect. Based on the extended semiclassical formalism, we develop a theory for the third-order charge transport and derive explicit formulas for the third-order conductivity. Our theory is applied to the two-dimensional (2D) Dirac model to investigate the essential features of the BCP and the third-order Hall response. We further demonstrate the combination of our theory with the first-principles calculations to study a concrete material system, the monolayer FeSe. Our work establishes a foundation for the study of third-order transport effects, and reveals the third-order Hall effect as a tool for characterizing a large class of materials and for probing the BCP in band structure.</w:t>
      </w:r>
    </w:p>
    <w:p>
      <w:pPr>
        <w:pStyle w:val="Heading2"/>
      </w:pPr>
      <w:r>
        <w:t>853. Strategies for emerging research and innovation futures</w:t>
      </w:r>
    </w:p>
    <w:p>
      <w:pPr>
        <w:pStyle w:val="SourceNote"/>
      </w:pPr>
      <w:r>
        <w:rPr>
          <w:b/>
        </w:rPr>
        <w:t>Original source (2016):</w:t>
      </w:r>
      <w:r>
        <w:t xml:space="preserve"> https://doi.org/10.1108/fs-07-2014-0048</w:t>
      </w:r>
    </w:p>
    <w:p>
      <w:pPr/>
      <w:r>
        <w:t>Original wording (abstract; indexed_source_text_not_full_document_verified): In the light of the scenarios developed for the year 2030, a set of strategic options are identified and assessed for each stakeholder group. The analysis of scenarios indicated that their feasibility and desirability differ across different sectors of industry, and research areas within the research landscape.</w:t>
      </w:r>
    </w:p>
    <w:p>
      <w:pPr/>
      <w:r>
        <w:rPr>
          <w:b/>
        </w:rPr>
        <w:t>POSSIBLE 2026:</w:t>
      </w:r>
      <w:r>
        <w:t xml:space="preserve"> Summary report - Multisite-light dosimetry data set — https://doi.org/10.5281/zenodo.21238932</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This is a summary report on the multisite data sets obtained during the EPM 22NRM05 MeLiDos light dosimetry data collection campaign (https://doi.org/10.5281/zenodo.20445052), following the protocol developed beforehand by the project's participants (https://doi.org/10.1186/s12889-024-20206-4). The datasets include contributions from collaborators outside the proejct's consortium.</w:t>
      </w:r>
    </w:p>
    <w:p>
      <w:pPr/>
      <w:r>
        <w:rPr>
          <w:b/>
        </w:rPr>
        <w:t>POSSIBLE 2025:</w:t>
      </w:r>
      <w:r>
        <w:t xml:space="preserve"> Light is Calling — https://doi.org/10.5117/9789089649966_ch06</w:t>
      </w:r>
    </w:p>
    <w:p>
      <w:pPr/>
      <w:r>
        <w:rPr>
          <w:b/>
        </w:rPr>
        <w:t>Shared claim-specific concepts:</w:t>
      </w:r>
      <w:r>
        <w:t xml:space="preserve"> light, set, different; EU scope not established. This is a provisional connection, not an outcome finding.</w:t>
      </w:r>
    </w:p>
    <w:p>
      <w:pPr>
        <w:pStyle w:val="SourceNote"/>
      </w:pPr>
      <w:r>
        <w:rPr>
          <w:b/>
        </w:rPr>
        <w:t>Available abstract (not full text):</w:t>
      </w:r>
      <w:r>
        <w:t xml:space="preserve"> Like all films, the films of Bill Morrison rely on two main media. On the one hand, the specific film stock that carries the images, on the other, the light that makes the images possible in the first place and thus, albeit in a different manner, might also be said to ‘carry’ the images. This essay attempts to set up a more complex relation between these various forms of media. Drawing on scientific, philosophical, and artistic theories of light and mediality, such as those of Fritz Heider, Gilles Deleuze, and Niklas Luhman, this essay not only develops the notion of ‘media milieus’, but address the technologics, the aesthetics, and the poetics of Morrison’s movie.</w:t>
      </w:r>
    </w:p>
    <w:p>
      <w:pPr/>
      <w:r>
        <w:rPr>
          <w:b/>
        </w:rPr>
        <w:t>POSSIBLE 2025:</w:t>
      </w:r>
      <w:r>
        <w:t xml:space="preserve"> Quantum state engineering of light using intensity measurements and postselection — https://doi.org/10.1103/11vz-9gcz</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Quantum state engineering of light is of great interest for quantum technologies, particularly generating non-classical states of light, and is often studied through quantum conditioning approaches. Recently, we demonstrated that such approaches can be applied in intense laser-atom interactions to generate optical "cat" states by using intensity measurements and classical post-selection of the measurement data. Post-processing of the sampled data set allows to select specific events corresponding to measurement statistics as if there would be non-classical states of light leading to these measurement outcomes. However, to fully realize the potential of this method for quantum state engineering, it is crucial to thoroughly investigate the role of the involved measurements and the specifications of the post-selection scheme. We illustrate this by analyzing post-selection schemes recently developed for the process of high harmonic generation, which enables generating optical cat states bright enough to induce non-linear phenomena. These findings provide significant guidance for quantum light engineering and the generation of high-quality, intense optical cat states for applications in non-linear optics and quantum information science.</w:t>
      </w:r>
    </w:p>
    <w:p>
      <w:pPr/>
      <w:r>
        <w:rPr>
          <w:b/>
        </w:rPr>
        <w:t>POSSIBLE 2024:</w:t>
      </w:r>
      <w:r>
        <w:t xml:space="preserve"> การพฒนารปแบบการจดการเรยนรวชาโครงการ 2 เพอสรางชดควบคมความดนลบสำหรบผปวยวกฤตโรคตดตอรายแรงดวยแสงยวซ โดยใชขนตอนการเรยนรแบบ STEM รวมกบ MIAP ของนกศกษาชนประกาศนยบตรวชาชพชนสง ชนปท 2 ชางไฟฟา วทยาลยเทคนคพจตร: DEVELOP of LEARNING MANAGEMENT MODE for PROJECT 2 TO CREATE A NEGATIVE PRESSURE CONTROL SET FOR PATIENTS WITH PESTIENCE ALSO UVC LIGHT USING STEM IN CONJUNDTION EITH MIAP OF 2ND YEAR DIPLOMA STUDENTS IN ELECTRICIAN, PHICHIT TECHNICAL COLLEGE — https://openalex.org/W7215168090</w:t>
      </w:r>
    </w:p>
    <w:p>
      <w:pPr/>
      <w:r>
        <w:rPr>
          <w:b/>
        </w:rPr>
        <w:t>Shared claim-specific concepts:</w:t>
      </w:r>
      <w:r>
        <w:t xml:space="preserve"> light, developed, set, each; EU scope not established. This is a provisional connection, not an outcome finding.</w:t>
      </w:r>
    </w:p>
    <w:p>
      <w:pPr>
        <w:pStyle w:val="SourceNote"/>
      </w:pPr>
      <w:r>
        <w:rPr>
          <w:b/>
        </w:rPr>
        <w:t>Available abstract (not full text):</w:t>
      </w:r>
      <w:r>
        <w:t xml:space="preserve"> The purpose of this research was to develop a teaching style. to the quality and satisfaction in developing a learning management model for project subject 2 to create a negative pressure control set for ill patients with severe communicable diseases by UVC light. By using the STEM learning process together with MIAP of 17 second year Diploma students in electrician Phichit Technical College to have efficiency 80/80 by selecting a purposive sampling. The students learned from the learning management model in project subject 2 developed by the researcher. After completing each course, the knowledge and practical competencies will be assesse from activity sheets, work assignments, research tools such as performance quiz quality assessment form achievement measurement satisfaction questionnaire analyze the data forpercentage, mean, standard deviation. The results showed that the analytical results of intra-learning performance assessment and post-learning achievement scores are 82.42/82.35. The results of the analysis of the effectiveness index of the critical thinking scores on the pre- and post-test tests. Their post-learning scores were higher than before by more than 80 percent and the learning development effectiveness index was more than .60 The satisfaction analysis of students in all aspects is the highest, with an average of 4.61.</w:t>
      </w:r>
    </w:p>
    <w:p>
      <w:pPr/>
      <w:r>
        <w:rPr>
          <w:b/>
        </w:rPr>
        <w:t>POSSIBLE 2024:</w:t>
      </w:r>
      <w:r>
        <w:t xml:space="preserve"> AIRR-C IG Reference Sets: curated sets of immunoglobulin heavy and light chain germline genes — https://doi.org/10.3389/fimmu.2023.1330153</w:t>
      </w:r>
    </w:p>
    <w:p>
      <w:pPr/>
      <w:r>
        <w:rPr>
          <w:b/>
        </w:rPr>
        <w:t>Shared claim-specific concepts:</w:t>
      </w:r>
      <w:r>
        <w:t xml:space="preserve"> light, developed, set, each; EU scope not established. This is a provisional connection, not an outcome finding.</w:t>
      </w:r>
    </w:p>
    <w:p>
      <w:pPr>
        <w:pStyle w:val="SourceNote"/>
      </w:pPr>
      <w:r>
        <w:rPr>
          <w:b/>
        </w:rPr>
        <w:t>Available abstract (not full text):</w:t>
      </w:r>
      <w:r>
        <w:t xml:space="preserve"> Introduction: Analysis of an individual's immunoglobulin (IG) gene repertoire requires the use of high-quality germline gene reference sets. When sets only contain alleles supported by strong evidence, AIRR sequencing (AIRR-seq) data analysis is more accurate and studies of the evolution of IG genes, their allelic variants and the expressed immune repertoire is therefore facilitated. Methods: The Adaptive Immune Receptor Repertoire Community (AIRR-C) IG Reference Sets have been developed by including only human IG heavy and light chain alleles that have been confirmed by evidence from multiple high-quality sources. To further improve AIRR-seq analysis, some alleles have been extended to deal with short 3' or 5' truncations that can lead them to be overlooked by alignment utilities. To avoid other challenges for analysis programs, exact paralogs (e.g. IGHV1-69*01 and IGHV1-69D*01) are only represented once in each set, though alternative sequence names are noted in accompanying metadata. Results and discussion: The Reference Sets include less than half the previously recognised IG alleles (e.g. just 198 IGHV sequences), and also include a number of novel alleles: 8 IGHV alleles, 2 IGKV alleles and 5 IGLV alleles. Despite their smaller sizes, erroneous calls were eliminated, and excellent coverage was achieved when a set of repertoires comprising over 4 million V(D)J rearrangemen</w:t>
      </w:r>
    </w:p>
    <w:p>
      <w:pPr/>
      <w:r>
        <w:rPr>
          <w:b/>
        </w:rPr>
        <w:t>POSSIBLE 2024:</w:t>
      </w:r>
      <w:r>
        <w:t xml:space="preserve"> Visible‐Light‐Promoted Difluoromethylation/Cyclization of 1‐Acryloyl‐2‐cyanoindole for Construction of Difluoromethylated Pyrrolo[1,2‐a]indolediones — https://doi.org/10.1002/adsc.202301173</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A visible‐light‐promoted cascade difluoromethylation/cyclization reaction to access various difluoromethylated pyrrolo[1,2‐a]indolediones was developed using difluoromethyltriphenylphosphonium bromide salt as the difluoromethylating reagent. A possible radical mechanism has been investigated and proven as a single electron transfer (SET) procedure.</w:t>
      </w:r>
    </w:p>
    <w:p>
      <w:pPr/>
      <w:r>
        <w:rPr>
          <w:b/>
        </w:rPr>
        <w:t>POSSIBLE 2024:</w:t>
      </w:r>
      <w:r>
        <w:t xml:space="preserve"> Multilayered Computational Framework for Designing Peptide Inhibitors of HVEM-LIGHT Interaction — https://doi.org/10.1021/acs.jpcb.4c02255</w:t>
      </w:r>
    </w:p>
    <w:p>
      <w:pPr/>
      <w:r>
        <w:rPr>
          <w:b/>
        </w:rPr>
        <w:t>Shared claim-specific concepts:</w:t>
      </w:r>
      <w:r>
        <w:t xml:space="preserve"> light, identified, assessed, different; EU scope not established. This is a provisional connection, not an outcome finding.</w:t>
      </w:r>
    </w:p>
    <w:p>
      <w:pPr>
        <w:pStyle w:val="SourceNote"/>
      </w:pPr>
      <w:r>
        <w:rPr>
          <w:b/>
        </w:rPr>
        <w:t>Available abstract (not full text):</w:t>
      </w:r>
      <w:r>
        <w:t xml:space="preserve"> The herpesvirus entry mediator (HVEM) and its ligand LIGHT play crucial roles in immune system regulation, including T-cell proliferation, B-cell differentiation, and immunoglobulin secretion. However, excessive T-cell activation can lead to chronic inflammation and autoimmune diseases. Thus, inhibiting the HVEM-LIGHT interaction emerges as a promising therapeutic strategy for these conditions and in preventing adverse reactions in organ transplantation. This study focused on designing peptide inhibitors, targeting the HVEM-LIGHT interaction, using molecular dynamics (MD) simulations of 65 peptides derived from HVEM. These peptides varied in length and disulfide-bond configurations, crucial for their interaction with the LIGHT trimer. By simulating 31 HVEM domain variants, including the full-length protein, we assessed conformational changes upon LIGHT binding to understand the influence of HVEM segments and disulfide bonds on the binding mechanism. Employing multitrajectory microsecond-scale, all-atom MD simulations and molecular mechanics with generalized Born and surface area (MM-GBSA) binding energy estimation, we identified promising CRD2 domain variants with high LIGHT affinity. Notably, point mutations in these variants led to a peptide with a single disulfide bond (C58-C73) and a K54E substitution, exhibiting the highest binding affinity. The importance of the CRD2 doma</w:t>
      </w:r>
    </w:p>
    <w:p>
      <w:pPr/>
      <w:r>
        <w:rPr>
          <w:b/>
        </w:rPr>
        <w:t>POSSIBLE 2023:</w:t>
      </w:r>
      <w:r>
        <w:t xml:space="preserve"> Visible Light Induced EDA‐mediated Deaminative C‐2 Alkylation of Heterocyclic‐ N ‐Oxides using Katritzky salts — https://doi.org/10.1002/adsc.202300723</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Herein, a direct C‐2 alkylation of Heterocyclic‐ N ‐oxides with alkyl amines as Katritzky salts via visible‐light induced deaminative approach was developed. Mechanistic studies revealed that Katritzky salts and base were involved to generate an EDA complex, which underwent intermolecular single electron transfer ( SET ) to give an alkyl radical intermediate. Finally, the alkyl radical intermediate further underwent‐addition with heterocyclic‐ N ‐oxide substrates to access the desired products with 63–94% yield. The method worked well with quinoline‐ N ‐oxides, pyridine‐ N ‐oxides, and benzopyrazine‐ N ‐oxides.</w:t>
      </w:r>
    </w:p>
    <w:p>
      <w:pPr/>
      <w:r>
        <w:rPr>
          <w:b/>
        </w:rPr>
        <w:t>POSSIBLE 2022:</w:t>
      </w:r>
      <w:r>
        <w:t xml:space="preserve"> Colour, Light, and Materiality: Biophilic Interior Design Presence in Research and Practice — https://doi.org/10.7454/in.v5i1.189</w:t>
      </w:r>
    </w:p>
    <w:p>
      <w:pPr/>
      <w:r>
        <w:rPr>
          <w:b/>
        </w:rPr>
        <w:t>Shared claim-specific concepts:</w:t>
      </w:r>
      <w:r>
        <w:t xml:space="preserve"> light, developed, identified; EU scope not established. This is a provisional connection, not an outcome finding.</w:t>
      </w:r>
    </w:p>
    <w:p>
      <w:pPr>
        <w:pStyle w:val="SourceNote"/>
      </w:pPr>
      <w:r>
        <w:rPr>
          <w:b/>
        </w:rPr>
        <w:t>Available abstract (not full text):</w:t>
      </w:r>
      <w:r>
        <w:t xml:space="preserve"> The biophilic design hypothesis uses nature-based environmental design for optimising people’s health and well-being. Stephen Kellert in 2008 developed a list of biophilic attributes that was further refined in the Biophilic Interior Design Matrix (BID-M) to specifically support the interior application of biophilic design for health and well-being. The present study further investigates biophilic interior design using the BID-M language and the key interior design components colour, light, and materiality. The first part of the study reviewed four decades of literature related to biophilia and colour, light, and materiality to investigate a total of 19 publications. The second part of the study explored the perceptions of 23 design practitioners' and the use of biophilia related to colour, light, and materiality in their practice. For the first time, evidence was identified about colour, light, and materiality being linked to biophilic design and the attributes in the BID-M. The study results showed colour preferences were the most frequently identified theme, and practitioners used a variety of biophilic attributes in their practice. The top attributes shared by both the literature review and practitioners were the abstraction of nature, composition, natural light, and natural materials. This finding shows that there is a focus on biophilic attributes in both research and pra</w:t>
      </w:r>
    </w:p>
    <w:p>
      <w:pPr/>
      <w:r>
        <w:rPr>
          <w:b/>
        </w:rPr>
        <w:t>POSSIBLE 2022:</w:t>
      </w:r>
      <w:r>
        <w:t xml:space="preserve"> Light‐Promoted Chlorine‐Radical‐Mediated Oxidation of Benzylic C(sp3)−H Bonds utilizing Air as Oxidant — https://doi.org/10.1002/adsc.202201076</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Abstract A photocatalyzed metal‐free method for benzylic C(sp3)−H bond oxidation has been developed. Achieved under the mild conditions, a variety of methylarenes and benzyl derivatives could be converted into corresponding carboxylic acids and ketones, and isolated yields of 31–98% are obtained. The mechanistic investigations showed that chlorine radical could be generated via the direct single electron transfer (SET) between chloride anion and excited heteroarene under light irradiation, which could be used as hydrogen atom transfer agent to facilitate benzylic C(sp3)−H bond oxygenation. The merits of this catalytic system could be further demonstrated by the degradation of plastic to form benzoic acids. magnified image</w:t>
      </w:r>
    </w:p>
    <w:p>
      <w:pPr/>
      <w:r>
        <w:rPr>
          <w:b/>
        </w:rPr>
        <w:t>POSSIBLE 2020:</w:t>
      </w:r>
      <w:r>
        <w:t xml:space="preserve"> Light opens a new window for N-heterocyclic carbene catalysis — https://doi.org/10.1039/d0sc03595e</w:t>
      </w:r>
    </w:p>
    <w:p>
      <w:pPr/>
      <w:r>
        <w:rPr>
          <w:b/>
        </w:rPr>
        <w:t>Shared claim-specific concepts:</w:t>
      </w:r>
      <w:r>
        <w:t xml:space="preserve"> light, developed, set; EU scope not established. This is a provisional connection, not an outcome finding.</w:t>
      </w:r>
    </w:p>
    <w:p>
      <w:pPr>
        <w:pStyle w:val="SourceNote"/>
      </w:pPr>
      <w:r>
        <w:rPr>
          <w:b/>
        </w:rPr>
        <w:t>Available abstract (not full text):</w:t>
      </w:r>
      <w:r>
        <w:t xml:space="preserve"> N-Heterocyclic carbenes (NHCs) are efficient Lewis basic catalysts for the umpolung of various polarized unsaturated compounds usually including aldehydes, imines, acyl chlorides and activated esters. NHC catalysis involving electron pair transfer steps has been extensively studied; however, NHC catalysis through single-electron transfer (SET) processes, despite having the potential to achieve chemical transformations of inert chemical bonds and using green reagents, has long been a challenging task in organic synthesis. In parallel, visible-light-induced photocatalysis and photoexcitation have been established as powerful tools to facilitate sustainable organic synthesis, as they enable the generation of various reactive radical intermediates under extremely mild conditions. Recently, a number of elegant visible-light-induced, NHC-catalyzed transformations were developed for accessing valuable organic compounds. As a result, this minireview will highlight the recent advances in this field.</w:t>
      </w:r>
    </w:p>
    <w:p>
      <w:pPr/>
      <w:r>
        <w:rPr>
          <w:b/>
        </w:rPr>
        <w:t>POSSIBLE 2020:</w:t>
      </w:r>
      <w:r>
        <w:t xml:space="preserve"> Exploration of Emerging Microreactors, and Investigation into the Size Options of Light Water Nuclear Reactors for Prospective Microreactor Designs — https://openalex.org/W3111435069</w:t>
      </w:r>
    </w:p>
    <w:p>
      <w:pPr/>
      <w:r>
        <w:rPr>
          <w:b/>
        </w:rPr>
        <w:t>Shared claim-specific concepts:</w:t>
      </w:r>
      <w:r>
        <w:t xml:space="preserve"> light, developed, options, identified; EU scope not established. This is a provisional connection, not an outcome finding.</w:t>
      </w:r>
    </w:p>
    <w:p>
      <w:pPr>
        <w:pStyle w:val="SourceNote"/>
      </w:pPr>
      <w:r>
        <w:rPr>
          <w:b/>
        </w:rPr>
        <w:t>Available abstract (not full text):</w:t>
      </w:r>
      <w:r>
        <w:t xml:space="preserve"> In response to the economic realities of the American nuclear market, numerous corporations have formed with the goal of bringing new types of nuclear reactor designs to market. A survey was undertaken of these emerging small modular reactor and microreactor designs, with the NuScale Power Module (NPM) identified as a technological forerunner. A neutronics model of this reactor was developed and used to characterize and explore miniaturization alternatives for the development of a light water microreactor based on the proposed reduced size NPM. This model was characterized and the design iterated to arrive at a potential candidate light water micro reactor. Available literature on proposed nuclear reactor designs was reviewed. Government documentation, NRC applications, and company released technical details were collected to present an overview of design alternatives. Of these designs the NuScale reactor alternative was found to have the greatest technological readiness and availability of engineering detail. Using these details, a monte carlo N-particle (MCNP) neutronics model was developed and used to explore options by which this core could be miniaturized. Using a reduced number of assemblies with graphite reflectors, a reactor model was developed that offered the same performance of the proposed reduced size NPM. \nThis design has a two and three quarter year lifespan pro</w:t>
      </w:r>
    </w:p>
    <w:p>
      <w:pPr>
        <w:pStyle w:val="Heading2"/>
      </w:pPr>
      <w:r>
        <w:t>854. Testing Scenarios to Achieve Workplace Sustainability Goals Using Backcasting and Agent-Based Modeling</w:t>
      </w:r>
    </w:p>
    <w:p>
      <w:pPr>
        <w:pStyle w:val="SourceNote"/>
      </w:pPr>
      <w:r>
        <w:rPr>
          <w:b/>
        </w:rPr>
        <w:t>Original source (2016):</w:t>
      </w:r>
      <w:r>
        <w:t xml:space="preserve"> https://doi.org/10.1177/0013916516673869</w:t>
      </w:r>
    </w:p>
    <w:p>
      <w:pPr/>
      <w:r>
        <w:t>Original wording (abstract; indexed_source_text_not_full_document_verified): Future scenarios were developed using a participatory backcasting scenario development methodology, and policy tracks were derived.</w:t>
      </w:r>
    </w:p>
    <w:p>
      <w:pPr/>
      <w:r>
        <w:rPr>
          <w:b/>
        </w:rPr>
        <w:t>POSSIBLE 2026:</w:t>
      </w:r>
      <w:r>
        <w:t xml:space="preserve"> Backcasting intergenerational energy justice — https://openalex.org/W7165503411</w:t>
      </w:r>
    </w:p>
    <w:p>
      <w:pPr/>
      <w:r>
        <w:rPr>
          <w:b/>
        </w:rPr>
        <w:t>Shared claim-specific concepts:</w:t>
      </w:r>
      <w:r>
        <w:t xml:space="preserve"> participatory, backcasting; EU scope not established. This is a provisional connection, not an outcome finding.</w:t>
      </w:r>
    </w:p>
    <w:p>
      <w:pPr>
        <w:pStyle w:val="SourceNote"/>
      </w:pPr>
      <w:r>
        <w:rPr>
          <w:b/>
        </w:rPr>
        <w:t>Available abstract (not full text):</w:t>
      </w:r>
      <w:r>
        <w:t xml:space="preserve"> A just energy transition requires political engagement with diverse voices in the processes of environmental and industrial change, ensuring the fair distribution of risks and benefits between empowered and vulnerable communities. One key challenge is ensuring intergenerational equity within such processes: defining our collective obligations to protect the environmental, economic, and social well-being of future generations and then translating this into present-day policy and commercial decision-making. In this proposed workshop, we will showcase participatory backcasting methods to address intergenerational equity challenges. Backcasting analysis engages stakeholders in envisioning and defining long-term intra- and intergenerational interests, and here we blend qualitative social science and normative analysis to explore backcasting as an “ethical tool” for energy futures planning. Through structured participatory dialogue, we will examine the ethical dimensions of energy futures to identify desirable, feasible, and sustainable pathways – starting with the identification of normatively desirable futures and then working backwards to the present to determine the necessary steps to achieve them and the barriers they experience in doing so. The backcasting analysis offers valuable insights into the intergenerational justice dimensions of contemporary energy policymaking and dem</w:t>
      </w:r>
    </w:p>
    <w:p>
      <w:pPr/>
      <w:r>
        <w:rPr>
          <w:b/>
        </w:rPr>
        <w:t>POSSIBLE 2026:</w:t>
      </w:r>
      <w:r>
        <w:t xml:space="preserve"> Bibliometric Analysis of Methodologies and Trends in Participatory Planning Using a Dual Strategy Approach — https://doi.org/10.51983/ijiss-2026.16.3.12</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Participatory planning has emerged as an important tool for democratic decision-making in the fields of urban planning, public policies, and social development through involving citizens in governance processes and ensuring transparency and social sustainability. However, its efficient use faces problems related to the colonial past, political centralism, and threats of superficial consensus. The present article discusses the following research problem: In spite of the current scientific interest in participatory planning, there is no systematic bibliometric study of the methodology trends, leadership of institutions, and theme evolution in various temporal and search-strategy settings. To solve the problem, the study performs a bibliometric analysis of the literature on participatory planning identified in the Scopus database with the help of two alternative search strategies. Strategy 1 identified 77 articles (1995-2024) based on the Boolean search query "participatory AND planning" with Social Sciences filtering. Strategy 2 identified 953 articles (2020-2025) with additional filters of open access and English language. The data were analyzed using RStudio and Bibliometrix tools in order to study the dynamics of scientific production, international cooperation, major institutions, authorship, and theme dynamics. Strategy 1 showed low yearly growth (1.41%), but high citation i</w:t>
      </w:r>
    </w:p>
    <w:p>
      <w:pPr/>
      <w:r>
        <w:rPr>
          <w:b/>
        </w:rPr>
        <w:t>POSSIBLE 2026:</w:t>
      </w:r>
      <w:r>
        <w:t xml:space="preserve"> Participatory foresight in subnational policy processes: two experiences in Peru — https://doi.org/10.1108/fs-08-2025-0177</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Purpose This paper aims to illustrate the challenges faced by efforts to institutionalize participatory foresight as a regular component of policymaking processes in a developing country, based on the analysis of a country case (Peru) where national-level rules and guidelines have incorporated participatory foresight in policymaking and planning processes at the subnational level. Design/methodology/approach Exploratory research on the challenges faced when institutionalizing participatory foresight in policy processes, carried out as a case study of two relevant, official experiences at the subnational level in Peru. In-depth interviews, a survey of regional officials and literature review are used. Findings There have been significant regulatory advances; national officials seem committed to strengthening participatory foresight; and rules are being applied in regional planning processes and educational policy frameworks. However, the broader institutionalization of participatory foresight in a democratic context is incipient. Significant challenges are found within the operation of the national planning system, which sets rules and guidelines for incorporating participatory foresight, and also pertaining to participatory practices in general and the state–society relationship. Research limitations/implications This exploratory research, while addressing the early stages of i</w:t>
      </w:r>
    </w:p>
    <w:p>
      <w:pPr/>
      <w:r>
        <w:rPr>
          <w:b/>
        </w:rPr>
        <w:t>POSSIBLE 2026:</w:t>
      </w:r>
      <w:r>
        <w:t xml:space="preserve"> Intersectionality in participatory methodologies: systematic review and evaluation framework — https://doi.org/10.1108/qrj-01-2026-0021</w:t>
      </w:r>
    </w:p>
    <w:p>
      <w:pPr/>
      <w:r>
        <w:rPr>
          <w:b/>
        </w:rPr>
        <w:t>Shared claim-specific concepts:</w:t>
      </w:r>
      <w:r>
        <w:t xml:space="preserve"> participatory, methodology; EU scope not established. This is a provisional connection, not an outcome finding.</w:t>
      </w:r>
    </w:p>
    <w:p>
      <w:pPr>
        <w:pStyle w:val="SourceNote"/>
      </w:pPr>
      <w:r>
        <w:rPr>
          <w:b/>
        </w:rPr>
        <w:t>Available abstract (not full text):</w:t>
      </w:r>
      <w:r>
        <w:t xml:space="preserve"> Purpose This systematic review examines how an intersectional perspective is integrated into participatory methodologies and what it contributes when applied from the outset of the research process. Design/methodology/approach Forty-six studies (2018–2024), identified through systematic searches in regional and international databases, were analyzed. Deductive–inductive coding was guided by seven dimensions: (1) social demand for research, (2) participation in definition of the problem, (3) epistemological plurality in conceptualization, (4) population and territorial heterogeneity, (5) redistribution of epistemic power, (6) relationality and (7) affectivity, situated reflexivity and decentralization of the universal subject. A complementary content analysis enabled the derivation and operationalization of eleven criteria that capture the benefits of integrating an intersectional perspective into participatory methodologies for researchers, professionals and participants. Findings The results reveal uneven integration of these dimensions: social demand and co-definition of the problem are frequent, while epistemological plurality and territorial adaptability appear less often. Methodological families demonstrating a stronger intersectional orientation show a higher concentration of benefits. An evaluative framework of intersectional coherence and a checklist of twenty-one indic</w:t>
      </w:r>
    </w:p>
    <w:p>
      <w:pPr/>
      <w:r>
        <w:rPr>
          <w:b/>
        </w:rPr>
        <w:t>POSSIBLE 2026:</w:t>
      </w:r>
      <w:r>
        <w:t xml:space="preserve"> Backcasting: An innovative approach to conflict management for transformative innovation projects — https://doi.org/10.1016/j.techfore.2026.124851</w:t>
      </w:r>
    </w:p>
    <w:p>
      <w:pPr/>
      <w:r>
        <w:rPr>
          <w:b/>
        </w:rPr>
        <w:t>Shared claim-specific concepts:</w:t>
      </w:r>
      <w:r>
        <w:t xml:space="preserve"> participatory, backcasting; EU scope visible. This is a provisional connection, not an outcome finding.</w:t>
      </w:r>
    </w:p>
    <w:p>
      <w:pPr>
        <w:pStyle w:val="SourceNote"/>
      </w:pPr>
      <w:r>
        <w:rPr>
          <w:b/>
        </w:rPr>
        <w:t>Available abstract (not full text):</w:t>
      </w:r>
      <w:r>
        <w:t xml:space="preserve"> Environmental issues and sustainability transition are nowadays among the most contentious arenas, as they entail complexity, uncertainty and a multiplicity of different interests and visions. Transformative innovation projects, that attempt to address the key challenges that our society is currently facing, have increased rapidly over the last decade as a solution to wicked problems, including sustainability. Yet, the development of these projects does not occur without difficulties. Transitioning to a more sustainable system is a significantly controversial and conflictual issue, as different actors have diverse perspectives on what sustainability means and how to achieve it. Studies on how to manage conflict in innovative and transformative contexts are scarce and methodologically limited. This paper conceptualises participatory backcasting as a conflict management approach for transformative innovation projects and investigates the key mechanisms through which backcasting supports the management of stakeholder conflicts. The article draws on an intervention research aiming at co-experimenting participatory backcasting with 24 transformative innovation projects engaged in fostering agroecological transition in France. This approach engages project participants in a collective visioning exercise to define the desired future to which the project aims to contribute. The case st</w:t>
      </w:r>
    </w:p>
    <w:p>
      <w:pPr/>
      <w:r>
        <w:rPr>
          <w:b/>
        </w:rPr>
        <w:t>POSSIBLE 2025:</w:t>
      </w:r>
      <w:r>
        <w:t xml:space="preserve"> Backcasting Future Human Autonomy and Ethics Protection in Smart Health Environments: A Case Study — https://doi.org/10.1109/ethics65148.2025.11098357</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Anticipating ethical risks in smart health-IoT (H-IoT) ensures safer solutions that protect human autonomy and privacy from intrusive surveillance. Previous research involving vulnerable groups has not had a significant emphasis on exploring alternative scenarios that prioritize the ethical criteria of human autonomy that can safeguard against external control and surveillance. In this paper, we concentrate on challenges related to the need for ethical protection of human autonomy in Internet of Things-based health-monitoring. More concretely, we present a case study focusing on older adults. We used a participatory ethical foresight methodology, involving various relevant stakeholders, to develop scenarios paired with roadmaps via “backcasting” techniques. Educational capacity, institutional transparency, gaining control over communication channels, and confronting commercial narratives are actionable measures with consensus. To succeed and to ensure adequate actions to bridge the gap between present and future, additional efforts to shift engineers' perspectives toward relevant ethical risks are needed.</w:t>
      </w:r>
    </w:p>
    <w:p>
      <w:pPr/>
      <w:r>
        <w:rPr>
          <w:b/>
        </w:rPr>
        <w:t>POSSIBLE 2024:</w:t>
      </w:r>
      <w:r>
        <w:t xml:space="preserve"> Exploring Backcasting as a Tool to Co-create a Vision for a Circular Economy: A Case Study of the Polyurethane Foam Industry — https://doi.org/10.55845/uzxq5070</w:t>
      </w:r>
    </w:p>
    <w:p>
      <w:pPr/>
      <w:r>
        <w:rPr>
          <w:b/>
        </w:rPr>
        <w:t>Shared claim-specific concepts:</w:t>
      </w:r>
      <w:r>
        <w:t xml:space="preserve"> developed, participatory, backcasting; EU scope not established. This is a provisional connection, not an outcome finding.</w:t>
      </w:r>
    </w:p>
    <w:p>
      <w:pPr>
        <w:pStyle w:val="SourceNote"/>
      </w:pPr>
      <w:r>
        <w:rPr>
          <w:b/>
        </w:rPr>
        <w:t>Available abstract (not full text):</w:t>
      </w:r>
      <w:r>
        <w:t xml:space="preserve"> The pursuit of Circular Economy (CE) principles in industrial activities is crucial for mitigating environmental impacts, particularly in relation to plastic consumption and waste. While desirable, such a transition is incredibly challenging for many industries. Using the polyurethane (PU) foam industry as a starting point, a participatory planning process called backcasting was used to engage diverse stakeholders and explore the potential for CE implementation and transition. Usually applied in policy-making contexts, this study used a particular approach (“ABCD-method”) to facilitate a workshop of industry representatives from across the PU foam value chain: recyclers, chemical suppliers, manufacturers, academia, and governments. Through the process, participants discussed, developed and agreed upon 78 CE Pathways, categorizing these as short-, mid-, and/or long-term priorities, and assigning them to respective and appropriate PU foam value chain members. These co-created CE Pathway priorities, such as the development of industry-wide material specifications, simplified chemical formulations, and innovation in feedstock sourcing, may contribute to increased industry awareness about potential opportunities for transition to the CE within PU foam value chain. CE Pathway priorities from this work are informing the strategic roadmap for the PU foam industry’s transition to CE. Fu</w:t>
      </w:r>
    </w:p>
    <w:p>
      <w:pPr/>
      <w:r>
        <w:rPr>
          <w:b/>
        </w:rPr>
        <w:t>POSSIBLE 2024:</w:t>
      </w:r>
      <w:r>
        <w:t xml:space="preserve"> Participatory backcasting towards desirable co-produced mobility futures: A case study of MaaS in Greater Manchester — https://doi.org/10.1016/j.futures.2024.103463</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Mobility-as-a-Service (MaaS) has emerged as a model supported by popular discourse on achieving greener, more efficient and equitable future mobility. While technological change is a primary driver for models of development, the policy pathways, implementation and implications of MaaS are complex and unclear. In this paper, we explore the implications and limitations of a participatory approach to co-produced MaaS futures in Greater Manchester (GM). We adapt a backcasting methodology involving two stakeholder workshops to develop shared future visions and action pathways. Our methodology includes a participatory approach to pluralistic vision development and the use of a Three Horizons method for backcasting. This approach provides the opportunity to explore multiple desirable futures and the formulation of action pathways without negating plausible future possibilities. The research identifies multiple policy and collaborative action areas while also revealing limitations in MaaS user agency and unaddressed sustainability concerns related to wider Smart City criticisms. Findings also suggest a lack of adequate theory within current MaaS frameworks to engage with uncertainty, change and adaptive capacity. Future areas of research include the expansion of current frameworks to incorporate alternative framings from planning and complexity theories already attempting to address th</w:t>
      </w:r>
    </w:p>
    <w:p>
      <w:pPr/>
      <w:r>
        <w:rPr>
          <w:b/>
        </w:rPr>
        <w:t>POSSIBLE 2023:</w:t>
      </w:r>
      <w:r>
        <w:t xml:space="preserve"> Advancing participatory backcasting for climate change adaptation planning using 10 cases from 3 continents — https://doi.org/10.1016/j.crm.2023.100559</w:t>
      </w:r>
    </w:p>
    <w:p>
      <w:pPr/>
      <w:r>
        <w:rPr>
          <w:b/>
        </w:rPr>
        <w:t>Shared claim-specific concepts:</w:t>
      </w:r>
      <w:r>
        <w:t xml:space="preserve"> developed, participatory, backcasting; EU scope visible. This is a provisional connection, not an outcome finding.</w:t>
      </w:r>
    </w:p>
    <w:p>
      <w:pPr>
        <w:pStyle w:val="SourceNote"/>
      </w:pPr>
      <w:r>
        <w:rPr>
          <w:b/>
        </w:rPr>
        <w:t>Available abstract (not full text):</w:t>
      </w:r>
      <w:r>
        <w:t xml:space="preserve"> In the face of climate change, a major challenge is to inform and guide long-term climate change adaptation planning under deep uncertainty, while aiming at transformative change. Normative futures studies approaches, such as participatory backcasting, visioning and transition management, are increasingly applied, but their potential for climate change adaptation research and practice remains undervalued. This paper aims to advance the potential of backcasting in climate adaptation, by comparing various climate change adaptation studies that have used backcasting or visioning approaches. A framework has been further developed and applied to evaluate 10 cases in Africa, Europe and North America, using four dimensions: (i) inputs and settings; (ii) process and methods (iii) results, and (iv), impact. Our evaluation provides key insights into the use and further development of backcasting for climate adaptation. Key elements to add are advanced system modeling, robust elements, pathway switching and hybrid pathways, enhancing participation of marginal groups, and contributing to impact by facilitating the utilization of results and knowledge in practice and decision making.</w:t>
      </w:r>
    </w:p>
    <w:p>
      <w:pPr/>
      <w:r>
        <w:rPr>
          <w:b/>
        </w:rPr>
        <w:t>POSSIBLE 2023:</w:t>
      </w:r>
      <w:r>
        <w:t xml:space="preserve"> How to Create Serious Games? Proposal for a Participatory Methodology — https://doi.org/10.17083/ijsg.v10i4.642</w:t>
      </w:r>
    </w:p>
    <w:p>
      <w:pPr/>
      <w:r>
        <w:rPr>
          <w:b/>
        </w:rPr>
        <w:t>Shared claim-specific concepts:</w:t>
      </w:r>
      <w:r>
        <w:t xml:space="preserve"> developed, participatory, methodology; EU scope not established. This is a provisional connection, not an outcome finding.</w:t>
      </w:r>
    </w:p>
    <w:p>
      <w:pPr>
        <w:pStyle w:val="SourceNote"/>
      </w:pPr>
      <w:r>
        <w:rPr>
          <w:b/>
        </w:rPr>
        <w:t>Available abstract (not full text):</w:t>
      </w:r>
      <w:r>
        <w:t xml:space="preserve"> The demand for practical, engaging, and enjoyable learning experiences has led to a shift in student preferences. Students now seek active learning approaches that prioritize their involvement and utilize technology. In response to this demand, simulators and serious games have emerged as effective strategies in education. Serious games offer numerous benefits, including the promotion of critical thinking, creativity, problem-solving skills, and improved knowledge retention. However, it is crucial to ensure that serious games are well-designed to maintain their appeal and playful nature. Inadequate requirements definition during the initial stages of development can lead to issues in game design. This article emphasizes the importance of establishing clear requirements and objectives in the creation of serious games for educational purposes. By doing so, effective serious games can be developed that meet the needs of students and align with educational goals. This systematic approach to game development ensures that the games are engaging, effective, and conducive to learning.</w:t>
      </w:r>
    </w:p>
    <w:p>
      <w:pPr/>
      <w:r>
        <w:rPr>
          <w:b/>
        </w:rPr>
        <w:t>POSSIBLE 2023:</w:t>
      </w:r>
      <w:r>
        <w:t xml:space="preserve"> Bridging scenario planning and backcasting: A Q‐analysis of divergent stakeholder priorities for future landscapes — https://doi.org/10.1002/pan3.10441</w:t>
      </w:r>
    </w:p>
    <w:p>
      <w:pPr/>
      <w:r>
        <w:rPr>
          <w:b/>
        </w:rPr>
        <w:t>Shared claim-specific concepts:</w:t>
      </w:r>
      <w:r>
        <w:t xml:space="preserve"> participatory, backcasting, methodology; EU scope not established. This is a provisional connection, not an outcome finding.</w:t>
      </w:r>
    </w:p>
    <w:p>
      <w:pPr>
        <w:pStyle w:val="SourceNote"/>
      </w:pPr>
      <w:r>
        <w:rPr>
          <w:b/>
        </w:rPr>
        <w:t>Available abstract (not full text):</w:t>
      </w:r>
      <w:r>
        <w:t xml:space="preserve"> Abstract Many landscapes in sub‐Saharan Africa have undergone rapid changes, often with negative social and ecological impacts. Avoiding (or reversing) such negative impacts requires proactive landscape planning. Scenario planning, a participatory approach that generates narratives of plausible landscape change trajectories in the future, has been widely used to support landscape planning and decisions. However, not least because of challenges arising from group dynamics, few examples exist where backcasting—the collective envisioning of a desirable future landscape and the identification of pathways to reach that future—has been applied in landscape planning. In this study, building on past scenario planning work in southwestern Ethiopia, we begin to fill this empirical and methodological gap. Specifically, we used the Q‐methodology to elucidate stakeholders' divergent landscape aspirations in a case study in southwestern Ethiopia. Our results show that many stakeholders share a similar vision of building a future landscape that supports smallholder‐based development. However, details in the envisaged pathways differ between stakeholders. Three distinct pathways were prioritized by different stakeholders: (1) Agroecological production, (2) Coffee investment and (3) Intensive food crop production. Accounting for these divergent aspirations is important when taking further steps</w:t>
      </w:r>
    </w:p>
    <w:p>
      <w:pPr/>
      <w:r>
        <w:rPr>
          <w:b/>
        </w:rPr>
        <w:t>POSSIBLE 2022:</w:t>
      </w:r>
      <w:r>
        <w:t xml:space="preserve"> Computer‐aided scenario design using participatory backcasting: A case study of sustainable vision creation in a Japanese city — https://doi.org/10.1002/ffo2.141</w:t>
      </w:r>
    </w:p>
    <w:p>
      <w:pPr/>
      <w:r>
        <w:rPr>
          <w:b/>
        </w:rPr>
        <w:t>Shared claim-specific concepts:</w:t>
      </w:r>
      <w:r>
        <w:t xml:space="preserve"> developed, participatory, backcasting; EU scope not established. This is a provisional connection, not an outcome finding.</w:t>
      </w:r>
    </w:p>
    <w:p>
      <w:pPr>
        <w:pStyle w:val="SourceNote"/>
      </w:pPr>
      <w:r>
        <w:rPr>
          <w:b/>
        </w:rPr>
        <w:t>Available abstract (not full text):</w:t>
      </w:r>
      <w:r>
        <w:t xml:space="preserve"> Abstract Designing backcasting scenarios is a powerful approach to the development of sustainable visions and pathways for governments or enterprises in the early stage of their policy‐making or strategic decision‐making process. To date, a number of scholars have proposed various backcasting methods, in which workshops are often used to reflect the voices of stakeholders. However, it is still a challenge to test the validity of scenarios because the process of designing backcasting scenarios is not transparent or shared among involved stakeholders. This also prevents reusing knowledge and intermediate outputs generated during the scenario design process. To solve these problems, this paper aims to develop a method for supporting a backcasting scenario design by introducing computational assistance. A scenario design support system called the sustainable society scenario (3S) simulator is used to visualize a scenario's logical sequence of the scenario in graph format. To demonstrate the proposed method, a case study for the city of Toyama, a Japanese municipality, was performed using three workshops with citizen participation. The results showed that two different scenarios, involving future visions and associated pathways, were developed by reflecting the diversified values of local citizens. The usage of the 3S simulator visualized the logical relations of the described scena</w:t>
      </w:r>
    </w:p>
    <w:p>
      <w:pPr>
        <w:pStyle w:val="Heading2"/>
      </w:pPr>
      <w:r>
        <w:t>855. The Deliberative Practice of Vision Mobility 2050: Vision-making for Sustainable Mobility in the Region of Munich?</w:t>
      </w:r>
    </w:p>
    <w:p>
      <w:pPr>
        <w:pStyle w:val="SourceNote"/>
      </w:pPr>
      <w:r>
        <w:rPr>
          <w:b/>
        </w:rPr>
        <w:t>Original source (2016):</w:t>
      </w:r>
      <w:r>
        <w:t xml:space="preserve"> https://doi.org/10.1016/j.trpro.2016.12.096</w:t>
      </w:r>
    </w:p>
    <w:p>
      <w:pPr/>
      <w:r>
        <w:t>Original wording (abstract; indexed_source_text_not_full_document_verified): It specifically looks at a recent visioning process where this network of actors developed ideas on the future of mobility, particularly in the context of growth and development in one of the most powerful, economic Metropolitan Regions in Europe. The network propels the mobilities of ideas, concepts and perspectives on the future of mobility and transport in Munich.</w:t>
      </w:r>
    </w:p>
    <w:p>
      <w:pPr/>
      <w:r>
        <w:rPr>
          <w:b/>
        </w:rPr>
        <w:t>POSSIBLE 2026:</w:t>
      </w:r>
      <w:r>
        <w:t xml:space="preserve"> Monitoring the Screens: Current Challenges of Minority Language Media in the Context of the Council of Europe — https://doi.org/10.1163/15718115-bja10260</w:t>
      </w:r>
    </w:p>
    <w:p>
      <w:pPr/>
      <w:r>
        <w:rPr>
          <w:b/>
        </w:rPr>
        <w:t>Shared claim-specific concepts:</w:t>
      </w:r>
      <w:r>
        <w:t xml:space="preserve"> specifically, looks, recent, particularly, context; EU scope visible. This is a provisional connection, not an outcome finding.</w:t>
      </w:r>
    </w:p>
    <w:p>
      <w:pPr>
        <w:pStyle w:val="SourceNote"/>
      </w:pPr>
      <w:r>
        <w:rPr>
          <w:b/>
        </w:rPr>
        <w:t>Available abstract (not full text):</w:t>
      </w:r>
      <w:r>
        <w:t xml:space="preserve"> Abstract The rapidly changing media landscape affects all areas of society, but minoritized groups and media in minority languages can be particularly precarious. Therefore, after a short outlook on the relevant regulation and case-law in the context of the UN, the Council of Europe, the OSCE and the EU, this paper unpacks media trends and challenges minority language media faces in a post-Covid-19 era, then looks at how international monitoring handles the most recent challenges. Specifically, monitoring materials under the Framework Convention for the Protection of National Minorities and the European Charter for Regional or Minority Languages from the past five years are analysed with the aim to ascertain to what extent the Advisory Committee and the Committee of Experts are prepared to interpret media provisions in a way that satisfies the needs of changing times. Finally, the paper outlines precisely where Council of Europe monitoring could be strengthened.</w:t>
      </w:r>
    </w:p>
    <w:p>
      <w:pPr/>
      <w:r>
        <w:rPr>
          <w:b/>
        </w:rPr>
        <w:t>POSSIBLE 2024:</w:t>
      </w:r>
      <w:r>
        <w:t xml:space="preserve"> Un/seeing race:Articulating differences in governing people in Europe through multimodal methods — https://openalex.org/W7135537615</w:t>
      </w:r>
    </w:p>
    <w:p>
      <w:pPr/>
      <w:r>
        <w:rPr>
          <w:b/>
        </w:rPr>
        <w:t>Shared claim-specific concepts:</w:t>
      </w:r>
      <w:r>
        <w:t xml:space="preserve"> specifically, ideas, mobility; EU scope visible. This is a provisional connection, not an outcome finding.</w:t>
      </w:r>
    </w:p>
    <w:p>
      <w:pPr>
        <w:pStyle w:val="SourceNote"/>
      </w:pPr>
      <w:r>
        <w:rPr>
          <w:b/>
        </w:rPr>
        <w:t>Available abstract (not full text):</w:t>
      </w:r>
      <w:r>
        <w:t xml:space="preserve"> This dissertation examines ways in which technologies of vision used in governance enact race and racial otherness in Europe. Specifically, it focuses on how physical appearances, such as phenotypic markers, clothing, hairstyle, as well as smell, dialect, modes of travelling, databases and statistics play a role in knowing people and governing their mobility. Vision here refers not only to practices of identification but also to the production of physical appearances—a know-how of diverse kinds of markers of difference. Consequently, technologies of vision also refer to what the phenotype does and how it is produced as a conjunction between subject, technology and see-er. The first part of this dissertation examines the ways in which knowing “the Roma” in everyday bureaucratic and border police practices in Romania enacts racialised categories of people. The second part draws on empirical cases from the Netherlands and Greece to examine more broadly the enactments of race in practices of identification. The last three chapters of the dissertation are written in a multimodal format where I intertwine written and filmic paragraphs. Vision itself becomes a technology, this time not to produce or reinforce but to disturb and perhaps even undo ideas of racial otherness. By actively engaging the eyes of the viewer, I demonstrate that vision is always relational and partial and theref</w:t>
      </w:r>
    </w:p>
    <w:p>
      <w:pPr/>
      <w:r>
        <w:rPr>
          <w:b/>
        </w:rPr>
        <w:t>POSSIBLE 2024:</w:t>
      </w:r>
      <w:r>
        <w:t xml:space="preserve"> Sustainability and competition policy in Europe: recent developments — https://doi.org/10.1093/jeclap/lpae063</w:t>
      </w:r>
    </w:p>
    <w:p>
      <w:pPr/>
      <w:r>
        <w:rPr>
          <w:b/>
        </w:rPr>
        <w:t>Shared claim-specific concepts:</w:t>
      </w:r>
      <w:r>
        <w:t xml:space="preserve"> looks, recent, network, one; EU scope visible. This is a provisional connection, not an outcome finding.</w:t>
      </w:r>
    </w:p>
    <w:p>
      <w:pPr>
        <w:pStyle w:val="SourceNote"/>
      </w:pPr>
      <w:r>
        <w:rPr>
          <w:b/>
        </w:rPr>
        <w:t>Available abstract (not full text):</w:t>
      </w:r>
      <w:r>
        <w:t xml:space="preserve"> In the last year or so, further progress has been made integrating sustainability considerations into competition policy and enforcement in Europe. On sustainability co-operation agreements we have seen more guidelines being published (notably the UK with its ‘more permissive approach’ to ‘climate change agreements’) with many competition authorities providing quick, light touch, informal guidance for specific projects. Conversely, anti-competitive arrangements harmful to a sustainable future have been punished as cartels or an abuse of dominant position. This survey looks at the emerging thinking on sustainability and abuse of dominance and mergers before looking at the key challengers for the future. In last year’s survey1 I reported the amazing progress that had been made in integrating climate change and sustainability considerations into competition policy in recent years with most European competition authorities focused on it and bringing out policy statements and guidelines (and draft guidelines). This progress has continued with more guidelines being produced or finalized and cases being decided. We have also seen more competition authorities around the world emulating the progress made in Europe (with the notable exception of the US). That said, the last year has in some ways being one of consolidation in the area of sustainability cooperation agreements as authoritie</w:t>
      </w:r>
    </w:p>
    <w:p>
      <w:pPr/>
      <w:r>
        <w:rPr>
          <w:b/>
        </w:rPr>
        <w:t>POSSIBLE 2024:</w:t>
      </w:r>
      <w:r>
        <w:t xml:space="preserve"> Learning in European Administrative Networks: a process to all or only to a few? — https://doi.org/10.1017/s0143814x24000011</w:t>
      </w:r>
    </w:p>
    <w:p>
      <w:pPr/>
      <w:r>
        <w:rPr>
          <w:b/>
        </w:rPr>
        <w:t>Shared claim-specific concepts:</w:t>
      </w:r>
      <w:r>
        <w:t xml:space="preserve"> process, network, actors; EU scope visible. This is a provisional connection, not an outcome finding.</w:t>
      </w:r>
    </w:p>
    <w:p>
      <w:pPr>
        <w:pStyle w:val="SourceNote"/>
      </w:pPr>
      <w:r>
        <w:rPr>
          <w:b/>
        </w:rPr>
        <w:t>Available abstract (not full text):</w:t>
      </w:r>
      <w:r>
        <w:t xml:space="preserve"> Abstract Through the pooling and exchange of resources such as expertise and knowledge between network participants, European Administrative Networks (EANs) are expected to play a significant role in enhancing policy learning. Yet, scarce empirical evidence has been presented concerning the learning process taking place within EANs. This paper addresses this gap through the analysis of the Network of the Heads of European Environmental Protection Agencies (EPA Network). Based on a unique survey dataset, social network analysis and exponential random graph models are used to trace the interaction patterns within the network and test which factors shape them. The analysis highlights the relevance of national political factors – i.e. the preferences of national governments and ministries – in shaping the learning processes taking place in the EPA Network. While the network is an important venue for disseminating knowledge between directly and indirectly connected actors, learning processes are mainly limited to like-minded peers.</w:t>
      </w:r>
    </w:p>
    <w:p>
      <w:pPr/>
      <w:r>
        <w:rPr>
          <w:b/>
        </w:rPr>
        <w:t>POSSIBLE 2024:</w:t>
      </w:r>
      <w:r>
        <w:t xml:space="preserve"> Understanding and simulating cropland and non-cropland burning in Europe using the BASE (Burnt Area Simulator for Europe) model — https://doi.org/10.5194/bg-21-5539-2024</w:t>
      </w:r>
    </w:p>
    <w:p>
      <w:pPr/>
      <w:r>
        <w:rPr>
          <w:b/>
        </w:rPr>
        <w:t>Shared claim-specific concepts:</w:t>
      </w:r>
      <w:r>
        <w:t xml:space="preserve"> recent, regions; EU scope visible. This is a provisional connection, not an outcome finding.</w:t>
      </w:r>
    </w:p>
    <w:p>
      <w:pPr>
        <w:pStyle w:val="SourceNote"/>
      </w:pPr>
      <w:r>
        <w:rPr>
          <w:b/>
        </w:rPr>
        <w:t>Available abstract (not full text):</w:t>
      </w:r>
      <w:r>
        <w:t xml:space="preserve"> Abstract. Fire interacts with many parts of the Earth system. However, its drivers are myriad and complex, interacting differently in different regions depending on prevailing climate regimes, vegetation types, socioeconomic development, and land use and management. Europe is facing strong increases in projected meteorological fire danger as a consequence of climate change, and has experienced extreme fire seasons and events in recent years. Here, we focus on understanding and simulating burnt area across a European study domain using remote sensing data and Generalised Linear Models (GLMs). We first examined fire occurrence across land cover types and found that all non-cropland vegetation types (NCV, comprising 26 % of burnt area) burned with similar spatial and temporal patterns, which were very distinct from those in croplands (74 % of burned area). We then used GLMs to predict cropland and NCV burnt area at ~9x9 km and monthly spatial and temporal resolution, respectively, which together we termed BASE (Burnt Area Simulator for Europe). Compared to satellite burned area products, BASE effectively captured the general spatial and temporal patterns of burning, explaining 32 % (NCV) and 36 % (cropland) of the deviance, and gave similar performance of state-of-the-art global fire models. The most important drivers were fire weather and monthly indices derived from gross primar</w:t>
      </w:r>
    </w:p>
    <w:p>
      <w:pPr/>
      <w:r>
        <w:rPr>
          <w:b/>
        </w:rPr>
        <w:t>POSSIBLE 2023:</w:t>
      </w:r>
      <w:r>
        <w:t xml:space="preserve"> Sensor Networks, Data Processing, and Inference: The Hydrology Challenge — https://doi.org/10.1109/access.2023.3318739</w:t>
      </w:r>
    </w:p>
    <w:p>
      <w:pPr/>
      <w:r>
        <w:rPr>
          <w:b/>
        </w:rPr>
        <w:t>Shared claim-specific concepts:</w:t>
      </w:r>
      <w:r>
        <w:t xml:space="preserve"> specifically, concepts; EU scope visible. This is a provisional connection, not an outcome finding.</w:t>
      </w:r>
    </w:p>
    <w:p>
      <w:pPr>
        <w:pStyle w:val="SourceNote"/>
      </w:pPr>
      <w:r>
        <w:rPr>
          <w:b/>
        </w:rPr>
        <w:t>Available abstract (not full text):</w:t>
      </w:r>
      <w:r>
        <w:t xml:space="preserve"> In the last years, many European countries have experienced the effects of climate change, in the form of a scarcity of drinking water resources, prolonged periods of drought, and extremely heavy rainfall, with unprecedented dramatic environmental, economic, and social costs. Therefore, understanding, modeling, and predicting the movement and distribution of water on Earth, and effectively managing water resources are problems of paramount importance. In this article, we discuss the fundamental role that sensing technologies, data processing algorithms, and inference based on machine learning techniques can have in modern hydrology and the many challenges that still need to be addressed to improve the accuracy and reduce the complexity of current hydrology models. More specifically, we overview the main solutions proposed in the literature to monitor, analyze and predict hydrological processes, and present a selection of results obtained from empirical data sets to ground the main concepts and substantiate the dissertation. Finally, we conclude our article by discussing open problems and possible avenues for future research.</w:t>
      </w:r>
    </w:p>
    <w:p>
      <w:pPr/>
      <w:r>
        <w:rPr>
          <w:b/>
        </w:rPr>
        <w:t>POSSIBLE 2023:</w:t>
      </w:r>
      <w:r>
        <w:t xml:space="preserve"> An analytic strategy for data processing of multimode networks — https://doi.org/10.1007/s11634-023-00556-4</w:t>
      </w:r>
    </w:p>
    <w:p>
      <w:pPr/>
      <w:r>
        <w:rPr>
          <w:b/>
        </w:rPr>
        <w:t>Shared claim-specific concepts:</w:t>
      </w:r>
      <w:r>
        <w:t xml:space="preserve"> network, actors, mobility, context, concepts; EU scope visible. This is a provisional connection, not an outcome finding.</w:t>
      </w:r>
    </w:p>
    <w:p>
      <w:pPr>
        <w:pStyle w:val="SourceNote"/>
      </w:pPr>
      <w:r>
        <w:rPr>
          <w:b/>
        </w:rPr>
        <w:t>Available abstract (not full text):</w:t>
      </w:r>
      <w:r>
        <w:t xml:space="preserve"> Abstract Complex network data structures are considered to capture the richness of social phenomena and real-life data settings. Multipartite networks are an example in which various scenarios are represented by different types of relations, actors, or modes. Within this context, the present contribution aims at discussing an analytic strategy for simplifying multipartite networks in which different sets of nodes are linked. By considering the connection of multimode networks and hypergraphs as theoretical concepts, a three-step procedure is introduced to simplify, normalize, and filter network data structures. Thus, a model-based approach is introduced for derived bipartite weighted networks in order to extract statistically significant links. The usefulness of the strategy is demonstrated in handling two application fields, that is, intranational student mobility in higher education and research collaboration in European framework programs. Finally, both examples are explored using community detection algorithms to determine the presence of groups by mixing up different modes.</w:t>
      </w:r>
    </w:p>
    <w:p>
      <w:pPr/>
      <w:r>
        <w:rPr>
          <w:b/>
        </w:rPr>
        <w:t>POSSIBLE 2022:</w:t>
      </w:r>
      <w:r>
        <w:t xml:space="preserve"> Recent trends in publications of economic historians in Europe and North America (1980–2019): an empirical analysis — https://doi.org/10.1007/s11698-022-00245-w</w:t>
      </w:r>
    </w:p>
    <w:p>
      <w:pPr/>
      <w:r>
        <w:rPr>
          <w:b/>
        </w:rPr>
        <w:t>Shared claim-specific concepts:</w:t>
      </w:r>
      <w:r>
        <w:t xml:space="preserve"> recent, network; EU scope visible. This is a provisional connection, not an outcome finding.</w:t>
      </w:r>
    </w:p>
    <w:p>
      <w:pPr>
        <w:pStyle w:val="SourceNote"/>
      </w:pPr>
      <w:r>
        <w:rPr>
          <w:b/>
        </w:rPr>
        <w:t>Available abstract (not full text):</w:t>
      </w:r>
      <w:r>
        <w:t xml:space="preserve"> Abstract This article analyses the integration of economic history into economics using a unique dataset containing 11,143 articles written by 919 economic historians and published between 1980 and 2019 in leading journals; we also analyzed the authors’ biographical information. Using a probit regression, we find that since 1980, economic historians have increased their likelihood of publishing in Economics or Finance Journals (EFJs) by 12 points. This integration is more marked in North America than in Europe because North American economic historians are more likely to be trained in the discipline of economics. In contrast, a significant share of scholars in Europe are trained in the discipline of economic history. Network visualizations confirm these regional differences: citations to EFJs are much more central in North American scholars’ work. Our findings support Robert Margo’s claim that economic history is currently integrated into economics more often in publications in North America than in Europe.</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looks, one, concepts;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2021:</w:t>
      </w:r>
      <w:r>
        <w:t xml:space="preserve"> Mediatization Of Electoral Processes In Europe — https://doi.org/10.15405/epsbs.2021.05.02.150</w:t>
      </w:r>
    </w:p>
    <w:p>
      <w:pPr/>
      <w:r>
        <w:rPr>
          <w:b/>
        </w:rPr>
        <w:t>Shared claim-specific concepts:</w:t>
      </w:r>
      <w:r>
        <w:t xml:space="preserve"> network, ideas, one; EU scope visible. This is a provisional connection, not an outcome finding.</w:t>
      </w:r>
    </w:p>
    <w:p>
      <w:pPr>
        <w:pStyle w:val="SourceNote"/>
      </w:pPr>
      <w:r>
        <w:rPr>
          <w:b/>
        </w:rPr>
        <w:t>Available abstract (not full text):</w:t>
      </w:r>
      <w:r>
        <w:t xml:space="preserve"> The material considers political manipulation in social networks, which is one of the important political aspects of communication in election campaigns. The aim of the study is to identify the features of the use of political manipulation technologies in European social networks based on an analysis of the presidential elections in France. The material demonstrates the different uses of social networks (Facebook, Twitter, Telegram and others) in the presidential election campaigns in France in 2012 and 2017 with an emphasis on the younger generation, due to the greatest susceptibility to hidden management, because they are more impulsive and do not have distinct life landmarks. Social networks and platforms are considered as a tool for changing and complementing traditional media. Political programs are considered as a start to the stream of comments on the social network Twitter on television; joining a TV audience to a social network for a detailed analysis of the biography of politicians; considered television as a mediator of ideas in this case. The material also provides an example of an analysis of the digitalization risks of the election campaign in France during the presidential election, the use of specially created computer games, as well as bots during election campaigns. The material in some cases compares the use of social networks in France and Russia, a forecast</w:t>
      </w:r>
    </w:p>
    <w:p>
      <w:pPr/>
      <w:r>
        <w:rPr>
          <w:b/>
        </w:rPr>
        <w:t>POSSIBLE 2021:</w:t>
      </w:r>
      <w:r>
        <w:t xml:space="preserve"> AI Hubs: Europe and CANZUK — https://doi.org/10.51593/20200061</w:t>
      </w:r>
    </w:p>
    <w:p>
      <w:pPr/>
      <w:r>
        <w:rPr>
          <w:b/>
        </w:rPr>
        <w:t>Shared claim-specific concepts:</w:t>
      </w:r>
      <w:r>
        <w:t xml:space="preserve"> looks, regions; EU scope visible. This is a provisional connection, not an outcome finding.</w:t>
      </w:r>
    </w:p>
    <w:p>
      <w:pPr>
        <w:pStyle w:val="SourceNote"/>
      </w:pPr>
      <w:r>
        <w:rPr>
          <w:b/>
        </w:rPr>
        <w:t>Available abstract (not full text):</w:t>
      </w:r>
      <w:r>
        <w:t xml:space="preserve"> U.S. policymakers need to understand the landscape of artificial intelligence talent and investment as AI becomes increasingly important to national and economic security. This knowledge is critical as leaders develop new alliances and work to curb China’s growing influence. As an initial effort, an earlier CSET report, “AI Hubs in the United States,” examined the domestic AI ecosystem by mapping where U.S. AI talent is produced, where it is concentrated, and where AI private equity funding goes. Given the global nature of the AI ecosystem and the importance of international talent flows, this paper looks for the centers of AI talent and investment in regions and countries that are key U.S. partners: Europe and the CANZUK countries (Canada, Australia, New Zealand, and the United Kingdom).</w:t>
      </w:r>
    </w:p>
    <w:p>
      <w:pPr/>
      <w:r>
        <w:rPr>
          <w:b/>
        </w:rPr>
        <w:t>POSSIBLE 2020:</w:t>
      </w:r>
      <w:r>
        <w:t xml:space="preserve"> Recent Evolutions of Gender, State Feminism and Care Models in Latin America and Europe — https://doi.org/10.1007/978-3-030-48442-2_12</w:t>
      </w:r>
    </w:p>
    <w:p>
      <w:pPr/>
      <w:r>
        <w:rPr>
          <w:b/>
        </w:rPr>
        <w:t>Shared claim-specific concepts:</w:t>
      </w:r>
      <w:r>
        <w:t xml:space="preserve"> recent, process, one; EU scope visible. This is a provisional connection, not an outcome finding.</w:t>
      </w:r>
    </w:p>
    <w:p>
      <w:pPr>
        <w:pStyle w:val="SourceNote"/>
      </w:pPr>
      <w:r>
        <w:rPr>
          <w:b/>
        </w:rPr>
        <w:t>Available abstract (not full text):</w:t>
      </w:r>
      <w:r>
        <w:t xml:space="preserve"> Abstract This chapter presents and characterises the way in which, in the twenty-first century, after years of feminist struggles inside and outside of institutions, gender relations are organised in the different countries of the INCASI project (on the European side, Spain, Italy, Finland, France and the United Kingdom, on the side of the South American Southern Cone, Argentina, Brazil, Chile and Uruguay). It pays special attention to the implementation of feminist issues on political agendas, and in particular the assignment of women to unpaid care work—an aspect of the power continuum that we look to relate to other aspects. Gradually and for almost a century all countries in both continents have granted women the status of subjects, citizens and employees. However, the conditions, challenges and timelines of this process differ considerably from one continent to another, so they need to be addressed separately. The neoliberal era did not have the same impact in Europe as it did in South America (nor was it exactly the same between particular European countries or among South American ones).</w:t>
      </w:r>
    </w:p>
    <w:p>
      <w:pPr>
        <w:pStyle w:val="Heading2"/>
      </w:pPr>
      <w:r>
        <w:t>856. The Future of European Labour Law and the Right to Employability</w:t>
      </w:r>
    </w:p>
    <w:p>
      <w:pPr>
        <w:pStyle w:val="SourceNote"/>
      </w:pPr>
      <w:r>
        <w:rPr>
          <w:b/>
        </w:rPr>
        <w:t>Original source (2016):</w:t>
      </w:r>
      <w:r>
        <w:t xml:space="preserve"> https://doi.org/10.1177/201395251600700311</w:t>
      </w:r>
    </w:p>
    <w:p>
      <w:pPr/>
      <w:r>
        <w:t>Original wording (abstract; indexed_source_text_not_full_document_verified): In view of an evaluation of the impact of the Council's Recommendation of December 2012 on the validation of informal and non-formal learning (as well as its possible review expected for 2019), the paper offers some preliminary elements for evaluating the relevance, the efficacy, and the consistency of European action in this field and speculates about the likely direction of future developments.</w:t>
      </w:r>
    </w:p>
    <w:p>
      <w:pPr/>
      <w:r>
        <w:rPr>
          <w:b/>
        </w:rPr>
        <w:t>POSSIBLE 2025:</w:t>
      </w:r>
      <w:r>
        <w:t xml:space="preserve"> Recommendations for digital inclusion in the use of European digital public services — https://doi.org/10.1057/s41599-025-04576-7</w:t>
      </w:r>
    </w:p>
    <w:p>
      <w:pPr/>
      <w:r>
        <w:rPr>
          <w:b/>
        </w:rPr>
        <w:t>Shared claim-specific concepts:</w:t>
      </w:r>
      <w:r>
        <w:t xml:space="preserve"> review, evaluating; EU scope visible. This is a provisional connection, not an outcome finding.</w:t>
      </w:r>
    </w:p>
    <w:p>
      <w:pPr>
        <w:pStyle w:val="SourceNote"/>
      </w:pPr>
      <w:r>
        <w:rPr>
          <w:b/>
        </w:rPr>
        <w:t>Available abstract (not full text):</w:t>
      </w:r>
      <w:r>
        <w:t xml:space="preserve"> This study examines digital public services within the European Union, focusing on digital inclusion and the barriers preventing widespread e-government adoption. A significant knowledge gap exists in understanding the interaction between citizens and digital public services, particularly for vulnerable groups, and in evaluating the impact of regional and sector-specific factors. The research employs a mixed-methods approach, including a systematic review based on PRISMA methodology, a document analysis of the digital and programs of the European Union and the Member States, 33 semi-structured expert interviews, and a survey targeting Spanish intermediate leaders, to explore digital divides in access, skills, and outcomes. Key findings reveal that barriers such as limited digital skills, access to technology, and inadequate service design disproportionately affect the elderly, low-income populations, and those with minimal education. Eighteen recommendations have been proposed, associated to five indicators of the model proposed to evaluate the key dimensions of e- government adoption and digital inclusion: internet access, digital skills, user interaction, social drivers and barriers, and outcomes. The recommendations include, among others, enhancing digital skills through tailored training programs, involving the third sector, simplifying service interfaces, and promoting a h</w:t>
      </w:r>
    </w:p>
    <w:p>
      <w:pPr/>
      <w:r>
        <w:rPr>
          <w:b/>
        </w:rPr>
        <w:t>POSSIBLE 2025:</w:t>
      </w:r>
      <w:r>
        <w:t xml:space="preserve"> Guiding AI in radiology: ESR’s recommendations for effective implementation of the European AI Act — https://doi.org/10.1186/s13244-025-01905-x</w:t>
      </w:r>
    </w:p>
    <w:p>
      <w:pPr/>
      <w:r>
        <w:rPr>
          <w:b/>
        </w:rPr>
        <w:t>Shared claim-specific concepts:</w:t>
      </w:r>
      <w:r>
        <w:t xml:space="preserve"> offers, relevance, field; EU scope visible. This is a provisional connection, not an outcome finding.</w:t>
      </w:r>
    </w:p>
    <w:p>
      <w:pPr>
        <w:pStyle w:val="SourceNote"/>
      </w:pPr>
      <w:r>
        <w:rPr>
          <w:b/>
        </w:rPr>
        <w:t>Available abstract (not full text):</w:t>
      </w:r>
      <w:r>
        <w:t xml:space="preserve"> This statement has been produced within the European Society of Radiology AI Working Group and identifies the key policies of the EU AI Act as they pertain to medical imaging. It offers specific recommendations to policymakers and the professional community for the effective implementation of the legislation, addressing potential gaps and uncertainties. Key areas include AI literacy, classification rules for high-risk AI systems, data governance, transparency, human oversight, quality management, deployer obligations, regulatory sandboxes, post-market monitoring, information sharing, and market surveillance. By proposing actionable solutions, the statement highlights ESR's readiness in supporting appropriate application of the AI Act in the field, promoting clarity and the effective integration of AI technologies to ensure their impactful and safe use for the benefit of Europe's patients. CRITICAL RELEVANCE STATEMENT: With the impending arrival of the EU AI Act, it is critical for stakeholders to provide timely input on its key areas. This statement offers expert feedback on the aspects of the EU AI Act that will affect medical imaging. KEY POINTS: The AI Act will significantly impact the field of medical imaging, shaping how AI technologies are used and regulated. The ESR is committed to develop guidelines and best practices, collaborating on the implementation process. This s</w:t>
      </w:r>
    </w:p>
    <w:p>
      <w:pPr/>
      <w:r>
        <w:rPr>
          <w:b/>
        </w:rPr>
        <w:t>POSSIBLE 2025:</w:t>
      </w:r>
      <w:r>
        <w:t xml:space="preserve"> Impact of insomnia: Cultural and societal aspects from a European survey — https://doi.org/10.1016/j.encep.2025.01.004</w:t>
      </w:r>
    </w:p>
    <w:p>
      <w:pPr/>
      <w:r>
        <w:rPr>
          <w:b/>
        </w:rPr>
        <w:t>Shared claim-specific concepts:</w:t>
      </w:r>
      <w:r>
        <w:t xml:space="preserve"> elements, about; EU scope visible. This is a provisional connection, not an outcome finding.</w:t>
      </w:r>
    </w:p>
    <w:p>
      <w:pPr>
        <w:pStyle w:val="SourceNote"/>
      </w:pPr>
      <w:r>
        <w:rPr>
          <w:b/>
        </w:rPr>
        <w:t>Available abstract (not full text):</w:t>
      </w:r>
      <w:r>
        <w:t xml:space="preserve"> This European study explored the cultural and societal aspects of chronic insomnia by means of a survey undertaken in France, Germany, Italy, Spain, and the United Kingdom. The primary objectives were to understand the impact of insomnia on the daily lives of patients, both personally and professionally, and to evaluate the patients’ perceptions and coping strategies thus identifying cultural differences in the management of this disorder. Based on online panels targeting insomnia sufferers, the survey included 755 patients aged 35 to 65 years with moderate to severe insomnia for at least three months, occurring at least three times per week (DSM-5 criteria for insomnia disorder, ISI score 15–28). Topics covered included the impact of insomnia on daily life, strategies for coping and managing insomnia, and patients’ perceptions and views of insomnia. A total of 755 patients completed the questionnaire. Most respondents were women (70%) and between 35 and 49 years of age (50%). About half of the patients (49%) had severe insomnia, with 49% experiencing it for over three years. Nearly 70% did not initially consider their insomnia serious, and 73% believed their condition would improve over time. Stress (39%), difficulty relaxing in the evening (37%), and a rapid flow of thoughts (37%) were identified as the main causes of insomnia. Insomnia was shown to significantly affect daily</w:t>
      </w:r>
    </w:p>
    <w:p>
      <w:pPr/>
      <w:r>
        <w:rPr>
          <w:b/>
        </w:rPr>
        <w:t>POSSIBLE 2024:</w:t>
      </w:r>
      <w:r>
        <w:t xml:space="preserve"> More (of) Democracy: European Citizens’ Views and Evaluations of Democracy — https://doi.org/10.46630/gsoc.32.2024.01</w:t>
      </w:r>
    </w:p>
    <w:p>
      <w:pPr/>
      <w:r>
        <w:rPr>
          <w:b/>
        </w:rPr>
        <w:t>Shared claim-specific concepts:</w:t>
      </w:r>
      <w:r>
        <w:t xml:space="preserve"> view, well, elements; EU scope visible. This is a provisional connection, not an outcome finding.</w:t>
      </w:r>
    </w:p>
    <w:p>
      <w:pPr>
        <w:pStyle w:val="SourceNote"/>
      </w:pPr>
      <w:r>
        <w:rPr>
          <w:b/>
        </w:rPr>
        <w:t>Available abstract (not full text):</w:t>
      </w:r>
      <w:r>
        <w:t xml:space="preserve"> Social and political theory recognizes several conjunctural, as well as long-term factors that shape how citizens conceptualize democracy and what they expect from it. Based on Round 10 of the European Social Survey, we analyse how Europeans view and evaluate democracy, distinguishing liberal (basic) model and several additions, such as social-democratic, participatory and populist models (that we analyse integrated as alternative model of democracy). We explore whether liberal and alternative models of democracy are mutually complementary or exclusionary, and which model prevails, but also to what extent there are discrepancies between the normative elements and evaluated outcomes. The paper examines whether and how the length of historical experience with democracy (operationalized through different waves of democratization) influences the predominant normative of democracy, as well as evaluations of the implemented standards. Finally, in the last section, the aim of the analysis is to draw conclusions on the profile of both proponents of liberal and alternative models of democracy but also of critical citizens, who value democracy as an ideal, while remaining wary in terms of its empirical manifestations.</w:t>
      </w:r>
    </w:p>
    <w:p>
      <w:pPr/>
      <w:r>
        <w:rPr>
          <w:b/>
        </w:rPr>
        <w:t>POSSIBLE 2024:</w:t>
      </w:r>
      <w:r>
        <w:t xml:space="preserve"> Evaluation of the quality and impact of online learning through the SAFE EUROPE webinars — https://doi.org/10.1016/j.radi.2024.03.011</w:t>
      </w:r>
    </w:p>
    <w:p>
      <w:pPr/>
      <w:r>
        <w:rPr>
          <w:b/>
        </w:rPr>
        <w:t>Shared claim-specific concepts:</w:t>
      </w:r>
      <w:r>
        <w:t xml:space="preserve"> evaluation, learning; EU scope visible. This is a provisional connection, not an outcome finding.</w:t>
      </w:r>
    </w:p>
    <w:p>
      <w:pPr>
        <w:pStyle w:val="SourceNote"/>
      </w:pPr>
      <w:r>
        <w:rPr>
          <w:b/>
        </w:rPr>
        <w:t>Available abstract (not full text):</w:t>
      </w:r>
      <w:r>
        <w:t xml:space="preserve"> INTRODUCTION: The SAFE EUROPE project, a European-funded project, addressed educational gaps of Therapeutic Radiographers/Radiation Therapists (TR/RTTs) by offering a series of free webinars. This study aimed to assess the quality of these webinars and their impact on professional practice. METHODS: Data collection involved two methods: an automated feedback form administered after each webinar, supplemented by a survey disseminated through social media. The collected data encompassed attendance statistics, participants' professions and geographic locations, webinar quality assessment, the acquisition of new knowledge and skills, the application of this newfound knowledge in practice, and the likelihood of recommending these webinars. Descriptive statistics and thematic analysis were used to analyse the quantitative and qualitative data, respectively. Ethical approval for the study was obtained. RESULTS: 11,286 individuals from 107 countries participated in 18 webinars. Despite 72.7% being radiographers, a diverse array of professionals attended the webinars, including medical physicists, oncologists, radiologists, and academics. Remarkably, 98.7% of respondents rated the webinar quality as either good or excellent. The average rating for the likelihood of recommending these webinars to colleagues was 8.96/10. A substantial proportion of respondents expressed agreement or stron</w:t>
      </w:r>
    </w:p>
    <w:p>
      <w:pPr/>
      <w:r>
        <w:rPr>
          <w:b/>
        </w:rPr>
        <w:t>POSSIBLE 2023:</w:t>
      </w:r>
      <w:r>
        <w:t xml:space="preserve"> European expert recommendations on clinical investigation and evaluation of high‐risk medical devices for children — https://doi.org/10.1111/apa.16919</w:t>
      </w:r>
    </w:p>
    <w:p>
      <w:pPr/>
      <w:r>
        <w:rPr>
          <w:b/>
        </w:rPr>
        <w:t>Shared claim-specific concepts:</w:t>
      </w:r>
      <w:r>
        <w:t xml:space="preserve"> evaluation, review, evaluating; EU scope visible. This is a provisional connection, not an outcome finding.</w:t>
      </w:r>
    </w:p>
    <w:p>
      <w:pPr>
        <w:pStyle w:val="SourceNote"/>
      </w:pPr>
      <w:r>
        <w:rPr>
          <w:b/>
        </w:rPr>
        <w:t>Available abstract (not full text):</w:t>
      </w:r>
      <w:r>
        <w:t xml:space="preserve"> Several high-risk medical devices for children have become unavailable in the European Union (EU), since requirements and costs for device certification increased markedly due to the EU Medical Device Regulation. The EU-funded CORE-MD project held a workshop in January 2023 with experts from various child health specialties, representatives of European paediatric associations, a regulatory authority and the European Commission Directorate General Health and Food Safety. A virtual follow-up meeting took place in March 2023. We developed recommendations for investigation of high-risk medical devices for children building on participants' expertise and results of a scoping review of clinical trials on high-risk medical devices in children. Approaches for evaluating and certifying high-risk medical devices for market introduction are proposed.</w:t>
      </w:r>
    </w:p>
    <w:p>
      <w:pPr/>
      <w:r>
        <w:rPr>
          <w:b/>
        </w:rPr>
        <w:t>POSSIBLE 2023:</w:t>
      </w:r>
      <w:r>
        <w:t xml:space="preserve"> Three years of COVID-19 and life satisfaction in Europe: A macro view — https://doi.org/10.1073/pnas.2300717120</w:t>
      </w:r>
    </w:p>
    <w:p>
      <w:pPr/>
      <w:r>
        <w:rPr>
          <w:b/>
        </w:rPr>
        <w:t>Shared claim-specific concepts:</w:t>
      </w:r>
      <w:r>
        <w:t xml:space="preserve"> view, about; EU scope visible. This is a provisional connection, not an outcome finding.</w:t>
      </w:r>
    </w:p>
    <w:p>
      <w:pPr>
        <w:pStyle w:val="SourceNote"/>
      </w:pPr>
      <w:r>
        <w:rPr>
          <w:b/>
        </w:rPr>
        <w:t>Available abstract (not full text):</w:t>
      </w:r>
      <w:r>
        <w:t xml:space="preserve"> Every country in Europe experienced an adverse impact from the COVID-19 pandemic on life satisfaction, though on average, satisfaction with life in the summer of 2022 is about the same as the pre-pandemic value in the autumn of 2019. Typically, an upsurge in the severity of the pandemic (measured by the number of COVID-related deaths) is associated with declining life satisfaction and an ebbing, with increasing life satisfaction. Of the three waves of the pandemic between March 2020 and the autumn of 2022, the most severe impact typically occurred in 2021 during the second wave; in the third wave, the response declined due to the spread of effective vaccines and the takeover of omicron variants.</w:t>
      </w:r>
    </w:p>
    <w:p>
      <w:pPr/>
      <w:r>
        <w:rPr>
          <w:b/>
        </w:rPr>
        <w:t>POSSIBLE 2022:</w:t>
      </w:r>
      <w:r>
        <w:t xml:space="preserve"> A critical perspective on the European Commission’s publications ‘Evaluating the impact of nature-based solutions’ — https://doi.org/10.1016/j.nbsj.2022.100027</w:t>
      </w:r>
    </w:p>
    <w:p>
      <w:pPr/>
      <w:r>
        <w:rPr>
          <w:b/>
        </w:rPr>
        <w:t>Shared claim-specific concepts:</w:t>
      </w:r>
      <w:r>
        <w:t xml:space="preserve"> view, evaluation, review, evaluating, relevance, field; EU scope visible. This is a provisional connection, not an outcome finding.</w:t>
      </w:r>
    </w:p>
    <w:p>
      <w:pPr>
        <w:pStyle w:val="SourceNote"/>
      </w:pPr>
      <w:r>
        <w:rPr>
          <w:b/>
        </w:rPr>
        <w:t>Available abstract (not full text):</w:t>
      </w:r>
      <w:r>
        <w:t xml:space="preserve"> The European Commission’s (EC) double publication ‘Evaluating the impact of nature-based solutions’ (NBS) can be considered as a milestone for the adoption and evaluation of these solutions, which reportedly have a significant potential for climate change mitigation or the improvement of social justice. This optimistic view, however, is not equally held by everyone: a widespread scepticism over the NBS concept makes clear that the debate about the potential and convenience of NBS is far from over. Here we review some of this criticism and put this EC double document (handbook + appendix) under deep scrutiny, with the aim of proposing improvements for it and as an opportunity to discuss general aspects of the NBS field. In particular, we base our criticism on four perspectives: climate emergency, economy-driven ideology, ecolinguistics and the presence of logic pitfalls. The general aim of this article is to discuss the relevance of the NBS concepts present in the EC texts in relation to the climate crisis.</w:t>
      </w:r>
    </w:p>
    <w:p>
      <w:pPr/>
      <w:r>
        <w:rPr>
          <w:b/>
        </w:rPr>
        <w:t>POSSIBLE 2022:</w:t>
      </w:r>
      <w:r>
        <w:t xml:space="preserve"> The expected impact of cultivated and plant-based meats on jobs: the views of experts from Brazil, the United States and Europe — https://doi.org/10.1057/s41599-022-01316-z</w:t>
      </w:r>
    </w:p>
    <w:p>
      <w:pPr/>
      <w:r>
        <w:rPr>
          <w:b/>
        </w:rPr>
        <w:t>Shared claim-specific concepts:</w:t>
      </w:r>
      <w:r>
        <w:t xml:space="preserve"> view, expected, about; EU scope visible. This is a provisional connection, not an outcome finding.</w:t>
      </w:r>
    </w:p>
    <w:p>
      <w:pPr>
        <w:pStyle w:val="SourceNote"/>
      </w:pPr>
      <w:r>
        <w:rPr>
          <w:b/>
        </w:rPr>
        <w:t>Available abstract (not full text):</w:t>
      </w:r>
      <w:r>
        <w:t xml:space="preserve"> Abstract Cultivated and plant-based meats are substitutes for conventional animal meat products. As radical innovations, they may trigger profound social and economic changes. Despite the many benefits of alternative meats, such as environmental sustainability, animal welfare, human health and food safety, some unintended consequences remain unexplored in the literature. In this paper, we studied the potential impact of the meat production system transition on jobs. Using a survey, we compared opinions regarding the impact on jobs in Brazil, the United States and Europe, according to alternative protein experts. Our results showed the potential of plant-based and cultivated meat production to create new and higher-skilled jobs. The data analysis also suggested that the impact of novel food production systems on jobs in conventional meat production may be different for each stage of the value chain. In particular, the results showed a pressure point on animal farmers, who may be most affected in a fast transition scenario. Considering the studied geographical contexts, Brazilian professionals were more optimistic about the potential of plant-based and cultivated meat production to create new jobs. Our findings may provide new insights for the development of policies, measures and strategies that promote job creation, skills and income in view of the ongoing transition.</w:t>
      </w:r>
    </w:p>
    <w:p>
      <w:pPr/>
      <w:r>
        <w:rPr>
          <w:b/>
        </w:rPr>
        <w:t>POSSIBLE 2022:</w:t>
      </w:r>
      <w:r>
        <w:t xml:space="preserve"> CoAct D7.4 Final Impact Assessment Report: Evaluation results, overall impact assessment and final reflections on co-evaluation — https://doi.org/10.5281/zenodo.7468545</w:t>
      </w:r>
    </w:p>
    <w:p>
      <w:pPr/>
      <w:r>
        <w:rPr>
          <w:b/>
        </w:rPr>
        <w:t>Shared claim-specific concepts:</w:t>
      </w:r>
      <w:r>
        <w:t xml:space="preserve"> view, evaluation, well, review; EU scope visible. This is a provisional connection, not an outcome finding.</w:t>
      </w:r>
    </w:p>
    <w:p>
      <w:pPr>
        <w:pStyle w:val="SourceNote"/>
      </w:pPr>
      <w:r>
        <w:rPr>
          <w:b/>
        </w:rPr>
        <w:t>Available abstract (not full text):</w:t>
      </w:r>
      <w:r>
        <w:t xml:space="preserve"> The aim of the evaluation and impact assessment activities in the CoAct project has been twofold. On the one hand, a process-oriented view should help to reflect on how the participatory research process is implemented across all relevant stakeholders and what can be learned and adapted from the collected feedback and insights. This formative evaluation led to insights on the Citizen Social Science co-research process as well as drivers and drivers for participation. Concrete findings have been discussed regularly in the project consortium and have been documented in detail in D7.2 (Kieslinger et al. 2021). On the other hand, the impact assessment activities - or summative evaluation - were aimed to bring evidence of the impact that the project’s Citizen Social Science activities have on the involved actors, such as Co-Researcher s, citizen scientists, Knowledge Coalition members, and professional researchers, as well as on their socio-cultural contexts, and the scientific discourse at large, in a collaborative and participatory manner. This document focuses on the latter, the impact achieved during the project and beyond. DISCLAIMER: The present Project Deliverable has been submitted to the European Commission for review. The information and views set out in this report are those of the author(s) and do not necessarily reflect the official opinion of the European Union. Neithe</w:t>
      </w:r>
    </w:p>
    <w:p>
      <w:pPr/>
      <w:r>
        <w:rPr>
          <w:b/>
        </w:rPr>
        <w:t>POSSIBLE 2021:</w:t>
      </w:r>
      <w:r>
        <w:t xml:space="preserve"> Evaluating the systematic risk and its impact on profitability and liquidity; evidence from European countries — https://doi.org/10.1504/ijesb.2021.117342</w:t>
      </w:r>
    </w:p>
    <w:p>
      <w:pPr/>
      <w:r>
        <w:rPr>
          <w:b/>
        </w:rPr>
        <w:t>Shared claim-specific concepts:</w:t>
      </w:r>
      <w:r>
        <w:t xml:space="preserve"> view, evaluation, expected, evaluating; EU scope visible. This is a provisional connection, not an outcome finding.</w:t>
      </w:r>
    </w:p>
    <w:p>
      <w:pPr>
        <w:pStyle w:val="SourceNote"/>
      </w:pPr>
      <w:r>
        <w:rPr>
          <w:b/>
        </w:rPr>
        <w:t>Available abstract (not full text):</w:t>
      </w:r>
      <w:r>
        <w:t xml:space="preserve"> The purpose of this research study is to establish if there is systematic risk and if it has impact on profitability, liquidity of the banks in Europe. This study used various financial performance ratios of 100 banks operating in different European countries to investigate if such relationship exists over a five-year period (2012 to 2016). Before working on systematic risk evaluation, we need to know that in order to shape up the financial structure of any firm the operating performance has importance. It is expected that the outcomes of this research are very important in both perspective of investors and bank managers, as these findings will help them to fully analyse the effects of various strategic choices keeping in view related to risk profile of banks. Some implications of the potential policy which are based on the new capital requirements in view of the risk-leverage relationship have also been discussed in this study.</w:t>
      </w:r>
    </w:p>
    <w:p>
      <w:pPr/>
      <w:r>
        <w:rPr>
          <w:b/>
        </w:rPr>
        <w:t>POSSIBLE 2021:</w:t>
      </w:r>
      <w:r>
        <w:t xml:space="preserve"> Evaluating the systematic risk and its impact on profitability and liquidity; evidence from European countries — https://doi.org/10.1504/ijesb.2021.10040605</w:t>
      </w:r>
    </w:p>
    <w:p>
      <w:pPr/>
      <w:r>
        <w:rPr>
          <w:b/>
        </w:rPr>
        <w:t>Shared claim-specific concepts:</w:t>
      </w:r>
      <w:r>
        <w:t xml:space="preserve"> view, evaluation, expected, evaluating; EU scope visible. This is a provisional connection, not an outcome finding.</w:t>
      </w:r>
    </w:p>
    <w:p>
      <w:pPr>
        <w:pStyle w:val="SourceNote"/>
      </w:pPr>
      <w:r>
        <w:rPr>
          <w:b/>
        </w:rPr>
        <w:t>Available abstract (not full text):</w:t>
      </w:r>
      <w:r>
        <w:t xml:space="preserve"> The purpose of this research study is to establish if there is systematic risk and if it has impact on profitability, liquidity of the banks in Europe. This study used various financial performance ratios of 100 banks operating in different European countries to investigate if such relationship exists over a five-year period (2012 to 2016). Before working on systematic risk evaluation, we need to know that in order to shape up the financial structure of any firm the operating performance has importance. It is expected that the outcomes of this research are very important in both perspective of investors and bank managers, as these findings will help them to fully analyse the effects of various strategic choices keeping in view related to risk profile of banks. Some implications of the potential policy which are based on the new capital requirements in view of the risk-leverage relationship have also been discussed in this study.</w:t>
      </w:r>
    </w:p>
    <w:p>
      <w:pPr>
        <w:pStyle w:val="Heading2"/>
      </w:pPr>
      <w:r>
        <w:t>857. The state of democracy in the European Union in scenarios: federation, empire and Europe à la carte</w:t>
      </w:r>
    </w:p>
    <w:p>
      <w:pPr>
        <w:pStyle w:val="SourceNote"/>
      </w:pPr>
      <w:r>
        <w:rPr>
          <w:b/>
        </w:rPr>
        <w:t>Original source (2016):</w:t>
      </w:r>
      <w:r>
        <w:t xml:space="preserve"> https://doi.org/10.31338/1641-2478pe.4.15.5</w:t>
      </w:r>
    </w:p>
    <w:p>
      <w:pPr/>
      <w:r>
        <w:t>Original wording (abstract; indexed_source_text_not_full_document_verified): The aim of the article is to present possible scenarios on maintaining democracy in the EU, while assuming different hypothetical directions in which it could develop as a federation, empire and Europe à la carte. The abovementioned objective of scenario development is achieved through distinguishing the notions of policy, politics and polity in the research.</w:t>
      </w:r>
    </w:p>
    <w:p>
      <w:pPr/>
      <w:r>
        <w:rPr>
          <w:b/>
        </w:rPr>
        <w:t>POSSIBLE 2026:</w:t>
      </w:r>
      <w:r>
        <w:t xml:space="preserve"> The Communion of Protestant Churches in Europe and European integration — https://doi.org/10.31261/ssht.2025.58.1.05</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The Communion of Protestant Churches in Europe (CPCE) is currently a communion of 96 Protestant Churches of various traditions from over 30 European countries, representing over 50 million Christians in Europe and beyond, including South America. In its founding document – the Leuenberg Agreement – it declared the realization of the Church communion, in three areas: continuing theological conversation, ecumenical, witness and service. The aim of this article is to present how the topic of European integration is being reflected on in these three areas of CPCE work. The analysis will be supplemented by a review of the references to European integration in the programmatic documents adopted by the highest governing body of the CPCE – its general assemblies.</w:t>
      </w:r>
    </w:p>
    <w:p>
      <w:pPr/>
      <w:r>
        <w:rPr>
          <w:b/>
        </w:rPr>
        <w:t>POSSIBLE 2026:</w:t>
      </w:r>
      <w:r>
        <w:t xml:space="preserve"> Beyond dualism: the hybridization of technocracy and democracy in Europe — https://doi.org/10.1017/s1755773926100514</w:t>
      </w:r>
    </w:p>
    <w:p>
      <w:pPr/>
      <w:r>
        <w:rPr>
          <w:b/>
        </w:rPr>
        <w:t>Shared claim-specific concepts:</w:t>
      </w:r>
      <w:r>
        <w:t xml:space="preserve"> article, democracy, develop; EU scope visible. This is a provisional connection, not an outcome finding.</w:t>
      </w:r>
    </w:p>
    <w:p>
      <w:pPr>
        <w:pStyle w:val="SourceNote"/>
      </w:pPr>
      <w:r>
        <w:rPr>
          <w:b/>
        </w:rPr>
        <w:t>Available abstract (not full text):</w:t>
      </w:r>
      <w:r>
        <w:t xml:space="preserve"> Abstract This article investigates the structural hybridization of technocracy and democracy in European governance. Moving beyond normative and binary accounts that frame the two as mutually exclusive, we conceptualize their relationship as a systemic, relational, internal, and processual dynamic. Building on this framework, we develop a typology of four ideal-type governance configurations – techno-dominant, demo-dominant, high-intensity hybrid, and low-intensity hybrid – which captures the co-evolution and institutional entanglement of democratic and technocratic logics. Empirically, we construct original composite indices of technocracy and democracy using V-Dem data, and apply them to 893 country-year observations across the EU27 and the United Kingdom (1989–2024). The findings reveal significant regional variation and temporally differentiated trajectories of hybrid governance, shaped in part by major crises. Our typology offers a replicable tool for classifying governance regimes and invites further inquiry into how hybrid forms condition democratic legitimacy, institutional resilience, and the evolving architecture of political authority in the twenty-first century.</w:t>
      </w:r>
    </w:p>
    <w:p>
      <w:pPr/>
      <w:r>
        <w:rPr>
          <w:b/>
        </w:rPr>
        <w:t>POSSIBLE 2026:</w:t>
      </w:r>
      <w:r>
        <w:t xml:space="preserve"> Freedom of Expression and speech threatened in Europe — https://doi.org/10.52224/21845263/rev45a4</w:t>
      </w:r>
    </w:p>
    <w:p>
      <w:pPr/>
      <w:r>
        <w:rPr>
          <w:b/>
        </w:rPr>
        <w:t>Shared claim-specific concepts:</w:t>
      </w:r>
      <w:r>
        <w:t xml:space="preserve"> article, present, democracy; EU scope visible. This is a provisional connection, not an outcome finding.</w:t>
      </w:r>
    </w:p>
    <w:p>
      <w:pPr>
        <w:pStyle w:val="SourceNote"/>
      </w:pPr>
      <w:r>
        <w:rPr>
          <w:b/>
        </w:rPr>
        <w:t>Available abstract (not full text):</w:t>
      </w:r>
      <w:r>
        <w:t xml:space="preserve"> Freedom of expression and speech were one of the most important assets of the Western liberal democracies. Europe was proud to expand these values around the world. However, in recent years, they have been deteriorating. The present text raises the question on why freedom of expression and speech are losing ground. The text aims to study their decline in Europe and also in the UK in the last decade. The text is guided by the assumption that they have been limited by political elites and corporate interests. The article is divided in three sections. The first presents a brief historical debate. The second offers some examples that expose the attacks on freedom of expression and speech in Europe. The third describes the intrinsic relation between freedom of expression and democracy and their mutual interconnection. Finally, some comments are offered to wrap up the discussion.</w:t>
      </w:r>
    </w:p>
    <w:p>
      <w:pPr/>
      <w:r>
        <w:rPr>
          <w:b/>
        </w:rPr>
        <w:t>POSSIBLE 2025:</w:t>
      </w:r>
      <w:r>
        <w:t xml:space="preserve"> Battleground Europe: the rise of anti-woke movements and their threat to democracy — https://doi.org/10.3389/fpos.2025.1568816</w:t>
      </w:r>
    </w:p>
    <w:p>
      <w:pPr/>
      <w:r>
        <w:rPr>
          <w:b/>
        </w:rPr>
        <w:t>Shared claim-specific concepts:</w:t>
      </w:r>
      <w:r>
        <w:t xml:space="preserve"> democracy, politics; EU scope visible. This is a provisional connection, not an outcome finding.</w:t>
      </w:r>
    </w:p>
    <w:p>
      <w:pPr>
        <w:pStyle w:val="SourceNote"/>
      </w:pPr>
      <w:r>
        <w:rPr>
          <w:b/>
        </w:rPr>
        <w:t>Available abstract (not full text):</w:t>
      </w:r>
      <w:r>
        <w:t xml:space="preserve"> In 2003, within Black communities, the term "woke" served as a vital reminder to remain alert to the systemic police brutality targeting Black people in the United States (Allen, 2023). It symbolised the commitment of those dedicated to social justice and remaining vigilant. During the resurgence of the Black Lives Matter (BLM) movement in 2020-sparked by the murder of George Floyd, a Black American man who was fatally asphyxiated in Minneapolis on 25 May 2020 after police officer Derek Chauvin knelt on his neck and back for more than nine minutes-the term regained prominence, reinforcing its original meaning (Madrid Gil, 2023).Since then, the word has spread rapidly, demonstrating how digital activism has globalised the language of social justice while intertwining with Europe's historical and contemporary challenges with racism, colonialism, and identity politics. Its evolution has expanded well beyond its American origins, moulding European political and cultural discourse (Madrid Gil, 2023) even as it has encountered significant resistance. Conservative actors increasingly adopt the so-called "antiwoke" rhetoric to attack issues they deem incompatible with societal norms, often invoking free speech as justification (Steel, 2023). This stance has resulted in efforts to marginalise LGBTQ+ rights, restrict migration, and condemn Islam, with some of these views frequently accom</w:t>
      </w:r>
    </w:p>
    <w:p>
      <w:pPr/>
      <w:r>
        <w:rPr>
          <w:b/>
        </w:rPr>
        <w:t>POSSIBLE 2025:</w:t>
      </w:r>
      <w:r>
        <w:t xml:space="preserve"> Polarization and Democracy in Central Europe — https://doi.org/10.17645/pag.9560</w:t>
      </w:r>
    </w:p>
    <w:p>
      <w:pPr/>
      <w:r>
        <w:rPr>
          <w:b/>
        </w:rPr>
        <w:t>Shared claim-specific concepts:</w:t>
      </w:r>
      <w:r>
        <w:t xml:space="preserve"> article, democracy, distinguishing; EU scope visible. This is a provisional connection, not an outcome finding.</w:t>
      </w:r>
    </w:p>
    <w:p>
      <w:pPr>
        <w:pStyle w:val="SourceNote"/>
      </w:pPr>
      <w:r>
        <w:rPr>
          <w:b/>
        </w:rPr>
        <w:t>Available abstract (not full text):</w:t>
      </w:r>
      <w:r>
        <w:t xml:space="preserve"> This article examines the dual role of polarization in fostering political mobilization for and against democracy in Central and Eastern Europe. Populist movements in this region often drive democratic decline, yet, notable cases, such as electoral victories in Czechia (2021) and Poland (2023), suggest that civil society can counter these trends. Following Schedler (2023), we perceive polarization as a fundamental democratic conflict about democratic norms and values. This study investigated how varying forms of polarization— ideological, affective, intransigent, and partisan sorting—affected the mobilization dynamics for and against democracy. We highlight that polarization affected mobilization for democracy more strongly than mobilization for autocracy—i.e., civil society successfully mobilized against populism. In a critical case study of limited polarized pluralism in the 2023 Czechia presidential election between populist and anti‐populist candidates, affective and partisan sorting polarization were the strongest predictors of populist support, with anger at the political situation boosting votes for the populist candidate. At the same time, pro‐Ukrainian stances drove support for the anti‐populist candidate. Our findings revealed that affective polarization and partisan sorting significantly shaped mobilization outcomes, thereby impacting democratic resilience and decay.</w:t>
      </w:r>
    </w:p>
    <w:p>
      <w:pPr/>
      <w:r>
        <w:rPr>
          <w:b/>
        </w:rPr>
        <w:t>POSSIBLE 2025:</w:t>
      </w:r>
      <w:r>
        <w:t xml:space="preserve"> DEMOCRACY AND PROMOTING A DIALOGUE BETWEEN EUROPE AND AMERICA — https://doi.org/10.21134/czz5t890</w:t>
      </w:r>
    </w:p>
    <w:p>
      <w:pPr/>
      <w:r>
        <w:rPr>
          <w:b/>
        </w:rPr>
        <w:t>Shared claim-specific concepts:</w:t>
      </w:r>
      <w:r>
        <w:t xml:space="preserve"> article, democracy, notions; EU scope visible. This is a provisional connection, not an outcome finding.</w:t>
      </w:r>
    </w:p>
    <w:p>
      <w:pPr>
        <w:pStyle w:val="SourceNote"/>
      </w:pPr>
      <w:r>
        <w:rPr>
          <w:b/>
        </w:rPr>
        <w:t>Available abstract (not full text):</w:t>
      </w:r>
      <w:r>
        <w:t xml:space="preserve"> Although it is difficult to identify a clear concept of Democracy at an international level, and the relationship between Europe and Latin America is complex, promoting Democracy has been a factor that has fostered dialogue between the two regions. It might be interesting to understand if there is a common notion of Democracy. Firstly, the paper will examine the concept of Democracy at the international level from the UN Charter to Resolution 62/7. Secondly, the paper will compare this concept with notions emerging within the Council of Europe and the Organization of American States (OAS). The concept emerging at the international level is reflected in Article 3 of the Additional Protocol to the European Convention on Human Rights (ECHR), which was opened for signature by member states on March 20, 1952, in Paris, and in Article 23 of the American Convention on Human Rights. It was adopted within the framework of the Organization of American States (OAS) in San José, Costa Rica, in 1969, and it entered into force in 1978. Thirdly, the proposal will examine the interpretations offered by the European and Inter-American Courts of Human Rights.</w:t>
      </w:r>
    </w:p>
    <w:p>
      <w:pPr/>
      <w:r>
        <w:rPr>
          <w:b/>
        </w:rPr>
        <w:t>POSSIBLE 2024:</w:t>
      </w:r>
      <w:r>
        <w:t xml:space="preserve"> A Mapping of Textile Waste Recycling Technologies in Europe and Spain — https://doi.org/10.3390/textiles4030022</w:t>
      </w:r>
    </w:p>
    <w:p>
      <w:pPr/>
      <w:r>
        <w:rPr>
          <w:b/>
        </w:rPr>
        <w:t>Shared claim-specific concepts:</w:t>
      </w:r>
      <w:r>
        <w:t xml:space="preserve"> article, different, directions; EU scope visible. This is a provisional connection, not an outcome finding.</w:t>
      </w:r>
    </w:p>
    <w:p>
      <w:pPr>
        <w:pStyle w:val="SourceNote"/>
      </w:pPr>
      <w:r>
        <w:rPr>
          <w:b/>
        </w:rPr>
        <w:t>Available abstract (not full text):</w:t>
      </w:r>
      <w:r>
        <w:t xml:space="preserve"> Textiles are composed of different types of fibers; thus, different processes for end-of-life recovery are currently applied. After collection, a prior sorting process is essential to classify the textiles and assess their quality in order to ensure that the best available technology is selected, with mechanical recycling being the most widespread and mature. Nevertheless, it still has important limitations as it is not suitable for the treatment of all fibers, especially those of non-organic origin and blends. On the other hand, chemical recycling appears to be a necessary technology to valorize the fibers that cannot be reused or mechanically recycled and to avoid landfilling. This article aims to provide an overview of the available technologies in the field of textile waste recycling, including collection, pretreatment, and mechanical and chemical recycling processes. Each technology is described identifying pros and cons, and a techno-economical assessment is presented including technology readiness levels (TRLs), investments, and costs. European and Spanish regulations and policies on textile waste are analyzed to identify the trends and directions the sector is moving towards.</w:t>
      </w:r>
    </w:p>
    <w:p>
      <w:pPr/>
      <w:r>
        <w:rPr>
          <w:b/>
        </w:rPr>
        <w:t>POSSIBLE 2024:</w:t>
      </w:r>
      <w:r>
        <w:t xml:space="preserve"> Democracy and Media in Europe — https://doi.org/10.4324/9781003485438</w:t>
      </w:r>
    </w:p>
    <w:p>
      <w:pPr/>
      <w:r>
        <w:rPr>
          <w:b/>
        </w:rPr>
        <w:t>Shared claim-specific concepts:</w:t>
      </w:r>
      <w:r>
        <w:t xml:space="preserve"> democracy, different, politics; EU scope visible. This is a provisional connection, not an outcome finding.</w:t>
      </w:r>
    </w:p>
    <w:p>
      <w:pPr>
        <w:pStyle w:val="SourceNote"/>
      </w:pPr>
      <w:r>
        <w:rPr>
          <w:b/>
        </w:rPr>
        <w:t>Available abstract (not full text):</w:t>
      </w:r>
      <w:r>
        <w:t xml:space="preserve"> Democracy and Media in Europe: A Discursive-Material Approach is a theoretical reflection on the intersection of democracy and media through a constructionist lens. This focus allows us to understand current political struggles over democracy, and over media’s democratic roles, with the latter ranging from the traditional support for an informed citizenry and the watchdog role, to the organization of agonistic debate and generating fair and dignified representations of society and its many (sub)groups, to the facilitation of maximalist participation in institutionalized politics and media. Moreover, the book’s reconciliation of democratic theory and media theory brings out a detailed theoretical analysis of the core characteristics of the assemblages of democracy and media, their conditions of possibility and the threats to both democracy and media’s democratic roles. This short book provides in-depth reflections on the different positions that can be taken when it comes to the performance of democracy as it intersects with the multitude of media in the 21st century. As such, the volume will be of interest to scholars of media and communication and related fields in the social sciences. The Open Access version of this book, available at https://www.taylorfrancis.com, has been made available under a Creative Commons Attribution-Non Commercial-No Derivatives (CC-BY-NC-ND) 4.0 lic</w:t>
      </w:r>
    </w:p>
    <w:p>
      <w:pPr/>
      <w:r>
        <w:rPr>
          <w:b/>
        </w:rPr>
        <w:t>POSSIBLE 2024:</w:t>
      </w:r>
      <w:r>
        <w:t xml:space="preserve"> Democracy and Media in Europe — https://openalex.org/W7137605746</w:t>
      </w:r>
    </w:p>
    <w:p>
      <w:pPr/>
      <w:r>
        <w:rPr>
          <w:b/>
        </w:rPr>
        <w:t>Shared claim-specific concepts:</w:t>
      </w:r>
      <w:r>
        <w:t xml:space="preserve"> democracy, different, politics; EU scope visible. This is a provisional connection, not an outcome finding.</w:t>
      </w:r>
    </w:p>
    <w:p>
      <w:pPr>
        <w:pStyle w:val="SourceNote"/>
      </w:pPr>
      <w:r>
        <w:rPr>
          <w:b/>
        </w:rPr>
        <w:t>Available abstract (not full text):</w:t>
      </w:r>
      <w:r>
        <w:t xml:space="preserve"> Democracy and Media in Europe: A Discursive-Material Approach is a theoretical reflection on the intersection of democracy and media through a constructionist lens. This focus allows us to understand current political struggles over democracy, and over media’s democratic roles, with the latter ranging from the traditional support for an informed citizenry and the watchdog role, to the organization of agonistic debate and generating fair and dignified representations of society and its many (sub)groups, to the facilitation of maximalist participation in institutionalized politics and media. Moreover, the book’s reconciliation of democratic theory and media theory brings out a detailed theoretical analysis of the core characteristics of the assemblages of democracy and media, their conditions of possibility and the threats to both democracy and media’s democratic roles. This short book provides in-depth reflections on the different positions that can be taken when it comes to the performance of democracy as it intersects with the multitude of media in the 21st century. As such, the volume will be of interest to scholars of media and communication and related fields in the social sciences. The Open Access version of this book, available at http://www.taylorfrancis.com, has been made available under a Creative Commons Attribution-Non Commercial-No Derivatives (CC-BY-NC-ND) 4.0 lice</w:t>
      </w:r>
    </w:p>
    <w:p>
      <w:pPr/>
      <w:r>
        <w:rPr>
          <w:b/>
        </w:rPr>
        <w:t>POSSIBLE 2024:</w:t>
      </w:r>
      <w:r>
        <w:t xml:space="preserve"> LITERATURE REVIEW AND ANALYSIS OF RESEARCH CONDUCTED IN EUROPE ON HEALTH LITERACY — https://doi.org/10.34739/zn.2023.61.13</w:t>
      </w:r>
    </w:p>
    <w:p>
      <w:pPr/>
      <w:r>
        <w:rPr>
          <w:b/>
        </w:rPr>
        <w:t>Shared claim-specific concepts:</w:t>
      </w:r>
      <w:r>
        <w:t xml:space="preserve"> aim, article, present; EU scope visible. This is a provisional connection, not an outcome finding.</w:t>
      </w:r>
    </w:p>
    <w:p>
      <w:pPr>
        <w:pStyle w:val="SourceNote"/>
      </w:pPr>
      <w:r>
        <w:rPr>
          <w:b/>
        </w:rPr>
        <w:t>Available abstract (not full text):</w:t>
      </w:r>
      <w:r>
        <w:t xml:space="preserve"> According to World Health Organization, Health Literacy encompasses the cognitive and social skills that determine the motivation and ability of individuals to access, understand and use information in a way that promotes and maintains good health. The aim of this article is to present the concept of “health literacy”, its determinants and consequences, as well as to review research conducted in Europe using the European Health Literacy Survey Questionnaire – HLS-EU-Q16 indicator. For this purpose, a literature review was conducted, to incorporate analysis and criticism. The article determines the scope of research on health literacy in Europe using the European Health Literacy Survey Questionnaire – HLS-EU-Q16, based on literature analysis. The greater people’s health literacy, the better their understanding of prevention and treatment. Low health awareness means financial losses, both personal and global. High Health Literacy enables good prevention, which is the best and cheapest method in every health system.</w:t>
      </w:r>
    </w:p>
    <w:p>
      <w:pPr/>
      <w:r>
        <w:rPr>
          <w:b/>
        </w:rPr>
        <w:t>POSSIBLE 2023:</w:t>
      </w:r>
      <w:r>
        <w:t xml:space="preserve"> THE PROBLEM OF THE “DEFICIT OF DEMOCRACY” AS A THREAT TO THE VALUES OF THE EUROPEAN UNION — https://doi.org/10.32782/2524-0374/2023-4/158</w:t>
      </w:r>
    </w:p>
    <w:p>
      <w:pPr/>
      <w:r>
        <w:rPr>
          <w:b/>
        </w:rPr>
        <w:t>Shared claim-specific concepts:</w:t>
      </w:r>
      <w:r>
        <w:t xml:space="preserve"> article, democracy; EU scope visible. This is a provisional connection, not an outcome finding.</w:t>
      </w:r>
    </w:p>
    <w:p>
      <w:pPr>
        <w:pStyle w:val="SourceNote"/>
      </w:pPr>
      <w:r>
        <w:rPr>
          <w:b/>
        </w:rPr>
        <w:t>Available abstract (not full text):</w:t>
      </w:r>
      <w:r>
        <w:t xml:space="preserve"> Асірян С.Р., к.ю.н., асистент кафедри права Європейського Союзу Національний юридичний університет імені Ярослава Мудрого Бухова Д.М., студентка ІІІ курсу факультету прокуратури Національний юридичний університет імені Ярослава Мудрого Кречик А.С., студент ІІІ курсу факультету прокуратури Національний юридичний університет імені Ярослава Мудрого Статтю присвячено аналізу проблеми "дефіциту демократії" в Європейському Союзі.Розглянуто основні положення Договору про ЄС щодо демократичних принципів, зокрема дотримання принципу рівності громадян, принцип представницької демократії, вимоги до демократичності діяльності установ Союзу.Проаналізовано історію виникнення терміну "дефіцит демократії" та підходи до його визначення.Виділено основні причини існування даної проблеми в Європейському Союзі, такі як: нерівномірний розподіл влади, складні процеси прийняття рішень, менші повноваження Парламенту ЄС у сфері законотворчості порівняно з Європейською Комісією, брак прозорості, зростання абсентеїзму, технократичне управління та інші.Приділено увагу Лісабонському договору, що набрав чинності у 2009 році, положення якого внесли зміни в інституційні механізми з метою мінімізації проблеми демократичного дефіциту в Європейському Союзі: збільшення повноважень Європейського Парламенту, посилення ролі національних парламентів, підвищення прозорості процесів прийняття рішень та формування механі</w:t>
      </w:r>
    </w:p>
    <w:p>
      <w:pPr/>
      <w:r>
        <w:rPr>
          <w:b/>
        </w:rPr>
        <w:t>POSSIBLE 2023:</w:t>
      </w:r>
      <w:r>
        <w:t xml:space="preserve"> RETRACTED ARTICLE: Sustainable development economy and the development of green economy in the European Union — https://doi.org/10.1186/s13705-023-00410-7</w:t>
      </w:r>
    </w:p>
    <w:p>
      <w:pPr/>
      <w:r>
        <w:rPr>
          <w:b/>
        </w:rPr>
        <w:t>Shared claim-specific concepts:</w:t>
      </w:r>
      <w:r>
        <w:t xml:space="preserve"> article, present; EU scope visible. This is a provisional connection, not an outcome finding.</w:t>
      </w:r>
    </w:p>
    <w:p>
      <w:pPr>
        <w:pStyle w:val="SourceNote"/>
      </w:pPr>
      <w:r>
        <w:rPr>
          <w:b/>
        </w:rPr>
        <w:t>Available abstract (not full text):</w:t>
      </w:r>
      <w:r>
        <w:t xml:space="preserve"> Abstract Background This study aims to explain the policies implemented by the European Union in transitioning to a green economy. It examines the period from the adoption of sustainable development within the Union to the present, focusing on the EU's strategies for sustainable development and the green economy. Main text The study reveals that the European Union has long recognized environmental problems and the impacts of climate change, starting from the 1990s. In response to the global crisis in 2008, the EU embraced the opportunity to build a dynamic, low-carbon, resource-efficient, knowledge-based, and socially inclusive society. Green investments were included in the EU's rescue plan, initiating the green transformation. The study explains the concepts of sustainable development, the green economy, and green growth. It discusses how the European Union implemented its green transformation, particularly through the examination of the European Green Deal. Furthermore, it explores the developments related to climate change and the green economy within the framework of the European 2020 strategy. Conclusions The findings highlight the European Union's commitment to addressing environmental challenges and transitioning to a green economy. Future research should focus on assessing the effectiveness of implemented policies and strategies in achieving sustainable development goa</w:t>
      </w:r>
    </w:p>
    <w:p>
      <w:pPr>
        <w:pStyle w:val="Heading2"/>
      </w:pPr>
      <w:r>
        <w:t>858. Towards an assessment of adaptive capacity of the European agricultural sector to droughts</w:t>
      </w:r>
    </w:p>
    <w:p>
      <w:pPr>
        <w:pStyle w:val="SourceNote"/>
      </w:pPr>
      <w:r>
        <w:rPr>
          <w:b/>
        </w:rPr>
        <w:t>Original source (2016):</w:t>
      </w:r>
      <w:r>
        <w:t xml:space="preserve"> https://doi.org/10.1016/j.cliser.2016.10.003</w:t>
      </w:r>
    </w:p>
    <w:p>
      <w:pPr/>
      <w:r>
        <w:t>Original wording (abstract; indexed_source_text_not_full_document_verified): We create a set of indicators which highlight areas of high or low AC, forecast to estimated times the world will reach 2° of warming using Shared Socioeconomic Pathway (SSP) and Representative Concentration Pathway (RCP) scenarios to drive AC indicator projections based on a fixed effects model.</w:t>
      </w:r>
    </w:p>
    <w:p>
      <w:pPr/>
      <w:r>
        <w:rPr>
          <w:b/>
        </w:rPr>
        <w:t>POSSIBLE 2025:</w:t>
      </w:r>
      <w:r>
        <w:t xml:space="preserve"> Creating a data processing warehouse to support performance monitoring of cancer screening programmes in Europe using a common set of indicators — https://doi.org/10.1093/eurpub/ckaf119</w:t>
      </w:r>
    </w:p>
    <w:p>
      <w:pPr/>
      <w:r>
        <w:rPr>
          <w:b/>
        </w:rPr>
        <w:t>Shared claim-specific concepts:</w:t>
      </w:r>
      <w:r>
        <w:t xml:space="preserve"> create, set, indicators, based; EU scope visible. This is a provisional connection, not an outcome finding.</w:t>
      </w:r>
    </w:p>
    <w:p>
      <w:pPr>
        <w:pStyle w:val="SourceNote"/>
      </w:pPr>
      <w:r>
        <w:rPr>
          <w:b/>
        </w:rPr>
        <w:t>Available abstract (not full text):</w:t>
      </w:r>
      <w:r>
        <w:t xml:space="preserve"> The CanScreen-ECIS project implemented by International Agency for Research on Cancer aimed to define indicators to monitor, breast, cervical, colorectal, and lung cancer screening and create a validated mechanism for the European screening programmes to be able to systematically collect and submit performance data for public dissemination through European Cancer Information System (ECIS). Indicators were developed through a stepwise process of literature review, Delphi survey followed by face-to-face interaction. A survey questionnaire to report policies, protocols, and organization of screening programmes and a data collection tool to estimate indicators across the screening continuum were designed. These were integrated into a data warehouse to permit programme managers to access the tools, undergo training, submit data, and estimate the indicators. The same warehouse would allow peer-reviewing of submitted information and data and will ultimately be connected to ECIS for data visualization. Functionalities of the tools and the warehouse were pilot tested through data collection from several European countries. Total 23 indicators were selected based on priority and feasibility. Programme managers from 23 European countries completed the surveys and submitted data from national/regional screening programmes. Data to estimate the indicators were obtained from 17, 13, and 15 b</w:t>
      </w:r>
    </w:p>
    <w:p>
      <w:pPr/>
      <w:r>
        <w:rPr>
          <w:b/>
        </w:rPr>
        <w:t>POSSIBLE 2025:</w:t>
      </w:r>
      <w:r>
        <w:t xml:space="preserve"> High resolution maps of European agricultural indicators — https://doi.org/10.5194/egusphere-egu25-16510</w:t>
      </w:r>
    </w:p>
    <w:p>
      <w:pPr/>
      <w:r>
        <w:rPr>
          <w:b/>
        </w:rPr>
        <w:t>Shared claim-specific concepts:</w:t>
      </w:r>
      <w:r>
        <w:t xml:space="preserve"> create, indicators, highlight, areas, high, estimated; EU scope visible. This is a provisional connection, not an outcome finding.</w:t>
      </w:r>
    </w:p>
    <w:p>
      <w:pPr>
        <w:pStyle w:val="SourceNote"/>
      </w:pPr>
      <w:r>
        <w:rPr>
          <w:b/>
        </w:rPr>
        <w:t>Available abstract (not full text):</w:t>
      </w:r>
      <w:r>
        <w:t xml:space="preserve"> The last European agricultural census, organized by Eurostat, took place in 2020, collecting more than 300 variables on agriculture and farm structure from 9.03 million farmers in the EU (and EFTA countries Iceland, Switzerland and Norway). Data are aggregated to NUTS 2, NUTS 1 or national levels before they are publicly released on the Eurostat website due to confidentiality regulations that do not allow individual data to be disclosed.With a newly developed methodology, it is now possible to create multi-resolution grids of these variables, where the size of the grid cells depend on the spatial density of the data. All grid cells respect a series of confidentiality rules, such as a minimum number of farms per grid cell (at least 10) a dominance rule (the largest contributes cannot have more than 85% of the total production in a grid cell) and a quality rule (estimates must have an estimated coefficient of variation less than 35%).We will here present a range of thematic maps based on the 2020 European agricultural census to highlight regional and country differences, giving a new insight in the geographical patterns of agriculture in Europe, some expected, some more unexpected. All of them correspond to contextual indicators for the Common Agricultural Policy (CAP) and are divided into three broad categories: structural components (i.e., agricultural holdings, land use, lives</w:t>
      </w:r>
    </w:p>
    <w:p>
      <w:pPr/>
      <w:r>
        <w:rPr>
          <w:b/>
        </w:rPr>
        <w:t>POSSIBLE 2025:</w:t>
      </w:r>
      <w:r>
        <w:t xml:space="preserve"> EMULATION OF A NUMERICAL URBAN MODEL TO CREATE HIGH-RESOLUTION NEAR SURFACE AIR TEMPERATURE OVER EUROPEAN CITIES — https://doi.org/10.22541/essoar.173671231.11835703/v1</w:t>
      </w:r>
    </w:p>
    <w:p>
      <w:pPr/>
      <w:r>
        <w:rPr>
          <w:b/>
        </w:rPr>
        <w:t>Shared claim-specific concepts:</w:t>
      </w:r>
      <w:r>
        <w:t xml:space="preserve"> create, set, areas; EU scope visible. This is a provisional connection, not an outcome finding.</w:t>
      </w:r>
    </w:p>
    <w:p>
      <w:pPr>
        <w:pStyle w:val="SourceNote"/>
      </w:pPr>
      <w:r>
        <w:rPr>
          <w:b/>
        </w:rPr>
        <w:t>Available abstract (not full text):</w:t>
      </w:r>
      <w:r>
        <w:t xml:space="preserve"> Sub-kilometer climate data over a limited amount of cities are currently available or being produced by numerical models. Using numerical models to resolve processes at such a fine resolution is computationally very expensive, which complicates the generation of high-resolution data for long periods and large areas. Statistical models, including machine learning techniques, built on data-driven relationships are a cost-effective alternative. Current statistical models for urban climate simulations are typically tuned for a single city or limited region, resulting in poor performance for cities with different characteristics. Therefore, we explored the potential to simulate near surface temperature over European cities with the newly developed machine learning model European Random Forest Urban Climate Emulator (Eu-RaFUCE). As visualized in the figure below, the Eu-RaFUCE model uses both spatial and temporal variables as input and was trained on hectometer 2 m-temperature output of the urban climate model UrbClim, which is developed and maintained by the Flemish Institute for Technological Research (VITO) \cite{Lauwaet_2024} . Next, hourly ERA5 reanalysis data with a horizontal resolution of about 30 km by 30 km was directly downscaled to 100 m by 100 m with Eu-RaFUCE for unseen cities and unseen years during the training. Validation shows that downscaled 2 m-temperatures with E</w:t>
      </w:r>
    </w:p>
    <w:p>
      <w:pPr/>
      <w:r>
        <w:rPr>
          <w:b/>
        </w:rPr>
        <w:t>POSSIBLE 2025:</w:t>
      </w:r>
      <w:r>
        <w:t xml:space="preserve"> Evaluating sustainability in Europe with composite indicators — https://doi.org/10.1007/s43621-025-02129-1</w:t>
      </w:r>
    </w:p>
    <w:p>
      <w:pPr/>
      <w:r>
        <w:rPr>
          <w:b/>
        </w:rPr>
        <w:t>Shared claim-specific concepts:</w:t>
      </w:r>
      <w:r>
        <w:t xml:space="preserve"> indicators, high, based; EU scope visible. This is a provisional connection, not an outcome finding.</w:t>
      </w:r>
    </w:p>
    <w:p>
      <w:pPr>
        <w:pStyle w:val="SourceNote"/>
      </w:pPr>
      <w:r>
        <w:rPr>
          <w:b/>
        </w:rPr>
        <w:t>Available abstract (not full text):</w:t>
      </w:r>
      <w:r>
        <w:t xml:space="preserve"> Abstract Sustainability is a fundamental global challenge that requires an integrated approach capable of balancing economic, environmental, and social dimensions. In recent years, a wide range of indicators has been proposed in the literature to evaluate progress toward the Sustainable Development Goals (SDGs). To effectively monitor and manage this progress, the application of robust and reliable analytical models is essential. This study employs two established methods—min–max normalization and the Technique for Order of Preference by Similarity to Ideal Solution (TOPSIS)—to assess the performance of European countries based on 76 SDG indicators provided by Eurostat for the year 2022. The analysis shows strong consistency between the two methodologies when all indicators are assigned equal weight. Sweden ranks first in both assessments, followed by Denmark and the Netherlands, with Ireland and Belgium also achieving high scores. In contrast, Greece, Cyprus, and Bulgaria consistently rank at the bottom according to both methods. The study also disaggregates the results by dimension, highlighting Germany’s leading performance in the environmental category, Sweden’s dominance in the social dimension, and its strong performance across all three. Denmark also excels in the social dimension, while the Netherlands stands out in the economic category. Three key recommendations emerg</w:t>
      </w:r>
    </w:p>
    <w:p>
      <w:pPr/>
      <w:r>
        <w:rPr>
          <w:b/>
        </w:rPr>
        <w:t>POSSIBLE 2024:</w:t>
      </w:r>
      <w:r>
        <w:t xml:space="preserve"> Towards a sustainable set of European Core Health Indicators (ECHI) — https://doi.org/10.25646/12918</w:t>
      </w:r>
    </w:p>
    <w:p>
      <w:pPr/>
      <w:r>
        <w:rPr>
          <w:b/>
        </w:rPr>
        <w:t>Shared claim-specific concepts:</w:t>
      </w:r>
      <w:r>
        <w:t xml:space="preserve"> set, indicators, indicator, based; EU scope visible. This is a provisional connection, not an outcome finding.</w:t>
      </w:r>
    </w:p>
    <w:p>
      <w:pPr>
        <w:pStyle w:val="SourceNote"/>
      </w:pPr>
      <w:r>
        <w:rPr>
          <w:b/>
        </w:rPr>
        <w:t>Available abstract (not full text):</w:t>
      </w:r>
      <w:r>
        <w:t xml:space="preserve"> Background: The European Core Health Indicators (ECHI) are a set of 88 indicators that provide a compact overview of the extensive field of European public health and healthcare. The ECHI set adds value to European Union health information systems (HIS) for both Member States and EU-associated countries and the European Commission by providing a solid, comparable information base on national public health and healthcare trends and developments. The indicators allow for learning by comparison and the list supports the organisation of national health information systems. As the ECHI set was defined more than ten years ago, it is time to review its current needs and readiness for the future. Methods: In this article, we reflect on the sustainability of the ECHI set and explore directions for improving future use, based on the activities in the Joint Action on Health Information (2018 - 2021). There, we looked into ECHI governance and reviewed the set's metadata, content and link with other indicator sets in the wider European health information landscape. Conclusions: We conclude that in order to remain relevant and keep up with technical and policy developments, the ECHI set needs maintenance and updates. This cannot be achieved in a non-systematic project-based manner; it requires sustainable funding, governance and formalised activities in a permanent structure. We call on the </w:t>
      </w:r>
    </w:p>
    <w:p>
      <w:pPr/>
      <w:r>
        <w:rPr>
          <w:b/>
        </w:rPr>
        <w:t>POSSIBLE 2024:</w:t>
      </w:r>
      <w:r>
        <w:t xml:space="preserve"> Building a Set of Indicators to Assess Migrant Children's Integration in Europe: A Co-Creation Approach — https://doi.org/10.1007/s12187-024-10165-y</w:t>
      </w:r>
    </w:p>
    <w:p>
      <w:pPr/>
      <w:r>
        <w:rPr>
          <w:b/>
        </w:rPr>
        <w:t>Shared claim-specific concepts:</w:t>
      </w:r>
      <w:r>
        <w:t xml:space="preserve"> set, indicators, indicator; EU scope visible. This is a provisional connection, not an outcome finding.</w:t>
      </w:r>
    </w:p>
    <w:p>
      <w:pPr>
        <w:pStyle w:val="SourceNote"/>
      </w:pPr>
      <w:r>
        <w:rPr>
          <w:b/>
        </w:rPr>
        <w:t>Available abstract (not full text):</w:t>
      </w:r>
      <w:r>
        <w:t xml:space="preserve"> Abstract The integration of refugee and migrant children, one of Europe’s most vulnerable populations, is a crucial challenge for EU societies and their present and future social cohesion. Despite extensive knowledge on migrant integration, we still lack specific instruments to measure children's integration and set goal-oriented targets to promote it. Our research responds to this need by presenting and discussing a new child-centered system of indicators with a twofold purpose: (1) to assess and monitor the integration of refugee and migrant children across European countries and (2) to guide policymakers and relevant stakeholders. The indicator system's holistic and transversal nature marks an improvement over previous measurement attempts by considering different dimensions of integration; subjective and objective perspectives, as well as contextual factors; and indicators relevant for and comparable across different European countries. The research uses a co-creative methodology that ensures both scientific rigor and relevance for stakeholders and policymakers. A child-centered perspective, active participation of children throughout the research process, and an iterative co-creation design contribute to the system's added value. First-hand experiences, ongoing dialogues, and an ecological approach involving stakeholders at micro, meso, and macro levels (children, families</w:t>
      </w:r>
    </w:p>
    <w:p>
      <w:pPr/>
      <w:r>
        <w:rPr>
          <w:b/>
        </w:rPr>
        <w:t>POSSIBLE 2023:</w:t>
      </w:r>
      <w:r>
        <w:t xml:space="preserve"> Spatial indicators of digital economy in Russia and Еurope — https://doi.org/10.35595/2414-9179-2023-1-29-5-19</w:t>
      </w:r>
    </w:p>
    <w:p>
      <w:pPr/>
      <w:r>
        <w:rPr>
          <w:b/>
        </w:rPr>
        <w:t>Shared claim-specific concepts:</w:t>
      </w:r>
      <w:r>
        <w:t xml:space="preserve"> set, indicators, socioeconomic, concentration, based; EU scope visible. This is a provisional connection, not an outcome finding.</w:t>
      </w:r>
    </w:p>
    <w:p>
      <w:pPr>
        <w:pStyle w:val="SourceNote"/>
      </w:pPr>
      <w:r>
        <w:rPr>
          <w:b/>
        </w:rPr>
        <w:t>Available abstract (not full text):</w:t>
      </w:r>
      <w:r>
        <w:t xml:space="preserve"> Despite its significant socioeconomic impact, quantitative evaluation of the digital economy faces several obstacles. Spatial aspects of the digital economy and the relationship between digitization and well-being require further study for a full understanding of the socioeconomic impact on regional and local development. In light of this, the authors of the study aim to select socioeconomic indicators for assessing the development of the digital economy in regions of Russia and European countries, using an overlapping set of initial indicators. The study identified criteria for selecting indicators that characterize the geographic distribution of digital economic activity. Selected indicators include concentration of digital business and startups in specific regions, availability of high-speed internet and mobile networks, level of e-commerce activity, population computer skills, and business digitalization. The study also identified issues with the lack of some important indicators for assessing the digital economy at the regional level in Russia. Based on the collected database, a series of maps were created to assess the spatial development of the digital economy in Russia and Europe. Results show significant differences in the development of the digital economy in Russia and Europe, as well as some limitations in the evaluation methodology, such as data availability and di</w:t>
      </w:r>
    </w:p>
    <w:p>
      <w:pPr/>
      <w:r>
        <w:rPr>
          <w:b/>
        </w:rPr>
        <w:t>POSSIBLE 2023:</w:t>
      </w:r>
      <w:r>
        <w:t xml:space="preserve"> THE MODELING OF STARTUP ECOSYSTEMS IN CENTRAL AND EASTERN EUROPE BASED ON SOCIO-ECONOMIC INDICATORS — https://doi.org/10.32342/2074-5354-2023-2-59-21</w:t>
      </w:r>
    </w:p>
    <w:p>
      <w:pPr/>
      <w:r>
        <w:rPr>
          <w:b/>
        </w:rPr>
        <w:t>Shared claim-specific concepts:</w:t>
      </w:r>
      <w:r>
        <w:t xml:space="preserve"> create, set, indicators, low, world, based; EU scope visible. This is a provisional connection, not an outcome finding.</w:t>
      </w:r>
    </w:p>
    <w:p>
      <w:pPr>
        <w:pStyle w:val="SourceNote"/>
      </w:pPr>
      <w:r>
        <w:rPr>
          <w:b/>
        </w:rPr>
        <w:t>Available abstract (not full text):</w:t>
      </w:r>
      <w:r>
        <w:t xml:space="preserve"> The article is devoted to solving the problem of the development of startup ecosystems in the countries of Central and Eastern Europe (including Ukrainian entrepreneurship since Ukraine gained independence) by reorienting their economy to a market economy and conducting it based on sustainable development, ethics, and social responsibility. It has been found that in the countries a large number of mechanisms and procedures are not fully adapted to the implementation of entrepreneurial activity based on systematicity, complexity, and interaction; only point elements are present, and the effectiveness of their interaction in the process of entrepreneurial activity is quite low. At the same time, the rapid development of startup ecosystems is observed. The definition of this concept in the article is considered from the point of view of scientists as “a combination of localized cultural views, social networks, investment capital, universities, and active economic policies that create an environment that supports innovative business” and Startup Genome. This allows for the interpreting of a startup ecosystem as “a set of resources (policies, accelerators, incubators, co-working spaces, educational institutions, and funding groups) that are mostly located within a radius of 100 kilometers around a central point in a given region, with a few exceptions based on local realities”. It h</w:t>
      </w:r>
    </w:p>
    <w:p>
      <w:pPr/>
      <w:r>
        <w:rPr>
          <w:b/>
        </w:rPr>
        <w:t>POSSIBLE 2022:</w:t>
      </w:r>
      <w:r>
        <w:t xml:space="preserve"> Ellenberg‐type indicator values for European vascular plant species — https://doi.org/10.1111/jvs.13168</w:t>
      </w:r>
    </w:p>
    <w:p>
      <w:pPr/>
      <w:r>
        <w:rPr>
          <w:b/>
        </w:rPr>
        <w:t>Shared claim-specific concepts:</w:t>
      </w:r>
      <w:r>
        <w:t xml:space="preserve"> create, set, indicator, based; EU scope visible. This is a provisional connection, not an outcome finding.</w:t>
      </w:r>
    </w:p>
    <w:p>
      <w:pPr>
        <w:pStyle w:val="SourceNote"/>
      </w:pPr>
      <w:r>
        <w:rPr>
          <w:b/>
        </w:rPr>
        <w:t>Available abstract (not full text):</w:t>
      </w:r>
      <w:r>
        <w:t xml:space="preserve"> Abstract Aims Ellenberg‐type indicator values are expert‐based rankings of plant species according to their ecological optima on main environmental gradients. Here we extend the indicator‐value system proposed by Heinz Ellenberg and co‐authors for Central Europe by incorporating other systems of Ellenberg‐type indicator values (i.e., those using scales compatible with Ellenberg values) developed for other European regions. Our aim is to create a harmonized data set of Ellenberg‐type indicator values applicable at the European scale. Methods We collected European data sets of indicator values for vascular plants and selected 13 data sets that used the nine‐, ten‐ or twelve‐degree scales defined by Ellenberg for light, temperature, moisture, reaction, nutrients and salinity. We compared these values with the original Ellenberg values and used those that showed consistent trends in regression slope and coefficient of determination. We calculated the average value for each combination of species and indicator values from these data sets. Based on species’ co‐occurrences in European vegetation plots, we also calculated new values for species that were not assigned an indicator value. Results We provide a new data set of Ellenberg‐type indicator values for 8908 European vascular plant species (8168 for light, 7400 for temperature, 8030 for moisture, 7282 for reaction, 7193 for nutrie</w:t>
      </w:r>
    </w:p>
    <w:p>
      <w:pPr/>
      <w:r>
        <w:rPr>
          <w:b/>
        </w:rPr>
        <w:t>POSSIBLE 2022:</w:t>
      </w:r>
      <w:r>
        <w:t xml:space="preserve"> The indicator-based measurement of the circular economy in the countries of the European Union — https://doi.org/10.17649/tet.36.2.3374</w:t>
      </w:r>
    </w:p>
    <w:p>
      <w:pPr/>
      <w:r>
        <w:rPr>
          <w:b/>
        </w:rPr>
        <w:t>Shared claim-specific concepts:</w:t>
      </w:r>
      <w:r>
        <w:t xml:space="preserve"> create, set, indicators, areas, high, based; EU scope visible. This is a provisional connection, not an outcome finding.</w:t>
      </w:r>
    </w:p>
    <w:p>
      <w:pPr>
        <w:pStyle w:val="SourceNote"/>
      </w:pPr>
      <w:r>
        <w:rPr>
          <w:b/>
        </w:rPr>
        <w:t>Available abstract (not full text):</w:t>
      </w:r>
      <w:r>
        <w:t xml:space="preserve"> The circular economy is an integral part of sustainable development as a new economic model, which is the opposite of the linear economy that is still in force today. In terms of its basics, we can speak of a sustainable economic system in which economic growth is completely decoupled from the use of resources, in order to reduce the use of natural resources and recycle them. In the study, the authors present the possibility of measuring the circular economy and establish a ranking for the 28 Member States of the European Union based on the created composite indicators measuring the circular economy. The values of the created CCEI index were compared with rankings produced by other researchers in similar and different ways. The goodness of the presented methodology is examined by comparing previous similar research results. The primary objective of the study is to create composite indicators and to analyse their comparability. Further aim is to characterise the leading and the tail-ender countries from which conclusions can be drawn regarding ranking and thus make them comparable. The research objective is achieved by using secondary data based on different Eurostat databases related to a sub-sector of the circular economy for the year 2018. The indicators of the circular economy were grouped according to four areas: production and consumption, waste management secondary raw ma</w:t>
      </w:r>
    </w:p>
    <w:p>
      <w:pPr/>
      <w:r>
        <w:rPr>
          <w:b/>
        </w:rPr>
        <w:t>POSSIBLE 2022:</w:t>
      </w:r>
      <w:r>
        <w:t xml:space="preserve"> The 2018–2020 Multi‐Year Drought Sets a New Benchmark in Europe — https://doi.org/10.1029/2021ef002394</w:t>
      </w:r>
    </w:p>
    <w:p>
      <w:pPr/>
      <w:r>
        <w:rPr>
          <w:b/>
        </w:rPr>
        <w:t>Shared claim-specific concepts:</w:t>
      </w:r>
      <w:r>
        <w:t xml:space="preserve"> warming, socioeconomic, based;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2022:</w:t>
      </w:r>
      <w:r>
        <w:t xml:space="preserve"> A comprehensive indicator set for measuring the sustainable energy performance in the European Union — https://doi.org/10.1201/9781003259954-2</w:t>
      </w:r>
    </w:p>
    <w:p>
      <w:pPr/>
      <w:r>
        <w:rPr>
          <w:b/>
        </w:rPr>
        <w:t>Shared claim-specific concepts:</w:t>
      </w:r>
      <w:r>
        <w:t xml:space="preserve"> set, indicators, indicator; EU scope visible. This is a provisional connection, not an outcome finding.</w:t>
      </w:r>
    </w:p>
    <w:p>
      <w:pPr>
        <w:pStyle w:val="SourceNote"/>
      </w:pPr>
      <w:r>
        <w:rPr>
          <w:b/>
        </w:rPr>
        <w:t>Available abstract (not full text):</w:t>
      </w:r>
      <w:r>
        <w:t xml:space="preserve"> Clean energy transition is the key for sustainable energy. In spite of the positive tendencies, the Covid-19 has also raised many issues and highlighted the importance of the topic. The Sustainable Development Goal 7 and 13 may serve as a basis to achieve affordable and clean energy and to combat global climate change. Meeting these objectives needs well-designed energy and environmental policy with a strong holistic approach. This study aims to build a comprehensive indicator set for measuring the sustainable energy performance of the European Union Member States. To determine the indicator set we follow rigorous steps, the methodology of which is described in detail. Finally, we present the list of eight selected indicators, from which a composite indicator can be built. Additionally, the overall structure of the dataset is analyzed through correlation analysis, stationarity and normality tests. Standardization is carried out to make the variables comparable with different units. Respecting the main dimensions of the theory of sustainable development, we also determine the weighting factors and we put them up for discussion.</w:t>
      </w:r>
    </w:p>
    <w:p>
      <w:pPr>
        <w:pStyle w:val="Heading2"/>
      </w:pPr>
      <w:r>
        <w:t>859. Using Scenarios to Assess Policy Mixes for Resource Efficiency and Eco-Innovation in Different Fiscal Policy Frameworks</w:t>
      </w:r>
    </w:p>
    <w:p>
      <w:pPr>
        <w:pStyle w:val="SourceNote"/>
      </w:pPr>
      <w:r>
        <w:rPr>
          <w:b/>
        </w:rPr>
        <w:t>Original source (2016):</w:t>
      </w:r>
      <w:r>
        <w:t xml:space="preserve"> https://doi.org/10.3390/su8040309</w:t>
      </w:r>
    </w:p>
    <w:p>
      <w:pPr/>
      <w:r>
        <w:t>Original wording (abstract; indexed_source_text_not_full_document_verified): The purpose of the JRC foresight study “2035: Paths towards a sustainable EU economy” was to explore how this could be possible. The scenarios were used in an original way to help experts identify which policy mixes would be best adapted to push each scenario towards a more sustainable future, while respecting its own logic and constraints.</w:t>
      </w:r>
    </w:p>
    <w:p>
      <w:pPr/>
      <w:r>
        <w:rPr>
          <w:b/>
        </w:rPr>
        <w:t>POSSIBLE 2026:</w:t>
      </w:r>
      <w:r>
        <w:t xml:space="preserve"> The enrichment of post-growth future alternatives for Europe using an online integral foresight methodology — https://doi.org/10.1186/s40309-026-00282-y</w:t>
      </w:r>
    </w:p>
    <w:p>
      <w:pPr/>
      <w:r>
        <w:rPr>
          <w:b/>
        </w:rPr>
        <w:t>Shared claim-specific concepts:</w:t>
      </w:r>
      <w:r>
        <w:t xml:space="preserve"> foresight, sustainable, possible, experts, identify; EU scope visible. This is a provisional connection, not an outcome finding.</w:t>
      </w:r>
    </w:p>
    <w:p>
      <w:pPr>
        <w:pStyle w:val="SourceNote"/>
      </w:pPr>
      <w:r>
        <w:rPr>
          <w:b/>
        </w:rPr>
        <w:t>Available abstract (not full text):</w:t>
      </w:r>
      <w:r>
        <w:t xml:space="preserve"> Abstract The article explores trends, weak signals, and possible pathways for the feasibility of the post-growth concept in Europe, based on an integrated foresight process. The proper formulation of comprehensive future alternatives or scenarios depends on the ability to identify visible and perceptible changes on the horizon and the possible futures that can be derived from these elements. The integral foresight method combines the processing of literature on possible futures from a post-growth and from a sustainable development perspective with horizon scanning and scenario building methods. The main features of the methodology are online interactivity, a multi-round discussion and learning process between the researchers, experts and futurists working in different fields and dealing with the topic of post-growth or sustainability. The result of the future-shaping collaboration process is a list of filtered, refined, and categorized futures statements covering different STEEPLED dimensions and scenarios in which the vision of post-growth was developed under different assumptions. The findings show that according to the experts’ expectations, many of the current trends hinder European society to achieve strong sustainability, but there are opportunities for intervention, the desirable alternatives are not out of sight, and humanity’s flourishing within planetary boundaries ca</w:t>
      </w:r>
    </w:p>
    <w:p>
      <w:pPr/>
      <w:r>
        <w:rPr>
          <w:b/>
        </w:rPr>
        <w:t>POSSIBLE 2026:</w:t>
      </w:r>
      <w:r>
        <w:t xml:space="preserve"> Circular futures of the cement and concrete industry in the European Union: enriching prospective life cycle assessment with participatory foresight — https://doi.org/10.1007/s11367-026-02699-w</w:t>
      </w:r>
    </w:p>
    <w:p>
      <w:pPr/>
      <w:r>
        <w:rPr>
          <w:b/>
        </w:rPr>
        <w:t>Shared claim-specific concepts:</w:t>
      </w:r>
      <w:r>
        <w:t xml:space="preserve"> purpose, foresight, economy, identify; EU scope visible. This is a provisional connection, not an outcome finding.</w:t>
      </w:r>
    </w:p>
    <w:p>
      <w:pPr>
        <w:pStyle w:val="SourceNote"/>
      </w:pPr>
      <w:r>
        <w:rPr>
          <w:b/>
        </w:rPr>
        <w:t>Available abstract (not full text):</w:t>
      </w:r>
      <w:r>
        <w:t xml:space="preserve"> Abstract Purpose Given the urgency of the cement and concrete industry to decarbonise by 2050, circular economy (CE) strategies are becoming more eminent. This study aims to identify how CE practices can contribute to lowering environmental impacts and in particular greenhouse gas (GHG) emissions in the European Union. As future developments of our socio-economic systems are inherently uncertain, the analysis also considers the effectiveness of CE measures in different types of decarbonised futures. Methods As part of a prospective LCA (pLCA), the study defines a status quo, a future baseline scenario with a decarbonised energy system and an ambitious circular economy scenario. These are then assessed using the Environmental Footprint (EF 3.1) method for the years 2030 and 2050. To account for the inherently higher epistemic uncertainty in 2050, the ambitious CE scenario is subjected to a sensitivity analysis consisting of four normative socio-economic scenarios on the green transition. The quantification of these alternative future narratives is achieved by means of a stakeholder workshop and sensemaking session. In a final step, the results of the pLCA following the historical trajectory and the ones of the alternative futures are compared and contextualised with the agency of the involved actors. Results and discussion Results indicate that the ambitious CE scenario saves up</w:t>
      </w:r>
    </w:p>
    <w:p>
      <w:pPr/>
      <w:r>
        <w:rPr>
          <w:b/>
        </w:rPr>
        <w:t>POSSIBLE 2026:</w:t>
      </w:r>
      <w:r>
        <w:t xml:space="preserve"> Evidence for the future? Strategic foresight as a source of evidence for policymaking — https://doi.org/10.1093/polsoc/puag009</w:t>
      </w:r>
    </w:p>
    <w:p>
      <w:pPr/>
      <w:r>
        <w:rPr>
          <w:b/>
        </w:rPr>
        <w:t>Shared claim-specific concepts:</w:t>
      </w:r>
      <w:r>
        <w:t xml:space="preserve"> jrc, foresight; EU scope not established. This is a provisional connection, not an outcome finding.</w:t>
      </w:r>
    </w:p>
    <w:p>
      <w:pPr>
        <w:pStyle w:val="SourceNote"/>
      </w:pPr>
      <w:r>
        <w:rPr>
          <w:b/>
        </w:rPr>
        <w:t>Available abstract (not full text):</w:t>
      </w:r>
      <w:r>
        <w:t xml:space="preserve"> Abstract This article examines the integration of strategic foresight (SF) as a source of evidence for policymaking. As with past-oriented evidence, SF faces challenges related to its reliability and usability; yet, because it addresses uncertainty and long-term change, these issues take distinctive forms that warrant dedicated consideration. To advance this debate, we specify the conditions under which SF can be recognized as a legitimate and effective form of evidence. Through a comparative analysis of two policy-focused cases, the UK Government Office for Science’s Net Zero Society: Scenarios and Pathways report and the JRC’s Policy Lab and the ESPAS Horizon Scanning exercise, we develop a conceptual framework based on three enablers that enhance SF’s evidential value: robustness, appropriateness, and inclusivity. When SF outputs are designed with these factors in mind, they can meaningfully complement other forms of evidence within a broader, pluralistic knowledge ecosystem. We conclude in favor of integrating SF with established evidence practices under clearly articulated enabling conditions and limitations.</w:t>
      </w:r>
    </w:p>
    <w:p>
      <w:pPr/>
      <w:r>
        <w:rPr>
          <w:b/>
        </w:rPr>
        <w:t>POSSIBLE 2025:</w:t>
      </w:r>
      <w:r>
        <w:t xml:space="preserve"> Foresight on Demand (FoD) Impact of the COVID-19 Pandemic on European Consumer Behaviour - Foresight Study — https://openalex.org/W7137724443</w:t>
      </w:r>
    </w:p>
    <w:p>
      <w:pPr/>
      <w:r>
        <w:rPr>
          <w:b/>
        </w:rPr>
        <w:t>Shared claim-specific concepts:</w:t>
      </w:r>
      <w:r>
        <w:t xml:space="preserve"> foresight, sustainable, possible, experts; EU scope visible. This is a provisional connection, not an outcome finding.</w:t>
      </w:r>
    </w:p>
    <w:p>
      <w:pPr>
        <w:pStyle w:val="SourceNote"/>
      </w:pPr>
      <w:r>
        <w:rPr>
          <w:b/>
        </w:rPr>
        <w:t>Available abstract (not full text):</w:t>
      </w:r>
      <w:r>
        <w:t xml:space="preserve"> Over the course of the project, experts and stakeholders were repeatedly involved in order to jointly develop opportunities and risks for consumers, particularly vulnerable groups, and ideas for policy actions. The project served as a pilot project for the implementation of comprehensive strategic foresight in DG JUST and for building capacities to cope with future uncertainties. The identified trends and scenarios provide an overview of possible future developments in consumption after the COVID-19 pandemic, which can be addressed with the proposed ideas for policy actions for sustainable consumer protection and the strengthening of consumer rights for the green and digital transition.</w:t>
      </w:r>
    </w:p>
    <w:p>
      <w:pPr/>
      <w:r>
        <w:rPr>
          <w:b/>
        </w:rPr>
        <w:t>POSSIBLE 2024:</w:t>
      </w:r>
      <w:r>
        <w:t xml:space="preserve"> Foresight: Fifty Years to Think Your Futures — https://doi.org/10.1007/978-3-031-66100-6_4</w:t>
      </w:r>
    </w:p>
    <w:p>
      <w:pPr/>
      <w:r>
        <w:rPr>
          <w:b/>
        </w:rPr>
        <w:t>Shared claim-specific concepts:</w:t>
      </w:r>
      <w:r>
        <w:t xml:space="preserve"> foresight, explore, possible, used; EU scope visible. This is a provisional connection, not an outcome finding.</w:t>
      </w:r>
    </w:p>
    <w:p>
      <w:pPr>
        <w:pStyle w:val="SourceNote"/>
      </w:pPr>
      <w:r>
        <w:rPr>
          <w:b/>
        </w:rPr>
        <w:t>Available abstract (not full text):</w:t>
      </w:r>
      <w:r>
        <w:t xml:space="preserve"> Abstract Foresight started with the notion of (Science and) Technology Foresight as a part of Technology Assessment (TA) but is now an independent scientific area. For a long time, Foresight mainly aimed at detecting determined futures but has developed into different directions under different headings. Most processes make use of a combination of methods to explore and develop different possible, probable or desirable futures. Foresight is more and more embedded in different institutions. There, it is carried out together with clients, and serves their specific purposes in the preparation of decision-making or science, technology and innovation policies. It offers the space to bring the different actors in the respective innovation system together. Foresight concepts are more and more accepted, and the results are distributed and used—in companies, ministries, associations, NGOs or the European Commission. Our contribution describes how Foresight has changed during the last 50 years and explains some of the aspects researchers have addressed. We conclude by highlighting two crosscutting emerging dimensions of change in Foresight, i.e. the engagement with transformative, mission-oriented agendas and the meaningful integration of machine-based approaches. Foresighters have to be aware that not only the results of their projects change but also the methods and the actors who work</w:t>
      </w:r>
    </w:p>
    <w:p>
      <w:pPr/>
      <w:r>
        <w:rPr>
          <w:b/>
        </w:rPr>
        <w:t>POSSIBLE 2024:</w:t>
      </w:r>
      <w:r>
        <w:t xml:space="preserve"> The “Safe and Sustainable by Design” Concept – A Regulatory Approach for a More Sustainable Circular Economy in the European Union? — https://doi.org/10.1017/err.2024.29</w:t>
      </w:r>
    </w:p>
    <w:p>
      <w:pPr/>
      <w:r>
        <w:rPr>
          <w:b/>
        </w:rPr>
        <w:t>Shared claim-specific concepts:</w:t>
      </w:r>
      <w:r>
        <w:t xml:space="preserve"> sustainable, economy, explore; EU scope visible. This is a provisional connection, not an outcome finding.</w:t>
      </w:r>
    </w:p>
    <w:p>
      <w:pPr>
        <w:pStyle w:val="SourceNote"/>
      </w:pPr>
      <w:r>
        <w:rPr>
          <w:b/>
        </w:rPr>
        <w:t>Available abstract (not full text):</w:t>
      </w:r>
      <w:r>
        <w:t xml:space="preserve"> Abstract The creation of a more sustainable economy is one of the main targets of the European Green Deal and the new Circular Economy Action Plan. Technological innovation is needed, among other things, to render materials, products, and production processes more sustainable. Given the goals of the European Green Deal, the regulatory concept of “Safe and Sustainable by Design” is increasingly receiving attention. The concept is (arguably) a precautionary and preventative measure that is implemented at the early stages of the design of a technology. Therefore, it is often described as a tool for lowering the risks that follow from efforts to create a more circular economy. The concept was included in the European Chemicals Strategy of the European Commission. The aim of the strategy is to accelerate progress towards the discovery of more sustainable chemicals and towards a toxicity-free environment. In this paper, we will explore the benefits and disadvantages of integrating the “Safe and Sustainable by Design” concept into the regulation of technology. As a form of regulation by technology, this concept can enhance sustainability. We will first describe the origins of the concept and its current use. Then, we will analyse its implications for the circular economy.</w:t>
      </w:r>
    </w:p>
    <w:p>
      <w:pPr/>
      <w:r>
        <w:rPr>
          <w:b/>
        </w:rPr>
        <w:t>POSSIBLE 2023:</w:t>
      </w:r>
      <w:r>
        <w:t xml:space="preserve"> Supporting decision making with strategic foresight — https://doi.org/10.1787/1d78c791-en</w:t>
      </w:r>
    </w:p>
    <w:p>
      <w:pPr/>
      <w:r>
        <w:rPr>
          <w:b/>
        </w:rPr>
        <w:t>Shared claim-specific concepts:</w:t>
      </w:r>
      <w:r>
        <w:t xml:space="preserve"> purpose, foresight, help, best, each; EU scope not established. This is a provisional connection, not an outcome finding.</w:t>
      </w:r>
    </w:p>
    <w:p>
      <w:pPr>
        <w:pStyle w:val="SourceNote"/>
      </w:pPr>
      <w:r>
        <w:rPr>
          <w:b/>
        </w:rPr>
        <w:t>Available abstract (not full text):</w:t>
      </w:r>
      <w:r>
        <w:t xml:space="preserve"> This working paper discusses strategic foresight initiatives and methodologies that support decision making and process design. It highlights case studies, international benchmarks, and best practices, as well as methodological recommendations and options for promoting the adoption and use of strategic foresight in government. The paper has four sections, each centred on a critical action to improve decision making through strategic foresight: (i) framing strategic foresight, (ii) building its fundamental components in governments, (iii) fine-tuning foresight interventions to specific contexts, and (iv) undertaking concrete activities to solve specific policy challenges. Given its exploratory nature, this working paper and its proposals should be seen as contributing to ongoing debates about the use of strategic foresight for decision making in government. The ultimate purpose of this paper is to help governments become more proactive and prospective.</w:t>
      </w:r>
    </w:p>
    <w:p>
      <w:pPr/>
      <w:r>
        <w:rPr>
          <w:b/>
        </w:rPr>
        <w:t>POSSIBLE 2023:</w:t>
      </w:r>
      <w:r>
        <w:t xml:space="preserve"> D3.4 Foresight prospects for the future of EU rural areas — https://doi.org/10.5281/zenodo.8370467</w:t>
      </w:r>
    </w:p>
    <w:p>
      <w:pPr/>
      <w:r>
        <w:rPr>
          <w:b/>
        </w:rPr>
        <w:t>Shared claim-specific concepts:</w:t>
      </w:r>
      <w:r>
        <w:t xml:space="preserve"> jrc, foresight, identify; EU scope visible. This is a provisional connection, not an outcome finding.</w:t>
      </w:r>
    </w:p>
    <w:p>
      <w:pPr>
        <w:pStyle w:val="SourceNote"/>
      </w:pPr>
      <w:r>
        <w:rPr>
          <w:b/>
        </w:rPr>
        <w:t>Available abstract (not full text):</w:t>
      </w:r>
      <w:r>
        <w:t xml:space="preserve"> This report is an overview of a sample of existing foresight and scenarios studies carried out at European and global level to identify plausible futures and scenarios for rural areas for time periods up to 2050. It provides an extended update of the SHERPA Working Document ‘Overview of a sample of existing foresight and scenario studies carried out at EU and global levels’ (Brunori and Mazzocchi, 2020), which encompassed a set of foresight studies from approximately between 2009-2019. Though not exclusively focused on rural areas, the potential for significant impacts on the latter was acknowledged in these studies and the report provided important insights in view to the then forthcoming process of the Long-Term Vision for Rural Areas of the EU. A most recent set of studies have been appraised, carried out in the period from 2020 onwards. Amongst them, we pay specific attention to the Long-Term Vision for Rural Areas of the European Union – and H2020 projects contributing to this consultation –, the JRC ‘Scenarios for EU Rural Areas 2040’, as well as other foresight studies not exclusively targeting rural areas, but addressing mega-trends and delivering outcomes of relevance to the future of rural areas.</w:t>
      </w:r>
    </w:p>
    <w:p>
      <w:pPr/>
      <w:r>
        <w:rPr>
          <w:b/>
        </w:rPr>
        <w:t>POSSIBLE 2023:</w:t>
      </w:r>
      <w:r>
        <w:t xml:space="preserve"> Foresight for sustainable development and well‑being governance in Wales — https://doi.org/10.5281/zenodo.21641559</w:t>
      </w:r>
    </w:p>
    <w:p>
      <w:pPr/>
      <w:r>
        <w:rPr>
          <w:b/>
        </w:rPr>
        <w:t>Shared claim-specific concepts:</w:t>
      </w:r>
      <w:r>
        <w:t xml:space="preserve"> foresight, sustainable; EU scope not established. This is a provisional connection, not an outcome finding.</w:t>
      </w:r>
    </w:p>
    <w:p>
      <w:pPr>
        <w:pStyle w:val="SourceNote"/>
      </w:pPr>
      <w:r>
        <w:rPr>
          <w:b/>
        </w:rPr>
        <w:t>Available abstract (not full text):</w:t>
      </w:r>
      <w:r>
        <w:t xml:space="preserve"> This research, funded by the ESRC Policy Fellowship scheme that ran between February 2022 and August 2023, explores the challenges and opportunities of integrating long‑term thinking through foresight in policymaking and provides the Welsh Government with the evidence base to further develop its foresight functions. The inception phase of the Fellowship was dedicated to the research co‑design. During the delivery phase, thirty‑five interviews focussed on the challenges and opportunities of using foresight for policymaking as well as generating insights into different foresight organisational arrangements in other selected governments. Pilots with three Welsh Government policy teams provided a granular perspective on what foresight could look like in the context of the Welsh Government, while two final stakeholder workshops were organised to review the research findings and discuss enabling mechanisms to develop long‑term decision‑making in the context of the Well‑being of Future Generations (Wales) Act 2015 (WFGA).</w:t>
      </w:r>
    </w:p>
    <w:p>
      <w:pPr/>
      <w:r>
        <w:rPr>
          <w:b/>
        </w:rPr>
        <w:t>POSSIBLE 2022:</w:t>
      </w:r>
      <w:r>
        <w:t xml:space="preserve"> Advanced materials foresight: research and innovation indicators related to advanced and smart nanomaterials — https://doi.org/10.12688/f1000research.127810.1</w:t>
      </w:r>
    </w:p>
    <w:p>
      <w:pPr/>
      <w:r>
        <w:rPr>
          <w:b/>
        </w:rPr>
        <w:t>Shared claim-specific concepts:</w:t>
      </w:r>
      <w:r>
        <w:t xml:space="preserve"> foresight, possible, used, identify, each; EU scope visible. This is a provisional connection, not an outcome finding.</w:t>
      </w:r>
    </w:p>
    <w:p>
      <w:pPr>
        <w:pStyle w:val="SourceNote"/>
      </w:pPr>
      <w:r>
        <w:rPr>
          <w:b/>
        </w:rPr>
        <w:t>Available abstract (not full text):</w:t>
      </w:r>
      <w:r>
        <w:t xml:space="preserve"> Background: Advanced materials are most likely to bring future economic, environmental and social benefits. At the same time, they may pose challenges regarding their safety and sustainability along the entire lifecycle. This needs to be timely addressed by the stakeholders (industry, research, policy, funding and regulatory bodies). As part of a larger foresight project, this study aimed to identify areas of scientific research and technological development related to advanced materials, in particular advanced nanomaterials and the sub-group of smart nanomaterials. The study identified and collected data to build relevant research and innovation indicators and analyse trends, impact and other implications. Methods: This study consisted of an iterative process including a documentation phase followed by the identification, description and development of a set of core research and innovation indicators regarding scientific publications, EU projects and patents. The data was extracted mainly from SCOPUS, CORDIS and PATSTAT databases using a predefined search string that included representative keywords. The trends, distributions and other aspects reflected in the final version of the indicators were analysed, e.g. the number of items in a period of time, geographical distribution, organisations involved, categories of journals, funding programmes, costs and technology areas. Resu</w:t>
      </w:r>
    </w:p>
    <w:p>
      <w:pPr/>
      <w:r>
        <w:rPr>
          <w:b/>
        </w:rPr>
        <w:t>POSSIBLE 2021:</w:t>
      </w:r>
      <w:r>
        <w:t xml:space="preserve"> Deep aspirations: towards a sustainable offshore Blue Economy — https://doi.org/10.1007/s11160-020-09628-6</w:t>
      </w:r>
    </w:p>
    <w:p>
      <w:pPr/>
      <w:r>
        <w:rPr>
          <w:b/>
        </w:rPr>
        <w:t>Shared claim-specific concepts:</w:t>
      </w:r>
      <w:r>
        <w:t xml:space="preserve"> sustainable, economy, possible, identify; EU scope not established. This is a provisional connection, not an outcome finding.</w:t>
      </w:r>
    </w:p>
    <w:p>
      <w:pPr>
        <w:pStyle w:val="SourceNote"/>
      </w:pPr>
      <w:r>
        <w:rPr>
          <w:b/>
        </w:rPr>
        <w:t>Available abstract (not full text):</w:t>
      </w:r>
      <w:r>
        <w:t xml:space="preserve"> Abstract: The ocean economy is experiencing rapid growth that will provide benefits but will also pose environmental and social risks. With limited space and degraded resources in coastal areas, offshore waters will be a particular focus of Blue Economy expansion over the next decade. When emerging and established economic sectors expand in offshore waters (within national Exclusive Economic Zones), different potential Blue Economy opportunities and challenges will arise. Following a series of interdisciplinary workshops, we imagine two technically possible futures for the offshore Blue Economy and we identify the actions required to achieve the more sustainable outcome. Under a business as usual scenario the focus will remain on economic growth, the commodification of nature, the dominance of private over public and cultural interests, and prioritisation of the interests of current over future generations. A more sustainable scenario would meet multiple UN Sustainable Development Goals and ensure inclusive economic developments, environmental sustainability, and fair and equitable access to resources and technologies across users, nations, and generations. Challenges to this more sustainable future are a lack of infrastructure and technology to support emerging offshore sectors, limited understanding of environmental impacts, inequitable outcomes, and a lack of planning and go</w:t>
      </w:r>
    </w:p>
    <w:p>
      <w:pPr/>
      <w:r>
        <w:rPr>
          <w:b/>
        </w:rPr>
        <w:t>POSSIBLE 2021:</w:t>
      </w:r>
      <w:r>
        <w:t xml:space="preserve"> Foresight as a tool of public administration in the field of science, technology and innovation — https://doi.org/10.23939/eem2021.01.090</w:t>
      </w:r>
    </w:p>
    <w:p>
      <w:pPr/>
      <w:r>
        <w:rPr>
          <w:b/>
        </w:rPr>
        <w:t>Shared claim-specific concepts:</w:t>
      </w:r>
      <w:r>
        <w:t xml:space="preserve"> foresight, experts, each; EU scope not established. This is a provisional connection, not an outcome finding.</w:t>
      </w:r>
    </w:p>
    <w:p>
      <w:pPr>
        <w:pStyle w:val="SourceNote"/>
      </w:pPr>
      <w:r>
        <w:rPr>
          <w:b/>
        </w:rPr>
        <w:t>Available abstract (not full text):</w:t>
      </w:r>
      <w:r>
        <w:t xml:space="preserve"> Given the growing role of technological foresight as a tool for reconciling visions, goals and ways of STI development in an era of rapid technological change and global challenges, the approach to foresight research to select priorities for science and innovation in Ukraine for 2022–2026 has been improved. It takes into account a wide range of national targets for achieving SDGs by 2030. The developed Methodological recommendations provided a thorough analysis of more than 3,000 potentially acceptable technological and innovative proposals. The approach to setting STI priorities is new for Ukraine and involves a consistent process of selecting the top 30 most acceptable proposals in each of the seven thematic areas through five stages of discussions and evaluations. The result was the formation of a database of technology passports and developments on the experts’ proposals, their selection by practitioners, ranking, evaluation in terms of the potential of Ukrainian science and relevance in terms of world science and new technologies using international databases. They are the basis for decisions by the Expert Councils and the High-Level Working Group on key thematic areas and the preparation of a relevant draft government decision. Despite the conditions of quarantine, for the first time more than 2,500 experts from science, business, state and public organizations took part </w:t>
      </w:r>
    </w:p>
    <w:p>
      <w:pPr>
        <w:pStyle w:val="Heading2"/>
      </w:pPr>
      <w:r>
        <w:t>860. A Transport Policy Tool for Reduction of Co2 Emissions in Finland – Visions, Scenarios and Pathways using Pluralistic Backcasting Method</w:t>
      </w:r>
    </w:p>
    <w:p>
      <w:pPr>
        <w:pStyle w:val="SourceNote"/>
      </w:pPr>
      <w:r>
        <w:rPr>
          <w:b/>
        </w:rPr>
        <w:t>Original source (2015):</w:t>
      </w:r>
      <w:r>
        <w:t xml:space="preserve"> https://doi.org/10.1016/j.trpro.2015.12.016</w:t>
      </w:r>
    </w:p>
    <w:p>
      <w:pPr/>
      <w:r>
        <w:t>Original wording (abstract; indexed_source_text_not_full_document_verified): The reduction of greenhouse gas emission was the basis of a Delphi study where expert opinions about future development were asked and used to form visions of the future, and further elaborated to scenarios using a pluralistic backcasting method. A new innovative approach on how to use and combine methods and data from various disciplines in scenario modelling, on transport policy packaging and determining pathways to reach the desired futures, is presented for two of the visions analysed in detail.</w:t>
      </w:r>
    </w:p>
    <w:p>
      <w:pPr/>
      <w:r>
        <w:rPr>
          <w:b/>
        </w:rPr>
        <w:t>POSSIBLE 2026:</w:t>
      </w:r>
      <w:r>
        <w:t xml:space="preserve"> SECTORAL GREENHOUSE GAS EMISSION REDUCTIONS IN THE EUROPEAN UNION – THE ROLE OF AGRICULTURE — https://doi.org/10.5604/01.3001.0055.6722</w:t>
      </w:r>
    </w:p>
    <w:p>
      <w:pPr/>
      <w:r>
        <w:rPr>
          <w:b/>
        </w:rPr>
        <w:t>Shared claim-specific concepts:</w:t>
      </w:r>
      <w:r>
        <w:t xml:space="preserve"> reduction, greenhouse, gas, emission, further; EU scope visible. This is a provisional connection, not an outcome finding.</w:t>
      </w:r>
    </w:p>
    <w:p>
      <w:pPr>
        <w:pStyle w:val="SourceNote"/>
      </w:pPr>
      <w:r>
        <w:rPr>
          <w:b/>
        </w:rPr>
        <w:t>Available abstract (not full text):</w:t>
      </w:r>
      <w:r>
        <w:t xml:space="preserve"> This study analyzes the role of agriculture in achieving the European Union’s climate objectives, with particular emphasis on greenhouse gas (GHG) emission reduction targets over the period 1990-2023. The study combines a review of EU legislation and strategic policy documents with a statistical analysis of GHG emission trends based on data from the European Environment Agency (EEA). The empirical analysis focuses on the dynamics and structure of emissions, with particular attention to key emission categories in the agricultural sector. The results indicate that total GHG emissions in the EU decreased by 36.6% in 2023 compared with 1990 levels, while emissions from agriculture declined by only 25.5%, making this sector the slowest in terms of emission reduction progress. In 2023, agriculture accounted for 12% of total EU GHG emissions, with livestock production responsible for 66% of sectoral emissions. The stability of the emission structure over the past three decades indicates similar mitigation efforts in both livestock and crop production, while also highlighting the challenges associated with achieving the EU’s target of a 55% emission reduction by 2030. The findings underline the need to intensify the implementation of climate-friendly agricultural practices, strengthen financial support mechanisms, and further integrate carbon sequestration measures into agricultural po</w:t>
      </w:r>
    </w:p>
    <w:p>
      <w:pPr/>
      <w:r>
        <w:rPr>
          <w:b/>
        </w:rPr>
        <w:t>POSSIBLE 2026:</w:t>
      </w:r>
      <w:r>
        <w:t xml:space="preserve"> Association patterns of renewables and greenhouse gas emission reduction in the European Union — https://doi.org/10.2139/ssrn.6144181</w:t>
      </w:r>
    </w:p>
    <w:p>
      <w:pPr/>
      <w:r>
        <w:rPr>
          <w:b/>
        </w:rPr>
        <w:t>Shared claim-specific concepts:</w:t>
      </w:r>
      <w:r>
        <w:t xml:space="preserve"> reduction, greenhouse, gas, emission;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Driving product innovation for greenhouse gas reduction: insights from European manufacturing — https://doi.org/10.1017/pds.2026.10526</w:t>
      </w:r>
    </w:p>
    <w:p>
      <w:pPr/>
      <w:r>
        <w:rPr>
          <w:b/>
        </w:rPr>
        <w:t>Shared claim-specific concepts:</w:t>
      </w:r>
      <w:r>
        <w:t xml:space="preserve"> reduction, greenhouse, gas; EU scope visible. This is a provisional connection, not an outcome finding.</w:t>
      </w:r>
    </w:p>
    <w:p>
      <w:pPr>
        <w:pStyle w:val="SourceNote"/>
      </w:pPr>
      <w:r>
        <w:rPr>
          <w:b/>
        </w:rPr>
        <w:t>Available abstract (not full text):</w:t>
      </w:r>
      <w:r>
        <w:t xml:space="preserve"> ABSTRACT: This paper aims to explore and categorize the product innovation initiatives that European manufacturing companies with science-based greenhouse gas (GHG) reduction targets are adopting to advance toward their decarbonization goals. An inductive analysis was conducted on climate change management reports from 326 European manufacturing companies. Two main categories of strategies emerged from the analysis: the development of new low-carbon products and the improvement of existing products. Within these categories, the study highlights specific initiatives adopted by companies.</w:t>
      </w:r>
    </w:p>
    <w:p>
      <w:pPr/>
      <w:r>
        <w:rPr>
          <w:b/>
        </w:rPr>
        <w:t>POSSIBLE 2026:</w:t>
      </w:r>
      <w:r>
        <w:t xml:space="preserve"> Increase in European summer heatwaves driven by greenhouse gases and amplified by aerosol emission reductions — https://doi.org/10.1088/1748-9326/ae6d18</w:t>
      </w:r>
    </w:p>
    <w:p>
      <w:pPr/>
      <w:r>
        <w:rPr>
          <w:b/>
        </w:rPr>
        <w:t>Shared claim-specific concepts:</w:t>
      </w:r>
      <w:r>
        <w:t xml:space="preserve"> reduction, greenhouse, emission, about, further, method; EU scope visible. This is a provisional connection, not an outcome finding.</w:t>
      </w:r>
    </w:p>
    <w:p>
      <w:pPr>
        <w:pStyle w:val="SourceNote"/>
      </w:pPr>
      <w:r>
        <w:rPr>
          <w:b/>
        </w:rPr>
        <w:t>Available abstract (not full text):</w:t>
      </w:r>
      <w:r>
        <w:t xml:space="preserve"> Abstract More frequent heatwaves in Europe are posing considerable risks to human health, infrastructure, and ecosystems. However, the contributions of external forcing factors such as well-mixed greenhouse gases (GHGs) and aerosols remain to be better quantified. Here, using model outputs from the Large Ensemble Single Forcing Model Intercomparison Project (LESFMIP), a recent atmospheric reanalysis and a machine learning method—self-organising maps (SOMs), we attribute European heatwave trends during 1940–2020 to various external forcings. The Europe-averaged heatwave trend during 1940–2020 (0.87 days per decade) is well captured by the multi-model mean (MMM) response with GHGs dominating the trend. The positive heatwave trend in GHGs and ozone is offset by the effects of aerosols during 1940–1979, leading to weak negative heatwave trends. In contrast, the increase in GHGs has driven about half (53 ± 17%; MMM and model-spread) of the strong heatwave trends in 1980–2020 (2.5 days per decade), amplified by the reduction in aerosols (23 ± 15%). This highlights the increasing risk of more frequent heatwaves in Europe if GHG emissions continue to rise without significant mitigation measures. Analysis of atmospheric circulation by SOMs reveals that four major atmospheric circulation patterns, dominated by a blocking high anomaly, are linked to the most spatially-intense European sum</w:t>
      </w:r>
    </w:p>
    <w:p>
      <w:pPr/>
      <w:r>
        <w:rPr>
          <w:b/>
        </w:rPr>
        <w:t>POSSIBLE 2026:</w:t>
      </w:r>
      <w:r>
        <w:t xml:space="preserve"> The greenhouse gas reduction gap in manufacturing companies: An action-research framework for European reporting requirements — https://doi.org/10.1016/j.cesys.2026.100406</w:t>
      </w:r>
    </w:p>
    <w:p>
      <w:pPr/>
      <w:r>
        <w:rPr>
          <w:b/>
        </w:rPr>
        <w:t>Shared claim-specific concepts:</w:t>
      </w:r>
      <w:r>
        <w:t xml:space="preserve"> reduction, greenhouse, gas, use; EU scope visible. This is a provisional connection, not an outcome finding.</w:t>
      </w:r>
    </w:p>
    <w:p>
      <w:pPr>
        <w:pStyle w:val="SourceNote"/>
      </w:pPr>
      <w:r>
        <w:rPr>
          <w:b/>
        </w:rPr>
        <w:t>Available abstract (not full text):</w:t>
      </w:r>
      <w:r>
        <w:t xml:space="preserve"> The Corporate Sustainability Reporting Directive (CSRD) and its reporting standard ESRS E1 impose detailed greenhouse gas (GHG) disclosure and reduction requirements that many manufacturing SMEs struggle to operationalize. However, little empirical evidence exists on the gap between European reporting ambitions and the realistically achievable GHG reductions in manufacturing SMEs. This study reports on an eight-month action-research collaboration with two Austrian SMEs to co-develop a five-stage GHG accounting and reduction framework that guides SMEs from initially encountered lack of knowledge, resources, and data, over a baseline balance sheet to ESRS-aligned actionable decarbonization plans. In case 1, a full Scope 1–3 baseline of 9.200 tCO 2 eq was compiled, leading to a 2030 forecast of 10.817 tCO 2 eq. Planned engineering measures and anticipated supply chain improvements reduced this by 44%, meeting near-term science-based targets. In case 2, overcoming accounting complexities, gaps in data systems, and unknown product-use emissions, a 2023 baseline of 62.990 tCO 2 eq was calculated, with 85% from downstream product use. Despite internal energy and logistics measures and supply chain gains totaling 2.549 tCO 2 eq, projected 2030 emissions (84.216 tCO 2 eq) remain well above Scope 3 reduction targets. The cross-case comparison reveals a persistent “GHG reduction gap” betw</w:t>
      </w:r>
    </w:p>
    <w:p>
      <w:pPr/>
      <w:r>
        <w:rPr>
          <w:b/>
        </w:rPr>
        <w:t>POSSIBLE 2026:</w:t>
      </w:r>
      <w:r>
        <w:t xml:space="preserve"> Reducing embodied carbon in buildings: A Delphi-based assessment of expert evaluated measures and future scalability — https://doi.org/10.1016/j.cesys.2026.100497</w:t>
      </w:r>
    </w:p>
    <w:p>
      <w:pPr/>
      <w:r>
        <w:rPr>
          <w:b/>
        </w:rPr>
        <w:t>Shared claim-specific concepts:</w:t>
      </w:r>
      <w:r>
        <w:t xml:space="preserve"> reduction, greenhouse, gas, delphi, expert, used; EU scope visible. This is a provisional connection, not an outcome finding.</w:t>
      </w:r>
    </w:p>
    <w:p>
      <w:pPr>
        <w:pStyle w:val="SourceNote"/>
      </w:pPr>
      <w:r>
        <w:rPr>
          <w:b/>
        </w:rPr>
        <w:t>Available abstract (not full text):</w:t>
      </w:r>
      <w:r>
        <w:t xml:space="preserve"> The building sector accounts for roughly 21% of global greenhouse gas emissions and 34% of European energy-related emissions, with embodied carbon emerging as a potential leverage point for a climate-neutral construction sector. Although numerous decarbonization concepts exist, their translation into industry practice remains limited, and expert judgment has rarely been used to jointly quantify reduction potential and future scalability. This study applies a two-round Delphi method to collect and consolidate practitioner insights on fifteen embodied carbon reduction measures in the Austrian building sector. Thirty-two experts participated in Round 1 and twenty-six in Round 2, evaluating each measure on a 5-point Likert scale, providing optional percentage reduction estimates, and projecting mid- and long-term scalability for 2035 and 2050. Results show a consistent positive correlation between ordinal and quantified assessments, and identify renewable energy supply for material production, improved cement production, intensified use of recycled materials, and wood and timber construction as priority levers aligned with long-term scalability potential. Life cycle thinking emerged as a systemic transformation enabler despite persistent uncertainty, whereas prefabrication, clay construction, natural insulation, and optimized glazing showed more moderate or context-dependent potent</w:t>
      </w:r>
    </w:p>
    <w:p>
      <w:pPr/>
      <w:r>
        <w:rPr>
          <w:b/>
        </w:rPr>
        <w:t>POSSIBLE 2026:</w:t>
      </w:r>
      <w:r>
        <w:t xml:space="preserve"> The Determinants of Greenhouse Gas Emissions (GHE) in European Economies — https://doi.org/10.2478/picbe-2026-0132</w:t>
      </w:r>
    </w:p>
    <w:p>
      <w:pPr/>
      <w:r>
        <w:rPr>
          <w:b/>
        </w:rPr>
        <w:t>Shared claim-specific concepts:</w:t>
      </w:r>
      <w:r>
        <w:t xml:space="preserve"> reduction, greenhouse, gas, used, method, use; EU scope visible. This is a provisional connection, not an outcome finding.</w:t>
      </w:r>
    </w:p>
    <w:p>
      <w:pPr>
        <w:pStyle w:val="SourceNote"/>
      </w:pPr>
      <w:r>
        <w:rPr>
          <w:b/>
        </w:rPr>
        <w:t>Available abstract (not full text):</w:t>
      </w:r>
      <w:r>
        <w:t xml:space="preserve"> Abstract The European Commission targets to achieve zero gas emissions by 2050. However, there is no single element or policy that allows us to achieve this target. Greenhouse emissions (GHE) are largely influenced by economic dynamics and energy use, as well as strategic positioning of businesses and technological advancement in renewable energy consumption. Against this background, our research aims to analyze the influence of foreign direct investment, renewable energy and economic growth on greenhouse gas emissions and how important and statistically significant these influences are. The paper analyses the determinants of the decrease in gas emissions in European economies over the period 1990-2023. In a quantitative panel data analysis, we examined the impact of renewable energy, labor force, gross domestic product growth per capita, and foreign investment inflows on greenhouse gas emissions. The Pooled Ordinary Least Squares method, with fixed and random effects, was used in our empirical analysis. The study’s findings suggest that economic growth continues to be a significant contributor to emissions. The use of green energies influences the decrease of greenhouse gas emissions. More precisely, 1% increase in the use of green energy results in a 0.19% annual reduction in greenhouse gas emissions. To better understand the results reported for the group of EU countries, ga</w:t>
      </w:r>
    </w:p>
    <w:p>
      <w:pPr/>
      <w:r>
        <w:rPr>
          <w:b/>
        </w:rPr>
        <w:t>POSSIBLE 2025:</w:t>
      </w:r>
      <w:r>
        <w:t xml:space="preserve"> A Group Delphi on economic perspectives on climate policy measures. A basis for informing a Citizen Forum — https://doi.org/10.14512/gaia.34.3.11</w:t>
      </w:r>
    </w:p>
    <w:p>
      <w:pPr/>
      <w:r>
        <w:rPr>
          <w:b/>
        </w:rPr>
        <w:t>Shared claim-specific concepts:</w:t>
      </w:r>
      <w:r>
        <w:t xml:space="preserve"> greenhouse, gas, basis, delphi, expert, asked; EU scope visible. This is a provisional connection, not an outcome finding.</w:t>
      </w:r>
    </w:p>
    <w:p>
      <w:pPr>
        <w:pStyle w:val="SourceNote"/>
      </w:pPr>
      <w:r>
        <w:rPr>
          <w:b/>
        </w:rPr>
        <w:t>Available abstract (not full text):</w:t>
      </w:r>
      <w:r>
        <w:t xml:space="preserve"> How do economic and consumer researchers assess the different EU policy options to reach net zero greenhouse gas emissions by 2050? The research team of the EU project REAL-DEAL convened twelve experts to evaluate economic measures to implement the Green Deal objectives. This information was one of the major inputs for a subsequent Citizen Forum in Berlin, Germany.As one component of the EU project, REAL-DEAL, the authors conducted a Group Delphi involving experts from economics and consumer research. Group Delphi processes represent participatory formats aimed at providing a more accurate, fair, and complete representation of expert judgments regarding a specific topic. During the Delphi process in Berlin, twelve experts, representing different schools of economic thought, were asked to assess and evaluate economic instruments and measures to implement the Green Deal objectives with a focus on transport, housing, nutrition, and overarching economic issues related to climate protection. The results of the Delphi revealed a large diversity among the experts, in particular on the issue of state interventions into the economy. However, there was broad consensus on rejecting subsidies that encourage non-sustainable practices, and on recommending effective carbon pricing. The outcome of the Delphi was used as information for a subsequent Citizen Forum with randomly selected citizens</w:t>
      </w:r>
    </w:p>
    <w:p>
      <w:pPr/>
      <w:r>
        <w:rPr>
          <w:b/>
        </w:rPr>
        <w:t>POSSIBLE 2025:</w:t>
      </w:r>
      <w:r>
        <w:t xml:space="preserve"> Freshwater restoration effects on biodiversity and ecosystem services: a Delphi survey — https://doi.org/10.1111/rec.70119</w:t>
      </w:r>
    </w:p>
    <w:p>
      <w:pPr/>
      <w:r>
        <w:rPr>
          <w:b/>
        </w:rPr>
        <w:t>Shared claim-specific concepts:</w:t>
      </w:r>
      <w:r>
        <w:t xml:space="preserve"> delphi, expert, use, methods; EU scope visible. This is a provisional connection, not an outcome finding.</w:t>
      </w:r>
    </w:p>
    <w:p>
      <w:pPr>
        <w:pStyle w:val="SourceNote"/>
      </w:pPr>
      <w:r>
        <w:rPr>
          <w:b/>
        </w:rPr>
        <w:t>Available abstract (not full text):</w:t>
      </w:r>
      <w:r>
        <w:t xml:space="preserve"> Abstract Introduction Freshwater ecosystem restoration is vital for halting biodiversity loss, enhancing resilience, and securing ecosystem services amid climate and land use change. With major initiatives like the United Nations Decade on Ecosystem Restoration and the European Union's Nature Restoration Regulation gaining momentum, identifying multifunctional restoration strategies is increasingly important. Objectives This study examines which restoration measures in rivers, peatlands, and other wetlands deliver consistent benefits for both biodiversity and ecosystem services—key goals under EU restoration policies. Methods A structured Delphi survey was conducted with European experts in ecological restoration and ecosystem services. Restoration measures were compiled from scientific and gray literature, categorized into standardized types, and screened for data gaps. Measures with limited evidence were prioritized for expert evaluation. Experts assessed the expected effects of each measure on biodiversity and 18 ecosystem services through two survey rounds. Results Most restoration measures—especially hydrological and morphological interventions in rivers and vegetation‐based actions in peatlands—were expected to strongly benefit biodiversity. Many also enhanced multiple ecosystem services, with river interventions such as restoring natural flow, channel structure, and habi</w:t>
      </w:r>
    </w:p>
    <w:p>
      <w:pPr/>
      <w:r>
        <w:rPr>
          <w:b/>
        </w:rPr>
        <w:t>POSSIBLE 2025:</w:t>
      </w:r>
      <w:r>
        <w:t xml:space="preserve"> An Eco‐Social Policy Mix for 1.5°C Lifestyles: A Multi‐Country Policy Delphi Analysis — https://doi.org/10.1111/rego.12655</w:t>
      </w:r>
    </w:p>
    <w:p>
      <w:pPr/>
      <w:r>
        <w:rPr>
          <w:b/>
        </w:rPr>
        <w:t>Shared claim-specific concepts:</w:t>
      </w:r>
      <w:r>
        <w:t xml:space="preserve"> reduction, delphi, about, approach; EU scope visible. This is a provisional connection, not an outcome finding.</w:t>
      </w:r>
    </w:p>
    <w:p>
      <w:pPr>
        <w:pStyle w:val="SourceNote"/>
      </w:pPr>
      <w:r>
        <w:rPr>
          <w:b/>
        </w:rPr>
        <w:t>Available abstract (not full text):</w:t>
      </w:r>
      <w:r>
        <w:t xml:space="preserve"> ABSTRACT Bridging the gap between welfare and climate policies is essential for simultaneously pursuing increased well‐being and reduced carbon emissions. This study uses a policy Delphi approach, involving experts and stakeholders from five European countries: Germany, Hungary, Latvia, Spain, and Sweden, to assess the perceived desirability and feasibility of six eco‐social policies for enabling 1.5°C lifestyles. The results show that eco‐social policies are challenged by current growth and work paradigms, which transcend welfare‐regime‐related, ideological, social, and institutional rationales. Of the selected policies, stakeholders found low‐efficiency housing retrofits the most desirable, but income caps the least desirable. Worktime reduction, job guarantees, and income ceilings raise deep concerns over work, motivation, and consumption. However, universal basic services, free public transport, and public renovation raise concerns about service efficiency, innovation incentives, and welfare entitlement. Stakeholders agreed that eco‐social policies are desirable and feasible, but only when combined in a way that balances social and environmental impacts. They believe it might be easier to address challenges in understanding and implementing these policies if they were part of a broader, coordinated approach at a supranational level, rather than isolated, single‐issue polici</w:t>
      </w:r>
    </w:p>
    <w:p>
      <w:pPr/>
      <w:r>
        <w:rPr>
          <w:b/>
        </w:rPr>
        <w:t>POSSIBLE 2025:</w:t>
      </w:r>
      <w:r>
        <w:t xml:space="preserve"> GHGs (greenhouse gases) emission reduction — https://doi.org/10.4337/9781035310371.00073</w:t>
      </w:r>
    </w:p>
    <w:p>
      <w:pPr/>
      <w:r>
        <w:rPr>
          <w:b/>
        </w:rPr>
        <w:t>Shared claim-specific concepts:</w:t>
      </w:r>
      <w:r>
        <w:t xml:space="preserve"> reduction, greenhouse, gas, emission, innovative, approach; EU scope visible. This is a provisional connection, not an outcome finding.</w:t>
      </w:r>
    </w:p>
    <w:p>
      <w:pPr>
        <w:pStyle w:val="SourceNote"/>
      </w:pPr>
      <w:r>
        <w:rPr>
          <w:b/>
        </w:rPr>
        <w:t>Available abstract (not full text):</w:t>
      </w:r>
      <w:r>
        <w:t xml:space="preserve"> The United Nations Framework Convention on Climate Change (UNFCCC) Conference of the Parties (COP) meetings, the European Commission, and initiatives by several countries and organizations have resulted in the adoption of several international agreements aimed at reducing greenhouse gas emissions. These agreements set targets for countries to reduce their emissions and establish mechanisms for reporting and verifying progress. However, achieving meaningful emissions and greenhouse gases reduction requires a multifaceted approach that considers the thorough study of trade, taxes, innovative technologies, industrialization, and economic growth effects and interactions. This includes implementing a combination of policies such as carbon pricing, regulations and subsidies to incentivize emissions reductions, promoting the adoption of clean technologies, fostering innovation and promoting sustainable practices across sectors. Additionally, international cooperation and coordination are essential to address global challenges such as climate change effectively.</w:t>
      </w:r>
    </w:p>
    <w:p>
      <w:pPr/>
      <w:r>
        <w:rPr>
          <w:b/>
        </w:rPr>
        <w:t>POSSIBLE 2025:</w:t>
      </w:r>
      <w:r>
        <w:t xml:space="preserve"> Impact of Agriculture on Greenhouse Gas Emissions—A Review — https://doi.org/10.3390/en18092272</w:t>
      </w:r>
    </w:p>
    <w:p>
      <w:pPr/>
      <w:r>
        <w:rPr>
          <w:b/>
        </w:rPr>
        <w:t>Shared claim-specific concepts:</w:t>
      </w:r>
      <w:r>
        <w:t xml:space="preserve"> greenhouse, gas, emission, used, innovative, use; EU scope visible. This is a provisional connection, not an outcome finding.</w:t>
      </w:r>
    </w:p>
    <w:p>
      <w:pPr>
        <w:pStyle w:val="SourceNote"/>
      </w:pPr>
      <w:r>
        <w:rPr>
          <w:b/>
        </w:rPr>
        <w:t>Available abstract (not full text):</w:t>
      </w:r>
      <w:r>
        <w:t xml:space="preserve"> The restrictions imposed by the European Green Deal on Europe are expected to make Europe climate-neutral by 2050. In this context, this article examines the current efforts to reduce emission levels, focusing on available international scientific papers concerning European territory, particularly Poland. The study paid special attention to the sector of agriculture, which is considered a key contributor to greenhouse gas generation. It also analysed the impact of various tillage techniques and the application of organic and inorganic fertilisers, e.g., nitrogen fertilisers, digestate, or compost, on the emissions of greenhouse gases and other environmentally harmful substances. Although there are few scientific articles available that comprehensively describe the problem of greenhouse gas emissions from agriculture, it is still possible to observe the growing awareness of farmers and their daily impact on the environment. The current study demonstrated that agricultural activities significantly contribute to the emissions of three main greenhouse gases: carbon dioxide, nitrous oxide, and methane. The tillage and soil fertilisation methods used play a crucial role in their emissions into the atmosphere. The use of no-tillage (or reduced-tillage) techniques contributes to the sustainable development of agriculture while reducing greenhouse gas emissions. The machinery and fuels </w:t>
      </w:r>
    </w:p>
    <w:p>
      <w:pPr>
        <w:pStyle w:val="Heading2"/>
      </w:pPr>
      <w:r>
        <w:t>861. A decision support system to find the best water allocation strategies in a Mediterranean river basin in future scenarios of global change</w:t>
      </w:r>
    </w:p>
    <w:p>
      <w:pPr>
        <w:pStyle w:val="SourceNote"/>
      </w:pPr>
      <w:r>
        <w:rPr>
          <w:b/>
        </w:rPr>
        <w:t>Original source (2015):</w:t>
      </w:r>
      <w:r>
        <w:t xml:space="preserve"> https://doi.org/10.1080/0952813x.2015.1024493</w:t>
      </w:r>
    </w:p>
    <w:p>
      <w:pPr/>
      <w:r>
        <w:t>Original wording (abstract; indexed_source_text_not_full_document_verified): Several scenarios have been constructed to evaluate different sectorial water allocation policies to mitigate the water scarcity induced by global change.</w:t>
      </w:r>
    </w:p>
    <w:p>
      <w:pPr/>
      <w:r>
        <w:rPr>
          <w:b/>
        </w:rPr>
        <w:t>POSSIBLE 2026:</w:t>
      </w:r>
      <w:r>
        <w:t xml:space="preserve"> Make Any Collection Navigable: Methods for Constructing and Evaluating Hypergraph of Text — https://doi.org/10.48550/arxiv.2604.25906</w:t>
      </w:r>
    </w:p>
    <w:p>
      <w:pPr/>
      <w:r>
        <w:rPr>
          <w:b/>
        </w:rPr>
        <w:t>Shared claim-specific concepts:</w:t>
      </w:r>
      <w:r>
        <w:t xml:space="preserve"> several, constructed, evaluate; EU scope not established. This is a provisional connection, not an outcome finding.</w:t>
      </w:r>
    </w:p>
    <w:p>
      <w:pPr>
        <w:pStyle w:val="SourceNote"/>
      </w:pPr>
      <w:r>
        <w:rPr>
          <w:b/>
        </w:rPr>
        <w:t>Available abstract (not full text):</w:t>
      </w:r>
      <w:r>
        <w:t xml:space="preserve"> One reason the Web is more useful than a simple collection of documents is that the structure created by hyperlinks enables flexible navigation from one web page to another. However, hyperlinks are typically created manually and cannot fully capture a corpus' implicit semantic structures. Is there a general way to make an arbitrary collection navigable? Recent work has formalized this problem generally as constructing a Hypergraph of Text (HoT), which provides a formal mathematical structure for supporting navigation and browsing. However, how to construct and evaluate a Hypergraph of Text remains a challenge. In this paper, we propose and study several methods for constructing a HoT. We also propose a novel quantitative metric, effort ratio, for evaluating the structural quality of a constructed HoT. Experimental results show that even simple TF-IDF baselines can match LLM-based methods on our proposed effort ratio metric.</w:t>
      </w:r>
    </w:p>
    <w:p>
      <w:pPr/>
      <w:r>
        <w:rPr>
          <w:b/>
        </w:rPr>
        <w:t>POSSIBLE 2024:</w:t>
      </w:r>
      <w:r>
        <w:t xml:space="preserve"> Understanding and addressing the water footprint in the textile sector: A review — https://doi.org/10.1515/aut-2024-0004</w:t>
      </w:r>
    </w:p>
    <w:p>
      <w:pPr/>
      <w:r>
        <w:rPr>
          <w:b/>
        </w:rPr>
        <w:t>Shared claim-specific concepts:</w:t>
      </w:r>
      <w:r>
        <w:t xml:space="preserve"> several, different, water, policies, scarcity; EU scope not established. This is a provisional connection, not an outcome finding.</w:t>
      </w:r>
    </w:p>
    <w:p>
      <w:pPr>
        <w:pStyle w:val="SourceNote"/>
      </w:pPr>
      <w:r>
        <w:rPr>
          <w:b/>
        </w:rPr>
        <w:t>Available abstract (not full text):</w:t>
      </w:r>
      <w:r>
        <w:t xml:space="preserve"> Abstract Textile industry has a significant water footprint (WF), leading to various sustainability challenges. This article discusses key findings on the WF and outlines potential solutions. The industry’s WF includes three types: green, blue, and grey. Textile manufacturing is water-intensive, with stages like pretreatment, dyeing, printing, and finishing. This can contribute to water scarcity in some regions. Water pollution is another critical challenge, as the industry generates considerable wastewater containing diverse pollutants which can harm ecosystems and pose risks to public health. Different treatments to reduce the pollutants in water are studied. We have grouped innovations into five major categories for water conservation efforts in the textile industry: To address these sustainability challenges, several solutions are proposed. Each category offers a pathway to reduce its environmental footprint through water conservation. The adoption of water-efficient technologies, such as low-water dyeing and wastewater recycling, can reduce water consumption. Stricter policies for pollution control, along with incentives for sustainable practices, can encourage industry-wide change. Collaboration among stakeholders, including industry, government, and environmental groups, is also crucial for promoting sustainability and reducing the industry’s environmental impact. These </w:t>
      </w:r>
    </w:p>
    <w:p>
      <w:pPr/>
      <w:r>
        <w:rPr>
          <w:b/>
        </w:rPr>
        <w:t>POSSIBLE 2023:</w:t>
      </w:r>
      <w:r>
        <w:t xml:space="preserve"> Water management dilemma in the agricultural sector of Iran: A review focusing on water governance — https://doi.org/10.1016/j.agwat.2023.108480</w:t>
      </w:r>
    </w:p>
    <w:p>
      <w:pPr/>
      <w:r>
        <w:rPr>
          <w:b/>
        </w:rPr>
        <w:t>Shared claim-specific concepts:</w:t>
      </w:r>
      <w:r>
        <w:t xml:space="preserve"> several, water, scarcity; EU scope not established. This is a provisional connection, not an outcome finding.</w:t>
      </w:r>
    </w:p>
    <w:p>
      <w:pPr>
        <w:pStyle w:val="SourceNote"/>
      </w:pPr>
      <w:r>
        <w:rPr>
          <w:b/>
        </w:rPr>
        <w:t>Available abstract (not full text):</w:t>
      </w:r>
      <w:r>
        <w:t xml:space="preserve"> Around 90% of fresh renewable water is being used in Iran, indicating high water stress conditions across the country. Given that agricultural irrigation accounts for the majority of water use and consumption, any efforts to alleviate water stress must focus on enhancing agricultural water management. This paper aims to exhaustively compile the existing literature on the consequences and drivers of water insecurity, and to discuss the strategies balancing food and water security in the context of agricultural water management. Severe water scarcity can be largely attributed to governance gaps in Iran. In addition, inefficient water use, population growth, and warming/drying trends in the recent half a century are other major causes of the water scarcity. Groundwater over-depletion, quality deterioration of aquatic resources, decreased environmental flows and habitat destruction, and water conflicts are the significant consequences of improper water management in Iran. Several water productivity and conservation interventions, drawn from a rich literature, were suggested to improve agricultural water management in Iran. Furthermore, some water-food-energy nexus optimization methods, including changing cropping patterns, modifying energy tariffs, manipulating food diet, and reducing food waste, were discussed. Nexus-based strategies, which aim to achieve a balance between food pr</w:t>
      </w:r>
    </w:p>
    <w:p>
      <w:pPr/>
      <w:r>
        <w:rPr>
          <w:b/>
        </w:rPr>
        <w:t>POSSIBLE 2022:</w:t>
      </w:r>
      <w:r>
        <w:t xml:space="preserve"> Performance evaluation of constructed wetland for removal of pharmaceutical compounds from hospital wastewater: Seasonal perspective — https://doi.org/10.1016/j.arabjc.2022.104344</w:t>
      </w:r>
    </w:p>
    <w:p>
      <w:pPr/>
      <w:r>
        <w:rPr>
          <w:b/>
        </w:rPr>
        <w:t>Shared claim-specific concepts:</w:t>
      </w:r>
      <w:r>
        <w:t xml:space="preserve"> several, constructed, evaluate, different; EU scope not established. This is a provisional connection, not an outcome finding.</w:t>
      </w:r>
    </w:p>
    <w:p>
      <w:pPr>
        <w:pStyle w:val="SourceNote"/>
      </w:pPr>
      <w:r>
        <w:rPr>
          <w:b/>
        </w:rPr>
        <w:t>Available abstract (not full text):</w:t>
      </w:r>
      <w:r>
        <w:t xml:space="preserve"> Constructed wetland employs vegetation as a natural medium to remove pollutants from wastewater for this treatment. It is eco-friendly, sustainable, economical, low maintenance, low running cost, and easy to use. This has prompted several studies to investigate its performance in treating pollutants from the conventional to emerging contaminants category, including pharmaceutical compounds. However, there is still a lack of work on the impact of monsoons on the removal efficiency of pharmaceutically active compounds from wastewater. This study evaluated constructed wetland performance during the premonsoon, monsoon, and post-monsoon seasons. A pilot-scale constructed wetland setup was established to conduct this study. The target compound included paracetamol, ibuprofen, carbamazepine, lorazepam, ciprofloxacin, sulfamethoxazole, and Fluvastatin. In the constructed wetland, for paracetamol and ibuprofen, NSAIDs concentration was observed to be 1503–6307 ngL −1 and 564–808 ngL −1 . The concentrations of antibiotics, sulfamethoxazole, and ciprofloxacin were 16532–21635 ngL −1 and 734–1178 ngL −1, respectively. The carbamazepine, lorazepam, and Lutvastatin concentration range was 616–906 ngL −1 , 2742–3775 ngL −1 , and 694–2068 ngL −1, respectively. The hazard quotient approach was adopted to evaluate potential environmental risk from target compounds. The increase of paracetamol 3</w:t>
      </w:r>
    </w:p>
    <w:p>
      <w:pPr/>
      <w:r>
        <w:rPr>
          <w:b/>
        </w:rPr>
        <w:t>POSSIBLE 2022:</w:t>
      </w:r>
      <w:r>
        <w:t xml:space="preserve"> Evaluating the potential of MeteoSwiss forecast strategies when constructing weather warnings — https://doi.org/10.5194/ems2022-458</w:t>
      </w:r>
    </w:p>
    <w:p>
      <w:pPr/>
      <w:r>
        <w:rPr>
          <w:b/>
        </w:rPr>
        <w:t>Shared claim-specific concepts:</w:t>
      </w:r>
      <w:r>
        <w:t xml:space="preserve"> several, evaluate, different, mitigate; EU scope not established. This is a provisional connection, not an outcome finding.</w:t>
      </w:r>
    </w:p>
    <w:p>
      <w:pPr>
        <w:pStyle w:val="SourceNote"/>
      </w:pPr>
      <w:r>
        <w:rPr>
          <w:b/>
        </w:rPr>
        <w:t>Available abstract (not full text):</w:t>
      </w:r>
      <w:r>
        <w:t xml:space="preserve"> To mitigate the impacts associated with adverse weather conditions, meteorological services issue weather warnings to the general public. These warning systems rely heavily on forecasts issued by underlying prediction systems. When deciding which prediction system(s) to utilise when constructing warnings, it is important to compare systems in their ability to forecast the occurrence and severity of extreme weather events: if a warning system has access to more accurate forecasts for extreme weather, then it has the potential to generate more useful warnings. However, evaluating forecasts for extreme events is known to be a challenging task. This is exacerbated further by the fact that high-impact weather often manifests as a result of several confounding features, a realisation that has led to considerable recent research on so-called compound weather events. Both univariate and multivariate methods are therefore required to evaluate forecasts for high-impact weather. In this work, we review weighted verification tools, which allow particular outcomes to be emphasised during forecast evaluation, and demonstrate how these can be used to verify forecasts for compound weather events. We compare different approaches to construct weighted scoring rules, and exploit recent developments to apply these scores in a multivariate setting. Additionally, we leverage existing results on weig</w:t>
      </w:r>
    </w:p>
    <w:p>
      <w:pPr/>
      <w:r>
        <w:rPr>
          <w:b/>
        </w:rPr>
        <w:t>POSSIBLE 2022:</w:t>
      </w:r>
      <w:r>
        <w:t xml:space="preserve"> Multi-Criteria Analysis for Evaluating Constructed Wetland as a Sustainable Sanitation Technology, Jordan Case Study — https://doi.org/10.3390/su142214867</w:t>
      </w:r>
    </w:p>
    <w:p>
      <w:pPr/>
      <w:r>
        <w:rPr>
          <w:b/>
        </w:rPr>
        <w:t>Shared claim-specific concepts:</w:t>
      </w:r>
      <w:r>
        <w:t xml:space="preserve"> several, constructed, evaluate; EU scope not established. This is a provisional connection, not an outcome finding.</w:t>
      </w:r>
    </w:p>
    <w:p>
      <w:pPr>
        <w:pStyle w:val="SourceNote"/>
      </w:pPr>
      <w:r>
        <w:rPr>
          <w:b/>
        </w:rPr>
        <w:t>Available abstract (not full text):</w:t>
      </w:r>
      <w:r>
        <w:t xml:space="preserve"> There is a growing demand for integrating an assessment tool to select wastewater treatment alternatives based on sustainability in the Jordanian wastewater sector. The sector in Jordan has a unique and critical situation that has raised concerns among stakeholders, including donors, and international and national organizations, to carefully select a sustainable treatment system for each case. The Jordanian government set a tool to distinguish between treatment systems, and this tool is mainly focused on financial criteria. However, the sector needs to integrate assessment tools with a wider consideration of other sustainability criteria. Usually, stakeholders are not equipped with a clear methodology to perform sustainability assessments. Therefore, this study proposes and develops a Multi-Criteria Analysis (MCA) tool to evaluate wastewater treatment alternatives from a sustainability perspective for a case study in Jordan—Al Azraq town. Firstly, the study explored the decision and organizational context of the wastewater sector through several interviews. Secondly, assessment criteria and indicators were proposed to compare three proposed treatment alternatives. Finally, the Analytical Hierarchy Process (AHP) was applied with composite scores to evaluate wastewater treatment alternatives. Finally, The results of the composite scores indicated that French Constructed Wetland (</w:t>
      </w:r>
    </w:p>
    <w:p>
      <w:pPr/>
      <w:r>
        <w:rPr>
          <w:b/>
        </w:rPr>
        <w:t>POSSIBLE 2021:</w:t>
      </w:r>
      <w:r>
        <w:t xml:space="preserve"> Assessing the Impact of Water Efficiency Policies on Qatar’s Electricity and Water Sectors — https://doi.org/10.3390/en14144348</w:t>
      </w:r>
    </w:p>
    <w:p>
      <w:pPr/>
      <w:r>
        <w:rPr>
          <w:b/>
        </w:rPr>
        <w:t>Shared claim-specific concepts:</w:t>
      </w:r>
      <w:r>
        <w:t xml:space="preserve"> different, water, policies, scarcity; EU scope not established. This is a provisional connection, not an outcome finding.</w:t>
      </w:r>
    </w:p>
    <w:p>
      <w:pPr>
        <w:pStyle w:val="SourceNote"/>
      </w:pPr>
      <w:r>
        <w:rPr>
          <w:b/>
        </w:rPr>
        <w:t>Available abstract (not full text):</w:t>
      </w:r>
      <w:r>
        <w:t xml:space="preserve"> Water and electricity have a unique relationship in the modern world as one requires the other in a complex system of networks to supply the utility to the customers. This energy–water interaction is especially peculiar in the Gulf Cooperation Council, where there are limited water resources, but extremely high use rates. Qatar provides a unique case in terms of extreme water scarcity and excessive water use. To understand the intricate network, this paper establishes an updated and comprehensive qualitative model of the water system in the country with the help of a water balance and system dynamics (causal loop diagram) methodology. Regression estimates are then used to estimate future water and energy consumption in addition to carbon dioxide emissions until the year 2050. Finally, system dynamics (stock and flow diagram) is used to determine the supply impacts of efficiency policies including limiting of groundwater abstraction to only 50 million m3, reduction of water consumption in the household, commercial and industrial sector by 10%, and gradual increase in the share of reverse osmosis (RO)-produced desalinated water to 50% in order to assess the supply volume, electricity consumption and CO2 emissions. The efficient use of water in different sectors of the economy results in a combined saving of 1222 GWh (8.1%) or 594,000 tons CO2. Furthermore, by moving to membrane-b</w:t>
      </w:r>
    </w:p>
    <w:p>
      <w:pPr/>
      <w:r>
        <w:rPr>
          <w:b/>
        </w:rPr>
        <w:t>POSSIBLE 2020:</w:t>
      </w:r>
      <w:r>
        <w:t xml:space="preserve"> A review of climate-change impact and adaptation studies for the water sector in Thailand — https://doi.org/10.1088/1748-9326/abce80</w:t>
      </w:r>
    </w:p>
    <w:p>
      <w:pPr/>
      <w:r>
        <w:rPr>
          <w:b/>
        </w:rPr>
        <w:t>Shared claim-specific concepts:</w:t>
      </w:r>
      <w:r>
        <w:t xml:space="preserve"> several, water; EU scope not established. This is a provisional connection, not an outcome finding.</w:t>
      </w:r>
    </w:p>
    <w:p>
      <w:pPr>
        <w:pStyle w:val="SourceNote"/>
      </w:pPr>
      <w:r>
        <w:rPr>
          <w:b/>
        </w:rPr>
        <w:t>Available abstract (not full text):</w:t>
      </w:r>
      <w:r>
        <w:t xml:space="preserve"> Abstract Thailand plays a central economic and policy-making role in Southeast Asia. Although climate change adaptation is being mainstreamed in Thailand, a well-organized overview of the impacts of climate change and potential adaptation measures has been unavailable to date. Here we present a comprehensive review of climate-change impact studies that focused on the Thai water sector, based on a literature review of six sub-sectors: riverine hydrology, sediment erosion, coastal erosion, forest hydrology, agricultural hydrology, and urban hydrology. Our review examined the long-term availability of observational data, historical changes, projected changes in key variables, and the availability of economic assessments and their implications for adaptation actions. Although some basic hydrometeorological variables have been well monitored, specific historical changes due to climate change have seldom been detected. Furthermore, although numerous future projections have been proposed, the likely changes due to climate change remain unclear due to a general lack of systematic multi-model and multi-scenario assessments and limited spatiotemporal coverage of the study area. Several gaps in the research were identified, and ten research recommendations are presented. While the information contained herein contributes to state-of-the-art knowledge on the impact of climate change on the</w:t>
      </w:r>
    </w:p>
    <w:p>
      <w:pPr/>
      <w:r>
        <w:rPr>
          <w:b/>
        </w:rPr>
        <w:t>POSSIBLE 2020:</w:t>
      </w:r>
      <w:r>
        <w:t xml:space="preserve"> Some Fuzzy Measures Constructing Paradigm and Methods From Given Measure Spaces and Evaluation Information — https://doi.org/10.1109/tfuzz.2020.3044247</w:t>
      </w:r>
    </w:p>
    <w:p>
      <w:pPr/>
      <w:r>
        <w:rPr>
          <w:b/>
        </w:rPr>
        <w:t>Shared claim-specific concepts:</w:t>
      </w:r>
      <w:r>
        <w:t xml:space="preserve"> several, constructed, different; EU scope not established. This is a provisional connection, not an outcome finding.</w:t>
      </w:r>
    </w:p>
    <w:p>
      <w:pPr>
        <w:pStyle w:val="SourceNote"/>
      </w:pPr>
      <w:r>
        <w:rPr>
          <w:b/>
        </w:rPr>
        <w:t>Available abstract (not full text):</w:t>
      </w:r>
      <w:r>
        <w:t xml:space="preserve"> With some theoretical derivation and practical decision-making problems, in this article, we propose a constructing paradigm for generating fuzzy measures in some certain decision situations, such as in risk evaluation and decision making. The constructing paradigm involves four constructing factors: source measure space, construction function, construction choice, and object/constructed measure space. We use some strict and consistent formulation to reinvent the processes of constructing the well-known belief measure and plausibility measure. In this a, the belief measure and plausibility measure are regarded as the two extremities of some pessimism–optimism preferences, and we further propose two construction choices to construct the families of fuzzy measures to generalize and seamlessly connect them. We also propose three different ways to determine construction functions in some certain decisional situations. Several relevant mathematical properties and numerical examples are also presented.</w:t>
      </w:r>
    </w:p>
    <w:p>
      <w:pPr/>
      <w:r>
        <w:rPr>
          <w:b/>
        </w:rPr>
        <w:t>POSSIBLE 2019:</w:t>
      </w:r>
      <w:r>
        <w:t xml:space="preserve"> Evaluation of software to construct genetic linkage maps in plants — https://doi.org/10.11606/d.11.2019.tde-28082019-142400</w:t>
      </w:r>
    </w:p>
    <w:p>
      <w:pPr/>
      <w:r>
        <w:rPr>
          <w:b/>
        </w:rPr>
        <w:t>Shared claim-specific concepts:</w:t>
      </w:r>
      <w:r>
        <w:t xml:space="preserve"> several, evaluate, different; EU scope not established. This is a provisional connection, not an outcome finding.</w:t>
      </w:r>
    </w:p>
    <w:p>
      <w:pPr>
        <w:pStyle w:val="SourceNote"/>
      </w:pPr>
      <w:r>
        <w:rPr>
          <w:b/>
        </w:rPr>
        <w:t>Available abstract (not full text):</w:t>
      </w:r>
      <w:r>
        <w:t xml:space="preserve"> Evaluation of software to construct genetic linkage maps in plantsGenetic maps are useful tools in breeding programs and evolutionary studies.Since the publication of the first map, several concepts have been proposed and implemented in various mapping software.Each software presents different characteristics for the construction of maps.For example, aspects such as availability of source code, licenses, tutorials, and operating system need to be considered.There are also important points related to the statistical methods employed.In this context, the users' choice can often be a complicated task.The objectives here were: i) to present the main software with free licenses developed in recent years; ii) construct linkage maps using these software and, iii) evaluate them from the point of view of users.The software considered were: OneMap, Lep-MAP, HighMap, Lep-MAP2, Flipper, Lep-MAP3, ASMap, and GUSMap.This work can guide researchers about the free tools available to construct genetic maps.</w:t>
      </w:r>
    </w:p>
    <w:p>
      <w:pPr/>
      <w:r>
        <w:rPr>
          <w:b/>
        </w:rPr>
        <w:t>POSSIBLE 2019:</w:t>
      </w:r>
      <w:r>
        <w:t xml:space="preserve"> Evaluation of a constructed wetland for wastewater treatment: Addressing emerging organic contaminants and antibiotic resistant bacteria — https://doi.org/10.1016/j.nbt.2019.05.006</w:t>
      </w:r>
    </w:p>
    <w:p>
      <w:pPr/>
      <w:r>
        <w:rPr>
          <w:b/>
        </w:rPr>
        <w:t>Shared claim-specific concepts:</w:t>
      </w:r>
      <w:r>
        <w:t xml:space="preserve"> several, constructed, evaluate, different, water; EU scope not established. This is a provisional connection, not an outcome finding.</w:t>
      </w:r>
    </w:p>
    <w:p>
      <w:pPr>
        <w:pStyle w:val="SourceNote"/>
      </w:pPr>
      <w:r>
        <w:rPr>
          <w:b/>
        </w:rPr>
        <w:t>Available abstract (not full text):</w:t>
      </w:r>
      <w:r>
        <w:t xml:space="preserve"> The occurrence of emerging organic contaminants (EOCs) in wastewaters and the inability of the conventional wastewater treatments plants to deal with them have been pointed out several times over the last few years. As a result, remnants of those compounds released into the aquatic environment present a potential risk for public health. Constructed wetlands (CWs) have been proposed as environmentally friendly, low-cost alternative systems with satisfactory results for different types of contaminants. This study aimed to evaluate the efficiency of a CW system, planted with the halophyte Juncus acutus, to eliminate bisphenol A (BPA) and two antibiotics, namely ciprofloxacin (CIP) and sulfamethoxazole (SMX) under different operating conditions. The behavior of Escherichia coli and enterococcal populations in terms of changes in their resistance profile for the selected antibiotics and the abundance of two resistance genes (qnrA and sul1) were also examined. BPA and CIP were significantly removed by the CW, with an overall removal of 76.2% and 93.9% respectively and with the plants playing a vital role. In contrast, SMX was not significantly eliminated. Moreover, fluctuations in the antibiotic resistance profile of bacteria were observed. Treatment processes affected the response of the two selected bacterial indicators, depending on the conditions employed in each case. Furthermor</w:t>
      </w:r>
    </w:p>
    <w:p>
      <w:pPr/>
      <w:r>
        <w:rPr>
          <w:b/>
        </w:rPr>
        <w:t>POSSIBLE 2018:</w:t>
      </w:r>
      <w:r>
        <w:t xml:space="preserve"> Cross-Sectoral Analysis of Water Usage in Thailand Using Input–Output Model — https://doi.org/10.4186/ej.2018.22.6.93</w:t>
      </w:r>
    </w:p>
    <w:p>
      <w:pPr/>
      <w:r>
        <w:rPr>
          <w:b/>
        </w:rPr>
        <w:t>Shared claim-specific concepts:</w:t>
      </w:r>
      <w:r>
        <w:t xml:space="preserve"> several, constructed, water, policies; EU scope not established. This is a provisional connection, not an outcome finding.</w:t>
      </w:r>
    </w:p>
    <w:p>
      <w:pPr>
        <w:pStyle w:val="SourceNote"/>
      </w:pPr>
      <w:r>
        <w:rPr>
          <w:b/>
        </w:rPr>
        <w:t>Available abstract (not full text):</w:t>
      </w:r>
      <w:r>
        <w:t xml:space="preserve"> Thailand currently ranks third among the most water-intensive countries in the world.The percentage shares of water demand in the country's agriculture, manufacturing, and service sectors, which are major economic sectors, are 75%, 3%, and 5%, respectively.With the continuous growth of the economy, the demand for water is steadily rising, while the expansion of water supply remains constrained by several factors and the water supply is also affected by climate change.This study uses the input-output model to examine the relationship between water usage and the economic system in Thailand in 2010.The constructed input-output model is the integration of the Leontief inverse matrix, the matrix of water usage, and the details of the gross domestic product (GDP).The model indicates the linkage between GDP expansion and water demand in both direct and indirect usage.The computation result obtained from the model indicates that the agricultural sector is the major water user, with its ratio of direct water use being the highest.The manufacturing sector records the highest ratio of indirect water use, which is influenced by its supply chain comprising the agriculture and service sectors.This model and its results may serve as the main foundation for the design of economic and environmental policies oriented toward optimizing water demand and supply.The model can also be extended and en</w:t>
      </w:r>
    </w:p>
    <w:p>
      <w:pPr>
        <w:pStyle w:val="Heading2"/>
      </w:pPr>
      <w:r>
        <w:t>862. A strategic policy scenario analysis framework for the sustainable tourist development of peripheral small island areas – the case of Lefkada-Greece Island</w:t>
      </w:r>
    </w:p>
    <w:p>
      <w:pPr>
        <w:pStyle w:val="SourceNote"/>
      </w:pPr>
      <w:r>
        <w:rPr>
          <w:b/>
        </w:rPr>
        <w:t>Original source (2015):</w:t>
      </w:r>
      <w:r>
        <w:t xml:space="preserve"> https://doi.org/10.1007/s40309-015-0063-z</w:t>
      </w:r>
    </w:p>
    <w:p>
      <w:pPr/>
      <w:r>
        <w:t>Original wording (abstract; indexed_source_text_not_full_document_verified): This will be implemented to a specific peripheral small island region, the island of Lefkada-Greece, seeking the integrated development of the island with emphasis on the sustainable exploitation of local tourist assets. Information gathered on potential developments of the external environment are used to inform the structuring and evaluation of sustainable tourist development scenarios in order to conclude with the most prevalent future perspective for the specific region, taking into consideration the local preferences and values in a participatory evaluation context.</w:t>
      </w:r>
    </w:p>
    <w:p>
      <w:pPr/>
      <w:r>
        <w:rPr>
          <w:b/>
        </w:rPr>
        <w:t>POSSIBLE 2026:</w:t>
      </w:r>
      <w:r>
        <w:t xml:space="preserve"> Servitising rural heritage: Social innovation and the social economy in peripheral Europe — https://doi.org/10.24136/eq.4292</w:t>
      </w:r>
    </w:p>
    <w:p>
      <w:pPr/>
      <w:r>
        <w:rPr>
          <w:b/>
        </w:rPr>
        <w:t>Shared claim-specific concepts:</w:t>
      </w:r>
      <w:r>
        <w:t xml:space="preserve"> peripheral, local, assets, used; EU scope visible. This is a provisional connection, not an outcome finding.</w:t>
      </w:r>
    </w:p>
    <w:p>
      <w:pPr>
        <w:pStyle w:val="SourceNote"/>
      </w:pPr>
      <w:r>
        <w:rPr>
          <w:b/>
        </w:rPr>
        <w:t>Available abstract (not full text):</w:t>
      </w:r>
      <w:r>
        <w:t xml:space="preserve"> Research background: Rural regions across post-industrial Europe face persistent structural vulnerabilities such as demographic ageing, selective outmigration and economic monocultures. At the same time, these regions possess underutilised cultural, ecological and social resources that can become drivers of regeneration. While social innovation, heritage-based development and the social economy have been widely examined, attention has been limited regarding how heritage assets can be transformed into diversified service ecosystems and institutionalised within social economy structures. In this context, the concept of rural heritage servitisation offers a useful analytical lens for understanding these processes. Purpose of the article: This study examines the Lithuanian spa town of Druskininkai as an analytically informative case for exploring how community initiatives reinterpret heritage as a basis for social innovation and economic diversification. It conceptualises rural heritage servitisation as a bridging mechanism between community-led experimentation, service creation and institutionalised social economy structures. Methods: The study employs a mixed methods case study design combining desk research, policy and document analysis, stakeholder consultations and semi-structured interviews with implementers of six social economy initiatives. Qualitative coding and comparativ</w:t>
      </w:r>
    </w:p>
    <w:p>
      <w:pPr/>
      <w:r>
        <w:rPr>
          <w:b/>
        </w:rPr>
        <w:t>POSSIBLE 2026:</w:t>
      </w:r>
      <w:r>
        <w:t xml:space="preserve"> Expert perspectives on the requirements for implementing prehospital peripheral nerve blocks: a survey among members of the European Society of Regional Anaesthesia (ESRA) — https://doi.org/10.1186/s12871-026-04093-3</w:t>
      </w:r>
    </w:p>
    <w:p>
      <w:pPr/>
      <w:r>
        <w:rPr>
          <w:b/>
        </w:rPr>
        <w:t>Shared claim-specific concepts:</w:t>
      </w:r>
      <w:r>
        <w:t xml:space="preserve"> implemented, specific, peripheral, local, information, used; EU scope visible. This is a provisional connection, not an outcome finding.</w:t>
      </w:r>
    </w:p>
    <w:p>
      <w:pPr>
        <w:pStyle w:val="SourceNote"/>
      </w:pPr>
      <w:r>
        <w:rPr>
          <w:b/>
        </w:rPr>
        <w:t>Available abstract (not full text):</w:t>
      </w:r>
      <w:r>
        <w:t xml:space="preserve"> BACKGROUND: Evidence on prehospital regional anesthesia (RA) is limited, with only a few trials comparing peripheral nerve blocks (PNBs) to standard opioid analgesia. Although well established in hospitals, their use in prehospital care remains rare. This survey aimed to capture expert perspectives on prerequisites, barriers, and preferred block techniques for broader implementation of prehospital PNBs. METHODS: Members of the European Society of Regional Anaesthesia (ESRA) were invited to participate in an anonymous online survey. The 30-item questionnaire collected demographic data, professional background, information on the organization of emergency medical services (EMS), and ultrasound availability. Participants were also asked about their experience with in-hospital and prehospital RA, perceived training requirements, and necessary equipment. Finally, respondents assessed the advantages, disadvantages, and suitability of specific RA techniques for prehospital scenarios. Data were analyzed descriptively and are presented as absolute numbers and percentages. RESULTS: A total of 415 fully completed questionnaires were included in the analysis. 82% (342/415) of respondents supported prehospital RA, but only 20% (73/415) reported its current use in their EMS area. Onethird of this group had personally performed RA procedures, with fascia iliaca compartment blocks (FICB) and f</w:t>
      </w:r>
    </w:p>
    <w:p>
      <w:pPr/>
      <w:r>
        <w:rPr>
          <w:b/>
        </w:rPr>
        <w:t>POSSIBLE 2024:</w:t>
      </w:r>
      <w:r>
        <w:t xml:space="preserve"> For whom do site-specific art structures provide territorial services? The case of European peripheral areas — https://doi.org/10.1080/14702029.2024.2315844</w:t>
      </w:r>
    </w:p>
    <w:p>
      <w:pPr/>
      <w:r>
        <w:rPr>
          <w:b/>
        </w:rPr>
        <w:t>Shared claim-specific concepts:</w:t>
      </w:r>
      <w:r>
        <w:t xml:space="preserve"> specific, peripheral, island, local; EU scope visible. This is a provisional connection, not an outcome finding.</w:t>
      </w:r>
    </w:p>
    <w:p>
      <w:pPr>
        <w:pStyle w:val="SourceNote"/>
      </w:pPr>
      <w:r>
        <w:rPr>
          <w:b/>
        </w:rPr>
        <w:t>Available abstract (not full text):</w:t>
      </w:r>
      <w:r>
        <w:t xml:space="preserve"> What type of site-specific outdoor art structure is more likely to induce and catalyze artistic territorial services and for whom are these services intended for? Answering this question will help the understanding of territorial impacts of such art projects in European peripheric areas. This article is based on the analysis of a European database on 128 site-specific outdoor visual art structures informed by 36 distinct criteria like accessibility, location, institutional statuses and funding, initiator and audiences, site-specificness criteria, etc. A typology, produced by the statistical analysis of this database, shows that three main intelligible categories dominate site-specific art initiatives: ‘art-washing sculpture parks’, ‘territorial art of peripheries’ and ‘eco-artistic front of art projects’. They all have different kinds of specific interactions, sometimes critical, with the local territory. They act differently as artistic territorial services (ATS) providers. ATS in Spain (Cesar Manrique artworks in Lanzarote Island) show how art is transformed into mass-tourism attraction; in France the Forêt d’ Art Contemporain in Nouvelle-Aquitaine and in Greece, the Vovousa Festival in Epirus, show how art can reinforce territorial identity and environmental commitment, but with very mixed benefits to the local economy.</w:t>
      </w:r>
    </w:p>
    <w:p>
      <w:pPr/>
      <w:r>
        <w:rPr>
          <w:b/>
        </w:rPr>
        <w:t>POSSIBLE 2024:</w:t>
      </w:r>
      <w:r>
        <w:t xml:space="preserve"> Active Labour Market Policies and Youth Employment in European Peripheries — https://doi.org/10.17645/pag.7958</w:t>
      </w:r>
    </w:p>
    <w:p>
      <w:pPr/>
      <w:r>
        <w:rPr>
          <w:b/>
        </w:rPr>
        <w:t>Shared claim-specific concepts:</w:t>
      </w:r>
      <w:r>
        <w:t xml:space="preserve"> implemented, peripheral, emphasis; EU scope visible. This is a provisional connection, not an outcome finding.</w:t>
      </w:r>
    </w:p>
    <w:p>
      <w:pPr>
        <w:pStyle w:val="SourceNote"/>
      </w:pPr>
      <w:r>
        <w:rPr>
          <w:b/>
        </w:rPr>
        <w:t>Available abstract (not full text):</w:t>
      </w:r>
      <w:r>
        <w:t xml:space="preserve"> This thematic issue discusses the design, implementation, and impact of youth-oriented active labour market policies in Europe, with a particular emphasis on its peripheries. The need to address territorialised, youth-oriented active labour market policies is pressing for several reasons. For one, the whole socioeconomic paradigm is undergoing fundamental changes due to the dual transition (digital and green) that is expected to have an impact on the rural/urban divide. Moreover, at the subnational level, youth unemployment in certain regions is a more pressing problem than suggested by existing studies, which have mostly focused on the national level. This implies that closer inspection of the subnational level, in general, and the peripheral regions, in particular, will reveal more marked cross-national differences. This thematic issue offers a point of departure for the suggested territorialised approach to the study of how active labour market policies for young people are formulated and implemented, and which effects they have on their target groups.</w:t>
      </w:r>
    </w:p>
    <w:p>
      <w:pPr/>
      <w:r>
        <w:rPr>
          <w:b/>
        </w:rPr>
        <w:t>POSSIBLE 2024:</w:t>
      </w:r>
      <w:r>
        <w:t xml:space="preserve"> European statecraft in the Pacific Islands — https://doi.org/10.4324/9781003496441-11</w:t>
      </w:r>
    </w:p>
    <w:p>
      <w:pPr/>
      <w:r>
        <w:rPr>
          <w:b/>
        </w:rPr>
        <w:t>Shared claim-specific concepts:</w:t>
      </w:r>
      <w:r>
        <w:t xml:space="preserve"> island, region, potential; EU scope visible. This is a provisional connection, not an outcome finding.</w:t>
      </w:r>
    </w:p>
    <w:p>
      <w:pPr>
        <w:pStyle w:val="SourceNote"/>
      </w:pPr>
      <w:r>
        <w:rPr>
          <w:b/>
        </w:rPr>
        <w:t>Available abstract (not full text):</w:t>
      </w:r>
      <w:r>
        <w:t xml:space="preserve"> This chapter analyses the European Union, France, Germany, and the United Kingdom statecraft in the Pacific Islands region. Like other partners, Europe has gained a sudden interest in the ‘Indo-Pacific’ as part of the emerging geostrategic competition between the United States and China – – portraying Europe as a ‘mediator’ to prevent conflict. European countries have historically had colonial relationships with many Pacific Island states, but in the last few decades, their statecraft has waned to the point of invisibility. Until very recently, only France was actively deploying statecraft within and through its territories, French Polynesia, New Caledonia, and Wallis and Futuna. But with geopolitical competition, Europe has begun deploying tools of statecraft in the region again: through visits and the establishment of Special Envoys. This chapter analyses the intention and effectiveness of such statecraft, and the potential implications for the Pacific Islands region.</w:t>
      </w:r>
    </w:p>
    <w:p>
      <w:pPr/>
      <w:r>
        <w:rPr>
          <w:b/>
        </w:rPr>
        <w:t>POSSIBLE 2024:</w:t>
      </w:r>
      <w:r>
        <w:t xml:space="preserve"> Repression and growth in the periphery of Europe: The politics of changing growth regime in Turkey — https://doi.org/10.1177/10245294241233093</w:t>
      </w:r>
    </w:p>
    <w:p>
      <w:pPr/>
      <w:r>
        <w:rPr>
          <w:b/>
        </w:rPr>
        <w:t>Shared claim-specific concepts:</w:t>
      </w:r>
      <w:r>
        <w:t xml:space="preserve"> peripheral, emphasis; EU scope visible. This is a provisional connection, not an outcome finding.</w:t>
      </w:r>
    </w:p>
    <w:p>
      <w:pPr>
        <w:pStyle w:val="SourceNote"/>
      </w:pPr>
      <w:r>
        <w:rPr>
          <w:b/>
        </w:rPr>
        <w:t>Available abstract (not full text):</w:t>
      </w:r>
      <w:r>
        <w:t xml:space="preserve"> This study shows that in peripheral economies that are linked into circuits of global capital on unequal terms, attempts to change the core features of an existing growth regime without broader political support intensify externally induced conflict among the ruling coalition. Under these circumstances, a transition to a new demand regime within a short time frame is more likely to take place via authoritarian intervention when the political cost of repression is lower than the cost of redistribution. In developing these points, the analysis builds on evidence from Turkey: following the 2008 global credit crunch, the Justice and Development Party’s (Adalet ve Kalkinma Partisi, AKP) domestic demand-led and credit-fueled growth under dependent financialization has experienced a major crisis. However, the subsequent push to replace this regime with a profit-led model with an emphasis on exports worsened the conflict among the political coalition supporting the party as their preferences over monetary policy began to diverge. A temporary resolution of this deepening rift has been possible by way of an authoritarian intervention under R. T. Erdogan’s presidential bid in 2017–18. By situating the debate on the relationship between growth regimes and political institutions, the study further unpacks the nexus between democratic backsliding, dominant social blocs, and economic growth i</w:t>
      </w:r>
    </w:p>
    <w:p>
      <w:pPr/>
      <w:r>
        <w:rPr>
          <w:b/>
        </w:rPr>
        <w:t>POSSIBLE 2024:</w:t>
      </w:r>
      <w:r>
        <w:t xml:space="preserve"> Local economic development strategies in a medium-sized city on the European periphery: a path to become an economic center of Eastern Central Europe importance — https://doi.org/10.3389/fpos.2024.1335735</w:t>
      </w:r>
    </w:p>
    <w:p>
      <w:pPr/>
      <w:r>
        <w:rPr>
          <w:b/>
        </w:rPr>
        <w:t>Shared claim-specific concepts:</w:t>
      </w:r>
      <w:r>
        <w:t xml:space="preserve"> small, emphasis, local; EU scope visible. This is a provisional connection, not an outcome finding.</w:t>
      </w:r>
    </w:p>
    <w:p>
      <w:pPr>
        <w:pStyle w:val="SourceNote"/>
      </w:pPr>
      <w:r>
        <w:rPr>
          <w:b/>
        </w:rPr>
        <w:t>Available abstract (not full text):</w:t>
      </w:r>
      <w:r>
        <w:t xml:space="preserve"> Large cities are becoming increasingly valuable in the spatial structure of globalized economies. Although these centers vary significantly regarding population, economic structure, and income conditions, they—compared to their surroundings—generally show a higher productivity level, a higher rate of employment, higher education, and higher innovation performance. However, this metropolization and concentration of the economy in large cities made the development of cities regarded as medium-sized on an international scale an issue of competitiveness in Europe, characterized by dense town networks, a small number of metropolises, and a significant weight of medium- and small-sized towns. However, one of the main preconditions for achieving success in this competition is to form a comprehensive and complex concept with a significant emphasis on economic development. Therefore, the aim of our study is to analyze the local economic development strategies for the last three decades, as elaborated in Debrecen. In the framework of our empirical analysis, we examined how different mainstream concepts appear in local development strategies and which development objectives are determined by the local strategies. Furthermore, we also aimed to identify possible changes in ideas about city roles by referring to the organization of economic space.</w:t>
      </w:r>
    </w:p>
    <w:p>
      <w:pPr/>
      <w:r>
        <w:rPr>
          <w:b/>
        </w:rPr>
        <w:t>POSSIBLE 2023:</w:t>
      </w:r>
      <w:r>
        <w:t xml:space="preserve"> European Academy of Neurology/Peripheral Nerve Society Guideline on diagnosis and treatment of Guillain–Barré syndrome — https://doi.org/10.1111/ene.16073</w:t>
      </w:r>
    </w:p>
    <w:p>
      <w:pPr/>
      <w:r>
        <w:rPr>
          <w:b/>
        </w:rPr>
        <w:t>Shared claim-specific concepts:</w:t>
      </w:r>
      <w:r>
        <w:t xml:space="preserve"> specific, peripheral; EU scope visible. This is a provisional connection, not an outcome finding.</w:t>
      </w:r>
    </w:p>
    <w:p>
      <w:pPr>
        <w:pStyle w:val="SourceNote"/>
      </w:pPr>
      <w:r>
        <w:rPr>
          <w:b/>
        </w:rPr>
        <w:t>Available abstract (not full text):</w:t>
      </w:r>
      <w:r>
        <w:t xml:space="preserve"> Guillain-Barré syndrome (GBS) is an acute polyradiculoneuropathy. Symptoms may vary greatly in presentation and severity. Besides weakness and sensory disturbances, patients may have cranial nerve involvement, respiratory insufficiency, autonomic dysfunction and pain. To develop an evidence-based guideline for the diagnosis and treatment of GBS, using Grading of Recommendations, Assessment, Development and Evaluation (GRADE) methodology a Task Force (TF) of the European Academy of Neurology (EAN) and the Peripheral Nerve Society (PNS) constructed 14 Population/Intervention/Comparison/Outcome questions (PICOs) covering diagnosis, treatment and prognosis of GBS, which guided the literature search. Data were extracted and summarised in GRADE Summaries of Findings (for treatment PICOs) or Evidence Tables (for diagnostic and prognostic PICOs). Statements were prepared according to GRADE Evidence-to-Decision (EtD) frameworks. For the six intervention PICOs, evidence-based recommendations are made. For other PICOs, good practice points (GPPs) are formulated. For diagnosis, the principal GPPs are: GBS is more likely if there is a history of recent diarrhoea or respiratory infection; CSF examination is valuable, particularly when the diagnosis is less certain; electrodiagnostic testing is advised to support the diagnosis; testing for anti-ganglioside antibodies is of limited clinical va</w:t>
      </w:r>
    </w:p>
    <w:p>
      <w:pPr/>
      <w:r>
        <w:rPr>
          <w:b/>
        </w:rPr>
        <w:t>POSSIBLE 2023:</w:t>
      </w:r>
      <w:r>
        <w:t xml:space="preserve"> Rethinking regional attractiveness in the Balearic Islands region of Spain — https://doi.org/10.1787/47bf5ec1-en</w:t>
      </w:r>
    </w:p>
    <w:p>
      <w:pPr/>
      <w:r>
        <w:rPr>
          <w:b/>
        </w:rPr>
        <w:t>Shared claim-specific concepts:</w:t>
      </w:r>
      <w:r>
        <w:t xml:space="preserve"> region, sustainable, environment; EU scope visible. This is a provisional connection, not an outcome finding.</w:t>
      </w:r>
    </w:p>
    <w:p>
      <w:pPr>
        <w:pStyle w:val="SourceNote"/>
      </w:pPr>
      <w:r>
        <w:rPr>
          <w:b/>
        </w:rPr>
        <w:t>Available abstract (not full text):</w:t>
      </w:r>
      <w:r>
        <w:t xml:space="preserve"> The impact of the COVID-19 crisis, compounded by the consequences of Russia’s war of aggression against Ukraine and existing megatrends (e.g. climate change, globalisation, digitalisation and demographic change), continue to produce asymmetric effects within and between countries and regions, with the scope and scale depending on their unique characteristics. The OECD’s work on rethinking regional attractiveness policies in the new global environment, is undertaken with the support of the European Commission (DG REGIO) and is a priority activity of the Regional Development Policy Committee (RDPC). Working closely with 15 regions in 5 OECD member countries (Ireland, Italy, Portugal, Spain and Sweden), it aims to help regional and national policy-makers to better understand the position of regions in an evolving global context, including emerging challenges and opportunities, and identify the policy levers at their disposal to enhance the attractiveness of regions to the key international target groups of investors (including exporters), talent, and visitors. In doing so, it seeks to support regions transition towards new territorial development policies that promote inclusive, sustainable, and resilient development, while enhancing regional attractiveness.</w:t>
      </w:r>
    </w:p>
    <w:p>
      <w:pPr/>
      <w:r>
        <w:rPr>
          <w:b/>
        </w:rPr>
        <w:t>POSSIBLE 2022:</w:t>
      </w:r>
      <w:r>
        <w:t xml:space="preserve"> International Open Innovation Strategies of Firms in European Peripheral Regions — https://doi.org/10.3390/joitmc8010007</w:t>
      </w:r>
    </w:p>
    <w:p>
      <w:pPr/>
      <w:r>
        <w:rPr>
          <w:b/>
        </w:rPr>
        <w:t>Shared claim-specific concepts:</w:t>
      </w:r>
      <w:r>
        <w:t xml:space="preserve"> peripheral, local, used; EU scope visible. This is a provisional connection, not an outcome finding.</w:t>
      </w:r>
    </w:p>
    <w:p>
      <w:pPr>
        <w:pStyle w:val="SourceNote"/>
      </w:pPr>
      <w:r>
        <w:rPr>
          <w:b/>
        </w:rPr>
        <w:t>Available abstract (not full text):</w:t>
      </w:r>
      <w:r>
        <w:t xml:space="preserve"> The involvement of companies in different open innovation activities, through knowledge outputs and inputs, has become increasingly important for the success of companies.However, the existing literature on open innovation is scarce concerning the internationalization process of companies.The internationalization of companies is fundamental in the continuous search to increase the performance of companies externally.The objective of the present research is to explain the strategic processes in the internationalization of companies located in peripheral regions at the time of the COVID-19 pandemic from the perspective of dynamic capabilities.The sample used for this research is composed of seven Portuguese companies.The methodology of qualitative nature is exploratory and uses a case study approach.Regarding the foremost modes of operation in international markets and strategies, we find that (1) companies have partnerships with local distributors or appoint exclusive importers/distributors, and (2) companies prefer to place their products in the market through their brand, "co-branded" projects with retailers, or "private label" projects.Of the seven companies under study, six use a standardization strategy, and one opts for a configuration-coordination strategy.Our findings clarified the literature on export and internationalization strategies in a peripheral country, allowing</w:t>
      </w:r>
    </w:p>
    <w:p>
      <w:pPr/>
      <w:r>
        <w:rPr>
          <w:b/>
        </w:rPr>
        <w:t>POSSIBLE 2022:</w:t>
      </w:r>
      <w:r>
        <w:t xml:space="preserve"> The coronavirus and center-peripheral relations in the economies of the European Union — https://doi.org/10.2478/ijme-2022-0017</w:t>
      </w:r>
    </w:p>
    <w:p>
      <w:pPr/>
      <w:r>
        <w:rPr>
          <w:b/>
        </w:rPr>
        <w:t>Shared claim-specific concepts:</w:t>
      </w:r>
      <w:r>
        <w:t xml:space="preserve"> potential, external; EU scope visible. This is a provisional connection, not an outcome finding.</w:t>
      </w:r>
    </w:p>
    <w:p>
      <w:pPr>
        <w:pStyle w:val="SourceNote"/>
      </w:pPr>
      <w:r>
        <w:rPr>
          <w:b/>
        </w:rPr>
        <w:t>Available abstract (not full text):</w:t>
      </w:r>
      <w:r>
        <w:t xml:space="preserve"> Abstract From the perspective of the diversity of capitalism and that of economic sociology, the article deals with the issue of center-peripheral relations as one of the key dimensions of economic diversification that determines the development opportunities of the European Union. The collapse of the convergence processes during the 2008–2010 financial crisis revealed the separateness of development trajectories of various countries and geographical regions of the EU. Without reversing this phenomenon and working out new mechanisms of development convergence and institutions supporting them, the process of European integration will enter further structural crises that may lead to the disintegration of the EU. Various classifications of the core and of the peripheries of the euro area are characterized, within which several types of countries are identified with different economic characteristics (countries of the Northern core and of the Southern peripheries of the euro area, different types of peripheries in Southern Europe and in Central and Eastern Europe, the internal core and the external core or the outer core, and the internal peripheries and the external peripheries, as well as the super-peripheries including candidates or potential candidates to join the EU). The COVID-19 crisis has an asymmetric impact on the economic situation of the Member States. As with other cri</w:t>
      </w:r>
    </w:p>
    <w:p>
      <w:pPr/>
      <w:r>
        <w:rPr>
          <w:b/>
        </w:rPr>
        <w:t>POSSIBLE 2022:</w:t>
      </w:r>
      <w:r>
        <w:t xml:space="preserve"> Exercise Testing in Heart Failure with Preserved Ejection Fraction: An Appraisal Through Diagnosis, Pathophysiology and Therapy – A Clinical Consensus Statement of the Heart Failure Association and European Association of Preventive Cardiology of the European Society of Cardiology — https://doi.org/10.1002/ejhf.2601</w:t>
      </w:r>
    </w:p>
    <w:p>
      <w:pPr/>
      <w:r>
        <w:rPr>
          <w:b/>
        </w:rPr>
        <w:t>Shared claim-specific concepts:</w:t>
      </w:r>
      <w:r>
        <w:t xml:space="preserve"> specific, peripheral, information; EU scope visible. This is a provisional connection, not an outcome finding.</w:t>
      </w:r>
    </w:p>
    <w:p>
      <w:pPr>
        <w:pStyle w:val="SourceNote"/>
      </w:pPr>
      <w:r>
        <w:rPr>
          <w:b/>
        </w:rPr>
        <w:t>Available abstract (not full text):</w:t>
      </w:r>
      <w:r>
        <w:t xml:space="preserve"> Patients with heart failure with preserved ejection fraction (HFpEF) universally complain of exercise intolerance and dyspnoea as key clinical correlates. Cardiac as well as extracardiac components play a role for the limited exercise capacity, including an impaired cardiac and peripheral vascular reserve, a limitation in mechanical ventilation and/or gas exchange with reduced pulmonary vascular reserve, skeletal muscle dysfunction and iron deficiency/anaemia. Although most of these components can be differentiated and quantified through gas exchange analysis by cardiopulmonary exercise testing (CPET), the information provided by objective measures of exercise performance has not been systematically considered in the recent algorithms/scores for HFpEF diagnosis, by neither European nor US groups. The current clinical consensus statement by the Heart Failure Association (HFA) and European Association of Preventive Cardiology (EAPC) of the European Society of Cardiology (ESC) aims at outlining the role of exercise testing and its pathophysiological, clinical and prognostic insights, addressing the implications of a thorough functional evaluation from the diagnostic algorithm to the pathophysiology and treatment perspectives of HFpEF. Along with these goals, we provide a specific analysis of the evidence that CPET is the standard for assessing, quantifying, and differentiating the</w:t>
      </w:r>
    </w:p>
    <w:p>
      <w:pPr>
        <w:pStyle w:val="Heading2"/>
      </w:pPr>
      <w:r>
        <w:t>863. After crisis scenarios for Europe: alternative evolutions of structural adjustments</w:t>
      </w:r>
    </w:p>
    <w:p>
      <w:pPr>
        <w:pStyle w:val="SourceNote"/>
      </w:pPr>
      <w:r>
        <w:rPr>
          <w:b/>
        </w:rPr>
        <w:t>Original source (2015):</w:t>
      </w:r>
      <w:r>
        <w:t xml:space="preserve"> https://doi.org/10.1093/cjres/rsv023</w:t>
      </w:r>
    </w:p>
    <w:p>
      <w:pPr/>
      <w:r>
        <w:t>Original wording (abstract; indexed_source_text_not_full_document_verified): The effects that these structural changes will generate are difficult to be foreseen. This article builds after-crisis scenarios for Europe on the basis of alternative evolutions of these structural changes.</w:t>
      </w:r>
    </w:p>
    <w:p>
      <w:pPr/>
      <w:r>
        <w:rPr>
          <w:b/>
        </w:rPr>
        <w:t>POSSIBLE 2026:</w:t>
      </w:r>
      <w:r>
        <w:t xml:space="preserve"> Enabling 1.5 °C lifestyles in Europe: lifestyle options and structural change for transformation — https://doi.org/10.1080/15487733.2026.2657131</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Scholars have shown that lifestyle change is pivotal for any effective climate-mitigation scenario. But what lifestyle changes are needed and how can they be enabled and mainstreamed? This is the question pursued by the EU 1.5° Lifestyles project, the results of which the article summarizes and synthesizes. The project integrated quantitative and qualitative methods, ranging from input-output analysis-based footprint calculations to co-creative “thinking labs” and policy Delphi workshops across five European countries (Germany, Hungary, Latvia, Spain, and Sweden) to identify the most impactful lifestyle changes; determine conditions for their mainstreaming; suggest how rebound effects could be prevented; uncover the main political, economic, and societal barriers to lifestyle change and governance in its pursuit; and assess how changes in welfare systems and business models could contribute to lifestyle change. Our results show that changing from car-based mobility (especially internal combustion engine-powered cars) to other modes of transport has the largest emissions-reduction potential across a range of European countries, with changes in housing, especially switching to renewable-based heating systems, comprising a second group of impactful options. The article also shows that achieving meaningful changes in lifestyles requires transforming politico-economic, technological</w:t>
      </w:r>
    </w:p>
    <w:p>
      <w:pPr/>
      <w:r>
        <w:rPr>
          <w:b/>
        </w:rPr>
        <w:t>POSSIBLE 2026:</w:t>
      </w:r>
      <w:r>
        <w:t xml:space="preserve"> Enabling 1.5 °C lifestyles in Europe: lifestyle options and structural change for transformation — https://doi.org/10.6084/m9.figshare.32180302</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Scholars have shown that lifestyle change is pivotal for any effective climate-mitigation scenario. But what lifestyle changes are needed and how can they be enabled and mainstreamed? This is the question pursued by the EU 1.5° Lifestyles project, the results of which the article summarizes and synthesizes. The project integrated quantitative and qualitative methods, ranging from input-output analysis-based footprint calculations to co-creative “thinking labs” and policy Delphi workshops across five European countries (Germany, Hungary, Latvia, Spain, and Sweden) to identify the most impactful lifestyle changes; determine conditions for their mainstreaming; suggest how rebound effects could be prevented; uncover the main political, economic, and societal barriers to lifestyle change and governance in its pursuit; and assess how changes in welfare systems and business models could contribute to lifestyle change. Our results show that changing from car-based mobility (especially internal combustion engine-powered cars) to other modes of transport has the largest emissions-reduction potential across a range of European countries, with changes in housing, especially switching to renewable-based heating systems, comprising a second group of impactful options. The article also shows that achieving meaningful changes in lifestyles requires transforming politico-economic, technological</w:t>
      </w:r>
    </w:p>
    <w:p>
      <w:pPr/>
      <w:r>
        <w:rPr>
          <w:b/>
        </w:rPr>
        <w:t>POSSIBLE 2025:</w:t>
      </w:r>
      <w:r>
        <w:t xml:space="preserve"> Health Effects of Interpersonal and Structural Discrimination on Minority Groups in Europe — https://doi.org/10.1111/1467-9566.70054</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This article analyses the health effects of discrimination experiences across several minority groups in Europe. Despite a broad literature advancing the idea that discrimination is a focal point for the social determinants of health among minority groups, research attempting to disentangle the health effects of interpersonal forms of discrimination and harassment from structural forms of discrimination is underexamined. Furthermore, these experiences may impact different minority groups to a greater or lesser extent due to that group's position in the social hierarchy. We address this gap in the literature by analysing the Second European Union Minorities and Discrimination Survey (EU-MIDIS II), including 19,179 respondents in six minority groups across 25 countries. We show that experiencing interpersonal discrimination and harassment has a large and consistent negative effect on the health of respondents across all groups, with some variation across different minority groups. This finding is concerning given how common these experiences are in the European context. We also show a small but consistent relationship across groups between living in segregated neighbourhoods and poorer health, whereas a negative relationship between health and living in overcrowded housing exists only for the Russian minority.</w:t>
      </w:r>
    </w:p>
    <w:p>
      <w:pPr/>
      <w:r>
        <w:rPr>
          <w:b/>
        </w:rPr>
        <w:t>POSSIBLE 2022:</w:t>
      </w:r>
      <w:r>
        <w:t xml:space="preserve"> Thinking outside the box, improvisation, and fast learning: Designing policy robustness to deal with what cannot be foreseen — https://doi.org/10.1111/padm.12861</w:t>
      </w:r>
    </w:p>
    <w:p>
      <w:pPr/>
      <w:r>
        <w:rPr>
          <w:b/>
        </w:rPr>
        <w:t>Shared claim-specific concepts:</w:t>
      </w:r>
      <w:r>
        <w:t xml:space="preserve"> foreseen, article, builds; EU scope not established. This is a provisional connection, not an outcome finding.</w:t>
      </w:r>
    </w:p>
    <w:p>
      <w:pPr>
        <w:pStyle w:val="SourceNote"/>
      </w:pPr>
      <w:r>
        <w:rPr>
          <w:b/>
        </w:rPr>
        <w:t>Available abstract (not full text):</w:t>
      </w:r>
      <w:r>
        <w:t xml:space="preserve"> Abstract Policies are continually subjected to turbulence and crises. Interest in policy robustness as a fundamental way to deal with what cannot be foreseen is increasing. Thus, there is a flourishing stream of literature suggesting that policies need to be designed to be agile and flexible. However, the associated characteristics remain undeveloped. This article fills this gap by drawing on lessons obtained from the unplanned behaviors that were adopted in the management of the COVID‐19 pandemic. Individual and organizational behaviors characterized by outside the box thinking, improvisation, and fast learning yielded solutions to unexpected problems. In this article, some of these emblematic unplanned behaviors are assessed, and the research builds on the literature on policy robustness, crisis management, and organizational theory to identify three enabling conditions to design more robust policies: coordinated autonomy, training for unplanned responses, and political institutional capacity.</w:t>
      </w:r>
    </w:p>
    <w:p>
      <w:pPr/>
      <w:r>
        <w:rPr>
          <w:b/>
        </w:rPr>
        <w:t>POSSIBLE 2022:</w:t>
      </w:r>
      <w:r>
        <w:t xml:space="preserve"> Labor productivity in the agriculture, structural shifts and economic growth in the Central and Eastern European countries — https://doi.org/10.51599/are.2022.08.04.01</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Purpose. In our article, we assess the scope and directions of changes in agricultural labor productivity compared to other sectors of the economy. Methodology / approach. For our survey we choose 15 countries: (і) EU countries – Bulgaria, Czech Republic, Estonia, Hungary, Latvia, Lithuania, Poland, Romania, Slovakia and Slovenia, as well (іі) post-Soviet European countries – Ukraine, Moldova, Belarus, russia and also (ііі) Albania for period 1996–2019. We use an empirical methodology designed to analyze structural decomposition of labor productivity into the growth effect within the sector and structural dynamic and static effects, often called ‘shift-share analysis’. We analyze process of convergence of sectoral labor productivity and its impact on economic growth. Results. Labor productivity grows in the agricultural sector of the economy at the fastest rate, on average by almost 12 % per year. The growth effects within the industry takes a dominant position in all sectors of the economy in the countries of Central and Eastern Europe and its share is on average 88.5 %, and the structural effects are as follows: the dynamic effect is almost 1%, the static effect is 10.4 %. We have confirmed that the agricultural sector is gaining weight in the economic growth of the countries of Central and Eastern Europe, the influence of the service sector is increasing, although together t</w:t>
      </w:r>
    </w:p>
    <w:p>
      <w:pPr/>
      <w:r>
        <w:rPr>
          <w:b/>
        </w:rPr>
        <w:t>POSSIBLE 2020:</w:t>
      </w:r>
      <w:r>
        <w:t xml:space="preserve"> Structural Changes in Agricultural Cooperatives Following Bulgaria’s European Union Integration — https://doi.org/10.37075/isa.2020.4.05</w:t>
      </w:r>
    </w:p>
    <w:p>
      <w:pPr/>
      <w:r>
        <w:rPr>
          <w:b/>
        </w:rPr>
        <w:t>Shared claim-specific concepts:</w:t>
      </w:r>
      <w:r>
        <w:t xml:space="preserve"> structural, article, basis; EU scope visible. This is a provisional connection, not an outcome finding.</w:t>
      </w:r>
    </w:p>
    <w:p>
      <w:pPr>
        <w:pStyle w:val="SourceNote"/>
      </w:pPr>
      <w:r>
        <w:rPr>
          <w:b/>
        </w:rPr>
        <w:t>Available abstract (not full text):</w:t>
      </w:r>
      <w:r>
        <w:t xml:space="preserve"> The article aims to analyze the structural changes in agricultural cooperatives in Bulgaria, in terms of the Common Agricultural Policy (CAP) of the European Union (EU) and, on this basis, outline the main trends in their development. The analysis is based on official statistical information from the Ministry of Agriculture and Food and Forestry (MAF) “Agrostatistics”, primary data “Agricultural and Accounting Information System” (FADN) National Strategic Institute (NSI). The trend of changing the following indicators is investigated: number of agricultural cooperatives in Bulgaria, changes in the utilized agricultural area (UAA,); changes in arable land, average size of UAA, labor force, dynamics of the production structure (crop and livestock) for the 2007-2016 period. The results show that, as a consequence of the implementation of the CAP for the 2007-2016 period, structural changes in agricultural cooperatives are reported. They are expressed in the lasting tendency to decrease both their number and the land they manage. The analysis shows that the incentives under the various CAP support schemes have positive effects on the diversification of crop production. In general, the areas with cereals and oilseeds have decreased over the years. In 2016, there was an increase in the production of fresh fruits and vegetables as a result of the implementation of CAP measures resulti</w:t>
      </w:r>
    </w:p>
    <w:p>
      <w:pPr/>
      <w:r>
        <w:rPr>
          <w:b/>
        </w:rPr>
        <w:t>POSSIBLE 2019:</w:t>
      </w:r>
      <w:r>
        <w:t xml:space="preserve"> Is decoupling a red herring? The role of structural effects and energy policies in Europe — https://doi.org/10.1016/j.enpol.2018.12.028</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Decoupling energy consumption and carbon emissions from economic growth is at the core of the climate change debate: successful decoupling is evidence that efficiency measures can be economically sustainable. In this article, the authors analyze the underlying nature of this decoupling in the European Union from 1990 to 2014. The objective is to quantify the role of structural changes and the effectiveness of energy efficiency measures in lowering energy consumption. We decompose final energy consumption per sector, including households and transportation into three key drivers: economic growth, economic structure and energy intensity. Our results show that a significant part of the reduction in energy consumption can be attributed to structural changes, such as deindustrialization, while an equally significant part can be attributed to energy efficiency. This further corroborates the idea that much of the observed decoupling is virtual; largely due to outsourcing of energy intensive activities. Energy is then imported in the form of embodied energy in goods and services. The dynamics of these effects suggest that a shift in our understanding of decoupling is necessary. The implementation of effective energy efficiency policies, accounting for embodied energy, remain of high priority.</w:t>
      </w:r>
    </w:p>
    <w:p>
      <w:pPr/>
      <w:r>
        <w:rPr>
          <w:b/>
        </w:rPr>
        <w:t>POSSIBLE 2019:</w:t>
      </w:r>
      <w:r>
        <w:t xml:space="preserve"> PATTERNS OF STRUCTURAL CHANGES IN CEE ECONOMIES IN NEW MILLENNIUM — https://doi.org/10.3846/tede.2019.11253</w:t>
      </w:r>
    </w:p>
    <w:p>
      <w:pPr/>
      <w:r>
        <w:rPr>
          <w:b/>
        </w:rPr>
        <w:t>Shared claim-specific concepts:</w:t>
      </w:r>
      <w:r>
        <w:t xml:space="preserve"> structural, difficult; EU scope visible. This is a provisional connection, not an outcome finding.</w:t>
      </w:r>
    </w:p>
    <w:p>
      <w:pPr>
        <w:pStyle w:val="SourceNote"/>
      </w:pPr>
      <w:r>
        <w:rPr>
          <w:b/>
        </w:rPr>
        <w:t>Available abstract (not full text):</w:t>
      </w:r>
      <w:r>
        <w:t xml:space="preserve"> In the era of intensive globalization and frequent economic shocks, boosting the GDP growth becomes the most difficult task and main preoccupation of policymakers. This is particularly true for Central Eastern European countries or so called CEE countries, which are trying to overcome contemporary and inherited imbalances at the same time. These economies were faced with another huge challenge after 2008. They have to maintain the same pace of structural reforms during the global economic crisis and to mitigate the negative effects of the crisis on economic growth. In that sense, the aim of this paper is to provide insight into a structural change in these economies in the period 2000–2014, using Leontief input-output analysis of the key sectors. The results pointed out that most of the key sectors during the period are service related sectors and that their number is increased after the crisis, while manufacturing of basic metals and electricity, gas, steam, and air conditioning supply have lost the status of the key sector.</w:t>
      </w:r>
    </w:p>
    <w:p>
      <w:pPr/>
      <w:r>
        <w:rPr>
          <w:b/>
        </w:rPr>
        <w:t>POSSIBLE 2018:</w:t>
      </w:r>
      <w:r>
        <w:t xml:space="preserve"> Decoupling energy use and economic growth: Counter evidence from structural effects and embodied energy in trade — https://doi.org/10.1016/j.apenergy.2018.01.044</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Decoupling economic growth from energy consumption is a wide spread attempt to decarbonize economic activities and increase energy security. Almost all members of the European Union have decoupled the two since 2005 as measured by a steady decline in energy intensity, the ratio of final energy consumption and gross domestic product. Economic growth, energy efficiency and structural changes have all contributed to changes in energy intensity of economic activities at the national level. In this article, the authors analyze to what extent decoupling can be attributed to each of these three factors and in particular structural effects, namely deindustrialization and tertiarization, which shifts energy consumption abroad and re-imports it as embodied energy in products. We quantify the effects of structural changes, economic growth and energy efficiency measures as well as embodied energy in trade at the level of economic activities. The methodological approach combines decomposition and input-output analysis to address boundary cases where monetary trade surpluses meet energy trade deficits. Switzerland provides a case in point with the added hurdle of low data availability per economic activity over time. The results show that the share of embodied energy in imports has reached 81% of final energy consumption in economic activities. A comparison of energy intensities with and wit</w:t>
      </w:r>
    </w:p>
    <w:p>
      <w:pPr/>
      <w:r>
        <w:rPr>
          <w:b/>
        </w:rPr>
        <w:t>POSSIBLE 2016:</w:t>
      </w:r>
      <w:r>
        <w:t xml:space="preserve"> Frequency effects and structural change - the Afrikaans preterite — https://doi.org/10.5774/45-0-207</w:t>
      </w:r>
    </w:p>
    <w:p>
      <w:pPr/>
      <w:r>
        <w:rPr>
          <w:b/>
        </w:rPr>
        <w:t>Shared claim-specific concepts:</w:t>
      </w:r>
      <w:r>
        <w:t xml:space="preserve"> structural, article; EU scope not established. This is a provisional connection, not an outcome finding.</w:t>
      </w:r>
    </w:p>
    <w:p>
      <w:pPr>
        <w:pStyle w:val="SourceNote"/>
      </w:pPr>
      <w:r>
        <w:rPr>
          <w:b/>
        </w:rPr>
        <w:t>Available abstract (not full text):</w:t>
      </w:r>
      <w:r>
        <w:t xml:space="preserve"> According to emergent grammar and exemplar theory in cognitive linguistics, the frequency of an item affects its behaviour in terms of structural change. In this article, I illustrate how high frequency items, such as preterital modal auxiliaries and copulas in Afrikaans, resist regularising with the rest of the Afrikaans verbal system. Items with a moderately high frequency can resist change for a time, but succumb to it eventually, such as mog (“might”) and wis (“knew”). While the course of change can also be affected by other factors, such as het (“have”) and had (“had”), and dink (“think”) and gedink/dag/dog (“thought”) show, the data in diachronic Afrikaans corpora from 1911 to 2010 confirm that high frequency items resist structural change to a large extent, while low frequency items do not. This links with the cognitive representation of language and language processing, and illustrates how the use of language shapes the structure of language.</w:t>
      </w:r>
    </w:p>
    <w:p>
      <w:pPr/>
      <w:r>
        <w:rPr>
          <w:b/>
        </w:rPr>
        <w:t>POSSIBLE 2016:</w:t>
      </w:r>
      <w:r>
        <w:t xml:space="preserve"> Comparative Susceptibility and Differential Effects on the Two European Courts: A Study of Grasstops Mobilizations around Religion — https://doi.org/10.1093/ojlr/rww050</w:t>
      </w:r>
    </w:p>
    <w:p>
      <w:pPr/>
      <w:r>
        <w:rPr>
          <w:b/>
        </w:rPr>
        <w:t>Shared claim-specific concepts:</w:t>
      </w:r>
      <w:r>
        <w:t xml:space="preserve"> structural, article; EU scope visible. This is a provisional connection, not an outcome finding.</w:t>
      </w:r>
    </w:p>
    <w:p>
      <w:pPr>
        <w:pStyle w:val="SourceNote"/>
      </w:pPr>
      <w:r>
        <w:rPr>
          <w:b/>
        </w:rPr>
        <w:t>Available abstract (not full text):</w:t>
      </w:r>
      <w:r>
        <w:t xml:space="preserve"> ‘Grasstops mobilizations’ in the context of the European Court of Human Rights and the Court of Justice of the European Union refers to legal and political mobilization carried out by cause lawyers, NGOs, religious, secularist and humanist organizations, political figures and national governments, and by transnational networks which may develop within and between the above groups, depending on their stakes in a given issue. In the domain of religion, such grasstops mobilizations may seek to influence what religion-related issues get placed on a court’s agenda and the climate within which the Court takes its decisions on the latter; they are forces at the European and transnational levels potentially influencing the Court’s engagements with and ultimate handling of religion-related cases. This article draws on interviews carried out with various actors engaged with or impacted by mobilizations around the European courts to yield special insight into who mobilizes, for what reasons and to what effects, and into the conditions under which particular political, religious, or NGO actors are influential. Based upon the latter research as well as examination of certain structural differences between the two courts rendering them differently ‘open’ to various pressures, this contribution considers the comparative susceptibility of the two courts to such mobilizations.</w:t>
      </w:r>
    </w:p>
    <w:p>
      <w:pPr/>
      <w:r>
        <w:rPr>
          <w:b/>
        </w:rPr>
        <w:t>POSSIBLE 2016:</w:t>
      </w:r>
      <w:r>
        <w:t xml:space="preserve"> The new ambitions for 2014-2020 European structural and investment funds evaluation: pouring water in a leaking container? — https://openalex.org/W2552820326</w:t>
      </w:r>
    </w:p>
    <w:p>
      <w:pPr/>
      <w:r>
        <w:rPr>
          <w:b/>
        </w:rPr>
        <w:t>Shared claim-specific concepts:</w:t>
      </w:r>
      <w:r>
        <w:t xml:space="preserve"> structural, foreseen, article; EU scope visible. This is a provisional connection, not an outcome finding.</w:t>
      </w:r>
    </w:p>
    <w:p>
      <w:pPr>
        <w:pStyle w:val="SourceNote"/>
      </w:pPr>
      <w:r>
        <w:rPr>
          <w:b/>
        </w:rPr>
        <w:t>Available abstract (not full text):</w:t>
      </w:r>
      <w:r>
        <w:t xml:space="preserve"> One of the recurring criticisms that have been levied to EU Cohesion policy has been its inability to prove its effectiveness and value for money. These criticisms, and the parallel growing pressures to reduce the resources assigned to the policy in recent rounds of budget negotiations, have led to the introduction of changes in the regulatory obligations attached to funding. In the 2014-2020 regulations, efforts to improve the policy’s effectiveness have primarily related to a set of new obligations intended to improve the results-orientation of programme design and implementation, and to a strengthening of the purposefulness of evaluation activities, including through a shift from evaluating implementation to appraising impacts. This article focuses on the latter theme. It reviews the main evaluation obligations foreseen by the Common Provisions Regulations (CPR) and the change in evaluation focus advocated by DG REGIO, the preparation of Evaluation Plans in selected EU programmes and these plans’ coverage, focus, objectives and resources. The article concludes with some reflections on the challenges that the new regulatory framework entails for managing authorities. It argues that the new CPR and Commission guidance notes are addressing past weaknesses by adding new demands to old ones without having sufficiently addressed the problems behind the partly ineffectual responses</w:t>
      </w:r>
    </w:p>
    <w:p>
      <w:pPr>
        <w:pStyle w:val="Heading2"/>
      </w:pPr>
      <w:r>
        <w:t>864. Analyst earnings forecast revision activity around profit warnings across four European countries</w:t>
      </w:r>
    </w:p>
    <w:p>
      <w:pPr>
        <w:pStyle w:val="SourceNote"/>
      </w:pPr>
      <w:r>
        <w:rPr>
          <w:b/>
        </w:rPr>
        <w:t>Original source (2015):</w:t>
      </w:r>
      <w:r>
        <w:t xml:space="preserve"> https://doi.org/10.1108/jaar-01-2013-0005</w:t>
      </w:r>
    </w:p>
    <w:p>
      <w:pPr/>
      <w:r>
        <w:t>Original wording (abstract; indexed_source_text_not_full_document_verified): Research limitations/implications – The sample is only composed on firms from four European countries owing to a lack of firms from other European countries that disclosed PW during the period 2000-2010. It would be pertinent to conduct future research dealing with an international sample from different continents.</w:t>
      </w:r>
    </w:p>
    <w:p>
      <w:pPr/>
      <w:r>
        <w:rPr>
          <w:b/>
        </w:rPr>
        <w:t>POSSIBLE 2025:</w:t>
      </w:r>
      <w:r>
        <w:t xml:space="preserve"> Artificial Intelligence (AI): Educational Implications, Limitations and Future of Learning in Higher Education in Oyo State — https://doi.org/10.52589/bjeldp-vjwdllek</w:t>
      </w:r>
    </w:p>
    <w:p>
      <w:pPr/>
      <w:r>
        <w:rPr>
          <w:b/>
        </w:rPr>
        <w:t>Shared claim-specific concepts:</w:t>
      </w:r>
      <w:r>
        <w:t xml:space="preserve"> limitations, implications, lack; EU scope visible. This is a provisional connection, not an outcome finding.</w:t>
      </w:r>
    </w:p>
    <w:p>
      <w:pPr>
        <w:pStyle w:val="SourceNote"/>
      </w:pPr>
      <w:r>
        <w:rPr>
          <w:b/>
        </w:rPr>
        <w:t>Available abstract (not full text):</w:t>
      </w:r>
      <w:r>
        <w:t xml:space="preserve"> In recent times, the invention and advancement of Artificial Intelligence (AI) technologies introduced by developed nations, particularly America, Europe, and Asia, has been seen as a new landmark in globalization. This new innovation has ushered in new opportunities and threats to humanity, hence the need to investigate Artificial Intelligence (AI): Educational Implications, Limitations, and the Future of Learning and Research in Nigeria. A descriptive survey research design of the ex-post facto type was adopted for the study. The population of the study consists of all the 350 academic staff in Emmanuel Alayande University of Education, Oyo, as of 2025. Emmanuel Alayande University of Education was possessively sampled using the purposive sampling technique. A multistage sampling procedure was adopted; thus, stratified random sampling was used to select 3 faculties, 9 departments and a total of one hundred and five lecturers using a simple random sampling technique. A self-developed instrument titled “Artificial Intelligence, Educational Implications, Limitations and Future of Learning Questionnaire (AIEILFLQ)” was validated by the experts in the field of Educational evaluation. The Alpha Cronbach method was used in obtaining the reliability, and a coefficient 0.84 was obtained. The data collected was analysed using descriptive statistics such as simple percentages. The findi</w:t>
      </w:r>
    </w:p>
    <w:p>
      <w:pPr/>
      <w:r>
        <w:rPr>
          <w:b/>
        </w:rPr>
        <w:t>POSSIBLE 2025:</w:t>
      </w:r>
      <w:r>
        <w:t xml:space="preserve"> The effect of ESG disclosure on firm value in the European context — https://doi.org/10.1108/md-10-2024-2480</w:t>
      </w:r>
    </w:p>
    <w:p>
      <w:pPr/>
      <w:r>
        <w:rPr>
          <w:b/>
        </w:rPr>
        <w:t>Shared claim-specific concepts:</w:t>
      </w:r>
      <w:r>
        <w:t xml:space="preserve"> implications, sample, firms, period; EU scope visible. This is a provisional connection, not an outcome finding.</w:t>
      </w:r>
    </w:p>
    <w:p>
      <w:pPr>
        <w:pStyle w:val="SourceNote"/>
      </w:pPr>
      <w:r>
        <w:rPr>
          <w:b/>
        </w:rPr>
        <w:t>Available abstract (not full text):</w:t>
      </w:r>
      <w:r>
        <w:t xml:space="preserve"> Purpose The environmental, social and governance (ESG) topic has recently received increasing attention from scholars due to increasing regulations for firms’ non-financial disclosure with respect to environmental and social issues. For instance, the European Union (EU) recently issued the Corporate Sustainability Reporting Directive (CSRD) in December 2022 and implemented it starting in 2024 in member states. Non-financial disclosure is relevant for various stakeholders and could affect firm value. Therefore, this study aims to examine the effect of ESG disclosure on firm value in the EU context. Design/methodology/approach This study uses panel data on listed EU firms extracted from the Bloomberg database from 2014 to 2024. The final sample comprises 11,003 firm-year observations. The ordinary least squares method is used as a baseline regression. This study addresses the endogeneity issues by applying instrumental variable and two-step system dynamic panel generalised method of moments approaches. Findings The results of the univariate tests, including the mean-difference comparison test based on pre-CSRD and CSRD issuance periods, reveal a significant decrease in the average ESG disclosure score in the CSRD issuance period. These results are similar for individual ESG pillars. Further, the results show a significant reduction in average firm value in the CSRD issuance perio</w:t>
      </w:r>
    </w:p>
    <w:p>
      <w:pPr/>
      <w:r>
        <w:rPr>
          <w:b/>
        </w:rPr>
        <w:t>POSSIBLE 2024:</w:t>
      </w:r>
      <w:r>
        <w:t xml:space="preserve"> The link of ESG performance and board gender diversity in European firms — https://doi.org/10.1002/csr.2881</w:t>
      </w:r>
    </w:p>
    <w:p>
      <w:pPr/>
      <w:r>
        <w:rPr>
          <w:b/>
        </w:rPr>
        <w:t>Shared claim-specific concepts:</w:t>
      </w:r>
      <w:r>
        <w:t xml:space="preserve"> sample, only, firms, countries, period, different; EU scope visible. This is a provisional connection, not an outcome finding.</w:t>
      </w:r>
    </w:p>
    <w:p>
      <w:pPr>
        <w:pStyle w:val="SourceNote"/>
      </w:pPr>
      <w:r>
        <w:rPr>
          <w:b/>
        </w:rPr>
        <w:t>Available abstract (not full text):</w:t>
      </w:r>
      <w:r>
        <w:t xml:space="preserve"> Abstract This study analyses the relationship between board gender diversity and the ESG scores for Spanish, French, German, and English listed companies. Previous academic literature shows controversial results regarding the benefits of female participation in boards of directors, however many studies have only used an aggregated indicator to measure performance or they do not have compared the results among countries. The empirical section of this research uses a sample formed by 205 companies from France, Germany, Spain, and the United Kingdom for a period of 19 years (from 2002 to 2020). The results obtained through a panel data estimation confirm a positive and significant relationship between board gender diversity (BGD) and the social and the corporate governance score in all cases. However, the relationship between BGD and the environmental score is only confirmed in the case of Spain, France, and Germany. Therefore, even though in these countries, the actions to promote gender equality have been different and at different times, the results are mostly homogeneous.</w:t>
      </w:r>
    </w:p>
    <w:p>
      <w:pPr/>
      <w:r>
        <w:rPr>
          <w:b/>
        </w:rPr>
        <w:t>POSSIBLE 2024:</w:t>
      </w:r>
      <w:r>
        <w:t xml:space="preserve"> Multidimensionality Matters: The Implications of Educational Hierarchy and Differentiation for Intergenerational Mobility in Europe — https://doi.org/10.1086/729572</w:t>
      </w:r>
    </w:p>
    <w:p>
      <w:pPr/>
      <w:r>
        <w:rPr>
          <w:b/>
        </w:rPr>
        <w:t>Shared claim-specific concepts:</w:t>
      </w:r>
      <w:r>
        <w:t xml:space="preserve"> limitations, implications, only, countries, different; EU scope visible. This is a provisional connection, not an outcome finding.</w:t>
      </w:r>
    </w:p>
    <w:p>
      <w:pPr>
        <w:pStyle w:val="SourceNote"/>
      </w:pPr>
      <w:r>
        <w:rPr>
          <w:b/>
        </w:rPr>
        <w:t>Available abstract (not full text):</w:t>
      </w:r>
      <w:r>
        <w:t xml:space="preserve"> The effects on social mobility of stratifying pupils into different educational pathways have been debated for decades. We intervene in this debate by showing that stratification in secondary schooling is multidimensional. The extent of differentiation into separate tracks is distinct from hierarchy between tracks. To address data limitations in existing research, we collect novel data on education policies from 1945 onward for 16 European countries. Combined with mobility data from the European Social Survey, we use difference-in-differences regression models to test the effects of hierarchy and differentiation on intergenerational mobility. Hierarchical stratification shapes the inheritance of educational attainment while differentiation does not. Differentiation only reduces mobility where educational pathways are hierarchically structured. These findings imply that studies using measures of differentiation (e.g., the tracking age) may instead be picking up aspects of hierarchy. They therefore highlight the importance for future research to measure multiple dimensions of stratification and assessing how combinations of policies can reinforce or undermine one another.</w:t>
      </w:r>
    </w:p>
    <w:p>
      <w:pPr/>
      <w:r>
        <w:rPr>
          <w:b/>
        </w:rPr>
        <w:t>POSSIBLE 2024:</w:t>
      </w:r>
      <w:r>
        <w:t xml:space="preserve"> Cross‐border dimensions of Arctic climate change impacts and implications for Europe — https://doi.org/10.1002/wcc.905</w:t>
      </w:r>
    </w:p>
    <w:p>
      <w:pPr/>
      <w:r>
        <w:rPr>
          <w:b/>
        </w:rPr>
        <w:t>Shared claim-specific concepts:</w:t>
      </w:r>
      <w:r>
        <w:t xml:space="preserve"> implications, four, during; EU scope visible. This is a provisional connection, not an outcome finding.</w:t>
      </w:r>
    </w:p>
    <w:p>
      <w:pPr>
        <w:pStyle w:val="SourceNote"/>
      </w:pPr>
      <w:r>
        <w:rPr>
          <w:b/>
        </w:rPr>
        <w:t>Available abstract (not full text):</w:t>
      </w:r>
      <w:r>
        <w:t xml:space="preserve"> Abstract The Arctic has warmed almost four times faster than the rest of the globe during the past four decades. This has led to multiple impacts in the Arctic such as the melting of glaciers and the Greenland ice sheet, sea ice retreat, permafrost thaw, altered species distribution and abundance, changes in hydrology and snow conditions, and altered wildfire regimes. These documented and projected impacts in the region can also propagate across borders, creating risks and opportunities requiring adaptation responses well beyond the Arctic. By undertaking a systematic literature review that uses a conceptual framework for cross‐border climate change impacts, we demonstrate how local impacts of the type described above, which are often analyzed separately in the literature, may initiate knock‐on effects that can be transmitted and transformed across borders. We illustrate examples of six categories of cross‐border risks resulting from this impact transmission and potentially requiring adaptation. These concern biophysical impacts, trade, infrastructure, finance, geopolitical relationships and human security and social justice. We examine potential adaptation options for responding to such cross‐border risks that are of relevance for Europe. The systemic approach taken in this paper promotes improved understanding of trade‐offs between potential benefits and risks, assists priori</w:t>
      </w:r>
    </w:p>
    <w:p>
      <w:pPr/>
      <w:r>
        <w:rPr>
          <w:b/>
        </w:rPr>
        <w:t>POSSIBLE 2024:</w:t>
      </w:r>
      <w:r>
        <w:t xml:space="preserve"> EXPLORING POST-PANDEMIC PERCEPTION OF INDUSTRY 4.0 TECHNOLOGY IMPLICATIONS IN TOURISM: A STUDY OF CENTRAL EUROPEAN TRAVELERS — https://doi.org/10.29119/1641-3466.2024.197.16</w:t>
      </w:r>
    </w:p>
    <w:p>
      <w:pPr/>
      <w:r>
        <w:rPr>
          <w:b/>
        </w:rPr>
        <w:t>Shared claim-specific concepts:</w:t>
      </w:r>
      <w:r>
        <w:t xml:space="preserve"> limitations, implications, sample, only, period; EU scope visible. This is a provisional connection, not an outcome finding.</w:t>
      </w:r>
    </w:p>
    <w:p>
      <w:pPr>
        <w:pStyle w:val="SourceNote"/>
      </w:pPr>
      <w:r>
        <w:rPr>
          <w:b/>
        </w:rPr>
        <w:t>Available abstract (not full text):</w:t>
      </w:r>
      <w:r>
        <w:t xml:space="preserve"> Purpose: This study underscores the accelerated integration of technological solutions within the tourism industry post-pandemic, highlighting the service sector's heightened openness to digital advancements.Authors stress the need for tourism companies to invest in digital technologies and resilient innovation for sustainable Industry 4.0, considering social impact.This research is the perception of the importance of digitalization tools application to tourism sphere especially in the post-pandemic period.Design/methodology/approach: Focusing on Central European travelers, a survey of 553 individuals was conducted to gauge perceptions regarding the importance of digital technologies in tourism.Significantly, gender disparities in touchless technology usage were observed, with women exhibiting less interest compared to men.Moreover, variations in the evaluation of specific technological tools within tourism services indicate diverse preferences among respondents.Findings: What was found in the course of the work?This will refer to analysis, discussion, or results.Research limitations/implications: While the study contributes valuable insights, its limitations, such as generalization and sample size constraints should be acknowledged. Practical implications:The paper delves into the practical implications of these findings for travel agencies, contributing to a broader theoretic</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four, countries, during;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Play therapy in children with autism: Its role, implications, and limitations — https://doi.org/10.5409/wjcp.v12.i1.1</w:t>
      </w:r>
    </w:p>
    <w:p>
      <w:pPr/>
      <w:r>
        <w:rPr>
          <w:b/>
        </w:rPr>
        <w:t>Shared claim-specific concepts:</w:t>
      </w:r>
      <w:r>
        <w:t xml:space="preserve"> limitations, implications, different; EU scope not established. This is a provisional connection, not an outcome finding.</w:t>
      </w:r>
    </w:p>
    <w:p>
      <w:pPr>
        <w:pStyle w:val="SourceNote"/>
      </w:pPr>
      <w:r>
        <w:rPr>
          <w:b/>
        </w:rPr>
        <w:t>Available abstract (not full text):</w:t>
      </w:r>
      <w:r>
        <w:t xml:space="preserve"> Play is a pleasurable physical or mental activity that enhances the child's skills involving negotiation abilities, problem-solving, manual dexterity, sharing, decision-making, and working in a group. Play affects all the brain's areas, structures, and functions. Children with autism have adaptive behavior, adaptive response, and social interaction limitations. This review explores the different applications of play therapy in helping children with autism disorder. Play is usually significantly impaired in children with autism. Play therapy is mainly intended to help children to honor their unique mental abilities and developmental levels. The main aim of play therapy is to prevent or solve psychosocial difficulties and achieve optimal child-healthy growth and development. Play therapy helps children with autism to engage in play activities of their interest and choice to express themselves in the most comfortable ways. It changes their way of self-expression from unwanted behaviors to more non-injurious expressive behavior using toys or activities of their choice as their words. Play therapy also helps those children to experience feeling out various interaction styles. Every child with autism is unique and responds differently. Therefore, different types of intervention, like play therapy, could fit the differences in children with autism. Proper evaluation of the child is ma</w:t>
      </w:r>
    </w:p>
    <w:p>
      <w:pPr/>
      <w:r>
        <w:rPr>
          <w:b/>
        </w:rPr>
        <w:t>POSSIBLE 2023:</w:t>
      </w:r>
      <w:r>
        <w:t xml:space="preserve"> Implications of COVID-19 policies on the sustainable corporate practices of European firms — https://doi.org/10.1108/k-07-2022-1014</w:t>
      </w:r>
    </w:p>
    <w:p>
      <w:pPr/>
      <w:r>
        <w:rPr>
          <w:b/>
        </w:rPr>
        <w:t>Shared claim-specific concepts:</w:t>
      </w:r>
      <w:r>
        <w:t xml:space="preserve"> implications, firms, during, period; EU scope visible. This is a provisional connection, not an outcome finding.</w:t>
      </w:r>
    </w:p>
    <w:p>
      <w:pPr>
        <w:pStyle w:val="SourceNote"/>
      </w:pPr>
      <w:r>
        <w:rPr>
          <w:b/>
        </w:rPr>
        <w:t>Available abstract (not full text):</w:t>
      </w:r>
      <w:r>
        <w:t xml:space="preserve"> Purpose This study aims to analyze how mixes of COVID-19 policy responses are shaping the context in which companies will compete in the following years, defining how the crisis might impact firms’ ability to keep their commitments to sustainable practices. Design/methodology/approach European country-performance data for the years 2019 and 2020 were grouped into indicators of macro sustainability, then cross-analyzed against the policies adopted during the period (also grouped based on their impacts on sustainability pillars), using correlations, factor analysis and clustering. Findings The influence of traditional sustainability determinants was reframed according to the novel context shaped by the policy responses to the pandemic crisis. The social and digitalization aspects gained the most relevance and appeared interconnected, with digitalization of employment attaining overall more traction. Moreover, changes in the leadership within sustainability domains were observed for each identified country-cluster, due to newly implemented emergency policies. In fact, environmental innovation, digitalization and social support policies appeared to be the main variables to be impacted by the intensity of the policy efforts. Practical implications Businesses monitoring the developments of sustainability policies closely, will observe novel trends in technological applications. Socia</w:t>
      </w:r>
    </w:p>
    <w:p>
      <w:pPr/>
      <w:r>
        <w:rPr>
          <w:b/>
        </w:rPr>
        <w:t>POSSIBLE 2023:</w:t>
      </w:r>
      <w:r>
        <w:t xml:space="preserve"> Women in CEO duality and firm performance in Europe — https://doi.org/10.1007/s10997-023-09669-6</w:t>
      </w:r>
    </w:p>
    <w:p>
      <w:pPr/>
      <w:r>
        <w:rPr>
          <w:b/>
        </w:rPr>
        <w:t>Shared claim-specific concepts:</w:t>
      </w:r>
      <w:r>
        <w:t xml:space="preserve"> implications, sample, firms, countries, period; EU scope visible. This is a provisional connection, not an outcome finding.</w:t>
      </w:r>
    </w:p>
    <w:p>
      <w:pPr>
        <w:pStyle w:val="SourceNote"/>
      </w:pPr>
      <w:r>
        <w:rPr>
          <w:b/>
        </w:rPr>
        <w:t>Available abstract (not full text):</w:t>
      </w:r>
      <w:r>
        <w:t xml:space="preserve"> Abstract This paper investigates gender dimensions in the relationship between CEO duality and firm performance, combining feminist theories and stewardship arguments. Using a large sample of listed firms from 23 European countries in the 2014–2020 period, we have found that CEO duality has a positive effect on corporate performance when a woman holds both the roles of CEO and board chair. These findings highlight the ‘bright side’ of women in governance, suggesting the presence of women in double leadership positions can amplify benefits and/or limits costs related to CEO duality. Having a woman in CEO-chair leadership could optimize a firm’s use of its resources and more effectively contribute to improving performance. Directions for future research could include a better understanding of women in leadership in the organizational domain. Our results have a number of managerial and political implications.</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four, countries, other, international, different;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The institutionalisation of social and environmental accounting practices in Europe — https://doi.org/10.1108/jaar-07-2022-0190</w:t>
      </w:r>
    </w:p>
    <w:p>
      <w:pPr/>
      <w:r>
        <w:rPr>
          <w:b/>
        </w:rPr>
        <w:t>Shared claim-specific concepts:</w:t>
      </w:r>
      <w:r>
        <w:t xml:space="preserve"> limitations, implications, sample; EU scope visible. This is a provisional connection, not an outcome finding.</w:t>
      </w:r>
    </w:p>
    <w:p>
      <w:pPr>
        <w:pStyle w:val="SourceNote"/>
      </w:pPr>
      <w:r>
        <w:rPr>
          <w:b/>
        </w:rPr>
        <w:t>Available abstract (not full text):</w:t>
      </w:r>
      <w:r>
        <w:t xml:space="preserve"> Purpose In the last few years, the European context has been characterised by a high degree of attention paid by policymakers, practitioners and academics to the effects related to the transposition of Directive 2014/95/EU by the member states. In particular, one the main issues of the intervention made by the European Commission is represented by the theoretical misalignment between corporate communications and actions. According to this evidence, this paper aims to shed light on this debate through a critical evaluation of the effectiveness of Directive 2014/95/EU. Design/methodology/approach The analysis was built using panel data analysis on a sample of 813 European listed companies. Furthermore, the authors performed additional analysis and robustness checks to assess the reliability of the analysis. Findings The analysis underlined the enabling role of the reporting scope, external assurance and corporate social responsibility (CSR) committees on sustainability reporting. Furthermore, the research highlighted the need to pay specific attention to the real contribution provided by companies to the sustainable development goals. Research limitations/implications The research provided theoretical insights into the effects related to mandatory sustainability reporting, which represents an emerging field in accounting research. Practical implications The analysis revealed the </w:t>
      </w:r>
    </w:p>
    <w:p>
      <w:pPr>
        <w:pStyle w:val="Heading2"/>
      </w:pPr>
      <w:r>
        <w:t>865. Assessing the impact of the 2011 EU Transport White Paper - a rail freight demand forecast up to 2050 for the EU27</w:t>
      </w:r>
    </w:p>
    <w:p>
      <w:pPr>
        <w:pStyle w:val="SourceNote"/>
      </w:pPr>
      <w:r>
        <w:rPr>
          <w:b/>
        </w:rPr>
        <w:t>Original source (2015):</w:t>
      </w:r>
      <w:r>
        <w:t xml:space="preserve"> https://doi.org/10.1007/s12544-015-0171-7</w:t>
      </w:r>
    </w:p>
    <w:p>
      <w:pPr/>
      <w:r>
        <w:t>Original wording (abstract; indexed_source_text_not_full_document_verified): In stark contrast, the White paper High scenario results show that demand for rail freight services almost doubles compared to the Reference values. Specifically: a modal shift, from road to rail, and waterway transport, of 30 % by 2030 and 50 % by 2050 - for distances greater than 300 km.</w:t>
      </w:r>
    </w:p>
    <w:p>
      <w:pPr/>
      <w:r>
        <w:rPr>
          <w:b/>
        </w:rPr>
        <w:t>POSSIBLE 2025:</w:t>
      </w:r>
      <w:r>
        <w:t xml:space="preserve"> Nonlinearity-enhanced quantum sensing in Stark probes — https://doi.org/10.1103/physrevapplied.23.014019</w:t>
      </w:r>
    </w:p>
    <w:p>
      <w:pPr/>
      <w:r>
        <w:rPr>
          <w:b/>
        </w:rPr>
        <w:t>Shared claim-specific concepts:</w:t>
      </w:r>
      <w:r>
        <w:t xml:space="preserve"> stark, show, specifically; EU scope not established. This is a provisional connection, not an outcome finding.</w:t>
      </w:r>
    </w:p>
    <w:p>
      <w:pPr>
        <w:pStyle w:val="SourceNote"/>
      </w:pPr>
      <w:r>
        <w:rPr>
          <w:b/>
        </w:rPr>
        <w:t>Available abstract (not full text):</w:t>
      </w:r>
      <w:r>
        <w:t xml:space="preserve"> Stark systems in which a linear gradient field is applied across a many-body system have recently been proposed for quantum sensing. Here, we explore sensing capacity of Stark probes, in both single-particle and many-body interacting systems, for estimating nonlinear forms of the gradient fields. Our analysis reveals that, this estimation can achieve super-Heisenberg scaling precision that grows linearly by increasing the nonlinearity. Specifically, we find a universal algebraic relation between the scaling of the precision and the degree of the nonlinearity. This universal behavior remains valid in both single-particle and many-body interacting probes and reflects itself in the properties of the phase transition from an extended to a localized phase, obtained through establishing a comprehensive finite-size scaling analysis. Considering a parabolic gradient potential composed of both linear and nonlinear fields, we used multiparameter estimation methodology to estimate the components of the gradient potential. The phase diagram of the system is determined in terms of both linear and nonlinear gradient fields showing how the nonlocalized phase turns into a localized one as the Stark fields increase. The sensing precision of both linear and nonlinear Stark fields follows the same universal algebraic relation that was found for the case of single parameter sensing. We demonstrate</w:t>
      </w:r>
    </w:p>
    <w:p>
      <w:pPr/>
      <w:r>
        <w:rPr>
          <w:b/>
        </w:rPr>
        <w:t>POSSIBLE 2023:</w:t>
      </w:r>
      <w:r>
        <w:t xml:space="preserve"> Preservation and enhancement of quantum correlations under Stark effect — https://doi.org/10.1080/09500340.2023.2219779</w:t>
      </w:r>
    </w:p>
    <w:p>
      <w:pPr/>
      <w:r>
        <w:rPr>
          <w:b/>
        </w:rPr>
        <w:t>Shared claim-specific concepts:</w:t>
      </w:r>
      <w:r>
        <w:t xml:space="preserve"> stark, contrast, shift; EU scope not established. This is a provisional connection, not an outcome finding.</w:t>
      </w:r>
    </w:p>
    <w:p>
      <w:pPr>
        <w:pStyle w:val="SourceNote"/>
      </w:pPr>
      <w:r>
        <w:rPr>
          <w:b/>
        </w:rPr>
        <w:t>Available abstract (not full text):</w:t>
      </w:r>
      <w:r>
        <w:t xml:space="preserve"> We analyse the dynamics of quantum correlations by obtaining the exact expression of Bures distance entanglement, trace distance discord, and local quantum uncertainty of two two-level atoms. Here, the atoms undergo two-photon transitions mediated through an intermediate virtual state where each atom is separately coupled to a dissipative reservoir at zero temperature in the presence of the Stark shift effect. We have investigated the dynamics of this atomic system for two different initial conditions of the environment. In the first case, we have assumed the environment's state to be in ground state and in the other case, we have assumed the state to be in the first excited state. The second initial condition is significant as it shows the role played by both the Stark shift parameters in contrast to only one of the Stark shift parameters for the first initial condition. Our results demonstrate that quantum correlations can be sustained for an extended period in the presence of Stark shift effect in the case of both Markovian and non-Markovian reservoirs. The effect in the non-Markovian reservoir is more prominent than the Markovian reservoir, even for a very small value of the Stark shift parameter. We observe that among the correlation measures considered, only local quantum uncertainty is accompanied by a sudden change phenomenon, i.e. an abrupt change in the decay rate of </w:t>
      </w:r>
    </w:p>
    <w:p>
      <w:pPr/>
      <w:r>
        <w:rPr>
          <w:b/>
        </w:rPr>
        <w:t>POSSIBLE 2023:</w:t>
      </w:r>
      <w:r>
        <w:t xml:space="preserve"> Differences in spore size and atmospheric survival shape stark contrasts in the dispersal dynamics of two closely related fungal pathogens — https://doi.org/10.1101/2023.02.08.527725</w:t>
      </w:r>
    </w:p>
    <w:p>
      <w:pPr/>
      <w:r>
        <w:rPr>
          <w:b/>
        </w:rPr>
        <w:t>Shared claim-specific concepts:</w:t>
      </w:r>
      <w:r>
        <w:t xml:space="preserve"> stark, contrast, compared, distances, greater; EU scope not established. This is a provisional connection, not an outcome finding.</w:t>
      </w:r>
    </w:p>
    <w:p>
      <w:pPr>
        <w:pStyle w:val="SourceNote"/>
      </w:pPr>
      <w:r>
        <w:rPr>
          <w:b/>
        </w:rPr>
        <w:t>Available abstract (not full text):</w:t>
      </w:r>
      <w:r>
        <w:t xml:space="preserve"> Abstract A frequently ignored but critical aspect of microbial dispersal is survival in the atmosphere. We exposed spores of two closely related, morphologically dissimilar, and economically important fungal pathogens to typical atmospheric environments and modeled their movement in the troposphere. We first measured the mortality of Alternaria solani and A. alternata conidia exposed to ranges of solar radiation, relative humidity, and temperature. We then measured survival in an advantageous environment over 12 days. A. solani conidia are nearly 10 times larger than A. alternata conidia and most die after 24 hours. By contrast, over half of A. alternata conidia remained viable at 12 days. The greater viability of the smaller spores is counterintuitive as larger spores are assumed to be more durable. To elucidate the consequences of survival rates for dispersal, we deployed models of atmospheric spore movement across North American. We predict 99% of the larger A. solani conidia settle within 24 hours, with a maximum dispersal distance of 100 km. By contrast, most A. alternata conidia remain airborne for more than 12 days and long-distance dispersal is possible, e.g., from Wisconsin to the Atlantic Ocean. We observe that the larger conidia of A. solani survive poorly but also land sooner and move over shorter distances as compared to the smaller conidia of A. alternata . Our da</w:t>
      </w:r>
    </w:p>
    <w:p>
      <w:pPr/>
      <w:r>
        <w:rPr>
          <w:b/>
        </w:rPr>
        <w:t>POSSIBLE 2022:</w:t>
      </w:r>
      <w:r>
        <w:t xml:space="preserve"> Vibrational Stark Effects: Ionic Influence on Local Fields — https://doi.org/10.1021/acs.jpclett.2c01048</w:t>
      </w:r>
    </w:p>
    <w:p>
      <w:pPr/>
      <w:r>
        <w:rPr>
          <w:b/>
        </w:rPr>
        <w:t>Shared claim-specific concepts:</w:t>
      </w:r>
      <w:r>
        <w:t xml:space="preserve"> stark, high, show, shift; EU scope not established. This is a provisional connection, not an outcome finding.</w:t>
      </w:r>
    </w:p>
    <w:p>
      <w:pPr>
        <w:pStyle w:val="SourceNote"/>
      </w:pPr>
      <w:r>
        <w:rPr>
          <w:b/>
        </w:rPr>
        <w:t>Available abstract (not full text):</w:t>
      </w:r>
      <w:r>
        <w:t xml:space="preserve"> High Resolution Image Download MS PowerPoint Slide Molecules containing vibrational Stark shift reporters provide a useful tool for measuring DC electric fields in situ . To quantify this effect theoretically, density functional theory (DFT) calculations are usually utilized in a uniform electric field. However, using a combined theoretical and experimental study, we demonstrate here that uniform field DFT cannot simultaneously model the behavior of the three strongest vibrational modes in molecules forming a monolayer on an electrode. We show, by directly modeling ionic movement, that the measured Stark shifts are explained by partial electrical double-layer penetration into the molecular layer. This effect is sensitive to the local environment, and the Stark shifts can be fully suppressed experimentally by introducing a mixed molecular layer that prevents ionic double-layer penetration.</w:t>
      </w:r>
    </w:p>
    <w:p>
      <w:pPr/>
      <w:r>
        <w:rPr>
          <w:b/>
        </w:rPr>
        <w:t>POSSIBLE 2022:</w:t>
      </w:r>
      <w:r>
        <w:t xml:space="preserve"> Multistable excitonic Stark effect — https://doi.org/10.1103/physrevresearch.4.023168</w:t>
      </w:r>
    </w:p>
    <w:p>
      <w:pPr/>
      <w:r>
        <w:rPr>
          <w:b/>
        </w:rPr>
        <w:t>Shared claim-specific concepts:</w:t>
      </w:r>
      <w:r>
        <w:t xml:space="preserve"> stark, show, shift; EU scope not established. This is a provisional connection, not an outcome finding.</w:t>
      </w:r>
    </w:p>
    <w:p>
      <w:pPr>
        <w:pStyle w:val="SourceNote"/>
      </w:pPr>
      <w:r>
        <w:rPr>
          <w:b/>
        </w:rPr>
        <w:t>Available abstract (not full text):</w:t>
      </w:r>
      <w:r>
        <w:t xml:space="preserve"> The optical Stark effect is a tell-tale signature of coherent light--matter interaction in excitonic systems, wherein an irradiating light beam tunes exciton transition frequencies. Here we show that, when excitons are placed in a nanophotonic cavity, the excitonic Stark effect can become highly nonlinear, exhibiting multivalued and hysteretic Stark shifts that depend on the history of the irradiating light. This multistable Stark effect (MSE) arises from feedback between the cavity mode occupation and excitonic population mediated by the Stark-induced mutual tuning of the cavity and excitonic resonances. Strikingly, the MSE manifests even for very dilute exciton concentrations and can yield discontinuous Stark shift jumps of order meV. We expect that the MSE can be realized in readily available transition metal dichalcogenide excitonic systems placed in planar photonic cavities at modest pump intensities. This phenomenon can provide new means to engineer coupled states of light and matter that can persist even in the single exciton limit.</w:t>
      </w:r>
    </w:p>
    <w:p>
      <w:pPr/>
      <w:r>
        <w:rPr>
          <w:b/>
        </w:rPr>
        <w:t>POSSIBLE 2021:</w:t>
      </w:r>
      <w:r>
        <w:t xml:space="preserve"> Effect of pretreatments on refractance window drying, color kinetics and bioactive properties of white sweet cherries ( Prunus avium L. stark gold) — https://doi.org/10.1111/jfpp.15895</w:t>
      </w:r>
    </w:p>
    <w:p>
      <w:pPr/>
      <w:r>
        <w:rPr>
          <w:b/>
        </w:rPr>
        <w:t>Shared claim-specific concepts:</w:t>
      </w:r>
      <w:r>
        <w:t xml:space="preserve"> stark, white, compared; EU scope not established. This is a provisional connection, not an outcome finding.</w:t>
      </w:r>
    </w:p>
    <w:p>
      <w:pPr>
        <w:pStyle w:val="SourceNote"/>
      </w:pPr>
      <w:r>
        <w:rPr>
          <w:b/>
        </w:rPr>
        <w:t>Available abstract (not full text):</w:t>
      </w:r>
      <w:r>
        <w:t xml:space="preserve"> The aim of this study was to investigate the effects of different pretreatments (citric acid, sucrose and freezing) on the refractance window (RW) drying, color kinetics and bioactive properties of white sweet cherries. The shortest drying time (180 min) was obtained with freezing pretreatment (FP). The highest Deff was 2.38346 × 10–9 m2/s in FP. Cubic and Sigmoid equations were the best drying models for the control and FP, respectively. Furthermore, quadratic equation was the most appropriate color model for all sweet cherries. FP increased the total phenolic content (4.18 ± 0.86 mg gallic acid eq/g dry matter, DM) and antioxidant capacity (ferric reducing antioxidant power, FRAP) (13.17 ± 1.05 µmol trolox eq/g DM) of dried cherry, as compared to control and other pretreatments. Results indicated that citric acid and sucrose pretreatments (CAP and SP) were not much effective as freezing in cherry drying. This study showed that the combination of FP and RW drying can be an alternative drying for white sweet cherry. Practical applications White sweet cherry is a perishable seasonal fruit whose long term use is not possible during the off-season. Fresh sweet cherries are processed into various food products such as juice, vinegar, alcoholic drink or jam right after the collection from the field. However, other food sectors like bakery &amp; pastry, chocolate, and dairy demand to rea</w:t>
      </w:r>
    </w:p>
    <w:p>
      <w:pPr/>
      <w:r>
        <w:rPr>
          <w:b/>
        </w:rPr>
        <w:t>POSSIBLE 2021:</w:t>
      </w:r>
      <w:r>
        <w:t xml:space="preserve"> The impacts of the electricity demand pattern on electricity system cost and the electricity supply mix: A comprehensive modeling analysis for Europe — https://doi.org/10.1016/j.energy.2021.121329</w:t>
      </w:r>
    </w:p>
    <w:p>
      <w:pPr/>
      <w:r>
        <w:rPr>
          <w:b/>
        </w:rPr>
        <w:t>Shared claim-specific concepts:</w:t>
      </w:r>
      <w:r>
        <w:t xml:space="preserve"> show, compared; EU scope visible. This is a provisional connection, not an outcome finding.</w:t>
      </w:r>
    </w:p>
    <w:p>
      <w:pPr>
        <w:pStyle w:val="SourceNote"/>
      </w:pPr>
      <w:r>
        <w:rPr>
          <w:b/>
        </w:rPr>
        <w:t>Available abstract (not full text):</w:t>
      </w:r>
      <w:r>
        <w:t xml:space="preserve"> Energy system models for long-term planning are widely used to explore the future electricity system. Typically, to represent the future electricity demand in these models, historical demand profiles are used directly or scaled up linearly. Although the volume change for the electricity demand is considered, the potential change of the demand pattern is ignored. Meanwhile, the future electricity demand pattern is highly uncertain due to various factors, including climate change, e-mobility, electric heating, and electric cooling. We use a techno-economic cost optimization model to investigate a stylized case and assess the effects on system cost and electricity supply mix of assuming different demand patterns for the models. Our results show that differences in diurnal demand patterns affect the system cost by less than 3%. Similarly, demand profiles with a flat seasonal variation or a winter peak result in only minor changes in system cost, as compared to the present demand profile. Demand profiles with a summer peak may display a system cost increase of up to 8%, whereas the electricity supply mix may differ by a factor of two. A more detailed case study is conducted for Europe and the results are consistent with the findings from the stylized case.</w:t>
      </w:r>
    </w:p>
    <w:p>
      <w:pPr/>
      <w:r>
        <w:rPr>
          <w:b/>
        </w:rPr>
        <w:t>POSSIBLE 2018:</w:t>
      </w:r>
      <w:r>
        <w:t xml:space="preserve"> Future agricultural phosphorus demand according to the shared socioeconomic pathways — https://doi.org/10.1016/j.gloenvcha.2018.03.007</w:t>
      </w:r>
    </w:p>
    <w:p>
      <w:pPr/>
      <w:r>
        <w:rPr>
          <w:b/>
        </w:rPr>
        <w:t>Shared claim-specific concepts:</w:t>
      </w:r>
      <w:r>
        <w:t xml:space="preserve"> stark, contrast; EU scope not established. This is a provisional connection, not an outcome finding.</w:t>
      </w:r>
    </w:p>
    <w:p>
      <w:pPr>
        <w:pStyle w:val="SourceNote"/>
      </w:pPr>
      <w:r>
        <w:rPr>
          <w:b/>
        </w:rPr>
        <w:t>Available abstract (not full text):</w:t>
      </w:r>
      <w:r>
        <w:t xml:space="preserve"> A spatially explicit, two-pool soil phosphorus (P) model was used to analyze cropland P dynamics and fertilizer demand based on future crop production as projected in the shared socioeconomic pathways (SSPs). The model was initialized with historical data on P inputs and uptake, which governed the soil P accumulation up to present day. In contrast to existing scenario studies, the model accounts for both soil characteristics relevant to P retention and changing land use. At the global scale, crop uptake and the fraction of the applied P fertilizer that is directly taken up by plant roots govern the P quantities present in the soil. Despite the differences in the storylines among the SSPs, the quantitative implementation results in estimates for crop production and P inputs that are quite similar, which contrasts with the stark divergence in terms of population and incomes. In addition to global fertilizer P inputs in croplands increasing from 14.5 Tg P yr−1 in 2005 to 22–27 Tg P yr−1 in 2050, this study also estimates that 4–12 Tg P yr−1 would be needed in 2050 in global intensively managed grasslands to maintain fertility. Our new model approach can pinpoint the contribution of area expansion and crop yield improvement toward the total production, whereby the latter is shown to contribute 100% to 69%, depending on the scenario.</w:t>
      </w:r>
    </w:p>
    <w:p>
      <w:pPr/>
      <w:r>
        <w:rPr>
          <w:b/>
        </w:rPr>
        <w:t>POSSIBLE 2018:</w:t>
      </w:r>
      <w:r>
        <w:t xml:space="preserve"> Mar de plástico: Masculinity, Whiteness, and Eastern European Migrants in Spanish Prime Time Television — https://doi.org/10.5070/t482041118</w:t>
      </w:r>
    </w:p>
    <w:p>
      <w:pPr/>
      <w:r>
        <w:rPr>
          <w:b/>
        </w:rPr>
        <w:t>Shared claim-specific concepts:</w:t>
      </w:r>
      <w:r>
        <w:t xml:space="preserve"> contrast, white, show; EU scope visible. This is a provisional connection, not an outcome finding.</w:t>
      </w:r>
    </w:p>
    <w:p>
      <w:pPr>
        <w:pStyle w:val="SourceNote"/>
      </w:pPr>
      <w:r>
        <w:rPr>
          <w:b/>
        </w:rPr>
        <w:t>Available abstract (not full text):</w:t>
      </w:r>
      <w:r>
        <w:t xml:space="preserve"> The following essay analyzes representations of whiteness and its imbrication with both masculinity and the construction of Eastern European migrants in the Spanish TV drama Mar de plástico (2015). The violent, white masculinity of the protagonist, Héctor Aguirre, frames him as a protector of the weak and victimized, and the type of man needed to resolve the many problems plaguing Spanish society. By contrast, the whiteness of Eastern European migrants is portrayed as insidious and threatening to the safety and social structure of the community. Both of these engagements with whiteness stem from feelings of uncertainty and anger in broader Spanish society with entrenched economic and class hierarchies, as well a reaction to changing demographics and new influxes of immigrants. The innovative aspects of the show: a desire to create a well-produced, cinematic experience as well as engage with socially-relevant topics, unfortunately are only skin deep, because the narrative falls back on stereotyped portrayals of immigrants and a white, warrior-hero masculinity.</w:t>
      </w:r>
    </w:p>
    <w:p>
      <w:pPr/>
      <w:r>
        <w:rPr>
          <w:b/>
        </w:rPr>
        <w:t>POSSIBLE 2018:</w:t>
      </w:r>
      <w:r>
        <w:t xml:space="preserve"> Molecular Epidemiology and Evolution of European Bat Lyssavirus 2 — https://doi.org/10.3390/ijms19010156</w:t>
      </w:r>
    </w:p>
    <w:p>
      <w:pPr/>
      <w:r>
        <w:rPr>
          <w:b/>
        </w:rPr>
        <w:t>Shared claim-specific concepts:</w:t>
      </w:r>
      <w:r>
        <w:t xml:space="preserve"> contrast, high, reference; EU scope visible. This is a provisional connection, not an outcome finding.</w:t>
      </w:r>
    </w:p>
    <w:p>
      <w:pPr>
        <w:pStyle w:val="SourceNote"/>
      </w:pPr>
      <w:r>
        <w:rPr>
          <w:b/>
        </w:rPr>
        <w:t>Available abstract (not full text):</w:t>
      </w:r>
      <w:r>
        <w:t xml:space="preserve"> Bat rabies cases in Europe are mainly attributed to two lyssaviruses, namely European Bat Lyssavirus 1 (EBLV-1) and European Bat Lyssavirus 2 (EBLV-2). Prior to the death of a bat worker in Finland in 1985, very few bat rabies cases were reported. Enhanced surveillance in the two subsequent years (1986–1987) identified 263 cases (more than a fifth of all reported cases to date). Between 1977 and 2016, 1183 cases of bat rabies were reported, with the vast majority (&gt;97%) being attributed to EBLV-1. In contrast, there have been only 39 suspected cases of EBLV-2, of which 34 have been confirmed by virus typing and presently restricted to just two bat species; Myotis daubentonii and Myotis dasycneme. The limited number of EBLV-2 cases in Europe prompted the establishment of a network of European reference laboratories to collate all available viruses and data. Despite the relatively low number of EBLV-2 cases, a large amount of anomalous data has been published in the scientific literature, which we have here reviewed and clarified. In this review, 29 EBLV-2 full genome sequences have been analysed to further our understanding of the diversity and molecular evolution of EBLV-2 in Europe. Analysis of the 29 complete EBLV-2 genome sequences clearly corroborated geographical relationships with all EBLV-2 sequences clustering at the country level irrespective of the gene studied. Furth</w:t>
      </w:r>
    </w:p>
    <w:p>
      <w:pPr/>
      <w:r>
        <w:rPr>
          <w:b/>
        </w:rPr>
        <w:t>POSSIBLE 2018:</w:t>
      </w:r>
      <w:r>
        <w:t xml:space="preserve"> The White Cliff-Edge of Dover — https://openalex.org/W3213111109</w:t>
      </w:r>
    </w:p>
    <w:p>
      <w:pPr/>
      <w:r>
        <w:rPr>
          <w:b/>
        </w:rPr>
        <w:t>Shared claim-specific concepts:</w:t>
      </w:r>
      <w:r>
        <w:t xml:space="preserve"> stark, contrast, white; EU scope visible. This is a provisional connection, not an outcome finding.</w:t>
      </w:r>
    </w:p>
    <w:p>
      <w:pPr>
        <w:pStyle w:val="SourceNote"/>
      </w:pPr>
      <w:r>
        <w:rPr>
          <w:b/>
        </w:rPr>
        <w:t>Available abstract (not full text):</w:t>
      </w:r>
      <w:r>
        <w:t xml:space="preserve"> Media reports suggest that Michel Barnier has confidentially informed MEPs that Brexit talks are now “frozen”[1] and preparations on the continent for a no-deal Brexit are being accelerated. This is in stark contrast to official UK government documentation, which claims that “A scenario in which the UK leaves the EU without agreement (a ‘no deal’ scenario) remains unlikely given the mutual interests of the UK and the EU in securing a negotiated outcome”[2].</w:t>
      </w:r>
    </w:p>
    <w:p>
      <w:pPr/>
      <w:r>
        <w:rPr>
          <w:b/>
        </w:rPr>
        <w:t>POSSIBLE 2016:</w:t>
      </w:r>
      <w:r>
        <w:t xml:space="preserve"> Right-Wing Extremism and Terrorism in Europe: Current Developments and Issues for the Future — https://openalex.org/W2994049625</w:t>
      </w:r>
    </w:p>
    <w:p>
      <w:pPr/>
      <w:r>
        <w:rPr>
          <w:b/>
        </w:rPr>
        <w:t>Shared claim-specific concepts:</w:t>
      </w:r>
      <w:r>
        <w:t xml:space="preserve"> stark, contrast, white, show, almost, compared; EU scope visible. This is a provisional connection, not an outcome finding.</w:t>
      </w:r>
    </w:p>
    <w:p>
      <w:pPr>
        <w:pStyle w:val="SourceNote"/>
      </w:pPr>
      <w:r>
        <w:rPr>
          <w:b/>
        </w:rPr>
        <w:t>Available abstract (not full text):</w:t>
      </w:r>
      <w:r>
        <w:t xml:space="preserve"> Europe has experienced a revival of groups, networks, and incidents in recent years, with a surge of anti-immigration and Islamophobic violence, as well as anti-government attacks and assaults on political opponents, ethnic minorities, and homosexuals. Although not as significant as in Europe, the United States has also seen an upsurge in political violence considered to be right-wing extremist in nature (for example, supremacist, neo-Nazi, racist, or anti-government sovereign citizen). For the international audience, only a few of these incidents gained broad media attention; attacks are seen mostly as isolated events when compared with other attacks, such as those by Islamist terrorists. In Germany, a terrorist group calling itself the National Socialist Underground was discovered in 2011. Despite having assassinated at least 10 people and committed 2 bombings over the course of almost 14 years, it had gone undetected. That same year, Anders Behring Breivik killed 77 people in a bomb attack in Oslo and a mass shooting in Ut0ya, Norway. In the United States, supremacist Michael Page shot and killed six people and wounded four others in an attack against a Wisconsin Sikh temple in August 2012. Only one day after Charles Kurzman had argued in the New York Times that terrorism might be the most severe security threat in the United States, Dylann Roof killed nine people in his sho</w:t>
      </w:r>
    </w:p>
    <w:p>
      <w:pPr>
        <w:pStyle w:val="Heading2"/>
      </w:pPr>
      <w:r>
        <w:t>866. Assessing the impacts of technology improvements on the deployment of marine energy in Europe with an energy system perspective</w:t>
      </w:r>
    </w:p>
    <w:p>
      <w:pPr>
        <w:pStyle w:val="SourceNote"/>
      </w:pPr>
      <w:r>
        <w:rPr>
          <w:b/>
        </w:rPr>
        <w:t>Original source (2015):</w:t>
      </w:r>
      <w:r>
        <w:t xml:space="preserve"> https://doi.org/10.1016/j.renene.2015.11.076</w:t>
      </w:r>
    </w:p>
    <w:p>
      <w:pPr/>
      <w:r>
        <w:t>Original wording (abstract; indexed_source_text_not_full_document_verified): Marine energy could play a significant role in the long-term energy system in Europe, and substantial resources have been allocated to research and development in this field. A sensitivity analysis is performed, varying technology costs and conversion efficiency under two different carbon-emissions paths for Europe: a current policy initiative scenario and a scenario with long-term overall CO 2 emission reductions.</w:t>
      </w:r>
    </w:p>
    <w:p>
      <w:pPr/>
      <w:r>
        <w:rPr>
          <w:b/>
        </w:rPr>
        <w:t>POSSIBLE 2024:</w:t>
      </w:r>
      <w:r>
        <w:t xml:space="preserve"> Long‐term changes in taxonomic and functional composition of European marine fish communities — https://doi.org/10.1111/ecog.07234</w:t>
      </w:r>
    </w:p>
    <w:p>
      <w:pPr/>
      <w:r>
        <w:rPr>
          <w:b/>
        </w:rPr>
        <w:t>Shared claim-specific concepts:</w:t>
      </w:r>
      <w:r>
        <w:t xml:space="preserve"> marine, two, different; EU scope visible. This is a provisional connection, not an outcome finding.</w:t>
      </w:r>
    </w:p>
    <w:p>
      <w:pPr>
        <w:pStyle w:val="SourceNote"/>
      </w:pPr>
      <w:r>
        <w:rPr>
          <w:b/>
        </w:rPr>
        <w:t>Available abstract (not full text):</w:t>
      </w:r>
      <w:r>
        <w:t xml:space="preserve"> Evidence of large‐scale biodiversity degradation in marine ecosystems has been reported worldwide, yet most research has focused on few species of interest or on limited spatiotemporal scales. Here we assessed the spatial and temporal changes in the taxonomic and functional composition of fish communities in European seas over the last 25 years (1994–2019). We then explored how these community changes were linked to environmental gradients and fishing pressure. We show that the spatial variation in fish species composition is more than two times higher than the temporal variation, with a marked spatial continuum in taxonomic composition and a more homogenous pattern in functional composition. The regions warming the fastest are experiencing an increasing dominance and total abundance of r‐strategy fish species (lower age of maturity). Conversely, regions warming more slowly show an increasing dominance and total abundance of K‐strategy species (high trophic level and late reproduction). Among the considered environmental variables, sea surface temperature, surface salinity and chlorophyll‐a most consistently influenced communities' spatial patterns, while bottom temperature and oxygen had the most consistent influence on temporal patterns. Changes in communities' functional composition were more closely related to environmental conditions than taxonomic changes. Our study demon</w:t>
      </w:r>
    </w:p>
    <w:p>
      <w:pPr/>
      <w:r>
        <w:rPr>
          <w:b/>
        </w:rPr>
        <w:t>POSSIBLE 2024:</w:t>
      </w:r>
      <w:r>
        <w:t xml:space="preserve"> Characteristics and trends of marine heatwaves in the northwest European Shelf and the impacts on density stratification — https://doi.org/10.5194/sp-4-osr8-7-2024</w:t>
      </w:r>
    </w:p>
    <w:p>
      <w:pPr/>
      <w:r>
        <w:rPr>
          <w:b/>
        </w:rPr>
        <w:t>Shared claim-specific concepts:</w:t>
      </w:r>
      <w:r>
        <w:t xml:space="preserve"> marine, energy, significant, role; EU scope visible. This is a provisional connection, not an outcome finding.</w:t>
      </w:r>
    </w:p>
    <w:p>
      <w:pPr>
        <w:pStyle w:val="SourceNote"/>
      </w:pPr>
      <w:r>
        <w:rPr>
          <w:b/>
        </w:rPr>
        <w:t>Available abstract (not full text):</w:t>
      </w:r>
      <w:r>
        <w:t xml:space="preserve"> Abstract. Marine heatwaves (MHWs) are characterized by anomalous and prolonged increases in sea surface temperatures, driven by atmospheric and oceanic factors. The intensification of MHWs is an evident consequence of ongoing global climate change. The question of whether the North West European Shelf (NWES) is experiencing increased stratification in recent decades is of significant interest in understanding the impacts of these extreme events. In this study, we leverage ocean physics reanalysis data obtained from Copernicus Marine covering the temporal span from 1993 to 2023 to conduct a rigorous examination of the NWES domain. The focus centers on the assessment of potential energy anomaly (PEA) and its role in shaping stratification dynamics. Our findings reveal an increase in both the frequency and duration of MHWs in the NWES area, especially in coastal areas where the duration of MHWs is increasing the fastest, generally by more than 2 days per year over the study period. However, despite the intensified MHWs, thermal stratification in the NWES is weakening, particularly in the middle and northern North Sea. This suggests that the warming effect due to MHWs is insufficient to counteract the overall decline in thermal stratification caused by global warming. Additionally, our study highlights the significance of seawater salinity in driving the trend of density stratifica</w:t>
      </w:r>
    </w:p>
    <w:p>
      <w:pPr/>
      <w:r>
        <w:rPr>
          <w:b/>
        </w:rPr>
        <w:t>POSSIBLE 2023:</w:t>
      </w:r>
      <w:r>
        <w:t xml:space="preserve"> Marine energy digitalization digital twin's approaches — https://doi.org/10.1016/j.rser.2023.114065</w:t>
      </w:r>
    </w:p>
    <w:p>
      <w:pPr/>
      <w:r>
        <w:rPr>
          <w:b/>
        </w:rPr>
        <w:t>Shared claim-specific concepts:</w:t>
      </w:r>
      <w:r>
        <w:t xml:space="preserve"> marine, energy; EU scope visible. This is a provisional connection, not an outcome finding.</w:t>
      </w:r>
    </w:p>
    <w:p>
      <w:pPr>
        <w:pStyle w:val="SourceNote"/>
      </w:pPr>
      <w:r>
        <w:rPr>
          <w:b/>
        </w:rPr>
        <w:t>Available abstract (not full text):</w:t>
      </w:r>
      <w:r>
        <w:t xml:space="preserve"> Digital twins (DTs) promise innovation for the marine renewable energy sector using modern technological advances and the existing maritime knowledge frameworks. The DT is a digital equivalent of a real object that reflects and predicts its behaviours and states in a virtual space over its lifetime. DTs collect data from multiple sources in pilots and leverage newly introduced low-cost sensor systems. They synchronize, homogenize, and transmit the data to a central hub and integrate it with predictive and learning models to optimize plant performance and operations. This research presents critical aspects of DT implementation challenges in marine energy digitalization DT approaches that use and combine data systems. Firstly, the DT and the existing framework for marine knowledge provided by systems are presented, and the DT's main development steps are discussed. Secondly, the DT implementing main stages, measurement systems, data harmonization and preprocessing, modelling, comprehensive data analysis, and learning and optimization tools, are identified. Finally, the ILIAD (Integrated Digital Framework for Comprehensive Maritime Data and Information Services) project has been reviewed as a best EU funding practice to understand better how marine energy digitalization DT's approaches are being used, designed, developed, and launched.</w:t>
      </w:r>
    </w:p>
    <w:p>
      <w:pPr/>
      <w:r>
        <w:rPr>
          <w:b/>
        </w:rPr>
        <w:t>POSSIBLE 2023:</w:t>
      </w:r>
      <w:r>
        <w:t xml:space="preserve"> Developing a Marine Energy Workforce Pipeline — https://doi.org/10.23919/oceans52994.2023.10336954</w:t>
      </w:r>
    </w:p>
    <w:p>
      <w:pPr/>
      <w:r>
        <w:rPr>
          <w:b/>
        </w:rPr>
        <w:t>Shared claim-specific concepts:</w:t>
      </w:r>
      <w:r>
        <w:t xml:space="preserve"> marine, energy, resources; EU scope not established. This is a provisional connection, not an outcome finding.</w:t>
      </w:r>
    </w:p>
    <w:p>
      <w:pPr>
        <w:pStyle w:val="SourceNote"/>
      </w:pPr>
      <w:r>
        <w:rPr>
          <w:b/>
        </w:rPr>
        <w:t>Available abstract (not full text):</w:t>
      </w:r>
      <w:r>
        <w:t xml:space="preserve"> Marine Energy is a nascent, but growing industry and will need a strong workforce to be successful. This paper examines the resources and programs needed to achieve the industry's goals.</w:t>
      </w:r>
    </w:p>
    <w:p>
      <w:pPr/>
      <w:r>
        <w:rPr>
          <w:b/>
        </w:rPr>
        <w:t>POSSIBLE 2023:</w:t>
      </w:r>
      <w:r>
        <w:t xml:space="preserve"> Energy Justice Framework for Marine Energy: Considerations from PacWave — https://doi.org/10.2172/2352468</w:t>
      </w:r>
    </w:p>
    <w:p>
      <w:pPr/>
      <w:r>
        <w:rPr>
          <w:b/>
        </w:rPr>
        <w:t>Shared claim-specific concepts:</w:t>
      </w:r>
      <w:r>
        <w:t xml:space="preserve"> marine, energy, two; EU scope not established. This is a provisional connection, not an outcome finding.</w:t>
      </w:r>
    </w:p>
    <w:p>
      <w:pPr>
        <w:pStyle w:val="SourceNote"/>
      </w:pPr>
      <w:r>
        <w:rPr>
          <w:b/>
        </w:rPr>
        <w:t>Available abstract (not full text):</w:t>
      </w:r>
      <w:r>
        <w:t xml:space="preserve"> To accelerate the energy transition while addressing land use conflicts and community opposition, federal policies and incentives require that new energy infrastructure provide direct benefits to communities, and ensure that these benefits remain in the community. The objective of this study is to develop a framework for collecting demographic, socioeconomic, and environmental data and supporting communities in understanding how such data can support more just and equitable outcomes. Specifically, this study addresses two research questions: (1) How can energy justice be incorporated into ME project life cycle, and (2) what social and economic data are needed to assess how marine energy development supports energy justice? Based on our literature review and the data collection template, a case study of PacWave, a wave energy testing facility located on the central Oregon Coast, is employed to draw more specific implications for how energy justice can be integrated into marine energy. PacWave represents a flagship investment by Oregon State University, the State of Oregon, and the Department of Energy. The facility is situated in Lincoln County, which is home to the Confederated Tribes of Siletz Indians and family-scale fishing enterprises. PacWave has strong community support as a testing site and holds potential to provide valuable lessons for other communities.</w:t>
      </w:r>
    </w:p>
    <w:p>
      <w:pPr/>
      <w:r>
        <w:rPr>
          <w:b/>
        </w:rPr>
        <w:t>POSSIBLE 2023:</w:t>
      </w:r>
      <w:r>
        <w:t xml:space="preserve"> Planning the Installation of Marine Renewable Energies in Portugal - a tool for decision making — https://doi.org/10.1088/1742-6596/2626/1/012074</w:t>
      </w:r>
    </w:p>
    <w:p>
      <w:pPr/>
      <w:r>
        <w:rPr>
          <w:b/>
        </w:rPr>
        <w:t>Shared claim-specific concepts:</w:t>
      </w:r>
      <w:r>
        <w:t xml:space="preserve"> marine, energy, play, role, system; EU scope visible. This is a provisional connection, not an outcome finding.</w:t>
      </w:r>
    </w:p>
    <w:p>
      <w:pPr>
        <w:pStyle w:val="SourceNote"/>
      </w:pPr>
      <w:r>
        <w:rPr>
          <w:b/>
        </w:rPr>
        <w:t>Available abstract (not full text):</w:t>
      </w:r>
      <w:r>
        <w:t xml:space="preserve"> Abstract In the latest years, the European governments have developed and published the goals for their countries in terms of energy and climate as requested by the European Commission - The National Energy and Climate Plans (NECPs). In this sense, an intense activity on the planning of the installation of renewable energy systems took place in each Member State in order to meet the goals established on the NECPs. Following the recent energy crisis and the urgency to transform Europe’s energy system in Europe, the NECPs are also being adapted to this situation and the installation of renewable energy systems assumed an even higher relevance. In this sense, offshore wind, due to its characteristics – high wind resource, less occupation issues and others – will play a key role in the future energy mix. This work proposed the development and application of a holistic planning methodology considering the available offshore renewable resource, restrictions to the installation of marine energy systems and economic indicators, which resulted in a techno-economic platform – MarinePlan, developed in the scope of a National funded project – OffshorePlan</w:t>
      </w:r>
    </w:p>
    <w:p>
      <w:pPr/>
      <w:r>
        <w:rPr>
          <w:b/>
        </w:rPr>
        <w:t>POSSIBLE 2023:</w:t>
      </w:r>
      <w:r>
        <w:t xml:space="preserve"> The role of the marine research infrastructures in the European marine observation landscape: present and future perspectives — https://doi.org/10.3389/fmars.2023.1047251</w:t>
      </w:r>
    </w:p>
    <w:p>
      <w:pPr/>
      <w:r>
        <w:rPr>
          <w:b/>
        </w:rPr>
        <w:t>Shared claim-specific concepts:</w:t>
      </w:r>
      <w:r>
        <w:t xml:space="preserve"> marine, play, significant, role, long-term, system; EU scope visible. This is a provisional connection, not an outcome finding.</w:t>
      </w:r>
    </w:p>
    <w:p>
      <w:pPr>
        <w:pStyle w:val="SourceNote"/>
      </w:pPr>
      <w:r>
        <w:rPr>
          <w:b/>
        </w:rPr>
        <w:t>Available abstract (not full text):</w:t>
      </w:r>
      <w:r>
        <w:t xml:space="preserve"> The ocean regulates the exchange, storage of carbon dioxide, plays a key role in global control of Earth climate and life, absorbs most of the heat excess from greenhouse gas emissions and provides a remarkable number of resources for the human being. Most of the geo-hazards occur in oceanic areas. Thus, high-quality systematic observations are necessary tools for improving our understanding, and subsequent assimilation to provide early warning systems. A holistic scientific approach for the understanding of the ocean’s interrelated processes requires coordinated and complementary monitoring and observation programmes. Research Infrastructures (RIs) are large-scale facilities that provide resources and services for the scientific communities to conduct high-level research and foster innovation. RIs benefit from strong governance and multi-annual funding from their member states with operational life spans in decades. RIs promote knowledge, outreach and education to public, private, and policy stakeholders, and they play a key role in enabling and developing research in all scientific domains and currently represent a growing share of coordinated investment in research, and also in providing essential observations to operational services such as Copernicus. They are strategically important for Europe to lead a global movement towards a data-driven, interconnected, open digital t</w:t>
      </w:r>
    </w:p>
    <w:p>
      <w:pPr/>
      <w:r>
        <w:rPr>
          <w:b/>
        </w:rPr>
        <w:t>POSSIBLE 2022:</w:t>
      </w:r>
      <w:r>
        <w:t xml:space="preserve"> Economic feasibility of marine renewable energy: Review — https://doi.org/10.3389/fmars.2022.988513</w:t>
      </w:r>
    </w:p>
    <w:p>
      <w:pPr/>
      <w:r>
        <w:rPr>
          <w:b/>
        </w:rPr>
        <w:t>Shared claim-specific concepts:</w:t>
      </w:r>
      <w:r>
        <w:t xml:space="preserve"> marine, energy, technology, different; EU scope visible. This is a provisional connection, not an outcome finding.</w:t>
      </w:r>
    </w:p>
    <w:p>
      <w:pPr>
        <w:pStyle w:val="SourceNote"/>
      </w:pPr>
      <w:r>
        <w:rPr>
          <w:b/>
        </w:rPr>
        <w:t>Available abstract (not full text):</w:t>
      </w:r>
      <w:r>
        <w:t xml:space="preserve"> This paper aims to comprehensively review the economic feasibility of Marine Renewable Energy. Five major continents are at different development stages of implementing MREs commercialization; Europe is in the most advanced, while Africa is at the initial stage. The Levelized Cost of Energy is usually used to make decisions and measure the plant’s economic feasibility. Literature suggests that MRE technology is still costly, and many emerging countries are sensitive to the income and use of MRE. Among various types of MREs, wind energy is the most feasible for many countries. Offshore wave energy is still at the pre-commercialization stage for many developing countries. Tidal energy plants can be economically viable depending on a reduction in investment cost and high capacity factors. Most of the world’s tidal flows have too low a speed to operate a turbine of commercial size for ocean thermal energy. In conclusion, the factors hindering MRE development are pointed out, and future challenges are discussed.</w:t>
      </w:r>
    </w:p>
    <w:p>
      <w:pPr/>
      <w:r>
        <w:rPr>
          <w:b/>
        </w:rPr>
        <w:t>POSSIBLE 2022:</w:t>
      </w:r>
      <w:r>
        <w:t xml:space="preserve"> State of Play in Marine Soundscape Assessments — https://doi.org/10.3389/fmars.2022.919418</w:t>
      </w:r>
    </w:p>
    <w:p>
      <w:pPr/>
      <w:r>
        <w:rPr>
          <w:b/>
        </w:rPr>
        <w:t>Shared claim-specific concepts:</w:t>
      </w:r>
      <w:r>
        <w:t xml:space="preserve"> marine, play, technology; EU scope not established. This is a provisional connection, not an outcome finding.</w:t>
      </w:r>
    </w:p>
    <w:p>
      <w:pPr>
        <w:pStyle w:val="SourceNote"/>
      </w:pPr>
      <w:r>
        <w:rPr>
          <w:b/>
        </w:rPr>
        <w:t>Available abstract (not full text):</w:t>
      </w:r>
      <w:r>
        <w:t xml:space="preserve"> A soundscape is the recording of all sounds present in an area, creating a holistic view of the acoustic profile in an ecosystem. Studying acoustic parameters of marine soundscapes as a whole has been shown to give an indication of the health status of the location, as well as correlate to which species may be present and using the area. With the rapid innovation of technology, especially data storage and declining cost of equipment, marine soundscape research is fast increasing, and these previous limitations have been switched for computing capacity for data analysis. Here, we perform a systematic assessment of literature of marine soundscape studies, from 1978, when the first soundscape study was reported, until 2021. We identified 200 primary research studies that recorded soundscapes and captured their geographical location, depth, habitat, duration of the study, and number of sites in each study. Using this data, we summarize the state of play in marine soundscapes studies, and identify knowledge gaps in the spatial coverage, depth profiles, habitat representation and study duration. Spatially, studies are biased towards the northern hemisphere. They are also more prevalent in more easily accessible ecosystems, in order from most to least studied, in coastal (38%), pelagic (20%), tropical coral reef (17%), rocky reef (7%), polar (5.5%), seagrass meadows, oyster reef and k</w:t>
      </w:r>
    </w:p>
    <w:p>
      <w:pPr/>
      <w:r>
        <w:rPr>
          <w:b/>
        </w:rPr>
        <w:t>POSSIBLE 2022:</w:t>
      </w:r>
      <w:r>
        <w:t xml:space="preserve"> Marine Integrated Energy Microgrids — https://doi.org/10.1109/rest54687.2022.10022621</w:t>
      </w:r>
    </w:p>
    <w:p>
      <w:pPr/>
      <w:r>
        <w:rPr>
          <w:b/>
        </w:rPr>
        <w:t>Shared claim-specific concepts:</w:t>
      </w:r>
      <w:r>
        <w:t xml:space="preserve"> marine, energy, role, system, efficiency; EU scope not established. This is a provisional connection, not an outcome finding.</w:t>
      </w:r>
    </w:p>
    <w:p>
      <w:pPr>
        <w:pStyle w:val="SourceNote"/>
      </w:pPr>
      <w:r>
        <w:rPr>
          <w:b/>
        </w:rPr>
        <w:t>Available abstract (not full text):</w:t>
      </w:r>
      <w:r>
        <w:t xml:space="preserve"> Marine sector decarbonization is another important battlefield for meeting the goal of climate action and ensuring the fulfillment of ambitions for a zero-emission society. Driven immediately by the policy incentives such as Energy Efficiency Design Index (EEDI) from International Maritime Organization(IMO), carbon taxation and labeling, a series of innovations centered around marine transportation are emerging from both industry and academia. As an efficient energy system form, the microgrid is playing an increasingly important role as the system constitution form for various marine energy systems. With specific concern about multi-energy integrations, the conventional definition of the microgrid needs also to be extended for an integrated energy system. In this paper, we will first introduce the extended concept of the microgrid as an integrated energy system and its applications in the marine sector, and then present the state of the art for the control, operation, and system integration for it and its clusters. The challenges and opportunities for marine integrated energy microgrids will also be discussed to shed light on future research.</w:t>
      </w:r>
    </w:p>
    <w:p>
      <w:pPr/>
      <w:r>
        <w:rPr>
          <w:b/>
        </w:rPr>
        <w:t>POSSIBLE 2022:</w:t>
      </w:r>
      <w:r>
        <w:t xml:space="preserve"> Social and Ecological Impacts of Marine Energy Development in Malaysia — https://doi.org/10.26666/rmp.jesr.2022.5.4</w:t>
      </w:r>
    </w:p>
    <w:p>
      <w:pPr/>
      <w:r>
        <w:rPr>
          <w:b/>
        </w:rPr>
        <w:t>Shared claim-specific concepts:</w:t>
      </w:r>
      <w:r>
        <w:t xml:space="preserve"> marine, energy; EU scope not established. This is a provisional connection, not an outcome finding.</w:t>
      </w:r>
    </w:p>
    <w:p>
      <w:pPr>
        <w:pStyle w:val="SourceNote"/>
      </w:pPr>
      <w:r>
        <w:rPr>
          <w:b/>
        </w:rPr>
        <w:t>Available abstract (not full text):</w:t>
      </w:r>
      <w:r>
        <w:t xml:space="preserve"> The excessive usage of fossil fuels in Malaysia is increasing yearly to meet the increasing domestic demands. However, this will impact the environment as fossil fuels will emit hazardous gases into the atmosphere. The development of marine energy in Malaysia is still in early periods compared with China, the U.K, and America. Notably, the impact of marine energy extraction on shallow water regions is not yet fully understood, such as the changes in the topography, the effect on marine life, and the cost of development and maintenance for tidal stream energy. This paper is focused on the social and ecological impact of potential marine energy development in Malaysia. Significantly, this study relies on published data to analyse and identify potential sites for harnessing tidal stream energy. Numerical calculation shows that the coastal region receives higher available energy compared to the deep sea. Three sites are found to be the best location for tidal energy exploration in Malaysia, namely Pangkor Island, Port Klang, and the Malacca coastline. From these three sites, the available energy per year for Pangkor Island is 193.668 MWh, while for Port Klang and Malacca coastline are at 241.66 MWh, and 433 MWh respectively. Apart from the economical aspect, the social aspect of tidal energy exploration is also examined. The purpose of the Renewable Energy Act 2011 and Electricity </w:t>
      </w:r>
    </w:p>
    <w:p>
      <w:pPr/>
      <w:r>
        <w:rPr>
          <w:b/>
        </w:rPr>
        <w:t>POSSIBLE 2022:</w:t>
      </w:r>
      <w:r>
        <w:t xml:space="preserve"> A Review of AC and DC Collection Grids for Offshore Renewable Energy with a Qualitative Evaluation for Marine Energy Resources — https://doi.org/10.3390/en15165816</w:t>
      </w:r>
    </w:p>
    <w:p>
      <w:pPr/>
      <w:r>
        <w:rPr>
          <w:b/>
        </w:rPr>
        <w:t>Shared claim-specific concepts:</w:t>
      </w:r>
      <w:r>
        <w:t xml:space="preserve"> marine, energy, system, resources, different; EU scope not established. This is a provisional connection, not an outcome finding.</w:t>
      </w:r>
    </w:p>
    <w:p>
      <w:pPr>
        <w:pStyle w:val="SourceNote"/>
      </w:pPr>
      <w:r>
        <w:rPr>
          <w:b/>
        </w:rPr>
        <w:t>Available abstract (not full text):</w:t>
      </w:r>
      <w:r>
        <w:t xml:space="preserve"> Marine energy resources could be crucial in meeting the increased demand for clean electricity. To enable the use of marine energy resources, developing efficient and durable offshore electrical systems is vital. Currently, there are no large-scale commercial projects with marine energy resources, and the question of how to design such electrical systems is still not settled. A natural starting point in investigating this is to draw on experiences and research from offshore wind power. This article reviews different collection grid topologies and key components for AC and DC grid structures. The review covers aspects such as the type of components, operation and estimated costs of commercially available components. A DC collection grid can be especially suitable for offshore marine energy resources, since the transmission losses are expected to be lower, and the electrical components could possibly be made smaller. Therefore, five DC collection grid topologies are proposed and qualitatively evaluated for marine energy resources using submerged and non-submerged marine energy converters. The properties, advantages and disadvantages of the proposed topologies are discussed, and it is concluded that a suitable electrical system for a marine energy farm will most surely be based on a site-specific techno-economic analysis.</w:t>
      </w:r>
    </w:p>
    <w:p>
      <w:pPr>
        <w:pStyle w:val="Heading2"/>
      </w:pPr>
      <w:r>
        <w:t>867. Biotechnology versus agroecology: Entrenchments and surprise at a 2030 forecast scenario workshop</w:t>
      </w:r>
    </w:p>
    <w:p>
      <w:pPr>
        <w:pStyle w:val="SourceNote"/>
      </w:pPr>
      <w:r>
        <w:rPr>
          <w:b/>
        </w:rPr>
        <w:t>Original source (2015):</w:t>
      </w:r>
      <w:r>
        <w:t xml:space="preserve"> https://doi.org/10.1093/scipol/scv021</w:t>
      </w:r>
    </w:p>
    <w:p>
      <w:pPr/>
      <w:r>
        <w:t>Original wording (abstract; indexed_source_text_not_full_document_verified): A scenario workshop methodology was used to obtain various assessments of the prospects of multi-stress resistant plants. In our results, the scenario method showed itself to be highly suited to easing the grip of cognitive entrenchments and hierarchical communication structures.</w:t>
      </w:r>
    </w:p>
    <w:p>
      <w:pPr/>
      <w:r>
        <w:rPr>
          <w:b/>
        </w:rPr>
        <w:t>POSSIBLE 2026:</w:t>
      </w:r>
      <w:r>
        <w:t xml:space="preserve"> Improving the methodology for the comprehensive assessment of the working conditions of workers in the foundry — https://doi.org/10.21122/1683-6065-2026-2-143-150</w:t>
      </w:r>
    </w:p>
    <w:p>
      <w:pPr/>
      <w:r>
        <w:rPr>
          <w:b/>
        </w:rPr>
        <w:t>Shared claim-specific concepts:</w:t>
      </w:r>
      <w:r>
        <w:t xml:space="preserve"> methodology, various, showed; EU scope not established. This is a provisional connection, not an outcome finding.</w:t>
      </w:r>
    </w:p>
    <w:p>
      <w:pPr>
        <w:pStyle w:val="SourceNote"/>
      </w:pPr>
      <w:r>
        <w:rPr>
          <w:b/>
        </w:rPr>
        <w:t>Available abstract (not full text):</w:t>
      </w:r>
      <w:r>
        <w:t xml:space="preserve"> An improved methodology for the comprehensive assessment of the working conditions of workers in foundries is considered. Additional working conditions to the main production factors have been identified. Correction factors for additional production factors have been determined, taking into account their effects on the human body. The data obtained on the calculation of a complex indicator for individual professions of various sections of steel workshops with a mass production nature showed the need to introduce additional production factors into the calculation equation. Changes have also been made to the classification of foundries (sites) by working conditions.</w:t>
      </w:r>
    </w:p>
    <w:p>
      <w:pPr/>
      <w:r>
        <w:rPr>
          <w:b/>
        </w:rPr>
        <w:t>POSSIBLE 2025:</w:t>
      </w:r>
      <w:r>
        <w:t xml:space="preserve"> Building Participatory Instant Messaging: Developing a Methodology for Online Workshops Using WhatsApp — https://doi.org/10.35844/001c.141333</w:t>
      </w:r>
    </w:p>
    <w:p>
      <w:pPr/>
      <w:r>
        <w:rPr>
          <w:b/>
        </w:rPr>
        <w:t>Shared claim-specific concepts:</w:t>
      </w:r>
      <w:r>
        <w:t xml:space="preserve"> workshop, methodology, used, method; EU scope visible. This is a provisional connection, not an outcome finding.</w:t>
      </w:r>
    </w:p>
    <w:p>
      <w:pPr>
        <w:pStyle w:val="SourceNote"/>
      </w:pPr>
      <w:r>
        <w:rPr>
          <w:b/>
        </w:rPr>
        <w:t>Available abstract (not full text):</w:t>
      </w:r>
      <w:r>
        <w:t xml:space="preserve"> This paper describes an application of instant messaging to support extended online participatory workshops. We describe the development and application of Participatory Instant Messaging (PIM) within the context of two projects in Sweden, which both aimed to integrate migrant experiences into policy dialogues and societal awareness. The projects brought together artistic practice, research traditions and the active engagement of participants in self-expression. The methodology leveraged the communicative opportunities in a familiar instant messaging platform to facilitate remote participatory workshops, overcoming geographical and logistical barriers that can otherwise constrain workshops to particular localities. PIM was used to co-create narratives and media directly with participants, enriching our understanding of their lives and enhancing public engagement with migrants’ stories, while remaining sensitive to participants’ lives and other commitments. This paper discusses the iterative design of PIM, from pilot experiments to full-scale application, highlighting the methodological insights gained and the practical challenges addressed throughout these phases. We drew on the concept of social affordances of technology, which foregrounds the space of potential interactions within participants’ own use of instant messaging. Social affordances informed both facilitation strate</w:t>
      </w:r>
    </w:p>
    <w:p>
      <w:pPr/>
      <w:r>
        <w:rPr>
          <w:b/>
        </w:rPr>
        <w:t>POSSIBLE 2025:</w:t>
      </w:r>
      <w:r>
        <w:t xml:space="preserve"> Workshop on Cumulative Impacts Assessment (WKCIA) — https://doi.org/10.17895/ices.pub.30531236</w:t>
      </w:r>
    </w:p>
    <w:p>
      <w:pPr/>
      <w:r>
        <w:rPr>
          <w:b/>
        </w:rPr>
        <w:t>Shared claim-specific concepts:</w:t>
      </w:r>
      <w:r>
        <w:t xml:space="preserve"> workshop, methodology, various, assessments, method; EU scope not established. This is a provisional connection, not an outcome finding.</w:t>
      </w:r>
    </w:p>
    <w:p>
      <w:pPr>
        <w:pStyle w:val="SourceNote"/>
      </w:pPr>
      <w:r>
        <w:rPr>
          <w:b/>
        </w:rPr>
        <w:t>Available abstract (not full text):</w:t>
      </w:r>
      <w:r>
        <w:t xml:space="preserve"> 04/06/26 (erratum): Please note that corrections have been made to the participant list. Earlier published versions of the report are no longer accessible due to privacy concerns.The remit of the Workshop on Cumulative Impact Assessments (WKCIA) was to provide the basis of advice requested by the Netherland Ministry of Infrastructure and Water Management on behalf of the Greater North Sea Basin Initiative (GNSBI). The tasks included reviewing relevant CIA methods and tools, defining common principles for CIAs in relation to the expected applications, identifying the criteria for the evaluation of CIAs, and providing recommendations for the application of the most suitable CIA methods.In terms of their main components, output and capacity to inform an Ecosystem Approach to Management, the available CIA methods-types were characterized as: 1. Response, 2. Spatial, Flexible, and 4. Synthesis. This characterization was based on key literature and examples from the application of various tools that apply these method-types. Several of these examples were presented and discussed at the WKCIA.The following premises guided the selection of common principles: i) The requirement of a timely delivery of a CIA methodology and knowledge base; ii) Maximise adherence to existing principles (and not re-invent the wheel); and iii) Allow a process towards harmonization of the CIA approaches and </w:t>
      </w:r>
    </w:p>
    <w:p>
      <w:pPr/>
      <w:r>
        <w:rPr>
          <w:b/>
        </w:rPr>
        <w:t>POSSIBLE 2025:</w:t>
      </w:r>
      <w:r>
        <w:t xml:space="preserve"> Workshop on Risk Assessment of Nanomaterials and Materials Containing Small/Nanoparticles in the Food and Feed Chain — https://doi.org/10.2903/sp.efsa.2025.en-9625</w:t>
      </w:r>
    </w:p>
    <w:p>
      <w:pPr/>
      <w:r>
        <w:rPr>
          <w:b/>
        </w:rPr>
        <w:t>Shared claim-specific concepts:</w:t>
      </w:r>
      <w:r>
        <w:t xml:space="preserve"> workshop, various, assessments; EU scope visible. This is a provisional connection, not an outcome finding.</w:t>
      </w:r>
    </w:p>
    <w:p>
      <w:pPr>
        <w:pStyle w:val="SourceNote"/>
      </w:pPr>
      <w:r>
        <w:rPr>
          <w:b/>
        </w:rPr>
        <w:t>Available abstract (not full text):</w:t>
      </w:r>
      <w:r>
        <w:t xml:space="preserve"> Abstract This workshop represented a milestone of the engagement plan that aimed in updating EFSA's guidance on nanomaterials and small/nano particles risk assessment within the food and feed chain. In response to the identified challenges in implementing the 2021 EFSA guidance documents, the event provided a space for discussing key scientific aspects, enhancing harmonization across scientific and regulatory frameworks, and exchanging views among various stakeholders. Attended by over 50 in‐person and more than 250 online participants, the event featured two sessions. Session 1 provided an overview of existing frameworks, including insights from EU agencies and international bodies, highlighting the need for alignment and updated guidance to reflect scientific advancements. Session 2 facilitated discussions on technical aspects, such as physico‐chemical characterization, toxicological testing, and risk assessment methodologies. Major topics included the integration of New Approach Methodologies (NAMs), addressing challenges in sample preparation, and the acceptance of historical data. Emphasizing the importance of cooperation, the workshop called for flexible yet adapted approaches to ensure industry compliance and effective risk assessments. Concluding the event, EFSA committed to refining guidance to align with scientific progress and stakeholder feedback, fostering collabor</w:t>
      </w:r>
    </w:p>
    <w:p>
      <w:pPr/>
      <w:r>
        <w:rPr>
          <w:b/>
        </w:rPr>
        <w:t>POSSIBLE 2025:</w:t>
      </w:r>
      <w:r>
        <w:t xml:space="preserve"> Experience on Training among the Participants of Teaching Methodology and Assessment — https://doi.org/10.3329/cmoshmcj.v23i1.78514</w:t>
      </w:r>
    </w:p>
    <w:p>
      <w:pPr/>
      <w:r>
        <w:rPr>
          <w:b/>
        </w:rPr>
        <w:t>Shared claim-specific concepts:</w:t>
      </w:r>
      <w:r>
        <w:t xml:space="preserve"> workshop, methodology, various; EU scope not established. This is a provisional connection, not an outcome finding.</w:t>
      </w:r>
    </w:p>
    <w:p>
      <w:pPr>
        <w:pStyle w:val="SourceNote"/>
      </w:pPr>
      <w:r>
        <w:rPr>
          <w:b/>
        </w:rPr>
        <w:t>Available abstract (not full text):</w:t>
      </w:r>
      <w:r>
        <w:t xml:space="preserve"> Background: Recent development in medical education have created increasing challenges for medical teachers. Teachers are not born, they are made. Some special initiatives can make one able to be a good teacher. Teaching is not an inborn quality. A professional training is needed to be a teacher. In Bangladesh medical professionals become teachers without any sorts of formal training of teaching methodology and assessment. A Medical Degree is not the only qualification of a medical teacher. Our medical professional become teacher without any sort of formal training of “Teaching Methodology and Assessment”. To improve the quality of medical education in Bangladesh, training on teaching methodology and assessment for medical teachers is essential. This study was done to describe experience on training by trainers on teaching methodology and assessment. Materials and methods: This Experiental study (Before and after trial study) was conducted in the teachers of various Department of Chattagram Maa-O-Shishu Hospital Medical College, Chattogram (CMOSHMC) from July 2022 to December 2022. Sample size: 63 (24 Male, 39 Female) Results: 63 Participants were grouped into 3 groups ,21 participants were in each group. Each group participated in workshop for 4 days.They are trained with 12 modules supplied by CME. Pre-test and Post-test were conducted. Test results were analyzed for any sign</w:t>
      </w:r>
    </w:p>
    <w:p>
      <w:pPr/>
      <w:r>
        <w:rPr>
          <w:b/>
        </w:rPr>
        <w:t>POSSIBLE 2025:</w:t>
      </w:r>
      <w:r>
        <w:t xml:space="preserve"> Expanding the Fine-Kinney Methodology Using Fuzzy Logic: A Case Study in an Energy Linemen Workshop — https://doi.org/10.3390/safety11040094</w:t>
      </w:r>
    </w:p>
    <w:p>
      <w:pPr/>
      <w:r>
        <w:rPr>
          <w:b/>
        </w:rPr>
        <w:t>Shared claim-specific concepts:</w:t>
      </w:r>
      <w:r>
        <w:t xml:space="preserve"> workshop, methodology, various, method; EU scope not established. This is a provisional connection, not an outcome finding.</w:t>
      </w:r>
    </w:p>
    <w:p>
      <w:pPr>
        <w:pStyle w:val="SourceNote"/>
      </w:pPr>
      <w:r>
        <w:rPr>
          <w:b/>
        </w:rPr>
        <w:t>Available abstract (not full text):</w:t>
      </w:r>
      <w:r>
        <w:t xml:space="preserve"> This paper investigates the effectiveness and limitations of the traditional Fine-Kinney method for occupational risk assessment, emphasizing its shortcomings in addressing complex and dynamic work environments. To overcome these challenges, two advanced methodologies, Fine-Kinney10 (FK10) and Fuzzy Fine-Kinney10 (FFK10), are introduced. The FK10 employs a symmetric scaling system (1–10) for probability, frequency, and severity indicators, providing a more balanced quantification of risks. Meanwhile, FFK10 incorporates fuzzy logic to handle uncertainty and subjectivity in risk assessment, significantly enhancing the sensitivity and accuracy of risk evaluation. These methodologies were applied to a linemen workshop in an energy production and distribution company, analyzing various types of accidents such as falls from heights, exposure to electric currents, slips on surfaces, and more. The applications highlighted the practical benefits of these methods in effectively assessing and mitigating risks. A significant finding includes the identification of risks related to falls from heights of &lt;2.5 m (SH1) and road traffic accidents (SH6), where all three methods yielded different verbal outcomes. Compared to the traditional Fine-Kinney method, FK10 and FFK10 demonstrated superior ability in distinguishing risk levels and guiding targeted safety measures. The study underscores that</w:t>
      </w:r>
    </w:p>
    <w:p>
      <w:pPr/>
      <w:r>
        <w:rPr>
          <w:b/>
        </w:rPr>
        <w:t>POSSIBLE 2024:</w:t>
      </w:r>
      <w:r>
        <w:t xml:space="preserve"> Evaluating a research methodology workshop among postgraduate students using Kirkpatrick’s model — https://doi.org/10.4103/jehp.jehp_1026_23</w:t>
      </w:r>
    </w:p>
    <w:p>
      <w:pPr/>
      <w:r>
        <w:rPr>
          <w:b/>
        </w:rPr>
        <w:t>Shared claim-specific concepts:</w:t>
      </w:r>
      <w:r>
        <w:t xml:space="preserve"> workshop, methodology, used; EU scope not established. This is a provisional connection, not an outcome finding.</w:t>
      </w:r>
    </w:p>
    <w:p>
      <w:pPr>
        <w:pStyle w:val="SourceNote"/>
      </w:pPr>
      <w:r>
        <w:rPr>
          <w:b/>
        </w:rPr>
        <w:t>Available abstract (not full text):</w:t>
      </w:r>
      <w:r>
        <w:t xml:space="preserve"> BACKGROUND: In this era of evidence-based medicine, only systematic research can help in providing judicious and precise healthcare to individual patients based on updated knowledge and skills. However, many medical professionals do not feel competent and confident enough to conduct research. One of the reasons could be the lack of a research-based curriculum in undergraduate courses. The National Medical Council has also stressed the need for formal training in research methodology for healthcare professionals. The research methodology workshops help to familiarize the participants with basic, clinical, and translational research required to impart optimum patient care. The objective of our study was to evaluate a research methodology workshop conducted for postgraduate students by assessing the participant’s knowledge, feedback, and expected impact using Kirkpatrick’s evaluation model. MATERIALS AND METHODS: A quasi-experimental, single-group study was conducted among 132 first-year postgraduate students. The four levels of Kirkpatrick’s model were applied for evaluation. Feedback forms, scores of the pretest and posttest, quality of the research proposal drafted by the postgraduates for their thesis, and finally successful submission of the research proposal were the components used to evaluate the four levels of outcome of Kirkpatrick’s model. STATISTICAL ANALYSIS: Data col</w:t>
      </w:r>
    </w:p>
    <w:p>
      <w:pPr/>
      <w:r>
        <w:rPr>
          <w:b/>
        </w:rPr>
        <w:t>POSSIBLE 2023:</w:t>
      </w:r>
      <w:r>
        <w:t xml:space="preserve"> Chemistry Workshop in Brazilian High School using the Three Pedagogical Moments Methodology — https://doi.org/10.14571/brajets.v16.n1.59-70</w:t>
      </w:r>
    </w:p>
    <w:p>
      <w:pPr/>
      <w:r>
        <w:rPr>
          <w:b/>
        </w:rPr>
        <w:t>Shared claim-specific concepts:</w:t>
      </w:r>
      <w:r>
        <w:t xml:space="preserve"> workshop, methodology, showed; EU scope not established. This is a provisional connection, not an outcome finding.</w:t>
      </w:r>
    </w:p>
    <w:p>
      <w:pPr>
        <w:pStyle w:val="SourceNote"/>
      </w:pPr>
      <w:r>
        <w:rPr>
          <w:b/>
        </w:rPr>
        <w:t>Available abstract (not full text):</w:t>
      </w:r>
      <w:r>
        <w:t xml:space="preserve"> This paper deals with the importance of educational methodologies which enable linear and propaedeutic education to be eliminated, while problematization and dialogicity are stimulated. It describes a study that focuses on the evaluation of Three Pedagogical Moments (3 PMs) with planned and implemented activities in the workshop "Coarse salt bath and the study of solutions", which was carried out with high school students in chemistry classes. Workshops are developed and carried out as the result of a partnership between a university and a high school in Pelotas, a city located in southern Brazil. The production of the empirical material was based on students’ responses to a questionnaire and notes in a field diary performed by the team. Results of the content analysis showed the learning potential offered by the thematic workshop related with daily lives and chemistry teaching to students and it was observed as differentiated and alternative methodology from traditional classroom classes. Due to obtained results in the activities developed at thematic chemistry workshop organized and based in the 3 PMs, the Project have continued with the elaboration and development of other workshops that are available on the project website.</w:t>
      </w:r>
    </w:p>
    <w:p>
      <w:pPr/>
      <w:r>
        <w:rPr>
          <w:b/>
        </w:rPr>
        <w:t>POSSIBLE 2022:</w:t>
      </w:r>
      <w:r>
        <w:t xml:space="preserve"> Use of New Approach Methodologies (NAMs) in regulatory decisions for chemical safety: Report from an EPAA Deep Dive Workshop — https://doi.org/10.1016/j.yrtph.2022.105261</w:t>
      </w:r>
    </w:p>
    <w:p>
      <w:pPr/>
      <w:r>
        <w:rPr>
          <w:b/>
        </w:rPr>
        <w:t>Shared claim-specific concepts:</w:t>
      </w:r>
      <w:r>
        <w:t xml:space="preserve"> workshop, used, method; EU scope visible. This is a provisional connection, not an outcome finding.</w:t>
      </w:r>
    </w:p>
    <w:p>
      <w:pPr>
        <w:pStyle w:val="SourceNote"/>
      </w:pPr>
      <w:r>
        <w:rPr>
          <w:b/>
        </w:rPr>
        <w:t>Available abstract (not full text):</w:t>
      </w:r>
      <w:r>
        <w:t xml:space="preserve"> New Approach Methodologies (NAMs) are considered to include any in vitro, in silico or chemistry-based method, as well as the strategies to implement them, that may provide information that could inform chemical safety assessment. Current chemical legislation in the European Union is limited in its acceptance of the widespread use of NAMs. The European Partnership for Alternative Approaches to Animal Testing (EPAA) therefore convened a 'Deep Dive Workshop' to explore the use of NAMs in chemical safety assessment, the aim of which was to support regulatory decisions, whilst intending to protect human health. The workshop recognised that NAMs are currently used in many industrial sectors, with some considered as fit for regulatory purpose. Moreover, the workshop identified key discussion points that can be addressed to increase the use and regulatory acceptance of NAMs. These are based on the changes needed in frameworks for regulatory requirements and the essential needs in education, training and greater stakeholder engagement as well the gaps in the scientific basis of NAMs.</w:t>
      </w:r>
    </w:p>
    <w:p>
      <w:pPr/>
      <w:r>
        <w:rPr>
          <w:b/>
        </w:rPr>
        <w:t>POSSIBLE 2021:</w:t>
      </w:r>
      <w:r>
        <w:t xml:space="preserve"> A 2021 Online Workshop for the Review of Two Modules on Methodology for Using English as a Medium of Instruction in Rwanda: Opportunities and Challenges — https://doi.org/10.33422/ejte.v3i4.554</w:t>
      </w:r>
    </w:p>
    <w:p>
      <w:pPr/>
      <w:r>
        <w:rPr>
          <w:b/>
        </w:rPr>
        <w:t>Shared claim-specific concepts:</w:t>
      </w:r>
      <w:r>
        <w:t xml:space="preserve"> workshop, methodology, used, showed; EU scope not established. This is a provisional connection, not an outcome finding.</w:t>
      </w:r>
    </w:p>
    <w:p>
      <w:pPr>
        <w:pStyle w:val="SourceNote"/>
      </w:pPr>
      <w:r>
        <w:rPr>
          <w:b/>
        </w:rPr>
        <w:t>Available abstract (not full text):</w:t>
      </w:r>
      <w:r>
        <w:t xml:space="preserve"> Since the outbreak of the COVID-19 pandemic in Wuhan in China and its rapid spread around the globe, people’s life and work styles have changed. Governments have installed and implemented lockdowns, social distancing, and stay home preventive measures that have forced most people to work from their homes. Research units and higher learning institutions were not spared as well. International conferences that were to take place in 2020 were turned into virtual presentations and until recently nothing has changed. To handle the crisis, the University of Rwanda also thought of transforming its work ethos. In this regard a two-phase online workshop was held in January and February 2021 to review two modules produced during a face-to face workshop in October 2021. These were modules on methodologies to help pre-primary, primary and lower secondary school teachers to effectively deliver their subject content through English, the medium of instruction, and promote learners’ proficiency in this language. As this online review was the first virtual workshop experience of the kind for most participants, the researchers decided to investigate the opportunities it offered them and the challenges faced. Theories on online work and of quantitative and qualitative research paradigms were used. The research tools were a questionnaire and observations. Graphs were utilised and emerging themes gr</w:t>
      </w:r>
    </w:p>
    <w:p>
      <w:pPr/>
      <w:r>
        <w:rPr>
          <w:b/>
        </w:rPr>
        <w:t>POSSIBLE 2021:</w:t>
      </w:r>
      <w:r>
        <w:t xml:space="preserve"> Workshop methodology design: Innovation-oriented participatory processes for sustainability — https://doi.org/10.1016/j.annals.2021.103251</w:t>
      </w:r>
    </w:p>
    <w:p>
      <w:pPr/>
      <w:r>
        <w:rPr>
          <w:b/>
        </w:rPr>
        <w:t>Shared claim-specific concepts:</w:t>
      </w:r>
      <w:r>
        <w:t xml:space="preserve"> workshop, methodology, used, structures; EU scope not established. This is a provisional connection, not an outcome finding.</w:t>
      </w:r>
    </w:p>
    <w:p>
      <w:pPr>
        <w:pStyle w:val="SourceNote"/>
      </w:pPr>
      <w:r>
        <w:rPr>
          <w:b/>
        </w:rPr>
        <w:t>Available abstract (not full text):</w:t>
      </w:r>
      <w:r>
        <w:t xml:space="preserve"> Workshop methodologies based on overarching knowledge structures are necessary for a shift of the tourism sector towards sustainability. We adopted a participatory action research approach and designed a workshop methodology based on the main tenets and tools of the theory of change, design thinking, and sustainable business models. We tested this methodology within a project initiated by a destination management organisation to promote innovation during the covid-19 crisis and used the results to identify improvements and recommendations for future applications. Although further tests are needed, the study proved that the developed methodology has great potential for promoting the systemic change, creativity, collaboration, empathy, and empowerment that are necessary for a sustainability shift.</w:t>
      </w:r>
    </w:p>
    <w:p>
      <w:pPr/>
      <w:r>
        <w:rPr>
          <w:b/>
        </w:rPr>
        <w:t>POSSIBLE 2020:</w:t>
      </w:r>
      <w:r>
        <w:t xml:space="preserve"> Reflection of Using Buddhist Cognitive Process Activities in the Workshop of Research Methodology Course — https://openalex.org/W3093503066</w:t>
      </w:r>
    </w:p>
    <w:p>
      <w:pPr/>
      <w:r>
        <w:rPr>
          <w:b/>
        </w:rPr>
        <w:t>Shared claim-specific concepts:</w:t>
      </w:r>
      <w:r>
        <w:t xml:space="preserve"> workshop, methodology, used, showed, cognitive; EU scope not established. This is a provisional connection, not an outcome finding.</w:t>
      </w:r>
    </w:p>
    <w:p>
      <w:pPr>
        <w:pStyle w:val="SourceNote"/>
      </w:pPr>
      <w:r>
        <w:rPr>
          <w:b/>
        </w:rPr>
        <w:t>Available abstract (not full text):</w:t>
      </w:r>
      <w:r>
        <w:t xml:space="preserve"> The purpose of this research was to study reflection of using Buddhist cognitive process activities in the workshop of research methodology course. Classroom action research and qualitative research were used. The target group was graduate students in psychology of life and death program, Faculty of Humanities, Mahachulalongkornrajavidyalaya University. Research tools were observation form and questionnaires. Qualitative data from 18 key informants was analyzed by using content analysis and analytic induction. Results indicated that reflection of using Buddhist cognitive process activities in the workshop of research methodology course showed in 4 aspects consisted of; 1) Knowledge, students were knowledge about content of subject, 2) Learning Process, students have shown their interested in learning process and be happy with class activities, 3) Attitude, students have changed and showed positive attitudes on research methodology. They have shown inspiration to create their theses, 4) Skills and Experience, students practiced their skills on data collection, data analysis, and data presentation for research. They also reflected that Buddhist cognitive process activities in the workshop of research methodology can improve students in learning happily, inspirited and practiced skills of research. Therefore, these activities within the workshop were appropriate for applying furth</w:t>
      </w:r>
    </w:p>
    <w:p>
      <w:pPr>
        <w:pStyle w:val="Heading2"/>
      </w:pPr>
      <w:r>
        <w:t>868. CORPORATE FORESIGHT AND ASSESSMENT OF INNOVATIVE ACTIVITY OF INDUSTRIAL ENTERPRISES</w:t>
      </w:r>
    </w:p>
    <w:p>
      <w:pPr>
        <w:pStyle w:val="SourceNote"/>
      </w:pPr>
      <w:r>
        <w:rPr>
          <w:b/>
        </w:rPr>
        <w:t>Original source (2015):</w:t>
      </w:r>
      <w:r>
        <w:t xml:space="preserve"> https://doi.org/10.14529/em090308</w:t>
      </w:r>
    </w:p>
    <w:p>
      <w:pPr/>
      <w:r>
        <w:t>Original wording (abstract; indexed_source_text_not_full_document_verified): Foresight is a system of expert evaluation of strategic directions of social and economic and innovative development, identification of technological breakthroughs that could have an impact on the economy and the society in the mid- and long-term perspective.</w:t>
      </w:r>
    </w:p>
    <w:p>
      <w:pPr/>
      <w:r>
        <w:rPr>
          <w:b/>
        </w:rPr>
        <w:t>POSSIBLE 2026:</w:t>
      </w:r>
      <w:r>
        <w:t xml:space="preserve"> FORESIGHT METHODS TOOLS FOR INNOVATIVE MARKETING AND DIGITAL MARKET FORESIGHT — https://doi.org/10.20998/2313-8890.2025.12.08</w:t>
      </w:r>
    </w:p>
    <w:p>
      <w:pPr/>
      <w:r>
        <w:rPr>
          <w:b/>
        </w:rPr>
        <w:t>Shared claim-specific concepts:</w:t>
      </w:r>
      <w:r>
        <w:t xml:space="preserve"> foresight, system, expert, evaluation, strategic, innovative; EU scope not established. This is a provisional connection, not an outcome finding.</w:t>
      </w:r>
    </w:p>
    <w:p>
      <w:pPr>
        <w:pStyle w:val="SourceNote"/>
      </w:pPr>
      <w:r>
        <w:rPr>
          <w:b/>
        </w:rPr>
        <w:t>Available abstract (not full text):</w:t>
      </w:r>
      <w:r>
        <w:t xml:space="preserve"> Abstract. The article considers the issue of using foresight methods for innovative marketing. Special attention is paid to theoretical issues of digital market foresight. It is noted that there is a growing need for the use of proactive forecasting tools that allow not only to analyze current trends, but also to form alternative scenarios for the development of the market, technologies and consumer models. It is substantiated that the scientific and practical problem is the systematization of foresight methods tools for innovative marketing and the formation of a conceptual model of digital market foresight as an integrated system of strategic prediction of market transformations. A unified classification of foresight methods tools for innovative marketing has been developed. The methodological basis of the proposed classification is based on the functional role of tools in the marketing decision-making system. Unlike traditional foresight classifications (expert, scenario, analytical methods), this system groups tools according to their contribution to the formation of future marketing decisions. Five functional classes of the classification have been identified: change scanning tools, interpretation of future market states, scenario modeling, strategic market design, validation and coordination of decisions and summarized in classification tables. A detailed description of t</w:t>
      </w:r>
    </w:p>
    <w:p>
      <w:pPr/>
      <w:r>
        <w:rPr>
          <w:b/>
        </w:rPr>
        <w:t>POSSIBLE 2026:</w:t>
      </w:r>
      <w:r>
        <w:t xml:space="preserve"> Strategic foresight and management of energy security in Jordan : The mediating role of strategic agility — https://openalex.org/W7166258236</w:t>
      </w:r>
    </w:p>
    <w:p>
      <w:pPr/>
      <w:r>
        <w:rPr>
          <w:b/>
        </w:rPr>
        <w:t>Shared claim-specific concepts:</w:t>
      </w:r>
      <w:r>
        <w:t xml:space="preserve"> foresight, strategic, directions; EU scope not established. This is a provisional connection, not an outcome finding.</w:t>
      </w:r>
    </w:p>
    <w:p>
      <w:pPr>
        <w:pStyle w:val="SourceNote"/>
      </w:pPr>
      <w:r>
        <w:rPr>
          <w:b/>
        </w:rPr>
        <w:t>Available abstract (not full text):</w:t>
      </w:r>
      <w:r>
        <w:t xml:space="preserve"> Energy security is a critical national priority that underpins economic and social stability, yet it remains a persistent challenge in Jordan due to limited energy resources and political instability in the Middle East and North Africa (MENA) region. Despite its strategic importance, the role of organizational foresight in managing energy crisis has received limited scholarly attention, particularly in non-Western, regulated contexts. Grounded in the Resource-Based View (RBV) and Dynamic Capabilities Theory (DCT), this study investigates how strategic foresight and agility enhance crisis management in Jordan’s energy sector. Specifically, it examines the effects of four dimensions of strategic foresight technology foresight, competitive intelligence, political environment foresight, and consumer foresight on key aspects of crisis management, including early warning, preparedness, damage containment, restoration, and organizational learning. Strategic agility is further analyzed as a mediating capability, encompassing strategic insight, internal and external response orientation, human resource capability, and information technology capability, which translates foresight into actionable responses. A quantitative survey was conducted with 200 managerial respondents in Jordan’s energy sector, and data were analyzed using Partial Least Squares Structural Equation Modeling (PLS-SEM)</w:t>
      </w:r>
    </w:p>
    <w:p>
      <w:pPr/>
      <w:r>
        <w:rPr>
          <w:b/>
        </w:rPr>
        <w:t>POSSIBLE 2026:</w:t>
      </w:r>
      <w:r>
        <w:t xml:space="preserve"> Governance logics and foresight functions: European strategic foresight in contrastive perspective — https://doi.org/10.1186/s40309-026-00278-8</w:t>
      </w:r>
    </w:p>
    <w:p>
      <w:pPr/>
      <w:r>
        <w:rPr>
          <w:b/>
        </w:rPr>
        <w:t>Shared claim-specific concepts:</w:t>
      </w:r>
      <w:r>
        <w:t xml:space="preserve"> foresight, system, expert, strategic, perspective; EU scope visible. This is a provisional connection, not an outcome finding.</w:t>
      </w:r>
    </w:p>
    <w:p>
      <w:pPr>
        <w:pStyle w:val="SourceNote"/>
      </w:pPr>
      <w:r>
        <w:rPr>
          <w:b/>
        </w:rPr>
        <w:t>Available abstract (not full text):</w:t>
      </w:r>
      <w:r>
        <w:t xml:space="preserve"> Foresight methods are often treated as transferable tools whose selection depends mainly on the object of analysis, the time horizon or the available data. This article argues that such a view is incomplete because foresight methods are embedded in governance settings and perform different institutional functions across them. The article does not claim that the context-dependence of foresight methods is new per se. Rather, it contributes by specifying this context-dependence through the lens of governance logics and by showing how the same foresight methods perform different institutional functions across technocratic, market-managerial, networked and anticipatory governance settings. The purpose of the article is to develop a governance-sensitive framework that links foresight methods to institutional functions in public decision-making. Empirically, the article uses a contrastive case design. The European Union is treated as the focal case of institutionalised strategic foresight in a multi-level governance system, while Japan and South Korea serve as secondary contrastive cases. The design does not seek a fully symmetrical country-by-country comparison. Rather, it uses the Japanese and South Korean cases to contrast the EU trajectory with alternative governance settings in which foresight remains more strongly linked to technocratic priority-setting, developmental planning o</w:t>
      </w:r>
    </w:p>
    <w:p>
      <w:pPr/>
      <w:r>
        <w:rPr>
          <w:b/>
        </w:rPr>
        <w:t>POSSIBLE 2025:</w:t>
      </w:r>
      <w:r>
        <w:t xml:space="preserve"> AI in Strategic Foresight — https://doi.org/10.1787/aa573076-en</w:t>
      </w:r>
    </w:p>
    <w:p>
      <w:pPr/>
      <w:r>
        <w:rPr>
          <w:b/>
        </w:rPr>
        <w:t>Shared claim-specific concepts:</w:t>
      </w:r>
      <w:r>
        <w:t xml:space="preserve"> foresight, strategic, society; EU scope not established. This is a provisional connection, not an outcome finding.</w:t>
      </w:r>
    </w:p>
    <w:p>
      <w:pPr>
        <w:pStyle w:val="SourceNote"/>
      </w:pPr>
      <w:r>
        <w:rPr>
          <w:b/>
        </w:rPr>
        <w:t>Available abstract (not full text):</w:t>
      </w:r>
      <w:r>
        <w:t xml:space="preserve"> AI in Strategic Foresight: Reshaping Anticipatory Governance examines how artificial intelligence is moving from experimentation to practical application in the field of strategic foresight. Developed jointly by the OECD and the World Economic Forum, the publication draws on a global survey of 167 practitioners across government, business, academia and civil society to capture a field in rapid transition.The findings show that most foresight professionals are already using AI to scan for signals of change, analyse large datasets and support scenario development, with many reporting significant time savings and expanded analytical capacity. A smaller but growing group is also experimenting with AI as a creative or analytical partner in systems mapping and scenario design.Yet the report also underscores persistent challenges: concerns about reliability, transparency and bias; gaps in technical skills; and uneven access to tools, particularly in the public sector where data security constraints and unclear guidelines can limit adoption. These issues raise important questions about how to ensure AI strengthens rather than distorts foresight practice.</w:t>
      </w:r>
    </w:p>
    <w:p>
      <w:pPr/>
      <w:r>
        <w:rPr>
          <w:b/>
        </w:rPr>
        <w:t>POSSIBLE 2025:</w:t>
      </w:r>
      <w:r>
        <w:t xml:space="preserve"> SOCIO-ECONOMIC PREREQUISITES FOR DECENTRALIZATION OF STRATEGIC MANAGEMENT IN THE RESTAURANT BUSINESS: THE ROLE OF PERSONAL BRAND AND FORESIGHT — https://doi.org/10.32782/business-navigator.83-54</w:t>
      </w:r>
    </w:p>
    <w:p>
      <w:pPr/>
      <w:r>
        <w:rPr>
          <w:b/>
        </w:rPr>
        <w:t>Shared claim-specific concepts:</w:t>
      </w:r>
      <w:r>
        <w:t xml:space="preserve"> foresight, system, strategic, directions; EU scope not established. This is a provisional connection, not an outcome finding.</w:t>
      </w:r>
    </w:p>
    <w:p>
      <w:pPr>
        <w:pStyle w:val="SourceNote"/>
      </w:pPr>
      <w:r>
        <w:rPr>
          <w:b/>
        </w:rPr>
        <w:t>Available abstract (not full text):</w:t>
      </w:r>
      <w:r>
        <w:t xml:space="preserve"> The article touches upon the issue the socio-economic prerequisites for the decentralization of strategic management in the restaurant business in the context of modern economic transformation and increasing instability of the external environment. It is determined that the decentralization of management is a key factor in increasing the adaptability, innovation and social responsibility of HoReCa enterprises. Special attention is paid to determining the role of the restaurant brand as a communicative and strategic tool that reflects the values of the organization, forms consumer trust and transmits social meanings, turning the brand into an element of cultural capital. It is proven that branding in a decentralized management system goes beyond the marketing function and becomes an integrating factor in building a sustainable development strategy. The methodological basis of the study is the foresight approach, which allows you to predict possible scenarios for the development of the restaurant business and adapt management decisions to rapid environmental changes. Within the framework of the foresight analysis, the main decentralized management practices (holacracy, turquoise organization, agile, lean management) were identified, the analysis of the “gray rhinos” of the restaurant industry – foreseeable, but often ignored risks, as well as an extended analysis of the external </w:t>
      </w:r>
    </w:p>
    <w:p>
      <w:pPr/>
      <w:r>
        <w:rPr>
          <w:b/>
        </w:rPr>
        <w:t>POSSIBLE 2025:</w:t>
      </w:r>
      <w:r>
        <w:t xml:space="preserve"> Expert Foresight on AI-Driven Disinformation — https://doi.org/10.22151/politikon.61.con8</w:t>
      </w:r>
    </w:p>
    <w:p>
      <w:pPr/>
      <w:r>
        <w:rPr>
          <w:b/>
        </w:rPr>
        <w:t>Shared claim-specific concepts:</w:t>
      </w:r>
      <w:r>
        <w:t xml:space="preserve"> foresight, expert, innovative; EU scope not established. This is a provisional connection, not an outcome finding.</w:t>
      </w:r>
    </w:p>
    <w:p>
      <w:pPr>
        <w:pStyle w:val="SourceNote"/>
      </w:pPr>
      <w:r>
        <w:rPr>
          <w:b/>
        </w:rPr>
        <w:t>Available abstract (not full text):</w:t>
      </w:r>
      <w:r>
        <w:t xml:space="preserve"> The 2024 “super election year” demonstrated both the promise and risks of artificial intelligence (AI) in democratic processes. Innovative uses, such as AI-powered fact-checking and voter engagement tools, contrasted with harmful applications including deepfakes. Although the overall impact of deepfakes and other AI-generated disinformation was lower than anticipated, experts predict a substantial rise in AI-powered disinformation in the short term, particularly through synthetic media and foreign influence operations. Evidence of AI-enabled manipulation highlights the need for effective regulation and strengthened oversight to safeguard information integrity in a rapidly changing information ecosystem.</w:t>
      </w:r>
    </w:p>
    <w:p>
      <w:pPr/>
      <w:r>
        <w:rPr>
          <w:b/>
        </w:rPr>
        <w:t>POSSIBLE 2024:</w:t>
      </w:r>
      <w:r>
        <w:t xml:space="preserve"> Innovations and inspirations of EU strategic foresight methods — https://doi.org/10.3724/j.issn.1671-4342.20240107</w:t>
      </w:r>
    </w:p>
    <w:p>
      <w:pPr/>
      <w:r>
        <w:rPr>
          <w:b/>
        </w:rPr>
        <w:t>Shared claim-specific concepts:</w:t>
      </w:r>
      <w:r>
        <w:t xml:space="preserve"> foresight, system, strategic, directions, innovative, technological; EU scope visible. This is a provisional connection, not an outcome finding.</w:t>
      </w:r>
    </w:p>
    <w:p>
      <w:pPr>
        <w:pStyle w:val="SourceNote"/>
      </w:pPr>
      <w:r>
        <w:rPr>
          <w:b/>
        </w:rPr>
        <w:t>Available abstract (not full text):</w:t>
      </w:r>
      <w:r>
        <w:t xml:space="preserve"> In the face of complex and diversified future scenarios, strategic foresight has become a powerful tool to support decision-making. Through in-depth study of EU strategic foresight research results, this paper summarizes the EU's innovative practices in strategic foresight, and elaborates in detail on the strategic foresight methodology system of the EU, with horizon scan, megatrends hub, and scenario exploration system as its backbone tools, as well as its optimization design in specific methods and processes. Combined with the future-oriented development trend of strategic research methodology and the EU's innovative practice in strategic foresight methodology, furthermore, it provides a summary of the development characteristics and advantages of the EU's strategic foresight research methodology trends and directions, with a goal of providing inspiration for China's scientific and technological strategic research, policy research tools and methodological.</w:t>
      </w:r>
    </w:p>
    <w:p>
      <w:pPr/>
      <w:r>
        <w:rPr>
          <w:b/>
        </w:rPr>
        <w:t>POSSIBLE 2024:</w:t>
      </w:r>
      <w:r>
        <w:t xml:space="preserve"> Technology Foresight for Better Healthcare — https://doi.org/10.1201/9781032632223-2</w:t>
      </w:r>
    </w:p>
    <w:p>
      <w:pPr/>
      <w:r>
        <w:rPr>
          <w:b/>
        </w:rPr>
        <w:t>Shared claim-specific concepts:</w:t>
      </w:r>
      <w:r>
        <w:t xml:space="preserve"> foresight, expert, evaluation, strategic, technological; EU scope not established. This is a provisional connection, not an outcome finding.</w:t>
      </w:r>
    </w:p>
    <w:p>
      <w:pPr>
        <w:pStyle w:val="SourceNote"/>
      </w:pPr>
      <w:r>
        <w:rPr>
          <w:b/>
        </w:rPr>
        <w:t>Available abstract (not full text):</w:t>
      </w:r>
      <w:r>
        <w:t xml:space="preserve"> Technology foresight is a systematic approach to anticipate and explore future technological developments, their potential impacts, and how they can drive progress and innovation in fields like healthcare. Its goal is to identify emerging trends, predict their trajectory, and inform strategic decision-making for better preparation to leverage advancements. In healthcare, foresight plays a critical role in shaping medical practices, patient care, and healthcare systems. Foresight techniques were examined, and a roadmap was developed for researchers and managers interested in the subject. The first section provides general information about technology foresight and explains key methods, by comparing them. Collaborative efforts among stakeholders are essential for successful foresight. The second section highlights the relationship between healthcare and foresight, summarizing previous studies. The third section explains the stages of the Delphi method, a structured way to gather expert opinions. A sample Delphi application related to healthcare will be included. The model developed in this section will serve as a roadmap for the practitioner. In the appendix of this section, sample Delphi statements related to healthcare technologies will be given. In Section 2.5 , expert evaluation (panel) and focus group work methods will be examined. In this section, the development process of</w:t>
      </w:r>
    </w:p>
    <w:p>
      <w:pPr/>
      <w:r>
        <w:rPr>
          <w:b/>
        </w:rPr>
        <w:t>POSSIBLE 2024:</w:t>
      </w:r>
      <w:r>
        <w:t xml:space="preserve"> FORESIGHT AS AN INNOVATIVE TOOL FOR PLANNING AND IMPLEMENTING SCIENTIFIC TECHNOLOGIES IN THE DEFENCE INDUSTRY — https://doi.org/10.46972/2076-1546.2024.26.08</w:t>
      </w:r>
    </w:p>
    <w:p>
      <w:pPr/>
      <w:r>
        <w:rPr>
          <w:b/>
        </w:rPr>
        <w:t>Shared claim-specific concepts:</w:t>
      </w:r>
      <w:r>
        <w:t xml:space="preserve"> foresight, system, directions, innovative, economy, long-term; EU scope not established. This is a provisional connection, not an outcome finding.</w:t>
      </w:r>
    </w:p>
    <w:p>
      <w:pPr>
        <w:pStyle w:val="SourceNote"/>
      </w:pPr>
      <w:r>
        <w:rPr>
          <w:b/>
        </w:rPr>
        <w:t>Available abstract (not full text):</w:t>
      </w:r>
      <w:r>
        <w:t xml:space="preserve"> Various methods and approaches are used for innovative development of enterprises, among which Foresight has proven to be more effective. It is a method of long-term forecasting, a way of building a balanced, coherent and responsible image of the future, a tool for predicting phenomena of a social, technical and mental nature. Foresight is a process of selecting new directions, which establishes links between elements by combining different opinions of the national innovation system actors. Foresight is used to develop long-term strategies for the development of the economy, science, and technology aimed at increasing competitiveness and maximizing the effect of the defense industry. The foresight differs from well-known planning tools in that its purpose is not only to prepare an analytical forecast of the most problematic areas of development of enterprises of the defense-industrial complex, but also to seek to unite the efforts of participants engaged in the process of change, to create conditions for them to anticipate events. Foresight is based on the technology of the work of a large number of experts who directly convey their views, knowledge and assumptions. Experts can be scientific communities, scientific and scientific-pedagogical employees of educational institutions, representatives of authorities and public organizations, large enterprises, communal institutions, </w:t>
      </w:r>
    </w:p>
    <w:p>
      <w:pPr/>
      <w:r>
        <w:rPr>
          <w:b/>
        </w:rPr>
        <w:t>POSSIBLE 2023:</w:t>
      </w:r>
      <w:r>
        <w:t xml:space="preserve"> Foresight (prevision) of development of the tourist system in Ukraine — https://doi.org/10.21511/ppm.21(4).2023.52</w:t>
      </w:r>
    </w:p>
    <w:p>
      <w:pPr/>
      <w:r>
        <w:rPr>
          <w:b/>
        </w:rPr>
        <w:t>Shared claim-specific concepts:</w:t>
      </w:r>
      <w:r>
        <w:t xml:space="preserve"> foresight, system, strategic, directions, economy; EU scope not established. This is a provisional connection, not an outcome finding.</w:t>
      </w:r>
    </w:p>
    <w:p>
      <w:pPr>
        <w:pStyle w:val="SourceNote"/>
      </w:pPr>
      <w:r>
        <w:rPr>
          <w:b/>
        </w:rPr>
        <w:t>Available abstract (not full text):</w:t>
      </w:r>
      <w:r>
        <w:t xml:space="preserve"> Considering the war in Ukraine, it will be necessary to restore the tourism system. The use of foresight as a means of predicting the future will ensure the formation of conditions for its development. The study aims to assess the functioning of the tourism system in Ukraine under martial law and to develop foresight scenarios for its development. The analysis of the main economic indicators of tourism and hotel entities during the war period indicates potential opportunities (a stable or growing trend). The volume of tax revenues to the state budget in 2023 increased by 15.6%. 2023 hotels’ KPIs (RevPAR, ADR, Occupancy) for the main destinations compared to the same period in 2022 increased by 206.0%, 66.0%, and 44.0%, respectively. The study scans the horizon within which the factors affecting the development of the tourism system are determined and assesses the levels of their potential impact and probability of occurrence. The BANI method is used to identify possible α- and β-scenarios of development, and the matrix method is used to interpret the strategic development directions. Industry factors are combined into four groups: development trends, the state of the market, technologies, innovations, and professional competence of staff. Thus, α- (optimistic) and β- (pessimistic) development scenarios future states in the tourism development. A prognostic vision of the future </w:t>
      </w:r>
    </w:p>
    <w:p>
      <w:pPr/>
      <w:r>
        <w:rPr>
          <w:b/>
        </w:rPr>
        <w:t>POSSIBLE 2023:</w:t>
      </w:r>
      <w:r>
        <w:t xml:space="preserve"> Foresight as a tool for implementing the directions of new industrialization — https://doi.org/10.26425/1816-4277-2023-2-48-56</w:t>
      </w:r>
    </w:p>
    <w:p>
      <w:pPr/>
      <w:r>
        <w:rPr>
          <w:b/>
        </w:rPr>
        <w:t>Shared claim-specific concepts:</w:t>
      </w:r>
      <w:r>
        <w:t xml:space="preserve"> foresight, directions, innovative; EU scope not established. This is a provisional connection, not an outcome finding.</w:t>
      </w:r>
    </w:p>
    <w:p>
      <w:pPr>
        <w:pStyle w:val="SourceNote"/>
      </w:pPr>
      <w:r>
        <w:rPr>
          <w:b/>
        </w:rPr>
        <w:t>Available abstract (not full text):</w:t>
      </w:r>
      <w:r>
        <w:t xml:space="preserve"> The subjectof the study is the process of reindustrialization in the old industrial region, where the main development resources are preserved, but the activity level of innovative processes is insufficient. The purposeof the study is the possibility of applying foresight methods in the implementation of neoindustrialization projects in the region. The methodologyincludes a monographic study of the industrialization processes dynamics, a comparative analysis of procedures for changing the structure of industrial production, and a foresight conducting methodology. The main resultof the study is the substantiation of the choice of the most effective method of applying foresight, as well as the construction of a reindustrialization roadmap on the example of the Voronezh region. The application of these results is possible in other territorial entities (region, municipal unit) involved in the implementation of foresight projects for the development of industry. Prospects:research development - creation of a model methodology for the use of foresights in the implementation of large-scale complex projects at the regional level. Conclusions:the use of foresight in determining the prospects for the revival of the high-tech industry will help to increase the efficiency of decisions to attract resources to the development of priority benchmark, industrial production.</w:t>
      </w:r>
    </w:p>
    <w:p>
      <w:pPr/>
      <w:r>
        <w:rPr>
          <w:b/>
        </w:rPr>
        <w:t>POSSIBLE 2022:</w:t>
      </w:r>
      <w:r>
        <w:t xml:space="preserve"> Education as a System: The Content of the Foresight Methodology — https://doi.org/10.25205/2541-7517-2022-20-2-68-78</w:t>
      </w:r>
    </w:p>
    <w:p>
      <w:pPr/>
      <w:r>
        <w:rPr>
          <w:b/>
        </w:rPr>
        <w:t>Shared claim-specific concepts:</w:t>
      </w:r>
      <w:r>
        <w:t xml:space="preserve"> foresight, system, society; EU scope not established. This is a provisional connection, not an outcome finding.</w:t>
      </w:r>
    </w:p>
    <w:p>
      <w:pPr>
        <w:pStyle w:val="SourceNote"/>
      </w:pPr>
      <w:r>
        <w:rPr>
          <w:b/>
        </w:rPr>
        <w:t>Available abstract (not full text):</w:t>
      </w:r>
      <w:r>
        <w:t xml:space="preserve"> The article reveals the substantive aspects of the Foresight methodology of social forecasting of the devel­opment of the education system as a complex, dynamic, open system from the point of view of a systematic approach. It is assumed that the education system is a central social institution, which, being associated with the transmission of knowledge, has to, in order to form a holistic personality of human beings, also support its own systemic complexity, as well as correspond to the complexity of the entire structure of society. The paper emphasizes some substantive difficulties in the work of experts in the framework of Foresight studies, as well as the need to take into account the value aspect when predicting the education of the future.</w:t>
      </w:r>
    </w:p>
    <w:p>
      <w:pPr>
        <w:pStyle w:val="Heading2"/>
      </w:pPr>
      <w:r>
        <w:t>869. Centre-Periphery Relations in Europe: Demographic Aspect</w:t>
      </w:r>
    </w:p>
    <w:p>
      <w:pPr>
        <w:pStyle w:val="SourceNote"/>
      </w:pPr>
      <w:r>
        <w:rPr>
          <w:b/>
        </w:rPr>
        <w:t>Original source (2015):</w:t>
      </w:r>
      <w:r>
        <w:t xml:space="preserve"> https://doi.org/10.20542/0131-2227-2015-2-58-67</w:t>
      </w:r>
    </w:p>
    <w:p>
      <w:pPr/>
      <w:r>
        <w:t>Original wording (abstract; indexed_source_text_not_full_document_verified): So, the recent number of unemployed in Spain (5.7 millions) is four times more than the expected decrease in the number of people aged 20 to 64 between 2010 and 2030 (1.4 millions).</w:t>
      </w:r>
    </w:p>
    <w:p>
      <w:pPr/>
      <w:r>
        <w:rPr>
          <w:b/>
        </w:rPr>
        <w:t>POSSIBLE 2023:</w:t>
      </w:r>
      <w:r>
        <w:t xml:space="preserve"> Popular Radicalism and the Unemployed in Chicago during the Great Depression — https://doi.org/10.31219/osf.io/bj25h</w:t>
      </w:r>
    </w:p>
    <w:p>
      <w:pPr/>
      <w:r>
        <w:rPr>
          <w:b/>
        </w:rPr>
        <w:t>Shared claim-specific concepts:</w:t>
      </w:r>
      <w:r>
        <w:t xml:space="preserve"> unemployed, millions, people; EU scope not established. This is a provisional connection, not an outcome finding.</w:t>
      </w:r>
    </w:p>
    <w:p>
      <w:pPr>
        <w:pStyle w:val="SourceNote"/>
      </w:pPr>
      <w:r>
        <w:rPr>
          <w:b/>
        </w:rPr>
        <w:t>Available abstract (not full text):</w:t>
      </w:r>
      <w:r>
        <w:t xml:space="preserve"> In a time when mass joblessness and precarious employment have become issues of national concern, it is useful to reconsider the experiences of the unemployed in an earlier period of economic hardship, the Great Depression. How did they survive, and how did they fight against inhumane government policies? Americans are often thought to be a very conservative and individualistic people, but the collective struggles of the supposedly "meek" and "atomized" unemployed in the 1930s belie that stereotype. Focusing on the bellwether city of Chicago, this book reevaluates those struggles, revealing the kernel of political radicalism and class resistance in practices that are usually thought of as apolitical and un-ideological. From communal sharing to "eviction riots," from Unemployed Councils to the nationwide movement behind the remarkable Workers’ Unemployment Insurance Bill, millions of people fought to end the reign of capitalist values and usher in a new, more socialistic society. While they failed in their maximal goal of abolishing economic insecurity and the disproportionate power of the rich, they did wrest an incipient welfare state from the ruling class. Today, their legacy is their resilience, their resourcefulness, and their proof that the unemployed can organize themselves to renew the struggle for a more just world.</w:t>
      </w:r>
    </w:p>
    <w:p>
      <w:pPr/>
      <w:r>
        <w:rPr>
          <w:b/>
        </w:rPr>
        <w:t>POSSIBLE 2022:</w:t>
      </w:r>
      <w:r>
        <w:t xml:space="preserve"> Osteoporosis in Europe: a compendium of country-specific reports — https://doi.org/10.1007/s11657-021-00969-8</w:t>
      </w:r>
    </w:p>
    <w:p>
      <w:pPr/>
      <w:r>
        <w:rPr>
          <w:b/>
        </w:rPr>
        <w:t>Shared claim-specific concepts:</w:t>
      </w:r>
      <w:r>
        <w:t xml:space="preserve"> recent, number, four; EU scope visible. This is a provisional connection, not an outcome finding.</w:t>
      </w:r>
    </w:p>
    <w:p>
      <w:pPr>
        <w:pStyle w:val="SourceNote"/>
      </w:pPr>
      <w:r>
        <w:rPr>
          <w:b/>
        </w:rPr>
        <w:t>Available abstract (not full text):</w:t>
      </w:r>
      <w:r>
        <w:t xml:space="preserve"> This report describes epidemiology, burden, and treatment of osteoporosis in each of the 27 countries of the European Union plus Switzerland and the UK (EU 27+2). INTRODUCTION: The aim of this report was to characterize the burden of osteoporosis in each of the countries of the European Union plus Switzerland and the UK in 2019 and beyond. METHODS: The data on fracture incidence and costs of fractures in the EU27+2 was taken from a concurrent publication in this journal (SCOPE 2021: a new scorecard for osteoporosis in Europe) and country-specific information extracted. The information extracted covered four domains: burden of osteoporosis and fractures; policy framework; service provision; and service uptake. RESULTS: The clinical and economic burden of osteoporotic fractures in 2019 is given for each of the 27 countries of the EU plus Switzerland and the UK. Each domain was ranked and the country performance set against the scorecard for all nations studied. Data were also compared with the first SCOPE undertaken in 2010. Fifteen of the 16 score card metrics on healthcare provision were used in the two surveys. Scores had improved or markedly improved in 15 countries, remained constant in 8 countries and worsened in 3 countries. The average treatment gap increased from 55% in 2010 to 71% in 2019. Overall, 10.6 million women who were eligible for treatment were untreated in 201</w:t>
      </w:r>
    </w:p>
    <w:p>
      <w:pPr/>
      <w:r>
        <w:rPr>
          <w:b/>
        </w:rPr>
        <w:t>POSSIBLE 2022:</w:t>
      </w:r>
      <w:r>
        <w:t xml:space="preserve"> COVID-19 in Europe: from outbreak to vaccination — https://doi.org/10.1186/s12889-022-14454-5</w:t>
      </w:r>
    </w:p>
    <w:p>
      <w:pPr/>
      <w:r>
        <w:rPr>
          <w:b/>
        </w:rPr>
        <w:t>Shared claim-specific concepts:</w:t>
      </w:r>
      <w:r>
        <w:t xml:space="preserve"> recent, number, four; EU scope visible. This is a provisional connection, not an outcome finding.</w:t>
      </w:r>
    </w:p>
    <w:p>
      <w:pPr>
        <w:pStyle w:val="SourceNote"/>
      </w:pPr>
      <w:r>
        <w:rPr>
          <w:b/>
        </w:rPr>
        <w:t>Available abstract (not full text):</w:t>
      </w:r>
      <w:r>
        <w:t xml:space="preserve"> BACKGROUND: COVID-19 is a pandemic of unprecedented proportions in recent human history. To date, the world has paid a high toll in terms of human lives lost, and on economic, financial, and social repercussions. In Europe, countries tried to mobilize all resources available to contain the COVID-19 effects, but the outcomes are diverse across countries. There have also been massive efforts geared towards finding safe and effective vaccines and to distribute them massively to the population. The main objective of this paper is to describe the COVID-19 prevalence in Europe. Secondly, it aims to identify epidemiological typologies allowing to distinguish the countries in terms of their response to the pandemic, and finally assess the effect of vaccination on pandemic control. METHODS: The study covers 30 European countries: EU 27 in addition to Norway, Switzerland, and United Kingdom. Four epidemiological variables are analyzed at two distinct moments, at the end of 2020 and at the beginning of 2022: total number of cases per million, total number of deaths per million, total number of tests per thousand, and case fatality rate. In a second step, it uses a fuzzy approach, namely archetypal analysis, to identify epidemiological typologies, and positions countries by their response to the pandemic. Finally, it assesses how vaccination, stringency measures, booster doses and populati</w:t>
      </w:r>
    </w:p>
    <w:p>
      <w:pPr/>
      <w:r>
        <w:rPr>
          <w:b/>
        </w:rPr>
        <w:t>POSSIBLE 2021:</w:t>
      </w:r>
      <w:r>
        <w:t xml:space="preserve"> The European Social Fund Supports the Reintegration of the Long-term Unemployed Individuals Aged 50+ Into the Labor Market - A Comparison of the Federal States in Austria — https://doi.org/10.2478/ngoe-2021-0012</w:t>
      </w:r>
    </w:p>
    <w:p>
      <w:pPr/>
      <w:r>
        <w:rPr>
          <w:b/>
        </w:rPr>
        <w:t>Shared claim-specific concepts:</w:t>
      </w:r>
      <w:r>
        <w:t xml:space="preserve"> recent, number, unemployed, four, aged; EU scope visible. This is a provisional connection, not an outcome finding.</w:t>
      </w:r>
    </w:p>
    <w:p>
      <w:pPr>
        <w:pStyle w:val="SourceNote"/>
      </w:pPr>
      <w:r>
        <w:rPr>
          <w:b/>
        </w:rPr>
        <w:t>Available abstract (not full text):</w:t>
      </w:r>
      <w:r>
        <w:t xml:space="preserve"> Abstract This paper shows the importance of European Social Fund’s (ESF) countermeasures for reintegrating long-term unemployed persons aged 50+ in Austria since their number has increased in recent years. Four research questions are defined, which deal with the theoretical background, the ESF’s contribution, the possible causes of long-term unemployment, and their reflection in a country comparison figures. For the qualitative methodology, we conducted expert interviews and case study analysis. Concerning the quantitative method, we evaluated raw data from the AMS Public Employment Service, Austria, and Statistics, Austria. A correlation was established based on the content-related evaluation of the theoretical approaches, the expert analysis, and the presentation of statistics. It is necessary to identify the causes in time and take appropriate measures to prevent them from combating long-term unemployment among this target group.</w:t>
      </w:r>
    </w:p>
    <w:p>
      <w:pPr/>
      <w:r>
        <w:rPr>
          <w:b/>
        </w:rPr>
        <w:t>POSSIBLE 2021:</w:t>
      </w:r>
      <w:r>
        <w:t xml:space="preserve"> Initial Upper Palaeolithic humans in Europe had recent Neanderthal ancestry — https://doi.org/10.1038/s41586-021-03335-3</w:t>
      </w:r>
    </w:p>
    <w:p>
      <w:pPr/>
      <w:r>
        <w:rPr>
          <w:b/>
        </w:rPr>
        <w:t>Shared claim-specific concepts:</w:t>
      </w:r>
      <w:r>
        <w:t xml:space="preserve"> recent, people, between; EU scope visible. This is a provisional connection, not an outcome finding.</w:t>
      </w:r>
    </w:p>
    <w:p>
      <w:pPr>
        <w:pStyle w:val="SourceNote"/>
      </w:pPr>
      <w:r>
        <w:rPr>
          <w:b/>
        </w:rPr>
        <w:t>Available abstract (not full text):</w:t>
      </w:r>
      <w:r>
        <w:t xml:space="preserve"> Abstract Modern humans appeared in Europe by at least 45,000 years ago1–5, but the extent of their interactions with Neanderthals, who disappeared by about 40,000 years ago6, and their relationship to the broader expansion of modern humans outside Africa are poorly understood. Here we present genome-wide data from three individuals dated to between 45,930 and 42,580 years ago from Bacho Kiro Cave, Bulgaria1,2. They are the earliest Late Pleistocene modern humans known to have been recovered in Europe so far, and were found in association with an Initial Upper Palaeolithic artefact assemblage. Unlike two previously studied individuals of similar ages from Romania7 and Siberia8 who did not contribute detectably to later populations, these individuals are more closely related to present-day and ancient populations in East Asia and the Americas than to later west Eurasian populations. This indicates that they belonged to a modern human migration into Europe that was not previously known from the genetic record, and provides evidence that there was at least some continuity between the earliest modern humans in Europe and later people in Eurasia. Moreover, we find that all three individuals had Neanderthal ancestors a few generations back in their family history, confirming that the first European modern humans mixed with Neanderthals and suggesting that such mixing could have been c</w:t>
      </w:r>
    </w:p>
    <w:p>
      <w:pPr/>
      <w:r>
        <w:rPr>
          <w:b/>
        </w:rPr>
        <w:t>POSSIBLE 2021:</w:t>
      </w:r>
      <w:r>
        <w:t xml:space="preserve"> Vocational training for unemployed youth in Latvia — https://doi.org/10.1007/s00148-021-00877-8</w:t>
      </w:r>
    </w:p>
    <w:p>
      <w:pPr/>
      <w:r>
        <w:rPr>
          <w:b/>
        </w:rPr>
        <w:t>Shared claim-specific concepts:</w:t>
      </w:r>
      <w:r>
        <w:t xml:space="preserve"> unemployed, aged, between; EU scope visible. This is a provisional connection, not an outcome finding.</w:t>
      </w:r>
    </w:p>
    <w:p>
      <w:pPr>
        <w:pStyle w:val="SourceNote"/>
      </w:pPr>
      <w:r>
        <w:rPr>
          <w:b/>
        </w:rPr>
        <w:t>Available abstract (not full text):</w:t>
      </w:r>
      <w:r>
        <w:t xml:space="preserve"> We analyze the effectiveness of a vocational training (VT) programme targeting unemployed youth in Latvia, contributing to the scant literature on active labour market policies in transition countries. The programme we analyse is part of the Youth Guarantee scheme (2014-2020), the largest action launched by the European Union to combat youth unemployment after the 2008 financial crisis. Although the programme was targeted to youths aged between 15 and 29, priority was given to those younger than 25 years of age. We exploit this eligibility rule in a fuzzy regression discontinuity design framework to estimate the impact of VT participation on the probability of being employed and gross monthly labour income at given dates after the training. Using rich administrative data, we find that the age priority rule increased programme participation for the youngest group by about 10 percentage points. However, participation in the programme did not lead to statistically significant positive effects in labour market outcomes. We argue that this result could be due to some specific characteristics of the programme, namely the voucher system (potentially inducing lock-in effects) and the type of training (classroom instead of on-the-job training). Moreover, the programme was targeted at ex-ante low-employable individuals (e.g. without vocational qualifications), a fact that is confirmed by</w:t>
      </w:r>
    </w:p>
    <w:p>
      <w:pPr/>
      <w:r>
        <w:rPr>
          <w:b/>
        </w:rPr>
        <w:t>POSSIBLE 2021:</w:t>
      </w:r>
      <w:r>
        <w:t xml:space="preserve"> The inclusion of transversal competences in the training programs for unemployed of Bahía De Cádiz — https://doi.org/10.53596/jta.v26i1.344</w:t>
      </w:r>
    </w:p>
    <w:p>
      <w:pPr/>
      <w:r>
        <w:rPr>
          <w:b/>
        </w:rPr>
        <w:t>Shared claim-specific concepts:</w:t>
      </w:r>
      <w:r>
        <w:t xml:space="preserve"> number, unemployed, spain, decrease, people; EU scope visible. This is a provisional connection, not an outcome finding.</w:t>
      </w:r>
    </w:p>
    <w:p>
      <w:pPr>
        <w:pStyle w:val="SourceNote"/>
      </w:pPr>
      <w:r>
        <w:rPr>
          <w:b/>
        </w:rPr>
        <w:t>Available abstract (not full text):</w:t>
      </w:r>
      <w:r>
        <w:t xml:space="preserve"> Purpose The economic crisis of 2008 has caused a significant increase in the number of unemployed in Spain and a decrease in investments in active training policies. In this context, it is even more necessary to demand improvements in the degree of efficiency of the training programs aimed at unemployed people. Design/methodology/approach This paper presents the opinions of a group of experts in labor intermediation on the need to include transversal competences in the training contents of employment courses aimed at the tourism sector to improve the degree of employment of the unemployed. Findings All the experts consulted have indicated the need to enrich the subjects of the training courses by incorporating workshops that favor the implementation of certain transversal competences such as team work, management in stress situations, problem-solving, willingness to learn, self-initiative, verbal communication and mastery of social networks. Research limitations/implications The main limitations are given by the small number of experts in the field. However, their long career and participation in employment programs make their opinions valuable. Practical implications The main practical implication is in the fact that the proposed suggestions about modifications in the contents of the training courses for employment in the tourism sector are perfectly applicable, and according </w:t>
      </w:r>
    </w:p>
    <w:p>
      <w:pPr/>
      <w:r>
        <w:rPr>
          <w:b/>
        </w:rPr>
        <w:t>POSSIBLE 2020:</w:t>
      </w:r>
      <w:r>
        <w:t xml:space="preserve"> Bitten or struck by dog: A rising number of fatalities in Europe, 1995–2016 — https://doi.org/10.1016/j.forsciint.2020.110592</w:t>
      </w:r>
    </w:p>
    <w:p>
      <w:pPr/>
      <w:r>
        <w:rPr>
          <w:b/>
        </w:rPr>
        <w:t>Shared claim-specific concepts:</w:t>
      </w:r>
      <w:r>
        <w:t xml:space="preserve"> number, people, between; EU scope visible. This is a provisional connection, not an outcome finding.</w:t>
      </w:r>
    </w:p>
    <w:p>
      <w:pPr>
        <w:pStyle w:val="SourceNote"/>
      </w:pPr>
      <w:r>
        <w:rPr>
          <w:b/>
        </w:rPr>
        <w:t>Available abstract (not full text):</w:t>
      </w:r>
      <w:r>
        <w:t xml:space="preserve"> We analyzed fatal dog attacks in Europe 1995-2016 using official death cause data from Eurostat. The data comprised the number of fatalities assigned The International Statistical Classification of Diseases and Related Health Problems, Tenth Revision (ICD-10) code W54 "bitten or struck by dog", which includes deaths due to direct attacks but which excludes many complications following dog bites, such as rabies. In 2016, dogs killed 45 Europeans, which translates to an incidence of 0.009 per 100,000 inhabitants. This is comparable to estimates from the USA (0.011), and Canada (0.007), but higher than Australia (0.004). The number of European fatalities due to dog attacks increased significantly at a rate of several percent per year. This increase could not be explained by increases in the human or the dog populations. By taking all fatalities reported 1995-2016 into account, we investigated the effects of age, gender and geography. First, children, including infants, were common victims, but also middle-aged and the elderly, while people between ages 10 and 39 were rarely killed by dogs. Second, boys and men were overrepresented, but only in certain age groups and in certain parts of Europe. Third, there were large national and regional differences, both in the effects of gender and in incidences, which ranged from 0 to 0.045 per 100,000 inhabitants. This study of dog-related fa</w:t>
      </w:r>
    </w:p>
    <w:p>
      <w:pPr/>
      <w:r>
        <w:rPr>
          <w:b/>
        </w:rPr>
        <w:t>POSSIBLE 2019:</w:t>
      </w:r>
      <w:r>
        <w:t xml:space="preserve"> EVALUATION OF EUROPEAN SOCIAL FUND SUPPORT FOR THE EDUCATION OF THE UNEMPLOYED IN LATVIA — https://doi.org/10.17770/iss2018.4255</w:t>
      </w:r>
    </w:p>
    <w:p>
      <w:pPr/>
      <w:r>
        <w:rPr>
          <w:b/>
        </w:rPr>
        <w:t>Shared claim-specific concepts:</w:t>
      </w:r>
      <w:r>
        <w:t xml:space="preserve"> recent, number, unemployed, people; EU scope visible. This is a provisional connection, not an outcome finding.</w:t>
      </w:r>
    </w:p>
    <w:p>
      <w:pPr>
        <w:pStyle w:val="SourceNote"/>
      </w:pPr>
      <w:r>
        <w:rPr>
          <w:b/>
        </w:rPr>
        <w:t>Available abstract (not full text):</w:t>
      </w:r>
      <w:r>
        <w:t xml:space="preserve"> The unemployment rate in Latvia was continuing to decline in recent years, but it is still high, especially in the regions. In order to improve the existing skills and to master new skills of the unemployed, the European Social Fund's investments are used. The author of the paper is studying the support provided by the European Social Fund to the unemployed for raising their qualifications, which could help them to return to the labour market. The research aim is to investigate the active employment opportunities for unemployed people to take part and how it affects the return of the unemployed to the labour market. The result of the research study shows that the number of training programmes is large and varied. However, it has been concluded that improvements are needed in the implementation of the European Social Fund's co-funding in order to reduce the risk of its misuse.</w:t>
      </w:r>
    </w:p>
    <w:p>
      <w:pPr/>
      <w:r>
        <w:rPr>
          <w:b/>
        </w:rPr>
        <w:t>POSSIBLE 2019:</w:t>
      </w:r>
      <w:r>
        <w:t xml:space="preserve"> Inclusion of Unemployed People at Social Risk and Private Training Markets in Ireland, Portugal, and Spain — https://doi.org/10.1007/978-3-319-94532-3_108</w:t>
      </w:r>
    </w:p>
    <w:p>
      <w:pPr/>
      <w:r>
        <w:rPr>
          <w:b/>
        </w:rPr>
        <w:t>Shared claim-specific concepts:</w:t>
      </w:r>
      <w:r>
        <w:t xml:space="preserve"> unemployed, spain, people; EU scope visible. This is a provisional connection, not an outcome finding.</w:t>
      </w:r>
    </w:p>
    <w:p>
      <w:pPr>
        <w:pStyle w:val="SourceNote"/>
      </w:pPr>
      <w:r>
        <w:rPr>
          <w:b/>
        </w:rPr>
        <w:t>Available abstract (not full text):</w:t>
      </w:r>
      <w:r>
        <w:t xml:space="preserve"> Unavailable</w:t>
      </w:r>
    </w:p>
    <w:p>
      <w:pPr/>
      <w:r>
        <w:rPr>
          <w:b/>
        </w:rPr>
        <w:t>POSSIBLE 2019:</w:t>
      </w:r>
      <w:r>
        <w:t xml:space="preserve"> Vocational interventions for the unemployed — https://openalex.org/W3005403362</w:t>
      </w:r>
    </w:p>
    <w:p>
      <w:pPr/>
      <w:r>
        <w:rPr>
          <w:b/>
        </w:rPr>
        <w:t>Shared claim-specific concepts:</w:t>
      </w:r>
      <w:r>
        <w:t xml:space="preserve"> unemployed, four, people; EU scope not established. This is a provisional connection, not an outcome finding.</w:t>
      </w:r>
    </w:p>
    <w:p>
      <w:pPr>
        <w:pStyle w:val="SourceNote"/>
      </w:pPr>
      <w:r>
        <w:rPr>
          <w:b/>
        </w:rPr>
        <w:t>Available abstract (not full text):</w:t>
      </w:r>
      <w:r>
        <w:t xml:space="preserve"> The project will consist of four articles. The objective of the first article is to give an overview of interventions that are currently implemented to assist unemployed people in Orange Farm and the Emfuleni district (South Africa). Relevant documents will be collected and analysed to explore interventions that are aimed at alleviating unemployment, the effectiveness thereof, as well as possible gaps and opportunities for developing new interventions. The second article will consist of a systematic literature review of international and local best practices, challenges and possible gaps when developing, implementing and evaluating interventions from a psychological perspective. The aim will be to determine what intervention design will be most appropriate within the unemployment context. Findings will form the basis for the fourth article. The purpose of the third article is to determine whether interventions currently implemented by an existing initiative (Harambee Youth Employment Accelerator programme, an unemployment initiative located in Johannesburg) are effective. The effectiveness of this programme will be determined by evaluating the impact of the implemented interventions on participants' experience of unemployment (longitudinal design). Finally, the main objective of the fourth article is to develop an intervention, based on previous findings on intervention develop</w:t>
      </w:r>
    </w:p>
    <w:p>
      <w:pPr/>
      <w:r>
        <w:rPr>
          <w:b/>
        </w:rPr>
        <w:t>POSSIBLE 2019:</w:t>
      </w:r>
      <w:r>
        <w:t xml:space="preserve"> The inclusion of transversal competences in the training programs for unemployed of Bahía De Cádiz — https://doi.org/10.1108/jta-04-2018-0013</w:t>
      </w:r>
    </w:p>
    <w:p>
      <w:pPr/>
      <w:r>
        <w:rPr>
          <w:b/>
        </w:rPr>
        <w:t>Shared claim-specific concepts:</w:t>
      </w:r>
      <w:r>
        <w:t xml:space="preserve"> number, unemployed, spain, decrease, people; EU scope visible. This is a provisional connection, not an outcome finding.</w:t>
      </w:r>
    </w:p>
    <w:p>
      <w:pPr>
        <w:pStyle w:val="SourceNote"/>
      </w:pPr>
      <w:r>
        <w:rPr>
          <w:b/>
        </w:rPr>
        <w:t>Available abstract (not full text):</w:t>
      </w:r>
      <w:r>
        <w:t xml:space="preserve"> Purpose The economic crisis of 2008 has caused a significant increase in the number of unemployed in Spain and a decrease in investments in active training policies. In this context, it is even more necessary to demand improvements in the degree of efficiency of the training programs aimed at unemployed people. Design/methodology/approach This paper presents the opinions of a group of experts in labor intermediation on the need to include transversal competences in the training contents of employment courses aimed at the tourism sector to improve the degree of employment of the unemployed. Findings All the experts consulted have indicated the need to enrich the subjects of the training courses by incorporating workshops that favor the implementation of certain transversal competences such as team work, management in stress situations, problem-solving, willingness to learn, self-initiative, verbal communication and mastery of social networks. Research limitations/implications The main limitations are given by the small number of experts in the field. However, their long career and participation in employment programs make their opinions valuable. Practical implications The main practical implication is in the fact that the proposed suggestions about modifications in the contents of the training courses for employment in the tourism sector are perfectly applicable, and according </w:t>
      </w:r>
    </w:p>
    <w:p>
      <w:pPr>
        <w:pStyle w:val="Heading2"/>
      </w:pPr>
      <w:r>
        <w:t>870. Climate Change Effects on Heat- and Cold-Related Mortality in the Netherlands: A Scenario-Based Integrated Environmental Health Impact Assessment</w:t>
      </w:r>
    </w:p>
    <w:p>
      <w:pPr>
        <w:pStyle w:val="SourceNote"/>
      </w:pPr>
      <w:r>
        <w:rPr>
          <w:b/>
        </w:rPr>
        <w:t>Original source (2015):</w:t>
      </w:r>
      <w:r>
        <w:t xml:space="preserve"> https://doi.org/10.3390/ijerph121013295</w:t>
      </w:r>
    </w:p>
    <w:p>
      <w:pPr/>
      <w:r>
        <w:t>Original wording (abstract; indexed_source_text_not_full_document_verified): This scenario-based integrated health impacts assessment explores baseline (1981-2010) and future (2050) population attributable fractions (PAF) of mortality due to heat (PAFheat) and cold (PAFcold), by combining observed temperature-mortality relationships with the Dutch KNMI'14 climate scenarios and three adaptation scenarios. When the 2050 model runs applying the different adaptation scenarios are considered as well, however, the PAFheat ranges between 0.94% and 2.52% and the PAFcold between 6.56% and 9.85%.</w:t>
      </w:r>
    </w:p>
    <w:p>
      <w:pPr/>
      <w:r>
        <w:rPr>
          <w:b/>
        </w:rPr>
        <w:t>POSSIBLE 2026:</w:t>
      </w:r>
      <w:r>
        <w:t xml:space="preserve"> Heat-related health impacts across national mitigation and urban adaptation scenarios in European cities - Data — https://doi.org/10.5281/zenodo.20666093</w:t>
      </w:r>
    </w:p>
    <w:p>
      <w:pPr/>
      <w:r>
        <w:rPr>
          <w:b/>
        </w:rPr>
        <w:t>Shared claim-specific concepts:</w:t>
      </w:r>
      <w:r>
        <w:t xml:space="preserve"> integrated, health, impacts, assessment, mortality, heat; EU scope visible. This is a provisional connection, not an outcome finding.</w:t>
      </w:r>
    </w:p>
    <w:p>
      <w:pPr>
        <w:pStyle w:val="SourceNote"/>
      </w:pPr>
      <w:r>
        <w:rPr>
          <w:b/>
        </w:rPr>
        <w:t>Available abstract (not full text):</w:t>
      </w:r>
      <w:r>
        <w:t xml:space="preserve"> Heat-related health impacts across national mitigation and urban adaptation scenarios in European cities - Analysis Data Data to reproduce the analysis and visualization scripts for the journal publication Rodés-Bachs, C., Vicedo-Cabrera, A., Sampedro, J., Masselot, P., Koasidis, K., &amp; Van de Ven, D. (2026). Heat-related health impacts across national mitigation and urban adaptation scenarios in European cities. Preprint available soon. Check out the GitHub parent directory with all the source code to reuse this data. Abstract Heat exposure is a critical health risk, yet health outcomes and age-related vulnerability remain underrepresented in climate scenario analysis. This study bridges this gap by presenting a novel framework for estimating heat-health impacts across policy-relevant mitigation scenarios and adaptation strategies. By fusing integrated assessment modeling, climate emulators, and epidemiological methods with Urban Heat Island and age-specific mortality data, we quantify heat impacts across 854 European cities. This research provides a robust methodological foundation to facilitate the integration of public health dimensions into strategic urban and national policy design. Related repositories: Preprint publication: Available soon. Data Zenodo archive: Processed data to reproduce the figures and the analysis. Code GitHub repository and Zenodo archive: Code with t</w:t>
      </w:r>
    </w:p>
    <w:p>
      <w:pPr/>
      <w:r>
        <w:rPr>
          <w:b/>
        </w:rPr>
        <w:t>POSSIBLE 2026:</w:t>
      </w:r>
      <w:r>
        <w:t xml:space="preserve"> Exploring decarbonisation strategies in the Southern-European region of Catalonia through a multi-scenario assessment — https://doi.org/10.1016/j.esr.2026.102184</w:t>
      </w:r>
    </w:p>
    <w:p>
      <w:pPr/>
      <w:r>
        <w:rPr>
          <w:b/>
        </w:rPr>
        <w:t>Shared claim-specific concepts:</w:t>
      </w:r>
      <w:r>
        <w:t xml:space="preserve"> integrated, assessment, combining, climate; EU scope visible. This is a provisional connection, not an outcome finding.</w:t>
      </w:r>
    </w:p>
    <w:p>
      <w:pPr>
        <w:pStyle w:val="SourceNote"/>
      </w:pPr>
      <w:r>
        <w:rPr>
          <w:b/>
        </w:rPr>
        <w:t>Available abstract (not full text):</w:t>
      </w:r>
      <w:r>
        <w:t xml:space="preserve"> This study evaluates decarbonisation pathways for the southern European region of Catalonia, addressing the critical gap of downscaling biophysical system-dynamics models to regional contexts. We explore variations in economic growth, energy efficiency, and renewable energy deployment. Using pymedeas2 , a system dynamics-based integrated assessment model, we assess the implications of these pathways for climate change mitigation, land use, and energy demand. Scenarios that combine post-growth strategies with strong renewable expansion and efficiency gains achieve superior outcomes across these dimensions. In the reference scenario, GDP per capita stabilises by 2040 while ambitious renewable and efficiency targets are met. The most sustainable pathway reduces cumulative CO 2 emissions by 21.0% and renewable land use by 15.4% relative to the reference, remaining within Catalonia’s fair-share carbon budget of 495 MtCO 2 . In contrast, under a high-growth scenario with delayed efficiency gains, this limit is exceeded, reaching 793 MtCO 2 in cumulative emissions and increasing land-use requirements by 1.8%. These findings show that combining post-growth strategies with energy system decarbonisation can enable Catalonia to meet climate targets while reducing spatial and ecological pressures. The analysis highlights the urgency of a paradigm shift from purely supply-side technological</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health, assessment, population, attributable, mortality, climate;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2024:</w:t>
      </w:r>
      <w:r>
        <w:t xml:space="preserve"> The 2024 Europe report of the Lancet Countdown on health and climate change: unprecedented warming demands unprecedented action — https://doi.org/10.1016/s2468-2667(24)00055-0</w:t>
      </w:r>
    </w:p>
    <w:p>
      <w:pPr/>
      <w:r>
        <w:rPr>
          <w:b/>
        </w:rPr>
        <w:t>Shared claim-specific concepts:</w:t>
      </w:r>
      <w:r>
        <w:t xml:space="preserve"> health, impacts, climate; EU scope visible. This is a provisional connection, not an outcome finding.</w:t>
      </w:r>
    </w:p>
    <w:p>
      <w:pPr>
        <w:pStyle w:val="SourceNote"/>
      </w:pPr>
      <w:r>
        <w:rPr>
          <w:b/>
        </w:rPr>
        <w:t>Available abstract (not full text):</w:t>
      </w:r>
      <w:r>
        <w:t xml:space="preserve"> Record-breaking temperatures were recorded across the globe in 2023. Without climate action, adverse climate-related health impacts are expected to worsen worldwide, affecting billions of people. Temperatures in Europe are warming at twice the rate of the global average, threatening the health of populations across the continent and leading to unnecessary loss of life. The Lancet Countdown in Europe was established in 2021, to assess the health profile of climate change aiming to stimulate European social and political will to implement rapid health-responsive climate mitigation and adaptation actions.</w:t>
      </w:r>
    </w:p>
    <w:p>
      <w:pPr/>
      <w:r>
        <w:rPr>
          <w:b/>
        </w:rPr>
        <w:t>POSSIBLE 2024:</w:t>
      </w:r>
      <w:r>
        <w:t xml:space="preserve"> A scoping review of human health co-benefits of forest-based climate change mitigation in Europe — https://doi.org/10.1016/j.envint.2024.108593</w:t>
      </w:r>
    </w:p>
    <w:p>
      <w:pPr/>
      <w:r>
        <w:rPr>
          <w:b/>
        </w:rPr>
        <w:t>Shared claim-specific concepts:</w:t>
      </w:r>
      <w:r>
        <w:t xml:space="preserve"> health, impacts, climate; EU scope visible. This is a provisional connection, not an outcome finding.</w:t>
      </w:r>
    </w:p>
    <w:p>
      <w:pPr>
        <w:pStyle w:val="SourceNote"/>
      </w:pPr>
      <w:r>
        <w:rPr>
          <w:b/>
        </w:rPr>
        <w:t>Available abstract (not full text):</w:t>
      </w:r>
      <w:r>
        <w:t xml:space="preserve"> Climate change is a pressing global challenge with profound implications for human health. Forest-based climate change mitigation strategies, such as afforestation, reforestation, and sustainable forest management, offer promising solutions to mitigate climate change and simultaneously yield substantial co-benefits for human health. The objective of this scoping review was to examine research trends related to the interdisciplinary nexus between forests as carbon sinks and human health co-benefits. We developed a conceptual framework model, supporting the inclusion of exposure pathways, such as recreational opportunities or aesthetic experiences, in the co-benefit context. We used a scoping review methodology to identify the proportion of European research on forest-based mitigation strategies that acknowledge the interconnection between mitigation strategies and human impacts. We also aimed to assess whether synergies and trade-offs between forest-based carbon sink capacity and human co-benefits has been analysed and quantified. From the initial 4,062 records retrieved, 349 reports analysed European forest management principles and factors related to climate change mitigation capacity. Of those, 97 studies acknowledged human co-benefits and 13 studies quantified the impacts on exposure pathways or health co-benefits and were included for full review. Our analysis demonstrates </w:t>
      </w:r>
    </w:p>
    <w:p>
      <w:pPr/>
      <w:r>
        <w:rPr>
          <w:b/>
        </w:rPr>
        <w:t>POSSIBLE 2024:</w:t>
      </w:r>
      <w:r>
        <w:t xml:space="preserve"> Comorbid physical health burden of serious mental health disorders in 32 European countries — https://doi.org/10.1136/bmjment-2024-301021</w:t>
      </w:r>
    </w:p>
    <w:p>
      <w:pPr/>
      <w:r>
        <w:rPr>
          <w:b/>
        </w:rPr>
        <w:t>Shared claim-specific concepts:</w:t>
      </w:r>
      <w:r>
        <w:t xml:space="preserve"> integrated, health, population, fractions; EU scope visible. This is a provisional connection, not an outcome finding.</w:t>
      </w:r>
    </w:p>
    <w:p>
      <w:pPr>
        <w:pStyle w:val="SourceNote"/>
      </w:pPr>
      <w:r>
        <w:rPr>
          <w:b/>
        </w:rPr>
        <w:t>Available abstract (not full text):</w:t>
      </w:r>
      <w:r>
        <w:t xml:space="preserve"> BACKGROUND: Mental health disorders (MHDs) are associated with physical health disparities, but underlying excess risk and health burden have not yet been comprehensively assessed. OBJECTIVE: To assess the burden of comorbid physical health conditions (PHCs) across serious MHDs in Europe. METHODS: We estimated the relative prevalence risk of PHCs associated with alcohol use disorders (AUD), bipolar disorder (BD), depressive disorders (DD) and schizophrenia (SZ) across working-age populations of 32 European countries in 2019 based on a targeted literature review. Excess physical health burden was modelled using population-attributable fractions and country-level prevalence data. FINDINGS: We screened 10 960 studies, of which 41 were deemed eligible, with a total sample size of over 18 million persons. Relative prevalence of PHCs was reported in 54%, 20%, 15%, 5% and 7% of studies, respectively, for SZ, DD, BD, AUD or mixed. Significant relative risk estimates ranged from 1.44 to 3.66 for BD, from 1.43 to 2.21 for DD, from 0.81 to 1.97 for SZ and 3.31 for AUD. Excess physical health burden ranged between 27% and 67% of the total, corresponding to 84 million (AUD), 67 million (BD), 66 million (DD) and 5 million (SZ) PHC diagnoses in Europe. A 1% reduction in excess risk assuming causal inference could result in two million fewer PHCs across investigated MHDs. CONCLUSIONS: This is </w:t>
      </w:r>
    </w:p>
    <w:p>
      <w:pPr/>
      <w:r>
        <w:rPr>
          <w:b/>
        </w:rPr>
        <w:t>POSSIBLE 2024:</w:t>
      </w:r>
      <w:r>
        <w:t xml:space="preserve"> Burden of intracerebral haemorrhage in Europe: forecasting incidence and mortality between 2019 and 2050 — https://doi.org/10.1016/j.lanepe.2024.100842</w:t>
      </w:r>
    </w:p>
    <w:p>
      <w:pPr/>
      <w:r>
        <w:rPr>
          <w:b/>
        </w:rPr>
        <w:t>Shared claim-specific concepts:</w:t>
      </w:r>
      <w:r>
        <w:t xml:space="preserve"> integrated, health, population, attributable, fractions, mortality; EU scope visible. This is a provisional connection, not an outcome finding.</w:t>
      </w:r>
    </w:p>
    <w:p>
      <w:pPr>
        <w:pStyle w:val="SourceNote"/>
      </w:pPr>
      <w:r>
        <w:rPr>
          <w:b/>
        </w:rPr>
        <w:t>Available abstract (not full text):</w:t>
      </w:r>
      <w:r>
        <w:t xml:space="preserve"> Background: Anticipating the burden of intracerebral haemorrhage is crucial for proactive management and building resilience against future health challenges. Prior forecasts are based on population demography and to a lesser extent epidemiological trends. This study aims to utilise selected modifiable risk factors and socio-demographic indicators to forecast the incidence and mortality of intracerebral haemorrhage in Europe between 2019 and 2050. Methods: Three intracerebral haemorrhage risk factors identified in the Global Burden of Diseases, Injuries, and Risk Factors study (GBD 2019)-high systolic blood pressure, high fasting plasma glucose, and high body mass index-were utilised to predict the risk-attributable fractions between 2019 and 2050. Disease burden not attributable to these risk factors was then forecasted using time series models (autoregressive integrated moving average [ARIMA]), incorporating the Socio-demographic Index (SDI) as an external predictor. The optimal parameters of ARIMA models were selected for each age-sex-country group based on the Akaike Information Criterion (AIC). Different health scenarios were constructed by extending the past 85th and 15th percentiles of annualised rates of change in risk factors and SDI across all location-years, stratified by age and sex groups. A decomposition analysis was performed to assess the relative contributions </w:t>
      </w:r>
    </w:p>
    <w:p>
      <w:pPr/>
      <w:r>
        <w:rPr>
          <w:b/>
        </w:rPr>
        <w:t>POSSIBLE 2023:</w:t>
      </w:r>
      <w:r>
        <w:t xml:space="preserve"> Excess mortality attributed to heat and cold: a health impact assessment study in 854 cities in Europe — https://doi.org/10.1016/s2542-5196(23)00023-2</w:t>
      </w:r>
    </w:p>
    <w:p>
      <w:pPr/>
      <w:r>
        <w:rPr>
          <w:b/>
        </w:rPr>
        <w:t>Shared claim-specific concepts:</w:t>
      </w:r>
      <w:r>
        <w:t xml:space="preserve"> health, assessment, mortality, due, heat, cold; EU scope visible. This is a provisional connection, not an outcome finding.</w:t>
      </w:r>
    </w:p>
    <w:p>
      <w:pPr>
        <w:pStyle w:val="SourceNote"/>
      </w:pPr>
      <w:r>
        <w:rPr>
          <w:b/>
        </w:rPr>
        <w:t>Available abstract (not full text):</w:t>
      </w:r>
      <w:r>
        <w:t xml:space="preserve"> BACKGROUND: Heat and cold are established environmental risk factors for human health. However, mapping the related health burden is a difficult task due to the complexity of the associations and the differences in vulnerability and demographic distributions. In this study, we did a comprehensive mortality impact assessment due to heat and cold in European urban areas, considering geographical differences and age-specific risks. METHODS: We included urban areas across Europe between Jan 1, 2000, and Dec 12, 2019, using the Urban Audit dataset of Eurostat and adults aged 20 years and older living in these areas. Data were extracted from Eurostat, the Multi-country Multi-city Collaborative Research Network, Moderate Resolution Imaging Spectroradiometer, and Copernicus. We applied a three-stage method to estimate risks of temperature continuously across the age and space dimensions, identifying patterns of vulnerability on the basis of city-specific characteristics and demographic structures. These risks were used to derive minimum mortality temperatures and related percentiles and raw and standardised excess mortality rates for heat and cold aggregated at various geographical levels. FINDINGS: Across the 854 urban areas in Europe, we estimated an annual excess of 203 620 (empirical 95% CI 180 882-224 613) deaths attributed to cold and 20 173 (17 261-22 934) attributed to heat. Th</w:t>
      </w:r>
    </w:p>
    <w:p>
      <w:pPr/>
      <w:r>
        <w:rPr>
          <w:b/>
        </w:rPr>
        <w:t>POSSIBLE 2023:</w:t>
      </w:r>
      <w:r>
        <w:t xml:space="preserve"> Integrated assessment modelling of degrowth scenarios for Australia — https://doi.org/10.1080/09535314.2023.2245544</w:t>
      </w:r>
    </w:p>
    <w:p>
      <w:pPr/>
      <w:r>
        <w:rPr>
          <w:b/>
        </w:rPr>
        <w:t>Shared claim-specific concepts:</w:t>
      </w:r>
      <w:r>
        <w:t xml:space="preserve"> integrated, assessment, climate; EU scope not established. This is a provisional connection, not an outcome finding.</w:t>
      </w:r>
    </w:p>
    <w:p>
      <w:pPr>
        <w:pStyle w:val="SourceNote"/>
      </w:pPr>
      <w:r>
        <w:rPr>
          <w:b/>
        </w:rPr>
        <w:t>Available abstract (not full text):</w:t>
      </w:r>
      <w:r>
        <w:t xml:space="preserve"> Empirical evidence increasingly indicates that to achieve sufficiently rapid decarbonisation, high-income economies may need to adopt degrowth policies, scaling down less-necessary forms of production and demand, in addition to rapid deployment of renewables. Calls have been made for degrowth climate mitigation scenarios. However, so far these have not been modelled within the established Integrated Assessment Models (IAMs) for future scenario analysis of the energy-economy-emission nexus, partly because the architecture of these IAMs has growth ‘baked in’. In this work, we modify one of the common IAMs – MESSAGEix – to make it compatible with degrowth scenarios. We simulate scenarios featuring low and negative growth in a high-income economy (Australia). We achieve this by detaching MESSAGEix from its monotonically growing utility function, and by formulating an alternative utility function based on non-monotonic preferences. The outcomes from such modified scenarios reflect some characteristics of degrowth futures, including reduced aggregate production and declining energy and emissions. However, further work is needed to explore other key degrowth features such as sectoral differentiation, redistribution, and provisioning system transformation.</w:t>
      </w:r>
    </w:p>
    <w:p>
      <w:pPr/>
      <w:r>
        <w:rPr>
          <w:b/>
        </w:rPr>
        <w:t>POSSIBLE 2023:</w:t>
      </w:r>
      <w:r>
        <w:t xml:space="preserve"> Access and reimbursement pathways for digital health solutions and in vitro diagnostic devices: Current scenario and challenges — https://doi.org/10.3389/fmedt.2023.1101476</w:t>
      </w:r>
    </w:p>
    <w:p>
      <w:pPr/>
      <w:r>
        <w:rPr>
          <w:b/>
        </w:rPr>
        <w:t>Shared claim-specific concepts:</w:t>
      </w:r>
      <w:r>
        <w:t xml:space="preserve"> integrated, health, due, observed; EU scope visible. This is a provisional connection, not an outcome finding.</w:t>
      </w:r>
    </w:p>
    <w:p>
      <w:pPr>
        <w:pStyle w:val="SourceNote"/>
      </w:pPr>
      <w:r>
        <w:rPr>
          <w:b/>
        </w:rPr>
        <w:t>Available abstract (not full text):</w:t>
      </w:r>
      <w:r>
        <w:t xml:space="preserve"> Objectives Digital therapeutics (DTx) are innovative solutions that use meaningful data to provide evidence-based decisions for the prevention, treatment, and management of diseases. Particular attention is paid to software-based in vitro diagnostics (IVDs). With this point of view, a strong connection between DTx and IVDs is observed. Methods We investigated the current regulatory scenarios and reimbursement approaches adopted for DTx and IVDs. The initial assumption was that countries apply different regulations for the access to the market and adopt different reimbursement systems for both DTx and IVDs. The analysis was limited to the US, European countries (Germany, France, and UK), and Australia due to maturity in digital health product adoption and regulatory processes, and recent regulations related to IVDs. The final aim was to provide a general comparative overview and identify those aspects that should be better addressed to support the adoption and commercialization of DTx and IVDs. Results Many countries regulate DTx as medical devices or software integrated with a medical device, and some have a more specific pathway than others. Australia has more specific regulations classifying software used in IVD. Some EU countries are adopting similar processes to the Digital Health Applications (DiGA) under Germany's Digitale-Versorgung Gesetz (DVG) law, which deems DTx elig</w:t>
      </w:r>
    </w:p>
    <w:p>
      <w:pPr/>
      <w:r>
        <w:rPr>
          <w:b/>
        </w:rPr>
        <w:t>POSSIBLE 2022:</w:t>
      </w:r>
      <w:r>
        <w:t xml:space="preserve"> The health potential of urban water: Future scenarios on local risks and opportunities — https://doi.org/10.1016/j.cities.2022.103639</w:t>
      </w:r>
    </w:p>
    <w:p>
      <w:pPr/>
      <w:r>
        <w:rPr>
          <w:b/>
        </w:rPr>
        <w:t>Shared claim-specific concepts:</w:t>
      </w:r>
      <w:r>
        <w:t xml:space="preserve"> integrated, health, impacts, explores, population, climate; EU scope visible. This is a provisional connection, not an outcome finding.</w:t>
      </w:r>
    </w:p>
    <w:p>
      <w:pPr>
        <w:pStyle w:val="SourceNote"/>
      </w:pPr>
      <w:r>
        <w:rPr>
          <w:b/>
        </w:rPr>
        <w:t>Available abstract (not full text):</w:t>
      </w:r>
      <w:r>
        <w:t xml:space="preserve"> Although cities can be characterised as sources of economic, environmental and social challenges, they can also be part of the solution for healthy and sustainable societies. While most cities are situated close to water, whether inland waterways, lakes, or the sea, these blue spaces are not integrated into urban planning to their full potential and their public health impacts are not always recognised by planning authorities. Furthermore, cities face future challenges regarding climate change, socio-economic developments like tourism, urbanization, and rising social inequalities. The development of healthy blue spaces can support cities in their pursuit of ways to confront these challenges. Interdisciplinary and transdisciplinary analyses of the local impacts of these trends and promising interventions have been scarce to date. This study explores the use of such methodology by presenting experiences related to five European cities: Amsterdam, Barcelona, Plymouth, Tallinn and Thessaloniki, using an interactive and participative approach with local experts and stakeholders. Future scenarios have been developed based on the question: How can blue spaces contribute to a healthier city population, given the long term trends? The results highlight the importance of addressing the local context when seeking sustainable solutions for cities. The future scenarios deliver information t</w:t>
      </w:r>
    </w:p>
    <w:p>
      <w:pPr/>
      <w:r>
        <w:rPr>
          <w:b/>
        </w:rPr>
        <w:t>POSSIBLE 2022:</w:t>
      </w:r>
      <w:r>
        <w:t xml:space="preserve"> The 2022 Europe report of the Lancet Countdown on health and climate change: towards a climate resilient future — https://doi.org/10.1016/s2468-2667(22)00197-9</w:t>
      </w:r>
    </w:p>
    <w:p>
      <w:pPr/>
      <w:r>
        <w:rPr>
          <w:b/>
        </w:rPr>
        <w:t>Shared claim-specific concepts:</w:t>
      </w:r>
      <w:r>
        <w:t xml:space="preserve"> health, population, mortality, climate; EU scope visible. This is a provisional connection, not an outcome finding.</w:t>
      </w:r>
    </w:p>
    <w:p>
      <w:pPr>
        <w:pStyle w:val="SourceNote"/>
      </w:pPr>
      <w:r>
        <w:rPr>
          <w:b/>
        </w:rPr>
        <w:t>Available abstract (not full text):</w:t>
      </w:r>
      <w:r>
        <w:t xml:space="preserve"> In the past few decades, major public health advances have happened in Europe, with drastic decreases in premature mortality and a life expectancy increase of almost 9 years since 1980. European countries have some of the best health-care systems in the world. However, Europe is challenged with unprecedented and overlapping crises that are detrimental to human health and livelihoods and threaten adaptive capacity, including the COVID-19 pandemic, the Russian invasion of Ukraine, the fastest-growing migrant crisis since World War 2, population displacement, environmental degradation, and deepening inequalities.</w:t>
      </w:r>
    </w:p>
    <w:p>
      <w:pPr>
        <w:pStyle w:val="Heading2"/>
      </w:pPr>
      <w:r>
        <w:t>871. Comparison of Water Flows in Four European Lagoon Catchments under a Set of Future Climate Scenarios</w:t>
      </w:r>
    </w:p>
    <w:p>
      <w:pPr>
        <w:pStyle w:val="SourceNote"/>
      </w:pPr>
      <w:r>
        <w:rPr>
          <w:b/>
        </w:rPr>
        <w:t>Original source (2015):</w:t>
      </w:r>
      <w:r>
        <w:t xml:space="preserve"> https://doi.org/10.3390/w7020716</w:t>
      </w:r>
    </w:p>
    <w:p>
      <w:pPr/>
      <w:r>
        <w:t>Original wording (abstract; indexed_source_text_not_full_document_verified): Probable impacts of projected climate changes on catchment hydrology and freshwater input were assessed using the eco-hydrological model SWIM (Soil and Water Integrated Model) for the drainage areas of four European lagoons: Ria de Aveiro (Portugal), Mar Menor (Spain), Tyligulskyi Liman (Ukraine) and Vistula Lagoon (Poland/Russia) under a set of 15 climate scenarios covering the time period until the year 2100. Precipitation is projected to decrease in two catchments on the Iberian Peninsula and increase in the Baltic region catchment, and does not show a clear trend in the catchment located near the Black Sea.</w:t>
      </w:r>
    </w:p>
    <w:p>
      <w:pPr/>
      <w:r>
        <w:rPr>
          <w:b/>
        </w:rPr>
        <w:t>POSSIBLE 2024:</w:t>
      </w:r>
      <w:r>
        <w:t xml:space="preserve"> Energy storage and climate impacts on the future renewable European energy system — https://openalex.org/W4412222428</w:t>
      </w:r>
    </w:p>
    <w:p>
      <w:pPr/>
      <w:r>
        <w:rPr>
          <w:b/>
        </w:rPr>
        <w:t>Shared claim-specific concepts:</w:t>
      </w:r>
      <w:r>
        <w:t xml:space="preserve"> probable, impacts, climate, assessed, integrated; EU scope visible. This is a provisional connection, not an outcome finding.</w:t>
      </w:r>
    </w:p>
    <w:p>
      <w:pPr>
        <w:pStyle w:val="SourceNote"/>
      </w:pPr>
      <w:r>
        <w:rPr>
          <w:b/>
        </w:rPr>
        <w:t>Available abstract (not full text):</w:t>
      </w:r>
      <w:r>
        <w:t xml:space="preserve"> The world stands before the critical mission of mitigating climate change by reducing greenhouse gas emissions at such a pace that catastrophic repercussions are avoided. A primary step towards this goal is to decarbonize the energy sector. This task involves a massive rollout of renewables to replace the fossil-fueled energy supply and to meet a growing demand for electricity resulting from the transformation of all energy sectors. As variable renewable energy increasingly emerges as the predominant source of electricity, the generation of electricity becomes more volatile. Consequently, future energy systems must be equipped with adequate backup and storage infrastructure to ensure a reliable energy supply. This PhD thesis, written as a compilation of research articles, adopts a bottom-up energy system modeling approach that rely on techno-economic optimization to provide insight into this context. The investigations focus on a future sector-coupled European energy system, encompassing the determination of electricity storage technology requirements to qualify in a competitive market, an exploration of energy-related impacts of climate change and interannual weather variability, and the examination of cost-optimal measures to ensure robustness to interannual weather variability and fuel import disruptions. The first study, presented in Chapter 2, addresses a gap in the litera</w:t>
      </w:r>
    </w:p>
    <w:p>
      <w:pPr/>
      <w:r>
        <w:rPr>
          <w:b/>
        </w:rPr>
        <w:t>POSSIBLE 2024:</w:t>
      </w:r>
      <w:r>
        <w:t xml:space="preserve"> The Ripple Effect of Climate Change: Assessing the Impacts on Water Quality and Hydrology in Addis Ababa City (Akaki Catchment) — https://doi.org/10.1155/2024/8824622</w:t>
      </w:r>
    </w:p>
    <w:p>
      <w:pPr/>
      <w:r>
        <w:rPr>
          <w:b/>
        </w:rPr>
        <w:t>Shared claim-specific concepts:</w:t>
      </w:r>
      <w:r>
        <w:t xml:space="preserve"> impacts, climate, catchment, hydrology, freshwater, soil; EU scope not established. This is a provisional connection, not an outcome finding.</w:t>
      </w:r>
    </w:p>
    <w:p>
      <w:pPr>
        <w:pStyle w:val="SourceNote"/>
      </w:pPr>
      <w:r>
        <w:rPr>
          <w:b/>
        </w:rPr>
        <w:t>Available abstract (not full text):</w:t>
      </w:r>
      <w:r>
        <w:t xml:space="preserve"> This research aimed to evaluate the effects of climate change on the hydrology and water quality in the Akaki catchment, which provides water to Addis Ababa, Ethiopia. This was performed using the soil and water assessment tool (SWAT) model and an ensemble of four global climate models under two Shared Socioeconomic Pathways (SSP) emission scenarios from Coupled Model Intercomparison Project Phase 6 (CMIP6). The climate data were downscaled and bias-corrected using the CMhyd tool and calibrated and validated using the SWAT-CUP software package. Change points and patterns in annual rainfall and temperature were determined using the homogeneity test and Mann-Kendell trend test. Water quality data were obtained from Addis Ababa Water and Sewerage Authority (AAWSA), and more samples were taken and analyzed in accordance with APHA recommended procedures. The SWAT model output was then used to assess the impacts of climate change on hydrological components and water quality. Rainfall increased by 19.39 mm/year under SSP2-4.5 and 12.8 mm/year under SSP8.5. Maximum temperature increased by 0.03°C/yr for SSP2-4.5 and 0.04°C/yr for SSP5-8.5. Minimum temperature increased by 0.03°C/yr under SSP2-4.5 and 0.07°C/yr under SSP5-8.5. This warming will augment the evapotranspiration rate which in turn will have a negative impact on the freshwater availability. Streamflow will increase by 5% und</w:t>
      </w:r>
    </w:p>
    <w:p>
      <w:pPr/>
      <w:r>
        <w:rPr>
          <w:b/>
        </w:rPr>
        <w:t>POSSIBLE 2024:</w:t>
      </w:r>
      <w:r>
        <w:t xml:space="preserve"> Scientific evidence of the hydrological impacts of nature‐based solutions at the catchment scale — https://doi.org/10.1002/wat2.1744</w:t>
      </w:r>
    </w:p>
    <w:p>
      <w:pPr/>
      <w:r>
        <w:rPr>
          <w:b/>
        </w:rPr>
        <w:t>Shared claim-specific concepts:</w:t>
      </w:r>
      <w:r>
        <w:t xml:space="preserve"> impacts, catchment, soil, water; EU scope not established. This is a provisional connection, not an outcome finding.</w:t>
      </w:r>
    </w:p>
    <w:p>
      <w:pPr>
        <w:pStyle w:val="SourceNote"/>
      </w:pPr>
      <w:r>
        <w:rPr>
          <w:b/>
        </w:rPr>
        <w:t>Available abstract (not full text):</w:t>
      </w:r>
      <w:r>
        <w:t xml:space="preserve"> Abstract The introduction of nature‐based solutions (NbS) in catchments has the potential to increase the cost‐effectiveness, flexibility, and reliability of water management practices aimed at improving water security. However, the scientific‐evidence base of the hydrological impacts of NbS is still weak, and there is therefore a risk that catchment interventions might not lead to the desired hydrological outcomes. This is especially important when assessing NbS‐based catchment interventions before their implementation, as this requires robust simulation tools capable of effectively managing the uncertainties associated with future forecasts. This study aims to review the hydrological impacts of different NbS intervention types for water management. First, we present an NbS typology and the corresponding dominant hydrological impacts. We then use this typology to review the strength of the current evidence of the effect of NbS interventions on the hydrological response at the catchment‐scale. Our results demonstrate that the effectiveness of each NbS type hinges on specific conditions such as location, design, and environmental factors. For instance, micro‐reservoirs notably enhance surface storage and evaporation, while infiltration trenches reduce runoff but can increase soil erosion. Our global analysis highlights the need for an improved understanding of NbS catchment impa</w:t>
      </w:r>
    </w:p>
    <w:p>
      <w:pPr/>
      <w:r>
        <w:rPr>
          <w:b/>
        </w:rPr>
        <w:t>POSSIBLE 2023:</w:t>
      </w:r>
      <w:r>
        <w:t xml:space="preserve"> The impact of extensive agricultural water drainage on the hydrology of the Kleine Nete watershed, Belgium — https://doi.org/10.1016/j.scitotenv.2023.163903</w:t>
      </w:r>
    </w:p>
    <w:p>
      <w:pPr/>
      <w:r>
        <w:rPr>
          <w:b/>
        </w:rPr>
        <w:t>Shared claim-specific concepts:</w:t>
      </w:r>
      <w:r>
        <w:t xml:space="preserve"> catchment, hydrology, soil, water, integrated, drainage; EU scope visible. This is a provisional connection, not an outcome finding.</w:t>
      </w:r>
    </w:p>
    <w:p>
      <w:pPr>
        <w:pStyle w:val="SourceNote"/>
      </w:pPr>
      <w:r>
        <w:rPr>
          <w:b/>
        </w:rPr>
        <w:t>Available abstract (not full text):</w:t>
      </w:r>
      <w:r>
        <w:t xml:space="preserve"> Agricultural water drainage can significantly lower groundwater levels and affect catchment hydrology. Therefore, building models with and without these features can indicate an adverse impact on the geohydrological process. Therefore, the standalone Soil Water Assessment Tool (SWAT+) model was initially developed to simulate streamflow at the Kleine Nete catchment outlet. Next, a physically based and spatially distributed groundwater module (gwflow) was integrated into the SWAT+ model and calibrated for stream discharge at the catchment outlet. Finally, the same model was calibrated for both streamflow and groundwater heads. These final model parameters are used to investigate the basin-wide hydrologic fluxes with and without including agricultural drainage systems in the model scheme. The result suggested that the standalone SWAT+ model poorly represented the stream discharge and attained low NSE values of 0.18 and 0.37 during the calibration and validation periods, respectively. Integrating the gwflow module to SWAT+ improved the model representation of stream discharge (NSE = 0.91 and 0.65 for calibration and validation periods, respectively) and groundwater heads. However, calibrating the model for only streamflow resulted in a high root mean square error (above 1 m) for groundwater head, and the seasonality is not captured. On the other hand, calibrating the coupled model</w:t>
      </w:r>
    </w:p>
    <w:p>
      <w:pPr/>
      <w:r>
        <w:rPr>
          <w:b/>
        </w:rPr>
        <w:t>POSSIBLE 2023:</w:t>
      </w:r>
      <w:r>
        <w:t xml:space="preserve"> A simple stacked ensemble machine learning model to predict naturalized catchment hydrology and allocation status — https://doi.org/10.48550/arxiv.2312.01649</w:t>
      </w:r>
    </w:p>
    <w:p>
      <w:pPr/>
      <w:r>
        <w:rPr>
          <w:b/>
        </w:rPr>
        <w:t>Shared claim-specific concepts:</w:t>
      </w:r>
      <w:r>
        <w:t xml:space="preserve"> probable, catchment, hydrology, water; EU scope not established. This is a provisional connection, not an outcome finding.</w:t>
      </w:r>
    </w:p>
    <w:p>
      <w:pPr>
        <w:pStyle w:val="SourceNote"/>
      </w:pPr>
      <w:r>
        <w:rPr>
          <w:b/>
        </w:rPr>
        <w:t>Available abstract (not full text):</w:t>
      </w:r>
      <w:r>
        <w:t xml:space="preserve"> New Zealand legislation requires that Regional Councils set limits for water resource usage to manage the effects of abstractions in over-allocated catchments. We propose a simple stacked ensemble machine learning model to predict the probable naturalized hydrology and allocation status across 317 anthropogenically stressed gauged catchments and across 18,612 ungauged river reaches in Otago. The training and testing of ensemble machine learning models provides unbiased results characterized as very good (R2 &gt; 0.8) to extremely good (R2 &gt; 0.9) when predicting naturalized mean annual low flow and Mean flow. Statistical 5-fold stacking identifies varying levels of risk for managing water-resource sustainability in over-allocated catchments; for example, at the respective 5th, 25th, 50th, 75th, and 95th percentiles the number of overallocated catchments are 73, 57, 44, 23, and 22. The proposed model can be applied to inform sustainable stream management in other regional catchments across New Zealand and worldwide.</w:t>
      </w:r>
    </w:p>
    <w:p>
      <w:pPr/>
      <w:r>
        <w:rPr>
          <w:b/>
        </w:rPr>
        <w:t>POSSIBLE 2023:</w:t>
      </w:r>
      <w:r>
        <w:t xml:space="preserve"> Recent advancements of landslide hydrology — https://doi.org/10.1002/wat2.1675</w:t>
      </w:r>
    </w:p>
    <w:p>
      <w:pPr/>
      <w:r>
        <w:rPr>
          <w:b/>
        </w:rPr>
        <w:t>Shared claim-specific concepts:</w:t>
      </w:r>
      <w:r>
        <w:t xml:space="preserve"> climate, hydrology, soil, water, drainage; EU scope not established. This is a provisional connection, not an outcome finding.</w:t>
      </w:r>
    </w:p>
    <w:p>
      <w:pPr>
        <w:pStyle w:val="SourceNote"/>
      </w:pPr>
      <w:r>
        <w:rPr>
          <w:b/>
        </w:rPr>
        <w:t>Available abstract (not full text):</w:t>
      </w:r>
      <w:r>
        <w:t xml:space="preserve"> Abstract Occurrence of rainfall‐induced landslides is increasing worldwide, owing to land use and climate changes. Although the connection between hydrology and rainfall‐induced landslides might seem obvious, hydrological processes have been only marginally considered in landslide research for decades. In 2016, an advanced review paper published in WIREs Water [Bogaard and Greco (2016), WIREs Water, 3(3), 439–459] pointed out several challenging issues for landslide hydrology research: considering large‐scale hydrological processes in the assessment of slope water balance; including antecedent hydrological information in landslide hazard assessment; understanding and quantifying the feedbacks between deformation and infiltration/drainage processes; overcoming the conceptual mismatch of soil mechanics models and hydrological models. While little progress has been made on the latter two issues, a variety of studies have been published, focusing on the role of hydrological processes in landslide initiation and prediction. The importance of the identification of the origin of water to understand the processes leading to landslide activation is largely acknowledged. Techniques and methodologies for the definition of landslide catchments and for the assessment of landslide water balance are progressing fast, often considering the hydraulic effect of vegetation. The use of hydrologica</w:t>
      </w:r>
    </w:p>
    <w:p>
      <w:pPr/>
      <w:r>
        <w:rPr>
          <w:b/>
        </w:rPr>
        <w:t>POSSIBLE 2022:</w:t>
      </w:r>
      <w:r>
        <w:t xml:space="preserve"> Mid-Holocene European climate revisited: New high-resolution regional climate model simulations using pollen-based land-cover — https://doi.org/10.1016/j.quascirev.2022.107431</w:t>
      </w:r>
    </w:p>
    <w:p>
      <w:pPr/>
      <w:r>
        <w:rPr>
          <w:b/>
        </w:rPr>
        <w:t>Shared claim-specific concepts:</w:t>
      </w:r>
      <w:r>
        <w:t xml:space="preserve"> probable, climate; EU scope visible. This is a provisional connection, not an outcome finding.</w:t>
      </w:r>
    </w:p>
    <w:p>
      <w:pPr>
        <w:pStyle w:val="SourceNote"/>
      </w:pPr>
      <w:r>
        <w:rPr>
          <w:b/>
        </w:rPr>
        <w:t>Available abstract (not full text):</w:t>
      </w:r>
      <w:r>
        <w:t xml:space="preserve"> Land-cover changes have a clear impact on local climates via biophysical effects. European land cover has been affected by human activities for at least 6000 years, but possibly longer. It is thus highly probable that humans altered climate before the industrial revolution (AD1750–1850). In this study, climate and vegetation 6000 years (6 ka) ago is investigated using one global climate model, two regional climate models, one dynamical vegetation model, pollen-based reconstruction of past vegetation cover using a model of the pollen-vegetation relationship and a statistical model for spatial interpolation of the reconstructed land cover. This approach enables us to study 6 ka climate with potential natural and reconstructed land cover, and to determine how differences in land cover impact upon simulated climate. The use of two regional climate models enables us to discuss the robustness of the results. This is the first experiment with two regional climate models of simulated palaeo-climate based on regional climate models. Different estimates of 6 ka vegetation are constructed: simulated potential vegetation and reconstructed vegetation. Potential vegetation is the natural climate-induced vegetation as simulated by a dynamical vegetation model driven by climate conditions from a climate model. Bayesian spatial model interpolated point estimates of pollen-based plant abundances</w:t>
      </w:r>
    </w:p>
    <w:p>
      <w:pPr/>
      <w:r>
        <w:rPr>
          <w:b/>
        </w:rPr>
        <w:t>POSSIBLE 2022:</w:t>
      </w:r>
      <w:r>
        <w:t xml:space="preserve"> A probabilistic climate change assessment for Europe — https://doi.org/10.1002/joc.7604</w:t>
      </w:r>
    </w:p>
    <w:p>
      <w:pPr/>
      <w:r>
        <w:rPr>
          <w:b/>
        </w:rPr>
        <w:t>Shared claim-specific concepts:</w:t>
      </w:r>
      <w:r>
        <w:t xml:space="preserve"> impacts, climate, four; EU scope visible. This is a provisional connection, not an outcome finding.</w:t>
      </w:r>
    </w:p>
    <w:p>
      <w:pPr>
        <w:pStyle w:val="SourceNote"/>
      </w:pPr>
      <w:r>
        <w:rPr>
          <w:b/>
        </w:rPr>
        <w:t>Available abstract (not full text):</w:t>
      </w:r>
      <w:r>
        <w:t xml:space="preserve"> Abstract Globally, the impacts of climate change can vary across different regions. This study uses a probability framework to evaluate recent historical (1976–2016) and near‐future projected (until 2049) climate change across Europe using Climate Research Unit and ensemble climate model datasets (under RCPs 2.6 and 8.5). A historical assessment shows that although the east and west of the domain experienced the largest and smallest increase in temperature, changes in precipitation are not as smooth as temperature. Results indicate that the maximum changes between distributions of the variables (temperature and precipitation) mainly occur at extreme percentiles (e.g., 10% and 90%). A group analysis of four subregions of Europe, namely east (G1), north (G2), west/south (G3), and UK/Ireland (G4), shows that G1 and G4 are expected to have the largest increase in temperature and precipitation extremes, respectively. Although maximum increases in temperature in G3 and G4 occur at larger percentiles, G1 and G2 experience maximum increases at both large and small percentiles. The maximum increase of precipitation over the study domain, however, occurs mainly at larger extremes. To quantify changes in the distribution of projection (2020–2049) relative to the historical reference (1976–2005), two measures are defined, namely a change in occurrences (KS statistic) and intensities at dif</w:t>
      </w:r>
    </w:p>
    <w:p>
      <w:pPr/>
      <w:r>
        <w:rPr>
          <w:b/>
        </w:rPr>
        <w:t>POSSIBLE 2022:</w:t>
      </w:r>
      <w:r>
        <w:t xml:space="preserve"> Impact of climate change on catchment nutrient dynamics: insights from around the world — https://doi.org/10.1139/er-2021-0109</w:t>
      </w:r>
    </w:p>
    <w:p>
      <w:pPr/>
      <w:r>
        <w:rPr>
          <w:b/>
        </w:rPr>
        <w:t>Shared claim-specific concepts:</w:t>
      </w:r>
      <w:r>
        <w:t xml:space="preserve"> impacts, climate, catchment, hydrology, water, areas; EU scope not established. This is a provisional connection, not an outcome finding.</w:t>
      </w:r>
    </w:p>
    <w:p>
      <w:pPr>
        <w:pStyle w:val="SourceNote"/>
      </w:pPr>
      <w:r>
        <w:rPr>
          <w:b/>
        </w:rPr>
        <w:t>Available abstract (not full text):</w:t>
      </w:r>
      <w:r>
        <w:t xml:space="preserve"> This study is a meta-analysis of global articles on hydrological nutrient dynamics to determine trends and consensus on: (1) the effects of climate change-induced hydrological and temperature drivers on nutrient dynamics and how these effects vary along the catchment continuum from land to river to lake; (2) the convergence of climate change impacts with other anthropogenic pressures (agriculture, urbanization) in nutrient dynamics; and (3) regional variability in the effects of climate change on nutrient dynamics and water-quality impairment across different climate zones. An innovative web crawler tool was employed to help critically synthesize the information in the literature. The literature suggests that climate change will impact nutrient dynamics around the globe and exacerbate contemporary water-quality challenges. Nutrient leaching and overland flow transport are projected to increase globally, promoted by extreme precipitation. Seasonal variations in streamflow are expected to emulate changing precipitation patterns, but the specific local impacts of climate change on hydrology and nutrient dynamics will vary both seasonally and regionally. Plant activity may reduce some of this load in nonagricultural soils if the expected increase in plant uptake of nutrients prompted by increased temperatures can compensate for greater nitrogen (N) and phosphorus (P) mineralization</w:t>
      </w:r>
    </w:p>
    <w:p>
      <w:pPr/>
      <w:r>
        <w:rPr>
          <w:b/>
        </w:rPr>
        <w:t>POSSIBLE 2022:</w:t>
      </w:r>
      <w:r>
        <w:t xml:space="preserve"> Impact of climate change on the degradation of rendered façades: Expectations for a dry and hot summer temperate climate — https://doi.org/10.1088/1755-1315/1101/2/022008</w:t>
      </w:r>
    </w:p>
    <w:p>
      <w:pPr/>
      <w:r>
        <w:rPr>
          <w:b/>
        </w:rPr>
        <w:t>Shared claim-specific concepts:</w:t>
      </w:r>
      <w:r>
        <w:t xml:space="preserve"> probable, climate, portugal; EU scope visible. This is a provisional connection, not an outcome finding.</w:t>
      </w:r>
    </w:p>
    <w:p>
      <w:pPr>
        <w:pStyle w:val="SourceNote"/>
      </w:pPr>
      <w:r>
        <w:rPr>
          <w:b/>
        </w:rPr>
        <w:t>Available abstract (not full text):</w:t>
      </w:r>
      <w:r>
        <w:t xml:space="preserve"> Abstract Climate change is accelerating and can seriously affect the built environment, if not properly acknowledged in the design and maintenance stages. Despite the globally expected warming, climate changes will differ depending on region and climate type. What implications will temperature, precipitation and wind changes have on the degradation of the building envelope, in Southern Europe? How will the performance of façade claddings be affected by the end of the century? The purpose of this research is to determine the expected impact of climate change on the degradation of rendered façades, in a dry and hot summer temperate climate. This study is based on the complex relationship between climate parameters projections for Portugal and the known effects of environmental agents on the degradation of renderings. Projections indicate the increase of mean temperature and heat waves, reduction of precipitation and wet days, intensification of rainfall in shorter periods and decrease of wind speed in most of the country. Notwithstanding the projections’ inherent uncertainty, more cracking and fewer stains are expected. Due to the cracking increase, more loss of adhesion is probable. Further research is necessary to assess the risks of intense rainfall events to rendered façades, considering the also projected precipitation decrease.</w:t>
      </w:r>
    </w:p>
    <w:p>
      <w:pPr/>
      <w:r>
        <w:rPr>
          <w:b/>
        </w:rPr>
        <w:t>POSSIBLE 2022:</w:t>
      </w:r>
      <w:r>
        <w:t xml:space="preserve"> Climate Extremes are Becoming More Frequent, Co-occurring, and Persistent in Europe — https://doi.org/10.1007/s44177-022-00022-4</w:t>
      </w:r>
    </w:p>
    <w:p>
      <w:pPr/>
      <w:r>
        <w:rPr>
          <w:b/>
        </w:rPr>
        <w:t>Shared claim-specific concepts:</w:t>
      </w:r>
      <w:r>
        <w:t xml:space="preserve"> climate, four; EU scope visible. This is a provisional connection, not an outcome finding.</w:t>
      </w:r>
    </w:p>
    <w:p>
      <w:pPr>
        <w:pStyle w:val="SourceNote"/>
      </w:pPr>
      <w:r>
        <w:rPr>
          <w:b/>
        </w:rPr>
        <w:t>Available abstract (not full text):</w:t>
      </w:r>
      <w:r>
        <w:t xml:space="preserve"> Abstract With global warming, many climate extremes are becoming more frequent, often co-occurring, or repeatedly occurring in consecutive years. However, only limited studies have investigated these changes of climate extremes together. We study these changes in Europe for the last seven decades (1950–2019) based on 39 climate indices to identify climate extreme hotspots and coldspots. These indices belong to the four climate index groups: cold, heat, drought, and precipitation. Compared to the first half of the study period (1950–1984), most of our study locations faced heat extremes that are more frequent and occurring in consecutive years in the second half (1985–2019). However, the number of cold extremes has decreased in most locations. Simultaneously, some locations, mainly the Mediterranean region, faced an increase in droughts while others, e.g., parts of Eastern Europe and Northern Europe, experienced more intense precipitation. Two or more of these cold, heat, drought, and precipitation extremes have also co-occurred in a few locations of our study area in the same year. Our study highlights that climate extremes are becoming more frequent, co-occurrent, and persistent in Europe. These changes in climate extremes are associated with climate change. Therefore, we could infer that climate change mitigation is crucial for limiting these extremes.</w:t>
      </w:r>
    </w:p>
    <w:p>
      <w:pPr/>
      <w:r>
        <w:rPr>
          <w:b/>
        </w:rPr>
        <w:t>POSSIBLE 2022:</w:t>
      </w:r>
      <w:r>
        <w:t xml:space="preserve"> Climate Change Impact on Peruvian Biomes — https://doi.org/10.3390/f13020238</w:t>
      </w:r>
    </w:p>
    <w:p>
      <w:pPr/>
      <w:r>
        <w:rPr>
          <w:b/>
        </w:rPr>
        <w:t>Shared claim-specific concepts:</w:t>
      </w:r>
      <w:r>
        <w:t xml:space="preserve"> probable, climate; EU scope not established. This is a provisional connection, not an outcome finding.</w:t>
      </w:r>
    </w:p>
    <w:p>
      <w:pPr>
        <w:pStyle w:val="SourceNote"/>
      </w:pPr>
      <w:r>
        <w:rPr>
          <w:b/>
        </w:rPr>
        <w:t>Available abstract (not full text):</w:t>
      </w:r>
      <w:r>
        <w:t xml:space="preserve"> The biodiversity present in Peru will be affected by climatic and anthropogenic changes; therefore, understanding these changes will help generate biodiversity conservation policies. This study analyzes the potential distributions of biomes (B) in Peru under the effects of climate change. The evaluation was carried out using the random forest (RF) method, six bioclimatic variables, and digital topography for the classification of current B in Peru. Subsequently, the calibrated RF model was assimilated to three downscaled regional climate models to project future B distributions for the 2035–2065 horizon. We evaluated possible changes in extension and elevation as well as most susceptible B. Our projections show that future scenarios agreed that 82% of current B coverage will remain stable. Approximately 6% of the study area will change its current conditions to conditions of higher humidity; 4.5% will maintain a stable physiognomy, but with an increase in humidity; and finally, 6% will experience a decrease in humidity but maintain its appearance. Additionally, glaciers and swamps are indicated as the most vulnerable B, with probable losses greater than 50% of their current area. These results demonstrate the need to generate public policies for the adaptation and mitigation of climate effects on B at a national scale.</w:t>
      </w:r>
    </w:p>
    <w:p>
      <w:pPr>
        <w:pStyle w:val="Heading2"/>
      </w:pPr>
      <w:r>
        <w:t>872. Comparison of temperature indices for three IPCC SRES scenarios based on RegCM simulations for Poland in 2011–2030 period</w:t>
      </w:r>
    </w:p>
    <w:p>
      <w:pPr>
        <w:pStyle w:val="SourceNote"/>
      </w:pPr>
      <w:r>
        <w:rPr>
          <w:b/>
        </w:rPr>
        <w:t>Original source (2015):</w:t>
      </w:r>
      <w:r>
        <w:t xml:space="preserve"> https://doi.org/10.1127/metz/2014/0457</w:t>
      </w:r>
    </w:p>
    <w:p>
      <w:pPr/>
      <w:r>
        <w:t>Original wording (abstract; indexed_source_text_not_full_document_verified): The regional climate model RegCM3 is used to investigate potential future changes of temperature indices in Poland for the period 2011–2030.</w:t>
      </w:r>
    </w:p>
    <w:p>
      <w:pPr/>
      <w:r>
        <w:rPr>
          <w:b/>
        </w:rPr>
        <w:t>POSSIBLE 2026:</w:t>
      </w:r>
      <w:r>
        <w:t xml:space="preserve"> European snow cover in the EURO-CORDEX regional climate model ensemble: model evaluation — https://doi.org/10.1007/s00382-026-08343-5</w:t>
      </w:r>
    </w:p>
    <w:p>
      <w:pPr/>
      <w:r>
        <w:rPr>
          <w:b/>
        </w:rPr>
        <w:t>Shared claim-specific concepts:</w:t>
      </w:r>
      <w:r>
        <w:t xml:space="preserve"> regional, climate; EU scope visible. This is a provisional connection, not an outcome finding.</w:t>
      </w:r>
    </w:p>
    <w:p>
      <w:pPr>
        <w:pStyle w:val="SourceNote"/>
      </w:pPr>
      <w:r>
        <w:rPr>
          <w:b/>
        </w:rPr>
        <w:t>Available abstract (not full text):</w:t>
      </w:r>
      <w:r>
        <w:t xml:space="preserve"> Abstract The EURO-CORDEX initiative provides a comprehensive set of regional climate simulations for the present and future European climate. We assess how well snow cover, a crucial component of the climate system, is represented in this model ensemble. We consider output from 11 regional climate models (RCMs) at 12 km resolution, driven by ERA-Interim and 10 different general circulation models, and compare it with model- and remote-sensing-based reference data sets for the periods 1990–2008 and 1985–2008, respectively. Elevation-resolved evaluations for four mountainous regions indicate that for mean winter snow water equivalent (SWE), the reanalysis-driven RCM ensemble mean agrees well with reference data. However, model spread becomes substantial (ca. ± 50%) at the highest elevations of the regions. For the number of snow-covered days (SCD), the agreement of individual models with reference data is generally better. With GCM-forcing, simulated mean winter SWE and SCD biases are typically larger in all regions except for Scandinavia. Part of this bias can likely be attributed to an overestimation of winter precipitation in the RCM runs. The analysis also reveals that some models indicate perennial snow accumulation at much lower elevations than suggested by proxy data. This bias is likely related to inaccuracies in atmospheric forcing (aforementioned precipitation biases) a</w:t>
      </w:r>
    </w:p>
    <w:p>
      <w:pPr/>
      <w:r>
        <w:rPr>
          <w:b/>
        </w:rPr>
        <w:t>POSSIBLE 2026:</w:t>
      </w:r>
      <w:r>
        <w:t xml:space="preserve"> Intercomparison of a Regional Climate Model Ensemble for Selected European Catchments — https://doi.org/10.1002/joc.70554</w:t>
      </w:r>
    </w:p>
    <w:p>
      <w:pPr/>
      <w:r>
        <w:rPr>
          <w:b/>
        </w:rPr>
        <w:t>Shared claim-specific concepts:</w:t>
      </w:r>
      <w:r>
        <w:t xml:space="preserve"> regional, climate, temperature, period; EU scope visible. This is a provisional connection, not an outcome finding.</w:t>
      </w:r>
    </w:p>
    <w:p>
      <w:pPr>
        <w:pStyle w:val="SourceNote"/>
      </w:pPr>
      <w:r>
        <w:rPr>
          <w:b/>
        </w:rPr>
        <w:t>Available abstract (not full text):</w:t>
      </w:r>
      <w:r>
        <w:t xml:space="preserve"> ABSTRACT Understanding regional hydroclimatic variability and its drivers is essential to anticipate the impacts of climate change on water resources and sustainability. Yet, considerable uncertainty remains in the simulation of the coupled land–atmosphere water and energy cycles, largely due to structural model limitations, simplified process representations, and insufficient spatial resolution. Within the framework of the Collaborative Research Centre 1502 (CRC1502), this study presents a coordinated intercomparison of regional climate model simulations designed for water cycle process analysis over Europe. We analyse the performance of simulations using the ICON and TSMP1 model systems and covering the period 1990–2020, comparing against reference datasets (E‐OBS, GPCC, and GLEAM). We focus on 2‐m air temperature, precipitation and evapotranspiration over four representative basins—the Ebro, Po, Rhine, and Tisa—within the EURO‐CORDEX domain. Our analysis reveals systematic cold biases throughout most of Europe, with ICON generally outperforming TSMP1. ICON simulations exhibit heterogeneous performance in precipitation biases, with less overestimation than TSMP1, but still reflecting the persistent challenge of accurately simulating precipitation. TSMP1 and ICON generally agree on positive ET biases in southern and western Europe and negative biases in the north and east, wit</w:t>
      </w:r>
    </w:p>
    <w:p>
      <w:pPr/>
      <w:r>
        <w:rPr>
          <w:b/>
        </w:rPr>
        <w:t>POSSIBLE 2025:</w:t>
      </w:r>
      <w:r>
        <w:t xml:space="preserve"> Investigating the future urban climates of European cities using an ensemble of convection permitting regional climate models — https://doi.org/10.5194/egusphere-egu25-1307</w:t>
      </w:r>
    </w:p>
    <w:p>
      <w:pPr/>
      <w:r>
        <w:rPr>
          <w:b/>
        </w:rPr>
        <w:t>Shared claim-specific concepts:</w:t>
      </w:r>
      <w:r>
        <w:t xml:space="preserve"> regional, climate, used, potential, temperature; EU scope visible. This is a provisional connection, not an outcome finding.</w:t>
      </w:r>
    </w:p>
    <w:p>
      <w:pPr>
        <w:pStyle w:val="SourceNote"/>
      </w:pPr>
      <w:r>
        <w:rPr>
          <w:b/>
        </w:rPr>
        <w:t>Available abstract (not full text):</w:t>
      </w:r>
      <w:r>
        <w:t xml:space="preserve"> Urban areas modify natural land surfaces through the artificialization and sealing of surfaces, which has an impact on their exchanges of energy, water and momentum with the atmosphere. These modifications create specific meteorological conditions in cities, generally referred to as “urban climate”. The most notable – and most studied – climate effect of urbanisation is the increase in nighttime near surface air temperature, known as the Urban Heat Island (UHI).Future climate change projections are most often derived from Global Climate Models (GCMs), which are downscaled to the regional scale using statistical tools, or by limited-area regional climate models (RCMs). Because of their horizontal resolution, which often remains too coarse, RCMs cannot represent most urban areas adequately and, as a result, little is known about projected changes in UHIs in the future. A few studies have examined the projected evolution of UHIs in the context of climate change using different approaches ranging from GCMs and RCMs to high-resolution land surface models, but with little agreement between studies and great sensitivity to the city analyzed, its climate and, more particularly, the downscaling approach used.The latest generation of RCMs, known as Convection Permitting Regional Climate Models (CPMs), now reach horizontal resolutions of the order of a few kilometers, and can be coupled w</w:t>
      </w:r>
    </w:p>
    <w:p>
      <w:pPr/>
      <w:r>
        <w:rPr>
          <w:b/>
        </w:rPr>
        <w:t>POSSIBLE 2025:</w:t>
      </w:r>
      <w:r>
        <w:t xml:space="preserve"> Urban-rural climate representation in convection-permitting regional climate model simulation in Europe — https://doi.org/10.5194/egusphere-egu25-16910</w:t>
      </w:r>
    </w:p>
    <w:p>
      <w:pPr/>
      <w:r>
        <w:rPr>
          <w:b/>
        </w:rPr>
        <w:t>Shared claim-specific concepts:</w:t>
      </w:r>
      <w:r>
        <w:t xml:space="preserve"> regional, climate; EU scope visible. This is a provisional connection, not an outcome finding.</w:t>
      </w:r>
    </w:p>
    <w:p>
      <w:pPr>
        <w:pStyle w:val="SourceNote"/>
      </w:pPr>
      <w:r>
        <w:rPr>
          <w:b/>
        </w:rPr>
        <w:t>Available abstract (not full text):</w:t>
      </w:r>
      <w:r>
        <w:t xml:space="preserve"> The representation of complex urban environments and their climates highlights a key advancement in present-day regional climate modeling. City climates differ from their surrounding regional climates in various ways, e.g., through increased temperatures and reduced evapotranspiration. The development of convection-permitting regional climate model (CPRCM) simulations allow us to resolve urban areas and their climatic phenomena, such as the urban heat island effect, in contrast to their rural surroundings more precisely. However, with increasing resolution, the complex terrain and characteristics of cities must be adequately represented.The EU Horizon project Impetus4Change (https://impetus4change.eu) aims to improve the quality, accessibility and usability of near-term climate information and services at local to regional scales. The project utilises dynamically downscaled regional climate models (RCMs) to produce very high-resolution (3 km) simulations for urban areas across Europe. To achieve this, we integrate the Town Energy Balance model (TEB; Masson, 2000), a single-layer urban canopy model, into the RCM REMO to simulate urban climates and urban-rural interactions under transient climate change conditions.Compared to a previously bulk urban form in REMO, TEB introduces distinctive urban features, such as an urban canyon with roofs, walls and roads. This allows for a more</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regional, climate, temperature;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Changes in universal thermal climate index from regional climate model projections over European beaches — https://doi.org/10.1016/j.cliser.2024.100447</w:t>
      </w:r>
    </w:p>
    <w:p>
      <w:pPr/>
      <w:r>
        <w:rPr>
          <w:b/>
        </w:rPr>
        <w:t>Shared claim-specific concepts:</w:t>
      </w:r>
      <w:r>
        <w:t xml:space="preserve"> regional, climate, period; EU scope visible. This is a provisional connection, not an outcome finding.</w:t>
      </w:r>
    </w:p>
    <w:p>
      <w:pPr>
        <w:pStyle w:val="SourceNote"/>
      </w:pPr>
      <w:r>
        <w:rPr>
          <w:b/>
        </w:rPr>
        <w:t>Available abstract (not full text):</w:t>
      </w:r>
      <w:r>
        <w:t xml:space="preserve"> Millions of people travel to European beaches making beach tourism the largest tourism sector. Understanding how person’s thermal comfort changes with projected climate change, which is paramount in deciding where and when to visit, can help the tourism sector mitigate risk and identify opportunities. Sustainable adaptation strategies for coastal tourism can be developed for different regional changes. This work calculates the Universal Thermal Comfort Index (UTCI), a comprehensive assessment of the human physiological response to the thermal environment, from an ensemble of regional climate models participating in EURO-CORDEX. Under Representative Concentration Pathways (RCP) 8.5, the ensemble’s projections of the UTCI in the near- and far-future, compared to a historical reference period, show a robust and statistically significant increase across the entire EURO-CORDEX domain. Four popular beach regions in Germany, Italy, France, and Spain show the beach season can be extended - starting earlier and ending later each year. Across the Mediterranean, July and August exhibit, on average, 4 more days of ‘very strong’ heat stress and 1 day of ‘extreme’ heat stress at the end of the century. In accordance with FAIR data science principles, the UTCI calculation is available in the xclim open-source python library.</w:t>
      </w:r>
    </w:p>
    <w:p>
      <w:pPr/>
      <w:r>
        <w:rPr>
          <w:b/>
        </w:rPr>
        <w:t>POSSIBLE 2024:</w:t>
      </w:r>
      <w:r>
        <w:t xml:space="preserve"> High-resolution LGM climate of Europe and the Alpine region using the regional climate model WRF — https://doi.org/10.5194/cp-20-449-2024</w:t>
      </w:r>
    </w:p>
    <w:p>
      <w:pPr/>
      <w:r>
        <w:rPr>
          <w:b/>
        </w:rPr>
        <w:t>Shared claim-specific concepts:</w:t>
      </w:r>
      <w:r>
        <w:t xml:space="preserve"> regional, climate, used, temperature; EU scope visible. This is a provisional connection, not an outcome finding.</w:t>
      </w:r>
    </w:p>
    <w:p>
      <w:pPr>
        <w:pStyle w:val="SourceNote"/>
      </w:pPr>
      <w:r>
        <w:rPr>
          <w:b/>
        </w:rPr>
        <w:t>Available abstract (not full text):</w:t>
      </w:r>
      <w:r>
        <w:t xml:space="preserve"> Abstract. In this study we present a series of sensitivity experiments conducted for the Last Glacial Maximum (LGM, ~21000 years ago) over Europe using the regional climate Weather Research and Forecasting model (WRF). Using a 4 step 2-way nesting approach, we are able to reach a convection-permitting horizontal resolution over the inner part of the study area, covering Central Europe and the Alpine region. The main objective of the paper is to evaluate a model version including a series of new developments better suitable for the simulation of paleo-glacial time slices with respect to the ones employed in former studies. The evaluation of the model is conducted against newly available pollen-based reconstructions of the LGM European climate and takes into account the effect of two main sources of model uncertainty: a different height of continental glaciers at higher latitudes of the northern hemisphere and different land cover. Model results are in good agreement with evidence from the proxies, in particular for temperatures. Importantly, the consideration of different ensemble members for characterizing model uncertainty allows to increase the agreement of the model against the proxy reconstructions that would be obtained when considering a single model realization. The spread of the produced ensemble is relatively small for temperature, beside areas surrounding glaciers in </w:t>
      </w:r>
    </w:p>
    <w:p>
      <w:pPr/>
      <w:r>
        <w:rPr>
          <w:b/>
        </w:rPr>
        <w:t>POSSIBLE 2023:</w:t>
      </w:r>
      <w:r>
        <w:t xml:space="preserve"> Short-term temperature variability in regional climate models in Europe — https://doi.org/10.5194/egusphere-egu23-9447</w:t>
      </w:r>
    </w:p>
    <w:p>
      <w:pPr/>
      <w:r>
        <w:rPr>
          <w:b/>
        </w:rPr>
        <w:t>Shared claim-specific concepts:</w:t>
      </w:r>
      <w:r>
        <w:t xml:space="preserve"> regional, climate, temperature, period; EU scope visible. This is a provisional connection, not an outcome finding.</w:t>
      </w:r>
    </w:p>
    <w:p>
      <w:pPr>
        <w:pStyle w:val="SourceNote"/>
      </w:pPr>
      <w:r>
        <w:rPr>
          <w:b/>
        </w:rPr>
        <w:t>Available abstract (not full text):</w:t>
      </w:r>
      <w:r>
        <w:t xml:space="preserve"> While long-term changes in mean values and extremes of temperature have been analysed from all possible points of view, changes in temperature variability have received far less attention. Trends in variability are, however, important, among others because their interaction with trends in mean values determines the degree with which extremes would change. For a reliable estimation of future changes of variability, it is therefore crucial that climate models simulate its characteristics correctly. This contribution presents the analysis of 4 short-term (i.e. intra-seasonal) variability measures of daily mean temperature in outputs of regional climate models driven by a reanalysis. The utilized measures of variability are standard deviation, the range between the 90th and 10th quantile, one-day lagged temporal autocorrelation, and mean absolute value of day-to-day change. The ability of twelve regional climate models from Euro-CORDEX initiative driven by the ERA Interim reanalysis to simulate the temperature variability characteristics was examined over Europe for all climatological seasons in the period from 1989 to 2008. The temperature variability in the RCMs was validated against the driving ERA Interim reanalysis and station data from the ECA&amp;D.</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regional, climate, used, investigate, period;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Biasadjusted Regional Climate Model Data for Europe - Temperature — https://doi.org/10.5281/zenodo.7541816</w:t>
      </w:r>
    </w:p>
    <w:p>
      <w:pPr/>
      <w:r>
        <w:rPr>
          <w:b/>
        </w:rPr>
        <w:t>Shared claim-specific concepts:</w:t>
      </w:r>
      <w:r>
        <w:t xml:space="preserve"> regional, climate, used, temperature; EU scope visible. This is a provisional connection, not an outcome finding.</w:t>
      </w:r>
    </w:p>
    <w:p>
      <w:pPr>
        <w:pStyle w:val="SourceNote"/>
      </w:pPr>
      <w:r>
        <w:rPr>
          <w:b/>
        </w:rPr>
        <w:t>Available abstract (not full text):</w:t>
      </w:r>
      <w:r>
        <w:t xml:space="preserve"> This repository contains the bias-adjusted temperature data used in the production of numbers and figures contained in our research article entitled "Climate-based identification of suitable cropping areas for giant reed and reed canary grass on marginal land in central and southern Europe under climate change". Ferdini S., von Cossel M., Wulfmeyer V., Warrach-Sagi K. (2023) Climate-based identification of suitable cropping areas for giant reed and reed canary grass on marginal land in central and southern Europe under climate change. Global Change Biology - Bioenergy.</w:t>
      </w:r>
    </w:p>
    <w:p>
      <w:pPr/>
      <w:r>
        <w:rPr>
          <w:b/>
        </w:rPr>
        <w:t>POSSIBLE 2023:</w:t>
      </w:r>
      <w:r>
        <w:t xml:space="preserve"> Biasadjusted Regional Climate Model Data for Europe - Precipitation — https://doi.org/10.5281/zenodo.7564886</w:t>
      </w:r>
    </w:p>
    <w:p>
      <w:pPr/>
      <w:r>
        <w:rPr>
          <w:b/>
        </w:rPr>
        <w:t>Shared claim-specific concepts:</w:t>
      </w:r>
      <w:r>
        <w:t xml:space="preserve"> regional, climate, used; EU scope visible. This is a provisional connection, not an outcome finding.</w:t>
      </w:r>
    </w:p>
    <w:p>
      <w:pPr>
        <w:pStyle w:val="SourceNote"/>
      </w:pPr>
      <w:r>
        <w:rPr>
          <w:b/>
        </w:rPr>
        <w:t>Available abstract (not full text):</w:t>
      </w:r>
      <w:r>
        <w:t xml:space="preserve"> This repository contains the bias-adjusted precipitation data used in the production of numbers and figures contained in our research article entitled "Climate-based identification of suitable cropping areas for giant reed and reed canary grass on marginal land in central and southern Europe under climate change". Ferdini S., von Cossel M., Wulfmeyer V., Warrach-Sagi K. (2023) Climate-based identification of suitable cropping areas for giant reed and reed canary grass on marginal land in central and southern Europe under climate change. Global Change Biology - Bioenergy.</w:t>
      </w:r>
    </w:p>
    <w:p>
      <w:pPr/>
      <w:r>
        <w:rPr>
          <w:b/>
        </w:rPr>
        <w:t>POSSIBLE 2023:</w:t>
      </w:r>
      <w:r>
        <w:t xml:space="preserve"> Comprehensive dataset assessing extreme winds over Europe in Regional Climate Models — https://doi.org/10.5194/egusphere-egu23-11670</w:t>
      </w:r>
    </w:p>
    <w:p>
      <w:pPr/>
      <w:r>
        <w:rPr>
          <w:b/>
        </w:rPr>
        <w:t>Shared claim-specific concepts:</w:t>
      </w:r>
      <w:r>
        <w:t xml:space="preserve"> regional, climate, used, period; EU scope visible. This is a provisional connection, not an outcome finding.</w:t>
      </w:r>
    </w:p>
    <w:p>
      <w:pPr>
        <w:pStyle w:val="SourceNote"/>
      </w:pPr>
      <w:r>
        <w:rPr>
          <w:b/>
        </w:rPr>
        <w:t>Available abstract (not full text):</w:t>
      </w:r>
      <w:r>
        <w:t xml:space="preserve"> Extreme events cause vast amounts of damage across Europe every year, with heavy rainfall events often causing the greatest loss of life and extreme wind events often causing the greatest financial losses. The accurate projection of the changes in extreme winds will continues to be invaluable for many industries, including insurance, construction, energy, and afforestation. Adaptation planning requires the estimation of how the magnitude and frequency of extreme events, including extreme winds, will vary in the future.Extreme winds were examined in a selection of 15 Euro-CORDEX simulations. The peaks-over-threshold approach was used identify the extreme events based on the fitted Generalized Pareto Distributions (GPD), and maps of 30-year return winds for all locations over Europe were derived. Future changes in the frequency of extreme winds were assessed for Northern, Central, and Sothern Europe for three future periods, being the near, mid, and end of this century. The results show that the frequency of extreme wind events will increase from one period to the next over the 21st century in all three regions of Europe.Recently, a new dataset has been created by extending the analysis to 52 of the Euro-CORDEX simulations, each a unique combination of global and regional model, using both the peaks-over-threshold and annual maxima methods. Since these simulations include multipl</w:t>
      </w:r>
    </w:p>
    <w:p>
      <w:pPr>
        <w:pStyle w:val="Heading2"/>
      </w:pPr>
      <w:r>
        <w:t>873. Consequences of Enduring Low Fertility – A German Case Study. Demographic Projections and Implications for Different Policy Fields</w:t>
      </w:r>
    </w:p>
    <w:p>
      <w:pPr>
        <w:pStyle w:val="SourceNote"/>
      </w:pPr>
      <w:r>
        <w:rPr>
          <w:b/>
        </w:rPr>
        <w:t>Original source (2015):</w:t>
      </w:r>
      <w:r>
        <w:t xml:space="preserve"> https://doi.org/10.12765/cpos-2015-06</w:t>
      </w:r>
    </w:p>
    <w:p>
      <w:pPr/>
      <w:r>
        <w:t>Original wording (abstract; indexed_source_text_not_full_document_verified): Ageing is a more severe problem than shrinking, because the severe changes in the age structure in the social security system that will take place until 2040 apply to most Germans and are inevitable.</w:t>
      </w:r>
    </w:p>
    <w:p>
      <w:pPr/>
      <w:r>
        <w:rPr>
          <w:b/>
        </w:rPr>
        <w:t>POSSIBLE 2026:</w:t>
      </w:r>
      <w:r>
        <w:t xml:space="preserve"> Books: The Golden Rule: Lessons in Living from a Doctor of Ageing — https://doi.org/10.3399/bjgp26x746265</w:t>
      </w:r>
    </w:p>
    <w:p>
      <w:pPr/>
      <w:r>
        <w:rPr>
          <w:b/>
        </w:rPr>
        <w:t>Shared claim-specific concepts:</w:t>
      </w:r>
      <w:r>
        <w:t xml:space="preserve"> ageing, severe, problem, age; EU scope not established. This is a provisional connection, not an outcome finding.</w:t>
      </w:r>
    </w:p>
    <w:p>
      <w:pPr>
        <w:pStyle w:val="SourceNote"/>
      </w:pPr>
      <w:r>
        <w:rPr>
          <w:b/>
        </w:rPr>
        <w:t>Available abstract (not full text):</w:t>
      </w:r>
      <w:r>
        <w:t xml:space="preserve"> Pollock Lucy, 2025. The Golden Rule: Lessons in Living from a Doctor of Ageing. PB: Penguin, 978-1405953245. 352. 10.99. ![Graphic][1] A 90-year-old woman presents with resistant hypertension, already suffering the side effects and interactions of her long list of prescribed medications. Another, following a fall while in residential care, presents with immobility, cardiovascular disease, severe heart failure, cognitive decline, and osteoarthritis. The acute medical admissions are overwhelmed by patients presenting with the dual problem of complexity and advanced age. Do we treat the patient or the condition? How do we decide what is right for the individual patient? Twenty per cent of global health care is of no benefit to the patient, with this figure rising as we age.1 The evidence base for this heterogenous group is non-existent, since the gold standard randomised controlled trial is unlikely to have included people with the interplay of such a plethora of problems. Familiar? Where do we go for guidance? I suggest we turn to the practical wisdom and experience, common sense, and deep understanding of the patient’s perspective that Lucy Pollock so skilfully explores in her latest book. ‘Plan A stay young forever, and Plan B read this book’ is boldly stated on the back cover. Given Plan A is a no go, implement Plan B, as this book comprehensively covers the need to think syst</w:t>
      </w:r>
    </w:p>
    <w:p>
      <w:pPr/>
      <w:r>
        <w:rPr>
          <w:b/>
        </w:rPr>
        <w:t>POSSIBLE 2025:</w:t>
      </w:r>
      <w:r>
        <w:t xml:space="preserve"> Democracy, Ageing, Disability — https://doi.org/10.17454/pam-2811</w:t>
      </w:r>
    </w:p>
    <w:p>
      <w:pPr/>
      <w:r>
        <w:rPr>
          <w:b/>
        </w:rPr>
        <w:t>Shared claim-specific concepts:</w:t>
      </w:r>
      <w:r>
        <w:t xml:space="preserve"> ageing, severe, problem, age; EU scope not established. This is a provisional connection, not an outcome finding.</w:t>
      </w:r>
    </w:p>
    <w:p>
      <w:pPr>
        <w:pStyle w:val="SourceNote"/>
      </w:pPr>
      <w:r>
        <w:rPr>
          <w:b/>
        </w:rPr>
        <w:t>Available abstract (not full text):</w:t>
      </w:r>
      <w:r>
        <w:t xml:space="preserve"> In this paper, we discuss the democratic inclusion of individuals with severe cognitive disabilities and in advanced age with a severe decline of cognitive capacities. Without entering in the question whether the latter condition can be conceptually subsumed in the former, we deem that they present analogous problems from the perspectives of justice. Thus, it is helpful to discuss them together. We specifically comment on the inclusion in democratic processes of individuals that lack a high degree of cognitive capacities. The fundamental problem is present in theories of justice that require such capacities for inclusion of persons as equals in political processes. Such is the demanding deliberative democratic proposal of social contract theories, such as John Rawls’s. Worries of exclusion regard two stages of reasoning about justice. The first is the theoretical stage where decisions are made about which individuals should be included in the scope of justice. Although this stage is shaped around the hypothetical reasoning of reasonable and rational persons, there is no decisive reason to exclude individuals with severe cognitive disabilities as beneficiaries of justice. On the contrary, if commonly shared judgments require such inclusion, then this demand shapes the social contract hypothetical reasoning. There are also no decisive reasons why a deliberative democratic theory </w:t>
      </w:r>
    </w:p>
    <w:p>
      <w:pPr/>
      <w:r>
        <w:rPr>
          <w:b/>
        </w:rPr>
        <w:t>POSSIBLE 2024:</w:t>
      </w:r>
      <w:r>
        <w:t xml:space="preserve"> Changes in the cortical GABAergic inhibitory system with ageing and ageing‐related neurodegenerative diseases — https://doi.org/10.1113/jp285656</w:t>
      </w:r>
    </w:p>
    <w:p>
      <w:pPr/>
      <w:r>
        <w:rPr>
          <w:b/>
        </w:rPr>
        <w:t>Shared claim-specific concepts:</w:t>
      </w:r>
      <w:r>
        <w:t xml:space="preserve"> ageing, system; EU scope not established. This is a provisional connection, not an outcome finding.</w:t>
      </w:r>
    </w:p>
    <w:p>
      <w:pPr>
        <w:pStyle w:val="SourceNote"/>
      </w:pPr>
      <w:r>
        <w:rPr>
          <w:b/>
        </w:rPr>
        <w:t>Available abstract (not full text):</w:t>
      </w:r>
      <w:r>
        <w:t xml:space="preserve"> The human cortical inhibitory system is known to play a vital role for normal brain development, function, and plasticity. GABA is the most prominent inhibitory neurotransmitter in the CNS and is a key regulator not only for motor control and motor learning, but also for cognitive processes. With ageing and many neurodegenerative pathologies, a decline in GABAergic function in several cortical regions together with a reduced ability to task-specifically modulate and increase inhibition in the primary motor cortex has been observed. This decline in intracortical inhibition is associated with impaired motor control but also with diminished motor-cognitive (i.e. dual-tasking) and cognitive performance (e.g. executive functions). Furthermore, more general well-being such as sleep quality, stress resistance or non-specific pain perception are also associated with reduced GABA functioning. The current review highlights the interplay between changes in GABAergic function and changes in motor control, motor-cognitive and cognitive performance associated with healthy ageing, as well as in seniors with neurodegenerative diseases such as mild cognitive impairment. Furthermore, recent evidence highlighting the ability to up- or downregulate cortical inhibition by means of physical exercise programs is presented and discussed.</w:t>
      </w:r>
    </w:p>
    <w:p>
      <w:pPr/>
      <w:r>
        <w:rPr>
          <w:b/>
        </w:rPr>
        <w:t>POSSIBLE 2023:</w:t>
      </w:r>
      <w:r>
        <w:t xml:space="preserve"> Ageing-associated changes in transcriptional elongation influence longevity — https://doi.org/10.1038/s41586-023-05922-y</w:t>
      </w:r>
    </w:p>
    <w:p>
      <w:pPr/>
      <w:r>
        <w:rPr>
          <w:b/>
        </w:rPr>
        <w:t>Shared claim-specific concepts:</w:t>
      </w:r>
      <w:r>
        <w:t xml:space="preserve"> ageing, age; EU scope not established. This is a provisional connection, not an outcome finding.</w:t>
      </w:r>
    </w:p>
    <w:p>
      <w:pPr>
        <w:pStyle w:val="SourceNote"/>
      </w:pPr>
      <w:r>
        <w:rPr>
          <w:b/>
        </w:rPr>
        <w:t>Available abstract (not full text):</w:t>
      </w:r>
      <w:r>
        <w:t xml:space="preserve"> Abstract Physiological homeostasis becomes compromised during ageing, as a result of impairment of cellular processes, including transcription and RNA splicing 1–4 . However, the molecular mechanisms leading to the loss of transcriptional fidelity are so far elusive, as are ways of preventing it. Here we profiled and analysed genome-wide, ageing-related changes in transcriptional processes across different organisms: nematodes, fruitflies, mice, rats and humans. The average transcriptional elongation speed (RNA polymerase II speed) increased with age in all five species. Along with these changes in elongation speed, we observed changes in splicing, including a reduction of unspliced transcripts and the formation of more circular RNAs. Two lifespan-extending interventions, dietary restriction and lowered insulin–IGF signalling, both reversed most of these ageing-related changes. Genetic variants in RNA polymerase II that reduced its speed in worms 5 and flies 6 increased their lifespan. Similarly, reducing the speed of RNA polymerase II by overexpressing histone components, to counter age-associated changes in nucleosome positioning, also extended lifespan in flies and the division potential of human cells. Our findings uncover fundamental molecular mechanisms underlying animal ageing and lifespan-extending interventions, and point to possible preventive measures.</w:t>
      </w:r>
    </w:p>
    <w:p>
      <w:pPr/>
      <w:r>
        <w:rPr>
          <w:b/>
        </w:rPr>
        <w:t>POSSIBLE 2023:</w:t>
      </w:r>
      <w:r>
        <w:t xml:space="preserve"> Ageing as a software design flaw — https://doi.org/10.1186/s13059-023-02888-y</w:t>
      </w:r>
    </w:p>
    <w:p>
      <w:pPr/>
      <w:r>
        <w:rPr>
          <w:b/>
        </w:rPr>
        <w:t>Shared claim-specific concepts:</w:t>
      </w:r>
      <w:r>
        <w:t xml:space="preserve"> ageing, because, age, inevitable; EU scope not established. This is a provisional connection, not an outcome finding.</w:t>
      </w:r>
    </w:p>
    <w:p>
      <w:pPr>
        <w:pStyle w:val="SourceNote"/>
      </w:pPr>
      <w:r>
        <w:rPr>
          <w:b/>
        </w:rPr>
        <w:t>Available abstract (not full text):</w:t>
      </w:r>
      <w:r>
        <w:t xml:space="preserve"> Ageing is inherent to all human beings, yet why we age remains a hotly contested topic. Most mechanistic explanations of ageing posit that ageing is caused by the accumulation of one or more forms of molecular damage. Here, I propose that we age not because of inevitable damage to the hardware but rather because of intrinsic design flaws in the software, defined as the DNA code that orchestrates how a single cell develops into an adult organism. As the developmental software runs, its sequence of events is reflected in shifting cellular epigenetic states. Overall, I suggest that to understand ageing we need to decode our software and the flow of epigenetic information throughout the life course.</w:t>
      </w:r>
    </w:p>
    <w:p>
      <w:pPr/>
      <w:r>
        <w:rPr>
          <w:b/>
        </w:rPr>
        <w:t>POSSIBLE 2023:</w:t>
      </w:r>
      <w:r>
        <w:t xml:space="preserve"> Ageing mediates the association between serum testosterone and severe abdominal aortic calcification — https://doi.org/10.21203/rs.3.rs-3788103/v1</w:t>
      </w:r>
    </w:p>
    <w:p>
      <w:pPr/>
      <w:r>
        <w:rPr>
          <w:b/>
        </w:rPr>
        <w:t>Shared claim-specific concepts:</w:t>
      </w:r>
      <w:r>
        <w:t xml:space="preserve"> ageing, severe, age; EU scope not established. This is a provisional connection, not an outcome finding.</w:t>
      </w:r>
    </w:p>
    <w:p>
      <w:pPr>
        <w:pStyle w:val="SourceNote"/>
      </w:pPr>
      <w:r>
        <w:rPr>
          <w:b/>
        </w:rPr>
        <w:t>Available abstract (not full text):</w:t>
      </w:r>
      <w:r>
        <w:t xml:space="preserve"> Abstract BackgroundAbdominal aortic calcification (AAC) is acknowledged as a significant contributor to cardiovascular morbidity and mortality. However, the association between sex steroid hormones and the AAC is not well defined. PurposeOur study aims to investigate the previously unexplored link between serum sex steroid hormone levels and severe AAC within the National Health and Nutrition Examination Survey (NHANES) cohort, potentially shedding light on innovative treatment approaches. Methods The cross-sectional study utilized data from NHANES conducted between 2013-2014. A total of 1852 participants were included in the study. The severity of AAC was determined using the AAC 24-point scale, also known as the Kauppila calcification score. The serum sex steroid hormones assessed in this study included testosterone, estradiol, and sex hormone binding globulin (SHBG). These hormones were categorized into quintiles for subsequent analysis. Weighted multiple regression analyses were employed to investigate the potential relationship between serum sex steroid hormones and the occurrence of severe AAC. Additionally, subgroup and mediation analyses were conducted to ensure the robustness and validity of the findings. ResultsFor 1852 enrolled individuals, the prevalence of severe AAC stood at 8.00%. Serum sex steroid hormones levels were stratified into quintiles. The average value</w:t>
      </w:r>
    </w:p>
    <w:p>
      <w:pPr/>
      <w:r>
        <w:rPr>
          <w:b/>
        </w:rPr>
        <w:t>POSSIBLE 2021:</w:t>
      </w:r>
      <w:r>
        <w:t xml:space="preserve"> Ageing and ocular problems — https://doi.org/10.1556/2066.2021.00042</w:t>
      </w:r>
    </w:p>
    <w:p>
      <w:pPr/>
      <w:r>
        <w:rPr>
          <w:b/>
        </w:rPr>
        <w:t>Shared claim-specific concepts:</w:t>
      </w:r>
      <w:r>
        <w:t xml:space="preserve"> ageing, problem, system; EU scope not established. This is a provisional connection, not an outcome finding.</w:t>
      </w:r>
    </w:p>
    <w:p>
      <w:pPr>
        <w:pStyle w:val="SourceNote"/>
      </w:pPr>
      <w:r>
        <w:rPr>
          <w:b/>
        </w:rPr>
        <w:t>Available abstract (not full text):</w:t>
      </w:r>
      <w:r>
        <w:t xml:space="preserve"> Abstract Ageing is a common problem in modern societies. Due to sophisticated new methods in medicine, the average life expectancy significantly increased in recent years. 70 is the new 50. The new principles of food intake and processing, more exercise, and less smoking contributed to a health benefits and a longer life span of human kind. Nevertheless, there are the special problems of ageing. Numerous dysfunctions of the body may arise affecting a broad range of organs and the musculoskeletal system. The eye can also be severely affected by ageing. Vision gained more importance recently especially during the COVID-19 pandemic. Elderly people who never used computers before, had to learn computer technology in order to communicate with their family and to accomplish their everyday tasks or pay their bills. Therefore, good near vision has become crucial for elderly people. In this review article the most common ageing problems of the eye, therapies and pathophysiology of ageing processes will be reviewed and discussed. There are physiological problems of ageing and there are ocular pathologies which can be treated efficiently in time to preserve near and far visual acuity.</w:t>
      </w:r>
    </w:p>
    <w:p>
      <w:pPr/>
      <w:r>
        <w:rPr>
          <w:b/>
        </w:rPr>
        <w:t>POSSIBLE 2021:</w:t>
      </w:r>
      <w:r>
        <w:t xml:space="preserve"> The role of the medial prefrontal cortex in cognition, ageing and dementia — https://doi.org/10.1093/braincomms/fcab125</w:t>
      </w:r>
    </w:p>
    <w:p>
      <w:pPr/>
      <w:r>
        <w:rPr>
          <w:b/>
        </w:rPr>
        <w:t>Shared claim-specific concepts:</w:t>
      </w:r>
      <w:r>
        <w:t xml:space="preserve"> ageing; EU scope not established. This is a provisional connection, not an outcome finding.</w:t>
      </w:r>
    </w:p>
    <w:p>
      <w:pPr>
        <w:pStyle w:val="SourceNote"/>
      </w:pPr>
      <w:r>
        <w:rPr>
          <w:b/>
        </w:rPr>
        <w:t>Available abstract (not full text):</w:t>
      </w:r>
      <w:r>
        <w:t xml:space="preserve"> Humans require a plethora of higher cognitive skills to perform executive functions, such as reasoning, planning, language and social interactions, which are regulated predominantly by the prefrontal cortex. The prefrontal cortex comprises the lateral, medial and orbitofrontal regions. In higher primates, the lateral prefrontal cortex is further separated into the respective dorsal and ventral subregions. However, all these regions have variably been implicated in several fronto-subcortical circuits. Dysfunction of these circuits has been highlighted in vascular and other neurocognitive disorders. Recent advances suggest the medial prefrontal cortex plays an important regulatory role in numerous cognitive functions, including attention, inhibitory control, habit formation and working, spatial or long-term memory. The medial prefrontal cortex appears highly interconnected with subcortical regions (thalamus, amygdala and hippocampus) and exerts top-down executive control over various cognitive domains and stimuli. Much of our knowledge comes from rodent models using precise lesions and electrophysiology readouts from specific medial prefrontal cortex locations. Although, anatomical disparities of the rodent medial prefrontal cortex compared to the primate homologue are apparent, current rodent models have effectively implicated the medial prefrontal cortex as a neural substrate o</w:t>
      </w:r>
    </w:p>
    <w:p>
      <w:pPr/>
      <w:r>
        <w:rPr>
          <w:b/>
        </w:rPr>
        <w:t>POSSIBLE 2020:</w:t>
      </w:r>
      <w:r>
        <w:t xml:space="preserve"> Central and Peripheral Neuromuscular Adaptations to Ageing — https://doi.org/10.3390/jcm9030741</w:t>
      </w:r>
    </w:p>
    <w:p>
      <w:pPr/>
      <w:r>
        <w:rPr>
          <w:b/>
        </w:rPr>
        <w:t>Shared claim-specific concepts:</w:t>
      </w:r>
      <w:r>
        <w:t xml:space="preserve"> ageing, severe, system; EU scope not established. This is a provisional connection, not an outcome finding.</w:t>
      </w:r>
    </w:p>
    <w:p>
      <w:pPr>
        <w:pStyle w:val="SourceNote"/>
      </w:pPr>
      <w:r>
        <w:rPr>
          <w:b/>
        </w:rPr>
        <w:t>Available abstract (not full text):</w:t>
      </w:r>
      <w:r>
        <w:t xml:space="preserve"> Ageing is accompanied by a severe muscle function decline presumably caused by structural and functional adaptations at the central and peripheral level. Although researchers have reported an extensive analysis of the alterations involving muscle intrinsic properties, only a limited number of studies have recognised the importance of the central nervous system, and its reorganisation, on neuromuscular decline. Neural changes, such as degeneration of the human cortex and function of spinal circuitry, as well as the remodelling of the neuromuscular junction and motor units, appear to play a fundamental role in muscle quality decay and culminate with considerable impairments in voluntary activation and motor performance. Modern diagnostic techniques have provided indisputable evidence of a structural and morphological rearrangement of the central nervous system during ageing. Nevertheless, there is no clear insight on how such structural reorganisation contributes to the age-related functional decline and whether it is a result of a neural malfunction or serves as a compensatory mechanism to preserve motor control and performance in the elderly population. Combining leading-edge techniques such as high-density surface electromyography (EMG) and improved diagnostic procedures such as functional magnetic resonance imaging (fMRI) or high-resolution electroencephalography (EEG) could </w:t>
      </w:r>
    </w:p>
    <w:p>
      <w:pPr/>
      <w:r>
        <w:rPr>
          <w:b/>
        </w:rPr>
        <w:t>POSSIBLE 2020:</w:t>
      </w:r>
      <w:r>
        <w:t xml:space="preserve"> Influence of NAD+ as an ageing-related immunomodulator on COVID 19 infection: A hypothesis — https://doi.org/10.1016/j.jiph.2020.06.004</w:t>
      </w:r>
    </w:p>
    <w:p>
      <w:pPr/>
      <w:r>
        <w:rPr>
          <w:b/>
        </w:rPr>
        <w:t>Shared claim-specific concepts:</w:t>
      </w:r>
      <w:r>
        <w:t xml:space="preserve"> ageing, severe, because, system; EU scope not established. This is a provisional connection, not an outcome finding.</w:t>
      </w:r>
    </w:p>
    <w:p>
      <w:pPr>
        <w:pStyle w:val="SourceNote"/>
      </w:pPr>
      <w:r>
        <w:rPr>
          <w:b/>
        </w:rPr>
        <w:t>Available abstract (not full text):</w:t>
      </w:r>
      <w:r>
        <w:t xml:space="preserve"> The aging-associated decline of biological functions represents an important contributor to the increase in morbidity and mortality of human beings. Of these biological functions deterioration; there is a significant decline in the heart function, impairments in the lungs gas exchange, and impairments in the immune function. Many alterations in the body humeral and cellular immune response were observed with ageing process: The circulating pro-inflammatory cytokines are increased, the naive lymphocytes are decreased, the numbers of the antigen-presenting cells areelevated and the overall response is impaired. In addition, ageing is associated with a progressive restriction in the telomere length. Telomeres are located at chromosomes ends and play an essential role in preserving chromosome stability. Also, telomere length is very important to the immune system, because of the high sensitivity of the immune cells to the shortening of telomeres. Telomeres shortening adversely affect the immune cells' function and developments. These adverse changes increased the susceptibility for severe infection, risk of hospitalization, and even death. Elderly COVID-19 patients are at a real risk of complications due to impaired immune function, cytokine storm and defective respiratory function. Administration of anti-ageing immunomodulation factors like Nicotinamide Adenine Dinucleotide NAD+ c</w:t>
      </w:r>
    </w:p>
    <w:p>
      <w:pPr/>
      <w:r>
        <w:rPr>
          <w:b/>
        </w:rPr>
        <w:t>POSSIBLE 2019:</w:t>
      </w:r>
      <w:r>
        <w:t xml:space="preserve"> Food Allergies and Ageing — https://doi.org/10.3390/ijms20225580</w:t>
      </w:r>
    </w:p>
    <w:p>
      <w:pPr/>
      <w:r>
        <w:rPr>
          <w:b/>
        </w:rPr>
        <w:t>Shared claim-specific concepts:</w:t>
      </w:r>
      <w:r>
        <w:t xml:space="preserve"> ageing, problem, age, system, until; EU scope not established. This is a provisional connection, not an outcome finding.</w:t>
      </w:r>
    </w:p>
    <w:p>
      <w:pPr>
        <w:pStyle w:val="SourceNote"/>
      </w:pPr>
      <w:r>
        <w:rPr>
          <w:b/>
        </w:rPr>
        <w:t>Available abstract (not full text):</w:t>
      </w:r>
      <w:r>
        <w:t xml:space="preserve"> All over the world, there is an increase in the overall survival of the population and the number of elderly people. The incidence of allergic reactions is also rising worldwide. Until recently, allergies, and in particular food allergies (FAs), was regarded as a pediatric problem, since some of them start in early childhood and may spontaneously disappear in adulthood. It is being discovered that, on the contrary, these problems are increasingly affecting even the elderly. Along with other diseases that are considered characteristics of advanced age, such as cardiovascular, dysmetabolic, autoimmune, neurodegenerative, and oncological diseases, even FAs are increasingly frequent in the elderly. An FA is a pleiomorphic and multifactorial disease, characterized by an abnormal immune response and an impaired gut barrier function. The elderly exhibit distinct FA phenotypes, and diagnosis is difficult due to frequent co-morbidities and uncertainty in the interpretation of in vitro and in vivo tests. Several factors render the elderly susceptible to FAs, including the physiological changes of aging, a decline in gut barrier function, the skewing of adaptive immunity to a Th2 response, dysregulation of innate immune cells, and age-related changes of gut microbiota. Aging is accompanied by a progressive remodeling of immune system functions, leading to an increased pro-inflammatory sta</w:t>
      </w:r>
    </w:p>
    <w:p>
      <w:pPr/>
      <w:r>
        <w:rPr>
          <w:b/>
        </w:rPr>
        <w:t>POSSIBLE 2019:</w:t>
      </w:r>
      <w:r>
        <w:t xml:space="preserve"> Microbiome: Effects of Ageing and Diet — https://doi.org/10.21775/cimb.036.033</w:t>
      </w:r>
    </w:p>
    <w:p>
      <w:pPr/>
      <w:r>
        <w:rPr>
          <w:b/>
        </w:rPr>
        <w:t>Shared claim-specific concepts:</w:t>
      </w:r>
      <w:r>
        <w:t xml:space="preserve"> ageing, age, system, place; EU scope not established. This is a provisional connection, not an outcome finding.</w:t>
      </w:r>
    </w:p>
    <w:p>
      <w:pPr>
        <w:pStyle w:val="SourceNote"/>
      </w:pPr>
      <w:r>
        <w:rPr>
          <w:b/>
        </w:rPr>
        <w:t>Available abstract (not full text):</w:t>
      </w:r>
      <w:r>
        <w:t xml:space="preserve"> The microbial community inhabiting our intestine, known as 'microbiota', and the ensemble of their genomes (microbiome) regulate important functions of the host, being essential for health maintenance. The recent development of next-generation sequencing (NGS) methods has greatly facilitated the study of the microbiota and has contributed to evidence of the strong influence exerted by age and diet. However, the precise way in which the diet and its components modify the functionality of the intestinal microbiome is far from being completely known. Changes in the intestinal microbiota occur during ageing, frequently accompanied by physiological changes of the digestive tract, modification of dietary patterns and impairment of the immune system. Establishing nutritional strategies aiming to counterbalance the specific alterations taking place in the microbiota during ageing would contribute to improved health status in the elderly. This review will analyse changes appearing in the intestinal microbiota from adulthood to old age and their association with dietary patterns and lifestyle factors.</w:t>
      </w:r>
    </w:p>
    <w:p>
      <w:pPr>
        <w:pStyle w:val="Heading2"/>
      </w:pPr>
      <w:r>
        <w:t>874. Developing scenarios for the Norwegian travel industry 2025</w:t>
      </w:r>
    </w:p>
    <w:p>
      <w:pPr>
        <w:pStyle w:val="SourceNote"/>
      </w:pPr>
      <w:r>
        <w:rPr>
          <w:b/>
        </w:rPr>
        <w:t>Original source (2015):</w:t>
      </w:r>
      <w:r>
        <w:t xml:space="preserve"> https://doi.org/10.1108/jtf-12-2014-0018</w:t>
      </w:r>
    </w:p>
    <w:p>
      <w:pPr/>
      <w:r>
        <w:t>Original wording (abstract; indexed_source_text_not_full_document_verified): Accordingly, a common understanding of future drivers and different scenarios for the industry is needed. This resulted in four scenarios: Money Rules, The Urban Diamond, Opportunities for All, and Master Plan.</w:t>
      </w:r>
    </w:p>
    <w:p>
      <w:pPr/>
      <w:r>
        <w:rPr>
          <w:b/>
        </w:rPr>
        <w:t>POSSIBLE 2025:</w:t>
      </w:r>
      <w:r>
        <w:t xml:space="preserve"> The Traditional Understanding of Lawmaking by Appellate Courts — https://doi.org/10.1017/9781009589307.003</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This chapter describes the traditional understanding of the nature of lawmaking by appellate courts in America. Often labeled as formalism, this conception of appellate court lawmaking is understood as being largely objective, highly logical, and fixed in nature. From this perspective, appellate judges were thought, while resolving specific disputes, to be also striving to develop and to refine the existing common law in a given jurisdiction so that it more and more came, over time, to accurately reflect a presumed ideal version of legal regulation. This activity was thought to be very similar in nature to the work of natural sciences when they seek to reconcile specific experimental results with current understandings and thereby move a field of science ever closer to an objectively correct account of the natural world. Accordingly, the ideal version of legal doctrine toward which formalist common law lawmaking aspired was commonly known as the natural law.</w:t>
      </w:r>
    </w:p>
    <w:p>
      <w:pPr/>
      <w:r>
        <w:rPr>
          <w:b/>
        </w:rPr>
        <w:t>POSSIBLE 2025:</w:t>
      </w:r>
      <w:r>
        <w:t xml:space="preserve"> Education–work transition: skill gaps in the construction industry — https://doi.org/10.3389/fbuil.2025.1623609</w:t>
      </w:r>
    </w:p>
    <w:p>
      <w:pPr/>
      <w:r>
        <w:rPr>
          <w:b/>
        </w:rPr>
        <w:t>Shared claim-specific concepts:</w:t>
      </w:r>
      <w:r>
        <w:t xml:space="preserve"> accordingly, common, different, industry, opportunities; EU scope not established. This is a provisional connection, not an outcome finding.</w:t>
      </w:r>
    </w:p>
    <w:p>
      <w:pPr>
        <w:pStyle w:val="SourceNote"/>
      </w:pPr>
      <w:r>
        <w:rPr>
          <w:b/>
        </w:rPr>
        <w:t>Available abstract (not full text):</w:t>
      </w:r>
      <w:r>
        <w:t xml:space="preserve"> This study aimed to assess the skills gap between competency evaluations by employers and the self-perceived competencies of employees within the engineering sector of the construction industry. We also examined the foundational subject matter knowledge of graduate employees and their likelihood of acquiring such knowledge based on different variables like gender, ethnicity, infrastructure quality, and the quality of on-the-job training (OJT). Accordingly, we conducted a cross-sectional survey using a self-administered questionnaire, which was completed by 59 employers and 222 recent graduates. From the perspective of the employers, the findings indicate that the majority of graduates exhibit inadequate proficiency in soft skills, professional competencies, common technical skills, and trade-specific abilities. Furthermore, the graduates demonstrated limited subject matter knowledge, with an average score of only 50.98% on a basic knowledge assessment. The analysis also revealed that graduates with access to high-quality institutional infrastructure and OJT opportunities performed nearly twice as well on the foundational knowledge test compared to those with poorer-quality experiences in these areas. These results highlight the urgent need to revise the technical and vocational education and training (TVET) curriculum as well as strengthen collaborations between training instit</w:t>
      </w:r>
    </w:p>
    <w:p>
      <w:pPr/>
      <w:r>
        <w:rPr>
          <w:b/>
        </w:rPr>
        <w:t>POSSIBLE 2025:</w:t>
      </w:r>
      <w:r>
        <w:t xml:space="preserve"> Understanding Verbal Irony: A Contrastive Analysis of Personal and Informational Common Ground — https://openalex.org/W7112125026</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This study investigates how representations of personal common ground (PCG; viz., close relationships vs. strangers) and informational common ground (ICG; viz., shared world knowledge) interact in shaping a reader’s comprehension of verbal irony in fictional narratives. While previous research has shown that greater familiarity among story characters enhances readers’ comprehension of ironic statements made by the characters (Gibbs, 2000; Kreuz et al., 1999; Kreuz &amp; Link, 2001; Pexman &amp; Zvaigzne, 2004), the interplay between representations of PCG and ICG remains understudied. In this study, we assumed that ICG takes precedence over PCG. Accordingly, we predicted that irony comprehension would be facilitated when ICG was high, even if PCG was low, resulting in faster RTs. Conversely, we expected comprehension to be impeded when ICG was low, even if PCG was high, leading to slower RTs. A main effect of ICG was also expected regardless of PCG, along with an interaction between ICG and PCG across rating measures that would further support irony comprehension. Counter to our predictions, results from two experiments showed that, overall, ironic stories were read faster when PCG was high and ICG was low. In contrast, ironic stories were read more slowly than literal stories when both PCG and ICG were low in experiment 1, and when both were high in experiment 2.</w:t>
      </w:r>
    </w:p>
    <w:p>
      <w:pPr/>
      <w:r>
        <w:rPr>
          <w:b/>
        </w:rPr>
        <w:t>POSSIBLE 2024:</w:t>
      </w:r>
      <w:r>
        <w:t xml:space="preserve"> Understanding and Mitigating Bias in Imaging Artificial Intelligence — https://doi.org/10.1148/rg.230067</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Artificial intelligence (AI) algorithms are prone to bias at multiple stages of model development, with potential for exacerbating health disparities. However, bias in imaging AI is a complex topic that encompasses multiple coexisting definitions. Bias may refer to unequal preference to a person or group owing to preexisting attitudes or beliefs, either intentional or unintentional. However, cognitive bias refers to systematic deviation from objective judgment due to reliance on heuristics, and statistical bias refers to differences between true and expected values, commonly manifesting as systematic error in model prediction (ie, a model with output unrepresentative of real-world conditions). Clinical decisions informed by biased models may lead to patient harm due to action on inaccurate AI results or exacerbate health inequities due to differing performance among patient populations. However, while inequitable bias can harm patients in this context, a mindful approach leveraging equitable bias can address underrepresentation of minority groups or rare diseases. Radiologists should also be aware of bias after AI deployment such as automation bias, or a tendency to agree with automated decisions despite contrary evidence. Understanding common sources of imaging AI bias and the consequences of using biased models can guide preventive measures to mitigate its impact. Accordingly</w:t>
      </w:r>
    </w:p>
    <w:p>
      <w:pPr/>
      <w:r>
        <w:rPr>
          <w:b/>
        </w:rPr>
        <w:t>POSSIBLE 2024:</w:t>
      </w:r>
      <w:r>
        <w:t xml:space="preserve"> The Proxy Advice Industry and Common Owners' Coordination — https://doi.org/10.67929/ecgi-fin-1006-2024</w:t>
      </w:r>
    </w:p>
    <w:p>
      <w:pPr/>
      <w:r>
        <w:rPr>
          <w:b/>
        </w:rPr>
        <w:t>Shared claim-specific concepts:</w:t>
      </w:r>
      <w:r>
        <w:t xml:space="preserve"> common, industry, all; EU scope not established. This is a provisional connection, not an outcome finding.</w:t>
      </w:r>
    </w:p>
    <w:p>
      <w:pPr>
        <w:pStyle w:val="SourceNote"/>
      </w:pPr>
      <w:r>
        <w:rPr>
          <w:b/>
        </w:rPr>
        <w:t>Available abstract (not full text):</w:t>
      </w:r>
      <w:r>
        <w:t xml:space="preserve"> High levels of common ownership may reduce firms’ incentives to compete. The empirical relevance of this concern is controversial, in part because there are no obvious mechanisms for common owners to coordinate their actions. I study a channel, proxy advisors, which may induce such coordination simply by satisfying their fiduciary duty. A single proxy advisor – Institutional Shareholder Services (ISS) – provides advice to 70% of all institutional investors on how to vote at shareholder meetings. I clarify in a theoretical framework how a proxy advisor maximizing client value will promote softer competition for commonly held firms. Combining data on ownership and shareholder meetings for all publicly listed U.S. firms (2003-2017), I find empirical support for the model’s mechanism. In particular, for a firm with higher common ownership, ISS is more likely to i) support director interlocks, ii) support mergers, and iii) oppose managerial incentive contracts that enhances performance-sensitivity.</w:t>
      </w:r>
    </w:p>
    <w:p>
      <w:pPr/>
      <w:r>
        <w:rPr>
          <w:b/>
        </w:rPr>
        <w:t>POSSIBLE 2023:</w:t>
      </w:r>
      <w:r>
        <w:t xml:space="preserve"> Strategy-making: The use and misuse of artifacts to achieve common understanding — https://doi.org/10.1177/23409444231202808</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Strategists intentionally use artifacts to promote their perception of a prudent strategic choice. Separating artifacts and strategists’ intentionality blurs our understanding of how strategy-making unfolds. Our study addresses the dynamics of strategists’ intentionality and their use of artifacts in strategy-making. The study provides empirical evidence that artifacts act as stand-ins for the strategists’ intentionality, used to guide or misused to curb the strategy-making. The implications of our study contribute to the understanding that (1) we can neither assume that the individuals’ intentionality is predictable nor that the involved strategists achieve a common understanding, (2) strategist–artifact relationships are pivotal to align or misalign different strategists’ interests, (3) the mediating role of artifacts is mutable entailing strategists materializing artifacts and adding text and symbols to intentionally manage the strategy-making, and (4) strategists deliberately use many artifacts to reach the intended strategy, not necessarily implementing the optimal strategy choice. JEL CLASSIFICATION: L190</w:t>
      </w:r>
    </w:p>
    <w:p>
      <w:pPr/>
      <w:r>
        <w:rPr>
          <w:b/>
        </w:rPr>
        <w:t>POSSIBLE 2023:</w:t>
      </w:r>
      <w:r>
        <w:t xml:space="preserve"> A Theoretical Discussion of How Common Understanding and Reflection Upon Need for Resources Can Prevent Risks Underlying Social Innovations — https://doi.org/10.1177/00469580231152078</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The welfare state is facing complex challenges. Social innovation is considered as the solution to social challenges and so-called wicked problems, problems in the welfare state that are important, but difficult to solve. This implies being willing to take the risk that is involved when being innovative. A discussion of how different kinds of social innovations carry various risks and how some of these can be prevented, is still limited. This article looks at experiences from previous social innovations and ask what we can learn from them. It elaborates on why social innovation is challenging and what we can do to reduce the risk of failure. The research question is: What risks are at stake in different social innovations, and how can these be prevented? The article highlights risks and issues associated with social or collaborative innovation related to welfare services. It is theoretical and based on innovation theory and previous research, with examples from Norwegian welfare services. The purpose is to explore challenges and risks involved in 4 stereotype versions of social innovation as a result of crossing 2 dimensions of social innovation described above: (a) the degree of novelty and (b) who has initiated the innovation. The article enlightens some aspects of the implementation phase that are important to be aware of if we want to minimize the risk of failure. This conc</w:t>
      </w:r>
    </w:p>
    <w:p>
      <w:pPr/>
      <w:r>
        <w:rPr>
          <w:b/>
        </w:rPr>
        <w:t>POSSIBLE 2023:</w:t>
      </w:r>
      <w:r>
        <w:t xml:space="preserve"> Approach to Reference Models for Building Performance Simulation: Establishing Common Understanding — https://doi.org/10.1007/s42979-023-01696-2</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In the fields of business process modeling, logistics, and information model development, Reference Models (RMs) have shown to enhance standardization, support the common understanding of terminology and procedures, reduce the modeling efforts and cost through the paradigm “Design by Reuse”, and enable knowledge transfer. Utilizing RMs in Building Performance Simulation (BPS) shows potential to achieve similar benefits. However, there is no universally agreed understanding of RMs. In a previous scientific publication, we provided a comprehensive overview of the diversely interpreted definitions, benefits, and attributes of RMs and related terms. Additionally, to transfer the approach of RMs to BPS, a definition for RMs applicable to BPS has been provided, and the identified RM qualities were matched with BPS’s challenges. However, a sound evaluation of the success of transferring RMs to BPS is lacking. Therefore, this scientific contribution firstly includes the analysis conducted in the previous scientific contribution constituting a common understanding about RMs and their elements for BPS. Secondly, by conducting expert interviews, the applicability and validity of the developed concept of RMs for BPS are surveyed. In total, ten experts (seven BPS experts and three RM experts) evaluated the quality of creating transparency about the understanding of RMs and the leve</w:t>
      </w:r>
    </w:p>
    <w:p>
      <w:pPr/>
      <w:r>
        <w:rPr>
          <w:b/>
        </w:rPr>
        <w:t>POSSIBLE 2023:</w:t>
      </w:r>
      <w:r>
        <w:t xml:space="preserve"> Sfumato as a Metaphor for Creating a Common Understanding in Complex Projects — https://doi.org/10.1007/978-3-031-35163-1_9</w:t>
      </w:r>
    </w:p>
    <w:p>
      <w:pPr/>
      <w:r>
        <w:rPr>
          <w:b/>
        </w:rPr>
        <w:t>Shared claim-specific concepts:</w:t>
      </w:r>
      <w:r>
        <w:t xml:space="preserve"> common, understanding, different; EU scope not established. This is a provisional connection, not an outcome finding.</w:t>
      </w:r>
    </w:p>
    <w:p>
      <w:pPr>
        <w:pStyle w:val="SourceNote"/>
      </w:pPr>
      <w:r>
        <w:rPr>
          <w:b/>
        </w:rPr>
        <w:t>Available abstract (not full text):</w:t>
      </w:r>
      <w:r>
        <w:t xml:space="preserve"> Abstract Sfumato painting technique is proposed as an artistic metaphor for creating a shared understanding about safety and risk in complex safety-critical multi-stakeholder projects. The aim is to illuminate a mindset and suggest approaches for softening potentially detrimental effect of sharp dysfunctional boundaries between and within different project parties, which might impair quality of communication, coordination, and collaboration and impact safety.</w:t>
      </w:r>
    </w:p>
    <w:p>
      <w:pPr/>
      <w:r>
        <w:rPr>
          <w:b/>
        </w:rPr>
        <w:t>POSSIBLE 2023:</w:t>
      </w:r>
      <w:r>
        <w:t xml:space="preserve"> Cognitive and Interactive Mechanisms for Mutual Understanding in Conversation — https://doi.org/10.1093/acrefore/9780190228613.013.134</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Everyday conversation is, as the term suggests, a frequent and seemingly effortless phenomenon. However, when closely examined, it is seen that the process of achieving mutual understanding in conversation involves both complex social reasoning and finely tuned interactive mechanisms. Referential communication provides an excellent case study for what makes everyday language interactions complex: people recruit an intricate web of cognitive capacities and interactive resources in order to get their message across. In terms of cognitive capacities, reaching mutual understanding in conversation involves social reasoning in order to establish common ground and take into account one’s conversational partner when producing and interpreting utterances. Specifically, people continuously adapt to their conversational partner by keeping track of what information is or is not shared (based on the situational context, preceding discourse, and general knowledge) and adjusting their utterances and interpretations accordingly. In terms of interactive resources, mechanisms that allow us to keep a conversation on track (e.g., backchannels) and the mechanisms that allow us to recover from breakdowns in communication (i.e., repair) contribute to mutual understanding. Specifically, other-initiated repair, a conversational phenomenon that has been documented cross-linguistically and obser</w:t>
      </w:r>
    </w:p>
    <w:p>
      <w:pPr/>
      <w:r>
        <w:rPr>
          <w:b/>
        </w:rPr>
        <w:t>POSSIBLE 2022:</w:t>
      </w:r>
      <w:r>
        <w:t xml:space="preserve"> Understanding common dolphin and Australasian gannet feeding associations from nutritional and ethological perspectives — https://doi.org/10.1093/icesjms/fsac133</w:t>
      </w:r>
    </w:p>
    <w:p>
      <w:pPr/>
      <w:r>
        <w:rPr>
          <w:b/>
        </w:rPr>
        <w:t>Shared claim-specific concepts:</w:t>
      </w:r>
      <w:r>
        <w:t xml:space="preserve"> accordingly, common, understanding; EU scope not established. This is a provisional connection, not an outcome finding.</w:t>
      </w:r>
    </w:p>
    <w:p>
      <w:pPr>
        <w:pStyle w:val="SourceNote"/>
      </w:pPr>
      <w:r>
        <w:rPr>
          <w:b/>
        </w:rPr>
        <w:t>Available abstract (not full text):</w:t>
      </w:r>
      <w:r>
        <w:t xml:space="preserve"> Abstract Prey detection and subsequent capture is considered a major hypothesis to explain feeding associations between common dolphins and Australasian gannets. However, a current lack of insight on nutritional strategies with respect to foraging behaviours of both species has until now, prevented any detailed understanding of this conspecific relationship. Here we combine stomach content analysis (SCA), nutritional composition of prey, a multidimensional nutritional niche framework (MNNF) and videography to provide a holistic dietary, nutritional, and behavioural assessment of the feeding association between dolphins and gannets in the Hauraki Gulf, New Zealand. Dolphins consumed ten prey species, including grey mullet (Mugil cephalus) as the most representative by wet mass (33.4%). Gannets preyed upon six species, with pilchards (Sardinops pilchardus) contributing most of the diet by wet mass (32.4%) to their diet. Both predators jointly preyed upon pilchard, jack mackerel (Trachurus spp.), arrow squid (genus Nototodarus), and anchovy (Engraulis australis). Accordingly, the MNNF revealed a moderate overlap in the prey composition niche (0.42) and realized nutritional niche (0.52) between dolphins and gannets. This suggests that both predators coexist in a similar nutritional space, while simultaneously reducing interspecific competition and maximizing the success of both enc</w:t>
      </w:r>
    </w:p>
    <w:p>
      <w:pPr/>
      <w:r>
        <w:rPr>
          <w:b/>
        </w:rPr>
        <w:t>POSSIBLE 2022:</w:t>
      </w:r>
      <w:r>
        <w:t xml:space="preserve"> A Reference Model for Common Understanding of Capabilities and Skills in Manufacturing — https://doi.org/10.48550/arxiv.2209.09632</w:t>
      </w:r>
    </w:p>
    <w:p>
      <w:pPr/>
      <w:r>
        <w:rPr>
          <w:b/>
        </w:rPr>
        <w:t>Shared claim-specific concepts:</w:t>
      </w:r>
      <w:r>
        <w:t xml:space="preserve"> common, understanding, industry; EU scope not established. This is a provisional connection, not an outcome finding.</w:t>
      </w:r>
    </w:p>
    <w:p>
      <w:pPr>
        <w:pStyle w:val="SourceNote"/>
      </w:pPr>
      <w:r>
        <w:rPr>
          <w:b/>
        </w:rPr>
        <w:t>Available abstract (not full text):</w:t>
      </w:r>
      <w:r>
        <w:t xml:space="preserve"> In manufacturing, many use cases of Industry 4.0 require vendor-neutral and machine-readable information models to describe, implement and execute resource functions. Such models have been researched under the terms capabilities and skills. Standardization of such models is required, but currently not available. This paper presents a reference model developed jointly by members of various organizations in a working group of the Plattform Industrie 4.0. This model covers definitions of most important aspects of capabilities and skills. It can be seen as a basis for further standardization efforts.</w:t>
      </w:r>
    </w:p>
    <w:p>
      <w:pPr>
        <w:pStyle w:val="Heading2"/>
      </w:pPr>
      <w:r>
        <w:t>875. Ecosystem service provision in a changing Europe: adapting to the impacts of combined climate and socio-economic change</w:t>
      </w:r>
    </w:p>
    <w:p>
      <w:pPr>
        <w:pStyle w:val="SourceNote"/>
      </w:pPr>
      <w:r>
        <w:rPr>
          <w:b/>
        </w:rPr>
        <w:t>Original source (2015):</w:t>
      </w:r>
      <w:r>
        <w:t xml:space="preserve"> https://doi.org/10.1007/s10980-014-0148-2</w:t>
      </w:r>
    </w:p>
    <w:p>
      <w:pPr/>
      <w:r>
        <w:t>Original wording (abstract; indexed_source_text_not_full_document_verified): Adaptation options offer significant opportunities, but may necessitate trade-offs between services, particularly between agriculture- and forestry-related services. Integrated assessment enables exploration of interactions and trade-offs between ecosystem services, highlighting the importance of taking account of complex cross-sectoral interactions under different future scenarios of planning adaptation responses.</w:t>
      </w:r>
    </w:p>
    <w:p>
      <w:pPr/>
      <w:r>
        <w:rPr>
          <w:b/>
        </w:rPr>
        <w:t>POSSIBLE 2026:</w:t>
      </w:r>
      <w:r>
        <w:t xml:space="preserve"> The economically optimal mix and timing of coastal adaptation in Europe to 2150 — https://doi.org/10.1038/s41467-026-74042-8</w:t>
      </w:r>
    </w:p>
    <w:p>
      <w:pPr/>
      <w:r>
        <w:rPr>
          <w:b/>
        </w:rPr>
        <w:t>Shared claim-specific concepts:</w:t>
      </w:r>
      <w:r>
        <w:t xml:space="preserve"> adaptation, options, necessitate, between; EU scope visible. This is a provisional connection, not an outcome finding.</w:t>
      </w:r>
    </w:p>
    <w:p>
      <w:pPr>
        <w:pStyle w:val="SourceNote"/>
      </w:pPr>
      <w:r>
        <w:rPr>
          <w:b/>
        </w:rPr>
        <w:t>Available abstract (not full text):</w:t>
      </w:r>
      <w:r>
        <w:t xml:space="preserve"> Coastal adaptation to sea level rise involves combining and sequencing adaptation options into adaptation pathways that include adaptation tipping points, which are moments requiring a switch between options, often due to economic limits. While local case studies show costs depend on the economically optimal timing of actions and adaptation tipping points, this remains unexplored on global and continental scales. We present economically optimal adaptation pathways for Europe's coastal floodplains through 2150. For 95% of the coastline requiring adaptation, the optimal timing for initial actions is immediate due to current economic under-adaptation, a condition in which the costs of additional adaptation are outweighed by the reduction in expected flood damages. By 2150, retreat is economically optimal for 22% of the coastline, incurring lower total costs than protection, which is optimal for 9%. Adaptation tipping points are primarily driven by sea level rise and necessitate a switch from accommodation to either protection or retreat, or from retreat to inland protection combined with retreat in the foreland. Their timing depends on climate change, occurring 32 years earlier under higher climate change scenarios compared to lower ones.</w:t>
      </w:r>
    </w:p>
    <w:p>
      <w:pPr/>
      <w:r>
        <w:rPr>
          <w:b/>
        </w:rPr>
        <w:t>POSSIBLE 2026:</w:t>
      </w:r>
      <w:r>
        <w:t xml:space="preserve"> Developing a cloud-based service offering actionable coastal climate risk and adaptation data across Europe — https://doi.org/10.1016/j.cliser.2026.100678</w:t>
      </w:r>
    </w:p>
    <w:p>
      <w:pPr/>
      <w:r>
        <w:rPr>
          <w:b/>
        </w:rPr>
        <w:t>Shared claim-specific concepts:</w:t>
      </w:r>
      <w:r>
        <w:t xml:space="preserve"> adaptation, options, services, integrated; EU scope visible. This is a provisional connection, not an outcome finding.</w:t>
      </w:r>
    </w:p>
    <w:p>
      <w:pPr>
        <w:pStyle w:val="SourceNote"/>
      </w:pPr>
      <w:r>
        <w:rPr>
          <w:b/>
        </w:rPr>
        <w:t>Available abstract (not full text):</w:t>
      </w:r>
      <w:r>
        <w:t xml:space="preserve"> Coastal zones face increasing climate-driven hazards such as sea-level rise, storm surges, flooding and erosion,threatening infrastructure and ecosystems. Addressing the need for actionable climate information in adaptation planning, wedeveloped an integrated Coastal Climate Services platform for Europe that consolidates sea-level projections, flood and ero-sion maps, exposure data, damage estimates, and adaptation options into a unified, cloud-based service. Co-designed withnational authorities, municipal planners, and infrastructure owners, the platform offers an interactive web viewer for non-experts and a collaborative coding environment for advanced users. It delivers localized, FAIR (Findable, Accessible, Interop-erable, Reusable)-compliant data supporting evidence-based adaptation planning and compliance with European frameworks.By bridging scientific data and operational climate services, this platform enhances climate resilience and informs strategiccoastal risk management across Europe and shows how a broad-scale coastal climate service can be delivered.</w:t>
      </w:r>
    </w:p>
    <w:p>
      <w:pPr/>
      <w:r>
        <w:rPr>
          <w:b/>
        </w:rPr>
        <w:t>POSSIBLE 2026:</w:t>
      </w:r>
      <w:r>
        <w:t xml:space="preserve"> Opportunity windows accelerate action and expand options for climate adaptation in Europe — https://doi.org/10.1038/s43247-026-03332-2</w:t>
      </w:r>
    </w:p>
    <w:p>
      <w:pPr/>
      <w:r>
        <w:rPr>
          <w:b/>
        </w:rPr>
        <w:t>Shared claim-specific concepts:</w:t>
      </w:r>
      <w:r>
        <w:t xml:space="preserve"> adaptation, options, opportunities, but; EU scope visible. This is a provisional connection, not an outcome finding.</w:t>
      </w:r>
    </w:p>
    <w:p>
      <w:pPr>
        <w:pStyle w:val="SourceNote"/>
      </w:pPr>
      <w:r>
        <w:rPr>
          <w:b/>
        </w:rPr>
        <w:t>Available abstract (not full text):</w:t>
      </w:r>
      <w:r>
        <w:t xml:space="preserve"> Abstract Climate adaptation must be intensified globally to keep up with increasing climate change impacts. To date, adaptation is mostly driven by climate risks that need to be reduced and little by opportunities. Here, we identify opportunity windows -i.e. favourable conditions for new or upgraded measures- and discuss how they can help to progress adaptation. We find evidence of past, present and future adaptation opportunity windows throughout Europe. Present and past triggers for opportunity windows include the implementation of EU Directives and post-disaster recovery funds and societal support after floods, droughts and wildfires. Future opportunities relate to aging dams and storm surge barriers. Opportunities also emerge from innovations (e.g. through pilots) which could inform transformative adaptation. Decision-makers can operationalize and seize adaptation opportunities through adaptive pathways planning, but would need to anticipate closing windows.</w:t>
      </w:r>
    </w:p>
    <w:p>
      <w:pPr/>
      <w:r>
        <w:rPr>
          <w:b/>
        </w:rPr>
        <w:t>POSSIBLE 2026:</w:t>
      </w:r>
      <w:r>
        <w:t xml:space="preserve"> Di Fant et al., Opportunity windows accelerate action and expand options for climate adaptation in Europe_Online datasets — https://doi.org/10.6084/m9.figshare.31249858</w:t>
      </w:r>
    </w:p>
    <w:p>
      <w:pPr/>
      <w:r>
        <w:rPr>
          <w:b/>
        </w:rPr>
        <w:t>Shared claim-specific concepts:</w:t>
      </w:r>
      <w:r>
        <w:t xml:space="preserve"> adaptation, options, opportunities; EU scope visible. This is a provisional connection, not an outcome finding.</w:t>
      </w:r>
    </w:p>
    <w:p>
      <w:pPr>
        <w:pStyle w:val="SourceNote"/>
      </w:pPr>
      <w:r>
        <w:rPr>
          <w:b/>
        </w:rPr>
        <w:t>Available abstract (not full text):</w:t>
      </w:r>
      <w:r>
        <w:t xml:space="preserve"> This folder contains the online datasets related to the publication 'Opportunity windows accelerate action and expand options for climate adaptation in Europe' by Di Fant, V., Middelkoop, H., de Bruin, K., Petersen, A-K., van den Hurk, B., and Haasnoot, M. The manuscript is currently under review at Communications Earth and Environment, the preprint is available at: https://doi.org/10.21203/rs.3.rs-7090828/v1 The dataset is made up of two excel files:Online dataset 1: Full list of the identified adaptation opportunity windows, their description and analysis; list of countries in the area of study; distribution of the identified opportunities across countries; and timeline of each adaptation opportunity including (projected) year of opening of opportunity window, any events within the window and year of window closing (for past opportunity windows). This dataset is also the basis for Figures 2, 3, and 4 of the manuscript. Online dataset 2: Full list of analysed dams from the GranD dataset (Lehner et al., 2011) and calculation of time passed since their construction date, including analysis of number and percentage of dams per opportunity type and their distribution across the area of study. This dataset is also the basis for information on maintenance-driven opportunities in Figures 2, 3, and 4 of the manuscript.</w:t>
      </w:r>
    </w:p>
    <w:p>
      <w:pPr/>
      <w:r>
        <w:rPr>
          <w:b/>
        </w:rPr>
        <w:t>POSSIBLE 2026:</w:t>
      </w:r>
      <w:r>
        <w:t xml:space="preserve"> Linking vulnerability and resilience for climate change adaptation: a GeoAI-integrated assessment across Europe — https://doi.org/10.1186/s13717-026-00680-x</w:t>
      </w:r>
    </w:p>
    <w:p>
      <w:pPr/>
      <w:r>
        <w:rPr>
          <w:b/>
        </w:rPr>
        <w:t>Shared claim-specific concepts:</w:t>
      </w:r>
      <w:r>
        <w:t xml:space="preserve"> adaptation, but, integrated, assessment, interactions; EU scope visible. This is a provisional connection, not an outcome finding.</w:t>
      </w:r>
    </w:p>
    <w:p>
      <w:pPr>
        <w:pStyle w:val="SourceNote"/>
      </w:pPr>
      <w:r>
        <w:rPr>
          <w:b/>
        </w:rPr>
        <w:t>Available abstract (not full text):</w:t>
      </w:r>
      <w:r>
        <w:t xml:space="preserve"> Climate change is reshaping key ecological processes such as drought cycles, heat stress, disturbance regimes, and air quality regulation. These changes generate cascading impacts on ecosystems and the human societies that depend on them. There is therefore a pressing need for frameworks that not only map where adaptation is required but also explain why these needs arise. Existing approaches often remain limited: top-down climate scenarios overlook local stressors, multi-criteria decision-making (MCDM) applications suffer from subjectivity, and machine learning models frequently lack interpretability. To address these limitations, this study introduces an integrated framework that combines ecological, climatic, and socio-economic indicators with MCDM, Geographic Artificial Intelligence (GeoAI), and explainable machine learning to provide spatial mapping and a sensitivity-based interpretation of adaptation needs. A Climate Change Adaptation Index (CCAI) was constructed for 1,187 NUTS-3 regions using 44 indicators of vulnerability and resilience, including land surface temperature, burned areas, hydrological stress, demographic sensitivity, renewable energy use, and institutional effectiveness. Fuzzy Analytical Hierarchy Process (F-AHP) was employed to derive factor weights, and SHapley Additive exPlanations (SHAP) was applied to analyse indicator interactions. The findings high</w:t>
      </w:r>
    </w:p>
    <w:p>
      <w:pPr/>
      <w:r>
        <w:rPr>
          <w:b/>
        </w:rPr>
        <w:t>POSSIBLE 2025:</w:t>
      </w:r>
      <w:r>
        <w:t xml:space="preserve"> Translation and Cultural Adaptation to European Portuguese — https://openalex.org/W7113190515</w:t>
      </w:r>
    </w:p>
    <w:p>
      <w:pPr/>
      <w:r>
        <w:rPr>
          <w:b/>
        </w:rPr>
        <w:t>Shared claim-specific concepts:</w:t>
      </w:r>
      <w:r>
        <w:t xml:space="preserve"> adaptation, significant, assessment; EU scope visible. This is a provisional connection, not an outcome finding.</w:t>
      </w:r>
    </w:p>
    <w:p>
      <w:pPr>
        <w:pStyle w:val="SourceNote"/>
      </w:pPr>
      <w:r>
        <w:rPr>
          <w:b/>
        </w:rPr>
        <w:t>Available abstract (not full text):</w:t>
      </w:r>
      <w:r>
        <w:t xml:space="preserve"> Introduction: Visual skills have a significant impact on an infant’s development and participation. In Portugal, although the public health system is organized to support citizens with visual impairment, it lacks translated and culturally adapted assessment tools. Knowing that a comprehensive assessment is crucial for early diagnosis and that it improves an infant’s participation in daily life, the aim of the present article is to present the translation and cultural adaptation of the Participation and Activity Inventory for Children and Youth (0–2 years) into European Portuguese. Methods: To achieve the objective, methodological guidelines were followed, and six different stages were implemented, including translation, synthesis, back translation, revision by an expert committee, pretesting in a representative sample, and submission and appraisal of all written reports by developers to the author’s tool. The whole process was previously approved by an Ethics Committee. Results: A Portuguese version of the Participation and Activity Inventory for Children and Youth (0–2 years) was obtained based on the English version of PAI-CY (0–2 years) with the participation of four independent translators, five experts, and twenty parents filling out the pretest version. The results of the expert committee showed that 99.40% were in favor of the proposed translation. Additionally, the inve</w:t>
      </w:r>
    </w:p>
    <w:p>
      <w:pPr/>
      <w:r>
        <w:rPr>
          <w:b/>
        </w:rPr>
        <w:t>POSSIBLE 2024:</w:t>
      </w:r>
      <w:r>
        <w:t xml:space="preserve"> Adaptation of solar energy in the Global South: Prospects, challenges and opportunities — https://doi.org/10.1016/j.heliyon.2024.e28009</w:t>
      </w:r>
    </w:p>
    <w:p>
      <w:pPr/>
      <w:r>
        <w:rPr>
          <w:b/>
        </w:rPr>
        <w:t>Shared claim-specific concepts:</w:t>
      </w:r>
      <w:r>
        <w:t xml:space="preserve"> adaptation, significant, opportunities, highlighting; EU scope not established. This is a provisional connection, not an outcome finding.</w:t>
      </w:r>
    </w:p>
    <w:p>
      <w:pPr>
        <w:pStyle w:val="SourceNote"/>
      </w:pPr>
      <w:r>
        <w:rPr>
          <w:b/>
        </w:rPr>
        <w:t>Available abstract (not full text):</w:t>
      </w:r>
      <w:r>
        <w:t xml:space="preserve"> The Global South comprising economically disadvantaged regions of the world face various challenges such as limited access to electricity, clean water, industrialization, and food security. Solar energy, as a sustainable and abundant resource, holds great potential to address these challenges. Despite its immense potential, the Global South encounters hurdles related to technology adoption, infrastructure, and financial constraints. This review examines the history, classifications, global statistics, merits, and demerits of solar technology in the Global South. Furthermore, it delves into various applications of solar energy, including extreme environments, residential electricity generation, transportation, and industrial usage in this region. This study concludes by providing new insighths and highlighting the significant role solar energy can play in shaping the future of the Global South if challenges are adequately addressed, and opportunities are embraced.</w:t>
      </w:r>
    </w:p>
    <w:p>
      <w:pPr/>
      <w:r>
        <w:rPr>
          <w:b/>
        </w:rPr>
        <w:t>POSSIBLE 2024:</w:t>
      </w:r>
      <w:r>
        <w:t xml:space="preserve"> Sea Level Rise in Europe: Adaptation measures and decision-making principles — https://doi.org/10.5194/sp-3-slre1-6-2024</w:t>
      </w:r>
    </w:p>
    <w:p>
      <w:pPr/>
      <w:r>
        <w:rPr>
          <w:b/>
        </w:rPr>
        <w:t>Shared claim-specific concepts:</w:t>
      </w:r>
      <w:r>
        <w:t xml:space="preserve"> adaptation, options, integrated, assessment, importance; EU scope visible. This is a provisional connection, not an outcome finding.</w:t>
      </w:r>
    </w:p>
    <w:p>
      <w:pPr>
        <w:pStyle w:val="SourceNote"/>
      </w:pPr>
      <w:r>
        <w:rPr>
          <w:b/>
        </w:rPr>
        <w:t>Available abstract (not full text):</w:t>
      </w:r>
      <w:r>
        <w:t xml:space="preserve"> Abstract. Sea level rise (SLR) will increasingly impact European countries in the coming decades, posing challenges for coastal decision-making and the design and implementation of adaptation measures to address coastal risks. This chapter aims to provide guidance for the design and implementation of adaptation policies in European basins, and does so by, first, assessing the state-of-the-art of SLR adaptation measures in Europe, and second, presenting approaches suitable for supporting coastal adaptation decision making and addressing uncertainty. Assessment of SLR adaptation in Europe is carried out by developing a typology of measures based on the IPCC classification of accommodate, protect, advance, and retreat responses to SLR, supplemented with sub-types measures socio-economic, physical and technological, nature- and ecosystem-based characteristics. Surveying relevant literature measures being implemented in Europe are identified and characterised according to their effectiveness and location within the European sea basins. We find that adaptation strategies on Europe’s coasts constitute a mix of hard and soft measures, planning measures, policy developments, and stakeholder and community engagements. Across all basins, a common theme is the shift towards a combination of traditional engineering solutions with soft measures, including nature-based solutions, integrating </w:t>
      </w:r>
    </w:p>
    <w:p>
      <w:pPr/>
      <w:r>
        <w:rPr>
          <w:b/>
        </w:rPr>
        <w:t>POSSIBLE 2023:</w:t>
      </w:r>
      <w:r>
        <w:t xml:space="preserve"> Platform adaptation to regulation: The case of domestic cleaning in Europe — https://doi.org/10.1177/00221856221146833</w:t>
      </w:r>
    </w:p>
    <w:p>
      <w:pPr/>
      <w:r>
        <w:rPr>
          <w:b/>
        </w:rPr>
        <w:t>Shared claim-specific concepts:</w:t>
      </w:r>
      <w:r>
        <w:t xml:space="preserve"> adaptation, but, services; EU scope visible. This is a provisional connection, not an outcome finding.</w:t>
      </w:r>
    </w:p>
    <w:p>
      <w:pPr>
        <w:pStyle w:val="SourceNote"/>
      </w:pPr>
      <w:r>
        <w:rPr>
          <w:b/>
        </w:rPr>
        <w:t>Available abstract (not full text):</w:t>
      </w:r>
      <w:r>
        <w:t xml:space="preserve"> While online platforms were initially applauded for improving services in a range of sectors, they are currently being criticized for ignoring laws and regulations. We analyse the evolution of Helpling – the largest domestic cleaning platform company in Europe – by focusing on the ways that Helpling has adapted its platform to regulations in five national contexts (France, Germany, Ireland, the Netherlands and the United Kingdom). Using data on changing Terms and Conditions, we show that Helpling initially tried to introduce a single business model across Europe, but quickly started to adapt to national regulatory contexts. Informed by arguments on ‘varieties of capitalism’ in Europe, we base our case study on a comparison of the different national trajectories pursued by Helpling.</w:t>
      </w:r>
    </w:p>
    <w:p>
      <w:pPr/>
      <w:r>
        <w:rPr>
          <w:b/>
        </w:rPr>
        <w:t>POSSIBLE 2023:</w:t>
      </w:r>
      <w:r>
        <w:t xml:space="preserve"> A review of the global climate change impacts, adaptation strategies, and mitigation options in the socio-economic and environmental sectors — https://doi.org/10.56556/jescae.v2i3.587</w:t>
      </w:r>
    </w:p>
    <w:p>
      <w:pPr/>
      <w:r>
        <w:rPr>
          <w:b/>
        </w:rPr>
        <w:t>Shared claim-specific concepts:</w:t>
      </w:r>
      <w:r>
        <w:t xml:space="preserve"> adaptation, options, particularly, ecosystem; EU scope not established. This is a provisional connection, not an outcome finding.</w:t>
      </w:r>
    </w:p>
    <w:p>
      <w:pPr>
        <w:pStyle w:val="SourceNote"/>
      </w:pPr>
      <w:r>
        <w:rPr>
          <w:b/>
        </w:rPr>
        <w:t>Available abstract (not full text):</w:t>
      </w:r>
      <w:r>
        <w:t xml:space="preserve"> Climate change causes long-term weather changes from the tropics to the polls. It is a global threat that strains several sectors. The present study conducts a review analysis that theoretically explores how climatic variability is degrading global sector sustainability. Due to irreversible weather variations, the agricultural sector is particularly vulnerable. In turn, it is disrupting worldwide consumption patterns, especially in countries where agriculture is central to their economy and productivity. Due to shifting optimum temperature ranges, climate change is also increasing biodiversity loss through modifying ecosystem architecture. Climate change increases the risk of food, water, and vector-borne diseases. Antimicrobial resistance, which is developing due to resistant pathogenic infections, is also accelerated by climate change. Climate change also hurts the forestry sector and tourism business. This review examines global socio-economic and environmental climate change mitigation and adaptation strategies and their economic consequences. According to the findings, knotted answerability of resources and laws created in the past to generate progressive climate policy need government involvement for long-term development. Thus, addressing climate change's dire consequences demands global cooperation to maintain world survival.</w:t>
      </w:r>
    </w:p>
    <w:p>
      <w:pPr/>
      <w:r>
        <w:rPr>
          <w:b/>
        </w:rPr>
        <w:t>POSSIBLE 2022:</w:t>
      </w:r>
      <w:r>
        <w:t xml:space="preserve"> Climate services for the railway sector: A synthesis of adaptation information needs in Europe — https://doi.org/10.3389/fclim.2022.968298</w:t>
      </w:r>
    </w:p>
    <w:p>
      <w:pPr/>
      <w:r>
        <w:rPr>
          <w:b/>
        </w:rPr>
        <w:t>Shared claim-specific concepts:</w:t>
      </w:r>
      <w:r>
        <w:t xml:space="preserve"> adaptation, but, services; EU scope visible. This is a provisional connection, not an outcome finding.</w:t>
      </w:r>
    </w:p>
    <w:p>
      <w:pPr>
        <w:pStyle w:val="SourceNote"/>
      </w:pPr>
      <w:r>
        <w:rPr>
          <w:b/>
        </w:rPr>
        <w:t>Available abstract (not full text):</w:t>
      </w:r>
      <w:r>
        <w:t xml:space="preserve"> Given that climate variability and change present unprecedented challenges to the rail sector, efforts to produce relevant climate data/information for climate risk management and adaptive decision making in the rail sector are gaining traction. However, inadequate understanding of climate change impact and information needs raises several concerns for the sector. This paper addressed the question: What climate risk information services are needed to support the adaptation needs of the rail sector? Data from interviews, literature reviews, and workshops were used. The results show that changes in precipitation, temperature, sea-level rise, and thunderstorms are the top drivers of climate risk in the sector. Additionally, the need for tailor-made climate information to manage these changes is in high demand. Although insufficient, rail organizations use special protocols to manage climate risk. Understudied countries have operational and design standards formulated in metrics and codes related to specific critical weather conditions as part of their Natural Hazard Management process. However, desirable adjustments in the standards are currently based on past events rather than future climate conditions. Future climate change information is relevant for medium- to longer-term decisions, strategy, and policymaking. For operational and design standards, weather and climate informat</w:t>
      </w:r>
    </w:p>
    <w:p>
      <w:pPr/>
      <w:r>
        <w:rPr>
          <w:b/>
        </w:rPr>
        <w:t>POSSIBLE 2022:</w:t>
      </w:r>
      <w:r>
        <w:t xml:space="preserve"> Climate change adaptation options to inform planning of agriculture and food systems in The Gambia: A systematic approach for stocktaking — https://doi.org/10.3389/fsufs.2022.834867</w:t>
      </w:r>
    </w:p>
    <w:p>
      <w:pPr/>
      <w:r>
        <w:rPr>
          <w:b/>
        </w:rPr>
        <w:t>Shared claim-specific concepts:</w:t>
      </w:r>
      <w:r>
        <w:t xml:space="preserve"> adaptation, options, assessment, importance; EU scope not established. This is a provisional connection, not an outcome finding.</w:t>
      </w:r>
    </w:p>
    <w:p>
      <w:pPr>
        <w:pStyle w:val="SourceNote"/>
      </w:pPr>
      <w:r>
        <w:rPr>
          <w:b/>
        </w:rPr>
        <w:t>Available abstract (not full text):</w:t>
      </w:r>
      <w:r>
        <w:t xml:space="preserve"> Identifying and assessing adaptation options are key pre-requisite steps to adaptation prioritization and effective adaptation planning. In this paper, we presented a systematic approach for adaptation stocktaking, combining a systematic mapping and an outcome-oriented and evidence-based assessment, illustrated using the case of The Gambia. This study systematically mapped 24 adaptation options that can potentially inform adaptation planning in The Gambia agriculture and food systems and assessed how the identified options contribute to the pillars of Climate-Smart Agriculture. Because of the paucity of evidence sources from The Gambia, we collated evidence from both The Gambia and the West Africa region. We found that many of the documented options, such as climate-resilient crop varieties, crop diversification, climate information use, and weather indexed-based insurance have the potential to increase agricultural productivity and income while building resilience to climate change. While several options, such as soil and water conservation practices can positively contribute to climate change mitigation, others such as manure and inorganic fertilizers can have no or negative impacts on mitigation. Agroforestry practices and System of Rice Intensification have the potential to make a triple impact. The paucity of evidence from The Gambia and the highly contextual and different</w:t>
      </w:r>
    </w:p>
    <w:p>
      <w:pPr>
        <w:pStyle w:val="Heading2"/>
      </w:pPr>
      <w:r>
        <w:t>876. Ensemble flood risk assessment in Europe under high end climate scenarios</w:t>
      </w:r>
    </w:p>
    <w:p>
      <w:pPr>
        <w:pStyle w:val="SourceNote"/>
      </w:pPr>
      <w:r>
        <w:rPr>
          <w:b/>
        </w:rPr>
        <w:t>Original source (2015):</w:t>
      </w:r>
      <w:r>
        <w:t xml:space="preserve"> https://doi.org/10.1016/j.gloenvcha.2015.09.004</w:t>
      </w:r>
    </w:p>
    <w:p>
      <w:pPr/>
      <w:r>
        <w:t>Original wording (abstract; indexed_source_text_not_full_document_verified): When coherent socio-economic development pathways are included in the assessment, central estimates of population annually affected by floods range between 500,000 and 640,000 in 2050, and between 540,000 and 950,000 in 2080, as compared to 216,000 in the current climate. A larger range is foreseen in the annual flood damage, currently of 5.3 B€, which is projected to rise at 20–40 B€ in 2050 and 30–100 B€ in 2080, depending on the future economic growth.</w:t>
      </w:r>
    </w:p>
    <w:p>
      <w:pPr/>
      <w:r>
        <w:rPr>
          <w:b/>
        </w:rPr>
        <w:t>POSSIBLE 2026:</w:t>
      </w:r>
      <w:r>
        <w:t xml:space="preserve"> Uncertainty-aware forecasting of economic and socio-economic inputs for environmental and sustainability indicator assessment — https://doi.org/10.1016/j.indic.2026.101471</w:t>
      </w:r>
    </w:p>
    <w:p>
      <w:pPr/>
      <w:r>
        <w:rPr>
          <w:b/>
        </w:rPr>
        <w:t>Shared claim-specific concepts:</w:t>
      </w:r>
      <w:r>
        <w:t xml:space="preserve"> socio-economic, assessment, estimates; EU scope visible. This is a provisional connection, not an outcome finding.</w:t>
      </w:r>
    </w:p>
    <w:p>
      <w:pPr>
        <w:pStyle w:val="SourceNote"/>
      </w:pPr>
      <w:r>
        <w:rPr>
          <w:b/>
        </w:rPr>
        <w:t>Available abstract (not full text):</w:t>
      </w:r>
      <w:r>
        <w:t xml:space="preserve"> Machine learning and statistical models that forecast environmental and sustainability indicators routinely use economic and socio-economic variables as inputs, yet the field offers no systematic guidance for forecasting these covariates when genuine forward-looking predictions are required. Treating future covariate values as known, as is common practice, produces overconfident predictions by ignoring a substantial and compounding source of uncertainty. This paper benchmarks eight univariate time series forecasting models across thirteen socio-economic and economic variables for thirteen EU member states, spanning measures of human well-being, ecological pressure and demographic and economic resilience. Results show that the Theta model consistently outperforms more complex neural network approaches, a finding confirmed by Friedman and Nemenyi tests. Calibrated prediction intervals show that covariate forecast uncertainty is non-negligible and grows substantially at longer horizons, particularly for volatile economic indicators. A worked example propagates simulated covariate trajectories through a downstream model of Italian municipal solid waste generation, showing that naive point-forecast propagation understates the uncertainty of the resulting sustainability prediction. Variable-specific recommendations and calibrated uncertainty estimates are provided, forming a reproduc</w:t>
      </w:r>
    </w:p>
    <w:p>
      <w:pPr/>
      <w:r>
        <w:rPr>
          <w:b/>
        </w:rPr>
        <w:t>POSSIBLE 2026:</w:t>
      </w:r>
      <w:r>
        <w:t xml:space="preserve"> DIGITAL TRANSFORMATIONS AS A DRIVER OF CHANGES IN SOCIO-ECONOMIC DEVELOPMENT: CONTRADICTORY AND ASYMMETRIC CHARACTER OF DIGITAL DEVELOPMENT AND THE DIGITAL RECONFIGURATION OF ECONOMIC SECURITY — https://doi.org/10.17721/apmv.2026.167.1.197-209</w:t>
      </w:r>
    </w:p>
    <w:p>
      <w:pPr/>
      <w:r>
        <w:rPr>
          <w:b/>
        </w:rPr>
        <w:t>Shared claim-specific concepts:</w:t>
      </w:r>
      <w:r>
        <w:t xml:space="preserve"> socio-economic, between; EU scope not established. This is a provisional connection, not an outcome finding.</w:t>
      </w:r>
    </w:p>
    <w:p>
      <w:pPr>
        <w:pStyle w:val="SourceNote"/>
      </w:pPr>
      <w:r>
        <w:rPr>
          <w:b/>
        </w:rPr>
        <w:t>Available abstract (not full text):</w:t>
      </w:r>
      <w:r>
        <w:t xml:space="preserve"> The purpose of the article is to substantiate the theoretical interpretation of digital transformations as a contradictory and asymmetric driver of socio-economic development that penetrates all traditional dimensions of economic security and converts digital security and cybersecurity into its constitutive mechanisms, and to demonstrate that the balance between strengthening and undermining economic security is determined not by technologies as such but by the configuration of regulatory and institutional frameworks of digital security, cybersecurity, and antimonopoly policy. The article proposes a conceptual framework that interprets digital transformation not as a linear modernization process but as a permanent multi-vector restructuring that penetrates the food, energy, and financial dimensions of economic security from within, transforming them through digital tools and platforms, with the consequence that traditional dimensions of economic security cannot be analytically separated from the digital contour without losing the substance of the analysis. The thesis of the contradictory and asymmetric character of digital development is substantiated, according to which the same technological foundation simultaneously expands the space of market opportunities and produces new forms of concentration of economic power, with benefits concentrated in a narrow circle of actors and </w:t>
      </w:r>
    </w:p>
    <w:p>
      <w:pPr/>
      <w:r>
        <w:rPr>
          <w:b/>
        </w:rPr>
        <w:t>POSSIBLE 2025:</w:t>
      </w:r>
      <w:r>
        <w:t xml:space="preserve"> THE CONTRIBUTION OF SMES ENTREPRENEURSHIP TO SOCIO-ECONOMIC DEVELOPMENT IN TERENGGANU — https://doi.org/10.35631/ijemp.832016</w:t>
      </w:r>
    </w:p>
    <w:p>
      <w:pPr/>
      <w:r>
        <w:rPr>
          <w:b/>
        </w:rPr>
        <w:t>Shared claim-specific concepts:</w:t>
      </w:r>
      <w:r>
        <w:t xml:space="preserve"> socio-economic, central; EU scope not established. This is a provisional connection, not an outcome finding.</w:t>
      </w:r>
    </w:p>
    <w:p>
      <w:pPr>
        <w:pStyle w:val="SourceNote"/>
      </w:pPr>
      <w:r>
        <w:rPr>
          <w:b/>
        </w:rPr>
        <w:t>Available abstract (not full text):</w:t>
      </w:r>
      <w:r>
        <w:t xml:space="preserve"> Small and medium enterprises (SMEs) are widely acknowledged as the backbone of socio-economic development, particularly in emerging regions where they play a vital role in employment generation, poverty alleviation, and cultural preservation. This article explores the contribution of SMEs entrepreneurship to socio-economic development in Terengganu, Malaysia, and critically examines the constraints that limit their growth. By synthesizing recent scholarship, the study situates SME development within five central dimensions: financial accessibility, digital transformation, entrepreneurial capacity, global competitiveness, and inclusivity for women and youth. The analysis demonstrates that SMEs in Terengganu contribute to economic diversification through tourism, fisheries, handicrafts, and cultural industries while reinforcing community resilience and sustaining local identity. Yet persistent barriers such as restricted capital access, uneven digital adoption, skills deficiencies, exposure to global market pressures, and limited inclusivity undermine their potential impact. These challenges are interconnected and require integrated approaches that align institutional reforms with ecosystem-based strategies. Building on this foundation, the article proposes practical suggestions including hybrid financing models, targeted digitalization programs, localized training and mentorship</w:t>
      </w:r>
    </w:p>
    <w:p>
      <w:pPr/>
      <w:r>
        <w:rPr>
          <w:b/>
        </w:rPr>
        <w:t>POSSIBLE 2025:</w:t>
      </w:r>
      <w:r>
        <w:t xml:space="preserve"> SOCIO-ECONOMIC ANALYSIS OF THE SOUTH-WEST OLTENIA DEVELOPMENT REGION — https://openalex.org/W7215541317</w:t>
      </w:r>
    </w:p>
    <w:p>
      <w:pPr/>
      <w:r>
        <w:rPr>
          <w:b/>
        </w:rPr>
        <w:t>Shared claim-specific concepts:</w:t>
      </w:r>
      <w:r>
        <w:t xml:space="preserve"> socio-economic, population; EU scope visible. This is a provisional connection, not an outcome finding.</w:t>
      </w:r>
    </w:p>
    <w:p>
      <w:pPr>
        <w:pStyle w:val="SourceNote"/>
      </w:pPr>
      <w:r>
        <w:rPr>
          <w:b/>
        </w:rPr>
        <w:t>Available abstract (not full text):</w:t>
      </w:r>
      <w:r>
        <w:t xml:space="preserve"> The paper analyzes the socio-economic development level of the South-West Oltenia Development Region, composed of Dolj, Gorj, Mehedinți, Olt, and Vâlcea counties, aiming to identify territorial disparities and strategic priorities for sustainable regional growth. The study’s relevance derives from the region’s strategic location at Romania’s south-western border and from the need to ensure a balanced use of its natural, human, and economic resources. The research methodology relied on official statistical data (National Institute of Statistics, Tempo-Online) for the 2014–2024 period, analyzed through descriptive and comparative methods. Demographic and economic indicators were assessed at both regional and county levels, and the results were presented using tables and graphical representations. Findings reveal a pronounced demographic decline, with a population loss exceeding 75,000 inhabitants and a negative natural growth rate (–10,741), the population density remaining below the national average. The regional GDP reached 108.4 billion RON in 2022, accounting for only 7.8% of Romania’s economy, while GDP per capita (51,826 RON) confirms a low level of economic competitiveness. The regional economy shows a mixed structure – agricultural in the south, energy and industrial in the north – while infrastructure remains insufficiently developed. The conclusions emphasize the need f</w:t>
      </w:r>
    </w:p>
    <w:p>
      <w:pPr/>
      <w:r>
        <w:rPr>
          <w:b/>
        </w:rPr>
        <w:t>POSSIBLE 2025:</w:t>
      </w:r>
      <w:r>
        <w:t xml:space="preserve"> Assessment of Socio-Economic Impacts of Hyperloop Technology on European Trade Routes — https://doi.org/10.3390/economies13030065</w:t>
      </w:r>
    </w:p>
    <w:p>
      <w:pPr/>
      <w:r>
        <w:rPr>
          <w:b/>
        </w:rPr>
        <w:t>Shared claim-specific concepts:</w:t>
      </w:r>
      <w:r>
        <w:t xml:space="preserve"> socio-economic, assessment, compared, current, climate; EU scope visible. This is a provisional connection, not an outcome finding.</w:t>
      </w:r>
    </w:p>
    <w:p>
      <w:pPr>
        <w:pStyle w:val="SourceNote"/>
      </w:pPr>
      <w:r>
        <w:rPr>
          <w:b/>
        </w:rPr>
        <w:t>Available abstract (not full text):</w:t>
      </w:r>
      <w:r>
        <w:t xml:space="preserve"> This study investigates the possible socio-economic impacts of Hyperloop technology on establishing and reshaping EU trade routes. Hyperloop—a novel ultra-high-speed transportation system—demonstrates the capability to achieve supersonic speeds to move cargo and passengers. Delivering goods in a faster and sustainable way could change the existing trade routes and offer new opportunities for the development of international trade. This research focuses on assessing how Hyperloop may influence existing EU trade routes by improving delivery times and reducing energy usage/carbon emissions (these terms will be used interchangeably throughout the paper where both reducing long-terms costs and meeting climate goals are equally impacted by this technology). Further objectives include evaluating potential new trade routes that could emerge due to Hyperloop’s capabilities. In this paper, twelve different scenarios are constructed and compared; these scenarios contain the description of current EU trade routes that could be influenced by Hyperloop and those that could be introduced given the improved delivery times and sustainable business opportunities. The gravity model is proposed and an equation is estimated using the PPML (Poisson Pseudo Maximum Likelihood) method based on Eurostat and IMF open data. Based on the research results, different socio-economic outcomes for different lay</w:t>
      </w:r>
    </w:p>
    <w:p>
      <w:pPr/>
      <w:r>
        <w:rPr>
          <w:b/>
        </w:rPr>
        <w:t>POSSIBLE 2025:</w:t>
      </w:r>
      <w:r>
        <w:t xml:space="preserve"> RURAL TOURISM AS A FACTOR OF SUSTAINABLE SOCIO-ECONOMIC DEVELOPMENT OF RURAL AREAS IN UKRAINE — https://doi.org/10.32782/infrastruct86-38</w:t>
      </w:r>
    </w:p>
    <w:p>
      <w:pPr/>
      <w:r>
        <w:rPr>
          <w:b/>
        </w:rPr>
        <w:t>Shared claim-specific concepts:</w:t>
      </w:r>
      <w:r>
        <w:t xml:space="preserve"> coherent, socio-economic, current; EU scope visible. This is a provisional connection, not an outcome finding.</w:t>
      </w:r>
    </w:p>
    <w:p>
      <w:pPr>
        <w:pStyle w:val="SourceNote"/>
      </w:pPr>
      <w:r>
        <w:rPr>
          <w:b/>
        </w:rPr>
        <w:t>Available abstract (not full text):</w:t>
      </w:r>
      <w:r>
        <w:t xml:space="preserve"> The relevance of the research: the article examines rural tourism as one of the key factors in the sustainable socio-economic development of rural areas in Ukraine. The subject research is the current state, challenges, and prospects for the development of rural tourism in the context of the COVID-19 pandemic, full-scale war, and decentralization processes. The purpose of the study is to analyze the potential of rural tourism as a tool for economic diversification, cultural heritage preservation, employment growth, and the revitalization of rural communities. Research methodology includes general scientific methods of analysis and synthesis, systemic and comparative approaches, as well as the generalization of findings from scientific publications and practical case studies based on domestic and international experiences in organizing rural tourism. The research includes a review of current legislation, strategic documents, and statistical data. The results of the study reveal that rural tourism in Ukraine shows a steadily growing demand among domestic tourists, although its potential is only partially realized due to several constraints. Key factors are insufficient infrastructure, lack of regulatory framework, low level of tourism services digitalization and limited marketing activity. It is shown that the combination of tourism services with local traditions, farming, cultur</w:t>
      </w:r>
    </w:p>
    <w:p>
      <w:pPr/>
      <w:r>
        <w:rPr>
          <w:b/>
        </w:rPr>
        <w:t>POSSIBLE 2024:</w:t>
      </w:r>
      <w:r>
        <w:t xml:space="preserve"> Analysing Rural Development Models Based on Intangible Assets and Socio-Economic Development — https://doi.org/10.3390/su162310613</w:t>
      </w:r>
    </w:p>
    <w:p>
      <w:pPr/>
      <w:r>
        <w:rPr>
          <w:b/>
        </w:rPr>
        <w:t>Shared claim-specific concepts:</w:t>
      </w:r>
      <w:r>
        <w:t xml:space="preserve"> socio-economic, current; EU scope not established. This is a provisional connection, not an outcome finding.</w:t>
      </w:r>
    </w:p>
    <w:p>
      <w:pPr>
        <w:pStyle w:val="SourceNote"/>
      </w:pPr>
      <w:r>
        <w:rPr>
          <w:b/>
        </w:rPr>
        <w:t>Available abstract (not full text):</w:t>
      </w:r>
      <w:r>
        <w:t xml:space="preserve"> Despite the existence of a variety of conceptual approaches to rural development, there is a lack of methods that take into account intangible assets, such as, for example, social capital, leadership, and local identity. A more effective design of the rural development strategy may be achieved by uncovering knowledge regarding the manifestation of various intangible resources. Territorial development policies, both in terms of the level of socio-economic development and the presence of intangible resources in rural areas, are investigated in this study. The main objective is to determine how intangible resources manifest in specific empirical models of development policy for rural settlements. A novel ensemble of indices and indicators of socio-economic development and the manifestation of intangible resources, calculated based on the method of analytical hierarchies and frequency analysis, are provided. These allow for a comprehensive study of the development of rural areas by clustering settlements with a similar level of development. Patterns and deficits of resources in rural settlements are analysed according to empirical models. Verification of the empirical models is carried out by assessing the level of socio-economic development and indicators of intangible resources for 12 rural settlements in the south of Russia. Therefore, several groups of factors of intangible res</w:t>
      </w:r>
    </w:p>
    <w:p>
      <w:pPr/>
      <w:r>
        <w:rPr>
          <w:b/>
        </w:rPr>
        <w:t>POSSIBLE 2024:</w:t>
      </w:r>
      <w:r>
        <w:t xml:space="preserve"> The Impact of Lithuanian Regional Policy on the Level of Socio-Economic Development of Its Regions — https://doi.org/10.15290/sup.2024.08.08</w:t>
      </w:r>
    </w:p>
    <w:p>
      <w:pPr/>
      <w:r>
        <w:rPr>
          <w:b/>
        </w:rPr>
        <w:t>Shared claim-specific concepts:</w:t>
      </w:r>
      <w:r>
        <w:t xml:space="preserve"> socio-economic, currently; EU scope visible. This is a provisional connection, not an outcome finding.</w:t>
      </w:r>
    </w:p>
    <w:p>
      <w:pPr>
        <w:pStyle w:val="SourceNote"/>
      </w:pPr>
      <w:r>
        <w:rPr>
          <w:b/>
        </w:rPr>
        <w:t>Available abstract (not full text):</w:t>
      </w:r>
      <w:r>
        <w:t xml:space="preserve"> Goal – the subject of research in this study is the regional policy of Lithuania, which aims to support the balanced socio-economic development of all regions and cities. Persistent disparities in the development of regions constitute a significant challenge for the national regional policy. The main objective of the research is to demonstrate the importance of Lithuania’s regional policy in reducing the spatial disparities in the country. Research methodology – the following research methods were used to achieve the set goal: analysis of background data, statistical analysis and comparative method. The source of information include the data from Statistics Lithuania (SL), reports of the Ministry of Finance of Lithuania and other analytical studies for the period 2012–20221. Score/results – the authors assumed that regional policy in Lithuania is not very effective in reducing regional polarisation. The results of the conducted research showed persistent interregional differentiation at the county level. The pursuit of achieving socio-economic cohesion is mainly realised through the European Union funds. The planned distribution of these funds under the 2021–2027 multiannual financial framework may result in further consolidation of uneven development at the national level. ‣‣Originality/value – the analysis carried out in the article made it possible to assess the differences </w:t>
      </w:r>
    </w:p>
    <w:p>
      <w:pPr/>
      <w:r>
        <w:rPr>
          <w:b/>
        </w:rPr>
        <w:t>POSSIBLE 2023:</w:t>
      </w:r>
      <w:r>
        <w:t xml:space="preserve"> Harnessing on the potential of migrants in the socio-economic development of the Republic of Moldova — https://doi.org/10.53486/2537-6179.9-1.01</w:t>
      </w:r>
    </w:p>
    <w:p>
      <w:pPr/>
      <w:r>
        <w:rPr>
          <w:b/>
        </w:rPr>
        <w:t>Shared claim-specific concepts:</w:t>
      </w:r>
      <w:r>
        <w:t xml:space="preserve"> socio-economic, population, current, currently; EU scope visible. This is a provisional connection, not an outcome finding.</w:t>
      </w:r>
    </w:p>
    <w:p>
      <w:pPr>
        <w:pStyle w:val="SourceNote"/>
      </w:pPr>
      <w:r>
        <w:rPr>
          <w:b/>
        </w:rPr>
        <w:t>Available abstract (not full text):</w:t>
      </w:r>
      <w:r>
        <w:t xml:space="preserve"> Migration is an important component of the development of the Republic of Moldova at the current stage. The economic and social instability that followed after obtaining political independence in 1991, the inefficiency of reforms in several socio-economic fields, the institutional uncertainty led the population to migrate, this being a strategy to adapt it to the created conjuncture situation. The increase in intensity migration was also influenced by the processes of liberalization of entry and exit procedures from the territory of the Republic of Moldova. Currently, our country represents one of the countries in the world with the largest shares of the migrant working population, as well as the share of remittances in GDP, the effects of migration being felt in all areas of social-economic life in the country. Concern for the support of migrants over time has materialized through the creation of governmental structures with the aim of monitoring and launching various strategies, programs, projects addressed to citizens outside the country's borders. Ensuring the reintegration of returned migrants, after a migratory experience of work or life abroad, is of great importance both for citizens and for the state authorities that have the duty to support emigrant citizens regardless of their options to return or settle in the adoptive country. Through this scientific approach, the </w:t>
      </w:r>
    </w:p>
    <w:p>
      <w:pPr/>
      <w:r>
        <w:rPr>
          <w:b/>
        </w:rPr>
        <w:t>POSSIBLE 2023:</w:t>
      </w:r>
      <w:r>
        <w:t xml:space="preserve"> Working in (Slow) Progress: Socio-Environmental and Economic Dynamics in the Forestry Sector and the Contribution to Sustainable Development in Europe — https://doi.org/10.3390/su151310271</w:t>
      </w:r>
    </w:p>
    <w:p>
      <w:pPr/>
      <w:r>
        <w:rPr>
          <w:b/>
        </w:rPr>
        <w:t>Shared claim-specific concepts:</w:t>
      </w:r>
      <w:r>
        <w:t xml:space="preserve"> coherent, between, climate; EU scope visible. This is a provisional connection, not an outcome finding.</w:t>
      </w:r>
    </w:p>
    <w:p>
      <w:pPr>
        <w:pStyle w:val="SourceNote"/>
      </w:pPr>
      <w:r>
        <w:rPr>
          <w:b/>
        </w:rPr>
        <w:t>Available abstract (not full text):</w:t>
      </w:r>
      <w:r>
        <w:t xml:space="preserve"> Forest ecosystems are increasingly subject to disturbances, such as extreme (climate) events, fires and pathological outbreaks, which exert significant (and still poorly quantified) economic impacts, despite their intrinsic resilience. How forest management addresses these challenges will have profound effects on human health, environmental diversity, (ecological and economic) productivity and the ability of forest ecosystems to recovery from exogenous shocks. Assuming forests as ensuring ecosystem services that are vital to society and human well-being, in addition to providing wood material, a better knowledge of forest ecosystems appears a key requirement to delineate a developmental strategy that guarantees environmental protection objectives and achievement of climate and energy targets. In the context of Sustainable Development Goals of the United Nations 2030 Agenda, the information available on forest management practices in Europe still seems not completely suitable to provide a comprehensive overview of ecosystem conditions, their economic value, and their biodiversity. Based on a literature review, the present contribution focuses on recent dynamics of the forestry sector in Europe, delineating the inherent complexity in the environmental-economic nexus. Additionally, the extensive use of a key natural resource such as wood exerts social implications for local distri</w:t>
      </w:r>
    </w:p>
    <w:p>
      <w:pPr/>
      <w:r>
        <w:rPr>
          <w:b/>
        </w:rPr>
        <w:t>POSSIBLE 2023:</w:t>
      </w:r>
      <w:r>
        <w:t xml:space="preserve"> The role of agriculture in shaping the prospects of socio-economic development of Uzbekistan — https://doi.org/10.48077/scihor11.2023.155</w:t>
      </w:r>
    </w:p>
    <w:p>
      <w:pPr/>
      <w:r>
        <w:rPr>
          <w:b/>
        </w:rPr>
        <w:t>Shared claim-specific concepts:</w:t>
      </w:r>
      <w:r>
        <w:t xml:space="preserve"> socio-economic, population, current; EU scope not established. This is a provisional connection, not an outcome finding.</w:t>
      </w:r>
    </w:p>
    <w:p>
      <w:pPr>
        <w:pStyle w:val="SourceNote"/>
      </w:pPr>
      <w:r>
        <w:rPr>
          <w:b/>
        </w:rPr>
        <w:t>Available abstract (not full text):</w:t>
      </w:r>
      <w:r>
        <w:t xml:space="preserve"> The role of agriculture in ensuring food security, creating jobs, and generating export earnings makes it particularly relevant to analyse the impact of this sector on the socio-economic development of the country. The research aims to analyse and assess the impact of agriculture on the socio-economic development of Uzbekistan. To achieve the goal, the indicators of the agricultural sector and socio-economic development from 2013 to 2022 were analysed. It is established that the natural resources of Uzbekistan play a crucial role in the development of agriculture. The analysis of diversified trends in agriculture emphasises the key role of this sector in the socio-economic progress of the country. Despite the variability, the growth in the share of agricultural land and rural population indicates the still high importance of agriculture. However, the decline in value added in the agricultural, forestry and fisheries sectors, as well as the low growth rate of cereal yields, reflects the current challenges in this area. Rising unemployment rates, as well as changes in exports and inflation rates, point to difficulties in the socioeconomic environment. In this light, the prospects for agricultural development as a key agent in improving the socio-economic situation are particularly important. Effective resource management, productivity improvement, job generation, product promotio</w:t>
      </w:r>
    </w:p>
    <w:p>
      <w:pPr/>
      <w:r>
        <w:rPr>
          <w:b/>
        </w:rPr>
        <w:t>POSSIBLE 2023:</w:t>
      </w:r>
      <w:r>
        <w:t xml:space="preserve"> Interrogating Challenges of Sectarianism, Terrorism and Socio-Economic Development of Nigeria. — https://openalex.org/W7216752277</w:t>
      </w:r>
    </w:p>
    <w:p>
      <w:pPr/>
      <w:r>
        <w:rPr>
          <w:b/>
        </w:rPr>
        <w:t>Shared claim-specific concepts:</w:t>
      </w:r>
      <w:r>
        <w:t xml:space="preserve"> socio-economic, population, current, rise; EU scope not established. This is a provisional connection, not an outcome finding.</w:t>
      </w:r>
    </w:p>
    <w:p>
      <w:pPr>
        <w:pStyle w:val="SourceNote"/>
      </w:pPr>
      <w:r>
        <w:rPr>
          <w:b/>
        </w:rPr>
        <w:t>Available abstract (not full text):</w:t>
      </w:r>
      <w:r>
        <w:t xml:space="preserve"> This paper examined the challenges of sectarian and terrorism crises with special focus on Boko Haram terrorism and its effects on the socio-economic development of Nigeria. Sectarianism and terrorism is a canker worm that has eaten deep into the fabrics of the Nigerian state with its negative implications on the well-being of the people. To achieve this objective, the paper adopted the descriptive design as a basis of analysis. The paper also employed the State Failure theory as a framework of analysis. The choice of this theory is in line with the inability of the Nigeria state to address the seemingly intractable sectarian and most recently, the Boko-Haram crisis which has threatened her corporate existence over the years. There exist several religions in Nigeria and many of them are exploited for political gains. Within the last couple of decades, Nigeria has witnessed astronomical rise in the number of radical Islamic sects notably among them, Maitasine, Darul Islam, and Boko Haram. These sects have resorted to the use of violence in a bid to realize their ambitions of a wider islamization of the Nigerian population. Three of the most prominent perspectives shared on the rise of these radical movements are: poor socio-economic infrastructures and poor governance, poverty and aiding of religious extremism by politicians for their selfish ambition. This study reveals that wh</w:t>
      </w:r>
    </w:p>
    <w:p>
      <w:pPr>
        <w:pStyle w:val="Heading2"/>
      </w:pPr>
      <w:r>
        <w:t>877. Futurescapes: expectations in Europe for relative effectiveness evidence for drugs in 2020</w:t>
      </w:r>
    </w:p>
    <w:p>
      <w:pPr>
        <w:pStyle w:val="SourceNote"/>
      </w:pPr>
      <w:r>
        <w:rPr>
          <w:b/>
        </w:rPr>
        <w:t>Original source (2015):</w:t>
      </w:r>
      <w:r>
        <w:t xml:space="preserve"> https://doi.org/10.2217/cer.15.7</w:t>
      </w:r>
    </w:p>
    <w:p>
      <w:pPr/>
      <w:r>
        <w:t>Original wording (abstract; indexed_source_text_not_full_document_verified): The most likely scenario entailed some change with postlaunch regulatory studies driving the likely nature of RE evidence generated.</w:t>
      </w:r>
    </w:p>
    <w:p>
      <w:pPr/>
      <w:r>
        <w:rPr>
          <w:b/>
        </w:rPr>
        <w:t>POSSIBLE 2025:</w:t>
      </w:r>
      <w:r>
        <w:t xml:space="preserve"> Seasonal Climate Change in Europe Over the Last Thousand Years as a Social Challenge — https://doi.org/10.1093/acrefore/9780190228620.013.980</w:t>
      </w:r>
    </w:p>
    <w:p>
      <w:pPr/>
      <w:r>
        <w:rPr>
          <w:b/>
        </w:rPr>
        <w:t>Shared claim-specific concepts:</w:t>
      </w:r>
      <w:r>
        <w:t xml:space="preserve"> likely, entailed; EU scope visible. This is a provisional connection, not an outcome finding.</w:t>
      </w:r>
    </w:p>
    <w:p>
      <w:pPr>
        <w:pStyle w:val="SourceNote"/>
      </w:pPr>
      <w:r>
        <w:rPr>
          <w:b/>
        </w:rPr>
        <w:t>Available abstract (not full text):</w:t>
      </w:r>
      <w:r>
        <w:t xml:space="preserve"> Abstract This is likely the first time that a climatologist and a historian have jointly written a book about seasonal temperature conditions and their societal impact. Together, they reconstructed and climatologically interpreted weather reports in historical documents. Results were compared with population trends. Narrative reports often include proxy data such as plant development and reports about ice and snow cover. From this information, a seven-level temperature index is obtained for statistically estimating seasonal and annual temperature conditions. Before the 20th century, changes in the Earth’s orbital motion significantly influenced the millennial-scale decline in annual temperatures since the mid-Holocene, with a low point in the 19th century. Without the use of fossil fuels, the 20th century would have been even colder than the late 19th century. At the decadal to secular time scale, temperature fluctuations before the massive increase in greenhouse gases in the 20th century were mainly influenced by groups of volcanic eruptions, fluctuations in solar activity, and the internal (stochastic) system variability of the climate system. Winters were cold throughout the millennium. Summers were mostly balanced, disregarding a high number of warm summers in the 13th century, which allowed figs and olives to ripen in the Cologne area. The anthropogenic long-term rise in a</w:t>
      </w:r>
    </w:p>
    <w:p>
      <w:pPr/>
      <w:r>
        <w:rPr>
          <w:b/>
        </w:rPr>
        <w:t>POSSIBLE 2023:</w:t>
      </w:r>
      <w:r>
        <w:t xml:space="preserve"> A Governance Analysis of BEFIT: How the Member States’ Wish to Obtain more Regulatory Authority is Driving a Revolution — https://doi.org/10.54648/ecta2023025</w:t>
      </w:r>
    </w:p>
    <w:p>
      <w:pPr/>
      <w:r>
        <w:rPr>
          <w:b/>
        </w:rPr>
        <w:t>Shared claim-specific concepts:</w:t>
      </w:r>
      <w:r>
        <w:t xml:space="preserve"> regulatory, driving; EU scope visible. This is a provisional connection, not an outcome finding.</w:t>
      </w:r>
    </w:p>
    <w:p>
      <w:pPr>
        <w:pStyle w:val="SourceNote"/>
      </w:pPr>
      <w:r>
        <w:rPr>
          <w:b/>
        </w:rPr>
        <w:t>Available abstract (not full text):</w:t>
      </w:r>
      <w:r>
        <w:t xml:space="preserve"> This contribution analyses the ongoing BEFIT proposal (Business in Europe: Framework for Income Taxation) of the EC (European Commission) from a governance perspective. For this matter, it considers the proposed replacement of the arm’s length standard with a system of unitary taxation and formulary apportionment (FA) as a changing regulation strategy to tax multinational companies. It argues that the BEFIT proposal indicates a change from a reflexive regulation strategy to a command and control regulation strategy. The future approval of this proposal would imply that the Member States no longer want to count on the relative freedom of taxpayers to allocate profits, but attempt to take full responsibility for that allocation instead. This contribution concludes that this wish of the Member States to obtain more regulatory authority to tax multinational companies is the catalyst of the ongoing BEFIT revolution. BEFIT, harmonization, transfer pricing, arm’s length principle, formulary apportionment, unitary taxation, regulatory authority</w:t>
      </w:r>
    </w:p>
    <w:p>
      <w:pPr>
        <w:pStyle w:val="Heading2"/>
      </w:pPr>
      <w:r>
        <w:t>878. How far away is hydrogen? Its role in the medium and long-term decarbonisation of the European energy system</w:t>
      </w:r>
    </w:p>
    <w:p>
      <w:pPr>
        <w:pStyle w:val="SourceNote"/>
      </w:pPr>
      <w:r>
        <w:rPr>
          <w:b/>
        </w:rPr>
        <w:t>Original source (2015):</w:t>
      </w:r>
      <w:r>
        <w:t xml:space="preserve"> https://doi.org/10.1016/j.ijhydene.2015.09.004</w:t>
      </w:r>
    </w:p>
    <w:p>
      <w:pPr/>
      <w:r>
        <w:t>Original wording (abstract; indexed_source_text_not_full_document_verified): In this paper, the JRC-EU-TIMES model – a bottom-up, technology-rich model of the EU28 energy system – is used to assess the role of hydrogen in a future decarbonised Europe under two climate scenarios, current policy initiative (CPI) and long-term decarbonisation (CAP). Our results indicate that hydrogen could become a viable option already in 2030 – however, a long-term CO 2 cap is needed to sustain the transition.</w:t>
      </w:r>
    </w:p>
    <w:p>
      <w:pPr/>
      <w:r>
        <w:rPr>
          <w:b/>
        </w:rPr>
        <w:t>POSSIBLE 2026:</w:t>
      </w:r>
      <w:r>
        <w:t xml:space="preserve"> JRC Statistical Audit of the Quality of Life index — https://doi.org/10.2760/3318126</w:t>
      </w:r>
    </w:p>
    <w:p>
      <w:pPr/>
      <w:r>
        <w:rPr>
          <w:b/>
        </w:rPr>
        <w:t>Shared claim-specific concepts:</w:t>
      </w:r>
      <w:r>
        <w:t xml:space="preserve"> two, initiative; EU scope not established. This is a provisional connection, not an outcome finding.</w:t>
      </w:r>
    </w:p>
    <w:p>
      <w:pPr>
        <w:pStyle w:val="SourceNote"/>
      </w:pPr>
      <w:r>
        <w:rPr>
          <w:b/>
        </w:rPr>
        <w:t>Available abstract (not full text):</w:t>
      </w:r>
      <w:r>
        <w:t xml:space="preserve"> The JRC-COIN statistical audit finds that the Human Rights Measurement Initiative’s income-adjusted Quality of Life (QoL) Index rests on a strong and transparent methodological foundation and provides a credible basis for comparing countries’ performance on economic and social rights. Covering 18 indicators across five pillars and two income-specific indicator sets, the audit successfully reproduced the published results, found generally satisfactory data quality and correlation patterns, and showed that most indicators carry meaningful information into the overall index. Some weaker links remain, in the Health, Housing and Food dimensions and in the education-quality indicator for low- and middle-income countries. Sensitivity and uncertainty analysis based on 4 000 alternative model runs shows that the index is robust overall: 78 % of low- and middle-income country scores and 95 % of high-income country scores are robust to frontier estimation and penalty strength. At the same time, the audit identifies practical ways to strengthen the framework, including replacing weakly aligned indicators, shortening the 10-year imputation look-back period where feasible, and considering more transparent frontier-setting methods such as Data Envelopment Analysis. For policymakers, the message is clear: the HRMI QoL Index is already a valuable tool for monitoring rights performance, and targ</w:t>
      </w:r>
    </w:p>
    <w:p>
      <w:pPr/>
      <w:r>
        <w:rPr>
          <w:b/>
        </w:rPr>
        <w:t>POSSIBLE 2026:</w:t>
      </w:r>
      <w:r>
        <w:t xml:space="preserve"> Modeling soil solution electrical conductivity across Europe — https://doi.org/10.1016/j.scitotenv.2026.182021</w:t>
      </w:r>
    </w:p>
    <w:p>
      <w:pPr/>
      <w:r>
        <w:rPr>
          <w:b/>
        </w:rPr>
        <w:t>Shared claim-specific concepts:</w:t>
      </w:r>
      <w:r>
        <w:t xml:space="preserve"> used, climate; EU scope visible. This is a provisional connection, not an outcome finding.</w:t>
      </w:r>
    </w:p>
    <w:p>
      <w:pPr>
        <w:pStyle w:val="SourceNote"/>
      </w:pPr>
      <w:r>
        <w:rPr>
          <w:b/>
        </w:rPr>
        <w:t>Available abstract (not full text):</w:t>
      </w:r>
      <w:r>
        <w:t xml:space="preserve"> Soil salinization, referring to the excessive accumulation of soluble salts in soils, adversely influences nutrient cycling, biodiversity, soil structure, crop production, soil health, and ecosystem functioning. Accurately assessing soil salinity via electrical conductivity (EC) is key to mitigating its impacts. Thus, developing predictive tools for soil EC at regional and continental scales is essential for sustainable soil management. Here, we apply machine learning models to predict soil EC in the European Union (EU) and United Kingdom (UK) soils using different environmental factors like soil, climate, topography, and satellite data as predictors. The model is trained by ≈40,000 soil EC data points from the 2015 and 2018 Land Use/Cover Area Frame Survey data (LUCAS) surveys, complemented by the EC observations from World Soil Information Services (WoSIS) dataset. To improve the model performance, a forward feature selection technique was used resulting in selection of 17 covariates out of initially 34 predictors. The final selected XGBoost model achieved R 2 values of 0.68, 0.6, and 0.63 for the training, internal testing, and independent validation datasets, respectively. For the year 2018, we estimate ≈21.7 Mha of EU + UK land exceeds an EC of 0.6 dS/m (at a 1:5 soil to water ratio, the so-called EC 1:5 ). This estimate should be interpreted as elevated predicted EC 1:5, </w:t>
      </w:r>
    </w:p>
    <w:p>
      <w:pPr/>
      <w:r>
        <w:rPr>
          <w:b/>
        </w:rPr>
        <w:t>POSSIBLE 2026:</w:t>
      </w:r>
      <w:r>
        <w:t xml:space="preserve"> Determinants of Beef Trade Between the EU and South America and the Implications of the EU–Mercosur Agreement for the European Beef Sector — https://doi.org/10.3390/su18052172</w:t>
      </w:r>
    </w:p>
    <w:p>
      <w:pPr/>
      <w:r>
        <w:rPr>
          <w:b/>
        </w:rPr>
        <w:t>Shared claim-specific concepts:</w:t>
      </w:r>
      <w:r>
        <w:t xml:space="preserve"> used, assess, indicate, become; EU scope visible. This is a provisional connection, not an outcome finding.</w:t>
      </w:r>
    </w:p>
    <w:p>
      <w:pPr>
        <w:pStyle w:val="SourceNote"/>
      </w:pPr>
      <w:r>
        <w:rPr>
          <w:b/>
        </w:rPr>
        <w:t>Available abstract (not full text):</w:t>
      </w:r>
      <w:r>
        <w:t xml:space="preserve"> This study aimed to identify changes in beef trade between the European Union and South American countries and to assess the potential economic impact of implementing the EU–Mercosur agreement on the beef market. The research problem asked: How might trade liberalisation under the EU–Mercosur agreement affect the volume, structure, and competitiveness of the beef market between the EU and Mercosur countries? The research used data on beef production, import, export, and consumption in the European Union and South America. The detailed analysis covered the years 2010–2024. In addition, based on USDA data, a forecast of beef production in the EU and Mercosur countries up to 2030 was prepared. The analyses employed descriptive and indicator methods, Spearman’s rank correlation analysis, and the ARDL (Autoregressive Distributed Lags) model. The results indicate that beef production is increasing in the Mercosur countries and declining in the European Union. The ARDL models showed that beef trade depends on previous production and demand, and imports to the EU respond to changes in these areas with a delay. Increasing the tariff quota for beef imports from the Mercosur countries to the EU at a reduced customs rate may increase the share of this meat in the EU market. Preferential trade conditions raise concerns among EU producers, who must comply with stricter environmental standard</w:t>
      </w:r>
    </w:p>
    <w:p>
      <w:pPr/>
      <w:r>
        <w:rPr>
          <w:b/>
        </w:rPr>
        <w:t>POSSIBLE 2025:</w:t>
      </w:r>
      <w:r>
        <w:t xml:space="preserve"> Monitoring the impact of EU F-gas regulation on HFC-134a emissions through a comparison of top-down and bottom-up estimates — https://doi.org/10.1186/s12302-025-01081-1</w:t>
      </w:r>
    </w:p>
    <w:p>
      <w:pPr/>
      <w:r>
        <w:rPr>
          <w:b/>
        </w:rPr>
        <w:t>Shared claim-specific concepts:</w:t>
      </w:r>
      <w:r>
        <w:t xml:space="preserve"> bottom-up, used, two; EU scope visible. This is a provisional connection, not an outcome finding.</w:t>
      </w:r>
    </w:p>
    <w:p>
      <w:pPr>
        <w:pStyle w:val="SourceNote"/>
      </w:pPr>
      <w:r>
        <w:rPr>
          <w:b/>
        </w:rPr>
        <w:t>Available abstract (not full text):</w:t>
      </w:r>
      <w:r>
        <w:t xml:space="preserve"> Abstract HFC-134a is the most prevalent hydrofluorocarbon used as a replacement for ozone-depleting CFCs and HCFCs. Due to its high global warming potential, it is regulated under various European and global frameworks, underscoring the importance of tracking its emissions. Emissions derived by the commonly used, bottom-up, methodology are affected by a certain degree of uncertainty. The bottom-up estimates can be aided with an independent top-down estimate based on atmospheric observations combined with an atmospheric transport model. This study presents HFC-134a emissions for Europe, with a specific focus on Italy, from 2008 to 2023. The emissions were estimated using a Bayesian inversion methodology, based on atmospheric observations collected at four European stations. Our analysis reveals a slightly increasing trend in HFC-134a emissions for Italy from 2008 to 2015 of 0.17 Gg/yr, followed by a steady decrease thereafter, highlighting the effect of European regulation on fluorinated gases that came into force in 2014. We observed a reduction in HFC-134a emissions in the Po Basin inferred from the inversion method for 2020, likely due to mobility restrictions imposed during the COVID-19 pandemic. The observed mild seasonality in emissions may be partly attributed to higher air-conditioning activity during summer. A comparison with the Italian national emission inventories sh</w:t>
      </w:r>
    </w:p>
    <w:p>
      <w:pPr/>
      <w:r>
        <w:rPr>
          <w:b/>
        </w:rPr>
        <w:t>POSSIBLE 2024:</w:t>
      </w:r>
      <w:r>
        <w:t xml:space="preserve"> TIMES-Europe: An Integrated Energy System Model for Analyzing Europe’s Energy and Climate Challenges — https://doi.org/10.1007/s10666-024-09976-8</w:t>
      </w:r>
    </w:p>
    <w:p>
      <w:pPr/>
      <w:r>
        <w:rPr>
          <w:b/>
        </w:rPr>
        <w:t>Shared claim-specific concepts:</w:t>
      </w:r>
      <w:r>
        <w:t xml:space="preserve"> energy, system, used, role, climate; EU scope visible. This is a provisional connection, not an outcome finding.</w:t>
      </w:r>
    </w:p>
    <w:p>
      <w:pPr>
        <w:pStyle w:val="SourceNote"/>
      </w:pPr>
      <w:r>
        <w:rPr>
          <w:b/>
        </w:rPr>
        <w:t>Available abstract (not full text):</w:t>
      </w:r>
      <w:r>
        <w:t xml:space="preserve"> Abstract This paper introduces TIMES-Europe, a novel integrated multi-sectoral energy system optimization model for Europe based on the TIMES generator. We describe its main specifications and assumptions as well as its underlying methodology, and summarize the type of policy questions that it can help answering. TIMES-Europe can be used to analyze policy instruments designed for implementing the EU Green Deal and Fit-for-55 program, and to create strategic energy decarbonization and climate change mitigation insights for Europe against the backdrop of its interactions and relations with neighboring countries. Thanks to its technology richness across all main sectors—including power production, transport, industry and the commercial, agricultural and residential sectors—it allows for performing in-depth studies on the role of a large range of low-carbon options in the energy transition of all European countries, both jointly and individually. Three characteristics render TIMES-Europe particularly valuable: (1) it covers the entire European energy system and its main greenhouse gas emissions, (2) it includes all EU member states individually as well as a large set of countries in the EU’s vicinity, and (3) it can be used to generate high-level strategic insights as well as detailed recommendations for both national and EU policies. TIMES-Europe is especially suitable for analyzi</w:t>
      </w:r>
    </w:p>
    <w:p>
      <w:pPr/>
      <w:r>
        <w:rPr>
          <w:b/>
        </w:rPr>
        <w:t>POSSIBLE 2024:</w:t>
      </w:r>
      <w:r>
        <w:t xml:space="preserve"> JRC Nuclear foresight workshop on shaping the future for nuclear safety, security and safeguards: Factors, Forces and Challenges — https://doi.org/10.2760/6469488</w:t>
      </w:r>
    </w:p>
    <w:p>
      <w:pPr/>
      <w:r>
        <w:rPr>
          <w:b/>
        </w:rPr>
        <w:t>Shared claim-specific concepts:</w:t>
      </w:r>
      <w:r>
        <w:t xml:space="preserve"> system, role, initiative, long-term; EU scope visible. This is a provisional connection, not an outcome finding.</w:t>
      </w:r>
    </w:p>
    <w:p>
      <w:pPr>
        <w:pStyle w:val="SourceNote"/>
      </w:pPr>
      <w:r>
        <w:rPr>
          <w:b/>
        </w:rPr>
        <w:t>Available abstract (not full text):</w:t>
      </w:r>
      <w:r>
        <w:t xml:space="preserve"> The European Commission Joint Research Centre (JRC) provides independent, evidence-based knowledge to support EU policies. In 2023, the JRC released its revitalized Strategy 2030, reaffirming the role of its nuclear activities with a systemic approach across portfolios. The strategy envisions both medium and long-term horizons, incorporating key foresight elements.Inspired by the JRC Euratom Horizon Scanning, the European Strategy and Policy Analysis System (ESPAS), and the IAEA Drivers 2057 card deck, five JRC portfolios collaborated to enhance their synergy. They organized a foresight workshop on nuclear safety, security, and safeguards, focusing on five Drivers 2057 relevant to Europe: Safety &amp; Security, Green, Digital, Dual Use, and Fairness.The workshop, held during the JRC’s 60th anniversary of Nuclear Safety and Security activities, included keynote addresses, an introduction to Euratom foresight, and sessions on future factors, forces, and challenges. Participants discussed the JRC’s roles in navigating trends up to 2057, when Euratom will celebrate its 100th anniversary.The report details the workshop’s purpose, process, and organization as a complementary initiative to Euratom Horizon Scanning. It includes considerations and recommendations for each Euratom Driver 2057, addressing future scenarios, enablers, challenges, and potential disruptions. Participants also env</w:t>
      </w:r>
    </w:p>
    <w:p>
      <w:pPr/>
      <w:r>
        <w:rPr>
          <w:b/>
        </w:rPr>
        <w:t>POSSIBLE 2022:</w:t>
      </w:r>
      <w:r>
        <w:t xml:space="preserve"> Development of Photovoltaic Energy in EU Countries as an Alternative to Fossil Fuels — https://doi.org/10.3390/en15020662</w:t>
      </w:r>
    </w:p>
    <w:p>
      <w:pPr/>
      <w:r>
        <w:rPr>
          <w:b/>
        </w:rPr>
        <w:t>Shared claim-specific concepts:</w:t>
      </w:r>
      <w:r>
        <w:t xml:space="preserve"> energy, used, climate, long-term; EU scope visible. This is a provisional connection, not an outcome finding.</w:t>
      </w:r>
    </w:p>
    <w:p>
      <w:pPr>
        <w:pStyle w:val="SourceNote"/>
      </w:pPr>
      <w:r>
        <w:rPr>
          <w:b/>
        </w:rPr>
        <w:t>Available abstract (not full text):</w:t>
      </w:r>
      <w:r>
        <w:t xml:space="preserve"> The aim of the article is to present the development of photovoltaic energy in the EU countries as one of the alternatives to fossil fuels. The article was prepared on the basis of secondary information and statistical data on the photovoltaic energy market in EU countries, and three hypotheses were formulated: H1—There is a statistically significant correlation between a country’s long-term orientation and its use of photovoltaic energy in European Union countries; H2—There is a statistically significant correlation between GDP per capita and photovoltaic energy use in European Union countries; and H3—There is a relationship between climate and photovoltaic energy use in European Union countries. Correlation coefficients and the Guilford classification were used to analyse the data. Data analysis has shown that photovoltaic energy is the second fastest-growing energy source in the EU, after wind energy. In 2020, 134 TWh of solar energy was produced in the EU countries. Based on the analysis, it can be concluded that there is a statistically significant correlation between the production of photovoltaic energy per person and the level of GDP per capita in the EU countries (Hypothesis 2). Germany and the Netherlands produce the most solar energy. The studies did not confirm Hypothesis 3; however, it can be seen that countries such as Germany, Belgium and the Netherlands have the</w:t>
      </w:r>
    </w:p>
    <w:p>
      <w:pPr/>
      <w:r>
        <w:rPr>
          <w:b/>
        </w:rPr>
        <w:t>POSSIBLE 2021:</w:t>
      </w:r>
      <w:r>
        <w:t xml:space="preserve"> Second bottom-up model simulations : Deliverably D3.5 — https://openalex.org/W3211137343</w:t>
      </w:r>
    </w:p>
    <w:p>
      <w:pPr/>
      <w:r>
        <w:rPr>
          <w:b/>
        </w:rPr>
        <w:t>Shared claim-specific concepts:</w:t>
      </w:r>
      <w:r>
        <w:t xml:space="preserve"> bottom-up, system, role; EU scope visible. This is a provisional connection, not an outcome finding.</w:t>
      </w:r>
    </w:p>
    <w:p>
      <w:pPr>
        <w:pStyle w:val="SourceNote"/>
      </w:pPr>
      <w:r>
        <w:rPr>
          <w:b/>
        </w:rPr>
        <w:t>Available abstract (not full text):</w:t>
      </w:r>
      <w:r>
        <w:t xml:space="preserve"> Models play a crucial role in the quantification of GHG emissions. They can extrapolate and interpolate measurements spatially and temporally. Different models are designed for different purposes, from data-driven models that make the most efficient use of existing data, to process-based models which provide increased resolution of underlying driving mechanisms. VERIFY incorporates a wide variety of different model types to enable the system to respond to a far-reaching host of questions.Therefore, the aim of this WP is to simulate terrestrial carbon fluxes in both natural and anthropogenic systems. Using harmonized input data collected and reported on in D3.2, WP3 produced a variety of gridded flux and stock estimates of carbon within Europe. This particular deliverable shows carbon dioxide emissions from croplands, grasslands, and forests across the continent, using a variety of approaches. These approaches include models making extensive use of country-level statistics, those aiming for comprehensive descriptions of ecosystem processes, and statistical upscaling of site-level results to the continental scale.This deliverable provides details about the results of the second round of simulations from the bottom-up land models. Simulation methods will be improved during the course of the project, reflecting new scientific and technical understanding.</w:t>
      </w:r>
    </w:p>
    <w:p>
      <w:pPr/>
      <w:r>
        <w:rPr>
          <w:b/>
        </w:rPr>
        <w:t>POSSIBLE 2021:</w:t>
      </w:r>
      <w:r>
        <w:t xml:space="preserve"> Electric vehicle charging network in Europe: An accessibility and deployment trends analysis — https://doi.org/10.1016/j.trd.2021.102813</w:t>
      </w:r>
    </w:p>
    <w:p>
      <w:pPr/>
      <w:r>
        <w:rPr>
          <w:b/>
        </w:rPr>
        <w:t>Shared claim-specific concepts:</w:t>
      </w:r>
      <w:r>
        <w:t xml:space="preserve"> bottom-up; EU scope visible. This is a provisional connection, not an outcome finding.</w:t>
      </w:r>
    </w:p>
    <w:p>
      <w:pPr>
        <w:pStyle w:val="SourceNote"/>
      </w:pPr>
      <w:r>
        <w:rPr>
          <w:b/>
        </w:rPr>
        <w:t>Available abstract (not full text):</w:t>
      </w:r>
      <w:r>
        <w:t xml:space="preserve"> If coupled with a low-carbon electricity mix, electric vehicles (EVs) can represent an important technology for transport decarbonization and local pollutants abatement. Yet, to ensure large-scale EVs adoption, an adequate charging stations network must be developed. This paper provides the first comprehensive bottom-up analysis of the EV charging network in Europe. Combining a crowd-sourced database of charging stations with accessibility data and algorithms, we produce maps of the travel time to the most accessible EV charging station across Europe, we evaluate the charging points density and the number of active operators in different areas. We find that although recent years have witnessed a notable expansion of the EV charging network, stark inequalities persist across and within countries, both in terms of accessibility and of the charging points available to users. Our results allow for a better understanding of some of the key challenges ahead for ensuring mass EVs adoption throughout Europe and thus potentially reducing the environmental impact of the transport sector.</w:t>
      </w:r>
    </w:p>
    <w:p>
      <w:pPr/>
      <w:r>
        <w:rPr>
          <w:b/>
        </w:rPr>
        <w:t>POSSIBLE 2021:</w:t>
      </w:r>
      <w:r>
        <w:t xml:space="preserve"> Tightening EU ETS targets in line with the European Green Deal: Impacts on the decarbonization of the EU power sector — https://doi.org/10.1016/j.apenergy.2021.116914</w:t>
      </w:r>
    </w:p>
    <w:p>
      <w:pPr/>
      <w:r>
        <w:rPr>
          <w:b/>
        </w:rPr>
        <w:t>Shared claim-specific concepts:</w:t>
      </w:r>
      <w:r>
        <w:t xml:space="preserve"> system, hydrogen, climate, current; EU scope visible. This is a provisional connection, not an outcome finding.</w:t>
      </w:r>
    </w:p>
    <w:p>
      <w:pPr>
        <w:pStyle w:val="SourceNote"/>
      </w:pPr>
      <w:r>
        <w:rPr>
          <w:b/>
        </w:rPr>
        <w:t>Available abstract (not full text):</w:t>
      </w:r>
      <w:r>
        <w:t xml:space="preserve"> The EU Green Deal calls for climate neutrality by 2050 and emission reductions of 50–55% in 2030 in comparison to 1990. Achieving these reductions requires a substantial tightening of the regulations of the EU emissions trading system (EU ETS). This paper explores how the power sector would have to change in reaction to a tighter EU ETS target, and analyses the technological and economic implications. To cover the major ETS sectors, we combine a detailed power sector model with a marginal-abatement cost curve representation of industry emission abatement. We find that tightening the target would speed up the transformation by 3–17 years for different parts of the electricity system, with renewables contributing 74% of the electricity in 2030, EU-wide coal use almost completely phased-out by 2030 instead of 2045, and zero electricity generation emissions reached by 2040. Carbon prices within the EU ETS would more than triple to 129€/tCO2 in 2030, reducing cumulated power sector emissions from 2017 to 2057 by 54% compared to a scenario with the current target. This transformation would come at limited costs: total discounted power system costs would only increase by 5%. We test our findings against a number of sensitivities: an increased electricity demand, which might arise from sector coupling, increases deployment of wind and solar and prolongs gas usage. Not allowing transmis</w:t>
      </w:r>
    </w:p>
    <w:p>
      <w:pPr/>
      <w:r>
        <w:rPr>
          <w:b/>
        </w:rPr>
        <w:t>POSSIBLE 2021:</w:t>
      </w:r>
      <w:r>
        <w:t xml:space="preserve"> The open source electricity Model Base for Europe - An engagement framework for open and transparent European energy modelling — https://doi.org/10.1016/j.energy.2021.121973</w:t>
      </w:r>
    </w:p>
    <w:p>
      <w:pPr/>
      <w:r>
        <w:rPr>
          <w:b/>
        </w:rPr>
        <w:t>Shared claim-specific concepts:</w:t>
      </w:r>
      <w:r>
        <w:t xml:space="preserve"> energy, system, used; EU scope visible. This is a provisional connection, not an outcome finding.</w:t>
      </w:r>
    </w:p>
    <w:p>
      <w:pPr>
        <w:pStyle w:val="SourceNote"/>
      </w:pPr>
      <w:r>
        <w:rPr>
          <w:b/>
        </w:rPr>
        <w:t>Available abstract (not full text):</w:t>
      </w:r>
      <w:r>
        <w:t xml:space="preserve"> The transition to a low carbon energy system as laid out in the Paris Agreement and the European Green Deal presents challenges that involve society at all levels from planners to consumers. A key challenge is the communication across these levels. Tools to foster engagement and discussion between the different actors are open-source models with a low threshold for uptake. This paper presents the Open-Source electricity Model Base for Europe an electricity sector engagement model covering all member states of the EU, Norway, Switzerland and the United Kingdom. Built in OSeMOSYS and available on GitHub, the model provides a starting point into energy systems modelling and can be further developed in a collaborative manner. It enables non-experts to develop an understanding of energy systems models and energy planning. Thereby, it can serve as an engagement tool to carry the debate on the future of the European power system beyond the academy, which might contribute to finding societal consensus on how to decarbonise our energy system. The model allows dynamic power sector expansion analysis of the European power system till 2050. It can be used for scenario analysis and is expandable to other sectors to analyse the benefits of sector coupling.</w:t>
      </w:r>
    </w:p>
    <w:p>
      <w:pPr/>
      <w:r>
        <w:rPr>
          <w:b/>
        </w:rPr>
        <w:t>POSSIBLE 2021:</w:t>
      </w:r>
      <w:r>
        <w:t xml:space="preserve"> How EU policies could reduce nutrient pollution in European inland and coastal waters — https://doi.org/10.1016/j.gloenvcha.2021.102281</w:t>
      </w:r>
    </w:p>
    <w:p>
      <w:pPr/>
      <w:r>
        <w:rPr>
          <w:b/>
        </w:rPr>
        <w:t>Shared claim-specific concepts:</w:t>
      </w:r>
      <w:r>
        <w:t xml:space="preserve"> system, current; EU scope visible. This is a provisional connection, not an outcome finding.</w:t>
      </w:r>
    </w:p>
    <w:p>
      <w:pPr>
        <w:pStyle w:val="SourceNote"/>
      </w:pPr>
      <w:r>
        <w:rPr>
          <w:b/>
        </w:rPr>
        <w:t>Available abstract (not full text):</w:t>
      </w:r>
      <w:r>
        <w:t xml:space="preserve"> Intensive agriculture and densely populated areas represent major sources of nutrient pollution for European inland and coastal waters, altering the aquatic ecosystems and affecting their capacity to provide ecosystem services and support economic activities. Ambitious water policies are in place in the European Union (EU) for protecting and restoring aquatic ecosystems under the Water Framework Directive and the Marine Strategy Framework Directive. This research quantified the current pressures of point and diffuse nitrogen and phosphorus emissions to European fresh and coastal waters (2005-2012), and analysed the effects of three policy scenarios of nutrient reduction: 1) the application of measures currently planned in the Rural Development Programmes and under the Urban Waste Water Treatment Directive (UWWTD); 2) the full implementation of the UWWTD and the absence of derogations in the Nitrates Directive; 3) high reduction of nutrient, using best technologies in wastewaters treatment and optimal fertilisation in agriculture. The results of the study show that for the period 2005-2012, the nitrogen load to European seas was 3.3-4.1 TgN/y and the phosphorus load was 0.26-0.30 TgP/y. Policy measures supporting technological improvements (third scenario) could decrease the nutrient export to the seas up to 14% for nitrogen and 20% for phosphorus, improving the ecological statu</w:t>
      </w:r>
    </w:p>
    <w:p>
      <w:pPr>
        <w:pStyle w:val="Heading2"/>
      </w:pPr>
      <w:r>
        <w:t>879. Imagining energy futures: Sociotechnical imaginaries of the future Smart Grid in Norway</w:t>
      </w:r>
    </w:p>
    <w:p>
      <w:pPr>
        <w:pStyle w:val="SourceNote"/>
      </w:pPr>
      <w:r>
        <w:rPr>
          <w:b/>
        </w:rPr>
        <w:t>Original source (2015):</w:t>
      </w:r>
      <w:r>
        <w:t xml:space="preserve"> https://doi.org/10.1016/j.erss.2015.08.015</w:t>
      </w:r>
    </w:p>
    <w:p>
      <w:pPr/>
      <w:r>
        <w:t>Original wording (abstract; indexed_source_text_not_full_document_verified): A future “Smart Grid” is increasingly being embraced in energy policies as a promising energy scenario for the future, with the introduction of “smart” electricity meters being seen as the first step. The paper suggests that increased openness and the inclusion of multiple perspectives and ways of knowing, inspired by post-normal science, could facilitate more careful consideration of potential social implications.</w:t>
      </w:r>
    </w:p>
    <w:p>
      <w:pPr/>
      <w:r>
        <w:rPr>
          <w:b/>
        </w:rPr>
        <w:t>POSSIBLE 2026:</w:t>
      </w:r>
      <w:r>
        <w:t xml:space="preserve"> Smart Grids — https://openalex.org/W7204067602</w:t>
      </w:r>
    </w:p>
    <w:p>
      <w:pPr/>
      <w:r>
        <w:rPr>
          <w:b/>
        </w:rPr>
        <w:t>Shared claim-specific concepts:</w:t>
      </w:r>
      <w:r>
        <w:t xml:space="preserve"> smart, grid, energy, electricity, perspectives; EU scope not established. This is a provisional connection, not an outcome finding.</w:t>
      </w:r>
    </w:p>
    <w:p>
      <w:pPr>
        <w:pStyle w:val="SourceNote"/>
      </w:pPr>
      <w:r>
        <w:rPr>
          <w:b/>
        </w:rPr>
        <w:t>Available abstract (not full text):</w:t>
      </w:r>
      <w:r>
        <w:t xml:space="preserve"> Smart Grids – Innovations for a Sustainable Future presents a timely and comprehensive exploration of how modern power systems are evolving to meet the demands of decarbonization, digitalization, and resilience. As electricity networks transition toward high shares of renewable energy, inverter-based resources, and data-driven operation, smart grids are emerging as the backbone of a sustainable energy future. This book brings together interdisciplinary perspectives on artificial intelligence in power systems, advanced microgrid control, renewable energy integration, cyber-physical security, electricity markets, and community-oriented energy solutions. It highlights how trustworthy AI, intelligent forecasting, decentralized control, and robust policy frameworks can work together to enhance grid reliability, flexibility, and transparency. By bridging technical innovation with market design and socio-technical considerations, the volume offers a holistic view of smart grid development that goes beyond conventional engineering approaches. Designed for researchers, engineers, policymakers, and advanced students, this book provides valuable insights, conceptual frameworks, and practical perspectives to support informed decision-making and innovation across the smart grid ecosystem, making it a useful reference for those shaping the next generation of sustainable, intelligent power sy</w:t>
      </w:r>
    </w:p>
    <w:p>
      <w:pPr/>
      <w:r>
        <w:rPr>
          <w:b/>
        </w:rPr>
        <w:t>POSSIBLE 2026:</w:t>
      </w:r>
      <w:r>
        <w:t xml:space="preserve"> Towards consumer-oriented smart grids : investigating consumer perspectives on the adoption of smart technologies and services — https://openalex.org/W7222853900</w:t>
      </w:r>
    </w:p>
    <w:p>
      <w:pPr/>
      <w:r>
        <w:rPr>
          <w:b/>
        </w:rPr>
        <w:t>Shared claim-specific concepts:</w:t>
      </w:r>
      <w:r>
        <w:t xml:space="preserve"> smart, grid, increasingly, energy, first, perspectives; EU scope visible. This is a provisional connection, not an outcome finding.</w:t>
      </w:r>
    </w:p>
    <w:p>
      <w:pPr>
        <w:pStyle w:val="SourceNote"/>
      </w:pPr>
      <w:r>
        <w:rPr>
          <w:b/>
        </w:rPr>
        <w:t>Available abstract (not full text):</w:t>
      </w:r>
      <w:r>
        <w:t xml:space="preserve"> Consumers are expected to play a central role in smart grids, and therefore, it is becoming increasingly important to identify and understand factors that influence consumer engagement in them through various smart grid technologies and services. This dissertation focuses on investigating consumer opinions, awareness, and experiences of key smart grid technologies and services, as well as on analysing factors and variables that influence their adoption. By providing insights for both theory and practice, the research carried out in this dissertation aims to support the development of consumer-oriented smart grids and to inform efforts to promote the adoption of smart grid technologies and services. The research conducted in the dissertation adopts both qualitative and quantitative methods. First, consumer perspectives towards demand response are investigated using a systematic review and thematic synthesis of previous European demand response projects. Secondly, to improve the understanding of the roles of trust and technological knowledge in affecting technology adoption in the smart grid context, a cross-sectional online questionnaire survey of Finnish consumers is carried out, and the data are analysed using path analysis. Lastly, a machine learning-based social media sentiment analysis is conducted to examine how consumer opinions of various smart grid technologies and beha</w:t>
      </w:r>
    </w:p>
    <w:p>
      <w:pPr/>
      <w:r>
        <w:rPr>
          <w:b/>
        </w:rPr>
        <w:t>POSSIBLE 2025:</w:t>
      </w:r>
      <w:r>
        <w:t xml:space="preserve"> Smart Grids and Sustainability: The Impact of Digital Technologies on the Energy Transition — https://doi.org/10.3390/en18092149</w:t>
      </w:r>
    </w:p>
    <w:p>
      <w:pPr/>
      <w:r>
        <w:rPr>
          <w:b/>
        </w:rPr>
        <w:t>Shared claim-specific concepts:</w:t>
      </w:r>
      <w:r>
        <w:t xml:space="preserve"> smart, grid, energy; EU scope visible. This is a provisional connection, not an outcome finding.</w:t>
      </w:r>
    </w:p>
    <w:p>
      <w:pPr>
        <w:pStyle w:val="SourceNote"/>
      </w:pPr>
      <w:r>
        <w:rPr>
          <w:b/>
        </w:rPr>
        <w:t>Available abstract (not full text):</w:t>
      </w:r>
      <w:r>
        <w:t xml:space="preserve"> Smart Grids (SG) represent a key element in the energy transition, facilitating the integration of renewable and conventional energy sources through the use of advanced digital technologies. This study analyzes the main research trends related to SG, energy efficiency, and the role of Artificial Intelligence (AI) and the Internet of Things (IoT) in smart energy management. Following the PRISMA protocol, 179 relevant academic articles indexed in the Scopus database were selected and analyzed using VOSviewer software, version 1.6.20, to identify the main thematic clusters. The results reveal a converging research focus on energy flow optimization, renewable energy integration, and the adoption of digital technologies—including cybersecurity solutions—to ensure grid efficiency, security, and resilience. The study confirms that digitalization acts as a key enabler for building a more sustainable and reliable energy system, aligned with the objectives of the European Union and the United Nations 2030 Agenda. The contribution of this work lies in its integrated approach to the analysis of digital technologies, linking the themes of efficiency, resilience, and infrastructure security, in order to provide valuable insights for future research and sustainable energy policy development.</w:t>
      </w:r>
    </w:p>
    <w:p>
      <w:pPr/>
      <w:r>
        <w:rPr>
          <w:b/>
        </w:rPr>
        <w:t>POSSIBLE 2023:</w:t>
      </w:r>
      <w:r>
        <w:t xml:space="preserve"> Smart Energy Meters for Smart Grids, an Internet of Things Perspective — https://doi.org/10.3390/en16041974</w:t>
      </w:r>
    </w:p>
    <w:p>
      <w:pPr/>
      <w:r>
        <w:rPr>
          <w:b/>
        </w:rPr>
        <w:t>Shared claim-specific concepts:</w:t>
      </w:r>
      <w:r>
        <w:t xml:space="preserve"> smart, grid, energy, electricity, meters, seen; EU scope not established. This is a provisional connection, not an outcome finding.</w:t>
      </w:r>
    </w:p>
    <w:p>
      <w:pPr>
        <w:pStyle w:val="SourceNote"/>
      </w:pPr>
      <w:r>
        <w:rPr>
          <w:b/>
        </w:rPr>
        <w:t>Available abstract (not full text):</w:t>
      </w:r>
      <w:r>
        <w:t xml:space="preserve"> Smart energy has evolved over the years to include multiple domains integrated across multiple technology themes, such as electricity, smart grid, and logistics, linked through communication technology and processed in the cloud in a holistic way to deliver on global challenges. Advances in sensing, communication, and computation technologies have been made that enable better smart system implementations. In smart energy systems, sensing technologies have spanned multiple domains with newer techniques that are more accurate, have greater dynamic ranges, and are more reliable. Similarly, communication techniques have now evolved into very high-speed, flexible, and dynamic systems. Computation techniques have seen a quantum leap with greater integration, powerful computing engines, and versatile software stacks that are easily available and modifiable. Finally, the system integration has also seen advances in the form of management, automation, and analytics paradigms. Consequently, smart energy systems have witnessed a revolutionary transformation. The complexity has correspondingly grown exponentially. With regard to smart meters, the measurement component has to scale up to meet the demands of the evolved energy eco-system by relying on the advancements offered. The internet of things (IoT) is a key technology enabler in this scenario, and the smart meter is a key component. I</w:t>
      </w:r>
    </w:p>
    <w:p>
      <w:pPr/>
      <w:r>
        <w:rPr>
          <w:b/>
        </w:rPr>
        <w:t>POSSIBLE 2023:</w:t>
      </w:r>
      <w:r>
        <w:t xml:space="preserve"> From Smart Grids to Super Smart Grids: A Roadmap for Strategic Demand Management for Next Generation SAARC and European Power Infrastructure — https://doi.org/10.1109/access.2023.3241686</w:t>
      </w:r>
    </w:p>
    <w:p>
      <w:pPr/>
      <w:r>
        <w:rPr>
          <w:b/>
        </w:rPr>
        <w:t>Shared claim-specific concepts:</w:t>
      </w:r>
      <w:r>
        <w:t xml:space="preserve"> smart, energy, electricity, step, multiple; EU scope visible. This is a provisional connection, not an outcome finding.</w:t>
      </w:r>
    </w:p>
    <w:p>
      <w:pPr>
        <w:pStyle w:val="SourceNote"/>
      </w:pPr>
      <w:r>
        <w:rPr>
          <w:b/>
        </w:rPr>
        <w:t>Available abstract (not full text):</w:t>
      </w:r>
      <w:r>
        <w:t xml:space="preserve"> Due to an increasing of demands of electricity in a world on regular basis, different continents will initiate a step towards transforming their smart grids infrastructure into super smart grids (SSGs), in which various countries in a continent will take a step towards an interconnection of their power system networks with one another to manage their futuristic demands conditions. The concept of SSGs system is predicated due to extensive use of modern technology, digital communication, machine learning and modern information techniques for the present power generating system to be more accurate and feature on balancing demand and supply. The SSGs uses renewable energy resources to support power system of multiple countries by reducing the greenhouse gases emissions. The main purpose of transforming smart grids into SSGs is to balance the demands and supply between multiple countries, if each country is not able to manage their own demands profiles. The environmental conditions, lack of energy management, intermittent nature of renewable energy resources and line losses are the major hurdles to provide regular supply. This research work focused about the hurdles in the form of technical challenges that will be arises in case of developing a futuristic SSGs for European and SAARC continents, and thus provide a valuable solution for it along with discussion about the future resear</w:t>
      </w:r>
    </w:p>
    <w:p>
      <w:pPr/>
      <w:r>
        <w:rPr>
          <w:b/>
        </w:rPr>
        <w:t>POSSIBLE 2023:</w:t>
      </w:r>
      <w:r>
        <w:t xml:space="preserve"> Smart grids: levers towards reducing disparities between cities or targets on the European energy innovation map? — https://openalex.org/W7113512371</w:t>
      </w:r>
    </w:p>
    <w:p>
      <w:pPr/>
      <w:r>
        <w:rPr>
          <w:b/>
        </w:rPr>
        <w:t>Shared claim-specific concepts:</w:t>
      </w:r>
      <w:r>
        <w:t xml:space="preserve"> smart, grid, energy, policies, science; EU scope visible. This is a provisional connection, not an outcome finding.</w:t>
      </w:r>
    </w:p>
    <w:p>
      <w:pPr>
        <w:pStyle w:val="SourceNote"/>
      </w:pPr>
      <w:r>
        <w:rPr>
          <w:b/>
        </w:rPr>
        <w:t>Available abstract (not full text):</w:t>
      </w:r>
      <w:r>
        <w:t xml:space="preserve"> The energy market liberalization in Europe strives to be more than an aggregation of functional energy national systems, but a smart and unified approach to a market subjected to various disparities amongst states. Given that states are characterized by distinctive levels of investments in the innovation sector, as well as the technological one, a swift and harmonized market liberalization seems to be more a desiderate, rather than an actual objective. The objective of this research is to deliberate and analyse to which extend a smart grid, in its whole mechanics, may reduce the number of disparities between European cities. Moreover, the research will try to depict a smart approach towards implementing successful models of smart grids on markets not yet matured. In this paper I will refine and further deliberate concepts that I have advanced during my Doctoral research in the field of energy market liberalization, but now on a more evolved and in-detail approach; trying to answer to questions such as: is the actual liberalized energy market capable to successfully sustain a smart grid/ smart network approach? And if yes, are the smart consumers enabled to use the advantages, such as smart metering, to full potential? The main result of this research will be to create a matrix, based on comparative research and case study approach, of existing capabilities on the Romanian energ</w:t>
      </w:r>
    </w:p>
    <w:p>
      <w:pPr/>
      <w:r>
        <w:rPr>
          <w:b/>
        </w:rPr>
        <w:t>POSSIBLE 2023:</w:t>
      </w:r>
      <w:r>
        <w:t xml:space="preserve"> Smart grid technologies and application in the sustainable energy transition: a review — https://doi.org/10.1080/14786451.2023.2222298</w:t>
      </w:r>
    </w:p>
    <w:p>
      <w:pPr/>
      <w:r>
        <w:rPr>
          <w:b/>
        </w:rPr>
        <w:t>Shared claim-specific concepts:</w:t>
      </w:r>
      <w:r>
        <w:t xml:space="preserve"> smart, grid, energy, electricity, facilitate; EU scope not established. This is a provisional connection, not an outcome finding.</w:t>
      </w:r>
    </w:p>
    <w:p>
      <w:pPr>
        <w:pStyle w:val="SourceNote"/>
      </w:pPr>
      <w:r>
        <w:rPr>
          <w:b/>
        </w:rPr>
        <w:t>Available abstract (not full text):</w:t>
      </w:r>
      <w:r>
        <w:t xml:space="preserve"> The smart grid is a product of the advances in computer and communication technology and power electronics that creates a more resilient, reliable and one that supports a two-way flow of electricity and information.The smart grid enables more uptake of the variable renewables like wind, solar and variable loads like the plug-in cars and improves the efficiency of power systems and facilitate several products and services supported by the grid like automatic healing and rerouting of power in case of a fault and demand side management.The deployment and use of smart grids will enhance the realization of shared goals of grid stakeholders, promote energy security, enable economic growth, and help in the mitigation of climate change.</w:t>
      </w:r>
    </w:p>
    <w:p>
      <w:pPr/>
      <w:r>
        <w:rPr>
          <w:b/>
        </w:rPr>
        <w:t>POSSIBLE 2023:</w:t>
      </w:r>
      <w:r>
        <w:t xml:space="preserve"> A State-of-the-Art Review of Smart Energy Systems and Their Management in a Smart Grid Environment — https://doi.org/10.3390/en16010472</w:t>
      </w:r>
    </w:p>
    <w:p>
      <w:pPr/>
      <w:r>
        <w:rPr>
          <w:b/>
        </w:rPr>
        <w:t>Shared claim-specific concepts:</w:t>
      </w:r>
      <w:r>
        <w:t xml:space="preserve"> smart, grid, energy, electricity, increased; EU scope not established. This is a provisional connection, not an outcome finding.</w:t>
      </w:r>
    </w:p>
    <w:p>
      <w:pPr>
        <w:pStyle w:val="SourceNote"/>
      </w:pPr>
      <w:r>
        <w:rPr>
          <w:b/>
        </w:rPr>
        <w:t>Available abstract (not full text):</w:t>
      </w:r>
      <w:r>
        <w:t xml:space="preserve"> A smart grid (SG), considered as a future electricity grid, utilizes bidirectional electricity and information flow to establish automated and widely distributed power generation. The SG provides a delivery network that has distributed energy sources, real-time asset monitoring, increased power quality, increased stability and reliability, and two-way information sharing. Furthermore, SG provides many advantages, such as demand response, distribution automation, optimized use of electricity, economical energy, real-time grid status monitoring, voltage regulation or VAR control, and electricity storage. In this survey, we explore the literature on smart Grid enabling technologies until 2022. We dig out four major systems: (1) the smart grid’s prominent features and challenges; (2) the smart grid standard system and legislations; (3) smart grid energy subsystem; and (4) the smart grid management system and protection system for new researchers for their future projects. The research challenges and future recommendations are also presented in the conclusion section to explore the new paradigm.</w:t>
      </w:r>
    </w:p>
    <w:p>
      <w:pPr/>
      <w:r>
        <w:rPr>
          <w:b/>
        </w:rPr>
        <w:t>POSSIBLE 2022:</w:t>
      </w:r>
      <w:r>
        <w:t xml:space="preserve"> Mobility in the Smart Grid: Roaming Protocols for EV Charging — https://doi.org/10.1109/tsg.2022.3202608</w:t>
      </w:r>
    </w:p>
    <w:p>
      <w:pPr/>
      <w:r>
        <w:rPr>
          <w:b/>
        </w:rPr>
        <w:t>Shared claim-specific concepts:</w:t>
      </w:r>
      <w:r>
        <w:t xml:space="preserve"> smart, grid, increasingly, openness; EU scope visible. This is a provisional connection, not an outcome finding.</w:t>
      </w:r>
    </w:p>
    <w:p>
      <w:pPr>
        <w:pStyle w:val="SourceNote"/>
      </w:pPr>
      <w:r>
        <w:rPr>
          <w:b/>
        </w:rPr>
        <w:t>Available abstract (not full text):</w:t>
      </w:r>
      <w:r>
        <w:t xml:space="preserve"> While most smart grids approaches assume that the user consumes services in a fixed location, the case of charging Battery Electric Vehicles (BEVs) adds an interesting mobility dimension. Drivers increasingly need to rely on public charging facilities, and given local grid conditions, such facilities often cannot offer their services without smart charging and tight integration in the smart grid. In analogy with mobile telecommunications, stakeholders in the field of EV charging have developed EV roaming protocols to allow for a mobility dimension, and, for some, add smart grid integration. However, this development is still in its early phase, and in Europe, there are at least four different, mutually incompatible protocols in use. In this paper, we investigate the history of these protocols, their characteristics – especially in relation to the smart grid – and investigate their openness and neutrality. We then explore scenarios for future development towards a single standard, also taking the regulatory dimension into consideration. We end with a reflection on the development of standards for the smart grid.</w:t>
      </w:r>
    </w:p>
    <w:p>
      <w:pPr/>
      <w:r>
        <w:rPr>
          <w:b/>
        </w:rPr>
        <w:t>POSSIBLE 2022:</w:t>
      </w:r>
      <w:r>
        <w:t xml:space="preserve"> Quantum computing for smart grid applications — https://doi.org/10.1049/gtd2.12602</w:t>
      </w:r>
    </w:p>
    <w:p>
      <w:pPr/>
      <w:r>
        <w:rPr>
          <w:b/>
        </w:rPr>
        <w:t>Shared claim-specific concepts:</w:t>
      </w:r>
      <w:r>
        <w:t xml:space="preserve"> smart, grid, energy, promising; EU scope not established. This is a provisional connection, not an outcome finding.</w:t>
      </w:r>
    </w:p>
    <w:p>
      <w:pPr>
        <w:pStyle w:val="SourceNote"/>
      </w:pPr>
      <w:r>
        <w:rPr>
          <w:b/>
        </w:rPr>
        <w:t>Available abstract (not full text):</w:t>
      </w:r>
      <w:r>
        <w:t xml:space="preserve"> Abstract Computational complexities in modern power systems are reportedly increasing daily, and it is anticipated that traditional computers might be inadequate to provide the computation prerequisite in future complex power grids. In that given context, quantum computing (QC) can be considered a next‐generation alternative solution to deal with upcoming computational challenges in smart grids. The QC is a relatively new yet promising technology that leverages the unique phenomena of quantum mechanics in processing information and computations. This emerging paradigm shows a significant potential to overcome the barrier of computational limitations with better and faster solutions in optimization, simulations, and machine learning problems. In recent years, substantial progress in developing advanced quantum hardware, software, and algorithms have made QC more feasible to apply in various research areas, including smart grids. It is evident that considerable research has already been carried out, and such efforts are remarkably continuing. As QC is a highly evolving field of study, a brief review of the existing literature will be vital to realize the state‐of‐art on QC for smart grid applications. Therefore, this article summarizes the research outcomes of the most recent papers, highlights their suggestions for utilizing QC techniques for various smart grid applications, and</w:t>
      </w:r>
    </w:p>
    <w:p>
      <w:pPr/>
      <w:r>
        <w:rPr>
          <w:b/>
        </w:rPr>
        <w:t>POSSIBLE 2022:</w:t>
      </w:r>
      <w:r>
        <w:t xml:space="preserve"> Review of Smart Grid and Nascent Energy Policies: Pakistan as a Case Study — https://doi.org/10.3390/en15197044</w:t>
      </w:r>
    </w:p>
    <w:p>
      <w:pPr/>
      <w:r>
        <w:rPr>
          <w:b/>
        </w:rPr>
        <w:t>Shared claim-specific concepts:</w:t>
      </w:r>
      <w:r>
        <w:t xml:space="preserve"> smart, grid, energy, policies, electricity; EU scope not established. This is a provisional connection, not an outcome finding.</w:t>
      </w:r>
    </w:p>
    <w:p>
      <w:pPr>
        <w:pStyle w:val="SourceNote"/>
      </w:pPr>
      <w:r>
        <w:rPr>
          <w:b/>
        </w:rPr>
        <w:t>Available abstract (not full text):</w:t>
      </w:r>
      <w:r>
        <w:t xml:space="preserve"> Smart grid plays a vital role in energy management systems. It helps to mitigate the demand side management of electricity by managing the microgrid. In the modern era, the concept of hybrid microgrids emerged which helps the smart grid management of electricity. Additionally, the Internet of Things (IoT) technology is used to integrate the hybrid microgrid. Thus, various policies and topologies are employed to perform the task meticulously. Pakistan being an energy deficient country has recently introduced some new policies such as Energy Wheeling Policy (EWP), Energy Import Policy (EIP), and Net Metering/Distributed Generation Policy (NMP) to manage the electricity demand effectively. In addition, the Energy Efficiency and Conservation Act (EECA) has also been introduced. In this paper, we present the overview and impact of these policies in the context of the local energy market and modern information and communication mechanisms proposed for smart grids. These new policies primarily focus on energy demand–supply for various types of consumers such as the demand for bulk energy for industrial ventures and the distributed production by consumers. The EWP deals with obtaining power from remote areas within the country to ease the energy situation in populated load centers and the EIP highlights energy import guidelines from foreign countries. The NMP deals with the integration</w:t>
      </w:r>
    </w:p>
    <w:p>
      <w:pPr/>
      <w:r>
        <w:rPr>
          <w:b/>
        </w:rPr>
        <w:t>POSSIBLE 2022:</w:t>
      </w:r>
      <w:r>
        <w:t xml:space="preserve"> A review of behind-the-meter energy storage systems in smart grids — https://doi.org/10.1016/j.rser.2022.112573</w:t>
      </w:r>
    </w:p>
    <w:p>
      <w:pPr/>
      <w:r>
        <w:rPr>
          <w:b/>
        </w:rPr>
        <w:t>Shared claim-specific concepts:</w:t>
      </w:r>
      <w:r>
        <w:t xml:space="preserve"> smart, energy, policies, perspectives; EU scope not established. This is a provisional connection, not an outcome finding.</w:t>
      </w:r>
    </w:p>
    <w:p>
      <w:pPr>
        <w:pStyle w:val="SourceNote"/>
      </w:pPr>
      <w:r>
        <w:rPr>
          <w:b/>
        </w:rPr>
        <w:t>Available abstract (not full text):</w:t>
      </w:r>
      <w:r>
        <w:t xml:space="preserve"> The electric power industry is experiencing a paradigm shift towards a carbon-free smart system boosted by rising energy demand, depreciation of long-lived physical assets, as well as global environmental challenges. Recent advances in information and communications technology, as well as the widespread integration of renewable energy resources to the power distribution system, have introduced new opportunities and challenges for system operators and end-users alike. Energy storage systems (ESSs) can help make the most of the opportunities and mitigate the potential challenges. Hence, the installed capacity of ESSs is rapidly increasing, both in front-of-the-meter and behind-the-meter (BTM), accelerated by recent deep reductions in ESS costs. This work is focused on BTM ESSs installed in end-users ' premises and associated technologies, different billing and pricing policies, as well as their potential capabilities from both the system operators' and end-users’ perspectives. Furthermore, a brief but comprehensive overview of optimization solutions for BTM energy management problems and a quick summary of some BTM case studies are provided. Finally, challenges in the realization of BTM systems in today's power system are explored, and potential research areas and progressive solutions for future studies are identified.</w:t>
      </w:r>
    </w:p>
    <w:p>
      <w:pPr>
        <w:pStyle w:val="Heading2"/>
      </w:pPr>
      <w:r>
        <w:t>880. Investigating scenario planning – a European tourism perspective</w:t>
      </w:r>
    </w:p>
    <w:p>
      <w:pPr>
        <w:pStyle w:val="SourceNote"/>
      </w:pPr>
      <w:r>
        <w:rPr>
          <w:b/>
        </w:rPr>
        <w:t>Original source (2015):</w:t>
      </w:r>
      <w:r>
        <w:t xml:space="preserve"> https://doi.org/10.1108/jtf-12-2014-0020</w:t>
      </w:r>
    </w:p>
    <w:p>
      <w:pPr/>
      <w:r>
        <w:t>Original wording (abstract; indexed_source_text_not_full_document_verified): Purpose The purpose of this paper is to discuss the scenario planning approach developed and used by the European Tourism Futures Institute (ETFI). Design/methodology/approach This paper contains the following sections: mission and aims of the research group; epistemological and methodological positioning, conceptual framework and research lines for an applied scenario planning approach.</w:t>
      </w:r>
    </w:p>
    <w:p>
      <w:pPr/>
      <w:r>
        <w:rPr>
          <w:b/>
        </w:rPr>
        <w:t>POSSIBLE 2026:</w:t>
      </w:r>
      <w:r>
        <w:t xml:space="preserve"> European Wild Bees: moving from assessment to conservation planning — https://doi.org/10.2779/5662020kh-01-25-230</w:t>
      </w:r>
    </w:p>
    <w:p>
      <w:pPr/>
      <w:r>
        <w:rPr>
          <w:b/>
        </w:rPr>
        <w:t>Shared claim-specific concepts:</w:t>
      </w:r>
      <w:r>
        <w:t xml:space="preserve"> planning, following, mission, group; EU scope visible. This is a provisional connection, not an outcome finding.</w:t>
      </w:r>
    </w:p>
    <w:p>
      <w:pPr>
        <w:pStyle w:val="SourceNote"/>
      </w:pPr>
      <w:r>
        <w:rPr>
          <w:b/>
        </w:rPr>
        <w:t>Available abstract (not full text):</w:t>
      </w:r>
      <w:r>
        <w:t xml:space="preserve"> IUCN encourages meetings, workshops and other fora for the consideration and analysis of issues related to conservation and believes that reports of these meetings are most useful when broadly disseminated.The designation of geographical entities in this report, and the presentation of the material, do not imply the expression of any opinion whatsoever on the part of IUCN concerning the legal status of any country, territory, or area, or of its authorities, or concerning the delimitation of its frontiers or boundaries.Further, the information and views set out in this report do not necessarily reflect the official opinion of the European Commission, or IUCN.The Commission does not guarantee the accuracy of the data included in this note.Neither the Commission nor IUCN or any person acting on the Commission's behalf, including any authors or contributors, may be held responsible for the use which may be made of the information contained therein.IUCN: is a membership Union composed of both government and civil society organisations.It harnesses the experience, resources and reach of its more than 1,400 Member organisations and the input of more than 16,000 experts.IUCN is the global authority on the status of the natural world and the measures needed to safeguard it.www.iucn.org IUCN Species Survival Commission (SSC):with over 8,500 members in 186 countries, the Species Survival </w:t>
      </w:r>
    </w:p>
    <w:p>
      <w:pPr/>
      <w:r>
        <w:rPr>
          <w:b/>
        </w:rPr>
        <w:t>POSSIBLE 2024:</w:t>
      </w:r>
      <w:r>
        <w:t xml:space="preserve"> Launching a European Employee Stock Ownership Plan (European ESOP) — https://doi.org/10.1108/jpeo-06-2024-0010</w:t>
      </w:r>
    </w:p>
    <w:p>
      <w:pPr/>
      <w:r>
        <w:rPr>
          <w:b/>
        </w:rPr>
        <w:t>Shared claim-specific concepts:</w:t>
      </w:r>
      <w:r>
        <w:t xml:space="preserve"> purpose, approach, developed, used, design, methodology; EU scope visible. This is a provisional connection, not an outcome finding.</w:t>
      </w:r>
    </w:p>
    <w:p>
      <w:pPr>
        <w:pStyle w:val="SourceNote"/>
      </w:pPr>
      <w:r>
        <w:rPr>
          <w:b/>
        </w:rPr>
        <w:t>Available abstract (not full text):</w:t>
      </w:r>
      <w:r>
        <w:t xml:space="preserve"> Purpose With a third of business successions failing, the EU is still confronted with a haemorrhage of around 150,000 enterprises and 600,000 jobs every year. Although 30 years of research have confirmed the positive effects of employee share ownership (ESO) for European enterprises and its important function for business succession, best practice, such as the US ESOP, is thinly spread across the EU. Nevertheless, Member States (MS) have developed a broad variety of ESO schemes involving intermediary entities to acquire and administer employee shares in the employer firm in particular for the transfer of businesses to employees. However, for small and medium enterprise (SME) owners the main barrier is still a lack of clearcut and transparent options to sell their enterprise to their employees and corresponding incentives to do so. In this light, this paper proposes a European approach, that is, a European Employee Stock Ownership Plan (European ESOP). Design/methodology/approach A “Common European ESOP Regime”, as a first step towards a “Common European Regime on EFP” would complement existing national laws aiming primarily at their harmonisation. As the name suggests, this would be a second contract law regime parallel to national legislation on ESO. Its objective is to eliminate obstacles to the single market that mainly, though not exclusively, stem from heterogeneous regula</w:t>
      </w:r>
    </w:p>
    <w:p>
      <w:pPr/>
      <w:r>
        <w:rPr>
          <w:b/>
        </w:rPr>
        <w:t>POSSIBLE 2024:</w:t>
      </w:r>
      <w:r>
        <w:t xml:space="preserve"> An assessment of the state of conservation planning in Europe — https://doi.org/10.1098/rstb.2023.0015</w:t>
      </w:r>
    </w:p>
    <w:p>
      <w:pPr/>
      <w:r>
        <w:rPr>
          <w:b/>
        </w:rPr>
        <w:t>Shared claim-specific concepts:</w:t>
      </w:r>
      <w:r>
        <w:t xml:space="preserve"> planning, approach, conceptual; EU scope visible. This is a provisional connection, not an outcome finding.</w:t>
      </w:r>
    </w:p>
    <w:p>
      <w:pPr>
        <w:pStyle w:val="SourceNote"/>
      </w:pPr>
      <w:r>
        <w:rPr>
          <w:b/>
        </w:rPr>
        <w:t>Available abstract (not full text):</w:t>
      </w:r>
      <w:r>
        <w:t xml:space="preserve"> Expanding and managing current habitat and species protection measures is at the heart of the European biodiversity strategy. A structured approach is needed to gain insights into such issues is systematic conservation planning, which uses techniques from decision theory to identify places and actions that contribute most effectively to policy objectives given a set of constraints. Yet culturally and historically determined European landscapes make the implementation of any conservation plans challenging, requiring an analysis of synergies and trade-offs before implementation. In this work, we review the scientific literature for evidence of previous conservation planning approaches, highlighting recent advances and success stories. We find that the conceptual characteristics of European conservation planning studies likely reduced their potential in contributing to better-informed decisions. We outline pathways towards improving the uptake of decision theory and multi-criteria conservation planning at various scales, particularly highlighting the need for (a) open data and intuitive tools, (b) the integration of biodiversity-focused conservation planning with multiple objectives, (c) accounting of dynamic ecological processes and functions, and (d) better facilitation of entry-points and co-design practices of conservation planning scenarios with stakeholders. By adopting and </w:t>
      </w:r>
    </w:p>
    <w:p>
      <w:pPr/>
      <w:r>
        <w:rPr>
          <w:b/>
        </w:rPr>
        <w:t>POSSIBLE 2023:</w:t>
      </w:r>
      <w:r>
        <w:t xml:space="preserve"> Determining Urban Indicators in Local Plans—As One of the Sustainable Assumptions of the New European Bauhaus? — https://doi.org/10.3390/buildings14010100</w:t>
      </w:r>
    </w:p>
    <w:p>
      <w:pPr/>
      <w:r>
        <w:rPr>
          <w:b/>
        </w:rPr>
        <w:t>Shared claim-specific concepts:</w:t>
      </w:r>
      <w:r>
        <w:t xml:space="preserve"> purpose, planning, used, following; EU scope visible. This is a provisional connection, not an outcome finding.</w:t>
      </w:r>
    </w:p>
    <w:p>
      <w:pPr>
        <w:pStyle w:val="SourceNote"/>
      </w:pPr>
      <w:r>
        <w:rPr>
          <w:b/>
        </w:rPr>
        <w:t>Available abstract (not full text):</w:t>
      </w:r>
      <w:r>
        <w:t xml:space="preserve"> The purpose of local spatial development plans in Poland is to shape spatial policy at the local level by establishing local law. On this basis, the intended use of land is determined, as well as the manner of its development. Some of the planning tools used are urban planning parameters and indicators, which are defined in planning documents at the local (commune) level. This article discusses the analyses of two selected urban indicators: the maximum built-up area and the minimum share of biologically active area, which are obligatorily determined in local plans. The issue here is a certain discrepancy between the planning provisions used in theory and their practical application. This paper uses a descriptive, computational, and comparative analytical research method to interpret the planning provisions used in selected Local Spatial Development Plans. This research will allow for answering of the following questions: Are the urban indicators defined by architects adapted to spatial needs? Do they allow for optimal shaping of this space, taking into account the provisions of Polish law? And is their skillful designation likely to be one of the sustainable assumptions of the New European Bauhaus?</w:t>
      </w:r>
    </w:p>
    <w:p>
      <w:pPr/>
      <w:r>
        <w:rPr>
          <w:b/>
        </w:rPr>
        <w:t>POSSIBLE 2021:</w:t>
      </w:r>
      <w:r>
        <w:t xml:space="preserve"> Holistic and integrative review into the barriers to women’s advancement to the corporate top in Europe — https://doi.org/10.1108/gm-02-2020-0058</w:t>
      </w:r>
    </w:p>
    <w:p>
      <w:pPr/>
      <w:r>
        <w:rPr>
          <w:b/>
        </w:rPr>
        <w:t>Shared claim-specific concepts:</w:t>
      </w:r>
      <w:r>
        <w:t xml:space="preserve"> purpose, approach, used, design, methodology, aims; EU scope visible. This is a provisional connection, not an outcome finding.</w:t>
      </w:r>
    </w:p>
    <w:p>
      <w:pPr>
        <w:pStyle w:val="SourceNote"/>
      </w:pPr>
      <w:r>
        <w:rPr>
          <w:b/>
        </w:rPr>
        <w:t>Available abstract (not full text):</w:t>
      </w:r>
      <w:r>
        <w:t xml:space="preserve"> Purpose This paper aims to analyze the barriers discussed in the extant literature as to why women are underrepresented in the corporate top and explains how these barriers interrelate. An understanding of the interrelatedness of the barriers can help develop suitable and effective measures to improve women’s representation. Design/methodology/approach The systematic review method was applied. The search resulted in 51 relevant academic articles from multiple disciplines which were used for the analysis. Findings Barriers identified include gender stereotypes, bias in recruitment and promotion, devaluation of women, masculine and long-hours organizational culture, work-family issues and the lack of professional support. The interrelatedness of these barriers is analyzed by means of a conceptual framework. Research limitations/implications The adopted method requires the use of search engines and search terms and consequently relevant articles may have been overlooked. The study is geographically demarcated to Europe and, hence is only applicable to developing suitable and effective measures in a European context. More research is needed into which measures are appropriate and effective to overcome the barriers identified. Practical implications The insights can be used by companies to foster gender equality and by companies and governments to develop appropriate and effective m</w:t>
      </w:r>
    </w:p>
    <w:p>
      <w:pPr/>
      <w:r>
        <w:rPr>
          <w:b/>
        </w:rPr>
        <w:t>POSSIBLE 2021:</w:t>
      </w:r>
      <w:r>
        <w:t xml:space="preserve"> European recommendations on the proper indication and use of peripheral venous access devices (the ERPIUP consensus): A WoCoVA project — https://doi.org/10.1177/11297298211023274</w:t>
      </w:r>
    </w:p>
    <w:p>
      <w:pPr/>
      <w:r>
        <w:rPr>
          <w:b/>
        </w:rPr>
        <w:t>Shared claim-specific concepts:</w:t>
      </w:r>
      <w:r>
        <w:t xml:space="preserve"> purpose, discuss, developed, following; EU scope visible. This is a provisional connection, not an outcome finding.</w:t>
      </w:r>
    </w:p>
    <w:p>
      <w:pPr>
        <w:pStyle w:val="SourceNote"/>
      </w:pPr>
      <w:r>
        <w:rPr>
          <w:b/>
        </w:rPr>
        <w:t>Available abstract (not full text):</w:t>
      </w:r>
      <w:r>
        <w:t xml:space="preserve"> Since several innovations have recently changed the criteria of choice and management of peripheral venous access (new devices, new techniques of insertion, new recommendations for maintenance), the WoCoVA Foundation (WoCoVA = World Conference on Vascular Access) has developed an international Consensus with the following objectives: to propose a clear and useful classification of the currently available peripheral venous access devices; to clarify the proper indication of central versus peripheral venous access; discuss the indications of the different peripheral venous access devices (short peripheral cannulas vs long peripheral cannulas vs midline catheters); to define the proper techniques of insertion and maintenance that should be recommended today. To achieve these purposes, WoCoVA have decided to adopt a European point of view, considering some relevant differences of terminology between North America and Europe in this area of venous access and the need for a common basis of understanding among the experts recruited for this project. The ERPIUP Consensus (ERPIUP = European Recommendations for Proper Indication and Use of Peripheral venous access) was designed to offer systematic recommendations for clinical practice, covering every aspect of management of peripheral venous access devices in the adult patient: indication, insertion, maintenance, prevention and treatment</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discuss, used, following;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2019:</w:t>
      </w:r>
      <w:r>
        <w:t xml:space="preserve"> Autonomous Road Vehicles: Challenges for Urban Planning in European Cities — https://doi.org/10.3390/urbansci3020061</w:t>
      </w:r>
    </w:p>
    <w:p>
      <w:pPr/>
      <w:r>
        <w:rPr>
          <w:b/>
        </w:rPr>
        <w:t>Shared claim-specific concepts:</w:t>
      </w:r>
      <w:r>
        <w:t xml:space="preserve"> planning, used, design; EU scope visible. This is a provisional connection, not an outcome finding.</w:t>
      </w:r>
    </w:p>
    <w:p>
      <w:pPr>
        <w:pStyle w:val="SourceNote"/>
      </w:pPr>
      <w:r>
        <w:rPr>
          <w:b/>
        </w:rPr>
        <w:t>Available abstract (not full text):</w:t>
      </w:r>
      <w:r>
        <w:t xml:space="preserve"> Autonomous vehicles will significantly affect mobility conditions in the future. The changes in mobility conditions are expected to have an impact on urban development and, more specifically, on location choices, land use organisation and infrastructure design. Nowadays, there is not enough data for a real-life assessment of this impact. Experts estimate that autonomous vehicles will be available for uptake in the next decade. Therefore, urban planners should consider the possible impacts from autonomous vehicles on cities and the future challenges for urban planning. In this context, the present paper focuses on the challenges from the implementation of autonomous road vehicles for passenger transport in European cities. The analysis is based on a systematic review of research and policy. The main outcome of the analysis is a set of challenges for urban planning regarding the features of urban development, the local and European policy priorities, the current lack of data for planning and the potential for autonomous vehicles to be used by planners as data sources. The paper concludes that tackling these challenges is essential for the full exploitation of the autonomous vehicles’ potential to promote sustainable urban development.</w:t>
      </w:r>
    </w:p>
    <w:p>
      <w:pPr/>
      <w:r>
        <w:rPr>
          <w:b/>
        </w:rPr>
        <w:t>POSSIBLE 2019:</w:t>
      </w:r>
      <w:r>
        <w:t xml:space="preserve"> Planning for the North-European Waterfront Cities — https://doi.org/10.1088/1757-899x/603/5/052047</w:t>
      </w:r>
    </w:p>
    <w:p>
      <w:pPr/>
      <w:r>
        <w:rPr>
          <w:b/>
        </w:rPr>
        <w:t>Shared claim-specific concepts:</w:t>
      </w:r>
      <w:r>
        <w:t xml:space="preserve"> planning, used, tourism, design, group; EU scope visible. This is a provisional connection, not an outcome finding.</w:t>
      </w:r>
    </w:p>
    <w:p>
      <w:pPr>
        <w:pStyle w:val="SourceNote"/>
      </w:pPr>
      <w:r>
        <w:rPr>
          <w:b/>
        </w:rPr>
        <w:t>Available abstract (not full text):</w:t>
      </w:r>
      <w:r>
        <w:t xml:space="preserve"> Abstract Redevelopment of urban waterfronts is one of the leading themes in contemporary planning practice. This issue is a subject of interest to many scholars and practitioners, associated with development of waterfront cities. In literature on this topic one can find a lot of information regarding leading examples of this process, discussion of issues and problems associated with this phenomenon as well as analysis of the results achieved. In addition, many specialists in this field managed to develop a sort of “guide of good practice” for cities and planners interested in undertaking an effort associated with reshaping the waterfront site. But one can easily spot that most of the cases discussed are based in climate zones allowing extensive public use of the waterfront sites for the most part of the year. Therefore, the phenomenon of waterfront redevelopment is frequently associated with extensive development of large scale urban structures, in the climate realities allowing extensive public usage of these. On the basis of the “success stories” of many cities undertaking the waterfront urban redevelopment process also municipalities located in “less privileged” from the climate point of view areas as well as small-and medium-sized cities tend to rethink their water related urban structures. This relates both to cities located in the hot and cold climate zones – which to lar</w:t>
      </w:r>
    </w:p>
    <w:p>
      <w:pPr/>
      <w:r>
        <w:rPr>
          <w:b/>
        </w:rPr>
        <w:t>POSSIBLE 2018:</w:t>
      </w:r>
      <w:r>
        <w:t xml:space="preserve"> Prevalence and incidence of myalgic encephalomyelitis/chronic fatigue syndrome in Europe—the Euro-epiME study from the European network EUROMENE: a protocol for a systematic review — https://doi.org/10.1136/bmjopen-2017-020817</w:t>
      </w:r>
    </w:p>
    <w:p>
      <w:pPr/>
      <w:r>
        <w:rPr>
          <w:b/>
        </w:rPr>
        <w:t>Shared claim-specific concepts:</w:t>
      </w:r>
      <w:r>
        <w:t xml:space="preserve"> discuss, sections, methodological, applied; EU scope visible. This is a provisional connection, not an outcome finding.</w:t>
      </w:r>
    </w:p>
    <w:p>
      <w:pPr>
        <w:pStyle w:val="SourceNote"/>
      </w:pPr>
      <w:r>
        <w:rPr>
          <w:b/>
        </w:rPr>
        <w:t>Available abstract (not full text):</w:t>
      </w:r>
      <w:r>
        <w:t xml:space="preserve"> INTRODUCTION: Myalgic encephalomyelitis/chronic fatigue syndrome (ME/CFS) is a chronic disease involving central nervous system and immune system disorders, as well as cardiovascular abnormalities. ME/CFS is characterised by severe chronic fatigue lasting for at least 6 months, including clinical symptoms such as tender cervical or axillary lymph nodes, muscle pain, joint pain without swelling or redness, post-exertional malaise for more than 24 hours and unrefreshing sleep. Studies on the epidemiology of ME/CFS in Europe only include single countries and, therefore, the prevalence and incidence of ME/CFS in Europe (as a whole) is unknown. One of the purposes of the European Network on ME/CFS (EUROMENE; European Union-funded COST Action; Reference number: 15111) is to address this gap in knowledge. We will systematically review the literature reporting figures from European countries to provide a robust summary and identify new challenges. METHODS AND ANALYSIS: We will systematically search the literature databases Scopus, PubMed and Web of Science for studies published in the last 10 years (ie, after 2007). No language restriction will be applied. Two independent reviewers will search, screen and select studies as well as extract data about their main characteristics and evaluate their methodological and reporting quality. When disagreements emerge, the reviewers will discuss </w:t>
      </w:r>
    </w:p>
    <w:p>
      <w:pPr/>
      <w:r>
        <w:rPr>
          <w:b/>
        </w:rPr>
        <w:t>POSSIBLE 2018:</w:t>
      </w:r>
      <w:r>
        <w:t xml:space="preserve"> Innovating in less developed regions: What drives patenting in the lagging regions of Europe and North America — https://doi.org/10.1111/grow.12280</w:t>
      </w:r>
    </w:p>
    <w:p>
      <w:pPr/>
      <w:r>
        <w:rPr>
          <w:b/>
        </w:rPr>
        <w:t>Shared claim-specific concepts:</w:t>
      </w:r>
      <w:r>
        <w:t xml:space="preserve"> approach, developed, design; EU scope visible. This is a provisional connection, not an outcome finding.</w:t>
      </w:r>
    </w:p>
    <w:p>
      <w:pPr>
        <w:pStyle w:val="SourceNote"/>
      </w:pPr>
      <w:r>
        <w:rPr>
          <w:b/>
        </w:rPr>
        <w:t>Available abstract (not full text):</w:t>
      </w:r>
      <w:r>
        <w:t xml:space="preserve"> Abstract Not all economically disadvantaged—“less developed” or “lagging”—regions are the same. They are, however, often bundled together for the purposes of innovation policy design and implementation. This paper attempts to determine whether such bundling is warranted by conducting a regional level investigation for Canada, the United States, on the one hand, and Europe, on the other, to (a) identify the structural and socioeconomic factors that drive patenting in the less developed regions of North America and Europe, respectively; and (b) explore how these factors differ between the two contexts. The empirical analysis, estimated using a mixed‐model approach, reveals that, while there are similarities between the drivers of innovation in North America's and Europe's lagging regions, a number of important differences between the two continents prevail. The analysis also indicates that the territorial processes of innovation in North America's and Europe's less developed regions are more similar to those of their more developed counterparts than to one another.</w:t>
      </w:r>
    </w:p>
    <w:p>
      <w:pPr/>
      <w:r>
        <w:rPr>
          <w:b/>
        </w:rPr>
        <w:t>POSSIBLE 2018:</w:t>
      </w:r>
      <w:r>
        <w:t xml:space="preserve"> How to use nature-based solutions in urban planning systems of Europe? — https://openalex.org/W3041629319</w:t>
      </w:r>
    </w:p>
    <w:p>
      <w:pPr/>
      <w:r>
        <w:rPr>
          <w:b/>
        </w:rPr>
        <w:t>Shared claim-specific concepts:</w:t>
      </w:r>
      <w:r>
        <w:t xml:space="preserve"> planning, developed, used, methodology; EU scope visible. This is a provisional connection, not an outcome finding.</w:t>
      </w:r>
    </w:p>
    <w:p>
      <w:pPr>
        <w:pStyle w:val="SourceNote"/>
      </w:pPr>
      <w:r>
        <w:rPr>
          <w:b/>
        </w:rPr>
        <w:t>Available abstract (not full text):</w:t>
      </w:r>
      <w:r>
        <w:t xml:space="preserve"> In developed countries, the level of urbanization is still rising and expected to reach 83% in 2030 [United Nations, 2012]. As a result of rapid growing of urban areas and population, the urban planners several challenges. For example, risks of flooding due to overload of the drainage system, and pollution due to combined sewer overflows and diffuse pollution, consequently increase significantly. Questions about biodiversity promotion and urban heat islands are also emerging as major issues in the construction of sustainable cities [Berretta et al; 2014].European Commission, (2015) highlighted nature-based solutions in order to address the mentioned urban problems related to climatic, demographic and technological changes. The aim is to bring new solutions into urban planning and thus, to address those challenges and to improve the well-being sensation, quality of life of city dwellers.Nature-based solutions (NBS) are one of the newest concepts for tackling urban challenges. The concept of NBS was meant to reform the methodology of urban planning in EU countries and deliver multiple environmental, social and economic benefits through introducing and implementing a new toolkit based on natural resources. In the Horizon 2020 project, Nature4Cities besides multi-thematic and multi-scalar evaluation of nature-based solutions and their effectiveness in addressing different urban cha</w:t>
      </w:r>
    </w:p>
    <w:p>
      <w:pPr>
        <w:pStyle w:val="Heading2"/>
      </w:pPr>
      <w:r>
        <w:t>881. La aplicación estratégica por escenarios en el medio natural. El caso del Nature Outlook 2050 del PBL.</w:t>
      </w:r>
    </w:p>
    <w:p>
      <w:pPr>
        <w:pStyle w:val="SourceNote"/>
      </w:pPr>
      <w:r>
        <w:rPr>
          <w:b/>
        </w:rPr>
        <w:t>Original source (2015):</w:t>
      </w:r>
      <w:r>
        <w:t xml:space="preserve"> https://doi.org/10.5209/rev_obmd.2015.v18.51291</w:t>
      </w:r>
    </w:p>
    <w:p>
      <w:pPr/>
      <w:r>
        <w:t>Original wording (abstract; indexed_source_text_not_full_document_verified): This paper shows how to implement the tool, mixing theoretical explanation and the practical performance done in project called: Nature Outlook 2050.</w:t>
      </w:r>
    </w:p>
    <w:p>
      <w:pPr/>
      <w:r>
        <w:rPr>
          <w:b/>
        </w:rPr>
        <w:t>POSSIBLE 2026:</w:t>
      </w:r>
      <w:r>
        <w:t xml:space="preserve"> Theoretical Explanation of Triguna and Emotional Intelligence — https://doi.org/10.1922/pjs.16.4s.2026.954</w:t>
      </w:r>
    </w:p>
    <w:p>
      <w:pPr/>
      <w:r>
        <w:rPr>
          <w:b/>
        </w:rPr>
        <w:t>Shared claim-specific concepts:</w:t>
      </w:r>
      <w:r>
        <w:t xml:space="preserve"> theoretical, explanation, nature; EU scope not established. This is a provisional connection, not an outcome finding.</w:t>
      </w:r>
    </w:p>
    <w:p>
      <w:pPr>
        <w:pStyle w:val="SourceNote"/>
      </w:pPr>
      <w:r>
        <w:rPr>
          <w:b/>
        </w:rPr>
        <w:t>Available abstract (not full text):</w:t>
      </w:r>
      <w:r>
        <w:t xml:space="preserve"> Getting into psychology is one of the best ways to analyse the behaviour of any individual. In yoga, basic human nature is deeply influenced by the dominance of any one of the Triguna. Satva, Raja, and Tama are the three gunas, which we address in various yogic scriptures. By understanding these gunas, one can recognise the emotional patterns and behaviours of a person. Many ancient books have explained this theory of Triguṇa and its influence on Personality. Satva guna is considered to be pure, Raja guna is activity, and Tama guna is darkness. Every person possesses these qualities, but they are not evenly dominant at the same time. These disturbances in gunas will ultimately make differences in personality from one person to another. Conflict in personality traits can only be seen when there is an imbalance in these three gunas. Majorly, there are factors that indirectly play a role in the fluctuations of mental health and overall behaviour. It can be work-life balance, health-related issues, or a lack of emotional maturity. With this study, we will be able to identify the origin of that factor and explore further the nature of personality modifications. This theoretical paper on Triguna analysis aims to explore further possibilities for conducting a well-defined study on human psychology and to understand the concept of emotional well-being.</w:t>
      </w:r>
    </w:p>
    <w:p>
      <w:pPr/>
      <w:r>
        <w:rPr>
          <w:b/>
        </w:rPr>
        <w:t>POSSIBLE 2025:</w:t>
      </w:r>
      <w:r>
        <w:t xml:space="preserve"> GAD-7 Screening Tool Implementation — https://openalex.org/W7112211183</w:t>
      </w:r>
    </w:p>
    <w:p>
      <w:pPr/>
      <w:r>
        <w:rPr>
          <w:b/>
        </w:rPr>
        <w:t>Shared claim-specific concepts:</w:t>
      </w:r>
      <w:r>
        <w:t xml:space="preserve"> implement, tool, project; EU scope not established. This is a provisional connection, not an outcome finding.</w:t>
      </w:r>
    </w:p>
    <w:p>
      <w:pPr>
        <w:pStyle w:val="SourceNote"/>
      </w:pPr>
      <w:r>
        <w:rPr>
          <w:b/>
        </w:rPr>
        <w:t>Available abstract (not full text):</w:t>
      </w:r>
      <w:r>
        <w:t xml:space="preserve"> The purpose of this doctor of nursing practice (DNP) project was to provide a staff education program to improve staff knowledge about the use of the GAD-7 screening tool. Generalized anxiety disorder (GAD) remains an underdiagnosed condition, often due to inadequate use of standardized tools in clinical settings, leading to delayed treatments and suboptimal outcomes for patients experiencing anxiety disorders. The identified gap in practice necessitated an educational intervention to equip healthcare providers with the skills to effectively use the GAD-7 screening tool. To address this gap, a 2-hour staff education program was delivered via in-person sessions and online modules. The practice-focused question guiding this project was: What is the effect of implementing a staff education program to improve staff knowledge to effectively implement changes that affect the use of the GAD-7 screening tool to identify, measure, and track treatment progress and outcomes for patients with GAD? A pretest/posttest design was used for this project. Findings were analyzed using descriptive statistics and a Wilcoxon signed-rank test, which showed a significant difference (p &lt; .05) between the pretest and posttest evaluation of knowledge scores. These findings show that educating staff could improve their knowledge of the use of the GAD-7 screening tool to improve outcomes. Implementation of</w:t>
      </w:r>
    </w:p>
    <w:p>
      <w:pPr/>
      <w:r>
        <w:rPr>
          <w:b/>
        </w:rPr>
        <w:t>POSSIBLE 2023:</w:t>
      </w:r>
      <w:r>
        <w:t xml:space="preserve"> The Problem with Propositions: Theoretical Triangulation to Better Explain Phenomena in Management Research — https://doi.org/10.5465/amr.2022.0297</w:t>
      </w:r>
    </w:p>
    <w:p>
      <w:pPr/>
      <w:r>
        <w:rPr>
          <w:b/>
        </w:rPr>
        <w:t>Shared claim-specific concepts:</w:t>
      </w:r>
      <w:r>
        <w:t xml:space="preserve"> theoretical, explanation, practical; EU scope not established. This is a provisional connection, not an outcome finding.</w:t>
      </w:r>
    </w:p>
    <w:p>
      <w:pPr>
        <w:pStyle w:val="SourceNote"/>
      </w:pPr>
      <w:r>
        <w:rPr>
          <w:b/>
        </w:rPr>
        <w:t>Available abstract (not full text):</w:t>
      </w:r>
      <w:r>
        <w:t xml:space="preserve"> In management research, theory is commonly viewed as a set of propositional statements backed up by theoretical assumptions. This view is embraced across conceptual and empirical research and effectively binds a particular style of reasoning, as a common grammar, to a specific form that theoretical explanations, as a structured set of propositions, should take. In this paper, I analyze characteristics of the propositional grammar and highlight several significant problems, including its high incidence rate of false positives in empirical research (false hypotheses that are accepted as true) and how it generally limits our explanation of phenomena by casting them as effects to be predicted. Informed by this analysis, I make the case for theoretical triangulation and offer a prescriptive model whereby researchers can strengthen their explanations of phenomena by iterating across multiple theoretical grammars rather than steadfastly using a single grammar. Using examples from prior research, I show how such theoretical triangulation helps mitigate the specific inferential biases and threats to validity of any grammar and leads to better explanations overall. Finally, I spell out the implications of this argument and offer a set of practical recommendations for implementing the practice of theoretical triangulation in the field of management research.</w:t>
      </w:r>
    </w:p>
    <w:p>
      <w:pPr/>
      <w:r>
        <w:rPr>
          <w:b/>
        </w:rPr>
        <w:t>POSSIBLE 2023:</w:t>
      </w:r>
      <w:r>
        <w:t xml:space="preserve"> Fuzzy Hardware Tool: An Adaptable Tool to Facilitate the Implementation of Fuzzy Inference Systems in Hardware — https://doi.org/10.3390/electronics12132853</w:t>
      </w:r>
    </w:p>
    <w:p>
      <w:pPr/>
      <w:r>
        <w:rPr>
          <w:b/>
        </w:rPr>
        <w:t>Shared claim-specific concepts:</w:t>
      </w:r>
      <w:r>
        <w:t xml:space="preserve"> implement, tool, performance; EU scope not established. This is a provisional connection, not an outcome finding.</w:t>
      </w:r>
    </w:p>
    <w:p>
      <w:pPr>
        <w:pStyle w:val="SourceNote"/>
      </w:pPr>
      <w:r>
        <w:rPr>
          <w:b/>
        </w:rPr>
        <w:t>Available abstract (not full text):</w:t>
      </w:r>
      <w:r>
        <w:t xml:space="preserve"> A Fuzzy Inference System (FIS) is a system that represents human reasoning based on fuzzy if-then rules to extract valid results from imprecise or uncertain information. These systems have been applied to various engineering fields, such as control and image recognition, and have encouraged the search for development tools that provide facilities for the design, simulation, and implementation of FISs. Most of the available software tools for the design of FISs have been developed by the scientific community, and very few are commercial tools. According to the state of the technology, the fuzzy systems implemented in hardware have shown higher performance than software implementations. For this reason, different strategies for automatic hardware synthesis of FISs have been proposed in the literature. The available tools for FIS implementation, including MATLAB, Simulink, and Xfuzzy environment, require advanced hardware knowledge, and it is necessary to synthesize and implement the program on FPGA each time a change is made to the code. This paper presents a novel approach for the implementation of fuzzy systems on hardware devices that enables the direct implementation of FISs through a graphical user interface. The VHDL code is pre-synthesized and integrated with the interface, allowing users to experiment with different input parameters, such as membership functions and fuzzy</w:t>
      </w:r>
    </w:p>
    <w:p>
      <w:pPr/>
      <w:r>
        <w:rPr>
          <w:b/>
        </w:rPr>
        <w:t>POSSIBLE 2022:</w:t>
      </w:r>
      <w:r>
        <w:t xml:space="preserve"> Implementation and use of remote work tools — https://doi.org/10.29119/1641-3466.2022.159.39</w:t>
      </w:r>
    </w:p>
    <w:p>
      <w:pPr/>
      <w:r>
        <w:rPr>
          <w:b/>
        </w:rPr>
        <w:t>Shared claim-specific concepts:</w:t>
      </w:r>
      <w:r>
        <w:t xml:space="preserve"> shows, tool, practical; EU scope not established. This is a provisional connection, not an outcome finding.</w:t>
      </w:r>
    </w:p>
    <w:p>
      <w:pPr>
        <w:pStyle w:val="SourceNote"/>
      </w:pPr>
      <w:r>
        <w:rPr>
          <w:b/>
        </w:rPr>
        <w:t>Available abstract (not full text):</w:t>
      </w:r>
      <w:r>
        <w:t xml:space="preserve"> Purpose: The aim of this article is to describe employees' expectations and managers' practices in the implementation and use of tools supporting remote work.Design/methodology/approach: To this end, employee opinion surveys were conducted using the Computer-Assisted Web Interview (CAWI) method (n = 500) and structured interviews were performed with managers (n = 14).Cross tabulation was employed to quantitatively verify statistically significant relationships and coding of the interview contents was applied in the qualitative analysis.Findings: Based on the results, the impact of personal skills, IT support and tool selection on the use of remote work tools (and employee satisfaction) are assessed. Research limitations/implications:In view of the newly emerging employee challenges it seems critical to refer to the latest research and constantly update the knowledge of all those involved.Hybrid work can change employees' opinions and attitudes and further diversify teams' expectations towards managers as well as the tools they use.Practical implications: Good practices are identified and recommendations are formulated regarding the application of the tools by managers in practice.Originality/value: The article organizes the issues of using technical tools for management during forced remote work.It shows employees expectations and best practices, which could be valuable for man</w:t>
      </w:r>
    </w:p>
    <w:p>
      <w:pPr/>
      <w:r>
        <w:rPr>
          <w:b/>
        </w:rPr>
        <w:t>POSSIBLE 2022:</w:t>
      </w:r>
      <w:r>
        <w:t xml:space="preserve"> A methodological framework for theoretical explanation in performance management and management control systems research — https://doi.org/10.1108/qram-10-2021-0193</w:t>
      </w:r>
    </w:p>
    <w:p>
      <w:pPr/>
      <w:r>
        <w:rPr>
          <w:b/>
        </w:rPr>
        <w:t>Shared claim-specific concepts:</w:t>
      </w:r>
      <w:r>
        <w:t xml:space="preserve"> theoretical, explanation, performance; EU scope not established. This is a provisional connection, not an outcome finding.</w:t>
      </w:r>
    </w:p>
    <w:p>
      <w:pPr>
        <w:pStyle w:val="SourceNote"/>
      </w:pPr>
      <w:r>
        <w:rPr>
          <w:b/>
        </w:rPr>
        <w:t>Available abstract (not full text):</w:t>
      </w:r>
      <w:r>
        <w:t xml:space="preserve"> Purpose The purpose of this paper is to reflect on how to apply the abductive research process for developing a theoretical explanation in studies on performance management and management control systems. This is important because theoretically ambitious research tends to require explanatory study outcomes, but prior research frameworks provide little guidance in this regard, potentially facilitating ill-defined research designs and a lack of common vocabulary and criteria for evaluating studies. Design/methodology/approach The authors introduce a methodological framework that distinguishes three interwoven theoretical abstraction levels: descriptive, analytical and explanatory. They use a recently published qualitative field study to illustrate an application of the framework. Findings The framework and its illustrated application make the systematic logic of the abductive research process visible and accessible to researchers. The authors explain how the framework supports moving from empirical description to theoretical explanation during the research process and where the three levels might open spaces for the positioning of novel practices and conceptual and theoretical innovations. Originality/value The framework provides guidance for an explanatory research design and theory-building purpose and has been developed in response to recent criticism in the field that highlig</w:t>
      </w:r>
    </w:p>
    <w:p>
      <w:pPr/>
      <w:r>
        <w:rPr>
          <w:b/>
        </w:rPr>
        <w:t>POSSIBLE 2022:</w:t>
      </w:r>
      <w:r>
        <w:t xml:space="preserve"> VC Theoretical Explanation of Double Descent — https://doi.org/10.48550/arxiv.2205.15549</w:t>
      </w:r>
    </w:p>
    <w:p>
      <w:pPr/>
      <w:r>
        <w:rPr>
          <w:b/>
        </w:rPr>
        <w:t>Shared claim-specific concepts:</w:t>
      </w:r>
      <w:r>
        <w:t xml:space="preserve"> shows, theoretical, explanation, performance; EU scope not established. This is a provisional connection, not an outcome finding.</w:t>
      </w:r>
    </w:p>
    <w:p>
      <w:pPr>
        <w:pStyle w:val="SourceNote"/>
      </w:pPr>
      <w:r>
        <w:rPr>
          <w:b/>
        </w:rPr>
        <w:t>Available abstract (not full text):</w:t>
      </w:r>
      <w:r>
        <w:t xml:space="preserve"> There has been growing interest in generalization performance of large multilayer neural networks that can be trained to achieve zero training error, while generalizing well on test data. This regime is known as 'second descent' and it appears to contradict the conventional view that optimal model complexity should reflect an optimal balance between underfitting and overfitting, i.e., the bias-variance trade-off. This paper presents a VC-theoretical analysis of double descent and shows that it can be fully explained by classical VC-generalization bounds. We illustrate an application of analytic VC-bounds for modeling double descent for classification, using empirical results for several learning methods, such as SVM, Least Squares, and Multilayer Perceptron classifiers. In addition, we discuss several reasons for the misinterpretation of VC-theoretical results in Deep Learning community.</w:t>
      </w:r>
    </w:p>
    <w:p>
      <w:pPr/>
      <w:r>
        <w:rPr>
          <w:b/>
        </w:rPr>
        <w:t>POSSIBLE 2021:</w:t>
      </w:r>
      <w:r>
        <w:t xml:space="preserve"> Implementation of forecasting tool in the logistics company – case study — https://doi.org/10.29119/1641-3466.2021.152.9</w:t>
      </w:r>
    </w:p>
    <w:p>
      <w:pPr/>
      <w:r>
        <w:rPr>
          <w:b/>
        </w:rPr>
        <w:t>Shared claim-specific concepts:</w:t>
      </w:r>
      <w:r>
        <w:t xml:space="preserve"> shows, implement, tool; EU scope not established. This is a provisional connection, not an outcome finding.</w:t>
      </w:r>
    </w:p>
    <w:p>
      <w:pPr>
        <w:pStyle w:val="SourceNote"/>
      </w:pPr>
      <w:r>
        <w:rPr>
          <w:b/>
        </w:rPr>
        <w:t>Available abstract (not full text):</w:t>
      </w:r>
      <w:r>
        <w:t xml:space="preserve"> Purpose: The main aim of following article is the implementation and results analysis of created forecasting tool.Created tool is a tool for automated prediction of future demands level in chosen distribution networks where logistics operator is acting as a service provider.Design/methodology/approach: Article shows the conception of created forecasting tool and presents the deviations of forecasts from real values.Findings: Logistics enterprise could implement the forecasting tool to improvement their own activity.However it demands depth assortment analyzing and also it demands supporting the processes of automated forecasting by forecasting processes based on quality and mixed methods.Originality/value: The value of following article is showing the new function of logistics enterprise which is demand forecasting.It could be also a value added activity which logistic operator could offer to their customers.</w:t>
      </w:r>
    </w:p>
    <w:p>
      <w:pPr/>
      <w:r>
        <w:rPr>
          <w:b/>
        </w:rPr>
        <w:t>POSSIBLE 2020:</w:t>
      </w:r>
      <w:r>
        <w:t xml:space="preserve"> Role and implementation of sustainability management control tools: critical aspects in the Italian context — https://doi.org/10.1108/aaaj-02-2019-3887</w:t>
      </w:r>
    </w:p>
    <w:p>
      <w:pPr/>
      <w:r>
        <w:rPr>
          <w:b/>
        </w:rPr>
        <w:t>Shared claim-specific concepts:</w:t>
      </w:r>
      <w:r>
        <w:t xml:space="preserve"> shows, implement, theoretical, practical; EU scope not established. This is a provisional connection, not an outcome finding.</w:t>
      </w:r>
    </w:p>
    <w:p>
      <w:pPr>
        <w:pStyle w:val="SourceNote"/>
      </w:pPr>
      <w:r>
        <w:rPr>
          <w:b/>
        </w:rPr>
        <w:t>Available abstract (not full text):</w:t>
      </w:r>
      <w:r>
        <w:t xml:space="preserve"> Purpose The purpose of this paper is to show the relevance attributed to sustainability management control tools (SMCTs) and their real use. Mainly, this study aims to shed light on the approaches, motivations and difficulties encountered in SMCTs adoption by the most sustainable Italian companies, as well as their effectiveness. Design/methodology/approach Using a pre-structured qualitative survey method, the authors grasped information about external and internal dimensions of sustainability management in light of institutional and resource-based view theories. Data are elaborated with two methods: a regime analysis to assess the relevance of SMCTs and a descriptive analysis to investigate the “aim”, “which” and “how” of the SMCTs' use by companies listed in sustainability indices. Findings Informal SMCTs prevailed over formal ones. There is a discrepancy between attention paid to some tools praised in the literature and their knowledge and use. In addition, a significant gap exists between what is desired and what is achieved in terms of effectiveness. Further, although sustainability management is primarily oriented towards the external perspective, SMCTs can be key to improving both the disclosure and management of sustainability. Research limitations/implications The criteria for the selection of the sample resulted in a small number of analysed companies, which allowed u</w:t>
      </w:r>
    </w:p>
    <w:p>
      <w:pPr/>
      <w:r>
        <w:rPr>
          <w:b/>
        </w:rPr>
        <w:t>POSSIBLE 2019:</w:t>
      </w:r>
      <w:r>
        <w:t xml:space="preserve"> An Information-Theoretic Explanation for the Adversarial Fragility of AI Classifiers — https://doi.org/10.1109/isit.2019.8849757</w:t>
      </w:r>
    </w:p>
    <w:p>
      <w:pPr/>
      <w:r>
        <w:rPr>
          <w:b/>
        </w:rPr>
        <w:t>Shared claim-specific concepts:</w:t>
      </w:r>
      <w:r>
        <w:t xml:space="preserve"> theoretical, explanation, performance; EU scope not established. This is a provisional connection, not an outcome finding.</w:t>
      </w:r>
    </w:p>
    <w:p>
      <w:pPr>
        <w:pStyle w:val="SourceNote"/>
      </w:pPr>
      <w:r>
        <w:rPr>
          <w:b/>
        </w:rPr>
        <w:t>Available abstract (not full text):</w:t>
      </w:r>
      <w:r>
        <w:t xml:space="preserve"> We present a simple hypothesis about a compression property of artificial intelligence (AI) classifiers and present theoretical arguments to show that this hypothesis successfully accounts for the observed fragility of AI classifiers to small adversarial perturbations. We also propose a new method for detecting when small input perturbations cause classifier errors, and show theoretical guarantees for the performance of this detection method. We present experimental results with a voice recognition system to demonstrate this method. The ideas in this paper are motivated by a simple analogy between AI classifiers and the standard Shannon model of a communication system1.</w:t>
      </w:r>
    </w:p>
    <w:p>
      <w:pPr/>
      <w:r>
        <w:rPr>
          <w:b/>
        </w:rPr>
        <w:t>POSSIBLE 2018:</w:t>
      </w:r>
      <w:r>
        <w:t xml:space="preserve"> Theoretical Explanation of Enterprise Diversification — https://doi.org/10.25236/icallh.2018.20</w:t>
      </w:r>
    </w:p>
    <w:p>
      <w:pPr/>
      <w:r>
        <w:rPr>
          <w:b/>
        </w:rPr>
        <w:t>Shared claim-specific concepts:</w:t>
      </w:r>
      <w:r>
        <w:t xml:space="preserve"> shows, theoretical, explanation, practical; EU scope not established. This is a provisional connection, not an outcome finding.</w:t>
      </w:r>
    </w:p>
    <w:p>
      <w:pPr>
        <w:pStyle w:val="SourceNote"/>
      </w:pPr>
      <w:r>
        <w:rPr>
          <w:b/>
        </w:rPr>
        <w:t>Available abstract (not full text):</w:t>
      </w:r>
      <w:r>
        <w:t xml:space="preserve"> In strategic management research, enterprise diversification has become a major study content.And in the enterprise management practice, diversified behavior has become a common practice.It shows that the diversity has an important position in enterprise strategic management.Based on the survey of the domestic and international enterprise diversification of practical experience and literature, from market forces theory, resource theory and agency theory of enterprises, diversified behavior is analyzed in detail.This has a vital significance to enhance China 's enterprises diversification theory accomplishment and practice scientificity.</w:t>
      </w:r>
    </w:p>
    <w:p>
      <w:pPr/>
      <w:r>
        <w:rPr>
          <w:b/>
        </w:rPr>
        <w:t>POSSIBLE 2016:</w:t>
      </w:r>
      <w:r>
        <w:t xml:space="preserve"> Decision Support Tool for Implementation of Remanufacturing in an Enterprise — https://doi.org/10.1016/j.egypro.2016.09.062</w:t>
      </w:r>
    </w:p>
    <w:p>
      <w:pPr/>
      <w:r>
        <w:rPr>
          <w:b/>
        </w:rPr>
        <w:t>Shared claim-specific concepts:</w:t>
      </w:r>
      <w:r>
        <w:t xml:space="preserve"> shows, tool, performance; EU scope not established. This is a provisional connection, not an outcome finding.</w:t>
      </w:r>
    </w:p>
    <w:p>
      <w:pPr>
        <w:pStyle w:val="SourceNote"/>
      </w:pPr>
      <w:r>
        <w:rPr>
          <w:b/>
        </w:rPr>
        <w:t>Available abstract (not full text):</w:t>
      </w:r>
      <w:r>
        <w:t xml:space="preserve"> Several global challenges exist that force manufacturing organizations to reduce the environmental impact of their products. Nowadays, the most common practices of products’ end-of-life stage are landfilling and recycling. However, there are several other practices for products’ end-of-life management that support reduction of environmental impact. One such option is remanufacturing which is a product-recovery option that gives the opportunity to produce new products by using products that have already reached their end-of-life stage. In the process, all modules and components are disassembled, and the used parts – recovered. Depending on the product remanufactured, the process helps reducing energy consumption by 85%, avoiding up to 60% of emissions and saving up to 85% of raw materials, thus reducing the environmental impact considerably. Still, many barriers exist that prevent manufacturing enterprises from implementing the remanufacturing process. To assist enterprises, a decision support tool based on system dynamics modeling has been developed. The paper presents the decision support tool, and shows how the decision of implementing the remanufacturing process in an enterprise changes its performance with respect to environmental and economic aspects.</w:t>
      </w:r>
    </w:p>
    <w:p>
      <w:pPr>
        <w:pStyle w:val="Heading2"/>
      </w:pPr>
      <w:r>
        <w:t>882. Land use implications of future energy system trajectories—The case of the UK 2050 Carbon Plan</w:t>
      </w:r>
    </w:p>
    <w:p>
      <w:pPr>
        <w:pStyle w:val="SourceNote"/>
      </w:pPr>
      <w:r>
        <w:rPr>
          <w:b/>
        </w:rPr>
        <w:t>Original source (2015):</w:t>
      </w:r>
      <w:r>
        <w:t xml:space="preserve"> https://doi.org/10.1016/j.enpol.2015.07.008</w:t>
      </w:r>
    </w:p>
    <w:p>
      <w:pPr/>
      <w:r>
        <w:t>Original wording (abstract; indexed_source_text_not_full_document_verified): Four pathways to achieve this target have been developed by the Department of Energy and Climate Change, with all pathways requiring increased us of bioenergy. A significant amount of this could be indigenously sourced from crops, but will increased domestic production of energy crops conflict with other agricultural priorities?</w:t>
      </w:r>
    </w:p>
    <w:p>
      <w:pPr/>
      <w:r>
        <w:rPr>
          <w:b/>
        </w:rPr>
        <w:t>POSSIBLE 2025:</w:t>
      </w:r>
      <w:r>
        <w:t xml:space="preserve"> Diversified Pathways to Achieve Tax Fairness and Justice in the Digital Age — https://doi.org/10.62517/jel.202514523</w:t>
      </w:r>
    </w:p>
    <w:p>
      <w:pPr/>
      <w:r>
        <w:rPr>
          <w:b/>
        </w:rPr>
        <w:t>Shared claim-specific concepts:</w:t>
      </w:r>
      <w:r>
        <w:t xml:space="preserve"> four, pathways, achieve, all, domestic; EU scope not established. This is a provisional connection, not an outcome finding.</w:t>
      </w:r>
    </w:p>
    <w:p>
      <w:pPr>
        <w:pStyle w:val="SourceNote"/>
      </w:pPr>
      <w:r>
        <w:rPr>
          <w:b/>
        </w:rPr>
        <w:t>Available abstract (not full text):</w:t>
      </w:r>
      <w:r>
        <w:t xml:space="preserve"> In the context of digital globalization, while digital technologies have improved tax collection efficiency and optimized taxpayer services, they have also exacerbated international and domestic tax inequalities, creating a "digital divide" and impacting traditional tax rules. The concept of digital tax fairness and justice has emerged in response, its core being to ensure that all members of society can effectively access, use, and benefit from digital technologies to achieve equitable tax rights. Adam Smith's view of tax justice provides a legitimate basis for digital tax justice. By analyzing its inheritance from the natural law tradition and its utilitarian aspects, as well as its relevance and development potential in the digital age, we can clarify the political foundation and institutional requirements for achieving digital tax fairness and justice. Then, we construct diversified pathways to achieve digital tax fairness and justice, encompassing four pillars: institutional design, technology governance, capacity building, and social collaboration. This involves a coordinated approach from theoretical understanding, institutional construction, and data element innovation to achieve a leap from "technology empowerment" to "value reshaping," providing fiscal and ethical support for digital tax justice.</w:t>
      </w:r>
    </w:p>
    <w:p>
      <w:pPr/>
      <w:r>
        <w:rPr>
          <w:b/>
        </w:rPr>
        <w:t>POSSIBLE 2025:</w:t>
      </w:r>
      <w:r>
        <w:t xml:space="preserve"> Developing multi-risk DRM pathways — Lessons from four European case studies — https://doi.org/10.1016/j.crm.2025.100753</w:t>
      </w:r>
    </w:p>
    <w:p>
      <w:pPr/>
      <w:r>
        <w:rPr>
          <w:b/>
        </w:rPr>
        <w:t>Shared claim-specific concepts:</w:t>
      </w:r>
      <w:r>
        <w:t xml:space="preserve"> four, pathways, climate, but, priorities; EU scope visible. This is a provisional connection, not an outcome finding.</w:t>
      </w:r>
    </w:p>
    <w:p>
      <w:pPr>
        <w:pStyle w:val="SourceNote"/>
      </w:pPr>
      <w:r>
        <w:rPr>
          <w:b/>
        </w:rPr>
        <w:t>Available abstract (not full text):</w:t>
      </w:r>
      <w:r>
        <w:t xml:space="preserve"> In the context of climate change and socioeconomic developments, disaster risk is intensifying, driven not only by more frequent and severe hazard events but also by complex interactions between these events and underlying vulnerabilities. These interactions can amplify impacts and trigger cascading failures across sectors. Using the Canary Islands, the Danube Region, the North Sea, and Scandinavia as four case study regions, this research explores how the Dynamic Adaptive Policy Pathways for Multi-Risk (DAPP-MR) framework can support the development of integrated, adaptive disaster risk management (DRM) strategies to reduce risk while addressing these complex interactions. We examine how DAPP-MR enables a deeper understanding of multi-risk systems, facilitates stakeholder engagement, and structures the development of robust, cross-sectoral DRM pathways in these four qualitative applications. The findings indicate that DAPP-MR enables integrated, cross-sectoral thinking and encourages balancing short-term priorities and long-term needs. This research demonstrates that DAPP-MR offers a structured approach to unravelling the complex dynamics between hazards and sectors, while maintaining flexibility in analytical focus. This flexibility allows context-specific priorities to guide the analysis, but it can also make comparing outcomes across different applications more challenging.</w:t>
      </w:r>
    </w:p>
    <w:p>
      <w:pPr/>
      <w:r>
        <w:rPr>
          <w:b/>
        </w:rPr>
        <w:t>POSSIBLE 2025:</w:t>
      </w:r>
      <w:r>
        <w:t xml:space="preserve"> Four pathways for energy citizenship initiatives to contribute to a more democratic European energy system — https://doi.org/10.1080/07036337.2025.2458592</w:t>
      </w:r>
    </w:p>
    <w:p>
      <w:pPr/>
      <w:r>
        <w:rPr>
          <w:b/>
        </w:rPr>
        <w:t>Shared claim-specific concepts:</w:t>
      </w:r>
      <w:r>
        <w:t xml:space="preserve"> four, pathways, achieve, energy; EU scope visible. This is a provisional connection, not an outcome finding.</w:t>
      </w:r>
    </w:p>
    <w:p>
      <w:pPr>
        <w:pStyle w:val="SourceNote"/>
      </w:pPr>
      <w:r>
        <w:rPr>
          <w:b/>
        </w:rPr>
        <w:t>Available abstract (not full text):</w:t>
      </w:r>
      <w:r>
        <w:t xml:space="preserve"> The European Green Deal aims to put citizens at the heart of the European energy transition. Yet, their participation often falls short in terms of political involvement and self-governance. In contrast, the imaginary of energy democracy envisions democratising the energy system by involving citizens as political actors and assigns a key role to collectively organised energy citizenship initiatives in achieving this goal. However, it remains elusive how such initiatives contribute to democratisation processes and under what conditions of polycentric governance they achieve to do so. A Qualitative Comparative Analysis (QCA) of 14 energy citizenship initiatives in seven European countries shows that these contributions are diverse and characterised by national contexts. They range from strengthening local capacities for action to ownership and co-determination of energy infrastructure and direct participation of citizens in political decision-making processes. Four pathways of specific polycentric governance configurations are identified along which such contributions were achieved.</w:t>
      </w:r>
    </w:p>
    <w:p>
      <w:pPr/>
      <w:r>
        <w:rPr>
          <w:b/>
        </w:rPr>
        <w:t>POSSIBLE 2024:</w:t>
      </w:r>
      <w:r>
        <w:t xml:space="preserve"> Pathway for Four Central and Eastern European Countries to Achieve Low Carbon Development Based on the STIRPAT Model — https://doi.org/10.5539/jsd.v17n4p63</w:t>
      </w:r>
    </w:p>
    <w:p>
      <w:pPr/>
      <w:r>
        <w:rPr>
          <w:b/>
        </w:rPr>
        <w:t>Shared claim-specific concepts:</w:t>
      </w:r>
      <w:r>
        <w:t xml:space="preserve"> four, achieve, energy, climate, conflict; EU scope visible. This is a provisional connection, not an outcome finding.</w:t>
      </w:r>
    </w:p>
    <w:p>
      <w:pPr>
        <w:pStyle w:val="SourceNote"/>
      </w:pPr>
      <w:r>
        <w:rPr>
          <w:b/>
        </w:rPr>
        <w:t>Available abstract (not full text):</w:t>
      </w:r>
      <w:r>
        <w:t xml:space="preserve"> Poland, Hungary, the Czech Republic, Slovakia, as the Visegrad Group members in Central and Eastern Europe (CEE), play important roles in the green economy transition of Europe. The four CEE countries issued low carbon development strategies so as to realize climate change mitigation. However, the four countries faced various political and economic difficulties when transiting to a low carbon economy, including the energy consumption structure, the development of clean energy and the geopolitical conflict between Russia and Ukraine. The paper analyzed the factors influencing carbon emissions in the four CEE countries by using the STIRPAT model. Based on the empirical results, the paper put forward countermeasures and suggestions to promote low carbon development for the four CEE countries.</w:t>
      </w:r>
    </w:p>
    <w:p>
      <w:pPr/>
      <w:r>
        <w:rPr>
          <w:b/>
        </w:rPr>
        <w:t>POSSIBLE 2024:</w:t>
      </w:r>
      <w:r>
        <w:t xml:space="preserve"> Patients’ pathways to the emergency department: a scoping review — https://doi.org/10.1186/s12245-024-00638-w</w:t>
      </w:r>
    </w:p>
    <w:p>
      <w:pPr/>
      <w:r>
        <w:rPr>
          <w:b/>
        </w:rPr>
        <w:t>Shared claim-specific concepts:</w:t>
      </w:r>
      <w:r>
        <w:t xml:space="preserve"> four, pathways, department, all; EU scope visible. This is a provisional connection, not an outcome finding.</w:t>
      </w:r>
    </w:p>
    <w:p>
      <w:pPr>
        <w:pStyle w:val="SourceNote"/>
      </w:pPr>
      <w:r>
        <w:rPr>
          <w:b/>
        </w:rPr>
        <w:t>Available abstract (not full text):</w:t>
      </w:r>
      <w:r>
        <w:t xml:space="preserve"> BACKGROUND: Emergency department (ED) crowding is a common healthcare issue with multiple causes. One important knowledge area is understanding where patients arrived from and what care they received prior to ED admission. This information could be used to inform strategies to provide care for low acuity patients outside of the hospital and reduce unnecessary ED admissions. The aim of this scoping review was to provide a comprehensive overview of global published research examining the acute care trajectory of all ED patients. METHODS: The scoping review was performed according to the JBI Manual for Evidence Synthesis and the PRISMA-SCR checklist. A comprehensive literature search was performed to identify studies describing where patients arrived from and/or whose pathway of care was before an ED visit. The search was conducted in MEDLINE, Embase, and the Cochrane Library from inception through December 5th, 2022. Two reviewers independently screened the records. RESULTS: Out of the 6,465 records screened, 14 studies from Australia, Canada, Haiti, Norway, Sweden, Switzerland, Belgium, Indonesia, and the UK met the inclusion criteria. Four studies reported on where patients physically arrived from, ten reported how patients were transported, six reported who referred them, and six reported whether medical care or advice was sought prior to visiting an ED. CONCLUSION: This scopi</w:t>
      </w:r>
    </w:p>
    <w:p>
      <w:pPr/>
      <w:r>
        <w:rPr>
          <w:b/>
        </w:rPr>
        <w:t>POSSIBLE 2024:</w:t>
      </w:r>
      <w:r>
        <w:t xml:space="preserve"> Sustainable farming practices and soil health: a pathway to achieving SDGs and future prospects — https://doi.org/10.1007/s43621-024-00447-4</w:t>
      </w:r>
    </w:p>
    <w:p>
      <w:pPr/>
      <w:r>
        <w:rPr>
          <w:b/>
        </w:rPr>
        <w:t>Shared claim-specific concepts:</w:t>
      </w:r>
      <w:r>
        <w:t xml:space="preserve"> climate, crops, production, agricultural; EU scope not established. This is a provisional connection, not an outcome finding.</w:t>
      </w:r>
    </w:p>
    <w:p>
      <w:pPr>
        <w:pStyle w:val="SourceNote"/>
      </w:pPr>
      <w:r>
        <w:rPr>
          <w:b/>
        </w:rPr>
        <w:t>Available abstract (not full text):</w:t>
      </w:r>
      <w:r>
        <w:t xml:space="preserve"> Sustainable farming practices aim to produce agricultural products at a low environmental cost, ensuring food availability for future generations. These approaches combine the production of agricultural crops and livestock for site-specific uses, with an emphasis on long-term objectives including satisfying the food supply worldwide, improving the environment, making the most efficient use of resources and boosting the welfare of farmers and society as a whole. Sustainability in farming is mostly dependent on soil health, which is the soil’s capacity to function within ecological and land-use boundaries. It enhances general wellness, maintains the purity of the air and water, and supports biological productivity. The depletion of soil functions brought about by modern agricultural intensification has an impact on ecosystem services and long-term productivity. The goal of sustainable farming is to raise fertility and organic matter in the soil. Key practices include carbon farming, conservation agriculture, integrated pest management (IPM), and precision farming. In order to support sustainable crop production, these techniques improve soil fertility, structure, and biodiversity. Going forward, research should concentrate on developing novel approaches to tackle the issues of climate change and global food security.</w:t>
      </w:r>
    </w:p>
    <w:p>
      <w:pPr/>
      <w:r>
        <w:rPr>
          <w:b/>
        </w:rPr>
        <w:t>POSSIBLE 2023:</w:t>
      </w:r>
      <w:r>
        <w:t xml:space="preserve"> Pathways for regions to achieve carbon emission peak: New insights from the four economic growth poles in China — https://doi.org/10.1016/j.scitotenv.2023.167979</w:t>
      </w:r>
    </w:p>
    <w:p>
      <w:pPr/>
      <w:r>
        <w:rPr>
          <w:b/>
        </w:rPr>
        <w:t>Shared claim-specific concepts:</w:t>
      </w:r>
      <w:r>
        <w:t xml:space="preserve"> four, pathways, achieve;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The UAE’s energy system and GHG emissions: pathways to achieving national goals by 2050 — https://doi.org/10.1093/ce/zkad040</w:t>
      </w:r>
    </w:p>
    <w:p>
      <w:pPr/>
      <w:r>
        <w:rPr>
          <w:b/>
        </w:rPr>
        <w:t>Shared claim-specific concepts:</w:t>
      </w:r>
      <w:r>
        <w:t xml:space="preserve"> four, pathways, developed, energy, all, production; EU scope not established. This is a provisional connection, not an outcome finding.</w:t>
      </w:r>
    </w:p>
    <w:p>
      <w:pPr>
        <w:pStyle w:val="SourceNote"/>
      </w:pPr>
      <w:r>
        <w:rPr>
          <w:b/>
        </w:rPr>
        <w:t>Available abstract (not full text):</w:t>
      </w:r>
      <w:r>
        <w:t xml:space="preserve"> Abstract In recent years, the United Arab Emirates (UAE) has developed strategies to increase renewable power generation and reduce emissions to net zero by 2050. Electricity generation and energy-intensive industries (EII) have the largest potentials for emission reduction. Therefore, an up-to-date inventory of greenhouse gas emissions and a study of the pathways to achieving the 2050 targets are essential. This study focuses on power production and EII (aluminium, steel and cement). The structure of these sectors is modelled and simulated up to 2050 using a system dynamics (SD) methodology. The SD model is validated to reflect the real-world state of the system using the emissions inventory projections as reference modes. Nineteen mitigation policies are considered in the selected sectors and four policy scenarios were simulated. The results show that implementing the Energy Strategy 2050 in the power sector can result in a reduction of 63.5% in emissions in that sector, which translates into a reduction of 33.5% overall by 2050. Additionally, implementing all identified mitigation strategies to full utilization in EII yields a 94% reduction in that sector, which translates into a 78% reduction overall. Decarbonizing the aluminium industry yields the highest emissions reductions, followed by power production, then cement and finally steel. In the best-case scenario, 22.1% of </w:t>
      </w:r>
    </w:p>
    <w:p>
      <w:pPr/>
      <w:r>
        <w:rPr>
          <w:b/>
        </w:rPr>
        <w:t>POSSIBLE 2023:</w:t>
      </w:r>
      <w:r>
        <w:t xml:space="preserve"> Pathways to achieving nature-positive and carbon–neutral land use and food systems in Wales — https://doi.org/10.1007/s10113-023-02041-2</w:t>
      </w:r>
    </w:p>
    <w:p>
      <w:pPr/>
      <w:r>
        <w:rPr>
          <w:b/>
        </w:rPr>
        <w:t>Shared claim-specific concepts:</w:t>
      </w:r>
      <w:r>
        <w:t xml:space="preserve"> four, pathways, climate, but, other, agricultural; EU scope not established. This is a provisional connection, not an outcome finding.</w:t>
      </w:r>
    </w:p>
    <w:p>
      <w:pPr>
        <w:pStyle w:val="SourceNote"/>
      </w:pPr>
      <w:r>
        <w:rPr>
          <w:b/>
        </w:rPr>
        <w:t>Available abstract (not full text):</w:t>
      </w:r>
      <w:r>
        <w:t xml:space="preserve"> Abstract Land use and its management can play a vital role in carbon sequestration, but trade-offs may exist with other objectives including food security and nature recovery. Using an integrated model (the FABLE calculator), four pathways, co-created with colleagues at the Welsh Government, towards achieving climate and biodiversity targets in Wales were explored: status quo, improvements on current trends, land sparing and land sharing. We found that continuing as usual will not be sufficient to meet Wales’s climate and biodiversity targets. In contrast, the land use and agricultural sector became a net carbon sink in both the land sparing and land sharing pathways, through high afforestation targets, peatland restoration, reducing food waste and moving towards a healthier diet. Whilst both pathways released land for biodiversity, the gains were greater in the land sharing pathway, which was also less dependent on optimistic assumptions concerning productivity improvements. The results demonstrate that alternative approaches to achieving nature-positive and carbon–neutral land use and food systems may be possible, but they come with stringent and transformative requirements for policy changes, with an integrated approach necessary to maximise benefits for climate, food and nature.</w:t>
      </w:r>
    </w:p>
    <w:p>
      <w:pPr/>
      <w:r>
        <w:rPr>
          <w:b/>
        </w:rPr>
        <w:t>POSSIBLE 2022:</w:t>
      </w:r>
      <w:r>
        <w:t xml:space="preserve"> PaLM: Scaling Language Modeling with Pathways — https://doi.org/10.48550/arxiv.2204.02311</w:t>
      </w:r>
    </w:p>
    <w:p>
      <w:pPr/>
      <w:r>
        <w:rPr>
          <w:b/>
        </w:rPr>
        <w:t>Shared claim-specific concepts:</w:t>
      </w:r>
      <w:r>
        <w:t xml:space="preserve"> pathways, achieve, increased, significant; EU scope not established. This is a provisional connection, not an outcome finding.</w:t>
      </w:r>
    </w:p>
    <w:p>
      <w:pPr>
        <w:pStyle w:val="SourceNote"/>
      </w:pPr>
      <w:r>
        <w:rPr>
          <w:b/>
        </w:rPr>
        <w:t>Available abstract (not full text):</w:t>
      </w:r>
      <w:r>
        <w:t xml:space="preserve"> Large language models have been shown to achieve remarkable performance across a variety of natural language tasks using few-shot learning, which drastically reduces the number of task-specific training examples needed to adapt the model to a particular application. To further our understanding of the impact of scale on few-shot learning, we trained a 540-billion parameter, densely activated, Transformer language model, which we call Pathways Language Model PaLM. We trained PaLM on 6144 TPU v4 chips using Pathways, a new ML system which enables highly efficient training across multiple TPU Pods. We demonstrate continued benefits of scaling by achieving state-of-the-art few-shot learning results on hundreds of language understanding and generation benchmarks. On a number of these tasks, PaLM 540B achieves breakthrough performance, outperforming the finetuned state-of-the-art on a suite of multi-step reasoning tasks, and outperforming average human performance on the recently released BIG-bench benchmark. A significant number of BIG-bench tasks showed discontinuous improvements from model scale, meaning that performance steeply increased as we scaled to our largest model. PaLM also has strong capabilities in multilingual tasks and source code generation, which we demonstrate on a wide array of benchmarks. We additionally provide a comprehensive analysis on bias and toxicity, and </w:t>
      </w:r>
    </w:p>
    <w:p>
      <w:pPr/>
      <w:r>
        <w:rPr>
          <w:b/>
        </w:rPr>
        <w:t>POSSIBLE 2021:</w:t>
      </w:r>
      <w:r>
        <w:t xml:space="preserve"> Co-productive agility and four collaborative pathways to sustainability transformations — https://doi.org/10.1016/j.gloenvcha.2021.102422</w:t>
      </w:r>
    </w:p>
    <w:p>
      <w:pPr/>
      <w:r>
        <w:rPr>
          <w:b/>
        </w:rPr>
        <w:t>Shared claim-specific concepts:</w:t>
      </w:r>
      <w:r>
        <w:t xml:space="preserve"> four, pathways, production; EU scope not established. This is a provisional connection, not an outcome finding.</w:t>
      </w:r>
    </w:p>
    <w:p>
      <w:pPr>
        <w:pStyle w:val="SourceNote"/>
      </w:pPr>
      <w:r>
        <w:rPr>
          <w:b/>
        </w:rPr>
        <w:t>Available abstract (not full text):</w:t>
      </w:r>
      <w:r>
        <w:t xml:space="preserve"> Co-production, the collaborative weaving of research and practice by diverse societal actors, is argued to play an important role in sustainability transformations. Yet, there is still poor understanding of how to navigate the tensions that emerge in these processes. Through analyzing 32 initiatives worldwide that co-produced knowledge and action to foster sustainable social-ecological relations, we conceptualize ‘co-productive agility’ as an emergent feature vital for turning tensions into transformations. Co-productive agility refers to the willingness and ability of diverse actors to iteratively engage in reflexive dialogues to grow shared ideas and actions that would not have been possible from the outset. It relies on embedding knowledge production within processes of change to constantly recognize, reposition, and navigate tensions and opportunities. Co-productive agility opens up multiple pathways to transformation through: (1) elevating marginalized agendas in ways that maintain their integrity and broaden struggles for justice; (2) questioning dominant agendas by engaging with power in ways that challenge assumptions, (3) navigating conflicting agendas to actively transform interlinked paradigms, practices, and structures; (4) exploring diverse agendas to foster learning and mutual respect for a plurality of perspectives. We explore six process considerations that vary</w:t>
      </w:r>
    </w:p>
    <w:p>
      <w:pPr/>
      <w:r>
        <w:rPr>
          <w:b/>
        </w:rPr>
        <w:t>POSSIBLE 2021:</w:t>
      </w:r>
      <w:r>
        <w:t xml:space="preserve"> It Is Still Possible to Achieve the Paris Climate Agreement: Regional, Sectoral, and Land-Use Pathways — https://doi.org/10.3390/en14082103</w:t>
      </w:r>
    </w:p>
    <w:p>
      <w:pPr/>
      <w:r>
        <w:rPr>
          <w:b/>
        </w:rPr>
        <w:t>Shared claim-specific concepts:</w:t>
      </w:r>
      <w:r>
        <w:t xml:space="preserve"> four, pathways, achieve, energy, climate, increased; EU scope not established. This is a provisional connection, not an outcome finding.</w:t>
      </w:r>
    </w:p>
    <w:p>
      <w:pPr>
        <w:pStyle w:val="SourceNote"/>
      </w:pPr>
      <w:r>
        <w:rPr>
          <w:b/>
        </w:rPr>
        <w:t>Available abstract (not full text):</w:t>
      </w:r>
      <w:r>
        <w:t xml:space="preserve"> It is still possible to comply with the Paris Climate Agreement to maintain a global temperature ‘well below +2.0 °C’ above pre-industrial levels. We present two global non-overshoot pathways (+2.0 °C and +1.5 °C) with regional decarbonization targets for the four primary energy sectors—power, heating, transportation, and industry—in 5-year steps to 2050. We use normative scenarios to illustrate the effects of efficiency measures and renewable energy use, describe the roles of increased electrification of the final energy demand and synthetic fuels, and quantify the resulting electricity load increases for 72 sub-regions. Non-energy scenarios include a phase-out of net emissions from agriculture, forestry, and other land uses, reductions in non-carbon greenhouse gases, and land restoration to scale up atmospheric CO2 removal, estimated at −377 Gt CO2 to 2100. An estimate of the COVID-19 effects on the global energy demand is included and a sensitivity analysis describes the impacts if implementation is delayed by 5, 7, or 10 years, which would significantly reduce the likelihood of achieving the 1.5 °C goal. The analysis applies a model network consisting of energy system, power system, transport, land-use, and climate models.</w:t>
      </w:r>
    </w:p>
    <w:p>
      <w:pPr>
        <w:pStyle w:val="Heading2"/>
      </w:pPr>
      <w:r>
        <w:t>883. Long-term scenarios for reaching climate targets and energy security in UK</w:t>
      </w:r>
    </w:p>
    <w:p>
      <w:pPr>
        <w:pStyle w:val="SourceNote"/>
      </w:pPr>
      <w:r>
        <w:rPr>
          <w:b/>
        </w:rPr>
        <w:t>Original source (2015):</w:t>
      </w:r>
      <w:r>
        <w:t xml:space="preserve"> https://doi.org/10.1016/j.scs.2015.03.010</w:t>
      </w:r>
    </w:p>
    <w:p>
      <w:pPr/>
      <w:r>
        <w:t>Original wording (abstract; indexed_source_text_not_full_document_verified): The two scenarios, K_Scenario and Z_Scenario, were modelled with the use of the Department of Energy and Climate Change (DECC) 2050 Pathways Calculator. Both scenarios seek to achieve the UK's legally binding target of an 80% reduction in GHG emissions from 1990 levels by 2050.</w:t>
      </w:r>
    </w:p>
    <w:p>
      <w:pPr/>
      <w:r>
        <w:rPr>
          <w:b/>
        </w:rPr>
        <w:t>POSSIBLE 2025:</w:t>
      </w:r>
      <w:r>
        <w:t xml:space="preserve"> A seasonal two-factor model for solar energy production: A climate extreme events analysis — https://doi.org/10.1016/j.eneco.2025.108611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In this paper, we propose a novel stochastic model for forecasting solar energy production, incorporating key climate-related uncertainties. Unlike existing approaches, which primarily rely on Gaussian or skewnormal processes, our model employs a skew-geometric Brownian motion with a time-dependent seasonal drift and an error term following a mixture distribution. Additionally, we integrate temperature variations, modeled as a non-homogeneous mean-reverting Ornstein–Uhlenbeck process, to account for their dynamic impact on photovoltaic efficiency. A distinctive feature of our model is the inclusion of a jump component of compound Poisson type, which explicitly captures the influence of extreme climatic events on solar energy output. By applying our methodology to data from 28 countries, we demonstrate that our model significantly outperforms two benchmark approaches in accurately predicting energy production under extreme conditions. This contribution provides a more comprehensive and realistic representation of solar power variability, improving risk assessment and decision-making in energy planning.</w:t>
      </w:r>
    </w:p>
    <w:p>
      <w:pPr/>
      <w:r>
        <w:rPr>
          <w:b/>
        </w:rPr>
        <w:t>POSSIBLE 2025:</w:t>
      </w:r>
      <w:r>
        <w:t xml:space="preserve"> Energy and Clean Air Policies Will Overcome the Adverse Effect of Climate Change and Reduce China's Ozone Pollution in the Future: The Insight From a New Two‐Stage Model — https://doi.org/10.1029/2024jd043182</w:t>
      </w:r>
    </w:p>
    <w:p>
      <w:pPr/>
      <w:r>
        <w:rPr>
          <w:b/>
        </w:rPr>
        <w:t>Shared claim-specific concepts:</w:t>
      </w:r>
      <w:r>
        <w:t xml:space="preserve"> two, energy, climate, reduction, levels; EU scope not established. This is a provisional connection, not an outcome finding.</w:t>
      </w:r>
    </w:p>
    <w:p>
      <w:pPr>
        <w:pStyle w:val="SourceNote"/>
      </w:pPr>
      <w:r>
        <w:rPr>
          <w:b/>
        </w:rPr>
        <w:t>Available abstract (not full text):</w:t>
      </w:r>
      <w:r>
        <w:t xml:space="preserve"> Abstract Near‐surface ozone pollution is one of the biggest challenges for Chinese air quality improvement, whereas its future spatiotemporal evolution and driving factors have not been fully investigated. Here, we developed a two‐stage model combining a machine learning technique (XGBoost) and a chemical transport model (WRF‐CMAQ) to assess the ozone change till 2060 in China under three scenarios with various trajectories of climate change, energy transition, and pollution controls. The new model effectively corrected overestimation and underestimation of ozone levels by WRF‐CMAQ and global climate models, respectively. Anthropogenic efforts will overcome the adverse effect of climate and reduce future ozone concentration especially in eastern China and warm season with greater ozone pollution. From a long‐term perspective, energy structure transition was estimated to play a more important role than end‐of‐pipe emission controls with a former to latter ratio of ozone reduction during 2017–2060 at 2.7. With observational information incorporated, our model was demonstrated to better capture the ozone response to precursor emission change than WRF‐CMAQ and corrected the underestimation of ozone reduction for developed urban areas.</w:t>
      </w:r>
    </w:p>
    <w:p>
      <w:pPr/>
      <w:r>
        <w:rPr>
          <w:b/>
        </w:rPr>
        <w:t>POSSIBLE 2024:</w:t>
      </w:r>
      <w:r>
        <w:t xml:space="preserve"> Revisiting two-layer energy balance models for climate assessment — https://doi.org/10.1088/1748-9326/ad9ec5</w:t>
      </w:r>
    </w:p>
    <w:p>
      <w:pPr/>
      <w:r>
        <w:rPr>
          <w:b/>
        </w:rPr>
        <w:t>Shared claim-specific concepts:</w:t>
      </w:r>
      <w:r>
        <w:t xml:space="preserve"> energy, climate, both; EU scope not established. This is a provisional connection, not an outcome finding.</w:t>
      </w:r>
    </w:p>
    <w:p>
      <w:pPr>
        <w:pStyle w:val="SourceNote"/>
      </w:pPr>
      <w:r>
        <w:rPr>
          <w:b/>
        </w:rPr>
        <w:t>Available abstract (not full text):</w:t>
      </w:r>
      <w:r>
        <w:t xml:space="preserve"> Abstract Given the pivotal role of probabilistic approaches with two-layer energy balance models in the latest climate assessment, this study aims to gain deeper insight into their advancement by comparing different approaches for generating constrained posterior ensembles. Several methodological improvements are possible both in the calibration of model parameters to the behavior of comprehensive Earth system models and in constraining the calibrated parameter ensemble with other lines of evidence. The results imply that a conventional single parameter representing evolving climate feedback characteristics is not a requirement for reliable climate projections; rather, there are potential improvements on the forcing side regarding the separation of forcing and feedbacks. Constraining the ensemble based on observational and expert-assessed climate metrics, which critically affects probabilistic climate assessment, needs to appropriately deal with different constraints on a multivariate space in a standardized and flexible way. The method introduced here is an option that fulfills the need.</w:t>
      </w:r>
    </w:p>
    <w:p>
      <w:pPr/>
      <w:r>
        <w:rPr>
          <w:b/>
        </w:rPr>
        <w:t>POSSIBLE 2024:</w:t>
      </w:r>
      <w:r>
        <w:t xml:space="preserve"> Energy analysis of Single and Dual PCM Trombe Wall configurations for indoor heating considering dynamic scenarios in summer/winter of two different climate regions through CFD modeling — https://doi.org/10.1016/j.est.2024.114235</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Climate energy balance models: two layers, orders, timescales, or regions? — https://doi.org/10.22541/essoar.169100463.34039473/v1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Climate energy balance models (EBMs) – simple energy-balance-based models of climate change – are widely used. The simplest “linear” EBM is deficient in capturing the behavior of complex climate models, so a “two-layer” model with an additional degree of complexity, i.e. two vertical layers, is typically used. Other additional degrees of complexity are equally plausible as well, however, and different approaches to add a degree complexity have not been compared quantitatively. Here we compare four types of EBMs - two-layer, order-two (temperature-dependent feedback), two-region (in space), and two-timescale (fast and slow climate responses) - specifically, their ability to capture historical temperature change and simulated temperature changes in abrupt (4x) and gradual (1%-ramp) forcing scenarios. The two-region model outperforms the others. The two-region model’s best-fit parameters to historical temperatures are also more physically plausible than the next-best-fitting model, the two-layer model. We therefore conclude that the two-region model is the preferred climate EBM.</w:t>
      </w:r>
    </w:p>
    <w:p>
      <w:pPr/>
      <w:r>
        <w:rPr>
          <w:b/>
        </w:rPr>
        <w:t>POSSIBLE 2023:</w:t>
      </w:r>
      <w:r>
        <w:t xml:space="preserve"> Climate energy balance models: two layers, orders, timescales, or regions? — https://doi.org/10.31223/x5dd3d</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Climate energy balance models (EBMs) – simple energy-balance-based models of climate change – are widely used. The simplest “linear” EBM is deficient in capturing the behavior of complex climate models, so a “two-layer” model with an additional degree of complexity, i.e. two vertical layers, is typically used. Other additional degrees of complexity are equally plausible as well, however, and different approaches to add a degree complexity have not been compared quantitatively. Here we compare four types of EBMs - two-layer, order-two (temperature-dependent feedback), two-region (in space), and two-timescale (fast and slow climate responses) - specifically, their ability to capture historical temperature change and simulated temperature changes in abrupt (4x) and gradual (1%-ramp) forcing scenarios. The two-region model outperforms the others. The two-region model’s best-fit parameters to historical temperatures are also more physically plausible than the next-best-fitting model, the two-layer model. We therefore conclude that the two-region model is the preferred climate EBM.</w:t>
      </w:r>
    </w:p>
    <w:p>
      <w:pPr/>
      <w:r>
        <w:rPr>
          <w:b/>
        </w:rPr>
        <w:t>POSSIBLE 2022:</w:t>
      </w:r>
      <w:r>
        <w:t xml:space="preserve"> Energy and Climate Changes Along the Last Two Hundred Years: Logistic Modeling — https://doi.org/10.1007/978-3-031-16470-5_10</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Mathematical Model of the Energy Balance for Two Configurations of Trapezoidal Box-type Solar Cooker Tested under Saharan Climate — https://doi.org/10.1109/sienr50924.2021.9631884</w:t>
      </w:r>
    </w:p>
    <w:p>
      <w:pPr/>
      <w:r>
        <w:rPr>
          <w:b/>
        </w:rPr>
        <w:t>Shared claim-specific concepts:</w:t>
      </w:r>
      <w:r>
        <w:t xml:space="preserve"> two, energy, climate, both; EU scope not established. This is a provisional connection, not an outcome finding.</w:t>
      </w:r>
    </w:p>
    <w:p>
      <w:pPr>
        <w:pStyle w:val="SourceNote"/>
      </w:pPr>
      <w:r>
        <w:rPr>
          <w:b/>
        </w:rPr>
        <w:t>Available abstract (not full text):</w:t>
      </w:r>
      <w:r>
        <w:t xml:space="preserve"> This article presents a mathematical model for two configurations of a box type solar cooker with trapezoidal shape: the cooker will be eqquiped with an additional reflector at first time and will be removed later, the aim is to determine the behavior in both cases depending on the the available solar energy. The energy balance equations have been solved by a Matlab program developed for this purpose. To validate the mathematical model, the values of the theoretical temperatures values were compared with the experimental results obtained from cooker tests carried out under the Saharan climatic conditions of the Ghardaia site. The tests were carried out with the cooker filled with one or two liters of water from 9:00 AM. to 5:00 PM. A good agreement was found between the measured values and that estimated by the proposed model. The model was then used to simulate the performance of the solar cooker throughout the national territory. Several temperature maps were obtained for different days of the year (winter and summer). It has been found that the temperatures obtained when the cooker is fitted with its reflector are much higher than that obtained without a reflector. The large area of Algeria allows the operation of the cooker without or with reflector in different locations and in particular months for each one of the configurations depending on the amount of solar energy rec</w:t>
      </w:r>
    </w:p>
    <w:p>
      <w:pPr/>
      <w:r>
        <w:rPr>
          <w:b/>
        </w:rPr>
        <w:t>POSSIBLE 2021:</w:t>
      </w:r>
      <w:r>
        <w:t xml:space="preserve"> Climate change impacts on renewable energy supply — https://doi.org/10.1038/s41558-020-00949-9</w:t>
      </w:r>
    </w:p>
    <w:p>
      <w:pPr/>
      <w:r>
        <w:rPr>
          <w:b/>
        </w:rPr>
        <w:t>Shared claim-specific concepts:</w:t>
      </w:r>
      <w:r>
        <w:t xml:space="preserve"> energy, climate; EU scope not established. This is a provisional connection, not an outcome finding.</w:t>
      </w:r>
    </w:p>
    <w:p>
      <w:pPr>
        <w:pStyle w:val="SourceNote"/>
      </w:pPr>
      <w:r>
        <w:rPr>
          <w:b/>
        </w:rPr>
        <w:t>Available abstract (not full text):</w:t>
      </w:r>
      <w:r>
        <w:t xml:space="preserve"> Unavailable</w:t>
      </w:r>
    </w:p>
    <w:p>
      <w:pPr/>
      <w:r>
        <w:rPr>
          <w:b/>
        </w:rPr>
        <w:t>POSSIBLE 2020:</w:t>
      </w:r>
      <w:r>
        <w:t xml:space="preserve"> Understanding the links between climate feedbacks, variability and change using a two-layer energy balance model — https://doi.org/10.1007/s00382-020-05189-3</w:t>
      </w:r>
    </w:p>
    <w:p>
      <w:pPr/>
      <w:r>
        <w:rPr>
          <w:b/>
        </w:rPr>
        <w:t>Shared claim-specific concepts:</w:t>
      </w:r>
      <w:r>
        <w:t xml:space="preserve"> energy, climate; EU scope not established. This is a provisional connection, not an outcome finding.</w:t>
      </w:r>
    </w:p>
    <w:p>
      <w:pPr>
        <w:pStyle w:val="SourceNote"/>
      </w:pPr>
      <w:r>
        <w:rPr>
          <w:b/>
        </w:rPr>
        <w:t>Available abstract (not full text):</w:t>
      </w:r>
      <w:r>
        <w:t xml:space="preserve"> Unavailable</w:t>
      </w:r>
    </w:p>
    <w:p>
      <w:pPr/>
      <w:r>
        <w:rPr>
          <w:b/>
        </w:rPr>
        <w:t>POSSIBLE 2020:</w:t>
      </w:r>
      <w:r>
        <w:t xml:space="preserve"> Modelling and Validation of two Heat and Mass Transfer Model of Living Walls and Evaluation of Their Impact on the Energy Performance of a Supermarket in a Semiarid Climate — https://doi.org/10.26868/25222708.2019.211051</w:t>
      </w:r>
    </w:p>
    <w:p>
      <w:pPr/>
      <w:r>
        <w:rPr>
          <w:b/>
        </w:rPr>
        <w:t>Shared claim-specific concepts:</w:t>
      </w:r>
      <w:r>
        <w:t xml:space="preserve"> two, energy, climate, both; EU scope not established. This is a provisional connection, not an outcome finding.</w:t>
      </w:r>
    </w:p>
    <w:p>
      <w:pPr>
        <w:pStyle w:val="SourceNote"/>
      </w:pPr>
      <w:r>
        <w:rPr>
          <w:b/>
        </w:rPr>
        <w:t>Available abstract (not full text):</w:t>
      </w:r>
      <w:r>
        <w:t xml:space="preserve"> There are about 35 heat and mass transfer green roof models up to date. However, there are only four living wall models. Furthermore, there are very few studies on the impact of living walls on the building energy performance of buildings. Moreover, none of the living wall models has been validated under semiarid climate conditions and there is a lack of studies about the cooling potential of living walls in retail buildings such as supermarkets. This paper aims to adapt two well-known green roof models to be able to model the heat and mass transfer through living walls, validate both models under semiarid climate conditions, and couple both adapted and validated models to EnergyPlus. Therefore, the impact of living walls on the energy performance of an ASHRAE prototype supermarket located in Santiago of Chile is evaluated. The results show that living walls can reduce up to 24% the cooling loads of a supermarket, and the wall thermal insulation significantly diminishes the impact of the living wall</w:t>
      </w:r>
    </w:p>
    <w:p>
      <w:pPr/>
      <w:r>
        <w:rPr>
          <w:b/>
        </w:rPr>
        <w:t>POSSIBLE 2020:</w:t>
      </w:r>
      <w:r>
        <w:t xml:space="preserve"> The Importance of Weather and Climate to Energy Systems: A Workshop on Next Generation Challenges in Energy–Climate Modeling — https://doi.org/10.1175/bams-d-20-0256.1</w:t>
      </w:r>
    </w:p>
    <w:p>
      <w:pPr/>
      <w:r>
        <w:rPr>
          <w:b/>
        </w:rPr>
        <w:t>Shared claim-specific concepts:</w:t>
      </w:r>
      <w:r>
        <w:t xml:space="preserve"> two, energy, climate; EU scope not established. This is a provisional connection, not an outcome finding.</w:t>
      </w:r>
    </w:p>
    <w:p>
      <w:pPr>
        <w:pStyle w:val="SourceNote"/>
      </w:pPr>
      <w:r>
        <w:rPr>
          <w:b/>
        </w:rPr>
        <w:t>Available abstract (not full text):</w:t>
      </w:r>
      <w:r>
        <w:t xml:space="preserve"> What: Over 80 international participants, representing weather, climate, and energy systems research, joined two 4-h remote sessions to highlight and prioritize ongoing and future challenges in energy–climate modeling. The workshop had two primary goals: to build a deeper engagement across the “energy” and “climate” research communities, and to identify and begin to address the scientific challenges associated with modeling climate risk in energy systems. When: 22–23 June 2020. Where: Online via Zoom, hosted by the University of Reading</w:t>
      </w:r>
    </w:p>
    <w:p>
      <w:pPr>
        <w:pStyle w:val="Heading2"/>
      </w:pPr>
      <w:r>
        <w:t>884. Losses of Ammonia and Nitrate from Agriculture and Their Effect on Nitrogen Recovery in the European Union and the United States between 1900 and 2050</w:t>
      </w:r>
    </w:p>
    <w:p>
      <w:pPr>
        <w:pStyle w:val="SourceNote"/>
      </w:pPr>
      <w:r>
        <w:rPr>
          <w:b/>
        </w:rPr>
        <w:t>Original source (2015):</w:t>
      </w:r>
      <w:r>
        <w:t xml:space="preserve"> https://doi.org/10.2134/jeq2014.03.0102</w:t>
      </w:r>
    </w:p>
    <w:p>
      <w:pPr/>
      <w:r>
        <w:t>Original wording (abstract; indexed_source_text_not_full_document_verified): In the United States, environmental N loads will remain substantially smaller than in the European Union, whereas agricultural production in 2050 in the United States will increase by 30% relative to 2005, as compared with an increase of 8% in the European Union. IMAGE projections for the IAASTD-baseline scenario indicate that N loading to the environment in 2050 will be similar to current levels.</w:t>
      </w:r>
    </w:p>
    <w:p>
      <w:pPr/>
      <w:r>
        <w:rPr>
          <w:b/>
        </w:rPr>
        <w:t>POSSIBLE 2026:</w:t>
      </w:r>
      <w:r>
        <w:t xml:space="preserve"> Environmental consequences of replacing polyethylene packaging in the United States and Europe — https://doi.org/10.1016/j.resenv.2026.100390</w:t>
      </w:r>
    </w:p>
    <w:p>
      <w:pPr/>
      <w:r>
        <w:rPr>
          <w:b/>
        </w:rPr>
        <w:t>Shared claim-specific concepts:</w:t>
      </w:r>
      <w:r>
        <w:t xml:space="preserve"> united, states, environmental, remain, increase, indicate; EU scope visible. This is a provisional connection, not an outcome finding.</w:t>
      </w:r>
    </w:p>
    <w:p>
      <w:pPr>
        <w:pStyle w:val="SourceNote"/>
      </w:pPr>
      <w:r>
        <w:rPr>
          <w:b/>
        </w:rPr>
        <w:t>Available abstract (not full text):</w:t>
      </w:r>
      <w:r>
        <w:t xml:space="preserve"> Substituting plastic packaging with alternative materials is increasingly promoted as a strategy to reduce environmental burdens and support resource conservation, yet broader trade-offs remain insufficiently understood. This study evaluates potential environmental consequences of replacing polyethylene (PE) packaging with alternatives in the U.S. and Europe using comparative life cycle assessment. Cradle-to-end-of-life impacts were assessed for five major packaging applications using region-specific inventories and midpoint indicators for global warming potential, acidification, eutrophication, water use, land use, and fossil resource use. PE demand and substitution scenarios were projected to 2030 to examine implications for material demand and resource-related impacts. Across most applications and impact categories assessed, PE packaging showed lower potential environmental impacts than paper, glass, and metal alternatives. Substitution could increase packaging mass by up to five to six times and double global warming potential, with increases of 190% in the U.S. and 50% in Europe. These findings indicate that material substitution alone is not necessarily a resource-efficient or environmentally preferable strategy. Packaging decisions and policies should therefore be guided by functionally equivalent, region-specific life cycle data that accounts for burden shifting across </w:t>
      </w:r>
    </w:p>
    <w:p>
      <w:pPr/>
      <w:r>
        <w:rPr>
          <w:b/>
        </w:rPr>
        <w:t>POSSIBLE 2026:</w:t>
      </w:r>
      <w:r>
        <w:t xml:space="preserve"> Environmental Permitting and Environmental Impact Assessment in the United States and the European Union: A Comparative Legal Study — https://doi.org/10.2139/ssrn.7275567</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Nonlinear Thresholds of Meteorological and Chemical Determinants of Summertime Surface Ozone across China, the United States, and Europe — https://doi.org/10.1021/acsestair.6c00228</w:t>
      </w:r>
    </w:p>
    <w:p>
      <w:pPr/>
      <w:r>
        <w:rPr>
          <w:b/>
        </w:rPr>
        <w:t>Shared claim-specific concepts:</w:t>
      </w:r>
      <w:r>
        <w:t xml:space="preserve"> united, states, remain, substantially, whereas; EU scope visible. This is a provisional connection, not an outcome finding.</w:t>
      </w:r>
    </w:p>
    <w:p>
      <w:pPr>
        <w:pStyle w:val="SourceNote"/>
      </w:pPr>
      <w:r>
        <w:rPr>
          <w:b/>
        </w:rPr>
        <w:t>Available abstract (not full text):</w:t>
      </w:r>
      <w:r>
        <w:t xml:space="preserve"> Abstract Surface ozone (O3) poses significant threats to human health, ecosystems, and climate. In recent years, summertime ozone pollution has remained severe in China and has shown emerging risks worldwide, creating urgent pressure for more effective early warning and region-specific mitigation. Yet thresholds of key meteorological and chemical drivers controlling surface ozone pollution remain poorly constrained, and the mechanisms underlying regional differences in dominant drivers are not fully understood. Here, we combine interpretable machine learning, Double Machine Learning, and high versus low O3 composite diagnostics to identify dominant drivers controlling surface ozone pollution, quantify region-specific thresholds, and interpret the underlying formation regimes of summertime maximum daily 8 h average ozone (MDA8 O3) across China, the United States, and Europe. Results reveal that meteorological predictors make the largest absolute SHAP contribution to summertime MDA8 O3 in most regions, whereas aerosol-related predictors rank second in many regions and first among predictor groups in the Pearl River Delta. Our approach further identifies region-specific threshold combinations associated with elevated MDA8 O3 and conditional exceedance probabilities. High O3 days consistently occur under hot, dry, weakly cloudy, low-precipitation, and strongly irradiated conditions</w:t>
      </w:r>
    </w:p>
    <w:p>
      <w:pPr/>
      <w:r>
        <w:rPr>
          <w:b/>
        </w:rPr>
        <w:t>POSSIBLE 2026:</w:t>
      </w:r>
      <w:r>
        <w:t xml:space="preserve"> Giardiasis in Japan, the United States of America, and Europe from 2007 to 2023, highlighting a decline during the COVID-19 pandemic — https://doi.org/10.1371/journal.pntd.0014428</w:t>
      </w:r>
    </w:p>
    <w:p>
      <w:pPr/>
      <w:r>
        <w:rPr>
          <w:b/>
        </w:rPr>
        <w:t>Shared claim-specific concepts:</w:t>
      </w:r>
      <w:r>
        <w:t xml:space="preserve"> united, states, substantially, whereas, compared; EU scope visible. This is a provisional connection, not an outcome finding.</w:t>
      </w:r>
    </w:p>
    <w:p>
      <w:pPr>
        <w:pStyle w:val="SourceNote"/>
      </w:pPr>
      <w:r>
        <w:rPr>
          <w:b/>
        </w:rPr>
        <w:t>Available abstract (not full text):</w:t>
      </w:r>
      <w:r>
        <w:t xml:space="preserve"> BACKGROUND: Giardiasis is one of the most common enteric protozoal infections worldwide. It is frequently reported as an enteric parasitic infection in the United States of America (USA) and Europe, whereas reported incidence in Japan is substantially lower. This study characterized age-specific, geographic, and temporal patterns of reported giardiasis incidence in Japan, the USA, and Europe using publicly available surveillance data. METHODOLOGY/PRINCIPAL FINDINGS: This retrospective study analyzed surveillance data from the National Institute of Infectious Diseases (NIID) in Japan, the Centers for Disease Control and Prevention (CDC), and the European Centre for Disease Prevention and Control (ECDC) to describe epidemiological patterns, possible explanatory factors, and temporal trends before and during the COVID-19 pandemic. Annual trends were examined using all available surveillance years: 2007-2023 for Japan and Europe and 2007-2022 for the USA. Age-specific patterns were compared between the pre-pandemic (2017-2019) and pandemic (2020-2022) periods, and geographic patterns were examined using available regional data. Incidence rates in the USA and Europe were approximately 5 per 100,000 population, whereas reported incidence in Japan remained below 0.1 per 100,000. Age-specific patterns differed: incidence peaked in children aged 0-14 years in Europe, and in children age</w:t>
      </w:r>
    </w:p>
    <w:p>
      <w:pPr/>
      <w:r>
        <w:rPr>
          <w:b/>
        </w:rPr>
        <w:t>POSSIBLE 2026:</w:t>
      </w:r>
      <w:r>
        <w:t xml:space="preserve"> United States and European Union aid cuts risk exacerbating links between aid, trade, and human and environmental crises — https://doi.org/10.1038/s44458-025-00011-9</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Both the United States and European Union have been considerable providers of official development aid, but political pressure is mounting to reduce future disbursements. Here, we conduct a system-wide association study linking detailed trade flows with various aid purposes—including untied, humanitarian, and typically non-trade-related aid—to explore how aid and trade may interact in indirect or unintended ways. Using OECD aid data and global trade statistics, we find strong and persistent correlations between specific imported goods and aid purposes. These links reflect trade-offs among the UN’s Sustainable Development Goals and suggest that a major reduction in U.S. aid could disrupt efforts to mitigate the impacts of its food and precious metal imports. The findings also highlight the fragile relationship between aid, minerals, and conflict. This shift may offer a strategic opportunity to nations to reduce their supply chain vulnerabilities and rethink the broader relationship between aid, trade, and human and environmental crises. Persistent correlations between traded goods and foreign aid purposes reveal connections to human and environmental crises that could be exacerbated by aid cuts, according to a global study using OECD aid data and trade flows to map obscure or unintended interactions between aid and trade.</w:t>
      </w:r>
    </w:p>
    <w:p>
      <w:pPr/>
      <w:r>
        <w:rPr>
          <w:b/>
        </w:rPr>
        <w:t>POSSIBLE 2026:</w:t>
      </w:r>
      <w:r>
        <w:t xml:space="preserve"> Contemporary Issues in International Environmental Law: A Comparative Doctrinal Analysis of Climate Regulation and Litigation in the United States and the European Union — https://doi.org/10.13140/rg.2.2.25380.03203</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Structuring Sustainability, From Strategy to Soil: A Comparative Analysis of Agri-Environmental and Climate-Smart Policy Design in the European Union and the United States, 2018–2025 — https://doi.org/10.17615/0cwh-qe76</w:t>
      </w:r>
    </w:p>
    <w:p>
      <w:pPr/>
      <w:r>
        <w:rPr>
          <w:b/>
        </w:rPr>
        <w:t>Shared claim-specific concepts:</w:t>
      </w:r>
      <w:r>
        <w:t xml:space="preserve"> united, states, environmental, smaller, union, agricultural; EU scope visible. This is a provisional connection, not an outcome finding.</w:t>
      </w:r>
    </w:p>
    <w:p>
      <w:pPr>
        <w:pStyle w:val="SourceNote"/>
      </w:pPr>
      <w:r>
        <w:rPr>
          <w:b/>
        </w:rPr>
        <w:t>Available abstract (not full text):</w:t>
      </w:r>
      <w:r>
        <w:t xml:space="preserve"> With the ever-increasing population and the growing impacts of climate change, the intersection of environmental and agricultural policy has become increasingly critical. In recent years, institutions have sought to address these two concerns by developing agri-environmental policies that aim to integrate environmentally friendly practices into the agricultural sector. However, despite continued efforts, there remains no single, universally effective model of implementation. This project examines why variation persists by focusing on two major actors in agricultural policy: the United States and the European Union, whose approaches illustrate both similarities and significant differences. The United States has pursued gradual measures, adopting smaller, carefully designed policies aimed at addressing environmental concerns without causing significant disruption to agricultural production. By contrast, the European Union has set more ambitious goals and formally tied environmental measures to the Common Agricultural Policy, while devolving responsibility for implementation to member states to accommodate local issues. These contrasting approaches raise the central research question of this thesis: How do differences in policy design and governance structures shape the implementation of agri-environmental policies in the US and the EU? To address this question, the thesis analyze</w:t>
      </w:r>
    </w:p>
    <w:p>
      <w:pPr/>
      <w:r>
        <w:rPr>
          <w:b/>
        </w:rPr>
        <w:t>POSSIBLE 2026:</w:t>
      </w:r>
      <w:r>
        <w:t xml:space="preserve"> Governing the Environmental Externalities of Generative AI Compute in the Gulf: Data-Centre Expansion in Saudi Arabia, the UAE, and QatarA Comparative Policy Analysis of the European Union, United States, and China as Lesson-Generating Models — https://doi.org/10.2139/ssrn.6866873</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A Comparative Study of the Impact of Technological Policymaking on Environmental Security in the United States and the European Union — https://doi.org/10.18415/ijmmu.v12i10.7190</w:t>
      </w:r>
    </w:p>
    <w:p>
      <w:pPr/>
      <w:r>
        <w:rPr>
          <w:b/>
        </w:rPr>
        <w:t>Shared claim-specific concepts:</w:t>
      </w:r>
      <w:r>
        <w:t xml:space="preserve"> united, states, environmental, union, indicate, environment; EU scope visible. This is a provisional connection, not an outcome finding.</w:t>
      </w:r>
    </w:p>
    <w:p>
      <w:pPr>
        <w:pStyle w:val="SourceNote"/>
      </w:pPr>
      <w:r>
        <w:rPr>
          <w:b/>
        </w:rPr>
        <w:t>Available abstract (not full text):</w:t>
      </w:r>
      <w:r>
        <w:t xml:space="preserve"> In the era of the Fourth Industrial Revolution, new technologies have developed with unprecedented speed, efficiency, and convergence, bridging the digital, physical, and biological boundaries. At the same time, environmental crises have become a serious threat to global security. The United States and the European Union have been designing and implementing policies to protect the environment since the 1960s. Using a documentary study method and a descriptive-analytical approach, this article seeks to find out what impact the technological policies of the European Union and the United States have had on environmental security. The results of the research indicate that alignment between technological policies and environmental goals is a prerequisite for achieving sustainable development and ensuring environmental security. The European Union has been able to create effective synergies between technology and environmental goals by developing comprehensive policies such as the Lisbon Strategy, Europe 2020, and Horizon Europe, as well as implementing programs such as the Green Deal, the circular economy, and the clean energy transition. In contrast, the United States, despite political fluctuations in the environmental field, has been developing clean technologies and optimizing energy consumption through technological innovations in the private sector. However, recent geopolitica</w:t>
      </w:r>
    </w:p>
    <w:p>
      <w:pPr/>
      <w:r>
        <w:rPr>
          <w:b/>
        </w:rPr>
        <w:t>POSSIBLE 2025:</w:t>
      </w:r>
      <w:r>
        <w:t xml:space="preserve"> A COMPARATIVE ANALYSIS OF THE LEGAL FRAMEWORK ON GREENWASHING IN ENVIRONMENTAL, SOCIAL, AND GOVERNANCE (ESG) FUNDS LABELLING IN THE UNITED STATES, THE EUROPEAN UNION AND THE UNITED KINGDOM — https://doi.org/10.2139/ssrn.5319796</w:t>
      </w:r>
    </w:p>
    <w:p>
      <w:pPr/>
      <w:r>
        <w:rPr>
          <w:b/>
        </w:rPr>
        <w:t>Shared claim-specific concepts:</w:t>
      </w:r>
      <w:r>
        <w:t xml:space="preserve"> united, states, environmental, union;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Analysis of Environmental and Energy Policies in Turkey, the European Union and the United States — https://doi.org/10.9734/ijecc/2023/v13i123685</w:t>
      </w:r>
    </w:p>
    <w:p>
      <w:pPr/>
      <w:r>
        <w:rPr>
          <w:b/>
        </w:rPr>
        <w:t>Shared claim-specific concepts:</w:t>
      </w:r>
      <w:r>
        <w:t xml:space="preserve"> united, states, environmental, union, production; EU scope visible. This is a provisional connection, not an outcome finding.</w:t>
      </w:r>
    </w:p>
    <w:p>
      <w:pPr>
        <w:pStyle w:val="SourceNote"/>
      </w:pPr>
      <w:r>
        <w:rPr>
          <w:b/>
        </w:rPr>
        <w:t>Available abstract (not full text):</w:t>
      </w:r>
      <w:r>
        <w:t xml:space="preserve"> Energy consumption plays a pivotal role in the development of societies. Sustainable Energy Resources are vital inputs for daily life, and energy and industrial products are essential for economic growth (Ministry of Energy and Natural Resources, 2022). Consequently, those responsible for managing a country's energy sector must ensure the uninterrupted, reliable, timely, clean, and affordable supply of energy, as well as diversify energy sources to enhance energy security. The concept of "sustainable development" has emerged in response to the need to prevent irreversible environmental damage caused by conventional energy sources and outdated technologies while ensuring access to energy as a fundamental human right under optimal conditions (Pamir, N 2005). Developed societies have transitioned from planning based solely on energy source acquisition and production to a planning approach that carefully considers the energy-economy-ecology balance (3E) while taking into account resource diversity and geopolitical realities (Energy Policies and Global Developments, emo.org.tr). Turkey remains heavily dependent on energy imports, accounting for approximately 74% of its energy needs (Ministry of Energy and Natural Resources, 2023). The multifaceted nature of Turkey's energy strategy and its energy dependence emphasize the importance of international relations in this field. U.S. ener</w:t>
      </w:r>
    </w:p>
    <w:p>
      <w:pPr/>
      <w:r>
        <w:rPr>
          <w:b/>
        </w:rPr>
        <w:t>POSSIBLE 2023:</w:t>
      </w:r>
      <w:r>
        <w:t xml:space="preserve"> Efforts to ban lead ammunition: a comparison between Europe and the United States — https://doi.org/10.1002/wsb.1449</w:t>
      </w:r>
    </w:p>
    <w:p>
      <w:pPr/>
      <w:r>
        <w:rPr>
          <w:b/>
        </w:rPr>
        <w:t>Shared claim-specific concepts:</w:t>
      </w:r>
      <w:r>
        <w:t xml:space="preserve"> united, states, environmental; EU scope visible. This is a provisional connection, not an outcome finding.</w:t>
      </w:r>
    </w:p>
    <w:p>
      <w:pPr>
        <w:pStyle w:val="SourceNote"/>
      </w:pPr>
      <w:r>
        <w:rPr>
          <w:b/>
        </w:rPr>
        <w:t>Available abstract (not full text):</w:t>
      </w:r>
      <w:r>
        <w:t xml:space="preserve"> Abstract The human health impacts of lead have been known for millennia but the environmental impacts of lead ammunition have only received attention during the past 100 years. To a large extent the United States provided leadership in identifying and researching these effects and then spearheading campaigns to transition away from lead shotgun ammunition for waterfowl hunting. However, the appetite for further federal transition has largely stalled in the U.S. except for apparently limited action linked to individual states, charismatic species, and specific sites. Europe, on the other hand, though generally rather late to the table with regard to lead shotgun ammunition and waterfowl hunting, is now pushing ahead with several initiatives that are likely to see substantial partial, if not total, restrictions on the use of all lead ammunition (for shotguns and rifles) within 5 to 10 years. We discuss the policy drivers behind these moves, summarize the key attitudes and perceived constraints to transition, and provide (cautious) timetables and limited recommendations for future changes. Our discussion will include comparisons between efforts in the U.S. and those in Europe.</w:t>
      </w:r>
    </w:p>
    <w:p>
      <w:pPr>
        <w:pStyle w:val="Heading2"/>
      </w:pPr>
      <w:r>
        <w:t>885. Microgrids: Enhancing the Resilience of the European Megagrid</w:t>
      </w:r>
    </w:p>
    <w:p>
      <w:pPr>
        <w:pStyle w:val="SourceNote"/>
      </w:pPr>
      <w:r>
        <w:rPr>
          <w:b/>
        </w:rPr>
        <w:t>Original source (2015):</w:t>
      </w:r>
      <w:r>
        <w:t xml:space="preserve"> https://doi.org/10.1109/mpe.2015.2397336</w:t>
      </w:r>
    </w:p>
    <w:p>
      <w:pPr/>
      <w:r>
        <w:t>Original wording (abstract; indexed_source_text_not_full_document_verified): By 2020, 20% of the European electricity demand will be met by renewable generation while, by 2030, a substantial proportion of the electricity generation would become largely decarbonized. Furthermore, beyond 2030, it is expected that significant segments of the heat and transport sectors will be electrified to meet the targets proposed by the EU governments for greenhouse gas emission reductions of at least 80% in 2050.</w:t>
      </w:r>
    </w:p>
    <w:p>
      <w:pPr/>
      <w:r>
        <w:rPr>
          <w:b/>
        </w:rPr>
        <w:t>POSSIBLE 2026:</w:t>
      </w:r>
      <w:r>
        <w:t xml:space="preserve"> Climate change impacts on European electricity demand and supply until 2100 — https://doi.org/10.1016/j.isci.2026.116818</w:t>
      </w:r>
    </w:p>
    <w:p>
      <w:pPr/>
      <w:r>
        <w:rPr>
          <w:b/>
        </w:rPr>
        <w:t>Shared claim-specific concepts:</w:t>
      </w:r>
      <w:r>
        <w:t xml:space="preserve"> electricity, renewable, generation, substantial, electrified; EU scope visible. This is a provisional connection, not an outcome finding.</w:t>
      </w:r>
    </w:p>
    <w:p>
      <w:pPr>
        <w:pStyle w:val="SourceNote"/>
      </w:pPr>
      <w:r>
        <w:rPr>
          <w:b/>
        </w:rPr>
        <w:t>Available abstract (not full text):</w:t>
      </w:r>
      <w:r>
        <w:t xml:space="preserve"> Renewable and electrified energy systems are highly weather-dependent, making them vulnerable to climate change. Energy system modeling therefore requires high-quality data that captures the spatiotemporal complexity of climate conditions. We present SECURES-Energy, an open-access dataset providing hourly electricity demand and supply data for Europe at the national level from 1981 to 2100. Historical data are derived from ERA5 reanalysis, while future projections use two EURO-CORDEX scenarios (RCP 4.5/RCP 8.5). The dataset includes onshore and offshore wind, solar photovoltaic (PV), and hydropower generation, as well as all electricity demand components such as heating, cooling, and mobility. Results indicate no consistent trends for solar PV and hydropower across Europe. Offshore wind declines by up to -4%/-3% by 2035-2064 and -6%/-9% by 2071-2100 relative to 1981-2010. Cooling demand rises sharply (up to +80%/+149% by mid-century; +129%/+317% by end-century), while heating demand falls (-19%/-24% by mid-century; -25%/-40% by end-century). These findings highlight substantial climate-driven shifts in future electricity demand and supply.</w:t>
      </w:r>
    </w:p>
    <w:p>
      <w:pPr/>
      <w:r>
        <w:rPr>
          <w:b/>
        </w:rPr>
        <w:t>POSSIBLE 2024:</w:t>
      </w:r>
      <w:r>
        <w:t xml:space="preserve"> Future electricity demand for Europe: Unraveling the dynamics of the Temperature Response Function — https://doi.org/10.1016/j.apenergy.2024.123387</w:t>
      </w:r>
    </w:p>
    <w:p>
      <w:pPr/>
      <w:r>
        <w:rPr>
          <w:b/>
        </w:rPr>
        <w:t>Shared claim-specific concepts:</w:t>
      </w:r>
      <w:r>
        <w:t xml:space="preserve"> electricity, substantial, expected; EU scope visible. This is a provisional connection, not an outcome finding.</w:t>
      </w:r>
    </w:p>
    <w:p>
      <w:pPr>
        <w:pStyle w:val="SourceNote"/>
      </w:pPr>
      <w:r>
        <w:rPr>
          <w:b/>
        </w:rPr>
        <w:t>Available abstract (not full text):</w:t>
      </w:r>
      <w:r>
        <w:t xml:space="preserve"> Electricity demand is a crucial factor in energy system planning. Understanding future electricity demand is vital for developing effective energy and climate policies, as well as establishing a resilient and sustainable energy system. In light of these considerations, the escalating challenges posed by climate change are anticipated to have a substantial impact on electricity demand. This study, therefore, provides a comprehensive analysis delving into the dynamic nature of Temperature Response Functions (TRFs) of electricity demand across Europe. By examining various factors influencing electricity demand in residential buildings, such as thermal insulation, heating electrification, space cooling, and passive cooling, we aim to understand their collective impact on shaping future TRFs. To project electricity demand, our study incorporates these factors into our scenario assumptions. Through a comprehensive investigation of these scenarios, our findings reveal distinctive regional influences of these factors. In regions where heating demand prevails, an initial increase in electricity demand is anticipated due to increased electrification rates. However, improved building thermal insulation is expected to substantially reduce winter electricity demand in the long run. Conversely, in regions with pronounced cooling demand, a notable escalation in electricity demand is foreseen </w:t>
      </w:r>
    </w:p>
    <w:p>
      <w:pPr/>
      <w:r>
        <w:rPr>
          <w:b/>
        </w:rPr>
        <w:t>POSSIBLE 2024:</w:t>
      </w:r>
      <w:r>
        <w:t xml:space="preserve"> How aggregate electricity demand responds to hourly wholesale price fluctuations — https://doi.org/10.1016/j.eneco.2024.107652</w:t>
      </w:r>
    </w:p>
    <w:p>
      <w:pPr/>
      <w:r>
        <w:rPr>
          <w:b/>
        </w:rPr>
        <w:t>Shared claim-specific concepts:</w:t>
      </w:r>
      <w:r>
        <w:t xml:space="preserve"> electricity, significant; EU scope visible. This is a provisional connection, not an outcome finding.</w:t>
      </w:r>
    </w:p>
    <w:p>
      <w:pPr>
        <w:pStyle w:val="SourceNote"/>
      </w:pPr>
      <w:r>
        <w:rPr>
          <w:b/>
        </w:rPr>
        <w:t>Available abstract (not full text):</w:t>
      </w:r>
      <w:r>
        <w:t xml:space="preserve"> Electricity needs to be consumed at the very moment of production, leading wholesale prices to fluctuate widely at (sub-)hourly time scales. This article investigates the response of aggregate electricity demand to such price variations. Using wind energy as an instrument, we estimate a significant and robust short-term price elasticity of about −0.05 in Germany and attribute this to industrial consumers. As the share of consumption that is exposed to real-time prices (currently less than 25%) expands, we expect the aggregated price elasticity to grow.</w:t>
      </w:r>
    </w:p>
    <w:p>
      <w:pPr/>
      <w:r>
        <w:rPr>
          <w:b/>
        </w:rPr>
        <w:t>POSSIBLE 2023:</w:t>
      </w:r>
      <w:r>
        <w:t xml:space="preserve"> SECURES-Met - A European wide meteorological data set suitable for electricity modelling (supply and demand) for historical climate and climate change projections — https://doi.org/10.5281/zenodo.7907882</w:t>
      </w:r>
    </w:p>
    <w:p>
      <w:pPr/>
      <w:r>
        <w:rPr>
          <w:b/>
        </w:rPr>
        <w:t>Shared claim-specific concepts:</w:t>
      </w:r>
      <w:r>
        <w:t xml:space="preserve"> electricity, renewable; EU scope visible. This is a provisional connection, not an outcome finding.</w:t>
      </w:r>
    </w:p>
    <w:p>
      <w:pPr>
        <w:pStyle w:val="SourceNote"/>
      </w:pPr>
      <w:r>
        <w:rPr>
          <w:b/>
        </w:rPr>
        <w:t>Available abstract (not full text):</w:t>
      </w:r>
      <w:r>
        <w:t xml:space="preserve"> For the modelling of electricity production and demand, meteorological conditions are becoming more relevant due to the increasing contribution from renewable electricity production. But the requirements on meteorological data sets for electricity modelling are quite high. One challenge is the high temporal resolution, since a typical time step for modelling electricity production and demand is one hour. On the other side the European electricity market is highly connected, so that a pure country based modelling does not make sense and at least the whole European Union area has to be considered. Additionally, the spatial resolution of the data set must be able to represent the thermal conditions, which requires high spatial resolution at least in mountainous regions. All these requirements lead to huge data amounts for historic observations and even more for climate change projections for the whole 21st century. Thus, we have developed an aggregated European wide data set that has a temporal resolution of one hour, covers the whole EU area, has a reasonable size but is considering the high spatial variability. This meteorological data set for Europe for the historical period and climate change projections fulfills all relevant criteria for energy modelling. It has a hourly temporal resolution, considers local effects up to a spatial resolution of 1 km and has a suitable size, a</w:t>
      </w:r>
    </w:p>
    <w:p>
      <w:pPr/>
      <w:r>
        <w:rPr>
          <w:b/>
        </w:rPr>
        <w:t>POSSIBLE 2023:</w:t>
      </w:r>
      <w:r>
        <w:t xml:space="preserve"> Balancing Electricity Supply and Demand in a Carbon-Neutral Northern Europe — https://doi.org/10.3390/en16083548</w:t>
      </w:r>
    </w:p>
    <w:p>
      <w:pPr/>
      <w:r>
        <w:rPr>
          <w:b/>
        </w:rPr>
        <w:t>Shared claim-specific concepts:</w:t>
      </w:r>
      <w:r>
        <w:t xml:space="preserve"> electricity, heat; EU scope visible. This is a provisional connection, not an outcome finding.</w:t>
      </w:r>
    </w:p>
    <w:p>
      <w:pPr>
        <w:pStyle w:val="SourceNote"/>
      </w:pPr>
      <w:r>
        <w:rPr>
          <w:b/>
        </w:rPr>
        <w:t>Available abstract (not full text):</w:t>
      </w:r>
      <w:r>
        <w:t xml:space="preserve"> This work investigates how to balance the electricity supply and demand in a carbon-neutral northern Europe. Applying a cost-minimizing electricity system model including options to invest in eleven different flexibility measures, cost-efficient combinations of strategies to manage varia-tions are identified. The results of the model are post-processed using a novel method to map the net load before and after flexibility measures are applied to reveal the contribution of each flexi-bility measure. The net load is mapped in the space spanned by the amplitude, duration, and number of occur-rences. The mapping shows that, depending on cost structure, flexibility measures contribute to reduce the net load in three different ways; 1) by reducing variations of long duration but low amplitude, 2) by reducing variations of high amplitude but short duration and low occurrence or 3) by reducing variations of high amplitude, short duration and high occurrence. It is found that cost-efficient variation management is achieved by combining wind and solar power and by combining strategies (1-3) to manage variations. The cost-efficient combination of strategies de-pends on electricity system context where electricity trade, flexible hydrogen and heat production (1) manage the majority of variations in regions with good conditions for wind power while sta-tionary batteries (3) are the main cont</w:t>
      </w:r>
    </w:p>
    <w:p>
      <w:pPr/>
      <w:r>
        <w:rPr>
          <w:b/>
        </w:rPr>
        <w:t>POSSIBLE 2023:</w:t>
      </w:r>
      <w:r>
        <w:t xml:space="preserve"> Prescribing net demand for two-stage electricity generation scheduling — https://doi.org/10.1016/j.orp.2023.100268</w:t>
      </w:r>
    </w:p>
    <w:p>
      <w:pPr/>
      <w:r>
        <w:rPr>
          <w:b/>
        </w:rPr>
        <w:t>Shared claim-specific concepts:</w:t>
      </w:r>
      <w:r>
        <w:t xml:space="preserve"> electricity, renewable, generation, substantial, furthermore, proposed; EU scope visible. This is a provisional connection, not an outcome finding.</w:t>
      </w:r>
    </w:p>
    <w:p>
      <w:pPr>
        <w:pStyle w:val="SourceNote"/>
      </w:pPr>
      <w:r>
        <w:rPr>
          <w:b/>
        </w:rPr>
        <w:t>Available abstract (not full text):</w:t>
      </w:r>
      <w:r>
        <w:t xml:space="preserve"> We consider a two-stage generation scheduling problem comprising a forward dispatch and a real-time re-dispatch. The former must be conducted facing an uncertain net demand that includes non-dispatchable electricity consumption and renewable power generation. The latter copes with the plausible deviations with respect to the forward schedule by making use of balancing power during the actual operation of the system. Standard industry practice deals with the uncertain net demand in the forward stage by replacing it with a good estimate of its conditional expectation (usually referred to as a point forecast), so as to minimize the need for balancing power in real time. However, it is well known that the cost structure of a power system is highly asymmetric and dependent on its operating point, with the result that minimizing the amount of power imbalances is not necessarily aligned with minimizing operating costs. In this paper, we propose a bilevel program to construct, from the available historical data, a prescription of the net demand that does account for the power system’s cost asymmetry. Furthermore, to accommodate the strong dependence of this cost on the power system’s operating point, we use clustering to tailor the proposed prescription to the foreseen net-demand regime. By way of an illustrative example and a more realistic case study based on the European power syste</w:t>
      </w:r>
    </w:p>
    <w:p>
      <w:pPr/>
      <w:r>
        <w:rPr>
          <w:b/>
        </w:rPr>
        <w:t>POSSIBLE 2023:</w:t>
      </w:r>
      <w:r>
        <w:t xml:space="preserve"> Air-conditioning adoption and electricity demand highlight climate change mitigation–adaptation tradeoffs — https://doi.org/10.1038/s41598-023-31469-z</w:t>
      </w:r>
    </w:p>
    <w:p>
      <w:pPr/>
      <w:r>
        <w:rPr>
          <w:b/>
        </w:rPr>
        <w:t>Shared claim-specific concepts:</w:t>
      </w:r>
      <w:r>
        <w:t xml:space="preserve"> electricity, heat; EU scope visible. This is a provisional connection, not an outcome finding.</w:t>
      </w:r>
    </w:p>
    <w:p>
      <w:pPr>
        <w:pStyle w:val="SourceNote"/>
      </w:pPr>
      <w:r>
        <w:rPr>
          <w:b/>
        </w:rPr>
        <w:t>Available abstract (not full text):</w:t>
      </w:r>
      <w:r>
        <w:t xml:space="preserve"> We elucidate mid-century climate change impacts on electricity demand accounting for endogenous adoption of residential air-conditioning (AC) in affluent, cooler countries in Europe, and in poorer, hotter states in India. By 2050, in a high-warming scenario (SSP585) AC prevalence grows twofold in Europe and fourfold in India, reaching around 40% in both regions. We document a mitigation-adaptation tradeoff: AC expansion reduces daily heat exposures by 150 million and 3.8 billion person degree-days (PDDs), but increases annual electricity demand by 34 TWh and 168 TWh in Europe and India, respectively (corresponding to 2% and 15% of today's consumption). The increase in adoption and use of AC would result in an additional 130 MMTCO2, of which 120 MMTCO2 in India alone, if the additional electricity generated were produced with today's power mix. The tradeoff varies geographically and across income groups: a one PDD reduction in heat exposure in Europe versus India necessitates five times more electricity (0.53 kWh vs 0.1 kWh) and two times more emissions (0.16 kgCO[Formula: see text] vs 0.09 kgCO[Formula: see text]), on average. The decomposition of demand drivers offers important insights on how such tradeoff can be moderated through policies promoting technology-based and behavioral-based adaptation strategies.</w:t>
      </w:r>
    </w:p>
    <w:p>
      <w:pPr/>
      <w:r>
        <w:rPr>
          <w:b/>
        </w:rPr>
        <w:t>POSSIBLE 2023:</w:t>
      </w:r>
      <w:r>
        <w:t xml:space="preserve"> Might future electricity generation suffice to meet the global demand? — https://doi.org/10.1016/j.esr.2023.101080</w:t>
      </w:r>
    </w:p>
    <w:p>
      <w:pPr/>
      <w:r>
        <w:rPr>
          <w:b/>
        </w:rPr>
        <w:t>Shared claim-specific concepts:</w:t>
      </w:r>
      <w:r>
        <w:t xml:space="preserve"> electricity, generation, expected, sectors, meet, greenhouse; EU scope not established. This is a provisional connection, not an outcome finding.</w:t>
      </w:r>
    </w:p>
    <w:p>
      <w:pPr>
        <w:pStyle w:val="SourceNote"/>
      </w:pPr>
      <w:r>
        <w:rPr>
          <w:b/>
        </w:rPr>
        <w:t>Available abstract (not full text):</w:t>
      </w:r>
      <w:r>
        <w:t xml:space="preserve"> Electricity supply is one of the critical issues in the energy field. Due to the high shares of greenhouse gases emissions, the electricity sector is experiencing a transition towards a progressively wider use of low-carbon technologies. At the same time, electrification of end-use sectors is identified as one of the most suitable mitigation strategies, although requiring larger electricity production. This paper relates the historical development trends for installed capacity of electricity production technologies to the theory of the S-curves, building a method to depict plausible developments in the electricity sector. Projections are performed considering the existence of an upper limit for industrial capacity development, and according to a path envisaging a revolutionary, an evolutionary and a maturity phase for technologies showing considerable growth trends. Oppositely, stagnation is taken into account for those not showing any remarkable progress. The computed curves are used to perform forecasts about electricity generation potentials until 2050, showing how the projected growth trend of electricity generation technologies would result in a production sufficient to meet the expected global demand, even excluding the contribution of fossil fuels in some cases. In perspective, the presented method can be applied to retrieve maximum capacity constraints for energy system</w:t>
      </w:r>
    </w:p>
    <w:p>
      <w:pPr/>
      <w:r>
        <w:rPr>
          <w:b/>
        </w:rPr>
        <w:t>POSSIBLE 2023:</w:t>
      </w:r>
      <w:r>
        <w:t xml:space="preserve"> The impact of heat electrification on the seasonal and interannual electricity demand of Great Britain — https://doi.org/10.1016/j.apenergy.2023.120885</w:t>
      </w:r>
    </w:p>
    <w:p>
      <w:pPr/>
      <w:r>
        <w:rPr>
          <w:b/>
        </w:rPr>
        <w:t>Shared claim-specific concepts:</w:t>
      </w:r>
      <w:r>
        <w:t xml:space="preserve"> electricity, heat; EU scope not established. This is a provisional connection, not an outcome finding.</w:t>
      </w:r>
    </w:p>
    <w:p>
      <w:pPr>
        <w:pStyle w:val="SourceNote"/>
      </w:pPr>
      <w:r>
        <w:rPr>
          <w:b/>
        </w:rPr>
        <w:t>Available abstract (not full text):</w:t>
      </w:r>
      <w:r>
        <w:t xml:space="preserve"> Amongst all future developments it is the electrification of heat that is anticipated to have the largest impact on seasonal and interannual electricity demand. There is therefore a need to accurately quantify and assess this impact. This paper uses a combination of existing advanced techniques to modify the historic electricity demand to incorporate the impact of heat pumps alone for long-term historic weather data using Great Britain as an example. The methods for generating time series were compared and extensively validated. This includes comparisons with measured data that have not been used previously for this purpose. The research reveals that for predicted 2050 heat pump penetration levels the monthly demand for electricity doubles in winter. This leads to an increase of approximately 30 TWh for each winter month and a 37 % increase in year-to-year variability of electricity demand due to weather. Peak electricity demand is very sensitive to the method of generating heat demand and the assumptions on hourly heat pump operating profiles, suggesting inaccuracies of 25 % in estimates of future peak demand. This work, rather than just assessing the impact of projected changes provides a reference case for policy makers to guide the decision process and planning for future scenarios.</w:t>
      </w:r>
    </w:p>
    <w:p>
      <w:pPr/>
      <w:r>
        <w:rPr>
          <w:b/>
        </w:rPr>
        <w:t>POSSIBLE 2022:</w:t>
      </w:r>
      <w:r>
        <w:t xml:space="preserve"> Interaction between electrified steel production and the north European electricity system — https://doi.org/10.1016/j.apenergy.2022.118584</w:t>
      </w:r>
    </w:p>
    <w:p>
      <w:pPr/>
      <w:r>
        <w:rPr>
          <w:b/>
        </w:rPr>
        <w:t>Shared claim-specific concepts:</w:t>
      </w:r>
      <w:r>
        <w:t xml:space="preserve"> electricity, met, furthermore, transport, sectors, electrified; EU scope visible. This is a provisional connection, not an outcome finding.</w:t>
      </w:r>
    </w:p>
    <w:p>
      <w:pPr>
        <w:pStyle w:val="SourceNote"/>
      </w:pPr>
      <w:r>
        <w:rPr>
          <w:b/>
        </w:rPr>
        <w:t>Available abstract (not full text):</w:t>
      </w:r>
      <w:r>
        <w:t xml:space="preserve"> This study investigates the interactions between a steel industry that applies hydrogen direct reduction (H-DR) and the electricity system of northern Europe. We apply a techno-economic optimization model with the aim of achieving net-zero emissions from the electricity and steel sectors in Year 2050. The model minimizes the investment and running costs of electricity and steel production units, while meeting the demands for electricity and steel. The modeling is carried out for a number of scenarios, which differ in the following parameters: (i) cost of using new sites for steel production; (ii) transport costs; (iii) commodities export; (iv) flexibility in operation of a direct reduction (DR) shaft furnace; and (v) location of steel demand. The results reveal that a cost-efficient spatial allocation of the electrified steel production capacity is impacted by the availability of low-cost electricity and can differ from the present - day allocation of steel plants. The modeling results show that the additional electricity demand from an electrified steel industry is met mainly by increased investments in wind and solar power while natural gas - based production of electricity is reduced. Furthermore, it is found to be cost-efficient to invest in overcapacity for steel production units (electrolyzers, DR shaft furnaces and electric arc furnaces) and to invest in storage systems </w:t>
      </w:r>
    </w:p>
    <w:p>
      <w:pPr/>
      <w:r>
        <w:rPr>
          <w:b/>
        </w:rPr>
        <w:t>POSSIBLE 2022:</w:t>
      </w:r>
      <w:r>
        <w:t xml:space="preserve"> Prescribing Net Demand for Two-Stage Electricity Generation Scheduling — https://doi.org/10.2139/ssrn.4211573</w:t>
      </w:r>
    </w:p>
    <w:p>
      <w:pPr/>
      <w:r>
        <w:rPr>
          <w:b/>
        </w:rPr>
        <w:t>Shared claim-specific concepts:</w:t>
      </w:r>
      <w:r>
        <w:t xml:space="preserve"> electricity, generation;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System-level impacts of 24/7 carbon-free electricity procurement in Europe — https://doi.org/10.5281/zenodo.7180097</w:t>
      </w:r>
    </w:p>
    <w:p>
      <w:pPr/>
      <w:r>
        <w:rPr>
          <w:b/>
        </w:rPr>
        <w:t>Shared claim-specific concepts:</w:t>
      </w:r>
      <w:r>
        <w:t xml:space="preserve"> electricity, met, renewable; EU scope visible. This is a provisional connection, not an outcome finding.</w:t>
      </w:r>
    </w:p>
    <w:p>
      <w:pPr>
        <w:pStyle w:val="SourceNote"/>
      </w:pPr>
      <w:r>
        <w:rPr>
          <w:b/>
        </w:rPr>
        <w:t>Available abstract (not full text):</w:t>
      </w:r>
      <w:r>
        <w:t xml:space="preserve"> Traditional power purchase agreements for renewable energy have seen rapid growth in recent years, but they only match supply and demand on average over a longer period such as a year. There is increasing interest from leaders in voluntary clean electricity procurement to cover their consumption with clean energy supply on truly 24/7 basis. Achieving 24/7 carbon-free energy means that every kilowatt-hour of electricity consumption is met with carbon-free electricity sources, every hour of every day. In this study, we investigate both the means and costs of pursuing different clean electricity procurement strategies for companies in a selection of European countries. We also explore how the 24/7 clean energy procurement affects the rest of the European electricity system. The study was supported by a grant from Google Inc. If you intend to reference this study or use the underlying public code for your research, we would appreciate it if you would cite the following paper: Riepin, Iegor, and Tom Brown. “On the Means, Costs, and System-Level Impacts of 24/7 Carbon-Free Energy Procurement.” Energy Strategy Reviews 54 (July 1, 2024): 101488. https://doi.org/10.1016/j.esr.2024.101488.</w:t>
      </w:r>
    </w:p>
    <w:p>
      <w:pPr>
        <w:pStyle w:val="Heading2"/>
      </w:pPr>
      <w:r>
        <w:t>886. Modelling street level PM 10 concentrations across Europe: source apportionment and possible futures</w:t>
      </w:r>
    </w:p>
    <w:p>
      <w:pPr>
        <w:pStyle w:val="SourceNote"/>
      </w:pPr>
      <w:r>
        <w:rPr>
          <w:b/>
        </w:rPr>
        <w:t>Original source (2015):</w:t>
      </w:r>
      <w:r>
        <w:t xml:space="preserve"> https://doi.org/10.5194/acp-15-1539-2015</w:t>
      </w:r>
    </w:p>
    <w:p>
      <w:pPr/>
      <w:r>
        <w:t>Original wording (abstract; indexed_source_text_not_full_document_verified): Furthermore, we analyse the predicted evolution of PM10 concentrations in the European Union until 2030 under different policy scenarios. Remaining issues are largely eliminated in a scenario applying the best available emission control technologies to the maximal technically feasible extent.</w:t>
      </w:r>
    </w:p>
    <w:p>
      <w:pPr/>
      <w:r>
        <w:rPr>
          <w:b/>
        </w:rPr>
        <w:t>POSSIBLE 2026:</w:t>
      </w:r>
      <w:r>
        <w:t xml:space="preserve"> A transformer approach to forecasting PM10 concentration in the Arctic and Northern Europe — https://doi.org/10.1038/s44407-026-00071-8</w:t>
      </w:r>
    </w:p>
    <w:p>
      <w:pPr/>
      <w:r>
        <w:rPr>
          <w:b/>
        </w:rPr>
        <w:t>Shared claim-specific concepts:</w:t>
      </w:r>
      <w:r>
        <w:t xml:space="preserve"> analyse, pm10, concentrations, extent; EU scope visible. This is a provisional connection, not an outcome finding.</w:t>
      </w:r>
    </w:p>
    <w:p>
      <w:pPr>
        <w:pStyle w:val="SourceNote"/>
      </w:pPr>
      <w:r>
        <w:rPr>
          <w:b/>
        </w:rPr>
        <w:t>Available abstract (not full text):</w:t>
      </w:r>
      <w:r>
        <w:t xml:space="preserve"> Abstract Air pollution is reckoned as one of the main critical factors in risks related to human health as well as to the environment, especially in key areas like the Arctic, where global warming is affecting the ecosystem at an alarming rate. Major pollutants, such as Particulate Matter (PM 10 ), are thus crucial to monitor for efficient planning ahead of extreme events: to that extent, a reliable short to medium-term forecast is vital for prompt action. We propose a Deep Learning approach to air pollution forecasting aimed at predicting 48-h concentrations of PM 10 . We analyse the behaviour of said pollutant together with auxiliary factors, such as meteorological variables and outputs from state-of-the-art numerical models, through several forefront time-series-specialised architectures, i.e. Transformers. We develop an enhanced version of the best-performing Transformer architecture to define a suitable model to forecast PM 10 concentrations from a wide variety of stations across Northern Europe. Our proposed methodology manages to outperform pivotal numerical models and associated postprocessing, offering a valuable alternative for local air pollution forecasting.</w:t>
      </w:r>
    </w:p>
    <w:p>
      <w:pPr/>
      <w:r>
        <w:rPr>
          <w:b/>
        </w:rPr>
        <w:t>POSSIBLE 2025:</w:t>
      </w:r>
      <w:r>
        <w:t xml:space="preserve"> Understanding and predicting the geographic distributions of phlebotomine sand flies in and around Europe — https://doi.org/10.1007/s10584-025-04009-z</w:t>
      </w:r>
    </w:p>
    <w:p>
      <w:pPr/>
      <w:r>
        <w:rPr>
          <w:b/>
        </w:rPr>
        <w:t>Shared claim-specific concepts:</w:t>
      </w:r>
      <w:r>
        <w:t xml:space="preserve"> predicted, largely, available; EU scope visible. This is a provisional connection, not an outcome finding.</w:t>
      </w:r>
    </w:p>
    <w:p>
      <w:pPr>
        <w:pStyle w:val="SourceNote"/>
      </w:pPr>
      <w:r>
        <w:rPr>
          <w:b/>
        </w:rPr>
        <w:t>Available abstract (not full text):</w:t>
      </w:r>
      <w:r>
        <w:t xml:space="preserve"> Climate and land-use changes influence the transmission of vector-borne diseases by affecting the distribution and survival of disease vectors. Numerous diseases are transmitted by phlebotomine sand flies (Diptera: Psychodidae: Phlebotominae), including leishmaniasis. Several major sand fly-borne diseases are responsible for high global disease burdens and high socio-economic costs. In Europe, over 20 known sand fly vector species are largely confined to the Mediterranean Basin, yet records of sand fly presence further north increase. Global warming is predicted to drive the spread of sand flies to large areas of Europe in the 21th century, an effect likely to be exacerbated by anthropogenic factors. However, the constraints to the geographic distributions of sand flies are not well understood. This study aims to increase the understanding of the drivers of the geographic distributions of sand flies, using species distribution modelling to systematically test links between sand fly occurrences and climatic, land-use, lithological, biodiversity and human population variables in Europe and adjacent Mediterranean regions. We found that moisture is the most important environmental variable both in explaining and in predicting sand fly occurrences. The projected suitable habitats are larger than the current known sand fly distributions, and these habitats are expected to expand due </w:t>
      </w:r>
    </w:p>
    <w:p>
      <w:pPr/>
      <w:r>
        <w:rPr>
          <w:b/>
        </w:rPr>
        <w:t>POSSIBLE 2024:</w:t>
      </w:r>
      <w:r>
        <w:t xml:space="preserve"> Spatio-temporal characterization of PM10 concentration across Abu Dhabi Emirate (UAE) — https://doi.org/10.1016/j.heliyon.2024.e32812</w:t>
      </w:r>
    </w:p>
    <w:p>
      <w:pPr/>
      <w:r>
        <w:rPr>
          <w:b/>
        </w:rPr>
        <w:t>Shared claim-specific concepts:</w:t>
      </w:r>
      <w:r>
        <w:t xml:space="preserve"> furthermore, pm10, different, emission; EU scope not established. This is a provisional connection, not an outcome finding.</w:t>
      </w:r>
    </w:p>
    <w:p>
      <w:pPr>
        <w:pStyle w:val="SourceNote"/>
      </w:pPr>
      <w:r>
        <w:rPr>
          <w:b/>
        </w:rPr>
        <w:t>Available abstract (not full text):</w:t>
      </w:r>
      <w:r>
        <w:t xml:space="preserve"> The abundance and recurrence of particulate matter in Abu Dhabi Emirate (ADE), are often derived from different emission sources such as the combustion of hydrocarbon, producing much of the PM2.5 found in outdoor air, as well as a significant proportion of PM10. Wind-blown dust from open desert areas and construction sites, landfills and agriculture, brush/waste burning, and industrial sources, has contributed markedly to the problem of the spread of haze and the long-range movement of pollutants in the country. In this study, the spatio-temporal characterization of PM10 concentration across the Emirate was analyzed utilizing geospatial interpolation, spanning the period between 2013 and 2017. The results suggest that the fluctuations of the PM10 concentration can be decomposed into three dominant types, each characterizing different spatial and temporal variations. First, the western region with PM10 showing a peak concentration during the summer season i.e., when the winds are predominantly northerlies or northwesterly, and a minimal concentration during the winter season. Second, the central region with the PM10 exhibiting a concentration surge in July-August, as a result of a mix of strong winds and high temperatures. Third, the eastern region with a low concentration of PM10. Seasonally, this component exhibits two concentration maxima during quarters 2 and 3 (summer), and</w:t>
      </w:r>
    </w:p>
    <w:p>
      <w:pPr/>
      <w:r>
        <w:rPr>
          <w:b/>
        </w:rPr>
        <w:t>POSSIBLE 2023:</w:t>
      </w:r>
      <w:r>
        <w:t xml:space="preserve"> 2017–2020 trends of particulate matter PM10 concentrations in the cities of Suceava and Botoșani — https://doi.org/10.47743/pesd2023171023</w:t>
      </w:r>
    </w:p>
    <w:p>
      <w:pPr/>
      <w:r>
        <w:rPr>
          <w:b/>
        </w:rPr>
        <w:t>Shared claim-specific concepts:</w:t>
      </w:r>
      <w:r>
        <w:t xml:space="preserve"> pm10, concentrations, until; EU scope not established. This is a provisional connection, not an outcome finding.</w:t>
      </w:r>
    </w:p>
    <w:p>
      <w:pPr>
        <w:pStyle w:val="SourceNote"/>
      </w:pPr>
      <w:r>
        <w:rPr>
          <w:b/>
        </w:rPr>
        <w:t>Available abstract (not full text):</w:t>
      </w:r>
      <w:r>
        <w:t xml:space="preserve"> This study aims to analyze the trends and variability of PM10 concentrations at three monitoring sites in Suceava and Botoșani cities from 2017 to 2020.The results reveal a declining trend in PM10 concentrations at the urban background stations (SV1 and BT1), while the industrial site (SV2) indicated a slight increasing trend until 2019.The cold season recorded the highest daily PM10 concentrations, with peak values of 133.5 μg/m3, 114.9 μg/m3, and 91.8 μg/m3 at SV2, BT1, and SV1, respectively.Annual average PM10 concentrations decreased at SV1 and BT1, showing reductions of 6.7% and 19.7% in 2020 compared to 2017, respectively.The 90.4th percentile, with a threshold limit of 50 μg/m3, exceeded the limit during the 2018-2020 period at SV2. Pearson correlation analysis indicates a significant positive correlation between PM10 and NO2 (R = 0.66 in SV2) and CO (R = 0.69 in SV2, R = 0.54 in BT1) during the winter season.Additionally, a positive correlation was observed between PM10 and benzene in BT1, during both the warm season (R = 0.41) and the cold season (R = 0.66).These results provide insights into the spatiotemporal variability of PM10 and its relationship with other air pollutants.</w:t>
      </w:r>
    </w:p>
    <w:p>
      <w:pPr/>
      <w:r>
        <w:rPr>
          <w:b/>
        </w:rPr>
        <w:t>POSSIBLE 2023:</w:t>
      </w:r>
      <w:r>
        <w:t xml:space="preserve"> The Impact of Atmospheric Synoptic Weather Condition and Long-Range Transportation of Air Mass on Extreme PM10 Concentration Events — https://doi.org/10.3390/atmos14020406</w:t>
      </w:r>
    </w:p>
    <w:p>
      <w:pPr/>
      <w:r>
        <w:rPr>
          <w:b/>
        </w:rPr>
        <w:t>Shared claim-specific concepts:</w:t>
      </w:r>
      <w:r>
        <w:t xml:space="preserve"> furthermore, pm10, concentrations; EU scope not established. This is a provisional connection, not an outcome finding.</w:t>
      </w:r>
    </w:p>
    <w:p>
      <w:pPr>
        <w:pStyle w:val="SourceNote"/>
      </w:pPr>
      <w:r>
        <w:rPr>
          <w:b/>
        </w:rPr>
        <w:t>Available abstract (not full text):</w:t>
      </w:r>
      <w:r>
        <w:t xml:space="preserve"> Atmospheric synoptic weather patterns have a significant impact on the concentration, dispersion, and transportation of air pollution in various regions and times around the world. To assess the impact of atmospheric synoptic weather patterns and long-range air mass transportation, we used weather classification techniques from the BP training model and the HYSPLIT model. Our research uncovered four weather conditions linked to PM10 concentration categories ranging from normal to extreme. Weather conditions 3 and 4 are the most significant conditions supporting the occurrence of extreme concentration events that are heavily influenced by anti-cyclones. Despite weather conditions influencing high concentrations, 60% of long-distance air mass transport to Secunda from Mpumalanga province increased to extreme PM10 concentrations. Furthermore, long-term weather shifts have been observed to positively impact reducing the concentration of PM10 extreme events.</w:t>
      </w:r>
    </w:p>
    <w:p>
      <w:pPr/>
      <w:r>
        <w:rPr>
          <w:b/>
        </w:rPr>
        <w:t>POSSIBLE 2022:</w:t>
      </w:r>
      <w:r>
        <w:t xml:space="preserve"> Impact of PM2.5 and PM10 Emissions on Changes of Their Concentration Levels in Lithuania: A Case Study — https://doi.org/10.3390/atmos13111793</w:t>
      </w:r>
    </w:p>
    <w:p>
      <w:pPr/>
      <w:r>
        <w:rPr>
          <w:b/>
        </w:rPr>
        <w:t>Shared claim-specific concepts:</w:t>
      </w:r>
      <w:r>
        <w:t xml:space="preserve"> furthermore, pm10, concentrations; EU scope visible. This is a provisional connection, not an outcome finding.</w:t>
      </w:r>
    </w:p>
    <w:p>
      <w:pPr>
        <w:pStyle w:val="SourceNote"/>
      </w:pPr>
      <w:r>
        <w:rPr>
          <w:b/>
        </w:rPr>
        <w:t>Available abstract (not full text):</w:t>
      </w:r>
      <w:r>
        <w:t xml:space="preserve"> Due to negative effects on human health and visibility, atmospheric particulate matter (PM) is a prioritized contaminant for urban air pollution management. Over the past few decades, managing emissions have been a top priority. This paper investigated PM national inventory data and mass concentration trends for Lithuania. This analysis considers primary (sum of filterable and condensable) PM2.5 and PM10 emissions from point, mobile on-road and off-road, industry, agriculture, and waste sectors. In this study, by examining both the emissions and the mass concentrations of PM10, the effects of emissions decreasing with a concentration decrease were revealed. The slower decreasing tendency of PM10 and BC (0.03 Gg/year) than that of PM2.5 (0.1 Gg/year) should be noted. Furthermore, the correlation analysis also finds that the increase in PM10 from stationary and mobile combustion sources is closely related to the increase in the contribution to the pollution level.</w:t>
      </w:r>
    </w:p>
    <w:p>
      <w:pPr/>
      <w:r>
        <w:rPr>
          <w:b/>
        </w:rPr>
        <w:t>POSSIBLE 2022:</w:t>
      </w:r>
      <w:r>
        <w:t xml:space="preserve"> Statistical Analysis of PM10 Concentration in the Monterrey Metropolitan Area, Mexico (2010–2018) — https://doi.org/10.3390/atmos13020297</w:t>
      </w:r>
    </w:p>
    <w:p>
      <w:pPr/>
      <w:r>
        <w:rPr>
          <w:b/>
        </w:rPr>
        <w:t>Shared claim-specific concepts:</w:t>
      </w:r>
      <w:r>
        <w:t xml:space="preserve"> furthermore, pm10, concentrations, applying; EU scope not established. This is a provisional connection, not an outcome finding.</w:t>
      </w:r>
    </w:p>
    <w:p>
      <w:pPr>
        <w:pStyle w:val="SourceNote"/>
      </w:pPr>
      <w:r>
        <w:rPr>
          <w:b/>
        </w:rPr>
        <w:t>Available abstract (not full text):</w:t>
      </w:r>
      <w:r>
        <w:t xml:space="preserve"> Air-quality monitoring and analysis are initial parts of a comprehensive strategy to prevent air pollution in cities. In such a context, statistical tools play an important role in determining the time-series trends, locating areas with high pollutant concentrations, and building predictive models. In this work, we analyzed the spatio-temporal behavior of the pollutant PM10 in the Monterrey Metropolitan Area (MMA), Mexico during the period 2010–2018 by applying statistical analysis to the time series of seven environmental stations. First, we used experimental variograms and scientific visualization to determine the general trends and variability in time. Then, fractal exponents (the Hurst rescaled range and Higuchi algorithm) were used to analyze the long-term dependence of the time series and characterize the study area by correlating that dependence with the geographical parameters of each environmental station. The results suggest a linear decrease in PM10 concentration, which showed an annual cyclicity. The autumn-winter period was the most polluted and the spring-summer period was the least. Furthermore, it was found that the highest average concentrations are located in the western and high-altitude zones of the MMA, and that average concentration is related in a quadratic way to the Hurst and Higuchi exponents, which in turn are related to some geographic parameters. Th</w:t>
      </w:r>
    </w:p>
    <w:p>
      <w:pPr/>
      <w:r>
        <w:rPr>
          <w:b/>
        </w:rPr>
        <w:t>POSSIBLE 2022:</w:t>
      </w:r>
      <w:r>
        <w:t xml:space="preserve"> Benefits of future clean air policies in Europe — https://doi.org/10.1097/ee9.0000000000000221</w:t>
      </w:r>
    </w:p>
    <w:p>
      <w:pPr/>
      <w:r>
        <w:rPr>
          <w:b/>
        </w:rPr>
        <w:t>Shared claim-specific concepts:</w:t>
      </w:r>
      <w:r>
        <w:t xml:space="preserve"> concentrations, union, until, available; EU scope visible. This is a provisional connection, not an outcome finding.</w:t>
      </w:r>
    </w:p>
    <w:p>
      <w:pPr>
        <w:pStyle w:val="SourceNote"/>
      </w:pPr>
      <w:r>
        <w:rPr>
          <w:b/>
        </w:rPr>
        <w:t>Available abstract (not full text):</w:t>
      </w:r>
      <w:r>
        <w:t xml:space="preserve"> Introduction Health impact assessments (HIA) and cost-benefit analyses (CBA) play a major role in the ongoing revision of the European Union Ambient Air Quality Directive (EU AAQD). HIAs quantify the public health impacts of the air pollution levels a population is exposed to. CBAs quantify the economic costs of achieving lower air pollution levels and the (monetized) benefits for public health that result from these lower air pollution levels. In this commentary, we consider the recent body of evidence on the effects of long-term exposure to fine particulate matter (PM2.5) and nitrogen dioxide (NO2) on total mortality from natural causes and present the rationale for conducting additional analyses within the framework of the HIA conducted for the revision of the EU AAQD, based on the recently published European “Effects of Low-Level Air Pollution: A Study in Europe” (ELAPSE) study. The air pollution-related burden (presented as impact on mortality from natural causes) for Europe has been estimated since 2014 in the annual “Air Quality in Europe” reports published by the European Environment Agency (EEA). EEA in their HIA has used relative risk estimates from meta-analyses by Hoek and colleagues1 in 2013, based on evidence published before January 2013: 1.06 (1.04, 1.08) for PM2.5 and 1.05 (1.03, 1.08) for NO2, both per 10 μg/m3. The EEA, in its latest HIA for 2019, assumed no </w:t>
      </w:r>
    </w:p>
    <w:p>
      <w:pPr/>
      <w:r>
        <w:rPr>
          <w:b/>
        </w:rPr>
        <w:t>POSSIBLE 2021:</w:t>
      </w:r>
      <w:r>
        <w:t xml:space="preserve"> Contribution of anthropogenic and natural sources in PM10 during North African dust events in Southern Europe — https://doi.org/10.1016/j.envpol.2021.118065</w:t>
      </w:r>
    </w:p>
    <w:p>
      <w:pPr/>
      <w:r>
        <w:rPr>
          <w:b/>
        </w:rPr>
        <w:t>Shared claim-specific concepts:</w:t>
      </w:r>
      <w:r>
        <w:t xml:space="preserve"> furthermore, pm10, concentrations; EU scope visible. This is a provisional connection, not an outcome finding.</w:t>
      </w:r>
    </w:p>
    <w:p>
      <w:pPr>
        <w:pStyle w:val="SourceNote"/>
      </w:pPr>
      <w:r>
        <w:rPr>
          <w:b/>
        </w:rPr>
        <w:t>Available abstract (not full text):</w:t>
      </w:r>
      <w:r>
        <w:t xml:space="preserve"> The influence of North African (NAF) dust events on the air quality at the regional level (12 representative monitoring stations) in Southern Europe during a long time series (2007–2014) was studied. PM10 levels and chemical composition were separated by Atlantic (ATL) and NAF air masses. An increase in the average PM10 concentrations was observed on sampling days with NAF dust influence (42 μg m−3) when compared to ATL air masses (29 μg m−3). Major compounds such as crustal components and secondary inorganic compounds (SIC), as well as toxic trace elements derived from industrial emissions, also showed higher concentrations of NAF events. A source contribution analysis using positive matrix factorisation (PMF) 5.0 of the PM10 chemical data, discriminating ATL and NAF air mass origins, allowed the identification of five sources: crustal, sea salt, traffic, regional, and industrial. A higher contribution (74%) of the natural sources to PM10 concentrations was confirmed under NAF episodes compared with ATL. Furthermore, there was an increase in anthropogenic sources during these events (51%), indicating the important influence of the NAF air masses on these sources. The results of this study highlight that environmental managers should take appropriate actions to reduce local emissions during NAF events to ensure good air quality.</w:t>
      </w:r>
    </w:p>
    <w:p>
      <w:pPr/>
      <w:r>
        <w:rPr>
          <w:b/>
        </w:rPr>
        <w:t>POSSIBLE 2021:</w:t>
      </w:r>
      <w:r>
        <w:t xml:space="preserve"> Assessment of Machine Learning Algorithms in Short-term Forecasting of PM10 and PM2.5 Concentrations in Selected Polish Agglomerations — https://doi.org/10.4209/aaqr.200586</w:t>
      </w:r>
    </w:p>
    <w:p>
      <w:pPr/>
      <w:r>
        <w:rPr>
          <w:b/>
        </w:rPr>
        <w:t>Shared claim-specific concepts:</w:t>
      </w:r>
      <w:r>
        <w:t xml:space="preserve"> pm10, concentrations, best; EU scope visible. This is a provisional connection, not an outcome finding.</w:t>
      </w:r>
    </w:p>
    <w:p>
      <w:pPr>
        <w:pStyle w:val="SourceNote"/>
      </w:pPr>
      <w:r>
        <w:rPr>
          <w:b/>
        </w:rPr>
        <w:t>Available abstract (not full text):</w:t>
      </w:r>
      <w:r>
        <w:t xml:space="preserve"> Air pollution continues to have a significant impact on Europeans living in urban areas, and episodes of elevated PMx are responsible for a large number of premature deaths (mostly due to heart disease and stroke) each year. According to the annual EEA reports, Poland is one of the most polluted countries in Europe, experiencing high PMx concentrations during winter that mostly result from large emissions and unfavourable weather conditions in combination with environmental features. Thus, in addition to implementing municipal mitigation strategies, alerting residents to pollution episodes through accurate PMx forecasting is necessary. This research aimed to assess the feasibility of short-term PMx forecasting via machine learning (ML) and the subsequent identification of the primary meteorological covariates. The data comprised 10 years of hourly winter PM10 and PM2.5 concentrations measured at 11 urban air quality monitoring stations, including background, traffic, and industrial sites, in four large Polish agglomerations, viz., Poznań, Kraków, Łódź, and Gdańsk, which cover areas with high population density and diverse environments that extend from the Baltic Sea coast (Tricity) through the lowlands (Poznań and Łódź) to the highlands (Kraków). We tested four ML models: AIC-based stepwise regression, two tree-based algorithms (random forests and XGBoost), and neural networks.</w:t>
      </w:r>
    </w:p>
    <w:p>
      <w:pPr/>
      <w:r>
        <w:rPr>
          <w:b/>
        </w:rPr>
        <w:t>POSSIBLE 2021:</w:t>
      </w:r>
      <w:r>
        <w:t xml:space="preserve"> PM10 and PM2.5 real-time prediction models using an interpolated convolutional neural network — https://doi.org/10.1038/s41598-021-91253-9</w:t>
      </w:r>
    </w:p>
    <w:p>
      <w:pPr/>
      <w:r>
        <w:rPr>
          <w:b/>
        </w:rPr>
        <w:t>Shared claim-specific concepts:</w:t>
      </w:r>
      <w:r>
        <w:t xml:space="preserve"> furthermore, pm10, concentrations; EU scope not established. This is a provisional connection, not an outcome finding.</w:t>
      </w:r>
    </w:p>
    <w:p>
      <w:pPr>
        <w:pStyle w:val="SourceNote"/>
      </w:pPr>
      <w:r>
        <w:rPr>
          <w:b/>
        </w:rPr>
        <w:t>Available abstract (not full text):</w:t>
      </w:r>
      <w:r>
        <w:t xml:space="preserve"> In this paper, we propose a real-time prediction model that can respond to particulate matters (PM) in the air, which are an indication of poor air quality. The model applies interpolation to air quality and weather data and then uses a Convolutional Neural Network (CNN) to predict PM concentrations. The interpolation transforms the irregular spatial data into an equally spaced grid, which the model requires. This combination creates the interpolated CNN (ICNN) model that we use to predict PM10 and PM2.5 concentrations. The PM10 and PM2.5 evaluation results show an effective prediction performance with an R-squared higher than 0.97 and a root mean square error (RMSE) of approximately 16% of the standard deviation. Furthermore, both PM10 and PM2.5 prediction models forecast high concentrations with high reliability, with a probability of detection higher than 0.90 and a critical success index exceeding 0.85. The proposed ICNN prediction model achieves a high prediction performance using spatio-temporal information and presents a new direction in the prediction field.</w:t>
      </w:r>
    </w:p>
    <w:p>
      <w:pPr/>
      <w:r>
        <w:rPr>
          <w:b/>
        </w:rPr>
        <w:t>POSSIBLE 2019:</w:t>
      </w:r>
      <w:r>
        <w:t xml:space="preserve"> Distribution trends of European dragonflies under climate change — https://doi.org/10.1111/ddi.12913</w:t>
      </w:r>
    </w:p>
    <w:p>
      <w:pPr/>
      <w:r>
        <w:rPr>
          <w:b/>
        </w:rPr>
        <w:t>Shared claim-specific concepts:</w:t>
      </w:r>
      <w:r>
        <w:t xml:space="preserve"> furthermore, predicted, different; EU scope visible. This is a provisional connection, not an outcome finding.</w:t>
      </w:r>
    </w:p>
    <w:p>
      <w:pPr>
        <w:pStyle w:val="SourceNote"/>
      </w:pPr>
      <w:r>
        <w:rPr>
          <w:b/>
        </w:rPr>
        <w:t>Available abstract (not full text):</w:t>
      </w:r>
      <w:r>
        <w:t xml:space="preserve"> Abstract Aim Poleward range shifts of species are among the most obvious effects of climate change on biodiversity. As a consequence of these range shifts, species communities are predicted to become increasingly composed of warm‐dwelling species, but this has only been studied for a limited number of taxa, mainly birds, butterflies and plants. As species groups may vary considerably in their adaptation to climate change, it is desirable to expand these studies to other groups, from different ecosystems. Freshwater macroinvertebrates, such as dragonflies (Odonata), have been ranked among the species groups with highest priority. In this paper, we investigate how the occurrence of dragonflies in Europe has changed in recent decades, and if these changes are in parallel with climate change. Location Europe. Methods We use data from 10 European geographical regions to calculate occupancy indices and trends for 99 (69%) of the European species. Next, we combine these regional indices to calculate European indices. To determine if changes in regional dragonfly communities in Europe reflect climatic warming, we calculate Species Temperature Indices (STI), Multi‐species Indicators (MSI) and Community Temperature Indices (CTI). Results 55 of 99 considered species increased in occupancy at European level, 32 species remained stable, and none declined. Trends for 12 species are uncertain</w:t>
      </w:r>
    </w:p>
    <w:p>
      <w:pPr>
        <w:pStyle w:val="Heading2"/>
      </w:pPr>
      <w:r>
        <w:t>887. Ocean energy development in Europe: Current status and future perspectives</w:t>
      </w:r>
    </w:p>
    <w:p>
      <w:pPr>
        <w:pStyle w:val="SourceNote"/>
      </w:pPr>
      <w:r>
        <w:rPr>
          <w:b/>
        </w:rPr>
        <w:t>Original source (2015):</w:t>
      </w:r>
      <w:r>
        <w:t xml:space="preserve"> https://doi.org/10.1016/j.ijome.2015.05.001</w:t>
      </w:r>
    </w:p>
    <w:p>
      <w:pPr/>
      <w:r>
        <w:t>Original wording (abstract; indexed_source_text_not_full_document_verified): In the EU, the aim is to reach 100 GW of combined wave and tidal capacity installed by 2050. Ocean energy has the potential to play a significant role in the future energy system, whilst contributing to the reduction of carbon emissions and stimulating economic growth in coastal and remote areas.</w:t>
      </w:r>
    </w:p>
    <w:p>
      <w:pPr/>
      <w:r>
        <w:rPr>
          <w:b/>
        </w:rPr>
        <w:t>POSSIBLE 2025:</w:t>
      </w:r>
      <w:r>
        <w:t xml:space="preserve"> A tidal energy assessment in the strait of Messina — https://doi.org/10.1016/j.nexus.2025.100464</w:t>
      </w:r>
    </w:p>
    <w:p>
      <w:pPr/>
      <w:r>
        <w:rPr>
          <w:b/>
        </w:rPr>
        <w:t>Shared claim-specific concepts:</w:t>
      </w:r>
      <w:r>
        <w:t xml:space="preserve"> reach, tidal, capacity, installed, energy, potential; EU scope not established. This is a provisional connection, not an outcome finding.</w:t>
      </w:r>
    </w:p>
    <w:p>
      <w:pPr>
        <w:pStyle w:val="SourceNote"/>
      </w:pPr>
      <w:r>
        <w:rPr>
          <w:b/>
        </w:rPr>
        <w:t>Available abstract (not full text):</w:t>
      </w:r>
      <w:r>
        <w:t xml:space="preserve"> ABSTRACT This study reports an energy assessment of a tidal power plant located in the strait of Messina (Mediterranean Sea). Tidal currents are not adequately exploited as renewable energy sources all over the world, even if their potential is not negligible and their predictability is certainly a relevant advantage. The objective of this study is to reveal the latent potential of tidal currents and the obtainable energy. The selected location is characterized by a semi-diurnal tidal current that is highly predictable and can reach speeds exceeding 3 m/s. The energy assessment focuses on open flow tidal turbines and leverages the latest technologies for harvesting energy from tidal currents, and the total energy produced was calculated by integrating current velocities over a whole year with 15-minutes time intervals. The coastal profile and the bathymetry of the location selected allowed to define a tidal energy park consisting of 113 horizontal axis tidal turbines (HATTs), with a total capacity installed of 271 MW and an annual production of nearly 145 GWh: this result show that tidal energy may represents a viable option to increase the share of renewable energy production.</w:t>
      </w:r>
    </w:p>
    <w:p>
      <w:pPr/>
      <w:r>
        <w:rPr>
          <w:b/>
        </w:rPr>
        <w:t>POSSIBLE 2024:</w:t>
      </w:r>
      <w:r>
        <w:t xml:space="preserve"> Evaluation of Tidal Energy Potential Using a Two-Way Tidal Energy Model — https://doi.org/10.28991/cej-2024-010-09-016</w:t>
      </w:r>
    </w:p>
    <w:p>
      <w:pPr/>
      <w:r>
        <w:rPr>
          <w:b/>
        </w:rPr>
        <w:t>Shared claim-specific concepts:</w:t>
      </w:r>
      <w:r>
        <w:t xml:space="preserve"> tidal, energy, potential; EU scope not established. This is a provisional connection, not an outcome finding.</w:t>
      </w:r>
    </w:p>
    <w:p>
      <w:pPr>
        <w:pStyle w:val="SourceNote"/>
      </w:pPr>
      <w:r>
        <w:rPr>
          <w:b/>
        </w:rPr>
        <w:t>Available abstract (not full text):</w:t>
      </w:r>
      <w:r>
        <w:t xml:space="preserve"> Tidal energy is a renewable energy source that provides sustainable energy through the utilization of tidal differences, making it a very promising option. This study examines a more effective tidal energy reservoir model by building a 1:100 scale prototype in the laboratory with several predetermined variations, namely an earthen pond (100, 80, and 60 cm), and flow holes (1.5, 1, and 0.5 cm) with initial tidal height differences of 10 cm, 15 cm, and 20 cm. The model uses a 6-hour time period, which corresponds to a semidiurnal tidal model. The results showed that the highest energy output was 281.84 kWh, achieved with a 1.5 cm flow hole, 20 cm tidal height difference for the initial condition, and 80 cm pond width. For a 1 cm flow hole, the outputs were 1774.8 kWh and 1803.78 kWh for 15 cm and 20 cm tidal height difference for the initial condition with a pond width of 100 cm. Meanwhile, the 0.5 cm flow hole produces potential energy outputs of 2623.8 kWh and 2611.4 kWh for different tidal heights of 15 cm and 20 cm for the initial condition with a pond width of 100 cm. Better model performance can be connected to a mini generator to validate the energy generated from the designed prototype model. Doi: 10.28991/CEJ-2024-010-09-016 Full Text: PDF</w:t>
      </w:r>
    </w:p>
    <w:p>
      <w:pPr/>
      <w:r>
        <w:rPr>
          <w:b/>
        </w:rPr>
        <w:t>POSSIBLE 2024:</w:t>
      </w:r>
      <w:r>
        <w:t xml:space="preserve"> All tidal wetlands are blue carbon ecosystems — https://doi.org/10.1093/biosci/biae007</w:t>
      </w:r>
    </w:p>
    <w:p>
      <w:pPr/>
      <w:r>
        <w:rPr>
          <w:b/>
        </w:rPr>
        <w:t>Shared claim-specific concepts:</w:t>
      </w:r>
      <w:r>
        <w:t xml:space="preserve"> tidal, potential, carbon, emissions, coastal; EU scope not established. This is a provisional connection, not an outcome finding.</w:t>
      </w:r>
    </w:p>
    <w:p>
      <w:pPr>
        <w:pStyle w:val="SourceNote"/>
      </w:pPr>
      <w:r>
        <w:rPr>
          <w:b/>
        </w:rPr>
        <w:t>Available abstract (not full text):</w:t>
      </w:r>
      <w:r>
        <w:t xml:space="preserve"> Managing coastal wetlands is one of the most promising activities to reduce atmospheric greenhouse gases, and it also contributes to meeting the United Nations Sustainable Development Goals. One of the options is through blue carbon projects, in which mangroves, saltmarshes, and seagrass are managed to increase carbon sequestration and reduce greenhouse gas emissions. However, other tidal wetlands align with the characteristics of blue carbon. These wetlands are called tidal freshwater wetlands in the United States, supratidal wetlands in Australia, transitional forests in Southeast Asia, and estuarine forests in South Africa. They have similar or larger potential for atmospheric carbon sequestration and emission reductions than the currently considered blue carbon ecosystems and have been highly exploited. In the present article, we suggest that all wetlands directly or indirectly influenced by tides should be considered blue carbon. Their protection and restoration through carbon offsets could reduce emissions while providing multiple cobenefits, including biodiversity.</w:t>
      </w:r>
    </w:p>
    <w:p>
      <w:pPr/>
      <w:r>
        <w:rPr>
          <w:b/>
        </w:rPr>
        <w:t>POSSIBLE 2024:</w:t>
      </w:r>
      <w:r>
        <w:t xml:space="preserve"> Merging modelled and reported flood impacts in Europe in a combined flood event catalogue for 1950–2020 — https://doi.org/10.5194/hess-28-3983-2024</w:t>
      </w:r>
    </w:p>
    <w:p>
      <w:pPr/>
      <w:r>
        <w:rPr>
          <w:b/>
        </w:rPr>
        <w:t>Shared claim-specific concepts:</w:t>
      </w:r>
      <w:r>
        <w:t xml:space="preserve"> combined, potential, significant, reduction, coastal; EU scope visible. This is a provisional connection, not an outcome finding.</w:t>
      </w:r>
    </w:p>
    <w:p>
      <w:pPr>
        <w:pStyle w:val="SourceNote"/>
      </w:pPr>
      <w:r>
        <w:rPr>
          <w:b/>
        </w:rPr>
        <w:t>Available abstract (not full text):</w:t>
      </w:r>
      <w:r>
        <w:t xml:space="preserve"> Abstract. Long-term trends in flood losses are regulated by multiple factors including climate variation, demographic dynamics, economic growth, land-use transitions, reservoir construction and flood risk reduction measures. Attribution of those drivers through the use of counterfactual scenarios of hazard, exposure or vulnerability first requires a good representation of historical events, including their location, intensity and the factual circumstances in which they occurred. Here, we develop a chain of models that is capable of recreating riverine, coastal and compound floods in Europe between 1950 and 2020 that had a potential to cause significant socioeconomic impacts. This factual catalogue of almost 15,000 such events was scrutinised with historical records of flood impacts. We found that at least 10 % of them had led to significant socioeconomic impacts (including fatalities) according to available sources. The model chain was able to capture events responsible for 96 % of known impacts contained in the HANZE flood impact database in terms of persons affected and economic losses, and for 81 % of fatalities. The dataset enables studying drivers of vulnerability and flood adaptation due to a large sample of events with historical impact data. The model chain can further be used to generate counterfactual events, especially related to climate change and human influence on</w:t>
      </w:r>
    </w:p>
    <w:p>
      <w:pPr/>
      <w:r>
        <w:rPr>
          <w:b/>
        </w:rPr>
        <w:t>POSSIBLE 2023:</w:t>
      </w:r>
      <w:r>
        <w:t xml:space="preserve"> Combined gastric and colorectal cancer endoscopic screening may be cost-effective in Europe with the implementation of artificial intelligence: an economic evaluation — https://doi.org/10.1097/meg.0000000000002680</w:t>
      </w:r>
    </w:p>
    <w:p>
      <w:pPr/>
      <w:r>
        <w:rPr>
          <w:b/>
        </w:rPr>
        <w:t>Shared claim-specific concepts:</w:t>
      </w:r>
      <w:r>
        <w:t xml:space="preserve"> combined, system; EU scope visible. This is a provisional connection, not an outcome finding.</w:t>
      </w:r>
    </w:p>
    <w:p>
      <w:pPr>
        <w:pStyle w:val="SourceNote"/>
      </w:pPr>
      <w:r>
        <w:rPr>
          <w:b/>
        </w:rPr>
        <w:t>Available abstract (not full text):</w:t>
      </w:r>
      <w:r>
        <w:t xml:space="preserve"> BACKGROUND/AIMS: Endoscopic screening for gastric cancer (GC) is not recommended in low-intermediate incidence countries. Artificial intelligence (AI) has high accuracy in GC detection and might increase the cost-effectiveness of screening strategies. We aimed to assess the cost-effectiveness of AI for GC detection in settings with different GC incidence and different accuracies of AI systems. METHODS: Cost-effectiveness analysis (using Markov model) comparing different screening strategies (no screening versus single esophagogastroduodenoscopy (EGD) at 50 years versus stand-alone EGD every 5/10 years versus combined EGD and screening colonoscopy once or twice per decade in Netherlands, Italy and Portugal) with variable AI accuracy settings. The primary outcome was the incremental cost-effectiveness ratio of the different strategies versus no screening. Deterministic and probabilistic sensitivity analyses were conducted. RESULTS: Without AI, one single EGD at 50 years (Netherlands, Italy, Portugal), EGD combined with screening colonoscopy once per decade (Italy and Portugal) and EGD combined with screening colonoscopy twice per decade (Portugal) are cost-effective when compared with no screening. If AI increases the accuracy of EGD by at least 1% in comparison to the accuracy of white-light endoscopy accuracy (89%), combined screening twice per decade also becomes cost-effectiv</w:t>
      </w:r>
    </w:p>
    <w:p>
      <w:pPr/>
      <w:r>
        <w:rPr>
          <w:b/>
        </w:rPr>
        <w:t>POSSIBLE 2023:</w:t>
      </w:r>
      <w:r>
        <w:t xml:space="preserve"> Observations from structural testing of full-scale tidal turbine blades — https://doi.org/10.36688/ewtec-2023-277</w:t>
      </w:r>
    </w:p>
    <w:p>
      <w:pPr/>
      <w:r>
        <w:rPr>
          <w:b/>
        </w:rPr>
        <w:t>Shared claim-specific concepts:</w:t>
      </w:r>
      <w:r>
        <w:t xml:space="preserve"> aim, combined, tidal, capacity, installed, energy; EU scope visible. This is a provisional connection, not an outcome finding.</w:t>
      </w:r>
    </w:p>
    <w:p>
      <w:pPr>
        <w:pStyle w:val="SourceNote"/>
      </w:pPr>
      <w:r>
        <w:rPr>
          <w:b/>
        </w:rPr>
        <w:t>Available abstract (not full text):</w:t>
      </w:r>
      <w:r>
        <w:t xml:space="preserve"> As the world shifts its reliance from fossil fuels to renewable energy, a reliable, predictable and dependable source of energy is vital; tidal energy provides such a solution. In 2021, the cumulative installed capacity of tidal stream energy in Europe, since 2010, reached 30.2 MW, which is roughly three times as much as the rest of the world. The total electricity produced in Europe from tidal energy increased by 8 GWh to a total of 68 GWh to date. The tidal turbine blades convert the energy in the tidal current to useful mechanical energy that can be converted to electricity. Therefore, the reliability of the blades is paramount to the success for the turbine. Structural testing of composite tidal turbine blades is performed to ensure the design and manufacturing processes [4] produce a reliable component that performs for its design life span. In recent years, a number of structural testing programmes have been performed on full-scale tidal turbine blades, as the sector strives for commercial viability. In this paper, observations during the structural (static, dynamic and fatigue) testing of full-scale tidal turbine blades are presented and discussed. These observations have been made from 5 testing campaigns on full-scale tidal turbine blades at the Large Structures Testing Laboratory in the SFI MaREI centre in the University of Galway. The length of these blades range fro</w:t>
      </w:r>
    </w:p>
    <w:p>
      <w:pPr/>
      <w:r>
        <w:rPr>
          <w:b/>
        </w:rPr>
        <w:t>POSSIBLE 2023:</w:t>
      </w:r>
      <w:r>
        <w:t xml:space="preserve"> Review and assessment of the German tidal energy resource — https://doi.org/10.1007/s40722-023-00309-7</w:t>
      </w:r>
    </w:p>
    <w:p>
      <w:pPr/>
      <w:r>
        <w:rPr>
          <w:b/>
        </w:rPr>
        <w:t>Shared claim-specific concepts:</w:t>
      </w:r>
      <w:r>
        <w:t xml:space="preserve"> tidal, energy, potential; EU scope visible. This is a provisional connection, not an outcome finding.</w:t>
      </w:r>
    </w:p>
    <w:p>
      <w:pPr>
        <w:pStyle w:val="SourceNote"/>
      </w:pPr>
      <w:r>
        <w:rPr>
          <w:b/>
        </w:rPr>
        <w:t>Available abstract (not full text):</w:t>
      </w:r>
      <w:r>
        <w:t xml:space="preserve"> Abstract To mitigate climate change, a transformation of the energy sector towards a low-emission power generation is necessary. Tidal energy technology has matured in recent years and has the potential to balance Europe’s future power grid. While reviews of the tidal energy resource exist for a number of European countries, along the German North Sea coast is overlooked so far. This paper closes this gap and provides a comprehensive review and assessment of the German tidal energy resource. Germany’s North Sea coast is characterised by comparatively low current velocities and shallow waters. Using available data from the EasyGSH-DB North Sea Model, Germany’s practical tidal energy resource is estimated in a range between 66.6 and 565.8 GWh y $$^{-1}$$ - 1 to, excluding the most energetic sites in the estuaries of Elbe, Weser, and Ems. A stakeholder questionnaire aimed at tidal energy technology developers has shown that it is considered important to further develop the technology towards the use in shallow water and under low current velocities.</w:t>
      </w:r>
    </w:p>
    <w:p>
      <w:pPr/>
      <w:r>
        <w:rPr>
          <w:b/>
        </w:rPr>
        <w:t>POSSIBLE 2022:</w:t>
      </w:r>
      <w:r>
        <w:t xml:space="preserve"> Perspective on the hydrogen economy as a pathway to reach net-zero CO 2 emissions in Europe — https://doi.org/10.1039/d1ee02118d</w:t>
      </w:r>
    </w:p>
    <w:p>
      <w:pPr/>
      <w:r>
        <w:rPr>
          <w:b/>
        </w:rPr>
        <w:t>Shared claim-specific concepts:</w:t>
      </w:r>
      <w:r>
        <w:t xml:space="preserve"> reach, energy, role, emissions; EU scope visible. This is a provisional connection, not an outcome finding.</w:t>
      </w:r>
    </w:p>
    <w:p>
      <w:pPr>
        <w:pStyle w:val="SourceNote"/>
      </w:pPr>
      <w:r>
        <w:rPr>
          <w:b/>
        </w:rPr>
        <w:t>Available abstract (not full text):</w:t>
      </w:r>
      <w:r>
        <w:t xml:space="preserve"> The envisioned role of hydrogen in the energy transition – or the concept of a hydrogen economy – has varied through the years.</w:t>
      </w:r>
    </w:p>
    <w:p>
      <w:pPr/>
      <w:r>
        <w:rPr>
          <w:b/>
        </w:rPr>
        <w:t>POSSIBLE 2022:</w:t>
      </w:r>
      <w:r>
        <w:t xml:space="preserve"> Tidal stream to mainstream: mechanical testing of composite tidal stream blades to de-risk operational design life — https://doi.org/10.1007/s40722-022-00223-4</w:t>
      </w:r>
    </w:p>
    <w:p>
      <w:pPr/>
      <w:r>
        <w:rPr>
          <w:b/>
        </w:rPr>
        <w:t>Shared claim-specific concepts:</w:t>
      </w:r>
      <w:r>
        <w:t xml:space="preserve"> tidal, capacity, energy, potential, role; EU scope visible. This is a provisional connection, not an outcome finding.</w:t>
      </w:r>
    </w:p>
    <w:p>
      <w:pPr>
        <w:pStyle w:val="SourceNote"/>
      </w:pPr>
      <w:r>
        <w:rPr>
          <w:b/>
        </w:rPr>
        <w:t>Available abstract (not full text):</w:t>
      </w:r>
      <w:r>
        <w:t xml:space="preserve"> Tidal energy has seen a surge of interest in recent years with several companies developing technology to harness the power of the world's oceans where the operational capacity in Europe was over 11 MW in 2020. One such developer is the partnership of SCHOTTEL Hydro (Germany) and Sustainable Marine (UK) who have developed a scalable multi-turbine device equipped with 70 kW turbines and capable of operating in arrays at sites around the world. The technology to harness tidal energy is still at a relatively early stage of development; hence, de-risking of component parts plays a vital role on the road to commercialisation. Despite this, the number of tidal energy blades undergoing test programmes remains small. Two different rotor diameters have been developed for the aforementioned device such that it can be optimised for sites of varying potential. In this paper, a blade from each of the 4.0 m and 6.3 m diameter devices was tested for their responses in natural frequency, static loading and fatigue loading under test standards IEC 62600-3:2020 and DNVGL-ST-0164. Testing saw the survival of a blade in fatigue at a lifetime-equivalent load and the generation of natural frequency, strain and displacement results for both blades. Data generated from the testing as a whole will contribute to the modelling and validation of future tidal blades.</w:t>
      </w:r>
    </w:p>
    <w:p>
      <w:pPr/>
      <w:r>
        <w:rPr>
          <w:b/>
        </w:rPr>
        <w:t>POSSIBLE 2022:</w:t>
      </w:r>
      <w:r>
        <w:t xml:space="preserve"> Tidal energy-path towards sustainable energy: A technical review — https://doi.org/10.1016/j.cles.2022.100041</w:t>
      </w:r>
    </w:p>
    <w:p>
      <w:pPr/>
      <w:r>
        <w:rPr>
          <w:b/>
        </w:rPr>
        <w:t>Shared claim-specific concepts:</w:t>
      </w:r>
      <w:r>
        <w:t xml:space="preserve"> wave, tidal, capacity, installed, energy, system; EU scope not established. This is a provisional connection, not an outcome finding.</w:t>
      </w:r>
    </w:p>
    <w:p>
      <w:pPr>
        <w:pStyle w:val="SourceNote"/>
      </w:pPr>
      <w:r>
        <w:rPr>
          <w:b/>
        </w:rPr>
        <w:t>Available abstract (not full text):</w:t>
      </w:r>
      <w:r>
        <w:t xml:space="preserve"> The continuous demand for electricity, greenhouse gas emission, and diminution of fossil fuels have led to increased electricity production through renewable energy sources. The challenges of solar and wind energy systems have mostly shown unpredictable nature, so some countries are going towards electricity generation through the tidal energy system. Another advantage of the tidal energy system is that it can be used without requiring lavish grid updates. It demonstrates that increasing the generation duration at the fastest flow velocities while limiting the tidal device's capacity increases the installed system's capacity factor. The economic viability and market competitiveness of tidal energy are also attractive for electricity generation. This paper offers a review of several aspects of the tidal energy system. The assessment is done based on the resource allocation, modeling of the tidal energy system, control system of the tidal energy system, reliability assessment of tidal energy system, and application of optimization techniques in the area of the tidal energy system. Now a day's, reliability assessment is most important to identify the tidal energy system's maintainability, availability and fault rate. This paper also shows future assessment aspects of the tidal energy system and identifies stochastic turbulence, wave speed, sea depth, wave height, and peak wave per</w:t>
      </w:r>
    </w:p>
    <w:p>
      <w:pPr/>
      <w:r>
        <w:rPr>
          <w:b/>
        </w:rPr>
        <w:t>POSSIBLE 2021:</w:t>
      </w:r>
      <w:r>
        <w:t xml:space="preserve"> Review of Works Combining GNSS and InSAR in Europe — https://doi.org/10.3390/rs13091684</w:t>
      </w:r>
    </w:p>
    <w:p>
      <w:pPr/>
      <w:r>
        <w:rPr>
          <w:b/>
        </w:rPr>
        <w:t>Shared claim-specific concepts:</w:t>
      </w:r>
      <w:r>
        <w:t xml:space="preserve"> combined, system, remote; EU scope visible. This is a provisional connection, not an outcome finding.</w:t>
      </w:r>
    </w:p>
    <w:p>
      <w:pPr>
        <w:pStyle w:val="SourceNote"/>
      </w:pPr>
      <w:r>
        <w:rPr>
          <w:b/>
        </w:rPr>
        <w:t>Available abstract (not full text):</w:t>
      </w:r>
      <w:r>
        <w:t xml:space="preserve"> The Global Navigation Satellite System (GNSS) and Synthetic Aperture Radar Interferometry (InSAR) can be combined to achieve different goals, owing to their main principles. Both enable the collection of information about ground deformation due to the differences of two consequent acquisitions. Their variable applications, even if strictly related to ground deformation and water vapor determination, have encouraged the scientific community to combine GNSS and InSAR data and their derivable products. In this work, more than 190 scientific contributions were collected spanning the whole European continent. The spatial and temporal distribution of such studies, as well as the distinction in different fields of application, were analyzed. Research in Italy, as the most represented nation, with 47 scientific contributions, has been dedicated to the spatial and temporal distribution of its studied phenomena. The state-of-the-art of the various applications of these two combined techniques can improve the knowledge of the scientific community and help in the further development of new approaches or additional applications in different fields. The demonstrated usefulness and versability of the combination of GNSS and InSAR remote sensing techniques for different purposes, as well as the availability of free data, EUREF and GMS (Ground Motion Service), and the possibility of overcoming </w:t>
      </w:r>
    </w:p>
    <w:p>
      <w:pPr/>
      <w:r>
        <w:rPr>
          <w:b/>
        </w:rPr>
        <w:t>POSSIBLE 2021:</w:t>
      </w:r>
      <w:r>
        <w:t xml:space="preserve"> A review of component and system reliability in tidal turbine deployments — https://doi.org/10.1016/j.rser.2021.111495</w:t>
      </w:r>
    </w:p>
    <w:p>
      <w:pPr/>
      <w:r>
        <w:rPr>
          <w:b/>
        </w:rPr>
        <w:t>Shared claim-specific concepts:</w:t>
      </w:r>
      <w:r>
        <w:t xml:space="preserve"> tidal, energy, potential, system; EU scope not established. This is a provisional connection, not an outcome finding.</w:t>
      </w:r>
    </w:p>
    <w:p>
      <w:pPr>
        <w:pStyle w:val="SourceNote"/>
      </w:pPr>
      <w:r>
        <w:rPr>
          <w:b/>
        </w:rPr>
        <w:t>Available abstract (not full text):</w:t>
      </w:r>
      <w:r>
        <w:t xml:space="preserve"> Tidal stream energy has the potential to contribute to global renewable energy generation, but this remains largely untapped. Technical developments have helped create a nascent industry with several pre-commercial installations. However, planned projects experience a cautious investment climate due to perceived risk of failure, and maintenance and repair cost. This paper reviews 58 tidal stream energy deployments between 2003 and August 2020. The analysis reviews commonalities, success and engineering issues, to inform current and future projects. The work classifies each deployment by type, rated power, number of devices, grid connection and foundation. In each case, project status and (if appropriate) failure mode is identified. Failure modes are compared to deployment classification to identify potential relationships. Most deployments were of horizontal axis turbines. The majority (54%) of deployments performed well. 18% failed, 14% were withdrawn from service, and 14% generated less power than planned. The most common failure cause was blade failure, followed by generator and monitoring failures. Ducted devices and devices in high velocity locations were more likely to fail, suggesting that flow velocity is a key factor. Most blade failures were attributed to underestimation of loads during design. Floating deployments were less likely to fail than fixed deployments, but </w:t>
      </w:r>
    </w:p>
    <w:p>
      <w:pPr>
        <w:pStyle w:val="Heading2"/>
      </w:pPr>
      <w:r>
        <w:t>888. On European metropolisation scenarios and the future course of metropolitan development in Poland</w:t>
      </w:r>
    </w:p>
    <w:p>
      <w:pPr>
        <w:pStyle w:val="SourceNote"/>
      </w:pPr>
      <w:r>
        <w:rPr>
          <w:b/>
        </w:rPr>
        <w:t>Original source (2015):</w:t>
      </w:r>
      <w:r>
        <w:t xml:space="preserve"> https://doi.org/10.7163/gpol.0008</w:t>
      </w:r>
    </w:p>
    <w:p>
      <w:pPr/>
      <w:r>
        <w:t>Original wording (abstract; indexed_source_text_not_full_document_verified): For this purpose two alternative reference scenarios are outlined and examined in the light of some specific characteristics of Poland’s metropolitan development. The questions posed in this context involve the sustainability of policy assumptions concerning the role of cities of various size categories, as well as factors that could lead to a discontinuity in the trends observed in metropolisation.</w:t>
      </w:r>
    </w:p>
    <w:p>
      <w:pPr/>
      <w:r>
        <w:rPr>
          <w:b/>
        </w:rPr>
        <w:t>POSSIBLE 2026:</w:t>
      </w:r>
      <w:r>
        <w:t xml:space="preserve"> Was there no alternative? Socialist debates and reform projects in late Cold War Europe and beyond — https://doi.org/10.1080/13507486.2025.2605543</w:t>
      </w:r>
    </w:p>
    <w:p>
      <w:pPr/>
      <w:r>
        <w:rPr>
          <w:b/>
        </w:rPr>
        <w:t>Shared claim-specific concepts:</w:t>
      </w:r>
      <w:r>
        <w:t xml:space="preserve"> two, alternative, concerning, various; EU scope visible. This is a provisional connection, not an outcome finding.</w:t>
      </w:r>
    </w:p>
    <w:p>
      <w:pPr>
        <w:pStyle w:val="SourceNote"/>
      </w:pPr>
      <w:r>
        <w:rPr>
          <w:b/>
        </w:rPr>
        <w:t>Available abstract (not full text):</w:t>
      </w:r>
      <w:r>
        <w:t xml:space="preserve"> This article introduces the contributions to the special issue, which focus on socialist debates and reform projects in late Cold War Europe and beyond. Drawing on recent scholarship concerning ‘neoliberalism’, East European 1989–91 transitions and global transformations in the 1970s and 1980s, the authors examine socialist-oriented languages, projects and policies of reform intended to address the transformative crises of global capitalism and the irreversible decline of the Soviet-type planned economy. The contributions to this special issue investigate the personal connections and professional relations between experts and policymakers for two purposes. First, they seek to enhance our understanding of the interplay between politics and economics in the two halves of Europe during the late Cold War and its aftermath. Secondly, they challenge the widespread narrative that describes the end of the ‘glorious thirties’ (1945–75) as the inevitable result of the ideological victory of ‘neoliberalism’, famously epitomized by Margaret Thatcher’s slogan ‘There is no alternative’ (TINA). As the case studies demonstrate, various alternatives based on the concept of ‘socialism’ were considered feasible in both Eastern and Western Europe, but lost momentum in the 1990s and early 2000s.</w:t>
      </w:r>
    </w:p>
    <w:p>
      <w:pPr/>
      <w:r>
        <w:rPr>
          <w:b/>
        </w:rPr>
        <w:t>POSSIBLE 2025:</w:t>
      </w:r>
      <w:r>
        <w:t xml:space="preserve"> No Questions are Stupid, but some are Poorly Posed: Understanding Poorly-Posed Information-Seeking Questions — https://doi.org/10.18653/v1/2025.acl-long.160</w:t>
      </w:r>
    </w:p>
    <w:p>
      <w:pPr/>
      <w:r>
        <w:rPr>
          <w:b/>
        </w:rPr>
        <w:t>Shared claim-specific concepts:</w:t>
      </w:r>
      <w:r>
        <w:t xml:space="preserve"> questions, posed, well; EU scope not established. This is a provisional connection, not an outcome finding.</w:t>
      </w:r>
    </w:p>
    <w:p>
      <w:pPr>
        <w:pStyle w:val="SourceNote"/>
      </w:pPr>
      <w:r>
        <w:rPr>
          <w:b/>
        </w:rPr>
        <w:t>Available abstract (not full text):</w:t>
      </w:r>
      <w:r>
        <w:t xml:space="preserve"> Questions help unlock information to satisfy users' information needs.However, when the question is poorly posed, answerers (whether human or computer) may struggle to answer the question in a way that satisfies the asker, despite possibly knowing everything necessary to address the asker's latent information need.Using Reddit question-answer interactions from r/NoStupidQuestions, we develop a computational framework grounded in linguistic theory to study poorly-posedness of questions by generating spaces of potential interpretations of questions and computing distributions over these spaces based on interpretations chosen by both human answerers in the Reddit question thread, as well as by a suite of large language models.Both humans and models struggle to converge on dominant interpretations when faced with poorly posed questions, but employ different strategies: humans focus on specific interpretations through question negotiation, while models attempt comprehensive coverage by addressing many interpretations simultaneously.</w:t>
      </w:r>
    </w:p>
    <w:p>
      <w:pPr/>
      <w:r>
        <w:rPr>
          <w:b/>
        </w:rPr>
        <w:t>POSSIBLE 2025:</w:t>
      </w:r>
      <w:r>
        <w:t xml:space="preserve"> Regulatory barriers and incentives for alternative proteins in the European Union and Australia–New Zealand — https://doi.org/10.1108/bfj-06-2024-0650</w:t>
      </w:r>
    </w:p>
    <w:p>
      <w:pPr/>
      <w:r>
        <w:rPr>
          <w:b/>
        </w:rPr>
        <w:t>Shared claim-specific concepts:</w:t>
      </w:r>
      <w:r>
        <w:t xml:space="preserve"> purpose, two, alternative; EU scope visible. This is a provisional connection, not an outcome finding.</w:t>
      </w:r>
    </w:p>
    <w:p>
      <w:pPr>
        <w:pStyle w:val="SourceNote"/>
      </w:pPr>
      <w:r>
        <w:rPr>
          <w:b/>
        </w:rPr>
        <w:t>Available abstract (not full text):</w:t>
      </w:r>
      <w:r>
        <w:t xml:space="preserve"> Purpose This paper aims to discuss the innovation challenge in the alternative protein sectors of the European Union (EU) and Australia-New Zealand (AUSNZ) by comparing their respective novel food frameworks. The study investigates which regulatory provisions stakeholders perceive as barriers to innovation and proposes measures to address these obstacles. Design/methodology/approach Alternative proteins are often legally classified as “novel foods” in both the EU and AUSNZ. A functional comparative legal analysis of the novel food frameworks of these two jurisdictions was conducted. Qualitative interviews with stakeholders active in the EU or AUSNZ alternative protein sectors complemented the legal analysis. The interviews aimed at gathering stakeholder perspectives on the framework within which they operate and discuss ways to foster innovation in their jurisdictions. Findings While the AUSNZ framework is generally perceived as more innovation-friendly, particularly regarding breakthrough innovations like cultivated meat, the EU is viewed as a challenging regulatory environment. The duration of the authorisation procedure, differing levels of communication and opportunities for dialogue between stakeholders and regulators, along with the political stances of EU member states, emerged as the main elements to explain such differences. In both jurisdictions, a lack of support for</w:t>
      </w:r>
    </w:p>
    <w:p>
      <w:pPr/>
      <w:r>
        <w:rPr>
          <w:b/>
        </w:rPr>
        <w:t>POSSIBLE 2024:</w:t>
      </w:r>
      <w:r>
        <w:t xml:space="preserve"> Tracing the Feminist Maternal in a European Context: A Review — https://doi.org/10.1017/hyp.2024.26</w:t>
      </w:r>
    </w:p>
    <w:p>
      <w:pPr/>
      <w:r>
        <w:rPr>
          <w:b/>
        </w:rPr>
        <w:t>Shared claim-specific concepts:</w:t>
      </w:r>
      <w:r>
        <w:t xml:space="preserve"> posed, context, various, well; EU scope visible. This is a provisional connection, not an outcome finding.</w:t>
      </w:r>
    </w:p>
    <w:p>
      <w:pPr>
        <w:pStyle w:val="SourceNote"/>
      </w:pPr>
      <w:r>
        <w:rPr>
          <w:b/>
        </w:rPr>
        <w:t>Available abstract (not full text):</w:t>
      </w:r>
      <w:r>
        <w:t xml:space="preserve"> “What might motherhood and Europe have to do with one another?” is a question posed by Lisa Baraitser in the Foreword to the collection, Motherhood in Literature and Culture: Interdisciplinary Perspectives from Europe. The question is certainly pertinent at a time when the very concept of Europe as a geopolitical space and an imaginary construct is being interrogated and critiqued from both within and without the carefully policed borders of the European Union project. It is also pertinent given the increased amount of scholarship on the maternal produced by scholars occupying various transnational locations and positionalities, working to deconstruct unitary and essentialist ideas about mothers and motherhood. The possibility of identifying a specifically European maternal theoretical and lived space thus invites us to carefully theorize the diversity of European contexts, a diversity that is often occluded or elided by easy references to Eurocentric bias in feminist research, as well as the dis/continuities between European-based and Anglo-American feminist scholarship on the maternal. And yet, precisely because the work of mothering always unfolds within specific micro and macro geographic, social, cultural, and ideological spaces, the question merits closer attention. In this essay I consider the cluster of three books delineating the contours of an Italian, as well as a mo</w:t>
      </w:r>
    </w:p>
    <w:p>
      <w:pPr/>
      <w:r>
        <w:rPr>
          <w:b/>
        </w:rPr>
        <w:t>POSSIBLE 2023:</w:t>
      </w:r>
      <w:r>
        <w:t xml:space="preserve"> Applying the Purpose Limitation Principle in Smart-City Data-Processing Practices: A European Data Protection Law Perspective — https://doi.org/10.1080/10811680.2023.2180266</w:t>
      </w:r>
    </w:p>
    <w:p>
      <w:pPr/>
      <w:r>
        <w:rPr>
          <w:b/>
        </w:rPr>
        <w:t>Shared claim-specific concepts:</w:t>
      </w:r>
      <w:r>
        <w:t xml:space="preserve"> purpose, two, context, cities; EU scope visible. This is a provisional connection, not an outcome finding.</w:t>
      </w:r>
    </w:p>
    <w:p>
      <w:pPr>
        <w:pStyle w:val="SourceNote"/>
      </w:pPr>
      <w:r>
        <w:rPr>
          <w:b/>
        </w:rPr>
        <w:t>Available abstract (not full text):</w:t>
      </w:r>
      <w:r>
        <w:t xml:space="preserve"> Protection of privacy rights in the context of smart cities is novel, currently underdeveloped, and a hot topic worldwide. This article examines the purpose limitation of European data protection law in the context of smart cities. The “purpose limitation” principle of the General Data Protection Regulation (GDPR) outlines the ways and means of processing personal data to protect individuals’ fundamental right to personal data protection and related risks. The principle, which empowers controller(s) to process data in a controlled manner, requires that controller(s) process personal data only after meeting two fundamental requirements: they must act on the requirements of purpose specification, andthey must perform an “incompatibility test” while processing personal data for further purposes.This article aims to outline the permissible limits of the purpose limitation principle to pursue different purposes in the context of smart cities. Indeed, the principle only applies when controllers process personal data in smart cities. With the authority provided by the principle, data controllers may process personal data for primary and secondary purposes. However, processing purposes cannot go beyond defined restrictions. The study, which is conducted within the European legal framework, deploys a multimethod approach to address different parts of the research question.</w:t>
      </w:r>
    </w:p>
    <w:p>
      <w:pPr/>
      <w:r>
        <w:rPr>
          <w:b/>
        </w:rPr>
        <w:t>POSSIBLE 2022:</w:t>
      </w:r>
      <w:r>
        <w:t xml:space="preserve"> Financial platforms as alternative financial instrument to crediting in Europe — https://doi.org/10.22616/rrd.28.2022.029</w:t>
      </w:r>
    </w:p>
    <w:p>
      <w:pPr/>
      <w:r>
        <w:rPr>
          <w:b/>
        </w:rPr>
        <w:t>Shared claim-specific concepts:</w:t>
      </w:r>
      <w:r>
        <w:t xml:space="preserve"> alternative, various, size; EU scope visible. This is a provisional connection, not an outcome finding.</w:t>
      </w:r>
    </w:p>
    <w:p>
      <w:pPr>
        <w:pStyle w:val="SourceNote"/>
      </w:pPr>
      <w:r>
        <w:rPr>
          <w:b/>
        </w:rPr>
        <w:t>Available abstract (not full text):</w:t>
      </w:r>
      <w:r>
        <w:t xml:space="preserve"> The significance of financial technologies constantly grows as they have become a part of national economies. Sharing economy or alternative financing includes various digital financial activities outside the traditional banking system like crowdfunding, peer-to-peer lending and other alternatives. The research aim is to evaluate alternative finance trends in Europe. The research results show that peer-to-peer platforms mainly ensuring a high return rate have recently become very popular allowing to invest resources in various projects including real estate, loans, invoice trading and businesses. The main significant drawback of these platforms is that they are risky. The alternative finance market volumes continue to increase steadily year by year reaching USD 22.60 billion in 2020 and the United Kingdom has the largest market share of 59.35% (USD 12.6 billion) in 2020. At the beginning of 2022, there are 315 alternative finance platforms in Europe, the largest number of alternative finance platforms operate in the UK, and peer-to-peer lending (both consumer and business) and invoice trading are three the most widespread types of alternative finance in Europe covering 68% of the entire market size. The rest types of alternative finance occupy considerably lower market shares, i.e. 3-7% each. The decrease in P2P lending volumes in 2020 might be directly related with the Covid p</w:t>
      </w:r>
    </w:p>
    <w:p>
      <w:pPr/>
      <w:r>
        <w:rPr>
          <w:b/>
        </w:rPr>
        <w:t>POSSIBLE 2022:</w:t>
      </w:r>
      <w:r>
        <w:t xml:space="preserve"> Alternative Histories of the White Cube: European Modernism and Mediterranean Vernacular — https://openalex.org/W7111654902</w:t>
      </w:r>
    </w:p>
    <w:p>
      <w:pPr/>
      <w:r>
        <w:rPr>
          <w:b/>
        </w:rPr>
        <w:t>Shared claim-specific concepts:</w:t>
      </w:r>
      <w:r>
        <w:t xml:space="preserve"> purpose, two, alternative, reference; EU scope visible. This is a provisional connection, not an outcome finding.</w:t>
      </w:r>
    </w:p>
    <w:p>
      <w:pPr>
        <w:pStyle w:val="SourceNote"/>
      </w:pPr>
      <w:r>
        <w:rPr>
          <w:b/>
        </w:rPr>
        <w:t>Available abstract (not full text):</w:t>
      </w:r>
      <w:r>
        <w:t xml:space="preserve"> This dissertation investigates historical formulations of the white cube as a link between European modernism and Mediterranean vernacular. Architectural history consistently presents white and cubical modernist designs as resulting from the gradual erasure of ornaments as marks of pastness. The first two chapters of this dissertation shift this paradigm by reframing the historical appearance of bare volumes as resulting not only from the removal of ornament but also from the introduction of Mediterranean vernacular as a shared modernist reference. For this purpose, this dissertation locates the origin of white and cubical designs by seminal architects Adolf Loos (1870-1933), Marcel Breuer (1902-1981), and Le Corbusier (1887-1965) in their encounters with vernacular buildings in Mediterranean countries. Upon their return to Northern Europe, they re-introduced the white façades, flat roofs, and modularity they observed in Greek island villages and North African medinas into their own architectural proposals. This first pair of chapters argues that these architects’ designs for modernist white cubes stem from a primitivist gaze upon the work of vernacular builders. Parallel this demonstration, the third and fourth chapters of this dissertation measure this modernist gaze against discourses formulated by localized Mediterranean figures invested in vernacular traditions. These prot</w:t>
      </w:r>
    </w:p>
    <w:p>
      <w:pPr/>
      <w:r>
        <w:rPr>
          <w:b/>
        </w:rPr>
        <w:t>POSSIBLE 2021:</w:t>
      </w:r>
      <w:r>
        <w:t xml:space="preserve"> LEGAL BASES OF PUBLIC ADMINISTRATION IN THE CONTEXT OF EUROPEAN INTEGRATION OF UKRAINE: QUESTIONS OF FORMATION OF A PERSONNEL RESERVE — https://openalex.org/W3210655204</w:t>
      </w:r>
    </w:p>
    <w:p>
      <w:pPr/>
      <w:r>
        <w:rPr>
          <w:b/>
        </w:rPr>
        <w:t>Shared claim-specific concepts:</w:t>
      </w:r>
      <w:r>
        <w:t xml:space="preserve"> questions, context, role, purpose; EU scope visible. This is a provisional connection, not an outcome finding.</w:t>
      </w:r>
    </w:p>
    <w:p>
      <w:pPr>
        <w:pStyle w:val="SourceNote"/>
      </w:pPr>
      <w:r>
        <w:rPr>
          <w:b/>
        </w:rPr>
        <w:t>Available abstract (not full text):</w:t>
      </w:r>
      <w:r>
        <w:t xml:space="preserve"> Taking into account the realities of the context of Ukraine's European integration, the article emphasizes that the world practice of reforming the public administration system is based on the concept of New Public Management (NPM). It is based on the conditions for maintaining transparency in the activities of public services, restructuring their work to increase efficiency and reduce costs. The purpose of this study is to show the features of the formation of human resources, knowledge, and competence management in the public service of Ukraine. Among the tasks of the study, the following were identified and solved: to analyze the current situation in managing the development of the competence potential of civil service employees in the legal and social aspect, to identify existing problems and shortcomings in this area, to substantiate the role of the competence-based approach as an integral part of the civil service (public administration) personnel management system.</w:t>
      </w:r>
    </w:p>
    <w:p>
      <w:pPr/>
      <w:r>
        <w:rPr>
          <w:b/>
        </w:rPr>
        <w:t>POSSIBLE 2021:</w:t>
      </w:r>
      <w:r>
        <w:t xml:space="preserve"> Food Production Harms in the European Context: The EU as an Enabler or a Solution? — https://doi.org/10.46692/9781529212358.008</w:t>
      </w:r>
    </w:p>
    <w:p>
      <w:pPr/>
      <w:r>
        <w:rPr>
          <w:b/>
        </w:rPr>
        <w:t>Shared claim-specific concepts:</w:t>
      </w:r>
      <w:r>
        <w:t xml:space="preserve"> context, involve, observed; EU scope visible. This is a provisional connection, not an outcome finding.</w:t>
      </w:r>
    </w:p>
    <w:p>
      <w:pPr>
        <w:pStyle w:val="SourceNote"/>
      </w:pPr>
      <w:r>
        <w:rPr>
          <w:b/>
        </w:rPr>
        <w:t>Available abstract (not full text):</w:t>
      </w:r>
      <w:r>
        <w:t xml:space="preserve"> Introduction Food is vitally important for human subsistence. Moreover, the nature of socio-environmental and politico-economic conditions is particularly intricate in the process of food production. This intricacy begs the question, ‘who is producing what kind of food, for whose benefit, and to whose disadvantage?’ (Moragues-Faus and Marsden, 2017: 281). This chapter poses the question of whether food production-focused research can also become the lens that helps to open up new lines of inquiry about what is ‘European’ about European white-collar crime. Even though both isolated deviancy and systemic harm feature in the fabric of modern food systems, criminological engagement with intersections of food, crime and harm has not been prolific (see Walters, 2007; Cheng, 2011; Croall, 2012). Once the concept of food crime was introduced by Croall in 2007, avenues for research included food fraud, food poisoning (Tombs and Whyte, 2010), food mislabelling (Croall, 2012), trade practices and environmental law (Walters, 2006), food pricing, exploitation in food production (Tombs and Whyte, 2007) and cruelty to animals (Agnew, 1998; Yates, 2007). The intersection of food and criminological research in the European context can be observed in The Routledge Handbook of White-Collar and Corporate Crime in Europe (2015), which invokes the topic of food crime in relation to food adulteration</w:t>
      </w:r>
    </w:p>
    <w:p>
      <w:pPr/>
      <w:r>
        <w:rPr>
          <w:b/>
        </w:rPr>
        <w:t>POSSIBLE 2021:</w:t>
      </w:r>
      <w:r>
        <w:t xml:space="preserve"> Educational use of animals in Europe indicates a reluctance to implement alternatives — https://doi.org/10.14573/altex.2011111</w:t>
      </w:r>
    </w:p>
    <w:p>
      <w:pPr/>
      <w:r>
        <w:rPr>
          <w:b/>
        </w:rPr>
        <w:t>Shared claim-specific concepts:</w:t>
      </w:r>
      <w:r>
        <w:t xml:space="preserve"> two, alternative, specific, questions; EU scope visible. This is a provisional connection, not an outcome finding.</w:t>
      </w:r>
    </w:p>
    <w:p>
      <w:pPr>
        <w:pStyle w:val="SourceNote"/>
      </w:pPr>
      <w:r>
        <w:rPr>
          <w:b/>
        </w:rPr>
        <w:t>Available abstract (not full text):</w:t>
      </w:r>
      <w:r>
        <w:t xml:space="preserve"> Animals have been considered an indispensable tool to teach about the functioning of living organisms, to obtain skills necessary for practicing human and veterinary medicine, as well as for acquiring skills for caring for and conducting experiments on animals in laboratories. However, the efficacy of this practice has been questioned in recent decades, and societal views have evolved to place a much stronger emphasis on animal welfare and ethics that needs to be reflected in our teaching and training practices. Currently, many alternatives to harmful animal use are available, and it is not clear why thousands of animals continue to be used every year for educational and training purposes. Therefore, this study aimed to identify reasons for the lack of uptake of non-harmful educational and training methods by analyzing recently published non-technical summaries in the EU and EEA Member States and to provide examples of alternatives for specific learning objectives. Results from non-technical summaries from 18 countries spanning the most recent years (2017-2019) revealed that the two main perceived reasons for continued animal use are: 1) the necessity to use a living animal for “proper” learning and 2) the lack of an adequate alternative. We argue that these reasons often do not reflect reality. In conclusion, we consider it is necessary to place a stronger emphasis on engageme</w:t>
      </w:r>
    </w:p>
    <w:p>
      <w:pPr/>
      <w:r>
        <w:rPr>
          <w:b/>
        </w:rPr>
        <w:t>POSSIBLE 2020:</w:t>
      </w:r>
      <w:r>
        <w:t xml:space="preserve"> The Latest Stage of the German Question: Pax Germanica in the New Europe — https://doi.org/10.4324/9781003100737-7</w:t>
      </w:r>
    </w:p>
    <w:p>
      <w:pPr/>
      <w:r>
        <w:rPr>
          <w:b/>
        </w:rPr>
        <w:t>Shared claim-specific concepts:</w:t>
      </w:r>
      <w:r>
        <w:t xml:space="preserve"> posed, context, concerning, well; EU scope visible. This is a provisional connection, not an outcome finding.</w:t>
      </w:r>
    </w:p>
    <w:p>
      <w:pPr>
        <w:pStyle w:val="SourceNote"/>
      </w:pPr>
      <w:r>
        <w:rPr>
          <w:b/>
        </w:rPr>
        <w:t>Available abstract (not full text):</w:t>
      </w:r>
      <w:r>
        <w:t xml:space="preserve"> This chapter argues that the problem posed concerning the ‘German question’ in its latest form is novel, not only in the context in which it has developed but in the form that it takes. Germany’s unification engendered the emergence of a new stage of the ‘German question’ that has dominated modern European political, economic and military relations for over a century. The traditional formulation of this problematique has always started from the working assumption that Germany’s elites have sought to expand their economic and territorial base beyond their universally-defined geographic borders. Arguments stressing benign effect of German unification for European security and economic development reflect one of three critical elements. Although they might combine aspects of more than one form, this intellectual approach is preponderantly functional, institutional or sociological. The debate between optimists and pessimists therefore really focuses on degree of German centrality in new European order, as well as implications for Germany’s position in Europe and for global stability.</w:t>
      </w:r>
    </w:p>
    <w:p>
      <w:pPr/>
      <w:r>
        <w:rPr>
          <w:b/>
        </w:rPr>
        <w:t>POSSIBLE 2020:</w:t>
      </w:r>
      <w:r>
        <w:t xml:space="preserve"> Forty questions of importance to the policy and practice of native oyster reef restoration in Europe — https://doi.org/10.1002/aqc.3462</w:t>
      </w:r>
    </w:p>
    <w:p>
      <w:pPr/>
      <w:r>
        <w:rPr>
          <w:b/>
        </w:rPr>
        <w:t>Shared claim-specific concepts:</w:t>
      </w:r>
      <w:r>
        <w:t xml:space="preserve"> questions, well, two; EU scope visible. This is a provisional connection, not an outcome finding.</w:t>
      </w:r>
    </w:p>
    <w:p>
      <w:pPr>
        <w:pStyle w:val="SourceNote"/>
      </w:pPr>
      <w:r>
        <w:rPr>
          <w:b/>
        </w:rPr>
        <w:t>Available abstract (not full text):</w:t>
      </w:r>
      <w:r>
        <w:t xml:space="preserve"> Abstract Oyster reefs are among the most threatened marine habitats globally. In Europe, oyster reefs have been extirpated from most locations within their historical range. Active restoration of the native oyster (Ostrea edulis) in Europe has grown substantially in recent years. In sharing experiences between oyster restoration projects in Europe at the Native Oyster Restoration Alliance conference, NORA2, in Edinburgh in May 2019, it became apparent that a number of similar barriers are experienced. This study identified the top 40 questions, which, if answered, would have the greatest influence on the policy and practice of oyster restoration in Europe. Initially 71 people were consulted across 28 institutions and 11 European countries to generate 194 questions. An established process of one round of pre‐workshop voting followed by a one‐day online workshop and two post‐workshop rounds of voting resulted in the final 40 questions. Questions were broadly grouped into the following 10 themes: baselines, site selection, restoration methods, quantifying benefits, disease management, biosecurity, genetic diversity and population differentiation, policy and management, novel technologies, and current and future threats. We anticipate that this list will provide a starting point for developing collaborative projects across the NORA network, as well as assisting policy makers and fu</w:t>
      </w:r>
    </w:p>
    <w:p>
      <w:pPr>
        <w:pStyle w:val="Heading2"/>
      </w:pPr>
      <w:r>
        <w:t>889. PROGNOZY WYDAJNOŚCI MLECZNEJ KRÓW W POLSCE I W UNII EUROPEJSKIEJ NA LATA 2030 I 2050</w:t>
      </w:r>
    </w:p>
    <w:p>
      <w:pPr>
        <w:pStyle w:val="SourceNote"/>
      </w:pPr>
      <w:r>
        <w:rPr>
          <w:b/>
        </w:rPr>
        <w:t>Original source (2015):</w:t>
      </w:r>
      <w:r>
        <w:t xml:space="preserve"> https://doi.org/10.22004/ag.econ.233003</w:t>
      </w:r>
    </w:p>
    <w:p>
      <w:pPr/>
      <w:r>
        <w:t>Original wording (abstract; indexed_source_text_not_full_document_verified): According to the CAPRI model in 2030 and 2050, the average milk yield in Poland will increase by 22 and 28% compared to 2010. On the basis of trend analysis, in 2030 for the average data from the CSO index of growth is 41%, and 46 and 60%, respectively for PFHBiPM and FADN.</w:t>
      </w:r>
    </w:p>
    <w:p>
      <w:pPr/>
      <w:r>
        <w:rPr>
          <w:b/>
        </w:rPr>
        <w:t>POSSIBLE 2026:</w:t>
      </w:r>
      <w:r>
        <w:t xml:space="preserve"> EU Wide Disaggregated CAPRI Model Data: Crops, Livestock, Nitrogen In- and Outputs (Timeseries 2000-2018) — https://doi.org/10.1038/s41597-026-06919-8</w:t>
      </w:r>
    </w:p>
    <w:p>
      <w:pPr/>
      <w:r>
        <w:rPr>
          <w:b/>
        </w:rPr>
        <w:t>Shared claim-specific concepts:</w:t>
      </w:r>
      <w:r>
        <w:t xml:space="preserve"> capri, yield, data; EU scope visible. This is a provisional connection, not an outcome finding.</w:t>
      </w:r>
    </w:p>
    <w:p>
      <w:pPr>
        <w:pStyle w:val="SourceNote"/>
      </w:pPr>
      <w:r>
        <w:rPr>
          <w:b/>
        </w:rPr>
        <w:t>Available abstract (not full text):</w:t>
      </w:r>
      <w:r>
        <w:t xml:space="preserve"> The impacts of agricultural, environmental and climate change policies in Europe are investigated using the CAPRI (Common Agricultural Policy Regionalised Impact) model. Although the model runs at a regional level, primarily NUTS2, the underlying data have been spatially disaggregated to finer scale units called 'Farm Structure Units'. In this study we present these spatially disaggregated layers of agri-environmental variables for a time series from 2000 to 2018. This harmonized and spatially consistent data set includes crop types (area, yield), livestock types (totals and densities) and various parameters associated with nitrogen application and losses. These data can be used to calculate nitrogen budgets as well as providing inputs to biogeochemical or land management models.</w:t>
      </w:r>
    </w:p>
    <w:p>
      <w:pPr/>
      <w:r>
        <w:rPr>
          <w:b/>
        </w:rPr>
        <w:t>POSSIBLE 2026:</w:t>
      </w:r>
      <w:r>
        <w:t xml:space="preserve"> Emission Scenarios for Europe under the CATALYSE Project: Beyond the Green Deal — https://openalex.org/W7125621332</w:t>
      </w:r>
    </w:p>
    <w:p>
      <w:pPr/>
      <w:r>
        <w:rPr>
          <w:b/>
        </w:rPr>
        <w:t>Shared claim-specific concepts:</w:t>
      </w:r>
      <w:r>
        <w:t xml:space="preserve"> capri, data; EU scope visible. This is a provisional connection, not an outcome finding.</w:t>
      </w:r>
    </w:p>
    <w:p>
      <w:pPr>
        <w:pStyle w:val="SourceNote"/>
      </w:pPr>
      <w:r>
        <w:rPr>
          <w:b/>
        </w:rPr>
        <w:t>Available abstract (not full text):</w:t>
      </w:r>
      <w:r>
        <w:t xml:space="preserve"> The pursuit of net zero emissions in the European Union can deliver significant human health co-benefits. Mitigation actions reduce emissions of air pollutants that contribute to a range of diseases. The Climate Action To Advance HeaLthY Societies in Europe (CATALYSE) project, funded by Horizon Europe, seeks to quantify these climate and health co-benefits within a European context. This multi-dimensional initiative spans fundamental research to identifying optimal communication channels for information dissemination. This report documents the approach, methodology, and results of the development of gridded emission scenarios for air pollutants in Europe until 2050 within the CATALYSE project. The main scenarios include a reference baseline (REF), a scenario achieving Green Deal goals (GD), and a Beyond Green Deal scenario that envisages additional behavioral changes to curb emissions (BGD). A fourth scenario “Beyond Green Deal 90” (BGD90), is a variant that introduces further end-of-pipe air pollution control measures. The activity pathways underlying the scenarios are modeled using the PRIMES and CAPRI models, with assumptions defined collaboratively by modelling team experts in the buildings sector (UCL), active mobility (ISGlobal), and food systems (UOX). Although the projections also include energy and industry sectors, the scenario differentiation emphasizes the buildings</w:t>
      </w:r>
    </w:p>
    <w:p>
      <w:pPr/>
      <w:r>
        <w:rPr>
          <w:b/>
        </w:rPr>
        <w:t>POSSIBLE 2025:</w:t>
      </w:r>
      <w:r>
        <w:t xml:space="preserve"> Modeling the Profitability of Milk Production—A Simulation Approach — https://doi.org/10.3390/agriculture15131409</w:t>
      </w:r>
    </w:p>
    <w:p>
      <w:pPr/>
      <w:r>
        <w:rPr>
          <w:b/>
        </w:rPr>
        <w:t>Shared claim-specific concepts:</w:t>
      </w:r>
      <w:r>
        <w:t xml:space="preserve"> milk, yield, poland; EU scope visible. This is a provisional connection, not an outcome finding.</w:t>
      </w:r>
    </w:p>
    <w:p>
      <w:pPr>
        <w:pStyle w:val="SourceNote"/>
      </w:pPr>
      <w:r>
        <w:rPr>
          <w:b/>
        </w:rPr>
        <w:t>Available abstract (not full text):</w:t>
      </w:r>
      <w:r>
        <w:t xml:space="preserve"> Dairy farm profitability in the European Union has become increasingly volatile following market deregulation, complicating farm operations and undermining food security amid geopolitical tensions. To address the need for a streamlined analytical tool, this study develops a simulation model of milk production profitability tailored to small, open economies, using Poland as a case study. The model defines a profitability coefficient as the ratio of sector-level milk revenues to feed costs and decomposes it into three dynamic components: production efficiency (milk yield per feed unit), the price spread between milk and feed, and the net effect of policy interventions on revenues and costs. Exogenous variables (milk prices, feed prices, and policy support indices) are projected under baseline, optimistic, and pessimistic scenarios, while endogenous variables (profitability, herd size, and yield) evolve recursively based on estimated lags reflecting biological and economic responses. Simulation results for 2023–2027 indicate that profitability trajectories hinge primarily on price spreads, with policy measures playing a stabilizing but secondary role. Optimistic scenarios yield significant increases in profitability, whereas pessimistic assumptions lead to significant declines. These findings highlight the need to balance key market drivers—such as the relationship between milk pr</w:t>
      </w:r>
    </w:p>
    <w:p>
      <w:pPr/>
      <w:r>
        <w:rPr>
          <w:b/>
        </w:rPr>
        <w:t>POSSIBLE 2025:</w:t>
      </w:r>
      <w:r>
        <w:t xml:space="preserve"> Characterization of the Population With Intermediate‐Risk Status in Pulmonary Arterial Hypertension: Patients in a Latin American Country: The CAPRI Registry — https://doi.org/10.1002/pul2.70145</w:t>
      </w:r>
    </w:p>
    <w:p>
      <w:pPr/>
      <w:r>
        <w:rPr>
          <w:b/>
        </w:rPr>
        <w:t>Shared claim-specific concepts:</w:t>
      </w:r>
      <w:r>
        <w:t xml:space="preserve"> capri, compared, data, respectively; EU scope not established. This is a provisional connection, not an outcome finding.</w:t>
      </w:r>
    </w:p>
    <w:p>
      <w:pPr>
        <w:pStyle w:val="SourceNote"/>
      </w:pPr>
      <w:r>
        <w:rPr>
          <w:b/>
        </w:rPr>
        <w:t>Available abstract (not full text):</w:t>
      </w:r>
      <w:r>
        <w:t xml:space="preserve"> ABSTRACT Pulmonary arterial hypertension (PAH) in intermediate‐risk patients poses a challenge for clinicians, particularly in determining the optimal timing for escalating pharmacological treatment. We conducted a multicenter cross‐sectional study that analyzed data from the Colombian Pulmonary Hypertension Network (HAPredCO) on patients diagnosed with PAH. Participants were stratified into low‐ and high‐intermediate risk groups using the four‐level ESC/ERS score, which incorporates optimized cutoff values for WHO functional class (WHO FC), the 6‐min walk test (6MWT), and N‐terminal pro‐brain natriuretic peptide (NT‐proBNP)/brain natriuretic peptide (BNP) concentration. A bivariate analysis was conducted to compare study variables at baseline and during clinical follow‐up. Additionally, a survival analysis was performed using Kaplan‐Meier curves to compare outcomes between the intermediate‐risk groups. A total of 175 patients were analyzed, with a mean age of 44.85 years (SD 15.5), of which 86% (150/175) were women. In the baseline, a total of 75% (131/175) were classified as intermediate‐low‐risk. In clinical follow‐up, 40% (61/154) were classified as intermediate‐low‐risk, 21% (32/154) were classified as intermediate‐low‐risk, 23% (35/154) were classified as intermediate‐low‐risk, and 16% (26/154) as intermediate‐high‐risk. At baseline, WHO FC III was 61% (107/174), compared</w:t>
      </w:r>
    </w:p>
    <w:p>
      <w:pPr/>
      <w:r>
        <w:rPr>
          <w:b/>
        </w:rPr>
        <w:t>POSSIBLE 2024:</w:t>
      </w:r>
      <w:r>
        <w:t xml:space="preserve"> Climate Change and Photochemical Ozone Creation Potential Impact Indicators of Cow Milk: A Comparison of Different Scenarios for a Diet Assessment — https://doi.org/10.3390/ani14121725</w:t>
      </w:r>
    </w:p>
    <w:p>
      <w:pPr/>
      <w:r>
        <w:rPr>
          <w:b/>
        </w:rPr>
        <w:t>Shared claim-specific concepts:</w:t>
      </w:r>
      <w:r>
        <w:t xml:space="preserve"> according, milk, yield, compared; EU scope visible. This is a provisional connection, not an outcome finding.</w:t>
      </w:r>
    </w:p>
    <w:p>
      <w:pPr>
        <w:pStyle w:val="SourceNote"/>
      </w:pPr>
      <w:r>
        <w:rPr>
          <w:b/>
        </w:rPr>
        <w:t>Available abstract (not full text):</w:t>
      </w:r>
      <w:r>
        <w:t xml:space="preserve"> An estimate of the environmental impact of dairy farms in Northern Italy producing milk for hard cheese (protected designation of origin) has been obtained through a comprehensive life cycle assessment. The estimate focused on climate change (CC) and photochemical ozone creation potential (POCP) indicators, which were evaluated according to the Intergovernmental Panel on Climate Change (IPCC) guidelines and interpreted with the aid of the feeds’ composition evaluated using near-infrared reflectance spectroscopy (Foss NIR-System 5000) as well as with a diet evaluation according to the NRC (National Research Council) or the CNCPS (Cornell Net Carbohydrate and Protein System) nutrient requirement modeling. Herds were classified into high-, mid-, and low-performing based on the daily milk yield per cow. A lower impact on indicators was observed as herd performance increased. The high-performing herds had a lower contribution from enteric fermentation (6.30 × 10−1 kgCO2-eq), and the more milk that they produced allowed for a differentiation of CC from land use and transformation (2.39 × 10−1 kgCO2-eq), compared to low-performing herds (3.66 × 10−1 kgCO2-eq). Compared to the IPCC approach, the CC and POCP indicator estimates were reduced when addressing the feed’s quality, particularly in mid- and high-performing herds. The results could be helpful in the dairy sector as they provide</w:t>
      </w:r>
    </w:p>
    <w:p>
      <w:pPr/>
      <w:r>
        <w:rPr>
          <w:b/>
        </w:rPr>
        <w:t>POSSIBLE 2024:</w:t>
      </w:r>
      <w:r>
        <w:t xml:space="preserve"> Impact of maternal health and stress on steroid hormone profiles in human milk: Implications for infant development — https://doi.org/10.1016/j.jlr.2024.100688</w:t>
      </w:r>
    </w:p>
    <w:p>
      <w:pPr/>
      <w:r>
        <w:rPr>
          <w:b/>
        </w:rPr>
        <w:t>Shared claim-specific concepts:</w:t>
      </w:r>
      <w:r>
        <w:t xml:space="preserve"> milk, respectively; EU scope not established. This is a provisional connection, not an outcome finding.</w:t>
      </w:r>
    </w:p>
    <w:p>
      <w:pPr>
        <w:pStyle w:val="SourceNote"/>
      </w:pPr>
      <w:r>
        <w:rPr>
          <w:b/>
        </w:rPr>
        <w:t>Available abstract (not full text):</w:t>
      </w:r>
      <w:r>
        <w:t xml:space="preserve"> Steroid hormones are biologically active factors in human milk (HM) that influence the physical and mental development of infants. Critically, maternal psychosocial stress has been associated with changes in HM steroid composition. This work aimed to characterize the steroid hormone profile of HM and pasteurized donor human milk (DHM) and assess the interplay between maternal physical and psychosocial status, the HM steroid profile, and infant outcomes. A targeted ultra-performance liquid chromatography-tandem mass spectrometry (UPLC-MS/MS) method was developed to quantify sixteen steroid hormones in HM samples. HM samples from mothers of term infants (N = 42) and preterm infants (N = 35) were collected at (i) recovery of birth weight or achievement of complete enteral nutrition, respectively, and (ii) 6 months later as well as DHM samples (N = 19) from 11 donors. The physical and psychosocial status of mothers and infant neurodevelopment and temperament were assessed through structured interviews and validated questionnaires. Fourteen steroids were detected in HM/DHM samples, with cortisol, 20β-dihydrocortisol, dehydroepiandrosterone, pregnenolone, and cortisone being present in &gt; 48% of samples. Pregnenolone, 17α-OH-progesterone, and dehydroepiandrosterone are reported for the first time in HM. Whereas milk cortisol levels were not directly related to maternal physical and ps</w:t>
      </w:r>
    </w:p>
    <w:p>
      <w:pPr/>
      <w:r>
        <w:rPr>
          <w:b/>
        </w:rPr>
        <w:t>POSSIBLE 2023:</w:t>
      </w:r>
      <w:r>
        <w:t xml:space="preserve"> Impact of AlphaFold on structure prediction of protein complexes: The CASP15‐CAPRI experiment — https://doi.org/10.1002/prot.26609</w:t>
      </w:r>
    </w:p>
    <w:p>
      <w:pPr/>
      <w:r>
        <w:rPr>
          <w:b/>
        </w:rPr>
        <w:t>Shared claim-specific concepts:</w:t>
      </w:r>
      <w:r>
        <w:t xml:space="preserve"> capri, average, compared; EU scope not established. This is a provisional connection, not an outcome finding.</w:t>
      </w:r>
    </w:p>
    <w:p>
      <w:pPr>
        <w:pStyle w:val="SourceNote"/>
      </w:pPr>
      <w:r>
        <w:rPr>
          <w:b/>
        </w:rPr>
        <w:t>Available abstract (not full text):</w:t>
      </w:r>
      <w:r>
        <w:t xml:space="preserve"> We present the results for CAPRI Round 54, the 5th joint CASP-CAPRI protein assembly prediction challenge. The Round offered 37 targets, including 14 homodimers, 3 homo-trimers, 13 heterodimers including 3 antibody-antigen complexes, and 7 large assemblies. On average ~70 CASP and CAPRI predictor groups, including more than 20 automatics servers, submitted models for each target. A total of 21 941 models submitted by these groups and by 15 CAPRI scorer groups were evaluated using the CAPRI model quality measures and the DockQ score consolidating these measures. The prediction performance was quantified by a weighted score based on the number of models of acceptable quality or higher submitted by each group among their five best models. Results show substantial progress achieved across a significant fraction of the 60+ participating groups. High-quality models were produced for about 40% of the targets compared to 8% two years earlier. This remarkable improvement is due to the wide use of the AlphaFold2 and AlphaFold2-Multimer software and the confidence metrics they provide. Notably, expanded sampling of candidate solutions by manipulating these deep learning inference engines, enriching multiple sequence alignments, or integration of advanced modeling tools, enabled top performing groups to exceed the performance of a standard AlphaFold2-Multimer version used as a yard stick. </w:t>
      </w:r>
    </w:p>
    <w:p>
      <w:pPr/>
      <w:r>
        <w:rPr>
          <w:b/>
        </w:rPr>
        <w:t>POSSIBLE 2023:</w:t>
      </w:r>
      <w:r>
        <w:t xml:space="preserve"> The estimated distribution of autochthonous leishmaniasis by Leishmania infantum in Europe in 2005–2020 — https://doi.org/10.1371/journal.pntd.0011497</w:t>
      </w:r>
    </w:p>
    <w:p>
      <w:pPr/>
      <w:r>
        <w:rPr>
          <w:b/>
        </w:rPr>
        <w:t>Shared claim-specific concepts:</w:t>
      </w:r>
      <w:r>
        <w:t xml:space="preserve"> according, trend, data, respectively; EU scope visible. This is a provisional connection, not an outcome finding.</w:t>
      </w:r>
    </w:p>
    <w:p>
      <w:pPr>
        <w:pStyle w:val="SourceNote"/>
      </w:pPr>
      <w:r>
        <w:rPr>
          <w:b/>
        </w:rPr>
        <w:t>Available abstract (not full text):</w:t>
      </w:r>
      <w:r>
        <w:t xml:space="preserve"> BACKGROUND: This study describes the spatial and temporal distribution between 2005 and 2020 of human and animal leishmaniasis by Leishmania infantum in European countries reporting autochthonous cases, and highlights potential activities to improve disease control. METHODOLOGY/PRINCIPAL FINDINGS: It was based on a review of the scientific literature and data reported by the World Health Organization (WHO), the World Organization for Animal Health (WOAH) and the Ministries of Health, including hospital discharges in some countries. Autochthonous infections were reported in the scientific literature from 22 countries, including 13 and 21 countries reporting human and animal infections, respectively. In contrast, only 17 countries reported autochthonous human leishmaniasis cases to the WHO and 8 countries animal infections to the WOAH. The number of WOAH reported cases were 4,203, comprising 4,183 canine cases and 20 cases in wildlife. Of 8,367 WHO reported human cases, 69% were visceral leishmaniasis cases-of which 94% were autochthonous-and 31% cutaneous leishmaniasis cases-of which 53% were imported and mostly in France. The resulting cumulative incidence per 100,000 population of visceral leishmaniasis between 2005-2020, was highest in Albania (2.15 cases), followed by Montenegro, Malta, Greece, Spain and North Macedonia (0.53-0.42), Italy (0.16), Portugal (0.09) and lower in</w:t>
      </w:r>
    </w:p>
    <w:p>
      <w:pPr/>
      <w:r>
        <w:rPr>
          <w:b/>
        </w:rPr>
        <w:t>POSSIBLE 2021:</w:t>
      </w:r>
      <w:r>
        <w:t xml:space="preserve"> The role of market drivers in explaining the EU milk supply after the milk quota abolition — https://doi.org/10.1016/j.eap.2021.11.020</w:t>
      </w:r>
    </w:p>
    <w:p>
      <w:pPr/>
      <w:r>
        <w:rPr>
          <w:b/>
        </w:rPr>
        <w:t>Shared claim-specific concepts:</w:t>
      </w:r>
      <w:r>
        <w:t xml:space="preserve"> milk, yield, data, respectively; EU scope visible. This is a provisional connection, not an outcome finding.</w:t>
      </w:r>
    </w:p>
    <w:p>
      <w:pPr>
        <w:pStyle w:val="SourceNote"/>
      </w:pPr>
      <w:r>
        <w:rPr>
          <w:b/>
        </w:rPr>
        <w:t>Available abstract (not full text):</w:t>
      </w:r>
      <w:r>
        <w:t xml:space="preserve"> The abolition of the EU milk quota system since 2015 has allowed the dairy sector to fully react to market forces. This change should be properly reflected within the tools that support the design of EU/national policy interventions. This paper focuses on updating the milk supply responses at EU member state level in a context where still limited data is available. Using a Mixed Estimator a set of equations for the yield per cow and the size of the dairy herd, has been estimated, leaving the milk supply derived as an identity. An important outcome of this study is that milk supply at country level is inelastic, with the (short-run) yield and herd milk price elasticities being 0.2 and 0.1 respectively. The study concludes that two thirds of the impact of a milk price change is resulting from dairy cow yield changes, while a third is resulting from changes in the number of dairy cows.</w:t>
      </w:r>
    </w:p>
    <w:p>
      <w:pPr/>
      <w:r>
        <w:rPr>
          <w:b/>
        </w:rPr>
        <w:t>POSSIBLE 2021:</w:t>
      </w:r>
      <w:r>
        <w:t xml:space="preserve"> Innovating feeding strategies in dairy sheep farming can reduce environmental impact of ewe milk — https://doi.org/10.1080/1828051x.2021.2003726</w:t>
      </w:r>
    </w:p>
    <w:p>
      <w:pPr/>
      <w:r>
        <w:rPr>
          <w:b/>
        </w:rPr>
        <w:t>Shared claim-specific concepts:</w:t>
      </w:r>
      <w:r>
        <w:t xml:space="preserve"> average, milk, compared; EU scope visible. This is a provisional connection, not an outcome finding.</w:t>
      </w:r>
    </w:p>
    <w:p>
      <w:pPr>
        <w:pStyle w:val="SourceNote"/>
      </w:pPr>
      <w:r>
        <w:rPr>
          <w:b/>
        </w:rPr>
        <w:t>Available abstract (not full text):</w:t>
      </w:r>
      <w:r>
        <w:t xml:space="preserve"> Dairy sheep systems are relevant for the economy of many rural areas of the Mediterranean Basin and the optimisation of their productive factors is necessary to improve their competitiveness and to reduce their environmental impact. The objective of this study was to assess, through a farm-scale life cycle assessment (LCA) approach, the potential of reducing environmental impacts on ewe milk of an innovative farming system (IF), based on the adoption of a precision feeding approach to improve milk production and quality, compared with a conventional farming system (CF) in dairy sheep farms in Tuscany region, Italy. The LCA analysis was carried out through a cradle-to-farm-gate LCA, comparing three conventional farms with three innovative farms, using 1 kg of fat protein corrected milk (FPCM) as a functional unit. The Small Ruminants Module of Nutritional Dynamic System (NDS) software was used to estimate methane emissions due to enteric fermentation. The introduction of precision feeding strategy reduced the environmental impacts of ewe milk as a consequence of the increased milk production efficiency (+50%). Indeed, the environmental impact of ewe milk was reduced in IF by 42% as the average of the impact categories being significantly different between the two farming systems.HighlightsPrecision feeding is recognised as a strategy to mitigate the environmental impacts of rumi</w:t>
      </w:r>
    </w:p>
    <w:p>
      <w:pPr/>
      <w:r>
        <w:rPr>
          <w:b/>
        </w:rPr>
        <w:t>POSSIBLE 2021:</w:t>
      </w:r>
      <w:r>
        <w:t xml:space="preserve"> Whole Genome DNA Methylation Variations in Mammary Gland Tissues from Holstein Cattle Producing Milk with Various Fat and Protein Contents — https://doi.org/10.3390/genes12111727</w:t>
      </w:r>
    </w:p>
    <w:p>
      <w:pPr/>
      <w:r>
        <w:rPr>
          <w:b/>
        </w:rPr>
        <w:t>Shared claim-specific concepts:</w:t>
      </w:r>
      <w:r>
        <w:t xml:space="preserve"> milk, yield, respectively; EU scope not established. This is a provisional connection, not an outcome finding.</w:t>
      </w:r>
    </w:p>
    <w:p>
      <w:pPr>
        <w:pStyle w:val="SourceNote"/>
      </w:pPr>
      <w:r>
        <w:rPr>
          <w:b/>
        </w:rPr>
        <w:t>Available abstract (not full text):</w:t>
      </w:r>
      <w:r>
        <w:t xml:space="preserve"> Milk fat and protein contents are among key elements of milk quality, and they are attracting more attention in response to consumers′ demand for high-quality dairy products. To investigate the potential regulatory roles of DNA methylation underlying milk component yield, whole genome bisulfite sequencing was employed to profile the global DNA methylation patterns of mammary gland tissues from 17 Canada Holstein cows with various milk fat and protein contents. A total of 706, 2420 and 1645 differentially methylated CpG sites (DMCs) were found between high vs. low milk fat (HMF vs. LMF), high vs. low milk protein (HMP vs. LMP), and high vs. low milk fat and protein (HMFP vs. LMFP) groups, respectively (q value &lt; 0.1). Twenty-seven, 56 and 67 genes harboring DMCs in gene regions (denoted DMC genes) were identified for HMF vs. LMF, HMP vs. LMP and HMFP vs. LMFP, respectively. DMC genes from HMP vs. LMP and HMFP vs. LMFP comparisons were significantly overrepresented in GO terms related to aerobic electron transport chain and/or mitochondrial ATP (adenosine triphosphate) synthesis coupled electron transport. A total of 83 (HMF vs. LMF), 708 (HMP vs. LMP) and 408 (HMFP vs. LMFP) DMCs were co-located with 87, 147 and 158 quantitative trait loci (QTL) for milk component and yield traits, respectively. In conclusion, the identified methylation changes are potentially involved in the re</w:t>
      </w:r>
    </w:p>
    <w:p>
      <w:pPr/>
      <w:r>
        <w:rPr>
          <w:b/>
        </w:rPr>
        <w:t>POSSIBLE 2021:</w:t>
      </w:r>
      <w:r>
        <w:t xml:space="preserve"> Economic and Environmental Consequences of the ECJ Genome Editing Judgment in Agriculture — https://doi.org/10.3390/agronomy11061212</w:t>
      </w:r>
    </w:p>
    <w:p>
      <w:pPr/>
      <w:r>
        <w:rPr>
          <w:b/>
        </w:rPr>
        <w:t>Shared claim-specific concepts:</w:t>
      </w:r>
      <w:r>
        <w:t xml:space="preserve"> according, capri, increase; EU scope visible. This is a provisional connection, not an outcome finding.</w:t>
      </w:r>
    </w:p>
    <w:p>
      <w:pPr>
        <w:pStyle w:val="SourceNote"/>
      </w:pPr>
      <w:r>
        <w:rPr>
          <w:b/>
        </w:rPr>
        <w:t>Available abstract (not full text):</w:t>
      </w:r>
      <w:r>
        <w:t xml:space="preserve"> Genome-edited crops are on the verge of being placed on the market and their agricultural and food products will thus be internationally traded soon. National regulations, however, diverge regarding the classification of genome-edited crops. Major countries such as the US and Brazil do not specifically regulate genome-edited crops, while in the European Union, they fall under GMO legislation, according to the European Court of Justice (ECJ). As it is in some cases impossible to analytically distinguish between products from genome-edited plants and those from non-genome-edited plants, EU importers may fear the risk of violating EU legislation. They may choose not to import any agricultural and food products based on crops for which genome-edited varieties are available. Therefore, crop products of which the EU is currently a net importer would become more expensive in the EU, and production would intensify. Furthermore, an intense substitution of products covered and not covered by genome editing would occur in consumption, production, and trade. We analyzed the effects of such a cease of EU imports for cereals and soy in the EU agricultural sector with the comparative static agricultural sector equilibrium model CAPRI. Our results indicate dramatic effects on agricultural and food prices as well as on farm income. The intensification of EU agriculture may result in negative ne</w:t>
      </w:r>
    </w:p>
    <w:p>
      <w:pPr>
        <w:pStyle w:val="Heading2"/>
      </w:pPr>
      <w:r>
        <w:t>890. PROJEKCJA ZMIAN WIELKOŚCI PLONÓW PSZENICY W POLSCE I UNII EUROPEJSKIEJ W LATACH 2030 I 2050 NA PODSTAWIE MODELU CAPRI</w:t>
      </w:r>
    </w:p>
    <w:p>
      <w:pPr>
        <w:pStyle w:val="SourceNote"/>
      </w:pPr>
      <w:r>
        <w:rPr>
          <w:b/>
        </w:rPr>
        <w:t>Original source (2015):</w:t>
      </w:r>
      <w:r>
        <w:t xml:space="preserve"> https://doi.org/10.22004/ag.econ.233132</w:t>
      </w:r>
    </w:p>
    <w:p>
      <w:pPr/>
      <w:r>
        <w:t>Original wording (abstract; indexed_source_text_not_full_document_verified): Based on the CAPRI model in 2030 , an average increase of 24% in wheat yield is projected in the 27 European Union countries compared to 2010. The aim of the study was to determine the dynamics of changes in wheat yield in Poland and the European Union in 2030 and 2050.</w:t>
      </w:r>
    </w:p>
    <w:p>
      <w:pPr/>
      <w:r>
        <w:rPr>
          <w:b/>
        </w:rPr>
        <w:t>POSSIBLE 2026:</w:t>
      </w:r>
      <w:r>
        <w:t xml:space="preserve"> EU Wide Disaggregated CAPRI Model Data: Crops, Livestock, Nitrogen In- and Outputs (Timeseries 2000-2018) — https://doi.org/10.1038/s41597-026-06919-8</w:t>
      </w:r>
    </w:p>
    <w:p>
      <w:pPr/>
      <w:r>
        <w:rPr>
          <w:b/>
        </w:rPr>
        <w:t>Shared claim-specific concepts:</w:t>
      </w:r>
      <w:r>
        <w:t xml:space="preserve"> capri, yield; EU scope visible. This is a provisional connection, not an outcome finding.</w:t>
      </w:r>
    </w:p>
    <w:p>
      <w:pPr>
        <w:pStyle w:val="SourceNote"/>
      </w:pPr>
      <w:r>
        <w:rPr>
          <w:b/>
        </w:rPr>
        <w:t>Available abstract (not full text):</w:t>
      </w:r>
      <w:r>
        <w:t xml:space="preserve"> The impacts of agricultural, environmental and climate change policies in Europe are investigated using the CAPRI (Common Agricultural Policy Regionalised Impact) model. Although the model runs at a regional level, primarily NUTS2, the underlying data have been spatially disaggregated to finer scale units called 'Farm Structure Units'. In this study we present these spatially disaggregated layers of agri-environmental variables for a time series from 2000 to 2018. This harmonized and spatially consistent data set includes crop types (area, yield), livestock types (totals and densities) and various parameters associated with nitrogen application and losses. These data can be used to calculate nitrogen budgets as well as providing inputs to biogeochemical or land management models.</w:t>
      </w:r>
    </w:p>
    <w:p>
      <w:pPr/>
      <w:r>
        <w:rPr>
          <w:b/>
        </w:rPr>
        <w:t>POSSIBLE 2025:</w:t>
      </w:r>
      <w:r>
        <w:t xml:space="preserve"> EU-level CAPRI impact assessment for the organic sector — https://openalex.org/W7154541293</w:t>
      </w:r>
    </w:p>
    <w:p>
      <w:pPr/>
      <w:r>
        <w:rPr>
          <w:b/>
        </w:rPr>
        <w:t>Shared claim-specific concepts:</w:t>
      </w:r>
      <w:r>
        <w:t xml:space="preserve"> capri, union; EU scope visible. This is a provisional connection, not an outcome finding.</w:t>
      </w:r>
    </w:p>
    <w:p>
      <w:pPr>
        <w:pStyle w:val="SourceNote"/>
      </w:pPr>
      <w:r>
        <w:rPr>
          <w:b/>
        </w:rPr>
        <w:t>Available abstract (not full text):</w:t>
      </w:r>
      <w:r>
        <w:t xml:space="preserve"> Achieving the European Union’s target of 25% organic farmland by 2030 is a cornerstone of the Farm-to-Fork and Biodiversity Strategies under the European Green Deal. Meeting this objective requires a profound transformation of European agriculture within a very short timeframe and across highly diverse national and regional contexts. Policymakers face two central challenges: understanding how organic expansion may unfold spatially under different drivers and assessing the economic and environmental implications of such a transition. This report addresses both challenges by combining a novel projection framework for organic area expansion with a comprehensive modelling of sectoral impacts using the CAPRI model.</w:t>
      </w:r>
    </w:p>
    <w:p>
      <w:pPr/>
      <w:r>
        <w:rPr>
          <w:b/>
        </w:rPr>
        <w:t>POSSIBLE 2025:</w:t>
      </w:r>
      <w:r>
        <w:t xml:space="preserve"> Effect of different treatments on the dissipation and persistence of iodosulfuron-methyl applied in soils with wheat crop under greenhouse conditions — https://doi.org/10.1016/j.ecoenv.2025.118454</w:t>
      </w:r>
    </w:p>
    <w:p>
      <w:pPr/>
      <w:r>
        <w:rPr>
          <w:b/>
        </w:rPr>
        <w:t>Shared claim-specific concepts:</w:t>
      </w:r>
      <w:r>
        <w:t xml:space="preserve"> average, wheat, compared; EU scope visible. This is a provisional connection, not an outcome finding.</w:t>
      </w:r>
    </w:p>
    <w:p>
      <w:pPr>
        <w:pStyle w:val="SourceNote"/>
      </w:pPr>
      <w:r>
        <w:rPr>
          <w:b/>
        </w:rPr>
        <w:t>Available abstract (not full text):</w:t>
      </w:r>
      <w:r>
        <w:t xml:space="preserve"> The herbicides used on primary crops in rotational agriculture may be phytotoxic for subsequent ones, and their behaviour needs to be studied under different soil, climate, and agronomic conditions. This research therefore sought to study the effect of different agronomic treatments (i.e., application of organic amendment, and different herbicide doses and irrigation regimes) on the dissipation and persistence of the herbicide iodosulfuron-methyl-sodium applied to post-emergence wheat in two agricultural soils under controlled greenhouse conditions. Two soils with different pH (4.4 for SA and 6.0 for SB) were sampled from the Muñovela farm (NW Spain) and amended with green compost (GC) at 2.5 % (w/w) (SA+GC and SB+GC). Wheat was sown in pots with unamended and amended soils. Each soil was treated with two herbicide doses (D1, agronomic dose, and D2, double dose) and under two irrigation regimes (AR, average rainfall, and MR, minimum rainfall). To study the persistence of the herbicide, the dissipation curve was obtained by plotting the percentage of herbicide remaining in samples of the surface soil collected from all the pots at different times (0–56 days), determined by HPLC-MS versus time, and the data were fitted to different kinetic models to calculate the half-life (DT 50 ). The amounts of the herbicide remaining in the soil profiles were quantified for the different trea</w:t>
      </w:r>
    </w:p>
    <w:p>
      <w:pPr/>
      <w:r>
        <w:rPr>
          <w:b/>
        </w:rPr>
        <w:t>POSSIBLE 2024:</w:t>
      </w:r>
      <w:r>
        <w:t xml:space="preserve"> European maps of crop / livestock categories and N budget parameters (timeseries 2000 – 2018) based on disaggregated CAPRI model data — https://doi.org/10.5194/egusphere-egu24-18505</w:t>
      </w:r>
    </w:p>
    <w:p>
      <w:pPr/>
      <w:r>
        <w:rPr>
          <w:b/>
        </w:rPr>
        <w:t>Shared claim-specific concepts:</w:t>
      </w:r>
      <w:r>
        <w:t xml:space="preserve"> based, capri; EU scope visible. This is a provisional connection, not an outcome finding.</w:t>
      </w:r>
    </w:p>
    <w:p>
      <w:pPr>
        <w:pStyle w:val="SourceNote"/>
      </w:pPr>
      <w:r>
        <w:rPr>
          <w:b/>
        </w:rPr>
        <w:t>Available abstract (not full text):</w:t>
      </w:r>
      <w:r>
        <w:t xml:space="preserve"> The agricultural sector holds the greatest reduction potential to limit adverse effects of reactive nitrogen in the environment. Assessing the negative impacts of excessive release of reactive nitrogen into the biosphere requires spatially explicit information to capture e.g. hot spots of nitrogen surplus, nitrogen use efficiency, the impact on sensitive ecosystems or on ground/drinking water quality.The agricultural economic model CAPRI is one of the main tools applied by the European Commission for the ex-ante analysis of the impact of agricultural policies and agro-environmental legislation at regional level (NUTS2) in Europe. CAPRI builds on long-term time series of regional, national and international agricultural statistics (e.g. crop and livestock production, fertilizer use), market and trade data. Inputs (e.g. inorganic fertilizer) in CAPRI are explicitly linked to production which delivers the basis for connecting environmental indicators (e.g. nitrogen surplus) directly to individual activities.To provide the link between the agro-economic model CAPRI and the impact assessment of nitrogen use in agriculture on the environment at higher spatial resolution, we developed a procedure to disaggregate CAPRI regional data and provide maps of nitrogen input/output, crop and livestock production for the time series 2000 – 2018 at the level of Farm Structure Units (FSU) for 26 </w:t>
      </w:r>
    </w:p>
    <w:p>
      <w:pPr/>
      <w:r>
        <w:rPr>
          <w:b/>
        </w:rPr>
        <w:t>POSSIBLE 2023:</w:t>
      </w:r>
      <w:r>
        <w:t xml:space="preserve"> Impact of AlphaFold on structure prediction of protein complexes: The CASP15‐CAPRI experiment — https://doi.org/10.1002/prot.26609</w:t>
      </w:r>
    </w:p>
    <w:p>
      <w:pPr/>
      <w:r>
        <w:rPr>
          <w:b/>
        </w:rPr>
        <w:t>Shared claim-specific concepts:</w:t>
      </w:r>
      <w:r>
        <w:t xml:space="preserve"> based, capri, average, compared; EU scope not established. This is a provisional connection, not an outcome finding.</w:t>
      </w:r>
    </w:p>
    <w:p>
      <w:pPr>
        <w:pStyle w:val="SourceNote"/>
      </w:pPr>
      <w:r>
        <w:rPr>
          <w:b/>
        </w:rPr>
        <w:t>Available abstract (not full text):</w:t>
      </w:r>
      <w:r>
        <w:t xml:space="preserve"> We present the results for CAPRI Round 54, the 5th joint CASP-CAPRI protein assembly prediction challenge. The Round offered 37 targets, including 14 homodimers, 3 homo-trimers, 13 heterodimers including 3 antibody-antigen complexes, and 7 large assemblies. On average ~70 CASP and CAPRI predictor groups, including more than 20 automatics servers, submitted models for each target. A total of 21 941 models submitted by these groups and by 15 CAPRI scorer groups were evaluated using the CAPRI model quality measures and the DockQ score consolidating these measures. The prediction performance was quantified by a weighted score based on the number of models of acceptable quality or higher submitted by each group among their five best models. Results show substantial progress achieved across a significant fraction of the 60+ participating groups. High-quality models were produced for about 40% of the targets compared to 8% two years earlier. This remarkable improvement is due to the wide use of the AlphaFold2 and AlphaFold2-Multimer software and the confidence metrics they provide. Notably, expanded sampling of candidate solutions by manipulating these deep learning inference engines, enriching multiple sequence alignments, or integration of advanced modeling tools, enabled top performing groups to exceed the performance of a standard AlphaFold2-Multimer version used as a yard stick. </w:t>
      </w:r>
    </w:p>
    <w:p>
      <w:pPr/>
      <w:r>
        <w:rPr>
          <w:b/>
        </w:rPr>
        <w:t>POSSIBLE 2023:</w:t>
      </w:r>
      <w:r>
        <w:t xml:space="preserve"> A simple method for preserving pollen viability and longevity in wheat — https://doi.org/10.21203/rs.3.rs-2580944/v1</w:t>
      </w:r>
    </w:p>
    <w:p>
      <w:pPr/>
      <w:r>
        <w:rPr>
          <w:b/>
        </w:rPr>
        <w:t>Shared claim-specific concepts:</w:t>
      </w:r>
      <w:r>
        <w:t xml:space="preserve"> based, wheat, determine; EU scope not established. This is a provisional connection, not an outcome finding.</w:t>
      </w:r>
    </w:p>
    <w:p>
      <w:pPr>
        <w:pStyle w:val="SourceNote"/>
      </w:pPr>
      <w:r>
        <w:rPr>
          <w:b/>
        </w:rPr>
        <w:t>Available abstract (not full text):</w:t>
      </w:r>
      <w:r>
        <w:t xml:space="preserve"> Abstract Wheat pollen grains have very short longevity and are non-viable after ~30 minute at room temperature and ~60 minutes at 4°C. Pollen grain viability can be prolonged to ~24 hrs with existing anther preservation methods. Herein, we developed a new and very simple method of spike preservation to prolong pollen viability up to 1 week. The present study was evaluated to determine the effect of storage temperature and duration on the viability and in vitro germination of pollen grains of 50 spring wheat genotypes from two preservation methods of pollens viz, Anther preservation method and Spike preservation method. Pollens collected from both methods were stored at room temperature (22°C), fridge (4°C) for 0 and 1 week. Pollen viability were assessed using Alexander staining techniques with both methods at storage conditions 22°C and 4°C. In vitro germination was determined using liquid germination medium with both methods at 4°C. The results revealed that the pollen viability and in vitro germination as determined by Spike preservation method was highest when pollens were stored at 4°C up to 1 week. In addition, in vitro pollen germination and pollen viability significantly reduced as storage duration increased. It was recorded, that no pollen germination was observed under anther preservation method at storage conditions 4°C after 1 week while 2 to 14% pollen germination </w:t>
      </w:r>
    </w:p>
    <w:p>
      <w:pPr/>
      <w:r>
        <w:rPr>
          <w:b/>
        </w:rPr>
        <w:t>POSSIBLE 2021:</w:t>
      </w:r>
      <w:r>
        <w:t xml:space="preserve"> Improved modelling framework for assessing the interactions between the energy, agriculture, forestry and land use change sectors: Integrating the CAPRI, LUISA-BEES, CBM and POTEnCIA models — https://doi.org/10.2760/900305</w:t>
      </w:r>
    </w:p>
    <w:p>
      <w:pPr/>
      <w:r>
        <w:rPr>
          <w:b/>
        </w:rPr>
        <w:t>Shared claim-specific concepts:</w:t>
      </w:r>
      <w:r>
        <w:t xml:space="preserve"> based, capri, dynamics; EU scope visible. This is a provisional connection, not an outcome finding.</w:t>
      </w:r>
    </w:p>
    <w:p>
      <w:pPr>
        <w:pStyle w:val="SourceNote"/>
      </w:pPr>
      <w:r>
        <w:rPr>
          <w:b/>
        </w:rPr>
        <w:t>Available abstract (not full text):</w:t>
      </w:r>
      <w:r>
        <w:t xml:space="preserve"> This report is an attempt to develop a modelling framework integrating different sectoral stand-alone models used at the JRC for policy impact assessment in the fields of agriculture, forestry, land use change and energy. The proposed quantitative framework should improve the capability of assessing greenhouse gas emissions and removals resulting from complex interactions between the agriculture, forestry, and other land use (AFOLU) sectors, and facilitate the analysis of policy scenarios relevant for a sustainable and carbon-neutral European economy. Four models are considered, for which a revised model specification and harmonization of relevant databases and model parameters is needed. The Common Agricultural Policy Regionalized Impact (CAPRI) Modelling System is a widely used large-scale multi-commodity agricultural economic model. The Land Use-based Integrated Sustainability Assessment modelling platform for BioEconomy and Ecosystem Services (LUISA-BEES) is primarily used for the ex-ante evaluation of European policies that have a direct or indirect territorial impact on the agricultural and forestry sectors. The Carbon Budget Model (CBM) is a stand-alone forestry model that simulates forest carbon dynamics. The Policy Oriented Tool for Energy and Climate Change Impact Assessment (POTEnCIA) model depicts a detailed EU energy system combining both techno-economic modules. A</w:t>
      </w:r>
    </w:p>
    <w:p>
      <w:pPr/>
      <w:r>
        <w:rPr>
          <w:b/>
        </w:rPr>
        <w:t>POSSIBLE 2021:</w:t>
      </w:r>
      <w:r>
        <w:t xml:space="preserve"> Co-benefits of a flexitarian diet for air quality and human health in Europe — https://doi.org/10.1016/j.ecolecon.2021.107232</w:t>
      </w:r>
    </w:p>
    <w:p>
      <w:pPr/>
      <w:r>
        <w:rPr>
          <w:b/>
        </w:rPr>
        <w:t>Shared claim-specific concepts:</w:t>
      </w:r>
      <w:r>
        <w:t xml:space="preserve"> capri, union; EU scope visible. This is a provisional connection, not an outcome finding.</w:t>
      </w:r>
    </w:p>
    <w:p>
      <w:pPr>
        <w:pStyle w:val="SourceNote"/>
      </w:pPr>
      <w:r>
        <w:rPr>
          <w:b/>
        </w:rPr>
        <w:t>Available abstract (not full text):</w:t>
      </w:r>
      <w:r>
        <w:t xml:space="preserve"> Agriculture is a major source of air pollution in Europe, with adverse impacts on human health. Having recognized the serious health outcomes, and in direct response to public demand for a cleaner environment, European public policies are aiming to reduce air pollution. This study proposes a shift to more plant-based human diets to help achieve bold reduction targets for air pollution from agriculture. To assess the potential reduction in agricultural air pollution, we combine a large-scale partial equilibrium model for agriculture (CAPRI) with an atmospheric chemistry model (WRF-Chem). The health impacts from improved air quality are summarized as premature mortality rates, which are estimated from simulated changes in annual mean PM2.5 concentrations. We find that a shift to plant-based (flexitarian) diets would reduce ammonia emissions by 33% in the European Union (EU), generating significant co-benefits for air quality and human health. The economic benefits from improved human health would also largely mitigate the economic losses in the agricultural sector (39% in the EU and 49% in Europe as a whole). Our results suggest that, by shifting to plant-based human diets, European agriculture could significantly contribute to the targets in the EU Zero Pollution Action Plan.</w:t>
      </w:r>
    </w:p>
    <w:p>
      <w:pPr/>
      <w:r>
        <w:rPr>
          <w:b/>
        </w:rPr>
        <w:t>POSSIBLE 2020:</w:t>
      </w:r>
      <w:r>
        <w:t xml:space="preserve"> European Agriculture after Brexit: Does Anyone Benefit from the Divorce? — https://doi.org/10.1111/1477-9552.12396</w:t>
      </w:r>
    </w:p>
    <w:p>
      <w:pPr/>
      <w:r>
        <w:rPr>
          <w:b/>
        </w:rPr>
        <w:t>Shared claim-specific concepts:</w:t>
      </w:r>
      <w:r>
        <w:t xml:space="preserve"> capri, increase; EU scope visible. This is a provisional connection, not an outcome finding.</w:t>
      </w:r>
    </w:p>
    <w:p>
      <w:pPr>
        <w:pStyle w:val="SourceNote"/>
      </w:pPr>
      <w:r>
        <w:rPr>
          <w:b/>
        </w:rPr>
        <w:t>Available abstract (not full text):</w:t>
      </w:r>
      <w:r>
        <w:t xml:space="preserve"> Abstract The UK exited the EU on 31 January 2020, with a transition period agreed as part of the Withdrawal Agreement. During this transition period the UK and the EU will decide on their future trading relationship. No matter what form this relationship takes, there will be disturbances to agri‐food markets. This study analyses four different scenarios with increasing barriers to trade, ranging from a very close relationship similar to the European Economic Area to a distant relationship in which the UK and EU trade on Most Favoured Nation terms, using the EU focused global agricultural sector model CAPRI. In the UK, food prices will increase in all scenarios, making consumers in the UK the biggest losers. Only in a free trade agreement scenario does the UK show an unambiguous positive net welfare gain in just the agri‐food sector. In the case of the European Economic Area scenario, which assumes continued access to the single market, the net welfare impact would depend on the size of the UK’s continued contribution to the EU. In the EU, declining food prices would benefit consumers but the sum of the loss in farmers’ incomes and the UK’s EU CAP contribution would be much greater than the consumer’s gain. These impacts in agricultural markets under different future trade arrangements will also be influenced by the UK’s agricultural policy changes in direct payments as well as </w:t>
      </w:r>
    </w:p>
    <w:p>
      <w:pPr/>
      <w:r>
        <w:rPr>
          <w:b/>
        </w:rPr>
        <w:t>POSSIBLE 2020:</w:t>
      </w:r>
      <w:r>
        <w:t xml:space="preserve"> To Study the Heat Resistance Features of Bread Wheat Varieties and Species for the Southern Regions of the Republic of Uzbekistan — https://doi.org/10.24247/ijmperdjun20201342</w:t>
      </w:r>
    </w:p>
    <w:p>
      <w:pPr/>
      <w:r>
        <w:rPr>
          <w:b/>
        </w:rPr>
        <w:t>Shared claim-specific concepts:</w:t>
      </w:r>
      <w:r>
        <w:t xml:space="preserve"> wheat, yield, determine; EU scope not established. This is a provisional connection, not an outcome finding.</w:t>
      </w:r>
    </w:p>
    <w:p>
      <w:pPr>
        <w:pStyle w:val="SourceNote"/>
      </w:pPr>
      <w:r>
        <w:rPr>
          <w:b/>
        </w:rPr>
        <w:t>Available abstract (not full text):</w:t>
      </w:r>
      <w:r>
        <w:t xml:space="preserve"> Wheat (Triticum aestivum L.) is considered one of the world's most important cereal crops.Every year 704 million tons of grain is produced worldwide.Bread wheat croplands cover 17% of the total crop area.In recent years, sudden changes in air temperatures have a negative impact on the morphological, physiological, biochemical and molecular properties of wheat and grain yield.Therefore, it is important to create high-yielding and resistant varieties of bread wheat to abiotic factors and to develop its primary source in the condition of different regions.In the result of this study, the influence of high temperature which varied from 30°С and above continuously during spiking and maturation period of grain, especially in the period of grain filling, on grain quality and productivity has been studied thoroughly for southern parts of Uzbekistan.Mostly, winter bread wheat varieties are grown in these southern regions.The optimal sowing time in autumn season is the second decade of October.In order to determine the heat resistance of the winter wheat varieties that are mostly grown in the Republic and selected in the result of breeding, the experiments and observations were carried out on optimal and late sowing periods.The optimal planting time was found to be appropriate on the 15 th of October and for late sowing the 15 th of November.At the same time, late sown varieties and samp</w:t>
      </w:r>
    </w:p>
    <w:p>
      <w:pPr/>
      <w:r>
        <w:rPr>
          <w:b/>
        </w:rPr>
        <w:t>POSSIBLE 2020:</w:t>
      </w:r>
      <w:r>
        <w:t xml:space="preserve"> SUPREMA - SUpport for Policy RElevant Modelling of Agriculture — https://doi.org/10.2905/d6ef74c6-ba91-4e37-827e-d0854fbe85dd</w:t>
      </w:r>
    </w:p>
    <w:p>
      <w:pPr/>
      <w:r>
        <w:rPr>
          <w:b/>
        </w:rPr>
        <w:t>Shared claim-specific concepts:</w:t>
      </w:r>
      <w:r>
        <w:t xml:space="preserve"> based, capri, union, compared; EU scope visible. This is a provisional connection, not an outcome finding.</w:t>
      </w:r>
    </w:p>
    <w:p>
      <w:pPr>
        <w:pStyle w:val="SourceNote"/>
      </w:pPr>
      <w:r>
        <w:rPr>
          <w:b/>
        </w:rPr>
        <w:t>Available abstract (not full text):</w:t>
      </w:r>
      <w:r>
        <w:t xml:space="preserve"> Impact assessments for agriculture are partly based on projections delivered by models. Sectoral policies are becoming more and more interrelated. Hence, there is a need to improve the capacity of current models, connect them or redesign them to deliver on an increasing variety of policy objectives, and to explore future directions for agricultural modelling in Europe. SUPREMA (SUpport for Policy RElevant Modelling of Agriculture) is a project that has received funding from the European Union’s Horizon 2020 research and innovation programme (under grant agreement No 773499 SUPREMA) and that came to address this challenge by proposing a meta-platform that supports modelling groups linked already through various other platforms and networks. SUPREMA should help close the gaps between expectations of policy makers and the actual capacity of models to deliver relevant policy analysis. The SUPREMA model family includes a set of ‘core models’ that are already used in support of key European impact assessments in agriculture, trade, climate and bioenergy policies. One of the work-packages of the project ("Testing the SUPREMA model family") had the objective of testing the SUPREMA model family comparing model outcomes of three applications, including: (i) harmonize baseline assumptions and to the extent possible align baseline projections across models in the platform, and (ii) showcas</w:t>
      </w:r>
    </w:p>
    <w:p>
      <w:pPr/>
      <w:r>
        <w:rPr>
          <w:b/>
        </w:rPr>
        <w:t>POSSIBLE 2020:</w:t>
      </w:r>
      <w:r>
        <w:t xml:space="preserve"> SUPREMA - SUpport for Policy RElevant Modelling of Agriculture — https://doi.org/10.2905/jrc.jf073rr</w:t>
      </w:r>
    </w:p>
    <w:p>
      <w:pPr/>
      <w:r>
        <w:rPr>
          <w:b/>
        </w:rPr>
        <w:t>Shared claim-specific concepts:</w:t>
      </w:r>
      <w:r>
        <w:t xml:space="preserve"> based, capri, union, compared; EU scope visible. This is a provisional connection, not an outcome finding.</w:t>
      </w:r>
    </w:p>
    <w:p>
      <w:pPr>
        <w:pStyle w:val="SourceNote"/>
      </w:pPr>
      <w:r>
        <w:rPr>
          <w:b/>
        </w:rPr>
        <w:t>Available abstract (not full text):</w:t>
      </w:r>
      <w:r>
        <w:t xml:space="preserve"> Impact assessments for agriculture are partly based on projections delivered by models. Sectoral policies are becoming more and more interrelated. Hence, there is a need to improve the capacity of current models, connect them or redesign them to deliver on an increasing variety of policy objectives, and to explore future directions for agricultural modelling in Europe. SUPREMA (SUpport for Policy RElevant Modelling of Agriculture) is a project that has received funding from the European Union’s Horizon 2020 research and innovation programme (under grant agreement No 773499 SUPREMA) and that came to address this challenge by proposing a meta-platform that supports modelling groups linked already through various other platforms and networks. SUPREMA should help close the gaps between expectations of policy makers and the actual capacity of models to deliver relevant policy analysis. The SUPREMA model family includes a set of ‘core models’ that are already used in support of key European impact assessments in agriculture, trade, climate and bioenergy policies. One of the work-packages of the project ("Testing the SUPREMA model family") had the objective of testing the SUPREMA model family comparing model outcomes of three applications, including: (i) harmonize baseline assumptions and to the extent possible align baseline projections across models in the platform, and (ii) showcas</w:t>
      </w:r>
    </w:p>
    <w:p>
      <w:pPr>
        <w:pStyle w:val="Heading2"/>
      </w:pPr>
      <w:r>
        <w:t>891. Population Projections and Demographic Knowledge in France and Great Britain in the Postwar Period</w:t>
      </w:r>
    </w:p>
    <w:p>
      <w:pPr>
        <w:pStyle w:val="SourceNote"/>
      </w:pPr>
      <w:r>
        <w:rPr>
          <w:b/>
        </w:rPr>
        <w:t>Original source (2015):</w:t>
      </w:r>
      <w:r>
        <w:t xml:space="preserve"> https://doi.org/10.1111/j.1728-4457.2015.00047.x</w:t>
      </w:r>
    </w:p>
    <w:p>
      <w:pPr/>
      <w:r>
        <w:t>Original wording (abstract; indexed_source_text_not_full_document_verified): In France, publication of multiple variants emphasized future contingency, with low variants illustrating future population decline due to prolonged below‐replacement fertility. National population projections thus created divergent representations of the two countries' demographic futures: an ever‐present threat of population decline in France, and a reassuring image of stability in Britain.</w:t>
      </w:r>
    </w:p>
    <w:p>
      <w:pPr/>
      <w:r>
        <w:rPr>
          <w:b/>
        </w:rPr>
        <w:t>POSSIBLE 2026:</w:t>
      </w:r>
      <w:r>
        <w:t xml:space="preserve"> Control and Contingency — https://doi.org/10.13135/2280-8574/13657</w:t>
      </w:r>
    </w:p>
    <w:p>
      <w:pPr/>
      <w:r>
        <w:rPr>
          <w:b/>
        </w:rPr>
        <w:t>Shared claim-specific concepts:</w:t>
      </w:r>
      <w:r>
        <w:t xml:space="preserve"> france, contingency, two; EU scope visible. This is a provisional connection, not an outcome finding.</w:t>
      </w:r>
    </w:p>
    <w:p>
      <w:pPr>
        <w:pStyle w:val="SourceNote"/>
      </w:pPr>
      <w:r>
        <w:rPr>
          <w:b/>
        </w:rPr>
        <w:t>Available abstract (not full text):</w:t>
      </w:r>
      <w:r>
        <w:t xml:space="preserve"> In his stimulating book As Gods Among Men, Guido Alfani argues that the rich were newly accepted during the early modern period (1400–1800), winning an unprecedented measure of approval in many European societies. This article tests Alfani’s idea of wealth consolidation in early modernity from the perspective of the visual arts, paying initial attention to the rise of portraiture as a vehicle through which the rich presented themselves more openly as the worthy leaders of society, appearing to consolidate their position of privilege. Even within this apparently supportive image type, however, indications of monetary ricchezza were often downplayed. Two further sections explore these tendencies towards the semi-concealment and the mediation of monetary wealth in a wider range of image types and media. Taking as my case studies works produced in Italy, Great Britain, the Dutch Republic, France, Spain and Germany, I argue that motives of visual deflection and ambiguation regarding the condition of material wealth were more characteristic of early modernity that its open display. My discussion of these works will suggest that they do not straightforwardly reflect the consolidation of the European rich as leading social and cultural players. Much of this imagery suggests instead a developing proto-modern sense that all material advantage and associated high social position is highly</w:t>
      </w:r>
    </w:p>
    <w:p>
      <w:pPr/>
      <w:r>
        <w:rPr>
          <w:b/>
        </w:rPr>
        <w:t>POSSIBLE 2025:</w:t>
      </w:r>
      <w:r>
        <w:t xml:space="preserve"> Labour unrest in the context of multiple crises: a comparative perspective of Europe — https://doi.org/10.1080/14742837.2025.2562879</w:t>
      </w:r>
    </w:p>
    <w:p>
      <w:pPr/>
      <w:r>
        <w:rPr>
          <w:b/>
        </w:rPr>
        <w:t>Shared claim-specific concepts:</w:t>
      </w:r>
      <w:r>
        <w:t xml:space="preserve"> multiple, national, two, countries; EU scope visible. This is a provisional connection, not an outcome finding.</w:t>
      </w:r>
    </w:p>
    <w:p>
      <w:pPr>
        <w:pStyle w:val="SourceNote"/>
      </w:pPr>
      <w:r>
        <w:rPr>
          <w:b/>
        </w:rPr>
        <w:t>Available abstract (not full text):</w:t>
      </w:r>
      <w:r>
        <w:t xml:space="preserve"> By presenting the first comparative data of trade union and workers’ protests since Covid-19, based on local sources, this article attempts to fill a significant gap in the empirical research on cross-country comparisons of labour mobilizations. The findings indicate a high level of labour protest activity, with trade unions driving most mobilizations. While elements of social movement unionism can be found in all analysed countries, their intensity and scope vary significantly. We find two patterns in alliance building: the cross-movement coalition in Italy and Greece, where trade unions, grassroots organizations, and social movements unite in major campaigns and the trade union movement coalition pattern prevailing in Belgium, Bulgaria, and Romania, where confederations and federations primarily ally within a given sector or nationally in large-scale protests, with minimal engagement with other civil society actors. Protest tactics also differ across national traditions. In post-socialist states, strikes have diminished in favour of other forms of social movement repertoire, such as demonstrations and rallies. In contrast, in Belgium, Greece, and Italy, strikes remain a key strategy for the labour movement. Finally, our analysis highlights variations in systemic mobilization and differences in public and private sector protests across countries, with Greece exhibiting the hig</w:t>
      </w:r>
    </w:p>
    <w:p>
      <w:pPr/>
      <w:r>
        <w:rPr>
          <w:b/>
        </w:rPr>
        <w:t>POSSIBLE 2024:</w:t>
      </w:r>
      <w:r>
        <w:t xml:space="preserve"> A unifying modelling of multiple land degradation pathways in Europe — https://doi.org/10.1038/s41467-024-48252-x</w:t>
      </w:r>
    </w:p>
    <w:p>
      <w:pPr/>
      <w:r>
        <w:rPr>
          <w:b/>
        </w:rPr>
        <w:t>Shared claim-specific concepts:</w:t>
      </w:r>
      <w:r>
        <w:t xml:space="preserve"> multiple, national, two, countries;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2024:</w:t>
      </w:r>
      <w:r>
        <w:t xml:space="preserve"> Constructing the “moralization shock”: The role of contingency in the translation of anticorruption policy in France — https://doi.org/10.1002/epa2.1231</w:t>
      </w:r>
    </w:p>
    <w:p>
      <w:pPr/>
      <w:r>
        <w:rPr>
          <w:b/>
        </w:rPr>
        <w:t>Shared claim-specific concepts:</w:t>
      </w:r>
      <w:r>
        <w:t xml:space="preserve"> france, contingency, two; EU scope visible. This is a provisional connection, not an outcome finding.</w:t>
      </w:r>
    </w:p>
    <w:p>
      <w:pPr>
        <w:pStyle w:val="SourceNote"/>
      </w:pPr>
      <w:r>
        <w:rPr>
          <w:b/>
        </w:rPr>
        <w:t>Available abstract (not full text):</w:t>
      </w:r>
      <w:r>
        <w:t xml:space="preserve"> Abstract This article applies the concept of transaction to the process of policy transfer, through the case of conflict of interest regulation in France, using archives, documentary sources, and interviews with stakeholders. It contributes to the literature on policy translation by clarifying the role of contingency , which remains underspecified. It shows that timing matters in two ways: it affects actors' ability to open a policy window, and it ultimately affects problem definition and future implementation instruments and practices. It explores the construction of the situation as a scandal, making it necessary to adapt transferred ideas to the political context, where a “shock of moralization” was seen as necessary. It also offers an opportunity to enrich the scholarship on policy transaction with an application to transnational policymaking, where problem definitions and policy solutions are imported from elsewhere and where foreign or transnational actors contribute to the co‐construction of actors and issues.</w:t>
      </w:r>
    </w:p>
    <w:p>
      <w:pPr/>
      <w:r>
        <w:rPr>
          <w:b/>
        </w:rPr>
        <w:t>POSSIBLE 2024:</w:t>
      </w:r>
      <w:r>
        <w:t xml:space="preserve"> Frailty among the 50+ in France and in Europe. Two decades of trends and inequalities based on SHARE — https://openalex.org/W4402705049</w:t>
      </w:r>
    </w:p>
    <w:p>
      <w:pPr/>
      <w:r>
        <w:rPr>
          <w:b/>
        </w:rPr>
        <w:t>Shared claim-specific concepts:</w:t>
      </w:r>
      <w:r>
        <w:t xml:space="preserve"> france, publication, two; EU scope visible. This is a provisional connection, not an outcome finding.</w:t>
      </w:r>
    </w:p>
    <w:p>
      <w:pPr>
        <w:pStyle w:val="SourceNote"/>
      </w:pPr>
      <w:r>
        <w:rPr>
          <w:b/>
        </w:rPr>
        <w:t>Available abstract (not full text):</w:t>
      </w:r>
      <w:r>
        <w:t xml:space="preserve"> EN SOCIÉTÉ La fragilité chez les 50 ans et plus en France et en Europe.Deux décennies d'évolution et d'inégalités à partir des données de l'enquête SHARE * * * Ce travail a bénéficié du soutien de la Caisse Nationale de Solidarité pour l'Autonomie (CNSA).Nous remercions Nicolas Sirven, Marie-Anne Brieu, Didier Halimi et Françoise Forette pour leur contribution à une première étude sur cette thématique avec le soutien d'ILC-France qui avait donné lieu à une première publication (Arnault et al., 2019).* * * La fragilité est un état de vulnérabilité accrue des personnes âgées, qui constitue un signal d'alerte du risque de perte d'autonomie et qui peut être freiné voire résorbé par des mesures de prévention appropriées ou une prise en charge précoce.Multidimensionnelle et multifactorielle par nature, la fragilité a donné lieu à de nombreux travaux de conceptualisation et de mesure à l'aide d'échelles et de scores spécifiques.Parmi les différentes approches existantes, le phénotype de fragilité proposé par Fried et al (2001) constitue un outil de référence par sa simplicité et son pouvoir discriminant.Il repose sur une conception de la fragilité comme dégradation de cinq attributs fonctionnels de référence (énergie, mobilité, activité physique, poids, force musculaire) facile à opérationnaliser à partir de données d'enquête adéquates.Les inégalités sociales de fragilité en termes d'</w:t>
      </w:r>
    </w:p>
    <w:p>
      <w:pPr/>
      <w:r>
        <w:rPr>
          <w:b/>
        </w:rPr>
        <w:t>POSSIBLE 2022:</w:t>
      </w:r>
      <w:r>
        <w:t xml:space="preserve"> Encountering Diversity in France and “Eurafrica” — https://doi.org/10.7591/cornell/9781501765605.003.0005</w:t>
      </w:r>
    </w:p>
    <w:p>
      <w:pPr/>
      <w:r>
        <w:rPr>
          <w:b/>
        </w:rPr>
        <w:t>Shared claim-specific concepts:</w:t>
      </w:r>
      <w:r>
        <w:t xml:space="preserve"> france, multiple, population; EU scope visible. This is a provisional connection, not an outcome finding.</w:t>
      </w:r>
    </w:p>
    <w:p>
      <w:pPr>
        <w:pStyle w:val="SourceNote"/>
      </w:pPr>
      <w:r>
        <w:rPr>
          <w:b/>
        </w:rPr>
        <w:t>Available abstract (not full text):</w:t>
      </w:r>
      <w:r>
        <w:t xml:space="preserve"> This chapter focuses on African students in European France in the 1950s. It looks at the European institution building that reframed the urgency of educating Africans—whether in France or French Africa—as a crucial building block in the construction of the modernist, technocratic project of “Eurafrica.” The chapter begins by considering the process of brassage, a term that can mean either intermixing or incorporation. French and African leaders championed brassage as a way to overcome the legacies of racism and colonialism. Despite its modest size, the African student population in France in the 1950s has generated considerable scholarly interest. The extant literature focuses on how African students and youth leaders inserted themselves in the process of decolonization by founding their own networks of associations, publications, and syndicalist movements. African students grouped themselves along multiple axes, including territory and religion, but they also transcended those divisions in a federated Black African student union, the Fédération des étudiants d'Afrique noire en France (FEANF). The literature also details French responses to African student mobilizations, particularly the surveillance of African youth and censorship of their journals.</w:t>
      </w:r>
    </w:p>
    <w:p>
      <w:pPr/>
      <w:r>
        <w:rPr>
          <w:b/>
        </w:rPr>
        <w:t>POSSIBLE 2022:</w:t>
      </w:r>
      <w:r>
        <w:t xml:space="preserve"> Domesticating models: On the contingency of Covid-19 modelling in UK media and policy — https://doi.org/10.1177/03063127221126166</w:t>
      </w:r>
    </w:p>
    <w:p>
      <w:pPr/>
      <w:r>
        <w:rPr>
          <w:b/>
        </w:rPr>
        <w:t>Shared claim-specific concepts:</w:t>
      </w:r>
      <w:r>
        <w:t xml:space="preserve"> emphasized, contingency, projections, thus; EU scope not established. This is a provisional connection, not an outcome finding.</w:t>
      </w:r>
    </w:p>
    <w:p>
      <w:pPr>
        <w:pStyle w:val="SourceNote"/>
      </w:pPr>
      <w:r>
        <w:rPr>
          <w:b/>
        </w:rPr>
        <w:t>Available abstract (not full text):</w:t>
      </w:r>
      <w:r>
        <w:t xml:space="preserve"> Our article traces the representation of pandemic modelling in UK print media from the emergence of Covid-19 to the early stages of implementing the first UK-wide lockdown in late March 2020. Covid modelling, it is widely assumed, has shaped policy decisions and public responses to the pandemic in unprecedented ways. We analyse how the UK print media has configured modelling as a significant evidence tool in the representation of the pandemic. Interrogating assumptions about infectious disease modelling, we ask why models became the trusted tool of choice for knowing and responding to the Covid pandemic in the UK. Our analysis has yielded four different periods in the evolution of intersecting policy and media frames. Initially, modellers, policymakers and media alike emphasized uncertainty about available data, and hence the speculative character of modelled projections, thus justifying a 'wait and see' approach to government intervention. With growing public pressure for government action, policy and media frames were adjusted to emphasize the importance of timing interventions for best effect, with modelling evidence mobilized to justify inaction. This gave way to a period of crisis, as the press increasingly questioned the reliability of the existing models and policies, leading modellers and policy makers to dramatically revise their projections. Finally, with the impositi</w:t>
      </w:r>
    </w:p>
    <w:p>
      <w:pPr/>
      <w:r>
        <w:rPr>
          <w:b/>
        </w:rPr>
        <w:t>POSSIBLE 2022:</w:t>
      </w:r>
      <w:r>
        <w:t xml:space="preserve"> Valentin and his Wild Brother in European Literature: How French is a French Romance? — https://doi.org/10.54103/interfaces-09-08</w:t>
      </w:r>
    </w:p>
    <w:p>
      <w:pPr/>
      <w:r>
        <w:rPr>
          <w:b/>
        </w:rPr>
        <w:t>Shared claim-specific concepts:</w:t>
      </w:r>
      <w:r>
        <w:t xml:space="preserve"> low, national, two; EU scope visible. This is a provisional connection, not an outcome finding.</w:t>
      </w:r>
    </w:p>
    <w:p>
      <w:pPr>
        <w:pStyle w:val="SourceNote"/>
      </w:pPr>
      <w:r>
        <w:rPr>
          <w:b/>
        </w:rPr>
        <w:t>Available abstract (not full text):</w:t>
      </w:r>
      <w:r>
        <w:t xml:space="preserve"> The medieval romance about the two brothers Valentin and Orson (also known as Nameless) crossed various linguistic and cultural borders in the European Middle Ages and beyond. It is said to have originated in a Francophone context, but the French origin, which is believed to be a chanson de geste, has not been preserved – the earliest surviving sources are three Middle Dutch fragments. The different versions of the tale are generally divided into two strands: the first covers versions in Middle Dutch, Middle Low German, Middle High German, and Old Swedish, and the second includes versions in French, English, German, Dutch, Italian, Icelandic, and Yiddish. In this article, we give an up-to-date overview of the two strands and raise the question whether Valentin should be considered as a primarily French tradition. We argue that Valentin cannot be understood only in a monolingual or national context, and that a linear model of transmission does not do justice to the complexity of this tradition. We consider what it means to approach Valentin as a shared European narrative, how each version places itself in this larger tradition, and what insight this approach can give us into the tension as well as fruitful co-existence between local and supralocal. By putting the different versions of the tale in dialogue and paying attention to the places and social networks along which they tr</w:t>
      </w:r>
    </w:p>
    <w:p>
      <w:pPr/>
      <w:r>
        <w:rPr>
          <w:b/>
        </w:rPr>
        <w:t>POSSIBLE 2021:</w:t>
      </w:r>
      <w:r>
        <w:t xml:space="preserve"> Retrospection, Regret, and Contingency in Dickens’s Late Midlives — https://doi.org/10.7146/ageculturehumanities.v5i.130863</w:t>
      </w:r>
    </w:p>
    <w:p>
      <w:pPr/>
      <w:r>
        <w:rPr>
          <w:b/>
        </w:rPr>
        <w:t>Shared claim-specific concepts:</w:t>
      </w:r>
      <w:r>
        <w:t xml:space="preserve"> publication, contingency, population, representations, two, demographic; EU scope not established. This is a provisional connection, not an outcome finding.</w:t>
      </w:r>
    </w:p>
    <w:p>
      <w:pPr>
        <w:pStyle w:val="SourceNote"/>
      </w:pPr>
      <w:r>
        <w:rPr>
          <w:b/>
        </w:rPr>
        <w:t>Available abstract (not full text):</w:t>
      </w:r>
      <w:r>
        <w:t xml:space="preserve"> This essay explores Dickens’s representations of male anxieties over aging and argues both that contingency—a character’s dawning recognition that their life might have been otherwise—haunts Dickens’s midlife narratives and that a developing cultural awareness of midlife as a life-stage is central to the Victorian fascination with unlived lives. It traces developments in Dickens’s own sense of midlife’s particularity to two sources: a recognition of the bodily changes that accompany the process of aging (such as his own graying hair, which he sought to disguise cosmetically through hair and moustache dyes) and his membership of a generation whose life chances were determined by a demographic bulge caused by a rapid expansion of Britain’s middle-aged and elderly population. Both of these circumstances engender an overwhelming sense of regret in the aging protagonists of novels such as David Copperfield (1849-1850), Great Expectations (1860-1861), and Our Mutual Friend (1864-1865), whose midlives are spent thinking, and sometimes writing, about the youthful choices that shaped their later lives. It is only with the publication of the late portmanteau tale “Mugby Junction” that Dickens finds himself able to imagine a midlife in which the aging individuals possess agency and are empowered to cast off the determining and contingent events of their Bildungsroman narratives and engage</w:t>
      </w:r>
    </w:p>
    <w:p>
      <w:pPr/>
      <w:r>
        <w:rPr>
          <w:b/>
        </w:rPr>
        <w:t>POSSIBLE 2021:</w:t>
      </w:r>
      <w:r>
        <w:t xml:space="preserve"> Economic costs of invasive alien species across Europe — https://doi.org/10.3897/neobiota.67.58196</w:t>
      </w:r>
    </w:p>
    <w:p>
      <w:pPr/>
      <w:r>
        <w:rPr>
          <w:b/>
        </w:rPr>
        <w:t>Shared claim-specific concepts:</w:t>
      </w:r>
      <w:r>
        <w:t xml:space="preserve"> france, multiple, population, thus, countries; EU scope visible. This is a provisional connection, not an outcome finding.</w:t>
      </w:r>
    </w:p>
    <w:p>
      <w:pPr>
        <w:pStyle w:val="SourceNote"/>
      </w:pPr>
      <w:r>
        <w:rPr>
          <w:b/>
        </w:rPr>
        <w:t>Available abstract (not full text):</w:t>
      </w:r>
      <w:r>
        <w:t xml:space="preserve"> Biological invasions continue to threaten the stability of ecosystems and societies that are dependent on their services. Whilst the ecological impacts of invasive alien species (IAS) have been widely reported in recent decades, there remains a paucity of information concerning their economic impacts. Europe has strong trade and transport links with the rest of the world, facilitating hundreds of IAS incursions, and largely centralised decision-making frameworks. The present study is the first comprehensive and detailed effort that quantifies the costs of IAS collectively across European countries and examines temporal trends in these data. In addition, the distributions of costs across countries, socioeconomic sectors and taxonomic groups are examined, as are socio-economic correlates of management and damage costs. Total costs of IAS in Europe summed to US$140.20 billion (or €116.61 billion) between 1960 and 2020, with the majority (60%) being damage-related and impacting multiple sectors. Costs were also geographically widespread but dominated by impacts in large western and central European countries, i.e. the UK, Spain, France, and Germany. Human population size, land area, GDP, and tourism were significant predictors of invasion costs, with management costs additionally predicted by numbers of introduced species, research effort and trade. Temporally, invasion costs have </w:t>
      </w:r>
    </w:p>
    <w:p>
      <w:pPr/>
      <w:r>
        <w:rPr>
          <w:b/>
        </w:rPr>
        <w:t>POSSIBLE 2020:</w:t>
      </w:r>
      <w:r>
        <w:t xml:space="preserve"> Discourse and Strategic Use of the Military in France and Europe in the COVID‐19 Crisis — https://doi.org/10.1111/tesg.12451</w:t>
      </w:r>
    </w:p>
    <w:p>
      <w:pPr/>
      <w:r>
        <w:rPr>
          <w:b/>
        </w:rPr>
        <w:t>Shared claim-specific concepts:</w:t>
      </w:r>
      <w:r>
        <w:t xml:space="preserve"> france, population, national; EU scope visible. This is a provisional connection, not an outcome finding.</w:t>
      </w:r>
    </w:p>
    <w:p>
      <w:pPr>
        <w:pStyle w:val="SourceNote"/>
      </w:pPr>
      <w:r>
        <w:rPr>
          <w:b/>
        </w:rPr>
        <w:t>Available abstract (not full text):</w:t>
      </w:r>
      <w:r>
        <w:t xml:space="preserve"> In March 2020, the French President called to war against the COVID-19 which was followed by the launch of a military operation called Operation Resilience. This use of martial rhetoric initiated an effective mobilisation consisting in logistical assistance to the health sector. While armies are increasingly used to deal with environmental disasters, aside from their traditional role, this paper postulates that the geography of the French and international military engagement can be used to analyse both the institutional strategy of crisis management and the message governments send to their population. Military involvement differs in terms of missions given and of the amount of troops mobilised. It first questions the use of the military in the name of national resilience in the political discourse and the way it displays a symbolic message to the population, before analysing the role of armies in the crisis through the spatiality of their interventions.</w:t>
      </w:r>
    </w:p>
    <w:p>
      <w:pPr/>
      <w:r>
        <w:rPr>
          <w:b/>
        </w:rPr>
        <w:t>POSSIBLE 2020:</w:t>
      </w:r>
      <w:r>
        <w:t xml:space="preserve"> Piercing Proverbial Crows’ Eyes: Theft and Publication in Renaissance France — https://doi.org/10.33137/rr.v43i3.35300</w:t>
      </w:r>
    </w:p>
    <w:p>
      <w:pPr/>
      <w:r>
        <w:rPr>
          <w:b/>
        </w:rPr>
        <w:t>Shared claim-specific concepts:</w:t>
      </w:r>
      <w:r>
        <w:t xml:space="preserve"> france, publication, thus; EU scope visible. This is a provisional connection, not an outcome finding.</w:t>
      </w:r>
    </w:p>
    <w:p>
      <w:pPr>
        <w:pStyle w:val="SourceNote"/>
      </w:pPr>
      <w:r>
        <w:rPr>
          <w:b/>
        </w:rPr>
        <w:t>Available abstract (not full text):</w:t>
      </w:r>
      <w:r>
        <w:t xml:space="preserve"> The ironic Latin proverb “cornicum oculos configere” was classically illustrated by the example of Gnaeus Flavius, celebrated for his theft and valuable but unauthorized publication of Rome’s legal secrets. Erasmus’s discussion of the proverb in the Adages consequently focuses on the tension within the transfer of knowledge between openness and secrecy, and on the fragile status of intellectual authority within a scholarly domain made increasingly public by the printing press. This article uses the example of Flavius to trace the idea of theft within Renaissance attitudes to the possession and dissemination of knowledge. It compares the reception of Flavius in three contexts: Erasmus’s ambivalence towards publication as a form of theft in the Adages; ancient criticisms of theft as social presumption; and the more positive representation of epistemological theft in the works of four Renaissance French jurists. It thus argues that Erasmus represents a turning point both in the reception history of Flavius and in attitudes to intellectual theft—and thereby to intellectual property—in the Renaissance.</w:t>
      </w:r>
    </w:p>
    <w:p>
      <w:pPr>
        <w:pStyle w:val="Heading2"/>
      </w:pPr>
      <w:r>
        <w:t>892. Potential of extensification of European agriculture for a more sustainable food system, focusing on nitrogen</w:t>
      </w:r>
    </w:p>
    <w:p>
      <w:pPr>
        <w:pStyle w:val="SourceNote"/>
      </w:pPr>
      <w:r>
        <w:rPr>
          <w:b/>
        </w:rPr>
        <w:t>Original source (2015):</w:t>
      </w:r>
      <w:r>
        <w:t xml:space="preserve"> https://doi.org/10.1088/1748-9326/10/2/025002</w:t>
      </w:r>
    </w:p>
    <w:p>
      <w:pPr/>
      <w:r>
        <w:t>Original wording (abstract; indexed_source_text_not_full_document_verified): A 2030 scenario for the EU27 reducing consumption and production of animal products by 50% (demitarean diet) reduces N pollution by 10% and benefits human health. This diet allows the EU27 to become a food exporter, while reducing land demand outside Europe in 2030 by more than 100 million hectares (2%), which more than compensates increased land demand when changing to organic farming.</w:t>
      </w:r>
    </w:p>
    <w:p>
      <w:pPr/>
      <w:r>
        <w:rPr>
          <w:b/>
        </w:rPr>
        <w:t>POSSIBLE 2026:</w:t>
      </w:r>
      <w:r>
        <w:t xml:space="preserve"> Stranded assets in European agriculture during food system transformations — https://doi.org/10.1038/s43016-025-01283-z</w:t>
      </w:r>
    </w:p>
    <w:p>
      <w:pPr/>
      <w:r>
        <w:rPr>
          <w:b/>
        </w:rPr>
        <w:t>Shared claim-specific concepts:</w:t>
      </w:r>
      <w:r>
        <w:t xml:space="preserve"> eu27, consumption, production, food; EU scope visible. This is a provisional connection, not an outcome finding.</w:t>
      </w:r>
    </w:p>
    <w:p>
      <w:pPr>
        <w:pStyle w:val="SourceNote"/>
      </w:pPr>
      <w:r>
        <w:rPr>
          <w:b/>
        </w:rPr>
        <w:t>Available abstract (not full text):</w:t>
      </w:r>
      <w:r>
        <w:t xml:space="preserve"> Dietary shifts, particularly reduced animal-sourced food (ASF) consumption in high-income countries, risk stranding substantial ASF-related assets. Linking agricultural and economic data to global multi-regional input-output models, we show that ASF assets represent 78% of EU27 + UK fixed agricultural assets, with €158 billion linked to livestock and €100 billion to feed production. We estimate that ASF reductions in EU27 + UK consumption of 9.5%, 60% and 100% could strand 18%, 50% and 77% of these assets, respectively. Current depreciation rates suggest there is generally sufficient time to phase out assets, offering pathways to limit stranding. Policy- and climate-induced stranding risks are intertwined and should both be incorporated into financial modelling as overlapping transition pressures. Given food producers' high exposure to stranding risks cascade throughout supply chains, integrated policy support to repurpose or phase out ASF-related assets is essential to avoid delays in sustainable food system transformations.</w:t>
      </w:r>
    </w:p>
    <w:p>
      <w:pPr/>
      <w:r>
        <w:rPr>
          <w:b/>
        </w:rPr>
        <w:t>POSSIBLE 2026:</w:t>
      </w:r>
      <w:r>
        <w:t xml:space="preserve"> Assessing the environmental impacts of livestock products in Europe: A consequential life cycle assessment — https://doi.org/10.1016/j.cesys.2026.100510</w:t>
      </w:r>
    </w:p>
    <w:p>
      <w:pPr/>
      <w:r>
        <w:rPr>
          <w:b/>
        </w:rPr>
        <w:t>Shared claim-specific concepts:</w:t>
      </w:r>
      <w:r>
        <w:t xml:space="preserve"> production, products, land; EU scope visible. This is a provisional connection, not an outcome finding.</w:t>
      </w:r>
    </w:p>
    <w:p>
      <w:pPr>
        <w:pStyle w:val="SourceNote"/>
      </w:pPr>
      <w:r>
        <w:rPr>
          <w:b/>
        </w:rPr>
        <w:t>Available abstract (not full text):</w:t>
      </w:r>
      <w:r>
        <w:t xml:space="preserve"> Livestock products provide key nutrients difficult to obtain from plants, support the rural economy but have significant environmental impacts. Assessing their cradle-to-grave effects is complex due to extensive market interactions of the livestock production systems coproducts. Consequential LCA (cLCA) incorporates market changes in the value chain environmental assessment. This paper presents a cLCA for several livestock products from various production systems across Europe. Beef showed the highest GWP100 climate change impact (25.0–29.0 kg CO 2 eq per 100 g protein and 2.98–3.46 kg CO 2 eq per €), while the impact of dairy, pork, and poultry products was much smaller (2.13–7.68 kg CO 2 eq per 100 g protein and 0.348–1.2 kg CO 2 eq per €). Specific impact rankings depend on assumptions on land use change and product substitution (e.g., beef vs. dairy cattle). Per hectare, the climate impact of beef was comparable to pork and poultry (5.24–6.63 tonne CO 2 eq per ha-year for beef, 5.11–6.31 tonne CO 2 eq per ha-year for pork, and 4.12–7.12 tonne CO 2 eq per ha-year for poultry products), while dairy varied widely (-2790 – 167 tonne CO 2 eq per ha-year for dairy) due to consequential effects on land occupation. The impact categories acidification and marine/terrestrial eutrophication showed similar patterns as climate change, but freshwater eutrophication and water use showed d</w:t>
      </w:r>
    </w:p>
    <w:p>
      <w:pPr/>
      <w:r>
        <w:rPr>
          <w:b/>
        </w:rPr>
        <w:t>POSSIBLE 2026:</w:t>
      </w:r>
      <w:r>
        <w:t xml:space="preserve"> Environmental impacts from European food consumption can be reduced with carbon pricing or a value-added tax reform — https://doi.org/10.1038/s43016-025-01284-y</w:t>
      </w:r>
    </w:p>
    <w:p>
      <w:pPr/>
      <w:r>
        <w:rPr>
          <w:b/>
        </w:rPr>
        <w:t>Shared claim-specific concepts:</w:t>
      </w:r>
      <w:r>
        <w:t xml:space="preserve"> eu27, consumption, products, food, land; EU scope visible. This is a provisional connection, not an outcome finding.</w:t>
      </w:r>
    </w:p>
    <w:p>
      <w:pPr>
        <w:pStyle w:val="SourceNote"/>
      </w:pPr>
      <w:r>
        <w:rPr>
          <w:b/>
        </w:rPr>
        <w:t>Available abstract (not full text):</w:t>
      </w:r>
      <w:r>
        <w:t xml:space="preserve"> Abstract Food consumption generates significant environmental externalities that remain insufficiently addressed by public policies. This paper explores the global environmental footprints induced by food consumption in the European Union (EU27) based on a multi-regional input-output model and assesses the potential of tax policies for mitigation. Using household expenditure data, we estimate country-specific demand systems on food products and link these to the footprints for the policy analysis. We find that removing current VAT reductions on meat products has the potential to decrease food consumption-related greenhouse gas (GHG) emissions, water consumption, land use, biodiversity loss, nitrogen and phosphorus footprints of EU27 household food consumption by 3.5 to 5.7 percent. A GHG emission price of approximately 52 EUR/tCO2eq on all food products leads to equivalent emission reductions with higher associated environmental co-benefits. Mean net welfare costs of the two policies amount to 12-26 EUR/year per household. JEL Classification: C54 , D12 , D62 , H23 , Q18 , Q56 , Q58</w:t>
      </w:r>
    </w:p>
    <w:p>
      <w:pPr/>
      <w:r>
        <w:rPr>
          <w:b/>
        </w:rPr>
        <w:t>POSSIBLE 2026:</w:t>
      </w:r>
      <w:r>
        <w:t xml:space="preserve"> The green transition at the economic-activity level among the EU27 countries — https://doi.org/10.3897/ap.10.e0043</w:t>
      </w:r>
    </w:p>
    <w:p>
      <w:pPr/>
      <w:r>
        <w:rPr>
          <w:b/>
        </w:rPr>
        <w:t>Shared claim-specific concepts:</w:t>
      </w:r>
      <w:r>
        <w:t xml:space="preserve"> eu27, pollution, health, become; EU scope not established. This is a provisional connection, not an outcome finding.</w:t>
      </w:r>
    </w:p>
    <w:p>
      <w:pPr>
        <w:pStyle w:val="SourceNote"/>
      </w:pPr>
      <w:r>
        <w:rPr>
          <w:b/>
        </w:rPr>
        <w:t>Available abstract (not full text):</w:t>
      </w:r>
      <w:r>
        <w:t xml:space="preserve"> The structural adjustment to a green economy demands that the individualeconomic activities become well-suited to the rising climate challenge. Provided that theEU countries are unable or slow to adapt, negative consequences can ensue in terms ofenvironmental degradation and declining health status of the population. That is why theinitiative for green transformation should focus initially on the activities within NACE Rev. 2that are polluting the most – these are economic activities C. Manufacturing, D. Electricity,gas, steam and air conditioning supply and H. Transportation and storage. Some evidencefor CO2 abatement in these activities is presented, though a concern for a green fatigue israised. FE model is estimated over 2008-2022 to show that the price of carbon emissionshas not contributed sufficiently to curbing the CO2 pollution. In fact, it is needed to accountfor the fact that the higher price induces a direct positive effect on the progress to the 2030target, but also an indirect negative effect engendered from the replacement of closedproduction units with similar non-ecological ones. As a fundamental pillar of the GreenDeal the technological growth is propagated through the import of new capital eased bypositive cyclical conditions. It is of paramount importance that the countries which arethe biggest polluters do more, while the countries with insufficient institu</w:t>
      </w:r>
    </w:p>
    <w:p>
      <w:pPr/>
      <w:r>
        <w:rPr>
          <w:b/>
        </w:rPr>
        <w:t>POSSIBLE 2026:</w:t>
      </w:r>
      <w:r>
        <w:t xml:space="preserve"> Left, right, or buy green? Political ideology and sustainable consumption in Europe — https://doi.org/10.9770/w3992782679</w:t>
      </w:r>
    </w:p>
    <w:p>
      <w:pPr/>
      <w:r>
        <w:rPr>
          <w:b/>
        </w:rPr>
        <w:t>Shared claim-specific concepts:</w:t>
      </w:r>
      <w:r>
        <w:t xml:space="preserve"> reducing, consumption, pollution; EU scope visible. This is a provisional connection, not an outcome finding.</w:t>
      </w:r>
    </w:p>
    <w:p>
      <w:pPr>
        <w:pStyle w:val="SourceNote"/>
      </w:pPr>
      <w:r>
        <w:rPr>
          <w:b/>
        </w:rPr>
        <w:t>Available abstract (not full text):</w:t>
      </w:r>
      <w:r>
        <w:t xml:space="preserve"> This research investigates the role of ideological self-placement in explaining Europe's sustainable consumption orientations based on two high-quality secondary datasets, namely, World Values Survey (WVS) Wave 7 and Special Eurobarometer 513/Eurobarometer 95.1.This analysis builds on confirmatory factor analysis and multilevel modeling to distinguish between moral willingness to bear private environmental costs and reported climate-relevant consumer practices.Within the WVS, we formulate a latent orientation founded on the environment-growth trade-off, as well as readiness to incur higher taxes or sacrifice income for pollution abatement; within Eurobarometer, we summarise climate-relevant household and purchase behaviours through a Green Consumer Action Index.The results show a steady ideological gradient: respondents placing further to the right report declining willingness to incur private economic costs to help the environment.The relationship remains significant after controlling for socioeconomic status and religiosity, and is partially attenuated with the control for environmental concern.Evidence from Eurobarometer corroborates this pattern by illustrating substantial uptake of cheap, low-effort actions such as recycling and reducing disposables, but much weaker uptake of expensive actions like solar panels, low-energy homes and electric cars.Cross-dataset triangulatio</w:t>
      </w:r>
    </w:p>
    <w:p>
      <w:pPr/>
      <w:r>
        <w:rPr>
          <w:b/>
        </w:rPr>
        <w:t>POSSIBLE 2026:</w:t>
      </w:r>
      <w:r>
        <w:t xml:space="preserve"> The Dynamics of Public Investment in Education and Debt Under Economic, Digital, and Sustainable Transformation in the EU27 — https://doi.org/10.3390/admsci16070317</w:t>
      </w:r>
    </w:p>
    <w:p>
      <w:pPr/>
      <w:r>
        <w:rPr>
          <w:b/>
        </w:rPr>
        <w:t>Shared claim-specific concepts:</w:t>
      </w:r>
      <w:r>
        <w:t xml:space="preserve"> eu27, consumption, human, become, increased; EU scope visible. This is a provisional connection, not an outcome finding.</w:t>
      </w:r>
    </w:p>
    <w:p>
      <w:pPr>
        <w:pStyle w:val="SourceNote"/>
      </w:pPr>
      <w:r>
        <w:rPr>
          <w:b/>
        </w:rPr>
        <w:t>Available abstract (not full text):</w:t>
      </w:r>
      <w:r>
        <w:t xml:space="preserve"> This article investigates how structural transformations—growth, development, digitalisation, renewable energy consumption, education, and economic freedom—could influence public investment in education and public debt in the EU27. This objective was achieved by taking into consideration suggestive secondary data for the period 2009–2021 and applying the Structural Equation Model (SEM), dynamic panel data (ARDL), and, for robustness, fixed effects (FE) models. Education shows the ability, in structural terms, to relax the public budget, even if, in the very short term, the mandatory education is associated with additional public investment. Growth may create conditions, in the short term, to diminish the public investment in education and to be favourable for less dependence on financial markets, regardless of the period. In contrast, human development is associated with increased investment in education in the very short and long term and with increased public debt in the short and very short term. Education can adjust investment in the sector, especially in the long term, even if tertiary education depresses public investment in the very short term. However, education, regardless of level, has a significant contribution to the economy and society, which qualifies investment in education as being strategic, and education as a sector which must be protected even in complicated </w:t>
      </w:r>
    </w:p>
    <w:p>
      <w:pPr/>
      <w:r>
        <w:rPr>
          <w:b/>
        </w:rPr>
        <w:t>POSSIBLE 2025:</w:t>
      </w:r>
      <w:r>
        <w:t xml:space="preserve"> Circularity and Climate Mitigation in the EU27: An Elasticity-Based Scenario Analysis to 2050 — https://doi.org/10.3390/su172411375</w:t>
      </w:r>
    </w:p>
    <w:p>
      <w:pPr/>
      <w:r>
        <w:rPr>
          <w:b/>
        </w:rPr>
        <w:t>Shared claim-specific concepts:</w:t>
      </w:r>
      <w:r>
        <w:t xml:space="preserve"> eu27, consumption, increased; EU scope not established. This is a provisional connection, not an outcome finding.</w:t>
      </w:r>
    </w:p>
    <w:p>
      <w:pPr>
        <w:pStyle w:val="SourceNote"/>
      </w:pPr>
      <w:r>
        <w:rPr>
          <w:b/>
        </w:rPr>
        <w:t>Available abstract (not full text):</w:t>
      </w:r>
      <w:r>
        <w:t xml:space="preserve"> This study quantifies the decarbonisation potential of enhanced material circularity in the EU27 by integrating material flow data with elasticity-based emissions modelling. Using panel regression and logarithmic mean Divisia index (LMDI) decomposition, we evaluate the influence of recycling rate acceleration and material intensity decline on material-embedded emissions over the 2015–2022 period. The findings indicate that although recycling rates increased by 42% during this time, virgin materials remain re-sponsible for over 97% of emissions. Decomposition results reveal that intensity im-provements (−0.867 ln units) offset most of the upward pressure from growing materi-al demand and shifting composition. Scenario projections to 2050, based on empirically derived elasticities, show that aggressive circular economy pathways can reduce emis-sions by over 90%, while baseline policies fall short of net-zero targets. Sensitivity analysis confirms that policy ambition dominates parameter uncertainty in shaping future emissions trajectories. The study highlights the critical role of combined de-mand-side and supply-side measures in aligning material consumption with climate goals.</w:t>
      </w:r>
    </w:p>
    <w:p>
      <w:pPr/>
      <w:r>
        <w:rPr>
          <w:b/>
        </w:rPr>
        <w:t>POSSIBLE 2025:</w:t>
      </w:r>
      <w:r>
        <w:t xml:space="preserve"> Trends within Sustainability in Food Loss and Waste in EU27 Countries — https://doi.org/10.2478/crdj-2025-0003</w:t>
      </w:r>
    </w:p>
    <w:p>
      <w:pPr/>
      <w:r>
        <w:rPr>
          <w:b/>
        </w:rPr>
        <w:t>Shared claim-specific concepts:</w:t>
      </w:r>
      <w:r>
        <w:t xml:space="preserve"> eu27, reducing, consumption, production, food, land; EU scope visible. This is a provisional connection, not an outcome finding.</w:t>
      </w:r>
    </w:p>
    <w:p>
      <w:pPr>
        <w:pStyle w:val="SourceNote"/>
      </w:pPr>
      <w:r>
        <w:rPr>
          <w:b/>
        </w:rPr>
        <w:t>Available abstract (not full text):</w:t>
      </w:r>
      <w:r>
        <w:t xml:space="preserve"> Abstract One third of today’s global food production ends up uneaten. In the European Union, more than 100 kilograms of food waste per capita are generated annually across retail, food services, and households. In addition to being unethical, wasting food is environmentally harmful and economically irrational. Reducing food waste would significantly contribute to protecting and more rationally using rare natural resources (water, land, forests) in agricultural production, lowering waste and related greenhouse gas emissions, and supporting a successful transition to organic agriculture and the restoration of biodiversity. Better utilisation of produced food would lower production costs and stabilise food prices, while also strengthening the population’s food security and reducing nutrition costs. The purpose of the paper is to critically review the progress (or lack thereof) made by the European Union and its Member States, tracked for the period from 2020 to 2022, according to available relevant data and sources, such as food waste per capita, food waste sector of activities and consumption footprint per inhabitant. We provide recommendations on technological, organisational, managerial, and social value changes to achieve more sustainable food waste management.</w:t>
      </w:r>
    </w:p>
    <w:p>
      <w:pPr/>
      <w:r>
        <w:rPr>
          <w:b/>
        </w:rPr>
        <w:t>POSSIBLE 2025:</w:t>
      </w:r>
      <w:r>
        <w:t xml:space="preserve"> Research Performance on the UN Sustainable Development Goals in the EU27 (2019–2023) — https://doi.org/10.3390/admsci15090361</w:t>
      </w:r>
    </w:p>
    <w:p>
      <w:pPr/>
      <w:r>
        <w:rPr>
          <w:b/>
        </w:rPr>
        <w:t>Shared claim-specific concepts:</w:t>
      </w:r>
      <w:r>
        <w:t xml:space="preserve"> eu27, consumption, production, health; EU scope visible. This is a provisional connection, not an outcome finding.</w:t>
      </w:r>
    </w:p>
    <w:p>
      <w:pPr>
        <w:pStyle w:val="SourceNote"/>
      </w:pPr>
      <w:r>
        <w:rPr>
          <w:b/>
        </w:rPr>
        <w:t>Available abstract (not full text):</w:t>
      </w:r>
      <w:r>
        <w:t xml:space="preserve"> The increasing urgency of global sustainability challenges has elevated the role of the United Nations Sustainable Development Goals (SDGs) as benchmarks for both academic research and policy development. Within the European Union, measuring how national research systems contribute to SDG-related knowledge is critical for guiding evidence-based policymaking and evaluating progress toward the 2030 Agenda. Since the adoption of the UN 2030 Agenda, research related to the Sustainable Development Goals (SDGs) has expanded significantly, reflecting their central role in guiding both global and European science policy. Despite this growing attention, systematic comparative evidence on how EU27 countries contribute to SDG-related knowledge production remains limited. This study provides a bibliometric analysis of research related to the SDGs across EU27 countries between 2019 and 2023. Drawing on data from Elsevier’s Scopus and SciVal platforms, we examine publication volume, relative share (RS), citation impact (FWCI), growth dynamics (CAGR), and thematic distributions. The dataset includes all document types associated with SDG1–SDG16. Germany, Italy, and France lead in absolute publication output, while smaller member states such as Cyprus, Malta, and Luxembourg display disproportionately high RS values. Health-related research (SDG3) dominates, followed by SDG7 (Affordable and Cle</w:t>
      </w:r>
    </w:p>
    <w:p>
      <w:pPr/>
      <w:r>
        <w:rPr>
          <w:b/>
        </w:rPr>
        <w:t>POSSIBLE 2025:</w:t>
      </w:r>
      <w:r>
        <w:t xml:space="preserve"> The Role of Aquaculture and Fisheries in EU27 Food Security: A Comparative Analysis of EU13 and EU14 States — https://doi.org/10.46989/001c.140761</w:t>
      </w:r>
    </w:p>
    <w:p>
      <w:pPr/>
      <w:r>
        <w:rPr>
          <w:b/>
        </w:rPr>
        <w:t>Shared claim-specific concepts:</w:t>
      </w:r>
      <w:r>
        <w:t xml:space="preserve"> eu27, production, products, allows, food; EU scope visible. This is a provisional connection, not an outcome finding.</w:t>
      </w:r>
    </w:p>
    <w:p>
      <w:pPr>
        <w:pStyle w:val="SourceNote"/>
      </w:pPr>
      <w:r>
        <w:rPr>
          <w:b/>
        </w:rPr>
        <w:t>Available abstract (not full text):</w:t>
      </w:r>
      <w:r>
        <w:t xml:space="preserve"> Ocean-sourced foods are essential for providing food security, putting an end to starvation, and building healthy, environmentally friendly, and resilient food systems. Still, it is important to keep these in mind while discussing food. More money was made for developing countries by exporting blue foods than by exporting any other agricultural products combined. The European Union Region (EU27) has countries with diverse economic structures, from highly developed industrial economies in older members to those in Central and Eastern Europe still catching up. Splitting them allows for in-depth study of economic structures, models, and growth mechanisms, and can inform targeted policy recommendations for growth and convergence. The core objective of this study is to analyse how aquaculture and fisheries production impact food security in the EU2 members based on their economic structure development; European Union Developing State (EU13) and European Union Developed State (EU14) countries from 1990 to 2023. To address potential endogeneity issues, robust least squares (RLS), two-stage least squares (2SLS), and ordinary least squares (OLS) estimators were employed, leading to significant findings. The findings confirm the existing knowledge and indicate that the role of aquaculture and fisheries production in ensuring food security is more pronounced in developing EU13 countries c</w:t>
      </w:r>
    </w:p>
    <w:p>
      <w:pPr/>
      <w:r>
        <w:rPr>
          <w:b/>
        </w:rPr>
        <w:t>POSSIBLE 2025:</w:t>
      </w:r>
      <w:r>
        <w:t xml:space="preserve"> Economic performance and energy management - cross-sectional analysis and comparison for EU27 member states — https://doi.org/10.15196/rs150605</w:t>
      </w:r>
    </w:p>
    <w:p>
      <w:pPr/>
      <w:r>
        <w:rPr>
          <w:b/>
        </w:rPr>
        <w:t>Shared claim-specific concepts:</w:t>
      </w:r>
      <w:r>
        <w:t xml:space="preserve"> eu27, consumption, production; EU scope visible. This is a provisional connection, not an outcome finding.</w:t>
      </w:r>
    </w:p>
    <w:p>
      <w:pPr>
        <w:pStyle w:val="SourceNote"/>
      </w:pPr>
      <w:r>
        <w:rPr>
          <w:b/>
        </w:rPr>
        <w:t>Available abstract (not full text):</w:t>
      </w:r>
      <w:r>
        <w:t xml:space="preserve"> The European Union's climate neutrality ambitions pose significant challenges for member states in terms of energy production, consumption and greenhouse gas emissions. The 2030 targets set out packages of measures that provide both a justification and a timely opportunity to explore the relationship between economic performance and certain indicators of energy management, with a view to answering the question of how the relationship between the different variables has evolved over time: have we seen a structural change or is the change more gradual? To this end, the present study examines the relationship between the relevant indicators (GDP, energy production/use, greenhouse gas emissions) of the 27 EU member states using multivariate statistical methods for the year 2012 and compares it with data from an analysis already carried out for the year 2022 (Erőss et al. 2025). In addition to presenting the changes identified using descriptive statistical tools, the study will use correlation analysis to assess the relationship between the individual indicators and principal component analysis to identify the key factors that play a role in the evolution of each variable. Finally, the authors use cluster analysis to highlight the changes that have taken place over the 10 years, by showing the differences between the country groupings. The results of the research do not show signifi</w:t>
      </w:r>
    </w:p>
    <w:p>
      <w:pPr/>
      <w:r>
        <w:rPr>
          <w:b/>
        </w:rPr>
        <w:t>POSSIBLE 2023:</w:t>
      </w:r>
      <w:r>
        <w:t xml:space="preserve"> RETRACTED: Assessment of Building Materials in the European Residential Building Stock: An Analysis at EU27 Level — https://doi.org/10.3390/su15118840</w:t>
      </w:r>
    </w:p>
    <w:p>
      <w:pPr/>
      <w:r>
        <w:rPr>
          <w:b/>
        </w:rPr>
        <w:t>Shared claim-specific concepts:</w:t>
      </w:r>
      <w:r>
        <w:t xml:space="preserve"> eu27, reducing, consumption; EU scope visible. This is a provisional connection, not an outcome finding.</w:t>
      </w:r>
    </w:p>
    <w:p>
      <w:pPr>
        <w:pStyle w:val="SourceNote"/>
      </w:pPr>
      <w:r>
        <w:rPr>
          <w:b/>
        </w:rPr>
        <w:t>Available abstract (not full text):</w:t>
      </w:r>
      <w:r>
        <w:t xml:space="preserve"> Reducing greenhouse gas (GHG) emissions and energy consumption in the building sector requires not only improving the energy efficiency of buildings but also minimising material requirements, embodied emissions, and waste generation. Circular Economy (CE) principles can be applied to minimize resource extraction and waste generation in the building industry. However, to implement effective CE strategies, quantification and evaluation of materials accumulated in buildings are required. This study aims to provide accurate data and a detailed analysis of the materials available in the EU27 residential building sector. By elaborating the data provided by the H2020 European projects Hotmaps and AmBIENCe, the different materials used for floors, roofs, walls, windows, and insulation layers in single-family houses, multifamily houses, and apartment blocks in the different construction periods were quantified for each EU27 country. Considering results at the EU27 level, concrete and brick characterize the largest part of the European residential building stock, whereas materials such as wood and different types of rock are used in much more limited amounts. These results form the basis for policymakers to monitor the status of the residential building sector, evaluate the potential of CE policies at a national level, and assess the environmental impact of building practices through lif</w:t>
      </w:r>
    </w:p>
    <w:p>
      <w:pPr>
        <w:pStyle w:val="Heading2"/>
      </w:pPr>
      <w:r>
        <w:t>893. Predicting Future European Breeding Distributions of British Seabird Species under Climate Change and Unlimited/No Dispersal Scenarios</w:t>
      </w:r>
    </w:p>
    <w:p>
      <w:pPr>
        <w:pStyle w:val="SourceNote"/>
      </w:pPr>
      <w:r>
        <w:rPr>
          <w:b/>
        </w:rPr>
        <w:t>Original source (2015):</w:t>
      </w:r>
      <w:r>
        <w:t xml:space="preserve"> https://doi.org/10.3390/d7040342</w:t>
      </w:r>
    </w:p>
    <w:p>
      <w:pPr/>
      <w:r>
        <w:t>Original wording (abstract; indexed_source_text_not_full_document_verified): Here, we combine climate envelope models with predicted bioclimatic data from two emission scenarios leading up to 2100, to predict European breeding distributions of 23 seabird species that currently breed in the British Isles. More globally, the results indicate, based on foraging ecology, which seabird species are likely to be most affected by climatic change.</w:t>
      </w:r>
    </w:p>
    <w:p>
      <w:pPr/>
      <w:r>
        <w:rPr>
          <w:b/>
        </w:rPr>
        <w:t>POSSIBLE 2026:</w:t>
      </w:r>
      <w:r>
        <w:t xml:space="preserve"> Combining different views on internal climate variability of temperature over Europe — https://doi.org/10.5194/egusphere-2026-1341</w:t>
      </w:r>
    </w:p>
    <w:p>
      <w:pPr/>
      <w:r>
        <w:rPr>
          <w:b/>
        </w:rPr>
        <w:t>Shared claim-specific concepts:</w:t>
      </w:r>
      <w:r>
        <w:t xml:space="preserve"> climate, data, based; EU scope visible. This is a provisional connection, not an outcome finding.</w:t>
      </w:r>
    </w:p>
    <w:p>
      <w:pPr>
        <w:pStyle w:val="SourceNote"/>
      </w:pPr>
      <w:r>
        <w:rPr>
          <w:b/>
        </w:rPr>
        <w:t>Available abstract (not full text):</w:t>
      </w:r>
      <w:r>
        <w:t xml:space="preserve"> Abstract. Internal climate variability (ICV) estimates provide a useful benchmark for assessing climate model performance and the emergence of anthropogenically forced climate change. This study aims to quantify the magnitude of ICV using different types of data, representing both Earth System Model simulations and observation-based datasets. We focus on seasonal mean near surface air temperature over Europe utilizing different methodological approaches: assessment of variability inferred from pre-industrial control simulations, spread of a single-model initial-condition large ensemble, separation of uncertainty sources in CMIP6 transient simulations, and forcing attribution in observed time series. Across all methods and datasets, we found that ICV estimates decrease during the seasonal course from winter to autumn and spatially from north-eastern to south-western Europe. By comparing the results of the historical and scenario simulations of the large ensemble and selected CMIP6 models, we conclude that European ICV generally decreases under anthropogenically forced climate change. Moreover, our study suggests that applying ICV estimates as a benchmark for assessing regional climate simulations over Europe should be approached with caution. The estimate based on the pre-industrial control simulations offers an advantage since the simulations are not influenced by external forc</w:t>
      </w:r>
    </w:p>
    <w:p>
      <w:pPr/>
      <w:r>
        <w:rPr>
          <w:b/>
        </w:rPr>
        <w:t>POSSIBLE 2026:</w:t>
      </w:r>
      <w:r>
        <w:t xml:space="preserve"> Combining different views on internal climate variability of temperature over Europe — https://doi.org/10.5194/egusphere-egu26-5489</w:t>
      </w:r>
    </w:p>
    <w:p>
      <w:pPr/>
      <w:r>
        <w:rPr>
          <w:b/>
        </w:rPr>
        <w:t>Shared claim-specific concepts:</w:t>
      </w:r>
      <w:r>
        <w:t xml:space="preserve"> here, climate, data; EU scope visible. This is a provisional connection, not an outcome finding.</w:t>
      </w:r>
    </w:p>
    <w:p>
      <w:pPr>
        <w:pStyle w:val="SourceNote"/>
      </w:pPr>
      <w:r>
        <w:rPr>
          <w:b/>
        </w:rPr>
        <w:t>Available abstract (not full text):</w:t>
      </w:r>
      <w:r>
        <w:t xml:space="preserve"> Internal climate variability (ICV) is an important source of climate change projections uncertainty. The estimate of ICV can serve as a useful benchmark for assessing climate model performance and the emergence of anthropogenically forced climate change. Nevertheless, estimating the magnitude of ICV is challenging, especially on a regional scale. The ICV itself is state-dependent, which further complicates the assessment under transient climate change conditions. This study aims to quantify the magnitude of ICV using different types of data, i.e., earth system model simulations and observation-based datasets. We focus here on seasonal mean temperature over Europe and confront different methodological approaches: comparison of variability inferred from pre-industrial control simulations with the spread of single-model initial-condition large ensemble, separation of uncertainty sources in CMIP6 transient simulations, and forcing attribution in observed time series. In case of the large ensemble data, we also pay attention to the temporal development of ICV magnitude under changing external forcing.</w:t>
      </w:r>
    </w:p>
    <w:p>
      <w:pPr/>
      <w:r>
        <w:rPr>
          <w:b/>
        </w:rPr>
        <w:t>POSSIBLE 2025:</w:t>
      </w:r>
      <w:r>
        <w:t xml:space="preserve"> Combining Hierarchical Distribution Models With Dispersal Simulations to Predict the Spread of Invasive Plant Species — https://doi.org/10.1111/geb.70026</w:t>
      </w:r>
    </w:p>
    <w:p>
      <w:pPr/>
      <w:r>
        <w:rPr>
          <w:b/>
        </w:rPr>
        <w:t>Shared claim-specific concepts:</w:t>
      </w:r>
      <w:r>
        <w:t xml:space="preserve"> here, climate, predicted, data, predict, species; EU scope visible. This is a provisional connection, not an outcome finding.</w:t>
      </w:r>
    </w:p>
    <w:p>
      <w:pPr>
        <w:pStyle w:val="SourceNote"/>
      </w:pPr>
      <w:r>
        <w:rPr>
          <w:b/>
        </w:rPr>
        <w:t>Available abstract (not full text):</w:t>
      </w:r>
      <w:r>
        <w:t xml:space="preserve"> ABSTRACT Aim Predicting the future distribution of invasive species is a current challenge for biodiversity assessment. Species distribution models (SDMs) have long been the state‐of‐the‐art to evaluate suitable areas for new invasions, but they may be limited by truncated niches and the uncertainties of species dispersal. Here, we developed a framework based on hierarchical SDMs and dispersal simulations to predict the future distribution and spread of invasive species at the ecoregion level. Location Cantabrian Mixed Forests Ecoregion (SW Europe) with global distribution data. Time Period 1950–2063. Major Taxa Studied Vascular plants. Methods We used occurrence data from 102 invasive species to fit SDMs with machine‐learning algorithms and to simulate species dispersal. We combined habitat suitability models based on species' global climatic niches together with regional models including local variables (topography, landscape features, human activity, soil properties) in a hierarchical approach. Then, we simulated species dispersal across suitable areas over the next 40 years, considering species dispersal limitations and climate change. Results Global climatic niches retained a strong contribution in the hierarchical models, followed by local factors such as human population density, sand content and soil pH. In general, the highest suitability was predicted for warm and hum</w:t>
      </w:r>
    </w:p>
    <w:p>
      <w:pPr/>
      <w:r>
        <w:rPr>
          <w:b/>
        </w:rPr>
        <w:t>POSSIBLE 2025:</w:t>
      </w:r>
      <w:r>
        <w:t xml:space="preserve"> A European monsoon-like climate in a warmhouse world — https://doi.org/10.1038/s41467-025-64241-0</w:t>
      </w:r>
    </w:p>
    <w:p>
      <w:pPr/>
      <w:r>
        <w:rPr>
          <w:b/>
        </w:rPr>
        <w:t>Shared claim-specific concepts:</w:t>
      </w:r>
      <w:r>
        <w:t xml:space="preserve"> here, combine, climate, emission, indicate, based; EU scope visible. This is a provisional connection, not an outcome finding.</w:t>
      </w:r>
    </w:p>
    <w:p>
      <w:pPr>
        <w:pStyle w:val="SourceNote"/>
      </w:pPr>
      <w:r>
        <w:rPr>
          <w:b/>
        </w:rPr>
        <w:t>Available abstract (not full text):</w:t>
      </w:r>
      <w:r>
        <w:t xml:space="preserve"> The middle Eocene warmhouse period (45 million years ago) featured atmospheric carbon dioxide concentrations equivalent to those projected under high future emission scenarios. Seasonal- to weather timescale climate reconstructions from this period can provide critical insight into the impact of Anthropogenic warming on intra-annual variability in temperature and precipitation. Here, we combine daily-scale reconstructions of the evolution of temperature and the water cycle in western Europe based on stable oxygen and clumped isotope analyses on the fastest-growing gastropod known in the fossil record: Campanile giganteum. Our dataset shows that the middle Eocene of western Europe featured monsoon-like conditions, with seawater temperatures of ~24 °C during mild and wet winters, &gt;30 °C during hot and dry spring and autumn seasons, and ~28 °C during warm and comparatively wet summers. Coupled climate model simulations using the Community Earth System Model indicate these seasonal variations in temperature and precipitation were driven by shifting atmospheric and oceanic circulation regimes over Western Europe, with winds from different directions bringing distinct waters to the region and minimal wind during spring reducing cooling through diminished latent heat flux. Our results highlight that Europe may experience wetter summers with more frequent extreme rainfall events under </w:t>
      </w:r>
    </w:p>
    <w:p>
      <w:pPr/>
      <w:r>
        <w:rPr>
          <w:b/>
        </w:rPr>
        <w:t>POSSIBLE 2024:</w:t>
      </w:r>
      <w:r>
        <w:t xml:space="preserve"> A unifying modelling of multiple land degradation pathways in Europe — https://doi.org/10.1038/s41467-024-48252-x</w:t>
      </w:r>
    </w:p>
    <w:p>
      <w:pPr/>
      <w:r>
        <w:rPr>
          <w:b/>
        </w:rPr>
        <w:t>Shared claim-specific concepts:</w:t>
      </w:r>
      <w:r>
        <w:t xml:space="preserve"> here, two, currently; EU scope visible. This is a provisional connection, not an outcome finding.</w:t>
      </w:r>
    </w:p>
    <w:p>
      <w:pPr>
        <w:pStyle w:val="SourceNote"/>
      </w:pPr>
      <w:r>
        <w:rPr>
          <w:b/>
        </w:rPr>
        <w:t>Available abstract (not full text):</w:t>
      </w:r>
      <w:r>
        <w:t xml:space="preserve"> Abstract Land degradation is a complex socio-environmental threat, which generally occurs as multiple concurrent pathways that remain largely unexplored in Europe. Here we present an unprecedented analysis of land multi-degradation in 40 continental countries, using twelve dataset-based processes that were modelled as land degradation convergence and combination pathways in Europe’s agricultural (and arable) environments. Using a Land Multi-degradation Index, we find that up to 27%, 35% and 22% of continental agricultural (~2 million km 2 ) and arable (~1.1 million km 2 ) lands are currently threatened by one, two, and three drivers of degradation, while 10–11% of pan-European agricultural/arable landscapes are cumulatively affected by four and at least five concurrent processes. We also explore the complex pattern of spatially interacting processes, emphasizing the major combinations of land degradation pathways across continental and national boundaries. Our results will enable policymakers to develop knowledge-based strategies for land degradation mitigation and other critical European sustainable development goals.</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here, climate, leading, predict, based;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Predictive performance of multi-model ensemble forecasts of COVID-19 across European nations — https://doi.org/10.7554/elife.81916</w:t>
      </w:r>
    </w:p>
    <w:p>
      <w:pPr/>
      <w:r>
        <w:rPr>
          <w:b/>
        </w:rPr>
        <w:t>Shared claim-specific concepts:</w:t>
      </w:r>
      <w:r>
        <w:t xml:space="preserve"> here, data, globally, based; EU scope visible. This is a provisional connection, not an outcome finding.</w:t>
      </w:r>
    </w:p>
    <w:p>
      <w:pPr>
        <w:pStyle w:val="SourceNote"/>
      </w:pPr>
      <w:r>
        <w:rPr>
          <w:b/>
        </w:rPr>
        <w:t>Available abstract (not full text):</w:t>
      </w:r>
      <w:r>
        <w:t xml:space="preserve">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by a standardised source for 32 countries over the next 1-4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f</w:t>
      </w:r>
    </w:p>
    <w:p>
      <w:pPr/>
      <w:r>
        <w:rPr>
          <w:b/>
        </w:rPr>
        <w:t>POSSIBLE 2023:</w:t>
      </w:r>
      <w:r>
        <w:t xml:space="preserve"> Predicting the distribution of Ixodes ricinus and Dermacentor reticulatus in Europe: a comparison of climate niche modelling approaches — https://doi.org/10.1186/s13071-023-05959-y</w:t>
      </w:r>
    </w:p>
    <w:p>
      <w:pPr/>
      <w:r>
        <w:rPr>
          <w:b/>
        </w:rPr>
        <w:t>Shared claim-specific concepts:</w:t>
      </w:r>
      <w:r>
        <w:t xml:space="preserve"> here, climate, bioclimatic, data, two, predict; EU scope visible. This is a provisional connection, not an outcome finding.</w:t>
      </w:r>
    </w:p>
    <w:p>
      <w:pPr>
        <w:pStyle w:val="SourceNote"/>
      </w:pPr>
      <w:r>
        <w:rPr>
          <w:b/>
        </w:rPr>
        <w:t>Available abstract (not full text):</w:t>
      </w:r>
      <w:r>
        <w:t xml:space="preserve"> BACKGROUND: The ticks Ixodes ricinus and Dermacentor reticulatus are two of the most important vectors in Europe. Climate niche modelling has been used in many studies to attempt to explain their distribution and to predict changes under a range of climate change scenarios. The aim of this study was to assess the ability of different climate niche modelling approaches to explain the known distribution of I. ricinus and D. reticulatus in Europe. METHODS: A series of climate niche models, using different combinations of input data, were constructed and assessed. Species occurrence records obtained from systematic literature searches and Global Biodiversity Information Facility data were thinned to different degrees to remove sampling spatial bias. Four sources of climate data were used: bioclimatic variables, WorldClim, TerraClimate and MODIS satellite-derived data. Eight different model training extents were examined and three modelling frameworks were used: maximum entropy, generalised additive models and random forest models. The results were validated through internal cross-validation, comparison with an external independent dataset and expert opinion. RESULTS: The performance metrics and predictive ability of the different modelling approaches varied significantly within and between each species. Different combinations were better able to define the distribution of each of t</w:t>
      </w:r>
    </w:p>
    <w:p>
      <w:pPr/>
      <w:r>
        <w:rPr>
          <w:b/>
        </w:rPr>
        <w:t>POSSIBLE 2023:</w:t>
      </w:r>
      <w:r>
        <w:t xml:space="preserve"> The Capability of Deep Learning Model to Predict Ozone Across Continents in China, the United States and Europe — https://doi.org/10.1029/2023gl104928</w:t>
      </w:r>
    </w:p>
    <w:p>
      <w:pPr/>
      <w:r>
        <w:rPr>
          <w:b/>
        </w:rPr>
        <w:t>Shared claim-specific concepts:</w:t>
      </w:r>
      <w:r>
        <w:t xml:space="preserve"> here, data, predict, indicate; EU scope visible. This is a provisional connection, not an outcome finding.</w:t>
      </w:r>
    </w:p>
    <w:p>
      <w:pPr>
        <w:pStyle w:val="SourceNote"/>
      </w:pPr>
      <w:r>
        <w:rPr>
          <w:b/>
        </w:rPr>
        <w:t>Available abstract (not full text):</w:t>
      </w:r>
      <w:r>
        <w:t xml:space="preserve"> Abstract Data‐driven methods have been extensively applied to predict atmospheric compositions. Here, we explore the capability of a deep learning (DL) model to make ozone (O3) predictions across continents in China, the United States (US) and Europe. The DL model was trained and validated with surface O3 observations in China and the US in 2015–2018. The DL model was applied to predict hourly surface O3 over three continents in 2015–2022. Compared to baseline simulations using GEOS‐Chem (GC) model, our analysis exhibits mean biases of 2.6 and 4.8 μg/m3 with correlation coefficients of 0.94 and 0.93 (DL); and mean biases of 3.7 and 5.4 μg/m3 with correlation coefficients of 0.95 and 0.92 (GC) in Europe in 2015–2018 and 2019–2022, respectively. The comparable performances between DL and GC indicate the potential of DL to make reliable predictions over spatial and temporal domains where a wealth of local observations for training is not available.</w:t>
      </w:r>
    </w:p>
    <w:p>
      <w:pPr/>
      <w:r>
        <w:rPr>
          <w:b/>
        </w:rPr>
        <w:t>POSSIBLE 2022:</w:t>
      </w:r>
      <w:r>
        <w:t xml:space="preserve"> Trade‐Offs for Climate‐Smart Forestry in Europe Under Uncertain Future Climate — https://doi.org/10.1029/2022ef002796</w:t>
      </w:r>
    </w:p>
    <w:p>
      <w:pPr/>
      <w:r>
        <w:rPr>
          <w:b/>
        </w:rPr>
        <w:t>Shared claim-specific concepts:</w:t>
      </w:r>
      <w:r>
        <w:t xml:space="preserve"> here, climate, emission; EU scope visible. This is a provisional connection, not an outcome finding.</w:t>
      </w:r>
    </w:p>
    <w:p>
      <w:pPr>
        <w:pStyle w:val="SourceNote"/>
      </w:pPr>
      <w:r>
        <w:rPr>
          <w:b/>
        </w:rPr>
        <w:t>Available abstract (not full text):</w:t>
      </w:r>
      <w:r>
        <w:t xml:space="preserve"> Abstract Forests mitigate climate change by storing carbon and reducing emissions via substitution effects of wood products. Additionally, they provide many other important ecosystem services (ESs), but are vulnerable to climate change; therefore, adaptation is necessary. Climate‐smart forestry combines mitigation with adaptation, whilst facilitating the provision of many ESs. This is particularly challenging due to large uncertainties about future climate. Here, we combined ecosystem modeling with robust multi‐criteria optimization to assess how the provision of various ESs (climate change mitigation, timber provision, local cooling, water availability, and biodiversity habitat) can be guaranteed under a broad range of climate futures across Europe. Our optimized portfolios contain 29% unmanaged forests, and implicate a successive conversion of 34% of coniferous to broad‐leaved forests (11% vice versa). Coppices practically vanish from Southern Europe, mainly due to their high water requirement. We find the high shares of unmanaged forests necessary to keep European forests a carbon sink while broad‐leaved and unmanaged forests contribute to local cooling through biogeophysical effects. Unmanaged forests also pose the largest benefit for biodiversity habitat. However, the increased shares of unmanaged and broad‐leaved forests lead to reductions in harvests. This raises the que</w:t>
      </w:r>
    </w:p>
    <w:p>
      <w:pPr/>
      <w:r>
        <w:rPr>
          <w:b/>
        </w:rPr>
        <w:t>POSSIBLE 2022:</w:t>
      </w:r>
      <w:r>
        <w:t xml:space="preserve"> Predictive performance of multi-model ensemble forecasts of COVID-19 across European nations — https://doi.org/10.1101/2022.06.16.22276024</w:t>
      </w:r>
    </w:p>
    <w:p>
      <w:pPr/>
      <w:r>
        <w:rPr>
          <w:b/>
        </w:rPr>
        <w:t>Shared claim-specific concepts:</w:t>
      </w:r>
      <w:r>
        <w:t xml:space="preserve"> here, data, two, globally, based; EU scope visible. This is a provisional connection, not an outcome finding.</w:t>
      </w:r>
    </w:p>
    <w:p>
      <w:pPr>
        <w:pStyle w:val="SourceNote"/>
      </w:pPr>
      <w:r>
        <w:rPr>
          <w:b/>
        </w:rPr>
        <w:t>Available abstract (not full text):</w:t>
      </w:r>
      <w:r>
        <w:t xml:space="preserve"> Abstract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from a standardised source over the next one to four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and </w:t>
      </w:r>
    </w:p>
    <w:p>
      <w:pPr/>
      <w:r>
        <w:rPr>
          <w:b/>
        </w:rPr>
        <w:t>POSSIBLE 2022:</w:t>
      </w:r>
      <w:r>
        <w:t xml:space="preserve"> Predicting European cities’ climate mitigation performance using machine learning — https://doi.org/10.1038/s41467-022-35108-5</w:t>
      </w:r>
    </w:p>
    <w:p>
      <w:pPr/>
      <w:r>
        <w:rPr>
          <w:b/>
        </w:rPr>
        <w:t>Shared claim-specific concepts:</w:t>
      </w:r>
      <w:r>
        <w:t xml:space="preserve"> here, climate, data, predict; EU scope visible. This is a provisional connection, not an outcome finding.</w:t>
      </w:r>
    </w:p>
    <w:p>
      <w:pPr>
        <w:pStyle w:val="SourceNote"/>
      </w:pPr>
      <w:r>
        <w:rPr>
          <w:b/>
        </w:rPr>
        <w:t>Available abstract (not full text):</w:t>
      </w:r>
      <w:r>
        <w:t xml:space="preserve"> Although cities have risen to prominence as climate actors, emissions' data scarcity has been the primary challenge to evaluating their performance. Here we develop a scalable, replicable machine learning approach for evaluating the mitigation performance for nearly all local administrative areas in Europe from 2001-2018. By combining publicly available, spatially explicit environmental and socio-economic data with self-reported emissions data from European cities, we predict annual carbon dioxide emissions to explore trends in city-scale mitigation performance. We find that European cities participating in transnational climate initiatives have likely decreased emissions since 2001, with slightly more than half likely to have achieved their 2020 emissions reduction target. Cities who report emissions data are more likely to have achieved greater reductions than those who fail to report any data. Despite its limitations, our model provides a replicable, scalable starting point for understanding city-level climate emissions mitigation performance.</w:t>
      </w:r>
    </w:p>
    <w:p>
      <w:pPr>
        <w:pStyle w:val="Heading2"/>
      </w:pPr>
      <w:r>
        <w:t>894. Shifts, turning points and inertia exploring long-term industry trends in European transport</w:t>
      </w:r>
    </w:p>
    <w:p>
      <w:pPr>
        <w:pStyle w:val="SourceNote"/>
      </w:pPr>
      <w:r>
        <w:rPr>
          <w:b/>
        </w:rPr>
        <w:t>Original source (2015):</w:t>
      </w:r>
      <w:r>
        <w:t xml:space="preserve"> https://doi.org/10.1007/s40309-015-0070-0</w:t>
      </w:r>
    </w:p>
    <w:p>
      <w:pPr/>
      <w:r>
        <w:t>Original wording (abstract; indexed_source_text_not_full_document_verified): Such an analysis steps further into the technological realm, and targets social, industrial and political issues, which could affect the future of transport up until 2050, with a special focus on the post-ownership economy.</w:t>
      </w:r>
    </w:p>
    <w:p>
      <w:pPr/>
      <w:r>
        <w:rPr>
          <w:b/>
        </w:rPr>
        <w:t>POSSIBLE 2026:</w:t>
      </w:r>
      <w:r>
        <w:t xml:space="preserve"> The European Union and Strategic Autonomy: Political, Economic and Technological Challenges — https://doi.org/10.47459/cndcgs.2026.42</w:t>
      </w:r>
    </w:p>
    <w:p>
      <w:pPr/>
      <w:r>
        <w:rPr>
          <w:b/>
        </w:rPr>
        <w:t>Shared claim-specific concepts:</w:t>
      </w:r>
      <w:r>
        <w:t xml:space="preserve"> technological, political, focus; EU scope visible. This is a provisional connection, not an outcome finding.</w:t>
      </w:r>
    </w:p>
    <w:p>
      <w:pPr>
        <w:pStyle w:val="SourceNote"/>
      </w:pPr>
      <w:r>
        <w:rPr>
          <w:b/>
        </w:rPr>
        <w:t>Available abstract (not full text):</w:t>
      </w:r>
      <w:r>
        <w:t xml:space="preserve"> This paper explores the potentialities and constraints of building the European Union's strategic autonomy in a new geopolitical era marked by the rivalry between the United States and China, the weakening of the multilateral order, and the consequences of the war in Ukraine. The authors primarily focus on the political, economic, and technological dimensions of autonomy, utilising relevant scientific methods within an interdisciplinary research framework, primarily the analytical-synthetic method, content and comparative analysis, as well as the scenario approach. The findings indicate that the EU is capable of progressively reducing its dependency through the diversification of resources, investments in development, research, and innovation, and the strengthening of digital and technological sovereignty. Simultaneously, however, the Union faces serious limitations, the fiscal constraints of the Member States, the fragmentation of its foreign and security policy, and a persistent reliance on the United States in the area of defence. The EU’s future position will therefore hinge on its ability to consolidate its economic and technological potential and transform it into a unified political will and a credible geopolitical power.</w:t>
      </w:r>
    </w:p>
    <w:p>
      <w:pPr/>
      <w:r>
        <w:rPr>
          <w:b/>
        </w:rPr>
        <w:t>POSSIBLE 2025:</w:t>
      </w:r>
      <w:r>
        <w:t xml:space="preserve"> Economic, technological and environmental drivers of the circular economy in the European Union: a panel data analysis — https://doi.org/10.1186/s12302-025-01119-4</w:t>
      </w:r>
    </w:p>
    <w:p>
      <w:pPr/>
      <w:r>
        <w:rPr>
          <w:b/>
        </w:rPr>
        <w:t>Shared claim-specific concepts:</w:t>
      </w:r>
      <w:r>
        <w:t xml:space="preserve"> technological, focus, economy; EU scope visible. This is a provisional connection, not an outcome finding.</w:t>
      </w:r>
    </w:p>
    <w:p>
      <w:pPr>
        <w:pStyle w:val="SourceNote"/>
      </w:pPr>
      <w:r>
        <w:rPr>
          <w:b/>
        </w:rPr>
        <w:t>Available abstract (not full text):</w:t>
      </w:r>
      <w:r>
        <w:t xml:space="preserve"> The circular economy has become a strategic priority in the European Union, aiming to reduce dependence on finite natural resources and promote a sustainable economic model. This study investigates the key factors influencing the use of circular materials in the European Union between 2010 and 2022, considering the impact of global challenges such as the coronavirus pandemic, the energy crisis, and geopolitical tensions. Unlike previous research, this study integrates economic, technological, and environmental dimensions, with a particular focus on the role of digital transformation as a catalyst for circularity. The research applies an econometric model based on the analysis of panel data to explore the interconnections between resource productivity, recycling rates, private sector investment, digitalization, and expenditures on research and development. The findings reveal a strong positive relationship between resource efficiency, recycling efforts, and the use of circular materials, emphasizing the importance of infrastructure and technological advancements in supporting circularity. However, significant regional differences among European Union member states are also identified, highlighting the need for targeted policies to address these disparities. In the context of European policies such as the Green Deal and the Circular Economy Action Plan, this study provides valuab</w:t>
      </w:r>
    </w:p>
    <w:p>
      <w:pPr/>
      <w:r>
        <w:rPr>
          <w:b/>
        </w:rPr>
        <w:t>POSSIBLE 2025:</w:t>
      </w:r>
      <w:r>
        <w:t xml:space="preserve"> Simulating the Impact of Employment Growth on Poverty: Implications for the European Social Targets — https://doi.org/10.17645/si.9903</w:t>
      </w:r>
    </w:p>
    <w:p>
      <w:pPr/>
      <w:r>
        <w:rPr>
          <w:b/>
        </w:rPr>
        <w:t>Shared claim-specific concepts:</w:t>
      </w:r>
      <w:r>
        <w:t xml:space="preserve"> further, targets, affect; EU scope visible. This is a provisional connection, not an outcome finding.</w:t>
      </w:r>
    </w:p>
    <w:p>
      <w:pPr>
        <w:pStyle w:val="SourceNote"/>
      </w:pPr>
      <w:r>
        <w:rPr>
          <w:b/>
        </w:rPr>
        <w:t>Available abstract (not full text):</w:t>
      </w:r>
      <w:r>
        <w:t xml:space="preserve"> The European Pillar of Social Rights Action Plan sets ambitious targets to be achieved by 2030, including reducing the number of people at risk of poverty or social exclusion (AROPE) by 15 million and raising the employment rate to 78% among the working‐age population. This article investigates the extent to which employment growth to the level of the 2030 employment rate target can deliver on the EU’s 2030 social target. Departing from key theoretical perspectives, we explore five mediating mechanisms that shape the relationship between employment and poverty, including job distribution across households, job quality, and social protection effectiveness. Our twofold analytical strategy first assesses past trends between employment and poverty indicators and then employs shift‐share and regression‐based simulations to estimate how different employment growth scenarios may affect the active‐age population’s at‐risk‐of‐poverty (AROP(a)) and the total population’s at‐risk‐of‐poverty and social exclusion (AROPE) outcomes by 2030. The analysis confirms that employment growth, though it has a strong effect on poverty, is unlikely to deliver the EU’s poverty reduction target without further policy intervention. The full potential of employment growth to reduce poverty depends on, among other things, the distribution of jobs across households. While the EU has long promoted employment </w:t>
      </w:r>
    </w:p>
    <w:p>
      <w:pPr/>
      <w:r>
        <w:rPr>
          <w:b/>
        </w:rPr>
        <w:t>POSSIBLE 2025:</w:t>
      </w:r>
      <w:r>
        <w:t xml:space="preserve"> Social Determinants of Underachievement in Europe and Buffering Aspects — https://doi.org/10.5281/zenodo.17360384</w:t>
      </w:r>
    </w:p>
    <w:p>
      <w:pPr/>
      <w:r>
        <w:rPr>
          <w:b/>
        </w:rPr>
        <w:t>Shared claim-specific concepts:</w:t>
      </w:r>
      <w:r>
        <w:t xml:space="preserve"> steps, further, issues; EU scope visible. This is a provisional connection, not an outcome finding.</w:t>
      </w:r>
    </w:p>
    <w:p>
      <w:pPr>
        <w:pStyle w:val="SourceNote"/>
      </w:pPr>
      <w:r>
        <w:rPr>
          <w:b/>
        </w:rPr>
        <w:t>Available abstract (not full text):</w:t>
      </w:r>
      <w:r>
        <w:t xml:space="preserve"> This publication reports on the work of the SCIREARLY Horizon Europe consortium, which was formed to address the connected issues of early school leaving and underachievement in Europe. SCIREARLY, which was a three-year project funded by the European Commission, focused on enabling children to learn and thrive in school and complete their education. The project recognised the crucial role that schools play in a child’s development and expressed concern over children who struggle or leave school prematurely. This initiative was a collaboration between various institutions from ten different European countries. Its main objectives included conducting research on effective practices in schools and understanding how some educational institutions successfully retain their students, providing them with the best opportunities for learning and well-being. This report is presented as the final outcome of WP1 of the SCIREARLY Project which deals social determinants of educational underachievement in Europe and buffering aspects. The work package set itself the objectives of: • Analysing the social determinants and root causes of underachievement and school dropout at primary and secondary education level. • Mapping successful and less successful policies targeting the achievement gap from a comparative perspective. In the conceptualisation of this work package, it was designed to be a se</w:t>
      </w:r>
    </w:p>
    <w:p>
      <w:pPr/>
      <w:r>
        <w:rPr>
          <w:b/>
        </w:rPr>
        <w:t>POSSIBLE 2024:</w:t>
      </w:r>
      <w:r>
        <w:t xml:space="preserve"> The State of European Social Rights and European Social Citizenship in the EU — https://doi.org/10.5281/zenodo.10840423</w:t>
      </w:r>
    </w:p>
    <w:p>
      <w:pPr/>
      <w:r>
        <w:rPr>
          <w:b/>
        </w:rPr>
        <w:t>Shared claim-specific concepts:</w:t>
      </w:r>
      <w:r>
        <w:t xml:space="preserve"> further, targets, affect, focus; EU scope visible. This is a provisional connection, not an outcome finding.</w:t>
      </w:r>
    </w:p>
    <w:p>
      <w:pPr>
        <w:pStyle w:val="SourceNote"/>
      </w:pPr>
      <w:r>
        <w:rPr>
          <w:b/>
        </w:rPr>
        <w:t>Available abstract (not full text):</w:t>
      </w:r>
      <w:r>
        <w:t xml:space="preserve"> This Flagship report brings together the research of the EuSocialCit project about the State of European Social Rights and European Social Citizenship. It consists of 12 chapters covering all substantive work packages of the project. After the introduction, chapter 2 presents a novel, multi-level, power resource-based conceptualization of EU social rights that considers a social right as a bundle of three types of individual power resources: normative, instrumental and enforcement power resources. These three power resources are needed for the concrete fruition of the content of social rights by individuals. Chapter 3 discusses the extent to which the EU social rights that emerged after the adoption of the EPSR introduce these three types of power resources or fail to do so. Chapter 4 further develops the concept of instrumental power resources, the most innovative aspect of the conceptualization presented in chapter 2 and crucial for making social rights accessible to citizens. Chapter 5 analyzes the implementation of the EU’s Work-Life Balance Directive in five member states, the extent to which this implementation offers instrumental resources to right holders, and how differences between countries concerning the availability of instrumental resources affect the actual take up of parental leave. Chapter 6 discusses the normative (legal) and instrumental power resources avail</w:t>
      </w:r>
    </w:p>
    <w:p>
      <w:pPr/>
      <w:r>
        <w:rPr>
          <w:b/>
        </w:rPr>
        <w:t>POSSIBLE 2024:</w:t>
      </w:r>
      <w:r>
        <w:t xml:space="preserve"> The intersection of geopolitics and technological innovations: implications for the Central-European region — https://doi.org/10.14267/phd.2024016</w:t>
      </w:r>
    </w:p>
    <w:p>
      <w:pPr/>
      <w:r>
        <w:rPr>
          <w:b/>
        </w:rPr>
        <w:t>Shared claim-specific concepts:</w:t>
      </w:r>
      <w:r>
        <w:t xml:space="preserve"> further, technological, industrial, issues, special, focus; EU scope visible. This is a provisional connection, not an outcome finding.</w:t>
      </w:r>
    </w:p>
    <w:p>
      <w:pPr>
        <w:pStyle w:val="SourceNote"/>
      </w:pPr>
      <w:r>
        <w:rPr>
          <w:b/>
        </w:rPr>
        <w:t>Available abstract (not full text):</w:t>
      </w:r>
      <w:r>
        <w:t xml:space="preserve"> The thesis examines the effects of emerging technological innovations shaping contemporary geopolitics, through their impact on the economy, society, and international relations, with special focus on Hungary and the Central European region. It explores how modern geopolitical theories have evolved over the years and what leading scholars have proposed with regards to the phenomenon of innovation and emerging technologies. The thesis is an article-based dissertation, which includes three published scientific journal articles, that analyse specific findings on subtopics related to the broader scheme of geopolitics and innovation, such as China’s growth prospects in the Fourth Industrial Revolution; the phenomenon of disinformation warfare aided by novel technologies in the Central European region; and the potential of Artificial Intelligence (AI) solutions disrupting industries, and creating economic and social inequalities examined in the Hungarian context. The study wishes to make a contribution to the existing body of research by delving into a contemporary and relatively under-explored topic, offering a consistent theoretical and conceptual foundation and applying an innovative research approach. The thesis finds that there is a need to adapt geopolitical narratives to reflect a world system that is moving away from the traditional model of exclusive state actors and is char</w:t>
      </w:r>
    </w:p>
    <w:p>
      <w:pPr/>
      <w:r>
        <w:rPr>
          <w:b/>
        </w:rPr>
        <w:t>POSSIBLE 2023:</w:t>
      </w:r>
      <w:r>
        <w:t xml:space="preserve"> EUROPEAN UNION AT THE DAWN OF TECHNOLOGICAL COLD WAR — https://doi.org/10.12775/tis.2023.015</w:t>
      </w:r>
    </w:p>
    <w:p>
      <w:pPr/>
      <w:r>
        <w:rPr>
          <w:b/>
        </w:rPr>
        <w:t>Shared claim-specific concepts:</w:t>
      </w:r>
      <w:r>
        <w:t xml:space="preserve"> technological, political, focus; EU scope visible. This is a provisional connection, not an outcome finding.</w:t>
      </w:r>
    </w:p>
    <w:p>
      <w:pPr>
        <w:pStyle w:val="SourceNote"/>
      </w:pPr>
      <w:r>
        <w:rPr>
          <w:b/>
        </w:rPr>
        <w:t>Available abstract (not full text):</w:t>
      </w:r>
      <w:r>
        <w:t xml:space="preserve"> The purpose of the study was to construct a picture of the EU’s global position in a world defined by the US-Chinese technological Cold War. Morphological analysis has been used to enable a comprehensive analysis of the relationship between the technological and social domains. Structured interviews were also used to support the analytical process. The results of the exploration showed a picture of the EU’s multi-level technological weakness compared to competing powers. While the EU is not a weak entity, its future international position will depend on the creation of its own technological capabilities and on cooperation with the United States. Both lines of action are subject to multiple risks. Firstly, some aggressive technological developments (such as the plans to place microchips production in Europe) can generate more problems than diversification. Secondly, the EU must extend its work on high-tech (primarily AI) beyond the logic of market regulation and focus on their geopolitical and military dimension. It must also be ready for possible obstacles in cooperation with the United States. The alternative to this track, as the analysis shows, is the technological, and hence the political and economic peripheral status, where two technological superpowers – the United States and authoritarian China will compete. The most negative result for the EU is the status of “digital </w:t>
      </w:r>
    </w:p>
    <w:p>
      <w:pPr/>
      <w:r>
        <w:rPr>
          <w:b/>
        </w:rPr>
        <w:t>POSSIBLE 2023:</w:t>
      </w:r>
      <w:r>
        <w:t xml:space="preserve"> Technological Challenges and Opportunities to Plastics Valorization in the Context of a Circular Economy in Europe — https://doi.org/10.3390/su15043741</w:t>
      </w:r>
    </w:p>
    <w:p>
      <w:pPr/>
      <w:r>
        <w:rPr>
          <w:b/>
        </w:rPr>
        <w:t>Shared claim-specific concepts:</w:t>
      </w:r>
      <w:r>
        <w:t xml:space="preserve"> further, technological, issues, economy; EU scope visible. This is a provisional connection, not an outcome finding.</w:t>
      </w:r>
    </w:p>
    <w:p>
      <w:pPr>
        <w:pStyle w:val="SourceNote"/>
      </w:pPr>
      <w:r>
        <w:rPr>
          <w:b/>
        </w:rPr>
        <w:t>Available abstract (not full text):</w:t>
      </w:r>
      <w:r>
        <w:t xml:space="preserve"> The transition to a fully-fledged circular economy (CE) has proven to be challenging for many industries. Despite possible competitive advantages of moving industries towards CE activities, their practical implementation is still limited. This communication article delivers ad interim an identification of technological challenges and opportunities for the European plastics industries to facilitate circularity ambitions. In applying the qualitative-empirical Gioia-method utilizing the GABEK-WinRelan tool, specific technological challenges and opportunities for plastics industries were identified. Major findings indicate that technological challenges for plastics are predominantly seen in (C1) secondary material contamination; (C2) recycling processing issues; (C3) production processing issues; (C4) production material quality issues; and (C5) end-product quality issues, while the opportunities lie in (O1) effective secondary material management; (O2) innovation for chemical recycling; (O3) innovation for production and processability; (O4) innovative materials; and (O5) innovative end-products. This article contributes to the contemporary debate of CE challenges and opportunities to plastics valorization by highlighting the promising role of chemical recycling on a monomer-level as a key facilitator to a circular plastics economy. Further, it was found that technological transit</w:t>
      </w:r>
    </w:p>
    <w:p>
      <w:pPr/>
      <w:r>
        <w:rPr>
          <w:b/>
        </w:rPr>
        <w:t>POSSIBLE 2023:</w:t>
      </w:r>
      <w:r>
        <w:t xml:space="preserve"> Latest developments in Social Europe: Promising steps in need for future monitoring — https://doi.org/10.1111/jcms.13556</w:t>
      </w:r>
    </w:p>
    <w:p>
      <w:pPr/>
      <w:r>
        <w:rPr>
          <w:b/>
        </w:rPr>
        <w:t>Shared claim-specific concepts:</w:t>
      </w:r>
      <w:r>
        <w:t xml:space="preserve"> steps, further; EU scope visible. This is a provisional connection, not an outcome finding.</w:t>
      </w:r>
    </w:p>
    <w:p>
      <w:pPr>
        <w:pStyle w:val="SourceNote"/>
      </w:pPr>
      <w:r>
        <w:rPr>
          <w:b/>
        </w:rPr>
        <w:t>Available abstract (not full text):</w:t>
      </w:r>
      <w:r>
        <w:t xml:space="preserve"> After 2 years of dealing with the social consequences of the pandemic, European citizens and policy-makers entered 2022 with glimpses of hope regarding the prospects for economic, labour market and social recovery.Despite cross-country and within-country variation, the real output in the European Union (EU) had returned to its 2019 level by 2021.By spring of the same year, the average EU unemployment rate had reached January 2019 levels.Then, less than 2 months into the New Year, the Russian invasion of Ukraine brought war on the EU borders, altering previous patterns of recovery and established policy agendas.At the social level, the most relevant implication experienced by European citizens was the deepening of the inflationary trends that had started manifesting in 2021, which turned into a cost-of-living crisis over the course of 2022.While the actual impact of this further shock will be assessed fully in the coming years, the insecurity and precariousness that characterized the most vulnerable social groups revealed once again the existing gaps within welfare states and social protection systems from the local level to the supranational level.Similarly to what happened after the outbreak of the coronavirus pandemic, the responses by national policy-makers were swift and largely in the form of compensatory measures.The EU contributed to the financial effort by allowing memb</w:t>
      </w:r>
    </w:p>
    <w:p>
      <w:pPr/>
      <w:r>
        <w:rPr>
          <w:b/>
        </w:rPr>
        <w:t>POSSIBLE 2023:</w:t>
      </w:r>
      <w:r>
        <w:t xml:space="preserve"> Reviving Social Europe: a critical assessment of EU social policy in the wake of multiple crises — https://doi.org/10.17979/ejge.2023.12.2.9541</w:t>
      </w:r>
    </w:p>
    <w:p>
      <w:pPr/>
      <w:r>
        <w:rPr>
          <w:b/>
        </w:rPr>
        <w:t>Shared claim-specific concepts:</w:t>
      </w:r>
      <w:r>
        <w:t xml:space="preserve"> further, issues, focus, economy; EU scope visible. This is a provisional connection, not an outcome finding.</w:t>
      </w:r>
    </w:p>
    <w:p>
      <w:pPr>
        <w:pStyle w:val="SourceNote"/>
      </w:pPr>
      <w:r>
        <w:rPr>
          <w:b/>
        </w:rPr>
        <w:t>Available abstract (not full text):</w:t>
      </w:r>
      <w:r>
        <w:t xml:space="preserve"> The concept of "Social Europe" encompasses the European Union's social policy framework. This paper argues that the financial crisis of 2007-2009, the subsequent Euro crisis, and the ensuing austerity measures diverted significant attention away from Social Europe. This neglect led to declining living standards, reductions in public services, and the emergence of critical challenges such as the gig economy. In recent years, the COVID-19 pandemic has further exacerbated these issues, prompting a renewed focus on Social Europe by EU institutions. This paper conducts a chronological analysis of recent legislative (acquis) and non-legislative (soft power) instruments implemented to address these challenges and assesses the prospects of Social Europe in the near term.</w:t>
      </w:r>
    </w:p>
    <w:p>
      <w:pPr/>
      <w:r>
        <w:rPr>
          <w:b/>
        </w:rPr>
        <w:t>POSSIBLE 2023:</w:t>
      </w:r>
      <w:r>
        <w:t xml:space="preserve"> Further steps in the digitalisation of tax law — https://doi.org/10.35925/j.multi.2023.2.19</w:t>
      </w:r>
    </w:p>
    <w:p>
      <w:pPr/>
      <w:r>
        <w:rPr>
          <w:b/>
        </w:rPr>
        <w:t>Shared claim-specific concepts:</w:t>
      </w:r>
      <w:r>
        <w:t xml:space="preserve"> steps, further, technological; EU scope not established. This is a provisional connection, not an outcome finding.</w:t>
      </w:r>
    </w:p>
    <w:p>
      <w:pPr>
        <w:pStyle w:val="SourceNote"/>
      </w:pPr>
      <w:r>
        <w:rPr>
          <w:b/>
        </w:rPr>
        <w:t>Available abstract (not full text):</w:t>
      </w:r>
      <w:r>
        <w:t xml:space="preserve"> The digitalization of tax law has a decade-long history, the primary goal of which is to increase government revenues and reduce tax evasion. Several elements of this digitalization process are known: the online cash register, the Electronic Road Traffic Control System (EKÁER) system and the Online Invoicing System. My main objective is to prove how useful the state-of-the-art technological solutions that have been debuting in recent years are from the point of view of public finances, since, for example, VAT revenues have more than doubled. In this study, I undertake to review the most important rules of the Online Invoicing System. After examining the legal background, I am processing a case brought before the Curia in which the plaintiff of the dispute was a VAT taxpayer who was unentitled to deduct tax, and the defendant was the Appeal Directorate of the National Tax and Customs Administration (NAV). Next, I will look at an Argentine procedure, electronic invoicing – e-Factura in Spanish – which has been optional on a voluntary basis since 2003 and has become mandatory for all taxpayers subject to VAT since 2016. The introduction of the new system was implemented in stages and was finally fully implemented by 2019. At the end of the article, I discuss the changes affecting the Hungarian regulations in 2023, and then I present the revised rules of e-VAT and finally the e-rec</w:t>
      </w:r>
    </w:p>
    <w:p>
      <w:pPr/>
      <w:r>
        <w:rPr>
          <w:b/>
        </w:rPr>
        <w:t>POSSIBLE 2021:</w:t>
      </w:r>
      <w:r>
        <w:t xml:space="preserve"> The state of innovative development and further steps towards the neo-economy of Ukraine in the first quarter of the XXI century — https://doi.org/10.33731/52020.233745</w:t>
      </w:r>
    </w:p>
    <w:p>
      <w:pPr/>
      <w:r>
        <w:rPr>
          <w:b/>
        </w:rPr>
        <w:t>Shared claim-specific concepts:</w:t>
      </w:r>
      <w:r>
        <w:t xml:space="preserve"> steps, further, technological; EU scope visible. This is a provisional connection, not an outcome finding.</w:t>
      </w:r>
    </w:p>
    <w:p>
      <w:pPr>
        <w:pStyle w:val="SourceNote"/>
      </w:pPr>
      <w:r>
        <w:rPr>
          <w:b/>
        </w:rPr>
        <w:t>Available abstract (not full text):</w:t>
      </w:r>
      <w:r>
        <w:t xml:space="preserve"> Revutsky S. The state of innovative development and further steps towards the neo-economy of Ukraine in the first quarter of the XXI century. The article examines the state of innovative development in Ukraine in comparison with world leaders. Comparative analysis of goals, priorities and directions of development and modernization of public policy to achieve the level of neo-economy, which is formed under the influence of the new paradigm of scientific and technological development and technological revolution, which is now observed in many countries. From the above data we see that among the common shortcomings of our economic strategy and development program are: ambiguity and inconsistency of goals, mechanisms and objectives, sources of funding and general backwardness in approaches, which requires the use of European approaches to achieve the goal. Relying only on outdated methods of production and labor, the country loses competitiveness in the world market, lagging behind in technological development due to lack of innovation and research in the necessary areas, while the existing system is uncertain and has no financial or legal basis for efficient operation. When the whole world moves to new technological levels, raising its level to the fifth and sixth levels, our state, without a clear leadership and base, lags behind in innovation. That is why the article substantia</w:t>
      </w:r>
    </w:p>
    <w:p>
      <w:pPr>
        <w:pStyle w:val="Heading2"/>
      </w:pPr>
      <w:r>
        <w:t>895. TRANSPORT PROJECT EVALUATION: FEASIBILITY RISK ASSESSMENT AND SCENARIO FORECASTING</w:t>
      </w:r>
    </w:p>
    <w:p>
      <w:pPr>
        <w:pStyle w:val="SourceNote"/>
      </w:pPr>
      <w:r>
        <w:rPr>
          <w:b/>
        </w:rPr>
        <w:t>Original source (2015):</w:t>
      </w:r>
      <w:r>
        <w:t xml:space="preserve"> https://doi.org/10.3846/16484142.2015.1063003</w:t>
      </w:r>
    </w:p>
    <w:p>
      <w:pPr/>
      <w:r>
        <w:t>Original wording (abstract; indexed_source_text_not_full_document_verified): Finally, RSF makes use of scenario forecasting where trend scenarios such as economic growth and level of cross-border integration are investigated.</w:t>
      </w:r>
    </w:p>
    <w:p>
      <w:pPr/>
      <w:r>
        <w:rPr>
          <w:b/>
        </w:rPr>
        <w:t>POSSIBLE 2026:</w:t>
      </w:r>
      <w:r>
        <w:t xml:space="preserve"> India and the World Press Freedom Index: A Critical Examination of Media Freedom in the World's Largest Democracy — https://doi.org/10.5281/zenodo.21851588</w:t>
      </w:r>
    </w:p>
    <w:p>
      <w:pPr/>
      <w:r>
        <w:rPr>
          <w:b/>
        </w:rPr>
        <w:t>Shared claim-specific concepts:</w:t>
      </w:r>
      <w:r>
        <w:t xml:space="preserve"> finally, rsf, trend; EU scope not established. This is a provisional connection, not an outcome finding.</w:t>
      </w:r>
    </w:p>
    <w:p>
      <w:pPr>
        <w:pStyle w:val="SourceNote"/>
      </w:pPr>
      <w:r>
        <w:rPr>
          <w:b/>
        </w:rPr>
        <w:t>Available abstract (not full text):</w:t>
      </w:r>
      <w:r>
        <w:t xml:space="preserve"> This paper examines the state of press freedom in India and evaluates the extent to which political influence, corporate ownership, regulatory weaknesses, and economic pressures have affected the ability of the Indian press to perform its constitutional role as the Fourth Estate. Although freedom of speech and expression is guaranteed under Article 19(1)(a) of the Constitution of India, concerns regarding media independence, journalist safety, concentrated media ownership, misuse of legal provisions, and increasing economic dependence on government and corporate advertising have intensified in recent years. The study analyses India's performance in the World Press Freedom Index published by Reporters Without Borders (RSF), highlighting the country's declining ranking and the factors contributing to this trend. It further explores the relationship between press freedom and democratic governance, emphasizing the role of an independent media in ensuring transparency, accountability, and informed public participation. Through an examination of legal frameworks, media ownership structures, regulatory institutions, and contemporary challenges such as misinformation and journalist harassment, the paper identifies key obstacles to media independence in India. Finally, it proposes legal and policy reforms aimed at strengthening press freedom, improving journalist protection, enhancing r</w:t>
      </w:r>
    </w:p>
    <w:p>
      <w:pPr/>
      <w:r>
        <w:rPr>
          <w:b/>
        </w:rPr>
        <w:t>POSSIBLE 2026:</w:t>
      </w:r>
      <w:r>
        <w:t xml:space="preserve"> Radiative strength functions from the energy-localized Brink-Axel hypothesis — https://doi.org/10.1103/kg6r-t5d1</w:t>
      </w:r>
    </w:p>
    <w:p>
      <w:pPr/>
      <w:r>
        <w:rPr>
          <w:b/>
        </w:rPr>
        <w:t>Shared claim-specific concepts:</w:t>
      </w:r>
      <w:r>
        <w:t xml:space="preserve"> rsf, makes, use; EU scope not established. This is a provisional connection, not an outcome finding.</w:t>
      </w:r>
    </w:p>
    <w:p>
      <w:pPr>
        <w:pStyle w:val="SourceNote"/>
      </w:pPr>
      <w:r>
        <w:rPr>
          <w:b/>
        </w:rPr>
        <w:t>Available abstract (not full text):</w:t>
      </w:r>
      <w:r>
        <w:t xml:space="preserve"> Radiative strength functions (RSFs) model the bulk electromagnetic response of highly-excited nuclei and are critical inputs for statistical reaction codes. In this paper, we present a definition of the RSF that is consistent with Hauser-Feshbach reaction codes and that can be efficiently computed with the shell model using the Lanczos strength-function (LSF) method. We introduce a variant of the shell model LSF method that exploits the energy-localized Brink-Axel hypothesis, which makes it possible to compute both electric and magnetic RSFs across all energies relevant to capture reactions. We verify agreement with the conventional definition of RSFs with benchmark calculations of $^{24}$Mg, then present novel results for $^{56}$Fe. For $^{56}$Fe we find that: (i) the M1 RSF shape evolves smoothly with excitation energy, consistent with the energy-localized Brinkl-Axel hypothesis, (ii) both M1 and E1 transitions contribute significantly to the radiative strength below the photo-absorption threshold, and (iii) within the sdpf model space, the strength below 3 MeV observed in Oslo-type experiments cannot be fully reproduced. These results pave the way for a coherent microscopic description of the RSFs and further motivate the use of energy-dependent RSFs in modern reaction codes.</w:t>
      </w:r>
    </w:p>
    <w:p>
      <w:pPr/>
      <w:r>
        <w:rPr>
          <w:b/>
        </w:rPr>
        <w:t>POSSIBLE 2025:</w:t>
      </w:r>
      <w:r>
        <w:t xml:space="preserve"> Intergovernmental Fiscal Transfers and Regional Economic Performance: Evidence from Papua Province, Indonesia — https://doi.org/10.47191/ijmei/v11i9.07</w:t>
      </w:r>
    </w:p>
    <w:p>
      <w:pPr/>
      <w:r>
        <w:rPr>
          <w:b/>
        </w:rPr>
        <w:t>Shared claim-specific concepts:</w:t>
      </w:r>
      <w:r>
        <w:t xml:space="preserve"> rsf, use; EU scope not established. This is a provisional connection, not an outcome finding.</w:t>
      </w:r>
    </w:p>
    <w:p>
      <w:pPr>
        <w:pStyle w:val="SourceNote"/>
      </w:pPr>
      <w:r>
        <w:rPr>
          <w:b/>
        </w:rPr>
        <w:t>Available abstract (not full text):</w:t>
      </w:r>
      <w:r>
        <w:t xml:space="preserve"> Economic inequality between regions in Indonesia, particularly between Papua and other regions, remains a strategic issue despite Papua's abundant natural resources. Transfers of funds from the central government, such as the General Allocation Fund (GAF), Revenue Sharing Fund (RSF), and Special Autonomy Fund (SAF), are expected to boost regional economic growth. This study aims to analyze the influence of GAF, RSF, and SAF on Gross Regional Domestic Product (GRDP) of districts/cities in Papua Province. Secondary data were obtained from the Central Statistics Agency (BPS) and the Ministry of Finance for the period 2013–2022. The analysis method used panel data regression with a Fixed Effect Model selected through the Chow and Hausman test. The results show that GAF and RSF have a significant positive effect on GRDP, while SAF has no significant effect. This finding indicates that general transfers and revenue sharing can improve regional economic performance, while special autonomy funds have not yet provided the expected impact, likely due to constraints in governance and utilization effectiveness. Regional governments need to optimize the use of GAF and RSF for productive public spending and improve the SAF management mechanism to make a real contribution to Papua's economic growth.</w:t>
      </w:r>
    </w:p>
    <w:p>
      <w:pPr/>
      <w:r>
        <w:rPr>
          <w:b/>
        </w:rPr>
        <w:t>POSSIBLE 2024:</w:t>
      </w:r>
      <w:r>
        <w:t xml:space="preserve"> Sudan: Rethinking the Conflict Between Sudanese Armed Forces (SAF) and the Rapid Support Forces (RSF) — https://doi.org/10.1177/09749284241264073</w:t>
      </w:r>
    </w:p>
    <w:p>
      <w:pPr/>
      <w:r>
        <w:rPr>
          <w:b/>
        </w:rPr>
        <w:t>Shared claim-specific concepts:</w:t>
      </w:r>
      <w:r>
        <w:t xml:space="preserve"> rsf, integration; EU scope not established. This is a provisional connection, not an outcome finding.</w:t>
      </w:r>
    </w:p>
    <w:p>
      <w:pPr>
        <w:pStyle w:val="SourceNote"/>
      </w:pPr>
      <w:r>
        <w:rPr>
          <w:b/>
        </w:rPr>
        <w:t>Available abstract (not full text):</w:t>
      </w:r>
      <w:r>
        <w:t xml:space="preserve"> Sudan, the third largest nation in Africa, faces severe poverty despite its abundant natural resources. Recent economic restructuring efforts offer hope for growth, but a power struggle between the military and paramilitary forces has plunged the country into a crisis. Intense violence in Khartoum and other regions has led to widespread damage to infrastructure and facilities, triggering a humanitarian crisis with millions displaced and urgent aid needs. The conflict, sparked by disputes over paramilitary integration and control of economic assets, threatens regional stability and the transition to democracy. This article analyses the conflict’s origins and proposes potential resolutions using the Protracted Social Conflict Theory.</w:t>
      </w:r>
    </w:p>
    <w:p>
      <w:pPr/>
      <w:r>
        <w:rPr>
          <w:b/>
        </w:rPr>
        <w:t>POSSIBLE 2024:</w:t>
      </w:r>
      <w:r>
        <w:t xml:space="preserve"> Optimal eco‐emission scheduling of the reconfigurable solar farm‐based combined hydrogen, heat, and power (RSF‐CHHP) — https://doi.org/10.1049/gtd2.13223</w:t>
      </w:r>
    </w:p>
    <w:p>
      <w:pPr/>
      <w:r>
        <w:rPr>
          <w:b/>
        </w:rPr>
        <w:t>Shared claim-specific concepts:</w:t>
      </w:r>
      <w:r>
        <w:t xml:space="preserve"> rsf, use; EU scope not established. This is a provisional connection, not an outcome finding.</w:t>
      </w:r>
    </w:p>
    <w:p>
      <w:pPr>
        <w:pStyle w:val="SourceNote"/>
      </w:pPr>
      <w:r>
        <w:rPr>
          <w:b/>
        </w:rPr>
        <w:t>Available abstract (not full text):</w:t>
      </w:r>
      <w:r>
        <w:t xml:space="preserve"> Abstract Combined hydrogen, heat, and power (CHHP) is the cogeneration unit simultaneously meeting hydrogen, heat, and power demands. Due to the low efficiency of the electrolyser, the main grid or other generation units supply its input power. Herein, the photovoltaic farm's (PV farm) output power is used as the input power of the electrolyser. Optimal economic and emission scheduling of CHHP‐based microgrid (CHHP_MG) is defined as an objective function. To improve system efficiency, the scheduling problem is done in two cases, reconfigured SP‐PV farm and conventional SP‐PV farm. To optimal management of both demand and generation sides, a time of use (TOU) based demand response program is employed in the proposed short‐term study. To have a comprehensive study, the optimum solar panel tilt angle is calculated, and its impacts on the main function are analysed. Multi‐objective genetic algorithm is used to solve optimization problems. By solving the objective function, the obtained values for profit and pollution amount are 620$ and 69,245.78 gr, respectively. By applying the load response program, the mentioned values are changed to 715.132$ and 6872.5 gr. Since the input power is supplied through solar panels, the placement angle of the panels is very important and with the optimal setting of the placement angle, the values change to 780$ and 6825.3 gr.</w:t>
      </w:r>
    </w:p>
    <w:p>
      <w:pPr/>
      <w:r>
        <w:rPr>
          <w:b/>
        </w:rPr>
        <w:t>POSSIBLE 2024:</w:t>
      </w:r>
      <w:r>
        <w:t xml:space="preserve"> Fertility Postponement, Economic Uncertainty, and the Increasing Income Prerequisites of Parenthood — https://doi.org/10.1111/padr.12624</w:t>
      </w:r>
    </w:p>
    <w:p>
      <w:pPr/>
      <w:r>
        <w:rPr>
          <w:b/>
        </w:rPr>
        <w:t>Shared claim-specific concepts:</w:t>
      </w:r>
      <w:r>
        <w:t xml:space="preserve"> trend, level; EU scope not established. This is a provisional connection, not an outcome finding.</w:t>
      </w:r>
    </w:p>
    <w:p>
      <w:pPr>
        <w:pStyle w:val="SourceNote"/>
      </w:pPr>
      <w:r>
        <w:rPr>
          <w:b/>
        </w:rPr>
        <w:t>Available abstract (not full text):</w:t>
      </w:r>
      <w:r>
        <w:t xml:space="preserve"> Abstract Rich societies have witnessed a postponement of parenthood over the past two decades, and young adults’ economic conditions are often invoked to explain this trend. However, macro‐level trends in both “subjective” perceptions of economic uncertainty and “objective” measures of actual income provide no satisfactory explanation for the postponement of parenthood. We propose a potential solution to this puzzle by hypothesizing that the economic prerequisites of parenthood have increased over the past two decades. We expect that this has raised the degree of perceived economic certainty and the level of income that people wish to achieve before having a first child. To test this hypothesis, we draw on individual‐level longitudinal data from seven countries from the Comparative Panel File. Our findings show that young adults’ perceived economic uncertainty is not consistently associated with the transition to parenthood. Moreover, the effects of perceived economic uncertainty did not change over time. In contrast, we find consistent evidence that the link between income and first birth has become more strongly positive over the past two decades. This is true mainly for women but also for men, and suggests that increasing income prerequisites are a key mechanism behind the postponement of parenthood.</w:t>
      </w:r>
    </w:p>
    <w:p>
      <w:pPr/>
      <w:r>
        <w:rPr>
          <w:b/>
        </w:rPr>
        <w:t>POSSIBLE 2024:</w:t>
      </w:r>
      <w:r>
        <w:t xml:space="preserve"> Heat-Insulated Regenerated Fibers with UV Resistance: Silk Fibroin/Al2O3 Nanoparticles — https://doi.org/10.3390/molecules29092023</w:t>
      </w:r>
    </w:p>
    <w:p>
      <w:pPr/>
      <w:r>
        <w:rPr>
          <w:b/>
        </w:rPr>
        <w:t>Shared claim-specific concepts:</w:t>
      </w:r>
      <w:r>
        <w:t xml:space="preserve"> rsf, makes, use; EU scope not established. This is a provisional connection, not an outcome finding.</w:t>
      </w:r>
    </w:p>
    <w:p>
      <w:pPr>
        <w:pStyle w:val="SourceNote"/>
      </w:pPr>
      <w:r>
        <w:rPr>
          <w:b/>
        </w:rPr>
        <w:t>Available abstract (not full text):</w:t>
      </w:r>
      <w:r>
        <w:t xml:space="preserve"> The various wastes generated by silkworm silk textiles that are no longer in use are increasing, which is causing considerable waste and contamination. This issue has attracted widespread attention in countries that use a lot of silk. Therefore, enhancing the mechanical properties of regenerated silk fibroin (RSF) and enriching the function of silk are important directions to expand the comprehensive utilization of silk products. In this paper, the preparation of RSF/Al2O3 nanoparticles (NPs) hybrid fiber with different Al2O3 NPs contents by wet spinning and its novel performance are reported. It was found that the RSF/Al2O3 NPs hybrid fiber was a multifunctional fiber material with thermal insulation and UV resistance. Natural light tests showed that the temperature rise rate of RSF/Al2O3 NPs hybrid fibers was slower than that of RSF fibers, and the average temperature rose from 29.1 °C to about 35.4 °C in 15 min, while RSF fibers could rise to about 40.1 °C. UV absorption tests showed that the hybrid fiber was resistant to UV radiation. Furthermore, the addition of Al2O3 NPs may improve the mechanical properties of the hybrid fibers. This was because the blending of Al2O3 NPs promoted the self-assembly of β-sheets in the RSF reaction mixture in a dose-dependent manner, which was manifested as the RSF/Al2O3 NPs hybrid fibers had more β-sheets, crystallinity, and a smaller crys</w:t>
      </w:r>
    </w:p>
    <w:p>
      <w:pPr/>
      <w:r>
        <w:rPr>
          <w:b/>
        </w:rPr>
        <w:t>POSSIBLE 2023:</w:t>
      </w:r>
      <w:r>
        <w:t xml:space="preserve"> Exploring the Potential of Innovation on Rice Straw Fluff (RSF) in Roofing System — https://doi.org/10.32722/arcee.v4i02.5235</w:t>
      </w:r>
    </w:p>
    <w:p>
      <w:pPr/>
      <w:r>
        <w:rPr>
          <w:b/>
        </w:rPr>
        <w:t>Shared claim-specific concepts:</w:t>
      </w:r>
      <w:r>
        <w:t xml:space="preserve"> finally, rsf, level; EU scope not established. This is a provisional connection, not an outcome finding.</w:t>
      </w:r>
    </w:p>
    <w:p>
      <w:pPr>
        <w:pStyle w:val="SourceNote"/>
      </w:pPr>
      <w:r>
        <w:rPr>
          <w:b/>
        </w:rPr>
        <w:t>Available abstract (not full text):</w:t>
      </w:r>
      <w:r>
        <w:t xml:space="preserve"> The metal deck is a building material used on the roof of the house for protection. While rice straw is a plant that forms after the rice is harvested. Rice straws will usually be burned by rice farmers to produce fertile soil; however, this will encourage open burning which can destroy the sustainability of the environment which needs to be avoided. However, there are also many types of metal decks, including metal decks with Polyurethane foam (PU Foam) which are considered good sound absorbers and contain a mixture of chemicals that may be harmful. The existence of Rice Straw Fluff is expected to help those who are less able to get metal decks that are as good as metal decks with Polyurethane foam (PU Foam). Several tests were conducted to detect whether the products produced exceed the effectiveness and can work well. The first test is the Impedance Tube Method which is a method to detect and evaluate the efficient sound frequency level. By using this method, Rice Straw Fluff is tested, and the results and data taken are good and effective if used by consumers. The next test is the Fourier Transform Infrared Spectroscopy Method (FTIR) which is a method to detect the chemicals contained in Rice Straw Fluff and existing products. The result of this finding clearly shows that rice straw mixed with silicone rubber is alkaline in nature which is influenced by silicone rubber. Whi</w:t>
      </w:r>
    </w:p>
    <w:p>
      <w:pPr/>
      <w:r>
        <w:rPr>
          <w:b/>
        </w:rPr>
        <w:t>POSSIBLE 2023:</w:t>
      </w:r>
      <w:r>
        <w:t xml:space="preserve"> Development and visualization of a risk prediction model for metabolic syndrome: a longitudinal cohort study based on health check-up data in China — https://doi.org/10.3389/fnut.2023.1286654</w:t>
      </w:r>
    </w:p>
    <w:p>
      <w:pPr/>
      <w:r>
        <w:rPr>
          <w:b/>
        </w:rPr>
        <w:t>Shared claim-specific concepts:</w:t>
      </w:r>
      <w:r>
        <w:t xml:space="preserve"> finally, rsf, level; EU scope not established. This is a provisional connection, not an outcome finding.</w:t>
      </w:r>
    </w:p>
    <w:p>
      <w:pPr>
        <w:pStyle w:val="SourceNote"/>
      </w:pPr>
      <w:r>
        <w:rPr>
          <w:b/>
        </w:rPr>
        <w:t>Available abstract (not full text):</w:t>
      </w:r>
      <w:r>
        <w:t xml:space="preserve"> Aim: Our study aimed to construct a practical risk prediction model for metabolic syndrome (MetS) based on the longitudinal health check-up data, considering both the baseline level of physical examination indicators and their annual average cumulative exposure, and to provide some theoretical basis for the health management of Mets. Methods: The prediction model was constructed in male and female cohorts, separately. The shared set of predictive variables screened out from 49 important physical examination indicators by the univariate Cox model, Lasso-Cox model and the RSF algorithm collectively was further screened by Cox stepwise regression method. The screened predictors were used to construct prediction model by the Cox proportional hazards regression model and RSF model, respectively. Subsequently, the better method would be selected to develop final MetS predictive model according to comprehensive comparison and evaluation. Finally, the optimal model was validated internally and externally by the time-dependent ROC curve (tdROC) and concordance indexes (C-indexes). The constructed predictive model was converted to a web-based prediction calculator using the "shiny" package of the R4.2.1 software. Results: A total of 15 predictors were screened in the male cohort and 9 predictors in the female cohort. In both male and female cohorts, the prediction error curve of the RSF </w:t>
      </w:r>
    </w:p>
    <w:p>
      <w:pPr/>
      <w:r>
        <w:rPr>
          <w:b/>
        </w:rPr>
        <w:t>POSSIBLE 2023:</w:t>
      </w:r>
      <w:r>
        <w:t xml:space="preserve"> Combining Rigid Cellulose Nanocrystals and Soft Silk Proteins: Revealing Interactions and Alignment in Shear — https://doi.org/10.1002/admi.202300162</w:t>
      </w:r>
    </w:p>
    <w:p>
      <w:pPr/>
      <w:r>
        <w:rPr>
          <w:b/>
        </w:rPr>
        <w:t>Shared claim-specific concepts:</w:t>
      </w:r>
      <w:r>
        <w:t xml:space="preserve"> finally, rsf, investigated; EU scope not established. This is a provisional connection, not an outcome finding.</w:t>
      </w:r>
    </w:p>
    <w:p>
      <w:pPr>
        <w:pStyle w:val="SourceNote"/>
      </w:pPr>
      <w:r>
        <w:rPr>
          <w:b/>
        </w:rPr>
        <w:t>Available abstract (not full text):</w:t>
      </w:r>
      <w:r>
        <w:t xml:space="preserve"> Abstract Natural materials, such as silk and cellulose, have an inspiring set of properties, which have evolved over hundreds of millions of years. In this study, cellulose nanocrystals (CNCs) and regenerated silk fibroin (RSF) are combined to evaluate their suitability for filament formation. This is assessed by tuning and characterizing the interactions between these two materials and finally by studying the alignment of the mixtures under shear. To modify the interactions between CNCs and silk, CNCs with varying surface functionalities (sulfate and/or aminosilane groups) are used. The interactions and compatibility of the two components are investigated using quartz crystal microbalance with dissipation monitoring (QCM‐D) and photothermal atomic force microscopy (AFM‐IR), which show that ionic interactions induce sufficient binding between the two components. Then, the alignment of the CNC and silk mixtures is evaluated by shear‐induced polarized light imaging, which indicates that silk can orientate with the CNCs when not covalently bound. Finally, the potential of the materials for filament formation is tentatively demonstrated using an industrial dry‐spinning environment, where CNCs are expected to bring order and alignment, whereas RSF provides soft and more mobile regions to further facilitate the alignment of the final filament structure.</w:t>
      </w:r>
    </w:p>
    <w:p>
      <w:pPr/>
      <w:r>
        <w:rPr>
          <w:b/>
        </w:rPr>
        <w:t>POSSIBLE 2022:</w:t>
      </w:r>
      <w:r>
        <w:t xml:space="preserve"> Topic-based classification and identification of global trends for startup companies — https://doi.org/10.1007/s11187-022-00609-6</w:t>
      </w:r>
    </w:p>
    <w:p>
      <w:pPr/>
      <w:r>
        <w:rPr>
          <w:b/>
        </w:rPr>
        <w:t>Shared claim-specific concepts:</w:t>
      </w:r>
      <w:r>
        <w:t xml:space="preserve"> finally, trend; EU scope visible. This is a provisional connection, not an outcome finding.</w:t>
      </w:r>
    </w:p>
    <w:p>
      <w:pPr>
        <w:pStyle w:val="SourceNote"/>
      </w:pPr>
      <w:r>
        <w:rPr>
          <w:b/>
        </w:rPr>
        <w:t>Available abstract (not full text):</w:t>
      </w:r>
      <w:r>
        <w:t xml:space="preserve"> To foresee global economic trends, one needs to understand the present startup companies that soon may become new market leaders. In this paper, we explore textual descriptions of more than 250 thousand startups in the Crunchbase database. We analyze the 2009-2019 period by using topic modeling. We propose a novel classification of startup companies free from expert bias that contains 38 topics and quantifies the weight of each of these topics for all the startups. Taking the year of establishment and geographical location of the startups into account, we measure which topics were increasing or decreasing their share over time, and which of them were predominantly present in Europe, North America, or other regions. We find that the share of startups focused on data analytics, social platforms, and financial transfers, and time management has risen, while an opposite trend is observed for mobile gaming, online news, and online social networks as well as legal and professional services. We also identify strong regional differences in topic distribution, suggesting certain concentration of the startups. For example, sustainable agriculture is presented stronger in South America and Africa, while pharmaceutics, in North America and Europe. Furthermore, we explore which pairs of topics tend to co-occur more often together, quantify how multisectoral the startups are, and which start</w:t>
      </w:r>
    </w:p>
    <w:p>
      <w:pPr/>
      <w:r>
        <w:rPr>
          <w:b/>
        </w:rPr>
        <w:t>POSSIBLE 2022:</w:t>
      </w:r>
      <w:r>
        <w:t xml:space="preserve"> Experimental study on basic mechanical properties of recycled steel fiber reinforced concrete — https://doi.org/10.1515/rams-2022-0041</w:t>
      </w:r>
    </w:p>
    <w:p>
      <w:pPr/>
      <w:r>
        <w:rPr>
          <w:b/>
        </w:rPr>
        <w:t>Shared claim-specific concepts:</w:t>
      </w:r>
      <w:r>
        <w:t xml:space="preserve"> finally, rsf, trend; EU scope not established. This is a provisional connection, not an outcome finding.</w:t>
      </w:r>
    </w:p>
    <w:p>
      <w:pPr>
        <w:pStyle w:val="SourceNote"/>
      </w:pPr>
      <w:r>
        <w:rPr>
          <w:b/>
        </w:rPr>
        <w:t>Available abstract (not full text):</w:t>
      </w:r>
      <w:r>
        <w:t xml:space="preserve"> Abstract Recycled steel fiber (RSF)-reinforced concrete is not only an innovative research trend in the field of civil engineering materials, but also a new type of civil engineering composites under the trend of low-carbon development. This article deals with the experimental study of applying waste steel fibers to form recycled steel fiber concrete (RSFC). The main materials in this study are RSF, coarse and fine aggregate, fly ash, silica fume, and water reducer agent formed by machining surplus materials as the main materials. Three types of concrete were prepared. They were normal concrete, primary steel fiber concrete (PSFC), and RSFC with six different volume contents. The slump and air content of the three types of concrete are compared and analyzed. Then, the effects of the volume content of RSF on the cube compressive strength, splitting tensile strength, flexural strength, and axial compressive strength of RSFC are studied. Finally, the toughness of RSFC is discussed. The test results show that with the increase in the volume content of RSF, the slump of RSFC is significantly reduced, the compressive strength, tensile strength, and flexural strength are enhanced, the increase in tensile strength and flexural strength is significantly higher than the cube compressive strength, and the RSF has an obvious inhibitory effect on the development of concrete cracks which can</w:t>
      </w:r>
    </w:p>
    <w:p>
      <w:pPr>
        <w:pStyle w:val="Heading2"/>
      </w:pPr>
      <w:r>
        <w:t>896. Technopolis, shared resources or controlled mobility? A net-based Delphi-study to explore visions of future urban daily mobility in Norway</w:t>
      </w:r>
    </w:p>
    <w:p>
      <w:pPr>
        <w:pStyle w:val="SourceNote"/>
      </w:pPr>
      <w:r>
        <w:rPr>
          <w:b/>
        </w:rPr>
        <w:t>Original source (2015):</w:t>
      </w:r>
      <w:r>
        <w:t xml:space="preserve"> https://doi.org/10.1007/s40309-015-0069-6</w:t>
      </w:r>
    </w:p>
    <w:p>
      <w:pPr/>
      <w:r>
        <w:t>Original wording (abstract; indexed_source_text_not_full_document_verified): An explorative factor analysis (principal component analysis) is applied to reveal three slightly different understandings of how the urban future may look like in 2050. Although there are general agreements on the need for change, different ideas and visions for the future dominate across different groups of stakeholders and academics.</w:t>
      </w:r>
    </w:p>
    <w:p>
      <w:pPr/>
      <w:r>
        <w:rPr>
          <w:b/>
        </w:rPr>
        <w:t>POSSIBLE 2026:</w:t>
      </w:r>
      <w:r>
        <w:t xml:space="preserve"> Principal Component Analysis of Economic Factors Affecting Food Consumption and Labor Market Performance in the European Union — https://doi.org/10.35219/eai15840409587</w:t>
      </w:r>
    </w:p>
    <w:p>
      <w:pPr/>
      <w:r>
        <w:rPr>
          <w:b/>
        </w:rPr>
        <w:t>Shared claim-specific concepts:</w:t>
      </w:r>
      <w:r>
        <w:t xml:space="preserve"> principal, component, although; EU scope visible. This is a provisional connection, not an outcome finding.</w:t>
      </w:r>
    </w:p>
    <w:p>
      <w:pPr>
        <w:pStyle w:val="SourceNote"/>
      </w:pPr>
      <w:r>
        <w:rPr>
          <w:b/>
        </w:rPr>
        <w:t>Available abstract (not full text):</w:t>
      </w:r>
      <w:r>
        <w:t xml:space="preserve"> The study analyzes the structure of the relationships between the economic determinants of food consumption and labor market performance in the European Union, using an exploratory approach based on principal component analysis.The motivation for this research comes from the growing importance of food price dynamics and labor market transformations in the recent economic context, characterized by inflationary pressures and persistent structural differences among member states.The empirical analysis is based on secondary data extracted from Eurostat for the year 2024, covering a sample of 29 European countries.The set of variables used reflects the economic conditions of food consumption, through the harmonized food price index, as well as labor market performance, through indicators such as the economic activity rate, labor costs, and labor productivity.The adopted methodology, principal component analysis, allows for the reduction of data dimensionality and the identification of latent dimensions that structure the relationships between these variables, without imposing causality assumptions.The results highlight the existence of two principal components that explain 78.02% of the total variation in the data.The first component reflects a dimension of economic efficiency, characterized by the relationship between productivity, labor costs, and food price levels, suggesting the</w:t>
      </w:r>
    </w:p>
    <w:p>
      <w:pPr/>
      <w:r>
        <w:rPr>
          <w:b/>
        </w:rPr>
        <w:t>POSSIBLE 2026:</w:t>
      </w:r>
      <w:r>
        <w:t xml:space="preserve"> Exploring asylum patterns in Europe: a focus on Italy — https://doi.org/10.71014/sieds.v80i1.522</w:t>
      </w:r>
    </w:p>
    <w:p>
      <w:pPr/>
      <w:r>
        <w:rPr>
          <w:b/>
        </w:rPr>
        <w:t>Shared claim-specific concepts:</w:t>
      </w:r>
      <w:r>
        <w:t xml:space="preserve"> look, across, groups; EU scope visible. This is a provisional connection, not an outcome finding.</w:t>
      </w:r>
    </w:p>
    <w:p>
      <w:pPr>
        <w:pStyle w:val="SourceNote"/>
      </w:pPr>
      <w:r>
        <w:rPr>
          <w:b/>
        </w:rPr>
        <w:t>Available abstract (not full text):</w:t>
      </w:r>
      <w:r>
        <w:t xml:space="preserve"> In recent years, asylum applications have become a central issue in the European migration context, with varying dynamics across countries. In 2024, Italy ranks third in Europe for number of first-time asylum applicants. Excluding temporary protection requests granted due to the Russia-Ukraine conflict, asylum applications in 2023 and 2024 have returned to the peak levels recorded during the Mediterranean crisis in 2016. This study aims to enhance understanding of the phenomenon through a multi-level approach. At the European level, we implement a descriptive analysis of asylum applications using Eurostat data. The goal is to analyse the distribution of socio-demographic indicators, such as the share of women or young people among applicants, within the European countries. Through multivariate analysis, we look for common patterns in asylum applications and groups of countries with similar profiles. The focus then shifts to Italy, where we investigate the evolution of asylum-seeker inflows, with particular attention to the cohort that entered in 2016, following the Mediterranean crisis. We trace these individuals up to 2024, to assess their presence and the reason for the residence permits they hold. A multinomial regression model is used to analyse the factors associated with permit transitions. The analysis seeks to highlight patterns and potential determinants that shape the</w:t>
      </w:r>
    </w:p>
    <w:p>
      <w:pPr/>
      <w:r>
        <w:rPr>
          <w:b/>
        </w:rPr>
        <w:t>POSSIBLE 2025:</w:t>
      </w:r>
      <w:r>
        <w:t xml:space="preserve"> Exploring intergenerational educational mobility : the role of personal and national factors across Europe — https://openalex.org/W7122348182</w:t>
      </w:r>
    </w:p>
    <w:p>
      <w:pPr/>
      <w:r>
        <w:rPr>
          <w:b/>
        </w:rPr>
        <w:t>Shared claim-specific concepts:</w:t>
      </w:r>
      <w:r>
        <w:t xml:space="preserve"> reveal, like, across; EU scope visible. This is a provisional connection, not an outcome finding.</w:t>
      </w:r>
    </w:p>
    <w:p>
      <w:pPr>
        <w:pStyle w:val="SourceNote"/>
      </w:pPr>
      <w:r>
        <w:rPr>
          <w:b/>
        </w:rPr>
        <w:t>Available abstract (not full text):</w:t>
      </w:r>
      <w:r>
        <w:t xml:space="preserve"> This paper aims at contributing to understand the interplay of personal and structural determinants of educational mobility. This study examines intergenerational educational mobility across 21 European countries, focusing on the role of individual and national factors in fostering upward mobility. Using data from the European Social Survey (2008-2020), the research begins by estimating absolute and relative mobility rates and continues analyzing the impact of individual attributes such as gender, ethnicity, and parental occupation, as well as macroeconomic variables, like income inequality and inflation, on upward educational mobility. The results obtained through regression analysis reveal that upward mobility is more likely among women and those from lower parental occupational backgrounds, whereas the effects of ethnic and immigrant status vary by context. At the national level, higher government education expenditure and household savings prove to be positively associated with mobility, while inflation serves as a barrier. Notably, income inequality's effect on mobility highlights complex regional dynamics.</w:t>
      </w:r>
    </w:p>
    <w:p>
      <w:pPr/>
      <w:r>
        <w:rPr>
          <w:b/>
        </w:rPr>
        <w:t>POSSIBLE 2025:</w:t>
      </w:r>
      <w:r>
        <w:t xml:space="preserve"> Exploring Principals’ Perceptions of Market Orientation in Modern Schools — https://doi.org/10.3390/admsci15050168</w:t>
      </w:r>
    </w:p>
    <w:p>
      <w:pPr/>
      <w:r>
        <w:rPr>
          <w:b/>
        </w:rPr>
        <w:t>Shared claim-specific concepts:</w:t>
      </w:r>
      <w:r>
        <w:t xml:space="preserve"> principal, three, across, stakeholders; EU scope not established. This is a provisional connection, not an outcome finding.</w:t>
      </w:r>
    </w:p>
    <w:p>
      <w:pPr>
        <w:pStyle w:val="SourceNote"/>
      </w:pPr>
      <w:r>
        <w:rPr>
          <w:b/>
        </w:rPr>
        <w:t>Available abstract (not full text):</w:t>
      </w:r>
      <w:r>
        <w:t xml:space="preserve"> Background/Purpose: In an increasingly competitive educational landscape, the school principal’s role has expanded beyond instructional leadership to include strategic marketing responsibilities. Yet the role of marketing in school leadership remains underexplored. Our objective was to investigate how Greek secondary school principals perceive marketing’s key dimensions (Customer Orientation, Competitor Orientation, and Inter-Functional Coordination) within schools, in comparison to other school staff members. Design/Methodology: A cross-sectional survey design was employed, collecting data using a structured questionnaire adapted from Oplatka and Hemsley-Brown. The sample comprised 350 respondents, including school principals and teaching staff. One-way ANOVA, supplemented by Games–Howell and Kruscall–Wallis tests, was employed to examine group differences across the three dimensions of market orientation. Results: Our findings indicate that principals demonstrate a higher level of Customer Orientation than other staff. However, no significant differences were found in Competitor Orientation or Inter-Functional Coordination across roles. Conclusions/Novelty: The findings suggest that while principals play a key role in aligning school functions and engaging with internal stakeholders, their sensitivity to external competition remains limited. The study highlights the evolving </w:t>
      </w:r>
    </w:p>
    <w:p>
      <w:pPr/>
      <w:r>
        <w:rPr>
          <w:b/>
        </w:rPr>
        <w:t>POSSIBLE 2024:</w:t>
      </w:r>
      <w:r>
        <w:t xml:space="preserve"> Monkeypox in Europe: Epidemiology and Risk Factors – A Scoping Review Study — https://doi.org/10.1101/2024.08.28.24312706</w:t>
      </w:r>
    </w:p>
    <w:p>
      <w:pPr/>
      <w:r>
        <w:rPr>
          <w:b/>
        </w:rPr>
        <w:t>Shared claim-specific concepts:</w:t>
      </w:r>
      <w:r>
        <w:t xml:space="preserve"> principal, although, across; EU scope visible. This is a provisional connection, not an outcome finding.</w:t>
      </w:r>
    </w:p>
    <w:p>
      <w:pPr>
        <w:pStyle w:val="SourceNote"/>
      </w:pPr>
      <w:r>
        <w:rPr>
          <w:b/>
        </w:rPr>
        <w:t>Available abstract (not full text):</w:t>
      </w:r>
      <w:r>
        <w:t xml:space="preserve"> Abstract Background Monkeypox (mpox) is a zoonotic disease originating from the Congo Basin (Clade I) and West Africa (Clade II). In 2022, mpox spread to non-endemic European countries, predominantly through human transmission associated with sexual contact. The outbreak in Europe was primarily with the Clade IIb lineage, which is less virulent. The World Health Organization (WHO) declared this outbreak a Public Health Emergency of International Concern (PHEIC) in 2022, which ended in May 2023 after a decline in cases. However, in July 2024, a resurgence of the more virulent Clade I occurred in the Democratic Republic of Congo (DRC), leading WHO to declare mpox a PHEIC again, due to the risk of global spread. Understanding epidemiology and risk factors of mpox is vital for effective public health measures. Methodology and principal findings A search conducted from 2014 to 2024 across PubMed, Scopus and Embase identified 38 studies on mpox in Europe, which were included for qualitative analysis. The key themes identified were epidemiology and risk factors/ behaviors. High-risk behaviors include sexual contact among men who have sex with men (MSM) with multiple partners, living with HIV, and frequent travel to endemic regions. Conclusions and significance With no definitive cure for mpox, public health measures such as surveillance, monitoring, and contact tracing are essential. </w:t>
      </w:r>
    </w:p>
    <w:p>
      <w:pPr/>
      <w:r>
        <w:rPr>
          <w:b/>
        </w:rPr>
        <w:t>POSSIBLE 2024:</w:t>
      </w:r>
      <w:r>
        <w:t xml:space="preserve"> Exploring high school principals' perceptions of essentials factors for high performing administrative teams — https://doi.org/10.17918/00010705</w:t>
      </w:r>
    </w:p>
    <w:p>
      <w:pPr/>
      <w:r>
        <w:rPr>
          <w:b/>
        </w:rPr>
        <w:t>Shared claim-specific concepts:</w:t>
      </w:r>
      <w:r>
        <w:t xml:space="preserve"> factor, principal, three, there; EU scope not established. This is a provisional connection, not an outcome finding.</w:t>
      </w:r>
    </w:p>
    <w:p>
      <w:pPr>
        <w:pStyle w:val="SourceNote"/>
      </w:pPr>
      <w:r>
        <w:rPr>
          <w:b/>
        </w:rPr>
        <w:t>Available abstract (not full text):</w:t>
      </w:r>
      <w:r>
        <w:t xml:space="preserve"> American schools are complex organizations responsible for the teaching and learning of students. Leading these dynamic institutions is the school principal and the influence of the principal is a leading factor in school outcomes and student achievement measures (Grissom et al., 2021). Thus, the principal is essential for school and student success; however, the complexity of secondary schools combined with increasing demands for accountability and school reform initiatives requires a collective approach to school leadership. As a result, the number of assistant principals has significantly increased to provide support and assistance in the leading and management of the school. The administrative team, acting on behalf of the principal, is instrumental when measuring school effectiveness and despite the prevalence of administrative teams, the research literature is largely silent on the collaborative structure responsible for school leadership. Moreover, there remains little investigation exploring the leadership styles of principals, the organization of administrative teams, and the perception of team effectiveness by the principal. This explanatory sequential mixed-method study explored this unknown landscape by delving into high school principals' perceptions of essential factors for high-performing administrative teams. As such, this study addressed the following research </w:t>
      </w:r>
    </w:p>
    <w:p>
      <w:pPr/>
      <w:r>
        <w:rPr>
          <w:b/>
        </w:rPr>
        <w:t>POSSIBLE 2024:</w:t>
      </w:r>
      <w:r>
        <w:t xml:space="preserve"> Exploring tourists' perceptions and influencing factors of creative tourism in Europe — https://doi.org/10.47743/eurint-2024-cli</w:t>
      </w:r>
    </w:p>
    <w:p>
      <w:pPr/>
      <w:r>
        <w:rPr>
          <w:b/>
        </w:rPr>
        <w:t>Shared claim-specific concepts:</w:t>
      </w:r>
      <w:r>
        <w:t xml:space="preserve"> reveal, there, groups; EU scope visible. This is a provisional connection, not an outcome finding.</w:t>
      </w:r>
    </w:p>
    <w:p>
      <w:pPr>
        <w:pStyle w:val="SourceNote"/>
      </w:pPr>
      <w:r>
        <w:rPr>
          <w:b/>
        </w:rPr>
        <w:t>Available abstract (not full text):</w:t>
      </w:r>
      <w:r>
        <w:t xml:space="preserve"> The emergence of co-creative interactions between tourists and touristic activities has extended in Europe generating increased interest, driven by contemporary trends in tourism emphasizing meaningful, authentic experiences and direct engagement with culture and local communities. Our paper aims to reveal insights and nuances in tourists' perceptions of creative destinations in Europe. The findings are based on a literature review on creative tourism and a qualitative methodology of two focus groups carried out with 20 people in total from 13 countries from Europe, including Bulgaria, Croatia, Estonia, Germany, Greece, Italy, Latvia, Lithuania, North Macedonia, Poland, Portugal, Romania and Spain. Within the focus groups there were explored the levels of understanding on the creative tourism concept, European destinations associated with creative tourism, influencing factors that stimulate engagement in creative tourism experiences in Europe as well future perspectives of creative tourism evolving in Europe. A diversity of opinions have emerged in consideration of creative tourism trends and patterns and the idea of a 'one-size-fits-all' model resulted to be particularly inappropriate in terms of creative tourism perceptions and experiences. Our analysis highlights several directions for further information development on the introduction of creative experiences into tourism d</w:t>
      </w:r>
    </w:p>
    <w:p>
      <w:pPr/>
      <w:r>
        <w:rPr>
          <w:b/>
        </w:rPr>
        <w:t>POSSIBLE 2023:</w:t>
      </w:r>
      <w:r>
        <w:t xml:space="preserve"> Relationships between factors of regional competitiveness in Central and Eastern Europe — https://doi.org/10.14254/2071-8330.2023/16-3/4</w:t>
      </w:r>
    </w:p>
    <w:p>
      <w:pPr/>
      <w:r>
        <w:rPr>
          <w:b/>
        </w:rPr>
        <w:t>Shared claim-specific concepts:</w:t>
      </w:r>
      <w:r>
        <w:t xml:space="preserve"> applied, reveal, different, general, across; EU scope visible. This is a provisional connection, not an outcome finding.</w:t>
      </w:r>
    </w:p>
    <w:p>
      <w:pPr>
        <w:pStyle w:val="SourceNote"/>
      </w:pPr>
      <w:r>
        <w:rPr>
          <w:b/>
        </w:rPr>
        <w:t>Available abstract (not full text):</w:t>
      </w:r>
      <w:r>
        <w:t xml:space="preserve"> The divide between the eastern and western parts of the European Union has been widely discussed. However, significant territorial differences are undoubtedly present even within the narrower eastern region of the EU. This study focuses on the competitiveness of regions in Central and Eastern Europe (CEE). The analysis relies on the pyramid model, the theoretical background of which provides the basis for investigating the factors affecting the competitiveness of the 51 NUTS 2 regions across six CEE countries. Partial least squares structural equation modelling (PLS-SEM) is applied to examine the relationships and effect mechanisms between the model’s factors (more specifically, between the latent variables representing the factors). We have adapted our general model to the so-called overperforming and underperforming regions described by Iammarino et al. (2019), exploring the connections of their competitiveness factors in this context. Research results reveal that the effect mechanisms observed between the above-mentioned regions are completely different. Various factors can be considered as either important or less decisive in terms of competitiveness development, which could have implications for regional policy moving forward.</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different, need, across;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three, across;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2022:</w:t>
      </w:r>
      <w:r>
        <w:t xml:space="preserve"> Exploring Factors Associated with Parent Engagement in A Parenting Program in Southeastern Europe — https://doi.org/10.1007/s10826-022-02411-0</w:t>
      </w:r>
    </w:p>
    <w:p>
      <w:pPr/>
      <w:r>
        <w:rPr>
          <w:b/>
        </w:rPr>
        <w:t>Shared claim-specific concepts:</w:t>
      </w:r>
      <w:r>
        <w:t xml:space="preserve"> three, different, there; EU scope visible. This is a provisional connection, not an outcome finding.</w:t>
      </w:r>
    </w:p>
    <w:p>
      <w:pPr>
        <w:pStyle w:val="SourceNote"/>
      </w:pPr>
      <w:r>
        <w:rPr>
          <w:b/>
        </w:rPr>
        <w:t>Available abstract (not full text):</w:t>
      </w:r>
      <w:r>
        <w:t xml:space="preserve"> Abstract Parental engagement in parenting programs is essential for good outcomes but can be challenging for many families. In low- and middle-income countries, where resources are limited and there are fewer support services, there is little research examining the factors that influence engagement. This mixed-methods study explored factors associated with parent engagement, as well as barriers and supports, in a pilot evaluation of a parenting program with 140 parents in North Macedonia, Republic of Moldova, and Romania. The relationship between various quantitative types of engagement (e.g., premature drop-out, participation) and a range of demographic, personal, and implementation factors were examined. Qualitative parent interviews explored barriers and supports to program engagement. Implementation variables (e.g., phone calls with parents, program fidelity and text messages sent to parents) were consistently positively associated with different types of engagement after controlling for other factors. Parents of boys, being a victim of intimate partner violence, more children in the household and better parental well-being were positively associated with premature drop-out whilst having a child enrolled in school was positively associated with participation. Barriers included logistical factors such as timing and lack of childcare facilities. Factors that increased engagem</w:t>
      </w:r>
    </w:p>
    <w:p>
      <w:pPr/>
      <w:r>
        <w:rPr>
          <w:b/>
        </w:rPr>
        <w:t>POSSIBLE 2022:</w:t>
      </w:r>
      <w:r>
        <w:t xml:space="preserve"> Exploring scale in social licence to operate: European perspectives — https://doi.org/10.1016/j.jclepro.2022.135552</w:t>
      </w:r>
    </w:p>
    <w:p>
      <w:pPr/>
      <w:r>
        <w:rPr>
          <w:b/>
        </w:rPr>
        <w:t>Shared claim-specific concepts:</w:t>
      </w:r>
      <w:r>
        <w:t xml:space="preserve"> three, although, there; EU scope visible. This is a provisional connection, not an outcome finding.</w:t>
      </w:r>
    </w:p>
    <w:p>
      <w:pPr>
        <w:pStyle w:val="SourceNote"/>
      </w:pPr>
      <w:r>
        <w:rPr>
          <w:b/>
        </w:rPr>
        <w:t>Available abstract (not full text):</w:t>
      </w:r>
      <w:r>
        <w:t xml:space="preserve"> This article explores the issue of scale in the social licence to operate (SLO) which, to date, is understudied. The community-company relationship is the original, and still predominant, conceptualization of the term with the less tangible society-industry relationship still not typically in focus. Although the literature distinguishes between community and societal scales, there is no research on why the distinction is important, how the two scales are integrated or whether they interact with and influence one another. Exploring scale in SLO is important for theoretical clarification of the concept, for better empirical understanding of the role mining plays in host localities and the broader society and for the potential to incentivize industry toward more responsible and sustainable practices. Europe's multi-layered governance structure combined with its push for more domestic mining activities provides an ideal crucible for debates of scale to play out. To investigate the community and societal scales in the European context within a single study, three main research questions guide the work: how do orientations toward SLO differ at the community and societal scales; how do these orientations influence the acceptance of mining at both scales; and how do these orientations interact and influence one another? Through quantitative analyses, we found that site level factors te</w:t>
      </w:r>
    </w:p>
    <w:p>
      <w:pPr>
        <w:pStyle w:val="Heading2"/>
      </w:pPr>
      <w:r>
        <w:t>897. The Future of Internationalization of Higher Education in Europe</w:t>
      </w:r>
    </w:p>
    <w:p>
      <w:pPr>
        <w:pStyle w:val="SourceNote"/>
      </w:pPr>
      <w:r>
        <w:rPr>
          <w:b/>
        </w:rPr>
        <w:t>Original source (2015):</w:t>
      </w:r>
      <w:r>
        <w:t xml:space="preserve"> https://doi.org/10.6017/ihe.2015.83.9073</w:t>
      </w:r>
    </w:p>
    <w:p>
      <w:pPr/>
      <w:r>
        <w:t>Original wording (abstract; indexed_source_text_not_full_document_verified): The study results in conclusions and recommendations on the future of internationalization of higher education in Europe, based on the national reports and a Delphi process among experts in international higher education. This is a summary of the key findings of the study, including a redefinition of the meaning of internationalization.</w:t>
      </w:r>
    </w:p>
    <w:p>
      <w:pPr/>
      <w:r>
        <w:rPr>
          <w:b/>
        </w:rPr>
        <w:t>POSSIBLE 2025:</w:t>
      </w:r>
      <w:r>
        <w:t xml:space="preserve"> Regional Pathways to Internationalization: The Role of Erasmus+ in European HEIs — https://doi.org/10.3390/urbansci9050144</w:t>
      </w:r>
    </w:p>
    <w:p>
      <w:pPr/>
      <w:r>
        <w:rPr>
          <w:b/>
        </w:rPr>
        <w:t>Shared claim-specific concepts:</w:t>
      </w:r>
      <w:r>
        <w:t xml:space="preserve"> conclusions, internationalization, higher, education, findings; EU scope visible. This is a provisional connection, not an outcome finding.</w:t>
      </w:r>
    </w:p>
    <w:p>
      <w:pPr>
        <w:pStyle w:val="SourceNote"/>
      </w:pPr>
      <w:r>
        <w:rPr>
          <w:b/>
        </w:rPr>
        <w:t>Available abstract (not full text):</w:t>
      </w:r>
      <w:r>
        <w:t xml:space="preserve"> The study examines the geographic distribution of Erasmus+ incoming student mobility across European Higher Education Institutions (HEIs) from 2014 to 2020, highlighting significant regional disparities. It addresses the crucial questions of how regional and institutional factors influence student attractiveness and the emerging hotspots of mobility, which are vital for understanding the dynamics of educational internationalisation and regional development. The primary goal of this work is to identify the regional and institutional determinants of Erasmus student mobility and to propose strategies for enhancing the attractiveness of less favoured regions. Employing hotspot analysis and a two-level random intercept model, this research analyses spatial patterns and the influences of regional characteristics and institutional variables on Erasmus mobility rates. The findings reveal that while Spain, Germany, and the UK are leading recipients of Erasmus students, significant mobility hotspots exist primarily in Spain, Portugal, and southern France, with unexpected clusters emerging in Ireland and Sweden, indicating evolving dynamics in student mobility patterns. The conclusions underscore the importance of targeted regional policies to enhance HEI attractiveness and promote balanced internationalisation across Europe, particularly in underserved areas. These findings call for stra</w:t>
      </w:r>
    </w:p>
    <w:p>
      <w:pPr/>
      <w:r>
        <w:rPr>
          <w:b/>
        </w:rPr>
        <w:t>POSSIBLE 2025:</w:t>
      </w:r>
      <w:r>
        <w:t xml:space="preserve"> Conceptualizing ‘quality of education’: an analysis of European political documents on education — https://doi.org/10.3389/feduc.2025.1463412</w:t>
      </w:r>
    </w:p>
    <w:p>
      <w:pPr/>
      <w:r>
        <w:rPr>
          <w:b/>
        </w:rPr>
        <w:t>Shared claim-specific concepts:</w:t>
      </w:r>
      <w:r>
        <w:t xml:space="preserve"> conclusions, recommendations, education, based, national, international; EU scope visible. This is a provisional connection, not an outcome finding.</w:t>
      </w:r>
    </w:p>
    <w:p>
      <w:pPr>
        <w:pStyle w:val="SourceNote"/>
      </w:pPr>
      <w:r>
        <w:rPr>
          <w:b/>
        </w:rPr>
        <w:t>Available abstract (not full text):</w:t>
      </w:r>
      <w:r>
        <w:t xml:space="preserve"> This paper conceptualizes ‘quality of education’ in the European political discourse. The expression ‘education quality’ and its variations are frequently found in literature and policies at supranational, international, national, and local levels but are not explicitly defined. However, it is assumed to be a goal that countries pursue and has gained prominence in the European context. Acknowledging the European agencies’ legislation’s influence on Member-States’ domestic policies, understanding what “education quality” means is of the utmost importance. Based on the content analysis of political documents issued by several European agencies, this paper categorizes, systematizes, and interprets the European political discourse on education to infer aspects that can compose ‘quality of education’ and develop an understanding of the concept. The analysis resulted in the systematization of three aspects that help to conceptualize the ‘quality’ of education: (i) ‘What is expected of education’; (ii) ‘Components of education quality’; (iii) ‘Priorities for Education’. Based on these aspects, a generic definition was formulated stating that education of quality is oriented toward preparing people to contribute to the social and political project, acquiring knowledge, skills, and competences to be productive; needing motivated and well-prepared teachers and leaders, adequate condition</w:t>
      </w:r>
    </w:p>
    <w:p>
      <w:pPr/>
      <w:r>
        <w:rPr>
          <w:b/>
        </w:rPr>
        <w:t>POSSIBLE 2025:</w:t>
      </w:r>
      <w:r>
        <w:t xml:space="preserve"> Empowering Tomorrow's Leaders: An Inclusive Study of Innovation, Entrepreneurship, and Internationalization in Higher Education Across South-Eastern Europe — https://doi.org/10.2139/ssrn.5287015</w:t>
      </w:r>
    </w:p>
    <w:p>
      <w:pPr/>
      <w:r>
        <w:rPr>
          <w:b/>
        </w:rPr>
        <w:t>Shared claim-specific concepts:</w:t>
      </w:r>
      <w:r>
        <w:t xml:space="preserve"> internationalization, higher, education; EU scope visible. This is a provisional connection, not an outcome finding.</w:t>
      </w:r>
    </w:p>
    <w:p>
      <w:pPr>
        <w:pStyle w:val="SourceNote"/>
      </w:pPr>
      <w:r>
        <w:rPr>
          <w:b/>
        </w:rPr>
        <w:t>Available abstract (not full text):</w:t>
      </w:r>
      <w:r>
        <w:t xml:space="preserve"> Unavailable</w:t>
      </w:r>
    </w:p>
    <w:p>
      <w:pPr/>
      <w:r>
        <w:rPr>
          <w:b/>
        </w:rPr>
        <w:t>POSSIBLE 2025:</w:t>
      </w:r>
      <w:r>
        <w:t xml:space="preserve"> Evidence-Based Pathways for the Internationalization of Taijiquan — https://doi.org/10.57612/js25.jts.04.06</w:t>
      </w:r>
    </w:p>
    <w:p>
      <w:pPr/>
      <w:r>
        <w:rPr>
          <w:b/>
        </w:rPr>
        <w:t>Shared claim-specific concepts:</w:t>
      </w:r>
      <w:r>
        <w:t xml:space="preserve"> internationalization, based, among, international; EU scope visible. This is a provisional connection, not an outcome finding.</w:t>
      </w:r>
    </w:p>
    <w:p>
      <w:pPr>
        <w:pStyle w:val="SourceNote"/>
      </w:pPr>
      <w:r>
        <w:rPr>
          <w:b/>
        </w:rPr>
        <w:t>Available abstract (not full text):</w:t>
      </w:r>
      <w:r>
        <w:t xml:space="preserve"> Taijiquan embodies martial, health-promoting, and cultural values. In recent years, Evidence-Based Medicine (EBM) has provided a scientific framework to validate its health benefits. A growing body of randomized controlled trials (RCTs) and systematic reviews/meta-analyses has demonstrated robust evidence for Taijiquan in fall prevention, balance enhancement, blood pressure regulation, and mental health among older adults, with additional promising signals in Parkinson’s disease, stroke rehabilitation, cancer recovery, and chronic disease management. Within the EBM framework, this paper systematically reviews the existing evidence, compares research and dissemination pathways across the United States, Europe, and China, and analyzes methodological limitations, instructor training, data sharing, and policy barriers. Based on this analysis, six major internationalization pathways are proposed: academic institutionalization, educational integration, societal adoption, medical incorporation, and collaborative research communities. Overall, Taijiquan is undergoing a critical transition from cultural heritage to evidence-based intervention. Its scientific and international development holds strong potential to contribute to healthy aging and global public health goals.</w:t>
      </w:r>
    </w:p>
    <w:p>
      <w:pPr/>
      <w:r>
        <w:rPr>
          <w:b/>
        </w:rPr>
        <w:t>POSSIBLE 2024:</w:t>
      </w:r>
      <w:r>
        <w:t xml:space="preserve"> Internationalization accelerators in automotive sector companies — https://doi.org/10.29119/1641-3466.2024.211.20</w:t>
      </w:r>
    </w:p>
    <w:p>
      <w:pPr/>
      <w:r>
        <w:rPr>
          <w:b/>
        </w:rPr>
        <w:t>Shared claim-specific concepts:</w:t>
      </w:r>
      <w:r>
        <w:t xml:space="preserve"> conclusions, recommendations, internationalization, process, international, findings; EU scope not established. This is a provisional connection, not an outcome finding.</w:t>
      </w:r>
    </w:p>
    <w:p>
      <w:pPr>
        <w:pStyle w:val="SourceNote"/>
      </w:pPr>
      <w:r>
        <w:rPr>
          <w:b/>
        </w:rPr>
        <w:t>Available abstract (not full text):</w:t>
      </w:r>
      <w:r>
        <w:t xml:space="preserve"> Purpose: The main aim of the article is to identify and describe the accelerators of internationalization of automotive companies, i.e. the factors that create the conditions for this process to occur and significantly strengthen it.An additional goal is to group these factors according to specific criteria and try to determine their importance using specific examples.Design/methodology/approach: The study used mixed research methods.The research began with literature studies.They allowed for determining the current state of knowledge in the studied area and formulating the research problem.The actual research was conducted using the qualitative approach.Case studies supported by data from secondary sources are an important element of the research.Findings: All factors enabling and accelerating the internationalization process can be classified into one of four groups: politics, market, costs and competition.Each of these groups is characterized by features common within this group and significantly different from those of the other groups.With the passage of time and with evolution of the global economy, the importance of the described factors and the strength of their impact on the overall shape of enterprise internationalization are changing. Research limitations/implications:The research expands scientific knowledge of factors that determine the background of the internatio</w:t>
      </w:r>
    </w:p>
    <w:p>
      <w:pPr/>
      <w:r>
        <w:rPr>
          <w:b/>
        </w:rPr>
        <w:t>POSSIBLE 2023:</w:t>
      </w:r>
      <w:r>
        <w:t xml:space="preserve"> Entry modes used in the internationalization process of automotive enterprises — https://doi.org/10.29119/1641-3466.2023.180.16</w:t>
      </w:r>
    </w:p>
    <w:p>
      <w:pPr/>
      <w:r>
        <w:rPr>
          <w:b/>
        </w:rPr>
        <w:t>Shared claim-specific concepts:</w:t>
      </w:r>
      <w:r>
        <w:t xml:space="preserve"> conclusions, recommendations, internationalization, process, findings; EU scope visible. This is a provisional connection, not an outcome finding.</w:t>
      </w:r>
    </w:p>
    <w:p>
      <w:pPr>
        <w:pStyle w:val="SourceNote"/>
      </w:pPr>
      <w:r>
        <w:rPr>
          <w:b/>
        </w:rPr>
        <w:t>Available abstract (not full text):</w:t>
      </w:r>
      <w:r>
        <w:t xml:space="preserve"> Purpose: The main aim of the article is to identify and describe strategies for entering foreign markets and forms of serving these markets by automotive sector enterprises as part of the internationalization process.The secondary goal is to find links between these strategies, their forms and their importance for the overall course of internationalization of activities of the surveyed enterprises.Design, methodology and approach: The article uses mixed research methods.The starting point was literature studies to determine the current state of knowledge in the research area and to formulate the problem.The research proper was conducted using a qualitative approach.The core consisted of case studies supported by data from secondary sources.Findings: It is not possible to design a universal internationalization model for all enterprises in the automotive sector.Strategies adopted depend on many factors: general conditions of the country's economy and its size, level of technological advancement in production, capital resources, product range and vision of development.Therefore, the greatest similarities occur in the geographical layout.Asian, European and North American companies followed different paths of internationalization. Research limitations and implications:The research expands knowledge about internationalization of automotive companies.It shows the context of the proc</w:t>
      </w:r>
    </w:p>
    <w:p>
      <w:pPr/>
      <w:r>
        <w:rPr>
          <w:b/>
        </w:rPr>
        <w:t>POSSIBLE 2023:</w:t>
      </w:r>
      <w:r>
        <w:t xml:space="preserve"> Internationalization of Quality Assurance as a Pre-Requisite for Internationalization in Higher Education — https://doi.org/10.2478/seeur-2023-0099</w:t>
      </w:r>
    </w:p>
    <w:p>
      <w:pPr/>
      <w:r>
        <w:rPr>
          <w:b/>
        </w:rPr>
        <w:t>Shared claim-specific concepts:</w:t>
      </w:r>
      <w:r>
        <w:t xml:space="preserve"> internationalization, higher, education, based, process, international; EU scope visible. This is a provisional connection, not an outcome finding.</w:t>
      </w:r>
    </w:p>
    <w:p>
      <w:pPr>
        <w:pStyle w:val="SourceNote"/>
      </w:pPr>
      <w:r>
        <w:rPr>
          <w:b/>
        </w:rPr>
        <w:t>Available abstract (not full text):</w:t>
      </w:r>
      <w:r>
        <w:t xml:space="preserve"> Abstract There are multiple positive effects of internationalization of Higher Education (HE) on enriching students’ experiences in general and providing opportunities for exchange and development of all segments of university functioning. This paper aims to contribute to determining the role of institutional QA in promotion of the international cooperation in HE by analysing undergraduate students’ perceptions on their international experience and comparing them to their home University. Individual experiences of students from the Southeast European University (SEEU) in North Macedonia, who participated in Erasmus exchange program in the last two academic years (2021/22 and 2022/23), with regard to the main quality assurance (QA) principles and measurements applied at their home University, are being considered. Their academic progress at the international universities is also taken into consideration. The aim is to collect firsthand information from the main stakeholders in the QA process about areas that can be further developed, as well as to position SEEU and self-check where it stands comparing and benchmarking it with some reputable European universities in order to better prepare its students for the international job market. SEEU has one of the most developed QA systems in the wider region, created and constantly being developed based on the international standards and</w:t>
      </w:r>
    </w:p>
    <w:p>
      <w:pPr/>
      <w:r>
        <w:rPr>
          <w:b/>
        </w:rPr>
        <w:t>POSSIBLE 2022:</w:t>
      </w:r>
      <w:r>
        <w:t xml:space="preserve"> Navigating the internationalization process: Strategic resources for early internationalizing firms — https://doi.org/10.1007/s10843-022-00308-z</w:t>
      </w:r>
    </w:p>
    <w:p>
      <w:pPr/>
      <w:r>
        <w:rPr>
          <w:b/>
        </w:rPr>
        <w:t>Shared claim-specific concepts:</w:t>
      </w:r>
      <w:r>
        <w:t xml:space="preserve"> recommendations, internationalization, based, process; EU scope not established. This is a provisional connection, not an outcome finding.</w:t>
      </w:r>
    </w:p>
    <w:p>
      <w:pPr>
        <w:pStyle w:val="SourceNote"/>
      </w:pPr>
      <w:r>
        <w:rPr>
          <w:b/>
        </w:rPr>
        <w:t>Available abstract (not full text):</w:t>
      </w:r>
      <w:r>
        <w:t xml:space="preserve"> Abstract Despite an increasing number of studies identifying factors that influence the internationalization process for early internationalizing firms (EIFs), it remains unclear which of these numerous factors could play a strategic role and, more specifically, when. This paper develops a new conceptual framework anchored in the resource-based view to identify strategic resources that can explain EIFs’ internationalization process accurately over time. Building on a systematic literature review based on 102 papers covering a period of 29 years, we methodically present a phase-by-phase observation of EIFs’ internationalization process to identify the strategic relevance of different influential resources. The results highlight the importance of the shift from individual to organizational resources, which occurs at a critical phase of transition from the entry to the post-entry phase. Studying the evolution of strategic resources along four phases allows us to determine that the progress of EIFs through the phases of their internationalization process is closely linked to their resources’ development process. This study suggests some promising research avenues, at theoretical and methodological levels, and results in a series of concrete recommendations intended for entrepreneurs and/or managers of EIFs.</w:t>
      </w:r>
    </w:p>
    <w:p>
      <w:pPr/>
      <w:r>
        <w:rPr>
          <w:b/>
        </w:rPr>
        <w:t>POSSIBLE 2022:</w:t>
      </w:r>
      <w:r>
        <w:t xml:space="preserve"> Management of inflammation in dry eye disease: Recommendations from a European panel of experts — https://doi.org/10.1177/11206721221141481</w:t>
      </w:r>
    </w:p>
    <w:p>
      <w:pPr/>
      <w:r>
        <w:rPr>
          <w:b/>
        </w:rPr>
        <w:t>Shared claim-specific concepts:</w:t>
      </w:r>
      <w:r>
        <w:t xml:space="preserve"> recommendations, education, based, experts, key, including; EU scope visible. This is a provisional connection, not an outcome finding.</w:t>
      </w:r>
    </w:p>
    <w:p>
      <w:pPr>
        <w:pStyle w:val="SourceNote"/>
      </w:pPr>
      <w:r>
        <w:rPr>
          <w:b/>
        </w:rPr>
        <w:t>Available abstract (not full text):</w:t>
      </w:r>
      <w:r>
        <w:t xml:space="preserve"> INTRODUCTION: Early initiation of anti-inflammatory therapies is recommended for dry eye disease (DED) to break the vicious cycle of pathophysiology. However, there is limited guidance on how to implement topical ciclosporin (CsA) and corticosteroid treatment into clinical practice. This expert-led consensus provides practical guidance on the management of DED, including when and how to use topical CsA. METHODS: A steering committee (SC) of seven European DED experts developed a questionnaire to gain information on the unmet needs and management of DED in clinical practice. Consensus statements on four key areas (disease severity and progression; patient management; efficacy, safety and tolerability of CsA; and patient education) were generated based on the responses. The SC and an expanded expert panel of 22 members used a nine-point scale (1 = strongly disagree; 9 = strongly agree) to rate statements; a consensus was reached if ≥75% of experts scored a statement ≥7. RESULTS: A stepwise approach to DED management is required in patients presenting with moderate corneal staining. Early topical CsA initiation, alone or with corticosteroids, should be considered in patients with clinical risk factors for severe DED. Patient education is required before and during treatment to manage expectations regarding efficacy and tolerability in order to optimise adherence. Follow-up visits </w:t>
      </w:r>
    </w:p>
    <w:p>
      <w:pPr/>
      <w:r>
        <w:rPr>
          <w:b/>
        </w:rPr>
        <w:t>POSSIBLE 2021:</w:t>
      </w:r>
      <w:r>
        <w:t xml:space="preserve"> European Recommendations on Robotics and Related Issues in Education in Different Countries — https://doi.org/10.1007/978-3-030-77040-2_34</w:t>
      </w:r>
    </w:p>
    <w:p>
      <w:pPr/>
      <w:r>
        <w:rPr>
          <w:b/>
        </w:rPr>
        <w:t>Shared claim-specific concepts:</w:t>
      </w:r>
      <w:r>
        <w:t xml:space="preserve"> recommendations, education, based; EU scope visible. This is a provisional connection, not an outcome finding.</w:t>
      </w:r>
    </w:p>
    <w:p>
      <w:pPr>
        <w:pStyle w:val="SourceNote"/>
      </w:pPr>
      <w:r>
        <w:rPr>
          <w:b/>
        </w:rPr>
        <w:t>Available abstract (not full text):</w:t>
      </w:r>
      <w:r>
        <w:t xml:space="preserve"> Abstract This short paper describes the preliminary phase in an innovative line of research comparing educational robotics in Italy and other countries, from the perspective of media education, and based on the European Parliament recommendations to the Commission on civil law rules on robotics. More specifically, all decision processes that affect digital citizenship should have the support of children and teenagers. For these reasons, this paper looks at the work of a group of Italian high school students in the fifth year of upper secondary school, who formulated a SWOT analysis to highlight their attitudes to robotics issues in relation to the European Union recommendations. This research started in 2018 and will be repeated this academic year with Italian and Congolese students—from the Institut Supérieur des Techniques Appliquées—with a qualitative analysis to establish student attitudes to robotics issues. Qualitative analysis was selected because the SWOT analysis is already divided into information categories, revealing a variety of concepts that are grouped together from the collected data. These results will be compared with any obtained in future years in Italy and other countries, to find further potential patterns.</w:t>
      </w:r>
    </w:p>
    <w:p>
      <w:pPr/>
      <w:r>
        <w:rPr>
          <w:b/>
        </w:rPr>
        <w:t>POSSIBLE 2020:</w:t>
      </w:r>
      <w:r>
        <w:t xml:space="preserve"> Collaboration and Internationalization of SMEs: Insights and Recommendations from a Systematic Review — https://doi.org/10.1111/ijmr.12238</w:t>
      </w:r>
    </w:p>
    <w:p>
      <w:pPr/>
      <w:r>
        <w:rPr>
          <w:b/>
        </w:rPr>
        <w:t>Shared claim-specific concepts:</w:t>
      </w:r>
      <w:r>
        <w:t xml:space="preserve"> recommendations, internationalization, process, key; EU scope not established. This is a provisional connection, not an outcome finding.</w:t>
      </w:r>
    </w:p>
    <w:p>
      <w:pPr>
        <w:pStyle w:val="SourceNote"/>
      </w:pPr>
      <w:r>
        <w:rPr>
          <w:b/>
        </w:rPr>
        <w:t>Available abstract (not full text):</w:t>
      </w:r>
      <w:r>
        <w:t xml:space="preserve"> Abstract This paper performs a systematic literature review of the undeniably diverse – and somewhat fragmented – current state of research on the collaborations and internationalization of small and medium‐sized enterprises (SMEs). We analyze key works and synthesize them into a framework that conceptually maps key antecedents, mediators, and moderators that influence the internationalization of SMEs. In addition, we highlight limitations of the literature, most notably in terms of theoretical fragmentation; extant theories are deployed and illustrated but rarely extended in a manner that significantly informs subsequent work. At an applied (but related) level, we argue the need for supplementary work that explores the distinct stages of internationalization – and the scope and scale of this process – rather than assuming closure around particular events. With this, we highlight the need for more rigorous and empirically informed explorations of contextual effects that take account of the consequences of developments in the global economic ecosystem.</w:t>
      </w:r>
    </w:p>
    <w:p>
      <w:pPr/>
      <w:r>
        <w:rPr>
          <w:b/>
        </w:rPr>
        <w:t>POSSIBLE 2020:</w:t>
      </w:r>
      <w:r>
        <w:t xml:space="preserve"> Make Banking Simple Again : A multiple case-study about the internationalization of the largest online retail banks in Europe — https://openalex.org/W3047438540</w:t>
      </w:r>
    </w:p>
    <w:p>
      <w:pPr/>
      <w:r>
        <w:rPr>
          <w:b/>
        </w:rPr>
        <w:t>Shared claim-specific concepts:</w:t>
      </w:r>
      <w:r>
        <w:t xml:space="preserve"> recommendations, internationalization, process, international, findings; EU scope visible. This is a provisional connection, not an outcome finding.</w:t>
      </w:r>
    </w:p>
    <w:p>
      <w:pPr>
        <w:pStyle w:val="SourceNote"/>
      </w:pPr>
      <w:r>
        <w:rPr>
          <w:b/>
        </w:rPr>
        <w:t>Available abstract (not full text):</w:t>
      </w:r>
      <w:r>
        <w:t xml:space="preserve"> Digitalization is increasing in our society and continues to move in that direction. The shift from traditional banks to online banks is becoming more popular, and with an online bank, the international markets open. Although previous research about internationalization exists, there is no in-depth research on the specific topic of online banks. This study aims to provide information regarding how online banks internationalize, to understand the underlying factors for the process better as well as provide recommendations for both online banks but also traditional banks. Factors such as motivators, the entrepreneur, and resources are investigated to find an answer to the given research question. The way of internationalization is connected to the already pre-existing strategies of global or regional markets. The third theoretical concept that is applied to understand the internationalization process is which path of internationalization is used, either Born Global or Born Regional. This thesis is a qualitative study with a deductive approach. The empirical findings are derived from case studies through semi-structured interviews, and the sampling selection is online retail banks operating in Europe, with more than one million customers. The selected cases are Revolut, N26, Monzo, and Monese, where one interview per bank is conducted. The interviewee’s understanding of the subjec</w:t>
      </w:r>
    </w:p>
    <w:p>
      <w:pPr>
        <w:pStyle w:val="Heading2"/>
      </w:pPr>
      <w:r>
        <w:t>898. The impact of EU Climate/Energy policies on Belgium’s energy dependence up to 2050</w:t>
      </w:r>
    </w:p>
    <w:p>
      <w:pPr>
        <w:pStyle w:val="SourceNote"/>
      </w:pPr>
      <w:r>
        <w:rPr>
          <w:b/>
        </w:rPr>
        <w:t>Original source (2015):</w:t>
      </w:r>
      <w:r>
        <w:t xml:space="preserve"> https://doi.org/10.3917/rpve.541.0021</w:t>
      </w:r>
    </w:p>
    <w:p>
      <w:pPr/>
      <w:r>
        <w:t>Original wording (abstract; indexed_source_text_not_full_document_verified): Le second scénario étudie, quant à lui, les effets du Cadre européen Climat/Énergie 2030 et de la feuille de route pour une transition vers une économie bas carbone d’ici 2050. Cet article compare et mesure l’évolution future de certains indicateurs de la dépendance énergétique dans deux scénarios de politique énergétique et climatique.</w:t>
      </w:r>
    </w:p>
    <w:p>
      <w:pPr/>
      <w:r>
        <w:rPr>
          <w:b/>
        </w:rPr>
        <w:t>POSSIBLE 2026:</w:t>
      </w:r>
      <w:r>
        <w:t xml:space="preserve"> Cabanes, huttes, cases et autres chaumières… Les mots et les images de l’“infra-construction” dans l’Antiquité — https://doi.org/10.4000/15na1</w:t>
      </w:r>
    </w:p>
    <w:p>
      <w:pPr/>
      <w:r>
        <w:rPr>
          <w:b/>
        </w:rPr>
        <w:t>Shared claim-specific concepts:</w:t>
      </w:r>
      <w:r>
        <w:t xml:space="preserve"> les, pour, ici; EU scope not established. This is a provisional connection, not an outcome finding.</w:t>
      </w:r>
    </w:p>
    <w:p>
      <w:pPr>
        <w:pStyle w:val="SourceNote"/>
      </w:pPr>
      <w:r>
        <w:rPr>
          <w:b/>
        </w:rPr>
        <w:t>Available abstract (not full text):</w:t>
      </w:r>
      <w:r>
        <w:t xml:space="preserve"> Dans l’Antiquité, à côté de la construction “noble” en pierre, maçonnée, l’archéologie révèle de nombreux types de construction, en général en matériaux périssables (terre et bois), pour des bâtiments destinés à des usages divers, y compris d’habitation. On propose de qualifier ici ces édifices “modestes” d’infra-construction, un concept emprunté à l’ethnographie. Peut-on évaluer la part de cette plus humble architecture à travers sa perception par leurs contemporains, dans le monde antique – et notamment en Gaule – ? On propose ici, à l’attention des historiens et archéologues, de rechercher les occurrences de cette “infra-construction” dans les textes grecs et latins, voire l’épigraphie, ainsi que dans la documentation iconographique, avec toutes les précautions d’usage pour la mise en œuvre de telles sources : reliefs, mosaïques, peintures murales… Les données sont rassemblées dans les corpus proposés en annexe.</w:t>
      </w:r>
    </w:p>
    <w:p>
      <w:pPr/>
      <w:r>
        <w:rPr>
          <w:b/>
        </w:rPr>
        <w:t>POSSIBLE 2025:</w:t>
      </w:r>
      <w:r>
        <w:t xml:space="preserve"> Considérations sur les limites des privatisations en droit espagnol — https://doi.org/10.35562/droit-public-compare.768</w:t>
      </w:r>
    </w:p>
    <w:p>
      <w:pPr/>
      <w:r>
        <w:rPr>
          <w:b/>
        </w:rPr>
        <w:t>Shared claim-specific concepts:</w:t>
      </w:r>
      <w:r>
        <w:t xml:space="preserve"> second, les, pour, une, article; EU scope not established. This is a provisional connection, not an outcome finding.</w:t>
      </w:r>
    </w:p>
    <w:p>
      <w:pPr>
        <w:pStyle w:val="SourceNote"/>
      </w:pPr>
      <w:r>
        <w:rPr>
          <w:b/>
        </w:rPr>
        <w:t>Available abstract (not full text):</w:t>
      </w:r>
      <w:r>
        <w:t xml:space="preserve"> Ce travail vise à analyser, sous l’angle juridique, le phénomène de la privatisation en Espagne et ses limites. Pour ce faire, il propose, dans un premier temps, une distinction conceptuelle entre la privatisation stricto sensu et la privatisation lato sensu, afin de rendre compte des manifestations d’un phénomène qui a pris de l’ampleur ces dernières années : l’expansion progressive du champ d’action des entités privées dans des secteurs ou à des activités qui étaient traditionnellement réservés aux pouvoirs publics. Dans un second temps, l’article s’interroge sur les éventuelles limites juridiques applicables à ce type de pratiques, à la lumière de la Constitution et des récents développements de la jurisprudence du Tribunal Supremo sur la question.</w:t>
      </w:r>
    </w:p>
    <w:p>
      <w:pPr/>
      <w:r>
        <w:rPr>
          <w:b/>
        </w:rPr>
        <w:t>POSSIBLE 2024:</w:t>
      </w:r>
      <w:r>
        <w:t xml:space="preserve"> Le droit public comparé en Amérique latine — https://doi.org/10.35562/droit-public-compare.168</w:t>
      </w:r>
    </w:p>
    <w:p>
      <w:pPr/>
      <w:r>
        <w:rPr>
          <w:b/>
        </w:rPr>
        <w:t>Shared claim-specific concepts:</w:t>
      </w:r>
      <w:r>
        <w:t xml:space="preserve"> les, pour, une, cet, article, mesure; EU scope not established. This is a provisional connection, not an outcome finding.</w:t>
      </w:r>
    </w:p>
    <w:p>
      <w:pPr>
        <w:pStyle w:val="SourceNote"/>
      </w:pPr>
      <w:r>
        <w:rPr>
          <w:b/>
        </w:rPr>
        <w:t>Available abstract (not full text):</w:t>
      </w:r>
      <w:r>
        <w:t xml:space="preserve"> L’Amérique latine est indéniablement une terre de comparatisme. Ce constat est particulièrement vrai en droit public, dans la mesure où, dans les différents pays de la zone, cette branche du droit s’est souvent construite à travers l’importation d’objets juridiques étrangers. Malgré cette historicité, la pratique de la comparaison y demeure hétérogène, compliquant toute entreprise de systématisation. Pour contourner cet obstacle, l’article propose une approche plus exploratoire, à travers l’analyse des cinq grands traits de ce droit public comparé. Celui-ci apparaît congénital (c’est-à-dire, intrinsèquement lié à son contexte de naissance), total (dans le sens où tout y est comparé car tout est comparable), instrumental (dans la mesure où la comparaison y a des finalités claires), mais aussi, à certains égards, pathologique (puisqu’il a pu conduire à des impasses), expliquant les efforts plus récents de renouvellement (avec une prise en compte accrue des cultures juridiques nationales).</w:t>
      </w:r>
    </w:p>
    <w:p>
      <w:pPr/>
      <w:r>
        <w:rPr>
          <w:b/>
        </w:rPr>
        <w:t>POSSIBLE 2024:</w:t>
      </w:r>
      <w:r>
        <w:t xml:space="preserve"> Analyse des données actimétriques et prédiction par LSTM des phases de sommeil chez une population âgée institutionnalisée — https://doi.org/10.70675/d5cdad44z81b7z4a07zb318ze626e7fb2d8b</w:t>
      </w:r>
    </w:p>
    <w:p>
      <w:pPr/>
      <w:r>
        <w:rPr>
          <w:b/>
        </w:rPr>
        <w:t>Shared claim-specific concepts:</w:t>
      </w:r>
      <w:r>
        <w:t xml:space="preserve"> les, pour, une, vers; EU scope not established. This is a provisional connection, not an outcome finding.</w:t>
      </w:r>
    </w:p>
    <w:p>
      <w:pPr>
        <w:pStyle w:val="SourceNote"/>
      </w:pPr>
      <w:r>
        <w:rPr>
          <w:b/>
        </w:rPr>
        <w:t>Available abstract (not full text):</w:t>
      </w:r>
      <w:r>
        <w:t xml:space="preserve"> Dans cette thèse, nous étudions l’application des réseaux de neurones récurrents (RNN) par LSTM pour la prédiction des phases de sommeil chez des résidents âgés d’un établissement de soin à travers l’analyse des données actimétriques enregistrées. Ce travail est au croisement des domaines médical et de l’informatique dans un contexte d’évolution de l’espérance de vie et du vieillissement de la population. L’objectif principal était d’anticiper le sommeil afin de proposer aux médecins la possibilité d’adapter les prises de traitements et la prise en charge du patient en leur proposant une alternative à la médication. Nous explorons l’application des algorithmes d’apprentissage profond utilisés pour résoudre les problèmes de la prévision des séries temporelles à long et à court terme dans les données séquentielles. Nous avons réalisé une revue systématique afin de construire l’orientation de l’étude. Puis, après l’analyse des enregistrements d’actimétries nous avons utilisé l’architecture LSTM avec une couche cachée avec dropout, puis ajoutée vers une couche entièrement connectée. Cette étape améliore les performances du modèle. Nous avons également traité l’abandon comme une sous-couche du réseau et enfin, la fonction de transfert sigmoïd à tangente hyperbolique appliquée comme fonction d’activation a été utilisée pour calculer la sortie.Nous avons réussi lors de cette étape de </w:t>
      </w:r>
    </w:p>
    <w:p>
      <w:pPr/>
      <w:r>
        <w:rPr>
          <w:b/>
        </w:rPr>
        <w:t>POSSIBLE 2024:</w:t>
      </w:r>
      <w:r>
        <w:t xml:space="preserve"> Actimetric data analysis and LSTM prediction of sleep phases in an institutionalized elderly population — https://openalex.org/W4414749095</w:t>
      </w:r>
    </w:p>
    <w:p>
      <w:pPr/>
      <w:r>
        <w:rPr>
          <w:b/>
        </w:rPr>
        <w:t>Shared claim-specific concepts:</w:t>
      </w:r>
      <w:r>
        <w:t xml:space="preserve"> les, pour, une, vers; EU scope not established. This is a provisional connection, not an outcome finding.</w:t>
      </w:r>
    </w:p>
    <w:p>
      <w:pPr>
        <w:pStyle w:val="SourceNote"/>
      </w:pPr>
      <w:r>
        <w:rPr>
          <w:b/>
        </w:rPr>
        <w:t>Available abstract (not full text):</w:t>
      </w:r>
      <w:r>
        <w:t xml:space="preserve"> Dans cette thèse, nous étudions l’application des réseaux de neurones récurrents (RNN) par LSTM pour la prédiction des phases de sommeil chez des résidents âgés d’un établissement de soin à travers l’analyse des données actimétriques enregistrées. Ce travail est au croisement des domaines médical et de l’informatique dans un contexte d’évolution de l’espérance de vie et du vieillissement de la population. L’objectif principal était d’anticiper le sommeil afin de proposer aux médecins la possibilité d’adapter les prises de traitements et la prise en charge du patient en leur proposant une alternative à la médication. Nous explorons l’application des algorithmes d’apprentissage profond utilisés pour résoudre les problèmes de la prévision des séries temporelles à long et à court terme dans les données séquentielles. Nous avons réalisé une revue systématique afin de construire l’orientation de l’étude. Puis, après l’analyse des enregistrements d’actimétries nous avons utilisé l’architecture LSTM avec une couche cachée avec dropout, puis ajoutée vers une couche entièrement connectée. Cette étape améliore les performances du modèle. Nous avons également traité l’abandon comme une sous-couche du réseau et enfin, la fonction de transfert sigmoïd à tangente hyperbolique appliquée comme fonction d’activation a été utilisée pour calculer la sortie.Nous avons réussi lors de cette étape de </w:t>
      </w:r>
    </w:p>
    <w:p>
      <w:pPr/>
      <w:r>
        <w:rPr>
          <w:b/>
        </w:rPr>
        <w:t>POSSIBLE 2023:</w:t>
      </w:r>
      <w:r>
        <w:t xml:space="preserve"> Le rôle du commerce pour une adaptation résiliente au changement climatique dans l’agriculture africaine — https://doi.org/10.3917/edd.363.0041</w:t>
      </w:r>
    </w:p>
    <w:p>
      <w:pPr/>
      <w:r>
        <w:rPr>
          <w:b/>
        </w:rPr>
        <w:t>Shared claim-specific concepts:</w:t>
      </w:r>
      <w:r>
        <w:t xml:space="preserve"> tudie, les, pour, une, vers; EU scope visible. This is a provisional connection, not an outcome finding.</w:t>
      </w:r>
    </w:p>
    <w:p>
      <w:pPr>
        <w:pStyle w:val="SourceNote"/>
      </w:pPr>
      <w:r>
        <w:rPr>
          <w:b/>
        </w:rPr>
        <w:t>Available abstract (not full text):</w:t>
      </w:r>
      <w:r>
        <w:t xml:space="preserve"> Cette étude explore les connaissances scientifiques sur la manière dont le commerce peut aider l’Afrique à s’adapter au changement climatique (CC) dans trois domaines : (i) les événements à déclenchement rapide provenant d’événements extrêmes de courte durée (inondations, températures extrêmes) ; (ii) les événements à évolution lente (augmentation des températures moyennes et élévation du niveau de la mer) ; et enfin (iii) les politiques de facilitation du commerce. Événements à déclenchement rapide . Le commerce réduit l’amplitude des dommages liés aux événements extrêmes, par exemple, les sécheresses. Mais certaines réactions de politiques économiques peuvent augmenter l’amplitude de ces chocs. Lors de la sécheresse sud-africaine de 2015-2016, les politiques ont eu des retombées dans les pays voisins. Après la crise financière de 2008-2009, les restrictions à l’exportation imposées par les principaux exportateurs de denrées alimentaires et la réduction des droits de douane par les importateurs ont amplifié le choc. La coordination des politiques est donc nécessaire pour en contrôler les retombées négatives. Événements à évolution lente. Les efforts de modélisation relevés dans la littérature se sont concentrés sur l’exploration des « marges » d’ajustement au changement climatique : changements dans les niveaux de production des cultures existantes ; changements dans les denré</w:t>
      </w:r>
    </w:p>
    <w:p>
      <w:pPr/>
      <w:r>
        <w:rPr>
          <w:b/>
        </w:rPr>
        <w:t>POSSIBLE 2023:</w:t>
      </w:r>
      <w:r>
        <w:t xml:space="preserve"> Les « groupes Medvedkine » (1967-1974), transfert tardif de la culture d’agit-prop soviétique ? — https://openalex.org/W4364379400</w:t>
      </w:r>
    </w:p>
    <w:p>
      <w:pPr/>
      <w:r>
        <w:rPr>
          <w:b/>
        </w:rPr>
        <w:t>Shared claim-specific concepts:</w:t>
      </w:r>
      <w:r>
        <w:t xml:space="preserve"> lui, les, pour, une; EU scope visible. This is a provisional connection, not an outcome finding.</w:t>
      </w:r>
    </w:p>
    <w:p>
      <w:pPr>
        <w:pStyle w:val="SourceNote"/>
      </w:pPr>
      <w:r>
        <w:rPr>
          <w:b/>
        </w:rPr>
        <w:t>Available abstract (not full text):</w:t>
      </w:r>
      <w:r>
        <w:t xml:space="preserve"> De 1967 à 1974, des collectifs d’ouvriers-cinéastes appelés « groupes Medvedkine » se formèrent en France, dans le sillon des grèves de l’industrie textile et automobile de Besançon et de Sochaux, sous l’impulsion du cinéaste Chris Marker (1921-2012). Ces groupes représentèrent en France une expérience à la fois sociale et créatrice de cinéma militant, caractérisée par l’appropriation par les ouvriers eux-mêmes du processus de création des films au service d’une représentation autonome et réflexive de leurs luttes. Mais de quoi Medvedkine est-il le nom ? Il s’agit pour Marker de matérialiser un lien de filiation : celle qu’il souhaite établir entre le combat idéologique et militant du cinéaste soviétique Alexandre Medvedkine (1900-1989), dans les années 1920 et au début des années 1930 en URSS (incarnée par son « Ciné-train »), et celui des ouvriers français, dont le projet lui semble fondamentalement lié, puisque ceux-ci expriment dès la fin de l’année 1967 la volonté, comme Medvedkine y invitait ouvriers et paysans russes, de s’approprier le discours cinématographique qui les concerne.</w:t>
      </w:r>
    </w:p>
    <w:p>
      <w:pPr/>
      <w:r>
        <w:rPr>
          <w:b/>
        </w:rPr>
        <w:t>POSSIBLE 2023:</w:t>
      </w:r>
      <w:r>
        <w:t xml:space="preserve"> Optimization Methods for Renewable Energy Communities : Operations, Benefit Sharing, Flexibility Provision, Expansion — https://doi.org/10.70675/f607ae6bz0493z453fz8caez1ed024e5ee71</w:t>
      </w:r>
    </w:p>
    <w:p>
      <w:pPr/>
      <w:r>
        <w:rPr>
          <w:b/>
        </w:rPr>
        <w:t>Shared claim-specific concepts:</w:t>
      </w:r>
      <w:r>
        <w:t xml:space="preserve"> second, transition; EU scope visible. This is a provisional connection, not an outcome finding.</w:t>
      </w:r>
    </w:p>
    <w:p>
      <w:pPr>
        <w:pStyle w:val="SourceNote"/>
      </w:pPr>
      <w:r>
        <w:rPr>
          <w:b/>
        </w:rPr>
        <w:t>Available abstract (not full text):</w:t>
      </w:r>
      <w:r>
        <w:t xml:space="preserve"> In the energy transition era, the need for more sustainable energy solutions is inevitable. It pushes transformations within the energy systems, leading to the adoption of renewable energy and a shift from a centralized architecture toward more decentralized systems. This shift assigns active roles to end-users, as they evolve into "prosumers." These prosumers possess distributed energy resources (DER) to generate energy locally, allowing them to be more independent and reduce their carbon footprint. Local energy communities extend this feature by allowing exchanges and transactions between neighboring end-users.This thesis is based on an industrial PhD with a French start-up company, SWEEN, which plays a role as an operator of renewable energy communities. We focus on the effective management of energy communities (EC) across various dimensions. The primary objective is to achieve collective social welfare while ensuring fairness among members. To address this, we propose a Two-Stage Management Strategy where the first stage investigates the operational control of flexible DERs through energy management strategies (EMS) and the second stage is dedicated to the allocation of community generation to each member using coefficients known as "keys of repartition" (KOR). Our analysis encompasses a comprehensive array of forty combinations, ranging from basic to advanced strategies i</w:t>
      </w:r>
    </w:p>
    <w:p>
      <w:pPr/>
      <w:r>
        <w:rPr>
          <w:b/>
        </w:rPr>
        <w:t>POSSIBLE 2022:</w:t>
      </w:r>
      <w:r>
        <w:t xml:space="preserve"> Persécution des juifs et espace urbain — https://doi.org/10.3917/rhu.062.0081</w:t>
      </w:r>
    </w:p>
    <w:p>
      <w:pPr/>
      <w:r>
        <w:rPr>
          <w:b/>
        </w:rPr>
        <w:t>Shared claim-specific concepts:</w:t>
      </w:r>
      <w:r>
        <w:t xml:space="preserve"> les, pour, une, article; EU scope not established. This is a provisional connection, not an outcome finding.</w:t>
      </w:r>
    </w:p>
    <w:p>
      <w:pPr>
        <w:pStyle w:val="SourceNote"/>
      </w:pPr>
      <w:r>
        <w:rPr>
          <w:b/>
        </w:rPr>
        <w:t>Available abstract (not full text):</w:t>
      </w:r>
      <w:r>
        <w:t xml:space="preserve"> Les relations sociales entre juifs et non-juifs pendant la Shoah ont fait l’objet de nombreux travaux depuis vingt ans. Dans ces études, la figure des « voisins » est très présente sans être circonscrite d’un point de vue géographique. L’article construit les termes de « voisin » et de « voisinage » pour faire de ces catégories des outils de compréhension de la persécution. À partir d’une vaste enquête concernant les réaffectations de logements de familles juives à Paris pendant l’Occupation sous l’égide de la préfecture de la Seine, les auteurs observent au plus près les relations sociales des Parisiens avec leurs voisins juifs et les caractéristiques spatiales de leur trajectoire résidentielle.</w:t>
      </w:r>
    </w:p>
    <w:p>
      <w:pPr/>
      <w:r>
        <w:rPr>
          <w:b/>
        </w:rPr>
        <w:t>POSSIBLE 2022:</w:t>
      </w:r>
      <w:r>
        <w:t xml:space="preserve"> The public stigma of facial disfigurement : investigating the relationships between visual attention, affective reactions and dehumanization — https://openalex.org/W7214250308</w:t>
      </w:r>
    </w:p>
    <w:p>
      <w:pPr/>
      <w:r>
        <w:rPr>
          <w:b/>
        </w:rPr>
        <w:t>Shared claim-specific concepts:</w:t>
      </w:r>
      <w:r>
        <w:t xml:space="preserve"> les, pour, une; EU scope not established. This is a provisional connection, not an outcome finding.</w:t>
      </w:r>
    </w:p>
    <w:p>
      <w:pPr>
        <w:pStyle w:val="SourceNote"/>
      </w:pPr>
      <w:r>
        <w:rPr>
          <w:b/>
        </w:rPr>
        <w:t>Available abstract (not full text):</w:t>
      </w:r>
      <w:r>
        <w:t xml:space="preserve"> Les personnes présentant une différence faciale (DF) sont stigmatisées. Cette stigmatisation semanifeste particulièrement par les réactions affectives des percevant·e·s, notamment par le dégout etla peur, émotions généralement associées au processus de déshumanisation d’autrui. Par ailleurs, entant que stigmate visible, la DF semble influencer la répartition de l’attention visuelle sur un visagemais peu de travaux ont associé ces champs. Ainsi, ce projet de thèse avait pour objectif de mieuxcomprendre la stigmatisation sociale de la DF, et plus particulièrement les liens entre perceptionvisuelle, réactions affectives stigmatisantes et déshumanisation. En se focalisant sur les réactionsaffectives, il s’agissait préalablement de proposer une typologie de ces réactions affectivesstigmatisantes, puis de mettre en lumière leurs liens avec les changements dans l’attention visuelle,pour finalement déterminer si ces réactions témoignent d’un processus de déshumanisation. Nosrésultats montrent que la DF modifie globalement la répartition de l’attention visuelle et influencel’émergence de réactions affectives stigmatisantes en engendrant moins de neutralité et plus desurprise, dégoût, peur et mépris. La perception visuelle de la DF semble déterminante puisque lamodification de l’attention visuelle était liée à la fois aux réactions affectives stigmatisantes et auxattributions déshumanisa</w:t>
      </w:r>
    </w:p>
    <w:p>
      <w:pPr/>
      <w:r>
        <w:rPr>
          <w:b/>
        </w:rPr>
        <w:t>POSSIBLE 2022:</w:t>
      </w:r>
      <w:r>
        <w:t xml:space="preserve"> Faire diaspora en ville, XIII e -XIX e siècle — https://doi.org/10.3917/rhu.064.0097</w:t>
      </w:r>
    </w:p>
    <w:p>
      <w:pPr/>
      <w:r>
        <w:rPr>
          <w:b/>
        </w:rPr>
        <w:t>Shared claim-specific concepts:</w:t>
      </w:r>
      <w:r>
        <w:t xml:space="preserve"> les, effets, pour, une, cet, article; EU scope not established. This is a provisional connection, not an outcome finding.</w:t>
      </w:r>
    </w:p>
    <w:p>
      <w:pPr>
        <w:pStyle w:val="SourceNote"/>
      </w:pPr>
      <w:r>
        <w:rPr>
          <w:b/>
        </w:rPr>
        <w:t>Available abstract (not full text):</w:t>
      </w:r>
      <w:r>
        <w:t xml:space="preserve"> La ville de Rouen, une des plus grandes du royaume, fut depuis sa fondation soumise aux aléas météorologiques tels que les excès de pluie, les froids intenses ou encore les tempêtes. Ces extrêmes climatiques avaient des conséquences directes (destructions d’édifices, rupture des communications) et indirectes (baisse des disponibilités alimentaires, apparition d’épidémies). Face à cette vulnérabilité les autorités mirent en place dès le Moyen Âge des parades plus ou moins efficientes pour atténuer en amont et en aval les effets négatifs de ces aléas. Au xviii e le courant intellectuel et scientifique des Lumières se diffusa à la ville de Rouen. Par la promotion de théories sanitaires, urbanistiques, agricoles et commerciales modernes, les hommes des Lumières se proposaient d’améliorer la résilience urbaine sous toutes ces facettes. L’objet de cet article est de percevoir le degré de pénétration et d’application des Lumières dans la société rouennaise.</w:t>
      </w:r>
    </w:p>
    <w:p>
      <w:pPr/>
      <w:r>
        <w:rPr>
          <w:b/>
        </w:rPr>
        <w:t>POSSIBLE 2022:</w:t>
      </w:r>
      <w:r>
        <w:t xml:space="preserve"> Des albums plurilingues à l’école pour les lecteurs… plurilingues ? — https://doi.org/10.63723/publije.202110161</w:t>
      </w:r>
    </w:p>
    <w:p>
      <w:pPr/>
      <w:r>
        <w:rPr>
          <w:b/>
        </w:rPr>
        <w:t>Shared claim-specific concepts:</w:t>
      </w:r>
      <w:r>
        <w:t xml:space="preserve"> second, les, pour, une, article; EU scope not established. This is a provisional connection, not an outcome finding.</w:t>
      </w:r>
    </w:p>
    <w:p>
      <w:pPr>
        <w:pStyle w:val="SourceNote"/>
      </w:pPr>
      <w:r>
        <w:rPr>
          <w:b/>
        </w:rPr>
        <w:t>Available abstract (not full text):</w:t>
      </w:r>
      <w:r>
        <w:t xml:space="preserve"> L’article propose une typologie des albums bi-, multi-, plurilingues en s’inspirant du fonctionnement du sujet plurilingue, ce qui conduit à distinguer les albums multilingues (langues cloisonnées) des albums plurilingues (langues en interaction). Il rend compte dans un second temps d’un atelier de formation initiale en INSPE, mené par les deux chercheuses avec un groupe de quinze professeures des écoles stagiaires. Ces stagiaires ont été amenées à mettre en œuvre des séquences dans les classes, à partir de 4 albums (un imagier multilingue, trois albums plurilingues), dans les 3 cycles de l’école primaire. Les séquences devaient mobiliser des objectifs d’apprentissage transversaux, langagiers et métalangagiers. Les deux chercheuses ont souhaité observé les formes d’appropriation par les professeures des écoles stagiaires des scénarios pédagogiques succincts proposés autour des albums, afin de voir comment des professeurs débutants dans le métier parvenaient à s’emparer de la question complexe du plurilinguisme. The article provides a typology of bi-, multi- and plurilingual picture books based on the functioning of the plurilingual subject, which leads to a distinction between multilingual picture books (partitioned languages) and plurilingual picture books (interacting languages). It then reports on an initial training workshop in INSPE, conducted by the two researchers with a</w:t>
      </w:r>
    </w:p>
    <w:p>
      <w:pPr>
        <w:pStyle w:val="Heading2"/>
      </w:pPr>
      <w:r>
        <w:t>899. The pitfalls of ecological forecasting</w:t>
      </w:r>
    </w:p>
    <w:p>
      <w:pPr>
        <w:pStyle w:val="SourceNote"/>
      </w:pPr>
      <w:r>
        <w:rPr>
          <w:b/>
        </w:rPr>
        <w:t>Original source (2015):</w:t>
      </w:r>
      <w:r>
        <w:t xml:space="preserve"> https://doi.org/10.1111/bij.12579</w:t>
      </w:r>
    </w:p>
    <w:p>
      <w:pPr/>
      <w:r>
        <w:t>Original wording (abstract; indexed_source_text_not_full_document_verified): Long-term biological recording schemes rather than experiments will often provide data for ecological forecasting and validation because these schemes allow capture of landscape-scale land-use effects and their interactions with other drivers. However, statistical models, incorporating relationships with drivers, simply offset the prediction problem, requiring us to forecast how the drivers will themselves change over time.</w:t>
      </w:r>
    </w:p>
    <w:p>
      <w:pPr/>
      <w:r>
        <w:rPr>
          <w:b/>
        </w:rPr>
        <w:t>POSSIBLE 2026:</w:t>
      </w:r>
      <w:r>
        <w:t xml:space="preserve"> Model weights: Parcerisas C, Schall E, te Velde K, Botteldooren D, Devos P and Debusschere E (2024) Machine learning for efficient segregation and labeling of potential biological sounds in long-term underwater recordings. Front. Remote Sens. 5:1390687 — https://doi.org/10.5281/zenodo.21105847</w:t>
      </w:r>
    </w:p>
    <w:p>
      <w:pPr/>
      <w:r>
        <w:rPr>
          <w:b/>
        </w:rPr>
        <w:t>Shared claim-specific concepts:</w:t>
      </w:r>
      <w:r>
        <w:t xml:space="preserve"> long-term, biological, data, other; EU scope not established. This is a provisional connection, not an outcome finding.</w:t>
      </w:r>
    </w:p>
    <w:p>
      <w:pPr>
        <w:pStyle w:val="SourceNote"/>
      </w:pPr>
      <w:r>
        <w:rPr>
          <w:b/>
        </w:rPr>
        <w:t>Available abstract (not full text):</w:t>
      </w:r>
      <w:r>
        <w:t xml:space="preserve"> Model weights resulting from the publication: Parcerisas C, Schall E, te Velde K, Botteldooren D, Devos P and Debusschere E (2024) Machine learning for efficient segregation and labeling of potential biological sounds in long-term underwater recordings. Front. Remote Sens. 5:1390687. doi: 10.3389/frsen.2024.1390687 Name File name Pretraining data Hours Model Final (MF) final_model.pt All annotated BPNS data 23.6h Model Base (MB) MB_0_0.pt Initial training set 1.5h Active Learning (AL) AL_0_4.pt Intial training set + 10 actively selected wavs 2.3h Random Selection (RS) RS_0_4.pt Intial training set + 10 randomly selected wavs 2.3h If you're interested in weights of other of the trained models (2 more models per row available), please contact clea.parcerisas@vliz.be</w:t>
      </w:r>
    </w:p>
    <w:p>
      <w:pPr/>
      <w:r>
        <w:rPr>
          <w:b/>
        </w:rPr>
        <w:t>POSSIBLE 2026:</w:t>
      </w:r>
      <w:r>
        <w:t xml:space="preserve"> Increasing Inclusivity in Biological Recording in the United Kingdom: Progress to Date and Future Priorities — https://doi.org/10.5334/cstp.894</w:t>
      </w:r>
    </w:p>
    <w:p>
      <w:pPr/>
      <w:r>
        <w:rPr>
          <w:b/>
        </w:rPr>
        <w:t>Shared claim-specific concepts:</w:t>
      </w:r>
      <w:r>
        <w:t xml:space="preserve"> biological, recording, schemes, data, ecological, other; EU scope not established. This is a provisional connection, not an outcome finding.</w:t>
      </w:r>
    </w:p>
    <w:p>
      <w:pPr>
        <w:pStyle w:val="SourceNote"/>
      </w:pPr>
      <w:r>
        <w:rPr>
          <w:b/>
        </w:rPr>
        <w:t>Available abstract (not full text):</w:t>
      </w:r>
      <w:r>
        <w:t xml:space="preserve"> Volunteer biological recording generates valuable data for developing ecological understanding and informing environmental decision making. For volunteers, it offers the chance to build knowledge and skills, connect with nature and each other, and enhance wellbeing. As with other forms of citizen science there are demographic biases, with current participants being predominantly white, well-educated, older and more affluent. Increasing inclusivity is important for equitable distribution of environmental and social benefits. Questions remain, however, about how best to engage demographic groups that are currently underrepresented. In June 2024, eight organisations responsible for running biological recording schemes in the United Kingdom (UK) took part in a workshop to share hitherto implemented actions to increase inclusivity and discuss future priorities. Progress to date includes equality, diversity, and inclusivity investment and planning at an institutional level; surveys and focus groups to understand demographics and motivations of participants; accessibility reviews of training, written materials and equipment; and the creation of varied volunteer roles appealing to different skill levels and interests. Engagement with underrepresented groups at a local level has been particularly effective where investment in building relationships with communities has been possible. Fu</w:t>
      </w:r>
    </w:p>
    <w:p>
      <w:pPr/>
      <w:r>
        <w:rPr>
          <w:b/>
        </w:rPr>
        <w:t>POSSIBLE 2026:</w:t>
      </w:r>
      <w:r>
        <w:t xml:space="preserve"> Long-term nutrient management reshapes soil carbon fractions and biological fertility: Evidence from a 43-year semi-arid Vertisol experiment — https://doi.org/10.14719/pst.15338</w:t>
      </w:r>
    </w:p>
    <w:p>
      <w:pPr/>
      <w:r>
        <w:rPr>
          <w:b/>
        </w:rPr>
        <w:t>Shared claim-specific concepts:</w:t>
      </w:r>
      <w:r>
        <w:t xml:space="preserve"> long-term, biological, rather; EU scope not established. This is a provisional connection, not an outcome finding.</w:t>
      </w:r>
    </w:p>
    <w:p>
      <w:pPr>
        <w:pStyle w:val="SourceNote"/>
      </w:pPr>
      <w:r>
        <w:rPr>
          <w:b/>
        </w:rPr>
        <w:t>Available abstract (not full text):</w:t>
      </w:r>
      <w:r>
        <w:t xml:space="preserve"> Improving soil carbon quality and biological fertility through long-term nutrient management is essential for sustaining productivity, reducing input dependence and enhancing climate resilience in rainfed Vertisols. This study evaluated the effects of nine treatments including control, inorganic fertilisation (50 % RDF, 100 % RDF, RDF + Zn), organic amendments [farmyard manure (FYM) (50 % NFYM, sole FYM), crop residues (CR) (50 % NCR)] and integrated nutrient management (INMFYM, INMCR) on soil carbon pools, oxidisable carbon fractions, carbon management indices (CMI) and enzyme activities in a permanent manurial experiment. Soil organic carbon (SOC) ranged from 5.66 (control) to 11.19 g kg-1 (INMFYM), both in the cotton phase. Inorganic treatments enhanced soil inorganic carbon (SIC), suggesting an inverse relationship with organic inputs. Sole FYM enriched the very labile fraction, whereas INM enhanced the labile and less labile fractions and non-labile carbon was highest under RDF + Zn. CMI ranged from 136.7–307.1 and was highest under sole FYM. The 50 % NFYM recorded higher permanganate oxidisable carbon (POXC) and microbial biomass carbon (MBC) than 100 % RDF despite lower SOC, highlighting the importance of substrate quality. Enzyme activities were consistently lower in the cotton phase. Structural equation modelling indicated that SOC was associated with dehydrogenase act</w:t>
      </w:r>
    </w:p>
    <w:p>
      <w:pPr/>
      <w:r>
        <w:rPr>
          <w:b/>
        </w:rPr>
        <w:t>POSSIBLE 2026:</w:t>
      </w:r>
      <w:r>
        <w:t xml:space="preserve"> The Last Evolutionary Transition? Artificial Consciousness, Post-Biological Humanity, and the Long-Term Fate of Technological Civilizations — https://doi.org/10.5281/zenodo.22143695</w:t>
      </w:r>
    </w:p>
    <w:p>
      <w:pPr/>
      <w:r>
        <w:rPr>
          <w:b/>
        </w:rPr>
        <w:t>Shared claim-specific concepts:</w:t>
      </w:r>
      <w:r>
        <w:t xml:space="preserve"> long-term, biological, rather; EU scope not established. This is a provisional connection, not an outcome finding.</w:t>
      </w:r>
    </w:p>
    <w:p>
      <w:pPr>
        <w:pStyle w:val="SourceNote"/>
      </w:pPr>
      <w:r>
        <w:rPr>
          <w:b/>
        </w:rPr>
        <w:t>Available abstract (not full text):</w:t>
      </w:r>
      <w:r>
        <w:t xml:space="preserve"> This conceptual paper examines whether the long-term transition toward interstellar civilization may require not only more capable spacecraft, but a transformation of the traveler itself. Human intelligence emerged in biological organisms adapted to terrestrial conditions. Rather than assuming that this biological form remains fixed indefinitely, the paper explores possible transitions from biological and trans-biological existence toward post-biological forms of intelligence, including synthetic embodiment, human–AI integration, distributed cognition, and hypothetical substrate migration. A central distinction is developed between replacement and continuation. Artificial systems may simply outlive their biological creators, or biological and artificial cognition may progressively converge until the distinction between creator and creation no longer adequately describes the resulting civilization. This possibility leads directly to unresolved problems of personal identity and phenomenal consciousness: functional duplication, memory preservation, or gradual neural replacement do not by themselves establish continuity of first-person experience. The analysis extends these questions to agency, motivational persistence, value drift, mortality, civilizational fragmentation, and the distinction between causal and normative continuity. It asks not merely whether a technological lineag</w:t>
      </w:r>
    </w:p>
    <w:p>
      <w:pPr/>
      <w:r>
        <w:rPr>
          <w:b/>
        </w:rPr>
        <w:t>POSSIBLE 2026:</w:t>
      </w:r>
      <w:r>
        <w:t xml:space="preserve"> Cropping systems and agricultural sustainability: the role of long-term field experiments in the Mediterranean region — https://openalex.org/W7214567362</w:t>
      </w:r>
    </w:p>
    <w:p>
      <w:pPr/>
      <w:r>
        <w:rPr>
          <w:b/>
        </w:rPr>
        <w:t>Shared claim-specific concepts:</w:t>
      </w:r>
      <w:r>
        <w:t xml:space="preserve"> long-term, biological, rather, experiments, data, drivers; EU scope visible. This is a provisional connection, not an outcome finding.</w:t>
      </w:r>
    </w:p>
    <w:p>
      <w:pPr>
        <w:pStyle w:val="SourceNote"/>
      </w:pPr>
      <w:r>
        <w:rPr>
          <w:b/>
        </w:rPr>
        <w:t>Available abstract (not full text):</w:t>
      </w:r>
      <w:r>
        <w:t xml:space="preserve"> This thesis examines the role of Long-Term Field Experiments (LTEs) in characterising the agronomic sustainability of Mediterranean rainfed cereal-based cropping systems. It combines a national database of Italian LTEs—developed to harmonise information on the experiments and their associated publications, and to assess their comparability and thematic coverage—with a multi-year analysis of differences between conventional and organic management in durum wheat and weed responses along agrometeorological and edaphic drivers. The multi-year analysis was conducted in the MASCOT (Mediterranean Arable Systems Comparison Trial) case study, located at the ‘Enrico Avanzi’ Centre for Agro-Environmental Research of the University of Pisa, using data collected from 2002 to 2016. The database systematised information on 27 LTEs, distributed across 10 regions, and 111 associated publications, revealing a marked concentration in northern Italy and thematic coverage predominantly focused on soil chemical quality and productivity, with soil biological and physical quality and greenhouse gas emissions being less represented. Within MASCOT, the associations linking growing degree days and cumulative rainfall to durum wheat and weed responses were strongly phase-specific and differed between management systems; crop-cycle length also highlighted trade-offs among grain yield, grain nitrogen conten</w:t>
      </w:r>
    </w:p>
    <w:p>
      <w:pPr/>
      <w:r>
        <w:rPr>
          <w:b/>
        </w:rPr>
        <w:t>POSSIBLE 2026:</w:t>
      </w:r>
      <w:r>
        <w:t xml:space="preserve"> Biocompatible Lubricant-Coated Flexible Neural Probes with Enhanced Long-Term Recording Stability — https://doi.org/10.1021/acsabm.5c02232</w:t>
      </w:r>
    </w:p>
    <w:p>
      <w:pPr/>
      <w:r>
        <w:rPr>
          <w:b/>
        </w:rPr>
        <w:t>Shared claim-specific concepts:</w:t>
      </w:r>
      <w:r>
        <w:t xml:space="preserve"> long-term, biological, recording, because, however; EU scope not established. This is a provisional connection, not an outcome finding.</w:t>
      </w:r>
    </w:p>
    <w:p>
      <w:pPr>
        <w:pStyle w:val="SourceNote"/>
      </w:pPr>
      <w:r>
        <w:rPr>
          <w:b/>
        </w:rPr>
        <w:t>Available abstract (not full text):</w:t>
      </w:r>
      <w:r>
        <w:t xml:space="preserve"> Implantable neural probes enable high-resolution, multi-unit recordings and are essential tools for studying neurological disorders and developing brain-machine interface (BMI) technologies. However, conventional metal- or silicon-based probes exhibit significant mechanical mismatch with brain tissue, both of which elicit inflammatory responses and compromise long-term recording stability. Here, we introduce a flexible neural probe fabricated through a commercial flexible printed circuit board (FPCB) process and functionalized with a biocompatible lubricant coating to overcome these challenges. The inherent flexibility of the FPCB minimizes mechanical mismatch with brain tissue, while the coating enhances surface hydrophobicity and reduces insertion friction, thereby minimizing tissue damage during implantation. Its resistance to water ingress contributes to maintaining the probe's electrical insulation stability, supporting stable long-term performance. In chronic mouse hippocampal implants, lubricant-coated probes maintained consistent neural signal quality for several weeks, while immunohistochemical analysis revealed markedly reduced astrocytic and microglial activation (GFAP/Iba1) compared with uncoated controls, indicating effective mitigation of neuroinflammation. In vitro cell viability assays further confirmed the high biocompatibility of the coated devices. Importantl</w:t>
      </w:r>
    </w:p>
    <w:p>
      <w:pPr/>
      <w:r>
        <w:rPr>
          <w:b/>
        </w:rPr>
        <w:t>POSSIBLE 2025:</w:t>
      </w:r>
      <w:r>
        <w:t xml:space="preserve"> Biological recording underpins the conservation assessment of designated species: the recent case studies of the endangered white-clawed crayfish and near threatened otter — https://openalex.org/W7135647641</w:t>
      </w:r>
    </w:p>
    <w:p>
      <w:pPr/>
      <w:r>
        <w:rPr>
          <w:b/>
        </w:rPr>
        <w:t>Shared claim-specific concepts:</w:t>
      </w:r>
      <w:r>
        <w:t xml:space="preserve"> long-term, biological, recording, data; EU scope visible. This is a provisional connection, not an outcome finding.</w:t>
      </w:r>
    </w:p>
    <w:p>
      <w:pPr>
        <w:pStyle w:val="SourceNote"/>
      </w:pPr>
      <w:r>
        <w:rPr>
          <w:b/>
        </w:rPr>
        <w:t>Available abstract (not full text):</w:t>
      </w:r>
      <w:r>
        <w:t xml:space="preserve"> Biological recording underpins conservation of protected species, providing essential evidence for long-term trend assessment. Two recent studies demonstrate the value of combining field surveys with records held and curated by the Centre for Environmental Data and Recording (CEDaR) and the National Biodiversity Data Centre (NBDC). The endangered white-clawed crayfish (Austropotamobius pallipes) and near threatened otter (Lutra lutra) were originally designated under the EU Habitats Directive, with UK reporting now under Habitats Regulations Reporting (HRR), requiring conservation status assessment every six years. In 2024, crayfish were detected at 45% of 110 Northern Ireland sites using an environmental or eDNA survey. Integration with 1,336 CEDaR species records suggested its distribution was largely stable but strongly restricted by calcareous geology. Crayfish were more frequent at sites with recent records (suggesting vulnerability to local extirpation), rivers over lakes, and habitats with cobble or boulder substrates. They were vulnerable to agricultural pressures on water quality with occurrence significantly reduced by livestock access to watercourses, lowering detection probability by one-third. No crayfish plague was detected, but several designated sites showed evidence of population loss or decline, raising concerns for their long-term viability within Areas of Sp</w:t>
      </w:r>
    </w:p>
    <w:p>
      <w:pPr/>
      <w:r>
        <w:rPr>
          <w:b/>
        </w:rPr>
        <w:t>POSSIBLE 2025:</w:t>
      </w:r>
      <w:r>
        <w:t xml:space="preserve"> Changes in Biological and Chemical Soil Properties in an Austrian Long‐Term Tillage Experiment — https://doi.org/10.1111/ejss.70037</w:t>
      </w:r>
    </w:p>
    <w:p>
      <w:pPr/>
      <w:r>
        <w:rPr>
          <w:b/>
        </w:rPr>
        <w:t>Shared claim-specific concepts:</w:t>
      </w:r>
      <w:r>
        <w:t xml:space="preserve"> biological, however; EU scope visible. This is a provisional connection, not an outcome finding.</w:t>
      </w:r>
    </w:p>
    <w:p>
      <w:pPr>
        <w:pStyle w:val="SourceNote"/>
      </w:pPr>
      <w:r>
        <w:rPr>
          <w:b/>
        </w:rPr>
        <w:t>Available abstract (not full text):</w:t>
      </w:r>
      <w:r>
        <w:t xml:space="preserve"> ABSTRACT Conventional tillage, including ploughing after harvest and/or for seedbed preparation, aims to incorporate crop residues and weeds and to loosen, mix and aerate the soil. However, less beneficial effects, such as a loss of soil organic carbon (SOC), are also associated with intensive tillage. This has made reduced and minimum tillage systems without ploughing increasingly popular in agriculture, contributing to soil health and climate change mitigation. We studied the effects of different tillage systems on chemical and microbial soil properties in a long‐term field experiment established on a fine‐sandy loamy Haplic Chernozem in Fuchsenbigl, Austria, in 1988. The tillage treatments include conventional tillage (CT) with a plough and a cultivator down to 30 cm soil depth, reduced tillage (RT) with a cultivator down to 15 cm two to three times a year, as well as minimum tillage (MT) treated with a rotary driller once a year down to 5–8 cm soil depth. In 2016, a soil sampling campaign was conducted, and alkaline phosphatase, phospholipid fatty acids (PLFAs), and the nitrogen (N) mineralisation potential were analysed along with chemical properties including SOC, active C, total nitrogen (N t ), CAL extractable phosphorus (P CAL ) and potassium (K CAL ). Under MT, these properties were significantly higher compared to CT in 0–10 cm. In deeper soil layers, these parameter</w:t>
      </w:r>
    </w:p>
    <w:p>
      <w:pPr/>
      <w:r>
        <w:rPr>
          <w:b/>
        </w:rPr>
        <w:t>POSSIBLE 2025:</w:t>
      </w:r>
      <w:r>
        <w:t xml:space="preserve"> Long-Term Obesity and Biological Aging in Young Adults — https://doi.org/10.1001/jamanetworkopen.2025.20011</w:t>
      </w:r>
    </w:p>
    <w:p>
      <w:pPr/>
      <w:r>
        <w:rPr>
          <w:b/>
        </w:rPr>
        <w:t>Shared claim-specific concepts:</w:t>
      </w:r>
      <w:r>
        <w:t xml:space="preserve"> long-term, biological, data; EU scope not established. This is a provisional connection, not an outcome finding.</w:t>
      </w:r>
    </w:p>
    <w:p>
      <w:pPr>
        <w:pStyle w:val="SourceNote"/>
      </w:pPr>
      <w:r>
        <w:rPr>
          <w:b/>
        </w:rPr>
        <w:t>Available abstract (not full text):</w:t>
      </w:r>
      <w:r>
        <w:t xml:space="preserve"> Importance: It remains unclear whether obesity accelerates biological aging, potentially leading to early-onset chronic diseases. Objective: To investigate the association between long-term obesity and the expression of biochemical aging markers in younger adults. Design, Setting, and Participants: This multiple-events case-control study, conducted from April 5, 2022, to June 29, 2023, was embedded in the Santiago Longitudinal Study, a prospective Chilean birth cohort of adults aged 28 to 31 years among whom health and nutrition data were collected from September 1992 onward. Exposure: Body mass index (BMI) trajectory across the life course, recorded multiple times since birth. Group 1 had healthy BMI across the life course, group 2 had persistent obesity since adolescence, and group 3 had persistent obesity since childhood. Main Outcomes and Measures: Smoothed BMI trajectories (cubic polynomials) were used to estimate obesity duration. Primary outcomes were DNA methylation-based age and telomere length (TL). Secondary outcomes included levels of aging-related cytokines, growth factors, and adipomyokines. Results: In the sample of 205 adults (mean [SD] age, 28.9 [0.6] years; 100 females [49%]), 89 (43%) were in group 1, 43 (21%) in group 2, and 73 (36%) in group 3. Mean (SD) obesity duration was 12.9 (4.8) years in group 2 and 26.6 (2.3) years in group 3. Long-term obesity was </w:t>
      </w:r>
    </w:p>
    <w:p>
      <w:pPr/>
      <w:r>
        <w:rPr>
          <w:b/>
        </w:rPr>
        <w:t>POSSIBLE 2025:</w:t>
      </w:r>
      <w:r>
        <w:t xml:space="preserve"> Biological invasions: a global assessment of geographic distributions, long‐term trends, and data gaps — https://doi.org/10.1111/brv.70058</w:t>
      </w:r>
    </w:p>
    <w:p>
      <w:pPr/>
      <w:r>
        <w:rPr>
          <w:b/>
        </w:rPr>
        <w:t>Shared claim-specific concepts:</w:t>
      </w:r>
      <w:r>
        <w:t xml:space="preserve"> biological, often, data, other, drivers, however; EU scope not established. This is a provisional connection, not an outcome finding.</w:t>
      </w:r>
    </w:p>
    <w:p>
      <w:pPr>
        <w:pStyle w:val="SourceNote"/>
      </w:pPr>
      <w:r>
        <w:rPr>
          <w:b/>
        </w:rPr>
        <w:t>Available abstract (not full text):</w:t>
      </w:r>
      <w:r>
        <w:t xml:space="preserve"> Biological invasions are one of the major drivers of biodiversity decline and have been shown to have far-reaching consequences for society and the economy. Preventing the introduction and spread of alien species represents the most effective solution to reducing their impacts on nature and human well-being. However, implementing effective solutions requires a good understanding of where the species are established and how biological invasions develop over time. Knowledge of the status and trends of biological invasions is thus key for guiding research efforts, informing stakeholders and policymakers, for targeted management efforts, and preparing for the future. However, information about the status and trends of alien species is scattered, patchy, and highly incomplete, making it difficult to assess. Published reports for individual regions and taxonomic groups are available, but large-scale overviews are scarce. A global assessment therefore requires a review of available knowledge with careful consideration of sampling and reporting biases. This paper provides a comprehensive global assessment of the status and trends of alien species for major taxonomic groups [Bacteria, Protozoa, Stramenopila, Alveolata, and Rhizaria (SAR), fungi, plants, and animals] for Intergovernmental Panel of Biodiversity and Ecosystem Services (IPBES) regions. The review provides irrefutable eviden</w:t>
      </w:r>
    </w:p>
    <w:p>
      <w:pPr/>
      <w:r>
        <w:rPr>
          <w:b/>
        </w:rPr>
        <w:t>POSSIBLE 2025:</w:t>
      </w:r>
      <w:r>
        <w:t xml:space="preserve"> Long‐Term Stable Subdural Recordings Enabled by Fibrosis‐Resistant Hydrogel‐Integrated µECoG Arrays — https://doi.org/10.1002/advs.202515453</w:t>
      </w:r>
    </w:p>
    <w:p>
      <w:pPr/>
      <w:r>
        <w:rPr>
          <w:b/>
        </w:rPr>
        <w:t>Shared claim-specific concepts:</w:t>
      </w:r>
      <w:r>
        <w:t xml:space="preserve"> long-term, biological, often; EU scope not established. This is a provisional connection, not an outcome finding.</w:t>
      </w:r>
    </w:p>
    <w:p>
      <w:pPr>
        <w:pStyle w:val="SourceNote"/>
      </w:pPr>
      <w:r>
        <w:rPr>
          <w:b/>
        </w:rPr>
        <w:t>Available abstract (not full text):</w:t>
      </w:r>
      <w:r>
        <w:t xml:space="preserve"> The long-term performance of microscale subdural arrays is often compromised by adverse tissue responses, leading to increased electrochemical impedance and signal deterioration during chronic applications. Here, the study presents an adhesive hydrogel-integrated micro-electrocorticography (aGel-µECoG) array that improves mechanical compatibility and adhesion to brain tissue, effectively mitigating tissue responses and enabling stable, high-performance electrical communication over days to months. The hydrogel consists of a hydrophilic polyvinyl alcohol and hydrophobic poly3-(trimethoxysilyl) propyl methacrylate heteronetwork, serving as a biological and mechanical bridging to enable seamless, anti-fibrotic, long-term integration with brain tissue. The aGel-µECoG achieves robust tissue adhesion (25.2 ± 3.8 kPa) with reversible and safe removal, enabling sutureless implantation. With an ultrathin 10-µm ionic conductive hydrogel coating, the array exhibits high electrical fidelity, effectively preserving fine-grained sub-millimeter spatial resolution and maintaining unattenuated signal strength for functional cortical mapping. Compared to conventional µECoG arrays, aGel-µECoG exhibits a 20-fold reduction in acute-phase impedance increases, attributed to significantly reduced neuroinflammation and fibrotic tissue formation, as confirmed by histological analyses. Long-term recordin</w:t>
      </w:r>
    </w:p>
    <w:p>
      <w:pPr/>
      <w:r>
        <w:rPr>
          <w:b/>
        </w:rPr>
        <w:t>POSSIBLE 2024:</w:t>
      </w:r>
      <w:r>
        <w:t xml:space="preserve"> Machine learning for efficient segregation and labeling of potential biological sounds in long-term underwater recordings — https://doi.org/10.3389/frsen.2024.1390687</w:t>
      </w:r>
    </w:p>
    <w:p>
      <w:pPr/>
      <w:r>
        <w:rPr>
          <w:b/>
        </w:rPr>
        <w:t>Shared claim-specific concepts:</w:t>
      </w:r>
      <w:r>
        <w:t xml:space="preserve"> long-term, biological, provide, data, however; EU scope visible. This is a provisional connection, not an outcome finding.</w:t>
      </w:r>
    </w:p>
    <w:p>
      <w:pPr>
        <w:pStyle w:val="SourceNote"/>
      </w:pPr>
      <w:r>
        <w:rPr>
          <w:b/>
        </w:rPr>
        <w:t>Available abstract (not full text):</w:t>
      </w:r>
      <w:r>
        <w:t xml:space="preserve"> Studying marine soundscapes by detecting known sound events and quantifying their spatio-temporal patterns can provide ecologically relevant information. However, the exploration of underwater sound data to find and identify possible sound events of interest can be highly time-intensive for human analysts. To speed up this process, we propose a novel methodology that first detects all the potentially relevant acoustic events and then clusters them in an unsupervised way prior to manual revision. We demonstrate its applicability on a short deployment. To detect acoustic events, a deep learning object detection algorithm from computer vision (YOLOv8) is re-trained to detect any (short) acoustic event. This is done by converting the audio to spectrograms using sliding windows longer than the expected sound events of interest. The model detects any event present on that window and provides their time and frequency limits. With this approach, multiple events happening simultaneously can be detected. To further explore the possibilities to limit the human input needed to create the annotations to train the model, we propose an active learning approach to select the most informative audio files in an iterative manner for subsequent manual annotation. The obtained detection models are trained and tested on a dataset from the Belgian Part of the North Sea, and then further evaluated for</w:t>
      </w:r>
    </w:p>
    <w:p>
      <w:pPr>
        <w:pStyle w:val="Heading2"/>
      </w:pPr>
      <w:r>
        <w:t>900. Three scenarios for industrial relations in Europe</w:t>
      </w:r>
    </w:p>
    <w:p>
      <w:pPr>
        <w:pStyle w:val="SourceNote"/>
      </w:pPr>
      <w:r>
        <w:rPr>
          <w:b/>
        </w:rPr>
        <w:t>Original source (2015):</w:t>
      </w:r>
      <w:r>
        <w:t xml:space="preserve"> https://doi.org/10.1111/j.1564-913x.2015.00221.x</w:t>
      </w:r>
    </w:p>
    <w:p>
      <w:pPr/>
      <w:r>
        <w:t>Original wording (abstract; indexed_source_text_not_full_document_verified): The author outlines three scenarios for the future of industrial relations in Europe. The second envisages that “elite reform” from above will succeed in re‐engineering industrial relations and workers' protection according to an ideal social policy agenda – an unlikely prospect given the overriding importance of financial considerations and globalized competition.</w:t>
      </w:r>
    </w:p>
    <w:p>
      <w:pPr/>
      <w:r>
        <w:rPr>
          <w:b/>
        </w:rPr>
        <w:t>POSSIBLE 2025:</w:t>
      </w:r>
      <w:r>
        <w:t xml:space="preserve"> Digital Currencies in Context: A Cross-Regional Study of Blockchain Adoption in the U.S. and Europe — https://doi.org/10.33423/jabe.v27i6.7943</w:t>
      </w:r>
    </w:p>
    <w:p>
      <w:pPr/>
      <w:r>
        <w:rPr>
          <w:b/>
        </w:rPr>
        <w:t>Shared claim-specific concepts:</w:t>
      </w:r>
      <w:r>
        <w:t xml:space="preserve"> outlines, three, importance; EU scope visible. This is a provisional connection, not an outcome finding.</w:t>
      </w:r>
    </w:p>
    <w:p>
      <w:pPr>
        <w:pStyle w:val="SourceNote"/>
      </w:pPr>
      <w:r>
        <w:rPr>
          <w:b/>
        </w:rPr>
        <w:t>Available abstract (not full text):</w:t>
      </w:r>
      <w:r>
        <w:t xml:space="preserve"> This article examines the adoption of blockchain and cryptocurrency within the digital transformation of the U.S. and European economies. It analyzes external and internal factors limiting diffusion and outlines three schools of thought among economists—from skeptics to advocates of technological growth. Using theoretical analysis, empirical data, and assessments from international organizations, the study finds that blockchain and cryptocurrencies hold significant yet delayed potential as drivers of structural economic transformation. The authors emphasize the importance of institutional maturity, regulatory harmonization, and the development of digital literacy to achieve a macro-level impact.</w:t>
      </w:r>
    </w:p>
    <w:p>
      <w:pPr/>
      <w:r>
        <w:rPr>
          <w:b/>
        </w:rPr>
        <w:t>POSSIBLE 2025:</w:t>
      </w:r>
      <w:r>
        <w:t xml:space="preserve"> The future of the colonial system as assessed by experts of the Council on Foreign Relations during the Second World War — https://doi.org/10.48015/2076-7404-2025-17-1-141-161</w:t>
      </w:r>
    </w:p>
    <w:p>
      <w:pPr/>
      <w:r>
        <w:rPr>
          <w:b/>
        </w:rPr>
        <w:t>Shared claim-specific concepts:</w:t>
      </w:r>
      <w:r>
        <w:t xml:space="preserve"> author, outlines, relations, second; EU scope visible. This is a provisional connection, not an outcome finding.</w:t>
      </w:r>
    </w:p>
    <w:p>
      <w:pPr>
        <w:pStyle w:val="SourceNote"/>
      </w:pPr>
      <w:r>
        <w:rPr>
          <w:b/>
        </w:rPr>
        <w:t>Available abstract (not full text):</w:t>
      </w:r>
      <w:r>
        <w:t xml:space="preserve"> During World War II, the colonial issue was at the forefront of both the fight of the anti-Hitler coalition against the Axis powers and the inter-allied discussion of the prospects for the post-war world order. In this context, the perspectives of the U.S. experts affiliated with the Council on Foreign Relations deserve special attention. Having brought together government officials, bankers, industrialists, Wall Street lawyers, and Ivy League professors, the Council turned into a unique expert platform that exerted a significant influence not only on the course of public discussions about the future world order, but also on the foreign policy decision-making in the United States itself. This article identifies the specific features of experts’ perspectives on the prospects of the development and transformation of the colonial system after World War II. The first section profiles the Council’s members who actively participated in the discussion of these issues. The second section outlines the two main approaches of the Council’s experts to resolving the colonial issue, which involved either reforming the existing colonial system or significantly revising it. At the same time, as the author notes, all experts recognized that the positions of the European colonial powers would be inevitably weakened by the end of World War II and emphasized the need for the U.S. to play a more ac</w:t>
      </w:r>
    </w:p>
    <w:p>
      <w:pPr/>
      <w:r>
        <w:rPr>
          <w:b/>
        </w:rPr>
        <w:t>POSSIBLE 2025:</w:t>
      </w:r>
      <w:r>
        <w:t xml:space="preserve"> European Contexts of Minority-Majority Relations in Upper Silesia — https://doi.org/10.14746/rie.2025.19.20</w:t>
      </w:r>
    </w:p>
    <w:p>
      <w:pPr/>
      <w:r>
        <w:rPr>
          <w:b/>
        </w:rPr>
        <w:t>Shared claim-specific concepts:</w:t>
      </w:r>
      <w:r>
        <w:t xml:space="preserve"> author, outlines, relations, succeed; EU scope visible. This is a provisional connection, not an outcome finding.</w:t>
      </w:r>
    </w:p>
    <w:p>
      <w:pPr>
        <w:pStyle w:val="SourceNote"/>
      </w:pPr>
      <w:r>
        <w:rPr>
          <w:b/>
        </w:rPr>
        <w:t>Available abstract (not full text):</w:t>
      </w:r>
      <w:r>
        <w:t xml:space="preserve"> In the first part of the article, the author introduces the concept of contestation. He then outlines the key legal frameworks arising from Poland’s membership in the Council of Europe and the European Union, which Upper Silesian regionalists may invoke in their efforts to preserve, strengthen, and develop the region’s socio-cultural identity. The migration processes that unfolded after 1945 had a profound impact on the transformations within Upper Silesia. However, it was only after 1989 that Poles, Germans, and Silesians were able to engage freely in a public discussion about the region’s multicultural character. The preservation of Upper Silesia’s distinctiveness ultimately depends on whether regionalists succeed in engaging the new residents, who now form the majority population, in pursuing this shared goal.</w:t>
      </w:r>
    </w:p>
    <w:p>
      <w:pPr/>
      <w:r>
        <w:rPr>
          <w:b/>
        </w:rPr>
        <w:t>POSSIBLE 2024:</w:t>
      </w:r>
      <w:r>
        <w:t xml:space="preserve"> Three idiosyncratic registers — https://openalex.org/W7112475832</w:t>
      </w:r>
    </w:p>
    <w:p>
      <w:pPr/>
      <w:r>
        <w:rPr>
          <w:b/>
        </w:rPr>
        <w:t>Shared claim-specific concepts:</w:t>
      </w:r>
      <w:r>
        <w:t xml:space="preserve"> author, outlines, three; EU scope visible. This is a provisional connection, not an outcome finding.</w:t>
      </w:r>
    </w:p>
    <w:p>
      <w:pPr>
        <w:pStyle w:val="SourceNote"/>
      </w:pPr>
      <w:r>
        <w:rPr>
          <w:b/>
        </w:rPr>
        <w:t>Available abstract (not full text):</w:t>
      </w:r>
      <w:r>
        <w:t xml:space="preserve"> This paper outlines three public academic registers of a single author, Professor Donna Rose Miller. Miller has had significant impact on the Systemic Functional Linguistics (SFL) community, particularly but by no means exclusively in Europe, through her contributions to discussion lists, through her involvement on the European SFL Association (ESFLA) committee, and through her numerous publications. Texts from these three strands form the focus of the analysis of her idiosyncratic registers in this paper.</w:t>
      </w:r>
    </w:p>
    <w:p>
      <w:pPr/>
      <w:r>
        <w:rPr>
          <w:b/>
        </w:rPr>
        <w:t>POSSIBLE 2024:</w:t>
      </w:r>
      <w:r>
        <w:t xml:space="preserve"> Three Exercises in the Regionalization of Europe — https://doi.org/10.1002/9781394284375.ch11</w:t>
      </w:r>
    </w:p>
    <w:p>
      <w:pPr/>
      <w:r>
        <w:rPr>
          <w:b/>
        </w:rPr>
        <w:t>Shared claim-specific concepts:</w:t>
      </w:r>
      <w:r>
        <w:t xml:space="preserve"> three, relations, second; EU scope visible. This is a provisional connection, not an outcome finding.</w:t>
      </w:r>
    </w:p>
    <w:p>
      <w:pPr>
        <w:pStyle w:val="SourceNote"/>
      </w:pPr>
      <w:r>
        <w:rPr>
          <w:b/>
        </w:rPr>
        <w:t>Available abstract (not full text):</w:t>
      </w:r>
      <w:r>
        <w:t xml:space="preserve"> The identification of Europe with a larger whole than the state is due to the advanced interweaving of national territories in terms of the circulation of wealth, linguistic practices and international mobility. The institutional inclusion of European states in supranational structures is complex. This chapter proposes three empirical illustrations of Europe through the systems of relations between states in a space. The first illustration deals with the position of European states within diplomatic relations through the establishment of embassies. The second illustration proposes a reflection on Turkey's membership in supranational entities, a state in an interface position between an integrated Europe and other regional spaces invested by Turkish diplomacy, such as the Black Sea area or the Turkish-speaking world of Central Asia. The third illustration poses the links between European states and macro-regional geographical objects in the text of highly consulted newspapers, considered as references, in the French media landscape.</w:t>
      </w:r>
    </w:p>
    <w:p>
      <w:pPr/>
      <w:r>
        <w:rPr>
          <w:b/>
        </w:rPr>
        <w:t>POSSIBLE 2024:</w:t>
      </w:r>
      <w:r>
        <w:t xml:space="preserve"> Queen Jadwiga of Anjou’s relations with the episcopate of Gniezno and Halych Archdioceses — an outline — https://doi.org/10.15633/fhc.30206</w:t>
      </w:r>
    </w:p>
    <w:p>
      <w:pPr/>
      <w:r>
        <w:rPr>
          <w:b/>
        </w:rPr>
        <w:t>Shared claim-specific concepts:</w:t>
      </w:r>
      <w:r>
        <w:t xml:space="preserve"> author, outlines, relations, second, given; EU scope visible. This is a provisional connection, not an outcome finding.</w:t>
      </w:r>
    </w:p>
    <w:p>
      <w:pPr>
        <w:pStyle w:val="SourceNote"/>
      </w:pPr>
      <w:r>
        <w:rPr>
          <w:b/>
        </w:rPr>
        <w:t>Available abstract (not full text):</w:t>
      </w:r>
      <w:r>
        <w:t xml:space="preserve"> The author presents the relations between Queen Jadwiga of Anjou (1384–1399) with the episcopate of Gniezno and Halych Archdioceses during her reign in Poland and the Great Duchy of Lithuania with Władysław Jagiełło. In speeches delivered by such intellectuals as Stanisław of Skarbimierz, she appears as a monarch respectful of bishops and concerned with the welfare of the Church. On the other hand, Jadwiga and her husband are known to have followed a consistent ecclesiastical policy, having control over episcopal nominations in the Polish-Lithuanian state, frequently against the will of local chapters and even the Holy See amidst the Western Schism crisis. The author points out that historiographers often too hastily credited Jadwiga with initiative and control over bishops’ nominations in a given area. In reality, the initiative came from both royal spouses and, whenever different candidates were proposed, it was the queen who acquiesced to her husband. The second part of the article outlines the nature of Jadwiga’s relations with key members of the episcopate, with special emphasis on the queen’s close relations with bishops of Krakow: Jan Radlica and Piotr Wysz, with whom she cooperated to further the University of Krakow’s restoration.</w:t>
      </w:r>
    </w:p>
    <w:p>
      <w:pPr/>
      <w:r>
        <w:rPr>
          <w:b/>
        </w:rPr>
        <w:t>POSSIBLE 2023:</w:t>
      </w:r>
      <w:r>
        <w:t xml:space="preserve"> PRISMA 2020 abstract checklist migrant entrepreneurship support Europe SLR.docxMigrant entrepreneurship in Europe: a systematic literature reviewMigrant entrepreneurship in Europe: a systematic literature review — https://doi.org/10.6084/m9.figshare.24021240</w:t>
      </w:r>
    </w:p>
    <w:p>
      <w:pPr/>
      <w:r>
        <w:rPr>
          <w:b/>
        </w:rPr>
        <w:t>Shared claim-specific concepts:</w:t>
      </w:r>
      <w:r>
        <w:t xml:space="preserve"> abstract, outlines, agenda; EU scope visible. This is a provisional connection, not an outcome finding.</w:t>
      </w:r>
    </w:p>
    <w:p>
      <w:pPr>
        <w:pStyle w:val="SourceNote"/>
      </w:pPr>
      <w:r>
        <w:rPr>
          <w:b/>
        </w:rPr>
        <w:t>Available abstract (not full text):</w:t>
      </w:r>
      <w:r>
        <w:t xml:space="preserve"> This systematic literature review (SLR) investigates migrant entrepreneurship in Europe, addressing their characteristics, encountered challenges, and policy support. The SLR uses a repeatable search protocol for sources published from 1970 to 2021, retrieved from Scopus and Web of Science databases. Inclusion criteria focused on migrant entrepreneurship support studies, excluding domestic migration and non-European contexts. The methods align the data with the research questions to reduce bias. The authors developed an analytical framework inspired by Bourdieu's forms of capital and created tables to synthesize the data. The SLR covers 91 peer-reviewed studies published from 1994 to 2021. The authors categorized challenges into financial, human, and social capital, alongside external factors. Challenges encompassed assimilation, language barriers, networking, funding constraints, and adapting to local business practices. Migrant entrepreneurs' stability hinged on factors such as duration of stay, language proficiency, prior entrepreneurial experience, and education. The authors identified support mechanisms to include local networks, financing, and mentoring. The SLR outlines a research agenda, emphasizing enhanced human and social capital, well-designed support programs, and bias mitigation. This review contributes to the academic literature on understanding and promoting mig</w:t>
      </w:r>
    </w:p>
    <w:p>
      <w:pPr/>
      <w:r>
        <w:rPr>
          <w:b/>
        </w:rPr>
        <w:t>POSSIBLE 2023:</w:t>
      </w:r>
      <w:r>
        <w:t xml:space="preserve"> Causes of the Russian-Ukrainian Conflict and its Impact on Security in Europe — https://doi.org/10.2478/kbo-2023-0004</w:t>
      </w:r>
    </w:p>
    <w:p>
      <w:pPr/>
      <w:r>
        <w:rPr>
          <w:b/>
        </w:rPr>
        <w:t>Shared claim-specific concepts:</w:t>
      </w:r>
      <w:r>
        <w:t xml:space="preserve"> abstract, author, outlines; EU scope visible. This is a provisional connection, not an outcome finding.</w:t>
      </w:r>
    </w:p>
    <w:p>
      <w:pPr>
        <w:pStyle w:val="SourceNote"/>
      </w:pPr>
      <w:r>
        <w:rPr>
          <w:b/>
        </w:rPr>
        <w:t>Available abstract (not full text):</w:t>
      </w:r>
      <w:r>
        <w:t xml:space="preserve"> Abstract In this article, the author presents issues related to the Russian-Ukrainian conflict and its impact on security in Europe. The text outlines the causes of the Russian-Ukrainian conflict, the course of the war and the effects in the present day. The article describes the responses of the European Union and NATO to Russian aggression. In his conclusions, the author pays particular attention to the impact of this conflict on security in Europe..</w:t>
      </w:r>
    </w:p>
    <w:p>
      <w:pPr/>
      <w:r>
        <w:rPr>
          <w:b/>
        </w:rPr>
        <w:t>POSSIBLE 2023:</w:t>
      </w:r>
      <w:r>
        <w:t xml:space="preserve"> Introduction to Work and Employment Relations in Southern Europe — https://doi.org/10.4337/9781789909548.00006</w:t>
      </w:r>
    </w:p>
    <w:p>
      <w:pPr/>
      <w:r>
        <w:rPr>
          <w:b/>
        </w:rPr>
        <w:t>Shared claim-specific concepts:</w:t>
      </w:r>
      <w:r>
        <w:t xml:space="preserve"> outlines, industrial, relations; EU scope visible. This is a provisional connection, not an outcome finding.</w:t>
      </w:r>
    </w:p>
    <w:p>
      <w:pPr>
        <w:pStyle w:val="SourceNote"/>
      </w:pPr>
      <w:r>
        <w:rPr>
          <w:b/>
        </w:rPr>
        <w:t>Available abstract (not full text):</w:t>
      </w:r>
      <w:r>
        <w:t xml:space="preserve"> This chapter serves as an introduction to the book and outlines the background, context and nature of industrial relations and forms of de-regulation related to recent economic developments. The chapter outlines key aspects of the debates related to the nature of Southern European industrial relations in general but focusing on Greece, Italy, Portugal and Spain as the case studies. The chapter concentrates on the way that the states and public policy in such contexts have developed around competing political agendas and imperatives. The argument outlines how de-regulation has occurred, as well as how there have been responses to it, and alternative forms of politics and policies have been developed. It points to the way that broader politics and a set of initiatives regarding worker rights and collective processes have re-emerged, although it reiterates the existence of the problem with how marketization and neoliberalism continue to frame the overall politics and language of re-regulation.</w:t>
      </w:r>
    </w:p>
    <w:p>
      <w:pPr/>
      <w:r>
        <w:rPr>
          <w:b/>
        </w:rPr>
        <w:t>POSSIBLE 2021:</w:t>
      </w:r>
      <w:r>
        <w:t xml:space="preserve"> The evolution of life cycle assessment in European policies over three decades — https://doi.org/10.1007/s11367-021-01893-2</w:t>
      </w:r>
    </w:p>
    <w:p>
      <w:pPr/>
      <w:r>
        <w:rPr>
          <w:b/>
        </w:rPr>
        <w:t>Shared claim-specific concepts:</w:t>
      </w:r>
      <w:r>
        <w:t xml:space="preserve"> three, according; EU scope visible. This is a provisional connection, not an outcome finding.</w:t>
      </w:r>
    </w:p>
    <w:p>
      <w:pPr>
        <w:pStyle w:val="SourceNote"/>
      </w:pPr>
      <w:r>
        <w:rPr>
          <w:b/>
        </w:rPr>
        <w:t>Available abstract (not full text):</w:t>
      </w:r>
      <w:r>
        <w:t xml:space="preserve"> Abstract Purpose Life cycle thinking (LCT) and life cycle assessment (LCA) are increasingly considered pivotal concept and method for supporting sustainable transitions. LCA plays a relevant role in decision support, for the ambition of a holistic coverage of environmental dimensions and for the identification of hotspots, possible trade-offs, and burden shifting among life cycle stages or impact categories. These features are also relevant when the decision support is needed in policy domain. With a focus on EU policies, the present study explores the evolution and implementation of life cycle concepts and approaches over three decades. Methods Adopting an historical perspective, a review of current European Union (EU) legal acts and communications explicitly mentioning LCT, LCA, life cycle costing (LCC), and environmental footprint (the European Product and Organisation Environmental Footprint PEF/OEF) is performed, considering the timeframe from 1990 to 2020. The documents are categorised by year and according to their types (e.g. regulations, directives, communications) and based on the covered sectors (e.g. waste, energy, buildings). Documents for which life cycle concepts and approaches had a crucial role are identified, and a shortlist of these legal acts and communications is derived. Results and discussion Over the years, LCT and life cycle approaches have been increas</w:t>
      </w:r>
    </w:p>
    <w:p>
      <w:pPr/>
      <w:r>
        <w:rPr>
          <w:b/>
        </w:rPr>
        <w:t>POSSIBLE 2021:</w:t>
      </w:r>
      <w:r>
        <w:t xml:space="preserve"> The European Commission’s Role in EU–Turkey Relations — https://doi.org/10.1007/978-3-030-70890-0_9</w:t>
      </w:r>
    </w:p>
    <w:p>
      <w:pPr/>
      <w:r>
        <w:rPr>
          <w:b/>
        </w:rPr>
        <w:t>Shared claim-specific concepts:</w:t>
      </w:r>
      <w:r>
        <w:t xml:space="preserve"> relations, second; EU scope visible. This is a provisional connection, not an outcome finding.</w:t>
      </w:r>
    </w:p>
    <w:p>
      <w:pPr>
        <w:pStyle w:val="SourceNote"/>
      </w:pPr>
      <w:r>
        <w:rPr>
          <w:b/>
        </w:rPr>
        <w:t>Available abstract (not full text):</w:t>
      </w:r>
      <w:r>
        <w:t xml:space="preserve"> Abstract Based on a review of the relations between the European Commission (EC) and Turkey across a selection of policy areas, this chapter illustrates two aspects of EC influence in EU–Turkey relations. First, as a defender of the rules of the (enlargement) game, the Commission has rebuffed attempts by some member states to undermine Turkey’s membership prospects. The EC’s influence in the debate on the most appropriate approach to Turkey underlines its autonomous role within the EU system and the relevance of its norm-based argumentation. However, due to Turkey’s current alienation from the EU’s normative standards, norm-based arguments in favor of Turkey’s membership have lost much of their weight even within the Commission. Second, the EC has been an important ‘agent of change’ in Turkish domestic politics, even in times of deteriorating political relations with the EU. Because of its contributions to regular interactions, in particular, in the framework of projects financed by the EU’s Instrument for Pre-Accession Assistance, the EC has continued to increase administrative capacity and policy learning processes within Turkey’s bureaucracy, which, in turn, contributed to Ankara’s continued harmonization with the EUacquisin some sectors, despite the waning relevance of the EU’s conditionality strategy.</w:t>
      </w:r>
    </w:p>
    <w:p>
      <w:pPr/>
      <w:r>
        <w:rPr>
          <w:b/>
        </w:rPr>
        <w:t>POSSIBLE 2021:</w:t>
      </w:r>
      <w:r>
        <w:t xml:space="preserve"> Europeanization and EU–Turkey Relations: Three Domains, Four Periods — https://doi.org/10.1007/978-3-030-70890-0_5</w:t>
      </w:r>
    </w:p>
    <w:p>
      <w:pPr/>
      <w:r>
        <w:rPr>
          <w:b/>
        </w:rPr>
        <w:t>Shared claim-specific concepts:</w:t>
      </w:r>
      <w:r>
        <w:t xml:space="preserve"> three, relations, second; EU scope visible. This is a provisional connection, not an outcome finding.</w:t>
      </w:r>
    </w:p>
    <w:p>
      <w:pPr>
        <w:pStyle w:val="SourceNote"/>
      </w:pPr>
      <w:r>
        <w:rPr>
          <w:b/>
        </w:rPr>
        <w:t>Available abstract (not full text):</w:t>
      </w:r>
      <w:r>
        <w:t xml:space="preserve"> Abstract Europeanization is deservedly one of the most popular yet most volatile buzzwords for Turkish politics and EU–Turkey relations. This chapter takes stock of the Europeanization literature and examines the EU–Turkey relationship by referring to particular mechanisms and variants of Europeanization. The main argument is that Europeanization is a versatile and complex process covering vast areas of policy, politics, and polity, intertwined with larger domestic, regional, and global processes, which is not limited to Turkey’s EU accession. The analysis refers to particular mechanisms and variants of Europeanization in four different phases between 1963 and early 2020: In the first period, ‘Europeanization as rapprochement’, Turkey’s age-old Westernization project was consolidated through Europeanization. In the second period, ‘Europeanization as democratic conditionality’, there has been strong interest in the impact of Europeanization on particular aspects of domestic issues through conditionality and the EU’s role as a ‘democratization anchor’. In the third period, ‘Europeanization as retrenchment’, and the fourth period, ‘Europeanization as denial’, ‘Europe’ was no longer the lingua franca in the Turkish political landscape, a trend that is also associated with a ‘de-Europeanization’ turn in the literature. This does not mean that ‘Europe’ completely disappeared from dom</w:t>
      </w:r>
    </w:p>
    <w:p>
      <w:pPr>
        <w:pStyle w:val="Heading2"/>
      </w:pPr>
      <w:r>
        <w:t>901. Time banks, co-production and foresight: intertwined towards an alternative future</w:t>
      </w:r>
    </w:p>
    <w:p>
      <w:pPr>
        <w:pStyle w:val="SourceNote"/>
      </w:pPr>
      <w:r>
        <w:rPr>
          <w:b/>
        </w:rPr>
        <w:t>Original source (2015):</w:t>
      </w:r>
      <w:r>
        <w:t xml:space="preserve"> https://doi.org/10.1108/fs-05-2014-0035</w:t>
      </w:r>
    </w:p>
    <w:p>
      <w:pPr/>
      <w:r>
        <w:t>Original wording (abstract; indexed_source_text_not_full_document_verified): Time banks are particularly interesting for the future of services: they address all sorts of services while the time-bank “value” of these different types of services does not necessarily reflect their actual value in the free market; impacts may spread from the mere coverage of people’s needs, to increased social capital and community empowerment; and some scholars consider them as flexible forms of co-production, or even as enablers of wider social change.</w:t>
      </w:r>
    </w:p>
    <w:p>
      <w:pPr/>
      <w:r>
        <w:rPr>
          <w:b/>
        </w:rPr>
        <w:t>POSSIBLE 2026:</w:t>
      </w:r>
      <w:r>
        <w:t xml:space="preserve"> Willingness, motivators and barriers to time bank participation: A scoping review — https://doi.org/10.1371/journal.pone.0322760</w:t>
      </w:r>
    </w:p>
    <w:p>
      <w:pPr/>
      <w:r>
        <w:rPr>
          <w:b/>
        </w:rPr>
        <w:t>Shared claim-specific concepts:</w:t>
      </w:r>
      <w:r>
        <w:t xml:space="preserve"> time, particularly, address, different; EU scope not established. This is a provisional connection, not an outcome finding.</w:t>
      </w:r>
    </w:p>
    <w:p>
      <w:pPr>
        <w:pStyle w:val="SourceNote"/>
      </w:pPr>
      <w:r>
        <w:rPr>
          <w:b/>
        </w:rPr>
        <w:t>Available abstract (not full text):</w:t>
      </w:r>
      <w:r>
        <w:t xml:space="preserve"> This scoping review systematically identifies the extent and nature of evidence regarding willingness, motivators, and barriers influencing community participation in time bank systems, with a focus on older adults. Time bank is recognized as an effective tool for enhancing social cohesion and reducing isolation, particularly among older adults. However, specific factors such as barriers and motivators driving participation remain underexplored. This review adhered to Arksey and O'Malley's framework and PRISMA-ScR guidelines. A systematic search of PubMed, Embase, CINAHL, Web of Science, Cochrane Library, Google Scholar, and Science Direct (January 2010-December 2024) identified studies on willingness, motivators, and barriers to time bank participation. Two reviewers independently screened titles, abstracts, and full texts, extracting data using a predefined tool. Thirty studies (quantitative, qualitative, and mixed-methods) were included. Findings revealed high willingness among younger populations, particularly university students, driven by intrinsic motivations like altruism and meaningful engagement. Healthcare professionals and older adults showed moderate willingness, influenced by health needs and caregiving roles. Key motivators included robust willingness to participate across different population, social and community influences, demographic and structural determina</w:t>
      </w:r>
    </w:p>
    <w:p>
      <w:pPr/>
      <w:r>
        <w:rPr>
          <w:b/>
        </w:rPr>
        <w:t>POSSIBLE 2026:</w:t>
      </w:r>
      <w:r>
        <w:t xml:space="preserve"> Implementation and Impacts of Taiwan’s Time Bank Multi-Empowerment Program Across Six Townships — https://doi.org/10.33790/jswwp1100180</w:t>
      </w:r>
    </w:p>
    <w:p>
      <w:pPr/>
      <w:r>
        <w:rPr>
          <w:b/>
        </w:rPr>
        <w:t>Shared claim-specific concepts:</w:t>
      </w:r>
      <w:r>
        <w:t xml:space="preserve"> time, particularly, different, impacts; EU scope not established. This is a provisional connection, not an outcome finding.</w:t>
      </w:r>
    </w:p>
    <w:p>
      <w:pPr>
        <w:pStyle w:val="SourceNote"/>
      </w:pPr>
      <w:r>
        <w:rPr>
          <w:b/>
        </w:rPr>
        <w:t>Available abstract (not full text):</w:t>
      </w:r>
      <w:r>
        <w:t xml:space="preserve"> In recent years, the government has actively promoted symbiotic communities, hoping that communities can become nodes in social relationship networks and form mutual-support living circles. Departing from the Euro-American time bank framework, the time bank promoted by National Chung Cheng University has adopted Taiwan's traditional rural huan-gong (labor exchange) as its model of dissemination, gradually evolving toward the ideal of a symbiotic community. This study aims to examine the implementation outcomes of the Ministry of Health and Welfare's "Time Bank Multi-Empowerment Program" in six townships across northern, central, and southern Taiwan (Dalin Township and Xingang Township in Chiayi County; Dapi Township and Huwei Township in Yunlin County; North District of Hsinchu City; and Neipu Township in Pingtung County), and to explore what kinds of impacts and transformations it has brought to individuals, communities, and organizations. A stratified random sampling strategy was adopted to administer questionnaires in the six areas, resulting in 204 valid responses. Findings show that time bank members are mainly middle-aged and older (51–64 years), female, with a college education, married, living with spouse, and relying primarily on employment or business income; their (current or previous) main occupation is in industry and commerce, and their monthly disposable income i</w:t>
      </w:r>
    </w:p>
    <w:p>
      <w:pPr/>
      <w:r>
        <w:rPr>
          <w:b/>
        </w:rPr>
        <w:t>POSSIBLE 2026:</w:t>
      </w:r>
      <w:r>
        <w:t xml:space="preserve"> A Time Credit Based Community Service Exchange Platform — https://doi.org/10.55041/isjem08201</w:t>
      </w:r>
    </w:p>
    <w:p>
      <w:pPr/>
      <w:r>
        <w:rPr>
          <w:b/>
        </w:rPr>
        <w:t>Shared claim-specific concepts:</w:t>
      </w:r>
      <w:r>
        <w:t xml:space="preserve"> time, particularly, they, different, people; EU scope not established. This is a provisional connection, not an outcome finding.</w:t>
      </w:r>
    </w:p>
    <w:p>
      <w:pPr>
        <w:pStyle w:val="SourceNote"/>
      </w:pPr>
      <w:r>
        <w:rPr>
          <w:b/>
        </w:rPr>
        <w:t>Available abstract (not full text):</w:t>
      </w:r>
      <w:r>
        <w:t xml:space="preserve"> Money is the most common medium of exchange, but there are many situations particularly in close-knit communities, college campuses, and neighbourhood groups where people have valuable skills or time they are willing to offer but no convenient way to exchange them with others who need them. Time Bank is a proposed digital platform that replaces money with time as the currency of exchange: every hour of any service, regardless of its market rate, earns the provider exactly one time credit, which can later be spent on receiving a different service from another community member. This paper presents the design of a Time Bank system, discussing its relevance as an alternative economy model, the architecture of the platform, a service-exchange workflow, and the practical challenges of keeping a time-credit community functional and fair over time. Keywords — Time Bank, Time Credits, Peer-to-Peer Service Exchange, Community Currency, Alternative Economy, Skill Sharing, Reputation System</w:t>
      </w:r>
    </w:p>
    <w:p>
      <w:pPr/>
      <w:r>
        <w:rPr>
          <w:b/>
        </w:rPr>
        <w:t>POSSIBLE 2026:</w:t>
      </w:r>
      <w:r>
        <w:t xml:space="preserve"> Reaction of European bank and non-bank financial equities to physical climate risk: Evidence from quantile dependence and time-varying predictability — https://doi.org/10.55214/2576-8484.v10i2.12260</w:t>
      </w:r>
    </w:p>
    <w:p>
      <w:pPr/>
      <w:r>
        <w:rPr>
          <w:b/>
        </w:rPr>
        <w:t>Shared claim-specific concepts:</w:t>
      </w:r>
      <w:r>
        <w:t xml:space="preserve"> banks, particularly, impacts, coverage; EU scope visible. This is a provisional connection, not an outcome finding.</w:t>
      </w:r>
    </w:p>
    <w:p>
      <w:pPr>
        <w:pStyle w:val="SourceNote"/>
      </w:pPr>
      <w:r>
        <w:rPr>
          <w:b/>
        </w:rPr>
        <w:t>Available abstract (not full text):</w:t>
      </w:r>
      <w:r>
        <w:t xml:space="preserve"> This study analyses the pricing of physical climate risk in European financial equity markets by looking at the differentiated responses of banks and non-bank financial institutions. Daily data from December 2012 to December 2023 are used to study the predictive, causal, and distributional effects of physical climate risk on sectoral equity returns. The measurement of physical climate hazard is through a new text-based Physical Climate Risk Index, created from coverage in European financial media, which captures real-time investor attention to climate-related hazards. In terms of methodology, it employs an extensive econometric framework that integrates the wild-bootstrap likelihood ratio test for assessing return predictability, time-varying causal changes, and cross-quantilograms for studying asymmetric quantile-dependent dependencies at short, medium, and long-run horizons. The results provide strong evidence that physical climate risk has a statistically significant adverse predictive effect on both banking and non-bank financial equity returns, with more pronounced impacts for non-bank institutions. Time-varying causality intensifies in periods of heightened climate stress, particularly around major heat waves, droughts, and wildfire episodes within Europe. Further cross-quantilogram results reveal substantial asymmetries, stronger downside effects in the short run, and ev</w:t>
      </w:r>
    </w:p>
    <w:p>
      <w:pPr/>
      <w:r>
        <w:rPr>
          <w:b/>
        </w:rPr>
        <w:t>POSSIBLE 2025:</w:t>
      </w:r>
      <w:r>
        <w:t xml:space="preserve"> Willingness, Motivators and Barriers to Time Bank Participation: A Scoping Review — https://doi.org/10.1101/2025.03.30.25324913</w:t>
      </w:r>
    </w:p>
    <w:p>
      <w:pPr/>
      <w:r>
        <w:rPr>
          <w:b/>
        </w:rPr>
        <w:t>Shared claim-specific concepts:</w:t>
      </w:r>
      <w:r>
        <w:t xml:space="preserve"> time, particularly, address, different; EU scope not established. This is a provisional connection, not an outcome finding.</w:t>
      </w:r>
    </w:p>
    <w:p>
      <w:pPr>
        <w:pStyle w:val="SourceNote"/>
      </w:pPr>
      <w:r>
        <w:rPr>
          <w:b/>
        </w:rPr>
        <w:t>Available abstract (not full text):</w:t>
      </w:r>
      <w:r>
        <w:t xml:space="preserve"> 1 Abstract Objective This scoping review systematically identifies the extent and nature of evidence regarding willingness, motivators, and barriers influencing community participation in time bank systems, with a focus on older adults. Introduction Time bank is recognized as an effective tool for enhancing social cohesion and reducing isolation, particularly among older adults. However, specific factors such as barriers and motivators driving participation remain underexplored. Design Scoping review. Methods This review adhered to Arksey and O’Malley’s framework and PRISMA-ScR guidelines. A systematic search of PubMed, Embase, CINAHL, Web of Science, Cochrane Library, Google Scholar, and Science Direct (January 2010–December 2024) identified studies on willingness, motivators, and barriers to time bank participation. Two reviewers independently screened titles, abstracts, and full texts, extracting data using a predefined tool. Results Thirty studies (quantitative, qualitative, and mixed-methods) were included. Findings revealed high willingness among younger populations, particularly university students, driven by intrinsic motivations like altruism and meaningful engagement. Healthcare professionals and older adults showed moderate willingness, influenced by health needs and caregiving roles. Key motivators included robust willingess to participate across different populatio</w:t>
      </w:r>
    </w:p>
    <w:p>
      <w:pPr/>
      <w:r>
        <w:rPr>
          <w:b/>
        </w:rPr>
        <w:t>POSSIBLE 2025:</w:t>
      </w:r>
      <w:r>
        <w:t xml:space="preserve"> Analysis of Guangzhou time bank pilot policy — https://doi.org/10.54254/2977-5701/2025.27781</w:t>
      </w:r>
    </w:p>
    <w:p>
      <w:pPr/>
      <w:r>
        <w:rPr>
          <w:b/>
        </w:rPr>
        <w:t>Shared claim-specific concepts:</w:t>
      </w:r>
      <w:r>
        <w:t xml:space="preserve"> time, banks, not, actual; EU scope not established. This is a provisional connection, not an outcome finding.</w:t>
      </w:r>
    </w:p>
    <w:p>
      <w:pPr>
        <w:pStyle w:val="SourceNote"/>
      </w:pPr>
      <w:r>
        <w:rPr>
          <w:b/>
        </w:rPr>
        <w:t>Available abstract (not full text):</w:t>
      </w:r>
      <w:r>
        <w:t xml:space="preserve"> Over the past two decades, against the backdrop of a rapidly growing elderly population in China, eldercare issues have gained increasing attention and become a highly debated topic in society. Research indicates that the actual needs of the elderly lie not in financial resources, but rather in care and companionship. However, with modern youth frequently working overtime and having little time for companionship, how can the needs of the elderly be met? The emergence of the "Time Bank"a novel elderly care service platformaddresses this by establishing a community-based model to fulfill the diverse needs of the elderly. This paper introduces the Nansha Time Bank platform in Guangzhou, showcasing the promising development prospects of public welfare organizations and the localized implementation of the imported concept of time banks within contemporary Chinese society. By analyzing the strengths and weaknesses of time banks and summarizing the motivations and influencing factors that encourage service providers to participate, the following conclusions are drawn: First, time banks possess three key advantages: mobilizing public enthusiasm, addressing the shortage of service providers for the elderly, and alleviating the supply-demand imbalance. Second, this paper examines potential risks from three perspectives: developmental sustainability, activity accessibility, and participat</w:t>
      </w:r>
    </w:p>
    <w:p>
      <w:pPr/>
      <w:r>
        <w:rPr>
          <w:b/>
        </w:rPr>
        <w:t>POSSIBLE 2024:</w:t>
      </w:r>
      <w:r>
        <w:t xml:space="preserve"> Scope and challenges in the implementation of Time Bank in India: a qualitative study — https://doi.org/10.1007/s44282-024-00040-0</w:t>
      </w:r>
    </w:p>
    <w:p>
      <w:pPr/>
      <w:r>
        <w:rPr>
          <w:b/>
        </w:rPr>
        <w:t>Shared claim-specific concepts:</w:t>
      </w:r>
      <w:r>
        <w:t xml:space="preserve"> time, services, different, people; EU scope not established. This is a provisional connection, not an outcome finding.</w:t>
      </w:r>
    </w:p>
    <w:p>
      <w:pPr>
        <w:pStyle w:val="SourceNote"/>
      </w:pPr>
      <w:r>
        <w:rPr>
          <w:b/>
        </w:rPr>
        <w:t>Available abstract (not full text):</w:t>
      </w:r>
      <w:r>
        <w:t xml:space="preserve"> Abstract This paper explores the scope of services and challenges in implementing Time Bank in India. This community-based initiative allows people to exchange skills and services without the involvement of money. A qualitative study was conducted using semi-structured telephone interviews with 20 participants aged 18 to 35. Thematic analysis revealed four major themes: Services, Challenges and Limitations of Time Bank, Factors Affecting Help-Seeking Behavior, and Community and Gender Dynamics. Participants expressed interest in offering a wide range of services, from household tasks to professional services. However, challenges and limitations were also identified, such as a lack of awareness and understanding of the concept, social stigma, and concerns about trust, privacy, and safety issues. The study underscores the need to consider cultural and social factors while implementing community-based initiatives. Despite these challenges, participants believed Time Bank could be a valuable platform for building social connections and community support. The study's implications highlight the need for further research on the impact of Time Bank on social capital and the sustainability of the initiative in different cultural contexts.</w:t>
      </w:r>
    </w:p>
    <w:p>
      <w:pPr/>
      <w:r>
        <w:rPr>
          <w:b/>
        </w:rPr>
        <w:t>POSSIBLE 2024:</w:t>
      </w:r>
      <w:r>
        <w:t xml:space="preserve"> DEVELOPMENT OF REMOTE BANKING SERVICES OF COMMERCIAL BANKS IS A REQUIREMENT OF THE TIME — https://doi.org/10.5281/zenodo.21413961</w:t>
      </w:r>
    </w:p>
    <w:p>
      <w:pPr/>
      <w:r>
        <w:rPr>
          <w:b/>
        </w:rPr>
        <w:t>Shared claim-specific concepts:</w:t>
      </w:r>
      <w:r>
        <w:t xml:space="preserve"> time, banks, services; EU scope not established. This is a provisional connection, not an outcome finding.</w:t>
      </w:r>
    </w:p>
    <w:p>
      <w:pPr>
        <w:pStyle w:val="SourceNote"/>
      </w:pPr>
      <w:r>
        <w:rPr>
          <w:b/>
        </w:rPr>
        <w:t>Available abstract (not full text):</w:t>
      </w:r>
      <w:r>
        <w:t xml:space="preserve"> The article examines the increase in capital of commercial banks and the factors influencing it on the basis of theoretical and practical data. Also, based on the study of foreign experience, it is argued that the increase in asset quality in banks will directly improve the quality of credit services provided by banks, reduce problem loans and the use of credit scoring system. A number of specific aspects of the use of credit scoring system in improving the quality of assets of commercial banks have been studied in detail on the basis of theoretical and practical data, scientific proposals and practical recommendations have been developed on the basis of author’s approaches.</w:t>
      </w:r>
    </w:p>
    <w:p>
      <w:pPr/>
      <w:r>
        <w:rPr>
          <w:b/>
        </w:rPr>
        <w:t>POSSIBLE 2024:</w:t>
      </w:r>
      <w:r>
        <w:t xml:space="preserve"> Study on the Application of "Time Bank" to College Students' Volunteer Service System in the Context of Rural Revitalization — https://doi.org/10.54097/pbf0y096</w:t>
      </w:r>
    </w:p>
    <w:p>
      <w:pPr/>
      <w:r>
        <w:rPr>
          <w:b/>
        </w:rPr>
        <w:t>Shared claim-specific concepts:</w:t>
      </w:r>
      <w:r>
        <w:t xml:space="preserve"> time, services, they, not; EU scope not established. This is a provisional connection, not an outcome finding.</w:t>
      </w:r>
    </w:p>
    <w:p>
      <w:pPr>
        <w:pStyle w:val="SourceNote"/>
      </w:pPr>
      <w:r>
        <w:rPr>
          <w:b/>
        </w:rPr>
        <w:t>Available abstract (not full text):</w:t>
      </w:r>
      <w:r>
        <w:t xml:space="preserve"> With the idea of inclusiveness gradually penetrating into the philosophy of governance of colleges and universities, college students' volunteer activities are gradually enriched, and college students have become the most energetic group in youth volunteer activities. Student organizations and associations at the college or school level have become the main field and position for college students to carry out volunteer service activities in various colleges and universities. They arouse students' interest and achieve the purpose of recruiting college students' volunteers by means of credit awards, personal enhancement, and outings, etc., and then carry out volunteer service activities on the basis of which they provide various services for others or the society to promote the development and progress of China's society. According to the survey, college student volunteers have reached 83.1% of the total number of volunteers, college students have been the main force in the body. However, from the current situation, the conditions of volunteer service are still lacking, the contemporary university volunteer group students do not have a comprehensive understanding of volunteer service, awareness is weak, and volunteer activities are mostly top-down type of promotion, passive volunteer service also deviates from the original intention of the spirit of volunteerism. Therefore, with </w:t>
      </w:r>
    </w:p>
    <w:p>
      <w:pPr/>
      <w:r>
        <w:rPr>
          <w:b/>
        </w:rPr>
        <w:t>POSSIBLE 2024:</w:t>
      </w:r>
      <w:r>
        <w:t xml:space="preserve"> Tracing Bank Runs in Real Time — https://doi.org/10.59576/sr.1104</w:t>
      </w:r>
    </w:p>
    <w:p>
      <w:pPr/>
      <w:r>
        <w:rPr>
          <w:b/>
        </w:rPr>
        <w:t>Shared claim-specific concepts:</w:t>
      </w:r>
      <w:r>
        <w:t xml:space="preserve"> time, banks, not; EU scope not established. This is a provisional connection, not an outcome finding.</w:t>
      </w:r>
    </w:p>
    <w:p>
      <w:pPr>
        <w:pStyle w:val="SourceNote"/>
      </w:pPr>
      <w:r>
        <w:rPr>
          <w:b/>
        </w:rPr>
        <w:t>Available abstract (not full text):</w:t>
      </w:r>
      <w:r>
        <w:t xml:space="preserve"> We use high-frequency interbank payments data to trace deposit flows in March 2023 and identify twenty-two banks that suffered a run—significantly more than the two that failed but fewer than the number that experienced large negative stock returns. The runs were driven by large (institutional) depositors, rather than many small (retail) depositors. While the runs were related to weak fundamentals, we find evidence for the importance of coordination because run banks were disproportionately publicly traded and many banks with similarly bad fundamentals did not suffer a run. Banks that survived a run did so by borrowing new funds and then raising deposit rates—not by selling liquid securities.</w:t>
      </w:r>
    </w:p>
    <w:p>
      <w:pPr/>
      <w:r>
        <w:rPr>
          <w:b/>
        </w:rPr>
        <w:t>POSSIBLE 2024:</w:t>
      </w:r>
      <w:r>
        <w:t xml:space="preserve"> Inequality In Banks — https://doi.org/10.36948/ijfmr.2024.v06i02.15138</w:t>
      </w:r>
    </w:p>
    <w:p>
      <w:pPr/>
      <w:r>
        <w:rPr>
          <w:b/>
        </w:rPr>
        <w:t>Shared claim-specific concepts:</w:t>
      </w:r>
      <w:r>
        <w:t xml:space="preserve"> time, banks, particularly, services, all, value; EU scope not established. This is a provisional connection, not an outcome finding.</w:t>
      </w:r>
    </w:p>
    <w:p>
      <w:pPr>
        <w:pStyle w:val="SourceNote"/>
      </w:pPr>
      <w:r>
        <w:rPr>
          <w:b/>
        </w:rPr>
        <w:t>Available abstract (not full text):</w:t>
      </w:r>
      <w:r>
        <w:t xml:space="preserve"> This research paper delves into the challenges people, regardless of their age, face when dealing with money, especially in the context of banks where financial security should be paramount. Money plays a critical role in today's economy as a medium of exchange, unit of account, and store of value, impacting financial planning and security. However, the shift towards online banking has resulted in various errors, financial losses, and data breaches due to user inexperience. The paper suggests that allowing traditional banking as a secondary option could prevent these issues. Traditional banking, with its physical branches and face-to-face interactions, offers benefits such as in-person services, enhanced financial security, and reliable access to loans, making it a preferable choice for many. The research paper aims to shed light on the persistent issues surrounding net banking, or alternatively, the idea of internet banking in general. This may manifest as the person making irrevocable errors or as dishonest behaviour on the part of other parties. Reversal mechanisms, which need to be in place from the beginning, are missing, particularly when it comes to financial matters. When all of the foregoing is fully understood, most consumers would naturally choose a traditional banking option. To save time and money on operating expenses, the banks do not offer this option. The price</w:t>
      </w:r>
    </w:p>
    <w:p>
      <w:pPr/>
      <w:r>
        <w:rPr>
          <w:b/>
        </w:rPr>
        <w:t>POSSIBLE 2023:</w:t>
      </w:r>
      <w:r>
        <w:t xml:space="preserve"> Examining the Role of Motivation Cues from Narratives in Online Time Bank Participating Decisions — https://doi.org/10.21203/rs.3.rs-2694840/v1</w:t>
      </w:r>
    </w:p>
    <w:p>
      <w:pPr/>
      <w:r>
        <w:rPr>
          <w:b/>
        </w:rPr>
        <w:t>Shared claim-specific concepts:</w:t>
      </w:r>
      <w:r>
        <w:t xml:space="preserve"> time, banks, value; EU scope not established. This is a provisional connection, not an outcome finding.</w:t>
      </w:r>
    </w:p>
    <w:p>
      <w:pPr>
        <w:pStyle w:val="SourceNote"/>
      </w:pPr>
      <w:r>
        <w:rPr>
          <w:b/>
        </w:rPr>
        <w:t>Available abstract (not full text):</w:t>
      </w:r>
      <w:r>
        <w:t xml:space="preserve"> Abstract Time bank known as “Community/Neighborhood Pension”, provides a new solution to fulfill the unmet service needs of community members with idle community resources. The operation of time banks relies on the active participation of community members. Therefore, in this study we investigate the motivation of members to participate in web-based time banks from a service requirement narrative perspective. Drawing on grounded theory and self-determination theory, we built a model to assess how intrinsic and extrinsic cues underlying service requirement narratives affect time bank participation decisions of service providers. To test our hypotheses, we conducted a regression analysis of 12339 projects from the “Nansha Time Bank” (a web-based time bank) platform in China. We find that participants respond positively to time coin returns and narratives highlighting social connection and value fulfillment but respond negatively to service hour costs and empathy-altruism cues.</w:t>
      </w:r>
    </w:p>
    <w:p>
      <w:pPr>
        <w:pStyle w:val="Heading2"/>
      </w:pPr>
      <w:r>
        <w:t>902. Transport demand evolution in Europe – factors of change, scenarios and challenges</w:t>
      </w:r>
    </w:p>
    <w:p>
      <w:pPr>
        <w:pStyle w:val="SourceNote"/>
      </w:pPr>
      <w:r>
        <w:rPr>
          <w:b/>
        </w:rPr>
        <w:t>Original source (2015):</w:t>
      </w:r>
      <w:r>
        <w:t xml:space="preserve"> https://doi.org/10.1007/s40309-015-0072-y</w:t>
      </w:r>
    </w:p>
    <w:p>
      <w:pPr/>
      <w:r>
        <w:t>Original wording (abstract; indexed_source_text_not_full_document_verified): In the transport sector, where change comes with inertia and investments are made with a long term perspective, decision makers need to consider how the future may look like in the very long term. The work presented in this paper is a scenario analysis focusing on the evolution of transport demand towards 2050, aiming to identify related challenges for European industrial and policy players.</w:t>
      </w:r>
    </w:p>
    <w:p>
      <w:pPr/>
      <w:r>
        <w:rPr>
          <w:b/>
        </w:rPr>
        <w:t>POSSIBLE 2025:</w:t>
      </w:r>
      <w:r>
        <w:t xml:space="preserve"> Barriers to women’s employment in the transport sector in Europe — https://doi.org/10.12688/openreseurope.16123.1</w:t>
      </w:r>
    </w:p>
    <w:p>
      <w:pPr/>
      <w:r>
        <w:rPr>
          <w:b/>
        </w:rPr>
        <w:t>Shared claim-specific concepts:</w:t>
      </w:r>
      <w:r>
        <w:t xml:space="preserve"> transport, sector, very, work; EU scope visible. This is a provisional connection, not an outcome finding.</w:t>
      </w:r>
    </w:p>
    <w:p>
      <w:pPr>
        <w:pStyle w:val="SourceNote"/>
      </w:pPr>
      <w:r>
        <w:rPr>
          <w:b/>
        </w:rPr>
        <w:t>Available abstract (not full text):</w:t>
      </w:r>
      <w:r>
        <w:t xml:space="preserve"> The H2020 TinnGO (Transport and Innovation Gender Observatory) project ( https://www.tinngo.eu/) addressed gender inequality in mobility patterns, education, and employment in the transport sector. The European transport sector has around 22% of female transport workers – making it one of the most traditional, male dominated, and change resistant sectors. This paper provides 1) a contemporary picture of women’s work experiences in the transport sector in 10 socially and economically divergent counties in the European Union (i.e. United Kingdom, Germany, France, Sweden, Italy, Spain, Romania, Portugal, Baltic Countries, Greece); and 2) recommendations on how to reduce gender inequalities. Data was collected using desk top research, surveys and follow up interviews and case studies with successful women and female entrepreneurs. Results triangulated well. Persistent themes emerged relevant to women’s underrepresentation in certain transport-related jobs and their over representation in support and administrative functions. The surveys revealed key barriers such as misogynistic attitudes, male dominated hierarchies, recruitment bias, reluctance to acknowledge a woman’s role and contributions, gender pay gap, male – dominated professional networks and the gender ’glass ceiling.’ Follow up case studies explored the strategies ‘successful’ women had used to overcome these. The number</w:t>
      </w:r>
    </w:p>
    <w:p>
      <w:pPr/>
      <w:r>
        <w:rPr>
          <w:b/>
        </w:rPr>
        <w:t>POSSIBLE 2025:</w:t>
      </w:r>
      <w:r>
        <w:t xml:space="preserve"> A Multi-Level Perspective on Transition to Renewable Energy in the Indonesian Transport Sector — https://doi.org/10.3390/en18215723</w:t>
      </w:r>
    </w:p>
    <w:p>
      <w:pPr/>
      <w:r>
        <w:rPr>
          <w:b/>
        </w:rPr>
        <w:t>Shared claim-specific concepts:</w:t>
      </w:r>
      <w:r>
        <w:t xml:space="preserve"> transport, sector, perspective, focusing, evolution, challenges; EU scope not established. This is a provisional connection, not an outcome finding.</w:t>
      </w:r>
    </w:p>
    <w:p>
      <w:pPr>
        <w:pStyle w:val="SourceNote"/>
      </w:pPr>
      <w:r>
        <w:rPr>
          <w:b/>
        </w:rPr>
        <w:t>Available abstract (not full text):</w:t>
      </w:r>
      <w:r>
        <w:t xml:space="preserve"> A transition from fossil fuels to renewable energy is underway to achieve net-zero emissions. The institutional arrangements in Indonesia’s energy transportation sector are crucial for various stakeholders involved in the energy transition. This study combines historical institutionalism with a multi-level perspective to analyze how policy formulation, critical junctures, and path dependence shape institutional changes toward sustainable mobility. The evolution of institutional arrangements can be categorized into three phases: the establishment of fuel-oil-based infrastructure and dependency (1970–2003); the diversification of cleaner fuels through compressed natural gas and biofuels (2004–2014); and the development of affordable and clean energy, focusing on biofuels and electrification (2015 to present). In parallel, a quantitative total cost of ownership analysis of vehicles using different fuel types demonstrates how institutional reforms, fiscal incentives, and regulatory support reshape the economic feasibility of low-carbon technologies. Landscape pressures—such as global decarbonization, fuel import dependence, and energy security challenges—interact with niche innovations, including biofuels, electric vehicles, and hybrid systems, to drive systemic transformation. The findings indicate that institutional changes, supported by quantitative economic evidence and technol</w:t>
      </w:r>
    </w:p>
    <w:p>
      <w:pPr/>
      <w:r>
        <w:rPr>
          <w:b/>
        </w:rPr>
        <w:t>POSSIBLE 2025:</w:t>
      </w:r>
      <w:r>
        <w:t xml:space="preserve"> LEGAL ASPECTS OF INDUSTRIAL SYMBIOSIS IN THE TRANSPORT SECTOR — https://openalex.org/W7131341140</w:t>
      </w:r>
    </w:p>
    <w:p>
      <w:pPr/>
      <w:r>
        <w:rPr>
          <w:b/>
        </w:rPr>
        <w:t>Shared claim-specific concepts:</w:t>
      </w:r>
      <w:r>
        <w:t xml:space="preserve"> transport, sector, like, very, related, industrial; EU scope visible. This is a provisional connection, not an outcome finding.</w:t>
      </w:r>
    </w:p>
    <w:p>
      <w:pPr>
        <w:pStyle w:val="SourceNote"/>
      </w:pPr>
      <w:r>
        <w:rPr>
          <w:b/>
        </w:rPr>
        <w:t>Available abstract (not full text):</w:t>
      </w:r>
      <w:r>
        <w:t xml:space="preserve"> Transport has a significant harmful impact on the environment, contributing to air, water and soil pollution, greenhouse gas emissions, and climate change. Burning fossil fuels in transportation means releases large amounts of CO₂ and other pollutants, degrading air quality and contributing to global warming. Transport also causes noise pollution and habitat destruction due to infrastructure development like roads and highways. On the other hand, sustainable transport seeks to minimise these negative effects by promoting cleaner technologies, such as electric and hydrogen-powered vehicles, and improving fuel efficiency. Industrial symbiosis in the transport sector refers to collaborative efforts between companies to optimise resources, reduce waste, and improve energy efficiency. Industrial symbiosis in the transport sector can include recycling vehicles and their parts, using alternative fuels, sharing infrastructure, etc. There are several successful practical examples of industrial symbiosis in the transport sector. While no single legal framework is dedicated solely to industrial symbiosis in transport, the legal aspects of this concept are covered through broader regulations related to sustainability, the circular economy, and emissions reduction. These legal frameworks include European Union directives and Member States' national laws as well as international treaties and</w:t>
      </w:r>
    </w:p>
    <w:p>
      <w:pPr/>
      <w:r>
        <w:rPr>
          <w:b/>
        </w:rPr>
        <w:t>POSSIBLE 2025:</w:t>
      </w:r>
      <w:r>
        <w:t xml:space="preserve"> Evaluating the European transportation sector via energy and climate change mitigation perspectives — https://doi.org/10.1016/j.sftr.2025.100652</w:t>
      </w:r>
    </w:p>
    <w:p>
      <w:pPr/>
      <w:r>
        <w:rPr>
          <w:b/>
        </w:rPr>
        <w:t>Shared claim-specific concepts:</w:t>
      </w:r>
      <w:r>
        <w:t xml:space="preserve"> transport, sector, decision; EU scope visible. This is a provisional connection, not an outcome finding.</w:t>
      </w:r>
    </w:p>
    <w:p>
      <w:pPr>
        <w:pStyle w:val="SourceNote"/>
      </w:pPr>
      <w:r>
        <w:rPr>
          <w:b/>
        </w:rPr>
        <w:t>Available abstract (not full text):</w:t>
      </w:r>
      <w:r>
        <w:t xml:space="preserve"> Transportation is essential to a country's economic growth. However, it is one of the most energy-intensive processes, and its negative environmental consequences are expected to worsen with time. Without successful climate change mitigation measures, it is predicted that transportation's negative environmental consequences will worsen, accelerating global warming. Enhancing energy efficiency and fostering sustainable practices in transportation have become urgent priorities to mitigate climate change. It is essential to evaluate to what extent European Union (EU) countries perform efficiently in terms of transport sustainability. Hence, we use Multi-Criteria Decision Making (MCDM) and slack-based Data Envelopment Analysis (DEA) tto evaluate the energy performance in the transportation sector of the EU. As per the analysis results, those countries with high Gross Domestic Product (GDP) levels, such as Germany, France, and Italy have performed better in both MCDM and DEA. Further, the outcomes of our study suggest that the EU members still have an opportunity for efficiency growth. To the best of our knowledge, this is one of the rare studies that comparatively focus on the performance of the EU transport sector.</w:t>
      </w:r>
    </w:p>
    <w:p>
      <w:pPr/>
      <w:r>
        <w:rPr>
          <w:b/>
        </w:rPr>
        <w:t>POSSIBLE 2024:</w:t>
      </w:r>
      <w:r>
        <w:t xml:space="preserve"> Analyzing Labor Costs in The Transport and Storage Sector in European Countries Through Trend and Cluster Analysis:2007-2022 — https://doi.org/10.19168/jyasar.1345236</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Trends in the transport and storage industry's labor markets in Europe have significantly impacted changes in labor costs. Technological advancements, increased privatization and deregulation, and changes in global capital flows are among the key reasons that have resulted in significant changes in labor costs in the logistics sector during the last few decades, especially in Europe. The amount of remuneration for logistics personnel and its pace of change over time are essential aspects influencing not just capital investment choices but also country competitiveness. The clusters of countries with similar wage increases over time are also impacted by their economic, social, and ecological problems to a similar extent. The existence of probable trends in labor costs in transport and storage on a country level, as well as cluster analysis over the countries where the trend is found, will aid in revealing significant similarities and contrasts concerning the sector and the countries involved in the research. The Labor Cost Index (LCI), according to NACE Rev. 2 Activity-nominal value, quarterly data released by Eurostat was utilized for this research. Sixty-four quarterly periods have been covered between the first quarter of 2007 and the fourth quarter of 2022. The research was based on data collected from 23 different European countries. The Mann-Kendall trend test and Sen's slo</w:t>
      </w:r>
    </w:p>
    <w:p>
      <w:pPr/>
      <w:r>
        <w:rPr>
          <w:b/>
        </w:rPr>
        <w:t>POSSIBLE 2023:</w:t>
      </w:r>
      <w:r>
        <w:t xml:space="preserve"> Negative externalities in the transport sector: European efforts to align transport prices with external costs through market-based instruments — https://doi.org/10.4337/9781035317844.00022</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A clear paradigm shift is needed to implement the polluter pays principle and foster a sustainable transition in the transport sector. Among others, market-based instruments are an economically attractive means of reducing the negative externalities generated by transport. In fact, by influencing the prices, they can encourage behavioural change in transport use by supporting more sustainable transport options, making them economically more attractive to users. Various policy options are under scrutiny at European level to revise the transport sector. On one hand, the revision of the Energy Taxation Directive and of the Emissions Trading System are at the top of the EU political agenda and they affect different transport sectors. On the other hand, the revision of the Eurovignette Directive on the charging of heavy-goods vehicles for the use of certain infrastructures and the reform of vehicle taxation are also under discussion. This chapter aims to analyse the EU efforts to align transport prices with external costs, if they are coordinate and compliant with EU objectives, and what scenarios are opening up for the future of vehicle taxation.</w:t>
      </w:r>
    </w:p>
    <w:p>
      <w:pPr/>
      <w:r>
        <w:rPr>
          <w:b/>
        </w:rPr>
        <w:t>POSSIBLE 2023:</w:t>
      </w:r>
      <w:r>
        <w:t xml:space="preserve"> Driving towards a sustainable future: Transport sector innovation, climate change and social welfare — https://doi.org/10.1016/j.jclepro.2023.139250</w:t>
      </w:r>
    </w:p>
    <w:p>
      <w:pPr/>
      <w:r>
        <w:rPr>
          <w:b/>
        </w:rPr>
        <w:t>Shared claim-specific concepts:</w:t>
      </w:r>
      <w:r>
        <w:t xml:space="preserve"> transport, sector;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Adapting for Inertia — https://openalex.org/W7137589190</w:t>
      </w:r>
    </w:p>
    <w:p>
      <w:pPr/>
      <w:r>
        <w:rPr>
          <w:b/>
        </w:rPr>
        <w:t>Shared claim-specific concepts:</w:t>
      </w:r>
      <w:r>
        <w:t xml:space="preserve"> inertia, look; EU scope not established. This is a provisional connection, not an outcome finding.</w:t>
      </w:r>
    </w:p>
    <w:p>
      <w:pPr>
        <w:pStyle w:val="SourceNote"/>
      </w:pPr>
      <w:r>
        <w:rPr>
          <w:b/>
        </w:rPr>
        <w:t>Available abstract (not full text):</w:t>
      </w:r>
      <w:r>
        <w:t xml:space="preserve"> Despite much learning and research over many decades, large ICT software projects have continued to experience poor outcomes or fallen short of original expectations—some spectacularly so. This is the case in the Australian and New Zealand public sectors, even though these projects operate within historically developed institutional frameworks that provide the rules, guidelines and controls, and aim to consistently improve outcomes. Something is amiss. In Adapting for Inertia, Grant Douglas questions the effectiveness of these institutional frameworks in governing large ICT software projects in the Australian and New Zealand public sectors. He also gauges the perspectives of a large number of actors in projects in both sectors and examines two case studies in detail. The main narrative to emerge is that the institutional frameworks are in a state of inertia: they are failing to adapt, owing to various institutional factors—all of which have public policy implications. Sadly, Douglas finds, this inertia is likely to continue. If there is difficulty in changing the capacity to govern, he proposes, policymakers should look to change the nature of what is to be governed.</w:t>
      </w:r>
    </w:p>
    <w:p>
      <w:pPr/>
      <w:r>
        <w:rPr>
          <w:b/>
        </w:rPr>
        <w:t>POSSIBLE 2023:</w:t>
      </w:r>
      <w:r>
        <w:t xml:space="preserve"> Effects of Digitalization on Labor Market Development in Transport Sector in Post- Covid Environment — https://doi.org/10.37075/2023.4/ea.2023.4.05</w:t>
      </w:r>
    </w:p>
    <w:p>
      <w:pPr/>
      <w:r>
        <w:rPr>
          <w:b/>
        </w:rPr>
        <w:t>Shared claim-specific concepts:</w:t>
      </w:r>
      <w:r>
        <w:t xml:space="preserve"> transport, sector, like, related; EU scope visible. This is a provisional connection, not an outcome finding.</w:t>
      </w:r>
    </w:p>
    <w:p>
      <w:pPr>
        <w:pStyle w:val="SourceNote"/>
      </w:pPr>
      <w:r>
        <w:rPr>
          <w:b/>
        </w:rPr>
        <w:t>Available abstract (not full text):</w:t>
      </w:r>
      <w:r>
        <w:t xml:space="preserve"> The development of digitalization processes in a post-pandemic environment has the potential to seriously affect the labor market in the transport sector in South- Eastern European countries, which sector is not prepared for such a transformation. An increasing number of transport companies will face the dilemma of keeping their workforce or replacing it with digital devices and robots. The consequences of the COVID-19 pandemic, which led to many small and medium-sized enterprises bankruptcies in the sector, will make it even more difficult for transport companies to remain competitive both on the national and European transport market. Based on statistical and descriptive analysis, the article aims to forecast the emerging trends in the sector and to give recommendations for a smooth transition, considering the specifics of the transport sector in terms of social and technological sustainability. The study identifies the problems, related to the digitalization of the transport sector and reveals the possibilities for their overcoming in regard to road passenger carriages in intercity lines in developing countries with transition economies like Bulgaria.</w:t>
      </w:r>
    </w:p>
    <w:p>
      <w:pPr/>
      <w:r>
        <w:rPr>
          <w:b/>
        </w:rPr>
        <w:t>POSSIBLE 2023:</w:t>
      </w:r>
      <w:r>
        <w:t xml:space="preserve"> Decarbonising Transport in the European Union — https://doi.org/10.30722/anzjes.vol15.iss1.17371</w:t>
      </w:r>
    </w:p>
    <w:p>
      <w:pPr/>
      <w:r>
        <w:rPr>
          <w:b/>
        </w:rPr>
        <w:t>Shared claim-specific concepts:</w:t>
      </w:r>
      <w:r>
        <w:t xml:space="preserve"> transport, sector, aiming; EU scope visible. This is a provisional connection, not an outcome finding.</w:t>
      </w:r>
    </w:p>
    <w:p>
      <w:pPr>
        <w:pStyle w:val="SourceNote"/>
      </w:pPr>
      <w:r>
        <w:rPr>
          <w:b/>
        </w:rPr>
        <w:t>Available abstract (not full text):</w:t>
      </w:r>
      <w:r>
        <w:t xml:space="preserve"> In its emerging role as a climate leader, the European Union is aiming to become the first carbon neutral continent by 2050 (European Commission, 2019). This involves ambitious measures to decarbonise by i.a. reducing emissions in the transport sector. However while other EU sectors have decreased emissions since 1990, transport has experienced an increase. It seems unlikely that reduction rates will be reachd with the currently proposed solutions. Further action and policy change will be required to achieve these aims.</w:t>
      </w:r>
    </w:p>
    <w:p>
      <w:pPr/>
      <w:r>
        <w:rPr>
          <w:b/>
        </w:rPr>
        <w:t>POSSIBLE 2022:</w:t>
      </w:r>
      <w:r>
        <w:t xml:space="preserve"> Institutional and organisational change in the German rail transport sector. Working paper 3 of the study LowCarb-RFC - European Rail Freight Corridors going Carbon Neutral — https://doi.org/10.24406/publica-fhg-299027</w:t>
      </w:r>
    </w:p>
    <w:p>
      <w:pPr/>
      <w:r>
        <w:rPr>
          <w:b/>
        </w:rPr>
        <w:t>Shared claim-specific concepts:</w:t>
      </w:r>
      <w:r>
        <w:t xml:space="preserve"> transport, sector; EU scope visible. This is a provisional connection, not an outcome finding.</w:t>
      </w:r>
    </w:p>
    <w:p>
      <w:pPr>
        <w:pStyle w:val="SourceNote"/>
      </w:pPr>
      <w:r>
        <w:rPr>
          <w:b/>
        </w:rPr>
        <w:t>Available abstract (not full text):</w:t>
      </w:r>
      <w:r>
        <w:t xml:space="preserve"> The paper asks how the modal shift from road to rail in the freight sector is sup-ported by institutional change. Following North (1990), institutions are understood as the "rules of the game" in the rail freight sector. Based on the literature on institutional change, four different perspectives and mechanisms can be dis-cerned: institutional design, collective action, institutional adaptation, and institu-tional diffusion. Each of these perspectives examines the situation in the German rail freight sector from a different angle. Based on this analysis, processes of institutional change and their potential impact on modal shift are discussed. Fol-lowing the railway reform, new domestic and foreign competitors of DB Cargo have entered the rail freight market with business models tailored to promising segments. At the same time, this competition has triggered a transformative or-ganisational change initiative at DB Cargo, which is currently in the process of implementation. Even though the success of this initiatives is highly uncertain, in total, the described changes are likely to result in a higher competitiveness of the sector and a stronger orientation to customer needs. Furthermore, the road freight sector has increasingly come under political pressure due to its rising GHG emissions and rail transport is increasingly seen as a viable alternative. In this respect, the rece</w:t>
      </w:r>
    </w:p>
    <w:p>
      <w:pPr/>
      <w:r>
        <w:rPr>
          <w:b/>
        </w:rPr>
        <w:t>POSSIBLE 2022:</w:t>
      </w:r>
      <w:r>
        <w:t xml:space="preserve"> A review on Rail Transport in Europe and Italy — https://doi.org/10.1109/eeeic/icpseurope54979.2022.9854799</w:t>
      </w:r>
    </w:p>
    <w:p>
      <w:pPr/>
      <w:r>
        <w:rPr>
          <w:b/>
        </w:rPr>
        <w:t>Shared claim-specific concepts:</w:t>
      </w:r>
      <w:r>
        <w:t xml:space="preserve"> transport, sector, evolution; EU scope visible. This is a provisional connection, not an outcome finding.</w:t>
      </w:r>
    </w:p>
    <w:p>
      <w:pPr>
        <w:pStyle w:val="SourceNote"/>
      </w:pPr>
      <w:r>
        <w:rPr>
          <w:b/>
        </w:rPr>
        <w:t>Available abstract (not full text):</w:t>
      </w:r>
      <w:r>
        <w:t xml:space="preserve"> The paper describes the state of the art of passenger and freight rail transport in Italy and Europe taken into account market demand, consumption, emissions and costs. Present and future scenarios are analyzed (projections towards 2030 and 2050) to observe the evolution of rail transport and to evaluate how the demand for mobility will change and how the new development frontiers will impact pollution and economic management. Summarizing, the paper identifies the policies implemented to promote the railway sector and the existing limits to its development.</w:t>
      </w:r>
    </w:p>
    <w:p>
      <w:pPr>
        <w:pStyle w:val="Heading2"/>
      </w:pPr>
      <w:r>
        <w:t>903. Wild cards in transport</w:t>
      </w:r>
    </w:p>
    <w:p>
      <w:pPr>
        <w:pStyle w:val="SourceNote"/>
      </w:pPr>
      <w:r>
        <w:rPr>
          <w:b/>
        </w:rPr>
        <w:t>Original source (2015):</w:t>
      </w:r>
      <w:r>
        <w:t xml:space="preserve"> https://doi.org/10.1007/s40309-015-0066-9</w:t>
      </w:r>
    </w:p>
    <w:p>
      <w:pPr/>
      <w:r>
        <w:t>Original wording (abstract; indexed_source_text_not_full_document_verified): Several Wild Cards reach high likelihood in 2040 or beyond, while the time by which full impact is reached varies.</w:t>
      </w:r>
    </w:p>
    <w:p>
      <w:pPr/>
      <w:r>
        <w:rPr>
          <w:b/>
        </w:rPr>
        <w:t>POSSIBLE 2026:</w:t>
      </w:r>
      <w:r>
        <w:t xml:space="preserve"> Mapping Wild Boar Capture Likelihood Using Public Surveillance Records: A Maxent-Based Case Study in Northern Nara, Japan — https://doi.org/10.48084/etasr.18889</w:t>
      </w:r>
    </w:p>
    <w:p>
      <w:pPr/>
      <w:r>
        <w:rPr>
          <w:b/>
        </w:rPr>
        <w:t>Shared claim-specific concepts:</w:t>
      </w:r>
      <w:r>
        <w:t xml:space="preserve"> several, wild, high, likelihood; EU scope not established. This is a provisional connection, not an outcome finding.</w:t>
      </w:r>
    </w:p>
    <w:p>
      <w:pPr>
        <w:pStyle w:val="SourceNote"/>
      </w:pPr>
      <w:r>
        <w:rPr>
          <w:b/>
        </w:rPr>
        <w:t>Available abstract (not full text):</w:t>
      </w:r>
      <w:r>
        <w:t xml:space="preserve"> Wild boar populations have expanded across Japan, increasing agricultural and residential damage and necessitating spatially explicit risk-management strategies. While habitat suitability and conflict risk mapping for wild boar have been reported in several regions, research on developing operationally oriented, fine-resolution prioritization workflows using publicly available surveillance capture records in Japan remains limited. Therefore, we aimed to estimate the spatial distribution of the likelihood of wild boar capture in northern Nara Prefecture using a presence-only Maxent model. Capture locations were compiled from publicly available classical swine fever (CSF) surveillance records (2022–2024), and environmental predictors were derived from open geospatial datasets representing climate, topography, land cover, vegetation, soil type, human presence, and accessibility. All predictors were processed to a 100-m grid; road length was downscaled from 1-km data using a uniform distribution, and duplicate records within the same 100-m cell were merged at the cell centroid to reduce spatial clustering. Model performance was evaluated using year-based cross-validation, and discrimination performance was assessed using the receiver operating characteristic curve and the Area Under the Curve (AUC). The model achieved high discrimination (mean AUC = 0.856 for training and 0.830 for</w:t>
      </w:r>
    </w:p>
    <w:p>
      <w:pPr/>
      <w:r>
        <w:rPr>
          <w:b/>
        </w:rPr>
        <w:t>POSSIBLE 2025:</w:t>
      </w:r>
      <w:r>
        <w:t xml:space="preserve"> Virome landscape of wild rodents and shrews in Central China — https://doi.org/10.1186/s40168-025-02059-0</w:t>
      </w:r>
    </w:p>
    <w:p>
      <w:pPr/>
      <w:r>
        <w:rPr>
          <w:b/>
        </w:rPr>
        <w:t>Shared claim-specific concepts:</w:t>
      </w:r>
      <w:r>
        <w:t xml:space="preserve"> several, wild, high, likelihood, full; EU scope not established. This is a provisional connection, not an outcome finding.</w:t>
      </w:r>
    </w:p>
    <w:p>
      <w:pPr>
        <w:pStyle w:val="SourceNote"/>
      </w:pPr>
      <w:r>
        <w:rPr>
          <w:b/>
        </w:rPr>
        <w:t>Available abstract (not full text):</w:t>
      </w:r>
      <w:r>
        <w:t xml:space="preserve"> BACKGROUND: Wild rodents and shrews serve as vital sentinel species for monitoring zoonotic viruses due to their close interaction with human environments and role as natural reservoirs for diverse viral pathogens. Although several studies have explored viral diversity and assessed pathogenic risks in wild rodents and shrews, the full extent of this diversity remains insufficiently understood. RESULTS: We conducted high-throughput sequencing on 1113 small mammals collected from 97 townships across seven cities in Hubei Province during 2021, supplemented by publicly available data from 2014 and 2016-2017. This analysis revealed a diverse array of novel viruses spanning several viral families, including Arenaviridae, Hepeviridae, Chuviridae, Paramyxoviridae, Arteriviridae, Nodaviridae, Rhabdoviridae, Dicistroviridae, Astroviridae, and Picornaviridae. Phylogenetic analysis and genome structure characterization highlighted the discovery of these novel viruses, enhancing our understanding of viral diversity and evolution. Key host species such as Chodsigoa smithii, Anourosorex squamipes, Niviventer niviventer, and Apodemus agrarius were identified as significant contributors to viral circulation, making them crucial targets for future surveillance. Additionally, the central Plain of Hubei Province was recognized as a critical geographic hub for viral transmission, underscoring its i</w:t>
      </w:r>
    </w:p>
    <w:p>
      <w:pPr/>
      <w:r>
        <w:rPr>
          <w:b/>
        </w:rPr>
        <w:t>POSSIBLE 2024:</w:t>
      </w:r>
      <w:r>
        <w:t xml:space="preserve"> From worshipping Tyche to playing with wild cards — https://doi.org/10.1111/1468-5973.12543</w:t>
      </w:r>
    </w:p>
    <w:p>
      <w:pPr/>
      <w:r>
        <w:rPr>
          <w:b/>
        </w:rPr>
        <w:t>Shared claim-specific concepts:</w:t>
      </w:r>
      <w:r>
        <w:t xml:space="preserve"> wild, cards, likelihood; EU scope not established. This is a provisional connection, not an outcome finding.</w:t>
      </w:r>
    </w:p>
    <w:p>
      <w:pPr>
        <w:pStyle w:val="SourceNote"/>
      </w:pPr>
      <w:r>
        <w:rPr>
          <w:b/>
        </w:rPr>
        <w:t>Available abstract (not full text):</w:t>
      </w:r>
      <w:r>
        <w:t xml:space="preserve"> Abstract In his Physics, Aristotle acknowledges the role of Tyche, the Greek equivalent of contingency. His home, the Greek peninsula, was, and is today, regularly struck by natural hazards. Ancient records document that they wrought substantial damage to the infrastructure and political integrity of communities. Lacking reliable forecasting systems, for the ancient Greeks any of these hazards was contingent, even though there existed accepted interpretations of what (or who) caused these phenomena. Roughly 2.500 years later, future studies call sudden, unpredictable events like these ‘wild cards’. Occurring with a low probability but a substantial impact, wild cards pose challenges to social, political, and economic stability. Just as natural hazards unexpectedly interrupted and transformed social, political, and economical life in ancient communities, wild cards have the potential to disrupt current and future societies and economies. With the modern world increasingly complex and interconnected, wild cards will increase in frequency, likelihood, and impact. More than ever, local calamities will show global effects. To mitigate these effects and enable a fast recovery, creative approaches are needed. A gaze into how the societies of the distant past successfully coped with the wild cards that hit them, may thus yield inspiration for disaster risk reduction in the Anthropocene</w:t>
      </w:r>
    </w:p>
    <w:p>
      <w:pPr/>
      <w:r>
        <w:rPr>
          <w:b/>
        </w:rPr>
        <w:t>POSSIBLE 2024:</w:t>
      </w:r>
      <w:r>
        <w:t xml:space="preserve"> Luojiu Hua and Its Archive: Index Cards and Wild Cards — https://doi.org/10.4467/23531991kk.24.027.20862</w:t>
      </w:r>
    </w:p>
    <w:p>
      <w:pPr/>
      <w:r>
        <w:rPr>
          <w:b/>
        </w:rPr>
        <w:t>Shared claim-specific concepts:</w:t>
      </w:r>
      <w:r>
        <w:t xml:space="preserve"> wild, cards, time; EU scope not established. This is a provisional connection, not an outcome finding.</w:t>
      </w:r>
    </w:p>
    <w:p>
      <w:pPr>
        <w:pStyle w:val="SourceNote"/>
      </w:pPr>
      <w:r>
        <w:rPr>
          <w:b/>
        </w:rPr>
        <w:t>Available abstract (not full text):</w:t>
      </w:r>
      <w:r>
        <w:t xml:space="preserve"> By examining the manuscript materials of Guo Songfen (1938–2005) linked specifically to his last work, Luojiu Hua (The Falling of All the Followers), the paper aims to focus on the creative mode revealed by the manuscripts which can be characterized as a file system that avails itself of indexes and labels of sorts. These are first made up of initial scenario comments projecting either tentative titles or the overall structure of the work and more importantly, hidden quotations or short excerpts that Guo leaves meticulous citation information. Because they are seamlessly sutured into the very fabric of the text, no visible traces of their previous lives can be discerned in a reading without the benefit of the manuscript materials. To some degree, these short excerpts are textual transplants – visibly only if we take a deeper dive into the creative process and related manuscripts – verily alien grafts, that seemingly work silently within the textual machine. What are these textual transplants sutured into the text doing there, especially in a work that deals with memory and historical and personal traumas and national displacements at the fall of the Qing empire and the onset of civil wars which will give birth to and define modern China and Taiwan? This paper aims to look at the textual transplants from the perspective of their indexing function, that is, how they serve both as</w:t>
      </w:r>
    </w:p>
    <w:p>
      <w:pPr/>
      <w:r>
        <w:rPr>
          <w:b/>
        </w:rPr>
        <w:t>POSSIBLE 2023:</w:t>
      </w:r>
      <w:r>
        <w:t xml:space="preserve"> Wild rodents harbour high diversity of Arthroderma — https://doi.org/10.3767/persoonia.2023.50.02</w:t>
      </w:r>
    </w:p>
    <w:p>
      <w:pPr/>
      <w:r>
        <w:rPr>
          <w:b/>
        </w:rPr>
        <w:t>Shared claim-specific concepts:</w:t>
      </w:r>
      <w:r>
        <w:t xml:space="preserve"> several, wild, high; EU scope visible. This is a provisional connection, not an outcome finding.</w:t>
      </w:r>
    </w:p>
    <w:p>
      <w:pPr>
        <w:pStyle w:val="SourceNote"/>
      </w:pPr>
      <w:r>
        <w:rPr>
          <w:b/>
        </w:rPr>
        <w:t>Available abstract (not full text):</w:t>
      </w:r>
      <w:r>
        <w:t xml:space="preserve"> Arthroderma is the most diverse genus of dermatophytes, and its natural reservoir is considered to be soil enriched by keratin sources. During a study on the diversity of dermatophytes in wild small rodents in the Czech Republic, we isolated several strains of Arthroderma. To explore the diversity and ecological significance of these isolates from rodents (n = 29), we characterised the strains genetically (i. e., sequenced ITS, tubb and tef1α), morphologically, physiologically, and by conducting mating experiments. We then compared the rodent-derived strains to existing ITS sequence data from GenBank and the Global Fungi Database to further investigate biogeography and the association of Arthroderma species with different types of environments. In total, eight Arthroderma species were isolated from rodents, including four previously described species (A. crocatum, A. cuniculi, A. curreyi, A. quadrifidum) and four new species proposed herein, i. e., A. rodenticum, A. simile, A. zoogenum and A. psychro— philum. The geographical distribution of these newly described species was not restricted to the Czech Republic nor rodents. Additional isolates were obtained from bats and other mammals, reptiles, and soil from Europe, North America, and Asia. Data mining showed that the genus has a diverse ecology, with some lineages occurring relatively frequently in soil, whereas others appear</w:t>
      </w:r>
    </w:p>
    <w:p>
      <w:pPr/>
      <w:r>
        <w:rPr>
          <w:b/>
        </w:rPr>
        <w:t>POSSIBLE 2022:</w:t>
      </w:r>
      <w:r>
        <w:t xml:space="preserve"> High prevalence of straying in a wild brown trout (Salmo trutta) population in a fjord system — https://doi.org/10.1093/icesjms/fsac079</w:t>
      </w:r>
    </w:p>
    <w:p>
      <w:pPr/>
      <w:r>
        <w:rPr>
          <w:b/>
        </w:rPr>
        <w:t>Shared claim-specific concepts:</w:t>
      </w:r>
      <w:r>
        <w:t xml:space="preserve"> several, wild, high, likelihood, time; EU scope not established. This is a provisional connection, not an outcome finding.</w:t>
      </w:r>
    </w:p>
    <w:p>
      <w:pPr>
        <w:pStyle w:val="SourceNote"/>
      </w:pPr>
      <w:r>
        <w:rPr>
          <w:b/>
        </w:rPr>
        <w:t>Available abstract (not full text):</w:t>
      </w:r>
      <w:r>
        <w:t xml:space="preserve"> Abstract Natal homing is a prevalent life-history strategy among salmonids. However, not all individuals return to their natal river, a behaviour known as straying. In this study, we investigated the prevalence of straying and its connection to different life-history characteristics in an anadromous brown trout (Salmo trutta) population. In total, 21 538 juvenile out-migrating brown trout were tagged with Passive Integrated Transponder (PIT) tags in two years. Individuals were grouped according to their developmental status (parr, pre-smolt, and smolt) at the time of out-migration to investigate the effect of such life-history characteristic on the likelihood of straying. High number of anadromous brown trout (36%) were detected in non-natal rivers. Individuals spending longer time at sea were less likely to stray. Additionally, the likelihood of straying was dependent on the developmental status during out-migration, with parr having lower likelihood to stray compared to pre-smolt and smolt. However, the latter is further dependent on length and timing of juvenile out-migration. These results indicate that straying is an inherent part of this anadromous brown trout population and it is influenced by several life-history characteristics at different life stages. This may have significant implications to genetic structure within and between populations and to population dynamics</w:t>
      </w:r>
    </w:p>
    <w:p>
      <w:pPr/>
      <w:r>
        <w:rPr>
          <w:b/>
        </w:rPr>
        <w:t>POSSIBLE 2022:</w:t>
      </w:r>
      <w:r>
        <w:t xml:space="preserve"> Effect of Response Cards on Academic Outcomes — https://doi.org/10.57709/2058654</w:t>
      </w:r>
    </w:p>
    <w:p>
      <w:pPr/>
      <w:r>
        <w:rPr>
          <w:b/>
        </w:rPr>
        <w:t>Shared claim-specific concepts:</w:t>
      </w:r>
      <w:r>
        <w:t xml:space="preserve"> cards, high, time; EU scope not established. This is a provisional connection, not an outcome finding.</w:t>
      </w:r>
    </w:p>
    <w:p>
      <w:pPr>
        <w:pStyle w:val="SourceNote"/>
      </w:pPr>
      <w:r>
        <w:rPr>
          <w:b/>
        </w:rPr>
        <w:t>Available abstract (not full text):</w:t>
      </w:r>
      <w:r>
        <w:t xml:space="preserve"> Response cards (RC) support effective teaching strategies such as maintaining a brisk pace of instruction, increased opportunities to respond, immediate and frequent corrective feedback, and high rates of behavior specific praise statements; all of which have been effective in increasing student engagement for students with and without emotional and behavioral disorders (E/BD) (Emmer &amp; Stough, 2001; Simonsen et al., 2008; Sutherland, Wehby, &amp; Copeland, 2000). RC during academic instruction are successful in decreasing disruptive behavior, increasing student participation, and increasing academic achievement from the elementary school level to the university level. This study examined teacher implementation of RC at the high school level for students without disabilities and students with disabilities with a history of challenging behaviors (i.e., students with a disability and a behavior intervention plan) in general education classes required for high school graduation. The purpose of this study was to evaluate the effect of RC compared to hand raising (HR) in inclusive general education classrooms. An alternating treatment design was implemented to examine the potential functional relation between the use of RC, student engagement, and academic achievement. RC (i.e., 8? x 11? laminated write -on cards) were randomly alternated with the more traditional method of HR which allo</w:t>
      </w:r>
    </w:p>
    <w:p>
      <w:pPr/>
      <w:r>
        <w:rPr>
          <w:b/>
        </w:rPr>
        <w:t>POSSIBLE 2022:</w:t>
      </w:r>
      <w:r>
        <w:t xml:space="preserve"> Developing disruptive mobility scenarios for rural areas. Participatory mobility scenario building in a Belgian village for the year 2050 — https://doi.org/10.1186/s12544-022-00555-0</w:t>
      </w:r>
    </w:p>
    <w:p>
      <w:pPr/>
      <w:r>
        <w:rPr>
          <w:b/>
        </w:rPr>
        <w:t>Shared claim-specific concepts:</w:t>
      </w:r>
      <w:r>
        <w:t xml:space="preserve"> wild, cards, high; EU scope not established. This is a provisional connection, not an outcome finding.</w:t>
      </w:r>
    </w:p>
    <w:p>
      <w:pPr>
        <w:pStyle w:val="SourceNote"/>
      </w:pPr>
      <w:r>
        <w:rPr>
          <w:b/>
        </w:rPr>
        <w:t>Available abstract (not full text):</w:t>
      </w:r>
      <w:r>
        <w:t xml:space="preserve"> Background: Historically, quantitative forecasting methods have been used in transport planning. As forecasts can be unreliable to plan for the medium- and long-term, scenario building has recently been increasingly used. However, scenario building methods often fail to take disruptions and wild cards into account, i.e., low probability but high impact events. When unaccounted for, wild card events, like the COVID-19 pandemic, lower the efficacy of scenario building in policy making, as these events may completely disturb the developed scenarios of the future. Methods: In this paper, we develop and apply a creative and participatory methodology to develop visions and disrupted scenarios for rural mobility. Our research was carried out in the Belgian village of Oetingen, where inhabitants developed more resilient views of the future by creating disrupted mobility scenarios and a preferred mobility vision for their village for the year 2050 in a participatory scenario building exercise. Wild cards related to mobility were collected from mobility experts and inhabitants in three workshops. Inhabitants were engaged to define their mobility vision on a postcard that was distributed to all houses in the village as well as on a project website. Respondents were invited for a follow-up interview in which their preferred mobility vision was subjected to the wild cards, and participants </w:t>
      </w:r>
    </w:p>
    <w:p>
      <w:pPr/>
      <w:r>
        <w:rPr>
          <w:b/>
        </w:rPr>
        <w:t>POSSIBLE 2022:</w:t>
      </w:r>
      <w:r>
        <w:t xml:space="preserve"> Estimation of the Wild Boar Population in Southern Italian Apennines by Pellet Count Group Technic: A Preliminary Study — https://doi.org/10.9734/bpi/ecees/v2/1807a</w:t>
      </w:r>
    </w:p>
    <w:p>
      <w:pPr/>
      <w:r>
        <w:rPr>
          <w:b/>
        </w:rPr>
        <w:t>Shared claim-specific concepts:</w:t>
      </w:r>
      <w:r>
        <w:t xml:space="preserve"> several, wild, cards; EU scope visible. This is a provisional connection, not an outcome finding.</w:t>
      </w:r>
    </w:p>
    <w:p>
      <w:pPr>
        <w:pStyle w:val="SourceNote"/>
      </w:pPr>
      <w:r>
        <w:rPr>
          <w:b/>
        </w:rPr>
        <w:t>Available abstract (not full text):</w:t>
      </w:r>
      <w:r>
        <w:t xml:space="preserve"> Today the development of wild ungulates represents one of the most relevant changes of the Italian wildlife in the last decades. The occurrence of damages by wild boars raised dramatically in the last decades and amounts to hundreds of thousands of Euros per year in several European countries. Knowledge of distribution, abundance and population dynamics is essential for their correct management, especially for the Wild boar (Sus scrofa) considering its impact on the natural and agricultural ecosystem. This paper proposes an estimate of the wild boar population in a study area, located in the south / south-eastern part of the Italian Apennines. The census technique was planned through field inspections and cartographic elaborations using GiS software and the Pellet Count Group technic. The data of the Pellet Group discovery were marked on special field cards. 7.010 linear meters and 14.020 m2 were crossed; 12 Pellets Group were found. From this database and knowing the extent of each specific habitat it was detected the presence of about 7/8 animals per 100 ha. These densities, projected by the number of hectares of each analyzed habitat, indicate a presence of animals ranging between 187 and 164. Considering that, the optimal density for the study area would be about 47 animals per 100 ha, this means that the real density exceeds considerably these values. Therefore, the popula</w:t>
      </w:r>
    </w:p>
    <w:p>
      <w:pPr/>
      <w:r>
        <w:rPr>
          <w:b/>
        </w:rPr>
        <w:t>POSSIBLE 2021:</w:t>
      </w:r>
      <w:r>
        <w:t xml:space="preserve"> Animal Behavior Cards — https://doi.org/10.4324/9781003235828-33</w:t>
      </w:r>
    </w:p>
    <w:p>
      <w:pPr/>
      <w:r>
        <w:rPr>
          <w:b/>
        </w:rPr>
        <w:t>Shared claim-specific concepts:</w:t>
      </w:r>
      <w:r>
        <w:t xml:space="preserve"> wild, cards, time; EU scope not established. This is a provisional connection, not an outcome finding.</w:t>
      </w:r>
    </w:p>
    <w:p>
      <w:pPr>
        <w:pStyle w:val="SourceNote"/>
      </w:pPr>
      <w:r>
        <w:rPr>
          <w:b/>
        </w:rPr>
        <w:t>Available abstract (not full text):</w:t>
      </w:r>
      <w:r>
        <w:t xml:space="preserve"> Name: _____________________________________________ Date: _________________ Meerkats Meerkats are small mammals that are members of the mongoose family. They are the only members of the mongoose family that do not have bushy tails. They use their strong tails to help them balance when they are standing up. These squirrel-sized animals live in deserts and grasslands in Southern Africa. Meerkats live in burrows that they dig with their claws. Their claws are long and strong, which make them good for digging. They have a special membrane over their eyes that protect them as they dig. These cute and furry animals are very social and live in groups of up to 40 that are called “mobs,” “gangs,” or “clans.” Because meerkats live primarily underground, they can stay safe from predators. Their burrows are as deep as 15 feet and have different entrances, tunnels, and rooms. Meerkats sleep in their burrows, but as the sun rises, they emerge and look for food. As some meerkats search for food, others stand guard watching out for predators. If the meerkat on guard sees a predator, it loudly barks to warn the others. They have different barks and whistles for different types of threats. Meerkats have good eyesight and sense of smell, which guides them in looking for spiders, caterpillars, scorpions, and the other small critters that they eat. As some meerkats are hunting and looking out for p</w:t>
      </w:r>
    </w:p>
    <w:p>
      <w:pPr/>
      <w:r>
        <w:rPr>
          <w:b/>
        </w:rPr>
        <w:t>POSSIBLE 2021:</w:t>
      </w:r>
      <w:r>
        <w:t xml:space="preserve"> The unresolved question on COVID‐19 virus origin: The three cards game? — https://doi.org/10.1002/jmv.27519</w:t>
      </w:r>
    </w:p>
    <w:p>
      <w:pPr/>
      <w:r>
        <w:rPr>
          <w:b/>
        </w:rPr>
        <w:t>Shared claim-specific concepts:</w:t>
      </w:r>
      <w:r>
        <w:t xml:space="preserve"> several, wild, cards; EU scope not established. This is a provisional connection, not an outcome finding.</w:t>
      </w:r>
    </w:p>
    <w:p>
      <w:pPr>
        <w:pStyle w:val="SourceNote"/>
      </w:pPr>
      <w:r>
        <w:rPr>
          <w:b/>
        </w:rPr>
        <w:t>Available abstract (not full text):</w:t>
      </w:r>
      <w:r>
        <w:t xml:space="preserve"> The ongoing discussion about the real origin of the severe acute respiratory syndrome coronavirus 2 (SARS-CoV-2) feeds acrimonious debates. Where did SARS-CoV-2 come from? Was SARS-CoV-2 transmitted in the wild from an animal to a person before exploding in Wuhan or was it an engineered virus that escaped from research or a laboratory in Wuhan? Right now, we still don't know enough whether SARS-CoV-2 is human-made or not, and lab-leak theories remain essentially speculative. Many recent studies have pointed out several plausible scenarios. Anyhow, currently, even if suspicions by some about the possibility of lab-leak hypothesis still remain, the consensus view is that the pandemic probably started from a natural source and, to determine the real origin of the SARS-CoV-2 virus, further research is needed.</w:t>
      </w:r>
    </w:p>
    <w:p>
      <w:pPr/>
      <w:r>
        <w:rPr>
          <w:b/>
        </w:rPr>
        <w:t>POSSIBLE 2021:</w:t>
      </w:r>
      <w:r>
        <w:t xml:space="preserve"> Long-Term Motor Learning in the “Wild” With High Volume Video Game Data — https://doi.org/10.3389/fnhum.2021.777779</w:t>
      </w:r>
    </w:p>
    <w:p>
      <w:pPr/>
      <w:r>
        <w:rPr>
          <w:b/>
        </w:rPr>
        <w:t>Shared claim-specific concepts:</w:t>
      </w:r>
      <w:r>
        <w:t xml:space="preserve"> several, wild, high, time; EU scope not established. This is a provisional connection, not an outcome finding.</w:t>
      </w:r>
    </w:p>
    <w:p>
      <w:pPr>
        <w:pStyle w:val="SourceNote"/>
      </w:pPr>
      <w:r>
        <w:rPr>
          <w:b/>
        </w:rPr>
        <w:t>Available abstract (not full text):</w:t>
      </w:r>
      <w:r>
        <w:t xml:space="preserve"> Abstract Motor learning occurs over long periods of practice during which motor acuity – the ability to execute actions more accurately, precisely, and within a shorter amount of time – improves. Laboratory-based motor learning studies are typically limited to a small number of participants and a time frame of minutes to several hours per participant. Thus, there is a need to assess the generalizability of theories and findings from lab-based motor learning studies on much larger samples across longer time scales. In addition, laboratory-based studies of motor learning use relatively simple motor tasks which participants are unlikely to be intrinsically motivated to learn, limiting the interpretation of their findings in more ecologically valid settings. We studied the acquisition and longitudinal refinement of a complex sensorimotor skill embodied in a first-person shooter video game scenario, with a large sample size (N = 7174 participants, 682,564 repeats of the 60 sec game) over a period of months. Participants voluntarily practiced the gaming scenario for as much as several hours per day up to 100 days. We found improvement in performance accuracy (quantified as hit rate) was modest over time but motor acuity (quantified as hits per second) improved considerably, with 40-60% retention from one day to the next. We observed steady improvements in motor acuity across multiple</w:t>
      </w:r>
    </w:p>
    <w:p>
      <w:pPr>
        <w:pStyle w:val="Heading2"/>
      </w:pPr>
      <w:r>
        <w:t>904. A scenario-planning approach to human resources for health: the case of community pharmacists in Portugal</w:t>
      </w:r>
    </w:p>
    <w:p>
      <w:pPr>
        <w:pStyle w:val="SourceNote"/>
      </w:pPr>
      <w:r>
        <w:rPr>
          <w:b/>
        </w:rPr>
        <w:t>Original source (2014):</w:t>
      </w:r>
      <w:r>
        <w:t xml:space="preserve"> https://doi.org/10.1186/1478-4491-12-58</w:t>
      </w:r>
    </w:p>
    <w:p>
      <w:pPr/>
      <w:r>
        <w:t>Original wording (abstract; indexed_source_text_not_full_document_verified): This study aims to design three future scenarios for Portuguese community pharmacists, recognizing the changing environment as an opportunity to develop the role that community pharmacists may play in the Portuguese health system. CONCLUSIONS: In all scenarios it is clear that the future advance of Portuguese community pharmacists will depend on pharmaceutical services provision beyond medicine dispensing.</w:t>
      </w:r>
    </w:p>
    <w:p>
      <w:pPr/>
      <w:r>
        <w:rPr>
          <w:b/>
        </w:rPr>
        <w:t>POSSIBLE 2026:</w:t>
      </w:r>
      <w:r>
        <w:t xml:space="preserve"> Burnout in Galician Community Pharmacists — https://doi.org/10.33620/fc.2173-9218.(2026).21</w:t>
      </w:r>
    </w:p>
    <w:p>
      <w:pPr/>
      <w:r>
        <w:rPr>
          <w:b/>
        </w:rPr>
        <w:t>Shared claim-specific concepts:</w:t>
      </w:r>
      <w:r>
        <w:t xml:space="preserve"> design, three, community, pharmacists, opportunity, develop; EU scope not established. This is a provisional connection, not an outcome finding.</w:t>
      </w:r>
    </w:p>
    <w:p>
      <w:pPr>
        <w:pStyle w:val="SourceNote"/>
      </w:pPr>
      <w:r>
        <w:rPr>
          <w:b/>
        </w:rPr>
        <w:t>Available abstract (not full text):</w:t>
      </w:r>
      <w:r>
        <w:t xml:space="preserve"> JustificationThere is a lack of studies on the physical wear and mental exhaustion experienced by community pharmacists (CPs) in the workplace, so we consider it necessary to assess its relevance. ObjectiveTo analyze the prevalence and significance of occupational burnout syndrome in community pharmacies in Galicia, its risk factors, and its association with work-related and demographic variables.Methods Design: Cross-sectional observational study conducted from September to December 2025.Approved by the Galicia Research Ethics Committee (CEIC Galicia).Subjects: Pharmacists practicing in community pharmacies.Sample size: For a precision of 10.0% in estimating a proportion, assuming a prevalence of 50.0% and a total population size of 3,984, it will be necessary to include 94 participants in the study.Variables: Proportion of CPs affected by burnout syndrome and mean level of affectation according to the total score of the Maslach Burnout Inventory (MBI-HSS).Scores for the sections on considerations and expectations regarding professional practice: frequency (%).Procedure: An online questionnaire was created using Microsoft Forms®.The sample was stratified by province and place of practice according to the classification established by the Xunta de Galicia into three population zone types: densely populated, intermediate, and sparsely populated.Pharmacies will be contacted by ph</w:t>
      </w:r>
    </w:p>
    <w:p>
      <w:pPr/>
      <w:r>
        <w:rPr>
          <w:b/>
        </w:rPr>
        <w:t>POSSIBLE 2026:</w:t>
      </w:r>
      <w:r>
        <w:t xml:space="preserve"> Interprofessional Collaboration Between Community Health Workers and Pharmacists — https://doi.org/10.1111/hex.70538</w:t>
      </w:r>
    </w:p>
    <w:p>
      <w:pPr/>
      <w:r>
        <w:rPr>
          <w:b/>
        </w:rPr>
        <w:t>Shared claim-specific concepts:</w:t>
      </w:r>
      <w:r>
        <w:t xml:space="preserve"> design, community, pharmacists, role, health, conclusions; EU scope not established. This is a provisional connection, not an outcome finding.</w:t>
      </w:r>
    </w:p>
    <w:p>
      <w:pPr>
        <w:pStyle w:val="SourceNote"/>
      </w:pPr>
      <w:r>
        <w:rPr>
          <w:b/>
        </w:rPr>
        <w:t>Available abstract (not full text):</w:t>
      </w:r>
      <w:r>
        <w:t xml:space="preserve"> BACKGROUND: Community health workers (CHWs) can bridge the gap between health and social services and the communities they serve. CHWs can work collaboratively with healthcare professionals, such as pharmacists, in addressing peoples' social determinants of health. However, little is known about how CHWs and pharmacists collaborate. We aimed to explore the interprofessional collaboration between pharmacists and CHWs in Australia and New Zealand and identify the challenges and strategies in their collaborative practice. METHODS: Semi-structured interviews were conducted with pharmacists and CHWs in Australia and New Zealand, to explore (i) CHW-pharmacist interprofessional collaboration experiences, (ii) how pharmacists perceived CHWs' roles and vice-versa, (iii), challenges to collaborative practices and (iv) strategies to foster their collaboration. Interviews took around half-an-hour and were audio-recorded, transcribed verbatim, and inductively thematically analysed. RESULTS: Twenty-nine participants (16 pharmacists and 13 CHWs) were interviewed, 19 worked in Australia and 10 in New Zealand. Participants reported that CHWs connected the patient and the pharmacist and helped bridge cultural gaps, shared patient-related information with the pharmacist, supported patient medication management and adherence, and referred patients to pharmacists. CHWs helped patients to take up ph</w:t>
      </w:r>
    </w:p>
    <w:p>
      <w:pPr/>
      <w:r>
        <w:rPr>
          <w:b/>
        </w:rPr>
        <w:t>POSSIBLE 2025:</w:t>
      </w:r>
      <w:r>
        <w:t xml:space="preserve"> Design Policy Mapping in Europe — https://openalex.org/W7215223829</w:t>
      </w:r>
    </w:p>
    <w:p>
      <w:pPr/>
      <w:r>
        <w:rPr>
          <w:b/>
        </w:rPr>
        <w:t>Shared claim-specific concepts:</w:t>
      </w:r>
      <w:r>
        <w:t xml:space="preserve"> design, environment, beyond; EU scope visible. This is a provisional connection, not an outcome finding.</w:t>
      </w:r>
    </w:p>
    <w:p>
      <w:pPr>
        <w:pStyle w:val="SourceNote"/>
      </w:pPr>
      <w:r>
        <w:rPr>
          <w:b/>
        </w:rPr>
        <w:t>Available abstract (not full text):</w:t>
      </w:r>
      <w:r>
        <w:t xml:space="preserve"> This study set out to map how design features in national policy frameworks across Europe. The results of the study reveal a striking paradox. On the one hand, explicit design policies are rare: in 2025 only two countries – Latvia and Iceland – maintain government-adopted national strategies dedicated to design. This represents a marked decline from the 2010s, when European Commission initiatives such as the Innovation Union and its Action Plan for Design-driven Innovation inspired more than a dozen national and regional design policies. On the other hand, design is more visible and influential than ever. Our mapping shows that it now appears in a wide range of policy domains. Beyond its traditional home in Cultural and Creative Industries strategies, design has been taken up in innovation policies, industrial competitiveness strategies, circular economy and sustainability plans, digitalisation agendas, and built environment frameworks. In each case, design is framed differently – as a creative sector, a business capability, a sustainability lever, a public-service tool, or a means of shaping places and infrastructure.</w:t>
      </w:r>
    </w:p>
    <w:p>
      <w:pPr/>
      <w:r>
        <w:rPr>
          <w:b/>
        </w:rPr>
        <w:t>POSSIBLE 2025:</w:t>
      </w:r>
      <w:r>
        <w:t xml:space="preserve"> Adverse drug reaction reporting by New Zealand pharmacists: a cross-sectional investigation of community and hospital pharmacists — https://doi.org/10.1093/ijpp/riaf017</w:t>
      </w:r>
    </w:p>
    <w:p>
      <w:pPr/>
      <w:r>
        <w:rPr>
          <w:b/>
        </w:rPr>
        <w:t>Shared claim-specific concepts:</w:t>
      </w:r>
      <w:r>
        <w:t xml:space="preserve"> community, pharmacists, system, conclusions; EU scope visible. This is a provisional connection, not an outcome finding.</w:t>
      </w:r>
    </w:p>
    <w:p>
      <w:pPr>
        <w:pStyle w:val="SourceNote"/>
      </w:pPr>
      <w:r>
        <w:rPr>
          <w:b/>
        </w:rPr>
        <w:t>Available abstract (not full text):</w:t>
      </w:r>
      <w:r>
        <w:t xml:space="preserve"> OBJECTIVES: The study aimed to investigate the factors influencing adverse drug reaction (ADR) reporting among New Zealand's community and hospital pharmacists. METHODS: Two surveys were created for distinct practice settings, with the demographics section tailored to each setting while the core content remained consistent. The surveys included six sections: demographics, reporting practices, attitudes and behaviours towards reporting, barriers, facilitators to reporting, and future improvements. Sections 3-6 used Likert scale questions to measure agreement. Participants were identified from a list of registered pharmacists in New Zealand who had consented to participate in research during their practice license renewal, obtained from the Pharmacy Council. The surveys were emailed to 2762 pharmacists with a 23% (n = 632) response rate. The collected data underwent descriptive statistical analysis using SPSS® and inferential statistics were applied. Fisher's exact test determined relationships between responses and practice setting and Relative Importance Index (RII) quantified statement importance. KEY FINDINGS: The majority of the participants were female (74.8%), European (63%), and aged 31-40 years. Analysis revealed time as the main influence on ADR reporting. While both groups had positive attitudes towards reporting, they identified the time-consuming nature as the most s</w:t>
      </w:r>
    </w:p>
    <w:p>
      <w:pPr/>
      <w:r>
        <w:rPr>
          <w:b/>
        </w:rPr>
        <w:t>POSSIBLE 2025:</w:t>
      </w:r>
      <w:r>
        <w:t xml:space="preserve"> Trade-offs in the collaborative design of a B2B eco-label for the European railway sector — https://doi.org/10.1016/j.procir.2025.08.025</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As the European railway sector is committed to improving its sustainability, a consortium of railway organizations for the European Union is working on the development of an eco-label for the sector. This paper explores the design choices that present themselves during the co-design of this label, which aims to track improvements, communicate and share, and push suppliers to improve with respect to the three indicators: GHG/CO2 emissions, circularity, and energy efficiency. The findings highlight the inherent trade-offs in the design of an eco-label and discuss ways to improve the intuitive understanding of these trade-offs within the context of co-design.</w:t>
      </w:r>
    </w:p>
    <w:p>
      <w:pPr/>
      <w:r>
        <w:rPr>
          <w:b/>
        </w:rPr>
        <w:t>POSSIBLE 2025:</w:t>
      </w:r>
      <w:r>
        <w:t xml:space="preserve"> Law by design obligations: The future of regulating digital technologies in Europe? — https://doi.org/10.1016/j.clsr.2025.106232</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Law by design obligations refer to a growing, dynamic approach in European technology law. This article examines this trend by establishing a definition of law by design obligations based on three key elements: their focus on the creation and development of technologies throughout the lifecycle, their aim to incorporate and achieve legal goals in these processes, and the discretion they afford in complying with such obligations. The study shows an evolving practice with legal roots in 1970s data protection. Initially focused on data protection and security, such obligations have expanded to 45 design goals in European legislation. This growth in breadth and depth indicates their increased importance, which has not been previously examined. The analysis of regulatory practice uncovers significant choices that shape how these obligations function: this includes the legal scope defining applicability through various limitations and thresholds; goals establishing how principles serve as aims with different levels of detail and potential conflicts; procedural dimensions organizing iterative processes of assessment, measures, and proportionality; collective dimensions of knowledge governance enabling learning within and across organizations; and accountability dimensions ensuring compliance through documentation, specialized roles, and enforcement mechanisms. These choices demonstrat</w:t>
      </w:r>
    </w:p>
    <w:p>
      <w:pPr/>
      <w:r>
        <w:rPr>
          <w:b/>
        </w:rPr>
        <w:t>POSSIBLE 2025:</w:t>
      </w:r>
      <w:r>
        <w:t xml:space="preserve"> Humility, autonomy, and simplicity: three principles for humanitarian design — https://doi.org/10.1080/01436597.2025.2491094</w:t>
      </w:r>
    </w:p>
    <w:p>
      <w:pPr/>
      <w:r>
        <w:rPr>
          <w:b/>
        </w:rPr>
        <w:t>Shared claim-specific concepts:</w:t>
      </w:r>
      <w:r>
        <w:t xml:space="preserve"> design, three, changing; EU scope visible. This is a provisional connection, not an outcome finding.</w:t>
      </w:r>
    </w:p>
    <w:p>
      <w:pPr>
        <w:pStyle w:val="SourceNote"/>
      </w:pPr>
      <w:r>
        <w:rPr>
          <w:b/>
        </w:rPr>
        <w:t>Available abstract (not full text):</w:t>
      </w:r>
      <w:r>
        <w:t xml:space="preserve"> This article proposes three key principles for humanitarian design, drawing on historical and ethnographic research into previous attempts to produce innovations in the nutrition and shelter sectors. It begins by recounting a post-war scheme for humanitarian nutrition in order to illustrate three recurring failings in innovation: triumphalism, under-representation, and over-complexity. The first failing can be seen when ideas are inappropriately and publicly celebrated as game changing while delivering only marginal improvements and leaving structural inequalities intact. The second occurs when designs are created without consulting the final recipient, whose desires and needs are assumed from limited knowledge. The third is apparent when a design introduces complicated and burdensome elements that make it inappropriate for the task at hand. After outlining these three problems the article moves to consider some more recent shelter projects, particularly those developed after the 2015 ‘summer of migration’ in Europe. From these examples, the article draws out three corrective principles for humanitarian design: humility in approach, simplicity in application, and the promotion of autonomy as a final aim. The article develops these in detail and then concludes that such principles can help re-orient humanitarian practice.</w:t>
      </w:r>
    </w:p>
    <w:p>
      <w:pPr/>
      <w:r>
        <w:rPr>
          <w:b/>
        </w:rPr>
        <w:t>POSSIBLE 2024:</w:t>
      </w:r>
      <w:r>
        <w:t xml:space="preserve"> Exposure of Pharmacists and Pharmacy Technicians to Violence in Community Pharmacies in Southeast Europe: Frequency and Ethical Considerations — https://doi.org/10.3390/pharmacy12030088</w:t>
      </w:r>
    </w:p>
    <w:p>
      <w:pPr/>
      <w:r>
        <w:rPr>
          <w:b/>
        </w:rPr>
        <w:t>Shared claim-specific concepts:</w:t>
      </w:r>
      <w:r>
        <w:t xml:space="preserve"> aims, community, pharmacists, health, all; EU scope visible. This is a provisional connection, not an outcome finding.</w:t>
      </w:r>
    </w:p>
    <w:p>
      <w:pPr>
        <w:pStyle w:val="SourceNote"/>
      </w:pPr>
      <w:r>
        <w:rPr>
          <w:b/>
        </w:rPr>
        <w:t>Available abstract (not full text):</w:t>
      </w:r>
      <w:r>
        <w:t xml:space="preserve"> Pharmacists and pharmacy technicians working in community pharmacies are exposed to the risk of violence in their workplaces. Studies have shown that workplace violence is affecting their job satisfaction, productivity, and mental health. This study aims to identify the frequency of different types of violence, as well as the common perpetrators that community pharmacy staff in SEE (Southeast Europe) are dealing with. A cross-sectional study was conducted using an online questionnaire created for this purpose. Selected community pharmacies in Croatia, Serbia, Bosnia and Herzegovina, and Montenegro participated in this study. In total, 732 responses were collected from 24 pharmacy chains or independent pharmacies including all community pharmacy staff. More than 80% of pharmacists and pharmacy technicians reported having been exposed to verbal violence at the workplace, while more than 20% of them reported physical and sexual violence in the preceding 12 months. There were no statistically significant differences between pharmacists and pharmacy technicians, gender, age groups, or countries in relation to exposure to physical, verbal, and sexual violence. The most common perpetrators were identified as patients/clients. More than 90% of pharmacy staff reported they did not receive any kind of support from their employer nor any other help after experiencing a robbery. There is a</w:t>
      </w:r>
    </w:p>
    <w:p>
      <w:pPr/>
      <w:r>
        <w:rPr>
          <w:b/>
        </w:rPr>
        <w:t>POSSIBLE 2024:</w:t>
      </w:r>
      <w:r>
        <w:t xml:space="preserve"> Three pathways for standardisation and ethical disclosure by default under the European union artificial intelligence act — https://doi.org/10.1016/j.clsr.2024.105957</w:t>
      </w:r>
    </w:p>
    <w:p>
      <w:pPr/>
      <w:r>
        <w:rPr>
          <w:b/>
        </w:rPr>
        <w:t>Shared claim-specific concepts:</w:t>
      </w:r>
      <w:r>
        <w:t xml:space="preserve"> aims, design, three, develop, services; EU scope visible. This is a provisional connection, not an outcome finding.</w:t>
      </w:r>
    </w:p>
    <w:p>
      <w:pPr>
        <w:pStyle w:val="SourceNote"/>
      </w:pPr>
      <w:r>
        <w:rPr>
          <w:b/>
        </w:rPr>
        <w:t>Available abstract (not full text):</w:t>
      </w:r>
      <w:r>
        <w:t xml:space="preserve"> Under its proposed Artificial Intelligence Act (‘AIA’), the European Union seeks to develop harmonised standards involving abstract normative concepts such transparency, fairness, and accountability. Applying such concepts inevitably requires answering hard normative questions. Considering this challenge, we argue that there are three possible pathways for future standardisation under the AIA. First, European standard-setting organisations (‘SSOs’) could answer hard normative questions themselves. This approach would raise concerns about its democratic legitimacy. Standardisation is a technical discourse and tends to exclude non-expert stakeholders and the public at large. Second, instead of passing their own normative judgments, SSOs could track the normative consensus they find available. By analysing the standard-setting history of one major SSO, we show that such consensus tracking has historically been its pathway of choice. If standardisation under the AIA took the same route, we demonstrate how this would lead to a false sense of safety as the process is not infallible. Consensus tracking would furthermore push the need to solve unavoidable normative problems down the line. Instead of regulators, AI developers and/or users could define what, for example, fairness requires. By the institutional design of its AIA, the European Commission would have essentially kicked the ‘</w:t>
      </w:r>
    </w:p>
    <w:p>
      <w:pPr/>
      <w:r>
        <w:rPr>
          <w:b/>
        </w:rPr>
        <w:t>POSSIBLE 2024:</w:t>
      </w:r>
      <w:r>
        <w:t xml:space="preserve"> EUROPEAN PRINCIPLES OF UNIVERSAL DESIGN AND THEIR APPLICATION IN THE ARCHITECTURE OF UKRAINIAN CITIES — https://doi.org/10.31650/2786-6696-2024-9-41-47</w:t>
      </w:r>
    </w:p>
    <w:p>
      <w:pPr/>
      <w:r>
        <w:rPr>
          <w:b/>
        </w:rPr>
        <w:t>Shared claim-specific concepts:</w:t>
      </w:r>
      <w:r>
        <w:t xml:space="preserve"> design, three, system, all; EU scope visible. This is a provisional connection, not an outcome finding.</w:t>
      </w:r>
    </w:p>
    <w:p>
      <w:pPr>
        <w:pStyle w:val="SourceNote"/>
      </w:pPr>
      <w:r>
        <w:rPr>
          <w:b/>
        </w:rPr>
        <w:t>Available abstract (not full text):</w:t>
      </w:r>
      <w:r>
        <w:t xml:space="preserve"> The values of a solidary and democratic society, based on the principles of equality, significantly influenced the conceptual and practical principles of design throughout the Modern era. To a large extent, the formative base of modernism – the leading worldview trend that defined the architecture of the 20th and early 21st centuries – is connected with them. One of the important stages in the development of this process was the spread since the 1980s "universal design" concept that aimed at creating a more inclusive space, avoiding various forms of isolation and inequality depending on the physical abilities of a person. Currently, theoretical and practical achievements in this area make it possible to talk about a holistic system of views on design, which, however, still remains largely unrealized to the extent that the goals of universal design can be considered generally achieved. Nevertheless, thanks to the implementation of a number of initiatives and programs, inclusive and friendly environments for different groups have begun to emerge in many European cities, which testify to the benefits of the "design for all" concept. In addition to the purely humanistic aspect, it also gives cities advantages in terms of a more complete use of human potential, maintaining a high economic and social attractiveness, which ultimately increases the competitive indicators of the city. T</w:t>
      </w:r>
    </w:p>
    <w:p>
      <w:pPr/>
      <w:r>
        <w:rPr>
          <w:b/>
        </w:rPr>
        <w:t>POSSIBLE 2023:</w:t>
      </w:r>
      <w:r>
        <w:t xml:space="preserve"> European bee diversity: Taxonomic and phylogenetic patterns — https://doi.org/10.1111/jbi.14614</w:t>
      </w:r>
    </w:p>
    <w:p>
      <w:pPr/>
      <w:r>
        <w:rPr>
          <w:b/>
        </w:rPr>
        <w:t>Shared claim-specific concepts:</w:t>
      </w:r>
      <w:r>
        <w:t xml:space="preserve"> aims, design, three, develop, conclusions, clear; EU scope visible. This is a provisional connection, not an outcome finding.</w:t>
      </w:r>
    </w:p>
    <w:p>
      <w:pPr>
        <w:pStyle w:val="SourceNote"/>
      </w:pPr>
      <w:r>
        <w:rPr>
          <w:b/>
        </w:rPr>
        <w:t>Available abstract (not full text):</w:t>
      </w:r>
      <w:r>
        <w:t xml:space="preserve"> Abstract Aim Wild bees still face striking shortfalls in knowledge of biodiversity in key regions of the world. This includes Europe, where despite a long tradition of data gathering, the continental scale distribution patterns of wild bees have not been systematically analysed to date. This study aims to characterise large‐scale biodiversity patterns to: (i) understand spatial–temporal heterogeneity in large‐scale databases, (ii) locate genuine diversity hotspots and their relationship with biogeographical patterns or habitats of interests and (iii) identify understudied species and areas to further design conservation actions for most at risk species in key regions. Location Europe. Taxon Bees. Methods We present a continental and standardised study of bee taxonomic and phylogenetic diversity patterns in Europe, using a large compilation of occurrence records of nearly three million validated occurrence records for 1515 wild bee species. Results Southern and eastern Europe suffer from the largest gaps in data availability while northern and western regions benefit from better historical coverage. Our models show that higher wild bee diversity in Europe is hosted in xeric, warm areas, as highlighted by a clear latitudinal gradient. However, phylogenetic diversity is predicted to be more homogenous across Europe than taxonomic diversity, suggesting that policies and strategies </w:t>
      </w:r>
    </w:p>
    <w:p>
      <w:pPr/>
      <w:r>
        <w:rPr>
          <w:b/>
        </w:rPr>
        <w:t>POSSIBLE 2023:</w:t>
      </w:r>
      <w:r>
        <w:t xml:space="preserve"> Institutionalised distrust and human oversight of artificial intelligence: towards a democratic design of AI governance under the European Union AI Act — https://doi.org/10.1007/s00146-023-01777-z</w:t>
      </w:r>
    </w:p>
    <w:p>
      <w:pPr/>
      <w:r>
        <w:rPr>
          <w:b/>
        </w:rPr>
        <w:t>Shared claim-specific concepts:</w:t>
      </w:r>
      <w:r>
        <w:t xml:space="preserve"> aims, design, three; EU scope visible. This is a provisional connection, not an outcome finding.</w:t>
      </w:r>
    </w:p>
    <w:p>
      <w:pPr>
        <w:pStyle w:val="SourceNote"/>
      </w:pPr>
      <w:r>
        <w:rPr>
          <w:b/>
        </w:rPr>
        <w:t>Available abstract (not full text):</w:t>
      </w:r>
      <w:r>
        <w:t xml:space="preserve"> Human oversight has become a key mechanism for the governance of artificial intelligence ("AI"). Human overseers are supposed to increase the accuracy and safety of AI systems, uphold human values, and build trust in the technology. Empirical research suggests, however, that humans are not reliable in fulfilling their oversight tasks. They may be lacking in competence or be harmfully incentivised. This creates a challenge for human oversight to be effective. In addressing this challenge, this article aims to make three contributions. First, it surveys the emerging laws of oversight, most importantly the European Union's Artificial Intelligence Act ("AIA"). It will be shown that while the AIA is concerned with the competence of human overseers, it does not provide much guidance on how to achieve effective oversight and leaves oversight obligations for AI developers underdefined. Second, this article presents a novel taxonomy of human oversight roles, differentiated along whether human intervention is constitutive to, or corrective of a decision made or supported by an AI. The taxonomy allows to propose suggestions for improving effectiveness tailored to the type of oversight in question. Third, drawing on scholarship within democratic theory, this article formulates six normative principles which institutionalise distrust in human oversight of AI. The institutionalisation of dis</w:t>
      </w:r>
    </w:p>
    <w:p>
      <w:pPr>
        <w:pStyle w:val="Heading2"/>
      </w:pPr>
      <w:r>
        <w:t>905. A vibrant European labor market with full employment</w:t>
      </w:r>
    </w:p>
    <w:p>
      <w:pPr>
        <w:pStyle w:val="SourceNote"/>
      </w:pPr>
      <w:r>
        <w:rPr>
          <w:b/>
        </w:rPr>
        <w:t>Original source (2014):</w:t>
      </w:r>
      <w:r>
        <w:t xml:space="preserve"> https://doi.org/10.1186/2193-9012-3-10</w:t>
      </w:r>
    </w:p>
    <w:p>
      <w:pPr/>
      <w:r>
        <w:t>Original wording (abstract; indexed_source_text_not_full_document_verified): We hope these proposals will affect the debate about the future of the European Union, also with regard to the pivotal role and responsibility of the European Parliament and European Commission.</w:t>
      </w:r>
    </w:p>
    <w:p>
      <w:pPr/>
      <w:r>
        <w:rPr>
          <w:b/>
        </w:rPr>
        <w:t>POSSIBLE 2026:</w:t>
      </w:r>
      <w:r>
        <w:t xml:space="preserve"> A Critical Assessment of the EU’s Digital Omnibus Regulation Proposal and its Impact on the GDPR — https://doi.org/10.1163/15718093-bja10181</w:t>
      </w:r>
    </w:p>
    <w:p>
      <w:pPr/>
      <w:r>
        <w:rPr>
          <w:b/>
        </w:rPr>
        <w:t>Shared claim-specific concepts:</w:t>
      </w:r>
      <w:r>
        <w:t xml:space="preserve"> hope, affect, union, commission; EU scope visible. This is a provisional connection, not an outcome finding.</w:t>
      </w:r>
    </w:p>
    <w:p>
      <w:pPr>
        <w:pStyle w:val="SourceNote"/>
      </w:pPr>
      <w:r>
        <w:rPr>
          <w:b/>
        </w:rPr>
        <w:t>Available abstract (not full text):</w:t>
      </w:r>
      <w:r>
        <w:t xml:space="preserve"> Abstract In this article we assess the European Commission’s recent proposal for a Digital Omnibus Regulation, which seeks to encourage economic growth and innovation in the EU while simultaneously protecting the fundamental rights of Europeans, including promotion of data protection, safety, and fairness. We focus on the proposal insofar as it seeks to ‘simplify existing rules’ of the EU’s General Data Protection Regulation ( GDPR ), and in particular aspects that we think are problematic in light of our expertise in the areas of health and scientific research. We find that many of changes proposed to the GDPR within in the Digital Omnibus Regulation proposal are a retrograde step in fundamental rights protection and, as currently drafted, they will fail to boost research and innovation in the health and medical sectors in the EU. We argue that several propositions in fact substantially change the GDPR , including aspects of which appear to deviate from or misinterpret judgments of the Court of Justice of the European Union, and these changes therefore materially affect the level of protection afforded to data subjects. We express hope that as the Digital Omnibus Regulation is considered during the ‘trilogue’ negotiations at the Council and Parliamentary levels, these limitations will be addressed and aspects of the GDPR that do genuinely need reform are taken up, but with a c</w:t>
      </w:r>
    </w:p>
    <w:p>
      <w:pPr/>
      <w:r>
        <w:rPr>
          <w:b/>
        </w:rPr>
        <w:t>POSSIBLE 2025:</w:t>
      </w:r>
      <w:r>
        <w:t xml:space="preserve"> Hope and Positivity — https://doi.org/10.1093/oso/9780197618240.003.0014</w:t>
      </w:r>
    </w:p>
    <w:p>
      <w:pPr/>
      <w:r>
        <w:rPr>
          <w:b/>
        </w:rPr>
        <w:t>Shared claim-specific concepts:</w:t>
      </w:r>
      <w:r>
        <w:t xml:space="preserve"> hope, proposals, about; EU scope not established. This is a provisional connection, not an outcome finding.</w:t>
      </w:r>
    </w:p>
    <w:p>
      <w:pPr>
        <w:pStyle w:val="SourceNote"/>
      </w:pPr>
      <w:r>
        <w:rPr>
          <w:b/>
        </w:rPr>
        <w:t>Available abstract (not full text):</w:t>
      </w:r>
      <w:r>
        <w:t xml:space="preserve"> Abstract The chapter is an attempt to make sense of a commonly recognized but poorly understood aspect of hope: its positivity, namely, its involving an ability to find goodness and to feel good in circumstances of hardship, danger, suffering, misfortune, injustice, etc. The focus is on two questions: First, what exactly is one positive about when one hopes? Second, why is one positive about that thing, or in other words, what, if anything, makes it rational for one to be positive about that thing? Various proposals for answering these questions on the basis of existing theories of hope are considered and rejected, and a more satisfactory answer is developed on the assumption that hope is fundamentally a form of valuing not so much of the hoped-for outcome, but of the object for the sake of which one hopes for that outcome.</w:t>
      </w:r>
    </w:p>
    <w:p>
      <w:pPr/>
      <w:r>
        <w:rPr>
          <w:b/>
        </w:rPr>
        <w:t>POSSIBLE 2025:</w:t>
      </w:r>
      <w:r>
        <w:t xml:space="preserve"> Format of emergency department electronic health records in Europe. The European initiative and the eCREAM proposal — https://doi.org/10.3389/femer.2025.1558208</w:t>
      </w:r>
    </w:p>
    <w:p>
      <w:pPr/>
      <w:r>
        <w:rPr>
          <w:b/>
        </w:rPr>
        <w:t>Shared claim-specific concepts:</w:t>
      </w:r>
      <w:r>
        <w:t xml:space="preserve"> affect, about, also; EU scope visible. This is a provisional connection, not an outcome finding.</w:t>
      </w:r>
    </w:p>
    <w:p>
      <w:pPr>
        <w:pStyle w:val="SourceNote"/>
      </w:pPr>
      <w:r>
        <w:rPr>
          <w:b/>
        </w:rPr>
        <w:t>Available abstract (not full text):</w:t>
      </w:r>
      <w:r>
        <w:t xml:space="preserve"> The lack of cross-border patient health data exchange in Europe is an obstacle in many ways and can negatively affect patient care and health. When clinicians have incomplete information about patients traveling or residing abroad, for example, continuity of care cannot be assured, potentially leading to poorer health outcomes. The European Electronic Health Record Exchange Format (EEHRxF) is a system being established in Europe to permit the interoperability of different healthcare systems, such as electronic health records (EHRs) and medical devices, so that they can share data to support patient care and research. The system is currently being introduced for electronic prescriptions and dispensations, patient summaries, which are part of the larger collection of health data known as the electronic health record, laboratory results and medical imaging studies and their reports, and hospital discharge reports. In emergency medicine, where research is challenging due to time and resource constraints, the EHR should no longer be seen solely as a tool to support clinical practice; it is also a source of valuable information to fuel research and improve patient care. The use of data for research, one of the stated secondary goals of the EEHRxF, thus becomes paramount here and deserves to be properly developed. It is in this context that the eCREAM (enabling Clinical Research in Em</w:t>
      </w:r>
    </w:p>
    <w:p>
      <w:pPr/>
      <w:r>
        <w:rPr>
          <w:b/>
        </w:rPr>
        <w:t>POSSIBLE 2024:</w:t>
      </w:r>
      <w:r>
        <w:t xml:space="preserve"> Language as Hope — https://doi.org/10.1017/9781009306508</w:t>
      </w:r>
    </w:p>
    <w:p>
      <w:pPr/>
      <w:r>
        <w:rPr>
          <w:b/>
        </w:rPr>
        <w:t>Shared claim-specific concepts:</w:t>
      </w:r>
      <w:r>
        <w:t xml:space="preserve"> hope, about, also; EU scope not established. This is a provisional connection, not an outcome finding.</w:t>
      </w:r>
    </w:p>
    <w:p>
      <w:pPr>
        <w:pStyle w:val="SourceNote"/>
      </w:pPr>
      <w:r>
        <w:rPr>
          <w:b/>
        </w:rPr>
        <w:t>Available abstract (not full text):</w:t>
      </w:r>
      <w:r>
        <w:t xml:space="preserve"> Although it feels like we live in a time of seeming hopelessness, this pioneering book illustrates what language can teach us about the practice, logic, and feasibility of hope in the twenty-ﬁrst century. Silva and Lee highlight how people living in Brazilian urban peripheries, who have grown accustomed to unrelenting prejudice and violence on an everyday basis, use language to survive and imagine futures that are worth aspiring to. In so doing, this book foregrounds how language becomes a matter of survival for these communities. It provides a thorough theorization of how language can produce conditions of hope, moving away from the idea of language merely as a tool of communication and toward something that can meaningfully impact social realities. Innovative and engaging, it is essential reading for researchers and students in applied linguistics, sociolinguistics and linguistic anthropology. This title is also available as open access on Cambridge Core.</w:t>
      </w:r>
    </w:p>
    <w:p>
      <w:pPr/>
      <w:r>
        <w:rPr>
          <w:b/>
        </w:rPr>
        <w:t>POSSIBLE 2023:</w:t>
      </w:r>
      <w:r>
        <w:t xml:space="preserve"> Strategic partner election: proposal for a Binary Logistic Model for the European Union — https://doi.org/10.1057/s41599-023-02121-y</w:t>
      </w:r>
    </w:p>
    <w:p>
      <w:pPr/>
      <w:r>
        <w:rPr>
          <w:b/>
        </w:rPr>
        <w:t>Shared claim-specific concepts:</w:t>
      </w:r>
      <w:r>
        <w:t xml:space="preserve"> union, also, regard; EU scope visible. This is a provisional connection, not an outcome finding.</w:t>
      </w:r>
    </w:p>
    <w:p>
      <w:pPr>
        <w:pStyle w:val="SourceNote"/>
      </w:pPr>
      <w:r>
        <w:rPr>
          <w:b/>
        </w:rPr>
        <w:t>Available abstract (not full text):</w:t>
      </w:r>
      <w:r>
        <w:t xml:space="preserve"> Abstract The European Union awarded the special status of strategic partner to ten states. Its key partners are dissimilar in political philosophies and structure, power status, ethical values, economic development, unequal in size and mineral reserves. Some of them are traditional Post-Second World War partners while the others have established recent partnerships in a new multipolar world order. However, from the very beginning the EU Conception of Strategic Partnership was just an assemblage of political statements without any official definition and clear established criteria for being chosen as a strategic partner. In this regard, this paper aims to analyze the strategic partnership phenomenon in EU Foreign Policy and provide our own definition of the term with a view to underpin it subsequently by common criteria. Based upon obtained main components the Binary Logistic Model was applied, which not only did allow to make the election of EU strategic partners more science-based but also propose the potential EU partners.</w:t>
      </w:r>
    </w:p>
    <w:p>
      <w:pPr/>
      <w:r>
        <w:rPr>
          <w:b/>
        </w:rPr>
        <w:t>POSSIBLE 2023:</w:t>
      </w:r>
      <w:r>
        <w:t xml:space="preserve"> Bosnia and Herzegovina’s Hopes of European Union Accession: A Safeguard against the Country’s Implosion? — https://doi.org/10.32559/et.2023.2.8</w:t>
      </w:r>
    </w:p>
    <w:p>
      <w:pPr/>
      <w:r>
        <w:rPr>
          <w:b/>
        </w:rPr>
        <w:t>Shared claim-specific concepts:</w:t>
      </w:r>
      <w:r>
        <w:t xml:space="preserve"> union, also, pivotal; EU scope visible. This is a provisional connection, not an outcome finding.</w:t>
      </w:r>
    </w:p>
    <w:p>
      <w:pPr>
        <w:pStyle w:val="SourceNote"/>
      </w:pPr>
      <w:r>
        <w:rPr>
          <w:b/>
        </w:rPr>
        <w:t>Available abstract (not full text):</w:t>
      </w:r>
      <w:r>
        <w:t xml:space="preserve"> The prospect of Bosnia and Herzegovina’s accession to the European Union encapsulates a pivotal chapter in the nation’s trajectory. As the country navigates the intricate path toward EU membership, it faces a myriad of challenges and opportunities that extend beyond mere geopolitical realignment. This journey involves addressing complex issues such as political stability, governance reforms, rule of law and economic development. The significance of this process lies not only in its potential to reshape Bosnia and Herzegovina’s political and economic landscape but also in the broader implications for regional stability and the consolidation of European values in the Western Balkans. In this context, the journey towards EU accession for Bosnia and Herzegovina is a multifaceted endeavour, reflecting both the aspirations and complexities inherent in the pursuit of a European future.</w:t>
      </w:r>
    </w:p>
    <w:p>
      <w:pPr/>
      <w:r>
        <w:rPr>
          <w:b/>
        </w:rPr>
        <w:t>POSSIBLE 2023:</w:t>
      </w:r>
      <w:r>
        <w:t xml:space="preserve"> A Perceptual Theory of Hope — https://doi.org/10.32920/24624681</w:t>
      </w:r>
    </w:p>
    <w:p>
      <w:pPr/>
      <w:r>
        <w:rPr>
          <w:b/>
        </w:rPr>
        <w:t>Shared claim-specific concepts:</w:t>
      </w:r>
      <w:r>
        <w:t xml:space="preserve"> hope, about, regard; EU scope not established. This is a provisional connection, not an outcome finding.</w:t>
      </w:r>
    </w:p>
    <w:p>
      <w:pPr>
        <w:pStyle w:val="SourceNote"/>
      </w:pPr>
      <w:r>
        <w:rPr>
          <w:b/>
        </w:rPr>
        <w:t>Available abstract (not full text):</w:t>
      </w:r>
      <w:r>
        <w:t xml:space="preserve"> This paper addresses the question of what the attitude of hope consists in. We argue that shortcomings in recent theories of hope have methodological roots in that they proceed with little regard for the rich body of literature on the emotions. Taking insights from work in the philosophy of emotions, we argue that hope involves a kind of normative perception. We then develop a strategy for determining the content of this perception, arguing that hope is a perception of practical reasons. Our proposal stands in contrast with familiar views on which hope is fundamentally about the good. We conclude by considering the increasingly popular idea that some hopes are non-intentional and thus, by implication, non-perceptual. We reply by arguing that our perceptual theory plausibly generalizes to these instances of hope.</w:t>
      </w:r>
    </w:p>
    <w:p>
      <w:pPr/>
      <w:r>
        <w:rPr>
          <w:b/>
        </w:rPr>
        <w:t>POSSIBLE 2023:</w:t>
      </w:r>
      <w:r>
        <w:t xml:space="preserve"> Mitigating the adverse effects of AI with the European Union's artificial intelligence act: Hype or hope? — https://doi.org/10.1002/joe.22238</w:t>
      </w:r>
    </w:p>
    <w:p>
      <w:pPr/>
      <w:r>
        <w:rPr>
          <w:b/>
        </w:rPr>
        <w:t>Shared claim-specific concepts:</w:t>
      </w:r>
      <w:r>
        <w:t xml:space="preserve"> hope, about, union; EU scope visible. This is a provisional connection, not an outcome finding.</w:t>
      </w:r>
    </w:p>
    <w:p>
      <w:pPr>
        <w:pStyle w:val="SourceNote"/>
      </w:pPr>
      <w:r>
        <w:rPr>
          <w:b/>
        </w:rPr>
        <w:t>Available abstract (not full text):</w:t>
      </w:r>
      <w:r>
        <w:t xml:space="preserve"> Abstract In light of the rise of generative AI and recent debates about the socio‐political implications of large‐language models, chatbots, and the like, this paper analyzes the E.U.’s Artificial Intelligence Act (AIA), the world's first comprehensive attempt by a government body to address and mitigate the potentially negative impacts of AI technologies. The paper critically analyzes the AIA from a business and computer ethics point of view—a perspective currently lacking in the academic (e.g., GBOE‐related) literature. It evaluates, in particular, the AIA's strengths and weaknesses and proposes reform measures that could help to strengthen the AIA. Among the AIA's strengths are its legally binding character, extra‐territoriality, ability to address data quality and discrimination risks, and institutional innovations such as the AI Board and publicly accessible logs and database for AI systems. Among its main weaknesses are its lack of effective enforcement, oversight, and control, absence of procedural rights and remedy mechanisms, inadequate worker protection, institutional ambiguities, insufficient funding and staffing, and inadequate consideration of sustainability issues. Reform suggestions include establishing independent conformity assessment procedures, strengthening democratic accountability and judicial oversight, introducing redress and complaint mechanisms, ensuri</w:t>
      </w:r>
    </w:p>
    <w:p>
      <w:pPr/>
      <w:r>
        <w:rPr>
          <w:b/>
        </w:rPr>
        <w:t>POSSIBLE 2022:</w:t>
      </w:r>
      <w:r>
        <w:t xml:space="preserve"> The Focus Theory of Hope — https://doi.org/10.1093/pq/pqac010</w:t>
      </w:r>
    </w:p>
    <w:p>
      <w:pPr/>
      <w:r>
        <w:rPr>
          <w:b/>
        </w:rPr>
        <w:t>Shared claim-specific concepts:</w:t>
      </w:r>
      <w:r>
        <w:t xml:space="preserve"> hope, debate, about; EU scope not established. This is a provisional connection, not an outcome finding.</w:t>
      </w:r>
    </w:p>
    <w:p>
      <w:pPr>
        <w:pStyle w:val="SourceNote"/>
      </w:pPr>
      <w:r>
        <w:rPr>
          <w:b/>
        </w:rPr>
        <w:t>Available abstract (not full text):</w:t>
      </w:r>
      <w:r>
        <w:t xml:space="preserve"> Abstract Most elpistologists now agree that hope for a specific outcome involves more than just desire plus the presupposition that the outcome is possible. This paper argues that the additional element of hope is a disposition to focus on the desired outcome in a certain way. I first survey the debate about the nature of hope in the recent literature, offer objections to some important competing accounts, and describe and defend the view that hope involves a kind of focus or attention. I then suggest that this account makes sense of the intuitive thought that there are moral and pragmatic norms on hope that go beyond the norms on desires and modal presuppositions. I conclude by considering some key questions.</w:t>
      </w:r>
    </w:p>
    <w:p>
      <w:pPr/>
      <w:r>
        <w:rPr>
          <w:b/>
        </w:rPr>
        <w:t>POSSIBLE 2021:</w:t>
      </w:r>
      <w:r>
        <w:t xml:space="preserve"> Circular economy: advancement of European Union countries — https://doi.org/10.1186/s12302-021-00549-0</w:t>
      </w:r>
    </w:p>
    <w:p>
      <w:pPr/>
      <w:r>
        <w:rPr>
          <w:b/>
        </w:rPr>
        <w:t>Shared claim-specific concepts:</w:t>
      </w:r>
      <w:r>
        <w:t xml:space="preserve"> union, also, commission; EU scope visible. This is a provisional connection, not an outcome finding.</w:t>
      </w:r>
    </w:p>
    <w:p>
      <w:pPr>
        <w:pStyle w:val="SourceNote"/>
      </w:pPr>
      <w:r>
        <w:rPr>
          <w:b/>
        </w:rPr>
        <w:t>Available abstract (not full text):</w:t>
      </w:r>
      <w:r>
        <w:t xml:space="preserve"> Abstract Background Circular economy (CE) is a development priority of the European Union and it is part of the EU industrial strategy. The transition to a more circular economy is an essential contribution to the EU’s efforts to develop a sustainable, low carbon, resource-efficient and competitive economy. The author focuses her CE-related reflections and research in this paper on the macro-level (research subjects: 28 EU countries), the level which is least represented in scholarly publications addressing CE (as follows from the analysis of literature in the Scopus database). This study aims to fill this gap partially. The aim of this paper is to identify and group the EU-28 countries according to their advancement towards circular economy. CE indicators proposed by the European Commission were used for the analysis. Given the research subjects and after an analysis of the literature they were concluded to be the most adequate. The theoretical part was based on an analysis of the literature, whereas the empirical work used the principal components analysis, hierarchical and k-means clustering and a grade correspondence-cluster analysis. Results On the basis of the research, the existence of a “two-speed Europe” was identified in terms of EU countries’ advancement towards CE. Leading countries, those most advanced in pursuing operation according to CE principles, include Germa</w:t>
      </w:r>
    </w:p>
    <w:p>
      <w:pPr/>
      <w:r>
        <w:rPr>
          <w:b/>
        </w:rPr>
        <w:t>POSSIBLE 2019:</w:t>
      </w:r>
      <w:r>
        <w:t xml:space="preserve"> Exploring the Exuberant Abundance of Seeing-Knowing, Hoping, and Doing: A Proposal for a Social Trinitarian Praxis — https://openalex.org/W7132983194</w:t>
      </w:r>
    </w:p>
    <w:p>
      <w:pPr/>
      <w:r>
        <w:rPr>
          <w:b/>
        </w:rPr>
        <w:t>Shared claim-specific concepts:</w:t>
      </w:r>
      <w:r>
        <w:t xml:space="preserve"> hope, affect, about; EU scope not established. This is a provisional connection, not an outcome finding.</w:t>
      </w:r>
    </w:p>
    <w:p>
      <w:pPr>
        <w:pStyle w:val="SourceNote"/>
      </w:pPr>
      <w:r>
        <w:rPr>
          <w:b/>
        </w:rPr>
        <w:t>Available abstract (not full text):</w:t>
      </w:r>
      <w:r>
        <w:t xml:space="preserve"> The Continuing violence in the contemporary world prompts a re-focus on the importance of the way we see-know and hope in or with the other/s and how that might affect our doing with or for the other/s. This study’s thesis statement takes up these introductory ideas from Jürgen Moltmann’s The Way of Jesus Christ where he writes, The resurrection of Christ is historically understood in the fullest sense only in ‘the unity of knowing, hoping, and doing. …. Anyone who talks about Christ’s resurrection from the dead and who believes in the power of God to raise the dead is talking in a single breath about the foundation, the future, and the praxis of the liberation of human beings and the redemption of the world. This means that what we can know historically about Christ’s resurrection must not be abstracted from the questions: what can we hope from it? and what must we do in its name? Given the implications of these statements and questions, the three central chapters of this study explore the effect of ‘exuberant abundance’ (or ‘surplus’) in the cross and resurrection event. These chapters examine this effect through an open, ongoing process of discerning the ‘tensioned-struggled’ turn to the other/s in three core ‘journeys’ of seeing-knowing (chapter 2), hoping (chapter 3), and doing (chapter 4) in humanity and creation. This study’s explorative journeys search for interanimativ</w:t>
      </w:r>
    </w:p>
    <w:p>
      <w:pPr/>
      <w:r>
        <w:rPr>
          <w:b/>
        </w:rPr>
        <w:t>POSSIBLE 2019:</w:t>
      </w:r>
      <w:r>
        <w:t xml:space="preserve"> Public opinion on basic income: Mapping European support for a radical alternative for welfare provision — https://doi.org/10.1177/0958928719882827</w:t>
      </w:r>
    </w:p>
    <w:p>
      <w:pPr/>
      <w:r>
        <w:rPr>
          <w:b/>
        </w:rPr>
        <w:t>Shared claim-specific concepts:</w:t>
      </w:r>
      <w:r>
        <w:t xml:space="preserve"> hope, affect, about, also; EU scope visible. This is a provisional connection, not an outcome finding.</w:t>
      </w:r>
    </w:p>
    <w:p>
      <w:pPr>
        <w:pStyle w:val="SourceNote"/>
      </w:pPr>
      <w:r>
        <w:rPr>
          <w:b/>
        </w:rPr>
        <w:t>Available abstract (not full text):</w:t>
      </w:r>
      <w:r>
        <w:t xml:space="preserve"> The idea of a universal basic income (BI) is both radical and simple. Obtaining a sufficient citizenship-based income without work obligations is fundamentally opposing the foundations of the welfare systems that are in place nowadays. As BI has gained increasing attention in public debates and among policymakers, questions arise about its social legitimacy. This study is the first to analyse a broad range of explanatory individual and contextual factors that may affect popular support for BI. In addition, we study how BI support is related to support of current welfare provisions, to analyse how radically different people perceive a BI to be. We use a unique survey question – available for 23 European countries, from the recent release of the European Social Survey (2016) –that introduces BI with an extended definition, emphasizing its universal and unconditional character and that it will replace other benefits and services and is paid for by taxes. Results show relatively high, but varying levels of support among European countries and social groups. People who are in a more vulnerable socio-economic position support BI more, as well as political left-wingers, egalitarianists and people who support targeting benefits at the poor. Also, a BI is more supported in countries with higher levels of material deprivation. This pattern of relations on both the individual and contextu</w:t>
      </w:r>
    </w:p>
    <w:p>
      <w:pPr>
        <w:pStyle w:val="Heading2"/>
      </w:pPr>
      <w:r>
        <w:t>906. An Agent-Based Assessment of Land Use and Ecosystem Changes in Traditional Agricultural Landscape of Portugal</w:t>
      </w:r>
    </w:p>
    <w:p>
      <w:pPr>
        <w:pStyle w:val="SourceNote"/>
      </w:pPr>
      <w:r>
        <w:rPr>
          <w:b/>
        </w:rPr>
        <w:t>Original source (2014):</w:t>
      </w:r>
      <w:r>
        <w:t xml:space="preserve"> https://doi.org/10.4236/iim.2014.62008</w:t>
      </w:r>
    </w:p>
    <w:p>
      <w:pPr/>
      <w:r>
        <w:t>Original wording (abstract; indexed_source_text_not_full_document_verified): The results of the scenario analysis show that the area of Montado declines significantly by 2050, but it remains the dominant land use in the case study area, indicating some resilience to change.</w:t>
      </w:r>
    </w:p>
    <w:p>
      <w:pPr/>
      <w:r>
        <w:rPr>
          <w:b/>
        </w:rPr>
        <w:t>POSSIBLE 2026:</w:t>
      </w:r>
      <w:r>
        <w:t xml:space="preserve"> Spatiotemporal analysis of montado land cover dynamics in southern Portugal: the influence of anthropogenic and natural disturbances — https://doi.org/10.1007/s10457-026-01564-x</w:t>
      </w:r>
    </w:p>
    <w:p>
      <w:pPr/>
      <w:r>
        <w:rPr>
          <w:b/>
        </w:rPr>
        <w:t>Shared claim-specific concepts:</w:t>
      </w:r>
      <w:r>
        <w:t xml:space="preserve"> show, area, montado, but, land, use; EU scope visible. This is a provisional connection, not an outcome finding.</w:t>
      </w:r>
    </w:p>
    <w:p>
      <w:pPr>
        <w:pStyle w:val="SourceNote"/>
      </w:pPr>
      <w:r>
        <w:rPr>
          <w:b/>
        </w:rPr>
        <w:t>Available abstract (not full text):</w:t>
      </w:r>
      <w:r>
        <w:t xml:space="preserve"> Abstract The montado is a traditional agroforestry system in Portugal that combines cork or holm oak trees with pastures and crops. It provides multiple ecosystems services and supports rural livelihoods. However, in recent decades, the montado has faced several threats that have caused its decline and degradation. Here, we analyse the recent changes in montado cover—between 2006 and 2018—and assess the main drivers and processes of change. We used a 2006 montado cover map as a baseline and overlayed it with aerial photographs of 2018, examining the montado areas for land use shifts by installation of intensive crops, wildfire occurrences or tree plantations. Our results show that the montado covered 1,189,390 hectares (ha) in 2018, and that there was a decrease of the montado area from 2006 by 31,312 ha (95% CI 29,706–32,943 ha), declining at an annual loss of 2609 ha (0.21% year −1 ; 95% CI 0.201–0.223% year −1 ). Although this is a slower rate compared to an early analysis, the impact of large-scale events (record burned areas) and infrastructure (large dam) likely explains it. The montado area shifts were mainly caused by wildfires (70%), the opening or broadening of clearings due to tree mortality (18%) and the new installations of intensive crops (olive or almond groves and irrigated cereals—8.4%). Most of the analysed quadrats (60%) exhibited one category of loss in mont</w:t>
      </w:r>
    </w:p>
    <w:p>
      <w:pPr/>
      <w:r>
        <w:rPr>
          <w:b/>
        </w:rPr>
        <w:t>POSSIBLE 2026:</w:t>
      </w:r>
      <w:r>
        <w:t xml:space="preserve"> Adapting Mediterranean Agroforestry to Global Change: Trade-Offs and Lessons from the Montado — https://doi.org/10.3390/su18062725</w:t>
      </w:r>
    </w:p>
    <w:p>
      <w:pPr/>
      <w:r>
        <w:rPr>
          <w:b/>
        </w:rPr>
        <w:t>Shared claim-specific concepts:</w:t>
      </w:r>
      <w:r>
        <w:t xml:space="preserve"> montado, but, resilience; EU scope not established. This is a provisional connection, not an outcome finding.</w:t>
      </w:r>
    </w:p>
    <w:p>
      <w:pPr>
        <w:pStyle w:val="SourceNote"/>
      </w:pPr>
      <w:r>
        <w:rPr>
          <w:b/>
        </w:rPr>
        <w:t>Available abstract (not full text):</w:t>
      </w:r>
      <w:r>
        <w:t xml:space="preserve"> The Montado, a traditional Mediterranean agro-silvopastoral system, has historically sustained ecological and economic functions through the integration of trees, livestock, and crops. Today, its multifunctionality is increasingly threatened by climate variability, market volatility, and evolving policy frameworks. While previous research has examined Montado dynamics at landscape or plot scales, less attention has been paid to sustainability trajectories at the farm level, where management decisions are made. This study bridges that gap by assessing the sustainability dynamics of farms through a participatory, typology based, scenario approach grounded in a regional typology. We characterized three representative farm archetypes (forestry-focused, mixed agro-silvopastoral, and livestock-focused) and evaluated their trajectories under plausible future scenarios driven by climate, market, and policy pressures. Scenario outcomes were assessed using expert-based scoring (five-point scale), revealing score differences of up to two points across sustainability dimensions between farm archetypes and scenarios. Findings reveal marked trade-offs: Tree-focused farms maintain high environmental value but remain vulnerable to market and labor constraints, while livestock-specialized farms achieve higher economic output at the expense of ecological integrity. Mixed systems demonstrate grea</w:t>
      </w:r>
    </w:p>
    <w:p>
      <w:pPr/>
      <w:r>
        <w:rPr>
          <w:b/>
        </w:rPr>
        <w:t>POSSIBLE 2026:</w:t>
      </w:r>
      <w:r>
        <w:t xml:space="preserve"> MAPPING SOIL MOISTURE AND CARBON HOTSPOTS IN A MONTADO ECOSYSTEM: A CASE STUDY IN COMPANHIA DAS LEZÍRIAS, PORTUGAL — https://doi.org/10.26471/cjees/2026/021/382</w:t>
      </w:r>
    </w:p>
    <w:p>
      <w:pPr/>
      <w:r>
        <w:rPr>
          <w:b/>
        </w:rPr>
        <w:t>Shared claim-specific concepts:</w:t>
      </w:r>
      <w:r>
        <w:t xml:space="preserve"> montado, case, resilience; EU scope visible. This is a provisional connection, not an outcome finding.</w:t>
      </w:r>
    </w:p>
    <w:p>
      <w:pPr>
        <w:pStyle w:val="SourceNote"/>
      </w:pPr>
      <w:r>
        <w:rPr>
          <w:b/>
        </w:rPr>
        <w:t>Available abstract (not full text):</w:t>
      </w:r>
      <w:r>
        <w:t xml:space="preserve"> Montado landscapes in Portugal are high-nature-value agro-silvo-pastoral systems that provide multiple ecosystem services. These systems face increasing pressures from climate change, land-use transformations, and declining tree regeneration. Soil health plays a central role in ecosystem resilience and carbon storage. This study investigates the spatial and temporal relationships between soil moisture and carbon stocks in the Companhia das Lezírias eLTER site using Landsat-8-derived Soil Moisture Index (SMI) for the period 2017–2024 and field soil sampling across three depths (0–10, 10–20, 20–30 cm) in 13 plots. The objective of the study is to quantify drought-related changes in the soil system, focusing on carbon stocks, and associate them with information derived from remote sensing data by mapping moisture regimes and detecting soil hotspots. Results reveal persistent soil moisture patterns, with distinct carbon-rich and carbon-poor zones. Pearson correlation connecting carbon stocks to summer soil moisture suggests that wetter areas in the montado system accumulate more carbon. Spatial patterns of soil carbon, mapped using kriging interpolation, align with persistent moisture regimes, identifying drought-prone hotspots. The findings underscore the importance of hydrological drivers for carbon dynamics in montado ecosystems and suggest that integrated monitoring using remot</w:t>
      </w:r>
    </w:p>
    <w:p>
      <w:pPr/>
      <w:r>
        <w:rPr>
          <w:b/>
        </w:rPr>
        <w:t>POSSIBLE 2025:</w:t>
      </w:r>
      <w:r>
        <w:t xml:space="preserve"> Esa-Ecosystemadapt, a Tool for Decision Support and Management of Montado Areas — https://openalex.org/W7163629007</w:t>
      </w:r>
    </w:p>
    <w:p>
      <w:pPr/>
      <w:r>
        <w:rPr>
          <w:b/>
        </w:rPr>
        <w:t>Shared claim-specific concepts:</w:t>
      </w:r>
      <w:r>
        <w:t xml:space="preserve"> montado, resilience; EU scope not established. This is a provisional connection, not an outcome finding.</w:t>
      </w:r>
    </w:p>
    <w:p>
      <w:pPr>
        <w:pStyle w:val="SourceNote"/>
      </w:pPr>
      <w:r>
        <w:rPr>
          <w:b/>
        </w:rPr>
        <w:t>Available abstract (not full text):</w:t>
      </w:r>
      <w:r>
        <w:t xml:space="preserve"> In a response to the recent adverse impacts of climate change on agricultural production, various management practices have been implemented to mitigate these effects, aiming to ensure a longterm sustainability and resilience in food systems.Among these practices, agroforestry systems have emerged as a key strategy, recognized for their ability to enhance biodiversity, improve soil health, and sequester carbon, thereby contributing to the climate change mitigation.These systems, which integrate the trees and shrubs into the agricultural landscapes, are now acknowledged within the eco-schemes and supported by the policy initiatives to promote sustainable farming practices.</w:t>
      </w:r>
    </w:p>
    <w:p>
      <w:pPr/>
      <w:r>
        <w:rPr>
          <w:b/>
        </w:rPr>
        <w:t>POSSIBLE 2025:</w:t>
      </w:r>
      <w:r>
        <w:t xml:space="preserve"> The impact of protected areas on mammal conservation in Europe — https://openalex.org/W7135676786</w:t>
      </w:r>
    </w:p>
    <w:p>
      <w:pPr/>
      <w:r>
        <w:rPr>
          <w:b/>
        </w:rPr>
        <w:t>Shared claim-specific concepts:</w:t>
      </w:r>
      <w:r>
        <w:t xml:space="preserve"> show, significantly, but; EU scope visible. This is a provisional connection, not an outcome finding.</w:t>
      </w:r>
    </w:p>
    <w:p>
      <w:pPr>
        <w:pStyle w:val="SourceNote"/>
      </w:pPr>
      <w:r>
        <w:rPr>
          <w:b/>
        </w:rPr>
        <w:t>Available abstract (not full text):</w:t>
      </w:r>
      <w:r>
        <w:t xml:space="preserve"> This bachelor thesis focuses on the impact of protected areas on mammal conservation in Europe and assesses how significantly these areas contribute to positive trends in populations of different mammal groups. It also considers the effectiveness of protected areas in addressing the impacts of threatening factors such as climate change, disease and human activities. The thesis also looks at the principles of conservation through protected areas, their effectiveness and differences in their impact between different mammal groups such as ungulates, carnivores and rodents. The results show that protected areas are a key conservation tool, but their effectiveness is often influenced by other factors, requiring a combination of conservation measures with adaptive management and broader ecological strategies. Based on these findings, the thesis proposes recommendations for improving mammal conservation in Europe. Specifically Europe should focus on strengthening cross- border cooperation in nature conservation to ensure the connectivity of habitats and migration corridors. It is also essential to invest in research on the impact of climate change on mammal populations and to develop strategies to adapt to these changes. Minimizing landscape fragmentation caused by transport infrastructure and promoting...</w:t>
      </w:r>
    </w:p>
    <w:p>
      <w:pPr/>
      <w:r>
        <w:rPr>
          <w:b/>
        </w:rPr>
        <w:t>POSSIBLE 2025:</w:t>
      </w:r>
      <w:r>
        <w:t xml:space="preserve"> Pasture Floristic Composition as an Indicator of Soil pH Correction and Sheep Stocking Rate in Montado Ecosystem — https://doi.org/10.3390/environments12100385</w:t>
      </w:r>
    </w:p>
    <w:p>
      <w:pPr/>
      <w:r>
        <w:rPr>
          <w:b/>
        </w:rPr>
        <w:t>Shared claim-specific concepts:</w:t>
      </w:r>
      <w:r>
        <w:t xml:space="preserve"> show, area, montado, significantly, but; EU scope visible. This is a provisional connection, not an outcome finding.</w:t>
      </w:r>
    </w:p>
    <w:p>
      <w:pPr>
        <w:pStyle w:val="SourceNote"/>
      </w:pPr>
      <w:r>
        <w:rPr>
          <w:b/>
        </w:rPr>
        <w:t>Available abstract (not full text):</w:t>
      </w:r>
      <w:r>
        <w:t xml:space="preserve"> The application of dolomitic limestone is a recommended practice for improving pastures established on acidic soils. On the other hand, pasture availability should determine the adjustment of the biotic load. The aim of this study is to evaluate the potential of pasture plant community composition as an indicator to assess the effects of intensification strategies in the Montado ecosystem, specifically soil pH correction and/or increasing animal stocking rate. Forty-eight sampling areas of a biodiverse pasture were monitored on a 4-ha plot located at the Mitra farm (Évora district; southern Portugal). The experimental design included four treatments: with and without limestone application (respectively, DL and WDL) × traditional low stocking rate (LSR, 7 sheep ha−1) and high stocking rate (HSR, 18 sheep ha−1). Floristic composition, structural parameters, and diversity metrics were recorded and analyzed using multivariate statistical tools. Pasture diversity was assessed through the computation of richness indices, with plant species identified as ecological indicators representative of each study area. The results showed Rumex pulcher, Trifolium subterraneum, Plantago lanceolata, and Lolium rigidum as botanical indicators of the four treatments of this study, respectively, LSR in untreated soil, HSR in untreated soil, HSR in treated soil, and LSR in treated soil. The results a</w:t>
      </w:r>
    </w:p>
    <w:p>
      <w:pPr/>
      <w:r>
        <w:rPr>
          <w:b/>
        </w:rPr>
        <w:t>POSSIBLE 2024:</w:t>
      </w:r>
      <w:r>
        <w:t xml:space="preserve"> Risks posed by invasive species to the provision of ecosystem services in Europe — https://doi.org/10.1038/s41467-024-46818-3</w:t>
      </w:r>
    </w:p>
    <w:p>
      <w:pPr/>
      <w:r>
        <w:rPr>
          <w:b/>
        </w:rPr>
        <w:t>Shared claim-specific concepts:</w:t>
      </w:r>
      <w:r>
        <w:t xml:space="preserve"> show, area, significantly, but, remains; EU scope visible. This is a provisional connection, not an outcome finding.</w:t>
      </w:r>
    </w:p>
    <w:p>
      <w:pPr>
        <w:pStyle w:val="SourceNote"/>
      </w:pPr>
      <w:r>
        <w:rPr>
          <w:b/>
        </w:rPr>
        <w:t>Available abstract (not full text):</w:t>
      </w:r>
      <w:r>
        <w:t xml:space="preserve"> Invasive species significantly impact biodiversity and ecosystem services, yet understanding these effects at large spatial scales remains a challenge. Our study addresses this gap by assessing the current and potential future risks posed by 94 invasive species to seven key ecosystem services in Europe. We demonstrate widespread potential impacts, particularly on outdoor recreation, habitat maintenance, crop provisioning, and soil and nitrogen retention. Exposure to invasive species was higher in areas with lower provision of ecosystem services, particularly for regulating and cultural services. Exposure was also high in areas where ecosystem contributions to crop provision and nitrogen retention were at their highest. Notably, regions vital for ecosystem services currently have low invasion suitability, but face an average 77% increase in potential invasion area. Here we show that, while high-value ecosystem service areas at the highest risk represent a small fraction of Europe (0-13%), they are disproportionally important for service conservation. Our study underscores the importance of monitoring and protecting these hotspots to align management strategies with international biodiversity targets, considering both invasion vulnerability and ecosystem service sustainability.</w:t>
      </w:r>
    </w:p>
    <w:p>
      <w:pPr/>
      <w:r>
        <w:rPr>
          <w:b/>
        </w:rPr>
        <w:t>POSSIBLE 2024:</w:t>
      </w:r>
      <w:r>
        <w:t xml:space="preserve"> Perspective Chapter: Sustainability of the Extensive Livestock Production – The Role of Precision Agriculture in Mediterranean Montado Ecosystem — https://doi.org/10.5772/intechopen.114169</w:t>
      </w:r>
    </w:p>
    <w:p>
      <w:pPr/>
      <w:r>
        <w:rPr>
          <w:b/>
        </w:rPr>
        <w:t>Shared claim-specific concepts:</w:t>
      </w:r>
      <w:r>
        <w:t xml:space="preserve"> montado, land, use, case, resilience; EU scope not established. This is a provisional connection, not an outcome finding.</w:t>
      </w:r>
    </w:p>
    <w:p>
      <w:pPr>
        <w:pStyle w:val="SourceNote"/>
      </w:pPr>
      <w:r>
        <w:rPr>
          <w:b/>
        </w:rPr>
        <w:t>Available abstract (not full text):</w:t>
      </w:r>
      <w:r>
        <w:t xml:space="preserve"> Grassland ecosystems are one of the most common land use types worldwide. The sustainability of extensive livestock production systems requires the optimization of soil management, pasture production and animal grazing. Montado is an agro-silvo-pastoral system characterized by a high complexity as a result of the interactions between climate, soil, pasture, trees and animals. It is in this highly unpredictable context that dynamic management decisions have to be made, for example with respect to soil fertilization or pH correction, grazing or animal supplementation. This study shows, through case studies, the potential of the application of Precision Agriculture (PA) strategies and technologies for monitoring indicators of the Mediterranean Montado multifunctional ecosystem, specific environmental results, namely on soil health and functionality or pasture productivity, quality, or biodiversity, in a holistic and sustainable approach. The use, calibration and validation of soil and pasture proximal sensors, animal GPS (global positioning system) receivers and satellite images opens perspectives to explore new solutions to respond to the new economic and environmental challenges and ensures the resilience of this ecosystem.</w:t>
      </w:r>
    </w:p>
    <w:p>
      <w:pPr/>
      <w:r>
        <w:rPr>
          <w:b/>
        </w:rPr>
        <w:t>POSSIBLE 2024:</w:t>
      </w:r>
      <w:r>
        <w:t xml:space="preserve"> RETRO-INNOVACIÓN, SOSTENIBILIDAD Y VIABILIDAD DE LA DEHESA ESPAÑOLA Y EL MONTADO PORTUGUÉS — https://doi.org/10.3232/ubr.2024.v21.n2.02</w:t>
      </w:r>
    </w:p>
    <w:p>
      <w:pPr/>
      <w:r>
        <w:rPr>
          <w:b/>
        </w:rPr>
        <w:t>Shared claim-specific concepts:</w:t>
      </w:r>
      <w:r>
        <w:t xml:space="preserve"> montado, use, case; EU scope not established. This is a provisional connection, not an outcome finding.</w:t>
      </w:r>
    </w:p>
    <w:p>
      <w:pPr>
        <w:pStyle w:val="SourceNote"/>
      </w:pPr>
      <w:r>
        <w:rPr>
          <w:b/>
        </w:rPr>
        <w:t>Available abstract (not full text):</w:t>
      </w:r>
      <w:r>
        <w:t xml:space="preserve"> Retro-innovation consists of the reintroduction of traditional techniques and processes to conserve the environment and exploit it economically in a sustainable manner. In the case of the dehesas of Extremadura and the portuguese montados, there are precedents of rational and sustainable exploitation, carried out by the hieronymite monks of the Monastery of Guadalupe between 1389 and 1835. By applying their techniques and processes in some of the current extremaduran dehesas, it has been possible to make their sustainable economic use viable. Key words: Retro-innovation; Extremaduran dehesa; Agricultural management; Sustainability; Economic viability. JEL CODES: N54, O39, Q15, Q57.</w:t>
      </w:r>
    </w:p>
    <w:p>
      <w:pPr/>
      <w:r>
        <w:rPr>
          <w:b/>
        </w:rPr>
        <w:t>POSSIBLE 2024:</w:t>
      </w:r>
      <w:r>
        <w:t xml:space="preserve"> Assessment of transdisciplinarity by its participants: the case of Tertúlias do Montado, Alentejo, Portugal — https://doi.org/10.1007/s11625-023-01451-9</w:t>
      </w:r>
    </w:p>
    <w:p>
      <w:pPr/>
      <w:r>
        <w:rPr>
          <w:b/>
        </w:rPr>
        <w:t>Shared claim-specific concepts:</w:t>
      </w:r>
      <w:r>
        <w:t xml:space="preserve"> area, montado, case, indicating; EU scope visible. This is a provisional connection, not an outcome finding.</w:t>
      </w:r>
    </w:p>
    <w:p>
      <w:pPr>
        <w:pStyle w:val="SourceNote"/>
      </w:pPr>
      <w:r>
        <w:rPr>
          <w:b/>
        </w:rPr>
        <w:t>Available abstract (not full text):</w:t>
      </w:r>
      <w:r>
        <w:t xml:space="preserve"> Abstract Evaluation plays a pivotal role in transdisciplinary (TD) research, often discussed during funding stages or when assessing project impacts. A few studies delve into the participant perspective when examining the quality of transdisciplinarity. Our work contributes to this area of assessment. Rather than providing a definitive definition of transdisciplinarity, we developed a questionnaire to evaluate a set of TD principles within a specific TD initiative. We collected insights from 100 individuals out of a pool of 200 participants engaged in a TD initiative since 2016. Given the long-term nature of the case study, our sample included both frequent and occasional participants. Using non-parametric statistical, we concluded that frequent participants express higher satisfaction with their involvement, identify more outcomes stemming from their participation, and assign greater importance to TD principles. These findings highlight the significant impact of investing in long-term TD initiatives. Additionally, our questionnaires featured open-ended questions to capture participants’ individual definition of the initiative, along with their perceived benefits and drawbacks. Through content analysis, we identified two distinct discourses: positivism and postpositivism. The positivist discourse predominantly features male participants over 60 years of age, primarily from the </w:t>
      </w:r>
    </w:p>
    <w:p>
      <w:pPr/>
      <w:r>
        <w:rPr>
          <w:b/>
        </w:rPr>
        <w:t>POSSIBLE 2024:</w:t>
      </w:r>
      <w:r>
        <w:t xml:space="preserve"> Sustainable Intensification of the Montado Ecosystem: Evaluation of Sheep Grazing Systems and Soil Amendment — https://doi.org/10.20944/preprints202403.1294.v1</w:t>
      </w:r>
    </w:p>
    <w:p>
      <w:pPr/>
      <w:r>
        <w:rPr>
          <w:b/>
        </w:rPr>
        <w:t>Shared claim-specific concepts:</w:t>
      </w:r>
      <w:r>
        <w:t xml:space="preserve"> show, montado; EU scope not established. This is a provisional connection, not an outcome finding.</w:t>
      </w:r>
    </w:p>
    <w:p>
      <w:pPr>
        <w:pStyle w:val="SourceNote"/>
      </w:pPr>
      <w:r>
        <w:rPr>
          <w:b/>
        </w:rPr>
        <w:t>Available abstract (not full text):</w:t>
      </w:r>
      <w:r>
        <w:t xml:space="preserve"> The objective of this study was to determine how application with dolomitic limestone and grazing type (continuous or deferred) affect sheep grazing location and feed preference when the pasture growth rate is maximum. A 4ha field was divided into 4 plots: P1 and P2- without application of dolomitic limestone, continuous (CG) and deferred grazing (DG), respectively; P3 and P4- with application of dolomitic limestone, DG (1AUE), and CG (2.4 AUE), respectively. In DG, animals were placed and removed from the plots depending on the height of the pasture. In each plot, 12 georeferenced sampling points were identified. Throughout the pasture's vegetative cycle (autumn, winter, spring, and early summer) several measurements of pasture height and cut were carried out. From the beginning of March to the beginning of June, animal behavior was observed, by trained observers, through binoculars on six dates. Animals' activity grazing and location was recorded. The results show that: (i) the application of dolomitic limestone combined with CG provided higher values of pasture height; (ii) there were no significant differences in pasture quality between treatments; (iii) Deferred grazing led to 50% more sheep grazing days than continuous grazing; (iv) there were no significant differences in soil compaction between CG and DG; (v) the type of grazing and the treatment with dolomitic limeston</w:t>
      </w:r>
    </w:p>
    <w:p>
      <w:pPr/>
      <w:r>
        <w:rPr>
          <w:b/>
        </w:rPr>
        <w:t>POSSIBLE 2023:</w:t>
      </w:r>
      <w:r>
        <w:t xml:space="preserve"> Reduced grazing and changes in the area of agroforestry in Europe — https://doi.org/10.3389/fenvs.2023.1258697</w:t>
      </w:r>
    </w:p>
    <w:p>
      <w:pPr/>
      <w:r>
        <w:rPr>
          <w:b/>
        </w:rPr>
        <w:t>Shared claim-specific concepts:</w:t>
      </w:r>
      <w:r>
        <w:t xml:space="preserve"> show, area, but, land, use; EU scope visible. This is a provisional connection, not an outcome finding.</w:t>
      </w:r>
    </w:p>
    <w:p>
      <w:pPr>
        <w:pStyle w:val="SourceNote"/>
      </w:pPr>
      <w:r>
        <w:rPr>
          <w:b/>
        </w:rPr>
        <w:t>Available abstract (not full text):</w:t>
      </w:r>
      <w:r>
        <w:t xml:space="preserve"> Agroforestry integrates woody vegetation with crop and/or livestock production to benefit from the ecological and economic interactions. The objective of this paper is to systematically determine the spatial distribution of agroforestry in the EU, and changes in the areas and types of agroforestry from 2009 to 2018. This was achieved using the Land Use/Cover Area Statistical (LUCAS) dataset. Agroforestry was categorised into silvopastoral, silvoarable, agrosilvopastoral, grazed permanent crops, intercropped permanent crops and kitchen gardens systems. In our categorisation of ‘agroforestry’, sites combing trees and shrubs with understorey grass or forage were required to show evidence of grazing. In 2018, the total area of agroforestry in the EU28 was 114,621 km2 equivalent to 6.4% of the utilised agricultural area (UAA), and a majority located in the Mediterranean bioregion. Silvopastoral was the most widespread system, representing 81% of the total agroforestry area (5% of UAA), with almost a third of that area present in Spain. An initial analysis of the LUCAS data suggested that the area of agroforestry increased from 2009 to 2012, before declining from 2012 to 2018. However our subsequent analysis suggests that the area of agroforestry in 2009 was underestimated due to a mis-categorisation of some grazing areas. After making corrections, we calculated that the area of agro</w:t>
      </w:r>
    </w:p>
    <w:p>
      <w:pPr>
        <w:pStyle w:val="Heading2"/>
      </w:pPr>
      <w:r>
        <w:t>907. Assessing the prospective resource base for enhanced geothermal systems in Europe</w:t>
      </w:r>
    </w:p>
    <w:p>
      <w:pPr>
        <w:pStyle w:val="SourceNote"/>
      </w:pPr>
      <w:r>
        <w:rPr>
          <w:b/>
        </w:rPr>
        <w:t>Original source (2014):</w:t>
      </w:r>
      <w:r>
        <w:t xml:space="preserve"> https://doi.org/10.5194/gtes-2-55-2014</w:t>
      </w:r>
    </w:p>
    <w:p>
      <w:pPr/>
      <w:r>
        <w:t>Original wording (abstract; indexed_source_text_not_full_document_verified): In this study the resource base for EGS (enhanced geothermal systems) in Europe was quantified and economically constrained, applying a discounted cash-flow model to different techno-economic scenarios for future EGS in 2020, 2030, and 2050. Calculations for a typical EGS scenario yield costs of EUR 215 MWh−1 in 2020, EUR 127 MWh−1 in 2030, and EUR 70 MWh−1 in 2050.</w:t>
      </w:r>
    </w:p>
    <w:p>
      <w:pPr/>
      <w:r>
        <w:rPr>
          <w:b/>
        </w:rPr>
        <w:t>POSSIBLE 2026:</w:t>
      </w:r>
      <w:r>
        <w:t xml:space="preserve"> Seismic interplay during the GRT-1 stimulation series of the Rittershoffen EGS reservoir — https://doi.org/10.3389/feart.2026.1738377</w:t>
      </w:r>
    </w:p>
    <w:p>
      <w:pPr/>
      <w:r>
        <w:rPr>
          <w:b/>
        </w:rPr>
        <w:t>Shared claim-specific concepts:</w:t>
      </w:r>
      <w:r>
        <w:t xml:space="preserve"> egs, geothermal, applying, different; EU scope visible. This is a provisional connection, not an outcome finding.</w:t>
      </w:r>
    </w:p>
    <w:p>
      <w:pPr>
        <w:pStyle w:val="SourceNote"/>
      </w:pPr>
      <w:r>
        <w:rPr>
          <w:b/>
        </w:rPr>
        <w:t>Available abstract (not full text):</w:t>
      </w:r>
      <w:r>
        <w:t xml:space="preserve"> Between April and June 2013, the GRT-1 well, located at the Rittershoffen EGS geothermal site in the Upper Rhine Valley (France), underwent three distinct stimulations: a thermal stimulation, a chemical stimulation, and finally a hydraulic stimulation. These stimulations, in particular the hydraulic stimulation, have been previously explored by several studies. The current study addresses a feature that has been less analyzed: the possible seismic interplay between these stimulations. By applying improved template matching and a relative location method, a comprehensive catalog of more than 3000 seismic events was established, covering the three stimulations. This catalog allows tracking and comparison of reservoir seismogenic responses to successive, yet different, stimulation types with high spatial and temporal precision. We present the evolution of several indicators such as event distribution and clustering, b-value, and seismic injection efficiency across the stimulations. The observed differences raise the question of the relevance of using previous stimulation indicators to anticipate seismogenic behavior during subsequent stimulations. We also evidence simultaneous seismicity migration, decrease of the instantaneous injection index and decrease of the seismic efficiency at the end of the hydraulic stimulation but prior to the most energetic burst of seismicity that occ</w:t>
      </w:r>
    </w:p>
    <w:p>
      <w:pPr/>
      <w:r>
        <w:rPr>
          <w:b/>
        </w:rPr>
        <w:t>POSSIBLE 2026:</w:t>
      </w:r>
      <w:r>
        <w:t xml:space="preserve"> Policy levers and technological opportunities to achieve decarbonisation in Europe at minimal cost — https://doi.org/10.7488/era/7048</w:t>
      </w:r>
    </w:p>
    <w:p>
      <w:pPr/>
      <w:r>
        <w:rPr>
          <w:b/>
        </w:rPr>
        <w:t>Shared claim-specific concepts:</w:t>
      </w:r>
      <w:r>
        <w:t xml:space="preserve"> egs, enhanced, geothermal, systems, economically, different; EU scope visible. This is a provisional connection, not an outcome finding.</w:t>
      </w:r>
    </w:p>
    <w:p>
      <w:pPr>
        <w:pStyle w:val="SourceNote"/>
      </w:pPr>
      <w:r>
        <w:rPr>
          <w:b/>
        </w:rPr>
        <w:t>Available abstract (not full text):</w:t>
      </w:r>
      <w:r>
        <w:t xml:space="preserve"> Energy systems must shift their supply from fossil fuels to carbon-neutral technologies. At the same time, they are subject to substantial economic pressure, as only minimal to moderate consumer cost increases can erode most of the energy transition’s political support. Rapid cost reductions in solar photovoltaics and wind generators have rendered them the transition’s backbone, pulling electrification into transport and heating, but also increasing system complexity through inter-sectoral energy flows and non-dispatchable generators. Therefore, whole-system energy research, focused on minimising transition costs, also faces new complexities through the interplay of heterogeneous technologies, intermittency, and spatial constraints, all in the context of evolving policy frameworks. Models that can address these problems are essential for high-level decisions because technology competitiveness, infrastructure roll-out, and market designs may need, or are already undergoing, a fundamental overhaul as a result of the changing nature of energy supply. Such energy-system research is sometimes conducted with proprietary, GUI-oriented software and associated workflows, which can be less well suited to large-scale, reproducible analysis. Two aspects are particularly relevant. First, these workflows do not always take full advantage of the highly optimised, programmatic tooling that has</w:t>
      </w:r>
    </w:p>
    <w:p>
      <w:pPr/>
      <w:r>
        <w:rPr>
          <w:b/>
        </w:rPr>
        <w:t>POSSIBLE 2025:</w:t>
      </w:r>
      <w:r>
        <w:t xml:space="preserve"> Feasibility of Enhanced Geothermal Systems (EGS) Development at Bradys Hot Springs, Nevada — https://doi.org/10.2172/3021439</w:t>
      </w:r>
    </w:p>
    <w:p>
      <w:pPr/>
      <w:r>
        <w:rPr>
          <w:b/>
        </w:rPr>
        <w:t>Shared claim-specific concepts:</w:t>
      </w:r>
      <w:r>
        <w:t xml:space="preserve"> egs, enhanced, geothermal, systems; EU scope not established. This is a provisional connection, not an outcome finding.</w:t>
      </w:r>
    </w:p>
    <w:p>
      <w:pPr>
        <w:pStyle w:val="SourceNote"/>
      </w:pPr>
      <w:r>
        <w:rPr>
          <w:b/>
        </w:rPr>
        <w:t>Available abstract (not full text):</w:t>
      </w:r>
      <w:r>
        <w:t xml:space="preserve"> The Bradys EGS project focused on utilizing EGS technology to improve permeability in an existing non-productive well (15-12 ST1, located on BLM land) at Ormat’s Bradys geothermal facility in Churchill County, Nevada. The Bradys geothermal field is located within the Hot Springs Mountains, approximately 50 miles northeast of Reno, NV, along the western boundary of a very large intermontane basin known as the Carson Sink. It is one of several producing geothermal areas in the region; the Desert Peak, Stillwater, Soda Lake, and Salt Wells geothermal projects also lie within the Carson Sink, which is a region of high heat flow characterized by prominent NNE-striking faults that have formed in response to regional extension within the Basin and Range geologic province.</w:t>
      </w:r>
    </w:p>
    <w:p>
      <w:pPr/>
      <w:r>
        <w:rPr>
          <w:b/>
        </w:rPr>
        <w:t>POSSIBLE 2025:</w:t>
      </w:r>
      <w:r>
        <w:t xml:space="preserve"> CRM-geothermal Database: Geoscientific and Geochemical Data on Geothermal Systems, with Emphasis on Fluids and Critical Raw Materials in Europe and Eastern Africa — https://doi.org/10.5880/fidgeo.2026.012</w:t>
      </w:r>
    </w:p>
    <w:p>
      <w:pPr/>
      <w:r>
        <w:rPr>
          <w:b/>
        </w:rPr>
        <w:t>Shared claim-specific concepts:</w:t>
      </w:r>
      <w:r>
        <w:t xml:space="preserve"> resource, geothermal, systems; EU scope visible. This is a provisional connection, not an outcome finding.</w:t>
      </w:r>
    </w:p>
    <w:p>
      <w:pPr>
        <w:pStyle w:val="SourceNote"/>
      </w:pPr>
      <w:r>
        <w:rPr>
          <w:b/>
        </w:rPr>
        <w:t>Available abstract (not full text):</w:t>
      </w:r>
      <w:r>
        <w:t xml:space="preserve"> The CRM-geothermal database was created within the Horizon Europe CRM-geothermal project (Grant Agreement No. 101058163) to support the assessment of geothermal systems as sources of both renewable energy and critical raw materials (CRMs). The primary purpose of data collection was to compile, harmonise, and make openly available geoscientific and geochemical data relevant to the occurrence, enrichment, and potential co-production of CRMs from geothermal environments in Europe and East Africa. The database integrates legacy data compiled from peer-reviewed literature, national geological and geothermal databases, and previous European research projects (notably REFLECT), together with new data generated by project partners through field sampling and laboratory analyses. Sampling campaigns targeted geothermal wells and surface manifestations in selected regions, including Türkiye, the East African Rift (Kenya, Tanzania, Malawi), Cornwall (UK), and Iceland. Laboratory analyses include major ion chemistry, trace and critical element concentrations, mineralogical composition, and gas data, determined using methods such as ICP-MS, XRF, and XRD. All records were harmonised using a unified metadata schema, standardised units, and consistent reporting formats. Quality control involved automated validation routines and manual expert review. Each record includes spatial coordinates, samp</w:t>
      </w:r>
    </w:p>
    <w:p>
      <w:pPr/>
      <w:r>
        <w:rPr>
          <w:b/>
        </w:rPr>
        <w:t>POSSIBLE 2025:</w:t>
      </w:r>
      <w:r>
        <w:t xml:space="preserve"> The Horizon Europe CRM-geothermal project: Deliverable 1.3 – Online GIS-based CRM-geothermal Fluid Atlas for Europe and Eastern Africa — https://doi.org/10.5281/zenodo.17497574</w:t>
      </w:r>
    </w:p>
    <w:p>
      <w:pPr/>
      <w:r>
        <w:rPr>
          <w:b/>
        </w:rPr>
        <w:t>Shared claim-specific concepts:</w:t>
      </w:r>
      <w:r>
        <w:t xml:space="preserve"> resource, geothermal, systems, different; EU scope visible. This is a provisional connection, not an outcome finding.</w:t>
      </w:r>
    </w:p>
    <w:p>
      <w:pPr>
        <w:pStyle w:val="SourceNote"/>
      </w:pPr>
      <w:r>
        <w:rPr>
          <w:b/>
        </w:rPr>
        <w:t>Available abstract (not full text):</w:t>
      </w:r>
      <w:r>
        <w:t xml:space="preserve"> Deliverable D1.3 presents the CRM-geothermal Fluid Atlas, an interactive, GIS-based online platform that visualises and integrates geospatial and geochemical data related to geothermal fluids and associated critical raw materials (CRMs) across Europe and Eastern Africa. The Atlas represents the third major outcome of Work Package 1, building directly upon the data harmonisation (D1.1) (Seres et al. 2024) and database publication (D1.2) (Seres et al. 2025). It transforms the harmonised datasets of the CRM-geothermal database into a spatially oriented, user-friendly tool that enables exploration, comparison, and interpretation of CRM-relevant geothermal data in a geoscientific context. The Atlas combines legacy data from literature and previous projects with newly generated datasets obtained during CRM-geothermal field campaigns and laboratory analyses. It provides an integrated visualisation of geochemical, geological, and geothermal information across regions of strategic interest for CRM recovery and geothermal development. The CRM-geothermal Fluid Atlas integrates and visualises multiple data layers, including site locations, geothermal wells, fluid samples, rock and scale compositions, and selected CRM concentrations. Each data point on the map is linked to its corresponding metadata record and DOI, enabling users to trace data provenance, citation, and licensing information</w:t>
      </w:r>
    </w:p>
    <w:p>
      <w:pPr/>
      <w:r>
        <w:rPr>
          <w:b/>
        </w:rPr>
        <w:t>POSSIBLE 2025:</w:t>
      </w:r>
      <w:r>
        <w:t xml:space="preserve"> Enhanced geothermal systems for clean firm energy generation — https://doi.org/10.1038/s44359-024-00019-9</w:t>
      </w:r>
    </w:p>
    <w:p>
      <w:pPr/>
      <w:r>
        <w:rPr>
          <w:b/>
        </w:rPr>
        <w:t>Shared claim-specific concepts:</w:t>
      </w:r>
      <w:r>
        <w:t xml:space="preserve"> egs, enhanced, geothermal, systems, constrained, mwh; EU scope visible. This is a provisional connection, not an outcome finding.</w:t>
      </w:r>
    </w:p>
    <w:p>
      <w:pPr>
        <w:pStyle w:val="SourceNote"/>
      </w:pPr>
      <w:r>
        <w:rPr>
          <w:b/>
        </w:rPr>
        <w:t>Available abstract (not full text):</w:t>
      </w:r>
      <w:r>
        <w:t xml:space="preserve"> Geothermal energy provides clean, steady and renewable electricity and heat, but the use of geothermal energy has conventionally been constrained to locations with adequate subsurface heat and fluid flow. Enhanced geothermal systems (EGS) enable geothermal energy usage in unconventional areas by enhancing the subsurface permeability and increasing fluid flow, which is then extracted as a carrier of the thermal energy. In this Review, we discuss the development of EGS and its role in providing energy. Some EGS are operating commercially in Europe and provide heat and/or electricity, but technical issues and concerns over induced seismicity have historically hindered the broader expansion of EGS. Adaptation of advanced drilling techniques (including the use of polycrystalline diamond compact bits, multiwell drilling pads, horizontal drilling and multistage stimulation) is enabling an increase in scale and decrease in cost of EGS projects. As a result, in the USA, enhanced geothermal is expected to achieve plant capital costs (US$4,500 kW−1) and a levelized cost of electricity (US$80 MWh−1) that are competitive with market electricity prices by 2027. With further development of EGS to manage induced seismicity risk and increase system flexibility, EGS could provide stable baseload and potentially dispatchable electricity in clean energy systems. Enhanced geothermal systems can pro</w:t>
      </w:r>
    </w:p>
    <w:p>
      <w:pPr/>
      <w:r>
        <w:rPr>
          <w:b/>
        </w:rPr>
        <w:t>POSSIBLE 2025:</w:t>
      </w:r>
      <w:r>
        <w:t xml:space="preserve"> Two Examples of New Possibilities for Geothermal Energy: CEEGS and CRM-Geothermal Projects — https://doi.org/10.3997/2214-4609.2025101206</w:t>
      </w:r>
    </w:p>
    <w:p>
      <w:pPr/>
      <w:r>
        <w:rPr>
          <w:b/>
        </w:rPr>
        <w:t>Shared claim-specific concepts:</w:t>
      </w:r>
      <w:r>
        <w:t xml:space="preserve"> resource, geothermal, systems; EU scope visible. This is a provisional connection, not an outcome finding.</w:t>
      </w:r>
    </w:p>
    <w:p>
      <w:pPr>
        <w:pStyle w:val="SourceNote"/>
      </w:pPr>
      <w:r>
        <w:rPr>
          <w:b/>
        </w:rPr>
        <w:t>Available abstract (not full text):</w:t>
      </w:r>
      <w:r>
        <w:t xml:space="preserve"> Summary Innovative projects like CEEGS (CO2-based Electrothermal Energy and Geological Storage Systems) and CRM-Geothermal projects are a part of exploring and expanding new applications for geothermal energy, in line with the EU priorities of reducing fossil fuel consumption and achieving zero CO2 emissions by integrating renewable resources into the energy mix. CEEGS focuses on using a transcritical CO2 cycle for underground energy storage and CO2 sequestration, aiming for a negative carbon footprint and versatile energy applications. It consists of three development phases: demonstrating feasibility, building a powerful demonstrator, and achieving commercial viability. On the other hand, CRM-Geothermal seeks to extract critical raw materials from geothermal fluids. This method addresses the EU’s need for strategic resource autonomy while minimizing environmental impacts and carbon footprints compared to conventional mining. The project will develop a comprehensive database of critical raw materials and establish sustainable extraction technologies. Both projects highlight the broader potential of geothermal energy for sustainable development, aligning with the European Green Deal and climate change initiatives. The CEEGS project aims to enhance energy storage solutions, while CRM-Geothermal integrates raw material extraction with geothermal energy utilization. Together, they</w:t>
      </w:r>
    </w:p>
    <w:p>
      <w:pPr/>
      <w:r>
        <w:rPr>
          <w:b/>
        </w:rPr>
        <w:t>POSSIBLE 2025:</w:t>
      </w:r>
      <w:r>
        <w:t xml:space="preserve"> Numerical Modeling of Potential CO2-Fed Enhanced Geothermal System (CO2-EGS) in the Gorzów Block, Poland — https://doi.org/10.3390/en18184825</w:t>
      </w:r>
    </w:p>
    <w:p>
      <w:pPr/>
      <w:r>
        <w:rPr>
          <w:b/>
        </w:rPr>
        <w:t>Shared claim-specific concepts:</w:t>
      </w:r>
      <w:r>
        <w:t xml:space="preserve"> egs, enhanced, geothermal; EU scope visible. This is a provisional connection, not an outcome finding.</w:t>
      </w:r>
    </w:p>
    <w:p>
      <w:pPr>
        <w:pStyle w:val="SourceNote"/>
      </w:pPr>
      <w:r>
        <w:rPr>
          <w:b/>
        </w:rPr>
        <w:t>Available abstract (not full text):</w:t>
      </w:r>
      <w:r>
        <w:t xml:space="preserve"> This article presents the results of numerical modeling for a hypothetical CO2-EGS system in the volcanic rocks of the Gorzów Block, Poland. Modeling was carried out in the following stages: in phase 0, modeling of the fracturing process was performed, as a result of which the permeability distribution for the newly created fractured zone was obtained. Next, the process of saturating the EGS reservoir with CO2 was modeled until pure CO2 could enter the production well (phase 1). Then, a multi-variant simulation of heat production was performed (phase 2). The obtained results allowed for drawing interesting conclusions: (1) the duration of phase 1 may take several years unless a sufficiently high injection rate of CO2 is supplied, (2) the higher the injection rate of CO2, the lower the cumulative storage ratio of CO2, and (3) most of the CO2 storage in the formation takes place in phase 1, while even 92% of the CO2 injected in phase 2 can be recovered via the production well. Despite the environmental benefits connected with structural trapping of CO2, the Gorzów Block has probably too low formation temperature (145 °C) and too low stimulated volume (~0.1 km3) to deliver satisfactory and stable thermal output.</w:t>
      </w:r>
    </w:p>
    <w:p>
      <w:pPr/>
      <w:r>
        <w:rPr>
          <w:b/>
        </w:rPr>
        <w:t>POSSIBLE 2024:</w:t>
      </w:r>
      <w:r>
        <w:t xml:space="preserve"> Using Particle Swarm Optimization with Backpropagation Neural Networks and Analytic Hierarchy Process to Optimize the Power Generation Performance of Enhanced Geothermal System (EGS) — https://doi.org/10.3390/w16030509</w:t>
      </w:r>
    </w:p>
    <w:p>
      <w:pPr/>
      <w:r>
        <w:rPr>
          <w:b/>
        </w:rPr>
        <w:t>Shared claim-specific concepts:</w:t>
      </w:r>
      <w:r>
        <w:t xml:space="preserve"> egs, enhanced, geothermal, systems, different; EU scope not established. This is a provisional connection, not an outcome finding.</w:t>
      </w:r>
    </w:p>
    <w:p>
      <w:pPr>
        <w:pStyle w:val="SourceNote"/>
      </w:pPr>
      <w:r>
        <w:rPr>
          <w:b/>
        </w:rPr>
        <w:t>Available abstract (not full text):</w:t>
      </w:r>
      <w:r>
        <w:t xml:space="preserve"> The optimization of the production scheme for enhanced geothermal systems (EGS) in geothermal fields is crucial for enhancing heat production efficiency and prolonging the lifespan of thermal reservoirs. In this study, the 4100–4300 m granite diorite stratum in the Zhacang geothermal field was taken as the target stratum to establish a numerical model of water-heat coupling of three vertical wells. However, relying solely on numerical simulation for optimization is time-consuming and challenging for the determination of the globally optimal production plan. The present study proposes a comprehensive evaluation method for optimizing the performance of EGS power generation based on the integration of particle swarm optimization with backpropagation neural network (PSO-BPNN) and analytic hierarchy process (AHP). Five different PSO-BPNN models were constructed based on the numerical simulation data to predict different EGS power generation performance indexes, including the production temperature, the injection pressure, the total electricity generation, the electric energy efficiency and the levelized cost of electricity. Based on these PSO-BPNN models, the weights of various thermal development evaluation indexes were calculated by AHP to conduct a comprehensive evaluation of the power generation performance of the three vertical wells EGS. The results show that the PSO-BPNN mode</w:t>
      </w:r>
    </w:p>
    <w:p>
      <w:pPr/>
      <w:r>
        <w:rPr>
          <w:b/>
        </w:rPr>
        <w:t>POSSIBLE 2023:</w:t>
      </w:r>
      <w:r>
        <w:t xml:space="preserve"> EGS development in Europe based on operational geothermal projects — https://doi.org/10.1201/9781003271475-2</w:t>
      </w:r>
    </w:p>
    <w:p>
      <w:pPr/>
      <w:r>
        <w:rPr>
          <w:b/>
        </w:rPr>
        <w:t>Shared claim-specific concepts:</w:t>
      </w:r>
      <w:r>
        <w:t xml:space="preserve"> resource, egs, enhanced, geothermal, systems; EU scope visible. This is a provisional connection, not an outcome finding.</w:t>
      </w:r>
    </w:p>
    <w:p>
      <w:pPr>
        <w:pStyle w:val="SourceNote"/>
      </w:pPr>
      <w:r>
        <w:rPr>
          <w:b/>
        </w:rPr>
        <w:t>Available abstract (not full text):</w:t>
      </w:r>
      <w:r>
        <w:t xml:space="preserve"> Enhanced geothermal systems (EGS) appear as a tangible solution for developing decarbonized electricity production and/or renewable heat at high temperatures for industry in Europe. Based on operational geothermal plants (Soultz-sous-Forêts, Rittershoffen) located in the Upper Rhine Graben (URG), it turns out that thermo-hydro or chemical stimulation techniques could be applied to naturally fractured reservoirs to enhance the hydraulic performance of the geothermal wells. However, the main challenge for EGS is the potential occurrence of induced seismicity related to post-drilling hydraulic stimulation or done during sustainable geothermal exploitation, which could generate severe societal concerns. Moreover, after several years of geothermal exploitation in the URG, there is a very low environmental impact characterized by negligible carbon dioxide emissions. As the exploited geothermal resource trapped in the fractured crystalline reservoirs is a Li-rich brine, it is likely in the near future that geothermal lithium for batteries could be produced with a neutral carbon footprint.</w:t>
      </w:r>
    </w:p>
    <w:p>
      <w:pPr/>
      <w:r>
        <w:rPr>
          <w:b/>
        </w:rPr>
        <w:t>POSSIBLE 2023:</w:t>
      </w:r>
      <w:r>
        <w:t xml:space="preserve"> Geothermal Resources of European Continent: A Regional Assessment — https://doi.org/10.31214/ijthfa.v6i1.98</w:t>
      </w:r>
    </w:p>
    <w:p>
      <w:pPr/>
      <w:r>
        <w:rPr>
          <w:b/>
        </w:rPr>
        <w:t>Shared claim-specific concepts:</w:t>
      </w:r>
      <w:r>
        <w:t xml:space="preserve"> resource, base, geothermal; EU scope visible. This is a provisional connection, not an outcome finding.</w:t>
      </w:r>
    </w:p>
    <w:p>
      <w:pPr>
        <w:pStyle w:val="SourceNote"/>
      </w:pPr>
      <w:r>
        <w:rPr>
          <w:b/>
        </w:rPr>
        <w:t>Available abstract (not full text):</w:t>
      </w:r>
      <w:r>
        <w:t xml:space="preserve"> A regional assessment of geothermal resources of the continental region of Europe is attempted in the present work. It is based on results of observational data on heat transfer by conduction as well as hydrothermal and magmatic processes in the upper crust and makes use of geothermal data reported at the website of IHFC and also estimates based on available information on occurrences thermal springs and volcanic events. The resource assessment has been carried out for 8109 sites distributed in 39 countries. These datasets were reevaluated and spatially gridded using kigrid interpolation to construction of regional distribution maps of geothermal resources and interpreted on the basis of available information on tectonic setting and geological characteristics. The estimates for volcanic areas are based on a modified method of magmatic heat budget (MHB). has been employed in deriving estimates of geothermal resources in areas of recent volcanic activity. According to results obtained the total resource base (RB) at 6km on depth is estimated to be 8.653.306 ± 7 GJ. The mean resource base per unit area (RBUA) is ~ 985 GJ. The prominent features in geothermal maps are the presence of localities with significantly high values of resource base greater than 2000 GJ in countries such as Russia, Italy, Iceland, and west Norway. In addition, vertical distributions of temperatures were ca</w:t>
      </w:r>
    </w:p>
    <w:p>
      <w:pPr/>
      <w:r>
        <w:rPr>
          <w:b/>
        </w:rPr>
        <w:t>POSSIBLE 2023:</w:t>
      </w:r>
      <w:r>
        <w:t xml:space="preserve"> Study on permeability evolution and damage mechanism along the EGS fracture in heat mining stage under thermal stress/cracking — https://doi.org/10.1186/s40517-023-00274-2</w:t>
      </w:r>
    </w:p>
    <w:p>
      <w:pPr/>
      <w:r>
        <w:rPr>
          <w:b/>
        </w:rPr>
        <w:t>Shared claim-specific concepts:</w:t>
      </w:r>
      <w:r>
        <w:t xml:space="preserve"> egs, enhanced, geothermal; EU scope not established. This is a provisional connection, not an outcome finding.</w:t>
      </w:r>
    </w:p>
    <w:p>
      <w:pPr>
        <w:pStyle w:val="SourceNote"/>
      </w:pPr>
      <w:r>
        <w:rPr>
          <w:b/>
        </w:rPr>
        <w:t>Available abstract (not full text):</w:t>
      </w:r>
      <w:r>
        <w:t xml:space="preserve"> Abstract As main heat exchange channel in enhanced geothermal system, the evolution of hydraulic conductivity in fracture is significance for efficient heat mining. For the thermal stress or thermal cracking spontaneously induced by the temperature difference between low-temperature fluid and hot rock in heat mining stage, it is necessary to explore the damage mechanism along EGS fracture and the corresponding permeability evolution. Firstly, the long-term permeability tests under high temperature (50–200 ℃) were conducted by the self-developed high temperature seepage experimental device. Then, a coupled THM-D model was constructed to describe the damage distribution along fracture. Combined with experimental and simulation results, relationship between the thermal stress/cracking and the evolution of fracture permeability is revealed. The results indicate that during high-temperature (200 ℃) experiments, the fracture permeability first increases rapidly under the low-temperature induced thermal stress/cracking, then decreases due to the blockage effect induced by the debris particles generated in thermal cracking along fracture. The enhancement of injection velocity and heterogeneity are all conducive to the emergence of thermal cracking in matrix along fracture. Simultaneously, high confining pressure has a negative effect on the migration of debris particles of thermal crac</w:t>
      </w:r>
    </w:p>
    <w:p>
      <w:pPr>
        <w:pStyle w:val="Heading2"/>
      </w:pPr>
      <w:r>
        <w:t>908. Climate change signal of future climate projections for Aachen, Germany, in terms of temperature and precipitation</w:t>
      </w:r>
    </w:p>
    <w:p>
      <w:pPr>
        <w:pStyle w:val="SourceNote"/>
      </w:pPr>
      <w:r>
        <w:rPr>
          <w:b/>
        </w:rPr>
        <w:t>Original source (2014):</w:t>
      </w:r>
      <w:r>
        <w:t xml:space="preserve"> https://doi.org/10.1127/0941-2948/2014/0549</w:t>
      </w:r>
    </w:p>
    <w:p>
      <w:pPr/>
      <w:r>
        <w:t>Original wording (abstract; indexed_source_text_not_full_document_verified): A multi-model ensemble of regional climate projections is used to estimate the climate change signal in terms of temperature and precipitation for the city of Aachen, Germany, until the end of the current century.Since the combination of heat and high moisture content in the ambient air is assumed to adversely affect human health, the equivalent temperature is employed as an indicator for heat stress and applied to identify heat waves.As prolonged periods of high temperatures may also cause summer drought, summer precipitation and dry periods are analyzed as well.The study refers to regional climate projections (A1B emission scenario) of the statistical climate models STARII and WETTREG and the dynamical climate models REMO and COSMO-CLM.The model outputs are compared a) with each other in order to assess discrepancies between them and b) with the 30-year baseline period of 1971-2000 in order to estimate future changes in heat load and precipitation patterns for the summer months of June, July and August.Based on median realizations of the model runs, further warming of approximately 1-2 K is expected by the middle of the 21 st century and 3-4 K by 2100.These changes will probably be accompanied by an increase in variance.Maximum temperature shows the greatest enhancement (+1.9 K 2031-2060 and 4.3 K 2071-2100, ensemble mean) causing almost a doubling of (extreme) hot days and a trebling of tropical nights as soon as the middle of the century.According to this temperature development heat waves are likely to last longer and occur more often in future whereas their intensity is not expected to change significantly.An increasing number of heat waves is concurrent with a decreasing amount of rainfall in the summer months until 2100.All four climate projections indicate a decrease in precipitation in summer until 2100 with -17 % on average.The highest decrease is shown by COSMO-CLM with -30 % rainfall in June for the period of 2071-2100.Dry periods are expected to occur 3 times more often at the end of the current century and to last longer by 1 day (COSMO-CLM) to 3 days (WETTREG) compared to the period of 1971-2000.</w:t>
      </w:r>
    </w:p>
    <w:p>
      <w:pPr/>
      <w:r>
        <w:rPr>
          <w:b/>
        </w:rPr>
        <w:t>POSSIBLE 2026:</w:t>
      </w:r>
      <w:r>
        <w:t xml:space="preserve"> Intercomparison of a Regional Climate Model Ensemble for Selected European Catchments — https://doi.org/10.1002/joc.70554</w:t>
      </w:r>
    </w:p>
    <w:p>
      <w:pPr/>
      <w:r>
        <w:rPr>
          <w:b/>
        </w:rPr>
        <w:t>Shared claim-specific concepts:</w:t>
      </w:r>
      <w:r>
        <w:t xml:space="preserve"> ensemble, regional, climate, temperature, precipitation; EU scope visible. This is a provisional connection, not an outcome finding.</w:t>
      </w:r>
    </w:p>
    <w:p>
      <w:pPr>
        <w:pStyle w:val="SourceNote"/>
      </w:pPr>
      <w:r>
        <w:rPr>
          <w:b/>
        </w:rPr>
        <w:t>Available abstract (not full text):</w:t>
      </w:r>
      <w:r>
        <w:t xml:space="preserve"> ABSTRACT Understanding regional hydroclimatic variability and its drivers is essential to anticipate the impacts of climate change on water resources and sustainability. Yet, considerable uncertainty remains in the simulation of the coupled land–atmosphere water and energy cycles, largely due to structural model limitations, simplified process representations, and insufficient spatial resolution. Within the framework of the Collaborative Research Centre 1502 (CRC1502), this study presents a coordinated intercomparison of regional climate model simulations designed for water cycle process analysis over Europe. We analyse the performance of simulations using the ICON and TSMP1 model systems and covering the period 1990–2020, comparing against reference datasets (E‐OBS, GPCC, and GLEAM). We focus on 2‐m air temperature, precipitation and evapotranspiration over four representative basins—the Ebro, Po, Rhine, and Tisa—within the EURO‐CORDEX domain. Our analysis reveals systematic cold biases throughout most of Europe, with ICON generally outperforming TSMP1. ICON simulations exhibit heterogeneous performance in precipitation biases, with less overestimation than TSMP1, but still reflecting the persistent challenge of accurately simulating precipitation. TSMP1 and ICON generally agree on positive ET biases in southern and western Europe and negative biases in the north and east, wit</w:t>
      </w:r>
    </w:p>
    <w:p>
      <w:pPr/>
      <w:r>
        <w:rPr>
          <w:b/>
        </w:rPr>
        <w:t>POSSIBLE 2026:</w:t>
      </w:r>
      <w:r>
        <w:t xml:space="preserve"> New gridded large multi-model ensembles of empirical-statistical downscaling results — https://doi.org/10.5194/ems2026-443</w:t>
      </w:r>
    </w:p>
    <w:p>
      <w:pPr/>
      <w:r>
        <w:rPr>
          <w:b/>
        </w:rPr>
        <w:t>Shared claim-specific concepts:</w:t>
      </w:r>
      <w:r>
        <w:t xml:space="preserve"> multi-model, ensemble, regional, climate, terms, temperature; EU scope visible. This is a provisional connection, not an outcome finding.</w:t>
      </w:r>
    </w:p>
    <w:p>
      <w:pPr>
        <w:pStyle w:val="SourceNote"/>
      </w:pPr>
      <w:r>
        <w:rPr>
          <w:b/>
        </w:rPr>
        <w:t>Available abstract (not full text):</w:t>
      </w:r>
      <w:r>
        <w:t xml:space="preserve"> Downscaled multi-model ensemble mean and standard deviation through empirical-statistical downscaling have been gridded to a 5 arc-minute spatial resolution (~5km) for key seasonal temperature and precipitation statistics for the Barents Sea region, the Nordic countries, Europe, and other parts of the world. The downscaling has made use of a common EOF basis for ensuring a good representation of the predictors in terms of their spatio-temporal covariance structure, and for facilitating a quality control of the predictors. The downscaled key statistical parameters provide information about daily variables, such as the number of days with heavy precipitation. One objective has been to derive robust and reliable data, and ensemble sizes of hundreds of runs based on multiple global climate models provide a basis for robust estimates, since the addition of exclusion of a few runs don’t change the results significantly. The downscaled results also provide reliable information on temperature and precipitation, and the reliability of the results is tested against ensemble spread properties as well as the consistency between the ensemble members and the observed evolution for a common historical period. Three diagnostics are included in the netCDF files which indicate how close the ensemble spread is to being normal, how similar the historical trends are, and how the observed interannua</w:t>
      </w:r>
    </w:p>
    <w:p>
      <w:pPr/>
      <w:r>
        <w:rPr>
          <w:b/>
        </w:rPr>
        <w:t>POSSIBLE 2026:</w:t>
      </w:r>
      <w:r>
        <w:t xml:space="preserve"> The PROMES Regional Climate Model: Three Decades of Development and Contributions to Regional Climate Ensemble Research — https://doi.org/10.3390/geosciences16100423</w:t>
      </w:r>
    </w:p>
    <w:p>
      <w:pPr/>
      <w:r>
        <w:rPr>
          <w:b/>
        </w:rPr>
        <w:t>Shared claim-specific concepts:</w:t>
      </w:r>
      <w:r>
        <w:t xml:space="preserve"> multi-model, ensemble, regional, climate, projections, signal; EU scope visible. This is a provisional connection, not an outcome finding.</w:t>
      </w:r>
    </w:p>
    <w:p>
      <w:pPr>
        <w:pStyle w:val="SourceNote"/>
      </w:pPr>
      <w:r>
        <w:rPr>
          <w:b/>
        </w:rPr>
        <w:t>Available abstract (not full text):</w:t>
      </w:r>
      <w:r>
        <w:t xml:space="preserve"> Regional climate models (RCMs) have become established as essential dynamical downscaling tools, providing physically consistent, high-resolution climate information where global climate models (GCMs) are unable to resolve. Added value is obtained over heterogeneous vegetation, coastal, urban or orographically complex zones. Temperature, precipitation or wind benefit whenever fine-scale processes govern the climate signal, as with extreme events. CORDEX initiative (since 2009) has further consolidated RCM research with coordinated multi-model ensembles covering all continental regions, enabling systematic uncertainty quantification of regional climate projections. PROMES RCM has been an active scientific contributor across three decades to the modelling community ensemble. This review synthesizes and documents PROMES’s development, performance across Europe, West Africa and South America, and assesses its scientific contributions. This includes climate change projections features, extreme events (droughts, heat waves, or Mediterranean tropical-like cyclones) or land surface–atmosphere studies. Its behaviour within the more relevant international multi-model ensembles (from PRUDENCE to EuroCORDEX), with structurally independent characteristics, represents a scientific asset for uncertainty characterization beyond the model’s individual results, offering a legacy argument for pre</w:t>
      </w:r>
    </w:p>
    <w:p>
      <w:pPr/>
      <w:r>
        <w:rPr>
          <w:b/>
        </w:rPr>
        <w:t>POSSIBLE 2025:</w:t>
      </w:r>
      <w:r>
        <w:t xml:space="preserve"> Temporal clusters of extreme events across Europe in a regional multi-scenario/multi-member ensemble — https://doi.org/10.5194/ems2025-464</w:t>
      </w:r>
    </w:p>
    <w:p>
      <w:pPr/>
      <w:r>
        <w:rPr>
          <w:b/>
        </w:rPr>
        <w:t>Shared claim-specific concepts:</w:t>
      </w:r>
      <w:r>
        <w:t xml:space="preserve"> multi-model, ensemble, regional, climate, precipitation, germany; EU scope visible. This is a provisional connection, not an outcome finding.</w:t>
      </w:r>
    </w:p>
    <w:p>
      <w:pPr>
        <w:pStyle w:val="SourceNote"/>
      </w:pPr>
      <w:r>
        <w:rPr>
          <w:b/>
        </w:rPr>
        <w:t>Available abstract (not full text):</w:t>
      </w:r>
      <w:r>
        <w:t xml:space="preserve"> Climate change drives an increase in the frequency of multiple meteorological extreme event types (e.g., extreme precipitation, storms, droughts, heatwaves) by affecting thermodynamic and dynamic processes in the coupled land-atmosphere system. Extreme events like the extended droughts during 2018-2020 in Europe, flooding triggered by extreme precipitation in Germany in 2021, as well as in Valencia and central France in 2024, or prolonged heatwaves in 2003, 2015, 2018, and 2022 across continental Europe had strong adverse impacts on socio-economic systems and the environment. Given a higher frequency of extreme events, it becomes more likely that regions experience consecutive events of the same type (e.g., multi-annual droughts) or different types of extremes, thereby challenging the regions’ short-term coping and recovery ability and long-term resilience.While extreme events are generally well-studied, holistic analyses of typical extreme event sequences are missing. Compound analyses commonly focus on specific combinations or events, but usually miss typical multi-annual sequences of extreme events with the potential for high impacts.Embedded in the EU horizon 2020 project ARSINOE, our analysis addresses the questions: 1) how often these temporal clusters occur and in which constellations, 2) how robust these constellations are, 3) and what role climate change plays in modul</w:t>
      </w:r>
    </w:p>
    <w:p>
      <w:pPr/>
      <w:r>
        <w:rPr>
          <w:b/>
        </w:rPr>
        <w:t>POSSIBLE 2024:</w:t>
      </w:r>
      <w:r>
        <w:t xml:space="preserve"> Multi-model ensembles for regional and national wheat yield forecasts in Argentina — https://doi.org/10.1088/1748-9326/ad627c</w:t>
      </w:r>
    </w:p>
    <w:p>
      <w:pPr/>
      <w:r>
        <w:rPr>
          <w:b/>
        </w:rPr>
        <w:t>Shared claim-specific concepts:</w:t>
      </w:r>
      <w:r>
        <w:t xml:space="preserve"> multi-model, regional, climate, used, temperature, precipitation; EU scope visible. This is a provisional connection, not an outcome finding.</w:t>
      </w:r>
    </w:p>
    <w:p>
      <w:pPr>
        <w:pStyle w:val="SourceNote"/>
      </w:pPr>
      <w:r>
        <w:rPr>
          <w:b/>
        </w:rPr>
        <w:t>Available abstract (not full text):</w:t>
      </w:r>
      <w:r>
        <w:t xml:space="preserve"> Abstract While multi-model ensembles (MMEs) of seasonal climate models (SCMs) have been used for crop yield forecasting, there has not been a systematic attempt to select the most skillful SCMs to optimize the performance of a MME and improve in-season yield forecasts. Here, we propose a statistical model to forecast regional and national wheat yield variability from 1993–2016 over the main wheat production area in Argentina. Monthly mean temperature and precipitation from the four months (August–November) before harvest were used as features. The model was validated for end-of-season estimation in December using reanalysis data (ERA) from the European Centre for Medium-Range Weather Forecasts (ECMWF) as well as for in-season forecasts from June to November using a MME of three SCMs from 10 SCMs analyzed. A benchmark model for end-of-season yield estimation using ERA data achieved a R 2 of 0.33, a root-mean-square error (RMSE) of 9.8% and a receiver operating characteristic (ROC) score of 0.8 on national level. On regional level, the model demonstrated the best estimation accuracy in the northern sub-humid Pampas with a R 2 of 0.5, a RMSE of 12.6% and a ROC score of 0.9. Across all months of initialization, SCMs from the National Centers for Environmental Prediction, the National Center for Atmospheric Research and the Geophysical Fluid Dynamics Laboratory had the highest mean </w:t>
      </w:r>
    </w:p>
    <w:p>
      <w:pPr/>
      <w:r>
        <w:rPr>
          <w:b/>
        </w:rPr>
        <w:t>POSSIBLE 2023:</w:t>
      </w:r>
      <w:r>
        <w:t xml:space="preserve"> Partitioning model uncertainty in multi-model ensemble river flow projections — https://doi.org/10.1007/s10584-023-03621-1</w:t>
      </w:r>
    </w:p>
    <w:p>
      <w:pPr/>
      <w:r>
        <w:rPr>
          <w:b/>
        </w:rPr>
        <w:t>Shared claim-specific concepts:</w:t>
      </w:r>
      <w:r>
        <w:t xml:space="preserve"> multi-model, ensemble, regional, climate, projections, used; EU scope not established. This is a provisional connection, not an outcome finding.</w:t>
      </w:r>
    </w:p>
    <w:p>
      <w:pPr>
        <w:pStyle w:val="SourceNote"/>
      </w:pPr>
      <w:r>
        <w:rPr>
          <w:b/>
        </w:rPr>
        <w:t>Available abstract (not full text):</w:t>
      </w:r>
      <w:r>
        <w:t xml:space="preserve"> Abstract Floods are the largest natural disaster currently facing the UK, whilst the incidents of droughts have increased in recent years. Floods and droughts can have devastating consequences on society, resulting in significant financial damage to the economy. Climate models suggest that precipitation and temperature changes will exacerbate future hydrological extremes (i.e., floods and droughts). Such events are likely to become more frequent and intense in the future; thus to develop adaptation plans climate model projections feed hydrological models to provide future water resource projections. ‘eFLaG’ is one set of future river flow projections produced for the UK driven by UKCP18 climate projections from the UK Met Office. The UKCP18-derived eFLaG dataset provides state-of-the-art projections for a single GCM driven by RCP 8.5 across the entire UK. A QE-ANOVA approach has been used to partition contributing sources of uncertainty for two flow quantiles (Q5 high flows and Q95 low flows), at near and far future time scales, for each of the 186 GB catchments in the eFLaG dataset. Results suggest a larger hydrological model uncertainty associated with low flows and greater regional climate model uncertainty for high flows which remains stationary between flow indicators. Total uncertainty increases from near to far future and highly uncertain catchments have been identified </w:t>
      </w:r>
    </w:p>
    <w:p>
      <w:pPr/>
      <w:r>
        <w:rPr>
          <w:b/>
        </w:rPr>
        <w:t>POSSIBLE 2023:</w:t>
      </w:r>
      <w:r>
        <w:t xml:space="preserve"> Predictive performance of multi-model ensemble forecasts of COVID-19 across European nations — https://doi.org/10.7554/elife.81916</w:t>
      </w:r>
    </w:p>
    <w:p>
      <w:pPr/>
      <w:r>
        <w:rPr>
          <w:b/>
        </w:rPr>
        <w:t>Shared claim-specific concepts:</w:t>
      </w:r>
      <w:r>
        <w:t xml:space="preserve"> multi-model, ensemble, used, content; EU scope visible. This is a provisional connection, not an outcome finding.</w:t>
      </w:r>
    </w:p>
    <w:p>
      <w:pPr>
        <w:pStyle w:val="SourceNote"/>
      </w:pPr>
      <w:r>
        <w:rPr>
          <w:b/>
        </w:rPr>
        <w:t>Available abstract (not full text):</w:t>
      </w:r>
      <w:r>
        <w:t xml:space="preserve"> Background: Short-term forecasts of infectious disease burden can contribute to situational awareness and aid capacity planning. Based on best practice in other fields and recent insights in infectious disease epidemiology, one can maximise the predictive performance of such forecasts if multiple models are combined into an ensemble. Here, we report on the performance of ensembles in predicting COVID-19 cases and deaths across Europe between 08 March 2021 and 07 March 2022. Methods: We used open-source tools to develop a public European COVID-19 Forecast Hub. We invited groups globally to contribute weekly forecasts for COVID-19 cases and deaths reported by a standardised source for 32 countries over the next 1-4 weeks. Teams submitted forecasts from March 2021 using standardised quantiles of the predictive distribution. Each week we created an ensemble forecast, where each predictive quantile was calculated as the equally-weighted average (initially the mean and then from 26th July the median) of all individual models' predictive quantiles. We measured the performance of each model using the relative Weighted Interval Score (WIS), comparing models' forecast accuracy relative to all other models. We retrospectively explored alternative methods for ensemble forecasts, including weighted averages based on models' past predictive performance. Results: Over 52 weeks, we collected f</w:t>
      </w:r>
    </w:p>
    <w:p>
      <w:pPr/>
      <w:r>
        <w:rPr>
          <w:b/>
        </w:rPr>
        <w:t>POSSIBLE 2022:</w:t>
      </w:r>
      <w:r>
        <w:t xml:space="preserve"> Downscaling multi-model climate projection ensembles with deep learning (DeepESD): contribution to CORDEX EUR-44 — https://doi.org/10.5194/gmd-15-6747-2022</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Abstract. Deep Learning (DL) has recently emerged as an innovative tool to downscale climate variables from large-scale atmospheric fields under the perfect prognosis (PP) approach. Different Convolutional Neural Networks (CNN) have been applied under present-day conditions with promising results, but little is known about their suitability for extrapolating future climate change conditions. Here, we analyze this problem from a multi-model perspective, developing and evaluating an ensemble of CNN-based downscaled projections (DeepESD) for temperature and precipitation over the European EUR-44i (0.5º) domain, based on eight GCMs from the Coupled Model Intercomparison Project Phase 5 (CMIP5). To our knowledge, this is the first time that CNNs have been used to produce multi-model ensembles of downscaled projections, allowing to quantify inter-model uncertainty in climate change signals. The results are compared with those corresponding to an EUR-44 ensemble of regional climate models (RCMs) showing that DeepESD reduces distributional biases in the historical period. Moreover, the resulting climate change signals are broadly comparable to those obtained with the RCMs, with similar spatial structures. As for the uncertainty of the climate change signal (measured on the basis of inter-model spread), DeepESD yields a smaller uncertainty for precipitation, but a similar uncertainty fo</w:t>
      </w:r>
    </w:p>
    <w:p>
      <w:pPr/>
      <w:r>
        <w:rPr>
          <w:b/>
        </w:rPr>
        <w:t>POSSIBLE 2022:</w:t>
      </w:r>
      <w:r>
        <w:t xml:space="preserve"> Ensemble Evaluation and Member Selection of Regional Climate Models for Impact Models Assessment — https://doi.org/10.3390/w14233967</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Climate change increasingly is affecting every aspect of human life on the earth. Many regional climate models (RCMs) have so far been developed to carefully assess this important phenomenon on specific regions. In this study, ten RCMs captured from the European Coordinated Downscaling Experiment (EURO CORDEX) platform are evaluated on the river Chiese catchment located in the northeast of Italy. The models’ ensembles are assessed in terms of the uncertainty and error calculated through different statistical and error indices. The uncertainties are investigated in terms of signal (increase, decrease, or neutral changes in the variables) and value uncertainties. Together with the spatial analysis of the data over the catchment, the weighted averaged values are used for the models’ evaluations and data projections. Using weighted catchment variables, climate change impacts are assessed on 10 different hydro-climatological variables showing the changes in the temperature, precipitation, rainfall events’ features, and the hydrological variables of the Chiese catchment between historical (1991–2000) and future (2071–2080) decades under RCP (Representative Concentration Path for increasing greenhouse gas emissions) scenario 4.5. The results show that, even though the multi-model ensemble mean (MMEM) could cover the outputs’ uncertainty of the models, it increases the error of the out</w:t>
      </w:r>
    </w:p>
    <w:p>
      <w:pPr/>
      <w:r>
        <w:rPr>
          <w:b/>
        </w:rPr>
        <w:t>POSSIBLE 2021:</w:t>
      </w:r>
      <w:r>
        <w:t xml:space="preserve"> The first multi-model ensemble of regional climate simulations at kilometer-scale resolution, part I: evaluation of precipitation — https://doi.org/10.1007/s00382-021-05708-w</w:t>
      </w:r>
    </w:p>
    <w:p>
      <w:pPr/>
      <w:r>
        <w:rPr>
          <w:b/>
        </w:rPr>
        <w:t>Shared claim-specific concepts:</w:t>
      </w:r>
      <w:r>
        <w:t xml:space="preserve"> multi-model, ensemble, regional, climate, precipitation; EU scope visible. This is a provisional connection, not an outcome finding.</w:t>
      </w:r>
    </w:p>
    <w:p>
      <w:pPr>
        <w:pStyle w:val="SourceNote"/>
      </w:pPr>
      <w:r>
        <w:rPr>
          <w:b/>
        </w:rPr>
        <w:t>Available abstract (not full text):</w:t>
      </w:r>
      <w:r>
        <w:t xml:space="preserve"> Abstract Here we present the first multi-model ensemble of regional climate simulations at kilometer-scale horizontal grid spacing over a decade long period. A total of 23 simulations run with a horizontal grid spacing of $$\sim $$ ∼ 3 km, driven by ERA-Interim reanalysis, and performed by 22 European research groups are analysed. Six different regional climate models (RCMs) are represented in the ensemble. The simulations are compared against available high-resolution precipitation observations and coarse resolution ( $$\sim $$ ∼ 12 km) RCMs with parameterized convection. The model simulations and observations are compared with respect to mean precipitation, precipitation intensity and frequency, and heavy precipitation on daily and hourly timescales in different seasons. The results show that kilometer-scale models produce a more realistic representation of precipitation than the coarse resolution RCMs. The most significant improvements are found for heavy precipitation and precipitation frequency on both daily and hourly time scales in the summer season. In general, kilometer-scale models tend to produce more intense precipitation and reduced wet-hour frequency compared to coarse resolution models. On average, the multi-model mean shows a reduction of bias from $$\sim \,$$ ∼ −40% at 12 km to $$\sim \,$$ ∼ −3% at 3 km for heavy hourly precipitation in summer. Furthermore, the</w:t>
      </w:r>
    </w:p>
    <w:p>
      <w:pPr/>
      <w:r>
        <w:rPr>
          <w:b/>
        </w:rPr>
        <w:t>POSSIBLE 2021:</w:t>
      </w:r>
      <w:r>
        <w:t xml:space="preserve"> The first multi-model ensemble of regional climate simulations at kilometer-scale resolution part 2: historical and future simulations of precipitation — https://doi.org/10.1007/s00382-021-05657-4</w:t>
      </w:r>
    </w:p>
    <w:p>
      <w:pPr/>
      <w:r>
        <w:rPr>
          <w:b/>
        </w:rPr>
        <w:t>Shared claim-specific concepts:</w:t>
      </w:r>
      <w:r>
        <w:t xml:space="preserve"> multi-model, ensemble, regional, climate, precipitation; EU scope not established. This is a provisional connection, not an outcome finding.</w:t>
      </w:r>
    </w:p>
    <w:p>
      <w:pPr>
        <w:pStyle w:val="SourceNote"/>
      </w:pPr>
      <w:r>
        <w:rPr>
          <w:b/>
        </w:rPr>
        <w:t>Available abstract (not full text):</w:t>
      </w:r>
      <w:r>
        <w:t xml:space="preserve"> Unavailable</w:t>
      </w:r>
    </w:p>
    <w:p>
      <w:pPr/>
      <w:r>
        <w:rPr>
          <w:b/>
        </w:rPr>
        <w:t>POSSIBLE 2021:</w:t>
      </w:r>
      <w:r>
        <w:t xml:space="preserve"> Projections of regional climate change in Ukraine based on multi-model ensembles of Euro-CORDEX — https://doi.org/10.5194/egusphere-egu21-13821</w:t>
      </w:r>
    </w:p>
    <w:p>
      <w:pPr/>
      <w:r>
        <w:rPr>
          <w:b/>
        </w:rPr>
        <w:t>Shared claim-specific concepts:</w:t>
      </w:r>
      <w:r>
        <w:t xml:space="preserve"> multi-model, ensemble, regional, climate, projections, used; EU scope visible. This is a provisional connection, not an outcome finding.</w:t>
      </w:r>
    </w:p>
    <w:p>
      <w:pPr>
        <w:pStyle w:val="SourceNote"/>
      </w:pPr>
      <w:r>
        <w:rPr>
          <w:b/>
        </w:rPr>
        <w:t>Available abstract (not full text):</w:t>
      </w:r>
      <w:r>
        <w:t xml:space="preserve"> Climate change is one of the major challenges for future development in every country including Ukraine where actual warming already has impacted many sectors, population, and ecosystems. Recently, the International Initiative of Coordinated Downscaling Experiment for Europe (Euro-CORDEX) has provided RCM data for 0.1o grid. This detailed RCM projection dataset is an excellent basis for estimation of exposure and vulnerability to climate change of different objects and for updating projections for a new National Communication of Ukraine to UNFCCC as well as for Strategy of Ecological Safety and Adaptation to Climate Change in Ukraine. The study is focused on the estimation of the essential and special climatic characteristics and their changes in the near future (2021-2040) as well as to the middle (2041-2050) and end (2081-2100) of the century over the base period 1991-2010 for three scenarios: RCP2.6, RCP4.5, and RCP8.5. We used bias-adjusted RCM data for daily maximum, mean, and minimum temperature and precipitation provided via ESGF web-portal. We applied a multi-model ensemble approach with further bias-correction by delta-method for multi-year monthly values of the essential characteristics as well as calculated climatic indices using a gridded observational dataset of E-Obs v.20.0e. Ensembles for RCP4.5 and RCP8.5 consisted of 34 RCMs while for RCP2.6 only data of 3 RCMs</w:t>
      </w:r>
    </w:p>
    <w:p>
      <w:pPr>
        <w:pStyle w:val="Heading2"/>
      </w:pPr>
      <w:r>
        <w:t>909. Douglas‐fir plantations in Europe: a retrospective test of assisted migration to address climate change</w:t>
      </w:r>
    </w:p>
    <w:p>
      <w:pPr>
        <w:pStyle w:val="SourceNote"/>
      </w:pPr>
      <w:r>
        <w:rPr>
          <w:b/>
        </w:rPr>
        <w:t>Original source (2014):</w:t>
      </w:r>
      <w:r>
        <w:t xml:space="preserve"> https://doi.org/10.1111/gcb.12604</w:t>
      </w:r>
    </w:p>
    <w:p>
      <w:pPr/>
      <w:r>
        <w:t>Original wording (abstract; indexed_source_text_not_full_document_verified): We conclude by applying the partially validated model to climate change scenarios for Europe, demonstrating that climate trends observed over the last three decades warrant changes to current use of Douglas-fir provenances in plantation forestry throughout Western and Central Europe.</w:t>
      </w:r>
    </w:p>
    <w:p>
      <w:pPr/>
      <w:r>
        <w:rPr>
          <w:b/>
        </w:rPr>
        <w:t>POSSIBLE 2026:</w:t>
      </w:r>
      <w:r>
        <w:t xml:space="preserve"> Combining different views on internal climate variability of temperature over Europe — https://doi.org/10.5194/egusphere-2026-1341</w:t>
      </w:r>
    </w:p>
    <w:p>
      <w:pPr/>
      <w:r>
        <w:rPr>
          <w:b/>
        </w:rPr>
        <w:t>Shared claim-specific concepts:</w:t>
      </w:r>
      <w:r>
        <w:t xml:space="preserve"> conclude, applying, climate, observed, over; EU scope visible. This is a provisional connection, not an outcome finding.</w:t>
      </w:r>
    </w:p>
    <w:p>
      <w:pPr>
        <w:pStyle w:val="SourceNote"/>
      </w:pPr>
      <w:r>
        <w:rPr>
          <w:b/>
        </w:rPr>
        <w:t>Available abstract (not full text):</w:t>
      </w:r>
      <w:r>
        <w:t xml:space="preserve"> Abstract. Internal climate variability (ICV) estimates provide a useful benchmark for assessing climate model performance and the emergence of anthropogenically forced climate change. This study aims to quantify the magnitude of ICV using different types of data, representing both Earth System Model simulations and observation-based datasets. We focus on seasonal mean near surface air temperature over Europe utilizing different methodological approaches: assessment of variability inferred from pre-industrial control simulations, spread of a single-model initial-condition large ensemble, separation of uncertainty sources in CMIP6 transient simulations, and forcing attribution in observed time series. Across all methods and datasets, we found that ICV estimates decrease during the seasonal course from winter to autumn and spatially from north-eastern to south-western Europe. By comparing the results of the historical and scenario simulations of the large ensemble and selected CMIP6 models, we conclude that European ICV generally decreases under anthropogenically forced climate change. Moreover, our study suggests that applying ICV estimates as a benchmark for assessing regional climate simulations over Europe should be approached with caution. The estimate based on the pre-industrial control simulations offers an advantage since the simulations are not influenced by external forc</w:t>
      </w:r>
    </w:p>
    <w:p>
      <w:pPr/>
      <w:r>
        <w:rPr>
          <w:b/>
        </w:rPr>
        <w:t>POSSIBLE 2025:</w:t>
      </w:r>
      <w:r>
        <w:t xml:space="preserve"> Plural Values of Culture in Europe — https://openalex.org/W7137507789</w:t>
      </w:r>
    </w:p>
    <w:p>
      <w:pPr/>
      <w:r>
        <w:rPr>
          <w:b/>
        </w:rPr>
        <w:t>Shared claim-specific concepts:</w:t>
      </w:r>
      <w:r>
        <w:t xml:space="preserve"> applying, three, decades, current; EU scope visible. This is a provisional connection, not an outcome finding.</w:t>
      </w:r>
    </w:p>
    <w:p>
      <w:pPr>
        <w:pStyle w:val="SourceNote"/>
      </w:pPr>
      <w:r>
        <w:rPr>
          <w:b/>
        </w:rPr>
        <w:t>Available abstract (not full text):</w:t>
      </w:r>
      <w:r>
        <w:t xml:space="preserve"> In recent years, the plurality of values of culture has been increasingly recognized in practical, academic, and policymaking contexts. Beyond its traditional intrinsic values—linked to aesthetics, authenticity, and excellence—its capacity to contribute to well-being, to promote identity and belonging and tolerance and inclusiveness, to stimulate creativity, and to foster innovation are ever more acknowledged by a great variety of social actors. However, an economy- and market-oriented perspective has come to dominate the administrative and managerial discourse on cultural valuation for a few decades. This has resulted in a predominance of an approach to valuing culture that is expressed exclusively in terms of its economic impact, obscuring other values of culture. The European research project UNCHARTED has tried to counteract this predominance by providing a broader vision of the societal value of culture in the European context and by applying this alternative view to some of the most relevant areas in which cultural valuation impinges on cultural management and cultural policy today. This book presents its main results. Based on a pragmatist perspective, we have carried out an extensive multiple case study (65 cases in seven countries) that considers the multiplicity of agents who participate in cultural valuation processes (citizens, professionals of creation and preserva</w:t>
      </w:r>
    </w:p>
    <w:p>
      <w:pPr/>
      <w:r>
        <w:rPr>
          <w:b/>
        </w:rPr>
        <w:t>POSSIBLE 2023:</w:t>
      </w:r>
      <w:r>
        <w:t xml:space="preserve"> Comparative analysis of photovoltaic configurations for agrivoltaic systems in Europe — https://doi.org/10.1002/pip.3727</w:t>
      </w:r>
    </w:p>
    <w:p>
      <w:pPr/>
      <w:r>
        <w:rPr>
          <w:b/>
        </w:rPr>
        <w:t>Shared claim-specific concepts:</w:t>
      </w:r>
      <w:r>
        <w:t xml:space="preserve"> three, current, use; EU scope visible. This is a provisional connection, not an outcome finding.</w:t>
      </w:r>
    </w:p>
    <w:p>
      <w:pPr>
        <w:pStyle w:val="SourceNote"/>
      </w:pPr>
      <w:r>
        <w:rPr>
          <w:b/>
        </w:rPr>
        <w:t>Available abstract (not full text):</w:t>
      </w:r>
      <w:r>
        <w:t xml:space="preserve"> Abstract Agrivoltaics is the dual use of land by combining agricultural crop production and photovoltaic (PV) systems. In this work, we have analyzed three different agrivoltaic configurations: static with optimal tilt, vertically mounted bifacial, and single‐axis horizontal tracking. A model is developed to calculate the shadowing losses on the PV panels along with the reduced solar irradiation reaching the area under them for different PV capacity densities. First, we investigate the trade‐offs using a location in Denmark as a case study and second, we extrapolate the analysis to the rest of Europe. We find that the vertical and single‐axis tracking produce more uniform irradiance on the ground, and a capacity density of around 30 W/m 2 is suitable for agrivoltaic systems. Based on our model and a 100‐m‐resolution land cover database, we calculate the potential for agrivoltaic in every region within the European Union. The potential for agrivoltaic is enormous as the electricity generated by agrivoltaic systems could produce 25 times the current electricity demand in Europe. Overall, the potential capacity for agrivoltaic in Europe is 51 TW, which would result in an electricity yield of 71,500 TWh/year.</w:t>
      </w:r>
    </w:p>
    <w:p>
      <w:pPr/>
      <w:r>
        <w:rPr>
          <w:b/>
        </w:rPr>
        <w:t>POSSIBLE 2022:</w:t>
      </w:r>
      <w:r>
        <w:t xml:space="preserve"> Integrating nature conservation measures in european forest management – An exploratory study of barriers and drivers in 9 european countries — https://doi.org/10.1016/j.jenvman.2022.116619</w:t>
      </w:r>
    </w:p>
    <w:p>
      <w:pPr/>
      <w:r>
        <w:rPr>
          <w:b/>
        </w:rPr>
        <w:t>Shared claim-specific concepts:</w:t>
      </w:r>
      <w:r>
        <w:t xml:space="preserve"> climate, current; EU scope visible. This is a provisional connection, not an outcome finding.</w:t>
      </w:r>
    </w:p>
    <w:p>
      <w:pPr>
        <w:pStyle w:val="SourceNote"/>
      </w:pPr>
      <w:r>
        <w:rPr>
          <w:b/>
        </w:rPr>
        <w:t>Available abstract (not full text):</w:t>
      </w:r>
      <w:r>
        <w:t xml:space="preserve"> Integrative forest management approaches, aiming to combine the provision of multiple forest ecosystem services in the same forest area, are popular forest management concepts in Europe. Their understanding and application varies, however, across the continent. This paper looks at one dimension of integrative forest management approaches in particular - the integration of nature conservation measures into forest management; focusing on its understanding and application, as well as current and future social, technological, ecological, economic and political factors enabling or hampering this integration. Drawing on 42 qualitative in-depth interviews with national experts and forest practitioners, our study provides insights into the integration of nature conservation measures into forest management systems aimed at wood production and the provision of other forest ecosystem services under various conditions. Across the investigated countries, the main factors perceived to facilitate this integration are the personal motivations and knowledge of forest managers and their long-term economic thinking related to the resilience of the forest in the face of climate and societal change. In turn, the main factors perceived as hampering the integration are current wood-market demands, and a lack of (public) financial incentives. Public pressure is also perceived as an important influenci</w:t>
      </w:r>
    </w:p>
    <w:p>
      <w:pPr/>
      <w:r>
        <w:rPr>
          <w:b/>
        </w:rPr>
        <w:t>POSSIBLE 2022:</w:t>
      </w:r>
      <w:r>
        <w:t xml:space="preserve"> Forest-based climate change mitigation and adaptation in Europe — https://doi.org/10.36333/fs14</w:t>
      </w:r>
    </w:p>
    <w:p>
      <w:pPr/>
      <w:r>
        <w:rPr>
          <w:b/>
        </w:rPr>
        <w:t>Shared claim-specific concepts:</w:t>
      </w:r>
      <w:r>
        <w:t xml:space="preserve"> climate, over, use; EU scope visible. This is a provisional connection, not an outcome finding.</w:t>
      </w:r>
    </w:p>
    <w:p>
      <w:pPr>
        <w:pStyle w:val="SourceNote"/>
      </w:pPr>
      <w:r>
        <w:rPr>
          <w:b/>
        </w:rPr>
        <w:t>Available abstract (not full text):</w:t>
      </w:r>
      <w:r>
        <w:t xml:space="preserve"> From Science to Policy 14 2. Forest-based mitigation potential 2.1 The roles of forests and the forest sector in climate change mitigation Forests provide many benefits to society and one such benefit is forests' role in regulating the climate through their role in the global carbon cycle.This role is the result of photosynthesis in which trees remove CO 2 from the atmosphere and emit it back to the atmosphere via the decomposition of litter and dead trees or (in case of wildfires) combustion.If this cycle was left to follow its natural course, it would result in a long-term balance between CO 2 removals and emissions despite the short-term variations inherent to it.The management of forests by humans can have a profound impact on CO 2 emissions and removals, both immediately and over time.Rising concentrations of CO 2 and the related climate change can influence the growth and development of forests both positively and negatively, with further consequent impacts on CO 2 emissions and removals in forests (see Chapter 3).From Science to Policy 14 -150 -100 -50 0 50 100 150 200 250 300 350 400 450 Increased efficiency (2;5) Cascading (1;4) Shifts in wood uses (9;23) Afforestation/Reforestation (2;5) Forest restoration (peatlands) (2;5) Forest harvesting (increased) (1;1) Forest harvesting (decreased) (6;13) Other active management (7;14) Avoiding deforestation (1;1) Forest conser</w:t>
      </w:r>
    </w:p>
    <w:p>
      <w:pPr/>
      <w:r>
        <w:rPr>
          <w:b/>
        </w:rPr>
        <w:t>POSSIBLE 2021:</w:t>
      </w:r>
      <w:r>
        <w:t xml:space="preserve"> The influence of anthropogenic climate change on wet and dry summers in Europe — https://doi.org/10.1016/j.scib.2021.01.020</w:t>
      </w:r>
    </w:p>
    <w:p>
      <w:pPr/>
      <w:r>
        <w:rPr>
          <w:b/>
        </w:rPr>
        <w:t>Shared claim-specific concepts:</w:t>
      </w:r>
      <w:r>
        <w:t xml:space="preserve"> climate, trends; EU scope visible. This is a provisional connection, not an outcome finding.</w:t>
      </w:r>
    </w:p>
    <w:p>
      <w:pPr>
        <w:pStyle w:val="SourceNote"/>
      </w:pPr>
      <w:r>
        <w:rPr>
          <w:b/>
        </w:rPr>
        <w:t>Available abstract (not full text):</w:t>
      </w:r>
      <w:r>
        <w:t xml:space="preserve"> Understanding the role of anthropogenic forcings in regional hydrological changes can help communities plan their adaptation in an informed manner. Here we apply attribution research methods to investigate the effect of human influence on historical trends in wet and dry summers and changes in the likelihood of extreme events in Europe. We employ an ensemble of new climate models and compare experiments with and without the effect of human influence to assess the anthropogenic contribution. Future changes are also analysed with projections to year 2100. We employ two drought indices defined relative to the pre-industrial climate: one driven by changes in rainfall only and one that also includes the effect of temperature via changes in potential evapotranspiration. Both indices suggest significant changes in European summers have already emerged above variability and are expected to intensify in the future, leading to widespread dryer conditions which are more extreme in the south. When only the effect of rainfall is considered, there is a distinct contrast between a shift towards wetter conditions in the north and dryer in the south of the continent, as well as an overall increase in variability. However, when the effect of warming is also included, it largely masks the wet trends in the north, resulting in increasingly drier summers across most of the continent. Historical ind</w:t>
      </w:r>
    </w:p>
    <w:p>
      <w:pPr/>
      <w:r>
        <w:rPr>
          <w:b/>
        </w:rPr>
        <w:t>POSSIBLE 2021:</w:t>
      </w:r>
      <w:r>
        <w:t xml:space="preserve"> Aviation Contrail Cirrus and Radiative Forcing Over Europe During 6 Months of COVID‐19 — https://doi.org/10.1029/2021gl092771</w:t>
      </w:r>
    </w:p>
    <w:p>
      <w:pPr/>
      <w:r>
        <w:rPr>
          <w:b/>
        </w:rPr>
        <w:t>Shared claim-specific concepts:</w:t>
      </w:r>
      <w:r>
        <w:t xml:space="preserve"> partially, observed, over; EU scope visible. This is a provisional connection, not an outcome finding.</w:t>
      </w:r>
    </w:p>
    <w:p>
      <w:pPr>
        <w:pStyle w:val="SourceNote"/>
      </w:pPr>
      <w:r>
        <w:rPr>
          <w:b/>
        </w:rPr>
        <w:t>Available abstract (not full text):</w:t>
      </w:r>
      <w:r>
        <w:t xml:space="preserve"> Abstract The COVID‐19 pandemic led to a 72% reduction of air traffic over Europe in March–August 2020 compared to 2019. Modeled contrail cover declined similarly, and computed mean instantaneous radiative contrail forcing dropped regionally by up to 0.7 W m−2. Here, model predictions of cirrus optical thickness and the top‐of‐atmosphere outgoing longwave and reflected shortwave irradiances are tested by comparison to Meteosat‐SEVIRI‐derived data. The agreement between observations and modeled data is slightly better when modeled contrail cirrus contributions are included. The spatial distributions and diurnal cycles of the differences in these data between 2019 and 2020 are partially caused by differences in atmospheric and surface conditions, particularly for solar radiation in the spring of 2020. Aviation signals become discernible in the observed differences of these data between 2019 and 2020 when subtracting numerical weather prediction model results that approximate the atmosphere and surface conditions without contrails.</w:t>
      </w:r>
    </w:p>
    <w:p>
      <w:pPr/>
      <w:r>
        <w:rPr>
          <w:b/>
        </w:rPr>
        <w:t>POSSIBLE 2020:</w:t>
      </w:r>
      <w:r>
        <w:t xml:space="preserve"> Differing Trends in United States and European Severe Thunderstorm Environments in a Warming Climate — https://doi.org/10.1175/bams-d-20-0004.1</w:t>
      </w:r>
    </w:p>
    <w:p>
      <w:pPr/>
      <w:r>
        <w:rPr>
          <w:b/>
        </w:rPr>
        <w:t>Shared claim-specific concepts:</w:t>
      </w:r>
      <w:r>
        <w:t xml:space="preserve"> partially, climate, trends, observed, over, central; EU scope visible. This is a provisional connection, not an outcome finding.</w:t>
      </w:r>
    </w:p>
    <w:p>
      <w:pPr>
        <w:pStyle w:val="SourceNote"/>
      </w:pPr>
      <w:r>
        <w:rPr>
          <w:b/>
        </w:rPr>
        <w:t>Available abstract (not full text):</w:t>
      </w:r>
      <w:r>
        <w:t xml:space="preserve"> Abstract Long-term trends in the historical frequency of environments supportive of atmospheric convection are unclear, and only partially follow the expectations of a warming climate. This uncertainty is driven by the lack of unequivocal changes in the ingredients for severe thunderstorms (i.e., conditional instability, sufficient low-level moisture, initiation mechanism, and vertical wind shear). ERA5 hybrid-sigma data allow for superior characterization of thermodynamic parameters including convective inhibition, which is very sensitive to the number of levels in the lower troposphere. Using hourly data we demonstrate that long-term decreases in instability and stronger convective inhibition cause a decline in the frequency of thunderstorm environments over the southern United States, particularly during summer. Conversely, increasingly favorable conditions for tornadoes are observed during winter across the Southeast. Over Europe, a pronounced multidecadal increase in low-level moisture has provided positive trends in thunderstorm environments over the south, central, and north, with decreases over the east due to strengthening convective inhibition. Modest increases in vertical wind shear and storm-relative helicity have been observed over northwestern Europe and the Great Plains. Both continents exhibit negative trends in the fraction of environments with likely convectiv</w:t>
      </w:r>
    </w:p>
    <w:p>
      <w:pPr/>
      <w:r>
        <w:rPr>
          <w:b/>
        </w:rPr>
        <w:t>POSSIBLE 2020:</w:t>
      </w:r>
      <w:r>
        <w:t xml:space="preserve"> Climate and society in European history — https://doi.org/10.1002/wcc.691</w:t>
      </w:r>
    </w:p>
    <w:p>
      <w:pPr/>
      <w:r>
        <w:rPr>
          <w:b/>
        </w:rPr>
        <w:t>Shared claim-specific concepts:</w:t>
      </w:r>
      <w:r>
        <w:t xml:space="preserve"> conclude, climate; EU scope visible. This is a provisional connection, not an outcome finding.</w:t>
      </w:r>
    </w:p>
    <w:p>
      <w:pPr>
        <w:pStyle w:val="SourceNote"/>
      </w:pPr>
      <w:r>
        <w:rPr>
          <w:b/>
        </w:rPr>
        <w:t>Available abstract (not full text):</w:t>
      </w:r>
      <w:r>
        <w:t xml:space="preserve"> Abstract This article evaluates 165 studies from various disciplines, published between 2000 and 2019, which in different ways link past climate variability and change to human history in medieval and early modern Europe (here, c . 700–1815 CE). Within this review, we focus on the identification and interpretation of causal links between changes in climate and in human societies. A revised climate–society impact order model of historical climate–society interactions is presented and applied to structure the findings of the past 20 years' scholarship. Despite considerable progress in research about past climate–society relations, partly expedited by new palaeoclimate data, we identify limitations to knowledge, including geographical biases, a disproportional attention to extremely cold periods, and a focus on crises. Furthermore, recent scholarship shows that the limitations with particular disciplinary approaches can be successfully overcome through interdisciplinary collaborations. We conclude the article by proposing recommendations for future directions of research in the climatic change–human history nexus. This article is categorized under: Climate, History, Society, Culture &gt; Ideas and Knowledge</w:t>
      </w:r>
    </w:p>
    <w:p>
      <w:pPr/>
      <w:r>
        <w:rPr>
          <w:b/>
        </w:rPr>
        <w:t>POSSIBLE 2020:</w:t>
      </w:r>
      <w:r>
        <w:t xml:space="preserve"> Causal networks for climate model evaluation and constrained projections — https://doi.org/10.1038/s41467-020-15195-y</w:t>
      </w:r>
    </w:p>
    <w:p>
      <w:pPr/>
      <w:r>
        <w:rPr>
          <w:b/>
        </w:rPr>
        <w:t>Shared claim-specific concepts:</w:t>
      </w:r>
      <w:r>
        <w:t xml:space="preserve"> climate, over, central; EU scope visible. This is a provisional connection, not an outcome finding.</w:t>
      </w:r>
    </w:p>
    <w:p>
      <w:pPr>
        <w:pStyle w:val="SourceNote"/>
      </w:pPr>
      <w:r>
        <w:rPr>
          <w:b/>
        </w:rPr>
        <w:t>Available abstract (not full text):</w:t>
      </w:r>
      <w:r>
        <w:t xml:space="preserve"> Global climate models are central tools for understanding past and future climate change. The assessment of model skill, in turn, can benefit from modern data science approaches. Here we apply causal discovery algorithms to sea level pressure data from a large set of climate model simulations and, as a proxy for observations, meteorological reanalyses. We demonstrate how the resulting causal networks (fingerprints) offer an objective pathway for process-oriented model evaluation. Models with fingerprints closer to observations better reproduce important precipitation patterns over highly populated areas such as the Indian subcontinent, Africa, East Asia, Europe and North America. We further identify expected model interdependencies due to shared development backgrounds. Finally, our network metrics provide stronger relationships for constraining precipitation projections under climate change as compared to traditional evaluation metrics for storm tracks or precipitation itself. Such emergent relationships highlight the potential of causal networks to constrain longstanding uncertainties in climate change projections.</w:t>
      </w:r>
    </w:p>
    <w:p>
      <w:pPr/>
      <w:r>
        <w:rPr>
          <w:b/>
        </w:rPr>
        <w:t>POSSIBLE 2020:</w:t>
      </w:r>
      <w:r>
        <w:t xml:space="preserve"> Climate change impacts on trends and extremes in future heating and cooling demands over Europe — https://doi.org/10.1016/j.enbuild.2020.110397</w:t>
      </w:r>
    </w:p>
    <w:p>
      <w:pPr/>
      <w:r>
        <w:rPr>
          <w:b/>
        </w:rPr>
        <w:t>Shared claim-specific concepts:</w:t>
      </w:r>
      <w:r>
        <w:t xml:space="preserve"> climate, trends, over; EU scope visible. This is a provisional connection, not an outcome finding.</w:t>
      </w:r>
    </w:p>
    <w:p>
      <w:pPr>
        <w:pStyle w:val="SourceNote"/>
      </w:pPr>
      <w:r>
        <w:rPr>
          <w:b/>
        </w:rPr>
        <w:t>Available abstract (not full text):</w:t>
      </w:r>
      <w:r>
        <w:t xml:space="preserve"> The paper analyses effects of changes in temperatures on heating and cooling demands in Europe until 2050. Specifically, the study addresses changes in trends (10-year mean) and extremes (10-year min/max). The analysis is based on two GHG emission climate scenarios (RCP2.6 and RCP4.5) and eight high-resolution regional climate models and results are provided as relative and absolute changes on grid and country scales. Population density is used as proxy for spatial distribution of demands. Projected future temperatures are proportional with RCP scenario and distance into the future and the highest relative changes occur towards north-eastern Europe and for high-altitude areas. The temperature changes lead to general decreased heating demands and corresponding increased cooling demands. In general, higher spreads are seen between demand change ratios for individual models when addressing extremes as opposed to trends: The general 2010–2050 change ratios for heating between countries are 0.85–95 for model means and average 0.69 for the extreme analysis. For cooling, corresponding ratios are 1.25–1.5 for model means and average 2.76 for model maxima. For absolute demand changes, some countries are projected to experience significant changes e.g. exceeding a doubling in cooling demands. The results are suggested as a basis for energy system analyses.</w:t>
      </w:r>
    </w:p>
    <w:p>
      <w:pPr/>
      <w:r>
        <w:rPr>
          <w:b/>
        </w:rPr>
        <w:t>POSSIBLE 2020:</w:t>
      </w:r>
      <w:r>
        <w:t xml:space="preserve"> ClimateEU, scale-free climate normals, historical time series, and future projections for Europe — https://doi.org/10.1038/s41597-020-00763-0</w:t>
      </w:r>
    </w:p>
    <w:p>
      <w:pPr/>
      <w:r>
        <w:rPr>
          <w:b/>
        </w:rPr>
        <w:t>Shared claim-specific concepts:</w:t>
      </w:r>
      <w:r>
        <w:t xml:space="preserve"> conclude, climate, last; EU scope visible. This is a provisional connection, not an outcome finding.</w:t>
      </w:r>
    </w:p>
    <w:p>
      <w:pPr>
        <w:pStyle w:val="SourceNote"/>
      </w:pPr>
      <w:r>
        <w:rPr>
          <w:b/>
        </w:rPr>
        <w:t>Available abstract (not full text):</w:t>
      </w:r>
      <w:r>
        <w:t xml:space="preserve"> Abstract Interpolated climate data have become essential for regional or local climate change impact assessments and the development of climate change adaptation strategies. Here, we contribute an accessible, comprehensive database of interpolated climate data for Europe that includes monthly, annual, decadal, and 30-year normal climate data for the last 119 years (1901 to 2019) as well as multi-model CMIP5 climate change projections for the 21 st century. The database also includes variables relevant for ecological research and infrastructure planning, comprising more than 20,000 climate grids that can be queried with a provided ClimateEU software package. In addition, 1 km and 2.5 km resolution gridded data generated by the software are available for download. The quality of ClimateEU estimates was evaluated against weather station data for a representative subset of climate variables. Dynamic environmental lapse rate algorithms employed by the software to generate scale-free climate variables for specific locations lead to improvements of 10 to 50% in accuracy compared to gridded data. We conclude with a discussion of applications and limitations of this database.</w:t>
      </w:r>
    </w:p>
    <w:p>
      <w:pPr>
        <w:pStyle w:val="Heading2"/>
      </w:pPr>
      <w:r>
        <w:t>910. Ensemble projections of future streamflow droughts in Europe</w:t>
      </w:r>
    </w:p>
    <w:p>
      <w:pPr>
        <w:pStyle w:val="SourceNote"/>
      </w:pPr>
      <w:r>
        <w:rPr>
          <w:b/>
        </w:rPr>
        <w:t>Original source (2014):</w:t>
      </w:r>
      <w:r>
        <w:t xml:space="preserve"> https://doi.org/10.5194/hess-18-85-2014</w:t>
      </w:r>
    </w:p>
    <w:p>
      <w:pPr/>
      <w:r>
        <w:t>Original wording (abstract; indexed_source_text_not_full_document_verified): Through off-line coupling of a hydrological model with an ensemble of bias-corrected climate simulations (IPCC SRES A1B) and a water use scenario (Economy First), long term (1961–2100) ensemble streamflow simulations are generated that account for changes in climate, and the uncertainty therein, and in water consumption. In order to plan suitable adaptation strategies it is important for decision makers to know how drought conditions will develop at regional scales.</w:t>
      </w:r>
    </w:p>
    <w:p>
      <w:pPr/>
      <w:r>
        <w:rPr>
          <w:b/>
        </w:rPr>
        <w:t>POSSIBLE 2026:</w:t>
      </w:r>
      <w:r>
        <w:t xml:space="preserve"> Towards improved flood prediction: a review of deterministic hydrologic-hydraulic model coupling — https://doi.org/10.1007/s11069-026-07992-3</w:t>
      </w:r>
    </w:p>
    <w:p>
      <w:pPr/>
      <w:r>
        <w:rPr>
          <w:b/>
        </w:rPr>
        <w:t>Shared claim-specific concepts:</w:t>
      </w:r>
      <w:r>
        <w:t xml:space="preserve"> coupling, hydrological; EU scope visible. This is a provisional connection, not an outcome finding.</w:t>
      </w:r>
    </w:p>
    <w:p>
      <w:pPr>
        <w:pStyle w:val="SourceNote"/>
      </w:pPr>
      <w:r>
        <w:rPr>
          <w:b/>
        </w:rPr>
        <w:t>Available abstract (not full text):</w:t>
      </w:r>
      <w:r>
        <w:t xml:space="preserve"> Abstract Flood forecasting is essential for disaster preparedness and risk reduction, particularly in data-scarce regions where purely data-driven models are often infeasible. This scoping review synthesised 94 peer-reviewed studies published between 1994 and 2024, applying the PRISMA framework to trace the evolution of deterministic hydrologic–hydraulic model coupling for flood forecasting. The review shows that HEC-HMS is the most widely used hydrologic model (33%), while HEC-RAS dominates hydraulic applications (45%). Their combination (HEC-HMS + HEC-RAS) appeared in 23 studies and consistently achieved strong predictive performance with coefficients of determination above 0.98 and inundation mapping accuracies of 80–94%. Other effective couplings, such as SWAT–HEC-RAS and CREST–ANUGA, were less frequently applied but demonstrated context-specific advantages. Regional disparities were pronounced, where 78% of studies were concentrated in high-income nations across North America, Europe, and Asia, with Africa contributing fewer than 5%. This imbalance reflects structural barriers such as sparse hydrometric networks, limited access to high-resolution data, and inadequate computational and technical capacity. Case studies from Southern Africa, including the application of HEC-HMS and HEC-RAS in flood-prone catchments, illustrated that deterministic coupling methods can be adapt</w:t>
      </w:r>
    </w:p>
    <w:p>
      <w:pPr/>
      <w:r>
        <w:rPr>
          <w:b/>
        </w:rPr>
        <w:t>POSSIBLE 2026:</w:t>
      </w:r>
      <w:r>
        <w:t xml:space="preserve"> Coupling water balance and vegetation carbon dynamics in a parsimonious global hydrologic model — https://doi.org/10.1016/j.jhydrol.2026.136520</w:t>
      </w:r>
    </w:p>
    <w:p>
      <w:pPr/>
      <w:r>
        <w:rPr>
          <w:b/>
        </w:rPr>
        <w:t>Shared claim-specific concepts:</w:t>
      </w:r>
      <w:r>
        <w:t xml:space="preserve"> coupling, water; EU scope not established. This is a provisional connection, not an outcome finding.</w:t>
      </w:r>
    </w:p>
    <w:p>
      <w:pPr>
        <w:pStyle w:val="SourceNote"/>
      </w:pPr>
      <w:r>
        <w:rPr>
          <w:b/>
        </w:rPr>
        <w:t>Available abstract (not full text):</w:t>
      </w:r>
      <w:r>
        <w:t xml:space="preserve"> Understanding ecohydrological responses to environmental change requires parsimonious models that can represent interactions between water balance and vegetation carbon uptake. Simple conceptual hydrologic models efficiently simulate runoff and evapotranspiration, but they usually lack dynamic vegetation representation. We extend the abcd monthly water-balance model to simulate coupled water–carbon dynamics by integrating the Horton Index framework with a two-parameter Gross Primary Productivity–Evapotranspiration (GPP–ET) functional relationship. The resulting eight-parameter framework is calibrated using observation-constrained runoff and GPP, while ET is withheld from the calibration objective and evaluated independently. Using GSWP3-W5E5 forcing, FLUXCOM-X BASE GPP and ET, and GRUN-ensemble runoff over 235 global basins, we calibrate the model for 2001–2014 and evaluate it independently for 2015–2019. During validation, the model reproduces GPP robustly, with a median Kling–Gupta Efficiency (KGE) of 0.758 and positive KGE in 97.9% of basins. ET performance is also broadly positive despite not being directly calibrated, with a median validation KGE of 0.673 and positive KGE in 87.7% of basins. Runoff skill is moderate and more heterogeneous, with a median validation KGE of 0.435 and positive KGE in 81.7% of basins. Seasonal-cycle and anomaly analyses show that the model stro</w:t>
      </w:r>
    </w:p>
    <w:p>
      <w:pPr/>
      <w:r>
        <w:rPr>
          <w:b/>
        </w:rPr>
        <w:t>POSSIBLE 2026:</w:t>
      </w:r>
      <w:r>
        <w:t xml:space="preserve"> Ecosystem service trade-offs of upstream afforestation: an integrated hydrological-economic assessment in the Sorraia basin, Portugal — https://doi.org/10.3389/fenvs.2026.1838037</w:t>
      </w:r>
    </w:p>
    <w:p>
      <w:pPr/>
      <w:r>
        <w:rPr>
          <w:b/>
        </w:rPr>
        <w:t>Shared claim-specific concepts:</w:t>
      </w:r>
      <w:r>
        <w:t xml:space="preserve"> hydrological, climate, water, use, streamflow; EU scope visible. This is a provisional connection, not an outcome finding.</w:t>
      </w:r>
    </w:p>
    <w:p>
      <w:pPr>
        <w:pStyle w:val="SourceNote"/>
      </w:pPr>
      <w:r>
        <w:rPr>
          <w:b/>
        </w:rPr>
        <w:t>Available abstract (not full text):</w:t>
      </w:r>
      <w:r>
        <w:t xml:space="preserve"> Introduction Across Europe, river basins face growing pressures from pollution, hydrological alteration, water abstraction and climate change, with many failing to achieve good ecological status. Southern Europe is particularly vulnerable due to seasonal water scarcity, erosion-prone soils and intensive land use. Upstream afforestation can improve ecosystem functioning, although outcomes depend on species choice and management, and resulting environmental and economic trade-offs are poorly understood. Methods Using the Sorraia basin (Portugal) as a case study, this study presents a hydrological–economic assessment of upstream afforestation scenarios: expanding eucalyptus plantations (EUCINT) versus restoring native cork-oak forests (RESTOAK) under current and mid-century climate conditions, focusing on streamflow, sediment and phosphorus loads (modelled using SWAT) and related ecosystem services, including agricultural production, reservoir sediment management, water purification and recreation, alongside direct economic returns associated with land-use change. Results The results show that afforestation has limited effects on streamflow (+1% under RESTOAK; up to −9% under EUCINT) compared to projected climate change impacts, but substantially influences sediment and nutrient dynamics. Sediment loads into reservoirs increase by 85–185% under EUCINT but decrease by 36–75% under </w:t>
      </w:r>
    </w:p>
    <w:p>
      <w:pPr/>
      <w:r>
        <w:rPr>
          <w:b/>
        </w:rPr>
        <w:t>POSSIBLE 2025:</w:t>
      </w:r>
      <w:r>
        <w:t xml:space="preserve"> Coupling a power system model with a hydrological model improves the representation of sub-monthly hydropower flexibility — https://doi.org/10.1016/j.apenergy.2025.126694</w:t>
      </w:r>
    </w:p>
    <w:p>
      <w:pPr/>
      <w:r>
        <w:rPr>
          <w:b/>
        </w:rPr>
        <w:t>Shared claim-specific concepts:</w:t>
      </w:r>
      <w:r>
        <w:t xml:space="preserve"> coupling, hydrological, water, account; EU scope visible. This is a provisional connection, not an outcome finding.</w:t>
      </w:r>
    </w:p>
    <w:p>
      <w:pPr>
        <w:pStyle w:val="SourceNote"/>
      </w:pPr>
      <w:r>
        <w:rPr>
          <w:b/>
        </w:rPr>
        <w:t>Available abstract (not full text):</w:t>
      </w:r>
      <w:r>
        <w:t xml:space="preserve"> Integrating large amounts of variable renewable power generation increases the need for flexible resources in the power system. Hydropower can be a precious asset for managing the variability in the grid. However, it will be subject to evolving constraints related to changes in the water resources and the operation of multi-purpose reservoirs. This study explores the value of coupling a power system model with a hydrological model that represents the operation of hydroelectric dams, to simulate an hourly hydropower schedule consistent with a realistic management of the hydropower reservoirs at the national grid level. We model the French power system with the optimization model EOLES-Dispatch and assess the impact of the coupling with the ORCHIDEE model, which represents hydropower management. We find that this new method allows us to simulate a hydropower schedule closer to the observed production, while power system models tend to overestimate the flexibility of hydropower. Considering a prospective 2050 power mix, we also find that accounting for these additional constraints leads to more frequent unsatisfied demand, which is underestimated by the usual representation of hydropower. Such a coupling of hydrological and power system modeling paves the way for a more robust representation of power dispatch in future power mixes, taking into account the joint evolution of water </w:t>
      </w:r>
    </w:p>
    <w:p>
      <w:pPr/>
      <w:r>
        <w:rPr>
          <w:b/>
        </w:rPr>
        <w:t>POSSIBLE 2025:</w:t>
      </w:r>
      <w:r>
        <w:t xml:space="preserve"> Ensemble Methods — https://doi.org/10.1201/9781003587774</w:t>
      </w:r>
    </w:p>
    <w:p>
      <w:pPr/>
      <w:r>
        <w:rPr>
          <w:b/>
        </w:rPr>
        <w:t>Shared claim-specific concepts:</w:t>
      </w:r>
      <w:r>
        <w:t xml:space="preserve"> ensemble, use, first; EU scope not established. This is a provisional connection, not an outcome finding.</w:t>
      </w:r>
    </w:p>
    <w:p>
      <w:pPr>
        <w:pStyle w:val="SourceNote"/>
      </w:pPr>
      <w:r>
        <w:rPr>
          <w:b/>
        </w:rPr>
        <w:t>Available abstract (not full text):</w:t>
      </w:r>
      <w:r>
        <w:t xml:space="preserve"> Ensemble methods that train multiple learners and then combine them to use, with Boosting and Bagging as representatives, are well-known machine learning approaches. It has become common sense that an ensemble is usually significantly more accurate than a single learner, and ensemble methods have already achieved great success in various real-world tasks. Twelve years have passed since the publication of the first edition of the book in 2012 (Japanese and Chinese versions published in 2017 and 2020, respectively). Many significant advances in this field have been developed. First, many theoretical issues have been tackled, for example, the fundamental question of why AdaBoost seems resistant to overfitting gets addressed, so that now we understand much more about the essence of ensemble methods. Second, ensemble methods have been well developed in more machine learning fields, e.g., isolation forest in anomaly detection, so that now we have powerful ensemble methods for tasks beyond conventional supervised learning. Third, ensemble mechanisms have also been found helpful in emerging areas such as deep learning and online learning. This edition expands on the previous one with additional content to reflect the significant advances in the field, and is written in a concise but comprehensive style to be approachable to readers new to the subject.</w:t>
      </w:r>
    </w:p>
    <w:p>
      <w:pPr/>
      <w:r>
        <w:rPr>
          <w:b/>
        </w:rPr>
        <w:t>POSSIBLE 2025:</w:t>
      </w:r>
      <w:r>
        <w:t xml:space="preserve"> Establishment and Evaluation of an Ensemble Bias Correction Framework for the Short-Term Numerical Forecasting on Lower Atmospheric Ducts — https://doi.org/10.3390/jmse13122397</w:t>
      </w:r>
    </w:p>
    <w:p>
      <w:pPr/>
      <w:r>
        <w:rPr>
          <w:b/>
        </w:rPr>
        <w:t>Shared claim-specific concepts:</w:t>
      </w:r>
      <w:r>
        <w:t xml:space="preserve"> ensemble, uncertainty; EU scope not established. This is a provisional connection, not an outcome finding.</w:t>
      </w:r>
    </w:p>
    <w:p>
      <w:pPr>
        <w:pStyle w:val="SourceNote"/>
      </w:pPr>
      <w:r>
        <w:rPr>
          <w:b/>
        </w:rPr>
        <w:t>Available abstract (not full text):</w:t>
      </w:r>
      <w:r>
        <w:t xml:space="preserve"> Based on the COAWST (Coupled Ocean–Atmosphere–Wave–Sediment Transport) model, this study developed an atmospheric refractivity forecasting model incorporating ensemble bias correction by combining five bias correction algorithms with the Bayesian Model Averaging (BMA) method. Hindcast tests conducted over the Yellow Sea and Bohai Sea regions demonstrated that the ensemble bias correction enhanced both forecasting accuracy and adaptability. On the one hand, the corrected forecasting outperformed the original COAWST model in terms of mean error (ME), root mean square error (RMSE), and correlation coefficient (CC), with the RMSE reduced by approximately 20% below 3000 m altitude. On the other hand, the corrected forecasting reduced the uncertainty associated with the performance of different algorithms. In particular, during typhoon events, the corrected forecasting maintained stable bias characteristics across different height layers through dynamic weight adjustment. Throughout the hindcast period, the ME of the corrected forecasting was lower than that of any single bias correction algorithm. Moreover, compared with other ensemble methods, the corrected forecasting developed in this study achieved more flexible weight allocation through Bayesian optimization, resulting in lower ME. In addition, the corrected forecasting maintained an improvement of approximately 28% in bias red</w:t>
      </w:r>
    </w:p>
    <w:p>
      <w:pPr/>
      <w:r>
        <w:rPr>
          <w:b/>
        </w:rPr>
        <w:t>POSSIBLE 2025:</w:t>
      </w:r>
      <w:r>
        <w:t xml:space="preserve"> Hydrological and landscape controls on dissolved organic matter dynamics in European wetlands — https://doi.org/10.31223/x5vv0s</w:t>
      </w:r>
    </w:p>
    <w:p>
      <w:pPr/>
      <w:r>
        <w:rPr>
          <w:b/>
        </w:rPr>
        <w:t>Shared claim-specific concepts:</w:t>
      </w:r>
      <w:r>
        <w:t xml:space="preserve"> hydrological, climate, first; EU scope visible. This is a provisional connection, not an outcome finding.</w:t>
      </w:r>
    </w:p>
    <w:p>
      <w:pPr>
        <w:pStyle w:val="SourceNote"/>
      </w:pPr>
      <w:r>
        <w:rPr>
          <w:b/>
        </w:rPr>
        <w:t>Available abstract (not full text):</w:t>
      </w:r>
      <w:r>
        <w:t xml:space="preserve"> Dissolved organic matter (DOM) is a key component in aquatic ecosystems, representing the main source of energy for microbial metabolism and playing a crucial role in C sequestration and export. Its optical properties (absorption and fluorescence) provide integrated information on its quality (average molecular weight and aromaticity degree, main sources, presence of protein like and humic-like substances). This paper provides an assessment of the impact of catchment characteristics, seasonality and ecological conditions (altered, restored, well-preserved) on DOM dynamics across six European coastal wetlands of contrasting ecological types. DOM concentration and optical properties show inter-wetland differences, with the highest concentrations of DOC in evaporation-driven Mediterranean systems and the lowest ones in Atlantic daily tidally-flushed wetlands. Water-isotope data and optical properties indicate that hydrological confinement, water-residence time and catchment inputs primarily control DOM accumulation and composition, while microbial and photochemical processing modulate its removal within sites. Wetland restoration effects on DOM are evident where hydrological modification reduced eutrophic stress. In evaporation-driven Mediterranean systems, the recovery of more natural flooding regimes limits connectivity and promotes the accumulation of recalcitrant DOM, potentia</w:t>
      </w:r>
    </w:p>
    <w:p>
      <w:pPr/>
      <w:r>
        <w:rPr>
          <w:b/>
        </w:rPr>
        <w:t>POSSIBLE 2024:</w:t>
      </w:r>
      <w:r>
        <w:t xml:space="preserve"> Coupling Deep Learning and Physically Based Hydrological Models for Monthly Streamflow Predictions — https://doi.org/10.1029/2023wr035618</w:t>
      </w:r>
    </w:p>
    <w:p>
      <w:pPr/>
      <w:r>
        <w:rPr>
          <w:b/>
        </w:rPr>
        <w:t>Shared claim-specific concepts:</w:t>
      </w:r>
      <w:r>
        <w:t xml:space="preserve"> coupling, hydrological, first, streamflow; EU scope not established. This is a provisional connection, not an outcome finding.</w:t>
      </w:r>
    </w:p>
    <w:p>
      <w:pPr>
        <w:pStyle w:val="SourceNote"/>
      </w:pPr>
      <w:r>
        <w:rPr>
          <w:b/>
        </w:rPr>
        <w:t>Available abstract (not full text):</w:t>
      </w:r>
      <w:r>
        <w:t xml:space="preserve"> Abstract This study proposes a new hybrid model for monthly streamflow predictions by coupling a physically based distributed hydrological model with a deep learning (DL) model. Specifically, a simplified hydrological model is first developed by optimally selecting grid cells from a distributed hydrological model according to their soil moisture characteristics. It is then driven by bias corrected general circulation model (GCM) predictions to generate soil moistures for the forecasting months. Finally, model‐simulated soil moisture along with other predictors from multiple sources are used as inputs of the DL model to predict future monthly streamflows. The proposed hybrid model, using the simplified Variable Infiltration Capacity (VIC) as the hydrological model and the combination of Convolutional Neural Network and Gated Recurrent Unit (CNN‐GRU) as the DL model, is applied to predict 1‐, 3‐, and 6‐month ahead reservoir inflows for the Danjiangkou Reservoir in China. The results show that the hybrid model consistently performs better than VIC and CNN‐GRU models with great improvement in Kling‐Gupta efficiency (KGE) values for lead times up to 6 months. Additional tests indicate that hybrid models based on CNN‐GRU outperform those based on LASSO, XGBoost, CNN, and GRU models. Moreover, compared with the distributed hydrological model, the hybrid model greatly reduces the compu</w:t>
      </w:r>
    </w:p>
    <w:p>
      <w:pPr/>
      <w:r>
        <w:rPr>
          <w:b/>
        </w:rPr>
        <w:t>POSSIBLE 2024:</w:t>
      </w:r>
      <w:r>
        <w:t xml:space="preserve"> Coupling hydrological and sanitation datasets to simulate wastewater-derived contamination in European rivers: Model development and calibration — https://doi.org/10.1016/j.envsoft.2024.106049</w:t>
      </w:r>
    </w:p>
    <w:p>
      <w:pPr/>
      <w:r>
        <w:rPr>
          <w:b/>
        </w:rPr>
        <w:t>Shared claim-specific concepts:</w:t>
      </w:r>
      <w:r>
        <w:t xml:space="preserve"> coupling, hydrological, water; EU scope visible. This is a provisional connection, not an outcome finding.</w:t>
      </w:r>
    </w:p>
    <w:p>
      <w:pPr>
        <w:pStyle w:val="SourceNote"/>
      </w:pPr>
      <w:r>
        <w:rPr>
          <w:b/>
        </w:rPr>
        <w:t>Available abstract (not full text):</w:t>
      </w:r>
      <w:r>
        <w:t xml:space="preserve"> Wastewater treatment plant (WWTP) discharges of microcontaminants have been shown to have negative impacts on freshwater streams, highlighting the need for accurate mapping of wastewater-derived contamination in water bodies across Europe (EU). In this study, we present a fast and open-source code for a microcontaminants fate and transport (MFT) model, capable of simulating contamination at a high resolution (15 arc second scale) across the EU in just 25 seconds. The model was developed using the best publicly available hydrological (HydroSHEDS) and sanitation (UWWTD) datasets and was rigorously calibrated, with a goodness of fit ([[EQUATION]] of 77.5%) that is the largest reported in the literature for MFT models. Importantly, the model demonstrated the ability to predict wastewater-derived contamination in water bodies, making it a valuable tool for planning the upgrade of WWTPs and improving the ecological condition of freshwater streams in the EU.</w:t>
      </w:r>
    </w:p>
    <w:p>
      <w:pPr/>
      <w:r>
        <w:rPr>
          <w:b/>
        </w:rPr>
        <w:t>POSSIBLE 2024:</w:t>
      </w:r>
      <w:r>
        <w:t xml:space="preserve"> Coupling Hydrological and Economic Model for the Analysis of Staged Growth in Water Management Systems — https://doi.org/10.3390/w16233437</w:t>
      </w:r>
    </w:p>
    <w:p>
      <w:pPr/>
      <w:r>
        <w:rPr>
          <w:b/>
        </w:rPr>
        <w:t>Shared claim-specific concepts:</w:t>
      </w:r>
      <w:r>
        <w:t xml:space="preserve"> coupling, hydrological, water; EU scope not established. This is a provisional connection, not an outcome finding.</w:t>
      </w:r>
    </w:p>
    <w:p>
      <w:pPr>
        <w:pStyle w:val="SourceNote"/>
      </w:pPr>
      <w:r>
        <w:rPr>
          <w:b/>
        </w:rPr>
        <w:t>Available abstract (not full text):</w:t>
      </w:r>
      <w:r>
        <w:t xml:space="preserve"> Planning and managing water resource systems with multipurpose surface reservoirs demand the careful consideration of several critical factors, including system longevity, multiple uses, phased development, substantial financial investments, complex management requirements, uncertainties in predicting future hydrological inputs, and the estimation of economic parameters. Despite the importance of these factors, recent research and software development efforts for water resource system planning and management have predominantly focused on hydrological models. Economic models that describe the phased growth of such systems are often either absent or not fully integrated into decision-making software. Well-established network-based decision support tools, such as MODSIM, AcquaNet, and SIMYLD-II, provide robust hydrological modeling but lack explicit economic sub-models to address the evolving nature of water resource systems over time. This paper introduces a novel approach that combines optimization and simulation techniques to evaluate the multi-year performance of a growing water resource system. By conducting multiple model runs for each phase of system development—each characterized by unique topologies, demand patterns, hydrological conditions, and water delivery preferences—economic analyses are suggested to complete the global evaluation of the system. This comprehensive a</w:t>
      </w:r>
    </w:p>
    <w:p>
      <w:pPr/>
      <w:r>
        <w:rPr>
          <w:b/>
        </w:rPr>
        <w:t>POSSIBLE 2024:</w:t>
      </w:r>
      <w:r>
        <w:t xml:space="preserve"> Enhanced Regional Ocean Ensemble Data Assimilation Through Atmospheric Coupling in the SKRIPS Model — https://doi.org/10.1016/j.ocemod.2024.102424</w:t>
      </w:r>
    </w:p>
    <w:p>
      <w:pPr/>
      <w:r>
        <w:rPr>
          <w:b/>
        </w:rPr>
        <w:t>Shared claim-specific concepts:</w:t>
      </w:r>
      <w:r>
        <w:t xml:space="preserve"> coupling, ensemble; EU scope not established. This is a provisional connection, not an outcome finding.</w:t>
      </w:r>
    </w:p>
    <w:p>
      <w:pPr>
        <w:pStyle w:val="SourceNote"/>
      </w:pPr>
      <w:r>
        <w:rPr>
          <w:b/>
        </w:rPr>
        <w:t>Available abstract (not full text):</w:t>
      </w:r>
      <w:r>
        <w:t xml:space="preserve"> We investigate the impact of ocean data assimilation using the Ensemble Adjustment Kalman Filter (EAKF) from the Data Assimilation Research Testbed (DART) on the oceanic and atmospheric states of the Red Sea. Our study extends the ocean data assimilation experiment performed by Sanikommu et al. (2020) by utilizing the SKRIPS model coupling the MITgcm ocean model and the Weather Research and Forecasting (WRF) atmosphere model. Using a 50-member ensemble, we assimilate satellite-derived sea surface temperature and height and in-situ temperature and salinity profiles every three days for one year, starting January 01 2011. Atmospheric data are not assimilated in the experiments. To improve the ensemble realism, perturbations are added to the WRF model using several physics options and the stochastic kinetic energy backscatter (SKEB) scheme. Compared with the control experiments using uncoupled MITgcm with ECMWF ensemble forcing, the EAKF ensemble mean oceanic states from the coupled model are better or insignificantly worse (root-mean-square-errors are 30% to -2% smaller), especially when the atmospheric model uncertainties are accounted for with stochastic perturbations. We hypothesize that the ensemble spreads of the air–sea fluxes are better represented in the downscaled WRF ensembles when uncertainties are well accounted for, leading to improved representation of the ensemble </w:t>
      </w:r>
    </w:p>
    <w:p>
      <w:pPr/>
      <w:r>
        <w:rPr>
          <w:b/>
        </w:rPr>
        <w:t>POSSIBLE 2024:</w:t>
      </w:r>
      <w:r>
        <w:t xml:space="preserve"> Coupling a large-scale glacier and hydrological model (OGGM v1.5.3 and CWatM V1.08) – towards an improved representation of mountain water resources in global assessments — https://doi.org/10.5194/gmd-17-5123-2024</w:t>
      </w:r>
    </w:p>
    <w:p>
      <w:pPr/>
      <w:r>
        <w:rPr>
          <w:b/>
        </w:rPr>
        <w:t>Shared claim-specific concepts:</w:t>
      </w:r>
      <w:r>
        <w:t xml:space="preserve"> coupling, hydrological, climate, simulations, water; EU scope not established. This is a provisional connection, not an outcome finding.</w:t>
      </w:r>
    </w:p>
    <w:p>
      <w:pPr>
        <w:pStyle w:val="SourceNote"/>
      </w:pPr>
      <w:r>
        <w:rPr>
          <w:b/>
        </w:rPr>
        <w:t>Available abstract (not full text):</w:t>
      </w:r>
      <w:r>
        <w:t xml:space="preserve"> Abstract. Glaciers are present in many large river basins, and due to climate change, they are undergoing considerable changes in terms of area, volume, runoff and seasonality. Although the spatial extent of glaciers is very limited in most large river basins, their role in hydrology can be substantial because glaciers store large amounts of water at varying time scales. Large-scale hydrological models are an important tool to assess climate change impacts on water resources in large river basins worldwide. Nevertheless, glaciers remain poorly represented in large-scale hydrological models. Here we present a coupling between the large-scale glacier model OGGM (v1.5.3) and the large-scale hydrological model CWatM (V1.08). We evaluated the improved glacier representation in the coupled model against the baseline hydrological model for selected river basins at 5 arcmin resolution and globally at 30 arcmin resolution, focusing on discharge projections under climate change scenarios. We find that increases in future discharge are attenuated, whereas decreases are exacerbated when glaciers are represented explicitly in the large-scale hydrological model simulations. This is explained by a projected decrease in glacier runoff in almost all basins. Calibration can compensate for lacking glacier representation in large-scale hydrological models in the past. Nevertheless, only an improve</w:t>
      </w:r>
    </w:p>
    <w:p>
      <w:pPr>
        <w:pStyle w:val="Heading2"/>
      </w:pPr>
      <w:r>
        <w:t>911. Environmental water quantity projections under market-driven and sustainability-driven future scenarios in the Narew basin, Poland</w:t>
      </w:r>
    </w:p>
    <w:p>
      <w:pPr>
        <w:pStyle w:val="SourceNote"/>
      </w:pPr>
      <w:r>
        <w:rPr>
          <w:b/>
        </w:rPr>
        <w:t>Original source (2014):</w:t>
      </w:r>
      <w:r>
        <w:t xml:space="preserve"> https://doi.org/10.1080/02626667.2014.888068</w:t>
      </w:r>
    </w:p>
    <w:p>
      <w:pPr/>
      <w:r>
        <w:t>Original wording (abstract; indexed_source_text_not_full_document_verified): The aim of this article is to assess the impact of four scenarios combining possible changes in climate, atmospheric carbon dioxide, land use and water use by 2050, on the specific set of ecologically relevant flow regime indicators that define environmental flow requirements in a semi-natural river basin in Poland.</w:t>
      </w:r>
    </w:p>
    <w:p>
      <w:pPr/>
      <w:r>
        <w:rPr>
          <w:b/>
        </w:rPr>
        <w:t>POSSIBLE 2026:</w:t>
      </w:r>
      <w:r>
        <w:t xml:space="preserve"> Assessing the quality of life in Central and Eastern Europe: a comparative analysis — https://doi.org/10.34659/eis.2026.96.1.1083</w:t>
      </w:r>
    </w:p>
    <w:p>
      <w:pPr/>
      <w:r>
        <w:rPr>
          <w:b/>
        </w:rPr>
        <w:t>Shared claim-specific concepts:</w:t>
      </w:r>
      <w:r>
        <w:t xml:space="preserve"> aim, article, assess, indicators, environmental; EU scope visible. This is a provisional connection, not an outcome finding.</w:t>
      </w:r>
    </w:p>
    <w:p>
      <w:pPr>
        <w:pStyle w:val="SourceNote"/>
      </w:pPr>
      <w:r>
        <w:rPr>
          <w:b/>
        </w:rPr>
        <w:t>Available abstract (not full text):</w:t>
      </w:r>
      <w:r>
        <w:t xml:space="preserve"> The aim of this article is to assess the quality of life (QoL) in Central and Eastern Europe through a comparative analysis that identifies key determinants of well-being and evaluates their relative importance across countries. The study situates the assessment within the unique historical and socio-economic transformation of the region, from centrally planned economies to market-oriented systems and subsequent integration into the European Union. Using 42 indicators grouped into thematic domains, material living conditions, health, education, labour activity, safety, governance, and the environment, the research applies descriptive statistics and the TOPSIS (Technique for Order Preference by Similarity to Ideal Solution) method to construct a composite QoL index and rank eleven countries according to their performance. The findings reveal substantial disparities, with Estonia and Lithuania achieving the highest QoL scores, while Romania and Bulgaria lag behind. The results highlight the decisive influence of income levels, healthcare accessibility, educational attainment, and environmental quality on overall well-being. The paper concludes with evidence-based policy implications, emphasising investment in education, healthcare systems, sustainable infrastructure, and environmental protection as essential pathways to more balanced and inclusive development across the region.</w:t>
      </w:r>
    </w:p>
    <w:p>
      <w:pPr/>
      <w:r>
        <w:rPr>
          <w:b/>
        </w:rPr>
        <w:t>POSSIBLE 2026:</w:t>
      </w:r>
      <w:r>
        <w:t xml:space="preserve"> Repertoires of resistance: The right to feel in European radical climate movements — https://doi.org/10.1177/00113921261480606</w:t>
      </w:r>
    </w:p>
    <w:p>
      <w:pPr/>
      <w:r>
        <w:rPr>
          <w:b/>
        </w:rPr>
        <w:t>Shared claim-specific concepts:</w:t>
      </w:r>
      <w:r>
        <w:t xml:space="preserve"> aim, article, four, combining, climate; EU scope visible. This is a provisional connection, not an outcome finding.</w:t>
      </w:r>
    </w:p>
    <w:p>
      <w:pPr>
        <w:pStyle w:val="SourceNote"/>
      </w:pPr>
      <w:r>
        <w:rPr>
          <w:b/>
        </w:rPr>
        <w:t>Available abstract (not full text):</w:t>
      </w:r>
      <w:r>
        <w:t xml:space="preserve"> This article examines the production of emotional and symbolic forms of dissent by four climate movements (Just Stop Oil, Extinction Rebellion Italia, Letzte Generation, and Ultima Generazione). Adopting a mixed-methods approach combining sentiment analysis, emotion detection, and socio-semiotic visual analysis, the study examines 1143 press releases (2022–2025) along with 12 protest images, highlighting the digital-embodied protest link, with the aim of exploring the following questions: How do youth-led radical climate movements reconfigure the emotional and symbolic dimensions of socio-ecological practices? In what ways are emotional repertoires articulated across interconnected digital and visual forms of climate protest? The article aims to make three contributions. First, it proposes the concept of “right to feel” as a sociological lens for analysing emotional legitimacy in climate activism. Second, it combines Natural Language Processing and socio-semiotic analysis within a mixed-methods framework. By integrating computational text analysis with socio-semiotic visual interpretation, the article aims to investigate how emotional repertoires shape the public interpretation of ecological crises and support struggles over the public legitimacy of climate emotions. Third, it compares four European radical climate movements across three national contexts. Findings suggest a pr</w:t>
      </w:r>
    </w:p>
    <w:p>
      <w:pPr/>
      <w:r>
        <w:rPr>
          <w:b/>
        </w:rPr>
        <w:t>POSSIBLE 2025:</w:t>
      </w:r>
      <w:r>
        <w:t xml:space="preserve"> Assessing human-caused wildfire ignition likelihood across Europe — https://doi.org/10.5194/nhess-25-4713-2025</w:t>
      </w:r>
    </w:p>
    <w:p>
      <w:pPr/>
      <w:r>
        <w:rPr>
          <w:b/>
        </w:rPr>
        <w:t>Shared claim-specific concepts:</w:t>
      </w:r>
      <w:r>
        <w:t xml:space="preserve"> land, set, relevant; EU scope visible. This is a provisional connection, not an outcome finding.</w:t>
      </w:r>
    </w:p>
    <w:p>
      <w:pPr>
        <w:pStyle w:val="SourceNote"/>
      </w:pPr>
      <w:r>
        <w:rPr>
          <w:b/>
        </w:rPr>
        <w:t>Available abstract (not full text):</w:t>
      </w:r>
      <w:r>
        <w:t xml:space="preserve"> Abstract. This study features a cohesive modelling approach of human-caused wildfire ignitions applied to a set of representative regions in terms of fire activity across Europe (pilot sites, PS). Our main goal was to develop a common approach to model human-caused ignition probability at a fine-grained spatial resolution (100 m) and identify the main drivers of their emerge. Specifically, we (i) ascertain which factors influence ignitions in each PS; (ii) deliver a spatial-explicit representation of ignition probability, and (iii) provide a framework for comparison with regional-scale models among PS. To do so, we calibrated Random Forest models from historical fire records compiled by local fire agencies, and geospatial layers of land cover, accessibility, population density and dead fine-fuel moisture content (DFMC). Models were built individually for each PS, comparing them with a full model constructed from all PS. Furthermore, special attention was given to the effect of spatial autocorrelation in model performance. All models achieved sufficient predictive performance (AUCs from 0.70 to 0.89). For all PS models, the yearly anomaly in DFMC was the most influential variable. Among human-related factors, distance to the Wildland Urban Interface emerged as the most relevant variable, followed by proximity to roads, population density, and the fraction of wildland coverage. T</w:t>
      </w:r>
    </w:p>
    <w:p>
      <w:pPr/>
      <w:r>
        <w:rPr>
          <w:b/>
        </w:rPr>
        <w:t>POSSIBLE 2024:</w:t>
      </w:r>
      <w:r>
        <w:t xml:space="preserve"> Assessing Current Coastal Subsidence at Continental Scale: Insights From Europe Using the European Ground Motion Service — https://doi.org/10.1029/2024ef004523</w:t>
      </w:r>
    </w:p>
    <w:p>
      <w:pPr/>
      <w:r>
        <w:rPr>
          <w:b/>
        </w:rPr>
        <w:t>Shared claim-specific concepts:</w:t>
      </w:r>
      <w:r>
        <w:t xml:space="preserve"> assess, climate, land; EU scope visible. This is a provisional connection, not an outcome finding.</w:t>
      </w:r>
    </w:p>
    <w:p>
      <w:pPr>
        <w:pStyle w:val="SourceNote"/>
      </w:pPr>
      <w:r>
        <w:rPr>
          <w:b/>
        </w:rPr>
        <w:t>Available abstract (not full text):</w:t>
      </w:r>
      <w:r>
        <w:t xml:space="preserve"> Abstract Beside climate‐change‐induced sea‐level rise (SLR), land subsidence can strongly amplify coastal risk in flood‐prone areas. Mapping and quantifying contemporary vertical land motion (VLM) at continental scales has long been a challenge due to the absence of gridded observational products covering these large domains. Here, we fill this gap by using the new European Ground Motion Service (EGMS) to assess the current state of coastal VLM in Europe. First, we compare the InSAR‐based EGMS Ortho (Level 3) with nearby global navigation satellite systems (GNSS) vertical velocity estimates and show that the geodetic reference frame used to calibrate EGMS strongly influences coastal vertical land velocity estimates at the millimeter per year level and this needs to be considered with caution. After adjusting the EGMS vertical velocity estimates to a more updated and accurate International Terrestrial Reference Frame (ITRF2014), we performed an assessment of VLM in European low elevation coastal flood plains (CFPs). We find that nearly half of the European CFP area is, on average, subsiding at a rate faster than 1 mm/yr. More importantly, we find that urban areas and populations located in the CFP experience a near −1 mm/yr VLM on average (excluding the uplifting Fennoscandia region). For harbors, the average VLM is even larger and increases to −1.5 mm/yr on average. This demons</w:t>
      </w:r>
    </w:p>
    <w:p>
      <w:pPr/>
      <w:r>
        <w:rPr>
          <w:b/>
        </w:rPr>
        <w:t>POSSIBLE 2024:</w:t>
      </w:r>
      <w:r>
        <w:t xml:space="preserve"> Multifaceted Conscription: A Comparative Study of Six European Countries — https://doi.org/10.31374/sjms.166</w:t>
      </w:r>
    </w:p>
    <w:p>
      <w:pPr/>
      <w:r>
        <w:rPr>
          <w:b/>
        </w:rPr>
        <w:t>Shared claim-specific concepts:</w:t>
      </w:r>
      <w:r>
        <w:t xml:space="preserve"> article, four, combining; EU scope visible. This is a provisional connection, not an outcome finding.</w:t>
      </w:r>
    </w:p>
    <w:p>
      <w:pPr>
        <w:pStyle w:val="SourceNote"/>
      </w:pPr>
      <w:r>
        <w:rPr>
          <w:b/>
        </w:rPr>
        <w:t>Available abstract (not full text):</w:t>
      </w:r>
      <w:r>
        <w:t xml:space="preserve"> Although the last few decades have witnessed a shift from conscription to all-volunteer forces in many European countries, recent changes in the European security environment have raised new concerns and prompted several countries to reconsider conscription. However, modern conscription systems have also had to adapt to changing societies and an increasing emphasis on individualistic and neoliberal values. This study aims to examine the various forms of military conscription and illuminate the continuing viability of the conscription model in six European countries: Estonia, Finland, Lithuania, Norway, Sweden, and Switzerland. Four of these countries have consistently maintained conscription (Estonia, Finland, Norway, and Switzerland), while Lithuania and Sweden have recently reinstated conscription. Although conscription systems differ among these countries, there is overall an increasing emphasis on conscript motivation and female participation. Three key aspects are identified to describe different conscription systems: the proportion of conscripted individuals in the birth cohort, motivation to serve, and the approach to female conscripts. Combining these aspects, the study identifies three types of conscription system in these six countries. This article demonstrates that conscription has evolved and adapted to changing societies and security situations instead of merely r</w:t>
      </w:r>
    </w:p>
    <w:p>
      <w:pPr/>
      <w:r>
        <w:rPr>
          <w:b/>
        </w:rPr>
        <w:t>POSSIBLE 2024:</w:t>
      </w:r>
      <w:r>
        <w:t xml:space="preserve"> Assessing the Causal Impact of Culture on Socio-economic Variables in European Countries — https://doi.org/10.1177/02601079241232775</w:t>
      </w:r>
    </w:p>
    <w:p>
      <w:pPr/>
      <w:r>
        <w:rPr>
          <w:b/>
        </w:rPr>
        <w:t>Shared claim-specific concepts:</w:t>
      </w:r>
      <w:r>
        <w:t xml:space="preserve"> article, assess, set, indicators; EU scope visible. This is a provisional connection, not an outcome finding.</w:t>
      </w:r>
    </w:p>
    <w:p>
      <w:pPr>
        <w:pStyle w:val="SourceNote"/>
      </w:pPr>
      <w:r>
        <w:rPr>
          <w:b/>
        </w:rPr>
        <w:t>Available abstract (not full text):</w:t>
      </w:r>
      <w:r>
        <w:t xml:space="preserve"> Despite the growing attention to the impact of culture on socio-economic indicators, there is a lack of causality evidence. Scholars have noted that cultural values or norms, as well as, a vibrant cultural environment can have a positive impact on GDP growth, labour productivity, the attraction of human capital and the improvement of human well-being. However, the issue of endogeneity is not thoroughly debated. Not only can culture impact economic development, but socio-economic environment also affects the cultural indicators. Therefore, it is essential to identify the causal effects of culture. This article aims to assess whether culture has a causal impact on socio-economic variables. The Granger procedure is utilised to evaluate causal relationships, describing the cultural environment with a comprehensive set of 45 cultural indicators across 30 European countries. This enables the comparison of the relationship between culture and socio-economic variables using the same method across different countries. Additionally, cultural indices are constructed. The research is extended by employing a panel vector autoregression (VAR) model. The key finding of this article demonstrates a causal impact of culture on socio-economic indicators, confirmed by both the Granger procedure and panel VAR estimations. JEL Code: Z1</w:t>
      </w:r>
    </w:p>
    <w:p>
      <w:pPr/>
      <w:r>
        <w:rPr>
          <w:b/>
        </w:rPr>
        <w:t>POSSIBLE 2024:</w:t>
      </w:r>
      <w:r>
        <w:t xml:space="preserve"> Digital divide in the european union: assessing spatial disparities and neighborhood effects — https://doi.org/10.2298/ijgi2402181t</w:t>
      </w:r>
    </w:p>
    <w:p>
      <w:pPr/>
      <w:r>
        <w:rPr>
          <w:b/>
        </w:rPr>
        <w:t>Shared claim-specific concepts:</w:t>
      </w:r>
      <w:r>
        <w:t xml:space="preserve"> article, assess; EU scope visible. This is a provisional connection, not an outcome finding.</w:t>
      </w:r>
    </w:p>
    <w:p>
      <w:pPr>
        <w:pStyle w:val="SourceNote"/>
      </w:pPr>
      <w:r>
        <w:rPr>
          <w:b/>
        </w:rPr>
        <w:t>Available abstract (not full text):</w:t>
      </w:r>
      <w:r>
        <w:t xml:space="preserve"> This article aims to investigate whether the digital inequality within the European Union (EU) has been reduced in the period 2017-2022. The goal of the study is to measure the dynamics of EU digital inequality and assess the effectiveness of the EU supranational bodies in reducing digital disparities. The author seeks to determine if the dynamics of this divide have been influenced by the EU's supranational policy fostering digital transformation by juxtaposing EU financing of digital transformation and spatial disparities among EU members based on Digital Economy and Society Index (DESI) and its components. The study reveals that, despite the fact that the agenda of digital divide reduction has been in the focus of the European supranational bodies within the last 22 years, the funding of digital transformation was neither adequate in terms of volumes nor consistent. The main beneficiaries were the EU members located in Western and Southern Europe and the least supported area was the members in Eastern Europe. In addition, using spatial econometric analysis, the author proves that the spatial digital divide has decreased in the period 2017-2022 and coincides only partially with the conventional cleavage ?developed North &amp; West VS lagging South &amp; East?. However, as the correlation analysis shows, the EU financial support of digital transformation had a slight positive impact o</w:t>
      </w:r>
    </w:p>
    <w:p>
      <w:pPr/>
      <w:r>
        <w:rPr>
          <w:b/>
        </w:rPr>
        <w:t>POSSIBLE 2024:</w:t>
      </w:r>
      <w:r>
        <w:t xml:space="preserve"> The European Parliament as the voice of the European citizens? Examining the European Parliament’s role as a representative of the European citizens in the 2019 elections — https://doi.org/10.36253/qoe-15524</w:t>
      </w:r>
    </w:p>
    <w:p>
      <w:pPr/>
      <w:r>
        <w:rPr>
          <w:b/>
        </w:rPr>
        <w:t>Shared claim-specific concepts:</w:t>
      </w:r>
      <w:r>
        <w:t xml:space="preserve"> article, assess; EU scope visible. This is a provisional connection, not an outcome finding.</w:t>
      </w:r>
    </w:p>
    <w:p>
      <w:pPr>
        <w:pStyle w:val="SourceNote"/>
      </w:pPr>
      <w:r>
        <w:rPr>
          <w:b/>
        </w:rPr>
        <w:t>Available abstract (not full text):</w:t>
      </w:r>
      <w:r>
        <w:t xml:space="preserve"> The European Parliament is considered a solution to the democratic deficit because the citizens of the EU directly elect it. This article aims to examine the validity of this claim. Concerning representativeness, the focus is on the homogeneity of rules and procedures used for electing the members of the European Parliament (MEPs). This homogeneity is considered as necessary for the EP to represent the EU citizens. Thus, it aims to assess the impact of the United Kingdom's withdrawal from the European Union on the level of homogeneity of the rules used to conduct the 2019 European Parliament elections. This work claims that the European Parliament's role as representative of European Citizens is weakened by the consistent level of heterogeneity characterising the electoral rules used to elect it and that the withdrawal of the UK and the partial redistribution of seats simultaneously increased and decreased the level of homogeneity of the rules used to elect the MEPs.</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article, climate, use, environmental;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Foraging Practices and Sustainable Management of Wild Food Resources in Europe: A Systematic Review — https://doi.org/10.3390/land12071299</w:t>
      </w:r>
    </w:p>
    <w:p>
      <w:pPr/>
      <w:r>
        <w:rPr>
          <w:b/>
        </w:rPr>
        <w:t>Shared claim-specific concepts:</w:t>
      </w:r>
      <w:r>
        <w:t xml:space="preserve"> aim, article, land, use; EU scope visible. This is a provisional connection, not an outcome finding.</w:t>
      </w:r>
    </w:p>
    <w:p>
      <w:pPr>
        <w:pStyle w:val="SourceNote"/>
      </w:pPr>
      <w:r>
        <w:rPr>
          <w:b/>
        </w:rPr>
        <w:t>Available abstract (not full text):</w:t>
      </w:r>
      <w:r>
        <w:t xml:space="preserve"> Wild food gathering activities (i.e., foraging practices) played an important role in securing food in the past. Nowadays, these resources and the knowledge around their use are experiencing a process of erosion. This article aims to identify the factors explaining the abandonment or, on the other hand, the preservation of foraging practices in Europe. The second aim is to analyze how these practices contribute to the economic and social development of local communities and to the sustainability of land management. A systematic review of the literature on European foraging practices was performed to answer these research questions. Following this approach, 111 publications were selected and analyzed. The results highlight that the reasons for the abandonment of foraging practices are related to socio-economic changes as well as changes in the environment such as reduced availability and land-use change. On the other hand, heritagization processes of these resources, such as wild plants sold as traditional local products, in restaurants, or as eco-tourism experiences, are emerging. The sustainability of these practices has not been widely evaluated in the literature. Efficient management strategies of wild food resources could help foster all three dimensions of sustainability at the local level, as well as help preserve traditional knowledge. This systematic review thus contrib</w:t>
      </w:r>
    </w:p>
    <w:p>
      <w:pPr/>
      <w:r>
        <w:rPr>
          <w:b/>
        </w:rPr>
        <w:t>POSSIBLE 2023:</w:t>
      </w:r>
      <w:r>
        <w:t xml:space="preserve"> Review article: A European perspective on wind and storm damage – from the meteorological background to index-based approaches to assess impacts — https://doi.org/10.5194/nhess-23-2171-2023</w:t>
      </w:r>
    </w:p>
    <w:p>
      <w:pPr/>
      <w:r>
        <w:rPr>
          <w:b/>
        </w:rPr>
        <w:t>Shared claim-specific concepts:</w:t>
      </w:r>
      <w:r>
        <w:t xml:space="preserve"> article, assess, land; EU scope visible. This is a provisional connection, not an outcome finding.</w:t>
      </w:r>
    </w:p>
    <w:p>
      <w:pPr>
        <w:pStyle w:val="SourceNote"/>
      </w:pPr>
      <w:r>
        <w:rPr>
          <w:b/>
        </w:rPr>
        <w:t>Available abstract (not full text):</w:t>
      </w:r>
      <w:r>
        <w:t xml:space="preserve"> Abstract. Wind and windstorms cause severe damage to natural and human-made environments. Thus, wind-related risk assessment is vital for the preparation and mitigation of calamities. However, the cascade of events leading to damage depends on many factors that are environment-specific and the available methods to address wind-related damage often require sophisticated analysis and specialization. Fortunately, simple indices and thresholds are as effective as complex mechanistic models for many applications. Nonetheless, the multitude of indices and thresholds available requires a careful selection process according to the target environment. Here, we first provide a basic background on wind and storm formation and characteristics, followed by a comprehensive collection of both indices and thresholds that can be used to predict the occurrence and magnitude of wind and storm damage. We focused on five key environments: forests, urban, transport, agriculture, and wind-based energy production. For each environment we described indices and thresholds relating to physical properties such as topography and land cover but also to economic aspects (e.g. disruptions in transportation or energy production). In the face of increased climatic variability, the promotion of more effective analysis of wind and storm damage could reduce the impact on society and the environment.</w:t>
      </w:r>
    </w:p>
    <w:p>
      <w:pPr/>
      <w:r>
        <w:rPr>
          <w:b/>
        </w:rPr>
        <w:t>POSSIBLE 2022:</w:t>
      </w:r>
      <w:r>
        <w:t xml:space="preserve"> Governing artificial intelligence in China and the European Union: Comparing aims and promoting ethical outcomes — https://doi.org/10.1080/01972243.2022.2124565</w:t>
      </w:r>
    </w:p>
    <w:p>
      <w:pPr/>
      <w:r>
        <w:rPr>
          <w:b/>
        </w:rPr>
        <w:t>Shared claim-specific concepts:</w:t>
      </w:r>
      <w:r>
        <w:t xml:space="preserve"> aim, article, use; EU scope visible. This is a provisional connection, not an outcome finding.</w:t>
      </w:r>
    </w:p>
    <w:p>
      <w:pPr>
        <w:pStyle w:val="SourceNote"/>
      </w:pPr>
      <w:r>
        <w:rPr>
          <w:b/>
        </w:rPr>
        <w:t>Available abstract (not full text):</w:t>
      </w:r>
      <w:r>
        <w:t xml:space="preserve"> In this article, we compare the artificial intelligence strategies of China and the European Union, assessing the key similarities and differences regarding what the high-level aims of each governance strategy are, how the development and use of AI is promoted in the public and private sectors, and whom these policies are meant to benefit. We characterize China’s strategy by its primary focus on fostering innovation and a more recent emphasis on “common prosperity,” and the EU’s on promoting ethical outcomes through protecting fundamental rights. Building on this comparative analysis, we consider the areas where the EU and China could learn from and improve upon each other’s approaches to AI governance to promote more ethical outcomes. We outline policy recommendations for both European and Chinese policymakers that would support them in achieving this aim.</w:t>
      </w:r>
    </w:p>
    <w:p>
      <w:pPr>
        <w:pStyle w:val="Heading2"/>
      </w:pPr>
      <w:r>
        <w:t>912. European packaging industry foresight study—identifying global drivers and driven packaging industry implications of the global megatrends</w:t>
      </w:r>
    </w:p>
    <w:p>
      <w:pPr>
        <w:pStyle w:val="SourceNote"/>
      </w:pPr>
      <w:r>
        <w:rPr>
          <w:b/>
        </w:rPr>
        <w:t>Original source (2014):</w:t>
      </w:r>
      <w:r>
        <w:t xml:space="preserve"> https://doi.org/10.1007/s40309-014-0039-4</w:t>
      </w:r>
    </w:p>
    <w:p>
      <w:pPr/>
      <w:r>
        <w:t>Original wording (abstract; indexed_source_text_not_full_document_verified): The potential packaging implications of those trends and drivers are then evaluated to highlight potential future demands, opportunities and threats for packaging. The purpose of the research is to provide a common multi-client platform as a base for further applied foresight work in the packaging sector.</w:t>
      </w:r>
    </w:p>
    <w:p>
      <w:pPr/>
      <w:r>
        <w:rPr>
          <w:b/>
        </w:rPr>
        <w:t>POSSIBLE 2026:</w:t>
      </w:r>
      <w:r>
        <w:t xml:space="preserve"> Environmental consequences of replacing polyethylene packaging in the United States and Europe — https://doi.org/10.1016/j.resenv.2026.100390</w:t>
      </w:r>
    </w:p>
    <w:p>
      <w:pPr/>
      <w:r>
        <w:rPr>
          <w:b/>
        </w:rPr>
        <w:t>Shared claim-specific concepts:</w:t>
      </w:r>
      <w:r>
        <w:t xml:space="preserve"> potential, packaging, implications; EU scope visible. This is a provisional connection, not an outcome finding.</w:t>
      </w:r>
    </w:p>
    <w:p>
      <w:pPr>
        <w:pStyle w:val="SourceNote"/>
      </w:pPr>
      <w:r>
        <w:rPr>
          <w:b/>
        </w:rPr>
        <w:t>Available abstract (not full text):</w:t>
      </w:r>
      <w:r>
        <w:t xml:space="preserve"> Substituting plastic packaging with alternative materials is increasingly promoted as a strategy to reduce environmental burdens and support resource conservation, yet broader trade-offs remain insufficiently understood. This study evaluates potential environmental consequences of replacing polyethylene (PE) packaging with alternatives in the U.S. and Europe using comparative life cycle assessment. Cradle-to-end-of-life impacts were assessed for five major packaging applications using region-specific inventories and midpoint indicators for global warming potential, acidification, eutrophication, water use, land use, and fossil resource use. PE demand and substitution scenarios were projected to 2030 to examine implications for material demand and resource-related impacts. Across most applications and impact categories assessed, PE packaging showed lower potential environmental impacts than paper, glass, and metal alternatives. Substitution could increase packaging mass by up to five to six times and double global warming potential, with increases of 190% in the U.S. and 50% in Europe. These findings indicate that material substitution alone is not necessarily a resource-efficient or environmentally preferable strategy. Packaging decisions and policies should therefore be guided by functionally equivalent, region-specific life cycle data that accounts for burden shifting across </w:t>
      </w:r>
    </w:p>
    <w:p>
      <w:pPr/>
      <w:r>
        <w:rPr>
          <w:b/>
        </w:rPr>
        <w:t>POSSIBLE 2025:</w:t>
      </w:r>
      <w:r>
        <w:t xml:space="preserve"> Impact of emerging packaging regulations on international trade and product safety with emphasis on plastic reuse and recycling in Europe and North America — https://doi.org/10.1111/jiec.70079</w:t>
      </w:r>
    </w:p>
    <w:p>
      <w:pPr/>
      <w:r>
        <w:rPr>
          <w:b/>
        </w:rPr>
        <w:t>Shared claim-specific concepts:</w:t>
      </w:r>
      <w:r>
        <w:t xml:space="preserve"> potential, packaging, implications, those; EU scope visible. This is a provisional connection, not an outcome finding.</w:t>
      </w:r>
    </w:p>
    <w:p>
      <w:pPr>
        <w:pStyle w:val="SourceNote"/>
      </w:pPr>
      <w:r>
        <w:rPr>
          <w:b/>
        </w:rPr>
        <w:t>Available abstract (not full text):</w:t>
      </w:r>
      <w:r>
        <w:t xml:space="preserve"> Abstract The evolving global landscape of packaging regulations, driven by heightened public concern over single‐use packaging and plastic waste, signals a significant shift toward circular economy principles. These regulatory changes, including the United Nations Environmental Programme's endorsement of a legally binding international agreement on plastic waste management, are expected to have far‐reaching impacts on product safety, packaging design, and global trade. The newly adopted and emerging policies prioritize waste reduction, reuse, recycling, and the integration of recycled materials. However, the rapid introduction of environmentally driven packaging regulations—especially those targeting sensitive sectors like food and cosmetics—presents potential risks for product/packaging safety and food waste, alongside challenges for trade harmonization across regions with divergent regulatory goals. This forum article reviews key regulatory frameworks from Asia, Europe, and the Americas, detailing material bans, reuse and refill targets, recycling mandates, and extended producer responsibility initiatives. It examines the potential impact of these regulations on global trade dynamics and their implications for universally accepted safety standards. Despite the well‐meaning intent behind these laws, gaps in understanding the protective role of packaging and its broader environ</w:t>
      </w:r>
    </w:p>
    <w:p>
      <w:pPr/>
      <w:r>
        <w:rPr>
          <w:b/>
        </w:rPr>
        <w:t>POSSIBLE 2025:</w:t>
      </w:r>
      <w:r>
        <w:t xml:space="preserve"> Assessing Ochratoxin A Contamination in Pre-Packaged Grated Cheese: Implications for Food Safety — https://doi.org/10.3390/foods14091504</w:t>
      </w:r>
    </w:p>
    <w:p>
      <w:pPr/>
      <w:r>
        <w:rPr>
          <w:b/>
        </w:rPr>
        <w:t>Shared claim-specific concepts:</w:t>
      </w:r>
      <w:r>
        <w:t xml:space="preserve"> potential, implications, common, sector; EU scope visible. This is a provisional connection, not an outcome finding.</w:t>
      </w:r>
    </w:p>
    <w:p>
      <w:pPr>
        <w:pStyle w:val="SourceNote"/>
      </w:pPr>
      <w:r>
        <w:rPr>
          <w:b/>
        </w:rPr>
        <w:t>Available abstract (not full text):</w:t>
      </w:r>
      <w:r>
        <w:t xml:space="preserve"> Cheese is a globally consumed dairy product, with Europe leading the world in its consumption. Italy, as the third-largest cheese producer within the European Union, plays a crucial role in the sector, particularly through its production of Protected Designation of Origin (P.D.O.) cheeses, including Grana Padano and Parmigiano Reggiano. These hard cheeses are widely utilized in pre-packaged grated cheese products, owing to their broad appeal and recognized quality. While mold is a common and often necessary component in cheese production for the development of flavor and texture, fungal growth can also detrimentally affect the quality of cheese, potentially causing economic losses and posing food safety risks. Some molds are capable of producing mycotoxins, such as ochratoxin A (OTA), a toxic compound that has been identified in cheese. This study aims to quantitatively assess the prevalence of OTA contamination in various pre-packaged grated cheese products using the high-performance liquid chromatography method while also exploring the potential implications for food safety. The results revealed a high incidence of OTA, with 97.6% of the samples tested positive for contamination, ranging from below the limit of detection (</w:t>
      </w:r>
    </w:p>
    <w:p>
      <w:pPr/>
      <w:r>
        <w:rPr>
          <w:b/>
        </w:rPr>
        <w:t>POSSIBLE 2025:</w:t>
      </w:r>
      <w:r>
        <w:t xml:space="preserve"> Key drivers of the future European printed packaging market — https://doi.org/10.59476/ilpmt2025.36-48</w:t>
      </w:r>
    </w:p>
    <w:p>
      <w:pPr/>
      <w:r>
        <w:rPr>
          <w:b/>
        </w:rPr>
        <w:t>Shared claim-specific concepts:</w:t>
      </w:r>
      <w:r>
        <w:t xml:space="preserve"> packaging, drivers, sector; EU scope visible. This is a provisional connection, not an outcome finding.</w:t>
      </w:r>
    </w:p>
    <w:p>
      <w:pPr>
        <w:pStyle w:val="SourceNote"/>
      </w:pPr>
      <w:r>
        <w:rPr>
          <w:b/>
        </w:rPr>
        <w:t>Available abstract (not full text):</w:t>
      </w:r>
      <w:r>
        <w:t xml:space="preserve"> Europe’s packaging sector is transforming—driven by innovation, regulation, and collaboration. The sector continues to grow while undergoing significant change, responding to increasingly complex expectations from regulators, brand owners, and consumers alike. Drawing on recent conference presentations, journal articles and market reports, the authors present detailed the key drivers of the packaging market: sustainability and regulation, the growth of e-commerce, changing consumer attitudes and lifestyles, digitalisation and innovation, advances of printing technology and packaging format innovation.</w:t>
      </w:r>
    </w:p>
    <w:p>
      <w:pPr/>
      <w:r>
        <w:rPr>
          <w:b/>
        </w:rPr>
        <w:t>POSSIBLE 2025:</w:t>
      </w:r>
      <w:r>
        <w:t xml:space="preserve"> Food packaging business models as drivers for sustainability in the food packaging industry — https://doi.org/10.3389/fsufs.2025.1563904</w:t>
      </w:r>
    </w:p>
    <w:p>
      <w:pPr/>
      <w:r>
        <w:rPr>
          <w:b/>
        </w:rPr>
        <w:t>Shared claim-specific concepts:</w:t>
      </w:r>
      <w:r>
        <w:t xml:space="preserve"> potential, packaging, drivers, purpose; EU scope visible. This is a provisional connection, not an outcome finding.</w:t>
      </w:r>
    </w:p>
    <w:p>
      <w:pPr>
        <w:pStyle w:val="SourceNote"/>
      </w:pPr>
      <w:r>
        <w:rPr>
          <w:b/>
        </w:rPr>
        <w:t>Available abstract (not full text):</w:t>
      </w:r>
      <w:r>
        <w:t xml:space="preserve"> The global food packaging industry faces severe environmental challenges due to its reliance on plastics and the growing demand for convenience. In Europe, food packaging alone accounts for 40.5% of all plastic production, yet only 35% of this waste is recycled. The purpose of this study is to examine business models, technological innovations (like AI, IoT, and blockchain) and the relation with customers to support the transition to a circular economy in food packaging. The research focuses on models such as Safe and Sustainable by Design (SSbD) and reusable and returnable packaging systems, evaluating their potential to minimize environmental impact. A key aspect of the investigation is consumer behavior. While consumers express a preference for sustainable options, actual purchasing decisions often prioritize cost and convenience. The study explores how emerging technologies are transforming packaging design by enhancing product safety and improving supply chain transparency. Additionally, regulatory frameworks, particularly within the European Union, such as the Single-Use Plastics Directive (SUPD) and the Circular Economy Action Plan (CEAP), are driving industry-wide changes toward sustainability. However, disparities in adoption and regulatory compliance on a global scale present significant challenges to implementation. The outcome of this study is a set of strategic rec</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implications, trends, purpose;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Effects of Circularity Interventions in the European Plastic Packaging Sector — https://doi.org/10.1021/acs.est.2c08202</w:t>
      </w:r>
    </w:p>
    <w:p>
      <w:pPr/>
      <w:r>
        <w:rPr>
          <w:b/>
        </w:rPr>
        <w:t>Shared claim-specific concepts:</w:t>
      </w:r>
      <w:r>
        <w:t xml:space="preserve"> potential, packaging, work, sector; EU scope visible. This is a provisional connection, not an outcome finding.</w:t>
      </w:r>
    </w:p>
    <w:p>
      <w:pPr>
        <w:pStyle w:val="SourceNote"/>
      </w:pPr>
      <w:r>
        <w:rPr>
          <w:b/>
        </w:rPr>
        <w:t>Available abstract (not full text):</w:t>
      </w:r>
      <w:r>
        <w:t xml:space="preserve"> High Resolution Image Download MS PowerPoint Slide Low levels of plastics circularity today reflect major challenges for the sector to reduce environmental impacts and a need for wider systemic change. In this work, we investigated the potential for climate and socioeconomic benefits of circular economy (CE) interventions in the plastic packaging system. By means of a mixed-unit input–output (IO) model, we performed a comparative scenario analysis for the development of demand and waste management up to 2030 within the EU-28 (EU27 + United Kingdom). We modeled the development of material flows and assessed the effects of both demand-side and end-of-life interventions. Different levels of ambition toward 2030 based on EU circular economy strategies were tested. Results showed that on reaching high levels of circularity, between 14 and 22 Mt CO 2 -eq/year could be reduced by 2030 (20–30% of the total sector impact in 2018) compared to business-as-usual. Demand change (e.g., by decreasing product packaging intensities) showed similar emission-saving potential as achieving the current recycling target of 55%, which emphasizes the role of demand-side actions. Most scenarios displayed moderate employment gains and potential economic losses, pertaining to both direct and indirect activity shifts in the economy. While considering model limitations, the approach is useful in indicating </w:t>
      </w:r>
    </w:p>
    <w:p>
      <w:pPr/>
      <w:r>
        <w:rPr>
          <w:b/>
        </w:rPr>
        <w:t>POSSIBLE 2023:</w:t>
      </w:r>
      <w:r>
        <w:t xml:space="preserve"> Chitosan with Natural Additives as a Potential Food Packaging — https://doi.org/10.3390/ma16041579</w:t>
      </w:r>
    </w:p>
    <w:p>
      <w:pPr/>
      <w:r>
        <w:rPr>
          <w:b/>
        </w:rPr>
        <w:t>Shared claim-specific concepts:</w:t>
      </w:r>
      <w:r>
        <w:t xml:space="preserve"> potential, packaging, common, further; EU scope not established. This is a provisional connection, not an outcome finding.</w:t>
      </w:r>
    </w:p>
    <w:p>
      <w:pPr>
        <w:pStyle w:val="SourceNote"/>
      </w:pPr>
      <w:r>
        <w:rPr>
          <w:b/>
        </w:rPr>
        <w:t>Available abstract (not full text):</w:t>
      </w:r>
      <w:r>
        <w:t xml:space="preserve"> Recently, the development of materials based on natural polymers have been observed. This is the result of increasing environmental degradation, as well as increased awareness and consumer expectations. Many industries, especially the packaging industry, face challenges resulting from legal regulations. Chitin is the most common biopolymer right after cellulose and is used to produce chitosan. Due to the properties of chitosan, such as non-toxicity, biocompatibility, as well as antimicrobial properties, chitosan-based materials are used in many industries. Many studies have been conducted to determine the suitability of chitosan materials as food packaging, and their advantages and limitations have been identified. Thanks to the possibility of modifying the chitosan matrix by using natural additives, it is possible to strengthen the antioxidant and antimicrobial activity of chitosan films, which means that, in the near future, chitosan-based materials will be a more environmentally friendly alternative to the plastic packaging used so far. The article presents literature data on the most commonly used natural additives, such as essential oils, plant extracts, or polysaccharides, and their effects on antimicrobial, antioxidant, mechanical, barrier, and optical properties. The application of chitosan as a natural biopolymer in food packaging extends the shelf-life of various food</w:t>
      </w:r>
    </w:p>
    <w:p>
      <w:pPr/>
      <w:r>
        <w:rPr>
          <w:b/>
        </w:rPr>
        <w:t>POSSIBLE 2023:</w:t>
      </w:r>
      <w:r>
        <w:t xml:space="preserve"> European forest sinks and climate targets: past trends, main drivers, and future forecasts — https://doi.org/10.1007/s10342-023-01587-4</w:t>
      </w:r>
    </w:p>
    <w:p>
      <w:pPr/>
      <w:r>
        <w:rPr>
          <w:b/>
        </w:rPr>
        <w:t>Shared claim-specific concepts:</w:t>
      </w:r>
      <w:r>
        <w:t xml:space="preserve"> trends, drivers, sector; EU scope visible. This is a provisional connection, not an outcome finding.</w:t>
      </w:r>
    </w:p>
    <w:p>
      <w:pPr>
        <w:pStyle w:val="SourceNote"/>
      </w:pPr>
      <w:r>
        <w:rPr>
          <w:b/>
        </w:rPr>
        <w:t>Available abstract (not full text):</w:t>
      </w:r>
      <w:r>
        <w:t xml:space="preserve"> Abstract We examine the evolution of European net sinks towards 2030 and the European Union’s (EU) climate neutrality target by 2050. The EU’s current land use policy for 2021–2030 is divided into two periods: 2021–2025 and 2026–2030. The national inventory data from several databases and statistical analyses are used to examine the trends and drivers and to forecast future forest sinks and the net sinks of the land use, land use change and forestry (LULUCF) sector. Our forecasts suggest that national forest sinks will be short of the agreed forest reference levels in most member states in 2021–2025, with a total of 128 MtCO 2 eq. For 2026–2030, the net sink for the whole EU LULUCF sector will be short of the EU target by 298 MtCO 2 eq. Thus, most member states must design more efficient LULUCF policies to fulfil their national targets. Furthermore, the decreasing trends in the LULUCF sinks also emphasize the need to reduce emissions and to increase the sinks in most member states so that the EU can achieve its climate neutrality goal by 2050.</w:t>
      </w:r>
    </w:p>
    <w:p>
      <w:pPr/>
      <w:r>
        <w:rPr>
          <w:b/>
        </w:rPr>
        <w:t>POSSIBLE 2023:</w:t>
      </w:r>
      <w:r>
        <w:t xml:space="preserve"> Population development as a driver of coastal risk: Current trends and future pathways — https://doi.org/10.1017/cft.2023.3</w:t>
      </w:r>
    </w:p>
    <w:p>
      <w:pPr/>
      <w:r>
        <w:rPr>
          <w:b/>
        </w:rPr>
        <w:t>Shared claim-specific concepts:</w:t>
      </w:r>
      <w:r>
        <w:t xml:space="preserve"> potential, trends, work; EU scope not established. This is a provisional connection, not an outcome finding.</w:t>
      </w:r>
    </w:p>
    <w:p>
      <w:pPr>
        <w:pStyle w:val="SourceNote"/>
      </w:pPr>
      <w:r>
        <w:rPr>
          <w:b/>
        </w:rPr>
        <w:t>Available abstract (not full text):</w:t>
      </w:r>
      <w:r>
        <w:t xml:space="preserve"> Abstract Coastal areas are subject to hazards that can result in severe impacts due to the high concentration of people and assets in exposed locations. While climate-induced sea-level rise will exacerbate these hazards in the course of the 21st century, future dynamics in socioeconomic development will play an important role in driving impacts – as well as adaptation responses – in particular in countries with rapid population growth in low-lying coastal areas. Here, we synthesize the current state of knowledge related to current and future population development in coastal locations and the underlying trends in socioeconomic development affecting coastal impacts at continental to global scales. Currently, 2.15 billion people live in the near-coastal zone and 898 million in the low-elevation coastal zone globally. These numbers could increase to 2.9 billion and 1.2 billion, respectively, depending on the socioeconomic scenario (i.e., Shared Socioeconomic Pathway [SSP]) considered. Nevertheless, although these numbers indicate a rapid increase in exposure of population and assets to coastal hazards, they bear limited information about the actual impacts as they do not include information on the vulnerability of coastal population. Based on these insights, we stress the need to account for dynamics in socioeconomic development in coastal risk assessments, including exposure as w</w:t>
      </w:r>
    </w:p>
    <w:p>
      <w:pPr/>
      <w:r>
        <w:rPr>
          <w:b/>
        </w:rPr>
        <w:t>POSSIBLE 2023:</w:t>
      </w:r>
      <w:r>
        <w:t xml:space="preserve"> The Mechanisms of Plastic Food-Packaging Monomers’ Migration into Food Matrix and the Implications on Human Health — https://doi.org/10.3390/foods12183364</w:t>
      </w:r>
    </w:p>
    <w:p>
      <w:pPr/>
      <w:r>
        <w:rPr>
          <w:b/>
        </w:rPr>
        <w:t>Shared claim-specific concepts:</w:t>
      </w:r>
      <w:r>
        <w:t xml:space="preserve"> potential, packaging, implications; EU scope not established. This is a provisional connection, not an outcome finding.</w:t>
      </w:r>
    </w:p>
    <w:p>
      <w:pPr>
        <w:pStyle w:val="SourceNote"/>
      </w:pPr>
      <w:r>
        <w:rPr>
          <w:b/>
        </w:rPr>
        <w:t>Available abstract (not full text):</w:t>
      </w:r>
      <w:r>
        <w:t xml:space="preserve"> The development of packaging technology has become a crucial part of the food industry in today's modern societies, which are characterized by technological advancements, industrialization, densely populated cities, and scientific advancements that have increased food production over the past 50 years despite the lack of agricultural land. Various types of food-packaging materials are utilized, with plastic being the most versatile. However, there are certain concerns with regards to the usage of plastic packaging because of unreacted monomers' potential migration from the polymer packaging to the food. The magnitude of monomer migration depends on numerous aspects, including the monomer chemistry, type of plastic packaging, physical-chemical parameters such as the temperature and pH, and food chemistry. The major concern for the presence of packaging monomers in food is that some monomers are endocrine-disrupting compounds (EDCs) with a capability to interfere with the functioning of vital hormonal systems in the human body. For this reason, different countries have resolved to enforce guidelines and regulations for packaging monomers in food. Additionally, many countries have introduced migration testing procedures and safe limits for packaging monomer migration into food. However, to date, several research studies have reported levels of monomer migration above the set migra</w:t>
      </w:r>
    </w:p>
    <w:p>
      <w:pPr/>
      <w:r>
        <w:rPr>
          <w:b/>
        </w:rPr>
        <w:t>POSSIBLE 2022:</w:t>
      </w:r>
      <w:r>
        <w:t xml:space="preserve"> An Overview of Packaging Waste Models in Some European Countries — https://doi.org/10.3390/recycling7030038</w:t>
      </w:r>
    </w:p>
    <w:p>
      <w:pPr/>
      <w:r>
        <w:rPr>
          <w:b/>
        </w:rPr>
        <w:t>Shared claim-specific concepts:</w:t>
      </w:r>
      <w:r>
        <w:t xml:space="preserve"> packaging, implications, provide, base; EU scope visible. This is a provisional connection, not an outcome finding.</w:t>
      </w:r>
    </w:p>
    <w:p>
      <w:pPr>
        <w:pStyle w:val="SourceNote"/>
      </w:pPr>
      <w:r>
        <w:rPr>
          <w:b/>
        </w:rPr>
        <w:t>Available abstract (not full text):</w:t>
      </w:r>
      <w:r>
        <w:t xml:space="preserve"> Efficient packaging waste management systems are essential considering recent revisions of the European legislation on packaging waste management that sets ambitious targets. European rules aim to deal with the increasing quantities of packaging waste, which cause environmental problems. Consequently, it is necessary to identify functional packaging waste management systems to achieve these targets effectively and efficiently. However, given the heterogeneity of the different packaging management systems, policymakers, scholars, and industry operators struggle to have a comparative view. The number of non-harmonized laws in force across countries, autonomous recycling targets, and constant updates are prominent problems that make it difficult to obtain comparable information for research, business, and policymaking. To fill this gap, our research question consists of assigning responsibilities for prevention, collection, recycling, and recovery and an overview of some models at a glance with respect to the general governance and functioning of the system. We base our research on a multiple-case design since more cases are examined using complementary data collection methods, analysis of the previous literature, reports, legislation, and business and institutional websites. Our results provide insights from the following cases: Germany, France, the United Kingdom, the Netherland</w:t>
      </w:r>
    </w:p>
    <w:p>
      <w:pPr>
        <w:pStyle w:val="Heading2"/>
      </w:pPr>
      <w:r>
        <w:t>913. Forecasting the Diffusion of Gigabit Home Networking In Europe</w:t>
      </w:r>
    </w:p>
    <w:p>
      <w:pPr>
        <w:pStyle w:val="SourceNote"/>
      </w:pPr>
      <w:r>
        <w:rPr>
          <w:b/>
        </w:rPr>
        <w:t>Original source (2014):</w:t>
      </w:r>
      <w:r>
        <w:t xml:space="preserve"> https://doi.org/10.4018/ijtd.2014070103</w:t>
      </w:r>
    </w:p>
    <w:p>
      <w:pPr/>
      <w:r>
        <w:t>Original wording (abstract; indexed_source_text_not_full_document_verified): Market stakeholders have cooperated to evolve home networking towards an integrated, converged Gigabit technology, which will completely change the Home Area Networks (HANs) landscape and will enable a wave of possibilities. However, the lack of historical data on which such a forecast could be based presents a barrier that existing literature has not successfully addressed.</w:t>
      </w:r>
    </w:p>
    <w:p>
      <w:pPr/>
      <w:r>
        <w:rPr>
          <w:b/>
        </w:rPr>
        <w:t>POSSIBLE 2026:</w:t>
      </w:r>
      <w:r>
        <w:t xml:space="preserve"> Stakeholder engagement in hubs for circularity in Europe — https://doi.org/10.1051/mattech/2026012</w:t>
      </w:r>
    </w:p>
    <w:p>
      <w:pPr/>
      <w:r>
        <w:rPr>
          <w:b/>
        </w:rPr>
        <w:t>Shared claim-specific concepts:</w:t>
      </w:r>
      <w:r>
        <w:t xml:space="preserve"> stakeholders, area, however; EU scope visible. This is a provisional connection, not an outcome finding.</w:t>
      </w:r>
    </w:p>
    <w:p>
      <w:pPr>
        <w:pStyle w:val="SourceNote"/>
      </w:pPr>
      <w:r>
        <w:rPr>
          <w:b/>
        </w:rPr>
        <w:t>Available abstract (not full text):</w:t>
      </w:r>
      <w:r>
        <w:t xml:space="preserve"> This research highlights the critical role of stakeholder engagement in the successful implementation of industrial symbiosis (IS) in the circular economy (CE). Although stakeholder engagement is recognised as a key driver in advancing circular economy models, research in this area is limited. In this paper, we examine four industrial hubs within the context of the IS2H4C project. These hubs are referred to as Hubs for Circularity (H4C) and are located in Spain, the Netherlands, Germany and Turkey. Qualitative interviews with key stakeholders from industry, policy, academia and society were used as the research method. The results show that a stakeholder analysis alone is insufficient for H4Cs. This research proved that active and continuous engagement is necessary, with a regional and local approach. Governance structures at these levels are key to long-term engagement. The results suggest that regulatory frameworks, such as the ReFuelEU Aviation Regulation in the German hub, are the main drivers of stakeholder participation, as well as infrastructure delays. Industrial clusters and companies also play an active role in promoting social acceptance, as do trade unions. However, in order to create a sustainable and inclusive environment involving all categories of stakeholders, including society, academia, industry and politics, it is essential to coordinate local and regional a</w:t>
      </w:r>
    </w:p>
    <w:p>
      <w:pPr/>
      <w:r>
        <w:rPr>
          <w:b/>
        </w:rPr>
        <w:t>POSSIBLE 2025:</w:t>
      </w:r>
      <w:r>
        <w:t xml:space="preserve"> Logistics Market Stakeholders in the Context of Sustainable Development and ESG — https://doi.org/10.54740/ros.2025.067</w:t>
      </w:r>
    </w:p>
    <w:p>
      <w:pPr/>
      <w:r>
        <w:rPr>
          <w:b/>
        </w:rPr>
        <w:t>Shared claim-specific concepts:</w:t>
      </w:r>
      <w:r>
        <w:t xml:space="preserve"> stakeholders, area; EU scope not established. This is a provisional connection, not an outcome finding.</w:t>
      </w:r>
    </w:p>
    <w:p>
      <w:pPr>
        <w:pStyle w:val="SourceNote"/>
      </w:pPr>
      <w:r>
        <w:rPr>
          <w:b/>
        </w:rPr>
        <w:t>Available abstract (not full text):</w:t>
      </w:r>
      <w:r>
        <w:t xml:space="preserve"> In recent years, ESG (Environmental, Social, Governance) criteria have gained significant importance in assessing the activities of entities operating in the logistics market. Dynamic regulatory changes, increasing stakeholder pressure, and the need to reduce negative environmental and social impacts have made ESG issues an integral element of logistics system management. This paper aims to identify and analyse key stakeholder groups in the logistics market and to determine their expectations across the environmental, social, and governance dimensions. The study proposes an original stakeholder classification that encompasses actors involved in the value chain and market, as well as institutional and societal stakeholders. The analysis reveals a diversified yet partially overlapping structure of stakeholder expectations across individual ESG dimensions, with corporate governance playing a crucial role as an integrating area that links environmental and social activities. The results may provide a basis for further empirical research and support logistics companies in designing and implementing sustainable development strategies.</w:t>
      </w:r>
    </w:p>
    <w:p>
      <w:pPr/>
      <w:r>
        <w:rPr>
          <w:b/>
        </w:rPr>
        <w:t>POSSIBLE 2025:</w:t>
      </w:r>
      <w:r>
        <w:t xml:space="preserve"> Local flexibility markets in Europe: A critical review of market designs, operational maturity and stakeholder perspectives — https://doi.org/10.1016/j.rser.2025.116434</w:t>
      </w:r>
    </w:p>
    <w:p>
      <w:pPr/>
      <w:r>
        <w:rPr>
          <w:b/>
        </w:rPr>
        <w:t>Shared claim-specific concepts:</w:t>
      </w:r>
      <w:r>
        <w:t xml:space="preserve"> stakeholders, networks, enable, lack; EU scope visible. This is a provisional connection, not an outcome finding.</w:t>
      </w:r>
    </w:p>
    <w:p>
      <w:pPr>
        <w:pStyle w:val="SourceNote"/>
      </w:pPr>
      <w:r>
        <w:rPr>
          <w:b/>
        </w:rPr>
        <w:t>Available abstract (not full text):</w:t>
      </w:r>
      <w:r>
        <w:t xml:space="preserve"> Local Flexibility Markets (LFMs) are gaining importance across Europe as a potential solution to emerging challenges in the management of distribution networks. Driven by European Union directives on electricity market design, LFMs aim to enable distribution system operators to procure ancillary services from distributed energy resources through transparent and economically efficient mechanisms. This study offers a comprehensive analysis of the designs and current implementation stages of LFMs, combining a systematic literature review with an in-depth assessment of selected European cases and structured interviews with key stakeholders. The literature analysis highlights current research trends, methodological approaches, and future developments. The case analysis covers various European countries, including nations with mature LFMs, such as Great Britain, as well as those where LFMs are still in the early stages of development, such as Italy. Specifically, it provides detailed insights into ancillary services definitions, technical and market requirements, remuneration schemes, baseline calculation methodologies, and observed market outcomes. Interviews with distribution system operators, balancing service providers, and market platform operators enrich the analysis by revealing practical perspectives on the benefits and challenges of LFMs. The findings indicate that regulator</w:t>
      </w:r>
    </w:p>
    <w:p>
      <w:pPr/>
      <w:r>
        <w:rPr>
          <w:b/>
        </w:rPr>
        <w:t>POSSIBLE 2025:</w:t>
      </w:r>
      <w:r>
        <w:t xml:space="preserve"> Medical Devices: Market Environment &amp; Stakeholder Analysis — https://doi.org/10.1007/978-3-032-03577-6_4</w:t>
      </w:r>
    </w:p>
    <w:p>
      <w:pPr/>
      <w:r>
        <w:rPr>
          <w:b/>
        </w:rPr>
        <w:t>Shared claim-specific concepts:</w:t>
      </w:r>
      <w:r>
        <w:t xml:space="preserve"> stakeholders, data, presents; EU scope not established. This is a provisional connection, not an outcome finding.</w:t>
      </w:r>
    </w:p>
    <w:p>
      <w:pPr>
        <w:pStyle w:val="SourceNote"/>
      </w:pPr>
      <w:r>
        <w:rPr>
          <w:b/>
        </w:rPr>
        <w:t>Available abstract (not full text):</w:t>
      </w:r>
      <w:r>
        <w:t xml:space="preserve"> This chapter provides a comprehensive analysis of the global medical device market through a multidimensional lens, emphasizing stakeholder interdependencies, market structures, and macroeconomic trends. Initial mapping the ecosystem of key stakeholders being manufacturers, regulators, payers, healthcare providers, patients, and global institutions, highlights their evolving roles in innovation, regulation, and adoption. The chapter then explores the strategic weight of these stakeholders, varying significantly by region and shaped by regulatory maturity, industrial policy, and patient advocacy. A dedicated section examines the patient’s shifting role from passive recipient to active co-creator and data contributor, reshaping device design and evaluation. Commercial segmentation is analyzed through B2B, B2C, and B2G models, with insights into how distribution, purchasing behavior, and policy affect regional strategies. A detailed PEST analysis outlines political, economic, social, and technological forces influencing global operations. The chapter also presents a macroeconomic perspective and explores regional differences in per capita spending, infrastructure maturity, and investment capacity between high-income regions and emerging markets. Market drivers, including aging populations, chronic disease, digital health, and rising health expenditures, are contrasted with structu</w:t>
      </w:r>
    </w:p>
    <w:p>
      <w:pPr/>
      <w:r>
        <w:rPr>
          <w:b/>
        </w:rPr>
        <w:t>POSSIBLE 2025:</w:t>
      </w:r>
      <w:r>
        <w:t xml:space="preserve"> Driving factors behind Indonesia’s 2015 decision to cooperate with Malaysia in CPOPC: Economic, political, and environmental considerations — https://doi.org/10.33474/jisop.v7i2.23750</w:t>
      </w:r>
    </w:p>
    <w:p>
      <w:pPr/>
      <w:r>
        <w:rPr>
          <w:b/>
        </w:rPr>
        <w:t>Shared claim-specific concepts:</w:t>
      </w:r>
      <w:r>
        <w:t xml:space="preserve"> stakeholders, data; EU scope visible. This is a provisional connection, not an outcome finding.</w:t>
      </w:r>
    </w:p>
    <w:p>
      <w:pPr>
        <w:pStyle w:val="SourceNote"/>
      </w:pPr>
      <w:r>
        <w:rPr>
          <w:b/>
        </w:rPr>
        <w:t>Available abstract (not full text):</w:t>
      </w:r>
      <w:r>
        <w:t xml:space="preserve"> Indonesia’s palm oil industry, a cornerstone of national economic growth and rural livelihoods, faced escalating trade barriers and sustainability demands, particularly from the European Union, from 2005 to 2015. This study investigates Driving factors behind Indonesia’s 2015 decision to cooperate with Malaysia in CPOPC: Economic, political, and environmental considerations, using employing Richard C. Snyder’s foreign policy decision-making framework to systematically analyze the interplay of internal and external factors. The research adopts a qualitative explanatory literature review, synthesizing data from peer-reviewed journals, policy documents, and credible news sources published from 2005 to 2015. The analysis reveals that Indonesia’s policy shift was driven by the convergence of domestic economic imperatives such as maintaining export revenues, supporting smallholders, and responding to industry lobbying, and mounting external pressures including discriminatory European Union regulations, NGO campaigns, and global market competition. The formation of CPOPC is shown to be a pragmatic diplomatic response, enhancing Indonesia’s bargaining power, promoting sustainable palm oil standards, and fostering collective action with Malaysia to counter external challenges. This research fills a gap in the literature by demonstrating how multi-level decision-making processes and tran</w:t>
      </w:r>
    </w:p>
    <w:p>
      <w:pPr/>
      <w:r>
        <w:rPr>
          <w:b/>
        </w:rPr>
        <w:t>POSSIBLE 2023:</w:t>
      </w:r>
      <w:r>
        <w:t xml:space="preserve"> Market shaping MNCs in emerging markets - stakeholder engagement and the role of embeddedness — https://doi.org/10.1016/j.indmarman.2023.06.015</w:t>
      </w:r>
    </w:p>
    <w:p>
      <w:pPr/>
      <w:r>
        <w:rPr>
          <w:b/>
        </w:rPr>
        <w:t>Shared claim-specific concepts:</w:t>
      </w:r>
      <w:r>
        <w:t xml:space="preserve"> stakeholders, data, based; EU scope not established. This is a provisional connection, not an outcome finding.</w:t>
      </w:r>
    </w:p>
    <w:p>
      <w:pPr>
        <w:pStyle w:val="SourceNote"/>
      </w:pPr>
      <w:r>
        <w:rPr>
          <w:b/>
        </w:rPr>
        <w:t>Available abstract (not full text):</w:t>
      </w:r>
      <w:r>
        <w:t xml:space="preserve"> This study delves into the phenomenon of collective market shaping in the context of multinational corporations (MNCs) in emerging markets. The study examines the firm's engagement activities and the importance of embeddedness in market shaping undeveloped in the literature. Theoretically this study builds on the literature on collective market shaping, stakeholder engagement and stakeholder embeddedness. Based on a secondary data analysis of two in-depth case studies of MNCs in Brazil, India, and China, we have identified four roles of stakeholders reflecting their engagement and embeddedness: missionaries, catalysts, diffusers, and grassroot movers. Our findings show a recursive process involving stakeholders' structural embeddedness, relational embeddedness and their roles in market shaping. By impacting these dynamics via engagement activities, the MNC can deepen the firm's own embeddedness in the local market and facilitate market shaping. We conclude with introducing ‘embedded market shaping’ as a mode of collective market shaping. It describes the gradual embedding of the firm into a local market through a recursive process, which involves stakeholders who are aware of the MNC's market shaping vision and interested in its pursuit, as well as unaware stakeholders who unintentionally support the MNC's vision.</w:t>
      </w:r>
    </w:p>
    <w:p>
      <w:pPr/>
      <w:r>
        <w:rPr>
          <w:b/>
        </w:rPr>
        <w:t>POSSIBLE 2023:</w:t>
      </w:r>
      <w:r>
        <w:t xml:space="preserve"> Cooperating for the Climate — https://doi.org/10.7551/mitpress/11959.001.0001</w:t>
      </w:r>
    </w:p>
    <w:p>
      <w:pPr/>
      <w:r>
        <w:rPr>
          <w:b/>
        </w:rPr>
        <w:t>Shared claim-specific concepts:</w:t>
      </w:r>
      <w:r>
        <w:t xml:space="preserve"> stakeholders, technology, based; EU scope not established. This is a provisional connection, not an outcome finding.</w:t>
      </w:r>
    </w:p>
    <w:p>
      <w:pPr>
        <w:pStyle w:val="SourceNote"/>
      </w:pPr>
      <w:r>
        <w:rPr>
          <w:b/>
        </w:rPr>
        <w:t>Available abstract (not full text):</w:t>
      </w:r>
      <w:r>
        <w:t xml:space="preserve"> The intricacies, politics, and prospects of international cooperation, particularly with China, to address climate change. No country in the world releases more greenhouse gases than China. And no country has a greater capacity—and ambition—to mitigate climate change. This deeply informed, urgently needed book examines the global cooperation that such a monumental effort demands and inspires, necessarily focusing on China's outsize role in the development and dissemination of clean energy technologies. Drawing on decades of work in clean energy and climate technology and policy, Joanna Lewis provides a clear and thorough account of the motivations, science, and politics behind international clean energy technology collaboration—and an in-depth look at why different clean energy partnerships result in different political and technological outcomes. The first comprehensive analysis of international clean energy partnerships with China, Cooperating for the Climate is based on hundreds of interviews with government officials, researchers, and private companies involved in these collaborative initiatives around the world. Its insights into energy innovation and international relations, as well as global environmental politics, will help international stakeholders navigate the complex political bureaucracy governing clean energy development in China and perhaps chart a productive pat</w:t>
      </w:r>
    </w:p>
    <w:p>
      <w:pPr/>
      <w:r>
        <w:rPr>
          <w:b/>
        </w:rPr>
        <w:t>POSSIBLE 2023:</w:t>
      </w:r>
      <w:r>
        <w:t xml:space="preserve"> D8.2 - Market and stakeholder analysis — https://doi.org/10.5281/zenodo.7657634</w:t>
      </w:r>
    </w:p>
    <w:p>
      <w:pPr/>
      <w:r>
        <w:rPr>
          <w:b/>
        </w:rPr>
        <w:t>Shared claim-specific concepts:</w:t>
      </w:r>
      <w:r>
        <w:t xml:space="preserve"> data, based, presents; EU scope not established. This is a provisional connection, not an outcome finding.</w:t>
      </w:r>
    </w:p>
    <w:p>
      <w:pPr>
        <w:pStyle w:val="SourceNote"/>
      </w:pPr>
      <w:r>
        <w:rPr>
          <w:b/>
        </w:rPr>
        <w:t>Available abstract (not full text):</w:t>
      </w:r>
      <w:r>
        <w:t xml:space="preserve"> The deliverable D8.2 lies under the scope of work package WP8- Business Models and Exploitation. Its content is based on the work of the Task 8.1 - Project Impact Assessment, led by ENGIE. It presents a market and stakeholder analysis concerning PLATOON tools. The main objective of this deliverable is to identify attractiveness of big data platforms to support the launch of business exploitation activities resulting from the R&amp;D project PLATOON.</w:t>
      </w:r>
    </w:p>
    <w:p>
      <w:pPr/>
      <w:r>
        <w:rPr>
          <w:b/>
        </w:rPr>
        <w:t>POSSIBLE 2023:</w:t>
      </w:r>
      <w:r>
        <w:t xml:space="preserve"> Stakeholder diversity and collaborative innovation: Integrating the resource-based view with stakeholder theory — https://doi.org/10.1016/j.jbusres.2023.113955</w:t>
      </w:r>
    </w:p>
    <w:p>
      <w:pPr/>
      <w:r>
        <w:rPr>
          <w:b/>
        </w:rPr>
        <w:t>Shared claim-specific concepts:</w:t>
      </w:r>
      <w:r>
        <w:t xml:space="preserve"> stakeholders, data, based; EU scope not established. This is a provisional connection, not an outcome finding.</w:t>
      </w:r>
    </w:p>
    <w:p>
      <w:pPr>
        <w:pStyle w:val="SourceNote"/>
      </w:pPr>
      <w:r>
        <w:rPr>
          <w:b/>
        </w:rPr>
        <w:t>Available abstract (not full text):</w:t>
      </w:r>
      <w:r>
        <w:t xml:space="preserve"> This paper uses Stakeholder Theory to build on the Resource-Based View (RBV) of the firm – and its extension, the Knowledge-Based View (KBV) – and theoretically and empirically assesses how a choice of stakeholders with a diverse set of interests and motives affects the development of collaborative innovation. Theoretically, the paper discusses how collaborating with stakeholders with diverse motives and interests affects the development of diverse types of innovations; and whether and how a focal organisation's access to diverse information sources may influence the behaviour of different types of collaborators. The empirical analysis is based on Spanish Technological Innovation Panel (2015–2016) data. The results show that collaborations with secondary (primary) stakeholders are typically associated with the likelihood of developing eco-innovations (product and process innovations) and increased demand for skilled workers. We also find that access to diverse information sources is associated with the likelihood of collaborating with primary stakeholders only.</w:t>
      </w:r>
    </w:p>
    <w:p>
      <w:pPr/>
      <w:r>
        <w:rPr>
          <w:b/>
        </w:rPr>
        <w:t>POSSIBLE 2023:</w:t>
      </w:r>
      <w:r>
        <w:t xml:space="preserve"> Europe first? The rise of EU industrial policy promoting and protecting the single market — https://doi.org/10.1080/13501763.2023.2202684</w:t>
      </w:r>
    </w:p>
    <w:p>
      <w:pPr/>
      <w:r>
        <w:rPr>
          <w:b/>
        </w:rPr>
        <w:t>Shared claim-specific concepts:</w:t>
      </w:r>
      <w:r>
        <w:t xml:space="preserve"> integrated, area; EU scope visible. This is a provisional connection, not an outcome finding.</w:t>
      </w:r>
    </w:p>
    <w:p>
      <w:pPr>
        <w:pStyle w:val="SourceNote"/>
      </w:pPr>
      <w:r>
        <w:rPr>
          <w:b/>
        </w:rPr>
        <w:t>Available abstract (not full text):</w:t>
      </w:r>
      <w:r>
        <w:t xml:space="preserve"> Within Europe’s regulatory state, industrial policy has largely remained within national governments’ remit. Yet, a plethora of new supra- and cross-national industrial policy initiatives have recently emerged whereby the Commission proactively engages in pan-European activities to foster innovation and economic development. This article brings the ‘Developmental Network States’ (DNS) literature into dialogue with EU integration scholarship to explain both the timing of EU industrial policy’s rise since the mid-2010s and the variation in forms of EU integration of different industrial policy functions. Our analysis suggests that the Commission increasingly operates four major developmental functions akin to DNSs and aimed at promoting and protecting the single market. Neofunctionalist theories of EU integration explain these momentous shifts. The timing behind the rise of EU industrial policy is best explained as an interplay of functional, cultivated, and political spillovers, driven especially by the Franco-German realignment on pro-EU industrial policy positions since 2016. Variation in the governance forms of integrated EU industrial policy functions is instead explained in terms of the degree of pre-existing integration of extant policies, the low vs high politics nature of the policy domain and the types of externalities attached to the specific policy area.</w:t>
      </w:r>
    </w:p>
    <w:p>
      <w:pPr/>
      <w:r>
        <w:rPr>
          <w:b/>
        </w:rPr>
        <w:t>POSSIBLE 2023:</w:t>
      </w:r>
      <w:r>
        <w:t xml:space="preserve"> Past, present &amp; future of the european electricity market — https://openalex.org/W7113421957</w:t>
      </w:r>
    </w:p>
    <w:p>
      <w:pPr/>
      <w:r>
        <w:rPr>
          <w:b/>
        </w:rPr>
        <w:t>Shared claim-specific concepts:</w:t>
      </w:r>
      <w:r>
        <w:t xml:space="preserve"> stakeholders, landscape, however; EU scope visible. This is a provisional connection, not an outcome finding.</w:t>
      </w:r>
    </w:p>
    <w:p>
      <w:pPr>
        <w:pStyle w:val="SourceNote"/>
      </w:pPr>
      <w:r>
        <w:rPr>
          <w:b/>
        </w:rPr>
        <w:t>Available abstract (not full text):</w:t>
      </w:r>
      <w:r>
        <w:t xml:space="preserve"> Europe faces two intertwined challenges of critical importance: the urgent need to combat climate change and the complex geopolitical landscape, particularly concerning Russia. Climate change poses a severe threat, demanding immediate and concerted action. European countries have been at the forefront of climate change mitigation efforts, implementing ambitious emission reduction targets and promoting sustainable practices. However, addressing climate change requires comprehensive approaches that transcend domestic initiatives. Simultaneously, Europe's energy landscape is closely tied to geopolitics, with concerns surrounding energy security and dependence on Russian energy imports. Russia’s invasion of Ukraine in February 2022 has profoundly affected global energy markets. Price volatility, supply shortages, security issues, and economic uncertainty have contributed to what the International Energy Agency (IEA) calls “the first truly global energy crisis, with impacts that will be felt for years to come.” This paper examines the potential of renewable energy sources and a new power market to tackle climate change and reduce Europe's vulnerability to geopolitical pressures. We seek to provide insights and recommendations for policymakers, industry stakeholders, and civil society by analyzing policies, market dynamics, technological advancements, and potential collaborations</w:t>
      </w:r>
    </w:p>
    <w:p>
      <w:pPr/>
      <w:r>
        <w:rPr>
          <w:b/>
        </w:rPr>
        <w:t>POSSIBLE 2023:</w:t>
      </w:r>
      <w:r>
        <w:t xml:space="preserve"> Open banking and inclusive finance in the European Union: perspectives from the Dutch stakeholder ecosystem — https://doi.org/10.1186/s40854-023-00522-1</w:t>
      </w:r>
    </w:p>
    <w:p>
      <w:pPr/>
      <w:r>
        <w:rPr>
          <w:b/>
        </w:rPr>
        <w:t>Shared claim-specific concepts:</w:t>
      </w:r>
      <w:r>
        <w:t xml:space="preserve"> technology, landscape, however, based; EU scope visible. This is a provisional connection, not an outcome finding.</w:t>
      </w:r>
    </w:p>
    <w:p>
      <w:pPr>
        <w:pStyle w:val="SourceNote"/>
      </w:pPr>
      <w:r>
        <w:rPr>
          <w:b/>
        </w:rPr>
        <w:t>Available abstract (not full text):</w:t>
      </w:r>
      <w:r>
        <w:t xml:space="preserve"> Abstract In the European Union (EU), the revised Payment Services Directive (PSD2) aims to provide more convenient and customized financial products through open banking (OB) platforms. However, little attention has been paid to the role of OB in improving the financial well-being of the growing number of the EU’s underserved groups, which currently constitute approximately a quarter of its population. This study examines how the PSD2 and OB impact inclusive finance in the EU based on the perspectives of the Netherlands’ ecosystem, one of the leaders in the EU’s financial technology (FinTech) landscape. A fundamental distinction can be drawn between the OB users and the ecosystem’s players. Regarding the impact of financial services on the users’ inclusivity, while the PSD2 strengthens the infrastructure necessary for financial inclusion, many challenges remain, mainly because it was not designed for this purpose. This study identifies several areas of improvement that include adjustments to the know your customer and anti-money laundering processes for underserved customers, innovative ways to communicate the PSD2’s potential, and the regulation of technology providers’ activities to build trust. Meanwhile, from the ecosystem’s position, there is a need to strengthen and improve microfinance regulation according to the opportunities provided by the PSD2 to support microfinance</w:t>
      </w:r>
    </w:p>
    <w:p>
      <w:pPr>
        <w:pStyle w:val="Heading2"/>
      </w:pPr>
      <w:r>
        <w:t>914. Future mobility in an ageing society – Where are we heading?</w:t>
      </w:r>
    </w:p>
    <w:p>
      <w:pPr>
        <w:pStyle w:val="SourceNote"/>
      </w:pPr>
      <w:r>
        <w:rPr>
          <w:b/>
        </w:rPr>
        <w:t>Original source (2014):</w:t>
      </w:r>
      <w:r>
        <w:t xml:space="preserve"> https://doi.org/10.1016/j.jth.2014.10.005</w:t>
      </w:r>
    </w:p>
    <w:p>
      <w:pPr/>
      <w:r>
        <w:t>Original wording (abstract; indexed_source_text_not_full_document_verified): This paper reports on a scenario planning exercise which has examined four different futures for living in later life, defined by considering two critical uncertainties: the extent to which older people in society engage with new healthcare technologies; and the extent to which the state provides care for people living in later life. Beyond these questions is one which is more explicitly pertinent to transport policy: how and where will older people live and how will this affect patterns of mobility and levels of travel demand?</w:t>
      </w:r>
    </w:p>
    <w:p>
      <w:pPr/>
      <w:r>
        <w:rPr>
          <w:b/>
        </w:rPr>
        <w:t>POSSIBLE 2026:</w:t>
      </w:r>
      <w:r>
        <w:t xml:space="preserve"> If exercise is medicine, where is the dose? A call to improve reporting and monitoring of exercise interventions in fibromyalgia research — https://doi.org/10.3389/fspor.2026.1777261</w:t>
      </w:r>
    </w:p>
    <w:p>
      <w:pPr/>
      <w:r>
        <w:rPr>
          <w:b/>
        </w:rPr>
        <w:t>Shared claim-specific concepts:</w:t>
      </w:r>
      <w:r>
        <w:t xml:space="preserve"> planning, exercise, four, different, defined, two; EU scope not established. This is a provisional connection, not an outcome finding.</w:t>
      </w:r>
    </w:p>
    <w:p>
      <w:pPr>
        <w:pStyle w:val="SourceNote"/>
      </w:pPr>
      <w:r>
        <w:rPr>
          <w:b/>
        </w:rPr>
        <w:t>Available abstract (not full text):</w:t>
      </w:r>
      <w:r>
        <w:t xml:space="preserve"> Exercise is widely recognized as a cornerstone non-pharmacological therapy for managing pain and other core symptoms of fibromyalgia. Current guidelines, including those from the American College of Sports Medicine (ACSM), frame exercise prescription through the FITT principles-frequency, intensity, time, and typeproviding a structured approach to defining exercise dose in this population (Ligouri, 2021). When these parameters are implemented with high compliance (i.e., when at least 70% of the ACSM-recommended exercise dose is met), exercise interventions are associated with greater improvements in pain, sleep quality, and fatigue, as supported by recent meta-analytic evidence in fibromyalgia (Niu et al., 2024). However, only about half of the analyzed exercise interventions achieved high compliance with ACSM guidelines, highlighting substantial variability in exercise prescription across fibromyalgia trials (Niu et al., 2024).Despite this growing body of evidence, two complementary perspectives continue to coexist in both research and clinical practice. On one hand, public health recommendations emphasize that any physical activity is preferable to none, particularly in populations with a high symptom burden and low activity levels (Bull et al., 2020;Ekelund et al., 2026). On the other hand, research increasingly seeks to identify specific exercise doses, operationalized thro</w:t>
      </w:r>
    </w:p>
    <w:p>
      <w:pPr/>
      <w:r>
        <w:rPr>
          <w:b/>
        </w:rPr>
        <w:t>POSSIBLE 2025:</w:t>
      </w:r>
      <w:r>
        <w:t xml:space="preserve"> The synergy of exercise and a planned diet in mitigating oxidative stress — https://doi.org/10.22271/journalofsport.2025.v10.i1d.3043</w:t>
      </w:r>
    </w:p>
    <w:p>
      <w:pPr/>
      <w:r>
        <w:rPr>
          <w:b/>
        </w:rPr>
        <w:t>Shared claim-specific concepts:</w:t>
      </w:r>
      <w:r>
        <w:t xml:space="preserve"> planning, exercise, living; EU scope not established. This is a provisional connection, not an outcome finding.</w:t>
      </w:r>
    </w:p>
    <w:p>
      <w:pPr>
        <w:pStyle w:val="SourceNote"/>
      </w:pPr>
      <w:r>
        <w:rPr>
          <w:b/>
        </w:rPr>
        <w:t>Available abstract (not full text):</w:t>
      </w:r>
      <w:r>
        <w:t xml:space="preserve"> Living organisms maintain their structure and integrity via physiological homeostasis that in turn is maintained via various anabolic and catabolic reactions based on oxidation and reduction. During these aerobic cellular reactions free radicals are produced that play important roles in energy production and cellular communication as regulatory mediators in signalling process. Regular physical activity/exercise according to a number of comprehensive reviews is associated with positive short- and long-term health benefits. Exercise results in increased metabolic activity of contracting skeletal muscles leading to complex multidimensional changes in numerous cells, tissues and organs challenging whole body homeostasis. It is reported to induce generation of excessive free radicals that may enhance oxidative stress. Although free radicals generating exercise adaptations via signalling the upregulation of antioxidant defence have been reported, excess of radical generation can result in detrimental effects. The aim of this review is therefore to explore the synergistic effect of exercise and whole diet rich in antioxidants as it may provide multicomponent ingredients rather than single dosages of antioxidant to protect the body from oxidative stress. The finding suggests that the integration of a nutrient-dense, anti-oxidant rich diet with a structured exercise regimen can provide </w:t>
      </w:r>
    </w:p>
    <w:p>
      <w:pPr/>
      <w:r>
        <w:rPr>
          <w:b/>
        </w:rPr>
        <w:t>POSSIBLE 2025:</w:t>
      </w:r>
      <w:r>
        <w:t xml:space="preserve"> Bodily maps of exercise-induced feelings — https://doi.org/10.1038/s41598-025-07246-5</w:t>
      </w:r>
    </w:p>
    <w:p>
      <w:pPr/>
      <w:r>
        <w:rPr>
          <w:b/>
        </w:rPr>
        <w:t>Shared claim-specific concepts:</w:t>
      </w:r>
      <w:r>
        <w:t xml:space="preserve"> planning, exercise, different, two; EU scope not established. This is a provisional connection, not an outcome finding.</w:t>
      </w:r>
    </w:p>
    <w:p>
      <w:pPr>
        <w:pStyle w:val="SourceNote"/>
      </w:pPr>
      <w:r>
        <w:rPr>
          <w:b/>
        </w:rPr>
        <w:t>Available abstract (not full text):</w:t>
      </w:r>
      <w:r>
        <w:t xml:space="preserve"> Physical exercise is a strong physiological and mechanical stimulus that elicits various bodily sensations. They shape the emotional experience and contribute to the psychological benefits of exercise. Despite the centrality of subjective sensations stemming from altering bodily states during physical exercise, there is a paucity of data on bodily experiences and sensations evoked by physical exercise. Here, we mapped bodily sensations evoked by exercise in two studies. In the first proof-of-concept study, we asked participants (n = 305; 143 females) to imagine undergoing exercise training and report the expected bodily sensations. In the second field study, we mapped participants' (n = 133; 105 females) emotions and bodily sensations before and after actual exercise sessions. Both studies utilised visual analogue scales for sensation rating and a topographical self-report tool for mapping bodily sensations: participants were asked to colour on a human body silhouette all the bodily regions where each specified sensation (e.g. "Energized") was felt. The findings revealed a wide array of exercise-induced bodily sensations with mostly distinct topographies, that were consistent across individuals. The field experiment confirmed that bodily sensations of activeness and exhaustion intensified following exercise in topographically specific manner, and that the experience of exhausti</w:t>
      </w:r>
    </w:p>
    <w:p>
      <w:pPr/>
      <w:r>
        <w:rPr>
          <w:b/>
        </w:rPr>
        <w:t>POSSIBLE 2025:</w:t>
      </w:r>
      <w:r>
        <w:t xml:space="preserve"> Performance of two different artificial intelligence models in dental implant planning among four different implant planning software: a comparative study — https://doi.org/10.1186/s12903-025-06336-0</w:t>
      </w:r>
    </w:p>
    <w:p>
      <w:pPr/>
      <w:r>
        <w:rPr>
          <w:b/>
        </w:rPr>
        <w:t>Shared claim-specific concepts:</w:t>
      </w:r>
      <w:r>
        <w:t xml:space="preserve"> planning, four, different, two; EU scope visible. This is a provisional connection, not an outcome finding.</w:t>
      </w:r>
    </w:p>
    <w:p>
      <w:pPr>
        <w:pStyle w:val="SourceNote"/>
      </w:pPr>
      <w:r>
        <w:rPr>
          <w:b/>
        </w:rPr>
        <w:t>Available abstract (not full text):</w:t>
      </w:r>
      <w:r>
        <w:t xml:space="preserve"> BACKGROUND: The integration of artificial intelligence (AI) in dental implant planning has emerged as a transformative approach to enhance diagnostic accuracy and efficiency. This study aimed to evaluate the performance of two object detection models, Faster R-CNN and YOLOv7 in analyzing cross-sectional and panoramic images derived from DICOM files processed by four distinct dental imaging software platforms. METHODS: The dataset consisted of 332 implant position images derived from DICOM files of 184 CBCT scans. Three hundred images were processed using DentiPlan Pro 3.7 software (NECTEC, NSTDA, Thailand) for the development of Faster R-CNN and YOLOv7 models for dental implant planning. For model testing, 32 additional implant position images, which were not included in the training set, were processed using four different software programs: DentiPlan Pro 3.7, DentiPlan Pro Plus 5.0 (DTP; NECTEC, NSTDA, Thailand), Implastation (ProDigiDent USA, USA), and Romexis 6.0 (Planmeca, Finland). The performance of the models was evaluated using detection rate, accuracy, precision, recall, F1 score, and the Jaccard Index (JI). RESULTS: Faster R-CNN achieved superior accuracy across imaging modalities, while YOLOv7 demonstrated higher detection rates, albeit with lower precision. The impact of image rendering algorithms on model performance underscores the need for standardized preproces</w:t>
      </w:r>
    </w:p>
    <w:p>
      <w:pPr/>
      <w:r>
        <w:rPr>
          <w:b/>
        </w:rPr>
        <w:t>POSSIBLE 2025:</w:t>
      </w:r>
      <w:r>
        <w:t xml:space="preserve"> Dissemination planning in exercise oncology trials—a systematic review of trial protocols — https://doi.org/10.1007/s00520-025-09532-4</w:t>
      </w:r>
    </w:p>
    <w:p>
      <w:pPr/>
      <w:r>
        <w:rPr>
          <w:b/>
        </w:rPr>
        <w:t>Shared claim-specific concepts:</w:t>
      </w:r>
      <w:r>
        <w:t xml:space="preserve"> planning, exercise, examined, critical, healthcare; EU scope not established. This is a provisional connection, not an outcome finding.</w:t>
      </w:r>
    </w:p>
    <w:p>
      <w:pPr>
        <w:pStyle w:val="SourceNote"/>
      </w:pPr>
      <w:r>
        <w:rPr>
          <w:b/>
        </w:rPr>
        <w:t>Available abstract (not full text):</w:t>
      </w:r>
      <w:r>
        <w:t xml:space="preserve"> PURPOSE: The paucity of exercise rehabilitation services for cancer survivors indicates a research-to-practice gap. Dissemination and Implementation research addresses this gap by focusing on the adoption, implementation, and sustainability of evidence-based interventions. Dissemination, the active process of sharing research findings, is critical to the implementation of evidence-based practice. This systematic review examined adherence of exercise oncology trial protocols to the SPIRIT 2013 checklist items pertaining to dissemination planning, items 31a, 31b, and 31c, which address how dissemination is planned, authorship eligibility is considered, and what plans are in place to share data and the protocol. METHODS: A systematic review was conducted following the PRISMA guidelines. EMBASE, MEDLINE, CINAHL, Web of Science-Core Collection, Google Scholar, and the Central Trial Registry via Cochrane were searched (16/05/2024). Title and abstract screening, full-text review, and data extraction were completed in duplicate. RESULTS: Eighty-six trial protocols were included, thirty-one (36.1%) did not report dissemination plans. Item 31 was reported as follows (n = number of trials, frequency (%)); 31a plans to communicate trial results to: participants (n = 19, 22.1%), healthcare professionals (n = 43, 50%), the public (n = 25, 29.2%), and other relevant groups (n = 22, 25.6%), 31</w:t>
      </w:r>
    </w:p>
    <w:p>
      <w:pPr/>
      <w:r>
        <w:rPr>
          <w:b/>
        </w:rPr>
        <w:t>POSSIBLE 2023:</w:t>
      </w:r>
      <w:r>
        <w:t xml:space="preserve"> Forecasting pandemic quarantine in New Zealand and Australia: A scoping review of quarantine characteristics and capabilities within preparedness plans and pandemic exercise reports from 2002 to 2019 — https://doi.org/10.1016/j.jiph.2023.10.017</w:t>
      </w:r>
    </w:p>
    <w:p>
      <w:pPr/>
      <w:r>
        <w:rPr>
          <w:b/>
        </w:rPr>
        <w:t>Shared claim-specific concepts:</w:t>
      </w:r>
      <w:r>
        <w:t xml:space="preserve"> reports, exercise, four, two, state; EU scope not established. This is a provisional connection, not an outcome finding.</w:t>
      </w:r>
    </w:p>
    <w:p>
      <w:pPr>
        <w:pStyle w:val="SourceNote"/>
      </w:pPr>
      <w:r>
        <w:rPr>
          <w:b/>
        </w:rPr>
        <w:t>Available abstract (not full text):</w:t>
      </w:r>
      <w:r>
        <w:t xml:space="preserve"> BACKGROUND: This scoping review aims to identify and critically review quarantine preparedness in New Zealand and Australia pre-COVID-19 by categorising, comparing, and evaluating quarantine information contained within pandemic plans and exercises from both countries. METHODS: Parliamentary websites, including Archives New Zealand, ParlInfo and Google Scholar, were searched for publicly available plans and exercise reports from 2002 to 2019. Data were extracted from documents meeting the inclusion criteria and analysed using directive content analysis based on the Australian Disaster Preparedness Framework categories. This scoping review followed the Joanna Briggs Institute methodology for scoping reviews, which guided the data extraction, analysis, and presentation of results. RESULTS: A total of 16 documents mentioned quarantine and were included in this scoping review. The emphasis and level of detail regarding quarantine characteristics and capabilities varied between New Zealand's five documents (one plan and four exercise reports) and Australia's 11 documents (one Influenza pandemic plan, eight state plans and two exercise reports). New Zealand's plan forecasted the need for both voluntary quarantine at home and involuntary quarantine in facilities for incoming travellers, whilst the Australian Influenza pandemic plan and state plans primarily considered voluntary quaran</w:t>
      </w:r>
    </w:p>
    <w:p>
      <w:pPr/>
      <w:r>
        <w:rPr>
          <w:b/>
        </w:rPr>
        <w:t>POSSIBLE 2023:</w:t>
      </w:r>
      <w:r>
        <w:t xml:space="preserve"> Impact of low-calorie diet plans and structured strength training regimens on body recomposition: A four-month case report — https://doi.org/10.4103/kleuhsj.kleuhsj_517_22</w:t>
      </w:r>
    </w:p>
    <w:p>
      <w:pPr/>
      <w:r>
        <w:rPr>
          <w:b/>
        </w:rPr>
        <w:t>Shared claim-specific concepts:</w:t>
      </w:r>
      <w:r>
        <w:t xml:space="preserve"> exercise, four, different; EU scope not established. This is a provisional connection, not an outcome finding.</w:t>
      </w:r>
    </w:p>
    <w:p>
      <w:pPr>
        <w:pStyle w:val="SourceNote"/>
      </w:pPr>
      <w:r>
        <w:rPr>
          <w:b/>
        </w:rPr>
        <w:t>Available abstract (not full text):</w:t>
      </w:r>
      <w:r>
        <w:t xml:space="preserve"> A normal body weight can be maintained by balancing skeletal muscle mass (SMM) and body fat mass (BFM). InBody™ 270 is an easy-to-use bioelectrical impedance device when it comes to monitoring body parameters such as SMM and BFM. Such body parameters when kept in balance can reduce lifestyle diseases. This case report is an attempt to elucidate the impact of different diet plans and exercise regimens on changing (recomposition) the body composition parameters (SMM, BFM, etc.). One of the authors performed the experiments and recorded the observations. The blueprint for the diet included strategies such as low-calorie plans and intermittent fasting. The exercise regimen had different combinations of whole-body strength training four times a week. Almost eight kg of BFM was lost. The body weight had been brought to normalcy, and at the same time, SMM was preserved due to dietary interventions and exercises.</w:t>
      </w:r>
    </w:p>
    <w:p>
      <w:pPr/>
      <w:r>
        <w:rPr>
          <w:b/>
        </w:rPr>
        <w:t>POSSIBLE 2023:</w:t>
      </w:r>
      <w:r>
        <w:t xml:space="preserve"> How different incentives influence reported motivation and perceptions of performance in Ghanaian community-based health planning and services zones — https://doi.org/10.1186/s13104-023-06286-2</w:t>
      </w:r>
    </w:p>
    <w:p>
      <w:pPr/>
      <w:r>
        <w:rPr>
          <w:b/>
        </w:rPr>
        <w:t>Shared claim-specific concepts:</w:t>
      </w:r>
      <w:r>
        <w:t xml:space="preserve"> planning, four, different, two, care; EU scope not established. This is a provisional connection, not an outcome finding.</w:t>
      </w:r>
    </w:p>
    <w:p>
      <w:pPr>
        <w:pStyle w:val="SourceNote"/>
      </w:pPr>
      <w:r>
        <w:rPr>
          <w:b/>
        </w:rPr>
        <w:t>Available abstract (not full text):</w:t>
      </w:r>
      <w:r>
        <w:t xml:space="preserve"> BACKGROUND: Maternal mortality is still a burden worldwide, and Ghana's maternal and child mortalities are still high. Incentive schemes have been effective in improving health workers' performance thereby reducing maternal and child deaths. The efficiency of public health services in most developing countries has been linked to the provision of incentives. Thus, financial packages for Community Health Volunteers (CHVs) serve as enablers for them to be focused and committed to their work. However, the poor performance of CHVs is still a challenge in health service delivery in many developing countries. Although the reasons for these persistent problems are understood, we need to find out how to implement what works in the face of political will and financial constraints. This study assesses how different incentives influence reported motivation and perceptions of performance in Community-based Health Planning and Services Program (CHPS) zones in the Upper East region. METHODS: A quasi-experimental study design with post-intervention measurement was used. Performance-based interventions were implemented for 1 year in the Upper East region. The different interventions were rolled out in 55 of 120 CHPS zones. The 55 CHPS zones were randomly assigned to four groups: three groups of 14 CHPS zones with the last group containing 13 CHPS zones. Several alternative types of financial an</w:t>
      </w:r>
    </w:p>
    <w:p>
      <w:pPr/>
      <w:r>
        <w:rPr>
          <w:b/>
        </w:rPr>
        <w:t>POSSIBLE 2022:</w:t>
      </w:r>
      <w:r>
        <w:t xml:space="preserve"> A Study on the Translatability of the Developmental Assessment Report into the Individualized Education Plan in the Philippines — https://doi.org/10.1080/1034912x.2022.2095557</w:t>
      </w:r>
    </w:p>
    <w:p>
      <w:pPr/>
      <w:r>
        <w:rPr>
          <w:b/>
        </w:rPr>
        <w:t>Shared claim-specific concepts:</w:t>
      </w:r>
      <w:r>
        <w:t xml:space="preserve"> reports, four, different; EU scope not established. This is a provisional connection, not an outcome finding.</w:t>
      </w:r>
    </w:p>
    <w:p>
      <w:pPr>
        <w:pStyle w:val="SourceNote"/>
      </w:pPr>
      <w:r>
        <w:rPr>
          <w:b/>
        </w:rPr>
        <w:t>Available abstract (not full text):</w:t>
      </w:r>
      <w:r>
        <w:t xml:space="preserve"> The Special Education Process (SEP) demands the collaboration of various professionals and personalities to create the Individualised Education Plan (IEP), beginning with the evaluation conducted by clinical psychologists, psychiatrists and in this study, developmental paediatricians. Assessments acts as a keystone document, serving as basis for determining placement levels, student support requirements and depth of academic training to be implemented. With inclusion gradually being implemented in the Philippines, the study sought to determine the translatability of the assessment report produced by developmental paediatricians into the IEP. The study used documentary analysis of 50 individualised education plans derived from the assessment reports of 10 different developmental paediatricians. The documents were analysed to determine the presence of components needed to refer to in making the IEP. The data shows that the assessment reports have four components, namely profile, present level of condition, report and recommendation. These components can be used as reference material in creating the IEP, and as a basis for a structured approach in creating the document. However, the study also shows how the report content and structure slightly differ for each other, making some of the reports easier to refer to compared to others.</w:t>
      </w:r>
    </w:p>
    <w:p>
      <w:pPr/>
      <w:r>
        <w:rPr>
          <w:b/>
        </w:rPr>
        <w:t>POSSIBLE 2022:</w:t>
      </w:r>
      <w:r>
        <w:t xml:space="preserve"> Measurement invariance testing using confirmatory factor analysis and alignment optimization: A tutorial for transparent analysis planning and reporting. — https://doi.org/10.1037/met0000441</w:t>
      </w:r>
    </w:p>
    <w:p>
      <w:pPr/>
      <w:r>
        <w:rPr>
          <w:b/>
        </w:rPr>
        <w:t>Shared claim-specific concepts:</w:t>
      </w:r>
      <w:r>
        <w:t xml:space="preserve"> planning, four, different, two; EU scope not established. This is a provisional connection, not an outcome finding.</w:t>
      </w:r>
    </w:p>
    <w:p>
      <w:pPr>
        <w:pStyle w:val="SourceNote"/>
      </w:pPr>
      <w:r>
        <w:rPr>
          <w:b/>
        </w:rPr>
        <w:t>Available abstract (not full text):</w:t>
      </w:r>
      <w:r>
        <w:t xml:space="preserve"> Measurement invariance-the notion that the measurement properties of a scale are equal across groups, contexts, or time-is an important assumption underlying much of psychology research. The traditional approach for evaluating measurement invariance is to fit a series of nested measurement models using multiple-group confirmatory factor analyses. However, traditional approaches are strict, vary across the field in implementation, and present multiplicity challenges, even in the simplest case of two groups under study. The alignment method was recently proposed as an alternative approach. This method is more automated, requires fewer decisions from researchers, and accommodates two or more groups. However, it has different assumptions, estimation techniques, and limitations from traditional approaches. To address the lack of accessible resources that explain the methodological differences and complexities between the two approaches, we introduce and illustrate both, comparing them side by side. First, we overview the concepts, assumptions, advantages, and limitations of each approach. Based on this overview, we propose a list of four key considerations to help researchers decide which approach to choose and how to document their analytical decisions in a preregistration or analysis plan. We then demonstrate our key considerations on an illustrative research question using an ope</w:t>
      </w:r>
    </w:p>
    <w:p>
      <w:pPr/>
      <w:r>
        <w:rPr>
          <w:b/>
        </w:rPr>
        <w:t>POSSIBLE 2021:</w:t>
      </w:r>
      <w:r>
        <w:t xml:space="preserve"> Lab Reports and Projects in Sport and Exercise Science — https://doi.org/10.4324/9781003112426</w:t>
      </w:r>
    </w:p>
    <w:p>
      <w:pPr/>
      <w:r>
        <w:rPr>
          <w:b/>
        </w:rPr>
        <w:t>Shared claim-specific concepts:</w:t>
      </w:r>
      <w:r>
        <w:t xml:space="preserve"> reports, planning, exercise, critical, engage, provides; EU scope not established. This is a provisional connection, not an outcome finding.</w:t>
      </w:r>
    </w:p>
    <w:p>
      <w:pPr>
        <w:pStyle w:val="SourceNote"/>
      </w:pPr>
      <w:r>
        <w:rPr>
          <w:b/>
        </w:rPr>
        <w:t>Available abstract (not full text):</w:t>
      </w:r>
      <w:r>
        <w:t xml:space="preserve"> Most science degrees will have a practical or laboratory-based component which will require some sort of final report, whether this be a conventional laboratory report or a final-year dissertation. All of these formats require students to be able to analyse their data in an appropriate way and subsequently convey their key thoughts and information to a third party. Therefore, writing laboratory reports is an essential part any science degree. This new revised edition sees the expansion of statistical examples including initial data checks and assumptions, increased awareness of critical appraisal tools and resources, project planning and a range of 'Challenge yourself' activities to supplement understanding and provides a comprehensive overview of what should be contained within each section of a scientific report, and clearly explains how it should be presented. Written in a friendly and engaging style, it guides the reader through abstracts, literature reviews, methodology, reporting discussions and referencing and contains a wealth of examples and practical advice on how to improve and refine your own writing. From writing a first lab report to preparing a final-year dissertation or postgraduate thesis, sports and exercise science students at all levels will find this book a valuable resource in developing both skill and confidence in scientific communication. Key features i</w:t>
      </w:r>
    </w:p>
    <w:p>
      <w:pPr/>
      <w:r>
        <w:rPr>
          <w:b/>
        </w:rPr>
        <w:t>POSSIBLE 2021:</w:t>
      </w:r>
      <w:r>
        <w:t xml:space="preserve"> Patient-Reported Outcomes of Regular Aerobic Exercise in Gastric Cancer — https://doi.org/10.3390/cancers13092080</w:t>
      </w:r>
    </w:p>
    <w:p>
      <w:pPr/>
      <w:r>
        <w:rPr>
          <w:b/>
        </w:rPr>
        <w:t>Shared claim-specific concepts:</w:t>
      </w:r>
      <w:r>
        <w:t xml:space="preserve"> exercise, life, defined; EU scope not established. This is a provisional connection, not an outcome finding.</w:t>
      </w:r>
    </w:p>
    <w:p>
      <w:pPr>
        <w:pStyle w:val="SourceNote"/>
      </w:pPr>
      <w:r>
        <w:rPr>
          <w:b/>
        </w:rPr>
        <w:t>Available abstract (not full text):</w:t>
      </w:r>
      <w:r>
        <w:t xml:space="preserve"> The benefits of exercise for health-related quality of life (HRQOL) and depression in patients with gastrointestinal disease remain unclear, and studies on gastric cancer are scant. This study examines the association between the maintenance of regular aerobic exercise at a recommended level and depression and HRQOL in patients with gastric cancer during or after treatment. In this cross-sectional study, a face-to-face survey was used to collect data from 126 patients with primary gastric cancer during or after treatment in a tertiary acute-care hospital in Korea. Regular exercise was defined as regularly maintained aerobic exercise of at least moderate intensity consuming ≥4 metabolic equivalents for ≥150 min/wk for at least 6 months. Depression was measured using the 9-item version of the Patient Health Questionnaire, and HRQOL was assessed using the EORTC QLQ-C30. Patients who maintained aerobic exercise at a recommended level were less likely to have depression and more likely to have improved global QOL, as well as physical, role, and emotional functioning. Patients with depression were less likely to report improved global QOL and functioning. Thus, exercise can have a synergistic effect on improvement in HRQOL via indirect positive effects on depression and direct effects on HRQOL in patients with gastric cancer. Oncology nurses should encourage patients with gastric can</w:t>
      </w:r>
    </w:p>
    <w:p>
      <w:pPr>
        <w:pStyle w:val="Heading2"/>
      </w:pPr>
      <w:r>
        <w:t>915. Future prospects for personal security in travel by public transport</w:t>
      </w:r>
    </w:p>
    <w:p>
      <w:pPr>
        <w:pStyle w:val="SourceNote"/>
      </w:pPr>
      <w:r>
        <w:rPr>
          <w:b/>
        </w:rPr>
        <w:t>Original source (2014):</w:t>
      </w:r>
      <w:r>
        <w:t xml:space="preserve"> https://doi.org/10.1080/03081060.2014.976980</w:t>
      </w:r>
    </w:p>
    <w:p>
      <w:pPr/>
      <w:r>
        <w:t>Original wording (abstract; indexed_source_text_not_full_document_verified): Four future scenario narratives (to a 2040 time horizon) were developed for each application area. A final workshop consolidated and reviewed the narrative scenarios and pulled out key themes and priority issues for policy, practice and research for the near term.</w:t>
      </w:r>
    </w:p>
    <w:p>
      <w:pPr/>
      <w:r>
        <w:rPr>
          <w:b/>
        </w:rPr>
        <w:t>POSSIBLE 2026:</w:t>
      </w:r>
      <w:r>
        <w:t xml:space="preserve"> The Tension of Retention and Retirement: A Narrative Study of Full-Time Nursing Faculty Within Five Years of Retirement at Public, Four-Year Institutions in Texas — https://openalex.org/W7221400456</w:t>
      </w:r>
    </w:p>
    <w:p>
      <w:pPr/>
      <w:r>
        <w:rPr>
          <w:b/>
        </w:rPr>
        <w:t>Shared claim-specific concepts:</w:t>
      </w:r>
      <w:r>
        <w:t xml:space="preserve"> four, each, narrative, pulled, themes; EU scope not established. This is a provisional connection, not an outcome finding.</w:t>
      </w:r>
    </w:p>
    <w:p>
      <w:pPr>
        <w:pStyle w:val="SourceNote"/>
      </w:pPr>
      <w:r>
        <w:rPr>
          <w:b/>
        </w:rPr>
        <w:t>Available abstract (not full text):</w:t>
      </w:r>
      <w:r>
        <w:t xml:space="preserve"> This narrative inquiry, qualitative study explored the retirement decision-making process of nursing faculty at public, four-year institutions who were within five years of retirement. Through purposive sampling, 11 participants across eight institutions consented to participate and were interviewed via Zoom. Due to the nursing faculty shortage, the researcher hypothesized that nursing faculty nearing retirement may be retiring not only as a natural progression of their career but also because of factors that lead other early and mid-career faculty members to leave academia. Through thematic analysis, four themes emerged: Finding Meaning and Fulfillment in the Nurse Faculty Role, Institutional Factors Shaping Retirement Decisions, Navigating Aging Across the Career Lifespan, and Practical and Emotional Dimensions of Retirement Transition. While some participants planned to retire due to the natural progression of their careers, many cited factors causing job dissatisfaction as reasons for retiring. An interesting phenomenon was discovered: Within each subtheme, participants described tensions between job demands and job resources, with some participants citing institutional factors as reasons to consider retirement and others as reasons to remain in academia. Participants also described feeling pulled between competing personal desires as they contemplated retirement. Universit</w:t>
      </w:r>
    </w:p>
    <w:p>
      <w:pPr/>
      <w:r>
        <w:rPr>
          <w:b/>
        </w:rPr>
        <w:t>POSSIBLE 2026:</w:t>
      </w:r>
      <w:r>
        <w:t xml:space="preserve"> Developing a patient narrative interview guide using the Delphi method — https://doi.org/10.1186/s12909-026-08795-7</w:t>
      </w:r>
    </w:p>
    <w:p>
      <w:pPr/>
      <w:r>
        <w:rPr>
          <w:b/>
        </w:rPr>
        <w:t>Shared claim-specific concepts:</w:t>
      </w:r>
      <w:r>
        <w:t xml:space="preserve"> four, narratives, developed, each, narrative; EU scope not established. This is a provisional connection, not an outcome finding.</w:t>
      </w:r>
    </w:p>
    <w:p>
      <w:pPr>
        <w:pStyle w:val="SourceNote"/>
      </w:pPr>
      <w:r>
        <w:rPr>
          <w:b/>
        </w:rPr>
        <w:t>Available abstract (not full text):</w:t>
      </w:r>
      <w:r>
        <w:t xml:space="preserve"> Illness narratives are commonly elicited through interviews using structured or semi-structured tools. With the growing emphasis on patient-centered care and narrative medicine, interview guides should integrate both illness narratives and personal life stories. Such integration helps balance the “voice of medicine” with the “voice of the lifeworld,” fostering more holistic, empathetic, and contextually grounded communication between healthcare professionals and patients. Building on this perspective and the growing need in medical education, this study aimed to develop and validate a patient narrative interview tool and to evaluate its feasibility and usability through a pilot study. A preliminary version of the Patient Narrative Interview Guide (PNIG) was developed using a modified Delphi process and refined through three iterative rounds of consultation with 11 experts in narrative medicine, medical humanities, and medical education. Following expert consensus, three senior medical students each conducted a trial interview with a volunteer patient using the finalized guide. Feedback from students and patients was collected and analyzed using editorial analysis to explore perceptions of the PNIG and the interview experience, and to identify potential areas for improvement. The study produced a 26-item PNIG organized within a 3 × 4 multidimensional framework, comprising three </w:t>
      </w:r>
    </w:p>
    <w:p>
      <w:pPr/>
      <w:r>
        <w:rPr>
          <w:b/>
        </w:rPr>
        <w:t>POSSIBLE 2026:</w:t>
      </w:r>
      <w:r>
        <w:t xml:space="preserve"> PRACTICAL APPROACHES TO DEVELOPING CREATIVE THINKING IN PRESCHOOL CHILDREN: A NARRATIVE REVIEW — https://doi.org/10.5281/zenodo.23090972</w:t>
      </w:r>
    </w:p>
    <w:p>
      <w:pPr/>
      <w:r>
        <w:rPr>
          <w:b/>
        </w:rPr>
        <w:t>Shared claim-specific concepts:</w:t>
      </w:r>
      <w:r>
        <w:t xml:space="preserve"> four, each, narrative; EU scope not established. This is a provisional connection, not an outcome finding.</w:t>
      </w:r>
    </w:p>
    <w:p>
      <w:pPr>
        <w:pStyle w:val="SourceNote"/>
      </w:pPr>
      <w:r>
        <w:rPr>
          <w:b/>
        </w:rPr>
        <w:t>Available abstract (not full text):</w:t>
      </w:r>
      <w:r>
        <w:t xml:space="preserve"> This thesis reviews practical approaches to developing creative thinking in preschool children (about 3–6 years old). Drawing on early childhood guidance, two practitioner articles and a recent pilot study, it describes four approaches: guided pretend play, open-ended materials and process art, dialogic storytelling, and small inquiry projects. Each gives children a chance to propose varied ideas, adapt plans and explain choices through play. Based on these practices, a four-step classroom cycle is proposed: ask, explore, share, revise. Brief observations of talk, gestures, drawings and changes of plan can guide the next activity. The paper is a narrative review; it reports no original intervention or child-level data and makes no claim about measured effectiveness.</w:t>
      </w:r>
    </w:p>
    <w:p>
      <w:pPr/>
      <w:r>
        <w:rPr>
          <w:b/>
        </w:rPr>
        <w:t>POSSIBLE 2025:</w:t>
      </w:r>
      <w:r>
        <w:t xml:space="preserve"> The Early Narratives — https://doi.org/10.5117/9789089648235_ch02</w:t>
      </w:r>
    </w:p>
    <w:p>
      <w:pPr/>
      <w:r>
        <w:rPr>
          <w:b/>
        </w:rPr>
        <w:t>Shared claim-specific concepts:</w:t>
      </w:r>
      <w:r>
        <w:t xml:space="preserve"> four, narratives, each, final, narrative, issues; EU scope not established. This is a provisional connection, not an outcome finding.</w:t>
      </w:r>
    </w:p>
    <w:p>
      <w:pPr>
        <w:pStyle w:val="SourceNote"/>
      </w:pPr>
      <w:r>
        <w:rPr>
          <w:b/>
        </w:rPr>
        <w:t>Available abstract (not full text):</w:t>
      </w:r>
      <w:r>
        <w:t xml:space="preserve"> This chapter will analyse the structures of Paul’s first three narratives i.e. the HR , the Vita Sancti Gregorii Magni , and the Gesta Episcoporum Mettensium as a prelude to a lengthier examination and discussion of the HL . Examining these three works will allow us to not only understand Paul’s development as a writer and a historian, but also help us to understand how he put together his lengthiest and most important final work, the HL . For each of the three early narratives, we shall consider four principal issues: first, can a common narrative strategy be identified; secondly, do the works demonstrate evidence of Paul’s approach to events and individuals; thirdly, did Paul develop his own voice in his works or remain bound to the restrictions implied by his client relationship with patrons; and fourthly how did he use and select his sources?</w:t>
      </w:r>
    </w:p>
    <w:p>
      <w:pPr/>
      <w:r>
        <w:rPr>
          <w:b/>
        </w:rPr>
        <w:t>POSSIBLE 2024:</w:t>
      </w:r>
      <w:r>
        <w:t xml:space="preserve"> Working with Sport Clients in Transitions: Four Practitioners, Four Narratives — https://doi.org/10.1080/21520704.2024.2366828</w:t>
      </w:r>
    </w:p>
    <w:p>
      <w:pPr/>
      <w:r>
        <w:rPr>
          <w:b/>
        </w:rPr>
        <w:t>Shared claim-specific concepts:</w:t>
      </w:r>
      <w:r>
        <w:t xml:space="preserve"> four, narratives, each, practice; EU scope not established. This is a provisional connection, not an outcome finding.</w:t>
      </w:r>
    </w:p>
    <w:p>
      <w:pPr>
        <w:pStyle w:val="SourceNote"/>
      </w:pPr>
      <w:r>
        <w:rPr>
          <w:b/>
        </w:rPr>
        <w:t>Available abstract (not full text):</w:t>
      </w:r>
      <w:r>
        <w:t xml:space="preserve"> In this paper, we aim to present four narratives disclosing our applied experiences of working with sport clients in transitions. Within the narratives, each practitioner reflected on their professional philosophy, approaches used in practice, and provided a case illustration. The four included cases on transitions of a student-athlete, a retired jockey, a novice baseball coach, and a basketball coach were informed by diversified developmental theoretical perspectives, employing context-driven approaches, and person-centered collaborations. Consistent with the literature, we share effective ways of developing client awareness of the transition demands/barriers, helping them become more resourceful to cope, supporting their coping strategies, and stimulating reflexivity on their transition experience.</w:t>
      </w:r>
    </w:p>
    <w:p>
      <w:pPr/>
      <w:r>
        <w:rPr>
          <w:b/>
        </w:rPr>
        <w:t>POSSIBLE 2024:</w:t>
      </w:r>
      <w:r>
        <w:t xml:space="preserve"> Time and Space in the Narrative of Teacher Education — https://openalex.org/W7216888903</w:t>
      </w:r>
    </w:p>
    <w:p>
      <w:pPr/>
      <w:r>
        <w:rPr>
          <w:b/>
        </w:rPr>
        <w:t>Shared claim-specific concepts:</w:t>
      </w:r>
      <w:r>
        <w:t xml:space="preserve"> four, narratives, time, developed, narrative; EU scope not established. This is a provisional connection, not an outcome finding.</w:t>
      </w:r>
    </w:p>
    <w:p>
      <w:pPr>
        <w:pStyle w:val="SourceNote"/>
      </w:pPr>
      <w:r>
        <w:rPr>
          <w:b/>
        </w:rPr>
        <w:t>Available abstract (not full text):</w:t>
      </w:r>
      <w:r>
        <w:t xml:space="preserve"> This study explores the education narrative that has developed during one year in a clinical model of a teacher education program - academia class program. The study aims to describe the nature of the education process by monitoring the chronotope according to the narrative model conceived by Bakhtin, as well as assessing the references and contexts encompassed in a multi-voice narrative – in an ecological prospective. The findings indicate four different narratives that occur within one framework narrative. The analysis of findings according to the eco-system principles have resulted in the consolidation of a 5C type ecological model: context, continuity, characteristics, change, and coherence. The narrative model and the ecological model proposed in this study enhance the understanding of the nature of the education process, and offer rethinking the way policymakers shape the dimensions of time and space in teacher education, and their price in relation to processes of this kind.</w:t>
      </w:r>
    </w:p>
    <w:p>
      <w:pPr/>
      <w:r>
        <w:rPr>
          <w:b/>
        </w:rPr>
        <w:t>POSSIBLE 2023:</w:t>
      </w:r>
      <w:r>
        <w:t xml:space="preserve"> Perspectives on Narrative Time in Chinese Cinema — https://doi.org/10.1515/jcfs-2023-0010</w:t>
      </w:r>
    </w:p>
    <w:p>
      <w:pPr/>
      <w:r>
        <w:rPr>
          <w:b/>
        </w:rPr>
        <w:t>Shared claim-specific concepts:</w:t>
      </w:r>
      <w:r>
        <w:t xml:space="preserve"> four, time, narrative; EU scope not established. This is a provisional connection, not an outcome finding.</w:t>
      </w:r>
    </w:p>
    <w:p>
      <w:pPr>
        <w:pStyle w:val="SourceNote"/>
      </w:pPr>
      <w:r>
        <w:rPr>
          <w:b/>
        </w:rPr>
        <w:t>Available abstract (not full text):</w:t>
      </w:r>
      <w:r>
        <w:t xml:space="preserve"> Abstract The unique view of time rooted in traditional Chinese culture is distinct from that of Western countries. In the Eastern perspective, eternity and evanescence are unified in the axiom: “The passage of time is like flowing water.” This concept also creates a different perspective on narrative time in Chinese films, compared with Western films. In the Chinese perspective, firstly, traditional laws of time are fully respected, and the four seasons, solar terms, and festivals are often seen as time nodes; secondly, a nationally imagined unity of time and space is followed, and expressions of time are likely to be integrated into artistic images such as objects, weather phenomena, and natural landscapes; thirdly, the cognitive laws of nature are respected whereby the linear or circumferential track is adopted and therefore a sense of leisure comes up in resonance; finally, the time scale is based on perception, and Chinese aesthetic style is thus construed while fulfilling the needs of narrative.</w:t>
      </w:r>
    </w:p>
    <w:p>
      <w:pPr/>
      <w:r>
        <w:rPr>
          <w:b/>
        </w:rPr>
        <w:t>POSSIBLE 2023:</w:t>
      </w:r>
      <w:r>
        <w:t xml:space="preserve"> Narrative, Time, and Disaster — https://doi.org/10.1215/00295132-10562980</w:t>
      </w:r>
    </w:p>
    <w:p>
      <w:pPr/>
      <w:r>
        <w:rPr>
          <w:b/>
        </w:rPr>
        <w:t>Shared claim-specific concepts:</w:t>
      </w:r>
      <w:r>
        <w:t xml:space="preserve"> four, narratives, time, developed, each, area; EU scope not established. This is a provisional connection, not an outcome finding.</w:t>
      </w:r>
    </w:p>
    <w:p>
      <w:pPr>
        <w:pStyle w:val="SourceNote"/>
      </w:pPr>
      <w:r>
        <w:rPr>
          <w:b/>
        </w:rPr>
        <w:t>Available abstract (not full text):</w:t>
      </w:r>
      <w:r>
        <w:t xml:space="preserve"> In 2004 I joined a student volunteer group. I was a graduate student in Johannesburg, and our volunteer group taught at an unregistered school in an informal settlement in Eikenhof, south of Johannesburg, once a week. The school had no full-time teachers because it was not recognized by the government. In December we put together food parcels to distribute to people living with HIV in the area. Our visits were difficult. Many of the patients had full-blown AIDS. I remember one woman had a five-year-old son—a stylish little gent who cheerfully chatted with us and asked us to photograph him in different poses. His mother had little time left. She told us she had been on antiretroviral medication dispensed by the clinic at no charge but had stopped taking them because they made her sicker. She did not have consistent access to food. Sitting in her home, I kept thinking the zinc and cardboard shack was no match for Johannesburg's brutal winters. I felt defeated—defeated by the futility of our volunteer teaching and our December visits, which were thin Band-Aids on deep wounds. The visits triggered other memories. They reminded me of 1999, when I visited my grandfather during school holidays back in Kenya. I knew my aunt had been unwell but hadn't realized how seriously ill she was. Soon after exchanging greetings, my grandfather said: “enda uone mama yako, labda alikuwa anakungoja”</w:t>
      </w:r>
    </w:p>
    <w:p>
      <w:pPr/>
      <w:r>
        <w:rPr>
          <w:b/>
        </w:rPr>
        <w:t>POSSIBLE 2022:</w:t>
      </w:r>
      <w:r>
        <w:t xml:space="preserve"> Time and Narrative in Augustine’s City of God and Confessions — https://openalex.org/W7217744295</w:t>
      </w:r>
    </w:p>
    <w:p>
      <w:pPr/>
      <w:r>
        <w:rPr>
          <w:b/>
        </w:rPr>
        <w:t>Shared claim-specific concepts:</w:t>
      </w:r>
      <w:r>
        <w:t xml:space="preserve"> time, narrative, out; EU scope not established. This is a provisional connection, not an outcome finding.</w:t>
      </w:r>
    </w:p>
    <w:p>
      <w:pPr>
        <w:pStyle w:val="SourceNote"/>
      </w:pPr>
      <w:r>
        <w:rPr>
          <w:b/>
        </w:rPr>
        <w:t>Available abstract (not full text):</w:t>
      </w:r>
      <w:r>
        <w:t xml:space="preserve"> This paper examines the connections between Augustine ́s conception of Time in two of his main works: City of God and Confession. The issue of Time is crucial for Augustine ́s narrative purposes, and it appears in his account of the history of mankind – the City of God, just as it appears in his account of his own history – the Confessions. Book XI in both works discuss time and creation, and put the narrativeof the book in the context of time as a whole. The two accounts proceed from similar motivations and in a similar method. But they at the same time complete eachother: the account of the Confessions is more detailed in the way it presents the problem and works out the solution step by step; the City of God seems to pick it upfrom where Confessions leaves off and takes it a step further. In this paper, I first briefly sketch the concept of time as presented in Confessions XI. I continue bypointing out how it is completed in the account in City of God I conclude by indicating how these two accounts together put into perspective Augustine’s concern with narrative, as well as his use of it.</w:t>
      </w:r>
    </w:p>
    <w:p>
      <w:pPr/>
      <w:r>
        <w:rPr>
          <w:b/>
        </w:rPr>
        <w:t>POSSIBLE 2022:</w:t>
      </w:r>
      <w:r>
        <w:t xml:space="preserve"> The Narrative Tone of Stories — https://doi.org/10.4324/9781003316503-4</w:t>
      </w:r>
    </w:p>
    <w:p>
      <w:pPr/>
      <w:r>
        <w:rPr>
          <w:b/>
        </w:rPr>
        <w:t>Shared claim-specific concepts:</w:t>
      </w:r>
      <w:r>
        <w:t xml:space="preserve"> four, developed, each, narrative; EU scope not established. This is a provisional connection, not an outcome finding.</w:t>
      </w:r>
    </w:p>
    <w:p>
      <w:pPr>
        <w:pStyle w:val="SourceNote"/>
      </w:pPr>
      <w:r>
        <w:rPr>
          <w:b/>
        </w:rPr>
        <w:t>Available abstract (not full text):</w:t>
      </w:r>
      <w:r>
        <w:t xml:space="preserve"> Every author develops a narrative tone in their writings, either consciously or unconsciously. This chapter examines two aspects of narrative tone, both of which are especially relevant to the ideas used in this research. One of the concepts is the attachment style used in each story. John Bowlby was the ‘father’ of attachment theory; Mary Ainsworth is the lesser-known ‘mother’ of the theory. The author describes the four types of attachment style: namely, secure, insecure ambivalent, insecure avoidant, insecure disorganised. Each attachment schema is described in some detail. The author then moves on to another facet of narrative tone: namely, to the visions of reality or world views depicted in writings. The author uses a typology of world views developed by Northrop Frye: Romantic, Comic, Tragic and Ironic. Later writers (Messer &amp; Winokur, and Shafer) have identified the underlying metatheoretical assumptions of these world views as they pertain to the four main differing theoretical modalities in counselling and psychotherapy. The four competing visions are completely at odds with each other in some regards; in others, it is a matter of gradation. A number of elements are compared and contrasted: loci of responsibility and control; agency and structure; optimism versus pessimism. The author stresses that the world view put forward in each story may be expressed consciously </w:t>
      </w:r>
    </w:p>
    <w:p>
      <w:pPr/>
      <w:r>
        <w:rPr>
          <w:b/>
        </w:rPr>
        <w:t>POSSIBLE 2022:</w:t>
      </w:r>
      <w:r>
        <w:t xml:space="preserve"> Spatialising time: Perceiving multiple layers of time in narrative environment — https://doi.org/10.7454/arsnet.v2i2.19</w:t>
      </w:r>
    </w:p>
    <w:p>
      <w:pPr/>
      <w:r>
        <w:rPr>
          <w:b/>
        </w:rPr>
        <w:t>Shared claim-specific concepts:</w:t>
      </w:r>
      <w:r>
        <w:t xml:space="preserve"> four, time, narrative; EU scope not established. This is a provisional connection, not an outcome finding.</w:t>
      </w:r>
    </w:p>
    <w:p>
      <w:pPr>
        <w:pStyle w:val="SourceNote"/>
      </w:pPr>
      <w:r>
        <w:rPr>
          <w:b/>
        </w:rPr>
        <w:t>Available abstract (not full text):</w:t>
      </w:r>
      <w:r>
        <w:t xml:space="preserve"> There is no escape from time. That includes architecture which dominantly discusses space. This paper aims to explore how people can experience time spatially. Notably, this study looks at the context of the narrative environment where stories are imbued in space to enhance their engagement with the audience. Time in a narrative is presented through the narrated time and the real-world time where the audience of the narrative perceive it. Both types of time can be overlapped, whether the audience is consciously aware of that or not. Time is integrated into a narrative through order, plot, pace, and duration. All these four aspects are experienced by the visitor of a narrative environment to connect events and make sense of their journey and the whole story. The relationship between events experienced through time creates a spatial trajectory. Two case studies were conducted to explore this idea: a visit to Museum Kebangkitan Nasional and participation in Secret Cinema. It is found that time can be spatialised through the explicit transition of graphics, a play of lighting, and overall spatial organisation.</w:t>
      </w:r>
    </w:p>
    <w:p>
      <w:pPr/>
      <w:r>
        <w:rPr>
          <w:b/>
        </w:rPr>
        <w:t>POSSIBLE 2021:</w:t>
      </w:r>
      <w:r>
        <w:t xml:space="preserve"> Time Machines: Artificial Intelligence, Process, and Narrative — https://doi.org/10.1007/s13347-021-00479-y</w:t>
      </w:r>
    </w:p>
    <w:p>
      <w:pPr/>
      <w:r>
        <w:rPr>
          <w:b/>
        </w:rPr>
        <w:t>Shared claim-specific concepts:</w:t>
      </w:r>
      <w:r>
        <w:t xml:space="preserve"> narratives, time, narrative; EU scope not established. This is a provisional connection, not an outcome finding.</w:t>
      </w:r>
    </w:p>
    <w:p>
      <w:pPr>
        <w:pStyle w:val="SourceNote"/>
      </w:pPr>
      <w:r>
        <w:rPr>
          <w:b/>
        </w:rPr>
        <w:t>Available abstract (not full text):</w:t>
      </w:r>
      <w:r>
        <w:t xml:space="preserve"> Abstract While today there is much discussion about the ethics of artificial intelligence (AI), less work has been done on the philosophical nature of AI. Drawing on Bergson and Ricoeur, this paper proposes to use the concepts of time, process, and narrative to conceptualize AI and its normatively relevant impact on human lives and society. Distinguishing between a number of different ways in which AI and time are related, the paper explores what it means to understand AI as narrative, as process, or as the emergent outcome of processes and narratives. It pays particular attention to what it calls the “narrator” and “time machine” roles of AI and the normative implications of these roles. It argues that AI processes and narratives shape our time and link past, present, and future in particular ways that are ethically and politically significant.</w:t>
      </w:r>
    </w:p>
    <w:p>
      <w:pPr>
        <w:pStyle w:val="Heading2"/>
      </w:pPr>
      <w:r>
        <w:t>916. How climate, migration ability and habitat fragmentation affect the projected future distribution of European beech</w:t>
      </w:r>
    </w:p>
    <w:p>
      <w:pPr>
        <w:pStyle w:val="SourceNote"/>
      </w:pPr>
      <w:r>
        <w:rPr>
          <w:b/>
        </w:rPr>
        <w:t>Original source (2014):</w:t>
      </w:r>
      <w:r>
        <w:t xml:space="preserve"> https://doi.org/10.1111/gcb.12771</w:t>
      </w:r>
    </w:p>
    <w:p>
      <w:pPr/>
      <w:r>
        <w:t>Original wording (abstract; indexed_source_text_not_full_document_verified): Here, we projected the range shift of European beech over the 21st century using a process-based SDM coupled to a phenomenological migration model accounting for population dynamics, according to two climate change scenarios and one land use change scenario. As a result, the realized distribution of beech is projected to strongly contract by 2100 (by 36-61%) mainly due to a substantial increase in climate variability after 2050, which generates local extinctions, even at the core of the distribution, the frequency of which prevents beech recolonization during more favourable years.</w:t>
      </w:r>
    </w:p>
    <w:p>
      <w:pPr/>
      <w:r>
        <w:rPr>
          <w:b/>
        </w:rPr>
        <w:t>POSSIBLE 2026:</w:t>
      </w:r>
      <w:r>
        <w:t xml:space="preserve"> Marine fish ranges are expanding and shifting deeper across the European continental shelf — https://doi.org/10.1038/s41467-026-74371-8</w:t>
      </w:r>
    </w:p>
    <w:p>
      <w:pPr/>
      <w:r>
        <w:rPr>
          <w:b/>
        </w:rPr>
        <w:t>Shared claim-specific concepts:</w:t>
      </w:r>
      <w:r>
        <w:t xml:space="preserve"> here, range, over, population, climate, distribution; EU scope visible. This is a provisional connection, not an outcome finding.</w:t>
      </w:r>
    </w:p>
    <w:p>
      <w:pPr>
        <w:pStyle w:val="SourceNote"/>
      </w:pPr>
      <w:r>
        <w:rPr>
          <w:b/>
        </w:rPr>
        <w:t>Available abstract (not full text):</w:t>
      </w:r>
      <w:r>
        <w:t xml:space="preserve"> Understanding how climate change and exploitation affect marine species distribution is key for biodiversity conservation. While warming is typically expected to drive species poleward and into deeper waters, unexpected patterns such as equatorward shifts and shallowing also occur. Fishing pressure may further contract species' ranges. Yet, the mechanisms underpinning these 3-dimensional range shifts remain largely unresolved. Using 92,961 bottom trawl samples across the European continental shelf, covering 607 fish species over four decades, we show that deepening is predominant, with 60% of populations experiencing an increase in their average depth. Contrary to expectations, latitudinal shifts are balanced, with 49% of populations shifting poleward and 51% equatorward. Here, we quantify how population relocations are driven by the interplay between environmental factors and species traits as species track their optimal ecological niches. We also highlight that the recent reduction in fishing pressure has likely facilitated spatial expansions and increases in populations abundance.</w:t>
      </w:r>
    </w:p>
    <w:p>
      <w:pPr/>
      <w:r>
        <w:rPr>
          <w:b/>
        </w:rPr>
        <w:t>POSSIBLE 2025:</w:t>
      </w:r>
      <w:r>
        <w:t xml:space="preserve"> Taxus tree-ring chronologies from southern England reveal western European hydroclimate changes over the past three centuries — https://doi.org/10.1007/s00382-025-07601-2</w:t>
      </w:r>
    </w:p>
    <w:p>
      <w:pPr/>
      <w:r>
        <w:rPr>
          <w:b/>
        </w:rPr>
        <w:t>Shared claim-specific concepts:</w:t>
      </w:r>
      <w:r>
        <w:t xml:space="preserve"> here, range, over, century, climate; EU scope visible. This is a provisional connection, not an outcome finding.</w:t>
      </w:r>
    </w:p>
    <w:p>
      <w:pPr>
        <w:pStyle w:val="SourceNote"/>
      </w:pPr>
      <w:r>
        <w:rPr>
          <w:b/>
        </w:rPr>
        <w:t>Available abstract (not full text):</w:t>
      </w:r>
      <w:r>
        <w:t xml:space="preserve"> Abstract Heatwaves and summer droughts across Europe are likely to intensify under anthropogenic global warming thereby affecting ecological and societal systems. To place modern trends and extremes in the context of past natural variability, annually resolved and absolutely dated climate reconstructions are needed. Here, we present a network of 153 yew (Taxus baccata L.) tree-ring width (TRW) series from 22 sites in southern England that cover the past 310 years. Significant positive correlations were found between TRW chronologies and both April–July precipitation totals (r &gt; 0.7) and July drought indices (r &gt; 0.59) back to 1901 CE (p &lt; 0.05). We used a suite of residual and standard TRW chronologies to reconstruct interannual to multi-decadal spring–summer precipitation and mid-summer drought variability over western Europe, respectively. Our yew hydroclimate reconstructions capture the majority of reported summer droughts and pluvials back to 1710 CE. Clusters of severe drought spells occurred in the second half of the 18th and mid-twentieth century. Our study suggests that the frequency and intensity of recent hydroclimate extremes over western Europe are likely still within the range of past natural variability.</w:t>
      </w:r>
    </w:p>
    <w:p>
      <w:pPr/>
      <w:r>
        <w:rPr>
          <w:b/>
        </w:rPr>
        <w:t>POSSIBLE 2024:</w:t>
      </w:r>
      <w:r>
        <w:t xml:space="preserve"> Unexpected westward range shifts in European forest plants link to nitrogen deposition — https://doi.org/10.1126/science.ado0878</w:t>
      </w:r>
    </w:p>
    <w:p>
      <w:pPr/>
      <w:r>
        <w:rPr>
          <w:b/>
        </w:rPr>
        <w:t>Shared claim-specific concepts:</w:t>
      </w:r>
      <w:r>
        <w:t xml:space="preserve"> here, range, dynamics, climate, distribution; EU scope visible. This is a provisional connection, not an outcome finding.</w:t>
      </w:r>
    </w:p>
    <w:p>
      <w:pPr>
        <w:pStyle w:val="SourceNote"/>
      </w:pPr>
      <w:r>
        <w:rPr>
          <w:b/>
        </w:rPr>
        <w:t>Available abstract (not full text):</w:t>
      </w:r>
      <w:r>
        <w:t xml:space="preserve"> Climate change is commonly assumed to induce species' range shifts toward the poles. Yet, other environmental changes may affect the geographical distribution of species in unexpected ways. Here, we quantify multidecadal shifts in the distribution of European forest plants and link these shifts to key drivers of forest biodiversity change: climate change, atmospheric deposition (nitrogen and sulfur), and forest canopy dynamics. Surprisingly, westward distribution shifts were 2.6 times more likely than northward ones. Not climate change, but nitrogen-mediated colonization events, possibly facilitated by the recovery from past acidifying deposition, best explain westward movements. Biodiversity redistribution patterns appear complex and are more likely driven by the interplay among several environmental changes than due to the exclusive effects of climate change alone.</w:t>
      </w:r>
    </w:p>
    <w:p>
      <w:pPr/>
      <w:r>
        <w:rPr>
          <w:b/>
        </w:rPr>
        <w:t>POSSIBLE 2024:</w:t>
      </w:r>
      <w:r>
        <w:t xml:space="preserve"> Range and climate niche shifts in European and North American breeding birds — https://doi.org/10.1098/rstb.2023.0013</w:t>
      </w:r>
    </w:p>
    <w:p>
      <w:pPr/>
      <w:r>
        <w:rPr>
          <w:b/>
        </w:rPr>
        <w:t>Shared claim-specific concepts:</w:t>
      </w:r>
      <w:r>
        <w:t xml:space="preserve"> here, range, dynamics, two, climate, land; EU scope visible. This is a provisional connection, not an outcome finding.</w:t>
      </w:r>
    </w:p>
    <w:p>
      <w:pPr>
        <w:pStyle w:val="SourceNote"/>
      </w:pPr>
      <w:r>
        <w:rPr>
          <w:b/>
        </w:rPr>
        <w:t>Available abstract (not full text):</w:t>
      </w:r>
      <w:r>
        <w:t xml:space="preserve"> Species respond dynamically to climate change and exhibit time lags. Consequently, species may not occupy their full climatic niche during range shifting. Here, we assessed climate niche tracking during recent range shifts of European and United States (US) birds. Using data from two European bird atlases and from the North American Breeding Bird Survey between the 1980s and 2010s, we analysed range overlap and climate niche overlap based on kernel density estimation. Phylogenetic multiple regression was used to assess the effect of species morphological, ecological and biogeographic traits on range and niche metrics. European birds shifted their ranges north and north-eastwards, US birds westwards. Range unfilling was lower than expected by null models, and niche expansion was more common than niche unfilling. Also, climate niche tracking was generally lower in US birds and poorly explained by species traits. Overall, our results suggest that dispersal limitations were minor in range shifting birds in Europe and the USA while delayed extinctions from unfavourable areas seem more important. Regional differences could be related to differences in land use history and monitoring schemes. Comparative analyses of range and niche shifts provide a useful screening approach for identifying the importance of transient dynamics and time-lagged responses to climate change. This article i</w:t>
      </w:r>
    </w:p>
    <w:p>
      <w:pPr/>
      <w:r>
        <w:rPr>
          <w:b/>
        </w:rPr>
        <w:t>POSSIBLE 2024:</w:t>
      </w:r>
      <w:r>
        <w:t xml:space="preserve"> Transnational conservation to anticipate future plant shifts in Europe — https://doi.org/10.1038/s41559-023-02287-3</w:t>
      </w:r>
    </w:p>
    <w:p>
      <w:pPr/>
      <w:r>
        <w:rPr>
          <w:b/>
        </w:rPr>
        <w:t>Shared claim-specific concepts:</w:t>
      </w:r>
      <w:r>
        <w:t xml:space="preserve"> here, shift, migration, one, land, distribution; EU scope visible. This is a provisional connection, not an outcome finding.</w:t>
      </w:r>
    </w:p>
    <w:p>
      <w:pPr>
        <w:pStyle w:val="SourceNote"/>
      </w:pPr>
      <w:r>
        <w:rPr>
          <w:b/>
        </w:rPr>
        <w:t>Available abstract (not full text):</w:t>
      </w:r>
      <w:r>
        <w:t xml:space="preserve"> To meet the COP15 biodiversity framework in the European Union (EU), one target is to protect 30% of its land by 2030 through a resilient transnational conservation network. The European Alps are a key hub of this network hosting some of the most extensive natural areas and biodiversity hotspots in Europe. Here we assess the robustness of the current European reserve network to safeguard the European Alps' flora by 2080 using semi-mechanistic simulations. We first highlight that the current network needs strong readjustments as it does not capture biodiversity patterns as well as our conservation simulations. Overall, we predict a strong shift in conservation need through time along latitudes, and from lower to higher elevations as plants migrate upslope and shrink their distribution. While increasing species, trait and evolutionary diversity, migration could also threaten 70% of the resident flora. In the face of global changes, the future European reserve network will need to ensure strong elevation and latitudinal connections to complementarily protect multifaceted biodiversity beyond national borders.</w:t>
      </w:r>
    </w:p>
    <w:p>
      <w:pPr/>
      <w:r>
        <w:rPr>
          <w:b/>
        </w:rPr>
        <w:t>POSSIBLE 2023:</w:t>
      </w:r>
      <w:r>
        <w:t xml:space="preserve"> Niche and Range Shifts of the Fall Webworm (Hyphantria cunea Dury) in Europe Imply Its Huge Invasion Potential in the Future — https://doi.org/10.3390/insects14040316</w:t>
      </w:r>
    </w:p>
    <w:p>
      <w:pPr/>
      <w:r>
        <w:rPr>
          <w:b/>
        </w:rPr>
        <w:t>Shared claim-specific concepts:</w:t>
      </w:r>
      <w:r>
        <w:t xml:space="preserve"> here, range, result; EU scope visible. This is a provisional connection, not an outcome finding.</w:t>
      </w:r>
    </w:p>
    <w:p>
      <w:pPr>
        <w:pStyle w:val="SourceNote"/>
      </w:pPr>
      <w:r>
        <w:rPr>
          <w:b/>
        </w:rPr>
        <w:t>Available abstract (not full text):</w:t>
      </w:r>
      <w:r>
        <w:t xml:space="preserve"> Dury) has a strong impact on agricultural systems in Europe. However, its invasive potential, which was inherited from its native niche in North America, remains unknown. Here, we investigated the climatic niche and range shifts of the fall webworm in Europe and compared them with those in native North America, then assessed the worms' invasive potential in Europe. Compared with the fall webworm in Europe, those in North America survived in more diverse climatic conditions, which was closely associated with their broader niche and larger potential ranges in Europe. If the fall webworm in Europe could exploit the native niche inherited from those in North America to adapt to climatic conditions in Europe, their potential ranges in Europe could be 5.5-fold those based on the niche as introduced in Europe. The potentially unfilled ranges of the fall webworm in Europe were mainly detected in vast regions of Europe, excluding Norway, Sweden, Finland, North Russia, Hungary, Croatia, Romania, and Ukraine, suggesting that, without strict control, these vast regions might be preferably invaded by the fall webworm in Europe in the future. Therefore, strict control against its invasion is needed. Given that small niche shifts in this invasive insect could result in large range shifts, the niche shifts represent a more sensitive indicator of invasion risk than range shifts.</w:t>
      </w:r>
    </w:p>
    <w:p>
      <w:pPr/>
      <w:r>
        <w:rPr>
          <w:b/>
        </w:rPr>
        <w:t>POSSIBLE 2023:</w:t>
      </w:r>
      <w:r>
        <w:t xml:space="preserve"> Recent range shifts of moths, butterflies, and birds are driven by the breadth of their climatic niche — https://doi.org/10.1093/evlett/qrad004</w:t>
      </w:r>
    </w:p>
    <w:p>
      <w:pPr/>
      <w:r>
        <w:rPr>
          <w:b/>
        </w:rPr>
        <w:t>Shared claim-specific concepts:</w:t>
      </w:r>
      <w:r>
        <w:t xml:space="preserve"> here, range, shift, over, climate, realized; EU scope visible. This is a provisional connection, not an outcome finding.</w:t>
      </w:r>
    </w:p>
    <w:p>
      <w:pPr>
        <w:pStyle w:val="SourceNote"/>
      </w:pPr>
      <w:r>
        <w:rPr>
          <w:b/>
        </w:rPr>
        <w:t>Available abstract (not full text):</w:t>
      </w:r>
      <w:r>
        <w:t xml:space="preserve"> Species are altering their ranges as a response to climate change, but the magnitude and direction of observed range shifts vary considerably among species. The ability to persist in current areas and colonize new areas plays a crucial role in determining which species will thrive and which decline as climate change progresses. Several studies have sought to identify characteristics, such as morphological and life-history traits, that could explain differences in the capability of species to shift their ranges together with a changing climate. These characteristics have explained variation in range shifts only sporadically, thus offering an uncertain tool for discerning responses among species. As long-term selection to past climates have shaped species' tolerances, metrics describing species' contemporary climatic niches may provide an alternative means for understanding responses to on-going climate change. Species that occur in a broader range of climatic conditions may hold greater tolerance to climatic variability and could therefore more readily maintain their historical ranges, while species with more narrow tolerances may only persist if they are able to shift in space to track their climatic niche. Here, we provide a first-filter test of the effect of climatic niche dimensions on shifts in the leading range edges in three relatively well-dispersing species groups. Base</w:t>
      </w:r>
    </w:p>
    <w:p>
      <w:pPr/>
      <w:r>
        <w:rPr>
          <w:b/>
        </w:rPr>
        <w:t>POSSIBLE 2023:</w:t>
      </w:r>
      <w:r>
        <w:t xml:space="preserve"> Predicting the impacts of climate change on the distribution of European syngnathids over the next century — https://doi.org/10.3389/fmars.2023.1138657</w:t>
      </w:r>
    </w:p>
    <w:p>
      <w:pPr/>
      <w:r>
        <w:rPr>
          <w:b/>
        </w:rPr>
        <w:t>Shared claim-specific concepts:</w:t>
      </w:r>
      <w:r>
        <w:t xml:space="preserve"> here, range, over, century, according, climate; EU scope visible. This is a provisional connection, not an outcome finding.</w:t>
      </w:r>
    </w:p>
    <w:p>
      <w:pPr>
        <w:pStyle w:val="SourceNote"/>
      </w:pPr>
      <w:r>
        <w:rPr>
          <w:b/>
        </w:rPr>
        <w:t>Available abstract (not full text):</w:t>
      </w:r>
      <w:r>
        <w:t xml:space="preserve"> At the latitudinal interval that encompasses Europe, due to the gradual seawater warming imposed by climate change, there is now continuing evidence for a widespread pattern of poleward range shifts, often translated by expansions in the northern leading edges of distribution and contraction episodes at the southern boundaries. As the distribution of biodiversity is far from static, it seems imperative that we can predict changes in species’ geographic ranges to potentially circumvent severe biodiversity losses in the near future. Here, we focus on syngnathids, flagship species and umbrella taxa for coastal marine ecosystems, and attempt to identify areas of environmental suitability in Europe over the next century, according to distinct greenhouse gas concentration trajectories. Our results seamlessly match the general and region-specific impacts of climate change projections for European seas. Especially within the Atlantic Coast, species are expected to continue poleward range shifts, with the hotspot of syngnathid diversity remaining around the Celtic-Biscay Shelf, albeit with slightly distinct species composition from that of present day. The most dramatic changes are expected within semi-enclosed areas such as the Baltic, the Mediterranean and the Black Sea, where present-day endemic species diversity is likely to plunge, especially under a ‘business-as-usual’ scenario. W</w:t>
      </w:r>
    </w:p>
    <w:p>
      <w:pPr/>
      <w:r>
        <w:rPr>
          <w:b/>
        </w:rPr>
        <w:t>POSSIBLE 2023:</w:t>
      </w:r>
      <w:r>
        <w:t xml:space="preserve"> Extreme heat and drought typical of an end-of-century climate could occur over Europe soon and repeatedly — https://doi.org/10.1038/s43247-023-01075-y</w:t>
      </w:r>
    </w:p>
    <w:p>
      <w:pPr/>
      <w:r>
        <w:rPr>
          <w:b/>
        </w:rPr>
        <w:t>Shared claim-specific concepts:</w:t>
      </w:r>
      <w:r>
        <w:t xml:space="preserve"> over, two, climate; EU scope visible. This is a provisional connection, not an outcome finding.</w:t>
      </w:r>
    </w:p>
    <w:p>
      <w:pPr>
        <w:pStyle w:val="SourceNote"/>
      </w:pPr>
      <w:r>
        <w:rPr>
          <w:b/>
        </w:rPr>
        <w:t>Available abstract (not full text):</w:t>
      </w:r>
      <w:r>
        <w:t xml:space="preserve"> Abstract Extreme heat and drought levels typical of an end-of-century climate could occur swiftly, and repeatedly. Despite the European climate being potentially prone to multi-year successive extremes due to the influence of the North Atlantic variability, it remains unclear how the likelihood of such successive extremes changes under warming, how early they could reach end-of-century levels, and how this is affected by internal climate variability. Using the MPI Grand Ensemble, we find that even under moderate warming, end-of-century heat and drought levels virtually impossible 20 years ago reach 1-in-10 likelihoods as early as the 2030s. By 2050-2075, two successive years of single or compound end-of-century extremes, unprecedented to date, exceed 1-in-10 likelihoods; while Europe-wide 5-year megadroughts become plausible. Whole decades of end-of-century heat stress could start by 2040, by 2020 for rain-deficit drought, and end-of-century decades starting as early as 2030 become twice as likely under a warm North Atlantic state.</w:t>
      </w:r>
    </w:p>
    <w:p>
      <w:pPr/>
      <w:r>
        <w:rPr>
          <w:b/>
        </w:rPr>
        <w:t>POSSIBLE 2023:</w:t>
      </w:r>
      <w:r>
        <w:t xml:space="preserve"> Rapid range shifts in African Anopheles mosquitoes over the last century — https://doi.org/10.1098/rsbl.2022.0365</w:t>
      </w:r>
    </w:p>
    <w:p>
      <w:pPr/>
      <w:r>
        <w:rPr>
          <w:b/>
        </w:rPr>
        <w:t>Shared claim-specific concepts:</w:t>
      </w:r>
      <w:r>
        <w:t xml:space="preserve"> here, range, over, century, climate, one; EU scope not established. This is a provisional connection, not an outcome finding.</w:t>
      </w:r>
    </w:p>
    <w:p>
      <w:pPr>
        <w:pStyle w:val="SourceNote"/>
      </w:pPr>
      <w:r>
        <w:rPr>
          <w:b/>
        </w:rPr>
        <w:t>Available abstract (not full text):</w:t>
      </w:r>
      <w:r>
        <w:t xml:space="preserve"> Abstract Facing a warming climate, many tropical species-including the arthropod vectors of several infectious diseases-will be displaced to higher latitudes and elevations. These shifts are frequently forecasted for the future, but rarely documented in the present day. Here, we use one of the most comprehensive datasets ever compiled by medical entomologists to track the observed range limits of African malaria mosquito vectors ( Anopheles spp.) from 1898 to 2016. Using a simple regression approach, we estimate that these species’ ranges gained an average of 6.5 meters of elevation per year, and the southern limits of their ranges moved polewards 4.7 kilometers per year. These shifts are consistent with the local velocity of climate change, and might help explain the incursion of malaria transmission into new areas over the past few decades. Confirming that climate change underlies these shifts, and applying similar methods to other disease vectors, are important directions for future research.</w:t>
      </w:r>
    </w:p>
    <w:p>
      <w:pPr/>
      <w:r>
        <w:rPr>
          <w:b/>
        </w:rPr>
        <w:t>POSSIBLE 2023:</w:t>
      </w:r>
      <w:r>
        <w:t xml:space="preserve"> The Long Sixth Century in Eastern Europe — https://doi.org/10.5406/23300841.68.3.19</w:t>
      </w:r>
    </w:p>
    <w:p>
      <w:pPr/>
      <w:r>
        <w:rPr>
          <w:b/>
        </w:rPr>
        <w:t>Shared claim-specific concepts:</w:t>
      </w:r>
      <w:r>
        <w:t xml:space="preserve"> here, century, migration, two, one, use; EU scope visible. This is a provisional connection, not an outcome finding.</w:t>
      </w:r>
    </w:p>
    <w:p>
      <w:pPr>
        <w:pStyle w:val="SourceNote"/>
      </w:pPr>
      <w:r>
        <w:rPr>
          <w:b/>
        </w:rPr>
        <w:t>Available abstract (not full text):</w:t>
      </w:r>
      <w:r>
        <w:t xml:space="preserve"> The transformative nature of the sixth century has always seemed obvious to historians of the medieval West, who see the period as the long transition from the political structures of the late Roman empire to the kingdoms of the early Middle Ages. In his new book, archaeologist-historian Florin Curta for the first time provides an overarching and compelling argument for the vital importance of the transformation which “Eastern Europe”—as Curta points out, two-thirds of the European continent by area (p. 3)—underwent in the same time period. It is no small accomplishment—no written sources exist for the vast majority of the territory discussed in the period, and archaeological resources are often fragmentary, inconclusive, and subject to nationalist controversy. In providing a synthesis with a geographical scope ranging from the Balkans to the Russian taiga, the author has had to wrestle with a bewildering variety of source-types, languages, and historiographical traditions. But Curta proceeds in exemplary fashion, guiding the reader at a rapid clip from the edges of the eastern Roman empire north and east, regions largely ignored by traditional medievalists and ancient historians alike.This neglect is the main villain of Curta's monograph. The author trains his ire especially on Chris Wickham's magisterial Framing the Early Middle Ages, a synthesis of the early European economy</w:t>
      </w:r>
    </w:p>
    <w:p>
      <w:pPr/>
      <w:r>
        <w:rPr>
          <w:b/>
        </w:rPr>
        <w:t>POSSIBLE 2023:</w:t>
      </w:r>
      <w:r>
        <w:t xml:space="preserve"> Shifts in flood generation processes exacerbate regional flood anomalies in Europe — https://doi.org/10.1038/s43247-023-00714-8</w:t>
      </w:r>
    </w:p>
    <w:p>
      <w:pPr/>
      <w:r>
        <w:rPr>
          <w:b/>
        </w:rPr>
        <w:t>Shared claim-specific concepts:</w:t>
      </w:r>
      <w:r>
        <w:t xml:space="preserve"> here, shift, climate; EU scope visible. This is a provisional connection, not an outcome finding.</w:t>
      </w:r>
    </w:p>
    <w:p>
      <w:pPr>
        <w:pStyle w:val="SourceNote"/>
      </w:pPr>
      <w:r>
        <w:rPr>
          <w:b/>
        </w:rPr>
        <w:t>Available abstract (not full text):</w:t>
      </w:r>
      <w:r>
        <w:t xml:space="preserve"> Anomalies in the frequency of river floods, i.e., flood-rich or -poor periods, cause biases in flood risk estimates and thus make climate adaptation measures less efficient. While observations have recently confirmed the presence of flood anomalies in Europe, their exact causes are not clear. Here we analyse streamflow and climate observations during 1960-2010 to show that shifts in flood generation processes contribute more to the occurrence of regional flood anomalies than changes in extreme rainfall. A shift from rain on dry soil to rain on wet soil events by 5% increased the frequency of flood-rich periods in the Atlantic region, and an opposite shift in the Mediterranean region increased the frequency of flood-poor periods, but will likely make singular extreme floods occur more often. Flood anomalies driven by changing flood generation processes in Europe may further intensify in a warming climate and should be considered in flood estimation and management.</w:t>
      </w:r>
    </w:p>
    <w:p>
      <w:pPr>
        <w:pStyle w:val="Heading2"/>
      </w:pPr>
      <w:r>
        <w:t>917. International migration by 2030: impact of immigration policies scenarios on growth and employment</w:t>
      </w:r>
    </w:p>
    <w:p>
      <w:pPr>
        <w:pStyle w:val="SourceNote"/>
      </w:pPr>
      <w:r>
        <w:rPr>
          <w:b/>
        </w:rPr>
        <w:t>Original source (2014):</w:t>
      </w:r>
      <w:r>
        <w:t xml:space="preserve"> https://doi.org/10.1108/fs-06-2012-0045</w:t>
      </w:r>
    </w:p>
    <w:p>
      <w:pPr/>
      <w:r>
        <w:t>Original wording (abstract; indexed_source_text_not_full_document_verified): The third scenario, the mass migration scenario, allows letting go of the growth related constraints and getting out of the deflationist spiral. Purpose – The aim of this paper is to estimate the dynamic of international migration between the different regions of the world for 2030 and to measure the impact of different kind of migration policies on the economic and social evolution.</w:t>
      </w:r>
    </w:p>
    <w:p>
      <w:pPr/>
      <w:r>
        <w:rPr>
          <w:b/>
        </w:rPr>
        <w:t>POSSIBLE 2026:</w:t>
      </w:r>
      <w:r>
        <w:t xml:space="preserve"> Listening, Learning, and Letting Go: History and Impact of Fund for Shared Insight, 2014-2026 — https://openalex.org/W7220885628</w:t>
      </w:r>
    </w:p>
    <w:p>
      <w:pPr/>
      <w:r>
        <w:rPr>
          <w:b/>
        </w:rPr>
        <w:t>Shared claim-specific concepts:</w:t>
      </w:r>
      <w:r>
        <w:t xml:space="preserve"> letting, aim, world; EU scope not established. This is a provisional connection, not an outcome finding.</w:t>
      </w:r>
    </w:p>
    <w:p>
      <w:pPr>
        <w:pStyle w:val="SourceNote"/>
      </w:pPr>
      <w:r>
        <w:rPr>
          <w:b/>
        </w:rPr>
        <w:t>Available abstract (not full text):</w:t>
      </w:r>
      <w:r>
        <w:t xml:space="preserve"> Philanthropy could be more effective and make a bigger difference in the world if more funders and nonprofits did a better job of listening to the people they aim to serve.That idea led to the 2014 launch of the national funder collaborative Fund for Shared Insight, a 12-year, $78-million initiative involving more than 100 funders and hundreds of grantees, focused on shifting norms and practices around feedback and listening among nonprofits and funders.This case study examines the arc of its journey, lifting up key accomplishments while also taking an honest look at ambitions that proved more difficult to realize.</w:t>
      </w:r>
    </w:p>
    <w:p>
      <w:pPr/>
      <w:r>
        <w:rPr>
          <w:b/>
        </w:rPr>
        <w:t>POSSIBLE 2026:</w:t>
      </w:r>
      <w:r>
        <w:t xml:space="preserve"> Economic Assimilation of Women and Families in the Age of Mass Migration — https://doi.org/10.3386/w35332</w:t>
      </w:r>
    </w:p>
    <w:p>
      <w:pPr/>
      <w:r>
        <w:rPr>
          <w:b/>
        </w:rPr>
        <w:t>Shared claim-specific concepts:</w:t>
      </w:r>
      <w:r>
        <w:t xml:space="preserve"> mass, migration, between, different; EU scope not established. This is a provisional connection, not an outcome finding.</w:t>
      </w:r>
    </w:p>
    <w:p>
      <w:pPr>
        <w:pStyle w:val="SourceNote"/>
      </w:pPr>
      <w:r>
        <w:rPr>
          <w:b/>
        </w:rPr>
        <w:t>Available abstract (not full text):</w:t>
      </w:r>
      <w:r>
        <w:t xml:space="preserve"> During the Age of Mass Migration, over forty percent of immigrants were women, yet most research focuses on men.Using linked 1900 and 1910 Census records, I show that economic assimilation patterns differed for men and women, and families assimilated at different rates than individuals.Immigrant families improved their relative income scores compared with US-born families, driven by reliance on multiple earners, particularly women's and children's labor.At the individual level, gaps between immigrant and US-born income scores were larger for women than men, and the gap for women barely changed even after twenty years of stay.</w:t>
      </w:r>
    </w:p>
    <w:p>
      <w:pPr/>
      <w:r>
        <w:rPr>
          <w:b/>
        </w:rPr>
        <w:t>POSSIBLE 2025:</w:t>
      </w:r>
      <w:r>
        <w:t xml:space="preserve"> Exceptionality and Common Features of Migration Law in the Age Of Mass Migration * — https://doi.org/10.4324/9781003560937-19</w:t>
      </w:r>
    </w:p>
    <w:p>
      <w:pPr/>
      <w:r>
        <w:rPr>
          <w:b/>
        </w:rPr>
        <w:t>Shared claim-specific concepts:</w:t>
      </w:r>
      <w:r>
        <w:t xml:space="preserve"> mass, migration, different; EU scope not established. This is a provisional connection, not an outcome finding.</w:t>
      </w:r>
    </w:p>
    <w:p>
      <w:pPr>
        <w:pStyle w:val="SourceNote"/>
      </w:pPr>
      <w:r>
        <w:rPr>
          <w:b/>
        </w:rPr>
        <w:t>Available abstract (not full text):</w:t>
      </w:r>
      <w:r>
        <w:t xml:space="preserve"> This chapter suggests that the tensions and arguments underlying migration law at the turn of the 20 th century were mainly driven by two key ideas: the priority of state sovereignty over individual freedom and the extraordinariness of mass mobility. Common features of the development of migration law in the age of mass migration in different Western countries will be explored, including: the exceptionality of migration law and its derogation from constitutional rules; the administrativisation of migration law; the criminalisation of migrants; and the key role played by racial identities in the building of border control regulations.</w:t>
      </w:r>
    </w:p>
    <w:p>
      <w:pPr/>
      <w:r>
        <w:rPr>
          <w:b/>
        </w:rPr>
        <w:t>POSSIBLE 2025:</w:t>
      </w:r>
      <w:r>
        <w:t xml:space="preserve"> UnfAirbnb! The Effect of Short-Term Letting on Electoral Behaviour — https://doi.org/10.1177/00323217251342635</w:t>
      </w:r>
    </w:p>
    <w:p>
      <w:pPr/>
      <w:r>
        <w:rPr>
          <w:b/>
        </w:rPr>
        <w:t>Shared claim-specific concepts:</w:t>
      </w:r>
      <w:r>
        <w:t xml:space="preserve"> mass, letting, between, different; EU scope not established. This is a provisional connection, not an outcome finding.</w:t>
      </w:r>
    </w:p>
    <w:p>
      <w:pPr>
        <w:pStyle w:val="SourceNote"/>
      </w:pPr>
      <w:r>
        <w:rPr>
          <w:b/>
        </w:rPr>
        <w:t>Available abstract (not full text):</w:t>
      </w:r>
      <w:r>
        <w:t xml:space="preserve"> Over the last few years, short-term lets or home sharing have radically changed the dynamics of mass tourism and triggered disruptive consequences for civic, social and economic life. While lucrative for some, it has also impacted the character of different urban areas, creating significant changes to the local economy and often triggering citizens’ discontent. While previous works have focused on the economic and urban effects of short-term letting, much less is known about the electoral impact of the ‘Airbnb phenomenon’. Does it lead to a higher propensity to vote for certain parties? Using detailed geographic data on Airbnb locations in Barcelona and geo-located individual-level surveys, this article examines the effect of short-term letting on electoral behaviour. We contend that short-term letting can become a mobilising issue for political entrepreneurs. Our analysis shows that areas with a higher concentration of Airbnbs were more likely to vote for the party that campaigned in favour of restrictive home-sharing regulations. This study has important implications for our understanding of the interplay between urban management, housing, protest and vote choice.</w:t>
      </w:r>
    </w:p>
    <w:p>
      <w:pPr/>
      <w:r>
        <w:rPr>
          <w:b/>
        </w:rPr>
        <w:t>POSSIBLE 2024:</w:t>
      </w:r>
      <w:r>
        <w:t xml:space="preserve"> Letting the Fox in the Henhouse: Risks, Rewards and Repercussions of GMO Usage for Poultry Production — https://openalex.org/W7110655866</w:t>
      </w:r>
    </w:p>
    <w:p>
      <w:pPr/>
      <w:r>
        <w:rPr>
          <w:b/>
        </w:rPr>
        <w:t>Shared claim-specific concepts:</w:t>
      </w:r>
      <w:r>
        <w:t xml:space="preserve"> letting, between, different; EU scope not established. This is a provisional connection, not an outcome finding.</w:t>
      </w:r>
    </w:p>
    <w:p>
      <w:pPr>
        <w:pStyle w:val="SourceNote"/>
      </w:pPr>
      <w:r>
        <w:rPr>
          <w:b/>
        </w:rPr>
        <w:t>Available abstract (not full text):</w:t>
      </w:r>
      <w:r>
        <w:t xml:space="preserve"> The global demand for food is on the increase. Accordingly, poultry has begun to rise in popularity due to reduced prices and perceived health benefits of lean meat (Dal Bosco et al., 2021; Jeni et al., 2021). However, an increase in demand for poultry has increased yearly harvest targets for farmers leading to production-centered rearing practices that have been challenged by a growing animal husbandry movement. Reducing harvest targets is not a sustainable or feasible option in the face of food shortages. As such, a potential solution to increasing animal welfare while maintaining these growth margins lies in the genetic engineering of poultry to reduce losses from disease, environmental stressors, and in-fighting between birds. This review assesses four different avenues of genetic modification and its proposed results on farmed poultry as well as the costs, both in public perception and monetarily, associated with using genetic modification in food products. This review finds that further study into genetic modification from a welfare perspective has promising results in both revenue and increased quality of life for farmed poultry.</w:t>
      </w:r>
    </w:p>
    <w:p>
      <w:pPr/>
      <w:r>
        <w:rPr>
          <w:b/>
        </w:rPr>
        <w:t>POSSIBLE 2024:</w:t>
      </w:r>
      <w:r>
        <w:t xml:space="preserve"> At the Doorstep of Mass Migrations — https://doi.org/10.1017/9781009281874.015</w:t>
      </w:r>
    </w:p>
    <w:p>
      <w:pPr/>
      <w:r>
        <w:rPr>
          <w:b/>
        </w:rPr>
        <w:t>Shared claim-specific concepts:</w:t>
      </w:r>
      <w:r>
        <w:t xml:space="preserve"> mass, migration, international, between, policies; EU scope visible. This is a provisional connection, not an outcome finding.</w:t>
      </w:r>
    </w:p>
    <w:p>
      <w:pPr>
        <w:pStyle w:val="SourceNote"/>
      </w:pPr>
      <w:r>
        <w:rPr>
          <w:b/>
        </w:rPr>
        <w:t>Available abstract (not full text):</w:t>
      </w:r>
      <w:r>
        <w:t xml:space="preserve"> Amid epidemics, droughts, and a bourgeoning abolitionist wave in the late 1870s and 1880s, the Brazilian Empire internalized migration protocols long in the making. Crucial to the development of new migration policies was the Sociedade Central de Imigração (SCI), a new association midway between a corporation and a literary club. The SCI and its abolitionist members, which included conservative noblemen and republican professionals, synthesized the lessons learned by three generations of political elites, and avidly lobbied for reform policies pertinent to land surveying and distribution, naturalization, and immigration promotion. Dismissed by scholars as a bourgeois and largely failed experiment in immigration advocacy, the SCI in fact furnished the policy tools for the Brazilian government to counter German and Italian interdictions on migrations to Brazil, which, as the chapter demonstrates, had more to do with commercial and geostrategic concerns than with immigration issues themselves. Ultimately, the SCI laid the building blocks for the new Republican government to welcome exponentially growing cohorts of migrants despite the persistence of international prohibitions in Italy.</w:t>
      </w:r>
    </w:p>
    <w:p>
      <w:pPr/>
      <w:r>
        <w:rPr>
          <w:b/>
        </w:rPr>
        <w:t>POSSIBLE 2022:</w:t>
      </w:r>
      <w:r>
        <w:t xml:space="preserve"> Mass Migration and Technological Change — https://doi.org/10.1093/jeea/jvac017</w:t>
      </w:r>
    </w:p>
    <w:p>
      <w:pPr/>
      <w:r>
        <w:rPr>
          <w:b/>
        </w:rPr>
        <w:t>Shared claim-specific concepts:</w:t>
      </w:r>
      <w:r>
        <w:t xml:space="preserve"> mass, migration, related; EU scope visible. This is a provisional connection, not an outcome finding.</w:t>
      </w:r>
    </w:p>
    <w:p>
      <w:pPr>
        <w:pStyle w:val="SourceNote"/>
      </w:pPr>
      <w:r>
        <w:rPr>
          <w:b/>
        </w:rPr>
        <w:t>Available abstract (not full text):</w:t>
      </w:r>
      <w:r>
        <w:t xml:space="preserve"> Abstract This paper studies the effect of emigration on technological change in sending locations after one of the largest migration events in human history, the mass migration from Europe to the United States in the 19th century. To establish causality, we adopt an instrumental variable strategy that combines local growing-season frost shocks with proximity to emigration ports. Using data on patents, we find that emigration led to an increase in innovative activity in sending localities. Using data on capital and labor inputs in agriculture and industry, we find evidence of an increased capital intensity related to new technologies in both sectors. We argue that these results are consistent with theories of induced (labor-saving) innovation due to high labor costs following emigration.</w:t>
      </w:r>
    </w:p>
    <w:p>
      <w:pPr/>
      <w:r>
        <w:rPr>
          <w:b/>
        </w:rPr>
        <w:t>POSSIBLE 2022:</w:t>
      </w:r>
      <w:r>
        <w:t xml:space="preserve"> The impact of mass migration of Syrians on the Turkish labor market — https://doi.org/10.1016/j.labeco.2022.102183</w:t>
      </w:r>
    </w:p>
    <w:p>
      <w:pPr/>
      <w:r>
        <w:rPr>
          <w:b/>
        </w:rPr>
        <w:t>Shared claim-specific concepts:</w:t>
      </w:r>
      <w:r>
        <w:t xml:space="preserve"> mass, migration;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Educational Problems of Mass Migration — https://doi.org/10.4324/9781003172246-22</w:t>
      </w:r>
    </w:p>
    <w:p>
      <w:pPr/>
      <w:r>
        <w:rPr>
          <w:b/>
        </w:rPr>
        <w:t>Shared claim-specific concepts:</w:t>
      </w:r>
      <w:r>
        <w:t xml:space="preserve"> third, mass, migration, world; EU scope not established. This is a provisional connection, not an outcome finding.</w:t>
      </w:r>
    </w:p>
    <w:p>
      <w:pPr>
        <w:pStyle w:val="SourceNote"/>
      </w:pPr>
      <w:r>
        <w:rPr>
          <w:b/>
        </w:rPr>
        <w:t>Available abstract (not full text):</w:t>
      </w:r>
      <w:r>
        <w:t xml:space="preserve"> This chapter argues that philosophy of education should avoid the sedentary bias, that is, the assumption that those who are educated will stay and live in the country and society in which they were educated. It adopts a pluralist and non-ideal approach to address three challenges. The first challenge is the relevance of citizenship education for children and teenagers who, once they reach adulthood, will not get citizenship in their country of residence. The second challenge is equality of opportunity for students whose families do not possess the linguistic and cultural capital needed to strive in the countries they arrive in. The third challenge is the problem of fair distribution of educational costs and benefits, in a world in which people do not always work and pay taxes in the countries that paid for their education.</w:t>
      </w:r>
    </w:p>
    <w:p>
      <w:pPr/>
      <w:r>
        <w:rPr>
          <w:b/>
        </w:rPr>
        <w:t>POSSIBLE 2022:</w:t>
      </w:r>
      <w:r>
        <w:t xml:space="preserve"> Struggles With Mass-Migrations, National- and State-Interests in the Late Habsburg Empire — https://doi.org/10.4324/9781003246619-13</w:t>
      </w:r>
    </w:p>
    <w:p>
      <w:pPr/>
      <w:r>
        <w:rPr>
          <w:b/>
        </w:rPr>
        <w:t>Shared claim-specific concepts:</w:t>
      </w:r>
      <w:r>
        <w:t xml:space="preserve"> third, mass, migration, different, policies; EU scope visible. This is a provisional connection, not an outcome finding.</w:t>
      </w:r>
    </w:p>
    <w:p>
      <w:pPr>
        <w:pStyle w:val="SourceNote"/>
      </w:pPr>
      <w:r>
        <w:rPr>
          <w:b/>
        </w:rPr>
        <w:t>Available abstract (not full text):</w:t>
      </w:r>
      <w:r>
        <w:t xml:space="preserve"> The 18th- and 19th-century spatial political mobilization of masses not only was a concern of self-defense of the affected communities themselves but appeared also as a tool for different “third party” actors to solve different security issues. The southern and eastern parts of the Habsburg Empire, liberated from Ottoman Turkish rule, offered an opportunity for the centralized administration to utilize mobility, namely mass migration for economic revival and other security-related goals and interests against the Hungarian nobility estate, thus planting the seeds of later security struggles. The Austro-Hungarian era’s nation-building policies used methods of mass mobilization as well. This chapter will cover three phenomena that are all implementations of the mass mobilization processes in the late Habsburg Empire. The church-led “great Serb migration” was not only a result of basic self-defense in the face of a possible Ottoman retaliation after the Great Turkish War but also a core interest of the war-torn Habsburg Monarchy. The already militarized Serb masses served a farseeing imperial political goal by gathering more loyal elements facing the Turkish border and encircling an inner threat: The Hungarian noble estate. However, this mobility of masses, with privileges, later became a wider security, by viewing the “descendants of immigrants” and their undefined status as a thr</w:t>
      </w:r>
    </w:p>
    <w:p>
      <w:pPr/>
      <w:r>
        <w:rPr>
          <w:b/>
        </w:rPr>
        <w:t>POSSIBLE 2022:</w:t>
      </w:r>
      <w:r>
        <w:t xml:space="preserve"> Civic Education in the Age of Mass Migration: Implications for Theory and Practice — https://doi.org/10.17763/1943-5045-92.2.304a</w:t>
      </w:r>
    </w:p>
    <w:p>
      <w:pPr/>
      <w:r>
        <w:rPr>
          <w:b/>
        </w:rPr>
        <w:t>Shared claim-specific concepts:</w:t>
      </w:r>
      <w:r>
        <w:t xml:space="preserve"> third, mass, migration, purpose, between; EU scope not established. This is a provisional connection, not an outcome finding.</w:t>
      </w:r>
    </w:p>
    <w:p>
      <w:pPr>
        <w:pStyle w:val="SourceNote"/>
      </w:pPr>
      <w:r>
        <w:rPr>
          <w:b/>
        </w:rPr>
        <w:t>Available abstract (not full text):</w:t>
      </w:r>
      <w:r>
        <w:t xml:space="preserve"> Civic Education in the Age of Mass Migration: Implications for Theory and Practice opens with a discussion of a key tension between civic education and citizenship as a legal construct. While civic education focuses on membership, or belonging within a community, the process of legally creating citizens requires drawing lines to exclude those who do not belong. The construction of citizens necessitates the creation of non-citizens. Further, the boundaries of citizenship that cleave de jure citizens (those with formal legal status) from de facto citizens (members of society based on their social, political, and economic connections) have historically aligned with, reinforced, and formalized the exclusion of marginalized and oppressed groups. In this, her latest book on civic education in the United States, Angela Banks argues that “citizenship boundaries in the United States have been, and continue to be, structured in ways that violate the egalitarian norm with regard to race, class, and gender” (p. 13). Despite this, civic education usually frames citizenship as purely inclusive, an approach that is both limiting and problematic.The book begins with an overview of the history and development of the main strands of civic education, including a discussion of why civic education must interrogate the boundaries of citizenship in order to more effectively meet its purpose. In chapt</w:t>
      </w:r>
    </w:p>
    <w:p>
      <w:pPr/>
      <w:r>
        <w:rPr>
          <w:b/>
        </w:rPr>
        <w:t>POSSIBLE 2022:</w:t>
      </w:r>
      <w:r>
        <w:t xml:space="preserve"> Trade and Migration: Some New Evidence from the European Mass Migration to Argentina (1870–1913) — https://doi.org/10.1017/s1474745622000027</w:t>
      </w:r>
    </w:p>
    <w:p>
      <w:pPr/>
      <w:r>
        <w:rPr>
          <w:b/>
        </w:rPr>
        <w:t>Shared claim-specific concepts:</w:t>
      </w:r>
      <w:r>
        <w:t xml:space="preserve"> mass, migration, aim, estimate; EU scope visible. This is a provisional connection, not an outcome finding.</w:t>
      </w:r>
    </w:p>
    <w:p>
      <w:pPr>
        <w:pStyle w:val="SourceNote"/>
      </w:pPr>
      <w:r>
        <w:rPr>
          <w:b/>
        </w:rPr>
        <w:t>Available abstract (not full text):</w:t>
      </w:r>
      <w:r>
        <w:t xml:space="preserve"> Abstract During the first wave of globalization, Argentina was among the most internationally integrated economies, experiencing a rising trend in trade openness and a tremendous increase in labor due to migration. In this paper, we empirically show the central role immigration had in boosting exports and imports in the years 1870–1913 by considering Argentine bilateral trade and migration from eight European countries (Austro-Hungarian Empire, Belgium, France, Germany, Italy, Spain, Switzerland, and United Kingdom). We use a migration-augmented gravity model to estimate the contribution of the massive inflows of Europeans, and we find that the main pro-trade effect was on imports: a percent 10% increase in migrants from a particular country would increase imports by up to 8% from that same country. We do not find the same effect on exports. The disproportionate decrease in transportation rather than communication costs may explain why the latter are relatively more decisive for exports than for imports. To overcome the problem of reverse causality and endogeneity, we use migration flows to the US from the eight European countries as an instrumental variable. In so doing, we aim at capturing the same push (but not Argentine pull) factors inducing European out-migration.</w:t>
      </w:r>
    </w:p>
    <w:p>
      <w:pPr>
        <w:pStyle w:val="Heading2"/>
      </w:pPr>
      <w:r>
        <w:t>918. Investigating syndromes of agricultural land degradation through past trajectories and future scenarios</w:t>
      </w:r>
    </w:p>
    <w:p>
      <w:pPr>
        <w:pStyle w:val="SourceNote"/>
      </w:pPr>
      <w:r>
        <w:rPr>
          <w:b/>
        </w:rPr>
        <w:t>Original source (2014):</w:t>
      </w:r>
      <w:r>
        <w:t xml:space="preserve"> https://doi.org/10.1080/00380768.2013.843438</w:t>
      </w:r>
    </w:p>
    <w:p>
      <w:pPr/>
      <w:r>
        <w:t>Original wording (abstract; indexed_source_text_not_full_document_verified): In concrete terms, LD determines a reduction in the productivity of a territory and in its capacity of providing ecosystem goods and services. “Syndromes” of LD can be assessed in the past, and scenarios, conversely, can be developed for the future, as information baselines for sustainable land management strategies and interventions. The identification of such spatially explicit LD syndromes, which can also be projected on the basis of future scenarios, allows proposing and evaluating focussed measures of sustainable land management.</w:t>
      </w:r>
    </w:p>
    <w:p>
      <w:pPr/>
      <w:r>
        <w:rPr>
          <w:b/>
        </w:rPr>
        <w:t>POSSIBLE 2026:</w:t>
      </w:r>
      <w:r>
        <w:t xml:space="preserve"> Integrating equity and productivity in health evaluation — https://openalex.org/W7160458284</w:t>
      </w:r>
    </w:p>
    <w:p>
      <w:pPr/>
      <w:r>
        <w:rPr>
          <w:b/>
        </w:rPr>
        <w:t>Shared claim-specific concepts:</w:t>
      </w:r>
      <w:r>
        <w:t xml:space="preserve"> productivity, capacity, interventions; EU scope not established. This is a provisional connection, not an outcome finding.</w:t>
      </w:r>
    </w:p>
    <w:p>
      <w:pPr>
        <w:pStyle w:val="SourceNote"/>
      </w:pPr>
      <w:r>
        <w:rPr>
          <w:b/>
        </w:rPr>
        <w:t>Available abstract (not full text):</w:t>
      </w:r>
      <w:r>
        <w:t xml:space="preserve"> This paper develops a unified framework for evaluating health outcomes that jointly incorporates equity and productivity. Extending beyond traditional QALYs, PALYs, and the more recent PQALYs, we introduce a broader class of evaluation functions that integrate equity- and productivity-sensitive conditions. By imposing several normative criteria, including independence from measurement scales and Pigou-Dalton transfer principles, we obtain tractable power-form representations. In balancing equity and efficiency, the framework provides a coherent foundation for assessing interventions in contexts where both health and productive capacity are at stake.</w:t>
      </w:r>
    </w:p>
    <w:p>
      <w:pPr/>
      <w:r>
        <w:rPr>
          <w:b/>
        </w:rPr>
        <w:t>POSSIBLE 2026:</w:t>
      </w:r>
      <w:r>
        <w:t xml:space="preserve"> Performance Evaluation of Concrete with Recycled Waste Polypropylene — https://doi.org/10.6084/m9.figshare.31871653</w:t>
      </w:r>
    </w:p>
    <w:p>
      <w:pPr/>
      <w:r>
        <w:rPr>
          <w:b/>
        </w:rPr>
        <w:t>Shared claim-specific concepts:</w:t>
      </w:r>
      <w:r>
        <w:t xml:space="preserve"> concrete, terms, reduction; EU scope not established. This is a provisional connection, not an outcome finding.</w:t>
      </w:r>
    </w:p>
    <w:p>
      <w:pPr>
        <w:pStyle w:val="SourceNote"/>
      </w:pPr>
      <w:r>
        <w:rPr>
          <w:b/>
        </w:rPr>
        <w:t>Available abstract (not full text):</w:t>
      </w:r>
      <w:r>
        <w:t xml:space="preserve"> Production and application of plastic waste has become a severe environmental problem worldwide where polypropylene (PP) possesses around 35% of the total plastic waste. Using recycled PP in concrete could be a solution for the problem. This study aims at evaluating structural and durability performance of various strength concrete mixed with recycled waste polypropylene as a partial replacement of coarse aggregate. Performance of concrete was evaluated in terms of compressive strength, chloride ion penetration and high temperature exposure at different ages. In order to determine theoptimum proportion of polypropylene in concrete, samples were prepared with 0%, 10%, &amp; 20% replacement of PP as coarse aggregate for two different w/c ratios (0.35 and0.40). It was found that for maximum 20% of PP replacement, compressive strength reduction was only 21% which could still produce more than 25MPa of concrete and at high temperature exposure (more than 200° C) for 1 hour the strength of concrete was still more than 20 MPa. Moreover, PP can also be used to produce light weight concrete due to its lower unit weight, as relative reduction was upto 10% in density for 20% of PP replacement, than regular concrete. Therefore, concrete with optimum proportion of PP as partial replacement of coarse aggregate can produce strongand durable structure concrete.</w:t>
      </w:r>
    </w:p>
    <w:p>
      <w:pPr/>
      <w:r>
        <w:rPr>
          <w:b/>
        </w:rPr>
        <w:t>POSSIBLE 2024:</w:t>
      </w:r>
      <w:r>
        <w:t xml:space="preserve"> Influence of mixing time on the homogeneity of properties of concrete mixtures and concrete — https://doi.org/10.23968/1999-5571-2024-21-5-66-75</w:t>
      </w:r>
    </w:p>
    <w:p>
      <w:pPr/>
      <w:r>
        <w:rPr>
          <w:b/>
        </w:rPr>
        <w:t>Shared claim-specific concepts:</w:t>
      </w:r>
      <w:r>
        <w:t xml:space="preserve"> concrete, terms, determines; EU scope not established. This is a provisional connection, not an outcome finding.</w:t>
      </w:r>
    </w:p>
    <w:p>
      <w:pPr>
        <w:pStyle w:val="SourceNote"/>
      </w:pPr>
      <w:r>
        <w:rPr>
          <w:b/>
        </w:rPr>
        <w:t>Available abstract (not full text):</w:t>
      </w:r>
      <w:r>
        <w:t xml:space="preserve"> The study presents tests of industrial concrete mixtures to determine standard indicators (workability, volume of air involved) and concretes made from them to assess homogeneity in terms of strength as a function of mixing time. It is experimentally established how the assignment of mixing time affects the properties of concrete mixtures and determines the homogeneity of concrete composites.</w:t>
      </w:r>
    </w:p>
    <w:p>
      <w:pPr/>
      <w:r>
        <w:rPr>
          <w:b/>
        </w:rPr>
        <w:t>POSSIBLE 2023:</w:t>
      </w:r>
      <w:r>
        <w:t xml:space="preserve"> Impact resistance of concrete and fibre-reinforced concrete: A review — https://doi.org/10.1016/j.ijimpeng.2023.104722</w:t>
      </w:r>
    </w:p>
    <w:p>
      <w:pPr/>
      <w:r>
        <w:rPr>
          <w:b/>
        </w:rPr>
        <w:t>Shared claim-specific concepts:</w:t>
      </w:r>
      <w:r>
        <w:t xml:space="preserve"> concrete, determines, assessed; EU scope not established. This is a provisional connection, not an outcome finding.</w:t>
      </w:r>
    </w:p>
    <w:p>
      <w:pPr>
        <w:pStyle w:val="SourceNote"/>
      </w:pPr>
      <w:r>
        <w:rPr>
          <w:b/>
        </w:rPr>
        <w:t>Available abstract (not full text):</w:t>
      </w:r>
      <w:r>
        <w:t xml:space="preserve"> This paper summarises the research carried out to date on the impact resistance of concrete subjected to different impact load regimes, with a focus on high-velocity projectile impact load. An experimental database is compiled on the response of concrete elements to high-speed projectile impacts, which is used to identify the critical failure modes of concrete under impact loads (i.e. spalling, scabbing, penetration, and perforation of the targeted specimens) and the parameters influencing the impact resistance of concrete (i.e. velocity, mass and shape of the projectile, concrete compressive strength, type and size of aggregate, and type and ratio of reinforcement). In addition, the adequacy of existing empirical formulas to predict the penetration depth is assessed by using the experimental database. A critical discussion highlights the effect of various design parameters on the impact resistance of concrete and determines the key aspects that should be addressed in future research.</w:t>
      </w:r>
    </w:p>
    <w:p>
      <w:pPr/>
      <w:r>
        <w:rPr>
          <w:b/>
        </w:rPr>
        <w:t>POSSIBLE 2023:</w:t>
      </w:r>
      <w:r>
        <w:t xml:space="preserve"> Influence of Graphene oxide on abrasion resistance and strength of concrete — https://doi.org/10.1016/j.conbuildmat.2023.133280</w:t>
      </w:r>
    </w:p>
    <w:p>
      <w:pPr/>
      <w:r>
        <w:rPr>
          <w:b/>
        </w:rPr>
        <w:t>Shared claim-specific concepts:</w:t>
      </w:r>
      <w:r>
        <w:t xml:space="preserve"> concrete, terms, determines; EU scope not established. This is a provisional connection, not an outcome finding.</w:t>
      </w:r>
    </w:p>
    <w:p>
      <w:pPr>
        <w:pStyle w:val="SourceNote"/>
      </w:pPr>
      <w:r>
        <w:rPr>
          <w:b/>
        </w:rPr>
        <w:t>Available abstract (not full text):</w:t>
      </w:r>
      <w:r>
        <w:t xml:space="preserve"> Graphene Oxide (GO) has recently gained significant attention as a new carbon-based nanomaterial (CBN) in the civil engineering industry due to its exceptional mechanical and functional properties. It has been increasingly gaining popularity due to its superior dispersibility characteristics in aqueous solutions compared to the other graphene-based derivatives due to attached oxygen functional groups. A majority of current studies are focused on investigating the effect of GO in cement composites. However, the more useful applications of GO lie in its incorporation into concrete, as it is the most widely used construction material. Therefore, the current study determines the performance of GO-incorporated concrete in terms of strength and abrasion characteristics. Industrially produced GO was added to the concrete mixes at percentages varying from 0.02% to 0.08% by weight of cement (bwoc). A polycarboxylate-ether-based superplasticiser (PS) was used to enhance the dispersibility of GO within the mix and the workability of concrete mixtures. The Standard slump tests were performed to evaluate the workability of the mixes. Compression and indirect tensile strength tests were conducted to obtain the mechanical properties, while abrasion tests were employed to investigate the durability properties. In addition, microstructural properties were obtained using scanning electron micros</w:t>
      </w:r>
    </w:p>
    <w:p>
      <w:pPr/>
      <w:r>
        <w:rPr>
          <w:b/>
        </w:rPr>
        <w:t>POSSIBLE 2021:</w:t>
      </w:r>
      <w:r>
        <w:t xml:space="preserve"> Concrete Is as Concrete Doesn’t — https://doi.org/10.1215/9781478021971-001</w:t>
      </w:r>
    </w:p>
    <w:p>
      <w:pPr/>
      <w:r>
        <w:rPr>
          <w:b/>
        </w:rPr>
        <w:t>Shared claim-specific concepts:</w:t>
      </w:r>
      <w:r>
        <w:t xml:space="preserve"> concrete, terms, past; EU scope not established. This is a provisional connection, not an outcome finding.</w:t>
      </w:r>
    </w:p>
    <w:p>
      <w:pPr>
        <w:pStyle w:val="SourceNote"/>
      </w:pPr>
      <w:r>
        <w:rPr>
          <w:b/>
        </w:rPr>
        <w:t>Available abstract (not full text):</w:t>
      </w:r>
      <w:r>
        <w:t xml:space="preserve"> Introduction: Concrete Is as Concrete Doesn'tWhen I think of my body and ask what it does to earn that name, two things stand out.It moves.It feels.In fact, it does both at the same time.It moves as it feels, and it feels itself moving.Can we think a body without this: an intrinsic connection between movement and sensation whereby each immediately summons the other?If you start from an intrinsic connection between movement and sensation, the slightest, most literal displacement convokes a qualitative difference, because as directly as it conducts itself it beckons a feeling, and feelings have a way of folding into each other, resonating together, interfering with each other, mutually intensifying, all in unquantifiable ways apt to unfold again in action, often unpredictably.Qualitative difference: immediately the issue is change.Felt and unforeseen.The proj ect of this book is to explore the implications for cultural theory of this simple conceptual displacement: body-(movement/ sensation)-change.Cultural theory of the past two de cades has tended to bracket the middle terms and their unmediated connection.It can be argued that in doing so it has significantly missed the two outside terms, even though they have been of consistent concern-perhaps the central concerns in the humanities.Attention to the literality of movement was deflected by fears of falling into a "naive realism</w:t>
      </w:r>
    </w:p>
    <w:p>
      <w:pPr/>
      <w:r>
        <w:rPr>
          <w:b/>
        </w:rPr>
        <w:t>POSSIBLE 2020:</w:t>
      </w:r>
      <w:r>
        <w:t xml:space="preserve"> Between Imagined Communities and Communities of Practice - Participation, Territory and the Making of Heritage — https://openalex.org/W2605418063</w:t>
      </w:r>
    </w:p>
    <w:p>
      <w:pPr/>
      <w:r>
        <w:rPr>
          <w:b/>
        </w:rPr>
        <w:t>Shared claim-specific concepts:</w:t>
      </w:r>
      <w:r>
        <w:t xml:space="preserve"> concrete, terms, territory; EU scope visible. This is a provisional connection, not an outcome finding.</w:t>
      </w:r>
    </w:p>
    <w:p>
      <w:pPr>
        <w:pStyle w:val="SourceNote"/>
      </w:pPr>
      <w:r>
        <w:rPr>
          <w:b/>
        </w:rPr>
        <w:t>Available abstract (not full text):</w:t>
      </w:r>
      <w:r>
        <w:t xml:space="preserve"> Community and participation have become central concepts in the nomination processes surrounding heritage, intersecting time and again with questions of territory. In this volume, anthropologists and legal scholars from France, Germany, Italy and the USA take up questions arising from these intertwined concerns from diverse perspectives: How and by whom were these concepts interpreted and re-interpreted, and what effects did they bring forth in their implementation? What impact was wielded by these terms, and what kinds of discursive formations did they bring forth? How do actors from local to national levels interpret these new components of the heritage regime, and how do actors within heritage-granting national and international bodies work it into their cultural and political agency? What is the role of experts and expertise, and when is scholarly knowledge expertise and when is it partisan? How do bureaucratic institutions translate the imperative of participation into concrete practices?Case studies from within and without the UNESCO matrix combine with essays probing larger concerns generated by the valuation and valorization of culture.</w:t>
      </w:r>
    </w:p>
    <w:p>
      <w:pPr/>
      <w:r>
        <w:rPr>
          <w:b/>
        </w:rPr>
        <w:t>POSSIBLE 2020:</w:t>
      </w:r>
      <w:r>
        <w:t xml:space="preserve"> Learning in, with, and through the Territory: Territory-Based Learning as a Catalyst for Urban Sustainability — https://doi.org/10.3390/su12073000</w:t>
      </w:r>
    </w:p>
    <w:p>
      <w:pPr/>
      <w:r>
        <w:rPr>
          <w:b/>
        </w:rPr>
        <w:t>Shared claim-specific concepts:</w:t>
      </w:r>
      <w:r>
        <w:t xml:space="preserve"> concrete, terms, territory; EU scope not established. This is a provisional connection, not an outcome finding.</w:t>
      </w:r>
    </w:p>
    <w:p>
      <w:pPr>
        <w:pStyle w:val="SourceNote"/>
      </w:pPr>
      <w:r>
        <w:rPr>
          <w:b/>
        </w:rPr>
        <w:t>Available abstract (not full text):</w:t>
      </w:r>
      <w:r>
        <w:t xml:space="preserve"> Territorial problems such as the socio-ecological degradation of urban rivers represent a great challenge to achieving sustainability in cities. This issue demands collaborative efforts and the crossing of boundaries determined by actors that act from diverse spheres of knowledge and systems of practice. Based on an integrative territory notion and the boundary approach, the goal of this paper is to comprehend the boundary crossings that take place in multi-actor initiatives towards the resolution of this problem and what type of territorial transformation is produced as an outcome. Our analysis is built on participatory research on the Taquara Stream case, a degraded watercourse in a socio-ecologically vulnerable area, in southern Brazil. Our data analysis applied a visual chronological narrative and an interdisciplinary theoretical framework of analysis that combined concepts related to the territory (geography) and the boundary approach (education). We verified that local territorial issues functioned as boundary objects, fostering and facilitating dialogical interaction among involved actors, knowledge co-production, and collaborative practical actions that led to changes in the territory in terms of practices, comprehensions, and physical concrete transformations. We framed this study as one of territory-based learning meant to advance the understanding of territorial inte</w:t>
      </w:r>
    </w:p>
    <w:p>
      <w:pPr/>
      <w:r>
        <w:rPr>
          <w:b/>
        </w:rPr>
        <w:t>POSSIBLE 2020:</w:t>
      </w:r>
      <w:r>
        <w:t xml:space="preserve"> The Utilization of Agricultural Waste as Agro-Cement in Concrete: A Review — https://doi.org/10.3390/su12176971</w:t>
      </w:r>
    </w:p>
    <w:p>
      <w:pPr/>
      <w:r>
        <w:rPr>
          <w:b/>
        </w:rPr>
        <w:t>Shared claim-specific concepts:</w:t>
      </w:r>
      <w:r>
        <w:t xml:space="preserve"> concrete, providing, sustainable; EU scope not established. This is a provisional connection, not an outcome finding.</w:t>
      </w:r>
    </w:p>
    <w:p>
      <w:pPr>
        <w:pStyle w:val="SourceNote"/>
      </w:pPr>
      <w:r>
        <w:rPr>
          <w:b/>
        </w:rPr>
        <w:t>Available abstract (not full text):</w:t>
      </w:r>
      <w:r>
        <w:t xml:space="preserve"> Concrete, as the world’s most implemented construction material, is increasingly being used because of the rapid development of industrialization and urbanization. Limited resources and progressive depravation of the environment are forcing scientific efforts to seek alternative and effective materials from large amounts of natural resources as additives in the partial replacement of cement. Cement is a main constituent of concrete. To solve and minimize environmental issues, research works attempting to employ the wide availability of agricultural wastes, such as sugar cane bagasse, rice husk, sugar cane straw, and palm oil fuel, among others, into cement, and to finally bring sustainable and environmentally friendly properties to concrete are being examined. Agro-waste materials are crushed into fine and coarse aggregates or are burnt into ash, and are then mixed with cement, which is known as agro-cement. The replacement of aggregates, either partially or fully, is also deemed as a sustainable material in construction. This paper mainly reviews the current research on agro-cement that has been researched and applied for the enhancement of the strength and durability of concrete. It further summarizes the relevant knowledge and techniques, while providing optimal parameters for applying agricultural wastes in concrete.</w:t>
      </w:r>
    </w:p>
    <w:p>
      <w:pPr/>
      <w:r>
        <w:rPr>
          <w:b/>
        </w:rPr>
        <w:t>POSSIBLE 2020:</w:t>
      </w:r>
      <w:r>
        <w:t xml:space="preserve"> Eco-friendly concrete containing recycled plastic as partial replacement for sand — https://doi.org/10.1016/j.jmrt.2020.02.090</w:t>
      </w:r>
    </w:p>
    <w:p>
      <w:pPr/>
      <w:r>
        <w:rPr>
          <w:b/>
        </w:rPr>
        <w:t>Shared claim-specific concepts:</w:t>
      </w:r>
      <w:r>
        <w:t xml:space="preserve"> concrete, terms, reduction; EU scope not established. This is a provisional connection, not an outcome finding.</w:t>
      </w:r>
    </w:p>
    <w:p>
      <w:pPr>
        <w:pStyle w:val="SourceNote"/>
      </w:pPr>
      <w:r>
        <w:rPr>
          <w:b/>
        </w:rPr>
        <w:t>Available abstract (not full text):</w:t>
      </w:r>
      <w:r>
        <w:t xml:space="preserve"> Solid waste is one of the many factors that negatively affect the environment. Problems stem from factors such as difficulty of waste recycling and limited reuse. Plastic is an important type of solid waste with a strong environmental impact. This study aims to investigate the effects of utilising poly-ethylene terephthalate (PET) as a partial substitute for sand in concrete. The effects of this material on the physical and mechanical properties of concrete were examined. A group of six concrete mixtures containing PET was prepared as a partial substitute for sand with substitution levels 0%, 10%, 20%, 30%, 40% and 50%. Concrete was cast to determine the behaviour of fresh and hardened concrete in terms of workability, unit weight, compressive strength, flexural strength, tensile strength, pulse velocity and fire-resistant behaviour. The experimental results showed a reduction in unit weight, the sand replacement harmed the concrete mechanical properties at varying rates and proved that plastic waste can be disposed of by specific ratios and therefore, can be effectively applied in industrial usage.</w:t>
      </w:r>
    </w:p>
    <w:p>
      <w:pPr/>
      <w:r>
        <w:rPr>
          <w:b/>
        </w:rPr>
        <w:t>POSSIBLE 2019:</w:t>
      </w:r>
      <w:r>
        <w:t xml:space="preserve"> Prediction of Compressive Strength of Concrete: Critical Comparison of Performance of a Hybrid Machine Learning Model with Standalone Models — https://doi.org/10.1061/(asce)mt.1943-5533.0002902</w:t>
      </w:r>
    </w:p>
    <w:p>
      <w:pPr/>
      <w:r>
        <w:rPr>
          <w:b/>
        </w:rPr>
        <w:t>Shared claim-specific concepts:</w:t>
      </w:r>
      <w:r>
        <w:t xml:space="preserve"> concrete, terms, past; EU scope not established. This is a provisional connection, not an outcome finding.</w:t>
      </w:r>
    </w:p>
    <w:p>
      <w:pPr>
        <w:pStyle w:val="SourceNote"/>
      </w:pPr>
      <w:r>
        <w:rPr>
          <w:b/>
        </w:rPr>
        <w:t>Available abstract (not full text):</w:t>
      </w:r>
      <w:r>
        <w:t xml:space="preserve"> The use of machine learning (ML) techniques to model quantitative composition–property relationships in concrete has received substantial attention in the past few years. This paper presents a novel hybrid ML model (RF-FFA) for prediction of compressive strength of concrete by combining the random forests (RF) model with the firefly algorithm (FFA). The firefly algorithm is utilized to determine optimum values of two hyper-parameters (i.e., number of trees and number of leaves per tree in the forest) of the RF model in relation to the nature and volume of the dataset. The RF-FFA model was trained to develop correlations between input variables and output of two different categories of datasets; such correlations were subsequently leveraged by the model to make predictions in previously untrained data domains. The first category included two separate datasets featuring highly nonlinear and periodic relationship between input variables and output, as given by trigonometric functions. The second category included two real-world datasets, composed of mixture design variables of concretes as inputs and their age-dependent compressive strengths as outputs. The prediction performance of the hybrid RF-FFA model was benchmarked against commonly used standalone ML models—support vector machine (SVM), multilayer perceptron artificial neural network (MLP-ANN), M5Prime model tree algorithm </w:t>
      </w:r>
    </w:p>
    <w:p>
      <w:pPr/>
      <w:r>
        <w:rPr>
          <w:b/>
        </w:rPr>
        <w:t>POSSIBLE 2019:</w:t>
      </w:r>
      <w:r>
        <w:t xml:space="preserve"> New empirical approach for determining nominal shear capacity of steel fiber reinforced concrete beams — https://doi.org/10.1016/j.conbuildmat.2019.117293</w:t>
      </w:r>
    </w:p>
    <w:p>
      <w:pPr/>
      <w:r>
        <w:rPr>
          <w:b/>
        </w:rPr>
        <w:t>Shared claim-specific concepts:</w:t>
      </w:r>
      <w:r>
        <w:t xml:space="preserve"> concrete, terms, capacity; EU scope not established. This is a provisional connection, not an outcome finding.</w:t>
      </w:r>
    </w:p>
    <w:p>
      <w:pPr>
        <w:pStyle w:val="SourceNote"/>
      </w:pPr>
      <w:r>
        <w:rPr>
          <w:b/>
        </w:rPr>
        <w:t>Available abstract (not full text):</w:t>
      </w:r>
      <w:r>
        <w:t xml:space="preserve"> The main objective of this paper is to develop new design formulations for determining shear stress of steel fiber-reinforced concrete (SFRC) beams without stirrups using Gene Expression Programming (GEP) and Artificial Neural Networks (ANNs) based on a large number of test results. The proposed formulations relate the average shear stress to geometrical, and material properties of common reinforced concrete beam (effective depth, ratio of shear span to effective depth, compressive strength of concrete, and longitudinal steel reinforcement) and fiber properties (diameter, length, and volume percentage). In order to verify the validity and reliability of the proposed formulations, a comparative assessment was conducted between measured and calculated average shear stress of beams. The comparative assessment is carried out in terms of common and modified coefficient of determination (R and Rm), root- mean-square error (RMSE), mean absolute percentage error (MAPE), and gradients of regression lines (k and k’). The results obtained for the considered statistical measures and performance criteria reveal that all of the proposed formulations have acceptable ability to calculate average shear stress for a wide range of shear span to effective depth ratios.</w:t>
      </w:r>
    </w:p>
    <w:p>
      <w:pPr>
        <w:pStyle w:val="Heading2"/>
      </w:pPr>
      <w:r>
        <w:t>919. Living within the safe operating space: a vision for a resource efficient Europe</w:t>
      </w:r>
    </w:p>
    <w:p>
      <w:pPr>
        <w:pStyle w:val="SourceNote"/>
      </w:pPr>
      <w:r>
        <w:rPr>
          <w:b/>
        </w:rPr>
        <w:t>Original source (2014):</w:t>
      </w:r>
      <w:r>
        <w:t xml:space="preserve"> https://doi.org/10.1007/s40309-014-0048-3</w:t>
      </w:r>
    </w:p>
    <w:p>
      <w:pPr/>
      <w:r>
        <w:t>Original wording (abstract; indexed_source_text_not_full_document_verified): We review and build on recent sustainability visions to develop a holistic reflection on what life in 2050 could look like, and explore the key changes in the economy needed to get there.</w:t>
      </w:r>
    </w:p>
    <w:p>
      <w:pPr/>
      <w:r>
        <w:rPr>
          <w:b/>
        </w:rPr>
        <w:t>POSSIBLE 2025:</w:t>
      </w:r>
      <w:r>
        <w:t xml:space="preserve"> Barriers to healthcare for racialised populations in Europe: a scoping review of reviews — https://doi.org/10.1186/s12939-025-02577-1</w:t>
      </w:r>
    </w:p>
    <w:p>
      <w:pPr/>
      <w:r>
        <w:rPr>
          <w:b/>
        </w:rPr>
        <w:t>Shared claim-specific concepts:</w:t>
      </w:r>
      <w:r>
        <w:t xml:space="preserve"> review, key, there; EU scope visible. This is a provisional connection, not an outcome finding.</w:t>
      </w:r>
    </w:p>
    <w:p>
      <w:pPr>
        <w:pStyle w:val="SourceNote"/>
      </w:pPr>
      <w:r>
        <w:rPr>
          <w:b/>
        </w:rPr>
        <w:t>Available abstract (not full text):</w:t>
      </w:r>
      <w:r>
        <w:t xml:space="preserve"> BACKGROUND: Racism is a significant barrier to equitable healthcare, yet it remains under-researched in Europe. Barriers across various stages of the healthcare process limit the equitable realisation of the right to health for racialised populations. This review synthesises existing literature on the barriers to healthcare faced by racialised populations in Europe. METHODS: We conducted a scoping review of reviews to identify barriers to healthcare for racialised populations in Europe. We systematically searched across four databases (PubMed, Scopus, Web of Science, and PsycINFO) for review articles published from January 2010 to September 2024. We obtained data from 30 eligible reviews and classified them according to the dimensions of healthcare access. RESULTS: Our review identified multiple, interrelated barriers across the dimensions of availability, accessibility, acceptability, and quality. Key barriers include insufficient interpretation and intercultural mediation services, complex and restrictive administrative procedures, economic costs, and cultural insensitivity in clinical practices. Racialised individuals also reported experiencing interpersonal racism and stereotypes, which affected their healthcare experiences and outcomes. The review highlights a significant lack of cultural competence among healthcare professionals, as well as inadequate adaptation of servic</w:t>
      </w:r>
    </w:p>
    <w:p>
      <w:pPr/>
      <w:r>
        <w:rPr>
          <w:b/>
        </w:rPr>
        <w:t>POSSIBLE 2023:</w:t>
      </w:r>
      <w:r>
        <w:t xml:space="preserve"> A scoping review of seismic risk communication in Europe — https://doi.org/10.3389/feart.2023.1155576</w:t>
      </w:r>
    </w:p>
    <w:p>
      <w:pPr/>
      <w:r>
        <w:rPr>
          <w:b/>
        </w:rPr>
        <w:t>Shared claim-specific concepts:</w:t>
      </w:r>
      <w:r>
        <w:t xml:space="preserve"> review, build, recent, explore, key; EU scope visible. This is a provisional connection, not an outcome finding.</w:t>
      </w:r>
    </w:p>
    <w:p>
      <w:pPr>
        <w:pStyle w:val="SourceNote"/>
      </w:pPr>
      <w:r>
        <w:rPr>
          <w:b/>
        </w:rPr>
        <w:t>Available abstract (not full text):</w:t>
      </w:r>
      <w:r>
        <w:t xml:space="preserve"> Although earthquakes are a threat in many countries and considerable resources have been invested in safety regulations, communities at risk often lack awareness and preparedness. Risk communication is a key tool for building resilient communities, raising awareness, and increasing preparedness. Over the past 2 decades, seismic risk communication has evolved significantly. This has led to a reorientation from a predominantly “one-way”, top-down communication model to the promotion of new models in which people, their needs, and their participation in disaster risk management are central elements. The 2015–2030 Sendai Framework recommendations, recent disaster experiences and research have highlighted that new models can improve communication effectiveness. In this paper, we critically explore this transition by conducting a scoping review (n=109 publications) of seismic risk communication in Europe. We analyse the approaches, messages, tools, and channels used for seismic risk communication and how they have changed over time. The results reveal that the stated goals of seismic risk communication are, in decreasing order, to share information, raise awareness, change behaviours/beliefs, and increase preparedness. Pupils, students, and citizens are the primary recipients of communication activities. Over the years, two trends have emerged. First, “two-way”, transdisciplinary and</w:t>
      </w:r>
    </w:p>
    <w:p>
      <w:pPr/>
      <w:r>
        <w:rPr>
          <w:b/>
        </w:rPr>
        <w:t>POSSIBLE 2022:</w:t>
      </w:r>
      <w:r>
        <w:t xml:space="preserve"> Building climate resilience through nature-based solutions in Europe: A review of enabling knowledge, finance and governance frameworks — https://doi.org/10.1016/j.crm.2022.100450</w:t>
      </w:r>
    </w:p>
    <w:p>
      <w:pPr/>
      <w:r>
        <w:rPr>
          <w:b/>
        </w:rPr>
        <w:t>Shared claim-specific concepts:</w:t>
      </w:r>
      <w:r>
        <w:t xml:space="preserve"> review, build, recent, reflection, key, needed; EU scope visible. This is a provisional connection, not an outcome finding.</w:t>
      </w:r>
    </w:p>
    <w:p>
      <w:pPr>
        <w:pStyle w:val="SourceNote"/>
      </w:pPr>
      <w:r>
        <w:rPr>
          <w:b/>
        </w:rPr>
        <w:t>Available abstract (not full text):</w:t>
      </w:r>
      <w:r>
        <w:t xml:space="preserve"> The European Union (EU) has firmly positioned itself as a global leader in promoting and implementing nature-based solutions (NBS). The recently released EU Biodiversity Strategy for 2030, Strategy on Adaptation to Climate Change, and Forest Strategy - all representing key pillars of the ambitious European Green Deal (EGD) - rely on NBS to both preserve and restore ecosystem integrity and increase climate resilience. Although research and policy in Europe have advanced the conceptualization and operationalization of NBS, a much wider adoption is needed to reach the ambitious goals of the EGD and fulfil its vision of transforming into a sustainable, climate-neutral, climate resilient, fair, and prosperous EU by 2050. In this paper, we review recent EU-supported research, policy, and practices to identify critical dimensions that still need to be addressed for greater uptake of NBS. While recognising the multiple societal challenges NBS can target, we build on the key messages from the ‘5th European Climate Change Adaptation conference ECCA 2021’ and focus our analysis on NBS for climate change adaptation and disaster risk reduction. We screen a wide range of NBS cases across the EU and identify three core challenges to implementation: the lack of a comprehensive evidence base on the effectiveness of NBS to address targeted challenges; the need for a greater involvement of the pr</w:t>
      </w:r>
    </w:p>
    <w:p>
      <w:pPr/>
      <w:r>
        <w:rPr>
          <w:b/>
        </w:rPr>
        <w:t>POSSIBLE 2022:</w:t>
      </w:r>
      <w:r>
        <w:t xml:space="preserve"> Visions of Europe in the Resistance — https://doi.org/10.3726/b19126</w:t>
      </w:r>
    </w:p>
    <w:p>
      <w:pPr/>
      <w:r>
        <w:rPr>
          <w:b/>
        </w:rPr>
        <w:t>Shared claim-specific concepts:</w:t>
      </w:r>
      <w:r>
        <w:t xml:space="preserve"> visions, there; EU scope visible. This is a provisional connection, not an outcome finding.</w:t>
      </w:r>
    </w:p>
    <w:p>
      <w:pPr>
        <w:pStyle w:val="SourceNote"/>
      </w:pPr>
      <w:r>
        <w:rPr>
          <w:b/>
        </w:rPr>
        <w:t>Available abstract (not full text):</w:t>
      </w:r>
      <w:r>
        <w:t xml:space="preserve"> The fight against Fascism and Nazism during the Second World War gave rise to a strong "desire for Europe": a desire for a united, peaceful, democratic Europe. In many countries, there was a flowering of movements, actions, newspapers and constitutional projects in which the vision of the "United States of Europe" was an essential element, enriching the Resistance with a new, profound and lasting political and historical dimension. By interpreting the changes that the Second World War generated, the Europeanists and federalist forerunners of the times mentioned in this volume were able to identify, ahead of their time, the basis for the construction of the new united Europe and, with it, a new peaceful and democratic international order.</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review, recent;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2021:</w:t>
      </w:r>
      <w:r>
        <w:t xml:space="preserve"> On the Interplay of Ownership Patterns, Biodiversity, and Conservation in Past and Present Temperate Forest Landscapes of Europe and North America — https://doi.org/10.1007/s40725-021-00143-w</w:t>
      </w:r>
    </w:p>
    <w:p>
      <w:pPr/>
      <w:r>
        <w:rPr>
          <w:b/>
        </w:rPr>
        <w:t>Shared claim-specific concepts:</w:t>
      </w:r>
      <w:r>
        <w:t xml:space="preserve"> review, build, recent; EU scope visible. This is a provisional connection, not an outcome finding.</w:t>
      </w:r>
    </w:p>
    <w:p>
      <w:pPr>
        <w:pStyle w:val="SourceNote"/>
      </w:pPr>
      <w:r>
        <w:rPr>
          <w:b/>
        </w:rPr>
        <w:t>Available abstract (not full text):</w:t>
      </w:r>
      <w:r>
        <w:t xml:space="preserve"> Abstract Purpose of Review Ownership patterns and the associated management characteristics are related to forest structures, biodiversity patterns, and their conservation worldwide. A literature review on this topic is missing so far. We fill this gap with an emphasis on the temperate forests of Europe and North America. Mixed-ownership landscapes are the special focus of the analysis. In a first step, historical effects of ownership patterns on forest structure and biodiversity are elucidated. Second, connections between present-time forest ownership patterns and both forest structural and biodiversity patterns are analyzed. Finally, implications for integrative conservation management are evaluated with a special focus on mixed-ownership forest landscapes. Recent Findings Close linkages between ownership type-specific forest management and particular forest structural and biodiversity patterns are identified for past and current forest landscapes. Both in Europe and North America, publicly and privately owned forests show comparable lines of historical development but with a time shift. Forest reserves and ancient woodland with long ecological continuity appear to be mainly connected with public ownership. A high diversity of management approaches and cultural landscape habitats is characteristic of non-industrial small private forests. In mixed-ownership landscapes, a more </w:t>
      </w:r>
    </w:p>
    <w:p>
      <w:pPr/>
      <w:r>
        <w:rPr>
          <w:b/>
        </w:rPr>
        <w:t>POSSIBLE 2020:</w:t>
      </w:r>
      <w:r>
        <w:t xml:space="preserve"> Review of the evidence for oceans and human health relationships in Europe: A systematic map — https://doi.org/10.1016/j.envint.2020.106275</w:t>
      </w:r>
    </w:p>
    <w:p>
      <w:pPr/>
      <w:r>
        <w:rPr>
          <w:b/>
        </w:rPr>
        <w:t>Shared claim-specific concepts:</w:t>
      </w:r>
      <w:r>
        <w:t xml:space="preserve"> review, build, recent, key, there; EU scope visible. This is a provisional connection, not an outcome finding.</w:t>
      </w:r>
    </w:p>
    <w:p>
      <w:pPr>
        <w:pStyle w:val="SourceNote"/>
      </w:pPr>
      <w:r>
        <w:rPr>
          <w:b/>
        </w:rPr>
        <w:t>Available abstract (not full text):</w:t>
      </w:r>
      <w:r>
        <w:t xml:space="preserve"> BACKGROUND: Globally, there is increasing scientific evidence of critical links between the oceans and human health, with research into issues such as pollution, harmful algal blooms and nutritional contributions. However, Oceans and Human Health (OHH) remains an emerging discipline. As such these links are poorly recognized in policy efforts such as the Sustainable Development Goals, with OHH not included in either marine (SDG14) or health (SDG3) goals. This is arguably short-sighted given recent development strategies such as the EU Blue Growth Agenda. OBJECTIVES: In this systematic map we aim to build on recent efforts to enhance OHH in Europe by setting a baseline of existing evidence, asking: What links have been researched between marine environments and the positive and negative impacts to human health and wellbeing? METHODS: We searched eight bibliographic databases and queried 57 organizations identified through stakeholder consultation. Results include primary research and systematic reviews which were screened double blind against pre-defined inclusion criteria as per a published protocol. Studies were limited to Europe, US, Australia, New Zealand and Canada. Data was extracted according to a stakeholder-defined code book. A narrative synthesis explores the current evidence for relationships between marine exposures and human health outcomes, trends in knowledge gaps</w:t>
      </w:r>
    </w:p>
    <w:p>
      <w:pPr/>
      <w:r>
        <w:rPr>
          <w:b/>
        </w:rPr>
        <w:t>POSSIBLE 2020:</w:t>
      </w:r>
      <w:r>
        <w:t xml:space="preserve"> A review of interactions between peripheral and foveal vision — https://doi.org/10.1167/jov.20.12.2</w:t>
      </w:r>
    </w:p>
    <w:p>
      <w:pPr/>
      <w:r>
        <w:rPr>
          <w:b/>
        </w:rPr>
        <w:t>Shared claim-specific concepts:</w:t>
      </w:r>
      <w:r>
        <w:t xml:space="preserve"> review, recent; EU scope not established. This is a provisional connection, not an outcome finding.</w:t>
      </w:r>
    </w:p>
    <w:p>
      <w:pPr>
        <w:pStyle w:val="SourceNote"/>
      </w:pPr>
      <w:r>
        <w:rPr>
          <w:b/>
        </w:rPr>
        <w:t>Available abstract (not full text):</w:t>
      </w:r>
      <w:r>
        <w:t xml:space="preserve"> Visual processing varies dramatically across the visual field. These differences start in the retina and continue all the way to the visual cortex. Despite these differences in processing, the perceptual experience of humans is remarkably stable and continuous across the visual field. Research in the last decade has shown that processing in peripheral and foveal vision is not independent, but is more directly connected than previously thought. We address three core questions on how peripheral and foveal vision interact, and review recent findings on potentially related phenomena that could provide answers to these questions. First, how is the processing of peripheral and foveal signals related during fixation? Peripheral signals seem to be processed in foveal retinotopic areas to facilitate peripheral object recognition, and foveal information seems to be extrapolated toward the periphery to generate a homogeneous representation of the environment. Second, how are peripheral and foveal signals re-calibrated? Transsaccadic changes in object features lead to a reduction in the discrepancy between peripheral and foveal appearance. Third, how is peripheral and foveal information stitched together across saccades? Peripheral and foveal signals are integrated across saccadic eye movements to average percepts and to reduce uncertainty. Together, these findings illustrate that peripher</w:t>
      </w:r>
    </w:p>
    <w:p>
      <w:pPr/>
      <w:r>
        <w:rPr>
          <w:b/>
        </w:rPr>
        <w:t>POSSIBLE 2020:</w:t>
      </w:r>
      <w:r>
        <w:t xml:space="preserve"> A critical review on computer vision and artificial intelligence in food industry — https://doi.org/10.1016/j.jafr.2020.100033</w:t>
      </w:r>
    </w:p>
    <w:p>
      <w:pPr/>
      <w:r>
        <w:rPr>
          <w:b/>
        </w:rPr>
        <w:t>Shared claim-specific concepts:</w:t>
      </w:r>
      <w:r>
        <w:t xml:space="preserve"> review, sustainability, key; EU scope not established. This is a provisional connection, not an outcome finding.</w:t>
      </w:r>
    </w:p>
    <w:p>
      <w:pPr>
        <w:pStyle w:val="SourceNote"/>
      </w:pPr>
      <w:r>
        <w:rPr>
          <w:b/>
        </w:rPr>
        <w:t>Available abstract (not full text):</w:t>
      </w:r>
      <w:r>
        <w:t xml:space="preserve"> Emerging technologies such as computer vision and Artificial Intelligence (AI) are estimated to leverage the accessibility of big data for active training and yielding operational real time smart machines and predictable models. This phenomenon of applying vision and learning methods for the improvement of food industry is termed as computer vision and AI driven food industry. This review contributes to provide an insight into state-of-the-art AI and computer vision technologies that can assist farmers in agriculture and food processing. This paper investigates various scenarios and use cases of machine learning, machine vision and deep learning in global perspective with the lens of sustainability. It explains the increasing demand towards the AgTech industry using computer vision and AI which might be a path towards sustainable food production to feed the future. Also, this review tosses some implications regarding challenges and recommendations in inclusion of technologies in real time farming, substantial global policies and investments. Finally, the paper discusses the possibility of using Fourth Industrial Revolution [4.0 IR] technologies such as deep learning and computer vision robotics as a key for sustainable food production.</w:t>
      </w:r>
    </w:p>
    <w:p>
      <w:pPr/>
      <w:r>
        <w:rPr>
          <w:b/>
        </w:rPr>
        <w:t>POSSIBLE 2019:</w:t>
      </w:r>
      <w:r>
        <w:t xml:space="preserve"> HPV vaccination in a context of public mistrust and uncertainty: a systematic literature review of determinants of HPV vaccine hesitancy in Europe — https://doi.org/10.1080/21645515.2018.1564436</w:t>
      </w:r>
    </w:p>
    <w:p>
      <w:pPr/>
      <w:r>
        <w:rPr>
          <w:b/>
        </w:rPr>
        <w:t>Shared claim-specific concepts:</w:t>
      </w:r>
      <w:r>
        <w:t xml:space="preserve"> review, build, develop; EU scope visible. This is a provisional connection, not an outcome finding.</w:t>
      </w:r>
    </w:p>
    <w:p>
      <w:pPr>
        <w:pStyle w:val="SourceNote"/>
      </w:pPr>
      <w:r>
        <w:rPr>
          <w:b/>
        </w:rPr>
        <w:t>Available abstract (not full text):</w:t>
      </w:r>
      <w:r>
        <w:t xml:space="preserve"> Europe is increasingly described as the region in the world with the least confidence in vaccination, and particularly in the safety of vaccines. The aim of this systematic literature review was to gather and summarise all peer-reviewed and grey literature published about determinants of Human Papillomavirus (HPV) vaccine hesitancy in Europe. Ten thematic categories were identified across the 103 articles which were included in the review. Participants from European studies most commonly reported issues with the quantity and quality of information available about HPV vaccination; followed by concerns about potential side effects of the vaccine; and mistrust of health authorities, healthcare workers, and new vaccines. Comparative analyses indicated that confidence determinants differed by country and population groups. This evidence supports the need to develop context-specific interventions to improve confidence in HPV vaccination and design community engagement strategies aiming to build public trust.</w:t>
      </w:r>
    </w:p>
    <w:p>
      <w:pPr/>
      <w:r>
        <w:rPr>
          <w:b/>
        </w:rPr>
        <w:t>POSSIBLE 2019:</w:t>
      </w:r>
      <w:r>
        <w:t xml:space="preserve"> The European Marine Observation and Data Network (EMODnet): Visions and Roles of the Gateway to Marine Data in Europe — https://doi.org/10.3389/fmars.2019.00313</w:t>
      </w:r>
    </w:p>
    <w:p>
      <w:pPr/>
      <w:r>
        <w:rPr>
          <w:b/>
        </w:rPr>
        <w:t>Shared claim-specific concepts:</w:t>
      </w:r>
      <w:r>
        <w:t xml:space="preserve"> visions, key, needed; EU scope visible. This is a provisional connection, not an outcome finding.</w:t>
      </w:r>
    </w:p>
    <w:p>
      <w:pPr>
        <w:pStyle w:val="SourceNote"/>
      </w:pPr>
      <w:r>
        <w:rPr>
          <w:b/>
        </w:rPr>
        <w:t>Available abstract (not full text):</w:t>
      </w:r>
      <w:r>
        <w:t xml:space="preserve"> Marine data are needed for many purposes: for acquiring a better scientific understanding of the marine environment, but also, increasingly, as marine knowledge for decision making as well as developing products and services supporting economic growth. Data must be of sufficient quality to meet the specific users’ needs. It must also be accessible in a timely manner. And yet, despite being critical, this timely access to known-quality data proves challenging. Europe’s marine data have traditionally been collected by a myriad of entities with the result that much of our data are scattered throughout unconnected databases and repositories. Even when data are available, they are often not compatible, making the sharing of the information and data aggregation particularly challenging. In this paper, we present how the European Marine Observation and Data network (EMODnet) has developed over the last decade to tackle these issues. Today, EMODnet is comprised of more than 150 organisations which gather marine data, metadata and data products and make them more easily accessible for a wider range of users. EMODnet currently consists of seven sub-portals: bathymetry, geology, physics, chemistry, biology, seabed habitats and human activities. In addition, Sea-basin Checkpoints have been established to assess the observation capacity in the North Sea, Mediterranean, Atlantic, Baltic, Art</w:t>
      </w:r>
    </w:p>
    <w:p>
      <w:pPr/>
      <w:r>
        <w:rPr>
          <w:b/>
        </w:rPr>
        <w:t>POSSIBLE 2019:</w:t>
      </w:r>
      <w:r>
        <w:t xml:space="preserve"> Spiritual Care in Palliative Care: A Systematic Review of the Recent European Literature — https://doi.org/10.3390/medsci7020025</w:t>
      </w:r>
    </w:p>
    <w:p>
      <w:pPr/>
      <w:r>
        <w:rPr>
          <w:b/>
        </w:rPr>
        <w:t>Shared claim-specific concepts:</w:t>
      </w:r>
      <w:r>
        <w:t xml:space="preserve"> review, recent, develop, like; EU scope visible. This is a provisional connection, not an outcome finding.</w:t>
      </w:r>
    </w:p>
    <w:p>
      <w:pPr>
        <w:pStyle w:val="SourceNote"/>
      </w:pPr>
      <w:r>
        <w:rPr>
          <w:b/>
        </w:rPr>
        <w:t>Available abstract (not full text):</w:t>
      </w:r>
      <w:r>
        <w:t xml:space="preserve"> Many studies on spiritual care in palliative care are performed in the US, leaving other continents unexplored. The objective of this systematic review is to map the recent studies on spiritual care in palliative care in Europe. PubMed, CINAHL, ATLA, PsycINFO, ERIC, IBSS, Web of Science, EMBASE, and other databases were searched. Included were European studies published in a peer-reviewed journal in 2015, 2016, or 2017. The characteristics of the included studies were analyzed and a narrative synthesis of the extracted data was performed. 53 articles were included. Spiritual care was seen as attention for spirituality, presence, empowerment, and bringing peace. It implied creative, narrative, and ritual work. Though several studies reported positive effects of spiritual care, like the easing of discomfort, the evidence for spiritual care is low. Requirements for implementation of spiritual care in (palliative) care were: Developing spiritual competency, including self-reflection, and visibility of spirituality and spiritual care, which are required from spiritual counselors that they participated in existing organizational structures. This study has provided insight into spiritual care in palliative care in Europe. Future studies are necessary to develop appropriate patient outcomes and to investigate the effects of spiritual care more fully.</w:t>
      </w:r>
    </w:p>
    <w:p>
      <w:pPr>
        <w:pStyle w:val="Heading2"/>
      </w:pPr>
      <w:r>
        <w:t>920. Making or breaking climate targets: The AMPERE study on staged accession scenarios for climate policy</w:t>
      </w:r>
    </w:p>
    <w:p>
      <w:pPr>
        <w:pStyle w:val="SourceNote"/>
      </w:pPr>
      <w:r>
        <w:rPr>
          <w:b/>
        </w:rPr>
        <w:t>Original source (2014):</w:t>
      </w:r>
      <w:r>
        <w:t xml:space="preserve"> https://doi.org/10.1016/j.techfore.2013.09.021</w:t>
      </w:r>
    </w:p>
    <w:p>
      <w:pPr/>
      <w:r>
        <w:t>Original wording (abstract; indexed_source_text_not_full_document_verified): The addition of China to the front runner coalition can reduce pre-2050 excess emissions by 20–30%, increasing the likelihood of staying below 2 degrees.</w:t>
      </w:r>
    </w:p>
    <w:p>
      <w:pPr/>
      <w:r>
        <w:rPr>
          <w:b/>
        </w:rPr>
        <w:t>POSSIBLE 2026:</w:t>
      </w:r>
      <w:r>
        <w:t xml:space="preserve"> The United States, China, and Strategic Technologies: Domestic Coalitions, Foreign Policy, and Multilateral Cooperation in the Biden Era — https://doi.org/10.1080/14650045.2026.2626266</w:t>
      </w:r>
    </w:p>
    <w:p>
      <w:pPr/>
      <w:r>
        <w:rPr>
          <w:b/>
        </w:rPr>
        <w:t>Shared claim-specific concepts:</w:t>
      </w:r>
      <w:r>
        <w:t xml:space="preserve"> china, coalition, reduce; EU scope not established. This is a provisional connection, not an outcome finding.</w:t>
      </w:r>
    </w:p>
    <w:p>
      <w:pPr>
        <w:pStyle w:val="SourceNote"/>
      </w:pPr>
      <w:r>
        <w:rPr>
          <w:b/>
        </w:rPr>
        <w:t>Available abstract (not full text):</w:t>
      </w:r>
      <w:r>
        <w:t xml:space="preserve"> In today’s geopolitical context, advocates of multilateralism in the US contend that it serves to manage conflicts, prevent escalation, and promote the peaceful resolution of disputes. Detractors point to national security concerns and unfair economic competition. In the case of multilateralism and China, critics argue that Beijing’s technological advancements, particularly in areas such as 5G, artificial intelligence, and cybersecurity, pose risks to US national security. Critics further point to China’s state-led industrial policies and practices, such as subsidies, market access restrictions, and forced technology transfers, as unfair. Differing views amongst the US foreign policy elite lead to three coalitions vying for policy adoption in the case of multilateralism and China: one arguing for continued engagement, believing that integration and collaboration can lead to shared benefits, improved global standards, and the diffusion of technological advancements. A second group wants to weaponise strategic technologies to gain advantages in the great power competition. The third coalition advocates for a flexilateral approach that employs selective decoupling to limit technological interdependence and reduce reliance on Chinese critical supply chains. This paper employs the Advocacy Coalition Framework (ACF) to examine the policy beliefs held by these three coalitions in the </w:t>
      </w:r>
    </w:p>
    <w:p>
      <w:pPr/>
      <w:r>
        <w:rPr>
          <w:b/>
        </w:rPr>
        <w:t>POSSIBLE 2026:</w:t>
      </w:r>
      <w:r>
        <w:t xml:space="preserve"> Observation of near-inertial oscillations trapped over inclined front on continental shelf of the northwestern South China Sea — https://doi.org/10.1016/j.jmarsys.2026.104305</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Interactions of near-inertial oscillations (NIOs) with other oceanic processes have been broadly investigated in recent years. This study presents enhanced NIOs observed from a seabed-based platform, which are trapped over an inclined front with strong stratification on the continental shelf of the northern South China Sea (NSCS) during January–February 2021. The current observations reveal that four NIO events occurred induced by wind bursting. Under the similar wind forcing, NIO currents in the third event increased from &lt;0.05 m s −1 to about 0.08 m s −1 . The mechanism analysis shows that the amplitude of NIOs was modulated by the shoaling depth of the mix-layer induced by the inclined front, and trapped in the upper layer. In addition, a remarkable non-linear interaction ( fD1 ) between NIOs and diurnal spring tide occurred at the front zone owing to a strong vertical current shear at the depths of 20–50 m. The energy transferred from front to NIOs provides an interpretation for this trapped NIO signal. The underlying driving mechanism of this observation would be important for explication of energy exchanges between mesoscale oceanic processes, and is worthy of further study.</w:t>
      </w:r>
    </w:p>
    <w:p>
      <w:pPr/>
      <w:r>
        <w:rPr>
          <w:b/>
        </w:rPr>
        <w:t>POSSIBLE 2024:</w:t>
      </w:r>
      <w:r>
        <w:t xml:space="preserve"> China Image Construction during the Covid-19 Epidemic: Multimodal Discourse Analysis based on the China-Related Front Cover of The Economist — https://doi.org/10.61935/asder.1.1.2023.p194</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The paper adopts Kress &amp; van Leeuwen’s grammar framework of visual image to carry out a multimodal discourse analysis on China-Related Front Covers of The Economist, in order to disclose the representative of the western media, British media’s attitude towards China after the outbreak of COVID-19, and further dissect the constructed China’s image. The research has noticed that The Economist, hostile to China, mainly built negative national image in related front covers; in addition, the magazine has also demonstrated some positive image about China’s active resistance to epidemic.</w:t>
      </w:r>
    </w:p>
    <w:p>
      <w:pPr/>
      <w:r>
        <w:rPr>
          <w:b/>
        </w:rPr>
        <w:t>POSSIBLE 2024:</w:t>
      </w:r>
      <w:r>
        <w:t xml:space="preserve"> Observations of near-inertial oscillations trapped at inclined front on continental shelf of the northwestern South China Sea — https://doi.org/10.5194/egusphere-2024-3909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Interactions of near-inertial oscillations (NIOs) with other oceanic processes have been broadly investigated in recent years. This study presents observed NIOs from a seabed-based platform, which are trapped at an inclined front with strong stratification on the continental shelf of the northern South China Sea (NSCS) during January–February 2021. The current observations reveal that four NIO events occurred induced by wind bursting. Under the same wind forcing, NIO currents in the third event increased from &lt;0.05 m s−1 to about 0.08 m s−1. The mechanism analysis shows that the amplitude of NIOs was modulated by the shoaling depth of the mix-layer induced by the inclined front, and trapped in the upper layer. More important, the energy transferred from front to NIOs provides a new insight into the NIO dynamics. In addition, a remarkable non-linear interaction (fD1) between NIOs and diurnal spring tide occurred at the front zone owing to a strong vertical current shear at the depths of 20–50 m. The underlying physical phenomenon of this observation would be important for energy exchanges in the oceans.</w:t>
      </w:r>
    </w:p>
    <w:p>
      <w:pPr/>
      <w:r>
        <w:rPr>
          <w:b/>
        </w:rPr>
        <w:t>POSSIBLE 2024:</w:t>
      </w:r>
      <w:r>
        <w:t xml:space="preserve"> Research on the reuse path of the Third Front Construction Heritage’s stock space in China based on value assessment — https://doi.org/10.21203/rs.3.rs-4070970/v1</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The third-front construction, an integral component of socialist urban and rural development during the initial three decades of the new China, has resulted in a significant surplus of unused stock space following four decades of contraction and progress. The exploration of its reuse value in the contemporary era holds immense theoretical and practical significance. By focusing on 113 factories and mines associated with third-front construction in Hubei Western, this study employs qualitative field research and statistical analysis to assess their layout and condition characteristics. The concept of 'smart shrinkage' is employed to summarise the reuse value of the stock space derived from third-front construction. In addition, the intrinsic and extrinsic value of the reuse value assessment system is evaluated through the implementation of the minimum cumulative resistance (MCR) model, network analysis, and cluster analysis. Finally, a proposed pathway for the reuse of the stock space derived from third-front construction is presented. The study revealed several key findings. ① The plants and mines associated with third-front construction in Hubei Western exhibit a signficant concentration in certain areas, while also displaying a dispersed layout on a smaller scale. These establishments rely on regional transportation infrastructure, thereby forming a corridor-like str</w:t>
      </w:r>
    </w:p>
    <w:p>
      <w:pPr/>
      <w:r>
        <w:rPr>
          <w:b/>
        </w:rPr>
        <w:t>POSSIBLE 2023:</w:t>
      </w:r>
      <w:r>
        <w:t xml:space="preserve"> the diaspora: China's united front work and the hyperlink networks of diasporic Chinese websites in cyberspace — https://doi.org/10.1080/2474736x.2023.2179409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In recent years concerns have emerged regarding the loyalty of ethnic Chinese residing outside of China and whether they are agents of foreign influence.China has also recently declared its ambition to be an 'Internet superpower' and use the internet for political goals.This article will therefore explore the role of the internet in China's diaspora engagement efforts.By adopting an Information Technology (IT)-informed approach, this article seeks to provide insights to the following question(s): Does China engage in diaspora engagement on the internet, to what extent, and what are the implications of such?An in-depth look at a representative sample of Chinese-language websites outside of China reveals 'dual-track messaging' approaches where nonpolitical (i.e.business) news exists alongside overtly political messages.This strongly suggests that the Communist Party of China's (CPC) United Front work to co-opt the diaspora is also taking place via cyberspace, in addition to traditional media sources.</w:t>
      </w:r>
    </w:p>
    <w:p>
      <w:pPr/>
      <w:r>
        <w:rPr>
          <w:b/>
        </w:rPr>
        <w:t>POSSIBLE 2023:</w:t>
      </w:r>
      <w:r>
        <w:t xml:space="preserve"> The Vertical Distribution of Ice-Nucleating Particles over the North China Plain: A Case of Cold Front Passage — https://doi.org/10.3390/rs15204989</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Ice-nucleating particles (INPs) are crucial for cloud freezing processes in the atmosphere. Given the limited knowledge about the vertical distribution of INPs and its relation to aerosols in China, we present two aircraft observations of INPs over the North China Plain on 23 October 2019 and 25 October 2019, before and after a cold front passage. We used a well-established method to identify the INPs on a silicon wafer and then performed single-particle chemical composition analysis using an environmental scanning electron microscope-energy dispersive spectrometer (ESEM-EDS). The INP concentrations range from 0.1 to 9.2 L−1 within activation temperatures from −20 to −29 °C. INPs are mostly concentrated within the boundary layer, and their concentration shows a decreasing trend with height (0.5~6 km) before the cold front passage. However, the highest INP concentration always appears at higher altitudes (4~5 km) after the cold front passage. The cold front passage also significantly weakens the correlations between the concentrations of INPs and aerosol particles at different sizes. The activated fraction (AF) of total aerosols increases from 10−6 to 10−4 with height from near ground to 6 km, reflecting a better nucleating capacity of the aerosols at higher altitudes. There is no obvious variation in AF after the cold front passage. Chemical analysis reveals that the INPs conta</w:t>
      </w:r>
    </w:p>
    <w:p>
      <w:pPr/>
      <w:r>
        <w:rPr>
          <w:b/>
        </w:rPr>
        <w:t>POSSIBLE 2022:</w:t>
      </w:r>
      <w:r>
        <w:t xml:space="preserve"> The effect of Chinese Gigacity on weather fronts — https://doi.org/10.5194/ems2022-550</w:t>
      </w:r>
    </w:p>
    <w:p>
      <w:pPr/>
      <w:r>
        <w:rPr>
          <w:b/>
        </w:rPr>
        <w:t>Shared claim-specific concepts:</w:t>
      </w:r>
      <w:r>
        <w:t xml:space="preserve"> addition, china, front, increasing; EU scope not established. This is a provisional connection, not an outcome finding.</w:t>
      </w:r>
    </w:p>
    <w:p>
      <w:pPr>
        <w:pStyle w:val="SourceNote"/>
      </w:pPr>
      <w:r>
        <w:rPr>
          <w:b/>
        </w:rPr>
        <w:t>Available abstract (not full text):</w:t>
      </w:r>
      <w:r>
        <w:t xml:space="preserve"> The rapid, large-scale urbanization in northeast China during the last few decades has been unique. Recently, Kulmala et al (2021) proposed that in eastern China, a cluster of individual megacities, located roughly inside a triangle Beijing-Xian-Shanghai, could be classified as one huge continuous urban area – a gigacity. In a such gigacity region, combined effect of pollution, vast area of increased surface roughness and urban heat island can strongly interact with the local, synoptic, and even continental scale meteorological conditions. Therefore, the complex interactions between multi-scale meteorological processes and the anthropogenic effects of gigacity bring great challenges to the understanding of environmental and climate systems, air quality forecast and weather prediction in the gigacity region. There are many studies about the interaction of urban areas and local and regional scale atmospheric circulation. However, it is still poorly understood how these very large urban areas interact with meso- and synoptic-scale meteorology. The objective of this study was to analyse the effect of gigacity area to the weather fronts. The study period was 1980-2010 when most of the rapid urbanization occurred in the gigacity region. The identification of weather fronts was performed following the principles by Jenkner et al (2010) and Berry et al (2011). However, we further devel</w:t>
      </w:r>
    </w:p>
    <w:p>
      <w:pPr/>
      <w:r>
        <w:rPr>
          <w:b/>
        </w:rPr>
        <w:t>POSSIBLE 2022:</w:t>
      </w:r>
      <w:r>
        <w:t xml:space="preserve"> Interannual, Seasonal, and Monthly Variability of Sea Surface Temperature Fronts in Offshore China from 1982–2021 — https://doi.org/10.3390/rs14215336</w:t>
      </w:r>
    </w:p>
    <w:p>
      <w:pPr/>
      <w:r>
        <w:rPr>
          <w:b/>
        </w:rPr>
        <w:t>Shared claim-specific concepts:</w:t>
      </w:r>
      <w:r>
        <w:t xml:space="preserve"> addition, china, front, increasing; EU scope not established. This is a provisional connection, not an outcome finding.</w:t>
      </w:r>
    </w:p>
    <w:p>
      <w:pPr>
        <w:pStyle w:val="SourceNote"/>
      </w:pPr>
      <w:r>
        <w:rPr>
          <w:b/>
        </w:rPr>
        <w:t>Available abstract (not full text):</w:t>
      </w:r>
      <w:r>
        <w:t xml:space="preserve"> The offshore China (OC) region is a significant sea area in the Western Pacific and many researchers have been interested in the distribution of sea surface temperature (SST) fronts in this area. In this study, the Cayula and Cornillon single image edge detection algorithm was used to detect SST fronts using the Daily Optimum Interpolation Sea Surface Temperature data from 1982 to 2021. The results revealed that there are eighteen SST fronts in OC— three in the Bohai Sea, seven in the Yellow Sea, two in the East China Sea, five in the South China Sea, one in the Pacific Ocean east of Taiwan province, China—and among them a new front was detected in the Yellow Sea and named the Yellow Sea Ring Front. The frequency of most fronts showed a tendency of initially increasing and then decreasing from January to September, followed by a trend of growing steadily from October to December. The frequency of a few fronts showed a decreasing tendency from January to September and an increasing tendency from October to December. The frequency of most fronts is highest in winter and lowest in summer. In spring and autumn, the frequency of most fronts is lower than that in winter and higher than that in summer. The annual average frontal probability of five-ninths of the fronts showed an upward trend, and the annual average frontal probability value of one-third of the fronts showed a downward</w:t>
      </w:r>
    </w:p>
    <w:p>
      <w:pPr/>
      <w:r>
        <w:rPr>
          <w:b/>
        </w:rPr>
        <w:t>POSSIBLE 2021:</w:t>
      </w:r>
      <w:r>
        <w:t xml:space="preserve"> Contrasting habitat use and conservation status of Chinese-wintering and other Eurasian Greater White-fronted Goose (Anser albifrons) populations — https://doi.org/10.1186/s40657-021-00306-0</w:t>
      </w:r>
    </w:p>
    <w:p>
      <w:pPr/>
      <w:r>
        <w:rPr>
          <w:b/>
        </w:rPr>
        <w:t>Shared claim-specific concepts:</w:t>
      </w:r>
      <w:r>
        <w:t xml:space="preserve"> addition, china, increasing; EU scope visible. This is a provisional connection, not an outcome finding.</w:t>
      </w:r>
    </w:p>
    <w:p>
      <w:pPr>
        <w:pStyle w:val="SourceNote"/>
      </w:pPr>
      <w:r>
        <w:rPr>
          <w:b/>
        </w:rPr>
        <w:t>Available abstract (not full text):</w:t>
      </w:r>
      <w:r>
        <w:t xml:space="preserve"> Abstract Background GPS/GSM tracking data were used to contrast use of (i) habitats and (ii) protected areas between three Arctic-nesting Greater White-fronted Geese (Anser albifrons, GWFG) populations throughout the annual cycle. We wished to demonstrate that the East Asian Continental Population (which winters on natural wetlands in the Chinese Yangtze River floodplain and is currently declining) avoids using farmland at multiple wintering sites. We also gathered tracking evidence to support general observations from two increasing population of GWFG, the North Sea-Baltic (which winters in Europe) and the West Pacific (which winter in Korea and Japan) winter mostly within farmland landscapes, using wetlands only for safe night roosts. Methods We tracked 156 GWFG throughout their annual cycle using GPS/GSM transmitters from these three populations to determine migration routes and stopover staging patterns. We used Brownian Bridge Movement Models to generate summer, winter and migration stopover home ranges which we then overlaid in GIS with land cover and protected area boundary at national level to determine habitat use and degree of protection from nature conservation designated areas. Results Data confirmed that 73% of European wintering GWFG homes ranges were from within farmland, compared to 59% in Japan and Korea, but just 5% in China, confirming the heavy winter use of</w:t>
      </w:r>
    </w:p>
    <w:p>
      <w:pPr/>
      <w:r>
        <w:rPr>
          <w:b/>
        </w:rPr>
        <w:t>POSSIBLE 2018:</w:t>
      </w:r>
      <w:r>
        <w:t xml:space="preserve"> Phytoplankton response to a plume front in the northern South China Sea — https://doi.org/10.5194/bg-15-2551-2018</w:t>
      </w:r>
    </w:p>
    <w:p>
      <w:pPr/>
      <w:r>
        <w:rPr>
          <w:b/>
        </w:rPr>
        <w:t>Shared claim-specific concepts:</w:t>
      </w:r>
      <w:r>
        <w:t xml:space="preserve"> addition, china, front; EU scope not established. This is a provisional connection, not an outcome finding.</w:t>
      </w:r>
    </w:p>
    <w:p>
      <w:pPr>
        <w:pStyle w:val="SourceNote"/>
      </w:pPr>
      <w:r>
        <w:rPr>
          <w:b/>
        </w:rPr>
        <w:t>Available abstract (not full text):</w:t>
      </w:r>
      <w:r>
        <w:t xml:space="preserve"> Abstract. Due to a strong river discharge during April–June 2016, a persistent salinity front, with freshwater flushing seaward on the surface but seawater moving landward at the bottom, was formed in the coastal waters west of the Pearl River Estuary (PRE) over the Northern South China Sea (NSCS) shelf. Hydrographic measurements revealed that the salinity front was influenced by both river plume and coastal upwelling. Shipboard nutrient-enrichment experiments with size-fractionation chlorophyll-a measurements were performed on both sides of the front as well as the front zone to diagnose the spatial variations of phytoplankton physiology across the frontal system. We also assessed the size-fractionated responses of phytoplankton to the treatment of plume water at the frontal zone and the seaside of the front. Biological impact of vertical mixing or upwelling was further examined by the response of surface phytoplankton to the addition of local bottom water. Our results suggested that there was a large variation of phytoplankton physiology on the seaside of the front driven by dynamic nutrient fluxes, although P-limitation was prevailing on the shore-side of the front and at the frontal zone. The spreading of plume water at the frontal zone would directly improve the growth of micro-phytoplankton, while nano- and pico-phytoplankton growths could become saturated at high percent</w:t>
      </w:r>
    </w:p>
    <w:p>
      <w:pPr/>
      <w:r>
        <w:rPr>
          <w:b/>
        </w:rPr>
        <w:t>POSSIBLE 2018:</w:t>
      </w:r>
      <w:r>
        <w:t xml:space="preserve"> Copyright Protection of Digital Movies Using the Coalition of Technology and Law in China — https://doi.org/10.4236/chnstd.2018.74023</w:t>
      </w:r>
    </w:p>
    <w:p>
      <w:pPr/>
      <w:r>
        <w:rPr>
          <w:b/>
        </w:rPr>
        <w:t>Shared claim-specific concepts:</w:t>
      </w:r>
      <w:r>
        <w:t xml:space="preserve"> china, coalition, increasing; EU scope not established. This is a provisional connection, not an outcome finding.</w:t>
      </w:r>
    </w:p>
    <w:p>
      <w:pPr>
        <w:pStyle w:val="SourceNote"/>
      </w:pPr>
      <w:r>
        <w:rPr>
          <w:b/>
        </w:rPr>
        <w:t>Available abstract (not full text):</w:t>
      </w:r>
      <w:r>
        <w:t xml:space="preserve"> Copyright protection of digital movie is becoming increasingly important with increasing developing of the information technology. In China, unlimited replication and rapid propagation of the network makes it increasingly difficult to monitor the copyright piracy and illegal dissemination. Currently, encryption and tracking technology is predominantly used for copyright protection of digital film. The law is also committed to combating piracy and protecting copyright. But neither technical protection nor legal protection can achieve the protective effect that is necessary. Every year, the industry loses billions of dollars in revenue and faces the potential loss of hundreds of thousands of jobs. And Chinese laws do not define the consumer’s responsibilities. So the legal protection is a little weak in reality. This paper argues that there is a need for an alliance of technology and law. Copyright owners actively carry out technical protection to minimize the impact of piracy. Simultaneously, when the technical protection fails or has loopholes, the law shall punish the infringer severely according to the technical data and proof, and deter the offender. This is the better way to protect the copyright of digital film.</w:t>
      </w:r>
    </w:p>
    <w:p>
      <w:pPr>
        <w:pStyle w:val="Heading2"/>
      </w:pPr>
      <w:r>
        <w:t>921. Making sense of the future: visions and transition pathways of laypeople and professionals from six EU countries</w:t>
      </w:r>
    </w:p>
    <w:p>
      <w:pPr>
        <w:pStyle w:val="SourceNote"/>
      </w:pPr>
      <w:r>
        <w:rPr>
          <w:b/>
        </w:rPr>
        <w:t>Original source (2014):</w:t>
      </w:r>
      <w:r>
        <w:t xml:space="preserve"> https://doi.org/10.1080/11287462.2014.957010</w:t>
      </w:r>
    </w:p>
    <w:p>
      <w:pPr/>
      <w:r>
        <w:t>Original wording (abstract; indexed_source_text_not_full_document_verified): The paper concludes with an evaluation of the pathways developed by comparing them to the UK 2050 pathways. For the transition pathway development of these futures, backcasting workshops were held with the participation of young people and experts to develop suitable pathways towards each of the three visions with regard to three specific sectors, namely, household energy, individual mobility and food.</w:t>
      </w:r>
    </w:p>
    <w:p>
      <w:pPr/>
      <w:r>
        <w:rPr>
          <w:b/>
        </w:rPr>
        <w:t>POSSIBLE 2026:</w:t>
      </w:r>
      <w:r>
        <w:t xml:space="preserve"> Friedreich's ataxia patient pathway in Europe — https://doi.org/10.3389/frhs.2026.1817584</w:t>
      </w:r>
    </w:p>
    <w:p>
      <w:pPr/>
      <w:r>
        <w:rPr>
          <w:b/>
        </w:rPr>
        <w:t>Shared claim-specific concepts:</w:t>
      </w:r>
      <w:r>
        <w:t xml:space="preserve"> pathways, pathway, people, each, three; EU scope visible. This is a provisional connection, not an outcome finding.</w:t>
      </w:r>
    </w:p>
    <w:p>
      <w:pPr>
        <w:pStyle w:val="SourceNote"/>
      </w:pPr>
      <w:r>
        <w:rPr>
          <w:b/>
        </w:rPr>
        <w:t>Available abstract (not full text):</w:t>
      </w:r>
      <w:r>
        <w:t xml:space="preserve"> Background: Friedreich's ataxia (FA) is a rare progressive and multi systemic neurodegenerative disorder characterized by loss of coordination, typically resulting in loss of ambulation. Cardiomyopathy, diabetes mellitus, and scoliosis are common and serious manifestations of the disease. This project explores the FA patient pathways, healthcare use and costs, and compares people's care experiences attending specialist ataxia centres (SAC) with care in non-specialist settings in three European countries. Methods: We collected data in the UK, Germany and Italy using a patient survey, to gather information about the diagnosis and the management of the ataxias in SAC and non-SAC settings, healthcare visits, and patient's satisfaction. We compared per-patient mean resource use for each contact type and health service cost, stratifying patients by SAC attendance. Results: = 56) with a confirmed diagnosis of FA. This cohort valued the SAC services in understanding their condition, offering opportunities to take part in research, and delivering care adapted to their needs. Our results highlight the patient's appreciation for SAC services compared to non-SAC without any significant change in costs. We identified similar barriers for patients in accessing SACs in the selected countries. Conclusions: This study shows the value of SAC specifically for the management of complex rare condit</w:t>
      </w:r>
    </w:p>
    <w:p>
      <w:pPr/>
      <w:r>
        <w:rPr>
          <w:b/>
        </w:rPr>
        <w:t>POSSIBLE 2025:</w:t>
      </w:r>
      <w:r>
        <w:t xml:space="preserve"> Changes in Europeans’ evaluation of democracy — https://doi.org/10.1093/oso/9780198883319.003.0007</w:t>
      </w:r>
    </w:p>
    <w:p>
      <w:pPr/>
      <w:r>
        <w:rPr>
          <w:b/>
        </w:rPr>
        <w:t>Shared claim-specific concepts:</w:t>
      </w:r>
      <w:r>
        <w:t xml:space="preserve"> concludes, evaluation, comparing, them; EU scope not established. This is a provisional connection, not an outcome finding.</w:t>
      </w:r>
    </w:p>
    <w:p>
      <w:pPr>
        <w:pStyle w:val="SourceNote"/>
      </w:pPr>
      <w:r>
        <w:rPr>
          <w:b/>
        </w:rPr>
        <w:t>Available abstract (not full text):</w:t>
      </w:r>
      <w:r>
        <w:t xml:space="preserve"> Abstract Against the backdrop of contemporary diagnoses about citizens’ apparently growing dissatisfaction with democracy, this chapter studies the gap between citizens’ expectations and evaluations of democracy, or “democratic deficit,” in ESS10. It finds that while the gap is sizable, it has not grown significantly over the last decade and since ESS6 was fielded. Showing changes across indicators and countries and comparing them to expert assessments in the Varieties of Democracy project, the chapter concludes that the relative stability in evaluations offers some reassurance. At the same time, democracies’ failure to meet citizen expectations can constitute a fertile ground for populist mobilization. The chapter argues that governments’ perceived lack of responsiveness in particular may be exploited to attack democratic institutions in the name of democracy itself.</w:t>
      </w:r>
    </w:p>
    <w:p>
      <w:pPr/>
      <w:r>
        <w:rPr>
          <w:b/>
        </w:rPr>
        <w:t>POSSIBLE 2025:</w:t>
      </w:r>
      <w:r>
        <w:t xml:space="preserve"> Evaluation of Operational Performance of Major European International Airports with Data Envelopment — https://doi.org/10.30518/jav.1639240</w:t>
      </w:r>
    </w:p>
    <w:p>
      <w:pPr/>
      <w:r>
        <w:rPr>
          <w:b/>
        </w:rPr>
        <w:t>Shared claim-specific concepts:</w:t>
      </w:r>
      <w:r>
        <w:t xml:space="preserve"> evaluation, them, each; EU scope visible. This is a provisional connection, not an outcome finding.</w:t>
      </w:r>
    </w:p>
    <w:p>
      <w:pPr>
        <w:pStyle w:val="SourceNote"/>
      </w:pPr>
      <w:r>
        <w:rPr>
          <w:b/>
        </w:rPr>
        <w:t>Available abstract (not full text):</w:t>
      </w:r>
      <w:r>
        <w:t xml:space="preserve"> This paper studies the impact of air logistics and transportation on the operational efficiency of 10 major European International Airports over the 2021–2023 period using the Data Envelope Analysis (DEA) method, which is solved using MAXDEA 8 software. For this purpose, a literature review was carried out to identify the input and output variables used in analysing the operational efficiency of airport logistics. In this study, the input variables include the airport's area, cargo terminal area, the number of passenger terminals, and the number of runways, while the output variables are the number of flights, the number of passengers, and amount of cargo are used. The DEA model provides the most efficient results in terms of output-oriented maximization. The performance of each airport is compared to others, and the efficiency rate for each airport is evaluated. The study identifies the effective airports, their reference points relative to others, and assesses how much improvement is needed for ineffective airports to enhance their outputs. As a result of this application, it was concluded that the operational efficiency of airports is effective or ineffective according to air logistics and transportation activities. As a result of this study, it was revealed that the operational efficiency of 8 of 10 major international airports in the 2021-2023 period was effective, and onl</w:t>
      </w:r>
    </w:p>
    <w:p>
      <w:pPr/>
      <w:r>
        <w:rPr>
          <w:b/>
        </w:rPr>
        <w:t>POSSIBLE 2025:</w:t>
      </w:r>
      <w:r>
        <w:t xml:space="preserve"> Pathways to Circularity: Engagement Patterns of European SMEs in the Circular Economy — https://doi.org/10.1002/bse.4192</w:t>
      </w:r>
    </w:p>
    <w:p>
      <w:pPr/>
      <w:r>
        <w:rPr>
          <w:b/>
        </w:rPr>
        <w:t>Shared claim-specific concepts:</w:t>
      </w:r>
      <w:r>
        <w:t xml:space="preserve"> pathways, transition, each, specific; EU scope visible. This is a provisional connection, not an outcome finding.</w:t>
      </w:r>
    </w:p>
    <w:p>
      <w:pPr>
        <w:pStyle w:val="SourceNote"/>
      </w:pPr>
      <w:r>
        <w:rPr>
          <w:b/>
        </w:rPr>
        <w:t>Available abstract (not full text):</w:t>
      </w:r>
      <w:r>
        <w:t xml:space="preserve"> ABSTRACT Compliance with the 2030 agenda is forcing small and medium‐sized enterprises (SMEs) in the European Union (EU) to transition from linear to circular business models, boosting the adoption of circular economy ( CE ) activities. More information is needed to know the transition stage of these companies. Therefore, the objective of this study is to evaluate the implementation patterns of nine CE activities by EU SMEs and explore the relationships between the implementation of CE activities and the characteristics of these companies in terms of economic activity and ownership. To this end, we used a sample of 13,322 SMEs from the EU, using the Latent Class Model to identify the implementation patterns of CE activities and correspondence analysis to relate the implementation of CE activities with the characteristics of the SMEs. The results show that in the implementation of CE activities, five patterns of SMEs involvement can be identified, with CE activities being systematically independent in each pattern. It was also demonstrated that the SMEs with the highest probability of engagement are those dedicated to service activities, medium‐sized companies established more years ago, with high and growing turnover, which invest most of their turnover annually in CE activities, and those that sell products or services to multiple final destinations. This study contributes to </w:t>
      </w:r>
    </w:p>
    <w:p>
      <w:pPr/>
      <w:r>
        <w:rPr>
          <w:b/>
        </w:rPr>
        <w:t>POSSIBLE 2024:</w:t>
      </w:r>
      <w:r>
        <w:t xml:space="preserve"> Nonlinearity and Asymmetry of the ENSO Stratospheric Pathway to North Atlantic and Europe, Revisited — https://doi.org/10.1029/2023jd039992</w:t>
      </w:r>
    </w:p>
    <w:p>
      <w:pPr/>
      <w:r>
        <w:rPr>
          <w:b/>
        </w:rPr>
        <w:t>Shared claim-specific concepts:</w:t>
      </w:r>
      <w:r>
        <w:t xml:space="preserve"> them, pathway, develop, each, three; EU scope visible. This is a provisional connection, not an outcome finding.</w:t>
      </w:r>
    </w:p>
    <w:p>
      <w:pPr>
        <w:pStyle w:val="SourceNote"/>
      </w:pPr>
      <w:r>
        <w:rPr>
          <w:b/>
        </w:rPr>
        <w:t>Available abstract (not full text):</w:t>
      </w:r>
      <w:r>
        <w:t xml:space="preserve"> Abstract Nonlinearities and asymmetries of El Niño Southern Oscillation (ENSO) stratospheric pathway to the North Atlantic and Europe are examined in large ensembles conducted with fully coupled climate models during wintertime. The analysis is centered on historical experiments of the Max Planck Institute Grand Ensemble (MPI‐GE, 95 members) and expanded to six other ensembles of more limited size. In MPI‐GE, significant responses are obtained for each ENSO phase and three different intensities (weak, moderate and strong). Overall, linear relationships are found for either El Niño or La Niña key diagnostics that characterize the pathway. These relationships are generally weaker for the cold La Niña than for the warm El Niño so that asymmetries between them develop as the events intensify. Specifically for strong events, the extra‐tropical North Pacific and stratospheric responses are asymmetric, with larger responses for El Niño. In addition, the stratospheric asymmetry in strong events seems to contribute to the asymmetry in strong events in the North Atlantic—Europe response in the troposphere in late winter. The extra‐tropical North Pacific response shows general agreement between MPI‐GE and the other large ensembles. However, this agreement is not as large when other parts of the pathway are compared. Relatively high inter‐model response spread confirms the typical model un</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pathways, specific;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Machine learning algorithms for the evaluation of risk by tick-borne pathogens in Europe — https://doi.org/10.1080/07853890.2024.2405074</w:t>
      </w:r>
    </w:p>
    <w:p>
      <w:pPr/>
      <w:r>
        <w:rPr>
          <w:b/>
        </w:rPr>
        <w:t>Shared claim-specific concepts:</w:t>
      </w:r>
      <w:r>
        <w:t xml:space="preserve"> evaluation, suitable, namely; EU scope visible. This is a provisional connection, not an outcome finding.</w:t>
      </w:r>
    </w:p>
    <w:p>
      <w:pPr>
        <w:pStyle w:val="SourceNote"/>
      </w:pPr>
      <w:r>
        <w:rPr>
          <w:b/>
        </w:rPr>
        <w:t>Available abstract (not full text):</w:t>
      </w:r>
      <w:r>
        <w:t xml:space="preserve"> Background Tick-borne pathogens pose a major threat to human health worldwide. Understanding the epidemiology of tick-borne diseases to reduce their impact on human health requires models covering large geographic areas and considering both the abiotic traits that affect tick presence, as well as the vertebrates used as hosts, vegetation, and land use. Herein, we integrated the public information available for Europe regarding the variables that may affect habitat suitability for ticks and hosts and tested five machine learning algorithms (MLA) for predicting the distribution of four prominent tick species across Europe.Materials and methods A grid of cells 20 km in diameter was prepared to cover the entire territory, containing data on vegetation, points of water, habitat fragmentation, forest density, grass extension, or imperviousness, with information on temperature and water deficit. The distribution of the hosts (162 species) was modelled and included in the dataset. We used five MLA, namely, Random Forest, Neural Networks, Naive Bayes, Gradient Boosting, and AdaBoost, trained with reliable coordinates for Ixodes ricinus, Dermacentor reticulatus, Dermacentor marginatus, and Hyalomma marginatum in Europe.Results Both Random Forest and Gradient Boosting best predicted ticks and host environmental niches. Our results demonstrate that MLA can identify trait-matching combinati</w:t>
      </w:r>
    </w:p>
    <w:p>
      <w:pPr/>
      <w:r>
        <w:rPr>
          <w:b/>
        </w:rPr>
        <w:t>POSSIBLE 2024:</w:t>
      </w:r>
      <w:r>
        <w:t xml:space="preserve"> AI4T - Comparative European Evaluation Report — https://openalex.org/W4395443930</w:t>
      </w:r>
    </w:p>
    <w:p>
      <w:pPr/>
      <w:r>
        <w:rPr>
          <w:b/>
        </w:rPr>
        <w:t>Shared claim-specific concepts:</w:t>
      </w:r>
      <w:r>
        <w:t xml:space="preserve"> evaluation, pathways, pathway, each, three, specific; EU scope visible. This is a provisional connection, not an outcome finding.</w:t>
      </w:r>
    </w:p>
    <w:p>
      <w:pPr>
        <w:pStyle w:val="SourceNote"/>
      </w:pPr>
      <w:r>
        <w:rPr>
          <w:b/>
        </w:rPr>
        <w:t>Available abstract (not full text):</w:t>
      </w:r>
      <w:r>
        <w:t xml:space="preserve"> This report presents and compares the impact of the AI4T– Artificial Intelligence for and by Teachers – professional learning pathways in France, Ireland, Italy, Luxembourg and Slovenia.The first sections introduce the AI4T professional learning pathway and outline the experimental design in each country, i.e. participant selection and randomisation procedures, theoretical framework used for assessment, and evaluation instruments. This is followed by a description of the country samples. Finally, issues pertaining to the experiment's internal and external validity are addressed.A comparative perspective is adopted to present the findings across the different countries. The primary focus is given to teachers as they are the main target of the AI4T project. After detailing their reactions to the professional learning pathways in the five countries, the report discusses the three main outcomes of the experiment, namely teachers’ knowledge of AI, their perceptions of AI, and their use of AI. Both the initial state and the impact of the intervention are presented for each outcome. In addition, we provide a discussion of the differential impact of the intervention on teachers based on their engagement with the MOOC, their self-efficacy for integrating technology in the classroom, and their course subjects. Results from school leaders and students are then presented in separate sectio</w:t>
      </w:r>
    </w:p>
    <w:p>
      <w:pPr/>
      <w:r>
        <w:rPr>
          <w:b/>
        </w:rPr>
        <w:t>POSSIBLE 2023:</w:t>
      </w:r>
      <w:r>
        <w:t xml:space="preserve"> Exploring pathways to 100% renewable energy in European industry — https://doi.org/10.1016/j.energy.2023.126687</w:t>
      </w:r>
    </w:p>
    <w:p>
      <w:pPr/>
      <w:r>
        <w:rPr>
          <w:b/>
        </w:rPr>
        <w:t>Shared claim-specific concepts:</w:t>
      </w:r>
      <w:r>
        <w:t xml:space="preserve"> pathways, transition, each, sectors; EU scope visible. This is a provisional connection, not an outcome finding.</w:t>
      </w:r>
    </w:p>
    <w:p>
      <w:pPr>
        <w:pStyle w:val="SourceNote"/>
      </w:pPr>
      <w:r>
        <w:rPr>
          <w:b/>
        </w:rPr>
        <w:t>Available abstract (not full text):</w:t>
      </w:r>
      <w:r>
        <w:t xml:space="preserve"> Industry poses one of the biggest challenges in the renewable energy transition. In this paper, fossil fuels in the European industrial sector are replaced by renewable energy using a novel tool, IndustryPLAN, a planning tool for the assessment of national industrial sectors. In a bottom-up approach, each industry sub-sector is addressed with energy efficiency and fossil fuel replacement measures based on best available and innovative technologies, and in a top-down approach, the fuel and electricity consumption per country is analysed and decarbonised. The results indicate that: 1. Known technologies can decarbonise most of the industrial sector; 2. Costs and efficiencies are improved by energy savings and electrification; 3. Limiting bioenergy consumption is a critical challenge, emphasising the key role of energy savings and electrification, and the alternative of using hydrogen or hydrogen-based electrofuels will make the transition more expensive and induce energy losses. A full transition to renewable energy and a decarbonised industry sector may be possible before 2050, however, this requires that all investments are sustainable from 2030 onwards and that grid electricity is fully decarbonised. This paper presents several pathways toward 100% renewable energy supply in the European industrial sector and discusses the implications of the outlined scenarios.</w:t>
      </w:r>
    </w:p>
    <w:p>
      <w:pPr/>
      <w:r>
        <w:rPr>
          <w:b/>
        </w:rPr>
        <w:t>POSSIBLE 2023:</w:t>
      </w:r>
      <w:r>
        <w:t xml:space="preserve"> The Future of HSR Program Evaluation: A European Perspective — https://doi.org/10.1093/eurpub/ckad160.052</w:t>
      </w:r>
    </w:p>
    <w:p>
      <w:pPr/>
      <w:r>
        <w:rPr>
          <w:b/>
        </w:rPr>
        <w:t>Shared claim-specific concepts:</w:t>
      </w:r>
      <w:r>
        <w:t xml:space="preserve"> evaluation, developed; EU scope visible. This is a provisional connection, not an outcome finding.</w:t>
      </w:r>
    </w:p>
    <w:p>
      <w:pPr>
        <w:pStyle w:val="SourceNote"/>
      </w:pPr>
      <w:r>
        <w:rPr>
          <w:b/>
        </w:rPr>
        <w:t>Available abstract (not full text):</w:t>
      </w:r>
      <w:r>
        <w:t xml:space="preserve"> Abstract There is a long tradition of program evaluation in public health, due to the influence of medical approaches and the development of evidence-based medicine. Health services research have thus provided substantial evidence and built itself partially on the evaluation of organizational innovations over time in various international healthcare settings. What is new here? What is the future of HSR from an evaluation perspective? Since the turn of the century, two main shifts in the resources and methods available to public health researchers could provide a significant leap for HSR research in Europe, and in France especially. First, more data are being produced and made available to researchers. Most healthcare systems in Europe have implemented DRGs and for doing so, information systems have been developed incidentally. This led to the routine production of data initially used for payment schemes, that are now increasingly being used for research. Although this is similar to what happened in the US, the main difference with European healthcare systems lies in the generalized approach of the welfare system to the whole population. Second, evaluation methods recently evolved towards the framework of what is known as “realist evaluation” based on the causal analysis of programs or public policies while incorporating contextual effects and a theoretical perspective to explai</w:t>
      </w:r>
    </w:p>
    <w:p>
      <w:pPr/>
      <w:r>
        <w:rPr>
          <w:b/>
        </w:rPr>
        <w:t>POSSIBLE 2022:</w:t>
      </w:r>
      <w:r>
        <w:t xml:space="preserve"> Evaluation of attractiveness of Russian and Western European green bonds — https://doi.org/10.18323/2221-5689-2022-3-25-33</w:t>
      </w:r>
    </w:p>
    <w:p>
      <w:pPr/>
      <w:r>
        <w:rPr>
          <w:b/>
        </w:rPr>
        <w:t>Shared claim-specific concepts:</w:t>
      </w:r>
      <w:r>
        <w:t xml:space="preserve"> evaluation, comparing, them; EU scope visible. This is a provisional connection, not an outcome finding.</w:t>
      </w:r>
    </w:p>
    <w:p>
      <w:pPr>
        <w:pStyle w:val="SourceNote"/>
      </w:pPr>
      <w:r>
        <w:rPr>
          <w:b/>
        </w:rPr>
        <w:t>Available abstract (not full text):</w:t>
      </w:r>
      <w:r>
        <w:t xml:space="preserve"> More and more companies in Western markets provide potential investors with an instrument to attract debt financing called “green bonds”. In recent years, a significant rise in demand for this type of securities is observed in Western stock markets; Russian investors also demonstrate interest in them, which makes issues of evaluating green bonds and comparing their investment attractiveness with the attractiveness of traditional bonds topical ones. The paper gives the assessment of attractiveness of green bonds both of Russian and Western European issuers and compares green and traditional corporate bonds from the point of view of a potential investor. The authors analyzed key financial performance indicators of green bonds: a coupon size, yield to maturity, and duration; assessed alternative costs of holding green bonds (bank deposit for the period of more than one year is considered an alternative variant of investment). Based on the results of the work, the authors conclude that, in general, non-green bonds today are more attractive for an investor; however, green bonds have an advantage in view of nominal coupon profitability. High duration is a distinctive feature of green bonds: the average due date of return of investments of green bonds is close to the maturity date, while traditional bonds have the duration much less than the term to their maturity. Therefore, one can </w:t>
      </w:r>
    </w:p>
    <w:p>
      <w:pPr/>
      <w:r>
        <w:rPr>
          <w:b/>
        </w:rPr>
        <w:t>POSSIBLE 2022:</w:t>
      </w:r>
      <w:r>
        <w:t xml:space="preserve"> European Headache Federation guideline on the use of monoclonal antibodies targeting the calcitonin gene related peptide pathway for migraine prevention – 2022 update — https://doi.org/10.1186/s10194-022-01431-x</w:t>
      </w:r>
    </w:p>
    <w:p>
      <w:pPr/>
      <w:r>
        <w:rPr>
          <w:b/>
        </w:rPr>
        <w:t>Shared claim-specific concepts:</w:t>
      </w:r>
      <w:r>
        <w:t xml:space="preserve"> evaluation, developed, pathway, experts; EU scope visible. This is a provisional connection, not an outcome finding.</w:t>
      </w:r>
    </w:p>
    <w:p>
      <w:pPr>
        <w:pStyle w:val="SourceNote"/>
      </w:pPr>
      <w:r>
        <w:rPr>
          <w:b/>
        </w:rPr>
        <w:t>Available abstract (not full text):</w:t>
      </w:r>
      <w:r>
        <w:t xml:space="preserve"> BACKGROUND: A previous European Headache Federation (EHF) guideline addressed the use of monoclonal antibodies targeting the calcitonin gene-related peptide (CGRP) pathway to prevent migraine. Since then, randomized controlled trials (RCTs) and real-world evidence have expanded the evidence and knowledge for those treatments. Therefore, the EHF panel decided to provide an updated guideline on the use of those treatments. METHODS: The guideline was developed following the Grading of Recommendation, Assessment, Development, and Evaluation (GRADE) approach. The working group identified relevant questions, performed a systematic review and an analysis of the literature, assessed the quality of the available evidence, and wrote recommendations. Where the GRADE approach was not applicable, expert opinion was provided. RESULTS: We found moderate to high quality of evidence to recommend eptinezumab, erenumab, fremanezumab, and galcanezumab in individuals with episodic and chronic migraine. For several important clinical questions, we found not enough evidence to provide evidence-based recommendations and guidance relied on experts' opinion. Nevertheless, we provided updated suggestions regarding the long-term management of those treatments and their place with respect to the other migraine preventatives. CONCLUSION: Monoclonal antibodies targeting the CGRP pathway are recommended for m</w:t>
      </w:r>
    </w:p>
    <w:p>
      <w:pPr>
        <w:pStyle w:val="Heading2"/>
      </w:pPr>
      <w:r>
        <w:t>922. Modelling Soil Organic Carbon Changes Under Different Maize Cropping Scenarios for Cellulosic Ethanol in Europe</w:t>
      </w:r>
    </w:p>
    <w:p>
      <w:pPr>
        <w:pStyle w:val="SourceNote"/>
      </w:pPr>
      <w:r>
        <w:rPr>
          <w:b/>
        </w:rPr>
        <w:t>Original source (2014):</w:t>
      </w:r>
      <w:r>
        <w:t xml:space="preserve"> https://doi.org/10.1007/s12155-014-9529-2</w:t>
      </w:r>
    </w:p>
    <w:p>
      <w:pPr/>
      <w:r>
        <w:t>Original wording (abstract; indexed_source_text_not_full_document_verified): In particular, every tonne of C residue converted to bioethanol was predicted to have an additional impact on SOC loss almost ranging from 0.2 to 0.5 CO 2 eq. ha −1 year −1 , considering a continuous biofuel scenario by 2050. Using a recently developed simulation platform, SOC changes were estimated at European level (EU + candidate and potential candidate countries) under two scenarios of low (R30) and high (R90) maize stover removal for cellulosic ethanol production (i.e. 30 and 90 % of stover removal, respectively).</w:t>
      </w:r>
    </w:p>
    <w:p>
      <w:pPr/>
      <w:r>
        <w:rPr>
          <w:b/>
        </w:rPr>
        <w:t>POSSIBLE 2025:</w:t>
      </w:r>
      <w:r>
        <w:t xml:space="preserve"> First-Generation Biofuels vs. Energy Security: An Overview of Biodiesel and Bioethanol — https://doi.org/10.3390/en18226055</w:t>
      </w:r>
    </w:p>
    <w:p>
      <w:pPr/>
      <w:r>
        <w:rPr>
          <w:b/>
        </w:rPr>
        <w:t>Shared claim-specific concepts:</w:t>
      </w:r>
      <w:r>
        <w:t xml:space="preserve"> bioethanol, biofuel; EU scope not established. This is a provisional connection, not an outcome finding.</w:t>
      </w:r>
    </w:p>
    <w:p>
      <w:pPr>
        <w:pStyle w:val="SourceNote"/>
      </w:pPr>
      <w:r>
        <w:rPr>
          <w:b/>
        </w:rPr>
        <w:t>Available abstract (not full text):</w:t>
      </w:r>
      <w:r>
        <w:t xml:space="preserve"> Energy agriculture is one of the ways of producing clean energy. Crop production constitutes the basis for the sustainable profitability of agriculture, and agricultural products are traded on two markets: the food market and the energy market. This article reviews the literature on the conditions influencing biofuel production, with the aim of identifying the arguments supporting its expansion and the challenges associated with large-scale production. The study employs quantitative and qualitative desk research methods, the method of deduction, analysis and synthesis, the comparative method, and the expert method. Widespread application of biofuels requires a broader range of non-food raw materials (such as lignocellulosic biomass) and the advancement of conversion technologies used in bioethanol and biodiesel production. The main goal of ecofriendly energy generation should be to increase the energy output while minimizing environmental impacts. The findings from the literature review were collected, identified, and described as objectively as possible. The conclusions drawn are based on the authors’ findings and expert opinions. The future of biofuels depends on the optimal choice of raw materials that ensure the highest production efficiency, low costs, and reduced emissions of harmful atmospheric pollutants. Thus, intensification of agricultural production of non-food crop</w:t>
      </w:r>
    </w:p>
    <w:p>
      <w:pPr/>
      <w:r>
        <w:rPr>
          <w:b/>
        </w:rPr>
        <w:t>POSSIBLE 2025:</w:t>
      </w:r>
      <w:r>
        <w:t xml:space="preserve"> Opportunity cost estimates for spatial conservation prioritisation across terrestrial Europe — https://doi.org/10.1038/s41597-025-05837-5</w:t>
      </w:r>
    </w:p>
    <w:p>
      <w:pPr/>
      <w:r>
        <w:rPr>
          <w:b/>
        </w:rPr>
        <w:t>Shared claim-specific concepts:</w:t>
      </w:r>
      <w:r>
        <w:t xml:space="preserve"> particular, considering, estimated, level; EU scope visible. This is a provisional connection, not an outcome finding.</w:t>
      </w:r>
    </w:p>
    <w:p>
      <w:pPr>
        <w:pStyle w:val="SourceNote"/>
      </w:pPr>
      <w:r>
        <w:rPr>
          <w:b/>
        </w:rPr>
        <w:t>Available abstract (not full text):</w:t>
      </w:r>
      <w:r>
        <w:t xml:space="preserve"> Opportunity costs of conservation represent the foregone economic benefits from using land for nature conservation rather than alternative activities. Considering opportunity costs therefore helps in identifying cost-effective solutions in conservation prioritisation analyses. Since comprehensive, high-resolution, pan-European opportunity cost data are currently lacking, we created a 1 km European layer of opportunity costs (€/ha/yr) for arable, pastoral, forestry and urban lands. To create this layer, we estimated the opportunity costs of productive lands (agriculture and forestry) based on (sub)national land and resource rent data, which we allocated to the grid level integrating agricultural and forestry yield data with country-specific commodity prices. We estimated opportunity costs of urban land based on area-standardised residential rents and urban population density using empirical data from 42 European residential areas. Across land types, urban land comes with the highest opportunity costs, followed by arable, pastoral, and forestry land. We envisage this new opportunity cost layer to be particular useful for broad-scale European conservation prioritisation analyses.</w:t>
      </w:r>
    </w:p>
    <w:p>
      <w:pPr/>
      <w:r>
        <w:rPr>
          <w:b/>
        </w:rPr>
        <w:t>POSSIBLE 2024:</w:t>
      </w:r>
      <w:r>
        <w:t xml:space="preserve"> Harnessing rice husks: Bioethanol production for sustainable future — https://doi.org/10.1016/j.crmicr.2024.100298</w:t>
      </w:r>
    </w:p>
    <w:p>
      <w:pPr/>
      <w:r>
        <w:rPr>
          <w:b/>
        </w:rPr>
        <w:t>Shared claim-specific concepts:</w:t>
      </w:r>
      <w:r>
        <w:t xml:space="preserve"> bioethanol, loss, biofuel, potential; EU scope not established. This is a provisional connection, not an outcome finding.</w:t>
      </w:r>
    </w:p>
    <w:p>
      <w:pPr>
        <w:pStyle w:val="SourceNote"/>
      </w:pPr>
      <w:r>
        <w:rPr>
          <w:b/>
        </w:rPr>
        <w:t>Available abstract (not full text):</w:t>
      </w:r>
      <w:r>
        <w:t xml:space="preserve"> • Rice husks are a promising renewable energy source. • This article highlights their potential and the environmental benefits of their use. • The article details the key stages in converting rice husks to bioethanol and the challenges and innovations in producing bioethanol from rice husks. • It explores the potential of rice husks as a biofuel source and reviews the advancements in bioethanol production technologies. • The article also evaluates the economic and environmental benefits of rice husk bioethanol and calls for continued research to enhance sustainability. The investigation of biofuel production from rice husks highlights its potential as a sustainable energy source amid rising environmental concerns and the gradual loss of fossil fuel sources. Biomass-derived biofuels, notably those derived from lignocellulosic materials, such as rice husks, provide a sustainable and environmentally friendly alternative that reduces greenhouse gas emissions while improving energy security. This review explores the need to produce biofuels along with the progression of biofuel technology throughout the four generations and the specific mechanisms involved in the conversion of bioethanol from rice husks. Several important stages are essential for the production of bioethanol from rice husks, including the disruption of lignocellulosic structure known as pretreatment, hydrolysis of c</w:t>
      </w:r>
    </w:p>
    <w:p>
      <w:pPr/>
      <w:r>
        <w:rPr>
          <w:b/>
        </w:rPr>
        <w:t>POSSIBLE 2024:</w:t>
      </w:r>
      <w:r>
        <w:t xml:space="preserve"> Characterization of Bioethanol Extracted from Napier Grass Using the Fermentation Process — https://doi.org/10.1051/e3sconf/202454013018</w:t>
      </w:r>
    </w:p>
    <w:p>
      <w:pPr/>
      <w:r>
        <w:rPr>
          <w:b/>
        </w:rPr>
        <w:t>Shared claim-specific concepts:</w:t>
      </w:r>
      <w:r>
        <w:t xml:space="preserve"> bioethanol; EU scope not established. This is a provisional connection, not an outcome finding.</w:t>
      </w:r>
    </w:p>
    <w:p>
      <w:pPr>
        <w:pStyle w:val="SourceNote"/>
      </w:pPr>
      <w:r>
        <w:rPr>
          <w:b/>
        </w:rPr>
        <w:t>Available abstract (not full text):</w:t>
      </w:r>
      <w:r>
        <w:t xml:space="preserve"> Due to the diminishing supply of fossil fuels, biodiesel is gaining popularity as a feasible fuel. It is produced through the fermentation of Napier liquid with the help of bakery yeast. The pH test, viscosity analysis, multi-cylinder, and other tests yielded favourable results when compared to traditional fuels such as diesel. In the Viscosity analysis, we compare the pure and blended fuel with regular diesel, it was discovered that pure ethanol has reduced dynamic viscosity, which improves when blended with diesel. For the multi-cylinder engine performance test, adding 10 % ethanol to gasoline results in a bit of improvement in efficiency over regular diesel. The efficiency is greater than the previous one when it reaches 20 %. As a significance, we blended ethanol up to 20 % with normal diesel to obtain optimum results. Because complete combustion is achieved due to oxygen contained in ethanoldiesel blends, the exhaust gas temperature of the blends is found to be lower, and Nitrogen emission is higher compared to diesel.</w:t>
      </w:r>
    </w:p>
    <w:p>
      <w:pPr/>
      <w:r>
        <w:rPr>
          <w:b/>
        </w:rPr>
        <w:t>POSSIBLE 2022:</w:t>
      </w:r>
      <w:r>
        <w:t xml:space="preserve"> A Global Overview of Aquaculture Food Production with a Focus on the Activity’s Development in Transitional Systems—The Case Study of a South European Country (Portugal) — https://doi.org/10.3390/jmse10030417</w:t>
      </w:r>
    </w:p>
    <w:p>
      <w:pPr/>
      <w:r>
        <w:rPr>
          <w:b/>
        </w:rPr>
        <w:t>Shared claim-specific concepts:</w:t>
      </w:r>
      <w:r>
        <w:t xml:space="preserve"> particular, every, developed; EU scope visible. This is a provisional connection, not an outcome finding.</w:t>
      </w:r>
    </w:p>
    <w:p>
      <w:pPr>
        <w:pStyle w:val="SourceNote"/>
      </w:pPr>
      <w:r>
        <w:rPr>
          <w:b/>
        </w:rPr>
        <w:t>Available abstract (not full text):</w:t>
      </w:r>
      <w:r>
        <w:t xml:space="preserve"> World aquaculture food production rises every year, amounting, by 2018, to another all-time record of 82.1 million tonnes of farmed seafood, with Asia leading global production. In Europe, although coastal countries present historical fishing habits, aquaculture is in true expansion. Norway, the leading European producer, is the eighth main producer worldwide. Portugal is a traditional fishing country but has invested in the development of aquaculture for the past decade, attaining, by 2018, 13.3 tonnes produced, making Portugal the 16th main producer amongst European Union member states that year. Most Portuguese aquaculture facilities operate in coastal systems, resorting to extensive and semi-intensive rearing techniques. In Portugal, marine food production in transitional systems is particularly interesting as the practice has, worldwide, been continuously substituted by intensive methods. In fact, facilities in transitional systems have developed over time and products gained higher commercial value. Clams and oysters corresponded, together, to over three quarters of total mollusc production in Portugal in 2018, while gilthead seabream and European seabass made up nearly all fish production in coastal environments. The state of aquaculture practices worldwide is reviewed in the present work, providing a particular focus on Portugal, where considerable development of the aq</w:t>
      </w:r>
    </w:p>
    <w:p>
      <w:pPr/>
      <w:r>
        <w:rPr>
          <w:b/>
        </w:rPr>
        <w:t>POSSIBLE 2022:</w:t>
      </w:r>
      <w:r>
        <w:t xml:space="preserve"> Food Waste to Bioethanol: Opportunities and Challenges — https://doi.org/10.3390/fermentation9010008</w:t>
      </w:r>
    </w:p>
    <w:p>
      <w:pPr/>
      <w:r>
        <w:rPr>
          <w:b/>
        </w:rPr>
        <w:t>Shared claim-specific concepts:</w:t>
      </w:r>
      <w:r>
        <w:t xml:space="preserve"> bioethanol, loss, continuous, potential; EU scope not established. This is a provisional connection, not an outcome finding.</w:t>
      </w:r>
    </w:p>
    <w:p>
      <w:pPr>
        <w:pStyle w:val="SourceNote"/>
      </w:pPr>
      <w:r>
        <w:rPr>
          <w:b/>
        </w:rPr>
        <w:t>Available abstract (not full text):</w:t>
      </w:r>
      <w:r>
        <w:t xml:space="preserve"> The increasing global population will require sustainable means to sustain life and growth. The continuous depletion and increasing wastage of the energy resources will pose a challenge for the survival of the increasing population in the coming years. The bioconversion of waste generated at different stages of the food value chain to ethanol can provide a sustainable solution to the depleting energy resources and a sustainable way to address the growing food waste issue globally. The high carbohydrate and nitrogen content in the food waste can make it an ideal alternative substrate for developing a decentralized bioprocess. Optimizing the process can address the bottleneck issues viz. substrate collection and transport, pretreatment, fermentative organism, and product separation, which is required to make the process economic. The current review focuses on the opportunities and challenges for using the food loss and waste at different stages of the food value chain, its pretreatment, the fermentation process to produce bioethanol, and potential ways to improve the process economics. The impact of substrate, fermentative organisms’ process development, downstream processing, and by-product stream to make the bioethanol production from the waste in the food value chain a commercial success are also discussed.</w:t>
      </w:r>
    </w:p>
    <w:p>
      <w:pPr/>
      <w:r>
        <w:rPr>
          <w:b/>
        </w:rPr>
        <w:t>POSSIBLE 2022:</w:t>
      </w:r>
      <w:r>
        <w:t xml:space="preserve"> Bioethanol and biodiesel blended fuels — Feasibility analysis of biofuel feedstocks in Bangladesh — https://doi.org/10.1016/j.egyr.2022.01.001</w:t>
      </w:r>
    </w:p>
    <w:p>
      <w:pPr/>
      <w:r>
        <w:rPr>
          <w:b/>
        </w:rPr>
        <w:t>Shared claim-specific concepts:</w:t>
      </w:r>
      <w:r>
        <w:t xml:space="preserve"> residue, bioethanol, biofuel, potential; EU scope not established. This is a provisional connection, not an outcome finding.</w:t>
      </w:r>
    </w:p>
    <w:p>
      <w:pPr>
        <w:pStyle w:val="SourceNote"/>
      </w:pPr>
      <w:r>
        <w:rPr>
          <w:b/>
        </w:rPr>
        <w:t>Available abstract (not full text):</w:t>
      </w:r>
      <w:r>
        <w:t xml:space="preserve"> In 2019–2020, Bangladesh imported 5.2 million metric tonnes of petroleum products, worth 2.5 billion USD, and 50% of the imports were consumed by the transportation sector. Having limited natural oil reserves and being heavily dependent on oil imports, the country is vulnerable to shocks in the international oil market, which can jeopardize its consistent economic growth. The Government announced a 5% blending of bioethanol with gasoline in 2017, with broken rice, maize, and molasses as the feedstocks, but sourcing biofuel from food crops can hamper the country’s food security. This study explores second and third generation feedstocks e.g., organic plants, seeds, agricultural residues, and waste animal fat or skin that can be collected and processed for the extraction of biofuels. Technical potential of biofuel from the feedstocks is analysed which shows that Bangladesh has a potential to extract 44.4 million metric tonnes of bioethanol in a year from agricultural residues with rice residue having the highest potential (71%). Ground nut and rubber seeds can be major feedstocks for biodiesel production having a potential of 61,000 and 42,000 metric tonnes per year, respectively. Waste chicken skin can be another promising feedstock for the extraction of biodiesel. Biofuels extracted from these non-edible feedstocks and blended with existing transport fuels can lessen Bangladesh</w:t>
      </w:r>
    </w:p>
    <w:p>
      <w:pPr/>
      <w:r>
        <w:rPr>
          <w:b/>
        </w:rPr>
        <w:t>POSSIBLE 2022:</w:t>
      </w:r>
      <w:r>
        <w:t xml:space="preserve"> Bioconversion of Starch Base Food Waste into Bioethanol — https://doi.org/10.3390/su141811401</w:t>
      </w:r>
    </w:p>
    <w:p>
      <w:pPr/>
      <w:r>
        <w:rPr>
          <w:b/>
        </w:rPr>
        <w:t>Shared claim-specific concepts:</w:t>
      </w:r>
      <w:r>
        <w:t xml:space="preserve"> every, bioethanol, potential; EU scope not established. This is a provisional connection, not an outcome finding.</w:t>
      </w:r>
    </w:p>
    <w:p>
      <w:pPr>
        <w:pStyle w:val="SourceNote"/>
      </w:pPr>
      <w:r>
        <w:rPr>
          <w:b/>
        </w:rPr>
        <w:t>Available abstract (not full text):</w:t>
      </w:r>
      <w:r>
        <w:t xml:space="preserve"> The global demand for fuel keeps increasing daily. The massive depletion of fossil fuels and their influence on the environment as pollution is a severe problem. Meanwhile, food waste disposal is also a complex problem in solid-waste management since one-third of every food consumed is discarded as waste. The standard waste management methods, including food waste incineration and landfilling, are considered hazardous to the environment. Food waste constituents are majorly starch-based and contain various biomolecules, including sugar, lipids, proteins, vitamins, cellulose, etc. These polysaccharides can be hydrolysed into monosaccharides such as glucose, which can then be fermented using microorganisms to produce ethanol through the fermenting of sugars derived from enzymatic hydrolysis treatment of food wastes. The human food system is rich in starch, which can be a potential resource for bioethanol production.</w:t>
      </w:r>
    </w:p>
    <w:p>
      <w:pPr/>
      <w:r>
        <w:rPr>
          <w:b/>
        </w:rPr>
        <w:t>POSSIBLE 2020:</w:t>
      </w:r>
      <w:r>
        <w:t xml:space="preserve"> Finger Millet as a Sustainable Feedstock for Bioethanol Production — https://doi.org/10.2174/1874331502014010257</w:t>
      </w:r>
    </w:p>
    <w:p>
      <w:pPr/>
      <w:r>
        <w:rPr>
          <w:b/>
        </w:rPr>
        <w:t>Shared claim-specific concepts:</w:t>
      </w:r>
      <w:r>
        <w:t xml:space="preserve"> bioethanol; EU scope not established. This is a provisional connection, not an outcome finding.</w:t>
      </w:r>
    </w:p>
    <w:p>
      <w:pPr>
        <w:pStyle w:val="SourceNote"/>
      </w:pPr>
      <w:r>
        <w:rPr>
          <w:b/>
        </w:rPr>
        <w:t>Available abstract (not full text):</w:t>
      </w:r>
      <w:r>
        <w:t xml:space="preserve"> The current trend in volatile oil prices, global warming and environmental pollution, has encouraged major consumers worldwide to sharply increase their use of “green” fuels. Bioethanol is usually obtained from the conversion of carbon-based feedstock. Bioethanol from biomass sources is the principal fuel used as a fossil fuels’ substitute for road transport vehicles. Bioethanol is predominantly produced by the sugar fermentation process, although it can also be generated by the chemical process of reacting ethylene with steam. Finger millet (Eleusine coracana) is also known as Ragi (India), Kodo (Nepal), Uburo (Rwanda), Kurakkan (Srilanka), Bulo (Uganda), Kambale (Zambia) and Tamba (Nigeria) and can be used as an efficient source for bioethanol production. Despite all its importance, however, finger millet is still grossly undervalued both scientifically and internationally. This review observes current progress in bioethanol production from E. coracana feedstock and the effectiveness of various technological approaches for that. The main aspects of ethanol production from finger millet seeds have been considered. Seeds, which are already used for brewing, are the most obvious variant of feedstock for ethanol production from this crop. The conversion of finger millet straw and agricultural waste into bioethanol has also been reviewed. Practical results of development and testi</w:t>
      </w:r>
    </w:p>
    <w:p>
      <w:pPr/>
      <w:r>
        <w:rPr>
          <w:b/>
        </w:rPr>
        <w:t>POSSIBLE 2019:</w:t>
      </w:r>
      <w:r>
        <w:t xml:space="preserve"> The Human Cost of Anthropogenic Global Warming: Semi-Quantitative Prediction and the 1,000-Tonne Rule — https://doi.org/10.3389/fpsyg.2019.02323</w:t>
      </w:r>
    </w:p>
    <w:p>
      <w:pPr/>
      <w:r>
        <w:rPr>
          <w:b/>
        </w:rPr>
        <w:t>Shared claim-specific concepts:</w:t>
      </w:r>
      <w:r>
        <w:t xml:space="preserve"> every, tonne, predicted; EU scope not established. This is a provisional connection, not an outcome finding.</w:t>
      </w:r>
    </w:p>
    <w:p>
      <w:pPr>
        <w:pStyle w:val="SourceNote"/>
      </w:pPr>
      <w:r>
        <w:rPr>
          <w:b/>
        </w:rPr>
        <w:t>Available abstract (not full text):</w:t>
      </w:r>
      <w:r>
        <w:t xml:space="preserve"> Greenhouse-gas emissions are indirectly causing future deaths by multiple mechanisms. For example, reduced food and water supplies will exacerbate hunger, disease, violence, and migration.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uncertainty increases with temporal distance from the present and estimates may be biased.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x 10^8 and 3 x 10^9, corresponding to plus/minus one standard deviation on a logarithmic scale in a Gaussian probability distribution. It implies that one future premature death is caused every time roughly 1000 (300 to 3000) tonnes of carbon are burned. Therefore, any fossil-fuel project that burns millions of tons of carbon is probably indirectly kil</w:t>
      </w:r>
    </w:p>
    <w:p>
      <w:pPr/>
      <w:r>
        <w:rPr>
          <w:b/>
        </w:rPr>
        <w:t>POSSIBLE 2018:</w:t>
      </w:r>
      <w:r>
        <w:t xml:space="preserve"> BIOETHANOL FROM STRAW AND ITS PUBLIC ACCEPTANCE — https://doi.org/10.15544/rd.2017.009</w:t>
      </w:r>
    </w:p>
    <w:p>
      <w:pPr/>
      <w:r>
        <w:rPr>
          <w:b/>
        </w:rPr>
        <w:t>Shared claim-specific concepts:</w:t>
      </w:r>
      <w:r>
        <w:t xml:space="preserve"> bioethanol, biofuel, level; EU scope not established. This is a provisional connection, not an outcome finding.</w:t>
      </w:r>
    </w:p>
    <w:p>
      <w:pPr>
        <w:pStyle w:val="SourceNote"/>
      </w:pPr>
      <w:r>
        <w:rPr>
          <w:b/>
        </w:rPr>
        <w:t>Available abstract (not full text):</w:t>
      </w:r>
      <w:r>
        <w:t xml:space="preserve"> The consequences of global warming and the need for a reduction in greenhouse gases have led to dramatic changes in the automotive sector. Whereas the use of biofuel increased continuously over the first decade of this century, e-mobility has been deemed.by politicians and the media alike. As the development of the electric car, rechargeable batteries and charging stations are far from being fully explored, biofuels will play an important role as a bridging technology over the next 20 years. The successful use of biofuels requires its widespread acceptance by consumers. To evaluate the public opinion towards biofuels we carried out a representative opinion poll to collect information on the population’s acceptance of biofuels. The result indicates that there is a lack of interest and information about biofuels, especially among young people and women. First generation bioethanol is strongly associated with the waste of food, but the acceptance of the second generation, produced from agricultural remnants like straw from wheat or corn, is considerably higher. The interviewees see more transparent, objective and less technical information about biofuels as an essential way to increase the level of information and the acceptance rate. In summary, the introduction of biofuels must be accompanied by information campaigns if biofuels should ever reach larger market shares. The irrita</w:t>
      </w:r>
    </w:p>
    <w:p>
      <w:pPr/>
      <w:r>
        <w:rPr>
          <w:b/>
        </w:rPr>
        <w:t>POSSIBLE 2018:</w:t>
      </w:r>
      <w:r>
        <w:t xml:space="preserve"> Utilization of damaged and spoiled wheat grains for bioethanol production — https://doi.org/10.21786/bbrc/11.4/17</w:t>
      </w:r>
    </w:p>
    <w:p>
      <w:pPr/>
      <w:r>
        <w:rPr>
          <w:b/>
        </w:rPr>
        <w:t>Shared claim-specific concepts:</w:t>
      </w:r>
      <w:r>
        <w:t xml:space="preserve"> bioethanol, recently, potential; EU scope not established. This is a provisional connection, not an outcome finding.</w:t>
      </w:r>
    </w:p>
    <w:p>
      <w:pPr>
        <w:pStyle w:val="SourceNote"/>
      </w:pPr>
      <w:r>
        <w:rPr>
          <w:b/>
        </w:rPr>
        <w:t>Available abstract (not full text):</w:t>
      </w:r>
      <w:r>
        <w:t xml:space="preserve"> First generation ethanol from starchy crops particularly maize is an established technology that being a renewable and bio-based resource has advantages over gasoline.The second generation ethanol from lignocellulosics owing to its economic considerations is still at pilot scale and is yet to see commercialization.This has increased the demand of starchy feed-stocks for energy.The recently released National Policy on Biofuels in May, 2018 categorically also emphasizes on the potential of different raw materials for ethanol production by consenting the utilization of damaged food grains like wheat, broken rice etc. that area otherwise unfi t for human consumption.As far as wheat is concerned, The Comptroller and Auditor General (CAG), India (2017) reported that Food Corporation of India's (FCI) wheat stock worth 700 crores was damaged solely in Punjab from 2011 to 2016 as the grain was kept in open areas attributed to the lack in storage facility.Development of effi cient technology to pretreat and convert damaged starch into fermentable sugars and optimization of enzymatic hydrolysis using commercial as well as indigenous enzyme preparation are the key points for the effi cient bioethanol production from damaged wheat.Further, the synergistic action of alpha and glucoamylase in the hydrolysis of wheat mash have been tried that has revealed 96.25% conversion effi ciency with an </w:t>
      </w:r>
    </w:p>
    <w:p>
      <w:pPr>
        <w:pStyle w:val="Heading2"/>
      </w:pPr>
      <w:r>
        <w:t>923. Modelling sustainable energy futures for the UK</w:t>
      </w:r>
    </w:p>
    <w:p>
      <w:pPr>
        <w:pStyle w:val="SourceNote"/>
      </w:pPr>
      <w:r>
        <w:rPr>
          <w:b/>
        </w:rPr>
        <w:t>Original source (2014):</w:t>
      </w:r>
      <w:r>
        <w:t xml:space="preserve"> https://doi.org/10.1016/j.futures.2014.01.005</w:t>
      </w:r>
    </w:p>
    <w:p>
      <w:pPr/>
      <w:r>
        <w:t>Original wording (abstract; indexed_source_text_not_full_document_verified): As a result of signing the Kyoto Agreement the UK will need to reduce carbon emissions to 20% of their 1990 value by 2050. The model allows us to explore different possible pathways to 2050 and the difficulty of the overall endeavour.</w:t>
      </w:r>
    </w:p>
    <w:p>
      <w:pPr/>
      <w:r>
        <w:rPr>
          <w:b/>
        </w:rPr>
        <w:t>POSSIBLE 2025:</w:t>
      </w:r>
      <w:r>
        <w:t xml:space="preserve"> Reducing the sign problem with line integrals — https://doi.org/10.1007/jhep02(2025)041</w:t>
      </w:r>
    </w:p>
    <w:p>
      <w:pPr/>
      <w:r>
        <w:rPr>
          <w:b/>
        </w:rPr>
        <w:t>Shared claim-specific concepts:</w:t>
      </w:r>
      <w:r>
        <w:t xml:space="preserve"> result, reduce, possible; EU scope not established. This is a provisional connection, not an outcome finding.</w:t>
      </w:r>
    </w:p>
    <w:p>
      <w:pPr>
        <w:pStyle w:val="SourceNote"/>
      </w:pPr>
      <w:r>
        <w:rPr>
          <w:b/>
        </w:rPr>
        <w:t>Available abstract (not full text):</w:t>
      </w:r>
      <w:r>
        <w:t xml:space="preserve"> A bstract We present a novel strategy to strongly reduce the severity of the sign problem, using line integrals along paths of changing imaginary action. Highly oscillating regions along these paths cancel out, decreasing their contributions. As a result, sampling with standard Monte-Carlo techniques becomes possible in cases that otherwise require methods taking advantage of complex analysis, such as Lefschetz-thimbles or Complex Langevin. We lay out how to write down an ordinary differential equation for the line integrals. As an example of its usage, we apply the results to a 1d quantum mechanical anharmonic oscillator with a x 4 potential in real time, finite temperature.</w:t>
      </w:r>
    </w:p>
    <w:p>
      <w:pPr/>
      <w:r>
        <w:rPr>
          <w:b/>
        </w:rPr>
        <w:t>POSSIBLE 2025:</w:t>
      </w:r>
      <w:r>
        <w:t xml:space="preserve"> A Call to Action to Reduce the Need for a Medical Evaluation Prior to Exercise — https://doi.org/10.1249/jsr.0000000000001245</w:t>
      </w:r>
    </w:p>
    <w:p>
      <w:pPr/>
      <w:r>
        <w:rPr>
          <w:b/>
        </w:rPr>
        <w:t>Shared claim-specific concepts:</w:t>
      </w:r>
      <w:r>
        <w:t xml:space="preserve"> result, need, reduce; EU scope not established. This is a provisional connection, not an outcome finding.</w:t>
      </w:r>
    </w:p>
    <w:p>
      <w:pPr>
        <w:pStyle w:val="SourceNote"/>
      </w:pPr>
      <w:r>
        <w:rPr>
          <w:b/>
        </w:rPr>
        <w:t>Available abstract (not full text):</w:t>
      </w:r>
      <w:r>
        <w:t xml:space="preserve"> The purpose of the American College of Sports Medicine's (ACSM) exercise preparticipation health screening recommendations is to identify individuals who may be at elevated risk for an exercise-related sudden cardiovascular event (1,2). The present ACSM recommendations were revamped in 2015 to reduce unnecessary barriers to adopting and maintaining a regular exercise program and/or a physically active lifestyle and reinforce the public health message that regular physical activity (PA) is important for all. The rationale for doing so was due to growing evidence: exercise is safe, PA has many health benefits; exercise-related cardiovascular events are rare and often preceded by warning signs and symptoms, and the cardiovascular risks associated with exercise wane as individuals become more physically active and/or fit (1). The ACSM recommendations consider three factors when determining if there is a need for medical clearance prior to exercise: 1) the individual's current PA level, 2) presence of signs or symptoms and/or known cardiovascular, metabolic, or renal disease, and 3) exercise intensity (see Supplemental Digital Content, Figure, https://links.lww.com/CSMR/A159) (1,2). For regularly physically active individuals: who are asymptomatic without known cardiovascular, metabolic (i.e., diabetes mellitus, DM), or renal disease, they may continue their usual exercise program a</w:t>
      </w:r>
    </w:p>
    <w:p>
      <w:pPr/>
      <w:r>
        <w:rPr>
          <w:b/>
        </w:rPr>
        <w:t>POSSIBLE 2024:</w:t>
      </w:r>
      <w:r>
        <w:t xml:space="preserve"> Construction and Evaluation of a Dynamic Sign Dataset for the Colombian Sign Language — https://doi.org/10.1109/la-cci62337.2024.10814896</w:t>
      </w:r>
    </w:p>
    <w:p>
      <w:pPr/>
      <w:r>
        <w:rPr>
          <w:b/>
        </w:rPr>
        <w:t>Shared claim-specific concepts:</w:t>
      </w:r>
      <w:r>
        <w:t xml:space="preserve"> need, reduce, allows, different; EU scope not established. This is a provisional connection, not an outcome finding.</w:t>
      </w:r>
    </w:p>
    <w:p>
      <w:pPr>
        <w:pStyle w:val="SourceNote"/>
      </w:pPr>
      <w:r>
        <w:rPr>
          <w:b/>
        </w:rPr>
        <w:t>Available abstract (not full text):</w:t>
      </w:r>
      <w:r>
        <w:t xml:space="preserve"> Nowadays the amount of people that is involved in some degree of hearing loss is increasing, and sign languages are useful as a rehabilitation method when there is a complete loss of hearing. However, countries like Colombia where there is not enough infrastructure and interpreters, the teaching of a sign language is affected. On the other hand, start with the learning of basic vocabulary of a sign language is a key factor for building the ability of making sentences. The first signs that are usually learned are: alphabet, colors, numbers, family members, pronouns, and greetings. This is where Computer Vision have brought tools for the translation of various signs. This allows to the development of solutions that reduce the frequent need of interpreters when learning basic vocabulary. This work proposes the creation of a word-based dataset for the signs of colors in the Colombian Sign Language. It was evaluated with three different Neural Network architectures: 1) LSTM, 2) GRU and 3) Conv_2D. Where the input for the network were the landmark coordinates extracted with MediaPipe. On the other hand, the Neural Network was evaluated with a dataset split of 80 % for training and 20 % for testing. Finally, it was seen a higher performance for the architecture based on LSTM, having a precision on detection of 92.6 %. The results, show the importance of Machine Learning tools that con</w:t>
      </w:r>
    </w:p>
    <w:p>
      <w:pPr/>
      <w:r>
        <w:rPr>
          <w:b/>
        </w:rPr>
        <w:t>POSSIBLE 2024:</w:t>
      </w:r>
      <w:r>
        <w:t xml:space="preserve"> A Criticism of the Kyoto Protocol with an Objective Approach — https://doi.org/10.28979/jarnas.1452226</w:t>
      </w:r>
    </w:p>
    <w:p>
      <w:pPr/>
      <w:r>
        <w:rPr>
          <w:b/>
        </w:rPr>
        <w:t>Shared claim-specific concepts:</w:t>
      </w:r>
      <w:r>
        <w:t xml:space="preserve"> kyoto, reduce, emissions; EU scope not established. This is a provisional connection, not an outcome finding.</w:t>
      </w:r>
    </w:p>
    <w:p>
      <w:pPr>
        <w:pStyle w:val="SourceNote"/>
      </w:pPr>
      <w:r>
        <w:rPr>
          <w:b/>
        </w:rPr>
        <w:t>Available abstract (not full text):</w:t>
      </w:r>
      <w:r>
        <w:t xml:space="preserve"> The Kyoto Protocol, established to reduce greenhouse gas emissions, one of the human-induced causes of climate change, imposes obligations on developed countries. In this study: 1) what obligations the articles of the Kyoto Protocol impose on the countries that are party to the protocol, 2) whether the articles of the protocol are impartial, equal, and fair in their obligations to the contracting countries and their binding, 3) how the economic support of developed countries to reduce emissions to developing countries can be evaluated in the context of the principle of equality/justice, 4) it has been discussed whether the non-bindingness of the countries those are not party to the protocol. Considering all protocol items, the discussion was made from a critical but constructive point of view. It can be said that the obligations arising from the Kyoto Protocol bring disadvantages for some countries compared to others.</w:t>
      </w:r>
    </w:p>
    <w:p>
      <w:pPr/>
      <w:r>
        <w:rPr>
          <w:b/>
        </w:rPr>
        <w:t>POSSIBLE 2023:</w:t>
      </w:r>
      <w:r>
        <w:t xml:space="preserve"> A Comprehensive Analysis of Kyoto Protocol — https://openalex.org/W7216616326</w:t>
      </w:r>
    </w:p>
    <w:p>
      <w:pPr/>
      <w:r>
        <w:rPr>
          <w:b/>
        </w:rPr>
        <w:t>Shared claim-specific concepts:</w:t>
      </w:r>
      <w:r>
        <w:t xml:space="preserve"> kyoto, reduce, emissions; EU scope visible. This is a provisional connection, not an outcome finding.</w:t>
      </w:r>
    </w:p>
    <w:p>
      <w:pPr>
        <w:pStyle w:val="SourceNote"/>
      </w:pPr>
      <w:r>
        <w:rPr>
          <w:b/>
        </w:rPr>
        <w:t>Available abstract (not full text):</w:t>
      </w:r>
      <w:r>
        <w:t xml:space="preserve"> “We think that the Kyoto Protocol is a necessary document, necessary process. I am convinced that we will agree to disagree about substance” - Goran Persson (Former Prime Minister of Sweden) The Kyoto Protocol was established on December 11th, 1997. Due to a complicated ratification procedure, it went into effect on February 16, 2005. The Kyoto Protocol makes the United Nations Framework Convention on Climate Change operative by obligating industrialised nations and economies in transition to limit and decrease greenhouse gas (GHG) emissions according to the specified objectives. The Convention itself only requires these nations to implement mitigation policies and actions and to submit periodic reports of their progress. It exclusively binds industrialised nations and lays a higher burden on them in accordance with the notion of "common but differentiated responsibility and distinct capacities," recognising that they are primarily responsible for the present high levels of GHG emissions in the atmosphere. Under Annex B of the Kyoto Protocol, 37 industrialised nations, economies in transition, and the European Union are obligated to reduce their emissions.</w:t>
      </w:r>
    </w:p>
    <w:p>
      <w:pPr/>
      <w:r>
        <w:rPr>
          <w:b/>
        </w:rPr>
        <w:t>POSSIBLE 2022:</w:t>
      </w:r>
      <w:r>
        <w:t xml:space="preserve"> Pledge-and-Review Bargaining: from Kyoto to Paris — https://doi.org/10.1093/ej/ueac076</w:t>
      </w:r>
    </w:p>
    <w:p>
      <w:pPr/>
      <w:r>
        <w:rPr>
          <w:b/>
        </w:rPr>
        <w:t>Shared claim-specific concepts:</w:t>
      </w:r>
      <w:r>
        <w:t xml:space="preserve"> kyoto, agreement; EU scope not established. This is a provisional connection, not an outcome finding.</w:t>
      </w:r>
    </w:p>
    <w:p>
      <w:pPr>
        <w:pStyle w:val="SourceNote"/>
      </w:pPr>
      <w:r>
        <w:rPr>
          <w:b/>
        </w:rPr>
        <w:t>Available abstract (not full text):</w:t>
      </w:r>
      <w:r>
        <w:t xml:space="preserve"> Abstract A tractable dynamic model of international climate policies is analysed. The choice of bargaining game influences participation levels, emission quotas and technology investment levels. I derive several predictions that are arguably consistent with the differences between the 1997 Kyoto Protocol and the 2015 Paris Agreement—including the transitioning from the former to the latter.</w:t>
      </w:r>
    </w:p>
    <w:p>
      <w:pPr/>
      <w:r>
        <w:rPr>
          <w:b/>
        </w:rPr>
        <w:t>POSSIBLE 2022:</w:t>
      </w:r>
      <w:r>
        <w:t xml:space="preserve"> The Wistar Kyoto Rat: A Model of Depression Traits — https://doi.org/10.2174/1570159x21666221129120902</w:t>
      </w:r>
    </w:p>
    <w:p>
      <w:pPr/>
      <w:r>
        <w:rPr>
          <w:b/>
        </w:rPr>
        <w:t>Shared claim-specific concepts:</w:t>
      </w:r>
      <w:r>
        <w:t xml:space="preserve"> kyoto, value; EU scope not established. This is a provisional connection, not an outcome finding.</w:t>
      </w:r>
    </w:p>
    <w:p>
      <w:pPr>
        <w:pStyle w:val="SourceNote"/>
      </w:pPr>
      <w:r>
        <w:rPr>
          <w:b/>
        </w:rPr>
        <w:t>Available abstract (not full text):</w:t>
      </w:r>
      <w:r>
        <w:t xml:space="preserve"> There is an ongoing debate about the value of animal research in psychiatry with valid lines of reasoning stating the limits of individual animal models compared to human psychiatric illnesses. Human depression is not a homogenous disorder; therefore, one cannot expect a single animal model to reflect depression heterogeneity. This limited review presents arguments that the Wistar Kyoto (WKY) rats show intrinsic depression traits. The phenotypes of WKY do not completely mirror those of human depression but clearly indicate characteristics that are common with it. WKYs present despair- like behavior, passive coping with stress, comorbid anxiety, and enhanced drug use compared to other routinely used inbred or outbred strains of rats. The commonly used tests identifying these phenotypes reflect exploratory, escape-oriented, and withdrawal-like behaviors. The WKYs consistently choose withdrawal or avoidance in novel environments and freezing behaviors in response to a challenge in these tests. The physiological response to a stressful environment is exaggerated in WKYs. Selective breeding generated two WKY substrains that are nearly isogenic but show clear behavioral differences, including that of depression-like behavior. WKY and its substrains may share characteristics of subgroups of depressed individuals with social withdrawal, low energy, weight loss, sleep disturbances, and </w:t>
      </w:r>
    </w:p>
    <w:p>
      <w:pPr/>
      <w:r>
        <w:rPr>
          <w:b/>
        </w:rPr>
        <w:t>POSSIBLE 2021:</w:t>
      </w:r>
      <w:r>
        <w:t xml:space="preserve"> Reduced Sign Representations for Characteristic Points Selection in Images — https://doi.org/10.1134/s1054661821030147</w:t>
      </w:r>
    </w:p>
    <w:p>
      <w:pPr/>
      <w:r>
        <w:rPr>
          <w:b/>
        </w:rPr>
        <w:t>Shared claim-specific concepts:</w:t>
      </w:r>
      <w:r>
        <w:t xml:space="preserve"> need, possible; EU scope not established. This is a provisional connection, not an outcome finding.</w:t>
      </w:r>
    </w:p>
    <w:p>
      <w:pPr>
        <w:pStyle w:val="SourceNote"/>
      </w:pPr>
      <w:r>
        <w:rPr>
          <w:b/>
        </w:rPr>
        <w:t>Available abstract (not full text):</w:t>
      </w:r>
      <w:r>
        <w:t xml:space="preserve"> Abstract The aim of this study is to develop a method for detecting the characteristic points in a digital image that is stable under a certain class of brightness transformations. The need for such a method is due to the need to identify key points of images in video surveillance and face recognition systems, which often work in conditions of variations in illumination. A feature of the proposed method, which distinguishes it from a number of well-known approaches to the problem of identifying characteristic points, is the use of the so-called reduced sign representation of images. In contrast to the usual representation of a digital image by its discrete function of brightness, it represents the image by a directed acyclic graph corresponding to the binary relation of increasing brightness over the set of pixels. Thus, the sign representation defines a set of images, the brightness functions of which are connected by strictly monotonic transformations. It is this property of the sign representation that makes it efficient for achievement the aim mentioned above. The next feature of the method under consideration is its approach to the interpretation of the characteristic points of the image. Note that in the modern theory of image processing this concept is not rigorously defined; we can say that the characteristic point is distinguished by the increased complexity of the str</w:t>
      </w:r>
    </w:p>
    <w:p>
      <w:pPr/>
      <w:r>
        <w:rPr>
          <w:b/>
        </w:rPr>
        <w:t>POSSIBLE 2021:</w:t>
      </w:r>
      <w:r>
        <w:t xml:space="preserve"> Automatic Annotation and Segmentation of Sign Language Videos: Base-level Features and Lexical Signs Classification — https://doi.org/10.5220/0010247104840491</w:t>
      </w:r>
    </w:p>
    <w:p>
      <w:pPr/>
      <w:r>
        <w:rPr>
          <w:b/>
        </w:rPr>
        <w:t>Shared claim-specific concepts:</w:t>
      </w:r>
      <w:r>
        <w:t xml:space="preserve"> reduce, different; EU scope not established. This is a provisional connection, not an outcome finding.</w:t>
      </w:r>
    </w:p>
    <w:p>
      <w:pPr>
        <w:pStyle w:val="SourceNote"/>
      </w:pPr>
      <w:r>
        <w:rPr>
          <w:b/>
        </w:rPr>
        <w:t>Available abstract (not full text):</w:t>
      </w:r>
      <w:r>
        <w:t xml:space="preserve"> The automatic recognition of Sign Languages is the main focus of most of the works in the field, which explains the progressing demand on the annotated data to train the dedicated models. In this paper, we present a semi automatic annotation system for Sign Languages. Such automation will not only help to create training data but it will reduce as well the processing time and the subjectivity of manual annotations done by linguists in order to study the sign language. The system analyses hand shapes, hands speed variations, and face landmarks to annotate base level features and to separate the different signs. In a second stage, signs are classified into two types, whether they are lexical (i.e. present in a dictionary) or iconic (illustrative), using a probabilistic model. The results show that our system is partially capable of annotating automatically the video sequence with a F1 score = 0.68 for lexical sign annotation and an error of 3.8 frames for sign segmentation. An expert validation of the annotations is still needed.</w:t>
      </w:r>
    </w:p>
    <w:p>
      <w:pPr/>
      <w:r>
        <w:rPr>
          <w:b/>
        </w:rPr>
        <w:t>POSSIBLE 2021:</w:t>
      </w:r>
      <w:r>
        <w:t xml:space="preserve"> From Kyoto to Glasgow: is Japan a climate leader? — https://doi.org/10.1080/09512748.2021.2008475</w:t>
      </w:r>
    </w:p>
    <w:p>
      <w:pPr/>
      <w:r>
        <w:rPr>
          <w:b/>
        </w:rPr>
        <w:t>Shared claim-specific concepts:</w:t>
      </w:r>
      <w:r>
        <w:t xml:space="preserve"> kyoto, carbon, emissions, different; EU scope not established. This is a provisional connection, not an outcome finding.</w:t>
      </w:r>
    </w:p>
    <w:p>
      <w:pPr>
        <w:pStyle w:val="SourceNote"/>
      </w:pPr>
      <w:r>
        <w:rPr>
          <w:b/>
        </w:rPr>
        <w:t>Available abstract (not full text):</w:t>
      </w:r>
      <w:r>
        <w:t xml:space="preserve"> The term ‘climate leadership’ became popular in the 1990s, in relation to international negotiations aimed at reducing greenhouse gas emissions and other environmental mitigations. Since that time, international attention – borne out by scientific study and a rapidly changing planetary climate - has shifted from global warming, the ozone layer and greenhouse gas emissions, to energy production, scientific innovation, and, by the 2020s, a strong focus on decarbonisation and securing net zero carbon output by the middle of the century. One important strand of negotiation has been the annual Conferences of the Parties (COP) to the United Nations Framework Convention on Climate Change (UNFCCC), which have witnessed different states playing lead roles at different times. By interrogating the main academic debates about climate leadership, this article examines Japan’s participation in the COP process along a structural-normative axis. In so doing, it charts the path from Japan’s apparent success at Kyoto in 1997 and its growing green reputation, to its subsequent ‘fall from green’ in later years and in the wake of COP26 in 2021.</w:t>
      </w:r>
    </w:p>
    <w:p>
      <w:pPr/>
      <w:r>
        <w:rPr>
          <w:b/>
        </w:rPr>
        <w:t>POSSIBLE 2020:</w:t>
      </w:r>
      <w:r>
        <w:t xml:space="preserve"> Environmental and economic effectiveness of the Kyoto Protocol — https://doi.org/10.1371/journal.pone.0236299</w:t>
      </w:r>
    </w:p>
    <w:p>
      <w:pPr/>
      <w:r>
        <w:rPr>
          <w:b/>
        </w:rPr>
        <w:t>Shared claim-specific concepts:</w:t>
      </w:r>
      <w:r>
        <w:t xml:space="preserve"> kyoto, carbon, emissions; EU scope not established. This is a provisional connection, not an outcome finding.</w:t>
      </w:r>
    </w:p>
    <w:p>
      <w:pPr>
        <w:pStyle w:val="SourceNote"/>
      </w:pPr>
      <w:r>
        <w:rPr>
          <w:b/>
        </w:rPr>
        <w:t>Available abstract (not full text):</w:t>
      </w:r>
      <w:r>
        <w:t xml:space="preserve"> This study investigates the environmental and economic impacts of the Kyoto Protocol on Annex I parties through an impact assessment by combining the propensity score matching and the difference-in-difference methods. We establish a country-level panel data set including CO2 emissions, gross domestic product (GDP), and other socioeconomic data for 1997-2008 and 2005-2008. Based on the impact evaluation, we conduct the simulation predicting the impacts of the Protocol to capture the differences of marginal damage cost of carbon emissions between the actual and counterfactual situations. The results suggest that participating as an Annex I party has a significant positive impact on CO2 emission reductions, but a negative impact on the GDP of the participants in the long run. The predicted marginal benefit of the Protocol based on the marginal damage cost of carbon emissions shows that the marginal benefit of emission reductions mitigates a limited portion of the GDP loss. Future global climate change frameworks should focus on balancing the impact on economic and environmental performance in order to ensure sustainable development, especially for developing countries that have low capacity to mitigate emissions.</w:t>
      </w:r>
    </w:p>
    <w:p>
      <w:pPr/>
      <w:r>
        <w:rPr>
          <w:b/>
        </w:rPr>
        <w:t>POSSIBLE 2020:</w:t>
      </w:r>
      <w:r>
        <w:t xml:space="preserve"> Accounting by companies for the Kyoto Protocol in the EU — https://doi.org/10.1504/ijaf.2020.111224</w:t>
      </w:r>
    </w:p>
    <w:p>
      <w:pPr/>
      <w:r>
        <w:rPr>
          <w:b/>
        </w:rPr>
        <w:t>Shared claim-specific concepts:</w:t>
      </w:r>
      <w:r>
        <w:t xml:space="preserve"> kyoto, reduce, carbon, emissions; EU scope visible. This is a provisional connection, not an outcome finding.</w:t>
      </w:r>
    </w:p>
    <w:p>
      <w:pPr>
        <w:pStyle w:val="SourceNote"/>
      </w:pPr>
      <w:r>
        <w:rPr>
          <w:b/>
        </w:rPr>
        <w:t>Available abstract (not full text):</w:t>
      </w:r>
      <w:r>
        <w:t xml:space="preserve"> In attempting to achieve the goals of the Kyoto Protocol, the European Union agreed to reduce member countries' greenhouse gas emissions to 92% of their 1990 levels by the end of 2012.We assess here the carbon emissions for companies from those countries that were among the largest emitters of carbon in the EU.This evaluation includes emissions in 2008 and 2012 together with disclosures regarding environmental performance that these companies made in the two years.Upon analysing 141 companies from seven of the EU countries, we found that the firms that emitted the most carbon effluents in their home country and that voluntarily disclosed the greatest amount about their carbon emissions also were the ones that provided the most extensive disclosures concerning company environmental performance.These results appear to support legitimacy concepts as the basis for which voluntary reporting will be generated.</w:t>
      </w:r>
    </w:p>
    <w:p>
      <w:pPr>
        <w:pStyle w:val="Heading2"/>
      </w:pPr>
      <w:r>
        <w:t>924. More green infrastructure is required to maintain ecosystem services under current trends in land-use change in Europe</w:t>
      </w:r>
    </w:p>
    <w:p>
      <w:pPr>
        <w:pStyle w:val="SourceNote"/>
      </w:pPr>
      <w:r>
        <w:rPr>
          <w:b/>
        </w:rPr>
        <w:t>Original source (2014):</w:t>
      </w:r>
      <w:r>
        <w:t xml:space="preserve"> https://doi.org/10.1007/s10980-014-0083-2</w:t>
      </w:r>
    </w:p>
    <w:p>
      <w:pPr/>
      <w:r>
        <w:t>Original wording (abstract; indexed_source_text_not_full_document_verified): This scenario is established by the European Commission to assess the impact of energy and climate policy up to 2050. TESI8 is expected to decrease across Europe between 0 and 5 % by 2020 and between 10 and 15 % by 2050 relative to the base year 2010.</w:t>
      </w:r>
    </w:p>
    <w:p>
      <w:pPr/>
      <w:r>
        <w:rPr>
          <w:b/>
        </w:rPr>
        <w:t>POSSIBLE 2026:</w:t>
      </w:r>
      <w:r>
        <w:t xml:space="preserve"> European Citizens Panels: Assessing their Legitimacy and Meaning for the European Commission — https://openalex.org/W7222989255</w:t>
      </w:r>
    </w:p>
    <w:p>
      <w:pPr/>
      <w:r>
        <w:rPr>
          <w:b/>
        </w:rPr>
        <w:t>Shared claim-specific concepts:</w:t>
      </w:r>
      <w:r>
        <w:t xml:space="preserve"> established, commission, across; EU scope visible. This is a provisional connection, not an outcome finding.</w:t>
      </w:r>
    </w:p>
    <w:p>
      <w:pPr>
        <w:pStyle w:val="SourceNote"/>
      </w:pPr>
      <w:r>
        <w:rPr>
          <w:b/>
        </w:rPr>
        <w:t>Available abstract (not full text):</w:t>
      </w:r>
      <w:r>
        <w:t xml:space="preserve"> The European Commission has been institutionalising models of deliberative democracy since the conclusion of the Conference on the Future of Europe, trying to address its democratic deficit. Despite recent developments in the field of deliberative democracy at the European level, the democratic legitimacy of European Citizens' Panels (ECPs) is hitherto lacking a comprehensive assessment. This research examines the extent to which ECPs fulfil a democratic legitimacy mandate through the well- established input-throughput-output theoretical framework. An uneven achievement of democratic legitimacy is observed across the three criteria, suggesting that ECPs fall short of fully meeting their democratic mandate. Nevertheless, it is argued that the observed positive outcomes contribute to legitimising deliberation itself. The causes of this manifested uneven distribution of legitimacy are traced to the risk-averse and technocratic nature of the Commission, as well as its decision to outsource the design and facilitation of deliberation. Consequently, ECPs are believed to be a direct result of these dynamics and are conceptualised under the novel label of 'strategically sincere' policy instruments.</w:t>
      </w:r>
    </w:p>
    <w:p>
      <w:pPr/>
      <w:r>
        <w:rPr>
          <w:b/>
        </w:rPr>
        <w:t>POSSIBLE 2025:</w:t>
      </w:r>
      <w:r>
        <w:t xml:space="preserve"> Climate and Energy Policies of Key European Member States: The cases of France, Italy and Germany — https://openalex.org/W7204333938</w:t>
      </w:r>
    </w:p>
    <w:p>
      <w:pPr/>
      <w:r>
        <w:rPr>
          <w:b/>
        </w:rPr>
        <w:t>Shared claim-specific concepts:</w:t>
      </w:r>
      <w:r>
        <w:t xml:space="preserve"> established, commission, energy, climate, between; EU scope visible. This is a provisional connection, not an outcome finding.</w:t>
      </w:r>
    </w:p>
    <w:p>
      <w:pPr>
        <w:pStyle w:val="SourceNote"/>
      </w:pPr>
      <w:r>
        <w:rPr>
          <w:b/>
        </w:rPr>
        <w:t>Available abstract (not full text):</w:t>
      </w:r>
      <w:r>
        <w:t xml:space="preserve"> The new European Commission has set itself the goal of integrating the European energy markets more closely to increase the security of supply in the EU. Further building blocks for a secure supply are the use of renewable energies and an increase in energy efficiency in the member states. However, this approach has to align with the different national energy systems, which have developed and become established nationally over time. The present analysis reviews the structure of energy supply, as well as the strategies and objectives for expanding renewable energies and reducing energy consumption, using the three biggest EU economies France, Germany and Italy as examples. It shows that there are numerous starting points for a deepened cooperation between the EU member states through the harmonisation of EU energy policy and a common approach to achieving energy and climate targets.</w:t>
      </w:r>
    </w:p>
    <w:p>
      <w:pPr/>
      <w:r>
        <w:rPr>
          <w:b/>
        </w:rPr>
        <w:t>POSSIBLE 2025:</w:t>
      </w:r>
      <w:r>
        <w:t xml:space="preserve"> Assessment of New Climate And Energy Targets for the Baltic States — https://doi.org/10.5709/ce.1897-9254.563</w:t>
      </w:r>
    </w:p>
    <w:p>
      <w:pPr/>
      <w:r>
        <w:rPr>
          <w:b/>
        </w:rPr>
        <w:t>Shared claim-specific concepts:</w:t>
      </w:r>
      <w:r>
        <w:t xml:space="preserve"> established, commission, assess, energy, climate, decrease; EU scope visible. This is a provisional connection, not an outcome finding.</w:t>
      </w:r>
    </w:p>
    <w:p>
      <w:pPr>
        <w:pStyle w:val="SourceNote"/>
      </w:pPr>
      <w:r>
        <w:rPr>
          <w:b/>
        </w:rPr>
        <w:t>Available abstract (not full text):</w:t>
      </w:r>
      <w:r>
        <w:t xml:space="preserve"> The European Union is the global forerunner in climate change mitigation policies. The new climate change mitigation targets were set for the European Union (EU) countries following the Energy and climate package targets established for renewable energy sources, energy efficiency improvements, and greenhouse gas (GHG) emission reductions. The European Commission (EC) has revised targets for 2030 several times, following the increased stringency of climate change mitigation commitments. The EU adopted the Climate Law, setting a legally binding goal to achieve a climate-neutral EU society by 2050. The EC agreed on an interim goal of a net 55% GHG emission decrease by 2030 and developed a Fit for 55 package, bringing EU regulations in line with the 2030 goal. The paper aims to analyze new EU climate change mitigation targets and to assess and compare the situation and advancements achieved by the Baltic States. The new targets for renewable energy sources, energy efficiency, and GHG emission decrease for the Baltic States were analyzed, and progress achieved was evaluated on the basis of data provided in the National Energy and Climate Plans (NECPs) submitted to the EC.</w:t>
      </w:r>
    </w:p>
    <w:p>
      <w:pPr/>
      <w:r>
        <w:rPr>
          <w:b/>
        </w:rPr>
        <w:t>POSSIBLE 2025:</w:t>
      </w:r>
      <w:r>
        <w:t xml:space="preserve"> EUROPEAN PRACTICE OF ASSESSING SOCIAL PROTECTION IN THE CONDITIONS OF A RESILIENT ECONOMY — https://doi.org/10.62204/2336-498x-2025-1-6</w:t>
      </w:r>
    </w:p>
    <w:p>
      <w:pPr/>
      <w:r>
        <w:rPr>
          <w:b/>
        </w:rPr>
        <w:t>Shared claim-specific concepts:</w:t>
      </w:r>
      <w:r>
        <w:t xml:space="preserve"> established, commission; EU scope visible. This is a provisional connection, not an outcome finding.</w:t>
      </w:r>
    </w:p>
    <w:p>
      <w:pPr>
        <w:pStyle w:val="SourceNote"/>
      </w:pPr>
      <w:r>
        <w:rPr>
          <w:b/>
        </w:rPr>
        <w:t>Available abstract (not full text):</w:t>
      </w:r>
      <w:r>
        <w:t xml:space="preserve"> Analysis of approaches, indicators and criteria for determining the impact of Social services on the Global economy socialization revealed the need to improve existing methodological approaches with the need to shift emphasis to assessing the economic component and effects of the Social services provision both at the level of the Global economy and national economic systems. The study of methodological approaches to assessing Social protection of the population in Ukraine revealed a number of challenges both in the national methodology, established by law, and in alternative methods developed with the assistance of international and foreign institutions, in particular the European Commission. Ukraine needs to improve methodological approaches to the assessment of Social services, where special attention should be paid to establishing their impact on the socialization and resilience of global and National economies.</w:t>
      </w:r>
    </w:p>
    <w:p>
      <w:pPr/>
      <w:r>
        <w:rPr>
          <w:b/>
        </w:rPr>
        <w:t>POSSIBLE 2024:</w:t>
      </w:r>
      <w:r>
        <w:t xml:space="preserve"> Health impacts methodology in the European Commission — https://doi.org/10.1093/eurpub/ckae144.120</w:t>
      </w:r>
    </w:p>
    <w:p>
      <w:pPr/>
      <w:r>
        <w:rPr>
          <w:b/>
        </w:rPr>
        <w:t>Shared claim-specific concepts:</w:t>
      </w:r>
      <w:r>
        <w:t xml:space="preserve"> commission, across, between; EU scope visible. This is a provisional connection, not an outcome finding.</w:t>
      </w:r>
    </w:p>
    <w:p>
      <w:pPr>
        <w:pStyle w:val="SourceNote"/>
      </w:pPr>
      <w:r>
        <w:rPr>
          <w:b/>
        </w:rPr>
        <w:t>Available abstract (not full text):</w:t>
      </w:r>
      <w:r>
        <w:t xml:space="preserve"> Abstract The state of play in the implementation of health impacts methodology within European Commission impact assessments reveals both advancements and challenges. The Commission has acknowledged the significance of assessing health impacts and has provided a generic methodological description, as outlined in Tool #32 of the Better Regulation guidelines. However, translating this guidance into practical application encounters obstacles stemming from challenges intrinsic to the policy in question, a lack of skills and knowledge, data gaps, and complexities in establishing causal links. In EU policymaking, health impacts are consistently appraised in relevant Impact Assessments across various policy areas, but the methodological intricacy varies. In the fields of public health, occupational safety, and environmental protection, econometric modelling is often employed to quantify potential health impacts rigorously. This involves sophisticated analytical tools designed to capture the complexity of the interactions. Conversely, in areas where the link between policies and health outcomes is less direct (e.g. food safety) or where data limitations pose challenges, a more qualitative appraisal is applied. This acknowledges the limitations in precisely quantifying health impacts and focuses on providing a nuanced understanding of potential health effects based on available informat</w:t>
      </w:r>
    </w:p>
    <w:p>
      <w:pPr/>
      <w:r>
        <w:rPr>
          <w:b/>
        </w:rPr>
        <w:t>POSSIBLE 2024:</w:t>
      </w:r>
      <w:r>
        <w:t xml:space="preserve"> Assessing pesticide residues occurrence and risks in water systems: A Pan-European and Argentina perspective — https://doi.org/10.1016/j.watres.2024.121419</w:t>
      </w:r>
    </w:p>
    <w:p>
      <w:pPr/>
      <w:r>
        <w:rPr>
          <w:b/>
        </w:rPr>
        <w:t>Shared claim-specific concepts:</w:t>
      </w:r>
      <w:r>
        <w:t xml:space="preserve"> established, between; EU scope visible. This is a provisional connection, not an outcome finding.</w:t>
      </w:r>
    </w:p>
    <w:p>
      <w:pPr>
        <w:pStyle w:val="SourceNote"/>
      </w:pPr>
      <w:r>
        <w:rPr>
          <w:b/>
        </w:rPr>
        <w:t>Available abstract (not full text):</w:t>
      </w:r>
      <w:r>
        <w:t xml:space="preserve"> Freshwater ecosystems face a particularly high risk of biodiversity loss compared to marine and terrestrial systems. The use of pesticides in agricultural fields is recognized as a relevant stressor for freshwater environments, exerting a negative impact worldwide on the overall status and health of the freshwater communities. In the present work, part of the Horizon 2020 funded SPRINT project, the occurrence of 193 pesticide residues was investigated in 64 small water bodies of distinct typology (creeks, streams, channels, ditches, rivers, lakes, ponds and reservoirs), located in regions with high agricultural activity in 10 European countries and in Argentina. Mixtures of pesticide residues were detected in all water bodies (20, median; 8-40 min-max). Total pesticide levels found ranged between 6.89 and 5860 ng/L, highlighting herbicides as the dominant type of pesticides. Glyphosate was the compound with the highest median concentration followed by 2,4-D and MCPA, and in a lower degree by dimethomorph, fluopicolide, prothioconazole and metolachlor(-S). Argentina was the site with the highest total pesticide concentration in water bodies followed by The Netherlands, Portugal and France. One or more pesticides exceeded the threshold values established in the European Water Framework Directive for surface water in 9 out of 11 case study sites (CSS), and the total pesticide conc</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assess, energy, climate, between;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Climate Policy Priorities for the Next European Commission — https://openalex.org/W4392885355</w:t>
      </w:r>
    </w:p>
    <w:p>
      <w:pPr/>
      <w:r>
        <w:rPr>
          <w:b/>
        </w:rPr>
        <w:t>Shared claim-specific concepts:</w:t>
      </w:r>
      <w:r>
        <w:t xml:space="preserve"> commission, energy, climate;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2024:</w:t>
      </w:r>
      <w:r>
        <w:t xml:space="preserve"> Competition effects of vertical integration in container ports: assessing the European Commission decisional practice — https://doi.org/10.1108/mabr-10-2022-0058</w:t>
      </w:r>
    </w:p>
    <w:p>
      <w:pPr/>
      <w:r>
        <w:rPr>
          <w:b/>
        </w:rPr>
        <w:t>Shared claim-specific concepts:</w:t>
      </w:r>
      <w:r>
        <w:t xml:space="preserve"> commission, between; EU scope visible. This is a provisional connection, not an outcome finding.</w:t>
      </w:r>
    </w:p>
    <w:p>
      <w:pPr>
        <w:pStyle w:val="SourceNote"/>
      </w:pPr>
      <w:r>
        <w:rPr>
          <w:b/>
        </w:rPr>
        <w:t>Available abstract (not full text):</w:t>
      </w:r>
      <w:r>
        <w:t xml:space="preserve"> Purpose Container liner shipping companies started expanding their business by investing in container port terminals in the late 1990s. This market entry results in an extensive presence of vertically integrated liners and terminals. This study aims to explore the competition effects of this vertical integration trend based on a regional (European) analysis. In particular, it extracts lessons from the European Commission (EC) cases on the competition effects of vertical integration. The critical analysis of the cases examined at the institutional level intends to reach conclusions on whether liner–terminal vertical integration harmed or advanced competition in the relevant markets and/or the extent that there is a need to revise the current policy practices. Design/methodology/approach This study critically assesses the EC’s decisional practices in port container terminal vertical mergers in the last 25 years (1997–2021). Based on a literature review comparing maritime and competition economists' perspectives, it reviews the types of mergers examined, the methodology followed for relevant market definition and calculation of market shares and the estimated competition effects. The Hamburg–Le Havre area is the port range used as a case study for comparing the decisional practice with actual market developments. These container ports serve the greatest consuming market of final a</w:t>
      </w:r>
    </w:p>
    <w:p>
      <w:pPr/>
      <w:r>
        <w:rPr>
          <w:b/>
        </w:rPr>
        <w:t>POSSIBLE 2023:</w:t>
      </w:r>
      <w:r>
        <w:t xml:space="preserve"> Access to European Commission Guidance — https://doi.org/10.21552/estal/2023/3/2</w:t>
      </w:r>
    </w:p>
    <w:p>
      <w:pPr/>
      <w:r>
        <w:rPr>
          <w:b/>
        </w:rPr>
        <w:t>Shared claim-specific concepts:</w:t>
      </w:r>
      <w:r>
        <w:t xml:space="preserve"> commission, assess, between; EU scope visible. This is a provisional connection, not an outcome finding.</w:t>
      </w:r>
    </w:p>
    <w:p>
      <w:pPr>
        <w:pStyle w:val="SourceNote"/>
      </w:pPr>
      <w:r>
        <w:rPr>
          <w:b/>
        </w:rPr>
        <w:t>Available abstract (not full text):</w:t>
      </w:r>
      <w:r>
        <w:t xml:space="preserve"> The Treaty on the Functioning of the European Union (TFEU) grants unique powers to the European Commission in the field of State aid.In no other policy field does the TFEU require Member States to inform the Commission of plans to implement a measure and confer to the Commission the right to assess those measures without obtaining the prior consent of the Council or EU courts.Even under Article 258, where the TFEU empowers the Commission to initiate action against Member States that infringe EU law, the TFEU still obliges the Commission to "bring the matter before the Court of Justice".The TFEU establishes this system of prior control of State aid because public subsidies can distort competition in the internal EU market.The integrity of this system depends on the Commission being able to distinguish between subsidies that remedy market failure and subsidies that worsen market failure.However, the effectiveness of prior control is conditional on compliance by Member States.And, compliance by Member States, in turn, depends on the rules being clear and comprehensible.</w:t>
      </w:r>
    </w:p>
    <w:p>
      <w:pPr/>
      <w:r>
        <w:rPr>
          <w:b/>
        </w:rPr>
        <w:t>POSSIBLE 2023:</w:t>
      </w:r>
      <w:r>
        <w:t xml:space="preserve"> Assessing the role of the European Council and the European Commission during the migration and COVID-19 crises — https://doi.org/10.1080/01402382.2023.2225403</w:t>
      </w:r>
    </w:p>
    <w:p>
      <w:pPr/>
      <w:r>
        <w:rPr>
          <w:b/>
        </w:rPr>
        <w:t>Shared claim-specific concepts:</w:t>
      </w:r>
      <w:r>
        <w:t xml:space="preserve"> commission, between; EU scope visible. This is a provisional connection, not an outcome finding.</w:t>
      </w:r>
    </w:p>
    <w:p>
      <w:pPr>
        <w:pStyle w:val="SourceNote"/>
      </w:pPr>
      <w:r>
        <w:rPr>
          <w:b/>
        </w:rPr>
        <w:t>Available abstract (not full text):</w:t>
      </w:r>
      <w:r>
        <w:t xml:space="preserve"> Over the past decades, ‘emergency politics’ has become a quasi-permanent feature of the European Union (EU). According to some, this has reinforced the trend towards a greater role for the European Council (EUCO) in EU agenda-setting, to the detriment of the European Commission (Commission). In this article, this claim is critically assessed by analysing two major crises: the 2015-2016 migration crisis and the COVID-19 pandemic. By systematically tracing the various agenda-setting roles played by EU actors in these crises, two claims are made. First, using a more fine-grained typology of agenda-setting roles, the relationship between EUCO and the Commission is shown to be more nuanced than is often suggested. Second, EUCO and the Commission cannot be considered monolithic players. Instead, actors within these institutions operate outside of formal channels to purse their own policy goals. This puts in doubt the usefulness of focussing on the EUCO-Commission relationship in a purely inter-institutional sense.</w:t>
      </w:r>
    </w:p>
    <w:p>
      <w:pPr/>
      <w:r>
        <w:rPr>
          <w:b/>
        </w:rPr>
        <w:t>POSSIBLE 2023:</w:t>
      </w:r>
      <w:r>
        <w:t xml:space="preserve"> The European Commission: a climate policy entrepreneur — https://doi.org/10.4337/9781789906981.00013</w:t>
      </w:r>
    </w:p>
    <w:p>
      <w:pPr/>
      <w:r>
        <w:rPr>
          <w:b/>
        </w:rPr>
        <w:t>Shared claim-specific concepts:</w:t>
      </w:r>
      <w:r>
        <w:t xml:space="preserve"> commission, energy, climate; EU scope visible. This is a provisional connection, not an outcome finding.</w:t>
      </w:r>
    </w:p>
    <w:p>
      <w:pPr>
        <w:pStyle w:val="SourceNote"/>
      </w:pPr>
      <w:r>
        <w:rPr>
          <w:b/>
        </w:rPr>
        <w:t>Available abstract (not full text):</w:t>
      </w:r>
      <w:r>
        <w:t xml:space="preserve"> The European Commission is a crucial actor in EU climate policy in three regards. First, based on its unique role in the EU system as an initiator of policy proposals, it acts as a policy entrepreneur, contributing to the gradual advancement of EU climate policy. In this role, it has promoted commitments to ever more ambitious greenhouse gas emission reduction targets (compared to 1990 levels) that, once agreed, served as the basis for the Commission’s legislative initiatives. Second, as ‘guardian of the treaties’, the Commission monitors EU countries’ compliance with the adopted legislation. To this end, it has constantly improved coordination processes with national governments. Finally, the Commission is actively involved in EU international climate policy, coordinating bi-lateral and multilateral partnerships on climate change and energy with third countries, contributing to knowledge transfer and policy learning.</w:t>
      </w:r>
    </w:p>
    <w:p>
      <w:pPr>
        <w:pStyle w:val="Heading2"/>
      </w:pPr>
      <w:r>
        <w:t>925. Neglected futures. Considering overlooked poverty in Europe</w:t>
      </w:r>
    </w:p>
    <w:p>
      <w:pPr>
        <w:pStyle w:val="SourceNote"/>
      </w:pPr>
      <w:r>
        <w:rPr>
          <w:b/>
        </w:rPr>
        <w:t>Original source (2014):</w:t>
      </w:r>
      <w:r>
        <w:t xml:space="preserve"> https://doi.org/10.1007/s40309-014-0057-2</w:t>
      </w:r>
    </w:p>
    <w:p>
      <w:pPr/>
      <w:r>
        <w:t>Original wording (abstract; indexed_source_text_not_full_document_verified): This fact poses a major challenge for future planning and the future of social policies.</w:t>
      </w:r>
    </w:p>
    <w:p>
      <w:pPr/>
      <w:r>
        <w:rPr>
          <w:b/>
        </w:rPr>
        <w:t>POSSIBLE 2023:</w:t>
      </w:r>
      <w:r>
        <w:t xml:space="preserve"> An Analysis of the Municipal Waste Management of Romania and Bulgaria in the European Context — https://doi.org/10.61801/ouaess.2022.1.21</w:t>
      </w:r>
    </w:p>
    <w:p>
      <w:pPr/>
      <w:r>
        <w:rPr>
          <w:b/>
        </w:rPr>
        <w:t>Shared claim-specific concepts:</w:t>
      </w:r>
      <w:r>
        <w:t xml:space="preserve"> fact, poses, major; EU scope visible. This is a provisional connection, not an outcome finding.</w:t>
      </w:r>
    </w:p>
    <w:p>
      <w:pPr>
        <w:pStyle w:val="SourceNote"/>
      </w:pPr>
      <w:r>
        <w:rPr>
          <w:b/>
        </w:rPr>
        <w:t>Available abstract (not full text):</w:t>
      </w:r>
      <w:r>
        <w:t xml:space="preserve"> Since municipal waste accounts for 7% -10% of all waste generated in the European Union, this issue drums up major interest at the institutional level, given that increasing the levels of collected waste poses significant challenges to the environment and human health.The European Union adopted a legislative package which promotes the shift towards a more sustainable development model, known as the circular economy.The aim of this article is to analyze the dynamics of municipal waste management in Romania and Bulgaria in the European context, as there are deficiencies in these countries' implementation of the European waste management legislation.Eurostat's data for the 2000-2020 time horizon was used for the undertaken analysis.The results of the study show that both Romania and Bulgaria are facing similar challenges in terms of waste management due to the fact that some of the European directives have not been transposed into the national legislation.</w:t>
      </w:r>
    </w:p>
    <w:p>
      <w:pPr/>
      <w:r>
        <w:rPr>
          <w:b/>
        </w:rPr>
        <w:t>POSSIBLE 2022:</w:t>
      </w:r>
      <w:r>
        <w:t xml:space="preserve"> Platform work and access to social protection across major European countries — https://doi.org/10.1017/ics.2022.13</w:t>
      </w:r>
    </w:p>
    <w:p>
      <w:pPr/>
      <w:r>
        <w:rPr>
          <w:b/>
        </w:rPr>
        <w:t>Shared claim-specific concepts:</w:t>
      </w:r>
      <w:r>
        <w:t xml:space="preserve"> major, challenge; EU scope visible. This is a provisional connection, not an outcome finding.</w:t>
      </w:r>
    </w:p>
    <w:p>
      <w:pPr>
        <w:pStyle w:val="SourceNote"/>
      </w:pPr>
      <w:r>
        <w:rPr>
          <w:b/>
        </w:rPr>
        <w:t>Available abstract (not full text):</w:t>
      </w:r>
      <w:r>
        <w:t xml:space="preserve"> Abstract This paper is a first attempt to analyse the relationship between social protection systems and countries’ responses towards the regulation of platform work. It is argued that the degree of accessibility to social protection for self-employed workers is a predictor for how countries will deal with platform work. Countries that provide wide access to social protection for the self-employed tend to develop a more integrative response towards these work arrangements from a social protection perspective because the social protection of platform workers is a smaller policy challenge. On the other hand, in countries with a low degree of accessibility to social protection schemes, the response towards platform work is more confrontational. These responses are characterised by a larger number of court cases and legislative proposals because social protection for platform workers is a more pressing policy challenge and platform work arrangements are understood to be more antagonistic towards the respective social protection systems.</w:t>
      </w:r>
    </w:p>
    <w:p>
      <w:pPr/>
      <w:r>
        <w:rPr>
          <w:b/>
        </w:rPr>
        <w:t>POSSIBLE 2019:</w:t>
      </w:r>
      <w:r>
        <w:t xml:space="preserve"> Dedicated versus mainstreaming approaches in local climate plans in Europe — https://doi.org/10.1016/j.rser.2019.05.014</w:t>
      </w:r>
    </w:p>
    <w:p>
      <w:pPr/>
      <w:r>
        <w:rPr>
          <w:b/>
        </w:rPr>
        <w:t>Shared claim-specific concepts:</w:t>
      </w:r>
      <w:r>
        <w:t xml:space="preserve"> major, planning, policies; EU scope visible. This is a provisional connection, not an outcome finding.</w:t>
      </w:r>
    </w:p>
    <w:p>
      <w:pPr>
        <w:pStyle w:val="SourceNote"/>
      </w:pPr>
      <w:r>
        <w:rPr>
          <w:b/>
        </w:rPr>
        <w:t>Available abstract (not full text):</w:t>
      </w:r>
      <w:r>
        <w:t xml:space="preserve"> Cities are gaining prominence committing to respond to the threat of climate change , e.g., by developing local climate plans or strategies. However, little is known regarding the approaches and processes of plan development and implementation, or the success and effectiveness of proposed measures. Mainstreaming is regarded as one approach associated with (implementation) success, but the extent of integration of local climate policies and plans in ongoing sectoral and/or development planning is unclear. This paper analyses 885 cities across the 28 European countries to create a first reference baseline on the degree of climate mainstreaming in local climate plans. This will help to compare the benefits of mainstreaming versus dedicated climate plans, looking at policy effectiveness and ultimately delivery of much needed climate change efforts at the city level. All core cities of the European Urban Audit sample were analyzed, and their local climate plans classified as dedicated or mainstreamed in other local policy initiatives. It was found that the degree of mainstreaming is low for mitigation (9% of reviewed cities; 12% of the identified plans) and somewhat higher for adaptation (10% of cities; 29% of plans). In particular horizontal mainstreaming is a major effort for local authorities; an effort that does not necessarily pay off in terms of success of action implementatio</w:t>
      </w:r>
    </w:p>
    <w:p>
      <w:pPr/>
      <w:r>
        <w:rPr>
          <w:b/>
        </w:rPr>
        <w:t>POSSIBLE 2017:</w:t>
      </w:r>
      <w:r>
        <w:t xml:space="preserve"> Handbook of European Social Policy — https://doi.org/10.4337/9781783476466</w:t>
      </w:r>
    </w:p>
    <w:p>
      <w:pPr/>
      <w:r>
        <w:rPr>
          <w:b/>
        </w:rPr>
        <w:t>Shared claim-specific concepts:</w:t>
      </w:r>
      <w:r>
        <w:t xml:space="preserve"> major, policies; EU scope visible. This is a provisional connection, not an outcome finding.</w:t>
      </w:r>
    </w:p>
    <w:p>
      <w:pPr>
        <w:pStyle w:val="SourceNote"/>
      </w:pPr>
      <w:r>
        <w:rPr>
          <w:b/>
        </w:rPr>
        <w:t>Available abstract (not full text):</w:t>
      </w:r>
      <w:r>
        <w:t xml:space="preserve"> The UK and Ireland are typically paired together as the Anglo-Saxon or liberal welfare states of Europe, however, comparative analysis of both countries' welfare states is rare. The most recent systematic comparative analysis dates to Daly and Yeates’ (2003) analysis of social security. Regarding structural, political and ideological factors they noted a range of ways the two countries diverged and suggested that both countries were transforming, but in significantly different ways, thus questioning whether they could still be feasibly situated within the same welfare model. In the intervening period both countries experienced major upheaval, their common ‘Anglo-liberal’ growth model (Hay 2013) being at the core of the financial crisis in 2008. Consequently we ask whether the Irish and UK welfare states are still as divergent as Daly and Yeates observed or whether recent trends have meant that these two welfare states are moving in a common direction, without necessarily reaching full convergence. We proceed to address these questions by broadly tracking the typical characteristics of liberal welfare regimes in the UK and Irish contexts. We first look at patterns of social expenditure, taxation and related policy reform. We then look at what might be deemed social investment policies and this is followed with an analysis of selected welfare outcomes. We end by analysing the mai</w:t>
      </w:r>
    </w:p>
    <w:p>
      <w:pPr/>
      <w:r>
        <w:rPr>
          <w:b/>
        </w:rPr>
        <w:t>POSSIBLE 2016:</w:t>
      </w:r>
      <w:r>
        <w:t xml:space="preserve"> The economic crisis in Europe: urban and regional consequences — https://doi.org/10.1093/cjres/rsv036</w:t>
      </w:r>
    </w:p>
    <w:p>
      <w:pPr/>
      <w:r>
        <w:rPr>
          <w:b/>
        </w:rPr>
        <w:t>Shared claim-specific concepts:</w:t>
      </w:r>
      <w:r>
        <w:t xml:space="preserve"> fact, major, challenge; EU scope visible. This is a provisional connection, not an outcome finding.</w:t>
      </w:r>
    </w:p>
    <w:p>
      <w:pPr>
        <w:pStyle w:val="SourceNote"/>
      </w:pPr>
      <w:r>
        <w:rPr>
          <w:b/>
        </w:rPr>
        <w:t>Available abstract (not full text):</w:t>
      </w:r>
      <w:r>
        <w:t xml:space="preserve"> Beginning in 2007–2008, the European economy experienced the worst economic crisis since the 1930s. The proximate cause was the financial and banking crisis that originated in the overleveraged banks and mortgage institutions in the United States, and which quickly spread through the global financial system to infect much of Europe. This set off a major credit crunch which in its turn triggered a major contraction in economic growth, from which many European countries have struggled to recover. Yet it has been a crisis that has not afflicted all parts of Europe to the same degree, but rather has exposed major disparities in economic weakness, recovery and resilience both between different countries and between different regions within countries. These disparities themselves have posed an historic challenge to the European project, to the stability and viability of the European Union, and especially the Eurozone. For, to succeed, a true monetary union requires that economic shocks do not have highly disparate impacts across the constituent countries or regions of which it composed (see Fingleton et al., 2015 ; Martin, 2001 ); or, in the event of such disparate responses occurring, that there exists a fully functioning union-wide fiscal stabilisation system of automatic transfers to help offset the impact of the shock in the worst-affected areas. The European monetary union has n</w:t>
      </w:r>
    </w:p>
    <w:p>
      <w:pPr>
        <w:pStyle w:val="Heading2"/>
      </w:pPr>
      <w:r>
        <w:t>926. New system of employment forecasting in Poland</w:t>
      </w:r>
    </w:p>
    <w:p>
      <w:pPr>
        <w:pStyle w:val="SourceNote"/>
      </w:pPr>
      <w:r>
        <w:rPr>
          <w:b/>
        </w:rPr>
        <w:t>Original source (2014):</w:t>
      </w:r>
      <w:r>
        <w:t xml:space="preserve"> https://doi.org/10.2478/eam-2014-0018</w:t>
      </w:r>
    </w:p>
    <w:p>
      <w:pPr/>
      <w:r>
        <w:t>Original wording (abstract; indexed_source_text_not_full_document_verified): The analysis of forecasts enabled drawing some conclusions, important from the point of view of the perspectives of the Polish labour market and the labour market policy. Abstract The goal of the paper was to describe the system of employment forecasting in Poland and to present forecasts results.</w:t>
      </w:r>
    </w:p>
    <w:p>
      <w:pPr/>
      <w:r>
        <w:rPr>
          <w:b/>
        </w:rPr>
        <w:t>POSSIBLE 2026:</w:t>
      </w:r>
      <w:r>
        <w:t xml:space="preserve"> Demographic Dependency and the Future of the European Workforce: A Spatial–Temporal Forecasting Approach — https://doi.org/10.3390/su18094468</w:t>
      </w:r>
    </w:p>
    <w:p>
      <w:pPr/>
      <w:r>
        <w:rPr>
          <w:b/>
        </w:rPr>
        <w:t>Shared claim-specific concepts:</w:t>
      </w:r>
      <w:r>
        <w:t xml:space="preserve"> labour; EU scope visible. This is a provisional connection, not an outcome finding.</w:t>
      </w:r>
    </w:p>
    <w:p>
      <w:pPr>
        <w:pStyle w:val="SourceNote"/>
      </w:pPr>
      <w:r>
        <w:rPr>
          <w:b/>
        </w:rPr>
        <w:t>Available abstract (not full text):</w:t>
      </w:r>
      <w:r>
        <w:t xml:space="preserve"> This research paper examines the spatial and time variation of demographic dependency in Europe in a 30-year horizon of the evolution of the demographic dividend regarding the economic dependency ratio (ADR1). We used the Curve Fit Forecast tool to estimate the trends of ADR1 in each of the EU Member States using data on Eurostat projections and a sophisticated geostatistical analysis tool developed in ArcGIS Pro 3.2.2. The findings indicate that the dependency in all countries has increased significantly in a statistically significant manner as the Gompertz function has appeared as the best curve in a third of the cases. It is an S-shaped asymptotic behaviour of this function that effectively describes the nonlinear patterns of acceleration and saturation of demographic ageing. As indicated in the analysis, the European regions are increasingly moving apart, with the southern and eastern nations such as Romania demonstrating the most alarming decline in ADR1. These trends highlight the need to reform labour market policies and social protection mechanisms to an ageing population. The paper combines the curve-fitting, descriptive statistics (median, skewness, interquartile range (IQR)) with time clustering (value, correlation, and Fourier) to provide an effective, replicable approach to early warning and policy prioritisation. Overall, the results highlight the importance of in</w:t>
      </w:r>
    </w:p>
    <w:p>
      <w:pPr/>
      <w:r>
        <w:rPr>
          <w:b/>
        </w:rPr>
        <w:t>POSSIBLE 2026:</w:t>
      </w:r>
      <w:r>
        <w:t xml:space="preserve"> A collaborative analytics framework for artificial intelligence-based demand forecasting in supply chains — https://doi.org/10.1016/j.sca.2026.100235</w:t>
      </w:r>
    </w:p>
    <w:p>
      <w:pPr/>
      <w:r>
        <w:rPr>
          <w:b/>
        </w:rPr>
        <w:t>Shared claim-specific concepts:</w:t>
      </w:r>
      <w:r>
        <w:t xml:space="preserve"> forecasts, drawing, point; EU scope visible. This is a provisional connection, not an outcome finding.</w:t>
      </w:r>
    </w:p>
    <w:p>
      <w:pPr>
        <w:pStyle w:val="SourceNote"/>
      </w:pPr>
      <w:r>
        <w:rPr>
          <w:b/>
        </w:rPr>
        <w:t>Available abstract (not full text):</w:t>
      </w:r>
      <w:r>
        <w:t xml:space="preserve"> Despite substantial advances in artificial intelligence (AI), forecasting systems in practice often remain anchored in traditional, siloed approaches, leaving managers with unreliable and inconsistent signals for decision-making. Such forecasts tend to exacerbate the bullwhip effect, inflate safety stocks and generate significant inefficiencies in working capital and logistics costs. In fast-moving consumer goods (FMCG) supply chains, forecasts that fail to reach a minimum level of reliability are of limited value for operational planning, whereas sufficiently accurate forecasts provide a dependable foundation for managerial decisions. This practice-oriented study examines whether joint AI-based forecasting, combining downstream retailer data with advanced machine-learning techniques, enables firms to consistently achieve forecast reliability levels that are suitable for planning. Drawing on a unique dataset from a Central European manufacturer-retailer partnership, we compare three forecasting scenarios: a Manufacturer baseline forecast based on traditional statistical methods (ARIMA) applied to shipment data; a Manufacturer AI forecast using machine-learning models (XGBoost) trained exclusively on shipment data; and a Joint AI forecast in which machine-learning models (XGBoost) are trained on retailer warehouse outbound data. The analysis shows that Joint AI reduces total abs</w:t>
      </w:r>
    </w:p>
    <w:p>
      <w:pPr/>
      <w:r>
        <w:rPr>
          <w:b/>
        </w:rPr>
        <w:t>POSSIBLE 2025:</w:t>
      </w:r>
      <w:r>
        <w:t xml:space="preserve"> Does sustainability disclosure improve analysts’ forecast accuracy? Evidence from European banks — https://doi.org/10.1186/s40854-024-00693-5</w:t>
      </w:r>
    </w:p>
    <w:p>
      <w:pPr/>
      <w:r>
        <w:rPr>
          <w:b/>
        </w:rPr>
        <w:t>Shared claim-specific concepts:</w:t>
      </w:r>
      <w:r>
        <w:t xml:space="preserve"> important, abstract; EU scope visible. This is a provisional connection, not an outcome finding.</w:t>
      </w:r>
    </w:p>
    <w:p>
      <w:pPr>
        <w:pStyle w:val="SourceNote"/>
      </w:pPr>
      <w:r>
        <w:rPr>
          <w:b/>
        </w:rPr>
        <w:t>Available abstract (not full text):</w:t>
      </w:r>
      <w:r>
        <w:t xml:space="preserve"> Abstract In this study, we investigate the extent to which sustainability disclosures in the narrative sections of European banks’ annual reports improve analysts’ forecasting accuracy. We capture sustainability disclosures with a machine learning approach and use forecast errors as a proxy for analysts’ forecast accuracy. Our results suggest that sustainability disclosures significantly improve analysts’ forecasting accuracy by reducing forecast errors. In a further analysis, we also find that the introduction of Directive 2014/95/European Union is associated with increased disclosure content, which reduces forecast error. Collectively, our results suggest that sustainability disclosures improve forecast accuracy, and the introduction of the new EU directive strengthens this improvement. These results hold after several robustness tests. Our findings have important implications for market participants and policymakers.</w:t>
      </w:r>
    </w:p>
    <w:p>
      <w:pPr/>
      <w:r>
        <w:rPr>
          <w:b/>
        </w:rPr>
        <w:t>POSSIBLE 2024:</w:t>
      </w:r>
      <w:r>
        <w:t xml:space="preserve"> D5.5 Short-term ecological forecasts in support of the Bioeconomy Strategy and EU citizens — https://doi.org/10.3897/arphapreprints.e119131</w:t>
      </w:r>
    </w:p>
    <w:p>
      <w:pPr/>
      <w:r>
        <w:rPr>
          <w:b/>
        </w:rPr>
        <w:t>Shared claim-specific concepts:</w:t>
      </w:r>
      <w:r>
        <w:t xml:space="preserve"> forecasts, drawing, important; EU scope visible. This is a provisional connection, not an outcome finding.</w:t>
      </w:r>
    </w:p>
    <w:p>
      <w:pPr>
        <w:pStyle w:val="SourceNote"/>
      </w:pPr>
      <w:r>
        <w:rPr>
          <w:b/>
        </w:rPr>
        <w:t>Available abstract (not full text):</w:t>
      </w:r>
      <w:r>
        <w:t xml:space="preserve"> A relevant number of ecological questions raised by policymakers, managers, and citizens often pertain to the short-term future (e.g., the coming days or weeks). In this sense, short-term ecological and biological forecasts can make substantial and practical contributions to achieving policy objectives and benefit society broadly. Specifically, short-term forecasts of Essential Biodiversity Variables (EBVs) and Essential Ecosystem Service Variables (EESVs) can support decision-making by stakeholders from multiple sectors, enabling to anticipate ecological transformations and support proactive, informed decisions that promote conservation, economic activities, and human well-being. The aim of this task was to demonstrate how a European Biodiversity Observation Network can support the generation of short-term spatial forecasts of ecological and biological phenomena relevant to the Bioeconomy Strategy and to EU citizens at large. Our specific objectives included showcasing 1) a computational workflow that enables the production of days-ahead forecasts for distinct ecological or biological phenomena and 2) a specialized computational workflow for days-ahead forecasts of bird aerial biomass. The first, (‘generic’) workflow, is exemplified using two case studies: i) forecasting the fruiting of a wild mushroom of commercial and recreational relevance, and ii) forecasting the life stag</w:t>
      </w:r>
    </w:p>
    <w:p>
      <w:pPr/>
      <w:r>
        <w:rPr>
          <w:b/>
        </w:rPr>
        <w:t>POSSIBLE 2021:</w:t>
      </w:r>
      <w:r>
        <w:t xml:space="preserve"> Medical Brain Drain From Southeastern Europe: Using Digital Demography to Forecast Health Worker Emigration — https://doi.org/10.2196/30831</w:t>
      </w:r>
    </w:p>
    <w:p>
      <w:pPr/>
      <w:r>
        <w:rPr>
          <w:b/>
        </w:rPr>
        <w:t>Shared claim-specific concepts:</w:t>
      </w:r>
      <w:r>
        <w:t xml:space="preserve"> forecasts, drawing, conclusions, system; EU scope visible. This is a provisional connection, not an outcome finding.</w:t>
      </w:r>
    </w:p>
    <w:p>
      <w:pPr>
        <w:pStyle w:val="SourceNote"/>
      </w:pPr>
      <w:r>
        <w:rPr>
          <w:b/>
        </w:rPr>
        <w:t>Available abstract (not full text):</w:t>
      </w:r>
      <w:r>
        <w:t xml:space="preserve"> BACKGROUND: This paper shows that the tools of digital demography, such as Google Trends, can be used for determining, estimating, and predicting the migration of health care workers (HWs), in this case, from Croatia and the Western Balkans (WB) to Germany and Austria. OBJECTIVE: This study aims to test the usefulness of Google Trends indexes to forecast HW migration from Croatia and the WB to Germany and Austria. The paper analyzes recent trends in HW mobility in Europe and focuses specifically on mobility patterns among medical doctors and nurses using digital demography. Without increased emigration in the last 10 years, Croatia and the WB would have 50% more HWs today, and this staff is now crucial in the fight against a pandemic. Furthermore, the COVID-19 pandemic contributed to the increase in emigration. METHODS: A particular problem in analyzing the emigration of HCWs from Croatia and the WB is that there is no system for monitoring this process. Official data is up to 3 years late and exists only for persons deregistered from the state system. Furthermore, during the pandemic, the "normal" ways of data collection are simply too slow. The primary methodological concept of our approach is to monitor the digital trace of language searches with the Google Trends analytical tool. To standardize the data, we requested the data from January 2010 to December 2020 and divided t</w:t>
      </w:r>
    </w:p>
    <w:p>
      <w:pPr/>
      <w:r>
        <w:rPr>
          <w:b/>
        </w:rPr>
        <w:t>POSSIBLE 2021:</w:t>
      </w:r>
      <w:r>
        <w:t xml:space="preserve"> Interpretation of point forecasts with unknown directive — https://doi.org/10.1002/jae.2833</w:t>
      </w:r>
    </w:p>
    <w:p>
      <w:pPr/>
      <w:r>
        <w:rPr>
          <w:b/>
        </w:rPr>
        <w:t>Shared claim-specific concepts:</w:t>
      </w:r>
      <w:r>
        <w:t xml:space="preserve"> forecasts, point, abstract; EU scope not established. This is a provisional connection, not an outcome finding.</w:t>
      </w:r>
    </w:p>
    <w:p>
      <w:pPr>
        <w:pStyle w:val="SourceNote"/>
      </w:pPr>
      <w:r>
        <w:rPr>
          <w:b/>
        </w:rPr>
        <w:t>Available abstract (not full text):</w:t>
      </w:r>
      <w:r>
        <w:t xml:space="preserve"> Abstract Point forecasts can be interpreted as functionals (i.e., point summaries) of predictive distributions. We extend methodology for the identification of the functional based on time series of point forecasts and associated realizations. Focusing on state‐dependent quantiles and expectiles, we provide a generalized method of moments estimator for the functional, along with tests of optimality under general joint hypotheses of functional relationships and information bases. Our tests are more flexible, and in simulations better calibrated and more powerful than existing solutions. In empirical examples, economic growth forecasts and model output for precipitation are indicative of overstatement in anticipation of extreme events.</w:t>
      </w:r>
    </w:p>
    <w:p>
      <w:pPr/>
      <w:r>
        <w:rPr>
          <w:b/>
        </w:rPr>
        <w:t>POSSIBLE 2019:</w:t>
      </w:r>
      <w:r>
        <w:t xml:space="preserve"> Argoverse: 3D Tracking and Forecasting With Rich Maps — https://doi.org/10.1109/cvpr.2019.00895</w:t>
      </w:r>
    </w:p>
    <w:p>
      <w:pPr/>
      <w:r>
        <w:rPr>
          <w:b/>
        </w:rPr>
        <w:t>Shared claim-specific concepts:</w:t>
      </w:r>
      <w:r>
        <w:t xml:space="preserve"> point, view, present; EU scope not established. This is a provisional connection, not an outcome finding.</w:t>
      </w:r>
    </w:p>
    <w:p>
      <w:pPr>
        <w:pStyle w:val="SourceNote"/>
      </w:pPr>
      <w:r>
        <w:rPr>
          <w:b/>
        </w:rPr>
        <w:t>Available abstract (not full text):</w:t>
      </w:r>
      <w:r>
        <w:t xml:space="preserve"> We present Argoverse, a dataset designed to support autonomous vehicle perception tasks including 3D tracking and motion forecasting. Argoverse includes sensor data collected by a fleet of autonomous vehicles in Pittsburgh and Miami as well as 3D tracking annotations, 300k extracted interesting vehicle trajectories, and rich semantic maps. The sensor data consists of 360 degree images from 7 cameras with overlapping fields of view, forward-facing stereo imagery, 3D point clouds from long range LiDAR, and 6-DOF pose. Our 290km of mapped lanes contain rich geometric and semantic metadata which are not currently available in any public dataset. All data is released under a Creative Commons license at Argoverse.org. In baseline experiments, we use map information such as lane direction, driveable area, and ground height to improve the accuracy of 3D object tracking. We use 3D object tracking to mine for more than 300k interesting vehicle trajectories to create a trajectory forecasting benchmark. Motion forecasting experiments ranging in complexity from classical methods (k-NN) to LSTMs demonstrate that using detailed vector maps with lane-level information substantially reduces prediction error. Our tracking and forecasting experiments represent only a superficial exploration of the potential of rich maps in robotic perception. We hope that Argoverse will enable the research commun</w:t>
      </w:r>
    </w:p>
    <w:p>
      <w:pPr/>
      <w:r>
        <w:rPr>
          <w:b/>
        </w:rPr>
        <w:t>POSSIBLE 2019:</w:t>
      </w:r>
      <w:r>
        <w:t xml:space="preserve"> Colour forecasting — https://doi.org/10.1080/00405167.2019.1659564</w:t>
      </w:r>
    </w:p>
    <w:p>
      <w:pPr/>
      <w:r>
        <w:rPr>
          <w:b/>
        </w:rPr>
        <w:t>Shared claim-specific concepts:</w:t>
      </w:r>
      <w:r>
        <w:t xml:space="preserve"> drawing, important, view, system; EU scope not established. This is a provisional connection, not an outcome finding.</w:t>
      </w:r>
    </w:p>
    <w:p>
      <w:pPr>
        <w:pStyle w:val="SourceNote"/>
      </w:pPr>
      <w:r>
        <w:rPr>
          <w:b/>
        </w:rPr>
        <w:t>Available abstract (not full text):</w:t>
      </w:r>
      <w:r>
        <w:t xml:space="preserve"> The underlying principles of colour forecasting now have a history spanning a full century. This issue of Textile Progress is somewhat timely as the challenges that industry face now differ from those of the twentieth century, in particular, the increased need to address sustainability and the increased competiveness of the global marketplace. This Textile Progress provides an overview of the historical context drawing out the importance of the role of colour forecasting in the fashion and textile industries. It provides a detailed analysis of the more-recently established and establishing trend forecasting methods with a view to thinking more innovatively about the potential of colour forecasting. It investigates the effects and impact of colour and trend forecasting with a particular focus on the consequences of the process and system on business, on consumers and on the environment. In reviewing the developments in colour forecasting, we begin with the subjective techniques highlighting the strengths and weaknesses of the approaches. The more-objective characteristics that have emerged from new developments and new thinking provide a focus on the potential for greater accuracy in colour forecasting. This issue of Textile Progress explains how and why colour forecasting is an essential component of the business of making and selling fashion garments, through merchandising, re</w:t>
      </w:r>
    </w:p>
    <w:p>
      <w:pPr/>
      <w:r>
        <w:rPr>
          <w:b/>
        </w:rPr>
        <w:t>POSSIBLE 2019:</w:t>
      </w:r>
      <w:r>
        <w:t xml:space="preserve"> Seasonal streamflow forecasts for Europe – Part 2: Sources of skill — https://doi.org/10.5194/hess-23-371-2019</w:t>
      </w:r>
    </w:p>
    <w:p>
      <w:pPr/>
      <w:r>
        <w:rPr>
          <w:b/>
        </w:rPr>
        <w:t>Shared claim-specific concepts:</w:t>
      </w:r>
      <w:r>
        <w:t xml:space="preserve"> forecasts, abstract, system; EU scope visible. This is a provisional connection, not an outcome finding.</w:t>
      </w:r>
    </w:p>
    <w:p>
      <w:pPr>
        <w:pStyle w:val="SourceNote"/>
      </w:pPr>
      <w:r>
        <w:rPr>
          <w:b/>
        </w:rPr>
        <w:t>Available abstract (not full text):</w:t>
      </w:r>
      <w:r>
        <w:t xml:space="preserve"> Abstract. Seasonal predictions can be exploited among others to optimize hydropower energy generation, navigability of rivers and irrigation management to decrease crop yield losses. This paper is the second of two papers dealing with a model-based system built to produce seasonal hydrological forecasts (WUSHP: Wageningen University Seamless Hydrological Prediction system), applied here to Europe. Whereas the first paper presents the development and the skill evaluation of the system, this paper provides explanations for the skill. In WUSHP hydrology is simulated by running the Variable Infiltration Capacity (VIC) hydrological model with meteorological forcing from bias-corrected output of ECMWF's Seasonal Forecasting System 4 (S4). WUSHP is probabilistic. For the assessment of skill, hindcast simulations (1981–2010) were carried out. To explain skill, we first looked at the forcing and found considerable skill in the precipitation forecasts of the first lead month but hardly any significant skill for later lead months. Seasonal forecasts for temperature have more skill. Skill in summer temperature is related to climate change and more or less independent of lead time. Skill in February and March is unrelated to climate change. Sources of skill in runoff were isolated with Ensemble Streamflow Prediction (ESP) experiments. These revealed that beyond the second lead month simulat</w:t>
      </w:r>
    </w:p>
    <w:p>
      <w:pPr/>
      <w:r>
        <w:rPr>
          <w:b/>
        </w:rPr>
        <w:t>POSSIBLE 2018:</w:t>
      </w:r>
      <w:r>
        <w:t xml:space="preserve"> How Can Existing Ground-Based Profiling Instruments Improve European Weather Forecasts? — https://doi.org/10.1175/bams-d-17-0231.1</w:t>
      </w:r>
    </w:p>
    <w:p>
      <w:pPr/>
      <w:r>
        <w:rPr>
          <w:b/>
        </w:rPr>
        <w:t>Shared claim-specific concepts:</w:t>
      </w:r>
      <w:r>
        <w:t xml:space="preserve"> forecasts, important, abstract; EU scope visible. This is a provisional connection, not an outcome finding.</w:t>
      </w:r>
    </w:p>
    <w:p>
      <w:pPr>
        <w:pStyle w:val="SourceNote"/>
      </w:pPr>
      <w:r>
        <w:rPr>
          <w:b/>
        </w:rPr>
        <w:t>Available abstract (not full text):</w:t>
      </w:r>
      <w:r>
        <w:t xml:space="preserve"> Abstract To realize the promise of improved predictions of hazardous weather such as flash floods, wind storms, fog, and poor air quality from high-resolution mesoscale models, the forecast models must be initialized with an accurate representation of the current state of the atmosphere, but the lowest few kilometers are hardly accessible by satellite, especially in dynamically active conditions. We report on recent European developments in the exploitation of existing ground-based profiling instruments so that they are networked and able to send data in real time to forecast centers. The three classes of instruments are i) automatic lidars and ceilometers providing backscatter profiles of clouds, aerosols, dust, fog, and volcanic ash, the last two being especially important for air traffic control; ii) Doppler wind lidars deriving profiles of wind, turbulence, wind shear, wind gusts, and low-level jets; and iii) microwave radiometers estimating profiles of temperature and humidity in nearly all weather conditions. The project includes collaboration from 22 European countries and 15 European national weather services, which involves the implementation of common operating procedures, instrument calibrations, data formats, and retrieval algorithms. Currently, data from 265 ceilometers in 19 countries are being distributed in near–real time to national weather forecast centers; th</w:t>
      </w:r>
    </w:p>
    <w:p>
      <w:pPr/>
      <w:r>
        <w:rPr>
          <w:b/>
        </w:rPr>
        <w:t>POSSIBLE 2018:</w:t>
      </w:r>
      <w:r>
        <w:t xml:space="preserve"> Drawing: the point of contact — https://doi.org/10.5287/ora-8reoo61db</w:t>
      </w:r>
    </w:p>
    <w:p>
      <w:pPr/>
      <w:r>
        <w:rPr>
          <w:b/>
        </w:rPr>
        <w:t>Shared claim-specific concepts:</w:t>
      </w:r>
      <w:r>
        <w:t xml:space="preserve"> drawing, point, view, present; EU scope not established. This is a provisional connection, not an outcome finding.</w:t>
      </w:r>
    </w:p>
    <w:p>
      <w:pPr>
        <w:pStyle w:val="SourceNote"/>
      </w:pPr>
      <w:r>
        <w:rPr>
          <w:b/>
        </w:rPr>
        <w:t>Available abstract (not full text):</w:t>
      </w:r>
      <w:r>
        <w:t xml:space="preserve"> This thesis is a study of the point of contact between pencil and paper during certain acts of drawing. It comprises three elements. Firstly, five ‘drawings’ which together raise the central question of the thesis: what arrests me, in the manner of a Barthesian punctum, about the point of contact between pencil and paper (and their proxies) in these particular drawings? These drawings are in evidence through written accounts introducing each chapter, and they are: (1) a practice of ‘half-blind’ life drawing; (2) a line drawn around the internal perimeter of a house; (3) several voice recordings made while walking in the dark; (4) a biro line drawn across a bed sheet; (5) a row of ink blots at the foot of a page. Secondly, the present document, which shows the endeavour of answering this question. Thirdly, a display of artefacts left over from the five drawings and the writing, which pose a question at the close of the thesis: when the writing is completed, what is left of the drawings that set it going? The present document is undertaken ‘drawingly’: employing a methodology and form learned from the point of contact at its centre and developed as a mode of enquiry adequate to this punctum’s apparent resistance to being named or wholly analysed. Building upon Jean-Luc Nancy’s characterization of a working drawing as a search for form, Derrida’s description of the ‘aperspective’ </w:t>
      </w:r>
    </w:p>
    <w:p>
      <w:pPr/>
      <w:r>
        <w:rPr>
          <w:b/>
        </w:rPr>
        <w:t>POSSIBLE 2017:</w:t>
      </w:r>
      <w:r>
        <w:t xml:space="preserve"> Summer drought predictability over Europe: empirical versus dynamical forecasts — https://doi.org/10.1088/1748-9326/aa7859</w:t>
      </w:r>
    </w:p>
    <w:p>
      <w:pPr/>
      <w:r>
        <w:rPr>
          <w:b/>
        </w:rPr>
        <w:t>Shared claim-specific concepts:</w:t>
      </w:r>
      <w:r>
        <w:t xml:space="preserve"> forecasts, important, system; EU scope visible. This is a provisional connection, not an outcome finding.</w:t>
      </w:r>
    </w:p>
    <w:p>
      <w:pPr>
        <w:pStyle w:val="SourceNote"/>
      </w:pPr>
      <w:r>
        <w:rPr>
          <w:b/>
        </w:rPr>
        <w:t>Available abstract (not full text):</w:t>
      </w:r>
      <w:r>
        <w:t xml:space="preserve"> Seasonal climate forecasts could be an important planning tool for farmers, government and insurance companies that can lead to better and timely management of seasonal climate risks. However, climate seasonal forecasts are often under-used, because potential users are not well aware of the capabilities and limitations of these products. This study aims at assessing the merits and caveats of a statistical empirical method, the ensemble streamflow prediction system (ESP, an ensemble based on reordering historical data) and an operational dynamical forecast system, the European Centre for Medium-Range Weather Forecasts—System 4 (S4) in predicting summer drought in Europe. Droughts are defined using the Standardized Precipitation Evapotranspiration Index for the month of August integrated over 6 months. Both systems show useful and mostly comparable deterministic skill. We argue that this source of predictability is mostly attributable to the observed initial conditions. S4 shows only higher skill in terms of ability to probabilistically identify drought occurrence. Thus, currently, both approaches provide useful information and ESP represents a computationally fast alternative to dynamical prediction applications for drought prediction.</w:t>
      </w:r>
    </w:p>
    <w:p>
      <w:pPr>
        <w:pStyle w:val="Heading2"/>
      </w:pPr>
      <w:r>
        <w:t>927. Reform of experimental structures in animal science in France: From exploratory foresight to operational set-up</w:t>
      </w:r>
    </w:p>
    <w:p>
      <w:pPr>
        <w:pStyle w:val="SourceNote"/>
      </w:pPr>
      <w:r>
        <w:rPr>
          <w:b/>
        </w:rPr>
        <w:t>Original source (2014):</w:t>
      </w:r>
      <w:r>
        <w:t xml:space="preserve"> https://doi.org/10.1684/agr.2014.0698</w:t>
      </w:r>
    </w:p>
    <w:p>
      <w:pPr/>
      <w:r>
        <w:t>Original wording (abstract; indexed_source_text_not_full_document_verified): Based on a more general foresight exercise carried out at the national level (INRA 2020), different scenarios were built and then analysed for the 2025 horizon by a working group under the responsibility of an external chairman. Finally, four scenarios were submitted to the INRA General Direction who chose the European infrastructure.</w:t>
      </w:r>
    </w:p>
    <w:p>
      <w:pPr/>
      <w:r>
        <w:rPr>
          <w:b/>
        </w:rPr>
        <w:t>POSSIBLE 2026:</w:t>
      </w:r>
      <w:r>
        <w:t xml:space="preserve"> Eye of Europe Foresight Training Manual — https://openalex.org/W7220785974</w:t>
      </w:r>
    </w:p>
    <w:p>
      <w:pPr/>
      <w:r>
        <w:rPr>
          <w:b/>
        </w:rPr>
        <w:t>Shared claim-specific concepts:</w:t>
      </w:r>
      <w:r>
        <w:t xml:space="preserve"> foresight, level, submitted; EU scope visible. This is a provisional connection, not an outcome finding.</w:t>
      </w:r>
    </w:p>
    <w:p>
      <w:pPr>
        <w:pStyle w:val="SourceNote"/>
      </w:pPr>
      <w:r>
        <w:rPr>
          <w:b/>
        </w:rPr>
        <w:t>Available abstract (not full text):</w:t>
      </w:r>
      <w:r>
        <w:t xml:space="preserve"> The following document outlines the Eye of Europe Foresight Training Manual. The manual is developed by the Finland Futures Research Centre (FFRC), University of Turku, as part of the Work Package 4 (Futures Literacy) of the Eye of Europe project. The deliverable is submitted at month 10 of project (August 2024) after the delivery of prior pilot training for foresight beneficiaries. The purpose of the manual is to define and establish foresight training target groups, to describe, on a high level, intended training inputs and outcomes, and to document and reflect upon the first practical training activities of the project.</w:t>
      </w:r>
    </w:p>
    <w:p>
      <w:pPr/>
      <w:r>
        <w:rPr>
          <w:b/>
        </w:rPr>
        <w:t>POSSIBLE 2025:</w:t>
      </w:r>
      <w:r>
        <w:t xml:space="preserve"> From Reaction to Foresight: EUPHA’s vision for health security in Europe — https://doi.org/10.1093/eurpub/ckaf071</w:t>
      </w:r>
    </w:p>
    <w:p>
      <w:pPr/>
      <w:r>
        <w:rPr>
          <w:b/>
        </w:rPr>
        <w:t>Shared claim-specific concepts:</w:t>
      </w:r>
      <w:r>
        <w:t xml:space="preserve"> based, foresight, carried, national, different, built;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Foresight in Human Resource Management in Knowledge-Based Companies — https://doi.org/10.61838/kman.jrmde.4.2.4</w:t>
      </w:r>
    </w:p>
    <w:p>
      <w:pPr/>
      <w:r>
        <w:rPr>
          <w:b/>
        </w:rPr>
        <w:t>Shared claim-specific concepts:</w:t>
      </w:r>
      <w:r>
        <w:t xml:space="preserve"> based, foresight, level; EU scope not established. This is a provisional connection, not an outcome finding.</w:t>
      </w:r>
    </w:p>
    <w:p>
      <w:pPr>
        <w:pStyle w:val="SourceNote"/>
      </w:pPr>
      <w:r>
        <w:rPr>
          <w:b/>
        </w:rPr>
        <w:t>Available abstract (not full text):</w:t>
      </w:r>
      <w:r>
        <w:t xml:space="preserve"> The present study was conducted with the aim of foresight in human resource management in knowledge-based companies. This research falls under the category of mixed-method studies (qualitative and quantitative). The qualitative strategy employed was thematic analysis, and the quantitative strategy was a survey approach. The qualitative sample consisted of 14 experts and managers from knowledge-based companies, selected through purposive and snowball sampling methods. In-depth interviews were conducted with these participants. MAXQDA software (2018) was used to analyze the data. Based on the interviews, components were extracted, and through the coding process and subsequent tests, the final model of the study was developed. Findings from the qualitative section indicated that the dimensions for designing a human resource management model in knowledge-based companies include the individual approach, organizational characteristics, environmental conditions, and technology. In the quantitative section, the statistical population consisted of all employees, deputies, and managers of knowledge-based companies, and 384 questionnaires were distributed and collected using convenience sampling. To analyze the research questions, Structural Equation Modeling (SEM) was performed using SmartPLS 3 software. The results of model evaluation showed that all research hypotheses had a significan</w:t>
      </w:r>
    </w:p>
    <w:p>
      <w:pPr/>
      <w:r>
        <w:rPr>
          <w:b/>
        </w:rPr>
        <w:t>POSSIBLE 2024:</w:t>
      </w:r>
      <w:r>
        <w:t xml:space="preserve"> Emerging Biotechnologies in Europe: Foresight for Policy — https://doi.org/10.2760/4814109</w:t>
      </w:r>
    </w:p>
    <w:p>
      <w:pPr/>
      <w:r>
        <w:rPr>
          <w:b/>
        </w:rPr>
        <w:t>Shared claim-specific concepts:</w:t>
      </w:r>
      <w:r>
        <w:t xml:space="preserve"> foresight, out, external, who;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What future for EU foresight? A critical perspective on the institutionalisation of foresight — https://doi.org/10.1111/eulj.12528</w:t>
      </w:r>
    </w:p>
    <w:p>
      <w:pPr/>
      <w:r>
        <w:rPr>
          <w:b/>
        </w:rPr>
        <w:t>Shared claim-specific concepts:</w:t>
      </w:r>
      <w:r>
        <w:t xml:space="preserve"> foresight, out, level; EU scope visible. This is a provisional connection, not an outcome finding.</w:t>
      </w:r>
    </w:p>
    <w:p>
      <w:pPr>
        <w:pStyle w:val="SourceNote"/>
      </w:pPr>
      <w:r>
        <w:rPr>
          <w:b/>
        </w:rPr>
        <w:t>Available abstract (not full text):</w:t>
      </w:r>
      <w:r>
        <w:t xml:space="preserve"> Abstract What are the potential strengths and weaknesses in the current reconstruction of foresight at the EU level? In questioning foresight's institutionalisation processes from both a historical and a political sociology perspective, the article claims that charting the future is an issue of political power and that, hence, foresight's institutionalisation can never be taken for granted. More precisely, we identify two factors that determine how such process plays out. First, it depends on the definition and importance of the future according to specific contexts (war, economic or health crisis, periods of growth, etc.). Second, this changing definition intertwines with socio‐institutional structures and agents that are crucial for this institutionalisation to be sustainable. The analysis is twofold. First, we provide an overview of past international experiences of projections into the future (both foresight and forecast). Second, we illustrate how these issues may resurface and rebound within the EU’s unique power context.</w:t>
      </w:r>
    </w:p>
    <w:p>
      <w:pPr/>
      <w:r>
        <w:rPr>
          <w:b/>
        </w:rPr>
        <w:t>POSSIBLE 2024:</w:t>
      </w:r>
      <w:r>
        <w:t xml:space="preserve"> European foresight (1950–2020): A history of contrasts. Intellectual inspirations and the political conditions for success — https://doi.org/10.1111/eulj.12524</w:t>
      </w:r>
    </w:p>
    <w:p>
      <w:pPr/>
      <w:r>
        <w:rPr>
          <w:b/>
        </w:rPr>
        <w:t>Shared claim-specific concepts:</w:t>
      </w:r>
      <w:r>
        <w:t xml:space="preserve"> based, foresight, different; EU scope visible. This is a provisional connection, not an outcome finding.</w:t>
      </w:r>
    </w:p>
    <w:p>
      <w:pPr>
        <w:pStyle w:val="SourceNote"/>
      </w:pPr>
      <w:r>
        <w:rPr>
          <w:b/>
        </w:rPr>
        <w:t>Available abstract (not full text):</w:t>
      </w:r>
      <w:r>
        <w:t xml:space="preserve"> Abstract Although foresight has played a central role in the history of European integration since its inception in the 1950s, it has not always had the same meaning, nor has it always been used in the same political way. This article looks at the genesis and development of foresight on a European scale between 1950 and 2020, analysing it as a specific public policy: such a perspective aims to highlight the differentiated relationships to time and future, the different conceptions of the respective roles of administration, politics and science, and the forms of competence on which successive foresight policies are based. It also enables us to identify the institutional and political factors that explain its development, and the particular forms it takes.</w:t>
      </w:r>
    </w:p>
    <w:p>
      <w:pPr/>
      <w:r>
        <w:rPr>
          <w:b/>
        </w:rPr>
        <w:t>POSSIBLE 2022:</w:t>
      </w:r>
      <w:r>
        <w:t xml:space="preserve"> Foresight and regulation: anticipatory governance and administrative foresight in times of transition and recovery — https://openalex.org/W7125625500</w:t>
      </w:r>
    </w:p>
    <w:p>
      <w:pPr/>
      <w:r>
        <w:rPr>
          <w:b/>
        </w:rPr>
        <w:t>Shared claim-specific concepts:</w:t>
      </w:r>
      <w:r>
        <w:t xml:space="preserve"> based, general, foresight, exercise, group, external; EU scope visible. This is a provisional connection, not an outcome finding.</w:t>
      </w:r>
    </w:p>
    <w:p>
      <w:pPr>
        <w:pStyle w:val="SourceNote"/>
      </w:pPr>
      <w:r>
        <w:rPr>
          <w:b/>
        </w:rPr>
        <w:t>Available abstract (not full text):</w:t>
      </w:r>
      <w:r>
        <w:t xml:space="preserve"> [EN] Administrative law has the challenge to protect rights without a time and general. Regulation and administrative activity, in its pursuit of the general interest, cannot renounce the creation of spaces for the exercise of executive power in a collaborative or participatory manner. Considering the possible future means adapting the rules and the activity of the administration to the current reality, without compromising the actions of governments in the future in order to respect international consensus, such as the green pact and sustainable economic recovery. Esta situación es objeto de reflexión en esta obra colectiva que constituye la primera reflexión realizada por los investigadores del proyecto de investigación I+D+I financiado por el Ministerio de ciencia e innovación, Gobierno de España con el título: Por un consenso de futuro sostenible: Gobernanza anticipatoria y Prospectiva administrativa (PROFUTURE) PID2020-116401GB-I00 Foresight offers a range of experiences for a practical application of foresight to administrative planning and policy development. These tools are based on the bureaucratic reality and the competences of public administrations. As a consequence of the health, economic and energy crises, administrations will have to face planning and decision-making for recovery. Are they prepared? Administrations make decisions with models that do not foresee t</w:t>
      </w:r>
    </w:p>
    <w:p>
      <w:pPr/>
      <w:r>
        <w:rPr>
          <w:b/>
        </w:rPr>
        <w:t>POSSIBLE 2022:</w:t>
      </w:r>
      <w:r>
        <w:t xml:space="preserve"> ANALYSIS OF SECURITY RISKS BASED ON THE INFORMATION PROVIDED IN THE GENERAL DECLARATION OF ARRIVAL IN THE EUROPEAN UNION — https://doi.org/10.31891/2307-5740-2022-312-6(1)-20</w:t>
      </w:r>
    </w:p>
    <w:p>
      <w:pPr/>
      <w:r>
        <w:rPr>
          <w:b/>
        </w:rPr>
        <w:t>Shared claim-specific concepts:</w:t>
      </w:r>
      <w:r>
        <w:t xml:space="preserve"> based, general, out, submitted; EU scope visible. This is a provisional connection, not an outcome finding.</w:t>
      </w:r>
    </w:p>
    <w:p>
      <w:pPr>
        <w:pStyle w:val="SourceNote"/>
      </w:pPr>
      <w:r>
        <w:rPr>
          <w:b/>
        </w:rPr>
        <w:t>Available abstract (not full text):</w:t>
      </w:r>
      <w:r>
        <w:t xml:space="preserve"> The purpose of the article is to study the experience of European countries regarding the peculiarities of security risk analysis based on the information provided in the general declaration of arrival and to develop proposals for bringing domestic customs legislation closer to the legislation of the European Union. The article analyzes the features of security risk analysis based on the information provided in the general declaration of arrival in the European Union. The regulatory and legal bases for the use of the general declaration of arrival in European countries have been determined. The parties responsible for submitting preliminary data to the customs authorities, the deadlines for submitting the general declaration of arrival and the amount of data that must be submitted to the customs authority, depending on the type of transport on which the goods will be imported into the customs territory of the EU, were found. It was found that the data are specified in the general declaration arrival, the so-called “security notices”, which are submitted to border customs before the import of goods into the customs territory of the European Union, enable customs authorities to carry out a risk analysis, primarily with the aim of determining the degree of security and the appropriate way of conducting customs control. Studied the procedure for assessing security risks based on th</w:t>
      </w:r>
    </w:p>
    <w:p>
      <w:pPr/>
      <w:r>
        <w:rPr>
          <w:b/>
        </w:rPr>
        <w:t>POSSIBLE 2022:</w:t>
      </w:r>
      <w:r>
        <w:t xml:space="preserve"> Prevalence of most common skin diseases in Europe: a population‐based study — https://doi.org/10.1111/jdv.18050</w:t>
      </w:r>
    </w:p>
    <w:p>
      <w:pPr/>
      <w:r>
        <w:rPr>
          <w:b/>
        </w:rPr>
        <w:t>Shared claim-specific concepts:</w:t>
      </w:r>
      <w:r>
        <w:t xml:space="preserve"> based, general, who; EU scope visible. This is a provisional connection, not an outcome finding.</w:t>
      </w:r>
    </w:p>
    <w:p>
      <w:pPr>
        <w:pStyle w:val="SourceNote"/>
      </w:pPr>
      <w:r>
        <w:rPr>
          <w:b/>
        </w:rPr>
        <w:t>Available abstract (not full text):</w:t>
      </w:r>
      <w:r>
        <w:t xml:space="preserve"> BACKGROUND: The assessment of the prevalence of diseases is of primary importance in planning health policies. No complete data on the prevalence of skin diseases across European countries are available. OBJECTIVE: To estimate the prevalence of the most frequent skin conditions or diseases in 27 European countries (24 EU countries, plus Norway, Switzerland, and the United Kingdom). METHODS: We conducted a population-based study on representative and extrapolable samples of the general population aged 18 years or more in each of the 27 countries surveyed. Participants were selected using stratified, proportional sampling with a replacement design. Data were collected using a web-based online survey. All participants were asked to fill in a questionnaire with sociodemographic data and to declare if they have had one or more skin conditions or diseases during the previous 12 months. RESULTS: A total of 44 689 participants from 27 countries responded to the questionnaire, 21 887 (48.98%) men and 22 802 (51.02%) women. The proportion of participants who reported having suffered from at least one dermatological condition or disease during the previous 12 months was 43.35% (95% CI: 42.89%, 43.81%). The projection in the total population of the 27 countries included in the study resulted in 185 103 774 individuals affected by at least one dermatological condition or disease. Accordingl</w:t>
      </w:r>
    </w:p>
    <w:p>
      <w:pPr/>
      <w:r>
        <w:rPr>
          <w:b/>
        </w:rPr>
        <w:t>POSSIBLE 2022:</w:t>
      </w:r>
      <w:r>
        <w:t xml:space="preserve"> Over the shoulder enforcement in European regulatory networks:the role of arbitrage mitigation mechanisms in the General Data Protection Regulation — https://doi.org/10.1080/13501763.2022.2069845</w:t>
      </w:r>
    </w:p>
    <w:p>
      <w:pPr/>
      <w:r>
        <w:rPr>
          <w:b/>
        </w:rPr>
        <w:t>Shared claim-specific concepts:</w:t>
      </w:r>
      <w:r>
        <w:t xml:space="preserve"> general, out, national; EU scope visible. This is a provisional connection, not an outcome finding.</w:t>
      </w:r>
    </w:p>
    <w:p>
      <w:pPr>
        <w:pStyle w:val="SourceNote"/>
      </w:pPr>
      <w:r>
        <w:rPr>
          <w:b/>
        </w:rPr>
        <w:t>Available abstract (not full text):</w:t>
      </w:r>
      <w:r>
        <w:t xml:space="preserve"> Across many domains, the European Union relies on a system of regulatory network-based enforcement. National agencies work with peers to carry out on-the-ground implementation of supranational law. Network-based enforcement, however, raises concerns including regulatory capture and shirking. We explore how a novel governance tool – arbitrage mitigation mechanisms – may address some of these issues. These mechanisms are formal institutional procedures, which attempt to generate equivalent application of EU law for cross border regulation, and include horizontal checks among regulatory peers as well as vertical checks that allow civil society to voice accountability concerns. To demonstrate the validity of our argument, we examine the General Data Protection Regulation (GDPR) and European privacy enforcement. Our study contributes to the understanding of enforcement and compliance in European regulatory networks and offers a more fine grained understanding of when and how European citizens’ civil liberties will be upheld.</w:t>
      </w:r>
    </w:p>
    <w:p>
      <w:pPr/>
      <w:r>
        <w:rPr>
          <w:b/>
        </w:rPr>
        <w:t>POSSIBLE 2022:</w:t>
      </w:r>
      <w:r>
        <w:t xml:space="preserve"> Socioeconomic inequalities in cancer mortality between and within countries in Europe: a population-based study — https://doi.org/10.1016/j.lanepe.2022.100551</w:t>
      </w:r>
    </w:p>
    <w:p>
      <w:pPr/>
      <w:r>
        <w:rPr>
          <w:b/>
        </w:rPr>
        <w:t>Shared claim-specific concepts:</w:t>
      </w:r>
      <w:r>
        <w:t xml:space="preserve"> national, level, analysed, horizon; EU scope visible. This is a provisional connection, not an outcome finding.</w:t>
      </w:r>
    </w:p>
    <w:p>
      <w:pPr>
        <w:pStyle w:val="SourceNote"/>
      </w:pPr>
      <w:r>
        <w:rPr>
          <w:b/>
        </w:rPr>
        <w:t>Available abstract (not full text):</w:t>
      </w:r>
      <w:r>
        <w:t xml:space="preserve"> Background: Reducing socioeconomic inequalities in cancer is a priority for the public health agenda. A systematic assessment and benchmarking of socioeconomic inequalities in cancer across many countries and over time in Europe is not yet available. Methods: Census-linked, whole-of-population cancer-specific mortality data by socioeconomic position, as measured by education level, and sex were collected, harmonized, analysed, and compared across 18 countries during 1990-2015, in adults aged 40-79. We computed absolute and relative educational inequalities; temporal trends using estimated-annual-percentage-changes; the share of cancer mortality linked to educational inequalities. Findings: Everywhere in Europe, lower-educated individuals have higher mortality rates for nearly all cancer-types relative to their more highly-educated counterparts, particularly for tobacco/infection-related cancers [relative risk of lung cancer mortality for lower- versus higher-educated = 2.4 (95% confidence intervals: 2.1-2.8) among men; = 1.8 (95% confidence intervals: 1.5-2.1) among women]. However, the magnitude of inequalities varies greatly by country and over time, predominantly due to differences in cancer mortality among lower-educated groups, as for many cancer-types higher-educated have more similar (and lower) rates, irrespective of the country. Inequalities were generally greater in B</w:t>
      </w:r>
    </w:p>
    <w:p>
      <w:pPr/>
      <w:r>
        <w:rPr>
          <w:b/>
        </w:rPr>
        <w:t>POSSIBLE 2022:</w:t>
      </w:r>
      <w:r>
        <w:t xml:space="preserve"> Foresight: a new approach based on the Z-number cognitive map — https://doi.org/10.1186/s40309-022-00188-5</w:t>
      </w:r>
    </w:p>
    <w:p>
      <w:pPr/>
      <w:r>
        <w:rPr>
          <w:b/>
        </w:rPr>
        <w:t>Shared claim-specific concepts:</w:t>
      </w:r>
      <w:r>
        <w:t xml:space="preserve"> based, foresight, then, finally; EU scope not established. This is a provisional connection, not an outcome finding.</w:t>
      </w:r>
    </w:p>
    <w:p>
      <w:pPr>
        <w:pStyle w:val="SourceNote"/>
      </w:pPr>
      <w:r>
        <w:rPr>
          <w:b/>
        </w:rPr>
        <w:t>Available abstract (not full text):</w:t>
      </w:r>
      <w:r>
        <w:t xml:space="preserve"> Abstract Foresight has recently emerged as one of the most attractive and practical fields of study, while being used to draw up a preferable future and formulate appropriate strategies for achieving predetermined goals. The present research aimed at providing a framework for foresight with a primary focus on the role of a cognitive approach and its combination with the concept of fuzzy cognitive map in the environments of uncertainty and ambiguity. The proposed framework consisted of the 3 phases: pre-foresight, foresight, and post-foresight. The main stage (foresight) focused on the role of imagination and intuition in drawing the future in the experts’ minds and depicting their perceptions above perceptions in the form of a fuzzy cognitive map influenced by variables related to the subject under study in order to determine a preferable future. The use of a Z-number concept and integrating it with fuzzy cognitive maps in the foresight-oriented decision-making space, which was mainly saturated with uncertainty and ambiguity, was one of the main strengths of the proposed framework in the current investigation. The present paper focused primarily on the evolution of expert’s knowledge with regard to the topic of foresight. The role of Z-number in various processes, from data collection to illustration, analysis, and aggregation of cognitive maps, was considered for gaining knowl</w:t>
      </w:r>
    </w:p>
    <w:p>
      <w:pPr>
        <w:pStyle w:val="Heading2"/>
      </w:pPr>
      <w:r>
        <w:t>928. Scenario analysis for nutrient emission reduction in the European inland waters</w:t>
      </w:r>
    </w:p>
    <w:p>
      <w:pPr>
        <w:pStyle w:val="SourceNote"/>
      </w:pPr>
      <w:r>
        <w:rPr>
          <w:b/>
        </w:rPr>
        <w:t>Original source (2014):</w:t>
      </w:r>
      <w:r>
        <w:t xml:space="preserve"> https://doi.org/10.1088/1748-9326/9/12/125007</w:t>
      </w:r>
    </w:p>
    <w:p>
      <w:pPr/>
      <w:r>
        <w:t>Original wording (abstract; indexed_source_text_not_full_document_verified): In the present study we evaluate a set of alternative scenarios aiming at reducing nitrogen and phosphorus emissions from anthropogenic activities to all European Seas. Then we tested two human diet scenarios and their impacts on nutrient emissions.</w:t>
      </w:r>
    </w:p>
    <w:p>
      <w:pPr/>
      <w:r>
        <w:rPr>
          <w:b/>
        </w:rPr>
        <w:t>POSSIBLE 2023:</w:t>
      </w:r>
      <w:r>
        <w:t xml:space="preserve"> Towards an “Evaluation Dilemmas Model” – designing an evaluation scheme for a European capital of culture — https://doi.org/10.1108/aam-09-2021-0046</w:t>
      </w:r>
    </w:p>
    <w:p>
      <w:pPr/>
      <w:r>
        <w:rPr>
          <w:b/>
        </w:rPr>
        <w:t>Shared claim-specific concepts:</w:t>
      </w:r>
      <w:r>
        <w:t xml:space="preserve"> present, set, two; EU scope visible. This is a provisional connection, not an outcome finding.</w:t>
      </w:r>
    </w:p>
    <w:p>
      <w:pPr>
        <w:pStyle w:val="SourceNote"/>
      </w:pPr>
      <w:r>
        <w:rPr>
          <w:b/>
        </w:rPr>
        <w:t>Available abstract (not full text):</w:t>
      </w:r>
      <w:r>
        <w:t xml:space="preserve"> Purpose During the evaluation of European Capital of Culture (ECoC) Aarhus 2017, the evaluation organisation rethinkIMPACTS 2017 formulated a set of “dilemmas” capturing the main challenges arising during the design of the ECoC evaluation. This functioned as a framework for the evaluation process. This paper aims to present and discuss the relevance of the “Evaluation Dilemmas Model” as subsequently applied to the Galway 2020 ECoC programme evaluation. Design/methodology/approach The paper takes an empirical approach including auto-ethnography and interview data to document and map the dilemmas involved in undertaking an evaluation in two different European cities. Evolved via a process of practice-based research, the article addresses the development of and the arguments for the dilemmas model and considers its potential for wider applicability in the evaluation of large-scale cultural projects. Findings The authors conclude that the “Evaluation Dilemmas Model” is a valuable heuristic for considering the endogenous and exogenous issues in cultural evaluation. Practical implications The model developed is useful for a wide range of cultural evaluation processes including – but not limited to – European Capitals of Culture. Originality/value What has not been addressed in the academic literature is the process of evaluating ECoCs; especially how evaluators often take part in an </w:t>
      </w:r>
    </w:p>
    <w:p>
      <w:pPr/>
      <w:r>
        <w:rPr>
          <w:b/>
        </w:rPr>
        <w:t>POSSIBLE 2023:</w:t>
      </w:r>
      <w:r>
        <w:t xml:space="preserve"> Chemical Profile and Bioactivity Evaluation of Salvia Species from Eastern Europe — https://doi.org/10.3390/antiox12081514</w:t>
      </w:r>
    </w:p>
    <w:p>
      <w:pPr/>
      <w:r>
        <w:rPr>
          <w:b/>
        </w:rPr>
        <w:t>Shared claim-specific concepts:</w:t>
      </w:r>
      <w:r>
        <w:t xml:space="preserve"> present, evaluate, human; EU scope visible. This is a provisional connection, not an outcome finding.</w:t>
      </w:r>
    </w:p>
    <w:p>
      <w:pPr>
        <w:pStyle w:val="SourceNote"/>
      </w:pPr>
      <w:r>
        <w:rPr>
          <w:b/>
        </w:rPr>
        <w:t>Available abstract (not full text):</w:t>
      </w:r>
      <w:r>
        <w:t xml:space="preserve"> The Salvia genus comprises about 1000 species endowed with medicinal, aromatic, cosmetic, and ornamental applications. Even though the genus is one of the most-studied taxa of the Lamiaceae family, data on the chemical composition and biological properties of certain locally used Salvia species are still scarce. The present work aimed to evaluate the phytochemical profile and antimicrobial, antioxidant, and cytotoxic potential of ten Salvia species that grow in Eastern Europe (e.g., the Republic of Moldova). LC-HRMS/MS metabolite profiling allowed for the annotation of 15 phenolic and organic acids, 18 flavonoids, 19 diterpenes, 5 sesterpenes, and 2 triterpenes. Multivariate analysis (e.g., principal component analysis, hierarchical cluster analysis) revealed that S. austriaca, S. nutans, and S. officinalis formed individual clusters, whereas the remaining species had a similar composition. S. officinalis showed the highest activity against Staphylococcus aureus and Streptococcus pneumoniae (MIC = 0.625 mg/mL). As evaluated in DPPH, ABTS, and FRAP assays, S. officinalis was one of the most potent radical scavenging and metal-reducing agents (CE50 values of 25.33, 8.13, and 21.01 μg/mL, respectively), followed by S. verticillata, S. sclarea, S. kopetdaghensis, S. aethiopis, and S. tesquicola. Pearson correlation analysis revealed strong correlations with rosmarinic acid, luteoli</w:t>
      </w:r>
    </w:p>
    <w:p>
      <w:pPr/>
      <w:r>
        <w:rPr>
          <w:b/>
        </w:rPr>
        <w:t>POSSIBLE 2022:</w:t>
      </w:r>
      <w:r>
        <w:t xml:space="preserve"> Pollen-Based Maps of Past Regional Vegetation Cover in Europe Over 12 Millennia—Evaluation and Potential — https://doi.org/10.3389/fevo.2022.795794</w:t>
      </w:r>
    </w:p>
    <w:p>
      <w:pPr/>
      <w:r>
        <w:rPr>
          <w:b/>
        </w:rPr>
        <w:t>Shared claim-specific concepts:</w:t>
      </w:r>
      <w:r>
        <w:t xml:space="preserve"> present, evaluate, anthropogenic, human; EU scope visible. This is a provisional connection, not an outcome finding.</w:t>
      </w:r>
    </w:p>
    <w:p>
      <w:pPr>
        <w:pStyle w:val="SourceNote"/>
      </w:pPr>
      <w:r>
        <w:rPr>
          <w:b/>
        </w:rPr>
        <w:t>Available abstract (not full text):</w:t>
      </w:r>
      <w:r>
        <w:t xml:space="preserve"> Realistic and accurate reconstructions of past vegetation cover are necessary to study past environmental changes. This is important since the effects of human land-use changes (e.g. agriculture, deforestation and afforestation/reforestation) on biodiversity and climate are still under debate. Over the last decade, development, validation, and application of pollen-vegetation relationship models have made it possible to estimate plant abundance from fossil pollen data at both local and regional scales. In particular, the REVEALS model has been applied to produce datasets of past regional plant cover at 1° spatial resolution at large subcontinental scales (North America, Europe, and China). However, such reconstructions are spatially discontinuous due to the discrete and irregular geographical distribution of sites (lakes and peat bogs) from which fossil pollen records have been produced. Therefore, spatial statistical models have been developed to create continuous maps of past plant cover using the REVEALS-based land cover estimates. In this paper, we present the first continuous time series of spatially complete maps of past plant cover across Europe during the Holocene (25 time windows covering the period from 11.7 k BP to present). We use a spatial-statistical model for compositional data to interpolate REVEALS-based estimates of three major land-cover types (LCTs), i.e., e</w:t>
      </w:r>
    </w:p>
    <w:p>
      <w:pPr/>
      <w:r>
        <w:rPr>
          <w:b/>
        </w:rPr>
        <w:t>POSSIBLE 2020:</w:t>
      </w:r>
      <w:r>
        <w:t xml:space="preserve"> The Making of the New European Wind Atlas – Part 2: Production and evaluation — https://doi.org/10.5194/gmd-13-5079-2020</w:t>
      </w:r>
    </w:p>
    <w:p>
      <w:pPr/>
      <w:r>
        <w:rPr>
          <w:b/>
        </w:rPr>
        <w:t>Shared claim-specific concepts:</w:t>
      </w:r>
      <w:r>
        <w:t xml:space="preserve"> present, set, all, two; EU scope visible. This is a provisional connection, not an outcome finding.</w:t>
      </w:r>
    </w:p>
    <w:p>
      <w:pPr>
        <w:pStyle w:val="SourceNote"/>
      </w:pPr>
      <w:r>
        <w:rPr>
          <w:b/>
        </w:rPr>
        <w:t>Available abstract (not full text):</w:t>
      </w:r>
      <w:r>
        <w:t xml:space="preserve"> Abstract. This is the second of two papers that document the creation of the New European Wind Atlas (NEWA). In Part 1, we described the sensitivity experiments and accompanying evaluation done to arrive at the final mesoscale model setup used to produce the mesoscale wind atlas. In this paper, Part 2, we document how we made the final wind atlas product, covering both the production of the mesoscale climatology generated with the Weather Research and Forecasting (WRF) model and the microscale climatology generated with the Wind Atlas Analysis and Applications Program (WAsP). The paper includes a detailed description of the technical and practical aspects that went into running the mesoscale simulations and the downscaling using WAsP. We show the main results from the final wind atlas and present a comprehensive evaluation of each component of the NEWA model chain using observations from a large set of tall masts located all over Europe. The added value of the WRF and WAsP downscaling of wind climatologies is evaluated relative to the performance of the driving ERA5 reanalysis and shows that the WRF downscaling reduces the mean wind speed bias and spread relative to that of ERA5 from −1.50 ± 1.30 to 0.02 ± 0.78 ms−1. The WAsP downscaling has an added positive impact relative to that of the WRF model in simple terrain. In complex terrain, where the assumptions of the linearised </w:t>
      </w:r>
    </w:p>
    <w:p>
      <w:pPr/>
      <w:r>
        <w:rPr>
          <w:b/>
        </w:rPr>
        <w:t>POSSIBLE 2020:</w:t>
      </w:r>
      <w:r>
        <w:t xml:space="preserve"> Evidence for reducing cancer-specific mortality due to screening for breast cancer in Europe: A systematic review — https://doi.org/10.1016/j.ejca.2019.12.010</w:t>
      </w:r>
    </w:p>
    <w:p>
      <w:pPr/>
      <w:r>
        <w:rPr>
          <w:b/>
        </w:rPr>
        <w:t>Shared claim-specific concepts:</w:t>
      </w:r>
      <w:r>
        <w:t xml:space="preserve"> reducing, all, two; EU scope visible. This is a provisional connection, not an outcome finding.</w:t>
      </w:r>
    </w:p>
    <w:p>
      <w:pPr>
        <w:pStyle w:val="SourceNote"/>
      </w:pPr>
      <w:r>
        <w:rPr>
          <w:b/>
        </w:rPr>
        <w:t>Available abstract (not full text):</w:t>
      </w:r>
      <w:r>
        <w:t xml:space="preserve"> BACKGROUND: The aim of this study was to quantify the impact of organised mammography screening on breast cancer mortality across European regions. Therefore, a systematic review was performed including different types of studies from all European regions and stringently used clearly defined quality appraisal to summarise the best evidence. METHODS: Six databases were searched including Embase, Medline and Web of Science from inception to March 2018. To identify all eligible studies which assessed the effect of organised screening on breast cancer mortality, two reviewers independently applied predefined inclusion and exclusion criteria. Original studies in English with a minimum follow-up of five years that were randomised controlled trials (RCTs) or observational studies were included. The Cochrane risk of bias instrument and the Newcastle-Ottawa Scale were used to assess the risk of bias. RESULTS: Of the 5015 references initially retrieved, 60 were included in the final analysis. Those comprised 36 cohort studies, 17 case-control studies and 7 RCTs. None were from Eastern Europe. The quality of the included studies varied: Nineteen of these studies were of very good or good quality. Of those, the reduction in breast cancer mortality in attenders versus non-attenders ranged between 33% and 43% (Northern Europe), 43%-45% (Southern Europe) and 12%-58% (Western Europe). The esti</w:t>
      </w:r>
    </w:p>
    <w:p>
      <w:pPr/>
      <w:r>
        <w:rPr>
          <w:b/>
        </w:rPr>
        <w:t>POSSIBLE 2019:</w:t>
      </w:r>
      <w:r>
        <w:t xml:space="preserve"> Evaluation of data availability on population health indicators at the regional level across the European Union — https://doi.org/10.1186/s12963-019-0188-6</w:t>
      </w:r>
    </w:p>
    <w:p>
      <w:pPr/>
      <w:r>
        <w:rPr>
          <w:b/>
        </w:rPr>
        <w:t>Shared claim-specific concepts:</w:t>
      </w:r>
      <w:r>
        <w:t xml:space="preserve"> evaluate, set, all; EU scope visible. This is a provisional connection, not an outcome finding.</w:t>
      </w:r>
    </w:p>
    <w:p>
      <w:pPr>
        <w:pStyle w:val="SourceNote"/>
      </w:pPr>
      <w:r>
        <w:rPr>
          <w:b/>
        </w:rPr>
        <w:t>Available abstract (not full text):</w:t>
      </w:r>
      <w:r>
        <w:t xml:space="preserve"> BACKGROUND: The ability to measure regional health inequalities across Europe and to build adequate population health indices depends significantly on the availability of reliable and comparable data at the regional level. Within the scope of the EU-funded project EURO-HEALTHY, a Population Health Index (PHI) was built. This model aggregates 39 indicators considered relevant by experts and stakeholders to evaluate and monitor population health on the regional level within the European Union (269 regions). The aim of this research was to assess the data availability for those indicators. As a subsequent aim, an adequate protocol to overcome issues arising from missing data will be presented, as well as key messages for both national and European statistical authorities meant to improve data collection on population health. METHODS: The methodology for the study includes three consecutive phases: (i) assessing the data availability for the respective indicators at the regional level for the last year available (ii) applying a protocol for missing data and completing the database and (iii) developing a scoring system ranging from 0 (no data available; worst) to 1 (all data available; best) to evaluate the availability of data by indicator and EU region. RESULTS: Although the missing data on the set of the PHI indicators was significant, the mean availability score for the EURO-HEA</w:t>
      </w:r>
    </w:p>
    <w:p>
      <w:pPr/>
      <w:r>
        <w:rPr>
          <w:b/>
        </w:rPr>
        <w:t>POSSIBLE 2018:</w:t>
      </w:r>
      <w:r>
        <w:t xml:space="preserve"> The Evaluation of Implementation of Agricultural Sustainable Development Policy in the European Union — https://doi.org/10.22630/prs.2018.18.2.45</w:t>
      </w:r>
    </w:p>
    <w:p>
      <w:pPr/>
      <w:r>
        <w:rPr>
          <w:b/>
        </w:rPr>
        <w:t>Shared claim-specific concepts:</w:t>
      </w:r>
      <w:r>
        <w:t xml:space="preserve"> present, evaluate, set, two; EU scope visible. This is a provisional connection, not an outcome finding.</w:t>
      </w:r>
    </w:p>
    <w:p>
      <w:pPr>
        <w:pStyle w:val="SourceNote"/>
      </w:pPr>
      <w:r>
        <w:rPr>
          <w:b/>
        </w:rPr>
        <w:t>Available abstract (not full text):</w:t>
      </w:r>
      <w:r>
        <w:t xml:space="preserve"> Author tries to evaluate two elements of implementation of agricultural sustainable development policy in the European Union. Those elements are: “greening” and European innovation partnership. Greening is carried out by: crop diversification, maintenance of permanent grassland (PG), maintenance of ecological focus areas (EFA). Diversification of crops was carried out for three fourth of areas of arable lands in the EU. Diversification prevents soil erosion. Share of PG in the overall area of agricultural land in the EU is 29 %. The highest indicator is at present in the United Kingdom (90%), and the lowest in Cyprus, Malta, Denmark and Finland. From the set of actions maintaining the pro-environmental areas (EFA), the most popular were: setting aside (27 member states), and the least popular – afforestation (only 11 countries). When it comes to EFA area, the biggest share was the area for legume plants. New pro-environmental instrument is European Innovation Partnership for productive and sustainable agriculture. There has already been some results of this action in the EU countries.</w:t>
      </w:r>
    </w:p>
    <w:p>
      <w:pPr/>
      <w:r>
        <w:rPr>
          <w:b/>
        </w:rPr>
        <w:t>POSSIBLE 2017:</w:t>
      </w:r>
      <w:r>
        <w:t xml:space="preserve"> The role of humidity in determining scenarios of perceived temperature extremes in Europe — https://doi.org/10.1088/1748-9326/aa8cdd</w:t>
      </w:r>
    </w:p>
    <w:p>
      <w:pPr/>
      <w:r>
        <w:rPr>
          <w:b/>
        </w:rPr>
        <w:t>Shared claim-specific concepts:</w:t>
      </w:r>
      <w:r>
        <w:t xml:space="preserve"> present, evaluate, set, two, human, impacts; EU scope visible. This is a provisional connection, not an outcome finding.</w:t>
      </w:r>
    </w:p>
    <w:p>
      <w:pPr>
        <w:pStyle w:val="SourceNote"/>
      </w:pPr>
      <w:r>
        <w:rPr>
          <w:b/>
        </w:rPr>
        <w:t>Available abstract (not full text):</w:t>
      </w:r>
      <w:r>
        <w:t xml:space="preserve"> An increase of the 2 m temperature over Europe is expected within the current century.In order to consider health impacts, it is important to evaluate the combined effect of temperature and humidity on the human body.To achieve this, projections of a basic index-the humidex-representative of the perceived temperature, under different scenarios and periods, have been investigated.The simultaneous occurrence of observed extreme temperature events and perceived extreme temperature events is seldom found within the present climate, reinforcing the importance of investigating the combination of the two fields.A set of 10 km resolution regional climate simulations, provided within the EURO-CORDEX multi-model effort, demonstrates an ability in representing moderate to extreme events of perceived temperature over the present climate, and to be useful as a tool for quantifying future changes in geographical patterns of exposed areas over Europe.Following the RCP8.5 emission scenario, an expansion of the area subject to dangerous conditions is suggested from the middle of the current century, reaching 60 • N. The most significant increase of perceived extreme temperature conditions is found comparing the 2066-2095 projections to the 1976-2005 period; bearing in mind that changes in relative humidity may either amplify or offset the health effects of temperature, a less pronounced project</w:t>
      </w:r>
    </w:p>
    <w:p>
      <w:pPr/>
      <w:r>
        <w:rPr>
          <w:b/>
        </w:rPr>
        <w:t>POSSIBLE 2016:</w:t>
      </w:r>
      <w:r>
        <w:t xml:space="preserve"> Evaluation of European air quality modelled by CAMx including the volatility basis set scheme — https://doi.org/10.5194/acp-16-10313-2016</w:t>
      </w:r>
    </w:p>
    <w:p>
      <w:pPr/>
      <w:r>
        <w:rPr>
          <w:b/>
        </w:rPr>
        <w:t>Shared claim-specific concepts:</w:t>
      </w:r>
      <w:r>
        <w:t xml:space="preserve"> set, nitrogen, emissions, anthropogenic, all, two; EU scope visible. This is a provisional connection, not an outcome finding.</w:t>
      </w:r>
    </w:p>
    <w:p>
      <w:pPr>
        <w:pStyle w:val="SourceNote"/>
      </w:pPr>
      <w:r>
        <w:rPr>
          <w:b/>
        </w:rPr>
        <w:t>Available abstract (not full text):</w:t>
      </w:r>
      <w:r>
        <w:t xml:space="preserve"> Abstract. Four periods of EMEP (European Monitoring and Evaluation Programme) intensive measurement campaigns (June 2006, January 2007, September–October 2008 and February–March 2009) were modelled using the regional air quality model CAMx with VBS (Volatility Basis Set) approach for the first time in Europe within the framework of the EURODELTA-III model intercomparison exercise. More detailed analysis and sensitivity tests were performed for the period of February–March 2009 and June 2006 to investigate the uncertainties in emissions as well as to improve the modelling of organic aerosols (OA). Model performance for selected gas phase species and PM2.5 was evaluated using the European air quality database Airbase. Sulfur dioxide (SO2) and ozone (O3) were found to be overestimated for all the four periods with O3 having the largest mean bias during June 2006 and January–February 2007 periods (8.93 and 12.30 ppb mean biases, respectively). In contrast, nitrogen dioxide (NO2) and carbon monoxide (CO) were found to be underestimated for all the four periods. CAMx reproduced both total concentrations and monthly variations of PM2.5 very well for all the four periods with average biases ranging from −2.13 to 1.04 μg m-3. Comparisons with AMS (Aerosol Mass Spectrometer) measurements at different sites in Europe during February–March 2009, showed that in general the model over-predic</w:t>
      </w:r>
    </w:p>
    <w:p>
      <w:pPr/>
      <w:r>
        <w:rPr>
          <w:b/>
        </w:rPr>
        <w:t>POSSIBLE 2016:</w:t>
      </w:r>
      <w:r>
        <w:t xml:space="preserve"> Reassessing changes in diurnal temperature range: Intercomparison and evaluation of existing global data set estimates — https://doi.org/10.1002/2015jd024584</w:t>
      </w:r>
    </w:p>
    <w:p>
      <w:pPr/>
      <w:r>
        <w:rPr>
          <w:b/>
        </w:rPr>
        <w:t>Shared claim-specific concepts:</w:t>
      </w:r>
      <w:r>
        <w:t xml:space="preserve"> set, all, two; EU scope visible. This is a provisional connection, not an outcome finding.</w:t>
      </w:r>
    </w:p>
    <w:p>
      <w:pPr>
        <w:pStyle w:val="SourceNote"/>
      </w:pPr>
      <w:r>
        <w:rPr>
          <w:b/>
        </w:rPr>
        <w:t>Available abstract (not full text):</w:t>
      </w:r>
      <w:r>
        <w:t xml:space="preserve"> Abstract Changes in diurnal temperature range (DTR) over global land areas are compared from a broad range of independent data sets. All data sets agree that global‐mean DTR has decreased significantly since 1950, with most of that decrease occurring over 1960–1980. The since‐1979 trends are not significant, with inter‐data set disagreement even over the sign of global changes. Inter‐data set spread becomes greater regionally and in particular at the grid box level. Despite this, there is general agreement that DTR decreased in North America, Europe, and Australia since 1951, with this decrease being partially reversed over Australia and Europe since the early 1980s. There is substantive disagreement between data sets prior to the middle of the twentieth century, particularly over Europe, which precludes making any meaningful conclusions about DTR changes prior to 1950, either globally or regionally. Several variants that undertake a broad range of approaches to postprocessing steps of gridding and interpolation were analyzed for two of the data sets. These choices have a substantial influence in data sparse regions or periods. The potential of further insights is therefore inextricably linked with the efficacy of data rescue and digitization for maximum and minimum temperature series prior to 1950 everywhere and in data sparse regions throughout the period of record. Over Nort</w:t>
      </w:r>
    </w:p>
    <w:p>
      <w:pPr/>
      <w:r>
        <w:rPr>
          <w:b/>
        </w:rPr>
        <w:t>POSSIBLE 2016:</w:t>
      </w:r>
      <w:r>
        <w:t xml:space="preserve"> Reducing burden of disease from residential indoor air exposures in Europe (HEALTHVENT project) — https://doi.org/10.1186/s12940-016-0101-8</w:t>
      </w:r>
    </w:p>
    <w:p>
      <w:pPr/>
      <w:r>
        <w:rPr>
          <w:b/>
        </w:rPr>
        <w:t>Shared claim-specific concepts:</w:t>
      </w:r>
      <w:r>
        <w:t xml:space="preserve"> present, reducing, emissions, all; EU scope visible. This is a provisional connection, not an outcome finding.</w:t>
      </w:r>
    </w:p>
    <w:p>
      <w:pPr>
        <w:pStyle w:val="SourceNote"/>
      </w:pPr>
      <w:r>
        <w:rPr>
          <w:b/>
        </w:rPr>
        <w:t>Available abstract (not full text):</w:t>
      </w:r>
      <w:r>
        <w:t xml:space="preserve"> BACKGROUND: The annual burden of disease caused indoor air pollution, including polluted outdoor air used to ventilate indoor spaces, is estimated to correspond to a loss of over 2 million healthy life years in the European Union (EU). Based on measurements of the European Environment Agency (EEA), approximately 90 % of EU citizens live in areas where the World Health Organization (WHO) guidelines for air quality of particulate matter sized &lt; 2.5 mm (PM2.5) are not met. Since sources of pollution reside in both indoor and outdoor air, selecting the most appropriate ventilation strategy is not a simple and straightforward task. METHODS: A framework for developing European health-based ventilation guidelines was created in 2010-2013 in the EU-funded HEALTHVENT project. As a part of the project, the potential efficiency of control policies to health effects caused by residential indoor exposures of fine particulate matter (PM2.5), outdoor bioaerosols, volatile organic compounds (VOC), carbon oxide (CO) radon and dampness was estimated. The analysis was based on scenario comparison, using an outdoor-indoor mass-balance model and varying the ventilation rates. Health effects were estimated with burden of diseases (BoD) calculations taking into account asthma, cardiovascular (CV) diseases, acute toxication, respiratory infections, lung cancer and chronic obstructive pulmonary disease</w:t>
      </w:r>
    </w:p>
    <w:p>
      <w:pPr/>
      <w:r>
        <w:rPr>
          <w:b/>
        </w:rPr>
        <w:t>POSSIBLE 2015:</w:t>
      </w:r>
      <w:r>
        <w:t xml:space="preserve"> Histopathological evaluation of thrombus in patients presenting with stent thrombosis. A multicenter European study: a report of the prevention of late stent thrombosis by an interdisciplinary global European effort consortium — https://doi.org/10.1093/eurheartj/ehv419</w:t>
      </w:r>
    </w:p>
    <w:p>
      <w:pPr/>
      <w:r>
        <w:rPr>
          <w:b/>
        </w:rPr>
        <w:t>Shared claim-specific concepts:</w:t>
      </w:r>
      <w:r>
        <w:t xml:space="preserve"> present, evaluate, all; EU scope visible. This is a provisional connection, not an outcome finding.</w:t>
      </w:r>
    </w:p>
    <w:p>
      <w:pPr>
        <w:pStyle w:val="SourceNote"/>
      </w:pPr>
      <w:r>
        <w:rPr>
          <w:b/>
        </w:rPr>
        <w:t>Available abstract (not full text):</w:t>
      </w:r>
      <w:r>
        <w:t xml:space="preserve"> BACKGROUND: Stent thrombosis (ST) is a rare but serious complication following percutaneous coronary intervention. Analysis of thrombus composition from patients undergoing catheter thrombectomy may provide important insights into the pathological processes leading to thrombus formation. We performed a large-scale multicentre study to evaluate thrombus specimens in patients with ST across Europe. METHODS: Patients presenting with ST and undergoing thrombus aspiration were eligible for inclusion. Thrombus collection was performed according to a standardized protocol and specimens were analysed histologically at a core laboratory. Serial tissue cross sections were stained with haematoxylin-eosin (H&amp;E), Carstairs and Luna. Immunohistochemistry was performed to identify leukocyte subsets, prothrombotic neutrophil extracellular traps (NETs), erythrocytes, platelets, and fibrinogen. RESULTS: Overall 253 thrombus specimens were analysed; 79 (31.2%) from patients presenting with early ST, 174 (68.8%) from late ST; 79 (31.2%) were from bare metal stents, 166 (65.6%) from drug-eluting stents, 8 (3.2%) were from stents of unknown type. Thrombus specimens displayed heterogeneous morphology with platelet-rich thrombus and fibrin/fibrinogen fragments most abundant; mean platelet coverage was 57% of thrombus area. Leukocyte infiltrations were hallmarks of both early and late ST (early: 2260 ±</w:t>
      </w:r>
    </w:p>
    <w:p>
      <w:pPr>
        <w:pStyle w:val="Heading2"/>
      </w:pPr>
      <w:r>
        <w:t>929. Scenarios for renewable energy deployment in North African countries and electricity exchange with Europe – A modelbased analysis for 2050</w:t>
      </w:r>
    </w:p>
    <w:p>
      <w:pPr>
        <w:pStyle w:val="SourceNote"/>
      </w:pPr>
      <w:r>
        <w:rPr>
          <w:b/>
        </w:rPr>
        <w:t>Original source (2014):</w:t>
      </w:r>
      <w:r>
        <w:t xml:space="preserve"> https://doi.org/10.12720/sgce.3.3.299-306</w:t>
      </w:r>
    </w:p>
    <w:p>
      <w:pPr/>
      <w:r>
        <w:t>Original wording (abstract; indexed_source_text_not_full_document_verified): Deployment of renewable energy technologies in North Africa has large potentials for both, the coverage of the growing local electricity demand and for export of electricity to neighboring regions such as Europe.The presented research analyzes four scenarios with high shares of renewable energies in electricity generation (regional average 83-98%) in five North African countries and evaluates the opportunities and technical challenges for exchange of electricity within the region and with Europe.It was found that extensive grid reinforcements would be required to realize the presented scenarios.With respect to inner-regional transmission capacities in North Africa, results show that, depending on the scenario, about 90 % of the present grid would have to be expanded substantially in order to handle the expected transmission volumes in 2050.</w:t>
      </w:r>
    </w:p>
    <w:p>
      <w:pPr/>
      <w:r>
        <w:rPr>
          <w:b/>
        </w:rPr>
        <w:t>POSSIBLE 2026:</w:t>
      </w:r>
      <w:r>
        <w:t xml:space="preserve"> Renewable-energy deployment and electricity-system integration in the European Union — https://doi.org/10.1680/jener.26.00046</w:t>
      </w:r>
    </w:p>
    <w:p>
      <w:pPr/>
      <w:r>
        <w:rPr>
          <w:b/>
        </w:rPr>
        <w:t>Shared claim-specific concepts:</w:t>
      </w:r>
      <w:r>
        <w:t xml:space="preserve"> deployment, renewable, energy, electricity, generation; EU scope visible. This is a provisional connection, not an outcome finding.</w:t>
      </w:r>
    </w:p>
    <w:p>
      <w:pPr>
        <w:pStyle w:val="SourceNote"/>
      </w:pPr>
      <w:r>
        <w:rPr>
          <w:b/>
        </w:rPr>
        <w:t>Available abstract (not full text):</w:t>
      </w:r>
      <w:r>
        <w:t xml:space="preserve"> This study presents a comprehensive assessment of the European Union’s renewable energy transition, focusing on structural changes in electricity generation between 2015 and 2024. Using recent data from Eurostat and the International Renewable Energy Agency, the analysis shows that renewables reached 47.3% of total EU electricity generation in 2024, surpassing fossil fuels for the first time, largely driven by the rapid expansion of solar photovoltaic and wind energy. Despite this progress, achieving the EU’s enhanced 2030 target of 42.5% renewables and the global tripling pledge under COP28 remains challenging. Key barriers include limitations in grid integration, supply chain constraints, and slower decarbonisation in transport and heating sectors. This study highlights the need to move beyond capacity expansion towards a more integrated approach that emphasises system flexibility, sector coupling, and circular supply chains. It proposes a forward-looking policy framework that integrates technological, economic, and governance dimensions to support a resilient and climate-neutral energy system. The findings contribute to ongoing policy discussions by providing practical insights for advancing the next phase of the EU energy transition.</w:t>
      </w:r>
    </w:p>
    <w:p>
      <w:pPr/>
      <w:r>
        <w:rPr>
          <w:b/>
        </w:rPr>
        <w:t>POSSIBLE 2026:</w:t>
      </w:r>
      <w:r>
        <w:t xml:space="preserve"> Research Capacity, Scientific Collaboration, and Renewable- Energy Deployment Across Europe: A Longitudinal Systems Analysis — https://doi.org/10.3390/systems14101216</w:t>
      </w:r>
    </w:p>
    <w:p>
      <w:pPr/>
      <w:r>
        <w:rPr>
          <w:b/>
        </w:rPr>
        <w:t>Shared claim-specific concepts:</w:t>
      </w:r>
      <w:r>
        <w:t xml:space="preserve"> deployment, energy; EU scope visible. This is a provisional connection, not an outcome finding.</w:t>
      </w:r>
    </w:p>
    <w:p>
      <w:pPr>
        <w:pStyle w:val="SourceNote"/>
      </w:pPr>
      <w:r>
        <w:rPr>
          <w:b/>
        </w:rPr>
        <w:t>Available abstract (not full text):</w:t>
      </w:r>
      <w:r>
        <w:t xml:space="preserve"> Europe’s renewable-energy transition depends on interactions among scientific capability, institutions, investment, infrastructure, and resource conditions. This study examines whether national renewable-energy publication-based research activity and cross-country scientific collaboration are associated with subsequent renewable-electricity capacity development across Europe. A harmonised, database-defined Web of Science–Scopus corpus of 52,534 renewable-energy publications is integrated with population, GDP, and IRENA installed-capacity data for 2015–2025. Technology-specific publications per million inhabitants are related to subsequent changes in installed capacity per million inhabitants over one-, two-, and three-year horizons using country and year fixed effects with two-way clustered standard errors. For Total RES, point estimates are positive across all horizons (0.63, 1.99, and 3.96 MW per million inhabitants per additional publication per million inhabitants), but all primary 95% confidence intervals include zero. Technology-specific estimates are heterogeneous and imprecise. A complementary network analysis of 435 country pairs finds virtually no association between normalised scientific collaboration and similarity in deployment trajectories (Spearman ρ=−0.028). The analytical novelty of the study lies in integrating publication-based research activity, scientific-c</w:t>
      </w:r>
    </w:p>
    <w:p>
      <w:pPr/>
      <w:r>
        <w:rPr>
          <w:b/>
        </w:rPr>
        <w:t>POSSIBLE 2026:</w:t>
      </w:r>
      <w:r>
        <w:t xml:space="preserve"> Geopolitical risk and renewable energy capacity deployment: the moderating role of institutional quality in selected European Union economies — https://doi.org/10.17605/osf.io/b76ny</w:t>
      </w:r>
    </w:p>
    <w:p>
      <w:pPr/>
      <w:r>
        <w:rPr>
          <w:b/>
        </w:rPr>
        <w:t>Shared claim-specific concepts:</w:t>
      </w:r>
      <w:r>
        <w:t xml:space="preserve"> deployment, renewable, energy;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North Africa as an emerging green hydrogen hub: Algeria in focus — https://doi.org/10.1016/j.gerr.2026.100171</w:t>
      </w:r>
    </w:p>
    <w:p>
      <w:pPr/>
      <w:r>
        <w:rPr>
          <w:b/>
        </w:rPr>
        <w:t>Shared claim-specific concepts:</w:t>
      </w:r>
      <w:r>
        <w:t xml:space="preserve"> deployment, renewable, energy, north, africa, local; EU scope visible. This is a provisional connection, not an outcome finding.</w:t>
      </w:r>
    </w:p>
    <w:p>
      <w:pPr>
        <w:pStyle w:val="SourceNote"/>
      </w:pPr>
      <w:r>
        <w:rPr>
          <w:b/>
        </w:rPr>
        <w:t>Available abstract (not full text):</w:t>
      </w:r>
      <w:r>
        <w:t xml:space="preserve"> North Africa is emerging as a pivotal geoeconomic link in transcontinental energy flows across Europe, Asia, and Africa. This study evaluates the regional energy landscape, renewable resource endowment, and existing infrastructure in North Africa to identify key conditions enabling development of a green-hydrogen hub, with emphasis on Algeria as a core contributor to a trans-Mediterranean hydrogen corridor. The analysis shows that abundant solar and wind resources, proximity to European markets, and extensive natural gas pipeline and port systems create favorable conditions for cost-competitive green hydrogen production and large-scale export. The dense domestic gas network and existing trans-Mediterranean pipelines in Algeria provide practical pathways for hydrogen transport. However, the region faces persistent challenges, including slow renewable energy deployment, limited grid flexibility, and geopolitical uncertainty. The study concludes that realizing hydrogen potential in North Africa requires firm local industrial demand, coordinated regional governance, and long-term offtake agreements with shared infrastructure investments with the European Union. The findings support evidence-based development of the North Africa–Europe hydrogen corridor and design of regional energy strategies. • Abundant solar and wind resources support green hydrogen potential in North Africa. • T</w:t>
      </w:r>
    </w:p>
    <w:p>
      <w:pPr/>
      <w:r>
        <w:rPr>
          <w:b/>
        </w:rPr>
        <w:t>POSSIBLE 2026:</w:t>
      </w:r>
      <w:r>
        <w:t xml:space="preserve"> The European Union’s energy security based on renewables — https://doi.org/10.18559/978-83-8211-309-9/13</w:t>
      </w:r>
    </w:p>
    <w:p>
      <w:pPr/>
      <w:r>
        <w:rPr>
          <w:b/>
        </w:rPr>
        <w:t>Shared claim-specific concepts:</w:t>
      </w:r>
      <w:r>
        <w:t xml:space="preserve"> deployment, renewable, energy; EU scope visible. This is a provisional connection, not an outcome finding.</w:t>
      </w:r>
    </w:p>
    <w:p>
      <w:pPr>
        <w:pStyle w:val="SourceNote"/>
      </w:pPr>
      <w:r>
        <w:rPr>
          <w:b/>
        </w:rPr>
        <w:t>Available abstract (not full text):</w:t>
      </w:r>
      <w:r>
        <w:t xml:space="preserve"> Energy security is considered through the EU’s efforts to reduce dependence on imported fossil fuels by expanding renewables. The chapter reviews energy-security concepts, import-dependency patterns, post-2022 shifts in supplier relations, EU climate policy and supply chains for solar photovoltaics and wind turbines. Renewable energy can reduce exposure to imported gas, oil and coal, but it does not automatically remove dependency risks. Photovoltaic production is dominated by Chinese firms across raw materials, components and assembly, creating a new vulnerability for Europe. Wind energy offers a stronger European position because EU companies remain important turbine producers and assemblers. The chapter points to a broader resilience agenda: domestic technological capacity, supplier diversification, grid expansion, storage, recycling and sustainable lifecycle management must accompany renewable deployment.</w:t>
      </w:r>
    </w:p>
    <w:p>
      <w:pPr/>
      <w:r>
        <w:rPr>
          <w:b/>
        </w:rPr>
        <w:t>POSSIBLE 2025:</w:t>
      </w:r>
      <w:r>
        <w:t xml:space="preserve"> From energy dependency to energy security: How the war in Ukraine accelerated renewable deployment in Europe — https://doi.org/10.14254/2071-789x.2025/18-3/13</w:t>
      </w:r>
    </w:p>
    <w:p>
      <w:pPr/>
      <w:r>
        <w:rPr>
          <w:b/>
        </w:rPr>
        <w:t>Shared claim-specific concepts:</w:t>
      </w:r>
      <w:r>
        <w:t xml:space="preserve"> deployment, renewable, energy, technologies, both, electricity; EU scope visible. This is a provisional connection, not an outcome finding.</w:t>
      </w:r>
    </w:p>
    <w:p>
      <w:pPr>
        <w:pStyle w:val="SourceNote"/>
      </w:pPr>
      <w:r>
        <w:rPr>
          <w:b/>
        </w:rPr>
        <w:t>Available abstract (not full text):</w:t>
      </w:r>
      <w:r>
        <w:t xml:space="preserve"> The war in Ukraine has transformed Europe’s energy landscape, prompting urgent efforts to accelerate the transition to renewable energy in response to both security and climate imperatives. The aim of this research is to examine whether the geopolitical shock of 2022, together with associated sanctions, produced a measurable acceleration in renewable electricity deployment across European countries. Using panel data for 34 countries from 2014 to 2023, the study employs difference-in-differences, event study, and triple-difference models, which utilise Eurostat and World Bank data, and variables are normalised through Yeo–Johnson transformations. The results demonstrate a significant structural break in 2022. Aggregate renewable and waste capacity increased by 0.55 (p &lt; 0.001) on average, an effect that remained robust, though reduced to 0.16 (p &lt; 0.001), when country-specific trends were controlled for. Technology-specific estimates reveal firm heterogeneity: solar expanded most rapidly (1.30, p &lt; 0.001), wind capacity also rose (0.64, p &lt; 0.01), whereas hydropower exhibited only marginal gains (0.10, p ≈ 0.05) and biofuels showed no systematic change. A triple-difference specification confirms that post-2022 acceleration was concentrated in fast-deploying technologies, with a differential effect of 1.55 (p &lt; 0.001) compared to hydro and biofuels. These findings demonstrate tha</w:t>
      </w:r>
    </w:p>
    <w:p>
      <w:pPr/>
      <w:r>
        <w:rPr>
          <w:b/>
        </w:rPr>
        <w:t>POSSIBLE 2025:</w:t>
      </w:r>
      <w:r>
        <w:t xml:space="preserve"> Protectionism's adverse impact on renewable energy deployment: evidence from the European Union's import duties on China-made photovoltaic panels — https://doi.org/10.1016/j.enpol.2025.114789</w:t>
      </w:r>
    </w:p>
    <w:p>
      <w:pPr/>
      <w:r>
        <w:rPr>
          <w:b/>
        </w:rPr>
        <w:t>Shared claim-specific concepts:</w:t>
      </w:r>
      <w:r>
        <w:t xml:space="preserve"> deployment, renewable, energy, electricity, generation; EU scope visible. This is a provisional connection, not an outcome finding.</w:t>
      </w:r>
    </w:p>
    <w:p>
      <w:pPr>
        <w:pStyle w:val="SourceNote"/>
      </w:pPr>
      <w:r>
        <w:rPr>
          <w:b/>
        </w:rPr>
        <w:t>Available abstract (not full text):</w:t>
      </w:r>
      <w:r>
        <w:t xml:space="preserve"> Responding to the Paris Agreement on deep decarbonization, many countries have adopted industrial policies to promote their domestic manufacture of renewable energy equipment. If accompanied by protectionism, such policies impede renewable energy deployment that reduces the world's CO 2 emissions caused by production and consumption of fossil fuels. Using the quasi-natural experiment data for 36 OECD countries in 2011–2018, this paper econometrically documents the adverse impact of protectionism on renewable energy deployment based on the European Union's (EU's) anti-dumping and anti-subsidy import duties that took effect in December 2013 on China-made photovoltaic panels (CPP). Its key finding is that these duties had reduced the annual growth in the EU's solar energy share of total electricity generation. This statistically significant ( p -value ≤0.05) finding's policy implication is that had the EU not imposed these duties, its solar energy share growth could have been ∼0.7 % per year instead of the observed ∼0.2 % per year in the 2014–2018 period. The estimated difference of ∼0.5 % suggests an increase of ∼0.75 % in the EU electricity industry's CO 2 emissions. Thankfully, the EU's import duties on CPP expired at the end of 2018, thus eliminating one of the adverse effects of protectionism on the world's quest for a clean and sustainable electricity future. • Protectionism</w:t>
      </w:r>
    </w:p>
    <w:p>
      <w:pPr/>
      <w:r>
        <w:rPr>
          <w:b/>
        </w:rPr>
        <w:t>POSSIBLE 2025:</w:t>
      </w:r>
      <w:r>
        <w:t xml:space="preserve"> The Long‐term Socioeconomic Impacts of Renewable Energy Deployment: Lessons From Case Studies in European Rural Regions — https://doi.org/10.1111/jors.12775</w:t>
      </w:r>
    </w:p>
    <w:p>
      <w:pPr/>
      <w:r>
        <w:rPr>
          <w:b/>
        </w:rPr>
        <w:t>Shared claim-specific concepts:</w:t>
      </w:r>
      <w:r>
        <w:t xml:space="preserve"> deployment, renewable, energy, both, regions, energies; EU scope visible. This is a provisional connection, not an outcome finding.</w:t>
      </w:r>
    </w:p>
    <w:p>
      <w:pPr>
        <w:pStyle w:val="SourceNote"/>
      </w:pPr>
      <w:r>
        <w:rPr>
          <w:b/>
        </w:rPr>
        <w:t>Available abstract (not full text):</w:t>
      </w:r>
      <w:r>
        <w:t xml:space="preserve"> ABSTRACT The new environmental and geopolitical situation has led to the need for a change in the current energy model. The infrastructures associated with renewable energies may represent an opportunity for economic growth, employment generation, and population recovery in rural territories. This study evaluates the retrospective long‐term impacts that renewable energy installations have had on several rural regions in Europe. To that end, we develop a novel database on the annual installed capacity of renewables for European NUTS2 regions. This includes data on wind and photovoltaic energy, allowing us to capture both the scale and growth of renewable energy infrastructure over time in European regions. The data set spans multiple decades. Finally, we evaluate the socioeconomic effects these installations have on Europe's renewable energy capacity intensive rural regions analysing the different intra‐ and interregional impacts, using the Synthetic Control Method.</w:t>
      </w:r>
    </w:p>
    <w:p>
      <w:pPr/>
      <w:r>
        <w:rPr>
          <w:b/>
        </w:rPr>
        <w:t>POSSIBLE 2025:</w:t>
      </w:r>
      <w:r>
        <w:t xml:space="preserve"> Employment effects of the energy transition : renewable energy sources in Europe — https://doi.org/10.60644/9058</w:t>
      </w:r>
    </w:p>
    <w:p>
      <w:pPr/>
      <w:r>
        <w:rPr>
          <w:b/>
        </w:rPr>
        <w:t>Shared claim-specific concepts:</w:t>
      </w:r>
      <w:r>
        <w:t xml:space="preserve"> deployment, renewable, energy, both, local, electricity; EU scope visible. This is a provisional connection, not an outcome finding.</w:t>
      </w:r>
    </w:p>
    <w:p>
      <w:pPr>
        <w:pStyle w:val="SourceNote"/>
      </w:pPr>
      <w:r>
        <w:rPr>
          <w:b/>
        </w:rPr>
        <w:t>Available abstract (not full text):</w:t>
      </w:r>
      <w:r>
        <w:t xml:space="preserve"> The energy transition is a necessary response to climate change and its environmental consequences. In this thesis, I investigate the labour market implications of the energy transition; specifically, I examine how the deployment of renewable energy sources – measured as installed capacity for electricity generation – affects local employment in renewables in the member states of the European Union between 2017 and 2023, including both direct and indirect employment in renewable sources. Although renewables are job creators, an arising concern in switching to renewable energy is that most of the employment increase may not be in the country that installs the renewables. Thus, the purpose of this thesis is to uncover whether such an increase shows up on the country level, using a panel data approach that analyses countries over time, with country and time fixed effects and additional control variables. I compile a new dataset and examine total renewables, along with specific sources such as solar, wind and hydropower. I find that approximately two jobs are created for an additional MW of renewable capacity installed. Thus, my results imply a significantly positive effect of the deployment of renewable energy sources on local employment in renewables. However, to examine the net impact – which includes job losses from fossil fuels – additional research is needed. Overall, this th</w:t>
      </w:r>
    </w:p>
    <w:p>
      <w:pPr/>
      <w:r>
        <w:rPr>
          <w:b/>
        </w:rPr>
        <w:t>POSSIBLE 2025:</w:t>
      </w:r>
      <w:r>
        <w:t xml:space="preserve"> Faster deployment of renewables stabilizes electricity prices in Europe — https://doi.org/10.1038/s41560-025-01715-x</w:t>
      </w:r>
    </w:p>
    <w:p>
      <w:pPr/>
      <w:r>
        <w:rPr>
          <w:b/>
        </w:rPr>
        <w:t>Shared claim-specific concepts:</w:t>
      </w:r>
      <w:r>
        <w:t xml:space="preserve"> deployment, energy, electricity, generation; EU scope visible. This is a provisional connection, not an outcome finding.</w:t>
      </w:r>
    </w:p>
    <w:p>
      <w:pPr>
        <w:pStyle w:val="SourceNote"/>
      </w:pPr>
      <w:r>
        <w:rPr>
          <w:b/>
        </w:rPr>
        <w:t>Available abstract (not full text):</w:t>
      </w:r>
      <w:r>
        <w:t xml:space="preserve"> Increasing solar photovoltaic and wind generation capacity beyond European 2030 targets could make electricity prices more stable, with reductions in sensitivity to fluctuations in the price of natural gas possibly outweighing the increasing influence of weather effects. Energy policies should account for the macroeconomic benefits of more stable energy prices as an important motivation for the deployment of renewables, in addition to their contribution to the mitigation of climate change.</w:t>
      </w:r>
    </w:p>
    <w:p>
      <w:pPr/>
      <w:r>
        <w:rPr>
          <w:b/>
        </w:rPr>
        <w:t>POSSIBLE 2024:</w:t>
      </w:r>
      <w:r>
        <w:t xml:space="preserve"> Autarky penalty versus system cost effects for Europe of large-scale renewable energy imports from North Africa — https://doi.org/10.1016/j.esr.2023.101289</w:t>
      </w:r>
    </w:p>
    <w:p>
      <w:pPr/>
      <w:r>
        <w:rPr>
          <w:b/>
        </w:rPr>
        <w:t>Shared claim-specific concepts:</w:t>
      </w:r>
      <w:r>
        <w:t xml:space="preserve"> renewable, energy, north, africa, electricity; EU scope visible. This is a provisional connection, not an outcome finding.</w:t>
      </w:r>
    </w:p>
    <w:p>
      <w:pPr>
        <w:pStyle w:val="SourceNote"/>
      </w:pPr>
      <w:r>
        <w:rPr>
          <w:b/>
        </w:rPr>
        <w:t>Available abstract (not full text):</w:t>
      </w:r>
      <w:r>
        <w:t xml:space="preserve"> We quantify in more detail than earlier studies the cost trade-offs of establishing import-export links between Europe and North Africa for two quintessential energy carriers needed for the energy transition: electricity and hydrogen. Using the TIAM-ECN model, we show under what assumptions Europe will make a net energy system cost gain or, inversely, pay a net price for exploiting such interlinkages. We find that allowing for trade of renewable energy between Europe and North Africa substantially reduces the EU's domestic renewable energy capacity investments needed to implement its Green Deal and Fit for 55 Programme. In addition to creating import-export scenarios for electricity and hydrogen across the Mediterranean and investigating the cost implications of a European-African energy partnership until 2050, we perform a detailed sensitivity analysis regarding possible technological developments and sectoral shifts, as well as vis-à-vis potential cost, sectoral and technical asymmetries between Europe and North Africa. We introduce a new concept in energy analysis, autarky penalty, which is the price paid by a region for restricting energy trade with its neighbors. If domestic hydrogen production from solar and wind energy through electrolysis is constrained, Europe's autarky penalty may increase to 30 billion $ annually by 2050.</w:t>
      </w:r>
    </w:p>
    <w:p>
      <w:pPr/>
      <w:r>
        <w:rPr>
          <w:b/>
        </w:rPr>
        <w:t>POSSIBLE 2024:</w:t>
      </w:r>
      <w:r>
        <w:t xml:space="preserve"> Renewable energy, energy efficiency, and economic complexity in the middle East and North Africa: A panel data analysis — https://doi.org/10.1016/j.energy.2024.133300</w:t>
      </w:r>
    </w:p>
    <w:p>
      <w:pPr/>
      <w:r>
        <w:rPr>
          <w:b/>
        </w:rPr>
        <w:t>Shared claim-specific concepts:</w:t>
      </w:r>
      <w:r>
        <w:t xml:space="preserve"> renewable, energy, technologies, north, africa; EU scope not established. This is a provisional connection, not an outcome finding.</w:t>
      </w:r>
    </w:p>
    <w:p>
      <w:pPr>
        <w:pStyle w:val="SourceNote"/>
      </w:pPr>
      <w:r>
        <w:rPr>
          <w:b/>
        </w:rPr>
        <w:t>Available abstract (not full text):</w:t>
      </w:r>
      <w:r>
        <w:t xml:space="preserve"> This paper aims to investigate how economic complexity and structural transformation affect energy security. This study differs from previous research by focusing on energy efficiency and renewable energy transition as indicators of energy security. The employed methods include econometric techniques such as Panel-Corrected Standard Errors, Driscoll and Kraay's Spatial Correlation Consistent (SCC) method, and Generalized Least Squares, covering data from the Middle East and North Africa (MENA) countries between 1990 and 2017. The results show that economic complexity has a negative effect on energy efficiency but a positive impact on renewable energy. However, economic growth positively affects energy efficiency but negatively influences renewable energy. These results imply that economic complexity is energy-intensive but green, whereas economic growth is energy-saving but brown. The comparative analysis reveals that the negative effects of economic complexity and growth are larger than their positive effects, highlighting the necessity of restructuring economic activities and sectors. Accordingly, decision-makers should encourage the utilization of more energy-efficient technologies in economic activities and production, while promoting renewable energy consumption to enhance energy security in the MENA region. • Economic complexity is energy-intensive while promoting renewab</w:t>
      </w:r>
    </w:p>
    <w:p>
      <w:pPr>
        <w:pStyle w:val="Heading2"/>
      </w:pPr>
      <w:r>
        <w:t>930. Scenarios of water resources development in Poland up to 2030</w:t>
      </w:r>
    </w:p>
    <w:p>
      <w:pPr>
        <w:pStyle w:val="SourceNote"/>
      </w:pPr>
      <w:r>
        <w:rPr>
          <w:b/>
        </w:rPr>
        <w:t>Original source (2014):</w:t>
      </w:r>
      <w:r>
        <w:t xml:space="preserve"> https://doi.org/10.1134/s0097807814060219</w:t>
      </w:r>
    </w:p>
    <w:p>
      <w:pPr/>
      <w:r>
        <w:t>Original wording (abstract; indexed_source_text_not_full_document_verified): Sensitivity of the results of the applied techniques of development scenarios shows a need for further research.</w:t>
      </w:r>
    </w:p>
    <w:p>
      <w:pPr/>
      <w:r>
        <w:rPr>
          <w:b/>
        </w:rPr>
        <w:t>POSSIBLE 2026:</w:t>
      </w:r>
      <w:r>
        <w:t xml:space="preserve"> Modern Stochastic Techniques for Multifaceted Sensitivity Analysis — https://doi.org/10.3390/engproc2026150036</w:t>
      </w:r>
    </w:p>
    <w:p>
      <w:pPr/>
      <w:r>
        <w:rPr>
          <w:b/>
        </w:rPr>
        <w:t>Shared claim-specific concepts:</w:t>
      </w:r>
      <w:r>
        <w:t xml:space="preserve"> sensitivity, techniques, further; EU scope visible. This is a provisional connection, not an outcome finding.</w:t>
      </w:r>
    </w:p>
    <w:p>
      <w:pPr>
        <w:pStyle w:val="SourceNote"/>
      </w:pPr>
      <w:r>
        <w:rPr>
          <w:b/>
        </w:rPr>
        <w:t>Available abstract (not full text):</w:t>
      </w:r>
      <w:r>
        <w:t xml:space="preserve"> This paper introduces a sophisticated stochastic methodology grounded in a lattice rule featuring an optimized generating vector, which has been rigorously developed and comprehensively analyzed. At the heart of this investigation lies the Unified Danish Eulerian Model (UNI-DEM), an extensive large-scale mathematical framework designed to accurately capture the complex physical and chemical processes occurring within the atmosphere. The proposed lattice-based approach is systematically compared against state-of-the-art techniques, including the modified Sobol sequence and the Fibonacci lattice rule. The comparative analysis demonstrates the superiority of the proposed method in the estimation of high-dimensional integrals, highlighting its enhanced robustness and computational efficiency. These characteristics render it particularly well-suited for the computation of sensitivity indices, which are crucial for ensuring the reliability of scientific models. Furthermore, the study employs variance-based sensitivity analysis methods, notably the Sobol technique, to quantify the influence of input parameters on model outputs rigorously. A comprehensive experimental evaluation is undertaken, integrating advanced Monte Carlo algorithms in conjunction with stochastic scrambling strategies to further enhance computational performance. In addition, the research examines the effects of va</w:t>
      </w:r>
    </w:p>
    <w:p>
      <w:pPr/>
      <w:r>
        <w:rPr>
          <w:b/>
        </w:rPr>
        <w:t>POSSIBLE 2023:</w:t>
      </w:r>
      <w:r>
        <w:t xml:space="preserve"> Improving Diagnostic Sensitivity for Imbalanced Musculoskeletal Disorder Data: A Sensitivity-Based Multi-Sampling Technique for Osteoarthritis Prediction — https://doi.org/10.1101/2023.11.19.23298738</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ABSTRACT Background Medical datasets containing musculoskeletal disorders may have data imbalances due to the incidence of the disease, which may limit the predictive ability, such as the sensitivity, of musculoskeletal diagnostic prediction models built from these data. This study aimed to increase the sensitivity performance of osteoarthritis (OA) prediction when building a model by adjusting an OA imbalanced dataset using a sensitivity-based multi-sampling (SMS) technique. Methods OA Data were obtained from the Korea National Health and Nutrition Examination Survey (KNHANES). SMS technique combining oversampling and undersampling was applied to the imbalanced OA data, and the RandomForest algorithm was used for machine learning modeling. Model performance was evaluated based on accuracy, sensitivity, and specificity and compared with other hybrid sampling techniques. Result In the SMS technique, ADASYN, Borderline-SMOTE, SMOTE oversampling and ENN undersampling techniques were combined and applied. The OA prediction model using the SMS technique showed the highest sensitivity (82.20) but the lowest specificity (82.26) and accuracy (82.26) compared to other hybrid models. Conclusion SMS technique offers a potential solution for improving sensitivity performance for prediction models built on medical data imbalances due to low-incidence diseases. Nonetheless, caution is warran</w:t>
      </w:r>
    </w:p>
    <w:p>
      <w:pPr/>
      <w:r>
        <w:rPr>
          <w:b/>
        </w:rPr>
        <w:t>POSSIBLE 2022:</w:t>
      </w:r>
      <w:r>
        <w:t xml:space="preserve"> A simplified seasonal forecasting strategy, applied to wind and solar power in Europe — https://doi.org/10.1016/j.cliser.2022.100318</w:t>
      </w:r>
    </w:p>
    <w:p>
      <w:pPr/>
      <w:r>
        <w:rPr>
          <w:b/>
        </w:rPr>
        <w:t>Shared claim-specific concepts:</w:t>
      </w:r>
      <w:r>
        <w:t xml:space="preserve"> applied, further; EU scope visible. This is a provisional connection, not an outcome finding.</w:t>
      </w:r>
    </w:p>
    <w:p>
      <w:pPr>
        <w:pStyle w:val="SourceNote"/>
      </w:pPr>
      <w:r>
        <w:rPr>
          <w:b/>
        </w:rPr>
        <w:t>Available abstract (not full text):</w:t>
      </w:r>
      <w:r>
        <w:t xml:space="preserve"> We demonstrate levels of skill for forecasts of seasonal-mean wind speed and solar irradiance in Europe, using seasonal forecast systems available from the Copernicus Climate Change Service (C3S). While skill is patchy, there is potential for the development of climate services for the energy sector. Following previous studies, we show that, where there is skill, a simple linear regression-based method using the hindcast and forecast ensemble means provides a straightforward approach for producing calibrated probabilistic seasonal forecasts. This method extends naturally to using a larger-scale feature of the climate, such as the North Atlantic Oscillation, as the climate model predictor, and we show that this provides opportunities to improve the skill in some cases. We further demonstrate that, on seasonal-average and regional (e.g. national) average scales, wind and solar power generation are highly correlated with single climate variables (wind speed and irradiance). The detailed non-linear transformations from meteorological quantities to energy quantities, which are essential for detailed simulation of power system operations, are usually not necessary when forecasting gross wind or solar generation potential at seasonal-mean regional-mean scales. Together, our results demonstrate that where there is skill in seasonal forecasts of wind speed and irradiance, or a correlate</w:t>
      </w:r>
    </w:p>
    <w:p>
      <w:pPr/>
      <w:r>
        <w:rPr>
          <w:b/>
        </w:rPr>
        <w:t>POSSIBLE 2022:</w:t>
      </w:r>
      <w:r>
        <w:t xml:space="preserve"> Use of data mining techniques to explain the primary factors influencing water sensitivity of asphalt mixtures — https://doi.org/10.1016/j.conbuildmat.2022.128039</w:t>
      </w:r>
    </w:p>
    <w:p>
      <w:pPr/>
      <w:r>
        <w:rPr>
          <w:b/>
        </w:rPr>
        <w:t>Shared claim-specific concepts:</w:t>
      </w:r>
      <w:r>
        <w:t xml:space="preserve"> sensitivity, applied, techniques; EU scope visible. This is a provisional connection, not an outcome finding.</w:t>
      </w:r>
    </w:p>
    <w:p>
      <w:pPr>
        <w:pStyle w:val="SourceNote"/>
      </w:pPr>
      <w:r>
        <w:rPr>
          <w:b/>
        </w:rPr>
        <w:t>Available abstract (not full text):</w:t>
      </w:r>
      <w:r>
        <w:t xml:space="preserve"> The water sensitivity of asphalt mixtures affects the durability of the pavements, and it depends on several parameters related to its composition (aggregates and binder) and the production and application processes. One of the main parameters used in the European Standards to measure the water sensitivity of asphalt mixtures is the indirect tensile strength ratio (ITSR). Therefore, this work aims to obtain a predictive model of ITSR of asphalt mixtures using several parameters that affect water sensitivity and assess their relative importance. The database used to develop the model comprises thirteen parameters collected from one hundred sixty different asphalt mixtures. Data Mining techniques were applied to process the data using Multiple Regression, Artificial Neural Networks, and Support Vector Machines (SVM). The different metrics analysed showed that SVM is the best predictive model of the ITSR (mean absolute deviation of 0.116, root mean square error of 0.150 and Pearson correlation coefficient of 0.667). The application of a sensitivity analysis indicates that the binder content is the parameter that most influences the water sensitivity of asphalt mixtures (26%). However, this property depends simultaneously on other factors such as the characteristics of the coarse and fine aggregates (24.9%), asphalt binder characteristics (19.3%) and the use of additives (10%).</w:t>
      </w:r>
    </w:p>
    <w:p>
      <w:pPr/>
      <w:r>
        <w:rPr>
          <w:b/>
        </w:rPr>
        <w:t>POSSIBLE 2022:</w:t>
      </w:r>
      <w:r>
        <w:t xml:space="preserve"> Shifting sensitivity of septoria tritici blotch compromises field performance and yield of main fungicides in Europe — https://doi.org/10.3389/fpls.2022.1060428</w:t>
      </w:r>
    </w:p>
    <w:p>
      <w:pPr/>
      <w:r>
        <w:rPr>
          <w:b/>
        </w:rPr>
        <w:t>Shared claim-specific concepts:</w:t>
      </w:r>
      <w:r>
        <w:t xml:space="preserve"> sensitivity, applied, shows, need, further; EU scope visible. This is a provisional connection, not an outcome finding.</w:t>
      </w:r>
    </w:p>
    <w:p>
      <w:pPr>
        <w:pStyle w:val="SourceNote"/>
      </w:pPr>
      <w:r>
        <w:rPr>
          <w:b/>
        </w:rPr>
        <w:t>Available abstract (not full text):</w:t>
      </w:r>
      <w:r>
        <w:t xml:space="preserve"> Septoria tritici blotch (STB; Zymoseptoria tritici) is a severe leaf disease on wheat in Northern Europe. Fungicide resistance in the populations of Z. tritici is increasingly challenging future control options. Twenty-five field trials were carried out in nine countries across Europe from 2019 to 2021 to investigate the efficacy of specific DMI and SDHI fungicides against STB. During the test period, two single DMIs (prothioconazole and mefentrifluconazole) and four different SDHIs (fluxapyroxad, bixafen, benzovindiflupyr and fluopyram) along with different co-formulations of DMIs and SDHIs applied at flag leaf emergence were tested. Across all countries, significant differences in azole performances against STB were seen; prothioconazole was outperformed in all countries by mefentrifluconazole. The effects also varied substantially between the SDHIs, with fluxapyroxad providing the best efficacy overall, while the performance of fluopyram was inferior to other SDHIs. In Ireland and the UK, the efficacy of SDHIs was significantly lower compared with results from continental Europe. This reduction in performances from both DMIs and SDHIs was reflected in yield responses and also linked to decreased sensitivity of Z. tritici isolates measured as EC50 values. A clear and significant gradient in EC50 values was seen across Europe. The lower sensitivity to SDHIs in Ireland and the </w:t>
      </w:r>
    </w:p>
    <w:p>
      <w:pPr/>
      <w:r>
        <w:rPr>
          <w:b/>
        </w:rPr>
        <w:t>POSSIBLE 2022:</w:t>
      </w:r>
      <w:r>
        <w:t xml:space="preserve"> Invasive round goby shows higher sensitivity to salinization than native European perch — https://doi.org/10.3897/neobiota.75.86528</w:t>
      </w:r>
    </w:p>
    <w:p>
      <w:pPr/>
      <w:r>
        <w:rPr>
          <w:b/>
        </w:rPr>
        <w:t>Shared claim-specific concepts:</w:t>
      </w:r>
      <w:r>
        <w:t xml:space="preserve"> sensitivity, shows, further; EU scope visible. This is a provisional connection, not an outcome finding.</w:t>
      </w:r>
    </w:p>
    <w:p>
      <w:pPr>
        <w:pStyle w:val="SourceNote"/>
      </w:pPr>
      <w:r>
        <w:rPr>
          <w:b/>
        </w:rPr>
        <w:t>Available abstract (not full text):</w:t>
      </w:r>
      <w:r>
        <w:t xml:space="preserve"> Salinity is an influential abiotic environmental factor in aquatic species, specifically in freshwater, where salinization causes ecosystem degradation. Secondary salinization, that is increases in salinity due to anthropogenic activities, can affect both osmoregulation and behaviour in freshwater fishes. It is generally believed that invasive species handle climatic change and environmental degradation better than native species, which is one reason for their invasion success. However, how invasive and native species cope with salinity changes remains little understood. Therefore, we investigated how low (500 µS/cm) and high salinity (2000 µS/cm) conditions affected oxygen consumption and behaviour in the invasive round goby (Neogobius melanostomus) and the native European perch (Perca fluviatilis). Our results showed that in round goby oxygen consumption increased and swimming and non-swimming movements changed in response to salinity increments, whereas European perch was not affected by salinity. Thus, it seems as if the invasive round goby is more sensitive to changes in salinity than the native European perch. Our results fit with the minority of studies indicating invasive species being less tolerant than some native species to environmental changes. This finding could be explained by the adaptation of round goby to low salinity due to its long establishment in River Rhi</w:t>
      </w:r>
    </w:p>
    <w:p>
      <w:pPr/>
      <w:r>
        <w:rPr>
          <w:b/>
        </w:rPr>
        <w:t>POSSIBLE 2021:</w:t>
      </w:r>
      <w:r>
        <w:t xml:space="preserve"> Sensitivity and Uncertainty of the FLORIS Model Applied on the Lillgrund Wind Farm — https://doi.org/10.3390/en14051293</w:t>
      </w:r>
    </w:p>
    <w:p>
      <w:pPr/>
      <w:r>
        <w:rPr>
          <w:b/>
        </w:rPr>
        <w:t>Shared claim-specific concepts:</w:t>
      </w:r>
      <w:r>
        <w:t xml:space="preserve"> sensitivity, applied, shows; EU scope not established. This is a provisional connection, not an outcome finding.</w:t>
      </w:r>
    </w:p>
    <w:p>
      <w:pPr>
        <w:pStyle w:val="SourceNote"/>
      </w:pPr>
      <w:r>
        <w:rPr>
          <w:b/>
        </w:rPr>
        <w:t>Available abstract (not full text):</w:t>
      </w:r>
      <w:r>
        <w:t xml:space="preserve"> Wind farms experience significant efficiency losses due to the aerodynamic interaction between turbines. A possible control technique to minimize these losses is yaw-based wake steering. This paper investigates the potential for improved performance of the Lillgrund wind farm through a detailed calibration of a low-fidelity engineering model aimed specifically at yaw-based wake steering. The importance of each model parameter is assessed through a sensitivity analysis. This work shows that the model is overparameterized as at least one model parameter can be excluded from the calibration. The performance of the calibrated model is tested through an uncertainty analysis, which showed that the model has a significant bias but low uncertainty when comparing the predicted wake losses with measured wake losses. The model is used to optimize the annual energy production of the Lillgrund wind farm by determining yaw angles for specific inflow conditions. A significant energy gain is found when the optimal yaw angles are calculated deterministically. However, the energy gain decreases drastically when uncertainty in input conditions is included. More robust yaw angles can be obtained when the input uncertainty is taken into account during the optimization, which yields an energy gain of approximately 3.4%.</w:t>
      </w:r>
    </w:p>
    <w:p>
      <w:pPr/>
      <w:r>
        <w:rPr>
          <w:b/>
        </w:rPr>
        <w:t>POSSIBLE 2021:</w:t>
      </w:r>
      <w:r>
        <w:t xml:space="preserve"> A sequential calibration technique to improve IRI using TEC estimates of the GNSS network in Europe — https://doi.org/10.5194/egusphere-egu21-4190</w:t>
      </w:r>
    </w:p>
    <w:p>
      <w:pPr/>
      <w:r>
        <w:rPr>
          <w:b/>
        </w:rPr>
        <w:t>Shared claim-specific concepts:</w:t>
      </w:r>
      <w:r>
        <w:t xml:space="preserve"> sensitivity, applied, techniques; EU scope visible. This is a provisional connection, not an outcome finding.</w:t>
      </w:r>
    </w:p>
    <w:p>
      <w:pPr>
        <w:pStyle w:val="SourceNote"/>
      </w:pPr>
      <w:r>
        <w:rPr>
          <w:b/>
        </w:rPr>
        <w:t>Available abstract (not full text):</w:t>
      </w:r>
      <w:r>
        <w:t xml:space="preserve"> The development of space-geodetic observation techniques has brought out a wide range of applications such as positioning and navigation, where the Global Navigation Satellite System (GNSS) is the main tools to provide surveying measurements in these applications. Though GNSS signals enable the calculation of receiver's position, some errors restrict their accuracy. Among these errors, the ionospheric delay is considered as an important error source in the Standard Point Positioning (SPP) applications. Empirical ionospheric models such as Klobuchar, International Reference Ionosphere (IRI), and NeQuick are often applied for computing the Total Electron Content (TEC) within ionosphere and its equivalent delays. However the simulation and forecasting skills of these models are limited due to the simplified model structures and model sensitivity to the calibration period. In this study, we present a novel sequential Calibration approach based on the Ensemble Kalman Filter (C-EnKF) to improve the performance of TEC estimations for SPP applications. To demonstrate the results, the IRI model is used as our basis and the TEC estimates from 56 IGS stations in Europe are applied as observation. The C-EnKF is applied to calibrate some selected model parameter so that IRI can be tuned over Europe. The numerical assessments are performed against the TEC estimates from dual frequency GNSS m</w:t>
      </w:r>
    </w:p>
    <w:p>
      <w:pPr/>
      <w:r>
        <w:rPr>
          <w:b/>
        </w:rPr>
        <w:t>POSSIBLE 2021:</w:t>
      </w:r>
      <w:r>
        <w:t xml:space="preserve"> Reshaping Europe in complex Covid-19 times Need for cultural sensitivity in the European reconstruction process — https://doi.org/10.51149/roea.1.2021.1</w:t>
      </w:r>
    </w:p>
    <w:p>
      <w:pPr/>
      <w:r>
        <w:rPr>
          <w:b/>
        </w:rPr>
        <w:t>Shared claim-specific concepts:</w:t>
      </w:r>
      <w:r>
        <w:t xml:space="preserve"> sensitivity, need; EU scope visible. This is a provisional connection, not an outcome finding.</w:t>
      </w:r>
    </w:p>
    <w:p>
      <w:pPr>
        <w:pStyle w:val="SourceNote"/>
      </w:pPr>
      <w:r>
        <w:rPr>
          <w:b/>
        </w:rPr>
        <w:t>Available abstract (not full text):</w:t>
      </w:r>
      <w:r>
        <w:t xml:space="preserve"> The main aim of the article is to argue for a values-driven and cultural sensitivity approach in responding to the current challenges for a true European integration process, made even more necessary with the Covid-19 pandemic. In particular, the paper proposes a number of reflections and policy suggestions on the need of reshaping Europe in the turbulent Covid-19 times. In doing so, a four-section approach is adopted. The first section puts the European future in perspective. It refers to the historical development of the integration process from a mainly economic project to a sui generis international organisation and briefly overviews the current challenges and opportunities faced by the European Union. The second section identifies two major fundamental guiding lines for the EU’s future: the strengthening of a values-oriented European future, and development of a true European citizenship. The third section emphasises European solidarity as one of the crucial aspects of a sustainable and values-driven European future. This is especially evident in the necessarily cross-border approach to the Corona pandemic. The final section argues for cultural sensitivity in the EU reconstruction process in dealing with the Covid-19 crisis.</w:t>
      </w:r>
    </w:p>
    <w:p>
      <w:pPr/>
      <w:r>
        <w:rPr>
          <w:b/>
        </w:rPr>
        <w:t>POSSIBLE 2021:</w:t>
      </w:r>
      <w:r>
        <w:t xml:space="preserve"> Probabilistic Inverse Method for Source Localization Applied to ETEX and the 2017 Case of Ru-106 including Analyses of Sensitivity to Measurement Data — https://doi.org/10.3390/atmos12121567</w:t>
      </w:r>
    </w:p>
    <w:p>
      <w:pPr/>
      <w:r>
        <w:rPr>
          <w:b/>
        </w:rPr>
        <w:t>Shared claim-specific concepts:</w:t>
      </w:r>
      <w:r>
        <w:t xml:space="preserve"> sensitivity, applied, need; EU scope visible. This is a provisional connection, not an outcome finding.</w:t>
      </w:r>
    </w:p>
    <w:p>
      <w:pPr>
        <w:pStyle w:val="SourceNote"/>
      </w:pPr>
      <w:r>
        <w:rPr>
          <w:b/>
        </w:rPr>
        <w:t>Available abstract (not full text):</w:t>
      </w:r>
      <w:r>
        <w:t xml:space="preserve"> In recent years, cases of unexplained, elevated levels of radioactive particles have demonstrated an increasing need for efficient and robust source localization methods. In this study, a Bayesian method for source localization is developed and applied to two cases. First, the method is validated against the European tracer experiment (ETEX) and then applied to the still unaccounted for release of Ru-106 in the fall of 2017. The ETEX dataset, however, differs significantly from the Ru-106 dataset with regard to time resolution and the distance from the release site to the nearest measurements. Therefore, sensitivity analyses are conducted in order to test the method’s sensitivity to these parameters. The analyses show that the resulting source localization depends on both the observed temporal resolution and the existence of sampling stations close to the source. However, the method is robust, in the sense that reducing the amount of information in the dataset merely reduces the accuracy, and hence, none of the results are contradictory. When applied to the Ru-106 case, the results indicate that the Southern Ural region is the most plausible release area, and, as hypothesized by other studies, that the Mayak nuclear facility is the most likely release location.</w:t>
      </w:r>
    </w:p>
    <w:p>
      <w:pPr/>
      <w:r>
        <w:rPr>
          <w:b/>
        </w:rPr>
        <w:t>POSSIBLE 2020:</w:t>
      </w:r>
      <w:r>
        <w:t xml:space="preserve"> Sensitivity Analysis in Probabilistic Structural Design: A Comparison of Selected Techniques — https://doi.org/10.3390/su12114788</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Although more and more reliability-oriented sensitivity analysis (ROSA) techniques are now available, review and comparison articles of ROSA are absent. In civil engineering, many of the latest indices have never been used to analyse structural reliability for very small failure probability. This article aims to analyse and compare different sensitivity analysis (SA) techniques and discusses their strengths and weaknesses. For this purpose, eight selected sensitivity indices are first described and then applied in two different test cases. Four ROSA type indices are directly oriented on the failure probability or reliability index beta, and four other indices (of a different type) are oriented on the output of the limit state function. The case study and results correspond to cases under common engineering assumptions, where only two independent input variables with Gaussian distribution of the load action and the resistance are applied in the ultimate limit state. The last section of the article is dedicated to the analysis of the different results. Large differences between first-order sensitivity indices and very strong interaction effects obtained from ROSA are observed for very low values of failure probability. The obtained numerical results show that ROSA methods lack a common platform that clearly interprets the relationship of indices to their information value. This p</w:t>
      </w:r>
    </w:p>
    <w:p>
      <w:pPr/>
      <w:r>
        <w:rPr>
          <w:b/>
        </w:rPr>
        <w:t>POSSIBLE 2019:</w:t>
      </w:r>
      <w:r>
        <w:t xml:space="preserve"> An experimental sensitivity comparison of the schlieren and background-oriented schlieren techniques applied to hypersonic flow — https://doi.org/10.1088/1361-6501/ab1582</w:t>
      </w:r>
    </w:p>
    <w:p>
      <w:pPr/>
      <w:r>
        <w:rPr>
          <w:b/>
        </w:rPr>
        <w:t>Shared claim-specific concepts:</w:t>
      </w:r>
      <w:r>
        <w:t xml:space="preserve"> sensitivity, applied, techniques; EU scope not established. This is a provisional connection, not an outcome finding.</w:t>
      </w:r>
    </w:p>
    <w:p>
      <w:pPr>
        <w:pStyle w:val="SourceNote"/>
      </w:pPr>
      <w:r>
        <w:rPr>
          <w:b/>
        </w:rPr>
        <w:t>Available abstract (not full text):</w:t>
      </w:r>
      <w:r>
        <w:t xml:space="preserve"> Abstract An experimental study was performed to evaluate the spatial resolution, sensitivity and dynamic range of schlieren and background-oriented schlieren (BOS) applied to hypersonic flows with multiple density gradients. For a single Mach number, shock profile extracts for three values of freestream density are compared. Three processing metrics are proposed for BOS to optimise the sharpness of captured shocks and minimise processing blur are presented. The BOS results have a lower spatial resolution and sharpness than the schlieren images, but captured the model flow field features that were resolved by schlieren. A higher dynamic range was afforded for BOS due to the user-determined synthetic knife edge cut-off.</w:t>
      </w:r>
    </w:p>
    <w:p>
      <w:pPr>
        <w:pStyle w:val="Heading2"/>
      </w:pPr>
      <w:r>
        <w:t>931. Securing a bioenergy future without imports</w:t>
      </w:r>
    </w:p>
    <w:p>
      <w:pPr>
        <w:pStyle w:val="SourceNote"/>
      </w:pPr>
      <w:r>
        <w:rPr>
          <w:b/>
        </w:rPr>
        <w:t>Original source (2014):</w:t>
      </w:r>
      <w:r>
        <w:t xml:space="preserve"> https://doi.org/10.1016/j.enpol.2013.11.079</w:t>
      </w:r>
    </w:p>
    <w:p>
      <w:pPr/>
      <w:r>
        <w:t>Original wording (abstract; indexed_source_text_not_full_document_verified): The model shows that indigenous biomass resources and energy crops could service up to 44% of UK energy demand by 2050 without impacting food systems. The scenarios show, residues from agriculture, forestry and industry provide the most robust resource, potentially providing up to 6.5% of primary energy demand by 2050.</w:t>
      </w:r>
    </w:p>
    <w:p>
      <w:pPr/>
      <w:r>
        <w:rPr>
          <w:b/>
        </w:rPr>
        <w:t>POSSIBLE 2026:</w:t>
      </w:r>
      <w:r>
        <w:t xml:space="preserve"> Indigenous Pastoral Counseling Model in the Evangelical Christian Church in Halmahera — https://doi.org/10.64753/jcasc.v11i1.4299</w:t>
      </w:r>
    </w:p>
    <w:p>
      <w:pPr/>
      <w:r>
        <w:rPr>
          <w:b/>
        </w:rPr>
        <w:t>Shared claim-specific concepts:</w:t>
      </w:r>
      <w:r>
        <w:t xml:space="preserve"> indigenous, resources; EU scope not established. This is a provisional connection, not an outcome finding.</w:t>
      </w:r>
    </w:p>
    <w:p>
      <w:pPr>
        <w:pStyle w:val="SourceNote"/>
      </w:pPr>
      <w:r>
        <w:rPr>
          <w:b/>
        </w:rPr>
        <w:t>Available abstract (not full text):</w:t>
      </w:r>
      <w:r>
        <w:t xml:space="preserve"> This research aimed to explore indigenous pastoral counseling practices in the Evangelical Christian Church in Halmahera, focusing on the integration of local cultural values into the process. The main problems identified were the lack of counseling approach contextual to local culture, as well as challenges such as limited resources and stigma regarding psychological problems. Specifically, this research mapped existing pastoral counseling practices, identified local cultural elements, and developed an effective indigenous model. A qualitative case study design was used to collect data through in-depth interviews with church leaders, pastoral counselors, and congregation members, as well as participant observation and document analysis. The results showed that integrating local cultural values, such as in-depth dialogue, family and community inclusion, as well as the use of cultural rituals and symbols, increased the effectiveness of pastoral counseling. This approach helped the congregation feel more holistically connected and supported. However, challenges such as limited resources and stigma remained barriers. A critical discussion connected the result to theories of culture-based counseling, emphasizing the importance of a holistic approach that integrated spiritual, psychological, and social aspects. The development of an indigenous pastoral counseling model contextualize</w:t>
      </w:r>
    </w:p>
    <w:p>
      <w:pPr/>
      <w:r>
        <w:rPr>
          <w:b/>
        </w:rPr>
        <w:t>POSSIBLE 2025:</w:t>
      </w:r>
      <w:r>
        <w:t xml:space="preserve"> TRANSFORMATIVE EMBODIMENT IN INDIGENOUS DANCES: TOWARDS A PERFORMATIVE SUSTAINABILITY MODEL — https://doi.org/10.52152/7cnmbj06</w:t>
      </w:r>
    </w:p>
    <w:p>
      <w:pPr/>
      <w:r>
        <w:rPr>
          <w:b/>
        </w:rPr>
        <w:t>Shared claim-specific concepts:</w:t>
      </w:r>
      <w:r>
        <w:t xml:space="preserve"> indigenous, resources, show; EU scope not established. This is a provisional connection, not an outcome finding.</w:t>
      </w:r>
    </w:p>
    <w:p>
      <w:pPr>
        <w:pStyle w:val="SourceNote"/>
      </w:pPr>
      <w:r>
        <w:rPr>
          <w:b/>
        </w:rPr>
        <w:t>Available abstract (not full text):</w:t>
      </w:r>
      <w:r>
        <w:t xml:space="preserve"> The study proposes a novel Performative Sustainability Model based on the analysis of meanings of symbols present in the Bukidnon Dances using Charles Sanders Peirce’ Semiotic Theory. The findings show that the symbols common in Bukidnon Indigenous are the foot, hand, head, and body movements of the dancers; the distance between them and the materials they use such as white and red cloths, and spear. These symbols represent the movements of certain animals in Mt. Kitanglad and the cultural practices of as courtship, rituals, war, and weaving. Animals being mimicked in the indigenous dances are found in the air, the trees, the waters, and the land. The cultural practices imitated in the dance movements are usually performed in reverence to guardians of nature, utilization of natural resources, natural tendencies of choosing purity and peace. The dances’ mimesis to the elements of nature signifies recognition and respect to the guardians of nature, and failing to perform these activities means the absence of guidance and providence. It means that the indigenous dances communicate the interdependence between animals and people on nature and transform attitude towards the environment. Based on this, a Performative Sustainability Model (PSM) is proposed. This research outcome offers a significant contribution to the area of environmental sustainability through art and culture as exe</w:t>
      </w:r>
    </w:p>
    <w:p>
      <w:pPr/>
      <w:r>
        <w:rPr>
          <w:b/>
        </w:rPr>
        <w:t>POSSIBLE 2023:</w:t>
      </w:r>
      <w:r>
        <w:t xml:space="preserve"> Indigenous Mentorship for the Health Sciences: An Appraisal of a Contemporary Model by Indigenous Stakeholders — https://doi.org/10.1080/10401334.2023.2230577</w:t>
      </w:r>
    </w:p>
    <w:p>
      <w:pPr/>
      <w:r>
        <w:rPr>
          <w:b/>
        </w:rPr>
        <w:t>Shared claim-specific concepts:</w:t>
      </w:r>
      <w:r>
        <w:t xml:space="preserve"> indigenous, primary; EU scope not established. This is a provisional connection, not an outcome finding.</w:t>
      </w:r>
    </w:p>
    <w:p>
      <w:pPr>
        <w:pStyle w:val="SourceNote"/>
      </w:pPr>
      <w:r>
        <w:rPr>
          <w:b/>
        </w:rPr>
        <w:t>Available abstract (not full text):</w:t>
      </w:r>
      <w:r>
        <w:t xml:space="preserve"> Construct: In 2021, Murry et al. put forward a model of Indigenous mentorship within the health sciences based on the behaviors of Indigenous mentors toward their Indigenous mentees. This study explored mentees’ endorsements and/or criticisms of the IM model and how IM constructs and behaviors described in the model benefited them. Background: Models of Indigenous mentorship have been developed previously yet have not yet been empirically examined, restricting our ability to measure or make claims as to their consequences, correlates, and antecedents. Approach: Interviews with six Indigenous mentees asked about their: 1) resonance with the model, 2) stories related to mentors’ behaviors, 3) perceived benefits of their mentors’ behaviors on their journey, and 4) components they felt were missing from the model. Data were analyzed using qualitative content analysis. Findings: Overall, the model resonated with participants. Mentees told stories about mentors engaging in the IM constructs practicing relationalism most frequently, followed by fostering Indigenous identity development, utilizing a mentee-centered focus, and imbuing criticality, advocacy, and abiding by Indigenous ethics. Benefits included improved career and work attitudes, motivation, and overall well-being, engaging in helping behaviors, and enhanced criticality. Recommendations to expand the model included incorpo</w:t>
      </w:r>
    </w:p>
    <w:p>
      <w:pPr/>
      <w:r>
        <w:rPr>
          <w:b/>
        </w:rPr>
        <w:t>POSSIBLE 2023:</w:t>
      </w:r>
      <w:r>
        <w:t xml:space="preserve"> A systematic review of modeling approaches for flexible energy resources — https://doi.org/10.1016/j.rser.2023.113541</w:t>
      </w:r>
    </w:p>
    <w:p>
      <w:pPr/>
      <w:r>
        <w:rPr>
          <w:b/>
        </w:rPr>
        <w:t>Shared claim-specific concepts:</w:t>
      </w:r>
      <w:r>
        <w:t xml:space="preserve"> shows, resources, energy, systems; EU scope not established. This is a provisional connection, not an outcome finding.</w:t>
      </w:r>
    </w:p>
    <w:p>
      <w:pPr>
        <w:pStyle w:val="SourceNote"/>
      </w:pPr>
      <w:r>
        <w:rPr>
          <w:b/>
        </w:rPr>
        <w:t>Available abstract (not full text):</w:t>
      </w:r>
      <w:r>
        <w:t xml:space="preserve"> Due to increasing amounts of energy being supplied by intermittent renewable energy sources, future energy systems need to be able to react flexibly to sudden changes. To address this challenge, a large body of research is devoted to improving the utilization of energy flexibility of various types of energy resources on the supply and demand side. This is commonly done by applying mathematical models. The objective of this paper is to review such models and identify common modeling approaches used to quantify and optimize the use of flexible energy resources. The literature review is conducted systematically, encompassing 215 publications that feature 694 models of different energy resources. The main distinction of this work, in comparison to other reviews on the topic of energy flexibility lies in its focus on the mathematical formulation of models of energy resources and the quantification of the models’ level of detail. The aim is to identify common modeling approaches and the corresponding research problems they address. The review shows that the majority of research efforts are directed towards the management and optimization of distributed energy resources. The most commonly employed modeling approach involves abstract black-box models with limited levels of detail. Linear programming and meta-heuristics are frequently used to optimize energy flexibility. A critical refl</w:t>
      </w:r>
    </w:p>
    <w:p>
      <w:pPr/>
      <w:r>
        <w:rPr>
          <w:b/>
        </w:rPr>
        <w:t>POSSIBLE 2023:</w:t>
      </w:r>
      <w:r>
        <w:t xml:space="preserve"> Indigenous Technology Empowerment Model: A Community-based Design Framework — https://doi.org/10.1109/ice/itmc58018.2023.10332432</w:t>
      </w:r>
    </w:p>
    <w:p>
      <w:pPr/>
      <w:r>
        <w:rPr>
          <w:b/>
        </w:rPr>
        <w:t>Shared claim-specific concepts:</w:t>
      </w:r>
      <w:r>
        <w:t xml:space="preserve"> shows, indigenous, systems; EU scope not established. This is a provisional connection, not an outcome finding.</w:t>
      </w:r>
    </w:p>
    <w:p>
      <w:pPr>
        <w:pStyle w:val="SourceNote"/>
      </w:pPr>
      <w:r>
        <w:rPr>
          <w:b/>
        </w:rPr>
        <w:t>Available abstract (not full text):</w:t>
      </w:r>
      <w:r>
        <w:t xml:space="preserve"> This paper addresses the lack of social and cultural inclusion in the design of systems and products based on emerging technologies. Through a review of existing design processes, and focusing on Virtual Reality (VR) and Indigenous Peoples as examples, we conclude that existing design approaches for such technologies are not socially and culturally inclusive, don’t consider users as a community with its protocols and knowledge, and are not suitable for marginalized groups such as Indigenous Peoples. Through a collaborative project aiming at a prototype VR gathering place for Indigenous communities, we investigate the needs and concerns of community members and propose a framework consisting of a new information system model and its design process. We refer to this framework as Indigenous Technology Empowerment Model (ITEM), which is implemented using a hierarchical community involvement approach and elements we call Participatory Action Unit (PAU). Our prototype development follows this framework, and a qualitative analysis of community participation shows the initial success of our approach in empowering the communities to play an active role in the design process and identify the important technical features to be worked on. Our research also identifies proper community training as an essential component of a community-based design process.</w:t>
      </w:r>
    </w:p>
    <w:p>
      <w:pPr/>
      <w:r>
        <w:rPr>
          <w:b/>
        </w:rPr>
        <w:t>POSSIBLE 2023:</w:t>
      </w:r>
      <w:r>
        <w:t xml:space="preserve"> Environmental Conservation Policy Model Based on the Protection of Indigenous Peoples in Indonesia — https://doi.org/10.47268/sasi.v29i1.1274</w:t>
      </w:r>
    </w:p>
    <w:p>
      <w:pPr/>
      <w:r>
        <w:rPr>
          <w:b/>
        </w:rPr>
        <w:t>Shared claim-specific concepts:</w:t>
      </w:r>
      <w:r>
        <w:t xml:space="preserve"> indigenous, resources, show, provide, primary; EU scope not established. This is a provisional connection, not an outcome finding.</w:t>
      </w:r>
    </w:p>
    <w:p>
      <w:pPr>
        <w:pStyle w:val="SourceNote"/>
      </w:pPr>
      <w:r>
        <w:rPr>
          <w:b/>
        </w:rPr>
        <w:t>Available abstract (not full text):</w:t>
      </w:r>
      <w:r>
        <w:t xml:space="preserve"> Introduction: Indigenous peoples are an order of society that existed even before the Indonesian nation was born. The Indonesian state recognizes the existence of indigenous peoples and their rights. The legal protection of indigenous peoples is the responsibility of the state as mandated by the constitution and other relevant laws and regulations regarding the management of natural resources. However, there are still conflicts between indigenous peoples, the government, and companies that have received management permits from the government.Purposes of the Research: This study aims to review and provide a policy model formulation regarding the protection of indigenous peoples in the context of environmental conservation.Methods of the Research: Researchers use normative legal research methods that examine through a statutory approach and a case approach. Legal materials are obtained through literature studies, both primary and secondary legal materials that are relevant to the problem under study.Results of the Research: The results show that currently the arrangements that are a form of recognition and protection of indigenous peoples are still scattered in many laws and regulations. Even though it has been regulated, the arrangement is still not enough, so a policy model for the protection of indigenous peoples is needed that also firmly provides protection in the context of</w:t>
      </w:r>
    </w:p>
    <w:p>
      <w:pPr/>
      <w:r>
        <w:rPr>
          <w:b/>
        </w:rPr>
        <w:t>POSSIBLE 2022:</w:t>
      </w:r>
      <w:r>
        <w:t xml:space="preserve"> Remote sensing, snow modelling, survey data and Indigenous Knowledge show how snow and sea-ice conditions affect Peary caribou (Rangifer tarandus pearyi) distribution and inter-island and island–mainland movements — https://doi.org/10.33265/polar.v41.7964</w:t>
      </w:r>
    </w:p>
    <w:p>
      <w:pPr/>
      <w:r>
        <w:rPr>
          <w:b/>
        </w:rPr>
        <w:t>Shared claim-specific concepts:</w:t>
      </w:r>
      <w:r>
        <w:t xml:space="preserve"> shows, indigenous, show; EU scope not established. This is a provisional connection, not an outcome finding.</w:t>
      </w:r>
    </w:p>
    <w:p>
      <w:pPr>
        <w:pStyle w:val="SourceNote"/>
      </w:pPr>
      <w:r>
        <w:rPr>
          <w:b/>
        </w:rPr>
        <w:t>Available abstract (not full text):</w:t>
      </w:r>
      <w:r>
        <w:t xml:space="preserve"> Accelerated warming of the Arctic has reduced sea ice and has increased the occurrence of winter extreme events like rain-on-snow and storms that impact snow-cover densification, affecting Peary caribou (Rangifer tarandus pearyi) seasonal movements and grazing conditions. We used caribou movements between Banks, Melville and Victoria islands and mainland Canada, documented from Indigenous Knowledge, to assess whether spatiotemporal trends in sea-ice anomalies (1983–2019) can be used as an indicator of caribou movement. We used the SNOWPACK model to evaluate how foraging conditions (as indexed by simulated snow properties) contribute to the prediction of caribou presence. Our results suggest that changes in sea-ice anomalies over time have impacted caribou crossings between islands: caribou no longer use areas with less sea ice whilst they continue to use areas with more sea ice. Our model evaluation shows that, when the simulated snow conditions are paired with other environmental variables, the ability of models to predict Peary caribou occurrence on land was enhanced across Banks and Melville islands. Overall, the land models suggest that caribou are more likely to occupy areas with lower density of snow accumulation and a majority of forb tundra with dwarf shrubs for Banks Island and cryptogam tundra, rush and grass for the Melville Island Complex. Our results suggest that f</w:t>
      </w:r>
    </w:p>
    <w:p>
      <w:pPr/>
      <w:r>
        <w:rPr>
          <w:b/>
        </w:rPr>
        <w:t>POSSIBLE 2022:</w:t>
      </w:r>
      <w:r>
        <w:t xml:space="preserve"> NONLINEAR GROWTH MODELS FOR INDIGENOUS VIETNAMESE RI CHICKEN — https://doi.org/10.36899/japs.2022.6.0562</w:t>
      </w:r>
    </w:p>
    <w:p>
      <w:pPr/>
      <w:r>
        <w:rPr>
          <w:b/>
        </w:rPr>
        <w:t>Shared claim-specific concepts:</w:t>
      </w:r>
      <w:r>
        <w:t xml:space="preserve"> indigenous, industry; EU scope not established. This is a provisional connection, not an outcome finding.</w:t>
      </w:r>
    </w:p>
    <w:p>
      <w:pPr>
        <w:pStyle w:val="SourceNote"/>
      </w:pPr>
      <w:r>
        <w:rPr>
          <w:b/>
        </w:rPr>
        <w:t>Available abstract (not full text):</w:t>
      </w:r>
      <w:r>
        <w:t xml:space="preserve"> Chicken growth performance is an important economic trait, so finding the growth curve is essential for the chicken industry including indigenous chicken. Vietnam has many different native chicken breeds and Ri is one of the most famous native chickens. The objective of this study was to find out the best model to estimate the growth of Ri chicken. The body weight of 358 Ri chicken was measured every week until week 20 of age and growth data was analyzed in R using six mathematical functions (Bertalanffy, Bridges, Janoschek, Gompertz, Logistic, and Richards). The results showed that the best models to describe the growth of Ri males and females were Gompertz and Bridges, respectively. The upper asymptotic body weight (α) was estimated for males from 2,130 g (Logistic) to 2,600 g (Bertalanffy), whereas this α value for females was from 1,500 g (Logistic) and 1,816 g (Bertalanffy). Age at the start of the growth acceleration phase was estimated from 2.80 to 3.90 weeks for males and from 2.00 to 3.30 weeks for females. The inflection point for males (7.54 to 9.72 weeks of age) was higher than for females (7.10 to 9.43 weeks of age). Age at the end of the growth deceleration phase was estimated from 16.65 to 24.80 weeks for males and from 12.70 to 25.15 weeks for females. In conclusion, the best model for reporting the Ri chickens’ growth curve was the Gompertz for males and Bridge</w:t>
      </w:r>
    </w:p>
    <w:p>
      <w:pPr/>
      <w:r>
        <w:rPr>
          <w:b/>
        </w:rPr>
        <w:t>POSSIBLE 2021:</w:t>
      </w:r>
      <w:r>
        <w:t xml:space="preserve"> A robust model for aggregated bidding of energy storages and wind resources in the joint energy and reserve markets — https://doi.org/10.1016/j.energy.2021.121735</w:t>
      </w:r>
    </w:p>
    <w:p>
      <w:pPr/>
      <w:r>
        <w:rPr>
          <w:b/>
        </w:rPr>
        <w:t>Shared claim-specific concepts:</w:t>
      </w:r>
      <w:r>
        <w:t xml:space="preserve"> resources, energy, service, show, robust, resource; EU scope not established. This is a provisional connection, not an outcome finding.</w:t>
      </w:r>
    </w:p>
    <w:p>
      <w:pPr>
        <w:pStyle w:val="SourceNote"/>
      </w:pPr>
      <w:r>
        <w:rPr>
          <w:b/>
        </w:rPr>
        <w:t>Available abstract (not full text):</w:t>
      </w:r>
      <w:r>
        <w:t xml:space="preserve"> The high reliability and flexibility of Battery Energy Storage (BES) resources in comparison with other renewable technologies promote the development of this technology in smart grids. The fast response of BES to load variations could help the power system operators to maintain the balance of generation and consumption in real-time, and improve the flexibility of the smart grid, effectively. In this work, a new model is presented that determines the aggregated scheduling of BES and Wind Power Resource (WPR) in the joint energy and reserve markets. To evaluate the performance of BES in different markets, the proposed model is divided into day-ahead and real-time planning horizons. According to market prices, ramp rates, marginal costs, and technical constraints of units, the optimal participation levels in different markets are determined. The deployed power in real-time and wind power are considered as the uncertain parameters and the Robust Optimization (RO) framework is proposed to manage the related financial risk based on the worst-case realizations of uncertain parameters. The robust strategy is formulated based on the Mixed Integer Linear Programming (MILP) technique, which can be solved via the branch-and-bound method. Finally, the performance and effectiveness of the model are analyzed via different case studies. Simulation results show that the day-ahead and real-time</w:t>
      </w:r>
    </w:p>
    <w:p>
      <w:pPr/>
      <w:r>
        <w:rPr>
          <w:b/>
        </w:rPr>
        <w:t>POSSIBLE 2021:</w:t>
      </w:r>
      <w:r>
        <w:t xml:space="preserve"> Modelling and Characterisation of Flexibility From Distributed Energy Resources — https://doi.org/10.1109/tpwrs.2021.3096971</w:t>
      </w:r>
    </w:p>
    <w:p>
      <w:pPr/>
      <w:r>
        <w:rPr>
          <w:b/>
        </w:rPr>
        <w:t>Shared claim-specific concepts:</w:t>
      </w:r>
      <w:r>
        <w:t xml:space="preserve"> resources, energy; EU scope not established. This is a provisional connection, not an outcome finding.</w:t>
      </w:r>
    </w:p>
    <w:p>
      <w:pPr>
        <w:pStyle w:val="SourceNote"/>
      </w:pPr>
      <w:r>
        <w:rPr>
          <w:b/>
        </w:rPr>
        <w:t>Available abstract (not full text):</w:t>
      </w:r>
      <w:r>
        <w:t xml:space="preserve"> Harnessing flexibility from distributed energy resources (DER) to participate in various markets while accounting for relevant technical and commercial constraints is essential for the development of low-carbon grids. However, there is no clear definition or even description of the salient features of aggregated DER flexibility, including its steady-state and dynamic features and how these are impacted by network constraints and market requirements. This paper proposes a comprehensive DER flexibility modelling and characterisation framework that is based on the concept ofnodal operating envelope(NOE). In particular, capacity, ramp, duration and cost are identified as key flexibility metrics and associated with different but consistent NOEs describingcapability,feasibility,ramp,duration,economic,technicalandcommercial flexibilityfeatures. These NOEs, which conceptually arise from a Venn diagram, can be built via optimal power flow (OPF) analysis, visualised in the active-reactive power space, and used by different stakeholders. Results from a canonical test system and a real distribution system illustrate the value and applicability of the proposed framework to model and characterise provision of flexibility and market services from DER for different use cases.</w:t>
      </w:r>
    </w:p>
    <w:p>
      <w:pPr/>
      <w:r>
        <w:rPr>
          <w:b/>
        </w:rPr>
        <w:t>POSSIBLE 2021:</w:t>
      </w:r>
      <w:r>
        <w:t xml:space="preserve"> Optimal Operation of Energy Hubs With Large-Scale Distributed Energy Resources for Distribution Network Congestion Management — https://doi.org/10.1109/tste.2021.3064375</w:t>
      </w:r>
    </w:p>
    <w:p>
      <w:pPr/>
      <w:r>
        <w:rPr>
          <w:b/>
        </w:rPr>
        <w:t>Shared claim-specific concepts:</w:t>
      </w:r>
      <w:r>
        <w:t xml:space="preserve"> resources, energy, systems, show, provide; EU scope not established. This is a provisional connection, not an outcome finding.</w:t>
      </w:r>
    </w:p>
    <w:p>
      <w:pPr>
        <w:pStyle w:val="SourceNote"/>
      </w:pPr>
      <w:r>
        <w:rPr>
          <w:b/>
        </w:rPr>
        <w:t>Available abstract (not full text):</w:t>
      </w:r>
      <w:r>
        <w:t xml:space="preserve"> Congestion problems might occur in distribution networks as the penetration of distributed energy resources (DERs) progresses. This study focuses on the complementarity of multiple energy resources in energy hubs (EHs) to solve possible distribution network congestions. First, we consider an EH in which combined cooling, heating and power (CCHP) units and heat pumps are integrated with renewable energy resources. The EH models the intrinsic coupling relationship among various energy carriers, forming a flexible operation where electricity, natural gas, cooling and heat can complement each other. Next, an optimal operation strategy of multiple energy hubs enables gas-to-electricity to provide local energy supply for EH during electricity peak periods, and consume renewable energy generation by the complementarity of electricity, heat and cooling. In addition, the uncertainty of renewable energy resources is taken into account via scenario-based stochastic programming. Numerical results show that the proposed operation strategy explores EHs' operation flexibility to mitigate distribution network congestion when we consider high renewable energy penetration in power systems.</w:t>
      </w:r>
    </w:p>
    <w:p>
      <w:pPr/>
      <w:r>
        <w:rPr>
          <w:b/>
        </w:rPr>
        <w:t>POSSIBLE 2021:</w:t>
      </w:r>
      <w:r>
        <w:t xml:space="preserve"> Exploring the driving forces of distributed energy resources in China: Using a semiparametric regression model — https://doi.org/10.1016/j.energy.2021.121452</w:t>
      </w:r>
    </w:p>
    <w:p>
      <w:pPr/>
      <w:r>
        <w:rPr>
          <w:b/>
        </w:rPr>
        <w:t>Shared claim-specific concepts:</w:t>
      </w:r>
      <w:r>
        <w:t xml:space="preserve"> resources, energy; EU scope not established. This is a provisional connection, not an outcome finding.</w:t>
      </w:r>
    </w:p>
    <w:p>
      <w:pPr>
        <w:pStyle w:val="SourceNote"/>
      </w:pPr>
      <w:r>
        <w:rPr>
          <w:b/>
        </w:rPr>
        <w:t>Available abstract (not full text):</w:t>
      </w:r>
      <w:r>
        <w:t xml:space="preserve"> Unavailable</w:t>
      </w:r>
    </w:p>
    <w:p>
      <w:pPr>
        <w:pStyle w:val="Heading2"/>
      </w:pPr>
      <w:r>
        <w:t>932. Shaping science policy in Europe</w:t>
      </w:r>
    </w:p>
    <w:p>
      <w:pPr>
        <w:pStyle w:val="SourceNote"/>
      </w:pPr>
      <w:r>
        <w:rPr>
          <w:b/>
        </w:rPr>
        <w:t>Original source (2014):</w:t>
      </w:r>
      <w:r>
        <w:t xml:space="preserve"> https://doi.org/10.1016/j.molonc.2014.03.013</w:t>
      </w:r>
    </w:p>
    <w:p>
      <w:pPr/>
      <w:r>
        <w:t>Original wording (abstract; indexed_source_text_not_full_document_verified): The creation of such Scientific Panel should be viewed as an important contribution by the biomedical community as a major political agreement has been reached on the need for a comprehensive and long-term scientific strategy to accelerate research and facilitate innovation at EU level.</w:t>
      </w:r>
    </w:p>
    <w:p>
      <w:pPr/>
      <w:r>
        <w:rPr>
          <w:b/>
        </w:rPr>
        <w:t>POSSIBLE 2025:</w:t>
      </w:r>
      <w:r>
        <w:t xml:space="preserve"> Economic, technological and environmental drivers of the circular economy in the European Union: a panel data analysis — https://doi.org/10.1186/s12302-025-01119-4</w:t>
      </w:r>
    </w:p>
    <w:p>
      <w:pPr/>
      <w:r>
        <w:rPr>
          <w:b/>
        </w:rPr>
        <w:t>Shared claim-specific concepts:</w:t>
      </w:r>
      <w:r>
        <w:t xml:space="preserve"> panel, need, comprehensive, innovation; EU scope visible. This is a provisional connection, not an outcome finding.</w:t>
      </w:r>
    </w:p>
    <w:p>
      <w:pPr>
        <w:pStyle w:val="SourceNote"/>
      </w:pPr>
      <w:r>
        <w:rPr>
          <w:b/>
        </w:rPr>
        <w:t>Available abstract (not full text):</w:t>
      </w:r>
      <w:r>
        <w:t xml:space="preserve"> The circular economy has become a strategic priority in the European Union, aiming to reduce dependence on finite natural resources and promote a sustainable economic model. This study investigates the key factors influencing the use of circular materials in the European Union between 2010 and 2022, considering the impact of global challenges such as the coronavirus pandemic, the energy crisis, and geopolitical tensions. Unlike previous research, this study integrates economic, technological, and environmental dimensions, with a particular focus on the role of digital transformation as a catalyst for circularity. The research applies an econometric model based on the analysis of panel data to explore the interconnections between resource productivity, recycling rates, private sector investment, digitalization, and expenditures on research and development. The findings reveal a strong positive relationship between resource efficiency, recycling efforts, and the use of circular materials, emphasizing the importance of infrastructure and technological advancements in supporting circularity. However, significant regional differences among European Union member states are also identified, highlighting the need for targeted policies to address these disparities. In the context of European policies such as the Green Deal and the Circular Economy Action Plan, this study provides valuab</w:t>
      </w:r>
    </w:p>
    <w:p>
      <w:pPr/>
      <w:r>
        <w:rPr>
          <w:b/>
        </w:rPr>
        <w:t>POSSIBLE 2023:</w:t>
      </w:r>
      <w:r>
        <w:t xml:space="preserve"> A panel fsQCA investigation on European regional innovation — https://doi.org/10.1016/j.techfore.2023.123042</w:t>
      </w:r>
    </w:p>
    <w:p>
      <w:pPr/>
      <w:r>
        <w:rPr>
          <w:b/>
        </w:rPr>
        <w:t>Shared claim-specific concepts:</w:t>
      </w:r>
      <w:r>
        <w:t xml:space="preserve"> panel, important, innovation; EU scope visible. This is a provisional connection, not an outcome finding.</w:t>
      </w:r>
    </w:p>
    <w:p>
      <w:pPr>
        <w:pStyle w:val="SourceNote"/>
      </w:pPr>
      <w:r>
        <w:rPr>
          <w:b/>
        </w:rPr>
        <w:t>Available abstract (not full text):</w:t>
      </w:r>
      <w:r>
        <w:t xml:space="preserve"> Taking an evolutionary economic geography perspective, we build on literature on innovation modes, the aim of this study being to explain variations in SME innovation performance across European regions over time. Drawing on five waves of data from the EU Regional Innovation Scoreboard between 2011 and 2019, our sample includes 221 regions across 27 EU Member States, as well as Norway, UK, Serbia, and Switzerland. We apply nascent panel fuzzy-set Qualitative Comparative Analysis to explore how different combinations of SME innovation modes explain innovation performance across different EU regions (i.e. geographical scope) as well as within different EU regions over time (i.e. temporal stability). Findings show that whether DUI or STI modes are more effective in the context of SMEs crucially depends on the timeframe considered, but also the geographical location of SMEs. The study offers novel insights into the diverse and complex nature through which regional innovation evolves over time, advancing understanding on regionalization as well as temporality of SME innovation modes in Europe. It also provides an important basis for discussing innovation policy across Europe.</w:t>
      </w:r>
    </w:p>
    <w:p>
      <w:pPr/>
      <w:r>
        <w:rPr>
          <w:b/>
        </w:rPr>
        <w:t>POSSIBLE 2023:</w:t>
      </w:r>
      <w:r>
        <w:t xml:space="preserve"> European Federation of Neurological Societies: parent to the European Academy of Neurology — https://doi.org/10.1111/ene.15680</w:t>
      </w:r>
    </w:p>
    <w:p>
      <w:pPr/>
      <w:r>
        <w:rPr>
          <w:b/>
        </w:rPr>
        <w:t>Shared claim-specific concepts:</w:t>
      </w:r>
      <w:r>
        <w:t xml:space="preserve"> creation, scientific, important, political, level; EU scope visible. This is a provisional connection, not an outcome finding.</w:t>
      </w:r>
    </w:p>
    <w:p>
      <w:pPr>
        <w:pStyle w:val="SourceNote"/>
      </w:pPr>
      <w:r>
        <w:rPr>
          <w:b/>
        </w:rPr>
        <w:t>Available abstract (not full text):</w:t>
      </w:r>
      <w:r>
        <w:t xml:space="preserve"> BACKGROUND AND PURPOSE: The European Academy of Neurology (EAN) is a vigorous organization of great importance for all neurologists and for our patients. But how did neurology get organized at the European level? That is the topic of this article. METHODS: Most important sources are memories and documents of the author, who was a moving force in developing the European Federation of Neurological Societies (EFNS), one of the two parents of the EAN. RESULTS: All European national neurological societies and the World Federation of Neurology were involved in a difficult political interaction resulting in the EFNS. Organizational and administrative development was the initial task. Scientific panels led by a scientific committee, teaching courses for young neurologists, teaching courses in middle and eastern Europe and successful congresses were developed. The purchase of headquarters as well as the creation of a fully owned scientific journal (European Journal of Neurology) were important and financially beneficial. The EFNS also promoted the formation of the European Brain Council and of the patient organization European Federation of Neurological Associations. All these elements have continued after fusion with the European Neurological Society to form the EAN. CONCLUSION: The very successful development of the EFNS has largely been carried on into the EAN.</w:t>
      </w:r>
    </w:p>
    <w:p>
      <w:pPr/>
      <w:r>
        <w:rPr>
          <w:b/>
        </w:rPr>
        <w:t>POSSIBLE 2023:</w:t>
      </w:r>
      <w:r>
        <w:t xml:space="preserve"> Firm value determinants: Panel evidence from European listed companies — https://doi.org/10.5937/straman2300052v</w:t>
      </w:r>
    </w:p>
    <w:p>
      <w:pPr/>
      <w:r>
        <w:rPr>
          <w:b/>
        </w:rPr>
        <w:t>Shared claim-specific concepts:</w:t>
      </w:r>
      <w:r>
        <w:t xml:space="preserve"> panel, strategy, level; EU scope visible. This is a provisional connection, not an outcome finding.</w:t>
      </w:r>
    </w:p>
    <w:p>
      <w:pPr>
        <w:pStyle w:val="SourceNote"/>
      </w:pPr>
      <w:r>
        <w:rPr>
          <w:b/>
        </w:rPr>
        <w:t>Available abstract (not full text):</w:t>
      </w:r>
      <w:r>
        <w:t xml:space="preserve"> Background: To manage growth opportunities effectively and to make a significant impact on superior longterm performance, it is necessary to analyze firm value and diagnose its determinants. Increasing profit, providing prosperity to the company's stakeholders, and improving company value are the goals of every company's business. Purpose: The paper aims to build a model of the company's optimal value by assessing company performance based on financial statement analysis of European companies over the period 2015-2020. Study design/methodology/approach: The impact of financial indicators such as financial leverage, profitability, size, liquidity, growth, and asset tangibility on company value was thoroughly considered. The empirical research was founded on a sample of 158 Eastern and Western European companies, generating 948 observations. Panel regression analysis was conducted. Findings/conclusions: The obtained results revealed that debt-to-assets ratio, return on equity, and assets tangibility have a significant adverse effect on company value, whereas the return on assets and firm size have a significant favorable effect. The obtained conclusions should serve as a beneficial tool for the strategy of reaching the targeted market company's value and ensuring the company's future viability by the market. Hence, stakeholders could assess the perspective of the future company's</w:t>
      </w:r>
    </w:p>
    <w:p>
      <w:pPr/>
      <w:r>
        <w:rPr>
          <w:b/>
        </w:rPr>
        <w:t>POSSIBLE 2022:</w:t>
      </w:r>
      <w:r>
        <w:t xml:space="preserve"> Short Food Supply Chains in Europe: Scientific Research Directions — https://doi.org/10.3390/su14063602</w:t>
      </w:r>
    </w:p>
    <w:p>
      <w:pPr/>
      <w:r>
        <w:rPr>
          <w:b/>
        </w:rPr>
        <w:t>Shared claim-specific concepts:</w:t>
      </w:r>
      <w:r>
        <w:t xml:space="preserve"> scientific, important, contribution; EU scope visible. This is a provisional connection, not an outcome finding.</w:t>
      </w:r>
    </w:p>
    <w:p>
      <w:pPr>
        <w:pStyle w:val="SourceNote"/>
      </w:pPr>
      <w:r>
        <w:rPr>
          <w:b/>
        </w:rPr>
        <w:t>Available abstract (not full text):</w:t>
      </w:r>
      <w:r>
        <w:t xml:space="preserve"> In the food sector, new configurations of supply chains, as opposed to global conventional ones, are drawing the attention of researchers and institutions all over the world. These are presented as a panacea for the recovery of rural economies and, in general, of food system sustainability. In this context the short food supply chains (SFSCs) become relevant, as happens in Europe, where strategies and regulations designed on their implementation were adopted. Recognising that scientific research always plays an important role in guiding institutions’ choices in many fields, it seems important to focus on how SFSCs are considered in the European academic panorama. Therefore, this contribution presents a study performed on a sample of 108 papers published in journals during the last decade. The findings concerning the investigated issues and the approaches to analysing SFSC development and effects are reported from both the producer and consumer perspective. The review strongly emphasizes the factors affecting participation in SFSCs. Moreover, it highlights that the positive perception of SFSC sustainability is not based on scientific evidence. The analysis outlines current research directions and identifies challenges that are still open in order to offer researchers food for thought with a view to developing further future insights.</w:t>
      </w:r>
    </w:p>
    <w:p>
      <w:pPr/>
      <w:r>
        <w:rPr>
          <w:b/>
        </w:rPr>
        <w:t>POSSIBLE 2021:</w:t>
      </w:r>
      <w:r>
        <w:t xml:space="preserve"> Scientific Opinion of the Scientific Panel on Plant Protection Products and their Residues (PPR Panel) on testing and interpretation of comparative in vitro metabolism studies — https://doi.org/10.2903/j.efsa.2021.6970</w:t>
      </w:r>
    </w:p>
    <w:p>
      <w:pPr/>
      <w:r>
        <w:rPr>
          <w:b/>
        </w:rPr>
        <w:t>Shared claim-specific concepts:</w:t>
      </w:r>
      <w:r>
        <w:t xml:space="preserve"> scientific, panel, important, strategy, level; EU scope not established. This is a provisional connection, not an outcome finding.</w:t>
      </w:r>
    </w:p>
    <w:p>
      <w:pPr>
        <w:pStyle w:val="SourceNote"/>
      </w:pPr>
      <w:r>
        <w:rPr>
          <w:b/>
        </w:rPr>
        <w:t>Available abstract (not full text):</w:t>
      </w:r>
      <w:r>
        <w:t xml:space="preserve"> Abstract EFSA asked the Panel on Plant Protection Products and their residues to deliver a Scientific Opinion on testing and interpretation of comparative in vitro metabolism studies for both new active substances and existing ones. The main aim of comparative in vitro metabolism studies of pesticide active substances is to evaluate whether all significant metabolites formed in the human in vitro test system, as a surrogate of the in vivo situation, are also present at comparable level in animal species tested in toxicological studies and, therefore, if their potential toxicity has been appropriately covered by animal studies. The studies may also help to decide which animal model, with regard to a particular compound, is the most relevant for humans. In the experimental strategy, primary hepatocytes in suspension or culture are recommended since hepatocytes are considered the most representative in vitro system for prediction of in vivo metabolites. The experimental design of 3 × 3 × 3 (concentrations, time points, technical replicates, on pooled hepatocytes) will maximise the chance to identify unique (UHM) and disproportionate (DHM) human metabolites. When DHM and UHM are being assessed, test item‐related radioactivity recovery and metabolite profile are the most important parameters. Subsequently, structural characterisation of the assigned metabolites is performed with app</w:t>
      </w:r>
    </w:p>
    <w:p>
      <w:pPr/>
      <w:r>
        <w:rPr>
          <w:b/>
        </w:rPr>
        <w:t>POSSIBLE 2021:</w:t>
      </w:r>
      <w:r>
        <w:t xml:space="preserve"> Collaboration towards value creation for end-of-life solar photovoltaic panel in Ghana — https://doi.org/10.1016/j.jclepro.2021.129969</w:t>
      </w:r>
    </w:p>
    <w:p>
      <w:pPr/>
      <w:r>
        <w:rPr>
          <w:b/>
        </w:rPr>
        <w:t>Shared claim-specific concepts:</w:t>
      </w:r>
      <w:r>
        <w:t xml:space="preserve"> creation, panel, need; EU scope not established. This is a provisional connection, not an outcome finding.</w:t>
      </w:r>
    </w:p>
    <w:p>
      <w:pPr>
        <w:pStyle w:val="SourceNote"/>
      </w:pPr>
      <w:r>
        <w:rPr>
          <w:b/>
        </w:rPr>
        <w:t>Available abstract (not full text):</w:t>
      </w:r>
      <w:r>
        <w:t xml:space="preserve"> This paper identifies value creation strategies and the role of stakeholders in advancing sustainable practices for end-of-life (henceforth EOL) solar photovoltaic panels (solar PV) in Ghana. This is preceded by an overview of the global outlook of sustainable practices for EOL solar PV as well as how these can be promoted in a developing country like Ghana. The framework discusses and promotes efficient collaboration towards value creation by stakeholders in advancing sustainable practices for end-of-life solar PV in Ghana. The methodology centers on an integrative review aimed at identifying the different aspects leading to a value creation framework for EOL solar PV. The paper discusses a hybrid public-private partnership (HPPP), which includes the types of synergy between different actors as well as their clear roles. The core options available to government, businesses and end-users in the value creation includes the provision of a technical solution, improved logistics and innovative business opportunities. The aforementioned options will achieve reduction, reuse, repair and/or recycling, targeted at promoting a unique collaboration between all relevant stakeholders. Furthermore, such options present an opportunity to promote awareness utilizing education in sustainability, thus promoting the need for extending the useful lifecycle of the products.</w:t>
      </w:r>
    </w:p>
    <w:p>
      <w:pPr/>
      <w:r>
        <w:rPr>
          <w:b/>
        </w:rPr>
        <w:t>POSSIBLE 2021:</w:t>
      </w:r>
      <w:r>
        <w:t xml:space="preserve"> Role of Knowledge Creation and Absorptive Capacity: A Panel Data Study of Innovation — https://doi.org/10.33215/sjom.v4i2.579</w:t>
      </w:r>
    </w:p>
    <w:p>
      <w:pPr/>
      <w:r>
        <w:rPr>
          <w:b/>
        </w:rPr>
        <w:t>Shared claim-specific concepts:</w:t>
      </w:r>
      <w:r>
        <w:t xml:space="preserve"> creation, panel, innovation; EU scope not established. This is a provisional connection, not an outcome finding.</w:t>
      </w:r>
    </w:p>
    <w:p>
      <w:pPr>
        <w:pStyle w:val="SourceNote"/>
      </w:pPr>
      <w:r>
        <w:rPr>
          <w:b/>
        </w:rPr>
        <w:t>Available abstract (not full text):</w:t>
      </w:r>
      <w:r>
        <w:t xml:space="preserve"> Purpose- Knowledge creation refers to the ability of firms to create new knowledge that starts from individuals to integrating the firms and then the overall economy. This study suggests that knowledge acquisition in a country has a significant relationship with innovative performance. Design/Methodology- Data from 48 highly HDI countries is taken from World Bank and World Economic Forum. Based on 480 country-year observations in a panel mediator model, it is revealed that the national efforts of boosting knowledge acquisition influence the firms’ innovative performance. Findings- Further, it is found that absorptive capacity in the employability of knowledgeable workers works as a mediator between knowledge acquisition and innovation. Whereby higher knowledge acquisition leads to higher absorptive capacity and higher innovation. Practical Implications- This study builds a quantitative model for the macroeconomic context of knowledge-based view.</w:t>
      </w:r>
    </w:p>
    <w:p>
      <w:pPr/>
      <w:r>
        <w:rPr>
          <w:b/>
        </w:rPr>
        <w:t>POSSIBLE 2020:</w:t>
      </w:r>
      <w:r>
        <w:t xml:space="preserve"> IMPORTANT CONTRIBUTION TO THE CREATION OF THEATRE ENCYCLOPEDIA OF TATARSTAN — https://doi.org/10.26907/2311-2042-2020-14-1-161-170</w:t>
      </w:r>
    </w:p>
    <w:p>
      <w:pPr/>
      <w:r>
        <w:rPr>
          <w:b/>
        </w:rPr>
        <w:t>Shared claim-specific concepts:</w:t>
      </w:r>
      <w:r>
        <w:t xml:space="preserve"> creation, important, contribution; EU scope not established. This is a provisional connection, not an outcome finding.</w:t>
      </w:r>
    </w:p>
    <w:p>
      <w:pPr>
        <w:pStyle w:val="SourceNote"/>
      </w:pPr>
      <w:r>
        <w:rPr>
          <w:b/>
        </w:rPr>
        <w:t>Available abstract (not full text):</w:t>
      </w:r>
      <w:r>
        <w:t xml:space="preserve"> The review notes the combination of different approaches in the analysis of the Tatar theater scenography (cultural-historical, art history), the use of a wide range of sources, and the painstaking work on the systematization of factual material.In the monograph, the analysis of scenography is presented as a history of the search and struggle for the renewal of the theater at the turn of the era, unique in its complexity, characterized by radical contradictions and the struggle of ideas.The review highlights the significance of the research findings on the national identity of the Tatar theater scenography.</w:t>
      </w:r>
    </w:p>
    <w:p>
      <w:pPr/>
      <w:r>
        <w:rPr>
          <w:b/>
        </w:rPr>
        <w:t>POSSIBLE 2020:</w:t>
      </w:r>
      <w:r>
        <w:t xml:space="preserve"> Hunters as citizen scientists: Contributions to biodiversity monitoring in Europe — https://doi.org/10.1016/j.gecco.2020.e01077</w:t>
      </w:r>
    </w:p>
    <w:p>
      <w:pPr/>
      <w:r>
        <w:rPr>
          <w:b/>
        </w:rPr>
        <w:t>Shared claim-specific concepts:</w:t>
      </w:r>
      <w:r>
        <w:t xml:space="preserve"> scientific, community, comprehensive; EU scope visible. This is a provisional connection, not an outcome finding.</w:t>
      </w:r>
    </w:p>
    <w:p>
      <w:pPr>
        <w:pStyle w:val="SourceNote"/>
      </w:pPr>
      <w:r>
        <w:rPr>
          <w:b/>
        </w:rPr>
        <w:t>Available abstract (not full text):</w:t>
      </w:r>
      <w:r>
        <w:t xml:space="preserve"> Monitoring biodiversity characteristics at large scales and with adequate resolution requires considerable effort and resources. Overall, there is clearly a huge scope for European hunters, a special and often overlooked group of citizen scientist, to contribute even more to biodiversity monitoring, especially because of their presence across the entire European landscape. Using the Essential Biodiversity Variables (EBVs) framework we reviewed the published and grey literature and contacted experts to provide a comprehensive overview of hunters’ contributions to biodiversity monitoring. We examined the methods used to collect data in hunter-based monitoring, the geographic and taxonomic extent of such contributions and the scientific output stemming from hunter-based monitoring data. Our study suggests that hunter-based monitoring is widely distributed across Europe and across taxa as 32 out of the 36 European countries included in our analysis involve hunters in the monitoring of at least one species group with ungulates and small game species groups which have the widest hunter-based monitoring coverage. We found that it is possible to infer characteristics on Genetic composition, Species population, Species traits and Community composition with data that are being routinely collected by hunters in at least some countries. The main types of data provided are hunting bags data</w:t>
      </w:r>
    </w:p>
    <w:p>
      <w:pPr/>
      <w:r>
        <w:rPr>
          <w:b/>
        </w:rPr>
        <w:t>POSSIBLE 2020:</w:t>
      </w:r>
      <w:r>
        <w:t xml:space="preserve"> Characterization of Globally Important Agricultural Heritage Systems (GIAHS) in Europe — https://doi.org/10.3390/su12041611</w:t>
      </w:r>
    </w:p>
    <w:p>
      <w:pPr/>
      <w:r>
        <w:rPr>
          <w:b/>
        </w:rPr>
        <w:t>Shared claim-specific concepts:</w:t>
      </w:r>
      <w:r>
        <w:t xml:space="preserve"> panel, important, contribution, facilitate; EU scope visible. This is a provisional connection, not an outcome finding.</w:t>
      </w:r>
    </w:p>
    <w:p>
      <w:pPr>
        <w:pStyle w:val="SourceNote"/>
      </w:pPr>
      <w:r>
        <w:rPr>
          <w:b/>
        </w:rPr>
        <w:t>Available abstract (not full text):</w:t>
      </w:r>
      <w:r>
        <w:t xml:space="preserve"> The recognition and safeguarding of agricultural heritage in Europe are new concepts that are gaining attention due to the contribution they make to sustainability. Of the 57 Globally Important Agricultural Heritage Systems (GIAHS) that exist in the world today, only six have been designated in Europe. Through a qualitative analysis of the proposal documents submitted by these six European GIAHS to the Food and Agriculture Organization of the United Nations (FAO) during the designation process, this study provides a comparative characterization of these sites supported by expert assessment. During the first phase, 24 specific sub-criteria were observed based on the five main criteria that a site has to meet in order to demonstrate its global relevance as an agricultural heritage of humanity. The relevance of the resulting sub-criteria was then assessed by a Delphi panel of experts and the validated ones were applied in an assessment of the six European sites. The European GIAHS sites are characterized by the high value of their cultural landscapes’ evolution, modeled by traditional and adaptive agriculture knowledge and practices that are promoted and maintained thanks to organized and committed social organizations. The results of structuring of sub-criteria can facilitate the application of other possible European GIAHS sites.</w:t>
      </w:r>
    </w:p>
    <w:p>
      <w:pPr/>
      <w:r>
        <w:rPr>
          <w:b/>
        </w:rPr>
        <w:t>POSSIBLE 2020:</w:t>
      </w:r>
      <w:r>
        <w:t xml:space="preserve"> Agricultural Entrepreneurship in the European Union: Contributions for a Sustainable Development — https://doi.org/10.3390/app10062080</w:t>
      </w:r>
    </w:p>
    <w:p>
      <w:pPr/>
      <w:r>
        <w:rPr>
          <w:b/>
        </w:rPr>
        <w:t>Shared claim-specific concepts:</w:t>
      </w:r>
      <w:r>
        <w:t xml:space="preserve"> creation, scientific, viewed, contribution; EU scope visible. This is a provisional connection, not an outcome finding.</w:t>
      </w:r>
    </w:p>
    <w:p>
      <w:pPr>
        <w:pStyle w:val="SourceNote"/>
      </w:pPr>
      <w:r>
        <w:rPr>
          <w:b/>
        </w:rPr>
        <w:t>Available abstract (not full text):</w:t>
      </w:r>
      <w:r>
        <w:t xml:space="preserve"> Entrepreneurship is sometimes seen as a glimmer of hope which may bring about some contribution towards improving economic dynamics and performance, specifically in the creation of employment by young people, in general, with further educational training, greater flexibility and who are better prepared for working with new technologies. However, entrepreneurship in the agricultural sector is, in certain circumstances, viewed as being something incompatible or, at least, difficult to implement. More scientific studies in these fields could provide interesting contributions on the road to highlighting new ideas inside the farming sector. In this framework, the objective of this study is to explore the entrepreneurship dimensions within the European Union agriculture towards a more sustainable sector. In fact, without an economic dimension in farm management, its sustainability in the medium and long run may be compromised, increasing the abandonment of farming, namely in more disadvantaged regions. For this, the literature which is available on the platform Web of Science relating to the following three topics was initially analysed: entrepreneurship, agriculture, and the European Union. This literature was clustered through the VOSviewer software, an interesting tool for performing bibliometric analysis. Secondly, statistical information related to European Union agricultural en</w:t>
      </w:r>
    </w:p>
    <w:p>
      <w:pPr>
        <w:pStyle w:val="Heading2"/>
      </w:pPr>
      <w:r>
        <w:t>933. The EU climate and energy policy: what about the new targets for 2030?</w:t>
      </w:r>
    </w:p>
    <w:p>
      <w:pPr>
        <w:pStyle w:val="SourceNote"/>
      </w:pPr>
      <w:r>
        <w:rPr>
          <w:b/>
        </w:rPr>
        <w:t>Original source (2014):</w:t>
      </w:r>
      <w:r>
        <w:t xml:space="preserve"> https://doi.org/10.3280/efe2014-001002</w:t>
      </w:r>
    </w:p>
    <w:p>
      <w:pPr/>
      <w:r>
        <w:t>Original wording (abstract; indexed_source_text_not_full_document_verified): Finally, the increase in energy efficiency should also continue to be promoted, but without any quantitative target that would be very difficult to establish and monitor. In 2013 the EU Commission issued a Green paper to launch a debate on what should be the objectives for 2030 and early 2014 has published its proposals.</w:t>
      </w:r>
    </w:p>
    <w:p>
      <w:pPr/>
      <w:r>
        <w:rPr>
          <w:b/>
        </w:rPr>
        <w:t>POSSIBLE 2026:</w:t>
      </w:r>
      <w:r>
        <w:t xml:space="preserve"> Short-term renewable energy forecast errors in Europe: Spatial dependence and smoothing potential — https://doi.org/10.1016/j.renene.2026.126047</w:t>
      </w:r>
    </w:p>
    <w:p>
      <w:pPr/>
      <w:r>
        <w:rPr>
          <w:b/>
        </w:rPr>
        <w:t>Shared claim-specific concepts:</w:t>
      </w:r>
      <w:r>
        <w:t xml:space="preserve"> finally, increase, energy; EU scope visible. This is a provisional connection, not an outcome finding.</w:t>
      </w:r>
    </w:p>
    <w:p>
      <w:pPr>
        <w:pStyle w:val="SourceNote"/>
      </w:pPr>
      <w:r>
        <w:rPr>
          <w:b/>
        </w:rPr>
        <w:t>Available abstract (not full text):</w:t>
      </w:r>
      <w:r>
        <w:t xml:space="preserve"> Renewable energy forecast errors result in costly countermeasures, including countertrading, redispatch, and increased operating reserves. Correlated regional forecast errors increase risks in renewable energy portfolios, yet their spatial dependencies are poorly understood. Therefore, we derive site-specific correlation lengths and assess the potential for spatial smoothing of forecast errors across Europe for intraday up to two-days-ahead lead time. By increasing site separation beyond 150 km, weather-driven renewable energy forecast errors effectively become uncorrelated, reducing mean absolute errors and extreme forecast error events by over 33% for wind energy and approximately 25% for solar energy at day-ahead lead times. Additionally, accounting for principal error directions can reduce the necessary site separation for effective error mitigation. Finally, we evaluate current and planned renewable energy sites in Europe based on these findings and identify regions with elevated forecast errors. This study provides a characterization of renewable energy forecast errors in Europe and offers actionable insights for decision-makers designing resilient renewable energy portfolios.</w:t>
      </w:r>
    </w:p>
    <w:p>
      <w:pPr/>
      <w:r>
        <w:rPr>
          <w:b/>
        </w:rPr>
        <w:t>POSSIBLE 2025:</w:t>
      </w:r>
      <w:r>
        <w:t xml:space="preserve"> European energy vision 2050 and beyond: Designing scenarios for Europe’s energy transition — https://doi.org/10.1016/j.rser.2025.116074</w:t>
      </w:r>
    </w:p>
    <w:p>
      <w:pPr/>
      <w:r>
        <w:rPr>
          <w:b/>
        </w:rPr>
        <w:t>Shared claim-specific concepts:</w:t>
      </w:r>
      <w:r>
        <w:t xml:space="preserve"> finally, increase, energy, quantitative, green;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 ∘ 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until 2060, considering key uncertainty pillars— categorised under social, technological, economic, political, and geopolitical dimensions.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w:t>
      </w:r>
    </w:p>
    <w:p>
      <w:pPr/>
      <w:r>
        <w:rPr>
          <w:b/>
        </w:rPr>
        <w:t>POSSIBLE 2025:</w:t>
      </w:r>
      <w:r>
        <w:t xml:space="preserve"> European Energy Vision 2060: Charting Diverse Pathways for Europe's Energy Transition — https://doi.org/10.48550/arxiv.2501.12993</w:t>
      </w:r>
    </w:p>
    <w:p>
      <w:pPr/>
      <w:r>
        <w:rPr>
          <w:b/>
        </w:rPr>
        <w:t>Shared claim-specific concepts:</w:t>
      </w:r>
      <w:r>
        <w:t xml:space="preserve"> finally, increase, energy, quantitative, green; EU scope visible. This is a provisional connection, not an outcome finding.</w:t>
      </w:r>
    </w:p>
    <w:p>
      <w:pPr>
        <w:pStyle w:val="SourceNote"/>
      </w:pPr>
      <w:r>
        <w:rPr>
          <w:b/>
        </w:rPr>
        <w:t>Available abstract (not full text):</w:t>
      </w:r>
      <w:r>
        <w:t xml:space="preserve"> Europe is warming at the fastest rate of all continents, experiencing a temperature increase of about 1°C higher than the corresponding global increase. Aiming to be the first climate-neutral continent by 2050 under the European Green Deal, Europe requires an in-depth understanding of the potential energy transition pathways. In this paper, we develop four qualitative long-term scenarios covering the European energy landscape, considering key uncertainty pillars -- categorized under social, technological, economic, political, and geopolitical aspects. First, we place the scenarios in a three-dimensional space defined by Social dynamics, Innovation, and Geopolitical instabilities. These scenarios are brought to life by defining their narratives and focus areas according to their location in this three-dimensional space. The scenarios envision diverse futures and include distinct features. The EU Trinity scenario pictures how internal divisions among EU member states, in the context of global geopolitical instability, affect the EU climate targets. The REPowerEU++ scenario outlines the steps needed for a self-sufficient, independent European energy system by 2050. The Go RES scenario examines the feasibility of achieving carbon neutrality earlier than 2050 given favourable uncertain factors. The NECP Essentials scenario extends current national energy and climate plans until 2060</w:t>
      </w:r>
    </w:p>
    <w:p>
      <w:pPr/>
      <w:r>
        <w:rPr>
          <w:b/>
        </w:rPr>
        <w:t>POSSIBLE 2024:</w:t>
      </w:r>
      <w:r>
        <w:t xml:space="preserve"> Understanding the role of biodiversity in the climate, food, water, energy, transport and health nexus in Europe — https://doi.org/10.1016/j.scitotenv.2024.171692</w:t>
      </w:r>
    </w:p>
    <w:p>
      <w:pPr/>
      <w:r>
        <w:rPr>
          <w:b/>
        </w:rPr>
        <w:t>Shared claim-specific concepts:</w:t>
      </w:r>
      <w:r>
        <w:t xml:space="preserve"> energy, but, green; EU scope visible. This is a provisional connection, not an outcome finding.</w:t>
      </w:r>
    </w:p>
    <w:p>
      <w:pPr>
        <w:pStyle w:val="SourceNote"/>
      </w:pPr>
      <w:r>
        <w:rPr>
          <w:b/>
        </w:rPr>
        <w:t>Available abstract (not full text):</w:t>
      </w:r>
      <w:r>
        <w:t xml:space="preserve"> Biodiversity underpins the functioning of ecosystems and the diverse benefits that nature provides to people, yet is being lost at an unprecedented rate. To halt or reverse biodiversity loss, it is critical to understand the complex interdependencies between biodiversity and key drivers and sectors to inform the development of holistic policies and actions. We conducted a literature review on the interlinkages between biodiversity and climate change, food, water, energy, transport and health ("the biodiversity nexus"). Evidence extracted from 194 peer-reviewed articles was analysed to assess how biodiversity is being influenced by and is influencing the other nexus elements. Out of the 354 interlinkages between biodiversity and the other nexus elements, 53 % were negative, 29 % were positive and 18 % contained both positive and negative influences. The majority of studies provide evidence of the negative influence of other nexus elements on biodiversity, highlighting the substantial damage being inflicted on nature from human activities. The main types of negative impacts were land or water use/change, land or water degradation, climate change, and direct species fatalities through collisions with infrastructure. Alternatively, evidence of biodiversity having a negative influence on the other nexus elements was limited to the effects of invasive alien species and vector-borne d</w:t>
      </w:r>
    </w:p>
    <w:p>
      <w:pPr/>
      <w:r>
        <w:rPr>
          <w:b/>
        </w:rPr>
        <w:t>POSSIBLE 2024:</w:t>
      </w:r>
      <w:r>
        <w:t xml:space="preserve"> Friend, Not Foe - Energy Prices and European Monetary Policy — https://doi.org/10.2139/ssrn.4892583</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2023:</w:t>
      </w:r>
      <w:r>
        <w:t xml:space="preserve"> Energy Economic Development in Europe — https://doi.org/10.3390/books978-3-0365-7112-6</w:t>
      </w:r>
    </w:p>
    <w:p>
      <w:pPr/>
      <w:r>
        <w:rPr>
          <w:b/>
        </w:rPr>
        <w:t>Shared claim-specific concepts:</w:t>
      </w:r>
      <w:r>
        <w:t xml:space="preserve"> energy, efficiency, also;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2022:</w:t>
      </w:r>
      <w:r>
        <w:t xml:space="preserve"> Primary Energy Factors for Electricity Production in Europe — https://doi.org/10.3390/en16010093</w:t>
      </w:r>
    </w:p>
    <w:p>
      <w:pPr/>
      <w:r>
        <w:rPr>
          <w:b/>
        </w:rPr>
        <w:t>Shared claim-specific concepts:</w:t>
      </w:r>
      <w:r>
        <w:t xml:space="preserve"> finally, energy, efficiency, also; EU scope visible. This is a provisional connection, not an outcome finding.</w:t>
      </w:r>
    </w:p>
    <w:p>
      <w:pPr>
        <w:pStyle w:val="SourceNote"/>
      </w:pPr>
      <w:r>
        <w:rPr>
          <w:b/>
        </w:rPr>
        <w:t>Available abstract (not full text):</w:t>
      </w:r>
      <w:r>
        <w:t xml:space="preserve"> The European Union (EU) has committed to supporting the United Nations’ efforts in line with the Paris Agreement for addressing climate change and has set ambitious targets to reduce primary energy consumption and emissions. Similar commitments have also been set by EU-27 member states. For this purpose, it is necessary to use a primary energy factor (PEF) for converting electricity use to primary energy units and for assessing energy conservation measures. Lower PEFs reflect efficiency improvements in power generation, an increased share of renewable energy sources in the fuel mix for electricity generation, and lower transmission and distribution losses. Over the past decades, there have been intensive efforts and notable progress in the EU-27 for increasing the use of renewables in the energy mix for electricity generation. However, the EU default PEF value for electricity was not regularly updated and remained at 2.5 for several years till it was finally recalculated at 2.1 in the 2018 recast of the Energy Efficiency Directive. This paper reviews different calculation options for estimating the PEF for electricity from official annual statistics, presents the historical evolution of the calculated conversion factors, and provides simple linear correlations for projecting the PEF values that can be used to facilitate more-realistic forward-looking calculations and assess nat</w:t>
      </w:r>
    </w:p>
    <w:p>
      <w:pPr/>
      <w:r>
        <w:rPr>
          <w:b/>
        </w:rPr>
        <w:t>POSSIBLE 2022:</w:t>
      </w:r>
      <w:r>
        <w:t xml:space="preserve"> Changing European Energy Policy : The Challenge of the Energy Price Storm — https://doi.org/10.18096/tmp.2022.02.04</w:t>
      </w:r>
    </w:p>
    <w:p>
      <w:pPr/>
      <w:r>
        <w:rPr>
          <w:b/>
        </w:rPr>
        <w:t>Shared claim-specific concepts:</w:t>
      </w:r>
      <w:r>
        <w:t xml:space="preserve"> finally, energy, also, target; EU scope visible. This is a provisional connection, not an outcome finding.</w:t>
      </w:r>
    </w:p>
    <w:p>
      <w:pPr>
        <w:pStyle w:val="SourceNote"/>
      </w:pPr>
      <w:r>
        <w:rPr>
          <w:b/>
        </w:rPr>
        <w:t>Available abstract (not full text):</w:t>
      </w:r>
      <w:r>
        <w:t xml:space="preserve"> This paper examines the roots of the European energy crisis within the period of 2021–2022, the reasons for the European gas shortage, the effect of the Russian invasion of Ukraine, and the potential EU responses. The current crisis is a result of several factors, starting from the Covid-19 pandemic in 2020 and amplified severely by the current conflict between Russia and Ukraine. In addition, five reasons were identified as worsening the EU energy situation. These include market-based gas prices, external dependency, global imbalances, the EU's climate policies, and low European energy stocks. The Russian invasion of Ukraine put pressure on the oil and gas supplies to the EU. This situation led the EU to introduce sanctions and measures that target increasing the share of renewable energy while reducing the dependence on Russian gas. Finally, we shed light on the energy transition as an opportunity to deal with climate change and limited energy resources while also showing the challenges that would hinder a just transition.</w:t>
      </w:r>
    </w:p>
    <w:p>
      <w:pPr/>
      <w:r>
        <w:rPr>
          <w:b/>
        </w:rPr>
        <w:t>POSSIBLE 2022:</w:t>
      </w:r>
      <w:r>
        <w:t xml:space="preserve"> The politics of vaccine hesitancy in Europe — https://doi.org/10.1093/eurpub/ckac041</w:t>
      </w:r>
    </w:p>
    <w:p>
      <w:pPr/>
      <w:r>
        <w:rPr>
          <w:b/>
        </w:rPr>
        <w:t>Shared claim-specific concepts:</w:t>
      </w:r>
      <w:r>
        <w:t xml:space="preserve"> finally, also, but; EU scope visible. This is a provisional connection, not an outcome finding.</w:t>
      </w:r>
    </w:p>
    <w:p>
      <w:pPr>
        <w:pStyle w:val="SourceNote"/>
      </w:pPr>
      <w:r>
        <w:rPr>
          <w:b/>
        </w:rPr>
        <w:t>Available abstract (not full text):</w:t>
      </w:r>
      <w:r>
        <w:t xml:space="preserve"> BACKGROUND: Vaccine hesitancy threatens public health. Some evidence suggests that vaccine hesitancy in Europe may be linked with the success of populist parties, but more systematic analysis is needed. METHODS: We examine the prevalence of individual-level vaccine hesitancy across the European Union (EU) and its association with political orientations. We also analyze whether success of populist parties is linked with vaccine hesitancy and uptake. We draw on individual-level Eurobarometer data from 2019, with a total of 27 524 respondents across the EU. We also rely on national and regional-level populist party vote shares. Finally, for a time-series analysis, we rely on aggregated populist party support as measured in the European Social Survey waves 1-9 (2002-18), and national immunization coverage rates from the WHO from 2002 to 2018. RESULTS: While vaccine hesitancy is confined to a minority of the population, this group is large enough to risk herd immunity. Political orientations on a left-right dimension are not strongly linked to vaccine hesitancy. Instead, vaccine hesitancy is associated with anti-elite world views and culturally closed rather than cosmopolitan positions. CONCLUSIONS: Vaccine hesitancy is not only present in all EU member states but also maps on broader dimensions of cultural conflict. Hesitancy is rooted in a broader worldview, rather than mispercept</w:t>
      </w:r>
    </w:p>
    <w:p>
      <w:pPr/>
      <w:r>
        <w:rPr>
          <w:b/>
        </w:rPr>
        <w:t>POSSIBLE 2022:</w:t>
      </w:r>
      <w:r>
        <w:t xml:space="preserve"> Development of Renewable Energy Sources in the European Union in the Context of Sustainable Development Policy — https://doi.org/10.3390/en15041545</w:t>
      </w:r>
    </w:p>
    <w:p>
      <w:pPr/>
      <w:r>
        <w:rPr>
          <w:b/>
        </w:rPr>
        <w:t>Shared claim-specific concepts:</w:t>
      </w:r>
      <w:r>
        <w:t xml:space="preserve"> finally, increase, energy; EU scope visible. This is a provisional connection, not an outcome finding.</w:t>
      </w:r>
    </w:p>
    <w:p>
      <w:pPr>
        <w:pStyle w:val="SourceNote"/>
      </w:pPr>
      <w:r>
        <w:rPr>
          <w:b/>
        </w:rPr>
        <w:t>Available abstract (not full text):</w:t>
      </w:r>
      <w:r>
        <w:t xml:space="preserve"> Renewable energy sources play a key role in decarbonizing the economy of the European Union (EU) and the world. The aim of this research is to present the development of the renewable energy sources (RES) sector in the European Union (EU), with particular emphasis on sustainable development. The EU guidelines, requirements, and directives were analyzed in order to meet the provisions of the energy policy to ensure energy and climate security. The potential of the RES was studied in the EU countries, and the possibility of its use in cogeneration with the use of local renewable resources. The results are presented in tabular, graphic, and descriptive forms. The results are presented based on the extensive literature on the subject and data from Eurostat. The data covered 2004–2019. We used different methods to evaluate the changes in the RES in the EU countries. First, we compiled descriptive statistics; second, we used the Augmented Dickey–Fuller test (ADF test); and, finally, we used the Generalized Autoregressive Conditional Heteroscedasticity model (GARCH model). Our analysis found that the EU increased the share of RES. The biggest share of energy from renewable energy sources was found in 2019 in Iceland (78%), Norway (74%), and Sweden (56%). The biggest increase in the share of RES in 2004–19 was found in Malta (8322%), Great Britain (1126%), and Luxemburg (784%). The res</w:t>
      </w:r>
    </w:p>
    <w:p>
      <w:pPr/>
      <w:r>
        <w:rPr>
          <w:b/>
        </w:rPr>
        <w:t>POSSIBLE 2022:</w:t>
      </w:r>
      <w:r>
        <w:t xml:space="preserve"> The role of energy prices and economic growth in renewable energy capacity expansion – Evidence from OECD Europe — https://doi.org/10.1016/j.renene.2022.03.011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Unavailable</w:t>
      </w:r>
    </w:p>
    <w:p>
      <w:pPr/>
      <w:r>
        <w:rPr>
          <w:b/>
        </w:rPr>
        <w:t>POSSIBLE 2021:</w:t>
      </w:r>
      <w:r>
        <w:t xml:space="preserve"> Energy efficiencies of European countries — https://doi.org/10.1080/00036846.2021.1994520</w:t>
      </w:r>
    </w:p>
    <w:p>
      <w:pPr/>
      <w:r>
        <w:rPr>
          <w:b/>
        </w:rPr>
        <w:t>Shared claim-specific concepts:</w:t>
      </w:r>
      <w:r>
        <w:t xml:space="preserve"> finally, energy, efficiency; EU scope visible. This is a provisional connection, not an outcome finding.</w:t>
      </w:r>
    </w:p>
    <w:p>
      <w:pPr>
        <w:pStyle w:val="SourceNote"/>
      </w:pPr>
      <w:r>
        <w:rPr>
          <w:b/>
        </w:rPr>
        <w:t>Available abstract (not full text):</w:t>
      </w:r>
      <w:r>
        <w:t xml:space="preserve"> Improving energy efficiency is essential for sustainable development; therefore, an accurate assessment of energy efficiency is needed to inform policymakers on how to set energy efficiency goals. Using a stochastic frontier model, we estimate energy efficiencies of 44 countries in Europe from 1990 to 2015. Comparing average energy efficiencies across countries among three time periods, 1990 to 1998, 1999 to 2007, and 2008 to 2015, we find the following trends: (1) countries with highest energy efficiency cluster geographically suggesting spillover effects; (2) from the first period to the second period, 67.44% of European countries’ average energy efficiency increased, while only 59.09% of European countries’ average energy efficiencies increased between the first and the third period; (3) gains in energy efficiency may be levelling off or decreasing over time; and (4) when countries face economic downturn, they experience a decrease in energy efficiency signalling possible future decreases in energy efficiency in light of the recent recessions caused by the Covid-19 pandemic. Finally, we compute potential energy savings from a counterfactual experiment in which countries realize full efficiency. The results show substantial energy savings can be obtained by Russia in particular, and less savings can be obtained by countries with smaller populations.</w:t>
      </w:r>
    </w:p>
    <w:p>
      <w:pPr>
        <w:pStyle w:val="Heading2"/>
      </w:pPr>
      <w:r>
        <w:t>934. The Future of Visitor Attractions in The Netherlands</w:t>
      </w:r>
    </w:p>
    <w:p>
      <w:pPr>
        <w:pStyle w:val="SourceNote"/>
      </w:pPr>
      <w:r>
        <w:rPr>
          <w:b/>
        </w:rPr>
        <w:t>Original source (2014):</w:t>
      </w:r>
      <w:r>
        <w:t xml:space="preserve"> https://doi.org/10.1080/02508281.2014.11087010</w:t>
      </w:r>
    </w:p>
    <w:p>
      <w:pPr/>
      <w:r>
        <w:t>Original wording (abstract; indexed_source_text_not_full_document_verified): The results were used to create four different scenarios that could be used by the visitor-attraction business to develop innovative strategies, concepts, products, services or business models that would make the attraction more future-proof. The aim of the study was to acquire a reliable and plausible picture of the interests of visitors in the future and the development opportunities for visitor attractions in the Netherlands.</w:t>
      </w:r>
    </w:p>
    <w:p>
      <w:pPr/>
      <w:r>
        <w:rPr>
          <w:b/>
        </w:rPr>
        <w:t>POSSIBLE 2026:</w:t>
      </w:r>
      <w:r>
        <w:t xml:space="preserve"> Amusement Ride Collection: Creating a Complete Attraction Portfolio with GT Amusement — https://doi.org/10.5281/zenodo.18162222</w:t>
      </w:r>
    </w:p>
    <w:p>
      <w:pPr/>
      <w:r>
        <w:rPr>
          <w:b/>
        </w:rPr>
        <w:t>Shared claim-specific concepts:</w:t>
      </w:r>
      <w:r>
        <w:t xml:space="preserve"> used, create, business, services, attraction, reliable; EU scope visible. This is a provisional connection, not an outcome finding.</w:t>
      </w:r>
    </w:p>
    <w:p>
      <w:pPr>
        <w:pStyle w:val="SourceNote"/>
      </w:pPr>
      <w:r>
        <w:rPr>
          <w:b/>
        </w:rPr>
        <w:t>Available abstract (not full text):</w:t>
      </w:r>
      <w:r>
        <w:t xml:space="preserve"> A successful amusement park is built on more than just individual attractions—it thrives on a well-planned Amusement Ride Collection that delivers excitement, variety, and unforgettable experiences for visitors of all ages. From thrill rides that define a park’s skyline to family and kiddie attractions that keep guests engaged throughout the day, the right ride collection is the foundation of long-term success. At GT Amusement, we specialize in helping park operators design, expand, and upgrade comprehensive amusement ride collections that balance entertainment value, safety, and profitability. What Is an Amusement Ride Collection? An Amusement Ride Collection refers to the complete range of rides and attractions offered within an amusement park, theme park, fairground, or entertainment venue. A balanced ride collection typically includes: Thrill rides Family rides Kiddie rides Water rides Indoor and outdoor attractions Fixed and portable rides This combination ensures that every visitor—regardless of age or preference—finds something to enjoy. Why a Well-Planned Ride Collection Matters 1. Appeals to a Wider Audience A diverse amusement ride collection attracts families, thrill seekers, school groups, and tourists. Offering multiple ride types increases overall footfall and visitor satisfaction. 2. Encourages Repeat Visits When guests experience variety and quality, they are mo</w:t>
      </w:r>
    </w:p>
    <w:p>
      <w:pPr/>
      <w:r>
        <w:rPr>
          <w:b/>
        </w:rPr>
        <w:t>POSSIBLE 2026:</w:t>
      </w:r>
      <w:r>
        <w:t xml:space="preserve"> Four Risks for Europe — https://doi.org/10.1007/978-3-032-29056-4_6</w:t>
      </w:r>
    </w:p>
    <w:p>
      <w:pPr/>
      <w:r>
        <w:rPr>
          <w:b/>
        </w:rPr>
        <w:t>Shared claim-specific concepts:</w:t>
      </w:r>
      <w:r>
        <w:t xml:space="preserve"> four, strategies, services; EU scope visible. This is a provisional connection, not an outcome finding.</w:t>
      </w:r>
    </w:p>
    <w:p>
      <w:pPr>
        <w:pStyle w:val="SourceNote"/>
      </w:pPr>
      <w:r>
        <w:rPr>
          <w:b/>
        </w:rPr>
        <w:t>Available abstract (not full text):</w:t>
      </w:r>
      <w:r>
        <w:t xml:space="preserve"> This chapter consolidates earlier analyses to outline four central risks of ageing for Europe and the Netherlands: economic stagnation, high government debt and divergence, upward pressure on inflation, and social and political tensions within and between member states. It traces how rising pension costs can drive higher tax burdens, crowd out growth-enhancing public services, and drive divergence among member states, while planned austerity may depress aggregate demand and risk impoverishment of the elderly. If reforms prove politically fragile, debt-financing can heighten financial instability and complicate ECB policy, potentially reinforcing inflationary pressures. The chapter emphasises that enlarging the total pie through higher labour participation is the most attractive route, complemented by trade diversification and investment strategies that account for demographic dividends, while keeping a broad European and Dutch interest central.</w:t>
      </w:r>
    </w:p>
    <w:p>
      <w:pPr/>
      <w:r>
        <w:rPr>
          <w:b/>
        </w:rPr>
        <w:t>POSSIBLE 2025:</w:t>
      </w:r>
      <w:r>
        <w:t xml:space="preserve"> EXPLORING TOURISM ATTRACTIONS IN OUIDAH, BENIN: VISITOR EXPERIENCES AND RECOMMENDATIONS — https://doi.org/10.30892/gtg.634spl16-1631</w:t>
      </w:r>
    </w:p>
    <w:p>
      <w:pPr/>
      <w:r>
        <w:rPr>
          <w:b/>
        </w:rPr>
        <w:t>Shared claim-specific concepts:</w:t>
      </w:r>
      <w:r>
        <w:t xml:space="preserve"> strategies, aim, opportunities; EU scope not established. This is a provisional connection, not an outcome finding.</w:t>
      </w:r>
    </w:p>
    <w:p>
      <w:pPr>
        <w:pStyle w:val="SourceNote"/>
      </w:pPr>
      <w:r>
        <w:rPr>
          <w:b/>
        </w:rPr>
        <w:t>Available abstract (not full text):</w:t>
      </w:r>
      <w:r>
        <w:t xml:space="preserve"> The aim of the study is to explore visitor experiences and propose strategic improvements for tourism in Ouidah (Benin), a town renowned for its cultural and historical landmarks, including the Route of the Slaves and the Temple of Pythons. Using data collected from an online survey of 105 participants from Benin and abroad, the research highlights the strong appeal of Ouidah’s heritage attractions while identifying critical areas for enhancement, such as infrastructure, accessibility, and promotional efforts. Findings show the Slaves’ Route (24.8%), Python Temple (24.3%), and Gate of No Return (22%) are the most visited, while sites like the Indigo Color Home (3.1%) remain under-visited, indicating the need for better promotion.Wordof-mouth of 46% of respondents was the main information source, followed by miscellaneous sources (36%), while internet and travel agencies played minor roles. Infrastructure was rated mainly “Good” (58%), though issues included poor road conditions, limited public transport, lack of signage, and inadequate amenities such as restrooms and shaded areas. Safety, environmental management, and authenticity of Vodun heritage interpretation were also concerns. A rate of 70% of respondents would “definitely” recommend Ouidah, showing strong potential for repeat and referral tourism. Recommendations include infrastructure upgrades, accessibility improvement</w:t>
      </w:r>
    </w:p>
    <w:p>
      <w:pPr/>
      <w:r>
        <w:rPr>
          <w:b/>
        </w:rPr>
        <w:t>POSSIBLE 2024:</w:t>
      </w:r>
      <w:r>
        <w:t xml:space="preserve"> Visitor Satisfaction on Attractions and Attributes at Tarangire National Park — https://doi.org/10.11648/j.hss.20241203.12</w:t>
      </w:r>
    </w:p>
    <w:p>
      <w:pPr/>
      <w:r>
        <w:rPr>
          <w:b/>
        </w:rPr>
        <w:t>Shared claim-specific concepts:</w:t>
      </w:r>
      <w:r>
        <w:t xml:space="preserve"> used, services, attraction, visitors; EU scope not established. This is a provisional connection, not an outcome finding.</w:t>
      </w:r>
    </w:p>
    <w:p>
      <w:pPr>
        <w:pStyle w:val="SourceNote"/>
      </w:pPr>
      <w:r>
        <w:rPr>
          <w:b/>
        </w:rPr>
        <w:t>Available abstract (not full text):</w:t>
      </w:r>
      <w:r>
        <w:t xml:space="preserve"> Existing tourist destinations draw an increasing number of visitors as travel and tourism continue to rise. In this scenario, the growth in demand for tourism gives rise to new markets, which means that tourism sites are facing more and more intense competition which makes visitor satisfaction on tourism destination a prerequisite for tourism destination development. It is for this reason this research was undertaken. The study was aimed at assessing visitor satisfaction on attractions and attributes at Tarangire National Park. Questionnaire was used for data collection and a total of 242 visitors (tourists) were sampled. The results showed that visitor satisfaction was highly significant between country of origin and accommodation (F = (1.359), df = 64, p&lt; 0.000), attraction (F = (1.469), df = 64, p&lt; 0.000), Game viewing roads (F = (99.32), df = 64, p&lt; 0.003), and significant for interpretation (F = (85.745), df = 64, p&lt; 0.036), game viewing (F = (85.190), df = 64, p&lt; 0.040), and signage (F = (84.479), df = 64, p&lt; 0.044), highly significant for nature of travel and signage (F = (22.620), df = 64, p&lt; 0.000), and significant for game viewing (F = (10.668) df = 64, p&lt; 0.005). Out of 15 attractions which were identified, elephant was considered the best attraction and the least was ostrich. Generally, tourists were satisfied with the attractions, attributes and services provided b</w:t>
      </w:r>
    </w:p>
    <w:p>
      <w:pPr/>
      <w:r>
        <w:rPr>
          <w:b/>
        </w:rPr>
        <w:t>POSSIBLE 2024:</w:t>
      </w:r>
      <w:r>
        <w:t xml:space="preserve"> Children’s understanding of well-being related questions: results of cognitive interviews in four European countries — https://doi.org/10.1080/13645579.2024.2312621</w:t>
      </w:r>
    </w:p>
    <w:p>
      <w:pPr/>
      <w:r>
        <w:rPr>
          <w:b/>
        </w:rPr>
        <w:t>Shared claim-specific concepts:</w:t>
      </w:r>
      <w:r>
        <w:t xml:space="preserve"> create, four, different, aim; EU scope visible. This is a provisional connection, not an outcome finding.</w:t>
      </w:r>
    </w:p>
    <w:p>
      <w:pPr>
        <w:pStyle w:val="SourceNote"/>
      </w:pPr>
      <w:r>
        <w:rPr>
          <w:b/>
        </w:rPr>
        <w:t>Available abstract (not full text):</w:t>
      </w:r>
      <w:r>
        <w:t xml:space="preserve"> This paper presents the results of cognitive interviews with 8-year-old children from four European countries – Croatia, France, Finland, and Ireland. The aim of the interviews was to pre-test a selection of well-being-related questions as a part of questionnaire development for the first European multinational birth cohort study – Growing up in Digital Europe (GUIDE)/EuroCohort. Unlike most previous studies, we focused on a younger and more age-homogenous sample, as well as a more diverse set of well-known questionnaires. A total of 68 children participated in the study. The main suggestion for the interviewing procedure is to create a safe environment yet minimize the parents’ interference in answering. The questionnaires should use child-friendly vocabulary, tangible examples, avoid complex sentence structure and negative statements. The use of timeframes in questions should be minimal. The children can use Likert-type scales, but the number of different scales in the questionnaire should be limited.</w:t>
      </w:r>
    </w:p>
    <w:p>
      <w:pPr/>
      <w:r>
        <w:rPr>
          <w:b/>
        </w:rPr>
        <w:t>POSSIBLE 2023:</w:t>
      </w:r>
      <w:r>
        <w:t xml:space="preserve"> The role of the spatial relationships between visitor attractions in shaping visiting patterns — https://doi.org/10.1080/13683500.2023.2173055</w:t>
      </w:r>
    </w:p>
    <w:p>
      <w:pPr/>
      <w:r>
        <w:rPr>
          <w:b/>
        </w:rPr>
        <w:t>Shared claim-specific concepts:</w:t>
      </w:r>
      <w:r>
        <w:t xml:space="preserve"> attraction, visitors; EU scope not established. This is a provisional connection, not an outcome finding.</w:t>
      </w:r>
    </w:p>
    <w:p>
      <w:pPr>
        <w:pStyle w:val="SourceNote"/>
      </w:pPr>
      <w:r>
        <w:rPr>
          <w:b/>
        </w:rPr>
        <w:t>Available abstract (not full text):</w:t>
      </w:r>
      <w:r>
        <w:t xml:space="preserve"> Visitor attractions are a primary tourism product. Yet, little is known about the interrelationships between attractions’ spatial characteristics, their thematic similarities, and product complementarities, and inter-attractions’ compatibility. Furthermore, at the intra-attraction level, the relationships between thematic diversity, complementarities and attraction's appeal remain overlooked. This paper suggests a conceptual framework and empirical approach to explore these relationships econometrically while controlling for tourism cluster density. Based on the conceptual model, several hypotheses were drawn and tested via empirical models by using the primary data from 300 visiting tracks of a random sample of visitors to attractions, surveyed in-situ during a single trip. These observations created the secondary data for 161 combinations (bundles) of attractions. Employing a negative-binomial regression to explain compatibility, we found that intra-level thematic diversity decreases compatibility between attractions and that visitors preferred to visit fewer attractions with more thematic diversity, than visiting more attractions that are less diversified. The paper concludes with policy implications and provides insights into bundling in the context of tourism diversification.</w:t>
      </w:r>
    </w:p>
    <w:p>
      <w:pPr/>
      <w:r>
        <w:rPr>
          <w:b/>
        </w:rPr>
        <w:t>POSSIBLE 2023:</w:t>
      </w:r>
      <w:r>
        <w:t xml:space="preserve"> Dimensions of Visitor Satisfaction at Attractions: A Study of Kakum National Park, Ghana — https://doi.org/10.2478/ejthr-2023-0014</w:t>
      </w:r>
    </w:p>
    <w:p>
      <w:pPr/>
      <w:r>
        <w:rPr>
          <w:b/>
        </w:rPr>
        <w:t>Shared claim-specific concepts:</w:t>
      </w:r>
      <w:r>
        <w:t xml:space="preserve"> used, strategies, visitors; EU scope not established. This is a provisional connection, not an outcome finding.</w:t>
      </w:r>
    </w:p>
    <w:p>
      <w:pPr>
        <w:pStyle w:val="SourceNote"/>
      </w:pPr>
      <w:r>
        <w:rPr>
          <w:b/>
        </w:rPr>
        <w:t>Available abstract (not full text):</w:t>
      </w:r>
      <w:r>
        <w:t xml:space="preserve"> Abstract Attractions are crucial in contributing to the overall satisfaction of visitors in tourism, and ensuring the satisfaction of visitors is key to the sustenance of attractions at destinations. Therefore, this study sought to ascertain the extent to which visitors are satisfied with the service dimensions at Kakum National Park (KNP), and to ascertain whether service dimensions vary with visitors’ socio-demographic characteristics. The study adopted a cross-sectional field survey and sampled 367 respondents for data collection using a questionnaire. Data were analysed via the mean scores and standard deviation. Independent t-tests and ANOVA were used to explore the difference between dimensions of satisfaction and socio-demographic characteristics of visitors. The study found that some satisfaction dimensions at the KNP in the Central region of Ghana vary with certain socio-demographic characteristics of visitors, namely age, continent of origin and level of education, at p-value ≤ 0.05. Visitors were found to be satisfied with all measured dimensions except the price. The study therefore recommends that the management of the attractions adopt conscious service strategies to enrich the experience of visitors in order to ensure better value for their money. This study’s findings expand knowledge about visitor satisfaction and how satisfaction dimensions vary with socio-dem</w:t>
      </w:r>
    </w:p>
    <w:p>
      <w:pPr/>
      <w:r>
        <w:rPr>
          <w:b/>
        </w:rPr>
        <w:t>POSSIBLE 2023:</w:t>
      </w:r>
      <w:r>
        <w:t xml:space="preserve"> Application of Machine Learning Techniques to Predict Visitors to the Tourist Attractions of the Moche Route in Peru — https://doi.org/10.3390/su15118967</w:t>
      </w:r>
    </w:p>
    <w:p>
      <w:pPr/>
      <w:r>
        <w:rPr>
          <w:b/>
        </w:rPr>
        <w:t>Shared claim-specific concepts:</w:t>
      </w:r>
      <w:r>
        <w:t xml:space="preserve"> used, four, develop, visitors; EU scope not established. This is a provisional connection, not an outcome finding.</w:t>
      </w:r>
    </w:p>
    <w:p>
      <w:pPr>
        <w:pStyle w:val="SourceNote"/>
      </w:pPr>
      <w:r>
        <w:rPr>
          <w:b/>
        </w:rPr>
        <w:t>Available abstract (not full text):</w:t>
      </w:r>
      <w:r>
        <w:t xml:space="preserve"> Due to the COVID-19 pandemic, the tourism sector has been one of the most affected sectors and requires management entities to develop urgent measures to reactivate and achieve digital transformation using emerging disruptive technologies. The objective of this research is to apply machine learning techniques to predict visitors to tourist attractions on the Moche Route in northern Peru, for which a methodology based on four main stages was applied: (1) data collection, (2) model analysis, (3) model development, and (4) model evaluation. Public data from official sources and internet data (TripAdvisor and Google Trends) during the period from January 2011 to May 2022 are used. Four algorithms are evaluated: linear regression, KNN regression, decision tree, and random forest. In conclusion, for both the prediction of national and foreign tourists, the best algorithm is linear regression, and the results allow for taking the necessary actions to achieve the digital transformation to promote the Moche Route and, thus, reactivate tourism and the economy in the north of Peru.</w:t>
      </w:r>
    </w:p>
    <w:p>
      <w:pPr/>
      <w:r>
        <w:rPr>
          <w:b/>
        </w:rPr>
        <w:t>POSSIBLE 2022:</w:t>
      </w:r>
      <w:r>
        <w:t xml:space="preserve"> Sports Marketing as a Tool for Creating an Image of Leading European Football Clubs — https://doi.org/10.15611/2022.29.9.03</w:t>
      </w:r>
    </w:p>
    <w:p>
      <w:pPr/>
      <w:r>
        <w:rPr>
          <w:b/>
        </w:rPr>
        <w:t>Shared claim-specific concepts:</w:t>
      </w:r>
      <w:r>
        <w:t xml:space="preserve"> used, create, four, different; EU scope visible. This is a provisional connection, not an outcome finding.</w:t>
      </w:r>
    </w:p>
    <w:p>
      <w:pPr>
        <w:pStyle w:val="SourceNote"/>
      </w:pPr>
      <w:r>
        <w:rPr>
          <w:b/>
        </w:rPr>
        <w:t>Available abstract (not full text):</w:t>
      </w:r>
      <w:r>
        <w:t xml:space="preserve"> The purpose of the article was to describe the sports marketing tools used by leading European football clubs. As the topic was complex, the paper also included a description of the most popular marketing tools in sport. The essence of the article was to present how the image was created by four selected football clubs. The analysis of the above-mentioned activities allowed the author to confirm that the sports marketing tools they use are an effective way to achieve the intended image goals. The main thesis put forward in the paper is that sports marketing is an effective tool for creating a brand image for European sports clubs. Thanks to the availability of contents in literature, internet materials and reports, the said thesis has been proven. When used correctly, sports marketing can create a positive image of a football club in many ways, mainly thanks to modern technology and the development of social media. However, a significant function is still performed by traditional forms of advertising which cannot be replaced by modern marketing. Each football club builds a promotional strategy in a different way, and therefore the topic is complex.</w:t>
      </w:r>
    </w:p>
    <w:p>
      <w:pPr/>
      <w:r>
        <w:rPr>
          <w:b/>
        </w:rPr>
        <w:t>POSSIBLE 2021:</w:t>
      </w:r>
      <w:r>
        <w:t xml:space="preserve"> Creating the European Literary Text Collection (ELTeC): Challenges and Perspectives — https://doi.org/10.3828/mlo.v0i0.364</w:t>
      </w:r>
    </w:p>
    <w:p>
      <w:pPr/>
      <w:r>
        <w:rPr>
          <w:b/>
        </w:rPr>
        <w:t>Shared claim-specific concepts:</w:t>
      </w:r>
      <w:r>
        <w:t xml:space="preserve"> used, four, different, aim; EU scope visible. This is a provisional connection, not an outcome finding.</w:t>
      </w:r>
    </w:p>
    <w:p>
      <w:pPr>
        <w:pStyle w:val="SourceNote"/>
      </w:pPr>
      <w:r>
        <w:rPr>
          <w:b/>
        </w:rPr>
        <w:t>Available abstract (not full text):</w:t>
      </w:r>
      <w:r>
        <w:t xml:space="preserve"> The aim of this contribution is to reflect on the process of building the multilingual European Literary Text Collection (ELTeC) that is being created in the framework of the networking project Distant Reading for European Literary History funded by COST (European Cooperation in Science and Technology). To provide some background, we briefly introduce the basic idea of ELTeC with a focus on the overall goals and intended usage scenarios. We then describe the collection composition principles that we have derived from the usage scenarios. In our discussion of the corpus-building process, we focus on collections of novels from four different literary traditions as components of ELTeC: French, Portuguese, Romanian, and Slovenian, selected from the more than twenty collections that are currently in preparation. For each collection, we describe some of the challenges we have encountered and the solutions developed while building ELTeC. In each case, the literary tradition, the history of the language, the current state of digitization of cultural heritage, the resources available locally, and the scholars’ training level with regard to digitization and corpus building have been vastly different. How can we, in this context, hope to build comparable collections of novels that can usefully be integrated into a multilingual resource such as ELTeC and used in Distant Reading research? B</w:t>
      </w:r>
    </w:p>
    <w:p>
      <w:pPr/>
      <w:r>
        <w:rPr>
          <w:b/>
        </w:rPr>
        <w:t>POSSIBLE 2021:</w:t>
      </w:r>
      <w:r>
        <w:t xml:space="preserve"> Towards a visitor taxonomy at (film-induced) heritage attractions — https://doi.org/10.1080/1743873x.2021.2002340</w:t>
      </w:r>
    </w:p>
    <w:p>
      <w:pPr/>
      <w:r>
        <w:rPr>
          <w:b/>
        </w:rPr>
        <w:t>Shared claim-specific concepts:</w:t>
      </w:r>
      <w:r>
        <w:t xml:space="preserve"> four, products, visitors; EU scope not established. This is a provisional connection, not an outcome finding.</w:t>
      </w:r>
    </w:p>
    <w:p>
      <w:pPr>
        <w:pStyle w:val="SourceNote"/>
      </w:pPr>
      <w:r>
        <w:rPr>
          <w:b/>
        </w:rPr>
        <w:t>Available abstract (not full text):</w:t>
      </w:r>
      <w:r>
        <w:t xml:space="preserve"> Film-induced tourism at heritage attractions (HAs) is a growing industry of international relevance. It can influence visitors’ expectations of the site and further their preferences for interpretation to include a degree of reference to the film(s). Drawing upon in-depth interviews with visitors at a UK HA further popularised through book and film, this paper explores visitors’ preferences for heritage interpretation. The paper identifies four visitor taxonomies – vigorous followers, curious investigators, versatile explorers and purposeful avoiders. It ultimately highlights the value of data-driven visitor taxonomies, providing an in-depth insight into heritage tourism in general and film-induced tourism at this heritage site in particular. Thus, this paper contributes to a greater understanding of the popular media products’ influence on visitor preferences for on-site heritage interpretation.</w:t>
      </w:r>
    </w:p>
    <w:p>
      <w:pPr/>
      <w:r>
        <w:rPr>
          <w:b/>
        </w:rPr>
        <w:t>POSSIBLE 2021:</w:t>
      </w:r>
      <w:r>
        <w:t xml:space="preserve"> Creating the European Literary Text Collection (ELTeC): Challenges and Perspectives — https://doi.org/10.5281/zenodo.4742420</w:t>
      </w:r>
    </w:p>
    <w:p>
      <w:pPr/>
      <w:r>
        <w:rPr>
          <w:b/>
        </w:rPr>
        <w:t>Shared claim-specific concepts:</w:t>
      </w:r>
      <w:r>
        <w:t xml:space="preserve"> used, four, different, aim; EU scope visible. This is a provisional connection, not an outcome finding.</w:t>
      </w:r>
    </w:p>
    <w:p>
      <w:pPr>
        <w:pStyle w:val="SourceNote"/>
      </w:pPr>
      <w:r>
        <w:rPr>
          <w:b/>
        </w:rPr>
        <w:t>Available abstract (not full text):</w:t>
      </w:r>
      <w:r>
        <w:t xml:space="preserve"> Please refer to the version of record, published in open access and available here: http://doi.org/10.3828/mlo.v0i0.364. The aim of this contribution is to reflect on the process of building the multilingual European Literary Text Collection (ELTeC) that is being created in the framework of the COST Action on Distant Reading for European Literary History. To provide some background, we briefly introduce the basic idea of the ELTeC with a focus on the overall goals and the intended usage scenarios. We then describe the collection composition principles we have derived from the usage scenarios. In our discussion of the corpus building process, we focus on collections of novels from four different literary traditions as components of ELTeC: French, Portuguese, Romanian, and Slovenian, selected from 18 collections that are currently in preparation. For each collection, we describe some of the challenges we have encountered and the solutions we have developed while building ELTeC. In each case, the literary tradition, the history of the language, the current state of digitization of cultural heritage, the resources available locally, and the scholars' training level with regard to digitization and corpus building have been vastly different. How can we, in this context, hope to build comparable collections of novels that can usefully be integrated into a multilingual resource such as</w:t>
      </w:r>
    </w:p>
    <w:p>
      <w:pPr>
        <w:pStyle w:val="Heading2"/>
      </w:pPr>
      <w:r>
        <w:t>935. The feasibility of a European‐wide integrated CO 2 transport network</w:t>
      </w:r>
    </w:p>
    <w:p>
      <w:pPr>
        <w:pStyle w:val="SourceNote"/>
      </w:pPr>
      <w:r>
        <w:rPr>
          <w:b/>
        </w:rPr>
        <w:t>Original source (2014):</w:t>
      </w:r>
      <w:r>
        <w:t xml:space="preserve"> https://doi.org/10.1002/ghg.1410</w:t>
      </w:r>
    </w:p>
    <w:p>
      <w:pPr/>
      <w:r>
        <w:t>Original wording (abstract; indexed_source_text_not_full_document_verified): The European Union's ambition to achieve near‐total decarbonization by 2050 suggests a large role for carbon capture and storage (CCS), requiring the transport (mostly by pipeline) of CO 2 from source facilities to appropriate sites for geological storage.</w:t>
      </w:r>
    </w:p>
    <w:p>
      <w:pPr/>
      <w:r>
        <w:rPr>
          <w:b/>
        </w:rPr>
        <w:t>POSSIBLE 2026:</w:t>
      </w:r>
      <w:r>
        <w:t xml:space="preserve"> COMMON OR DIVERGENT? A COMPARATIVE ANALYSIS OF SUSTAINABLE DEVELOPMENT POLICIES IN THE EUROPEAN UNION AND THE UNITED KINGDOM — https://doi.org/10.62140/cr530933322</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Abstract: Sustainable development policies in the United Kingdom (UK) and in the European Union (EU) have been part of selected policies that for almost fifty years have overlapped. This paper tries to trace their paths from the 1950s post-integration to recent post-Brexit policy developments. It examines major policy milestones in the European Union environmental and sustainability policies and pivotal UK instruments such as the 2005 Sustainable Development Strategy, the Climate Change Act 2008, and the Environment Act 2021. Through comparative evaluation, this article highlights similarities and differences in ambition, sustainability institutions, execution, and EU–UK cooperation on shared sustainability challenges.</w:t>
      </w:r>
    </w:p>
    <w:p>
      <w:pPr/>
      <w:r>
        <w:rPr>
          <w:b/>
        </w:rPr>
        <w:t>POSSIBLE 2026:</w:t>
      </w:r>
      <w:r>
        <w:t xml:space="preserve"> Climate at what cost? A survey experiment on trade-offs between decarbonization ambitions and socioeconomic costs — https://doi.org/10.1016/j.erss.2026.104877</w:t>
      </w:r>
    </w:p>
    <w:p>
      <w:pPr/>
      <w:r>
        <w:rPr>
          <w:b/>
        </w:rPr>
        <w:t>Shared claim-specific concepts:</w:t>
      </w:r>
      <w:r>
        <w:t xml:space="preserve"> decarbonization, suggests, role; EU scope visible. This is a provisional connection, not an outcome finding.</w:t>
      </w:r>
    </w:p>
    <w:p>
      <w:pPr>
        <w:pStyle w:val="SourceNote"/>
      </w:pPr>
      <w:r>
        <w:rPr>
          <w:b/>
        </w:rPr>
        <w:t>Available abstract (not full text):</w:t>
      </w:r>
      <w:r>
        <w:t xml:space="preserve"> Survey research typically suggests strong support for climate and decarbonization policies. These findings contrast with anecdotal and observational evidence suggesting that individuals are sensitive to personal and collective losses incurred from climate policies. To address this, we field an experiment in five Western European countries, where respondents are asked to trade-off personal and collective income losses expected with different decarbonization paths. Our results show that, while respondents support ambitious decarbonization strategies ceteris paribus , this support softens in the face of possible individual and collective income losses associated with a given decarbonization path. Next, we explore the moderating role of income, profession, education, green values, and climate and inflation concerns. The experimental focus on different distributional consequences at different levels of citizen experience contribute to a growing literature focusing on the socioeconomic implications of climate change policies, offering a sobering look at the actual level of political support these policies enjoy in western Europe, suggesting that existing compensation policies are likely insufficient.</w:t>
      </w:r>
    </w:p>
    <w:p>
      <w:pPr/>
      <w:r>
        <w:rPr>
          <w:b/>
        </w:rPr>
        <w:t>POSSIBLE 2025:</w:t>
      </w:r>
      <w:r>
        <w:t xml:space="preserve"> The Idea of the European Union as a Cosmopolitan Empire: A Critical Assessment — https://doi.org/10.33067/se.1.2025.4</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The aim of this paper is to submit the concept of the European Union as a “cosmopolitan empire”, proposed by Ulrich Beck and Edgar Grande (2007), to a critical discussion. As it attempts to grasp this concept in its practical rather than its theoretical form, it discusses the “ideal” of a European cosmopolitan empire in relation to the criteria of excellence and coherence. Compared to abstract universalism and to national relativism, the cosmopolitan ideal can be seen as a higher synthesis, since it transcends the dilemma between the effacement or the essentialisation of cultural differences. However, this synthesis, when translated into practice, reveals certain ambiguities that undermine its feasibility. The concept of a “cosmopolitan empire” emerges as a proposed solution, with European identity being reframed through the lens of cosmopolitanisation or transnationalisation. This perspective entails a profound openness and inclusion of the so-called “others”. An empire is supposed to be a political structure capable of incorporating differences within a transnational framework of governance. However, this concept sits uneasily with the historically-embedded meanings of European imperial practice which are better captured through the concept of a “neo-medieval empire” as proposed by Jan Zielonka (2007). The civilising mission, a historically prominent imperial function, relies</w:t>
      </w:r>
    </w:p>
    <w:p>
      <w:pPr/>
      <w:r>
        <w:rPr>
          <w:b/>
        </w:rPr>
        <w:t>POSSIBLE 2025:</w:t>
      </w:r>
      <w:r>
        <w:t xml:space="preserve"> The green hydrogen ambition and implementation gap — https://doi.org/10.1038/s41560-024-01684-7</w:t>
      </w:r>
    </w:p>
    <w:p>
      <w:pPr/>
      <w:r>
        <w:rPr>
          <w:b/>
        </w:rPr>
        <w:t>Shared claim-specific concepts:</w:t>
      </w:r>
      <w:r>
        <w:t xml:space="preserve"> abstract, ambition, carbon, pipeline; EU scope not established. This is a provisional connection, not an outcome finding.</w:t>
      </w:r>
    </w:p>
    <w:p>
      <w:pPr>
        <w:pStyle w:val="SourceNote"/>
      </w:pPr>
      <w:r>
        <w:rPr>
          <w:b/>
        </w:rPr>
        <w:t>Available abstract (not full text):</w:t>
      </w:r>
      <w:r>
        <w:t xml:space="preserve"> Abstract Green hydrogen is critical for decarbonizing hard-to-electrify sectors, but it faces high costs and investment risks. Here we define and quantify the green hydrogen ambition and implementation gap, showing that meeting hydrogen expectations will remain challenging despite surging announcements of projects and subsidies. Tracking 190 projects over 3 years, we identify a wide 2023 implementation gap with only 7% of global capacity announcements finished on schedule. In contrast, the 2030 ambition gap towards 1.5 °C scenarios has been gradually closing as the announced project pipeline has nearly tripled to 422 GW within 3 years. However, we estimate that, without carbon pricing, realizing all these projects would require global subsidies of US$1.3 trillion (US$0.8–2.6 trillion range), far exceeding announced subsidies. Given past and future implementation gaps, policymakers must prepare for prolonged green hydrogen scarcity. Policy support needs to secure hydrogen investments, but should focus on applications where hydrogen is indispensable.</w:t>
      </w:r>
    </w:p>
    <w:p>
      <w:pPr/>
      <w:r>
        <w:rPr>
          <w:b/>
        </w:rPr>
        <w:t>POSSIBLE 2025:</w:t>
      </w:r>
      <w:r>
        <w:t xml:space="preserve"> Towards a common defence? : the European Union between ambition and constraints — https://openalex.org/W7132684404</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The Russian invasion of Ukraine in 2022 has marked a new phase of instability, bringing high- intensity ground warfare back to the European continent and underscoring the European Union’s (EU) urgent need to strengthen its security and defence posture. This turning point has reignited the debate – both among national governments and within European institutions – on the prospect of establishing a common defence, and even, in the longer term, a common European army. Yet significant questions remain regarding what the creation of a European army would entail and the concrete steps to achieve it.This dissertation investigates the process of European integration in the field of defence, with particular attention to the legal and institutional instruments that have shaped the evolution of the Common Security and Defence Policy (CSDP), as well as the debate surrounding the potential development of a unified army for the 27 Member States. The analysis focuses on the mechanisms of cooperation already in place at the European level and the challenges the Union faces in reconciling political ambition, legal constraints, and national resistance.This thesis seeks to assess whether, over time, the EU has developed adequate instruments to ensure strategic autonomy and operational capability in the field of defence and how these might lay the groundwork for the eventual creation of a common E</w:t>
      </w:r>
    </w:p>
    <w:p>
      <w:pPr/>
      <w:r>
        <w:rPr>
          <w:b/>
        </w:rPr>
        <w:t>POSSIBLE 2025:</w:t>
      </w:r>
      <w:r>
        <w:t xml:space="preserve"> CLIMATE NEUTRALITY IN THE EUROPEAN UNION: LEGAL CHALLENGES AND NATIONAL STRATEGIES — https://doi.org/10.17721/apmv.2025.163.1.78-85</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The article analyzes the climate policy of the European Union and its members, in particular in the context of the goal of achieving climate neutrality by 2050, enshrined in the European Climate Law. Based on a comparative analysis of the legal strategies of the EU states, national approaches to the implementation of obligations to achieve climate neutrality, the level of their legal certainty, as well as the ambition of the established time horizons are outlined. the nature of the goal of climate neutrality as a normative category, as well as the issues of the effectiveness of the implementation of international obligations. An interdisciplinary assessment of the potential of legal instruments in the context of a just energy transition is proposed.</w:t>
      </w:r>
    </w:p>
    <w:p>
      <w:pPr/>
      <w:r>
        <w:rPr>
          <w:b/>
        </w:rPr>
        <w:t>POSSIBLE 2025:</w:t>
      </w:r>
      <w:r>
        <w:t xml:space="preserve"> Towards climate neutrality in the European Union — https://doi.org/10.12681/ri.40696</w:t>
      </w:r>
    </w:p>
    <w:p>
      <w:pPr/>
      <w:r>
        <w:rPr>
          <w:b/>
        </w:rPr>
        <w:t>Shared claim-specific concepts:</w:t>
      </w:r>
      <w:r>
        <w:t xml:space="preserve"> union, ambition, achieve, carbon, transport; EU scope visible. This is a provisional connection, not an outcome finding.</w:t>
      </w:r>
    </w:p>
    <w:p>
      <w:pPr>
        <w:pStyle w:val="SourceNote"/>
      </w:pPr>
      <w:r>
        <w:rPr>
          <w:b/>
        </w:rPr>
        <w:t>Available abstract (not full text):</w:t>
      </w:r>
      <w:r>
        <w:t xml:space="preserve"> The European Union (EU) has significantly reduced its net greenhouse gas (GHG) emissions since 2005. However, the pace of reductions must accelerate substantially—more than doubling the average annual rate observed between 2005 and 2022—if the EU is to achieve its 2030 target of at least a 55% net reduction in GHG emissions compared to 1990 levels, and climate neutrality by 2050. Additional efforts are needed across all sectors, i.e. energy, transport, industry, buildings and others. In addition, attention is needed regarding the land use, land-use change, and forestry (LULUCF) sector, where the carbon sink has sharply declined since 2015. Achieving the 2030 target depends on the effective implementation of the Fit for 55 package, especially at the national level. This paper1 provides a brief overview of the EU’s climate ambition and presents key findings and recommendations of the European Scientific Advisory Board on Climate Change (hereinafter referred to as the Advisory Board) on the consistency of EU and national measures with the overarching climate neutrality objectives.</w:t>
      </w:r>
    </w:p>
    <w:p>
      <w:pPr/>
      <w:r>
        <w:rPr>
          <w:b/>
        </w:rPr>
        <w:t>POSSIBLE 2024:</w:t>
      </w:r>
      <w:r>
        <w:t xml:space="preserve"> Climate Obstruction in the European Union — https://doi.org/10.1093/oso/9780197762042.003.0013</w:t>
      </w:r>
    </w:p>
    <w:p>
      <w:pPr/>
      <w:r>
        <w:rPr>
          <w:b/>
        </w:rPr>
        <w:t>Shared claim-specific concepts:</w:t>
      </w:r>
      <w:r>
        <w:t xml:space="preserve"> abstract, union, ambition, role, capture; EU scope visible. This is a provisional connection, not an outcome finding.</w:t>
      </w:r>
    </w:p>
    <w:p>
      <w:pPr>
        <w:pStyle w:val="SourceNote"/>
      </w:pPr>
      <w:r>
        <w:rPr>
          <w:b/>
        </w:rPr>
        <w:t>Available abstract (not full text):</w:t>
      </w:r>
      <w:r>
        <w:t xml:space="preserve"> Abstract The European Union has gained increasing influence in setting climate policy. Its power to determine the orientation of the integrated body and in negotiation and decision-making gives the European Union a privileged role in the climate policies of individual member states—and these processes are, accordingly, contested. At the EU level, efforts to obstruct ambitious action aim not to deny climate change but to reduce the ambition of policy initiatives and make them more market friendly. To capture the opposition, the chapter evaluates texts from key EU associations such as BusinessEurope as well as the output of conservative and neoliberal European think tanks and networks such as the Centre for European Policy. It also examines the influence of fossil fuel and ‘green’ lobby groups and analyses the extent to which actors have been able to implement their climate obstruction activities through direct contacts within the European Commission.</w:t>
      </w:r>
    </w:p>
    <w:p>
      <w:pPr/>
      <w:r>
        <w:rPr>
          <w:b/>
        </w:rPr>
        <w:t>POSSIBLE 2024:</w:t>
      </w:r>
      <w:r>
        <w:t xml:space="preserve"> Wanted Refugees: The Forming of an Instrument Constituency for Refugee Resettlement in the European Union — https://doi.org/10.1093/rsq/hdae006</w:t>
      </w:r>
    </w:p>
    <w:p>
      <w:pPr/>
      <w:r>
        <w:rPr>
          <w:b/>
        </w:rPr>
        <w:t>Shared claim-specific concepts:</w:t>
      </w:r>
      <w:r>
        <w:t xml:space="preserve"> abstract, union, ambition; EU scope visible. This is a provisional connection, not an outcome finding.</w:t>
      </w:r>
    </w:p>
    <w:p>
      <w:pPr>
        <w:pStyle w:val="SourceNote"/>
      </w:pPr>
      <w:r>
        <w:rPr>
          <w:b/>
        </w:rPr>
        <w:t>Available abstract (not full text):</w:t>
      </w:r>
      <w:r>
        <w:t xml:space="preserve"> Abstract The European Union Agency for Asylum has emerged as an important actor in the Common European Asylum System in the past few years. In this article, we explore how the agency engages in capacity-building by looking at the development of bureaucratic instruments. We deploy the theoretical framework of instrument constituencies to investigate the agency’s development of instruments around resettlement. In relation to the literature on European migration management, deploying the theoretical framework of instrument constituencies is a novel approach. Given the European Union’s limited mandate to directly influence Member States resettlement programmes, we argue that the development of bureaucratic instruments is one of the few avenues through which the European Union can facilitate resettlement. This study reveals how the proliferation in the use of these instruments by Member State authorities is driven by a political ambition to create a more orderly form of migration and is contrasted with the seemingly uncontrollable nature of asylum. Beyond being a direct solution to a practical problem, the policy instruments studied here reveal how new bureaucratic practices around resettlement are gradually being established. We show how resettlement is continuously evolving in the intersection between Member States and the European Union in the governing of migration.</w:t>
      </w:r>
    </w:p>
    <w:p>
      <w:pPr/>
      <w:r>
        <w:rPr>
          <w:b/>
        </w:rPr>
        <w:t>POSSIBLE 2024:</w:t>
      </w:r>
      <w:r>
        <w:t xml:space="preserve"> Children’s Rights and the European Union – Framework — https://doi.org/10.71009/2024.ar.crirhrs_3</w:t>
      </w:r>
    </w:p>
    <w:p>
      <w:pPr/>
      <w:r>
        <w:rPr>
          <w:b/>
        </w:rPr>
        <w:t>Shared claim-specific concepts:</w:t>
      </w:r>
      <w:r>
        <w:t xml:space="preserve"> union, ambition, achieve; EU scope visible. This is a provisional connection, not an outcome finding.</w:t>
      </w:r>
    </w:p>
    <w:p>
      <w:pPr>
        <w:pStyle w:val="SourceNote"/>
      </w:pPr>
      <w:r>
        <w:rPr>
          <w:b/>
        </w:rPr>
        <w:t>Available abstract (not full text):</w:t>
      </w:r>
      <w:r>
        <w:t xml:space="preserve"> According to the Principle of conferral, the European Union has no competences over family law, including the regulation of children’s rights. Therefore, legally binding documents (Treaty on European Union, Treaty on the Functioning of the European Union, and the Charter of Fundamental Rights of the European Union) refer to (some) children’s rights and the principles of treatment of children at a generic level. This fact does not present a major obstacle because all the European Union Member States are parties to the Convention on the Rights of the Child and many other treaties that regulate children’s rights in greater detail. Non-binding documents appear in a frenzy and show an ambition to resolve many children’s problems typically observed in developed countries of the world, including those of the European Union. As their provisions often overlap and aim to achieve many objectives, the question arises as to the purposefulness of many soft law documents, such as strategies, guidelines, resolutions, communications, recommendations, and agendas. They reflect the significant and specific problems encountered by children in the European Union and indicate the need for children’s rights to be exercised. Moreover, they are a signal to adults, not only parents, to do more for the protection of children and their rights. However, it is unclear to what extent soft law can provide an </w:t>
      </w:r>
    </w:p>
    <w:p>
      <w:pPr/>
      <w:r>
        <w:rPr>
          <w:b/>
        </w:rPr>
        <w:t>POSSIBLE 2024:</w:t>
      </w:r>
      <w:r>
        <w:t xml:space="preserve"> The impacts of decarbonization pathways on Sustainable Development Goals in the European Union — https://doi.org/10.1038/s43247-024-01309-7</w:t>
      </w:r>
    </w:p>
    <w:p>
      <w:pPr/>
      <w:r>
        <w:rPr>
          <w:b/>
        </w:rPr>
        <w:t>Shared claim-specific concepts:</w:t>
      </w:r>
      <w:r>
        <w:t xml:space="preserve"> union, achieve, decarbonization; EU scope visible. This is a provisional connection, not an outcome finding.</w:t>
      </w:r>
    </w:p>
    <w:p>
      <w:pPr>
        <w:pStyle w:val="SourceNote"/>
      </w:pPr>
      <w:r>
        <w:rPr>
          <w:b/>
        </w:rPr>
        <w:t>Available abstract (not full text):</w:t>
      </w:r>
      <w:r>
        <w:t xml:space="preserve"> Abstract Climate action to achieve the Paris Agreement should respect the United Nations Sustainable Development Goals. Here, we use an integrated assessment modelling framework comprising nine climate policy models and quantify the impacts of decarbonisation pathways on Sustainable Development Goals in the European Union at regional and national levels. We show that scenario-consistent assumptions of future socio-economic trends and current climate policies would improve energy- and carbon-related aspects of sustainability and reduce inequalities. Ambitious net-zero emissions pathways would further improve health and agricultural productivity. Furthermore, countries currently lagging in achieving sustainable development goals would see the greatest benefits from ambitious climate action. Negative socio-economic impacts from climate action on poverty, hunger, and economic growth will require specific corrective policies. While our analysis does not quantify the negative effects of less ambitious climate policy, it demonstrates where co-benefits and trade-offs of greenhouse gas mitigation and sustainable development agenda exist and can guide policy formulation.</w:t>
      </w:r>
    </w:p>
    <w:p>
      <w:pPr/>
      <w:r>
        <w:rPr>
          <w:b/>
        </w:rPr>
        <w:t>POSSIBLE 2024:</w:t>
      </w:r>
      <w:r>
        <w:t xml:space="preserve"> Paving the way for sustainable decarbonization of the European cement industry — https://doi.org/10.1038/s41893-024-01320-y</w:t>
      </w:r>
    </w:p>
    <w:p>
      <w:pPr/>
      <w:r>
        <w:rPr>
          <w:b/>
        </w:rPr>
        <w:t>Shared claim-specific concepts:</w:t>
      </w:r>
      <w:r>
        <w:t xml:space="preserve"> decarbonization, carbon, capture, storage, source; EU scope visible. This is a provisional connection, not an outcome finding.</w:t>
      </w:r>
    </w:p>
    <w:p>
      <w:pPr>
        <w:pStyle w:val="SourceNote"/>
      </w:pPr>
      <w:r>
        <w:rPr>
          <w:b/>
        </w:rPr>
        <w:t>Available abstract (not full text):</w:t>
      </w:r>
      <w:r>
        <w:t xml:space="preserve"> Abstract Cement production is a main source of carbon emissions. Decarbonization options exist, but their climate change mitigation potential, feasibility and environmental implications are still unclear. Here we assess 15 decarbonization options for the European cement industry under current and future conditions. Climate impacts per tonne of clinker produced today in European countries vary between 832 and 1,075 kg CO 2 -equivalents. Decarbonization options at various maturity levels can mitigate between 7 and 135 Mt CO 2 -equivalents per year (4–108% of today’s annual emissions from European cement plants), with a range of synergies and trade-offs. Solutions such as alternative fuels or technological improvements reduce climate impacts up to 30%, while a mix of ambitious complementary measures achieves a mitigation of about 50% by 2050. Only rapid and large-scale implementation of carbon capture and storage can approach climate neutrality. Carbon capture for production of e-fuels presents no significant mitigation benefits while it increases other environmental impacts.</w:t>
      </w:r>
    </w:p>
    <w:p>
      <w:pPr>
        <w:pStyle w:val="Heading2"/>
      </w:pPr>
      <w:r>
        <w:t>936. The future of financial markets and regulation: what strategy for Europe?</w:t>
      </w:r>
    </w:p>
    <w:p>
      <w:pPr>
        <w:pStyle w:val="SourceNote"/>
      </w:pPr>
      <w:r>
        <w:rPr>
          <w:b/>
        </w:rPr>
        <w:t>Original source (2014):</w:t>
      </w:r>
      <w:r>
        <w:t xml:space="preserve"> https://doi.org/10.1108/fs-05-2012-0039</w:t>
      </w:r>
    </w:p>
    <w:p>
      <w:pPr/>
      <w:r>
        <w:t>Original wording (abstract; indexed_source_text_not_full_document_verified): Finally, they build five scenarios according to the main evolutions observed on the financial markets and on the tools used by the regulator to modify these trends. Findings – Among the five scenarios defined, two present highly unstable features since the regulator refuses to choose between financial opening and independently determining how to regulate finance in order to preserve financial stability.</w:t>
      </w:r>
    </w:p>
    <w:p>
      <w:pPr/>
      <w:r>
        <w:rPr>
          <w:b/>
        </w:rPr>
        <w:t>POSSIBLE 2025:</w:t>
      </w:r>
      <w:r>
        <w:t xml:space="preserve"> Adapting MAIN to European Portuguese — https://doi.org/10.21248/zaspil.66.2025.887</w:t>
      </w:r>
    </w:p>
    <w:p>
      <w:pPr/>
      <w:r>
        <w:rPr>
          <w:b/>
        </w:rPr>
        <w:t>Shared claim-specific concepts:</w:t>
      </w:r>
      <w:r>
        <w:t xml:space="preserve"> finally, main, tools, features; EU scope visible. This is a provisional connection, not an outcome finding.</w:t>
      </w:r>
    </w:p>
    <w:p>
      <w:pPr>
        <w:pStyle w:val="SourceNote"/>
      </w:pPr>
      <w:r>
        <w:rPr>
          <w:b/>
        </w:rPr>
        <w:t>Available abstract (not full text):</w:t>
      </w:r>
      <w:r>
        <w:t xml:space="preserve"> This paper presents the adaptation and translation of the Multilingual Assessment Instrument for Narratives (MAIN) to European Portuguese, addressing the need for linguistically and culturally relevant assessment tools in Portuguese-speaking contexts. Following an overview of European Portuguese and its unique linguistic features, we examine key distinctions from Brazilian Portuguese, to which MAIN had previously been adapted. We outline the adaptation process, which involved translation and expert review to ensure the instrument reads naturally for European Portuguese speakers and resonates with familiar linguistic patterns. This adaptation is essential for accurately assessing language abilities in multilingual and heritage language settings, where linguistic diversity can impact children’s comprehension and engagement. Finally, we discuss the implications of providing separate European and Brazilian Portuguese versions of MAIN, emphasizing the importance of tailored language assessments that respect the distinct identities and linguistic experiences of Portuguese-speaking children.</w:t>
      </w:r>
    </w:p>
    <w:p>
      <w:pPr/>
      <w:r>
        <w:rPr>
          <w:b/>
        </w:rPr>
        <w:t>POSSIBLE 2022:</w:t>
      </w:r>
      <w:r>
        <w:t xml:space="preserve"> GLAM metadata in museums and university collections: a state-of-the-art (Spain and other European countries) — https://doi.org/10.1108/gkmc-06-2022-0133</w:t>
      </w:r>
    </w:p>
    <w:p>
      <w:pPr/>
      <w:r>
        <w:rPr>
          <w:b/>
        </w:rPr>
        <w:t>Shared claim-specific concepts:</w:t>
      </w:r>
      <w:r>
        <w:t xml:space="preserve"> finally, according, main, used, findings, highly; EU scope visible. This is a provisional connection, not an outcome finding.</w:t>
      </w:r>
    </w:p>
    <w:p>
      <w:pPr>
        <w:pStyle w:val="SourceNote"/>
      </w:pPr>
      <w:r>
        <w:rPr>
          <w:b/>
        </w:rPr>
        <w:t>Available abstract (not full text):</w:t>
      </w:r>
      <w:r>
        <w:t xml:space="preserve"> Purpose The purpose of this study is to determine which metadata schemas are used in the museums and university collections of the main universities in Spain and other European countries. Although libraries and archives are also university memory institutions (according to a Galleries, Libraries, Archives and Museums perspective), their collections are not included in this study because their metadata systems are highly standardized and their inclusion would, therefore, skew our understanding of the diverse realities that the study aims to capture. Design/methodology/approach The analysis has three components. The first is a bibliographic review based on Web of Science. The second is a direct survey of the individuals responsible for university collections to understand their internal work and documentation systems. Finally, the results obtained are complemented by an analysis of collective university heritage portals in Europe. Findings The results of this study confirmed the hypothesis that isolation and a lack of resources are still major issues in many cases. Increasing digitalization and the desire to participate in content aggregation systems are forcing change, although the responsibility for that change at universities is still vague. Originality/value Universities, particularly those with a long history, have an important heritage whose parts are often scattered or hid</w:t>
      </w:r>
    </w:p>
    <w:p>
      <w:pPr/>
      <w:r>
        <w:rPr>
          <w:b/>
        </w:rPr>
        <w:t>POSSIBLE 2021:</w:t>
      </w:r>
      <w:r>
        <w:t xml:space="preserve"> On the Interplay of Ownership Patterns, Biodiversity, and Conservation in Past and Present Temperate Forest Landscapes of Europe and North America — https://doi.org/10.1007/s40725-021-00143-w</w:t>
      </w:r>
    </w:p>
    <w:p>
      <w:pPr/>
      <w:r>
        <w:rPr>
          <w:b/>
        </w:rPr>
        <w:t>Shared claim-specific concepts:</w:t>
      </w:r>
      <w:r>
        <w:t xml:space="preserve"> finally, build, findings, present; EU scope visible. This is a provisional connection, not an outcome finding.</w:t>
      </w:r>
    </w:p>
    <w:p>
      <w:pPr>
        <w:pStyle w:val="SourceNote"/>
      </w:pPr>
      <w:r>
        <w:rPr>
          <w:b/>
        </w:rPr>
        <w:t>Available abstract (not full text):</w:t>
      </w:r>
      <w:r>
        <w:t xml:space="preserve"> Abstract Purpose of Review Ownership patterns and the associated management characteristics are related to forest structures, biodiversity patterns, and their conservation worldwide. A literature review on this topic is missing so far. We fill this gap with an emphasis on the temperate forests of Europe and North America. Mixed-ownership landscapes are the special focus of the analysis. In a first step, historical effects of ownership patterns on forest structure and biodiversity are elucidated. Second, connections between present-time forest ownership patterns and both forest structural and biodiversity patterns are analyzed. Finally, implications for integrative conservation management are evaluated with a special focus on mixed-ownership forest landscapes. Recent Findings Close linkages between ownership type-specific forest management and particular forest structural and biodiversity patterns are identified for past and current forest landscapes. Both in Europe and North America, publicly and privately owned forests show comparable lines of historical development but with a time shift. Forest reserves and ancient woodland with long ecological continuity appear to be mainly connected with public ownership. A high diversity of management approaches and cultural landscape habitats is characteristic of non-industrial small private forests. In mixed-ownership landscapes, a more </w:t>
      </w:r>
    </w:p>
    <w:p>
      <w:pPr/>
      <w:r>
        <w:rPr>
          <w:b/>
        </w:rPr>
        <w:t>POSSIBLE 2021:</w:t>
      </w:r>
      <w:r>
        <w:t xml:space="preserve"> Human Babesiosis in Europe — https://doi.org/10.3390/pathogens10091165</w:t>
      </w:r>
    </w:p>
    <w:p>
      <w:pPr/>
      <w:r>
        <w:rPr>
          <w:b/>
        </w:rPr>
        <w:t>Shared claim-specific concepts:</w:t>
      </w:r>
      <w:r>
        <w:t xml:space="preserve"> tools, present, since; EU scope visible. This is a provisional connection, not an outcome finding.</w:t>
      </w:r>
    </w:p>
    <w:p>
      <w:pPr>
        <w:pStyle w:val="SourceNote"/>
      </w:pPr>
      <w:r>
        <w:rPr>
          <w:b/>
        </w:rPr>
        <w:t>Available abstract (not full text):</w:t>
      </w:r>
      <w:r>
        <w:t xml:space="preserve"> Babesiosis is attracting increasing attention as a worldwide emerging zoonosis. The first case of human babesiosis in Europe was described in the late 1950s and since then more than 60 cases have been reported in Europe. While the disease is relatively rare in Europe, it is significant because the majority of cases present as life-threatening fulminant infections, mainly in immunocompromised patients. Although appearing clinically similar to human babesiosis elsewhere, particularly in the USA, most European forms of the disease are distinct entities, especially concerning epidemiology, human susceptibility to infection and clinical management. This paper describes the history of the disease and reviews all published cases that have occurred in Europe with regard to the identity and genetic characteristics of the etiological agents, pathogenesis, aspects of epidemiology including the eco-epidemiology of the vectors, the clinical courses of infection, diagnostic tools and clinical management and treatment.</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main, used, present, since;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Building ‘implicit partnerships’? Financial long-term care entitlements in Europe — https://doi.org/10.1007/s11077-020-09403-1</w:t>
      </w:r>
    </w:p>
    <w:p>
      <w:pPr/>
      <w:r>
        <w:rPr>
          <w:b/>
        </w:rPr>
        <w:t>Shared claim-specific concepts:</w:t>
      </w:r>
      <w:r>
        <w:t xml:space="preserve"> finally, build, financial, modify; EU scope visible. This is a provisional connection, not an outcome finding.</w:t>
      </w:r>
    </w:p>
    <w:p>
      <w:pPr>
        <w:pStyle w:val="SourceNote"/>
      </w:pPr>
      <w:r>
        <w:rPr>
          <w:b/>
        </w:rPr>
        <w:t>Available abstract (not full text):</w:t>
      </w:r>
      <w:r>
        <w:t xml:space="preserve"> Abstract The design of public subsidies for long-term care (LTC) programmes to support frail, elderly individuals in Europe is subject to both tight budget constraints and increasing demand preassures for care. However, what helps overcoming the constraints that modify LTC entitlements? We provide a unifying explanation of the conditions that facilitate the modification of public financial entitlements to LTC. We build on the concept of ‘implicit partnerships’, an implicit (or ‘silent’) agreement, encompassing the financial co-participation of both public funders, and families either by both allocating time and/or financial resources to caregiving. Next, we provide suggestive evidence of policy reforms modifying public entitlements in seven European countries which can be classified as either ‘implicit user partnerships’ or ‘implicit caregiver partnerships’. Finally, we show that taxpayers attitudes mirror the specific type of implicit partnership each country has adopted. Hence, we conclude that the modification of long-term care entitlements require the formation of some type of ‘implicit partnership'.</w:t>
      </w:r>
    </w:p>
    <w:p>
      <w:pPr/>
      <w:r>
        <w:rPr>
          <w:b/>
        </w:rPr>
        <w:t>POSSIBLE 2020:</w:t>
      </w:r>
      <w:r>
        <w:t xml:space="preserve"> Agroforestry Benefits and Challenges for Adoption in Europe and Beyond — https://doi.org/10.3390/su12177001</w:t>
      </w:r>
    </w:p>
    <w:p>
      <w:pPr/>
      <w:r>
        <w:rPr>
          <w:b/>
        </w:rPr>
        <w:t>Shared claim-specific concepts:</w:t>
      </w:r>
      <w:r>
        <w:t xml:space="preserve"> finally, they, financial; EU scope visible. This is a provisional connection, not an outcome finding.</w:t>
      </w:r>
    </w:p>
    <w:p>
      <w:pPr>
        <w:pStyle w:val="SourceNote"/>
      </w:pPr>
      <w:r>
        <w:rPr>
          <w:b/>
        </w:rPr>
        <w:t>Available abstract (not full text):</w:t>
      </w:r>
      <w:r>
        <w:t xml:space="preserve"> Soil degradation is a global concern, decreasing the soil’s ability to perform a multitude of functions. In Europe, one of the leading causes of soil degradation is unsustainable agricultural practices. Hence, there is a need to explore alternative production systems for enhanced agronomic productivity and environmental performance, such as agroforestry systems (AFS). Given this, the objective of the study is to enumerate the major benefits and challenges in the adoption of AFS. AFS can improve agronomic productivity, carbon sequestration, nutrient cycling, soil biodiversity, water retention, and pollination. Furthermore, they can reduce soil erosion and incidence of fire and provide recreational and cultural benefits. There are several challenges to the adoption and uptake of AFS in Europe, including high costs for implementation, lack of financial incentives, limited AFS product marketing, lack of education, awareness, and field demonstrations. Policies for financial incentives such as subsidies and payments for ecosystem services provided by AFS must be introduced or amended. Awareness of AFS products must be increased for consumers through appropriate marketing strategies, and landowners need more opportunities for education on how to successfully manage diverse, economically viable AFS. Finally, field-based evidence is required for informed decision-making by farmers, advi</w:t>
      </w:r>
    </w:p>
    <w:p>
      <w:pPr/>
      <w:r>
        <w:rPr>
          <w:b/>
        </w:rPr>
        <w:t>POSSIBLE 2020:</w:t>
      </w:r>
      <w:r>
        <w:t xml:space="preserve"> Building ‘implicit partnerships’? Financial long-term care entitlements in Europe — https://openalex.org/W3185178917</w:t>
      </w:r>
    </w:p>
    <w:p>
      <w:pPr/>
      <w:r>
        <w:rPr>
          <w:b/>
        </w:rPr>
        <w:t>Shared claim-specific concepts:</w:t>
      </w:r>
      <w:r>
        <w:t xml:space="preserve"> finally, build, financial, modify; EU scope visible. This is a provisional connection, not an outcome finding.</w:t>
      </w:r>
    </w:p>
    <w:p>
      <w:pPr>
        <w:pStyle w:val="SourceNote"/>
      </w:pPr>
      <w:r>
        <w:rPr>
          <w:b/>
        </w:rPr>
        <w:t>Available abstract (not full text):</w:t>
      </w:r>
      <w:r>
        <w:t xml:space="preserve"> The design of public subsidies for long-term care (LTC) programmes to support frail, elderly individuals in Europe is subject to both tight budget constraints and increasing demand preassures for care. However, what helps overcoming the constraints that modify LTC entitlements? We provide a unifying explanation of the conditions that facilitate the modification of public financial entitlements to LTC. We build on the concept of ‘implicit partnerships’, an implicit (or ‘silent’) agreement, encompassing the financial co-participation of both public funders, and families either by both allocating time and/or financial resources to caregiving. Next, we provide suggestive evidence of policy reforms modifying public entitlements in seven European countries which can be classified as either ‘implicit user partnerships’ or ‘implicit caregiver partnerships’. Finally, we show that taxpayers attitudes mirror the specific type of implicit partnership each country has adopted. Hence, we conclude that the modification of long-term care entitlements require the formation of some type of ‘implicit partnership'.</w:t>
      </w:r>
    </w:p>
    <w:p>
      <w:pPr/>
      <w:r>
        <w:rPr>
          <w:b/>
        </w:rPr>
        <w:t>POSSIBLE 2019:</w:t>
      </w:r>
      <w:r>
        <w:t xml:space="preserve"> Social enterprises and their ecosystems in Europe — https://doi.org/10.2767/330252</w:t>
      </w:r>
    </w:p>
    <w:p>
      <w:pPr/>
      <w:r>
        <w:rPr>
          <w:b/>
        </w:rPr>
        <w:t>Shared claim-specific concepts:</w:t>
      </w:r>
      <w:r>
        <w:t xml:space="preserve"> they, present, since; EU scope visible. This is a provisional connection, not an outcome finding.</w:t>
      </w:r>
    </w:p>
    <w:p>
      <w:pPr>
        <w:pStyle w:val="SourceNote"/>
      </w:pPr>
      <w:r>
        <w:rPr>
          <w:b/>
        </w:rPr>
        <w:t>Available abstract (not full text):</w:t>
      </w:r>
      <w:r>
        <w:t xml:space="preserve"> Social enterprises present an alternative to business-as-usual with their combination of core social and environmental objectives being addressed through commercial approaches. In this way they present an alternative avenue for a sustainable prosperity that is not driven by profit but rather focused on flourishing and living within ecological limits. In the UK, there has been particular interest and support for the creation of start-ups and the scaling of existing social enterprises. The term social enterprise has been in use in the UK since the 1970s, and the current approaches are shaped by the philanthropic traditions of charities, the cooperative traditions of democratic governance, and cultures of socially responsible business. The UK social enterprise movement was given a boost by the pioneering public policies and approaches in the 1990s, including various support programmes, the introduction of a new legal form and investment funds. Since 2010 there has been a focus of policy on encouraging social investment funds and mutual social enterprise ‘spin-outs’ from the public sector. However, the context of public sector austerity has seen a considerable decline in overall spending across the UK in recent years, with the exception of Scotland</w:t>
      </w:r>
    </w:p>
    <w:p>
      <w:pPr/>
      <w:r>
        <w:rPr>
          <w:b/>
        </w:rPr>
        <w:t>POSSIBLE 2019:</w:t>
      </w:r>
      <w:r>
        <w:t xml:space="preserve"> Industry Concentration in Europe and North America — https://doi.org/10.1787/2ff98246-en</w:t>
      </w:r>
    </w:p>
    <w:p>
      <w:pPr/>
      <w:r>
        <w:rPr>
          <w:b/>
        </w:rPr>
        <w:t>Shared claim-specific concepts:</w:t>
      </w:r>
      <w:r>
        <w:t xml:space="preserve"> observed, trends, two; EU scope visible. This is a provisional connection, not an outcome finding.</w:t>
      </w:r>
    </w:p>
    <w:p>
      <w:pPr>
        <w:pStyle w:val="SourceNote"/>
      </w:pPr>
      <w:r>
        <w:rPr>
          <w:b/>
        </w:rPr>
        <w:t>Available abstract (not full text):</w:t>
      </w:r>
      <w:r>
        <w:t xml:space="preserve"> This report presents new evidence on industry concentration trends in Europe and in North America. It uses two novel data sources: representative firm-level concentration measures from the OECD MultiProd project, and business-group-level concentration measures using matched Orbis-Worldscope-Zephyr data. Based on the MultiProd data, it finds that between 2001 and 2012 the average industry across 10 European economies saw a 2-3-percentage-point increase in the share of the 10% largest companies in industry sales. Using the Orbis-Worldscope-Zephyr data, it documents a clear increase in industry concentration in Europe as well as in North America between 2000 and 2014 of the order of 4-8 percentage points for the average industry. Over the period, about 3 out of 4 (2-digit) industries in each region saw their concentration increase. The increase is observed for both manufacturing and non-financial services and is not driven by digital-intensive sectors.</w:t>
      </w:r>
    </w:p>
    <w:p>
      <w:pPr/>
      <w:r>
        <w:rPr>
          <w:b/>
        </w:rPr>
        <w:t>POSSIBLE 2019:</w:t>
      </w:r>
      <w:r>
        <w:t xml:space="preserve"> Trichinella and trichinellosis in Europe — https://doi.org/10.2298/vetgl190411017p</w:t>
      </w:r>
    </w:p>
    <w:p>
      <w:pPr/>
      <w:r>
        <w:rPr>
          <w:b/>
        </w:rPr>
        <w:t>Shared claim-specific concepts:</w:t>
      </w:r>
      <w:r>
        <w:t xml:space="preserve"> they, main, used, findings, among, two; EU scope visible. This is a provisional connection, not an outcome finding.</w:t>
      </w:r>
    </w:p>
    <w:p>
      <w:pPr>
        <w:pStyle w:val="SourceNote"/>
      </w:pPr>
      <w:r>
        <w:rPr>
          <w:b/>
        </w:rPr>
        <w:t>Available abstract (not full text):</w:t>
      </w:r>
      <w:r>
        <w:t xml:space="preserve"> Background: Trichinellosis, the proper term for the human zoonotic disease is caused by nematodes of the genus Trichinella. These zoonotic parasites show a cosmopolitan distribution in all the continents but Antarctica. They circulate in nature by synanthropic-domestic and sylvatic cycles that are correlated with each other. Today, nine species and three genotypes are recognized in this genus, all of which infect mammals, including humans, while one species also infects birds, and two other species also infect reptiles. Scope and Approach: To review the recent literature on these pathogens, which are unusual among the other nematodes in that the worm undergoes a complete developmental cycle, from larva to adult to larva, in the body of a single host, which has a profound influence on the epidemiology of trichinellosis as a zoonosis. When the cycle is complete, the muscles of the infected animal contain a reservoir of larvae capable of long-term survival. Humans and other hosts become infected by ingesting muscle tissues containing viable larvae. Key Findings and Conclusions: The main source of human infection is raw or under-cooked meat products from pig, wild boar, bear, walrus, and horses, but meat products from other animals have been implicated. Both pre-slaughter prevention and post-slaughter control can be used to prevent Trichinella infections in animals. The first invol</w:t>
      </w:r>
    </w:p>
    <w:p>
      <w:pPr/>
      <w:r>
        <w:rPr>
          <w:b/>
        </w:rPr>
        <w:t>POSSIBLE 2019:</w:t>
      </w:r>
      <w:r>
        <w:t xml:space="preserve"> Implementing Green Infrastructure in Spatial Planning in Europe — https://doi.org/10.3390/land8040062</w:t>
      </w:r>
    </w:p>
    <w:p>
      <w:pPr/>
      <w:r>
        <w:rPr>
          <w:b/>
        </w:rPr>
        <w:t>Shared claim-specific concepts:</w:t>
      </w:r>
      <w:r>
        <w:t xml:space="preserve"> they, tools, used, since; EU scope visible. This is a provisional connection, not an outcome finding.</w:t>
      </w:r>
    </w:p>
    <w:p>
      <w:pPr>
        <w:pStyle w:val="SourceNote"/>
      </w:pPr>
      <w:r>
        <w:rPr>
          <w:b/>
        </w:rPr>
        <w:t>Available abstract (not full text):</w:t>
      </w:r>
      <w:r>
        <w:t xml:space="preserve"> Interest in green infrastructure (GI) has grown in research, policy and planning in recent decades. The central idea behind GI is the understanding of the physical non-built-up environment as an infrastructure capable of delivering a wide variety of benefits to society, including the ability to preserve biodiversity; to provide food, feed, fuel and fibre; to adapt to and mitigate climate change and to contribute to enhanced human health and quality of life. The European Union (EU) has had a GI strategy since 2013, and member states are involved in several strategic and applied GI initiatives and projects. The aim of this study is to explore if and how the European strategy has been implemented. The study adds to the body of knowledge of current GI policies and measures in Europe via an online survey and insights into previous research. The survey reveals that GI is integrated into one or more policy sectors in all 32 countries covered. In 11 of the 32 countries, GI-specific policies are already in place or are being drawn up at a national level. In general, the respondents see the responsibility for GI policy and strategy as a matter of national governments and the implementation as a matter of local governments. They also see the LIFE+ and Horizon 2020 project funds, the European Regional Development Fund (ERDF) and the European Agricultural Fund for Rural Development (EAFRD),</w:t>
      </w:r>
    </w:p>
    <w:p>
      <w:pPr>
        <w:pStyle w:val="Heading2"/>
      </w:pPr>
      <w:r>
        <w:t>937. The future of global trade and the WTO</w:t>
      </w:r>
    </w:p>
    <w:p>
      <w:pPr>
        <w:pStyle w:val="SourceNote"/>
      </w:pPr>
      <w:r>
        <w:rPr>
          <w:b/>
        </w:rPr>
        <w:t>Original source (2014):</w:t>
      </w:r>
      <w:r>
        <w:t xml:space="preserve"> https://doi.org/10.1108/fs-06-2012-0044</w:t>
      </w:r>
    </w:p>
    <w:p>
      <w:pPr/>
      <w:r>
        <w:t>Original wording (abstract; indexed_source_text_not_full_document_verified): Four scenarios of the world economy are presented, which are derived from the international AUGUR research project “Challenges for Europe in the world in 2030” coordinated by Paris Nord University. This paper aims to analyse the main issues which might influence the governance of world trade from now until 2030 and present quantitative projections of international trade.</w:t>
      </w:r>
    </w:p>
    <w:p>
      <w:pPr/>
      <w:r>
        <w:rPr>
          <w:b/>
        </w:rPr>
        <w:t>POSSIBLE 2025:</w:t>
      </w:r>
      <w:r>
        <w:t xml:space="preserve"> IMPACT OF SHORT-TERM EXTERNAL SHOCKS ON THE WORLD AND EUROPEAN ECONOMIES — https://doi.org/10.35774/jee2025.04.553</w:t>
      </w:r>
    </w:p>
    <w:p>
      <w:pPr/>
      <w:r>
        <w:rPr>
          <w:b/>
        </w:rPr>
        <w:t>Shared claim-specific concepts:</w:t>
      </w:r>
      <w:r>
        <w:t xml:space="preserve"> world, economy, trade; EU scope visible. This is a provisional connection, not an outcome finding.</w:t>
      </w:r>
    </w:p>
    <w:p>
      <w:pPr>
        <w:pStyle w:val="SourceNote"/>
      </w:pPr>
      <w:r>
        <w:rPr>
          <w:b/>
        </w:rPr>
        <w:t>Available abstract (not full text):</w:t>
      </w:r>
      <w:r>
        <w:t xml:space="preserve"> This study models the response of the global and European economies to short-term external shocks, including changes in trade and import tariffs, as well as geo-economic and geopolitical factors. The analysis examines the stochastic relationship between external events and variations in key macroeconomic indicators, including global and European GDP, global and European trade volumes, and the Composite Purchasing Managers’ Index (PMI) across major sectors of the world economy. A regression framework incorporating a formalized binary variable is employed to capture the effects of changes in tariff and sanctions policies on economic performance. The empirical results indicate statistically significant effects of external shocks on individual macroeconomic indicators of the global and European economies, as well as on an aggregated index constructed from these indicators. The findings reveal differences in the responses of the examined economies to external shocks, enabling a comparative assessment of their stability and resilience. The results suggest that the European economy demonstrates a higher degree of resistance to external shocks compared to the global economy as a whole and to the Chinese economy.</w:t>
      </w:r>
    </w:p>
    <w:p>
      <w:pPr/>
      <w:r>
        <w:rPr>
          <w:b/>
        </w:rPr>
        <w:t>POSSIBLE 2024:</w:t>
      </w:r>
      <w:r>
        <w:t xml:space="preserve"> USA AND CHINA IN THE WORLD ECONOMY — https://doi.org/10.34660/inf.2020.27.60235</w:t>
      </w:r>
    </w:p>
    <w:p>
      <w:pPr/>
      <w:r>
        <w:rPr>
          <w:b/>
        </w:rPr>
        <w:t>Shared claim-specific concepts:</w:t>
      </w:r>
      <w:r>
        <w:t xml:space="preserve"> world, economy, international, issues; EU scope not established. This is a provisional connection, not an outcome finding.</w:t>
      </w:r>
    </w:p>
    <w:p>
      <w:pPr>
        <w:pStyle w:val="SourceNote"/>
      </w:pPr>
      <w:r>
        <w:rPr>
          <w:b/>
        </w:rPr>
        <w:t>Available abstract (not full text):</w:t>
      </w:r>
      <w:r>
        <w:t xml:space="preserve"> We thank all participants of our conference "Scientific research of the SCO countries: synergy and integration" for the interest shown, for your speeches and reports.Such a wide range of participants, representing all the countries that are members of the Shanghai Cooperation Organization, speaks about the necessity and importance of this event.The reports of the participants cover a wide range of topical scientific problems and our joint interaction will contribute to the further development of both theoretical and applied modern scientific research by scientists from different countries.The result of the conference was the participation of 56 authors from 7 countries (China, Russia, Uzbekistan, Kazakhstan, Azerbaijan, Tajikistan, Kyrgyzstan).This conference was a result of the serious interest of the world academic community, the state authorities of China and the Chinese Communist Party to preserve and strengthen international cooperation in the field of science.We also thank our Russian partner Infinity Publishing House for assistance in organizing the conference, preparing and publishing the conference proceedings in Chinese Part and English Part.I hope that the collection of this conference will be useful to a wide range of readers.It will help to consider issues, that would interest the public, under a new point of view.It will also allow to find contacts among scientist</w:t>
      </w:r>
    </w:p>
    <w:p>
      <w:pPr/>
      <w:r>
        <w:rPr>
          <w:b/>
        </w:rPr>
        <w:t>POSSIBLE 2023:</w:t>
      </w:r>
      <w:r>
        <w:t xml:space="preserve"> Rebuilding the fortress? Europe in a changing world economy — https://doi.org/10.1080/09692290.2023.2211281</w:t>
      </w:r>
    </w:p>
    <w:p>
      <w:pPr/>
      <w:r>
        <w:rPr>
          <w:b/>
        </w:rPr>
        <w:t>Shared claim-specific concepts:</w:t>
      </w:r>
      <w:r>
        <w:t xml:space="preserve"> world, economy, international, trade; EU scope visible. This is a provisional connection, not an outcome finding.</w:t>
      </w:r>
    </w:p>
    <w:p>
      <w:pPr>
        <w:pStyle w:val="SourceNote"/>
      </w:pPr>
      <w:r>
        <w:rPr>
          <w:b/>
        </w:rPr>
        <w:t>Available abstract (not full text):</w:t>
      </w:r>
      <w:r>
        <w:t xml:space="preserve"> Two rival visions of Europe's place in the world economy competed for primacy throughout the post-war era.The idea of an 'Atlantic Europe' promoted close economic ties to the United States and integration into the liberal international order.An alternative 'Fortress Europe' vision aimed to carve out a sphere of relative European autonomy backed by trade barriers and industrial protectionism.While many argued that the 'Fortress Europe' vision was defeated during the globalization of the 1990s and 2000s, concepts such as economic sovereignty, industrial strategy and 'strategic autonomy' have returned to EU circles.Is a rebuilding of 'Fortress Europe' taking place in this context?This paper argues that the old tension between 'Atlantic' and 'Fortress' Europe is re-emerging but in a new form and under a new set of international conditions.A 'selective fortification' of European industrial strategy and trade policy is taking shape, as EU policymakers develop targeted instruments and institutional capacities that aim to insulate European firms from new patterns of international competition.The selective refortification of European capitalism has implications for debates within international political economy (IPE) on the future of liberal international order, new patterns of competitive regionalization, and the restructuring of the relation between the state and global capitalism.</w:t>
      </w:r>
    </w:p>
    <w:p>
      <w:pPr/>
      <w:r>
        <w:rPr>
          <w:b/>
        </w:rPr>
        <w:t>POSSIBLE 2023:</w:t>
      </w:r>
      <w:r>
        <w:t xml:space="preserve"> The Contested World Economy — https://doi.org/10.1017/9781009337489</w:t>
      </w:r>
    </w:p>
    <w:p>
      <w:pPr/>
      <w:r>
        <w:rPr>
          <w:b/>
        </w:rPr>
        <w:t>Shared claim-specific concepts:</w:t>
      </w:r>
      <w:r>
        <w:t xml:space="preserve"> world, economy, international; EU scope visible. This is a provisional connection, not an outcome finding.</w:t>
      </w:r>
    </w:p>
    <w:p>
      <w:pPr>
        <w:pStyle w:val="SourceNote"/>
      </w:pPr>
      <w:r>
        <w:rPr>
          <w:b/>
        </w:rPr>
        <w:t>Available abstract (not full text):</w:t>
      </w:r>
      <w:r>
        <w:t xml:space="preserve"> The rapid growth of the field of international political economy since the 1970s has revived an older tradition of thought from the pre-1945 era. The Contested World Economy provides the first book-length analysis of these deep intellectual roots of the field, revealing how earlier debates about the world economy were more global and wide-ranging than usually recognized. Helleiner shows how pre-1945 pioneers of international political economy included thinkers from all parts of the world rather than just those from Europe and the United States featured in most textbooks. Their discussions also went beyond the much-studied debate between economic liberals, neomercantilists, and Marxists, and addressed wider topics, including many with contemporary relevance, such as environmental degradation, gender inequality, racial discrimination, religious worldviews, civilizational values, national self-sufficiency, and varieties of economic regionalism. This fascinating history of ideas sheds new light on current debates and the need for a global understanding of their antecedents.</w:t>
      </w:r>
    </w:p>
    <w:p>
      <w:pPr/>
      <w:r>
        <w:rPr>
          <w:b/>
        </w:rPr>
        <w:t>POSSIBLE 2022:</w:t>
      </w:r>
      <w:r>
        <w:t xml:space="preserve"> Assessment of the impact of Circular Economy competitiveness and innovation on European economic growth — https://doi.org/10.5937/ejae19-39057</w:t>
      </w:r>
    </w:p>
    <w:p>
      <w:pPr/>
      <w:r>
        <w:rPr>
          <w:b/>
        </w:rPr>
        <w:t>Shared claim-specific concepts:</w:t>
      </w:r>
      <w:r>
        <w:t xml:space="preserve"> four, world, economy, aims; EU scope visible. This is a provisional connection, not an outcome finding.</w:t>
      </w:r>
    </w:p>
    <w:p>
      <w:pPr>
        <w:pStyle w:val="SourceNote"/>
      </w:pPr>
      <w:r>
        <w:rPr>
          <w:b/>
        </w:rPr>
        <w:t>Available abstract (not full text):</w:t>
      </w:r>
      <w:r>
        <w:t xml:space="preserve"> The world usage of raw materials is 70% higher than what the Earth can safely renew. Circular Economy represents a new model of economic development relying on the 7Rs (redesign, reduce, reuse, repair, renovate, recycle, and recover) to provide operational and strategic benefits on the micro, meso, and macro levels. This research aims to determine the impact that circular economy competitiveness and innovation have on economic growth within European countries by evaluating the impact of four independent variables selected from the European Commission Circular Economy monitoring framework on the GNI per capita. This paper analyses the competitiveness through Values Added at Factor Cost (VAFC), Gross Investment in Tangible Goods (GITG), and Number of Employees (EMP) in Circular Economy, innovation through the Number of Patents in climate change mitigation technologies related to wastewater treatment or waste management (PAT), while the economic growth was estimated based on the GNI per capita annual growth rate (GNIpc). Correlation and regression methods were applied to the sample of 25 European countries using the log-transformed data. The results show that the correlation between VAFC and GNIpc is moderate and significant but negative, while the correlation between GITG and EMP and GNIpc is not statistically significant.</w:t>
      </w:r>
    </w:p>
    <w:p>
      <w:pPr/>
      <w:r>
        <w:rPr>
          <w:b/>
        </w:rPr>
        <w:t>POSSIBLE 2021:</w:t>
      </w:r>
      <w:r>
        <w:t xml:space="preserve"> Sustainable entrepreneurship education for circular economy: emerging perspectives in Europe — https://doi.org/10.1108/ijebr-03-2021-0210</w:t>
      </w:r>
    </w:p>
    <w:p>
      <w:pPr/>
      <w:r>
        <w:rPr>
          <w:b/>
        </w:rPr>
        <w:t>Shared claim-specific concepts:</w:t>
      </w:r>
      <w:r>
        <w:t xml:space="preserve"> four, world, economy, aims, analyse, main; EU scope visible. This is a provisional connection, not an outcome finding.</w:t>
      </w:r>
    </w:p>
    <w:p>
      <w:pPr>
        <w:pStyle w:val="SourceNote"/>
      </w:pPr>
      <w:r>
        <w:rPr>
          <w:b/>
        </w:rPr>
        <w:t>Available abstract (not full text):</w:t>
      </w:r>
      <w:r>
        <w:t xml:space="preserve"> Purpose The paper aims to contribute to the Circular Economy debate from the Entrepreneurship Education perspective. Despite scholars' growing interest in both these research streams, scarce consideration is given to the comprehension of their mutual implications and meaning. Design/methodology/approach The paper is based on a cross-case analysis. It compares 16 higher education programmes launched by Universities in Europe aimed to create competences and skills for Circular Economy in students with different profiles. The analysis provides a critical view of the emerging trends for the entrepreneurship education skills and competencies needed for the emerging circular entrepreneurship paradigm. Findings The paper discusses the main trends of Entrepreneurship Education focused on Circular Economy debate at the European level: rationale and learning objectives (why); contents (what), target students and stakeholders (who) and the learning processes (how). Four thematic areas are identified as common patterns: circular economy business model, green supply chain management, technology entrepreneurship and innovation and public policies and institutional frameworks. Research limitations/implications The paper sheds new light on a still under-researched area, suggesting several implications and avenues for future research in Circular Economy and Entrepreneurship Education. Limitatio</w:t>
      </w:r>
    </w:p>
    <w:p>
      <w:pPr/>
      <w:r>
        <w:rPr>
          <w:b/>
        </w:rPr>
        <w:t>POSSIBLE 2021:</w:t>
      </w:r>
      <w:r>
        <w:t xml:space="preserve"> Bioeconomic development in Europe and in the world — https://doi.org/10.1051/e3sconf/202124410061</w:t>
      </w:r>
    </w:p>
    <w:p>
      <w:pPr/>
      <w:r>
        <w:rPr>
          <w:b/>
        </w:rPr>
        <w:t>Shared claim-specific concepts:</w:t>
      </w:r>
      <w:r>
        <w:t xml:space="preserve"> world, international, challenges, present; EU scope visible. This is a provisional connection, not an outcome finding.</w:t>
      </w:r>
    </w:p>
    <w:p>
      <w:pPr>
        <w:pStyle w:val="SourceNote"/>
      </w:pPr>
      <w:r>
        <w:rPr>
          <w:b/>
        </w:rPr>
        <w:t>Available abstract (not full text):</w:t>
      </w:r>
      <w:r>
        <w:t xml:space="preserve"> Bioeconomy is one of the leading science directions at the present time; countries and international organizations around the world pay close attention to it. They are actively working on policies and strategies for the transition to a bioeconomy. Bioeconomy is based on advances in microbiology that can be used in various processes associated with the use of biological resources; it is changing consumer preferences by bringing a new understanding of resource constraints. Despite the fact that a great contribution has already been made to the science of bioeconomy, much in it still refers to promising scientific developments in such areas as biology, biomedicine, engineering, artificial intelligence, technology, chemistry, etc. This paper provides an overview of the current strategies of different countries in the development and implementation of bioeconomy. Purpose of the work: systematization of target indicators and identification of the most significant among them for different economies. The results of the study point to the need for an in-depth analysis of the challenges and opportunities the world faces on the road to bioeconomy. In addition, it is shown the need to develop common global criteria for assessing the bioeconomic development.</w:t>
      </w:r>
    </w:p>
    <w:p>
      <w:pPr/>
      <w:r>
        <w:rPr>
          <w:b/>
        </w:rPr>
        <w:t>POSSIBLE 2021:</w:t>
      </w:r>
      <w:r>
        <w:t xml:space="preserve"> Circular economy: advancement of European Union countries — https://doi.org/10.1186/s12302-021-00549-0</w:t>
      </w:r>
    </w:p>
    <w:p>
      <w:pPr/>
      <w:r>
        <w:rPr>
          <w:b/>
        </w:rPr>
        <w:t>Shared claim-specific concepts:</w:t>
      </w:r>
      <w:r>
        <w:t xml:space="preserve"> economy, challenges, aims; EU scope visible. This is a provisional connection, not an outcome finding.</w:t>
      </w:r>
    </w:p>
    <w:p>
      <w:pPr>
        <w:pStyle w:val="SourceNote"/>
      </w:pPr>
      <w:r>
        <w:rPr>
          <w:b/>
        </w:rPr>
        <w:t>Available abstract (not full text):</w:t>
      </w:r>
      <w:r>
        <w:t xml:space="preserve"> Abstract Background Circular economy (CE) is a development priority of the European Union and it is part of the EU industrial strategy. The transition to a more circular economy is an essential contribution to the EU’s efforts to develop a sustainable, low carbon, resource-efficient and competitive economy. The author focuses her CE-related reflections and research in this paper on the macro-level (research subjects: 28 EU countries), the level which is least represented in scholarly publications addressing CE (as follows from the analysis of literature in the Scopus database). This study aims to fill this gap partially. The aim of this paper is to identify and group the EU-28 countries according to their advancement towards circular economy. CE indicators proposed by the European Commission were used for the analysis. Given the research subjects and after an analysis of the literature they were concluded to be the most adequate. The theoretical part was based on an analysis of the literature, whereas the empirical work used the principal components analysis, hierarchical and k-means clustering and a grade correspondence-cluster analysis. Results On the basis of the research, the existence of a “two-speed Europe” was identified in terms of EU countries’ advancement towards CE. Leading countries, those most advanced in pursuing operation according to CE principles, include Germa</w:t>
      </w:r>
    </w:p>
    <w:p>
      <w:pPr/>
      <w:r>
        <w:rPr>
          <w:b/>
        </w:rPr>
        <w:t>POSSIBLE 2020:</w:t>
      </w:r>
      <w:r>
        <w:t xml:space="preserve"> The European Union in the World Economy: Competitiveness Issues — https://doi.org/10.20542/978-5-9535-0587-1</w:t>
      </w:r>
    </w:p>
    <w:p>
      <w:pPr/>
      <w:r>
        <w:rPr>
          <w:b/>
        </w:rPr>
        <w:t>Shared claim-specific concepts:</w:t>
      </w:r>
      <w:r>
        <w:t xml:space="preserve"> world, economy, international, challenges, issues; EU scope visible. This is a provisional connection, not an outcome finding.</w:t>
      </w:r>
    </w:p>
    <w:p>
      <w:pPr>
        <w:pStyle w:val="SourceNote"/>
      </w:pPr>
      <w:r>
        <w:rPr>
          <w:b/>
        </w:rPr>
        <w:t>Available abstract (not full text):</w:t>
      </w:r>
      <w:r>
        <w:t xml:space="preserve"> This study is prepared by the Center for European Studies of Primakov National Research Institute of World Economy and International Relations. It observes the problems of competitiveness and the challenges faced by European countries and the European Union as a whole in contemporary global economy. The first part of the book presents the general position of the EU in the world economy, examines industrial competitiveness and describes the role of State in its ensuring. The second part is dedicated to national competitiveness of European countries in the European Single Market. The publication is intended for Agencies developing Russia's economic policy, as well as for researchers, higher education professors, postgraduates, students, and anyone interested in the current trends in the world economy and international relations.</w:t>
      </w:r>
    </w:p>
    <w:p>
      <w:pPr/>
      <w:r>
        <w:rPr>
          <w:b/>
        </w:rPr>
        <w:t>POSSIBLE 2019:</w:t>
      </w:r>
      <w:r>
        <w:t xml:space="preserve"> The Soviet Union and the World Economy in the 1980S: A Review of the Alternatives — https://doi.org/10.4324/9780429311130-3</w:t>
      </w:r>
    </w:p>
    <w:p>
      <w:pPr/>
      <w:r>
        <w:rPr>
          <w:b/>
        </w:rPr>
        <w:t>Shared claim-specific concepts:</w:t>
      </w:r>
      <w:r>
        <w:t xml:space="preserve"> four, world, economy, presented, aims, trade; EU scope visible. This is a provisional connection, not an outcome finding.</w:t>
      </w:r>
    </w:p>
    <w:p>
      <w:pPr>
        <w:pStyle w:val="SourceNote"/>
      </w:pPr>
      <w:r>
        <w:rPr>
          <w:b/>
        </w:rPr>
        <w:t>Available abstract (not full text):</w:t>
      </w:r>
      <w:r>
        <w:t xml:space="preserve"> This chapter aims to sketch the likely development of Soviet economic relations with the World Economy over the decade 1976–1985, the period of the Tenth and Eleventh Five-Year plans. Trade between the Soviet Union and Eastern Europe has been disaggregated into four commodity groups: machinery, raw materials, food, other consumer goods. In the past, Soviet exports of fuel and materials to the Council of Mutual Economic Assistance (CMEA) were a function of net material product in Eastern Europe and also determined a smaller flow of material imports from the CMEA. During the construction of the Soviet Econometric Model a new methodology was developed for evaluating the quantitative impact of imported machinery on Soviet industrial production; to a certain extent, this technique provides a measure of the gains from technology transfer. The projections presented were computed using a 1977 version of SOVMOD III, the third generation SRI-WEFA Soviet Econometric Model.</w:t>
      </w:r>
    </w:p>
    <w:p>
      <w:pPr/>
      <w:r>
        <w:rPr>
          <w:b/>
        </w:rPr>
        <w:t>POSSIBLE 2019:</w:t>
      </w:r>
      <w:r>
        <w:t xml:space="preserve"> Risks to human health from ammunition-derived lead in Europe — https://doi.org/10.1007/s13280-019-01194-x</w:t>
      </w:r>
    </w:p>
    <w:p>
      <w:pPr/>
      <w:r>
        <w:rPr>
          <w:b/>
        </w:rPr>
        <w:t>Shared claim-specific concepts:</w:t>
      </w:r>
      <w:r>
        <w:t xml:space="preserve"> world, main, now; EU scope visible. This is a provisional connection, not an outcome finding.</w:t>
      </w:r>
    </w:p>
    <w:p>
      <w:pPr>
        <w:pStyle w:val="SourceNote"/>
      </w:pPr>
      <w:r>
        <w:rPr>
          <w:b/>
        </w:rPr>
        <w:t>Available abstract (not full text):</w:t>
      </w:r>
      <w:r>
        <w:t xml:space="preserve"> It has been known for centuries that lead is toxic to humans. Chronic exposure to lead, even at low levels, is associated with an elevated risk of cardiovascular and chronic kidney disease in adults and of impaired neurodevelopment and subsequent cognitive and behavioural development in the foetus and young children. Health agencies throughout the world have moved from assuming that there are tolerable levels of exposure to lead to a recognition that valid 'no-effect' thresholds cannot currently be defined. Formerly, the most important exposure pathways were occupational exposure, water from lead plumbing, paints, petrol additives and foods. Regulation of products and improved health and safety procedures at work have left dietary lead as the main remaining pathway of exposure in European countries. Ammunition-derived lead is now a significant cause of dietary lead exposure in groups of people who eat wild game meat frequently. These are mostly hunters, shoot employees and their families, but also some people who choose to eat game for ethical, health or other reasons, and their children. Extrapolation from surveys conducted in the UK and a review of studies of game consumption in other countries suggest that approximately 5 million people in the EU may be high-level consumers of lead-shot game meat and that tens of thousands of children in the EU may be consuming game contamin</w:t>
      </w:r>
    </w:p>
    <w:p>
      <w:pPr/>
      <w:r>
        <w:rPr>
          <w:b/>
        </w:rPr>
        <w:t>POSSIBLE 2019:</w:t>
      </w:r>
      <w:r>
        <w:t xml:space="preserve"> The Importance Of SMEs On World Economies — https://doi.org/10.36880/c11.02265</w:t>
      </w:r>
    </w:p>
    <w:p>
      <w:pPr/>
      <w:r>
        <w:rPr>
          <w:b/>
        </w:rPr>
        <w:t>Shared claim-specific concepts:</w:t>
      </w:r>
      <w:r>
        <w:t xml:space="preserve"> world, economy, challenges, trade; EU scope visible. This is a provisional connection, not an outcome finding.</w:t>
      </w:r>
    </w:p>
    <w:p>
      <w:pPr>
        <w:pStyle w:val="SourceNote"/>
      </w:pPr>
      <w:r>
        <w:rPr>
          <w:b/>
        </w:rPr>
        <w:t>Available abstract (not full text):</w:t>
      </w:r>
      <w:r>
        <w:t xml:space="preserve"> The importance of SMEs to world economies is well reported. SMEs (firms with 200 or less employees) construct the biggest business sector in each global economy therefore governments around the world are increase the effort to promote and support SME expansion as their national development strategy. Micro firms and SMEs are forming the majority of firms in most countries (which 95% on average) and for the large majority of jobs. While SMEs are dominating of very great numbers, SMEs are significant due to their importance as priority drivers to employment, economic growth and innovation. According to the World Trade Organization SMEs represent over 90% of the business population, 60-70% of employment and 55% of GDP in developed economies. SMEs held for around 20% of patents, one measure of innovation, in biotechnology-related fields in the Europe. As the world economy faces with prevailing challenges, governments increasingly start to turn on SMEs as a significant element of sustainable and inclusive economic growth. The importance of SMEs to; economic growth, poverty reduction, innovation and job creation also social cohesion are major key.</w:t>
      </w:r>
    </w:p>
    <w:p>
      <w:pPr>
        <w:pStyle w:val="Heading2"/>
      </w:pPr>
      <w:r>
        <w:t>938. The future of trade unions in Croatia – various stakeholders’ perspectives</w:t>
      </w:r>
    </w:p>
    <w:p>
      <w:pPr>
        <w:pStyle w:val="SourceNote"/>
      </w:pPr>
      <w:r>
        <w:rPr>
          <w:b/>
        </w:rPr>
        <w:t>Original source (2014):</w:t>
      </w:r>
      <w:r>
        <w:t xml:space="preserve"> https://doi.org/10.1177/1024258914546277</w:t>
      </w:r>
    </w:p>
    <w:p>
      <w:pPr/>
      <w:r>
        <w:t>Original wording (abstract; indexed_source_text_not_full_document_verified): This article explores different stakeholders’ perceptions of the future of trade unions in Croatia. Findings reveal that respondents (managers, HR experts, trade union officials, government representatives and employees) are not optimistic about the future of trade unions in Croatia, agreeing that they will face many obstacles in the near future, such as a lack of consensus between the five trade union federations, a lack of agreement among the unions within a federation, and further union disintegration.</w:t>
      </w:r>
    </w:p>
    <w:p>
      <w:pPr/>
      <w:r>
        <w:rPr>
          <w:b/>
        </w:rPr>
        <w:t>POSSIBLE 2026:</w:t>
      </w:r>
      <w:r>
        <w:t xml:space="preserve"> Trump's Trade Gambit: Chaos as a Calculated Strategy — https://doi.org/10.1177/00207020261439150</w:t>
      </w:r>
    </w:p>
    <w:p>
      <w:pPr/>
      <w:r>
        <w:rPr>
          <w:b/>
        </w:rPr>
        <w:t>Shared claim-specific concepts:</w:t>
      </w:r>
      <w:r>
        <w:t xml:space="preserve"> article, explores, trade, union; EU scope visible. This is a provisional connection, not an outcome finding.</w:t>
      </w:r>
    </w:p>
    <w:p>
      <w:pPr>
        <w:pStyle w:val="SourceNote"/>
      </w:pPr>
      <w:r>
        <w:rPr>
          <w:b/>
        </w:rPr>
        <w:t>Available abstract (not full text):</w:t>
      </w:r>
      <w:r>
        <w:t xml:space="preserve"> This article challenges the widespread perception among European commentators that the trade policies of the Trump administration, particularly its trade wars with China, the European Union, and other nations with current account deficits, lack a coherent strategy. Instead, it argues that these policies are rooted in chaos theory, which posits that within apparent disorder lies an underlying order. By applying this theoretical framework, the article examines the strategic objectives behind the administration's seemingly erratic decisions. It explores how calculated disruptions in global trade relations aim to redefine economic dynamics and reinforce US hegemony. This analysis highlights the risks and implications of this approach, including potential instability in multilateral relations and the emergence of alternative economic blocs. Ultimately, the article provides a nuanced understanding of the “calculated chaos” strategy, offering insights into its role in reshaping international trade and economic governance.</w:t>
      </w:r>
    </w:p>
    <w:p>
      <w:pPr/>
      <w:r>
        <w:rPr>
          <w:b/>
        </w:rPr>
        <w:t>POSSIBLE 2026:</w:t>
      </w:r>
      <w:r>
        <w:t xml:space="preserve"> From Stigma to Support: Exploring Perceptions of Menstrual Leave Policies in European Workplaces — https://doi.org/10.1111/gwao.70256</w:t>
      </w:r>
    </w:p>
    <w:p>
      <w:pPr/>
      <w:r>
        <w:rPr>
          <w:b/>
        </w:rPr>
        <w:t>Shared claim-specific concepts:</w:t>
      </w:r>
      <w:r>
        <w:t xml:space="preserve"> perceptions, croatia, about, they; EU scope visible. This is a provisional connection, not an outcome finding.</w:t>
      </w:r>
    </w:p>
    <w:p>
      <w:pPr>
        <w:pStyle w:val="SourceNote"/>
      </w:pPr>
      <w:r>
        <w:rPr>
          <w:b/>
        </w:rPr>
        <w:t>Available abstract (not full text):</w:t>
      </w:r>
      <w:r>
        <w:t xml:space="preserve"> ABSTRACT Menstrual leave is an emerging reproductive health organizational policy gaining attention in Europe but research remains limited. Drawing on 45 semi‐structured interviews with menstruating and nonmenstruating workers in Croatia, Germany, and Italy, we applied thematic analysis to explore workplace perceptions of menstruation and menstrual leave policies (MLPs). We found that menstruation was widely positioned as taboo in the workplace, with participants both experiencing and anticipating stigma. Menstruating was associated with incompetence, emotional instability, and unprofessionalism—as contradictory to ideal worker norms and expectations. Although participants could identify and acknowledge potential benefits of MLPs, they also expressed reluctance and even women participants felt reticent. In particular, women participants would refrain from using them and were concerned about misuse. Our research contributes to work and organizational psychology by highlighting how ideal worker norms perpetuate menstrual stigma which in turn enables the stigmatization of menstrual leave policies. Interventions that align with diffusion of innovations theory could increase awareness of menstruation and decrease menstrual stigma in the workplace to prepare workplaces before implementing menstrual leave policies.</w:t>
      </w:r>
    </w:p>
    <w:p>
      <w:pPr/>
      <w:r>
        <w:rPr>
          <w:b/>
        </w:rPr>
        <w:t>POSSIBLE 2026:</w:t>
      </w:r>
      <w:r>
        <w:t xml:space="preserve"> Exploring the European Road Freight Transport Survey: Potentials, Challenges, and Limitations — https://doi.org/10.1016/j.trpro.2026.04.188</w:t>
      </w:r>
    </w:p>
    <w:p>
      <w:pPr/>
      <w:r>
        <w:rPr>
          <w:b/>
        </w:rPr>
        <w:t>Shared claim-specific concepts:</w:t>
      </w:r>
      <w:r>
        <w:t xml:space="preserve"> article, different, not; EU scope visible. This is a provisional connection, not an outcome finding.</w:t>
      </w:r>
    </w:p>
    <w:p>
      <w:pPr>
        <w:pStyle w:val="SourceNote"/>
      </w:pPr>
      <w:r>
        <w:rPr>
          <w:b/>
        </w:rPr>
        <w:t>Available abstract (not full text):</w:t>
      </w:r>
      <w:r>
        <w:t xml:space="preserve"> This paper examines the European Road Freight Transport Survey, a comprehensive European microdata set compiled under Regulation (EU) No. 70/2012, to assess its potential, challenges, and limitations. These include both the limitations of the data collected and methodological inaccuracies in the surveys in different countries. The article describes the structure of the data set, which consists of three interlinked data sets: vehicle, journey and goods records. The aim is to explore methodological inconsistencies and data limitations, offering recommendations for enhancing the dataset’s reliability and usability. The analysis shows significant impact of different exclusion criteria such as the weight or age of vehicles. One effect is that the majority of routes that are recorded in one country are not recorded at all in other countries. Limiting to the most restrictive limit would have little impact on the overall data and would filter out less than 5% of the observations Another important result concerns the age structure of vehicles. In some countries, such as Italy and France, there are strict age limits for the vehicles surveyed, which has an impact on the representativeness of the data. The article concludes with recommendations for harmonizing the methodology or providing a harmonized data set and raising awareness of the limitations of this data in official disseminations</w:t>
      </w:r>
    </w:p>
    <w:p>
      <w:pPr/>
      <w:r>
        <w:rPr>
          <w:b/>
        </w:rPr>
        <w:t>POSSIBLE 2025:</w:t>
      </w:r>
      <w:r>
        <w:t xml:space="preserve"> Green Economy, Trade, and Consumers – Interactions in European Green Transition — https://doi.org/10.7494/geom.2025.19.2.25</w:t>
      </w:r>
    </w:p>
    <w:p>
      <w:pPr/>
      <w:r>
        <w:rPr>
          <w:b/>
        </w:rPr>
        <w:t>Shared claim-specific concepts:</w:t>
      </w:r>
      <w:r>
        <w:t xml:space="preserve"> article, trade, reveal, union, face; EU scope visible. This is a provisional connection, not an outcome finding.</w:t>
      </w:r>
    </w:p>
    <w:p>
      <w:pPr>
        <w:pStyle w:val="SourceNote"/>
      </w:pPr>
      <w:r>
        <w:rPr>
          <w:b/>
        </w:rPr>
        <w:t>Available abstract (not full text):</w:t>
      </w:r>
      <w:r>
        <w:t xml:space="preserve"> This article presents a current and significant problem by exploring the main problems of the European Green Transition; the authors discuss these in two aspects: first, the goals of the Green Transition as one of the European Union’s strategic priorities – the goals, achievements, and possible risks that face the European Union’s green policies are discussed.The second aspect of the study is the authors’ attempt to reveal and comment on the role of trade and consumers as a tool that works in favor of the Green Transition – specifically, those that are included in European Union documents such as the Green Deal and the Circular Economy Action Plan. The definition of the problem is based on the understanding that, on the one hand, trade as an economic sector is developing most dynamically and on a large scale, making Sector G the largest set of enterprises among all of the sectors that carry out economic activities in the EU (including Bulgaria). On the other hand, trade as a business activity is closely linked to consumers; it actively interacts with them and, therefore, has a significant impact on their behaviors (including their impact on the environment). In practice, it is impossible to achieve the green goals without the connection and interaction “trade-consumers”; in addition to being aimed at achieving a modern, resource-efficient, and competitive EU economy, these refl</w:t>
      </w:r>
    </w:p>
    <w:p>
      <w:pPr/>
      <w:r>
        <w:rPr>
          <w:b/>
        </w:rPr>
        <w:t>POSSIBLE 2025:</w:t>
      </w:r>
      <w:r>
        <w:t xml:space="preserve"> Perceptions of the Costs and Benefits of Farm Digitalisation in Europe — https://doi.org/10.1111/1746-692x.12471</w:t>
      </w:r>
    </w:p>
    <w:p>
      <w:pPr/>
      <w:r>
        <w:rPr>
          <w:b/>
        </w:rPr>
        <w:t>Shared claim-specific concepts:</w:t>
      </w:r>
      <w:r>
        <w:t xml:space="preserve"> article, stakeholders, perceptions, trade, face; EU scope visible. This is a provisional connection, not an outcome finding.</w:t>
      </w:r>
    </w:p>
    <w:p>
      <w:pPr>
        <w:pStyle w:val="SourceNote"/>
      </w:pPr>
      <w:r>
        <w:rPr>
          <w:b/>
        </w:rPr>
        <w:t>Available abstract (not full text):</w:t>
      </w:r>
      <w:r>
        <w:t xml:space="preserve"> Summary Farm digitalisation is revolutionising European agriculture, offering enhanced productivity, resource efficiency and sustainability. Technologies like sensors, robotics and data‐driven tools enable precise decision‐making thereby reducing time and resource use. This article draws on insights from 18 focus groups in European living labs, engaging farmers, policymakers and advisors to explore the trade‐offs of digital adoption. Key benefits include time‐saving tools that streamline operations, promote sustainability and support innovative business models. Digital platforms improve traceability, reduce chemical inputs and enhance food safety. Farmers also value how technology attracts younger generations and fosters inclusivity. Examples from France, Germany, Hungary and Italy illustrate region‐specific applications, such as real‐time data use and soil‐scanning technologies. However, significant challenges accompany digitalisation. Farmers cite high costs, a steep learning curve and infrastructure gaps like limited internet connectivity. Trust issues persist among farmers, governments and technology providers, while concerns over data ownership and governance hinder adoption. Small farms face disproportionate burdens due to financial constraints and skill shortages. This study underscores the need for equitable support systems, transparent governance and tailored solutions</w:t>
      </w:r>
    </w:p>
    <w:p>
      <w:pPr/>
      <w:r>
        <w:rPr>
          <w:b/>
        </w:rPr>
        <w:t>POSSIBLE 2024:</w:t>
      </w:r>
      <w:r>
        <w:t xml:space="preserve"> IDENTITY AND SCHOOLING IN MINORITY AND REGIONAL LANGUAGES IN EUROPE AND ASIA — https://doi.org/10.33876/2311-0546/2024-3/135-152</w:t>
      </w:r>
    </w:p>
    <w:p>
      <w:pPr/>
      <w:r>
        <w:rPr>
          <w:b/>
        </w:rPr>
        <w:t>Shared claim-specific concepts:</w:t>
      </w:r>
      <w:r>
        <w:t xml:space="preserve"> article, explores, different; EU scope visible. This is a provisional connection, not an outcome finding.</w:t>
      </w:r>
    </w:p>
    <w:p>
      <w:pPr>
        <w:pStyle w:val="SourceNote"/>
      </w:pPr>
      <w:r>
        <w:rPr>
          <w:b/>
        </w:rPr>
        <w:t>Available abstract (not full text):</w:t>
      </w:r>
      <w:r>
        <w:t xml:space="preserve"> This article builds upon the research project “Identity and School Policy in the Multicultural World: An Anthropological Analysis of International Experience.” The focus is on the pressing issue of language in youth education within Russia. From the perspective of a social anthropologist, the article examines the possibilities and consequences of various approaches to addressing the needs of diverse ethnic groups in multicultural societies, drawing on examples from several countries. The author explores the lessons Russia can draw from the practices of other nations, emphasizing the relationship between educational policy concepts and the formation of various identities among the population (national, ethnic, regional, local, etc.). To assess the extent to which minority and regional languages (as defined by the European Charter for Regional or Minority Languages) are incorporated into actual educational programs across Europe and Asia, an analysis was conducted of relevant regulatory and administrative decisions at different levels. The project’s primary objective was to strike a balance between the ethno-cultural competencies of individual citizens and the goals of consolidating the population in the interests of a unified state.</w:t>
      </w:r>
    </w:p>
    <w:p>
      <w:pPr/>
      <w:r>
        <w:rPr>
          <w:b/>
        </w:rPr>
        <w:t>POSSIBLE 2023:</w:t>
      </w:r>
      <w:r>
        <w:t xml:space="preserve"> Exploring the effects of protected area networks on the European land system — https://doi.org/10.1016/j.jenvman.2023.117741</w:t>
      </w:r>
    </w:p>
    <w:p>
      <w:pPr/>
      <w:r>
        <w:rPr>
          <w:b/>
        </w:rPr>
        <w:t>Shared claim-specific concepts:</w:t>
      </w:r>
      <w:r>
        <w:t xml:space="preserve"> different, findings, union; EU scope visible. This is a provisional connection, not an outcome finding.</w:t>
      </w:r>
    </w:p>
    <w:p>
      <w:pPr>
        <w:pStyle w:val="SourceNote"/>
      </w:pPr>
      <w:r>
        <w:rPr>
          <w:b/>
        </w:rPr>
        <w:t>Available abstract (not full text):</w:t>
      </w:r>
      <w:r>
        <w:t xml:space="preserve"> The European Union's Biodiversity Strategy for 2030 seeks to protect 30% of land, with 10% under strict protection, while building a transnational nature network. We explore the effects of the Biodiversity Strategy targets for land use and ecosystem services across the European land system. To do so, we propose a novel approach, combining a methodological framework for improving green network connectivity with an EU-wide land system model. We identify an improved network of EU protected areas consistent with the 2030 targets, and explore its effects under different levels of protection and in a range of paired climatic and socio-economic scenarios. The existing network of protected areas is highly fragmented, with more than one third of its nodes being isolated. We find that prioritizing connectivity when implementing new protected areas could achieve the strategy's targets without compromising the future provision of ecosystem services, including food production, in Europe. However, we also find that EU-wide distributions of land uses and ecosystem services are influenced by the protected area network, and that this influence manifests differently in different climatic and socio-economic scenarios. Varying the strength of protection of the network had limited effects. Extractive services (food and timber production) decreased in protected areas, but non-extractive services inc</w:t>
      </w:r>
    </w:p>
    <w:p>
      <w:pPr/>
      <w:r>
        <w:rPr>
          <w:b/>
        </w:rPr>
        <w:t>POSSIBLE 2023:</w:t>
      </w:r>
      <w:r>
        <w:t xml:space="preserve"> Exploring farmers’ perceptions of social sustainability — https://doi.org/10.1007/s10668-023-04140-w</w:t>
      </w:r>
    </w:p>
    <w:p>
      <w:pPr/>
      <w:r>
        <w:rPr>
          <w:b/>
        </w:rPr>
        <w:t>Shared claim-specific concepts:</w:t>
      </w:r>
      <w:r>
        <w:t xml:space="preserve"> perceptions, findings, reveal, managers; EU scope not established. This is a provisional connection, not an outcome finding.</w:t>
      </w:r>
    </w:p>
    <w:p>
      <w:pPr>
        <w:pStyle w:val="SourceNote"/>
      </w:pPr>
      <w:r>
        <w:rPr>
          <w:b/>
        </w:rPr>
        <w:t>Available abstract (not full text):</w:t>
      </w:r>
      <w:r>
        <w:t xml:space="preserve"> Abstract In the farming sector, there is growing awareness of the importance of the social dimension of sustainability and its complex links to environmental and economic sustainability. However, social sustainability is generally the least understood dimension of sustainability. Despite efforts to empirically capture social sustainability, it remains unclear how it is relevant to individual farms and how it depends on their contexts. To generate a comprehensive and contextual understanding of social sustainability, we adopted a mixed-methods approach. We first conducted qualitative interviews with farm managers, which then informed the development of a survey focused on farmers’ perceptions and experiences of social sustainability at their farms. In total, 354 Swiss farm managers completed our online survey. First, we identified social aspects relevant to farmers and compared them across the three main production types in Switzerland (dairy, crop, and other livestock production). Second, we assessed farmers’ perceptions and experiences of social sustainability and the relationship of these perceptions and experiences with farmer identity (i.e., productivist, conservative, passionate caretaker, and forward-looking). The findings reveal differences in the meaning and importance of social sustainability across production types. Farmer identity appears to influence the experience </w:t>
      </w:r>
    </w:p>
    <w:p>
      <w:pPr/>
      <w:r>
        <w:rPr>
          <w:b/>
        </w:rPr>
        <w:t>POSSIBLE 2023:</w:t>
      </w:r>
      <w:r>
        <w:t xml:space="preserve"> Differences in perceptions of fuel duties and emissions trading in road transport — https://doi.org/10.1016/j.tranpol.2023.11.006</w:t>
      </w:r>
    </w:p>
    <w:p>
      <w:pPr/>
      <w:r>
        <w:rPr>
          <w:b/>
        </w:rPr>
        <w:t>Shared claim-specific concepts:</w:t>
      </w:r>
      <w:r>
        <w:t xml:space="preserve"> article, explores, perceptions, not, they; EU scope visible. This is a provisional connection, not an outcome finding.</w:t>
      </w:r>
    </w:p>
    <w:p>
      <w:pPr>
        <w:pStyle w:val="SourceNote"/>
      </w:pPr>
      <w:r>
        <w:rPr>
          <w:b/>
        </w:rPr>
        <w:t>Available abstract (not full text):</w:t>
      </w:r>
      <w:r>
        <w:t xml:space="preserve"> The transport sector is responsible for more than a quarter of global emissions, and road transport alone contributes with over 70% of that share. A separate Emissions Trading System (ETS) in the EU will be implemented in 2027, covering road transport, buildings and additional sectors (mainly small industry). The likely outcomes of such policy are higher fuel prices, leading to less fuel consumption and reduced road transport emissions. Given that the inclusion of road transport in the EU ETS was originally proposed by the UK in the 2000s, and that the UK is exploring possible improvements to its own UK ETS, it is not impossible that the idea of emissions trading in road transport could be revisited in the UK. This article explores differences in perceptions of fuel price increases as a result of an increase in fuel duties or as a result of the introduction of a parallel ETS for road transport. This research employs a Serious Game to elicit perceptions. The game was designed to create situations where drivers would need to make decisions in response to an increase in the pump price of fuel. Ultimately, the idea was to get the study participants to reflect on their travel decisions both in the game and in real life. Possible responses included changing their cars, modifying their travel behaviour or moving house. The data was analyzed using an interpretive approach, which contri</w:t>
      </w:r>
    </w:p>
    <w:p>
      <w:pPr/>
      <w:r>
        <w:rPr>
          <w:b/>
        </w:rPr>
        <w:t>POSSIBLE 2023:</w:t>
      </w:r>
      <w:r>
        <w:t xml:space="preserve"> Towards a sustainable future: exploring the European dimensions of ecological balance and social equity — https://doi.org/10.24263/edsd-2023-5-21</w:t>
      </w:r>
    </w:p>
    <w:p>
      <w:pPr/>
      <w:r>
        <w:rPr>
          <w:b/>
        </w:rPr>
        <w:t>Shared claim-specific concepts:</w:t>
      </w:r>
      <w:r>
        <w:t xml:space="preserve"> article, explores, face, many; EU scope visible. This is a provisional connection, not an outcome finding.</w:t>
      </w:r>
    </w:p>
    <w:p>
      <w:pPr>
        <w:pStyle w:val="SourceNote"/>
      </w:pPr>
      <w:r>
        <w:rPr>
          <w:b/>
        </w:rPr>
        <w:t>Available abstract (not full text):</w:t>
      </w:r>
      <w:r>
        <w:t xml:space="preserve"> Sustainable development is essential for building a prosperous and resilient future for Europe.This article explores the various dimensions of sustainable development in Europe, including environmental, social, and economic sustainability.We used theoretical and empirical research methods in this article.Theoretical methods are analysis, synthesis, generalization and comparison of literary sources.Empirical research methods in this article are observation and measurement.Environmental sustainability in Europe faces challenges such as climate change, biodiversity loss, and pollution.However, there are many successful initiatives being implement, such as the EU Green Deal, to transform the EU economy into a sustainable one.Social sustainability faces issues such as inequality, poverty, and social exclusion, which require policies that promote social cohesion and address these challenges.Economic sustainability involves promoting inclusive and sustainable economic growth, particularly in the face of global challenges such as climate change and technological disruption.To achieve long-term sustainable development in Europe, it is crucial to integrate environmental, social, and economic considerations into decision-making processes.This requires promoting sustainability in all sectors of society, including businesses, governments, and individuals.For the first time, a comparison of </w:t>
      </w:r>
    </w:p>
    <w:p>
      <w:pPr/>
      <w:r>
        <w:rPr>
          <w:b/>
        </w:rPr>
        <w:t>POSSIBLE 2022:</w:t>
      </w:r>
      <w:r>
        <w:t xml:space="preserve"> European Green Deal necropolitics: Exploring ‘green’ energy transition, degrowth &amp; infrastructural colonization — https://doi.org/10.1016/j.polgeo.2022.102640</w:t>
      </w:r>
    </w:p>
    <w:p>
      <w:pPr/>
      <w:r>
        <w:rPr>
          <w:b/>
        </w:rPr>
        <w:t>Shared claim-specific concepts:</w:t>
      </w:r>
      <w:r>
        <w:t xml:space="preserve"> article, different, reveal; EU scope visible. This is a provisional connection, not an outcome finding.</w:t>
      </w:r>
    </w:p>
    <w:p>
      <w:pPr>
        <w:pStyle w:val="SourceNote"/>
      </w:pPr>
      <w:r>
        <w:rPr>
          <w:b/>
        </w:rPr>
        <w:t>Available abstract (not full text):</w:t>
      </w:r>
      <w:r>
        <w:t xml:space="preserve"> This article critically examines the GND (Green New Deal) platform by exploring the reality of energy development under the European Green Deal (EGD). Taking a special interest in degrowth positions on energy development, the article argues that the European Green Deal is an exercise in necropolitics; intensifying market relationships, extraction, and infrastructural colonization. The article proceeds by reviewing and discussing recent environmental justice and degrowth positions on energy infrastructural development. The methodology outlines desk-based research on resource extraction as well as on the European energy markets. This accompanies multi-sited ethnographic fieldwork, charting environmental conflicts along a 400kv high-tension power line. This line goes across France, Catalonia and Southern Spain, stretching into Morocco and occupied Western Sahara. Unconventional research techniques, such as hitchhiking, enabled mobility and expanding the informal interview pool. Outlining the objectives of the EGD, the next section examines three aspects of its necropolitics. First, necropolitical economy reveals the reality of energy market liberalization under the EGD. Second, necropolitical extraction examines the expansion of mining and mineral processing, which are necessary for the EGD and ‘mainstream’ GNDs. Third, necropolitical operation reveal the reality of ‘a rapid rollo</w:t>
      </w:r>
    </w:p>
    <w:p>
      <w:pPr/>
      <w:r>
        <w:rPr>
          <w:b/>
        </w:rPr>
        <w:t>POSSIBLE 2021:</w:t>
      </w:r>
      <w:r>
        <w:t xml:space="preserve"> Governing displaced migration in Europe: housing and the role of the “local” — https://doi.org/10.1186/s40878-020-00209-x</w:t>
      </w:r>
    </w:p>
    <w:p>
      <w:pPr/>
      <w:r>
        <w:rPr>
          <w:b/>
        </w:rPr>
        <w:t>Shared claim-specific concepts:</w:t>
      </w:r>
      <w:r>
        <w:t xml:space="preserve"> article, different, about, they; EU scope visible. This is a provisional connection, not an outcome finding.</w:t>
      </w:r>
    </w:p>
    <w:p>
      <w:pPr>
        <w:pStyle w:val="SourceNote"/>
      </w:pPr>
      <w:r>
        <w:rPr>
          <w:b/>
        </w:rPr>
        <w:t>Available abstract (not full text):</w:t>
      </w:r>
      <w:r>
        <w:t xml:space="preserve"> This article will explore the extent to which a focus on the 'local' can tell us something meaningful about recent developments in the governance of displaced migrants and refugees. Taking a multi-sited approach spanning cases in the south and north of Europe, we consider how the challenge of housing and accommodation in particular, a core sector of migrant reception and integration, can shed light on the ways local and city level approaches may negotiate, and sometimes diverge from, national level policy and rhetoric. While it can be said that despite variation, local authorities are by definition ultimately 'always subordinate' (Emilsson, Comparative Migration Studies, 3: 1-17, 2015: 4), they can also show evidence of 'decoupling' across geographies of policy delivery (Pope and Meyer, European Journal of Cultural and Political Sociology, 3: 280-305, 2016: 290). This article traces how possible local variations in different European cases are patterned by ground-level politics, local strategic networks, and pre-existing economic resources in a manner that is empirically detailed through the study of housing.</w:t>
      </w:r>
    </w:p>
    <w:p>
      <w:pPr>
        <w:pStyle w:val="Heading2"/>
      </w:pPr>
      <w:r>
        <w:t>939. The implications of regional and national demographic projections for future GMS costs in Ireland through to 2026</w:t>
      </w:r>
    </w:p>
    <w:p>
      <w:pPr>
        <w:pStyle w:val="SourceNote"/>
      </w:pPr>
      <w:r>
        <w:rPr>
          <w:b/>
        </w:rPr>
        <w:t>Original source (2014):</w:t>
      </w:r>
      <w:r>
        <w:t xml:space="preserve"> https://doi.org/10.1186/1472-6963-14-477</w:t>
      </w:r>
    </w:p>
    <w:p>
      <w:pPr/>
      <w:r>
        <w:t>Original wording (abstract; indexed_source_text_not_full_document_verified): A Monte Carlo Model is used to simulate the effects of demographic change (by region, age, gender, coverage, claims rates and average claims cost) will have on GMS prescribing costs in 2016, 2021 and 2026 under different scenarios. RESULTS: The Population of Ireland is projected to grow by 32% between 2007 and 2026 and by 96% for the over 70s.</w:t>
      </w:r>
    </w:p>
    <w:p>
      <w:pPr/>
      <w:r>
        <w:rPr>
          <w:b/>
        </w:rPr>
        <w:t>POSSIBLE 2026:</w:t>
      </w:r>
      <w:r>
        <w:t xml:space="preserve"> Monte Carlo Greeks for European Pandemic Options under Stochastic SIS Model — https://openalex.org/W7167764542</w:t>
      </w:r>
    </w:p>
    <w:p>
      <w:pPr/>
      <w:r>
        <w:rPr>
          <w:b/>
        </w:rPr>
        <w:t>Shared claim-specific concepts:</w:t>
      </w:r>
      <w:r>
        <w:t xml:space="preserve"> monte, carlo, over; EU scope visible. This is a provisional connection, not an outcome finding.</w:t>
      </w:r>
    </w:p>
    <w:p>
      <w:pPr>
        <w:pStyle w:val="SourceNote"/>
      </w:pPr>
      <w:r>
        <w:rPr>
          <w:b/>
        </w:rPr>
        <w:t>Available abstract (not full text):</w:t>
      </w:r>
      <w:r>
        <w:t xml:space="preserve"> This thesis investigates the numerical valuation of European pandemic options in a stochastic SIS model. The study focuses on whether non-standard features previously found in PDE-based analyses, including call price concavity and negative sensitivity to volatility, also arise in a Monte Carlo setting. The SIS process is discretised using the Euler--Maruyama method. This allows us to obtain explicit Monte Carlo pathwise sensitivity representations for the first two option sensitivities, Delta and Vega, which do not appear to be explicitly derived elsewhere in the literature. In contrast, the explicit pathwise sensitivity representation for the Gamma was unavailable since the payoff function at the strike has discontinuous second derivative. Therefore, it was approximated by the central finite--difference scheme. We conduct further numerical experimental study. The numerical results reproduce the main qualitative behaviour found in the literature. The call price is increasing but concave in the initial infection level, and the call Vega remains negative over the volatility grid considered. For the put option, the value decreases with the initial infection level and Vega is positive. Overall, the results indicate that these non-standard features arise naturally from the structure of the stochastic SIS model.</w:t>
      </w:r>
    </w:p>
    <w:p>
      <w:pPr/>
      <w:r>
        <w:rPr>
          <w:b/>
        </w:rPr>
        <w:t>POSSIBLE 2026:</w:t>
      </w:r>
      <w:r>
        <w:t xml:space="preserve"> Monte Carlo Simulation of European Option Prices under the Heston Stochastic-Volatility Model — https://doi.org/10.54254/2754-1169/2026.ld37980</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When volatility is not assumed to be constant, there are no closed-form solutions for the prices of European options; hence, numerical estimation is needed. In this paper, the accuracy and convergence of Monte Carlo simulation for pricing European call options under the Heston model is investigated. The empirical volatility process was characterised on the basis of the daily closing prices of the SPDR S&amp;P 500 ETF Trust for the period January 2024 to December 2025 (502 trading days), and a standard literature parameter setting is used for the full market calibration. The paths of stock prices and variances were simulated using the Full Truncation Euler scheme with 252 time steps, while the terminal payoffs were discounted and averaged under the risk-neutral measure. These simulations were performed 20 times for 1,000, 10,000 and 100,000 paths and compared to the semi-analytical Heston price of 9.2425. As the number of paths increased, the mean standard error and the root mean square error decreased in the manner of 1/sqrt(N) rate of contraction with the relative bias being &lt; 0.25 % throughout. The Black–Scholes special-case test was used to correctly replicate the closed-form price to within 0.073%. The estimator is thus correct at this scale but an additional discretisation error remains which cannot be eliminated by any number of additional paths.</w:t>
      </w:r>
    </w:p>
    <w:p>
      <w:pPr/>
      <w:r>
        <w:rPr>
          <w:b/>
        </w:rPr>
        <w:t>POSSIBLE 2026:</w:t>
      </w:r>
      <w:r>
        <w:t xml:space="preserve"> Lévy Stochastic Models, GARCH-Type Volatility, and Heavy-Tailed Innovations: Pricing European Options under Randomized Quasi-Monte Carlo Methods — https://doi.org/10.24818/18423264/60.2.26.01</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In this paper, we propose a new hybrid framework to evaluate European call option pricing using Monte Carlo (MC) and Randomized Quasi-Monte Carlo (RQMC) simulation methods, incorporating Halton and Sobol sequences to improve convergence and accuracy in Black-Scholes-type option-pricing models across expiry and moneyness levels, with variance-reduction techniques to minimise standard errors. The standard Black-Scholes (BS) model is modified by replacing constant volatility with GARCH (1,1). To determine whether improvement lies in volatility dynamics or innovation density, we consider four cases: (i) a baseline GARCH-BS model under Gaussian density, (ii) the same GARCH-BS model with a heavy-tailed density, (iii)Gaussian density with a best-fitted GARCH(1,1) dynamic replacing the standard GARCH(1,1), and (iv) a combination of the heavy-tailed density and best-fitted GARCH(1,1).Our proposed RQMC framework improves pricing accuracy and reduces errors compared to standard MC across all models; the GARCH (1,1)-NIG framework outperforms the BS model in accuracy and convergence, and standard errors decrease with more simulations, confirming robustness across scenarios.</w:t>
      </w:r>
    </w:p>
    <w:p>
      <w:pPr/>
      <w:r>
        <w:rPr>
          <w:b/>
        </w:rPr>
        <w:t>POSSIBLE 2026:</w:t>
      </w:r>
      <w:r>
        <w:t xml:space="preserve"> A scalable probabilistic meta-model framework for accelerating Monte Carlo-based thermal performance analysis of small-to-medium-sized commercial buildings in six European regions under climate uncertainty — https://doi.org/10.1016/j.jobe.2026.115881</w:t>
      </w:r>
    </w:p>
    <w:p>
      <w:pPr/>
      <w:r>
        <w:rPr>
          <w:b/>
        </w:rPr>
        <w:t>Shared claim-specific concepts:</w:t>
      </w:r>
      <w:r>
        <w:t xml:space="preserve"> monte, carlo, average; EU scope visible. This is a provisional connection, not an outcome finding.</w:t>
      </w:r>
    </w:p>
    <w:p>
      <w:pPr>
        <w:pStyle w:val="SourceNote"/>
      </w:pPr>
      <w:r>
        <w:rPr>
          <w:b/>
        </w:rPr>
        <w:t>Available abstract (not full text):</w:t>
      </w:r>
      <w:r>
        <w:t xml:space="preserve"> Quantifying building thermal performance under uncertainty remains a major computational challenge, particularly when traditional Monte Carlo (MC) simulations are applied to large-scale probabilistic analyses. To address this limitation, this study develops a scalable and generalizable data-driven stochastic framework that accelerates MC-based convergence analysis for building energy modeling with a focus on low-to-medium-sized commercial buildings in six cities across Europe to test the method. The proposed approach combines Latin Hypercube Sampling with an optimized tree-based meta-model ensemble tuned via Bayesian Optimization, replicating MC convergence behavior with up to 95–99% reduction in computation time while maintaining high accuracy (average R 2 &gt; 0.90). By using 700 MC baseline samples, more than 600,000 stochastic samples are generated to demonstrate the framework’s ability to support high-resolution uncertainty and sensitivity analyses at scales impractical for direct MC simulations. Using a 0.1% Coefficient of Variation threshold, the study reveals that convergence characteristics of key output percentiles (5 th , 50 th , and 95 th ) vary systematically with building typology, climate, and scenario. Sensitivity analysis identifies the solar heat-gain coefficient of south-facing glazing as the dominant factor influencing future cooling demand, while persistent he</w:t>
      </w:r>
    </w:p>
    <w:p>
      <w:pPr/>
      <w:r>
        <w:rPr>
          <w:b/>
        </w:rPr>
        <w:t>POSSIBLE 2026:</w:t>
      </w:r>
      <w:r>
        <w:t xml:space="preserve"> Wavelet Monte Carlo dynamics — https://doi.org/10.82444/warw.33802774</w:t>
      </w:r>
    </w:p>
    <w:p>
      <w:pPr/>
      <w:r>
        <w:rPr>
          <w:b/>
        </w:rPr>
        <w:t>Shared claim-specific concepts:</w:t>
      </w:r>
      <w:r>
        <w:t xml:space="preserve"> monte, carlo, used, simulate, different; EU scope not established. This is a provisional connection, not an outcome finding.</w:t>
      </w:r>
    </w:p>
    <w:p>
      <w:pPr>
        <w:pStyle w:val="SourceNote"/>
      </w:pPr>
      <w:r>
        <w:rPr>
          <w:b/>
        </w:rPr>
        <w:t>Available abstract (not full text):</w:t>
      </w:r>
      <w:r>
        <w:t xml:space="preserve"> The Wavelet Monte Carlo dynamics (WMCD) algorithm is developed from scratch to simulate hydrodynamically coupled Brownian particles at low Reynolds numbers. The basic premise is to construct a regularised version of the Oseen tensor out of a distribution of 3-dimensional vector wavelets that displace groups of particles so as to evolve the system in time while correlating the motion of all particles according to their separation. In doing so, the Oseen tensor is made implicit in the simulation code and the computational complexity of WMCD scales with system size N as N lnN (or even linearly in fractal systems), comparing favourably to existing Brownian dynamics algorithms, while the absence of any solvent degrees of freedom also leads to favourable comparisons with explicit-solvent methods. WMCD therefore holds promise to simulate system sizes beyond the reach of the alternatives. Key extensions to the basic algorithm are presented - none of which affect the computational complexity - including additional Fourier moves and smart Monte Carlo biasing to improve the algorithm's dynamical fidelity, as well as schemes to build in polydispersity and hydrodynamic coupling of particle rotations. WMCD is then used in a comprehensive study of the diffusion of isolated polymer chains, using the properties of the centre of mass velocity autocorrelation to identify distinct short and long-t</w:t>
      </w:r>
    </w:p>
    <w:p>
      <w:pPr/>
      <w:r>
        <w:rPr>
          <w:b/>
        </w:rPr>
        <w:t>POSSIBLE 2026:</w:t>
      </w:r>
      <w:r>
        <w:t xml:space="preserve"> Monte Carlo Models for Asset Pricing and Financial Risk — https://doi.org/10.4018/979-8-3373-8372-9.ch003</w:t>
      </w:r>
    </w:p>
    <w:p>
      <w:pPr/>
      <w:r>
        <w:rPr>
          <w:b/>
        </w:rPr>
        <w:t>Shared claim-specific concepts:</w:t>
      </w:r>
      <w:r>
        <w:t xml:space="preserve"> monte, carlo, used, simulate; EU scope visible. This is a provisional connection, not an outcome finding.</w:t>
      </w:r>
    </w:p>
    <w:p>
      <w:pPr>
        <w:pStyle w:val="SourceNote"/>
      </w:pPr>
      <w:r>
        <w:rPr>
          <w:b/>
        </w:rPr>
        <w:t>Available abstract (not full text):</w:t>
      </w:r>
      <w:r>
        <w:t xml:space="preserve"> Monte Carlo simulation is now used in modern finance to process complex derivatives, uncertainty in the market and valid risk analysis in non-linear and multi-factor contexts. The traditional models of analysis are often limited by assumptions such as constant volatility and normal returns because real market dynamics are often not captured by traditional analytical models. The chapter provides a well-rounded model that incorporates the theoretical basis of Monte Carlo methods, its computer implementation and business applications. Its code support of useful Python and R functions to simulate the asset path, price European, American, and Asian options, compute Value at risk and Expected shortfall, use variance reduction, and many fundamental stochastic processes, including Geometric Brownian Motion, jump-diffusion and the Heston model. Banking, insurance, asset management, and corporate finance examples are given of applications that are decision-oriented and the regulatory relevance and reliability is demonstrated through convergence diagnostics and back testing.</w:t>
      </w:r>
    </w:p>
    <w:p>
      <w:pPr/>
      <w:r>
        <w:rPr>
          <w:b/>
        </w:rPr>
        <w:t>POSSIBLE 2026:</w:t>
      </w:r>
      <w:r>
        <w:t xml:space="preserve"> Variance Reduction Techniques for Monte Carlo Pricing of European Call Options — https://doi.org/10.5281/zenodo.21727184</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Monte Carlo simulation is one of many methods for pricing financial derivatives, such as European call options, but its slow convergence rate makes it nearly impossible to use in practice. This paper compares four Monte Carlo estimators for pricing a European call option under the Black-Scholes model: basic Monte Carlo, antithetic variates, control variates, and Quasi-Monte Carlo using Sobol low-discrepancy sequences. Using repeated simulations across multiple sample sizes, we measure the standard deviation of pricing errors relative to the analytical Black-Scholes value. Antithetic variates provide acceptable improvement, control variates yield substantially lower variance, and Quasi-Monte Carlo delivers the most impressive results, with variance reductions of up to two orders of magnitude. These results demonstrate the effectiveness of advanced sampling techniques in improving Monte Carlo efficiency.</w:t>
      </w:r>
    </w:p>
    <w:p>
      <w:pPr/>
      <w:r>
        <w:rPr>
          <w:b/>
        </w:rPr>
        <w:t>POSSIBLE 2025:</w:t>
      </w:r>
      <w:r>
        <w:t xml:space="preserve"> OptionMC: A Python Package for Monte Carlo Pricing of European Options — https://doi.org/10.18517/ijods.6.2.70-84.2025</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This article presents OptionMC, a Python package designed for educational purposes that implements Monte Carlo methods for European option pricing. We describe the package's architecture and demonstrate its application through systematic testing against established Black-Scholes analytical solutions. The implementation supports both standard Monte Carlo estimation and variance reduction via antithetic variates, allowing examination of convergence patterns and computational efficiency. Our results suggest that Monte Carlo estimates converge toward analytical solutions as the number of iterations increases, with convergence behavior generally consistent with theoretical expectations. Analysis of parameter sensitivity indicates the package appropriately captures fundamental pricing relationships, including volatility effects, time decay, and moneyness considerations. The distributional characteristics of simulated stock prices and option payoffs align reasonably well with theoretical predictions. While OptionMC primarily serves pedagogical objectives rather than high-performance applications, it offers a transparent framework that may benefit students and researchers seeking to understand the practical implementation of option pricing algorithms through Monte Carlo techniques.</w:t>
      </w:r>
    </w:p>
    <w:p>
      <w:pPr/>
      <w:r>
        <w:rPr>
          <w:b/>
        </w:rPr>
        <w:t>POSSIBLE 2025:</w:t>
      </w:r>
      <w:r>
        <w:t xml:space="preserve"> European Options with Monte Carlo Simulation — https://doi.org/10.1007/979-8-8688-1793-9_11</w:t>
      </w:r>
    </w:p>
    <w:p>
      <w:pPr/>
      <w:r>
        <w:rPr>
          <w:b/>
        </w:rPr>
        <w:t>Shared claim-specific concepts:</w:t>
      </w:r>
      <w:r>
        <w:t xml:space="preserve"> monte, carlo, used, between; EU scope visible. This is a provisional connection, not an outcome finding.</w:t>
      </w:r>
    </w:p>
    <w:p>
      <w:pPr>
        <w:pStyle w:val="SourceNote"/>
      </w:pPr>
      <w:r>
        <w:rPr>
          <w:b/>
        </w:rPr>
        <w:t>Available abstract (not full text):</w:t>
      </w:r>
      <w:r>
        <w:t xml:space="preserve"> This chapter moves beyond analytical pricing formulas like the Black–Scholes model and explores how to price European options using Monte Carlo simulation. Monte Carlo methods are powerful numerical techniques widely used in finance when closed-form solutions are difficult or impossible to obtain. They rely on simulating a large number of possible paths for the underlying asset price and then estimating option payoffs statistically. This chapter is a bridge between theory (closed-form Black–Scholes) and practice (numerical methods for complex derivatives). After working through it, you’ll have both the coding skills and quantitative intuition to tackle more advanced derivatives (Asian, barrier, and American options) using Monte Carlo methods.</w:t>
      </w:r>
    </w:p>
    <w:p>
      <w:pPr/>
      <w:r>
        <w:rPr>
          <w:b/>
        </w:rPr>
        <w:t>POSSIBLE 2024:</w:t>
      </w:r>
      <w:r>
        <w:t xml:space="preserve"> EUROPEAN OPTION PRICING BY MONTE CARLO USING THE HESTON MODEL — https://doi.org/10.13140/rg.2.2.25518.57922</w:t>
      </w:r>
    </w:p>
    <w:p>
      <w:pPr/>
      <w:r>
        <w:rPr>
          <w:b/>
        </w:rPr>
        <w:t>Shared claim-specific concepts:</w:t>
      </w:r>
      <w:r>
        <w:t xml:space="preserve"> monte, carlo; EU scope visible. This is a provisional connection, not an outcome finding.</w:t>
      </w:r>
    </w:p>
    <w:p>
      <w:pPr>
        <w:pStyle w:val="SourceNote"/>
      </w:pPr>
      <w:r>
        <w:rPr>
          <w:b/>
        </w:rPr>
        <w:t>Available abstract (not full text):</w:t>
      </w:r>
      <w:r>
        <w:t xml:space="preserve"> Unavailable</w:t>
      </w:r>
    </w:p>
    <w:p>
      <w:pPr/>
      <w:r>
        <w:rPr>
          <w:b/>
        </w:rPr>
        <w:t>POSSIBLE 2024:</w:t>
      </w:r>
      <w:r>
        <w:t xml:space="preserve"> Compare the Black-Scholes Model, Monte Carlo Model, One Step Binomial Tree Model through the European options of Apple. — https://doi.org/10.61173/f7heqb60</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In this article, there are three Models, including Black-Scholes Model, Monte Carlo Model and the One-Step Model for Binomial Tree used to estimate the option premium of Apple, finding the most fitted model for estimating the European call and put options. Using the historical data of Apple in the recent year, the data of three models are found in Yahoo Finance. Simulating the possible outcomes in the future for 1000 steps and calculating the integral for the partial differential equation, spreadsheet is used for calculating the European call and put option premium by using the three models. Comparing the outcomes of three models, Black-Scholes Model provide a more accurate estimations on the European Options compared with the other two. The result indicates the pros and cons of three models, explaining specifically for the Monte Carlo Model, Black-Scholes Model, and One Step Binomial Model in both perspective of finance and mathematics.</w:t>
      </w:r>
    </w:p>
    <w:p>
      <w:pPr/>
      <w:r>
        <w:rPr>
          <w:b/>
        </w:rPr>
        <w:t>POSSIBLE 2024:</w:t>
      </w:r>
      <w:r>
        <w:t xml:space="preserve"> Compare the Black-Scholes Model, Monte Carlo Model, One Step Binomial Tree Model through the European options of Apple — https://doi.org/10.61173/2xbr7x94</w:t>
      </w:r>
    </w:p>
    <w:p>
      <w:pPr/>
      <w:r>
        <w:rPr>
          <w:b/>
        </w:rPr>
        <w:t>Shared claim-specific concepts:</w:t>
      </w:r>
      <w:r>
        <w:t xml:space="preserve"> monte, carlo, used; EU scope visible. This is a provisional connection, not an outcome finding.</w:t>
      </w:r>
    </w:p>
    <w:p>
      <w:pPr>
        <w:pStyle w:val="SourceNote"/>
      </w:pPr>
      <w:r>
        <w:rPr>
          <w:b/>
        </w:rPr>
        <w:t>Available abstract (not full text):</w:t>
      </w:r>
      <w:r>
        <w:t xml:space="preserve"> In this article, there are three Models, including Black-Scholes Model, Monte Carlo Model and the One-Step Model for Binomial Tree used to estimate the option premium of Apple, finding the most fitted model for estimating the European call and put options. Using the historical data of Apple in the recent year, the data of three models are found in Yahoo Finance. Simulating the possible outcomes in the future for 1000 steps and calculating the integral for the partial differential equation, spreadsheet is used for calculating the European call and put option premium by using the three models. Comparing the outcomes of three models, Black-Scholes Model provide a more accurate estimations on the European Options compared with the other two. The result indicates the pros and cons of three models, explaining specifically for the Monte Carlo Model, Black-Scholes Model, and One Step Binomial Model in both perspective of finance and mathematics.</w:t>
      </w:r>
    </w:p>
    <w:p>
      <w:pPr>
        <w:pStyle w:val="Heading2"/>
      </w:pPr>
      <w:r>
        <w:t>940. Two futures: EU-Russia relations in the context of Ukraine.</w:t>
      </w:r>
    </w:p>
    <w:p>
      <w:pPr>
        <w:pStyle w:val="SourceNote"/>
      </w:pPr>
      <w:r>
        <w:rPr>
          <w:b/>
        </w:rPr>
        <w:t>Original source (2014):</w:t>
      </w:r>
      <w:r>
        <w:t xml:space="preserve"> https://doi.org/10.1007/s40309-014-0052-7</w:t>
      </w:r>
    </w:p>
    <w:p>
      <w:pPr/>
      <w:r>
        <w:t>Original wording (abstract; indexed_source_text_not_full_document_verified): Or should it rather continue to tighten the screws on the Putin regime, in the hope that doing so will concurrently compel the Russian Federation to moderate its behaviour?</w:t>
      </w:r>
    </w:p>
    <w:p>
      <w:pPr/>
      <w:r>
        <w:rPr>
          <w:b/>
        </w:rPr>
        <w:t>POSSIBLE 2026:</w:t>
      </w:r>
      <w:r>
        <w:t xml:space="preserve"> Putinism. Key Definitions, Elements and Origins of the Russian Federation Political Regime — https://doi.org/10.31861/mhpi2026.53.133-144</w:t>
      </w:r>
    </w:p>
    <w:p>
      <w:pPr/>
      <w:r>
        <w:rPr>
          <w:b/>
        </w:rPr>
        <w:t>Shared claim-specific concepts:</w:t>
      </w:r>
      <w:r>
        <w:t xml:space="preserve"> regime, russian, federation; EU scope not established. This is a provisional connection, not an outcome finding.</w:t>
      </w:r>
    </w:p>
    <w:p>
      <w:pPr>
        <w:pStyle w:val="SourceNote"/>
      </w:pPr>
      <w:r>
        <w:rPr>
          <w:b/>
        </w:rPr>
        <w:t>Available abstract (not full text):</w:t>
      </w:r>
      <w:r>
        <w:t xml:space="preserve"> This article presents a comprehensive analysis of the nature, origins, and systemic evolution of the political regime of the Russian Federation. Drawing on political systems theory and psychological models of state formation, the study demonstrates that traditional democratic-authoritarian dichotomies cannot fully classify contemporary Russia. Tracing the historical continuum from imperial and Bolshevik despotism, the study conceptualizes “Putinism” as a conservative, personalistic autocracy supported by a rent-oriented economy, total propaganda, and society’s psychological dependence on a strong leader. Additionally the increased radicalization following the 2022 full scale invasion of Ukraine demonstrates how Putinism has shed its imitative democratic facade to institutionalize “Rashism” – an aggressive, neo-totalitarian quasi-ideology driven by imperial expansionism, great-power chauvinism, and revanchism, posing a serious threat to international relations and global security.</w:t>
      </w:r>
    </w:p>
    <w:p>
      <w:pPr/>
      <w:r>
        <w:rPr>
          <w:b/>
        </w:rPr>
        <w:t>POSSIBLE 2024:</w:t>
      </w:r>
      <w:r>
        <w:t xml:space="preserve"> Putinism – Post-Soviet Russian Regime Ideology — https://doi.org/10.4324/9781003243892</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A key question for the contemporary world: What is Putin’s ideology? This book analyses this ideology, which it terms “Putinism”. It examines a range of factors that feed into the ideology – conservative thought in Russia from the nineteenth century onwards, Russian and Soviet history and their memorialisation, Russian Orthodox religion and its political connections, a focus on traditional values, and Russia’s sense of itself as a unique civilisation, different from the West and due a special, respected place in the world. The book highlights that although the resulting ideology lacks coherence and universalism comparable to that of Soviet-era Marxism-Leninism, it is nevertheless effective in aligning the population to the regime and is flexible and applicable in different circumstances. And that therefore it is not attached to Putin as a person, is likely to outlive him, and is potentially appealing elsewhere in the world outside Russia, especially to countries that feel belittled by the West and let down by the West’s failure to resolve problems of global injustice and inequality.</w:t>
      </w:r>
    </w:p>
    <w:p>
      <w:pPr/>
      <w:r>
        <w:rPr>
          <w:b/>
        </w:rPr>
        <w:t>POSSIBLE 2024:</w:t>
      </w:r>
      <w:r>
        <w:t xml:space="preserve"> Gender systems in the Putin autocracy — https://doi.org/10.3389/fsoc.2024.1327946</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Over the last 23 years, Russian President Vladimir Putin's autocracy has revealed a set of interlocking gender systems that have come to the fore particularly vividly since the full-scale invasion of Ukraine on February 24, 2022. How, this article asks, have the masculinist cultural and political practices of the Putin regime undermined democratic practices and engagement broadly speaking? How have they organized Russian state and society in ways that have led to today's war in Ukraine with its massive destruction, violence, and brutality? And have there been earlier signals that should have warned observers that this regime might undertake such a war of aggression? Drawing on public, mass media data, this article analyzes the gendered structures of power in Russia that have contributed to the degeneration of democracy in three main areas: (1) male-on-male domination in discourse and practice that supports Putin's personal rule and emasculates his enemies; (2) the elevation of male power clans, including the President's personal praetorian guard and the Russian private military companies; and (3) the overall taming and emasculation of the Russian Parliament combined with the elevation of tough women deputies, whom I call the Baba Commissars. These female MPs support the President's domination by creating an appearance of a threatening outside world that needs to be kept at bay.</w:t>
      </w:r>
    </w:p>
    <w:p>
      <w:pPr/>
      <w:r>
        <w:rPr>
          <w:b/>
        </w:rPr>
        <w:t>POSSIBLE 2023:</w:t>
      </w:r>
      <w:r>
        <w:t xml:space="preserve"> The Ideology of Putinism: Is It Sustainable? — https://doi.org/10.15868/socialsector.42609</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The Ideology of Putinism | 2This report argues that Vladimir Putin's regime does have an ideology.As the authors show, from the start of his rule over two decades ago, the Kremlin has made serious, consistent, and increasing investments in promoting certain values.Borrowing heavily from czarist and Soviet themes, as well as other intellectual sources like the twentieth-century radical right, Putinism elevates an idea of imperialnationalist statism amplified by Russian greatness, exceptionalism, and historical struggle against the West.Notable throughout this period has been the Kremlin's attention to education and memory politics, accompanied by a growing emphasis and reactionary in nature, on what the Kremlin describes as traditional values.Since the mid-2010s this was followed by a shift in focus from narratives and monuments alone to establishing and funding public engagement with these narratives.Phases marked by the more active promotion of these ideas coincide with external and internal challenges to the regime, often triggered by color revolutions in Russia's "near abroad," domestic protests, or the wars Putin started.Russia's 2022 invasion of Ukraine and its radical break with the West have prompted the regime to mount a more sustainable ideology-building effort.A common critique of the Putin regime's attachment to ideology is that Russian politicians do not live by the</w:t>
      </w:r>
    </w:p>
    <w:p>
      <w:pPr/>
      <w:r>
        <w:rPr>
          <w:b/>
        </w:rPr>
        <w:t>POSSIBLE 2022:</w:t>
      </w:r>
      <w:r>
        <w:t xml:space="preserve"> War in Ukraine: Putin and the multi-order world — https://doi.org/10.1080/13523260.2022.2091591</w:t>
      </w:r>
    </w:p>
    <w:p>
      <w:pPr/>
      <w:r>
        <w:rPr>
          <w:b/>
        </w:rPr>
        <w:t>Shared claim-specific concepts:</w:t>
      </w:r>
      <w:r>
        <w:t xml:space="preserve"> rather, putin, russian; EU scope not established. This is a provisional connection, not an outcome finding.</w:t>
      </w:r>
    </w:p>
    <w:p>
      <w:pPr>
        <w:pStyle w:val="SourceNote"/>
      </w:pPr>
      <w:r>
        <w:rPr>
          <w:b/>
        </w:rPr>
        <w:t>Available abstract (not full text):</w:t>
      </w:r>
      <w:r>
        <w:t xml:space="preserve"> The global rules-based order has been in transformation for more than a decade, whilst the liberal international order has been in crisis and new international orders are emerging. Within this context, the Russian invasion of Ukraine marks what the Germans have called a Zeitenwende because the multi-order world is now a reality. The article outlines the main characteristics and implications of a multi-order world and outlines four categories of orders that will populate the multi-order world. The article details Putin’s vision for a Eurasian order and how his plans are received within the Eurasian order. The article offers a perspective on how the global dynamics of the new multi-order world might play out, showing that it is likely to be conflictual rather than a cooperative, and that members of the Eurasian order show little enthusiasm for Putin’s vision, resulting in an order held together by force rather than consent.</w:t>
      </w:r>
    </w:p>
    <w:p>
      <w:pPr/>
      <w:r>
        <w:rPr>
          <w:b/>
        </w:rPr>
        <w:t>POSSIBLE 2022:</w:t>
      </w:r>
      <w:r>
        <w:t xml:space="preserve"> THE APPROACH OF FINLAND TO RUSSIAN OCCUPATION OF UKRAINE: SECURITISATION OF THE PUTIN REGIME / Rusya’nın Ukrayna’yı İşgaline Finlandiya’nın Yaklaşımı: Putin Rejiminin Güvenlikleştirilmesi — https://doi.org/10.29216/ueip.1144817</w:t>
      </w:r>
    </w:p>
    <w:p>
      <w:pPr/>
      <w:r>
        <w:rPr>
          <w:b/>
        </w:rPr>
        <w:t>Shared claim-specific concepts:</w:t>
      </w:r>
      <w:r>
        <w:t xml:space="preserve"> putin, regime, russian; EU scope visible. This is a provisional connection, not an outcome finding.</w:t>
      </w:r>
    </w:p>
    <w:p>
      <w:pPr>
        <w:pStyle w:val="SourceNote"/>
      </w:pPr>
      <w:r>
        <w:rPr>
          <w:b/>
        </w:rPr>
        <w:t>Available abstract (not full text):</w:t>
      </w:r>
      <w:r>
        <w:t xml:space="preserve"> The purpose of this article is to explain the approach of Finland to Russian occupation of Ukraine. Finnish foreign policy implemented between February 24 when Ukraine-Russia War began, and June 30, is analysed by using securitisation theory developed by the Copenhagen School. This study argues that Finland securitised the Putin regime. As a consequence of securitisation analysis, the article reached four results. First, Finnish Prime Minister Sanna Marin and President Sauli Niinistö see Russia under the Putin government as a military threat. Second, Prime Minister Sanna Marin and President Sauli Niinistö want to make Finland a member of NATO to strengthen defence capabilities of the country against Russia. Third, Finland securitised the Putin regime. Fourth, as a member of the European Union, Finland has applied collective EU sanctions on Russia, President Vladimir Putin and his close partners. By applying for NATO membership, Finland abandoned the policy of military neutrality that it has been implementing since the 20th century.</w:t>
      </w:r>
    </w:p>
    <w:p>
      <w:pPr/>
      <w:r>
        <w:rPr>
          <w:b/>
        </w:rPr>
        <w:t>POSSIBLE 2022:</w:t>
      </w:r>
      <w:r>
        <w:t xml:space="preserve"> After Putin – what? — https://doi.org/10.1080/00963402.2022.2132731</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By calling for Putin’s removal from power, Western officials and scholars magnify Russian historic fears of a state collapse. Worse, they magnify them by fueling the Kremlin propaganda machine and reinforcing Russians’ reluctance to turn against their regime. Still, Putin will inevitably have to go someday. When that day arrives, however, it is all but clear what the future for Russia will be. Will Russia after Putin necessarily collapse? Or will Putin’s successor turn to the West with a plea for peace and engage the country in reforms and modernization? History can still go either way. But by creating a huge police force to repel popular discontent, accumulating vast financial reserves to escape sanctions, and modifying the Russian constitution so the ruler can indefinitely remain in power, Putin has already laid the groundwork for whoever happens to be his successor to persevere in the current course of aggression – a course where the aggressor possesses the world’s largest arsenal of nuclear weapons.</w:t>
      </w:r>
    </w:p>
    <w:p>
      <w:pPr/>
      <w:r>
        <w:rPr>
          <w:b/>
        </w:rPr>
        <w:t>POSSIBLE 2021:</w:t>
      </w:r>
      <w:r>
        <w:t xml:space="preserve"> Consolidating the Putin Regime: The 2020 Referendum on Russia’s Constitutional Amendments — https://doi.org/10.30965/24518921-00603004</w:t>
      </w:r>
    </w:p>
    <w:p>
      <w:pPr/>
      <w:r>
        <w:rPr>
          <w:b/>
        </w:rPr>
        <w:t>Shared claim-specific concepts:</w:t>
      </w:r>
      <w:r>
        <w:t xml:space="preserve"> continue, putin, regime, russian; EU scope not established. This is a provisional connection, not an outcome finding.</w:t>
      </w:r>
    </w:p>
    <w:p>
      <w:pPr>
        <w:pStyle w:val="SourceNote"/>
      </w:pPr>
      <w:r>
        <w:rPr>
          <w:b/>
        </w:rPr>
        <w:t>Available abstract (not full text):</w:t>
      </w:r>
      <w:r>
        <w:t xml:space="preserve"> Abstract In July 2020, Russian voters gave strong support to a package of constitutional reforms that reconfigured the Russian political system and enshrined social guarantees and conservative identity values, consolidating the regime that has been built over a 20-year period. This was achieved through an alteration that ‘zeroed’ presidential terms that commenced before the constitutional change, potentially allowing President Vladimir Putin to overcome term limits and continue in office beyond 2024. The article explains how such a far-reaching and important change was successfully endorsed by the Russian electorate. The analysis shows that the main explanation rests with variations in voting patterns across the regions, a pattern that has been evident in previous Russian elections and resulted in strong pro-Putin support. The article also evaluates questions raised about the legitimacy of the result, and its long-term significance for the Russian political system.</w:t>
      </w:r>
    </w:p>
    <w:p>
      <w:pPr/>
      <w:r>
        <w:rPr>
          <w:b/>
        </w:rPr>
        <w:t>POSSIBLE 2021:</w:t>
      </w:r>
      <w:r>
        <w:t xml:space="preserve"> Vladimir Putin — https://doi.org/10.4324/9781003100508-13</w:t>
      </w:r>
    </w:p>
    <w:p>
      <w:pPr/>
      <w:r>
        <w:rPr>
          <w:b/>
        </w:rPr>
        <w:t>Shared claim-specific concepts:</w:t>
      </w:r>
      <w:r>
        <w:t xml:space="preserve"> putin, regime, russian; EU scope visible. This is a provisional connection, not an outcome finding.</w:t>
      </w:r>
    </w:p>
    <w:p>
      <w:pPr>
        <w:pStyle w:val="SourceNote"/>
      </w:pPr>
      <w:r>
        <w:rPr>
          <w:b/>
        </w:rPr>
        <w:t>Available abstract (not full text):</w:t>
      </w:r>
      <w:r>
        <w:t xml:space="preserve"> Vladimir Putin has developed and consolidated a personalist political regime that incorporates every key formal feature of liberal democracy while also virtually eliminating the chance that the Putin network can be removed from power by electoral xxix means. Putin and his allies have captured the administrative machinery of the Russian state and in the process created a hybrid post-Communist party-state – a “neo-patrimonial façade democracy.” The essay argues that the structure and functioning of Putin’s system is best understood in terms of the history of one-party political “machines” that have appeared over the past century and a half in nominal democracies in the United States, Italy, Japan, Mexico, and so on. Paradoxically, Russia is freer than ever in its history, but at the same time much of Russia has rejected liberal values as understood in the contemporary West. By cultivating a charismatic traditionalist bond with the Russian people, reinforced by defensible performances in a series of domestic and foreign crises, Putin’s position appears unassailable although his bond with the Russian people has become more fragile. Whether this system can long survive Putin himself, however, remains very much to be seen.</w:t>
      </w:r>
    </w:p>
    <w:p>
      <w:pPr/>
      <w:r>
        <w:rPr>
          <w:b/>
        </w:rPr>
        <w:t>POSSIBLE 2021:</w:t>
      </w:r>
      <w:r>
        <w:t xml:space="preserve"> From ‘Putin the Saviour’ to ‘Irreplaceable Putin’:The Role of the 1990s in the Kremlin’s Strategic Communications — https://openalex.org/W7135975081</w:t>
      </w:r>
    </w:p>
    <w:p>
      <w:pPr/>
      <w:r>
        <w:rPr>
          <w:b/>
        </w:rPr>
        <w:t>Shared claim-specific concepts:</w:t>
      </w:r>
      <w:r>
        <w:t xml:space="preserve"> continue, putin, regime, russian; EU scope not established. This is a provisional connection, not an outcome finding.</w:t>
      </w:r>
    </w:p>
    <w:p>
      <w:pPr>
        <w:pStyle w:val="SourceNote"/>
      </w:pPr>
      <w:r>
        <w:rPr>
          <w:b/>
        </w:rPr>
        <w:t>Available abstract (not full text):</w:t>
      </w:r>
      <w:r>
        <w:t xml:space="preserve"> The Soviet Union ceased to exist thirty ago. However, its memory and the memory of the decade of crisis that followed its dissolution, continue to serve the Kremlin. Existing literature claims that Vladimir Putin, helped by the state-controlled media, has manipulated the memory of the Soviet Union and the trauma of the 1990s to justify his regime. This article takes a different approach. By adopting the framework of Strategic Communications, it claims that the Kremlin used the traumatic experience of the 1990s to build strategic narratives intended to justify Putin’s regime within the context of the values held by the majority of the Russian public. On the one hand, it argues that the Kremlin’s Strategic Communications are rooted in the past, either by glorifying it (nostalgia for the Soviet Union) or by vilifying it (‘the wild nineties’), because this is what resonates best with the Russian people. On the other hand, it suggests that Putin’s use of this past, combined with deep understanding of his domestic audience, allowed him to adapt and adjust his strategic narratives to the evolving situation in Russia, justifying his regime in the last two decades and legitimising its potential continuation beyond 2024.</w:t>
      </w:r>
    </w:p>
    <w:p>
      <w:pPr/>
      <w:r>
        <w:rPr>
          <w:b/>
        </w:rPr>
        <w:t>POSSIBLE 2017:</w:t>
      </w:r>
      <w:r>
        <w:t xml:space="preserve"> State-society relations and the sources of support for the Putin regime: bridging political culture and social contract theory — https://doi.org/10.1080/21599165.2017.1414697</w:t>
      </w:r>
    </w:p>
    <w:p>
      <w:pPr/>
      <w:r>
        <w:rPr>
          <w:b/>
        </w:rPr>
        <w:t>Shared claim-specific concepts:</w:t>
      </w:r>
      <w:r>
        <w:t xml:space="preserve"> putin, regime, russian; EU scope not established. This is a provisional connection, not an outcome finding.</w:t>
      </w:r>
    </w:p>
    <w:p>
      <w:pPr>
        <w:pStyle w:val="SourceNote"/>
      </w:pPr>
      <w:r>
        <w:rPr>
          <w:b/>
        </w:rPr>
        <w:t>Available abstract (not full text):</w:t>
      </w:r>
      <w:r>
        <w:t xml:space="preserve"> This article evaluates two theoretical approaches to the popularity and resilience of authoritarianism in Russia, namely political culture and social contract theory. These approaches are two of the most important theories of Russian politics and also reflect the general divide in comparative and post-communist politics between political-cultural and rationalist explanations. We demonstrate that these approaches are bound up with different notions of legitimacy. This article suggests that neither framework offers a complete explanation of the Russian case. We develop an alternative framework that bridges these two approaches. Our analysis suggests that the social contract in Russia needs to be analysed as dynamic and conditional. Moreover, the use of different legitimation strategies by Russian authorities suggests that leaders can reshape the social contract and gain support in a strategic fashion by choosing appeals related to political culture.</w:t>
      </w:r>
    </w:p>
    <w:p>
      <w:pPr>
        <w:pStyle w:val="Heading2"/>
      </w:pPr>
      <w:r>
        <w:t>941. Understanding and enhancing future infrastructure resiliency: a socio‐ecological approach</w:t>
      </w:r>
    </w:p>
    <w:p>
      <w:pPr>
        <w:pStyle w:val="SourceNote"/>
      </w:pPr>
      <w:r>
        <w:rPr>
          <w:b/>
        </w:rPr>
        <w:t>Original source (2014):</w:t>
      </w:r>
      <w:r>
        <w:t xml:space="preserve"> https://doi.org/10.1111/disa.12114</w:t>
      </w:r>
    </w:p>
    <w:p>
      <w:pPr/>
      <w:r>
        <w:t>Original wording (abstract; indexed_source_text_not_full_document_verified): This paper seeks to identify and problematise this perspective, presenting research based on the development of a heuristic 'scenario-episode' tool to address, and challenge, it in the context of United Kingdom infrastructure resilience.</w:t>
      </w:r>
    </w:p>
    <w:p>
      <w:pPr/>
      <w:r>
        <w:rPr>
          <w:b/>
        </w:rPr>
        <w:t>POSSIBLE 2023:</w:t>
      </w:r>
      <w:r>
        <w:t xml:space="preserve"> Problematising current coaching strategies from a worldview perspective — https://doi.org/10.4102/sajip.v49i0.2034</w:t>
      </w:r>
    </w:p>
    <w:p>
      <w:pPr/>
      <w:r>
        <w:rPr>
          <w:b/>
        </w:rPr>
        <w:t>Shared claim-specific concepts:</w:t>
      </w:r>
      <w:r>
        <w:t xml:space="preserve"> problematise, perspective, context; EU scope not established. This is a provisional connection, not an outcome finding.</w:t>
      </w:r>
    </w:p>
    <w:p>
      <w:pPr>
        <w:pStyle w:val="SourceNote"/>
      </w:pPr>
      <w:r>
        <w:rPr>
          <w:b/>
        </w:rPr>
        <w:t>Available abstract (not full text):</w:t>
      </w:r>
      <w:r>
        <w:t xml:space="preserve"> Orientation: Leaders need goodness-of-fit with the context in which they are leading, and coaching is considered an effective strategy to achieve this.Research purpose: To critically problematise current dominant coaching strategies in terms of their underlying worldviews, in order to assess their potential effectiveness and relevance in enhancing context‒leadership goodness-of-fit, given the emerging context faced by leaders.Motivation for the study: The current ever-changing context of leaders requires different thinking, including with regard to coaching. The framework of the coaching landscape, with its associated building blocks, provides the conceptual framework for the review of current coaching strategies. Three dominant worldviews that have historically influenced the thinking in social sciences are employed in this review, namely Newtonian, general systems theory and complexity or chaos (second-order systemic thinking).Research approach/design and method: This was a critical conceptual study aimed at problematising the worldviews informing the currently dominant coaching strategies.Main findings: The problematising of the worldviews underlying the dominant coaching strategies revealed that these strategies are not always informed by a worldview congruent with that demanded by the qualities and features of the world that leaders currently face. There is a pressing need</w:t>
      </w:r>
    </w:p>
    <w:p>
      <w:pPr/>
      <w:r>
        <w:rPr>
          <w:b/>
        </w:rPr>
        <w:t>POSSIBLE 2022:</w:t>
      </w:r>
      <w:r>
        <w:t xml:space="preserve"> Problematising philosophical assumptions in EE's Invisible College — https://doi.org/10.1108/ijebr-07-2021-0553</w:t>
      </w:r>
    </w:p>
    <w:p>
      <w:pPr/>
      <w:r>
        <w:rPr>
          <w:b/>
        </w:rPr>
        <w:t>Shared claim-specific concepts:</w:t>
      </w:r>
      <w:r>
        <w:t xml:space="preserve"> seeks, perspective, heuristic; EU scope not established. This is a provisional connection, not an outcome finding.</w:t>
      </w:r>
    </w:p>
    <w:p>
      <w:pPr>
        <w:pStyle w:val="SourceNote"/>
      </w:pPr>
      <w:r>
        <w:rPr>
          <w:b/>
        </w:rPr>
        <w:t>Available abstract (not full text):</w:t>
      </w:r>
      <w:r>
        <w:t xml:space="preserve"> Purpose This paper seeks to energise discussion around philosophical assumptions in entrepreneurship education (EE). Far from being abstract considerations, this paper underscores that philosophical assumptions – which are embodied in research products and inherited from others – have practical implications. Design/methodology/approach The study’s approach is to purposefully unsettle taken-for-granted assumptions implicit within 44 influential articles which have been said to reveal EE's Invisible College. The authors utilise three heuristic tools offered by problematisation – identifying paradigmatic assumptions, (re)conceptualising subject matter and making a reversal – to explore the implications of the meta-theoretical underpinnings of this body of work. The goal of this paper is not to find a definitive answer to the question “what is EE's underlying philosophy?” but rather ask, “what can we learn about philosophical assumptions by reconsidering this particular set of influential articles at a deep level?” Findings With some notable expectations, EE's Invisible College is a place where ideas about an external social reality accessible to the dispassionate researcher are implicitly accepted, where assumptions about the possibility of objective knowledge and the superiority of scientific methodology dominate and where functionalist research products reproduce the social stat</w:t>
      </w:r>
    </w:p>
    <w:p>
      <w:pPr/>
      <w:r>
        <w:rPr>
          <w:b/>
        </w:rPr>
        <w:t>POSSIBLE 2022:</w:t>
      </w:r>
      <w:r>
        <w:t xml:space="preserve"> Explaining adults’ mental health help-seeking through the lens of the theory of planned behavior: a scoping review — https://doi.org/10.1186/s13643-022-02034-y</w:t>
      </w:r>
    </w:p>
    <w:p>
      <w:pPr/>
      <w:r>
        <w:rPr>
          <w:b/>
        </w:rPr>
        <w:t>Shared claim-specific concepts:</w:t>
      </w:r>
      <w:r>
        <w:t xml:space="preserve"> based, address, context; EU scope not established. This is a provisional connection, not an outcome finding.</w:t>
      </w:r>
    </w:p>
    <w:p>
      <w:pPr>
        <w:pStyle w:val="SourceNote"/>
      </w:pPr>
      <w:r>
        <w:rPr>
          <w:b/>
        </w:rPr>
        <w:t>Available abstract (not full text):</w:t>
      </w:r>
      <w:r>
        <w:t xml:space="preserve"> BACKGROUND: Despite evidence-based efficacy, mental health services are underutilized due to low rates of help-seeking, leaving unmet mental health needs a global concern. The Theory of Planned Behavior (TPB) has been applied to understand the help-seeking process and in the development of behavior change interventions. The aim of this scoping review was to map the literature on the TPB as applied to mental health help-seeking in adults aged &gt;18 years. METHODS: This scoping review was conducted based on the methodology presented by Arksey and O'Malley (2005). Six databases (CINAHL, PsycINFO, MEDLINE, ProQuest Health and Medicine, ProQuest Dissertations and Theses, Web of Science) and two grey literature sources (OpenGrey, Google Scholar) were systematically searched in February 2018 and updated in March 2020. Studies that explicitly discussed the TPB in the context of mental health help-seeking were initially selected; only studies that explored formal help-seeking for mental health problems and were published in English were retained. Data were extracted using Microsoft Excel. RESULTS: Initially, 8898 records were identified. Of these, 49 met the selection criteria and were included: 32 were journal articles and 17 were theses. Forty-three papers reported on non-intervention studies and seven articles reported on TPB-based interventions. Most studies (n = 39) identified predic</w:t>
      </w:r>
    </w:p>
    <w:p>
      <w:pPr/>
      <w:r>
        <w:rPr>
          <w:b/>
        </w:rPr>
        <w:t>POSSIBLE 2022:</w:t>
      </w:r>
      <w:r>
        <w:t xml:space="preserve"> Identifying Subgroups of Cannabis Users Based on Help-Seeking Preferences: A Latent Class Analysis — https://doi.org/10.1159/000524938</w:t>
      </w:r>
    </w:p>
    <w:p>
      <w:pPr/>
      <w:r>
        <w:rPr>
          <w:b/>
        </w:rPr>
        <w:t>Shared claim-specific concepts:</w:t>
      </w:r>
      <w:r>
        <w:t xml:space="preserve"> identify, based; EU scope not established. This is a provisional connection, not an outcome finding.</w:t>
      </w:r>
    </w:p>
    <w:p>
      <w:pPr>
        <w:pStyle w:val="SourceNote"/>
      </w:pPr>
      <w:r>
        <w:rPr>
          <w:b/>
        </w:rPr>
        <w:t>Available abstract (not full text):</w:t>
      </w:r>
      <w:r>
        <w:t xml:space="preserve"> BACKGROUND: The majority of people with cannabis use disorder do not seek treatment. If we were able to gain more insight into different subgroups of cannabis users based on help-seeking preferences, we could use this information to inform the development and promotion of interventions targeted at specific subgroups of cannabis users, to ultimately narrow the treatment gap. METHODS: An online survey was conducted among 1,015 Dutch frequent cannabis users (18-72 years) to assess their cannabis use, help-seeking preferences, psychopathology, and psychological distress. Latent class analysis was used to identify classes of cannabis users based on their help-seeking preferences. Differences between the identified classes in terms of sociodemographics, cannabis use, and psychopathology were examined. RESULTS: We identified four classes with distinct preferences for support. Class 1 ("no support/only social," n = 548) had a low probability of finding any form of support appealing other than social support. Class 2 ("online help," n = 170) had relatively high probabilities of finding online help appealing. Class 3 ("GP/outpatient," n = 208) had a relatively high probability of finding support from the general practitioner and outpatient substance use disorder treatment appealing. Class 4 ("all sources," n = 89) had moderate to high probabilities for all sources of support. In terms of</w:t>
      </w:r>
    </w:p>
    <w:p>
      <w:pPr/>
      <w:r>
        <w:rPr>
          <w:b/>
        </w:rPr>
        <w:t>POSSIBLE 2021:</w:t>
      </w:r>
      <w:r>
        <w:t xml:space="preserve"> A resource‐based view of green innovation as a strategic firm resource: Present status and future directions — https://doi.org/10.1002/bse.2961</w:t>
      </w:r>
    </w:p>
    <w:p>
      <w:pPr/>
      <w:r>
        <w:rPr>
          <w:b/>
        </w:rPr>
        <w:t>Shared claim-specific concepts:</w:t>
      </w:r>
      <w:r>
        <w:t xml:space="preserve"> perspective, based, address; EU scope not established. This is a provisional connection, not an outcome finding.</w:t>
      </w:r>
    </w:p>
    <w:p>
      <w:pPr>
        <w:pStyle w:val="SourceNote"/>
      </w:pPr>
      <w:r>
        <w:rPr>
          <w:b/>
        </w:rPr>
        <w:t>Available abstract (not full text):</w:t>
      </w:r>
      <w:r>
        <w:t xml:space="preserve"> Abstract Green innovation could become a valuable firm resource for establishing competitive advantage while simultaneously contributing towards sustainable development; in other words, green innovation has the potential to address the dilemma between consuming available resources and preserving them for the future. However, there is a dearth of studies systematically examining the present structure and future scope of research on green innovation as a firm resource. Seeking to explain the sustainable development dilemma of green innovations through the theoretical perspective of the resource‐based view of the firm, we address this gap with a comprehensive bibliometric analysis of 951 relevant articles. The key contributors to the extant literature are recognised with bibliographic coupling, citation analysis and co‐authorship analysis. A co‐citation analysis identifies four major thematic areas of research: green supply chain management, green product design, corporate environmental responsibilities and social sustainability. Further, a dynamic co‐citation analysis tracks the progression of these thematic areas. Content analysis of the thematic areas provides insights into the status of the research domain. This study also contributes to the extant literature by identifying prestigious articles on green innovation as a firm resource, analysing the co‐occurrence of keywords and</w:t>
      </w:r>
    </w:p>
    <w:p>
      <w:pPr/>
      <w:r>
        <w:rPr>
          <w:b/>
        </w:rPr>
        <w:t>POSSIBLE 2021:</w:t>
      </w:r>
      <w:r>
        <w:t xml:space="preserve"> Identifying the indicators of the problems of couples seeking a divorce in Torkaman city — https://doi.org/10.61838/kman.aftj.2.3.9</w:t>
      </w:r>
    </w:p>
    <w:p>
      <w:pPr/>
      <w:r>
        <w:rPr>
          <w:b/>
        </w:rPr>
        <w:t>Shared claim-specific concepts:</w:t>
      </w:r>
      <w:r>
        <w:t xml:space="preserve"> identify, perspective, based; EU scope not established. This is a provisional connection, not an outcome finding.</w:t>
      </w:r>
    </w:p>
    <w:p>
      <w:pPr>
        <w:pStyle w:val="SourceNote"/>
      </w:pPr>
      <w:r>
        <w:rPr>
          <w:b/>
        </w:rPr>
        <w:t>Available abstract (not full text):</w:t>
      </w:r>
      <w:r>
        <w:t xml:space="preserve"> Aim: The present research was written to identify the problems of couples of Torkaman city from the perspective of Torkaman couples. Methods: This research was a qualitative content analysis method. The statistical population of this study included all Torkaman couples seeking divorce referred to the counseling center by the judiciary for peace and reconciliation. Twenty couples were selected based on purposive sampling and saturation criteria and participated in the study. An in-depth semi-structured interview method was used to collect the data. Results: After analyzing the data, 4 main categories of marital inefficiency, individual inefficiency, underlying conditions, and cultural conditions were obtained. Marital inefficiency included 14 sub-categories (couple's reaction in the event of a dispute, dysfunctional relationship, lack of alignment and coordination with each other, lack of sexual intimacy, infidelity, deprivation of love, disregard for kinship and friendship, failure to play marital roles, and destructive role of families, reaction of families when there is a dispute, lack of transparency and honesty in the relationship, inefficient life stages, negative attitude towards the future of the relationship, inattention and difference in religious attitude). Individual inefficiency included 1 sub-category (effective personality traits in divorce). Underlying conditions</w:t>
      </w:r>
    </w:p>
    <w:p>
      <w:pPr/>
      <w:r>
        <w:rPr>
          <w:b/>
        </w:rPr>
        <w:t>POSSIBLE 2017:</w:t>
      </w:r>
      <w:r>
        <w:t xml:space="preserve"> Problematising 'happiness' : a critical explanation of the UK's happiness agenda — https://openalex.org/W2738120925</w:t>
      </w:r>
    </w:p>
    <w:p>
      <w:pPr/>
      <w:r>
        <w:rPr>
          <w:b/>
        </w:rPr>
        <w:t>Shared claim-specific concepts:</w:t>
      </w:r>
      <w:r>
        <w:t xml:space="preserve"> seeks, presenting, context; EU scope not established. This is a provisional connection, not an outcome finding.</w:t>
      </w:r>
    </w:p>
    <w:p>
      <w:pPr>
        <w:pStyle w:val="SourceNote"/>
      </w:pPr>
      <w:r>
        <w:rPr>
          <w:b/>
        </w:rPr>
        <w:t>Available abstract (not full text):</w:t>
      </w:r>
      <w:r>
        <w:t xml:space="preserve"> Issues of ‘wellbeing’ and ‘happiness’ are becoming more and more prevalent in discussions of social policy and in the provision of healthcare services. In recent years, the maximisation of a nation’s ‘happiness’ has emerged as both a key policy objective and as a central focus within social, political and economic research, with public policy makers around the world having demonstrated a growing interest in national accounts of ‘wellbeing’. In the UK context, this growing interest is comprised of a perceived need to ‘know’ ‘happiness’ and ‘wellbeing’ better, so that they might be maximised. Such attitudes and beliefs made possible the introduction of four new questions to the Annual Population Survey that were specifically designed to measure the UK’s “subjective wellbeing” (now referred to as “individual life satisfaction” following revisions in subsequent years). In addition to this, in 2010 a non-profit organisation named Action for Happiness (AfH) was founded which sought to maximise the ‘happiness’ of society by offering individual members help and training towards living a ‘happier’ life - an endeavour which is understood to be necessitated by the stagnation of ‘happiness’ in modern Western societies. This thesis seeks to critically account for the emergence of such social and political practices – or ‘happiness agenda’ - and does so from a poststructuralist, post-Marxist</w:t>
      </w:r>
    </w:p>
    <w:p>
      <w:pPr/>
      <w:r>
        <w:rPr>
          <w:b/>
        </w:rPr>
        <w:t>POSSIBLE 2016:</w:t>
      </w:r>
      <w:r>
        <w:t xml:space="preserve"> Problematising Big Food’s appetite for policymaking the case of childhood obesity — https://openalex.org/W2598651920</w:t>
      </w:r>
    </w:p>
    <w:p>
      <w:pPr/>
      <w:r>
        <w:rPr>
          <w:b/>
        </w:rPr>
        <w:t>Shared claim-specific concepts:</w:t>
      </w:r>
      <w:r>
        <w:t xml:space="preserve"> seeks, perspective, address; EU scope visible. This is a provisional connection, not an outcome finding.</w:t>
      </w:r>
    </w:p>
    <w:p>
      <w:pPr>
        <w:pStyle w:val="SourceNote"/>
      </w:pPr>
      <w:r>
        <w:rPr>
          <w:b/>
        </w:rPr>
        <w:t>Available abstract (not full text):</w:t>
      </w:r>
      <w:r>
        <w:t xml:space="preserve"> Big Food companies, such as Coca-Cola, claim they ‘are helping to develop workable solutions to address obesity – by partnering with government, academia, health societies and other responsible members of civil society’ (Coca-Cola, 2011: 1). Big Food’s reinvention as public health promoter means that government public health policy is increasingly entangled with corporate practices. In 2011, the Broadcasting Authority of Ireland began a process to regulate the advertising of ultra-processed food to children in an attempt to address childhood obesity. This study takes Big Food’s response to this policy proposal and seeks to reveal what type of ‘problem’ childhood obesity is represented to be by Big Food. The focus on Big Food as a single discursive actor reflects the significant role which corporate interests increasingly play in the development of public health policy. Big Food is considered in this study as one of the governing parties in the shaping of discourse of childhood obesity. Employing the Foucauldian concepts of discourse and power/knowledge, this study looks at the deeper conceptual contests which frame how obesity policy is made in Ireland from the perspective of Big Food. The ‘What’s the problem represented to be?’ (WPR) methodology (Bacchi, 2009, 2010, 2012) is employed to examine how Big Food’s discourses of childhood obesity have developed, how they are maintai</w:t>
      </w:r>
    </w:p>
    <w:p>
      <w:pPr>
        <w:pStyle w:val="Heading2"/>
      </w:pPr>
      <w:r>
        <w:t>942. Will the real security foresight expert please stand up?</w:t>
      </w:r>
    </w:p>
    <w:p>
      <w:pPr>
        <w:pStyle w:val="SourceNote"/>
      </w:pPr>
      <w:r>
        <w:rPr>
          <w:b/>
        </w:rPr>
        <w:t>Original source (2014):</w:t>
      </w:r>
      <w:r>
        <w:t xml:space="preserve"> https://doi.org/10.1007/s40309-014-0037-6</w:t>
      </w:r>
    </w:p>
    <w:p>
      <w:pPr/>
      <w:r>
        <w:t>Original wording (abstract; indexed_source_text_not_full_document_verified): In its critical comparative overview of foresight methods and how they are used by different futures institutes in Europe, North America, and their partners, the text argues that while many futures institutes claim to provide foresight expertise, few actually provide the tools needed by policy makers to help prepare for security risks. It identifies two trademarks of genuine security foresight experts: 1.) They will differentiate between trends and futures research 2.) Their methods will have met with success in providing early warning signals.</w:t>
      </w:r>
    </w:p>
    <w:p>
      <w:pPr/>
      <w:r>
        <w:rPr>
          <w:b/>
        </w:rPr>
        <w:t>POSSIBLE 2026:</w:t>
      </w:r>
      <w:r>
        <w:t xml:space="preserve"> Language teaching in Europe: A comparative overview of pedagogical, theoretical and decolonial approaches from the region — https://openalex.org/W7208794743</w:t>
      </w:r>
    </w:p>
    <w:p>
      <w:pPr/>
      <w:r>
        <w:rPr>
          <w:b/>
        </w:rPr>
        <w:t>Shared claim-specific concepts:</w:t>
      </w:r>
      <w:r>
        <w:t xml:space="preserve"> critical, comparative, overview, argues; EU scope visible. This is a provisional connection, not an outcome finding.</w:t>
      </w:r>
    </w:p>
    <w:p>
      <w:pPr>
        <w:pStyle w:val="SourceNote"/>
      </w:pPr>
      <w:r>
        <w:rPr>
          <w:b/>
        </w:rPr>
        <w:t>Available abstract (not full text):</w:t>
      </w:r>
      <w:r>
        <w:t xml:space="preserve"> This article provides a comparative overview of language teaching in Europe, examining the relationship between pedagogical traditions, theoretical developments, institutional frameworks, and emerging critical and decolonial perspectives. It begins by problematising the notion of Europe as a geographically, politically, culturally, and linguistically contested construct, before tracing major developments in European language education from grammar-translation and the Reform Movement to structuralism, audiolingualism, and Communicative Language Teaching. The discussion highlights the non-linear development of language pedagogy, demonstrating how apparently competing approaches continue to coexist across educational contexts, particularly in higher education. The article subsequently examines the influence of critical pedagogy, interculturality, Southern Theory, translanguaging, and decolonial scholarship, with particular attention to challenges to linguistic hierarchies, standard-language ideologies, and the dominance of Anglophone knowledge production. Contemporary European approaches are considered through the lenses of plurilingualism, intercultural communicative competence, Content and Language Integrated Learning, task-based learning, digital literacies, and artificial intelligence. Particular attention is given to intellectual traditions from Central, Eastern, and Russian-</w:t>
      </w:r>
    </w:p>
    <w:p>
      <w:pPr/>
      <w:r>
        <w:rPr>
          <w:b/>
        </w:rPr>
        <w:t>POSSIBLE 2026:</w:t>
      </w:r>
      <w:r>
        <w:t xml:space="preserve"> A Comparative Review of Healthcare Systems in India, the Middle East, and Europe: Strengths, Weaknesses, and Lessons for Improvement — https://doi.org/10.25258/ijddt.16.38s.65</w:t>
      </w:r>
    </w:p>
    <w:p>
      <w:pPr/>
      <w:r>
        <w:rPr>
          <w:b/>
        </w:rPr>
        <w:t>Shared claim-specific concepts:</w:t>
      </w:r>
      <w:r>
        <w:t xml:space="preserve"> critical, comparative, methods; EU scope visible. This is a provisional connection, not an outcome finding.</w:t>
      </w:r>
    </w:p>
    <w:p>
      <w:pPr>
        <w:pStyle w:val="SourceNote"/>
      </w:pPr>
      <w:r>
        <w:rPr>
          <w:b/>
        </w:rPr>
        <w:t>Available abstract (not full text):</w:t>
      </w:r>
      <w:r>
        <w:t xml:space="preserve"> Background: Healthcare systems vary significantly across global regions in their structure, financing, delivery, and outcomes. A comparative analysis of India, the Middle East, and Europe offers critical insight into the spectrum of health system performance, ranging from resource-constrained universal aspirations to oil-funded public systems and mature social insurance models. Objective: This paper critically examines the healthcare systems of India, selected Middle Eastern nations (Saudi Arabia, the United Arab Emirates, and Iran), and representative European countries (the United Kingdom, Germany, and Sweden), evaluating their organisational frameworks, financing mechanisms, access disparities, quality indicators, and reform trajectories. Methods: A narrative comparative review was conducted drawing on peer-reviewed literature, World Health Organization (WHO) reports, World Bank data, and regional health ministry publications. Thematic analysis was applied across six domains: governance, financing, access, quality, workforce, and technology. Results: European systems demonstrate high performance on equity, preventive care, and health outcomes, though face sustainability pressures from ageing populations and cost inflation. Middle Eastern systems have achieved rapid infrastructure development but struggle with over-reliance on expatriate health workers, public-private imbalan</w:t>
      </w:r>
    </w:p>
    <w:p>
      <w:pPr/>
      <w:r>
        <w:rPr>
          <w:b/>
        </w:rPr>
        <w:t>POSSIBLE 2025:</w:t>
      </w:r>
      <w:r>
        <w:t xml:space="preserve"> Emergency Regimes in the European Constitutions – A Comparative Overview — https://doi.org/10.1017/err.2025.22</w:t>
      </w:r>
    </w:p>
    <w:p>
      <w:pPr/>
      <w:r>
        <w:rPr>
          <w:b/>
        </w:rPr>
        <w:t>Shared claim-specific concepts:</w:t>
      </w:r>
      <w:r>
        <w:t xml:space="preserve"> comparative, overview, they, many; EU scope visible. This is a provisional connection, not an outcome finding.</w:t>
      </w:r>
    </w:p>
    <w:p>
      <w:pPr>
        <w:pStyle w:val="SourceNote"/>
      </w:pPr>
      <w:r>
        <w:rPr>
          <w:b/>
        </w:rPr>
        <w:t>Available abstract (not full text):</w:t>
      </w:r>
      <w:r>
        <w:t xml:space="preserve"> Abstract European constitutions differ greatly in the depth to which they deal with emergencies: while many constitutions devote more or less detailed regulation to emergency regimes, others almost completely neglect these issues or dedicate only some very short and vague references to emergency situations and powers. This article aims to carry out a systematic comparison of the emergency-related provisions of forty European constitutions, focusing on (1) the level of detail of the regulation, (2) the emergency regimes addressed, and (3) the restrictions on fundamental rights. As the study points out, only two out of the forty constitutions are completely silent on emergency powers. However, the remaining thirty-eight constitutions show wide variation in the level of detail of the emergency regulation; the vast majority of the emergency regimes are related to war or armed attack (or the danger thereof), to internal crises threatening the constitutional order, and to natural disasters. Concerning fundamental rights, the examination of the constitutional texts confirms that twenty-five out of the forty constitutions encompass some provisions on the restriction of these rights in a state of emergency.</w:t>
      </w:r>
    </w:p>
    <w:p>
      <w:pPr/>
      <w:r>
        <w:rPr>
          <w:b/>
        </w:rPr>
        <w:t>POSSIBLE 2025:</w:t>
      </w:r>
      <w:r>
        <w:t xml:space="preserve"> Regulation of laboratory-developed tests and in-house in vitro diagnostic medical devices in the United States and the European Union—a comparative overview — https://doi.org/10.1016/j.esmoop.2025.105909</w:t>
      </w:r>
    </w:p>
    <w:p>
      <w:pPr/>
      <w:r>
        <w:rPr>
          <w:b/>
        </w:rPr>
        <w:t>Shared claim-specific concepts:</w:t>
      </w:r>
      <w:r>
        <w:t xml:space="preserve"> critical, comparative, overview, used; EU scope visible. This is a provisional connection, not an outcome finding.</w:t>
      </w:r>
    </w:p>
    <w:p>
      <w:pPr>
        <w:pStyle w:val="SourceNote"/>
      </w:pPr>
      <w:r>
        <w:rPr>
          <w:b/>
        </w:rPr>
        <w:t>Available abstract (not full text):</w:t>
      </w:r>
      <w:r>
        <w:t xml:space="preserve"> Process chains in medical diagnostic laboratories lead to an accurate diagnosis and consequently to optimized personalized therapy recommendations. In addition to approved commercial in vitro diagnostic medical devices, devices and tests manufactured and used within a single diagnostic laboratory play a decisive role in these process chains ensuring state-of-the-art diagnostics and consecutive best patient care. It is vital that the implementation and use of such in-house tests, processes and medical devices developed in diagnostic laboratories by health care professionals is quality assured and meets regulatory and legal requirements. Due to the complexity and variety of these tests as well as their dual use in routine care and clinical trials, a thorough understanding of these regulations and their underlying definitions is critical. This review provides a comparative overview of the current state of the regulation of laboratory-developed tests in the United States and in-house developed in vitro diagnostic medical devices in the European Union. It dissects and compares the relevant regulatory ecosystems to identify conceptual similarities and differences. Our work helps laboratories navigate the regulatory landscape and provides a basis for further discussions among key stakeholders including health care providers, payers, legislators and regulatory agencies.</w:t>
      </w:r>
    </w:p>
    <w:p>
      <w:pPr/>
      <w:r>
        <w:rPr>
          <w:b/>
        </w:rPr>
        <w:t>POSSIBLE 2024:</w:t>
      </w:r>
      <w:r>
        <w:t xml:space="preserve"> A COMPARATIVE REVIEW OF DATA ENCRYPTION METHODS IN THE USA AND EUROPE — https://doi.org/10.51594/csitrj.v5i2.815</w:t>
      </w:r>
    </w:p>
    <w:p>
      <w:pPr/>
      <w:r>
        <w:rPr>
          <w:b/>
        </w:rPr>
        <w:t>Shared claim-specific concepts:</w:t>
      </w:r>
      <w:r>
        <w:t xml:space="preserve"> critical, comparative, methods, different; EU scope visible. This is a provisional connection, not an outcome finding.</w:t>
      </w:r>
    </w:p>
    <w:p>
      <w:pPr>
        <w:pStyle w:val="SourceNote"/>
      </w:pPr>
      <w:r>
        <w:rPr>
          <w:b/>
        </w:rPr>
        <w:t>Available abstract (not full text):</w:t>
      </w:r>
      <w:r>
        <w:t xml:space="preserve"> Data encryption is a critical aspect of modern information security, and understanding the approaches taken by different regions is vital for a comprehensive analysis. In the United States and Europe, data encryption methods vary in implementation, legal frameworks, and overall priorities. In the United States, encryption methods are primarily governed by a combination of federal laws and industry standards. The National Institute of Standards and Technology (NIST) plays a central role in recommending cryptographic standards, while the Department of Commerce oversees export controls on encryption technology. The focus in the U.S. is on balancing national security needs with individual privacy rights. The tension between law enforcement's desire for access to encrypted data for criminal investigations and the right to privacy has sparked debates and legal battles. On the other hand, Europe has taken a more privacy-centric approach to data protection. The General Data Protection Regulation (GDPR) is a cornerstone in the European Union's efforts to safeguard individual privacy rights. GDPR mandates the use of encryption to protect personal data, and failure to implement adequate measures can result in hefty fines. European countries also emphasize the importance of end-to-end encryption in communication services to ensure confidentiality. Both regions prioritize encryption, but th</w:t>
      </w:r>
    </w:p>
    <w:p>
      <w:pPr/>
      <w:r>
        <w:rPr>
          <w:b/>
        </w:rPr>
        <w:t>POSSIBLE 2024:</w:t>
      </w:r>
      <w:r>
        <w:t xml:space="preserve"> ENTREPRENEURIAL ECOSYSTEMS IN THE USA: A COMPARATIVE REVIEW WITH EUROPEAN MODELS — https://doi.org/10.51594/ijmer.v6i2.799</w:t>
      </w:r>
    </w:p>
    <w:p>
      <w:pPr/>
      <w:r>
        <w:rPr>
          <w:b/>
        </w:rPr>
        <w:t>Shared claim-specific concepts:</w:t>
      </w:r>
      <w:r>
        <w:t xml:space="preserve"> comparative, overview, they; EU scope visible. This is a provisional connection, not an outcome finding.</w:t>
      </w:r>
    </w:p>
    <w:p>
      <w:pPr>
        <w:pStyle w:val="SourceNote"/>
      </w:pPr>
      <w:r>
        <w:rPr>
          <w:b/>
        </w:rPr>
        <w:t>Available abstract (not full text):</w:t>
      </w:r>
      <w:r>
        <w:t xml:space="preserve"> This Review provides a concise overview of a comparative review exploring entrepreneurial ecosystems in the United States and their counterparts in Europe. The examination seeks to identify key characteristics, strengths, and challenges within these ecosystems, shedding light on the factors influencing entrepreneurship on both sides of the Atlantic. The entrepreneurial landscape in the United States has long been considered a global benchmark, characterized by a dynamic ecosystem that nurtures innovation, risk-taking, and venture capital. This review engages in a comparative analysis, juxtaposing the American entrepreneurial ecosystem with models prevalent in Europe. It delves into the structural elements, support mechanisms, and cultural factors that shape and differentiate these ecosystems. In the USA, a robust ecosystem is marked by a convergence of factors such as world-class universities, a prolific venture capital landscape, and a culture that embraces risk and failure as integral to the entrepreneurial journey. The review scrutinizes how these elements contribute to the rapid formation and scaling of startups, fostering a culture of innovation and resilience. Contrastingly, European entrepreneurial ecosystems exhibit a diverse range of models influenced by regional variations in culture, regulatory environments, and historical contexts. The analysis probes into the stren</w:t>
      </w:r>
    </w:p>
    <w:p>
      <w:pPr/>
      <w:r>
        <w:rPr>
          <w:b/>
        </w:rPr>
        <w:t>POSSIBLE 2024:</w:t>
      </w:r>
      <w:r>
        <w:t xml:space="preserve"> Comparative Literature in Europe — https://doi.org/10.1515/9783110645033-049</w:t>
      </w:r>
    </w:p>
    <w:p>
      <w:pPr/>
      <w:r>
        <w:rPr>
          <w:b/>
        </w:rPr>
        <w:t>Shared claim-specific concepts:</w:t>
      </w:r>
      <w:r>
        <w:t xml:space="preserve"> comparative, overview, they; EU scope visible. This is a provisional connection, not an outcome finding.</w:t>
      </w:r>
    </w:p>
    <w:p>
      <w:pPr>
        <w:pStyle w:val="SourceNote"/>
      </w:pPr>
      <w:r>
        <w:rPr>
          <w:b/>
        </w:rPr>
        <w:t>Available abstract (not full text):</w:t>
      </w:r>
      <w:r>
        <w:t xml:space="preserve"> A Short Prognosis (as presented at the ACLA meeting in Utrecht on 6 July, 2017)The first prerequisite for a prognosis regarding the future of European comparatism would logically be to give a full overview of CompLit, or, in order to avoid problems of terminology, General and/or Comparative Literature, as it is in Europe today.Now this would entail a major effort, not only because Europe is such a difficult geographical, political, ethnic, cultural, and linguistic entity and is hard to define for our purpose, but also because there is no such thing as a general European logic behind the development of sciences and scholarly work, even though the European Council and the European Union as well as other political unities would perhaps nurture expectations and develop programmes along that line.Even worse: At this moment, we are tempted to quote Chinua Achebe: Things fall apart.Which means that we can only sum up some facts as they are, and some impressions, which need not be correct in each and every detail.Europe comprises some 47 countriescounting the very small ones like San Marino and the very distant ones (from here) like Kazakhstan, or contested ones like Cyprus or Kosovo.To make it easier, let us count 40 larger states, seven of which are successors of former Yugoslavia, with a total of ¾ billion people.Belgium, Bulgaria, Croatia, Estonia, Finland, France, Georgia, Greece,</w:t>
      </w:r>
    </w:p>
    <w:p>
      <w:pPr/>
      <w:r>
        <w:rPr>
          <w:b/>
        </w:rPr>
        <w:t>POSSIBLE 2023:</w:t>
      </w:r>
      <w:r>
        <w:t xml:space="preserve"> Addressing Cultural, Ethnic &amp; Religious Diversity Challenges in Europe: A comparative overview of 15 European countries — https://doi.org/10.32920/24290611</w:t>
      </w:r>
    </w:p>
    <w:p>
      <w:pPr/>
      <w:r>
        <w:rPr>
          <w:b/>
        </w:rPr>
        <w:t>Shared claim-specific concepts:</w:t>
      </w:r>
      <w:r>
        <w:t xml:space="preserve"> comparative, overview, different, makers; EU scope visible. This is a provisional connection, not an outcome finding.</w:t>
      </w:r>
    </w:p>
    <w:p>
      <w:pPr>
        <w:pStyle w:val="SourceNote"/>
      </w:pPr>
      <w:r>
        <w:rPr>
          <w:b/>
        </w:rPr>
        <w:t>Available abstract (not full text):</w:t>
      </w:r>
      <w:r>
        <w:t xml:space="preserve"> The aim of this report is to present and discuss the main ethnic, cultural and religious diversity challenges that Europe is facing today. In particular the report surveys 15 European countries, notably 14 member states (Bulgaria, Denmark, France, Germany, Greece, Hungary, Ireland, Italy, the Netherlands, Poland, Romania, Spain, Sweden, and the UK) and one associated country (Turkey) and identifies the minority groups or migrant populations that pose the most important ethnic or religious diversity challenges within them. The report concentrates in particular on challenges that have a currency across several EU countries. It discusses the ways in which different countries have dealt with similar diversity dilemmas and identifies appropriate courses of action for the future. The report is organised into seven parts. In parts 1- 6 we offer working definitions, followed by a comparative review of state formation, conceptions of citizenship and national identity, and minority/immigrant groups in the 15 countries studied. We also discuss comparatively the challenges raised by three main minority populations: ‘black’ people, Muslims and Roma (and the policies addressing with these challenges). The seventh section of this report offers 15 short country profiles outlining the situation in each of the countries studied. The purpose of ACCEPT PLURALISM is twofold: - to create a new theor</w:t>
      </w:r>
    </w:p>
    <w:p>
      <w:pPr/>
      <w:r>
        <w:rPr>
          <w:b/>
        </w:rPr>
        <w:t>POSSIBLE 2022:</w:t>
      </w:r>
      <w:r>
        <w:t xml:space="preserve"> Patient Safety Culture in European Hospitals: A Comparative Mixed Methods Study — https://doi.org/10.3390/ijerph19020939</w:t>
      </w:r>
    </w:p>
    <w:p>
      <w:pPr/>
      <w:r>
        <w:rPr>
          <w:b/>
        </w:rPr>
        <w:t>Shared claim-specific concepts:</w:t>
      </w:r>
      <w:r>
        <w:t xml:space="preserve"> comparative, methods, used, different, few; EU scope visible. This is a provisional connection, not an outcome finding.</w:t>
      </w:r>
    </w:p>
    <w:p>
      <w:pPr>
        <w:pStyle w:val="SourceNote"/>
      </w:pPr>
      <w:r>
        <w:rPr>
          <w:b/>
        </w:rPr>
        <w:t>Available abstract (not full text):</w:t>
      </w:r>
      <w:r>
        <w:t xml:space="preserve"> BACKGROUND: Poorly organized health systems with inadequate leadership limit the development of the robust safety cultures capable of preventing consequential adverse events. Although safety culture has been studied in hospitals worldwide, the relationship between clinician perceptions about patient safety and their actual clinical practices has received little attention. Despite the need for mixed methods studies to achieve a deeper understanding of safety culture, there are few studies providing comparisons of hospitals in different countries. PURPOSE: This study compared the safety culture of hospitals from the perspective of nurses in four European countries, including Croatia, Hungary, Spain, and Sweden. DESIGN: A comparative mixed methods study with a convergent parallel design. METHODS: = 538) was collected with the Hospital Survey on Patient Safety Culture (HSOPSC) and qualitative date was collected through 24 in-depth interviews and 147 h of non-participant observation. Survey data was analyzed descriptively and inferentially, and content analysis was used to analyze the qualitative data. RESULTS: The overall perception of safety culture for most dimensions was 'adequate' in Sweden and 'adequate' to 'poor' in the other countries with inconsistencies identified between survey and qualitative data. Although teamwork within units was the most positive dimension across cou</w:t>
      </w:r>
    </w:p>
    <w:p>
      <w:pPr/>
      <w:r>
        <w:rPr>
          <w:b/>
        </w:rPr>
        <w:t>POSSIBLE 2022:</w:t>
      </w:r>
      <w:r>
        <w:t xml:space="preserve"> An Overview of Healthcare Associated Infections and Their Detection Methods Caused by Pathogen Bacteria in Romania and Europe — https://doi.org/10.3390/jcm11113204</w:t>
      </w:r>
    </w:p>
    <w:p>
      <w:pPr/>
      <w:r>
        <w:rPr>
          <w:b/>
        </w:rPr>
        <w:t>Shared claim-specific concepts:</w:t>
      </w:r>
      <w:r>
        <w:t xml:space="preserve"> overview, methods, they, used, different, many; EU scope visible. This is a provisional connection, not an outcome finding.</w:t>
      </w:r>
    </w:p>
    <w:p>
      <w:pPr>
        <w:pStyle w:val="SourceNote"/>
      </w:pPr>
      <w:r>
        <w:rPr>
          <w:b/>
        </w:rPr>
        <w:t>Available abstract (not full text):</w:t>
      </w:r>
      <w:r>
        <w:t xml:space="preserve"> Healthcare-associated infections can occur in different care units and can affect both patients and healthcare professionals. Bacteria represent the most common cause of nosocomial infections and, due to the excessive and irrational use of antibiotics, resistant organisms have appeared. The most important healthcare-associated infections are central line-associated bloodstream infections, catheter-associated urinary tract infections, surgical site, soft tissue infections, ventilator-associated pneumonia, hospital acquired pneumonia, and Clostridioides difficile colitis. In Europe, some hospitalized patients develop nosocomial infections that lead to increased costs and prolonged hospitalizations. Healthcare-associated infection prevalence in developed countries is lower than in low-income and middle-income countries such as Romania, an Eastern European country, where several factors contribute to the occurrence of many nosocomial infections, but official data show a low reporting rate. For the rapid identification of bacteria that can cause these infections, fast, sensitive, and specific methods are needed, and they should be cost-effective. Therefore, this review focuses on the current situation regarding healthcare-associated infections in Europe and Romania, with discussions regarding the causes and possible solutions. As a possible weapon in the fight against the healthcare</w:t>
      </w:r>
    </w:p>
    <w:p>
      <w:pPr/>
      <w:r>
        <w:rPr>
          <w:b/>
        </w:rPr>
        <w:t>POSSIBLE 2022:</w:t>
      </w:r>
      <w:r>
        <w:t xml:space="preserve"> Islamic Banks and the European Banking Union: An Overview of Critical Issues and Perspectives — https://doi.org/10.13135/2421-2172/6424</w:t>
      </w:r>
    </w:p>
    <w:p>
      <w:pPr/>
      <w:r>
        <w:rPr>
          <w:b/>
        </w:rPr>
        <w:t>Shared claim-specific concepts:</w:t>
      </w:r>
      <w:r>
        <w:t xml:space="preserve"> critical, overview, provide; EU scope visible. This is a provisional connection, not an outcome finding.</w:t>
      </w:r>
    </w:p>
    <w:p>
      <w:pPr>
        <w:pStyle w:val="SourceNote"/>
      </w:pPr>
      <w:r>
        <w:rPr>
          <w:b/>
        </w:rPr>
        <w:t>Available abstract (not full text):</w:t>
      </w:r>
      <w:r>
        <w:t xml:space="preserve"> The aim of the paper is to provide a general, but in-depth, an overview of aspects of incompatibility and actual interest profiles of Islamic finance in relation to the legal system of the European Banking Union, identifying some prospects for positive future developments. It examines the relevant Islamic principles for banking and the differences from conventional European banks for regulation and supervision, some experiences and possible relationships. The modern communication between the Islamic banking scheme and the European (and international) one is certainly allowed by the activity of the IFSB regulator, especially about the adaptation to the Basel Committee standards and the related capital requirements, transparency criteria, common reference, considering the global application to operate in the international markets. The examination of the relationship with the European Banking Union allows the identification of future profiles of debate and research in Economics Law, considering the opportunity for regulatory adjustments and the interaction between EU and national law and the interesting ethical aims of the socially responsible Islamic finance.</w:t>
      </w:r>
    </w:p>
    <w:p>
      <w:pPr/>
      <w:r>
        <w:rPr>
          <w:b/>
        </w:rPr>
        <w:t>POSSIBLE 2022:</w:t>
      </w:r>
      <w:r>
        <w:t xml:space="preserve"> Critical Infrastructures Overview: Past, Present and Future — https://doi.org/10.3390/su14042233</w:t>
      </w:r>
    </w:p>
    <w:p>
      <w:pPr/>
      <w:r>
        <w:rPr>
          <w:b/>
        </w:rPr>
        <w:t>Shared claim-specific concepts:</w:t>
      </w:r>
      <w:r>
        <w:t xml:space="preserve"> critical, overview, methods, used, provide, few; EU scope visible. This is a provisional connection, not an outcome finding.</w:t>
      </w:r>
    </w:p>
    <w:p>
      <w:pPr>
        <w:pStyle w:val="SourceNote"/>
      </w:pPr>
      <w:r>
        <w:rPr>
          <w:b/>
        </w:rPr>
        <w:t>Available abstract (not full text):</w:t>
      </w:r>
      <w:r>
        <w:t xml:space="preserve"> Industrialized societies depend on the proper functioning of a whole range of technological infrastructures, such as electricity, road and railway networks and telecommunications which, due to their importance, are generically referred to as critical infrastructures (CIs). Technical failures, natural disasters and malicious events, if not terrorist, could have devastating effects on these infrastructures. The events of the last few years have accelerated efforts to identify and designate CIs at national and European levels and have reinforced concerns about increasing their protection in sensitive sectors for the safety of the individual and the community. The aim of this research is to provide the basic elements to understand the issue along with the reasons for its importance both at national, European and international level. In particular, after analyzing the origin of the problem, a systematic literature review is carried out to study the current research around future perspectives relating to the management of Cis, with particular focus on three research questions: RQ1 “What types of risk assessment methods are used to manage CIs?”, RQ2 “What are the environmental risk mitigation strategies for CIs?” and RQ3 “What is the role of the human factor in the prevention of risks for CIs?”. The results aim to be guidelines for decision makers and researchers interested in this to</w:t>
      </w:r>
    </w:p>
    <w:p>
      <w:pPr>
        <w:pStyle w:val="Heading2"/>
      </w:pPr>
      <w:r>
        <w:t>943. A strategic energy technology policy towards 2050: no-regret strategies for European technology push</w:t>
      </w:r>
    </w:p>
    <w:p>
      <w:pPr>
        <w:pStyle w:val="SourceNote"/>
      </w:pPr>
      <w:r>
        <w:rPr>
          <w:b/>
        </w:rPr>
        <w:t>Original source (2013):</w:t>
      </w:r>
      <w:r>
        <w:t xml:space="preserve"> https://doi.org/10.1504/ijetp.2013.058143</w:t>
      </w:r>
    </w:p>
    <w:p>
      <w:pPr/>
      <w:r>
        <w:t>Original wording (abstract; indexed_source_text_not_full_document_verified): We discuss how European energy technology policy towards 2050 can be effective despite: 1) uncertain carbon prices; 2) uncertain technological change; and 3) uncertain or alternating policy paradigms shifting the focus from decarbonisation towards competitiveness or energy supply security.</w:t>
      </w:r>
    </w:p>
    <w:p>
      <w:pPr/>
      <w:r>
        <w:rPr>
          <w:b/>
        </w:rPr>
        <w:t>POSSIBLE 2024:</w:t>
      </w:r>
      <w:r>
        <w:t xml:space="preserve"> Assessing Critical Raw Materials and Their Supply Risk in Energy Technologies—A Literature Review — https://doi.org/10.3390/en18010086</w:t>
      </w:r>
    </w:p>
    <w:p>
      <w:pPr/>
      <w:r>
        <w:rPr>
          <w:b/>
        </w:rPr>
        <w:t>Shared claim-specific concepts:</w:t>
      </w:r>
      <w:r>
        <w:t xml:space="preserve"> energy, technology; EU scope visible. This is a provisional connection, not an outcome finding.</w:t>
      </w:r>
    </w:p>
    <w:p>
      <w:pPr>
        <w:pStyle w:val="SourceNote"/>
      </w:pPr>
      <w:r>
        <w:rPr>
          <w:b/>
        </w:rPr>
        <w:t>Available abstract (not full text):</w:t>
      </w:r>
      <w:r>
        <w:t xml:space="preserve"> Climate change is leading modern society to seek innovative solutions for sustainable development and a zero-carbon economy. Nevertheless, new technologies strongly rely on precious raw materials and might suffer from supply chain risks. The European Union has identified a set of raw materials deemed to be critical or strategic because they appear essential for energy transition technologies. Consequently, long-term energy system planning must factor in the availability of these critical raw materials when selecting specific technologies, as their supply could be affected by global policies or conflicts. This paper provides a literature review on the assessment of critical raw materials in energy technologies comparing the main approaches on critical raw materials content assessment in technologies, long-term planning studies considering critical raw materials, and the development of indicators for critical raw materials content in energy technologies. The main findings of this review suggest that existing reliable databases with the bill of materials, such as life cycle inventories, should be exploited and that proper indicators to rank the criticality of materials and the importance of a specific technology should be developed. These findings are discussed and organized proposing a method for the optimal planning of an energy technologies mix in regional or national energy sy</w:t>
      </w:r>
    </w:p>
    <w:p>
      <w:pPr/>
      <w:r>
        <w:rPr>
          <w:b/>
        </w:rPr>
        <w:t>POSSIBLE 2024:</w:t>
      </w:r>
      <w:r>
        <w:t xml:space="preserve"> Renewable energy transition in Europe in the context of renewable energy transition processes in the world. A review — https://doi.org/10.1016/j.heliyon.2024.e40997</w:t>
      </w:r>
    </w:p>
    <w:p>
      <w:pPr/>
      <w:r>
        <w:rPr>
          <w:b/>
        </w:rPr>
        <w:t>Shared claim-specific concepts:</w:t>
      </w:r>
      <w:r>
        <w:t xml:space="preserve"> discuss, energy, security; EU scope visible. This is a provisional connection, not an outcome finding.</w:t>
      </w:r>
    </w:p>
    <w:p>
      <w:pPr>
        <w:pStyle w:val="SourceNote"/>
      </w:pPr>
      <w:r>
        <w:rPr>
          <w:b/>
        </w:rPr>
        <w:t>Available abstract (not full text):</w:t>
      </w:r>
      <w:r>
        <w:t xml:space="preserve"> Both the global and European energy sectors have been undergoing a deep transition for several years, associated with a reduction in the overall share of conventional coal-based energy in favor of new technologies, especially energy from renewable sources (RES). This transition is moving from centralized production towards distributed technologies and from providing only energy to end users towards combining innovative products and services with it. Electricity consumers are becoming prosumers connected to the grid and generating an increasing amount of energy. The original goal of decision-makers was to stop global warming and improve air quality. After Russia's aggression of Ukraine in 2022, the EU transition efforts accelerated, and concerns about the climate were joined by issues related to energy security. After the painful experiences of the last several months, Europe wants to become independent from energy raw materials and their unstable suppliers as soon as possible, securing markets against price fluctuations, blackmail and unfair practices of some sellers. The aim of the article is to describe the current situation of energy and heat production from RES in selected countries in the aspect of contemporary energy transition (ET) processes. The achievement of the goal made it possible to present the European RES market in 2022, discuss the actions taken by European cou</w:t>
      </w:r>
    </w:p>
    <w:p>
      <w:pPr/>
      <w:r>
        <w:rPr>
          <w:b/>
        </w:rPr>
        <w:t>POSSIBLE 2023:</w:t>
      </w:r>
      <w:r>
        <w:t xml:space="preserve"> Proposal for a sustainability framework for energy technologies — https://doi.org/10.2760/11063</w:t>
      </w:r>
    </w:p>
    <w:p>
      <w:pPr/>
      <w:r>
        <w:rPr>
          <w:b/>
        </w:rPr>
        <w:t>Shared claim-specific concepts:</w:t>
      </w:r>
      <w:r>
        <w:t xml:space="preserve"> energy, technology, security; EU scope visible. This is a provisional connection, not an outcome finding.</w:t>
      </w:r>
    </w:p>
    <w:p>
      <w:pPr>
        <w:pStyle w:val="SourceNote"/>
      </w:pPr>
      <w:r>
        <w:rPr>
          <w:b/>
        </w:rPr>
        <w:t>Available abstract (not full text):</w:t>
      </w:r>
      <w:r>
        <w:t xml:space="preserve"> The European Green Deal is a flagship initiative of the European Commission aimed at achieving a sustainable future through a clean energy transition. This report proposes a sustainability assessment framework (SAF) for evaluating energy technologies, inspired by the Safe and Sustainable by Design (SSbD) framework. It supports the Clean Energy Technology Observatory (CETO) in monitoring research and innovation activities for clean energy technologies. The background concepts underlying the SAF are discussed, including sustainability principles, life cycle assessment, sustainable innovation, and energy-specific concepts. The proposed SAF includes three dimensions: supply security, environmental sustainability, and social sustainability. Energy security encompasses economic aspects, such as stable energy supply, accessibility of resources, and trade considerations. Environmental sustainability is based on the Product Environmental Footprint methodology and aligned with the SSbD framework. The social sustainability dimension considers impacts on workers, local communities, value chain actors and society, according to the Social Life Cycle Assessment methodology. The framework has a hierarchical structure placing energy security first, and recognizing its interconnections with environmental and social objectives. The framework supports the European Union's priority on energy securi</w:t>
      </w:r>
    </w:p>
    <w:p>
      <w:pPr/>
      <w:r>
        <w:rPr>
          <w:b/>
        </w:rPr>
        <w:t>POSSIBLE 2023:</w:t>
      </w:r>
      <w:r>
        <w:t xml:space="preserve"> Power-to-hydrogen and hydrogen-to-X energy systems for the industry of the future in Europe — https://doi.org/10.1016/j.ijhydene.2023.01.194</w:t>
      </w:r>
    </w:p>
    <w:p>
      <w:pPr/>
      <w:r>
        <w:rPr>
          <w:b/>
        </w:rPr>
        <w:t>Shared claim-specific concepts:</w:t>
      </w:r>
      <w:r>
        <w:t xml:space="preserve"> discuss, energy, technology, technological, focus; EU scope visible. This is a provisional connection, not an outcome finding.</w:t>
      </w:r>
    </w:p>
    <w:p>
      <w:pPr>
        <w:pStyle w:val="SourceNote"/>
      </w:pPr>
      <w:r>
        <w:rPr>
          <w:b/>
        </w:rPr>
        <w:t>Available abstract (not full text):</w:t>
      </w:r>
      <w:r>
        <w:t xml:space="preserve"> The EU is promoting hydrogen as enabling energy carrier that may account for up to 20% of energy and especially fulfill between 20% and 50% of transportation demands and between 5% and 20% of industrial needs. To ensure the success of this shift, Power-to-Hydrogen and Hydrogen-to-X technologies have attracted significant interest because they transform renewable power directly into green hydrogen, via water electrolysis, which can be stored and transferred more readily than other fuels for several end-uses. The present paper aims to discuss the role of such technologies in the current and future energy systems, with a specific reference to the European scenario. The main energy sectors where hydrogen could play an important role will be discussed, such as transportation, power generation, manufacturing sectors, refining and agriculture, with a focus on potential technological integration and synergies, providing a guideline for industrial players up to 2050 with a discussion about technology maturity by presenting short-term/long-term roadmaps.</w:t>
      </w:r>
    </w:p>
    <w:p>
      <w:pPr/>
      <w:r>
        <w:rPr>
          <w:b/>
        </w:rPr>
        <w:t>POSSIBLE 2023:</w:t>
      </w:r>
      <w:r>
        <w:t xml:space="preserve"> The Use of Information and Communication Technologies and Renewable Energy in Europe — https://doi.org/10.4018/978-1-6684-5996-6.ch009</w:t>
      </w:r>
    </w:p>
    <w:p>
      <w:pPr/>
      <w:r>
        <w:rPr>
          <w:b/>
        </w:rPr>
        <w:t>Shared claim-specific concepts:</w:t>
      </w:r>
      <w:r>
        <w:t xml:space="preserve"> energy, carbon; EU scope visible. This is a provisional connection, not an outcome finding.</w:t>
      </w:r>
    </w:p>
    <w:p>
      <w:pPr>
        <w:pStyle w:val="SourceNote"/>
      </w:pPr>
      <w:r>
        <w:rPr>
          <w:b/>
        </w:rPr>
        <w:t>Available abstract (not full text):</w:t>
      </w:r>
      <w:r>
        <w:t xml:space="preserve"> Information and communication technologies (ICTs) can help in cutting up to 20% of global carbon emissions by assisting consumers, different industries, and the public sector in energy savings and energy efficiency improvement. This chapter explores the relationship between ICTs and the development of renewable energy in European countries. In the first part of the research, the author conducted a cluster analysis to measure the differences in the use of ICTs in Europe through information society indicators. The results of the clustering (hierarchical and K-means) showed the existence of four clusters, and the increased differences between clusters from 2015 to 2020. The second part of the research confirms the existence of differences between clusters in the share of energy consumption from renewable sources, and the differences proved to be statistically significant. The results are discussed in terms of implications for public transportation, concluding that local governments must start and/or keep using ICTs for urban solutions for the future to be greener and sustainable.</w:t>
      </w:r>
    </w:p>
    <w:p>
      <w:pPr/>
      <w:r>
        <w:rPr>
          <w:b/>
        </w:rPr>
        <w:t>POSSIBLE 2023:</w:t>
      </w:r>
      <w:r>
        <w:t xml:space="preserve"> Energy Economic Development in Europe — https://doi.org/10.3390/books978-3-0365-7112-6</w:t>
      </w:r>
    </w:p>
    <w:p>
      <w:pPr/>
      <w:r>
        <w:rPr>
          <w:b/>
        </w:rPr>
        <w:t>Shared claim-specific concepts:</w:t>
      </w:r>
      <w:r>
        <w:t xml:space="preserve"> energy, carbon, security; EU scope visible. This is a provisional connection, not an outcome finding.</w:t>
      </w:r>
    </w:p>
    <w:p>
      <w:pPr>
        <w:pStyle w:val="SourceNote"/>
      </w:pPr>
      <w:r>
        <w:rPr>
          <w:b/>
        </w:rPr>
        <w:t>Available abstract (not full text):</w:t>
      </w:r>
      <w:r>
        <w:t xml:space="preserve"> This reprint explores the challenges faced by Europe as it transitions to renewable energy sources to reduce carbon emissions and enhance energy security. With 10 articles covering various countries and sectors, the book delves into issues such as solar and wind energy intermittency, the role of energy policies, and the integration of energy grids and markets. The collection also includes studies on the impact of energy policies on residential energy efficiency, the use of financial incentives for eco-friendly housing, and the benefits of district heating. The reprint aims to provide policymakers, academics, and practitioners with valuable insights into the current state of renewable energy in Europe and the policies and actions that can be taken to achieve a sustainable energy future.</w:t>
      </w:r>
    </w:p>
    <w:p>
      <w:pPr/>
      <w:r>
        <w:rPr>
          <w:b/>
        </w:rPr>
        <w:t>POSSIBLE 2023:</w:t>
      </w:r>
      <w:r>
        <w:t xml:space="preserve"> The contribution of European citizen‐led energy initiatives to sustainable development goals — https://doi.org/10.1002/sd.2844</w:t>
      </w:r>
    </w:p>
    <w:p>
      <w:pPr/>
      <w:r>
        <w:rPr>
          <w:b/>
        </w:rPr>
        <w:t>Shared claim-specific concepts:</w:t>
      </w:r>
      <w:r>
        <w:t xml:space="preserve"> discuss, energy, effective, despite, technological; EU scope visible. This is a provisional connection, not an outcome finding.</w:t>
      </w:r>
    </w:p>
    <w:p>
      <w:pPr>
        <w:pStyle w:val="SourceNote"/>
      </w:pPr>
      <w:r>
        <w:rPr>
          <w:b/>
        </w:rPr>
        <w:t>Available abstract (not full text):</w:t>
      </w:r>
      <w:r>
        <w:t xml:space="preserve"> Abstract Energy communities (ECs) are emerging as vital contributors to the United Nations' Sustainable Development Goals, despite being unnoticed. This article is the first to comprehensively discuss and quantify European citizen‐led energy initiatives' contributions to SDGs 7 (ensure access to affordable and clean energy), 9 (fostering industry, innovation, and infrastructure), and 11 (promote sustainable cities and communities). With SDG7 at their core, these initiatives prioritize sustainable energy systems, aligning with environmental impact reduction, resource efficiency, and social resilience goals. They contribute to SDG9 in energy and ICT sectors through job creation and social and technological innovation. Promoting SDG11 via inclusive engagement, they reinforce democratic principles and preserve cultural heritage. They can leverage their expertise with policy support to aid SDG implementation and serve as a global exemplar, extending impact to SDGs 12 and 17. Our analysis underscores a disconnect between European support for ECs and broader sustainability agendas, hampering effective impact.</w:t>
      </w:r>
    </w:p>
    <w:p>
      <w:pPr/>
      <w:r>
        <w:rPr>
          <w:b/>
        </w:rPr>
        <w:t>POSSIBLE 2021:</w:t>
      </w:r>
      <w:r>
        <w:t xml:space="preserve"> Energy justice within, between and beyond European community energy initiatives: A review — https://doi.org/10.1016/j.erss.2021.102157</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Recent European policy efforts stimulate the emergence of community energy initiatives, and the European Commission explicitly aims to enable a just transition towards a low-carbon energy system. One of the prevalent assumptions is that fostering community energy will bring about energy justice. Intrigued by this assumption, we conduct an extending systematic literature review to explore how the notion of energy justice is discussed within scholarly work on community energy initiatives in Europe. We detected a tendency of community energy scholars to not (yet) fully employ the inherent scope the concept of energy justice entails. Therefore, we propose that community energy justice should be analyzed through three different lenses: energy justice occurring within community energy initiatives, between initiatives and related actors, and beyond initiatives. Extending the energy justice lens to address these different levels helps to better bring out the encompassing premise that the notion of energy justice entails, both analytically and in practice. Through our analysis different energy justice impacts come to the fore, for example related to social inequality: not all societal groups are equally positioned to benefit from policies focused on community initiatives. Considering the policy efforts to stimulate community energy development, we argue that these impacts can be amplifi</w:t>
      </w:r>
    </w:p>
    <w:p>
      <w:pPr/>
      <w:r>
        <w:rPr>
          <w:b/>
        </w:rPr>
        <w:t>POSSIBLE 2021:</w:t>
      </w:r>
      <w:r>
        <w:t xml:space="preserve"> Integration of raw materials indicators of energy technologies into energy system models — https://doi.org/10.1016/j.apenergy.2021.118150</w:t>
      </w:r>
    </w:p>
    <w:p>
      <w:pPr/>
      <w:r>
        <w:rPr>
          <w:b/>
        </w:rPr>
        <w:t>Shared claim-specific concepts:</w:t>
      </w:r>
      <w:r>
        <w:t xml:space="preserve"> energy, despite; EU scope visible. This is a provisional connection, not an outcome finding.</w:t>
      </w:r>
    </w:p>
    <w:p>
      <w:pPr>
        <w:pStyle w:val="SourceNote"/>
      </w:pPr>
      <w:r>
        <w:rPr>
          <w:b/>
        </w:rPr>
        <w:t>Available abstract (not full text):</w:t>
      </w:r>
      <w:r>
        <w:t xml:space="preserve"> Raw materials and their related environmental impacts will play a key role in the implementation of renewable energy infrastructures for decarbonization. Despite the growing amount of data quantifying raw materials for energy production technologies, few examples of these data sources are being included in current energy system models. Accordingly, this paper introduces possible pathways for integrating material-specific life cycle assessment outputs and material metabolism indicators into energy system models so that raw material requirements, and their associated impacts, can be accounted for. The paper discusses the availability of life cycle inventories, impact assessment methods and important output indicators. The material metabolism indicators most relevant to the current policy debate surrounding the European Green Deal–namely, material supply risk and contribution of recycled materials to total supply–are also discussed alongside the value of adding this information to energy system models. A methodology for using data from both approaches is offered and operationalised using four sub-technologies of both wind turbines and solar photovoltaic panels as case studies. The results show that considerable variation exists between and within the two groups for all indicators. The technologies with the lowest global warming potential, cumulative energy demand and supply risk a</w:t>
      </w:r>
    </w:p>
    <w:p>
      <w:pPr/>
      <w:r>
        <w:rPr>
          <w:b/>
        </w:rPr>
        <w:t>POSSIBLE 2021:</w:t>
      </w:r>
      <w:r>
        <w:t xml:space="preserve"> CO2 emissions and energy technologies in Western Europe — https://doi.org/10.1007/s13209-021-00234-8</w:t>
      </w:r>
    </w:p>
    <w:p>
      <w:pPr/>
      <w:r>
        <w:rPr>
          <w:b/>
        </w:rPr>
        <w:t>Shared claim-specific concepts:</w:t>
      </w:r>
      <w:r>
        <w:t xml:space="preserve"> energy, carbon, focus; EU scope visible. This is a provisional connection, not an outcome finding.</w:t>
      </w:r>
    </w:p>
    <w:p>
      <w:pPr>
        <w:pStyle w:val="SourceNote"/>
      </w:pPr>
      <w:r>
        <w:rPr>
          <w:b/>
        </w:rPr>
        <w:t>Available abstract (not full text):</w:t>
      </w:r>
      <w:r>
        <w:t xml:space="preserve"> In this paper, we investigate the path to the green transition in Europe. In so doing, we implement an empirical model of dynamic panel data on a sample of sixteen Western European countries over the period 1980 to 2019. The model is consistent with various features of neoclassical growth theory incorporating energy use. Our focus is on the short-run determinants of carbon emissions within that set of countries. We provide evidence that the relationship between economic activity and CO2 emissions is strong in economies where economic booms depend on energy-intensive sectors. Also, the mitigating role of renewable energy technologies is key when energy intensity rebounds. These circumstances may constitute a challenge for the climate transition goals targeted in the EU's Recovery Plan, whose main objective at this very moment is to mitigate the economic and social impact of the coronavirus pandemic.</w:t>
      </w:r>
    </w:p>
    <w:p>
      <w:pPr/>
      <w:r>
        <w:rPr>
          <w:b/>
        </w:rPr>
        <w:t>POSSIBLE 2020:</w:t>
      </w:r>
      <w:r>
        <w:t xml:space="preserve"> Critically reviewing smart home technology applications and business models in Europe — https://doi.org/10.1016/j.enpol.2020.111631</w:t>
      </w:r>
    </w:p>
    <w:p>
      <w:pPr/>
      <w:r>
        <w:rPr>
          <w:b/>
        </w:rPr>
        <w:t>Shared claim-specific concepts:</w:t>
      </w:r>
      <w:r>
        <w:t xml:space="preserve"> discuss, energy, technology, carbon, focus, security; EU scope visible. This is a provisional connection, not an outcome finding.</w:t>
      </w:r>
    </w:p>
    <w:p>
      <w:pPr>
        <w:pStyle w:val="SourceNote"/>
      </w:pPr>
      <w:r>
        <w:rPr>
          <w:b/>
        </w:rPr>
        <w:t>Available abstract (not full text):</w:t>
      </w:r>
      <w:r>
        <w:t xml:space="preserve"> Smart home technologies refer to devices that provide some degree of digitally connected or enhanced services to occupants. Smart homes have become central in recent technology and policy discussions about energy efficiency, climate change , and innovation. However, many studies are speculative, lacking empirical data, and focus on costs and benefits, but not business models and emerging markets. To address these gaps, our study presents data from semi-structured expert interviews and a review of the recent literature. Although we draw from empirical data collected in the United Kingdom, we place our findings in the context of Europe because the UK has access to European markets for smart home technologies and platforms. Our sampling strategy included experts from Amazon , Microsoft, the International Energy Agency , government, academic, and civil society stakeholders. We identify a diversity of definitions associated with smart home technologies and draw from our data to discuss applications centred on digital connections, enhanced control, automation, and learning. We analyse fifteen distinct business models for smart home technologies, ranging from energy services and household data monitoring to assisted living , security and safety, and new advertising channels (among others). Our assessment ought to guide future innovation patterns, technology deployment, and policy acti</w:t>
      </w:r>
    </w:p>
    <w:p>
      <w:pPr/>
      <w:r>
        <w:rPr>
          <w:b/>
        </w:rPr>
        <w:t>POSSIBLE 2019:</w:t>
      </w:r>
      <w:r>
        <w:t xml:space="preserve"> Social Innovation in Community Energy in Europe: A Review of the Evidence — https://doi.org/10.3389/fenrg.2019.00031</w:t>
      </w:r>
    </w:p>
    <w:p>
      <w:pPr/>
      <w:r>
        <w:rPr>
          <w:b/>
        </w:rPr>
        <w:t>Shared claim-specific concepts:</w:t>
      </w:r>
      <w:r>
        <w:t xml:space="preserve"> energy;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pStyle w:val="Heading2"/>
      </w:pPr>
      <w:r>
        <w:t>944. Alternative future energy pathways: Assessment of the potential of innovative decentralised energy systems in the UK</w:t>
      </w:r>
    </w:p>
    <w:p>
      <w:pPr>
        <w:pStyle w:val="SourceNote"/>
      </w:pPr>
      <w:r>
        <w:rPr>
          <w:b/>
        </w:rPr>
        <w:t>Original source (2013):</w:t>
      </w:r>
      <w:r>
        <w:t xml:space="preserve"> https://doi.org/10.1016/j.enpol.2013.10.080</w:t>
      </w:r>
    </w:p>
    <w:p>
      <w:pPr/>
      <w:r>
        <w:t>Original wording (abstract; indexed_source_text_not_full_document_verified): In order to meet its 2050 target of 80% carbon emissions reduction, the UK is facing a challenge of restructuring its energy system, possibly by introducing more decentralised energy (DE) systems. The case studies present a high potential for replication and scaling up in the UK context and demonstrate that the increased implementation of DE systems could also enhance social and governance benefits.</w:t>
      </w:r>
    </w:p>
    <w:p>
      <w:pPr/>
      <w:r>
        <w:rPr>
          <w:b/>
        </w:rPr>
        <w:t>POSSIBLE 2026:</w:t>
      </w:r>
      <w:r>
        <w:t xml:space="preserve"> Fleet renewal and retrofit for emission reductions in offshore logistics — https://doi.org/10.1016/j.martra.2026.100150</w:t>
      </w:r>
    </w:p>
    <w:p>
      <w:pPr/>
      <w:r>
        <w:rPr>
          <w:b/>
        </w:rPr>
        <w:t>Shared claim-specific concepts:</w:t>
      </w:r>
      <w:r>
        <w:t xml:space="preserve"> order, meet, reduction, system, case; EU scope not established. This is a provisional connection, not an outcome finding.</w:t>
      </w:r>
    </w:p>
    <w:p>
      <w:pPr>
        <w:pStyle w:val="SourceNote"/>
      </w:pPr>
      <w:r>
        <w:rPr>
          <w:b/>
        </w:rPr>
        <w:t>Available abstract (not full text):</w:t>
      </w:r>
      <w:r>
        <w:t xml:space="preserve"> To achieve the emission reduction targets set by the maritime industry, large investments must be made in renewing and retrofitting the existing fleets in various shipping segments. This paper studies the strategic supply vessel fleet renewal and retrofit problem (SVFRRP) for guiding the transition towards a greener fleet of platform supply vessels (PSVs) used for offshore oil and gas logistics. Since the future costs of the different relevant fuel types are uncertain, we propose a new two-stage integer stochastic programming model for the SVFRRP. In each time period of the planning horizon, the model includes strategic decisions to meet the specified emission requirements. Existing vessels might be retrofitted to a new power system, or scrapped, while new vessels can be acquired and introduced to the fleet. Furthermore, the fleet deployment is considered, controlling the use of each vessel in order to fulfill the required cargo demands at each offshore installation serviced by the PSV fleet. We perform an extensive assessment of available fuel technologies for PSVs and use this in computational analyses for two real case studies from the Norwegian oil and gas industry. We compare the optimal fleet renewal strategies and corresponding costs from different emission reduction trajectories, and the results from the analyses provide valuable insights to the impact of various emissi</w:t>
      </w:r>
    </w:p>
    <w:p>
      <w:pPr/>
      <w:r>
        <w:rPr>
          <w:b/>
        </w:rPr>
        <w:t>POSSIBLE 2025:</w:t>
      </w:r>
      <w:r>
        <w:t xml:space="preserve"> When order execution meets informed trading — https://doi.org/10.1080/14697688.2025.2479049</w:t>
      </w:r>
    </w:p>
    <w:p>
      <w:pPr/>
      <w:r>
        <w:rPr>
          <w:b/>
        </w:rPr>
        <w:t>Shared claim-specific concepts:</w:t>
      </w:r>
      <w:r>
        <w:t xml:space="preserve"> order, target, high; EU scope not established. This is a provisional connection, not an outcome finding.</w:t>
      </w:r>
    </w:p>
    <w:p>
      <w:pPr>
        <w:pStyle w:val="SourceNote"/>
      </w:pPr>
      <w:r>
        <w:rPr>
          <w:b/>
        </w:rPr>
        <w:t>Available abstract (not full text):</w:t>
      </w:r>
      <w:r>
        <w:t xml:space="preserve"> Various participants trade simultaneously in modern financial markets. We study the interaction between the institutional investor driven by a position target and multiple informed traders possessing long-lived information. The problem is formulated as a Stackelberg-Nash game in the linear price impact model. We solve the problem explicitly and obtain the unique equilibrium. Informed traders first engage in predatory trading and then quickly provide much liquidity to the institutional investor. The advantage in transaction costs encourages informed traders to intensify predation but fierce competition forces them to focus on liquidity provision. The institutional investor always employs a well-known U-shape trading strategy regardless of the magnitude of transaction costs and the number of informed traders, and tends to trade more uniformly with high transaction costs and more informed traders. Orders posted by the institutional investor distort the originally efficient price while informed traders trade in the opposite direction to keep the price from deviating too far from the value. We propose a conjecture that transient price impact may be caused by informed trading. An approximately exponential decay is derived with linear permanent and temporary price impacts, and the convergence speed depends on informed traders' transaction costs.</w:t>
      </w:r>
    </w:p>
    <w:p>
      <w:pPr/>
      <w:r>
        <w:rPr>
          <w:b/>
        </w:rPr>
        <w:t>POSSIBLE 2024:</w:t>
      </w:r>
      <w:r>
        <w:t xml:space="preserve"> Advancing glioblastoma treatment by targeting metabolism — https://doi.org/10.1016/j.neo.2024.100985</w:t>
      </w:r>
    </w:p>
    <w:p>
      <w:pPr/>
      <w:r>
        <w:rPr>
          <w:b/>
        </w:rPr>
        <w:t>Shared claim-specific concepts:</w:t>
      </w:r>
      <w:r>
        <w:t xml:space="preserve"> order, target, present, potential; EU scope not established. This is a provisional connection, not an outcome finding.</w:t>
      </w:r>
    </w:p>
    <w:p>
      <w:pPr>
        <w:pStyle w:val="SourceNote"/>
      </w:pPr>
      <w:r>
        <w:rPr>
          <w:b/>
        </w:rPr>
        <w:t>Available abstract (not full text):</w:t>
      </w:r>
      <w:r>
        <w:t xml:space="preserve"> Alterations in cellular metabolism are important hallmarks of glioblastoma(GBM). Metabolic reprogramming is a critical feature as it meets the higher nutritional demand of tumor cells, including proliferation, growth, and survival. Many genes, proteins, and metabolites associated with GBM metabolism reprogramming have been found to be aberrantly expressed, which may provide potential targets for cancer treatment. Therefore, it is becoming increasingly important to explore the role of internal and external factors in metabolic regulation in order to identify more precise therapeutic targets and diagnostic markers for GBM. In this review, we define the metabolic characteristics of GBM, investigate metabolic specificities such as targetable vulnerabilities and therapeutic resistance, as well as present current efforts to target GBM metabolism to improve the standard of care.</w:t>
      </w:r>
    </w:p>
    <w:p>
      <w:pPr/>
      <w:r>
        <w:rPr>
          <w:b/>
        </w:rPr>
        <w:t>POSSIBLE 2023:</w:t>
      </w:r>
      <w:r>
        <w:t xml:space="preserve"> Growing Double Materiality into Corporate Sustainability Reporting in Order to Meet Green Deal Targets — https://doi.org/10.2478/9788367405546-034</w:t>
      </w:r>
    </w:p>
    <w:p>
      <w:pPr/>
      <w:r>
        <w:rPr>
          <w:b/>
        </w:rPr>
        <w:t>Shared claim-specific concepts:</w:t>
      </w:r>
      <w:r>
        <w:t xml:space="preserve"> order, meet, potential; EU scope not established. This is a provisional connection, not an outcome finding.</w:t>
      </w:r>
    </w:p>
    <w:p>
      <w:pPr>
        <w:pStyle w:val="SourceNote"/>
      </w:pPr>
      <w:r>
        <w:rPr>
          <w:b/>
        </w:rPr>
        <w:t>Available abstract (not full text):</w:t>
      </w:r>
      <w:r>
        <w:t xml:space="preserve"> The International Conferences on Economics and Social Sciences (ICESS) organized by Bucharest University of Economic Studies provide an opportunity for all those interested in Economics and Social Sciences to discuss and exchange research ideas. The papers presented at the Conference are available online in the Conference Proceedings series (ISSN 2704-6524): Volume 2019 Collaborative Research for Excellence in Economics and Social Sciences, ISBN 9788366675322 Volume 2020 Innovative Models to Revive the Global Economy, ISBN 9788395815072 Volume 2021 Resilience and Economic Intelligence Through Digitalization and Big Data Analytics, ISBN 9788366675704 Volume 2022 Fostering recovery through metaverse business modelling, ISBN 978-83-67405-07-2 The world today is vastly different than what it was even a few decades ago, as a result of advances in technology, globalization, and societal changes. Recently, particular attention has been given to sustainable development raising the question of how to drive economic growth in a responsible manner by harnessing technology’s potential while accounting for diverse national perspectives. In 2015, the United Nations agreed upon 17 Sustainable Development Goals (SDGs) aimed to transform our world by 2030. However, without the support of stakeholders from government, business and civil societies, the SDGs are</w:t>
      </w:r>
    </w:p>
    <w:p>
      <w:pPr/>
      <w:r>
        <w:rPr>
          <w:b/>
        </w:rPr>
        <w:t>POSSIBLE 2023:</w:t>
      </w:r>
      <w:r>
        <w:t xml:space="preserve"> Nuclear Data Uncertainty Analysis to Meet the Target Accuracy Requirements on the MYRRHAkeff — https://doi.org/10.1051/epjconf/202328408012</w:t>
      </w:r>
    </w:p>
    <w:p>
      <w:pPr/>
      <w:r>
        <w:rPr>
          <w:b/>
        </w:rPr>
        <w:t>Shared claim-specific concepts:</w:t>
      </w:r>
      <w:r>
        <w:t xml:space="preserve"> order, meet, target, reduction, system; EU scope visible. This is a provisional connection, not an outcome finding.</w:t>
      </w:r>
    </w:p>
    <w:p>
      <w:pPr>
        <w:pStyle w:val="SourceNote"/>
      </w:pPr>
      <w:r>
        <w:rPr>
          <w:b/>
        </w:rPr>
        <w:t>Available abstract (not full text):</w:t>
      </w:r>
      <w:r>
        <w:t xml:space="preserve"> MYRRHA is a flexible experimental facility being designed at the SCK CEN, in Mol, Belgium. Cooled by lead-bismuth, it is conceived to operate both in sub-critical mode, as an accelerator driven system, and in critical mode, as a fast reactor. In order to comply with MYRRHA reactor design requirements, uncertainties due to nuclear data must be quantified. Significant gaps between the uncertainties and the target accuracies have been systematically shown in the past. In this paper, first, a Sensitivity and Uncertainty analysis with JEFF-3.3 nuclear data library of the effective neutron multiplication factorkeffof the latest MYRRHA reactor design - v1.8 - is presented. Then, since target accuracy forkeffof 300 pcm is exceeded, a Target Accuracy Requirement assessment is performed in order to find out the required accuracy on cross section data to meet the requested target accuracy. To reach the requested target accuracy, a reduction of the uncertainty in the fission and capture cross sections of240Pu JEFF-3.3 evaluation is needed.</w:t>
      </w:r>
    </w:p>
    <w:p>
      <w:pPr/>
      <w:r>
        <w:rPr>
          <w:b/>
        </w:rPr>
        <w:t>POSSIBLE 2023:</w:t>
      </w:r>
      <w:r>
        <w:t xml:space="preserve"> Study on Control Strategies on NOX Emissions to Meet Real Driving Emissions — https://doi.org/10.1021/acsomega.3c03751</w:t>
      </w:r>
    </w:p>
    <w:p>
      <w:pPr/>
      <w:r>
        <w:rPr>
          <w:b/>
        </w:rPr>
        <w:t>Shared claim-specific concepts:</w:t>
      </w:r>
      <w:r>
        <w:t xml:space="preserve"> order, meet, emissions, reduction; EU scope not established. This is a provisional connection, not an outcome finding.</w:t>
      </w:r>
    </w:p>
    <w:p>
      <w:pPr>
        <w:pStyle w:val="SourceNote"/>
      </w:pPr>
      <w:r>
        <w:rPr>
          <w:b/>
        </w:rPr>
        <w:t>Available abstract (not full text):</w:t>
      </w:r>
      <w:r>
        <w:t xml:space="preserve"> The aim of this study was to fulfill the NOx emissions standards for a light-duty diesel vehicle under real driving emissions (RDE) testing conditions by implementing various control strategies. In this study, RDE tests were performed by adjusting the air mass quantity and postinjection quantity in order to analyze engine-out and tail-pipe nitrogen oxides (NOx) emissions for different phases of RDE. The results showed that reducing in air mass quantity enabled the engine to operate in higher exhaust gas recirculation (EGR) rate regions, resulting in a 32.5% reduction in engine-out NOx emissions and an 80.4% decrease in tail-pipe NOx emissions. Increasing the postinjection quantity primarily enhanced the NOx conversion efficiency for the urban phase by 7.5%, leading to a 22.6% reduction in tail-pipe NOx emissions. By employing both strategies, vehicles can comfortably meet the CN6b emission regulations by a substantial margin.</w:t>
      </w:r>
    </w:p>
    <w:p>
      <w:pPr/>
      <w:r>
        <w:rPr>
          <w:b/>
        </w:rPr>
        <w:t>POSSIBLE 2023:</w:t>
      </w:r>
      <w:r>
        <w:t xml:space="preserve"> Emissions and energy impacts of the Inflation Reduction Act — https://doi.org/10.1126/science.adg3781</w:t>
      </w:r>
    </w:p>
    <w:p>
      <w:pPr/>
      <w:r>
        <w:rPr>
          <w:b/>
        </w:rPr>
        <w:t>Shared claim-specific concepts:</w:t>
      </w:r>
      <w:r>
        <w:t xml:space="preserve"> emissions, reduction, energy; EU scope not established. This is a provisional connection, not an outcome finding.</w:t>
      </w:r>
    </w:p>
    <w:p>
      <w:pPr>
        <w:pStyle w:val="SourceNote"/>
      </w:pPr>
      <w:r>
        <w:rPr>
          <w:b/>
        </w:rPr>
        <w:t>Available abstract (not full text):</w:t>
      </w:r>
      <w:r>
        <w:t xml:space="preserve"> Economy-wide emissions drop 43 to 48% below 2005 levels by 2035 with accelerated clean energy deployment.</w:t>
      </w:r>
    </w:p>
    <w:p>
      <w:pPr/>
      <w:r>
        <w:rPr>
          <w:b/>
        </w:rPr>
        <w:t>POSSIBLE 2023:</w:t>
      </w:r>
      <w:r>
        <w:t xml:space="preserve"> Maximum Permissible Transmission Line Loss to Meet a Target Gain for a Corporate-Fed Uniform Rectangular Array — https://doi.org/10.23919/ursigass57860.2023.10265660</w:t>
      </w:r>
    </w:p>
    <w:p>
      <w:pPr/>
      <w:r>
        <w:rPr>
          <w:b/>
        </w:rPr>
        <w:t>Shared claim-specific concepts:</w:t>
      </w:r>
      <w:r>
        <w:t xml:space="preserve"> order, meet, target, potential; EU scope not established. This is a provisional connection, not an outcome finding.</w:t>
      </w:r>
    </w:p>
    <w:p>
      <w:pPr>
        <w:pStyle w:val="SourceNote"/>
      </w:pPr>
      <w:r>
        <w:rPr>
          <w:b/>
        </w:rPr>
        <w:t>Available abstract (not full text):</w:t>
      </w:r>
      <w:r>
        <w:t xml:space="preserve"> Very low-loss transmission lines are often required at millimetre wavelengths in order to meet performance targets. Using printed circuit board technology, extremely low-loss transmission lines are often more expensive and riskier than standard options. The ability to determine the maximum permissible transmission line loss allows designers to choose potential transmission line structures, thereby helping make this critical design choice. These results establish the maximum permissible transmission line loss in order to meet a target gain of a corporate-fed antenna array for a given the average active element gain and power divider excess loss.</w:t>
      </w:r>
    </w:p>
    <w:p>
      <w:pPr/>
      <w:r>
        <w:rPr>
          <w:b/>
        </w:rPr>
        <w:t>POSSIBLE 2022:</w:t>
      </w:r>
      <w:r>
        <w:t xml:space="preserve"> Designing electric vehicle incentives to meet emission reduction targets — https://doi.org/10.1016/j.trd.2022.103320</w:t>
      </w:r>
    </w:p>
    <w:p>
      <w:pPr/>
      <w:r>
        <w:rPr>
          <w:b/>
        </w:rPr>
        <w:t>Shared claim-specific concepts:</w:t>
      </w:r>
      <w:r>
        <w:t xml:space="preserve"> meet, emissions, reduction; EU scope not established. This is a provisional connection, not an outcome finding.</w:t>
      </w:r>
    </w:p>
    <w:p>
      <w:pPr>
        <w:pStyle w:val="SourceNote"/>
      </w:pPr>
      <w:r>
        <w:rPr>
          <w:b/>
        </w:rPr>
        <w:t>Available abstract (not full text):</w:t>
      </w:r>
      <w:r>
        <w:t xml:space="preserve"> Electric vehicles are expected to reduce transportation emissions. We design and allocate rebates and charging infrastructure investments to induce electric vehicle adoption and achieve emission reduction targets. A nonlinear mixed-integer mathematical model is proposed to optimize the investment allocation over a planning horizon. Logistic functions describe the vehicle demand driven by capital and ownership costs and network externalities. A simulated annealing algorithm is used to solve the nonlinear programming problem that is applied using data representative of the United States market. Our analysis indicates that rebates should be provided earlier than chargers due to neighborhood effects of electric vehicle adoption and the minimization of expenditure; availability of home charging influences consumers choice and the drivers electrified travel distance; rebates are more effective for modest drivers while charging stations should be prioritized for frequent drivers; network externalities should be further investigated because of their impact on electric vehicle demand.</w:t>
      </w:r>
    </w:p>
    <w:p>
      <w:pPr/>
      <w:r>
        <w:rPr>
          <w:b/>
        </w:rPr>
        <w:t>POSSIBLE 2022:</w:t>
      </w:r>
      <w:r>
        <w:t xml:space="preserve"> Carbon emission of China’s power industry: driving factors and emission reduction path — https://doi.org/10.1007/s11356-022-21297-5</w:t>
      </w:r>
    </w:p>
    <w:p>
      <w:pPr/>
      <w:r>
        <w:rPr>
          <w:b/>
        </w:rPr>
        <w:t>Shared claim-specific concepts:</w:t>
      </w:r>
      <w:r>
        <w:t xml:space="preserve"> carbon, reduction; EU scope not established. This is a provisional connection, not an outcome finding.</w:t>
      </w:r>
    </w:p>
    <w:p>
      <w:pPr>
        <w:pStyle w:val="SourceNote"/>
      </w:pPr>
      <w:r>
        <w:rPr>
          <w:b/>
        </w:rPr>
        <w:t>Available abstract (not full text):</w:t>
      </w:r>
      <w:r>
        <w:t xml:space="preserve"> Unavailable</w:t>
      </w:r>
    </w:p>
    <w:p>
      <w:pPr/>
      <w:r>
        <w:rPr>
          <w:b/>
        </w:rPr>
        <w:t>POSSIBLE 2022:</w:t>
      </w:r>
      <w:r>
        <w:t xml:space="preserve"> Energy system transition pathways to meet the global electricity demand for ambitious climate targets and cost competitiveness — https://doi.org/10.1016/j.apenergy.2022.120401</w:t>
      </w:r>
    </w:p>
    <w:p>
      <w:pPr/>
      <w:r>
        <w:rPr>
          <w:b/>
        </w:rPr>
        <w:t>Shared claim-specific concepts:</w:t>
      </w:r>
      <w:r>
        <w:t xml:space="preserve"> meet, carbon, emissions, reduction, energy, system; EU scope not established. This is a provisional connection, not an outcome finding.</w:t>
      </w:r>
    </w:p>
    <w:p>
      <w:pPr>
        <w:pStyle w:val="SourceNote"/>
      </w:pPr>
      <w:r>
        <w:rPr>
          <w:b/>
        </w:rPr>
        <w:t>Available abstract (not full text):</w:t>
      </w:r>
      <w:r>
        <w:t xml:space="preserve"> This study presents a novel energy system modelling approach for the analysis and comparison of global energy transition pathways for the decarbonisation of the electricity sector. The results of the International Energy Agency (IEA), and the Teske/DLR scenarios are each reproduced. Additionally, five new energy transition trajectories, called LUT, are presented. The research examines the feasibility of each scenario across nine major regions in 5-year intervals, from 2015 to 2050, under a uniform modelling environment with identical technical and financial assumptions. The main differences between the energy transition paths are identified across: (1) the average electricity generation costs; (2) energy diversity; (3) system flexibility; (4) energy security; and, (5) transition dynamics. All LUT and Teske/DLR scenarios are transitioned to zero CO2 emissions and a 100% renewable energy system by 2050 at the latest. Results reveal that the LUT scenarios are the least-cost pathways, while the Teske/DLR scenarios are centred around energy diversity with slightly higher LCOE of around 10–20%. The IEA shares similarities with the Teske/DLR scenarios in terms of energy diversity yet depends on the continued use of fossil fuels with carbon capture and storage, and nuclear power. The IEA scenario based on current governmental policies presents a worst-case situation regarding CO2 emiss</w:t>
      </w:r>
    </w:p>
    <w:p>
      <w:pPr/>
      <w:r>
        <w:rPr>
          <w:b/>
        </w:rPr>
        <w:t>POSSIBLE 2021:</w:t>
      </w:r>
      <w:r>
        <w:t xml:space="preserve"> Negative-emissions technology portfolios to meet the 1.5 °C target — https://doi.org/10.1016/j.gloenvcha.2021.102238</w:t>
      </w:r>
    </w:p>
    <w:p>
      <w:pPr/>
      <w:r>
        <w:rPr>
          <w:b/>
        </w:rPr>
        <w:t>Shared claim-specific concepts:</w:t>
      </w:r>
      <w:r>
        <w:t xml:space="preserve"> meet, target, carbon, present; EU scope not established. This is a provisional connection, not an outcome finding.</w:t>
      </w:r>
    </w:p>
    <w:p>
      <w:pPr>
        <w:pStyle w:val="SourceNote"/>
      </w:pPr>
      <w:r>
        <w:rPr>
          <w:b/>
        </w:rPr>
        <w:t>Available abstract (not full text):</w:t>
      </w:r>
      <w:r>
        <w:t xml:space="preserve"> Our carbon-intensive economy has led to an average temperature rise of 1 °C since pre-industrial times. As a consequence, the world has seen increasing droughts, significant shrinking of the polar ice caps, and steady sea-level rise. To stall these issues’ worsening further, we must limit global warming to 1.5 °C. In addition to the economy’s decarbonization, this endeavour requires the use of negative-emissions technologies (NETs) that remove the main greenhouse gas, carbon dioxide, from the atmosphere. While techno-economic feasibility alone has driven the definition of negative-emissions solutions, NETs’ diverse, far-reaching implications demand a more holistic assessment. Here, we present a comprehensive framework, integrating NETs’ critical performance aspects of feasibility, effectiveness, and side impacts, to define the optimal technology mix within realistic outlooks. The resulting technology portfolios provide a useful new benchmark to compare carbon avoidance and removal measures and deliberately choose the best path to solve the climate emergency.</w:t>
      </w:r>
    </w:p>
    <w:p>
      <w:pPr>
        <w:pStyle w:val="Heading2"/>
      </w:pPr>
      <w:r>
        <w:t>945. Analytical support to foresighting EU roles as a Global Security Actor</w:t>
      </w:r>
    </w:p>
    <w:p>
      <w:pPr>
        <w:pStyle w:val="SourceNote"/>
      </w:pPr>
      <w:r>
        <w:rPr>
          <w:b/>
        </w:rPr>
        <w:t>Original source (2013):</w:t>
      </w:r>
      <w:r>
        <w:t xml:space="preserve"> https://doi.org/10.11610/isij.2902</w:t>
      </w:r>
    </w:p>
    <w:p>
      <w:pPr/>
      <w:r>
        <w:t>Original wording (abstract; indexed_source_text_not_full_document_verified): Making decisions on major investments, including investments in security research, requires good grasp of the future, which by definition is uncertain.This paper presents the analytical process, methods, and tools, including the DSTO Scenario Analysis Tool Suite, used in the elaboration and selection of a set of context scenarios and possible new roles for EU as a global actor based on the wider Petersberg tasks.Results of this exploratory process within the FP7 FOCUS project are intended to derive suggestions for the EU's security research planning.The conclusion emphasises the critical importance of providing rigorous analytical support, in particular when security foresight involves subject matter experts that are not part of a dedicated research team.</w:t>
      </w:r>
    </w:p>
    <w:p>
      <w:pPr/>
      <w:r>
        <w:rPr>
          <w:b/>
        </w:rPr>
        <w:t>POSSIBLE 2026:</w:t>
      </w:r>
      <w:r>
        <w:t xml:space="preserve"> Evaluation of the Structural Competitiveness of Major Container Ports in Europe Using a Hybrid Multi-Criteria Decision-Making Approach (CRITIC-TOPSIS-SAW) — https://doi.org/10.25295/fsecon.1850229</w:t>
      </w:r>
    </w:p>
    <w:p>
      <w:pPr/>
      <w:r>
        <w:rPr>
          <w:b/>
        </w:rPr>
        <w:t>Shared claim-specific concepts:</w:t>
      </w:r>
      <w:r>
        <w:t xml:space="preserve"> making, major, investments, methods; EU scope visible. This is a provisional connection, not an outcome finding.</w:t>
      </w:r>
    </w:p>
    <w:p>
      <w:pPr>
        <w:pStyle w:val="SourceNote"/>
      </w:pPr>
      <w:r>
        <w:rPr>
          <w:b/>
        </w:rPr>
        <w:t>Available abstract (not full text):</w:t>
      </w:r>
      <w:r>
        <w:t xml:space="preserve"> This study aims to evaluate the infrastructural competitiveness of Europe’s ten largest container ports using a quantitative approach and to identify the key infrastructure components that determine it. The study examines critical criteria such as quay length, maximum depth, number of cranes, terminal area, and annual capacity. Methodologically, a hybrid Multi-Criteria Decision Making (MCDM) approach was employed, incorporating CRITIC for the objective weighting of criteria and SAW and TOPSIS methods for ranking port performances. The findings revealed that the number of cranes (27.10%) and maximum depth (22.96%) were the most distinctive factors in the structural competitiveness of ports. According to the performance ranking, both SAW and TOPSIS results identified the ports of Antwerp-Bruges and Rotterdam as the top two ports with the strongest infrastructure in Europe. The high level of agreement obtained among different ranking methods indicates that the findings are consistent and robust in terms of sensitivity analysis. Moreover, this situation is also supported by the value of 0.9879 for the Spearman Rank Correlation Coefficient. Consequently, it is recommended that port authorities and decision-makers prioritize strategic investments not only in terms of physical space size but also in terms of crane capacity, which increases operational speed, and depth increases suitab</w:t>
      </w:r>
    </w:p>
    <w:p>
      <w:pPr/>
      <w:r>
        <w:rPr>
          <w:b/>
        </w:rPr>
        <w:t>POSSIBLE 2025:</w:t>
      </w:r>
      <w:r>
        <w:t xml:space="preserve"> Logistics Security in Transport and Decision-making Problems in the Management of European Satellite Resources in Space — https://doi.org/10.54740/ros.2025.063</w:t>
      </w:r>
    </w:p>
    <w:p>
      <w:pPr/>
      <w:r>
        <w:rPr>
          <w:b/>
        </w:rPr>
        <w:t>Shared claim-specific concepts:</w:t>
      </w:r>
      <w:r>
        <w:t xml:space="preserve"> major, security, process, context; EU scope visible. This is a provisional connection, not an outcome finding.</w:t>
      </w:r>
    </w:p>
    <w:p>
      <w:pPr>
        <w:pStyle w:val="SourceNote"/>
      </w:pPr>
      <w:r>
        <w:rPr>
          <w:b/>
        </w:rPr>
        <w:t>Available abstract (not full text):</w:t>
      </w:r>
      <w:r>
        <w:t xml:space="preserve"> The development of space technology and its widespread use for civilian and military purposes are increasing the importance of space for the functioning of modern states, in terms of their security. This article addresses the management of satellite systems in Europe, which underpin the functioning and conduct of business by European economies. The widespread use of satellite services, the use of data and products in the daily lives of citizens, the progress of civilization, and the rising standard of living have led society to become dependent on daily access to technologies and services based on satellite resources. Economic functioning, production, trade in goods and services, and industrial development all rely on space resources. Naturally, the growing importance of space usage has led to an increase in potential threats, both natural and human-induced, stemming from the use of space and the development of anti-satellite (ASAT) capabilities. In this context, ensuring logistical security is a major challenge for all stakeholders interested in using space for various purposes, such as navigation, Earth observation, and communications. This applies to all critical services, from component production and supply, through ground infrastructure, to the maintenance and replacement of orbital components. Environmental protection is an important aspect of replacing worn orbital comp</w:t>
      </w:r>
    </w:p>
    <w:p>
      <w:pPr/>
      <w:r>
        <w:rPr>
          <w:b/>
        </w:rPr>
        <w:t>POSSIBLE 2025:</w:t>
      </w:r>
      <w:r>
        <w:t xml:space="preserve"> Biomarkers for neurodegenerative diseases in regulatory decision‐making by the European Medicines Agency — https://doi.org/10.1002/trc2.70072</w:t>
      </w:r>
    </w:p>
    <w:p>
      <w:pPr/>
      <w:r>
        <w:rPr>
          <w:b/>
        </w:rPr>
        <w:t>Shared claim-specific concepts:</w:t>
      </w:r>
      <w:r>
        <w:t xml:space="preserve"> making, major, methods, tools, used, selection; EU scope visible. This is a provisional connection, not an outcome finding.</w:t>
      </w:r>
    </w:p>
    <w:p>
      <w:pPr>
        <w:pStyle w:val="SourceNote"/>
      </w:pPr>
      <w:r>
        <w:rPr>
          <w:b/>
        </w:rPr>
        <w:t>Available abstract (not full text):</w:t>
      </w:r>
      <w:r>
        <w:t xml:space="preserve"> INTRODUCTION: Biomarkers (BMs) are valuable tools to facilitate early diagnosis of (subtypes of) diseases, improve patient selection and stratification, and detect therapeutic effects or safety concerns. This study explores the extent to which BMs are utilized in the development of treatments for neurodegenerative diseases (NDDs), as well as topics of discussion regarding BMs in regulatory advice- and decision-making processes and sharing of BM-related data. METHODS: The European Medicines Agency's marketing authorization application (MAA), qualification (QA/QO), and scientific advice (SA) procedures regarding NDDs were screened, and those that mention BMs were analyzed. Data were extracted on the intended disease, BM type, and context of use proposed by applicants. BMs were categorized based on both nature and function. RESULTS: = 33). Imaging BMs were the most common type of BMs discussed, and most BMs were used as pharmacodynamic/response measures. The acceptance and role of BMs differed between AD, PD, MS, and other NDDs. In regulatory procedures for AD, for example, diagnostic BMs guiding patient selection were commonly discussed, whereas in MAAs for MS, imaging BMs (particularly lesions) were generally accepted as supportive/secondary endpoints. DISCUSSION: Despite the established role of certain BMs, mainly imaging BMs for MS, there remains a major need for more precise </w:t>
      </w:r>
    </w:p>
    <w:p>
      <w:pPr/>
      <w:r>
        <w:rPr>
          <w:b/>
        </w:rPr>
        <w:t>POSSIBLE 2024:</w:t>
      </w:r>
      <w:r>
        <w:t xml:space="preserve"> Decision-Making for Human Security in a Complex Crisis — https://doi.org/10.4324/9781003429173-1</w:t>
      </w:r>
    </w:p>
    <w:p>
      <w:pPr/>
      <w:r>
        <w:rPr>
          <w:b/>
        </w:rPr>
        <w:t>Shared claim-specific concepts:</w:t>
      </w:r>
      <w:r>
        <w:t xml:space="preserve"> decisions, security, used; EU scope not established. This is a provisional connection, not an outcome finding.</w:t>
      </w:r>
    </w:p>
    <w:p>
      <w:pPr>
        <w:pStyle w:val="SourceNote"/>
      </w:pPr>
      <w:r>
        <w:rPr>
          <w:b/>
        </w:rPr>
        <w:t>Available abstract (not full text):</w:t>
      </w:r>
      <w:r>
        <w:t xml:space="preserve"> This chapter is the introductory chapter to the book Human Security and Epidemics in Africa: Learning from COVID-19, Ebola and HIV and aims to discuss lessons learned within the framework of human security in Africa. In this chapter, the author identified the book’s central themes as reactivity, coordination, and collaboration and applied decision-making theory to human security. The themes are then used as a framework for analysis and reflection to discover the many lessons that can be learned from Africa on how to shape the future security environment of people living in Africa. A synopsis of chapters from various parts of Africa is then related to the main themes of reactivity, coordination, and collaboration to explain how the people of Africa dealt with and are still dealing with pandemics to secure the well-being of people. The book’s main findings are that in a globalised world, the reality of pandemics, political violence, and natural disasters will always be with us, and resilience is about developing networks and communities of inquiry that allow for personal learning beyond self-imposed boundaries and constraints and to participate in decisions in reaction to challenging circumstances.</w:t>
      </w:r>
    </w:p>
    <w:p>
      <w:pPr/>
      <w:r>
        <w:rPr>
          <w:b/>
        </w:rPr>
        <w:t>POSSIBLE 2023:</w:t>
      </w:r>
      <w:r>
        <w:t xml:space="preserve"> Risky decision-making in major depressive disorder: A three-level meta-analysis — https://doi.org/10.1016/j.ijchp.2023.100417</w:t>
      </w:r>
    </w:p>
    <w:p>
      <w:pPr/>
      <w:r>
        <w:rPr>
          <w:b/>
        </w:rPr>
        <w:t>Shared claim-specific concepts:</w:t>
      </w:r>
      <w:r>
        <w:t xml:space="preserve"> making, decisions, major; EU scope visible. This is a provisional connection, not an outcome finding.</w:t>
      </w:r>
    </w:p>
    <w:p>
      <w:pPr>
        <w:pStyle w:val="SourceNote"/>
      </w:pPr>
      <w:r>
        <w:rPr>
          <w:b/>
        </w:rPr>
        <w:t>Available abstract (not full text):</w:t>
      </w:r>
      <w:r>
        <w:t xml:space="preserve"> Individuals with major depressive disorder (MDD) are usually observed making inappropriate risky decisions. However, whether and to what extent MDD is associated with impairments in risky decision-making remains unclear. We performed a three-level meta-analysis to explore the relationship between risky decision-making and MDD. We searched the Web of Science, PubMed, Scopus, and PsycINFO databases up to February 7, 2023, and calculated Hedges' g to demonstrate the difference in risky decision-making between MDD patients and healthy controls (HCs). The moderating effect of sample and task characteristics were also revealed. Across 73 effect sizes in 39 cross-sectional studies, MDD patients exhibited greater risk-seeking than HCs (Hedges' g = 0.187, p = .030). Furthermore, age (p = .068), region (p = .005), and task type (p &lt; .001) were found to have moderating effects. Specifically, patients preferred risk-seeking over HCs as age increased. European patients showed significantly increased risk-seeking compared to American and Asian patients. Patients in the Iowa Gambling Task (IGT) exhibited a notable rise in risk-seeking compared to other tasks, along with an increased risk aversion in the Balloon Analogue Risk Task (BART). The multiple-moderator analysis showed that only task type had significant effects, which may be explained by a tentative framework of "operationalization-me</w:t>
      </w:r>
    </w:p>
    <w:p>
      <w:pPr/>
      <w:r>
        <w:rPr>
          <w:b/>
        </w:rPr>
        <w:t>POSSIBLE 2023:</w:t>
      </w:r>
      <w:r>
        <w:t xml:space="preserve"> Achieving Algorithmic Transparency and Managing Risks of Data Security when Making Decisions without Human Interference: Legal Approaches — https://doi.org/10.21202/jdtl.2023.42</w:t>
      </w:r>
    </w:p>
    <w:p>
      <w:pPr/>
      <w:r>
        <w:rPr>
          <w:b/>
        </w:rPr>
        <w:t>Shared claim-specific concepts:</w:t>
      </w:r>
      <w:r>
        <w:t xml:space="preserve"> making, decisions, including, security, methods; EU scope visible. This is a provisional connection, not an outcome finding.</w:t>
      </w:r>
    </w:p>
    <w:p>
      <w:pPr>
        <w:pStyle w:val="SourceNote"/>
      </w:pPr>
      <w:r>
        <w:rPr>
          <w:b/>
        </w:rPr>
        <w:t>Available abstract (not full text):</w:t>
      </w:r>
      <w:r>
        <w:t xml:space="preserve"> Objective: to compare modern approaches in law to the use of program codes and algorithms in decision-making that meet the principles of transparency and openness, as well as the increasingly stringent requirements for ensuring the security of personal and other big data obtained and processed algorithmically. Methods: the main methods for researching the principle of transparency in algorithmic decision-making were formal-legal and comparative analysis of legal acts and international standards of information security, as well as the principles and legal constructions contained in them. Results: it was determined that the development of information security standardization, inclusion in legal acts of requirements for the development of information technologies that comply with the principles of transparency and openness of applied algorithms will minimize the risks associated with the unlawful processing of users' big data and obtaining information about their privacy. Proposals were identified, related to the implementation of algorithmic transparency in the field of data processing legal regulation. Recommendations were formulated, based on which the legislator can solve the problem of ensuring the openness of the logic of information technology algorithms with regard to modern standards of information security. Scientific novelty: it consists in the substantiation of new tre</w:t>
      </w:r>
    </w:p>
    <w:p>
      <w:pPr/>
      <w:r>
        <w:rPr>
          <w:b/>
        </w:rPr>
        <w:t>POSSIBLE 2023:</w:t>
      </w:r>
      <w:r>
        <w:t xml:space="preserve"> THE IMPORTANCE OF MP’S PROFILE IN MAKING SECURITY DECISIONS — https://doi.org/10.20544/icp.8.1.23.p30</w:t>
      </w:r>
    </w:p>
    <w:p>
      <w:pPr/>
      <w:r>
        <w:rPr>
          <w:b/>
        </w:rPr>
        <w:t>Shared claim-specific concepts:</w:t>
      </w:r>
      <w:r>
        <w:t xml:space="preserve"> making, decisions, security, process, used; EU scope visible. This is a provisional connection, not an outcome finding.</w:t>
      </w:r>
    </w:p>
    <w:p>
      <w:pPr>
        <w:pStyle w:val="SourceNote"/>
      </w:pPr>
      <w:r>
        <w:rPr>
          <w:b/>
        </w:rPr>
        <w:t>Available abstract (not full text):</w:t>
      </w:r>
      <w:r>
        <w:t xml:space="preserve"> In today's world, security issues are an imperative and integral part of the public policies of the modern state and society.As a result of this reality, the profile and role of the Members of Parliament (MPs) in the legislature are constantly evolving.As the MPs have the authority to participate in decisions that directly impact citizen's rights, freedoms, and obligations it is essential for them to possess knowledge in security, defense, intelligence, terrorism, cyber attacks, and geopolitical challenges, in order to qualitatively perceive all aspects of specific issues when making decisions in this domain.Therefore, although there are many factors that influence the MP's decisions, an additional dilemma arises whether formal education, previous work experience, or involvement in security-related organizations would imply added value to the MP's role in the adoption process of more quality decisions in the field of security.This paper aims to compare the constitutional and legal position of the MPs in the Assembly of the Republic of North Macedonia and three member states of the European Union (the Republic of Croatia, the Republic of Slovenia, and the Republic of Italy) concerning their professional education and its impact on making quality decisions, especially in security matters.The normative method, the comparative method and the method of content analysis will be used </w:t>
      </w:r>
    </w:p>
    <w:p>
      <w:pPr/>
      <w:r>
        <w:rPr>
          <w:b/>
        </w:rPr>
        <w:t>POSSIBLE 2023:</w:t>
      </w:r>
      <w:r>
        <w:t xml:space="preserve"> Evolution of Pneumococcal Vaccine Recommendations and Criteria for Decision Making in 5 Western European Countries and the United States — https://doi.org/10.1177/23814683231174432</w:t>
      </w:r>
    </w:p>
    <w:p>
      <w:pPr/>
      <w:r>
        <w:rPr>
          <w:b/>
        </w:rPr>
        <w:t>Shared claim-specific concepts:</w:t>
      </w:r>
      <w:r>
        <w:t xml:space="preserve"> making, major, including, methods; EU scope visible. This is a provisional connection, not an outcome finding.</w:t>
      </w:r>
    </w:p>
    <w:p>
      <w:pPr>
        <w:pStyle w:val="SourceNote"/>
      </w:pPr>
      <w:r>
        <w:rPr>
          <w:b/>
        </w:rPr>
        <w:t>Available abstract (not full text):</w:t>
      </w:r>
      <w:r>
        <w:t xml:space="preserve"> Objectives: Pneumococcal vaccine recommendations have become increasingly complex. This study aims to understand how national immunization technical advisory groups (NITAGs) and health technology assessment (HTA) agencies of 5 European countries and the United States formed their pneumococcal vaccine recommendations, by providing reviewed evidence and key drivers for new recommendations. Methods: Centers for Disease Control and Prevention, European Centre for Disease Prevention and Control, and National Health Authorities Web sites were screened to capture the evolution of pneumococcal recommendations. A narrative review was conducted on NITAGs and HTA bodies' Web sites. Assessments of pneumococcal vaccines published from 2009 to 2022 were included. Results: Thirty-four records were identified including 21 assessments for risk groups, 17 for elderly, and 12 for children. Burden of disease and vaccine characteristics were almost systematically reviewed during assessments. All 6 countries recommended the use of higher-valent pneumococcal vaccine (PCV; i.e., PCV10 and PCV13) in childhood vaccination programs, given their broader serotype coverage and their comparable profile to PCV7. PCV13 was progressively added to the vaccine schedule (in addition to polysaccharide vaccine) in at least the high-risk group, given the high burden in this population and expected additional benefits</w:t>
      </w:r>
    </w:p>
    <w:p>
      <w:pPr/>
      <w:r>
        <w:rPr>
          <w:b/>
        </w:rPr>
        <w:t>POSSIBLE 2022:</w:t>
      </w:r>
      <w:r>
        <w:t xml:space="preserve"> Disclosures about algorithmic decision making in the corporate reports of Western European companies — https://doi.org/10.1016/j.accinf.2022.100596</w:t>
      </w:r>
    </w:p>
    <w:p>
      <w:pPr/>
      <w:r>
        <w:rPr>
          <w:b/>
        </w:rPr>
        <w:t>Shared claim-specific concepts:</w:t>
      </w:r>
      <w:r>
        <w:t xml:space="preserve"> making, major, tools; EU scope visible. This is a provisional connection, not an outcome finding.</w:t>
      </w:r>
    </w:p>
    <w:p>
      <w:pPr>
        <w:pStyle w:val="SourceNote"/>
      </w:pPr>
      <w:r>
        <w:rPr>
          <w:b/>
        </w:rPr>
        <w:t>Available abstract (not full text):</w:t>
      </w:r>
      <w:r>
        <w:t xml:space="preserve"> Over the last decade, the use of different artificial intelligence (AI) tools has increased. To shed some light on the emerging trend of AI disclosure, the aim of this paper is to analyse the current practices of major Western European companies regarding the automated decision-making (ADM) disclosure in their annual or sustainability reports. This paper proposes a methodology based on bigrams that enables the automatic extraction of the information on ADM that companies disclose. The sample consisted of 962 annual/sustainability reports, published in 2018 and 2019, of 337 companies listed on 13 Western European countries’ stock markets. Our findings show that ADM disclosure is still at an early stage and that the first adopters are mostly companies operating in the financial sector.</w:t>
      </w:r>
    </w:p>
    <w:p>
      <w:pPr/>
      <w:r>
        <w:rPr>
          <w:b/>
        </w:rPr>
        <w:t>POSSIBLE 2022:</w:t>
      </w:r>
      <w:r>
        <w:t xml:space="preserve"> Prospects for Valuation in Marine Decision Making in Europe — https://doi.org/10.15351/2373-8456.1150</w:t>
      </w:r>
    </w:p>
    <w:p>
      <w:pPr/>
      <w:r>
        <w:rPr>
          <w:b/>
        </w:rPr>
        <w:t>Shared claim-specific concepts:</w:t>
      </w:r>
      <w:r>
        <w:t xml:space="preserve"> making, investments, tools, possible; EU scope visible. This is a provisional connection, not an outcome finding.</w:t>
      </w:r>
    </w:p>
    <w:p>
      <w:pPr>
        <w:pStyle w:val="SourceNote"/>
      </w:pPr>
      <w:r>
        <w:rPr>
          <w:b/>
        </w:rPr>
        <w:t>Available abstract (not full text):</w:t>
      </w:r>
      <w:r>
        <w:t xml:space="preserve"> There is now high-level recognition that the UN Sustainable Development Goals can only be achieved if the decline of ecosystems and biodiversity can be halted and reversed. This will require effective control of ongoing pressures, meaningful protection and enforcement of protected areas, and significant investments in ecosystem restoration. This paper explores the possible use of economic valuation and appraisal in achieving these goals in marine systems and discusses the European marine policy instruments where they should have an important role The paper first briefly reviews the tools of economic valuation and appraisal for marine ecosystem management. A critique of the use of economic valuation and appraisal in marine conservation and restoration is then presented. The paper argues that while progress has been made there remains a pressing need for better integration of marine environmental values in policy processes. It also highlights the fact that the focus on natural capital accounting, and more generally on green/blue growth and market instruments, could create a reliance on exchange values at the expense of welfare values required for policy appraisal.</w:t>
      </w:r>
    </w:p>
    <w:p>
      <w:pPr/>
      <w:r>
        <w:rPr>
          <w:b/>
        </w:rPr>
        <w:t>POSSIBLE 2022:</w:t>
      </w:r>
      <w:r>
        <w:t xml:space="preserve"> Contribution of Real‐World Evidence in European Medicines Agency's Regulatory Decision Making — https://doi.org/10.1002/cpt.2766</w:t>
      </w:r>
    </w:p>
    <w:p>
      <w:pPr/>
      <w:r>
        <w:rPr>
          <w:b/>
        </w:rPr>
        <w:t>Shared claim-specific concepts:</w:t>
      </w:r>
      <w:r>
        <w:t xml:space="preserve"> making, decisions, requires; EU scope visible. This is a provisional connection, not an outcome finding.</w:t>
      </w:r>
    </w:p>
    <w:p>
      <w:pPr>
        <w:pStyle w:val="SourceNote"/>
      </w:pPr>
      <w:r>
        <w:rPr>
          <w:b/>
        </w:rPr>
        <w:t>Available abstract (not full text):</w:t>
      </w:r>
      <w:r>
        <w:t xml:space="preserve"> Real-world data/evidence (RWD/RWE) may provide insightful information on medicines' clinical effects to guide regulatory decisions. While its contribution has been recognized for safety monitoring and disease epidemiology across medicines' life cycles, using RWD/RWE to demonstrate efficacy requires further evaluation. This study aimed to (i) characterize RWD/RWE presented by applicants to support claims on medicines' efficacy within initial marketing authorization applications (MAAs) and extension of indication applications (EoIs), and (ii) analyze the contribution of RWD/RWE to regulatory decisions on medicines' benefit-risk profile. RWD/RWE was included to support efficacy in 32 MAAs and 14 EoIs submitted 2018-2019. Of these, RWD/RWE was part of the preauthorization package of 16 MAAs and 10 EoIs, and was (i) considered supporting the regulatory decision in 10 applications (five MAAs, five EoIs), (ii) considered not supporting the regulatory decision in 11 (seven MAAs, four EoIs), and (iii) not addressed at all in the evaluation of 5 applications (four MAAs, one EoI). Common limitations of submitted RWD/RWE included missing data, lack of representativeness of populations, small sample size, absence of an adequate or prespecified analysis plan, and risk of several types of bias. The suitability of RWD/RWE in a given application still requires a case-by-case analysis considerin</w:t>
      </w:r>
    </w:p>
    <w:p>
      <w:pPr/>
      <w:r>
        <w:rPr>
          <w:b/>
        </w:rPr>
        <w:t>POSSIBLE 2021:</w:t>
      </w:r>
      <w:r>
        <w:t xml:space="preserve"> European Resuscitation Council Guidelines 2021: Ethics of resuscitation and end of life decisions — https://doi.org/10.1016/j.resuscitation.2021.02.017</w:t>
      </w:r>
    </w:p>
    <w:p>
      <w:pPr/>
      <w:r>
        <w:rPr>
          <w:b/>
        </w:rPr>
        <w:t>Shared claim-specific concepts:</w:t>
      </w:r>
      <w:r>
        <w:t xml:space="preserve"> making, decisions, major; EU scope visible. This is a provisional connection, not an outcome finding.</w:t>
      </w:r>
    </w:p>
    <w:p>
      <w:pPr>
        <w:pStyle w:val="SourceNote"/>
      </w:pPr>
      <w:r>
        <w:rPr>
          <w:b/>
        </w:rPr>
        <w:t>Available abstract (not full text):</w:t>
      </w:r>
      <w:r>
        <w:t xml:space="preserve"> These European Resuscitation Council Ethics guidelines provide evidence-based recommendations for the ethical, routine practice of resuscitation and end-of-life care of adults and children. The guideline primarily focus on major ethical practice interventions (i.e. advance directives, advance care planning, and shared decision making), decision making regarding resuscitation, education, and research. These areas are tightly related to the application of the principles of bioethics in the practice of resuscitation and end-of-life care.</w:t>
      </w:r>
    </w:p>
    <w:p>
      <w:pPr>
        <w:pStyle w:val="Heading2"/>
      </w:pPr>
      <w:r>
        <w:t>946. Animal health aspects of adaptation to climate change: beating the heat and parasites in a warming Europe</w:t>
      </w:r>
    </w:p>
    <w:p>
      <w:pPr>
        <w:pStyle w:val="SourceNote"/>
      </w:pPr>
      <w:r>
        <w:rPr>
          <w:b/>
        </w:rPr>
        <w:t>Original source (2013):</w:t>
      </w:r>
      <w:r>
        <w:t xml:space="preserve"> https://doi.org/10.1017/s175173111300075x</w:t>
      </w:r>
    </w:p>
    <w:p>
      <w:pPr/>
      <w:r>
        <w:t>Original wording (abstract; indexed_source_text_not_full_document_verified): We investigate the direct and indirect effects of climate change on the epidemiology of important livestock pathogens, with a particular focus on parasitic infections, and the likely animal health consequences associated with selected adaptation options. Adaptation options aimed at taking advantage of new opportunities and/or minimising the risks of negative impacts will, in themselves, have implications for animal health and welfare.</w:t>
      </w:r>
    </w:p>
    <w:p>
      <w:pPr/>
      <w:r>
        <w:rPr>
          <w:b/>
        </w:rPr>
        <w:t>POSSIBLE 2026:</w:t>
      </w:r>
      <w:r>
        <w:t xml:space="preserve"> Epidemiology and Economic Burden of Sleep Disorders in Europe — https://doi.org/10.1111/ene.70463</w:t>
      </w:r>
    </w:p>
    <w:p>
      <w:pPr/>
      <w:r>
        <w:rPr>
          <w:b/>
        </w:rPr>
        <w:t>Shared claim-specific concepts:</w:t>
      </w:r>
      <w:r>
        <w:t xml:space="preserve"> direct, indirect, epidemiology, health, associated; EU scope visible. This is a provisional connection, not an outcome finding.</w:t>
      </w:r>
    </w:p>
    <w:p>
      <w:pPr>
        <w:pStyle w:val="SourceNote"/>
      </w:pPr>
      <w:r>
        <w:rPr>
          <w:b/>
        </w:rPr>
        <w:t>Available abstract (not full text):</w:t>
      </w:r>
      <w:r>
        <w:t xml:space="preserve"> BACKGROUND: Sleep and sleep disorders (SD) have a major impact on brain (neurological and psychiatric), body and societal health. Despite this, the epidemiological and economic burden of SD have not been sufficiently analyzed. This study investigates the epidemiology and costs of SD across 47 European countries and identifies knowledge gaps in the literature. METHODS: Systematic literature reviews on PubMed (between January 2010 and April 2023) and expert communications identified relevant epidemiological and cost-of-illness (COI) studies on five major SD: insomnia, obstructive sleep apnea (OSA), narcolepsy, restless legs syndrome (RLS), and REM sleep behavior disorder (RBD). Four epidemiological parameters, including prevalence, were investigated. Economic analyses stratified direct, indirect, and informal care costs, and employed an imputation procedure that accounts for several country-specific economic factors. Costs were expressed as purchasing power parity (PPP)-adjusted 2019 Euros. RESULTS: Eleven COI and six epidemiological studies were identified. Estimated prevalence for OSA, insomnia, RLS, narcolepsy, and RBD in the adult population was 18%, 10%, 3%, 0.03%, and 0.009%, respectively. Economic data were exclusively available for high-income Europe. OSA was the most costly SD (€184 billion), followed by insomnia (€158 billion), RLS (€79 billion), narcolepsy (€905 millio</w:t>
      </w:r>
    </w:p>
    <w:p>
      <w:pPr/>
      <w:r>
        <w:rPr>
          <w:b/>
        </w:rPr>
        <w:t>POSSIBLE 2025:</w:t>
      </w:r>
      <w:r>
        <w:t xml:space="preserve"> Direct and Indirect Regulations for Medical Devices in Europe and Germany — https://doi.org/10.1007/978-3-032-03577-6_14</w:t>
      </w:r>
    </w:p>
    <w:p>
      <w:pPr/>
      <w:r>
        <w:rPr>
          <w:b/>
        </w:rPr>
        <w:t>Shared claim-specific concepts:</w:t>
      </w:r>
      <w:r>
        <w:t xml:space="preserve"> direct, indirect, aimed; EU scope visible. This is a provisional connection, not an outcome finding.</w:t>
      </w:r>
    </w:p>
    <w:p>
      <w:pPr>
        <w:pStyle w:val="SourceNote"/>
      </w:pPr>
      <w:r>
        <w:rPr>
          <w:b/>
        </w:rPr>
        <w:t>Available abstract (not full text):</w:t>
      </w:r>
      <w:r>
        <w:t xml:space="preserve"> The regulation of medical devices plays a crucial role in ensuring the safety and efficacy of medical devices used daily in patient care. This chapter provides a comprehensive overview of the direct and indirect regulation of medical devices in Germany and Europe, focusing on the transition from the Medical Devices Directive (MDD) to the Medical Device Regulation (MDR) and the In Vitro Diagnostic Regulation (IVDR). It highlights the historical context, challenges faced, and the introduction of new regulations aimed at further enhancing safety, performance, and transparency. The chapter also discusses the current regulatory framework, key requirements, and the impact of broader European regulations such as REACH, RoHS, and GDPR on the medical device industry, as well as future developments.</w:t>
      </w:r>
    </w:p>
    <w:p>
      <w:pPr/>
      <w:r>
        <w:rPr>
          <w:b/>
        </w:rPr>
        <w:t>POSSIBLE 2024:</w:t>
      </w:r>
      <w:r>
        <w:t xml:space="preserve"> Distinct roles of direct and indirect electrification in pathways to a renewables-dominated European energy system — https://doi.org/10.1016/j.oneear.2024.01.015</w:t>
      </w:r>
    </w:p>
    <w:p>
      <w:pPr/>
      <w:r>
        <w:rPr>
          <w:b/>
        </w:rPr>
        <w:t>Shared claim-specific concepts:</w:t>
      </w:r>
      <w:r>
        <w:t xml:space="preserve"> direct, indirect, climate; EU scope visible. This is a provisional connection, not an outcome finding.</w:t>
      </w:r>
    </w:p>
    <w:p>
      <w:pPr>
        <w:pStyle w:val="SourceNote"/>
      </w:pPr>
      <w:r>
        <w:rPr>
          <w:b/>
        </w:rPr>
        <w:t>Available abstract (not full text):</w:t>
      </w:r>
      <w:r>
        <w:t xml:space="preserve"> Renewable electricity can facilitate climate change mitigation in the buildings, industry and transport sector via direct electrification or indirect electrification, that is, converting electricity to hydrogen-based fuels. While direct electrification is generally energy efficient, indirect electrification can partially build upon existing applications and infrastructure. However, their roles and relative importance have not been well researched in mitigation scenarios. Here, we derive plausible ranges for both strategies based on EU climate neutrality scenarios using the REMIND model. We find that by 2050 direct electrification is the dominant strategy with an electricity share of 42%–60% in final energy, while indirect electrification is necessary in hard-to-electrify sectors and contributes a share of 9%–26%. Our analysis highlights that policy makers should respect the distinct sectoral roles of both strategies by fostering an end-use transformation towards direct electrification while prioritizing hydrogen and synthetic fuels for applications where they are indispensable.</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investigate, direct, climate, health;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2024:</w:t>
      </w:r>
      <w:r>
        <w:t xml:space="preserve"> Direct and lagged climate change effects intensified the 2022 European drought — https://doi.org/10.1038/s41561-024-01559-2</w:t>
      </w:r>
    </w:p>
    <w:p>
      <w:pPr/>
      <w:r>
        <w:rPr>
          <w:b/>
        </w:rPr>
        <w:t>Shared claim-specific concepts:</w:t>
      </w:r>
      <w:r>
        <w:t xml:space="preserve"> direct, climate, likely, consequences, associated; EU scope visible. This is a provisional connection, not an outcome finding.</w:t>
      </w:r>
    </w:p>
    <w:p>
      <w:pPr>
        <w:pStyle w:val="SourceNote"/>
      </w:pPr>
      <w:r>
        <w:rPr>
          <w:b/>
        </w:rPr>
        <w:t>Available abstract (not full text):</w:t>
      </w:r>
      <w:r>
        <w:t xml:space="preserve"> Abstract In 2022, Europe faced an extensive summer drought with severe socio-economic consequences. By combining observations and climate model outputs with hydrological and land-surface simulations, we show that central and southern Europe experienced the highest observed total water storage deficit since satellite observations began in 2002, likely representing the highest and most widespread soil moisture deficit in the last six decades. While precipitation deficits primarily drove the soil moisture drought, human-induced global warming contributed to over 30% of the drought intensity and its spatial extent via enhancing evaporation. We identify that 14-41% of the climate change contribution was mediated by the warming that started to dry out the soil before the hydrological year 2022, indicating the importance of considering lagged effects of climate change to avoid underestimating associated risks. Qualitatively similar effects were observed in river discharges. These results highlight that global warming effects on droughts are already underway, widespread and long-lasting, and that drought risk may escalate with further human-induced warming in the future.</w:t>
      </w:r>
    </w:p>
    <w:p>
      <w:pPr/>
      <w:r>
        <w:rPr>
          <w:b/>
        </w:rPr>
        <w:t>POSSIBLE 2024:</w:t>
      </w:r>
      <w:r>
        <w:t xml:space="preserve"> The relationship between direct or indirect therapy and language profiles in children with developmental language disorder (DLD) across European countries — https://doi.org/10.1080/08856257.2024.2307281</w:t>
      </w:r>
    </w:p>
    <w:p>
      <w:pPr/>
      <w:r>
        <w:rPr>
          <w:b/>
        </w:rPr>
        <w:t>Shared claim-specific concepts:</w:t>
      </w:r>
      <w:r>
        <w:t xml:space="preserve"> investigate, direct, indirect, aimed; EU scope visible. This is a provisional connection, not an outcome finding.</w:t>
      </w:r>
    </w:p>
    <w:p>
      <w:pPr>
        <w:pStyle w:val="SourceNote"/>
      </w:pPr>
      <w:r>
        <w:rPr>
          <w:b/>
        </w:rPr>
        <w:t>Available abstract (not full text):</w:t>
      </w:r>
      <w:r>
        <w:t xml:space="preserve"> The present study aimed to investigate 1) whether country categories and type of DLD predict the type of therapy (direct, indirect, and mixed) the child receives, and 2) whether there is an association between country categories, type of therapy, and type of DLD (receptive, expressive, and mixed). European countries were categorised based on Sapir’s typology into Continental, AngloSaxon, Nordic and Mediterranean groups. A fifth group i.e. Central European (including Baltic countries) was added. The data to address these questions comes from an online survey, translated and adapted into 30 languages, and is based on reports by 4685 professionals delivering services for children with DLD. This survey was developed by the COST Action IS1406 members and distributed online among practitioners in the year 2017 across European countries. Results indicated that country categories and type of DLD predicted type of therapy. It was suggested that cultural and contextual factors might play a key role in driving clinical practice above and beyond language profiles, patient characteristics and evidence-based practice.</w:t>
      </w:r>
    </w:p>
    <w:p>
      <w:pPr/>
      <w:r>
        <w:rPr>
          <w:b/>
        </w:rPr>
        <w:t>POSSIBLE 2024:</w:t>
      </w:r>
      <w:r>
        <w:t xml:space="preserve"> Vulnerability of terrestrial vertebrate food webs to anthropogenic threats in Europe — https://doi.org/10.1111/gcb.17253</w:t>
      </w:r>
    </w:p>
    <w:p>
      <w:pPr/>
      <w:r>
        <w:rPr>
          <w:b/>
        </w:rPr>
        <w:t>Shared claim-specific concepts:</w:t>
      </w:r>
      <w:r>
        <w:t xml:space="preserve"> investigate, direct, indirect, climate, consequences, associated; EU scope visible. This is a provisional connection, not an outcome finding.</w:t>
      </w:r>
    </w:p>
    <w:p>
      <w:pPr>
        <w:pStyle w:val="SourceNote"/>
      </w:pPr>
      <w:r>
        <w:rPr>
          <w:b/>
        </w:rPr>
        <w:t>Available abstract (not full text):</w:t>
      </w:r>
      <w:r>
        <w:t xml:space="preserve"> Vertebrate species worldwide are currently facing significant declines in many populations. Although we have gained substantial knowledge about the direct threats that affect individual species, these threats only represent a fraction of the broader vertebrate threat profile, which is also shaped by species interactions. For example, threats faced by prey species can jeopardize the survival of their predators due to food resource scarcity. Yet, indirect threats arising from species interactions have received limited investigation thus far. In this study, we investigate the indirect consequences of anthropogenic threats on biodiversity in the context of European vertebrate food webs. We integrated data on trophic interactions among over 800 terrestrial vertebrates, along with their associated human-induced threats. We quantified and mapped the vulnerability of various components of the food web, including species, interactions, and trophic groups to six major threats: pollution, agricultural intensification, climate change, direct exploitation, urbanization, and invasive alien species and diseases. Direct exploitation and agricultural intensification were two major threats for terrestrial vertebrate food webs: affecting 34% and 31% of species, respectively, they threaten 85% and 69% of interactions in Europe. By integrating network ecology with threat impact assessments, our stu</w:t>
      </w:r>
    </w:p>
    <w:p>
      <w:pPr/>
      <w:r>
        <w:rPr>
          <w:b/>
        </w:rPr>
        <w:t>POSSIBLE 2023:</w:t>
      </w:r>
      <w:r>
        <w:t xml:space="preserve"> The Direct and Indirect Influences of Interrelated Regional-Level Sociodemographic Factors on Heat-Attributable Mortality in Europe: Insights for Adaptation Strategies — https://doi.org/10.1289/ehp11766</w:t>
      </w:r>
    </w:p>
    <w:p>
      <w:pPr/>
      <w:r>
        <w:rPr>
          <w:b/>
        </w:rPr>
        <w:t>Shared claim-specific concepts:</w:t>
      </w:r>
      <w:r>
        <w:t xml:space="preserve"> direct, indirect, climate, health, adaptation; EU scope visible. This is a provisional connection, not an outcome finding.</w:t>
      </w:r>
    </w:p>
    <w:p>
      <w:pPr>
        <w:pStyle w:val="SourceNote"/>
      </w:pPr>
      <w:r>
        <w:rPr>
          <w:b/>
        </w:rPr>
        <w:t>Available abstract (not full text):</w:t>
      </w:r>
      <w:r>
        <w:t xml:space="preserve"> BACKGROUND: Heat is a significant cause of mortality, but impact patterns are heterogenous. Previous studies assessing such heterogeneity focused exclusively on risk rather than heat-attributable mortality burdens and assume predictors are independent. OBJECTIVES: We assessed how four interrelated regional-level sociodemographic predictors-education, life expectancy, the ratio of older to younger people (aging index), and relative income-influence heterogeneity in heat-attributable mortality burdens in Europe and then derived insights into adaptation strategies. METHODS: We extracted four outcomes from a temperature-mortality study covering 16 European countries: the rate of increase in mortality risk at moderate and extreme temperatures (moderate and extreme slope, respectively), the minimum mortality temperature percentile (MMTP), and the underlying mortality rate. We used structural equation modeling with country-level random effects to quantify the direct and indirect influences of the predictors on the outcomes. RESULTS: ). Relative income had relatively small, mixed influences. DISCUSSION: Our novel approach provided insights into actions for reducing the health impacts of heat. First, the results show the interrelations between possible vulnerability-generating mechanisms and suggest future research directions. Second, the findings point to the need for a dual approach t</w:t>
      </w:r>
    </w:p>
    <w:p>
      <w:pPr/>
      <w:r>
        <w:rPr>
          <w:b/>
        </w:rPr>
        <w:t>POSSIBLE 2023:</w:t>
      </w:r>
      <w:r>
        <w:t xml:space="preserve"> An Investigation of Direct and Indirect Learning Strategies in Learning Foreign Languages — https://doi.org/10.6007/ijarbss/v13-i3/16492</w:t>
      </w:r>
    </w:p>
    <w:p>
      <w:pPr/>
      <w:r>
        <w:rPr>
          <w:b/>
        </w:rPr>
        <w:t>Shared claim-specific concepts:</w:t>
      </w:r>
      <w:r>
        <w:t xml:space="preserve"> investigate, direct, indirect, taking; EU scope not established. This is a provisional connection, not an outcome finding.</w:t>
      </w:r>
    </w:p>
    <w:p>
      <w:pPr>
        <w:pStyle w:val="SourceNote"/>
      </w:pPr>
      <w:r>
        <w:rPr>
          <w:b/>
        </w:rPr>
        <w:t>Available abstract (not full text):</w:t>
      </w:r>
      <w:r>
        <w:t xml:space="preserve"> Learning strategies are one of the multiple factors in accomplishing learners' objectives in acquiring a new language. Hence, the aim of this research is to investigate the strategies that language learners use during their language-learning process. The instrument for this quantitative research is a survey. It has three sections. The first section consists of 2 items on demographic profile, while the second section has 19 items on direct learning strategies. The last section has 22 items on indirect learning strategies. The respondents are 132 undergraduate students taking French as a third language at one of the public universities in Malaysia. The data collected from the respondents were then analyzed using SPSS. The findings show that rehearsal has the highest mean (3.8), but critical thinking has the lowest (3.5). The research also reveals that the help-seeking strategy has the highest mean (4.1), whereas the metacognitive self-regulation strategy has the lowest mean (3.5). From the correlation analysis, the research also indicates a significant association between direct and indirect strategies (r=.779**) and (p=.000). In other words, this research proves that there is a strong relationship between direct strategies (which consist of rehearsal, organization, elaboration and critical thinking strategies); and indirect strategies (metacognitive self-regulation and resource </w:t>
      </w:r>
    </w:p>
    <w:p>
      <w:pPr/>
      <w:r>
        <w:rPr>
          <w:b/>
        </w:rPr>
        <w:t>POSSIBLE 2023:</w:t>
      </w:r>
      <w:r>
        <w:t xml:space="preserve"> Changing State of the Climate System — https://doi.org/10.1017/9781009157896.004</w:t>
      </w:r>
    </w:p>
    <w:p>
      <w:pPr/>
      <w:r>
        <w:rPr>
          <w:b/>
        </w:rPr>
        <w:t>Shared claim-specific concepts:</w:t>
      </w:r>
      <w:r>
        <w:t xml:space="preserve"> indirect, climate, focus; EU scope not established. This is a provisional connection, not an outcome finding.</w:t>
      </w:r>
    </w:p>
    <w:p>
      <w:pPr>
        <w:pStyle w:val="SourceNote"/>
      </w:pPr>
      <w:r>
        <w:rPr>
          <w:b/>
        </w:rPr>
        <w:t>Available abstract (not full text):</w:t>
      </w:r>
      <w:r>
        <w:t xml:space="preserve"> Chapter 2 assesses observed large-scale changes in climate system drivers, key climate indicators and principal modes of variability. Chapter 3 considers model performance and detection/attribution, and Chapter 4 covers projections for a subset of these same indicators and modes of variability. Collectively, these chapters provide the basis for later chapters, which focus upon processes and regional changes. \nWithin Chapter 2, changes are assessed from in situ and remotely sensed data and products and from indirect evidence of longer-term changes based upon a diverse range of climate proxies. The time-evolving availability of observations and proxy information dictate the periods that can be assessed. Wherever possible, recent changes are assessed for their significance in a longer-term context, including target proxy periods, both in terms of mean state and rates of change.</w:t>
      </w:r>
    </w:p>
    <w:p>
      <w:pPr/>
      <w:r>
        <w:rPr>
          <w:b/>
        </w:rPr>
        <w:t>POSSIBLE 2023:</w:t>
      </w:r>
      <w:r>
        <w:t xml:space="preserve"> Climate Change Impacts on the Prevalence of Tick-Borne Diseases in Europe — https://doi.org/10.3390/environsciproc2023026018</w:t>
      </w:r>
    </w:p>
    <w:p>
      <w:pPr/>
      <w:r>
        <w:rPr>
          <w:b/>
        </w:rPr>
        <w:t>Shared claim-specific concepts:</w:t>
      </w:r>
      <w:r>
        <w:t xml:space="preserve"> climate, infections, health; EU scope visible. This is a provisional connection, not an outcome finding.</w:t>
      </w:r>
    </w:p>
    <w:p>
      <w:pPr>
        <w:pStyle w:val="SourceNote"/>
      </w:pPr>
      <w:r>
        <w:rPr>
          <w:b/>
        </w:rPr>
        <w:t>Available abstract (not full text):</w:t>
      </w:r>
      <w:r>
        <w:t xml:space="preserve"> Climate change (changes in temperature and weather patterns) plays a significant role in the outbreak of tick-borne diseases such as Lyme borreliosis (LB) disease and tick-borne encephalitis (TBE) in Europe. The prevalence of LB disease has increased lately and TBE, one of the most serious infections of the central nervous system, significantly affects public health. Changes in abiotic factors are the main determinants affecting their vectors. The warmer weather during winter has prolonged the extension of the period in which ticks are most active. Therefore, the increased risk of transmission of tick-borne diseases influenced by the climate conditions could be determined by advanced climate models.</w:t>
      </w:r>
    </w:p>
    <w:p>
      <w:pPr/>
      <w:r>
        <w:rPr>
          <w:b/>
        </w:rPr>
        <w:t>POSSIBLE 2022:</w:t>
      </w:r>
      <w:r>
        <w:t xml:space="preserve"> Direct and indirect effects of universities on European regional productivity — https://doi.org/10.1111/pirs.12698</w:t>
      </w:r>
    </w:p>
    <w:p>
      <w:pPr/>
      <w:r>
        <w:rPr>
          <w:b/>
        </w:rPr>
        <w:t>Shared claim-specific concepts:</w:t>
      </w:r>
      <w:r>
        <w:t xml:space="preserve"> direct, indirect; EU scope visible. This is a provisional connection, not an outcome finding.</w:t>
      </w:r>
    </w:p>
    <w:p>
      <w:pPr>
        <w:pStyle w:val="SourceNote"/>
      </w:pPr>
      <w:r>
        <w:rPr>
          <w:b/>
        </w:rPr>
        <w:t>Available abstract (not full text):</w:t>
      </w:r>
      <w:r>
        <w:t xml:space="preserve"> Universities are fundamental in driving economic performance as they generate human capital, research and knowledge diffusion. We propose a novel analysis by investigating their effects on European regions' total factor productivity (TFP) over the period 2000–2016. We distinguish between direct effects, due to universities societal role (“third mission”), and indirect ones originating from human and technological capital creation. Our contribution is threefold. First and foremost, we provide evidence that the presence of universities has a sizeable impact on regional TFP. Second, this impact spreads across regional boundaries. Third, universities effectively drive human and technological capital growth, thus indirectly fostering productivity enhancements.</w:t>
      </w:r>
    </w:p>
    <w:p>
      <w:pPr>
        <w:pStyle w:val="Heading2"/>
      </w:pPr>
      <w:r>
        <w:t>947. Application of the UK Foresight Obesity Model in Ireland: The Health and Economic Consequences of Projected Obesity Trends in Ireland</w:t>
      </w:r>
    </w:p>
    <w:p>
      <w:pPr>
        <w:pStyle w:val="SourceNote"/>
      </w:pPr>
      <w:r>
        <w:rPr>
          <w:b/>
        </w:rPr>
        <w:t>Original source (2013):</w:t>
      </w:r>
      <w:r>
        <w:t xml:space="preserve"> https://doi.org/10.1371/journal.pone.0079827</w:t>
      </w:r>
    </w:p>
    <w:p>
      <w:pPr/>
      <w:r>
        <w:t>Original wording (abstract; indexed_source_text_not_full_document_verified): The direct healthcare costs associated with these increases will amount to €5.4 billion by 2030. A 5% reduction in population BMI levels by 2030 is projected to result in €495 million less being spent in obesity-related direct healthcare costs over twenty years.</w:t>
      </w:r>
    </w:p>
    <w:p>
      <w:pPr/>
      <w:r>
        <w:rPr>
          <w:b/>
        </w:rPr>
        <w:t>POSSIBLE 2026:</w:t>
      </w:r>
      <w:r>
        <w:t xml:space="preserve"> Artificial Intelligence in European Healthcare — https://doi.org/10.1553/easac-feam_report_ai-in-healthcare_2026</w:t>
      </w:r>
    </w:p>
    <w:p>
      <w:pPr/>
      <w:r>
        <w:rPr>
          <w:b/>
        </w:rPr>
        <w:t>Shared claim-specific concepts:</w:t>
      </w:r>
      <w:r>
        <w:t xml:space="preserve"> healthcare, associated, population, levels; EU scope visible. This is a provisional connection, not an outcome finding.</w:t>
      </w:r>
    </w:p>
    <w:p>
      <w:pPr>
        <w:pStyle w:val="SourceNote"/>
      </w:pPr>
      <w:r>
        <w:rPr>
          <w:b/>
        </w:rPr>
        <w:t>Available abstract (not full text):</w:t>
      </w:r>
      <w:r>
        <w:t xml:space="preserve"> Artificial intelligence (AI)-assisted tools and systems are increasingly being applied and offer substantial potential for innovation across many scientific and societal fields.At the same time, appropriate policy guidance and regulation are crucial to ensure that the benefits of innovation are realised while effectively addressing the risks associated with implementing AI applications.Given this overall challenge of leveraging AI innovations for the benefit of society while simultaneously managing potential risks, AI developments in healthcare and public health bring specific opportunities, questions, and requirements.Therefore, with this report, the European Academies Science Advisory Council (EASAC) and the Federation of European Academies of Medicine (FEAM) aim to present a high-level, accessible overview of the opportunities and risks of AI systems in healthcare and focused recommendations.The intention is to assist European policy-makers -and other policy stakeholders -in promoting responsible innovation by formulating and implementing evidence-based policies, while ensuring appropriate methodological, ethical, security, and regulatory safeguards.The report therefore frames AI in healthcare as both an opportunity and a governance challenge.Its focus is on professional health and public-health uses of AI in Europe, including clinical care, population health, health-system </w:t>
      </w:r>
    </w:p>
    <w:p>
      <w:pPr/>
      <w:r>
        <w:rPr>
          <w:b/>
        </w:rPr>
        <w:t>POSSIBLE 2026:</w:t>
      </w:r>
      <w:r>
        <w:t xml:space="preserve"> Change in healthcare costs in Europe 2018–2023 (data report) — https://doi.org/10.3389/fpubh.2026.1774180</w:t>
      </w:r>
    </w:p>
    <w:p>
      <w:pPr/>
      <w:r>
        <w:rPr>
          <w:b/>
        </w:rPr>
        <w:t>Shared claim-specific concepts:</w:t>
      </w:r>
      <w:r>
        <w:t xml:space="preserve"> healthcare, associated, population, levels, over; EU scope visible. This is a provisional connection, not an outcome finding.</w:t>
      </w:r>
    </w:p>
    <w:p>
      <w:pPr>
        <w:pStyle w:val="SourceNote"/>
      </w:pPr>
      <w:r>
        <w:rPr>
          <w:b/>
        </w:rPr>
        <w:t>Available abstract (not full text):</w:t>
      </w:r>
      <w:r>
        <w:t xml:space="preserve"> The dynamics of healthcare expenditure are shaped by a complex interplay of demographic, social, and economic factors (1), as well as the specific organizational and funding structures of national health systems (2)(3)(4). While health spending in European Union (EU) nations has historically outpaced general economic growth, this trajectory has been subject to significant volatility, most notably during the financial crisis of 2008/09 (5-7) and, more recently, the global COVID-19 pandemic (8). The extent to which national economies were impacted by the SARS-CoV-2 crisis necessitated a substantial recalibration of health financing metrics, creating a divergence between health expenditure growth and economic production.The onset of the pandemic in early 2020 severely disrupted health systems across Europe (9). Although reductions in elective surgeries and hospitalizations initially lowered spending on non-COVID-19 care (10,11), the immediate necessity to expand treatment, testing, and diagnostic capacities introduced sharp upward pressure on total expenditure (12). This occurred simultaneously with a contraction in Gross Domestic Product (GDP) across almost every EU nation due to lockdowns and economic restrictions (13). Consequently, the average share of health spending in GDP rose significantly, increasing by 1 percentage point to 9.2% in 2020 across the EU.Beyond the immediate</w:t>
      </w:r>
    </w:p>
    <w:p>
      <w:pPr/>
      <w:r>
        <w:rPr>
          <w:b/>
        </w:rPr>
        <w:t>POSSIBLE 2026:</w:t>
      </w:r>
      <w:r>
        <w:t xml:space="preserve"> The impact of heat and cold events on direct, indirect, and intangible healthcare costs: a systematic review — https://doi.org/10.1007/s10198-026-01920-9</w:t>
      </w:r>
    </w:p>
    <w:p>
      <w:pPr/>
      <w:r>
        <w:rPr>
          <w:b/>
        </w:rPr>
        <w:t>Shared claim-specific concepts:</w:t>
      </w:r>
      <w:r>
        <w:t xml:space="preserve"> direct, healthcare, associated, million; EU scope not established. This is a provisional connection, not an outcome finding.</w:t>
      </w:r>
    </w:p>
    <w:p>
      <w:pPr>
        <w:pStyle w:val="SourceNote"/>
      </w:pPr>
      <w:r>
        <w:rPr>
          <w:b/>
        </w:rPr>
        <w:t>Available abstract (not full text):</w:t>
      </w:r>
      <w:r>
        <w:t xml:space="preserve"> BACKGROUND: Numerous studies have examined the effects of extreme temperatures on healthcare costs. However, most lack a detailed presentation of cost-related findings and often exclude cold-related effects. This systematic review provides a comprehensive overview of the economic burden associated with both heat- and cold-related temperature exposure. METHODS: Literature published between 2014 and 2024 in English or German was searched in Medline (via PubMed) and the Cochrane Library, supplemented by reference tracking and Internet searches. We included primary studies published in peer-reviewed journals. Two authors independently assessed eligibility and determined a methodological quality score for each included article. RESULTS: In total, 39 studies were included: 18 examined heat-related effects, another 18 analyzed combined heat- and cold-related effects, and 3 focused exclusively on cold-related effects. Furthermore, 18 studies focused on direct costs, 1 on indirect costs, 17 on intangible costs, and 3 on multiple cost types. Retrospective studies reported lower annual direct costs per 100,000 persons (mean €678,585; range €43,428–€2.06 million) than prospective studies (mean €1.13 million; range €14,433–€2.02 million). Indirect costs based on retrospective studies averaged €2,287 annually (range €72.75–€8,603), or 19.7 workdays lost per 100,000 persons. Intangible costs </w:t>
      </w:r>
    </w:p>
    <w:p>
      <w:pPr/>
      <w:r>
        <w:rPr>
          <w:b/>
        </w:rPr>
        <w:t>POSSIBLE 2025:</w:t>
      </w:r>
      <w:r>
        <w:t xml:space="preserve"> Comparative Analysis of Direct Costs of Cancer and Risk Factors in Europe — https://doi.org/10.24818/ejis.2025.03</w:t>
      </w:r>
    </w:p>
    <w:p>
      <w:pPr/>
      <w:r>
        <w:rPr>
          <w:b/>
        </w:rPr>
        <w:t>Shared claim-specific concepts:</w:t>
      </w:r>
      <w:r>
        <w:t xml:space="preserve"> direct, healthcare, associated; EU scope visible. This is a provisional connection, not an outcome finding.</w:t>
      </w:r>
    </w:p>
    <w:p>
      <w:pPr>
        <w:pStyle w:val="SourceNote"/>
      </w:pPr>
      <w:r>
        <w:rPr>
          <w:b/>
        </w:rPr>
        <w:t>Available abstract (not full text):</w:t>
      </w:r>
      <w:r>
        <w:t xml:space="preserve"> This study explores the direct costs and risk factors associated with cancer across European Union member states, emphasizing the economic and public health implications. A Cancer Risk Factors Index (CRFI) is developed to quantify and compare the impact of various determinants, including obesity, smoking, alcohol consumption, socioeconomic conditions, and pollution. Using data from Eurostat and other authoritative sources, we analyze the correlation between CRFI scores, healthcare expenditures, and cancer mortality rates. Results reveal significant disparities in cancer risk factors and healthcare investments across countries, with lower CRFI scores generally associated with higher healthcare spending and improved outcomes. The findings underscore the importance of comprehensive public health strategies and targeted interventions to address modifiable risk factors, reduce cancer-related mortality, and promote equitable healthcare access.</w:t>
      </w:r>
    </w:p>
    <w:p>
      <w:pPr/>
      <w:r>
        <w:rPr>
          <w:b/>
        </w:rPr>
        <w:t>POSSIBLE 2024:</w:t>
      </w:r>
      <w:r>
        <w:t xml:space="preserve"> Modelling costs of interventional pulmonary embolism treatment: implications of US trends for a European healthcare system — https://doi.org/10.1093/ehjacc/zuae019</w:t>
      </w:r>
    </w:p>
    <w:p>
      <w:pPr/>
      <w:r>
        <w:rPr>
          <w:b/>
        </w:rPr>
        <w:t>Shared claim-specific concepts:</w:t>
      </w:r>
      <w:r>
        <w:t xml:space="preserve"> healthcare, result, million; EU scope visible. This is a provisional connection, not an outcome finding.</w:t>
      </w:r>
    </w:p>
    <w:p>
      <w:pPr>
        <w:pStyle w:val="SourceNote"/>
      </w:pPr>
      <w:r>
        <w:rPr>
          <w:b/>
        </w:rPr>
        <w:t>Available abstract (not full text):</w:t>
      </w:r>
      <w:r>
        <w:t xml:space="preserve"> AIMS: Catheter-directed treatment (CDT) of acute pulmonary embolism (PE) is entering a growth phase in Europe following a steady increase in the USA in the past decade, but the potential economic impact on European healthcare systems remains unknown. METHODS AND RESULTS: We built two statistical models for the monthly trend of proportion of CDT among patients with severe (intermediate- or high-risk) PE in the USA. The conservative model was based on admission data from the National Inpatient Sample (NIS) 2016-20 and the model reflecting increasing access to advanced treatment from the PERT™ national quality assurance database registry 2018-21. By applying these models to the forecast of annual PE-related hospitalizations in Germany, we calculated the annual number of severe PE cases and the expected increase in CDT use for the period 2025-30. The NIS-based model yielded a slow increase, reaching 3.1% (95% confidence interval 3.0-3.2%) among all hospitalizations with PE in 2030; in the PERT-based model, increase would be steeper, reaching 8.7% (8.3-9.2%). Based on current reimbursement rates, we estimated an increase of annual costs for PE-related hospitalizations in Germany ranging from 15.3 to 49.8 million euros by 2030. This calculation does not account for potential cost savings, including those from reduced length of hospital stay. CONCLUSION: Our approach and results, whic</w:t>
      </w:r>
    </w:p>
    <w:p>
      <w:pPr/>
      <w:r>
        <w:rPr>
          <w:b/>
        </w:rPr>
        <w:t>POSSIBLE 2024:</w:t>
      </w:r>
      <w:r>
        <w:t xml:space="preserve"> Analysis of healthcare waste and factors affecting the amount of hazardous healthcare waste in a university hospital — https://doi.org/10.1007/s10163-024-01890-1</w:t>
      </w:r>
    </w:p>
    <w:p>
      <w:pPr/>
      <w:r>
        <w:rPr>
          <w:b/>
        </w:rPr>
        <w:t>Shared claim-specific concepts:</w:t>
      </w:r>
      <w:r>
        <w:t xml:space="preserve"> healthcare, amount, over; EU scope not established. This is a provisional connection, not an outcome finding.</w:t>
      </w:r>
    </w:p>
    <w:p>
      <w:pPr>
        <w:pStyle w:val="SourceNote"/>
      </w:pPr>
      <w:r>
        <w:rPr>
          <w:b/>
        </w:rPr>
        <w:t>Available abstract (not full text):</w:t>
      </w:r>
      <w:r>
        <w:t xml:space="preserve"> Abstract The ever-increasing amount of waste produced by the healthcare system is a growing burden worldwide. To effectively reduce waste, it is essential to know exactly what it is and to explore the factors influencing its amount. This study aims to analyze the amount of healthcare waste (HCW) and the change in that amount over time, as well as to explore and quantify the factors that influence hazardous healthcare waste (HHCW) in a university hospital. Descriptive statistical analysis, Spearman’s correlation and robust regression were performed to characterize the data. Our analysis revealed that the amount of HCW has been increased annually by 2.11%, and the generation rate ranges between 2.53 and 2.68 kg/bed/day. The amount of HHCW has increased by 20.19% over the 5-year period studied, with a generation rate varying between 1.13 and 1.31 kg/bed/day. It was found that surgical specialisms, anesthesiology and intensive care, and emergency patient care have higher rates of hazardous waste production. A significant positive correlation was found between the amount of hazardous waste and the incidence of healthcare-associated infections ( r = 0.704), and the number of diapers used by adults and children ( r = 0.555), whose significant predictive role was also confirmed by the robust regression.</w:t>
      </w:r>
    </w:p>
    <w:p>
      <w:pPr/>
      <w:r>
        <w:rPr>
          <w:b/>
        </w:rPr>
        <w:t>POSSIBLE 2024:</w:t>
      </w:r>
      <w:r>
        <w:t xml:space="preserve"> Costs of fracture-related infection: the impact on direct hospital costs and healthcare utilisation — https://doi.org/10.1007/s00068-024-02497-9</w:t>
      </w:r>
    </w:p>
    <w:p>
      <w:pPr/>
      <w:r>
        <w:rPr>
          <w:b/>
        </w:rPr>
        <w:t>Shared claim-specific concepts:</w:t>
      </w:r>
      <w:r>
        <w:t xml:space="preserve"> direct, healthcare, associated, reduction; EU scope visible. This is a provisional connection, not an outcome finding.</w:t>
      </w:r>
    </w:p>
    <w:p>
      <w:pPr>
        <w:pStyle w:val="SourceNote"/>
      </w:pPr>
      <w:r>
        <w:rPr>
          <w:b/>
        </w:rPr>
        <w:t>Available abstract (not full text):</w:t>
      </w:r>
      <w:r>
        <w:t xml:space="preserve"> PURPOSE: Fracture-Related Infection (FRI) is associated with high medical costs and prolonged healthcare utilization. However, limited data is available on the financial impact. The purpose of this study was to investigate the impact of FRI on direct hospital costs and healthcare utilization. METHODS: This was a retrospective cohort study in a level-1 trauma centre in the Netherlands. Patients ≥ 18 years, after open reduction and internal fixation of a long bone fracture between January 1st 2016 and November 1st 2021, were included. Exclusion criteria were Injury Severity Score (ISS) ≥ 16, indefinable data on costs or incomplete follow-up. Hospital costs related to fracture treatment were individually calculated based on procedure codes raised with a fixed percentage of overhead expenses, in line with hospital billing policies. RESULTS: In total, 246 patients were included with a median follow-up of 1 year (IQR 0.6-1.8). A total of 45 patients developed FRI, of whom 15 patients had an FRI recurrence. Compared to non-FRI patients, median hospital costs from an FRI patient without and with recurrence, were respectively three (3.1) and seven (7.6) times higher. Compared to non-FRI patients, increased costs in patients with FRI or recurrent FRI are due to respectively a fivefold or even tenfold prolonged length-of-stay, two or seven additional infection-related surgeries, and 21 or</w:t>
      </w:r>
    </w:p>
    <w:p>
      <w:pPr/>
      <w:r>
        <w:rPr>
          <w:b/>
        </w:rPr>
        <w:t>POSSIBLE 2024:</w:t>
      </w:r>
      <w:r>
        <w:t xml:space="preserve"> Differential healthcare direct costs of asthma and chronic rhinosinusitis with nasal polyps in Catalonia (Spain) — https://doi.org/10.4193/rhin24.147</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INTRODUCTION: This study compares the direct healthcare costs associated with asthma and chronic rhinosinusitis with nasal polyps (CRSwNP) from 2013 to 2017 in Catalonia (Spain) with a population control group without these conditions. METHODS: A population administrative database containing healthcare information was used. The database contained information on primary care, hospitalisations, and emergency care from 2013 to 2017 in Catalonia. The unit cost of each healthcare procedure was imputed using a complete list of public prices for primary care services, hospital, and speciality services. Differential costs were estimated using a finite mixture model. RESULTS: Individuals diagnosed with asthma or CRSwNP showed a higher incidence of comorbidities than the control group. Mean annual direct costs per patient were €1,102 for asthma, €1,612 for CRSwNP and €2,197 for those with both conditions. According to our estimations, differential costs were €162 - €274 for patients with asthma and €481 - €1,257 for patients with CRSwNP compared to the reference population. These costs were significantly higher when asthma and CRSwNP coexist and especially in their severe condition. CONCLUSION: This population-based study revealed that asthma and CRSwN are associated with great economic burdens for healthcare systems. These costs were significantly higher when comorbidity was present (as</w:t>
      </w:r>
    </w:p>
    <w:p>
      <w:pPr/>
      <w:r>
        <w:rPr>
          <w:b/>
        </w:rPr>
        <w:t>POSSIBLE 2024:</w:t>
      </w:r>
      <w:r>
        <w:t xml:space="preserve"> Direct healthcare costs of oral cancer: A retrospective study from a tertiary care center — https://doi.org/10.1016/j.jcms.2024.03.002</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The aim of this study was to retrospectively evaluate the direct costs of OSCC treatment and postsurgical surveillance in a tertiary hospital in northeast Italy. Sixty-three consecutive patients surgically treated for primitive OSCC at S. Orsola Hospital in Bologna (Italy) between January 2018 and January 2020 were analyzed. Billing records of the Emilia Romagna healthcare system and institutional costs were used to derive specific costs for the following clinical categories: operating theatre costs, intensive and ordinary hospitalization, radiotherapy, chemotherapy, postsurgical complications, visits, and examinations during the follow-up period. The study population comprised 17 OSCC patients classified at stage I, 14 at stage II, eight at stage III, and 24 at stage IV. The estimated mean total direct cost for OSCC treatment and postsurgical surveillance was €26 338.48 per patient (stage I: €10 733, stage II: €19 642.9, stage III: €30 361.4, stage IV: €39 957.2). An advanced diagnosis (stages III and IV), complex surgical procedure, and loco-regional recurrences resulted in variables that were significantly associated with a higher cost of OSCC treatment and postsurgical surveillance. Redirection of funds used for OSCC treatment to screening measures may be an effective strategy to improve overall health outcomes and optimize national health resources.</w:t>
      </w:r>
    </w:p>
    <w:p>
      <w:pPr/>
      <w:r>
        <w:rPr>
          <w:b/>
        </w:rPr>
        <w:t>POSSIBLE 2023:</w:t>
      </w:r>
      <w:r>
        <w:t xml:space="preserve"> DIRECT HOSPITAL COSTS PER CASE FOR PERIPROSTHETHIC HIP AND KNEE JOINT INFECTION IN EUROPE: A SYSTEMATIC REVIEW — https://doi.org/10.1302/1358-992x.2023.17.052</w:t>
      </w:r>
    </w:p>
    <w:p>
      <w:pPr/>
      <w:r>
        <w:rPr>
          <w:b/>
        </w:rPr>
        <w:t>Shared claim-specific concepts:</w:t>
      </w:r>
      <w:r>
        <w:t xml:space="preserve"> direct, healthcare, associated, population; EU scope visible. This is a provisional connection, not an outcome finding.</w:t>
      </w:r>
    </w:p>
    <w:p>
      <w:pPr>
        <w:pStyle w:val="SourceNote"/>
      </w:pPr>
      <w:r>
        <w:rPr>
          <w:b/>
        </w:rPr>
        <w:t>Available abstract (not full text):</w:t>
      </w:r>
      <w:r>
        <w:t xml:space="preserve"> Aim The number of periprosthetic joint infections (PJI) is increasing due to ageing population and increasing numbers of arthroplasty procedures and treatment is costly. Aim of the study was to analyze the direct healthcare costs of PJI in Europe for total hip arthroplasties (THA) and total knee arthroplasties (TKA). Method A systematic review in PubMed with search of direct costs of PJI in European countries was performed. Thereby the term cost* AND (infection OR PJI) AND (prosthesis OR knee OR hip OR “TKA” OR “THA” OR arthroplast*) was combined with each European country to detect relevant publications. Publications with definition of performed procedure and joint localization were included into further analysis. The mean value of direct healthcare cost was calculated for the respective joint and the respective operation performed. Results Screening revealed 1,274 eligible publications. After review of abstracts and full-texts n=11 manuscripts were included into final analysis (Figure 1). The mean combined direct hospital costs for revision for PJI after TKA and THA was 26,311€. Mean costs for revision procedures for PJI after TKA were 24,617€. Direct costs for TKA-PJI treated with debridement, antibiotics and implant retention (DAIR) were on average 10,121€. For two-stage revisions in knee arthroplasties total average costs were 30,829€. Referring to revision surgery for PJI</w:t>
      </w:r>
    </w:p>
    <w:p>
      <w:pPr/>
      <w:r>
        <w:rPr>
          <w:b/>
        </w:rPr>
        <w:t>POSSIBLE 2023:</w:t>
      </w:r>
      <w:r>
        <w:t xml:space="preserve"> Healthcare price transparency in North America and Europe — https://doi.org/10.1259/bjr.20230236</w:t>
      </w:r>
    </w:p>
    <w:p>
      <w:pPr/>
      <w:r>
        <w:rPr>
          <w:b/>
        </w:rPr>
        <w:t>Shared claim-specific concepts:</w:t>
      </w:r>
      <w:r>
        <w:t xml:space="preserve"> healthcare, result; EU scope visible. This is a provisional connection, not an outcome finding.</w:t>
      </w:r>
    </w:p>
    <w:p>
      <w:pPr>
        <w:pStyle w:val="SourceNote"/>
      </w:pPr>
      <w:r>
        <w:rPr>
          <w:b/>
        </w:rPr>
        <w:t>Available abstract (not full text):</w:t>
      </w:r>
      <w:r>
        <w:t xml:space="preserve"> Healthcare price transparency is an effort to inform patient decision-making, but also to decrease prices and their variation across healthcare systems for equivalent medical services. The initiative is meaningful only for medical services that are shoppable-such as imaging examinations-for which patients incur out-of-pocket costs. Therefore, several countries in which patients commonly share a portion of their healthcare costs have been implementing mandates to improve healthcare price transparency. However, the provisional implementation has many issues, especially in the United States, including provider non-compliance and limited accessibility of price transparency tools by the general public. Many of the existing tools are not user-friendly, are difficult to navigate, focus on charges and health plan negotiated rates rather than patients' out-of-pocket costs, and disclose prices on the service level instead of per episode of care. As such, the disclosed amounts are often not reliable. Many price transparency tools also lack valid and measurable quality metrics, which can result in a selection of high-cost care as a proxy for high-value care, as well as an increase in healthcare prices when providers want to imply they offer high-quality care. Nevertheless, the impact of the initiatives on patients' decision-making and healthcare costs remains unclear. While transparency in</w:t>
      </w:r>
    </w:p>
    <w:p>
      <w:pPr/>
      <w:r>
        <w:rPr>
          <w:b/>
        </w:rPr>
        <w:t>POSSIBLE 2023:</w:t>
      </w:r>
      <w:r>
        <w:t xml:space="preserve"> Direct healthcare costs of non-metastatic castration-resistant prostate cancer in Italy — https://doi.org/10.1017/s0266462322003336</w:t>
      </w:r>
    </w:p>
    <w:p>
      <w:pPr/>
      <w:r>
        <w:rPr>
          <w:b/>
        </w:rPr>
        <w:t>Shared claim-specific concepts:</w:t>
      </w:r>
      <w:r>
        <w:t xml:space="preserve"> direct, healthcare; EU scope visible. This is a provisional connection, not an outcome finding.</w:t>
      </w:r>
    </w:p>
    <w:p>
      <w:pPr>
        <w:pStyle w:val="SourceNote"/>
      </w:pPr>
      <w:r>
        <w:rPr>
          <w:b/>
        </w:rPr>
        <w:t>Available abstract (not full text):</w:t>
      </w:r>
      <w:r>
        <w:t xml:space="preserve"> OBJECTIVES: The management of non-metastatic castration-resistant prostate cancer (nmCRPC) is rapidly evolving; however, little is known about the direct healthcare costs of nmCRPC. We aimed to estimate the cost-of-illness (COI) of nmCRPC from the Italian National Health Service perspective. METHODS: Structured, individual qualitative interviews were carried out with clinical experts to identify what healthcare resources are consumed in clinical practice. To collect quantitative estimates of healthcare resource consumption, a structured expert elicitation was performed with clinical experts using a modified version of a previously validated interactive Excel-based tool, EXPLICIT (EXPert eLICItation Tool). For each parameter, experts were asked to provide the lowest, highest, and most likely value. Deterministic and probabilistic sensitivity analyses (PSA) were carried out to test the robustness of the results. RESULTS: Ten clinical experts were interviewed, and six of them participated in the expert elicitation exercise. According to the most likely estimate, the yearly cost per nmCRPC patient is €4,710 (range, €2,243 to €8,243). Diagnostic imaging (i.e., number/type of PET scans performed) had the highest impact on cost. The PSA showed a 50 percent chance for the yearly cost per nmCRPC patient to be within €5,048 using a triangular distribution for parameters, and similar resu</w:t>
      </w:r>
    </w:p>
    <w:p>
      <w:pPr>
        <w:pStyle w:val="Heading2"/>
      </w:pPr>
      <w:r>
        <w:t>948. Climate change, extreme weather events, air pollution and respiratory health in Europe</w:t>
      </w:r>
    </w:p>
    <w:p>
      <w:pPr>
        <w:pStyle w:val="SourceNote"/>
      </w:pPr>
      <w:r>
        <w:rPr>
          <w:b/>
        </w:rPr>
        <w:t>Original source (2013):</w:t>
      </w:r>
      <w:r>
        <w:t xml:space="preserve"> https://doi.org/10.1183/09031936.00074712</w:t>
      </w:r>
    </w:p>
    <w:p>
      <w:pPr/>
      <w:r>
        <w:t>Original wording (abstract; indexed_source_text_not_full_document_verified): Due to climate change and other factors, air pollution patterns are changing in several urbanised areas of the world, with a significant effect on respiratory health both independently and synergistically with weather conditions; climate scenarios show Europe as one of the most vulnerable regions.</w:t>
      </w:r>
    </w:p>
    <w:p>
      <w:pPr/>
      <w:r>
        <w:rPr>
          <w:b/>
        </w:rPr>
        <w:t>POSSIBLE 2026:</w:t>
      </w:r>
      <w:r>
        <w:t xml:space="preserve"> The temperature increase due to climate change will not favour Cydalima perspectalis in southern Europe — https://doi.org/10.1017/s0007485326100911</w:t>
      </w:r>
    </w:p>
    <w:p>
      <w:pPr/>
      <w:r>
        <w:rPr>
          <w:b/>
        </w:rPr>
        <w:t>Shared claim-specific concepts:</w:t>
      </w:r>
      <w:r>
        <w:t xml:space="preserve"> due, climate, patterns, conditions, show; EU scope visible. This is a provisional connection, not an outcome finding.</w:t>
      </w:r>
    </w:p>
    <w:p>
      <w:pPr>
        <w:pStyle w:val="SourceNote"/>
      </w:pPr>
      <w:r>
        <w:rPr>
          <w:b/>
        </w:rPr>
        <w:t>Available abstract (not full text):</w:t>
      </w:r>
      <w:r>
        <w:t xml:space="preserve"> Abstract Native boxwood across Europe has been destroyed by the invasive moth Cydalima perspectalis . To date, climatic conditions and natural enemies have not been able to contain the pests. Increases in temperature due to climate change (CC) may affect insect development and voltinism, with species-specific effects. Its spread across European countries indicates that the expansion of C. perspectalis is not limited by cold winters. However, in southern Europe, rising maximum temperatures can affect pests and their host plants. Despite this, the effects of high temperatures on herbivorous pests have been studied far less extensively than those of low temperatures. Our results show that elevated temperatures accelerate egg development but prolong larval development, reduce adult longevity and fertility, and substantially increase mortality across the egg, larval, and pupal stages. These findings indicate that spring–summer temperatures in the Mediterranean Basin are approaching the upper thermal limits of this species and that further warming is unlikely to facilitate its expansion in this region. Although high temperatures did not reduce diapause induction, they increased larval mortality, and field monitoring showed that altitude, more than thermal time, dominated the patterns of first-flight emergence. Habitat orientation (North or South) may further mediate pest–host coexist</w:t>
      </w:r>
    </w:p>
    <w:p>
      <w:pPr/>
      <w:r>
        <w:rPr>
          <w:b/>
        </w:rPr>
        <w:t>POSSIBLE 2026:</w:t>
      </w:r>
      <w:r>
        <w:t xml:space="preserve"> The obstacles and changes in Sino-European trade routes in the twenty-first century due to climate change and geopolitical risks — https://doi.org/10.1057/s41599-026-08607-9</w:t>
      </w:r>
    </w:p>
    <w:p>
      <w:pPr/>
      <w:r>
        <w:rPr>
          <w:b/>
        </w:rPr>
        <w:t>Shared claim-specific concepts:</w:t>
      </w:r>
      <w:r>
        <w:t xml:space="preserve"> due, climate, factors, areas; EU scope visible. This is a provisional connection, not an outcome finding.</w:t>
      </w:r>
    </w:p>
    <w:p>
      <w:pPr>
        <w:pStyle w:val="SourceNote"/>
      </w:pPr>
      <w:r>
        <w:rPr>
          <w:b/>
        </w:rPr>
        <w:t>Available abstract (not full text):</w:t>
      </w:r>
      <w:r>
        <w:t xml:space="preserve"> In the 21st century, global climate change and geopolitical risks are interconnected, presenting new challenges and influencing the trade dynamics between China and Europe. This paper investigates the effects of climate change and geopolitical risks on the trade route between China and Europe using bibliometric analysis and review. It seeks to identify potential trends in this trade path for the 21st century. Research indicates that, influenced by climate change and geopolitical factors, trade routes between China and Europe are transitioning from traditional single trade channels to multiple trade channels, such as the joint Arctic Northeast Passage and the China-Europe Railway Express. This process generates opportunities, including enhanced efficiency and stability in Sino-Europe trade, due to the development of new trade channels. However, it introduces difficulties, including unpredictability in climate change forecasts and weaknesses arising from geopolitical tensions. This compels China and Europe to take proactive measures. The melting of Arctic sea ice presents new commercial opportunities related to climate change. Consequently, the observed variations in navigable durations and ecological sensitivity have led China and Europe to implement proactive adaptation strategies. This includes collaborative ice monitoring networks and standardized green ship technology, desig</w:t>
      </w:r>
    </w:p>
    <w:p>
      <w:pPr/>
      <w:r>
        <w:rPr>
          <w:b/>
        </w:rPr>
        <w:t>POSSIBLE 2026:</w:t>
      </w:r>
      <w:r>
        <w:t xml:space="preserve"> The obstacles and changes in Sino-European trade routes in the twenty-first century due to climate change and geopolitical risks — https://doi.org/10.5281/zenodo.20018000</w:t>
      </w:r>
    </w:p>
    <w:p>
      <w:pPr/>
      <w:r>
        <w:rPr>
          <w:b/>
        </w:rPr>
        <w:t>Shared claim-specific concepts:</w:t>
      </w:r>
      <w:r>
        <w:t xml:space="preserve"> due, climate; EU scope visible. This is a provisional connection, not an outcome finding.</w:t>
      </w:r>
    </w:p>
    <w:p>
      <w:pPr>
        <w:pStyle w:val="SourceNote"/>
      </w:pPr>
      <w:r>
        <w:rPr>
          <w:b/>
        </w:rPr>
        <w:t>Available abstract (not full text):</w:t>
      </w:r>
      <w:r>
        <w:t xml:space="preserve"> Unavailable</w:t>
      </w:r>
    </w:p>
    <w:p>
      <w:pPr/>
      <w:r>
        <w:rPr>
          <w:b/>
        </w:rPr>
        <w:t>POSSIBLE 2026:</w:t>
      </w:r>
      <w:r>
        <w:t xml:space="preserve"> Extreme event attribution for heat-related mortality due to anthropogenic climate change across Europe — https://doi.org/10.1038/s44360-026-00193-z</w:t>
      </w:r>
    </w:p>
    <w:p>
      <w:pPr/>
      <w:r>
        <w:rPr>
          <w:b/>
        </w:rPr>
        <w:t>Shared claim-specific concepts:</w:t>
      </w:r>
      <w:r>
        <w:t xml:space="preserve"> due, climate, other, areas, significant, health; EU scope visible. This is a provisional connection, not an outcome finding.</w:t>
      </w:r>
    </w:p>
    <w:p>
      <w:pPr>
        <w:pStyle w:val="SourceNote"/>
      </w:pPr>
      <w:r>
        <w:rPr>
          <w:b/>
        </w:rPr>
        <w:t>Available abstract (not full text):</w:t>
      </w:r>
      <w:r>
        <w:t xml:space="preserve"> Heatwaves are intensifying under climate change and have become the leading cause of weather-related mortality in Europe. Here we present a novel methodology that combines extreme event attribution methods with epidemiological models to quantify how anthropogenic climate change has altered the likelihood of extreme heat-related mortality events in 34 European countries. We find that in Southern Europe, 2022-like heat-related mortality events were, on average, 26.5× more likely relative to the pre-industrial baseline, roughly ten times the European average. The probability of such events increases further as global warming intensifies, with the greatest, nonlinear increases occurring in Southern Europe. Our analysis reveals significant regional and demographic disparities in climate vulnerability, emphasizing the need for population-specific analyses to inform effective adaptation strategies, reducing the projected health burden. Unlike other approaches, our study demonstrates that using near-real-time, publicly available mortality data enables rapid health impact event attribution analyses across large areas. A method combining extreme event attribution with epidemiological models shows that extreme heat-related mortality events in Southern Europe are 26.5 times more likely than in pre-industrial times, with regional and demographic disparities.</w:t>
      </w:r>
    </w:p>
    <w:p>
      <w:pPr/>
      <w:r>
        <w:rPr>
          <w:b/>
        </w:rPr>
        <w:t>POSSIBLE 2025:</w:t>
      </w:r>
      <w:r>
        <w:t xml:space="preserve"> Assessing the Future Risk of Damage to European Cultural Heritage Due to Climate Change — https://doi.org/10.3390/heritage8050175</w:t>
      </w:r>
    </w:p>
    <w:p>
      <w:pPr/>
      <w:r>
        <w:rPr>
          <w:b/>
        </w:rPr>
        <w:t>Shared claim-specific concepts:</w:t>
      </w:r>
      <w:r>
        <w:t xml:space="preserve"> due, climate, significant, show; EU scope visible. This is a provisional connection, not an outcome finding.</w:t>
      </w:r>
    </w:p>
    <w:p>
      <w:pPr>
        <w:pStyle w:val="SourceNote"/>
      </w:pPr>
      <w:r>
        <w:rPr>
          <w:b/>
        </w:rPr>
        <w:t>Available abstract (not full text):</w:t>
      </w:r>
      <w:r>
        <w:t xml:space="preserve"> This study presents an integrated approach for assessing the risk of damage to cultural heritage due to climate change, applied to five selected European cultural sites. Future changes in climate parameters and indices associated with climate pressure on cultural heritage sites are analyzed using a set of EURO-CORDEX high-resolution Regional Climate Model (RCM) simulations under three different future emission scenarios (RCP2.6, RCP4.5, and RCP8.5). Our results are reported for three different time periods, 1971–2000 (reference period), and two future periods, 2021–2050 and 2071–2100. The aim of this study is to apply the Heritage Outdoor Microclimate (HMRout) and Predicted Risk of Damage (PRD) indices to quantify the risk of damage to inorganic materials resulting from future long-term changes in temperature and relative humidity (RH). Projections show a significant rise in temperature leading to increased HMRout values and higher heat stress across CH sites. The projected temperature increase results in a rise in HMRout index across all studied cultural heritage sites, with the rate of increase varying by period and scenario. Overall, as a result of the rising HMRout index, the predicted risk of damage to monuments made from inorganic materials due to heat stress is expected to increase. The PRD index is projected to increase by up to 87% in certain CH sites by the end of the</w:t>
      </w:r>
    </w:p>
    <w:p>
      <w:pPr/>
      <w:r>
        <w:rPr>
          <w:b/>
        </w:rPr>
        <w:t>POSSIBLE 2025:</w:t>
      </w:r>
      <w:r>
        <w:t xml:space="preserve"> Increased central and northern European summer heatwave intensity due to the forced changes in internal climate variability — https://doi.org/10.5194/egusphere-egu25-15386</w:t>
      </w:r>
    </w:p>
    <w:p>
      <w:pPr/>
      <w:r>
        <w:rPr>
          <w:b/>
        </w:rPr>
        <w:t>Shared claim-specific concepts:</w:t>
      </w:r>
      <w:r>
        <w:t xml:space="preserve"> due, climate, other, changing, significant, conditions; EU scope visible. This is a provisional connection, not an outcome finding.</w:t>
      </w:r>
    </w:p>
    <w:p>
      <w:pPr>
        <w:pStyle w:val="SourceNote"/>
      </w:pPr>
      <w:r>
        <w:rPr>
          <w:b/>
        </w:rPr>
        <w:t>Available abstract (not full text):</w:t>
      </w:r>
      <w:r>
        <w:t xml:space="preserve"> In the past two decades, the intensity of European summer heatwaves has strongly increased due to anthropogenic emissions and associated rising global mean temperatures. On the one hand, the anthropogenic forcing is causing an increase in European summer temperatures, shifting European summer temperature distributions towards warmer values and intensifying European summer heatwaves. On the other hand, the anthropogenic forcing is expected to affect the internal climate variability under global warming, changing the variability of European summer temperatures. While the effects of the forced changes in internal variability have been long debated for mean or maximum summer temperatures, the effects of the forced changes in internal variability on European summer heatwave intensity under increasing global warming levels remain unknown. Using four state-of-the-art global climate model large ensembles, we find that the forced changes in internal variability will intensify central and northern European summer heatwaves. In central and northern Europe, soil moisture is projected to decrease, leading to frequent moisture limitations, enhancing land-atmospheric feedback, and increasing heatwave intensity and variability. On the contrary, the forced changes in internal variability will weaken southern European summer heatwaves. Southern Europe is projected to face significant soil moistu</w:t>
      </w:r>
    </w:p>
    <w:p>
      <w:pPr/>
      <w:r>
        <w:rPr>
          <w:b/>
        </w:rPr>
        <w:t>POSSIBLE 2025:</w:t>
      </w:r>
      <w:r>
        <w:t xml:space="preserve"> Regional inequalities in air quality and health co-benefits due to climate change mitigation in the European electricity sector — https://doi.org/10.1007/s10584-024-03851-x</w:t>
      </w:r>
    </w:p>
    <w:p>
      <w:pPr/>
      <w:r>
        <w:rPr>
          <w:b/>
        </w:rPr>
        <w:t>Shared claim-specific concepts:</w:t>
      </w:r>
      <w:r>
        <w:t xml:space="preserve"> due, climate, air, health, vulnerable; EU scope visible. This is a provisional connection, not an outcome finding.</w:t>
      </w:r>
    </w:p>
    <w:p>
      <w:pPr>
        <w:pStyle w:val="SourceNote"/>
      </w:pPr>
      <w:r>
        <w:rPr>
          <w:b/>
        </w:rPr>
        <w:t>Available abstract (not full text):</w:t>
      </w:r>
      <w:r>
        <w:t xml:space="preserve"> Abstract Electricity supply transition to reach carbon neutrality in Europe is expected to bring air quality and health co-benefits, but their regional distribution has not been investigated in detail. This study quantifies these co-benefits for 250 European electricity scenarios in 2035 across 296 sub-national regions. The study links a spatially-explicit electricity sector model with an air quality and health impact model and then accounts for susceptibility and vulnerability of populations to adverse health effects. In case of low-carbon transition, direct PM2.5 concentrations attributable to European electricity generation in 2035 could be reduced by 45–99% compared to a system with the generation capacities of 2018. Depending on the system’s make-up, health co-benefits can vary significantly, as does their regional distribution. Focus on the minimum system costs leads to 15 times higher continent-wide excess deaths and to higher regional inequality than the scenario with minimum air pollutant emissions, which would almost entirely eliminate PM2.5-related mortality attributable to electricity generation. The most vulnerable regions (Balkans, Northern Germany, Southeast France, and the West Midlands in England) would benefit from higher air quality co-benefits than the continental average.</w:t>
      </w:r>
    </w:p>
    <w:p>
      <w:pPr/>
      <w:r>
        <w:rPr>
          <w:b/>
        </w:rPr>
        <w:t>POSSIBLE 2025:</w:t>
      </w:r>
      <w:r>
        <w:t xml:space="preserve"> EIP-AGRI Practice Abstract: A tool for identifying forest areas in Europe exposed to systematic stress due to climate change — https://doi.org/10.5281/zenodo.19743999</w:t>
      </w:r>
    </w:p>
    <w:p>
      <w:pPr/>
      <w:r>
        <w:rPr>
          <w:b/>
        </w:rPr>
        <w:t>Shared claim-specific concepts:</w:t>
      </w:r>
      <w:r>
        <w:t xml:space="preserve"> due, climate, areas; EU scope visible. This is a provisional connection, not an outcome finding.</w:t>
      </w:r>
    </w:p>
    <w:p>
      <w:pPr>
        <w:pStyle w:val="SourceNote"/>
      </w:pPr>
      <w:r>
        <w:rPr>
          <w:b/>
        </w:rPr>
        <w:t>Available abstract (not full text):</w:t>
      </w:r>
      <w:r>
        <w:t xml:space="preserve"> Forests are complex systems and their interaction with and response to climate change are very difficult to predict. Therefore, we use historical and current trends in forest biomass and productivity across Europe to identify areas at risk of natural disturbances or even forest loss.</w:t>
      </w:r>
    </w:p>
    <w:p>
      <w:pPr/>
      <w:r>
        <w:rPr>
          <w:b/>
        </w:rPr>
        <w:t>POSSIBLE 2025:</w:t>
      </w:r>
      <w:r>
        <w:t xml:space="preserve"> Increased Streamflow Intermittence in Europe Due To Climate Change Projected by Combining Global Hydrological Modeling and Machine Learning — https://doi.org/10.1029/2024ef005868</w:t>
      </w:r>
    </w:p>
    <w:p>
      <w:pPr/>
      <w:r>
        <w:rPr>
          <w:b/>
        </w:rPr>
        <w:t>Shared claim-specific concepts:</w:t>
      </w:r>
      <w:r>
        <w:t xml:space="preserve"> due, climate, both, conditions; EU scope visible. This is a provisional connection, not an outcome finding.</w:t>
      </w:r>
    </w:p>
    <w:p>
      <w:pPr>
        <w:pStyle w:val="SourceNote"/>
      </w:pPr>
      <w:r>
        <w:rPr>
          <w:b/>
        </w:rPr>
        <w:t>Available abstract (not full text):</w:t>
      </w:r>
      <w:r>
        <w:t xml:space="preserve"> Abstract Freshwater biodiversity and ecosystem services are under stress as climate change alters streamflow intermittence. We present the first continental‐scale quantification of future climate change impacts on streamflow intermittence, achieved for Europe at a high spatial resolution that captures headwater streams. A hybrid modeling approach combines physics‐based and data‐based modeling, with a random forest model, trained on historical streamflow observations, using predictors representing the impact of climate change on high‐resolution (500 m) streamflow. These predictors were derived from a low‐resolution (50 km) global hydrological model, WaterGAP, which was driven by the outputs of five global climate models. The generated monthly time series of intermittence status for over 1.5 million reaches were used to calculate five ecologically relevant indicators of streamflow intermittence change. In Europe, the number of non‐perennial reach‐months is projected to increase in the future, for both low (SSP1‐RCP2.6) and high (SSP5‐RCP8.5) greenhouse gas emissions scenarios, in almost all climate zones, particularly in August and September. Under SSP1‐RCP2.6, 3.8% of all reach‐months may experience no‐flow conditions in 2071–2100, only a small increase from 3.5% in 1985–2014. Under SSP5‐8.5, however, a larger increase to 4.8% of all reach‐months is expected; 2.8% of European re</w:t>
      </w:r>
    </w:p>
    <w:p>
      <w:pPr/>
      <w:r>
        <w:rPr>
          <w:b/>
        </w:rPr>
        <w:t>POSSIBLE 2024:</w:t>
      </w:r>
      <w:r>
        <w:t xml:space="preserve"> Groundwater stress in Europe—assessing uncertainties in future groundwater discharge alterations due to water abstractions and climate change — https://doi.org/10.3389/frwa.2024.1448625</w:t>
      </w:r>
    </w:p>
    <w:p>
      <w:pPr/>
      <w:r>
        <w:rPr>
          <w:b/>
        </w:rPr>
        <w:t>Shared claim-specific concepts:</w:t>
      </w:r>
      <w:r>
        <w:t xml:space="preserve"> due, climate, show; EU scope visible. This is a provisional connection, not an outcome finding.</w:t>
      </w:r>
    </w:p>
    <w:p>
      <w:pPr>
        <w:pStyle w:val="SourceNote"/>
      </w:pPr>
      <w:r>
        <w:rPr>
          <w:b/>
        </w:rPr>
        <w:t>Available abstract (not full text):</w:t>
      </w:r>
      <w:r>
        <w:t xml:space="preserve"> Groundwater sustains human well-being and ecosystems functioning. Many regions in Europe have experienced declining groundwater levels caused by decreasing groundwater recharge (GWR) or increasing groundwater abstractions (GWAs). These changes can lead to groundwater-related stress, threatening ecosystems and water supplies. Existing groundwater stress indicators estimate stress during a given period but do not address how stress changes or show the uncertainty of future stress. We propose a novel indicator of future groundwater stress (GWSI) due to changes in GWR and GWA and, thus, the alteration of long-term mean annual groundwater discharge (GWD). Groundwater stress is defined as any alteration in GWD since ecosystems are adapted to an equilibrium state. Focusing on decreasing GWD, which is generally more harmful than increasing GWD, we quantified the future GWSI in Europe by integrating scenarios of GWR and GWA in 2070–2099. GWR was evaluated using an ISIMIP2b multi-model ensemble of eight global hydrological models driven by the output of four global climate models under two greenhouse gas emission scenarios. GWA scenarios for irrigation, domestic and manufacturing sectors were combined with the GWR projections to generate an ensemble of GWSIs, simplified into three groundwater stress scenarios (high, intermediate, low). Projected GWSIs vary significantly among the scenari</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due, climate, other, effect, health, show;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Advanced mycotoxin control and decontamination techniques in view of an increased aflatoxin risk in Europe due to climate change — https://doi.org/10.3389/fmicb.2022.1085891</w:t>
      </w:r>
    </w:p>
    <w:p>
      <w:pPr/>
      <w:r>
        <w:rPr>
          <w:b/>
        </w:rPr>
        <w:t>Shared claim-specific concepts:</w:t>
      </w:r>
      <w:r>
        <w:t xml:space="preserve"> due, climate, factors, health, both; EU scope visible. This is a provisional connection, not an outcome finding.</w:t>
      </w:r>
    </w:p>
    <w:p>
      <w:pPr>
        <w:pStyle w:val="SourceNote"/>
      </w:pPr>
      <w:r>
        <w:rPr>
          <w:b/>
        </w:rPr>
        <w:t>Available abstract (not full text):</w:t>
      </w:r>
      <w:r>
        <w:t xml:space="preserve"> spp. found in staple food and feed commodities worldwide. Aflatoxins are carcinogenic, teratogenic, and mutagenic, and pose a serious threat to the health of both humans and animals. The global economy and trade are significantly affected as well. Various models and datasets related to aflatoxins in maize have been developed and used but have not yet been linked. The prevention of crop loss due to aflatoxin contamination is complex and challenging. Hence, the set-up of advanced decontamination is crucial to cope with the challenge of climate change, growing population, unstable political scenarios, and food security problems also in European countries. After harvest, decontamination methods can be applied during transport, storage, or processing, but their application for aflatoxin reduction is still limited. Therefore, this review aims to investigate the effects of environmental factors on aflatoxin production because of climate change and to critically discuss the present-day and novel decontamination techniques to unravel gaps and limitations to propose them as a tool to tackle an increased aflatoxin risk in Europe.</w:t>
      </w:r>
    </w:p>
    <w:p>
      <w:pPr>
        <w:pStyle w:val="Heading2"/>
      </w:pPr>
      <w:r>
        <w:t>949. Comments: The Long-Term Outlook</w:t>
      </w:r>
    </w:p>
    <w:p>
      <w:pPr>
        <w:pStyle w:val="SourceNote"/>
      </w:pPr>
      <w:r>
        <w:rPr>
          <w:b/>
        </w:rPr>
        <w:t>Original source (2013):</w:t>
      </w:r>
      <w:r>
        <w:t xml:space="preserve"> https://doi.org/10.2118/0113-0018-jpt</w:t>
      </w:r>
    </w:p>
    <w:p>
      <w:pPr/>
      <w:r>
        <w:t>Original wording (abstract; indexed_source_text_not_full_document_verified): Here are some of the significant findings from the report: Energy demand in developing nations will rise 65% by 2040, reflecting growing prosperity and expanding economies. ExxonMobil forecasts that global energy consumption will rise 35% by 2040, primarily in China and India.</w:t>
      </w:r>
    </w:p>
    <w:p>
      <w:pPr/>
      <w:r>
        <w:rPr>
          <w:b/>
        </w:rPr>
        <w:t>POSSIBLE 2025:</w:t>
      </w:r>
      <w:r>
        <w:t xml:space="preserve"> Still Here — https://doi.org/10.7146/ageculturehumanities.v8i.141931</w:t>
      </w:r>
    </w:p>
    <w:p>
      <w:pPr/>
      <w:r>
        <w:rPr>
          <w:b/>
        </w:rPr>
        <w:t>Shared claim-specific concepts:</w:t>
      </w:r>
      <w:r>
        <w:t xml:space="preserve"> here, significant, findings; EU scope not established. This is a provisional connection, not an outcome finding.</w:t>
      </w:r>
    </w:p>
    <w:p>
      <w:pPr>
        <w:pStyle w:val="SourceNote"/>
      </w:pPr>
      <w:r>
        <w:rPr>
          <w:b/>
        </w:rPr>
        <w:t>Available abstract (not full text):</w:t>
      </w:r>
      <w:r>
        <w:t xml:space="preserve"> Following the completion of a clinical research project assessing music therapy for home-dwelling people with dementia and their significant other, we developed an interactive photo exhibition, “Still here,” that was launched on World Alzheimer´s Day, September 21st, 2021, in the city center of Bergen. We aimed to communicate to the local citizens how music may facilitate experiences of positive identity and relational mutuality for people with dementia and their significant others. Stereotypes about loss and decline still characterize the mainstream discourse of dementia. Myths, misconceptions, and stigma are associated with dementia and have a significant impact on the people who live with the condition. We aimed to portray a different narrative of dementia to the public, a narrative of resilience and creative capacity—and, in so doing, to knowingly recuperate and communicate the idea of psychological resilience in contradistinction to the neoliberal constructions of this concept. We intended to reflect a perspective closer to how individuals describe or experience living with dementia. This paper tells the story of how the exhibition was developed to disseminate the findings of our research project, elaborating on the challenges current narratives on dementia present in our field and how the photographs became narrators of another story of dementia.</w:t>
      </w:r>
    </w:p>
    <w:p>
      <w:pPr/>
      <w:r>
        <w:rPr>
          <w:b/>
        </w:rPr>
        <w:t>POSSIBLE 2025:</w:t>
      </w:r>
      <w:r>
        <w:t xml:space="preserve"> Synonymous but Significant: New Findings of Pathological Variants in Hermansky–Pudlak Syndrome — https://doi.org/10.1111/pcmr.13221</w:t>
      </w:r>
    </w:p>
    <w:p>
      <w:pPr/>
      <w:r>
        <w:rPr>
          <w:b/>
        </w:rPr>
        <w:t>Shared claim-specific concepts:</w:t>
      </w:r>
      <w:r>
        <w:t xml:space="preserve"> here, significant, findings, expanding; EU scope not established. This is a provisional connection, not an outcome finding.</w:t>
      </w:r>
    </w:p>
    <w:p>
      <w:pPr>
        <w:pStyle w:val="SourceNote"/>
      </w:pPr>
      <w:r>
        <w:rPr>
          <w:b/>
        </w:rPr>
        <w:t>Available abstract (not full text):</w:t>
      </w:r>
      <w:r>
        <w:t xml:space="preserve"> Hermansky-Pudlak syndrome (HPS) is a rare autosomal recessive disorder characterized by oculocutaneous albinism and systemic complications, including bleeding tendencies. While 11 genes associated with HPS have been identified, cases of HPS5 remain exceedingly rare, particularly in Japan. Here, we report two Japanese patients with novel pathological HPS5 variants, expanding the genetic spectrum of this disorder. Both patients exhibited typical features of mild skin and hair hypopigmentation, and significant ocular involvement. Genetic analysis revealed a heterozygous nonsense variant, NG_008877.1 (NM_181507.2): c.2275G&gt;T, in both patients, inherited from their fathers. Additionally, maternal variants NG_008877.1 (NM_181507.2): c.2952-13G&gt;A and NG_008877.1 (NM_181507.2): c.1128A&gt;G were identified in patient 1 and patient 2, respectively. These variants, initially presumed non-pathogenic, were found to induce alternative splicing, leading to truncated protein production. Our findings highlight the functional importance of synonymous variants and their potential role in HPS. This report represents the first documented case of a synonymous pathogenic variant associated with HPS and underscores the need for comprehensive genetic and transcriptomic analyses in rare genetic disorders.</w:t>
      </w:r>
    </w:p>
    <w:p>
      <w:pPr/>
      <w:r>
        <w:rPr>
          <w:b/>
        </w:rPr>
        <w:t>POSSIBLE 2024:</w:t>
      </w:r>
      <w:r>
        <w:t xml:space="preserve"> Developing a relational approach to energy demand: A methodological and conceptual guide — https://doi.org/10.1016/j.erss.2024.103441</w:t>
      </w:r>
    </w:p>
    <w:p>
      <w:pPr/>
      <w:r>
        <w:rPr>
          <w:b/>
        </w:rPr>
        <w:t>Shared claim-specific concepts:</w:t>
      </w:r>
      <w:r>
        <w:t xml:space="preserve"> energy, developing, reflecting; EU scope not established. This is a provisional connection, not an outcome finding.</w:t>
      </w:r>
    </w:p>
    <w:p>
      <w:pPr>
        <w:pStyle w:val="SourceNote"/>
      </w:pPr>
      <w:r>
        <w:rPr>
          <w:b/>
        </w:rPr>
        <w:t>Available abstract (not full text):</w:t>
      </w:r>
      <w:r>
        <w:t xml:space="preserve"> In a recent review of research on the role of social relations in shaping energy demand, authors documented increasing interest in relational approaches to energy [1]. Relational approaches to energy conceive of human behaviour as produced and reproduced by social relations and interactions, placing relationships at the centre of inquiry, as well as understanding these relationships in the context of infrastructure and the built environment. In this paper, we build on a relational approach in new economic sociology, and on our research project about the social relations of energy retrofit, to offer a methodological and conceptual guide to those working on energy demand topics. We detail the ontological and epistemological starting points of our relational approach, and articulate how research can be designed to capture the role of social relations in shaping decision-making on energy, as well as to offer innovative insights for policy-makers and practitioners. We use our experience in a research project on energy retrofit as a case study, reflecting on the practical aspects of this research approach to provide suggestions for research design for those interested in doing similar work. This includes defining key concepts and the way they interact in a conceptual framework for a relational approach to energy. We also offer some conceptually driven research questions as a starting</w:t>
      </w:r>
    </w:p>
    <w:p>
      <w:pPr/>
      <w:r>
        <w:rPr>
          <w:b/>
        </w:rPr>
        <w:t>POSSIBLE 2023:</w:t>
      </w:r>
      <w:r>
        <w:t xml:space="preserve"> Energy Demand and Energy Efficiency in Developing Countries — https://doi.org/10.3390/en16031056</w:t>
      </w:r>
    </w:p>
    <w:p>
      <w:pPr/>
      <w:r>
        <w:rPr>
          <w:b/>
        </w:rPr>
        <w:t>Shared claim-specific concepts:</w:t>
      </w:r>
      <w:r>
        <w:t xml:space="preserve"> here, energy, developing; EU scope not established. This is a provisional connection, not an outcome finding.</w:t>
      </w:r>
    </w:p>
    <w:p>
      <w:pPr>
        <w:pStyle w:val="SourceNote"/>
      </w:pPr>
      <w:r>
        <w:rPr>
          <w:b/>
        </w:rPr>
        <w:t>Available abstract (not full text):</w:t>
      </w:r>
      <w:r>
        <w:t xml:space="preserve"> This paper investigates relative aggregate energy efficiency for a panel of 39 developing countries by econometrically estimating an energy-demand function (EDF) using the stochastic frontier analysis (SFA) approach to provide relative energy efficiency scores over the period 1989 to 2008. Energy efficiency is arguably difficult to define or even conceptualise with several interpretations in the literature but here it is based on an economists’ perspective of efficiency. Hence, the estimates of ‘true’ energy efficiency found in the paper using this approach approximate the economically efficient use of energy capturing both technical and allocative efficiency and the results confirm that energy intensity should not be considered as a de facto standard indicator of energy efficiency. While, by controlling for a range of socio-economic factors, the measurements of energy efficiency obtained by the analysis are deemed more appropriate and hence it is argued that this analysis should be undertaken to avoid potentially misleading advice to policy makers. This study contributes to the literature since it is, as far as is known, the first attempt to apply the benchmarking parametric stochastic frontier technique to econometrically estimate energy efficiency for a large panel of only developing counties around the world. Moreover, the results from such analysis are arguably particularl</w:t>
      </w:r>
    </w:p>
    <w:p>
      <w:pPr/>
      <w:r>
        <w:rPr>
          <w:b/>
        </w:rPr>
        <w:t>POSSIBLE 2023:</w:t>
      </w:r>
      <w:r>
        <w:t xml:space="preserve"> Energy Demand Forecasting and Optimizing Electric Systems for Developing Countries — https://doi.org/10.1109/access.2023.3250110</w:t>
      </w:r>
    </w:p>
    <w:p>
      <w:pPr/>
      <w:r>
        <w:rPr>
          <w:b/>
        </w:rPr>
        <w:t>Shared claim-specific concepts:</w:t>
      </w:r>
      <w:r>
        <w:t xml:space="preserve"> energy, developing, consumption; EU scope not established. This is a provisional connection, not an outcome finding.</w:t>
      </w:r>
    </w:p>
    <w:p>
      <w:pPr>
        <w:pStyle w:val="SourceNote"/>
      </w:pPr>
      <w:r>
        <w:rPr>
          <w:b/>
        </w:rPr>
        <w:t>Available abstract (not full text):</w:t>
      </w:r>
      <w:r>
        <w:t xml:space="preserve"> Currently, developing countries are experiencing a massive shift toward industrialization. Developing countries lack the technical sophistication and infrastructure to encourage low-carbon and sustainable economic growth because of weak public awareness, regulations, and technology. Developing countries must plan the industrialization process for maximum energy efficiency of production, thereby reducing their CO2emissions significantly by increasing energy efficiency. This paper attempts to review the current pragmatic methods for forecasting the future load demands from minutes to years ahead in developing countries, following the Preferred Reporting Items for Systematic review and Meta-Analysis Protocols (PRISMA-P). Our primary focus is to provide an optimal forecasting model selection strategy for potential researchers and forecasters. Based on the strengths and weaknesses of the different models, we will discuss the most suitable methods to tailor them to multiple applications and scenarios of load forecasting. The comparison elements are Forecast horizons, Spatio-temporal resolutions, factors affecting the load, different dimensional reduction techniques, model complexity analysis, and the MAPE for error analysis. From the results, We have found ANN hybridized with meta-heuristic techniques to be superior in most of the analysis cases. ANN’s ability to handle non-linear da</w:t>
      </w:r>
    </w:p>
    <w:p>
      <w:pPr/>
      <w:r>
        <w:rPr>
          <w:b/>
        </w:rPr>
        <w:t>POSSIBLE 2023:</w:t>
      </w:r>
      <w:r>
        <w:t xml:space="preserve"> Swarming self-adhesive microgels enabled aneurysm on-demand embolization in physiological blood flow — https://doi.org/10.1126/sciadv.adf9278</w:t>
      </w:r>
    </w:p>
    <w:p>
      <w:pPr/>
      <w:r>
        <w:rPr>
          <w:b/>
        </w:rPr>
        <w:t>Shared claim-specific concepts:</w:t>
      </w:r>
      <w:r>
        <w:t xml:space="preserve"> here, significant, rise; EU scope not established. This is a provisional connection, not an outcome finding.</w:t>
      </w:r>
    </w:p>
    <w:p>
      <w:pPr>
        <w:pStyle w:val="SourceNote"/>
      </w:pPr>
      <w:r>
        <w:rPr>
          <w:b/>
        </w:rPr>
        <w:t>Available abstract (not full text):</w:t>
      </w:r>
      <w:r>
        <w:t xml:space="preserve"> The recent rise of swarming microrobotics offers great promise in the revolution of minimally invasive embolization procedure for treating aneurysm. However, targeted embolization treatment of aneurysm using microrobots has significant challenges in the delivery capability and filling controllability. Here, we develop an interventional catheterization-integrated swarming microrobotic platform for aneurysm on-demand embolization in physiological blood flow. A pH-responsive self-healing hydrogel doped with magnetic and imaging agents is developed as the embolic microgels, which enables long-term self-adhesion under biological condition in a controllable manner. The embolization strategy is initiated by catheter-assisted deployment of swarming microgels, followed by the application of external magnetic field for targeted aggregation of microrobots into aneurysm sac under the real-time guidance of ultrasound and fluoroscopy imaging. Mild acidic stimulus is applied to trigger the welding of microgels with satisfactory bio-/hemocompatibility and physical stability and realize complete embolization. Our work presents a promising connection between the design and control of microrobotic swarms toward practical applications in dynamic environments.</w:t>
      </w:r>
    </w:p>
    <w:p>
      <w:pPr/>
      <w:r>
        <w:rPr>
          <w:b/>
        </w:rPr>
        <w:t>POSSIBLE 2021:</w:t>
      </w:r>
      <w:r>
        <w:t xml:space="preserve"> “They Belong Here” — https://doi.org/10.4103/cs.cs_13_21</w:t>
      </w:r>
    </w:p>
    <w:p>
      <w:pPr/>
      <w:r>
        <w:rPr>
          <w:b/>
        </w:rPr>
        <w:t>Shared claim-specific concepts:</w:t>
      </w:r>
      <w:r>
        <w:t xml:space="preserve"> here, significant, findings, growing; EU scope visible. This is a provisional connection, not an outcome finding.</w:t>
      </w:r>
    </w:p>
    <w:p>
      <w:pPr>
        <w:pStyle w:val="SourceNote"/>
      </w:pPr>
      <w:r>
        <w:rPr>
          <w:b/>
        </w:rPr>
        <w:t>Available abstract (not full text):</w:t>
      </w:r>
      <w:r>
        <w:t xml:space="preserve"> Reintegrating wolves in human-dominated landscapes constitutes a significant conservation challenge. After decades of studying human-wolf interactions through a conflict lens, there is growing recognition that more nuanced perspectives are needed. However, this recognition has hitherto yielded few practical changes, and few have studied what underpins successful coexistence. Here we show that disproportionate focus on and resource allocation to conflict within conservation programmes risks undermining existing convivial relationships with large carnivores. Using a coexistence lens, we studied human-wolf interactions in Sanabria-La Carballeda in Spain; the region has one of the highest densities of wolves in Europe. We explored the underlying social and ecological conditions that have permitted both wolves and people to persist in the area, studied the mutual impacts, and surveyed how interactions are influenced by broader socio-economic processes. The findings of this novel approach to studying human-wildlife interactions elucidates how areas of functional coexistence have been neglected in policy, leaving them vulnerable to depopulation, low agricultural profitability, and the loss of biocultural diversity. When institutions fail to support functional coexistence, we risk losing the knowledge, the traditions and the trust of those who have sustained Europe's large carnivores, </w:t>
      </w:r>
    </w:p>
    <w:p>
      <w:pPr/>
      <w:r>
        <w:rPr>
          <w:b/>
        </w:rPr>
        <w:t>POSSIBLE 2021:</w:t>
      </w:r>
      <w:r>
        <w:t xml:space="preserve"> A model of energy poverty and access: Estimating household electricity demand and appliance ownership — https://doi.org/10.1016/j.eneco.2021.105266</w:t>
      </w:r>
    </w:p>
    <w:p>
      <w:pPr/>
      <w:r>
        <w:rPr>
          <w:b/>
        </w:rPr>
        <w:t>Shared claim-specific concepts:</w:t>
      </w:r>
      <w:r>
        <w:t xml:space="preserve"> here, energy, developing, nations, rise; EU scope not established. This is a provisional connection, not an outcome finding.</w:t>
      </w:r>
    </w:p>
    <w:p>
      <w:pPr>
        <w:pStyle w:val="SourceNote"/>
      </w:pPr>
      <w:r>
        <w:rPr>
          <w:b/>
        </w:rPr>
        <w:t>Available abstract (not full text):</w:t>
      </w:r>
      <w:r>
        <w:t xml:space="preserve"> In countries that have a large share of population in energy poverty, appliance and electricity demand can be expected to rise. Approaches to estimate latent demand of energy poor populations often assume a constant income elasticity of demand. Here, we develop a novel simulation-based structural estimation approach to estimate responsiveness of electricity demand to income accounting for non-linearities, and considering other important drivers. We apply the model using micro-data for four developing nations to assess the implications of policy scenarios for achieving the Sustainable Development Goal SDG 7 under different socio-economic futures. We find that under scenarios that include policies to achieve universal access to electricity, total electricity demand is higher but the average per capita is lower than in no access policy futures. We also find that the level of adoption of electrical appliances varies significantly by country, appliance type, climate and income, with a high and stable share of electricity used for entertainment in all four countries and socio-economic futures. However, the share of electricity used for food preservation and preparation and clothes maintenance rises significantly with income as people are able to afford appliances that provide greater convenience. Our results confirm that as energy poor populations gain access to electricity services </w:t>
      </w:r>
    </w:p>
    <w:p>
      <w:pPr/>
      <w:r>
        <w:rPr>
          <w:b/>
        </w:rPr>
        <w:t>POSSIBLE 2020:</w:t>
      </w:r>
      <w:r>
        <w:t xml:space="preserve"> Demand for Crop Insurance in Developing Countries: New Evidence from India — https://doi.org/10.1111/1477-9552.12403</w:t>
      </w:r>
    </w:p>
    <w:p>
      <w:pPr/>
      <w:r>
        <w:rPr>
          <w:b/>
        </w:rPr>
        <w:t>Shared claim-specific concepts:</w:t>
      </w:r>
      <w:r>
        <w:t xml:space="preserve"> developing, india; EU scope not established. This is a provisional connection, not an outcome finding.</w:t>
      </w:r>
    </w:p>
    <w:p>
      <w:pPr>
        <w:pStyle w:val="SourceNote"/>
      </w:pPr>
      <w:r>
        <w:rPr>
          <w:b/>
        </w:rPr>
        <w:t>Available abstract (not full text):</w:t>
      </w:r>
      <w:r>
        <w:t xml:space="preserve"> Determining farmers' real demand for crop insurance is difficult, especially in developing countries, where there is a lack of formal financial sector integration and a high reliance on informal risk mitigation options. We provide some new estimates of farmers' willingness-to-pay for insurance in the context of a large-scale subsidised programme in India. We conducted a discrete choice experiment with agricultural households across four states in India, enabling us to estimate preferences for specific insurance policy attributes such as coverage period, method of loss assessment, timing of indemnity payments and the cost of insurance. Our results suggest that farmers do value crop insurance under certain conditions and some are willing to pay a premium for such coverage in excess of the subsidised rates they are currently required to pay under this programme. In particular, farmers value the assurances that they will receive timely payouts when they incur losses, and may not have a strong preference for the method with which losses are assessed. On the other hand, farmers are quite sensitive to coverage periods. Our baseline assessment shows that when optimised to farmer requirements, there can be a sizeable demand for crop insurance by developing country farmers.</w:t>
      </w:r>
    </w:p>
    <w:p>
      <w:pPr/>
      <w:r>
        <w:rPr>
          <w:b/>
        </w:rPr>
        <w:t>POSSIBLE 2020:</w:t>
      </w:r>
      <w:r>
        <w:t xml:space="preserve"> Smart Flexible Electronics‐Integrated Wound Dressing for Real‐Time Monitoring and On‐Demand Treatment of Infected Wounds — https://doi.org/10.1002/advs.201902673</w:t>
      </w:r>
    </w:p>
    <w:p>
      <w:pPr/>
      <w:r>
        <w:rPr>
          <w:b/>
        </w:rPr>
        <w:t>Shared claim-specific concepts:</w:t>
      </w:r>
      <w:r>
        <w:t xml:space="preserve"> here, developing; EU scope not established. This is a provisional connection, not an outcome finding.</w:t>
      </w:r>
    </w:p>
    <w:p>
      <w:pPr>
        <w:pStyle w:val="SourceNote"/>
      </w:pPr>
      <w:r>
        <w:rPr>
          <w:b/>
        </w:rPr>
        <w:t>Available abstract (not full text):</w:t>
      </w:r>
      <w:r>
        <w:t xml:space="preserve"> As the most frequent wound complication, infection has become a major clinical challenge in wound management. To overcome the "Black Box" status of the wound-healing process, next-generation wound dressings with the abilities of real-time monitoring, diagnosis during early stages, and on-demand therapy has attracted considerable attention. Here, by combining the emerging development of bioelectronics, a smart flexible electronics-integrated wound dressing with a double-layer structure, the upper layer of which is polydimethylsiloxane-encapsulated flexible electronics integrated with a temperature sensor and ultraviolet (UV) light-emitting diodes, and the lower layer of which is a UV-responsive antibacterial hydrogel, is designed. This dressing is expected to provide early infection diagnosis via real-time wound-temperature monitoring by the integrated sensor and on-demand infection treatment by the release of antibiotics from the hydrogel by in situ UV irradiation. The integrated system possesses good flexibility, excellent compatibility, and high monitoring sensitivity and durability. Animal experiment results demonstrate that the integrated system is capable of monitoring wound status in real time, detecting bacterial infection and providing effective treatment on the basis of need. This proof-of-concept research holds great promise in developing new strategies to significant</w:t>
      </w:r>
    </w:p>
    <w:p>
      <w:pPr/>
      <w:r>
        <w:rPr>
          <w:b/>
        </w:rPr>
        <w:t>POSSIBLE 2020:</w:t>
      </w:r>
      <w:r>
        <w:t xml:space="preserve"> Importance of General Physical Examination in Avoiding Oversight of Significant Clinical Findings — https://openalex.org/W3009573679</w:t>
      </w:r>
    </w:p>
    <w:p>
      <w:pPr/>
      <w:r>
        <w:rPr>
          <w:b/>
        </w:rPr>
        <w:t>Shared claim-specific concepts:</w:t>
      </w:r>
      <w:r>
        <w:t xml:space="preserve"> here, significant, findings; EU scope not established. This is a provisional connection, not an outcome finding.</w:t>
      </w:r>
    </w:p>
    <w:p>
      <w:pPr>
        <w:pStyle w:val="SourceNote"/>
      </w:pPr>
      <w:r>
        <w:rPr>
          <w:b/>
        </w:rPr>
        <w:t>Available abstract (not full text):</w:t>
      </w:r>
      <w:r>
        <w:t xml:space="preserve"> General Physical Examination skills are gradually fading away from clinical practice, ever since the advent of technological advancements. Bedside learning is shifting to classrooms, increasing the reliance on diagnostic reports and decreasing the quality of personalised medical care. An efficient clinical examination is essential in all medicos, from medical students to practising doctors to avoid missed or delayed diagnosis or treatment. Here, we present the case of a patient of pilonidal sinus in whom a large hairy mole was initially missed due to omission of proper GPE.</w:t>
      </w:r>
    </w:p>
    <w:p>
      <w:pPr/>
      <w:r>
        <w:rPr>
          <w:b/>
        </w:rPr>
        <w:t>POSSIBLE 2019:</w:t>
      </w:r>
      <w:r>
        <w:t xml:space="preserve"> Travel demand modeling for developing countries — https://doi.org/10.25669/e9jn-xt5w</w:t>
      </w:r>
    </w:p>
    <w:p>
      <w:pPr/>
      <w:r>
        <w:rPr>
          <w:b/>
        </w:rPr>
        <w:t>Shared claim-specific concepts:</w:t>
      </w:r>
      <w:r>
        <w:t xml:space="preserve"> significant, developing, primarily; EU scope not established. This is a provisional connection, not an outcome finding.</w:t>
      </w:r>
    </w:p>
    <w:p>
      <w:pPr>
        <w:pStyle w:val="SourceNote"/>
      </w:pPr>
      <w:r>
        <w:rPr>
          <w:b/>
        </w:rPr>
        <w:t>Available abstract (not full text):</w:t>
      </w:r>
      <w:r>
        <w:t xml:space="preserve"> The transportation planning process or travel demand forecasting process which is most commonly used at present, called the Urban Transportation Planning Process (UTPP), has its origins in studies performed about three decades ago in urban areas in the United States. This conventional planning process was designed primarily for the western/developed world where affordability and accessibility to a personal automobile is a common feature; The UTPP based models used in forecasting future travel demand rely heavily on socio-economic variables that are associated with an individual's propensity to travel. The socio-economic environments in the developing and the under-developed world are different from that prevailing in the developed world. Many urban areas in the third-world contain a mix of ethnic groups or households with structural differences in income and social characteristics. Thus, a direct application of the methodology of the UTPP may not be relevant to developing countries in third world settings; The main objectives of this research are to study the travel characteristics and sensitivity of key factors affecting travel demand of the people in the third world and to develop a framework that allows for the treatment of different groups based on one or more socio-economic features, such as income, household size etc; Trip generation models are developed to study the trav</w:t>
      </w:r>
    </w:p>
    <w:p>
      <w:pPr>
        <w:pStyle w:val="Heading2"/>
      </w:pPr>
      <w:r>
        <w:t>950. Constructing Resilient Futures: Integrating UK multi-stakeholder transport and energy resilience for 2050</w:t>
      </w:r>
    </w:p>
    <w:p>
      <w:pPr>
        <w:pStyle w:val="SourceNote"/>
      </w:pPr>
      <w:r>
        <w:rPr>
          <w:b/>
        </w:rPr>
        <w:t>Original source (2013):</w:t>
      </w:r>
      <w:r>
        <w:t xml:space="preserve"> https://doi.org/10.1016/j.futures.2013.04.003</w:t>
      </w:r>
    </w:p>
    <w:p>
      <w:pPr/>
      <w:r>
        <w:t>Original wording (abstract; indexed_source_text_not_full_document_verified): The 2005 terrorist attacks in London and 2007 flooding throughout the UK revealed the shortcomings of the UK Government approach of ‘governing through resilience’ in practice: low levels of stakeholder co-ordination, lack of understanding about critical infrastructure interdependencies, and little attention to long-term adaptation. Starting with a detailed analysis of extant futures studies, scenarios were combined with episodes in order to both draw stakeholders out of their institutional contexts by setting the exercise in the future and to elicit participant responses during future crisis events.</w:t>
      </w:r>
    </w:p>
    <w:p>
      <w:pPr/>
      <w:r>
        <w:rPr>
          <w:b/>
        </w:rPr>
        <w:t>POSSIBLE 2025:</w:t>
      </w:r>
      <w:r>
        <w:t xml:space="preserve"> Online Interest in Radical Islam and Terrorist Attacks — https://doi.org/10.1515/peps-2024-0054</w:t>
      </w:r>
    </w:p>
    <w:p>
      <w:pPr/>
      <w:r>
        <w:rPr>
          <w:b/>
        </w:rPr>
        <w:t>Shared claim-specific concepts:</w:t>
      </w:r>
      <w:r>
        <w:t xml:space="preserve"> terrorist, attacks, attention; EU scope not established. This is a provisional connection, not an outcome finding.</w:t>
      </w:r>
    </w:p>
    <w:p>
      <w:pPr>
        <w:pStyle w:val="SourceNote"/>
      </w:pPr>
      <w:r>
        <w:rPr>
          <w:b/>
        </w:rPr>
        <w:t>Available abstract (not full text):</w:t>
      </w:r>
      <w:r>
        <w:t xml:space="preserve"> Abstract This study investigates the link between terrorist attacks and public interest in radical Islam and violent extremism, using monthly data from 150 countries between 2004 and 2015. Employing a dynamic common correlated effects (DCCE) estimator to account for potential cross-country correlations, our analysis reveals that attacks carried out in the name of Islam significantly drive online searches for sensitive keywords. Specifically, terms suggesting violent actions, such as “beheadings,” and explicitly jihad-related terms show stronger correlations, indicating heightened interest in the terrorists’ actions and messages. Our findings suggest that terrorist attacks not only occur in areas where public attention to terrorism is already heightened but also intensify interest in violent extremism within those regions. This amplification may contribute to terrorists’ objectives by increasing the public visibility they seek.</w:t>
      </w:r>
    </w:p>
    <w:p>
      <w:pPr/>
      <w:r>
        <w:rPr>
          <w:b/>
        </w:rPr>
        <w:t>POSSIBLE 2025:</w:t>
      </w:r>
      <w:r>
        <w:t xml:space="preserve"> PREVENTION OF TERRORIST ATTACKS ON CRITICAL INFRASTRUCTURE ON THE EXAMPLE OF AN AIRPORT — https://doi.org/10.29119/1641-3466.2025.216.13</w:t>
      </w:r>
    </w:p>
    <w:p>
      <w:pPr/>
      <w:r>
        <w:rPr>
          <w:b/>
        </w:rPr>
        <w:t>Shared claim-specific concepts:</w:t>
      </w:r>
      <w:r>
        <w:t xml:space="preserve"> terrorist, attacks, government, approach, resilience, critical; EU scope not established. This is a provisional connection, not an outcome finding.</w:t>
      </w:r>
    </w:p>
    <w:p>
      <w:pPr>
        <w:pStyle w:val="SourceNote"/>
      </w:pPr>
      <w:r>
        <w:rPr>
          <w:b/>
        </w:rPr>
        <w:t>Available abstract (not full text):</w:t>
      </w:r>
      <w:r>
        <w:t xml:space="preserve"> Purpose: The purpose of this article is to evaluate the state's critical infrastructure protection system using an airport as an example. Identifying potential weaknesses and suggesting improvements is a key part of this assessment. Selected research is presented to highlight the need to protect airports from terrorist threats and to illustrate the importance of inter-agency cooperation, resource allocation and advanced security measures in enhancing national security. Design/methodology/approach: The research combines theoretical analysis and empirical investigation. Theoretical methods include a review of the literature and legal frameworks concerning critical infrastructure protection. Empirical research involves a diagnostic survey conducted through structured interviews with experts in national security and airport operations and survey technique using survey questionnaire tool. The data collected were analyzed qualitatively to synthesize key findings and recommendations. Findings: The study reveals that while significant efforts have been made in securing airports, vulnerabilities remain due to accessibility and operational complexity. The findings highlight critical issues such as insufficient inter-agency coordination, inadequate allocation of resources, and the need for better threat anticipation capabilities. Recommendations are provided to address these gaps and impr</w:t>
      </w:r>
    </w:p>
    <w:p>
      <w:pPr/>
      <w:r>
        <w:rPr>
          <w:b/>
        </w:rPr>
        <w:t>POSSIBLE 2023:</w:t>
      </w:r>
      <w:r>
        <w:t xml:space="preserve"> Terrorist attacks — https://doi.org/10.4324/9781003105824-8</w:t>
      </w:r>
    </w:p>
    <w:p>
      <w:pPr/>
      <w:r>
        <w:rPr>
          <w:b/>
        </w:rPr>
        <w:t>Shared claim-specific concepts:</w:t>
      </w:r>
      <w:r>
        <w:t xml:space="preserve"> terrorist, attacks, london, government; EU scope visible. This is a provisional connection, not an outcome finding.</w:t>
      </w:r>
    </w:p>
    <w:p>
      <w:pPr>
        <w:pStyle w:val="SourceNote"/>
      </w:pPr>
      <w:r>
        <w:rPr>
          <w:b/>
        </w:rPr>
        <w:t>Available abstract (not full text):</w:t>
      </w:r>
      <w:r>
        <w:t xml:space="preserve"> The United Nations has a structure for addressing terrorism as a matter of state concern. Countries such as the UK are members of this framework. UK has had various terrorist attacks over the years. Recently, these have included those ensuing from ‘the Troubles’ in Northern Ireland, Lockerbie and Dunblane in Scotland, the 7/7 tube attacks in London, the 2017 Manchester Arena attack and many others across the UK. Many lessons of dealing with terrorism were learnt from the 9/11 World Trade Center attack in the USA as these filtered into emergency planning forums in the UK. Social workers are learning from such examples. However, the profession as a whole would be challenged to respond effectively if a terrorist attack were to occur in a location that has not experienced one before. Preparing them to do so would require training, including at qualifying level and in-service training through continuing professional development(CDP) on a regular basis, to keep up with a rapidly shifting terrain of government policy in addressing terrorism within a country. The UK’s key response has been the CONTEST Programme aimed at controlling the spread of terrorist ideologies and diverting people from committing terrorist acts. This has been linked to the securitisation of the state, especially as CONTEST has now drawn public sector workers into its ambit. Some of the duties linked to the deradi</w:t>
      </w:r>
    </w:p>
    <w:p>
      <w:pPr/>
      <w:r>
        <w:rPr>
          <w:b/>
        </w:rPr>
        <w:t>POSSIBLE 2023:</w:t>
      </w:r>
      <w:r>
        <w:t xml:space="preserve"> Cryptocurrency technology revolution: are Bitcoin prices and terrorist attacks related? — https://doi.org/10.1186/s40854-022-00445-3</w:t>
      </w:r>
    </w:p>
    <w:p>
      <w:pPr/>
      <w:r>
        <w:rPr>
          <w:b/>
        </w:rPr>
        <w:t>Shared claim-specific concepts:</w:t>
      </w:r>
      <w:r>
        <w:t xml:space="preserve"> terrorist, attacks, about; EU scope not established. This is a provisional connection, not an outcome finding.</w:t>
      </w:r>
    </w:p>
    <w:p>
      <w:pPr>
        <w:pStyle w:val="SourceNote"/>
      </w:pPr>
      <w:r>
        <w:rPr>
          <w:b/>
        </w:rPr>
        <w:t>Available abstract (not full text):</w:t>
      </w:r>
      <w:r>
        <w:t xml:space="preserve"> As a financial innovation of the information age, cryptocurrency is a complex concept with clear advantages and disadvantages and is worthy of discussion. Exploring from a terrorism perspective, this study uses the time-varying parameter/stochastic volatility vector autoregression model to explore the risk hedging and terrorist financing capabilities of Bitcoin. Empirical results show that both terrorist incidents and brutality may explain Bitcoin price, but their effects are slightly different. Compared to terrorist brutality, terrorist incidents have a weaker impact on Bitcoin price, showing that Bitcoin investors are more concerned about the number of deaths than the frequency of terrorist attacks. In turn, the impact of Bitcoin price on terrorist attacks is negligible. Bitcoin is a potential means of financing terrorism, but it does not currently play an important role. Our research findings can help investors analyze and predict Bitcoin prices and help improve the theoretical system of anti-terrorist financing, helping to maintain world peace and security.</w:t>
      </w:r>
    </w:p>
    <w:p>
      <w:pPr/>
      <w:r>
        <w:rPr>
          <w:b/>
        </w:rPr>
        <w:t>POSSIBLE 2023:</w:t>
      </w:r>
      <w:r>
        <w:t xml:space="preserve"> Emotions and inventor productivity: Evidence from terrorist attacks — https://doi.org/10.1111/acfi.13213</w:t>
      </w:r>
    </w:p>
    <w:p>
      <w:pPr/>
      <w:r>
        <w:rPr>
          <w:b/>
        </w:rPr>
        <w:t>Shared claim-specific concepts:</w:t>
      </w:r>
      <w:r>
        <w:t xml:space="preserve"> terrorist, attacks, low; EU scope not established. This is a provisional connection, not an outcome finding.</w:t>
      </w:r>
    </w:p>
    <w:p>
      <w:pPr>
        <w:pStyle w:val="SourceNote"/>
      </w:pPr>
      <w:r>
        <w:rPr>
          <w:b/>
        </w:rPr>
        <w:t>Available abstract (not full text):</w:t>
      </w:r>
      <w:r>
        <w:t xml:space="preserve"> Abstract We examine whether the emotional shocks associated with terrorist attacks affect local inventors' productivity. We find that high‐fatality attacks make inventors less innovative, and low‐fatality attacks make them more innovative. Inventors living in high risk‐taking environments have greater increase in productivity following low‐fatality attacks, while less decrease in productivity following high‐fatality attacks. Further, the effect of terrorist attacks on inventor productivity comes mainly from exploratory innovation which involves more risks. Inventors affected by high‐fatality attacks are also more likely to move to places without any significant terrorist attack history, but there is no such effect for low‐fatality attacks.</w:t>
      </w:r>
    </w:p>
    <w:p>
      <w:pPr/>
      <w:r>
        <w:rPr>
          <w:b/>
        </w:rPr>
        <w:t>POSSIBLE 2023:</w:t>
      </w:r>
      <w:r>
        <w:t xml:space="preserve"> Terrorist attacks sharpen the binary perception of “Us” vs. “Them” — https://doi.org/10.1038/s41598-023-39035-3</w:t>
      </w:r>
    </w:p>
    <w:p>
      <w:pPr/>
      <w:r>
        <w:rPr>
          <w:b/>
        </w:rPr>
        <w:t>Shared claim-specific concepts:</w:t>
      </w:r>
      <w:r>
        <w:t xml:space="preserve"> terrorist, attacks, government, approach, understanding, about; EU scope not established. This is a provisional connection, not an outcome finding.</w:t>
      </w:r>
    </w:p>
    <w:p>
      <w:pPr>
        <w:pStyle w:val="SourceNote"/>
      </w:pPr>
      <w:r>
        <w:rPr>
          <w:b/>
        </w:rPr>
        <w:t>Available abstract (not full text):</w:t>
      </w:r>
      <w:r>
        <w:t xml:space="preserve"> Terrorist attacks not only harm citizens but also shift their attention, which has long-lasting impacts on public opinion and government policies. Yet measuring the changes in public attention beyond media coverage has been methodologically challenging. Here we approach this problem by starting from Wikipedia's répertoire of 5.8 million articles and a sample of 15 recent terrorist attacks. We deploy a complex exclusion procedure to identify topics and themes that consistently received a significant increase in attention due to these incidents. Examining their contents reveals a clear picture: terrorist attacks foster establishing a sharp boundary between "Us" (the target society) and "Them" (the terrorist as the enemy). In the midst of this, one seeks to construct identities of both sides. This triggers curiosity to learn more about "Them" and soul-search for a clearer understanding of "Us". This systematic analysis of public reactions to disruptive events could help mitigate their societal consequences.</w:t>
      </w:r>
    </w:p>
    <w:p>
      <w:pPr/>
      <w:r>
        <w:rPr>
          <w:b/>
        </w:rPr>
        <w:t>POSSIBLE 2022:</w:t>
      </w:r>
      <w:r>
        <w:t xml:space="preserve"> Spatiotemporal Variation in Emotional Responses to 2017 Terrorist Attacks in London Using Twitter Data — https://doi.org/10.57709/12007502</w:t>
      </w:r>
    </w:p>
    <w:p>
      <w:pPr/>
      <w:r>
        <w:rPr>
          <w:b/>
        </w:rPr>
        <w:t>Shared claim-specific concepts:</w:t>
      </w:r>
      <w:r>
        <w:t xml:space="preserve"> terrorist, attacks, london; EU scope not established. This is a provisional connection, not an outcome finding.</w:t>
      </w:r>
    </w:p>
    <w:p>
      <w:pPr>
        <w:pStyle w:val="SourceNote"/>
      </w:pPr>
      <w:r>
        <w:rPr>
          <w:b/>
        </w:rPr>
        <w:t>Available abstract (not full text):</w:t>
      </w:r>
      <w:r>
        <w:t xml:space="preserve"> Terrorist attacks have a significant impact on human lives. This study examined emotional responses after the terrorist attacks in London in March and June of 2017, respectively. This research extracted tweets related to the two attacks by developing a Python tool interacting with the Twitter Application Program Interface (API). The tweets were analyzed for its negative emotion expression such as sadness. This study then analyzed these negative tweets using the space-time permutation model in SatScan and assessed their variation in space and time. Results suggested two significant clusters of negative tweets after the first attack. These clusters located in the metropolitan area of London and between Manchester and Liverpool within ten days of the attack. The findings may contribute to quick surveillance of emotional responses on the Twitter users.</w:t>
      </w:r>
    </w:p>
    <w:p>
      <w:pPr/>
      <w:r>
        <w:rPr>
          <w:b/>
        </w:rPr>
        <w:t>POSSIBLE 2022:</w:t>
      </w:r>
      <w:r>
        <w:t xml:space="preserve"> Psychosocial care responses to terrorist attacks: a country case study of Norway, France and Belgium — https://doi.org/10.1186/s12913-022-07691-2</w:t>
      </w:r>
    </w:p>
    <w:p>
      <w:pPr/>
      <w:r>
        <w:rPr>
          <w:b/>
        </w:rPr>
        <w:t>Shared claim-specific concepts:</w:t>
      </w:r>
      <w:r>
        <w:t xml:space="preserve"> terrorist, attacks, throughout, approach, long-term; EU scope visible. This is a provisional connection, not an outcome finding.</w:t>
      </w:r>
    </w:p>
    <w:p>
      <w:pPr>
        <w:pStyle w:val="SourceNote"/>
      </w:pPr>
      <w:r>
        <w:rPr>
          <w:b/>
        </w:rPr>
        <w:t>Available abstract (not full text):</w:t>
      </w:r>
      <w:r>
        <w:t xml:space="preserve"> BACKGROUND: The international terrorism threat urges societies to invest in the planning and organization of psychosocial care. With the aim to contribute to cross-national learning, this study describes the content, target populations and providers of psychosocial care to civilians after terrorist attacks in Norway, France and Belgium. METHODS: We identified and reviewed pre- and post-attack policy documents, guidelines, reports and other relevant grey literature addressing the psychosocial care response to terrorist attacks in Oslo/Utøya, Norway on 22 July 2011; in Paris, France on 13 November 2015; and in Brussels, Belgium on 22 March 2016. RESULTS: In Norway, there was a primary care based approach with multidisciplinary crisis teams in the local municipalities. In response to the terrorist attacks, there were proactive follow-up programs within primary care and occupational health services with screenings of target groups throughout a year. In France, there was a national network of specialized emergency psychosocial units primarily consisting of psychiatrists, psychologists and psychiatric nurses organized by the regional health agencies. They provided psychological support the first month including guidance for long-term healthcare, but there were no systematic screening programs after the acute phase. In Belgium, there were psychosocial intervention networks in the loca</w:t>
      </w:r>
    </w:p>
    <w:p>
      <w:pPr/>
      <w:r>
        <w:rPr>
          <w:b/>
        </w:rPr>
        <w:t>POSSIBLE 2022:</w:t>
      </w:r>
      <w:r>
        <w:t xml:space="preserve"> Time in Responding to Terrorist Attacks in Cities — https://doi.org/10.3390/su142416643</w:t>
      </w:r>
    </w:p>
    <w:p>
      <w:pPr/>
      <w:r>
        <w:rPr>
          <w:b/>
        </w:rPr>
        <w:t>Shared claim-specific concepts:</w:t>
      </w:r>
      <w:r>
        <w:t xml:space="preserve"> terrorist, attacks, critical; EU scope not established. This is a provisional connection, not an outcome finding.</w:t>
      </w:r>
    </w:p>
    <w:p>
      <w:pPr>
        <w:pStyle w:val="SourceNote"/>
      </w:pPr>
      <w:r>
        <w:rPr>
          <w:b/>
        </w:rPr>
        <w:t>Available abstract (not full text):</w:t>
      </w:r>
      <w:r>
        <w:t xml:space="preserve"> Terrorism is one of the most serious threats today. The perpetrators of the attacks use newer and newer tools and apply new methods of operation. Their goal is to cause fear; therefore, for the media message to be more and more attractive, the terrorists began to attack even more spectacularly. Considering the above, cities conducive to forming clusters of people are attractive places to carry out an attack. To meet the emerging challenges, cities increasingly use modern information and communication technologies, transforming into smart cities. One of the basic assumptions for this is to ensure high safety and public order. Antiterrorist protection is a particular challenge for city authorities. Considering the above, the aim of the research, the effects of which are presented in the article, was to identify and describe the basic features distinguishing selected categories of terrorist attacks carried out in cities. In the course of the research, the duration of the terrorist event was analyzed and the critical relationships between the time and the effectiveness of neutralization and rescue operations at the scene were identified. The research method used, in addition to the observation and analysis of the literature, was a descriptive case study.</w:t>
      </w:r>
    </w:p>
    <w:p>
      <w:pPr/>
      <w:r>
        <w:rPr>
          <w:b/>
        </w:rPr>
        <w:t>POSSIBLE 2021:</w:t>
      </w:r>
      <w:r>
        <w:t xml:space="preserve"> Media coverage of terrorist attacks in London in 2017: Comparison of news portals Aktuálně.cz and The Guardian — https://openalex.org/W7135787987</w:t>
      </w:r>
    </w:p>
    <w:p>
      <w:pPr/>
      <w:r>
        <w:rPr>
          <w:b/>
        </w:rPr>
        <w:t>Shared claim-specific concepts:</w:t>
      </w:r>
      <w:r>
        <w:t xml:space="preserve"> terrorist, attacks, london; EU scope not established. This is a provisional connection, not an outcome finding.</w:t>
      </w:r>
    </w:p>
    <w:p>
      <w:pPr>
        <w:pStyle w:val="SourceNote"/>
      </w:pPr>
      <w:r>
        <w:rPr>
          <w:b/>
        </w:rPr>
        <w:t>Available abstract (not full text):</w:t>
      </w:r>
      <w:r>
        <w:t xml:space="preserve"> This thesis is focused on the media coverage of four terrorist attacks that happened in London in 2017. The subject of the research are photographs which were published after the attacks on Czech online news media Aktuálně.cz and British online news portal The Guardian. The coverage on both media is in the case of each attack followed for one week. The aim of this thesis is to describe which photographs both media published, with the main emphasis on certain technical and content variables. Furthermore, the difference between visual representation in Czech and British media is also a subject of this work.</w:t>
      </w:r>
    </w:p>
    <w:p>
      <w:pPr/>
      <w:r>
        <w:rPr>
          <w:b/>
        </w:rPr>
        <w:t>POSSIBLE 2021:</w:t>
      </w:r>
      <w:r>
        <w:t xml:space="preserve"> Analyzing Canadian PM Justin Trudeau’s Speech about Terrorist Attack on a Muslim Family in Ontario’s London: A Critical Perspective — https://doi.org/10.32996/ijls.2021.1.2.2</w:t>
      </w:r>
    </w:p>
    <w:p>
      <w:pPr/>
      <w:r>
        <w:rPr>
          <w:b/>
        </w:rPr>
        <w:t>Shared claim-specific concepts:</w:t>
      </w:r>
      <w:r>
        <w:t xml:space="preserve"> terrorist, london, approach, practice, levels, about; EU scope not established. This is a provisional connection, not an outcome finding.</w:t>
      </w:r>
    </w:p>
    <w:p>
      <w:pPr>
        <w:pStyle w:val="SourceNote"/>
      </w:pPr>
      <w:r>
        <w:rPr>
          <w:b/>
        </w:rPr>
        <w:t>Available abstract (not full text):</w:t>
      </w:r>
      <w:r>
        <w:t xml:space="preserve"> Language considers a form of social practice in Critical Discourse Analysis, and it is frequently used in political discourse written, verbal and visual including public speeches. This paper examines the Prime Minister of Canada's press conference speech, held at the House of Commerce on June 8, 2021 (https://www.rev.com/blog, 2021), in the aftermath of a Muslim family's murder in Ontario's London. The Three-Dimensional Model of Fairclough has been used to investigate the implicit/explicit power displayed in PM Justin's speech, as well as the display of power at the textual, discursive, and societal levels, in the context of the speech's two key themes: anti-Muslim hatred and Islamophobia. The study examines speech using a qualitative approach and addresses power within the discourse as well as the power behind the discourse. The findings show how language reflects political leaders' ideologies and how social behaviors can shape and be shaped by speech. The Prime Minister skillfully employed language to convey the ideological divides between Muslim communities and the western communities. After drawing the line of demarcation, he urged world leaders to take steps to resolve their differences to achieve global harmony and peace. This study enables the general public to comprehend Justin Trudeau's position on prevalent intolerance and the ideology of Islamophobia, as well as its </w:t>
      </w:r>
    </w:p>
    <w:p>
      <w:pPr/>
      <w:r>
        <w:rPr>
          <w:b/>
        </w:rPr>
        <w:t>POSSIBLE 2021:</w:t>
      </w:r>
      <w:r>
        <w:t xml:space="preserve"> Getting under the Skin: The Impact of Terrorist Attacks on Native and Immigrant Sentiment — https://doi.org/10.1093/sf/soab135</w:t>
      </w:r>
    </w:p>
    <w:p>
      <w:pPr/>
      <w:r>
        <w:rPr>
          <w:b/>
        </w:rPr>
        <w:t>Shared claim-specific concepts:</w:t>
      </w:r>
      <w:r>
        <w:t xml:space="preserve"> terrorist, attacks, understanding, little; EU scope visible. This is a provisional connection, not an outcome finding.</w:t>
      </w:r>
    </w:p>
    <w:p>
      <w:pPr>
        <w:pStyle w:val="SourceNote"/>
      </w:pPr>
      <w:r>
        <w:rPr>
          <w:b/>
        </w:rPr>
        <w:t>Available abstract (not full text):</w:t>
      </w:r>
      <w:r>
        <w:t xml:space="preserve"> Abstract There is growing academic interest in examining how terrorist attacks shape the majority’s attitudes towards minority groups. Yet, little is known of how these minority groups react to the backlash such events provoke. This paper leverages the exogenous occurrence of a series of terrorist attacks during the fieldwork period of two surveys to estimate how such events affect the sentiment of both citizens and asylum seekers in Germany. Results of the natural experiment reveal that the 2016 terror attacks in Nice, Würzburg, and Ansbach substantially increased anti-refugee sentiment among German respondents. In line with this increase in hostility, refugees experienced more discrimination, felt less welcome in Germany, and suffered clinically relevant declines in mental health in the aftermath of the attacks. These results provide a more holistic understanding of how terrorism corrodes intergroup relations and how it affects those that are blamed for the events and thus suffer the brunt of the backlash following their occurrence.</w:t>
      </w:r>
    </w:p>
    <w:p>
      <w:pPr>
        <w:pStyle w:val="Heading2"/>
      </w:pPr>
      <w:r>
        <w:t>951. European Scenario Studies on Future In-Stream Nutrient Concentrations</w:t>
      </w:r>
    </w:p>
    <w:p>
      <w:pPr>
        <w:pStyle w:val="SourceNote"/>
      </w:pPr>
      <w:r>
        <w:rPr>
          <w:b/>
        </w:rPr>
        <w:t>Original source (2013):</w:t>
      </w:r>
      <w:r>
        <w:t xml:space="preserve"> https://doi.org/10.13031/trans.56.9961</w:t>
      </w:r>
    </w:p>
    <w:p>
      <w:pPr/>
      <w:r>
        <w:t>Original wording (abstract; indexed_source_text_not_full_document_verified): Results indicate that future total nitrogen (TN) loadings are likely to decrease in most parts of central Europe by 5 to 25 kg ha-1 year-1 due to land-use change in the form of reduced cropland area as a result of technological changes, as well as improvements in land-use management based on higher efficiencies of application rates.</w:t>
      </w:r>
    </w:p>
    <w:p>
      <w:pPr/>
      <w:r>
        <w:rPr>
          <w:b/>
        </w:rPr>
        <w:t>POSSIBLE 2026:</w:t>
      </w:r>
      <w:r>
        <w:t xml:space="preserve"> Assessing precision and accuracy of manure volatile solids, total nitrogen, and total ammoniacal nitrogen analyses across 6 commercial laboratories — https://doi.org/10.3168/jdsc.2025-1007</w:t>
      </w:r>
    </w:p>
    <w:p>
      <w:pPr/>
      <w:r>
        <w:rPr>
          <w:b/>
        </w:rPr>
        <w:t>Shared claim-specific concepts:</w:t>
      </w:r>
      <w:r>
        <w:t xml:space="preserve"> total, nitrogen, management, higher; EU scope not established. This is a provisional connection, not an outcome finding.</w:t>
      </w:r>
    </w:p>
    <w:p>
      <w:pPr>
        <w:pStyle w:val="SourceNote"/>
      </w:pPr>
      <w:r>
        <w:rPr>
          <w:b/>
        </w:rPr>
        <w:t>Available abstract (not full text):</w:t>
      </w:r>
      <w:r>
        <w:t xml:space="preserve"> Manure nutrient analyses inform nutrient management plans and GHG emission inventories, yet the magnitude and sources of measurement variability remain under-studied for several key nutrients. To assess uncertainty in manure nutrient measurements, we quantified intra- and inter-laboratory variation and analytical accuracy for volatile solids (VS), total nitrogen (TN) and total ammoniacal nitrogen (TAN) across 6 US laboratories certified by the Manure Analysis Proficiency Program. Fresh gutter-collected slurry subsamples (250 g) from a free-stall barn received either an equal amount of water (control), one of 2 spike levels of glucose (for VS), or one of 2 spike levels of NH 4 Cl (for TN and TAN). Repeatability (r, repeatability value; SD r , within-laboratory SD; RSD r , relative SD of repeatability) and leave-one-lab-out reproducibility (R, reproducibility value; SD R , between-laboratory SD; RSD R , relative SD of reproducibility), were calculated to evaluate precision. Spike recovery was used to assess accuracy. Repeatability values ranged from 0.30 to 3.49% for VS, 16.2 to 932 mg/kg for TN, and 28.0 to 1.65 × 10 3 mg/kg for TAN, while leave-one-lab-out R ranged from 2.56 to 6.08%, 405 to 683 mg/kg, and 363 to 593 mg/kg, respectively. Variability among laboratories was consistently higher than variability within laboratories but differed by nutrient: overall RSD R averaged 2</w:t>
      </w:r>
    </w:p>
    <w:p>
      <w:pPr/>
      <w:r>
        <w:rPr>
          <w:b/>
        </w:rPr>
        <w:t>POSSIBLE 2026:</w:t>
      </w:r>
      <w:r>
        <w:t xml:space="preserve"> Industrial pollutant releases to water in Europe (2010-2024) — https://doi.org/10.2909/9f8d7f6c-5c6b-42ee-a684-2d208c088f4a</w:t>
      </w:r>
    </w:p>
    <w:p>
      <w:pPr/>
      <w:r>
        <w:rPr>
          <w:b/>
        </w:rPr>
        <w:t>Shared claim-specific concepts:</w:t>
      </w:r>
      <w:r>
        <w:t xml:space="preserve"> indicate, total, nitrogen; EU scope visible. This is a provisional connection, not an outcome finding.</w:t>
      </w:r>
    </w:p>
    <w:p>
      <w:pPr>
        <w:pStyle w:val="SourceNote"/>
      </w:pPr>
      <w:r>
        <w:rPr>
          <w:b/>
        </w:rPr>
        <w:t>Available abstract (not full text):</w:t>
      </w:r>
      <w:r>
        <w:t xml:space="preserve"> This indicator tracks trends of industrial emissions of selected water pollutants. The indicator includes releases of certain heavy metals (cadmium, nickel, mercury and lead, presented as the sum of the releases of the four), nutrients (nitrogen and phosphorus) and a global parameter to indicate the load of organic matter (total organic carbon). In addition the indicator show the evolution of the Gross Value Added (GVA) from Industry. Dimensions available in the time-series data: 1. Industrial pollutant releases to water in Europe – Heavy Metals (Cd, Hg, Ni, Pb) 2. Industrial pollutant releases to water in Europe - Total Organic Carbon 3. Industrial pollutant releases to water in Europe - Total Nitrogen 4. Industrial pollutant releases to water in Europe - Total Phosphorus 5. Industrial pollutant releases to water in Europe - Gross Value Added</w:t>
      </w:r>
    </w:p>
    <w:p>
      <w:pPr/>
      <w:r>
        <w:rPr>
          <w:b/>
        </w:rPr>
        <w:t>POSSIBLE 2026:</w:t>
      </w:r>
      <w:r>
        <w:t xml:space="preserve"> Industrial pollutant releases to water in Europe (2010-2024) — https://doi.org/10.2909/898d92dd-b70d-42c1-956f-8e90f78c7952</w:t>
      </w:r>
    </w:p>
    <w:p>
      <w:pPr/>
      <w:r>
        <w:rPr>
          <w:b/>
        </w:rPr>
        <w:t>Shared claim-specific concepts:</w:t>
      </w:r>
      <w:r>
        <w:t xml:space="preserve"> indicate, total, nitrogen; EU scope visible. This is a provisional connection, not an outcome finding.</w:t>
      </w:r>
    </w:p>
    <w:p>
      <w:pPr>
        <w:pStyle w:val="SourceNote"/>
      </w:pPr>
      <w:r>
        <w:rPr>
          <w:b/>
        </w:rPr>
        <w:t>Available abstract (not full text):</w:t>
      </w:r>
      <w:r>
        <w:t xml:space="preserve"> This indicator tracks trends of industrial emissions of selected water pollutants. The indicator includes releases of certain heavy metals (cadmium, nickel, mercury and lead, presented as the sum of the releases of the four), nutrients (nitrogen and phosphorus) and a global parameter to indicate the load of organic matter (total organic carbon). In addition the indicator show the evolution of the Gross Value Added (GVA) from Industry. Dimensions available in the time-series data: 1. Industrial pollutant releases to water in Europe – Heavy Metals (Cd, Hg, Ni, Pb) 2. Industrial pollutant releases to water in Europe - Total Organic Carbon 3. Industrial pollutant releases to water in Europe - Total Nitrogen 4. Industrial pollutant releases to water in Europe - Total Phosphorus 5. Industrial pollutant releases to water in Europe - Gross Value Added</w:t>
      </w:r>
    </w:p>
    <w:p>
      <w:pPr/>
      <w:r>
        <w:rPr>
          <w:b/>
        </w:rPr>
        <w:t>POSSIBLE 2026:</w:t>
      </w:r>
      <w:r>
        <w:t xml:space="preserve"> Decoupling factors influencing spatial and temporal trends of total nitrogen and ammonia nitrogen levels in lakes across China — https://doi.org/10.5194/egusphere-2026-3574</w:t>
      </w:r>
    </w:p>
    <w:p>
      <w:pPr/>
      <w:r>
        <w:rPr>
          <w:b/>
        </w:rPr>
        <w:t>Shared claim-specific concepts:</w:t>
      </w:r>
      <w:r>
        <w:t xml:space="preserve"> total, nitrogen, management; EU scope not established. This is a provisional connection, not an outcome finding.</w:t>
      </w:r>
    </w:p>
    <w:p>
      <w:pPr>
        <w:pStyle w:val="SourceNote"/>
      </w:pPr>
      <w:r>
        <w:rPr>
          <w:b/>
        </w:rPr>
        <w:t>Available abstract (not full text):</w:t>
      </w:r>
      <w:r>
        <w:t xml:space="preserve"> Abstract. The heterogeneity of lake nitrogen pollution in its spatial distribution and long-term evolution influences ecosystem functioning and the effectiveness of water environment management. However, whether the drivers shaping the spatial patterns of different nitrogen forms differ from those governing their temporal dynamics remains poorly understood at large spatial scales. Here, we constructed monthly time series (2010–2024) of total nitrogen (TN) and ammonia nitrogen (NH₃-N) concentrations for 3,020 lakes across China’s five limnological regions using an ensemble machine learning framework and to reveal the difference in factors that influence spatial patterns and long-term changes of the two nitrogen forms at the large scale. The results showed that the factors determining where lakes are nitrogen-enriched are not necessarily those controlling whether nitrogen conditions improve or deteriorate over time and that different nitrogen forms respond to management and environmental change through distinct pathways. For TN, the spatial patterns are jointly shaped by external nitrogen loading, land cover, and hydro-climatic conditions, highlighting strong landscape-scale controls. However, its long-term evolution is governed more strongly by temporal variations in external nitrogen inputs than by static spatial characteristics. In contrast, NH₃-N exhibits a more direct and ra</w:t>
      </w:r>
    </w:p>
    <w:p>
      <w:pPr/>
      <w:r>
        <w:rPr>
          <w:b/>
        </w:rPr>
        <w:t>POSSIBLE 2025:</w:t>
      </w:r>
      <w:r>
        <w:t xml:space="preserve"> Investigating the storage of organic carbon, nitrogen and phosphorus in pond sediment — https://doi.org/10.1007/s11368-025-04001-1</w:t>
      </w:r>
    </w:p>
    <w:p>
      <w:pPr/>
      <w:r>
        <w:rPr>
          <w:b/>
        </w:rPr>
        <w:t>Shared claim-specific concepts:</w:t>
      </w:r>
      <w:r>
        <w:t xml:space="preserve"> total, nitrogen, central; EU scope visible. This is a provisional connection, not an outcome finding.</w:t>
      </w:r>
    </w:p>
    <w:p>
      <w:pPr>
        <w:pStyle w:val="SourceNote"/>
      </w:pPr>
      <w:r>
        <w:rPr>
          <w:b/>
        </w:rPr>
        <w:t>Available abstract (not full text):</w:t>
      </w:r>
      <w:r>
        <w:t xml:space="preserve"> The present study evaluates the sediment mass and storage of total organic carbon (TOC), total nitrogen (TN) and total phosphorus (TP) in a managed agricultural pond, representative for ponds situated in Central Europe. The study is designed to enhance understanding of the functioning of such ponds as nutrient sinks and the capacity to retain TOC, TN and TP within the pond's sediment layer. In order to assess the distribution of sediments and the storage of nutrients, orthomosaics and digital elevation models (DEMs) were generated from imagery recorded by unmanned aerial vehicles (UAVs) in 2021 and 2022. The thickness of the sediment was measured at 174 points over nine diving campaigns, with the volume estimated comparing three interpolation methods. Sediment core samples were analysed to determine their physical and chemical composition. In addition, water samples were collected from the inlets and outlets to trace potential pathways of nutrients. The pond was found to store 330.9 t ha −1 TOC, 16 t ha −1 TN and 0.8 t ha −1 TP with an sediment mass of 1,460 t ha −1 . The DEM comparison indicates areas of sediment loss and accumulation, with the overall sediment mass remaining stable. The vertical distribution of nutrients indicated the presence of layered sediment deposition, which suggests a complex history of sediment and nutrient retention. The pond acts as a nutrient sink,</w:t>
      </w:r>
    </w:p>
    <w:p>
      <w:pPr/>
      <w:r>
        <w:rPr>
          <w:b/>
        </w:rPr>
        <w:t>POSSIBLE 2025:</w:t>
      </w:r>
      <w:r>
        <w:t xml:space="preserve"> Modelling agronomic and environmental effects of bio-based nitrogen fertilisers in Europe — https://doi.org/10.1007/s10705-025-10463-z</w:t>
      </w:r>
    </w:p>
    <w:p>
      <w:pPr/>
      <w:r>
        <w:rPr>
          <w:b/>
        </w:rPr>
        <w:t>Shared claim-specific concepts:</w:t>
      </w:r>
      <w:r>
        <w:t xml:space="preserve"> total, nitrogen, reduced, improvements, based, higher; EU scope visible. This is a provisional connection, not an outcome finding.</w:t>
      </w:r>
    </w:p>
    <w:p>
      <w:pPr>
        <w:pStyle w:val="SourceNote"/>
      </w:pPr>
      <w:r>
        <w:rPr>
          <w:b/>
        </w:rPr>
        <w:t>Available abstract (not full text):</w:t>
      </w:r>
      <w:r>
        <w:t xml:space="preserve"> Biobased waste materials, rich in nutrients and carbon, are often underutilised but could be processed into valuable biobased fertilisers (BBFs). Replacing conventional mineral fertilisers with BBFs requires understanding of their agronomic and environmental performance, which is currently lacking. This study used the Daisy model to evaluate the agronomic (dry matter and nitrogen (N) yield) and environmental (N losses to air and water) performance of eight BBFs in six European cropping systems. Mineral N fertilisation in the baseline scenarios was replaced with BBF according to three different schemes of N fertiliser replacement: Agronomic (according to 1st year fertiliser N replacement value (NFRV), typically 10–90%), Environmental (same total N as in baseline, equivalent to NFRV = 100%), and Intermediate (based on average NFRV of Agronomic and Environmental). Results indicated that under the Agronomic scheme, BBFs maintained or increased yields, but increased N losses relative to the baseline with mineral N. The Environmental scheme reduced crop yields by up to 10%, but N losses remained similar to baseline fertilisation. BBFs generally improved soil organic N or carbon stocks, indicators of soil quality. Differences in N losses and soil quality in the Agronomic scheme were mainly related to BBFs having different NFRV; a low NFRV (e.g., compost) implies higher total N inputs </w:t>
      </w:r>
    </w:p>
    <w:p>
      <w:pPr/>
      <w:r>
        <w:rPr>
          <w:b/>
        </w:rPr>
        <w:t>POSSIBLE 2024:</w:t>
      </w:r>
      <w:r>
        <w:t xml:space="preserve"> Trends in Air Pollution in Europe, 2000–2019 — https://doi.org/10.4209/aaqr.230237</w:t>
      </w:r>
    </w:p>
    <w:p>
      <w:pPr/>
      <w:r>
        <w:rPr>
          <w:b/>
        </w:rPr>
        <w:t>Shared claim-specific concepts:</w:t>
      </w:r>
      <w:r>
        <w:t xml:space="preserve"> total, nitrogen, due, improvements;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2023:</w:t>
      </w:r>
      <w:r>
        <w:t xml:space="preserve"> Analysis of total nitrogen and chlorophyll a correlations in reservoirs in Ceará/Brazil — https://doi.org/10.1590/s1413-415220230015</w:t>
      </w:r>
    </w:p>
    <w:p>
      <w:pPr/>
      <w:r>
        <w:rPr>
          <w:b/>
        </w:rPr>
        <w:t>Shared claim-specific concepts:</w:t>
      </w:r>
      <w:r>
        <w:t xml:space="preserve"> total, nitrogen; EU scope not established. This is a provisional connection, not an outcome finding.</w:t>
      </w:r>
    </w:p>
    <w:p>
      <w:pPr>
        <w:pStyle w:val="SourceNote"/>
      </w:pPr>
      <w:r>
        <w:rPr>
          <w:b/>
        </w:rPr>
        <w:t>Available abstract (not full text):</w:t>
      </w:r>
      <w:r>
        <w:t xml:space="preserve"> ABSTRACT Chlorophyll a (Chla) concentration is an important indicator to characterize algal biomass, reflecting water quality and the level of eutrophication of aquatic environments. This study analyzed 4315 total nitrogen (TN) and Chla samples in 155 reservoirs in Ceará, Brazil. Relationships were obtained between TN and Chla through simple linear regression and classified according to the statistical performance of the coefficient of determination (R²). The dynamics of these correlations were examined by analyzing the variance between classification groups concerning watershed, reservoir size, coefficient of variability, and trophic state. The concentration of pollutants was influenced by seasonality, which increased significantly from the wet to the dry period in most basins. The coefficients of determination between Chla and TN for the watersheds followed the trends of classic curves in the literature, with satisfactory models (R² &gt; 0.3) in most reservoirs (53.3%). The variance analysis attested that the models’ performance was affected by the basins, the volumetric variation, and the change in the trophic state levels. There was no significant variance of R² between reservoirs of different sizes.</w:t>
      </w:r>
    </w:p>
    <w:p>
      <w:pPr/>
      <w:r>
        <w:rPr>
          <w:b/>
        </w:rPr>
        <w:t>POSSIBLE 2023:</w:t>
      </w:r>
      <w:r>
        <w:t xml:space="preserve"> Ecosystem type drives soil eukaryotic diversity and composition in Europe — https://doi.org/10.1111/gcb.16871</w:t>
      </w:r>
    </w:p>
    <w:p>
      <w:pPr/>
      <w:r>
        <w:rPr>
          <w:b/>
        </w:rPr>
        <w:t>Shared claim-specific concepts:</w:t>
      </w:r>
      <w:r>
        <w:t xml:space="preserve"> total, nitrogen, higher; EU scope visible. This is a provisional connection, not an outcome finding.</w:t>
      </w:r>
    </w:p>
    <w:p>
      <w:pPr>
        <w:pStyle w:val="SourceNote"/>
      </w:pPr>
      <w:r>
        <w:rPr>
          <w:b/>
        </w:rPr>
        <w:t>Available abstract (not full text):</w:t>
      </w:r>
      <w:r>
        <w:t xml:space="preserve"> Soil eukaryotes play a crucial role in maintaining ecosystem functions and services, yet the factors driving their diversity and distribution remain poorly understood. While many studies focus on some eukaryotic groups (mostly fungi), they are limited in their spatial scale. Here, we analyzed an unprecedented amount of observational data of soil eukaryomes at continental scale (787 sites across Europe) to gain further insights into the impact of a wide range of environmental conditions (climatic and edaphic) on their community composition and structure. We found that the diversity of fungi, protists, rotifers, tardigrades, nematodes, arthropods, and annelids was predominantly shaped by ecosystem type (annual and permanent croplands, managed and unmanaged grasslands, coniferous and broadleaved woodlands), and higher diversity of fungi, protists, nematodes, arthropods, and annelids was observed in croplands than in less intensively managed systems, such as coniferous and broadleaved woodlands. Also in croplands, we found more specialized eukaryotes, while the composition between croplands was more homogeneous compared to the composition of other ecosystems. The observed high proportion of overlapping taxa between ecosystems also indicates that DNA has accumulated from previous land uses, hence mimicking the land transformations occurring in Europe in the last decades. This strong</w:t>
      </w:r>
    </w:p>
    <w:p>
      <w:pPr/>
      <w:r>
        <w:rPr>
          <w:b/>
        </w:rPr>
        <w:t>POSSIBLE 2022:</w:t>
      </w:r>
      <w:r>
        <w:t xml:space="preserve"> Permanent grasslands in Europe: Land use change and intensification decrease their multifunctionality — https://doi.org/10.1016/j.agee.2022.107891</w:t>
      </w:r>
    </w:p>
    <w:p>
      <w:pPr/>
      <w:r>
        <w:rPr>
          <w:b/>
        </w:rPr>
        <w:t>Shared claim-specific concepts:</w:t>
      </w:r>
      <w:r>
        <w:t xml:space="preserve"> decrease, area, management, based; EU scope visible. This is a provisional connection, not an outcome finding.</w:t>
      </w:r>
    </w:p>
    <w:p>
      <w:pPr>
        <w:pStyle w:val="SourceNote"/>
      </w:pPr>
      <w:r>
        <w:rPr>
          <w:b/>
        </w:rPr>
        <w:t>Available abstract (not full text):</w:t>
      </w:r>
      <w:r>
        <w:t xml:space="preserve"> Permanent grasslands cover 34% of the European Union’s agricultural area and are vital for a wide variety of ecosystem services essential for our society. Over recent decades, the permanent grassland area has declined and land use change continues to threaten its extent. Simultaneously, the management intensity of permanent grasslands increased. We performed a systematic literature review on the multifunctionality of permanent grasslands in Europe, examining the effects of land use and management on 19 grassland ecosystem service indicators. Based on the evidence in 696 out of 70,456 screened papers, published since 1980, we found that both land use change and intensification of management decreased multifunctionality. In particular, preventing conversion of permanent grasslands to croplands secured the delivery of multiple ecosystem services. A lower management intensity was associated with benefits for biodiversity, climate regulation and water purification, but impacted the provision of high-quality animal feed. Increasing the number of species in the sward enhanced multifunctionality of permanent grassland without significant trade-offs such as losses in production. Our review covered many aspects of land use, management and ecosystem services, but we also identified areas with no or only few studies. The most prominent gaps were related to comparisons between permanent and</w:t>
      </w:r>
    </w:p>
    <w:p>
      <w:pPr/>
      <w:r>
        <w:rPr>
          <w:b/>
        </w:rPr>
        <w:t>POSSIBLE 2022:</w:t>
      </w:r>
      <w:r>
        <w:t xml:space="preserve"> Nitrogen deposition in forests: Statistical modeling of total deposition from throughfall loads — https://doi.org/10.3389/ffgc.2022.1062223</w:t>
      </w:r>
    </w:p>
    <w:p>
      <w:pPr/>
      <w:r>
        <w:rPr>
          <w:b/>
        </w:rPr>
        <w:t>Shared claim-specific concepts:</w:t>
      </w:r>
      <w:r>
        <w:t xml:space="preserve"> total, nitrogen, parts; EU scope visible. This is a provisional connection, not an outcome finding.</w:t>
      </w:r>
    </w:p>
    <w:p>
      <w:pPr>
        <w:pStyle w:val="SourceNote"/>
      </w:pPr>
      <w:r>
        <w:rPr>
          <w:b/>
        </w:rPr>
        <w:t>Available abstract (not full text):</w:t>
      </w:r>
      <w:r>
        <w:t xml:space="preserve"> Introduction Nitrogen (N) gradient studies in some cases use N deposition in throughfall as measure of N deposition to forests. For evaluating critical loads of N, however, information on total N deposition is required, i.e., the sum of estimates of dry, wet and occult deposition. Methods The present paper collects a number of studies in Europe where throughfall and total N deposition were compared in different forest types. From this dataset a function was derived which allows to estimate total N deposition from throughfall N deposition. Results At low throughfall N deposition values, the proportion of canopy uptake is high and thus the underestimation of total deposition by throughfall N needs to be corrected. At throughfall N deposition values &gt; 20 kg N ha–1 yr–1 canopy uptake is getting less important. Conclusion This work shows that throughfall clearly underestimates total deposition of nitrogen. With the present data set covering large parts of Europe it is possible to derive a critical load estimate from gradient studies using throughfall data.</w:t>
      </w:r>
    </w:p>
    <w:p>
      <w:pPr/>
      <w:r>
        <w:rPr>
          <w:b/>
        </w:rPr>
        <w:t>POSSIBLE 2021:</w:t>
      </w:r>
      <w:r>
        <w:t xml:space="preserve"> Global Impact of COVID-19 Restrictions on the Surface Concentrations of Nitrogen Dioxide and Ozone — https://openalex.org/W3087582936</w:t>
      </w:r>
    </w:p>
    <w:p>
      <w:pPr/>
      <w:r>
        <w:rPr>
          <w:b/>
        </w:rPr>
        <w:t>Shared claim-specific concepts:</w:t>
      </w:r>
      <w:r>
        <w:t xml:space="preserve"> total, nitrogen, decrease, due, reduced; EU scope visible. This is a provisional connection, not an outcome finding.</w:t>
      </w:r>
    </w:p>
    <w:p>
      <w:pPr>
        <w:pStyle w:val="SourceNote"/>
      </w:pPr>
      <w:r>
        <w:rPr>
          <w:b/>
        </w:rPr>
        <w:t>Available abstract (not full text):</w:t>
      </w:r>
      <w:r>
        <w:t xml:space="preserve"> Social distancing to combat the COVID-19 pandemic has led to widespread reductions in air pollutant emissions. Quantifying these changes requires a business-as-usual counterfactual that accounts for the synoptic and seasonal variability of air pollutants. We use a machine learning algorithm driven by information from the NASA GEOS-CF model to assess changes in nitrogen dioxide (NO2) and ozone (O3) at 5756 observation sites in 46 countries from January through June 2020. Reductions in NO2 coincide with the timing and intensity of COVID-19 restrictions, ranging from 60 % in severely affected cities (e.g., Wuhan, Milan) to little change (e.g., Rio de Janeiro, Taipei). On average, NO2 concentrations were 18 (13-23) % lower than business as usual from February 2020 onward. China experienced the earliest and steepest decline, but concentrations since April have mostly recovered and remained within 5 % of the business-as-usual estimate. NO2 reductions in Europe and the US have been more gradual, with a halting recovery starting in late March. We estimate that the global NOx (NO + NO2) emission reduction during the first 6 months of 2020 amounted to 3.1 (2.6-3.6) TgN, equivalent to 5.5 (4.7-6.4) % of the annual anthropogenic total. The response of surface O3 is complicated by competing influences of nonlinear atmospheric chemistry. While surface O3 increased by up to 50 % in some locat</w:t>
      </w:r>
    </w:p>
    <w:p>
      <w:pPr>
        <w:pStyle w:val="Heading2"/>
      </w:pPr>
      <w:r>
        <w:t>952. European atmosphere in 2050, a regional air quality and climate perspective under CMIP5 scenarios</w:t>
      </w:r>
    </w:p>
    <w:p>
      <w:pPr>
        <w:pStyle w:val="SourceNote"/>
      </w:pPr>
      <w:r>
        <w:rPr>
          <w:b/>
        </w:rPr>
        <w:t>Original source (2013):</w:t>
      </w:r>
      <w:r>
        <w:t xml:space="preserve"> https://doi.org/10.5194/acp-13-7451-2013</w:t>
      </w:r>
    </w:p>
    <w:p>
      <w:pPr/>
      <w:r>
        <w:t>Original wording (abstract; indexed_source_text_not_full_document_verified): To quantify changes in air pollution in Europe at the 2050 horizon, we designed a comprehensive modelling system that captures the external factors considered to be most relevant and relies on up-to-date and consistent sets of air pollution and climate policy scenarios. We explored two diverse scenarios: a reference scenario where climate policies are absent and a mitigation scenario which limits global temperature rise to within 2 °C by the end of this century.</w:t>
      </w:r>
    </w:p>
    <w:p>
      <w:pPr/>
      <w:r>
        <w:rPr>
          <w:b/>
        </w:rPr>
        <w:t>POSSIBLE 2026:</w:t>
      </w:r>
      <w:r>
        <w:t xml:space="preserve"> Climate &amp; Air Quality projections over Europe for 2030 and 2050 — https://openalex.org/W7213705154</w:t>
      </w:r>
    </w:p>
    <w:p>
      <w:pPr/>
      <w:r>
        <w:rPr>
          <w:b/>
        </w:rPr>
        <w:t>Shared claim-specific concepts:</w:t>
      </w:r>
      <w:r>
        <w:t xml:space="preserve"> quantify, air, relevant, consistent, climate; EU scope visible. This is a provisional connection, not an outcome finding.</w:t>
      </w:r>
    </w:p>
    <w:p>
      <w:pPr>
        <w:pStyle w:val="SourceNote"/>
      </w:pPr>
      <w:r>
        <w:rPr>
          <w:b/>
        </w:rPr>
        <w:t>Available abstract (not full text):</w:t>
      </w:r>
      <w:r>
        <w:t xml:space="preserve"> Over Europe, air quality has improved in recent years and is expected to continue improving due to further emission reductions. However, climate change also affects air quality, for instance through changes in wash-out processes or increases in biogenic VOC emissions. The magnitude and direction of these climate-induced air quality changes remain uncertain. To investigate how air quality evolves under different emission projections for species relevant to both climate and air quality, we perform consistent chemistry-climate simulations for Europe for the years 2030 and 2050. For these simulations, we use the global-regional chemistry-climate model MECO(n). MECO(n) consists of the global chemistry-climate model EMAC and the regional atmospheric chemistry model COSMO-CLM/MESSy. The EMAC simulations are performed with a global horizontal resolution of around 120 km. Over Europe, we include up to three nested domains: a 22 km domain covering the entire continent, a 7 km domain for Central Europe, and a 2 km domain over Germany. For present-day and future projections, we use historical simulations and SSP projections (SSP1-2.6 and SSP2-4.5) downscaled consistently over Europe. We present a preliminary analysis of the simulated air quality changes, with a particular focus on the role of transport sector emissions. To quantify the effects of these emissions, we apply a source apportio</w:t>
      </w:r>
    </w:p>
    <w:p>
      <w:pPr/>
      <w:r>
        <w:rPr>
          <w:b/>
        </w:rPr>
        <w:t>POSSIBLE 2025:</w:t>
      </w:r>
      <w:r>
        <w:t xml:space="preserve"> Quantifying the Climate Penalty on Air Quality in Europe – Insights from INSPEnCaT Project — https://doi.org/10.5194/egusphere-egu25-17230</w:t>
      </w:r>
    </w:p>
    <w:p>
      <w:pPr/>
      <w:r>
        <w:rPr>
          <w:b/>
        </w:rPr>
        <w:t>Shared claim-specific concepts:</w:t>
      </w:r>
      <w:r>
        <w:t xml:space="preserve"> quantify, air, pollution, system, relies, sets; EU scope visible. This is a provisional connection, not an outcome finding.</w:t>
      </w:r>
    </w:p>
    <w:p>
      <w:pPr>
        <w:pStyle w:val="SourceNote"/>
      </w:pPr>
      <w:r>
        <w:rPr>
          <w:b/>
        </w:rPr>
        <w:t>Available abstract (not full text):</w:t>
      </w:r>
      <w:r>
        <w:t xml:space="preserve"> The European Commission’s Zero Pollution Action Plan sets ambitious goals to reduce air, water, and soil pollution by 2050, including a 55% reduction in premature deaths from air pollution by 2030. In 2022, fine particulate matter (PM₂.₅), nitrogen dioxide (NO₂), and ozone (O₃) caused 239,000, 48,000, and 70,000 premature deaths, respectively. The interaction between climate change and air pollution presents significant challenges for achieving these ambitious goals. Rising temperatures, frequent heatwaves, and drought conditions enhance the production of O₃ and the formation of secondary organic aerosols (SOA), increasing PM₂.₅ levels by up to 5% in some regions. These compounded effects heighten health and environmental risks. The Mediterranean Basin, a recognized climate change hotspot, faces particularly severe challenges. Under high-warming scenarios (+4°C), intensify emissions of O₃ precursors and wildfire activity in southern Europe. The “climate penalty” — the additional burden of air pollution under changing climate conditions— could at least partly offset the benefits of current mitigation measures. For example, projections indicate a 15% increase in O₃-related premature mortality and respiratory hospitalizations in southern Europe by mid-century. However, uncertainties remain regarding the isolated contribution of climate change to these trends.The INSPEnCaT project </w:t>
      </w:r>
    </w:p>
    <w:p>
      <w:pPr/>
      <w:r>
        <w:rPr>
          <w:b/>
        </w:rPr>
        <w:t>POSSIBLE 2025:</w:t>
      </w:r>
      <w:r>
        <w:t xml:space="preserve"> High resolution assessment of air quality and health in Europe under different climate mitigation scenarios — https://doi.org/10.1038/s41467-025-60449-2</w:t>
      </w:r>
    </w:p>
    <w:p>
      <w:pPr/>
      <w:r>
        <w:rPr>
          <w:b/>
        </w:rPr>
        <w:t>Shared claim-specific concepts:</w:t>
      </w:r>
      <w:r>
        <w:t xml:space="preserve"> quantify, air, pollution, climate, policies; EU scope visible. This is a provisional connection, not an outcome finding.</w:t>
      </w:r>
    </w:p>
    <w:p>
      <w:pPr>
        <w:pStyle w:val="SourceNote"/>
      </w:pPr>
      <w:r>
        <w:rPr>
          <w:b/>
        </w:rPr>
        <w:t>Available abstract (not full text):</w:t>
      </w:r>
      <w:r>
        <w:t xml:space="preserve"> Climate change mitigation policies lower greenhouse gas emissions and generally reduce fine particulate matter (PM2.5) concentrations, hereby bringing health co-benefits. Yet, the spatial and distributional air quality co-benefits in Europe of such policies are not fully understood. Here, We quantify premature mortality from air pollution in 1366 regions of Europe for different scenarios obtained from the Coupled Model Intercomparison Project Phase 6. We model PM2.5 concentrations at high spatial resolution and then combine it with population data and regional age structure and total mortality, to calculate attributable deaths. We find that the share of the European population meeting WHO (World Health Organization) guideline value for PM2.5 could exceed 90% by 2100 under the most ambitious scenario, while less than 10% under the least ambitious one. Corresponding premature deaths in Europe would total 67,000 (95% CI: 13,000–141,000) per year by the end of the century compared to 282,000 (95% CI: 202,000–364,000). This study quantifies premature mortality from air pollution in 1366 regions of Europe for different scenarios, finding that the share of the European population meeting WHO guideline value for PM2.5 could exceed 90% by 2100 under the most ambitious scenario, while less than 10% under the least ambitious one.</w:t>
      </w:r>
    </w:p>
    <w:p>
      <w:pPr/>
      <w:r>
        <w:rPr>
          <w:b/>
        </w:rPr>
        <w:t>POSSIBLE 2025:</w:t>
      </w:r>
      <w:r>
        <w:t xml:space="preserve"> Quantifying the Effects of Climate Change on Aircraft Take-Off Performance at European Airports — https://doi.org/10.3390/aerospace12030165</w:t>
      </w:r>
    </w:p>
    <w:p>
      <w:pPr/>
      <w:r>
        <w:rPr>
          <w:b/>
        </w:rPr>
        <w:t>Shared claim-specific concepts:</w:t>
      </w:r>
      <w:r>
        <w:t xml:space="preserve"> air, climate; EU scope visible. This is a provisional connection, not an outcome finding.</w:t>
      </w:r>
    </w:p>
    <w:p>
      <w:pPr>
        <w:pStyle w:val="SourceNote"/>
      </w:pPr>
      <w:r>
        <w:rPr>
          <w:b/>
        </w:rPr>
        <w:t>Available abstract (not full text):</w:t>
      </w:r>
      <w:r>
        <w:t xml:space="preserve"> This work uses state-of-the-art climate model data at 30 European airport locations to examine how climate change may affect summer take-off distance required—TODR—and maximum take-off mass—MTOM—for a 30-year period centred on 2050 compared to a historical baseline (1985–2014). The data presented here are for the Airbus A320; however, the methodology is generic and few changes are required in order to apply this methodology to a wide range of different fixed-wing aircraft. The climate models used are taken from the 6th Coupled Model Intercomparison Project (CMIP6) and span a range of climate sensitivity values; that is, the amount of warming they exhibit for a given increase in atmospheric greenhouse gas concentrations. Using a Newtonian force-balance model, we show that 30-year average values of TODR may increase by around 50–100 m, albeit with significant day-to-day variability. The changing probability distributions are quantified using kernel density estimation and an illustration is provided showing how changes to future daily maximum temperature extremes may affect the distributions of TODR going forward. Furthermore, it is projected that the 99th percentile of the historical distributions of TODR may by exceeded up to half the time in the summer months for some airports. Some of the sites studied have runways that are shorter than the distance required for a fully laden </w:t>
      </w:r>
    </w:p>
    <w:p>
      <w:pPr/>
      <w:r>
        <w:rPr>
          <w:b/>
        </w:rPr>
        <w:t>POSSIBLE 2025:</w:t>
      </w:r>
      <w:r>
        <w:t xml:space="preserve"> Estimating mortality due to air pollution in Europe for the CATALYSE project — https://openalex.org/W7171757730</w:t>
      </w:r>
    </w:p>
    <w:p>
      <w:pPr/>
      <w:r>
        <w:rPr>
          <w:b/>
        </w:rPr>
        <w:t>Shared claim-specific concepts:</w:t>
      </w:r>
      <w:r>
        <w:t xml:space="preserve"> quantify, air, pollution, climate, reference, policies; EU scope visible. This is a provisional connection, not an outcome finding.</w:t>
      </w:r>
    </w:p>
    <w:p>
      <w:pPr>
        <w:pStyle w:val="SourceNote"/>
      </w:pPr>
      <w:r>
        <w:rPr>
          <w:b/>
        </w:rPr>
        <w:t>Available abstract (not full text):</w:t>
      </w:r>
      <w:r>
        <w:t xml:space="preserve"> The European Union’s CATALYSE (Climate Action to Advance Healthy Societies in Europe) project seeks to provide new knowledge, data, and tools to close the knowledge-to-action gap and accelerate climate change action and protect public health in Europe. One of its five main objectives is to quantify the health co-benefits of mitigation measures outside of the health sector. To address this objective, CATALYSE has developed a set of three policy-relevant scenarios: (1) a Reference scenario based on currently implemented policies, (2) a Green Deal scenario, based on the European Green Deal, legislation that was approved in 2020 and seeks to make the EU climate neutral by 2050, and (3) a Beyond Green Deal scenario, which goes further than the Green Deal scenario by implementing behavioural changes such as restricted diet and energy use. Important to the evaluation of these scenarios is the estimate of human mortality due to exposure to particulate matter with aerodynamic diameter less than 2.5 microns (PM2.5) in each scenario. As part of Work Package 2 of the CATALYSE project, we have utilized the emissions output from each of the three CATALYSE scenarios as input in the EMAC atmospheric model (Jöckel et al. 2006), simulating the global Earth atmosphere and climate in the years 2020, 2030, 2040, and 2050, in order to evaluate each scenario’s impact on PM2.5 concentrations in Europe</w:t>
      </w:r>
    </w:p>
    <w:p>
      <w:pPr/>
      <w:r>
        <w:rPr>
          <w:b/>
        </w:rPr>
        <w:t>POSSIBLE 2025:</w:t>
      </w:r>
      <w:r>
        <w:t xml:space="preserve"> Dose–Response Functions for Assessing Corrosion Risks to Urban Heritage Materials from Air Pollution Under Climate Change: Insights from Europe and China — https://doi.org/10.3390/buildings15132271</w:t>
      </w:r>
    </w:p>
    <w:p>
      <w:pPr/>
      <w:r>
        <w:rPr>
          <w:b/>
        </w:rPr>
        <w:t>Shared claim-specific concepts:</w:t>
      </w:r>
      <w:r>
        <w:t xml:space="preserve"> quantify, air, pollution, modelling, climate; EU scope visible. This is a provisional connection, not an outcome finding.</w:t>
      </w:r>
    </w:p>
    <w:p>
      <w:pPr>
        <w:pStyle w:val="SourceNote"/>
      </w:pPr>
      <w:r>
        <w:rPr>
          <w:b/>
        </w:rPr>
        <w:t>Available abstract (not full text):</w:t>
      </w:r>
      <w:r>
        <w:t xml:space="preserve"> Urban heritage materials face accelerated decay due to the synergistic effects of air pollution and climate change. Dose–response functions (DRFs) have emerged as a key tool to quantify and predict these risks. This review synthesizes the scientific development of DRFs, their application in Europe and China, and their role in policy and heritage management. European initiatives have refined DRFs to incorporate multi-pollutant and climate interactions, providing spatial risk maps and informing pollution control measures. In China, recent applications adapt European insights to local contexts, revealing strong influences of particulate matter. While DRFs offer clear quantitative estimates, their empirical nature and simplified assumptions necessitate complementary methods, including sensor networks, remote sensing, and machine learning models. Future research should integrate multivariate modelling, expand empirical data, and couple DRFs with real-time monitoring to better protect urban heritage materials amid environmental change.</w:t>
      </w:r>
    </w:p>
    <w:p>
      <w:pPr/>
      <w:r>
        <w:rPr>
          <w:b/>
        </w:rPr>
        <w:t>POSSIBLE 2024:</w:t>
      </w:r>
      <w:r>
        <w:t xml:space="preserve"> Climate change and air pollution impacts on cultural heritage building materials in Europe and Mexico — https://doi.org/10.1016/j.scitotenv.2024.170945</w:t>
      </w:r>
    </w:p>
    <w:p>
      <w:pPr/>
      <w:r>
        <w:rPr>
          <w:b/>
        </w:rPr>
        <w:t>Shared claim-specific concepts:</w:t>
      </w:r>
      <w:r>
        <w:t xml:space="preserve"> air, pollution, relevant, climate; EU scope visible. This is a provisional connection, not an outcome finding.</w:t>
      </w:r>
    </w:p>
    <w:p>
      <w:pPr>
        <w:pStyle w:val="SourceNote"/>
      </w:pPr>
      <w:r>
        <w:rPr>
          <w:b/>
        </w:rPr>
        <w:t>Available abstract (not full text):</w:t>
      </w:r>
      <w:r>
        <w:t xml:space="preserve"> Climate and air pollution have adverse effects on cultural heritage building materials. However, the quantified damage due to modeled changes in climate and air pollution is still poorly studied. Here, we review first the damage affecting these materials and the associated damage equations in the literature. Across all relevant studies (n = 87), we found only nine independent equations to estimate different damage categories, mainly limited to limestones. Then, by using current meteorological data and future bias-corrected CMIP6 climate and air pollution data at high resolution (1 km; historical and business-as-usual scenario) and applying these equations, we quantified the relative contributions of climate and air pollution changes on the building materials of eight cultural heritage sites of the European project Sustainable COnservation and REstoration of built cultural heritage (SCORE) from 2020 to 2100. On average across the sites, a significant decrease in damage is projected in surface recession (-10 % ± 10 %), biomass accumulation (-20 % ± 18 %), and wind-rain erosion (-7 % ± 6 %) in response to future climate and air pollution changes, except in the regions where precipitation substantially increases (Northern Europe). A large uncertainty in the relative magnitude of the damage to built cultural heritage materials was found for the same site, changes in surface recessio</w:t>
      </w:r>
    </w:p>
    <w:p>
      <w:pPr/>
      <w:r>
        <w:rPr>
          <w:b/>
        </w:rPr>
        <w:t>POSSIBLE 2024:</w:t>
      </w:r>
      <w:r>
        <w:t xml:space="preserve"> Trends in Air Pollution in Europe, 2000–2019 — https://doi.org/10.4209/aaqr.230237</w:t>
      </w:r>
    </w:p>
    <w:p>
      <w:pPr/>
      <w:r>
        <w:rPr>
          <w:b/>
        </w:rPr>
        <w:t>Shared claim-specific concepts:</w:t>
      </w:r>
      <w:r>
        <w:t xml:space="preserve"> air, pollution, comprehensive, consistent;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2023:</w:t>
      </w:r>
      <w:r>
        <w:t xml:space="preserve"> The Future Impact of Shipping Emissions on Air Quality in Europe under Climate Change — https://doi.org/10.3390/atmos14071126</w:t>
      </w:r>
    </w:p>
    <w:p>
      <w:pPr/>
      <w:r>
        <w:rPr>
          <w:b/>
        </w:rPr>
        <w:t>Shared claim-specific concepts:</w:t>
      </w:r>
      <w:r>
        <w:t xml:space="preserve"> quantify, air, modelling, system, climate, two; EU scope visible. This is a provisional connection, not an outcome finding.</w:t>
      </w:r>
    </w:p>
    <w:p>
      <w:pPr>
        <w:pStyle w:val="SourceNote"/>
      </w:pPr>
      <w:r>
        <w:rPr>
          <w:b/>
        </w:rPr>
        <w:t>Available abstract (not full text):</w:t>
      </w:r>
      <w:r>
        <w:t xml:space="preserve"> Ship engine combustion emits several atmospheric pollutants, such as PM, SOx, and NOx, which can have adverse health effects and are significant contributors to decreased air quality. Due to the distribution of maritime transport activity routes in the EU, a large portion of the population is exposed to shipping emissions throughout Europe. Therefore, in light of the European Commission long-term objective of “zero-waste, zero-emission” for maritime transport, the focus of this study was to quantify the impact of shipping emissions in the present, as well as the future, considering both emissions projection for the shipping sector and a climate change scenario. The WRF-CHIMERE modelling system was used to quantify the impact of shipping in Europe. To obtain the current and future contributions of maritime transport to the total pollutant concentrations, simulations were divided into two present (baseline and without shipping) and three future scenarios (shipping projection, climate change, and shipping projection and climate change). The results indicate that the current and future impacts of shipping emissions on pollutant concentrations are similar in some regions (NO2 for Northern Europe and SO2 for Southern Europe), which is due to the enforcement of emission control areas for those pollutants. However, efforts towards lowering emissions from the shipping sector are negated</w:t>
      </w:r>
    </w:p>
    <w:p>
      <w:pPr/>
      <w:r>
        <w:rPr>
          <w:b/>
        </w:rPr>
        <w:t>POSSIBLE 2023:</w:t>
      </w:r>
      <w:r>
        <w:t xml:space="preserve"> Clean air in Europe for all — https://doi.org/10.1097/ee9.0000000000000245</w:t>
      </w:r>
    </w:p>
    <w:p>
      <w:pPr/>
      <w:r>
        <w:rPr>
          <w:b/>
        </w:rPr>
        <w:t>Shared claim-specific concepts:</w:t>
      </w:r>
      <w:r>
        <w:t xml:space="preserve"> air, pollution, designed, comprehensive, climate; EU scope visible. This is a provisional connection, not an outcome finding.</w:t>
      </w:r>
    </w:p>
    <w:p>
      <w:pPr>
        <w:pStyle w:val="SourceNote"/>
      </w:pPr>
      <w:r>
        <w:rPr>
          <w:b/>
        </w:rPr>
        <w:t>Available abstract (not full text):</w:t>
      </w:r>
      <w:r>
        <w:t xml:space="preserve"> Introduction Ambient air pollution is a major global public health risk factor. There is now broad consensus that exposure to air pollution causes an array of adverse health effects based on evidence from a large scientific literature that has grown exponentially since the mid-1990s.1–4 Air pollution damages most organ systems and is linked to many debilitating diseases, such as asthma, cardiovascular diseases, chronic obstructive pulmonary disease, pneumonia, stroke, diabetes, lung cancer, and dementia.5 The Global Burden of Disease study estimated that in 2019 air pollution ranked as the fourth global risk factor for mortality, surpassed only by high blood pressure, tobacco use, and poor diet.6 The European Environment Agency estimated 300,000 premature deaths due to air pollution in the EU-27 in 2020—an unacceptable high air pollution burden.7 Air pollution levels have generally declined over the last several decades in Europe, due largely to successful air quality regulation and subsequent improvements in technology and industry. The current air quality legislation in Europe—the Ambient Air Quality Directive (AAQD) from 2008—set limit values for the annual mean of the air pollutants PM2.5 and NO2 to 25 and 40 µg/m3, respectively.8 These limit values are criticized for being insufficient to protect the health of EU citizens.9,10 The World Health Organization (WHO) released n</w:t>
      </w:r>
    </w:p>
    <w:p>
      <w:pPr/>
      <w:r>
        <w:rPr>
          <w:b/>
        </w:rPr>
        <w:t>POSSIBLE 2023:</w:t>
      </w:r>
      <w:r>
        <w:t xml:space="preserve"> Science Europe Response Public consultation on Horizon 2020 and Horizon Europe — https://doi.org/10.5281/zenodo.7664436</w:t>
      </w:r>
    </w:p>
    <w:p>
      <w:pPr/>
      <w:r>
        <w:rPr>
          <w:b/>
        </w:rPr>
        <w:t>Shared claim-specific concepts:</w:t>
      </w:r>
      <w:r>
        <w:t xml:space="preserve"> horizon, two, policies; EU scope visible. This is a provisional connection, not an outcome finding.</w:t>
      </w:r>
    </w:p>
    <w:p>
      <w:pPr>
        <w:pStyle w:val="SourceNote"/>
      </w:pPr>
      <w:r>
        <w:rPr>
          <w:b/>
        </w:rPr>
        <w:t>Available abstract (not full text):</w:t>
      </w:r>
      <w:r>
        <w:t xml:space="preserve"> As representative of major public organisations that fund and perform excellent research in Europe, Science Europe welcomes the opportunity to contribute to the reflection on the past, present, and future of the European Framework Programmes for Research and Innovation (R&amp;I). They are crucial instruments to boost European scientific excellence, facilitate collaboration among the European R&amp;I communities, and further develop the European Research Area (ERA). Despite a steady increase over the past decades, the budget of the programmes remains insufficient, and a majority of positively evaluated projects remain unfunded. The R&amp;I community must continue to advocate an increase of the budget, and to oppose any reductions over its lifetime, either during the yearly budget negotiations, or when new EU programmes are created and need funding. In this respect, it is crucial that citizens understand the importance of R&amp;I and support it. The main objective of the Framework Programmes has shifted since the preparation of Horizon 2020. A bigger focus was placed on a utilitarian purpose of scientific outputs for rapid (economic) impact. Additionally, political agendas became stronger drivers of R&amp;I strategies. Science Europe advocates a stronger focus on the generation of knowledge for its own intrinsic value, and on the confidence that excellent research and innovation will lead to impact.</w:t>
      </w:r>
    </w:p>
    <w:p>
      <w:pPr/>
      <w:r>
        <w:rPr>
          <w:b/>
        </w:rPr>
        <w:t>POSSIBLE 2023:</w:t>
      </w:r>
      <w:r>
        <w:t xml:space="preserve"> Effects of urban to regional emissions on the air pollution health burden in Europe — https://doi.org/10.1016/s2468-2667(23)00125-1</w:t>
      </w:r>
    </w:p>
    <w:p>
      <w:pPr/>
      <w:r>
        <w:rPr>
          <w:b/>
        </w:rPr>
        <w:t>Shared claim-specific concepts:</w:t>
      </w:r>
      <w:r>
        <w:t xml:space="preserve"> quantify, air, pollution, modelling, factors, climate; EU scope visible. This is a provisional connection, not an outcome finding.</w:t>
      </w:r>
    </w:p>
    <w:p>
      <w:pPr>
        <w:pStyle w:val="SourceNote"/>
      </w:pPr>
      <w:r>
        <w:rPr>
          <w:b/>
        </w:rPr>
        <w:t>Available abstract (not full text):</w:t>
      </w:r>
      <w:r>
        <w:t xml:space="preserve"> Ambient air pollution is one of the largest health risk factors facing populations globally;1Cohen AJ Brauer M Burnett R et al.Estimates and 25-year trends of the global burden of disease attributable to ambient air pollution: an analysis of data from the Global Burden of Diseases Study 2015.Lancet. 2017; 389: 1907-1918Summary Full Text Full Text PDF PubMed Scopus (3543) Google Scholar however, who is responsible for pollution exposure across various populations is unclear. Is attainment of clean air the provenance of municipal governments, or does it require coordinated action with neighbouring upwind cities, states or provinces, and countries, or even intercontinental agreements? Many studies have sought to address this question, from investigations of hemispheric atmospheric transport affecting continental mean pollutant concentrations2Dentener F Keating T Akimoto H Hemispheric transport of air pollution 2010. Part A: ozone and particulate matter. UN, New York, NY, and Geneva2010Google Scholar to quantifying the role of municipal emissions in air quality in individual cities.3Tessum MW Anenberg SC Chafe ZA et al.Sources of ambient PM2·5 exposure in 96 global cities.Atmos Environ. 2022; 286119234Crossref Scopus (4) Google Scholar, 4Nawaz MO Henze DK Anenberg SC et al.Sources of air pollution-related health impacts and benefits of radially applied transportation policies in 14</w:t>
      </w:r>
    </w:p>
    <w:p>
      <w:pPr>
        <w:pStyle w:val="Heading2"/>
      </w:pPr>
      <w:r>
        <w:t>953. Foresight and “grand challenges” within research and innovation policies</w:t>
      </w:r>
    </w:p>
    <w:p>
      <w:pPr>
        <w:pStyle w:val="SourceNote"/>
      </w:pPr>
      <w:r>
        <w:rPr>
          <w:b/>
        </w:rPr>
        <w:t>Original source (2013):</w:t>
      </w:r>
      <w:r>
        <w:t xml:space="preserve"> https://doi.org/10.1108/14636681311310123</w:t>
      </w:r>
    </w:p>
    <w:p>
      <w:pPr/>
      <w:r>
        <w:t>Original wording (abstract; indexed_source_text_not_full_document_verified): Purpose The paper seeks to discuss how foresight is used to understand the implications of global changes for research and innovation policies. It aims to present a recent Irish case study that identified grand challenges in the national context, with their implications for research and innovation.</w:t>
      </w:r>
    </w:p>
    <w:p>
      <w:pPr/>
      <w:r>
        <w:rPr>
          <w:b/>
        </w:rPr>
        <w:t>POSSIBLE 2026:</w:t>
      </w:r>
      <w:r>
        <w:t xml:space="preserve"> Meaning, Purpose, and Leadership Thriving — https://doi.org/10.1002/jls.70045</w:t>
      </w:r>
    </w:p>
    <w:p>
      <w:pPr/>
      <w:r>
        <w:rPr>
          <w:b/>
        </w:rPr>
        <w:t>Shared claim-specific concepts:</w:t>
      </w:r>
      <w:r>
        <w:t xml:space="preserve"> purpose, implications, challenges; EU scope not established. This is a provisional connection, not an outcome finding.</w:t>
      </w:r>
    </w:p>
    <w:p>
      <w:pPr>
        <w:pStyle w:val="SourceNote"/>
      </w:pPr>
      <w:r>
        <w:rPr>
          <w:b/>
        </w:rPr>
        <w:t>Available abstract (not full text):</w:t>
      </w:r>
      <w:r>
        <w:t xml:space="preserve"> ABSTRACT This article advances a framework linking meaning‐making and purpose to leadership thriving. Drawing on leadership, positive psychology, and higher education literature, I position leadership as an interpretive and developmental process through which individuals construct meaning, sustain purpose, and cultivate coherent leadership identities. Meaning‐making is examined as a mechanism to shape how challenges are interpreted, while purpose functions as a motivational anchor to sustain engagement and direction. Leadership identity integrates these elements, supporting authenticity and developmental continuity. Implications for leadership education are discussed, emphasizing reflective practice, narrative development, and purpose exploration as core pedagogical strategies to foster thriving among undergraduate leaders.</w:t>
      </w:r>
    </w:p>
    <w:p>
      <w:pPr/>
      <w:r>
        <w:rPr>
          <w:b/>
        </w:rPr>
        <w:t>POSSIBLE 2025:</w:t>
      </w:r>
      <w:r>
        <w:t xml:space="preserve"> The Authenticity of Purpose Claims: Firm Capacity and Job Seeker Responses to Recruitment Efforts — https://doi.org/10.1287/mnsc.2023.03931</w:t>
      </w:r>
    </w:p>
    <w:p>
      <w:pPr/>
      <w:r>
        <w:rPr>
          <w:b/>
        </w:rPr>
        <w:t>Shared claim-specific concepts:</w:t>
      </w:r>
      <w:r>
        <w:t xml:space="preserve"> purpose, understand, present, recent, context; EU scope not established. This is a provisional connection, not an outcome finding.</w:t>
      </w:r>
    </w:p>
    <w:p>
      <w:pPr>
        <w:pStyle w:val="SourceNote"/>
      </w:pPr>
      <w:r>
        <w:rPr>
          <w:b/>
        </w:rPr>
        <w:t>Available abstract (not full text):</w:t>
      </w:r>
      <w:r>
        <w:t xml:space="preserve"> Whereas corporate purpose involves a claim made to galvanize stakeholders, recent research on the topic has not examined it as a claim. Given the information asymmetry that many evaluators of purpose claims face, a key question concerns the conditions under which they are not simply viewed as cheap talk but are instead perceived as authentic. We argue that the difficulty and future orientation inherent to purpose claims make firm capacity a key source of authenticity and, ultimately, positive evaluations. We examine these ideas in the labor market context, where employers often present purpose claims to job seekers facing information asymmetry. First, we develop and validate a novel measure of purpose claim strength using a combination of topic modeling, dictionary-based validation, and experimental validation. Using this measure, we test our capacity hypothesis with job application field data, using firm size as a proxy for capacity. We find that high-purpose job posts receive approximately 50% more applications than low-purpose job posts when the firm has more than 1,000 employees, but only receive about a 10% increase when the firm has fewer than 50 employees. In a second study, we use vignette experiments to directly test our hypothesized mechanism. We show that, conditional on a strong purpose claim, size manipulations shape capacity perceptions, leading to greater perceiv</w:t>
      </w:r>
    </w:p>
    <w:p>
      <w:pPr/>
      <w:r>
        <w:rPr>
          <w:b/>
        </w:rPr>
        <w:t>POSSIBLE 2024:</w:t>
      </w:r>
      <w:r>
        <w:t xml:space="preserve"> FINDING OUR PURPOSE — https://doi.org/10.1002/9781394308705.ch2</w:t>
      </w:r>
    </w:p>
    <w:p>
      <w:pPr/>
      <w:r>
        <w:rPr>
          <w:b/>
        </w:rPr>
        <w:t>Shared claim-specific concepts:</w:t>
      </w:r>
      <w:r>
        <w:t xml:space="preserve"> purpose, discuss, understand; EU scope not established. This is a provisional connection, not an outcome finding.</w:t>
      </w:r>
    </w:p>
    <w:p>
      <w:pPr>
        <w:pStyle w:val="SourceNote"/>
      </w:pPr>
      <w:r>
        <w:rPr>
          <w:b/>
        </w:rPr>
        <w:t>Available abstract (not full text):</w:t>
      </w:r>
      <w:r>
        <w:t xml:space="preserve"> In this chapter, the authors discuss about the experience of an amazing journey while writing and promoting the book. One of the most inspiring aspects of that journey was meeting countless people who had found a sense of Purpose in what they were doing. The authors find meaning in it and connect their work with values that they held dear. They discover a clear why that informed their creativity and actions. This realization became even clearer, and the hunger to discover Purpose in our own lives and work grew increasingly important to us. In many ways, that experience is what makes the struggle to understand the Purpose so relatable and understandable. The authors suggest that people needed to embark on new journeys, not ones focused on the Purposes of others but a journey to discover their own why and reason for being.</w:t>
      </w:r>
    </w:p>
    <w:p>
      <w:pPr/>
      <w:r>
        <w:rPr>
          <w:b/>
        </w:rPr>
        <w:t>POSSIBLE 2024:</w:t>
      </w:r>
      <w:r>
        <w:t xml:space="preserve"> Pregnant Women's Experiences of Seeking Treatment for Opioid Use — https://doi.org/10.1097/nmc.0000000000001024</w:t>
      </w:r>
    </w:p>
    <w:p>
      <w:pPr/>
      <w:r>
        <w:rPr>
          <w:b/>
        </w:rPr>
        <w:t>Shared claim-specific concepts:</w:t>
      </w:r>
      <w:r>
        <w:t xml:space="preserve"> purpose, used, understand, implications, identified; EU scope not established. This is a provisional connection, not an outcome finding.</w:t>
      </w:r>
    </w:p>
    <w:p>
      <w:pPr>
        <w:pStyle w:val="SourceNote"/>
      </w:pPr>
      <w:r>
        <w:rPr>
          <w:b/>
        </w:rPr>
        <w:t>Available abstract (not full text):</w:t>
      </w:r>
      <w:r>
        <w:t xml:space="preserve"> PURPOSE: The purpose of this study was to describe women's experiences seeking treatment for opioid use disorder during pregnancy. STUDY DESIGN AND METHODS: This was an exploratory multi-method study to understand women's experiences seeking treatment for opioid use disorder during pregnancy using surveys and interviews. Women pregnant within the past 5 years while using opioids were recruited from a private Facebook group for mothers on medication for opioid use disorder. Members of this group assisted with the development of the survey. Descriptive statistics were used for the 18-question survey and interviews were recorded, transcribed, and analyzed for themes. RESULTS: Twenty-one women completed an online survey, and six participated in an in-depth virtual interview about their experience. Five themes describing their experiences were identified: (1) fear of child protective services, (2) family and partner support, (3) health care providers' reactions, (4) accessing treatment centers, and (5) awareness of support services during pregnancy . CLINICAL IMPLICATIONS: Participants reported an overall negative experience seeking treatment for opioid use disorder during pregnancy. Nurses can improve the outcomes for pregnant women with opioid use disorder by using a non-stigmatizing approach, promoting early identification, and providing information, including harm reduction educ</w:t>
      </w:r>
    </w:p>
    <w:p>
      <w:pPr/>
      <w:r>
        <w:rPr>
          <w:b/>
        </w:rPr>
        <w:t>POSSIBLE 2023:</w:t>
      </w:r>
      <w:r>
        <w:t xml:space="preserve"> Power of a Feminist Identity on Sense of Self and Purpose — https://doi.org/10.33470/2161-0029.1148</w:t>
      </w:r>
    </w:p>
    <w:p>
      <w:pPr/>
      <w:r>
        <w:rPr>
          <w:b/>
        </w:rPr>
        <w:t>Shared claim-specific concepts:</w:t>
      </w:r>
      <w:r>
        <w:t xml:space="preserve"> purpose, understand, implications; EU scope not established. This is a provisional connection, not an outcome finding.</w:t>
      </w:r>
    </w:p>
    <w:p>
      <w:pPr>
        <w:pStyle w:val="SourceNote"/>
      </w:pPr>
      <w:r>
        <w:rPr>
          <w:b/>
        </w:rPr>
        <w:t>Available abstract (not full text):</w:t>
      </w:r>
      <w:r>
        <w:t xml:space="preserve"> This study centered on feminist-identified women and the meaning they made from their feminist identity. Using an Interpretative Phenomenological Analysis design, eight women were interviewed to understand their lived experience and the influence their social or political identity had on how they experienced and made sense of their world. The overarching finding was that all participants exuded a strong sense of self, which seemed to provide resilience and empower participants to navigate sexism and other injustice. Themes that support this finding include exhibiting confidence and self-advocacy, confronting sexism, and describing a connection between feminist identity and career or activism. Implications are provided for counselors, counselor educators, and supervisors. Recommendations include recognizing the importance of clients’ feminist identities throughout the counseling process and drawing on a feminist framework to process lived discrimination and injustice, empower clients, and locate support systems.</w:t>
      </w:r>
    </w:p>
    <w:p>
      <w:pPr/>
      <w:r>
        <w:rPr>
          <w:b/>
        </w:rPr>
        <w:t>POSSIBLE 2021:</w:t>
      </w:r>
      <w:r>
        <w:t xml:space="preserve"> Automata, Purpose, and Value — https://doi.org/10.4324/9781003205760-9</w:t>
      </w:r>
    </w:p>
    <w:p>
      <w:pPr/>
      <w:r>
        <w:rPr>
          <w:b/>
        </w:rPr>
        <w:t>Shared claim-specific concepts:</w:t>
      </w:r>
      <w:r>
        <w:t xml:space="preserve"> purpose, aims, context; EU scope not established. This is a provisional connection, not an outcome finding.</w:t>
      </w:r>
    </w:p>
    <w:p>
      <w:pPr>
        <w:pStyle w:val="SourceNote"/>
      </w:pPr>
      <w:r>
        <w:rPr>
          <w:b/>
        </w:rPr>
        <w:t>Available abstract (not full text):</w:t>
      </w:r>
      <w:r>
        <w:t xml:space="preserve"> Goal-seeking or purposive behavior was also one of the functions thought to be denied to automata. This chapter aims to argue that there is, related to purposiveness, one area of essential difference between humans and automata that has not thus far been replicated or simulated, even ‘in principle.’ The problem of the distinction between human beings and sophisticated machines of the robot sort has often been discussed in the context of whether robots can be made to exhibit characteristic behavior of humans or to accomplish all the ‘mental’ tasks that humans can. The metaphorical or analogical extension of such terminology neglects the complex human context in which its meaningfulness has arisen. The fact that most ordinary goals and values are acquired from our social environment does not mean, either, that those that come from society are not deliberate, not autonomous human purposes.</w:t>
      </w:r>
    </w:p>
    <w:p>
      <w:pPr/>
      <w:r>
        <w:rPr>
          <w:b/>
        </w:rPr>
        <w:t>POSSIBLE 2021:</w:t>
      </w:r>
      <w:r>
        <w:t xml:space="preserve"> Health-seeking behaviours of immigrants, asylum seekers and refugees in Europe: a systematic review of peer-reviewed articles — https://doi.org/10.1108/jd-10-2020-0168</w:t>
      </w:r>
    </w:p>
    <w:p>
      <w:pPr/>
      <w:r>
        <w:rPr>
          <w:b/>
        </w:rPr>
        <w:t>Shared claim-specific concepts:</w:t>
      </w:r>
      <w:r>
        <w:t xml:space="preserve"> purpose, used, understand, implications, challenges, context; EU scope visible. This is a provisional connection, not an outcome finding.</w:t>
      </w:r>
    </w:p>
    <w:p>
      <w:pPr>
        <w:pStyle w:val="SourceNote"/>
      </w:pPr>
      <w:r>
        <w:rPr>
          <w:b/>
        </w:rPr>
        <w:t>Available abstract (not full text):</w:t>
      </w:r>
      <w:r>
        <w:t xml:space="preserve"> Purpose Immigrants, asylum seekers and refugees living in Europe face a number of challenges in accessing or using health information and healthcare services available in their host countries. To resolve these issues and deliver the necessary services, providers must take a comprehensive approach to better understand the types of health information and healthcare services that these individuals need, seek and use. Therefore, the purpose of this paper is to develop that comprehensive approach. Design/methodology/approach In this paper, a systematic literature review of peer-reviewed publications was performed, with 3.013 articles collected from various databases. A total of 57 qualifying papers on studies conducted in Europe were included in the review after applying the predefined inclusion and exclusion requirements, screening processes and eliminating duplicates. The information seeking and communication model (ISCM) was used in the analysis. Findings The findings revealed that while many health information and healthcare services are accessible in Europe for immigrants, asylum seekers and refugees, many of these individuals are unaware of their existence or how to access them. While our findings do not specify what health-related information these groups need, use or seek, they do suggest the importance and value of providing mental health, sexual health and HIV, as well as </w:t>
      </w:r>
    </w:p>
    <w:p>
      <w:pPr/>
      <w:r>
        <w:rPr>
          <w:b/>
        </w:rPr>
        <w:t>POSSIBLE 2020:</w:t>
      </w:r>
      <w:r>
        <w:t xml:space="preserve"> Men’s help-seeking behaviour — https://openalex.org/W3041004601</w:t>
      </w:r>
    </w:p>
    <w:p>
      <w:pPr/>
      <w:r>
        <w:rPr>
          <w:b/>
        </w:rPr>
        <w:t>Shared claim-specific concepts:</w:t>
      </w:r>
      <w:r>
        <w:t xml:space="preserve"> purpose, used, identified; EU scope not established. This is a provisional connection, not an outcome finding.</w:t>
      </w:r>
    </w:p>
    <w:p>
      <w:pPr>
        <w:pStyle w:val="SourceNote"/>
      </w:pPr>
      <w:r>
        <w:rPr>
          <w:b/>
        </w:rPr>
        <w:t>Available abstract (not full text):</w:t>
      </w:r>
      <w:r>
        <w:t xml:space="preserve"> This thesis used a self-reporting online survey to gather firsthand knowledge of men’s help-seeking behaviour. Research into men’s unwillingness to accept help generally, and more specifically for psychotherapy, is reviewed. The purpose of this study is to explore societal and personal barriers which influence men’s willingness to seek support for mental health issues. The survey, created by the researcher, included Likert and open-ended questions. Men’s responses revealed that conformity to masculine norms inhibit healthy help-seeking behaviour. Possible ways of changing traditional male attitudes towards counselling are discussed and further areas of research identified.</w:t>
      </w:r>
    </w:p>
    <w:p>
      <w:pPr/>
      <w:r>
        <w:rPr>
          <w:b/>
        </w:rPr>
        <w:t>POSSIBLE 2019:</w:t>
      </w:r>
      <w:r>
        <w:t xml:space="preserve"> Why do people seek knowledge? Tracing factors that affect knowledge seeking intention — https://doi.org/10.1108/vjikms-04-2019-0059</w:t>
      </w:r>
    </w:p>
    <w:p>
      <w:pPr/>
      <w:r>
        <w:rPr>
          <w:b/>
        </w:rPr>
        <w:t>Shared claim-specific concepts:</w:t>
      </w:r>
      <w:r>
        <w:t xml:space="preserve"> purpose, seeks, used, understand, implications; EU scope not established. This is a provisional connection, not an outcome finding.</w:t>
      </w:r>
    </w:p>
    <w:p>
      <w:pPr>
        <w:pStyle w:val="SourceNote"/>
      </w:pPr>
      <w:r>
        <w:rPr>
          <w:b/>
        </w:rPr>
        <w:t>Available abstract (not full text):</w:t>
      </w:r>
      <w:r>
        <w:t xml:space="preserve"> Purpose The purpose of this study is to understand factors that motivate an individual to seek knowledge on knowledge management systems. Specifically, the work seeks to clarify the impact of organizational practices on an individual’s intention to seek knowledge. The overarching theme is to broaden the current understanding of factors that impact individual knowledge seeking behavior and narrow down factors for which interventions can be developed. Design/methodology/approach In-depth interviews were conducted with the members of knowledge management (KM), human resources (HR) and learning and development teams of Robert Bosch Engineering and Business Solutions Private Limited (RBEI) to understand knowledge behaviors of employees. Subsequent to an exploratory analysis, the survey methodology was used to collect data from members of RBEI. A proposed theoretical model was then validated using partial least squares. Findings Empirical findings suggest that to motivate participation, organizational KM practices need to be geared towards promoting curiosity and engaging learners. Results indicate that overt recognition of knowledge seeking behaviors by HR could be counterproductive. Research limitations/implications This study was limited to an MNC engineering organization in one geographic location; one must be cautious when generalizing these results. Replicating this study in mu</w:t>
      </w:r>
    </w:p>
    <w:p>
      <w:pPr/>
      <w:r>
        <w:rPr>
          <w:b/>
        </w:rPr>
        <w:t>POSSIBLE 2019:</w:t>
      </w:r>
      <w:r>
        <w:t xml:space="preserve"> Using the Theory of Planned Behavior to Understand Factors Influencing South Asian Consumers’ Intention to Seek Pharmacist-Provided Medication Therapy Management Services — https://doi.org/10.3390/pharmacy7030088</w:t>
      </w:r>
    </w:p>
    <w:p>
      <w:pPr/>
      <w:r>
        <w:rPr>
          <w:b/>
        </w:rPr>
        <w:t>Shared claim-specific concepts:</w:t>
      </w:r>
      <w:r>
        <w:t xml:space="preserve"> purpose, used, understand; EU scope not established. This is a provisional connection, not an outcome finding.</w:t>
      </w:r>
    </w:p>
    <w:p>
      <w:pPr>
        <w:pStyle w:val="SourceNote"/>
      </w:pPr>
      <w:r>
        <w:rPr>
          <w:b/>
        </w:rPr>
        <w:t>Available abstract (not full text):</w:t>
      </w:r>
      <w:r>
        <w:t xml:space="preserve"> The study purpose was to use the theory of planned behavior to understand factors influencing South Asian consumers’ intention to seek pharmacist-provided medication therapy management services (MTMS). Specific objectives were to assess effects of attitude, subjective norm (SN), perceived behavioral control (PBC), and socio-demographics on South Asian consumers’ intention to seek MTMS. Participants who were ≥18 years of age, of South Asian origin, with a previous visit to a pharmacy in the US for a health-related reason, and with ability to read and comprehend English were recruited from independent pharmacies in New York City. Responses were obtained through a self-administered survey. Descriptive statistics were performed, and multiple linear regression analysis was conducted to assess the study objective. SPSS was used for data analyses. Out of 140 responses, 133 were usable. Mean scores (standard deviation) were 4.04 (0.97) for attitude, 3.77 (0.91) for SN, 3.75 (0.93) for PBC, and 3.96 (0.94) for intention. The model explains 80.8% of variance and is a significant predictor of intention, F (14,118) = 35.488, p &lt; 0.05. While attitude (β = 0.723, p &lt; 0.05) and PBC (β = 0.148, p &lt; 0.05) were significant predictors of intention, SN (β = 0.064, p = 0.395) was not. None of the socio-demographics were significant predictors of intention. Strategies to make South Asians seek MTMS </w:t>
      </w:r>
    </w:p>
    <w:p>
      <w:pPr/>
      <w:r>
        <w:rPr>
          <w:b/>
        </w:rPr>
        <w:t>POSSIBLE 2019:</w:t>
      </w:r>
      <w:r>
        <w:t xml:space="preserve"> Seeking legitimacy — https://doi.org/10.1108/sampj-12-2018-0332</w:t>
      </w:r>
    </w:p>
    <w:p>
      <w:pPr/>
      <w:r>
        <w:rPr>
          <w:b/>
        </w:rPr>
        <w:t>Shared claim-specific concepts:</w:t>
      </w:r>
      <w:r>
        <w:t xml:space="preserve"> purpose, discuss, implications, recent; EU scope not established. This is a provisional connection, not an outcome finding.</w:t>
      </w:r>
    </w:p>
    <w:p>
      <w:pPr>
        <w:pStyle w:val="SourceNote"/>
      </w:pPr>
      <w:r>
        <w:rPr>
          <w:b/>
        </w:rPr>
        <w:t>Available abstract (not full text):</w:t>
      </w:r>
      <w:r>
        <w:t xml:space="preserve"> Purpose In this essay, the author reflects on the legitimacy theory in corporate social responsibility (CSR) disclosure research. Design/methodology/approach This is a reflection/review essay based on a review of relevant literature. Findings Although almost constantly under attack from a variety of scholars, legitimacy theory seems to hold on in the social and environmental disclosure arena. However, the failure of the recent wave of CSR-themed work published in The Accounting Review to even acknowledge, let alone engage with, the theory is problematic. Research limitations/implications We, in the CSR disclosure arena, need to do all we can to help emerging scholars (particularly in the USA) find the rich body of research the mainstream journals fail to discuss. Practical implications Legitimacy-based research can help move CSR disclosure at least closer to being a tool of accountability, as opposed to a tool for legitimation. Social implications Perhaps the critique of the mainstream North American literature’s failure to consider legitimacy theory can lead to the recognition of the need to focus on the harm to sustainability that a narrow, shareholder-centric focus leads to. Originality/value This reflection takes a unique look at the contributions of legitimacy theory to CSR disclosure research.</w:t>
      </w:r>
    </w:p>
    <w:p>
      <w:pPr/>
      <w:r>
        <w:rPr>
          <w:b/>
        </w:rPr>
        <w:t>POSSIBLE 2017:</w:t>
      </w:r>
      <w:r>
        <w:t xml:space="preserve"> Purposing: How Purpose Develops Self-Organizing Capacities — https://doi.org/10.5465/ambpp.2017.17754abstract</w:t>
      </w:r>
    </w:p>
    <w:p>
      <w:pPr/>
      <w:r>
        <w:rPr>
          <w:b/>
        </w:rPr>
        <w:t>Shared claim-specific concepts:</w:t>
      </w:r>
      <w:r>
        <w:t xml:space="preserve"> purpose, seeks, understand; EU scope not established. This is a provisional connection, not an outcome finding.</w:t>
      </w:r>
    </w:p>
    <w:p>
      <w:pPr>
        <w:pStyle w:val="SourceNote"/>
      </w:pPr>
      <w:r>
        <w:rPr>
          <w:b/>
        </w:rPr>
        <w:t>Available abstract (not full text):</w:t>
      </w:r>
      <w:r>
        <w:t xml:space="preserve"> Self-organization and organic-like organization are gaining more traction during the last few years with different forms and organizing structures, offering a potential alternative to mainstream traditional bureaucracy. This paper seeks to identify structural commonalities between organizations that claim self-organization and organic structures, in order to understand them and assess the way they foster personal commitment for desired objectives. I interviewed 31 individuals from 6 organizations from diverse sectors. I discovered various forms and practices, not as models of perfection, but as efforts of change to realize wholly different values in the way they unite in making purpose and meaning alive and in turning on the logic of responsible autonomy and peer accountability. The findings highlight the importance of a process that supports (1) basic psychological needs satisfaction of autonomy, competence, and relatedness, (2) the continuous search for meaning and (3) a tolerance for uncertainty to allow safe experimentation; a process that I labeled ‘purposing’. These organizations are serious initiatives to break from the traditional institutional grip of the hierarchical structures of command and control. This paper is important to both academicians and practitioners who seek to understand alternative forms and practices to organize and coordinate human efforts since it s</w:t>
      </w:r>
    </w:p>
    <w:p>
      <w:pPr>
        <w:pStyle w:val="Heading2"/>
      </w:pPr>
      <w:r>
        <w:t>954. Foresighting addiction and lifestyles in Europe 2030+</w:t>
      </w:r>
    </w:p>
    <w:p>
      <w:pPr>
        <w:pStyle w:val="SourceNote"/>
      </w:pPr>
      <w:r>
        <w:rPr>
          <w:b/>
        </w:rPr>
        <w:t>Original source (2013):</w:t>
      </w:r>
      <w:r>
        <w:t xml:space="preserve"> https://doi.org/10.1007/s40309-013-0019-0</w:t>
      </w:r>
    </w:p>
    <w:p>
      <w:pPr/>
      <w:r>
        <w:t>Original wording (abstract; indexed_source_text_not_full_document_verified): The project invited 17 European and three international drug disorder experts to provide an initial vision and a reframing as to how scientific, technological and social advancement may impact on our understanding of addictions and lifestyles over the next 20 years («Vision 2030+»). Four mini-scenarios were designed to raise awareness that the future could go in different (possible, plausible, preferable) directions implying quite diverse individual and societal impacts.</w:t>
      </w:r>
    </w:p>
    <w:p>
      <w:pPr/>
      <w:r>
        <w:rPr>
          <w:b/>
        </w:rPr>
        <w:t>POSSIBLE 2026:</w:t>
      </w:r>
      <w:r>
        <w:t xml:space="preserve"> The Horizon Europe CRM-geothermal project: Deliverable 6.7 – Clustering Network Map. — https://doi.org/10.5281/zenodo.19929926</w:t>
      </w:r>
    </w:p>
    <w:p>
      <w:pPr/>
      <w:r>
        <w:rPr>
          <w:b/>
        </w:rPr>
        <w:t>Shared claim-specific concepts:</w:t>
      </w:r>
      <w:r>
        <w:t xml:space="preserve"> project, invited, three, raise; EU scope visible. This is a provisional connection, not an outcome finding.</w:t>
      </w:r>
    </w:p>
    <w:p>
      <w:pPr>
        <w:pStyle w:val="SourceNote"/>
      </w:pPr>
      <w:r>
        <w:rPr>
          <w:b/>
        </w:rPr>
        <w:t>Available abstract (not full text):</w:t>
      </w:r>
      <w:r>
        <w:t xml:space="preserve"> The present deliverable is dedicated to reporting the cooperation measures and the respective map of clustering initiatives that were engaged as part of the CRM-geothermal Task 6.6 – Clustering. The task has the purpose of establishing a network of projects and initiatives, mainly funded under Horizon Europe, related to the pillars of CRM-geothermal: sourcing of critical raw materials and geothermal energy. From this network, researchers and other representatives of the projects co-generate opportunities to organise discussions and other joint activities to discuss common topics and mutually contribute to each other’s research efforts. The consortium partners of CRM-geothermal were contacted by the leader of Task 6.6 in order to collect potential clustering candidates from their network of contacts, which were contacted with the support of a clustering form template. The template allowed CRM-geothermal and the contacted projects to learn more about each other and to assess the mutual interest and respective ideas for joint collaboration. In parallel, partners have been making contacts and redirecting clustering opportunities and events in which CRM-geothermal can participate to the clustering task leader, on an ad-hoc basis. As a result, CRM-geothermal was invited to join the ‘Materials for batteries Cluster Hub’, together with 25 other EU initiatives dedicated to sourcing of r</w:t>
      </w:r>
    </w:p>
    <w:p>
      <w:pPr/>
      <w:r>
        <w:rPr>
          <w:b/>
        </w:rPr>
        <w:t>POSSIBLE 2025:</w:t>
      </w:r>
      <w:r>
        <w:t xml:space="preserve"> ESPAD Report 2024:Results from the European School Survey Project on Alcohol and Other Drugs — https://openalex.org/W7120667521</w:t>
      </w:r>
    </w:p>
    <w:p>
      <w:pPr/>
      <w:r>
        <w:rPr>
          <w:b/>
        </w:rPr>
        <w:t>Shared claim-specific concepts:</w:t>
      </w:r>
      <w:r>
        <w:t xml:space="preserve"> project, over; EU scope visible. This is a provisional connection, not an outcome finding.</w:t>
      </w:r>
    </w:p>
    <w:p>
      <w:pPr>
        <w:pStyle w:val="SourceNote"/>
      </w:pPr>
      <w:r>
        <w:rPr>
          <w:b/>
        </w:rPr>
        <w:t>Available abstract (not full text):</w:t>
      </w:r>
      <w:r>
        <w:t xml:space="preserve"> This report presents the results from the seventh wave of data collection, conducted in 35 countries during the spring and autumn of 2024. It gives a comprehensive picture of the present situation among European young people as regards the use of cigarettes, alcohol, illicit drugs, inhalants, new psychoactive substances and pharmaceuticals, but also insights into gambling, social media use and gaming. The report also presents an overview of trends over the time period 1995-2019.</w:t>
      </w:r>
    </w:p>
    <w:p>
      <w:pPr/>
      <w:r>
        <w:rPr>
          <w:b/>
        </w:rPr>
        <w:t>POSSIBLE 2025:</w:t>
      </w:r>
      <w:r>
        <w:t xml:space="preserve"> Animal board invited review: A biocultural perspective of animal farming systems in Europe — https://doi.org/10.1016/j.animal.2025.101515</w:t>
      </w:r>
    </w:p>
    <w:p>
      <w:pPr/>
      <w:r>
        <w:rPr>
          <w:b/>
        </w:rPr>
        <w:t>Shared claim-specific concepts:</w:t>
      </w:r>
      <w:r>
        <w:t xml:space="preserve"> invited, three, scientific; EU scope visible. This is a provisional connection, not an outcome finding.</w:t>
      </w:r>
    </w:p>
    <w:p>
      <w:pPr>
        <w:pStyle w:val="SourceNote"/>
      </w:pPr>
      <w:r>
        <w:rPr>
          <w:b/>
        </w:rPr>
        <w:t>Available abstract (not full text):</w:t>
      </w:r>
      <w:r>
        <w:t xml:space="preserve"> • Animal farming systems’ biocultural values have been sidelined by intensification. • A biocultural diversity lens show biodiversity, climatic, and cultural benefits. • Examples show livestock as an animal-based solution for landscape sustainability. • Farming animals can act as transformative agents, creating sustainable landscapes. • A biocultural approach is key to unlocking the sustainability of animal farming. Europe’s landscapes have evolved through the intricate interplay of natural processes and human activities, one of which is animal farming; thus, historically creating biocultural landscapes rich in biological and cultural diversity. However, agricultural intensification has neglected and altered the role of animals within landscapes, and undermines the potential of more extensive animal farming systems to create sustainable landscapes, as an alternative to highly industrialised and high-density animal production, which is responsible for a wide range of environmental trade-offs. We present a biocultural diversity ( BCD ) framework to emphasise the contributions of animal farming systems to landscape sustainability from a social-ecological perspective. By applying a biocultural lens across three European case studies —peatland restoration in Germany, wildfire control in the Mediterranean, and hay milk production in the Alpine region— we demonstrate how animal farmin</w:t>
      </w:r>
    </w:p>
    <w:p>
      <w:pPr/>
      <w:r>
        <w:rPr>
          <w:b/>
        </w:rPr>
        <w:t>POSSIBLE 2024:</w:t>
      </w:r>
      <w:r>
        <w:t xml:space="preserve"> INVITED SYMPOSIUM — https://doi.org/10.1002/ijop.13184</w:t>
      </w:r>
    </w:p>
    <w:p>
      <w:pPr/>
      <w:r>
        <w:rPr>
          <w:b/>
        </w:rPr>
        <w:t>Shared claim-specific concepts:</w:t>
      </w:r>
      <w:r>
        <w:t xml:space="preserve"> invited, over; EU scope visible. This is a provisional connection, not an outcome finding.</w:t>
      </w:r>
    </w:p>
    <w:p>
      <w:pPr>
        <w:pStyle w:val="SourceNote"/>
      </w:pPr>
      <w:r>
        <w:rPr>
          <w:b/>
        </w:rPr>
        <w:t>Available abstract (not full text):</w:t>
      </w:r>
      <w:r>
        <w:t xml:space="preserve"> To be able to step over our shadows, we need the light of many others'.The effects of colonisation and enslavement are very much present in societies today.They are not only reflected in global economic relations and climate change, but also in social relationships, in minds and attitudes, and in the transgenerational transfer of traumas.The question is raised whether contemporary psychology is ready to remedy the effects of past unequal and destructive power relations or whether it contributes to maintaining the status quo.Colonisation reduced humans to commodities, treating them with disrespect and depriving them of dignified circumstances to live in.The land of the colonised was taken, their holy grounds, rivers, trees were disrespected, and their ways of making a living disrupted.People in slavery were deprived of their freedom.They did not even possess their bodies anymore.The large power differentials created by colonization and slavery had and continue to have consequences for the descendants of both the colonized and the colonizers.This symposium examines developments in psychology that seek to deconstruct and repair the malign effects of colonialism in Europe and Brazil.</w:t>
      </w:r>
    </w:p>
    <w:p>
      <w:pPr/>
      <w:r>
        <w:rPr>
          <w:b/>
        </w:rPr>
        <w:t>POSSIBLE 2024:</w:t>
      </w:r>
      <w:r>
        <w:t xml:space="preserve"> — Invited Review — Pig meat production in the European Union-27: current status, challenges, and future trends — https://doi.org/10.5713/ab.23.0496</w:t>
      </w:r>
    </w:p>
    <w:p>
      <w:pPr/>
      <w:r>
        <w:rPr>
          <w:b/>
        </w:rPr>
        <w:t>Shared claim-specific concepts:</w:t>
      </w:r>
      <w:r>
        <w:t xml:space="preserve"> invited, three, technological, next; EU scope visible. This is a provisional connection, not an outcome finding.</w:t>
      </w:r>
    </w:p>
    <w:p>
      <w:pPr>
        <w:pStyle w:val="SourceNote"/>
      </w:pPr>
      <w:r>
        <w:rPr>
          <w:b/>
        </w:rPr>
        <w:t>Available abstract (not full text):</w:t>
      </w:r>
      <w:r>
        <w:t xml:space="preserve"> The main objective of this study was to present data on the current situation and future trends of pig meat production in the European Union-27 (EU). Pig production has played an important social and economic role for centuries in many states of the EU. In 2022, pig meat production in the EU reached 23 M tons, which represented 21% of total production worldwide. The two key reasons that justify such amount of pork produced, are the acceptance and high consumption of the meat by the local population and the high quality of the meat produced which facilitated pork export. However, current data show a reduction in pork production for the last three years, as a consequence of a series of events that include i) problems with the chain of ingredients supply, ii) uncontrolled increase in African Swine Fever (ASF) outbreaks, iii) fast recovery of pig production in China, iv) increasing concerns by the rural population on the high cost to meet future requirements of the EU legislation on farm management, environmental sustainability and animal welfare, v) increased cost of all inputs involved in pig production and vi) limited interest of the new farmer generation to work on the pig sector. Consequently, pork production is expected to decrease in the EU for the next years, although sales will be maintained at a relative high level because pork is the meat preferred by local consumers in </w:t>
      </w:r>
    </w:p>
    <w:p>
      <w:pPr/>
      <w:r>
        <w:rPr>
          <w:b/>
        </w:rPr>
        <w:t>POSSIBLE 2023:</w:t>
      </w:r>
      <w:r>
        <w:t xml:space="preserve"> Drug use and access to drug dependency services for vulnerable migrants who use drugs in the European Union: Consensus statements and recommendations from civil society experts in Europe — https://doi.org/10.1016/j.drugpo.2023.104087</w:t>
      </w:r>
    </w:p>
    <w:p>
      <w:pPr/>
      <w:r>
        <w:rPr>
          <w:b/>
        </w:rPr>
        <w:t>Shared claim-specific concepts:</w:t>
      </w:r>
      <w:r>
        <w:t xml:space="preserve"> drug, experts, four; EU scope visible. This is a provisional connection, not an outcome finding.</w:t>
      </w:r>
    </w:p>
    <w:p>
      <w:pPr>
        <w:pStyle w:val="SourceNote"/>
      </w:pPr>
      <w:r>
        <w:rPr>
          <w:b/>
        </w:rPr>
        <w:t>Available abstract (not full text):</w:t>
      </w:r>
      <w:r>
        <w:t xml:space="preserve"> BACKGROUND: The number of migrants in the European Union (EU) has been growing, including migrants at risk of using drugs. Little information is available on the actual drug use among first-generation migrants who use drugs in the EU, nor on their access to drug dependency services. This study aims to reach consensus among experts in the EU on the current situation regarding vulnerable migrants who use drugs in the EU and to develop a set of actionable recommendations. METHODS: Between April and September 2022, a panel of 57 experts on migration and/or drug use, working in 24 countries, participated in a three-stage Delphi study to develop statements and recommendations about drug use and access to healthcare services for migrants who use drugs in the EU. RESULTS: High levels of agreement were reached on the 20 statements (mean=98.0%) and 15 recommendations (mean=99.7%). The recommendations focus on four main topics; 1) increasing data availability and quality, to inform guidelines; 2) increasing the availability of drug dependency services for migrants, including screening for mental health issues and involving migrants who use drugs in the development of services; 3) eliminating country and service level barriers for accessing these services, as well as providing migrants who use drugs with suitable information, and combating stigma and discrimination; 4) the need for increas</w:t>
      </w:r>
    </w:p>
    <w:p>
      <w:pPr/>
      <w:r>
        <w:rPr>
          <w:b/>
        </w:rPr>
        <w:t>POSSIBLE 2022:</w:t>
      </w:r>
      <w:r>
        <w:t xml:space="preserve"> European Registry of Cardiac Arrest – Study-THREE (EuReCa THREE) – An international, prospective, multi-centre, three-month survey of epidemiology, treatment and outcome of patients with out-of-hospital cardiac arrest in Europe – The study protocol — https://doi.org/10.1016/j.resplu.2022.100314</w:t>
      </w:r>
    </w:p>
    <w:p>
      <w:pPr/>
      <w:r>
        <w:rPr>
          <w:b/>
        </w:rPr>
        <w:t>Shared claim-specific concepts:</w:t>
      </w:r>
      <w:r>
        <w:t xml:space="preserve"> project, three, international, provide; EU scope visible. This is a provisional connection, not an outcome finding.</w:t>
      </w:r>
    </w:p>
    <w:p>
      <w:pPr>
        <w:pStyle w:val="SourceNote"/>
      </w:pPr>
      <w:r>
        <w:rPr>
          <w:b/>
        </w:rPr>
        <w:t>Available abstract (not full text):</w:t>
      </w:r>
      <w:r>
        <w:t xml:space="preserve"> Background: The aim of the European Registry of Cardiac Arrest (EuReCa) network is to provide high quality evidence on epidemiology of out-of-hospital cardiac arrest (OHCA) in Europe by supporting and developing cardiac arrest registries and performing European-wide studies. To date, the EuReCa ONE and EuReCa TWO studies have involved around 28 countries, with population covered increasing from the first to the second study. The aim of the EuReCa THREE study is to build on previous work and to support the promotion of quality data collection on OHCA throughout Europe. Methods/design: EuReCa THREE will be the third prospective cohort study on epidemiology of OHCA and will involve around 30 European countries. The study will be conducted between 1st September and 30th November 2022. Data will be collected on cardiac arrest cases attended, resuscitation attempted, patient and cardiac arrest event characteristics and outcomes (including return of spontaneous circulation, status on hospital arrival and discharge). A particular focus for EuReCa THREE will be to describe key time intervals in OHCA management; time from call to EMS arrival on scene, time from cardiac arrest to start CPR, time from EMS arrival to delivery of patient to hospital.EuReCa THREE was registered with the German Registry of Clinical Trials Registration Number: DRKS00028591 searchable via WHO meta-registry (http</w:t>
      </w:r>
    </w:p>
    <w:p>
      <w:pPr/>
      <w:r>
        <w:rPr>
          <w:b/>
        </w:rPr>
        <w:t>POSSIBLE 2022:</w:t>
      </w:r>
      <w:r>
        <w:t xml:space="preserve"> Invited Commentary: Drug Checking for Novel Insights Into the Unregulated Drug Supply — https://doi.org/10.17615/s217-j120</w:t>
      </w:r>
    </w:p>
    <w:p>
      <w:pPr/>
      <w:r>
        <w:rPr>
          <w:b/>
        </w:rPr>
        <w:t>Shared claim-specific concepts:</w:t>
      </w:r>
      <w:r>
        <w:t xml:space="preserve"> invited, drug, provide, understanding; EU scope not established. This is a provisional connection, not an outcome finding.</w:t>
      </w:r>
    </w:p>
    <w:p>
      <w:pPr>
        <w:pStyle w:val="SourceNote"/>
      </w:pPr>
      <w:r>
        <w:rPr>
          <w:b/>
        </w:rPr>
        <w:t>Available abstract (not full text):</w:t>
      </w:r>
      <w:r>
        <w:t xml:space="preserve"> Tobias et al. (Am J Epidemiol. 2022;191 (2):241-247) present a novel analysis of time trends in fentanyl concentrations in the unregulated drug supply in British Columbia, Canada. The preexisting knowledge about unregulated drugs had come from law-enforcement seizures and postmortem toxicology. As both of these data sources are subject to selection bias, large-scale drug-checking programs are poised to be a crucial component of the public health response to the unrelenting increase in overdose in North America. As programs expand, we offer 2 guiding principles. First, the primary purpose of these programs is to deliver timely results to people who use drugs to mitigate health risks. Second, innovation is needed to go beyond criminal justice paradigms in laboratory analysis for a more nuanced understanding of health concerns. We provide examples of the role adulterants play in our understanding of drug harms. We also describe the applications and limitations of common laboratory assays, with implications for epidemiologic surveillance. While the research and direct service teams in British Columbia have taken groundbreaking steps, there is still a need to establish best practices for communicating results to sample donors in an approachable yet nonalarmist tone.</w:t>
      </w:r>
    </w:p>
    <w:p>
      <w:pPr/>
      <w:r>
        <w:rPr>
          <w:b/>
        </w:rPr>
        <w:t>POSSIBLE 2021:</w:t>
      </w:r>
      <w:r>
        <w:t xml:space="preserve"> Radiographer tips for gaining European research funding-our experience with the SAFE EUROPE project — https://openalex.org/W3202602997</w:t>
      </w:r>
    </w:p>
    <w:p>
      <w:pPr/>
      <w:r>
        <w:rPr>
          <w:b/>
        </w:rPr>
        <w:t>Shared claim-specific concepts:</w:t>
      </w:r>
      <w:r>
        <w:t xml:space="preserve"> project, invited, three, international, over; EU scope visible. This is a provisional connection, not an outcome finding.</w:t>
      </w:r>
    </w:p>
    <w:p>
      <w:pPr>
        <w:pStyle w:val="SourceNote"/>
      </w:pPr>
      <w:r>
        <w:rPr>
          <w:b/>
        </w:rPr>
        <w:t>Available abstract (not full text):</w:t>
      </w:r>
      <w:r>
        <w:t xml:space="preserve"> Abstract Purpose Research in radiography is expanding rapidly however gaining funding for research activity is getting increasingly difficult. The European Union (EU) is a valuable source of funding and has funding available in many areas e.g. regional development, employment or research. The aim of this paper is to share our experience of a successful funding application for radiography research. Methodology A application was made to the EU Sector Skills Alliance grant funding in 2017 to develop research on education and curriculum development for therapy radiographers. The proposed research project was aligned with the requisites of the EU funding call i.e. cooperation for innovation and the exchange of good practices. Seven international partners across Europe were invited to join the consortium to perform specific tasks for the application with one partner identified as the Principal Investigator. A re-submission was made in 2018 using the feedback provided by the evaluation panel in 2017. Results Successful grant of 499,736 Euros of research funding was awarded and the SAFE EUROPE project started in January 2019. The project is being led by Ulster University over three years and includes national professional associations, European federation, universities and hospitals. Literature reviews, surveys and interviews with stakeholders are currently underway across Europe. Conc</w:t>
      </w:r>
    </w:p>
    <w:p>
      <w:pPr/>
      <w:r>
        <w:rPr>
          <w:b/>
        </w:rPr>
        <w:t>POSSIBLE 2021:</w:t>
      </w:r>
      <w:r>
        <w:t xml:space="preserve"> Roadmap on digital holography [Invited] — https://doi.org/10.1364/oe.435915</w:t>
      </w:r>
    </w:p>
    <w:p>
      <w:pPr/>
      <w:r>
        <w:rPr>
          <w:b/>
        </w:rPr>
        <w:t>Shared claim-specific concepts:</w:t>
      </w:r>
      <w:r>
        <w:t xml:space="preserve"> invited, experts, vision; EU scope not established. This is a provisional connection, not an outcome finding.</w:t>
      </w:r>
    </w:p>
    <w:p>
      <w:pPr>
        <w:pStyle w:val="SourceNote"/>
      </w:pPr>
      <w:r>
        <w:rPr>
          <w:b/>
        </w:rPr>
        <w:t>Available abstract (not full text):</w:t>
      </w:r>
      <w:r>
        <w:t xml:space="preserve"> This Roadmap article on digital holography provides an overview of a vast array of research activities in the field of digital holography. The paper consists of a series of 25 sections from the prominent experts in digital holography presenting various aspects of the field on sensing, 3D imaging and displays, virtual and augmented reality, microscopy, cell identification, tomography, label-free live cell imaging, and other applications. Each section represents the vision of its author to describe the significant progress, potential impact, important developments, and challenging issues in the field of digital holography.</w:t>
      </w:r>
    </w:p>
    <w:p>
      <w:pPr/>
      <w:r>
        <w:rPr>
          <w:b/>
        </w:rPr>
        <w:t>POSSIBLE 2021:</w:t>
      </w:r>
      <w:r>
        <w:t xml:space="preserve"> Invited Commentary: Drug Checking for Novel Insights Into the Unregulated Drug Supply — https://doi.org/10.1093/aje/kwab233</w:t>
      </w:r>
    </w:p>
    <w:p>
      <w:pPr/>
      <w:r>
        <w:rPr>
          <w:b/>
        </w:rPr>
        <w:t>Shared claim-specific concepts:</w:t>
      </w:r>
      <w:r>
        <w:t xml:space="preserve"> invited, drug, provide, understanding; EU scope not established. This is a provisional connection, not an outcome finding.</w:t>
      </w:r>
    </w:p>
    <w:p>
      <w:pPr>
        <w:pStyle w:val="SourceNote"/>
      </w:pPr>
      <w:r>
        <w:rPr>
          <w:b/>
        </w:rPr>
        <w:t>Available abstract (not full text):</w:t>
      </w:r>
      <w:r>
        <w:t xml:space="preserve"> Tobias et al. (Am J Epidemiol. 2022;191 (2):241-247) present a novel analysis of time trends in fentanyl concentrations in the unregulated drug supply in British Columbia, Canada. The preexisting knowledge about unregulated drugs had come from law-enforcement seizures and postmortem toxicology. As both of these data sources are subject to selection bias, large-scale drug-checking programs are poised to be a crucial component of the public health response to the unrelenting increase in overdose in North America. As programs expand, we offer 2 guiding principles. First, the primary purpose of these programs is to deliver timely results to people who use drugs to mitigate health risks. Second, innovation is needed to go beyond criminal justice paradigms in laboratory analysis for a more nuanced understanding of health concerns. We provide examples of the role adulterants play in our understanding of drug harms. We also describe the applications and limitations of common laboratory assays, with implications for epidemiologic surveillance. While the research and direct service teams in British Columbia have taken groundbreaking steps, there is still a need to establish best practices for communicating results to sample donors in an approachable yet nonalarmist tone.</w:t>
      </w:r>
    </w:p>
    <w:p>
      <w:pPr/>
      <w:r>
        <w:rPr>
          <w:b/>
        </w:rPr>
        <w:t>POSSIBLE 2021:</w:t>
      </w:r>
      <w:r>
        <w:t xml:space="preserve"> Integrating partner notification and contact tracing services across Europe: findings from the Integrate project — https://doi.org/10.1186/s12879-021-06445-5</w:t>
      </w:r>
    </w:p>
    <w:p>
      <w:pPr/>
      <w:r>
        <w:rPr>
          <w:b/>
        </w:rPr>
        <w:t>Shared claim-specific concepts:</w:t>
      </w:r>
      <w:r>
        <w:t xml:space="preserve"> project, three, four; EU scope visible. This is a provisional connection, not an outcome finding.</w:t>
      </w:r>
    </w:p>
    <w:p>
      <w:pPr>
        <w:pStyle w:val="SourceNote"/>
      </w:pPr>
      <w:r>
        <w:rPr>
          <w:b/>
        </w:rPr>
        <w:t>Available abstract (not full text):</w:t>
      </w:r>
      <w:r>
        <w:t xml:space="preserve"> BACKGROUND: Partner notification/contact tracing (PN/CT) is a process whereby people diagnosed with an infectious disease notify their sexual and needle-sharing partners/close contacts and invite them for testing and treatment due to exposure to the disease. PN is a necessary testing and prevention tool supported by the European Centre for Disease Prevention and Control (ECDC) and World Health Organization (WHO). Traditionally, PN efforts have been siloed within disease areas, with separate pathways and systems responsible for specific diseases. The INTEGRATE project sought to improve PN/CT outcomes by sharing knowledge across diseases and countries. METHODS: INTEGRATE used two mapping exercises to assess the PN landscape in Europe and identify areas for integration and cross-learnings for Sexually Transmitted Infections (STIs) and Tuberculosis. Mapping exercises were surveys to 29 consortium partners and in-depth qualitative interviews at four selected pilot sites: Ireland, Greece, Romania and Italy. RESULTS: Areas for the improvement of PN/CT emerged: lack of resources and insufficient staff training, different modes of disease transmission, country-specific laws and regulations, the advent of General Data Protection Regulation (GDPR), differences in healthcare system pathways, historical concerns, and cultural differences. Activities highlighted key areas PN/CT outcomes coul</w:t>
      </w:r>
    </w:p>
    <w:p>
      <w:pPr>
        <w:pStyle w:val="Heading2"/>
      </w:pPr>
      <w:r>
        <w:t>955. From flood science to flood policy: the Foresight Future Flooding project seven years on</w:t>
      </w:r>
    </w:p>
    <w:p>
      <w:pPr>
        <w:pStyle w:val="SourceNote"/>
      </w:pPr>
      <w:r>
        <w:rPr>
          <w:b/>
        </w:rPr>
        <w:t>Original source (2013):</w:t>
      </w:r>
      <w:r>
        <w:t xml:space="preserve"> https://doi.org/10.1108/fs-06-2012-0046</w:t>
      </w:r>
    </w:p>
    <w:p>
      <w:pPr/>
      <w:r>
        <w:t>Original wording (abstract; indexed_source_text_not_full_document_verified): Purpose The Foresight Future Flooding (FFF) project researched flood risk in the UK to the year 2100 for central government, using scenarios and a national risk assessment model backed by qualitative analysis from panels of some 45 senior scientists.</w:t>
      </w:r>
    </w:p>
    <w:p>
      <w:pPr/>
      <w:r>
        <w:rPr>
          <w:b/>
        </w:rPr>
        <w:t>POSSIBLE 2026:</w:t>
      </w:r>
      <w:r>
        <w:t xml:space="preserve"> Eye of Europe Foresight Training Manual — https://openalex.org/W7220785974</w:t>
      </w:r>
    </w:p>
    <w:p>
      <w:pPr/>
      <w:r>
        <w:rPr>
          <w:b/>
        </w:rPr>
        <w:t>Shared claim-specific concepts:</w:t>
      </w:r>
      <w:r>
        <w:t xml:space="preserve"> purpose, foresight, project; EU scope visible. This is a provisional connection, not an outcome finding.</w:t>
      </w:r>
    </w:p>
    <w:p>
      <w:pPr>
        <w:pStyle w:val="SourceNote"/>
      </w:pPr>
      <w:r>
        <w:rPr>
          <w:b/>
        </w:rPr>
        <w:t>Available abstract (not full text):</w:t>
      </w:r>
      <w:r>
        <w:t xml:space="preserve"> The following document outlines the Eye of Europe Foresight Training Manual. The manual is developed by the Finland Futures Research Centre (FFRC), University of Turku, as part of the Work Package 4 (Futures Literacy) of the Eye of Europe project. The deliverable is submitted at month 10 of project (August 2024) after the delivery of prior pilot training for foresight beneficiaries. The purpose of the manual is to define and establish foresight training target groups, to describe, on a high level, intended training inputs and outcomes, and to document and reflect upon the first practical training activities of the project.</w:t>
      </w:r>
    </w:p>
    <w:p>
      <w:pPr/>
      <w:r>
        <w:rPr>
          <w:b/>
        </w:rPr>
        <w:t>POSSIBLE 2026:</w:t>
      </w:r>
      <w:r>
        <w:t xml:space="preserve"> Generative artificial intelligence for managerial foresight — https://doi.org/10.1016/j.futures.2026.103831</w:t>
      </w:r>
    </w:p>
    <w:p>
      <w:pPr/>
      <w:r>
        <w:rPr>
          <w:b/>
        </w:rPr>
        <w:t>Shared claim-specific concepts:</w:t>
      </w:r>
      <w:r>
        <w:t xml:space="preserve"> foresight, qualitative; EU scope not established. This is a provisional connection, not an outcome finding.</w:t>
      </w:r>
    </w:p>
    <w:p>
      <w:pPr>
        <w:pStyle w:val="SourceNote"/>
      </w:pPr>
      <w:r>
        <w:rPr>
          <w:b/>
        </w:rPr>
        <w:t>Available abstract (not full text):</w:t>
      </w:r>
      <w:r>
        <w:t xml:space="preserve"> As organizations increasingly integrate generative AI (GenAI) into decision processes, the nature of managerial foresight is undergoing a fundamental transformation. Although managerial foresight is widely associated with innovation, prior research has largely treated this relationship as direct or processual, overlooking the individual-level cognitive mechanisms through which managerial foresight translates into innovative behavior, particularly in AI-augmented contexts. This study develops and tests a cognitively grounded model linking managerial foresight to innovative behavior through cognitive engagement, and examines how GenAI conditions this relationship. Drawing on a 2×3 factorial experiment with 252 professionals evaluating product innovation scenarios, we manipulate GenAI usage (none, moderate, high). Results reveal a non-linear, inverse U-shaped moderating effect: moderate GenAI use strengthens the indirect effect of managerial foresight on innovative behavior via cognitive engagement, whereas both overreliance and non-use attenuate it. Qualitative evidence shows that excessive GenAI use induces cognitive offloading and fixation, while its absence constrains exploratory thinking. These findings make three contributions. First, we reconceptualize managerial foresight as a cognitively effortful process, identifying cognitive engagement as a critical microfoundation of </w:t>
      </w:r>
    </w:p>
    <w:p>
      <w:pPr/>
      <w:r>
        <w:rPr>
          <w:b/>
        </w:rPr>
        <w:t>POSSIBLE 2025:</w:t>
      </w:r>
      <w:r>
        <w:t xml:space="preserve"> Foresight for Danube Region’s Future-Oriented Competitive Planning: Book of Abstracts — https://doi.org/10.18690/um.fov.6.2025</w:t>
      </w:r>
    </w:p>
    <w:p>
      <w:pPr/>
      <w:r>
        <w:rPr>
          <w:b/>
        </w:rPr>
        <w:t>Shared claim-specific concepts:</w:t>
      </w:r>
      <w:r>
        <w:t xml:space="preserve"> foresight, project; EU scope visible. This is a provisional connection, not an outcome finding.</w:t>
      </w:r>
    </w:p>
    <w:p>
      <w:pPr>
        <w:pStyle w:val="SourceNote"/>
      </w:pPr>
      <w:r>
        <w:rPr>
          <w:b/>
        </w:rPr>
        <w:t>Available abstract (not full text):</w:t>
      </w:r>
      <w:r>
        <w:t xml:space="preserve"> The ForeDanube initiative and its related activities collectively advance the role of foresight as a strategic instrument for competitiveness, innovation, and resilient policymaking in the Danube Region. Across nine contributions, the presentations address both theoretical and applied dimensions of foresight: from integrating artificial intelligence and managing uncertainty, to strengthening education through a dedicated Master’s program, embedding foresight into the EU Strategy for the Danube Region, and supporting crisis preparedness. Empirical insights from regional surveys highlight the gap between awareness and practice, while practical frameworks, such as the Danube Transfer Centre network and structured work plans, demonstrate how foresight can be institutionalized across multi-level governance. EU co-financing opportunities through Horizon Europe are identified as crucial enablers for capacity building. The overarching vision culminates in the ForeDanube project’s proposal for a permanent Foresight Competence Centre, serving as a hub for anticipatory governance and as a scalable model for Europe and beyond.</w:t>
      </w:r>
    </w:p>
    <w:p>
      <w:pPr/>
      <w:r>
        <w:rPr>
          <w:b/>
        </w:rPr>
        <w:t>POSSIBLE 2024:</w:t>
      </w:r>
      <w:r>
        <w:t xml:space="preserve"> (Re)envisioning inclusive futures: Applying narrative foresight to deconstruct the problem of urban flooding in the slums of Bengaluru, India — https://doi.org/10.1111/dpr.12786</w:t>
      </w:r>
    </w:p>
    <w:p>
      <w:pPr/>
      <w:r>
        <w:rPr>
          <w:b/>
        </w:rPr>
        <w:t>Shared claim-specific concepts:</w:t>
      </w:r>
      <w:r>
        <w:t xml:space="preserve"> purpose, foresight, flooding, flood, assessment; EU scope not established. This is a provisional connection, not an outcome finding.</w:t>
      </w:r>
    </w:p>
    <w:p>
      <w:pPr>
        <w:pStyle w:val="SourceNote"/>
      </w:pPr>
      <w:r>
        <w:rPr>
          <w:b/>
        </w:rPr>
        <w:t>Available abstract (not full text):</w:t>
      </w:r>
      <w:r>
        <w:t xml:space="preserve"> Abstract Motivation Recurring urban flooding in Bengaluru, India, has brought multiple intersecting development challenges to the forefront. While climate change is a catalyst for flooding, rapid urbanisation has aggravated the problem by neglecting its ecological history. Repeated floods have particularly affected migrants living in the slums, further worsening their already vulnerable conditions. Currently, only about 40% of slums are formally recognized by city authorities, leaving most slum dwellers with limited access to public benefits and basic infrastructure. Although the city offers piecemeal solutions, it currently lacks foresight for long‐term planning that includes marginalized voices. Purpose We explore the multiple and intertwined development challenges faced by Bengaluru city, attempting to frame them from the perspective of migrant slum dwellers experiencing flooding. We try to bring to the forefront the everyday risks and vulnerabilities of the marginalized populations in Indian cities, which have received limited attention both in research and policy. The results of this exercise are intended to create sustainable collaborative processes to inform future decisions, particularly addressing the problem of urban flooding. Methods and approach Our proposed methodology integrates climate risk assessment—urban flood modelling and exposure mapping of slums across the</w:t>
      </w:r>
    </w:p>
    <w:p>
      <w:pPr/>
      <w:r>
        <w:rPr>
          <w:b/>
        </w:rPr>
        <w:t>POSSIBLE 2024:</w:t>
      </w:r>
      <w:r>
        <w:t xml:space="preserve"> FORESIGHT PROJECTS AS A FACTOR IN THE FORMATION OF STUDENTS' LEGAL BEHAVIOUR IN AN EDUCATIONAL INSTITUTION IN THE CONTEXT OF THE HUMANISATION OF THE EDUCATIONAL PROCESS — https://doi.org/10.54891/2786-7013-2024-1-10</w:t>
      </w:r>
    </w:p>
    <w:p>
      <w:pPr/>
      <w:r>
        <w:rPr>
          <w:b/>
        </w:rPr>
        <w:t>Shared claim-specific concepts:</w:t>
      </w:r>
      <w:r>
        <w:t xml:space="preserve"> purpose, foresight, project; EU scope not established. This is a provisional connection, not an outcome finding.</w:t>
      </w:r>
    </w:p>
    <w:p>
      <w:pPr>
        <w:pStyle w:val="SourceNote"/>
      </w:pPr>
      <w:r>
        <w:rPr>
          <w:b/>
        </w:rPr>
        <w:t>Available abstract (not full text):</w:t>
      </w:r>
      <w:r>
        <w:t xml:space="preserve"> The article highlights the issues related to the use of foresight projects for the formation of students' legal behaviour in an educational institution in the context of the humanisation of the educational process. The article analyses scientific and methodological works on the peculiarities of using the project method in educational institutions. It is established that students' work on projects contributes to the development of independence, activity, research skills, a sense of belonging to the world community, awareness of professional choice, creative and social development, and the formation of critical thinking skills. Working on a project in an educational institution, regardless of its didactic purpose, shapes the student's future behavior in personal and professional terms, and therefore a trajectory that can be predicted. It is believed that the term «foresight» was first used by science fiction writer H.G. Wells in 1930 in one of his public speeches. The writer proposed to introduce the profession of a «professor of foresight», who, like a historian, would analyze and propose options for the practical implementation of future discoveries. The use of foresight projects in the educational process of an educational institution allows to shape the legal behavior of students, implementing the strategy of humanization of education. At the same time, such behavior is regul</w:t>
      </w:r>
    </w:p>
    <w:p>
      <w:pPr/>
      <w:r>
        <w:rPr>
          <w:b/>
        </w:rPr>
        <w:t>POSSIBLE 2024:</w:t>
      </w:r>
      <w:r>
        <w:t xml:space="preserve"> Mission-oriented scenarios: a new method for urban foresight — https://doi.org/10.1108/fs-06-2023-0119</w:t>
      </w:r>
    </w:p>
    <w:p>
      <w:pPr/>
      <w:r>
        <w:rPr>
          <w:b/>
        </w:rPr>
        <w:t>Shared claim-specific concepts:</w:t>
      </w:r>
      <w:r>
        <w:t xml:space="preserve"> purpose, foresight, project; EU scope visible. This is a provisional connection, not an outcome finding.</w:t>
      </w:r>
    </w:p>
    <w:p>
      <w:pPr>
        <w:pStyle w:val="SourceNote"/>
      </w:pPr>
      <w:r>
        <w:rPr>
          <w:b/>
        </w:rPr>
        <w:t>Available abstract (not full text):</w:t>
      </w:r>
      <w:r>
        <w:t xml:space="preserve"> Purpose The purpose of this study is to propose an innovative and efficient process in urban policy-making that combines a divergent and creative method with a convergent and strategic one. At the same time, the purpose is also to propose a useful innovation to enforce the usability of both methods. On the one hand, mission-oriented policies run the risk of being overly focused on the present and of not being able to develop preparedness in organization. On the other hand, scenario development has the reverse problem it often does not point out how to use scenario narratives to inform and devise short-term strategic actions. Design/methodology/approach The paper proposes an innovative methodological approach, the mission-oriented scenarios, which hybridizes Mazzucato's mission-oriented public policy framework with Jim Dator's Manoa school four futures method. The proposed methodological innovation emerges from a urban foresight academic-led project carried out in the context of the Metropolitan City of Turin, Italy, where a first application of the mission-oriented scenarios was tested on six different focal issues (from reindustrialization to cultural policies) and the scenario narratives were used as sources for the grounding of 12 missions and 48 strategic actions towards 2030. Findings Mission-oriented scenarios can contribute to the generation of more sustainable and inclu</w:t>
      </w:r>
    </w:p>
    <w:p>
      <w:pPr/>
      <w:r>
        <w:rPr>
          <w:b/>
        </w:rPr>
        <w:t>POSSIBLE 2023:</w:t>
      </w:r>
      <w:r>
        <w:t xml:space="preserve"> Interaction of subjects of the educational Process with the help of a Foresight Project — https://doi.org/10.7256/2454-0676.2023.2.38619</w:t>
      </w:r>
    </w:p>
    <w:p>
      <w:pPr/>
      <w:r>
        <w:rPr>
          <w:b/>
        </w:rPr>
        <w:t>Shared claim-specific concepts:</w:t>
      </w:r>
      <w:r>
        <w:t xml:space="preserve"> purpose, foresight, project; EU scope not established. This is a provisional connection, not an outcome finding.</w:t>
      </w:r>
    </w:p>
    <w:p>
      <w:pPr>
        <w:pStyle w:val="SourceNote"/>
      </w:pPr>
      <w:r>
        <w:rPr>
          <w:b/>
        </w:rPr>
        <w:t>Available abstract (not full text):</w:t>
      </w:r>
      <w:r>
        <w:t xml:space="preserve"> The article explores the possibilities of foresight technology as a pedagogical tool for predicting the future, competence in the structure of educational experience and assumes that it can be used to create new means of supporting learning technologies and their promotion in the educational process. This is one of the interactive forms of training for specialists of the preschool education system, which allows you to spread innovative pedagogical experience in working with preschool children in relevant areas. The purpose of the work is to study the foresight project method for the possibility of its application by participants of the educational process in preschool educational organizations, since preschool age is the initial stage of a child's awareness of their capabilities, laying the foundations of professional self-determination in the future, acquiring skills in the correlation of society's demands and their own abilities. In the course of the research, a questionnaire was created in five main areas to assess the implementation by heads of children's educational organizations of the use of the foresight project method in their teaching activities. The distinctive features of foresight design, the main problems and relevance of the application of this method by educational organizations are highlighted. Based on the data obtained, methodological recommendations for the </w:t>
      </w:r>
    </w:p>
    <w:p>
      <w:pPr/>
      <w:r>
        <w:rPr>
          <w:b/>
        </w:rPr>
        <w:t>POSSIBLE 2023:</w:t>
      </w:r>
      <w:r>
        <w:t xml:space="preserve"> Improving Public Action to Mitigate River Flooding in Niamey (Niger) — https://doi.org/10.3390/land12081523</w:t>
      </w:r>
    </w:p>
    <w:p>
      <w:pPr/>
      <w:r>
        <w:rPr>
          <w:b/>
        </w:rPr>
        <w:t>Shared claim-specific concepts:</w:t>
      </w:r>
      <w:r>
        <w:t xml:space="preserve"> purpose, foresight, flooding, flood, qualitative; EU scope not established. This is a provisional connection, not an outcome finding.</w:t>
      </w:r>
    </w:p>
    <w:p>
      <w:pPr>
        <w:pStyle w:val="SourceNote"/>
      </w:pPr>
      <w:r>
        <w:rPr>
          <w:b/>
        </w:rPr>
        <w:t>Available abstract (not full text):</w:t>
      </w:r>
      <w:r>
        <w:t xml:space="preserve"> The purpose of this paper is to analyze the effects of repeated floods in the city of Niamey and the strategies developed by the state in terms of prevention, rehabilitation, and care for victims. Although numerous framework documents have been drafted in the last decade and urbanization in flood zones has been limited, the reality in Niamey shows that urban sprawl is increasing along the riverbank and the population facing vulnerable situations is growing. The inefficiency of state action determines that, on the one hand, it is non-governmental institutions that need to develop improvement plans—with the recovery of the city being dependent on the arrival of their funds and their distribution in those areas that donor countries consider most suitable—and on the other hand, it is the citizens—already vulnerable—who must find their own resilience mechanisms to try to survive the next flood. This study reveals that this diversity of players is involved in flood management through emergency relief, solidarity in rehousing, and providing support for living and non-living flood victims. Despite this mobilization, the actions undertaken are hampered by a number of constraints. Insufficient financial and human resources, a lack of foresight on the part of the authorities, and poorly coordinated actions are the main difficulties limiting the success of public action in the face of floo</w:t>
      </w:r>
    </w:p>
    <w:p>
      <w:pPr/>
      <w:r>
        <w:rPr>
          <w:b/>
        </w:rPr>
        <w:t>POSSIBLE 2022:</w:t>
      </w:r>
      <w:r>
        <w:t xml:space="preserve"> Disaster Risk Financing systems for fluvial flood risk in Democratic Republic of Congo and Pakistan — https://doi.org/10.5194/egusphere-egu22-8204</w:t>
      </w:r>
    </w:p>
    <w:p>
      <w:pPr/>
      <w:r>
        <w:rPr>
          <w:b/>
        </w:rPr>
        <w:t>Shared claim-specific concepts:</w:t>
      </w:r>
      <w:r>
        <w:t xml:space="preserve"> foresight, flooding, flood, national, assessment; EU scope not established. This is a provisional connection, not an outcome finding.</w:t>
      </w:r>
    </w:p>
    <w:p>
      <w:pPr>
        <w:pStyle w:val="SourceNote"/>
      </w:pPr>
      <w:r>
        <w:rPr>
          <w:b/>
        </w:rPr>
        <w:t>Available abstract (not full text):</w:t>
      </w:r>
      <w:r>
        <w:t xml:space="preserve"> Flood Foresight is JBA’s strategic flood forecasting system, providing flood inundation and depth estimates at 30m resolution up to 10-days ahead of fluvial flood events. The system is globally scalable and recent projects have seen the Forecasting module provide forecast flood footprints in Democratic Republic of Congo, Myanmar and the Indus River basin in Pakistan. Data produced by these systems are being used for a variety of purposes including informing humanitarian anticipatory actions, parametric insurance and disaster risk financing. This presentation will explore the use of Flood Foresight in Democratic Republic of Congo and Pakistan for the purposes of humanitarian disaster risk financing and demonstrate the benefits to this user community in otherwise data sparse regions. Disaster Risk Financing (DRF) programmes are being developed for the Democratic Republic of Congo and Pakistan and are designed to allow civil society actors in country to proactively manage disaster risks. By quantifying risks in advance of disasters, pre-positioning funds, and releasing them according to pre-agreed plans, the user community are better placed to enable early disaster relief actions to help reduce the human and economic costs of disasters. In both Democratic Republic of Congo and Pakistan, JBA were tasked with developing an operational fluvial flood forecasting model which can, at le</w:t>
      </w:r>
    </w:p>
    <w:p>
      <w:pPr/>
      <w:r>
        <w:rPr>
          <w:b/>
        </w:rPr>
        <w:t>POSSIBLE 2022:</w:t>
      </w:r>
      <w:r>
        <w:t xml:space="preserve"> Foresight Research as а Strategic Planning Component — https://doi.org/10.37491/unz.85-86.15</w:t>
      </w:r>
    </w:p>
    <w:p>
      <w:pPr/>
      <w:r>
        <w:rPr>
          <w:b/>
        </w:rPr>
        <w:t>Shared claim-specific concepts:</w:t>
      </w:r>
      <w:r>
        <w:t xml:space="preserve"> purpose, foresight, national; EU scope not established. This is a provisional connection, not an outcome finding.</w:t>
      </w:r>
    </w:p>
    <w:p>
      <w:pPr>
        <w:pStyle w:val="SourceNote"/>
      </w:pPr>
      <w:r>
        <w:rPr>
          <w:b/>
        </w:rPr>
        <w:t>Available abstract (not full text):</w:t>
      </w:r>
      <w:r>
        <w:t xml:space="preserve"> An important component of the state organizational and economic mechanism to promote high-tech production is the presence of a well-established system of strategic planning, which helps to determine the trajectory of long-term changes in technological competitiveness. Creating an effective policy framework in the field of science, technology and innovation (STI), its planning is an important element of a sustainable policy system. Roadmaps, on the basis of which development strategies and plans for achieving the set goals are developed, are a modern tool of strategic planning, in particular in the field of STI. From the point of view of economic and social management, the technological foresight, as an element of the roadmap, provides the basis for the decision-making process on science and innovation by identifying key long-term prospects for science, technology, innovation and long-term investment in STI. Foresight outlines future priorities for science and innovation, focusing on various aspects of projected change. Prediction is not the same as forecasting. While forecasting tries to predict a single «correct» version of the future, Forsythe uses several alternative plausible futures based on their usefulness to develop sound, forward-looking policies. The object of research of this work is the roadmap of science, technology, innovation (STI), as a tool for strategic planni</w:t>
      </w:r>
    </w:p>
    <w:p>
      <w:pPr/>
      <w:r>
        <w:rPr>
          <w:b/>
        </w:rPr>
        <w:t>POSSIBLE 2020:</w:t>
      </w:r>
      <w:r>
        <w:t xml:space="preserve"> Marine Foresight Study — https://openalex.org/W3147024838</w:t>
      </w:r>
    </w:p>
    <w:p>
      <w:pPr/>
      <w:r>
        <w:rPr>
          <w:b/>
        </w:rPr>
        <w:t>Shared claim-specific concepts:</w:t>
      </w:r>
      <w:r>
        <w:t xml:space="preserve"> foresight, government, national; EU scope visible. This is a provisional connection, not an outcome finding.</w:t>
      </w:r>
    </w:p>
    <w:p>
      <w:pPr>
        <w:pStyle w:val="SourceNote"/>
      </w:pPr>
      <w:r>
        <w:rPr>
          <w:b/>
        </w:rPr>
        <w:t>Available abstract (not full text):</w:t>
      </w:r>
      <w:r>
        <w:t xml:space="preserve"> Ireland is experiencing a period of major change in terms of the legal and policy framework for marine decision-making, the political and socio-economic context for marine activities, the influence of technological change on marine activities and resultant societal impacts.Furthermore, increased awareness of the marine environment by the general public, owed to increased education and increased access to resources, as envisaged by the previous Integrated Marine Plan for Ireland, Harnessing Our Ocean Wealth (HOOW), continues to provide increased engagement with marine issues.Ireland is beginning the process of developing a successor to HOOW, and this foresight study seeks to support that process.The study has reviewed existing information, both in relation to past and current trends and potential future changes, in seeking to identify the key drivers of change across social, technological, economic, environmental and political topics.The results of the study are captured in an Evidence Database and summary report.This report was initially prepared while government formation talks were ongoing.It has been updated to reflect the Programme for Government (PfG) (Government of Ireland, 2020) which sets out a new vision for Ireland, incorporating a strategy for recovery and rebuilding in the period during and after the COVID-19 emergency.This includes many elements which relate to mar</w:t>
      </w:r>
    </w:p>
    <w:p>
      <w:pPr/>
      <w:r>
        <w:rPr>
          <w:b/>
        </w:rPr>
        <w:t>POSSIBLE 2019:</w:t>
      </w:r>
      <w:r>
        <w:t xml:space="preserve"> Horizon Scanning in Foresight – Why Horizon Scanning is only a part of the game — https://doi.org/10.1002/ffo2.23</w:t>
      </w:r>
    </w:p>
    <w:p>
      <w:pPr/>
      <w:r>
        <w:rPr>
          <w:b/>
        </w:rPr>
        <w:t>Shared claim-specific concepts:</w:t>
      </w:r>
      <w:r>
        <w:t xml:space="preserve"> foresight, national, backed; EU scope visible. This is a provisional connection, not an outcome finding.</w:t>
      </w:r>
    </w:p>
    <w:p>
      <w:pPr>
        <w:pStyle w:val="SourceNote"/>
      </w:pPr>
      <w:r>
        <w:rPr>
          <w:b/>
        </w:rPr>
        <w:t>Available abstract (not full text):</w:t>
      </w:r>
      <w:r>
        <w:t xml:space="preserve"> Abstract Foresight and Horizon Scanning are often regarded as identical concepts with identical models and purposes. But they can be completely different activities, both in and for any kind of prospective activity as well as for strategy purposes. Scanning is no debate and no strategy building. Whereas Foresight is more process‐oriented and always includes a Horizon Scanning phase, Horizon Scanning is rather found at the beginning of any forward‐looking activity and can be an automatized stand‐alone approach for identifying “things to come” ‐ which often means the identification of new science and technology and providing information about them. This paper wants to shed light on some of the confusions in Foresight and Horizon Scanning (HS) that often occur in organizations, among researchers and practitioners being thus of practical and scientific relevance for using an integrated model. The contribution is backed up by a study conducted for the European Commission (Cuhls et al., 2015) conducted to clarify for the Commission’s Foresight department (A6) how the strategic intelligence part of a foresight, the Horizon Scanning, is intertwined with the sense‐making part in similar projects in other parts of the world. The contribution thus starts with a broad definition of Foresight and of Horizon Scanning, explains findings from the study on objectives, methods used and relates t</w:t>
      </w:r>
    </w:p>
    <w:p>
      <w:pPr>
        <w:pStyle w:val="Heading2"/>
      </w:pPr>
      <w:r>
        <w:t>956. Immigration and integration scenarios in global Europe: Forward-looking up to 2050</w:t>
      </w:r>
    </w:p>
    <w:p>
      <w:pPr>
        <w:pStyle w:val="SourceNote"/>
      </w:pPr>
      <w:r>
        <w:rPr>
          <w:b/>
        </w:rPr>
        <w:t>Original source (2013):</w:t>
      </w:r>
      <w:r>
        <w:t xml:space="preserve"> https://doi.org/10.2298/soc1302169a</w:t>
      </w:r>
    </w:p>
    <w:p>
      <w:pPr/>
      <w:r>
        <w:t>Original wording (abstract; indexed_source_text_not_full_document_verified): She proposes addressing integration of immigrants scenarios alongside demographic projections and labour market needs for future assessments of needs for immigrants and for responsible governance.</w:t>
      </w:r>
    </w:p>
    <w:p>
      <w:pPr/>
      <w:r>
        <w:rPr>
          <w:b/>
        </w:rPr>
        <w:t>POSSIBLE 2026:</w:t>
      </w:r>
      <w:r>
        <w:t xml:space="preserve"> Exploring Effects Of Integration Policy On The Inclusion Of Non-Eu Immigrants In Europe: The Case Of Maghrebi Immigrants In Spain And France — https://doi.org/10.14267/phd.2026018</w:t>
      </w:r>
    </w:p>
    <w:p>
      <w:pPr/>
      <w:r>
        <w:rPr>
          <w:b/>
        </w:rPr>
        <w:t>Shared claim-specific concepts:</w:t>
      </w:r>
      <w:r>
        <w:t xml:space="preserve"> integration, immigrants; EU scope visible. This is a provisional connection, not an outcome finding.</w:t>
      </w:r>
    </w:p>
    <w:p>
      <w:pPr>
        <w:pStyle w:val="SourceNote"/>
      </w:pPr>
      <w:r>
        <w:rPr>
          <w:b/>
        </w:rPr>
        <w:t>Available abstract (not full text):</w:t>
      </w:r>
      <w:r>
        <w:t xml:space="preserve"> Mainstream academic literature relates the success of migrant integration to socio-economic inclusion policies that seek to include migrants in the job market and secure their socio-economic right. However, the existence of personal as well as external factors (presented below) create a challenge for the current integration policies towards non-EU migrants, especially those of Maghrebi origins (Morocco, Tunisia, and Algeria). This research is an attempt to contribute to mainstream literature on migrant integration theories considering signs of failure of integration such as; 1) the rise of radicalisation1 among selected categories of migrants; 2) alienation and dissonance from society; and, 4) increase of anti-immigrant attitude not only among extreme right-wing political parties but within the majority population at large.2 Using both qualitative and quantitative research methods, such as interviews, analysis of laws and regulations, as well as data from the European Social Survey (ESS), I conducted an assessment of the impact of integration policies on Maghrebi immigrants in France and Spain. The qualitative results show that policy outcomes vary across integration dimensions between the two European countries, in spite of the fact that “social cohesion” indicators reveal that Maghrebi immigrants in Spain are more satisfied and attached to their host society than Muslims in F</w:t>
      </w:r>
    </w:p>
    <w:p>
      <w:pPr/>
      <w:r>
        <w:rPr>
          <w:b/>
        </w:rPr>
        <w:t>POSSIBLE 2025:</w:t>
      </w:r>
      <w:r>
        <w:t xml:space="preserve"> A.M. Pankratova on Pan-European tendencies in historical scholarship in Western Europe in the Mid-20th century — https://doi.org/10.55959/msu0130-0083-8-2025-66-5-107-123</w:t>
      </w:r>
    </w:p>
    <w:p>
      <w:pPr/>
      <w:r>
        <w:rPr>
          <w:b/>
        </w:rPr>
        <w:t>Shared claim-specific concepts:</w:t>
      </w:r>
      <w:r>
        <w:t xml:space="preserve"> she, addressing, integration; EU scope visible. This is a provisional connection, not an outcome finding.</w:t>
      </w:r>
    </w:p>
    <w:p>
      <w:pPr>
        <w:pStyle w:val="SourceNote"/>
      </w:pPr>
      <w:r>
        <w:rPr>
          <w:b/>
        </w:rPr>
        <w:t>Available abstract (not full text):</w:t>
      </w:r>
      <w:r>
        <w:t xml:space="preserve"> After the Second World War, the idea of European integration gained wide currency in most Western European countries, despite the diversity of their economic, political, national, and cultural traditions. In addressing the exceptionally complex problem of its implementation, not only specialists from various disciplines but also historians were enlisted. The latter were charged with developing one of the key mechanisms for shaping a European community: a unified school history textbook for Western European states. In 1953-1954, under the auspices of the Council of Europe, meetings of historians were convened specifi cally to identify the criteria and conceptual framework for such a textbook. Academician Anna Mikhailovna Pankratova (1897-1957) found it necessary to forward the materials of these conferences to the Central Committee of the Communist Party of the Soviet Union. In her accompanying letter, she proposed adopting countermeasures and organizing a campaign to expose what she described as the revision of school history textbooks in a number of Western European countries, aimed at promoting the idea of a European community. Pankratova considered it necessary to inform the directors of historical institutes and the editors of historical journals in the German Democratic Republic and in the European countries of people’s democracy about the outcomes of the conferences. In M</w:t>
      </w:r>
    </w:p>
    <w:p>
      <w:pPr/>
      <w:r>
        <w:rPr>
          <w:b/>
        </w:rPr>
        <w:t>POSSIBLE 2025:</w:t>
      </w:r>
      <w:r>
        <w:t xml:space="preserve"> The Labor Market Challenges and Coping Strategies of Highly Skilled Second-Generation Immigrants in Europe: A Scoping Review — https://doi.org/10.3390/soc15040093</w:t>
      </w:r>
    </w:p>
    <w:p>
      <w:pPr/>
      <w:r>
        <w:rPr>
          <w:b/>
        </w:rPr>
        <w:t>Shared claim-specific concepts:</w:t>
      </w:r>
      <w:r>
        <w:t xml:space="preserve"> integration, immigrants, demographic; EU scope visible. This is a provisional connection, not an outcome finding.</w:t>
      </w:r>
    </w:p>
    <w:p>
      <w:pPr>
        <w:pStyle w:val="SourceNote"/>
      </w:pPr>
      <w:r>
        <w:rPr>
          <w:b/>
        </w:rPr>
        <w:t>Available abstract (not full text):</w:t>
      </w:r>
      <w:r>
        <w:t xml:space="preserve"> This scoping review investigates the labor market challenges and coping strategies of highly skilled second-generation immigrants in Europe who, despite their educational and professional accomplishments, face persistent barriers related to ethnic, cultural, and religious identities. Synthesizing existing literature, the review examines obstacles to the economic integration of highly educated children of immigrants, highlighting both their perceptions of these barriers and the adaptive strategies they employ. A systematic search was conducted across Scopus, Web of Science, and EBSCOhost to identify studies published between 2010 and 2024. The selection process followed a structured five-stage framework, including defining research questions, identifying and selecting relevant studies, charting the data, and synthesizing findings. A total of 1192 records were initially identified, with 1022 retained after duplicate removal. After applying inclusion and exclusion criteria, 68 studies were included in the review. Findings indicate that hiring discrimination, occupational segregation, and exclusion from elite professional networks remain key barriers, particularly for those of Muslim background. Despite achieving professional success, many continue to encounter symbolic boundaries that limit career advancement. In response, second-generation professionals adopt various coping strat</w:t>
      </w:r>
    </w:p>
    <w:p>
      <w:pPr/>
      <w:r>
        <w:rPr>
          <w:b/>
        </w:rPr>
        <w:t>POSSIBLE 2022:</w:t>
      </w:r>
      <w:r>
        <w:t xml:space="preserve"> Japanese Public Diplomacy in European Countries — https://doi.org/10.4324/9781003258797</w:t>
      </w:r>
    </w:p>
    <w:p>
      <w:pPr/>
      <w:r>
        <w:rPr>
          <w:b/>
        </w:rPr>
        <w:t>Shared claim-specific concepts:</w:t>
      </w:r>
      <w:r>
        <w:t xml:space="preserve"> she, proposes, integration; EU scope visible. This is a provisional connection, not an outcome finding.</w:t>
      </w:r>
    </w:p>
    <w:p>
      <w:pPr>
        <w:pStyle w:val="SourceNote"/>
      </w:pPr>
      <w:r>
        <w:rPr>
          <w:b/>
        </w:rPr>
        <w:t>Available abstract (not full text):</w:t>
      </w:r>
      <w:r>
        <w:t xml:space="preserve"> To address the issue of the lack of integration and common policy among Japan’s cultural promotion actors and institutions, Gadjeva explores an integrated approach for Japanese public diplomacy through public-private partnerships. She examines the potential of the Japan Foundation as a central public diplomacy actor in Europe, facilitating a Public-Private Partnership Platform. Focusing on France and Bulgaria, Gadjeva observes the Japan Foundation’s role, contributions, and activities implemented between the 1970s and 2018, both autonomously and in collaboration with Japanese and local public and private actors. She compares the Foundation’s initiatives in the two countries, highlighting both the strong points and the space for improvement. In addition, Gadjeva points out essential Japanese, French, and Bulgarian actors with potential for future cooperation with the Japan Foundation through public-private partnerships. Drawing on her interviews with Bulgarian and French representatives, she examines the image of Japan and the future expectations from Japan. Revealing certain cultural aspects and less-explored areas of Japanese soft power, she proposes specific project proposals for integrated public diplomacy initiatives implemented through a Public-Private Partnership Platform facilitated by the Japan Foundation. Providing valuable insights into the strong and insufficient poi</w:t>
      </w:r>
    </w:p>
    <w:p>
      <w:pPr/>
      <w:r>
        <w:rPr>
          <w:b/>
        </w:rPr>
        <w:t>POSSIBLE 2014:</w:t>
      </w:r>
      <w:r>
        <w:t xml:space="preserve"> Brazil’s Immigrant Song — https://doi.org/10.1177/0740277514564953</w:t>
      </w:r>
    </w:p>
    <w:p>
      <w:pPr/>
      <w:r>
        <w:rPr>
          <w:b/>
        </w:rPr>
        <w:t>Shared claim-specific concepts:</w:t>
      </w:r>
      <w:r>
        <w:t xml:space="preserve"> immigrants; EU scope visible. This is a provisional connection, not an outcome finding.</w:t>
      </w:r>
    </w:p>
    <w:p>
      <w:pPr>
        <w:pStyle w:val="SourceNote"/>
      </w:pPr>
      <w:r>
        <w:rPr>
          <w:b/>
        </w:rPr>
        <w:t>Available abstract (not full text):</w:t>
      </w:r>
      <w:r>
        <w:t xml:space="preserve"> Brasília, Brazil—Sulemana Adamu, 27, was born and lived most of his life in Accra, the capital of Ghana and the 11th largest city in Africa. He used to spend most of his days fixing computers as an IT technician and playing with friends in a drums quartet. Sensing no real opportunity in his country’s decaying economy, Sulemana saved for 18 months, planning a long trip to seek his fortune somewhere else.Shakir Hussain, 29, was born and lived most of his life in Sylhet, a district of Bangladesh surrounded by tea estates with a population of 500,000 inhabitants—a number that scarcely registers in one of the most populous countries on earth. For a while Shakir worked at a phone company, then dropped out to help his father and brother with their small construction business. But money was scarce and when the Bangladesh Awami League arrived in power, political persecution started as well. At the age of 24, Shakir spoke to his parents and, with their financial help, packed his bags for Latin America.Cosme Sousa, 33, was born and lived most of his life in São João do Carú, a town with barely 15,000 inhabitants in Maranhão, one of the poorest states in Brazil, located at its northeastern tip. For eight years he taught geography and history at the local elementary school. The money was never sufficient to support his two children and his wife. With the chance of earning a better income cu</w:t>
      </w:r>
    </w:p>
    <w:p>
      <w:pPr>
        <w:pStyle w:val="Heading2"/>
      </w:pPr>
      <w:r>
        <w:t>957. Integrated scenarios of sustainable food production and consumption in Germany</w:t>
      </w:r>
    </w:p>
    <w:p>
      <w:pPr>
        <w:pStyle w:val="SourceNote"/>
      </w:pPr>
      <w:r>
        <w:rPr>
          <w:b/>
        </w:rPr>
        <w:t>Original source (2013):</w:t>
      </w:r>
      <w:r>
        <w:t xml:space="preserve"> https://doi.org/10.1080/15487733.2013.11908118</w:t>
      </w:r>
    </w:p>
    <w:p>
      <w:pPr/>
      <w:r>
        <w:t>Original wording (abstract; indexed_source_text_not_full_document_verified): First, so-called context scenarios were formulated to describe different developments beyond the control of the relevant players, but that might have a significant impact on food production and consumption. Finally, the context and strategic food scenarios were merged and assessed to provide policy makers with a helpful ‟reality check" on different strategy options and guidance in prioritization.</w:t>
      </w:r>
    </w:p>
    <w:p>
      <w:pPr/>
      <w:r>
        <w:rPr>
          <w:b/>
        </w:rPr>
        <w:t>POSSIBLE 2026:</w:t>
      </w:r>
      <w:r>
        <w:t xml:space="preserve"> The Moroccan and Muslim Diaspora in Europe: Shifting from the Context of Migration to the Context of Citizenship — https://openalex.org/W7113523033</w:t>
      </w:r>
    </w:p>
    <w:p>
      <w:pPr/>
      <w:r>
        <w:rPr>
          <w:b/>
        </w:rPr>
        <w:t>Shared claim-specific concepts:</w:t>
      </w:r>
      <w:r>
        <w:t xml:space="preserve"> first, so-called, context, different, but, significant; EU scope visible. This is a provisional connection, not an outcome finding.</w:t>
      </w:r>
    </w:p>
    <w:p>
      <w:pPr>
        <w:pStyle w:val="SourceNote"/>
      </w:pPr>
      <w:r>
        <w:rPr>
          <w:b/>
        </w:rPr>
        <w:t>Available abstract (not full text):</w:t>
      </w:r>
      <w:r>
        <w:t xml:space="preserve"> The Moroccan diaspora in Europe in general, and Western Europe in particular, has undergone various profound historical, political, demographic, socio-cultural, and identity transformations since the era of labor migration or so-called “guest workers” in the 1960s up until today. This new situation has drastically altered the landscape of the Islamic and Moroccan presence in Europe. It is not just about the numerical and quantitative expansion, which researchers often emphasize, but also about the qualitative presence reflected in the various cultural, social, political, and institutional achievements made by European Moroccans from different generations of immigrants. This research paper discusses the main shift from the context of migration to that of citizenship, focusing on the conceptual transformation from being seen as “guest workers,” “immigrants,” and “foreigners” to being recognized as European “citizens.” The research paper is divided into four chapters. In the first chapter, we argued that there is a need today to adopt a new approach to the Islamic presence in Europe and the West. In the second chapter, we discussed the evolving European epistemological and sociological context, in which Muslims and Moroccans have become a significant element, highlighting the key determinants and features of this context. In the third and fourth chapters, we explored the main hypo</w:t>
      </w:r>
    </w:p>
    <w:p>
      <w:pPr/>
      <w:r>
        <w:rPr>
          <w:b/>
        </w:rPr>
        <w:t>POSSIBLE 2025:</w:t>
      </w:r>
      <w:r>
        <w:t xml:space="preserve"> Changing the Context of Business Management Theory. The So and So Management between Eclecticism and Wishful Thinking — https://doi.org/10.30958/ajl.11-3-2</w:t>
      </w:r>
    </w:p>
    <w:p>
      <w:pPr/>
      <w:r>
        <w:rPr>
          <w:b/>
        </w:rPr>
        <w:t>Shared claim-specific concepts:</w:t>
      </w:r>
      <w:r>
        <w:t xml:space="preserve"> first, so-called, context, different, production; EU scope visible. This is a provisional connection, not an outcome finding.</w:t>
      </w:r>
    </w:p>
    <w:p>
      <w:pPr>
        <w:pStyle w:val="SourceNote"/>
      </w:pPr>
      <w:r>
        <w:rPr>
          <w:b/>
        </w:rPr>
        <w:t>Available abstract (not full text):</w:t>
      </w:r>
      <w:r>
        <w:t xml:space="preserve"> Despite its original multidisciplinarity, the today proliferation of cross, trans and poli disciplinary approaches in management theories, after the spread of Critical Management Studies and the crisis of Business Schools, must be considered within the changing general political economical context. The growing relevance of BRICS in GDP and research compared to the decreasing incidence of industrial and scientific production in Western Countries calls for a debate on the main features of the evolution of managerial theories and applied practices. One model of analysis could be the one expressed in 1920s by Antonio Gramsci and in the 1950s by the economist Federico Caffè. The theme was the inappropriate approach of Political and Economic theories to the problems that emerged after the First and Second-World Wars. Both scholars coupled the widespread eclecticism of Economics with the unrealistic proposals produced to address Italy’s structural problems so far unsolved, such as the underdevelopment of the South of the country and the so-called “questione meridionale”. Moreover, Caffè extended this analysis to the European situation in which the poor application of Keynesian theories led to a worldwide crisis, first economic and then political. In this context management theories have today to face the crisis of Western economies with respect to a different conception of the market </w:t>
      </w:r>
    </w:p>
    <w:p>
      <w:pPr/>
      <w:r>
        <w:rPr>
          <w:b/>
        </w:rPr>
        <w:t>POSSIBLE 2023:</w:t>
      </w:r>
      <w:r>
        <w:t xml:space="preserve"> The so-called Magnitsky Laws from the Perspective of International Law — https://openalex.org/W7135579267</w:t>
      </w:r>
    </w:p>
    <w:p>
      <w:pPr/>
      <w:r>
        <w:rPr>
          <w:b/>
        </w:rPr>
        <w:t>Shared claim-specific concepts:</w:t>
      </w:r>
      <w:r>
        <w:t xml:space="preserve"> first, so-called, context; EU scope visible. This is a provisional connection, not an outcome finding.</w:t>
      </w:r>
    </w:p>
    <w:p>
      <w:pPr>
        <w:pStyle w:val="SourceNote"/>
      </w:pPr>
      <w:r>
        <w:rPr>
          <w:b/>
        </w:rPr>
        <w:t>Available abstract (not full text):</w:t>
      </w:r>
      <w:r>
        <w:t xml:space="preserve"> The so-called Magnitsky Laws from the Perspective of International Law Abstract This diploma thesis treats the phenomenon of so-called Magnitsky acts, a subtype of targeted international sanctions, from the point of view of international law. The text of the thesis is structured into three chapters. The first chapter deals with the origins of Magnitsky acts. Documented are the circumstances of the incarceration and death of Sergey Magnitsky. Described are the origins of the first Magnitsky Acts, i.e., the U.S. Magnitsky Act and Global Magnitsky Act, and the spreading of analogous norms around the world. The second chapter is a survey and legal comparison of selected legislation - in the United States, Canada, European Union, and Czech Republic. Based on the literature and the individual norms, the features common to all Magnitsky acts are determined. Subsequently, the acts are compared using five criteria. These are sanction aspects, as a definition of the prosecuted behavior; creation of the sanctions list, as an entitlement of the government agencies to create such lists; individual sanctions tools; appeals and remedies in the sanctions process, or removal from the sanction list; the overview of the sanctioned entities. The third chapter discusses the nature of the Magnitsky acts in the context of...</w:t>
      </w:r>
    </w:p>
    <w:p>
      <w:pPr/>
      <w:r>
        <w:rPr>
          <w:b/>
        </w:rPr>
        <w:t>POSSIBLE 2023:</w:t>
      </w:r>
      <w:r>
        <w:t xml:space="preserve"> Homestay Accommodation for Refugees (in Europe). A Literature Review — https://doi.org/10.1177/01979183231172101</w:t>
      </w:r>
    </w:p>
    <w:p>
      <w:pPr/>
      <w:r>
        <w:rPr>
          <w:b/>
        </w:rPr>
        <w:t>Shared claim-specific concepts:</w:t>
      </w:r>
      <w:r>
        <w:t xml:space="preserve"> first, so-called, context, different; EU scope visible. This is a provisional connection, not an outcome finding.</w:t>
      </w:r>
    </w:p>
    <w:p>
      <w:pPr>
        <w:pStyle w:val="SourceNote"/>
      </w:pPr>
      <w:r>
        <w:rPr>
          <w:b/>
        </w:rPr>
        <w:t>Available abstract (not full text):</w:t>
      </w:r>
      <w:r>
        <w:t xml:space="preserve"> In the aftermath of the rapidly increasing number of refugees arriving in Europe following the Russian invasion of Ukraine, nonprofit organizations, private companies, and also public institutions have promoted homestay initiatives: That is, local households hosting refugees. In order to reflect on the political issues that homestay accommodation for refugees raises, the article charts and synthesizes the available research on homestay produced in 75 works written in English, French, German, and Italian, and with a particular focus on the European context. Most of those texts were published in the second half of the 2010s and focused on the homestay initiatives that developed in the context of the so-called 2015 “refugee crisis.” We analyzed this material by focusing on three different levels: First, hospitality as an inter-individual relationship within the domestic sphere (micro level); second, refugee homestay as diverse accommodation arrangements, implemented by informal groups, nonprofit organizations, and public institutions (meso level); and, third, the (non-) contentious dimension of homestay accommodation (macrolevel). The review also identifies theoretical, methodological, and empirical perspectives for future studies on homestay. We call for more attention to be given to the intersectional inequalities and power relations between hosts and guests; to the life traject</w:t>
      </w:r>
    </w:p>
    <w:p>
      <w:pPr/>
      <w:r>
        <w:rPr>
          <w:b/>
        </w:rPr>
        <w:t>POSSIBLE 2022:</w:t>
      </w:r>
      <w:r>
        <w:t xml:space="preserve"> The European Green Deal and nephrology: a call for action by the European Kidney Health Alliance — https://doi.org/10.1093/ndt/gfac160</w:t>
      </w:r>
    </w:p>
    <w:p>
      <w:pPr/>
      <w:r>
        <w:rPr>
          <w:b/>
        </w:rPr>
        <w:t>Shared claim-specific concepts:</w:t>
      </w:r>
      <w:r>
        <w:t xml:space="preserve"> describe, production, consumption, finally; EU scope visible. This is a provisional connection, not an outcome finding.</w:t>
      </w:r>
    </w:p>
    <w:p>
      <w:pPr>
        <w:pStyle w:val="SourceNote"/>
      </w:pPr>
      <w:r>
        <w:rPr>
          <w:b/>
        </w:rPr>
        <w:t>Available abstract (not full text):</w:t>
      </w:r>
      <w:r>
        <w:t xml:space="preserve"> The world faces a dramatic man-made ecologic disaster and healthcare is a crucial part of this problem. Compared with other therapeutic areas, nephrology care, and especially dialysis, creates an excessive burden via water consumption, greenhouse gas emission and waste production. In this advocacy article from the European Kidney Health Alliance we describe the mutual impact of climate change on kidney health and kidney care on ecology. We propose an array of measures as potential solutions related to the prevention of kidney disease, kidney transplantation and green dialysis. For dialysis, several proactive suggestions are made, especially by lowering water consumption, implementing energy-neutral policies, waste triage and recycling of materials. These include original proposals such as dialysate regeneration, dialysate flow reduction, water distillation systems for dialysate production, heat pumps for unit climatization, heat exchangers for dialysate warming, biodegradable and bio-based polymers, alternative power sources, repurposing of plastic waste (e.g. incorporation in concrete), registration systems of ecologic burden and platforms to exchange ecologic best practices. We also discuss how the European Green Deal offers real potential for supporting and galvanizing these urgent environmental changes. Finally, we formulate recommendations to professionals, manufacturers, </w:t>
      </w:r>
    </w:p>
    <w:p>
      <w:pPr/>
      <w:r>
        <w:rPr>
          <w:b/>
        </w:rPr>
        <w:t>POSSIBLE 2022:</w:t>
      </w:r>
      <w:r>
        <w:t xml:space="preserve"> First Language and Second Language in the Multilingual Context — https://doi.org/10.20884/1.jes.2022.3.2.6944</w:t>
      </w:r>
    </w:p>
    <w:p>
      <w:pPr/>
      <w:r>
        <w:rPr>
          <w:b/>
        </w:rPr>
        <w:t>Shared claim-specific concepts:</w:t>
      </w:r>
      <w:r>
        <w:t xml:space="preserve"> first, context, different, but; EU scope visible. This is a provisional connection, not an outcome finding.</w:t>
      </w:r>
    </w:p>
    <w:p>
      <w:pPr>
        <w:pStyle w:val="SourceNote"/>
      </w:pPr>
      <w:r>
        <w:rPr>
          <w:b/>
        </w:rPr>
        <w:t>Available abstract (not full text):</w:t>
      </w:r>
      <w:r>
        <w:t xml:space="preserve"> Studies in English continues to gain ground in different countries and from different perspectives to the extent that some concepts need to be rethought. For this reason, the first language (L1) and second language (L2) in a multilingual setting were examined. This study was motivated by the fact that despite the extensive research into language teaching and language learning, little was clear about L1 and L2 in the context where many indigenous languages coexist with European languages and others. As example, Chad which is a multilingual country has French and Arabic as official languages, and English is given the status of a foreign language. Many studies in English in non-native English speaking environment considered the students’ mother tongue as L1, but the current research aimed to show that the first language could refer to the second language and rethink what are called first language and second language in research on English language learning by contextualising the situation. Qualitative method was used. It did not involve the collection of data. It was based on literature: books, articles, and opinions. So, from the body of the paper, the findings showed that many studies in English referred to the first language not as the speaker’s mother tongue, but the second language. This meant that L1 in terms of the students’ native languages (indigenous languages) should no</w:t>
      </w:r>
    </w:p>
    <w:p>
      <w:pPr/>
      <w:r>
        <w:rPr>
          <w:b/>
        </w:rPr>
        <w:t>POSSIBLE 2022:</w:t>
      </w:r>
      <w:r>
        <w:t xml:space="preserve"> Clay Tobacco Pipes in Europe from the Late Sixteenth to the First Half of the Nineteenth Century: Geographical and Cultural Contexts — https://doi.org/10.6001/lituanistica.v67i4.4647</w:t>
      </w:r>
    </w:p>
    <w:p>
      <w:pPr/>
      <w:r>
        <w:rPr>
          <w:b/>
        </w:rPr>
        <w:t>Shared claim-specific concepts:</w:t>
      </w:r>
      <w:r>
        <w:t xml:space="preserve"> first, context, different, but, production, consumption; EU scope visible. This is a provisional connection, not an outcome finding.</w:t>
      </w:r>
    </w:p>
    <w:p>
      <w:pPr>
        <w:pStyle w:val="SourceNote"/>
      </w:pPr>
      <w:r>
        <w:rPr>
          <w:b/>
        </w:rPr>
        <w:t>Available abstract (not full text):</w:t>
      </w:r>
      <w:r>
        <w:t xml:space="preserve"> The aim of the article is to present a summary of the history of clay tobacco pipes in Europe and to explore their cultural and geographical context.In post-medieval archaeological sites, clay tobacco pipes are quite common finds. The first evidence of tobacco in Western Europe dates from the late sixteenth century, during the Age of Discovery. The industry of tobacco pipe manufacturing started in the early seventeenth century, and English pipe makers and smokers were the innovators of the new habit and style of smoking. Soon after that, Dutch cities like Amsterdam and Gouda became major centres in producing and selling clay tobacco pipes. Through the Baltic and Mediterranean harbours and then along land routes, tobacco spread across Europe as a product of colonial trade and a new habit of smoking as such. The Thirty Years’ War and Northern Wars played a crucial role in the consumption of tobacco, because soldiers rapidly accepted and spread the new culture of smoking.In the eastern and south-eastern European region, tobacco and pipes appeared in the early seventeenth century. Despite this fact, smoking as an incorrect habit was banned or restricted in Russia and the Ottoman Empire in effect of the rulers’ decisions. Only in the late seventeenth century all the prohibitions of tobacco consumption were lifted. At this time, clay tobacco pipes manufactured by the locals predomina</w:t>
      </w:r>
    </w:p>
    <w:p>
      <w:pPr/>
      <w:r>
        <w:rPr>
          <w:b/>
        </w:rPr>
        <w:t>POSSIBLE 2022:</w:t>
      </w:r>
      <w:r>
        <w:t xml:space="preserve"> ARABIC IN THE EUROPEAN CONTEXT — https://doi.org/10.66766/risr.2022.1.08</w:t>
      </w:r>
    </w:p>
    <w:p>
      <w:pPr/>
      <w:r>
        <w:rPr>
          <w:b/>
        </w:rPr>
        <w:t>Shared claim-specific concepts:</w:t>
      </w:r>
      <w:r>
        <w:t xml:space="preserve"> context, different, but; EU scope visible. This is a provisional connection, not an outcome finding.</w:t>
      </w:r>
    </w:p>
    <w:p>
      <w:pPr>
        <w:pStyle w:val="SourceNote"/>
      </w:pPr>
      <w:r>
        <w:rPr>
          <w:b/>
        </w:rPr>
        <w:t>Available abstract (not full text):</w:t>
      </w:r>
      <w:r>
        <w:t xml:space="preserve"> We are human beings that live in “spheres”. These could be found in a wide variety and could take different forms. They are either narrow, more common to us, or wide, so wide that we could never imagine. However, we tend to be too preoccupied with ourselves, and thus with the narrow spheres. In the end, our field of view gets smaller and smaller and we eventually lose sight of what matters the most: the wide sphere. This story may sound too childish, too insignificant for us to take into consideration, but this is actually the vivid image of the present world. As individuals, we live in specific communities, thus in continuous interaction with other members of society, hence with the Arabs as well. This social phenomenon appeared in ancient times. Their culture has always fascinated us, especially since their influences in various fields have intertwined with the European civilization. But, in order to come to understand and, therefore, accept this culture, it was and still is necessary for the Arabic language to be studied. Thus, this process should become a priority for us as there is the need for removing certain cultural and communication barriers. The purpose of this paper is to raise awareness of the importance of studying Arabic. This goal would not lead to the decrease or elimination of the “spheres" that each one of us lives in, but to their union so as to create stron</w:t>
      </w:r>
    </w:p>
    <w:p>
      <w:pPr/>
      <w:r>
        <w:rPr>
          <w:b/>
        </w:rPr>
        <w:t>POSSIBLE 2021:</w:t>
      </w:r>
      <w:r>
        <w:t xml:space="preserve"> Who Called Team Europe? The European Union’s Development Policy Response During the First Wave of COVID-19 — https://doi.org/10.1057/s41287-021-00428-7</w:t>
      </w:r>
    </w:p>
    <w:p>
      <w:pPr/>
      <w:r>
        <w:rPr>
          <w:b/>
        </w:rPr>
        <w:t>Shared claim-specific concepts:</w:t>
      </w:r>
      <w:r>
        <w:t xml:space="preserve"> first, context; EU scope visible. This is a provisional connection, not an outcome finding.</w:t>
      </w:r>
    </w:p>
    <w:p>
      <w:pPr>
        <w:pStyle w:val="SourceNote"/>
      </w:pPr>
      <w:r>
        <w:rPr>
          <w:b/>
        </w:rPr>
        <w:t>Available abstract (not full text):</w:t>
      </w:r>
      <w:r>
        <w:t xml:space="preserve"> The COVID-19 pandemic is a critical juncture for global development. Under the label of "Team Europe", the EU has sought to mobilize rapid development assistance to support partners in addressing the impacts of the crisis, while promoting joined-up approaches among European actors to assert itself in a changing and competitive geopolitical context. This article assesses how substantive and process-oriented EU development policy norms are reflected in the Union's global COVID-19 response. Focusing on the EU's response during the first wave of the COVID-19 pandemic in the first half of 2020, the article shows that the EU's response to this extraordinary crisis consisted of a deepening of EU integration. In so doing, the EU emphasized process-oriented over substantive norms in its development policy.</w:t>
      </w:r>
    </w:p>
    <w:p>
      <w:pPr/>
      <w:r>
        <w:rPr>
          <w:b/>
        </w:rPr>
        <w:t>POSSIBLE 2021:</w:t>
      </w:r>
      <w:r>
        <w:t xml:space="preserve"> FORMATION OF THE MOLDOVAN LOCAL SELF-GOVERNMENT SYSTEM IN THE CONTEXT OF EUROPEAN INTEGRATION (1990S) — https://doi.org/10.28995/2686-7648-2021-4-53-85</w:t>
      </w:r>
    </w:p>
    <w:p>
      <w:pPr/>
      <w:r>
        <w:rPr>
          <w:b/>
        </w:rPr>
        <w:t>Shared claim-specific concepts:</w:t>
      </w:r>
      <w:r>
        <w:t xml:space="preserve"> first, context, but, provide; EU scope visible. This is a provisional connection, not an outcome finding.</w:t>
      </w:r>
    </w:p>
    <w:p>
      <w:pPr>
        <w:pStyle w:val="SourceNote"/>
      </w:pPr>
      <w:r>
        <w:rPr>
          <w:b/>
        </w:rPr>
        <w:t>Available abstract (not full text):</w:t>
      </w:r>
      <w:r>
        <w:t xml:space="preserve"> The article considers the process of formation of the institutional and legal framework for the local self-government system in the Republic of Moldova. Chronologically, the study covers the first decade after the collapse of the Soviet Union. The author places the formation of the national local self-government system in the context of the European vector of Moldovan foreign policy, analysing the process (especially the implementation of the so- called “decentralization reform”) from the perspective of Moldova’s interaction with the European Union and the Council of Europe. The theories of formal structure and social imitation provide the conceptual framework for the study. The author briefly describes the Soviet self-government system, the gradual abandonment of which was the essence of the reforms of the 1990s, and touches upon the organization of self-governance according to the Anglo-Sax- on and Continental models and the modern systems of self-governance existing in the European Union, to which the Republic of Moldova aspires to become a member. The article consecutively analyses the stages of work of Moldovan legislators aimed at the formation of local authorities, evaluating its results both in terms of compliance with European norms and principles of local self-government organization and in the context of the national ethno-political, institutional and legal, civil an</w:t>
      </w:r>
    </w:p>
    <w:p>
      <w:pPr/>
      <w:r>
        <w:rPr>
          <w:b/>
        </w:rPr>
        <w:t>POSSIBLE 2021:</w:t>
      </w:r>
      <w:r>
        <w:t xml:space="preserve"> The quality of life in housing estates in the context of West-european and post-socialist countries — https://openalex.org/W4287501664</w:t>
      </w:r>
    </w:p>
    <w:p>
      <w:pPr/>
      <w:r>
        <w:rPr>
          <w:b/>
        </w:rPr>
        <w:t>Shared claim-specific concepts:</w:t>
      </w:r>
      <w:r>
        <w:t xml:space="preserve"> first, so-called, context, different, but; EU scope visible. This is a provisional connection, not an outcome finding.</w:t>
      </w:r>
    </w:p>
    <w:p>
      <w:pPr>
        <w:pStyle w:val="SourceNote"/>
      </w:pPr>
      <w:r>
        <w:rPr>
          <w:b/>
        </w:rPr>
        <w:t>Available abstract (not full text):</w:t>
      </w:r>
      <w:r>
        <w:t xml:space="preserve"> This paper provides a clear insight into the quality of life on the level of housing estates in European countries. In doing so, the questions of housing and satisfaction with the housing situation in the estates as well as with surrounding areas and the neighbourhood, in general, is being considered as an important dimension of a complex research concept called the quality of life. In analysing the quality of housing, we inevitably encounter an interesting division into the so-called two different versions of Europe or two types of housing estates. In the phase of planning and constructing, they shared a common idea of designing modern and functional, mixed estates that would solve the housing question of most residents, i.e. of different social classes. However, the first type is marked by the socio-historical context of Western Europe, and the second by Eastern Europe, or as some authors like to frame it, the differences in housing quality between ‘capitalist’ and ‘socialist’ cities. From that perspective specifically, it seems useful to analyse the quality of life and the possibility of renewing both types of housing estates, by now deprived and decrepit, built after the Second World War in both types of cities. This applies equally to those in Western Europe, often marked by a significantly worse image and higher levels of socioeconomic problems (crime, segregation, deteri</w:t>
      </w:r>
    </w:p>
    <w:p>
      <w:pPr/>
      <w:r>
        <w:rPr>
          <w:b/>
        </w:rPr>
        <w:t>POSSIBLE 2020:</w:t>
      </w:r>
      <w:r>
        <w:t xml:space="preserve"> The issue of so-called hate speech in the context of freedom of speech — https://openalex.org/W7135460664</w:t>
      </w:r>
    </w:p>
    <w:p>
      <w:pPr/>
      <w:r>
        <w:rPr>
          <w:b/>
        </w:rPr>
        <w:t>Shared claim-specific concepts:</w:t>
      </w:r>
      <w:r>
        <w:t xml:space="preserve"> first, so-called, context, describe, relevant, provide; EU scope visible. This is a provisional connection, not an outcome finding.</w:t>
      </w:r>
    </w:p>
    <w:p>
      <w:pPr>
        <w:pStyle w:val="SourceNote"/>
      </w:pPr>
      <w:r>
        <w:rPr>
          <w:b/>
        </w:rPr>
        <w:t>Available abstract (not full text):</w:t>
      </w:r>
      <w:r>
        <w:t xml:space="preserve"> The issue of so called hate speech in the context of freedom of speech Abstract This thesis titled The issue of so-called hate speech in the context of freedom of speech deals with the legal regulation of hate speech at the international and national level. The thesis contains a comprehensive analysis of legal instruments regulating hate speech in civil, anti-discrimination, administrative and criminal law. This thesis combines the theoretical basis of hate speech regulation with practical knowledge about the applicability of individual legal norms and is supplemented by relevant case law of the Czech courts and the European Court of Human Rights. The aim of this work is to describe the phenomenon of hate speech, provide an analysis of legal instruments regulating hate speech and also to analyse legal arguments for hate speech regulation. The thesis attempts to find the boundary between protected speech and speech that is unprotected by the international and constitutional framework of freedom of speech protection, by means of an analysis of individual court decisions. The thesis also contains a critical reflection of the current legal framework of hate speech regulation and suggests possible variants of legislative changes in the future. The thesis is structured into five chapters. The first part...</w:t>
      </w:r>
    </w:p>
    <w:p>
      <w:pPr>
        <w:pStyle w:val="Heading2"/>
      </w:pPr>
      <w:r>
        <w:t>958. Integrating field data into individual-based models of the migration of European eel larvae</w:t>
      </w:r>
    </w:p>
    <w:p>
      <w:pPr>
        <w:pStyle w:val="SourceNote"/>
      </w:pPr>
      <w:r>
        <w:rPr>
          <w:b/>
        </w:rPr>
        <w:t>Original source (2013):</w:t>
      </w:r>
      <w:r>
        <w:t xml:space="preserve"> https://doi.org/10.3354/meps10368</w:t>
      </w:r>
    </w:p>
    <w:p>
      <w:pPr/>
      <w:r>
        <w:t>Original wording (abstract; indexed_source_text_not_full_document_verified): We contrasted different model settings and identified the most plausible migration scenario by comparing simulation results against experimental data.</w:t>
      </w:r>
    </w:p>
    <w:p>
      <w:pPr/>
      <w:r>
        <w:rPr>
          <w:b/>
        </w:rPr>
        <w:t>POSSIBLE 2024:</w:t>
      </w:r>
      <w:r>
        <w:t xml:space="preserve"> Estimating the potential risk of transmission of arboviruses in the Americas and Europe: a modelling study — https://doi.org/10.1016/s2542-5196(23)00252-8</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BACKGROUND: Estimates of the spatiotemporal distribution of different mosquito vector species and the associated risk of transmission of arboviruses are key to design adequate policies for preventing local outbreaks and reducing the number of human infections in endemic areas. In this study, we quantified the abundance of Aedes albopictus and Aedes aegypti and the local transmission potential for three arboviral infections at an unprecedented spatiotemporal resolution in areas where no entomological surveillance is available. METHODS: We developed a computational model to quantify the daily abundance of Aedes mosquitoes, leveraging temperature and precipitation records. The model was calibrated on mosquito surveillance data collected in 115 locations in Europe and the Americas between 2007 and 2018. Model estimates were used to quantify the reproduction number of dengue virus, Zika virus, and chikungunya in Europe and the Americas, at a high spatial resolution. FINDINGS: when compared with A albopictus. Our estimates highlighted that these arboviruses were endemic in tropical and subtropical countries, with the highest risks of transmission found in central America, Venezuela, Colombia, and central-east Brazil. A non-negligible potential risk of transmission was also estimated for Florida, Texas, and Arizona (USA). The broader ecological niche of A albopictus could contribute t</w:t>
      </w:r>
    </w:p>
    <w:p>
      <w:pPr/>
      <w:r>
        <w:rPr>
          <w:b/>
        </w:rPr>
        <w:t>POSSIBLE 2021:</w:t>
      </w:r>
      <w:r>
        <w:t xml:space="preserve"> Impact of the model representation of PBL and convection on the PM concentrations over Europe — https://doi.org/10.5194/egusphere-egu21-2417</w:t>
      </w:r>
    </w:p>
    <w:p>
      <w:pPr/>
      <w:r>
        <w:rPr>
          <w:b/>
        </w:rPr>
        <w:t>Shared claim-specific concepts:</w:t>
      </w:r>
      <w:r>
        <w:t xml:space="preserve"> contrasted, different, data; EU scope visible. This is a provisional connection, not an outcome finding.</w:t>
      </w:r>
    </w:p>
    <w:p>
      <w:pPr>
        <w:pStyle w:val="SourceNote"/>
      </w:pPr>
      <w:r>
        <w:rPr>
          <w:b/>
        </w:rPr>
        <w:t>Available abstract (not full text):</w:t>
      </w:r>
      <w:r>
        <w:t xml:space="preserve"> The impacts of different implementations of turbulence and convection in the Regional Climate Model (RegCM, version 4.6) on the ability to predict the particle matter (PM) concentrations in the lower troposphere over selected regions of Europe are presented. PM were simulated by the chemical transport model CAMx (Comprehensive Air quality Model with extensions, version 6.50) driven by RegCM meteorology using offline coupling of these two models. The results from four simulations for a European domain driven by two different PBL parametrizations (marked as Holtslag and UW) and two different convection parameterizations (marked as Grell and Tiedtke) are compared over the four regions of Europe, namely the Alps, Benelux, Po Valley and Central Europe. Spatial differences as well vertical profiles are contrasted with each other from the different configurations. Validation of the overall PM2.5 concentrations based on EMEP data has shown better agreement between simulated and ground measured values for the simulations driven by UW scheme of PBL.</w:t>
      </w:r>
    </w:p>
    <w:p>
      <w:pPr/>
      <w:r>
        <w:rPr>
          <w:b/>
        </w:rPr>
        <w:t>POSSIBLE 2021:</w:t>
      </w:r>
      <w:r>
        <w:t xml:space="preserve"> Spatial Patterns in Actual Evapotranspiration Climatologies for Europe — https://doi.org/10.3390/rs13122410</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Spatial patterns in long-term average evapotranspiration (ET) represent a unique source of information for evaluating the spatial pattern performance of distributed hydrological models on a river basin to continental scale. This kind of model evaluation is getting increased attention, acknowledging the shortcomings of traditional aggregated or timeseries-based evaluations. A variety of satellite remote sensing (RS)-based ET estimates exist, covering a range of methods and resolutions. There is, therefore, a need to evaluate these estimates, not only in terms of temporal performance and similarity, but also in terms of long-term spatial patterns. The current study evaluates four RS-ET estimates at moderate resolution with respect to spatial patterns in comparison to two alternative continental-scale gridded ET estimates (water-balance ET and Budyko). To increase comparability, an empirical correction factor between clear sky and all-weather ET, based on eddy covariance data, is derived, which could be suitable for simple corrections of clear sky estimates. Three RS-ET estimates (MODIS16, TSEB and PT-JPL) and the Budyko method generally display similar spatial patterns both across the European domain (mean SPAEF = 0.41, range 0.25–0.61) and within river basins (mean SPAEF range 0.19–0.38), although the pattern similarity within river basins varies significantly across basins. In </w:t>
      </w:r>
    </w:p>
    <w:p>
      <w:pPr/>
      <w:r>
        <w:rPr>
          <w:b/>
        </w:rPr>
        <w:t>POSSIBLE 2019:</w:t>
      </w:r>
      <w:r>
        <w:t xml:space="preserve"> Heatwaves, droughts, and fires: Exploring compound and cascading dry hazards at the pan-European scale — https://doi.org/10.1016/j.envint.2019.105276</w:t>
      </w:r>
    </w:p>
    <w:p>
      <w:pPr/>
      <w:r>
        <w:rPr>
          <w:b/>
        </w:rPr>
        <w:t>Shared claim-specific concepts:</w:t>
      </w:r>
      <w:r>
        <w:t xml:space="preserve"> identified, data; EU scope visible. This is a provisional connection, not an outcome finding.</w:t>
      </w:r>
    </w:p>
    <w:p>
      <w:pPr>
        <w:pStyle w:val="SourceNote"/>
      </w:pPr>
      <w:r>
        <w:rPr>
          <w:b/>
        </w:rPr>
        <w:t>Available abstract (not full text):</w:t>
      </w:r>
      <w:r>
        <w:t xml:space="preserve"> Compound and cascading natural hazards usually cause more severe impacts than any of the single hazard events alone. Despite the significant impacts of compound hazards, many studies have only focused on single hazards. The aim of this paper is to investigate spatio-temporal patterns of compound and cascading hazards using historical data for dry hazards, namely heatwaves, droughts, and fires across Europe. We streamlined a simple methodology to explore the occurrence of such events on a daily basis. Droughts in soil moisture were analyzed using time series of a threshold-based index, obtained from the LISFLOOD hydrological model forced with observations. Heatwave and fire events were analyzed using the ERA5-based temperature and Fire Weather Index datasets. The data used in this study relates to the summer seasons from 1990 to 2018. Our results show that joint dry hazard occurrences were identified in west, central, and east Europe, and with a lower frequency in southern Europe and eastern Scandinavia. Drought plays a substantial role in the occurrence of the compound and cascading events of dry hazards, especially in southern Europe as it drives duration of cascading events. Moreover, drought is the most frequent hazard-precursor in cascading events, followed by compound drought-fire events. Changing the definition of a cascading dry hazard by increasing the number of days wi</w:t>
      </w:r>
    </w:p>
    <w:p>
      <w:pPr/>
      <w:r>
        <w:rPr>
          <w:b/>
        </w:rPr>
        <w:t>POSSIBLE 2019:</w:t>
      </w:r>
      <w:r>
        <w:t xml:space="preserve"> A climate-sensitive forest model for assessing impacts of forest management in Europe — https://doi.org/10.1016/j.envsoft.2019.02.009</w:t>
      </w:r>
    </w:p>
    <w:p>
      <w:pPr/>
      <w:r>
        <w:rPr>
          <w:b/>
        </w:rPr>
        <w:t>Shared claim-specific concepts:</w:t>
      </w:r>
      <w:r>
        <w:t xml:space="preserve"> different, comparing, data; EU scope visible. This is a provisional connection, not an outcome finding.</w:t>
      </w:r>
    </w:p>
    <w:p>
      <w:pPr>
        <w:pStyle w:val="SourceNote"/>
      </w:pPr>
      <w:r>
        <w:rPr>
          <w:b/>
        </w:rPr>
        <w:t>Available abstract (not full text):</w:t>
      </w:r>
      <w:r>
        <w:t xml:space="preserve"> FORMIT-M is a widely applicable, open-access, simple and flexible, climate-sensitive forest management simulator requiring only standard forest inventory data as input. It combines a process-based carbon balance approach with a strong inventory-based empirical component. The model has been linked to the global forest sector model EFI-GTM to secure consistency between timber cutting and demand, although prescribed harvest scenarios can also be used. Here we introduce the structure of the model and demonstrate its use with example simulations until the end of the 21st century in Europe, comparing different management scenarios in different regions under climate change . The model was consistent with country-level statistics of growing stock volumes (R 2 = 0.938) and its projections of climate impact on growth agreed with other studies. The management changes had a greater impact on growing stocks, harvest potential and carbon balance than projected climate change, at least in the absence of increased disturbance rates.</w:t>
      </w:r>
    </w:p>
    <w:p>
      <w:pPr/>
      <w:r>
        <w:rPr>
          <w:b/>
        </w:rPr>
        <w:t>POSSIBLE 2017:</w:t>
      </w:r>
      <w:r>
        <w:t xml:space="preserve"> Comparison of four inverse modelling systems applied to the estimation of HFC-125, HFC-134a, and SF 6 emissions over Europe — https://doi.org/10.5194/acp-17-10651-2017</w:t>
      </w:r>
    </w:p>
    <w:p>
      <w:pPr/>
      <w:r>
        <w:rPr>
          <w:b/>
        </w:rPr>
        <w:t>Shared claim-specific concepts:</w:t>
      </w:r>
      <w:r>
        <w:t xml:space="preserve"> different, identified, data; EU scope visible. This is a provisional connection, not an outcome finding.</w:t>
      </w:r>
    </w:p>
    <w:p>
      <w:pPr>
        <w:pStyle w:val="SourceNote"/>
      </w:pPr>
      <w:r>
        <w:rPr>
          <w:b/>
        </w:rPr>
        <w:t>Available abstract (not full text):</w:t>
      </w:r>
      <w:r>
        <w:t xml:space="preserve"> Abstract. Hydrofluorocarbons (HFCs) are used in a range of industrial applications and have largely replaced previously used gases (CFCs and HCFCs). HFCs are not ozone depleting but have large global warming potentials and are, therefore, reported to the United Nations Framework Convention on Climate Change (UNFCCC). Here, we use four independent inverse models to estimate European emissions of the two HFCs contributing the most to global warming (HFC-134a and HFC-125) and of SF6 for the year 2011. Using an ensemble of inverse models offers the possibility to better understand systematic uncertainties in inversions. All systems relied on the same measurement time series from Jungfraujoch (Switzerland), Mace Head (Ireland), and Monte Cimone (Italy), and the same a priori emissions, but differed in terms of Lagrangian transport model (FLEXPART, NAME), inversion method (Bayesian, Extended Kalman Filter), treatment of background mole fractions, spatial gridding, and a priori uncertainties. The model systems were compared with respect to the ability to reproduce the measurement time series, the spatial distribution of the posterior emissions, uncertainty reductions, and total emissions estimated for selected countries. All systems were able to reproduce the measurement time series very well with prior correlations between 0.5 and 0.9 and posterior correlations being higher by 0.05 t</w:t>
      </w:r>
    </w:p>
    <w:p>
      <w:pPr/>
      <w:r>
        <w:rPr>
          <w:b/>
        </w:rPr>
        <w:t>POSSIBLE 2017:</w:t>
      </w:r>
      <w:r>
        <w:t xml:space="preserve"> BECOMING GENDERED IN EUROPEAN PREHISTORY: WAS NEOLITHIC GENDER FUNDAMENTALLY DIFFERENT? — https://doi.org/10.1017/aaq.2017.54</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It is notable how little gender archaeology has been written for the European Neolithic, in contrast to the following Bronze Age. We cannot blame this absence on a lack of empirical data or on archaeologists’ theoretical naïveté. Instead, we argue that this absence reflects the fact that gender in this period was qualitatively different in form from the types of gender that emerged in Europe from about 3000 cal BC onwards; the latter still form the norm in European and American contexts today, and our standard theories and methodologies are designed to uncover this specific form of gender. In Bronze Age gender systems, gender was mostly binary, associated with stable, lifelong identities expressed in recurrent complexes of gendered symbolism. In contrast, Neolithic gender appears to have been less firmly associated with personal identity and more contextually relevant; it slips easily through our methodological nets. In proposing this “contextual gender” model for Neolithic gender, we both open up new understandings of gender in the past and present and pose significant questions for our models of gender more widely.</w:t>
      </w:r>
    </w:p>
    <w:p>
      <w:pPr/>
      <w:r>
        <w:rPr>
          <w:b/>
        </w:rPr>
        <w:t>POSSIBLE 2016:</w:t>
      </w:r>
      <w:r>
        <w:t xml:space="preserve"> Evaluation of European air quality modelled by CAMx including the volatility basis set scheme — https://doi.org/10.5194/acp-16-10313-2016</w:t>
      </w:r>
    </w:p>
    <w:p>
      <w:pPr/>
      <w:r>
        <w:rPr>
          <w:b/>
        </w:rPr>
        <w:t>Shared claim-specific concepts:</w:t>
      </w:r>
      <w:r>
        <w:t xml:space="preserve"> different, data; EU scope visible. This is a provisional connection, not an outcome finding.</w:t>
      </w:r>
    </w:p>
    <w:p>
      <w:pPr>
        <w:pStyle w:val="SourceNote"/>
      </w:pPr>
      <w:r>
        <w:rPr>
          <w:b/>
        </w:rPr>
        <w:t>Available abstract (not full text):</w:t>
      </w:r>
      <w:r>
        <w:t xml:space="preserve"> Abstract. Four periods of EMEP (European Monitoring and Evaluation Programme) intensive measurement campaigns (June 2006, January 2007, September–October 2008 and February–March 2009) were modelled using the regional air quality model CAMx with VBS (Volatility Basis Set) approach for the first time in Europe within the framework of the EURODELTA-III model intercomparison exercise. More detailed analysis and sensitivity tests were performed for the period of February–March 2009 and June 2006 to investigate the uncertainties in emissions as well as to improve the modelling of organic aerosols (OA). Model performance for selected gas phase species and PM2.5 was evaluated using the European air quality database Airbase. Sulfur dioxide (SO2) and ozone (O3) were found to be overestimated for all the four periods with O3 having the largest mean bias during June 2006 and January–February 2007 periods (8.93 and 12.30 ppb mean biases, respectively). In contrast, nitrogen dioxide (NO2) and carbon monoxide (CO) were found to be underestimated for all the four periods. CAMx reproduced both total concentrations and monthly variations of PM2.5 very well for all the four periods with average biases ranging from −2.13 to 1.04 μg m-3. Comparisons with AMS (Aerosol Mass Spectrometer) measurements at different sites in Europe during February–March 2009, showed that in general the model over-predic</w:t>
      </w:r>
    </w:p>
    <w:p>
      <w:pPr/>
      <w:r>
        <w:rPr>
          <w:b/>
        </w:rPr>
        <w:t>POSSIBLE 2016:</w:t>
      </w:r>
      <w:r>
        <w:t xml:space="preserve"> Hepatitis E Seroprevalence in Europe: A Meta-Analysis — https://doi.org/10.3390/v8080211</w:t>
      </w:r>
    </w:p>
    <w:p>
      <w:pPr/>
      <w:r>
        <w:rPr>
          <w:b/>
        </w:rPr>
        <w:t>Shared claim-specific concepts:</w:t>
      </w:r>
      <w:r>
        <w:t xml:space="preserve"> identified, data; EU scope visible. This is a provisional connection, not an outcome finding.</w:t>
      </w:r>
    </w:p>
    <w:p>
      <w:pPr>
        <w:pStyle w:val="SourceNote"/>
      </w:pPr>
      <w:r>
        <w:rPr>
          <w:b/>
        </w:rPr>
        <w:t>Available abstract (not full text):</w:t>
      </w:r>
      <w:r>
        <w:t xml:space="preserve"> UNLABELLED: There have been large numbers of studies on anti-HEV IgG seroprevalence in Europe, however, the results of these studies have produced high variability of seroprevalence rates, making interpretation increasingly problematic. Therefore, the aim of this study was to develop a clearer understanding of anti-HEV IgG seroprevalence in Europe and identify risk groups for HEV exposure by a meta-analysis of published studies. METHODS: All European HEV-seroprevalence studies from 2003 to 2015 were reviewed. Data were stratified by assay, geographical location, and patient cohort (general population, patients with HIV, solid-organ transplant recipients, chronic liver disease patients, and individuals in contact with swine/wild animals). Data were pooled using a mixed-effects model. RESULTS: Four hundred thirty-two studies were initially identified, of which 73 studies were included in the analysis. Seroprevalence estimates ranged from 0.6% to 52.5%, increased with age, but were unrelated to gender. General population seroprevalence varied depending on assays: Wantai (WT): 17%, Mikrogen (MG): 10%, MP-diagnostics (MP): 7%, DiaPro: 4%, Abbott 2%. The WT assay reported significantly higher seroprevalence rates across all cohorts (p &lt; 0.001). Individuals in contact with swine/wild animals had significantly higher seroprevalence rates than the general population, irrespective of ass</w:t>
      </w:r>
    </w:p>
    <w:p>
      <w:pPr/>
      <w:r>
        <w:rPr>
          <w:b/>
        </w:rPr>
        <w:t>POSSIBLE 2015:</w:t>
      </w:r>
      <w:r>
        <w:t xml:space="preserve"> Hail potential in Europe based on a regional climate model hindcast — https://doi.org/10.1002/2015gl067118</w:t>
      </w:r>
    </w:p>
    <w:p>
      <w:pPr/>
      <w:r>
        <w:rPr>
          <w:b/>
        </w:rPr>
        <w:t>Shared claim-specific concepts:</w:t>
      </w:r>
      <w:r>
        <w:t xml:space="preserve"> different, identified; EU scope visible. This is a provisional connection, not an outcome finding.</w:t>
      </w:r>
    </w:p>
    <w:p>
      <w:pPr>
        <w:pStyle w:val="SourceNote"/>
      </w:pPr>
      <w:r>
        <w:rPr>
          <w:b/>
        </w:rPr>
        <w:t>Available abstract (not full text):</w:t>
      </w:r>
      <w:r>
        <w:t xml:space="preserve"> Abstract Due to the local‐scale nature of hail and a lack of appropriate observation systems, comprehensive, reliable, and consistent information about hail frequency and intensity in Europe is not available. To overcome this constraint, we developed a logistic hail model that quantifies the potential of the atmosphere to form hailstorms. The model is based on a combination of appropriate hail‐relevant meteorological parameters. This paper presents the application of an adjusted version of the logistic model with the objective being to estimate the hail potential across Europe based on dynamically downscaled National Centers for Environmental Prediction/National Center for Atmospheric Research1 reanalysis over a long‐term period of 60 years (1951–2010). The model output, in terms of the potential hail index (PHI), identified several hot spots that are well known from other observational studies. Time series of the PHI over the 60 year period show a high correlation at different sites across Europe and high annual and multiannual variability, but no overall trend.</w:t>
      </w:r>
    </w:p>
    <w:p>
      <w:pPr/>
      <w:r>
        <w:rPr>
          <w:b/>
        </w:rPr>
        <w:t>POSSIBLE 2015:</w:t>
      </w:r>
      <w:r>
        <w:t xml:space="preserve"> A dataset of future daily weather data for crop modelling over Europe derived from climate change scenarios — https://doi.org/10.1007/s00704-015-1650-4</w:t>
      </w:r>
    </w:p>
    <w:p>
      <w:pPr/>
      <w:r>
        <w:rPr>
          <w:b/>
        </w:rPr>
        <w:t>Shared claim-specific concepts:</w:t>
      </w:r>
      <w:r>
        <w:t xml:space="preserve"> different, plausible, simulation, data; EU scope visible. This is a provisional connection, not an outcome finding.</w:t>
      </w:r>
    </w:p>
    <w:p>
      <w:pPr>
        <w:pStyle w:val="SourceNote"/>
      </w:pPr>
      <w:r>
        <w:rPr>
          <w:b/>
        </w:rPr>
        <w:t>Available abstract (not full text):</w:t>
      </w:r>
      <w:r>
        <w:t xml:space="preserve"> Coupled atmosphere-ocean general circulation models (GCMs) simulate different realizations of possible future climates at global scale under contrasting scenarios of land-use and greenhouse gas emissions. Such data require several additional processing steps before it can be used to drive impact models. Spatial downscaling, typically by regional climate models (RCM), and bias-correction are two such steps that have already been addressed for Europe. Yet, the errors in resulting daily meteorological variables may be too large for specific model applications. Crop simulation models are particularly sensitive to these inconsistencies and thus require further processing of GCM-RCM outputs. Moreover, crop models are often run in a stochastic manner by using various plausible weather time series (often generated using stochastic weather generators) to represent climate time scale for a period of interest (e.g. 2000 ± 15 years), while GCM simulations typically provide a single time series for a given emission scenario. To inform agricultural policy-making, data on near- and medium-term decadal time scale is mostly requested, e.g. 2020 or 2030. Taking a sample of multiple years from these unique time series to represent time horizons in the near future is particularly problematic because selecting overlapping years may lead to spurious trends, creating artefacts in the results of the i</w:t>
      </w:r>
    </w:p>
    <w:p>
      <w:pPr/>
      <w:r>
        <w:rPr>
          <w:b/>
        </w:rPr>
        <w:t>POSSIBLE 2015:</w:t>
      </w:r>
      <w:r>
        <w:t xml:space="preserve"> Introduction of a simple-model-based land surface dataset for Europe — https://doi.org/10.1088/1748-9326/10/4/044012</w:t>
      </w:r>
    </w:p>
    <w:p>
      <w:pPr/>
      <w:r>
        <w:rPr>
          <w:b/>
        </w:rPr>
        <w:t>Shared claim-specific concepts:</w:t>
      </w:r>
      <w:r>
        <w:t xml:space="preserve"> against, data; EU scope visible. This is a provisional connection, not an outcome finding.</w:t>
      </w:r>
    </w:p>
    <w:p>
      <w:pPr>
        <w:pStyle w:val="SourceNote"/>
      </w:pPr>
      <w:r>
        <w:rPr>
          <w:b/>
        </w:rPr>
        <w:t>Available abstract (not full text):</w:t>
      </w:r>
      <w:r>
        <w:t xml:space="preserve"> Land surface hydrology can play a crucial role during extreme events such as droughts, floods and even heat waves. We introduce in this study a new hydrological dataset for Europe that consists of soil moisture, runoff and evapotranspiration (ET). It is derived with a simple water balance model (SWBM) forced with precipitation, temperature and net radiation. The SWBM dataset extends over the period 1984–2013 with a daily time step and 0.5° × 0.5° resolution. We employ a novel calibration approach, in which we consider 300 random parameter sets chosen from an observation-based range. Using several independent validation datasets representing soil moisture (or terrestrial water content), ET and streamflow, we identify the best performing parameter set and hence the new dataset. To illustrate its usefulness, the SWBM dataset is compared against several state-of-the-art datasets (ERA-Interim/Land, MERRA-Land, GLDAS-2-Noah, simulations of the Community Land Model Version 4), using all validation datasets as reference. For soil moisture dynamics it outperforms the benchmarks. Therefore the SWBM soil moisture dataset constitutes a reasonable alternative to sparse measurements, little validated model results, or proxy data such as precipitation indices. Also in terms of runoff the SWBM dataset performs well, whereas the evaluation of the SWBM ET dataset is overall satisfactory, but the</w:t>
      </w:r>
    </w:p>
    <w:p>
      <w:pPr>
        <w:pStyle w:val="Heading2"/>
      </w:pPr>
      <w:r>
        <w:t>959. MARKET DRIVEN POWER PLANT INVESTMENT PERSPECTIVES IN EUROPE: CLIMATE POLICY AND TECHNOLOGY SCENARIOS UNTIL 2050 IN THE MODEL EMELIE-ESY</w:t>
      </w:r>
    </w:p>
    <w:p>
      <w:pPr>
        <w:pStyle w:val="SourceNote"/>
      </w:pPr>
      <w:r>
        <w:rPr>
          <w:b/>
        </w:rPr>
        <w:t>Original source (2013):</w:t>
      </w:r>
      <w:r>
        <w:t xml:space="preserve"> https://doi.org/10.1142/s2010007813400071</w:t>
      </w:r>
    </w:p>
    <w:p>
      <w:pPr/>
      <w:r>
        <w:t>Original wording (abstract; indexed_source_text_not_full_document_verified): For the year 2050, the model projects a minor increase of power consumption of 10% under current climate policy, and a balanced pathway for consumption under ambitious climate policy compared to 2010 levels. We use the partial equilibrium model EMELIE-ESY with focus on electricity markets in order to determine how private investors optimize their generation capacity investment and operation over the horizon 2010 to 2050.</w:t>
      </w:r>
    </w:p>
    <w:p>
      <w:pPr/>
      <w:r>
        <w:rPr>
          <w:b/>
        </w:rPr>
        <w:t>POSSIBLE 2026:</w:t>
      </w:r>
      <w:r>
        <w:t xml:space="preserve"> Navigating Digital Safety for Minors in Europe — https://doi.org/10.36862/70s3-ac9r</w:t>
      </w:r>
    </w:p>
    <w:p>
      <w:pPr/>
      <w:r>
        <w:rPr>
          <w:b/>
        </w:rPr>
        <w:t>Shared claim-specific concepts:</w:t>
      </w:r>
      <w:r>
        <w:t xml:space="preserve"> current, use; EU scope visible. This is a provisional connection, not an outcome finding.</w:t>
      </w:r>
    </w:p>
    <w:p>
      <w:pPr>
        <w:pStyle w:val="SourceNote"/>
      </w:pPr>
      <w:r>
        <w:rPr>
          <w:b/>
        </w:rPr>
        <w:t>Available abstract (not full text):</w:t>
      </w:r>
      <w:r>
        <w:t xml:space="preserve"> In an era where digital technologies shape nearly every aspect of daily life, children and young people are growing up more connected than any previous generation. Across the European Union, most youth use the internet daily and encounter digital environments from an early age. This connectivity opens pathways for learning, creativity, and social engagement, yet also exposes young people to increasingly complex and global risks. While many thrive online, nearly one in three reports feeling unsafe. Violations of privacy, exposure to disturbing content, unwanted sexual approaches, and cyberbullying are becoming more common. At the same time, Europe has emerged as a major hub for hosting child sexual abuse material (CSAM), including newer forms such as deepfake abuse content and AI-generated “DeepNudes.” Without effective safeguards, the digital world can shift from a space of opportunity to one of harm. This book explores how law, policy, and institutional practice can address these urgent challenges. It provides a comprehensive and accessible overview of the legal frameworks governing online safety for minors across Europe, enriched with insights from the United States, and evaluates how effectively current regulations protect children in an evolving digital landscape. Through comparative legal analysis, it highlights best practices, persistent gaps, and the growing need for int</w:t>
      </w:r>
    </w:p>
    <w:p>
      <w:pPr/>
      <w:r>
        <w:rPr>
          <w:b/>
        </w:rPr>
        <w:t>POSSIBLE 2026:</w:t>
      </w:r>
      <w:r>
        <w:t xml:space="preserve"> 6G and NTN Power Consumption Modeling — https://doi.org/10.1201/9781003674801-13</w:t>
      </w:r>
    </w:p>
    <w:p>
      <w:pPr/>
      <w:r>
        <w:rPr>
          <w:b/>
        </w:rPr>
        <w:t>Shared claim-specific concepts:</w:t>
      </w:r>
      <w:r>
        <w:t xml:space="preserve"> projects, increase, power, consumption, current, use; EU scope visible. This is a provisional connection, not an outcome finding.</w:t>
      </w:r>
    </w:p>
    <w:p>
      <w:pPr>
        <w:pStyle w:val="SourceNote"/>
      </w:pPr>
      <w:r>
        <w:rPr>
          <w:b/>
        </w:rPr>
        <w:t>Available abstract (not full text):</w:t>
      </w:r>
      <w:r>
        <w:t xml:space="preserve"> The transition from 5G to 6G shifts network design beyond low latency and high data rates toward extreme device density, pervasive AI, terabit-per-second throughput, and the integration of terrestrial and non-terrestrial platforms. However, dense RAN deployments, AI-driven processing, satellites, high-altitude platforms, and unmanned aerial vehicles significantly increase energy consumption. Thus, energy efficiency and sustainability are central to 6G viability. Global research aligns with frameworks such as the Paris Agreement, UN SDGs, and the European Green Deal, targeting greener networks by 2030. European projects examine performance–energy trade-offs, while accurate power modeling remains essential, as current models rely on simplified assumptions that limit real-world applicability. Within this context, this chapter aims to offer a comprehensive overview and derivation of power consumption modeling for 6G networks. It discusses power consumption modeling across various segments of 6G networks while pointing out crucial technical and methodological challenges. Analytical frameworks are proposed, including mathematical formulations and empirical results that incorporate the critical AI/ML processing required in 6G technology and focus on non-terrestrial networks as one of the promising use cases for upcoming ecosystems.</w:t>
      </w:r>
    </w:p>
    <w:p>
      <w:pPr/>
      <w:r>
        <w:rPr>
          <w:b/>
        </w:rPr>
        <w:t>POSSIBLE 2025:</w:t>
      </w:r>
      <w:r>
        <w:t xml:space="preserve"> Modelling of Soil Multifunctionality Across Europe — https://doi.org/10.1111/sum.70147</w:t>
      </w:r>
    </w:p>
    <w:p>
      <w:pPr/>
      <w:r>
        <w:rPr>
          <w:b/>
        </w:rPr>
        <w:t>Shared claim-specific concepts:</w:t>
      </w:r>
      <w:r>
        <w:t xml:space="preserve"> climate, use; EU scope visible. This is a provisional connection, not an outcome finding.</w:t>
      </w:r>
    </w:p>
    <w:p>
      <w:pPr>
        <w:pStyle w:val="SourceNote"/>
      </w:pPr>
      <w:r>
        <w:rPr>
          <w:b/>
        </w:rPr>
        <w:t>Available abstract (not full text):</w:t>
      </w:r>
      <w:r>
        <w:t xml:space="preserve"> ABSTRACT Soils sustain a number of functions playing a key role in ecosystem functioning and providing a multitude of services to human society. While it is acknowledged that all soils are multifunctional, there is, to date, limited knowledge on how the supply of soil functions and their combination differ spatially with land use type, soil characteristics, climate and land use intensity at large geographical scales. We address this gap by quantifying five functions of major importance to European soils: (1) primary productivity, (2) water regulation, (3) climate regulation, (4) nutrient cycling and (5) provision of habitat for biodiversity. We built a multi‐attribute semi‐quantitative model with a hierarchical structure. The model is structured for the large‐scale evaluation of soil functions and takes as input a set of indicators related to dynamic and stable soil properties, as well as climate, topography and management practices, and returns qualitative aggregated attributes representing the soil functions supply. Thresholds for the soil functions supply are obtained by statistical analysis coupled with expert knowledge and vary across European environmental zones. The model is tested utilizing a large pan‐European dataset focused on cropland and grassland systems. Statistical distributions of soil functions supply are obtained alongside alpha‐ and beta‐multifunctionality r</w:t>
      </w:r>
    </w:p>
    <w:p>
      <w:pPr/>
      <w:r>
        <w:rPr>
          <w:b/>
        </w:rPr>
        <w:t>POSSIBLE 2025:</w:t>
      </w:r>
      <w:r>
        <w:t xml:space="preserve"> The Projected Effects of Climate Change on the Potential Distribution of Planococcus minor Based on Ensemble Species Distribution Models — https://doi.org/10.3390/agronomy15051165</w:t>
      </w:r>
    </w:p>
    <w:p>
      <w:pPr/>
      <w:r>
        <w:rPr>
          <w:b/>
        </w:rPr>
        <w:t>Shared claim-specific concepts:</w:t>
      </w:r>
      <w:r>
        <w:t xml:space="preserve"> minor, climate, pathway; EU scope not established. This is a provisional connection, not an outcome finding.</w:t>
      </w:r>
    </w:p>
    <w:p>
      <w:pPr>
        <w:pStyle w:val="SourceNote"/>
      </w:pPr>
      <w:r>
        <w:rPr>
          <w:b/>
        </w:rPr>
        <w:t>Available abstract (not full text):</w:t>
      </w:r>
      <w:r>
        <w:t xml:space="preserve"> Planococcus minor is an invasive pest of significant economic importance that has attracted international attention. Predicting the potential geographic distribution of P. minor under climate change is crucial to developing effective prevention and control strategies for safeguarding agricultural productivity. In this study, we selected four species distribution models (GBM, GLM, MARS, MAXENT) and utilized the Biomod2 package to construct an ensemble model for predicting the suitable habitats of P. minor under the averaged climate conditions of 1970–2000 and 2041–2060 (2050s), including a low-emission pathway (SSP1-2.6) and a high-emission pathway (SSP5-8.5). Among the 19 bioclimatic variables considered, precipitation of the wettest quarter and temperature seasonality were identified as the most influential factors affecting the distribution of P. minor. Under the averaged climate conditions of 1970–2000, suitable habitats for P. minor are mainly distributed in tropical and subtropical regions worldwide. In China, highly suitable zones are concentrated in Yunnan, Guangxi, Guangdong, Hainan, and Taiwan. In the future, the global range of P. minor is projected to expand, with some highly suitable areas transitioning toward medium and low suitability. Under the high-emission pathway (SSP5-8.5) scenario, suitable habitats in China are anticipated to exhibit a pronounced trend of i</w:t>
      </w:r>
    </w:p>
    <w:p>
      <w:pPr/>
      <w:r>
        <w:rPr>
          <w:b/>
        </w:rPr>
        <w:t>POSSIBLE 2024:</w:t>
      </w:r>
      <w:r>
        <w:t xml:space="preserve"> Stochastic Models of Electricity Consumption — https://doi.org/10.17150/2713-1734.2024.6(1).31-46</w:t>
      </w:r>
    </w:p>
    <w:p>
      <w:pPr/>
      <w:r>
        <w:rPr>
          <w:b/>
        </w:rPr>
        <w:t>Shared claim-specific concepts:</w:t>
      </w:r>
      <w:r>
        <w:t xml:space="preserve"> projects, power, consumption, electricity; EU scope visible. This is a provisional connection, not an outcome finding.</w:t>
      </w:r>
    </w:p>
    <w:p>
      <w:pPr>
        <w:pStyle w:val="SourceNote"/>
      </w:pPr>
      <w:r>
        <w:rPr>
          <w:b/>
        </w:rPr>
        <w:t>Available abstract (not full text):</w:t>
      </w:r>
      <w:r>
        <w:t xml:space="preserve"> The article considers a stochastic model of electricity consumption based on the convolution theory. It is assumed that the processes of switching on and off energy consumption on a city scale depend on a large number of independent random factors and have the form of a normal probability distribution. The functions of switching on and off the load are presented, graphs are plotted. The comparison of the intelligent power supply system with the existing power supply system in the Russian Federation is carried out. The reasons for the slow introduction of smart grids in the Russian Federation are revealed. At the moment, smart grids are not very popular in the Russian Federation, while in the countries of the European Union, the USA and China, projects related to the development, production of components and the widespread introduction of smart grids are actively receiving state financial support. Thus, the European Union allocates more than a billion dollars annually for projects in the field of electric power and smart grids. These funds are allocated according to the European Green Deal strategy. At the same time, the State Grid Corporation of China has introduced the concept of the "Global Energy Internet", which, in accordance with the government's expectation, will stimulate the smart grid market in the country. As in other countries of the world, the US electric power ind</w:t>
      </w:r>
    </w:p>
    <w:p>
      <w:pPr/>
      <w:r>
        <w:rPr>
          <w:b/>
        </w:rPr>
        <w:t>POSSIBLE 2023:</w:t>
      </w:r>
      <w:r>
        <w:t xml:space="preserve"> Projected future European power sector water usage across power scenarios and corresponding trends in water availability — https://doi.org/10.1016/j.jenvman.2023.118208</w:t>
      </w:r>
    </w:p>
    <w:p>
      <w:pPr/>
      <w:r>
        <w:rPr>
          <w:b/>
        </w:rPr>
        <w:t>Shared claim-specific concepts:</w:t>
      </w:r>
      <w:r>
        <w:t xml:space="preserve"> power, consumption, current, climate, use; EU scope visible. This is a provisional connection, not an outcome finding.</w:t>
      </w:r>
    </w:p>
    <w:p>
      <w:pPr>
        <w:pStyle w:val="SourceNote"/>
      </w:pPr>
      <w:r>
        <w:rPr>
          <w:b/>
        </w:rPr>
        <w:t>Available abstract (not full text):</w:t>
      </w:r>
      <w:r>
        <w:t xml:space="preserve"> The current transition toward added renewables into the power mix is essential to mitigate climate change effects, but the energy transition has environmental impacts outside the scope of greenhouse gas emissions that also need attention. One such impact is the water-energy dependency nexus, where water dependencies are also seen for non-fossil technologies such as concentrated solar power (CSP), bioenergy and hydropower and mitigation technologies such as carbon capture and storage (CCS). In this light, the selection of power production technologies can potentially affect long-term water resource renewability and dry summer conditions, causing, e.g., power plant shutdowns. In this study, we employ an established and validated scheme of water consumption and withdrawal rates across energy conversion technologies at the European scale to project corresponding water usage rates towards 2050 for EU30 countries. We further use the entire range of global- and regional climate model ensembles for low-, medium- and high-emission scenarios to project trends and robustness estimates of freshwater resources and availability at the distributed level for corresponding countries and years towards 2100. The results show a high sensitivity of water usage rates to the implementation of energy technologies such as CSP and CCS, as well as the decommissioning rates of fossil technologies and some</w:t>
      </w:r>
    </w:p>
    <w:p>
      <w:pPr/>
      <w:r>
        <w:rPr>
          <w:b/>
        </w:rPr>
        <w:t>POSSIBLE 2022:</w:t>
      </w:r>
      <w:r>
        <w:t xml:space="preserve"> Retreat of Major European Tree Species Distribution under Climate Change—Minor Natives to the Rescue? — https://doi.org/10.3390/su14095213</w:t>
      </w:r>
    </w:p>
    <w:p>
      <w:pPr/>
      <w:r>
        <w:rPr>
          <w:b/>
        </w:rPr>
        <w:t>Shared claim-specific concepts:</w:t>
      </w:r>
      <w:r>
        <w:t xml:space="preserve"> minor, climate, use; EU scope visible. This is a provisional connection, not an outcome finding.</w:t>
      </w:r>
    </w:p>
    <w:p>
      <w:pPr>
        <w:pStyle w:val="SourceNote"/>
      </w:pPr>
      <w:r>
        <w:rPr>
          <w:b/>
        </w:rPr>
        <w:t>Available abstract (not full text):</w:t>
      </w:r>
      <w:r>
        <w:t xml:space="preserve"> Climate change is projected to trigger strong declines in the potential distribution of major tree species in Europe. While minor natives have moved into the spotlight as alternatives, their ecology is often poorly understood. We use an ensemble species distribution modelling approach on a set of promising native tree species to gain insights into their distribution potential under different climate change scenarios. Moreover, we identify the urgency and potential of altered species distributions in favor of minor natives by comparing the niche dynamics of five major native tree species with the set of six minor natives in a case study. Our models project stark range contractions and range shifts among major tree species, strongly amplified under high emission scenarios. Abies alba, Picea abies and Fagus sylvatica are affected the strongest. While also experiencing range shifts, the minor European natives Castanea sativa, Sorbus torminalis, and Ulmus laevis all considerably expand their range potential across climate change scenarios. Accompanied by Carpinus betulus, with a stable range size, they hold the potential to substantially contribute to sustainably adapting European forest to climate change.</w:t>
      </w:r>
    </w:p>
    <w:p>
      <w:pPr/>
      <w:r>
        <w:rPr>
          <w:b/>
        </w:rPr>
        <w:t>POSSIBLE 2022:</w:t>
      </w:r>
      <w:r>
        <w:t xml:space="preserve"> Modelling site response at regional scale for the 2020 European Seismic Risk Model (ESRM20) — https://doi.org/10.1007/s10518-022-01526-5</w:t>
      </w:r>
    </w:p>
    <w:p>
      <w:pPr/>
      <w:r>
        <w:rPr>
          <w:b/>
        </w:rPr>
        <w:t>Shared claim-specific concepts:</w:t>
      </w:r>
      <w:r>
        <w:t xml:space="preserve"> compared, order, determine; EU scope visible. This is a provisional connection, not an outcome finding.</w:t>
      </w:r>
    </w:p>
    <w:p>
      <w:pPr>
        <w:pStyle w:val="SourceNote"/>
      </w:pPr>
      <w:r>
        <w:rPr>
          <w:b/>
        </w:rPr>
        <w:t>Available abstract (not full text):</w:t>
      </w:r>
      <w:r>
        <w:t xml:space="preserve"> Abstract Quantitative estimation of seismic risk over a region requires both an underlying probabilistic seismic hazard model and a means to characterise shallow site response over a large scale. The 2020 European Seismic Risk Model (ESRM20) builds on the 2020 European Seismic Hazard Model (ESHM20), requiring additional information to firstly parameterise the local site condition across all of Europe, and subsequently determine its influence on the prediction of seismic ground motion. Initially, a harmonised digital geological database for Europe is compiled, alongside a model of topographic/bathymetric elevation and a database of 30 m averaged shearwave velocity measurements ( $$V_{S30}$$ VS30 ), in order to produce separate 30 arc-second maps of inferred $$V_{S30}$$ VS30 based on topography and on geology. We then capitalise on a large database of seismic recording stations in Europe for which site-to-site ground motion residuals ( $$\delta S2S_{S}$$ δS2SS ) have been determined with respect to the shallow crustal ground motion model used in the ESHM20. These residuals allow us to incorporate site amplification functions into the European GMM calibrated upon either observed or inferred $$V_{S30}$$ VS30 , or on the European geology and topography models. We present the resulting pan-European seismic site amplification model and assess its impact on seismic hazard and risk comp</w:t>
      </w:r>
    </w:p>
    <w:p>
      <w:pPr/>
      <w:r>
        <w:rPr>
          <w:b/>
        </w:rPr>
        <w:t>POSSIBLE 2022:</w:t>
      </w:r>
      <w:r>
        <w:t xml:space="preserve"> Modeling and Simulation of Household Appliances Power Consumption — https://doi.org/10.3390/app12073689</w:t>
      </w:r>
    </w:p>
    <w:p>
      <w:pPr/>
      <w:r>
        <w:rPr>
          <w:b/>
        </w:rPr>
        <w:t>Shared claim-specific concepts:</w:t>
      </w:r>
      <w:r>
        <w:t xml:space="preserve"> increase, power, consumption, compared, levels, electricity; EU scope not established. This is a provisional connection, not an outcome finding.</w:t>
      </w:r>
    </w:p>
    <w:p>
      <w:pPr>
        <w:pStyle w:val="SourceNote"/>
      </w:pPr>
      <w:r>
        <w:rPr>
          <w:b/>
        </w:rPr>
        <w:t>Available abstract (not full text):</w:t>
      </w:r>
      <w:r>
        <w:t xml:space="preserve"> The consumption of household appliances tends to increase. Therefore, the application of energy efficiency measurements is urgently needed to reduce the levels of power consumption. Over the last years, various methods have been used to predict household electricity consumption. As a novelty, this paper proposed a method of predicting the consumption of household appliances by evaluating statistical distributions (Kolmogorov–Smirnov Test and Pearson’s X2 test). To test the veracity of the evaluations, first, a set of random values was simulated for each hour, and their respective averages were calculated. These were compared with the averages of the real values for each hour. With the exception of HVAC during working days, great results were obtained. For the refrigerator, the maximum error was 3.91%, while for the lighting, it was 4.27%. At the point of consumption, the accuracy was even higher, with an error of 1.17% for the dryer while for the washing machine and dishwasher, their minimum errors were less than 1%. The error results confirm that the applied methodology is perfectly acceptable for modeling household appliance consumption and consequently predicting it. However, these consumptions can be only extrapolated to dwellings with similar surface areas and habitats.</w:t>
      </w:r>
    </w:p>
    <w:p>
      <w:pPr/>
      <w:r>
        <w:rPr>
          <w:b/>
        </w:rPr>
        <w:t>POSSIBLE 2022:</w:t>
      </w:r>
      <w:r>
        <w:t xml:space="preserve"> Dynamic Process Modeling of Topside Systems for Evaluating Power Consumption and Possibilities of Using Wind Power — https://doi.org/10.3390/en15249482</w:t>
      </w:r>
    </w:p>
    <w:p>
      <w:pPr/>
      <w:r>
        <w:rPr>
          <w:b/>
        </w:rPr>
        <w:t>Shared claim-specific concepts:</w:t>
      </w:r>
      <w:r>
        <w:t xml:space="preserve"> power, consumption, use; EU scope not established. This is a provisional connection, not an outcome finding.</w:t>
      </w:r>
    </w:p>
    <w:p>
      <w:pPr>
        <w:pStyle w:val="SourceNote"/>
      </w:pPr>
      <w:r>
        <w:rPr>
          <w:b/>
        </w:rPr>
        <w:t>Available abstract (not full text):</w:t>
      </w:r>
      <w:r>
        <w:t xml:space="preserve"> Norwegian offshore wind farms may be able to supply power to offshore oil and gas platforms in the near future thanks to the expeditious development of offshore wind technology. This would result in a reduction in CO2 emissions from oil and gas offshore installations, which are currently powered predominantly by gas turbines. The challenge with using wind power is that offshore oil and gas installations require a fairly constant and stable source of power, whereas wind power typically exhibits significant fluctuations over time. The purpose of this study is to perform a technical feasibility evaluation of using wind power to supply an offshore oil and gas installation on the basis of dynamic process simulations. Throughout the study, only the topside processing system is considered, since it is the most energy-intensive part of an oil and gas facility. An offshore field on the Norwegian Continental Shelf is used as a case study. The results indicate that, when the processing system operates in steady-state conditions, it cannot be powered solely by wind energy, and another power source is required to compensate for low wind power generation intervals. An alternative would be to store wind energy during periods of high generation (e.g., by producing hydrogen or ammonia) and use it during periods of low generation. Utilizing energy storage methods, wind energy can be continuously</w:t>
      </w:r>
    </w:p>
    <w:p>
      <w:pPr/>
      <w:r>
        <w:rPr>
          <w:b/>
        </w:rPr>
        <w:t>POSSIBLE 2022:</w:t>
      </w:r>
      <w:r>
        <w:t xml:space="preserve"> Modelling the impact of improved photosynthetic properties on crop performance in Europe — https://doi.org/10.1002/fes3.402</w:t>
      </w:r>
    </w:p>
    <w:p>
      <w:pPr/>
      <w:r>
        <w:rPr>
          <w:b/>
        </w:rPr>
        <w:t>Shared claim-specific concepts:</w:t>
      </w:r>
      <w:r>
        <w:t xml:space="preserve"> increase, climate, use; EU scope visible. This is a provisional connection, not an outcome finding.</w:t>
      </w:r>
    </w:p>
    <w:p>
      <w:pPr>
        <w:pStyle w:val="SourceNote"/>
      </w:pPr>
      <w:r>
        <w:rPr>
          <w:b/>
        </w:rPr>
        <w:t>Available abstract (not full text):</w:t>
      </w:r>
      <w:r>
        <w:t xml:space="preserve"> Abstract Using the GECROS model, we simulated the effect of improvements in photosynthesis a range of growth parameters, including yield, and on the ε c (the conversion efficiency of absorbed solar energy to the chemical energy of biomass) and ε i (the efficiency of solar energy interception or absorption by the canopy) parameters of the Monteith crop growth equation, for wheat and potato (which use C3 photosynthesis) and maize (which uses C4 photosynthesis). In the case of the C3 crops, the improvements in photosynthesis were via 20% increases in the parameters V cmax (carboxylation capacity of Rubisco), J max (electron transport capacity), S c/o (Rubisco specificity), κ 2LL (efficiency of converting incident light into electron transport) and g m (mesophyll conductance), while for the C4 crop, it was via 20% increase in V cmax , J max and S c/o and a 20% decrease in g bs (the conductance that controls the leak of CO 2 from the bundle sheath cells in C4 leaves). The changes were applied individually and in combination. The responses were modelled using climate data collected over a 10‐year period from 66 sites around Europe. Improvements in photosynthesis did result in increases in yield but with considerable variation between the parameters that were adjusted. The greatest increases were obtained for increases in J max and κ 2LL (up to an average 11% increase for total plant </w:t>
      </w:r>
    </w:p>
    <w:p>
      <w:pPr/>
      <w:r>
        <w:rPr>
          <w:b/>
        </w:rPr>
        <w:t>POSSIBLE 2021:</w:t>
      </w:r>
      <w:r>
        <w:t xml:space="preserve"> Current and projected regional economic impacts of heatwaves in Europe — https://doi.org/10.1038/s41467-021-26050-z</w:t>
      </w:r>
    </w:p>
    <w:p>
      <w:pPr/>
      <w:r>
        <w:rPr>
          <w:b/>
        </w:rPr>
        <w:t>Shared claim-specific concepts:</w:t>
      </w:r>
      <w:r>
        <w:t xml:space="preserve"> increase, current, compared; EU scope visible. This is a provisional connection, not an outcome finding.</w:t>
      </w:r>
    </w:p>
    <w:p>
      <w:pPr>
        <w:pStyle w:val="SourceNote"/>
      </w:pPr>
      <w:r>
        <w:rPr>
          <w:b/>
        </w:rPr>
        <w:t>Available abstract (not full text):</w:t>
      </w:r>
      <w:r>
        <w:t xml:space="preserve"> Extreme heat undermines the working capacity of individuals, resulting in lower productivity, and thus economic output. Here we analyse the present and future economic damages due to reduced labour productivity caused by extreme heat in Europe. For the analysis of current impacts, we focused on heatwaves occurring in four recent anomalously hot years (2003, 2010, 2015, and 2018) and compared our findings to the historical period 1981-2010. In the selected years, the total estimated damages attributed to heatwaves amounted to 0.3-0.5% of European gross domestic product (GDP). However, the identified losses were largely heterogeneous across space, consistently showing GDP impacts beyond 1% in more vulnerable regions. Future projections indicate that by 2060 impacts might increase in Europe by a factor of almost five compared to the historical period 1981-2010 if no further mitigation or adaptation actions are taken, suggesting the presence of more pronounced effects in the regions where these damages are already acute.</w:t>
      </w:r>
    </w:p>
    <w:p>
      <w:pPr>
        <w:pStyle w:val="Heading2"/>
      </w:pPr>
      <w:r>
        <w:t>960. Potential stocks and increments of woody biomass in the European Union under different management and climate scenarios</w:t>
      </w:r>
    </w:p>
    <w:p>
      <w:pPr>
        <w:pStyle w:val="SourceNote"/>
      </w:pPr>
      <w:r>
        <w:rPr>
          <w:b/>
        </w:rPr>
        <w:t>Original source (2013):</w:t>
      </w:r>
      <w:r>
        <w:t xml:space="preserve"> https://doi.org/10.1186/1750-0680-8-2</w:t>
      </w:r>
    </w:p>
    <w:p>
      <w:pPr/>
      <w:r>
        <w:t>Original wording (abstract; indexed_source_text_not_full_document_verified): It should be investigated how biomass stock, harvests and increments will develop under different climate scenarios and two management scenarios where one is forcing to store high biomass amounts in forests and the other tries to have high increment rates and much harvested wood. Incentives which will increase the standing biomass beyond the increment optimal biomass should therefore be avoided.</w:t>
      </w:r>
    </w:p>
    <w:p>
      <w:pPr/>
      <w:r>
        <w:rPr>
          <w:b/>
        </w:rPr>
        <w:t>POSSIBLE 2026:</w:t>
      </w:r>
      <w:r>
        <w:t xml:space="preserve"> Accelerating biomass loss from forest disturbances across Europe — https://doi.org/10.1038/s41561-026-02032-y</w:t>
      </w:r>
    </w:p>
    <w:p>
      <w:pPr/>
      <w:r>
        <w:rPr>
          <w:b/>
        </w:rPr>
        <w:t>Shared claim-specific concepts:</w:t>
      </w:r>
      <w:r>
        <w:t xml:space="preserve"> biomass, harvests, climate, high, forests; EU scope visible. This is a provisional connection, not an outcome finding.</w:t>
      </w:r>
    </w:p>
    <w:p>
      <w:pPr>
        <w:pStyle w:val="SourceNote"/>
      </w:pPr>
      <w:r>
        <w:rPr>
          <w:b/>
        </w:rPr>
        <w:t>Available abstract (not full text):</w:t>
      </w:r>
      <w:r>
        <w:t xml:space="preserve"> Abstract Forest disturbances are rising globally due to climate change and land-use pressures, weakening the terrestrial carbon sink. However, declines in aboveground biomass from tree cover loss remain poorly quantified, limiting our understanding of the role of disturbances in global carbon dynamics. Here we present a spatially explicit estimate of aboveground biomass losses from natural disturbances and harvest across Europe’s 216 million hectares of forests, using satellite remote sensing. From 1985 to 2023, gross aboveground biomass losses totalled 6.5 ± 0.8 Pg. Of these, 18% were caused by high-severity natural disturbances, whereas stand-replacing harvests accounted for 82%. From 2018 onward, aboveground biomass losses increased by 46% reaching annual values unprecedented in the preceding four decades. This acceleration coincided with high natural disturbance activity in biomass-rich temperate forests. After 2018, the sensitivity of aboveground biomass loss to disturbance area increased substantially, suggesting that even small increases in natural disturbances can result in large losses. As climate-driven natural disturbances intensify, we thus expect sustained aboveground biomass losses across Europe, despite policies to enhance the forest carbon sink until 2030.</w:t>
      </w:r>
    </w:p>
    <w:p>
      <w:pPr/>
      <w:r>
        <w:rPr>
          <w:b/>
        </w:rPr>
        <w:t>POSSIBLE 2025:</w:t>
      </w:r>
      <w:r>
        <w:t xml:space="preserve"> Missing biomass stock: a systematic investigation of understory bryophytes across 413 subtropical forests — https://doi.org/10.1007/s44246-025-00224-6</w:t>
      </w:r>
    </w:p>
    <w:p>
      <w:pPr/>
      <w:r>
        <w:rPr>
          <w:b/>
        </w:rPr>
        <w:t>Shared claim-specific concepts:</w:t>
      </w:r>
      <w:r>
        <w:t xml:space="preserve"> investigated, biomass, stock, forests, other; EU scope not established. This is a provisional connection, not an outcome finding.</w:t>
      </w:r>
    </w:p>
    <w:p>
      <w:pPr>
        <w:pStyle w:val="SourceNote"/>
      </w:pPr>
      <w:r>
        <w:rPr>
          <w:b/>
        </w:rPr>
        <w:t>Available abstract (not full text):</w:t>
      </w:r>
      <w:r>
        <w:t xml:space="preserve"> Abstract Forests are the largest terrestrial carbon sink but the contribution of understory bryophytes has been long neglected. We systematically investigated the biomass and nutrient storage of forest floor bryophytes from 413 subtropical forests in Sichuan province, China. Bryophytes account for 1/4 of the understory biomass and correspond to 1% of the aboveground tree biomass. Cold temperate coniferous forests have the highest bryophyte biomass. Bryophytes are non-negligible components in subtropical forests and preserving the long-overlooked bryophytes is a cost-effective addition to carbon neutrality. More investigations across other climatic regions are required to quantify bryophyte contributions worldwide and establish more accurate global terrestrial ecosystem models. Graphical Abstract</w:t>
      </w:r>
    </w:p>
    <w:p>
      <w:pPr/>
      <w:r>
        <w:rPr>
          <w:b/>
        </w:rPr>
        <w:t>POSSIBLE 2024:</w:t>
      </w:r>
      <w:r>
        <w:t xml:space="preserve"> The Role of Wood Density Variation and Biomass Allocation in Accurate Forest Carbon Stock Estimation of European Beech (Fagus sylvatica L.) Mountain Forests — https://doi.org/10.3390/f15030404</w:t>
      </w:r>
    </w:p>
    <w:p>
      <w:pPr/>
      <w:r>
        <w:rPr>
          <w:b/>
        </w:rPr>
        <w:t>Shared claim-specific concepts:</w:t>
      </w:r>
      <w:r>
        <w:t xml:space="preserve"> biomass, stock, different, one, forests, wood; EU scope visible. This is a provisional connection, not an outcome finding.</w:t>
      </w:r>
    </w:p>
    <w:p>
      <w:pPr>
        <w:pStyle w:val="SourceNote"/>
      </w:pPr>
      <w:r>
        <w:rPr>
          <w:b/>
        </w:rPr>
        <w:t>Available abstract (not full text):</w:t>
      </w:r>
      <w:r>
        <w:t xml:space="preserve"> The European beech (Fagus sylvatica L.) is one of the most common tree species in Romania, with importance both economically and environmentally. Accurate methods of biomass assessment at the tree compartment level (i.e., stump, stem, branches, and leaves) are necessary for carbon stock estimation. Wood density (WD) is an important factor in determining biomass and, ultimately, the tree’s carbon content. The average tree density was found to be 578.6 kg/m3. For this study, WD was evaluated by the weighting method related to tree volume. Also, to investigate a practical approach to determining the weighted wood density (WWDst), models were run using density at the base of the tree (WDBase), density at breast height level using discs (WDDBH), the wood core density (WDic), and the diameter at breast height (DBH) as predictors. The biomass assessment was conducted using different model evaluations for WWDst as well as allometric equations using the destructive method. From the results, it was noted that using the WWDst, the total biomass was underestimated by −0.7% compared to the biomass measured in the field. For allometric equations that included DBH and tree height as independent variables, the explained variability was around 99.3% for total aboveground biomass (AGBtotal), while it was 97.9% for allometric function using just the DBH. Overall, the distribution of biomass acros</w:t>
      </w:r>
    </w:p>
    <w:p>
      <w:pPr/>
      <w:r>
        <w:rPr>
          <w:b/>
        </w:rPr>
        <w:t>POSSIBLE 2024:</w:t>
      </w:r>
      <w:r>
        <w:t xml:space="preserve"> Factors influencing tree biomass and carbon stock in the Western Himalayas, India — https://doi.org/10.3389/ffgc.2023.1328694</w:t>
      </w:r>
    </w:p>
    <w:p>
      <w:pPr/>
      <w:r>
        <w:rPr>
          <w:b/>
        </w:rPr>
        <w:t>Shared claim-specific concepts:</w:t>
      </w:r>
      <w:r>
        <w:t xml:space="preserve"> biomass, stock, different, climate, forests; EU scope not established. This is a provisional connection, not an outcome finding.</w:t>
      </w:r>
    </w:p>
    <w:p>
      <w:pPr>
        <w:pStyle w:val="SourceNote"/>
      </w:pPr>
      <w:r>
        <w:rPr>
          <w:b/>
        </w:rPr>
        <w:t>Available abstract (not full text):</w:t>
      </w:r>
      <w:r>
        <w:t xml:space="preserve"> The assessment of tree biomass and its carbon (C) stock at the local and regional level is considered a crucial criterion for understanding the impact of changing environments on the global carbon cycle. In this context, we selected three sites in the western Himalayas, covering parts of Himachal Pradesh and north-eastern Haryana. Each study site experiences distinct climatic conditions, vegetation types, and elevations. We seek to elucidate the determinants of tree biomass and carbon stock across different forest types in the Western Himalayas. We found that temperate forests contributed the most biomass and carbon stock, with Cedrus deodara attaining the highest values of 782.6 ± 107.9 Mg/ha and 360 ± 49.7 Mg C/ha. In contrast, Quercus leucotrichophora mixed temperate had the lowest 286.6 ± 57.2 and 128.9 ± 25.7 Mg/C ha, respectively. Only a few species, such as Abies pindrow , Cedrus deodara , Quercus floribunda , and Quercus semecarpifolia , accounted for significant biomass and carbon stock. The lower elevation subtropical forests had the highest species richness (8–12 species) and stem density (558.3 ± 62.9 to 866.6 ± 57.7 trees/ha). Furthermore, tree diameter, total basal cover, and height emerged as the strongest predictors of biomass and C stock. The remaining variables showed no significant associations, including species diversity, climatic attributes and elevation. </w:t>
      </w:r>
    </w:p>
    <w:p>
      <w:pPr/>
      <w:r>
        <w:rPr>
          <w:b/>
        </w:rPr>
        <w:t>POSSIBLE 2024:</w:t>
      </w:r>
      <w:r>
        <w:t xml:space="preserve"> Effect of forest stand thinning on tree biomass carbon stock — https://doi.org/10.22616/erdev.2024.23.tf009</w:t>
      </w:r>
    </w:p>
    <w:p>
      <w:pPr/>
      <w:r>
        <w:rPr>
          <w:b/>
        </w:rPr>
        <w:t>Shared claim-specific concepts:</w:t>
      </w:r>
      <w:r>
        <w:t xml:space="preserve"> biomass, stock, climate, management, store, increase; EU scope visible. This is a provisional connection, not an outcome finding.</w:t>
      </w:r>
    </w:p>
    <w:p>
      <w:pPr>
        <w:pStyle w:val="SourceNote"/>
      </w:pPr>
      <w:r>
        <w:rPr>
          <w:b/>
        </w:rPr>
        <w:t>Available abstract (not full text):</w:t>
      </w:r>
      <w:r>
        <w:t xml:space="preserve"> Forest store significant amount of carbon and carbon stock in living tree biomass is amongst the largest carbon pools in forest ecosystems. Forest management practises, such as thinning, can improve tree growth, and increase carbon sequestration in forest ecosystems, thus be beneficial for achieving climate change mitigation goals. However, information about additional carbon stock increase as a result of thinning in the first 10 years is lacking in hemiboreal region. Therefore, this study investigates the additional carbon stock of the most common tree species (Scots pine, Norway spruce, and Silver birch) on mineral soils in hemiboreal forest of Latvia, focusing on the effects of thinning 5 and 10 years after. The aim of the study was to evaluate the effect of first commercial thinning on gained additional carbon stock of living tree biomass. Our results show, that thinning has a positive effect on additional carbon stock and timely performed thinning is crucial for the best outcome. Performing thinning in a timely manner results in a significantly higher additional carbon stock, as trees exhibit a more pronounced response, with biomass production peaking at younger age. Positive effect of thinning on additional carbon storage decreases with the age. This study provides valuable insights into the nuanced relationships between the tree species, stand age, and the temporal effec</w:t>
      </w:r>
    </w:p>
    <w:p>
      <w:pPr/>
      <w:r>
        <w:rPr>
          <w:b/>
        </w:rPr>
        <w:t>POSSIBLE 2024:</w:t>
      </w:r>
      <w:r>
        <w:t xml:space="preserve"> Variation of biomass carbon stock within agroforestry systems in the Senegalese groundnut basin — https://doi.org/10.1007/s43621-024-00208-3</w:t>
      </w:r>
    </w:p>
    <w:p>
      <w:pPr/>
      <w:r>
        <w:rPr>
          <w:b/>
        </w:rPr>
        <w:t>Shared claim-specific concepts:</w:t>
      </w:r>
      <w:r>
        <w:t xml:space="preserve"> investigated, biomass, stock, climate, two, management; EU scope not established. This is a provisional connection, not an outcome finding.</w:t>
      </w:r>
    </w:p>
    <w:p>
      <w:pPr>
        <w:pStyle w:val="SourceNote"/>
      </w:pPr>
      <w:r>
        <w:rPr>
          <w:b/>
        </w:rPr>
        <w:t>Available abstract (not full text):</w:t>
      </w:r>
      <w:r>
        <w:t xml:space="preserve"> Abstract Agroforestry plays a pivotal role in mitigating greenhouse gas (GHG) emissions and addressing the challenges posed by climate change. While carbon sequestration efforts have primarily centred on forests, it is imperative to acknowledge the contribution that non-forest ecosystems, such as agroforestry, can offer. This study investigated the influence of agroforestry systems on the variation of biomass carbon stocks in the Sahelo-Sudanian and Sudanian regions of the Senegalese Groundnut basin. Three primary agroforestry systems were studied: silvopastoral, agrisilvicultural, and agrosilvopastoral. Forty-six (46) 100 m × 100 m plots were sampled, within which 1 × 1 m2 subplots were used to sample understory biomass across three agroforestry systems in the two climatic zones. Analysis of variance was performed to assess the influence of agroforestry systems and climatic zones on biomass carbon stocks. The findings showed that in the Sahelo-Sudanian region, the agrisilvicultural system exhibited the highest AGC + BGC stocks, averaging 43.42 ± 21.61 tCha−1. In contrast, the silvopastoral system showed significantly higher AGC + BGC stocks, which amounted to 36.33 ± 12.27 tCha−1 in the Sudanian region. On the other hand, understory carbon stocks were significantly higher (p &lt; 0.01) in the agrisilvicultural and agrosilvopastoral systems than in the silvopastoral system in both</w:t>
      </w:r>
    </w:p>
    <w:p>
      <w:pPr/>
      <w:r>
        <w:rPr>
          <w:b/>
        </w:rPr>
        <w:t>POSSIBLE 2024:</w:t>
      </w:r>
      <w:r>
        <w:t xml:space="preserve"> Carbon Stock Estimation of Poplar Plantations Based on Additive Biomass Models — https://doi.org/10.3390/f15101829</w:t>
      </w:r>
    </w:p>
    <w:p>
      <w:pPr/>
      <w:r>
        <w:rPr>
          <w:b/>
        </w:rPr>
        <w:t>Shared claim-specific concepts:</w:t>
      </w:r>
      <w:r>
        <w:t xml:space="preserve"> biomass, stock, climate, two, management, high; EU scope not established. This is a provisional connection, not an outcome finding.</w:t>
      </w:r>
    </w:p>
    <w:p>
      <w:pPr>
        <w:pStyle w:val="SourceNote"/>
      </w:pPr>
      <w:r>
        <w:rPr>
          <w:b/>
        </w:rPr>
        <w:t>Available abstract (not full text):</w:t>
      </w:r>
      <w:r>
        <w:t xml:space="preserve"> Accurate estimation of biomass and carbon stocks in forest ecosystems is critical for understanding their roles in carbon sequestration and climate change mitigation. Currently, the development of stand biomass models and carbon stock estimation at the regional scale has emerged as a prominent research priority. In this study, 225 Populus spp. (poplar) trees in Shandong Province, China, were destructively sampled to obtain the biomass of their components. Two models (MS1 and MS2) were developed using allometric equations and the seemingly unrelated regression (SUR) method to ensure additive properties across tree components. The model evaluation employed the leave-one-out jackknife (LOO) method, considering statistics such as adjusted R-squared (Ra2), root mean square error (RMSE), mean absolute percent error (MAPE), and mean absolute error (MAE). The results from our models demonstrated high accuracy, with MS2 slightly outperforming MS1 after incorporating tree height as an independent variable. The models reliably estimated component-specific biomass and carbon stocks, with distinct variations observed in the carbon content among foliage (47.14 ± 2.07%), branches (47.26 ± 2.48%), stems (47.67 ± 2.21%), and roots (46.37 ± 2.78%). Carbon stocks in poplar plantations increased with the diameter class, ranging from 5 to 35 cm and correspondingly from 3.670 to 172.491 Mg C ha−1. A</w:t>
      </w:r>
    </w:p>
    <w:p>
      <w:pPr/>
      <w:r>
        <w:rPr>
          <w:b/>
        </w:rPr>
        <w:t>POSSIBLE 2024:</w:t>
      </w:r>
      <w:r>
        <w:t xml:space="preserve"> Fishery stock dynamics in the Baltic Sea: The dichotomy between total allowable catch limits and spawning stock biomass — https://doi.org/10.2478/aopf-2024-0013</w:t>
      </w:r>
    </w:p>
    <w:p>
      <w:pPr/>
      <w:r>
        <w:rPr>
          <w:b/>
        </w:rPr>
        <w:t>Shared claim-specific concepts:</w:t>
      </w:r>
      <w:r>
        <w:t xml:space="preserve"> biomass, stock, management, one, other; EU scope not established. This is a provisional connection, not an outcome finding.</w:t>
      </w:r>
    </w:p>
    <w:p>
      <w:pPr>
        <w:pStyle w:val="SourceNote"/>
      </w:pPr>
      <w:r>
        <w:rPr>
          <w:b/>
        </w:rPr>
        <w:t>Available abstract (not full text):</w:t>
      </w:r>
      <w:r>
        <w:t xml:space="preserve"> Abstract When managing heavily exploited fisheries, the primary objective is ensuring the long-term sustainability of stocks. Policy makers employ various measures to achieve this, with one important approach being the establishment of total allowable catch (TAC) limits for commercial fish stocks. These limits are set to maintain a target level that can sustain or rebuild the spawning stock biomass (SSB), which is an indicator of a stock’s reproductive capacity. Ideally, a strong correlation between TAC quotas and SSB exists, indicating that reductions in TAC are positively impacting SSB. However, in practice, the influence of TAC quotas on fish populations is diminished by other factors affecting reproductive capabilities. This study conducted on the eight most commercially valuable stocks in the Baltic Sea examined this relationship using statistical analysis. The findings revealed that five stocks exhibited a strong-to-moderate positive association between variables, while data for the remaining three stocks were insufficient. The results indicated that stocks with a strong correlation between TAC limits and SSB can be managed more effectively, offering greater potential for sustainability. In contrast, those without this correlation need a more holistic approach that incorporates external ecological factors, as management alone may not suffice to prevent declines. Future st</w:t>
      </w:r>
    </w:p>
    <w:p>
      <w:pPr/>
      <w:r>
        <w:rPr>
          <w:b/>
        </w:rPr>
        <w:t>POSSIBLE 2023:</w:t>
      </w:r>
      <w:r>
        <w:t xml:space="preserve"> The overlooked contribution of trees outside forests to tree cover and woody biomass across Europe — https://doi.org/10.1126/sciadv.adh4097</w:t>
      </w:r>
    </w:p>
    <w:p>
      <w:pPr/>
      <w:r>
        <w:rPr>
          <w:b/>
        </w:rPr>
        <w:t>Shared claim-specific concepts:</w:t>
      </w:r>
      <w:r>
        <w:t xml:space="preserve"> biomass, stock, high, forests; EU scope visible. This is a provisional connection, not an outcome finding.</w:t>
      </w:r>
    </w:p>
    <w:p>
      <w:pPr>
        <w:pStyle w:val="SourceNote"/>
      </w:pPr>
      <w:r>
        <w:rPr>
          <w:b/>
        </w:rPr>
        <w:t>Available abstract (not full text):</w:t>
      </w:r>
      <w:r>
        <w:t xml:space="preserve"> Abstract Trees are an integral part of almost all European landscapes, but only forest resources are systematically assessed by national inventories, and the extent to which trees in urban and agricultural areas contribute to biomass and carbon stocks at the national level remains largely unknown. Here we make use of nanosatellite imagery to generate canopy cover, height, and above-ground biomass maps for the entire European continent from 3-m resolution imagery. Our country-scale biomass estimates have a systematic bias of only 7.6% (overestimation; R = 0.98) when compared to national inventories of 30 countries, and our new dataset is sufficiently highly resolved spatially to support the inclusion of tree biomass outside forests, which we quantify to 0.8 Pg. Although this represents only 2% of the total European tree biomass on average, large variations between countries are found (for example 10% for UK) and trees in urban areas contribute substantially to national carbon stocks (for example 8% for the Netherlands). The good agreement with national inventory data, the scalability, and the high level of detail across landscapes, including trees outside forests, make our approach attractive for operational implementation to support national carbon stock inventory schemes.</w:t>
      </w:r>
    </w:p>
    <w:p>
      <w:pPr/>
      <w:r>
        <w:rPr>
          <w:b/>
        </w:rPr>
        <w:t>POSSIBLE 2023:</w:t>
      </w:r>
      <w:r>
        <w:t xml:space="preserve"> Global increase in biomass carbon stock dominated by growth of northern young forests over past decade — https://doi.org/10.1038/s41561-023-01274-4</w:t>
      </w:r>
    </w:p>
    <w:p>
      <w:pPr/>
      <w:r>
        <w:rPr>
          <w:b/>
        </w:rPr>
        <w:t>Shared claim-specific concepts:</w:t>
      </w:r>
      <w:r>
        <w:t xml:space="preserve"> biomass, stock, forests, increase; EU scope not established. This is a provisional connection, not an outcome finding.</w:t>
      </w:r>
    </w:p>
    <w:p>
      <w:pPr>
        <w:pStyle w:val="SourceNote"/>
      </w:pPr>
      <w:r>
        <w:rPr>
          <w:b/>
        </w:rPr>
        <w:t>Available abstract (not full text):</w:t>
      </w:r>
      <w:r>
        <w:t xml:space="preserve"> Unavailable</w:t>
      </w:r>
    </w:p>
    <w:p>
      <w:pPr/>
      <w:r>
        <w:rPr>
          <w:b/>
        </w:rPr>
        <w:t>POSSIBLE 2023:</w:t>
      </w:r>
      <w:r>
        <w:t xml:space="preserve"> Allometric relationships between above-ground biomass increment and stand characteristics for crimean pine in Taşköprü, Turkey — https://doi.org/10.1590/01047760202329013169</w:t>
      </w:r>
    </w:p>
    <w:p>
      <w:pPr/>
      <w:r>
        <w:rPr>
          <w:b/>
        </w:rPr>
        <w:t>Shared claim-specific concepts:</w:t>
      </w:r>
      <w:r>
        <w:t xml:space="preserve"> investigated, biomass, increments, one, high, increment; EU scope not established. This is a provisional connection, not an outcome finding.</w:t>
      </w:r>
    </w:p>
    <w:p>
      <w:pPr>
        <w:pStyle w:val="SourceNote"/>
      </w:pPr>
      <w:r>
        <w:rPr>
          <w:b/>
        </w:rPr>
        <w:t>Available abstract (not full text):</w:t>
      </w:r>
      <w:r>
        <w:t xml:space="preserve"> Background: Biomass increment, one of the main components of net primary production (NPP) in forest ecosystems, plays an important role as well as total biomass in the global carbon cycle. In this study, the changes of increments of the above-ground total, stem and branch biomasses depending on stand characteristics (i.e., stand age, stand density, and site index) were investigated, and these relations were modeled for Crimean pine (Pinus nigra J.F.Arnold subsp. pallasiana (Lamb.) Holmboe) stands in Taşköprü region of Türkiye. Data were obtained from 109 sample trees within 74 sample plots representing the wide range of possible stand characteristics. Results: The equations developed for above-ground total, stem and branch biomass increments have quite high coefficients of determination (R 2 =0.784, 0.684 and 0.780, respectively), whereas low root mean square errors (RMSE=0.749, 0.692 and 0.116, respectively). The results indicated that the biomass increment estimates from the allometric equations developed were decreasing with stand age and increasing with stand density and site index and also stand density is the strongest stand characteristic on biomass increment. Conclusion: The estimates are also consistent with the growth patterns, so the equations can be used for biomass increment estimations and also for carbon storage and NPP projections for Crimean pine stands of the </w:t>
      </w:r>
    </w:p>
    <w:p>
      <w:pPr/>
      <w:r>
        <w:rPr>
          <w:b/>
        </w:rPr>
        <w:t>POSSIBLE 2023:</w:t>
      </w:r>
      <w:r>
        <w:t xml:space="preserve"> Assessment of aboveground biomass and carbon stock of subtropical pine forest of Pakistan — https://doi.org/10.17221/125/2022-jfs</w:t>
      </w:r>
    </w:p>
    <w:p>
      <w:pPr/>
      <w:r>
        <w:rPr>
          <w:b/>
        </w:rPr>
        <w:t>Shared claim-specific concepts:</w:t>
      </w:r>
      <w:r>
        <w:t xml:space="preserve"> biomass, stock, forests; EU scope not established. This is a provisional connection, not an outcome finding.</w:t>
      </w:r>
    </w:p>
    <w:p>
      <w:pPr>
        <w:pStyle w:val="SourceNote"/>
      </w:pPr>
      <w:r>
        <w:rPr>
          <w:b/>
        </w:rPr>
        <w:t>Available abstract (not full text):</w:t>
      </w:r>
      <w:r>
        <w:t xml:space="preserve"> The presented study estimated the aboveground biomass (AGB) ofÂ Pinus roxburghii (chir pine) natural forests and plantations, and created biomass maps using aÂ relationship (regression model) between AGB and Sentinel-2 spectral indices. The mean AGBÂ and BGBÂ (belowground biomass) ofÂ natural forests were 79.54 Mg·ha–1Â and 20.68 Mg·ha–1, respectively, whereas the mean AGBÂ and BGBÂ ofÂ plantations were 94.48 Mg·ha–1Â and 24.56 Mg·ha–1, respectively. Correlation showed that mean diameter atÂ breast height (DBH) and mean height have weak relationships with AGB, and BGBÂ has shown correlation coefficients (R2Â =Â 0.46) and (R2Â =Â 0.56) for polynomial models. Regression models between AGBÂ (Mg·ha–1) ofÂ Pinus roxburghii natural forest and Sentinel-2 spectral indices showed aÂ strong relationship with Ratio Vegetation Index (RVI) with R2 = 0.72 followed byÂ Normalized Difference Vegetation Index (NDVI) and Atmospherically Resistant Vegetation Index (ARVI) with R2Â =Â 0.70. InÂ contrast, the lower performance ofÂ spectral indices has been shown inÂ regression with plantation AGB. Correlation coefficients (R2) were 0.41, 0.41, and 0.40Â for RVI, NDVI, and ARVI, respectively. All indices showed that the distribution ofÂ AGBÂ data was not the best fit with the linear regression model. Therefore, non-linear exponential and power models were considered the best fit for NDVI, RVI, and AR</w:t>
      </w:r>
    </w:p>
    <w:p>
      <w:pPr>
        <w:pStyle w:val="Heading2"/>
      </w:pPr>
      <w:r>
        <w:t>961. Scenarios for selected maritime economic functions</w:t>
      </w:r>
    </w:p>
    <w:p>
      <w:pPr>
        <w:pStyle w:val="SourceNote"/>
      </w:pPr>
      <w:r>
        <w:rPr>
          <w:b/>
        </w:rPr>
        <w:t>Original source (2013):</w:t>
      </w:r>
      <w:r>
        <w:t xml:space="preserve"> https://doi.org/10.1007/s40309-013-0011-8</w:t>
      </w:r>
    </w:p>
    <w:p>
      <w:pPr/>
      <w:r>
        <w:t>Original wording (abstract; indexed_source_text_not_full_document_verified): This paper discusses the use of scenarios in the ‘Blue Growth’ project, which was aimed at elaborating the maritime dimension of the Europe 2020 strategy, with a 15-year time horizon (2025/2030). The direct impact of the general scenarios on policy development cannot yet be evaluated.</w:t>
      </w:r>
    </w:p>
    <w:p>
      <w:pPr/>
      <w:r>
        <w:rPr>
          <w:b/>
        </w:rPr>
        <w:t>POSSIBLE 2026:</w:t>
      </w:r>
      <w:r>
        <w:t xml:space="preserve"> Soil degradation in Europe is projected to accelerate under changing land use and climate — https://doi.org/10.1038/s44458-026-00064-4</w:t>
      </w:r>
    </w:p>
    <w:p>
      <w:pPr/>
      <w:r>
        <w:rPr>
          <w:b/>
        </w:rPr>
        <w:t>Shared claim-specific concepts:</w:t>
      </w:r>
      <w:r>
        <w:t xml:space="preserve"> use, project, yet; EU scope visible. This is a provisional connection, not an outcome finding.</w:t>
      </w:r>
    </w:p>
    <w:p>
      <w:pPr>
        <w:pStyle w:val="SourceNote"/>
      </w:pPr>
      <w:r>
        <w:rPr>
          <w:b/>
        </w:rPr>
        <w:t>Available abstract (not full text):</w:t>
      </w:r>
      <w:r>
        <w:t xml:space="preserve"> Abstract Soil degradation threatens food security and environmental sustainability, yet future projections of it are rare. Using projections from 18 global climate models under two Shared Socioeconomic Pathways (SSP2-4.5 and SSP5-8.5) and land-use projections from the Land Use and Climate Across Scales Land Use Change (LUCAS LUC) dataset, we assess future soil vulnerability to degradation by linking a Soil Degradation Proxy (SDP) to climate, land-use, soil characteristics, and socio-economic factors at 7433 observation sites across Europe. We project that by 2071–2100, ~59% of sites may become more vulnerable under the high-emission scenario. Cold forest regions in northern Europe are projected to face increased degradation pressure by ~+0.04SDP. However, some European croplands may improve locally through conversion to secondary lands, reduced human pressures, and natural recovery processes. These regionally specific trends highlight that, while soil degradation remains a major threat, proactive land management can mitigate soil vulnerability under future climate trajectories.</w:t>
      </w:r>
    </w:p>
    <w:p>
      <w:pPr/>
      <w:r>
        <w:rPr>
          <w:b/>
        </w:rPr>
        <w:t>POSSIBLE 2025:</w:t>
      </w:r>
      <w:r>
        <w:t xml:space="preserve"> The Blue Banana or the Influence of Symbolic Divisions on Our Representations of Europe — https://doi.org/10.1002/9781394393664.ch6</w:t>
      </w:r>
    </w:p>
    <w:p>
      <w:pPr/>
      <w:r>
        <w:rPr>
          <w:b/>
        </w:rPr>
        <w:t>Shared claim-specific concepts:</w:t>
      </w:r>
      <w:r>
        <w:t xml:space="preserve"> use, blue; EU scope visible. This is a provisional connection, not an outcome finding.</w:t>
      </w:r>
    </w:p>
    <w:p>
      <w:pPr>
        <w:pStyle w:val="SourceNote"/>
      </w:pPr>
      <w:r>
        <w:rPr>
          <w:b/>
        </w:rPr>
        <w:t>Available abstract (not full text):</w:t>
      </w:r>
      <w:r>
        <w:t xml:space="preserve"> In the European context, their dissemination from one country to another without sufficient information about the initial context of their conception can lead to interpretation errors and polemics. The capacity of a map to forge mental representations explains why spatial planning documents can paradoxically avoid making use of cartography, for fear of eliciting opposition from groups legitimately seeking to valorize the excellence of their location. The image of the blue banana suddenly appeared in 1989. The blue banana was fundamentally just a striking reinterpretation of the centerperiphery model, a classic theoretical tool. The impact of the blue banana as an almost monopolistic division of European space nevertheless has a surprising element, since the megalopolis was in itself not a discovery.</w:t>
      </w:r>
    </w:p>
    <w:p>
      <w:pPr/>
      <w:r>
        <w:rPr>
          <w:b/>
        </w:rPr>
        <w:t>POSSIBLE 2024:</w:t>
      </w:r>
      <w:r>
        <w:t xml:space="preserve"> VECTOCLIM PROJECT. Assessing the impact of climate change on two vector-pathogen pairs: Aedes albopictus &amp; Culicoides midges in Occitania, France and Europe — https://openalex.org/W7206472643</w:t>
      </w:r>
    </w:p>
    <w:p>
      <w:pPr/>
      <w:r>
        <w:rPr>
          <w:b/>
        </w:rPr>
        <w:t>Shared claim-specific concepts:</w:t>
      </w:r>
      <w:r>
        <w:t xml:space="preserve"> use, project; EU scope visible. This is a provisional connection, not an outcome finding.</w:t>
      </w:r>
    </w:p>
    <w:p>
      <w:pPr>
        <w:pStyle w:val="SourceNote"/>
      </w:pPr>
      <w:r>
        <w:rPr>
          <w:b/>
        </w:rPr>
        <w:t>Available abstract (not full text):</w:t>
      </w:r>
      <w:r>
        <w:t xml:space="preserve"> The VECTOCLIM project aims at assessing the impact of recent and future climate change on the risk related to major vector-borne diseases for the European temperate ecosystem. The project will focus on two vectors of interest for public and animal health: the invasive tiger mosquito, Aedes albopictus, vector of viruses to humans, and Culicoides biting midges, vectors of viruses to livestock. Through the use of mathematical modelling and large scale and longitudinal entomological data, we will evaluate the influence of global warming on the geographic and seasonal distribution of these vectors according to different IPCC scenarios. Medium and long-term projections of vector distribution will be produced and compared. Epidemiological modelling will be used to assess risk factors, identify levers of control, and produce dynamic risk maps of the studied areas for three arboviruses (dengue, chikungunya and Zika viruses) and two orbiviruses (bluetongue and epizootic haemorrhagic disease viruses).Four reference research institutes in the fields of infectious diseases and climate sciences collaborate in the implementation of this study: the University of Montpellier, CIRAD, IRD and ICTP. Regular consultations will be organised with public and veterinary health professionals in order to guide research objectives and provide the best possible support to the current and future challenges </w:t>
      </w:r>
    </w:p>
    <w:p>
      <w:pPr/>
      <w:r>
        <w:rPr>
          <w:b/>
        </w:rPr>
        <w:t>POSSIBLE 2024:</w:t>
      </w:r>
      <w:r>
        <w:t xml:space="preserve"> The Financial Feasibility of Farming Blue Mussels Offshore Using the Smart Farm Approach: European Evidence — https://doi.org/10.4194/aquast1474</w:t>
      </w:r>
    </w:p>
    <w:p>
      <w:pPr/>
      <w:r>
        <w:rPr>
          <w:b/>
        </w:rPr>
        <w:t>Shared claim-specific concepts:</w:t>
      </w:r>
      <w:r>
        <w:t xml:space="preserve"> blue, maritime; EU scope visible. This is a provisional connection, not an outcome finding.</w:t>
      </w:r>
    </w:p>
    <w:p>
      <w:pPr>
        <w:pStyle w:val="SourceNote"/>
      </w:pPr>
      <w:r>
        <w:rPr>
          <w:b/>
        </w:rPr>
        <w:t>Available abstract (not full text):</w:t>
      </w:r>
      <w:r>
        <w:t xml:space="preserve"> This paper analyses the financial feasibility of a mussel farm that employs the Smart Farm approach with reinforced equipment in the offshore Dutch North Sea. The literature review suggests favourable conditions for this farm given past Smart Farm applications, existing offshore mussel farms, environmental impact considerations, offshore mussel health, and Dutch regulatory clarity. The study methodology section explains the utilization of the discounted cash flow (DCF) analysis model and the technological, farm size, location, mussel seed collection, cost, and production assumptions. This farm would require an initial capital expenditure of €1,695,350 and would produce 300 tonnes per annum (tpa), which would progressively increase to 700 tpa based on additional mussel lines and mature farming practices. This study found an Internal Rate of Return (IRR) of 19.78% and a Net Present Value (NPV) of €3,479,178 over 25 years. This IRR is higher than rates projected by comparable studies. It is attributed to the strong technological maturity, mobility, scalability, mechanization, and production offered by the Smart Farm. Through pursuing this farm and similar mussel farming projects, investors can help advance humanity across domains including employment, sustainability, ocean decarbonization, the ocean economy, nutrition science, maritime engineering, aquaculture, world food supply, </w:t>
      </w:r>
    </w:p>
    <w:p>
      <w:pPr/>
      <w:r>
        <w:rPr>
          <w:b/>
        </w:rPr>
        <w:t>POSSIBLE 2023:</w:t>
      </w:r>
      <w:r>
        <w:t xml:space="preserve"> The Blue Beret — https://doi.org/10.5204/mcj.2969</w:t>
      </w:r>
    </w:p>
    <w:p>
      <w:pPr/>
      <w:r>
        <w:rPr>
          <w:b/>
        </w:rPr>
        <w:t>Shared claim-specific concepts:</w:t>
      </w:r>
      <w:r>
        <w:t xml:space="preserve"> use, blue, time, general; EU scope visible. This is a provisional connection, not an outcome finding.</w:t>
      </w:r>
    </w:p>
    <w:p>
      <w:pPr>
        <w:pStyle w:val="SourceNote"/>
      </w:pPr>
      <w:r>
        <w:rPr>
          <w:b/>
        </w:rPr>
        <w:t>Available abstract (not full text):</w:t>
      </w:r>
      <w:r>
        <w:t xml:space="preserve"> When we think of United Nations (UN) peacekeepers, the first image that is conjured in our mind is of an individual sporting a blue helmet or a blue beret (fig. 1). While simple and uncomplicated, these blue accessories represent an expression and an embodiment resembling that of a warrior, sent to bring peace to conflict-torn communities. UN peacekeeping first conceptually emerged in 1948 in the wake of the Arab-Israeli war that ensued following the United Kingdom’s relinquishing of its mandate over Palestine, and the proclamation of the State of Israel. “Forged in the crucible of practical diplomacy” (Rubinstein 16), unarmed military observers were deployed to Palestine to monitor the hostilities and mediate armistice agreements between Israel and its Arab neighbours. This operation, the United Nations Truce Supervision Organization (UNTSO), significantly exemplified the diplomatic and observational capabilities of military men, in line with the UN Charter’s objectives of international peace and security, setting henceforth a basic archetype for international peacekeeping. It was only in 1956, however, that peacekeeping formally emerged when armed UN forces deployed to Egypt to supervise the withdrawal of forces occupying the Suez Canal (informally known as the ‘Second Arab-Israeli’ war). Here, the formation of UN peacekeeping represented an international pacifying mechanism </w:t>
      </w:r>
    </w:p>
    <w:p>
      <w:pPr/>
      <w:r>
        <w:rPr>
          <w:b/>
        </w:rPr>
        <w:t>POSSIBLE 2023:</w:t>
      </w:r>
      <w:r>
        <w:t xml:space="preserve"> EU Involvement in the Financing of the Blue Economy — https://doi.org/10.33067/se.1.2023.7</w:t>
      </w:r>
    </w:p>
    <w:p>
      <w:pPr/>
      <w:r>
        <w:rPr>
          <w:b/>
        </w:rPr>
        <w:t>Shared claim-specific concepts:</w:t>
      </w:r>
      <w:r>
        <w:t xml:space="preserve"> discusses, blue; EU scope visible. This is a provisional connection, not an outcome finding.</w:t>
      </w:r>
    </w:p>
    <w:p>
      <w:pPr>
        <w:pStyle w:val="SourceNote"/>
      </w:pPr>
      <w:r>
        <w:rPr>
          <w:b/>
        </w:rPr>
        <w:t>Available abstract (not full text):</w:t>
      </w:r>
      <w:r>
        <w:t xml:space="preserve"> he prospect of implementing the concept of the Blue Economy is currently still at a relatively early stage of achieving its full potential. The purpose of this paper is to present the idea of the ocean economy and selected aspects of its financing, including initiatives undertaken in this area by the European Union. Part I characterises the Blue Economy, part II discusses selected aspects of financing a sustainable ocean economy, and part III analyses the institutional approach, particularly within the EU, to the financing process of this type of economy. The descriptive method was used to conduct this study, and the available literature on and legal acts related to the subject of the article has been analysed. The undertakings made so far, especially by the EU, are impressive and, moreover, are driving global activity towards the sustainable financing of the Blue Economy. It is becoming a fundamental priority to realise the governments’ and international organisations’ aspirations to make economies independent from excessive carbon emissions, to counteract water degradation, overfishing, and shrinking drinking water resources. In the long term, it is important to develop coherence between the actions of national entities and the sources and methods of international funding. This is in order to develop a mutual, global good of innovative fi nancing of coastal projects for susta</w:t>
      </w:r>
    </w:p>
    <w:p>
      <w:pPr/>
      <w:r>
        <w:rPr>
          <w:b/>
        </w:rPr>
        <w:t>POSSIBLE 2022:</w:t>
      </w:r>
      <w:r>
        <w:t xml:space="preserve"> Review on Methylene Blue: Its Properties, Uses, Toxicity and Photodegradation — https://doi.org/10.3390/w14020242</w:t>
      </w:r>
    </w:p>
    <w:p>
      <w:pPr/>
      <w:r>
        <w:rPr>
          <w:b/>
        </w:rPr>
        <w:t>Shared claim-specific concepts:</w:t>
      </w:r>
      <w:r>
        <w:t xml:space="preserve"> blue, time; EU scope not established. This is a provisional connection, not an outcome finding.</w:t>
      </w:r>
    </w:p>
    <w:p>
      <w:pPr>
        <w:pStyle w:val="SourceNote"/>
      </w:pPr>
      <w:r>
        <w:rPr>
          <w:b/>
        </w:rPr>
        <w:t>Available abstract (not full text):</w:t>
      </w:r>
      <w:r>
        <w:t xml:space="preserve"> The unavailability of clean drinking water is one of the significant health issues in modern times. Industrial dyes are one of the dominant chemicals that make water unfit for drinking. Among these dyes, methylene blue (MB) is toxic, carcinogenic, and non-biodegradable and can cause a severe threat to human health and environmental safety. It is usually released in natural water sources, which becomes a health threat to human beings and living organisms. Hence, there is a need to develop an environmentally friendly, efficient technology for removing MB from wastewater. Photodegradation is an advanced oxidation process widely used for MB removal. It has the advantages of complete mineralization of dye into simple and nontoxic species with the potential to decrease the processing cost. This review provides a tutorial basis for the readers working in the dye degradation research area. We not only covered the basic principles of the process but also provided a wide range of previously published work on advanced photocatalytic systems (single-component and multi-component photocatalysts). Our study has focused on critical parameters that can affect the photodegradation rate of MB, such as photocatalyst type and loading, irradiation reaction time, pH of reaction media, initial concentration of dye, radical scavengers and oxidising agents. The photodegradation mechanism, reaction path</w:t>
      </w:r>
    </w:p>
    <w:p>
      <w:pPr/>
      <w:r>
        <w:rPr>
          <w:b/>
        </w:rPr>
        <w:t>POSSIBLE 2022:</w:t>
      </w:r>
      <w:r>
        <w:t xml:space="preserve"> Informing the design of urban green and blue spaces through an understanding of Europeans' usage and preferences — https://doi.org/10.1002/pan3.10419</w:t>
      </w:r>
    </w:p>
    <w:p>
      <w:pPr/>
      <w:r>
        <w:rPr>
          <w:b/>
        </w:rPr>
        <w:t>Shared claim-specific concepts:</w:t>
      </w:r>
      <w:r>
        <w:t xml:space="preserve"> blue, aimed, time; EU scope visible. This is a provisional connection, not an outcome finding.</w:t>
      </w:r>
    </w:p>
    <w:p>
      <w:pPr>
        <w:pStyle w:val="SourceNote"/>
      </w:pPr>
      <w:r>
        <w:rPr>
          <w:b/>
        </w:rPr>
        <w:t>Available abstract (not full text):</w:t>
      </w:r>
      <w:r>
        <w:t xml:space="preserve"> Abstract In light of global climate change and the biodiversity crisis, making cities more resilient through an adjusted design of urban green and blue spaces is crucial. Nature‐based solutions help address these challenges while providing opportunities for nature experiences, and providing cultural ecosystem services that support public health. The COVID‐19 pandemic and its associated stressors highlighted the interrelated socio‐ecological services provided by nature‐based solutions like urban green and blue spaces. This pan‐European study therefore aimed to enhance the socio‐ecological understanding of green and blue spaces to support their design and management. Using an online survey, green and blue space preferences, usage, and pandemic‐related changes in greenspace visit and outdoor recreation frequencies were examined. Greenspace visit and outdoor recreation frequencies were associated with respondents’ ( N = 584 from 15 countries) geographical location, dominant type of neighbourhood greenspace and greenspace availability during the pandemic, but not greenspace perceptions or sociodemographic background. Greenspace visit and outdoor recreation frequencies were generally high; however, Southern Europeans reported lower greenspace visit and outdoor recreation frequencies both before and during the pandemic than Northern Europeans. Many Southern Europeans also reported hav</w:t>
      </w:r>
    </w:p>
    <w:p>
      <w:pPr/>
      <w:r>
        <w:rPr>
          <w:b/>
        </w:rPr>
        <w:t>POSSIBLE 2021:</w:t>
      </w:r>
      <w:r>
        <w:t xml:space="preserve"> Current Status of the Algae Production Industry in Europe: An Emerging Sector of the Blue Bioeconomy — https://doi.org/10.3389/fmars.2020.626389</w:t>
      </w:r>
    </w:p>
    <w:p>
      <w:pPr/>
      <w:r>
        <w:rPr>
          <w:b/>
        </w:rPr>
        <w:t>Shared claim-specific concepts:</w:t>
      </w:r>
      <w:r>
        <w:t xml:space="preserve"> blue, dimension, strategy, yet; EU scope visible. This is a provisional connection, not an outcome finding.</w:t>
      </w:r>
    </w:p>
    <w:p>
      <w:pPr>
        <w:pStyle w:val="SourceNote"/>
      </w:pPr>
      <w:r>
        <w:rPr>
          <w:b/>
        </w:rPr>
        <w:t>Available abstract (not full text):</w:t>
      </w:r>
      <w:r>
        <w:t xml:space="preserve"> The EU Bioeconomy Strategy aims to support the sustainable growth and development of the EU bio-based sectors while creating jobs, innovation and services. Despite the recognized potential of the algae biomass value chain, significant knowledge gaps still exist regarding the dimension, capability, organization and structure of the algae production in Europe. This study presents and analyses the results of a comprehensive mapping and detailed characterization of the algae production at the European scale, encompassing macroalgae, microalgae, and the cyanobacteria Spirulina. This work mapped 447 algae and Spirulina production units spread between 23 countries, which represents an important addition to the reported number of algae producing countries. More than 50% of these companies produce microalgae and/or Spirulina. Macroalgae production is still depending on harvesting from wild stocks (68% of the macroalgae producing units) but macroalgae aquaculture (land-based and at sea) is developing in several countries in Europe currently representing 32% of the macroalgae production units. France, Ireland, and Spain are the top 3 countries in number of macroalgae production units while Germany, Spain, and Italy stand for the top 3 for microalgae. Spirulina producers are predominantly located in France, Italy, Germany, and Spain. Algae and Spirulina biomass is directed primarily for fo</w:t>
      </w:r>
    </w:p>
    <w:p>
      <w:pPr/>
      <w:r>
        <w:rPr>
          <w:b/>
        </w:rPr>
        <w:t>POSSIBLE 2021:</w:t>
      </w:r>
      <w:r>
        <w:t xml:space="preserve"> Ocean resource use: building the coastal blue economy — https://doi.org/10.1007/s11160-021-09636-0</w:t>
      </w:r>
    </w:p>
    <w:p>
      <w:pPr/>
      <w:r>
        <w:rPr>
          <w:b/>
        </w:rPr>
        <w:t>Shared claim-specific concepts:</w:t>
      </w:r>
      <w:r>
        <w:t xml:space="preserve"> use, blue; EU scope not established. This is a provisional connection, not an outcome finding.</w:t>
      </w:r>
    </w:p>
    <w:p>
      <w:pPr>
        <w:pStyle w:val="SourceNote"/>
      </w:pPr>
      <w:r>
        <w:rPr>
          <w:b/>
        </w:rPr>
        <w:t>Available abstract (not full text):</w:t>
      </w:r>
      <w:r>
        <w:t xml:space="preserve"> Humans have relied on coastal resources for centuries. However, current growth in population and increased accessibility of coastal resources through technology have resulted in overcrowded and often conflicted spaces. The recent global move towards development of national blue economy strategies further highlights the increased focus on coastal resources to address a broad range of blue growth industries. The need to manage sustainable development and future exploitation of both over-utilised and emergent coastal resources is both a political and environmental complexity. To address this complexity, we draw on the perspectives of a multi-disciplinary team, utilising two in depth exemplary case studies in New Zealand and within the Myanmar Delta Landscape, to showcase barriers, pathways and actions that facilitate a move from Business as Usual (BAU) to a future aligned with the Sustainable Development Goals (SDGs) and the UN International Decade of Ocean Science for Sustainable Development 2021-2030. We provide key recommendations to guide interest groups, and nations globally, towards sustainable utilisation, conservation and preservation of their marine environments in a fair and equitable way, and in collaboration with those who directly rely upon coastal ecosystems. We envision a sustainable future driven by conflict mitigation and resolution, where:(i)Change is motivated a</w:t>
      </w:r>
    </w:p>
    <w:p>
      <w:pPr/>
      <w:r>
        <w:rPr>
          <w:b/>
        </w:rPr>
        <w:t>POSSIBLE 2021:</w:t>
      </w:r>
      <w:r>
        <w:t xml:space="preserve"> 6G Vision, Value, Use Cases and Technologies From European 6G Flagship Project Hexa-X — https://doi.org/10.1109/access.2021.3130030</w:t>
      </w:r>
    </w:p>
    <w:p>
      <w:pPr/>
      <w:r>
        <w:rPr>
          <w:b/>
        </w:rPr>
        <w:t>Shared claim-specific concepts:</w:t>
      </w:r>
      <w:r>
        <w:t xml:space="preserve"> use, project; EU scope visible. This is a provisional connection, not an outcome finding.</w:t>
      </w:r>
    </w:p>
    <w:p>
      <w:pPr>
        <w:pStyle w:val="SourceNote"/>
      </w:pPr>
      <w:r>
        <w:rPr>
          <w:b/>
        </w:rPr>
        <w:t>Available abstract (not full text):</w:t>
      </w:r>
      <w:r>
        <w:t xml:space="preserve"> While 5G is being deployed and the economy and society begin to reap the associated benefits, the research and development community starts to focus on the next, 6th Generation (6G) of wireless communications. Although there are papers available in the literature on visions, requirements and technical enablers for 6G from various academic perspectives, there is a lack of joint industry and academic work towards 6G. In this paper a consolidated view on vision, values, use cases and key enabling technologies from leading industry stakeholders and academia is presented. The authors represent the mobile communications ecosystem with competences spanning hardware, link layer and networking aspects, as well as standardization and regulation. The second contribution of the paper is revisiting and analyzing the key concurrent initiatives on 6G. A third contribution of the paper is the identification and justification of six key 6G research challenges: (i) “connecting”, in the sense of empowering, exploiting and governing, intelligence; (ii) realizing a network of networks, i.e., leveraging on existing networks and investments, while reinventing roles and protocols where needed; (iii) delivering extreme experiences, when/where needed; (iv) (environmental, economic, social) sustainability to address the major challenges of current societies; (v) trustworthiness as an ingrained fundamenta</w:t>
      </w:r>
    </w:p>
    <w:p>
      <w:pPr/>
      <w:r>
        <w:rPr>
          <w:b/>
        </w:rPr>
        <w:t>POSSIBLE 2021:</w:t>
      </w:r>
      <w:r>
        <w:t xml:space="preserve"> Large variability in response to projected climate and land‐use changes among European bumblebee species — https://doi.org/10.1111/gcb.15780</w:t>
      </w:r>
    </w:p>
    <w:p>
      <w:pPr/>
      <w:r>
        <w:rPr>
          <w:b/>
        </w:rPr>
        <w:t>Shared claim-specific concepts:</w:t>
      </w:r>
      <w:r>
        <w:t xml:space="preserve"> use, project, direct; EU scope visible. This is a provisional connection, not an outcome finding.</w:t>
      </w:r>
    </w:p>
    <w:p>
      <w:pPr>
        <w:pStyle w:val="SourceNote"/>
      </w:pPr>
      <w:r>
        <w:rPr>
          <w:b/>
        </w:rPr>
        <w:t>Available abstract (not full text):</w:t>
      </w:r>
      <w:r>
        <w:t xml:space="preserve"> Bumblebees (Bombus ssp.) are among the most important wild pollinators, but many species have suffered from range declines. Land-use change, agricultural intensification, and the associated loss of habitat have been identified as drivers of the observed dynamics, amplifying pressures from a changing climate. However, these drivers are still underrepresented in continental-scale species distribution modeling. Here, we project the potential distribution of 47 European bumblebee species in 2050 and 2080 from existing European-scale distribution maps, based on a set of climate and land-use futures simulated through a regional integrated assessment model and consistent with the RCP-SSP scenario framework. We compare projections including (1) dynamic climate and constant land use (CLIM); (2) constant climate and dynamic land use (LU); and (3) dynamic climate and dynamic land use (COMB) to disentangle the effects of land use and climate change on future habitat suitability, providing the first rigorous continental-scale assessment of linked climate-land-use futures for bumblebees. We find that direct climate impacts, although variable across species, dominate responses for most species, especially under high-end climate change scenarios (up to 99% range loss). Land-use impacts are highly variable across species and scenarios, ranging from severe losses (up to 75% loss) to considerable</w:t>
      </w:r>
    </w:p>
    <w:p>
      <w:pPr>
        <w:pStyle w:val="Heading2"/>
      </w:pPr>
      <w:r>
        <w:t>962. Scenarios for the future of the European process industry - the case of the chemical industry</w:t>
      </w:r>
    </w:p>
    <w:p>
      <w:pPr>
        <w:pStyle w:val="SourceNote"/>
      </w:pPr>
      <w:r>
        <w:rPr>
          <w:b/>
        </w:rPr>
        <w:t>Original source (2013):</w:t>
      </w:r>
      <w:r>
        <w:t xml:space="preserve"> https://doi.org/10.1007/s40309-013-0010-9</w:t>
      </w:r>
    </w:p>
    <w:p>
      <w:pPr/>
      <w:r>
        <w:t>Original wording (abstract; indexed_source_text_not_full_document_verified): We studied future challenges for the European chemical industry until the year 2030. Based on the 249 qualitative statements made by the participating experts, we derived four future scenarios.</w:t>
      </w:r>
    </w:p>
    <w:p>
      <w:pPr/>
      <w:r>
        <w:rPr>
          <w:b/>
        </w:rPr>
        <w:t>POSSIBLE 2025:</w:t>
      </w:r>
      <w:r>
        <w:t xml:space="preserve"> Taxonomy of Chemical Bondings: Opportunities and Challenges — https://doi.org/10.1002/anie.202506525</w:t>
      </w:r>
    </w:p>
    <w:p>
      <w:pPr/>
      <w:r>
        <w:rPr>
          <w:b/>
        </w:rPr>
        <w:t>Shared claim-specific concepts:</w:t>
      </w:r>
      <w:r>
        <w:t xml:space="preserve"> challenges, chemical, based; EU scope not established. This is a provisional connection, not an outcome finding.</w:t>
      </w:r>
    </w:p>
    <w:p>
      <w:pPr>
        <w:pStyle w:val="SourceNote"/>
      </w:pPr>
      <w:r>
        <w:rPr>
          <w:b/>
        </w:rPr>
        <w:t>Available abstract (not full text):</w:t>
      </w:r>
      <w:r>
        <w:t xml:space="preserve"> The concept of the chemical bond is fundamental to chemistry, governing atomic interactions that define all known matter. Despite this central role, the classification and most convenient naming of chemical bonds remain subjects of debate due to the diverse theoretical models and experimental observations. Modelings from quantum mechanical calculations and heuristic principles from experimental observations offer valuable and complementary insights, but sometimes the match and coalescence of these different approaches into a common terminology is not immediate. This paper describes a hierarchical categorization of noncovalent interactions based on the electrophilic atom involved, aligning with IUPAC definitions of hydrogen bonding (HB), halogen bonding (HaB), chalcogen bonding (ChB), and pnictogen bonding (PnB). The resulting taxonomy may avoid some ambiguities that arise from naming interactions based on single chemical/physical features. The proposed categorization that moves from more general and comprehensive terms to more specific and descriptive terms may ensure clarity, comprehensiveness, consistency with periodic trends, and invariancy over evolving understanding of the chemical bonds so that findings can be communicated and stored effectively via both human and machine based protocols.</w:t>
      </w:r>
    </w:p>
    <w:p>
      <w:pPr/>
      <w:r>
        <w:rPr>
          <w:b/>
        </w:rPr>
        <w:t>POSSIBLE 2023:</w:t>
      </w:r>
      <w:r>
        <w:t xml:space="preserve"> The impacts of the European chemical industry on the planetary boundaries — https://doi.org/10.1016/j.spc.2023.12.006</w:t>
      </w:r>
    </w:p>
    <w:p>
      <w:pPr/>
      <w:r>
        <w:rPr>
          <w:b/>
        </w:rPr>
        <w:t>Shared claim-specific concepts:</w:t>
      </w:r>
      <w:r>
        <w:t xml:space="preserve"> chemical, industry, based; EU scope visible. This is a provisional connection, not an outcome finding.</w:t>
      </w:r>
    </w:p>
    <w:p>
      <w:pPr>
        <w:pStyle w:val="SourceNote"/>
      </w:pPr>
      <w:r>
        <w:rPr>
          <w:b/>
        </w:rPr>
        <w:t>Available abstract (not full text):</w:t>
      </w:r>
      <w:r>
        <w:t xml:space="preserve"> The European chemical industry plays a crucial role in the economy, manufacturing thousands of products that find applications across many sectors. On the other hand, this sector is also one of the largest energy consumers, and emits significant amounts of greenhouse gases, together with toxic, bioaccumulative and persistent chemicals. Acknowledging the need for a shift towards a greener industry model, this contribution assesses the absolute sustainability level of this sector by contrasting the impacts it causes with the ecological capacity of the planet, as given by the planetary boundaries framework. Results indicate that impacts incurred by the European chemical industry transgress CO2-based thresholds significantly, with burdens on atmospheric CO2 concentration, energy imbalance, and ocean acidification being 15, 16 and 6 times larger than planetary limits. The biosphere integrity boundary, assessed here based on functional diversity, is also transgressed by 3 %. The five chemicals with the highest production volume, namely ammonia, polypropylene, high-density polyethylene, styrene, and benzene, are responsible for around 50 % of impacts in all the planetary boundaries. This suggests that they should be the target of dedicated research and policies. Finally, the study assesses a set of improvement pathways for the European chemical industry to become sustainable. It is fo</w:t>
      </w:r>
    </w:p>
    <w:p>
      <w:pPr/>
      <w:r>
        <w:rPr>
          <w:b/>
        </w:rPr>
        <w:t>POSSIBLE 2022:</w:t>
      </w:r>
      <w:r>
        <w:t xml:space="preserve"> Expanding plastics recycling technologies: chemical aspects, technology status and challenges — https://doi.org/10.1039/d2gc02588d</w:t>
      </w:r>
    </w:p>
    <w:p>
      <w:pPr/>
      <w:r>
        <w:rPr>
          <w:b/>
        </w:rPr>
        <w:t>Shared claim-specific concepts:</w:t>
      </w:r>
      <w:r>
        <w:t xml:space="preserve"> challenges, chemical, industry; EU scope not established. This is a provisional connection, not an outcome finding.</w:t>
      </w:r>
    </w:p>
    <w:p>
      <w:pPr>
        <w:pStyle w:val="SourceNote"/>
      </w:pPr>
      <w:r>
        <w:rPr>
          <w:b/>
        </w:rPr>
        <w:t>Available abstract (not full text):</w:t>
      </w:r>
      <w:r>
        <w:t xml:space="preserve"> Less than 10% of the plastics generated globally are recycled, while the rest are incinerated, accumulated in landfills, or leach into the environment. New technologies are emerging to chemically recycle waste plastics that are receiving tremendous interest from academia and industry. Chemists and chemical engineers need to understand the fundamentals of these technologies to design improved systems for chemical recycling and upcycling of waste plastics. In this paper, we review the entire life cycle of plastics and options for the management of plastic waste to address barriers to industrial chemical recycling and further provide perceptions on possible opportunities with such materials. Knowledge and insights to enhance plastic recycling beyond its current scale are provided. Outstanding research problems and where researchers in the field should focus their efforts in the future are also discussed.</w:t>
      </w:r>
    </w:p>
    <w:p>
      <w:pPr/>
      <w:r>
        <w:rPr>
          <w:b/>
        </w:rPr>
        <w:t>POSSIBLE 2020:</w:t>
      </w:r>
      <w:r>
        <w:t xml:space="preserve"> Novel foods in the European Union: Scientific requirements and challenges of the risk assessment process by the European Food Safety Authority — https://doi.org/10.1016/j.foodres.2020.109515</w:t>
      </w:r>
    </w:p>
    <w:p>
      <w:pPr/>
      <w:r>
        <w:rPr>
          <w:b/>
        </w:rPr>
        <w:t>Shared claim-specific concepts:</w:t>
      </w:r>
      <w:r>
        <w:t xml:space="preserve"> challenges, based, made, derived; EU scope visible. This is a provisional connection, not an outcome finding.</w:t>
      </w:r>
    </w:p>
    <w:p>
      <w:pPr>
        <w:pStyle w:val="SourceNote"/>
      </w:pPr>
      <w:r>
        <w:rPr>
          <w:b/>
        </w:rPr>
        <w:t>Available abstract (not full text):</w:t>
      </w:r>
      <w:r>
        <w:t xml:space="preserve"> The European Food Safety Authority (EFSA) has been involved in the risk assessment of novel foods since 2003. The implementation of the current novel food regulation in 2018 rendered EFSA the sole entity of the European Union responsible for such safety evaluations. The risk assessment is based on the data submitted by applicants in line with the scientific requirements described in the respective EFSA guidance document. The present work aims to elaborate on the rationale behind the scientific questions raised during the risk assessment of novel foods, with a focus on complex mixtures and whole foods. Novel foods received by EFSA in 2003-2019 were screened and clustered by nature and complexity. The requests for additional or supplementary information raised by EFSA during all risk assessments were analyzed for identifying reoccurring issues. In brief, it is shown that applications concern mainly novel foods derived from plants, microorganisms, fungi, algae, and animals. A plethora of requests relates to the production process, the compositional characterization of the novel food, and the evaluation of the product's toxicological profile. Recurring issues related to specific novel food categories were noted. The heterogeneous nature and the variable complexity of novel foods emphasize the challenge to tailor aspects of the evaluation approach to the characteristics of each indi</w:t>
      </w:r>
    </w:p>
    <w:p>
      <w:pPr/>
      <w:r>
        <w:rPr>
          <w:b/>
        </w:rPr>
        <w:t>POSSIBLE 2018:</w:t>
      </w:r>
      <w:r>
        <w:t xml:space="preserve"> Food safety challenges and One Health within Europe — https://doi.org/10.1186/s13028-017-0355-3</w:t>
      </w:r>
    </w:p>
    <w:p>
      <w:pPr/>
      <w:r>
        <w:rPr>
          <w:b/>
        </w:rPr>
        <w:t>Shared claim-specific concepts:</w:t>
      </w:r>
      <w:r>
        <w:t xml:space="preserve"> challenges, industry, based; EU scope visible. This is a provisional connection, not an outcome finding.</w:t>
      </w:r>
    </w:p>
    <w:p>
      <w:pPr>
        <w:pStyle w:val="SourceNote"/>
      </w:pPr>
      <w:r>
        <w:rPr>
          <w:b/>
        </w:rPr>
        <w:t>Available abstract (not full text):</w:t>
      </w:r>
      <w:r>
        <w:t xml:space="preserve"> This review discusses food safety aspects of importance from a One Health perspective, focusing on Europe. Using examples of food pathogen/food commodity combinations, spread of antimicrobial resistance in the food web and the risk of transmission of zoonotic pathogens in a circular system, it demonstrates how different perspectives are interconnected. The chosen examples all show the complexity of the food system and the necessity of using a One Health approach. Food safety resources should be allocated where they contribute most One Health benefits. Data on occurrence and disease burden and knowledge of source attribution are crucial in assessing costs and benefits of control measures. Future achievements in food safety, public health and welfare will largely be based on how well politicians, researchers, industry, national agencies and other stakeholders manage to collaborate using the One Health approach. It can be concluded that closer cooperation between different disciplines is necessary to avoid silo thinking when addressing important food safety challenges. The importance of this is often mentioned, but more proof of concept is needed by the research community.</w:t>
      </w:r>
    </w:p>
    <w:p>
      <w:pPr>
        <w:pStyle w:val="Heading2"/>
      </w:pPr>
      <w:r>
        <w:t>963. Superconductivity and the environment: a Roadmap</w:t>
      </w:r>
    </w:p>
    <w:p>
      <w:pPr>
        <w:pStyle w:val="SourceNote"/>
      </w:pPr>
      <w:r>
        <w:rPr>
          <w:b/>
        </w:rPr>
        <w:t>Original source (2013):</w:t>
      </w:r>
      <w:r>
        <w:t xml:space="preserve"> https://doi.org/10.1088/0953-2048/26/11/113001</w:t>
      </w:r>
    </w:p>
    <w:p>
      <w:pPr/>
      <w:r>
        <w:t>Original wording (abstract; indexed_source_text_not_full_document_verified): If we want to stabilize CO 2 levels in our atmosphere at 550 parts per million, all of that growth needs to be met by non-carbon forms of energy' (2011 Equinox Summit: Energy 2030 http://wgsi.org/publications-resources ).</w:t>
      </w:r>
    </w:p>
    <w:p>
      <w:pPr/>
      <w:r>
        <w:rPr>
          <w:b/>
        </w:rPr>
        <w:t>POSSIBLE 2025:</w:t>
      </w:r>
      <w:r>
        <w:t xml:space="preserve"> What Does China Want? — https://doi.org/10.1162/isec.a.5</w:t>
      </w:r>
    </w:p>
    <w:p>
      <w:pPr/>
      <w:r>
        <w:rPr>
          <w:b/>
        </w:rPr>
        <w:t>Shared claim-specific concepts:</w:t>
      </w:r>
      <w:r>
        <w:t xml:space="preserve"> want, parts, all; EU scope not established. This is a provisional connection, not an outcome finding.</w:t>
      </w:r>
    </w:p>
    <w:p>
      <w:pPr>
        <w:pStyle w:val="SourceNote"/>
      </w:pPr>
      <w:r>
        <w:rPr>
          <w:b/>
        </w:rPr>
        <w:t>Available abstract (not full text):</w:t>
      </w:r>
      <w:r>
        <w:t xml:space="preserve"> Abstract The conventional wisdom is that China is a rising hegemon eager to replace the United States, dominate international institutions, and re-create the liberal international order in its own image. Drawing on data from 12,000 articles and hundreds of speeches by Xi Jinping, to discern China's intentions we analyze three terms or phrases from Chinese rhetoric: “struggle” (斗争), “rise of the East, decline of the West” (东升西降), and “no intention to replace the United States” ((无意取代美国). Our findings indicate that China is a status quo power concerned with regime stability and is more inwardly focused than externally oriented. China's aims are unambiguous, enduring, and limited: It cares about its borders, sovereignty, and foreign economic relations. China's main concerns are almost all regional and related to parts of China that the rest of the region has agreed are Chinese—Hong Kong, Taiwan, Tibet, and Xinjiang. Our argument has three main implications. First, China does not pose the type of military threat that the conventional wisdom claims it does. Thus, a hostile U.S. military posture in the Pacific is unwise and may unnecessarily create tensions. Second, the two countries could cooperate on several overlooked issue areas. Third, the conventional view of China plays down the economic and diplomatic arenas that a war-fighting approach is unsuited to address.</w:t>
      </w:r>
    </w:p>
    <w:p>
      <w:pPr/>
      <w:r>
        <w:rPr>
          <w:b/>
        </w:rPr>
        <w:t>POSSIBLE 2016:</w:t>
      </w:r>
      <w:r>
        <w:t xml:space="preserve"> flowVS: channel-specific variance stabilization in flow cytometry — https://doi.org/10.1186/s12859-016-1083-9</w:t>
      </w:r>
    </w:p>
    <w:p>
      <w:pPr/>
      <w:r>
        <w:rPr>
          <w:b/>
        </w:rPr>
        <w:t>Shared claim-specific concepts:</w:t>
      </w:r>
      <w:r>
        <w:t xml:space="preserve"> stabilize, levels, all; EU scope not established. This is a provisional connection, not an outcome finding.</w:t>
      </w:r>
    </w:p>
    <w:p>
      <w:pPr>
        <w:pStyle w:val="SourceNote"/>
      </w:pPr>
      <w:r>
        <w:rPr>
          <w:b/>
        </w:rPr>
        <w:t>Available abstract (not full text):</w:t>
      </w:r>
      <w:r>
        <w:t xml:space="preserve"> BACKGROUND: Comparing phenotypes of heterogeneous cell populations from multiple biological conditions is at the heart of scientific discovery based on flow cytometry (FC). When the biological signal is measured by the average expression of a biomarker, standard statistical methods require that variance be approximately stabilized in populations to be compared. Since the mean and variance of a cell population are often correlated in fluorescence-based FC measurements, a preprocessing step is needed to stabilize the within-population variances. RESULTS: We present a variance-stabilization algorithm, called flowVS, that removes the mean-variance correlations from cell populations identified in each fluorescence channel. flowVS transforms each channel from all samples of a data set by the inverse hyperbolic sine (asinh) transformation. For each channel, the parameters of the transformation are optimally selected by Bartlett's likelihood-ratio test so that the populations attain homogeneous variances. The optimum parameters are then used to transform the corresponding channels in every sample. flowVS is therefore an explicit variance-stabilization method that stabilizes within-population variances in each channel by evaluating the homoskedasticity of clusters with a likelihood-ratio test. With two publicly available datasets, we show that flowVS removes the mean-variance dependence</w:t>
      </w:r>
    </w:p>
    <w:p>
      <w:pPr/>
      <w:r>
        <w:rPr>
          <w:b/>
        </w:rPr>
        <w:t>POSSIBLE 2015:</w:t>
      </w:r>
      <w:r>
        <w:t xml:space="preserve"> Dynamic MIPS Rate Stabilization for Complex Processors — https://doi.org/10.1145/2714575</w:t>
      </w:r>
    </w:p>
    <w:p>
      <w:pPr/>
      <w:r>
        <w:rPr>
          <w:b/>
        </w:rPr>
        <w:t>Shared claim-specific concepts:</w:t>
      </w:r>
      <w:r>
        <w:t xml:space="preserve"> stabilize, levels, per, all, energy; EU scope not established. This is a provisional connection, not an outcome finding.</w:t>
      </w:r>
    </w:p>
    <w:p>
      <w:pPr>
        <w:pStyle w:val="SourceNote"/>
      </w:pPr>
      <w:r>
        <w:rPr>
          <w:b/>
        </w:rPr>
        <w:t>Available abstract (not full text):</w:t>
      </w:r>
      <w:r>
        <w:t xml:space="preserve"> Modern microprocessor cores reach their high performance levels with the help of high clock rates, parallel and speculative execution of a large number of instructions, and vast cache hierarchies. Modern cores also have adaptive features to regulate power and temperature and avoid thermal emergencies. All of these features contribute to highly unpredictable execution times. In this article, we demonstrate that the execution time of in-order (IO), out-of-order (OoO), and OoO simultaneous multithreaded processors can be stable and predictable by stabilizing their mega instructions executed per second (MIPS) rate via a proportional, integral, and differential (PID) gain feedback controller and dynamic voltage and frequency scaling (DVFS). Processor cores in idle cycles are continuously consuming power, which is highly undesirable in systems, especially in real-time systems. In addition to meeting deadlines in real-time systems, our MIPS rate stabilization framework can be applied on top of it to reduce power and energy by avoiding idle cycles. If processors are equipped with MIPS rate stabilization, the execution time can be predicted. Because the MIPS rate remains steady, a stabilized processor meets deadlines on time in real-time systems or in systems with quality-of-service execution latency requirements at the lowest possible frequency. To demonstrate and evaluate this capabil</w:t>
      </w:r>
    </w:p>
    <w:p>
      <w:pPr/>
      <w:r>
        <w:rPr>
          <w:b/>
        </w:rPr>
        <w:t>POSSIBLE 2014:</w:t>
      </w:r>
      <w:r>
        <w:t xml:space="preserve"> Diabetic retinopathy stabilization after renal transplantation — https://doi.org/10.4103/0301-4738.136303</w:t>
      </w:r>
    </w:p>
    <w:p>
      <w:pPr/>
      <w:r>
        <w:rPr>
          <w:b/>
        </w:rPr>
        <w:t>Shared claim-specific concepts:</w:t>
      </w:r>
      <w:r>
        <w:t xml:space="preserve"> want, levels, all; EU scope not established. This is a provisional connection, not an outcome finding.</w:t>
      </w:r>
    </w:p>
    <w:p>
      <w:pPr>
        <w:pStyle w:val="SourceNote"/>
      </w:pPr>
      <w:r>
        <w:rPr>
          <w:b/>
        </w:rPr>
        <w:t>Available abstract (not full text):</w:t>
      </w:r>
      <w:r>
        <w:t xml:space="preserve"> Dear Editor, We read the article “The effects of renal transplantation on diabetic retinopathy: Clinical course and visual outcomes” by Roy et al., with interest.[1] The authors aimed to elucidate the clinical course of diabetic retinopathy (DR) after renal transplantation (RT) in a hospital-based cohort. They concluded that RT stabilized the retinopathy status in the majority of patients although in a minor subset the disease course was unpredictable. We congratulate the authors for their lightening study. We would like to inform two errors which we think to be done by mistake and make some contributions about study. DR and diabetic nephropathy are the main microvascular complications of diabetes, representing the leading cause of blindness and end-stage renal disease.[2] There is a strong association between severity of retinopathy and level of kidney function.[3] Also there are several studies reporting the stabilization of the retinopathy after RT or simultaneous pancreas and kidney transplant (SPK).[1] Firstly, we want to inform two errors which we think to be done by mistake. In fourth paragraph of the discussion part, the authors informed that Chow et al., studying the effect of renal and pancreatic transplant on the status of retinal transplant found a stable visual acuity in the follow-up period. But actually in this study, Chow et al., examined the course of DR in ins</w:t>
      </w:r>
    </w:p>
    <w:p>
      <w:pPr>
        <w:pStyle w:val="Heading2"/>
      </w:pPr>
      <w:r>
        <w:t>964. THE CRITICAL ANALYSIS OF SCENARIO CONSTRUCTION IN THE POLISH FORESIGHT INITIATIVES</w:t>
      </w:r>
    </w:p>
    <w:p>
      <w:pPr>
        <w:pStyle w:val="SourceNote"/>
      </w:pPr>
      <w:r>
        <w:rPr>
          <w:b/>
        </w:rPr>
        <w:t>Original source (2013):</w:t>
      </w:r>
      <w:r>
        <w:t xml:space="preserve"> https://doi.org/10.3846/20294913.2013.809030</w:t>
      </w:r>
    </w:p>
    <w:p>
      <w:pPr/>
      <w:r>
        <w:t>Original wording (abstract; indexed_source_text_not_full_document_verified): The research has been funded by the National Science Centre in Poland within a research project entitled Scenarios in future shaping and anticipation for foresight studies, project number: 4194/B/H03/2011/40. The aim of the article is to present the diagnosis of scenario method application in the Polish foresight initiatives.</w:t>
      </w:r>
    </w:p>
    <w:p>
      <w:pPr/>
      <w:r>
        <w:rPr>
          <w:b/>
        </w:rPr>
        <w:t>POSSIBLE 2026:</w:t>
      </w:r>
      <w:r>
        <w:t xml:space="preserve"> Research Infrastructures and the Open Science Roadmap: European and Italian Strategies and Policies — https://doi.org/10.1007/978-3-032-29575-0_2</w:t>
      </w:r>
    </w:p>
    <w:p>
      <w:pPr/>
      <w:r>
        <w:rPr>
          <w:b/>
        </w:rPr>
        <w:t>Shared claim-specific concepts:</w:t>
      </w:r>
      <w:r>
        <w:t xml:space="preserve"> funded, national, science, within, initiatives; EU scope visible. This is a provisional connection, not an outcome finding.</w:t>
      </w:r>
    </w:p>
    <w:p>
      <w:pPr>
        <w:pStyle w:val="SourceNote"/>
      </w:pPr>
      <w:r>
        <w:rPr>
          <w:b/>
        </w:rPr>
        <w:t>Available abstract (not full text):</w:t>
      </w:r>
      <w:r>
        <w:t xml:space="preserve"> This chapter examines the policy frameworks that shape Research Infrastructures (RIs) in Europe and Italy. It focuses on global and European actors—such as the European Open Science Cloud (EOSC)—and analyses their role in advancing Open Science initiatives. The chapter also explores the plans, programs, and policies aimed at strengthening Research Infrastructures, expanding their openness, and promoting their use not only within research communities but also among key stakeholders in the European and national research and innovation system, including enterprises, the third sector, policymakers, public administrations, and civil society. Furthermore, the chapter investigates the strategies, actions, and main initiatives funded under the Italian National Recovery and Resilience Plan (PNRR—Piano Nazionale di Ripresa e Resilienza), with particular attention to Mission 4—Component 2—From Research to Enterprise. In this context, it highlights interventions designed to reinforce RIs and to develop a federated national system of research infrastructures in the Social Sciences and Humanities (SSH). This strategy, implemented through the involvement of leading Italian universities and research institutions, aims to effectively and efficiently support the country’s scientific advancement and socio-economic development by translating European and national principles and strategies for Open</w:t>
      </w:r>
    </w:p>
    <w:p>
      <w:pPr/>
      <w:r>
        <w:rPr>
          <w:b/>
        </w:rPr>
        <w:t>POSSIBLE 2026:</w:t>
      </w:r>
      <w:r>
        <w:t xml:space="preserve"> Diamond OA Policy Forum Europe: Strategies for Funding Diamond OA in Europe — https://doi.org/10.5281/zenodo.23301450</w:t>
      </w:r>
    </w:p>
    <w:p>
      <w:pPr/>
      <w:r>
        <w:rPr>
          <w:b/>
        </w:rPr>
        <w:t>Shared claim-specific concepts:</w:t>
      </w:r>
      <w:r>
        <w:t xml:space="preserve"> national, science, project, initiatives; EU scope visible. This is a provisional connection, not an outcome finding.</w:t>
      </w:r>
    </w:p>
    <w:p>
      <w:pPr>
        <w:pStyle w:val="SourceNote"/>
      </w:pPr>
      <w:r>
        <w:rPr>
          <w:b/>
        </w:rPr>
        <w:t>Available abstract (not full text):</w:t>
      </w:r>
      <w:r>
        <w:t xml:space="preserve"> Presentation slides from the Diamond OA Policy Forum Europe, held online on 5 October 2026 as part of the ALMASI project. The second meeting of the European Forum focused on funding Diamond OA in this region, showcasing the strategic funding approaches taken by European national Open Science policymakers, research funders and libraries in the region. It also presented the types of initiatives or models that make funding Diamond OA easier. The event was part of the Diamond OA Policy Forum series of regional and cross-regional meetings organised by ALMASI to bring together policymakers, funders and open access experts from Africa, Europe and Latin America. The Forum aims to support the development of policies and sustainable funding mechanisms for more equitable, diverse and community-led scholarly publishing. Speakers: Maja Peharc, Policy officer, Ministry for Education, Science and Youth, Slovenia Zoé Ancion, Head of the Open Science Unit, French National Research Agency, France Louise Otting-Geevers, Collection &amp; License manager, Delft University of Technology Library, the Netherlands Jean-François Lutz, Head of the Research Support Mission in the Documentation Division at Université de Lorraine, France Fabian Hennig, Officer for Diamond Open Access Consortia, TIB –Technische Informationsbibliothek, Germany Rosalie Lack, SCOSS Coordinator, Global Sustainability Coalition for O</w:t>
      </w:r>
    </w:p>
    <w:p>
      <w:pPr/>
      <w:r>
        <w:rPr>
          <w:b/>
        </w:rPr>
        <w:t>POSSIBLE 2024:</w:t>
      </w:r>
      <w:r>
        <w:t xml:space="preserve"> Researchers at Risk: An Update on National-level Actions in Europe 2024 (Inspireurope+) — https://doi.org/10.5281/zenodo.17361729</w:t>
      </w:r>
    </w:p>
    <w:p>
      <w:pPr/>
      <w:r>
        <w:rPr>
          <w:b/>
        </w:rPr>
        <w:t>Shared claim-specific concepts:</w:t>
      </w:r>
      <w:r>
        <w:t xml:space="preserve"> national, science, number, aim, initiatives; EU scope visible. This is a provisional connection, not an outcome finding.</w:t>
      </w:r>
    </w:p>
    <w:p>
      <w:pPr>
        <w:pStyle w:val="SourceNote"/>
      </w:pPr>
      <w:r>
        <w:rPr>
          <w:b/>
        </w:rPr>
        <w:t>Available abstract (not full text):</w:t>
      </w:r>
      <w:r>
        <w:t xml:space="preserve"> Academic freedom and institutional autonomy are currently under pressure in many countries around the world. The initial Inspireurope mapping report and the first report on national-level initiatives in Europe have already pointed out that the number of researchers at risk largely exceeds the available support structures. In the last two years, the contributors to this report have witnessed an increasing number of applications by researchers at risk. Attacks on the academic freedom of scholars and university students continue to curtail academic freedom by limiting what can and cannot be said in and out of classrooms, and additionally by encouraging self-censorship. They affect staff and students alike and range from loss of life and liberty to loss of professional standing, and employment. In some countries, this results from war or armed conflict, as in Ukraine, Sudan, or the Middle East. In other countries, the attacks follow in the trail of increasingly oppressive and authoritarian regimes. Afghanistan, Iran or Russia may serve as examples of countries where the risk of prosecution faced by scholars and students, and, particularly by female academics, has continued to be on the rise. For decades such attacks have been met by NGOs, higher education institutions and government-backed programs offering temporary positions for researchers who have been forced to flee oppressive</w:t>
      </w:r>
    </w:p>
    <w:p>
      <w:pPr/>
      <w:r>
        <w:rPr>
          <w:b/>
        </w:rPr>
        <w:t>POSSIBLE 2024:</w:t>
      </w:r>
      <w:r>
        <w:t xml:space="preserve"> Why European Social Sciences and Humanities Advocacy Matters — https://doi.org/10.1017/pub.2024.49</w:t>
      </w:r>
    </w:p>
    <w:p>
      <w:pPr/>
      <w:r>
        <w:rPr>
          <w:b/>
        </w:rPr>
        <w:t>Shared claim-specific concepts:</w:t>
      </w:r>
      <w:r>
        <w:t xml:space="preserve"> national, science, shaping, article; EU scope visible. This is a provisional connection, not an outcome finding.</w:t>
      </w:r>
    </w:p>
    <w:p>
      <w:pPr>
        <w:pStyle w:val="SourceNote"/>
      </w:pPr>
      <w:r>
        <w:rPr>
          <w:b/>
        </w:rPr>
        <w:t>Available abstract (not full text):</w:t>
      </w:r>
      <w:r>
        <w:t xml:space="preserve"> Abstract This article highlights the importance of European scientists, particularly in the social sciences and humanities, in shaping global research policies through active advocacy in science policy. The European Union (EU) is a significant transnational research funder, largely through its multiannual Framework Programmes, such as Horizon Europe (2020–2027), which support collaboration between researchers worldwide. This funding drives innovation and societal benefit, influencing global standards on topics like sustainability, cultural heritage, and data protection. The EU’s openness to consultation makes it unique compared to countries like the United States and China, where funding decisions are decided top-down by governments and policymakers. Thus, European humanities and social science researchers have a unique opportunity to shape the political research agenda. To strengthen this advocacy, three practical steps await researchers: (1) understand national research narratives, (2) ensure research impacts policymaking, and (3) support international research organisations.</w:t>
      </w:r>
    </w:p>
    <w:p>
      <w:pPr/>
      <w:r>
        <w:rPr>
          <w:b/>
        </w:rPr>
        <w:t>POSSIBLE 2023:</w:t>
      </w:r>
      <w:r>
        <w:t xml:space="preserve"> Incidence of Lyme Borreliosis in Europe from National Surveillance Systems (2005–2020) — https://doi.org/10.1089/vbz.2022.0071</w:t>
      </w:r>
    </w:p>
    <w:p>
      <w:pPr/>
      <w:r>
        <w:rPr>
          <w:b/>
        </w:rPr>
        <w:t>Shared claim-specific concepts:</w:t>
      </w:r>
      <w:r>
        <w:t xml:space="preserve"> national, poland, within, number; EU scope visible. This is a provisional connection, not an outcome finding.</w:t>
      </w:r>
    </w:p>
    <w:p>
      <w:pPr>
        <w:pStyle w:val="SourceNote"/>
      </w:pPr>
      <w:r>
        <w:rPr>
          <w:b/>
        </w:rPr>
        <w:t>Available abstract (not full text):</w:t>
      </w:r>
      <w:r>
        <w:t xml:space="preserve"> Background: Lyme borreliosis (LB) is the most common tick-borne disease in Europe. To inform European intervention strategies, including vaccines under development, we conducted a systematic review for LB incidence. Methods: We searched publicly available surveillance data reporting LB incidence in Europe from 2005 to 2020. Population-based incidence was calculated as the number of reported LB cases per 100,000 population per year (PPY), and high LB risk areas (incidence &gt;10/100,00 PPY for 3 consecutive years) were estimated. Results: Estimates of LB incidence were available for 25 countries. There was marked heterogeneity in surveillance systems (passive vs. mandatory and sentinel sites vs. national), case definitions (clinical, laboratory, or both), and testing methods, limiting comparison across countries. Twenty-one countries (84%) had passive surveillance; four (Belgium, France, Germany, and Switzerland) used sentinel surveillance systems. Only four countries (Bulgaria, France, Poland, and Romania) used standardized case definitions recommended by European public health institutions. Among all surveillance systems and considering any case definition for the most recently available years, national LB incidences were highest in Estonia, Lithuania, Slovenia, and Switzerland (&gt;100 cases/100,000 PPY), followed by France and Poland (40–80/100,000 PPY), and Finland and Latvia (20</w:t>
      </w:r>
    </w:p>
    <w:p>
      <w:pPr/>
      <w:r>
        <w:rPr>
          <w:b/>
        </w:rPr>
        <w:t>POSSIBLE 2023:</w:t>
      </w:r>
      <w:r>
        <w:t xml:space="preserve"> Opposition Discourse About National Recovery and Resilience Plans. Poland and Hungary Compared — https://doi.org/10.33067/se.1.2023.2</w:t>
      </w:r>
    </w:p>
    <w:p>
      <w:pPr/>
      <w:r>
        <w:rPr>
          <w:b/>
        </w:rPr>
        <w:t>Shared claim-specific concepts:</w:t>
      </w:r>
      <w:r>
        <w:t xml:space="preserve"> national, poland, within, article, polish; EU scope visible. This is a provisional connection, not an outcome finding.</w:t>
      </w:r>
    </w:p>
    <w:p>
      <w:pPr>
        <w:pStyle w:val="SourceNote"/>
      </w:pPr>
      <w:r>
        <w:rPr>
          <w:b/>
        </w:rPr>
        <w:t>Available abstract (not full text):</w:t>
      </w:r>
      <w:r>
        <w:t xml:space="preserve"> Although the governments of Poland and Hungary seem to similarly contest the conditionality mechanism that requires one to respect the rule of law when using EU funds, there are differences between these countries. They become visible in the framing of political communication as regards the opposition parties. This article seeks to identify the grounds of the competition from parliamentary opposition of the governments in relation to the EU Recovery and Resilience Fund. An analysis of 2021’s parliamentary debates on national recovery and resilience plans revealed three communication frameworks: the financial frame (the policy dimension), the quality of governance frame (the politics dimension), and the European integration frame which shaped domestic political rivalry (the polity dimension). Differences within these framings between the narrative of the Polish and Hungarian opposition resulted from different institutional and structural contexts. The study confirms the importance of national opposition parties for the analysis of the process of European integration. The existence of a liberal opposition may promote the salience of the topic of European integration in domestic political debate.</w:t>
      </w:r>
    </w:p>
    <w:p>
      <w:pPr/>
      <w:r>
        <w:rPr>
          <w:b/>
        </w:rPr>
        <w:t>POSSIBLE 2022:</w:t>
      </w:r>
      <w:r>
        <w:t xml:space="preserve"> Building National Open Science Cloud Initiatives (NOSCIs) in Southeast Europe — https://doi.org/10.15291/pubmet.3952</w:t>
      </w:r>
    </w:p>
    <w:p>
      <w:pPr/>
      <w:r>
        <w:rPr>
          <w:b/>
        </w:rPr>
        <w:t>Shared claim-specific concepts:</w:t>
      </w:r>
      <w:r>
        <w:t xml:space="preserve"> national, science, within, project, initiatives; EU scope visible. This is a provisional connection, not an outcome finding.</w:t>
      </w:r>
    </w:p>
    <w:p>
      <w:pPr>
        <w:pStyle w:val="SourceNote"/>
      </w:pPr>
      <w:r>
        <w:rPr>
          <w:b/>
        </w:rPr>
        <w:t>Available abstract (not full text):</w:t>
      </w:r>
      <w:r>
        <w:t xml:space="preserve"> The National Initiatives for Open Science in Europe (NI4OS Europe) project supports the development of the European Open Science Cloud (EOSC) by contributing to its portfolio of services, by involving national and regional research communities in the EOSC governance, by strengthening open science (OS) practices, and by promoting the FAIR principles (Macan et al., 2020; Garavelli et al., 2021) to help build the infrastructure and create a favourable environment for open and intensive scholarly communication.The main instrument in achieving this is the network of 15 national Open Science Cloud Initiatives (NOSCIs) established in the partner countries as national-level coalitions of Open Science stakeholders that have a prominent role and interest in the EOSC. The concept of NOSCI has been developed in response to the specific traits and challenges in the targeted region, based on complex and multilayered analyses of stakeholders, policies, and local contexts (Toli et al., 2020). Inclusive by nature, NOSCIs connect stakeholders from across the research lifecycle at the national level and provide not only a testbed for the formulation of OS policies but also a forum for knowledge dissemination and sharing.Drawing on a secondary analysis of the abundant data collected and materials produced during the project, this presentation focuses on the challenges identified as the NOSCIs were</w:t>
      </w:r>
    </w:p>
    <w:p>
      <w:pPr/>
      <w:r>
        <w:rPr>
          <w:b/>
        </w:rPr>
        <w:t>POSSIBLE 2021:</w:t>
      </w:r>
      <w:r>
        <w:t xml:space="preserve"> Effectiveness of research grants funded by European Research Council and Polish National Science Centre — https://doi.org/10.1016/j.joi.2021.101243</w:t>
      </w:r>
    </w:p>
    <w:p>
      <w:pPr/>
      <w:r>
        <w:rPr>
          <w:b/>
        </w:rPr>
        <w:t>Shared claim-specific concepts:</w:t>
      </w:r>
      <w:r>
        <w:t xml:space="preserve"> funded, national, science, centre, poland, project; EU scope visible. This is a provisional connection, not an outcome finding.</w:t>
      </w:r>
    </w:p>
    <w:p>
      <w:pPr>
        <w:pStyle w:val="SourceNote"/>
      </w:pPr>
      <w:r>
        <w:rPr>
          <w:b/>
        </w:rPr>
        <w:t>Available abstract (not full text):</w:t>
      </w:r>
      <w:r>
        <w:t xml:space="preserve"> We propose WEIG – Wroclaw Effectiveness Indicator for Grants. This new scientometric measure is an aggregated quality measure of scientific papers published with the grant support divided by its budget. Several WEIG variations have been considered with respect to journal quality indicators like Impact Factor (IF), Article Influence Score (AIS), and Average Journal Impact Factor Percentile (IF%). Projects from two public agencies were analysed utilising the WEIG measures: European Research Council (ERC) and National Science Centre, Poland (NSC). The studies revealed that NSC grants are overall more effective than ERC ones, constantly 2–3 times more for Physical Sciences and Engineering (PE). There are four NSC panels distinctively more efficient than their counterparts in ERC: Mathematics (PE1), Fundamental Constituents of Matter (PE2), Computer Science and Informatics (PE6) and Universe Sciences (PE9). The most efficient NSC funding schemes are Etiuda, Preludium, and Harmonia. The higher average effectiveness of programmes aimed at young scientists has been observed: the ERC Starting Grants have greater effectiveness than Advanced Grants. Both agencies manage to keep overall efficiency regardless of increasing their budget over the years. Limitations of the proposed approach to assess project effectiveness, especially for Social Sciences and Humanities, are also discussed.</w:t>
      </w:r>
    </w:p>
    <w:p>
      <w:pPr/>
      <w:r>
        <w:rPr>
          <w:b/>
        </w:rPr>
        <w:t>POSSIBLE 2021:</w:t>
      </w:r>
      <w:r>
        <w:t xml:space="preserve"> Science funding under an authoritarian regime: Portugal's National Education Board and the European ‘academic landscape’ in the interwar period — https://doi.org/10.1098/rsnr.2021.0037</w:t>
      </w:r>
    </w:p>
    <w:p>
      <w:pPr/>
      <w:r>
        <w:rPr>
          <w:b/>
        </w:rPr>
        <w:t>Shared claim-specific concepts:</w:t>
      </w:r>
      <w:r>
        <w:t xml:space="preserve"> national, science, number, article; EU scope visible. This is a provisional connection, not an outcome finding.</w:t>
      </w:r>
    </w:p>
    <w:p>
      <w:pPr>
        <w:pStyle w:val="SourceNote"/>
      </w:pPr>
      <w:r>
        <w:rPr>
          <w:b/>
        </w:rPr>
        <w:t>Available abstract (not full text):</w:t>
      </w:r>
      <w:r>
        <w:t xml:space="preserve"> This article enables an understanding of scientific practice and funding in a peripheral country ruled by a dictatorship in the interwar period, and thus provides the basis for comparison with studies of other non-democratic regimes. We examine the work of Portugal's Junta de Educação Nacional (National Education Board), which administered and provided funding for science from 1929 to 1936. Our findings show that this public body encouraged the participation of the Portuguese academic community in international science networks. This scenario contrasts with the dominant historiographical thesis that between the wars the Portuguese academic community did not play a role in international networks, and that it lacked state support. Also in contrast with the dominant historiography, whose ideological bias meant that a simplified picture was portrayed, whereas the reality is shown to be complex, this study demonstrates that the Portuguese dictatorial state sought to foster scientific progress through the Junta, but that resentment among academics and the resistance of universities to innovation meant that this objective was only partially achieved. Finally, the memory of a number of scientists has been rescued from oblivion, as we show how their political stance during the dictatorship led to their being ignored by historiographers when democracy prevailed.</w:t>
      </w:r>
    </w:p>
    <w:p>
      <w:pPr/>
      <w:r>
        <w:rPr>
          <w:b/>
        </w:rPr>
        <w:t>POSSIBLE 2021:</w:t>
      </w:r>
      <w:r>
        <w:t xml:space="preserve"> Current Wildland Fire Patterns and Challenges in Europe: A Synthesis of National Perspectives — https://doi.org/10.1177/11786221211028185</w:t>
      </w:r>
    </w:p>
    <w:p>
      <w:pPr/>
      <w:r>
        <w:rPr>
          <w:b/>
        </w:rPr>
        <w:t>Shared claim-specific concepts:</w:t>
      </w:r>
      <w:r>
        <w:t xml:space="preserve"> funded, national, science, within, aim, article; EU scope visible. This is a provisional connection, not an outcome finding.</w:t>
      </w:r>
    </w:p>
    <w:p>
      <w:pPr>
        <w:pStyle w:val="SourceNote"/>
      </w:pPr>
      <w:r>
        <w:rPr>
          <w:b/>
        </w:rPr>
        <w:t>Available abstract (not full text):</w:t>
      </w:r>
      <w:r>
        <w:t xml:space="preserve"> Changes in climate, land use, and land management impact the occurrence and severity of wildland fires in many parts of the world. This is particularly evident in Europe, where ongoing changes in land use have strongly modified fire patterns over the last decades. Although satellite data by the European Forest Fire Information System provide large-scale wildland fire statistics across European countries, there is still a crucial need to collect and summarize in-depth local analysis and understanding of the wildland fire condition and associated challenges across Europe. This article aims to provide a general overview of the current wildland fire patterns and challenges as perceived by national representatives, supplemented by national fire statistics (2009–2018) across Europe. For each of the 31 countries included, we present a perspective authored by scientists or practitioners from each respective country, representing a wide range of disciplines and cultural backgrounds. The authors were selected from members of the COST Action “Fire and the Earth System: Science &amp; Society” funded by the European Commission with the aim to share knowledge and improve communication about wildland fire. Where relevant, a brief overview of key studies, particular wildland fire challenges a country is facing, and an overview of notable recent fire events are also presented. Key perceived challen</w:t>
      </w:r>
    </w:p>
    <w:p>
      <w:pPr/>
      <w:r>
        <w:rPr>
          <w:b/>
        </w:rPr>
        <w:t>POSSIBLE 2020:</w:t>
      </w:r>
      <w:r>
        <w:t xml:space="preserve"> Thematic variations and auctorial foresights: The French National Funding Agency (Agence Nationale de la Recherche - ANR) (Biennial Conference of the European Society for the History of Science, London, UK, 14/09/2018-17/09/2018) — https://openalex.org/W3096754253</w:t>
      </w:r>
    </w:p>
    <w:p>
      <w:pPr/>
      <w:r>
        <w:rPr>
          <w:b/>
        </w:rPr>
        <w:t>Shared claim-specific concepts:</w:t>
      </w:r>
      <w:r>
        <w:t xml:space="preserve"> national, science, shaping; EU scope visible. This is a provisional connection, not an outcome finding.</w:t>
      </w:r>
    </w:p>
    <w:p>
      <w:pPr>
        <w:pStyle w:val="SourceNote"/>
      </w:pPr>
      <w:r>
        <w:rPr>
          <w:b/>
        </w:rPr>
        <w:t>Available abstract (not full text):</w:t>
      </w:r>
      <w:r>
        <w:t xml:space="preserve"> The French national funding agency (Agence Nationale de la Recherche - ANR) represents since 2005 the “delegation authority” of the public science system. As being the principal national funding agency, ANR influence regarding research communities is a mix of huge prestige, when getting a grant, and a collective satiric humour shared on Twitter (Agence Nationale de l'Excellence Scientifique, @Excelleagence). In between, the fact and the fears that ANR role in shaping and reconfiguring French research priorities is regularly debated. Based on the analysis of ANR data (2006 to 2016), recently released, our proposition aims to observe how and to what extent, ANR research priorities are impacting French communities research agenda. From a comparison between ANR thematic, grants thematic and research prospective expressed then realised by researchers themselves, the analysis will provide elements to depict the way researchers are adapting to the ANR authority. Our approach is both quantitative and qualitative and takes into account the longitudinal dimension to observe the variations occurred during 2006-2016 period.</w:t>
      </w:r>
    </w:p>
    <w:p>
      <w:pPr/>
      <w:r>
        <w:rPr>
          <w:b/>
        </w:rPr>
        <w:t>POSSIBLE 2020:</w:t>
      </w:r>
      <w:r>
        <w:t xml:space="preserve"> What Large-Scale Publication and Citation Data Tell Us About International Research Collaboration in Europe: Changing National Patterns in Global Contexts — https://doi.org/10.1080/03075079.2020.1749254</w:t>
      </w:r>
    </w:p>
    <w:p>
      <w:pPr/>
      <w:r>
        <w:rPr>
          <w:b/>
        </w:rPr>
        <w:t>Shared claim-specific concepts:</w:t>
      </w:r>
      <w:r>
        <w:t xml:space="preserve"> national, science, within; EU scope visible. This is a provisional connection, not an outcome finding.</w:t>
      </w:r>
    </w:p>
    <w:p>
      <w:pPr>
        <w:pStyle w:val="SourceNote"/>
      </w:pPr>
      <w:r>
        <w:rPr>
          <w:b/>
        </w:rPr>
        <w:t>Available abstract (not full text):</w:t>
      </w:r>
      <w:r>
        <w:t xml:space="preserve"> This study analyzes the unprecedented growth of international research collaboration (IRC) in Europe during the period 2009–2018 in terms of co-authorship and citation distribution of globally indexed publications. The results reveal the dynamics of this change, as growing IRC moves European systems away from institutional collaboration, with stable and strong national collaboration. Domestic output has remained flat. The growth in publications in major European systems is almost entirely attributable to internationally co-authored papers. A comparison of trends within the four complementary collaboration modes clearly reveals that the growth of European science is driven solely by internationally co-authored papers. With the emergence of global network science, which diminishes the role of national policies in IRC and foregrounds the role of scientists, the individual scientist’s willingness to collaborate internationally is central to advancing IRC in Europe. Scientists collaborate internationally when it enhances their academic prestige, scientific recognition, and access to research funding, as indicated by the credibility cycle, prestige maximization, and global science models. The study encompassed 5.5 million Scopus-indexed articles, including 2.2 million involving international collaboration.</w:t>
      </w:r>
    </w:p>
    <w:p>
      <w:pPr>
        <w:pStyle w:val="Heading2"/>
      </w:pPr>
      <w:r>
        <w:t>965. The EU Decarbonisation Roadmap 2050—What way to walk?</w:t>
      </w:r>
    </w:p>
    <w:p>
      <w:pPr>
        <w:pStyle w:val="SourceNote"/>
      </w:pPr>
      <w:r>
        <w:rPr>
          <w:b/>
        </w:rPr>
        <w:t>Original source (2013):</w:t>
      </w:r>
      <w:r>
        <w:t xml:space="preserve"> https://doi.org/10.1016/j.enpol.2012.11.054</w:t>
      </w:r>
    </w:p>
    <w:p>
      <w:pPr/>
      <w:r>
        <w:t>Original wording (abstract; indexed_source_text_not_full_document_verified): This policy option may include CDM (Clean Development Mechanism in the sense of ‘where’-flexibility) in an extended form if there are countries without emissions caps. We carry out a detailed CGE (Computable General Equilibrium) analysis of the EU Decarbonisation Roadmap 2050 on a macroeconomic and on a sectoral level.</w:t>
      </w:r>
    </w:p>
    <w:p>
      <w:pPr/>
      <w:r>
        <w:rPr>
          <w:b/>
        </w:rPr>
        <w:t>POSSIBLE 2023:</w:t>
      </w:r>
      <w:r>
        <w:t xml:space="preserve"> Sustainability and Competition Policy in Europe: Recent Developments — https://doi.org/10.1093/jeclap/lpad032</w:t>
      </w:r>
    </w:p>
    <w:p>
      <w:pPr/>
      <w:r>
        <w:rPr>
          <w:b/>
        </w:rPr>
        <w:t>Shared claim-specific concepts:</w:t>
      </w:r>
      <w:r>
        <w:t xml:space="preserve"> without, out; EU scope visible. This is a provisional connection, not an outcome finding.</w:t>
      </w:r>
    </w:p>
    <w:p>
      <w:pPr>
        <w:pStyle w:val="SourceNote"/>
      </w:pPr>
      <w:r>
        <w:rPr>
          <w:b/>
        </w:rPr>
        <w:t>Available abstract (not full text):</w:t>
      </w:r>
      <w:r>
        <w:t xml:space="preserve"> We have made amazing progress in integrating climate change and sustainability considerations into competition policy in recent years. In 2018, this was a fringe area inhabited by nerdy eco-warriors and hipster antitrusters (like me). Who would have believed that this would be a mainstream issue in 2023 with most European competition authorities focused on it and bringing out policy statements, guidelines (and draft guidelines), and even changes to their laws. All leading legal and economic competition firms have people focused on it. This is against the background of ‘green deals’; the ever-growing recognition of the existential threat that climate change poses for humanity; and growing recognition that, whilst competition policy is not the answer to climate change, it cannot just stand aside naïvely hoping that other people and tools (regulation, technology, individual corporate initiatives, etc.) will solve all the problems. Not only must competition policy not stand in the way of the fight against climate change and the transition to a sustainable economy, it can play its part in achieving this. This survey is structured as follows: The relationship between sustainability and competition policy. The new EU guidelines on sustainability cooperation. Initiatives on sustainability and competition beyond the EU. A look at some recent antitrust cases. Some challenges for the futu</w:t>
      </w:r>
    </w:p>
    <w:p>
      <w:pPr/>
      <w:r>
        <w:rPr>
          <w:b/>
        </w:rPr>
        <w:t>POSSIBLE 2023:</w:t>
      </w:r>
      <w:r>
        <w:t xml:space="preserve"> 4.N. Round table: Policy options for fixing the global and European health and care workforce-crisis — https://doi.org/10.1093/eurpub/ckad160.260</w:t>
      </w:r>
    </w:p>
    <w:p>
      <w:pPr/>
      <w:r>
        <w:rPr>
          <w:b/>
        </w:rPr>
        <w:t>Shared claim-specific concepts:</w:t>
      </w:r>
      <w:r>
        <w:t xml:space="preserve"> include, there, countries; EU scope visible. This is a provisional connection, not an outcome finding.</w:t>
      </w:r>
    </w:p>
    <w:p>
      <w:pPr>
        <w:pStyle w:val="SourceNote"/>
      </w:pPr>
      <w:r>
        <w:rPr>
          <w:b/>
        </w:rPr>
        <w:t>Available abstract (not full text):</w:t>
      </w:r>
      <w:r>
        <w:t xml:space="preserve"> Abstract Globally and within Europe, health systems are plagued by health and care workforce (HCWF) shortages, regional maldistribution, and skill-gaps. Insufficient training pipelines for health and care workers (HCW), attrition, discouraging working conditions and, in Europe, the demographics are contributing factors to the HCWF-crisis. This situation has been aggravated by the impact of COVID-19 and its immense burden on HCW's resulting in a further thinning of the HCWF. Despite these challenges, there are also many lessons to be learned from the various COVID-19 health systems responses in countries on improving the situation for the HCWF. National responses to COVID-19 showed that the health and care workforce is capable of hugely positive change. The lessons generated offer powerful evidence on how best to develop a sustainable workforce that is equipped to deliver on the ambitions of universal health coverage (UHC), health security and the sustainable development goals (SDGs). There is, however, no simple solution or silver bullet that can resolve the crisis. The response needs to be multi-faceted. Therefore, in this roundtable discussion, we will review policy options bundled in three sets: The first set focuses on the working conditions, which include: changing the scope of practice and introducing team-based roles; increasing the use of technology and digital tools; a</w:t>
      </w:r>
    </w:p>
    <w:p>
      <w:pPr/>
      <w:r>
        <w:rPr>
          <w:b/>
        </w:rPr>
        <w:t>POSSIBLE 2022:</w:t>
      </w:r>
      <w:r>
        <w:t xml:space="preserve"> The clean development mechanism in Eastern Europe: an in-depth exploration — https://doi.org/10.1007/s11356-022-20988-3</w:t>
      </w:r>
    </w:p>
    <w:p>
      <w:pPr/>
      <w:r>
        <w:rPr>
          <w:b/>
        </w:rPr>
        <w:t>Shared claim-specific concepts:</w:t>
      </w:r>
      <w:r>
        <w:t xml:space="preserve"> cdm, clean, mechanism, there, countries, carry; EU scope visible. This is a provisional connection, not an outcome finding.</w:t>
      </w:r>
    </w:p>
    <w:p>
      <w:pPr>
        <w:pStyle w:val="SourceNote"/>
      </w:pPr>
      <w:r>
        <w:rPr>
          <w:b/>
        </w:rPr>
        <w:t>Available abstract (not full text):</w:t>
      </w:r>
      <w:r>
        <w:t xml:space="preserve"> The Clean Development Mechanism (CDM), a partnership tool founded under the Kyoto Protocol, grants potential opportunities to help developing countries achieve sustainable development. The present research examines the CDM projects in Eastern Europe (Moldova, Serbia, Bosnia and Herzegovina, Montenegro, and Albania). Although there were far fewer projects in this region than, for instance, China or India, it has some specific features that make it worth studying. Major findings are that most CDM projects in Eastern Europe involved a changing combination of two or more sources of financing, and the distribution of projects in the region was uneven. Moreover, although there was a small number of projects overall, they were all cost-effective, long-term and large-scale. The findings of the research call for improvements to be made to the governance of the CDM, by strengthening the international and national regulation of projects and by aggregating the scales of decision-making and actions so that real multi-scalar transnational governance - from the global level down to the local level - is implemented in a coherent manner. It is also recommended to carry out ex-post project evaluations, following which readjustments could be made.</w:t>
      </w:r>
    </w:p>
    <w:p>
      <w:pPr/>
      <w:r>
        <w:rPr>
          <w:b/>
        </w:rPr>
        <w:t>POSSIBLE 2020:</w:t>
      </w:r>
      <w:r>
        <w:t xml:space="preserve"> Preventing Harmful Internet Use-Related Addiction Problems in Europe: A Literature Review and Policy Options — https://doi.org/10.3390/ijerph17113797</w:t>
      </w:r>
    </w:p>
    <w:p>
      <w:pPr/>
      <w:r>
        <w:rPr>
          <w:b/>
        </w:rPr>
        <w:t>Shared claim-specific concepts:</w:t>
      </w:r>
      <w:r>
        <w:t xml:space="preserve"> countries, detailed; EU scope visible. This is a provisional connection, not an outcome finding.</w:t>
      </w:r>
    </w:p>
    <w:p>
      <w:pPr>
        <w:pStyle w:val="SourceNote"/>
      </w:pPr>
      <w:r>
        <w:rPr>
          <w:b/>
        </w:rPr>
        <w:t>Available abstract (not full text):</w:t>
      </w:r>
      <w:r>
        <w:t xml:space="preserve"> Internet use-related addiction problems are increasingly being recognized on a European scale due to international health organizations considering gaming addiction. In April 2013, the American Psychiatric Association recognized Internet Gaming Disorder in the fifth Diagnostic and Statistical Manual of Mental Disorders, and in April 2018, the World Health Organization included Gaming Disorder in the eleventh International Classification of Diseases. However, findings on these problems within this period are lacking in Europe, and a preventive approach is missing globally. A detailed critical literature review was conducted using PsycINFO and Web of Science in this five-year period. A total of 19 studies were reviewed and problems identified were: generalized Internet addiction and online gaming and gambling addictions across seven European countries (i.e., Spain, Germany, France, Italy, Greece, The Netherlands, and Denmark). The individuals with problematic use were found to be educated adolescents, usually young males with comorbid disorders, and gaming and gambling disorders were implicated in the most severe cases. Cognitive behavioral therapy was the main treatment, sometimes combined with a systemic approach for adolescents. Prevalence, high-risk populations, and factors contributing to these addiction problems are discussed, and a set of policy options are developed for t</w:t>
      </w:r>
    </w:p>
    <w:p>
      <w:pPr/>
      <w:r>
        <w:rPr>
          <w:b/>
        </w:rPr>
        <w:t>POSSIBLE 2020:</w:t>
      </w:r>
      <w:r>
        <w:t xml:space="preserve"> The demographic challenge of Eastern Europe and potential policy options — https://doi.org/10.4337/9781839109508.00028</w:t>
      </w:r>
    </w:p>
    <w:p>
      <w:pPr/>
      <w:r>
        <w:rPr>
          <w:b/>
        </w:rPr>
        <w:t>Shared claim-specific concepts:</w:t>
      </w:r>
      <w:r>
        <w:t xml:space="preserve"> include, countries; EU scope visible. This is a provisional connection, not an outcome finding.</w:t>
      </w:r>
    </w:p>
    <w:p>
      <w:pPr>
        <w:pStyle w:val="SourceNote"/>
      </w:pPr>
      <w:r>
        <w:rPr>
          <w:b/>
        </w:rPr>
        <w:t>Available abstract (not full text):</w:t>
      </w:r>
      <w:r>
        <w:t xml:space="preserve"> Eastern Europe’s economic convergence toward the West has come at a high cost. Outward migration to Western Europe was a key driver, and negative demographic trends are increasingly becoming a major socioeconomic challenge. Population projections foresee a drop in the number of inhabitants of Eastern European countries of about 5 per cent to 15 per cent over the next three decades. The available policy options to counter these demographic trends include: increasing productivity, scaling up immigration, raising activity rates or elevating fertility rates. However, the room for more female employment is rather limited in the region; the level of labour-saving robotization is still quite low, when compared to Western Europe; and most countries in the region are not well prepared for the digital economy. Successfully implementing new policies to counter adverse demographic trends also depends on the functioning of institutions. Unfortunately, recent years have seen a rise of authoritarianism and state capture in Eastern Europe, with an anti-immigration stance and negative implications for institutional quality.</w:t>
      </w:r>
    </w:p>
    <w:p>
      <w:pPr/>
      <w:r>
        <w:rPr>
          <w:b/>
        </w:rPr>
        <w:t>POSSIBLE 2020:</w:t>
      </w:r>
      <w:r>
        <w:t xml:space="preserve"> Reforestation policy has constrained options for managing risks on public forests — https://doi.org/10.1139/cjfr-2019-0422</w:t>
      </w:r>
    </w:p>
    <w:p>
      <w:pPr/>
      <w:r>
        <w:rPr>
          <w:b/>
        </w:rPr>
        <w:t>Shared claim-specific concepts:</w:t>
      </w:r>
      <w:r>
        <w:t xml:space="preserve"> include, sense; EU scope visible. This is a provisional connection, not an outcome finding.</w:t>
      </w:r>
    </w:p>
    <w:p>
      <w:pPr>
        <w:pStyle w:val="SourceNote"/>
      </w:pPr>
      <w:r>
        <w:rPr>
          <w:b/>
        </w:rPr>
        <w:t>Available abstract (not full text):</w:t>
      </w:r>
      <w:r>
        <w:t xml:space="preserve"> Strict forest renewal policies in western Canada focus on replicating the stand type that was cut and projecting the growth of young stands forward using simple models based upon past growing conditions. These policies arose from European principles of sustained yield and now limit options for adaptive management at the time of investment in forest renewal of public lands. We assert that such simple and restrictive policies, combined with long-term yield predictions, give a false sense of sustainability in times of increased drought, fires, and insect and disease attacks that accompany climate change. We must undertake comprehensive changes in forest policy that incorporate disturbance in our forest management planning. This is a large task! Options include (i) zoning public forests to vary intensities of management and minimize risk; (ii) changing stand- and forest-level models to increase the diversity of forests regenerated; (iii) widening the sphere of scientific experts that can influence forest policy and risk management; and (iv) reallocating expenditures on forest renewal, protection, and management to minimize negative impacts of disturbance. Such a comprehensive overhaul of forest management will be necessary as the current assumptions of forest sustainability come under further scrutiny by the public and investors.</w:t>
      </w:r>
    </w:p>
    <w:p>
      <w:pPr/>
      <w:r>
        <w:rPr>
          <w:b/>
        </w:rPr>
        <w:t>POSSIBLE 2019:</w:t>
      </w:r>
      <w:r>
        <w:t xml:space="preserve"> Economic polarisation in Europe: Causes and policy options — https://openalex.org/W3015815101</w:t>
      </w:r>
    </w:p>
    <w:p>
      <w:pPr/>
      <w:r>
        <w:rPr>
          <w:b/>
        </w:rPr>
        <w:t>Shared claim-specific concepts:</w:t>
      </w:r>
      <w:r>
        <w:t xml:space="preserve"> countries, without; EU scope visible. This is a provisional connection, not an outcome finding.</w:t>
      </w:r>
    </w:p>
    <w:p>
      <w:pPr>
        <w:pStyle w:val="SourceNote"/>
      </w:pPr>
      <w:r>
        <w:rPr>
          <w:b/>
        </w:rPr>
        <w:t>Available abstract (not full text):</w:t>
      </w:r>
      <w:r>
        <w:t xml:space="preserve"> This study discusses the challenges economic policy-makers in Europe have to cope with in order to ensure an economically prosperous and institutionally stable community of Member States of the European Union (EU). At the analytical level, we not only document a process of multi-dimensional polarisation of EU countries, but also link the existing economic divergences with a central long-term problem, namely structural polarisation: differences in the institutional and legal embedding (e.g. in the areas of tax and corporate law, the labour market or the financial sector) and technological capabilities are a major driver of divergence in living standards between some Member States. This polarisation, which started already before the financial crisis but has intensified over the last ten years, is largely due to the global as well as European 'race for the best location'. Without coordinated and cooperative intervention by economic policy-makers, a further drifting apart of economic development paths seems unavoidable. The large differences in the production structures of the EU countries and the resulting highly unequal distribution of technological capabilities are self-reinforcing in nature and would further intensify polarisation. The present study provides proposals for a coherent European overall strategy that not only addresses existing problems and makes possible the often</w:t>
      </w:r>
    </w:p>
    <w:p>
      <w:pPr/>
      <w:r>
        <w:rPr>
          <w:b/>
        </w:rPr>
        <w:t>POSSIBLE 2019:</w:t>
      </w:r>
      <w:r>
        <w:t xml:space="preserve"> Drought Management Planning Policy: From Europe to Spain — https://doi.org/10.3390/su11071862</w:t>
      </w:r>
    </w:p>
    <w:p>
      <w:pPr/>
      <w:r>
        <w:rPr>
          <w:b/>
        </w:rPr>
        <w:t>Shared claim-specific concepts:</w:t>
      </w:r>
      <w:r>
        <w:t xml:space="preserve"> include, countries, out; EU scope visible. This is a provisional connection, not an outcome finding.</w:t>
      </w:r>
    </w:p>
    <w:p>
      <w:pPr>
        <w:pStyle w:val="SourceNote"/>
      </w:pPr>
      <w:r>
        <w:rPr>
          <w:b/>
        </w:rPr>
        <w:t>Available abstract (not full text):</w:t>
      </w:r>
      <w:r>
        <w:t xml:space="preserve"> Climate change is anticipated to exacerbate the frequency, the intensity, and the duration of droughts, especially in Mediterranean countries. This might lead to more serious water scarcity episodes and fierce competition among water users. Are we really prepared to deal efficiently with droughts and water scarcity events? This paper sheds light on this question by reviewing the evolution of European drought management planning policy, recently developed scientific and technical advances, technical guidance documents, and an extensive number of journal papers. More specifically, Spain presents an ideal context to assess how drought risk has been historically addressed because this country has periodically suffered the impacts of intense droughts and water scarcity episodes, and has developed a long track record in water legislation, hydrological planning, and drought risk management strategies. The most recent Drought Management Plans (DMPs) were approved in December 2018. These include an innovative common diagnosis system that distinguishes droughts and water scarcity situations in terms of indicators, triggers, phases, and actions. We can conclude that DMP should be a live and active document able to integrate updated knowledge. The DMP needs also to set out a clear strategy in terms of water use priorities, drought monitoring systems, and measures in each river basin in ord</w:t>
      </w:r>
    </w:p>
    <w:p>
      <w:pPr/>
      <w:r>
        <w:rPr>
          <w:b/>
        </w:rPr>
        <w:t>POSSIBLE 2018:</w:t>
      </w:r>
      <w:r>
        <w:t xml:space="preserve"> Stock option taxation: a missing piece in European innovation policy? — https://doi.org/10.1007/s11187-018-0008-6</w:t>
      </w:r>
    </w:p>
    <w:p>
      <w:pPr/>
      <w:r>
        <w:rPr>
          <w:b/>
        </w:rPr>
        <w:t>Shared claim-specific concepts:</w:t>
      </w:r>
      <w:r>
        <w:t xml:space="preserve"> option, countries, without; EU scope visible. This is a provisional connection, not an outcome finding.</w:t>
      </w:r>
    </w:p>
    <w:p>
      <w:pPr>
        <w:pStyle w:val="SourceNote"/>
      </w:pPr>
      <w:r>
        <w:rPr>
          <w:b/>
        </w:rPr>
        <w:t>Available abstract (not full text):</w:t>
      </w:r>
      <w:r>
        <w:t xml:space="preserve"> Europe continues to lag behind the USA in venture capital (VC) activity and in the creation of successful startups, and has recently been surpassed by China. This is despite the fact that many European countries have deep financial markets, strong legal institutions, and high R&amp;D spending. We point to the tax treatment of employee stock options as an explanation for the stronger growth of the US VC sector. As a response to high uncertainty and transaction costs, VC financiers have developed a model in which founders and key recruitments are compensated with stock options under complex contracts. Low tax rates on employee stock options further raise the relative returns of working and investing in innovative entrepreneurial firms, and shift financial capital and talent to that sector. We measure the effective tax on stock options in VC-backed entrepreneurial firms in a number of developed economies. Countries with lower stock option taxation have higher VC activity and more high-growth expectation entrepreneurial activity. Based on these associations and the theoretical and empirical literature, we argue that more lenient taxation of gains on employee stock options can be a strategy for European countries to catch up in entrepreneurial finance. This tax policy would narrowly target entrepreneurial startups without requiring broad tax cuts. The favorable tax treatment of stock op</w:t>
      </w:r>
    </w:p>
    <w:p>
      <w:pPr/>
      <w:r>
        <w:rPr>
          <w:b/>
        </w:rPr>
        <w:t>POSSIBLE 2018:</w:t>
      </w:r>
      <w:r>
        <w:t xml:space="preserve"> The European Court of Justice and the Policy Process — https://doi.org/10.1093/oso/9780198717775.001.0001</w:t>
      </w:r>
    </w:p>
    <w:p>
      <w:pPr/>
      <w:r>
        <w:rPr>
          <w:b/>
        </w:rPr>
        <w:t>Shared claim-specific concepts:</w:t>
      </w:r>
      <w:r>
        <w:t xml:space="preserve"> detailed, general; EU scope visible. This is a provisional connection, not an outcome finding.</w:t>
      </w:r>
    </w:p>
    <w:p>
      <w:pPr>
        <w:pStyle w:val="SourceNote"/>
      </w:pPr>
      <w:r>
        <w:rPr>
          <w:b/>
        </w:rPr>
        <w:t>Available abstract (not full text):</w:t>
      </w:r>
      <w:r>
        <w:t xml:space="preserve"> Abstract The European Court of Justice is one of the most important actors in the process of European integration. Political science still struggles to understand its significance, with recent scholarship emphasizing how closely rulings reflect member states’ preferences. In this book, I argue that the implications of the supremacy and direct effect of the EU law have still been overlooked. As it constitutionalizes an intergovernmental treaty, the European Union has a detailed set of policies inscribed into its constitution that are extensively shaped by the Court’s case law. If rulings have constitutional status, their impact is considerable, even if the Court only occasionally diverts from member states’ preferences. By focusing on the four freedoms of goods, services, persons, and capital, as well as citizenship rights, the book analyses how the Court’s development of case law has ascribed a broad meaning to these freedoms. The constitutional status of this case law constrains policymaking at the European and member-state levels. Different case studies show how major pieces of EU legislation cannot move beyond case law but have to codify its principles. Judicialization is important in the EU. It also directly constrains member-state policies. Court rulings oriented towards individual disputes are difficult to translate into general policies, and into administrative practices</w:t>
      </w:r>
    </w:p>
    <w:p>
      <w:pPr/>
      <w:r>
        <w:rPr>
          <w:b/>
        </w:rPr>
        <w:t>POSSIBLE 2015:</w:t>
      </w:r>
      <w:r>
        <w:t xml:space="preserve"> Residential heating with wood and coal: health impacts and policy options in Europe and North America — https://openalex.org/W2240014870</w:t>
      </w:r>
    </w:p>
    <w:p>
      <w:pPr/>
      <w:r>
        <w:rPr>
          <w:b/>
        </w:rPr>
        <w:t>Shared claim-specific concepts:</w:t>
      </w:r>
      <w:r>
        <w:t xml:space="preserve"> without, emissions; EU scope visible. This is a provisional connection, not an outcome finding.</w:t>
      </w:r>
    </w:p>
    <w:p>
      <w:pPr>
        <w:pStyle w:val="SourceNote"/>
      </w:pPr>
      <w:r>
        <w:rPr>
          <w:b/>
        </w:rPr>
        <w:t>Available abstract (not full text):</w:t>
      </w:r>
      <w:r>
        <w:t xml:space="preserve"> Residential heating with wood and coal is an important source of ambient (outdoor) air pollution; it can also cause substantial indoor air pollution through either direct exposure or infiltration from outside.Evidence links emissions from wood and coal heating to serious health effects such as respiratory and cardiovascular mortality and morbidity.Wood and coal burning also emit carcinogenic compounds.The results presented in the report indicate that it will be difficult to tackle outdoor air pollution problems in many parts of the world without addressing this source sector.A better understanding of the role of wood biomass heating as a major source of globally harmful outdoor air pollutants (especially fine particles) is needed among national, regional and local administrations, politicians and the public at large.</w:t>
      </w:r>
    </w:p>
    <w:p>
      <w:pPr/>
      <w:r>
        <w:rPr>
          <w:b/>
        </w:rPr>
        <w:t>POSSIBLE 2015:</w:t>
      </w:r>
      <w:r>
        <w:t xml:space="preserve"> Towards a European Policy for Rewilding — https://doi.org/10.1007/978-3-319-12039-3_11</w:t>
      </w:r>
    </w:p>
    <w:p>
      <w:pPr/>
      <w:r>
        <w:rPr>
          <w:b/>
        </w:rPr>
        <w:t>Shared claim-specific concepts:</w:t>
      </w:r>
      <w:r>
        <w:t xml:space="preserve"> option, include; EU scope visible. This is a provisional connection, not an outcome finding.</w:t>
      </w:r>
    </w:p>
    <w:p>
      <w:pPr>
        <w:pStyle w:val="SourceNote"/>
      </w:pPr>
      <w:r>
        <w:rPr>
          <w:b/>
        </w:rPr>
        <w:t>Available abstract (not full text):</w:t>
      </w:r>
      <w:r>
        <w:t xml:space="preserve"> Millions of hectares of agricultural land could be released from human pressure within the next decades in Europe. Rewilding presents a great opportunity to restore the abandoned landscapes, along with the biodiversity and the supply of those ecosystem services that were until now restricted to the remaining few wild areas of the continent. As a result, rewilding is in a dire need of a policy framework in the European Union, to promote its implementation as a land management option, to evaluate its outcomes, and to share knowledge and good practices among stakeholders. In this chapter, we review the history of conservation policies and protected areas in the EU, the implementation of the Natura 2000 Network being one of the major milestones. We also discuss the role of conservation in sectoral activities such as agriculture. We present the growing importance given to wilderness areas and the inclusion of wilderness management into European policies. We then evaluate the contribution of wilderness and rewilding to the achievement of global and EU targets. Finally, recommendations are made to efficiently and adequately include rewilding into the European framework of conservation policies.</w:t>
      </w:r>
    </w:p>
    <w:p>
      <w:pPr>
        <w:pStyle w:val="Heading2"/>
      </w:pPr>
      <w:r>
        <w:t>966. The European Unions Strategic Gas Supply Options and the Prevalence of the Southern Corridor</w:t>
      </w:r>
    </w:p>
    <w:p>
      <w:pPr>
        <w:pStyle w:val="SourceNote"/>
      </w:pPr>
      <w:r>
        <w:rPr>
          <w:b/>
        </w:rPr>
        <w:t>Original source (2013):</w:t>
      </w:r>
      <w:r>
        <w:t xml:space="preserve"> https://doi.org/10.54648/eerr2013040</w:t>
      </w:r>
    </w:p>
    <w:p>
      <w:pPr/>
      <w:r>
        <w:t>Original wording (abstract; indexed_source_text_not_full_document_verified): Current estimates predict the EU will need to import up to 80% of the gas it will consume in 2030.Already there is a strong concern about its reliance on Russian gas, especially in Eastern European countries.</w:t>
      </w:r>
    </w:p>
    <w:p>
      <w:pPr/>
      <w:r>
        <w:rPr>
          <w:b/>
        </w:rPr>
        <w:t>POSSIBLE 2025:</w:t>
      </w:r>
      <w:r>
        <w:t xml:space="preserve"> Predicting and preventing preterm birth in Europe: current challenges and gaps — https://doi.org/10.1080/14767058.2025.2547687</w:t>
      </w:r>
    </w:p>
    <w:p>
      <w:pPr/>
      <w:r>
        <w:rPr>
          <w:b/>
        </w:rPr>
        <w:t>Shared claim-specific concepts:</w:t>
      </w:r>
      <w:r>
        <w:t xml:space="preserve"> current, predict, need, concern; EU scope visible. This is a provisional connection, not an outcome finding.</w:t>
      </w:r>
    </w:p>
    <w:p>
      <w:pPr>
        <w:pStyle w:val="SourceNote"/>
      </w:pPr>
      <w:r>
        <w:rPr>
          <w:b/>
        </w:rPr>
        <w:t>Available abstract (not full text):</w:t>
      </w:r>
      <w:r>
        <w:t xml:space="preserve"> OBJECTIVE: Preterm birth (PTB) remains a leading cause of neonatal morbidity and mortality across Europe despite advances in obstetric care. While PTB rates vary widely across the region, overall declines in recent decades have been limited, revealing persistent gaps in risk assessment and prevention. METHODS: Here we review current challenges and disparities in European PTB prediction and prevention, highlighting the complex constellation of maternal, fetal, environmental, and sociodemographic risk factors. RESULTS: Extending gestational age represents an opportunity to improve outcomes among pregnancies at higher PTB risk. Unfortunately, existing tools for PTB risk assessment and prevention show limited effectiveness arising from the fact that the PTB event is a frequent outcome with various underlying causes.The limitations of existing clinical prediction tools, which can only account for a minority of PTBs, underscore the need for more accurate and accessible screening methods. Although cervical length screening and some biomarkers demonstrate promise for risk stratification, they are not uniformly implemented, and the few effective interventions that risk stratification would implement lack broad consensus or standardization. These interventions, including progesterone therapy, low-dose aspirin, and lifestyle modifications, may require regional approaches reflecting popula</w:t>
      </w:r>
    </w:p>
    <w:p>
      <w:pPr/>
      <w:r>
        <w:rPr>
          <w:b/>
        </w:rPr>
        <w:t>POSSIBLE 2025:</w:t>
      </w:r>
      <w:r>
        <w:t xml:space="preserve"> Prevalence of Glaucoma in Europe and Projections to 2050 — https://doi.org/10.1016/j.ophtha.2025.06.002</w:t>
      </w:r>
    </w:p>
    <w:p>
      <w:pPr/>
      <w:r>
        <w:rPr>
          <w:b/>
        </w:rPr>
        <w:t>Shared claim-specific concepts:</w:t>
      </w:r>
      <w:r>
        <w:t xml:space="preserve"> current, estimates, predict; EU scope visible. This is a provisional connection, not an outcome finding.</w:t>
      </w:r>
    </w:p>
    <w:p>
      <w:pPr>
        <w:pStyle w:val="SourceNote"/>
      </w:pPr>
      <w:r>
        <w:rPr>
          <w:b/>
        </w:rPr>
        <w:t>Available abstract (not full text):</w:t>
      </w:r>
      <w:r>
        <w:t xml:space="preserve"> PURPOSE: To provide updated glaucoma prevalence estimates and to quantify the current and future burden of disease in Europe. DESIGN: Two-stage, individual participant data meta-analysis. PARTICIPANTS: We included 55 415 adults ≥40 years of age (mean age, 65.6 years; 53.9% women) from 14 population-based studies (1991-2020) with case ascertainment based on direct ophthalmic examination. METHODS: Within each study, age- and sex-stratified glaucoma prevalence was calculated, before pooling results using random-effects meta-analysis and performing age standardization. Meta-regression and subgroup analyses were used to assess for temporal trends and to investigate heterogeneity across clinically relevant subgroups. Estimates were applied to European population projections to predict the number of individuals with glaucoma. MAIN OUTCOME MEASURES: Age-standardized prevalence (European Standard Population, 2013) of total and previously undiagnosed glaucoma for individuals ≥40 years of age and annual projected number of glaucoma cases (UN World Population Prospects, 2022) in Europe to 2050. RESULTS: Overall, 2021 participants (3.65%) received a diagnosis of glaucoma with an age-standardized European prevalence of 2.99% (95% confidence interval [CI], 2.86%-3.12%). Older age (odds ratio [OR], 1.32 per 5-year increase; 95% CI, 1.29-1.36; P &lt; 0.001) and male sex (OR, 1.18; 95% CI, 1.08-1.3</w:t>
      </w:r>
    </w:p>
    <w:p>
      <w:pPr/>
      <w:r>
        <w:rPr>
          <w:b/>
        </w:rPr>
        <w:t>POSSIBLE 2024:</w:t>
      </w:r>
      <w:r>
        <w:t xml:space="preserve"> Pesticide Residues in Organic and Conventional Agricultural Soils across Europe: Measured and Predicted Concentrations — https://doi.org/10.1021/acs.est.3c09059</w:t>
      </w:r>
    </w:p>
    <w:p>
      <w:pPr/>
      <w:r>
        <w:rPr>
          <w:b/>
        </w:rPr>
        <w:t>Shared claim-specific concepts:</w:t>
      </w:r>
      <w:r>
        <w:t xml:space="preserve"> current, estimates, countries; EU scope visible. This is a provisional connection, not an outcome finding.</w:t>
      </w:r>
    </w:p>
    <w:p>
      <w:pPr>
        <w:pStyle w:val="SourceNote"/>
      </w:pPr>
      <w:r>
        <w:rPr>
          <w:b/>
        </w:rPr>
        <w:t>Available abstract (not full text):</w:t>
      </w:r>
      <w:r>
        <w:t xml:space="preserve"> High Resolution Image Download MS PowerPoint Slide During the growing season of 2021, 201 soil samples from conventionally and organically managed fields from 10 European countries and 8 cropping systems were taken, and 192 residues of synthetic pesticides were analyzed. Pesticide residues were found in 97% of the samples, and 88% of the samples contained mixtures of at least 2 substances. A maximum of 21 substances were found in conventionally managed fields, and a maximum of 12 were found in organically managed fields. The number and concentration of pesticide residues varied significantly between conventional and organic fields in 70 and 50% of the case study sites, respectively. Application records were available for a selected number of fields ( n = 82), and these records were compared to the detected substances. Residues from 52% of the applied pesticides were detected in the soils. Only 21% of the pesticide residues detected in the soil samples were applied during the 2021 growing season. From the application data, predicted environmental concentrations of residues in soil were calculated and compared to the measured concentrations. These estimates turned out not to be accurate. The results of this study show that most European agricultural soils contain mixtures of pesticide residues and that current calculation methods may not reliably estimate their presence.</w:t>
      </w:r>
    </w:p>
    <w:p>
      <w:pPr/>
      <w:r>
        <w:rPr>
          <w:b/>
        </w:rPr>
        <w:t>POSSIBLE 2023:</w:t>
      </w:r>
      <w:r>
        <w:t xml:space="preserve"> European Gas Market Restructuring: Interests of Importing Countries and Gas Exporting Companies — https://doi.org/10.20542/0131-2227-2023-67-8-48-59</w:t>
      </w:r>
    </w:p>
    <w:p>
      <w:pPr/>
      <w:r>
        <w:rPr>
          <w:b/>
        </w:rPr>
        <w:t>Shared claim-specific concepts:</w:t>
      </w:r>
      <w:r>
        <w:t xml:space="preserve"> gas, russian, countries; EU scope visible. This is a provisional connection, not an outcome finding.</w:t>
      </w:r>
    </w:p>
    <w:p>
      <w:pPr>
        <w:pStyle w:val="SourceNote"/>
      </w:pPr>
      <w:r>
        <w:rPr>
          <w:b/>
        </w:rPr>
        <w:t>Available abstract (not full text):</w:t>
      </w:r>
      <w:r>
        <w:t xml:space="preserve"> The article focuses on the process of restructuring the natural gas market in Europe. It is shown that the transformation of the European gas market is taking place under the decisive influence of the political decision of the European Commission and the governments of the EU largest gas consuming countries, first, to reduce gas consumption as much as possible in the shortest time; second, to replace Russian gas with imports from alternative sources. As both tasks have the highest priority, the EU countries act within the framework of political, not market logic, regardless of significant economic costs. To hedge against very high gas prices EU introduced since 15 February 2023 the market correction mechanism, capping the price of gas from the above. It is also expected the mandatory filling of gas storage facilities to at least 90% of their capacity before the winter season since 2023 would pressure gas prices downwards. Natural gas exporting companies operate within a system of market coordinates and are ready to participate in the process of transforming the European natural gas market only to the extent that does not contradict their economic interests. The politicization of gas cooperation between the EU and the US at the interstate level cannot change the market behavior of companies. Given the uncertainty regarding the perspective demand for gas in Europe, gas exporting </w:t>
      </w:r>
    </w:p>
    <w:p>
      <w:pPr/>
      <w:r>
        <w:rPr>
          <w:b/>
        </w:rPr>
        <w:t>POSSIBLE 2022:</w:t>
      </w:r>
      <w:r>
        <w:t xml:space="preserve"> European Economic impacts of cutting energy imports from Russia: A computable general equilibrium analysis — https://doi.org/10.1016/j.esr.2022.101006</w:t>
      </w:r>
    </w:p>
    <w:p>
      <w:pPr/>
      <w:r>
        <w:rPr>
          <w:b/>
        </w:rPr>
        <w:t>Shared claim-specific concepts:</w:t>
      </w:r>
      <w:r>
        <w:t xml:space="preserve"> current, import, gas, strong, russian, especially; EU scope visible. This is a provisional connection, not an outcome finding.</w:t>
      </w:r>
    </w:p>
    <w:p>
      <w:pPr>
        <w:pStyle w:val="SourceNote"/>
      </w:pPr>
      <w:r>
        <w:rPr>
          <w:b/>
        </w:rPr>
        <w:t>Available abstract (not full text):</w:t>
      </w:r>
      <w:r>
        <w:t xml:space="preserve"> The recent economic sanctions against Russia can jeopardize the sustainability of the European Union’s (EU) energy supply. Despite the EU’s strong commitment to stringent abatement targets, fossil fuels still play a significant role in the EU energy policy. And high dependency on Russian energy supplies underlines the vulnerability of the EU energy security. Using a global computable general equilibrium model, we prove that the current EU embargo on coal and oil imported from Russia will have adverse supply effects, substantially increasing energy prices and welfare costs for the EU resident. Although it reduces emissions, extending the embargo to include natural gas doubles this welfare cost. The use of coal is likely to increase, especially in EU electricity generation, given the current constraints of additional import capacities from non-Russian producers. For Russia, a more substantial depreciation of the ruble because of the cut in natural gas exports to the EU could stimulate higher exports outside the EU, potentially easing its welfare loss.</w:t>
      </w:r>
    </w:p>
    <w:p>
      <w:pPr/>
      <w:r>
        <w:rPr>
          <w:b/>
        </w:rPr>
        <w:t>POSSIBLE 2020:</w:t>
      </w:r>
      <w:r>
        <w:t xml:space="preserve"> Methane emissions from natural gas and LNG imports: An increasingly urgent issue for the future of gas in Europe — https://openalex.org/W3129629820</w:t>
      </w:r>
    </w:p>
    <w:p>
      <w:pPr/>
      <w:r>
        <w:rPr>
          <w:b/>
        </w:rPr>
        <w:t>Shared claim-specific concepts:</w:t>
      </w:r>
      <w:r>
        <w:t xml:space="preserve"> import, gas, already, there, countries; EU scope visible. This is a provisional connection, not an outcome finding.</w:t>
      </w:r>
    </w:p>
    <w:p>
      <w:pPr>
        <w:pStyle w:val="SourceNote"/>
      </w:pPr>
      <w:r>
        <w:rPr>
          <w:b/>
        </w:rPr>
        <w:t>Available abstract (not full text):</w:t>
      </w:r>
      <w:r>
        <w:t xml:space="preserve"> Pressure is mounting on the natural gas and LNG community to reduce methane emissions and this is most urgent in EU countries following the adoption of much tougher greenhouse gas reduction targets of 2030 and the publication of the European Commission's Methane Strategy. With rapidly declining indigenous EU production and therefore rising import dependence, there are increasing calls for emissions from imported pipeline gas and LNG to be quantified and based on actual measurements, as opposed to standard emission factors. The Methane Strategy promises to be a significant milestone in that process. Companies which are supplying (or intending to supply) natural gas to the EU - the largest global import market for pipeline gas and a very significant market for LNG - would be well advised to pay close attention to how the regulation of methane emissions is unfolding, and to make an immediate and positive response. Failure to do so could accelerate the demise of natural gas in European energy balances faster than would otherwise have been the case, and shorten the time available for transition to decarbonised gases - specifically hydrogen - using existing natural gas infrastructure. This EU initiative will (and arguably already has) attracted attention from non-EU governments and companies involved in global gas and LNG trade. We have already seen deliveries of 'carbon neutral' LNG</w:t>
      </w:r>
    </w:p>
    <w:p>
      <w:pPr/>
      <w:r>
        <w:rPr>
          <w:b/>
        </w:rPr>
        <w:t>POSSIBLE 2020:</w:t>
      </w:r>
      <w:r>
        <w:t xml:space="preserve"> The dilemma of gas importing and exporting countries — https://doi.org/10.26889/9781784671624</w:t>
      </w:r>
    </w:p>
    <w:p>
      <w:pPr/>
      <w:r>
        <w:rPr>
          <w:b/>
        </w:rPr>
        <w:t>Shared claim-specific concepts:</w:t>
      </w:r>
      <w:r>
        <w:t xml:space="preserve"> gas, there, especially, countries; EU scope not established. This is a provisional connection, not an outcome finding.</w:t>
      </w:r>
    </w:p>
    <w:p>
      <w:pPr>
        <w:pStyle w:val="SourceNote"/>
      </w:pPr>
      <w:r>
        <w:rPr>
          <w:b/>
        </w:rPr>
        <w:t>Available abstract (not full text):</w:t>
      </w:r>
      <w:r>
        <w:t xml:space="preserve"> At a time of low prices and an apparent surplus of supply in the global gas market it is important to try and identify new sources of demand, especially for LNG. In this respect, one interesting theme is how some countries are switching from their traditional role as LNG exporters to becoming importers of gas as their indigenous demand grows. Ieda Gomes explores this concept using the case studies of Malaysia and Indonesia, and she attempts to identify the key drivers behind the shifts in the gas economies of both countries. Significantly, though, there are also a few countries where gas has an existing role in the domestic energy economy, and which have historically imported gas, which have now found new gas resources and are starting to export. A prime example of this is Argentina, where the discovery of large shale gas resources has led to a gas surplus and the opportunity to generate export revenues. This paper analyses this example as a contrast to the first two and examines whether it is a sustainable situation. Overall, we believe that this paper can provide some important insights into the factors which can influence the position of gas in a country’s energy balance, especially if the prevalence of hydrocarbons has created a dependency via subsidies prices or other politically-driven strategies. There are a number of other examples around the world where the demands of </w:t>
      </w:r>
    </w:p>
    <w:p>
      <w:pPr/>
      <w:r>
        <w:rPr>
          <w:b/>
        </w:rPr>
        <w:t>POSSIBLE 2019:</w:t>
      </w:r>
      <w:r>
        <w:t xml:space="preserve"> Assessment of IMERG Precipitation Estimates over Europe — https://doi.org/10.3390/rs11212470</w:t>
      </w:r>
    </w:p>
    <w:p>
      <w:pPr/>
      <w:r>
        <w:rPr>
          <w:b/>
        </w:rPr>
        <w:t>Shared claim-specific concepts:</w:t>
      </w:r>
      <w:r>
        <w:t xml:space="preserve"> estimates, there, eastern; EU scope visible. This is a provisional connection, not an outcome finding.</w:t>
      </w:r>
    </w:p>
    <w:p>
      <w:pPr>
        <w:pStyle w:val="SourceNote"/>
      </w:pPr>
      <w:r>
        <w:rPr>
          <w:b/>
        </w:rPr>
        <w:t>Available abstract (not full text):</w:t>
      </w:r>
      <w:r>
        <w:t xml:space="preserve"> This paper evaluates Integrated Multi-Satellite Retrievals from GPM (IMERG-F) over Europe for the period 2014–2018 in order to evaluate application of the retrievals to hydrology. IMERG-F is compared with a large pan-European precipitation dataset built on rain gauge stations, i.e., the ENSEMBLES OBServation (E-OBS) gridded dataset. Although there is overall agreement in the spatial distribution of mean precipitation (R2 = 0.8), important discrepancies are revealed in mountainous regions, specifically the Alps, Pyrenees, west coast of the British Isles, Scandinavia, the Iberian and Italian peninsulas, and the Adriatic coastline. The results show that the strongest contributors to poor performance are pixels where IMERG-F has no gauges available for adjustment. If rain gauges are available, IMERG-F yields results similar to those of the surface observations, although the performance varies by region. However, even accounting for gauge adjustment, IMERG-F systematically underestimates precipitation in the Alps and Scandinavian mountains. Conversely, IMERG-F overestimates precipitation in the British Isles, Italian Peninsula, Adriatic coastline, and eastern European plains. Additionally, the research shows that gauge adjustment worsens the spatial gradient of precipitation because of the coarse resolution of Global Precipitation Climatology Centre data.</w:t>
      </w:r>
    </w:p>
    <w:p>
      <w:pPr/>
      <w:r>
        <w:rPr>
          <w:b/>
        </w:rPr>
        <w:t>POSSIBLE 2018:</w:t>
      </w:r>
      <w:r>
        <w:t xml:space="preserve"> Predicting Medical Students’ Current Attitudes Toward Psychiatry, Interest in Psychiatry, and Estimated Likelihood of Working in Psychiatry: A Cross-Sectional Study in Four European Countries — https://doi.org/10.3389/fpsyt.2018.00049</w:t>
      </w:r>
    </w:p>
    <w:p>
      <w:pPr/>
      <w:r>
        <w:rPr>
          <w:b/>
        </w:rPr>
        <w:t>Shared claim-specific concepts:</w:t>
      </w:r>
      <w:r>
        <w:t xml:space="preserve"> current, need, there, countries; EU scope visible. This is a provisional connection, not an outcome finding.</w:t>
      </w:r>
    </w:p>
    <w:p>
      <w:pPr>
        <w:pStyle w:val="SourceNote"/>
      </w:pPr>
      <w:r>
        <w:rPr>
          <w:b/>
        </w:rPr>
        <w:t>Available abstract (not full text):</w:t>
      </w:r>
      <w:r>
        <w:t xml:space="preserve"> Psychiatry as a medical discipline is becoming increasingly important due to the high and increasing world-wide burden associated with mental disorders. Surprisingly, however, there is a lack of young academics choosing psychiatry as a career. Previous evidence on medical students’ perspectives is abundant but has methodological shortcomings. Therefore, by attempting to avoid previous shortcomings, we aimed to contribute to a better understanding of the predictors of the following three outcome variables: current medical students’ attitudes towards psychiatry, interest in psychiatry and estimated likelihood of working in psychiatry. The sample consisted of N = 1356 medical students at 45 medical schools in Germany and Austria as well as regions of Switzerland and Hungary with a German language curriculum. We used snowball sampling via Facebook with a link to an online questionnaire as recruitment procedure. Snowball sampling is based on referrals made among people. This questionnaire included a German version of the Attitudes Towards Psychiatry Scale (ATP-30-G) and further variables related to outcomes and potential predictors in terms of sociodemography (e.g. gender) or medical training (e.g. curriculum-related experience with psychiatry). Data were analysed by linear mixed models and further regression models. On average, students had a positive attitude to and high general i</w:t>
      </w:r>
    </w:p>
    <w:p>
      <w:pPr/>
      <w:r>
        <w:rPr>
          <w:b/>
        </w:rPr>
        <w:t>POSSIBLE 2018:</w:t>
      </w:r>
      <w:r>
        <w:t xml:space="preserve"> Annual number of candidates for transcatheter aortic valve implantation per country: current estimates and future projections — https://doi.org/10.1093/eurheartj/ehy107</w:t>
      </w:r>
    </w:p>
    <w:p>
      <w:pPr/>
      <w:r>
        <w:rPr>
          <w:b/>
        </w:rPr>
        <w:t>Shared claim-specific concepts:</w:t>
      </w:r>
      <w:r>
        <w:t xml:space="preserve"> current, estimates, predict, countries; EU scope visible. This is a provisional connection, not an outcome finding.</w:t>
      </w:r>
    </w:p>
    <w:p>
      <w:pPr>
        <w:pStyle w:val="SourceNote"/>
      </w:pPr>
      <w:r>
        <w:rPr>
          <w:b/>
        </w:rPr>
        <w:t>Available abstract (not full text):</w:t>
      </w:r>
      <w:r>
        <w:t xml:space="preserve"> Aims: The number of transcatheter aortic valve implantation (TAVI) procedures is rapidly increasing. This has a major impact on health care resource planning. However, the annual numbers of TAVI candidates per country are unknown. The aim of this study was to estimate current and future number of annual TAVI candidates in 27 European countries, the USA and Canada. Methods and results: Systematic literature searches and meta-analyses were performed on aortic stenosis (AS) epidemiology and decision-making in severe symptomatic AS. The incidence rate of severe AS was determined. Findings were combined with population statistics and integrated into a model employing Monte Carlo simulations to predict the annual number of TAVI candidates. Various future scenarios and sensitivity analyses were explored. Data from 37 studies (n = 26 402) informed the model. The calculated incidence rate of severe AS was 4.4‰/year [95% confidence interval (95% CI) 3.0-6.1‰] in patients ≥65 years. AS-related symptoms were present in 68.3% (95% CI 60.8-75.9%) of patients with severe AS. Despite having severe symptomatic AS, 41.6% (95% CI 36.9-46.3%) did not undergo surgical aortic valve replacement. Of the non-operated patients, 61.7% (95% CI 42.0-81.7%) received TAVI. The model predicted 114 757 (95% CI 69 380-172 799) European and 58 556 (95% CI 35 631-87 738) Northern-American TAVI candidates annually</w:t>
      </w:r>
    </w:p>
    <w:p>
      <w:pPr/>
      <w:r>
        <w:rPr>
          <w:b/>
        </w:rPr>
        <w:t>POSSIBLE 2018:</w:t>
      </w:r>
      <w:r>
        <w:t xml:space="preserve"> The Influence of Imports and Exports on the Evolution of Greenhouse Gas Emissions: The Case for the European Union — https://doi.org/10.3390/en11071644</w:t>
      </w:r>
    </w:p>
    <w:p>
      <w:pPr/>
      <w:r>
        <w:rPr>
          <w:b/>
        </w:rPr>
        <w:t>Shared claim-specific concepts:</w:t>
      </w:r>
      <w:r>
        <w:t xml:space="preserve"> import, gas, countries; EU scope visible. This is a provisional connection, not an outcome finding.</w:t>
      </w:r>
    </w:p>
    <w:p>
      <w:pPr>
        <w:pStyle w:val="SourceNote"/>
      </w:pPr>
      <w:r>
        <w:rPr>
          <w:b/>
        </w:rPr>
        <w:t>Available abstract (not full text):</w:t>
      </w:r>
      <w:r>
        <w:t xml:space="preserve"> Part of a country’s emissions are caused by producing goods for export to other countries, while a country’s own needs also generate emissions in other parts of the world that are associated with the products they import. Our interest was to evaluate the influence of imports and exports of goods and services on greenhouse gas (GHG) emissions in a data panel composed of 30 countries over 21 years. We included as control variables the gross domestic product per capita, employment, an indicator of the economic crisis and a non-linear trend and inferences were performed using a Bayesian framework. The results showed that it was the exports and imports of goods, rather than services, that were related to CO2-equivalent levels. Exports and imports of goods were very inelastic, albeit less so in the case of the index. In summary, the more a country imports, the higher their GHG emission levels are. However, it is important to point out that when employment rates are higher more energy is consumed and GHG emissions are greater. In richer countries, GDP per capita is the factor that best explains why their emissions are so high.</w:t>
      </w:r>
    </w:p>
    <w:p>
      <w:pPr/>
      <w:r>
        <w:rPr>
          <w:b/>
        </w:rPr>
        <w:t>POSSIBLE 2018:</w:t>
      </w:r>
      <w:r>
        <w:t xml:space="preserve"> Anticipatory strategies for Eastern European natural gas security — https://doi.org/10.15781/t2gh9bt0w</w:t>
      </w:r>
    </w:p>
    <w:p>
      <w:pPr/>
      <w:r>
        <w:rPr>
          <w:b/>
        </w:rPr>
        <w:t>Shared claim-specific concepts:</w:t>
      </w:r>
      <w:r>
        <w:t xml:space="preserve"> import, gas, russian, eastern, countries; EU scope visible. This is a provisional connection, not an outcome finding.</w:t>
      </w:r>
    </w:p>
    <w:p>
      <w:pPr>
        <w:pStyle w:val="SourceNote"/>
      </w:pPr>
      <w:r>
        <w:rPr>
          <w:b/>
        </w:rPr>
        <w:t>Available abstract (not full text):</w:t>
      </w:r>
      <w:r>
        <w:t xml:space="preserve"> Countries asymmetrically dependent on the import of energy resources are potentially vulnerable to coercion from supplier states. Anticipating the potential for coercion, asymmetrically dependent states will make infrastructure improvements to substitute supply if the cost of these improvements is lower than the potential cost of coercion. This thesis provides a pricing framework for members of the European Union to estimate substitution strategies in order to reduce dependence on and the potential for coercion by Russia. Currently, Russia provides roughly 30% of the EU’s natural gas consumption and half of this gas is transported by pipeline through Ukraine in order to secure gas security. In 2006 and 2009, supply disruptions occurred due to a breakdown in negotiations between Russia and Ukraine, and EU members responded by constructing the necessary infrastructure to substitute Russian gas transited through Ukraine. The infrastructure improvements employed by the EU and its member states are examined to provide a pricing framework for countries still asymmetrically dependent. These strategies include LNG import facilities, new pipeline construction, reversing the flow of existing pipelines, and adding natural gas storage. This thesis applies the pricing framework to Finland and Bulgaria to evaluate which strategies would be most effective in terms of cost and the provision of</w:t>
      </w:r>
    </w:p>
    <w:p>
      <w:pPr>
        <w:pStyle w:val="Heading2"/>
      </w:pPr>
      <w:r>
        <w:t>967. Toward Identification of the Priority Lines of Research in Nanotechnology on the Basis of the Technology Foresight NT for Podlaskie 2020</w:t>
      </w:r>
    </w:p>
    <w:p>
      <w:pPr>
        <w:pStyle w:val="SourceNote"/>
      </w:pPr>
      <w:r>
        <w:rPr>
          <w:b/>
        </w:rPr>
        <w:t>Original source (2013):</w:t>
      </w:r>
      <w:r>
        <w:t xml:space="preserve"> https://doi.org/10.7763/ijiet.2013.v3.293</w:t>
      </w:r>
    </w:p>
    <w:p>
      <w:pPr/>
      <w:r>
        <w:t>Original wording (abstract; indexed_source_text_not_full_document_verified): Foresight projects have been used across the world in the process of anticipating the future by governments, regional authorities, companies and S&amp;R institutes.Foresight, together with its specific research tools and terminology, is becoming increasingly important also in Poland.From nearly 50 foresight projects implemented in Poland most of them is related with the technology and research development.The key issue of foresight methodology is to identify the key technologies/priority line of research.The paper presents a methodology of selection of priority lines of research in nanotechnology at regional scale.</w:t>
      </w:r>
    </w:p>
    <w:p>
      <w:pPr/>
      <w:r>
        <w:rPr>
          <w:b/>
        </w:rPr>
        <w:t>POSSIBLE 2025:</w:t>
      </w:r>
      <w:r>
        <w:t xml:space="preserve"> From Reaction to Foresight: EUPHA’s vision for health security in Europe — https://doi.org/10.1093/eurpub/ckaf071</w:t>
      </w:r>
    </w:p>
    <w:p>
      <w:pPr/>
      <w:r>
        <w:rPr>
          <w:b/>
        </w:rPr>
        <w:t>Shared claim-specific concepts:</w:t>
      </w:r>
      <w:r>
        <w:t xml:space="preserve"> foresight, across, increasingly, poland, nearly; EU scope visible. This is a provisional connection, not an outcome finding.</w:t>
      </w:r>
    </w:p>
    <w:p>
      <w:pPr>
        <w:pStyle w:val="SourceNote"/>
      </w:pPr>
      <w:r>
        <w:rPr>
          <w:b/>
        </w:rPr>
        <w:t>Available abstract (not full text):</w:t>
      </w:r>
      <w:r>
        <w:t xml:space="preserve"> As we write these lines in April 2025, the European Union is entering a pivotal phase of strategic reorientation. Two months from now—when this editorial is published—it is possible that some of the uncertainty we currently face will have been resolved. Perhaps the long-awaited grants for civil society will have been released, easing the pressure on NGOs across Europe. But in this present moment, as defence spending accelerates and new frameworks like ReArm Europe take shape, we must reflect on the implications of sidelining public health and civil society in the name of security. In April 2025, European Commission President Ursula von der Leyen unveiled a new flagship initiative: ReArm Europe, a sweeping defence mobilization projected to unlock €800 billion, including €150 billion in loans to Member States for joint procurement and expanded national defence spending. Framed under ‘Readiness 2030’, this pivot marks a clear shift in the EU’s long-term strategic priorities: resilience is increasingly understood through a military lens. But as Europe prepares to rearm, its civil fabric is fraying. Across the continent, NGOs, including those working in public health, are waiting for delayed or suspended EU grants, facing growing uncertainty over their operational survival. This is not a marginal concern. These delays affect the very actors who have repeatedly carried Europe through</w:t>
      </w:r>
    </w:p>
    <w:p>
      <w:pPr/>
      <w:r>
        <w:rPr>
          <w:b/>
        </w:rPr>
        <w:t>POSSIBLE 2025:</w:t>
      </w:r>
      <w:r>
        <w:t xml:space="preserve"> AstraNav-World: World Model for Foresight Control and Consistency — https://doi.org/10.48550/arxiv.2512.21714</w:t>
      </w:r>
    </w:p>
    <w:p>
      <w:pPr/>
      <w:r>
        <w:rPr>
          <w:b/>
        </w:rPr>
        <w:t>Shared claim-specific concepts:</w:t>
      </w:r>
      <w:r>
        <w:t xml:space="preserve"> foresight, across, world; EU scope not established. This is a provisional connection, not an outcome finding.</w:t>
      </w:r>
    </w:p>
    <w:p>
      <w:pPr>
        <w:pStyle w:val="SourceNote"/>
      </w:pPr>
      <w:r>
        <w:rPr>
          <w:b/>
        </w:rPr>
        <w:t>Available abstract (not full text):</w:t>
      </w:r>
      <w:r>
        <w:t xml:space="preserve"> Embodied navigation in open, dynamic environments demands accurate foresight of how the world will evolve and how actions will unfold over time. We propose AstraNav-World, an end-to-end world model that jointly reasons about future visual states and action sequences within a unified probabilistic framework. Our framework integrates a diffusion-based video generator with a vision-language policy, enabling synchronized rollouts where predicted scenes and planned actions are updated simultaneously. Training optimizes two complementary objectives: generating action-conditioned multi-step visual predictions and deriving trajectories conditioned on those predicted visuals. This bidirectional constraint makes visual predictions executable and keeps decisions grounded in physically consistent, task-relevant futures, mitigating cumulative errors common in decoupled "envision-then-plan" pipelines. Experiments across diverse embodied navigation benchmarks show improved trajectory accuracy and higher success rates. Ablations confirm the necessity of tight vision-action coupling and unified training, with either branch removal degrading both prediction quality and policy reliability. In real-world testing, AstraNav-World demonstrated exceptional zero-shot capabilities, adapting to previously unseen scenarios without any real-world fine-tuning. These results suggest that AstraNav-World captu</w:t>
      </w:r>
    </w:p>
    <w:p>
      <w:pPr/>
      <w:r>
        <w:rPr>
          <w:b/>
        </w:rPr>
        <w:t>POSSIBLE 2024:</w:t>
      </w:r>
      <w:r>
        <w:t xml:space="preserve"> Stakeholders and Their Participation in Foresight Projects — https://doi.org/10.17323/2500-2597.2024.1.80.91</w:t>
      </w:r>
    </w:p>
    <w:p>
      <w:pPr/>
      <w:r>
        <w:rPr>
          <w:b/>
        </w:rPr>
        <w:t>Shared claim-specific concepts:</w:t>
      </w:r>
      <w:r>
        <w:t xml:space="preserve"> foresight, projects, becoming; EU scope not established. This is a provisional connection, not an outcome finding.</w:t>
      </w:r>
    </w:p>
    <w:p>
      <w:pPr>
        <w:pStyle w:val="SourceNote"/>
      </w:pPr>
      <w:r>
        <w:rPr>
          <w:b/>
        </w:rPr>
        <w:t>Available abstract (not full text):</w:t>
      </w:r>
      <w:r>
        <w:t xml:space="preserve"> With the expansion of the scope of foresight research, the role and importance of various participants in the relevant projects and the users of their results - stakeholders - simultaneously increase. Whereas previously a significant part of foresight projects were carried out with the involvement of professional experts, in many recent studies the circle of their participants is becoming more diverse and an increasing role belongs to members of the public and other potential beneficiaries. This article explores the theory and best practices of applying the stakeholder analysis method in foresight projects, and an attempt is made to systematically characterize this approach. The place and role of various stakeholders in foresight projects are considered, the main problems, opportunities, and recommendations for using the method are assessed, and the features of its application in conjunction with other foresight methods are characterized.</w:t>
      </w:r>
    </w:p>
    <w:p>
      <w:pPr/>
      <w:r>
        <w:rPr>
          <w:b/>
        </w:rPr>
        <w:t>POSSIBLE 2024:</w:t>
      </w:r>
      <w:r>
        <w:t xml:space="preserve"> Article: Project FORESIGHT and Return on Investment — https://doi.org/10.4324/9780429318528-14</w:t>
      </w:r>
    </w:p>
    <w:p>
      <w:pPr/>
      <w:r>
        <w:rPr>
          <w:b/>
        </w:rPr>
        <w:t>Shared claim-specific concepts:</w:t>
      </w:r>
      <w:r>
        <w:t xml:space="preserve"> foresight, projects, tools; EU scope visible. This is a provisional connection, not an outcome finding.</w:t>
      </w:r>
    </w:p>
    <w:p>
      <w:pPr>
        <w:pStyle w:val="SourceNote"/>
      </w:pPr>
      <w:r>
        <w:rPr>
          <w:b/>
        </w:rPr>
        <w:t>Available abstract (not full text):</w:t>
      </w:r>
      <w:r>
        <w:t xml:space="preserve"> Forensic laboratories have experienced a growing demand for services that has far outpaced the resources allocated for the investigation of forensic evidence. European and North American projects have led to the development of managerial tools for optimizing efficiency and the cost effective delivery of forensic science services. These developments have attracted the attention of other public sector operations, including public health laboratories. The public health laboratories share many of the characteristics of the forensic science laboratory. Both sectors are dominated by the work of scientists with many of the laboratory applications using similar techniques. Observing the Project FORESIGHT developments with forensic science laboratories, the Association of Public Health Laboratories introduced a project to create data collection tools for their membership, and to offer a foundation for research into the issues and challenges facing these laboratories. We outline the progression of events where the forensic science laboratory experience has been extended to the public health laboratories. The public health laboratory project has, in turn, developed some metrics that may prove valuable to the future research of forensic science laboratories. The public health laboratory project went beyond the internal inspection of the business experience and connected the internal effici</w:t>
      </w:r>
    </w:p>
    <w:p>
      <w:pPr/>
      <w:r>
        <w:rPr>
          <w:b/>
        </w:rPr>
        <w:t>POSSIBLE 2024:</w:t>
      </w:r>
      <w:r>
        <w:t xml:space="preserve"> Applying foresight methods at the national level in the field of substance use: Experience from the DRUG-PREP project — https://doi.org/10.1093/eurpub/ckae144.540</w:t>
      </w:r>
    </w:p>
    <w:p>
      <w:pPr/>
      <w:r>
        <w:rPr>
          <w:b/>
        </w:rPr>
        <w:t>Shared claim-specific concepts:</w:t>
      </w:r>
      <w:r>
        <w:t xml:space="preserve"> foresight, used, across, regional, important, implemented; EU scope visible. This is a provisional connection, not an outcome finding.</w:t>
      </w:r>
    </w:p>
    <w:p>
      <w:pPr>
        <w:pStyle w:val="SourceNote"/>
      </w:pPr>
      <w:r>
        <w:rPr>
          <w:b/>
        </w:rPr>
        <w:t>Available abstract (not full text):</w:t>
      </w:r>
      <w:r>
        <w:t xml:space="preserve"> Abstract This presentation will focus on the experience from the DRUG-PREP project. While foresight has been used in other sectors, its implementation in the drugs field has previously remained relatively limited. The application of foresight to the drugs sphere is important in recognition of the fast-changing and intersectional nature of drugs and addiction. At the European level, a futures exercise was organized by the EMCDDA (as of July 2024 the European Union Drugs Agency, EUDA) to explore the future of drugs at the European level until 2030. In this landscape, the DRUG-PREP project implemented foresight approaches at the national level, to support preparedness of national drug monitoring and response systems. The DRUG-PREP partners carried out individual national exercises in six countries: Belgium, Czechia, Finland, Ireland, the Netherlands, and Portugal. The link to policy was a key aspect of the project, with each country organising a national dialogue to directly engage policymakers. The presentation will focus on the Belgian research. Horizon Scanning was performed to identify trends and megatrends with potential implications on the national drugs ecosystem, through a literature review. An expert workshop was organized to validate the trends and explore their implications. Subsequently, a small scenario building exercise was organised to explore the consequences of a </w:t>
      </w:r>
    </w:p>
    <w:p>
      <w:pPr/>
      <w:r>
        <w:rPr>
          <w:b/>
        </w:rPr>
        <w:t>POSSIBLE 2024:</w:t>
      </w:r>
      <w:r>
        <w:t xml:space="preserve"> Emerging Biotechnologies in Europe: Foresight for Policy — https://doi.org/10.2760/4814109</w:t>
      </w:r>
    </w:p>
    <w:p>
      <w:pPr/>
      <w:r>
        <w:rPr>
          <w:b/>
        </w:rPr>
        <w:t>Shared claim-specific concepts:</w:t>
      </w:r>
      <w:r>
        <w:t xml:space="preserve"> foresight, projects, across, regional, important; EU scope visible. This is a provisional connection, not an outcome finding.</w:t>
      </w:r>
    </w:p>
    <w:p>
      <w:pPr>
        <w:pStyle w:val="SourceNote"/>
      </w:pPr>
      <w:r>
        <w:rPr>
          <w:b/>
        </w:rPr>
        <w:t>Available abstract (not full text):</w:t>
      </w:r>
      <w:r>
        <w:t xml:space="preserve"> The European Union (EU) is at an important point for developing its industrial biotechnology (IB) sector, as emerging biotechnologies advances merge with traditional industry. This external expert report reviews the EU's IB sector and associated emerging technologies, looking at its strengths, weaknesses, opportunities, and threats (SWOT) that affect its potential for growth and international competitiveness. The EU's biotechnology sector has strong foundations, including a solid research infrastructure supported by collaborative projects and partnerships, which have historically enabled innovation. These foundations are beneficial for the growing IB sector, with its skilled workforce and alignment with global sustainability goals. The EU's established industrial base and investment support, such as through the European Investment Bank and other funds, provide a strong base for shiſting towards bio-based production. However, several weaknesses limit progress. Slow-moving legislation and a lack of integrated capital markets in the EU make it hard to turn biotech research into market-ready applications. Fragmented regulations and a lack of transparency create uncertainty for investors and developers. Additionally, political debates on biotechnology have led to public misperceptions, creating barriers that slow the acceptance and adoption of biotechnological solutions. Internation</w:t>
      </w:r>
    </w:p>
    <w:p>
      <w:pPr/>
      <w:r>
        <w:rPr>
          <w:b/>
        </w:rPr>
        <w:t>POSSIBLE 2024:</w:t>
      </w:r>
      <w:r>
        <w:t xml:space="preserve"> Foresight: Fifty Years to Think Your Futures — https://doi.org/10.1007/978-3-031-66100-6_4</w:t>
      </w:r>
    </w:p>
    <w:p>
      <w:pPr/>
      <w:r>
        <w:rPr>
          <w:b/>
        </w:rPr>
        <w:t>Shared claim-specific concepts:</w:t>
      </w:r>
      <w:r>
        <w:t xml:space="preserve"> foresight, projects, used, companies, together, specific; EU scope visible. This is a provisional connection, not an outcome finding.</w:t>
      </w:r>
    </w:p>
    <w:p>
      <w:pPr>
        <w:pStyle w:val="SourceNote"/>
      </w:pPr>
      <w:r>
        <w:rPr>
          <w:b/>
        </w:rPr>
        <w:t>Available abstract (not full text):</w:t>
      </w:r>
      <w:r>
        <w:t xml:space="preserve"> Abstract Foresight started with the notion of (Science and) Technology Foresight as a part of Technology Assessment (TA) but is now an independent scientific area. For a long time, Foresight mainly aimed at detecting determined futures but has developed into different directions under different headings. Most processes make use of a combination of methods to explore and develop different possible, probable or desirable futures. Foresight is more and more embedded in different institutions. There, it is carried out together with clients, and serves their specific purposes in the preparation of decision-making or science, technology and innovation policies. It offers the space to bring the different actors in the respective innovation system together. Foresight concepts are more and more accepted, and the results are distributed and used—in companies, ministries, associations, NGOs or the European Commission. Our contribution describes how Foresight has changed during the last 50 years and explains some of the aspects researchers have addressed. We conclude by highlighting two crosscutting emerging dimensions of change in Foresight, i.e. the engagement with transformative, mission-oriented agendas and the meaningful integration of machine-based approaches. Foresighters have to be aware that not only the results of their projects change but also the methods and the actors who work</w:t>
      </w:r>
    </w:p>
    <w:p>
      <w:pPr/>
      <w:r>
        <w:rPr>
          <w:b/>
        </w:rPr>
        <w:t>POSSIBLE 2024:</w:t>
      </w:r>
      <w:r>
        <w:t xml:space="preserve"> Climate change adaptation measures in the context of health promotion using participatory foresight — https://doi.org/10.1093/eurpub/ckae144.477</w:t>
      </w:r>
    </w:p>
    <w:p>
      <w:pPr/>
      <w:r>
        <w:rPr>
          <w:b/>
        </w:rPr>
        <w:t>Shared claim-specific concepts:</w:t>
      </w:r>
      <w:r>
        <w:t xml:space="preserve"> foresight, across, process, regional; EU scope visible. This is a provisional connection, not an outcome finding.</w:t>
      </w:r>
    </w:p>
    <w:p>
      <w:pPr>
        <w:pStyle w:val="SourceNote"/>
      </w:pPr>
      <w:r>
        <w:rPr>
          <w:b/>
        </w:rPr>
        <w:t>Available abstract (not full text):</w:t>
      </w:r>
      <w:r>
        <w:t xml:space="preserve"> Abstract Issue/problem Climate change is regarded as a big threat to human health (WHO 2023), requiring action to prepare our health systems. Using participatory foresight approach has the potential to increase capacities of communities and to sustain future health. The process is easily transferable to other regions or countries across Europe. The work is part of the Austrian “Climate-Resilience-Check Health for regions and municipalities”. Description of the problem We present an innovative qualitative method to contribute to a climate change and health vulnerability and adaptation assessment following WHO’s guidelines. Questions answered by the project were: • What measures can be taken to shape the regions’ potential for a health-promoting lifestyle and to increase climate resilience? • Does participatory foresight represent a well-suited method to develop climate adaptation measures which address local needs? Taking place between 10/23 to 12/23, the participatory foresight process consisted of (1) a foresight-workshop facilitating development of adaptation measures through the creation of personas and (2) intervention boards, which gave the broader population the opportunity to vote for measures developed in the workshop. The aim of the approach was to identify measures that receive approval within the population. Results The participatory foresight process highlighted the</w:t>
      </w:r>
    </w:p>
    <w:p>
      <w:pPr/>
      <w:r>
        <w:rPr>
          <w:b/>
        </w:rPr>
        <w:t>POSSIBLE 2023:</w:t>
      </w:r>
      <w:r>
        <w:t xml:space="preserve"> Scenario Development Using Foresight Studies — https://doi.org/10.5281/zenodo.7944509</w:t>
      </w:r>
    </w:p>
    <w:p>
      <w:pPr/>
      <w:r>
        <w:rPr>
          <w:b/>
        </w:rPr>
        <w:t>Shared claim-specific concepts:</w:t>
      </w:r>
      <w:r>
        <w:t xml:space="preserve"> foresight, used, across, process, tools; EU scope visible. This is a provisional connection, not an outcome finding.</w:t>
      </w:r>
    </w:p>
    <w:p>
      <w:pPr>
        <w:pStyle w:val="SourceNote"/>
      </w:pPr>
      <w:r>
        <w:rPr>
          <w:b/>
        </w:rPr>
        <w:t>Available abstract (not full text):</w:t>
      </w:r>
      <w:r>
        <w:t xml:space="preserve"> PHIRI (Population Health Information Research Infrastructure) project aims to facilitate and generate the best available evidence for research on health and well-being of populations impacted by COVID19. Work Package 9 (WP9) of the PHIRI project (“Foresight: scenarios and modelling”) aims to gain insights into possible future health impacts of the COVID-19 outbreak by developing scenarios. A scenario is not a prediction, rather a consistent, plausible, and coherent description of the future that reflects on past perspectives, the present, and future developments, which can serve as a basis for action. WP9 follows a stepwise approach that started by learning about the foresight capacity and foresight capacity needs across European Members States (MS) in Task 9.1. Learning about capacity needs led to the development of a capacity building course in Task 9.2. The present task, Task 9.3, builds on Task 9.2 capacity building course to further build capacity by actually developing a foresight study. The present report provides an overview of the development, content, evaluation, and outcomes of ‘Develop your Public Health Foresight Study (PHFS)’ as the leading activity of Task 9.3. This activity aimed at giving participating researchers support and guidance in developing their own public health foresight study, including developing scenarios on different public health issues as well </w:t>
      </w:r>
    </w:p>
    <w:p>
      <w:pPr/>
      <w:r>
        <w:rPr>
          <w:b/>
        </w:rPr>
        <w:t>POSSIBLE 2022:</w:t>
      </w:r>
      <w:r>
        <w:t xml:space="preserve"> Surveillance and Foresight Process of the Sustainable City Context: Innovation Potential Niches and Trends at the European Level — https://doi.org/10.3390/su14148795</w:t>
      </w:r>
    </w:p>
    <w:p>
      <w:pPr/>
      <w:r>
        <w:rPr>
          <w:b/>
        </w:rPr>
        <w:t>Shared claim-specific concepts:</w:t>
      </w:r>
      <w:r>
        <w:t xml:space="preserve"> foresight, projects, process, important, also, them; EU scope visible. This is a provisional connection, not an outcome finding.</w:t>
      </w:r>
    </w:p>
    <w:p>
      <w:pPr>
        <w:pStyle w:val="SourceNote"/>
      </w:pPr>
      <w:r>
        <w:rPr>
          <w:b/>
        </w:rPr>
        <w:t>Available abstract (not full text):</w:t>
      </w:r>
      <w:r>
        <w:t xml:space="preserve"> Over the last decades, the environmental situation of the planet has worsened. Much of the pollution and energy consumption is attributed to cities, which are expected to increase in size and population in the coming years. It is therefore necessary to develop systems to make them more sustainable and resilient. In this regard, different agendas, strategies, and regulations have been published, such as the 2030 Agenda. The current research carried out a surveillance and foresight process at the European level in the field of the sustainable city, analyzing actions accomplished, ongoing, or forthcoming from 2014 to the present (2020) and coming years. The objective is to identify the potential niches and opportunities for decision making to develop successful projects in this sector. The study concludes that one of the most promoted themes is related to the environment, highlighting nature and biodiversity in cities to improve environmental quality and achieve the decarbonization necessary to fight climate change. Furthermore, society plays an important role, emphasizing the need to promote the population’s inclusion and empowerment. It also underlines the promotion of urban regeneration, which should include energy transition and digitalization to create smart cities, with local circular economies.</w:t>
      </w:r>
    </w:p>
    <w:p>
      <w:pPr/>
      <w:r>
        <w:rPr>
          <w:b/>
        </w:rPr>
        <w:t>POSSIBLE 2021:</w:t>
      </w:r>
      <w:r>
        <w:t xml:space="preserve"> Foresight Capacity Building — https://doi.org/10.5281/zenodo.6630549</w:t>
      </w:r>
    </w:p>
    <w:p>
      <w:pPr/>
      <w:r>
        <w:rPr>
          <w:b/>
        </w:rPr>
        <w:t>Shared claim-specific concepts:</w:t>
      </w:r>
      <w:r>
        <w:t xml:space="preserve"> foresight, used, specific, also, related; EU scope visible. This is a provisional connection, not an outcome finding.</w:t>
      </w:r>
    </w:p>
    <w:p>
      <w:pPr>
        <w:pStyle w:val="SourceNote"/>
      </w:pPr>
      <w:r>
        <w:rPr>
          <w:b/>
        </w:rPr>
        <w:t>Available abstract (not full text):</w:t>
      </w:r>
      <w:r>
        <w:t xml:space="preserve"> The present report provides an overview of the development, content, evaluation, and outcomes of the ‘Public Health Foresight Studies’ Training course, also referred to as the ‘Foresight Capacity Building’ training course or the ‘course’. The Foresight Capacity Building course aims at leveling capacity in Public Health Foresight Studies from PHIRI’s participating Member States (MS). Building foresight capacity through this training course is the main output of Task 9.2 of Work Package 9 (WP9) of the PHIRI project. This course was shaped taking into account the foresight capacity needs of MS as reported in the survey carried out in the first quarter of 2021 (during Task 9.1). The course prepares professionals of MS to carry out their own foresight study with the support of WP9 team and from each other. The Foresight Capacity Building course followed a didactive approach consisting of theory on the concepts covered, practical examples, and practical exercises. In addition to the foresight project team of lectures, guest lecturers contributed to specific topics. The course consisted of 5 modules: a general module, followed by three advanced modules deepening on several foresight elements, and a final module revisiting the concepts learned throughout the course and introducing participants to the next task: developing scenarios. Throughout the course, participants gave their feedba</w:t>
      </w:r>
    </w:p>
    <w:p>
      <w:pPr/>
      <w:r>
        <w:rPr>
          <w:b/>
        </w:rPr>
        <w:t>POSSIBLE 2020:</w:t>
      </w:r>
      <w:r>
        <w:t xml:space="preserve"> Project FORESIGHT: A ten-year retrospective — https://doi.org/10.1016/j.fsisyn.2020.08.005</w:t>
      </w:r>
    </w:p>
    <w:p>
      <w:pPr/>
      <w:r>
        <w:rPr>
          <w:b/>
        </w:rPr>
        <w:t>Shared claim-specific concepts:</w:t>
      </w:r>
      <w:r>
        <w:t xml:space="preserve"> foresight, used, process, also; EU scope not established. This is a provisional connection, not an outcome finding.</w:t>
      </w:r>
    </w:p>
    <w:p>
      <w:pPr>
        <w:pStyle w:val="SourceNote"/>
      </w:pPr>
      <w:r>
        <w:rPr>
          <w:b/>
        </w:rPr>
        <w:t>Available abstract (not full text):</w:t>
      </w:r>
      <w:r>
        <w:t xml:space="preserve"> Forensic service providers fulfill a fundamental role in a criminal justice system by providing scientific information that aids investigations and court proceedings. While the focus is often on the science aspect of these organizations, the provision is also of paramount importance. Historically, calls for more and better information about forensic laboratory performance (in essence, benchmarking) have gone unheard. Project FORESIGHT, created in 2008, filled this need through engagement with the forensic management community to build a needs-based process for providing operational data that can be used to enhance a laboratory's performance. With over 10 years of industry data, Project FORESIGHT is the de facto standard for benchmarking forensic service provision.</w:t>
      </w:r>
    </w:p>
    <w:p>
      <w:pPr>
        <w:pStyle w:val="Heading2"/>
      </w:pPr>
      <w:r>
        <w:t>968. Towards Europe 2035 - In Search of the Archimedean Screw: FOCUS in Perspective</w:t>
      </w:r>
    </w:p>
    <w:p>
      <w:pPr>
        <w:pStyle w:val="SourceNote"/>
      </w:pPr>
      <w:r>
        <w:rPr>
          <w:b/>
        </w:rPr>
        <w:t>Original source (2013):</w:t>
      </w:r>
      <w:r>
        <w:t xml:space="preserve"> https://doi.org/10.11610/isij.2912</w:t>
      </w:r>
    </w:p>
    <w:p>
      <w:pPr/>
      <w:r>
        <w:t>Original wording (abstract; indexed_source_text_not_full_document_verified): Approaches and results from the FOCUS project centred on the planning of security research in the 2035 time frame to support foresighted EU security missions.In a follow-up, they could be carried further to help provide a framework for analyzing long-term trends and dynamic interactions in a global environment undergoing tectonic changes, reaching beyond the FOCUS mission to explore new contexts of civil security research in support of possible future EU mission scenarios.European developments are in large part driven by challenging global developments, reaching beyond external risks and threats to which the EU needs to respond.This article thus explores the complementarity of the FOCUS framework and the concurrent fifth NIC Report "Global Trends 2030: Alternative Worlds" of the US National Intelligence Council (NIC) in search of a framework for assessing the impact of global dynamics on the inner dynamics of global players, with the EU as a special case.</w:t>
      </w:r>
    </w:p>
    <w:p>
      <w:pPr/>
      <w:r>
        <w:rPr>
          <w:b/>
        </w:rPr>
        <w:t>POSSIBLE 2026:</w:t>
      </w:r>
      <w:r>
        <w:t xml:space="preserve"> PUBLIC SECURITY AS AN ADMINISTRATIVE FUNCTION IN THE EUROPEAN UNION. A MULTILEVEL GOVERNANCE APPROACH — https://doi.org/10.13165/pspo-25-38-01-02</w:t>
      </w:r>
    </w:p>
    <w:p>
      <w:pPr/>
      <w:r>
        <w:rPr>
          <w:b/>
        </w:rPr>
        <w:t>Shared claim-specific concepts:</w:t>
      </w:r>
      <w:r>
        <w:t xml:space="preserve"> planning, security, further, provide, framework; EU scope visible. This is a provisional connection, not an outcome finding.</w:t>
      </w:r>
    </w:p>
    <w:p>
      <w:pPr>
        <w:pStyle w:val="SourceNote"/>
      </w:pPr>
      <w:r>
        <w:rPr>
          <w:b/>
        </w:rPr>
        <w:t>Available abstract (not full text):</w:t>
      </w:r>
      <w:r>
        <w:t xml:space="preserve"> Public security in the European Union is traditionally described through the distribution of competences between the Union and the Member States. However, everyday practice suggests a different logic: security is rarely exercised through hierarchical command and more often produced through coordinated administrative interaction. This article examines public security as an administrative function operating within a multilevel governance framework rather than as a strictly national competence.The purpose of the paper is to clarify how security can be effectively managed at the European level despite the Treaties preserving national responsibility, and to determine what this implies for the interpretation of EU law. The research addresses the following question: how is public security governed administratively in the European Union when operational powers remain primarily domestic?The study combines doctrinal legal analysis with governance-oriented research. It relies on the interpretation of EU primary law, general legal principles, and selected jurisprudential patterns, while engaging with literature on multilevel governance and European administrative cooperation. The approach is qualitative and interpretative, focusing on recurring administrative practices such as coordination procedures, information exchange, and joint operational planning rather than on a single policy secto</w:t>
      </w:r>
    </w:p>
    <w:p>
      <w:pPr/>
      <w:r>
        <w:rPr>
          <w:b/>
        </w:rPr>
        <w:t>POSSIBLE 2026:</w:t>
      </w:r>
      <w:r>
        <w:t xml:space="preserve"> NATO’s evolution and European security dynamics — https://doi.org/10.1007/s44282-026-00594-1</w:t>
      </w:r>
    </w:p>
    <w:p>
      <w:pPr/>
      <w:r>
        <w:rPr>
          <w:b/>
        </w:rPr>
        <w:t>Shared claim-specific concepts:</w:t>
      </w:r>
      <w:r>
        <w:t xml:space="preserve"> planning, security, time, they, environment; EU scope visible. This is a provisional connection, not an outcome finding.</w:t>
      </w:r>
    </w:p>
    <w:p>
      <w:pPr>
        <w:pStyle w:val="SourceNote"/>
      </w:pPr>
      <w:r>
        <w:rPr>
          <w:b/>
        </w:rPr>
        <w:t>Available abstract (not full text):</w:t>
      </w:r>
      <w:r>
        <w:t xml:space="preserve"> The North Atlantic Treaty Organization (NATO) has transformed dramatically since the end of the Cold War. As a collective defense alliance, it was primarily focused on defending itself against the Soviet Union. NATO is now focused on addressing multiple types of threats: traditional, hybrid, and non-traditional. This study uses a qualitative methodological approach that includes a systematic content review of NATO’s Strategic Concepts from to 1991–2022; NATO Summit Communiques; NATO Defense Planning Guidance and Elite Speeches. This allows us to analyse the causes and effects of NATO’s transformation over time. Our results suggest that because of Russia’s actions as a “revisionist” state, NATO has reverted to focusing on collective defence. However, NATO has also broadened its operational scope to counter new forms of cyber and hybrid threats [ 27 ]. While NATO has improved its deterrence capabilities through adaptation and the cohesiveness of its members has increased, significant problems remain. These include differences in burden sharing by member countries, differing views among member countries regarding how much political independence they want from their relationship with the United States, and increasing levels of tension regarding the potential trade-off between greater strategic autonomy for Europe versus increased dependence upon the U.S. Ultimately, this study conc</w:t>
      </w:r>
    </w:p>
    <w:p>
      <w:pPr/>
      <w:r>
        <w:rPr>
          <w:b/>
        </w:rPr>
        <w:t>POSSIBLE 2025:</w:t>
      </w:r>
      <w:r>
        <w:t xml:space="preserve"> Food Security And Regional Planning Approach: Challenges &amp; Opportunities — https://doi.org/10.64252/q0684p75</w:t>
      </w:r>
    </w:p>
    <w:p>
      <w:pPr/>
      <w:r>
        <w:rPr>
          <w:b/>
        </w:rPr>
        <w:t>Shared claim-specific concepts:</w:t>
      </w:r>
      <w:r>
        <w:t xml:space="preserve"> approaches, planning, security, support; EU scope not established. This is a provisional connection, not an outcome finding.</w:t>
      </w:r>
    </w:p>
    <w:p>
      <w:pPr>
        <w:pStyle w:val="SourceNote"/>
      </w:pPr>
      <w:r>
        <w:rPr>
          <w:b/>
        </w:rPr>
        <w:t>Available abstract (not full text):</w:t>
      </w:r>
      <w:r>
        <w:t xml:space="preserve"> Global food insecurity is rapidly increasing. In 2021 an estimated 29.3 per cent of the global population (2.3 billion people) was moderately or severely food insecure while 828 million people in the world (10.5 per cent of the world population) faced hunger. This paper explores the critical intersection of food security and regional planning, highlighting the challenges and opportunities inherent in addressing food insecurity through strategic spatial and developmental approaches. With global food insecurity on the rise—impacting approximately 29.3% of the world’s population in 2021 and showing pronounced regional disparities there is an urgent need for effective regional planning to combat this crisis. This study emphasizes the varying degrees of food insecurity across different continents, particularly focusing on the complex scenario in Asia and India, which despite being major food producers, face significant challenges related to distribution, access, and sustainability. Food security encompasses three dimensions: availability, accessibility, and intake, each affected by production, distribution, purchasing power, and health infrastructure. Regional planning plays a pivotal role in addressing these dimensions by optimizing resource distribution, integrating agriculture into broader development plans, and improving infrastructure for food distribution. However, there are n</w:t>
      </w:r>
    </w:p>
    <w:p>
      <w:pPr/>
      <w:r>
        <w:rPr>
          <w:b/>
        </w:rPr>
        <w:t>POSSIBLE 2025:</w:t>
      </w:r>
      <w:r>
        <w:t xml:space="preserve"> Safe and Sound: Governance for Planning Public Space in a Security-by-Design Paradigm — https://doi.org/10.3390/urbansci9070241</w:t>
      </w:r>
    </w:p>
    <w:p>
      <w:pPr/>
      <w:r>
        <w:rPr>
          <w:b/>
        </w:rPr>
        <w:t>Shared claim-specific concepts:</w:t>
      </w:r>
      <w:r>
        <w:t xml:space="preserve"> project, planning, security, time, support, further; EU scope visible. This is a provisional connection, not an outcome finding.</w:t>
      </w:r>
    </w:p>
    <w:p>
      <w:pPr>
        <w:pStyle w:val="SourceNote"/>
      </w:pPr>
      <w:r>
        <w:rPr>
          <w:b/>
        </w:rPr>
        <w:t>Available abstract (not full text):</w:t>
      </w:r>
      <w:r>
        <w:t xml:space="preserve"> Security in public spaces has long been the subject of debate and extensive experimentation. With the exponential growth in risks (both expected and unexpected) that public spaces are exposed to, further exacerbated by the pandemic crisis, urban security management increasingly conflicts with the right to social interaction in space. To avoid creating overly controlled spaces that are unsuitable for generating sociality and spontaneous interactions, and which often reproduce discriminatory social dynamics, while at the same time ensuring users’ awareness of being in a safe environment, it is necessary for all three dimensions of public space security—policy, design, and governance—to converge. This study focuses on governance, exploring how security management shapes public life and how it can align with planning that supports vibrant, spontaneous interaction. Using a multi-method qualitative approach, including a critical literature review, EU policy analysis, and empirical research from the Horizon Europe SAFE CITIES project, the study introduces two tools: the Security and Vulnerability Assessment (SVA) framework and the Atlas for Safe Public Spaces Design. These were tested in pilot sites, including the Gorizia-Nova Gorica cross-border square. Results support a governance model integrating “security by design,” which aligns with Foucault’s view of governance as adaptable to</w:t>
      </w:r>
    </w:p>
    <w:p>
      <w:pPr/>
      <w:r>
        <w:rPr>
          <w:b/>
        </w:rPr>
        <w:t>POSSIBLE 2025:</w:t>
      </w:r>
      <w:r>
        <w:t xml:space="preserve"> Implementation of a project approach to managing the development of territorial communities in accordance with the standards and experience of the European Union — https://doi.org/10.58442/3041-1858-2025-34(63)-253-274</w:t>
      </w:r>
    </w:p>
    <w:p>
      <w:pPr/>
      <w:r>
        <w:rPr>
          <w:b/>
        </w:rPr>
        <w:t>Shared claim-specific concepts:</w:t>
      </w:r>
      <w:r>
        <w:t xml:space="preserve"> approaches, project, trends; EU scope visible. This is a provisional connection, not an outcome finding.</w:t>
      </w:r>
    </w:p>
    <w:p>
      <w:pPr>
        <w:pStyle w:val="SourceNote"/>
      </w:pPr>
      <w:r>
        <w:rPr>
          <w:b/>
        </w:rPr>
        <w:t>Available abstract (not full text):</w:t>
      </w:r>
      <w:r>
        <w:t xml:space="preserve"> The article examines the need to implement a project approach to managing the development of territorial communities in Ukraine in accordance with the standards and experience of the European Union (EU). Scientific approaches to determining the essence of project management in the public sphere are analyzed, the main trends of its development in the context of the decentralization reform are summarized. It was determined that the project-program management model is an effective tool for ensuring the effectiveness, transparency and accountability of the activities of local self-government bodies, as well as increasing the effectiveness of strategic budgeting and the effective use of international technical assistance. The regulatory-legal and institutional-administrative bases of the EU and Ukraine in the field of application of the project approach to local development have been studied. In particular, the main methodologies, approaches and tools of project management in the public sphere, as well as the principles of new public management, good governance and sustainable development, as well as the concept of multi-level governance, are analyzed. The main directions of adaptation of these standards to Ukrainian practice have been determined, namely: harmonization of regulatory and legal procedures, development of institutional capacity and personnel potential, digitalization o</w:t>
      </w:r>
    </w:p>
    <w:p>
      <w:pPr/>
      <w:r>
        <w:rPr>
          <w:b/>
        </w:rPr>
        <w:t>POSSIBLE 2025:</w:t>
      </w:r>
      <w:r>
        <w:t xml:space="preserve"> EUROPEAN STRATEGIES FOR CROSS-SECTORAL COOPERATION THROUGH A PROJECT-BASED APPROACH IN PUBLIC ADMINISTRATION — https://doi.org/10.30838/ep.197.187-192</w:t>
      </w:r>
    </w:p>
    <w:p>
      <w:pPr/>
      <w:r>
        <w:rPr>
          <w:b/>
        </w:rPr>
        <w:t>Shared claim-specific concepts:</w:t>
      </w:r>
      <w:r>
        <w:t xml:space="preserve"> focus, project, planning, support, they, further; EU scope visible. This is a provisional connection, not an outcome finding.</w:t>
      </w:r>
    </w:p>
    <w:p>
      <w:pPr>
        <w:pStyle w:val="SourceNote"/>
      </w:pPr>
      <w:r>
        <w:rPr>
          <w:b/>
        </w:rPr>
        <w:t>Available abstract (not full text):</w:t>
      </w:r>
      <w:r>
        <w:t xml:space="preserve"> The article examines modern European strategies of intersectoral cooperation in public administration, with a focus on the project approach. It discusses how these strategies promote innovation, efficiency, and transparency in decision-making. By combining theoretical perspectives with practical examples, the research identifies key mechanisms that support collaboration among public, private, and civil sectors, contributing to improved governance. Special emphasis is placed on the project approach, which fosters innovation, enhances efficiency, and ensures transparency in decision-making. These principles are crucial for improving cooperation between sectors in line with societal and organizational goals. The research examines various forms of cross-sectoral collaboration, including public-private partnerships, public-public partnerships, and tripartite partnerships, which bring together collective efforts to address complex challenges. European strategies highlight the significance of transparency in decision-making by ensuring stakeholders have access to relevant information, monitoring outcomes closely, and upholding accountability. The integration of advanced technologies such as digitalization and AI further enhances these initiatives. These technologies promote efficient resource use and facilitate real-time data sharing, enhancing sector communication. The project-based </w:t>
      </w:r>
    </w:p>
    <w:p>
      <w:pPr/>
      <w:r>
        <w:rPr>
          <w:b/>
        </w:rPr>
        <w:t>POSSIBLE 2024:</w:t>
      </w:r>
      <w:r>
        <w:t xml:space="preserve"> USING AN INDICATIVE APPROACH TO ASSESSING THE SECURITY OF ELECTRICITY SUPPLY — https://doi.org/10.15407/srenergy2024.04.132</w:t>
      </w:r>
    </w:p>
    <w:p>
      <w:pPr/>
      <w:r>
        <w:rPr>
          <w:b/>
        </w:rPr>
        <w:t>Shared claim-specific concepts:</w:t>
      </w:r>
      <w:r>
        <w:t xml:space="preserve"> focus, planning, security, further; EU scope visible. This is a provisional connection, not an outcome finding.</w:t>
      </w:r>
    </w:p>
    <w:p>
      <w:pPr>
        <w:pStyle w:val="SourceNote"/>
      </w:pPr>
      <w:r>
        <w:rPr>
          <w:b/>
        </w:rPr>
        <w:t>Available abstract (not full text):</w:t>
      </w:r>
      <w:r>
        <w:t xml:space="preserve"> Monitoring and assessing the security of electricity supply in Ukraine are becoming increasingly important due to the integration of the integrated power system with the European power system and the need to ensure uninterrupted operation in parallel. This paper aims to test the use of an indicative approach to assessing the security of electricity supply. The paper considers the possibility of using an indicative approach to assessing the security of electricity supply. Within this paper, the indicative approach is understood as a method of management and planning based on the use of indicators or indicators to assess the state and efficiency of a particular process, system, or phenomenon. The main focus is on forming a list of indicators to assess the security of electricity supply. The initial assessment of the level of the indicator for ensuring the balanced reliability of the power system and the quality and level of maintenance of power grids will allow us to assess the security of supply in general. Unlike the existing principles for assessing supply security, this approach allows for systematic monitoring and objective data on which to base strategies and plans, which increases management efficiency. To solve the problem of finding an assessment of the security of the electricity supply, an indicative approach may be proposed for use, which provides a unified indicator </w:t>
      </w:r>
    </w:p>
    <w:p>
      <w:pPr/>
      <w:r>
        <w:rPr>
          <w:b/>
        </w:rPr>
        <w:t>POSSIBLE 2024:</w:t>
      </w:r>
      <w:r>
        <w:t xml:space="preserve"> Project coordination success factors in European Union-funded research, development and innovation projects under the Horizon 2020 and Horizon Europe programmes — https://doi.org/10.1186/s13731-024-00363-x</w:t>
      </w:r>
    </w:p>
    <w:p>
      <w:pPr/>
      <w:r>
        <w:rPr>
          <w:b/>
        </w:rPr>
        <w:t>Shared claim-specific concepts:</w:t>
      </w:r>
      <w:r>
        <w:t xml:space="preserve"> focus, project, further, framework, environment; EU scope visible. This is a provisional connection, not an outcome finding.</w:t>
      </w:r>
    </w:p>
    <w:p>
      <w:pPr>
        <w:pStyle w:val="SourceNote"/>
      </w:pPr>
      <w:r>
        <w:rPr>
          <w:b/>
        </w:rPr>
        <w:t>Available abstract (not full text):</w:t>
      </w:r>
      <w:r>
        <w:t xml:space="preserve"> Abstract Success factors for managing European Union-funded research, development and innovation projects is rather uncharted territory and scarce publications exist, even though considering that the H2020 funding was nearly €80 billion, and Horizon Europe is €95,5 billion. Managing these types of projects has been referred to as ‘managing the unmanageable’, which indicates importance of our study. The aim of this study was to gather input via survey from both project coordinators and partners by assessing factors in five categories of good practices, skills, characteristics and tools of project management, and coordination for successful project implementation. A total of 118 persons replied to the survey who have experience from Horizon 2020 or Horizon Europe funded project(s). Over 80 factors were assessed and rated by the participants. Via standard statistical analysis, a top three lists were created for the different categories from both project partners and coordinators perspectives. A combination of 15 top success factors was formed. Furthermore, to emphasise the practicality of the results, an overarching framework was formed where we propose three prioritised key success factors that research, development, and innovation project management of should focus on. The three key success factors are communication, trust, and collaboration. Communication and trust are further </w:t>
      </w:r>
    </w:p>
    <w:p>
      <w:pPr/>
      <w:r>
        <w:rPr>
          <w:b/>
        </w:rPr>
        <w:t>POSSIBLE 2023:</w:t>
      </w:r>
      <w:r>
        <w:t xml:space="preserve"> European experience in ensuring the financial security of financial institutions — https://doi.org/10.33108/galicianvisnyk_tntu2023.05.092</w:t>
      </w:r>
    </w:p>
    <w:p>
      <w:pPr/>
      <w:r>
        <w:rPr>
          <w:b/>
        </w:rPr>
        <w:t>Shared claim-specific concepts:</w:t>
      </w:r>
      <w:r>
        <w:t xml:space="preserve"> approaches, focus, security, analyzing, environment; EU scope visible. This is a provisional connection, not an outcome finding.</w:t>
      </w:r>
    </w:p>
    <w:p>
      <w:pPr>
        <w:pStyle w:val="SourceNote"/>
      </w:pPr>
      <w:r>
        <w:rPr>
          <w:b/>
        </w:rPr>
        <w:t>Available abstract (not full text):</w:t>
      </w:r>
      <w:r>
        <w:t xml:space="preserve"> The article is dedicated to exploring the essence of financial security for financial institutions in Ukraine in the context of a state of war and providing proposals for its enhancement. In light of international events, particularly the full-scale invasion and aggression by the russian federation, the insufficient level of financial security of Ukrainian financial institutions becomes exceptionally pertinent. Therefore, identifying internal and external threats to the financial security of these institutions during wartime, along with developing a strategy to neutralize these threats and enhance the effectiveness of financial security, emerges as an extremely relevant task. The article substantiates the significance of developing a strategic plan to bolster Ukraine's financial security, with a focus on the control of financial institution activities. The author meticulously examines key aspects and methods of ensuring stability and reliability of financial institutions in the European Union. Additionally, key elements of controlling financial institution activities within the context of Ukraine's financial sector development strategy are studied and compared with methods applied in other countries around the world. The article comprehensively examines practices and strategies for financial stability of institutions in European Union countries such as the Netherlands, Belgium,</w:t>
      </w:r>
    </w:p>
    <w:p>
      <w:pPr/>
      <w:r>
        <w:rPr>
          <w:b/>
        </w:rPr>
        <w:t>POSSIBLE 2023:</w:t>
      </w:r>
      <w:r>
        <w:t xml:space="preserve"> The regulatory security state in Europe — https://doi.org/10.1080/13501763.2023.2172061</w:t>
      </w:r>
    </w:p>
    <w:p>
      <w:pPr/>
      <w:r>
        <w:rPr>
          <w:b/>
        </w:rPr>
        <w:t>Shared claim-specific concepts:</w:t>
      </w:r>
      <w:r>
        <w:t xml:space="preserve"> security, framework, analyzing; EU scope visible. This is a provisional connection, not an outcome finding.</w:t>
      </w:r>
    </w:p>
    <w:p>
      <w:pPr>
        <w:pStyle w:val="SourceNote"/>
      </w:pPr>
      <w:r>
        <w:rPr>
          <w:b/>
        </w:rPr>
        <w:t>Available abstract (not full text):</w:t>
      </w:r>
      <w:r>
        <w:t xml:space="preserve"> The ‘regulatory state’ has prevailed in almost every sector of European public policy. The provision of security, however, is still widely viewed as the domain of the ‘positive state’, which rests on political authority and autonomous capacities. Challenging this presumption, we argue that expertise – as foundation of authority – and rules – as policy instruments – also shape the provision of European security by national and, in particular, supranational ‘regulatory security states’, namely the European Union (EU). We lay out a framework for mapping the uneven and contested rise of European regulatory security states; analyzing drivers and constraints of security state reforms; and grasping the implications of the regulatory security state for the effectiveness and democratic legitimacy of European security policy-making. We advance the research program on the regulatory state and contribute to an innovative understanding of who governs security in Europe’s multi-level polity, by what means, and on what legitimatory grounds.</w:t>
      </w:r>
    </w:p>
    <w:p>
      <w:pPr/>
      <w:r>
        <w:rPr>
          <w:b/>
        </w:rPr>
        <w:t>POSSIBLE 2023:</w:t>
      </w:r>
      <w:r>
        <w:t xml:space="preserve"> Evidence of development of underutilised crops and their ecosystem services in Europe: a systematic mapping approach — https://doi.org/10.1186/s43170-023-00194-y</w:t>
      </w:r>
    </w:p>
    <w:p>
      <w:pPr/>
      <w:r>
        <w:rPr>
          <w:b/>
        </w:rPr>
        <w:t>Shared claim-specific concepts:</w:t>
      </w:r>
      <w:r>
        <w:t xml:space="preserve"> focus, security, support, further; EU scope visible. This is a provisional connection, not an outcome finding.</w:t>
      </w:r>
    </w:p>
    <w:p>
      <w:pPr>
        <w:pStyle w:val="SourceNote"/>
      </w:pPr>
      <w:r>
        <w:rPr>
          <w:b/>
        </w:rPr>
        <w:t>Available abstract (not full text):</w:t>
      </w:r>
      <w:r>
        <w:t xml:space="preserve"> Abstract Background Growing interest in agrobiodiversity and sustainable agricultural practices has stimulated debates on diversifying cropping systems, furthering the potential for the reintroduction of underutilised crops. These crops may support multiple ecosystem services and enhance food security and agricultural value chains. This study used a systematic mapping approach to collate and summarise the state of research literature addresses the research question: What is the evidence for ecosystem service provision and economic value of underutilised crops? We focused on oats, triticale, hull-less barley, narrow-leaved lupin, buckwheat and faba beans due to their limited use in Europe, their broad gene pool, ecological benefits, and nutritional value. Method Three academic databases were used to identify research articles investigating the impacts of using the six underutilised crops of interest on outcomes including breeding, agronomic traits, nutrition and health, and economic values. In addition, current and recently completed European projects were searched to identify ongoing relevant research. After screening for relevance, data was extracted from all included articles and projects and imported into a spreadsheet for cross-tabulation and to produce descriptive statistics. Results From an initial 34,522 articles identified by the searches, 1346 relevant primary research</w:t>
      </w:r>
    </w:p>
    <w:p>
      <w:pPr/>
      <w:r>
        <w:rPr>
          <w:b/>
        </w:rPr>
        <w:t>POSSIBLE 2022:</w:t>
      </w:r>
      <w:r>
        <w:t xml:space="preserve"> Chemical Looping Combustion and Gasification: A Review and a Focus on European Research Projects — https://doi.org/10.1021/acs.iecr.2c02677</w:t>
      </w:r>
    </w:p>
    <w:p>
      <w:pPr/>
      <w:r>
        <w:rPr>
          <w:b/>
        </w:rPr>
        <w:t>Shared claim-specific concepts:</w:t>
      </w:r>
      <w:r>
        <w:t xml:space="preserve"> focus, they, provide; EU scope visible. This is a provisional connection, not an outcome finding.</w:t>
      </w:r>
    </w:p>
    <w:p>
      <w:pPr>
        <w:pStyle w:val="SourceNote"/>
      </w:pPr>
      <w:r>
        <w:rPr>
          <w:b/>
        </w:rPr>
        <w:t>Available abstract (not full text):</w:t>
      </w:r>
      <w:r>
        <w:t xml:space="preserve"> Climate change has driven attention toward promoting sustainable policies and processes to contain global warming below +1.5 &amp; DEG;C. Negative emission technologies (NET)-bioenergy with carbon capture and storage in particular (BECCS)-are expected to contribute to the achievement of that target. Recent research and development concerning NET focused on chemical looping combustion (CLC) and chemical looping gasification (CLG), as they should limit cost-and energy-penalties associated with carbon capture and storage thanks to solid materials known as oxygen carriers (OCs). This review aims to provide an introductory tool about CLC and CLG and their possible role as NET if fed with biomasses to obtain BECCS. A critical overlook is proposed concerning chemical looping reactions, fuels, types of OCs, and reactor systems developed at different scales, focusing on recent and current European research projects and remarks on the subsequent developments.</w:t>
      </w:r>
    </w:p>
    <w:p>
      <w:pPr>
        <w:pStyle w:val="Heading2"/>
      </w:pPr>
      <w:r>
        <w:t>969. Warming increases plant biomass and reduces diversity across continents, latitudes, and species migration scenarios in experimental wetland communities</w:t>
      </w:r>
    </w:p>
    <w:p>
      <w:pPr>
        <w:pStyle w:val="SourceNote"/>
      </w:pPr>
      <w:r>
        <w:rPr>
          <w:b/>
        </w:rPr>
        <w:t>Original source (2013):</w:t>
      </w:r>
      <w:r>
        <w:t xml:space="preserve"> https://doi.org/10.1111/gcb.12378</w:t>
      </w:r>
    </w:p>
    <w:p>
      <w:pPr/>
      <w:r>
        <w:t>Original wording (abstract; indexed_source_text_not_full_document_verified): These results reveal for the first time consistent impacts of warming on biomass and species richness for temperate wetland plant communities across continents, latitudes, and migration scenarios. Atmospheric warming may influence plant productivity and diversity and induce poleward migration of species, altering communities across latitudes.</w:t>
      </w:r>
    </w:p>
    <w:p>
      <w:pPr/>
      <w:r>
        <w:rPr>
          <w:b/>
        </w:rPr>
        <w:t>POSSIBLE 2026:</w:t>
      </w:r>
      <w:r>
        <w:t xml:space="preserve"> Attainment of Steady State Algebraically: How Constant Coefficients in First and Second Order Differential Equations Reveal the Time Constant — https://doi.org/10.18260/1-2-510-57870</w:t>
      </w:r>
    </w:p>
    <w:p>
      <w:pPr/>
      <w:r>
        <w:rPr>
          <w:b/>
        </w:rPr>
        <w:t>Shared claim-specific concepts:</w:t>
      </w:r>
      <w:r>
        <w:t xml:space="preserve"> reveal, first, time; EU scope not established. This is a provisional connection, not an outcome finding.</w:t>
      </w:r>
    </w:p>
    <w:p>
      <w:pPr>
        <w:pStyle w:val="SourceNote"/>
      </w:pPr>
      <w:r>
        <w:rPr>
          <w:b/>
        </w:rPr>
        <w:t>Available abstract (not full text):</w:t>
      </w:r>
      <w:r>
        <w:t xml:space="preserve"> Textbooks for differential equations often address transient and steady state solutions, but less frequently link the two or connect them to real world situations or laboratory results.In this paper, both types of solutions are considered, as well as the impact of the transient solution upon the full solution.This approach, as delineated, removes all of the complicated mathematics (which can now be accomplished using a calculator or computational software) in order to understand the general results, only requiring that the coefficients in the general equation be constant.The time constant, τ, is regularly taught in first order differential equations, and its relationship to the equation coefficients is widely known.However, for second order differential equations, the concept of the time constant appears to be rarely, if ever, discussed in many textbooks.Toward that end, in this work, second order differential equations with constant coefficients are examined.In addition, a typical equation for many real-world electrical and mechanical problems will be addressed by algebraically solving for τ.The steady state solution will be described in terms of the system's behavior after the transient no longer exists, i.e., after t = 5τ.This method avoids much mathematical manipulation, and has the added benefit of providing the solution for the steady state behavior of the system (t &gt; 5τ)</w:t>
      </w:r>
    </w:p>
    <w:p>
      <w:pPr/>
      <w:r>
        <w:rPr>
          <w:b/>
        </w:rPr>
        <w:t>POSSIBLE 2025:</w:t>
      </w:r>
      <w:r>
        <w:t xml:space="preserve"> Collaborative effort between fishers and scientists reveals first-time evidence of the smalltooth sandtiger shark (Odontaspis ferox) in Puerto Rico — https://doi.org/10.1017/s0025315425100246</w:t>
      </w:r>
    </w:p>
    <w:p>
      <w:pPr/>
      <w:r>
        <w:rPr>
          <w:b/>
        </w:rPr>
        <w:t>Shared claim-specific concepts:</w:t>
      </w:r>
      <w:r>
        <w:t xml:space="preserve"> first, species, temperate, diversity; EU scope not established. This is a provisional connection, not an outcome finding.</w:t>
      </w:r>
    </w:p>
    <w:p>
      <w:pPr>
        <w:pStyle w:val="SourceNote"/>
      </w:pPr>
      <w:r>
        <w:rPr>
          <w:b/>
        </w:rPr>
        <w:t>Available abstract (not full text):</w:t>
      </w:r>
      <w:r>
        <w:t xml:space="preserve"> Abstract Studying deep-water shark species presents inherent challenges stemming from the difficulty in accessing their habitats, coupled with factors such as low population densities, intricate behaviours, and complex biological attributes. The integration of citizen scientists, particularly fishers, offers a valuable avenue to make use of their life-long insights and expertise, thus facilitating the acquisition of crucial data that can effectively enhance the realm of shark research. Our collaborative engagement with fishers since 2017 has yielded an extensive documentation concerning elasmobranchs in the Caribbean region of Puerto Rico providing a unique opportunity to formally record species hitherto unreported. This is exemplified by the first documentation of the smalltooth sandtiger shark (Odontaspis ferox (Risso, 1810)). Despite its broad geographic range and widespread distribution in temperate and tropical marine environments, there is a lack of comprehensive scientific understanding and limited available knowledge regarding this species. A noteworthy finding on December 30, 2020, near Rincón (northwest coast) in Puerto Rico, disclosed a large shark that an experienced fisher had captured as an unidentified by-catch at a depth of 325 m. Through an interdisciplinary approach using molecular (355 bp, Cytochrome Oxidase Subunit 1) and morphological techniques, we success</w:t>
      </w:r>
    </w:p>
    <w:p>
      <w:pPr/>
      <w:r>
        <w:rPr>
          <w:b/>
        </w:rPr>
        <w:t>POSSIBLE 2025:</w:t>
      </w:r>
      <w:r>
        <w:t xml:space="preserve"> Bioassay tests reveal for the first time pyrethroid resistance in — https://doi.org/10.1051/parasite/2025036/pdf</w:t>
      </w:r>
    </w:p>
    <w:p>
      <w:pPr/>
      <w:r>
        <w:rPr>
          <w:b/>
        </w:rPr>
        <w:t>Shared claim-specific concepts:</w:t>
      </w:r>
      <w:r>
        <w:t xml:space="preserve"> reveal, first, time, species; EU scope not established. This is a provisional connection, not an outcome finding.</w:t>
      </w:r>
    </w:p>
    <w:p>
      <w:pPr>
        <w:pStyle w:val="SourceNote"/>
      </w:pPr>
      <w:r>
        <w:rPr>
          <w:b/>
        </w:rPr>
        <w:t>Available abstract (not full text):</w:t>
      </w:r>
      <w:r>
        <w:t xml:space="preserve"> The spread of resistance to insecticides, such as pyrethroids, in Aedes vectors increases the risk of spread of arboviral diseases. In Gabon, the insecticide resistance profiles of Ae. aegypti and Ae. albopictus species remain poorly known. During a study to monitor the dynamics of Aedes populations in Franceville, in south-east Gabon, the resistance profiles of these two species to pyrethroids, organophosphates and carbamates were assessed. Susceptibility tests on adults and synergist tests with piperonyl butoxide (PBO) were carried out as per the World Health Organization protocol. The results showed that Ae. aegypti and Ae. albopictus were susceptible to permethrin, pirimiphos-methyl and bendiocarb. However, both species were resistant to deltamethrin (mortality: 67% for Ae. aegypti; 33% for Ae. albopictus). Exposure to a 5-fold dose of deltamethrin increased mortality to 100% and 91% for Ae. aegypti and Ae. albopictus, respectively. Resistance to alpha-cypermethrin was also recorded (mortality: 82% for Ae. aegypti; 64.6% for Ae. albopictus). Pre-exposure to PBO resulted in the restoration of susceptibility to deltamethrin and alpha-cypermethrin for Ae. aegypti, and a significant increase in mortality for Ae. albopictus. These data provide the first evidence of pyrethroid resistance in Aedes in Gabon and could help to establish more effective control measures against arbovir</w:t>
      </w:r>
    </w:p>
    <w:p>
      <w:pPr/>
      <w:r>
        <w:rPr>
          <w:b/>
        </w:rPr>
        <w:t>POSSIBLE 2024:</w:t>
      </w:r>
      <w:r>
        <w:t xml:space="preserve"> Hidden impacts of ocean warming and acidification on biological responses of marine animals revealed through meta-analysis — https://doi.org/10.1038/s41467-024-47064-3</w:t>
      </w:r>
    </w:p>
    <w:p>
      <w:pPr/>
      <w:r>
        <w:rPr>
          <w:b/>
        </w:rPr>
        <w:t>Shared claim-specific concepts:</w:t>
      </w:r>
      <w:r>
        <w:t xml:space="preserve"> impacts, warming, induce; EU scope not established. This is a provisional connection, not an outcome finding.</w:t>
      </w:r>
    </w:p>
    <w:p>
      <w:pPr>
        <w:pStyle w:val="SourceNote"/>
      </w:pPr>
      <w:r>
        <w:rPr>
          <w:b/>
        </w:rPr>
        <w:t>Available abstract (not full text):</w:t>
      </w:r>
      <w:r>
        <w:t xml:space="preserve">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w:t>
      </w:r>
    </w:p>
    <w:p>
      <w:pPr/>
      <w:r>
        <w:rPr>
          <w:b/>
        </w:rPr>
        <w:t>POSSIBLE 2024:</w:t>
      </w:r>
      <w:r>
        <w:t xml:space="preserve"> Studies of Colletotrichum species causing cowpea anthracnose in Nigeria reveal two first-time reports globally — https://doi.org/10.1007/s42161-024-01804-y</w:t>
      </w:r>
    </w:p>
    <w:p>
      <w:pPr/>
      <w:r>
        <w:rPr>
          <w:b/>
        </w:rPr>
        <w:t>Shared claim-specific concepts:</w:t>
      </w:r>
      <w:r>
        <w:t xml:space="preserve"> reveal, first, time, species, across; EU scope not established. This is a provisional connection, not an outcome finding.</w:t>
      </w:r>
    </w:p>
    <w:p>
      <w:pPr>
        <w:pStyle w:val="SourceNote"/>
      </w:pPr>
      <w:r>
        <w:rPr>
          <w:b/>
        </w:rPr>
        <w:t>Available abstract (not full text):</w:t>
      </w:r>
      <w:r>
        <w:t xml:space="preserve"> Abstract Cowpea (Vigna unguiculata (L.) Walp.) is an important multipurpose crop in various countries in sub-Saharan Africa. However, cowpea production is affected by cowpea anthracnose disease (CAD). In Nigeria, Colletotrichum lindemuthianum and C. destructivum have been described as causal agents of CAD based on morphological features. Such characterization is unreliable because many similarities among and within Colletotrichum spp. exist. In the current study, Colletotrichum spp. were isolated from leaves showing CAD symptoms collected in farmers’ fields across four states in Nigeria. Isolates were characterized using morphological keys, severity scores in detached leaf assays, and sequencing of the ITS, ACT, GADPH, TUB, ApMat, and CAL genes. Two species, C. chrysophilum and C. siamense, were identified after comparing multigene sequences. Morphological characteristics and disease symptoms were very similar for both species. However, severity scores varied among and within species. Both C. chrysophilum and C. siamense are reported for the first time as causal agents of CAD across the globe. The accurate diagnosis of organisms causing CAD in the studied region will allow developing effective management strategies.</w:t>
      </w:r>
    </w:p>
    <w:p>
      <w:pPr/>
      <w:r>
        <w:rPr>
          <w:b/>
        </w:rPr>
        <w:t>POSSIBLE 2023:</w:t>
      </w:r>
      <w:r>
        <w:t xml:space="preserve"> The Impacts of a Weakened Atlantic Meridional Overturning Circulation on ENSO in a Warmer Climate — https://doi.org/10.1029/2023gl103025</w:t>
      </w:r>
    </w:p>
    <w:p>
      <w:pPr/>
      <w:r>
        <w:rPr>
          <w:b/>
        </w:rPr>
        <w:t>Shared claim-specific concepts:</w:t>
      </w:r>
      <w:r>
        <w:t xml:space="preserve"> first, impacts, warming, atmospheric, induce; EU scope not established. This is a provisional connection, not an outcome finding.</w:t>
      </w:r>
    </w:p>
    <w:p>
      <w:pPr>
        <w:pStyle w:val="SourceNote"/>
      </w:pPr>
      <w:r>
        <w:rPr>
          <w:b/>
        </w:rPr>
        <w:t>Available abstract (not full text):</w:t>
      </w:r>
      <w:r>
        <w:t xml:space="preserve"> Abstract This study quantifies the impacts of the Atlantic Meridional Overturning Circulation (AMOC) on the El Niño–Southern Oscillation (ENSO) under anthropogenic warming by comparing climate change model simulations with declining and fixed strengths of the overturning. After the 1980s, a weakened AMOC is shown to reduce the strength of the annual cycle of sea surface temperature (SST) in the eastern equatorial Pacific and induce anomalous cross‐equatorial northerly winds there, which strengthens ENSO variability by about 11%. An analysis of the Bjerknes stability index reveals that this intensification of ENSO results mainly from enhanced Ekman upwelling feedback due to amplified atmospheric wind response to SST anomalies and oceanic upwelling response to equatorial wind stress anomalies. The weakened AMOC also promotes the occurrence of Central Pacific El Niño events and reduces ENSO skewness. These AMOC impacts on ENSO magnitude and complexity throughout the twenty‐first century are however smaller than ENSO variations expected from internal climate variability.</w:t>
      </w:r>
    </w:p>
    <w:p>
      <w:pPr/>
      <w:r>
        <w:rPr>
          <w:b/>
        </w:rPr>
        <w:t>POSSIBLE 2023:</w:t>
      </w:r>
      <w:r>
        <w:t xml:space="preserve"> First passage time analysis of spatial mutation patterns reveals sub-clonal evolutionary dynamics in colorectal cancer — https://doi.org/10.1371/journal.pcbi.1010952</w:t>
      </w:r>
    </w:p>
    <w:p>
      <w:pPr/>
      <w:r>
        <w:rPr>
          <w:b/>
        </w:rPr>
        <w:t>Shared claim-specific concepts:</w:t>
      </w:r>
      <w:r>
        <w:t xml:space="preserve"> first, time, consistent, across; EU scope not established. This is a provisional connection, not an outcome finding.</w:t>
      </w:r>
    </w:p>
    <w:p>
      <w:pPr>
        <w:pStyle w:val="SourceNote"/>
      </w:pPr>
      <w:r>
        <w:rPr>
          <w:b/>
        </w:rPr>
        <w:t>Available abstract (not full text):</w:t>
      </w:r>
      <w:r>
        <w:t xml:space="preserve"> The signature of early cancer dynamics on the spatial arrangement of tumour cells is poorly understood, and yet could encode information about how sub-clones grew within the expanding tumour. Novel methods of quantifying spatial tumour data at the cellular scale are required to link evolutionary dynamics to the resulting spatial architecture of the tumour. Here, we propose a framework using first passage times of random walks to quantify the complex spatial patterns of tumour cell population mixing. First, using a simple model of cell mixing we demonstrate how first passage time statistics can distinguish between different pattern structures. We then apply our method to simulated patterns of mutated and non-mutated tumour cell population mixing, generated using an agent-based model of expanding tumours, to explore how first passage times reflect mutant cell replicative advantage, time of emergence and strength of cell pushing. Finally, we explore applications to experimentally measured human colorectal cancer, and estimate parameters of early sub-clonal dynamics using our spatial computational model. We infer a wide range of sub-clonal dynamics, with mutant cell division rates varying between 1 and 4 times the rate of non-mutated cells across our sample set. Some mutated sub-clones emerged after as few as 100 non-mutant cell divisions, and others only after 50,000 divisions. Th</w:t>
      </w:r>
    </w:p>
    <w:p>
      <w:pPr/>
      <w:r>
        <w:rPr>
          <w:b/>
        </w:rPr>
        <w:t>POSSIBLE 2022:</w:t>
      </w:r>
      <w:r>
        <w:t xml:space="preserve"> The Details of Limb Brightening Reveal the Structure of the Base of the Jet in M87 for the First Time — https://doi.org/10.3847/1538-4357/ac82f1</w:t>
      </w:r>
    </w:p>
    <w:p>
      <w:pPr/>
      <w:r>
        <w:rPr>
          <w:b/>
        </w:rPr>
        <w:t>Shared claim-specific concepts:</w:t>
      </w:r>
      <w:r>
        <w:t xml:space="preserve"> reveal, first, time; EU scope not established. This is a provisional connection, not an outcome finding.</w:t>
      </w:r>
    </w:p>
    <w:p>
      <w:pPr>
        <w:pStyle w:val="SourceNote"/>
      </w:pPr>
      <w:r>
        <w:rPr>
          <w:b/>
        </w:rPr>
        <w:t>Available abstract (not full text):</w:t>
      </w:r>
      <w:r>
        <w:t xml:space="preserve"> Abstract It has become commonplace in astronomy to describe the transverse coarse structure of jets in loosely defined terms such as “sheath” and “spine” based on discussions of parsec scale properties. But, the applicability, dimension, and prominence of these features on sub-light-year scales has previously been unconstrained by observation. The first direct evidence of jet structure near the source in M87 is extreme limb brightening (a double-rail morphology), 0.3–0.6 mas from the source, which is prominent in observations with high resolution and sensitivity. Intensity crosscuts of these images provide three strong, interdependent constraints on the geometry responsible for the double-rail morphology: the rail to rail separation, the peak to trough intensity ratio, and the rail widths. Analyzing these constraints indicates that half or more of the jet volume resides in a thick-walled, tubular, mildly relativistic, protonic jet only ∼0.25 lt-yr (or ∼300 M, where M is the central black hole mass in geometrized units) from the source. By contrast, the Event Horizon Telescope Collaboration interprets their observations with the aid of general relativistic magnetohydrodynamic simulations that produce an invisible (by construction) jet with a surrounding luminous, thin sheath. Yet, it is shown that synthetic images of simulated jets are center brightened 0.3–0.6 mas from the sour</w:t>
      </w:r>
    </w:p>
    <w:p>
      <w:pPr/>
      <w:r>
        <w:rPr>
          <w:b/>
        </w:rPr>
        <w:t>POSSIBLE 2022:</w:t>
      </w:r>
      <w:r>
        <w:t xml:space="preserve"> Reflections from graduate student instructors on their first time teaching reveal structural and individual challenges — https://doi.org/10.56230/osotl.44</w:t>
      </w:r>
    </w:p>
    <w:p>
      <w:pPr/>
      <w:r>
        <w:rPr>
          <w:b/>
        </w:rPr>
        <w:t>Shared claim-specific concepts:</w:t>
      </w:r>
      <w:r>
        <w:t xml:space="preserve"> reveal, first, time, consistent; EU scope not established. This is a provisional connection, not an outcome finding.</w:t>
      </w:r>
    </w:p>
    <w:p>
      <w:pPr>
        <w:pStyle w:val="SourceNote"/>
      </w:pPr>
      <w:r>
        <w:rPr>
          <w:b/>
        </w:rPr>
        <w:t>Available abstract (not full text):</w:t>
      </w:r>
      <w:r>
        <w:t xml:space="preserve"> Graduate student instructors occupy a unique ‘liminal space’ as trainees in and instructors of their discipline. While research has explored challenges graduate students face while teaching, there is limited exploration of the challenges graduate students face that transcend disciplinary boundaries while preparing for and teaching their first undergraduate class. This qualitative study asked graduate students to reflect on the challenges and surprises they encountered while preparing for and teaching their first undergraduate class. Our findings indicate that consistent with previous literature, most graduate student pedagogical training is not sufficient for preparing graduate student instructors and many of the challenges they encounter are the result of a lack of support and prioritization of pedagogy in graduate training. We anchor these findings in a discussion of structural barriers to effective pedagogical training in graduate school and a brief review of model graduate pedagogical training programs.</w:t>
      </w:r>
    </w:p>
    <w:p>
      <w:pPr/>
      <w:r>
        <w:rPr>
          <w:b/>
        </w:rPr>
        <w:t>POSSIBLE 2022:</w:t>
      </w:r>
      <w:r>
        <w:t xml:space="preserve"> Impacts of Global Climate Warming on Meteorological and Hydrological Droughts and Their Propagations — https://doi.org/10.1029/2021ef002542</w:t>
      </w:r>
    </w:p>
    <w:p>
      <w:pPr/>
      <w:r>
        <w:rPr>
          <w:b/>
        </w:rPr>
        <w:t>Shared claim-specific concepts:</w:t>
      </w:r>
      <w:r>
        <w:t xml:space="preserve"> first, impacts, warming; EU scope not established. This is a provisional connection, not an outcome finding.</w:t>
      </w:r>
    </w:p>
    <w:p>
      <w:pPr>
        <w:pStyle w:val="SourceNote"/>
      </w:pPr>
      <w:r>
        <w:rPr>
          <w:b/>
        </w:rPr>
        <w:t>Available abstract (not full text):</w:t>
      </w:r>
      <w:r>
        <w:t xml:space="preserve"> Abstract Meteorological to hydrological drought propagation has been widely studied to reflect the relationship between these drought categories and better understand drought mechanisms. However, global warming may alter the drought propagation features, which are not fully understood. This study aims to investigate changes in meteorological and hydrological drought conditions, especially their propagation features in 1.5–3.0°C warmer climates for 8,655 watersheds globally. First, the three‐month scale standardized precipitation index and the standardized runoff index are calculated based on the precipitation simulated by the 15 global climate models and the runoff simulated by the four hydrological models, respectively. Drought events are then identified using the run theory, followed by the calculation of drought propagation features (i.e., pooling, lag, and lengthening) for matched meteorological and hydrological droughts. As a result, both meteorological and hydrological drought conditions (i.e., duration and severity) would relieve in warmer climates due to increased precipitation for regions excluding Western North America, South America, the Mediterranean, Southern Africa, East Asia, and Australia. However, the drought conditions would be more severe during drought propagation from meteorological to hydrological droughts over most regions. During drought propagation, the</w:t>
      </w:r>
    </w:p>
    <w:p>
      <w:pPr/>
      <w:r>
        <w:rPr>
          <w:b/>
        </w:rPr>
        <w:t>POSSIBLE 2022:</w:t>
      </w:r>
      <w:r>
        <w:t xml:space="preserve"> Target‐enrichment sequencing reveals for the first time a well‐resolved phylogeny of the core Bromelioideae (family Bromeliaceae) — https://doi.org/10.1002/tax.12831</w:t>
      </w:r>
    </w:p>
    <w:p>
      <w:pPr/>
      <w:r>
        <w:rPr>
          <w:b/>
        </w:rPr>
        <w:t>Shared claim-specific concepts:</w:t>
      </w:r>
      <w:r>
        <w:t xml:space="preserve"> first, time, species; EU scope not established. This is a provisional connection, not an outcome finding.</w:t>
      </w:r>
    </w:p>
    <w:p>
      <w:pPr>
        <w:pStyle w:val="SourceNote"/>
      </w:pPr>
      <w:r>
        <w:rPr>
          <w:b/>
        </w:rPr>
        <w:t>Available abstract (not full text):</w:t>
      </w:r>
      <w:r>
        <w:t xml:space="preserve"> Abstract A phylogenomic analysis of the so far phylogenetically unresolved subfamily Bromelioideae (Bromeliaceae) was performed to infer species relationships as the basis for future taxonomic treatment, stabilization of generic concept, and further analyses of evolution and biogeography of the subfamily. A target‐enrichment approach was chosen, using the Angiosperms353 v.4 kit RNA‐baits and including 86 Bromelioideae species representing previously identified major evolutionary lineages. Phylogenetic analyses were based on 125 target nuclear loci, assembled off‐target plastome as well as mitogenome reads. A Bromelioideae phylogeny with a mostly well‐resolved backbone is provided based on nuclear (194 kbp), plastome (109 kbp), and mitogenome data (34 kbp). For the nuclear markers, a coalescent‐based analysis of single‐locus gene trees was performed as well as a supermatrix analysis of concatenated gene alignments. Nuclear and plastome datasets provide well‐resolved trees, which showed only minor topological incongruences. The mitogenome tree is not sufficiently resolved. A total of 26 well‐supported clades were identified. The genera Aechmea, Canistrum, Hohenbergia, Neoregelia, and Quesnelia were revealed polyphyletic. In core Bromelioideae, Acanthostachys is sister to the remainder. Among the 26 recognized clades, 12 correspond with currently employed taxonomic concepts. Hence</w:t>
      </w:r>
    </w:p>
    <w:p>
      <w:pPr/>
      <w:r>
        <w:rPr>
          <w:b/>
        </w:rPr>
        <w:t>POSSIBLE 2021:</w:t>
      </w:r>
      <w:r>
        <w:t xml:space="preserve"> Thermal flight performance reveals impact of warming on bumblebee foraging potential — https://doi.org/10.1111/1365-2435.13887</w:t>
      </w:r>
    </w:p>
    <w:p>
      <w:pPr/>
      <w:r>
        <w:rPr>
          <w:b/>
        </w:rPr>
        <w:t>Shared claim-specific concepts:</w:t>
      </w:r>
      <w:r>
        <w:t xml:space="preserve"> warming, species, across; EU scope not established. This is a provisional connection, not an outcome finding.</w:t>
      </w:r>
    </w:p>
    <w:p>
      <w:pPr>
        <w:pStyle w:val="SourceNote"/>
      </w:pPr>
      <w:r>
        <w:rPr>
          <w:b/>
        </w:rPr>
        <w:t>Available abstract (not full text):</w:t>
      </w:r>
      <w:r>
        <w:t xml:space="preserve"> Abstract The effects of environmental temperature on components of insect flight determine life‐history traits, fitness, adaptability and, ultimately, organism ecosystem functional roles. Despite the crucial role of flying insects across landscapes, our understanding of how temperature affects insect flight performance remains limited. Many insect pollinators are considered under threat from climatic warming. Quantifying the relationship between temperature and behavioural performance traits allows us to understand where species are operating in respect to their thermal limits, helping predict responses to projected temperature increases and/or erratic weather events. Using a tethered flight mill, we quantify how flight performance of a widespread bumblebee, Bombus terrestris, varies over a temperature range (12–30℃). Given that body mass constrains insect mobility and behaviour, bumblebees represent a useful system to study temperature‐mediated size dependence of flight performance owing to the large intra‐colony variation in worker body size they exhibit. Workers struggled to fly over a few hundred metres at the lowest tested temperature of 12℃; however, flight endurance increased as temperatures rose, peaking around 25℃ after which it declined. Our findings further revealed variation in flight capacity across the workforce, with larger workers flying further, longer, and fas</w:t>
      </w:r>
    </w:p>
    <w:p>
      <w:pPr>
        <w:pStyle w:val="Heading2"/>
      </w:pPr>
      <w:r>
        <w:t>970. A history of futures: A review of scenario use in water policy studies in the Netherlands</w:t>
      </w:r>
    </w:p>
    <w:p>
      <w:pPr>
        <w:pStyle w:val="SourceNote"/>
      </w:pPr>
      <w:r>
        <w:rPr>
          <w:b/>
        </w:rPr>
        <w:t>Original source (2012):</w:t>
      </w:r>
      <w:r>
        <w:t xml:space="preserve"> https://doi.org/10.1016/j.envsci.2012.03.002</w:t>
      </w:r>
    </w:p>
    <w:p>
      <w:pPr/>
      <w:r>
        <w:t>Original wording (abstract; indexed_source_text_not_full_document_verified): Based on two criteria, 'Decision robustness' and 'Learning success', we conclude that (1) the possibilities for robust decisionmaking increased through a paradigm shift from predicting to exploring futures, but the scenario method is not yet fully exploited for decisionmaking under uncertainty; and (2) the scenarios enabled learning about possible impacts of developments and effectiveness of policy options.</w:t>
      </w:r>
    </w:p>
    <w:p>
      <w:pPr/>
      <w:r>
        <w:rPr>
          <w:b/>
        </w:rPr>
        <w:t>POSSIBLE 2025:</w:t>
      </w:r>
      <w:r>
        <w:t xml:space="preserve"> Lyme Borreliosis Incidence Across Europe, 2015–2023: A Surveillance-Based Review and Analysis — https://doi.org/10.1177/15303667251363125</w:t>
      </w:r>
    </w:p>
    <w:p>
      <w:pPr/>
      <w:r>
        <w:rPr>
          <w:b/>
        </w:rPr>
        <w:t>Shared claim-specific concepts:</w:t>
      </w:r>
      <w:r>
        <w:t xml:space="preserve"> based, two, criteria, increased, but; EU scope visible. This is a provisional connection, not an outcome finding.</w:t>
      </w:r>
    </w:p>
    <w:p>
      <w:pPr>
        <w:pStyle w:val="SourceNote"/>
      </w:pPr>
      <w:r>
        <w:rPr>
          <w:b/>
        </w:rPr>
        <w:t>Available abstract (not full text):</w:t>
      </w:r>
      <w:r>
        <w:t xml:space="preserve"> Background: Lyme borreliosis (LB) is the most common tick-borne disease in Europe. Incidence is increasing partly due to climate change and changing human behaviors. This review compiled updated national European LB surveillance data to assess recent incidence trends from 2015 to 2023. Methods: Publicly available LB surveillance data sources were identified for 29 European countries. Cases were collected from reports and dashboards. Estimates of population-based incidence were calculated. Countries were categorized based on their case classification criteria and geographic region. Subnational regions were classified as high-incidence areas if they reported ≥10 cases per 100,000 population per year (PPY) over a three-year period. The percentage of people residing in these high-incidence regions was calculated. Results: An average of 132,000 LB cases were reported to surveillance systems annually. Countries that included both erythema migrans and laboratory-confirmed LB cases in their reporting had the highest incidence rates—particularly Estonia, Finland, and Slovenia, exceeding 100 cases per 100,000 PPY. Overall, variation of incidence at the subnational level was observed, showing incidence at the national level can mask subnational differences in rates. Temporary decreases in incidence were observed during 2019–2021, but incidence increased from 2021 to 2023. A minimum of 223</w:t>
      </w:r>
    </w:p>
    <w:p>
      <w:pPr/>
      <w:r>
        <w:rPr>
          <w:b/>
        </w:rPr>
        <w:t>POSSIBLE 2025:</w:t>
      </w:r>
      <w:r>
        <w:t xml:space="preserve"> Proposal for revised criteria for daylight provision in the European daylight standard based on calculations for Swedish multifamily residential buildings — https://doi.org/10.1177/14771535241306970</w:t>
      </w:r>
    </w:p>
    <w:p>
      <w:pPr/>
      <w:r>
        <w:rPr>
          <w:b/>
        </w:rPr>
        <w:t>Shared claim-specific concepts:</w:t>
      </w:r>
      <w:r>
        <w:t xml:space="preserve"> based, two, criteria; EU scope visible. This is a provisional connection, not an outcome finding.</w:t>
      </w:r>
    </w:p>
    <w:p>
      <w:pPr>
        <w:pStyle w:val="SourceNote"/>
      </w:pPr>
      <w:r>
        <w:rPr>
          <w:b/>
        </w:rPr>
        <w:t>Available abstract (not full text):</w:t>
      </w:r>
      <w:r>
        <w:t xml:space="preserve"> The European Standard EN 17037 was first introduced in 2018 with the aim of encouraging building designers to ensure adequate daylight in buildings. Experience has shown that the standard’s criteria for daylight provision are generally perceived to be too challenging, and this in turn has hindered its implementation in national legislations. This paper proposes a revised illuminance-based criteria for daylight provision using the specific case of regularly occupied rooms in multifamily Swedish residential buildings as an example. In total, 3562 rooms representing typical Swedish residential design are assessed. Two sets of criteria for dwellings are proposed; one based on a fixed illuminance, another based on a fixed area fraction. Both have three levels of ambition, in which the lowest would result in approximately two-thirds of the investigated Swedish dwellings reaching compliance. This is the same compliance rate as for the current national legislation. The implications of three proposed criteria on residential design are also discussed. While results are given for the Swedish context, the proposed criteria could be generalized for use in other European countries. The intention of this proposal is to allow for a wider application of the daylight standard within residential construction across Europe.</w:t>
      </w:r>
    </w:p>
    <w:p>
      <w:pPr/>
      <w:r>
        <w:rPr>
          <w:b/>
        </w:rPr>
        <w:t>POSSIBLE 2024:</w:t>
      </w:r>
      <w:r>
        <w:t xml:space="preserve"> Federated Learning for Generalization, Robustness, Fairness: A Survey and Benchmark — https://doi.org/10.1109/tpami.2024.3418862</w:t>
      </w:r>
    </w:p>
    <w:p>
      <w:pPr/>
      <w:r>
        <w:rPr>
          <w:b/>
        </w:rPr>
        <w:t>Shared claim-specific concepts:</w:t>
      </w:r>
      <w:r>
        <w:t xml:space="preserve"> robustness, learning, paradigm; EU scope not established. This is a provisional connection, not an outcome finding.</w:t>
      </w:r>
    </w:p>
    <w:p>
      <w:pPr>
        <w:pStyle w:val="SourceNote"/>
      </w:pPr>
      <w:r>
        <w:rPr>
          <w:b/>
        </w:rPr>
        <w:t>Available abstract (not full text):</w:t>
      </w:r>
      <w:r>
        <w:t xml:space="preserve"> Federated learning has emerged as a promising paradigm for privacy-preserving collaboration among different parties. Recently, with the popularity of federated learning, an influx of approaches have delivered towards different realistic challenges. In this survey, we provide a systematic overview of the important and recent developments of research on federated learning. First, we introduce the study history and terminology definition of this area. Then, we comprehensively review three basic lines of research: generalization, robustness, and fairness, by introducing their respective background concepts, task settings, and main challenges. We also offer a detailed overview of representative literature on both methods and datasets. We further benchmark the reviewed methods on several well-known datasets. Finally, we point out several open issues in this field and suggest opportunities for further research.</w:t>
      </w:r>
    </w:p>
    <w:p>
      <w:pPr/>
      <w:r>
        <w:rPr>
          <w:b/>
        </w:rPr>
        <w:t>POSSIBLE 2024:</w:t>
      </w:r>
      <w:r>
        <w:t xml:space="preserve"> Robust two-qubit gate with reinforcement learning and dropout — https://doi.org/10.1103/physreva.110.032614</w:t>
      </w:r>
    </w:p>
    <w:p>
      <w:pPr/>
      <w:r>
        <w:rPr>
          <w:b/>
        </w:rPr>
        <w:t>Shared claim-specific concepts:</w:t>
      </w:r>
      <w:r>
        <w:t xml:space="preserve"> learning, robust, method; EU scope not established. This is a provisional connection, not an outcome finding.</w:t>
      </w:r>
    </w:p>
    <w:p>
      <w:pPr>
        <w:pStyle w:val="SourceNote"/>
      </w:pPr>
      <w:r>
        <w:rPr>
          <w:b/>
        </w:rPr>
        <w:t>Available abstract (not full text):</w:t>
      </w:r>
      <w:r>
        <w:t xml:space="preserve"> In the realm of quantum control, reinforcement learning, a prominent branch of machine learning, emerges as a competitive candidate for computer-assisted optimal experiment design. This paper investigates the extent to which guidance from human experts is necessary for effectively implementing reinforcement learning in the design of quantum control protocols. Specifically, our focus lies on engineering a robust two-qubit gate, utilizing a combination of analytical solutions as prior knowledge and techniques from computer science. Through thorough benchmarking of various models, we identify dropout---a widely used method for mitigating overfitting in machine learning---as a particularly robust approach. Our findings demonstrate the potential of integrating computer science concepts to propel the development of advanced quantum technologies.</w:t>
      </w:r>
    </w:p>
    <w:p>
      <w:pPr/>
      <w:r>
        <w:rPr>
          <w:b/>
        </w:rPr>
        <w:t>POSSIBLE 2024:</w:t>
      </w:r>
      <w:r>
        <w:t xml:space="preserve"> Disparities of Central and Eastern European Countries of European Union in innovation potential: A multi-criteria assessment — https://doi.org/10.1016/j.joitmc.2024.100282</w:t>
      </w:r>
    </w:p>
    <w:p>
      <w:pPr/>
      <w:r>
        <w:rPr>
          <w:b/>
        </w:rPr>
        <w:t>Shared claim-specific concepts:</w:t>
      </w:r>
      <w:r>
        <w:t xml:space="preserve"> based, two, criteria, method; EU scope visible. This is a provisional connection, not an outcome finding.</w:t>
      </w:r>
    </w:p>
    <w:p>
      <w:pPr>
        <w:pStyle w:val="SourceNote"/>
      </w:pPr>
      <w:r>
        <w:rPr>
          <w:b/>
        </w:rPr>
        <w:t>Available abstract (not full text):</w:t>
      </w:r>
      <w:r>
        <w:t xml:space="preserve"> The primary objective of the article is to evaluate the innovation potential of Central and Eastern European Union countries. The Technique for Order of Preference by Similarity to Ideal Solution method was employed to assess and rank this potential. The research was based on 10 indicators that characterize the main areas related to innovation, namely intellectual capital (as a measure of social innovative capacity), financial capital (as a measure of the potential for financing research and development) as well as research and innovation activities. Three objective approaches were used to calculate weights of these evaluation criteria (in the TOPSIS method): Shanon-Entropy, criteria importance through intercriteria correlation and equal weights. As a evaluate of the level of innovation potential of studied CEE countries between 2013-2022, the determined values of the Innovation Potential Index were used to evaluate the studied countries and divide them into four groups. With the use of the two non-parametric test, the relationships of this index with selected parameters were also measured. The research results show that the innovation potential level of CEE countries is highly differentiated. Slovenia, the Czech Republic and Estonia, countries investing in R&amp;D and social development, were found to have a high level of innovation. The remaining countries need to take more decis</w:t>
      </w:r>
    </w:p>
    <w:p>
      <w:pPr/>
      <w:r>
        <w:rPr>
          <w:b/>
        </w:rPr>
        <w:t>POSSIBLE 2024:</w:t>
      </w:r>
      <w:r>
        <w:t xml:space="preserve"> Generalizability and robustness evaluation of attribute-based zero-shot learning — https://doi.org/10.1016/j.neunet.2024.106278</w:t>
      </w:r>
    </w:p>
    <w:p>
      <w:pPr/>
      <w:r>
        <w:rPr>
          <w:b/>
        </w:rPr>
        <w:t>Shared claim-specific concepts:</w:t>
      </w:r>
      <w:r>
        <w:t xml:space="preserve"> based, robustness, learning; EU scope not established. This is a provisional connection, not an outcome finding.</w:t>
      </w:r>
    </w:p>
    <w:p>
      <w:pPr>
        <w:pStyle w:val="SourceNote"/>
      </w:pPr>
      <w:r>
        <w:rPr>
          <w:b/>
        </w:rPr>
        <w:t>Available abstract (not full text):</w:t>
      </w:r>
      <w:r>
        <w:t xml:space="preserve"> In the field of deep learning, large quantities of data are typically required to effectively train models. This challenge has given rise to techniques like zero-shot learning (ZSL), which trains models on a set of "seen" classes and evaluates them on a set of "unseen" classes. Although ZSL has shown considerable potential, particularly with the employment of generative methods, its generalizability to real-world scenarios remains uncertain. The hypothesis of this work is that the performance of ZSL models is systematically influenced by the chosen "splits"; in particular, the statistical properties of the classes and attributes used in training. In this paper, we test this hypothesis by introducing the concepts of generalizability and robustness in attribute-based ZSL and carry out a variety of experiments to stress-test ZSL models against different splits. Our aim is to lay the groundwork for future research on ZSL models' generalizability, robustness, and practical applications. We evaluate the accuracy of state-of-the-art models on benchmark datasets and identify consistent trends in generalizability and robustness. We analyze how these properties vary based on the dataset type, differentiating between coarse- and fine-grained datasets, and our findings indicate significant room for improvement in both generalizability and robustness. Furthermore, our results demonstrate th</w:t>
      </w:r>
    </w:p>
    <w:p>
      <w:pPr/>
      <w:r>
        <w:rPr>
          <w:b/>
        </w:rPr>
        <w:t>POSSIBLE 2024:</w:t>
      </w:r>
      <w:r>
        <w:t xml:space="preserve"> ProcSim: Proxy-based Confidence for Robust Similarity Learning — https://doi.org/10.1109/wacv57701.2024.00134</w:t>
      </w:r>
    </w:p>
    <w:p>
      <w:pPr/>
      <w:r>
        <w:rPr>
          <w:b/>
        </w:rPr>
        <w:t>Shared claim-specific concepts:</w:t>
      </w:r>
      <w:r>
        <w:t xml:space="preserve"> learning, robust, method; EU scope not established. This is a provisional connection, not an outcome finding.</w:t>
      </w:r>
    </w:p>
    <w:p>
      <w:pPr>
        <w:pStyle w:val="SourceNote"/>
      </w:pPr>
      <w:r>
        <w:rPr>
          <w:b/>
        </w:rPr>
        <w:t>Available abstract (not full text):</w:t>
      </w:r>
      <w:r>
        <w:t xml:space="preserve"> Deep Metric Learning (DML) methods aim at learning an embedding space in which distances are closely related to the inherent semantic similarity of the inputs. Previous studies have shown that popular benchmark datasets often contain numerous wrong labels, and DML methods are susceptible to them. Intending to study the effect of realistic noise, we create an ontology of the classes in a dataset and use it to simulate semantically coherent labeling mistakes. To train robust DML models, we propose ProcSim, a simple framework that assigns a confidence score to each sample using the normalized distance to its class representative. The experimental results show that the proposed method achieves state-of-the-art performance on the DML benchmark datasets injected with uniform and the proposed semantically coherent noise.</w:t>
      </w:r>
    </w:p>
    <w:p>
      <w:pPr/>
      <w:r>
        <w:rPr>
          <w:b/>
        </w:rPr>
        <w:t>POSSIBLE 2024:</w:t>
      </w:r>
      <w:r>
        <w:t xml:space="preserve"> RIME: Robust Preference-based Reinforcement Learning with Noisy Preferences — https://doi.org/10.48550/arxiv.2402.17257</w:t>
      </w:r>
    </w:p>
    <w:p>
      <w:pPr/>
      <w:r>
        <w:rPr>
          <w:b/>
        </w:rPr>
        <w:t>Shared claim-specific concepts:</w:t>
      </w:r>
      <w:r>
        <w:t xml:space="preserve"> robustness, learning, robust, method; EU scope not established. This is a provisional connection, not an outcome finding.</w:t>
      </w:r>
    </w:p>
    <w:p>
      <w:pPr>
        <w:pStyle w:val="SourceNote"/>
      </w:pPr>
      <w:r>
        <w:rPr>
          <w:b/>
        </w:rPr>
        <w:t>Available abstract (not full text):</w:t>
      </w:r>
      <w:r>
        <w:t xml:space="preserve"> Preference-based Reinforcement Learning (PbRL) circumvents the need for reward engineering by harnessing human preferences as the reward signal. However, current PbRL methods excessively depend on high-quality feedback from domain experts, which results in a lack of robustness. In this paper, we present RIME, a robust PbRL algorithm for effective reward learning from noisy preferences. Our method utilizes a sample selection-based discriminator to dynamically filter out noise and ensure robust training. To counteract the cumulative error stemming from incorrect selection, we suggest a warm start for the reward model, which additionally bridges the performance gap during the transition from pre-training to online training in PbRL. Our experiments on robotic manipulation and locomotion tasks demonstrate that RIME significantly enhances the robustness of the state-of-the-art PbRL method. Code is available at https://github.com/CJReinforce/RIME_ICML2024.</w:t>
      </w:r>
    </w:p>
    <w:p>
      <w:pPr/>
      <w:r>
        <w:rPr>
          <w:b/>
        </w:rPr>
        <w:t>POSSIBLE 2023:</w:t>
      </w:r>
      <w:r>
        <w:t xml:space="preserve"> Assessing the energy security of European Union countries from two perspectives – A new integrated approach based on MCDM methods — https://doi.org/10.1016/j.apenergy.2023.121443</w:t>
      </w:r>
    </w:p>
    <w:p>
      <w:pPr/>
      <w:r>
        <w:rPr>
          <w:b/>
        </w:rPr>
        <w:t>Shared claim-specific concepts:</w:t>
      </w:r>
      <w:r>
        <w:t xml:space="preserve"> based, two, criteria; EU scope visible. This is a provisional connection, not an outcome finding.</w:t>
      </w:r>
    </w:p>
    <w:p>
      <w:pPr>
        <w:pStyle w:val="SourceNote"/>
      </w:pPr>
      <w:r>
        <w:rPr>
          <w:b/>
        </w:rPr>
        <w:t>Available abstract (not full text):</w:t>
      </w:r>
      <w:r>
        <w:t xml:space="preserve"> The subject of this article concerns a crucial issue of energy security in the European Union countries, especially during the war in Ukraine. The paper presents the results of a study aimed at assessing the level of energy security of EU-27 countries from two perspectives (for two variants of analysis). The first variant assesses the level of energy security of EU-27 countries, which is derived from a traditional approach related to the availability of energy sources at affordable prices (energy and economic factors). The second variant assesses the level of energy security from the perspective of sustainable development, the so-called sustainable energy security, which, in addition to energy and economic factors, also takes into account environmental and social factors. The multi-criteria nature of the subject matter undertaken determined the adoption of methodology based on Multiple-criteria decision-making methods (MCDM) for the study. Also, the author's integrated approach based on indicator weighting methods and MCDM methods was used. The CRiteria Importance Through Intercriteria Correlation (CRITIC) and standard deviation (SD) methods were utilized to determine indicator weights, and the Grey relational analysis (GRA) and the Technique for Order of Preference by Similarity to Ideal Solution (TOPSIS) methods were used for the core part of the research. Based on the propos</w:t>
      </w:r>
    </w:p>
    <w:p>
      <w:pPr/>
      <w:r>
        <w:rPr>
          <w:b/>
        </w:rPr>
        <w:t>POSSIBLE 2023:</w:t>
      </w:r>
      <w:r>
        <w:t xml:space="preserve"> ShapleyFL: Robust Federated Learning Based on Shapley Value — https://doi.org/10.1145/3580305.3599500</w:t>
      </w:r>
    </w:p>
    <w:p>
      <w:pPr/>
      <w:r>
        <w:rPr>
          <w:b/>
        </w:rPr>
        <w:t>Shared claim-specific concepts:</w:t>
      </w:r>
      <w:r>
        <w:t xml:space="preserve"> based, robustness, learning, robust, method; EU scope not established. This is a provisional connection, not an outcome finding.</w:t>
      </w:r>
    </w:p>
    <w:p>
      <w:pPr>
        <w:pStyle w:val="SourceNote"/>
      </w:pPr>
      <w:r>
        <w:rPr>
          <w:b/>
        </w:rPr>
        <w:t>Available abstract (not full text):</w:t>
      </w:r>
      <w:r>
        <w:t xml:space="preserve"> Federated Learning (FL) allows clients to form a consortium to train a global model under the orchestration of a central server while keeping data on the local client without sharing it, thus mitigating data privacy issues. However, training a robust global model is challenging since the local data is invisible to the server. The local data of clients are naturally heterogeneous, while some clients can use corrupted data or send malicious updates to interfere with the training process artificially. Meanwhile, communication and computation costs are inevitable challenges in designing a practical FL algorithm. In this paper, to improve the robustness of FL, we propose a Shapley value-inspired adaptive weighting mechanism, which regards the FL training as sequential cooperative games and adjusts clients' weights according to their contributions. We also develop a client sampling strategy based on importance sampling, which can reduce the communication cost by optimizing the variance of the global updates according to the weights of clients. Furthermore, to diminish the computation cost of the server, we propose a weight calculation method by estimating differences between the Shapley value of clients. Our experimental results on several real data sets demonstrate the effectiveness of our approaches.</w:t>
      </w:r>
    </w:p>
    <w:p>
      <w:pPr/>
      <w:r>
        <w:rPr>
          <w:b/>
        </w:rPr>
        <w:t>POSSIBLE 2023:</w:t>
      </w:r>
      <w:r>
        <w:t xml:space="preserve"> Robustness challenges in Reinforcement Learning based time-critical cloud resource scheduling: A Meta-Learning based solution — https://doi.org/10.1016/j.future.2023.03.029</w:t>
      </w:r>
    </w:p>
    <w:p>
      <w:pPr/>
      <w:r>
        <w:rPr>
          <w:b/>
        </w:rPr>
        <w:t>Shared claim-specific concepts:</w:t>
      </w:r>
      <w:r>
        <w:t xml:space="preserve"> based, robustness, learning, robust; EU scope not established. This is a provisional connection, not an outcome finding.</w:t>
      </w:r>
    </w:p>
    <w:p>
      <w:pPr>
        <w:pStyle w:val="SourceNote"/>
      </w:pPr>
      <w:r>
        <w:rPr>
          <w:b/>
        </w:rPr>
        <w:t>Available abstract (not full text):</w:t>
      </w:r>
      <w:r>
        <w:t xml:space="preserve"> Cloud computing attracts increasing attention in processing dynamic computing tasks and automating the software development and operation pipeline. In many cases, the computing tasks have strict deadlines. The cloud resource manager (e.g., orchestrator) effectively manages the resources and provides tasks Quality of Service (QoS). Cloud task scheduling is tricky due to the dynamic nature of task workload and resource availability. Reinforcement Learning (RL) has attracted lots of research attention in scheduling. However, those RL-based approaches suffer from low scheduling performance robustness when the task workload and resource availability change, particularly when handling time-critical tasks. This paper focuses on both challenges of robustness and deadline guarantee among such RL, specifically Deep RL (DRL)-based scheduling approaches. We quantify the robustness measurements as the retraining time and investigate how to improve both robustness and deadline guarantee of DRL-based scheduling. We propose MLR-TC-DRLS, a practical, robust Meta Deep Reinforcement Learning-based scheduling solution to provide time-critical tasks deadline guarantee and fast adaptation under highly dynamic situations. We comprehensively evaluate MLR-TC-DRLS performance against RL-based and RL advanced variants-based scheduling approaches using real-world and synthetic data. The evaluations valida</w:t>
      </w:r>
    </w:p>
    <w:p>
      <w:pPr/>
      <w:r>
        <w:rPr>
          <w:b/>
        </w:rPr>
        <w:t>POSSIBLE 2023:</w:t>
      </w:r>
      <w:r>
        <w:t xml:space="preserve"> Beyond generalization: a theory of robustness in machine learning — https://doi.org/10.1007/s11229-023-04334-9</w:t>
      </w:r>
    </w:p>
    <w:p>
      <w:pPr/>
      <w:r>
        <w:rPr>
          <w:b/>
        </w:rPr>
        <w:t>Shared claim-specific concepts:</w:t>
      </w:r>
      <w:r>
        <w:t xml:space="preserve"> robustness, learning, uncertainty; EU scope not established. This is a provisional connection, not an outcome finding.</w:t>
      </w:r>
    </w:p>
    <w:p>
      <w:pPr>
        <w:pStyle w:val="SourceNote"/>
      </w:pPr>
      <w:r>
        <w:rPr>
          <w:b/>
        </w:rPr>
        <w:t>Available abstract (not full text):</w:t>
      </w:r>
      <w:r>
        <w:t xml:space="preserve"> Abstract The termrobustnessis ubiquitous in modern Machine Learning (ML). However, its meaning varies depending on context and community. Researchers either focus on narrow technical definitions, such as adversarial robustness, natural distribution shifts, and performativity, or they simply leave open what exactly they mean by robustness. In this paper, we provide a conceptual analysis of the termrobustness, with the aim to develop a common language, that allows us to weave together different strands of robustness research. We define robustness as the relative stability of a robustness target with respect to specific interventions on a modifier. Our account captures the various sub-types of robustness that are discussed in the research literature, including robustness to distribution shifts, prediction robustness, or the robustness of algorithmic explanations. Finally, we delineate robustness from adjacent key concepts in ML, such as extrapolation, generalization, and uncertainty, and establish it as an independent epistemic concept.</w:t>
      </w:r>
    </w:p>
    <w:p>
      <w:pPr>
        <w:pStyle w:val="Heading2"/>
      </w:pPr>
      <w:r>
        <w:t>971. After-crisis Scenarios for the European Regions</w:t>
      </w:r>
    </w:p>
    <w:p>
      <w:pPr>
        <w:pStyle w:val="SourceNote"/>
      </w:pPr>
      <w:r>
        <w:rPr>
          <w:b/>
        </w:rPr>
        <w:t>Original source (2012):</w:t>
      </w:r>
      <w:r>
        <w:t xml:space="preserve"> https://doi.org/10.2457/srs.42.3</w:t>
      </w:r>
    </w:p>
    <w:p>
      <w:pPr/>
      <w:r>
        <w:t>Original wording (abstract; indexed_source_text_not_full_document_verified): What is called a “reference scenario” is built under the assumption that there will be a perception that structural changes will happen, that an extrapolation of past trends has no meaning at all, but that policies will not act in an effective way. This scenario will be compared to a second one, called the pro-active scenario, in which changes will be perceived and even anticipated; and to the re-active or defensive one, based on the assumptions that changes are not fully perceived by economic actors.</w:t>
      </w:r>
    </w:p>
    <w:p>
      <w:pPr/>
      <w:r>
        <w:rPr>
          <w:b/>
        </w:rPr>
        <w:t>POSSIBLE 2026:</w:t>
      </w:r>
      <w:r>
        <w:t xml:space="preserve"> The New European Bauhaus Academy: a novel skills, knowledge and innovation platform to boost sustainable construction within the built environment — https://doi.org/10.5281/zenodo.20586709</w:t>
      </w:r>
    </w:p>
    <w:p>
      <w:pPr/>
      <w:r>
        <w:rPr>
          <w:b/>
        </w:rPr>
        <w:t>Shared claim-specific concepts:</w:t>
      </w:r>
      <w:r>
        <w:t xml:space="preserve"> reference, built, all, one; EU scope visible. This is a provisional connection, not an outcome finding.</w:t>
      </w:r>
    </w:p>
    <w:p>
      <w:pPr>
        <w:pStyle w:val="SourceNote"/>
      </w:pPr>
      <w:r>
        <w:rPr>
          <w:b/>
        </w:rPr>
        <w:t>Available abstract (not full text):</w:t>
      </w:r>
      <w:r>
        <w:t xml:space="preserve"> The New European Bauhaus (NEB) is a policy initiative of the European Commission aiming ‘to make the built environment beautiful, sustainable and inclusive’. It has inspired a large grassroots movement: about 2,000 organisations and 500 projects are co-creating and testing new visions and practices, how local neighborhoods, communities, and the built environment at large can become more liveable, affordable, resilient, and sustainable. Through NEB, wood building materials gained a lot of interest by architects, builders and public authorities, being recognized as an aesthetic, healthy material and a decisive lever to decarbonize buildings. A significant bottleneck is the need for skilled workers and educated professionals capable of transforming the construction ecosystem towards a regenerative model. To address this gap, the NEB Academy will establish a European point of reference for knowledge, skills, and innovation in bio-based, circular, and digital solutions for the built environment, providing a full support system for practitioners by integrating different EU funding instruments. The NEBA Alliance project was tasked to set the foundation of the NEB Academy: it launched a European network of 14 organisations in education and training from 11 countries and co-designed a governance structure of 4 regional training hubs under one common umbrella. A series of pilot trainings</w:t>
      </w:r>
    </w:p>
    <w:p>
      <w:pPr/>
      <w:r>
        <w:rPr>
          <w:b/>
        </w:rPr>
        <w:t>POSSIBLE 2026:</w:t>
      </w:r>
      <w:r>
        <w:t xml:space="preserve"> Public perception of dermatologists in Europe — https://openalex.org/W7171337581</w:t>
      </w:r>
    </w:p>
    <w:p>
      <w:pPr/>
      <w:r>
        <w:rPr>
          <w:b/>
        </w:rPr>
        <w:t>Shared claim-specific concepts:</w:t>
      </w:r>
      <w:r>
        <w:t xml:space="preserve"> perception, past, all, second, perceived; EU scope visible. This is a provisional connection, not an outcome finding.</w:t>
      </w:r>
    </w:p>
    <w:p>
      <w:pPr>
        <w:pStyle w:val="SourceNote"/>
      </w:pPr>
      <w:r>
        <w:rPr>
          <w:b/>
        </w:rPr>
        <w:t>Available abstract (not full text):</w:t>
      </w:r>
      <w:r>
        <w:t xml:space="preserve"> Background: The public perception of dermatology has been poorly investigated in Europe. Objective: To determine the general public's perception of dermatologists in Europe. Methods: This multinational, cross-sectional study was conducted within the framework of the EADV population-based survey on the 'Burden of skin diseases in Europe'. Data were collected using a web-based online survey on a representative sample of the general populations aged 18 years or more of 27 European countries. Proportional quota sampling with replacement design was used for each country. Results: A total of 44,689 adult participants responded to the questionnaire, of whom 18,004 visited a dermatologist in the preceding 3 years. The dermatologist was the second most often visited specialist among all medical specialties, with 69.7%, 72.1%, 42.1% and 78.1% of participants in Western Europe (WE), Eastern Europe (EE), Northern Europe (NE) and Southern Europe (SE), respectively, having consulted a dermatologist over the past 24 months. Most participants across all regions agreed that the dermatologist was the first healthcare provider for chronic skin diseases (61.9% in WE, 69.8% in EE, 45.7% in NE and 60.4% in SE) and for skin cancers (65.5% in WE, 67.6% in EE, 42.4% in NE and 63.0% in SE). The five most common reasons for visiting a dermatologist among all participants were: naevi check-up or skin canc</w:t>
      </w:r>
    </w:p>
    <w:p>
      <w:pPr/>
      <w:r>
        <w:rPr>
          <w:b/>
        </w:rPr>
        <w:t>POSSIBLE 2026:</w:t>
      </w:r>
      <w:r>
        <w:t xml:space="preserve"> Alcide De Gasperi and the European Defence Community: Lessons for Today’s Europe — https://doi.org/10.1177/10692509261477264</w:t>
      </w:r>
    </w:p>
    <w:p>
      <w:pPr/>
      <w:r>
        <w:rPr>
          <w:b/>
        </w:rPr>
        <w:t>Shared claim-specific concepts:</w:t>
      </w:r>
      <w:r>
        <w:t xml:space="preserve"> reference, built, but, not; EU scope visible. This is a provisional connection, not an outcome finding.</w:t>
      </w:r>
    </w:p>
    <w:p>
      <w:pPr>
        <w:pStyle w:val="SourceNote"/>
      </w:pPr>
      <w:r>
        <w:rPr>
          <w:b/>
        </w:rPr>
        <w:t>Available abstract (not full text):</w:t>
      </w:r>
      <w:r>
        <w:t xml:space="preserve"> In March 2025, opening a European Parliament debate on defence, Commission President Ursula von der Leyen cited Alcide De Gasperi, recalling that 70 years earlier he had urged Europeans not merely to keep the peace but to build a common defence. The reference was not simply a rhetorical flourish: the collapse of the European Defence Community in 1954 still shapes Europe’s unfinished security architecture. This article traces the European Defence Community from the Pleven Plan (1950) to the rejection of this proposed treaty by the French National Assembly (1954), and reconstructs De Gasperi’s federalist reading of it, embodied in Article 38, which tied military integration to a democratic political community. The article then weighs that vision against what the EU has since built and what is still missing, concluding with three lessons learned from the analysis: this is Europe’s last call for a common defence, unpopular decisions demand courage, and the future lies not in ceding sovereignty but in maintaining it within an association of sovereign states.</w:t>
      </w:r>
    </w:p>
    <w:p>
      <w:pPr/>
      <w:r>
        <w:rPr>
          <w:b/>
        </w:rPr>
        <w:t>POSSIBLE 2026:</w:t>
      </w:r>
      <w:r>
        <w:t xml:space="preserve"> Built environment and childhood obesity: A systematic review of the European literature — https://doi.org/10.29333/jconseph/17944</w:t>
      </w:r>
    </w:p>
    <w:p>
      <w:pPr/>
      <w:r>
        <w:rPr>
          <w:b/>
        </w:rPr>
        <w:t>Shared claim-specific concepts:</w:t>
      </w:r>
      <w:r>
        <w:t xml:space="preserve"> built, all, but, second; EU scope visible. This is a provisional connection, not an outcome finding.</w:t>
      </w:r>
    </w:p>
    <w:p>
      <w:pPr>
        <w:pStyle w:val="SourceNote"/>
      </w:pPr>
      <w:r>
        <w:rPr>
          <w:b/>
        </w:rPr>
        <w:t>Available abstract (not full text):</w:t>
      </w:r>
      <w:r>
        <w:t xml:space="preserve"> Background: Childhood obesity is a major public health issue, identifying pathways to it is crucial. The term “obesogenic environment” describes neighborhood traits linked to higher obesity risk, but it’s unclear which environmental factors increase this risk and which neighborhood changes can improve outcomes. Methods: Articles published between 2000 and June 2024 from PubMed, Cochrane Library, and Web of Science databases conducted in EuropeanUnion countries were included, focusing on children aged 0-18. Results: We found 2,531 articles initially and 1,278 in a second search, with 43 meeting all the criteria. Studies examined green space, air and noise pollution, facility richness, sports facilities, food environment, land-use mix, housing, walkability, street connectivity, and traffic. Only food environment and green space showed associations with childhood obesity, which mostly disappeared after adjusting for individual socioeconomic factors. Other environment variables showed no consistent associations. Further research is needed to understand how neighborhood properties influence childhood obesity.</w:t>
      </w:r>
    </w:p>
    <w:p>
      <w:pPr/>
      <w:r>
        <w:rPr>
          <w:b/>
        </w:rPr>
        <w:t>POSSIBLE 2025:</w:t>
      </w:r>
      <w:r>
        <w:t xml:space="preserve"> Education, perception and the future of European human rights — https://openalex.org/W7111648218</w:t>
      </w:r>
    </w:p>
    <w:p>
      <w:pPr/>
      <w:r>
        <w:rPr>
          <w:b/>
        </w:rPr>
        <w:t>Shared claim-specific concepts:</w:t>
      </w:r>
      <w:r>
        <w:t xml:space="preserve"> perception, act, effective; EU scope visible. This is a provisional connection, not an outcome finding.</w:t>
      </w:r>
    </w:p>
    <w:p>
      <w:pPr>
        <w:pStyle w:val="SourceNote"/>
      </w:pPr>
      <w:r>
        <w:rPr>
          <w:b/>
        </w:rPr>
        <w:t>Available abstract (not full text):</w:t>
      </w:r>
      <w:r>
        <w:t xml:space="preserve"> This chapter explores the evolving relationship between public perception, education, and the future of human rights in Europe. In doing so, it focuses on the United Kingdom (UK), a country with complex and checkered history on human rights. Contrary to widespread belief, survey data indicates that public support for human rights remains robust, in the UK and beyond, despite political rhetoric suggesting otherwise. However, a lack of knowledge and awareness among the general public presents challenges to fostering more vocal and effective advocacy for human rights frameworks, such as the European Convention on Human Rights (ECHR) and the Human Rights Act (HRA) 1998. This chapter argues that education is a critical factor in building positive perceptions of human rights. By increasing public awareness and knowledge, citizens are more likely to support and engage with human rights protections. The study examines the historical and current frameworks of human rights in the UK, the disconnect between political claims and public sentiment, and the impact of media coverage on shaping attitudes. The chapter concludes by recommending that Council of Europe member states, including the UK, must prioritise high-quality human rights education to ensure that future generations understand and uphold these protections. Additionally, it calls for more extensive research into the methods of ef</w:t>
      </w:r>
    </w:p>
    <w:p>
      <w:pPr/>
      <w:r>
        <w:rPr>
          <w:b/>
        </w:rPr>
        <w:t>POSSIBLE 2023:</w:t>
      </w:r>
      <w:r>
        <w:t xml:space="preserve"> Public perception of dermatologists in Europe: Results from a population‐based survey — https://doi.org/10.1111/jdv.18988</w:t>
      </w:r>
    </w:p>
    <w:p>
      <w:pPr/>
      <w:r>
        <w:rPr>
          <w:b/>
        </w:rPr>
        <w:t>Shared claim-specific concepts:</w:t>
      </w:r>
      <w:r>
        <w:t xml:space="preserve"> perception, past, all, second, perceived; EU scope visible. This is a provisional connection, not an outcome finding.</w:t>
      </w:r>
    </w:p>
    <w:p>
      <w:pPr>
        <w:pStyle w:val="SourceNote"/>
      </w:pPr>
      <w:r>
        <w:rPr>
          <w:b/>
        </w:rPr>
        <w:t>Available abstract (not full text):</w:t>
      </w:r>
      <w:r>
        <w:t xml:space="preserve"> BACKGROUND: The public perception of dermatology has been poorly investigated in Europe. OBJECTIVE: To determine the general public's perception of dermatologists in Europe. METHODS: This multinational, cross-sectional study was conducted within the framework of the EADV population-based survey on the 'Burden of skin diseases in Europe'. Data were collected using a web-based online survey on a representative sample of the general populations aged 18 years or more of 27 European countries. Proportional quota sampling with replacement design was used for each country. RESULTS: A total of 44,689 adult participants responded to the questionnaire, of whom 18,004 visited a dermatologist in the preceding 3 years. The dermatologist was the second most often visited specialist among all medical specialties, with 69.7%, 72.1%, 42.1% and 78.1% of participants in Western Europe (WE), Eastern Europe (EE), Northern Europe (NE) and Southern Europe (SE), respectively, having consulted a dermatologist over the past 24 months. Most participants across all regions agreed that the dermatologist was the first healthcare provider for chronic skin diseases (61.9% in WE, 69.8% in EE, 45.7% in NE and 60.4% in SE) and for skin cancers (65.5% in WE, 67.6% in EE, 42.4% in NE and 63.0% in SE). The five most common reasons for visiting a dermatologist among all participants were: naevi check-up or skin canc</w:t>
      </w:r>
    </w:p>
    <w:p>
      <w:pPr/>
      <w:r>
        <w:rPr>
          <w:b/>
        </w:rPr>
        <w:t>POSSIBLE 2023:</w:t>
      </w:r>
      <w:r>
        <w:t xml:space="preserve"> Income inequality in Europe: Reality, perceptions, and hopes — https://doi.org/10.1016/j.resglo.2023.100118</w:t>
      </w:r>
    </w:p>
    <w:p>
      <w:pPr/>
      <w:r>
        <w:rPr>
          <w:b/>
        </w:rPr>
        <w:t>Shared claim-specific concepts:</w:t>
      </w:r>
      <w:r>
        <w:t xml:space="preserve"> perception, all, policies, perceived; EU scope visible. This is a provisional connection, not an outcome finding.</w:t>
      </w:r>
    </w:p>
    <w:p>
      <w:pPr>
        <w:pStyle w:val="SourceNote"/>
      </w:pPr>
      <w:r>
        <w:rPr>
          <w:b/>
        </w:rPr>
        <w:t>Available abstract (not full text):</w:t>
      </w:r>
      <w:r>
        <w:t xml:space="preserve"> Is actual income inequality accurately translated into people’s perceptions, and what are the genuine hopes of citizens? Our contribution offers insights into how the reality and two subjective dimensions of income inequality, namely perceptions, and desires, interact. Using data from the Eurobarometer, we study the main patterns of different ‘types’ of inequality (measured by S80/S20 ratio) in the regions of the EU Member States. Considering the role of attitudes and beliefs, the residents of the same region are typically found to hold a similar perception of how unequal their society is. Moreover, and somewhat surprisingly, the reality is contrary to people’s perception since low (high) actual income inequality in the region is often reflected in its overestimated (underestimated) perception. We also show that perceived, and desired inequality are distinct metrics as commonly applied determinants of perceptions are rather weakly associated with desired inequality, probably due to the normative nature of the latter. The evidence presented here implies that objective measures of income inequality should be used in conjunction with subjective ones to gain a complete picture of the phenomenon. Our findings may assist policy-makers and other interested stakeholders in designing dedicated policies to counteract inequality in all its forms.</w:t>
      </w:r>
    </w:p>
    <w:p>
      <w:pPr/>
      <w:r>
        <w:rPr>
          <w:b/>
        </w:rPr>
        <w:t>POSSIBLE 2022:</w:t>
      </w:r>
      <w:r>
        <w:t xml:space="preserve"> The 2018–2020 Multi‐Year Drought Sets a New Benchmark in Europe — https://doi.org/10.1029/2021ef002394</w:t>
      </w:r>
    </w:p>
    <w:p>
      <w:pPr/>
      <w:r>
        <w:rPr>
          <w:b/>
        </w:rPr>
        <w:t>Shared claim-specific concepts:</w:t>
      </w:r>
      <w:r>
        <w:t xml:space="preserve"> past, but, not, compared; EU scope visible. This is a provisional connection, not an outcome finding.</w:t>
      </w:r>
    </w:p>
    <w:p>
      <w:pPr>
        <w:pStyle w:val="SourceNote"/>
      </w:pPr>
      <w:r>
        <w:rPr>
          <w:b/>
        </w:rPr>
        <w:t>Available abstract (not full text):</w:t>
      </w:r>
      <w:r>
        <w:t xml:space="preserve"> Abstract During the period 2018–2020, Europe experienced a series of hot and dry weather conditions with significant socioeconomic and environmental consequences. Yet, the extremity of these multi‐year dry conditions is not recognized. Here, we provide a comprehensive spatio‐temporal assessment of the drought hazard over Europe by benchmarking past exceptional events during the period from 1766 to 2020. We identified the 2018–2020 drought event as a new benchmark having an unprecedented intensity that persisted for more than 2 years, exhibiting a mean areal coverage of 35.6% and an average duration of 12.2 months. What makes this event truly exceptional compared with past events is its near‐surface air temperature anomaly reaching +2.8 K, which constitutes a further evidence that the ongoing global warming is exacerbating present drought events. Furthermore, future events based on climate model simulations Coupled Model Intercomparison Project v5 suggest that Europe should be prepared for events of comparable intensity as the 2018–2020 event but with durations longer than any of those experienced in the last 250 years. Our study thus emphasizes the urgent need for adaption and mitigation strategies to cope with such multi‐year drought events across Europe.</w:t>
      </w:r>
    </w:p>
    <w:p>
      <w:pPr/>
      <w:r>
        <w:rPr>
          <w:b/>
        </w:rPr>
        <w:t>POSSIBLE 2022:</w:t>
      </w:r>
      <w:r>
        <w:t xml:space="preserve"> Shepherd on Meaning, Reference, and Perception — https://doi.org/10.32881/jomp.234</w:t>
      </w:r>
    </w:p>
    <w:p>
      <w:pPr/>
      <w:r>
        <w:rPr>
          <w:b/>
        </w:rPr>
        <w:t>Shared claim-specific concepts:</w:t>
      </w:r>
      <w:r>
        <w:t xml:space="preserve"> reference, perception, meaning; EU scope not established. This is a provisional connection, not an outcome finding.</w:t>
      </w:r>
    </w:p>
    <w:p>
      <w:pPr>
        <w:pStyle w:val="SourceNote"/>
      </w:pPr>
      <w:r>
        <w:rPr>
          <w:b/>
        </w:rPr>
        <w:t>Available abstract (not full text):</w:t>
      </w:r>
      <w:r>
        <w:t xml:space="preserve"> The aim of this paper is to present an interpretation of Shepherd’s account of our most fundamental cognitive powers, most especially the faculty that Shepherd calls perception, which she claims is a unity of contributions from the understanding and the senses. I find that Shepherd is what we would nowadays call a meaning holist: she holds that the meaning of any natural-kind term is constituted by its place in a system of definitions, which system specifies the causal roles of the objects its terms name. Such an account of meaning raises questions about the contact that such a system of definitions, or conceptual scheme, makes with the world. The natural place to seek answers to these questions is in Shepherd’s account of perception, which I argue Shepherd takes to be our most fundamental cognitive faculty. Our cognitive lives begin with perceptions, representations of objects as the cause of those very perceptions of them. With this interpretation in hand, I draw a contrast between it and Boyle’s and Lolordo’s recent work on Shepherd’s theory of meaning. I argue that for Shepherd truths about the causal powers of objects are analytic, and that the relevant empirical questions answered by science concern whether our conceptual scheme accurately represents the world. Finally, I provide additional support for this interpretation by showing that it comports with Shepherd’s critic</w:t>
      </w:r>
    </w:p>
    <w:p>
      <w:pPr/>
      <w:r>
        <w:rPr>
          <w:b/>
        </w:rPr>
        <w:t>POSSIBLE 2022:</w:t>
      </w:r>
      <w:r>
        <w:t xml:space="preserve"> The Ghetto in European Perception: From Cities to Bodies — https://doi.org/10.1162/pajj_a_00601</w:t>
      </w:r>
    </w:p>
    <w:p>
      <w:pPr/>
      <w:r>
        <w:rPr>
          <w:b/>
        </w:rPr>
        <w:t>Shared claim-specific concepts:</w:t>
      </w:r>
      <w:r>
        <w:t xml:space="preserve"> perception, policies, one; EU scope visible. This is a provisional connection, not an outcome finding.</w:t>
      </w:r>
    </w:p>
    <w:p>
      <w:pPr>
        <w:pStyle w:val="SourceNote"/>
      </w:pPr>
      <w:r>
        <w:rPr>
          <w:b/>
        </w:rPr>
        <w:t>Available abstract (not full text):</w:t>
      </w:r>
      <w:r>
        <w:t xml:space="preserve"> Between 2010 and 2015, the political pressure on European countries reached its peak during the so-called "migrant crisis."At that time, migration was already a highly debated issue due to the permanent population flows from Africa and the Middle East, as well as the silent exodus from the East, due to the collapse of communism and the enlargement of the European Union.Yet it became a more pressing matter following the Arab Spring in 2011.Refugees asking for asylum reached their highest numbers since World War II, and new regulatory frameworks among EU member states became a ground for political negotiations.In the meantime, the world witnessed a number of unprecedented tragedies.In October 2013, three hundred and eighty-six people lost their lives on a boat a few miles from the Lampedusa shore.In April 2015, seven hundred shipwrecked victims were counted in the Sicilian Strait.Further, landed migrants came to face new barriers.Following the first attempts at government aid, some were repatriated, most were temporarily confined in camps, while heated discussions revolved about the shared responsibility of Northern countries concerning the distribution of migrants among member states.The sea interventions, containment strategies, and the strengthening of external borders (alongside the emergence of new internal ones) dominated the transnational debate, impacting a number of nati</w:t>
      </w:r>
    </w:p>
    <w:p>
      <w:pPr/>
      <w:r>
        <w:rPr>
          <w:b/>
        </w:rPr>
        <w:t>POSSIBLE 2021:</w:t>
      </w:r>
      <w:r>
        <w:t xml:space="preserve"> Towards peace in Europe: on legal linguistics, prosperity and European identity – the European Reference Language System for the European Union — https://doi.org/10.1515/ijld-2021-2044</w:t>
      </w:r>
    </w:p>
    <w:p>
      <w:pPr/>
      <w:r>
        <w:rPr>
          <w:b/>
        </w:rPr>
        <w:t>Shared claim-specific concepts:</w:t>
      </w:r>
      <w:r>
        <w:t xml:space="preserve"> reference, all, not, way; EU scope visible. This is a provisional connection, not an outcome finding.</w:t>
      </w:r>
    </w:p>
    <w:p>
      <w:pPr>
        <w:pStyle w:val="SourceNote"/>
      </w:pPr>
      <w:r>
        <w:rPr>
          <w:b/>
        </w:rPr>
        <w:t>Available abstract (not full text):</w:t>
      </w:r>
      <w:r>
        <w:t xml:space="preserve"> Abstract The European Union is a legal community of hundreds of millions of people, established in a single market through European law. This is tied to language and translation into 24 official languages, each with equally authentic status. However, this leads to considerable legal differences between Member States and underscores the dominance of English, at the Court of Justice that of French (monolingualism), both of which have no legal foundation. Rule-of-law order (Rechtsstaatlichkeit) is created by the European Reference Language System (Europäisches Referenzsprachensystem), which is presented here as a tool for the urgently required reform of the language laws in the European Union: Not having a hegemonial focus on a single language (and thus on a single legal world) or on the exclusivity of some few languages, it offers a legal-linguistic basis of communication with all treaty languages of the European Union for a clear European law and prosperity. The official languages of the Member States thus preserve the mother tongue reality of the citizens in the sense of the subsidiarity principle (multilingualism). In this way, the citizens and their Union acquire a legally valid voice and identity. This seems necessary in the face of the present restructuring of the world, in order to maintain peace for the people in Europe and to continue promoting their well-being. The basi</w:t>
      </w:r>
    </w:p>
    <w:p>
      <w:pPr/>
      <w:r>
        <w:rPr>
          <w:b/>
        </w:rPr>
        <w:t>POSSIBLE 2021:</w:t>
      </w:r>
      <w:r>
        <w:t xml:space="preserve"> Common European Framework of Reference (CEFR): A Review on Teachers’ Perception &amp; Plurilingualism — https://doi.org/10.4236/ce.2021.124051</w:t>
      </w:r>
    </w:p>
    <w:p>
      <w:pPr/>
      <w:r>
        <w:rPr>
          <w:b/>
        </w:rPr>
        <w:t>Shared claim-specific concepts:</w:t>
      </w:r>
      <w:r>
        <w:t xml:space="preserve"> reference, there, perception, second; EU scope visible. This is a provisional connection, not an outcome finding.</w:t>
      </w:r>
    </w:p>
    <w:p>
      <w:pPr>
        <w:pStyle w:val="SourceNote"/>
      </w:pPr>
      <w:r>
        <w:rPr>
          <w:b/>
        </w:rPr>
        <w:t>Available abstract (not full text):</w:t>
      </w:r>
      <w:r>
        <w:t xml:space="preserve"> Common Framework of Reference (CEFR) is a document produced by the council of Europe (CoE) to set a standard for teaching and learning English as the Second Language (ESL). Propelled by the need to situate Malaysia English language parallel to the standard of the European countries, the Ministry of Education Malaysia rushed the adaptation of CEFR framework into Malaysia education system. Teachers’ lack of training and understanding onCEFR as well as unsuitable content used in the textbook are among the main challenges faced by teachers to name a few. Nonetheless, the key concept of Plurilingualism which served as the principle in CEFR has been given very minimal focus in the syllabus. Considering Malaysia as a multilingual and multicultural country, there is a potential of English Second Language learners to benefit from the concept of plurilingualism given appropriate training and exposure given to the teachers as the gatekeeper of knowledge and information. In fact, plurilingualism could also be the missing piece that could help aid teachers’ understanding of the framework better.</w:t>
      </w:r>
    </w:p>
    <w:p>
      <w:pPr>
        <w:pStyle w:val="Heading2"/>
      </w:pPr>
      <w:r>
        <w:t>972. An assessment of the impact of climate adaptation measures to reduce flood risk on ecosystem services</w:t>
      </w:r>
    </w:p>
    <w:p>
      <w:pPr>
        <w:pStyle w:val="SourceNote"/>
      </w:pPr>
      <w:r>
        <w:rPr>
          <w:b/>
        </w:rPr>
        <w:t>Original source (2012):</w:t>
      </w:r>
      <w:r>
        <w:t xml:space="preserve"> https://doi.org/10.1007/s10980-012-9715-6</w:t>
      </w:r>
    </w:p>
    <w:p>
      <w:pPr/>
      <w:r>
        <w:t>Original wording (abstract; indexed_source_text_not_full_document_verified): Therefore, it is likely that adaptation measures may result in synergies and trade-offs between a range of ecosystems goods and services. The reference scenario is compared to a policy scenario in which a range of measures is implemented to regulate flood risk and protect soils under conditions of climate change.</w:t>
      </w:r>
    </w:p>
    <w:p>
      <w:pPr/>
      <w:r>
        <w:rPr>
          <w:b/>
        </w:rPr>
        <w:t>POSSIBLE 2024:</w:t>
      </w:r>
      <w:r>
        <w:t xml:space="preserve"> Aneuploidy Can Be an Evolutionary Diversion on the Path to Adaptation — https://doi.org/10.1093/molbev/msae052</w:t>
      </w:r>
    </w:p>
    <w:p>
      <w:pPr/>
      <w:r>
        <w:rPr>
          <w:b/>
        </w:rPr>
        <w:t>Shared claim-specific concepts:</w:t>
      </w:r>
      <w:r>
        <w:t xml:space="preserve"> therefore, likely, adaptation, compared, conditions; EU scope not established. This is a provisional connection, not an outcome finding.</w:t>
      </w:r>
    </w:p>
    <w:p>
      <w:pPr>
        <w:pStyle w:val="SourceNote"/>
      </w:pPr>
      <w:r>
        <w:rPr>
          <w:b/>
        </w:rPr>
        <w:t>Available abstract (not full text):</w:t>
      </w:r>
      <w:r>
        <w:t xml:space="preserve"> Aneuploidy is common in eukaryotes, often leading to decreased fitness. However, evidence from fungi and human tumur cells suggests that specific aneuploidies can be beneficial under stressful conditions and facilitate adaptation. In a previous evolutionary experiment with yeast, populations evolving under heat stress became aneuploid, only to later revert to euploidy after beneficial mutations accumulated. It was therefore suggested that aneuploidy is a "stepping stone" on the path to adaptation. Here, we test this hypothesis. We use Bayesian inference to fit an evolutionary model with both aneuploidy and mutation to the experimental results. We then predict the genotype frequency dynamics during the experiment, demonstrating that most of the evolved euploid population likely did not descend from aneuploid cells, but rather from the euploid wild-type population. Our model shows how the beneficial mutation supply-the product of population size and beneficial mutation rate-determines the evolutionary dynamics: with low supply, much of the evolved population descends from aneuploid cells; but with high supply, beneficial mutations are generated fast enough to outcompete aneuploidy due to its inherent fitness cost. Our results suggest that despite its potential fitness benefits under stress, aneuploidy can be an evolutionary "diversion" rather than a "stepping stone": it can delay</w:t>
      </w:r>
    </w:p>
    <w:p>
      <w:pPr/>
      <w:r>
        <w:rPr>
          <w:b/>
        </w:rPr>
        <w:t>POSSIBLE 2023:</w:t>
      </w:r>
      <w:r>
        <w:t xml:space="preserve"> Environmental effects on genetic variance are likely to constrain adaptation in novel environments — https://doi.org/10.1093/evlett/qrad065</w:t>
      </w:r>
    </w:p>
    <w:p>
      <w:pPr/>
      <w:r>
        <w:rPr>
          <w:b/>
        </w:rPr>
        <w:t>Shared claim-specific concepts:</w:t>
      </w:r>
      <w:r>
        <w:t xml:space="preserve"> likely, adaptation, between, conditions; EU scope not established. This is a provisional connection, not an outcome finding.</w:t>
      </w:r>
    </w:p>
    <w:p>
      <w:pPr>
        <w:pStyle w:val="SourceNote"/>
      </w:pPr>
      <w:r>
        <w:rPr>
          <w:b/>
        </w:rPr>
        <w:t>Available abstract (not full text):</w:t>
      </w:r>
      <w:r>
        <w:t xml:space="preserve"> Abstract Adaptive plasticity allows populations to cope with environmental variation but is expected to fail as conditions become unfamiliar. In novel conditions, populations may instead rely on rapid adaptation to increase fitness and avoid extinction. Adaptation should be fastest when both plasticity and selection occur in directions of the multivariate phenotype that contain abundant genetic variation. However, tests of this prediction from field experiments are rare. Here, we quantify how additive genetic variance in a multivariate phenotype changes across an elevational gradient, and test whether plasticity and selection align with genetic variation. We do so using two closely related, but ecologically distinct, sister species of Sicilian daisy (Senecio, Asteraceae) adapted to high and low elevations on Mt. Etna. Using a quantitative genetic breeding design, we generated and then reciprocally planted c. 19,000 seeds of both species, across an elevational gradient spanning each species’ native elevation, and then quantified mortality and five leaf traits of emergent seedlings. We found that genetic variance in leaf traits changed more across elevations than between species. The high-elevation species at novel lower elevations showed changes in the distribution of genetic variance among the leaf traits, which reduced the amount of genetic variance in the directions of select</w:t>
      </w:r>
    </w:p>
    <w:p>
      <w:pPr/>
      <w:r>
        <w:rPr>
          <w:b/>
        </w:rPr>
        <w:t>POSSIBLE 2021:</w:t>
      </w:r>
      <w:r>
        <w:t xml:space="preserve"> Environmental effects on genetic variance are likely to constrain adaptation in novel environments — https://doi.org/10.1101/2021.02.08.430333</w:t>
      </w:r>
    </w:p>
    <w:p>
      <w:pPr/>
      <w:r>
        <w:rPr>
          <w:b/>
        </w:rPr>
        <w:t>Shared claim-specific concepts:</w:t>
      </w:r>
      <w:r>
        <w:t xml:space="preserve"> likely, adaptation, between, conditions; EU scope not established. This is a provisional connection, not an outcome finding.</w:t>
      </w:r>
    </w:p>
    <w:p>
      <w:pPr>
        <w:pStyle w:val="SourceNote"/>
      </w:pPr>
      <w:r>
        <w:rPr>
          <w:b/>
        </w:rPr>
        <w:t>Available abstract (not full text):</w:t>
      </w:r>
      <w:r>
        <w:t xml:space="preserve"> Abstract Adaptive plasticity allows populations to cope with environmental variation but is expected to fail as conditions become unfamiliar. In novel conditions, populations may instead rely on rapid adaptation to increase fitness and avoid extinction. Adaptation should be fastest when both plasticity and selection occur in directions of the multivariate phenotype that contain abundant genetic variation. However, tests of this prediction from field experiments are rare. Here, we quantify how additive genetic variance in a multivariate phenotype changes across an elevational gradient, and test whether plasticity and selection align with genetic variation. We do so using two closely related, but ecologically distinct, sister species of Sicilian daisy ( Senecio, Asteraceae) adapted to high and low elevations on Mount Etna. Using a paternal half-sibling breeding design, we generated and then reciprocally planted c.19,000 seeds of both species, across an elevational gradient spanning each species’ native elevation, and then quantified mortality and five leaf traits of emergent seedlings. We found that genetic variance in leaf traits changed more across elevations than between species. The high-elevation species at novel lower elevations showed changes in the distribution of genetic variance among the leaf traits, which reduced the amount of genetic variance in the directions of sel</w:t>
      </w:r>
    </w:p>
    <w:p>
      <w:pPr/>
      <w:r>
        <w:rPr>
          <w:b/>
        </w:rPr>
        <w:t>POSSIBLE 2021:</w:t>
      </w:r>
      <w:r>
        <w:t xml:space="preserve"> A global assessment of policy tools to support climate adaptation — https://doi.org/10.1080/14693062.2021.2002251</w:t>
      </w:r>
    </w:p>
    <w:p>
      <w:pPr/>
      <w:r>
        <w:rPr>
          <w:b/>
        </w:rPr>
        <w:t>Shared claim-specific concepts:</w:t>
      </w:r>
      <w:r>
        <w:t xml:space="preserve"> therefore, likely, adaptation, result, between, climate; EU scope not established. This is a provisional connection, not an outcome finding.</w:t>
      </w:r>
    </w:p>
    <w:p>
      <w:pPr>
        <w:pStyle w:val="SourceNote"/>
      </w:pPr>
      <w:r>
        <w:rPr>
          <w:b/>
        </w:rPr>
        <w:t>Available abstract (not full text):</w:t>
      </w:r>
      <w:r>
        <w:t xml:space="preserve"> Governments, businesses, and civil society organizations have diverse policy tools to incentivize adaptation. Policy tools can shape the type and extent of adaptation, and therefore, function either as barriers or enablers for reducing risk and vulnerability. Using data from a systematic review of academic literature on global adaptation responses to climate change (n = 1549 peer-reviewed articles), we categorize the types of policy tools used to shape climate adaptation. We apply qualitative and quantitative analyses to assess the contexts where particular tools are used, along with equity implications for groups targeted by the tools, and the tools’ relationships with transformational adaptation indicators such as the depth, scope, and speed of adaptation. We find diverse types of tools documented across sectors and geographic regions. We also identify a mismatch between the tools that consider equity and those that yield more transformational adaptations. Direct regulations, plans, and capacity building are associated with higher depth and scope of adaptation (thus transformational adaptation), while economic instruments, information provisioning, and networks are not; the latter tools, however, are more likely to target marginalized groups in their design and implementation. We identify multiple research gaps, including a need to assess instrument mixes rather than single t</w:t>
      </w:r>
    </w:p>
    <w:p>
      <w:pPr/>
      <w:r>
        <w:rPr>
          <w:b/>
        </w:rPr>
        <w:t>POSSIBLE 2021:</w:t>
      </w:r>
      <w:r>
        <w:t xml:space="preserve"> Greening is a promising but likely insufficient adaptation strategy to limit the health impacts of extreme heat — https://doi.org/10.1016/j.envint.2021.106441</w:t>
      </w:r>
    </w:p>
    <w:p>
      <w:pPr/>
      <w:r>
        <w:rPr>
          <w:b/>
        </w:rPr>
        <w:t>Shared claim-specific concepts:</w:t>
      </w:r>
      <w:r>
        <w:t xml:space="preserve"> therefore, likely, adaptation, compared, climate; EU scope not established. This is a provisional connection, not an outcome finding.</w:t>
      </w:r>
    </w:p>
    <w:p>
      <w:pPr>
        <w:pStyle w:val="SourceNote"/>
      </w:pPr>
      <w:r>
        <w:rPr>
          <w:b/>
        </w:rPr>
        <w:t>Available abstract (not full text):</w:t>
      </w:r>
      <w:r>
        <w:t xml:space="preserve"> BACKGROUND: Adapting the urban environment to heat is a public health priority in the context of climate change. Cities are now considering interventions on specific urban characteristics known to contribute to the urban heat island (UHI) such as vegetation and imperviousness. OBJECTIVES: To explore how these urban characteristics influence the temperature-mortality relationship in the Paris region. METHODS: We modeled the temperature-mortality relationship for the 1300 municipalities of the region from 1990 to 2015, while including an interaction with indicators that summarize the municipalities' main urban characteristics. Four indicators were tested: lack of green spaces, lack of trees, proportion of impervious surface, and overexposed population to a potential night UHI. RESULTS: The shape of the temperature-mortality relationship was similar across all municipalities, but with a higher slope at the highest temperatures in municipalities with less green spaces, less trees, and more impervious soil. For instance, in Paris and its close suburbs, the relative risk associated with a temperature in the 99th percentile of the temperature distribution (compared to the 50th percentile) was 2.17 [IC95% 1.98:2.38] in municipalities with 40% of their surface covered by trees compared to 2.57 [IC 95% 2.47:2.68] in municipalities with only 3% of their surface covered by trees. DISCUSSIO</w:t>
      </w:r>
    </w:p>
    <w:p>
      <w:pPr/>
      <w:r>
        <w:rPr>
          <w:b/>
        </w:rPr>
        <w:t>POSSIBLE 2020:</w:t>
      </w:r>
      <w:r>
        <w:t xml:space="preserve"> Parallel flowering time clines in native and introduced ragweed populations are likely due to adaptation — https://doi.org/10.1002/ece3.6163</w:t>
      </w:r>
    </w:p>
    <w:p>
      <w:pPr/>
      <w:r>
        <w:rPr>
          <w:b/>
        </w:rPr>
        <w:t>Shared claim-specific concepts:</w:t>
      </w:r>
      <w:r>
        <w:t xml:space="preserve"> likely, adaptation, result, between, range, climate; EU scope visible. This is a provisional connection, not an outcome finding.</w:t>
      </w:r>
    </w:p>
    <w:p>
      <w:pPr>
        <w:pStyle w:val="SourceNote"/>
      </w:pPr>
      <w:r>
        <w:rPr>
          <w:b/>
        </w:rPr>
        <w:t>Available abstract (not full text):</w:t>
      </w:r>
      <w:r>
        <w:t xml:space="preserve"> As introduced species expand their ranges, they often encounter differences in climate which are often correlated with geography. For introduced species, encountering a geographically variable climate sometimes leads to the re-establishment of clines seen in the native range. However, clines can also be caused by neutral processes, and so it is important to gather additional evidence that population differentiation is the result of selection as opposed to nonadaptive processes. Here, we examine phenotypic and genetic differences in ragweed from the native (North America) and introduced (European) ranges. We used a common garden to assess phenotypic differentiation in size and flowering time in ragweed populations. We found significant parallel clines in flowering time in both North America and Europe. Height and branch number had significant clines in North America, and, while not statistically significant, the patterns in Europe were the same. We used SNP data to assess population structure in both ranges and to compare phenotypic differentiation to neutral genetic variation. We failed to detect significant patterns of isolation by distance, geographic patterns in population structure, or correlations between the major axes of SNP variation and phenotypes or latitude of origin. We conclude that the North American clines in size and the parallel clines seen for flowering time a</w:t>
      </w:r>
    </w:p>
    <w:p>
      <w:pPr/>
      <w:r>
        <w:rPr>
          <w:b/>
        </w:rPr>
        <w:t>POSSIBLE 2020:</w:t>
      </w:r>
      <w:r>
        <w:t xml:space="preserve"> Synergies and Trade-Offs in Reaching the Sustainable Development Goals — https://doi.org/10.3390/su12208729</w:t>
      </w:r>
    </w:p>
    <w:p>
      <w:pPr/>
      <w:r>
        <w:rPr>
          <w:b/>
        </w:rPr>
        <w:t>Shared claim-specific concepts:</w:t>
      </w:r>
      <w:r>
        <w:t xml:space="preserve"> synergies, trade-offs, between; EU scope not established. This is a provisional connection, not an outcome finding.</w:t>
      </w:r>
    </w:p>
    <w:p>
      <w:pPr>
        <w:pStyle w:val="SourceNote"/>
      </w:pPr>
      <w:r>
        <w:rPr>
          <w:b/>
        </w:rPr>
        <w:t>Available abstract (not full text):</w:t>
      </w:r>
      <w:r>
        <w:t xml:space="preserve"> The Sustainable Development Goals (SDGs) adopted in 2015 integrate diverse issues such as addressing hunger, gender equality and clean energy and set a common agenda for all United Nations member states until 2030. The 17 SDGs interact and by working towards achieving one goal countries may further—or jeopardise—progress on others. However, the direction and strength of these interactions are still poorly understood and it remains an analytical challenge to capture the relationships between the multi-dimensional goals, comprising 169 targets and over 200 indicators. Here, we use principal component analysis (PCA), an in this context novel approach, to summarise each goal and interactions in the global SDG agenda. Applying PCA allows us to map trends, synergies and trade-offs at the level of goals for all SDGs while using all available information on indicators. While our approach does not allow us to investigate causal relationships, it provides important evidence of the degree of compatibility of goal attainment over time. Based on global data 2000–2016, our results indicate that synergies between and within the SDGs prevail, both in terms of levels and over time change. An exception is SDG 10 ‘Reducing inequalities’ which has not progressed in tandem with other goals.</w:t>
      </w:r>
    </w:p>
    <w:p>
      <w:pPr/>
      <w:r>
        <w:rPr>
          <w:b/>
        </w:rPr>
        <w:t>POSSIBLE 2020:</w:t>
      </w:r>
      <w:r>
        <w:t xml:space="preserve"> Trade-offs and synergies in the ecosystem service demand of urban brownfield stakeholders — https://doi.org/10.1016/j.ecoser.2020.101074</w:t>
      </w:r>
    </w:p>
    <w:p>
      <w:pPr/>
      <w:r>
        <w:rPr>
          <w:b/>
        </w:rPr>
        <w:t>Shared claim-specific concepts:</w:t>
      </w:r>
      <w:r>
        <w:t xml:space="preserve"> therefore, synergies, trade-offs, between, range, services; EU scope not established. This is a provisional connection, not an outcome finding.</w:t>
      </w:r>
    </w:p>
    <w:p>
      <w:pPr>
        <w:pStyle w:val="SourceNote"/>
      </w:pPr>
      <w:r>
        <w:rPr>
          <w:b/>
        </w:rPr>
        <w:t>Available abstract (not full text):</w:t>
      </w:r>
      <w:r>
        <w:t xml:space="preserve"> Brownfield site redevelopment presents an opportunity to create urban green spaces that provide a wide range of ecosystem services. It is important, therefore, to understand which ecosystem services are demanded by stakeholders and whether there are trade-offs or synergies in this demand. We performed a quantitative survey of ecosystem service demand from brownfield sites that included all major stakeholder groups. Results showed that there was a strong trade-off between demand for services related to property development (e.g. ground strength and low flood risk) and all other services, which were linked to vegetated sites. There was a secondary, but weak, trade-off between demand for services of more ‘natural’ vegetated sites (e.g. with a biodiversity protection role) and those linked to aesthetics and recreation. Stakeholders with a strong preference for biodiversity protection formed a distinct group in their ecosystem service demands. While a ‘development’ vs ‘green space’ trade-off may be unavoidable, the general lack of strong trade-offs in demand for other services indicated that the creation of multifunctional greenspaces from former brownfield sites would be desirable to most stakeholders, as long as these are biophysically possible.</w:t>
      </w:r>
    </w:p>
    <w:p>
      <w:pPr/>
      <w:r>
        <w:rPr>
          <w:b/>
        </w:rPr>
        <w:t>POSSIBLE 2020:</w:t>
      </w:r>
      <w:r>
        <w:t xml:space="preserve"> Climate Change Adaptation Options for Coastal Communities and Local Governments — https://doi.org/10.3390/cli8010007</w:t>
      </w:r>
    </w:p>
    <w:p>
      <w:pPr/>
      <w:r>
        <w:rPr>
          <w:b/>
        </w:rPr>
        <w:t>Shared claim-specific concepts:</w:t>
      </w:r>
      <w:r>
        <w:t xml:space="preserve"> therefore, likely, adaptation, measures, protect, climate; EU scope not established. This is a provisional connection, not an outcome finding.</w:t>
      </w:r>
    </w:p>
    <w:p>
      <w:pPr>
        <w:pStyle w:val="SourceNote"/>
      </w:pPr>
      <w:r>
        <w:rPr>
          <w:b/>
        </w:rPr>
        <w:t>Available abstract (not full text):</w:t>
      </w:r>
      <w:r>
        <w:t xml:space="preserve"> Extreme weather events and failure to adapt to the likely impacts of climate change are two of the most significant threats to humanity. Therefore, many local communities are preparing adaptation plans. Even so, much of what was done has not been published in the peer-reviewed literature. This means that consideration of adaptation options for local communities is limited. With the objective of assisting in the development of adaptation plans, we present 80 adaptation options suitable for coastal communities that can be applied by local governments. They are a catena of options from defend to co-exist and finally, retreat that progresses as impacts become less manageable. Options are organized according to their capacity to protect local properties and infrastructure, natural systems, food production, availability of fresh and drinking water and well-being of the local population, as these are likely to be affected by climate change. To respond to multiple threats, ‘soft’ options, such as awareness raising, planning, political articulation and financial incentives, insurance and professional skills enhancement, can be encouraged immediately at relatively low cost and are reversible. For specific threats, options emphasize change in management practices as pre-emptive measures. Key audiences for this work are communities and local governments starting to consider priority action</w:t>
      </w:r>
    </w:p>
    <w:p>
      <w:pPr/>
      <w:r>
        <w:rPr>
          <w:b/>
        </w:rPr>
        <w:t>POSSIBLE 2020:</w:t>
      </w:r>
      <w:r>
        <w:t xml:space="preserve"> Adoption by adaptation: moving from Conservation Agriculture to conservation practices — https://doi.org/10.1080/14735903.2020.1785734</w:t>
      </w:r>
    </w:p>
    <w:p>
      <w:pPr/>
      <w:r>
        <w:rPr>
          <w:b/>
        </w:rPr>
        <w:t>Shared claim-specific concepts:</w:t>
      </w:r>
      <w:r>
        <w:t xml:space="preserve"> therefore, adaptation, trade-offs, soils, conditions; EU scope not established. This is a provisional connection, not an outcome finding.</w:t>
      </w:r>
    </w:p>
    <w:p>
      <w:pPr>
        <w:pStyle w:val="SourceNote"/>
      </w:pPr>
      <w:r>
        <w:rPr>
          <w:b/>
        </w:rPr>
        <w:t>Available abstract (not full text):</w:t>
      </w:r>
      <w:r>
        <w:t xml:space="preserve"> Conservation Agriculture (CA) is a Sustainable Agricultural Intensification strategy based on minimum soil disturbance, permanent soil coverage by living or dead biomass, and diversification of crop rotations. We reviewed the literature on benefits, trade-offs, adoption and adaptation of CA in sub-Saharan Africa (SSA). While CA can improve soils and sustain crop yields, benefits are inconsistent and there are trade-offs with crop residue use, weeds and insect pests, labour demands and short-term yield penalties. Adoption rates by smallholders in sub-Saharan Africa are generally low. We hypothesize that underlying adoption constraints are 1) the magnitude of transformation of management practices required from farmers moving to CA, 2) the multiple inherent trade-offs associated with CA practices and 3) the incompatibility of CA practices to local conditions. We suggest CA adoption in SSA could be improved by focusing the promotion of CA to environments where it best fits, or by facilitating smallholders’ adaptation of the practices of CA to respond to their conditions and constraints. We, therefore, propose to move from Conservation Agriculture to Conservation Practices by: (A) identifying and overcoming locally important CA trade-offs through adaptations and complementary practices, and (B) finding farm-specific optimal combinations of practices in terms of feasibility and bene</w:t>
      </w:r>
    </w:p>
    <w:p>
      <w:pPr/>
      <w:r>
        <w:rPr>
          <w:b/>
        </w:rPr>
        <w:t>POSSIBLE 2020:</w:t>
      </w:r>
      <w:r>
        <w:t xml:space="preserve"> Major Climate risks and Adaptation Strategies of Smallholder Farmers in Coastal Bangladesh — https://doi.org/10.1007/s00267-020-01291-8</w:t>
      </w:r>
    </w:p>
    <w:p>
      <w:pPr/>
      <w:r>
        <w:rPr>
          <w:b/>
        </w:rPr>
        <w:t>Shared claim-specific concepts:</w:t>
      </w:r>
      <w:r>
        <w:t xml:space="preserve"> therefore, likely, adaptation, compared, climate; EU scope not established. This is a provisional connection, not an outcome finding.</w:t>
      </w:r>
    </w:p>
    <w:p>
      <w:pPr>
        <w:pStyle w:val="SourceNote"/>
      </w:pPr>
      <w:r>
        <w:rPr>
          <w:b/>
        </w:rPr>
        <w:t>Available abstract (not full text):</w:t>
      </w:r>
      <w:r>
        <w:t xml:space="preserve"> Rural households in South Asia's coastal deltas face numerous livelihood challenges, including risks posed by climatic variability and extreme weather events. This study examines major climate risks, farmers' adaptation strategies, and the factors affecting the choice of those strategies using data collected from 630 households in southwestern coastal Bangladesh. Farmers identified cyclones, excessive rain and flooding, and salinity as direct climate risks. Increased crop diseases/pests and livestock diseases were perceived as indirect risks resulting from climatic variability. Farmers used multiple adaptation strategies against those risks such as modifications in farm management, use of savings and borrowing funds from family and neighbors, and periodically reducing household food consumption. Off-farm employment and seeking assistance from governmental as well as non-governmental organizations (NGOs) were also common adaptation strategies. The results show that male-headed households are more likely to change farming practices and reduce consumption compared with female-headed households that conversely tended to take assistance from NGOs as an adaptation strategy. Ownership of land and livestock, as well as farmers' prior exposure to climate change and educational training, also had a significant effect on the choice of adaptation strategy. Therefore, development interventi</w:t>
      </w:r>
    </w:p>
    <w:p>
      <w:pPr/>
      <w:r>
        <w:rPr>
          <w:b/>
        </w:rPr>
        <w:t>POSSIBLE 2020:</w:t>
      </w:r>
      <w:r>
        <w:t xml:space="preserve"> Warming-level dependent adaptation requirements and consequent limits to adaptation — https://doi.org/10.5194/egusphere-egu2020-10527</w:t>
      </w:r>
    </w:p>
    <w:p>
      <w:pPr/>
      <w:r>
        <w:rPr>
          <w:b/>
        </w:rPr>
        <w:t>Shared claim-specific concepts:</w:t>
      </w:r>
      <w:r>
        <w:t xml:space="preserve"> therefore, likely, adaptation, measures, implemented, conditions; EU scope not established. This is a provisional connection, not an outcome finding.</w:t>
      </w:r>
    </w:p>
    <w:p>
      <w:pPr>
        <w:pStyle w:val="SourceNote"/>
      </w:pPr>
      <w:r>
        <w:rPr>
          <w:b/>
        </w:rPr>
        <w:t>Available abstract (not full text):</w:t>
      </w:r>
      <w:r>
        <w:t xml:space="preserve"> The level of detail to understand the impacts associated with different levels of global temperature increase across space and time is increasing with and since the publication of the IPCC Special Report on Global Warming of 1.5°C (SR1.5). However, current adaptation assessments are limited in picking up this information to understand what the implications of different impact pathways are for adaptation. Yet, the intensity, frequency and timing of impacts are critical determinants of the feasibility of different adaptation options and their associated costs. There is increasing awareness that limits to adaptation are likely to be approached or crossed with higher levels of warming, however differential analyses of adaptation needs as a consequence of different warming pathways are so far limited. While case study based assessment of warming- and scenario-depend adaptation responses are emerging, so far an aggregated regional to global assessment is lacking. Adaptation is often seen as a process that can draw on existing approaches that have been successfully implemented elsewhere, assuming that a linear increase of impacts would allow impacted regions to scale existing approaches to deal with hazards. However, climate impacts are unlikely to increase in a linear fashion across space and time and we are likely to enter new regimes of impacts in terms of intensity and frequency, </w:t>
      </w:r>
    </w:p>
    <w:p>
      <w:pPr>
        <w:pStyle w:val="Heading2"/>
      </w:pPr>
      <w:r>
        <w:t>973. Backcasting scenarios for Finland 2050 of low emissions</w:t>
      </w:r>
    </w:p>
    <w:p>
      <w:pPr>
        <w:pStyle w:val="SourceNote"/>
      </w:pPr>
      <w:r>
        <w:rPr>
          <w:b/>
        </w:rPr>
        <w:t>Original source (2012):</w:t>
      </w:r>
      <w:r>
        <w:t xml:space="preserve"> https://doi.org/10.1108/14636681211256099</w:t>
      </w:r>
    </w:p>
    <w:p>
      <w:pPr/>
      <w:r>
        <w:t>Original wording (abstract; indexed_source_text_not_full_document_verified): It is important to note, however, that in the way the exercise was carried out in this case, it is only possible to view future development through qualitative arguments. Purpose The objective of this paper is to present an example on how futures studies methodologies, especially backcasting, can be used to assist public policy formulation.</w:t>
      </w:r>
    </w:p>
    <w:p>
      <w:pPr/>
      <w:r>
        <w:rPr>
          <w:b/>
        </w:rPr>
        <w:t>POSSIBLE 2025:</w:t>
      </w:r>
      <w:r>
        <w:t xml:space="preserve"> Factors that determine the level of participation in sport and exercise—an analyze of public policy for sport and exercise in European countries — https://doi.org/10.3389/fspor.2025.1633869</w:t>
      </w:r>
    </w:p>
    <w:p>
      <w:pPr/>
      <w:r>
        <w:rPr>
          <w:b/>
        </w:rPr>
        <w:t>Shared claim-specific concepts:</w:t>
      </w:r>
      <w:r>
        <w:t xml:space="preserve"> important, exercise; EU scope visible. This is a provisional connection, not an outcome finding.</w:t>
      </w:r>
    </w:p>
    <w:p>
      <w:pPr>
        <w:pStyle w:val="SourceNote"/>
      </w:pPr>
      <w:r>
        <w:rPr>
          <w:b/>
        </w:rPr>
        <w:t>Available abstract (not full text):</w:t>
      </w:r>
      <w:r>
        <w:t xml:space="preserve"> Introduction: The burgeoning issue of physical inactivity on a global scale, prominently underscored by the World Health Organization (WHO) and the European Union (EU), poses significant health challenges. This necessitates a concerted effort to elevate levels of physical activity. This paper delves into the public policies concerning sport and exercise within EU countries to identify pivotal factors that encourage sports and exercise participation. Methods: Employing data from Eurostat, Eurobarometer, and Eurofound, this study investigates the patterns of sports participation across Europe. The analysis encompasses descriptive statistics, correlation analyses, and multivariate regression models, with a focus on variables such as economic prosperity, educational attainment, and governance quality. Results: The findings reveal a weak correlation between public expenditure on sports and participation rates. Interestingly, Eastern and Southern European countries allocate a proportionally higher share of their budgets to sports yet report lower participation rates. Moreover, the quality of governance and overall economic conditions emerge as important factors, displaying a robust association with participation rates and eclipsing the potential impact of direct government spending. Discussion: The study highlights the limited direct impact of public sports policies, emphasizing the </w:t>
      </w:r>
    </w:p>
    <w:p>
      <w:pPr/>
      <w:r>
        <w:rPr>
          <w:b/>
        </w:rPr>
        <w:t>POSSIBLE 2024:</w:t>
      </w:r>
      <w:r>
        <w:t xml:space="preserve"> Regulatory scoping exercise for the future adoption of autonomous inland ships in Europe — https://doi.org/10.1186/s41072-023-00160-x</w:t>
      </w:r>
    </w:p>
    <w:p>
      <w:pPr/>
      <w:r>
        <w:rPr>
          <w:b/>
        </w:rPr>
        <w:t>Shared claim-specific concepts:</w:t>
      </w:r>
      <w:r>
        <w:t xml:space="preserve"> important, exercise, objective; EU scope visible. This is a provisional connection, not an outcome finding.</w:t>
      </w:r>
    </w:p>
    <w:p>
      <w:pPr>
        <w:pStyle w:val="SourceNote"/>
      </w:pPr>
      <w:r>
        <w:rPr>
          <w:b/>
        </w:rPr>
        <w:t>Available abstract (not full text):</w:t>
      </w:r>
      <w:r>
        <w:t xml:space="preserve"> Abstract Shipping is a heavily regulated sector, and autonomous ships will by no means be able to escape the public regulator’s agenda. Furthermore, regulatory adaptation is necessary because current laws oppose the introduction of this new technology. In contrast to maritime shipping, in which considerable regulatory work on autonomous ships has already been achieved, the process of adapting inland shipping regulations for autonomous vessels is rather slow, thereby considerably hindering the further development of the sector. An important reason for this is the multi-levelled regulatory institutional structure in European inland shipping, which consequently has less unified rules than its maritime counterpart. In addition, previous research on regulatory obstacles is highly fragmented and restricted in scope. This study presents a systematic regulatory analysis of relevant inland shipping regulations by following the approach adopted by the International Maritime Organisation with respect to maritime shipping regulations, with the objective of identifying potential obstacles in relevant regulatory instruments and common themes across them. It also discusses the existing possibilities under current European Union law for the exceptional operation of autonomous inland ships and describes the latest policy directions taken by the European legislator to foster innovation developme</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important, case, used;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Overview of the European species of the genus Clitocella (Entolomataceae, Agaricales) with notes on extralimital taxa — https://doi.org/10.3767/persoonia.2023.50.04</w:t>
      </w:r>
    </w:p>
    <w:p>
      <w:pPr/>
      <w:r>
        <w:rPr>
          <w:b/>
        </w:rPr>
        <w:t>Shared claim-specific concepts:</w:t>
      </w:r>
      <w:r>
        <w:t xml:space="preserve"> out, present, used; EU scope visible. This is a provisional connection, not an outcome finding.</w:t>
      </w:r>
    </w:p>
    <w:p>
      <w:pPr>
        <w:pStyle w:val="SourceNote"/>
      </w:pPr>
      <w:r>
        <w:rPr>
          <w:b/>
        </w:rPr>
        <w:t>Available abstract (not full text):</w:t>
      </w:r>
      <w:r>
        <w:t xml:space="preserve"> A revision, based on morphological and multigene analysis, of the Clitocella species currently present in Europe is provided. Portions of nrITS rDNA, nr28S rDNA (LSU), RNA polymerase II second largest subunit (RPB2), translation elongation factor 1-alpha (EF-1α), and ATPase subunit 6 (ATP6), were used to sort out the relationships of the species within the genus. Three subgenera were recognized: Clitocella subg. Clitocella encompassing C.popinalis, C.colorata, C.mundula, C.nigrescens, C.obscura and the new species C.solaris from Switzerland; the new Clitocella subg. Paraclitopilus including C.fallax and C.blancii; and the new Clitocella subg. Rhodopleurella for accommodating C. termitophila, a peculiar entity characterized by a pleurotoid habit and growing on decaying, abandoned termite nests in the Dominican Republic. Clitocella colorata originally described from China is here reported and described for the first time in Europe (Italy and Estonia). Rhodocybe cupressicola and Clitopilus ammophilus are reduced to later synonyms of Rhodopaxillus nigrescens; similarly, Clitopilus amarus is treated as a later synonym of Omphalia fallax while Rhodocybe amarella and R. ochraceopallida of Rhodopaxillus blancii. Finally, Austrian and Swedish herbarium collections identified as Rhodocybe, a doubtful taxon considered by several modern authors occasionally as either a similar but distinct</w:t>
      </w:r>
    </w:p>
    <w:p>
      <w:pPr/>
      <w:r>
        <w:rPr>
          <w:b/>
        </w:rPr>
        <w:t>POSSIBLE 2021:</w:t>
      </w:r>
      <w:r>
        <w:t xml:space="preserve"> Environmental Restrictions on the Exercise of Land Rights: European Experience — https://doi.org/10.33687/ijae.009.00.3963</w:t>
      </w:r>
    </w:p>
    <w:p>
      <w:pPr/>
      <w:r>
        <w:rPr>
          <w:b/>
        </w:rPr>
        <w:t>Shared claim-specific concepts:</w:t>
      </w:r>
      <w:r>
        <w:t xml:space="preserve"> exercise, purpose, present; EU scope visible. This is a provisional connection, not an outcome finding.</w:t>
      </w:r>
    </w:p>
    <w:p>
      <w:pPr>
        <w:pStyle w:val="SourceNote"/>
      </w:pPr>
      <w:r>
        <w:rPr>
          <w:b/>
        </w:rPr>
        <w:t>Available abstract (not full text):</w:t>
      </w:r>
      <w:r>
        <w:t xml:space="preserve"> The current land reforms in Ukraine are aimed at supporting the rational use and protection of land protection. At the same time, as a result of difficult social, political and economic conditions, the processes of exercising rights to land resources have become more complicated. Ploughed land reaches 57% of the total territory, which is the highest rate in the world. The purpose of the study is to determine the essence of environmental restrictions on the exercise of land rights in the context of new land relations based on the experience of European countries, as well as to reveal the conceptual foundations of land use at the present stage of legislative and regulatory issues. Modern processes do not meet the requirements of rational use of natural resources, violating acceptable ratios. Problems with the balance of nutrients in agriculture and violation of environmentally acceptable areas of the environment have become more acute. Rules on environmental restrictions are established on the territory of the state to resolve issues of land use and protection. Their compliance is a prerequisite for all executive authorities in the field of environmental restrictions, as well as for all individuals and legal entities that are users or owners of land resources. The practical significance lies in the justification of methods and tools for rationing restrictions on the protection of</w:t>
      </w:r>
    </w:p>
    <w:p>
      <w:pPr/>
      <w:r>
        <w:rPr>
          <w:b/>
        </w:rPr>
        <w:t>POSSIBLE 2021:</w:t>
      </w:r>
      <w:r>
        <w:t xml:space="preserve"> Human Babesiosis in Europe — https://doi.org/10.3390/pathogens10091165</w:t>
      </w:r>
    </w:p>
    <w:p>
      <w:pPr/>
      <w:r>
        <w:rPr>
          <w:b/>
        </w:rPr>
        <w:t>Shared claim-specific concepts:</w:t>
      </w:r>
      <w:r>
        <w:t xml:space="preserve"> case, present, especially; EU scope visible. This is a provisional connection, not an outcome finding.</w:t>
      </w:r>
    </w:p>
    <w:p>
      <w:pPr>
        <w:pStyle w:val="SourceNote"/>
      </w:pPr>
      <w:r>
        <w:rPr>
          <w:b/>
        </w:rPr>
        <w:t>Available abstract (not full text):</w:t>
      </w:r>
      <w:r>
        <w:t xml:space="preserve"> Babesiosis is attracting increasing attention as a worldwide emerging zoonosis. The first case of human babesiosis in Europe was described in the late 1950s and since then more than 60 cases have been reported in Europe. While the disease is relatively rare in Europe, it is significant because the majority of cases present as life-threatening fulminant infections, mainly in immunocompromised patients. Although appearing clinically similar to human babesiosis elsewhere, particularly in the USA, most European forms of the disease are distinct entities, especially concerning epidemiology, human susceptibility to infection and clinical management. This paper describes the history of the disease and reviews all published cases that have occurred in Europe with regard to the identity and genetic characteristics of the etiological agents, pathogenesis, aspects of epidemiology including the eco-epidemiology of the vectors, the clinical courses of infection, diagnostic tools and clinical management and treatment.</w:t>
      </w:r>
    </w:p>
    <w:p>
      <w:pPr/>
      <w:r>
        <w:rPr>
          <w:b/>
        </w:rPr>
        <w:t>POSSIBLE 2021:</w:t>
      </w:r>
      <w:r>
        <w:t xml:space="preserve"> A Hermeneutic Exercise of the Convergence between National Features and the Modernity of the European Spirit — https://doi.org/10.54481/intertext.2021.1.02</w:t>
      </w:r>
    </w:p>
    <w:p>
      <w:pPr/>
      <w:r>
        <w:rPr>
          <w:b/>
        </w:rPr>
        <w:t>Shared claim-specific concepts:</w:t>
      </w:r>
      <w:r>
        <w:t xml:space="preserve"> however, exercise, carried, out, present; EU scope visible. This is a provisional connection, not an outcome finding.</w:t>
      </w:r>
    </w:p>
    <w:p>
      <w:pPr>
        <w:pStyle w:val="SourceNote"/>
      </w:pPr>
      <w:r>
        <w:rPr>
          <w:b/>
        </w:rPr>
        <w:t>Available abstract (not full text):</w:t>
      </w:r>
      <w:r>
        <w:t xml:space="preserve"> However ungrateful the situation of Romanian writers who express themselves by means of a language with a limited circulation – the Romanian language – may remain, quite a few of them are European writers. This is reflected in the role they play in their national literature, the modern contents and artistic expressivity of their works and, last but not least, their commitment to the active conscience of human community. The present article is aimed at undertaking a hermeneutical exercise of a centuries-old, fruitful history of cultural and literary Franco-Romanian relations from the beginning until the second half of the 19th century. We will mainly address the topic of Vasile Alecsandri and his generation, who struggled with all responsibility for the development of these relations. This study proves how the Romanian writer, truly European by character, knew that the convergence between national specificity and the modernity of the European spirit is the basis for literary success, the longevity of his works and the cultural relations between his nation and France. Literature has always meant a value of human equilibrium, civilization and humanization. Taking into account all that has been mentioned above, we believe that dwelling at some length upon the exemplary demonstration of the Romanian Europeanism carried out by Vasile Alecsandri in his human and artistic essence, cann</w:t>
      </w:r>
    </w:p>
    <w:p>
      <w:pPr/>
      <w:r>
        <w:rPr>
          <w:b/>
        </w:rPr>
        <w:t>POSSIBLE 2020:</w:t>
      </w:r>
      <w:r>
        <w:t xml:space="preserve"> Is There a Crisis of Democracy in Europe? — https://doi.org/10.1007/s11615-020-00231-9</w:t>
      </w:r>
    </w:p>
    <w:p>
      <w:pPr/>
      <w:r>
        <w:rPr>
          <w:b/>
        </w:rPr>
        <w:t>Shared claim-specific concepts:</w:t>
      </w:r>
      <w:r>
        <w:t xml:space="preserve"> however, way, view; EU scope visible. This is a provisional connection, not an outcome finding.</w:t>
      </w:r>
    </w:p>
    <w:p>
      <w:pPr>
        <w:pStyle w:val="SourceNote"/>
      </w:pPr>
      <w:r>
        <w:rPr>
          <w:b/>
        </w:rPr>
        <w:t>Available abstract (not full text):</w:t>
      </w:r>
      <w:r>
        <w:t xml:space="preserve"> Abstract This paper discusses the current prospects of democracy in Europe from four perspectives: the birdʼs-eye view of long-term trends; the perspective of citizens’ support of democratic principles and their dissatisfaction with the way democracy works in their own countries; the voters’ perspective, which points to the rise of populist challengers in reaction to rising democratic dissatisfaction; and the elites’ perspective of populists in power. Overall, there is reason for concern, but no reason to dramatize. The long-term trends point to the expansion of democracy; the citizens’ support for democracy is still massive in Europe. At the same time, democratic dissatisfaction is widespread, giving rise to the surge of populist challengers from the left and the right. However, even if they gain power, populists meet with a large number of constraints that stabilize democracy.</w:t>
      </w:r>
    </w:p>
    <w:p>
      <w:pPr/>
      <w:r>
        <w:rPr>
          <w:b/>
        </w:rPr>
        <w:t>POSSIBLE 2020:</w:t>
      </w:r>
      <w:r>
        <w:t xml:space="preserve"> Loess landscapes of Europe – Mapping, geomorphology, and zonal differentiation — https://doi.org/10.1016/j.earscirev.2020.103496</w:t>
      </w:r>
    </w:p>
    <w:p>
      <w:pPr/>
      <w:r>
        <w:rPr>
          <w:b/>
        </w:rPr>
        <w:t>Shared claim-specific concepts:</w:t>
      </w:r>
      <w:r>
        <w:t xml:space="preserve"> important, present, especially, used; EU scope visible. This is a provisional connection, not an outcome finding.</w:t>
      </w:r>
    </w:p>
    <w:p>
      <w:pPr>
        <w:pStyle w:val="SourceNote"/>
      </w:pPr>
      <w:r>
        <w:rPr>
          <w:b/>
        </w:rPr>
        <w:t>Available abstract (not full text):</w:t>
      </w:r>
      <w:r>
        <w:t xml:space="preserve"> Paleoenvironmental reconstructions on a (supra-)regional scale have gained attention in Quaternary sciences during the last decades. In terrestrial realms, loess deposits and especially intercalations of loess and buried soils, so called loess-paleosol sequences (LPS) are important archives to unravel the terrestrial response to e.g. climatic fluctuations and reconstruct paleoenvironments during the Pleistocene. The analysis of LPS requires the knowledge of several key factors, such as the distribution of the aeolian sediments, their location relative to (potential) source areas, the climate conditions that led to their emplacement and the topography of the sink area. These factors strongly influence the sedimentological and paleoenvironmental characteristics of LPS and show broad variations throughout Europe, leading to a distinct distribution pattern throughout the continent. We present a new map of the distribution of aeolian sediments (mainly loess) and major potential source areas for Europe. The map was compiled combining geodata of different mapping approaches. Most of the used geodata stems from accurate national maps of 27 different countries. Problematic aspects such as different nomenclatures across administrative borders were carefully investigated and revised. The result is a seamless map, which comprises pedological, geological, and geomorphological data and can b</w:t>
      </w:r>
    </w:p>
    <w:p>
      <w:pPr/>
      <w:r>
        <w:rPr>
          <w:b/>
        </w:rPr>
        <w:t>POSSIBLE 2020:</w:t>
      </w:r>
      <w:r>
        <w:t xml:space="preserve"> Reasons Why Older Adults Engage in Physical Exercise. Comparative Study Eastern Europe Versus Southern Europe — https://doi.org/10.1123/japa.2019-0450</w:t>
      </w:r>
    </w:p>
    <w:p>
      <w:pPr/>
      <w:r>
        <w:rPr>
          <w:b/>
        </w:rPr>
        <w:t>Shared claim-specific concepts:</w:t>
      </w:r>
      <w:r>
        <w:t xml:space="preserve"> exercise, carried, out; EU scope visible. This is a provisional connection, not an outcome finding.</w:t>
      </w:r>
    </w:p>
    <w:p>
      <w:pPr>
        <w:pStyle w:val="SourceNote"/>
      </w:pPr>
      <w:r>
        <w:rPr>
          <w:b/>
        </w:rPr>
        <w:t>Available abstract (not full text):</w:t>
      </w:r>
      <w:r>
        <w:t xml:space="preserve"> INTRODUCTION: Research on variables that encourage older adults to exercise is limited. This study was carried out to identify the participation motives of older Europeans involved in regular exercise. METHODS: The 418 (170 men, 248 women) who participated in the survey are participants of the Erasmus Plus European Project In Common Sports. The participants were divided into two groups. Italy, Portugal, and Spain formed the Southern Europe group, and Bulgaria and Hungary the Eastern European group. All participants completed the Participation Motivation Questionnaire: Older Adults. RESULTS: The most highly reported motives for participation were to have fun, stay in shape, keep healthy, and an enjoyment of exercise. Principal-components analysis of the questionnaire revealed six factors: social, fitness, recognition, challenge/benefits, medical, and involvement. CONCLUSIONS: The reasons why the residents of Southern European practice exercise are more related to medical reasons, while for Eastern Europe these reasons are more related to recognition.</w:t>
      </w:r>
    </w:p>
    <w:p>
      <w:pPr/>
      <w:r>
        <w:rPr>
          <w:b/>
        </w:rPr>
        <w:t>POSSIBLE 2019:</w:t>
      </w:r>
      <w:r>
        <w:t xml:space="preserve"> Social enterprises and their ecosystems in Europe — https://doi.org/10.2767/330252</w:t>
      </w:r>
    </w:p>
    <w:p>
      <w:pPr/>
      <w:r>
        <w:rPr>
          <w:b/>
        </w:rPr>
        <w:t>Shared claim-specific concepts:</w:t>
      </w:r>
      <w:r>
        <w:t xml:space="preserve"> however, way, present; EU scope visible. This is a provisional connection, not an outcome finding.</w:t>
      </w:r>
    </w:p>
    <w:p>
      <w:pPr>
        <w:pStyle w:val="SourceNote"/>
      </w:pPr>
      <w:r>
        <w:rPr>
          <w:b/>
        </w:rPr>
        <w:t>Available abstract (not full text):</w:t>
      </w:r>
      <w:r>
        <w:t xml:space="preserve"> Social enterprises present an alternative to business-as-usual with their combination of core social and environmental objectives being addressed through commercial approaches. In this way they present an alternative avenue for a sustainable prosperity that is not driven by profit but rather focused on flourishing and living within ecological limits. In the UK, there has been particular interest and support for the creation of start-ups and the scaling of existing social enterprises. The term social enterprise has been in use in the UK since the 1970s, and the current approaches are shaped by the philanthropic traditions of charities, the cooperative traditions of democratic governance, and cultures of socially responsible business. The UK social enterprise movement was given a boost by the pioneering public policies and approaches in the 1990s, including various support programmes, the introduction of a new legal form and investment funds. Since 2010 there has been a focus of policy on encouraging social investment funds and mutual social enterprise ‘spin-outs’ from the public sector. However, the context of public sector austerity has seen a considerable decline in overall spending across the UK in recent years, with the exception of Scotland</w:t>
      </w:r>
    </w:p>
    <w:p>
      <w:pPr/>
      <w:r>
        <w:rPr>
          <w:b/>
        </w:rPr>
        <w:t>POSSIBLE 2019:</w:t>
      </w:r>
      <w:r>
        <w:t xml:space="preserve"> Social Innovation in Community Energy in Europe: A Review of the Evidence — https://doi.org/10.3389/fenrg.2019.00031</w:t>
      </w:r>
    </w:p>
    <w:p>
      <w:pPr/>
      <w:r>
        <w:rPr>
          <w:b/>
        </w:rPr>
        <w:t>Shared claim-specific concepts:</w:t>
      </w:r>
      <w:r>
        <w:t xml:space="preserve"> important, however, out; EU scope visible. This is a provisional connection, not an outcome finding.</w:t>
      </w:r>
    </w:p>
    <w:p>
      <w:pPr>
        <w:pStyle w:val="SourceNote"/>
      </w:pPr>
      <w:r>
        <w:rPr>
          <w:b/>
        </w:rPr>
        <w:t>Available abstract (not full text):</w:t>
      </w:r>
      <w:r>
        <w:t xml:space="preserve"> Citizen-driven Renewable Energy (RE) projects of various kinds, known collectively as community energy (CE), have an important part to play in the worldwide transition to cleaner energy systems. On the basis of evidence from 8 European countries, we investigate CE, over approximately the last 50 years (c.1970-2018), through the lens of Social Innovation (SI). We carry out a detailed review of literature around the social dimension of renewable energy; we collect, describe and map CE initiatives from Belgium, France, Germany, Italy, Poland, Spain, Sweden and the UK; and we unpack the SI concept into 4 operational criteria which we suggest are essential to recognising SI in CE. These are: 1) Crises and opportunities; 2) the agency of civil society; 3) reconfiguration of social practices, institutions and networks; 4) new ways of working. We identify three main phases of SI in CE. The environmental movements of the 1960s and the “oil shocks” of the 1970s provided the catalyst for a series of innovative societal responses around energy and self-sufficiency. A second wave of SI relates to the mainstreaming of RE and associated government support mechanisms. In this phase, with some important exceptions, successful CE initiatives were mainly confined to those countries where they were already embedded as innovators in the previous phase. The third phase of CE innovation relates to th</w:t>
      </w:r>
    </w:p>
    <w:p>
      <w:pPr>
        <w:pStyle w:val="Heading2"/>
      </w:pPr>
      <w:r>
        <w:t>974. FORECASTED TRENDS IN CHANGES OF VEGETATION IN THE EUROPEAN PART OF RUSSIA IN CONNECTION WITH GLOBAL WARMING</w:t>
      </w:r>
    </w:p>
    <w:p>
      <w:pPr>
        <w:pStyle w:val="SourceNote"/>
      </w:pPr>
      <w:r>
        <w:rPr>
          <w:b/>
        </w:rPr>
        <w:t>Original source (2012):</w:t>
      </w:r>
      <w:r>
        <w:t xml:space="preserve"> https://doi.org/10.24057/2071-9388-2012-5-4-4-16</w:t>
      </w:r>
    </w:p>
    <w:p>
      <w:pPr/>
      <w:r>
        <w:t>Original wording (abstract; indexed_source_text_not_full_document_verified): The models are used to forecast changes in the boundaries of the vegetation sub-zones and of forest stands productivity in the European Part of Russia and on the adjacent areas for 2046–2065 under one of the scenarios of global warming.</w:t>
      </w:r>
    </w:p>
    <w:p>
      <w:pPr/>
      <w:r>
        <w:rPr>
          <w:b/>
        </w:rPr>
        <w:t>POSSIBLE 2026:</w:t>
      </w:r>
      <w:r>
        <w:t xml:space="preserve"> Changing-CAMELS: A pan-European dataset for non-stationary hydrological modeling under climate and land-use change — https://doi.org/10.5194/egusphere-egu26-6543</w:t>
      </w:r>
    </w:p>
    <w:p>
      <w:pPr/>
      <w:r>
        <w:rPr>
          <w:b/>
        </w:rPr>
        <w:t>Shared claim-specific concepts:</w:t>
      </w:r>
      <w:r>
        <w:t xml:space="preserve"> boundaries, vegetation; EU scope visible. This is a provisional connection, not an outcome finding.</w:t>
      </w:r>
    </w:p>
    <w:p>
      <w:pPr>
        <w:pStyle w:val="SourceNote"/>
      </w:pPr>
      <w:r>
        <w:rPr>
          <w:b/>
        </w:rPr>
        <w:t>Available abstract (not full text):</w:t>
      </w:r>
      <w:r>
        <w:t xml:space="preserve"> Non-stationarity has long been recognized as a fundamental challenge in hydrological modelling, as climate change and human activities continuously alter catchment properties and the boundary conditions under which hydrological systems operate. However, translating this long-standing recognition into systematic model evaluation remains challenging, as suitable large-sample hydrological datasets that explicitly represent temporal change are still scarce. Most existing datasets adopt a static design, with time-invariant catchment attributes and hydro-meteorological time series limited to retrospective observations, which constrains the systematic testing of hypotheses and models targeting non-stationary hydrological behaviour. Here, we introduce Changing-CAMELS, a pan-European, CAMELS-style dataset explicitly designed to support non-stationary hydrological modelling. Building on the strengths of existing datasets such as CAMELS, Caravan, and EStreams, the developed dataset moves beyond static representations by incorporating time-varying catchment attributes and future climate forcing on a European scale.In particular, dynamic land-use and land-cover changes are derived from the European LUCAS dataset, providing annual updates to vegetation and land-cover fractions. Simultaneously, the inclusion of both raw and bias-corrected daily-resolution regional and global climate model dat</w:t>
      </w:r>
    </w:p>
    <w:p>
      <w:pPr/>
      <w:r>
        <w:rPr>
          <w:b/>
        </w:rPr>
        <w:t>POSSIBLE 2026:</w:t>
      </w:r>
      <w:r>
        <w:t xml:space="preserve"> Projecting Current and Future Habitat for the European Ground Squirrel Using MaxEnt Modeling under Climate Change — https://doi.org/10.54254/2753-8818/2026.au32281</w:t>
      </w:r>
    </w:p>
    <w:p>
      <w:pPr/>
      <w:r>
        <w:rPr>
          <w:b/>
        </w:rPr>
        <w:t>Shared claim-specific concepts:</w:t>
      </w:r>
      <w:r>
        <w:t xml:space="preserve"> used, areas; EU scope visible. This is a provisional connection, not an outcome finding.</w:t>
      </w:r>
    </w:p>
    <w:p>
      <w:pPr>
        <w:pStyle w:val="SourceNote"/>
      </w:pPr>
      <w:r>
        <w:rPr>
          <w:b/>
        </w:rPr>
        <w:t>Available abstract (not full text):</w:t>
      </w:r>
      <w:r>
        <w:t xml:space="preserve"> Climate change and human activities are changing the places where different species live more and more quickly. The European ground squirrel (Spermophilus citellus) is a species at risk, and it plays a very important role in keeping grassland environments healthy. But right now, we still do not know clearly where this threatened species lives now and where it will live in the future as the climate changes. This study combined data from many different sources and used an improved Maximum Entropy (MaxEnt) model (the test AUC value is more than 0.87) to carefully study the current situation and future changes of the good living areas for this species. The results found that the number of people living in an area and isothermality are the main environmental factors that affect where this species lives. Future guesses show that the good living areas for it will keep getting smaller. This is especially true under the high-pollution SSP5-8.5 scenario. By the end of the century, this might lead to a total loss of more than 20% of its suitable living areas. At the same time, there will be a big drop in the number of high-quality living areas for the species. It is projected that the area where this species lives will have a big move to the north. This study points out that we badly need active and flexible management methods to protect this species. The species can survive only if the w</w:t>
      </w:r>
    </w:p>
    <w:p>
      <w:pPr/>
      <w:r>
        <w:rPr>
          <w:b/>
        </w:rPr>
        <w:t>POSSIBLE 2026:</w:t>
      </w:r>
      <w:r>
        <w:t xml:space="preserve"> Modeling Sub‐Grid Peatland Vegetation Dynamics in the ORCHIDEE‐PEAT Land Surface Model — https://doi.org/10.1029/2025ms005257</w:t>
      </w:r>
    </w:p>
    <w:p>
      <w:pPr/>
      <w:r>
        <w:rPr>
          <w:b/>
        </w:rPr>
        <w:t>Shared claim-specific concepts:</w:t>
      </w:r>
      <w:r>
        <w:t xml:space="preserve"> vegetation, productivity, one, warming; EU scope not established. This is a provisional connection, not an outcome finding.</w:t>
      </w:r>
    </w:p>
    <w:p>
      <w:pPr>
        <w:pStyle w:val="SourceNote"/>
      </w:pPr>
      <w:r>
        <w:rPr>
          <w:b/>
        </w:rPr>
        <w:t>Available abstract (not full text):</w:t>
      </w:r>
      <w:r>
        <w:t xml:space="preserve"> Abstract Peatlands store about one‐third of total global soil carbon. Vegetation composition strongly regulates peatland carbon dynamics. Global warming and climate‐driven ecohydrological changes are expected to alter peatland vegetation composition, necessitating accurate simulation of vegetation dynamics to predict future fate of peatland carbon. We incorporated six plant functional types (PFTs) into the ORCHIDEE‐PEAT model to represent bryophytes (mosses), C3 graminoids (sedges and grasses), boreal broadleaf deciduous shrubs, boreal needleleaf evergreen trees, tropical evergreen and raingreen (water‐driven deciduous) trees growing in peatlands. The introduction and elimination of each PFT in response to bioclimatic conditions, as well as sapling establishment, growth, mortality, and competition among PFTs, are explicitly modeled. Simulated vegetation distributions align well with site‐level observations from West Siberian wetlands, where extensive vegetation composition measurements are available for model evaluation. The model slightly overestimated gross primary productivity (GPP) across 60 sites. Evaluation using global satellite‐derived land cover, leaf area index and GPP data was encouraging, though challenges lie in the lack of observational data specific to peatlands. From 1901 to 2020, simulated tropical peatland vegetation composition remains relatively stable. In n</w:t>
      </w:r>
    </w:p>
    <w:p>
      <w:pPr/>
      <w:r>
        <w:rPr>
          <w:b/>
        </w:rPr>
        <w:t>POSSIBLE 2026:</w:t>
      </w:r>
      <w:r>
        <w:t xml:space="preserve"> Modeling Sub-Grid Peatland Vegetation Dynamics in the ORCHIDEE-PEAT Land Surface Model — https://openalex.org/W7153954885</w:t>
      </w:r>
    </w:p>
    <w:p>
      <w:pPr/>
      <w:r>
        <w:rPr>
          <w:b/>
        </w:rPr>
        <w:t>Shared claim-specific concepts:</w:t>
      </w:r>
      <w:r>
        <w:t xml:space="preserve"> vegetation, productivity, warming; EU scope not established. This is a provisional connection, not an outcome finding.</w:t>
      </w:r>
    </w:p>
    <w:p>
      <w:pPr>
        <w:pStyle w:val="SourceNote"/>
      </w:pPr>
      <w:r>
        <w:rPr>
          <w:b/>
        </w:rPr>
        <w:t>Available abstract (not full text):</w:t>
      </w:r>
      <w:r>
        <w:t xml:space="preserve"> Peatlands store about one-third of total global soil carbon. Vegetation composition strongly regulates peatland carbon dynamics. Global warming and climate-driven ecohydrological changes are expected to alter peatland vegetation composition, necessitating accurate simulation of vegetation dynamics to predict future fate of peatland carbon. We incorporated six plant functional types (PFTs) into the ORCHIDEE-PEAT model to represent bryophytes (mosses), C3 graminoids (sedges and grasses), boreal broadleaf deciduous shrubs, boreal needleleaf evergreen trees, tropical evergreen and raingreen (water-driven deciduous) trees growing in peatlands. The introduction and elimination of each PFT in response to bioclimatic conditions, as well as sapling establishment, growth, mortality, and competition among PFTs, are explicitly modeled. Simulated vegetation distributions align well with site-level observations from West Siberian wetlands, where extensive vegetation composition measurements are available for model evaluation. The model slightly overestimated gross primary productivity (GPP) across 60 sites. Evaluation using global satellite-derived land cover, leaf area index and GPP data was encouraging, though challenges lie in the lack of observational data specific to peatlands. From 1901 to 2020, simulated tropical peatland vegetation composition remains relatively stable. In northern p</w:t>
      </w:r>
    </w:p>
    <w:p>
      <w:pPr/>
      <w:r>
        <w:rPr>
          <w:b/>
        </w:rPr>
        <w:t>POSSIBLE 2024:</w:t>
      </w:r>
      <w:r>
        <w:t xml:space="preserve"> Assessing the impact of transient land use and land cover changes in regional climate modeling using the LUCAS LUC dataset with a focus on forest cover changes in Europe — https://doi.org/10.5194/ems2024-893</w:t>
      </w:r>
    </w:p>
    <w:p>
      <w:pPr/>
      <w:r>
        <w:rPr>
          <w:b/>
        </w:rPr>
        <w:t>Shared claim-specific concepts:</w:t>
      </w:r>
      <w:r>
        <w:t xml:space="preserve"> vegetation, forest; EU scope visible. This is a provisional connection, not an outcome finding.</w:t>
      </w:r>
    </w:p>
    <w:p>
      <w:pPr>
        <w:pStyle w:val="SourceNote"/>
      </w:pPr>
      <w:r>
        <w:rPr>
          <w:b/>
        </w:rPr>
        <w:t>Available abstract (not full text):</w:t>
      </w:r>
      <w:r>
        <w:t xml:space="preserve"> Land use and land cover changes (LULCC), driven by human activities such as urbanization, afforestation or agricultural expansion, alter land surface properties. These alterations can lead to modifications in energy and water fluxes between the land surface and the atmosphere, thereby influencing the local and regional climate. Due to forests’ ability to sequester carbon, climate-resilient forest management is pivotal in climate change adaptation and mitigation, and its effects and feedbacks have to be well understood. However, in regional climate modeling, LULCC is often neglected, and the land cover is represented with a static land use and land cover map. Therefore, the WCRP CORDEX flagship pilot study LUCAS (Land Use and Climate Across Scales) aims to assess the impact of LULCC on regional climate with a coordinated regional climate model ensemble approach. A realistic implementation of LULCC into regional climate models requires consideration of transient LULCC. The LUCAS LUC dataset, developed by Hoffmann et al. (2023) provides these transient LULCC on high resolution suitable for regional climate modeling. The dataset is based on the plant functional type (PFT) distribution derived from the ESA-CCI LC dataset and provides annual LULCC based on the LUH2 dataset until the end of the century for different SSP scenarios and the historical period 1950–2014. As a collaboration</w:t>
      </w:r>
    </w:p>
    <w:p>
      <w:pPr/>
      <w:r>
        <w:rPr>
          <w:b/>
        </w:rPr>
        <w:t>POSSIBLE 2024:</w:t>
      </w:r>
      <w:r>
        <w:t xml:space="preserve"> Diversity and distribution of Raunkiær's life forms in European vegetation — https://doi.org/10.1111/jvs.13229</w:t>
      </w:r>
    </w:p>
    <w:p>
      <w:pPr/>
      <w:r>
        <w:rPr>
          <w:b/>
        </w:rPr>
        <w:t>Shared claim-specific concepts:</w:t>
      </w:r>
      <w:r>
        <w:t xml:space="preserve"> used, vegetation, forest; EU scope visible. This is a provisional connection, not an outcome finding.</w:t>
      </w:r>
    </w:p>
    <w:p>
      <w:pPr>
        <w:pStyle w:val="SourceNote"/>
      </w:pPr>
      <w:r>
        <w:rPr>
          <w:b/>
        </w:rPr>
        <w:t>Available abstract (not full text):</w:t>
      </w:r>
      <w:r>
        <w:t xml:space="preserve"> Abstract Aims The Raunkiær's system classifies vascular plants into life forms based on the position of renewal buds during periods unfavourable for plant growth. Despite the importance of Raunkiær's system for ecological research, a study exploring the diversity and distribution of life forms on a continental scale is missing. We aim to (i) map the diversity and distribution of life forms in European vegetation and (ii) test for effects of bioclimatic variables while controlling for habitat‐specific responses. Location Europe. Methods We used data on life forms of 8883 species recorded in 546,501 vegetation plots of different habitats (forest, grassland, scrub and wetland). For each plot, we calculated: (i) the proportion of species of each life form and (ii) the richness and evenness of life forms. We mapped these plot‐level metrics averaged across 50 km × 50 km grid cells and modelled their response to bioclimatic variables. Results Hemicryptophytes were the most widespread life form, especially in the temperate zone of Central Europe. Conversely, therophyte and chamaephyte species were more common in the Mediterranean as well as in the dry temperate regions. Moreover, chamaephytes were also more common in the boreal and arctic zones. Higher proportions of phanerophytes were found in the Mediterranean. Overall, a higher richness of life forms was found at lower latitudes whi</w:t>
      </w:r>
    </w:p>
    <w:p>
      <w:pPr/>
      <w:r>
        <w:rPr>
          <w:b/>
        </w:rPr>
        <w:t>POSSIBLE 2024:</w:t>
      </w:r>
      <w:r>
        <w:t xml:space="preserve"> The fingerprint of tropospheric ozone on broadleaved forest vegetation in Europe — https://doi.org/10.1016/j.ecolind.2023.111486</w:t>
      </w:r>
    </w:p>
    <w:p>
      <w:pPr/>
      <w:r>
        <w:rPr>
          <w:b/>
        </w:rPr>
        <w:t>Shared claim-specific concepts:</w:t>
      </w:r>
      <w:r>
        <w:t xml:space="preserve"> vegetation, forest; EU scope visible. This is a provisional connection, not an outcome finding.</w:t>
      </w:r>
    </w:p>
    <w:p>
      <w:pPr>
        <w:pStyle w:val="SourceNote"/>
      </w:pPr>
      <w:r>
        <w:rPr>
          <w:b/>
        </w:rPr>
        <w:t>Available abstract (not full text):</w:t>
      </w:r>
      <w:r>
        <w:t xml:space="preserve"> Tropospheric ozone (O3) increased globally in the 20th century, contributes to climate change and can have adverse effects on terrestrial ecosystems. The response of forest vegetation to ozone is modulated by species- and site-specific factors and visible foliar symptoms (VFS) are the only direct evidence of ozone effects on vegetation. VFS have been observed and reproduced under (semi-) controlled conditions and their field assessment has been largely harmonized in Europe. We analyzed ozone concentration and VFS data as measured at (respectively) 118 and 91 intensive monitoring sites of the International Co-Operative Programme on Assessment and Monitoring of Air Pollution Effects on Forests (ICP Forests) spanning over five European biogeographic regions from 2005 to 2018. Average values for VFS were calculated accounting for the number of species present and their observed frequency. Spatial and temporal variation of ozone concentrations, VFS, and their relationships across Europe were then investigated by applying Generalized Linear Mixed Models (GLMMs) and combined GLMMs. Ozone concentrations exceeded 40 ppb on 37.3 % of the sites and were significantly higher (p &lt; 0.05) in the Alpine and the Mediterranean regions. Over the 2005–2018 period there was a substantial stagnation of ozone concentrations with a tendency towards decreasing values in the Alpine-Boreal sites and incr</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used, forest;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Climate-Adapted Potential Vegetation—A European Multiclass Model Estimating the Future Potential of Natural Vegetation — https://doi.org/10.3390/f14020239</w:t>
      </w:r>
    </w:p>
    <w:p>
      <w:pPr/>
      <w:r>
        <w:rPr>
          <w:b/>
        </w:rPr>
        <w:t>Shared claim-specific concepts:</w:t>
      </w:r>
      <w:r>
        <w:t xml:space="preserve"> boundaries, vegetation, forest; EU scope visible. This is a provisional connection, not an outcome finding.</w:t>
      </w:r>
    </w:p>
    <w:p>
      <w:pPr>
        <w:pStyle w:val="SourceNote"/>
      </w:pPr>
      <w:r>
        <w:rPr>
          <w:b/>
        </w:rPr>
        <w:t>Available abstract (not full text):</w:t>
      </w:r>
      <w:r>
        <w:t xml:space="preserve"> Climate change will alter the site conditions for European vegetation. This is likely to shift the potential distribution of species and habitats outside its current boundaries. To enable future projections on shifts in vegetation potentials, we fitted a multiclass model to the current potential natural vegetation (PNV) of Europe using climatic predictors. The model was then applied to climate data of the time slice 2061–2080 with the Representative Concentration Pathways (RCPs) 4.5 and RCP 8.5. With an accuracy of 0.78, simulations well represented the site-equivalent vegetation types of the current PNV across Europe. Projections show drastic shifts in vegetation potentials in all parts of Europe. Boreal forests could lose up to 75% of their current potential, while Mediterranean Quercus forests and steppes would double their potential area. Deserts are projected to be on the rice, and the potential of currently widespread vegetation such as Fagus forests would be translocated. These estimated alterations of European vegetation potentials could have great effects on the stability of current forests, affecting nature conservation strategies and forest management.</w:t>
      </w:r>
    </w:p>
    <w:p>
      <w:pPr/>
      <w:r>
        <w:rPr>
          <w:b/>
        </w:rPr>
        <w:t>POSSIBLE 2023:</w:t>
      </w:r>
      <w:r>
        <w:t xml:space="preserve"> Testing the Effect of Relative Pollen Productivity on the REVEALS Model: A Validated Reconstruction of Europe-Wide Holocene Vegetation — https://doi.org/10.3390/land12050986</w:t>
      </w:r>
    </w:p>
    <w:p>
      <w:pPr/>
      <w:r>
        <w:rPr>
          <w:b/>
        </w:rPr>
        <w:t>Shared claim-specific concepts:</w:t>
      </w:r>
      <w:r>
        <w:t xml:space="preserve"> vegetation, forest, productivity, one; EU scope visible. This is a provisional connection, not an outcome finding.</w:t>
      </w:r>
    </w:p>
    <w:p>
      <w:pPr>
        <w:pStyle w:val="SourceNote"/>
      </w:pPr>
      <w:r>
        <w:rPr>
          <w:b/>
        </w:rPr>
        <w:t>Available abstract (not full text):</w:t>
      </w:r>
      <w:r>
        <w:t xml:space="preserve"> Reliable quantitative vegetation reconstructions for Europe during the Holocene are crucial to improving our understanding of landscape dynamics, making it possible to assess the past effects of environmental variables and land-use change on ecosystems and biodiversity, and mitigating their effects in the future. We present here the most spatially extensive and temporally continuous pollen-based reconstructions of plant cover in Europe (at a spatial resolution of 1° × 1°) over the Holocene (last 11.7 ka BP) using the ‘Regional Estimates of VEgetation Abundance from Large Sites’ (REVEALS) model. This study has three main aims. First, to present the most accurate and reliable generation of REVEALS reconstructions across Europe so far. This has been achieved by including a larger number of pollen records compared to former analyses, in particular from the Mediterranean area. Second, to discuss methodological issues in the quantification of past land cover by using alternative datasets of relative pollen productivities (RPPs), one of the key input parameters of REVEALS, to test model sensitivity. Finally, to validate our reconstructions with the global forest change dataset. The results suggest that the RPPs.st1 (31 taxa) dataset is best suited to producing regional vegetation cover estimates for Europe. These reconstructions offer a long-term perspective providing unique possibili</w:t>
      </w:r>
    </w:p>
    <w:p>
      <w:pPr/>
      <w:r>
        <w:rPr>
          <w:b/>
        </w:rPr>
        <w:t>POSSIBLE 2023:</w:t>
      </w:r>
      <w:r>
        <w:t xml:space="preserve"> Hybrid Deep Learning and S2S Model for Improved Sub-Seasonal Surface and Root-Zone Soil Moisture Forecasting — https://doi.org/10.3390/rs15133410</w:t>
      </w:r>
    </w:p>
    <w:p>
      <w:pPr/>
      <w:r>
        <w:rPr>
          <w:b/>
        </w:rPr>
        <w:t>Shared claim-specific concepts:</w:t>
      </w:r>
      <w:r>
        <w:t xml:space="preserve"> vegetation, forest, areas; EU scope visible. This is a provisional connection, not an outcome finding.</w:t>
      </w:r>
    </w:p>
    <w:p>
      <w:pPr>
        <w:pStyle w:val="SourceNote"/>
      </w:pPr>
      <w:r>
        <w:rPr>
          <w:b/>
        </w:rPr>
        <w:t>Available abstract (not full text):</w:t>
      </w:r>
      <w:r>
        <w:t xml:space="preserve"> Surface soil moisture (SSM) and root-zone soil moisture (RZSM) are key hydrological variables for the agricultural water cycle and vegetation growth. Accurate SSM and RZSM forecasting at sub-seasonal scales would be valuable for agricultural water management and preparations. Currently, weather model-based soil moisture predictions are subject to large uncertainties due to inaccurate initial conditions and empirical parameterization schemes, while the data-driven machine learning methods have limitations in modeling long-term temporal dependences of SSM and RZSM because of the lack of considerations in the soil water process. Thus, here, we innovatively integrate the model-based soil moisture predictions from a sub-seasonal-to-seasonal (S2S) model into a data-driven stacked deep learning model to construct a hybrid SSM and RZSM forecasting framework. The hybrid forecasting model is evaluated over the Yangtze River Basin and parts of Europe from 1- to 46-day lead times and is compared with four baseline methods, including the support vector regression (SVR), random forest (RF), convolutional long short-term memory (ConvLSTM) and the S2S model. The results indicate substantial skill improvements in the hybrid model relative to baseline models over the two study areas spatiotemporally, in terms of the correlation coefficient, unbiased root mean square error (ubRMSE) and RMSE. The </w:t>
      </w:r>
    </w:p>
    <w:p>
      <w:pPr/>
      <w:r>
        <w:rPr>
          <w:b/>
        </w:rPr>
        <w:t>POSSIBLE 2022:</w:t>
      </w:r>
      <w:r>
        <w:t xml:space="preserve"> High-resolution land use and land cover dataset for regional climate modelling: Historical and future changes in Europe — https://doi.org/10.5194/essd-2022-431</w:t>
      </w:r>
    </w:p>
    <w:p>
      <w:pPr/>
      <w:r>
        <w:rPr>
          <w:b/>
        </w:rPr>
        <w:t>Shared claim-specific concepts:</w:t>
      </w:r>
      <w:r>
        <w:t xml:space="preserve"> used, forest; EU scope visible. This is a provisional connection, not an outcome finding.</w:t>
      </w:r>
    </w:p>
    <w:p>
      <w:pPr>
        <w:pStyle w:val="SourceNote"/>
      </w:pPr>
      <w:r>
        <w:rPr>
          <w:b/>
        </w:rPr>
        <w:t>Available abstract (not full text):</w:t>
      </w:r>
      <w:r>
        <w:t xml:space="preserve"> Abstract. Anthropogenic land-use and land cover change (LULCC) is a major driver of environmental changes. The biophysical impacts of these changes on the regional climate in Europe are currently extensively investigated within the WCRP CORDEX Flagship Pilot Study (FPS) LUCAS - "Land Use and Climate Across Scales"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LUC dataset Version 1.1 at 0.1° resolution for Europe with annual LULC maps from 1950–2100 (Hoffmann et al., 2022b, a), which is tailored towards the use in state-of-the-art RCMs. The plant functional type distribution (PFT) for the year 2015 (i.e., LANDMATE PFT dataset) is derived from the European Space Agency Climate Change Initiative Land Cover (ESA-CCI LC) dataset. Details about the conversion method, cross-walking procedure and the evaluation of the LANDMATE PFT dataset are given in the companion paper by Reinhart et al. (2022b). Subsequently, we applied the land-use change information from the Land-Use Harmonization 2 (LUH2) dataset, provided at 0.25° resolution as input for CMIP6 experimen</w:t>
      </w:r>
    </w:p>
    <w:p>
      <w:pPr>
        <w:pStyle w:val="Heading2"/>
      </w:pPr>
      <w:r>
        <w:t>975. Facing the future: Scanning, synthesizing and sense-making in horizon scanning</w:t>
      </w:r>
    </w:p>
    <w:p>
      <w:pPr>
        <w:pStyle w:val="SourceNote"/>
      </w:pPr>
      <w:r>
        <w:rPr>
          <w:b/>
        </w:rPr>
        <w:t>Original source (2012):</w:t>
      </w:r>
      <w:r>
        <w:t xml:space="preserve"> https://doi.org/10.1093/scipol/scs021</w:t>
      </w:r>
    </w:p>
    <w:p>
      <w:pPr/>
      <w:r>
        <w:t>Original wording (abstract; indexed_source_text_not_full_document_verified): In this paper, we discuss key issues in harnessing horizon scanning to shape systemic policies, particularly in the light of the foresight exercise ‘Facing the future: Time for the EU to meet global challenges' which was carried out for the Bureau of European Policy Advisors. This exercise illustrates how horizon scanning can enable collective sense-making processes which assist in the identification of emerging signals and policy issues; the synthesis of such issues into encompassing clusters; and the interpretation of resulting clusters as an important step towards the coordinated development of joint policy measures.</w:t>
      </w:r>
    </w:p>
    <w:p>
      <w:pPr/>
      <w:r>
        <w:rPr>
          <w:b/>
        </w:rPr>
        <w:t>POSSIBLE 2026:</w:t>
      </w:r>
      <w:r>
        <w:t xml:space="preserve"> Horizon scanning for European wild pollinators identifies world-leading legislation as a key opportunity for pollinators — https://doi.org/10.1038/s41598-026-53025-1</w:t>
      </w:r>
    </w:p>
    <w:p>
      <w:pPr/>
      <w:r>
        <w:rPr>
          <w:b/>
        </w:rPr>
        <w:t>Shared claim-specific concepts:</w:t>
      </w:r>
      <w:r>
        <w:t xml:space="preserve"> key, issues, horizon, scanning, time; EU scope visible. This is a provisional connection, not an outcome finding.</w:t>
      </w:r>
    </w:p>
    <w:p>
      <w:pPr>
        <w:pStyle w:val="SourceNote"/>
      </w:pPr>
      <w:r>
        <w:rPr>
          <w:b/>
        </w:rPr>
        <w:t>Available abstract (not full text):</w:t>
      </w:r>
      <w:r>
        <w:t xml:space="preserve"> Wild insect pollinators contribute significantly to agricultural productivity, biodiversity, and ecosystem functioning. Wild pollinators are increasingly affected by multiple interacting stressors. Proactively identifying emerging risks and feasible mitigation strategies will be critical to ensuring the long-term stability of wild pollinators biodiversity and pollination services. We conducted the first continental scale horizon scan focused on wild pollinators in Europe. A structured Delphi-based approach was used to identify emerging issues that may have significant implications for wild pollinators over the coming decade. Ten priority issues were identified, including both potential risks and opportunities. For the first time in a pollinator-focused horizon scan, legislation was identified as a key opportunity, with the European Union Nature Restoration Regulation recognised for its potential to influence pollinator conservation through mandatory restoration and monitoring targets. In contrast, political developments such as the rise of populist parties and post-truth discourse may impede policy implementation. Several issues relating to pesticide use were also identified, including developments in RNA interference technologies and precision application methods, which may reduce non-target impacts if risks are appropriately assessed. These findings provide a foundation for f</w:t>
      </w:r>
    </w:p>
    <w:p>
      <w:pPr/>
      <w:r>
        <w:rPr>
          <w:b/>
        </w:rPr>
        <w:t>POSSIBLE 2026:</w:t>
      </w:r>
      <w:r>
        <w:t xml:space="preserve"> Evaluating international collaboration on horizon scanning for pharmaceuticals: developing key performance indicators for the international horizon scanning initiative — https://doi.org/10.1017/s0266462325103358</w:t>
      </w:r>
    </w:p>
    <w:p>
      <w:pPr/>
      <w:r>
        <w:rPr>
          <w:b/>
        </w:rPr>
        <w:t>Shared claim-specific concepts:</w:t>
      </w:r>
      <w:r>
        <w:t xml:space="preserve"> key, horizon, scanning, time; EU scope visible. This is a provisional connection, not an outcome finding.</w:t>
      </w:r>
    </w:p>
    <w:p>
      <w:pPr>
        <w:pStyle w:val="SourceNote"/>
      </w:pPr>
      <w:r>
        <w:rPr>
          <w:b/>
        </w:rPr>
        <w:t>Available abstract (not full text):</w:t>
      </w:r>
      <w:r>
        <w:t xml:space="preserve"> INTRODUCTION: Many European countries independently conduct horizon scanning activities. However, the costs, time, and resources required can be prohibitive. To address this, the International Horizon Scanning Initiative (IHSI) was launched in 2019. IHSI aims to facilitate decision-makers and payers in negotiating fair prices and preparing for potentially disruptive pharmaceuticals. IHSI developed the Joint Horizon Scanning Database, a repository of pharmaceuticals expected to enter the European market, and initiated a series of High Impact Reports (HIRs) to highlight pharmaceuticals that have the potential to significantly impact healthcare systems. This paper outlines the development of key performance indicators (KPIs) that can be used to evaluate IHSI's work. RESULTS: In close collaboration with representatives from IHSI member countries and its Executive Committee, the following KPIs were developed: "Number of IHSI member countries", "Embedding of IHSI in national health technology assessment procedures", "Database coverage", "Data completeness", "Data timeliness", "Accuracy of identifying disruptive pharmaceuticals", "Accuracy of identifying non-disruptive pharmaceuticals", "Use of HIRs in preparing for disruption to the healthcare system", and "Use of HIRs in price negotiations and financial arrangements". Among these, "Accuracy of identifying disruptive pharmaceuticals"</w:t>
      </w:r>
    </w:p>
    <w:p>
      <w:pPr/>
      <w:r>
        <w:rPr>
          <w:b/>
        </w:rPr>
        <w:t>POSSIBLE 2026:</w:t>
      </w:r>
      <w:r>
        <w:t xml:space="preserve"> Assessing the success of a horizon scanning approach in predicting invasive non-native species — https://openalex.org/W7114593291</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managing them once they have arrived, is recognised as the most effective approach to their management. Horizon scanning represents one of the key tools to identify high-risk INNS that are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ten years, establishing and having an impact on biodiversity and ecosystems. We assess the success of this exercise in predicting arrival of these species within the subsequent ten years. Ninety-two species were shortlisted in the 2013 horizon scan. Overall, 31 of the 92 species identified in the 2013 horizon scan have arrived by 2023. We found that 12 of the top 20 species had arrived within ten years. In predicting arrival, there was a significant effect of arrival previously within Great Britain, and the number of countries in Western Europe and Baltic countries in which an</w:t>
      </w:r>
    </w:p>
    <w:p>
      <w:pPr/>
      <w:r>
        <w:rPr>
          <w:b/>
        </w:rPr>
        <w:t>POSSIBLE 2026:</w:t>
      </w:r>
      <w:r>
        <w:t xml:space="preserve"> A global review of horizon scanning exercises for invasive alien species — https://doi.org/10.3897/aca.9.e202375</w:t>
      </w:r>
    </w:p>
    <w:p>
      <w:pPr/>
      <w:r>
        <w:rPr>
          <w:b/>
        </w:rPr>
        <w:t>Shared claim-specific concepts:</w:t>
      </w:r>
      <w:r>
        <w:t xml:space="preserve"> discuss, key, horizon, scanning, particularly, challenges; EU scope visible. This is a provisional connection, not an outcome finding.</w:t>
      </w:r>
    </w:p>
    <w:p>
      <w:pPr>
        <w:pStyle w:val="SourceNote"/>
      </w:pPr>
      <w:r>
        <w:rPr>
          <w:b/>
        </w:rPr>
        <w:t>Available abstract (not full text):</w:t>
      </w:r>
      <w:r>
        <w:t xml:space="preserve"> Invasive alien species (IAS) are a major driver of global biodiversity loss, generating substantial ecological, economic and social impacts. Prevention and early intervention are widely recognised as being more cost‑effective than long‑term management. As a result, IAS policy frameworks increasingly rely on predictive strategies and tools to guide prioritisation. Horizon scanning has emerged as a key approach, providing structured, forward‑looking assessments of IAS that are likely to arrive in a new area in the near future, establish invasive populations and cause harm. Despite widespread uptake of the method, there has, to our knowledge, been no global synthesis of how IAS horizon scanning exercises are conducted, how methodologies are developed, and what their potential policy implications are. Here, we present a global review of over 50 IAS horizon scanning exercises undertaken up to 2026, drawing on published and grey literature. We examine how horizon scans were designed across multiple taxonomic groups, geographic scales, regions and environments, evaluate their underlying objectives, such as informing policy and biosecurity, and review their recommendations. Our review shows that the number of horizon scans has been steadily increasing in recent years. Across the horizon scanning literature, terrestrial and freshwater environments were more frequently represented than m</w:t>
      </w:r>
    </w:p>
    <w:p>
      <w:pPr/>
      <w:r>
        <w:rPr>
          <w:b/>
        </w:rPr>
        <w:t>POSSIBLE 2026:</w:t>
      </w:r>
      <w:r>
        <w:t xml:space="preserve"> Key issues for European ecosystem based fisheries management — https://doi.org/10.1093/icesjms/fsag167</w:t>
      </w:r>
    </w:p>
    <w:p>
      <w:pPr/>
      <w:r>
        <w:rPr>
          <w:b/>
        </w:rPr>
        <w:t>Shared claim-specific concepts:</w:t>
      </w:r>
      <w:r>
        <w:t xml:space="preserve"> key, issues, particularly; EU scope visible. This is a provisional connection, not an outcome finding.</w:t>
      </w:r>
    </w:p>
    <w:p>
      <w:pPr>
        <w:pStyle w:val="SourceNote"/>
      </w:pPr>
      <w:r>
        <w:rPr>
          <w:b/>
        </w:rPr>
        <w:t>Available abstract (not full text):</w:t>
      </w:r>
      <w:r>
        <w:t xml:space="preserve"> Abstract Ecosystem based fisheries management (EBFM) aims to maintain healthy ecological systems as well as sustainable exploitation and benefits to social systems. However, the operationalization of EBFM may be hampered by a variety of factors, including lack of clarity about key priorities, lack of adequate knowledge and lack of management responses. We derived key concern topics in European-wide consultations of scientists and stakeholders, investigated the knowledge available for each of these topics and compared both to existing European management indicators to determine the degree to which key topics, knowledge, and management indicators align. The identified issues of relevance to EBFM advice included almost as many topics related to human wellbeing as to ecological wellbeing for all stakeholder groups. The frequency of topics varied among regions but did not differ between non-scientist stakeholder groups. Comparison of the balance between topics revealed large differences between regions in the available knowledge in spite of extensive consistency among key topics. This leaves local and Europe-wide “blind spots” for managers when trying to make informed decisions. Knowledge is particularly limited on the links between fisheries and human well-being, endangered, threatened and protected species and other human drivers such as pollution. Further, management indicators o</w:t>
      </w:r>
    </w:p>
    <w:p>
      <w:pPr/>
      <w:r>
        <w:rPr>
          <w:b/>
        </w:rPr>
        <w:t>POSSIBLE 2026:</w:t>
      </w:r>
      <w:r>
        <w:t xml:space="preserve"> Horizon Scanning of Green Logistics Futures in Central and Eastern Europe: An Economic Perspective — https://doi.org/10.15290/oes.2026.03.125.02</w:t>
      </w:r>
    </w:p>
    <w:p>
      <w:pPr/>
      <w:r>
        <w:rPr>
          <w:b/>
        </w:rPr>
        <w:t>Shared claim-specific concepts:</w:t>
      </w:r>
      <w:r>
        <w:t xml:space="preserve"> key, horizon, scanning, shape, time; EU scope visible. This is a provisional connection, not an outcome finding.</w:t>
      </w:r>
    </w:p>
    <w:p>
      <w:pPr>
        <w:pStyle w:val="SourceNote"/>
      </w:pPr>
      <w:r>
        <w:rPr>
          <w:b/>
        </w:rPr>
        <w:t>Available abstract (not full text):</w:t>
      </w:r>
      <w:r>
        <w:t xml:space="preserve"> Purpose | The paper aims to identify key megatrends and economic uncertainties shaping the future development of green logistics in Central and Eastern Europe. It seeks to examine how regulatory, financial, and geopolitical conditions may influence alternative pathways of green logistics transformation in the region. Research method | The study applies a foresight-based research design that combines horizon scanning and scenario analysis. Horizon scanning identifies long-term trends and critical uncertainties affecting green logistics. At the same time, scenario analysis constructs alternative future development paths under different configurations of financing availability, regulatory and geopolitical stability. Results | Green logistics development in Central and Eastern Europe is primarily shaped by economic factors, including access to financing, cost structures, and investment risk, as well as the gradual emergence of circular economy practices within logistics systems. Regulation sets the direction, but funding and institutional uncertainty shape unstable, path-dependent processes of transformation. Originality / value / implications / recommendations | The paper contributes to the literature by framing green logistics as an economically conditioned transformation process rather than a uniform sustainability pathway. The study provides foresight-based insights for policy </w:t>
      </w:r>
    </w:p>
    <w:p>
      <w:pPr/>
      <w:r>
        <w:rPr>
          <w:b/>
        </w:rPr>
        <w:t>POSSIBLE 2026:</w:t>
      </w:r>
      <w:r>
        <w:t xml:space="preserve"> Horizon scanning at EMA: preparing for the medicines of the future — https://doi.org/10.3389/fmed.2026.1800213</w:t>
      </w:r>
    </w:p>
    <w:p>
      <w:pPr/>
      <w:r>
        <w:rPr>
          <w:b/>
        </w:rPr>
        <w:t>Shared claim-specific concepts:</w:t>
      </w:r>
      <w:r>
        <w:t xml:space="preserve"> key, horizon, scanning, foresight, challenges, out; EU scope visible. This is a provisional connection, not an outcome finding.</w:t>
      </w:r>
    </w:p>
    <w:p>
      <w:pPr>
        <w:pStyle w:val="SourceNote"/>
      </w:pPr>
      <w:r>
        <w:rPr>
          <w:b/>
        </w:rPr>
        <w:t>Available abstract (not full text):</w:t>
      </w:r>
      <w:r>
        <w:t xml:space="preserve"> This article provides insights into the European Medicines Agency's approach to horizon scanning as a foresight tool to support early identification, analysis and preparedness for emerging trends, technologies and challenges relevant to medicines development and authorization. Emerging topics are identified through a continuous scanning of several sources of information, including key trends identified by leading institutions such as the World Health Organization, the European Commission Joint Research Centre, and the European Innovation Council. This perspective sets out the scope, impact and outputs of horizon scanning within the European medicines regulatory network, which include topic-specific reports, collaborative workshops and webinars, and contributions to regulatory policy, strategic planning, capacity building and research prioritization. It also emphasizes the European medicines regulatory network's commitment to collaboration and knowledge sharing across European and international organizations. Through these efforts, horizon scanning supports regulatory preparedness and resilience of the European medicines regulatory system.</w:t>
      </w:r>
    </w:p>
    <w:p>
      <w:pPr/>
      <w:r>
        <w:rPr>
          <w:b/>
        </w:rPr>
        <w:t>POSSIBLE 2025:</w:t>
      </w:r>
      <w:r>
        <w:t xml:space="preserve"> Editorial: Discussing key issues in the digital agenda — https://doi.org/10.1108/jstpm-03-2025-250</w:t>
      </w:r>
    </w:p>
    <w:p>
      <w:pPr/>
      <w:r>
        <w:rPr>
          <w:b/>
        </w:rPr>
        <w:t>Shared claim-specific concepts:</w:t>
      </w:r>
      <w:r>
        <w:t xml:space="preserve"> key, issues, horizon, policies, challenges; EU scope visible. This is a provisional connection, not an outcome finding.</w:t>
      </w:r>
    </w:p>
    <w:p>
      <w:pPr>
        <w:pStyle w:val="SourceNote"/>
      </w:pPr>
      <w:r>
        <w:rPr>
          <w:b/>
        </w:rPr>
        <w:t>Available abstract (not full text):</w:t>
      </w:r>
      <w:r>
        <w:t xml:space="preserve"> The Horizon Europe strategic plan 2025–2027 addresses, among other main global challenges, the digital transition and climate change. This plan has three key orientations for research and innovation: “green transition, digital transition and a more resilient, competitive, inclusive and democratic Europe” (European Commission: Directorate-General for Research and Innovation, 2024, p. 3). In this period, “it is agreed to invest at least EUR 13 billion from Horizon Europe in core digital technologies” (European Commission: Directorate-General for Research and Innovation, 2024, p. 6).It is important to set priorities to reinforce investments in human capital, science and technology as well as align policies initiatives at different levels (local, national and regional). This requires the dialogue among a broad variety of stakeholders and design innovative strategies successfully navigate the green and digital transitions (Almunawar et al., 2022, 2023; Collin et al., 2023; Imjai et al., 2024; Lytras and Ordóñez de Pablos, 2008; Zhang et al., 2012; Zhang et al., 2019, 2024).The second issue Journal of Science and Technology Policy Management in 2025 contains a collection of seven papers addressing key topics for competitiveness of companies, governments and nations such as big data, entrepreneurship, e-payment, sustainability and innovative systems. Next, we will summarize the conten</w:t>
      </w:r>
    </w:p>
    <w:p>
      <w:pPr/>
      <w:r>
        <w:rPr>
          <w:b/>
        </w:rPr>
        <w:t>POSSIBLE 2025:</w:t>
      </w:r>
      <w:r>
        <w:t xml:space="preserve"> One Health Horizon Scanning: Contribution to Road Map — https://doi.org/10.1079/junoreports.2025.0003</w:t>
      </w:r>
    </w:p>
    <w:p>
      <w:pPr/>
      <w:r>
        <w:rPr>
          <w:b/>
        </w:rPr>
        <w:t>Shared claim-specific concepts:</w:t>
      </w:r>
      <w:r>
        <w:t xml:space="preserve"> discuss, key, issues, horizon, scanning, challenges; EU scope visible. This is a provisional connection, not an outcome finding.</w:t>
      </w:r>
    </w:p>
    <w:p>
      <w:pPr>
        <w:pStyle w:val="SourceNote"/>
      </w:pPr>
      <w:r>
        <w:rPr>
          <w:b/>
        </w:rPr>
        <w:t>Available abstract (not full text):</w:t>
      </w:r>
      <w:r>
        <w:t xml:space="preserve"> A Horizon Scanning process was undertaken to identify and prioritize future One Health (OH) research needs in low- and middle-income countries (LMICs), focusing on Africa and Asia. Through a multi-phase participatory process comprising multilingual global surveys to gather and prioritize OH issues of importance, thematic analysis to cluster priorities, online and in-person workshops to discuss and add context to priorities, over 400 contributors reported cross-sectoral research priorities in human, animal, plant, and environmental health. A modified Delphi method, involving extensive input from a group of 11 people with expertise in a board spectrum of OH areas, produced a final set of 56 priority questions, five of which emerged as globally critical: integrated surveillance systems; the role of climate change in disease emergence; governance for OH coordination; antimicrobial resistance (AMR); and socio-environmental drivers of disease. While some priorities had global consensus, others varied regionally, reflecting contextual epidemiological and structural realities. Participants from Africa and Asia prioritized AMR and water, sanitation and hygiene (WASH); Europe prioritized governance; Oceania prioritized indigenous knowledge; and South America prioritized community-led strategies. Key cross-cutting challenges included the challenge of fragmented surveillance data, insuffic</w:t>
      </w:r>
    </w:p>
    <w:p>
      <w:pPr/>
      <w:r>
        <w:rPr>
          <w:b/>
        </w:rPr>
        <w:t>POSSIBLE 2025:</w:t>
      </w:r>
      <w:r>
        <w:t xml:space="preserve"> Assessing the success of a horizon scanning approach in predicting invasive non‐native species arrival — https://doi.org/10.1111/1365-2664.70217</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Abstract 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controlling them once they have arrived, is recognised as the most effective approach to their management. Horizon scanning represents one of the key tools to identify high‐risk INNS that have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10 years, establishing and having an impact on biodiversity and ecosystems. We evaluated the success of this exercise in predicting arrival of these species within the subsequent 10 years. Ninety‐two species were shortlisted in the 2013 horizon scan. In total, 31 of the 92 species identified in the 2013 horizon scan had arrived by 2023. We found that 12 of the top 20 species had arrived within 10 years. In predicting arrival, there was a significant effect of species having arrived previously to Great Britain, and the number of countries in Western Europe and Balt</w:t>
      </w:r>
    </w:p>
    <w:p>
      <w:pPr/>
      <w:r>
        <w:rPr>
          <w:b/>
        </w:rPr>
        <w:t>POSSIBLE 2025:</w:t>
      </w:r>
      <w:r>
        <w:t xml:space="preserve"> Religion and the economy in Europe — https://doi.org/10.4324/9781003152675-18</w:t>
      </w:r>
    </w:p>
    <w:p>
      <w:pPr/>
      <w:r>
        <w:rPr>
          <w:b/>
        </w:rPr>
        <w:t>Shared claim-specific concepts:</w:t>
      </w:r>
      <w:r>
        <w:t xml:space="preserve"> key, issues, particularly; EU scope visible. This is a provisional connection, not an outcome finding.</w:t>
      </w:r>
    </w:p>
    <w:p>
      <w:pPr>
        <w:pStyle w:val="SourceNote"/>
      </w:pPr>
      <w:r>
        <w:rPr>
          <w:b/>
        </w:rPr>
        <w:t>Available abstract (not full text):</w:t>
      </w:r>
      <w:r>
        <w:t xml:space="preserve"> Despite having initially constituted one of the key issues for the founding fathers of sociology, the relations between religion and the economy have been evacuated by the most restrictive approaches to secularization and modernization in Europe. In contrast, this chapter argues that religion keeps on playing a relevant role within economic behavior in the European context. The interactions between religion and the economy have taken on different forms and can be observed at various scales: micro, meso, and macro. The chapter discusses the merits and limits of these approaches in three steps. It first proposes a critical reading of the approaches to the impact of macroeconomics on religion and vice-versa, particularly when they are applied to the European context. The chapter then turns to meso approaches of religion and the economy by focusing on the role played by religious institutions in economic life: religion and entrepreneurship, religion and the social economy, religious institutions and local welfare, and religion and the economics of immigration. The concluding section endeavors to frame a research agenda on religion and economy in contemporary Europe, by focusing on the interactions between individuals, religious institutions, economic (for- and not-for-profit) actors, and the state.</w:t>
      </w:r>
    </w:p>
    <w:p>
      <w:pPr/>
      <w:r>
        <w:rPr>
          <w:b/>
        </w:rPr>
        <w:t>POSSIBLE 2025:</w:t>
      </w:r>
      <w:r>
        <w:t xml:space="preserve"> Assessing the success of a horizon scanning approach in predicting invasive non-native species arrival — https://openalex.org/W7126126521</w:t>
      </w:r>
    </w:p>
    <w:p>
      <w:pPr/>
      <w:r>
        <w:rPr>
          <w:b/>
        </w:rPr>
        <w:t>Shared claim-specific concepts:</w:t>
      </w:r>
      <w:r>
        <w:t xml:space="preserve"> discuss, key, horizon, scanning, exercise; EU scope visible. This is a provisional connection, not an outcome finding.</w:t>
      </w:r>
    </w:p>
    <w:p>
      <w:pPr>
        <w:pStyle w:val="SourceNote"/>
      </w:pPr>
      <w:r>
        <w:rPr>
          <w:b/>
        </w:rPr>
        <w:t>Available abstract (not full text):</w:t>
      </w:r>
      <w:r>
        <w:t xml:space="preserve"> © 2025 The Author(s). Journal of Applied Ecology published by John Wiley &amp; Sons Ltd on behalf of British Ecological Society.Despite increasing awareness of invasive non-native species (INNS) and enhanced biosecurity controls in many countries, INNS are still arriving and establishing in new destinations, remaining a globally acknowledged threat to native biodiversity. Preventing the introduction of INNS, as opposed to controlling them once they have arrived, is recognised as the most effective approach to their management. Horizon scanning represents one of the key tools to identify high-risk INNS that have yet to arrive within a region and has been applied in many contexts around the world, but to date there have been no studies that systematically assess the effectiveness of this approach. Here, we revisit the horizon scan for Great Britain conducted in 2013 that assessed the likelihood of high-risk INNS arriving within the next 10 years, establishing and having an impact on biodiversity and ecosystems. We evaluated the success of this exercise in predicting arrival of these species within the subsequent 10 years. Ninety-two species were shortlisted in the 2013 horizon scan. In total, 31 of the 92 species identified in the 2013 horizon scan had arrived by 2023. We found that 12 of the top 20 species had arrived within 10 years. In predicting arrival, there was a significant e</w:t>
      </w:r>
    </w:p>
    <w:p>
      <w:pPr>
        <w:pStyle w:val="Heading2"/>
      </w:pPr>
      <w:r>
        <w:t>976. Future air quality in Europe: a multi-model assessment of projected exposure to ozone</w:t>
      </w:r>
    </w:p>
    <w:p>
      <w:pPr>
        <w:pStyle w:val="SourceNote"/>
      </w:pPr>
      <w:r>
        <w:rPr>
          <w:b/>
        </w:rPr>
        <w:t>Original source (2012):</w:t>
      </w:r>
      <w:r>
        <w:t xml:space="preserve"> https://doi.org/10.5194/acp-12-10613-2012</w:t>
      </w:r>
    </w:p>
    <w:p>
      <w:pPr/>
      <w:r>
        <w:t>Original wording (abstract; indexed_source_text_not_full_document_verified): We conclude that air pollution mitigation measures (present in both scenarios) are the main factors leading to the improvement, but an additional cobenefit of at least 40% (depending on the indicator) is brought about by the climate policy. In order to explore future air quality in Europe at the 2030 horizon, two emission scenarios developed in the framework of the Global Energy Assessment including varying assumptions on climate and energy access policies are investigated with an ensemble of six regional and global atmospheric chemistry transport models.</w:t>
      </w:r>
    </w:p>
    <w:p>
      <w:pPr/>
      <w:r>
        <w:rPr>
          <w:b/>
        </w:rPr>
        <w:t>POSSIBLE 2025:</w:t>
      </w:r>
      <w:r>
        <w:t xml:space="preserve"> Air pollution and innovation — https://doi.org/10.1016/j.jeem.2024.103102</w:t>
      </w:r>
    </w:p>
    <w:p>
      <w:pPr/>
      <w:r>
        <w:rPr>
          <w:b/>
        </w:rPr>
        <w:t>Shared claim-specific concepts:</w:t>
      </w:r>
      <w:r>
        <w:t xml:space="preserve"> conclude, air, pollution, least; EU scope visible. This is a provisional connection, not an outcome finding.</w:t>
      </w:r>
    </w:p>
    <w:p>
      <w:pPr>
        <w:pStyle w:val="SourceNote"/>
      </w:pPr>
      <w:r>
        <w:rPr>
          <w:b/>
        </w:rPr>
        <w:t>Available abstract (not full text):</w:t>
      </w:r>
      <w:r>
        <w:t xml:space="preserve"> Existing estimates of the economic costs of air pollution do not account for its effect on inventive output. Using two weather phenomena as instruments, we estimate this effect in a sample of 1,288 European regions. A decrease in exposure to small particulate matter of 0:17 g=m3 – the average yearly reduction in Europe – leads to 1.7% more patented inventions. After ruling out reallocation of human capital, inventor mortality and R&amp;D expenditures as drivers of the effect, we conclude that air pollution’s harm to economic output increases by at least 10% when accounting for innovation.</w:t>
      </w:r>
    </w:p>
    <w:p>
      <w:pPr/>
      <w:r>
        <w:rPr>
          <w:b/>
        </w:rPr>
        <w:t>POSSIBLE 2024:</w:t>
      </w:r>
      <w:r>
        <w:t xml:space="preserve"> Geographic sources of ozone air pollution and mortality burden in Europe — https://doi.org/10.1038/s41591-024-02976-x</w:t>
      </w:r>
    </w:p>
    <w:p>
      <w:pPr/>
      <w:r>
        <w:rPr>
          <w:b/>
        </w:rPr>
        <w:t>Shared claim-specific concepts:</w:t>
      </w:r>
      <w:r>
        <w:t xml:space="preserve"> air, pollution, mitigation, both, but, about; EU scope visible. This is a provisional connection, not an outcome finding.</w:t>
      </w:r>
    </w:p>
    <w:p>
      <w:pPr>
        <w:pStyle w:val="SourceNote"/>
      </w:pPr>
      <w:r>
        <w:rPr>
          <w:b/>
        </w:rPr>
        <w:t>Available abstract (not full text):</w:t>
      </w:r>
      <w:r>
        <w:t xml:space="preserve"> Abstract Ground-level ozone (O 3 ) is a harmful air pollutant formed in the atmosphere by the interaction between sunlight and precursor gases. Exposure to current O 3 levels in Europe is a major source of premature mortality from air pollution. However, mitigation actions have been mainly designed and implemented at the national and regional scales, lacking a comprehensive assessment of the geographic sources of O 3 pollution and its associated health impacts. Here we quantify both national and imported contributions to O 3 and their related mortality burden across 813 contiguous regions in 35 European countries, representing about 530 million people. Imported O 3 contributed to 88.3% of all O 3 -attributable deaths (intercountry range 83–100%). The greatest share of imported O 3 had its origins outside the study domain (that is, hemispheric sources), which was responsible for 56.7% of total O 3 -attributable mortality (range 42.5–87.2%). It was concluded that achieving the air-quality guidelines set out by the World Health Organization and avoiding the health impacts of O 3 require not only the implementation of national or coordinated pan-European actions but also global strategies.</w:t>
      </w:r>
    </w:p>
    <w:p>
      <w:pPr/>
      <w:r>
        <w:rPr>
          <w:b/>
        </w:rPr>
        <w:t>POSSIBLE 2023:</w:t>
      </w:r>
      <w:r>
        <w:t xml:space="preserve"> Clean air in Europe for all — https://doi.org/10.1097/ee9.0000000000000245</w:t>
      </w:r>
    </w:p>
    <w:p>
      <w:pPr/>
      <w:r>
        <w:rPr>
          <w:b/>
        </w:rPr>
        <w:t>Shared claim-specific concepts:</w:t>
      </w:r>
      <w:r>
        <w:t xml:space="preserve"> air, pollution, present, but, climate, quality; EU scope visible. This is a provisional connection, not an outcome finding.</w:t>
      </w:r>
    </w:p>
    <w:p>
      <w:pPr>
        <w:pStyle w:val="SourceNote"/>
      </w:pPr>
      <w:r>
        <w:rPr>
          <w:b/>
        </w:rPr>
        <w:t>Available abstract (not full text):</w:t>
      </w:r>
      <w:r>
        <w:t xml:space="preserve"> Introduction Ambient air pollution is a major global public health risk factor. There is now broad consensus that exposure to air pollution causes an array of adverse health effects based on evidence from a large scientific literature that has grown exponentially since the mid-1990s.1–4 Air pollution damages most organ systems and is linked to many debilitating diseases, such as asthma, cardiovascular diseases, chronic obstructive pulmonary disease, pneumonia, stroke, diabetes, lung cancer, and dementia.5 The Global Burden of Disease study estimated that in 2019 air pollution ranked as the fourth global risk factor for mortality, surpassed only by high blood pressure, tobacco use, and poor diet.6 The European Environment Agency estimated 300,000 premature deaths due to air pollution in the EU-27 in 2020—an unacceptable high air pollution burden.7 Air pollution levels have generally declined over the last several decades in Europe, due largely to successful air quality regulation and subsequent improvements in technology and industry. The current air quality legislation in Europe—the Ambient Air Quality Directive (AAQD) from 2008—set limit values for the annual mean of the air pollutants PM2.5 and NO2 to 25 and 40 µg/m3, respectively.8 These limit values are criticized for being insufficient to protect the health of EU citizens.9,10 The World Health Organization (WHO) released n</w:t>
      </w:r>
    </w:p>
    <w:p>
      <w:pPr/>
      <w:r>
        <w:rPr>
          <w:b/>
        </w:rPr>
        <w:t>POSSIBLE 2023:</w:t>
      </w:r>
      <w:r>
        <w:t xml:space="preserve"> Air pollution and respiratory infections: the past, present, and future — https://doi.org/10.1093/toxsci/kfad003</w:t>
      </w:r>
    </w:p>
    <w:p>
      <w:pPr/>
      <w:r>
        <w:rPr>
          <w:b/>
        </w:rPr>
        <w:t>Shared claim-specific concepts:</w:t>
      </w:r>
      <w:r>
        <w:t xml:space="preserve"> conclude, air, pollution, measures, present; EU scope not established. This is a provisional connection, not an outcome finding.</w:t>
      </w:r>
    </w:p>
    <w:p>
      <w:pPr>
        <w:pStyle w:val="SourceNote"/>
      </w:pPr>
      <w:r>
        <w:rPr>
          <w:b/>
        </w:rPr>
        <w:t>Available abstract (not full text):</w:t>
      </w:r>
      <w:r>
        <w:t xml:space="preserve"> Air pollution levels across the globe continue to rise despite government regulations. The increase in global air pollution levels drives detrimental human health effects, including 7 million premature deaths every year. Many of these deaths are attributable to increased incidence of respiratory infections. Considering the COVID-19 pandemic, an unprecedented public health crisis that has claimed the lives of over 6.5 million people globally, respiratory infections as a driver of human mortality is a pressing concern. Therefore, it is more important than ever to understand the relationship between air pollution and respiratory infections so that public health measures can be implemented to ameliorate further morbidity and mortality. This article aims to review the current epidemiologic and basic science research on interactions between air pollution exposure and respiratory infections. The first section will present epidemiologic studies organized by pathogen, followed by a review of basic science research investigating the mechanisms of infection, and then conclude with a discussion of areas that require future investigation.</w:t>
      </w:r>
    </w:p>
    <w:p>
      <w:pPr/>
      <w:r>
        <w:rPr>
          <w:b/>
        </w:rPr>
        <w:t>POSSIBLE 2022:</w:t>
      </w:r>
      <w:r>
        <w:t xml:space="preserve"> Reviewing the links and feedbacks between climate change and air pollution in Europe — https://doi.org/10.3389/fenvs.2022.954045</w:t>
      </w:r>
    </w:p>
    <w:p>
      <w:pPr/>
      <w:r>
        <w:rPr>
          <w:b/>
        </w:rPr>
        <w:t>Shared claim-specific concepts:</w:t>
      </w:r>
      <w:r>
        <w:t xml:space="preserve"> air, pollution, mitigation, main, but, depending; EU scope visible. This is a provisional connection, not an outcome finding.</w:t>
      </w:r>
    </w:p>
    <w:p>
      <w:pPr>
        <w:pStyle w:val="SourceNote"/>
      </w:pPr>
      <w:r>
        <w:rPr>
          <w:b/>
        </w:rPr>
        <w:t>Available abstract (not full text):</w:t>
      </w:r>
      <w:r>
        <w:t xml:space="preserve"> Feedbacks between air pollutants and meteorology play a crucial role in the direction of the response of future climate and air pollution. These feedbacks are important to understand and quantify the potential impact of adaptation and mitigation policies setup for protecting the population against air pollution and heat stress. We review the interactions between climate and air pollution, with special focus on the projections of air pollution under different future climate scenarios and time horizons, based on a literature review of research articles and reports from the last decade. The assessment focuses on 1) the specific impacts of climate change on air pollution and natural particle and precursor emissions in Europe in the near future (2030), by mid-century (2050) and by end of the century (2100), 2) impacts on air pollution due to changes in emissions vs. changes in climate, 3) feedbacks from air pollution on climate, 4) impacts of climate change on wildland fires and air pollutant levels, and 5) the role of adaptation and mitigation policies on climate change and air pollution. Available literature to a large extent suggests that ozone concentrations will likely increase in the second half of the century by up to 9 ppb [−4 + 9.3], while in the first half of the century, changes are much smaller and are up to ±1.5 ppb. These changes are mainly attributed to increased temp</w:t>
      </w:r>
    </w:p>
    <w:p>
      <w:pPr/>
      <w:r>
        <w:rPr>
          <w:b/>
        </w:rPr>
        <w:t>POSSIBLE 2022:</w:t>
      </w:r>
      <w:r>
        <w:t xml:space="preserve"> Spatial heterogeneity of air pollution statistics in Europe — https://doi.org/10.1038/s41598-022-16109-2</w:t>
      </w:r>
    </w:p>
    <w:p>
      <w:pPr/>
      <w:r>
        <w:rPr>
          <w:b/>
        </w:rPr>
        <w:t>Shared claim-specific concepts:</w:t>
      </w:r>
      <w:r>
        <w:t xml:space="preserve"> air, pollution, leading, order; EU scope visible. This is a provisional connection, not an outcome finding.</w:t>
      </w:r>
    </w:p>
    <w:p>
      <w:pPr>
        <w:pStyle w:val="SourceNote"/>
      </w:pPr>
      <w:r>
        <w:rPr>
          <w:b/>
        </w:rPr>
        <w:t>Available abstract (not full text):</w:t>
      </w:r>
      <w:r>
        <w:t xml:space="preserve"> Air pollution is one of the leading causes of death globally, and continues to have a detrimental effect on our health. In light of these impacts, an extensive range of statistical modelling approaches has been devised in order to better understand air pollution statistics. However, the time-varying statistics of different types of air pollutants are far from being fully understood. The observed probability density functions (PDFs) of concentrations depend very much on the spatial location and on the pollutant substance. In this paper, we analyse a large variety of data from 3544 different European monitoring sites and show that the PDFs of nitric oxide (NO), nitrogen dioxide ([Formula: see text]) and particulate matter ([Formula: see text] and [Formula: see text]) concentrations generically exhibit heavy tails and are asymptotically well approximated by q-exponential distributions with a given width parameter [Formula: see text]. We observe that the power-law parameter q and the width parameter [Formula: see text] vary widely for the different spatial locations. For each substance, we find different patterns of parameter clouds in the [Formula: see text] plane. These depend on the type of pollutants and on the environmental characteristics (urban/suburban/rural/traffic/industrial/background). This means the effective statistical physics description of air pollution exhibits a </w:t>
      </w:r>
    </w:p>
    <w:p>
      <w:pPr/>
      <w:r>
        <w:rPr>
          <w:b/>
        </w:rPr>
        <w:t>POSSIBLE 2022:</w:t>
      </w:r>
      <w:r>
        <w:t xml:space="preserve"> Measuring disparities in air transport access across Europe: An inequality, vulnerability and dependence approach — https://doi.org/10.1016/j.tra.2022.11.016</w:t>
      </w:r>
    </w:p>
    <w:p>
      <w:pPr/>
      <w:r>
        <w:rPr>
          <w:b/>
        </w:rPr>
        <w:t>Shared claim-specific concepts:</w:t>
      </w:r>
      <w:r>
        <w:t xml:space="preserve"> air, indicator; EU scope visible. This is a provisional connection, not an outcome finding.</w:t>
      </w:r>
    </w:p>
    <w:p>
      <w:pPr>
        <w:pStyle w:val="SourceNote"/>
      </w:pPr>
      <w:r>
        <w:rPr>
          <w:b/>
        </w:rPr>
        <w:t>Available abstract (not full text):</w:t>
      </w:r>
      <w:r>
        <w:t xml:space="preserve"> Air transport networks tend to develop in accordance with underlying economic activity and links. This relationship in Europe has not developed entirely evenly or consistently, however, with some regional population centres having comparatively low levels of access to air transport services and global markets. This study focusses on air transport access inequality across 1,388 regions in Europe using the 20:20 ratio, a commonly used indicator in macroeconomic income inequality studies. For those regions in the bottom 5% in terms of degree centrality (using 2019 baseline data) an in-depth vulnerability, dependence and pandemic impact analysis was performed to determine the regions that may represent strong cases for state intervention to ensure continued access to a base level of essential air services. The stepwise methodological framework developed in this research could be used as a prioritisation tool by industry and policy stakeholders, most notably in the context of scarce public resources, which is a typical characteristic in Europe. The highest levels of inequality, vulnerability, dependence and pandemic impact were found in some Spanish, and Finnish regions.</w:t>
      </w:r>
    </w:p>
    <w:p>
      <w:pPr/>
      <w:r>
        <w:rPr>
          <w:b/>
        </w:rPr>
        <w:t>POSSIBLE 2022:</w:t>
      </w:r>
      <w:r>
        <w:t xml:space="preserve"> The border effect in European air transport — https://doi.org/10.18757/ejtir.2022.22.2.5773</w:t>
      </w:r>
    </w:p>
    <w:p>
      <w:pPr/>
      <w:r>
        <w:rPr>
          <w:b/>
        </w:rPr>
        <w:t>Shared claim-specific concepts:</w:t>
      </w:r>
      <w:r>
        <w:t xml:space="preserve"> air, measures, but; EU scope visible. This is a provisional connection, not an outcome finding.</w:t>
      </w:r>
    </w:p>
    <w:p>
      <w:pPr>
        <w:pStyle w:val="SourceNote"/>
      </w:pPr>
      <w:r>
        <w:rPr>
          <w:b/>
        </w:rPr>
        <w:t>Available abstract (not full text):</w:t>
      </w:r>
      <w:r>
        <w:t xml:space="preserve"> This article deals with the analysis of the border effect in European air transport. The border effect measures how trade or transport flows are diminished when they cross a national border. This topic has attracted a great deal of attention within trade, but it is still little studied within transport. Existing studies have estimated that the border effect diminished air passenger transport flows by a factor of five to six. However, there have been many changes in the European economy and transport since those studies. Our estimate based on a new data set suggested the existence of a border effect in European passenger air traffic flows, albeit with a lower value of around two. A possible reason for the lower value is the growing integration of the European economy and the development of low-cost carriers in Europe between 2000 and 2019. Our econometric analysis also found differences in border effects among European countries. No significant border effect was detected for France, but we did find high and significant effects for Germany, Spain, and Poland. These differences can be attributed to different intensities of intermodal competition on domestic routes.</w:t>
      </w:r>
    </w:p>
    <w:p>
      <w:pPr/>
      <w:r>
        <w:rPr>
          <w:b/>
        </w:rPr>
        <w:t>POSSIBLE 2021:</w:t>
      </w:r>
      <w:r>
        <w:t xml:space="preserve"> COVID-19 and Air Pollution: Measuring Pandemic Impact to Air Quality in Five European Countries — https://doi.org/10.3390/atmos12030290</w:t>
      </w:r>
    </w:p>
    <w:p>
      <w:pPr/>
      <w:r>
        <w:rPr>
          <w:b/>
        </w:rPr>
        <w:t>Shared claim-specific concepts:</w:t>
      </w:r>
      <w:r>
        <w:t xml:space="preserve"> air, pollution, improvement, quality; EU scope visible. This is a provisional connection, not an outcome finding.</w:t>
      </w:r>
    </w:p>
    <w:p>
      <w:pPr>
        <w:pStyle w:val="SourceNote"/>
      </w:pPr>
      <w:r>
        <w:rPr>
          <w:b/>
        </w:rPr>
        <w:t>Available abstract (not full text):</w:t>
      </w:r>
      <w:r>
        <w:t xml:space="preserve"> The rapid spread of the coronavirus (COVID-19) pandemic affected the economy, trade, transport, health care, social services, and other sectors. To control the rapid dispersion of the virus, most countries imposed national lockdowns and social distancing policies. This led to reduced industrial, commercial, and human activities, followed by lower air pollution emissions, which caused air quality improvement. Air pollution monitoring data from the European Environment Agency (EEA) datasets were used to investigate how lockdown policies affected air quality changes in the period before and during the COVID-19 lockdown, comparing to the same periods in 2018 and 2019, along with an assessment of the Index of Production variation impact to air pollution changes during the pandemic in 2020. Analysis results show that industrial and mobility activities were lower in the period of the lockdown along with the reduced selected pollutant NO2, PM2.5, PM10 emissions by approximately 20–40% in 2020.</w:t>
      </w:r>
    </w:p>
    <w:p>
      <w:pPr/>
      <w:r>
        <w:rPr>
          <w:b/>
        </w:rPr>
        <w:t>POSSIBLE 2021:</w:t>
      </w:r>
      <w:r>
        <w:t xml:space="preserve"> Premature mortality due to air pollution in European cities: a health impact assessment — https://doi.org/10.1016/s2542-5196(20)30272-2</w:t>
      </w:r>
    </w:p>
    <w:p>
      <w:pPr/>
      <w:r>
        <w:rPr>
          <w:b/>
        </w:rPr>
        <w:t>Shared claim-specific concepts:</w:t>
      </w:r>
      <w:r>
        <w:t xml:space="preserve"> air, pollution, but; EU scope visible. This is a provisional connection, not an outcome finding.</w:t>
      </w:r>
    </w:p>
    <w:p>
      <w:pPr>
        <w:pStyle w:val="SourceNote"/>
      </w:pPr>
      <w:r>
        <w:rPr>
          <w:b/>
        </w:rPr>
        <w:t>Available abstract (not full text):</w:t>
      </w:r>
      <w:r>
        <w:t xml:space="preserve"> Background Ambient air pollution is a major environmental cause of morbidity and mortality worldwide. Cities are generally hotspots for air pollution and disease. However, the exact extent of the health effects of air pollution at the city level is still largely unknown. We aimed to estimate the proportion of annual preventable deaths due to air pollution in almost 1000 cities in Europe. Methods We did a quantitative health impact assessment for the year 2015 to estimate the effect of air pollution exposure (PM 2·5 and NO 2 ) on natural-cause mortality for adult residents (aged ≥20 years) in 969 cities and 47 greater cities in Europe. We retrieved the cities and greater cities from the Urban Audit 2018 dataset and did the analysis at a 250 m grid cell level for 2015 data based on the global human settlement layer residential population. We estimated the annual premature mortality burden preventable if the WHO recommended values (ie, 10 μg/m 3 for PM 2·5 and 40 μg/m 3 for NO 2 ) were achieved and if air pollution concentrations were reduced to the lowest values measured in 2015 in European cities (ie, 3·7 μg/m 3 for PM 2·5 and 3·5 μg/m 3 for NO 2 ). We clustered and ranked the cities on the basis of population and age-standardised mortality burden associated with air pollution exposure. In addition, we did several uncertainty and sensitivity analyses to test the robustness of ou</w:t>
      </w:r>
    </w:p>
    <w:p>
      <w:pPr/>
      <w:r>
        <w:rPr>
          <w:b/>
        </w:rPr>
        <w:t>POSSIBLE 2021:</w:t>
      </w:r>
      <w:r>
        <w:t xml:space="preserve"> Running in polluted air is a two-edged sword — physical exercise in low air pollution areas is cardioprotective but detrimental for the heart in high air pollution areas — https://doi.org/10.1093/eurheartj/ehab227</w:t>
      </w:r>
    </w:p>
    <w:p>
      <w:pPr/>
      <w:r>
        <w:rPr>
          <w:b/>
        </w:rPr>
        <w:t>Shared claim-specific concepts:</w:t>
      </w:r>
      <w:r>
        <w:t xml:space="preserve"> air, pollution, mitigation, present, both, factors; EU scope visible. This is a provisional connection, not an outcome finding.</w:t>
      </w:r>
    </w:p>
    <w:p>
      <w:pPr>
        <w:pStyle w:val="SourceNote"/>
      </w:pPr>
      <w:r>
        <w:rPr>
          <w:b/>
        </w:rPr>
        <w:t>Available abstract (not full text):</w:t>
      </w:r>
      <w:r>
        <w:t xml:space="preserve"> This editorial refers to ‘Association of the combined effects of air pollution and changes in physical activity with cardiovascular disease in young adults’, by S.R. Kim et al., doi: 10.1093/eurheartj/ehab139. Hypothetical framework of investigations that combine technological innovation in biometric data with personalized exposure information in real-time to study interactive effects of environmental risk factors on cardiovascular endpoints. ABP, ambulant blood pressure monitoring; BC, black carbon; PM, particulate matter. With permission from Münzel et al.18 Hypothetical framework of investigations that combine technological innovation in biometric data with personalized exposure information in real-time to study interactive effects of environmental risk factors on cardiovascular endpoints. ABP, ambulant blood pressure monitoring; BC, black carbon; PM, particulate matter. With permission from Münzel et al.18 In 2015, the Lancet Commission on Pollution and Health concluded that ‘Pollution is the largest environmental cause of disease and premature death in the world today. Diseases caused by pollution were responsible for an estimated 9 million premature deaths in 2015—16% of all deaths worldwide’.1 Also the World Health Organization (WHO) calculates that 12.6 million premature deaths per year are attributable to an unhealthy environment, 8.2 million of which are due to non-co</w:t>
      </w:r>
    </w:p>
    <w:p>
      <w:pPr/>
      <w:r>
        <w:rPr>
          <w:b/>
        </w:rPr>
        <w:t>POSSIBLE 2020:</w:t>
      </w:r>
      <w:r>
        <w:t xml:space="preserve"> Alkaline air: changing perspectives on nitrogen and air pollution in an ammonia-rich world — https://doi.org/10.1098/rsta.2019.0315</w:t>
      </w:r>
    </w:p>
    <w:p>
      <w:pPr/>
      <w:r>
        <w:rPr>
          <w:b/>
        </w:rPr>
        <w:t>Shared claim-specific concepts:</w:t>
      </w:r>
      <w:r>
        <w:t xml:space="preserve"> air, pollution, present, leading, quality; EU scope visible. This is a provisional connection, not an outcome finding.</w:t>
      </w:r>
    </w:p>
    <w:p>
      <w:pPr>
        <w:pStyle w:val="SourceNote"/>
      </w:pPr>
      <w:r>
        <w:rPr>
          <w:b/>
        </w:rPr>
        <w:t>Available abstract (not full text):</w:t>
      </w:r>
      <w:r>
        <w:t xml:space="preserve"> Ammonia and ammonium have received less attention than other forms of air pollution, with limited progress in controlling emissions at UK, European and global scales. By contrast, these compounds have been of significant past interest to science and society, the recollection of which can inform future strategies. Sal ammoniac ( nūshādir , nao sha ) is found to have been extremely valuable in long-distance trade ( ca AD 600–1150) from Egypt and China, where 6–8 kg N could purchase a human life, while air pollution associated with nūshādir collection was attributed to this nitrogen form. Ammonia was one of the keys to alchemy—seen as an early experimental mesocosm to understand the world—and later became of interest as ‘alkaline air’ within the eighteenth century development of pneumatic chemistry. The same economic, chemical and environmental properties are found to make ammonia and ammonium of huge relevance today. Successful control of acidifying SO 2 and NO x emissions leaves atmospheric NH 3 in excess in many areas, contributing to particulate matter (PM 2.5 ) formation, while leading to a new significance of alkaline air, with adverse impacts on natural ecosystems. Investigations of epiphytic lichens and bog ecosystems show how the alkalinity effect of NH 3 may explain its having three to five times the adverse effect of ammonium and nitrate, respectively. It is concluded t</w:t>
      </w:r>
    </w:p>
    <w:p>
      <w:pPr>
        <w:pStyle w:val="Heading2"/>
      </w:pPr>
      <w:r>
        <w:t>977. Impact of climate change on ozone-related mortality and morbidity in Europe</w:t>
      </w:r>
    </w:p>
    <w:p>
      <w:pPr>
        <w:pStyle w:val="SourceNote"/>
      </w:pPr>
      <w:r>
        <w:rPr>
          <w:b/>
        </w:rPr>
        <w:t>Original source (2012):</w:t>
      </w:r>
      <w:r>
        <w:t xml:space="preserve"> https://doi.org/10.1183/09031936.00210411</w:t>
      </w:r>
    </w:p>
    <w:p>
      <w:pPr/>
      <w:r>
        <w:t>Original wording (abstract; indexed_source_text_not_full_document_verified): Comparing the baseline period and the future periods (2021-2050 and 2041-2060), much larger increases in ozone-related mortality and morbidity are projected for Belgium, France, Spain and Portugal, with the impact being stronger using the climate projection from ECHAM4 (A2).</w:t>
      </w:r>
    </w:p>
    <w:p>
      <w:pPr/>
      <w:r>
        <w:rPr>
          <w:b/>
        </w:rPr>
        <w:t>POSSIBLE 2025:</w:t>
      </w:r>
      <w:r>
        <w:t xml:space="preserve"> New baselines, new extremes? Assessing the impact of reference periods on climate extremes in Central Europe — https://doi.org/10.5194/ems2025-601</w:t>
      </w:r>
    </w:p>
    <w:p>
      <w:pPr/>
      <w:r>
        <w:rPr>
          <w:b/>
        </w:rPr>
        <w:t>Shared claim-specific concepts:</w:t>
      </w:r>
      <w:r>
        <w:t xml:space="preserve"> baseline, period, periods, climate; EU scope visible. This is a provisional connection, not an outcome finding.</w:t>
      </w:r>
    </w:p>
    <w:p>
      <w:pPr>
        <w:pStyle w:val="SourceNote"/>
      </w:pPr>
      <w:r>
        <w:rPr>
          <w:b/>
        </w:rPr>
        <w:t>Available abstract (not full text):</w:t>
      </w:r>
      <w:r>
        <w:t xml:space="preserve"> Climatological normal periods are used to describe the typical climate conditions that can be expected in a given location. These climate normals – statistical values such as means or totals for specific climate elements – are calculated for non-overlapping 30-year periods. The 1961–1990 period was probably the most widely used reference baseline in modern climatology, as it was recommended by the World Meteorological Organization for long-term climate change assessments. Now that 2020 has passed, a new climatological normal period (1991–2020) can be adopted. This raises an important question: how will this updated baseline affect the way we define anomalies and extremes, given that climate warming has already shifted what is now considered “normal” in many regions? With ongoing climate change, the statistical definition of “normal” itself is evolving – potentially influencing climate assessments and regional comparisons.The main aim of this study is to assess how the selection of the reference period (1961–1990 vs. 1991–2020) influences how extremes are defined and distributed across Central Europe, based on a new high-resolution dataset. First, we compared how the choice of baseline period affects spatial and seasonal patterns of air temperature and precipitation indices. These indices include mean values and counts of extreme days defined by absolute thresholds. Next, we ass</w:t>
      </w:r>
    </w:p>
    <w:p>
      <w:pPr/>
      <w:r>
        <w:rPr>
          <w:b/>
        </w:rPr>
        <w:t>POSSIBLE 2025:</w:t>
      </w:r>
      <w:r>
        <w:t xml:space="preserve"> Diverging trends in large floods across Europe in a warming climate — https://doi.org/10.1038/s43247-025-02734-y</w:t>
      </w:r>
    </w:p>
    <w:p>
      <w:pPr/>
      <w:r>
        <w:rPr>
          <w:b/>
        </w:rPr>
        <w:t>Shared claim-specific concepts:</w:t>
      </w:r>
      <w:r>
        <w:t xml:space="preserve"> larger, increases, climate; EU scope visible. This is a provisional connection, not an outcome finding.</w:t>
      </w:r>
    </w:p>
    <w:p>
      <w:pPr>
        <w:pStyle w:val="SourceNote"/>
      </w:pPr>
      <w:r>
        <w:rPr>
          <w:b/>
        </w:rPr>
        <w:t>Available abstract (not full text):</w:t>
      </w:r>
      <w:r>
        <w:t xml:space="preserve"> Abstract Large floods, which affect multiple regions simultaneously, pose substantial risks to lives and economies. In a warmer climate, increased precipitation extremes and reduced snowmelt are expected to alter flood characteristics, but how the dynamics of large floods across Europe will evolve under climate change remains unclear. By jointly assessing projected changes in the timing, spatial extent and volume of large floods in a warmer world, here we show that earlier snowmelt generally leads to earlier floods, while increasing precipitation contributions attenuate flood seasonality. Although continental-scale averages suggest limited change, they mask substantial regional heterogeneity. In western Europe, projected increases in heavy precipitation result in larger flood extents and volumes. In contrast, reduced snowmelt dominates changes in the largest floods in northern Europe, with localized shifts from snowmelt-driven to rainfall-driven floods. These regionally diverse responses of large floods to climate change should be considered in transnational flood risk management across Europe.</w:t>
      </w:r>
    </w:p>
    <w:p>
      <w:pPr/>
      <w:r>
        <w:rPr>
          <w:b/>
        </w:rPr>
        <w:t>POSSIBLE 2023:</w:t>
      </w:r>
      <w:r>
        <w:t xml:space="preserve"> Contact allergy to corticosteroids: Is the European baseline series sufficient? — https://doi.org/10.1111/cod.14358</w:t>
      </w:r>
    </w:p>
    <w:p>
      <w:pPr/>
      <w:r>
        <w:rPr>
          <w:b/>
        </w:rPr>
        <w:t>Shared claim-specific concepts:</w:t>
      </w:r>
      <w:r>
        <w:t xml:space="preserve"> baseline, period, stronger; EU scope visible. This is a provisional connection, not an outcome finding.</w:t>
      </w:r>
    </w:p>
    <w:p>
      <w:pPr>
        <w:pStyle w:val="SourceNote"/>
      </w:pPr>
      <w:r>
        <w:rPr>
          <w:b/>
        </w:rPr>
        <w:t>Available abstract (not full text):</w:t>
      </w:r>
      <w:r>
        <w:t xml:space="preserve"> BACKGROUND: Patients are consecutively screened for contact allergy to corticosteroids with budesonide and tixocortol-21-pivalate in the European baseline series. Centres using TRUE Test also include hydrocortisone-17-butyrate. A supplementary corticosteroid patch test series is used in case of suspicion of corticosteroid contact allergy or when a marker of corticosteroid contact allergy is positive. OBJECTIVE: The aims were to evaluate (1) the efficacy of corticosteroids in the TRUE Test and (2) co-sensitization patterns. METHODS: This retrospective study analysed patients patch tested with TRUE Test corticosteroids plus supplementary corticosteroid series in the period 2006-2020 at the Department of Dermatology and Allergy Centre, Odense University Hospital. RESULTS: Of 1852 patients tested, 119 were sensitised to TRUE Test corticosteroids and supplementary testing found additional reactions to other corticosteroids in 19 of 119 patients. TRUE Test corticosteroids gave more positive and stronger reactions compared to allergens in petrolatum/ethanol. Fourteen percent of sensitised patients were co-sensitised to multiple corticosteroid groups. Baeck group 3 corticosteroids accounted for 9 of 16 patients not identified by TRUE Test. CONCLUSIONS: Budesonide, hydrocortisone-17-butyrate, and tixocortol-21-pivalate in combination are sensitive corticosteroid markers. In case of clin</w:t>
      </w:r>
    </w:p>
    <w:p>
      <w:pPr/>
      <w:r>
        <w:rPr>
          <w:b/>
        </w:rPr>
        <w:t>POSSIBLE 2023:</w:t>
      </w:r>
      <w:r>
        <w:t xml:space="preserve"> Effect of Baseline Period on Quantification of Climate Extremes Over the United States — https://doi.org/10.1029/2023gl105204</w:t>
      </w:r>
    </w:p>
    <w:p>
      <w:pPr/>
      <w:r>
        <w:rPr>
          <w:b/>
        </w:rPr>
        <w:t>Shared claim-specific concepts:</w:t>
      </w:r>
      <w:r>
        <w:t xml:space="preserve"> baseline, period, periods, climate; EU scope not established. This is a provisional connection, not an outcome finding.</w:t>
      </w:r>
    </w:p>
    <w:p>
      <w:pPr>
        <w:pStyle w:val="SourceNote"/>
      </w:pPr>
      <w:r>
        <w:rPr>
          <w:b/>
        </w:rPr>
        <w:t>Available abstract (not full text):</w:t>
      </w:r>
      <w:r>
        <w:t xml:space="preserve"> Abstract Extreme climate events are societally harmful and have increased in frequency and intensity in recent decades. Indices based on temperature and precipitation are a valuable way to quantify climate extremes. Certain indices are defined relative to percentiles, which are dependent on a climatological baseline period. In this study, indices computed using temperature and precipitation from the Modern Era Retrospective Analysis for Research and Applications, Version 2 are calculated using percentiles from three baseline periods: 1981–2010, 1991–2020 and 1981–2020. Updating the baseline period from 1981 to 2010 to 1991–2020 leads to significant changes in the quantification of temperature and precipitation extremes over the United States over 1980–2021. Using the later baseline period indicates more cold extremes, fewer warm extremes, and fewer but more intense precipitation extremes throughout the US, with regional variation. Changing the baseline period can mislead the public and decision makers, potentially undermining the appropriate response to climate‐related health risks.</w:t>
      </w:r>
    </w:p>
    <w:p>
      <w:pPr/>
      <w:r>
        <w:rPr>
          <w:b/>
        </w:rPr>
        <w:t>POSSIBLE 2021:</w:t>
      </w:r>
      <w:r>
        <w:t xml:space="preserve"> Emerging new climate extremes over Europe — https://doi.org/10.1007/s00382-021-05917-3</w:t>
      </w:r>
    </w:p>
    <w:p>
      <w:pPr/>
      <w:r>
        <w:rPr>
          <w:b/>
        </w:rPr>
        <w:t>Shared claim-specific concepts:</w:t>
      </w:r>
      <w:r>
        <w:t xml:space="preserve"> baseline, period, larger, stronger, climate; EU scope visible. This is a provisional connection, not an outcome finding.</w:t>
      </w:r>
    </w:p>
    <w:p>
      <w:pPr>
        <w:pStyle w:val="SourceNote"/>
      </w:pPr>
      <w:r>
        <w:rPr>
          <w:b/>
        </w:rPr>
        <w:t>Available abstract (not full text):</w:t>
      </w:r>
      <w:r>
        <w:t xml:space="preserve"> Abstract Human society and natural systems are intrinsically adapted to the local climate mean and variability. Therefore, changes relative to the local expected variability are highly relevant for assessing impact and planning for adaptation as the climate changes. We analyse the emerging climate signal relative to the diagnosed internal variability (signal-to-noise ratio, S/N) of a set of recently published climate indices over Europe. We calculate the signal-to-noise ratio with respect to a recent baseline (1951-1983) which relates to recent societal experience. In this framework, we find that during the 2000-2016 period, many areas of Europe already experienced significant changes in climate extremes, even when compared to this recent period which is within living memory. In particular, the S/N of extreme temperatures is larger than 1 and 2 over 34% and 4% of Europe, respectively. We also find that about 15% of Europe is experiencing more intense winter precipitation events, while in summer, 7% of Europe is experiencing stronger drought-inducing conditions.</w:t>
      </w:r>
    </w:p>
    <w:p>
      <w:pPr/>
      <w:r>
        <w:rPr>
          <w:b/>
        </w:rPr>
        <w:t>POSSIBLE 2021:</w:t>
      </w:r>
      <w:r>
        <w:t xml:space="preserve"> Achieving sustainable development: A baseline analysis of Western and Eastern European countries — https://doi.org/10.15826/recon.2021.7.1.002</w:t>
      </w:r>
    </w:p>
    <w:p>
      <w:pPr/>
      <w:r>
        <w:rPr>
          <w:b/>
        </w:rPr>
        <w:t>Shared claim-specific concepts:</w:t>
      </w:r>
      <w:r>
        <w:t xml:space="preserve"> comparing, baseline, much; EU scope visible. This is a provisional connection, not an outcome finding.</w:t>
      </w:r>
    </w:p>
    <w:p>
      <w:pPr>
        <w:pStyle w:val="SourceNote"/>
      </w:pPr>
      <w:r>
        <w:rPr>
          <w:b/>
        </w:rPr>
        <w:t>Available abstract (not full text):</w:t>
      </w:r>
      <w:r>
        <w:t xml:space="preserve"> Relevance. Sustainable development is now an increasingly important topic on the global agenda, which received much attention in connection with the adoption of the 2030 Agenda for Sustainable Development and the Sustainable Development Goals (SDGs).Research objectives. The article aims to contribute to the understanding of sustainability expansion and SDGs achievement in Europe by comparing the differences between Western and Eastern European countries. Data and methods. The study relies on descriptive statistics and comparative analysis of sustainable development results in Western (18) and Eastern European (21) countries. The parametric Student's t-distribution test and non-parametric U Mann-Whitney test were used to examine the significance of the differences between Western and Eastern European countries.Results. Sustainable development in Eastern and Western European countries is affected by various economic, social and environmental processes. The SDGs in Western European countries is achieved mostly in the social and economic spheres while in the Eastern European countries, in social and environmental spheres. Although Europe leads globally on sustainability, it still faces significant challenges in reaching the SDGs.Conclusions. European countries are compared in order to identify the main SDGs directions and constraints in the current state of sustainability achieveme</w:t>
      </w:r>
    </w:p>
    <w:p>
      <w:pPr/>
      <w:r>
        <w:rPr>
          <w:b/>
        </w:rPr>
        <w:t>POSSIBLE 2021:</w:t>
      </w:r>
      <w:r>
        <w:t xml:space="preserve"> Design Space Constraints and the Cultural Taxonomy of European Final Palaeolithic Large Tanged Points: A Comparison of Typological, Landmark-Based and Whole-Outline Geometric Morphometric Approaches — https://doi.org/10.1007/s41982-021-00097-2</w:t>
      </w:r>
    </w:p>
    <w:p>
      <w:pPr/>
      <w:r>
        <w:rPr>
          <w:b/>
        </w:rPr>
        <w:t>Shared claim-specific concepts:</w:t>
      </w:r>
      <w:r>
        <w:t xml:space="preserve"> comparing, baseline, much; EU scope visible. This is a provisional connection, not an outcome finding.</w:t>
      </w:r>
    </w:p>
    <w:p>
      <w:pPr>
        <w:pStyle w:val="SourceNote"/>
      </w:pPr>
      <w:r>
        <w:rPr>
          <w:b/>
        </w:rPr>
        <w:t>Available abstract (not full text):</w:t>
      </w:r>
      <w:r>
        <w:t xml:space="preserve"> Abstract The identification of material culture variability remains an important goal in archaeology, as such variability is commonly coupled with interpretations of cultural transmission and adaptation. While most archaeological cultures are defined on the basis of typology and research tradition, cultural evolutionary reasoning combined with computer-aided methods such as geometric morphometrics (GMM) can shed new light on the validity of many such entrenched groupings, especially in regard to European Upper Palaeolithic projectile points and their classification. Little methodological consistency, however, makes it difficult to compare the conclusions of such studies. Here, we present an effort towards a benchmarked, case-transferrable toolkit that comparatively explores relevant techniques centred on outline-based GMM. First, we re-analyse two previously conducted landmark-based analyses of stone artefacts using our whole-outline approach, demonstrating that outlines can offer an efficient and reliable alternative. We then show how a careful application of clustering algorithms to GMM outline data is able to successfully discriminate between distinctive tool shapes and suggest that such data can also be used to infer cultural evolutionary histories matching already observed typo-chronological patterns. Building on this baseline work, we apply the same methods to a dataset o</w:t>
      </w:r>
    </w:p>
    <w:p>
      <w:pPr/>
      <w:r>
        <w:rPr>
          <w:b/>
        </w:rPr>
        <w:t>POSSIBLE 2020:</w:t>
      </w:r>
      <w:r>
        <w:t xml:space="preserve"> Patch test results of the European baseline series among 1309 patients in Turkey between 2013 and 2019 — https://doi.org/10.1111/cod.13653</w:t>
      </w:r>
    </w:p>
    <w:p>
      <w:pPr/>
      <w:r>
        <w:rPr>
          <w:b/>
        </w:rPr>
        <w:t>Shared claim-specific concepts:</w:t>
      </w:r>
      <w:r>
        <w:t xml:space="preserve"> baseline, period, increases; EU scope visible. This is a provisional connection, not an outcome finding.</w:t>
      </w:r>
    </w:p>
    <w:p>
      <w:pPr>
        <w:pStyle w:val="SourceNote"/>
      </w:pPr>
      <w:r>
        <w:rPr>
          <w:b/>
        </w:rPr>
        <w:t>Available abstract (not full text):</w:t>
      </w:r>
      <w:r>
        <w:t xml:space="preserve"> BACKGROUND: Prevalences of sensitivity to contact allergens change over time as a result of variations in allergen exposure. OBJECTIVES: The aim of the study was to describe trends in sensitisation to allergens of the European baseline series in Turkey between 2013 and 2019. METHODS: The patch test results of 1309 patients with suspected allergic contact dermatitis (ACD) were analysed retrospectively, and the prevalence of contact allergies to European baseline series allergens was compared with previous data (for 1998-2005). RESULTS: A total of 534 (40.8%) patients exhibited one or more positive patch test reaction. The five most frequent allergens were nickel sulfate (19.6%), potassium dichromate (6.5%), cobalt chloride (6%), Myroxylon pereirae resin (5%), and p-phenylenediamine (PPD; 3.7%). Statistically significant increases in the prevalence of sensitisation to methylchloroisothiazolinone/methylisothiazolinone (MCI/MI; P &lt; .001), Myroxylon pereirae resin (P &lt; .001), PPD (P = .008), and fragrance mix I (P = .036) were observed in the 2013 to 2019 period compared with the 1998 to 2005 period. Conversely, positive reactions to neomycin sulfate (P = .029), clioquinol (P = .031), and primin (P = .001) decreased significantly. CONCLUSION: This study provides a comprehensive profile of ACD in Turkey. The remarkable increase in the MI and MCI/MI contact allergy observed underlines</w:t>
      </w:r>
    </w:p>
    <w:p>
      <w:pPr/>
      <w:r>
        <w:rPr>
          <w:b/>
        </w:rPr>
        <w:t>POSSIBLE 2020:</w:t>
      </w:r>
      <w:r>
        <w:t xml:space="preserve"> The Role of Social Support in Machismo and Acceptance of Violence Among Adolescents in Europe: Lights4Violence Baseline Results — https://doi.org/10.1016/j.jadohealth.2020.09.007</w:t>
      </w:r>
    </w:p>
    <w:p>
      <w:pPr/>
      <w:r>
        <w:rPr>
          <w:b/>
        </w:rPr>
        <w:t>Shared claim-specific concepts:</w:t>
      </w:r>
      <w:r>
        <w:t xml:space="preserve"> baseline, spain, portugal; EU scope visible. This is a provisional connection, not an outcome finding.</w:t>
      </w:r>
    </w:p>
    <w:p>
      <w:pPr>
        <w:pStyle w:val="SourceNote"/>
      </w:pPr>
      <w:r>
        <w:rPr>
          <w:b/>
        </w:rPr>
        <w:t>Available abstract (not full text):</w:t>
      </w:r>
      <w:r>
        <w:t xml:space="preserve"> Purpose To analyze the potential association between social support, experiences of violence, and sociodemographic characteristics of adolescents and the likelihood of acceptance of violence and machismo in different European countries. Methods Cross-sectional design. We recruited 1,555 participants ages 13–16 from secondary schools in Alicante (Spain), Rome (Italy), Iasi (Romania), Matosinhos (Portugal), Poznan (Poland), and Cardiff (UK). We used linear regression models to identify how social support from teachers and parents, experiences of violence—dating violence, bullying, cyberbullying, abuse in childhood—and sociodemographic characteristics were associated with violent thinking, specifically: machismo and acceptance of violence. The analysis was stratified by sex. Results Acceptance of violence was higher for those who had lower perceived social support from parents (β girls = −154, p &lt; .001; β boys = −.114, p = .019) for both sexes. Perpetration of bullying and/or cyberbullying was associated with higher scores for machismo and acceptance of violence for both sexes (β girls = .067, p = .035; β boys = .225, p &lt; .001; (β girls = .118, p &lt; .001; β boys = .210, p &lt; .001). Being the victim of dating violence, having suffered physical and/or sexual abuse in childhood, and lower perceived social support from teachers were associated with higher scores for both machismo and ac</w:t>
      </w:r>
    </w:p>
    <w:p>
      <w:pPr/>
      <w:r>
        <w:rPr>
          <w:b/>
        </w:rPr>
        <w:t>POSSIBLE 2020:</w:t>
      </w:r>
      <w:r>
        <w:t xml:space="preserve"> Comparing interannual variability in three regional single-model initial-condition large ensembles (SMILEs) over Europe — https://doi.org/10.5194/esd-11-1013-2020</w:t>
      </w:r>
    </w:p>
    <w:p>
      <w:pPr/>
      <w:r>
        <w:rPr>
          <w:b/>
        </w:rPr>
        <w:t>Shared claim-specific concepts:</w:t>
      </w:r>
      <w:r>
        <w:t xml:space="preserve"> comparing, periods, increases, france, climate; EU scope visible. This is a provisional connection, not an outcome finding.</w:t>
      </w:r>
    </w:p>
    <w:p>
      <w:pPr>
        <w:pStyle w:val="SourceNote"/>
      </w:pPr>
      <w:r>
        <w:rPr>
          <w:b/>
        </w:rPr>
        <w:t>Available abstract (not full text):</w:t>
      </w:r>
      <w:r>
        <w:t xml:space="preserve"> Abstract. Single model large ensembles are widely used model experiments to estimate internal climate variability. The underlying assumption is that the internal variability (here: inter-annual variability) of the chosen model is a good approximation of the observed natural (inter-annual) variability. In this study, we test this assumption based on three regional climate model large ensembles (16 members of an EC-EARTH-RACMO ensemble, 21 members of a CESM-CCLM ensemble, 50 members of a CanESM-CRCM ensemble) for four European domains (British Isles, France, Mid-Europe, Alps). Simulated inter-annual variability is evaluated against E-OBS and the inter-annunal variability and its future change are compared across the ensembles. To the knowledge of the authors, this is the first comparison of regional large ensembles over Europe. Analysis comprises seasonal temperature and precipitation, as well as indicators for dry periods and heat waves. Results show a large consistency of all three ensembles with E-OBS data for most indicators and regions, validating the abilities of these ensembles to represent natural variability on the annual scale. EC-EARTH-RACMO shows the highest inter-annual variability for winter temperature and precipitation, whereas CESM-CCLM shows the highest variability for summer temperature and precipitation, as well as for heatwaves and dry periods. Despite these </w:t>
      </w:r>
    </w:p>
    <w:p>
      <w:pPr/>
      <w:r>
        <w:rPr>
          <w:b/>
        </w:rPr>
        <w:t>POSSIBLE 2020:</w:t>
      </w:r>
      <w:r>
        <w:t xml:space="preserve"> Machine learning for large-scale crop yield forecasting — https://doi.org/10.1016/j.agsy.2020.103016</w:t>
      </w:r>
    </w:p>
    <w:p>
      <w:pPr/>
      <w:r>
        <w:rPr>
          <w:b/>
        </w:rPr>
        <w:t>Shared claim-specific concepts:</w:t>
      </w:r>
      <w:r>
        <w:t xml:space="preserve"> baseline, much, france; EU scope visible. This is a provisional connection, not an outcome finding.</w:t>
      </w:r>
    </w:p>
    <w:p>
      <w:pPr>
        <w:pStyle w:val="SourceNote"/>
      </w:pPr>
      <w:r>
        <w:rPr>
          <w:b/>
        </w:rPr>
        <w:t>Available abstract (not full text):</w:t>
      </w:r>
      <w:r>
        <w:t xml:space="preserve"> Many studies have applied machine learning to crop yield prediction with a focus on specific case studies. The data and methods they used may not be transferable to other crops and locations. On the other hand, operational large-scale systems, such as the European Commission's MARS Crop Yield Forecasting System (MCYFS), do not use machine learning. Machine learning is a promising method especially when large amounts of data are being collected and published. We combined agronomic principles of crop modeling with machine learning to build a machine learning baseline for large-scale crop yield forecasting. The baseline is a workflow emphasizing correctness, modularity and reusability. For correctness, we focused on designing explainable predictors or features (in relation to crop growth and development) and applying machine learning without information leakage. We created features using crop simulation outputs and weather, remote sensing and soil data from the MCYFS database. We emphasized a modular and reusable workflow to support different crops and countries with small configuration changes. The workflow can be used to run repeatable experiments (e.g. early season or end of season predictions) using standard input data to obtain reproducible results. The results serve as a starting point for further optimizations. In our case studies, we predicted yield at regional level for f</w:t>
      </w:r>
    </w:p>
    <w:p>
      <w:pPr/>
      <w:r>
        <w:rPr>
          <w:b/>
        </w:rPr>
        <w:t>POSSIBLE 2020:</w:t>
      </w:r>
      <w:r>
        <w:t xml:space="preserve"> One simulation, different conclusions—the baseline period makes the difference! — https://doi.org/10.1088/1748-9326/aba3d7</w:t>
      </w:r>
    </w:p>
    <w:p>
      <w:pPr/>
      <w:r>
        <w:rPr>
          <w:b/>
        </w:rPr>
        <w:t>Shared claim-specific concepts:</w:t>
      </w:r>
      <w:r>
        <w:t xml:space="preserve"> baseline, period, periods, climate; EU scope not established. This is a provisional connection, not an outcome finding.</w:t>
      </w:r>
    </w:p>
    <w:p>
      <w:pPr>
        <w:pStyle w:val="SourceNote"/>
      </w:pPr>
      <w:r>
        <w:rPr>
          <w:b/>
        </w:rPr>
        <w:t>Available abstract (not full text):</w:t>
      </w:r>
      <w:r>
        <w:t xml:space="preserve"> The choice of the baseline period, intentionally chosen or not, as a reference for assessing future changes of any projected variable can play an important role for the resulting statement. In regional climate impact studies, well-established or arbitrarily chosen baselines are often used without being questioned. Here we investigated the effects of different baseline periods on the interpretation of discharge simulations from eight river basins in the period 1960–2099. The simulations were forced by four bias-adjusted and downscaled Global Climate Modelsunder two radiative forcing scenarios (RCP 2.6 and RCP 8.5). To systematically evaluate how far the choice of different baselines impacts the simulation results, we developed a similarity index that compares two time series of projected changes. The results show that 25% of the analyzed simulations are sensitive to the choice of the baseline period under RCP 2.6 and 32% under RCP 8.5. In extreme cases, change signals of two time series show opposite trends. This has serious consequences for key messages drawn from a basin-scale climate impact study. To address this problem, an algorithm was developed to identify flexible baseline periods for each simulation individually, which better represent the statistical properties of a given historical period.</w:t>
      </w:r>
    </w:p>
    <w:p>
      <w:pPr>
        <w:pStyle w:val="Heading2"/>
      </w:pPr>
      <w:r>
        <w:t>978. Implications of sustainability constraints on UK bioenergy development: Assessing optimistic and precautionary approaches with UK MARKAL</w:t>
      </w:r>
    </w:p>
    <w:p>
      <w:pPr>
        <w:pStyle w:val="SourceNote"/>
      </w:pPr>
      <w:r>
        <w:rPr>
          <w:b/>
        </w:rPr>
        <w:t>Original source (2012):</w:t>
      </w:r>
      <w:r>
        <w:t xml:space="preserve"> https://doi.org/10.1016/j.enpol.2012.05.015</w:t>
      </w:r>
    </w:p>
    <w:p>
      <w:pPr/>
      <w:r>
        <w:t>Original wording (abstract; indexed_source_text_not_full_document_verified): The paper then examines the implications of these scenarios using the energy systems model MARKAL, finding that a precautionary approach adds to the cost of decarbonisation, but does not significantly alter the optimal technology mix.</w:t>
      </w:r>
    </w:p>
    <w:p>
      <w:pPr/>
      <w:r>
        <w:rPr>
          <w:b/>
        </w:rPr>
        <w:t>POSSIBLE 2026:</w:t>
      </w:r>
      <w:r>
        <w:t xml:space="preserve"> Tourism Dynamics at Meenakshi Amman Temple: Examining Implications for Micro-Enterprise Economic Performance — https://doi.org/10.34293/management.v13is1-i2-feb.10387</w:t>
      </w:r>
    </w:p>
    <w:p>
      <w:pPr/>
      <w:r>
        <w:rPr>
          <w:b/>
        </w:rPr>
        <w:t>Shared claim-specific concepts:</w:t>
      </w:r>
      <w:r>
        <w:t xml:space="preserve"> implications, but, significantly; EU scope not established. This is a provisional connection, not an outcome finding.</w:t>
      </w:r>
    </w:p>
    <w:p>
      <w:pPr>
        <w:pStyle w:val="SourceNote"/>
      </w:pPr>
      <w:r>
        <w:rPr>
          <w:b/>
        </w:rPr>
        <w:t>Available abstract (not full text):</w:t>
      </w:r>
      <w:r>
        <w:t xml:space="preserve"> Now a days Local economies are significantly boosted by religious tourism destination, especially for small business that depend significantly on visitor traffic. The constant stream of pilgrims in holy cities like Madurai has a direct impact on the prosperity of Local business and service providers. The study looks at how local microbusiness’ performance is affected by tourism near the meenakshi Amman Temple.we concentrated on business operating close to the temple that were MSME –registered such as retail stores,food vendors, lodging facilities,and tour companies.we collected data from 120 business owners using structured questionnaires. Our analysis employed simple statistical methods percentages,Descriptive analysis and simple t-test,correlation. Findings indicates that there are definite advantages to tourism including higher sales, more clients and study revenue during busy time. However, these advantages change throughout the year. Businesses suffer major difficulties during low visitor seasons, particularly when infrastructure is poor or crowd control is ineffective. Temple tourism has a lot of room to grow, but doing so would require better infrastructure and encouraging laws.</w:t>
      </w:r>
    </w:p>
    <w:p>
      <w:pPr/>
      <w:r>
        <w:rPr>
          <w:b/>
        </w:rPr>
        <w:t>POSSIBLE 2026:</w:t>
      </w:r>
      <w:r>
        <w:t xml:space="preserve"> CRANIAL STRUCTURE OF †CHONDROSTEUS ACIPENSEROIDES RE-EXAMINED: IMPLICATIONS FOR UPPER JAW HOMOLOGIES IN ACIPENSERIFORM FISHES — https://doi.org/10.7302/28802</w:t>
      </w:r>
    </w:p>
    <w:p>
      <w:pPr/>
      <w:r>
        <w:rPr>
          <w:b/>
        </w:rPr>
        <w:t>Shared claim-specific concepts:</w:t>
      </w:r>
      <w:r>
        <w:t xml:space="preserve"> implications, but, not; EU scope not established. This is a provisional connection, not an outcome finding.</w:t>
      </w:r>
    </w:p>
    <w:p>
      <w:pPr>
        <w:pStyle w:val="SourceNote"/>
      </w:pPr>
      <w:r>
        <w:rPr>
          <w:b/>
        </w:rPr>
        <w:t>Available abstract (not full text):</w:t>
      </w:r>
      <w:r>
        <w:t xml:space="preserve"> The Early Jurassic family †Chondrosteidae is considered the sister lineage to all remaining acipenseriforms, the actinopterygian group that includes sturgeons, paddlefishes, and their immediate extinct relatives. As the best-known and oldest †chondrosteid, the Hettangian– Sinemurian †Chondrosteus acipenseroides plays a central role in understanding plesiomorphic acipenseriform conditions. Here we present a micro-computed tomographic examination of the cranial anatomy of †Chondrosteus based on a laterally compressed skull. We corroborate many aspects of the most recent account of this genus but find additional upper jaw bones not previously reported. These newly recognized ossifications, some dermal and some endoskeletal in origin, bear on hypothesized homologies of upper jaw components in acipenseriforms. First, †Chondrosteus possesses a series of up to three toothed dermal bones associated with the ventral margin of the palate. These bones correspond to the dermopalatines of other actinopterygians. We therefore reject identification of the marginal, strap-like bone of the acipenseriform upper jaw as a dermopalatine and accept the historical interpretation of that ossification as a maxilla. Second, two endoskeletal bones are associated with the aboral surface of the palate. The largest of these is a thin sheet matching the bone conventionally interpreted as an autopalatine in o</w:t>
      </w:r>
    </w:p>
    <w:p>
      <w:pPr/>
      <w:r>
        <w:rPr>
          <w:b/>
        </w:rPr>
        <w:t>POSSIBLE 2025:</w:t>
      </w:r>
      <w:r>
        <w:t xml:space="preserve"> Examining the Viable Systems Model (VSM) for Systems of Systems — https://doi.org/10.1109/sose66311.2025.11083819</w:t>
      </w:r>
    </w:p>
    <w:p>
      <w:pPr/>
      <w:r>
        <w:rPr>
          <w:b/>
        </w:rPr>
        <w:t>Shared claim-specific concepts:</w:t>
      </w:r>
      <w:r>
        <w:t xml:space="preserve"> implications, systems; EU scope not established. This is a provisional connection, not an outcome finding.</w:t>
      </w:r>
    </w:p>
    <w:p>
      <w:pPr>
        <w:pStyle w:val="SourceNote"/>
      </w:pPr>
      <w:r>
        <w:rPr>
          <w:b/>
        </w:rPr>
        <w:t>Available abstract (not full text):</w:t>
      </w:r>
      <w:r>
        <w:t xml:space="preserve"> In cybernetics, the Viable Systems Model (VSM) is used to describe the control of complex autonomous and adaptable systems. VSM consists of five levels of sub-systems, from lower level operations towards higher level strategy, and it has been successfully applied to several areas of operational management as a tool for diagnostics. In this paper we analyze the suitability of VSM towards Systems of Systems (SoS) and whether it can be leveraged as a positive mechanism for the control of complex SoS. We summarize VSM and its usage in organizational management, and connect the main SoS topics towards VSM. We also extend the basic principles and ideas of VSM towards SoS, and discuss the implications and practical considerations. We evaluate the usefulness of VSM through a electrified construction site use case, and critically analyze its wider application in the SoS domain.</w:t>
      </w:r>
    </w:p>
    <w:p>
      <w:pPr/>
      <w:r>
        <w:rPr>
          <w:b/>
        </w:rPr>
        <w:t>POSSIBLE 2025:</w:t>
      </w:r>
      <w:r>
        <w:t xml:space="preserve"> Sociocultural constructs and sensorimotor control: a scoping review examining implications for anterior cruciate injury — https://doi.org/10.1136/bjsports-2024-108617</w:t>
      </w:r>
    </w:p>
    <w:p>
      <w:pPr/>
      <w:r>
        <w:rPr>
          <w:b/>
        </w:rPr>
        <w:t>Shared claim-specific concepts:</w:t>
      </w:r>
      <w:r>
        <w:t xml:space="preserve"> implications, approach, but; EU scope not established. This is a provisional connection, not an outcome finding.</w:t>
      </w:r>
    </w:p>
    <w:p>
      <w:pPr>
        <w:pStyle w:val="SourceNote"/>
      </w:pPr>
      <w:r>
        <w:rPr>
          <w:b/>
        </w:rPr>
        <w:t>Available abstract (not full text):</w:t>
      </w:r>
      <w:r>
        <w:t xml:space="preserve"> OBJECTIVE: There is a need to explore the many factors that may have a more subtle influence on, or relationship with, sensorimotor control as it pertains to anterior cruciate ligament injury risk. Due to well-established sex/gender-related differences in sensorimotor control, a close examination of key sociocultural constructs is warranted. This scoping review examined the connection between sociocultural constructs and sensorimotor control. DESIGN: Scoping review. DATA SOURCES: The following databases were searched: PubMed, Embase, Scopus, CINAHL Complete, Academic Search Complete, Pre-Prints Database and Rehabilitation Reference Center from inception to September 2023. Additionally, relevant grey literature was identified. ELIGIBILITY CRITERIA FOR SELECTING STUDIES: Two blinded reviewers independently performed screening, study selection and data extraction. Original references in English, Spanish and German reporting on sociocultural constructs and motor task performance were included. RESULTS: Data were extracted from 68 included articles. Stereotype threat, gender and race have been examined more than other sociocultural constructs. Sensorimotor control was assessed in upper and lower quarter tasks and physical activity (PA). Task assessment methods varied, often focusing on task completion or completion speed. It is evident that sociocultural constructs influence sensori</w:t>
      </w:r>
    </w:p>
    <w:p>
      <w:pPr/>
      <w:r>
        <w:rPr>
          <w:b/>
        </w:rPr>
        <w:t>POSSIBLE 2025:</w:t>
      </w:r>
      <w:r>
        <w:t xml:space="preserve"> Examining pathways for a climate neutral Europe by 2050; A model comparison analysis including integrated assessment models and energy system models — https://doi.org/10.1016/j.energy.2025.134809</w:t>
      </w:r>
    </w:p>
    <w:p>
      <w:pPr/>
      <w:r>
        <w:rPr>
          <w:b/>
        </w:rPr>
        <w:t>Shared claim-specific concepts:</w:t>
      </w:r>
      <w:r>
        <w:t xml:space="preserve"> energy, systems, but, technology; EU scope visible. This is a provisional connection, not an outcome finding.</w:t>
      </w:r>
    </w:p>
    <w:p>
      <w:pPr>
        <w:pStyle w:val="SourceNote"/>
      </w:pPr>
      <w:r>
        <w:rPr>
          <w:b/>
        </w:rPr>
        <w:t>Available abstract (not full text):</w:t>
      </w:r>
      <w:r>
        <w:t xml:space="preserve"> The European Union's goal of achieving climate neutrality by 2050, outlined in the European Green Deal, is supported by numerous studies providing insights into pathways and emission reduction strategies in the energy sectors. However, model comparisons of such pathways are less common due to the complex nature of climate and energy modelling. Our study brings together integrated assessment models and energy system models under a common framework to develop EU policy scenarios: a Current Trends scenario reflecting existing policies and trends and a Climate Neutrality scenario aligned with the EU's emission reduction target. Both scenarios project reduced final energy consumption by 2050, driven by increased electrification and decreased fossil fuel usage. Electricity consumption increases driven by electrification despite the improved efficiency of electrified technologies. Models align on a shift toward renewables but diverge in technology and fuel choices, reflecting various approaches to reach net-zero energy systems. Furthermore, trade-offs between energy demand and supply mitigation strategies, as well as between renewable energy, e-fuels, and CCS technologies are identified. Considering these model variations, our study highlights the importance of consistent model comparison to offer reliable recommendations to policymakers and stakeholders. We conclude that model divers</w:t>
      </w:r>
    </w:p>
    <w:p>
      <w:pPr/>
      <w:r>
        <w:rPr>
          <w:b/>
        </w:rPr>
        <w:t>POSSIBLE 2024:</w:t>
      </w:r>
      <w:r>
        <w:t xml:space="preserve"> Examining the Alignment of Student Explanations With the System Model in Climate Education Using Systems Thinking — https://doi.org/10.4018/979-8-3693-1710-5.ch003</w:t>
      </w:r>
    </w:p>
    <w:p>
      <w:pPr/>
      <w:r>
        <w:rPr>
          <w:b/>
        </w:rPr>
        <w:t>Shared claim-specific concepts:</w:t>
      </w:r>
      <w:r>
        <w:t xml:space="preserve"> systems, approach; EU scope not established. This is a provisional connection, not an outcome finding.</w:t>
      </w:r>
    </w:p>
    <w:p>
      <w:pPr>
        <w:pStyle w:val="SourceNote"/>
      </w:pPr>
      <w:r>
        <w:rPr>
          <w:b/>
        </w:rPr>
        <w:t>Available abstract (not full text):</w:t>
      </w:r>
      <w:r>
        <w:t xml:space="preserve"> The climate crisis poses a major threat to sustainability, highlighting the need for climate education that develops students' systems thinking skills regarding dynamic environmental issues. For this reason, this project, funded by the United Nations Development Programme (UNDP), was developed by a research university, a non-governmental organization, and a middle school partnership. As part of the project, this study investigated a ten-week after-school climate education program for 8th-grade students that aimed to improve their understanding of the climate system through simulation and policymaking. Semi-structured interviews were analyzed to assess the program's model alignment with students' explanations. The most frequently mentioned category was the economy, followed by the carbon cycle; population and the greenhouse effect were the least common. The study offers valuable insights into using a systems approach in climate education to comprehend climate complexity and dynamics by considering the importance of economy and population in understanding human-caused climate change.</w:t>
      </w:r>
    </w:p>
    <w:p>
      <w:pPr/>
      <w:r>
        <w:rPr>
          <w:b/>
        </w:rPr>
        <w:t>POSSIBLE 2023:</w:t>
      </w:r>
      <w:r>
        <w:t xml:space="preserve"> Examining research systems and models for local government: a systematic review — https://doi.org/10.1332/17442648y2023d000000002</w:t>
      </w:r>
    </w:p>
    <w:p>
      <w:pPr/>
      <w:r>
        <w:rPr>
          <w:b/>
        </w:rPr>
        <w:t>Shared claim-specific concepts:</w:t>
      </w:r>
      <w:r>
        <w:t xml:space="preserve"> systems, approach, but, optimal; EU scope visible. This is a provisional connection, not an outcome finding.</w:t>
      </w:r>
    </w:p>
    <w:p>
      <w:pPr>
        <w:pStyle w:val="SourceNote"/>
      </w:pPr>
      <w:r>
        <w:rPr>
          <w:b/>
        </w:rPr>
        <w:t>Available abstract (not full text):</w:t>
      </w:r>
      <w:r>
        <w:t xml:space="preserve"> Background: Local authorities (LA) are key in improving population health, and LA public health decision makers need support from appropriately organised research capacity; however, few models of LA research systems are known to exist. Aims and objectives: To explore potential and existing models of LA-based research systems. Methods: This mapping review and time-constrained systematic review synthesises conceptual and empirical literature from 12 health and social science databases, grey literature and reference/citation tracking. Three reviewers screened titles, abstracts and full texts of retrieved records, and extracted key data from included papers. Evidence was synthesised based on characteristics of research systems and quality-assessed for relevance, rigour and richness. Findings: Nine models were examined in depth. From these, we developed a typology of research systems. Few models were specifically designed for LA research activity; as a Whole System approach, the Local Authority Champions of Research model offers a potential blueprint. Useful lessons may be learned from UK Collaborations for Leadership in Applied Health Research, Academic Collaborative Centres in the Netherlands, local Research and Development units in Sweden, and generic University-Community partnerships. Discussion and conclusions: An optimal research system requires the coexistence of multiple sys</w:t>
      </w:r>
    </w:p>
    <w:p>
      <w:pPr/>
      <w:r>
        <w:rPr>
          <w:b/>
        </w:rPr>
        <w:t>POSSIBLE 2023:</w:t>
      </w:r>
      <w:r>
        <w:t xml:space="preserve"> Examining Student Testing and Debugging Within a Computational Systems Modeling Context — https://doi.org/10.1007/s10956-023-10049-w</w:t>
      </w:r>
    </w:p>
    <w:p>
      <w:pPr/>
      <w:r>
        <w:rPr>
          <w:b/>
        </w:rPr>
        <w:t>Shared claim-specific concepts:</w:t>
      </w:r>
      <w:r>
        <w:t xml:space="preserve"> systems, not; EU scope not established. This is a provisional connection, not an outcome finding.</w:t>
      </w:r>
    </w:p>
    <w:p>
      <w:pPr>
        <w:pStyle w:val="SourceNote"/>
      </w:pPr>
      <w:r>
        <w:rPr>
          <w:b/>
        </w:rPr>
        <w:t>Available abstract (not full text):</w:t>
      </w:r>
      <w:r>
        <w:t xml:space="preserve"> Abstract Interpreting and creating computational systems models is an important goal of science education. One aspect of computational systems modeling that is supported by modeling, systems thinking, and computational thinking literature is “testing, evaluating, and debugging models.” Through testing and debugging, students can identify aspects of their models that either do not match external data or conflict with their conceptual understandings of a phenomenon. This disconnect encourages students to make model revisions, which in turn deepens their conceptual understanding of a phenomenon. Given that many students find testing and debugging challenging, we set out to investigate the various testing and debugging behaviors and behavioral patterns that students use when building and revising computational system models in a supportive learning environment. We designed and implemented a 6-week unit where students constructed and revised a computational systems model of evaporative cooling using SageModeler software. Our results suggest that despite being in a common classroom, the three groups of students in this study all utilized different testing and debugging behavioral patterns. Group 1 focused on using external peer feedback to identify flaws in their model, group 2 used verbal and written discourse to critique their model’s structure and suggest structural changes, and g</w:t>
      </w:r>
    </w:p>
    <w:p>
      <w:pPr/>
      <w:r>
        <w:rPr>
          <w:b/>
        </w:rPr>
        <w:t>POSSIBLE 2022:</w:t>
      </w:r>
      <w:r>
        <w:t xml:space="preserve"> Are Black Girls Exhibiting Puberty Earlier? Examining Implications of Race-Based Guidelines — https://doi.org/10.1542/peds.2021-055595</w:t>
      </w:r>
    </w:p>
    <w:p>
      <w:pPr/>
      <w:r>
        <w:rPr>
          <w:b/>
        </w:rPr>
        <w:t>Shared claim-specific concepts:</w:t>
      </w:r>
      <w:r>
        <w:t xml:space="preserve"> implications, does, not; EU scope not established. This is a provisional connection, not an outcome finding.</w:t>
      </w:r>
    </w:p>
    <w:p>
      <w:pPr>
        <w:pStyle w:val="SourceNote"/>
      </w:pPr>
      <w:r>
        <w:rPr>
          <w:b/>
        </w:rPr>
        <w:t>Available abstract (not full text):</w:t>
      </w:r>
      <w:r>
        <w:t xml:space="preserve"> From 1977 to 2013, the average age of thelarche, the first sign of puberty in girls, decreased by nearly 3 months per decade.1 This trend, along with rising rates of precocious puberty in girls, has significant implications for girls’ physical and psychosocial development, especially because early puberty has been linked to future health risks.2,3In 1997, the Pediatric Research in Office Setting study introduced race into the discourse surrounding pubertal timing trends.4 In a study of approximately 17 000 girls, Black girls at every age had more advanced breast development compared with White girls. Breast development had begun at age 6 years for 6.4% of Black and 2.8% of White girls and, by 8 years, 37.8% of Black and 10.5% of White girls.4 Because of these findings, the Pediatric Endocrine Society Drugs and Therapeutic Committee recommended new race-based criteria for defining precocious puberty.5 Proposed recommendations stated that breast development should be considered precocious in Black girls younger than 6 years and White girls younger than 7 years.5 Although these guidelines were never formally recognized, race has become widely accepted as a factor in the pubertal timing of girls and has been included in recent American Academy of Pediatrics (AAP) clinical reports6 and Pediatric Endocrine Society guidelines.7 As a result, many patients, caregivers, medical students,</w:t>
      </w:r>
    </w:p>
    <w:p>
      <w:pPr/>
      <w:r>
        <w:rPr>
          <w:b/>
        </w:rPr>
        <w:t>POSSIBLE 2022:</w:t>
      </w:r>
      <w:r>
        <w:t xml:space="preserve"> Re-examining post-acceptance model of information systems continuance: A revised theoretical model using MASEM approach — https://doi.org/10.1016/j.ijinfomgt.2022.102571</w:t>
      </w:r>
    </w:p>
    <w:p>
      <w:pPr/>
      <w:r>
        <w:rPr>
          <w:b/>
        </w:rPr>
        <w:t>Shared claim-specific concepts:</w:t>
      </w:r>
      <w:r>
        <w:t xml:space="preserve"> systems, approach, technology; EU scope not established. This is a provisional connection, not an outcome finding.</w:t>
      </w:r>
    </w:p>
    <w:p>
      <w:pPr>
        <w:pStyle w:val="SourceNote"/>
      </w:pPr>
      <w:r>
        <w:rPr>
          <w:b/>
        </w:rPr>
        <w:t>Available abstract (not full text):</w:t>
      </w:r>
      <w:r>
        <w:t xml:space="preserve"> This study extends the post-acceptance model of information systems (IS) continuance, which is widely used to explain users’ satisfaction and IS continuance intentions. The extended model includes additional variables such as perceived ease of use (PEOU), attitude, trust, and enjoyment. The proposed model was tested using meta-analytic structural equation modeling (MASEM). The analysis included 1,056 observations on fifteen relationships from 214 independent studies with a combined sample of 84,343. The results confirm the significance of all the relationships proposed in the original model. Furthermore, the findings indicate that PEOU directly influences perceived usefulness, satisfaction, and attitude. Trust and enjoyment both have a positive impact on users’ satisfaction and IS continuance, wherein the effect of enjoyment was higher than trust. post-consumption satisfaction resulted in a favorable attitude toward technology, which further affected IS continuance. From a theoretical perspective, the current study acknowledges the shift in users’ attitude toward technology and emphasizes the hedonic value of IS usage as users report a higher degree of satisfaction toward responsive, easy to use, and enjoyable technologies. Marketers should focus on the enjoyment and gratifications derived from technology to increase potential IS usage.</w:t>
      </w:r>
    </w:p>
    <w:p>
      <w:pPr/>
      <w:r>
        <w:rPr>
          <w:b/>
        </w:rPr>
        <w:t>POSSIBLE 2022:</w:t>
      </w:r>
      <w:r>
        <w:t xml:space="preserve"> #foodporn: examining Instagram food influencers through the systems model of creativity — https://doi.org/10.1080/22041451.2022.2137248</w:t>
      </w:r>
    </w:p>
    <w:p>
      <w:pPr/>
      <w:r>
        <w:rPr>
          <w:b/>
        </w:rPr>
        <w:t>Shared claim-specific concepts:</w:t>
      </w:r>
      <w:r>
        <w:t xml:space="preserve"> examines, systems; EU scope not established. This is a provisional connection, not an outcome finding.</w:t>
      </w:r>
    </w:p>
    <w:p>
      <w:pPr>
        <w:pStyle w:val="SourceNote"/>
      </w:pPr>
      <w:r>
        <w:rPr>
          <w:b/>
        </w:rPr>
        <w:t>Available abstract (not full text):</w:t>
      </w:r>
      <w:r>
        <w:t xml:space="preserve"> Social media influencers (SMIs) are having a profound impact on how diners seek information about culinary establishments and are redefining how the marketing industry promotes restaurants and brands. Although research has confirmed the value of an SMI’s electronic word of mouth (eWOM) endorsement on brand recognition and purchase intention, there is limited understanding of the creative practice of these individuals. To address this gap, this research examines Instagram food influencers in Australia, using the systems model of creativity to frame the research. This research found that as an individual agent in a system, Instagram food influencers are impacted by their personal experiences, their immersion in cultural domains, their understanding of the field’s preferences and engagement with its social system when creating content. These findings indicate that the systems model of creativity is a sound framework to understand the creative practice of SMIs.</w:t>
      </w:r>
    </w:p>
    <w:p>
      <w:pPr/>
      <w:r>
        <w:rPr>
          <w:b/>
        </w:rPr>
        <w:t>POSSIBLE 2022:</w:t>
      </w:r>
      <w:r>
        <w:t xml:space="preserve"> Examining virtual reality as a platform for developing mental models of industrial systems — https://doi.org/10.1111/jcal.12731</w:t>
      </w:r>
    </w:p>
    <w:p>
      <w:pPr/>
      <w:r>
        <w:rPr>
          <w:b/>
        </w:rPr>
        <w:t>Shared claim-specific concepts:</w:t>
      </w:r>
      <w:r>
        <w:t xml:space="preserve"> examines, systems, not, significantly, technology; EU scope not established. This is a provisional connection, not an outcome finding.</w:t>
      </w:r>
    </w:p>
    <w:p>
      <w:pPr>
        <w:pStyle w:val="SourceNote"/>
      </w:pPr>
      <w:r>
        <w:rPr>
          <w:b/>
        </w:rPr>
        <w:t>Available abstract (not full text):</w:t>
      </w:r>
      <w:r>
        <w:t xml:space="preserve"> Abstract Industrial systems can be complex and not intuitive to perceive. Therefore, students in technology and engineering programs can benefit from developing mental models of industrial systems during their journey in college. However, more often than not, these students do not have access to industrial facilities; thus, developing mental models for systems is a challenge. This paper examines the merit of an Immersive Virtual Reality (IVR) framework application in creating proper mental models for industrial systems in technology and engineering students. Two IVR applications were developed. One IVR application afforded interaction with components of a prefabricated industrial cooling water system (CWVR). In the other application, students designed and built industrial systems with IVR (system designer VR [SDVR]). SDVR facilitated constructive‐generative engagement. A group of 33 students was divided into two; one group (the Design, experimental group) was tasked with building a system with SDVR and interacting with the cooling water system in CWVR. The other group was tasked with directly interacting with the CWVR without building a system with SDVR (the Interaction, comparison group). Students' mental models of the cooling water system in CWVR were evaluated following completing the interaction experience with CWVR. The results demonstrate that the causal model notion of t</w:t>
      </w:r>
    </w:p>
    <w:p>
      <w:pPr>
        <w:pStyle w:val="Heading2"/>
      </w:pPr>
      <w:r>
        <w:t>979. Linking Local Food Systems and the Social Economy? Future Roles for Farmers' Markets in Alberta and British Columbia*</w:t>
      </w:r>
    </w:p>
    <w:p>
      <w:pPr>
        <w:pStyle w:val="SourceNote"/>
      </w:pPr>
      <w:r>
        <w:rPr>
          <w:b/>
        </w:rPr>
        <w:t>Original source (2012):</w:t>
      </w:r>
      <w:r>
        <w:t xml:space="preserve"> https://doi.org/10.1111/j.1549-0831.2011.00068.x</w:t>
      </w:r>
    </w:p>
    <w:p>
      <w:pPr/>
      <w:r>
        <w:t>Original wording (abstract; indexed_source_text_not_full_document_verified): We used the Delphi method of inquiry to solicit and synthesize perspectives on the future role of farmers' markets within local food systems and the social economy from farmers' market vendors, market managers, and policy and government representatives in each province. Results confirm the need for further investigation of the relationship between the social economy, infrastructure, and authenticity in the development of local food systems.</w:t>
      </w:r>
    </w:p>
    <w:p>
      <w:pPr/>
      <w:r>
        <w:rPr>
          <w:b/>
        </w:rPr>
        <w:t>POSSIBLE 2026:</w:t>
      </w:r>
      <w:r>
        <w:t xml:space="preserve"> Developing a Body of Knowledge for Sustainability Engineering Using the Delphi Method: A Work in Progress — https://doi.org/10.18260/1-2--58714</w:t>
      </w:r>
    </w:p>
    <w:p>
      <w:pPr/>
      <w:r>
        <w:rPr>
          <w:b/>
        </w:rPr>
        <w:t>Shared claim-specific concepts:</w:t>
      </w:r>
      <w:r>
        <w:t xml:space="preserve"> used, delphi, method, solicit, within, systems; EU scope not established. This is a provisional connection, not an outcome finding.</w:t>
      </w:r>
    </w:p>
    <w:p>
      <w:pPr>
        <w:pStyle w:val="SourceNote"/>
      </w:pPr>
      <w:r>
        <w:rPr>
          <w:b/>
        </w:rPr>
        <w:t>Available abstract (not full text):</w:t>
      </w:r>
      <w:r>
        <w:t xml:space="preserve"> Background: As sustainability becomes increasingly important in engineering education and practice, there is a need to formally define Sustainability Engineering as a distinct discipline. Engineering disciplines, such as Civil Engineering, Industrial Engineering, and Environmental Engineering, have established Bodies of Knowledge (BoKs) that delineate the professional and educational expectations of their respective fields. Sustainability Engineering, as a new and evolving field of study, has yet to develop a unified framework that can facilitate curricular coherence, guide the assessment of learning outcomes, and define professional competencies. Objectives: The goal of this work is to develop an initial version of a Sustainability Engineering Body of Knowledge (“SE-BoK”) that provides a unified framework to facilitate curricular coherence, guide the assessment of learning outcomes, and define professional competencies. Relevance: This work directly addresses Topic 2 in the Call for Papers, “Applications of Sustainability Pedagogy Frameworks”. An SE-BoK will provide a standard structure for education and practice to help align curricula across institutions, support the design of new academic offerings across all engineering disciplines, and promote consistent assessment of sustainability-related learning outcomes. The SE-BoK will initiate the process of establishing accreditat</w:t>
      </w:r>
    </w:p>
    <w:p>
      <w:pPr/>
      <w:r>
        <w:rPr>
          <w:b/>
        </w:rPr>
        <w:t>POSSIBLE 2026:</w:t>
      </w:r>
      <w:r>
        <w:t xml:space="preserve"> AI literacy for K–12 education: an international Delphi study — https://doi.org/10.1080/10494820.2026.2649553</w:t>
      </w:r>
    </w:p>
    <w:p>
      <w:pPr/>
      <w:r>
        <w:rPr>
          <w:b/>
        </w:rPr>
        <w:t>Shared claim-specific concepts:</w:t>
      </w:r>
      <w:r>
        <w:t xml:space="preserve"> delphi, perspectives, role; EU scope not established. This is a provisional connection, not an outcome finding.</w:t>
      </w:r>
    </w:p>
    <w:p>
      <w:pPr>
        <w:pStyle w:val="SourceNote"/>
      </w:pPr>
      <w:r>
        <w:rPr>
          <w:b/>
        </w:rPr>
        <w:t>Available abstract (not full text):</w:t>
      </w:r>
      <w:r>
        <w:t xml:space="preserve"> Artificial intelligence (AI) is currently reshaping education around the world, but it is largely unclear what students need to learn about AI. The aim of this Delphi study is to identify consensus on central components of AI literacy in K–12 education by synthesizing views of diverse, interdisciplinary and international expert stakeholders. Through an online survey in three rounds, an international expert panel (n = 33, 27, 25) identified key components of AI literacy in K–12 education, particularly in relation to understanding and critically evaluating the role of AI in everyday life, recognizing and using AI in daily life, and describing and developing AI solutions to real-world problems. After the three Delphi rounds, consensus was obtained for eight out of 23 statements about AI literacy. These statements could be categorized under two main themes, foundational AI knowledge and critical perspectives, which partly include both societal and ethical components.The findings align with other recent AI literacy frameworks, but at the same time, our model outlines more limited, and therefore potentially more realistic and achievable, components that K–12 instructors can teach students, given adequate guidance, time, and professional development. The findings also corroborate recent research about critical thinking as something requiring content knowledge.</w:t>
      </w:r>
    </w:p>
    <w:p>
      <w:pPr/>
      <w:r>
        <w:rPr>
          <w:b/>
        </w:rPr>
        <w:t>POSSIBLE 2026:</w:t>
      </w:r>
      <w:r>
        <w:t xml:space="preserve"> Content Validation of the Prenatal Evaluation and Referral for Lactation (PEARL) Tool Using a Delphi Method — https://doi.org/10.3390/healthcare14172831</w:t>
      </w:r>
    </w:p>
    <w:p>
      <w:pPr/>
      <w:r>
        <w:rPr>
          <w:b/>
        </w:rPr>
        <w:t>Shared claim-specific concepts:</w:t>
      </w:r>
      <w:r>
        <w:t xml:space="preserve"> used, delphi, method; EU scope not established. This is a provisional connection, not an outcome finding.</w:t>
      </w:r>
    </w:p>
    <w:p>
      <w:pPr>
        <w:pStyle w:val="SourceNote"/>
      </w:pPr>
      <w:r>
        <w:rPr>
          <w:b/>
        </w:rPr>
        <w:t>Available abstract (not full text):</w:t>
      </w:r>
      <w:r>
        <w:t xml:space="preserve"> BACKGROUND: Delayed onset of lactogenesis II or delayed secretory activation, defined as milk onset &gt; 72 h postpartum, is a recognized barrier to successful breastfeeding initiation and duration. Prenatal identification and screening for risk factors associated with delayed secretory activation remains underutilized in maternal-child health services. This project aimed to develop and validate content for the Prenatal Evaluation and Referral for Lactation (PEARL) tool, a prenatal screening and referral instrument designed to identify lactation risk factors and guide anticipatory counseling and early referral to an International Board Certified Lactation Consultant (IBCLC) or breastfeeding medicine physician. METHODS: Tool development was informed by a structured literature review conducted on 2 October 2024, across four databases (CINAHL, PubMed, Scopus, and Embase), identifying clinical and other health factors associated with delayed lactogenesis II. A three-round Delphi process was used to establish content validity through multidisciplinary expert consensus. Item-level content validity (ICV) was evaluated using a predefined consensus threshold (≥0.80), while average-measures Intraclass Correlation Coefficients (ICC) were calculated as a complementary assessment of interrater consistency. Following tool refinement, a pilot implementation training was conducted to obtain preli</w:t>
      </w:r>
    </w:p>
    <w:p>
      <w:pPr/>
      <w:r>
        <w:rPr>
          <w:b/>
        </w:rPr>
        <w:t>POSSIBLE 2026:</w:t>
      </w:r>
      <w:r>
        <w:t xml:space="preserve"> The Future of Social Justice in Counseling Psychology: A Delphi Study — https://doi.org/10.1177/00110000261447255</w:t>
      </w:r>
    </w:p>
    <w:p>
      <w:pPr/>
      <w:r>
        <w:rPr>
          <w:b/>
        </w:rPr>
        <w:t>Shared claim-specific concepts:</w:t>
      </w:r>
      <w:r>
        <w:t xml:space="preserve"> delphi, method, perspectives; EU scope not established. This is a provisional connection, not an outcome finding.</w:t>
      </w:r>
    </w:p>
    <w:p>
      <w:pPr>
        <w:pStyle w:val="SourceNote"/>
      </w:pPr>
      <w:r>
        <w:rPr>
          <w:b/>
        </w:rPr>
        <w:t>Available abstract (not full text):</w:t>
      </w:r>
      <w:r>
        <w:t xml:space="preserve"> Twenty-six social justice scholars evaluated the strengths and weaknesses of counseling psychology’s contributions to social justice over the past 20 years. Using a Delphi method, they made predictions about the future of social justice in counseling psychology. Strengths included influencing the field of psychology to adopt social justice values and ethics; emphasizing structural influences on well-being; elevating voices of diverse scholars; expanding practice skills to include advocacy; and adopting liberatory practice frameworks. Weaknesses included politicizing social justice dialogue; taking too few risks; omitting international perspectives; being too self-reflexive; failing to work across disciplines; allowing social justice to be jargonized; not fully modifying training models; and allowing social justice to replace traditional content areas. Predictions were a mix of positive expectations (e.g., continuing to push the American Psychological Association [APA] to change training models, participating in more advocacy and activism) and pessimistic visions (e.g., political resistance). Implications for training and leadership are discussed.</w:t>
      </w:r>
    </w:p>
    <w:p>
      <w:pPr/>
      <w:r>
        <w:rPr>
          <w:b/>
        </w:rPr>
        <w:t>POSSIBLE 2026:</w:t>
      </w:r>
      <w:r>
        <w:t xml:space="preserve"> Defining Manuscript Peer Review: An International Delphi Consensus Study — https://doi.org/10.64898/2026.10.05.26364760</w:t>
      </w:r>
    </w:p>
    <w:p>
      <w:pPr/>
      <w:r>
        <w:rPr>
          <w:b/>
        </w:rPr>
        <w:t>Shared claim-specific concepts:</w:t>
      </w:r>
      <w:r>
        <w:t xml:space="preserve"> delphi, perspectives; EU scope not established. This is a provisional connection, not an outcome finding.</w:t>
      </w:r>
    </w:p>
    <w:p>
      <w:pPr>
        <w:pStyle w:val="SourceNote"/>
      </w:pPr>
      <w:r>
        <w:rPr>
          <w:b/>
        </w:rPr>
        <w:t>Available abstract (not full text):</w:t>
      </w:r>
      <w:r>
        <w:t xml:space="preserve"> Abstract Objectives To conduct a Delphi process to inform an international, consensus definition of manuscript peer review. Design Three-round Delphi consensus study including two surveys and one virtual consensus meeting. Peer review features identified through a prior scoping review were rated on a 5-point Likert scale in Rounds 1 and 2 and voted on using include, exclude, and abstain options in Round 3. Consensus was defined as ≥ 80% agreement. Setting International experts representing interest holders affected by manuscript peer review across the fields of biomedical, health, and social sciences, economics, and healthcare-related industries. Participants Round 1 participants were purposively recruited via email from corresponding authors of articles included in the preceding scoping review. Round 2 participants were those who completed Round 1. Round 3 participants were purposely selected to address gaps in representation from earlier rounds, with attention to diversity of perspectives and equity-relevant characteristics informed by PROGRESS-Plus (e.g., geographic location, gender, race/ethnicity, occupation, and socioeconomic context). Participants were required to communicate in English. Main outcome measures Consensus on the terminology, scope, characteristics, functions, processes, and reviewer characteristics that should inform a definition of manuscript peer review. </w:t>
      </w:r>
    </w:p>
    <w:p>
      <w:pPr/>
      <w:r>
        <w:rPr>
          <w:b/>
        </w:rPr>
        <w:t>POSSIBLE 2026:</w:t>
      </w:r>
      <w:r>
        <w:t xml:space="preserve"> Framing collectible design: a Delphi study on an emerging cultural-economic field — https://doi.org/10.1007/s11135-026-02799-7</w:t>
      </w:r>
    </w:p>
    <w:p>
      <w:pPr/>
      <w:r>
        <w:rPr>
          <w:b/>
        </w:rPr>
        <w:t>Shared claim-specific concepts:</w:t>
      </w:r>
      <w:r>
        <w:t xml:space="preserve"> delphi, method, role; EU scope not established. This is a provisional connection, not an outcome finding.</w:t>
      </w:r>
    </w:p>
    <w:p>
      <w:pPr>
        <w:pStyle w:val="SourceNote"/>
      </w:pPr>
      <w:r>
        <w:rPr>
          <w:b/>
        </w:rPr>
        <w:t>Available abstract (not full text):</w:t>
      </w:r>
      <w:r>
        <w:t xml:space="preserve"> Abstract This paper examines collectible design as an emergent hybrid domain at the intersection of art, design, and luxury. Using a two-round Delphi method with expert participants (curators, collectors, designers, and market professionals), we elicited and synthesized judgments in a context marked by ambiguous boundaries and information asymmetries. The study identifies consensus on core value drivers (e.g., authorship, uniqueness, narrative, and aesthetic resonance) and on the central role of expert mediation and field-configuring events in conferring legitimacy. Building on these insights, we introduce symbolic infrastructure as a layered framework (linking evaluative devices, institutional platforms, and identity work) that explains how collectible design stabilizes as a field. The resulting conceptual model specifies directional relationships among category definitions, valuation practices, collector identity, and institutional mechanisms, offering testable propositions for quantitative and mixed-methods research. This paper advances valuation theory, the sociology of cultural markets, and cultural economics by clarifying how novel symbolic fields emerge, structure meaning, and gain legitimacy, while demonstrating the suitability of the Delphi method for theorizing under conditions of limited standardization.</w:t>
      </w:r>
    </w:p>
    <w:p>
      <w:pPr/>
      <w:r>
        <w:rPr>
          <w:b/>
        </w:rPr>
        <w:t>POSSIBLE 2026:</w:t>
      </w:r>
      <w:r>
        <w:t xml:space="preserve"> GovTech in Europe between public- and privateness—A Delphi-based research agenda — https://doi.org/10.1007/s12525-026-00913-z</w:t>
      </w:r>
    </w:p>
    <w:p>
      <w:pPr/>
      <w:r>
        <w:rPr>
          <w:b/>
        </w:rPr>
        <w:t>Shared claim-specific concepts:</w:t>
      </w:r>
      <w:r>
        <w:t xml:space="preserve"> delphi, government, each; EU scope visible. This is a provisional connection, not an outcome finding.</w:t>
      </w:r>
    </w:p>
    <w:p>
      <w:pPr>
        <w:pStyle w:val="SourceNote"/>
      </w:pPr>
      <w:r>
        <w:rPr>
          <w:b/>
        </w:rPr>
        <w:t>Available abstract (not full text):</w:t>
      </w:r>
      <w:r>
        <w:t xml:space="preserve"> Abstract GovTech is emerging as a policy-relevant frame at the intersection of digital government, public procurement, and startup innovation. Yet research remains fragmented and often disconnected from the institutional conditions that shape implementable solutions. This paper develops a stakeholder-validated, dimensional publicness theory informed research agenda for GovTech in the European context using a multiround agenda-setting Delphi study with experts from public administrations, industry, and academia. Synthesizing qualitative inputs and quantitative prioritization, we identify thematic clusters and topic areas, formulate exemplary research questions, and provide rationales that connect each area to concrete governance and implementation challenges. To assess dynamism, we additionally examine perceived relevance trends across two measurement points (2023 and 2025), highlighting where urgency is increasing and where research sequencing is needed. The resulting agenda informs scholarship by clarifying GovTech as a hybrid, regulation-shaped domain and offers entry points for empirical and design-oriented research on ecosystem formation, procurement, regulation, and strategic scaling.</w:t>
      </w:r>
    </w:p>
    <w:p>
      <w:pPr/>
      <w:r>
        <w:rPr>
          <w:b/>
        </w:rPr>
        <w:t>POSSIBLE 2025:</w:t>
      </w:r>
      <w:r>
        <w:t xml:space="preserve"> Proposal for a critical appraisal tool for studies using the Delphi method (DCAT) — https://doi.org/10.1136/bmj-2025-084509</w:t>
      </w:r>
    </w:p>
    <w:p>
      <w:pPr/>
      <w:r>
        <w:rPr>
          <w:b/>
        </w:rPr>
        <w:t>Shared claim-specific concepts:</w:t>
      </w:r>
      <w:r>
        <w:t xml:space="preserve"> used, delphi, method; EU scope not established. This is a provisional connection, not an outcome finding.</w:t>
      </w:r>
    </w:p>
    <w:p>
      <w:pPr>
        <w:pStyle w:val="SourceNote"/>
      </w:pPr>
      <w:r>
        <w:rPr>
          <w:b/>
        </w:rPr>
        <w:t>Available abstract (not full text):</w:t>
      </w:r>
      <w:r>
        <w:t xml:space="preserve"> The number of published studies using the Delphi method has increased considerably in recent years. The Delphi method is now used extensively to develop guidelines, methodological standards, and quality indicators. Delphi studies are implemented in various ways and can differ in their design, conduct, analysis, and reporting; however, no critical appraisal instrument currently exists for the Delphi method. This Special Paper presents a tool that has been developed by the authors, based on over 15 years of experience conducting Delphi studies and a comprehensive analysis of the of the literature on the Delphi method since its inception. Following the structure of established critical appraisal tools for other research methods, DCAT (Delphi critical appraisal tool) has been developed to evaluate Delphi studies. The DCAT checklist consists of 16 items (four core and 12 additional items) that can be applied to and used to inform an overall judgment about the quality of a Delphi study. DCAT aims to assist in identifying the extent to which a Delphi study provides a sufficiently reasonable representation of expert and stakeholder views to inform decision making.</w:t>
      </w:r>
    </w:p>
    <w:p>
      <w:pPr/>
      <w:r>
        <w:rPr>
          <w:b/>
        </w:rPr>
        <w:t>POSSIBLE 2025:</w:t>
      </w:r>
      <w:r>
        <w:t xml:space="preserve"> A Delphi Study to Improve Agreement Regarding Vocational Assessment Terminology — https://doi.org/10.52382/wert1928.v20i2.1</w:t>
      </w:r>
    </w:p>
    <w:p>
      <w:pPr/>
      <w:r>
        <w:rPr>
          <w:b/>
        </w:rPr>
        <w:t>Shared claim-specific concepts:</w:t>
      </w:r>
      <w:r>
        <w:t xml:space="preserve"> delphi, each; EU scope not established. This is a provisional connection, not an outcome finding.</w:t>
      </w:r>
    </w:p>
    <w:p>
      <w:pPr>
        <w:pStyle w:val="SourceNote"/>
      </w:pPr>
      <w:r>
        <w:rPr>
          <w:b/>
        </w:rPr>
        <w:t>Available abstract (not full text):</w:t>
      </w:r>
      <w:r>
        <w:t xml:space="preserve"> Vocational evaluation and career assessment services are vital for individuals with disabilities, providing them and their families with essential information to make wellinformed decisions regarding their education, careers, and independent living. However, significant variability exists among providers and settings in terms of the types, quality, and intensity of these services. Despite prior literature defining various levels of vocational assessment, inconsistency persists in how vocational evaluation and career assessment are applied in research and practice; inconsistency can also create uneven and poorly designed services, which negatively impact clients. This inconsistency hampers effective research and impedes accurate program evaluation. Through this study, researchers aimed to establish distinct definitions of vocational assessment and vocational evaluation to promote consistency in research, practice, policy, and advocacy. The study employed a modified electronic Delphi survey technique, consisting of two survey Rounds, with participation from 21 experts. Four key definitions emerged from the study including an overall definition for vocational assessment as well as definitions for each of the three levels of vocational assessment. These definitions provided experts an opportunity to describe and distinguish the range of vocational assessment services provided. Reco</w:t>
      </w:r>
    </w:p>
    <w:p>
      <w:pPr/>
      <w:r>
        <w:rPr>
          <w:b/>
        </w:rPr>
        <w:t>POSSIBLE 2024:</w:t>
      </w:r>
      <w:r>
        <w:t xml:space="preserve"> Exploring the factors of employee turnover intentions in private education institutions in China: a Delphi study — https://doi.org/10.1080/23311975.2024.2413915</w:t>
      </w:r>
    </w:p>
    <w:p>
      <w:pPr/>
      <w:r>
        <w:rPr>
          <w:b/>
        </w:rPr>
        <w:t>Shared claim-specific concepts:</w:t>
      </w:r>
      <w:r>
        <w:t xml:space="preserve"> delphi, method, solicit, synthesize, within; EU scope not established. This is a provisional connection, not an outcome finding.</w:t>
      </w:r>
    </w:p>
    <w:p>
      <w:pPr>
        <w:pStyle w:val="SourceNote"/>
      </w:pPr>
      <w:r>
        <w:rPr>
          <w:b/>
        </w:rPr>
        <w:t>Available abstract (not full text):</w:t>
      </w:r>
      <w:r>
        <w:t xml:space="preserve"> Retaining a devoted and skilled workforce has become of paramount importance in China’s dynamic and competitive education sector. The consequences of employee turnover bear weight, especially for institutions striving for global excellence, impacting both institutional continuity and the quality of education. This study explores the factors influencing employee turnover intention within Chinese academic institutions and prioritizes these factors based on their significance. A two-round Delphi method was employed to solicit and synthesize expert opinions through iterative rounds. Nineteen experts from private education institutions in Fuzhou, China, were selected using a combination of purposeful and snowball sampling. In the first round, experts listed the factors contributing to employee turnover intentions, which were then analyzed using thematic analysis. In the second round, the experts ranked these dimensions from most to least important. The study identifies five pivotal factors affecting turnover intentions, listed in order of importance: (1) compensation, benefits, and employee recognition; (2) career development and advancement opportunities; (3) professional growth, training, and job security; (4) leadership, management support, and organizational culture; and (5) work-life balance and work environment. This research proffers actionable recommendations to discern and </w:t>
      </w:r>
    </w:p>
    <w:p>
      <w:pPr/>
      <w:r>
        <w:rPr>
          <w:b/>
        </w:rPr>
        <w:t>POSSIBLE 2024:</w:t>
      </w:r>
      <w:r>
        <w:t xml:space="preserve"> Development of an evidence‐based nursing practice program for preventing unplanned endotracheal extubations in the intensive care unit: A Delphi method study — https://doi.org/10.1111/jocn.17340</w:t>
      </w:r>
    </w:p>
    <w:p>
      <w:pPr/>
      <w:r>
        <w:rPr>
          <w:b/>
        </w:rPr>
        <w:t>Shared claim-specific concepts:</w:t>
      </w:r>
      <w:r>
        <w:t xml:space="preserve"> delphi, method, inquiry, synthesize; EU scope not established. This is a provisional connection, not an outcome finding.</w:t>
      </w:r>
    </w:p>
    <w:p>
      <w:pPr>
        <w:pStyle w:val="SourceNote"/>
      </w:pPr>
      <w:r>
        <w:rPr>
          <w:b/>
        </w:rPr>
        <w:t>Available abstract (not full text):</w:t>
      </w:r>
      <w:r>
        <w:t xml:space="preserve"> AIMS: This study aims to develop an evidence-based nursing practice program to prevent unplanned endotracheal extubation (UEE) among adult patients in the intensive care unit (ICU). DESIGN: This study uses the Delphi method to develop an evidence-based nursing practice program. METHODS: A comprehensive review of 18 databases and evidence-based websites was conducted to gather, assess and synthesize evidence on preventing UEEs in adult patients. Using this synthesized evidence, a questionnaire was formulated for further investigation. Subsequently, input was solicited from experts through Delphi surveys to establish an evidence-based nursing practice protocol for preventing UEEs in adult ICU patients. Consistency in consultation results guided subsequent rounds of consultation. RESULTS: The developed program comprised 43 evidence items categorized into nine dimensions, including risk assessment for unplanned extubation, sedation, analgesia, delirium, balloon management, psychosocial care, early extubation, catheter immobilization and protective restraints. Two rounds of expert inquiry yielded recovery rates of 94.7% and 100% for the first and second questionnaires, respectively. Kendall W values ranged from .224 to .353 (p &lt; .001). CONCLUSION: This study developed an evidence-based nursing practice program to prevent UEE in adult ICU patients, employing evidence-based practices </w:t>
      </w:r>
    </w:p>
    <w:p>
      <w:pPr/>
      <w:r>
        <w:rPr>
          <w:b/>
        </w:rPr>
        <w:t>POSSIBLE 2024:</w:t>
      </w:r>
      <w:r>
        <w:t xml:space="preserve"> International consensus on research priorities in hypospadias using a Delphi study approach — https://doi.org/10.1016/j.jpurol.2024.12.005</w:t>
      </w:r>
    </w:p>
    <w:p>
      <w:pPr/>
      <w:r>
        <w:rPr>
          <w:b/>
        </w:rPr>
        <w:t>Shared claim-specific concepts:</w:t>
      </w:r>
      <w:r>
        <w:t xml:space="preserve"> delphi, method, perspectives; EU scope not established. This is a provisional connection, not an outcome finding.</w:t>
      </w:r>
    </w:p>
    <w:p>
      <w:pPr>
        <w:pStyle w:val="SourceNote"/>
      </w:pPr>
      <w:r>
        <w:rPr>
          <w:b/>
        </w:rPr>
        <w:t>Available abstract (not full text):</w:t>
      </w:r>
      <w:r>
        <w:t xml:space="preserve"> INTRODUCTION: Hypospadias is a common congenital anomaly of the male genitalia that poses significant management and treatment challenges. Gaining a comprehensive understanding of priority research questions in hypospadiology will be essential to reach agreement on the optimal approach to assessment, treatment, and outcome prediction for affected patients. METHODS: We employed a consensus-building Delphi method to identify and prioritize research questions in the hypospadias field. Additionally, we integrated questions sourced from the artificial intelligence platform ChatGPT to capture multiple perspectives. Engaging a diverse panel of experts including clinicians, researchers, and patient advocates from across the globe, the Delphi process aimed to distill collective expertise and insights through iterative rounds of structured questionnaires and feedback. RESULTS: The analysis identified key themes in hypospadias research, covering etiology, tissue engineering, pre-clinical models, device/technology evaluation, phenotyping, surgical techniques, surgical training and postoperative outcomes. These themes highlight crucial areas for future investigation to improve understanding of hypospadias, treatment options, and patient outcomes, thereby guiding both research and clinical practice. DISCUSSION: By harnessing the collective wisdom and perspectives of multiple stakeholders, th</w:t>
      </w:r>
    </w:p>
    <w:p>
      <w:pPr>
        <w:pStyle w:val="Heading2"/>
      </w:pPr>
      <w:r>
        <w:t>980. New Emerging Issues and Wild Cards as Future Shakers and Shapers</w:t>
      </w:r>
    </w:p>
    <w:p>
      <w:pPr>
        <w:pStyle w:val="SourceNote"/>
      </w:pPr>
      <w:r>
        <w:rPr>
          <w:b/>
        </w:rPr>
        <w:t>Original source (2012):</w:t>
      </w:r>
      <w:r>
        <w:t xml:space="preserve"> https://doi.org/10.17323/1995-459x.2012.1.60.73</w:t>
      </w:r>
    </w:p>
    <w:p>
      <w:pPr/>
      <w:r>
        <w:t>Original wording (abstract; indexed_source_text_not_full_document_verified): The projects resulted in the evaluation of current methods for obtaining and processing scanning data and new conceptual thinking that may bridge the gap between scanning activities and policy-making.</w:t>
      </w:r>
    </w:p>
    <w:p>
      <w:pPr/>
      <w:r>
        <w:rPr>
          <w:b/>
        </w:rPr>
        <w:t>POSSIBLE 2026:</w:t>
      </w:r>
      <w:r>
        <w:t xml:space="preserve"> Green E.Th.I.Cs: Project Evaluation Methodology and Results — https://openalex.org/W7136099548</w:t>
      </w:r>
    </w:p>
    <w:p>
      <w:pPr/>
      <w:r>
        <w:rPr>
          <w:b/>
        </w:rPr>
        <w:t>Shared claim-specific concepts:</w:t>
      </w:r>
      <w:r>
        <w:t xml:space="preserve"> projects, evaluation, data, thinking, activities; EU scope visible. This is a provisional connection, not an outcome finding.</w:t>
      </w:r>
    </w:p>
    <w:p>
      <w:pPr>
        <w:pStyle w:val="SourceNote"/>
      </w:pPr>
      <w:r>
        <w:rPr>
          <w:b/>
        </w:rPr>
        <w:t>Available abstract (not full text):</w:t>
      </w:r>
      <w:r>
        <w:t xml:space="preserve"> Project evaluation constitutes one of the most important and decisive moments in the management cycle. More than a mere accountability exercise, it represents a fundamental opportunity to systematically understand whether the efforts and resources invested have produced the intended results. Its purpose goes beyond simple verification. Evaluation is necessary to pro- vide relevant information that can improve projects for their stakeholders, transforming data into learning and evidence into action. This e-book is dedicated to presenting the evaluation plan, the methodol- ogy used for data collection, and the results of the evaluation of the Green E.Th.I.Cs Project, an initiative that positions Social and Community Theatre as a central tool for raising awareness about climate change and promoting the European Green Deal. Developed by 18 partners across 12 countries, the project aimed to foster civic engagement, critical thinking, and citizen proactivity through the performing arts. It is based on the premise that evaluation is not a one-off or merely sum- mative act. Rather, it is a continuous, formative, systematic, and multidi- mensional process, aiming to determine effectiveness, efficiency, impacts, and sustainability in relation to previously defined objectives. This process involves collecting and analysing data on activities, outputs, and achieved effects, and seeks to pr</w:t>
      </w:r>
    </w:p>
    <w:p>
      <w:pPr/>
      <w:r>
        <w:rPr>
          <w:b/>
        </w:rPr>
        <w:t>POSSIBLE 2026:</w:t>
      </w:r>
      <w:r>
        <w:t xml:space="preserve"> Results Interpretation, Reporting, and Dissemination in Project Monitoring and Evaluation — https://doi.org/10.5281/zenodo.18299543</w:t>
      </w:r>
    </w:p>
    <w:p>
      <w:pPr/>
      <w:r>
        <w:rPr>
          <w:b/>
        </w:rPr>
        <w:t>Shared claim-specific concepts:</w:t>
      </w:r>
      <w:r>
        <w:t xml:space="preserve"> projects, evaluation, data; EU scope not established. This is a provisional connection, not an outcome finding.</w:t>
      </w:r>
    </w:p>
    <w:p>
      <w:pPr>
        <w:pStyle w:val="SourceNote"/>
      </w:pPr>
      <w:r>
        <w:rPr>
          <w:b/>
        </w:rPr>
        <w:t>Available abstract (not full text):</w:t>
      </w:r>
      <w:r>
        <w:t xml:space="preserve"> Monitoring and Evaluation (M&amp;E) plays a critical role in enhancing accountability, learning, and decision-making in development projects. However, the value of M&amp;E does not lie solely in data collection and analysis, but in the effective interpretation, reporting, and dissemination of results to relevant stakeholders. This paper examines the importance of communicating M&amp;E findings in ways that are ethical, inclusive, and action-oriented. It highlights how tailoring evaluation results to different audiences—such as donors, project implementers, and community beneficiaries—enhances the utilization and impact of evaluation findings. The paper also discusses the ethical responsibilities of M&amp;E practitioners, emphasizing transparency, accountability, confidentiality, and avoidance of bias in reporting. Furthermore, it explores the risks associated with poor dissemination practices and outlines approaches for measuring the effectiveness of dissemination strategies. The study concludes that effective and ethical reporting is not merely a technical requirement but a strategic and moral obligation that transforms evaluation findings into tools for learning, trust-building, and sustainable development. Particular emphasis is placed on closing the feedback loop with communities to ensure that evaluation serves as a participatory and empowering process rather than a one-sided exercise.</w:t>
      </w:r>
    </w:p>
    <w:p>
      <w:pPr/>
      <w:r>
        <w:rPr>
          <w:b/>
        </w:rPr>
        <w:t>POSSIBLE 2026:</w:t>
      </w:r>
      <w:r>
        <w:t xml:space="preserve"> Comparative analysis of traditional project management methods and lean project methods — https://openalex.org/W7222913199</w:t>
      </w:r>
    </w:p>
    <w:p>
      <w:pPr/>
      <w:r>
        <w:rPr>
          <w:b/>
        </w:rPr>
        <w:t>Shared claim-specific concepts:</w:t>
      </w:r>
      <w:r>
        <w:t xml:space="preserve"> projects, methods, between; EU scope not established. This is a provisional connection, not an outcome finding.</w:t>
      </w:r>
    </w:p>
    <w:p>
      <w:pPr>
        <w:pStyle w:val="SourceNote"/>
      </w:pPr>
      <w:r>
        <w:rPr>
          <w:b/>
        </w:rPr>
        <w:t>Available abstract (not full text):</w:t>
      </w:r>
      <w:r>
        <w:t xml:space="preserve"> Project management is a crucial aspect of business management, and companies may choose between traditional and Lean approaches based on their specific project needs. In general, traditional methods also frequently rely on a top-down hierarchical structure, while lean management encourages employee involvement and empowerment also Hybrid Project Management is an integrative approach that combines elements of traditional and lean methodologies to address the complexities of modern projects. The study aims to analyze Traditional, Lean, and Hybrid project management methodologies to determine how they influence project outcomes across different sectors. Specifically, it investigates whether project type is independent of the sector, how project outcomes differ between industrial and service sectors, how the three methodologies differ according to project attributes, and how organizational needs affect the selection of the most appropriate project management methodology. The research is based on a series of r cases taken from published studies. It analyzes them by applying a cross-sectoral approach to project characteristics (objective, duration, cost, resources, results, complexity, risk, innovation) and organizational needs. It also uses Fisher's exact test for assess the independence between the project management method and each attribute of the project. According to the result</w:t>
      </w:r>
    </w:p>
    <w:p>
      <w:pPr/>
      <w:r>
        <w:rPr>
          <w:b/>
        </w:rPr>
        <w:t>POSSIBLE 2025:</w:t>
      </w:r>
      <w:r>
        <w:t xml:space="preserve"> Evaluation Results Dissemination Strategy and Performance of Highway Construction Projects in Kenya — https://doi.org/10.37391/ijbmr.130101</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The purpose of this study is to examine the influence of evaluation results dissemination strategy on performance of highway construction projects in Kenya. This study was anchored on Utilization-Focused Evaluation (UFE) theory. This research utilized pragmatism research philosophy and correlational design. The target population was 69 Category A road construction projects that have been completed by KeNHA for the period between 2018 and 2022. The respondents in these projects were the project managers in all the 69 highway construction projects in Kenya. The study used a census approach and hence all the projects were included in the study. The research adopted both secondary and primary data. The research involved data collection checklist for secondary data collection from the KeNHA. Secondary data was collected from KeNHA reports and primary data was collected by use of semi-structured questionnaires. While qualitative data was analyzed by of thematic analysis, quantitative data was analyzed using descriptive and inferential statistics. The study found that that evaluation results dissemination strategy has a positive and significant impact on performance of highway construction projects in Kenya. The study recommends that project managers should adopt effective dissemination strategies for evaluation findings to ensure timely and accessible communication with all stakehold</w:t>
      </w:r>
    </w:p>
    <w:p>
      <w:pPr/>
      <w:r>
        <w:rPr>
          <w:b/>
        </w:rPr>
        <w:t>POSSIBLE 2025:</w:t>
      </w:r>
      <w:r>
        <w:t xml:space="preserve"> Evaluation Results Dissemination Strategy and Performance of Highway Construction Projects in Kenya — https://doi.org/10.52283/nswrca.ajbmr.20251001a05</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Highway construction projects in Kenya consistently encounter challenges such as delays, cost overruns, and suboptimal quality (Muchiri &amp; Mose, 2022; Mugweru &amp; Muchelule, 2022). These recurring issues underscore the critical need for enhanced decision-making and more effective stakeholder engagement (Ndurya and Bii, 2019). A crucial yet underexplored factor contributing to these challenges is the efficacy of evaluation results dissemination (Mutekhele et al., 2018). While evaluations are designed to foster improved project outcomes, prior research presents varied findings regarding the actual impact of dissemination strategies on project performance (Mutekhele et al., 2018). This study's objective was to investigate the influence of evaluation results dissemination strategy on the performance of highway construction projects in Kenya. This research was grounded in the Utilization-Focused Evaluation (UFE) theory (Patton, 1978). Adopting a pragmatist research philosophy, the study employed a correlational design. The target population comprised 69 Category A road construction projects completed by the Kenya National Highways Authority (KeNHA) between 2018 and 2022. The respondents for these projects were the project managers across all 69 highway construction projects in Kenya. A census approach was utilized, ensuring the inclusion of all projects in the study. The research incor</w:t>
      </w:r>
    </w:p>
    <w:p>
      <w:pPr/>
      <w:r>
        <w:rPr>
          <w:b/>
        </w:rPr>
        <w:t>POSSIBLE 2024:</w:t>
      </w:r>
      <w:r>
        <w:t xml:space="preserve"> EVALUATION OF THE RESULTS OF ESG PROJECT IMPLEMENTATION — https://doi.org/10.20998/2313-8890.2024.06.05</w:t>
      </w:r>
    </w:p>
    <w:p>
      <w:pPr/>
      <w:r>
        <w:rPr>
          <w:b/>
        </w:rPr>
        <w:t>Shared claim-specific concepts:</w:t>
      </w:r>
      <w:r>
        <w:t xml:space="preserve"> projects, evaluation, obtaining; EU scope not established. This is a provisional connection, not an outcome finding.</w:t>
      </w:r>
    </w:p>
    <w:p>
      <w:pPr>
        <w:pStyle w:val="SourceNote"/>
      </w:pPr>
      <w:r>
        <w:rPr>
          <w:b/>
        </w:rPr>
        <w:t>Available abstract (not full text):</w:t>
      </w:r>
      <w:r>
        <w:t xml:space="preserve"> The article explores the issue of evaluating the outcomes of implementing ESG (Environmental, Social, and Governance) projects across various economic sectors. It analyzes the main problems organizations face when implementing ESG initiatives, including inadequate methodological approaches to performance evaluation and the diversity of standards. The primary aspects of ESG projects' impact on environmental, social, and economic development are characterized. A comprehensive methodology for assessing the results of ESG initiatives has been developed, considering key performance indicators (KPIs) across different areas of activity. Recommendations are proposed to improve the efficiency of ESG project implementation, contributing to the sustainable development of enterprises. The study delves into the various challenges that organizations encounter, such as high implementation costs, resistance to change within the organization, and the lack of necessary experience and expertise. Additionally, it addresses the uncertainty regarding the impact of ESG projects on companies' financial performance. By calculating a composite ESG index for agro-industrial enterprises in Ukraine, the research allows for comparing the effectiveness of ESG project implementation and identifying leaders and laggards in the field of sustainable development. The study also underscores the role of independent</w:t>
      </w:r>
    </w:p>
    <w:p>
      <w:pPr/>
      <w:r>
        <w:rPr>
          <w:b/>
        </w:rPr>
        <w:t>POSSIBLE 2024:</w:t>
      </w:r>
      <w:r>
        <w:t xml:space="preserve"> Methods for Assessing the Economic Efficiency of IT Projects — https://doi.org/10.35808/ersj/3457</w:t>
      </w:r>
    </w:p>
    <w:p>
      <w:pPr/>
      <w:r>
        <w:rPr>
          <w:b/>
        </w:rPr>
        <w:t>Shared claim-specific concepts:</w:t>
      </w:r>
      <w:r>
        <w:t xml:space="preserve"> projects, methods, activities; EU scope not established. This is a provisional connection, not an outcome finding.</w:t>
      </w:r>
    </w:p>
    <w:p>
      <w:pPr>
        <w:pStyle w:val="SourceNote"/>
      </w:pPr>
      <w:r>
        <w:rPr>
          <w:b/>
        </w:rPr>
        <w:t>Available abstract (not full text):</w:t>
      </w:r>
      <w:r>
        <w:t xml:space="preserve"> Purpose: The aim of this article is to classify the methods of assessing the economic efficiency of all types of IT projects. Approach/Methodology/Design:The main research method is a review of national and world scientific and practical literature.Findings: The growing importance of IT systems requires methods that will determine their economic efficiency in enterprises and allow for practical comparison of the obtained economic and financial results.Practical Implications: The practical implications of the research results included in the article will constitute recommendations for activities in managing companies that can be used in business practice.The pace of scientific and technological progress forces the development of IT systems for the optimal efficiency of economic entities.Originality/Value: The original value of the article is the classification of the method for assessing the effectiveness of IT innovations and the development of a process for an appropriate approach to the overall assessment of such projects.</w:t>
      </w:r>
    </w:p>
    <w:p>
      <w:pPr/>
      <w:r>
        <w:rPr>
          <w:b/>
        </w:rPr>
        <w:t>POSSIBLE 2023:</w:t>
      </w:r>
      <w:r>
        <w:t xml:space="preserve"> The Impact of Project Management Tools on Project Results: Evaluation of a Survey Among Managers Leading International Development Projects for four selected Central and Eastern European Donors — https://doi.org/10.2478/revecp-2023-0010</w:t>
      </w:r>
    </w:p>
    <w:p>
      <w:pPr/>
      <w:r>
        <w:rPr>
          <w:b/>
        </w:rPr>
        <w:t>Shared claim-specific concepts:</w:t>
      </w:r>
      <w:r>
        <w:t xml:space="preserve"> projects, evaluation, data; EU scope visible. This is a provisional connection, not an outcome finding.</w:t>
      </w:r>
    </w:p>
    <w:p>
      <w:pPr>
        <w:pStyle w:val="SourceNote"/>
      </w:pPr>
      <w:r>
        <w:rPr>
          <w:b/>
        </w:rPr>
        <w:t>Available abstract (not full text):</w:t>
      </w:r>
      <w:r>
        <w:t xml:space="preserve"> Abstract As the success rate of international development projects might be still below expectations, several studies have explored whether and how the use of project management (PM) tools might improve internal and external project performance. This article looks specifically at four selected Central and Eastern European countries and evaluates a newly collected data set. Based on a survey, the study examines the adoption of PM tools among project managers in the region. Furthermore, with the use of cluster analysis, it suggests that the tools are adopted progressively in four stages that differ culturally from other international studies. Last but not least, using structural equation modelling, the research indicates that among the surveyed project managers, the use of stage 1 tools might directly contribute to the improvement of internal project results and that these internal results might then have a positive impact also on the external project performance.</w:t>
      </w:r>
    </w:p>
    <w:p>
      <w:pPr/>
      <w:r>
        <w:rPr>
          <w:b/>
        </w:rPr>
        <w:t>POSSIBLE 2023:</w:t>
      </w:r>
      <w:r>
        <w:t xml:space="preserve"> Evaluation of 30 urban land surface models in the Urban‐PLUMBER project: Phase 1 results — https://doi.org/10.1002/qj.4589</w:t>
      </w:r>
    </w:p>
    <w:p>
      <w:pPr/>
      <w:r>
        <w:rPr>
          <w:b/>
        </w:rPr>
        <w:t>Shared claim-specific concepts:</w:t>
      </w:r>
      <w:r>
        <w:t xml:space="preserve"> evaluation, current, between; EU scope not established. This is a provisional connection, not an outcome finding.</w:t>
      </w:r>
    </w:p>
    <w:p>
      <w:pPr>
        <w:pStyle w:val="SourceNote"/>
      </w:pPr>
      <w:r>
        <w:rPr>
          <w:b/>
        </w:rPr>
        <w:t>Available abstract (not full text):</w:t>
      </w:r>
      <w:r>
        <w:t xml:space="preserve"> Abstract Accurately predicting weather and climate in cities is critical for safeguarding human health and strengthening urban resilience. Multimodel evaluations can lead to model improvements; however, there have been no major intercomparisons of urban‐focussed land surface models in over a decade. Here, in Phase 1 of the Urban‐PLUMBER project, we evaluate the ability of 30 land surface models to simulate surface energy fluxes critical to atmospheric meteorological and air quality simulations. We establish minimum and upper performance expectations for participating models using simple information‐limited models as benchmarks. Compared with the last major model intercomparison at the same site, we find broad improvement in the current cohort's predictions of short‐wave radiation, sensible and latent heat fluxes, but little or no improvement in long‐wave radiation and momentum fluxes. Models with a simple urban representation (e.g., ‘slab’ schemes) generally perform well, particularly when combined with sophisticated hydrological/vegetation models. Some mid‐complexity models (e.g., ‘canyon’ schemes) also perform well, indicating efforts to integrate vegetation and hydrology processes have paid dividends. The most complex models that resolve three‐dimensional interactions between buildings in general did not perform as well as other categories. However, these models also tended </w:t>
      </w:r>
    </w:p>
    <w:p>
      <w:pPr/>
      <w:r>
        <w:rPr>
          <w:b/>
        </w:rPr>
        <w:t>POSSIBLE 2023:</w:t>
      </w:r>
      <w:r>
        <w:t xml:space="preserve"> OVERVIEW OF SCIENTIFIC METHODS AND APPROACHES OF PROJECT MANAGEMENT AND PROJECT COST ESTIMATION — https://doi.org/10.32782/2224-6282/188-24</w:t>
      </w:r>
    </w:p>
    <w:p>
      <w:pPr/>
      <w:r>
        <w:rPr>
          <w:b/>
        </w:rPr>
        <w:t>Shared claim-specific concepts:</w:t>
      </w:r>
      <w:r>
        <w:t xml:space="preserve"> current, methods, activities; EU scope not established. This is a provisional connection, not an outcome finding.</w:t>
      </w:r>
    </w:p>
    <w:p>
      <w:pPr>
        <w:pStyle w:val="SourceNote"/>
      </w:pPr>
      <w:r>
        <w:rPr>
          <w:b/>
        </w:rPr>
        <w:t>Available abstract (not full text):</w:t>
      </w:r>
      <w:r>
        <w:t xml:space="preserve"> The purpose. To carry out a comparative analysis of modern scientific methods and approaches of project management, as well as to consider the peculiarities of the project cost management process. Methods. The research used methods of systematization, generalization, and comparative analysis. The results. The article considers the peculiarities of the application of common project management technologies, namely the PRINCE2 method, the PMBoK guide and the international standard ISO 21500. Their comparative analysis was carried out according to several parameters, and the advantages and disadvantages of each were determined. Considerable research attention is focused on the project cost management process. Its main purpose and importance for achieving success is revealed. Defined the key opportunities provided by the application of scientific methods and approaches to expenditure management, and also identified the complexities involved in this. It is proposed to consider the process of project cost management as a set of four consecutive stages: planning the involvement of project resources, estimating their cost, drawing up a budget and controlling costs. It is noted that such scientific methods and approaches, the use of which will help to effectively manage costs and achieve project success, should be applied at each stage. More detailed attention was paid to the assessment </w:t>
      </w:r>
    </w:p>
    <w:p>
      <w:pPr/>
      <w:r>
        <w:rPr>
          <w:b/>
        </w:rPr>
        <w:t>POSSIBLE 2022:</w:t>
      </w:r>
      <w:r>
        <w:t xml:space="preserve"> EFFECTS OF UTILIZATION OF MONITORING AND EVALUATION RESULTS ON PROJECT PERFORMANCE — https://doi.org/10.46827/ejsss.v7i5.1294</w:t>
      </w:r>
    </w:p>
    <w:p>
      <w:pPr/>
      <w:r>
        <w:rPr>
          <w:b/>
        </w:rPr>
        <w:t>Shared claim-specific concepts:</w:t>
      </w:r>
      <w:r>
        <w:t xml:space="preserve"> projects, evaluation, data, between; EU scope not established. This is a provisional connection, not an outcome finding.</w:t>
      </w:r>
    </w:p>
    <w:p>
      <w:pPr>
        <w:pStyle w:val="SourceNote"/>
      </w:pPr>
      <w:r>
        <w:rPr>
          <w:b/>
        </w:rPr>
        <w:t>Available abstract (not full text):</w:t>
      </w:r>
      <w:r>
        <w:t xml:space="preserve"> Globally, any organization's goal is to be effective, and efficient, attain its objectives and exceed in performance. The need to be successful and have a more remarkable performance has created the need for regular tracking of projects to ensure the project follows the right course for optimal performance. The role of NDMA in Kenya is very crucial in attaining the Kenya vision 2030, the big four agenda, and SDG 2 on ending hunger and achieving food security. Therefore, with this background, the research sought to substantiate the impact of utilization of monitoring, and evaluation results on the performance of drought resilience projects by the National Drought Management Authority (NDMA) in Mandera County. This study adopted systems theory and a descriptive research design. The study undertook a census survey where all the 60 members of the project under NDMA were studied. Data from primary and secondary sources were utilized and the researcher employed semi-structured questionnaires to collect data. Reliability and validity of research instruments and study results were attained by pilot testing the research instruments. SPSS statistical package using descriptive statistics was employed to analyze the collected data. Inferential statistics were applied to ascertain the relationship between independent and dependent variables. The findings show that utilization of monitoring </w:t>
      </w:r>
    </w:p>
    <w:p>
      <w:pPr/>
      <w:r>
        <w:rPr>
          <w:b/>
        </w:rPr>
        <w:t>POSSIBLE 2022:</w:t>
      </w:r>
      <w:r>
        <w:t xml:space="preserve"> System dynamics approach of knowledge transfer from projects to the project-based organization — https://doi.org/10.1108/ijmpb-06-2021-0142</w:t>
      </w:r>
    </w:p>
    <w:p>
      <w:pPr/>
      <w:r>
        <w:rPr>
          <w:b/>
        </w:rPr>
        <w:t>Shared claim-specific concepts:</w:t>
      </w:r>
      <w:r>
        <w:t xml:space="preserve"> projects, conceptual, gap, between; EU scope not established. This is a provisional connection, not an outcome finding.</w:t>
      </w:r>
    </w:p>
    <w:p>
      <w:pPr>
        <w:pStyle w:val="SourceNote"/>
      </w:pPr>
      <w:r>
        <w:rPr>
          <w:b/>
        </w:rPr>
        <w:t>Available abstract (not full text):</w:t>
      </w:r>
      <w:r>
        <w:t xml:space="preserve"> Purpose Although knowledge transfer in the context of projects and project-based organizations (PBOs) has gained increasing attention from academia and industry, it is not clear how knowledge transfers from projects to their parent PBOs. This research aims to explore the main factors influencing knowledge transfer from projects to their parent PBOs, and analyze how these factors integrate the transfer process as system components using the system dynamics (SD) method. Design/methodology/approach Based on the literature review, investigation and interview, this paper adopts the event analysis to obtain the influencing factors from historical cases and establishes a conceptual model of knowledge transfer from five dimensions, which simultaneously considers the knowledge sender, knowledge receiver and the relationship between the knowledge sender and receiver, knowledge features and transfer context. Then, the relationships between variables in the qualitative model were clarified, and a quantitative model including seven feedback loops was established using the SD model. Lastly, the system simulation and sensitivity analysis of the main parameters were realized in Vensim PLE software. Findings The simulation analysis results show that the model can simulate the knowledge transfer process from projects to the PBO to a certain extent. This research fully demonstrates the impact of </w:t>
      </w:r>
    </w:p>
    <w:p>
      <w:pPr>
        <w:pStyle w:val="Heading2"/>
      </w:pPr>
      <w:r>
        <w:t>981. REMIND-D: A Hybrid Energy-Economy Model of Germany</w:t>
      </w:r>
    </w:p>
    <w:p>
      <w:pPr>
        <w:pStyle w:val="SourceNote"/>
      </w:pPr>
      <w:r>
        <w:rPr>
          <w:b/>
        </w:rPr>
        <w:t>Original source (2012):</w:t>
      </w:r>
      <w:r>
        <w:t xml:space="preserve"> https://doi.org/10.22004/ag.econ.121911</w:t>
      </w:r>
    </w:p>
    <w:p>
      <w:pPr/>
      <w:r>
        <w:t>Original wording (abstract; indexed_source_text_not_full_document_verified): The model provides a quantitative framework for analyzing long-term domestic CO2 emission reduction scenarios.</w:t>
      </w:r>
    </w:p>
    <w:p>
      <w:pPr/>
      <w:r>
        <w:rPr>
          <w:b/>
        </w:rPr>
        <w:t>POSSIBLE 2026:</w:t>
      </w:r>
      <w:r>
        <w:t xml:space="preserve"> Forecasting human tick-borne encephalitis risk across Europe through quantitative models integrating environmental and exposure drivers — https://openalex.org/W7154437128</w:t>
      </w:r>
    </w:p>
    <w:p>
      <w:pPr/>
      <w:r>
        <w:rPr>
          <w:b/>
        </w:rPr>
        <w:t>Shared claim-specific concepts:</w:t>
      </w:r>
      <w:r>
        <w:t xml:space="preserve"> provides, quantitative, framework; EU scope visible. This is a provisional connection, not an outcome finding.</w:t>
      </w:r>
    </w:p>
    <w:p>
      <w:pPr>
        <w:pStyle w:val="SourceNote"/>
      </w:pPr>
      <w:r>
        <w:rPr>
          <w:b/>
        </w:rPr>
        <w:t>Available abstract (not full text):</w:t>
      </w:r>
      <w:r>
        <w:t xml:space="preserve"> Tick-borne encephalitis (TBE) poses a growing public health challenge across Europe, driven by ecological, climatic and socio-demographic changes. We present a quantitative spatio-temporal predictive framework to forecast the annual probability of TBE across Europe at regional (NUTS3) and municipal administrative levels. The model leverages a boosted regression tree algorithm trained on standardized human TBE case data provided by the European Centre for Disease Prevention and Control and national public health institutions. Our modelling framework integrates drivers related to both the hazard of TBEV circulation in the environment and human exposure to tick bites, namely the habitat suitability of vertebrate hosts, precipitation, forest cover, autumnal cooling rate, forest road density, and population density. Results exhibit strong predictive performance for the years 2017-2025 (regional AUC ≈ 0.84; municipal AUC ≈ 0.82), demonstrating robust discrimination between regions with and without reported TBE cases. Predicted risk maps highlight high probability areas in central-eastern Europe, the Baltic states, and Nordic coastal regions, while temporal trend analysis reveals statistically significant increases in predicted TBE risk extending into north-western and south-western European areas. These results reflect the combined effects of environmental suitability and human activ</w:t>
      </w:r>
    </w:p>
    <w:p>
      <w:pPr/>
      <w:r>
        <w:rPr>
          <w:b/>
        </w:rPr>
        <w:t>POSSIBLE 2025:</w:t>
      </w:r>
      <w:r>
        <w:t xml:space="preserve"> A Quantitative Analysis of the Legacy ATM Financial Model — https://doi.org/10.1109/ntad67887.2025.11302661</w:t>
      </w:r>
    </w:p>
    <w:p>
      <w:pPr/>
      <w:r>
        <w:rPr>
          <w:b/>
        </w:rPr>
        <w:t>Shared claim-specific concepts:</w:t>
      </w:r>
      <w:r>
        <w:t xml:space="preserve"> provides, quantitative; EU scope visible. This is a provisional connection, not an outcome finding.</w:t>
      </w:r>
    </w:p>
    <w:p>
      <w:pPr>
        <w:pStyle w:val="SourceNote"/>
      </w:pPr>
      <w:r>
        <w:rPr>
          <w:b/>
        </w:rPr>
        <w:t>Available abstract (not full text):</w:t>
      </w:r>
      <w:r>
        <w:t xml:space="preserve"> This paper provides a quantitative analysis of the legacy financial model governing European Air Navigation Service Providers (ANSPs) to establish an empirical baseline for the transition towards a Service-Oriented Architecture (SOA). The research problem centers on the model’s inherent economic characteristics, particularly its cost inelasticity and risk allocation mechanisms, which are poorly understood in a quantitative sense. The methodology involves constructing a mathematical financial model based on the European performance and charging scheme. This model is calibrated and validated using six years (2018-2023) of detailed financial and operational data from a representative national provider, LPS SR of Slovakia. The results of a 7-year simulation (2018-2024) quantify the ANSP’s financial performance, revealing a massive loss in 2020 followed by a sharp, regulation-driven return to profitability in 2022. The discussion analyzes these findings, concluding that the legacy system is defined by regulatory resilience, where financial risk from demand shocks is transferred directly to airspace users, rather than being absorbed by the provider. This analysis demonstrates that a shift to an SOA is not merely a technical change but a fundamental economic transition from a regulated cost-recovery utility to a market-based system where service providers must assume full financial ri</w:t>
      </w:r>
    </w:p>
    <w:p>
      <w:pPr/>
      <w:r>
        <w:rPr>
          <w:b/>
        </w:rPr>
        <w:t>POSSIBLE 2024:</w:t>
      </w:r>
      <w:r>
        <w:t xml:space="preserve"> A quantitative investigation of immigrants integration and detention in Europe — https://doi.org/10.1007/s11135-024-01926-6</w:t>
      </w:r>
    </w:p>
    <w:p>
      <w:pPr/>
      <w:r>
        <w:rPr>
          <w:b/>
        </w:rPr>
        <w:t>Shared claim-specific concepts:</w:t>
      </w:r>
      <w:r>
        <w:t xml:space="preserve"> provides, quantitative; EU scope visible. This is a provisional connection, not an outcome finding.</w:t>
      </w:r>
    </w:p>
    <w:p>
      <w:pPr>
        <w:pStyle w:val="SourceNote"/>
      </w:pPr>
      <w:r>
        <w:rPr>
          <w:b/>
        </w:rPr>
        <w:t>Available abstract (not full text):</w:t>
      </w:r>
      <w:r>
        <w:t xml:space="preserve"> Abstract In this paper, we question whether different attitudes of European countries’ policies toward migrant integration correspond to different propensities to hold foreigners in prison. As a first attempt to test the existence of such an association, we cluster 34 European countries for the year 2019, modelling the dimensions of the Migrant Integration Policy Index (MIPEX). Leveraging finite mixtures of multivariate Gaussian, we identify three groups of countries with a similar level of integration. Then, we estimate the relative proportion of foreigners held in prison among clusters, relying on UNODC and UNDESA data and exploiting Fisher’s noncentral hypergeometric (FNCH) model. We aim to introduce the FNCH model on clusters as a new quantitative tool to investigate demographic and social research issues. Results show that, in the less virtuous cluster in terms of migrants’ integration, foreigners are almost twice more exposed to detention than in the other clusters. Moreover, looking at the differences within clusters, we find that foreigners have a different propensity to be held in prison with respect to citizens. The proposed approach adds new valuable insights to the MIPEX and provides a novel perspective on an important and highly debated phenomenon, such as foreigners in prison, through the lenses of migrants’ integration. From a policymaking perspective, there emer</w:t>
      </w:r>
    </w:p>
    <w:p>
      <w:pPr/>
      <w:r>
        <w:rPr>
          <w:b/>
        </w:rPr>
        <w:t>POSSIBLE 2024:</w:t>
      </w:r>
      <w:r>
        <w:t xml:space="preserve"> Zenith Tropospheric Delay Forecasting in the European Region Using the Informer–Long Short-Term Memory Networks Hybrid Prediction Model — https://doi.org/10.3390/atmos16010031</w:t>
      </w:r>
    </w:p>
    <w:p>
      <w:pPr/>
      <w:r>
        <w:rPr>
          <w:b/>
        </w:rPr>
        <w:t>Shared claim-specific concepts:</w:t>
      </w:r>
      <w:r>
        <w:t xml:space="preserve"> analyzing, long-term; EU scope visible. This is a provisional connection, not an outcome finding.</w:t>
      </w:r>
    </w:p>
    <w:p>
      <w:pPr>
        <w:pStyle w:val="SourceNote"/>
      </w:pPr>
      <w:r>
        <w:rPr>
          <w:b/>
        </w:rPr>
        <w:t>Available abstract (not full text):</w:t>
      </w:r>
      <w:r>
        <w:t xml:space="preserve"> Zenith tropospheric delay (ZTD) is a significant atmospheric error that impacts the Global Navigation Satellite System (GNSS). Developing a high-precision, long-term forecasting model for ZTD can provide valuable insights into the overall trends of predicted ZTD, which is essential for improving GNSS positioning and analyzing changes in regional climate and water vapor. To address the challenges of incomplete information extraction and gradient explosion in a single neural network when forecasting ZTD long-term, this study introduces an Informer–LSTM Hybrid Prediction Model. This model employs a parallel ensemble learning strategy that combines the strengths of both the Informer and LSTM networks to extract features from ZTD data. The Informer model is effective at capturing the periodicity and long-term trends within the ZTD data, while the LSTM model excels at understanding short-term dependencies and dynamic changes. By merging the features extracted by both models, the prediction capabilities of each can complement one another, allowing for a more comprehensive analysis of the characteristics present in ZTD data. In our research, we utilized ERA5-derived ZTD data from 11 International GNSS Service (IGS) stations in Europe to interpolate the missing portions of GNSS-derived ZTD. We then employed this interpolated data from 2016 to 2020, along with an Informer–LSTM Hybrid Pre</w:t>
      </w:r>
    </w:p>
    <w:p>
      <w:pPr/>
      <w:r>
        <w:rPr>
          <w:b/>
        </w:rPr>
        <w:t>POSSIBLE 2024:</w:t>
      </w:r>
      <w:r>
        <w:t xml:space="preserve"> Analysis and Prediction of PM2.5 Pollution in Madrid: The Use of Prophet–Long Short-Term Memory Hybrid Models — https://doi.org/10.3390/appliedmath4040076</w:t>
      </w:r>
    </w:p>
    <w:p>
      <w:pPr/>
      <w:r>
        <w:rPr>
          <w:b/>
        </w:rPr>
        <w:t>Shared claim-specific concepts:</w:t>
      </w:r>
      <w:r>
        <w:t xml:space="preserve"> provides, long-term; EU scope visible. This is a provisional connection, not an outcome finding.</w:t>
      </w:r>
    </w:p>
    <w:p>
      <w:pPr>
        <w:pStyle w:val="SourceNote"/>
      </w:pPr>
      <w:r>
        <w:rPr>
          <w:b/>
        </w:rPr>
        <w:t>Available abstract (not full text):</w:t>
      </w:r>
      <w:r>
        <w:t xml:space="preserve"> Particulate matter smaller than 2.5 μm (PM2.5) in Madrid is a critical concern due to its impacts on public health. This study employs advanced methodologies, including the CRISP-DM model and hybrid Prophet–Long Short-Term Memory (LSTM), to analyze historical data from monitoring stations and predict future PM2.5 levels. The results reveal a decreasing trend in PM2.5 levels from 2019 to mid-2024, suggesting the effectiveness of policies implemented by the Madrid City Council. However, the observed interannual fluctuations and peaks indicate the need for continuous policy adjustments to address specific events and seasonal variations. The comparison of local policies and those of the European Union underscores the importance of greater coherence and alignment to optimize the outcomes. Predictions made with the Prophet–LSTM model provide a solid foundation for planning and decision making, enabling urban managers to design more effective strategies. This study not only provides a detailed understanding of pollution patterns, but also emphasizes the need for adaptive environmental policies and citizen participation to improve air quality. The findings of this work can be of great assistance to environmental policymakers, providing a basis for future research and actions to improve air quality in Madrid. The hybrid Prophet–LSTM model effectively captured both seasonal trends and po</w:t>
      </w:r>
    </w:p>
    <w:p>
      <w:pPr/>
      <w:r>
        <w:rPr>
          <w:b/>
        </w:rPr>
        <w:t>POSSIBLE 2022:</w:t>
      </w:r>
      <w:r>
        <w:t xml:space="preserve"> Implementing a probabilistic fire modeling system at the pan-European level — https://doi.org/10.14195/978-989-26-2298-9_174</w:t>
      </w:r>
    </w:p>
    <w:p>
      <w:pPr/>
      <w:r>
        <w:rPr>
          <w:b/>
        </w:rPr>
        <w:t>Shared claim-specific concepts:</w:t>
      </w:r>
      <w:r>
        <w:t xml:space="preserve"> quantitative, long-term; EU scope visible. This is a provisional connection, not an outcome finding.</w:t>
      </w:r>
    </w:p>
    <w:p>
      <w:pPr>
        <w:pStyle w:val="SourceNote"/>
      </w:pPr>
      <w:r>
        <w:rPr>
          <w:b/>
        </w:rPr>
        <w:t>Available abstract (not full text):</w:t>
      </w:r>
      <w:r>
        <w:t xml:space="preserve"> This research shows the potential use of cross-boundary fire modeling systems at the pan-European level. Despite the growing interest in building fire-resilient cultural landscapes, European Union (EU) level efforts have been reactive and focused on early detection, fire propagation monitoring, and perimeter mapping rather than predicting where the disaster can potentially occur to develop a comprehensive wildfire management strategy. We propose a modeling system that integrates wildfire occurrence models and observed fire-weather scenarios with a fire spread model to generate the probabilistic risk components, i.e., wildfire likelihood and hazard estimates. We selected four NUTS-2 level administrative division pilot sites from different fire-prone countries to implement the modeling system. The European-level pyromes were first delineated based on ecoregions and historical wildfire activity. We then generated human and lightning wildfire occurrence models to display the ignition points. Remote sensing products were used to derive fire spread modeling spatial input data such as surface fuels and canopy metrics. Global atmospheric products were used to calculate the fuel moisture content with physical models and determine the most frequent wind scenarios for each pyrome. We then used the Minimum Travel Time algorithm to model the fire footprints that correspond to 10,000 years o</w:t>
      </w:r>
    </w:p>
    <w:p>
      <w:pPr/>
      <w:r>
        <w:rPr>
          <w:b/>
        </w:rPr>
        <w:t>POSSIBLE 2021:</w:t>
      </w:r>
      <w:r>
        <w:t xml:space="preserve"> Time-resolved emission reductions for atmospheric chemistry modelling in Europe during the COVID-19 lockdowns — https://doi.org/10.5194/acp-21-773-2021</w:t>
      </w:r>
    </w:p>
    <w:p>
      <w:pPr/>
      <w:r>
        <w:rPr>
          <w:b/>
        </w:rPr>
        <w:t>Shared claim-specific concepts:</w:t>
      </w:r>
      <w:r>
        <w:t xml:space="preserve"> emission, reduction; EU scope visible. This is a provisional connection, not an outcome finding.</w:t>
      </w:r>
    </w:p>
    <w:p>
      <w:pPr>
        <w:pStyle w:val="SourceNote"/>
      </w:pPr>
      <w:r>
        <w:rPr>
          <w:b/>
        </w:rPr>
        <w:t>Available abstract (not full text):</w:t>
      </w:r>
      <w:r>
        <w:t xml:space="preserve"> Abstract. We quantify the reductions in primary emissions due to the COVID-19 lockdowns in Europe. Our estimates are provided in the form of a dataset of reduction factors varying per country and day that will allow modelling and identifying the associated impacts upon air quality. The country- and daily-resolved reduction factors are provided for each of the following source categories: energy industry (power plants), manufacturing industry, road traffic and aviation (landing and take-off cycle). We computed the reduction factors based on open access and near-real time measured activity data from a wide range of information sources. We also trained a machine learning model with meteorological data to derive weather-normalised electricity consumption reductions. The time period covered is from 21 February, when the first European localised lockdown was implemented in the region of Lombardy (Italy), until 26 April 2020. This period includes five weeks (23 March until 26 April) with the most severe and relatively unchanged restrictions upon mobility and socio-economic activities across Europe. The computed reduction factors were combined with the Copernicus Atmosphere Monitoring Service's European emission inventory using adjusted emission temporal profiles in order to derive time-resolved emission reductions per country and pollutant sector. During the most severe lockdown perio</w:t>
      </w:r>
    </w:p>
    <w:p>
      <w:pPr/>
      <w:r>
        <w:rPr>
          <w:b/>
        </w:rPr>
        <w:t>POSSIBLE 2020:</w:t>
      </w:r>
      <w:r>
        <w:t xml:space="preserve"> Coupling prediction model for long‐term displacements of arch dams based on long short‐term memory network — https://doi.org/10.1002/stc.2548</w:t>
      </w:r>
    </w:p>
    <w:p>
      <w:pPr/>
      <w:r>
        <w:rPr>
          <w:b/>
        </w:rPr>
        <w:t>Shared claim-specific concepts:</w:t>
      </w:r>
      <w:r>
        <w:t xml:space="preserve"> long-term, reduction; EU scope not established. This is a provisional connection, not an outcome finding.</w:t>
      </w:r>
    </w:p>
    <w:p>
      <w:pPr>
        <w:pStyle w:val="SourceNote"/>
      </w:pPr>
      <w:r>
        <w:rPr>
          <w:b/>
        </w:rPr>
        <w:t>Available abstract (not full text):</w:t>
      </w:r>
      <w:r>
        <w:t xml:space="preserve"> The long-term safety and health monitoring of large dams has attracted increasing attention. In this paper, coupling prediction models based on long short-term memory (LSTM) network are proposed for the long-term deformation of arch dams. Principal component analysis (PCA) and moving average (MA) method, adopted to make dimension reduction for the input variables, are respectively combined with the LSTM to achieve two coupling prediction models, that is, LSTM-PCA and LSTM-MA. Lijiaxia arch dam, which has been in operation over 20 years, is taken as an analysis example. Compared with the traditional hydrostatic-seasonal-time model, the hydrostatic-seasonal-time thermal model, and the multilayer perceptron model, the proposed models show more effectiveness concerning the predicted displacements of the arch dam. The accuracy of the predicted results from the coupling prediction models is better. Furthermore, the coupling prediction models could capture the long-term characteristics and provide better prediction with short monitoring data. Compared with the LSTM-PCA model, the LSTM-MA model is more suitable for engineering applications due to its convenience.</w:t>
      </w:r>
    </w:p>
    <w:p>
      <w:pPr/>
      <w:r>
        <w:rPr>
          <w:b/>
        </w:rPr>
        <w:t>POSSIBLE 2020:</w:t>
      </w:r>
      <w:r>
        <w:t xml:space="preserve"> A review on long-term electrical power system modeling with energy storage — https://doi.org/10.1016/j.jclepro.2020.124298</w:t>
      </w:r>
    </w:p>
    <w:p>
      <w:pPr/>
      <w:r>
        <w:rPr>
          <w:b/>
        </w:rPr>
        <w:t>Shared claim-specific concepts:</w:t>
      </w:r>
      <w:r>
        <w:t xml:space="preserve"> provides, framework, long-term, reduction; EU scope not established. This is a provisional connection, not an outcome finding.</w:t>
      </w:r>
    </w:p>
    <w:p>
      <w:pPr>
        <w:pStyle w:val="SourceNote"/>
      </w:pPr>
      <w:r>
        <w:rPr>
          <w:b/>
        </w:rPr>
        <w:t>Available abstract (not full text):</w:t>
      </w:r>
      <w:r>
        <w:t xml:space="preserve"> Driven by the demand for intermittent power generation, Energy Storage (ES) will be widely adopted in future electricity grids to provide flexibility and resilience. Technically, there are two classes of ES for storing low-carbon energy: Generation-Integrated Energy Storage (GIES) and non-GIES. GIES stores energy along with the transformation between the primary energy form (e.g., thermal energy) and electricity. Long-term Electrical Power System Models (LEPSMs) support analysis including decarbonization studies and energy technology assessments. Current LEPSMs are limited in describing the power system with ES (e.g., considering one type of ES and not considering GIES). Consequently, a novel LEPSM is needed, and this paper paves the way towards this goal by bringing together the literature on ES and LEPSMs. This paper provides a state-of-the-art review of LEPSMs and shows that (a) existing models are inadequate to address grids with a high percentage of renewables and ES; and (b) there is a challenge in integrating short-term temporal changes in LEPSMs due to model complexity and computational cost. Finally, this paper proposes a framework for long-term electrical power system modeling considering ES and low-carbon power generation, which we have named the long-term power flow electrical power system framework. The key features of this novel framework are its agent-based model</w:t>
      </w:r>
    </w:p>
    <w:p>
      <w:pPr/>
      <w:r>
        <w:rPr>
          <w:b/>
        </w:rPr>
        <w:t>POSSIBLE 2020:</w:t>
      </w:r>
      <w:r>
        <w:t xml:space="preserve"> Spillover and dynamic effects of energy transition and economic growth on carbon dioxide emissions for the European Union: A dynamic spatial panel model — https://doi.org/10.1002/sd.2144</w:t>
      </w:r>
    </w:p>
    <w:p>
      <w:pPr/>
      <w:r>
        <w:rPr>
          <w:b/>
        </w:rPr>
        <w:t>Shared claim-specific concepts:</w:t>
      </w:r>
      <w:r>
        <w:t xml:space="preserve"> analyzing, co2, reduction; EU scope visible. This is a provisional connection, not an outcome finding.</w:t>
      </w:r>
    </w:p>
    <w:p>
      <w:pPr>
        <w:pStyle w:val="SourceNote"/>
      </w:pPr>
      <w:r>
        <w:rPr>
          <w:b/>
        </w:rPr>
        <w:t>Available abstract (not full text):</w:t>
      </w:r>
      <w:r>
        <w:t xml:space="preserve"> Abstract This paper introduces “spatial effects” and “dynamic effects” to investigate the influences of economic growth and energy transition on cross‐country CO2 emissions movements within the European Union (EU). We apply the fixed‐effects dynamic spatial Durbin error model to empirically gauge the magnitude of the spatial impacts and dynamic impacts for a sample of 26 EU countries throughout 1990–2015. By analyzing the empirical results, we conclude that: (1) Compared with dynamic spatial Durbin error model, the traditional dynamic panel model over‐estimates the parameters because traditional regression methods only capture the direct impacts, and neglect the indirect impacts. (2) A significant positive spatial spillover of CO2 emissions from neighboring countries to the local country is recognized, justifying the use of our spatial model. (3) Economic growth has positive impacts on CO2 emissions, while the spatial effects of economic growth exert negative impacts. Moreover, the total effects of economic growth are positive in both short‐term and long‐term. (4) Although the spatial effects of renewable energy are not significant, renewable energy has negative influences on CO2 emissions. (5) The impacts and spatial effects of natural gas are positive; therefore, its total effects are positive in both short‐run and long‐run. Based on our finding, we provide several policy rec</w:t>
      </w:r>
    </w:p>
    <w:p>
      <w:pPr/>
      <w:r>
        <w:rPr>
          <w:b/>
        </w:rPr>
        <w:t>POSSIBLE 2019:</w:t>
      </w:r>
      <w:r>
        <w:t xml:space="preserve"> Quantitative sovereign default models and the European debt crisis — https://doi.org/10.1016/j.jinteco.2019.01.011</w:t>
      </w:r>
    </w:p>
    <w:p>
      <w:pPr/>
      <w:r>
        <w:rPr>
          <w:b/>
        </w:rPr>
        <w:t>Shared claim-specific concepts:</w:t>
      </w:r>
      <w:r>
        <w:t xml:space="preserve"> quantitative, framework, domestic; EU scope visible. This is a provisional connection, not an outcome finding.</w:t>
      </w:r>
    </w:p>
    <w:p>
      <w:pPr>
        <w:pStyle w:val="SourceNote"/>
      </w:pPr>
      <w:r>
        <w:rPr>
          <w:b/>
        </w:rPr>
        <w:t>Available abstract (not full text):</w:t>
      </w:r>
      <w:r>
        <w:t xml:space="preserve"> A large literature has developed quantitative versions of the Eaton and Gersovitz (1981) model to analyze default episodes on external debt. In this paper, we study whether the same framework can be applied to the analysis of debt crises in which domestic public debt plays a prominent role. We consider a model where a government can issue debt to both domestic and foreign investors, and we derive conditions under which their sum is the relevant state variable for default incentives. We then apply our framework to the European debt crisis. We show that matching the cyclicality of public debt—rather than that of external debt—allows the model to better capture the empirical distribution of interest rate spreads and gives rise to more realistic crises dynamics.</w:t>
      </w:r>
    </w:p>
    <w:p>
      <w:pPr/>
      <w:r>
        <w:rPr>
          <w:b/>
        </w:rPr>
        <w:t>POSSIBLE 2019:</w:t>
      </w:r>
      <w:r>
        <w:t xml:space="preserve"> Modeling the low-carbon transition of the European energy system - A quantitative assessment of the stranded assets problem — https://doi.org/10.1016/j.esr.2019.100422</w:t>
      </w:r>
    </w:p>
    <w:p>
      <w:pPr/>
      <w:r>
        <w:rPr>
          <w:b/>
        </w:rPr>
        <w:t>Shared claim-specific concepts:</w:t>
      </w:r>
      <w:r>
        <w:t xml:space="preserve"> quantitative, long-term; EU scope visible. This is a provisional connection, not an outcome finding.</w:t>
      </w:r>
    </w:p>
    <w:p>
      <w:pPr>
        <w:pStyle w:val="SourceNote"/>
      </w:pPr>
      <w:r>
        <w:rPr>
          <w:b/>
        </w:rPr>
        <w:t>Available abstract (not full text):</w:t>
      </w:r>
      <w:r>
        <w:t xml:space="preserve"> In this paper, multiple pathways for the European energy system until 2050 are computed, focusing on one of the major challenges of the low-carbon transition: the issue of unused capacities and stranded assets. Three different scenarios are analyzed, utilizing the Global Energy System Model (GENeSYS-MOD) for calculations. A major feature is the introduction of limited foresight and imperfect planning to the multi-sectoral approach of the model. A swift transition towards renewable energy sources is needed in order to ensure the goal of staying below 2 °C is maintained. This leads to the underutilization of current fossil-fueled plant capacities, an effect compounded by the prioritization of short-term goals over long-term targets. In the worst case, capacities with a combined value of up to 200 billion € corresponding to 260 GW total capacity may end up stranded by 2035, with significant shares in the coal and gas sectors. Contrary, in the baseline scenario featuring perfect foresight, this amount can by reduced by as much as 75%. Thus, the need for strong, clear signals from policy makers arises in order to combat the threat of short-sighted planning and investment losses.</w:t>
      </w:r>
    </w:p>
    <w:p>
      <w:pPr>
        <w:pStyle w:val="Heading2"/>
      </w:pPr>
      <w:r>
        <w:t>982. Scenarios of the organic food market in Europe</w:t>
      </w:r>
    </w:p>
    <w:p>
      <w:pPr>
        <w:pStyle w:val="SourceNote"/>
      </w:pPr>
      <w:r>
        <w:rPr>
          <w:b/>
        </w:rPr>
        <w:t>Original source (2012):</w:t>
      </w:r>
      <w:r>
        <w:t xml:space="preserve"> https://doi.org/10.1016/j.foodpol.2011.10.003</w:t>
      </w:r>
    </w:p>
    <w:p>
      <w:pPr/>
      <w:r>
        <w:t>Original wording (abstract; indexed_source_text_not_full_document_verified): Scenario analysis is a qualitative tool for strategic policy analysis that enables researchers and policymakers to support decision making, and a systemic analysis of the main determinants of a business or sector. Network analysis is used to identify the roles of driving forces in the different scenarios, and the results are discussed in comparison with the main findings from existing scenarios on the future development of the organic sector.</w:t>
      </w:r>
    </w:p>
    <w:p>
      <w:pPr/>
      <w:r>
        <w:rPr>
          <w:b/>
        </w:rPr>
        <w:t>POSSIBLE 2026:</w:t>
      </w:r>
      <w:r>
        <w:t xml:space="preserve"> Strategic Development of Wheelchair Basketball in Europe and Türkiye: A Systematic Review and Comparative Framework for Sustainable Growth — https://doi.org/10.33438/ijdshs.1800363</w:t>
      </w:r>
    </w:p>
    <w:p>
      <w:pPr/>
      <w:r>
        <w:rPr>
          <w:b/>
        </w:rPr>
        <w:t>Shared claim-specific concepts:</w:t>
      </w:r>
      <w:r>
        <w:t xml:space="preserve"> qualitative, tool, strategic, support; EU scope visible. This is a provisional connection, not an outcome finding.</w:t>
      </w:r>
    </w:p>
    <w:p>
      <w:pPr>
        <w:pStyle w:val="SourceNote"/>
      </w:pPr>
      <w:r>
        <w:rPr>
          <w:b/>
        </w:rPr>
        <w:t>Available abstract (not full text):</w:t>
      </w:r>
      <w:r>
        <w:t xml:space="preserve"> Purpose: This systematic review examines the strategic development of wheelchair basketball in Europe and Türkiye, focusing on athlete pathways, governance structures, and sustainability mechanisms. Methods: Following PRISMA 2020 guidelines, four databases (PubMed, Scopus, Web of Science, SPORTDiscus) were systematically searched. From 731 records, 16 peer-reviewed studies met the inclusion criteria. A qualitative thematic synthesis was conducted, and methodological quality was assessed using the Mixed Methods Appraisal Tool (MMAT). Results: European systems demonstrate structured talent identification, formalized coach education, diversified funding models, and integrated sports science support. Reverse integration and gender-inclusive policies were associated with higher participation and institutional sustainability. In Türkiye, grassroots growth is evident; however, limitations persist regarding infrastructure, performance monitoring, and long-term funding continuity. Conclusion: Sustainable wheelchair basketball development requires coherent governance, standardized performance monitoring, and institutional partnerships. Adopting adaptable European best practices while accounting for Türkiye’s socio-cultural context can strengthen competitive performance and inclusive participation.</w:t>
      </w:r>
    </w:p>
    <w:p>
      <w:pPr/>
      <w:r>
        <w:rPr>
          <w:b/>
        </w:rPr>
        <w:t>POSSIBLE 2026:</w:t>
      </w:r>
      <w:r>
        <w:t xml:space="preserve"> VIRTUAL REALITY AS A STRATEGIC SPORT MARKETING TOOL IN PROFESSIONAL FOOTBALL: EVIDENCE FROM EUROPE AND GREECE — https://doi.org/10.46827/ejmms.v11i2.2215</w:t>
      </w:r>
    </w:p>
    <w:p>
      <w:pPr/>
      <w:r>
        <w:rPr>
          <w:b/>
        </w:rPr>
        <w:t>Shared claim-specific concepts:</w:t>
      </w:r>
      <w:r>
        <w:t xml:space="preserve"> qualitative, tool, strategic, decision, used, different; EU scope visible. This is a provisional connection, not an outcome finding.</w:t>
      </w:r>
    </w:p>
    <w:p>
      <w:pPr>
        <w:pStyle w:val="SourceNote"/>
      </w:pPr>
      <w:r>
        <w:rPr>
          <w:b/>
        </w:rPr>
        <w:t>Available abstract (not full text):</w:t>
      </w:r>
      <w:r>
        <w:t xml:space="preserve"> This research article examines the strategic use of virtual reality (VR) as a sport marketing tool in professional football, with particular attention to the European and Greek contexts. The study investigates whether immersive VR applications can strengthen fan engagement, emotional attachment, perceived commercial value, sponsorship appeal and organizational marketing effectiveness. A mixed-methods design was employed. Quantitative evidence was collected through a structured questionnaire administered to a sport-related sample of 166 respondents, while qualitative evidence was gathered through semi-structured interviews with sport organization executives and marketing decision makers. The quantitative analysis used descriptive statistics, one-sample t-tests against the neutral point of five-point Likert scales, Pearson correlations and linear regression models. Interview data were examined thematically. The findings show that VR is perceived as a powerful mechanism for enhancing fans' emotional connection with football clubs, increasing participation in live and digital events, improving social-media engagement and creating new commercial assets for sponsors and clubs. The results further indicate that European football organizations are perceived as more advanced than Greek organizations in adopting and strategically integrating VR. Cost, lack of specialized personnel, techn</w:t>
      </w:r>
    </w:p>
    <w:p>
      <w:pPr/>
      <w:r>
        <w:rPr>
          <w:b/>
        </w:rPr>
        <w:t>POSSIBLE 2026:</w:t>
      </w:r>
      <w:r>
        <w:t xml:space="preserve"> Economic Diplomacy as a Strategic Tool in Economic Warfare: A Qualitative Analysis of Global Resilience Strategies — https://doi.org/10.2478/picbe-2026-0004</w:t>
      </w:r>
    </w:p>
    <w:p>
      <w:pPr/>
      <w:r>
        <w:rPr>
          <w:b/>
        </w:rPr>
        <w:t>Shared claim-specific concepts:</w:t>
      </w:r>
      <w:r>
        <w:t xml:space="preserve"> qualitative, tool, strategic, used, comparison; EU scope not established. This is a provisional connection, not an outcome finding.</w:t>
      </w:r>
    </w:p>
    <w:p>
      <w:pPr>
        <w:pStyle w:val="SourceNote"/>
      </w:pPr>
      <w:r>
        <w:rPr>
          <w:b/>
        </w:rPr>
        <w:t>Available abstract (not full text):</w:t>
      </w:r>
      <w:r>
        <w:t xml:space="preserve"> Abstract The current international environment is defined by conflicts that seem to escalate more and more dangerously. From the conflict between Russia and Ukraine to the aggression of the United States of America in Venezuela, the modern world seems to be leaning more and more towards military conflicts. However, the globalized world also faces a more subtle type of aggression, represented by economic or tariff warfare. Thus, studying economic diplomacy and its importance has become vital to understanding how to stop the world from turning into a sea of bloody wars. In the current scientific literature, economic diplomacy is often analyzed from a commercial perspective, but there is a significant gap regarding its role in military crisis management and geopolitical realignment. The research question is the following: to what extent can economic diplomacy mitigate the effects of tariff wars and ensure national resilience in emerging economies, taking as a model the political restructuring study of President Javier Milei′s Argentina? The research method will be qualitative, using a comparative analysis of diplomacy used in tariff wars and Milei′s Argentine shock therapy. The results show us that the measures described have a positive impact on economic stability in both cases, but involve irreparable damage to the morale and standard of living of the people. The contribution of</w:t>
      </w:r>
    </w:p>
    <w:p>
      <w:pPr/>
      <w:r>
        <w:rPr>
          <w:b/>
        </w:rPr>
        <w:t>POSSIBLE 2026:</w:t>
      </w:r>
      <w:r>
        <w:t xml:space="preserve"> Strategic Narratives of Foreign Policy Identity: Russia vs European Union — https://doi.org/10.20542/0131-2227-2026-70-9-66-77</w:t>
      </w:r>
    </w:p>
    <w:p>
      <w:pPr/>
      <w:r>
        <w:rPr>
          <w:b/>
        </w:rPr>
        <w:t>Shared claim-specific concepts:</w:t>
      </w:r>
      <w:r>
        <w:t xml:space="preserve"> qualitative, strategic, findings; EU scope visible. This is a provisional connection, not an outcome finding.</w:t>
      </w:r>
    </w:p>
    <w:p>
      <w:pPr>
        <w:pStyle w:val="SourceNote"/>
      </w:pPr>
      <w:r>
        <w:rPr>
          <w:b/>
        </w:rPr>
        <w:t>Available abstract (not full text):</w:t>
      </w:r>
      <w:r>
        <w:t xml:space="preserve"> The article examines the evolution of strategic narratives in EU–Russia relations from 2022 to 2025 amid geopolitical tensions, particularly post-Ukraine conflict. The article presents a qualitative analysis of the strategic narratives of the Russian Federation and the European Union as tools for shaping foreign policy identity and positioning actors as centers of power in a transforming system of international relations. Drawing on the constructivist concept of strategic narratives, the authors trace the dynamics of constructing foreign policy identities and positioning the European Union and Russia as global centers of power. Key findings highlight a divergence: the EU constructs Russia as an existential threat via “Russian threat, aggression, hybrid warfare”, fostering militarization and resilience of European identity. Conversely, Russian narratives portray the EU as betrayer of post-Cold War partnership, emphasizing multipolarity, balances, and Western decline. The analysis underscores how competing narratives shape collective identities, policy resilience, and perpetual crisis (“permacrisis”), influencing foreign policy and public diplomacy. The authors conclude with a warning of deepened antagonism without narrative convergence. Strategic narratives reinforce each actor’s foreign policy identity as a contender for the role of a global center of power and challenge the op</w:t>
      </w:r>
    </w:p>
    <w:p>
      <w:pPr/>
      <w:r>
        <w:rPr>
          <w:b/>
        </w:rPr>
        <w:t>POSSIBLE 2026:</w:t>
      </w:r>
      <w:r>
        <w:t xml:space="preserve"> Artificial Intelligence Tools in Qualitative Research II — https://doi.org/10.59537/saupress.2577</w:t>
      </w:r>
    </w:p>
    <w:p>
      <w:pPr/>
      <w:r>
        <w:rPr>
          <w:b/>
        </w:rPr>
        <w:t>Shared claim-specific concepts:</w:t>
      </w:r>
      <w:r>
        <w:t xml:space="preserve"> qualitative, researchers, identify; EU scope not established. This is a provisional connection, not an outcome finding.</w:t>
      </w:r>
    </w:p>
    <w:p>
      <w:pPr>
        <w:pStyle w:val="SourceNote"/>
      </w:pPr>
      <w:r>
        <w:rPr>
          <w:b/>
        </w:rPr>
        <w:t>Available abstract (not full text):</w:t>
      </w:r>
      <w:r>
        <w:t xml:space="preserve"> The volume brings together fourteen chapters authored by specialists whose work spans the intersection of artificial intelligence and qualitative methodology.The opening chapter addresses AI-assisted approaches to data collection, examining how tools built upon machine learning can enhance the depth and consistency of qualitative interviewing, focus group moderation, and observational protocols.The second chapter turns to the analysis stage, critically evaluating automatic and semi-automatic coding approaches alongside the irreplaceable role of researcher judgment.The third chapter confronts the ethical dimensions of AI use in qualitative research, with particular attention to data privacy, algorithmic transparency, and the risk of researcher bias.The fourth chapter examines how artificial intelligence has reshaped educational settings through learning analytics, personalized learning environments, student performance prediction, and classroom management tools.This treatment is essential for qualitative researchers whose fieldwork increasingly takes place within AI-mediated institutional contexts: understanding the AI systems that structure the environments under study is a prerequisite for methodologically credible inquiry, and no qualitative account of contemporary schooling can be complete without it.The fifth chapter investigates the methodological contributions of large la</w:t>
      </w:r>
    </w:p>
    <w:p>
      <w:pPr/>
      <w:r>
        <w:rPr>
          <w:b/>
        </w:rPr>
        <w:t>POSSIBLE 2026:</w:t>
      </w:r>
      <w:r>
        <w:t xml:space="preserve"> Strategic International Investments and Economic Resilience: The Three Seas Initiative as a Regional Development Tool — https://doi.org/10.2478/picbe-2026-0108</w:t>
      </w:r>
    </w:p>
    <w:p>
      <w:pPr/>
      <w:r>
        <w:rPr>
          <w:b/>
        </w:rPr>
        <w:t>Shared claim-specific concepts:</w:t>
      </w:r>
      <w:r>
        <w:t xml:space="preserve"> qualitative, tool, strategic, support, main; EU scope visible. This is a provisional connection, not an outcome finding.</w:t>
      </w:r>
    </w:p>
    <w:p>
      <w:pPr>
        <w:pStyle w:val="SourceNote"/>
      </w:pPr>
      <w:r>
        <w:rPr>
          <w:b/>
        </w:rPr>
        <w:t>Available abstract (not full text):</w:t>
      </w:r>
      <w:r>
        <w:t xml:space="preserve"> Abstract The paper analyses the role of strategic international investments in strengthening economic resilience in Central and Eastern Europe, with a focus on the Three Seas Initiative as a regional development tool. In the context of geopolitical uncertainties, supply chain disruptions and uneven economic development within the European Union, the paper highlights the importance of a coordinated regional framework capable of boosting connectivity, competitiveness and long-term stability. The existing literature emphasizes economic resilience as a multidimensional concept, closely linked to infrastructure development, investment diversification and regional cooperation. While previous research has addressed the political and strategic dimensions of the Three Seas Initiative, there is a lack of studies on its economic impact and capacity to attract international investments as a mechanism for strengthening resilience of the area. The paper contributes to closing this gap by framing the initiative within broader debates on regional development in domains like energy, transport and digitalization and international political economy. The study uses a qualitative methodology, based on document analysis, comparative assessment and public policy analysis. The main research questions concern how the Three Seas Initiative facilitates strategic international investments, the most influe</w:t>
      </w:r>
    </w:p>
    <w:p>
      <w:pPr/>
      <w:r>
        <w:rPr>
          <w:b/>
        </w:rPr>
        <w:t>POSSIBLE 2026:</w:t>
      </w:r>
      <w:r>
        <w:t xml:space="preserve"> From Economic Openness to Strategic Capacity: The European Union as a Hybrid Geoeconomic Actor — https://doi.org/10.3390/world7090149</w:t>
      </w:r>
    </w:p>
    <w:p>
      <w:pPr/>
      <w:r>
        <w:rPr>
          <w:b/>
        </w:rPr>
        <w:t>Shared claim-specific concepts:</w:t>
      </w:r>
      <w:r>
        <w:t xml:space="preserve"> qualitative, strategic, findings; EU scope visible. This is a provisional connection, not an outcome finding.</w:t>
      </w:r>
    </w:p>
    <w:p>
      <w:pPr>
        <w:pStyle w:val="SourceNote"/>
      </w:pPr>
      <w:r>
        <w:rPr>
          <w:b/>
        </w:rPr>
        <w:t>Available abstract (not full text):</w:t>
      </w:r>
      <w:r>
        <w:t xml:space="preserve"> The European Union now routinely leverages economic governance to tackle strategic vulnerabilities caused by geopolitical rivalry, foreign dependencies, and supply chain shocks. This article analyses this shift, exploring how the EU adapts its economic toolkit and what restricts its capacity to act as a geoeconomic power. It builds an analytical framework connecting external pressures, strategic vulnerabilities, policy choices, and institutional barriers. Methodologically, the study combines qualitative document analysis of EU policy frameworks with trade metrics and evidence from the Geoeconomic Interconnectivity Index. The findings show a clear expansion in investment screening, anti-coercion tools, targeted industrial policy, and supply-chain diversification—all aimed at safeguarding core sectors and curbing asymmetric exposure. These steps mark a departure from purely regulatory-market logic towards a hybrid model blending market openness, defensive controls, and capacity-building. Persistent institutional splits, conflicting national priorities, technological gaps, and reliance on foreign markets limit the effectiveness of this transition. Ultimately, the EU’s evolving geoeconomic stance aims not for total self-sufficiency, but for the deliberate, strategic management of interdependence.</w:t>
      </w:r>
    </w:p>
    <w:p>
      <w:pPr/>
      <w:r>
        <w:rPr>
          <w:b/>
        </w:rPr>
        <w:t>POSSIBLE 2026:</w:t>
      </w:r>
      <w:r>
        <w:t xml:space="preserve"> From Administrative Tool to Strategic Decision Support: A Qualitative Study of Digital Training Needs Analysis — https://doi.org/10.69965/danadyaksa.v4i1.498</w:t>
      </w:r>
    </w:p>
    <w:p>
      <w:pPr/>
      <w:r>
        <w:rPr>
          <w:b/>
        </w:rPr>
        <w:t>Shared claim-specific concepts:</w:t>
      </w:r>
      <w:r>
        <w:t xml:space="preserve"> qualitative, tool, strategic, support, decision, findings; EU scope not established. This is a provisional connection, not an outcome finding.</w:t>
      </w:r>
    </w:p>
    <w:p>
      <w:pPr>
        <w:pStyle w:val="SourceNote"/>
      </w:pPr>
      <w:r>
        <w:rPr>
          <w:b/>
        </w:rPr>
        <w:t>Available abstract (not full text):</w:t>
      </w:r>
      <w:r>
        <w:t xml:space="preserve"> This study examines how the Dashboard Executive Information System for Training Needs Analysis (DEIS AKD) supports digital training needs analysis at PPSDM Migas and identifies the conditions required for its transformation from an administrative tool into a strategic decision-support system. A descriptive qualitative approach was employed, with data collected through in-depth interviews and documentation studies. The informants consisted of four PPSDM Migas employees directly involved in training planning, implementation, standardization, and evaluation. Data were analyzed through data condensation, data display, and conclusion drawing or verification. The findings show that DEIS AKD has improved administrative efficiency through centralized employee data management, training history monitoring, scheduling, and participation tracking. However, the system has not yet fully supported competency-based analysis because training recommendations remain influenced by managerial judgment, job-based classifications, limited analytical features, and insufficient integration of competency, performance, and post-training evaluation data. Its effectiveness is also influenced by data quality, system limitations, and users’ analytical capabilities. The study concludes that DEIS AKD currently functions primarily as an administrative tool rather than as a strategic decision-support system. Its</w:t>
      </w:r>
    </w:p>
    <w:p>
      <w:pPr/>
      <w:r>
        <w:rPr>
          <w:b/>
        </w:rPr>
        <w:t>POSSIBLE 2026:</w:t>
      </w:r>
      <w:r>
        <w:t xml:space="preserve"> Sustainable artificial intelligence as a tool of strategic communication in organizational contexts : a critical discourse analysis — https://openalex.org/W7164619943</w:t>
      </w:r>
    </w:p>
    <w:p>
      <w:pPr/>
      <w:r>
        <w:rPr>
          <w:b/>
        </w:rPr>
        <w:t>Shared claim-specific concepts:</w:t>
      </w:r>
      <w:r>
        <w:t xml:space="preserve"> qualitative, tool, strategic, used, findings; EU scope visible. This is a provisional connection, not an outcome finding.</w:t>
      </w:r>
    </w:p>
    <w:p>
      <w:pPr>
        <w:pStyle w:val="SourceNote"/>
      </w:pPr>
      <w:r>
        <w:rPr>
          <w:b/>
        </w:rPr>
        <w:t>Available abstract (not full text):</w:t>
      </w:r>
      <w:r>
        <w:t xml:space="preserve"> This thesis examines how sustainable artificial intelligence (AI) is constructed and communicated in corporate discourse, and how it functions as a tool of strategic communication in organizational contexts. The study is grounded in an interdisciplinary theoretical framework that combines research on AI and sustainability, organizational identity, and strategic communication. Sustainable AI is conceptualized as a multidimensional phenomenon that encompasses the environmental, social, and economic dimensions of sustainability, while also being shaped by socio-technical and regulatory dynamics within the European context. The aim of the study is to develop an understanding of how AI-related sustainability is addressed in the corporate communication of European companies participating in the EU Artificial Intelligence Pact (EU AI Pact). This aim is guided by three distinct research questions that consider how AI-related sustainability is constructed in corporate discourse, how sustainable AI is used as a tool of strategic communication, and how organizational identity is constructed through these discourses. The research adopts a qualitative approach in the form of critical discourse analysis. The empirical material consists of publicly available organizational publications, including sustainability reports, annual reports, blog posts, and social media content from eleven European</w:t>
      </w:r>
    </w:p>
    <w:p>
      <w:pPr/>
      <w:r>
        <w:rPr>
          <w:b/>
        </w:rPr>
        <w:t>POSSIBLE 2026:</w:t>
      </w:r>
      <w:r>
        <w:t xml:space="preserve"> Governance logics and foresight functions: European strategic foresight in contrastive perspective — https://doi.org/10.1186/s40309-026-00278-8</w:t>
      </w:r>
    </w:p>
    <w:p>
      <w:pPr/>
      <w:r>
        <w:rPr>
          <w:b/>
        </w:rPr>
        <w:t>Shared claim-specific concepts:</w:t>
      </w:r>
      <w:r>
        <w:t xml:space="preserve"> qualitative, strategic, support, network, different, comparison; EU scope visible. This is a provisional connection, not an outcome finding.</w:t>
      </w:r>
    </w:p>
    <w:p>
      <w:pPr>
        <w:pStyle w:val="SourceNote"/>
      </w:pPr>
      <w:r>
        <w:rPr>
          <w:b/>
        </w:rPr>
        <w:t>Available abstract (not full text):</w:t>
      </w:r>
      <w:r>
        <w:t xml:space="preserve"> Foresight methods are often treated as transferable tools whose selection depends mainly on the object of analysis, the time horizon or the available data. This article argues that such a view is incomplete because foresight methods are embedded in governance settings and perform different institutional functions across them. The article does not claim that the context-dependence of foresight methods is new per se. Rather, it contributes by specifying this context-dependence through the lens of governance logics and by showing how the same foresight methods perform different institutional functions across technocratic, market-managerial, networked and anticipatory governance settings. The purpose of the article is to develop a governance-sensitive framework that links foresight methods to institutional functions in public decision-making. Empirically, the article uses a contrastive case design. The European Union is treated as the focal case of institutionalised strategic foresight in a multi-level governance system, while Japan and South Korea serve as secondary contrastive cases. The design does not seek a fully symmetrical country-by-country comparison. Rather, it uses the Japanese and South Korean cases to contrast the EU trajectory with alternative governance settings in which foresight remains more strongly linked to technocratic priority-setting, developmental planning o</w:t>
      </w:r>
    </w:p>
    <w:p>
      <w:pPr/>
      <w:r>
        <w:rPr>
          <w:b/>
        </w:rPr>
        <w:t>POSSIBLE 2026:</w:t>
      </w:r>
      <w:r>
        <w:t xml:space="preserve"> The European Union's policy toward Latin America in the context of renewed strategic competition — https://doi.org/10.5281/zenodo.19131164</w:t>
      </w:r>
    </w:p>
    <w:p>
      <w:pPr/>
      <w:r>
        <w:rPr>
          <w:b/>
        </w:rPr>
        <w:t>Shared claim-specific concepts:</w:t>
      </w:r>
      <w:r>
        <w:t xml:space="preserve"> qualitative, strategic, main; EU scope visible. This is a provisional connection, not an outcome finding.</w:t>
      </w:r>
    </w:p>
    <w:p>
      <w:pPr>
        <w:pStyle w:val="SourceNote"/>
      </w:pPr>
      <w:r>
        <w:rPr>
          <w:b/>
        </w:rPr>
        <w:t>Available abstract (not full text):</w:t>
      </w:r>
      <w:r>
        <w:t xml:space="preserve"> In the context of intensifying global strategic competition, Latin America is emerging as a geopolitical and geoeconomic space of growing importance. This paper explores the transformation of the European Union’s (EU) approach toward the region, highlighting a shift from a development aid-oriented model toward a more strategic and interest-driven engagement focused on supply chain security, access to critical resources, and the promotion of green and digital transitions. Grounded in international political economy frameworks, the analysis examines the EU’s main policy tools, including the modernization of free trade agreements, the Global Gateway initiative, development partnerships, and multilateral engagement. The paper indicates that the EU’s policy adjustment creates opportunities as well as challenges for Latin American countries amid intensifying competition among major powers, particularly between the United States and China. It argues that the benefits derived from this policy shift will depend on institutional capacity, long-term development strategies, and the ability to balance economic objectives, policy autonomy, and sustainability within a changing global order. This study has certain limitations related to its qualitative approach and reliance on secondary sources, which may not fully capture the diversity of national responses across Latin America.</w:t>
      </w:r>
    </w:p>
    <w:p>
      <w:pPr/>
      <w:r>
        <w:rPr>
          <w:b/>
        </w:rPr>
        <w:t>POSSIBLE 2025:</w:t>
      </w:r>
      <w:r>
        <w:t xml:space="preserve"> Disinformation as a Tool of Hybrid Action: Security, Political and Strategic Challenges for the European Union — https://doi.org/10.36682/a_2025_1_2</w:t>
      </w:r>
    </w:p>
    <w:p>
      <w:pPr/>
      <w:r>
        <w:rPr>
          <w:b/>
        </w:rPr>
        <w:t>Shared claim-specific concepts:</w:t>
      </w:r>
      <w:r>
        <w:t xml:space="preserve"> qualitative, tool, strategic, main; EU scope visible. This is a provisional connection, not an outcome finding.</w:t>
      </w:r>
    </w:p>
    <w:p>
      <w:pPr>
        <w:pStyle w:val="SourceNote"/>
      </w:pPr>
      <w:r>
        <w:rPr>
          <w:b/>
        </w:rPr>
        <w:t>Available abstract (not full text):</w:t>
      </w:r>
      <w:r>
        <w:t xml:space="preserve"> The article analyses disinformation as a key tool of hybrid warfare in the current deteriorating security situation and an environment marked by strategic uncertainty and instability, where the confrontation between democratic and authoritarian regimes is intensifying. In this context, disinformation has ceased to be merely a marginal phenomenon; instead, it has become a systematic tool for undermining democratic institutions, polarizing society, and eroding public trust. In this context, the European Union faces a growing need to safeguard the information space through coordinated measures at both domestic and international levels. The article draws on qualitative and comparative analyses of political strategies and documents, identifying the main weaknesses of current approaches and proposes strategic priorities, including the establishment of a legally binding framework, the strengthening of media literacy, the enhancement of technological capacities, and the promotion of global norm-setting. The article concludes by emphasizing that a successful response to disinformation requires not only technical solutions but, more importantly, educated, resilient, and critically minded citizens as the cornerstone of democratic society.</w:t>
      </w:r>
    </w:p>
    <w:p>
      <w:pPr>
        <w:pStyle w:val="Heading2"/>
      </w:pPr>
      <w:r>
        <w:t>983. Suitability of European climate for the Asian tiger mosquito Aedes albopictus : recent trends and future scenarios</w:t>
      </w:r>
    </w:p>
    <w:p>
      <w:pPr>
        <w:pStyle w:val="SourceNote"/>
      </w:pPr>
      <w:r>
        <w:rPr>
          <w:b/>
        </w:rPr>
        <w:t>Original source (2012):</w:t>
      </w:r>
      <w:r>
        <w:t xml:space="preserve"> https://doi.org/10.1098/rsif.2012.0138</w:t>
      </w:r>
    </w:p>
    <w:p>
      <w:pPr/>
      <w:r>
        <w:t>Original wording (abstract; indexed_source_text_not_full_document_verified): Similar trends are likely in the future, with an increased risk simulated over northern Europe and slightly decreased risk over southern Europe. These distribution shifts are related to wetter and warmer conditions favouring the overwintering of A. albopictus in the north, and drier and warmer summers that might limit its southward expansion.</w:t>
      </w:r>
    </w:p>
    <w:p>
      <w:pPr/>
      <w:r>
        <w:rPr>
          <w:b/>
        </w:rPr>
        <w:t>POSSIBLE 2026:</w:t>
      </w:r>
      <w:r>
        <w:t xml:space="preserve"> Partisan Differences in Risk‐Taking in a Simulated Pandemic — https://doi.org/10.1002/bdm.70066</w:t>
      </w:r>
    </w:p>
    <w:p>
      <w:pPr/>
      <w:r>
        <w:rPr>
          <w:b/>
        </w:rPr>
        <w:t>Shared claim-specific concepts:</w:t>
      </w:r>
      <w:r>
        <w:t xml:space="preserve"> likely, simulated, conditions; EU scope not established. This is a provisional connection, not an outcome finding.</w:t>
      </w:r>
    </w:p>
    <w:p>
      <w:pPr>
        <w:pStyle w:val="SourceNote"/>
      </w:pPr>
      <w:r>
        <w:rPr>
          <w:b/>
        </w:rPr>
        <w:t>Available abstract (not full text):</w:t>
      </w:r>
      <w:r>
        <w:t xml:space="preserve"> ABSTRACT Responses to COVID‐19 in the United States were split along partisan political lines throughout the pandemic. People on the political left tended to take the medical threat more seriously and were more likely to adopt preventive health behaviors than those on the political right, resulting in clear differences in state‐level policies and health consequences. Here, we examine the origins of these differences, investigating whether they are based on interindividual differences or in party dynamics. Two groups of participants (), who had voted either for Donald Trump or Hillary Clinton in 2016, played the Transmission Game. Players made repeated decisions in a simulated pandemic that involved a trade‐off between increasing their expected personal payoff and reducing the chance of a total payoff‐loss for themselves and others. In four experimental conditions, the study framing (neutral or pandemic) was crossed with the presence (or absence) of a normative intervention aimed at reducing risk‐taking. We observed systematic partisan differences in all conditions, with Republicans taking more risk than Democrats, even in neutrally framed conditions—supporting the idea of interindividual differences between voter groups beyond party dynamics. At the same time, both normative interventions and the pandemic framing reduced risk‐taking and expected infection rates in both voter gr</w:t>
      </w:r>
    </w:p>
    <w:p>
      <w:pPr/>
      <w:r>
        <w:rPr>
          <w:b/>
        </w:rPr>
        <w:t>POSSIBLE 2025:</w:t>
      </w:r>
      <w:r>
        <w:t xml:space="preserve"> #148 Impact of targeted screening in high-risk individuals and guideline-directed medical therapy on CKD burden in Europe: projections from IMPACT CKD — https://doi.org/10.1093/ndt/gfaf116.047</w:t>
      </w:r>
    </w:p>
    <w:p>
      <w:pPr/>
      <w:r>
        <w:rPr>
          <w:b/>
        </w:rPr>
        <w:t>Shared claim-specific concepts:</w:t>
      </w:r>
      <w:r>
        <w:t xml:space="preserve"> similar, trends, increased, simulated, over, slightly; EU scope visible. This is a provisional connection, not an outcome finding.</w:t>
      </w:r>
    </w:p>
    <w:p>
      <w:pPr>
        <w:pStyle w:val="SourceNote"/>
      </w:pPr>
      <w:r>
        <w:rPr>
          <w:b/>
        </w:rPr>
        <w:t>Available abstract (not full text):</w:t>
      </w:r>
      <w:r>
        <w:t xml:space="preserve"> Abstract Background and Aims Chronic kidney disease (CKD) is a significant and growing health issue in Europe that remains underdiagnosed and undertreated. This contributes to CKD progression, increased risks of cardiovascular (CV) events, death, and increased need for resource-intensive kidney replacement therapy (KRT; i.e., dialysis and transplantation). While early identification and intervention in high-risk populations, such as those with diabetes mellitus (DM) and hypertension (HTN), have shown cost-effectiveness, the broader impact of screening combined with guideline-directed medical therapy (GDMT) on CKD burden is underexplored. This study examined the impact of targeted screening and improved GDMT adherence on the holistic population level burden of CKD in Europe. Method A European aggregate population comprised of four country populations (Germany, Netherlands, Spain, United Kingdom [UK]) was simulated for 25-years (baseline: 2022; simulated years: 2023–2047) using the validated IMPACT CKD model to compare two scenarios: annual targeted CKD screening for patients with comorbidities (including DM, HTN, heart failure, history of myocardial infarction, and history of stroke), over the age of 45 years combined with 75% adherence to GDMT versus current practice (i.e., underdiagnosis and low treatment rates). Targeted screening involved estimated glomerular filtration rate</w:t>
      </w:r>
    </w:p>
    <w:p>
      <w:pPr/>
      <w:r>
        <w:rPr>
          <w:b/>
        </w:rPr>
        <w:t>POSSIBLE 2025:</w:t>
      </w:r>
      <w:r>
        <w:t xml:space="preserve"> Trends in relative and absolute mobility of homeownership in Europe — https://doi.org/10.31219/osf.io/zdu2n_v1</w:t>
      </w:r>
    </w:p>
    <w:p>
      <w:pPr/>
      <w:r>
        <w:rPr>
          <w:b/>
        </w:rPr>
        <w:t>Shared claim-specific concepts:</w:t>
      </w:r>
      <w:r>
        <w:t xml:space="preserve"> similar, trends, likely, increased, distribution; EU scope visible. This is a provisional connection, not an outcome finding.</w:t>
      </w:r>
    </w:p>
    <w:p>
      <w:pPr>
        <w:pStyle w:val="SourceNote"/>
      </w:pPr>
      <w:r>
        <w:rPr>
          <w:b/>
        </w:rPr>
        <w:t>Available abstract (not full text):</w:t>
      </w:r>
      <w:r>
        <w:t xml:space="preserve"> Homeownership has declined among younger generations in most European countries. A common assumption is that this trend is increasingly stratified by parental homeownership, due to worsening affordability and the growing importance of parental financial support. In this study, we show that this assumption does not hold for the average European. Using data from EU-SILC 2011 and 2019 across 27 European countries, we examine trends in both relative and absolute mobility of homeownership for cohorts born between 1950 and 1984. We find that individuals with homeowner parents are more likely to own a home than those with renter parents, but this difference remains stable across cohorts. This stability in relative mobility masks important and counteracting trends in absolute mobility: downward mobility increased from 16% to 36%, while upward mobility declined from 25% to 9% between those born in the 1950s and 1980s. While the absolute decline in upward mobility is smaller, its impact on relative mobility is greater due to the high and growing share of individuals with homeowner parents. The importance of the underlying distribution of parental homeownership is also evident in cross-national comparisons. While absolute mobility follows similar trends across countries, relative mobility has increased in some and declined in others. Country case studies suggest that differences in the pr</w:t>
      </w:r>
    </w:p>
    <w:p>
      <w:pPr/>
      <w:r>
        <w:rPr>
          <w:b/>
        </w:rPr>
        <w:t>POSSIBLE 2024:</w:t>
      </w:r>
      <w:r>
        <w:t xml:space="preserve"> Trends in Air Pollution in Europe, 2000–2019 — https://doi.org/10.4209/aaqr.230237</w:t>
      </w:r>
    </w:p>
    <w:p>
      <w:pPr/>
      <w:r>
        <w:rPr>
          <w:b/>
        </w:rPr>
        <w:t>Shared claim-specific concepts:</w:t>
      </w:r>
      <w:r>
        <w:t xml:space="preserve"> similar, trends, over, slightly, decreased; EU scope visible. This is a provisional connection, not an outcome finding.</w:t>
      </w:r>
    </w:p>
    <w:p>
      <w:pPr>
        <w:pStyle w:val="SourceNote"/>
      </w:pPr>
      <w:r>
        <w:rPr>
          <w:b/>
        </w:rPr>
        <w:t>Available abstract (not full text):</w:t>
      </w:r>
      <w:r>
        <w:t xml:space="preserve"> This paper encompasses an assessment of air pollution trends in rural environments in Europe over the 2000–2019 period, benefiting from extensive long-term observational data from the EMEP monitoring network and EMEP MSC-W model computations. The trends in pollutant concentrations align with the decreasing emission patterns observed throughout Europe. Annual average concentrations of sulfur dioxide, particulate sulfate, and sulfur wet deposition have shown consistent declines of 3-4% annually since 2000. Similarly, oxidized nitrogen species have markedly decreased across Europe, with an annual reduction of 1.5-2% in nitrogen dioxide concentrations, total nitrate in the air, and oxidized nitrogen deposition. Notably, emission reductions and model predictions appear to slightly surpass the observed declines in sulfur and oxidized nitrogen, indicating a potential overestimation of reported emission reductions. Ammonia emissions have decreased less compared to other pollutants since 2000. Significant reductions in particulate ammonium have however, been achieved due to the impact of reductions in SOx and NOx emissions. For ground level ozone, both the observed and modelled peak levels in summer show declining trends, although the observed decline is smaller than modelled. There have been substantial annual reductions of 1.8% and 2.4% in the concentrations of PM10 and PM2.5, respect</w:t>
      </w:r>
    </w:p>
    <w:p>
      <w:pPr/>
      <w:r>
        <w:rPr>
          <w:b/>
        </w:rPr>
        <w:t>POSSIBLE 2024:</w:t>
      </w:r>
      <w:r>
        <w:t xml:space="preserve"> Estimating the potential risk of transmission of arboviruses in the Americas and Europe: a modelling study — https://doi.org/10.1016/s2542-5196(23)00252-8</w:t>
      </w:r>
    </w:p>
    <w:p>
      <w:pPr/>
      <w:r>
        <w:rPr>
          <w:b/>
        </w:rPr>
        <w:t>Shared claim-specific concepts:</w:t>
      </w:r>
      <w:r>
        <w:t xml:space="preserve"> southern, distribution, albopictus; EU scope visible. This is a provisional connection, not an outcome finding.</w:t>
      </w:r>
    </w:p>
    <w:p>
      <w:pPr>
        <w:pStyle w:val="SourceNote"/>
      </w:pPr>
      <w:r>
        <w:rPr>
          <w:b/>
        </w:rPr>
        <w:t>Available abstract (not full text):</w:t>
      </w:r>
      <w:r>
        <w:t xml:space="preserve"> BACKGROUND: Estimates of the spatiotemporal distribution of different mosquito vector species and the associated risk of transmission of arboviruses are key to design adequate policies for preventing local outbreaks and reducing the number of human infections in endemic areas. In this study, we quantified the abundance of Aedes albopictus and Aedes aegypti and the local transmission potential for three arboviral infections at an unprecedented spatiotemporal resolution in areas where no entomological surveillance is available. METHODS: We developed a computational model to quantify the daily abundance of Aedes mosquitoes, leveraging temperature and precipitation records. The model was calibrated on mosquito surveillance data collected in 115 locations in Europe and the Americas between 2007 and 2018. Model estimates were used to quantify the reproduction number of dengue virus, Zika virus, and chikungunya in Europe and the Americas, at a high spatial resolution. FINDINGS: when compared with A albopictus. Our estimates highlighted that these arboviruses were endemic in tropical and subtropical countries, with the highest risks of transmission found in central America, Venezuela, Colombia, and central-east Brazil. A non-negligible potential risk of transmission was also estimated for Florida, Texas, and Arizona (USA). The broader ecological niche of A albopictus could contribute t</w:t>
      </w:r>
    </w:p>
    <w:p>
      <w:pPr/>
      <w:r>
        <w:rPr>
          <w:b/>
        </w:rPr>
        <w:t>POSSIBLE 2024:</w:t>
      </w:r>
      <w:r>
        <w:t xml:space="preserve"> Carbon and Greenhouse Gas Budgets of Europe: Trends, Interannual and Spatial Variability, and Their Drivers — https://doi.org/10.1029/2024gb008141</w:t>
      </w:r>
    </w:p>
    <w:p>
      <w:pPr/>
      <w:r>
        <w:rPr>
          <w:b/>
        </w:rPr>
        <w:t>Shared claim-specific concepts:</w:t>
      </w:r>
      <w:r>
        <w:t xml:space="preserve"> trends, over, northern, southern; EU scope visible. This is a provisional connection, not an outcome finding.</w:t>
      </w:r>
    </w:p>
    <w:p>
      <w:pPr>
        <w:pStyle w:val="SourceNote"/>
      </w:pPr>
      <w:r>
        <w:rPr>
          <w:b/>
        </w:rPr>
        <w:t>Available abstract (not full text):</w:t>
      </w:r>
      <w:r>
        <w:t xml:space="preserve"> Abstract In the framework of the RECCAP2 initiative, we present the greenhouse gas (GHG) and carbon (C) budget of Europe. For the decade of the 2010s, we present a bottom‐up (BU) estimate of GHG net‐emissions of 3.9 Pg CO 2 ‐eq. yr −1 (using a global warming potential on a 100 years horizon), which are largely dominated by fossil fuel emissions. In this decade, terrestrial ecosystems acted as a net GHG sink of 0.9 Pg CO 2 ‐eq. yr −1 , dominated by a CO 2 sink that was partially counterbalanced by net emissions of CH 4 and N 2 O. For CH 4 and N 2 O, we find good agreement between BU and top‐down (TD) estimates from atmospheric inversions. However, our BU land CO 2 sink is significantly higher than the TD estimates. We further show that decadal averages of GHG net‐emissions have declined by 1.2 Pg CO 2 ‐eq. yr −1 since the 1990s, mainly due to a reduction in fossil fuel emissions. In addition, based on both data driven BU and TD estimates, we also find that the land CO 2 sink has weakened over the past two decades. A large part of the European CO 2 and C sinks is located in Northern Europe. At the same time, we find a decreasing trend in sink strength in Scandinavia, which can be attributed to an increase in forest management intensity. These are partly offset by increasing CO 2 sinks in parts of Eastern Europe and Northern Spain, attributed in part to land use change. Extensive </w:t>
      </w:r>
    </w:p>
    <w:p>
      <w:pPr/>
      <w:r>
        <w:rPr>
          <w:b/>
        </w:rPr>
        <w:t>POSSIBLE 2023:</w:t>
      </w:r>
      <w:r>
        <w:t xml:space="preserve"> Youth Sport Participation Trends Across Europe: Implications for Policy and Practice — https://doi.org/10.1080/02701367.2022.2148623</w:t>
      </w:r>
    </w:p>
    <w:p>
      <w:pPr/>
      <w:r>
        <w:rPr>
          <w:b/>
        </w:rPr>
        <w:t>Shared claim-specific concepts:</w:t>
      </w:r>
      <w:r>
        <w:t xml:space="preserve"> trends, likely, increased, over; EU scope visible. This is a provisional connection, not an outcome finding.</w:t>
      </w:r>
    </w:p>
    <w:p>
      <w:pPr>
        <w:pStyle w:val="SourceNote"/>
      </w:pPr>
      <w:r>
        <w:rPr>
          <w:b/>
        </w:rPr>
        <w:t>Available abstract (not full text):</w:t>
      </w:r>
      <w:r>
        <w:t xml:space="preserve"> Purpose: Despite the known health and wellbeing benefits of taking part in sport for children and adolescents, it is reported that sports participation declines during adolescence. The purpose of this study was to explore current organized youth sport participation rates across Europe for both males and females and update current understanding. Method: Sport participation registration data was collected for 18 sports from 27 countries. In total, participation data was collected from over 5 million young people from Under 8s (U8s) to Under 18s (U18s). Differences in the participation rates between age categories were investigated using a generalized linear mixed effects model. Results: Overall, males were four times more likely to participate in organised youth sport than females’ participants, with this trend apparent across all age categories and across most sports. There was a significant decrease across sports in participation rates for males during adolescence from U14-U16 and U16-U18. There was a significant decrease in participation rates for females from U14-U16 for most sports except but an increase in participation rates from U16-U18 for 12 out of 18 sports. Soccer (1262%), wrestling (391%) and boxing (209%) were the sports that had greater male sport participation rates. In contrast, dance sports (86%) and volleyball (63%) had more female participants than males. This</w:t>
      </w:r>
    </w:p>
    <w:p>
      <w:pPr/>
      <w:r>
        <w:rPr>
          <w:b/>
        </w:rPr>
        <w:t>POSSIBLE 2023:</w:t>
      </w:r>
      <w:r>
        <w:t xml:space="preserve"> Modeled Multidecadal Trends of Lightning and (Very) Large Hail in Europe and North America (1950–2021) — https://doi.org/10.1175/jamc-d-22-0195.1</w:t>
      </w:r>
    </w:p>
    <w:p>
      <w:pPr/>
      <w:r>
        <w:rPr>
          <w:b/>
        </w:rPr>
        <w:t>Shared claim-specific concepts:</w:t>
      </w:r>
      <w:r>
        <w:t xml:space="preserve"> trends, likely, simulated, northern, southern, north; EU scope visible. This is a provisional connection, not an outcome finding.</w:t>
      </w:r>
    </w:p>
    <w:p>
      <w:pPr>
        <w:pStyle w:val="SourceNote"/>
      </w:pPr>
      <w:r>
        <w:rPr>
          <w:b/>
        </w:rPr>
        <w:t>Available abstract (not full text):</w:t>
      </w:r>
      <w:r>
        <w:t xml:space="preserve"> Abstract We have developed additive logistic models for the occurrence of lightning, large hail (≥2 cm), and very large hail (≥5 cm) to investigate the evolution of these hazards in the past, in the future, and for forecasting applications. The models, trained with lightning observations, hail reports, and predictors from atmospheric reanalysis, assign an hourly probability to any location and time on a 0.25° × 0.25° × 1-hourly grid as a function of reanalysis-derived predictor parameters, selected following an ingredients-based approach. The resulting hail models outperform the significant hail parameter, and the simulated climatological spatial distributions and annual cycles of lightning and hail are consistent with observations from storm report databases, radar, and lightning detection data. As a corollary result, CAPE released above the −10°C isotherm was found to be a more universally skillful predictor for large hail than CAPE. In the period 1950–2021, the models applied to the ERA5 reanalysis indicate significant increases of lightning and hail across most of Europe, primarily due to rising low-level moisture. The strongest modeled hail increases occur in northern Italy with increasing rapidity after 2010. Here, very large hail has become 3 times more likely than it was in the 1950s. Across North America trends are comparatively small, apart from isolated significant i</w:t>
      </w:r>
    </w:p>
    <w:p>
      <w:pPr/>
      <w:r>
        <w:rPr>
          <w:b/>
        </w:rPr>
        <w:t>POSSIBLE 2023:</w:t>
      </w:r>
      <w:r>
        <w:t xml:space="preserve"> The future ozone trends in changing climate simulated with SOCOLv4 — https://doi.org/10.5194/acp-23-4801-2023</w:t>
      </w:r>
    </w:p>
    <w:p>
      <w:pPr/>
      <w:r>
        <w:rPr>
          <w:b/>
        </w:rPr>
        <w:t>Shared claim-specific concepts:</w:t>
      </w:r>
      <w:r>
        <w:t xml:space="preserve"> trends, likely, simulated, over; EU scope not established. This is a provisional connection, not an outcome finding.</w:t>
      </w:r>
    </w:p>
    <w:p>
      <w:pPr>
        <w:pStyle w:val="SourceNote"/>
      </w:pPr>
      <w:r>
        <w:rPr>
          <w:b/>
        </w:rPr>
        <w:t>Available abstract (not full text):</w:t>
      </w:r>
      <w:r>
        <w:t xml:space="preserve"> Abstract. This study evaluates the future evolution of atmospheric ozone between 2015 and 2099 simulated with the Earth System Model (ESM) SOCOLv4. Simulations have been performed based on two potential Shared Socioeconomic Pathways (SSP): the “middle-of-the-road” (SSP2-4.5) and “fossil-fueled” (SSP5-8.5) scenarios. In both scenarios, the model projects a decline in tropospheric ozone in the future that starts in the 2030s in SSP2-4.5 and after the 2060s in SSP5-8.5 due to a decrease in concentrations of ozone precursors like NOx and CO. The results also suggest a very likely ozone increase in the mesosphere, upper and middle stratosphere, as well as at high latitudes of the lower stratosphere. Under SSP5-8.5, the ozone increase in the stratosphere is higher because of stronger cooling (&gt; 1 °K/decade) induced by the greenhouse gases (GHG), which slows the catalytic ozone destruction cycles. In contrast, in the tropical lower stratosphere ozone concentrations decrease in both experiments and increase over the middle and high latitudes of both hemispheres due to the intensification of meridional transport, which is stronger in SSP5-8.5. No evidence was found of a decline in ozone levels in the lower stratosphere at mid-latitudes. In both future scenarios, the total column ozone is expected to be distinctly higher than present in mid-to-high latitudes and might be lower in the tro</w:t>
      </w:r>
    </w:p>
    <w:p>
      <w:pPr/>
      <w:r>
        <w:rPr>
          <w:b/>
        </w:rPr>
        <w:t>POSSIBLE 2022:</w:t>
      </w:r>
      <w:r>
        <w:t xml:space="preserve"> The European Context — https://doi.org/10.1093/oso/9780197512067.003.0004</w:t>
      </w:r>
    </w:p>
    <w:p>
      <w:pPr/>
      <w:r>
        <w:rPr>
          <w:b/>
        </w:rPr>
        <w:t>Shared claim-specific concepts:</w:t>
      </w:r>
      <w:r>
        <w:t xml:space="preserve"> similar, trends, likely, increased; EU scope visible. This is a provisional connection, not an outcome finding.</w:t>
      </w:r>
    </w:p>
    <w:p>
      <w:pPr>
        <w:pStyle w:val="SourceNote"/>
      </w:pPr>
      <w:r>
        <w:rPr>
          <w:b/>
        </w:rPr>
        <w:t>Available abstract (not full text):</w:t>
      </w:r>
      <w:r>
        <w:t xml:space="preserve"> Abstract Abstract: To understand the potential future of working longer in America, we compare trends in health and employment in Europe with those in the United States. While health in Europe improved between 2004 and 2018 among older adults (aged 65 to 85), we find the opposite for middle-aged adults (aged 50 to 64). In this respect, Europe is experiencing negative developments similar to those in the United States. In terms of employment, however, Europe is different than the United States. We do not find any sign that employment rates of middle-aged individuals are stagnating or falling. On the contrary, employment has increased steadily since the late 1990s. It is too early to conclude what implications the stalling health trend of the middle-aged cohorts will have for labor force participation among older Europeans in 10 or 15 years. We argue that economic considerations, such as public pension and disability insurance policies, are likely to continue to have a greater influence on rates of early retirement than health.</w:t>
      </w:r>
    </w:p>
    <w:p>
      <w:pPr/>
      <w:r>
        <w:rPr>
          <w:b/>
        </w:rPr>
        <w:t>POSSIBLE 2021:</w:t>
      </w:r>
      <w:r>
        <w:t xml:space="preserve"> Trends in singlehood in young adulthood in Europe — https://doi.org/10.1016/j.alcr.2021.100449</w:t>
      </w:r>
    </w:p>
    <w:p>
      <w:pPr/>
      <w:r>
        <w:rPr>
          <w:b/>
        </w:rPr>
        <w:t>Shared claim-specific concepts:</w:t>
      </w:r>
      <w:r>
        <w:t xml:space="preserve"> trends, increased, over, shifts; EU scope visible. This is a provisional connection, not an outcome finding.</w:t>
      </w:r>
    </w:p>
    <w:p>
      <w:pPr>
        <w:pStyle w:val="SourceNote"/>
      </w:pPr>
      <w:r>
        <w:rPr>
          <w:b/>
        </w:rPr>
        <w:t>Available abstract (not full text):</w:t>
      </w:r>
      <w:r>
        <w:t xml:space="preserve"> Cultural and economic shifts such as increasing individualization and labor market uncertainty may have resulted in an increase in singlehood after leaving home. Using data from the European Social Survey, we compare cohorts born between 1930 and 1989 in 30 European countries. We show that there has been an increase in singlehood after leaving home, but primarily among women. Whereas the percentage of women who have lived in singlehood after leaving home increased with 11 percentage points from 41% to 52%, men experienced only a 3 percentage points' increase from 59% to 62%. This stronger trend among women could be the result of their increasing educational attainment and earning capacity. Event-history analyses show that the duration of singlehood has not changed over time. We call for more research on singlehood after leaving home as an event of interest during the transition to adulthood. As more than 50% of young adults nowadays live in singlehood after leaving home, singlehood is a key part of the transition to adulthood that deserves explicit attention.</w:t>
      </w:r>
    </w:p>
    <w:p>
      <w:pPr/>
      <w:r>
        <w:rPr>
          <w:b/>
        </w:rPr>
        <w:t>POSSIBLE 2021:</w:t>
      </w:r>
      <w:r>
        <w:t xml:space="preserve"> Dealing with trend uncertainty in empirical estimates of European rainfall climate for insurance risk management — https://doi.org/10.1002/met.2008</w:t>
      </w:r>
    </w:p>
    <w:p>
      <w:pPr/>
      <w:r>
        <w:rPr>
          <w:b/>
        </w:rPr>
        <w:t>Shared claim-specific concepts:</w:t>
      </w:r>
      <w:r>
        <w:t xml:space="preserve"> trends, related; EU scope visible. This is a provisional connection, not an outcome finding.</w:t>
      </w:r>
    </w:p>
    <w:p>
      <w:pPr>
        <w:pStyle w:val="SourceNote"/>
      </w:pPr>
      <w:r>
        <w:rPr>
          <w:b/>
        </w:rPr>
        <w:t>Available abstract (not full text):</w:t>
      </w:r>
      <w:r>
        <w:t xml:space="preserve"> Abstract The insurance industry uses mathematical models to estimate the risks due to future natural catastrophes. For climate‐related risks, historical climate data are a key ingredient used in making the models. Historical data for temperature and sea level often show clear and readily quantified climate change driven trends, and these trends would typically be accounted for when building risk models by adjusting earlier values to render the earlier data relevant to the future climate. For other climate variables, such as rainfall in many parts of the world, the questions of whether there are climate change driven trends in the historical data, and how to quantify them if there are, are less simple to answer. We investigate these questions in the context of European rainfall with a specific focus on how to deal with the uncertainty around trend estimates. We compare 10 empirical methodologies that one might use to model and predict trends, including traditional statistical testing and alternatives to statistical testing based on standard methods from model selection and model averaging. We emphasize prediction and risk assessment, rather than detection of trends, as our goal. Viewed in terms of this goal, the methods we consider each have qualitative and quantitative advantages and disadvantages. Understanding these advantages and disadvantages can help risk modellers make a </w:t>
      </w:r>
    </w:p>
    <w:p>
      <w:pPr>
        <w:pStyle w:val="Heading2"/>
      </w:pPr>
      <w:r>
        <w:t>984. Ten years of health workforce planning in the Netherlands: a tentative evaluation of GP planning as an example</w:t>
      </w:r>
    </w:p>
    <w:p>
      <w:pPr>
        <w:pStyle w:val="SourceNote"/>
      </w:pPr>
      <w:r>
        <w:rPr>
          <w:b/>
        </w:rPr>
        <w:t>Original source (2012):</w:t>
      </w:r>
      <w:r>
        <w:t xml:space="preserve"> https://doi.org/10.1186/1478-4491-10-21</w:t>
      </w:r>
    </w:p>
    <w:p>
      <w:pPr/>
      <w:r>
        <w:t>Original wording (abstract; indexed_source_text_not_full_document_verified): A comparison is made of the results of different scenarios for different years.</w:t>
      </w:r>
    </w:p>
    <w:p>
      <w:pPr/>
      <w:r>
        <w:rPr>
          <w:b/>
        </w:rPr>
        <w:t>POSSIBLE 2026:</w:t>
      </w:r>
      <w:r>
        <w:t xml:space="preserve"> A comparison of methods for thermodynamic calculation of explosives used in Europe — https://doi.org/10.1201/9781003762010-4</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 comparison of calculation results for a number of benchmark compositions, carried out with codes and methods from different sources throughout Europe has been made, the outcome being that in some cases significant differences may be encountered, depending on the calculation method. This leads to the conclusion that, for thermodynamic data on explosives to be really meaningful, and for exchange and comparison purposes amongst different manufactures, a common calculation method must be chosen. This paper presents some of the work that is being performed with this aim, and gives some details of the different calculation methods and thermodynamic data used in some European countries, which will form the basis for setting up a common calculation procedure.</w:t>
      </w:r>
    </w:p>
    <w:p>
      <w:pPr/>
      <w:r>
        <w:rPr>
          <w:b/>
        </w:rPr>
        <w:t>POSSIBLE 2023:</w:t>
      </w:r>
      <w:r>
        <w:t xml:space="preserve"> Science with the Einstein Telescope: a comparison of different designs — https://doi.org/10.1088/1475-7516/2023/07/068</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Abstract The Einstein Telescope (ET), the European project for a third-generation gravitational-wave detector, has a reference configuration based on a triangular shape consisting of three nested detectors with 10 km arms, where each detector has a 'xylophone' configuration made of an interferometer tuned toward high frequencies, and an interferometer tuned toward low frequencies and working at cryogenic temperature. Here, we examine the scientific perspectives under possible variations of this reference design. We perform a detailed evaluation of the science case for a single triangular geometry observatory, and we compare it with the results obtained for a network of two L-shaped detectors (either parallel or misaligned) located in Europe, considering different choices of arm-length for both the triangle and the 2L geometries. We also study how the science output changes in the absence of the low-frequency instrument, both for the triangle and the 2L configurations. We examine a broad class of simple 'metrics' that quantify the science output, related to compact binary coalescences, multi-messenger astronomy and stochastic backgrounds, and we then examine the impact of different detector designs on a more specific set of scientific objectives.</w:t>
      </w:r>
    </w:p>
    <w:p>
      <w:pPr/>
      <w:r>
        <w:rPr>
          <w:b/>
        </w:rPr>
        <w:t>POSSIBLE 2019:</w:t>
      </w:r>
      <w:r>
        <w:t xml:space="preserve"> The five different types of European welfare model — https://doi.org/10.4337/9781789905564.00012</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The chapter outlines the existing welfare models in Europe. Welfare states are national projects and each has emerged and developed according to the conditions in its own society. This explains the diversity of the established welfare systems in the EU. National conditions with regard to political culture, social and class structures and the balance of power between social groups can also explain the design of welfare institutions in the clusters of welfare state regimes identified. These differences also explain why levels of social spending differ so much and why welfare services are provided in different ways. A comparison is made between the major characteristics of the systems to obtain a clearer view of different welfare regimes in Europe. This provides the context for when recent developments in the welfare arrangements of EU member states are examined in subsequent chapters.</w:t>
      </w:r>
    </w:p>
    <w:p>
      <w:pPr/>
      <w:r>
        <w:rPr>
          <w:b/>
        </w:rPr>
        <w:t>POSSIBLE 2018:</w:t>
      </w:r>
      <w:r>
        <w:t xml:space="preserve"> Comparison of LSG‐design according to German and European Standards — https://doi.org/10.1002/cepa.913</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ABSTRACT Recently the German standard for design of glass structures DIN 18008 [1] was revised; an updated version [2] was published as draft version by May 2018. On European level, the two codes EN16612 [3] and EN16613 [4] for design of “infill‐panels” have been published after long period of working on it. The work on Eurocode for Glass is not finished yet, but first ideas do exist. In this paper, the design of Laminated Safety Glass (LSG) according to German design standard DIN 18008 (2010 and 2018) and the European EN16612 with EN16613 (2017) will be compared. As German design standard does not allow using the effect of shear transfer, the application of National Technical Approvals (“allgemeine bauaufsichtliche Zulassung”) together with DIN 18008 for taking shear transfer of interlayer into consideration will be looked at. In the first part, design equations are reviewed, including different values of used material parameters, simplified formulas and safety factors. As the different approaches and assumptions do not make a comparison easy, several examples are calculated to be able to illustrate the differences showing calculation results. In addition, restrictions of different codes are explained. Finally, a link to actual research work on the field of characterizing interlayer materials is made.</w:t>
      </w:r>
    </w:p>
    <w:p>
      <w:pPr/>
      <w:r>
        <w:rPr>
          <w:b/>
        </w:rPr>
        <w:t>POSSIBLE 2015:</w:t>
      </w:r>
      <w:r>
        <w:t xml:space="preserve"> Comparison of actions and resistances in different building design codes — https://doi.org/10.1016/j.jare.2015.11.001</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Structural design codes of different countries provide engineers with data and procedures for design of the various structural components. Building design codes from USA, Europe, and Egypt are considered. Comparisons of the provisions for actions (loads), and for the resistance (strength) of sections in flexural and compressive axial loading are carried out. Several parameters are considered including variable actions for occupancy and different material strengths. The comparison is made considering both concrete and steel structures. Issues and consequences of mixing actions from one code and resistance from another code are also discussed.</w:t>
      </w:r>
    </w:p>
    <w:p>
      <w:pPr/>
      <w:r>
        <w:rPr>
          <w:b/>
        </w:rPr>
        <w:t>POSSIBLE 2014:</w:t>
      </w:r>
      <w:r>
        <w:t xml:space="preserve"> Literature survey and comparison of consumer interruption costs in North America and Europe — https://doi.org/10.1109/ccece.2014.6901156</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A survey on the assessment of electricity consumer interruption costs (CIC) from published literature in North America and Europe was conducted to identify the different approaches adopted by various countries and to make key observations including whether there is any international norm in such CIC assessment. As customer survey was found out to be the de facto approach adopted by utilities in USA and Canada to assess CIC, a further literature search was conducted to ascertain the past practices of CIC customer surveys conducted in these two countries. Finally an attempt was made to compare the CIC in different countries and the results are presented with discussions.</w:t>
      </w:r>
    </w:p>
    <w:p>
      <w:pPr/>
      <w:r>
        <w:rPr>
          <w:b/>
        </w:rPr>
        <w:t>POSSIBLE 2013:</w:t>
      </w:r>
      <w:r>
        <w:t xml:space="preserve"> Composite Indicators as a Useful Tool for International Comparison: The Europe 2020 Example — https://doi.org/10.18267/j.pep.462</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Composite indicators as a tool for a ranking become more and more popular, because they illustrate a comprehensive view on a phenomenon that cannot be captured by only one single indicator. Indicators for Europe 2020 are set of indicators used for monitoring targets defined by the European Commission in the Strategy of Smart, Sustainable and Inclusive Growth. The main objective of this paper is the comparison of performance of the EU Member States using the composite indicator principles. Within constructing composite indicators several steps have to be made and corresponding methods have to be chosen. There is not only one correct method how to develop a composite indicator. Of course, the choice of the methods manipulates the results. Primarily, normalisation methods, weighting schemes and aggregation formulas are fundamental but very subjective. This paper deals with two types of normalisation (z-score and min-max) and four weighting and aggregation schemes (equal weighting with linear aggregation, principal components analysis, benefit of doubt method and multi-criteria analysis). European countries ranking is provided according to the seven different scenarios.</w:t>
      </w:r>
    </w:p>
    <w:p>
      <w:pPr/>
      <w:r>
        <w:rPr>
          <w:b/>
        </w:rPr>
        <w:t>POSSIBLE 2013:</w:t>
      </w:r>
      <w:r>
        <w:t xml:space="preserve"> Comparison of Stroke Guidelines: Similarities and Differences between Japanese and European Recommendations for the Management and Prevention of Acute Ischemic and Hemorrhagic Strokes — https://doi.org/10.1159/000351406</w:t>
      </w:r>
    </w:p>
    <w:p>
      <w:pPr/>
      <w:r>
        <w:rPr>
          <w:b/>
        </w:rPr>
        <w:t>Shared claim-specific concepts:</w:t>
      </w:r>
      <w:r>
        <w:t xml:space="preserve"> comparison, made, different; EU scope visible. This is a provisional connection, not an outcome finding.</w:t>
      </w:r>
    </w:p>
    <w:p>
      <w:pPr>
        <w:pStyle w:val="SourceNote"/>
      </w:pPr>
      <w:r>
        <w:rPr>
          <w:b/>
        </w:rPr>
        <w:t>Available abstract (not full text):</w:t>
      </w:r>
      <w:r>
        <w:t xml:space="preserve"> Cerebrovascular Diseases celebrated its 20th anniversary in 2010 with a Europe/Japan Stroke symposium in Barcelona, Spain, 20 years after the first European Stroke Conference. The session addressed different aspects of acute stroke management and strategies for stroke prevention from two viewpoints with specific traditional and historical backgrounds in modern neurovascular medicine, Europe and Japan [1].During this meeting, speakers and participants in a large auditorium experienced a surprisingly high coincidence of identical or very close proposals and perspectives as well as less common but remarkable differences.Cerebrovascular Diseases had published the 2003 European guidelines (GLs) for the management of ischemic stroke and transient ischemic attacks [2] with an update in 2008 [3], the European stroke initiative recommendations for the management of ICH in 2006 [4], and very recently, the guidelines for the management of intracranial aneurysms and subarachnoid hemorrhage (2013) [5], based on western evidence. On the other hand, the first English version of Japanese GLs for the management of stroke were published in 2011 [6], although the first Japanese GLs for the management of stroke appeared in 2004 in Japan [7,8]. The reasons why Japan made their own GLs are as follows: (1) some of the approved drugs and generally used drug dosages are different in Japan as compared w</w:t>
      </w:r>
    </w:p>
    <w:p>
      <w:pPr>
        <w:pStyle w:val="Heading2"/>
      </w:pPr>
      <w:r>
        <w:t>985. The CIRCE Simulations: Regional Climate Change Projections with Realistic Representation of the Mediterranean Sea</w:t>
      </w:r>
    </w:p>
    <w:p>
      <w:pPr>
        <w:pStyle w:val="SourceNote"/>
      </w:pPr>
      <w:r>
        <w:rPr>
          <w:b/>
        </w:rPr>
        <w:t>Original source (2012):</w:t>
      </w:r>
      <w:r>
        <w:t xml:space="preserve"> https://doi.org/10.1175/bams-d-11-00136.1</w:t>
      </w:r>
    </w:p>
    <w:p>
      <w:pPr/>
      <w:r>
        <w:t>Original wording (abstract; indexed_source_text_not_full_document_verified): The models have been integrated from 1951 to 2050, using observed radiative forcings during the first half of the simulation period and the Intergovernmental Panel on Climate Change (IPCC) Special Report on Emissions Scenarios (SRES) A1B scenario during the second half. The projections show a substantial warming (about 1.5°–2°C) and a significant decrease of precipitation (about 5%) in the region for the scenario period.</w:t>
      </w:r>
    </w:p>
    <w:p>
      <w:pPr/>
      <w:r>
        <w:rPr>
          <w:b/>
        </w:rPr>
        <w:t>POSSIBLE 2026:</w:t>
      </w:r>
      <w:r>
        <w:t xml:space="preserve"> Development and Validation of a Novel Contact Force‐Integrated Pulsed Field Quantization Index for Pulmonary Vein Isolation in a Porcine Model — https://doi.org/10.1111/jce.70527</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ABSTRACT Introduction There is no bipolar‐specific quantitative ablation index currently available to guide pulsed field ablation (PFA). We aimed to develop and validate a novel contact force (CF)‐integrated pulsed field quantization index (PFQI) for real‐time lesion depth prediction during bipolar PFA. Methods and Results In total, 27 healthy Yorkshire swine were included in a two‐phase preclinical study. In Phase I, a nonlinear multivariable model was developed to derive a novel PFQI incorporating real‐time CF, pulse train number, delivery voltage, and impedance variation. In Phase II, the PFQI was prospectively validated by comparing predicted with actual lesion depth, followed by PFQI‐guided circumferential pulmonary vein isolation (PVI). Acute procedural success, 30‐day PVI durability, and extracardiac safety were evaluated using serial electroanatomic mapping and blinded histopathological examination. Lesion depth was strongly associated with CF, pulse train number, voltage, and impedance change. The PFQI predicted actual depth with high accuracy ( R = 0.94, R 2 = 0.88; validation R 2 = 0.82, slope = 1.014). In the validation cohort, 92% of predicted depths fell within ±0.75 mm of measured values. PFQI‐guided PVI achieved 100% (6/6) acute isolation and 100% 30‐day durable electrical isolation, with contiguous transmural fibrosis on histology. No collateral phrenic nerve, </w:t>
      </w:r>
    </w:p>
    <w:p>
      <w:pPr/>
      <w:r>
        <w:rPr>
          <w:b/>
        </w:rPr>
        <w:t>POSSIBLE 2025:</w:t>
      </w:r>
      <w:r>
        <w:t xml:space="preserve"> Quantifying PM2.5 Pollution and its Mortality Impacts in Islamabad: An Integrated Approach with Observed and Remote Sensing Data Along with HYSPLIT and AirQ+ Models — https://doi.org/10.18502/jett.v13i2.18539</w:t>
      </w:r>
    </w:p>
    <w:p>
      <w:pPr/>
      <w:r>
        <w:rPr>
          <w:b/>
        </w:rPr>
        <w:t>Shared claim-specific concepts:</w:t>
      </w:r>
      <w:r>
        <w:t xml:space="preserve"> integrated, observed; EU scope not established. This is a provisional connection, not an outcome finding.</w:t>
      </w:r>
    </w:p>
    <w:p>
      <w:pPr>
        <w:pStyle w:val="SourceNote"/>
      </w:pPr>
      <w:r>
        <w:rPr>
          <w:b/>
        </w:rPr>
        <w:t>Available abstract (not full text):</w:t>
      </w:r>
      <w:r>
        <w:t xml:space="preserve"> Particulate matter causes serious impacts on the atomsphere and human health. In recent time, it has become a crucial concern for the future of our health and environment. The study employed an integrated approach using observed and remote sensing data, HYSPLIT backward trajectory analysis, and AirQ+ models to quantify PM2.5 pollution and assess its mortality impacts in Islamabad in past three years (2020 to 2022). Our results showed that winters in all three years were significantly more polluted than summers. 22nd December 2021 emerged as the most polluted day with 198.96 mg/m3 PM2.5 concentration. Overall, the daily average (123.6 mg/m3) and the average annual mean (33.98 mg/m3) for 2020 to 2022 exceeded the standards promulgated by the National and US-EPA’s National Ambient Air Quality Standards (NAAQS). The potential source of the pollution was noticed from eastern side of Islamabad i.e., western India, with the help of the HYSPLIT backward trajectories. The study identified a significant correlation of PM2.5 with meteorological (temperature, dew point temperature, relative humidity, and wind speed) and chemical (SO2, NO2 and CO) factors. Moreover, at a concentration of 46.51µg/m3, the attributable proportion (AP) for all-cause mortality was 25%, while ischemic heart disease (IHD) mortality had an AP of 37%, and stroke mortality was 45%, all higher in winter than summer. T</w:t>
      </w:r>
    </w:p>
    <w:p>
      <w:pPr/>
      <w:r>
        <w:rPr>
          <w:b/>
        </w:rPr>
        <w:t>POSSIBLE 2025:</w:t>
      </w:r>
      <w:r>
        <w:t xml:space="preserve"> Rolling force modeling based on neural network and mechanism model — https://doi.org/10.1007/s12206-025-0118-4</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In order to eliminate the predicted bias of the traditional Sims model, a new method, called the composite rectification method, is proposed. First, the deformation resistance model was built based on the generalized additive principle. This new model was adopted to replace the deformation resistance model in the Sims model. Through this factor replacement, the deformation resistance bias due to the traditional regression method was eliminated. Secondly, to solve the mathematical form imperfection caused by the introduction of assumptions during the derivation of the Sims model, a back propagation (BP) neural network model on the bias of the once-time corrected Sims model was built. Ultimately, the double correction of the Sims model was realized through the additive compensation method, and an integrated model of rolling force was ultimately obtained. The composite rectification method presented in this article can provide a new way of modeling complex systems with high precision.</w:t>
      </w:r>
    </w:p>
    <w:p>
      <w:pPr/>
      <w:r>
        <w:rPr>
          <w:b/>
        </w:rPr>
        <w:t>POSSIBLE 2025:</w:t>
      </w:r>
      <w:r>
        <w:t xml:space="preserve"> Quadriceps force and medio-laterally directed joint force during knee flexion in a personalized patellofemoral joint model — https://doi.org/10.1186/s12891-025-09397-y</w:t>
      </w:r>
    </w:p>
    <w:p>
      <w:pPr/>
      <w:r>
        <w:rPr>
          <w:b/>
        </w:rPr>
        <w:t>Shared claim-specific concepts:</w:t>
      </w:r>
      <w:r>
        <w:t xml:space="preserve"> integrated, during, simulation; EU scope not established. This is a provisional connection, not an outcome finding.</w:t>
      </w:r>
    </w:p>
    <w:p>
      <w:pPr>
        <w:pStyle w:val="SourceNote"/>
      </w:pPr>
      <w:r>
        <w:rPr>
          <w:b/>
        </w:rPr>
        <w:t>Available abstract (not full text):</w:t>
      </w:r>
      <w:r>
        <w:t xml:space="preserve"> BACKGROUND: Patellofemoral instability (PFI) is a multifactorial condition influenced by complex interactions between anatomical structures and dynamic stabilizers. Accurate assessment of mediolateral patellofemoral joint loading remains challenging, particularly during physiologically relevant joint angles simulated under controlled kinematic conditions. Anatomy-based individualized musculoskeletal models provide an in-silico approach to investigate these biomechanical parameters, such as the loading patterns. The purpose of this study was to develop individualized musculoskeletal knee models based on MRI-derived anatomical data from cadaveric specimens and to quantify the mediolateral component of the patellofemoral joint reaction force during a standardized, computer-driven squat simulation. Quadriceps muscle forces were estimated to assess the demand on dynamic stabilizers. METHOD AND MATERIAL: : MRI scans from four cadaveric lower limbs were segmented to reconstruct the distal femur, proximal tibia, and patella. The resulting STL bone models of the femur, tibia, and patella were aligned to TLEM2 templates using anatomical landmarks in CATIA V5 and integrated into the AnyBody Modeling System via custom AnyScript routines. A predefined, computer generated squat motion consisting of asymmetric flexion–extension cycle between 0° and 90° at a constant, scripted angular velocity</w:t>
      </w:r>
    </w:p>
    <w:p>
      <w:pPr/>
      <w:r>
        <w:rPr>
          <w:b/>
        </w:rPr>
        <w:t>POSSIBLE 2025:</w:t>
      </w:r>
      <w:r>
        <w:t xml:space="preserve"> Enhanced CNN-BiLSTM-Attention Model for High-Precision Integrated Navigation During GNSS Outages — https://doi.org/10.3390/rs17091542</w:t>
      </w:r>
    </w:p>
    <w:p>
      <w:pPr/>
      <w:r>
        <w:rPr>
          <w:b/>
        </w:rPr>
        <w:t>Shared claim-specific concepts:</w:t>
      </w:r>
      <w:r>
        <w:t xml:space="preserve"> integrated, during; EU scope not established. This is a provisional connection, not an outcome finding.</w:t>
      </w:r>
    </w:p>
    <w:p>
      <w:pPr>
        <w:pStyle w:val="SourceNote"/>
      </w:pPr>
      <w:r>
        <w:rPr>
          <w:b/>
        </w:rPr>
        <w:t>Available abstract (not full text):</w:t>
      </w:r>
      <w:r>
        <w:t xml:space="preserve"> The Global Navigation Satellite System (GNSS)/Inertial Navigation System (INS) integrated navigation technology is widely utilized in vehicle positioning. However, in complex environments such as urban canyons or tunnels, GNSS signal outages due to obstructions lead to rapid error accumulation in INS-only operation, with error growth rates reaching 10–50 m per min. To enhance positioning accuracy during GNSS outages, this paper proposes an error compensation method based on CNN-BiLSTM-Attention. When GNSS signals are available, a mapping model is established between specific force, angular velocity, speed, heading angle, and GNSS position increments. During outages, this model, combined with an improved Kalman filter, predicts pseudo-GNSS positions and their covariances in real-time to compute an aided navigation solution. The improved Kalman filter integrates Sage–Husa adaptive filtering and strong tracking Kalman filtering, dynamically estimating noise covariances to enhance robustness and address the challenge of unknown pseudo-GNSS covariances. Real-vehicle experiments conducted in a city in Jiangsu Province simulated a 120 s GNSS outage, demonstrating that the proposed method delivers a stable navigation solution with a post-convergence positioning accuracy of 0.7275 m root mean square error (RMSE), representing a 93.66% improvement over pure INS. Moreover, compared to oth</w:t>
      </w:r>
    </w:p>
    <w:p>
      <w:pPr/>
      <w:r>
        <w:rPr>
          <w:b/>
        </w:rPr>
        <w:t>POSSIBLE 2024:</w:t>
      </w:r>
      <w:r>
        <w:t xml:space="preserve"> Improving Students' Problem Solving Skills in Learning Problem Based Learning Integrated with Predict, Observe, Explain Model on Global Warming Material — https://doi.org/10.26877/jp2f.v15i4.928</w:t>
      </w:r>
    </w:p>
    <w:p>
      <w:pPr/>
      <w:r>
        <w:rPr>
          <w:b/>
        </w:rPr>
        <w:t>Shared claim-specific concepts:</w:t>
      </w:r>
      <w:r>
        <w:t xml:space="preserve"> integrated, warming; EU scope not established. This is a provisional connection, not an outcome finding.</w:t>
      </w:r>
    </w:p>
    <w:p>
      <w:pPr>
        <w:pStyle w:val="SourceNote"/>
      </w:pPr>
      <w:r>
        <w:rPr>
          <w:b/>
        </w:rPr>
        <w:t>Available abstract (not full text):</w:t>
      </w:r>
      <w:r>
        <w:t xml:space="preserve"> In the following study, the aim is to analyze the improvement of students' problem solving skills in learning activities with problem-based learning models integrated with predict, observe, explain models, especially for global warming material. The study was conducted using quantitative methods with 33 participants of class X students at one of the SMAN Cimahi City which was determined based on convenience sampling technique. The data collected in the following study was conducted through a problem solving skills test instrument in the form of pretest and posttest questions. To analyze the data obtained, using N-Gain testing on the data from the pretest and posttest scores. The results showed that each aspect of problem solving skills experienced a moderate increase. In addition, the acquisition of hypothesis testing proves that there is a difference in the application of the PBL-POE model in improving students' problem solving skills.</w:t>
      </w:r>
    </w:p>
    <w:p>
      <w:pPr/>
      <w:r>
        <w:rPr>
          <w:b/>
        </w:rPr>
        <w:t>POSSIBLE 2024:</w:t>
      </w:r>
      <w:r>
        <w:t xml:space="preserve"> An Integrated Model Based Prediction of Machining Accuracy for Milling Machine — https://doi.org/10.1177/09544062231223898</w:t>
      </w:r>
    </w:p>
    <w:p>
      <w:pPr/>
      <w:r>
        <w:rPr>
          <w:b/>
        </w:rPr>
        <w:t>Shared claim-specific concepts:</w:t>
      </w:r>
      <w:r>
        <w:t xml:space="preserve"> integrated, during, show; EU scope not established. This is a provisional connection, not an outcome finding.</w:t>
      </w:r>
    </w:p>
    <w:p>
      <w:pPr>
        <w:pStyle w:val="SourceNote"/>
      </w:pPr>
      <w:r>
        <w:rPr>
          <w:b/>
        </w:rPr>
        <w:t>Available abstract (not full text):</w:t>
      </w:r>
      <w:r>
        <w:t xml:space="preserve"> The accuracy of machining can be predicted during the design process of CNC machine tools, while the prediction accuracy depends on the prediction model. However, when establishing the prediction model, the coupling effect among the machine tool’s different components is always ignored for modeling efficiency, so this will lead to its reliability cannot be guaranteed. To address this problem, the model reduction theory and the lumped parameter method are used in this study to set the state-space equations of the essential structural parts. Moreover, the electro-mechanical coupling parameter equation of the servo system is transformed into a state-space equation. Then the state-space equations of the components and the servo system are coupled to establish the machine tool dynamic model. Furthermore, a theoretical model of instantaneous undeformed chip thickness is found, and according to the linear relationship between the micro-cutting force and the instantaneous undeformed chip thickness, the instantaneous cutting force model of the cylindrical milling cutter is established. Based on these, the integrated model, which considers the mechanical structure, control system and cutting force, is obtained and further used in Simulink to build the machining accuracy prediction platform, as well as the accuracy of the integrated prediction model is verified. Moreover, the prediction m</w:t>
      </w:r>
    </w:p>
    <w:p>
      <w:pPr/>
      <w:r>
        <w:rPr>
          <w:b/>
        </w:rPr>
        <w:t>POSSIBLE 2023:</w:t>
      </w:r>
      <w:r>
        <w:t xml:space="preserve"> Inter-hemispheric asymmetries in high-latitude electrodynamic forcing and the thermosphere during the October 8–9, 2012, geomagnetic storm: An integrated data–Model investigation — https://doi.org/10.3389/fspas.2023.1062265</w:t>
      </w:r>
    </w:p>
    <w:p>
      <w:pPr/>
      <w:r>
        <w:rPr>
          <w:b/>
        </w:rPr>
        <w:t>Shared claim-specific concepts:</w:t>
      </w:r>
      <w:r>
        <w:t xml:space="preserve"> integrated, observed, during, first, simulation, period; EU scope not established. This is a provisional connection, not an outcome finding.</w:t>
      </w:r>
    </w:p>
    <w:p>
      <w:pPr>
        <w:pStyle w:val="SourceNote"/>
      </w:pPr>
      <w:r>
        <w:rPr>
          <w:b/>
        </w:rPr>
        <w:t>Available abstract (not full text):</w:t>
      </w:r>
      <w:r>
        <w:t xml:space="preserve"> Inter-hemispheric asymmetry (IHA) in Earth’s ionosphere–thermosphere (IT) system can be associated with high-latitude forcing that intensifies during storm time, e.g., ion convection, auroral electron precipitation, and energy deposition, but a comprehensive understanding of the pathways that generate IHA in the IT is lacking. Numerical simulations can help address this issue, but accurate specification of high-latitude forcing is needed. In this study, we utilize the Active Magnetosphere and Planetary Electrodynamics Response Experiment-revised fieldaligned currents (FACs) to specify the high-latitude electric potential in the Global Ionosphere and Thermosphere Model (GITM) during the October 8–9, 2012, storm. Our result illustrates the advantages of the FAC-driven technique in capturing high-latitude ion drift, ion convection equatorial boundary, and the storm-time neutral density response observed by satellite. First, it is found that the cross-polar-cap potential, hemispheric power, and ion convection distribution can be highly asymmetric between two hemispheres with a clear B y dependence in the convection equatorial boundary. Comparison with simulation based on mirror precipitation suggests that the convection distribution is more sensitive to FAC, while its intensity also depends on the ionospheric conductance-related precipitation. Second, the IHA in the neutral density</w:t>
      </w:r>
    </w:p>
    <w:p>
      <w:pPr/>
      <w:r>
        <w:rPr>
          <w:b/>
        </w:rPr>
        <w:t>POSSIBLE 2022:</w:t>
      </w:r>
      <w:r>
        <w:t xml:space="preserve"> Translating observed household energy behavior to agent-based technology choices in an integrated modeling framework — https://doi.org/10.1016/j.isci.2022.103905</w:t>
      </w:r>
    </w:p>
    <w:p>
      <w:pPr/>
      <w:r>
        <w:rPr>
          <w:b/>
        </w:rPr>
        <w:t>Shared claim-specific concepts:</w:t>
      </w:r>
      <w:r>
        <w:t xml:space="preserve"> integrated, observed; EU scope visible. This is a provisional connection, not an outcome finding.</w:t>
      </w:r>
    </w:p>
    <w:p>
      <w:pPr>
        <w:pStyle w:val="SourceNote"/>
      </w:pPr>
      <w:r>
        <w:rPr>
          <w:b/>
        </w:rPr>
        <w:t>Available abstract (not full text):</w:t>
      </w:r>
      <w:r>
        <w:t xml:space="preserve"> Decarbonizing the building sector depends on choices made at the household level, which are heterogeneous. Agent-based models are tools used to describe heterogeneous choices but require data-intensive calibration. This study analyzes a novel, cross-country European household-level survey, including sociodemographic characteristics, energy-saving habits, energy-saving investments, and metered household electricity consumption, to enhance the empirical grounding of an agent-based residential energy choice model. Applying cluster analysis to the data shows that energy consumption is not straightforwardly explained by sociodemographic classes, preferences, or attitudes, but some patterns emerge. Income consistently has the largest effect on demand, dwelling efficiency, and energy-saving investments, and the potential to improve a dwellings' energy use affects the efficiency investments made. Including the various sources of heterogeneity found to characterize the model agents affects the timing and speed of the transition. The results reinforce the need for grounding agent-based models in empirical data, to better understand energy transition dynamics.</w:t>
      </w:r>
    </w:p>
    <w:p>
      <w:pPr/>
      <w:r>
        <w:rPr>
          <w:b/>
        </w:rPr>
        <w:t>POSSIBLE 2021:</w:t>
      </w:r>
      <w:r>
        <w:t xml:space="preserve"> Model Calibration for a Rigid Hexapod-Based End-Effector with Integrated Force Sensors — https://doi.org/10.3390/s21103537</w:t>
      </w:r>
    </w:p>
    <w:p>
      <w:pPr/>
      <w:r>
        <w:rPr>
          <w:b/>
        </w:rPr>
        <w:t>Shared claim-specific concepts:</w:t>
      </w:r>
      <w:r>
        <w:t xml:space="preserve"> integrated, during, first; EU scope not established. This is a provisional connection, not an outcome finding.</w:t>
      </w:r>
    </w:p>
    <w:p>
      <w:pPr>
        <w:pStyle w:val="SourceNote"/>
      </w:pPr>
      <w:r>
        <w:rPr>
          <w:b/>
        </w:rPr>
        <w:t>Available abstract (not full text):</w:t>
      </w:r>
      <w:r>
        <w:t xml:space="preserve"> Integrated single-axis force sensors allow an accurate and cost-efficient force measurement in 6 degrees of freedom for hexapod structures and kinematics. Depending on the sensor placement, the measurement is affected by internal forces that need to be compensated for by a measurement model. Since the parameters of the model can change during machine usage, a fast and easy calibration procedure is requested. This work studies parameter identification procedures for force measurement models on the example of a rigid hexapod-based end-effector. First, measurement and identification models are presented and parameter sensitivities are analysed. Next, two excitation strategies are applied and discussed: identification from quasi-static poses and identification from accelerated continuous trajectories. Both poses and trajectories are optimized by different criteria and evaluated in comparison. Finally, the procedures are validated by experimental studies with reference payloads. In conclusion, both strategies allow accurate parameter identification within a fast procedure in an operational machine state.</w:t>
      </w:r>
    </w:p>
    <w:p>
      <w:pPr/>
      <w:r>
        <w:rPr>
          <w:b/>
        </w:rPr>
        <w:t>POSSIBLE 2021:</w:t>
      </w:r>
      <w:r>
        <w:t xml:space="preserve"> Development of an Integrated Flow Stress and Roll Force Models for Plate Rolling of Microalloyed Steel — https://doi.org/10.1002/srin.202100479</w:t>
      </w:r>
    </w:p>
    <w:p>
      <w:pPr/>
      <w:r>
        <w:rPr>
          <w:b/>
        </w:rPr>
        <w:t>Shared claim-specific concepts:</w:t>
      </w:r>
      <w:r>
        <w:t xml:space="preserve"> integrated, during; EU scope not established. This is a provisional connection, not an outcome finding.</w:t>
      </w:r>
    </w:p>
    <w:p>
      <w:pPr>
        <w:pStyle w:val="SourceNote"/>
      </w:pPr>
      <w:r>
        <w:rPr>
          <w:b/>
        </w:rPr>
        <w:t>Available abstract (not full text):</w:t>
      </w:r>
      <w:r>
        <w:t xml:space="preserve"> The hot deformation behavior of Nb–V–Ti containing high‐strength steel is studied using compression test. Based on the data generated during hot compression tests, a deep neural network (DNN) flow stress model is developed for the experimental microalloyed steel. The predicted flow stress by the DNN model is compared with flow stress predicted by conventional strain‐compensated Arrhenius constitutive equation. Results using the DNN model are found to be superior to the constitutive equation with overall correlation coefficient (R) greater than 99.8%. The accuracy of the developed DNN flow stress model finds to be significantly higher even at higher strain rates. A DNN roll force model is also developed for the plate rolling of the experimental steel. The predicted flow stress from the DNN flow stress model for the given rolling condition is also used as an input to the roll force model. It is found that DNN model is able to predict the roll force accurately by &gt;98.4% as it takes care of various nonlinear process variable which cannot be accounted mathematically. It also validates the accuracy of DNN flow stress model.</w:t>
      </w:r>
    </w:p>
    <w:p>
      <w:pPr/>
      <w:r>
        <w:rPr>
          <w:b/>
        </w:rPr>
        <w:t>POSSIBLE 2020:</w:t>
      </w:r>
      <w:r>
        <w:t xml:space="preserve"> Integrated In Silico Models for the Prediction of No-Observed-(Adverse)-Effect Levels and Lowest-Observed-(Adverse)-Effect Levels in Rats for Sub-chronic Repeated-Dose Toxicity — https://doi.org/10.1021/acs.chemrestox.0c00176</w:t>
      </w:r>
    </w:p>
    <w:p>
      <w:pPr/>
      <w:r>
        <w:rPr>
          <w:b/>
        </w:rPr>
        <w:t>Shared claim-specific concepts:</w:t>
      </w:r>
      <w:r>
        <w:t xml:space="preserve"> integrated, first; EU scope not established. This is a provisional connection, not an outcome finding.</w:t>
      </w:r>
    </w:p>
    <w:p>
      <w:pPr>
        <w:pStyle w:val="SourceNote"/>
      </w:pPr>
      <w:r>
        <w:rPr>
          <w:b/>
        </w:rPr>
        <w:t>Available abstract (not full text):</w:t>
      </w:r>
      <w:r>
        <w:t xml:space="preserve"> Repeated-dose toxicity (RDT) is a critical endpoint for hazard characterization of chemicals and is assessed to derive safe levels of exposure for human health. Here we present the first attempt to model simultaneously no-observed-(adverse)-effect level (NO(A)EL) and lowest-observed-(adverse)-effect level (LO(A)EL). Classification and regression models were derived based on rat sub-chronic repeated dose toxicity data for 327 compounds from the Fraunhofer RepDose database. Multi-category classification models were built for both NO(A)EL and LO(A)EL though a consensus of statistics- and fragment-based algorithms, while regression models were based on quantitative relationships between the endpoints and SMILES-based attributes. NO(A)EL and LO(A)EL models were integrated, and predictions were compared to exclude inconsistent values. This strategy improved the performance of single models, leading to R 2 greater than 0.70, root-mean-square error (RMSE) lower than 0.60 (for regression models), and accuracy of 0.61–0.73 (for classification models) on the validation set, based on the endpoint and the threshold applied for selecting predictions. This study confirms the effectiveness of the modeling strategy presented here for assessing RDT of chemicals using in silico models.</w:t>
      </w:r>
    </w:p>
    <w:p>
      <w:pPr>
        <w:pStyle w:val="Heading2"/>
      </w:pPr>
      <w:r>
        <w:t>986. The Great Future Debate and the Struggle for the World</w:t>
      </w:r>
    </w:p>
    <w:p>
      <w:pPr>
        <w:pStyle w:val="SourceNote"/>
      </w:pPr>
      <w:r>
        <w:rPr>
          <w:b/>
        </w:rPr>
        <w:t>Original source (2012):</w:t>
      </w:r>
      <w:r>
        <w:t xml:space="preserve"> https://doi.org/10.1093/ahr/117.5.1411</w:t>
      </w:r>
    </w:p>
    <w:p>
      <w:pPr/>
      <w:r>
        <w:t>Original wording (abstract; indexed_source_text_not_full_document_verified): Futurists had radically different understandings not only of what the future was and the way it could be studied, but also of the ways in which prediction could be used to control or protest certain futures. She is the holder of an ERC Starting Investigator Grant for the project Futurepol: A Political History of the Future—Knowledge Production and Future Governance, 1945–2010, and is currently working on a book on the global history of the future.</w:t>
      </w:r>
    </w:p>
    <w:p>
      <w:pPr/>
      <w:r>
        <w:rPr>
          <w:b/>
        </w:rPr>
        <w:t>POSSIBLE 2025:</w:t>
      </w:r>
      <w:r>
        <w:t xml:space="preserve"> THE ANTI-THEATER OF FUTURISTS AND DADAISTS AS A REFUTATION OF ARISTOTLE’S CONCEPT OF MIMETIC THEATER — https://doi.org/10.30970/vas.26.2025.206-216</w:t>
      </w:r>
    </w:p>
    <w:p>
      <w:pPr/>
      <w:r>
        <w:rPr>
          <w:b/>
        </w:rPr>
        <w:t>Shared claim-specific concepts:</w:t>
      </w:r>
      <w:r>
        <w:t xml:space="preserve"> futurists, not, only, way, but, also; EU scope not established. This is a provisional connection, not an outcome finding.</w:t>
      </w:r>
    </w:p>
    <w:p>
      <w:pPr>
        <w:pStyle w:val="SourceNote"/>
      </w:pPr>
      <w:r>
        <w:rPr>
          <w:b/>
        </w:rPr>
        <w:t>Available abstract (not full text):</w:t>
      </w:r>
      <w:r>
        <w:t xml:space="preserve"> The aim of this article is to analyze the concept of mimesis in theatrical art as articulated by Aristotle. For centuries, this notion has served as a crucial means of reflecting reality, understanding the essence of the world, and promoting the moral education of society. Additionally, the article seeks to clarify the reasons behind the radical rejection of this model by the Futurists and Dadaists. By tracing the historical evolution of mimesis, the study will reveal how the fundamental principles of classical theory specifically narrative construction, character development, and the attainment of catharsis were transformed by the innovative movements of the 20th century. The research methodology includes analytical, comparative, and descriptive methods to thoroughly examine the subject and provide robust justification for the conclusions. The analytical method aids in the logical exposition of historical material, while comparative analysis helps identify the key differences between Aristotle's classical principles and the radical innovations introduced by Futurists and Dadaists. Furthermore, the descriptive method facilitates a comprehensive representation of the materials under investigation. This study emphasizes that, according to the classical tradition, mimesis was viewed as a means of imitating and interpreting the essence of reality, thus making theatre an instrument </w:t>
      </w:r>
    </w:p>
    <w:p>
      <w:pPr/>
      <w:r>
        <w:rPr>
          <w:b/>
        </w:rPr>
        <w:t>POSSIBLE 2025:</w:t>
      </w:r>
      <w:r>
        <w:t xml:space="preserve"> A MASS EFFECT CASE STUDY OF MORPHED HUMANITY, FROM INDIVIDUALS TO POPULATIONS IN A BIOTECHNOLOGICAL FUTURIST SOCIETY — https://openalex.org/W7112949524</w:t>
      </w:r>
    </w:p>
    <w:p>
      <w:pPr/>
      <w:r>
        <w:rPr>
          <w:b/>
        </w:rPr>
        <w:t>Shared claim-specific concepts:</w:t>
      </w:r>
      <w:r>
        <w:t xml:space="preserve"> way, but, political; EU scope not established. This is a provisional connection, not an outcome finding.</w:t>
      </w:r>
    </w:p>
    <w:p>
      <w:pPr>
        <w:pStyle w:val="SourceNote"/>
      </w:pPr>
      <w:r>
        <w:rPr>
          <w:b/>
        </w:rPr>
        <w:t>Available abstract (not full text):</w:t>
      </w:r>
      <w:r>
        <w:t xml:space="preserve"> The monster is an icon of literary discussion and criticism, cemented by Cohen’s ‘monster theory’ (1996), with his conceptualisations vital for “understanding [the] cultural creation of monsters” (Gloyn, 2020). Gothic scholar Halberstam argued that “...the emergence of the monster within Gothic fiction marks a peculiarly modern emphasis upon the horror of particular kinds of bodies” (1995, p.3). It is the postmodern monster that will become the subject of this thesis. This thesis re-engages with the monster, arguing that the rise of biotechnology and audience relations to this technology, provides a new lens for examining monsters that are created, reflected in the growth of the subgenre Lars Schmeink terms ‘biopunk’ (2016). Brodwin asserts that the uncertainties emerging from biotechnological developments change how the body is conceptualised and categorised as the body is an arbiter of political relations (2000, p.7). The thesis proposes that biotechnology has morphed humanity but, despite this, there are instances of biotechnological interventions (or disruptions) that are treated with suspicion, and their recipients, the icons known as mutants, face othering. This thesis therefore proposes a subspecies of the monster: the mutant, a literary icon representing the monsterisation of those altered by new forms of intervention and this is utilised through a case study of the pop</w:t>
      </w:r>
    </w:p>
    <w:p>
      <w:pPr/>
      <w:r>
        <w:rPr>
          <w:b/>
        </w:rPr>
        <w:t>POSSIBLE 2023:</w:t>
      </w:r>
      <w:r>
        <w:t xml:space="preserve"> Rhetorical Strategies and Gender in Marinetti's Futurist Manifesto — https://doi.org/10.5406/23256672.100.5.13</w:t>
      </w:r>
    </w:p>
    <w:p>
      <w:pPr/>
      <w:r>
        <w:rPr>
          <w:b/>
        </w:rPr>
        <w:t>Shared claim-specific concepts:</w:t>
      </w:r>
      <w:r>
        <w:t xml:space="preserve"> different, only, but, also, ways, control; EU scope not established. This is a provisional connection, not an outcome finding.</w:t>
      </w:r>
    </w:p>
    <w:p>
      <w:pPr>
        <w:pStyle w:val="SourceNote"/>
      </w:pPr>
      <w:r>
        <w:rPr>
          <w:b/>
        </w:rPr>
        <w:t>Available abstract (not full text):</w:t>
      </w:r>
      <w:r>
        <w:t xml:space="preserve"> Though the importance of Filippo Tommaso Marinetti's contributions to avant-garde aesthetics has been a subject of controversy since the very beginnings of the Futurist movement, critics generally acknowledge the innovation of what Marinetti himself called “l'arte di far manifesti.” Most recently, in a remarkable study on the “language of rupture” of the avant-garde movements prior to World War I, Marjorie Perloff locates the originality of the Futurist manifesto in its hybrid, multifaceted nature. As Perloff notes, the genealogy of the Futurist manifesto can be traced back to the agonistic mode of discourse of the nineteenth-century political manifesto, and to the programmatic statements of aesthetic renovation, modernity, nationalism, and heroism articulated in the manifestos of other turn-of-the-century movements. But the Italian Futurist manifestos differ from their precursors because of “their brash refusal to remain in the expository or critical corner, their understanding that the group pronouncement, sufficiently aestheticized, can, in the eyes of the mass audience, all but take the place of the promised art work.”1 Indeed, Marinetti's famous first manifesto, “Fondazione e Manifesto del Futurismo,” which marks the founding of the movement in 1909, also marks the creation of a new genre straddling poetic and theoretical discourse—a collective statement directed at a mass</w:t>
      </w:r>
    </w:p>
    <w:p>
      <w:pPr/>
      <w:r>
        <w:rPr>
          <w:b/>
        </w:rPr>
        <w:t>POSSIBLE 2023:</w:t>
      </w:r>
      <w:r>
        <w:t xml:space="preserve"> The Digital Divide and Futurist Imaginings of Zelle‐ous Resistors — https://doi.org/10.17645/si.v11i3.6867</w:t>
      </w:r>
    </w:p>
    <w:p>
      <w:pPr/>
      <w:r>
        <w:rPr>
          <w:b/>
        </w:rPr>
        <w:t>Shared claim-specific concepts:</w:t>
      </w:r>
      <w:r>
        <w:t xml:space="preserve"> understandings, not, but, ways; EU scope not established. This is a provisional connection, not an outcome finding.</w:t>
      </w:r>
    </w:p>
    <w:p>
      <w:pPr>
        <w:pStyle w:val="SourceNote"/>
      </w:pPr>
      <w:r>
        <w:rPr>
          <w:b/>
        </w:rPr>
        <w:t>Available abstract (not full text):</w:t>
      </w:r>
      <w:r>
        <w:t xml:space="preserve"> The “digital divide” is widely acknowledged as exacerbating inequality by leaving some people on one side or the other of a knowledge divide without access to appropriate tools for the future and all the opportunities that digital technology promises. Attempts to understand this gap tend to focus on issues of trust, levels of financial education, and digital skills, mainly seeking to understand why some individuals and groups—who are mostly assumed to have minimal financial know-how and digital skills—do not trust either online financial institutions or exclusively app‐based finance. Considering the large investment in fintech solutions driven by these industries, and the practical features designed in part to make the user’s life easier and user experience more intuitive and reassuring, it is worth noting that such queries are inclined to conclude that these untapped users cannot imagine a digital future due to their own lack of digital skills and lack of exposure to tech. This article suggests that, for a portion of this population, many of whom are digital natives, this is not the case. instead, they can invest in understanding and adapting to technology and do so. Yet they are uncomfortable with the “instantaneousness” of some transactions because this doesn’t allow them enough time to address a problem or have recourse for anything unforeseeable. Furthermore, their interes</w:t>
      </w:r>
    </w:p>
    <w:p>
      <w:pPr/>
      <w:r>
        <w:rPr>
          <w:b/>
        </w:rPr>
        <w:t>POSSIBLE 2023:</w:t>
      </w:r>
      <w:r>
        <w:t xml:space="preserve"> Peace as a techno-futurist fantasy: interpreting the opening ceremony of the 2018 PyeongChang Olympics — https://doi.org/10.1080/24761028.2024.2374120</w:t>
      </w:r>
    </w:p>
    <w:p>
      <w:pPr/>
      <w:r>
        <w:rPr>
          <w:b/>
        </w:rPr>
        <w:t>Shared claim-specific concepts:</w:t>
      </w:r>
      <w:r>
        <w:t xml:space="preserve"> not, but, political; EU scope not established. This is a provisional connection, not an outcome finding.</w:t>
      </w:r>
    </w:p>
    <w:p>
      <w:pPr>
        <w:pStyle w:val="SourceNote"/>
      </w:pPr>
      <w:r>
        <w:rPr>
          <w:b/>
        </w:rPr>
        <w:t>Available abstract (not full text):</w:t>
      </w:r>
      <w:r>
        <w:t xml:space="preserve"> South Korea hosted the 2018 PyeongChang Winter Olympic Games nearly 30 years after the 1988 Seoul Summer Olympic Games and almost 16 after the 2002 Korea/Japan FIFA World Cup. The national narrative of these sporting mega-events shifted from a grand display of industrial triumph during the Seoul Olympics to the celebration of a global nation during the World Cup to a nation of cutting-edge technology during the PyeongChang Olympics. The Opening Ceremonies of the PyeongChang Olympics were planned to showcase South Korea’s hallyu cultural juggernaut and technological prowess. Just a month prior to the start of the Games, a delegation from North Korea agreed to compete, thereby changing the narrative of the show. The planned story line shifted to include the idea of reunification not as an urgent matter of the present, but as a techno-futurist fantasy of world peace. While the Olympic leadership fawned over this hopeful display of détente through sport, the joint appearance failed to garner a great deal of excitement in South Korea given the failure of decades of cultural interactions to bring the two countries closer together. Nevertheless, the presence of North Koreans created a level of interest that added an element of historical and political curiosity otherwise missing from an overwrought program that lacked spontaneity. Thus, ironically, the presence of the North Korean del</w:t>
      </w:r>
    </w:p>
    <w:p>
      <w:pPr/>
      <w:r>
        <w:rPr>
          <w:b/>
        </w:rPr>
        <w:t>POSSIBLE 2023:</w:t>
      </w:r>
      <w:r>
        <w:t xml:space="preserve"> Alberto Breccia’s Parody of Futurist Paintings in Modern Bande Dessinée: Resisting Transatlantic Fascism — https://doi.org/10.2218/forum.1.9149</w:t>
      </w:r>
    </w:p>
    <w:p>
      <w:pPr/>
      <w:r>
        <w:rPr>
          <w:b/>
        </w:rPr>
        <w:t>Shared claim-specific concepts:</w:t>
      </w:r>
      <w:r>
        <w:t xml:space="preserve"> also, used, political; EU scope not established. This is a provisional connection, not an outcome finding.</w:t>
      </w:r>
    </w:p>
    <w:p>
      <w:pPr>
        <w:pStyle w:val="SourceNote"/>
      </w:pPr>
      <w:r>
        <w:rPr>
          <w:b/>
        </w:rPr>
        <w:t>Available abstract (not full text):</w:t>
      </w:r>
      <w:r>
        <w:t xml:space="preserve"> During wars, art and culture often develop a “culture of camouflage” (Ojeda 68) to invite the reader to decipher hidden meanings as a form of political subversion. In Argentina, the ‘Golden Age’ of comics emerged in the 1940s in response to the rise of Fascist sentiments originating from the Futurist leader Filippo Tommaso Marinetti’s transatlantic propaganda and flourished in the following decades. During and following the ‘Process of National Reorganisation’ from 1976 onwards, illustrator Alberto Breccia used graphic narratives as a form of counter-censorship as he appropriated Futurist aesthetics and the conventions of the modern bande dessinée. He considered this method as being able to allow “artistry and imagination [take] over from logical progressions” (Grove 25). Using this form, he encouraged the public to reflect on Argentina’s changing transatlantic landscape. This paper examines to what extent Breccia’s Le Coeur Révélateur: Et Autres Histoires Extraodinaires d’ Edgar Poe (1995) borrows Futurist visuality and makes use of the flexibility of the settings in Poe’s stories. This is done to recreate the haunting figures of history as they “turn away from the original work” to “conceive new forms of storytelling that explore the medium-specific properties of the host medium” (Baetens 7). This paper employs an interdisciplinary approach as, in addition to reading Poe’s or</w:t>
      </w:r>
    </w:p>
    <w:p>
      <w:pPr/>
      <w:r>
        <w:rPr>
          <w:b/>
        </w:rPr>
        <w:t>POSSIBLE 2022:</w:t>
      </w:r>
      <w:r>
        <w:t xml:space="preserve"> FUTURISM: VLADIMIR MAYAKOVSKI'S URBANISM AND FUTURIST OUTLOOK — https://doi.org/10.21533/epiphany.v15i1.387</w:t>
      </w:r>
    </w:p>
    <w:p>
      <w:pPr/>
      <w:r>
        <w:rPr>
          <w:b/>
        </w:rPr>
        <w:t>Shared claim-specific concepts:</w:t>
      </w:r>
      <w:r>
        <w:t xml:space="preserve"> futurists, also, used; EU scope not established. This is a provisional connection, not an outcome finding.</w:t>
      </w:r>
    </w:p>
    <w:p>
      <w:pPr>
        <w:pStyle w:val="SourceNote"/>
      </w:pPr>
      <w:r>
        <w:rPr>
          <w:b/>
        </w:rPr>
        <w:t>Available abstract (not full text):</w:t>
      </w:r>
      <w:r>
        <w:t xml:space="preserve"> This article analyzes the poetry of Russian poet Vladimir Mayakovski (1893-1930), renowned as a main figure of the Russian Futurist movement. The study first introduces the futurist movement in literature that took place at the beginning of the twentieth century and locates it within formalist theory. Then, it dwells upon the characteristics of futurist poetry since this was the genre the futurists were mostly concerned with. The study moves towards its main objective by examining two characteristic poems, Morning (1912) and A Skyscraper Dissected (1929), bearing in mind the theme of urbanism which is common in the futurist literary movement. This analysis attempts to prove that Mayakovski used the theme of urbanism to criticize modern city life, unlike other futurists who used this theme to glorify it. The study will also look at an important aspect of Mayakovski’s poem About This in which he imagines life in the future. To carry out this thematic study, a critically analytical and descriptive method is used.</w:t>
      </w:r>
    </w:p>
    <w:p>
      <w:pPr/>
      <w:r>
        <w:rPr>
          <w:b/>
        </w:rPr>
        <w:t>POSSIBLE 2022:</w:t>
      </w:r>
      <w:r>
        <w:t xml:space="preserve"> The Real Pushkin: The Reinvention of Russia’s National Poet by the Futurists — https://openalex.org/W7132695165</w:t>
      </w:r>
    </w:p>
    <w:p>
      <w:pPr/>
      <w:r>
        <w:rPr>
          <w:b/>
        </w:rPr>
        <w:t>Shared claim-specific concepts:</w:t>
      </w:r>
      <w:r>
        <w:t xml:space="preserve"> futurists, different, not, way, studied, but; EU scope not established. This is a provisional connection, not an outcome finding.</w:t>
      </w:r>
    </w:p>
    <w:p>
      <w:pPr>
        <w:pStyle w:val="SourceNote"/>
      </w:pPr>
      <w:r>
        <w:rPr>
          <w:b/>
        </w:rPr>
        <w:t>Available abstract (not full text):</w:t>
      </w:r>
      <w:r>
        <w:t xml:space="preserve"> James Rann'sThe Unlikely Futurist is in itself a cultural artifact of its time.Dedicated to the complicated and controversial relation of the Russian Futurists to Russia's most celebrated national poet Alexander Pushkin, Rann's book is generally about mechanisms of cultural cancellation, reevaluation, and (re)appropriation of the past.Today when more and more artists and other significant figures (contemporary ones and those belonging to former times) are often reassessed in light of emerging moral considerations and ethical norms, it is important to understand why one group of people may want to change dramatically their attitude to their ancestors.The case of the Russian Futurists is a perfect material for such a study, since the group is known for its scandalous behavior, their willingness to break away from the tradition, and their provocative statements about Russia's cultural past.For example, the manifesto "A Slap in the Face of Public Taste" famously proposed to "throw Pushkin, Dostoevsky, Tolstoy and so on and so forth from the steamship of Modernity" (p.9).But as is often the case, the slogans are never quite as complex as the mindsets of the people who produce them.Such a performative way of rejecting the past is simultaneously an affirmation of its significance.Using this interesting controversy as a departure point, Rann sets out to explore the ways in which the Ru</w:t>
      </w:r>
    </w:p>
    <w:p>
      <w:pPr/>
      <w:r>
        <w:rPr>
          <w:b/>
        </w:rPr>
        <w:t>POSSIBLE 2020:</w:t>
      </w:r>
      <w:r>
        <w:t xml:space="preserve"> Becoming Futurists — https://doi.org/10.26481/dis.20200520tc</w:t>
      </w:r>
    </w:p>
    <w:p>
      <w:pPr/>
      <w:r>
        <w:rPr>
          <w:b/>
        </w:rPr>
        <w:t>Shared claim-specific concepts:</w:t>
      </w:r>
      <w:r>
        <w:t xml:space="preserve"> futurists, not, way, ways; EU scope not established. This is a provisional connection, not an outcome finding.</w:t>
      </w:r>
    </w:p>
    <w:p>
      <w:pPr>
        <w:pStyle w:val="SourceNote"/>
      </w:pPr>
      <w:r>
        <w:rPr>
          <w:b/>
        </w:rPr>
        <w:t>Available abstract (not full text):</w:t>
      </w:r>
      <w:r>
        <w:t xml:space="preserve"> Writing a PhD thesis is a solitary practice, yet I didn't write alone.Becoming Futurists was made possible by a life-giving ecosystem of friends, family, colleagues and students.In these few pages, I am finally able to thank everyone who has contributed to my growth.First and foremost, I am deeply grateful for my academic guide Marjolein van Asselt.I see in Marjolein a bright scholar who is not afraid to speak her mind and dares to break with conventions.To me, Marjolein is a true example, especially in how science can and should be connected to the world.By leading me the way, Marjolein helped me to rise and spread my wings.My sincere gratitude goes out to supervisor Harro van Lente, from the moment I got acquainted with Harro's academic work, I was captured by his sense of language.Harro helped me to structure my thoughts, making dozens of impressive overviews based on our lengthy academic conversations and guided me in the wonderful and particular world of Science and Technology Studies.Harro's trust, his comforting smile and his ways with words helped me to pass the much-anticipated finish line.</w:t>
      </w:r>
    </w:p>
    <w:p>
      <w:pPr/>
      <w:r>
        <w:rPr>
          <w:b/>
        </w:rPr>
        <w:t>POSSIBLE 2020:</w:t>
      </w:r>
      <w:r>
        <w:t xml:space="preserve"> Benedetta’s Futurist Novels — https://openalex.org/W3018827761</w:t>
      </w:r>
    </w:p>
    <w:p>
      <w:pPr/>
      <w:r>
        <w:rPr>
          <w:b/>
        </w:rPr>
        <w:t>Shared claim-specific concepts:</w:t>
      </w:r>
      <w:r>
        <w:t xml:space="preserve"> futurists, not, but, also, she; EU scope not established. This is a provisional connection, not an outcome finding.</w:t>
      </w:r>
    </w:p>
    <w:p>
      <w:pPr>
        <w:pStyle w:val="SourceNote"/>
      </w:pPr>
      <w:r>
        <w:rPr>
          <w:b/>
        </w:rPr>
        <w:t>Available abstract (not full text):</w:t>
      </w:r>
      <w:r>
        <w:t xml:space="preserve"> Benedetta Cappa Marinetti does not simply write novels, she constructs them. Over the span of ten years, Benedetta pairs narrative first with images, then with performative elements, and lastly, with letters. She applies her abstract and conceptual style to observable and palpable works. In her first novel, Le forze umane (1926), Benedetta parallels handwritten words to hand- drawn images, or what she terms as “graphic syntheses.” From this autobiographical beginning, Benedetta immerses her audience into the timeline of her own life events. Surpassing a simple documentary or chronological account, Benedetta embeds her own states of mind in the narrative, a practice also explored by Futurist Giuseppe Steiner. In her next novel, Viaggio di Garar� (1931), Benedetta continues to incorporate visuals into her narrative, however, not to convey states of mind, but to immerse the reader into another realm: the theater. Viaggio di Garar� is a “cosmic novel for the theater,” allowing the work to be flexibly read as both a script and a novel. Her final novel, Astra e il sottomarino (1936) evokes an epistolary model, continuing her interest in the participatory elements of script and narrative. Benedetta’s much overlooked literary narrative includes a female perspective missing from many of her fellow Futurists’ novels.</w:t>
      </w:r>
    </w:p>
    <w:p>
      <w:pPr/>
      <w:r>
        <w:rPr>
          <w:b/>
        </w:rPr>
        <w:t>POSSIBLE 2020:</w:t>
      </w:r>
      <w:r>
        <w:t xml:space="preserve"> Agriculture futurist: Don Ort — https://doi.org/10.1093/plphys/kiaa024</w:t>
      </w:r>
    </w:p>
    <w:p>
      <w:pPr/>
      <w:r>
        <w:rPr>
          <w:b/>
        </w:rPr>
        <w:t>Shared claim-specific concepts:</w:t>
      </w:r>
      <w:r>
        <w:t xml:space="preserve"> different, not, but, also, ways, political; EU scope not established. This is a provisional connection, not an outcome finding.</w:t>
      </w:r>
    </w:p>
    <w:p>
      <w:pPr>
        <w:pStyle w:val="SourceNote"/>
      </w:pPr>
      <w:r>
        <w:rPr>
          <w:b/>
        </w:rPr>
        <w:t>Available abstract (not full text):</w:t>
      </w:r>
      <w:r>
        <w:t xml:space="preserve"> Scientists have an ability to prove the predictions wrong, especially when it comes to meeting increasing food demand. In 1798, Thomas Malthus, an English political economist, published “An essay on the principle of population” in which he concluded that “The power of population is so superior to the power of the earth to produce subsistence for man, that premature death must in some shape or other visit the human race.” (Malthus, 1798). Over the centuries, this message has been repeated. For example, Paul Ehrlich’s 1968 book, The Population Bomb famously began with the statement “The battle to feed all of humanity is over. In the 1970s hundreds of millions of people will starve to death…” (Ehrlich, 1968). Through the expansion of cultivated land, intensification of inputs, and the adoption of resource-responsive dwarf varieties, the “Green Revolution” in the 60s and 70s, saw average annual production gains of 3.2% (1961–1980) across developing countries (80% of the gains due to yield ha−1 increases; e.g., Evenson and Gollin, 2003); forestalling a food crisis. Between 1981 and 2000, as world population grew by another 1.6 billion people, modern varieties and precision technologies continued to increase yield potential as well as reduce the yield gap between actual and potential yield. But analyses of production trends suggest the returns of the Green Revolution may be diminishi</w:t>
      </w:r>
    </w:p>
    <w:p>
      <w:pPr/>
      <w:r>
        <w:rPr>
          <w:b/>
        </w:rPr>
        <w:t>POSSIBLE 2020:</w:t>
      </w:r>
      <w:r>
        <w:t xml:space="preserve"> From critical manifesto to transformative genderplay: feminist Futurist and Dadaist strategies countering the misogyny within the historical avant-gardes — https://doi.org/10.21825/documenta.81885</w:t>
      </w:r>
    </w:p>
    <w:p>
      <w:pPr/>
      <w:r>
        <w:rPr>
          <w:b/>
        </w:rPr>
        <w:t>Shared claim-specific concepts:</w:t>
      </w:r>
      <w:r>
        <w:t xml:space="preserve"> not, only, but, also; EU scope not established. This is a provisional connection, not an outcome finding.</w:t>
      </w:r>
    </w:p>
    <w:p>
      <w:pPr>
        <w:pStyle w:val="SourceNote"/>
      </w:pPr>
      <w:r>
        <w:rPr>
          <w:b/>
        </w:rPr>
        <w:t>Available abstract (not full text):</w:t>
      </w:r>
      <w:r>
        <w:t xml:space="preserve"> This article touches upon the problematic reception of the female pioneers of the historical avant-gardes - by contemporaries and art historians - more specifically within the movements of Futurism, Dadaism and Surrealism. What artistic strategies did avant-garde women apply to resist the omnipresent misogyny that was not only trivializing female creation but also sexualizing the female ‘other’? How is the gender binary embedded and challenged within their artistic practice? This article observes firstly, how a critical engagement with the rather masculine format of the manifesto empowered women in dealing with the stereotypical imagery of womanhood at the time. Second, the application of so-called “inferior” media (embroidery, design, dance) and materials (textile, wood, the body) tackled the patriarchal classification of the arts and the subordinate role of women in it. Finally, the live performance of genderplay allowed female artists to articulate the bankruptcy of traditional gender conventions responsible for the problematic reception of many female artists through art history.</w:t>
      </w:r>
    </w:p>
    <w:p>
      <w:pPr>
        <w:pStyle w:val="Heading2"/>
      </w:pPr>
      <w:r>
        <w:t>987. The future of direct payments system in the EU agriculture; European Commission scenarios</w:t>
      </w:r>
    </w:p>
    <w:p>
      <w:pPr>
        <w:pStyle w:val="SourceNote"/>
      </w:pPr>
      <w:r>
        <w:rPr>
          <w:b/>
        </w:rPr>
        <w:t>Original source (2012):</w:t>
      </w:r>
      <w:r>
        <w:t xml:space="preserve"> https://doi.org/10.22630/prs.2012.12.3.38</w:t>
      </w:r>
    </w:p>
    <w:p>
      <w:pPr/>
      <w:r>
        <w:t>Original wording (abstract; indexed_source_text_not_full_document_verified): Different scenarios of the current system adjustments, as proposed by the European Commission, are presented.</w:t>
      </w:r>
    </w:p>
    <w:p>
      <w:pPr/>
      <w:r>
        <w:rPr>
          <w:b/>
        </w:rPr>
        <w:t>POSSIBLE 2025:</w:t>
      </w:r>
      <w:r>
        <w:t xml:space="preserve"> Recommendations of the European Commission on the efficiency of justice and their impact on improving enforcement proceedings in Ukraine — https://doi.org/10.24144/2788-6018.2025.04.3.65</w:t>
      </w:r>
    </w:p>
    <w:p>
      <w:pPr/>
      <w:r>
        <w:rPr>
          <w:b/>
        </w:rPr>
        <w:t>Shared claim-specific concepts:</w:t>
      </w:r>
      <w:r>
        <w:t xml:space="preserve"> different, current, system, proposed, commission; EU scope visible. This is a provisional connection, not an outcome finding.</w:t>
      </w:r>
    </w:p>
    <w:p>
      <w:pPr>
        <w:pStyle w:val="SourceNote"/>
      </w:pPr>
      <w:r>
        <w:rPr>
          <w:b/>
        </w:rPr>
        <w:t>Available abstract (not full text):</w:t>
      </w:r>
      <w:r>
        <w:t xml:space="preserve"> This article reveals the role of the European Commission for the Efficiency of Justice (CEPEJ) in improving the state of enforcement of court decisions and other bodies in Ukraine. The activities of this Commission are aimed at reducing the burden on the European Court of Human Rights (hereinafter referred to as the ECHR) by improving the efficiency and quality of the judicial system in the member states. Since Ukraine is a member of the Council of Europe, it should take into account the CEPEJ Recommendations on improving the state of enforcement of court decisions, in particular, whenimproving the legislation on enforcement proceedings in Ukraine. The Guidelines for the implementation of the relevant Council of Europe recommendations on the enforcement of court decisions, developed by the CEPEJ, are analyzed. The need for such CEPEJ Recommendations is also due to the fact that Ukraine ranks third in the number of applications to the European Court of Human Rights, which indicates problems with the enforcement of decisions of national courts as well as decisions of the ECHR. It is proposed to develop a Program for the Implementation of the CEPEJ Guidelines into the legislation of Ukraine on enforcement proceedings and to take them into account in the draft amendments to the Law of Ukraine “On Enforcement Proceedings”. The following CEPEJ Guidelines have been analyzed: the princ</w:t>
      </w:r>
    </w:p>
    <w:p>
      <w:pPr/>
      <w:r>
        <w:rPr>
          <w:b/>
        </w:rPr>
        <w:t>POSSIBLE 2024:</w:t>
      </w:r>
      <w:r>
        <w:t xml:space="preserve"> Tax Challenges Arising from Digitalization: Evaluating the Taxation Models Proposed by the European Commission and the OECD — https://doi.org/10.31743/recl.17376</w:t>
      </w:r>
    </w:p>
    <w:p>
      <w:pPr/>
      <w:r>
        <w:rPr>
          <w:b/>
        </w:rPr>
        <w:t>Shared claim-specific concepts:</w:t>
      </w:r>
      <w:r>
        <w:t xml:space="preserve"> different, system, proposed, commission; EU scope visible. This is a provisional connection, not an outcome finding.</w:t>
      </w:r>
    </w:p>
    <w:p>
      <w:pPr>
        <w:pStyle w:val="SourceNote"/>
      </w:pPr>
      <w:r>
        <w:rPr>
          <w:b/>
        </w:rPr>
        <w:t>Available abstract (not full text):</w:t>
      </w:r>
      <w:r>
        <w:t xml:space="preserve"> The world has entered a period of deep transition with rapid and phenomenal development of innovations. The rise of the digital economy has dramatically changed the global business environment, creating new challenges for the tax system. Newspapers and magazines are being replaced by the Internet, and trade in material goods – by digital services. The digital economy eliminates the barriers of time, space and distance. The server where the transaction is processed, the location from which the goods or services are supplied and the place of supply of such goods or services are in different jurisdictions, therefore, the question “Where should the transaction be taxed?” is raised. Meanwhile, the digital economy opens up unprecedented opportunities to avoid taxes with the international tax rules which are still “stuck” in 20th-century business concepts, because the companies operating in the digital space do not need factories, stores or other permanent residences to develop their activities. This article aims to evaluate the efforts of the European Union and international standard-setting entities to find a solution for fair taxation of the digital economy. The first part of the article delves into the concept of the digital economy and its essential features with a special emphasis on the role of the digital service user which is unique and more complex than the role usually play</w:t>
      </w:r>
    </w:p>
    <w:p>
      <w:pPr/>
      <w:r>
        <w:rPr>
          <w:b/>
        </w:rPr>
        <w:t>POSSIBLE 2024:</w:t>
      </w:r>
      <w:r>
        <w:t xml:space="preserve"> Novelties Proposed by the European Commission on Victims’ Rights Protection and its Relevance for Serbian Authorities — https://doi.org/10.47152/palic2024.2</w:t>
      </w:r>
    </w:p>
    <w:p>
      <w:pPr/>
      <w:r>
        <w:rPr>
          <w:b/>
        </w:rPr>
        <w:t>Shared claim-specific concepts:</w:t>
      </w:r>
      <w:r>
        <w:t xml:space="preserve"> system, proposed, commission; EU scope visible. This is a provisional connection, not an outcome finding.</w:t>
      </w:r>
    </w:p>
    <w:p>
      <w:pPr>
        <w:pStyle w:val="SourceNote"/>
      </w:pPr>
      <w:r>
        <w:rPr>
          <w:b/>
        </w:rPr>
        <w:t>Available abstract (not full text):</w:t>
      </w:r>
      <w:r>
        <w:t xml:space="preserve"> An estimated 75 million people in the European Union fall victim to crime every year reflects the significant impact of criminal activities on considerable portion of the population. Crime victims may experience a range of physical, emotional, and financial consequences, underscoring the importance of effective legal frameworks, support services, and policies to address their needs. The protection of victims’ rights is a crucial aspect of the criminal justice system in the EU. The EU has taken steps to enhance the right and protection of victims through initiatives such as the Victims’ Rights Directive and the EU Strategy on Victims’ Rights. The Victims’ Rights Directive, adopted in 2012, establishes minimum standards for the rights, support, and protection of victims of crime across the EU. The Directive aims to ensure that victims are recognized, treated with respect, and have access to information, support services, and fair treatment throughout the criminal justice process. In June 2022, the European Commission conducted and evaluation of the Victims’ Rights Directive as part of its commitment outlined in the EU Strategy on Victims’ Rights 2020-2025. The Strategy focuses on enhancing victims’ rights, ensuring their effective implementation, and addressing emerging challenges in this area. Following the evaluation, on July 12, 2023, the European Commission proposed amendment</w:t>
      </w:r>
    </w:p>
    <w:p>
      <w:pPr/>
      <w:r>
        <w:rPr>
          <w:b/>
        </w:rPr>
        <w:t>POSSIBLE 2022:</w:t>
      </w:r>
      <w:r>
        <w:t xml:space="preserve"> Judicial coherence in the current European patent system — https://doi.org/10.4337/9781800880078.00009</w:t>
      </w:r>
    </w:p>
    <w:p>
      <w:pPr/>
      <w:r>
        <w:rPr>
          <w:b/>
        </w:rPr>
        <w:t>Shared claim-specific concepts:</w:t>
      </w:r>
      <w:r>
        <w:t xml:space="preserve"> different, current, system; EU scope visible. This is a provisional connection, not an outcome finding.</w:t>
      </w:r>
    </w:p>
    <w:p>
      <w:pPr>
        <w:pStyle w:val="SourceNote"/>
      </w:pPr>
      <w:r>
        <w:rPr>
          <w:b/>
        </w:rPr>
        <w:t>Available abstract (not full text):</w:t>
      </w:r>
      <w:r>
        <w:t xml:space="preserve"> Chapter 3 analyses the status of judicial coherence in the current European patent system through the lens of the conceptual framework. The first part of the chapter describes the structure of the European patent system with its diversified set of actors at the legislative, executive and judicial levels that are part of the European Union (EU) and European Patent Organisation (EPOrg) pillars. Moreover, the first part of Chapter 3 illustrates how harmonisation through international and EU legislation in the patent field has ultimately fostered a coherent interpretation of the law. In the second part of the chapter, the main actors of the patent system are described and some examples on different combinations of specialisation and centralisation in European national courts are shown. Then the main challenges to coherence are described by exploring relevant case law.</w:t>
      </w:r>
    </w:p>
    <w:p>
      <w:pPr/>
      <w:r>
        <w:rPr>
          <w:b/>
        </w:rPr>
        <w:t>POSSIBLE 2022:</w:t>
      </w:r>
      <w:r>
        <w:t xml:space="preserve"> Disinformation regarding COVID-19 in light of the priorities of the European Commission and the legal regulations binding and currently drafted in Poland — https://doi.org/10.31743/recl.13539</w:t>
      </w:r>
    </w:p>
    <w:p>
      <w:pPr/>
      <w:r>
        <w:rPr>
          <w:b/>
        </w:rPr>
        <w:t>Shared claim-specific concepts:</w:t>
      </w:r>
      <w:r>
        <w:t xml:space="preserve"> different, proposed, commission; EU scope visible. This is a provisional connection, not an outcome finding.</w:t>
      </w:r>
    </w:p>
    <w:p>
      <w:pPr>
        <w:pStyle w:val="SourceNote"/>
      </w:pPr>
      <w:r>
        <w:rPr>
          <w:b/>
        </w:rPr>
        <w:t>Available abstract (not full text):</w:t>
      </w:r>
      <w:r>
        <w:t xml:space="preserve"> Disinformation regarding the COVID-19 pandemic is a global phenomenon. It constitutes a threat to the values protected under the law, health in particular. The primary issue tackled in “Disinformation regarding COVID-19 in the light of priorities of the European Commission and the legal regulations binding and currently drafted in Poland” paper is an attempt at answering the following question: Is eliminating COVID-19 disinformation from public space possible in light of the priorities of the European Commission and the legal regulations already effective and currently being drafted in Poland? The analyses conducted under the paper lead to the conclusions that the provisions currently regulating freedom of expression theoretically constitute a basis for eliminating disinformation from public space but are, in practice, not very effective. This leads to the need for searching for other, more effective legal instruments in this field, both on the level of European Union law making and domestic legislation. Although we may speak of a consensus concerning assessment of the very phenomenon of disinformation the legislative and practical actions taken, both on the domestic level and the European Union level, enable us to indicate substantial and frequently disturbing differences regarding shifting the aspects emphasized by legislation. As compared to the proposed solutions drafted by</w:t>
      </w:r>
    </w:p>
    <w:p>
      <w:pPr/>
      <w:r>
        <w:rPr>
          <w:b/>
        </w:rPr>
        <w:t>POSSIBLE 2022:</w:t>
      </w:r>
      <w:r>
        <w:t xml:space="preserve"> Evaluation of the Proposed European Commission Directive on Critical Entities Resilience and Its Potential to Consolidate the Resilience Terminology — https://doi.org/10.3850/978-981-18-5183-4_s21-02-213</w:t>
      </w:r>
    </w:p>
    <w:p>
      <w:pPr/>
      <w:r>
        <w:rPr>
          <w:b/>
        </w:rPr>
        <w:t>Shared claim-specific concepts:</w:t>
      </w:r>
      <w:r>
        <w:t xml:space="preserve"> different, current, proposed, commission; EU scope visible. This is a provisional connection, not an outcome finding.</w:t>
      </w:r>
    </w:p>
    <w:p>
      <w:pPr>
        <w:pStyle w:val="SourceNote"/>
      </w:pPr>
      <w:r>
        <w:rPr>
          <w:b/>
        </w:rPr>
        <w:t>Available abstract (not full text):</w:t>
      </w:r>
      <w:r>
        <w:t xml:space="preserve"> The European Commission (EC) has proposed a new directive on critical entities resilience.The aim is to enhance the protection and to unify the approaches in different member states.The stated novelty of this directive lies in the thought that protecting the infrastructure is not sufficient.Therefore, it is necessary to reinforce the resilience of the critical infrastructure operators.This paper gives a brief overview on past legislative developments in critical infrastructure protection and attempts to evaluate the impact of the new EC proposal.We base the estimate on impact analyses past legislation.There are two key findings.EC legislation leaves the implementation to the member states, which gives them a certain freedom to interpret the text of EC directives.This has led to heterogeneous adaptation of the legislation within member states.This kind of heterogeneous impact will likely be also the result of the current proposal.Secondly, EC directives have had mandates for cooperation between member states.These have resulted in member states developing common vocabularies in the focus areas of directives.In the resilience engineering field, this may have a significant consolidating effect, as technological resilience is still a new concept associated with some ambiguity around its definition.Our paper discusses this matter and provides evidence that existing legislation had a</w:t>
      </w:r>
    </w:p>
    <w:p>
      <w:pPr/>
      <w:r>
        <w:rPr>
          <w:b/>
        </w:rPr>
        <w:t>POSSIBLE 2022:</w:t>
      </w:r>
      <w:r>
        <w:t xml:space="preserve"> Evaluation of the Proposed European Commission Directive on Critical Entities Resilience and Its Potential to Consolidate the Resilience Terminology — https://doi.org/10.3850/978-981-18-5183-4_s21-02-213-cd</w:t>
      </w:r>
    </w:p>
    <w:p>
      <w:pPr/>
      <w:r>
        <w:rPr>
          <w:b/>
        </w:rPr>
        <w:t>Shared claim-specific concepts:</w:t>
      </w:r>
      <w:r>
        <w:t xml:space="preserve"> different, current, proposed, commission; EU scope visible. This is a provisional connection, not an outcome finding.</w:t>
      </w:r>
    </w:p>
    <w:p>
      <w:pPr>
        <w:pStyle w:val="SourceNote"/>
      </w:pPr>
      <w:r>
        <w:rPr>
          <w:b/>
        </w:rPr>
        <w:t>Available abstract (not full text):</w:t>
      </w:r>
      <w:r>
        <w:t xml:space="preserve"> The European Commission (EC) has proposed a new directive on critical entities resilience. The aim is to enhance the protection and to unify the approaches in different member states. The stated novelty of this directive lies in the thought that protecting the infrastructure is not sufficient. Therefore, it is necessary to reinforce the resilience of the critical infrastructure operators. This paper gives a brief overview on past legislative developments in critical infrastructure protection and attempts to evaluate the impact of the new EC proposal. We base the estimate on impact analyses past legislation. There are two key findings. EC legislation leaves the implementation to the member states, which gives them a certain freedom to interpret the text of EC directives. This has led to heterogeneous adaptation of the legislation within member states. This kind of heterogeneous impact will likely be also the result of the current proposal. Secondly, EC directives have had mandates for cooperation between member states. These have resulted in member states developing common vocabularies in the focus areas of directives. In the resilience engineering field, this may have a significant consolidating effect, as technological resilience is still a new concept associated with some ambiguity around its definition. Our paper discusses this matter and provides evidence that existing legi</w:t>
      </w:r>
    </w:p>
    <w:p>
      <w:pPr/>
      <w:r>
        <w:rPr>
          <w:b/>
        </w:rPr>
        <w:t>POSSIBLE 2022:</w:t>
      </w:r>
      <w:r>
        <w:t xml:space="preserve"> Assigning Obligations in AI Regulation: A Discussion of Two Frameworks Proposed By the European Commission — https://doi.org/10.1007/s44206-022-00009-z</w:t>
      </w:r>
    </w:p>
    <w:p>
      <w:pPr/>
      <w:r>
        <w:rPr>
          <w:b/>
        </w:rPr>
        <w:t>Shared claim-specific concepts:</w:t>
      </w:r>
      <w:r>
        <w:t xml:space="preserve"> different, system, proposed, commission; EU scope visible. This is a provisional connection, not an outcome finding.</w:t>
      </w:r>
    </w:p>
    <w:p>
      <w:pPr>
        <w:pStyle w:val="SourceNote"/>
      </w:pPr>
      <w:r>
        <w:rPr>
          <w:b/>
        </w:rPr>
        <w:t>Available abstract (not full text):</w:t>
      </w:r>
      <w:r>
        <w:t xml:space="preserve"> Abstract The emergence and increasing prevalence of Artificial Intelligence (AI) systems in a growing number of application areas brings about opportunities but also risks for individuals and society as a whole. To minimize the risks associated with AI systems and to mitigate potential harm caused by them, recent policy papers and regulatory proposals discuss obliging developers, deployers, and operators of these systems to avoid certain types of use and features in their design. However, most AI systems are complex socio-technical systems in which control over the system is extensively distributed. In many cases, a multitude of different actors is involved in the purpose setting, data management and data preparation, model development, as well as deployment, use, and refinement of such systems. Therefore, determining sensible addressees for the respective obligations is all but trivial. This article discusses two frameworks for assigning obligations that have been proposed in the European Commission’s whitepaper On Artificial Intelligence—A European approach to excellence and trust and the proposal for the Artificial Intelligence Act respectively. The focus is on whether the frameworks adequately account for the complex constellations of actors that are present in many AI systems and how the various tasks in the process of developing, deploying, and using AI systems, in which </w:t>
      </w:r>
    </w:p>
    <w:p>
      <w:pPr/>
      <w:r>
        <w:rPr>
          <w:b/>
        </w:rPr>
        <w:t>POSSIBLE 2022:</w:t>
      </w:r>
      <w:r>
        <w:t xml:space="preserve"> The European Commission and minority rights — https://doi.org/10.4337/9781800375932.00016</w:t>
      </w:r>
    </w:p>
    <w:p>
      <w:pPr/>
      <w:r>
        <w:rPr>
          <w:b/>
        </w:rPr>
        <w:t>Shared claim-specific concepts:</w:t>
      </w:r>
      <w:r>
        <w:t xml:space="preserve"> current, commission, presented; EU scope visible. This is a provisional connection, not an outcome finding.</w:t>
      </w:r>
    </w:p>
    <w:p>
      <w:pPr>
        <w:pStyle w:val="SourceNote"/>
      </w:pPr>
      <w:r>
        <w:rPr>
          <w:b/>
        </w:rPr>
        <w:t>Available abstract (not full text):</w:t>
      </w:r>
      <w:r>
        <w:t xml:space="preserve"> With its extensive powers, the Commission could interpret 'expansively' the numerous legal references relating to minorities in EU Law and develop the EU's engagement with minority rights. The Commission could do this by (i) focusing on the full spectrum of minority rights where permitted, (ii) engaging in minority rights as broadly as legal powers allow and (iii) applying these consistently across case studies and states. This chapter argues that the Commission's current performance is not of adequate quality and quantity, when compared to the possibilities presented by the legal powers. This is particularly problematic since minority rights is a declared value of the EU in primary law. This unsatisfactory performance on the part of the Commission lends support to those who have long called into question the status of the EU as an organisation credibly founded upon the values of human rights and minority protection.</w:t>
      </w:r>
    </w:p>
    <w:p>
      <w:pPr/>
      <w:r>
        <w:rPr>
          <w:b/>
        </w:rPr>
        <w:t>POSSIBLE 2021:</w:t>
      </w:r>
      <w:r>
        <w:t xml:space="preserve"> The EASL–Lancet Liver Commission: protecting the next generation of Europeans against liver disease complications and premature mortality — https://doi.org/10.1016/s0140-6736(21)01701-3</w:t>
      </w:r>
    </w:p>
    <w:p>
      <w:pPr/>
      <w:r>
        <w:rPr>
          <w:b/>
        </w:rPr>
        <w:t>Shared claim-specific concepts:</w:t>
      </w:r>
      <w:r>
        <w:t xml:space="preserve"> current, proposed, commission; EU scope visible. This is a provisional connection, not an outcome finding.</w:t>
      </w:r>
    </w:p>
    <w:p>
      <w:pPr>
        <w:pStyle w:val="SourceNote"/>
      </w:pPr>
      <w:r>
        <w:rPr>
          <w:b/>
        </w:rPr>
        <w:t>Available abstract (not full text):</w:t>
      </w:r>
      <w:r>
        <w:t xml:space="preserve"> Liver diseases have become a major health threat across Europe, and the face of European hepatology is changing due to the cure of viral hepatitis C and the control of chronic viral hepatitis B, the increasingly widespread unhealthy use of alcohol, the epidemic of obesity, and undiagnosed or untreated liver disease in migrant populations.Consequently, Europe is facing a looming syndemic, in which socioeconomic and health inequities combine to adversely affect liver disease prevalence, outcomes, and opportunities to receive care.In addition, the COVID-19 pandemic has magnified pre-existing challenges to uniform implementation of policies and equity of access to care in Europe, arising from national borders and the cultural and historical heterogeneity of European societies.In following up on work from the Lancet Commission on liver disease in the UK and epidemiological studies led by the European Association for the Study of the Liver (EASL), our multidisciplinary Commission, comprising a wide range of public health, medical, and nursing specialty groups, along with patient representatives, set out to provide a snapshot of the European landscape on liver diseases and to propose a framework for the principal actions required to improve liver health in Europe.We believe that a joint European process of thinking, and construction of uniform policies and action, implementation, and </w:t>
      </w:r>
    </w:p>
    <w:p>
      <w:pPr/>
      <w:r>
        <w:rPr>
          <w:b/>
        </w:rPr>
        <w:t>POSSIBLE 2019:</w:t>
      </w:r>
      <w:r>
        <w:t xml:space="preserve"> The ‘political’ roles of the European Commission — https://doi.org/10.1080/07036337.2019.1572135</w:t>
      </w:r>
    </w:p>
    <w:p>
      <w:pPr/>
      <w:r>
        <w:rPr>
          <w:b/>
        </w:rPr>
        <w:t>Shared claim-specific concepts:</w:t>
      </w:r>
      <w:r>
        <w:t xml:space="preserve"> different, current, system, commission; EU scope visible. This is a provisional connection, not an outcome finding.</w:t>
      </w:r>
    </w:p>
    <w:p>
      <w:pPr>
        <w:pStyle w:val="SourceNote"/>
      </w:pPr>
      <w:r>
        <w:rPr>
          <w:b/>
        </w:rPr>
        <w:t>Available abstract (not full text):</w:t>
      </w:r>
      <w:r>
        <w:t xml:space="preserve"> The extent to which the European Commission exercises ‘political’ roles in European integration is very much up for debate. Some recent analyses of the Commission take it for granted that its political roles have been in decline, while others have suggested they have increased – especially under the current President of the Commission, Jean-Claude Juncker, who was appointed in 2014 by a much more politicised process than had been used previously and whose College has sought to present itself as being guided by a political mission and as offering political leadership to the EU. In this article, we aim to show that in the debate about the political roles of the Commission, ‘political’ has often been poorly defined and operationalised. By drawing on Public Administration scholarship, we offer a framework for analysing how and where in the EU system the Commission’s political roles might become manifest. We then assess empirically these roles in different functions the Commission undertakes.</w:t>
      </w:r>
    </w:p>
    <w:p>
      <w:pPr/>
      <w:r>
        <w:rPr>
          <w:b/>
        </w:rPr>
        <w:t>POSSIBLE 2019:</w:t>
      </w:r>
      <w:r>
        <w:t xml:space="preserve"> 5th generation district heating and cooling systems: A review of existing cases in Europe — https://doi.org/10.1016/j.rser.2018.12.059</w:t>
      </w:r>
    </w:p>
    <w:p>
      <w:pPr/>
      <w:r>
        <w:rPr>
          <w:b/>
        </w:rPr>
        <w:t>Shared claim-specific concepts:</w:t>
      </w:r>
      <w:r>
        <w:t xml:space="preserve"> different, current, presented; EU scope visible. This is a provisional connection, not an outcome finding.</w:t>
      </w:r>
    </w:p>
    <w:p>
      <w:pPr>
        <w:pStyle w:val="SourceNote"/>
      </w:pPr>
      <w:r>
        <w:rPr>
          <w:b/>
        </w:rPr>
        <w:t>Available abstract (not full text):</w:t>
      </w:r>
      <w:r>
        <w:t xml:space="preserve"> This article investigates 40 thermal networks in operation in Europe that are able to cover both the heating and cooling demands of buildings by means of distributed heat pumps installed at the customer substations. The technology of thermal networks that work at a temperature close to the ground, can strongly contribute to the decarbonisation of the heating and cooling sector and furthermore exploit a multitude of low temperature heat sources. Nevertheless, the nomenclature used in literature shows that misinterpretations could easily result when comparing the different concepts of thermal networks that operate at a temperature level lower than traditional district heating. The scope of this work is to revise the definitions encountered and to introduce an unambiguous definition of Fifth-Generation District Heating and Cooling networks. A drawback-benefit analysis is presented to identify the pros and cons of such technology. The survey on the current networks shows that on average three Fifth-Generation District Heating and Cooling systems per year have entered the heating and cooling market in the last decade. Pioneer countries in such technology are Germany and Switzerland. For some networks, the assessed Linear Heating Power Demand Density results are lower than the feasibility threshold adopted in traditional district heating. High performances and low non-renewable prima</w:t>
      </w:r>
    </w:p>
    <w:p>
      <w:pPr>
        <w:pStyle w:val="Heading2"/>
      </w:pPr>
      <w:r>
        <w:t>988. The use of probabilistic weather generator information for climate change adaptation in the UK water sector</w:t>
      </w:r>
    </w:p>
    <w:p>
      <w:pPr>
        <w:pStyle w:val="SourceNote"/>
      </w:pPr>
      <w:r>
        <w:rPr>
          <w:b/>
        </w:rPr>
        <w:t>Original source (2012):</w:t>
      </w:r>
      <w:r>
        <w:t xml:space="preserve"> https://doi.org/10.1002/met.1335</w:t>
      </w:r>
    </w:p>
    <w:p>
      <w:pPr/>
      <w:r>
        <w:t>Original wording (abstract; indexed_source_text_not_full_document_verified): With regards to the second assumption, it is suggested that modelling activity should identify the range of plausible futures to develop probabilities of risk, using those robust decision-making techniques which can gauge the performance of potential adaptation strategies.</w:t>
      </w:r>
    </w:p>
    <w:p>
      <w:pPr/>
      <w:r>
        <w:rPr>
          <w:b/>
        </w:rPr>
        <w:t>POSSIBLE 2025:</w:t>
      </w:r>
      <w:r>
        <w:t xml:space="preserve"> Response to Comment on “Soluble Receptor for Advanced Glycation End Products and Incident Hypertension in REGARDS” — https://doi.org/10.1093/ajh/hpaf229</w:t>
      </w:r>
    </w:p>
    <w:p>
      <w:pPr/>
      <w:r>
        <w:rPr>
          <w:b/>
        </w:rPr>
        <w:t>Shared claim-specific concepts:</w:t>
      </w:r>
      <w:r>
        <w:t xml:space="preserve"> regards, second, activity, potential; EU scope not established. This is a provisional connection, not an outcome finding.</w:t>
      </w:r>
    </w:p>
    <w:p>
      <w:pPr>
        <w:pStyle w:val="SourceNote"/>
      </w:pPr>
      <w:r>
        <w:rPr>
          <w:b/>
        </w:rPr>
        <w:t>Available abstract (not full text):</w:t>
      </w:r>
      <w:r>
        <w:t xml:space="preserve"> We thank Dr Shen and colleagues for their thoughtful comments on our recent article, “Soluble Receptor for Advanced Glycation End Products (sRAGE) and Incident Hypertension in REGARDS.”1 They raise 3 key concerns: (1) the treatment of missing dietary data and the role of diet as a potential confounder, (2) kidney function and its impact on sRAGE levels, and (3) statin use and its potential influence on sRAGE levels. Regarding missing dietary data, we used the Life’s Simple 7 dietary metric to quantify the quality of diet in the population as poor (0-1 healthy dietary components), intermediate (2-3 components), or ideal (4-5 components). Nationally, diet quality in the United States was previously estimated to be 76% for poor, 24% for intermediate, at &lt;0.5% for ideal.2 In REGARDS, the distribution among participants with available dietary is similar to national data (80.24%, 19.71%, and 0.05% for poor, intermediate, and ideal, respectively). Dietary data are considered missing not at random in REGARDS given differential completion of the Food Frequency Questionnaire based on sociodemographics. Therefore, conventional non-deterministic imputation methodologies (eg, multiple imputation) cannot be used.3 To assess whether assigning a “poor” score to missing diets over adjusted results, we performed two sensitivity analyses, which are shown in Table 1. The first assigned missing die</w:t>
      </w:r>
    </w:p>
    <w:p>
      <w:pPr/>
      <w:r>
        <w:rPr>
          <w:b/>
        </w:rPr>
        <w:t>POSSIBLE 2025:</w:t>
      </w:r>
      <w:r>
        <w:t xml:space="preserve"> Synthesizing activity locations in the context of integrated activity-based models — https://doi.org/10.5198/jtlu.2025.2291</w:t>
      </w:r>
    </w:p>
    <w:p>
      <w:pPr/>
      <w:r>
        <w:rPr>
          <w:b/>
        </w:rPr>
        <w:t>Shared claim-specific concepts:</w:t>
      </w:r>
      <w:r>
        <w:t xml:space="preserve"> activity, probabilities, techniques; EU scope not established. This is a provisional connection, not an outcome finding.</w:t>
      </w:r>
    </w:p>
    <w:p>
      <w:pPr>
        <w:pStyle w:val="SourceNote"/>
      </w:pPr>
      <w:r>
        <w:rPr>
          <w:b/>
        </w:rPr>
        <w:t>Available abstract (not full text):</w:t>
      </w:r>
      <w:r>
        <w:t xml:space="preserve"> Activity-based models are a powerful tool for transportation analysis and represent the future of the industry in terms of modeling techniques. However, the data-hungry aspect of these models makes them difficult and slow to build. This paper presents a set of methodologies to synthesize activity locations for U.S. cities, providing estimates of locations by land-use type in areas with limited available data. The methodology includes a regression method to estimate the number of locations by land-use type complemented by selective use of open data. Detailed information from the entire Southern California Association of Governments (SCAG) area, comprising more than 100,000 km2, is used to calibrate the model. A zero-inflated negative binomial (ZINB) regression is proposed to tackle the excess of zeros in the dataset. The model is estimated using a Bayesian approach that quantifies the coefficients’ variability, uses information regarding prior beliefs, and estimates zero-inflated probabilities by zone. The main results suggest that the proposed methodological framework can be used to estimate locations in a fast and efficient way without the need for detailed land-use information. Transportation planners and policymakers can use the results and methods provided in this research to approximate activity location distributions in activity-based models.</w:t>
      </w:r>
    </w:p>
    <w:p>
      <w:pPr/>
      <w:r>
        <w:rPr>
          <w:b/>
        </w:rPr>
        <w:t>POSSIBLE 2024:</w:t>
      </w:r>
      <w:r>
        <w:t xml:space="preserve"> Interpretation of Second Law of Thermodynamics in Extended Procedures for the Exploitation of the Entropy Inequality: Korteweg Fluids and Strain-Gradient Elasticity as Examples — https://doi.org/10.3390/e26040293</w:t>
      </w:r>
    </w:p>
    <w:p>
      <w:pPr/>
      <w:r>
        <w:rPr>
          <w:b/>
        </w:rPr>
        <w:t>Shared claim-specific concepts:</w:t>
      </w:r>
      <w:r>
        <w:t xml:space="preserve"> regards, second, assumption; EU scope not established. This is a provisional connection, not an outcome finding.</w:t>
      </w:r>
    </w:p>
    <w:p>
      <w:pPr>
        <w:pStyle w:val="SourceNote"/>
      </w:pPr>
      <w:r>
        <w:rPr>
          <w:b/>
        </w:rPr>
        <w:t>Available abstract (not full text):</w:t>
      </w:r>
      <w:r>
        <w:t xml:space="preserve"> In continuum physics the dissipation principle, first proposed by Coleman and Noll in 1963, regards second law of thermodynamics as a unilateral differential constraint on the constitutive equations. In 1996, Muschik and Ehrentraut provided a rigorous proof of such an approach under the assumption that, at an arbitrary instant, t0, in an arbitrary point, P0, of a continuous system, the entropy production is zero if, and only if, P0 is in thermodynamic equilibrium. In 2022, Cimmelli and Rogolino incorporated such an assumption in a more general formulation of the second law of thermodynamics. In this paper, we prove that the same conclusions hold if both the fundamental balance laws and their gradients are substituted into the entropy inequality. Such a methodology is applied to analyze the strain-gradient elasticity.</w:t>
      </w:r>
    </w:p>
    <w:p>
      <w:pPr/>
      <w:r>
        <w:rPr>
          <w:b/>
        </w:rPr>
        <w:t>POSSIBLE 2024:</w:t>
      </w:r>
      <w:r>
        <w:t xml:space="preserve"> Endothelial Dysfunction Biomarkers and CKD Incidence in the REGARDS Cohort — https://doi.org/10.1016/j.ekir.2024.04.056</w:t>
      </w:r>
    </w:p>
    <w:p>
      <w:pPr/>
      <w:r>
        <w:rPr>
          <w:b/>
        </w:rPr>
        <w:t>Shared claim-specific concepts:</w:t>
      </w:r>
      <w:r>
        <w:t xml:space="preserve"> regards, second; EU scope not established. This is a provisional connection, not an outcome finding.</w:t>
      </w:r>
    </w:p>
    <w:p>
      <w:pPr>
        <w:pStyle w:val="SourceNote"/>
      </w:pPr>
      <w:r>
        <w:rPr>
          <w:b/>
        </w:rPr>
        <w:t>Available abstract (not full text):</w:t>
      </w:r>
      <w:r>
        <w:t xml:space="preserve"> Introduction Chronic kidney disease (CKD) is only partly caused by traditional risk factors. Endothelial dysfunction is common in CKD and may contribute to CKD incidence. We studied the association of circulating biomarkers reflecting endothelial dysfunction with incident CKD. Methods REGARDS is a prospective cohort of 30,239 Black or White adults aged ≥45 years. Baseline levels of ICAM-1, VCAM-1, factor VIII, and E-selectin were measured in 3,300 participants without baseline CKD or albuminuria who attended a second visit 9.4 years later. Kidney outcomes were incident CKD (eGFR &lt;60 mL/min/1.73m 2 and ≥40% decline or onset of new end stage kidney disease), incident ≥30% eGFR decline, and incident albuminuria (albumin-to-creatinine ratio (ACR) ≥30 mg/g). Sequentially adjusted logistic regression models assessed the association of biomarkers with kidney outcomes. Results Median age of participants was 62, 49% were women, and 46% identified as Black. 228 (6.9%) developed CKD, 613 (18.9%) experienced ≥30% decline in eGFR, and 356 (11.4%) developed albuminuria. The adjusted odds ratios for incident CKD per 1 standard deviation increment biomarker was 1.12 for ICAM-1 (95% CI 1.02-1.22), 1.10 for VCAM-1 (95% CI 1.01-1.20), 1.15 for factor VIII (95% CI 1.06-1.24), and 1.10 for E-selectin (95% CI 1.01-1.20). Results were similar for incident ≥30% eGFR decline but not albuminuria, where </w:t>
      </w:r>
    </w:p>
    <w:p>
      <w:pPr/>
      <w:r>
        <w:rPr>
          <w:b/>
        </w:rPr>
        <w:t>POSSIBLE 2024:</w:t>
      </w:r>
      <w:r>
        <w:t xml:space="preserve"> A Critical View on the Quantification of Model Catalyst Activity — https://doi.org/10.1007/s11244-024-01920-0</w:t>
      </w:r>
    </w:p>
    <w:p>
      <w:pPr/>
      <w:r>
        <w:rPr>
          <w:b/>
        </w:rPr>
        <w:t>Shared claim-specific concepts:</w:t>
      </w:r>
      <w:r>
        <w:t xml:space="preserve"> activity, identify, range; EU scope not established. This is a provisional connection, not an outcome finding.</w:t>
      </w:r>
    </w:p>
    <w:p>
      <w:pPr>
        <w:pStyle w:val="SourceNote"/>
      </w:pPr>
      <w:r>
        <w:rPr>
          <w:b/>
        </w:rPr>
        <w:t>Available abstract (not full text):</w:t>
      </w:r>
      <w:r>
        <w:t xml:space="preserve"> Abstract The conversion of reactants, reaction rate referred to catalyst mass, and turnover frequency (TOF) are values typically employed to compare the activity of different catalysts. However, experimental parameters have to be chosen carefully when systems of different complexity are compared. In order to characterize UHV-based model systems, we use a highly sensitive sniffer setup which allows us to investigate the catalytic activity by combining three different measurement modes: temperature-programmed desorption, continuous flow, and pulsed-reactivity experiments. In this article, we explore the caveats of quantifying catalytic activity in UHV on the well-studied and highly defined reference system of CO oxidation on Pt(111), which we later compare to the same reaction on Pt19 clusters deposited on Fe3O4(001). We demonstrate that we can apply fast heating ramps for TOF quantification, thus inducing as little sintering as possible in the metastable clusters. By changing the reactant ratio, we find transient reactivity effects that influence the TOF, which should be kept in mind when comparing catalysts. In addition, the TOF also depends on the surface coverage that itself is a function of temperature and pressure. At a constant reactant ratio, in the absence of transient effects, however, the TOF scales linearly with total pressure over the entire measured temperature rang</w:t>
      </w:r>
    </w:p>
    <w:p>
      <w:pPr/>
      <w:r>
        <w:rPr>
          <w:b/>
        </w:rPr>
        <w:t>POSSIBLE 2022:</w:t>
      </w:r>
      <w:r>
        <w:t xml:space="preserve"> The Role of the Second Law of Thermodynamics in Continuum Physics: A Muschik and Ehrentraut Theorem Revisited — https://doi.org/10.3390/sym14040763</w:t>
      </w:r>
    </w:p>
    <w:p>
      <w:pPr/>
      <w:r>
        <w:rPr>
          <w:b/>
        </w:rPr>
        <w:t>Shared claim-specific concepts:</w:t>
      </w:r>
      <w:r>
        <w:t xml:space="preserve"> regards, second, assumption, those; EU scope not established. This is a provisional connection, not an outcome finding.</w:t>
      </w:r>
    </w:p>
    <w:p>
      <w:pPr>
        <w:pStyle w:val="SourceNote"/>
      </w:pPr>
      <w:r>
        <w:rPr>
          <w:b/>
        </w:rPr>
        <w:t>Available abstract (not full text):</w:t>
      </w:r>
      <w:r>
        <w:t xml:space="preserve"> In continuum physics, constitutive equations model the material properties of physical systems. In those equations, material symmetry is taken into account by applying suitable representation theorems for symmetric and/or isotropic functions. Such mathematical representations must be in accordance with the second law of thermodynamics, which imposes that, in any thermodynamic process, the entropy production must be nonnegative. This requirement is fulfilled by assigning the constitutive equations in a form that guaranties that second law of thermodynamics is satisfied along arbitrary processes. Such an approach, in practice regards the second law of thermodynamics as a restriction on the constitutive equations, which must guarantee that any solution of the balance laws also satisfy the entropy inequality. This is a useful operative assumption, but not a consequence of general physical laws. Indeed, a different point of view, which regards the second law of thermodynamics as a restriction on the thermodynamic processes, i.e., on the solutions of the system of balance laws, is possible. This is tantamount to assuming that there are solutions of the balance laws that satisfy the entropy inequality, and solutions that do not satisfy it. In order to decide what is the correct approach, Muschik and Ehrentraut in 1996, postulated an amendment to the second law, which makes explicit th</w:t>
      </w:r>
    </w:p>
    <w:p>
      <w:pPr/>
      <w:r>
        <w:rPr>
          <w:b/>
        </w:rPr>
        <w:t>POSSIBLE 2022:</w:t>
      </w:r>
      <w:r>
        <w:t xml:space="preserve"> The Role of Second Law of Thermodynamics in Continuum Physics: A Muschik and Ehrentraut Theorem Revisited — https://doi.org/10.48550/arxiv.2202.01162</w:t>
      </w:r>
    </w:p>
    <w:p>
      <w:pPr/>
      <w:r>
        <w:rPr>
          <w:b/>
        </w:rPr>
        <w:t>Shared claim-specific concepts:</w:t>
      </w:r>
      <w:r>
        <w:t xml:space="preserve"> regards, second, assumption; EU scope not established. This is a provisional connection, not an outcome finding.</w:t>
      </w:r>
    </w:p>
    <w:p>
      <w:pPr>
        <w:pStyle w:val="SourceNote"/>
      </w:pPr>
      <w:r>
        <w:rPr>
          <w:b/>
        </w:rPr>
        <w:t>Available abstract (not full text):</w:t>
      </w:r>
      <w:r>
        <w:t xml:space="preserve"> Second law of thermodynamics imposes that in any thermodynamic process the entropy production must be nonnegative. In continuum physics such a requirement is fulfilled by postulating the constitutive equations which represent the material properties of the bodies in such a way that second law of thermodynamics is satisfied in arbitrary processes. Such an approach, first assumed in some pioneering papers by Coleman and Noll \cite{ColNol} and Coleman and Mizel \cite{ColMiz}, in practice regards second law of thermodynamics as a restriction on the constitutive equations, which must guarantee that any solution of the balance laws satisfies also the entropy inequality. As observed by Muschik and Ehrentraut \cite{MusEhr}, this is a useful operative assumption, but not a consequence of general physical laws. Indeed, a different point of view, which regards second law of thermodynamics as a restriction on the thermodynamic processes, i.e., on the solutions of the system of balance laws, is possible. This is tantamount to assume that there are solutions of the balance laws which satisfy the entropy inequality, and solutions which do not satisfy it. In order to decide what is the correct approach, Muschik and Erhentraut postulated an amendment to the second law, which makes explicit the evident but rather hidden assumption that in any point of the body the entropy production is zero if, </w:t>
      </w:r>
    </w:p>
    <w:p>
      <w:pPr/>
      <w:r>
        <w:rPr>
          <w:b/>
        </w:rPr>
        <w:t>POSSIBLE 2022:</w:t>
      </w:r>
      <w:r>
        <w:t xml:space="preserve"> A review of quantitative structure-activity relationship modelling approaches to predict the toxicity of mixtures — https://doi.org/10.1016/j.comtox.2022.100251</w:t>
      </w:r>
    </w:p>
    <w:p>
      <w:pPr/>
      <w:r>
        <w:rPr>
          <w:b/>
        </w:rPr>
        <w:t>Shared claim-specific concepts:</w:t>
      </w:r>
      <w:r>
        <w:t xml:space="preserve"> regards, modelling, techniques, potential; EU scope not established. This is a provisional connection, not an outcome finding.</w:t>
      </w:r>
    </w:p>
    <w:p>
      <w:pPr>
        <w:pStyle w:val="SourceNote"/>
      </w:pPr>
      <w:r>
        <w:rPr>
          <w:b/>
        </w:rPr>
        <w:t>Available abstract (not full text):</w:t>
      </w:r>
      <w:r>
        <w:t xml:space="preserve"> Exposure to chemicals generally occurs in the form of mixtures. However, the great majority of the toxicity data, upon which chemical safety decisions are based, relate only to single compounds. It is currently unfeasible to test a fully representative proportion of mixtures for potential harmful effects and, as such, in silico modelling provides a practical solution to inform safety assessment. Traditional methodologies for deriving estimations of mixture effects, exemplified by principles such as concentration addition (CA) and independent action (IA), are limited as regards the scope of chemical combinations to which they can reliably be applied. Development of appropriate quantitative structure-activity relationships (QSARs) has been put forward as a solution to the shortcomings present within these techniques – allowing for the potential formulation of versatile predictive tools capable of capturing the activities of a full contingent of possible mixtures. This review addresses the current state-of-the-art as regards application of QSAR towards mixture toxicity, discussing the challenges inherent in the task, whilst considering the strengths and limitations of existing approaches. Forty studies are examined within – through reference to several characteristic elements including the nature of the chemicals and endpoints modelled, the form of descriptors adopted, and the pri</w:t>
      </w:r>
    </w:p>
    <w:p>
      <w:pPr/>
      <w:r>
        <w:rPr>
          <w:b/>
        </w:rPr>
        <w:t>POSSIBLE 2022:</w:t>
      </w:r>
      <w:r>
        <w:t xml:space="preserve"> Abstract P167: Soluble CD14 Level And Incident Diabetes Mellitus Risk: The Reasons For Geographic And Racial Differences In Stroke (REGARDS) Study — https://doi.org/10.1161/circ.145.suppl_1.p167</w:t>
      </w:r>
    </w:p>
    <w:p>
      <w:pPr/>
      <w:r>
        <w:rPr>
          <w:b/>
        </w:rPr>
        <w:t>Shared claim-specific concepts:</w:t>
      </w:r>
      <w:r>
        <w:t xml:space="preserve"> regards, second, activity; EU scope not established. This is a provisional connection, not an outcome finding.</w:t>
      </w:r>
    </w:p>
    <w:p>
      <w:pPr>
        <w:pStyle w:val="SourceNote"/>
      </w:pPr>
      <w:r>
        <w:rPr>
          <w:b/>
        </w:rPr>
        <w:t>Available abstract (not full text):</w:t>
      </w:r>
      <w:r>
        <w:t xml:space="preserve"> Introduction: CD14 is a pattern recognition receptor that plays important roles in the inflammatory response. Circulating soluble CD14 (sCD14) is generated by hepatocyte secretion during the acute phase response and by cleavage from immune cell surfaces, and levels are higher in White than Black individuals. CD14 is implicated in adipose tissue-mediated inflammation and insulin resistance in experimental animal models and in some cross-sectional cohort studies. Prospective studies of sCD14 and incidence of diabetes mellitus (DM) are limited. We evaluated the prospective association of sCD14 with incident DM risk in participants of the REGARDS study. Methods: At the baseline study examination in 2003-07, REGARDS recruited 30,239 Black and White participants aged 45-years and older from across the contiguous U.S. A second in-home visit occurred in 2013-16. sCD14 was measured by ELISA in baseline serum samples among participants of the REGARDS Biomarkers as Mediators of Racial Disparities in Risk Factors (BioMedioR) study, a nested race- and sex-stratified random sample of 4400 participants who completed the first and second REGARDS visits. Poisson regression models estimated risk ratios (RR) of incident DM per 1-SD increment higher sCD14, with tiered adjustment for risk factors. We tested a priori for a sCD14-by-race interaction (p interaction significance threshold &lt;0.10). Resul</w:t>
      </w:r>
    </w:p>
    <w:p>
      <w:pPr/>
      <w:r>
        <w:rPr>
          <w:b/>
        </w:rPr>
        <w:t>POSSIBLE 2021:</w:t>
      </w:r>
      <w:r>
        <w:t xml:space="preserve"> Relative risk aversion models: How plausible are their assumptions? — https://doi.org/10.1177/1043463121994087</w:t>
      </w:r>
    </w:p>
    <w:p>
      <w:pPr/>
      <w:r>
        <w:rPr>
          <w:b/>
        </w:rPr>
        <w:t>Shared claim-specific concepts:</w:t>
      </w:r>
      <w:r>
        <w:t xml:space="preserve"> regards, second, assumption, plausible; EU scope visible. This is a provisional connection, not an outcome finding.</w:t>
      </w:r>
    </w:p>
    <w:p>
      <w:pPr>
        <w:pStyle w:val="SourceNote"/>
      </w:pPr>
      <w:r>
        <w:rPr>
          <w:b/>
        </w:rPr>
        <w:t>Available abstract (not full text):</w:t>
      </w:r>
      <w:r>
        <w:t xml:space="preserve"> This work examines the validity of the two main assumptions of relative risk-aversion models of educational inequality. We compare the Breen-Goldthorpe (BG) and the Breen-Yaish (BY) models in terms of their assumptions about status maintenance motives and beliefs about the occupational risks associated with educational decisions. Concerning the first assumption, our contribution is threefold. First, we criticise the assumption of the BG model that families aim only at avoiding downward mobility and are insensitive to the prospects of upward mobility. We argue that the loss-aversion assumption proposed by BY is a more realistic formulation of status-maintenance motives. Second, we propose and implement a novel empirical approach to assess the validity of the loss-aversion assumption. Third, we present empirical results based on a sample of families of lower secondary school leavers indicating that families are sensitive to the prospects of both upward and downward mobility, and that the loss-aversion hypothesis of BY is empirically supported. As regards the risky choice assumption, we argue that families may not believe that more ambitious educational options entail occupational risks relative to less ambitious ones. We present empirical evidence indicating that, in France, the academic path is not perceived as a risky option. We conclude that, if the restrictive assumptions of </w:t>
      </w:r>
    </w:p>
    <w:p>
      <w:pPr/>
      <w:r>
        <w:rPr>
          <w:b/>
        </w:rPr>
        <w:t>POSSIBLE 2021:</w:t>
      </w:r>
      <w:r>
        <w:t xml:space="preserve"> Disorganization of Oscillatory Activity in Animal Models of Schizophrenia — https://doi.org/10.3389/fncir.2021.741767</w:t>
      </w:r>
    </w:p>
    <w:p>
      <w:pPr/>
      <w:r>
        <w:rPr>
          <w:b/>
        </w:rPr>
        <w:t>Shared claim-specific concepts:</w:t>
      </w:r>
      <w:r>
        <w:t xml:space="preserve"> activity, potential; EU scope not established. This is a provisional connection, not an outcome finding.</w:t>
      </w:r>
    </w:p>
    <w:p>
      <w:pPr>
        <w:pStyle w:val="SourceNote"/>
      </w:pPr>
      <w:r>
        <w:rPr>
          <w:b/>
        </w:rPr>
        <w:t>Available abstract (not full text):</w:t>
      </w:r>
      <w:r>
        <w:t xml:space="preserve"> Schizophrenia is a chronic, debilitating disorder with diverse symptomatology, including disorganized cognition and behavior. Despite considerable research effort, we have only a limited understanding of the underlying brain dysfunction. In this article, we review the potential role of oscillatory circuits in the disorder with a particular focus on the hippocampus, a region that encodes sequential information across time and space, as well as the frontal cortex. Several mechanistic explanations of schizophrenia propose that a loss of oscillatory synchrony between and within these brain regions may underlie some of the symptoms of the disorder. We describe how these oscillations are affected in several animal models of schizophrenia, including models of genetic risk, maternal immune activation (MIA) models, and models of NMDA receptor hypofunction. We then critically discuss the evidence for disorganized oscillatory activity in these models, with a focus on gamma, sharp wave ripple, and theta activity, including the role of cross-frequency coupling as a synchronizing mechanism. Finally, we focus on phase precession, which is an oscillatory phenomenon whereby individual hippocampal place cells systematically advance their firing phase against the background theta oscillation. Phase precession is important because it allows sequential experience to be compressed into a single 120 </w:t>
      </w:r>
    </w:p>
    <w:p>
      <w:pPr/>
      <w:r>
        <w:rPr>
          <w:b/>
        </w:rPr>
        <w:t>POSSIBLE 2021:</w:t>
      </w:r>
      <w:r>
        <w:t xml:space="preserve"> Comparing Human Activity Recognition Models Based on Complexity and Resource Usage — https://doi.org/10.3390/app11188473</w:t>
      </w:r>
    </w:p>
    <w:p>
      <w:pPr/>
      <w:r>
        <w:rPr>
          <w:b/>
        </w:rPr>
        <w:t>Shared claim-specific concepts:</w:t>
      </w:r>
      <w:r>
        <w:t xml:space="preserve"> regards, activity, techniques, performance; EU scope not established. This is a provisional connection, not an outcome finding.</w:t>
      </w:r>
    </w:p>
    <w:p>
      <w:pPr>
        <w:pStyle w:val="SourceNote"/>
      </w:pPr>
      <w:r>
        <w:rPr>
          <w:b/>
        </w:rPr>
        <w:t>Available abstract (not full text):</w:t>
      </w:r>
      <w:r>
        <w:t xml:space="preserve"> Human Activity Recognition (HAR) is a field with many contrasting application domains, from medical applications to ambient assisted living and sports applications. With ever-changing use cases and devices also comes a need for newer and better HAR approaches. Machine learning has long been one of the predominant techniques to recognize activities from extracted features. With the advent of deep learning techniques that push state of the art results in many different domains like natural language processing or computer vision, researchers have also started to build deep neural nets for HAR. With this increase in complexity, there also comes a necessity to compare the newer approaches to the previous state of the art algorithms. Not everything that is new is also better. Therefore, this paper aims to compare typical machine learning models like a Random Forest (RF) or a Support Vector Machine (SVM) to two commonly used deep neural net architectures, Convolutional Neural Nets (CNNs) and Recurrent Neural Nets (RNNs). Not only in regards to performance but also in regards to the complexity of the models. We measure complexity as the memory consumption, the mean prediction time and the number of trainable parameters of the models. To achieve comparable results, the models are all tested on the same publicly available dataset, the UCI HAR Smartphone dataset. With this combination of </w:t>
      </w:r>
    </w:p>
    <w:p>
      <w:pPr>
        <w:pStyle w:val="Heading2"/>
      </w:pPr>
      <w:r>
        <w:t>989. Using scenarios to assess the future supply of NHS nursing staff in England</w:t>
      </w:r>
    </w:p>
    <w:p>
      <w:pPr>
        <w:pStyle w:val="SourceNote"/>
      </w:pPr>
      <w:r>
        <w:rPr>
          <w:b/>
        </w:rPr>
        <w:t>Original source (2012):</w:t>
      </w:r>
      <w:r>
        <w:t xml:space="preserve"> https://doi.org/10.1186/1478-4491-10-16</w:t>
      </w:r>
    </w:p>
    <w:p>
      <w:pPr/>
      <w:r>
        <w:t>Original wording (abstract; indexed_source_text_not_full_document_verified): It is important that different scenarios are considered that may be regarded as possible futures, based on a realistic assessment of the available workforce data, policies and broader labour market and funding outlook. Based on available workforce data, the paper reviews different possible scenarios for the supply of NHS nurses over a ten year period, assessing the impact of different numbers of new staff being trained and of varying retirement patterns from the ageing profession.The government in England has more policy levers available than is the case in many other countries.</w:t>
      </w:r>
    </w:p>
    <w:p>
      <w:pPr/>
      <w:r>
        <w:rPr>
          <w:b/>
        </w:rPr>
        <w:t>POSSIBLE 2024:</w:t>
      </w:r>
      <w:r>
        <w:t xml:space="preserve"> Of Important — https://doi.org/10.67224/ioasdjbms.2024.v01i02.001</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Sequence is very important. It is not culture free. Different societies follow different sequences. A sequence what is accepted in a society may not be accepted at all to another society. In an orthodox society, marriage, love and issue are accepted as sequence. Disobedience or breaking of this chronology is totally forbidden and is considered as a punishable offence. In another society there is no such hard and fast rule to obey that very sequence. The lovers of this liberal society may give birth to children without marry and sometimes without love even. Sometimes they love. Sometimes they love not. They love if they like. They love not if they like not. Thus, their mood and motive are gloriously so uncertain. In fact, live together is not illegal. It is immoral. To them live together is only important.</w:t>
      </w:r>
    </w:p>
    <w:p>
      <w:pPr/>
      <w:r>
        <w:rPr>
          <w:b/>
        </w:rPr>
        <w:t>POSSIBLE 2024:</w:t>
      </w:r>
      <w:r>
        <w:t xml:space="preserve"> Of Important — https://doi.org/10.5281/zenodo.19677536</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Sequence is very important. It is not culture free. Different societies follow different sequences. A sequence what is accepted in a society may not be accepted at all to another society. In an orthodox society, marriage, love and issue are accepted as sequence. Disobedience or breaking of this chronology is totally forbidden and is considered as a punishable offence. In another society there is no such hard and fast rule to obey that very sequence. The lovers of this liberal society may give birth to children without marry and sometimes without love even. Sometimes they love. Sometimes they love not. They love if they like. They love not if they like not. Thus, their mood and motive are gloriously so uncertain. In fact, live together is not illegal. It is immoral. To them live together is only important.</w:t>
      </w:r>
    </w:p>
    <w:p>
      <w:pPr/>
      <w:r>
        <w:rPr>
          <w:b/>
        </w:rPr>
        <w:t>POSSIBLE 2024:</w:t>
      </w:r>
      <w:r>
        <w:t xml:space="preserve"> LIBS diagnostics of Be-based samples with different gas impurities — https://doi.org/10.1063/5.0205561</w:t>
      </w:r>
    </w:p>
    <w:p>
      <w:pPr/>
      <w:r>
        <w:rPr>
          <w:b/>
        </w:rPr>
        <w:t>Shared claim-specific concepts:</w:t>
      </w:r>
      <w:r>
        <w:t xml:space="preserve"> important, different, possible, data; EU scope visible. This is a provisional connection, not an outcome finding.</w:t>
      </w:r>
    </w:p>
    <w:p>
      <w:pPr>
        <w:pStyle w:val="SourceNote"/>
      </w:pPr>
      <w:r>
        <w:rPr>
          <w:b/>
        </w:rPr>
        <w:t>Available abstract (not full text):</w:t>
      </w:r>
      <w:r>
        <w:t xml:space="preserve"> Controlling plasma fuel retained in the plasma facing components of the first wall of a fusion reactor is one of the most important challenges influencing safe operation of the International Thermonuclear Experimental Reactor in the first place. This issue is proposed to be addressed by the laser-induced breakdown spectroscopy (LIBS) diagnostics, which is particularly powerful in studying the near-surface deposits and analyzing their composition. The main goal of the present study is determining the depth profiles of different elements in beryllium-based materials and the possible co-deposited layers that are formed on the walls of the Joint European Torus (JET) fusion device. Depth profiles estimated by LIBS are compared with those measured by secondary ion mass spectrometry, furthermore, the differences are discussed. In particular, the evolution of spectral lines of Be, as well as the main gaseous elements, such as Ne, N, O, and D, incorporated into the samples were extracted at different depths in the layers. LIBS diagnostics allowed making a fairly accurate analysis of the detected spectral lines of the elements on the samples. The effect of variations of the ablation rate and uncertainty that it introduces in LIBS measurements was also discussed. This investigation will have a significant impact on the development of pre-processing algorithms for machine learning models i</w:t>
      </w:r>
    </w:p>
    <w:p>
      <w:pPr/>
      <w:r>
        <w:rPr>
          <w:b/>
        </w:rPr>
        <w:t>POSSIBLE 2023:</w:t>
      </w:r>
      <w:r>
        <w:t xml:space="preserve"> Ground Based-cloud Classification Based on Comparing Different Classification Models — https://doi.org/10.54254/2755-2721/2/20220541</w:t>
      </w:r>
    </w:p>
    <w:p>
      <w:pPr/>
      <w:r>
        <w:rPr>
          <w:b/>
        </w:rPr>
        <w:t>Shared claim-specific concepts:</w:t>
      </w:r>
      <w:r>
        <w:t xml:space="preserve"> important, different, possible, based; EU scope not established. This is a provisional connection, not an outcome finding.</w:t>
      </w:r>
    </w:p>
    <w:p>
      <w:pPr>
        <w:pStyle w:val="SourceNote"/>
      </w:pPr>
      <w:r>
        <w:rPr>
          <w:b/>
        </w:rPr>
        <w:t>Available abstract (not full text):</w:t>
      </w:r>
      <w:r>
        <w:t xml:space="preserve"> Clouds are one of the most common things in our daily life, and different types of clouds will foreshadow different weather conditions. Therefore, accurately identifying and classifying them are important for human forecasting the local weather. However, artificially classifying clouds could possibly cause a minor error. With the helping of machine learning classification model could avoid this situation as much as possible. In this study, our goal is to get sufficiently high accuracy of based-cloud classification. We used LBP as a preprocessing approach, and used KSVM, MLP, Custom Vision, and Resnet to compare each result. The dataset contains around 15 thousand cloud images in 5 types in the same format and pixels. With the implementation of four classification models, experiments showed that ResNet34 came out a great result with a test accuracy 94%. Therefore, this study demonstrates ResNet34 is a good image classification model in based-cloud classification field.</w:t>
      </w:r>
    </w:p>
    <w:p>
      <w:pPr/>
      <w:r>
        <w:rPr>
          <w:b/>
        </w:rPr>
        <w:t>POSSIBLE 2023:</w:t>
      </w:r>
      <w:r>
        <w:t xml:space="preserve"> Visual and thermal camouflage on different terrestrial environments based on electrochromism — https://doi.org/10.1515/nanoph-2023-0244</w:t>
      </w:r>
    </w:p>
    <w:p>
      <w:pPr/>
      <w:r>
        <w:rPr>
          <w:b/>
        </w:rPr>
        <w:t>Shared claim-specific concepts:</w:t>
      </w:r>
      <w:r>
        <w:t xml:space="preserve"> important, different, possible, based; EU scope not established. This is a provisional connection, not an outcome finding.</w:t>
      </w:r>
    </w:p>
    <w:p>
      <w:pPr>
        <w:pStyle w:val="SourceNote"/>
      </w:pPr>
      <w:r>
        <w:rPr>
          <w:b/>
        </w:rPr>
        <w:t>Available abstract (not full text):</w:t>
      </w:r>
      <w:r>
        <w:t xml:space="preserve"> Hiding terrestrial objects from aerial monitoring has long been an important objective in national security and public safety. However, the diversity of terrestrial environments raises great challenges to traditional camouflages optimized for a single spectral band or single type of background environment, rendering them vulnerable in other bands or backgrounds. Herein, we experimentally demonstrate simultaneous visual and thermal camouflage that can adapt to two different environments based on a thermally emissive electrochromic layer. We first explore diverse possible theoretical solutions for dual-band dual-environmental camouflage by solving analytic constraints for camouflage and steady-state thermal conditions and select the most viable approach. Based on the theoretical analysis, we design active camouflage thin-film material systems that can approximate two different target visible and infrared signatures of backgrounds under proper bias voltage. Our potentially flexible camouflage surfaces can also conceal heat sources such as human body as well with tailored designs. These results provide new directions in multi-band stealth designs.</w:t>
      </w:r>
    </w:p>
    <w:p>
      <w:pPr/>
      <w:r>
        <w:rPr>
          <w:b/>
        </w:rPr>
        <w:t>POSSIBLE 2021:</w:t>
      </w:r>
      <w:r>
        <w:t xml:space="preserve"> EEG-Based Auditory Attention Detection and Its Possible Future Applications for Passive BCI — https://doi.org/10.3389/fcomp.2021.661178</w:t>
      </w:r>
    </w:p>
    <w:p>
      <w:pPr/>
      <w:r>
        <w:rPr>
          <w:b/>
        </w:rPr>
        <w:t>Shared claim-specific concepts:</w:t>
      </w:r>
      <w:r>
        <w:t xml:space="preserve"> different, possible, based; EU scope not established. This is a provisional connection, not an outcome finding.</w:t>
      </w:r>
    </w:p>
    <w:p>
      <w:pPr>
        <w:pStyle w:val="SourceNote"/>
      </w:pPr>
      <w:r>
        <w:rPr>
          <w:b/>
        </w:rPr>
        <w:t>Available abstract (not full text):</w:t>
      </w:r>
      <w:r>
        <w:t xml:space="preserve"> The ability to discriminate and attend one specific sound source in a complex auditory environment is a fundamental skill for efficient communication. Indeed, it allows us to follow a family conversation or discuss with a friend in a bar. This ability is challenged in hearing-impaired individuals and more precisely in those with a cochlear implant (CI). Indeed, due to the limited spectral resolution of the implant, auditory perception remains quite poor in a noisy environment or in presence of simultaneous auditory sources. Recent methodological advances allow now to detect, on the basis of neural signals, which auditory stream within a set of multiple concurrent streams an individual is attending to. This approach, called EEG-based auditory attention detection (AAD), is based on fundamental research findings demonstrating that, in a multi speech scenario, cortical tracking of the envelope of the attended speech is enhanced compared to the unattended speech. Following these findings, other studies showed that it is possible to use EEG/MEG (Electroencephalography/Magnetoencephalography) to explore auditory attention during speech listening in a Cocktail-party-like scenario. Overall, these findings make it possible to conceive next-generation hearing aids combining customary technology and AAD. Importantly, AAD has also a great potential in the context of passive BCI, in the educ</w:t>
      </w:r>
    </w:p>
    <w:p>
      <w:pPr/>
      <w:r>
        <w:rPr>
          <w:b/>
        </w:rPr>
        <w:t>POSSIBLE 2021:</w:t>
      </w:r>
      <w:r>
        <w:t xml:space="preserve"> Do Different Tracking Tasks Require Different Appearance Models? — https://doi.org/10.48550/arxiv.2107.02156</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Tracking objects of interest in a video is one of the most popular and widely applicable problems in computer vision. However, with the years, a Cambrian explosion of use cases and benchmarks has fragmented the problem in a multitude of different experimental setups. As a consequence, the literature has fragmented too, and now novel approaches proposed by the community are usually specialised to fit only one specific setup. To understand to what extent this specialisation is necessary, in this work we present UniTrack, a solution to address five different tasks within the same framework. UniTrack consists of a single and task-agnostic appearance model, which can be learned in a supervised or self-supervised fashion, and multiple ``heads'' that address individual tasks and do not require training. We show how most tracking tasks can be solved within this framework, and that the same appearance model can be successfully used to obtain results that are competitive against specialised methods for most of the tasks considered. The framework also allows us to analyse appearance models obtained with the most recent self-supervised methods, thus extending their evaluation and comparison to a larger variety of important problems.</w:t>
      </w:r>
    </w:p>
    <w:p>
      <w:pPr/>
      <w:r>
        <w:rPr>
          <w:b/>
        </w:rPr>
        <w:t>POSSIBLE 2021:</w:t>
      </w:r>
      <w:r>
        <w:t xml:space="preserve"> A modeling study of different kinds of sessile droplets on the horizontal surface with surface wettability and gravity effects considered — https://doi.org/10.1016/j.enss.2021.11.002</w:t>
      </w:r>
    </w:p>
    <w:p>
      <w:pPr/>
      <w:r>
        <w:rPr>
          <w:b/>
        </w:rPr>
        <w:t>Shared claim-specific concepts:</w:t>
      </w:r>
      <w:r>
        <w:t xml:space="preserve"> important, different, considered, based, data; EU scope not established. This is a provisional connection, not an outcome finding.</w:t>
      </w:r>
    </w:p>
    <w:p>
      <w:pPr>
        <w:pStyle w:val="SourceNote"/>
      </w:pPr>
      <w:r>
        <w:rPr>
          <w:b/>
        </w:rPr>
        <w:t>Available abstract (not full text):</w:t>
      </w:r>
      <w:r>
        <w:t xml:space="preserve"> Droplet phase change is important for energy storage and saving technology. The initial profile of the droplet is extremely important for its vaporization or solidification on a horizontal surface. To understand the effect of liquid physical properties on droplet profile, a theoretical model was developed in this study, based on the Young-Laplace equation with gravity effect specially considered. After the model was experimentally validated by comparing the geometric shape of water droplets, it was further used for predicting droplet shapes of other materials, and thus analyzing the influence of different physical properties, such as temperature, pressure, surface wettability, etc. Results show that the results of this model agree well with the experimental data. The maximum and average deviations are less than 4.5% and 1.5%, respectively. For all kinds of droplets on the fixed surfaces, when the temperature increases, the droplet contact radius increases and height decreases. The droplets of nitrogen and carbon dioxide are more sensitive to temperature than ethanol and ethylene glycol droplets. For 20 μL droplets on the surface of contact angle 150°, when the temperature changes from 273.15 K to 293.15 K, the droplet contact radiuses increase by 30.6% for carbon dioxide, 1.2% for ethanol and 0.67% for ethylene glycol, and the droplet heights decrease by 42.9%, 2.5%, 1.1%, resp</w:t>
      </w:r>
    </w:p>
    <w:p>
      <w:pPr/>
      <w:r>
        <w:rPr>
          <w:b/>
        </w:rPr>
        <w:t>POSSIBLE 2021:</w:t>
      </w:r>
      <w:r>
        <w:t xml:space="preserve"> Frost Resistance of Alkali-Activated Concrete—An Important Pillar of Their Sustainability — https://doi.org/10.3390/su13020473</w:t>
      </w:r>
    </w:p>
    <w:p>
      <w:pPr/>
      <w:r>
        <w:rPr>
          <w:b/>
        </w:rPr>
        <w:t>Shared claim-specific concepts:</w:t>
      </w:r>
      <w:r>
        <w:t xml:space="preserve"> important, different, considered; EU scope not established. This is a provisional connection, not an outcome finding.</w:t>
      </w:r>
    </w:p>
    <w:p>
      <w:pPr>
        <w:pStyle w:val="SourceNote"/>
      </w:pPr>
      <w:r>
        <w:rPr>
          <w:b/>
        </w:rPr>
        <w:t>Available abstract (not full text):</w:t>
      </w:r>
      <w:r>
        <w:t xml:space="preserve"> Sustainable development of concrete construction requires sustainable materials or sustainable binders. Specifically, alkali-activated materials (AAMs) are an interesting and wide group of materials. They have good strengths and are considered environmentally friendly materials because secondary materials are consumed during the preparation of AAMs. The durability of AAMs is also excellent. One of the most important parts of durability is frost resistance. The frost resistance of alkali-activated materials is usually very good. However, some studies showed opposite properties and poor frost resistance. The reason for this may be a different composition of the activator. The content of alkalis is often considered the main characteristic of alkali-activated materials. However, SiO2 content can play an important role too. This paper discusses the different results for the mechanical properties and frost resistance of different compositions of alkali activators made of sodium water glass with a silicate modulus modified with potassium hydroxide. The role of the activator content and the water-to-cement ratio in this phenomenon is discussed. The results of this article show that the strengths of AAMs are significantly affected by the curing method. Water curing reduced some of the strength of the specimens compared to foil-covered specimens. Frost resistance depends on the method of</w:t>
      </w:r>
    </w:p>
    <w:p>
      <w:pPr/>
      <w:r>
        <w:rPr>
          <w:b/>
        </w:rPr>
        <w:t>POSSIBLE 2021:</w:t>
      </w:r>
      <w:r>
        <w:t xml:space="preserve"> The Most Important Fungal Diseases of Cereals—Problems and Possible Solutions — https://doi.org/10.3390/agronomy11040714</w:t>
      </w:r>
    </w:p>
    <w:p>
      <w:pPr/>
      <w:r>
        <w:rPr>
          <w:b/>
        </w:rPr>
        <w:t>Shared claim-specific concepts:</w:t>
      </w:r>
      <w:r>
        <w:t xml:space="preserve"> important, possible, reviews; EU scope not established. This is a provisional connection, not an outcome finding.</w:t>
      </w:r>
    </w:p>
    <w:p>
      <w:pPr>
        <w:pStyle w:val="SourceNote"/>
      </w:pPr>
      <w:r>
        <w:rPr>
          <w:b/>
        </w:rPr>
        <w:t>Available abstract (not full text):</w:t>
      </w:r>
      <w:r>
        <w:t xml:space="preserve"> The level of cereal yields and the quality of these yields depend, to a large extent, on a crop management system, the genetic potential of a given cultivar, but also on factors that may cause damage to plants or a reduction in yield. Such factors include fungal diseases of cereals, which may cause a reduction in yield by 15–20%, and in extreme cases even by 60%. The main factors determining the occurrence of these pathogens are the weather conditions during the growing season of plants, crop rotation, the previous crop, the soil tillage system, and nitrogen fertilisation. Fungal diseases of cereals limit plant growth and development, as well as reduce grain yield and quality. This paper reviews the literature on fungal diseases of cereals.</w:t>
      </w:r>
    </w:p>
    <w:p>
      <w:pPr/>
      <w:r>
        <w:rPr>
          <w:b/>
        </w:rPr>
        <w:t>POSSIBLE 2020:</w:t>
      </w:r>
      <w:r>
        <w:t xml:space="preserve"> Shoe feature recommendations for different running levels: A Delphi study — https://doi.org/10.1371/journal.pone.0236047</w:t>
      </w:r>
    </w:p>
    <w:p>
      <w:pPr/>
      <w:r>
        <w:rPr>
          <w:b/>
        </w:rPr>
        <w:t>Shared claim-specific concepts:</w:t>
      </w:r>
      <w:r>
        <w:t xml:space="preserve"> important, different, considered, based; EU scope not established. This is a provisional connection, not an outcome finding.</w:t>
      </w:r>
    </w:p>
    <w:p>
      <w:pPr>
        <w:pStyle w:val="SourceNote"/>
      </w:pPr>
      <w:r>
        <w:rPr>
          <w:b/>
        </w:rPr>
        <w:t>Available abstract (not full text):</w:t>
      </w:r>
      <w:r>
        <w:t xml:space="preserve"> Providing runners with footwear that match their functional needs has the potential to improve footwear comfort, enhance running performance and reduce the risk of overuse injuries. It is currently not known how footwear experts make decisions about different shoe features and their properties for runners of different levels. We performed a Delphi study in order to understand: 1) definitions of different runner levels, 2) which footwear features are considered important and 3) how these features should be prescribed for runners of different levels. Experienced academics, journalists, coaches, bloggers and physicians that examine the effects of footwear on running were recruited to participate in three rounds of a Delphi study. Three runner level definitions were refined throughout this study based on expert feedback. Experts were also provided a list of 20 different footwear features. They were asked which features were important and what the properties of those features should be. Twenty-four experts, most with 10+ years of experience, completed all three rounds of this study. These experts came to a consensus for the characteristics of three different running levels. They indicated that 12 of the 20 footwear features initially proposed were important for footwear design. Of these 12 features, experts came to a consensus on how to apply five footwear feature properties for all</w:t>
      </w:r>
    </w:p>
    <w:p>
      <w:pPr/>
      <w:r>
        <w:rPr>
          <w:b/>
        </w:rPr>
        <w:t>POSSIBLE 2020:</w:t>
      </w:r>
      <w:r>
        <w:t xml:space="preserve"> WHEN DIFFERENT ELECTIONS HAVE DIFFERENT SALIENCIES FOR VOTERS: MOST IMPORTANT AND CONSIDERATION (EVIDENCE FROM INDONESIAN VOTERS) — https://doi.org/10.18510/hssr.2020.8462</w:t>
      </w:r>
    </w:p>
    <w:p>
      <w:pPr/>
      <w:r>
        <w:rPr>
          <w:b/>
        </w:rPr>
        <w:t>Shared claim-specific concepts:</w:t>
      </w:r>
      <w:r>
        <w:t xml:space="preserve"> important, different, considered, data; EU scope not established. This is a provisional connection, not an outcome finding.</w:t>
      </w:r>
    </w:p>
    <w:p>
      <w:pPr>
        <w:pStyle w:val="SourceNote"/>
      </w:pPr>
      <w:r>
        <w:rPr>
          <w:b/>
        </w:rPr>
        <w:t>Available abstract (not full text):</w:t>
      </w:r>
      <w:r>
        <w:t xml:space="preserve"> Purpose of the study: Generally, the purpose of this study is to explain the salience of each form of election for voters. To explain that, this study examines which election is perceived as the most important election for voters, and what matters are considered by voters in each election, especially in the most important election and money politics. Methodology: The data are drawn from a survey of 800 respondents in Central Java during the 2019 Indonesian elections. The survey asked two questions; which election they perceive as the most important election ("what is the most important election for you?"), and what matters they consider when voting for a candidate ("what is your consideration in each election?"). The dataset also includes variables related to money politics. Main Findings: Voters have different importances and considerations in various forms of elections. More voters see the executive election as the most important than the legislative election in every level of election. More voters consider the program in the legislative elections, while more voters consider the figure of candidates in the executive elections. But in more detail, there are various patterns. Applications of this study: Referring to the number of elections in Indonesia, this finding can help the government, electoral commission, or activists to develop better strategies for educating citizens. </w:t>
      </w:r>
    </w:p>
    <w:p>
      <w:pPr>
        <w:pStyle w:val="Heading2"/>
      </w:pPr>
      <w:r>
        <w:t>990. What We Hope, What We Fear, What We Expect: Possible Scenarios for the Future of the Eurozone</w:t>
      </w:r>
    </w:p>
    <w:p>
      <w:pPr>
        <w:pStyle w:val="SourceNote"/>
      </w:pPr>
      <w:r>
        <w:rPr>
          <w:b/>
        </w:rPr>
        <w:t>Original source (2012):</w:t>
      </w:r>
      <w:r>
        <w:t xml:space="preserve"> https://doi.org/10.1007/s12290-012-0210-x</w:t>
      </w:r>
    </w:p>
    <w:p>
      <w:pPr/>
      <w:r>
        <w:t>Original wording (abstract; indexed_source_text_not_full_document_verified): Starting with the reforms of European economic governance hitherto agreed, this article develops three scenarios for the eurozone and explores their possible impact on the EU in general.</w:t>
      </w:r>
    </w:p>
    <w:p>
      <w:pPr/>
      <w:r>
        <w:rPr>
          <w:b/>
        </w:rPr>
        <w:t>POSSIBLE 2020:</w:t>
      </w:r>
      <w:r>
        <w:t xml:space="preserve"> European Reform Movements and the Making of the International Congress, 1840–1860 — https://doi.org/10.1080/07075332.2020.1808506</w:t>
      </w:r>
    </w:p>
    <w:p>
      <w:pPr/>
      <w:r>
        <w:rPr>
          <w:b/>
        </w:rPr>
        <w:t>Shared claim-specific concepts:</w:t>
      </w:r>
      <w:r>
        <w:t xml:space="preserve"> article, three, general; EU scope visible. This is a provisional connection, not an outcome finding.</w:t>
      </w:r>
    </w:p>
    <w:p>
      <w:pPr>
        <w:pStyle w:val="SourceNote"/>
      </w:pPr>
      <w:r>
        <w:rPr>
          <w:b/>
        </w:rPr>
        <w:t>Available abstract (not full text):</w:t>
      </w:r>
      <w:r>
        <w:t xml:space="preserve"> In historical research on internationalism and the international sphere, the rise of the international congress during the nineteenth century has long played a prominent role. This article investigates the making of the international congress as a phenomenon by comparing three early series of meetings – anti-slavery conventions, peace congresses and philanthropic congresses during the 1840 s and 1850 s – as communicative events. The analysis shows that their staging was influenced by the fact that these meetings were organised to mobilise reform movements, and that they relied on a public sphere where elite groups, gathered in the metropoles of Europe, could expect that their speeches would reach geographically dispersed audiences through print media. A general conclusion is that these meetings pioneered a new way of being international – called ‘representative internationality’ in the article – through how they were arranged as independent actors beyond local contexts that could both ‘speak for’ and ‘speak to’ different collectives.</w:t>
      </w:r>
    </w:p>
    <w:p>
      <w:pPr/>
      <w:r>
        <w:rPr>
          <w:b/>
        </w:rPr>
        <w:t>POSSIBLE 2020:</w:t>
      </w:r>
      <w:r>
        <w:t xml:space="preserve"> The reform of the European Stability Mechanism — https://doi.org/10.1093/cmlj/kmaa001</w:t>
      </w:r>
    </w:p>
    <w:p>
      <w:pPr/>
      <w:r>
        <w:rPr>
          <w:b/>
        </w:rPr>
        <w:t>Shared claim-specific concepts:</w:t>
      </w:r>
      <w:r>
        <w:t xml:space="preserve"> reforms, agreed, article; EU scope visible. This is a provisional connection, not an outcome finding.</w:t>
      </w:r>
    </w:p>
    <w:p>
      <w:pPr>
        <w:pStyle w:val="SourceNote"/>
      </w:pPr>
      <w:r>
        <w:rPr>
          <w:b/>
        </w:rPr>
        <w:t>Available abstract (not full text):</w:t>
      </w:r>
      <w:r>
        <w:t xml:space="preserve"> This article seeks to explain the main aspects of the reform of the European Stability Mechanism (ESM), as agreed in principle by the leaders of the euro area Member States. The article focuses particularly on the ESM’s new mandate to act as the common backstop to the Single Resolution Fund, the reform of its precautionary lending instrument, the expansion of its role in country monitoring both in and outside of programmes, and the future treatment of debt sustainability issues, including the adoption of a revised euro area model collective action clause. By shedding light on the nature and context of these developments, the authors hope to dispel some misunderstandings about the content of this reform and contribute to a clearer understanding of what is at stake. A little over a year ago, the leaders of the countries of the euro area formally pledged to reform the European Stability Mechanism (the ‘ESM’). At the Euro Summit of 14 December 2018, the Heads of State or Government of the euro area Member States endorsed the ‘Term Sheet on the reform of the European Stability Mechanism’, including the anticipated changes to its founding treaty.1 In December 2019, both the Eurogroup in inclusive format2 and the subsequent Euro Summit reached an agreement in principle on this reform package, subject to the conclusion of national procedures.3 The anticipated reform of the ESM follows </w:t>
      </w:r>
    </w:p>
    <w:p>
      <w:pPr/>
      <w:r>
        <w:rPr>
          <w:b/>
        </w:rPr>
        <w:t>POSSIBLE 2020:</w:t>
      </w:r>
      <w:r>
        <w:t xml:space="preserve"> Driving informal institutional change: the European Parliament and the reform of the Economic and Monetary Union — https://doi.org/10.4324/9781003030454-2</w:t>
      </w:r>
    </w:p>
    <w:p>
      <w:pPr/>
      <w:r>
        <w:rPr>
          <w:b/>
        </w:rPr>
        <w:t>Shared claim-specific concepts:</w:t>
      </w:r>
      <w:r>
        <w:t xml:space="preserve"> governance, eurozone; EU scope visible. This is a provisional connection, not an outcome finding.</w:t>
      </w:r>
    </w:p>
    <w:p>
      <w:pPr>
        <w:pStyle w:val="SourceNote"/>
      </w:pPr>
      <w:r>
        <w:rPr>
          <w:b/>
        </w:rPr>
        <w:t>Available abstract (not full text):</w:t>
      </w:r>
      <w:r>
        <w:t xml:space="preserve"> With the Lisbon Treaty, the European Parliament (EP) obtained co-decision rights in economic governance for the first time. Soon afterwards, the outbreak of the eurozone crisis required a reform of the Economic and Monetary Union (EMU). When negotiating EMU reform, the EP sought to push its rights beyond the Lisbon provisions, so as to obtain an informal institutional change to its benefit. How and under which conditions did the EP extend its informal powers successfully – and when did it fail? By focusing on two crucial strategies – delaying and arena-linking – we compare instances of EMU reform where the EP succeeded in reaching an informal empowerment to cases where it failed. We find that the urgency of decision-making and its distributional consequences influence the EP’s chances of success. While urgency plays a crucial role in times of crisis, distributional consequences come to bear in policies where core state powers are at stake.</w:t>
      </w:r>
    </w:p>
    <w:p>
      <w:pPr/>
      <w:r>
        <w:rPr>
          <w:b/>
        </w:rPr>
        <w:t>POSSIBLE 2019:</w:t>
      </w:r>
      <w:r>
        <w:t xml:space="preserve"> Economic Reforms and the Burdens of Transition — https://doi.org/10.1017/9781108752466.005</w:t>
      </w:r>
    </w:p>
    <w:p>
      <w:pPr/>
      <w:r>
        <w:rPr>
          <w:b/>
        </w:rPr>
        <w:t>Shared claim-specific concepts:</w:t>
      </w:r>
      <w:r>
        <w:t xml:space="preserve"> starting, reforms, eurozone; EU scope visible. This is a provisional connection, not an outcome finding.</w:t>
      </w:r>
    </w:p>
    <w:p>
      <w:pPr>
        <w:pStyle w:val="SourceNote"/>
      </w:pPr>
      <w:r>
        <w:rPr>
          <w:b/>
        </w:rPr>
        <w:t>Available abstract (not full text):</w:t>
      </w:r>
      <w:r>
        <w:t xml:space="preserve"> Starting from remarkable divergences and similarities of pathways into market liberalism, the chapter investigates progress and setbacks of economic reforms. The first section indicates key factors for divergences and similarities, the second section discusses the divergence of pathways of post-socialist capitalisms, the third, similarities, the fourth the results of economic reform paths until 2008, and the fifth the preliminary setback of the Eurozone crisis and its aftermath. As the title indicates, the necessary economic reforms in many countries of the region could be carried out only by measures that constituted a temporary burden for the population, such as unemployment, significant setback of household income, insecurities regarding pension provision, and labor migration. But the illusion of a better life, especially for the children, after a phase of hardship kept the ball rolling. In the first decade of the 2000s economic reforms showed positive results – not only in countries which became European Union member states but also in disadvantaged countries such as the West Balkan ones. The economic crisis caused by the Euro-American banking system in 2008 and after hit the countries of Central, Eastern, and Southeastern Europe comparatively hard. Paradoxically, the West Balkan states, chronic losers from transition, were harmed less – due to their low integration into th</w:t>
      </w:r>
    </w:p>
    <w:p>
      <w:pPr/>
      <w:r>
        <w:rPr>
          <w:b/>
        </w:rPr>
        <w:t>POSSIBLE 2019:</w:t>
      </w:r>
      <w:r>
        <w:t xml:space="preserve"> Driving informal institutional change: the European Parliament and the reform of the Economic and Monetary Union — https://doi.org/10.1080/07036337.2019.1599373</w:t>
      </w:r>
    </w:p>
    <w:p>
      <w:pPr/>
      <w:r>
        <w:rPr>
          <w:b/>
        </w:rPr>
        <w:t>Shared claim-specific concepts:</w:t>
      </w:r>
      <w:r>
        <w:t xml:space="preserve"> governance, eurozone; EU scope visible. This is a provisional connection, not an outcome finding.</w:t>
      </w:r>
    </w:p>
    <w:p>
      <w:pPr>
        <w:pStyle w:val="SourceNote"/>
      </w:pPr>
      <w:r>
        <w:rPr>
          <w:b/>
        </w:rPr>
        <w:t>Available abstract (not full text):</w:t>
      </w:r>
      <w:r>
        <w:t xml:space="preserve"> With the Lisbon Treaty, the European Parliament (EP) obtained co-decision rights in economic governance for the first time. Soon afterwards, the outbreak of the eurozone crisis required a reform of the Economic and Monetary Union (EMU). When negotiating EMU reform, the EP sought to push its rights beyond the Lisbon provisions, so as to obtain an informal institutional change to its benefit. How and under which conditions did the EP extend its informal powers successfully – and when did it fail? By focusing on two crucial strategies – delaying and arena-linking – we compare instances of EMU reform where the EP succeeded in reaching an informal empowerment to cases where it failed. We find that the urgency of decision-making and its distributional consequences influence the EP’s chances of success. While urgency plays a crucial role in times of crisis, distributional consequences come to bear in policies where core state powers are at stake.</w:t>
      </w:r>
    </w:p>
    <w:p>
      <w:pPr/>
      <w:r>
        <w:rPr>
          <w:b/>
        </w:rPr>
        <w:t>POSSIBLE 2018:</w:t>
      </w:r>
      <w:r>
        <w:t xml:space="preserve"> Structural reforms in Europe: a comparative overview — https://doi.org/10.51952/9781447335870.ch002</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Structural reforms in Europe: a comparative overview — https://doi.org/10.1332/policypress/9781447335863.003.0002</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Structural reforms in Europe: a comparative overview — https://doi.org/10.56687/9781447335870-005</w:t>
      </w:r>
    </w:p>
    <w:p>
      <w:pPr/>
      <w:r>
        <w:rPr>
          <w:b/>
        </w:rPr>
        <w:t>Shared claim-specific concepts:</w:t>
      </w:r>
      <w:r>
        <w:t xml:space="preserve"> starting, reforms; EU scope visible. This is a provisional connection, not an outcome finding.</w:t>
      </w:r>
    </w:p>
    <w:p>
      <w:pPr>
        <w:pStyle w:val="SourceNote"/>
      </w:pPr>
      <w:r>
        <w:rPr>
          <w:b/>
        </w:rPr>
        <w:t>Available abstract (not full text):</w:t>
      </w:r>
      <w:r>
        <w:t xml:space="preserve"> This chapter provides an overview of structural reforms (SRs) - measures to improve economic growth prospects and the ability of economies to adjust to economic shocks - introduced in Europe between 1999 and 2012 and, in particular, during the Great Recession (2008-12). Starting from two organising principles of contemporary welfare capitalism, namely investment and protection, the chapter proposes a new typology of SRs for a more detailed analysis of SRs trends in Europe. Through the analysis of reforms in five policy areas (labour market policies, pensions, education, innovation/R&amp;D, and public sector reforms) and across five country clusters pertaining to the different welfare/labour market regimes in Europe between 1999 and 2012 we address two key questions: Is there a common reform trend of a ‘race to the bottom’ in relation to social and employment rights? What has been the impact of the Great Recession: Do we see overall continuity or a shift between the pre- and post-crisis?</w:t>
      </w:r>
    </w:p>
    <w:p>
      <w:pPr/>
      <w:r>
        <w:rPr>
          <w:b/>
        </w:rPr>
        <w:t>POSSIBLE 2018:</w:t>
      </w:r>
      <w:r>
        <w:t xml:space="preserve"> The Crisis of Functionalism and the Reform of European Economic Governance — https://doi.org/10.12797/politeja.12.2015.37.15</w:t>
      </w:r>
    </w:p>
    <w:p>
      <w:pPr/>
      <w:r>
        <w:rPr>
          <w:b/>
        </w:rPr>
        <w:t>Shared claim-specific concepts:</w:t>
      </w:r>
      <w:r>
        <w:t xml:space="preserve"> reforms, governance, eurozone; EU scope visible. This is a provisional connection, not an outcome finding.</w:t>
      </w:r>
    </w:p>
    <w:p>
      <w:pPr>
        <w:pStyle w:val="SourceNote"/>
      </w:pPr>
      <w:r>
        <w:rPr>
          <w:b/>
        </w:rPr>
        <w:t>Available abstract (not full text):</w:t>
      </w:r>
      <w:r>
        <w:t xml:space="preserve"> This paper studies the impact of the sovereign debt crisis on the development of the process of European integration and the constitutional framework of the EU. The first section focuses on the causes of the sovereign debt crisis, analysing the structural deficits and weaknesses of the Economic and Monetary Union (EMU). The second section looks at the reforms, which have been progressively adopted by the Eurozone to overcome the crisis and prevent the collapse of the single currency. The third section reflects on the longstanding contradictions of the integration process, in terms of its legitimacy and effectiveness, which the crisis has definitely highlighted demanding an effective solution. In this regard, the paper argues that the sovereign debt crisis represents a turning point in the history of European unification, marking the limits of the functionalist approach of integration and demanding a re‑launch of the constitutional project in order to provide the monetary union with a veritable economic government.</w:t>
      </w:r>
    </w:p>
    <w:p>
      <w:pPr/>
      <w:r>
        <w:rPr>
          <w:b/>
        </w:rPr>
        <w:t>POSSIBLE 2018:</w:t>
      </w:r>
      <w:r>
        <w:t xml:space="preserve"> Financial and Institutional Reforms for an Entrepreneurial Society — https://doi.org/10.1007/s11187-018-0001-0</w:t>
      </w:r>
    </w:p>
    <w:p>
      <w:pPr/>
      <w:r>
        <w:rPr>
          <w:b/>
        </w:rPr>
        <w:t>Shared claim-specific concepts:</w:t>
      </w:r>
      <w:r>
        <w:t xml:space="preserve"> reforms, three; EU scope visible. This is a provisional connection, not an outcome finding.</w:t>
      </w:r>
    </w:p>
    <w:p>
      <w:pPr>
        <w:pStyle w:val="SourceNote"/>
      </w:pPr>
      <w:r>
        <w:rPr>
          <w:b/>
        </w:rPr>
        <w:t>Available abstract (not full text):</w:t>
      </w:r>
      <w:r>
        <w:t xml:space="preserve"> In this paper, we introduce the special issue on Financial and Institutional Reforms for an Entrepreneurial Society in Europe. There are many reasons for Europe to want to make the transition to a more Entrepreneurial Society. And for decades now, policy makers are trying to bring that transition about with variations on the “educate, deregulate and finance” approach to entrepreneurship. We argue that more fundamental reforms are required to improve the entrepreneurial ecosystem and bring about this transition. We then discuss the 12 contributions that pertain to five different facets of the entrepreneurial ecosystem. The first two papers address the most fundamental institutional foundations of the ecosystem. The next three papers discuss the (lack of) access to knowledge and incentives to start innovative entrepreneurial ventures. That is followed by three papers that focus on the institutions that (fail to) channel financial resources to such ventures and two papers that analyze the relevance of labor market institutions. The special issue concludes with two papers investigating how the interplay of institutions and productive entrepreneurship results in economic growth.</w:t>
      </w:r>
    </w:p>
    <w:p>
      <w:pPr/>
      <w:r>
        <w:rPr>
          <w:b/>
        </w:rPr>
        <w:t>POSSIBLE 2018:</w:t>
      </w:r>
      <w:r>
        <w:t xml:space="preserve"> Reforming Kazakhstan — https://doi.org/10.1787/18ba0d60-en</w:t>
      </w:r>
    </w:p>
    <w:p>
      <w:pPr/>
      <w:r>
        <w:rPr>
          <w:b/>
        </w:rPr>
        <w:t>Shared claim-specific concepts:</w:t>
      </w:r>
      <w:r>
        <w:t xml:space="preserve"> reforms, governance; EU scope not established. This is a provisional connection, not an outcome finding.</w:t>
      </w:r>
    </w:p>
    <w:p>
      <w:pPr>
        <w:pStyle w:val="SourceNote"/>
      </w:pPr>
      <w:r>
        <w:rPr>
          <w:b/>
        </w:rPr>
        <w:t>Available abstract (not full text):</w:t>
      </w:r>
      <w:r>
        <w:t xml:space="preserve"> Kazakhstan has in recent years intensified its co-operation with the OECD, most notably with the launch in January 2015 of the OECD Kazakhstan Country Programme, which has encompassed co-operation on almost 20 separate projects in a wide range of policy domains. This volume presents an overview of the work done in the main areas covered by the Country Programme, assessing both progress made and the challenges ahead with respect to public governance, economic reform, green growth and social policy. It also considers the linkages between these various strands of policy, in an effort to derive cross-cutting lessons for the future and to present a more integrated understanding of Kazakhstan’s reforms.</w:t>
      </w:r>
    </w:p>
    <w:p>
      <w:pPr/>
      <w:r>
        <w:rPr>
          <w:b/>
        </w:rPr>
        <w:t>POSSIBLE 2017:</w:t>
      </w:r>
      <w:r>
        <w:t xml:space="preserve"> The reform of the European economic governance: critical aspects — https://openalex.org/W2786315619</w:t>
      </w:r>
    </w:p>
    <w:p>
      <w:pPr/>
      <w:r>
        <w:rPr>
          <w:b/>
        </w:rPr>
        <w:t>Shared claim-specific concepts:</w:t>
      </w:r>
      <w:r>
        <w:t xml:space="preserve"> governance, agreed; EU scope visible. This is a provisional connection, not an outcome finding.</w:t>
      </w:r>
    </w:p>
    <w:p>
      <w:pPr>
        <w:pStyle w:val="SourceNote"/>
      </w:pPr>
      <w:r>
        <w:rPr>
          <w:b/>
        </w:rPr>
        <w:t>Available abstract (not full text):</w:t>
      </w:r>
      <w:r>
        <w:t xml:space="preserve"> This work has the ambition to show and analyse some of the critical aspects of the reform of the EU economic governance put in place in the wake of the sovereign debt crisis. The analysis starts from the very reasons which brought to the birth of EMU, from the failure of the international monetary system agreed in Bretton Woods to the Maastricht Treaty.</w:t>
      </w:r>
    </w:p>
    <w:p>
      <w:pPr>
        <w:pStyle w:val="Heading2"/>
      </w:pPr>
      <w:r>
        <w:t>991. Will climate change affect the electricity production sector? A European study</w:t>
      </w:r>
    </w:p>
    <w:p>
      <w:pPr>
        <w:pStyle w:val="SourceNote"/>
      </w:pPr>
      <w:r>
        <w:rPr>
          <w:b/>
        </w:rPr>
        <w:t>Original source (2012):</w:t>
      </w:r>
      <w:r>
        <w:t xml:space="preserve"> https://doi.org/10.2166/wcc.2012.066</w:t>
      </w:r>
    </w:p>
    <w:p>
      <w:pPr/>
      <w:r>
        <w:t>Original wording (abstract; indexed_source_text_not_full_document_verified): Depending on the scenario, water withdrawals in thermal electricity production would increase by 64% or decrease by 92% between 2005 and 2050. Hot spots identified in the Economy First scenario indicate increasing competition for freshwater resources for the thermal electricity production sector.</w:t>
      </w:r>
    </w:p>
    <w:p>
      <w:pPr/>
      <w:r>
        <w:rPr>
          <w:b/>
        </w:rPr>
        <w:t>POSSIBLE 2026:</w:t>
      </w:r>
      <w:r>
        <w:t xml:space="preserve"> Hydrogen production from grid electricity in Europe: A temporal analysis combining economic and climate dimensions — https://doi.org/10.1016/j.ecmx.2026.101922</w:t>
      </w:r>
    </w:p>
    <w:p>
      <w:pPr/>
      <w:r>
        <w:rPr>
          <w:b/>
        </w:rPr>
        <w:t>Shared claim-specific concepts:</w:t>
      </w:r>
      <w:r>
        <w:t xml:space="preserve"> water, electricity, production, increase, indicate; EU scope visible. This is a provisional connection, not an outcome finding.</w:t>
      </w:r>
    </w:p>
    <w:p>
      <w:pPr>
        <w:pStyle w:val="SourceNote"/>
      </w:pPr>
      <w:r>
        <w:rPr>
          <w:b/>
        </w:rPr>
        <w:t>Available abstract (not full text):</w:t>
      </w:r>
      <w:r>
        <w:t xml:space="preserve"> Hydrogen is a potential low-emission enabler for decarbonisation, produced by water electrolysis using electricity whose cost and carbon intensity depend heavily on the source. Previous studies indicate it can be economically viable at high load factors with cheap and low-carbon electricity. Therefore, integrating both economic and environmental considerations is crucial for assessing hydrogen production viability and sustainability. This study addresses this gap by integrating these dimensions, employing hourly historical electricity prices and greenhouse gas (GHG) intensity data for European countries in 2024. Relying on time-series of the spot electricity market from ENTSO-E, and GHG intensity of electricity consumed from EcoDynElec_xr , the developed model calculates hydrogen production costs, GHG intensity, and associated GHG abatement costs as functions of load factor. Economically, optimal load factors range from 40 to 70%, balancing investment costs with avoiding costly market hours. Environmentally, higher load factors increase GHG intensity of e-H 2 produced due to the reliance on electricity at times with higher carbon content. To address this trade-off, GHG abatement costs with e-H 2 compared to the fossil alternative were calculated. The results show that abating GHG emissions at lowest cost is done by running electrolysers within load factors of 20%–70%. Under cur</w:t>
      </w:r>
    </w:p>
    <w:p>
      <w:pPr/>
      <w:r>
        <w:rPr>
          <w:b/>
        </w:rPr>
        <w:t>POSSIBLE 2026:</w:t>
      </w:r>
      <w:r>
        <w:t xml:space="preserve"> Analysis of electricity production and prosumers in Romania — https://doi.org/10.1051/epjconf/202637207005</w:t>
      </w:r>
    </w:p>
    <w:p>
      <w:pPr/>
      <w:r>
        <w:rPr>
          <w:b/>
        </w:rPr>
        <w:t>Shared claim-specific concepts:</w:t>
      </w:r>
      <w:r>
        <w:t xml:space="preserve"> depending, electricity, production, between, increasing; EU scope visible. This is a provisional connection, not an outcome finding.</w:t>
      </w:r>
    </w:p>
    <w:p>
      <w:pPr>
        <w:pStyle w:val="SourceNote"/>
      </w:pPr>
      <w:r>
        <w:rPr>
          <w:b/>
        </w:rPr>
        <w:t>Available abstract (not full text):</w:t>
      </w:r>
      <w:r>
        <w:t xml:space="preserve"> Between 2019 and 2024, the Romanian energy system underwent significant changes driven by the transition to renewable sources and the increasing number of prosumers. Electricity production from conventional sources, particularly coal, decreased by approximately 50%, while renewable sources, including wind, solar, and hydro, accounted for over 60% of total production by 2024. The number of prosumers increased from 13,874 in 2022 to 203,894 in 2025, with their installed capacity exceeding 2,400 MW, significantly contributing to reduced electricity consumption. This paper presents a case study of an industrial prosumer equipped with three photovoltaic systems and a diesel generator set. The analysis shows that locally produced energy can cover between 14% and 99% of monthly consumption, depending on the season and time of day. The findings highlight that decentralised production and efficient self-consumption enable the optimisation of energy use and cost reduction. The results confirm that Romania is progressing towards a sustainable energy model, with effective integration of prosumers and increased use of renewable energy, thereby enhancing energy security and contributing to national and European decarbonisation objectives.</w:t>
      </w:r>
    </w:p>
    <w:p>
      <w:pPr/>
      <w:r>
        <w:rPr>
          <w:b/>
        </w:rPr>
        <w:t>POSSIBLE 2026:</w:t>
      </w:r>
      <w:r>
        <w:t xml:space="preserve"> Analysis of electricity production and prosumers in Romania — https://doi.org/10.1051/epjconf/202637207005/pdf</w:t>
      </w:r>
    </w:p>
    <w:p>
      <w:pPr/>
      <w:r>
        <w:rPr>
          <w:b/>
        </w:rPr>
        <w:t>Shared claim-specific concepts:</w:t>
      </w:r>
      <w:r>
        <w:t xml:space="preserve"> depending, electricity, production, between, increasing; EU scope visible. This is a provisional connection, not an outcome finding.</w:t>
      </w:r>
    </w:p>
    <w:p>
      <w:pPr>
        <w:pStyle w:val="SourceNote"/>
      </w:pPr>
      <w:r>
        <w:rPr>
          <w:b/>
        </w:rPr>
        <w:t>Available abstract (not full text):</w:t>
      </w:r>
      <w:r>
        <w:t xml:space="preserve"> Between 2019 and 2024, the Romanian energy system underwent significant changes driven by the transition to renewable sources and the increasing number of prosumers. Electricity production from conventional sources, particularly coal, decreased by approximately 50%, while renewable sources, including wind, solar, and hydro, accounted for over 60% of total production by 2024. The number of prosumers increased from 13,874 in 2022 to 203,894 in 2025, with their installed capacity exceeding 2,400 MW, significantly contributing to reduced electricity consumption. This paper presents a case study of an industrial prosumer equipped with three photovoltaic systems and a diesel generator set. The analysis shows that locally produced energy can cover between 14% and 99% of monthly consumption, depending on the season and time of day. The findings highlight that decentralised production and efficient self-consumption enable the optimisation of energy use and cost reduction. The results confirm that Romania is progressing towards a sustainable energy model, with effective integration of prosumers and increased use of renewable energy, thereby enhancing energy security and contributing to national and European decarbonisation objectives.</w:t>
      </w:r>
    </w:p>
    <w:p>
      <w:pPr/>
      <w:r>
        <w:rPr>
          <w:b/>
        </w:rPr>
        <w:t>POSSIBLE 2025:</w:t>
      </w:r>
      <w:r>
        <w:t xml:space="preserve"> A data-driven framework for the temporal extrapolation of annual water withdrawals for hydrological modelling — https://doi.org/10.5194/egusphere-egu25-11405</w:t>
      </w:r>
    </w:p>
    <w:p>
      <w:pPr/>
      <w:r>
        <w:rPr>
          <w:b/>
        </w:rPr>
        <w:t>Shared claim-specific concepts:</w:t>
      </w:r>
      <w:r>
        <w:t xml:space="preserve"> water, withdrawals, between, increasing, freshwater, resources; EU scope visible. This is a provisional connection, not an outcome finding.</w:t>
      </w:r>
    </w:p>
    <w:p>
      <w:pPr>
        <w:pStyle w:val="SourceNote"/>
      </w:pPr>
      <w:r>
        <w:rPr>
          <w:b/>
        </w:rPr>
        <w:t>Available abstract (not full text):</w:t>
      </w:r>
      <w:r>
        <w:t xml:space="preserve"> In the context of anthropogenic climate change and increasing pressure on water resources from human use, it is necessary to provide stakeholders with tools to quantify water availability under present and future conditions, and to guide public policy in water management. To this end, anthropogenic effects need to be integrated into hydrological modeling. One of the major challenges in modeling human-impacted hydrological systems is the quantification of water withdrawals at the appropriate temporal and spatial scales. Due to a general lack of direct observational data, these withdrawals must often be modeled. The strategy for data-based modeling of water withdrawals depends on the water use sector: irrigation is traditionally subject to a process-based approach, while public freshwater supply is often modelled using regression techniques. Recently, machine-learning techniques have been explored to model freshwater withdrawals and, in the irrigation sector, to identify drivers and, in rarer cases, to predict water withdrawals. In this study, we present a data-driven framework to quantify irrigation water with limited data. We illustrate our methodological development with an application over 74 non-nested catchments in France, where water withdrawals are documented based on declarations for a short historic period (since 2008) and at a coarse temporal resolution (annual volumes</w:t>
      </w:r>
    </w:p>
    <w:p>
      <w:pPr/>
      <w:r>
        <w:rPr>
          <w:b/>
        </w:rPr>
        <w:t>POSSIBLE 2024:</w:t>
      </w:r>
      <w:r>
        <w:t xml:space="preserve"> Perspectives of Electricity Production from Biogas in the European Union — https://doi.org/10.3390/en17051169</w:t>
      </w:r>
    </w:p>
    <w:p>
      <w:pPr/>
      <w:r>
        <w:rPr>
          <w:b/>
        </w:rPr>
        <w:t>Shared claim-specific concepts:</w:t>
      </w:r>
      <w:r>
        <w:t xml:space="preserve"> electricity, production, increase, decrease, first; EU scope visible. This is a provisional connection, not an outcome finding.</w:t>
      </w:r>
    </w:p>
    <w:p>
      <w:pPr>
        <w:pStyle w:val="SourceNote"/>
      </w:pPr>
      <w:r>
        <w:rPr>
          <w:b/>
        </w:rPr>
        <w:t>Available abstract (not full text):</w:t>
      </w:r>
      <w:r>
        <w:t xml:space="preserve"> Biogas is a renewable energy source (RES). The aim of this research was to analyze the perspectives of electricity production from biogas in the European Union. The main source of information was data from Eurostat. We analyzed electricity production from biogas in the European Union (EU). The scope of this research was data from 2012 to 2021. First, we presented biogas production by feedstock type across the world. Then, we presented changes in electricity production from biogas in the EU. We used different methods to evaluate the changes in biogas production. First, we used the ARiMA (Autoregressive Moving Average) model to evaluate the stationarity of the time series. Our electricity production from biogas data proved to be stationary. Second, we elaborated on the prognosis of future changes in electricity production from biogas. The largest producer of biogas is the EU, and it is produced from crops, animal manure, and municipal solid waste. Our research found that the largest production from biogas in 2021 took place in Germany, Italy, and France. These countries have the greatest potential for electricity production from biogas, and they have spent significant funds on facilities and technology. Such countries as Ireland, Greece, Spain, France, Croatia, Poland, Portugal, Romania, Finland, and Sweden increased their electricity production from biogas in 2021 compared to 20</w:t>
      </w:r>
    </w:p>
    <w:p>
      <w:pPr/>
      <w:r>
        <w:rPr>
          <w:b/>
        </w:rPr>
        <w:t>POSSIBLE 2024:</w:t>
      </w:r>
      <w:r>
        <w:t xml:space="preserve"> Changes in Gross Nuclear Electricity Production in the European Union — https://doi.org/10.3390/en17143554</w:t>
      </w:r>
    </w:p>
    <w:p>
      <w:pPr/>
      <w:r>
        <w:rPr>
          <w:b/>
        </w:rPr>
        <w:t>Shared claim-specific concepts:</w:t>
      </w:r>
      <w:r>
        <w:t xml:space="preserve"> electricity, production, increase, increasing; EU scope visible. This is a provisional connection, not an outcome finding.</w:t>
      </w:r>
    </w:p>
    <w:p>
      <w:pPr>
        <w:pStyle w:val="SourceNote"/>
      </w:pPr>
      <w:r>
        <w:rPr>
          <w:b/>
        </w:rPr>
        <w:t>Available abstract (not full text):</w:t>
      </w:r>
      <w:r>
        <w:t xml:space="preserve"> Economic development requires a constant supply of energy. The utilization of fossil fuels causes environmental pollution and greenhouse gas emissions. The effects of fossil fuel use have impacted global warming, which may affect the world. The problem of environmental degradation can be decreased by using renewable energy sources and nuclear energy. The role of nuclear energy is increasing. More than 10% of electric energy is now produced from nuclear energy worldwide. However, the share varies by country. For example, in France, it is 70%, in Slovakia, it is 55%, and in Ukraine, it is 53%. Many countries do not have nuclear energy at all. This study aims to investigate the development of gross nuclear electricity production both in the world and in the European Union (EU) in terms of stationarity and prognosis. To achieve the goal of this study, the authors utilized descriptive statistics. The time range included the period 1990–2022. This long time period enabled us to conduct the ADF (Augmented Dickey Fuller) test. According to our analysis, gross nuclear electricity production in the European Union (EU) was stationary. We also evaluated future prognosis using the ARIMA (Autoregressive Moving Average) model. We also used the Vector Autoregressive (VAR) model to evaluate changes within nuclear electricity production. Based on our research, we can conclude that the data were </w:t>
      </w:r>
    </w:p>
    <w:p>
      <w:pPr/>
      <w:r>
        <w:rPr>
          <w:b/>
        </w:rPr>
        <w:t>POSSIBLE 2024:</w:t>
      </w:r>
      <w:r>
        <w:t xml:space="preserve"> Decarbonization of urea production in India and its impact on water withdrawal and costs: A cost optimization approach — https://doi.org/10.1016/j.jclepro.2024.144433</w:t>
      </w:r>
    </w:p>
    <w:p>
      <w:pPr/>
      <w:r>
        <w:rPr>
          <w:b/>
        </w:rPr>
        <w:t>Shared claim-specific concepts:</w:t>
      </w:r>
      <w:r>
        <w:t xml:space="preserve"> depending, water, production, increase, between, indicate; EU scope not established. This is a provisional connection, not an outcome finding.</w:t>
      </w:r>
    </w:p>
    <w:p>
      <w:pPr>
        <w:pStyle w:val="SourceNote"/>
      </w:pPr>
      <w:r>
        <w:rPr>
          <w:b/>
        </w:rPr>
        <w:t>Available abstract (not full text):</w:t>
      </w:r>
      <w:r>
        <w:t xml:space="preserve"> Urea, a globally dominant synthetic nitrogen fertilizer, presents a complex challenge for India. While promoting agricultural productivity, its production—reliant on natural gas—is projected to drive a threefold increase in India's natural gas consumption by 2050. To meet ambitious climate targets while ensuring food security, India's existing urea plants must be decarbonized. This study conducted techno-economic modeling of “blue” and “green” urea production techniques for all 34 existing urea plants in India, incorporating technologies such as electrolyzers and carbon capture. Using a mixed-integer programming approach from a central planner's perspective, we evaluated key indicators of business-as-usual and decarbonization pathways for the sector under different scenarios. The results indicate that a high level of decarbonization is economically feasible under most scenarios, with the base scenario showing a potential adoption of over 93% green urea by 2050, thus reducing the sector's current natural gas consumption intensity of 645 S C M t u r e a by 96%. This transition also results in a lower freshwater withdrawal intensity of approximately 4 m 3 t u r e a , which is below India's current average of 6.4 m 3 t u r e a . The levelized costs of urea for the decarbonization pathway are more robust against external factors, ranging from 398 to 487 U S D 2026 t u r e a , depend</w:t>
      </w:r>
    </w:p>
    <w:p>
      <w:pPr/>
      <w:r>
        <w:rPr>
          <w:b/>
        </w:rPr>
        <w:t>POSSIBLE 2023:</w:t>
      </w:r>
      <w:r>
        <w:t xml:space="preserve"> Low flow sensitivity to water withdrawals in Central and Southwestern Europe under 2 K global warming — https://doi.org/10.1088/1748-9326/acec60</w:t>
      </w:r>
    </w:p>
    <w:p>
      <w:pPr/>
      <w:r>
        <w:rPr>
          <w:b/>
        </w:rPr>
        <w:t>Shared claim-specific concepts:</w:t>
      </w:r>
      <w:r>
        <w:t xml:space="preserve"> water, withdrawals, decrease, freshwater; EU scope visible. This is a provisional connection, not an outcome finding.</w:t>
      </w:r>
    </w:p>
    <w:p>
      <w:pPr>
        <w:pStyle w:val="SourceNote"/>
      </w:pPr>
      <w:r>
        <w:rPr>
          <w:b/>
        </w:rPr>
        <w:t>Available abstract (not full text):</w:t>
      </w:r>
      <w:r>
        <w:t xml:space="preserve"> Abstract A sufficient freshwater supply is vital for humans, ecosystems, and economies, but anticipated climate and socio-economic change are expected to substantially alter water availability. Across Europe, about two-third of the abstracted freshwater comes from rivers and streams. Various hydrological studies address the resulting need for projections on changes in river discharge. However, those assessments rarely specifically account for the impact of various water withdrawal scenarios during low flow periods. We present here a novel, high-resolution hydrological modeling experiment using pseudo-global warming climate data to investigate the effects of changing water withdrawals under 2 K global warming. Especially in Western and Central Europe the projected impacts on low flows highly depend on the chosen water withdrawal assumption and can severely decrease under the worst case assumptions. Our results highlight the importance of accounting for future water withdrawals in low flow projections, showing that climate-focused impact assessments in near-natural catchments provide only one piece of the anticipated response and do not necessarily reflect changes in heavily managed river basins.</w:t>
      </w:r>
    </w:p>
    <w:p>
      <w:pPr/>
      <w:r>
        <w:rPr>
          <w:b/>
        </w:rPr>
        <w:t>POSSIBLE 2023:</w:t>
      </w:r>
      <w:r>
        <w:t xml:space="preserve"> Simulated discharge statistics in Central and Southwestern Europe considering water use under 2K global warming — https://doi.org/10.5281/zenodo.8132867</w:t>
      </w:r>
    </w:p>
    <w:p>
      <w:pPr/>
      <w:r>
        <w:rPr>
          <w:b/>
        </w:rPr>
        <w:t>Shared claim-specific concepts:</w:t>
      </w:r>
      <w:r>
        <w:t xml:space="preserve"> water, withdrawals, between, resources; EU scope visible. This is a provisional connection, not an outcome finding.</w:t>
      </w:r>
    </w:p>
    <w:p>
      <w:pPr>
        <w:pStyle w:val="SourceNote"/>
      </w:pPr>
      <w:r>
        <w:rPr>
          <w:b/>
        </w:rPr>
        <w:t>Available abstract (not full text):</w:t>
      </w:r>
      <w:r>
        <w:t xml:space="preserve"> We provide a novel, high-resolution hydrological modelling dataset using pseudo-global warming climate data as forcing to the Community Water Model (CWatM). CWatM is a state-of-the-art large-scale rainfall-runoff and channel routing water resources model that is process-based and used to quantify water supply, as well as human water withdrawals from different sectors (industry, domestic, agriculture) and multiple sources representing the effects of water infrastructure, including reservoirs, groundwater pumping and irrigation canals. CWatM is forced by a pseudo-global warming (PGW) experiment from 1981 to 2010. PGW simulations resemble historical weather patterns and events under globally warmer conditions (here, 2 K global warming) by perturbing historical, reanalysis-driven regional climate simulations. We performed simulations considering regular incremental adjustments of the historical water withdrawals (ranging between +/- 50% of historic water withdrawals) under PGW conditions. That range represents an ad hoc and simplified representation of multiple possible future water management scenarios across Southwestern and Central Europe. The approach allows us to investigate the effects of changing water withdrawals under 2 K global warming. Especially in Western and Central Europe, the projected impacts on low flows highly depend on the chosen water withdrawal assumption. The</w:t>
      </w:r>
    </w:p>
    <w:p>
      <w:pPr/>
      <w:r>
        <w:rPr>
          <w:b/>
        </w:rPr>
        <w:t>POSSIBLE 2023:</w:t>
      </w:r>
      <w:r>
        <w:t xml:space="preserve"> Gone with the clouds: Estimating the electricity and water footprint of digital data services in Europe — https://doi.org/10.1016/j.enconman.2023.117225</w:t>
      </w:r>
    </w:p>
    <w:p>
      <w:pPr/>
      <w:r>
        <w:rPr>
          <w:b/>
        </w:rPr>
        <w:t>Shared claim-specific concepts:</w:t>
      </w:r>
      <w:r>
        <w:t xml:space="preserve"> water, electricity, increase, increasing; EU scope visible. This is a provisional connection, not an outcome finding.</w:t>
      </w:r>
    </w:p>
    <w:p>
      <w:pPr>
        <w:pStyle w:val="SourceNote"/>
      </w:pPr>
      <w:r>
        <w:rPr>
          <w:b/>
        </w:rPr>
        <w:t>Available abstract (not full text):</w:t>
      </w:r>
      <w:r>
        <w:t xml:space="preserve"> Cloud and data services have experienced a constant increase in demand ever since their availability. Whether for computing of complex models, digital data storage, blockchain transactions or digital service hosting, digital data is having an increasingly important role in society. However, with the increasing presence of data centers, not only the availability and quality of cloud and data services increases, but also the demand for electricity and water by the digital services industry. This work aims to provide an estimation for the current and future water consumption of digital data services in Europe from 2022 to 2030. The projection considers European trends for population, data services consumption, technological development, data transmission and energy consumption among other factors. Publicly available data was combined with literature research to extrapolate the development of digital data usage in Europe until 2030. The results demonstrate that from 273.4 to 820.1 million cubic meters of water and from 56.3 to 169 Terawatt-hour of electricity will be consumed yearly in Europe in 2030 for internet usage.</w:t>
      </w:r>
    </w:p>
    <w:p>
      <w:pPr/>
      <w:r>
        <w:rPr>
          <w:b/>
        </w:rPr>
        <w:t>POSSIBLE 2023:</w:t>
      </w:r>
      <w:r>
        <w:t xml:space="preserve"> The water, land, and carbon intensity of electricity production: The case of South Africa — https://doi.org/10.1016/j.jclepro.2023.136945</w:t>
      </w:r>
    </w:p>
    <w:p>
      <w:pPr/>
      <w:r>
        <w:rPr>
          <w:b/>
        </w:rPr>
        <w:t>Shared claim-specific concepts:</w:t>
      </w:r>
      <w:r>
        <w:t xml:space="preserve"> water, electricity, production, increase, decrease, resources; EU scope not established. This is a provisional connection, not an outcome finding.</w:t>
      </w:r>
    </w:p>
    <w:p>
      <w:pPr>
        <w:pStyle w:val="SourceNote"/>
      </w:pPr>
      <w:r>
        <w:rPr>
          <w:b/>
        </w:rPr>
        <w:t>Available abstract (not full text):</w:t>
      </w:r>
      <w:r>
        <w:t xml:space="preserve"> Electricity production has a significant impact on the Water-Energy-Food nexus sectors as it requires substantial amounts of water and land, whilst also being a primary polluter of these resources. In addition, electricity production is a key contributor to global carbon emissions . With electricity production predicted to increase by over 50% by 2050, the impact of electricity production on water and land resources , as well as on carbon emissions , will need to be significantly reduced. This is particularly important in countries facing water, energy, and food scarcity and insecurity, such as South Africa . This paper therefore investigates the impact of electricity production on the Water-Energy-Food nexus sectors and on carbon emissions in South Africa. To do this, we conduct a lifecycle assessment of the water and land required for electricity production, as well as its carbon emissions in South Africa, by electricity source, and under key scenarios. The results from the Integrated Resource Plan 2030 scenario show that despite a 34% increase in electricity production targeted from 2018 to 2030 in South Africa, the water and land requirements, and the carbon emissions of electricity production would decrease by 29%, 9%, and 5.5%, respectively. Compared to the Business-as-Usual 2030 scenario, it was shown that the water and land requirements and carbon emissions of electrici</w:t>
      </w:r>
    </w:p>
    <w:p>
      <w:pPr/>
      <w:r>
        <w:rPr>
          <w:b/>
        </w:rPr>
        <w:t>POSSIBLE 2023:</w:t>
      </w:r>
      <w:r>
        <w:t xml:space="preserve"> Optimizing biomass pathways to bioenergy and biochar application in electricity generation, biodiesel production, and biohydrogen production — https://doi.org/10.1007/s10311-023-01613-2</w:t>
      </w:r>
    </w:p>
    <w:p>
      <w:pPr/>
      <w:r>
        <w:rPr>
          <w:b/>
        </w:rPr>
        <w:t>Shared claim-specific concepts:</w:t>
      </w:r>
      <w:r>
        <w:t xml:space="preserve"> electricity, production, increase; EU scope not established. This is a provisional connection, not an outcome finding.</w:t>
      </w:r>
    </w:p>
    <w:p>
      <w:pPr>
        <w:pStyle w:val="SourceNote"/>
      </w:pPr>
      <w:r>
        <w:rPr>
          <w:b/>
        </w:rPr>
        <w:t>Available abstract (not full text):</w:t>
      </w:r>
      <w:r>
        <w:t xml:space="preserve"> Abstract The current energy crisis, depletion of fossil fuels, and global climate change have made it imperative to find alternative sources of energy that are both economically sustainable and environmentally friendly. Here we review various pathways for converting biomass into bioenergy and biochar and their applications in producing electricity, biodiesel, and biohydrogen. Biomass can be converted into biofuels using different methods, including biochemical and thermochemical conversion methods. Determining which approach is best relies on the type of biomass involved, the desired final product, and whether or not it is economically sustainable. Biochemical conversion methods are currently the most widely used for producing biofuels from biomass, accounting for approximately 80% of all biofuels produced worldwide. Ethanol and biodiesel are the most prevalent biofuels produced via biochemical conversion processes. Thermochemical conversion is less used than biochemical conversion, accounting for approximately 20% of biofuels produced worldwide. Bio-oil and syngas, commonly manufactured from wood chips, agricultural waste, and municipal solid waste, are the major biofuels produced by thermochemical conversion. Biofuels produced from biomass have the potential to displace up to 27% of the world's transportation fuel by 2050, which could result in a reduction in greenhouse gas e</w:t>
      </w:r>
    </w:p>
    <w:p>
      <w:pPr>
        <w:pStyle w:val="Heading2"/>
      </w:pPr>
      <w:r>
        <w:t>992. ‘Energy landscapes’: Meeting energy demands and human aspirations</w:t>
      </w:r>
    </w:p>
    <w:p>
      <w:pPr>
        <w:pStyle w:val="SourceNote"/>
      </w:pPr>
      <w:r>
        <w:rPr>
          <w:b/>
        </w:rPr>
        <w:t>Original source (2012):</w:t>
      </w:r>
      <w:r>
        <w:t xml:space="preserve"> https://doi.org/10.1016/j.biombioe.2012.11.022</w:t>
      </w:r>
    </w:p>
    <w:p>
      <w:pPr/>
      <w:r>
        <w:t>Original wording (abstract; indexed_source_text_not_full_document_verified): A critical question considered in this article is whether a massive expansion in the use of biomass will allow us to construct future scenarios while repositioning the 'energy landscape' as an object of study.</w:t>
      </w:r>
    </w:p>
    <w:p>
      <w:pPr/>
      <w:r>
        <w:rPr>
          <w:b/>
        </w:rPr>
        <w:t>POSSIBLE 2024:</w:t>
      </w:r>
      <w:r>
        <w:t xml:space="preserve"> The effects of critical questions on undergraduate students' argumentative writing — https://doi.org/10.58088/bfrb-jk48</w:t>
      </w:r>
    </w:p>
    <w:p>
      <w:pPr/>
      <w:r>
        <w:rPr>
          <w:b/>
        </w:rPr>
        <w:t>Shared claim-specific concepts:</w:t>
      </w:r>
      <w:r>
        <w:t xml:space="preserve"> critical, whether, use; EU scope not established. This is a provisional connection, not an outcome finding.</w:t>
      </w:r>
    </w:p>
    <w:p>
      <w:pPr>
        <w:pStyle w:val="SourceNote"/>
      </w:pPr>
      <w:r>
        <w:rPr>
          <w:b/>
        </w:rPr>
        <w:t>Available abstract (not full text):</w:t>
      </w:r>
      <w:r>
        <w:t xml:space="preserve"> Despite the established importance of writing, many students have difficulty writing proficiently (Ann Rogers &amp; Graham, 2008; Graham &amp; Perin, 2007). This study was designed to assess whether the provision of argumentative writing goals focusing on revision affected the quality of college students’ first drafts and revised essays. In addition, I investigated whether participants’ keyboarding fluency was related to essay quality. Participants first completed a typing-speed test and wrote argumentative essays. Then, they were asked to revise and write another essay on a different topic after receiving either a general goal, a genre-specific elaborated goal, a goal that included critical questions about two argumentation strategies, or a goal that incorporated the elaborated goal and critical questions. College students’ keyboarding fluency was found to be positively correlated with the quality of their argumentative essays. Compared to students who were given a general goal, those who received the elaborated goal, critical questions, or the incorporation of the elaborated goal and critical questions wrote revised essays of higher quality. Additionally, students who received the elaborated goal and the incorporation of the elaborated goal and critical conditions wrote essays that included more rebuttals, alternative standpoints, and reasons for alternative standpoints. Argumentatio</w:t>
      </w:r>
    </w:p>
    <w:p>
      <w:pPr/>
      <w:r>
        <w:rPr>
          <w:b/>
        </w:rPr>
        <w:t>POSSIBLE 2024:</w:t>
      </w:r>
      <w:r>
        <w:t xml:space="preserve"> Critical-Questions-of-Thought: Steering LLM reasoning with Argumentative Querying — https://doi.org/10.48550/arxiv.2412.15177</w:t>
      </w:r>
    </w:p>
    <w:p>
      <w:pPr/>
      <w:r>
        <w:rPr>
          <w:b/>
        </w:rPr>
        <w:t>Shared claim-specific concepts:</w:t>
      </w:r>
      <w:r>
        <w:t xml:space="preserve"> critical, whether, use; EU scope not established. This is a provisional connection, not an outcome finding.</w:t>
      </w:r>
    </w:p>
    <w:p>
      <w:pPr>
        <w:pStyle w:val="SourceNote"/>
      </w:pPr>
      <w:r>
        <w:rPr>
          <w:b/>
        </w:rPr>
        <w:t>Available abstract (not full text):</w:t>
      </w:r>
      <w:r>
        <w:t xml:space="preserve"> Studies have underscored how, regardless of the recent breakthrough and swift advances in AI research, even state-of-the-art Large Language models (LLMs) continue to struggle when performing logical and mathematical reasoning. The results seem to suggest that LLMs still work as (highly advanced) data pattern identifiers, scoring poorly when attempting to generalise and solve reasoning problems the models have never previously seen or that are not close to samples presented in their training data. To address this compelling concern, this paper makes use of the notion of critical questions from the literature on argumentation theory, focusing in particular on Toulmin's model of argumentation. We show that employing these critical questions can improve the reasoning capabilities of LLMs. By probing the rationale behind the models' reasoning process, the LLM can assess whether some logical mistake is occurring and correct it before providing the final reply to the user prompt. The underlying idea is drawn from the gold standard of any valid argumentative procedure: the conclusion is valid if it is entailed by accepted premises. Or, to paraphrase such Aristotelian principle in a real-world approximation, characterised by incomplete information and presumptive logic, the conclusion is valid if not proved otherwise. This approach successfully steers the models' output through a reason</w:t>
      </w:r>
    </w:p>
    <w:p>
      <w:pPr/>
      <w:r>
        <w:rPr>
          <w:b/>
        </w:rPr>
        <w:t>POSSIBLE 2024:</w:t>
      </w:r>
      <w:r>
        <w:t xml:space="preserve"> Wireless 6G Connectivity for Massive Number of Devices and Critical Services — https://doi.org/10.1109/jproc.2024.3484529</w:t>
      </w:r>
    </w:p>
    <w:p>
      <w:pPr/>
      <w:r>
        <w:rPr>
          <w:b/>
        </w:rPr>
        <w:t>Shared claim-specific concepts:</w:t>
      </w:r>
      <w:r>
        <w:t xml:space="preserve"> critical, article, massive; EU scope not established. This is a provisional connection, not an outcome finding.</w:t>
      </w:r>
    </w:p>
    <w:p>
      <w:pPr>
        <w:pStyle w:val="SourceNote"/>
      </w:pPr>
      <w:r>
        <w:rPr>
          <w:b/>
        </w:rPr>
        <w:t>Available abstract (not full text):</w:t>
      </w:r>
      <w:r>
        <w:t xml:space="preserve"> Compared to the generations up to 4G, whose main focus was on broadband and coverage aspects, 5G has expanded the scope of wireless cellular systems toward embracing two new types of connectivity: massive machine-type communications (mMTCs) and ultrareliable low-latency communications (URLLCs). This article discusses the possible evolution of these two types of connectivity within the umbrella of 6G wireless systems. This article consists of three parts. The first part deals with the connectivity for a massive number of devices. While mMTC research in 5G predominantly focuses on the problem of uncoordinated access in the uplink for a large number of devices, the traffic patterns in 6G may become more symmetric, leading to closed-loop massive connectivity. One of the drivers for this type of traffic pattern is distributed/decentralized learning and inference. The second part of this article discusses the evolution of wireless connectivity for critical services. While latency and reliability are tightly coupled in 5G, 6G will support a variety of safety-critical control applications with different types of timing requirements, as evidenced by the emergence of metrics related to information freshness and information value. In addition, ensuring ultrahigh reliability for safety-critical control applications requires modeling and estimation of the tail statistics of the wireless cha</w:t>
      </w:r>
    </w:p>
    <w:p>
      <w:pPr/>
      <w:r>
        <w:rPr>
          <w:b/>
        </w:rPr>
        <w:t>POSSIBLE 2024:</w:t>
      </w:r>
      <w:r>
        <w:t xml:space="preserve"> Moduli space of logarithmic states in critical massive gravities — https://doi.org/10.1140/epjc/s10052-024-12614-y</w:t>
      </w:r>
    </w:p>
    <w:p>
      <w:pPr/>
      <w:r>
        <w:rPr>
          <w:b/>
        </w:rPr>
        <w:t>Shared claim-specific concepts:</w:t>
      </w:r>
      <w:r>
        <w:t xml:space="preserve"> critical, massive, allow; EU scope not established. This is a provisional connection, not an outcome finding.</w:t>
      </w:r>
    </w:p>
    <w:p>
      <w:pPr>
        <w:pStyle w:val="SourceNote"/>
      </w:pPr>
      <w:r>
        <w:rPr>
          <w:b/>
        </w:rPr>
        <w:t>Available abstract (not full text):</w:t>
      </w:r>
      <w:r>
        <w:t xml:space="preserve"> Abstract We take new algebraic and geometric perspectives on the combinatorial results recently obtained on the partition functions of critical massive gravities conjectured to be dual to Logarithmic CFTs through the AdS $$_3$$ 3 /LCFT $$_2$$ 2 correspondence. We show that the partition functions of logarithmic states can be expressed in terms of Schur polynomials. Subsequently, we show that the moduli space of the logarithmic states is the symmetric product $$S^n\left( {\mathbb {C}}^2 \right) $$ S n C 2 . As the quotient of an affine space by the symmetric group, this orbifold space is shown to be described by Hilbert series that have palindromic numerators. The palindromic properties of the Hilbert series indicate that the orbifolds are Calabi-Yau, and allow for a new interpretation of the logarithmic state spaces in critical massive gravities as Calabi-Yau singular spaces.</w:t>
      </w:r>
    </w:p>
    <w:p>
      <w:pPr/>
      <w:r>
        <w:rPr>
          <w:b/>
        </w:rPr>
        <w:t>POSSIBLE 2024:</w:t>
      </w:r>
      <w:r>
        <w:t xml:space="preserve"> To Be Frail or Not to Be Frail: This Is the Question—A Critical Narrative Review of Frailty — https://doi.org/10.3390/jcm13030721</w:t>
      </w:r>
    </w:p>
    <w:p>
      <w:pPr/>
      <w:r>
        <w:rPr>
          <w:b/>
        </w:rPr>
        <w:t>Shared claim-specific concepts:</w:t>
      </w:r>
      <w:r>
        <w:t xml:space="preserve"> critical, question, considered; EU scope visible. This is a provisional connection, not an outcome finding.</w:t>
      </w:r>
    </w:p>
    <w:p>
      <w:pPr>
        <w:pStyle w:val="SourceNote"/>
      </w:pPr>
      <w:r>
        <w:rPr>
          <w:b/>
        </w:rPr>
        <w:t>Available abstract (not full text):</w:t>
      </w:r>
      <w:r>
        <w:t xml:space="preserve"> Many factors have contributed to rendering frailty an emerging, relevant, and very popular concept. First, many pandemics that have affected humanity in history, including COVID-19, most recently, have had more severe effects on frail people compared to non-frail ones. Second, the increase in human life expectancy observed in many developed countries, including Italy has led to a rise in the percentage of the older population that is more likely to be frail, which is why frailty is much a more common concern among geriatricians compared to other the various health-care professionals. Third, the stratification of people according to the occurrence and the degree of frailty allows healthcare decision makers to adequately plan for the allocation of available human professional and economic resources. Since frailty is considered to be fully preventable, there are relevant consequences in terms of potential benefits both in terms of the clinical outcome and healthcare costs. Frailty is becoming a popular, pervasive, and almost omnipresent concept in many different contexts, including clinical medicine, physical health, lifestyle behavior, mental health, health policy, and socio-economic planning sciences. The emergence of the new "science of frailty" has been recently acknowledged. However, there is still debate on the exact definition of frailty, the pathogenic mechanisms involved,</w:t>
      </w:r>
    </w:p>
    <w:p>
      <w:pPr/>
      <w:r>
        <w:rPr>
          <w:b/>
        </w:rPr>
        <w:t>POSSIBLE 2024:</w:t>
      </w:r>
      <w:r>
        <w:t xml:space="preserve"> The Evolution of Massive Binary Stars — https://doi.org/10.1146/annurev-astro-052722-105936</w:t>
      </w:r>
    </w:p>
    <w:p>
      <w:pPr/>
      <w:r>
        <w:rPr>
          <w:b/>
        </w:rPr>
        <w:t>Shared claim-specific concepts:</w:t>
      </w:r>
      <w:r>
        <w:t xml:space="preserve"> critical, massive, object; EU scope not established. This is a provisional connection, not an outcome finding.</w:t>
      </w:r>
    </w:p>
    <w:p>
      <w:pPr>
        <w:pStyle w:val="SourceNote"/>
      </w:pPr>
      <w:r>
        <w:rPr>
          <w:b/>
        </w:rPr>
        <w:t>Available abstract (not full text):</w:t>
      </w:r>
      <w:r>
        <w:t xml:space="preserve"> Massive stars play a major role in the evolution of their host galaxies and serve as important probes of the distant Universe. It has been established that the majority of massive stars reside in close binaries and interact with their companion stars during their lifetimes. Such interactions drastically alter their life cycles and complicate our understanding of their evolution, but are also responsible for the production of interesting and exotic interaction products. ▪ Extensive observation campaigns with well-understood detection sensitivities have enabled the conversion of observed properties into intrinsic characteristics, facilitating a direct comparison to theory. ▪ Studies of large samples of massive stars in our Galaxy and the Magellanic Clouds have unveiled new types of interaction products, providing critical constraints on the mass transfer phase and the formation of compact objects. ▪ The direct detection of gravitational waves has revolutionized the study of stellar mass compact objects, providing a new window to study massive star evolution. Their formation processes are, however, still unclear. The known sample of compact object mergers will increase by orders of magnitude in the coming decade, which is vastly outgrowing the number of stellar-mass compact objects detected through electromagnetic radiation.</w:t>
      </w:r>
    </w:p>
    <w:p>
      <w:pPr/>
      <w:r>
        <w:rPr>
          <w:b/>
        </w:rPr>
        <w:t>POSSIBLE 2023:</w:t>
      </w:r>
      <w:r>
        <w:t xml:space="preserve"> Bridging dialogic pedagogy and argumentation theory through critical questions — https://doi.org/10.5195/dpj.2023.548</w:t>
      </w:r>
    </w:p>
    <w:p>
      <w:pPr/>
      <w:r>
        <w:rPr>
          <w:b/>
        </w:rPr>
        <w:t>Shared claim-specific concepts:</w:t>
      </w:r>
      <w:r>
        <w:t xml:space="preserve"> critical, considered, article, construct; EU scope not established. This is a provisional connection, not an outcome finding.</w:t>
      </w:r>
    </w:p>
    <w:p>
      <w:pPr>
        <w:pStyle w:val="SourceNote"/>
      </w:pPr>
      <w:r>
        <w:rPr>
          <w:b/>
        </w:rPr>
        <w:t>Available abstract (not full text):</w:t>
      </w:r>
      <w:r>
        <w:t xml:space="preserve"> This article explores the relationship between argumentation theory and dialogic pedagogy. Arguments made in everyday discourse tend to be enthymematic, i.e., containing implicit premises. Thus, dialogue is often necessary to uncover hidden assumptions. Furthermore, evaluating logical arguments involves dialectical and dialogic processes. We articulate the role of critical questions in this process and present the Critical Questions Model of Argument Assessment (CQMAA) as a (mostly) comprehensive framework for evaluating arguments. Students can be taught to ask and discuss these critical questions. Yet to facilitate and sustain discussion of these questions, teachers need additional tools drawn from dialogic pedagogy. We draw on Robin Alexander’s conceptual framework for this purpose as well as Michaels and O’Connor’s work on Academically Productive Talk. Alexander’s framework includes six pedagogical principles and eight repertoires of talk. We focus specifically on teacher and student talk moves and propose that critical questions should be considered an important subset of productive talk moves that can bring rigor and purpose to classroom argumentation. Other talk moves are also needed to help students construct arguments, listen and engage with one another, and help sustain discussion of the critical questions. The CQMAA provides both a theoretical and practical link betwe</w:t>
      </w:r>
    </w:p>
    <w:p>
      <w:pPr/>
      <w:r>
        <w:rPr>
          <w:b/>
        </w:rPr>
        <w:t>POSSIBLE 2023:</w:t>
      </w:r>
      <w:r>
        <w:t xml:space="preserve"> ‘And yet’ … Critical questions, complicated conversations: curating a TYA curriculum — https://doi.org/10.1080/13569783.2023.2232734</w:t>
      </w:r>
    </w:p>
    <w:p>
      <w:pPr/>
      <w:r>
        <w:rPr>
          <w:b/>
        </w:rPr>
        <w:t>Shared claim-specific concepts:</w:t>
      </w:r>
      <w:r>
        <w:t xml:space="preserve"> critical, considered, article; EU scope not established. This is a provisional connection, not an outcome finding.</w:t>
      </w:r>
    </w:p>
    <w:p>
      <w:pPr>
        <w:pStyle w:val="SourceNote"/>
      </w:pPr>
      <w:r>
        <w:rPr>
          <w:b/>
        </w:rPr>
        <w:t>Available abstract (not full text):</w:t>
      </w:r>
      <w:r>
        <w:t xml:space="preserve"> Can critical questions and complicated conversations addressing issues of representation, difference, and witnessing be positioned at the centre of a TYA curriculum? This article examines contemporary, issue-based and culturally specific TYA scripts. In addition, a collection of aesthetic representations are offered as dynamic prompts to help further provoke dialogue across difference, and to invite different forms of knowing and knowledge into our shared TYA spaces. These curated sources are considered alongside the wisdom of Elie Wiesel, Johnston’s ‘Slow Curation’, Lauzon’s ‘Cultural Intimacy’, and Rothberg’s ‘Multidirectional Memory’ concepts in the effort to welcome and sustain relationships across multiple and challenging contexts.</w:t>
      </w:r>
    </w:p>
    <w:p>
      <w:pPr/>
      <w:r>
        <w:rPr>
          <w:b/>
        </w:rPr>
        <w:t>POSSIBLE 2023:</w:t>
      </w:r>
      <w:r>
        <w:t xml:space="preserve"> The Critical in Husserl's Phenomenology: the Levels of Constitution as a Question of Method — https://openalex.org/W7135703715</w:t>
      </w:r>
    </w:p>
    <w:p>
      <w:pPr/>
      <w:r>
        <w:rPr>
          <w:b/>
        </w:rPr>
        <w:t>Shared claim-specific concepts:</w:t>
      </w:r>
      <w:r>
        <w:t xml:space="preserve"> critical, question, considered; EU scope not established. This is a provisional connection, not an outcome finding.</w:t>
      </w:r>
    </w:p>
    <w:p>
      <w:pPr>
        <w:pStyle w:val="SourceNote"/>
      </w:pPr>
      <w:r>
        <w:rPr>
          <w:b/>
        </w:rPr>
        <w:t>Available abstract (not full text):</w:t>
      </w:r>
      <w:r>
        <w:t xml:space="preserve"> The Critical in Husserl's Phenomenology: the Levels of Constitution as a Question of Method Considering the contemporary discussion between critical, applied and engaged phenomenology, there seems to be a claim for a critical stand when it comes to considering concrete experience and, moreover, those experiences that have been neglected throughout history. Thus, the present work has the aim to show that this movement is characterized by the need of a critical potential which is already present in Edmund Husserl's work. Moreover, this potential is considered here as a question related to the method, through which we gain access to the underlying structures of experience. Thus, the five levels described are the following: intersubjective community, interpersonal intersubjectivity, active constitution, passive synthesis and hyletic flow. According to this, the focus is set on showing the way in which they are always connected to one another allowing thus to describe the complexity through which experience is articulated. Key Words: Critical phenomenology, phenomenological method, levels of constitution, complexity of experience.</w:t>
      </w:r>
    </w:p>
    <w:p>
      <w:pPr/>
      <w:r>
        <w:rPr>
          <w:b/>
        </w:rPr>
        <w:t>POSSIBLE 2022:</w:t>
      </w:r>
      <w:r>
        <w:t xml:space="preserve"> A Network of Argumentation Schemes and Critical Questions — https://doi.org/10.22329/il.v42i4.6877</w:t>
      </w:r>
    </w:p>
    <w:p>
      <w:pPr/>
      <w:r>
        <w:rPr>
          <w:b/>
        </w:rPr>
        <w:t>Shared claim-specific concepts:</w:t>
      </w:r>
      <w:r>
        <w:t xml:space="preserve"> critical, use, construct; EU scope not established. This is a provisional connection, not an outcome finding.</w:t>
      </w:r>
    </w:p>
    <w:p>
      <w:pPr>
        <w:pStyle w:val="SourceNote"/>
      </w:pPr>
      <w:r>
        <w:rPr>
          <w:b/>
        </w:rPr>
        <w:t>Available abstract (not full text):</w:t>
      </w:r>
      <w:r>
        <w:t xml:space="preserve"> In this paper, we devise a network that consists of argumentation schemes and critical questions that participants in debates can use to easily construct arguments that attack or support former arguments. As a prototype, we build a potential network of argumentation schemes and critical questions with a practical reasoning scheme at its center. The usefulness of a NASCQ in constructing and reconstructing complex arguments and in formal argumentation is also explored along with argumentation more broadly.</w:t>
      </w:r>
    </w:p>
    <w:p>
      <w:pPr/>
      <w:r>
        <w:rPr>
          <w:b/>
        </w:rPr>
        <w:t>POSSIBLE 2020:</w:t>
      </w:r>
      <w:r>
        <w:t xml:space="preserve"> Massive islands — https://doi.org/10.1007/jhep09(2020)121</w:t>
      </w:r>
    </w:p>
    <w:p>
      <w:pPr/>
      <w:r>
        <w:rPr>
          <w:b/>
        </w:rPr>
        <w:t>Shared claim-specific concepts:</w:t>
      </w:r>
      <w:r>
        <w:t xml:space="preserve"> question, massive, use; EU scope not established. This is a provisional connection, not an outcome finding.</w:t>
      </w:r>
    </w:p>
    <w:p>
      <w:pPr>
        <w:pStyle w:val="SourceNote"/>
      </w:pPr>
      <w:r>
        <w:rPr>
          <w:b/>
        </w:rPr>
        <w:t>Available abstract (not full text):</w:t>
      </w:r>
      <w:r>
        <w:t xml:space="preserve"> A bstract We comment on the role of the graviton mass in recent calculations of the Page curve using holographic ideas. All reliable calculations of the Page curve in more than 2+1 spacetime dimensions have been performed in systems with massive gravitons. A crucial ingredient in these calculations is the formation of islands, regions that contribute to the entropy of degrees of freedom located elsewhere. While most often simply ignored, it is indeed true that mass of the graviton does not appear to significantly affect the calculations that appeared in the literature. We use the freedom to change the graviton mass to give an extremely simple model of analytically tractable island formation in general dimensions. We do however note that if one attempts to take the limit of zero graviton mass, any contribution from the islands disappears. This raises the question to what extent entanglement islands can play a role in standard massless gravity.</w:t>
      </w:r>
    </w:p>
    <w:p>
      <w:pPr/>
      <w:r>
        <w:rPr>
          <w:b/>
        </w:rPr>
        <w:t>POSSIBLE 2020:</w:t>
      </w:r>
      <w:r>
        <w:t xml:space="preserve"> Critical Care Medicine Review: 1000 Questions and Answers — https://doi.org/10.1213/ane.0000000000005240</w:t>
      </w:r>
    </w:p>
    <w:p>
      <w:pPr/>
      <w:r>
        <w:rPr>
          <w:b/>
        </w:rPr>
        <w:t>Shared claim-specific concepts:</w:t>
      </w:r>
      <w:r>
        <w:t xml:space="preserve"> critical, question, considered, whether; EU scope visible. This is a provisional connection, not an outcome finding.</w:t>
      </w:r>
    </w:p>
    <w:p>
      <w:pPr>
        <w:pStyle w:val="SourceNote"/>
      </w:pPr>
      <w:r>
        <w:rPr>
          <w:b/>
        </w:rPr>
        <w:t>Available abstract (not full text):</w:t>
      </w:r>
      <w:r>
        <w:t xml:space="preserve"> As time passes, most clinicians working in the field of critical care tend to forget how vast their specialty is—especially those working in large university hospitals which have several specialized intensive care units. Critical Care Medicine Review: 1000Questions andAnswers is a lesson in humility—even hardened intensive care unit (ICU) veterans will face questions that will make them sweat and (hopefully) motivate them to refresh their knowledge. The fact that the editors are members of Massachusetts General Hospital and Harvard University School of Medicine faculty is reassuring, as many critical care physicians (author included) have consulted the “Critical Care Handbook of the Massachusetts General Hospital” during training and in clinical practice. The first impression this book leaves (even before opening it) is its sheer size—although it is made in plasticized paperback, it is still pretty heavy, and in the author’s opinion, digital version (which will be covered later in this review) is the recommended method of going through it. As most books of this variety, it is written in question/answer format which is a great way of assessment of one’s knowledge and learning through trial and error. All fields of intensive care medicine have been extensively covered in these 1000 questions which were divided into 123 (!) chapters. On average, there are 8–10 questions per chapte</w:t>
      </w:r>
    </w:p>
    <w:p>
      <w:pPr>
        <w:pStyle w:val="Heading2"/>
      </w:pPr>
      <w:r>
        <w:t>993. Actual and potential development of consumer demand on the organic food market in Europe</w:t>
      </w:r>
    </w:p>
    <w:p>
      <w:pPr>
        <w:pStyle w:val="SourceNote"/>
      </w:pPr>
      <w:r>
        <w:rPr>
          <w:b/>
        </w:rPr>
        <w:t>Original source (2011):</w:t>
      </w:r>
      <w:r>
        <w:t xml:space="preserve"> https://doi.org/10.1016/j.njas.2011.01.005</w:t>
      </w:r>
    </w:p>
    <w:p>
      <w:pPr/>
      <w:r>
        <w:t>Original wording (abstract; indexed_source_text_not_full_document_verified): A likely scenario for future demand is that of continued stable expansion, dependent upon whether increasing input costs will favour organic production, whether the relative gap between organic and conventional food prices becomes smaller, whether organic products will be distributed more widely on national markets, and whether support for research and conversion of organic production systems on the part of public authorities is enhanced.</w:t>
      </w:r>
    </w:p>
    <w:p>
      <w:pPr/>
      <w:r>
        <w:rPr>
          <w:b/>
        </w:rPr>
        <w:t>POSSIBLE 2026:</w:t>
      </w:r>
      <w:r>
        <w:t xml:space="preserve"> Range expansion of the golden jackal (Canis aureus) in Europe — https://doi.org/10.53452/tu3112</w:t>
      </w:r>
    </w:p>
    <w:p>
      <w:pPr/>
      <w:r>
        <w:rPr>
          <w:b/>
        </w:rPr>
        <w:t>Shared claim-specific concepts:</w:t>
      </w:r>
      <w:r>
        <w:t xml:space="preserve"> expansion, increasing, widely; EU scope visible. This is a provisional connection, not an outcome finding.</w:t>
      </w:r>
    </w:p>
    <w:p>
      <w:pPr>
        <w:pStyle w:val="SourceNote"/>
      </w:pPr>
      <w:r>
        <w:rPr>
          <w:b/>
        </w:rPr>
        <w:t>Available abstract (not full text):</w:t>
      </w:r>
      <w:r>
        <w:t xml:space="preserve"> The golden jackal (Canis aureus) is undergoing one of the most rapid and extensive range expansions of any terrestrial carnivore in modern Europe, prompting an urgent need to understand its primary drivers. While climate warming has been widely invoked as a facilitating factor, quantitative evidence linking specific climatic thresholds to the expansion has remained limited. Here, we employ a species distribution modelling (SDM) framework using Maxent, calibrated with 840 spatially thinned occurrence records across Europe and evaluated across three independent climate databases (CliMond, WorldClim, and CMCC-BioClimInd). We apply SHAP (SHapley Additive exPlanations) analysis to hierarchically rank and interpret the contribution of individual climatic variables to predicted habitat suitability. Our models demonstrate robust predictive performance (AUC&gt;0.7; continuous Boyce Index&gt;0.7). SHAP analysis identifies five predominant drivers: Temperature Annual Range, Minimum Temperature of the Coldest Month, Temperature Seasonality, Isothermality, and Precipitation of the Warmest Quarter. Critically, the Minimum Temperature of the Coldest Month exhibits a sharp threshold effect, with suitability increasing rapidly above -15°C and peaking near -3°C, consistent with the hypothesis that the northward retreat of severe winter cold is a primary enabler of expansion. Our model predicts high ha</w:t>
      </w:r>
    </w:p>
    <w:p>
      <w:pPr/>
      <w:r>
        <w:rPr>
          <w:b/>
        </w:rPr>
        <w:t>POSSIBLE 2025:</w:t>
      </w:r>
      <w:r>
        <w:t xml:space="preserve"> Continuing recovery of wolves in Europe — https://doi.org/10.1371/journal.pstr.0000158</w:t>
      </w:r>
    </w:p>
    <w:p>
      <w:pPr/>
      <w:r>
        <w:rPr>
          <w:b/>
        </w:rPr>
        <w:t>Shared claim-specific concepts:</w:t>
      </w:r>
      <w:r>
        <w:t xml:space="preserve"> increasing, distributed; EU scope visible. This is a provisional connection, not an outcome finding.</w:t>
      </w:r>
    </w:p>
    <w:p>
      <w:pPr>
        <w:pStyle w:val="SourceNote"/>
      </w:pPr>
      <w:r>
        <w:rPr>
          <w:b/>
        </w:rPr>
        <w:t>Available abstract (not full text):</w:t>
      </w:r>
      <w:r>
        <w:t xml:space="preserve"> The recovery of wolves ( Canis lupus ) across Europe is a notable conservation success in a region with extensive human alteration of landscapes and high human population densities. We provide a comprehensive update on wolf populations in Europe, estimated at over 21,500 individuals by 2022, representing a 58% increase over the past decade. Despite the challenges of high human densities and significant land use for agriculture, industry, and urbanization, wolves have demonstrated remarkable adaptability and increasing population trends in most European countries. Improved monitoring techniques, although varying in quality and scope, have played a crucial role in tracking this recovery. Annually, wolves kill approximately 56,000 domestic animals in the EU, a risk unevenly distributed and differently handled across regions. Damage compensation costs 17 million EUR every year to European countries. Positive economic impacts from wolf presence, such as those related to reducing traffic accidents with wild ungulates or supporting wildlife tourism, remain under studied. Wolf recovery in Europe is supported by diverse policy and legal instruments such as LIFE programs, stakeholder platforms, as well as the EU Habitats Directive and the Bern Convention. Coexisting with newly established wolf populations in Europe entails managing impacts on human activities, including livestock depreda</w:t>
      </w:r>
    </w:p>
    <w:p>
      <w:pPr/>
      <w:r>
        <w:rPr>
          <w:b/>
        </w:rPr>
        <w:t>POSSIBLE 2023:</w:t>
      </w:r>
      <w:r>
        <w:t xml:space="preserve"> Demand Response Implementation: Overview of Europe and United States Status — https://doi.org/10.3390/en16104043</w:t>
      </w:r>
    </w:p>
    <w:p>
      <w:pPr/>
      <w:r>
        <w:rPr>
          <w:b/>
        </w:rPr>
        <w:t>Shared claim-specific concepts:</w:t>
      </w:r>
      <w:r>
        <w:t xml:space="preserve"> distributed, widely; EU scope visible. This is a provisional connection, not an outcome finding.</w:t>
      </w:r>
    </w:p>
    <w:p>
      <w:pPr>
        <w:pStyle w:val="SourceNote"/>
      </w:pPr>
      <w:r>
        <w:rPr>
          <w:b/>
        </w:rPr>
        <w:t>Available abstract (not full text):</w:t>
      </w:r>
      <w:r>
        <w:t xml:space="preserve"> The authors review the efforts made in the last five years to implement Demand Response (DR) programs, considering and studying several models and countries. As motivation, climate change has been a topic widely discussed in the last decades, namely in the power and energy sectors. Therefore, it is crucial to substitute non-renewable fuels with more environment-friendly solutions. Enabling Distributed Generation (DG), namely using renewable resources such as wind and solar, can be part of the solution to reduce the greenhouse effects. However, their unpredictable behavior might result in several problems for network management. Therefore, the consumer should become more flexible towards this new paradigm where the generation no longer follows the demand requests. With this, Demand Response (DR) concept is created as part of this solution. This paper studies the European Union and United States’ current status, with over 50 references.</w:t>
      </w:r>
    </w:p>
    <w:p>
      <w:pPr/>
      <w:r>
        <w:rPr>
          <w:b/>
        </w:rPr>
        <w:t>POSSIBLE 2022:</w:t>
      </w:r>
      <w:r>
        <w:t xml:space="preserve"> Future area expansion outweighs increasing drought risk for soybean in Europe — https://doi.org/10.1111/gcb.16562</w:t>
      </w:r>
    </w:p>
    <w:p>
      <w:pPr/>
      <w:r>
        <w:rPr>
          <w:b/>
        </w:rPr>
        <w:t>Shared claim-specific concepts:</w:t>
      </w:r>
      <w:r>
        <w:t xml:space="preserve"> expansion, dependent, increasing, production, gap; EU scope visible. This is a provisional connection, not an outcome finding.</w:t>
      </w:r>
    </w:p>
    <w:p>
      <w:pPr>
        <w:pStyle w:val="SourceNote"/>
      </w:pPr>
      <w:r>
        <w:rPr>
          <w:b/>
        </w:rPr>
        <w:t>Available abstract (not full text):</w:t>
      </w:r>
      <w:r>
        <w:t xml:space="preserve"> Abstract 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 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w:t>
      </w:r>
    </w:p>
    <w:p>
      <w:pPr/>
      <w:r>
        <w:rPr>
          <w:b/>
        </w:rPr>
        <w:t>POSSIBLE 2022:</w:t>
      </w:r>
      <w:r>
        <w:t xml:space="preserve"> Energy communities as demand-side innovators? Assessing the potential of European cases to reduce demand and foster flexibility — https://doi.org/10.1016/j.erss.2022.102848</w:t>
      </w:r>
    </w:p>
    <w:p>
      <w:pPr/>
      <w:r>
        <w:rPr>
          <w:b/>
        </w:rPr>
        <w:t>Shared claim-specific concepts:</w:t>
      </w:r>
      <w:r>
        <w:t xml:space="preserve"> whether, gap, widely; EU scope visible. This is a provisional connection, not an outcome finding.</w:t>
      </w:r>
    </w:p>
    <w:p>
      <w:pPr>
        <w:pStyle w:val="SourceNote"/>
      </w:pPr>
      <w:r>
        <w:rPr>
          <w:b/>
        </w:rPr>
        <w:t>Available abstract (not full text):</w:t>
      </w:r>
      <w:r>
        <w:t xml:space="preserve"> Energy communities (ECs) are widely recognised for their potential to generate renewable energy. By contrast, the capacity of ECs to reduce energy demand and foster flexibility has attracted little attention to date, despite their theoretical potential to do so. To address this gap, we apply three perspectives – social representations theory, actor-network theory, and business models – to the analysis of nine case studies based in six European countries (Germany, Italy, Slovenia, Sweden, Netherlands, and United Kingdom). The core of the article comprises analysis of the nine cases from each perspective. Our results highlight the (un)intended effects of ECs on the energy representations of members; the configurational work required by focal actors to assemble new socio-technical configurations; and the value creation and capture opportunities open to ECs in the creation of novel business models; These factors in turn impact whether and how ECs achieve demand reduction and flexibility. We summarise and discuss these results in a process of meta-theoretical triangulation to produce a multifaceted and relational account of the potential of ECs to develop demand-side solutions. This leads us to conclude that ECs have a distinct capacity to develop demand-side solutions, rooted in the creation of innovative socio-technical configurations; and that this distinct capacity of ECs has th</w:t>
      </w:r>
    </w:p>
    <w:p>
      <w:pPr/>
      <w:r>
        <w:rPr>
          <w:b/>
        </w:rPr>
        <w:t>POSSIBLE 2022:</w:t>
      </w:r>
      <w:r>
        <w:t xml:space="preserve"> Optimizing opportunities for oak woodland expansion into upland pastures — https://doi.org/10.1002/2688-8319.12126</w:t>
      </w:r>
    </w:p>
    <w:p>
      <w:pPr/>
      <w:r>
        <w:rPr>
          <w:b/>
        </w:rPr>
        <w:t>Shared claim-specific concepts:</w:t>
      </w:r>
      <w:r>
        <w:t xml:space="preserve"> likely, expansion, dependent, whether, increasing, between; EU scope visible. This is a provisional connection, not an outcome finding.</w:t>
      </w:r>
    </w:p>
    <w:p>
      <w:pPr>
        <w:pStyle w:val="SourceNote"/>
      </w:pPr>
      <w:r>
        <w:rPr>
          <w:b/>
        </w:rPr>
        <w:t>Available abstract (not full text):</w:t>
      </w:r>
      <w:r>
        <w:t xml:space="preserve"> Abstract Woodland expansion is widely advocated for the mitigation of climate change and its impacts. This is supported by ambitious targets for increasing tree cover in the United Kingdom and elsewhere to aid carbon storage, flood mitigation and biodiversity provision. However, it remains unclear whether natural tree establishment can supply demand for expanded treescapes in remote, anthropogenically modified upland landscapes. We assessed natural establishment of NW‐European native oak ( Quercus robur , Q. petraea ) saplings (&lt; 12 years) in UK upland pasture systems adjacent to established ‘Atlantic’ oak woodlands on Dartmoor, SW England. We compared the extent of natural sapling colonization (abundance) into pasture sites on the moorland fringe and assessed their survival and growth throughout early life history using long‐ and short‐term grazing exclusion experiments. Natural oak establishment typically occurred on naturally freely draining pasture slopes and at high densities (up to 1900 saplings per ha –1 ) within 20 m of the nearest adult congeneric. Beyond 20 m from a likely seed source, establishment was limited with no recorded establishment between 75–100 m. The natural establishment of oak saplings in grazed pastures was specific to ontogeny with livestock exclusion only favouring the density of older recruits (8–12 years). Results suggest an age‐dependent relations</w:t>
      </w:r>
    </w:p>
    <w:p>
      <w:pPr/>
      <w:r>
        <w:rPr>
          <w:b/>
        </w:rPr>
        <w:t>POSSIBLE 2021:</w:t>
      </w:r>
      <w:r>
        <w:t xml:space="preserve"> The role of demand response in the future renewable northern European energy system — https://doi.org/10.1016/j.energy.2021.121336</w:t>
      </w:r>
    </w:p>
    <w:p>
      <w:pPr/>
      <w:r>
        <w:rPr>
          <w:b/>
        </w:rPr>
        <w:t>Shared claim-specific concepts:</w:t>
      </w:r>
      <w:r>
        <w:t xml:space="preserve"> increasing, between; EU scope visible. This is a provisional connection, not an outcome finding.</w:t>
      </w:r>
    </w:p>
    <w:p>
      <w:pPr>
        <w:pStyle w:val="SourceNote"/>
      </w:pPr>
      <w:r>
        <w:rPr>
          <w:b/>
        </w:rPr>
        <w:t>Available abstract (not full text):</w:t>
      </w:r>
      <w:r>
        <w:t xml:space="preserve"> Increasing demand response (DR) from households, industry and tertiary sector may provide substantial flexibility in renewable-based energy systems, but the deployment of DR is currently limited. This study examines the future economic potential DR in the renewable rich northern European region, and also analyses power markets impacts of large-scale DR deployment in the region. For the quantifications, the energy system model BALMOREL is used, modified to include a detailed temporal modelling of available DR potentials. Results show that among the DR options analysed, space heating and water heating provide the highest shares of loads shifted. The overall demand response potential is particularly high in Norway and Sweden, due to wide-spread electric space- and water heating. Low variable costs make these DR applications economically feasible for deployment, despite high supply-side flexibility provided by regulated hydro power. DR may contribute to peak shaving of up to 18.6% of total peak load in 2050. Revenues from DR-application yield very different results depending on techno-economic parameters, potentials and the price volatility in the various analysed market areas. Results show an insignificant change in CO2 emissions between scenarios with and without demand response.</w:t>
      </w:r>
    </w:p>
    <w:p>
      <w:pPr/>
      <w:r>
        <w:rPr>
          <w:b/>
        </w:rPr>
        <w:t>POSSIBLE 2021:</w:t>
      </w:r>
      <w:r>
        <w:t xml:space="preserve"> Economic costs of invasive alien species across Europe — https://doi.org/10.3897/neobiota.67.58196</w:t>
      </w:r>
    </w:p>
    <w:p>
      <w:pPr/>
      <w:r>
        <w:rPr>
          <w:b/>
        </w:rPr>
        <w:t>Shared claim-specific concepts:</w:t>
      </w:r>
      <w:r>
        <w:t xml:space="preserve"> dependent, between, widely; EU scope visible. This is a provisional connection, not an outcome finding.</w:t>
      </w:r>
    </w:p>
    <w:p>
      <w:pPr>
        <w:pStyle w:val="SourceNote"/>
      </w:pPr>
      <w:r>
        <w:rPr>
          <w:b/>
        </w:rPr>
        <w:t>Available abstract (not full text):</w:t>
      </w:r>
      <w:r>
        <w:t xml:space="preserve"> Biological invasions continue to threaten the stability of ecosystems and societies that are dependent on their services. Whilst the ecological impacts of invasive alien species (IAS) have been widely reported in recent decades, there remains a paucity of information concerning their economic impacts. Europe has strong trade and transport links with the rest of the world, facilitating hundreds of IAS incursions, and largely centralised decision-making frameworks. The present study is the first comprehensive and detailed effort that quantifies the costs of IAS collectively across European countries and examines temporal trends in these data. In addition, the distributions of costs across countries, socioeconomic sectors and taxonomic groups are examined, as are socio-economic correlates of management and damage costs. Total costs of IAS in Europe summed to US$140.20 billion (or €116.61 billion) between 1960 and 2020, with the majority (60%) being damage-related and impacting multiple sectors. Costs were also geographically widespread but dominated by impacts in large western and central European countries, i.e. the UK, Spain, France, and Germany. Human population size, land area, GDP, and tourism were significant predictors of invasion costs, with management costs additionally predicted by numbers of introduced species, research effort and trade. Temporally, invasion costs have </w:t>
      </w:r>
    </w:p>
    <w:p>
      <w:pPr/>
      <w:r>
        <w:rPr>
          <w:b/>
        </w:rPr>
        <w:t>POSSIBLE 2021:</w:t>
      </w:r>
      <w:r>
        <w:t xml:space="preserve"> Considering Life Cycle Greenhouse Gas Emissions in Power System Expansion Planning for Europe and North Africa Using Multi-Objective Optimization — https://doi.org/10.3390/en14051301</w:t>
      </w:r>
    </w:p>
    <w:p>
      <w:pPr/>
      <w:r>
        <w:rPr>
          <w:b/>
        </w:rPr>
        <w:t>Shared claim-specific concepts:</w:t>
      </w:r>
      <w:r>
        <w:t xml:space="preserve"> expansion, between; EU scope visible. This is a provisional connection, not an outcome finding.</w:t>
      </w:r>
    </w:p>
    <w:p>
      <w:pPr>
        <w:pStyle w:val="SourceNote"/>
      </w:pPr>
      <w:r>
        <w:rPr>
          <w:b/>
        </w:rPr>
        <w:t>Available abstract (not full text):</w:t>
      </w:r>
      <w:r>
        <w:t xml:space="preserve"> We integrate life cycle indicators for various technologies of an energy system model with high spatiotemporal detail and a focus on Europe and North Africa. Using multi-objective optimization, we calculate a pareto front that allows us to assess the trade-offs between system costs and life cycle greenhouse gas (GHG) emissions of future power systems. Furthermore, we perform environmental ex-post assessments of selected solutions using a broad set of life cycle impact categories. In a system with the least life cycle GHG emissions, the costs would increase by ~63%, thereby reducing life cycle GHG emissions by ~82% compared to the cost-optimal solution. Power systems mitigating a substantial part of life cycle GHG emissions with small increases in system costs show a trend towards a deployment of wind onshore, electricity grid and a decline in photovoltaic plants and Li-ion storage. Further reductions are achieved by the deployment of concentrated solar power, wind offshore and nuclear power but lead to considerably higher costs compared to the cost-optimal solution. Power systems that mitigate life cycle GHG emissions also perform better for most impact categories but have higher ionizing radiation, water use and increased fossil fuel demand driven by nuclear power. This study shows that it is crucial to consider upstream GHG emissions in future assessments, as they represent a</w:t>
      </w:r>
    </w:p>
    <w:p>
      <w:pPr/>
      <w:r>
        <w:rPr>
          <w:b/>
        </w:rPr>
        <w:t>POSSIBLE 2020:</w:t>
      </w:r>
      <w:r>
        <w:t xml:space="preserve"> Organ donation in the US and Europe: The supply vs demand imbalance — https://doi.org/10.1016/j.trre.2020.100585</w:t>
      </w:r>
    </w:p>
    <w:p>
      <w:pPr/>
      <w:r>
        <w:rPr>
          <w:b/>
        </w:rPr>
        <w:t>Shared claim-specific concepts:</w:t>
      </w:r>
      <w:r>
        <w:t xml:space="preserve"> increasing, gap; EU scope visible. This is a provisional connection, not an outcome finding.</w:t>
      </w:r>
    </w:p>
    <w:p>
      <w:pPr>
        <w:pStyle w:val="SourceNote"/>
      </w:pPr>
      <w:r>
        <w:rPr>
          <w:b/>
        </w:rPr>
        <w:t>Available abstract (not full text):</w:t>
      </w:r>
      <w:r>
        <w:t xml:space="preserve"> Organ donation and transplantation remain the best and most cost-effective clinical solution for end-stage organ failure. Several agencies across the US and Europe provide legislative, regulatory, and humanitarian services to generate smoother applications in all transplantation processes and donor-recipient relationships. US and European statistics present nine types of grafts, with kidneys being the most transplanted organ worldwide. However, organ shortage, religion, underrepresented minority groups, difficulties in obtaining consent, lack of understanding, and general ethical concerns present challenging barriers to organ donation, reflecting the complexity of graft procurement and allocation. Breaking down these barriers to reduce the organ-supply imbalance requires an appropriate multifaceted approach. Some of the key areas include increasing the potential donor pool and consent rates, apt organ allocation, and improving organ health. Additionally, suitable policies and standardized guidelines for both donors and recipients, alongside educational initiatives, are needed to ensure patient safety and global awareness. Looking forward, novel and effective research plans and initiatives are needed if we are to avoid a colossal supply-demand gap.</w:t>
      </w:r>
    </w:p>
    <w:p>
      <w:pPr/>
      <w:r>
        <w:rPr>
          <w:b/>
        </w:rPr>
        <w:t>POSSIBLE 2020:</w:t>
      </w:r>
      <w:r>
        <w:t xml:space="preserve"> Location Dependent Spectrum Pricing of Private LTE and 5G Networks in Europe — https://doi.org/10.21203/rs.3.rs-21169/v1</w:t>
      </w:r>
    </w:p>
    <w:p>
      <w:pPr/>
      <w:r>
        <w:rPr>
          <w:b/>
        </w:rPr>
        <w:t>Shared claim-specific concepts:</w:t>
      </w:r>
      <w:r>
        <w:t xml:space="preserve"> dependent; EU scope visible. This is a provisional connection, not an outcome finding.</w:t>
      </w:r>
    </w:p>
    <w:p>
      <w:pPr>
        <w:pStyle w:val="SourceNote"/>
      </w:pPr>
      <w:r>
        <w:rPr>
          <w:b/>
        </w:rPr>
        <w:t>Available abstract (not full text):</w:t>
      </w:r>
      <w:r>
        <w:t xml:space="preserve"> Abstract Emerging private LTE and 5G services and applications have created need for local radio spectrum licensing. The existing pricing models for licenses do not work well in this context. This paper introduces three new location dependent pricing methods that aim to produce more accurate pricing for local licenses. We use Traficom Frequency Fee as our base-case general spectrum pricing model, and we replace the population density based location coefficient with proxies such as employee density, value added per employee, and rent prices. By comparing the differences in the prices yielded by the models, we show that the new models can in some cases identify high demand areas like hospitals and industrial districts better than the original population density based model. Additionally, we conclude that the original population density based model and the new employee density based model could be used together to capture both the consumer and the industrial spectrum demand simultaneously.</w:t>
      </w:r>
    </w:p>
    <w:p>
      <w:pPr/>
      <w:r>
        <w:rPr>
          <w:b/>
        </w:rPr>
        <w:t>POSSIBLE 2020:</w:t>
      </w:r>
      <w:r>
        <w:t xml:space="preserve"> A public health approach to health workforce policy development in Europe — https://doi.org/10.1093/eurpub/ckaa123</w:t>
      </w:r>
    </w:p>
    <w:p>
      <w:pPr/>
      <w:r>
        <w:rPr>
          <w:b/>
        </w:rPr>
        <w:t>Shared claim-specific concepts:</w:t>
      </w:r>
      <w:r>
        <w:t xml:space="preserve"> likely, whether, between; EU scope visible. This is a provisional connection, not an outcome finding.</w:t>
      </w:r>
    </w:p>
    <w:p>
      <w:pPr>
        <w:pStyle w:val="SourceNote"/>
      </w:pPr>
      <w:r>
        <w:rPr>
          <w:b/>
        </w:rPr>
        <w:t>Available abstract (not full text):</w:t>
      </w:r>
      <w:r>
        <w:t xml:space="preserve"> Severe acute respiratory syndrome coronavirus 2 (SARS-CoV-2), better known as COVID-19, placed the health workforce at the centre of a dramatic series of events. As is so often the case in such circumstances, hype and sensationalism places a flitting spotlight on issues likely to make the media headlines, e.g. the tragic premature deaths of doctors and nurses caring for COVID-19 patients, the lack of personal protective equipment, or the strong support for ‘healthcare heroes’. Yet, the intensity and brevity of that focus is not well suited to tease out the complexity and chronicity of the challenges facing the health workforce in Europe today. COVID-19 exacerbated and unmasked gaps in health systems in Europe including: a cumulative shortage as a result of cuts to the health sector linked to the pursuit of blanket austerity policies implemented during preceding years; a lack of coordination between primary healthcare, hospitals and long-term care with unclear referral pathways; the primitive and patchy nature of digitalization penetration in health services resulting in digital quick-fix solutions to continue some semblance of care provision for those with chronic disease; depleted public health services unable to effectively surge capacity in a time manner; burnout amongst health workers; a huge dependence on health workers from outside the European region. The physical and me</w:t>
      </w:r>
    </w:p>
    <w:p>
      <w:pPr>
        <w:pStyle w:val="Heading2"/>
      </w:pPr>
      <w:r>
        <w:t>994. Ageing population and labour productivity in Bulgaria</w:t>
      </w:r>
    </w:p>
    <w:p>
      <w:pPr>
        <w:pStyle w:val="SourceNote"/>
      </w:pPr>
      <w:r>
        <w:rPr>
          <w:b/>
        </w:rPr>
        <w:t>Original source (2011):</w:t>
      </w:r>
      <w:r>
        <w:t xml:space="preserve"> https://doi.org/10.5771/1435-2869-2011-4-521</w:t>
      </w:r>
    </w:p>
    <w:p>
      <w:pPr/>
      <w:r>
        <w:t>Original wording (abstract; indexed_source_text_not_full_document_verified): Recent literature has shown that it is difficult to ascertain the impact of an ageing population on labour productivity.According to the majority of studies, workforce ageing leads to lower employment and a decline in the professional skills of the employed, so we should expect that it has a negative impact on technological changes and productivity.In this article, we present a review of studies on this issue.After that, an empirical study for Bulgaria is provided using sensitivity tests of long-term projections of labour productivity (to 2050), based on population number and age distribution.A model of the International Labour Organisation (ILO) is applied which allows us to calculate three variants of changing age, number and structure of population, assuming three different rates of improvement in life expectancy -fast, medium and slow.The study confirms that an ageing population has a negative effect on labour productivity.The timeframe is long but, with that limitation in mind, the overall direction of the trend is clear.The article concludes with some policy considerations to help ameliorate the effects of Bulgaria's demographic challenge.</w:t>
      </w:r>
    </w:p>
    <w:p>
      <w:pPr/>
      <w:r>
        <w:rPr>
          <w:b/>
        </w:rPr>
        <w:t>POSSIBLE 2025:</w:t>
      </w:r>
      <w:r>
        <w:t xml:space="preserve"> Evolution and Impact of Hepatitis A Epidemiology in Europe-Systematic Literature Review of the Last 20 Years — https://doi.org/10.1111/jvh.14030</w:t>
      </w:r>
    </w:p>
    <w:p>
      <w:pPr/>
      <w:r>
        <w:rPr>
          <w:b/>
        </w:rPr>
        <w:t>Shared claim-specific concepts:</w:t>
      </w:r>
      <w:r>
        <w:t xml:space="preserve"> literature, population;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r>
        <w:rPr>
          <w:b/>
        </w:rPr>
        <w:t>POSSIBLE 2024:</w:t>
      </w:r>
      <w:r>
        <w:t xml:space="preserve"> Application of DPSIR model to ascertain driving forces and their impacts on the Volta basin — https://doi.org/10.1016/j.heliyon.2024.e38734</w:t>
      </w:r>
    </w:p>
    <w:p>
      <w:pPr/>
      <w:r>
        <w:rPr>
          <w:b/>
        </w:rPr>
        <w:t>Shared claim-specific concepts:</w:t>
      </w:r>
      <w:r>
        <w:t xml:space="preserve"> literature, ascertain; EU scope visible. This is a provisional connection, not an outcome finding.</w:t>
      </w:r>
    </w:p>
    <w:p>
      <w:pPr>
        <w:pStyle w:val="SourceNote"/>
      </w:pPr>
      <w:r>
        <w:rPr>
          <w:b/>
        </w:rPr>
        <w:t>Available abstract (not full text):</w:t>
      </w:r>
      <w:r>
        <w:t xml:space="preserve"> Managing trans-boundary water and its watershed areas is a challenging task. The riparian countries sharing the boundary may have different economic and national goals that can dictate the pressures exerted on water bodies and their catchments areas. The pressure will have dire consequences on the environment, the climate and the sustainability of the Volta River. This paper seeks to apply the Driving Forces-Pressure-State-Impact-Response (DPSIR) framework as a model to ascertain the driving forces and their impacts on the Black and the White sub-basins of the Volta River. The research was carried out through desk study of literature, reports and policies on the Volta basin as well as information from international bodies such as World Bank, United Nations, and European Union among others. The DPSIR framework thus established the state of the ecosystem, pressure exerted, impact and the responses to provide scientific basis for decision-making and address the impacts on the Volta River. The DPSIR framework was focused on Ghana and Burkina Faso due to their large share of the basin. Burkina Faso's share of the Volta basin area is 43 %, whereas, that of Ghana is 41.6 %. The use of DPSIR model will help stakeholders and policy makers in proper decision making. It was therefore recommended that there should be policy regulations to reduce the impact on the environment.</w:t>
      </w:r>
    </w:p>
    <w:p>
      <w:pPr/>
      <w:r>
        <w:rPr>
          <w:b/>
        </w:rPr>
        <w:t>POSSIBLE 2024:</w:t>
      </w:r>
      <w:r>
        <w:t xml:space="preserve"> Evolution and Impact of Hepatitis A Epidemiology in Europe—Systematic Literature Review of the Last 20 Years — https://doi.org/10.1111/jvh.14030</w:t>
      </w:r>
    </w:p>
    <w:p>
      <w:pPr/>
      <w:r>
        <w:rPr>
          <w:b/>
        </w:rPr>
        <w:t>Shared claim-specific concepts:</w:t>
      </w:r>
      <w:r>
        <w:t xml:space="preserve"> literature, population; EU scope visible. This is a provisional connection, not an outcome finding.</w:t>
      </w:r>
    </w:p>
    <w:p>
      <w:pPr>
        <w:pStyle w:val="SourceNote"/>
      </w:pPr>
      <w:r>
        <w:rPr>
          <w:b/>
        </w:rPr>
        <w:t>Available abstract (not full text):</w:t>
      </w:r>
      <w:r>
        <w:t xml:space="preserve"> While globally hepatitis A (hepA) infections occur in 150 million people annually, European high-income countries now have a low endemicity. However, this results in a more susceptible adult population which is prone to severe illness. To determine current epidemiological characteristics, we performed a systematic literature review to assess the severity of hepA disease in the past two decades in 11 European countries (i.e., Denmark, France, Germany, Greece, Hungary, Italy, the Netherlands, Spain, Sweden, Switzerland and the United Kingdom). Literature search was performed using PubMed and Embase between 1 January 2001 and 14 April 2021. Search terms included the disease (hepA), the 11 selected countries, the term 'outbreaks' and its synonyms, outcomes and terms for hepA virus circulation. In total, 43 records reported data on hepA disease outcomes. Hospitalisation rates varied between the countries, with annual rates exceeding 50% at least once in seven countries. The lowest hospitalisation rates were reported for the Netherlands (≤ 32%) and the highest for Greece (≥ 81%). Liver failure, haemorrhagic and other complications were rarely reported, and case fatality rates were low (0.03%-0.26%). Our findings are consistent with the trends observed globally. This systematic literature review highlights the need to increase awareness of hepA risks and to strengthen prevention strat</w:t>
      </w:r>
    </w:p>
    <w:p>
      <w:pPr/>
      <w:r>
        <w:rPr>
          <w:b/>
        </w:rPr>
        <w:t>POSSIBLE 2024:</w:t>
      </w:r>
      <w:r>
        <w:t xml:space="preserve"> Measuring the third mission of European Universities: A systematic literature review — https://doi.org/10.1556/204.2023.00030</w:t>
      </w:r>
    </w:p>
    <w:p>
      <w:pPr/>
      <w:r>
        <w:rPr>
          <w:b/>
        </w:rPr>
        <w:t>Shared claim-specific concepts:</w:t>
      </w:r>
      <w:r>
        <w:t xml:space="preserve"> recent, literature, shown; EU scope visible. This is a provisional connection, not an outcome finding.</w:t>
      </w:r>
    </w:p>
    <w:p>
      <w:pPr>
        <w:pStyle w:val="SourceNote"/>
      </w:pPr>
      <w:r>
        <w:rPr>
          <w:b/>
        </w:rPr>
        <w:t>Available abstract (not full text):</w:t>
      </w:r>
      <w:r>
        <w:t xml:space="preserve"> Abstract In recent years, policymakers and academics have shown interest in understanding how universities could drive regional innovation. Universities are not solely focusing on research and education as their primary missions but are also asked to participate in the development of their regions. This has compelled universities to forge what is called a third mission, encompassing all social and economic activities of universities. Several attempts have been made to evaluate this concept, aiming to highlight the evolving role of universities and their relevance to policy and society. In this vein, this paper showcases existing attempts that aim to measure the impact of the third mission in European universities. This study consists of a systematic literature review studying journal articles published between 2001 and 2021. The purpose of this paper is to enumerate the existing measurements of the third mission and identify the different tensions related to it. This study shows that the literature encompasses three approaches for assessing the third mission. First, some studies incorporated the third mission into the overall evaluation of university performance. Second, other investigations aimed to capture this concept as a whole. Finally, several studies evaluated individual dimensions of the third mission independently.</w:t>
      </w:r>
    </w:p>
    <w:p>
      <w:pPr/>
      <w:r>
        <w:rPr>
          <w:b/>
        </w:rPr>
        <w:t>POSSIBLE 2023:</w:t>
      </w:r>
      <w:r>
        <w:t xml:space="preserve"> Education and Fertility: A Review of Recent Research in Europe — https://doi.org/10.12765/cpos-2023-21</w:t>
      </w:r>
    </w:p>
    <w:p>
      <w:pPr/>
      <w:r>
        <w:rPr>
          <w:b/>
        </w:rPr>
        <w:t>Shared claim-specific concepts:</w:t>
      </w:r>
      <w:r>
        <w:t xml:space="preserve"> recent, literature; EU scope visible. This is a provisional connection, not an outcome finding.</w:t>
      </w:r>
    </w:p>
    <w:p>
      <w:pPr>
        <w:pStyle w:val="SourceNote"/>
      </w:pPr>
      <w:r>
        <w:rPr>
          <w:b/>
        </w:rPr>
        <w:t>Available abstract (not full text):</w:t>
      </w:r>
      <w:r>
        <w:t xml:space="preserve"> This paper reviews research on education and childbearing in Europe over the last decade. Early demographic research attributed declining fertility in advanced economies in the second half of the twentieth century to increasing female educational levels. The twenty-first century has witnessed further increases in educational attainment coupled with trend reversals in fertility. The relationship between education and fertility has become more complex, sparking renewed interest in the interplay between the two life domains. We examine how educational enrolment and attainment influence individuals’ fertility behaviour – both fertility timing and level – and how the relationship between education and fertility is shaped by contextual factors such as family policies, macroeconomic shocks, and normative changes in gender attitudes. We also summarise the recent literature on educational gradients in male fertility and review methodological developments to address issues of self-selection and unmeasured heterogeneity in the study of education and fertility. Finally, this paper identifies and discusses challenges and important areas for future research.</w:t>
      </w:r>
    </w:p>
    <w:p>
      <w:pPr/>
      <w:r>
        <w:rPr>
          <w:b/>
        </w:rPr>
        <w:t>POSSIBLE 2023:</w:t>
      </w:r>
      <w:r>
        <w:t xml:space="preserve"> Human and environmental impacts of nanoparticles: a scoping review of the current literature — https://doi.org/10.1186/s12889-023-15958-4</w:t>
      </w:r>
    </w:p>
    <w:p>
      <w:pPr/>
      <w:r>
        <w:rPr>
          <w:b/>
        </w:rPr>
        <w:t>Shared claim-specific concepts:</w:t>
      </w:r>
      <w:r>
        <w:t xml:space="preserve"> literature, majority; EU scope not established. This is a provisional connection, not an outcome finding.</w:t>
      </w:r>
    </w:p>
    <w:p>
      <w:pPr>
        <w:pStyle w:val="SourceNote"/>
      </w:pPr>
      <w:r>
        <w:rPr>
          <w:b/>
        </w:rPr>
        <w:t>Available abstract (not full text):</w:t>
      </w:r>
      <w:r>
        <w:t xml:space="preserve"> Use of nanoparticles have established benefits in a wide range of applications, however, the effects of exposure to nanoparticles on health and the environmental risks associated with the production and use of nanoparticles are less well-established. The present study addresses this gap in knowledge by examining, through a scoping review of the current literature, the effects of nanoparticles on human health and the environment. We searched relevant databases including Medline, Web of Science, ScienceDirect, Scopus, CINAHL, Embase, and SAGE journals, as well as Google, Google Scholar, and grey literature from June 2021 to July 2021. After removing duplicate articles, the title and abstracts of 1495 articles were first screened followed by the full-texts of 249 studies, and this resulted in the inclusion of 117 studies in the presented review.In this contribution we conclude that while nanoparticles offer distinct benefits in a range of applications, they pose significant threats to humans and the environment. Using several biological models and biomarkers, the included studies revealed the toxic effects of nanoparticles (mainly zinc oxide, silicon dioxide, titanium dioxide, silver, and carbon nanotubes) to include cell death, production of oxidative stress, DNA damage, apoptosis, and induction of inflammatory responses. Most of the included studies (65.81%) investigated inorgan</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according, lower, negative;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2022:</w:t>
      </w:r>
      <w:r>
        <w:t xml:space="preserve"> The Impact of Patient Support Programs in Europe: A Systematic Literature Review — https://doi.org/10.1007/s40271-022-00582-y</w:t>
      </w:r>
    </w:p>
    <w:p>
      <w:pPr/>
      <w:r>
        <w:rPr>
          <w:b/>
        </w:rPr>
        <w:t>Shared claim-specific concepts:</w:t>
      </w:r>
      <w:r>
        <w:t xml:space="preserve"> recent, literature; EU scope visible. This is a provisional connection, not an outcome finding.</w:t>
      </w:r>
    </w:p>
    <w:p>
      <w:pPr>
        <w:pStyle w:val="SourceNote"/>
      </w:pPr>
      <w:r>
        <w:rPr>
          <w:b/>
        </w:rPr>
        <w:t>Available abstract (not full text):</w:t>
      </w:r>
      <w:r>
        <w:t xml:space="preserve"> BACKGROUND AND OBJECTIVE: Patient support programs aim to provide solutions beyond the medication itself, by enhancing treatment adherence, improving clinical outcomes, elevating patient experience, and/or increasing quality of life. As patient support programs increasingly play an important role in assisting patients, numerous observational studies and pragmatic trials designed to evaluate their impact on healthcare have been conducted in recent years. This review aims to characterize these studies. METHODS: A systematic literature review, supplemented by a broad search of gray literature, was conducted following PRISMA (Preferred Reporting Items for Systematic Reviews and Meta-Analyses) and Cochrane recommendations. Observational studies and pragmatic trials conducted in Europe to evaluate the impact of patient support programs, published in English or Spanish between 17/03/2010 and 17/03/2020, were reviewed. Two patient support program definitions were applied starting with Ganguli et al.'s broad approach, followed by the European Medicines Agency definition, narrowed to Marketing Authorization Holders organized systems and their medicines. The quality of publications was assessed using the STROBE (Strengthening the Reporting of Observational Studies in Epidemiology) statement 22-item checklist. RESULTS: Of the 49 identified studies following the Ganguli et al. definition, 2</w:t>
      </w:r>
    </w:p>
    <w:p>
      <w:pPr/>
      <w:r>
        <w:rPr>
          <w:b/>
        </w:rPr>
        <w:t>POSSIBLE 2022:</w:t>
      </w:r>
      <w:r>
        <w:t xml:space="preserve"> A literature review on the impact of digitalisation on management control — https://doi.org/10.1007/s00187-022-00349-4</w:t>
      </w:r>
    </w:p>
    <w:p>
      <w:pPr/>
      <w:r>
        <w:rPr>
          <w:b/>
        </w:rPr>
        <w:t>Shared claim-specific concepts:</w:t>
      </w:r>
      <w:r>
        <w:t xml:space="preserve"> literature, according, leads, negative; EU scope not established. This is a provisional connection, not an outcome finding.</w:t>
      </w:r>
    </w:p>
    <w:p>
      <w:pPr>
        <w:pStyle w:val="SourceNote"/>
      </w:pPr>
      <w:r>
        <w:rPr>
          <w:b/>
        </w:rPr>
        <w:t>Available abstract (not full text):</w:t>
      </w:r>
      <w:r>
        <w:t xml:space="preserve"> Abstract Digitalisation affects management control (MC). It leads to changes in the way MC activities are organised, performed and analysed. Companies of all industries, locations and sizes have to adapt their MC to digital circumstances, starting with the understanding and delimitation of MC tasks, through the modified application of MC instruments and the consideration of behavioural aspects of MC, to the organisation of the MC function within the company. This paper presents a systematic review of the literature according to Tranfield et al. (Br J Manag 14:207–222, 2003), focusing on the impact of digitalisation on MC. A comprehensive overview of scientific literature is provided by reviewing 166 highly rated accounting journals (based on multiple international journal ratings) and analysing 116 articles from January 2000 to August 2022. Based on the MC framework developed by Guenther (J Manag Control 23:269–290, 2013), the identified studies are categorised into the following research dimensions: tasks, instruments, organisation and behavioural aspects. Multiple studies highlight the continuous development of the MC function under the impact of digitalisation, including the extension of MC tasks, the adaptation of existing MC instruments and creation of new MC instruments, positive and negative behavioural aspects of digitalisation on MC and the establishment of new MC orga</w:t>
      </w:r>
    </w:p>
    <w:p>
      <w:pPr/>
      <w:r>
        <w:rPr>
          <w:b/>
        </w:rPr>
        <w:t>POSSIBLE 2022:</w:t>
      </w:r>
      <w:r>
        <w:t xml:space="preserve"> The immunogenetic impact of European colonization in the Americas — https://doi.org/10.3389/fgene.2022.918227</w:t>
      </w:r>
    </w:p>
    <w:p>
      <w:pPr/>
      <w:r>
        <w:rPr>
          <w:b/>
        </w:rPr>
        <w:t>Shared claim-specific concepts:</w:t>
      </w:r>
      <w:r>
        <w:t xml:space="preserve"> population, decline; EU scope visible. This is a provisional connection, not an outcome finding.</w:t>
      </w:r>
    </w:p>
    <w:p>
      <w:pPr>
        <w:pStyle w:val="SourceNote"/>
      </w:pPr>
      <w:r>
        <w:rPr>
          <w:b/>
        </w:rPr>
        <w:t>Available abstract (not full text):</w:t>
      </w:r>
      <w:r>
        <w:t xml:space="preserve"> The introduction of pathogens originating from Eurasia into the Americas during early European contact has been associated with high mortality rates among Indigenous peoples, likely contributing to their historical and precipitous population decline. However, the biological impacts of imported infectious diseases and resulting epidemics, especially in terms of pathogenic effects on the Indigenous immunity, remain poorly understood and highly contentious to this day. Here, we examine multidisciplinary evidence underpinning colonization-related immune genetic change, providing contextualization from anthropological studies, paleomicrobiological evidence of contrasting host-pathogen coevolutionary histories, and the timings of disease emergence. We further summarize current studies examining genetic signals reflecting post-contact Indigenous population bottlenecks, admixture with European and other populations, and the putative effects of natural selection, with a focus on ancient DNA studies and immunity-related findings. Considering current genetic evidence, together with a population genetics theoretical approach, we show that post-contact Indigenous immune adaptation, possibly influenced by selection exerted by introduced pathogens, is highly complex and likely to be affected by multifactorial causes. Disentangling putative adaptive signals from those of genetic drift thus rem</w:t>
      </w:r>
    </w:p>
    <w:p>
      <w:pPr/>
      <w:r>
        <w:rPr>
          <w:b/>
        </w:rPr>
        <w:t>POSSIBLE 2021:</w:t>
      </w:r>
      <w:r>
        <w:t xml:space="preserve"> The Evolutionarily Mismatched Impact of Urbanization on Insomnia Symptoms: a Short Review of the Recent Literature — https://doi.org/10.1007/s11920-021-01239-7</w:t>
      </w:r>
    </w:p>
    <w:p>
      <w:pPr/>
      <w:r>
        <w:rPr>
          <w:b/>
        </w:rPr>
        <w:t>Shared claim-specific concepts:</w:t>
      </w:r>
      <w:r>
        <w:t xml:space="preserve"> recent, literature, majority; EU scope not established. This is a provisional connection, not an outcome finding.</w:t>
      </w:r>
    </w:p>
    <w:p>
      <w:pPr>
        <w:pStyle w:val="SourceNote"/>
      </w:pPr>
      <w:r>
        <w:rPr>
          <w:b/>
        </w:rPr>
        <w:t>Available abstract (not full text):</w:t>
      </w:r>
      <w:r>
        <w:t xml:space="preserve"> PURPOSE OF REVIEW: For the most part of human existence, individuals have been living a rural lifestyle in a rural setting. However, such sleep-conducive conditions have largely been transformed dramatically by urbanization within a relatively short span of time in recent history, and the resulting evolved mechanisms-environment mismatch is theorized to bring about an increased risk for insomnia symptoms. This brief review of the recent literature is designed to evaluate the veracity of this proposition. RECENT FINDINGS: The majority of recent findings have suggested that most proposed evolutionarily mismatched urban factors are indeed related to the presence of insomnia symptoms. However, there is a general paucity of longitudinal evidence (and for some other factors, a lack of enough evidence of any kind). Although there is a preponderance of recent findings indicating a link between evolutionarily mismatched urban phenomena and insomnia symptoms, more longitudinal data are needed before any causative conclusion can be drawn.</w:t>
      </w:r>
    </w:p>
    <w:p>
      <w:pPr/>
      <w:r>
        <w:rPr>
          <w:b/>
        </w:rPr>
        <w:t>POSSIBLE 2021:</w:t>
      </w:r>
      <w:r>
        <w:t xml:space="preserve"> Differences in hip fracture care in Europe: a systematic review of recent annual reports of hip fracture registries — https://doi.org/10.1007/s00068-021-01797-8</w:t>
      </w:r>
    </w:p>
    <w:p>
      <w:pPr/>
      <w:r>
        <w:rPr>
          <w:b/>
        </w:rPr>
        <w:t>Shared claim-specific concepts:</w:t>
      </w:r>
      <w:r>
        <w:t xml:space="preserve"> recent, difficult, according, decline; EU scope visible. This is a provisional connection, not an outcome finding.</w:t>
      </w:r>
    </w:p>
    <w:p>
      <w:pPr>
        <w:pStyle w:val="SourceNote"/>
      </w:pPr>
      <w:r>
        <w:rPr>
          <w:b/>
        </w:rPr>
        <w:t>Available abstract (not full text):</w:t>
      </w:r>
      <w:r>
        <w:t xml:space="preserve"> PURPOSE: Hip fractures are of growing interest due to their increasing number, subsequent functional decline and high institutionalization rate of patients, mortality, and costs. Several process measurements are essential for hip fracture care. To compare and improve these, hip fracture registries in Europe became popular. This systematic review aims to describe the differences between hip fracture registries in Europe as well as the differences in hip fracture treatment between countries. METHODS: A systematic search using the keywords "hip fracture" AND "national" AND "database OR audit OR registry OR register" was performed in PubMed, Embase and Cochrane Library according to PRISMA guidelines till 3rd December 2020. Recent annual reports of identified hip fracture registries in Europe were additionally identified in June 2021. Comparisons of most common case-mix, process and outcome measurements were performed. RESULTS: 11 registries in Europe were identified. Differences were observed regarding inclusion criteria of the different registries. Comparison of the different registries was difficult due to differences in the way to report measurements. While mortality rates differed substantially between countries, most of the process measurements met recommendations according to recent guidelines. CONCLUSION: Hip fracture registries were a valid tool to compare hospitals within </w:t>
      </w:r>
    </w:p>
    <w:p>
      <w:pPr>
        <w:pStyle w:val="Heading2"/>
      </w:pPr>
      <w:r>
        <w:t>995. Climate, competition and connectivity affect future migration and ranges of European trees</w:t>
      </w:r>
    </w:p>
    <w:p>
      <w:pPr>
        <w:pStyle w:val="SourceNote"/>
      </w:pPr>
      <w:r>
        <w:rPr>
          <w:b/>
        </w:rPr>
        <w:t>Original source (2011):</w:t>
      </w:r>
      <w:r>
        <w:t xml:space="preserve"> https://doi.org/10.1111/j.1466-8238.2011.00669.x</w:t>
      </w:r>
    </w:p>
    <w:p>
      <w:pPr/>
      <w:r>
        <w:t>Original wording (abstract; indexed_source_text_not_full_document_verified): ABSTRACT Aim Species ranges have adapted during the Holocene to altering climate conditions, but it remains unclear if species will be able to keep pace with recent and future climate change. To predict future species ranges from these models, we applied three migration scenarios: no migration, unlimited migration and realistic migration.</w:t>
      </w:r>
    </w:p>
    <w:p>
      <w:pPr/>
      <w:r>
        <w:rPr>
          <w:b/>
        </w:rPr>
        <w:t>POSSIBLE 2026:</w:t>
      </w:r>
      <w:r>
        <w:t xml:space="preserve"> Lessons learned in institutional preparedness and response during the 2022 European drought — https://doi.org/10.5194/nhess-26-955-2026</w:t>
      </w:r>
    </w:p>
    <w:p>
      <w:pPr/>
      <w:r>
        <w:rPr>
          <w:b/>
        </w:rPr>
        <w:t>Shared claim-specific concepts:</w:t>
      </w:r>
      <w:r>
        <w:t xml:space="preserve"> abstract, during, recent; EU scope visible. This is a provisional connection, not an outcome finding.</w:t>
      </w:r>
    </w:p>
    <w:p>
      <w:pPr>
        <w:pStyle w:val="SourceNote"/>
      </w:pPr>
      <w:r>
        <w:rPr>
          <w:b/>
        </w:rPr>
        <w:t>Available abstract (not full text):</w:t>
      </w:r>
      <w:r>
        <w:t xml:space="preserve"> Abstract. Droughts in Europe are becoming increasingly frequent and severe, with the 2022 drought surpassing previous records and causing widespread socio-economic impacts. This study employs a Europe-wide survey that integrates data from 481 respondents from 30 European countries, involved in the management of the 2022 European drought, together with hydroclimatic data (i.e., Standardized Precipitation Evapotranspiration Index; SPEI), to provide a holistic assessment of the effect of drought preparedness on response effectiveness and timeliness during the 2022 drought through statistical methods. It specifically assesses the role of forecasting systems and Drought Management Plans (DMPs) in improving preparedness and in facilitating more effective and timely responses. Additionally, the study investigates how drought management practices and awareness have evolved as a consequence of the 2018 European drought and how recent experiences shape water managers’ perceptions. The findings emphasize the urgent need for a standardized, continent-wide drought risk management coordination to address the multifaceted nature of drought risk by integrating climatic and societal factors, and advocates for a Drought Directive as a means to achieve it. This research aims to inform policy development towards sustainable and holistic drought risk management, highlighting the crucial roles of pr</w:t>
      </w:r>
    </w:p>
    <w:p>
      <w:pPr/>
      <w:r>
        <w:rPr>
          <w:b/>
        </w:rPr>
        <w:t>POSSIBLE 2025:</w:t>
      </w:r>
      <w:r>
        <w:t xml:space="preserve"> Lecanora hybocarpa and similar European species — https://doi.org/10.1017/s0024282925101291</w:t>
      </w:r>
    </w:p>
    <w:p>
      <w:pPr/>
      <w:r>
        <w:rPr>
          <w:b/>
        </w:rPr>
        <w:t>Shared claim-specific concepts:</w:t>
      </w:r>
      <w:r>
        <w:t xml:space="preserve"> abstract, species, but, three; EU scope visible. This is a provisional connection, not an outcome finding.</w:t>
      </w:r>
    </w:p>
    <w:p>
      <w:pPr>
        <w:pStyle w:val="SourceNote"/>
      </w:pPr>
      <w:r>
        <w:rPr>
          <w:b/>
        </w:rPr>
        <w:t>Available abstract (not full text):</w:t>
      </w:r>
      <w:r>
        <w:t xml:space="preserve"> Abstract The lichen genus Lecanora is one of the largest genera of lichenized fungi. The core part of the genus is the L. subfusca group and within this group, Lecanora hybocarpa (Tuck.) Brodo, initially described from North America and thought to be endemic, has been reported from several European countries. However, the identity of these European specimens has been increasingly questioned. This study aimed to clarify the relationship between North American L. hybocarpa and European collections, including the morphologically similar L. sinuosa Herk &amp; Aptroot. We performed morphological, chemical (TLC) and molecular analyses (nrITS and mtSSU) on a broad collection of specimens from Europe, Macaronesia and North America. Our phylogenetic analyses revealed that true L. hybocarpa has not yet been confirmed in Europe. Instead, several genetically distinct European taxa share the L. hybocarpa morphotype. Our findings resulted in the description of three new species: Lecanora cryptosinuosa (differing only genetically from L. sinuosa ), L. macaronesica (characterized by quite large apothecia with constricted bases and a finely crenulate margin, and the presence of gangaleoidin) and L. subsinuosa (difficult to separate from L. sinuosa , but may sometimes be recognized by darker apothecial discs with inconsistent pigmentation, the occasional presence of a tiny pruina on young discs, and</w:t>
      </w:r>
    </w:p>
    <w:p>
      <w:pPr/>
      <w:r>
        <w:rPr>
          <w:b/>
        </w:rPr>
        <w:t>POSSIBLE 2025:</w:t>
      </w:r>
      <w:r>
        <w:t xml:space="preserve"> Many Plant Species in Europe Have Limited Capacity to Track Climate Change — https://doi.org/10.1111/ddi.70115</w:t>
      </w:r>
    </w:p>
    <w:p>
      <w:pPr/>
      <w:r>
        <w:rPr>
          <w:b/>
        </w:rPr>
        <w:t>Shared claim-specific concepts:</w:t>
      </w:r>
      <w:r>
        <w:t xml:space="preserve"> abstract, aim, species, climate, conditions, three; EU scope visible. This is a provisional connection, not an outcome finding.</w:t>
      </w:r>
    </w:p>
    <w:p>
      <w:pPr>
        <w:pStyle w:val="SourceNote"/>
      </w:pPr>
      <w:r>
        <w:rPr>
          <w:b/>
        </w:rPr>
        <w:t>Available abstract (not full text):</w:t>
      </w:r>
      <w:r>
        <w:t xml:space="preserve"> ABSTRACT Aim No or unlimited dispersal capacities of species are commonly assumed in species distribution models ( SDMs ) used to assess potential impacts of climate change on biodiversity. However, these assumptions may lead to overly pessimistic or optimistic predictions. We aim to assess how outputs of broad‐scale SDMs of plants based on species‐specific dispersal estimates compare to outputs based on no and unlimited dispersal assumptions under climate change. Location Europe. Method We developed SDMs using occurrence records of 1318 vascular plant species in Europe and predictor variables representative of climate, soil and topographic conditions. We used the SDMs to project species to 2071–2100 for two climate scenarios (mild and severe climate change) combined with three dispersal assumptions: species‐specific, no dispersal, and unlimited dispersal. We then calculated the range sizes, species richness, and changes in both for each combination. Results Range size changes and species richness changes based on species‐specific dispersal estimates generally approximated those under the no dispersal assumption in both climate scenarios. This reflects that the majority of the species in our sample have a limited capacity to disperse. Only for the minority of species dispersed by wind or animals did the incorporation of species‐specific dispersal estimates result in clearly sma</w:t>
      </w:r>
    </w:p>
    <w:p>
      <w:pPr/>
      <w:r>
        <w:rPr>
          <w:b/>
        </w:rPr>
        <w:t>POSSIBLE 2025:</w:t>
      </w:r>
      <w:r>
        <w:t xml:space="preserve"> Abstracts of the 19th European Congress of Psychology — https://doi.org/10.1024/2673-8627/a000085</w:t>
      </w:r>
    </w:p>
    <w:p>
      <w:pPr/>
      <w:r>
        <w:rPr>
          <w:b/>
        </w:rPr>
        <w:t>Shared claim-specific concepts:</w:t>
      </w:r>
      <w:r>
        <w:t xml:space="preserve"> climate, but, remains, pace, recent; EU scope visible. This is a provisional connection, not an outcome finding.</w:t>
      </w:r>
    </w:p>
    <w:p>
      <w:pPr>
        <w:pStyle w:val="SourceNote"/>
      </w:pPr>
      <w:r>
        <w:rPr>
          <w:b/>
        </w:rPr>
        <w:t>Available abstract (not full text):</w:t>
      </w:r>
      <w:r>
        <w:t xml:space="preserve"> Psychology plays a crucial role in addressing the diverse challenges facing Europe.Its interdisciplinary nature allows it to connect with various sciences and professions.Despite differences in how individual countries are both affected by and handle these challenges, there's a shared framework provided by the United Nations Sustainable Development Goals (SDGs).Mental health and wellbeing have become a core human concern, underscored by recent events like the COVID-19 pandemic and the war in Ukraine.Climate change has significant psychological implications.The workplace also faces mental health challenges, with one-quarter of the EU workforce experiencing mental health issues.Digitalisation proceeding at pace has implications across the board.Psychology is increasingly involved in social discourses across Europe.Psychology collaborates at the international organizations like the United Nations and the World Health Organization.It is significantly engaged with the European Union institutions of the Parliament and Commission, and more widely across EU candidate countries and those on the continent of Europe but outside of the EU.This work is fostering a European-level approach.In times of fundamental change, it is important to take stock.Questions about the 'where from' are linked to the search for solutions and sustainable perspectives for the future.By realigning education and </w:t>
      </w:r>
    </w:p>
    <w:p>
      <w:pPr/>
      <w:r>
        <w:rPr>
          <w:b/>
        </w:rPr>
        <w:t>POSSIBLE 2024:</w:t>
      </w:r>
      <w:r>
        <w:t xml:space="preserve"> Evaluating the expansion of African species into Europe driven by climate change — https://doi.org/10.1111/ddi.13840</w:t>
      </w:r>
    </w:p>
    <w:p>
      <w:pPr/>
      <w:r>
        <w:rPr>
          <w:b/>
        </w:rPr>
        <w:t>Shared claim-specific concepts:</w:t>
      </w:r>
      <w:r>
        <w:t xml:space="preserve"> abstract, aim, species, ranges, climate, migration; EU scope visible. This is a provisional connection, not an outcome finding.</w:t>
      </w:r>
    </w:p>
    <w:p>
      <w:pPr>
        <w:pStyle w:val="SourceNote"/>
      </w:pPr>
      <w:r>
        <w:rPr>
          <w:b/>
        </w:rPr>
        <w:t>Available abstract (not full text):</w:t>
      </w:r>
      <w:r>
        <w:t xml:space="preserve"> Abstract Aim Ongoing climate change is presently influencing the distribution ranges of numerous species, with both range expansions and latitudinal shifts being observed. In southern Europe, a biogeographical border that separates African and European biota, while at the same time acting as a migration bridge for many species, these changes are of particular relevance. This study aimed to analyse the responses of nine typically African birds to climate change to provide information on the ongoing and future occupation of Europe by these species. Location Western Palearctic and surrounding areas. Methods To this end, the distributions of the species in their native ranges were modelled, both in the present and in future climate scenarios, using their current breeding ranges and a set of topographic and climatic variables. The climatic favourability for the nine species was then combined using fuzzy logic. Results The results showed that southern Europe is highly favourable for our set of African birds, except for Rüppell's Vulture, and future forecasts indicated that this favourability would increase further north, again excluding the African Vulture. Main conclusions If the climate continues to warm, further arrivals of individuals are to be expected, increasing the possibility that self‐sustaining populations may become established in southern Europe. Furthermore, new African</w:t>
      </w:r>
    </w:p>
    <w:p>
      <w:pPr/>
      <w:r>
        <w:rPr>
          <w:b/>
        </w:rPr>
        <w:t>POSSIBLE 2024:</w:t>
      </w:r>
      <w:r>
        <w:t xml:space="preserve"> Rewilding through inappropriate species introduction: The case of European bison in Spain — https://doi.org/10.1111/csp2.13221</w:t>
      </w:r>
    </w:p>
    <w:p>
      <w:pPr/>
      <w:r>
        <w:rPr>
          <w:b/>
        </w:rPr>
        <w:t>Shared claim-specific concepts:</w:t>
      </w:r>
      <w:r>
        <w:t xml:space="preserve"> abstract, species; EU scope visible. This is a provisional connection, not an outcome finding.</w:t>
      </w:r>
    </w:p>
    <w:p>
      <w:pPr>
        <w:pStyle w:val="SourceNote"/>
      </w:pPr>
      <w:r>
        <w:rPr>
          <w:b/>
        </w:rPr>
        <w:t>Available abstract (not full text):</w:t>
      </w:r>
      <w:r>
        <w:t xml:space="preserve"> Abstract Most European rewilding initiatives are based on the recovery of large herbivores, particularly European bison Bison bonasus , aiming at restoring ecosystem processes and increase trophic complexity. The growing support for the release of bison as a wild species, and change its legal status, in Spain, as an ecological analogue of the extinct steppe bison Bison priscus , makes it an excellent example to reflect the limits of a rewilding biogeographically advisable. We discuss if this initiative could be justified from ecological, biogeographical, ethical, and legal reasons. Besides remarkable taxonomic and functional differences between both bison species, the Mediterranean environment, under the present and future climatic scenarios, does not suit the European bison. Furthermore, there is no evidence to support the presumption that the European bison was ever present in the Iberian Peninsula, with legal implications. We expect that our approach will be inspirational for similar assessments on rewilding initiatives globally.</w:t>
      </w:r>
    </w:p>
    <w:p>
      <w:pPr/>
      <w:r>
        <w:rPr>
          <w:b/>
        </w:rPr>
        <w:t>POSSIBLE 2024:</w:t>
      </w:r>
      <w:r>
        <w:t xml:space="preserve"> Monitoring spatiotemporal patterns in the genetic diversity of a European butterfly species — https://doi.org/10.1111/icad.12786</w:t>
      </w:r>
    </w:p>
    <w:p>
      <w:pPr/>
      <w:r>
        <w:rPr>
          <w:b/>
        </w:rPr>
        <w:t>Shared claim-specific concepts:</w:t>
      </w:r>
      <w:r>
        <w:t xml:space="preserve"> abstract, aim, species, but; EU scope visible. This is a provisional connection, not an outcome finding.</w:t>
      </w:r>
    </w:p>
    <w:p>
      <w:pPr>
        <w:pStyle w:val="SourceNote"/>
      </w:pPr>
      <w:r>
        <w:rPr>
          <w:b/>
        </w:rPr>
        <w:t>Available abstract (not full text):</w:t>
      </w:r>
      <w:r>
        <w:t xml:space="preserve"> Abstract The importance of genetic diversity has been recognised by the Convention on Biological Diversity but attempts at monitoring or improving the genetic diversity of populations have been minimal. Here, we investigate changes over time in the genetic diversity of a wild insect species, Maniola jurtina (Lepidoptera: Nymphalidae) and present a large‐scale investigation into contemporary spatial genetic diversity. Using microsatellite markers, we calculate multiple measures of genetic diversity and divergence for M. jurtina populations over 8 years in the UK and compare these findings with long‐term abundance trends. We also conduct a large‐scale spatial analysis into the genetic diversity and population structuring of M. jurtina across Europe. All UK populations sampled have high levels of gene flow and genetic diversity, with genetic diversity stable over time. Across Europe, we find some population structuring between populations in the UK and the European mainland, suggesting restricted geneflow between the two regions. The monitoring of a wild species' genetic diversity is an achievable aim, and one that could be carried out for many species, particularly Lepidoptera. Future approaches may aim to develop higher resolution genetic markers and cover a wider range of species. The use of abundance data offers additional insight, and we find that concurrent, dedicated geneti</w:t>
      </w:r>
    </w:p>
    <w:p>
      <w:pPr/>
      <w:r>
        <w:rPr>
          <w:b/>
        </w:rPr>
        <w:t>POSSIBLE 2023:</w:t>
      </w:r>
      <w:r>
        <w:t xml:space="preserve"> 6th European Conference on Permafrost: Book of Abstracts — https://doi.org/10.52381/eucop6.abstracts.1</w:t>
      </w:r>
    </w:p>
    <w:p>
      <w:pPr/>
      <w:r>
        <w:rPr>
          <w:b/>
        </w:rPr>
        <w:t>Shared claim-specific concepts:</w:t>
      </w:r>
      <w:r>
        <w:t xml:space="preserve"> climate, conditions; EU scope visible. This is a provisional connection, not an outcome finding.</w:t>
      </w:r>
    </w:p>
    <w:p>
      <w:pPr>
        <w:pStyle w:val="SourceNote"/>
      </w:pPr>
      <w:r>
        <w:rPr>
          <w:b/>
        </w:rPr>
        <w:t>Available abstract (not full text):</w:t>
      </w:r>
      <w:r>
        <w:t xml:space="preserve"> Session 1 / Modeling of permafrost-climate feedbacks in future scenarios 37 • Thaw depths and carbon release in adaptive emission driven MPI-ESM simulations, Goran Georgievski [et al.] 38 • Representation of Arctic hydrology in a global land surface model, Tobias Stacke [et al.] 39 • Experimental and numerical evaluation of thermal properties of moss, lichen, and peat from a permafrost-dominated wetland., Simon Cazaurang [et al.] 40 • Modelling the effects of climate change on groundwater-surface water interactions in permafrost dominated regions, Radhakrishna Bangalore Lakshmiprasad [et al.] 41 • Modeling permafrost landscape evolution and greenhouse gas emissions from rapid thawing of ground ice with a new subgrid permafrost representation in CLM5, Esther Bender [et al.] 42 • Modeling influence of methane seeping on the water column carbonate system in the Laptev Sea Shelf, Evgeniy Yakushev [et al.] 43 • Climate response to improved permafrost hydro-thermodynamics in historical and scenario simulations, Félix García-Pereira [et al.] 44 • Surface-based temperature inversion impact on surface air temperatures and implications for permafrost distribution in Northwestern Canada, Nick Noad and Philip Bonnaventure 45 • Modelling the impact of surface lapse rate changes on mountain permafrost distribution in four dissimilar valleys in Yukon, Canada, Madeleine Garibaldi and Philip Bo</w:t>
      </w:r>
    </w:p>
    <w:p>
      <w:pPr/>
      <w:r>
        <w:rPr>
          <w:b/>
        </w:rPr>
        <w:t>POSSIBLE 2023:</w:t>
      </w:r>
      <w:r>
        <w:t xml:space="preserve"> European Habitats Directive has fostered monitoring but not prevented species declines — https://doi.org/10.1111/conl.12948</w:t>
      </w:r>
    </w:p>
    <w:p>
      <w:pPr/>
      <w:r>
        <w:rPr>
          <w:b/>
        </w:rPr>
        <w:t>Shared claim-specific concepts:</w:t>
      </w:r>
      <w:r>
        <w:t xml:space="preserve"> abstract, species, but; EU scope visible. This is a provisional connection, not an outcome finding.</w:t>
      </w:r>
    </w:p>
    <w:p>
      <w:pPr>
        <w:pStyle w:val="SourceNote"/>
      </w:pPr>
      <w:r>
        <w:rPr>
          <w:b/>
        </w:rPr>
        <w:t>Available abstract (not full text):</w:t>
      </w:r>
      <w:r>
        <w:t xml:space="preserve"> Abstract Strong biodiversity declines have been reported across the European Union, especially in insects, despite conservation policy such as the Habitats Directive that aims to halt biodiversity loss. Using 50 years of observational data, we examined indicators for the goals of the Directive in terms of improving monitoring efforts and occupancy trends of butterfly and dragonfly annex species in a central European region. We quantified annual monitoring effort and used occupancy‐detection models to compare species trends for 18 years before and after legal implementation of the Directive. Monitoring efforts increased after implementation, while occupancy trends both improved and deteriorated. Contrary to its main goal, the European Habitats Directive did not prevent a worsening of all annex species’ occupancy trends in the studied region. While the increased monitoring efforts aid biodiversity assessments, more serious broad‐scale conservation measures are needed to halt biodiversity loss across Europe.</w:t>
      </w:r>
    </w:p>
    <w:p>
      <w:pPr/>
      <w:r>
        <w:rPr>
          <w:b/>
        </w:rPr>
        <w:t>POSSIBLE 2023:</w:t>
      </w:r>
      <w:r>
        <w:t xml:space="preserve"> Diversity of cranial shape in European Woodpecker species (Picidae) — https://doi.org/10.2478/orhu-2023-0007</w:t>
      </w:r>
    </w:p>
    <w:p>
      <w:pPr/>
      <w:r>
        <w:rPr>
          <w:b/>
        </w:rPr>
        <w:t>Shared claim-specific concepts:</w:t>
      </w:r>
      <w:r>
        <w:t xml:space="preserve"> abstract, aim, species, but; EU scope visible. This is a provisional connection, not an outcome finding.</w:t>
      </w:r>
    </w:p>
    <w:p>
      <w:pPr>
        <w:pStyle w:val="SourceNote"/>
      </w:pPr>
      <w:r>
        <w:rPr>
          <w:b/>
        </w:rPr>
        <w:t>Available abstract (not full text):</w:t>
      </w:r>
      <w:r>
        <w:t xml:space="preserve"> Abstract The woodpecker family (Picidae) includes numerous species that vary in size and plumage colouration, but which share many easily recognisable external features. These birds possess pronounced anatomical adaptions that enable them to exploit arboreal habitats and live in niches that are inaccessible to most other birds. The aim of this study was to increase our knowledge on the relationships between skull shape, habitat preference, pecking abilities and foraging habits of 10 European woodpecker species. A geometric morphometric approach was used to analyse two-dimensional cranial landmarks. We used principal component (PC) analyses on those measurements that may be related to habitat preference and foraging habits. The PCs resulted in descriptions of the relative length and width of the bill, variation in its relative size, orientation of the nostrils variation in the elongation of the neurocranium, the relative size and position of the palatine bone, length of the rostrum , and the thickness of the mandible bone. The analysis showed and confirmed the presence of some cranial elements that are strongly associated with habitat preference, pecking behaviour and excavation abilities.</w:t>
      </w:r>
    </w:p>
    <w:p>
      <w:pPr/>
      <w:r>
        <w:rPr>
          <w:b/>
        </w:rPr>
        <w:t>POSSIBLE 2022:</w:t>
      </w:r>
      <w:r>
        <w:t xml:space="preserve"> Ellenberg‐type indicator values for European vascular plant species — https://doi.org/10.1111/jvs.13168</w:t>
      </w:r>
    </w:p>
    <w:p>
      <w:pPr/>
      <w:r>
        <w:rPr>
          <w:b/>
        </w:rPr>
        <w:t>Shared claim-specific concepts:</w:t>
      </w:r>
      <w:r>
        <w:t xml:space="preserve"> abstract, aim, species; EU scope visible. This is a provisional connection, not an outcome finding.</w:t>
      </w:r>
    </w:p>
    <w:p>
      <w:pPr>
        <w:pStyle w:val="SourceNote"/>
      </w:pPr>
      <w:r>
        <w:rPr>
          <w:b/>
        </w:rPr>
        <w:t>Available abstract (not full text):</w:t>
      </w:r>
      <w:r>
        <w:t xml:space="preserve"> Abstract Aims Ellenberg‐type indicator values are expert‐based rankings of plant species according to their ecological optima on main environmental gradients. Here we extend the indicator‐value system proposed by Heinz Ellenberg and co‐authors for Central Europe by incorporating other systems of Ellenberg‐type indicator values (i.e., those using scales compatible with Ellenberg values) developed for other European regions. Our aim is to create a harmonized data set of Ellenberg‐type indicator values applicable at the European scale. Methods We collected European data sets of indicator values for vascular plants and selected 13 data sets that used the nine‐, ten‐ or twelve‐degree scales defined by Ellenberg for light, temperature, moisture, reaction, nutrients and salinity. We compared these values with the original Ellenberg values and used those that showed consistent trends in regression slope and coefficient of determination. We calculated the average value for each combination of species and indicator values from these data sets. Based on species’ co‐occurrences in European vegetation plots, we also calculated new values for species that were not assigned an indicator value. Results We provide a new data set of Ellenberg‐type indicator values for 8908 European vascular plant species (8168 for light, 7400 for temperature, 8030 for moisture, 7282 for reaction, 7193 for nutrie</w:t>
      </w:r>
    </w:p>
    <w:p>
      <w:pPr/>
      <w:r>
        <w:rPr>
          <w:b/>
        </w:rPr>
        <w:t>POSSIBLE 2022:</w:t>
      </w:r>
      <w:r>
        <w:t xml:space="preserve"> Mechanised Harvesting of Broadleaved Tree Species in Europe — https://doi.org/10.1007/s40725-021-00154-7</w:t>
      </w:r>
    </w:p>
    <w:p>
      <w:pPr/>
      <w:r>
        <w:rPr>
          <w:b/>
        </w:rPr>
        <w:t>Shared claim-specific concepts:</w:t>
      </w:r>
      <w:r>
        <w:t xml:space="preserve"> abstract, aim, species, but, recent; EU scope visible. This is a provisional connection, not an outcome finding.</w:t>
      </w:r>
    </w:p>
    <w:p>
      <w:pPr>
        <w:pStyle w:val="SourceNote"/>
      </w:pPr>
      <w:r>
        <w:rPr>
          <w:b/>
        </w:rPr>
        <w:t>Available abstract (not full text):</w:t>
      </w:r>
      <w:r>
        <w:t xml:space="preserve"> Abstract Purpose of the Review The application of cut-to-length (CTL) technology for harvesting and processing timber from broadleaved tree species is a challenging process, due to thick branches, stem sweep, forks and high wood density. The objective of this review was to describe the current state of harvester use and characterise the effectiveness of mechanised forest operations for broadleaved and mixed forest stands in Europe, paying particular attention to productivity and product quality aspects. An additional aim was to identify the greatest difficulties associated with harvesting broadleaved tree species today and to indicate future challenges and areas for improvement. Recent Findings An interest in wider harvester use for broadleaved tree species started after the storm Lothar in France in 1999. Early experiences demonstrated that lower productivity is common when harvesting broadleaved tree species, due to limitations in delimbing and the high frequency of sweep. Initially, modifications were made to harvester heads, while a newly designed head (CTL 40 HW) was later developed within a European project in 2005–2007. Using various heads, very high productivity was achieved in some cases, but log recovery was unsatisfactory, with large tree tops left without delimbing. The delimbing was of lower quality and log length inaccuracy was observed, as well as economic losses</w:t>
      </w:r>
    </w:p>
    <w:p>
      <w:pPr>
        <w:pStyle w:val="Heading2"/>
      </w:pPr>
      <w:r>
        <w:t>996. Current and Future Issues in BPM Research: A European Perspective from the ERCIS Meeting 2010</w:t>
      </w:r>
    </w:p>
    <w:p>
      <w:pPr>
        <w:pStyle w:val="SourceNote"/>
      </w:pPr>
      <w:r>
        <w:rPr>
          <w:b/>
        </w:rPr>
        <w:t>Original source (2011):</w:t>
      </w:r>
      <w:r>
        <w:t xml:space="preserve"> https://doi.org/10.17705/1cais.02825</w:t>
      </w:r>
    </w:p>
    <w:p>
      <w:pPr/>
      <w:r>
        <w:t>Original wording (abstract; indexed_source_text_not_full_document_verified): This article reflects on a workshop on current and future issues in BPM research that was conducted by seventeen IS researchers from eight European countries as part of the 2010 annual meeting of the European Research Center for Information Systems (ERCIS). The results of this workshop suggest that BPM research can meaningfully contribute to investigating a broad variety of phenomena that are of interest to IS scholars, ranging from rather technical (e.g., the implementation of software architectures) to managerial (e.g., the impact of organizational culture on process performance).</w:t>
      </w:r>
    </w:p>
    <w:p>
      <w:pPr/>
      <w:r>
        <w:rPr>
          <w:b/>
        </w:rPr>
        <w:t>POSSIBLE 2026:</w:t>
      </w:r>
      <w:r>
        <w:t xml:space="preserve"> The BPM Goal Hexagon: an update to the Devil’s Quadrangle — https://doi.org/10.1007/s11301-026-00586-0</w:t>
      </w:r>
    </w:p>
    <w:p>
      <w:pPr/>
      <w:r>
        <w:rPr>
          <w:b/>
        </w:rPr>
        <w:t>Shared claim-specific concepts:</w:t>
      </w:r>
      <w:r>
        <w:t xml:space="preserve"> current, bpm, suggest; EU scope not established. This is a provisional connection, not an outcome finding.</w:t>
      </w:r>
    </w:p>
    <w:p>
      <w:pPr>
        <w:pStyle w:val="SourceNote"/>
      </w:pPr>
      <w:r>
        <w:rPr>
          <w:b/>
        </w:rPr>
        <w:t>Available abstract (not full text):</w:t>
      </w:r>
      <w:r>
        <w:t xml:space="preserve"> Abstract Business process management has traditionally focused on time, cost, quality, and flexibility as goal dimensions, known as the Devil’s Quadrangle. In light of novel emerging factors such as employee values, environmental, social, and governance requirements, as well as conscious business models, this paper investigates whether the traditional four goal dimensions of the Devil’s Quadrangle remain suitable today. Based on an extensive analysis of recent business process redesign projects published in case studies, we offer a timely assessment of the adequacy of the Devil’s Quadrangle in current times and suggest extensions to the concept, incorporating insights from a secondary study on robotic process automation. More specifically, we extend the Devil’s Quadrangle to the BPM Goal Hexagon by retaining time, quality, and flexibility, but refocusing cost to a more balanced economics dimension and adding a people dimension as well as an environment dimension. The BPM Goal Hexagon offers scholars and practitioners a timely tool to revisit the real-world relevance and sufficiency of their business process management project goals, methods, and tools.</w:t>
      </w:r>
    </w:p>
    <w:p>
      <w:pPr/>
      <w:r>
        <w:rPr>
          <w:b/>
        </w:rPr>
        <w:t>POSSIBLE 2026:</w:t>
      </w:r>
      <w:r>
        <w:t xml:space="preserve"> Benefits and Challenges in BPM Adoption in Organizations: An Analysis of Industry Professionals’ Perceptions — https://doi.org/10.5753/sbsi.2026.248288</w:t>
      </w:r>
    </w:p>
    <w:p>
      <w:pPr/>
      <w:r>
        <w:rPr>
          <w:b/>
        </w:rPr>
        <w:t>Shared claim-specific concepts:</w:t>
      </w:r>
      <w:r>
        <w:t xml:space="preserve"> bpm, conducted, information, systems; EU scope not established. This is a provisional connection, not an outcome finding.</w:t>
      </w:r>
    </w:p>
    <w:p>
      <w:pPr>
        <w:pStyle w:val="SourceNote"/>
      </w:pPr>
      <w:r>
        <w:rPr>
          <w:b/>
        </w:rPr>
        <w:t>Available abstract (not full text):</w:t>
      </w:r>
      <w:r>
        <w:t xml:space="preserve"> Research Context: Business Process Management (BPM) is as a key strategic approach to enhance organizational efficiency and align operations with digital transformation. In the face of constant technological evolution and market demands, organizations are challenged to integrate BPM within increasingly dynamic environments, where people, processes, and technologies must operate in synergy. Scientific and/or Practical Problem: It is crucial to understand how BPM is currently perceived, implemented, and evaluated in organizations, considering both the consolidated theoretical foundations of recent decades and the new practices that are emerging in organizational contexts. Proposed Solution and/or Analysis: This study investigates the critical success factors, main challenges, and perceived benefits of BPM adoption, based on the perspectives of professionals from both public and private organizations. The focus is on the organizational domain and the interplay between people, processes, and technologies. Related IS Theory: The research is grounded in the Socio-technical Systems Theory, which views organizations as interdependent systems composed of social and technical subsystems. This theory supports the analysis of how BPM effectiveness depends on the balanced integration of human, technological, and organizational elements. Research Method: A survey was conducted with 62 profes</w:t>
      </w:r>
    </w:p>
    <w:p>
      <w:pPr/>
      <w:r>
        <w:rPr>
          <w:b/>
        </w:rPr>
        <w:t>POSSIBLE 2026:</w:t>
      </w:r>
      <w:r>
        <w:t xml:space="preserve"> Digital integration for sustainable competitiveness: the role of BPM, process mining and ERP in accounting automation — https://doi.org/10.52326/csd2025.38</w:t>
      </w:r>
    </w:p>
    <w:p>
      <w:pPr/>
      <w:r>
        <w:rPr>
          <w:b/>
        </w:rPr>
        <w:t>Shared claim-specific concepts:</w:t>
      </w:r>
      <w:r>
        <w:t xml:space="preserve"> bpm, annual, systems; EU scope visible. This is a provisional connection, not an outcome finding.</w:t>
      </w:r>
    </w:p>
    <w:p>
      <w:pPr>
        <w:pStyle w:val="SourceNote"/>
      </w:pPr>
      <w:r>
        <w:rPr>
          <w:b/>
        </w:rPr>
        <w:t>Available abstract (not full text):</w:t>
      </w:r>
      <w:r>
        <w:t xml:space="preserve"> This paper examines how integrating Business Process Management (BPM), Process Mining, and Enterprise Resource Planning (ERP) systems enhances sustainable competitiveness and accounting automation efficiency. Using OMV Petrom SA, Romania's largest energy company, as a case study, the research analyzes the digital transformation program S4Strive, which unified 170 legal entities under a single SAP S/4HANA platform. The implementation combined BPM frameworks for process standardization, Process Mining analytics for identifying bottlenecks and deviations, and Robotic Process Automation (RPA) for repetitive financial tasks. The results revealed a 50% reduction in invoice-to-payment cycle times, annual savings of over 225,000 labor hours, and cost reductions exceeding €8 million. Beyond efficiency and cost improvements, the integration strengthened transparency, compliance, and data accuracy, while supporting environmental and social responsibility through optimized resource utilization. By comparing these outcomes with international accounts payable process-mining cases, the paper highlights how data-driven process integration enhances not only financial performance but also long-term organizational sustainability and resilience in the digital economy.</w:t>
      </w:r>
    </w:p>
    <w:p>
      <w:pPr/>
      <w:r>
        <w:rPr>
          <w:b/>
        </w:rPr>
        <w:t>POSSIBLE 2025:</w:t>
      </w:r>
      <w:r>
        <w:t xml:space="preserve"> Farmers’ and stakeholders’ views on the adoption of agroecological practices. Results from participatory workshops in European countries — https://doi.org/10.12688/openreseurope.20536.1</w:t>
      </w:r>
    </w:p>
    <w:p>
      <w:pPr/>
      <w:r>
        <w:rPr>
          <w:b/>
        </w:rPr>
        <w:t>Shared claim-specific concepts:</w:t>
      </w:r>
      <w:r>
        <w:t xml:space="preserve"> article, conducted, countries, information; EU scope visible. This is a provisional connection, not an outcome finding.</w:t>
      </w:r>
    </w:p>
    <w:p>
      <w:pPr>
        <w:pStyle w:val="SourceNote"/>
      </w:pPr>
      <w:r>
        <w:rPr>
          <w:b/>
        </w:rPr>
        <w:t>Available abstract (not full text):</w:t>
      </w:r>
      <w:r>
        <w:t xml:space="preserve"> Agroecological practices are prerequisites for many agri-environmental schemes in Europe and are increasingly being integrated into the EU's Common Agricultural Policy. Against the backdrop of recent protests by farmers in many European countries, with various grievances based on perceived tightening of environmental regulations and economic pressures, these protests raise questions about how farmer perceptions might hinder the adoption of agroecological practices. A series of workshops with farmers, farm advisors, and other supply chain stakeholders were organized between 2022 and 2023 in different European countries to facilitate knowledge sharing and to learn farmers' and stakeholders' views. Exercises were conducted during the workshops to explore the extent to which farmers were adopting practices that directly or indirectly promote biodiversity. The third and final phase aimed to better understand the motivations, needs, and potential trade-offs associated with implementing different agroecological practices, as well as their combination to promote functional biodiversity. The active participation of stakeholders was beneficial for collectively reflecting on relevant agroecological transition pathways, particularly farmers rational for implementation of agroecological practices for more sustainable agriculture in Europe. The results highlighted that participants had relat</w:t>
      </w:r>
    </w:p>
    <w:p>
      <w:pPr/>
      <w:r>
        <w:rPr>
          <w:b/>
        </w:rPr>
        <w:t>POSSIBLE 2025:</w:t>
      </w:r>
      <w:r>
        <w:t xml:space="preserve"> Adapting BPM lifecycle to increased sustainability of processes: An approach for including sustainability in the BPM Lifecycle — https://openalex.org/W7112653822</w:t>
      </w:r>
    </w:p>
    <w:p>
      <w:pPr/>
      <w:r>
        <w:rPr>
          <w:b/>
        </w:rPr>
        <w:t>Shared claim-specific concepts:</w:t>
      </w:r>
      <w:r>
        <w:t xml:space="preserve"> bpm, information, systems; EU scope not established. This is a provisional connection, not an outcome finding.</w:t>
      </w:r>
    </w:p>
    <w:p>
      <w:pPr>
        <w:pStyle w:val="SourceNote"/>
      </w:pPr>
      <w:r>
        <w:rPr>
          <w:b/>
        </w:rPr>
        <w:t>Available abstract (not full text):</w:t>
      </w:r>
      <w:r>
        <w:t xml:space="preserve"> Dissertation presented as the partial requirement for obtaining a Master's degree in Information Management, specialization in Information Systems Management</w:t>
      </w:r>
    </w:p>
    <w:p>
      <w:pPr/>
      <w:r>
        <w:rPr>
          <w:b/>
        </w:rPr>
        <w:t>POSSIBLE 2025:</w:t>
      </w:r>
      <w:r>
        <w:t xml:space="preserve"> The I Latin polar workshop : strengthening southern voices in polar research — https://openalex.org/W7112921515</w:t>
      </w:r>
    </w:p>
    <w:p>
      <w:pPr/>
      <w:r>
        <w:rPr>
          <w:b/>
        </w:rPr>
        <w:t>Shared claim-specific concepts:</w:t>
      </w:r>
      <w:r>
        <w:t xml:space="preserve"> article, workshop, countries; EU scope visible. This is a provisional connection, not an outcome finding.</w:t>
      </w:r>
    </w:p>
    <w:p>
      <w:pPr>
        <w:pStyle w:val="SourceNote"/>
      </w:pPr>
      <w:r>
        <w:rPr>
          <w:b/>
        </w:rPr>
        <w:t>Available abstract (not full text):</w:t>
      </w:r>
      <w:r>
        <w:t xml:space="preserve"> The I Latin Polar Workshop, held in Lisbon on October 1 and 2, 2025, represented an unprecedented initiative to strengthen collaboration between Latin American and Southern European countries in polar research and governance.Organized by Latin Polar Science in partnership with Portuguese and international institutions, the workshop provided a multidisciplinary forum to discuss scientific cooperation, policy dialogue, and the role of non-Arctic actors in polar affairs.This article offers a descriptive overview of the event's structure, themes, and outcomes, including a review of the poster session, which highlighted innovative research by experienced and early-career scholars.Finally, the event reflected the growing engagement of southern states in polar science and diplomacy.</w:t>
      </w:r>
    </w:p>
    <w:p>
      <w:pPr/>
      <w:r>
        <w:rPr>
          <w:b/>
        </w:rPr>
        <w:t>POSSIBLE 2025:</w:t>
      </w:r>
      <w:r>
        <w:t xml:space="preserve"> The future of education in sleep science and medicine in Europe: Report of an ESRS workshop — https://doi.org/10.1111/jsr.14454</w:t>
      </w:r>
    </w:p>
    <w:p>
      <w:pPr/>
      <w:r>
        <w:rPr>
          <w:b/>
        </w:rPr>
        <w:t>Shared claim-specific concepts:</w:t>
      </w:r>
      <w:r>
        <w:t xml:space="preserve"> workshop, part, information; EU scope visible. This is a provisional connection, not an outcome finding.</w:t>
      </w:r>
    </w:p>
    <w:p>
      <w:pPr>
        <w:pStyle w:val="SourceNote"/>
      </w:pPr>
      <w:r>
        <w:rPr>
          <w:b/>
        </w:rPr>
        <w:t>Available abstract (not full text):</w:t>
      </w:r>
      <w:r>
        <w:t xml:space="preserve"> The European Sleep Research Society (ESRS) is the leading voice for sleep medicine and research in Europe and includes in its mission the objective to promote and develop sleep education. As part of this objective, the Society established a Multidisciplinary Task Force on sleep education, which proposed a workshop on this topic to define the role of ESRS in the future of sleep education in Europe. This includes defining the domains of operation by the ESRS, its most important links and networks, and to recognise areas for development. A concrete goal was to make an action plan with suggestions for eventual Task Forces. Recommendations from the workshop include active collaboration with other Societies and University degree courses in sleep with the objective to position the ESRS as the central focus for sleep education in Europe. Predefined learning objectives and Entrustable Professional Activities were identified as key aspects of future direction. The ESRS Textbook in Sleep Medicine provides a valuable educational resource, and the next edition should expand on the traditional format to include digital material and an integrative platform. The workshop also identified the need to develop a more compact publication to inform non-sleep specialists, university students, and interested members of the public with basic information on sleep and sleep disorders.</w:t>
      </w:r>
    </w:p>
    <w:p>
      <w:pPr/>
      <w:r>
        <w:rPr>
          <w:b/>
        </w:rPr>
        <w:t>POSSIBLE 2025:</w:t>
      </w:r>
      <w:r>
        <w:t xml:space="preserve"> Process Automation with BPM and Emerging Technologies for Service and Industrial Process Optimization: Systematic Mapping — https://doi.org/10.5753/sbsi.2025.246014</w:t>
      </w:r>
    </w:p>
    <w:p>
      <w:pPr/>
      <w:r>
        <w:rPr>
          <w:b/>
        </w:rPr>
        <w:t>Shared claim-specific concepts:</w:t>
      </w:r>
      <w:r>
        <w:t xml:space="preserve"> article, bpm, conducted, information, systems; EU scope not established. This is a provisional connection, not an outcome finding.</w:t>
      </w:r>
    </w:p>
    <w:p>
      <w:pPr>
        <w:pStyle w:val="SourceNote"/>
      </w:pPr>
      <w:r>
        <w:rPr>
          <w:b/>
        </w:rPr>
        <w:t>Available abstract (not full text):</w:t>
      </w:r>
      <w:r>
        <w:t xml:space="preserve"> Context: The adoption of emerging technologies such as Artificial Intelligence (AI), Machine Learning (ML), Robotic Process Automation (RPA), and Process Mining (PM) is transforming business process management (BPM) and mainly its automation process, enhancing operational efficiency in services and industrial processes, and promoting innovation. Problem: The integration of emerging technologies with BPM faces organizational and technical challenges, including workforce adaptation, resistance to change and high costs, limiting its potential to increase efficiency and productivity. Solution: This article aims to investigate and analyze the approaches and structures that enable the integration of emerging technologies with BPM, addressing key questions of interest regarding their impact, implementation, and effectiveness in organizational settings. Information Systems Theory: This research was based on the aegis of the Diffusion of Innovations Theory, exploring how emerging technologies drive innovations in BPM, transforming organizational processes, accelerating automation and promoting operational efficiency and workforce reorganization. Method: We conducted a systematic mapping of studies published between 2019 and 2024, with a quantitative analysis of the selected studies. Summary of Results: The analysis highlighted AI, RPA, and Process Mining as the most cited technologies i</w:t>
      </w:r>
    </w:p>
    <w:p>
      <w:pPr/>
      <w:r>
        <w:rPr>
          <w:b/>
        </w:rPr>
        <w:t>POSSIBLE 2025:</w:t>
      </w:r>
      <w:r>
        <w:t xml:space="preserve"> AI implementation and organizational ambidexterity in the context of BPM: Polish service sector experience — https://doi.org/10.33119/jmfs.2024.52.4</w:t>
      </w:r>
    </w:p>
    <w:p>
      <w:pPr/>
      <w:r>
        <w:rPr>
          <w:b/>
        </w:rPr>
        <w:t>Shared claim-specific concepts:</w:t>
      </w:r>
      <w:r>
        <w:t xml:space="preserve"> bpm, conducted, information; EU scope visible. This is a provisional connection, not an outcome finding.</w:t>
      </w:r>
    </w:p>
    <w:p>
      <w:pPr>
        <w:pStyle w:val="SourceNote"/>
      </w:pPr>
      <w:r>
        <w:rPr>
          <w:b/>
        </w:rPr>
        <w:t>Available abstract (not full text):</w:t>
      </w:r>
      <w:r>
        <w:t xml:space="preserve"> The development of modern organizations is determined by the generation of a system state in which they will leverage the advancement of modern information and communication technologies (ICT). Artificial Intelligence (AI) stands out as a game changer in this regard. Concurrently, organizations striving for market dominance tend towards ambidexterity, i.e. balancing activities related to exploitation (genotypic operations) and the exploration of innovative areas generating added value. Therefore, a research challenge arises, aimed primarily at increasing the knowledge of ambidexterity and its various forms of achievement through the perspective on leveraging AI potential in the Business Process Management (BPM) context. This paper presents the results of a study conducted among 340 large and medium-sized service enterprises in Poland. The main objective of this research is to identify the characteristics of service enterprises associated with the maturity level of AI implementation, including examining the importance of the ambidexterity approach. The study indicates the potential of implementing the ambidexterity concept balancing exploitative and explorative BPM in association with the level of AI implementation. Research methods include literature review, survey, and statistical analyses (correlation analysis, classification tree). The enterprises surveyed varied greatly in </w:t>
      </w:r>
    </w:p>
    <w:p>
      <w:pPr/>
      <w:r>
        <w:rPr>
          <w:b/>
        </w:rPr>
        <w:t>POSSIBLE 2024:</w:t>
      </w:r>
      <w:r>
        <w:t xml:space="preserve"> Consensus report of the second European Consensus Workshop on Education in Periodontology — https://doi.org/10.1111/jcpe.13983</w:t>
      </w:r>
    </w:p>
    <w:p>
      <w:pPr/>
      <w:r>
        <w:rPr>
          <w:b/>
        </w:rPr>
        <w:t>Shared claim-specific concepts:</w:t>
      </w:r>
      <w:r>
        <w:t xml:space="preserve"> workshop, meeting, information; EU scope visible. This is a provisional connection, not an outcome finding.</w:t>
      </w:r>
    </w:p>
    <w:p>
      <w:pPr>
        <w:pStyle w:val="SourceNote"/>
      </w:pPr>
      <w:r>
        <w:rPr>
          <w:b/>
        </w:rPr>
        <w:t>Available abstract (not full text):</w:t>
      </w:r>
      <w:r>
        <w:t xml:space="preserve"> BACKGROUND: The second European Consensus Workshop on Education in Periodontology was commissioned, as a result of the changes in the discipline and the advances in educational methods/technology, to update the 2009 Consensus report of the first European Federation of Periodontology (EFP) Workshop on the same topic that was jointly authored by the Association for Dental Education in Europe. AIM: To identify and propose changes necessary in periodontal education at three levels, namely undergraduate, specialist and continuing professional development (CPD), with respect to learning outcomes, competencies and methods of learning/training and evaluation. METHODS: Four working groups (WGs) considered education in periodontology at the undergraduate, specialist and CPD levels, and education methods. Four commissioned position papers, one per WG, summarized the relevant information. Workshop participants gathered at an in-person consensus meeting to discuss the individual reviews, and this consensus report summarizes the conclusions. RESULTS: The learning outcomes for undergraduate and specialist education in periodontology have been updated, and a proposal for learning outcomes for CPD programmes was made. Learning/teaching/training and evaluation methods were proposed for each level of education, which included face-to-face, virtual and blended learning methods. CONCLUSION: Develop</w:t>
      </w:r>
    </w:p>
    <w:p>
      <w:pPr/>
      <w:r>
        <w:rPr>
          <w:b/>
        </w:rPr>
        <w:t>POSSIBLE 2023:</w:t>
      </w:r>
      <w:r>
        <w:t xml:space="preserve"> 10.M. Workshop: Community Health Practice and Research in Europe: Up front and centre! — https://doi.org/10.1093/eurpub/ckad160.674</w:t>
      </w:r>
    </w:p>
    <w:p>
      <w:pPr/>
      <w:r>
        <w:rPr>
          <w:b/>
        </w:rPr>
        <w:t>Shared claim-specific concepts:</w:t>
      </w:r>
      <w:r>
        <w:t xml:space="preserve"> workshop, researchers, countries, systems; EU scope visible. This is a provisional connection, not an outcome finding.</w:t>
      </w:r>
    </w:p>
    <w:p>
      <w:pPr>
        <w:pStyle w:val="SourceNote"/>
      </w:pPr>
      <w:r>
        <w:rPr>
          <w:b/>
        </w:rPr>
        <w:t>Available abstract (not full text):</w:t>
      </w:r>
      <w:r>
        <w:t xml:space="preserve"> Abstract Community Health (CH) is one of the most undervalued and poorly funded domains of action of health systems. Although evidence is strong on its contribution to population health, well-being and equity, national and regional health systems, and to some extent public health institutions, tend to pay little attention to its contribution. Community health encompasses the application of health promotion principles and strategies at the local level to improve equity and resilience of a community. It does so through three fundamental means: cross-sectoral collaborations, community involvement/engagement, and community health workers (CHW). It engages and works with communities in a culturally appropriate manner in order to implement effective strategies. In community health, capacity building is essential. The aim of this workshop is three-fold: 1) to generate a discussion among participants on the state of practice and research, 2) to reflect on strategies to strengthen and improve community health in Europe and, 3) to enhance the visibility of this domain within the ranks of the European Public Health Association (EUPHA). The workshop will provide a space for reflections and discussions. Each of our speakers, who are researchers from 5 different countries (Belgium, Czech Republic, Germany, Spain, and UK), will have 5 minutes to provide some elements of answers to the two fol</w:t>
      </w:r>
    </w:p>
    <w:p>
      <w:pPr/>
      <w:r>
        <w:rPr>
          <w:b/>
        </w:rPr>
        <w:t>POSSIBLE 2023:</w:t>
      </w:r>
      <w:r>
        <w:t xml:space="preserve"> Application of the BPM-Kraljic Model to Improve Supply Management in an Agroindustrial MSE — https://doi.org/10.46254/na07.20220457</w:t>
      </w:r>
    </w:p>
    <w:p>
      <w:pPr/>
      <w:r>
        <w:rPr>
          <w:b/>
        </w:rPr>
        <w:t>Shared claim-specific concepts:</w:t>
      </w:r>
      <w:r>
        <w:t xml:space="preserve"> article, bpm, information; EU scope not established. This is a provisional connection, not an outcome finding.</w:t>
      </w:r>
    </w:p>
    <w:p>
      <w:pPr>
        <w:pStyle w:val="SourceNote"/>
      </w:pPr>
      <w:r>
        <w:rPr>
          <w:b/>
        </w:rPr>
        <w:t>Available abstract (not full text):</w:t>
      </w:r>
      <w:r>
        <w:t xml:space="preserve"> Studies present insufficient information on working models within the purchasing area using the BPM tool for agroindustrial companies, especially in Latin America, which aim to improve performance and optimize the processes of an organization.For this reason, the need for this research arises.This scientific article presents a model to improve supply management.The BPM methodology was proposed to standardize internal processes and the Kraljic matrix, a tool used in purchasing management to classify materials and optimize purchase planning.The level of compliance within the purchasing area did not satisfy the established policies, reaching only 55.96% and generating a gap in the savings goal of approximately S/.500,000.This causes an imbalance at the administrative and operational level due to a lack of general standardization of the processes.This triggered problems at the macro level, such as lack of communication between areas, inefficient operations, and economic losses.The proposal that was carried out covers different areas, such as a harmonization within the administrative processes to reduce time variability and logistics focused on the efficient management of purchases and classification of materials.It was possible to prove the hypothesis; it is feasible to reach 85% of the target scope by restructuring the areas and generating strategies.The simulation could prove the</w:t>
      </w:r>
    </w:p>
    <w:p>
      <w:pPr>
        <w:pStyle w:val="Heading2"/>
      </w:pPr>
      <w:r>
        <w:t>997. Demographic projections of future pharmaceutical consumption in the Netherlands</w:t>
      </w:r>
    </w:p>
    <w:p>
      <w:pPr>
        <w:pStyle w:val="SourceNote"/>
      </w:pPr>
      <w:r>
        <w:rPr>
          <w:b/>
        </w:rPr>
        <w:t>Original source (2011):</w:t>
      </w:r>
      <w:r>
        <w:t xml:space="preserve"> https://doi.org/10.2166/wst.2011.120</w:t>
      </w:r>
    </w:p>
    <w:p>
      <w:pPr/>
      <w:r>
        <w:t>Original wording (abstract; indexed_source_text_not_full_document_verified): Over the next few decades, many Western European countries will undergo a large demographic transformation introduced by the retirement of the “baby boomers” and the possibility of striking increases in longevity.</w:t>
      </w:r>
    </w:p>
    <w:p>
      <w:pPr/>
      <w:r>
        <w:rPr>
          <w:b/>
        </w:rPr>
        <w:t>POSSIBLE 2025:</w:t>
      </w:r>
      <w:r>
        <w:t xml:space="preserve"> Modelling Eurasian lynx populations in Western Europe: What prospects for the next 50 years? — https://doi.org/10.24072/pcjournal.543</w:t>
      </w:r>
    </w:p>
    <w:p>
      <w:pPr/>
      <w:r>
        <w:rPr>
          <w:b/>
        </w:rPr>
        <w:t>Shared claim-specific concepts:</w:t>
      </w:r>
      <w:r>
        <w:t xml:space="preserve"> over, next, western, large; EU scope visible. This is a provisional connection, not an outcome finding.</w:t>
      </w:r>
    </w:p>
    <w:p>
      <w:pPr>
        <w:pStyle w:val="SourceNote"/>
      </w:pPr>
      <w:r>
        <w:rPr>
          <w:b/>
        </w:rPr>
        <w:t>Available abstract (not full text):</w:t>
      </w:r>
      <w:r>
        <w:t xml:space="preserve"> Persistence of populations may be uncertain for large carnivore species, especially for those established in human-dominated landscapes. Here, we studied the Eurasian lynx in Western Europe established in the Upper Rhine meta-population (i.e., Jura, Vosges-Palatinian and Black Forest populations) and the Alpine population. These populations are currently considered endangered or critically endangered due to high anthropogenic mortality, small population size and low genetic diversity, and isolation. We assessed lynx persistence over a 50-year time horizon by implementing a spatially-explicit individual-based model, while accounting for road mortality and habitat selection. Forecasts showed a steady growth rapidly reaching a more stable phase for the Alpine and Jura populations, and a more heterogeneous positive growth with less precision for the Vosges-Palatinian and Black Forest populations. Exchanges of individuals between populations were limited, the Jura population playing the role of a crossroad. Finally, the persistence of lynx in Western Europe seems likely on a large scale over the next 50 years. Indeed, simulations showed high female occupancy as well as average lynx density over the core areas of the four studied populations. Nevertheless, these results should be interpreted with the model limitations in mind, concerning the absence of movement barriers and inbreedin</w:t>
      </w:r>
    </w:p>
    <w:p>
      <w:pPr/>
      <w:r>
        <w:rPr>
          <w:b/>
        </w:rPr>
        <w:t>POSSIBLE 2024:</w:t>
      </w:r>
      <w:r>
        <w:t xml:space="preserve"> A sentinel watching over inter-tidal seagrass phenology across Western Europe and North Africa — https://doi.org/10.1038/s43247-024-01543-z</w:t>
      </w:r>
    </w:p>
    <w:p>
      <w:pPr/>
      <w:r>
        <w:rPr>
          <w:b/>
        </w:rPr>
        <w:t>Shared claim-specific concepts:</w:t>
      </w:r>
      <w:r>
        <w:t xml:space="preserve"> over, many, western; EU scope visible. This is a provisional connection, not an outcome finding.</w:t>
      </w:r>
    </w:p>
    <w:p>
      <w:pPr>
        <w:pStyle w:val="SourceNote"/>
      </w:pPr>
      <w:r>
        <w:rPr>
          <w:b/>
        </w:rPr>
        <w:t>Available abstract (not full text):</w:t>
      </w:r>
      <w:r>
        <w:t xml:space="preserve"> Abstract Seagrasses are marine flowering plants that form extensive meadows from the inter-tidal zone up to ~50 m depth. As biological and ecological Essential Biodiversity Variables, seagrass cover and composition provide a wide range of ecosystem services. Inter-tidal seagrass meadows provide services to many ecosystems, so monitoring their occurrence, extent, condition and diversity can be used to indicate the biodiversity and health of local ecosystems. Current global estimates of seagrass extent and recent reviews either do not mention inter-tidal seagrasses and their seasonal variation, or combine them with sub-tidal seagrasses. Here, using high-spatial and high-temporal resolution satellite data (Sentinel-2), we demonstrate a method for consistently mapping inter-tidal seagrass meadows and their phenology at a continental scale. We were able to highlight varying seasonal patterns that are observable across a 23° latitudinal range. Timings of peaks in seagrass extent varied by up to 5 months, rather than the previously assumed marginal to non-existent variation in peak timing. These results will aid management by providing high-resolution spatio-temporal monitoring data to better inform seagrass conservation and restoration. They also highlight the high level of seasonal variability in inter-tidal seagrass, meaning combination with sub-tidal seagrass for global assessment</w:t>
      </w:r>
    </w:p>
    <w:p>
      <w:pPr/>
      <w:r>
        <w:rPr>
          <w:b/>
        </w:rPr>
        <w:t>POSSIBLE 2024:</w:t>
      </w:r>
      <w:r>
        <w:t xml:space="preserve"> Climate Policy Priorities for the Next European Commission — https://openalex.org/W4392885355</w:t>
      </w:r>
    </w:p>
    <w:p>
      <w:pPr/>
      <w:r>
        <w:rPr>
          <w:b/>
        </w:rPr>
        <w:t>Shared claim-specific concepts:</w:t>
      </w:r>
      <w:r>
        <w:t xml:space="preserve"> over, next, large; EU scope visible. This is a provisional connection, not an outcome finding.</w:t>
      </w:r>
    </w:p>
    <w:p>
      <w:pPr>
        <w:pStyle w:val="SourceNote"/>
      </w:pPr>
      <w:r>
        <w:rPr>
          <w:b/>
        </w:rPr>
        <w:t>Available abstract (not full text):</w:t>
      </w:r>
      <w:r>
        <w:t xml:space="preserve"> From the earliest announcement of the European Green Deal, the current EU political cycle has been defined by an unprecedented acceleration in the scale and pace of climate policy. Under difficult conditions that sometimes tested the ability to engage stakeholders, including various external shocks, the EU has put forward and largely passed an unprecedented legislative agenda, which was meant to have, and is having, deep impacts on the EU economy and society at large. Much has changed in the world since the European Green Deal and the 'Fit for 55' packages were conceived, including a dramatic increase in industrial policy actions by Europe's trade partners, a deteriorating geopolitical landscape, and an energy crisis that has been aggravated by these factors, all of which has led to persistent fiscal and economic pressures. Given this reality, both the climate policy objectives and instruments pursued over the course of the last five years may need to be scrutinized in the coming political cycle, to ensure that they respond to evolving circumstances, concerns, and above all the reaction of European society to the political and economic consequences. Based on interviews and feedback from the members of a high-level Advisory Group as well as consultations with approximately 200 stakeholders from the public and private sectors, civil society, and research and academia convened in </w:t>
      </w:r>
    </w:p>
    <w:p>
      <w:pPr/>
      <w:r>
        <w:rPr>
          <w:b/>
        </w:rPr>
        <w:t>POSSIBLE 2024:</w:t>
      </w:r>
      <w:r>
        <w:t xml:space="preserve"> The Struggle over Law in Europe — https://doi.org/10.4324/9781003302094</w:t>
      </w:r>
    </w:p>
    <w:p>
      <w:pPr/>
      <w:r>
        <w:rPr>
          <w:b/>
        </w:rPr>
        <w:t>Shared claim-specific concepts:</w:t>
      </w:r>
      <w:r>
        <w:t xml:space="preserve"> over, next, introduced; EU scope visible. This is a provisional connection, not an outcome finding.</w:t>
      </w:r>
    </w:p>
    <w:p>
      <w:pPr>
        <w:pStyle w:val="SourceNote"/>
      </w:pPr>
      <w:r>
        <w:rPr>
          <w:b/>
        </w:rPr>
        <w:t>Available abstract (not full text):</w:t>
      </w:r>
      <w:r>
        <w:t xml:space="preserve"> This book examines the role of law in Europe at a time when economic policies have become dominant not only on this continent but globally. Can law be seen as a mere infrastructure? Or does it contribute to defining the social and legal order through its own inherent rules? If the second hypothesis is true, what might these rules be, and how may they be identified? Lastly, to what extent can agreeing a definition of the role of law affect the future of Europe? With the Next Generation European Union, the EU has introduced an unprecedented investment plan for economic recovery and resilience. In doing so, it has become the most important financial intermediary on the continent. But is this simply the prelude to a European economic and financial revival, or does it also aim to strengthen the European legal order in social, political, and constitutional terms? This book argues that the role of law in Europe should be to achieve a balanced relationship between freedom and solidarity; encouraging economic competition, but also social cohesion. Analyzing the role of law in the project of European integration, it maintains that law should be more than an infrastructure for finance and economics, showing how it can act as a guide and a binding force to achieve a more balanced relationship between economics, politics, and law. This book will be of interest to scholars in the fields of p</w:t>
      </w:r>
    </w:p>
    <w:p>
      <w:pPr/>
      <w:r>
        <w:rPr>
          <w:b/>
        </w:rPr>
        <w:t>POSSIBLE 2023:</w:t>
      </w:r>
      <w:r>
        <w:t xml:space="preserve"> Anticipated Developments in OTT Platforms Over the Next Few Years — https://doi.org/10.14445/22312803/ijctt-v71i5p112</w:t>
      </w:r>
    </w:p>
    <w:p>
      <w:pPr/>
      <w:r>
        <w:rPr>
          <w:b/>
        </w:rPr>
        <w:t>Shared claim-specific concepts:</w:t>
      </w:r>
      <w:r>
        <w:t xml:space="preserve"> over, next, few; EU scope not established. This is a provisional connection, not an outcome finding.</w:t>
      </w:r>
    </w:p>
    <w:p>
      <w:pPr>
        <w:pStyle w:val="SourceNote"/>
      </w:pPr>
      <w:r>
        <w:rPr>
          <w:b/>
        </w:rPr>
        <w:t>Available abstract (not full text):</w:t>
      </w:r>
      <w:r>
        <w:t xml:space="preserve"> The OTT platform industry is continuously evolving and advancing, and there are a number of anticipated developments expected over the next few years. The use of subscription-based models will continue to grow as it provides a reliable source of revenue for platforms and a predictable cost for consumers. Furthermore, the rise of ad-supported models is expected to gain traction as a way to increase accessibility to content and cater to those who cannot afford a subscription. The development of new technologies, such as virtual and augmented reality, will offer a new dimension to the viewing experience and may become a key differentiator for platforms. Additionally, advancements in streaming quality and device capabilities are expected to enhance the overall viewing experience and attract more consumers. This article aims to explore the anticipated advancements in OTT platforms, including the emergence of new players in the market, changes in content distribution and monetization strategies, the role of artificial intelligence and machine learning, and the impact of 5G technology. These developments will shape the future of the entertainment industry and have far-reaching implications for consumers, content creators, and distributors alike. Understanding these anticipated changes is crucial for anyone with a stake in the entertainment industry to stay ahead of the curve and remai</w:t>
      </w:r>
    </w:p>
    <w:p>
      <w:pPr/>
      <w:r>
        <w:rPr>
          <w:b/>
        </w:rPr>
        <w:t>POSSIBLE 2023:</w:t>
      </w:r>
      <w:r>
        <w:t xml:space="preserve"> Circulation dampened heat extremes intensification over the Midwest USA and amplified over Western Europe — https://doi.org/10.1038/s43247-023-01096-7</w:t>
      </w:r>
    </w:p>
    <w:p>
      <w:pPr/>
      <w:r>
        <w:rPr>
          <w:b/>
        </w:rPr>
        <w:t>Shared claim-specific concepts:</w:t>
      </w:r>
      <w:r>
        <w:t xml:space="preserve"> over, decades, western; EU scope visible. This is a provisional connection, not an outcome finding.</w:t>
      </w:r>
    </w:p>
    <w:p>
      <w:pPr>
        <w:pStyle w:val="SourceNote"/>
      </w:pPr>
      <w:r>
        <w:rPr>
          <w:b/>
        </w:rPr>
        <w:t>Available abstract (not full text):</w:t>
      </w:r>
      <w:r>
        <w:t xml:space="preserve"> Abstract Globally heat extremes have intensified in recent decades. However, while Western Europe shows a remarkably strong intensification of heat extremes, the Midwest United States experienced only weak warming of warmest nighttime and even a weak decrease in the intensity of daytime heat extremes since 1979. Here, we show that for daytime heat extremes in the Midwest United States atmospheric circulation induced ~1 °C cooling since 1979, reversing the thermodynamic warming trend. The observed circulation-induced trend is outside the multi-model range and the overall trend at the very low end of it. In Western Europe circulation greatly amplified warming by ~1 °C, accounting to one third of observed trend. The observed circulation- and thermodynamic-induced trends, as well as the total observed trends are at the high end of the model range in Western Europe. Understanding whether the strong circulation-induced trends are externally forced or unforced internal variability remains key to constrain future trends in heat extremes.</w:t>
      </w:r>
    </w:p>
    <w:p>
      <w:pPr/>
      <w:r>
        <w:rPr>
          <w:b/>
        </w:rPr>
        <w:t>POSSIBLE 2023:</w:t>
      </w:r>
      <w:r>
        <w:t xml:space="preserve"> Climate change on extreme winds already affects off-shore wind power availability in Europe — https://doi.org/10.1088/1748-9326/acbdb2</w:t>
      </w:r>
    </w:p>
    <w:p>
      <w:pPr/>
      <w:r>
        <w:rPr>
          <w:b/>
        </w:rPr>
        <w:t>Shared claim-specific concepts:</w:t>
      </w:r>
      <w:r>
        <w:t xml:space="preserve"> over, next, few, decades; EU scope visible. This is a provisional connection, not an outcome finding.</w:t>
      </w:r>
    </w:p>
    <w:p>
      <w:pPr>
        <w:pStyle w:val="SourceNote"/>
      </w:pPr>
      <w:r>
        <w:rPr>
          <w:b/>
        </w:rPr>
        <w:t>Available abstract (not full text):</w:t>
      </w:r>
      <w:r>
        <w:t xml:space="preserve"> Abstract Off-shore wind energy in Europe plays a key role in the transition to renewable energy, and its usage is expected to increase in the next few decades. According to the working regimes of a wind turbine, wind energy production can be disrupted by extreme atmospheric events related to low wind speed below the cut-in wind speed and high wind speed above the cut-out wind speed. The purpose of this work is to estimate the behavior of extreme winds on the European panorama, over the period 1950–2020, in order to investigate the large-scale weather regimes related to them and their impact on off-shore wind energy availability. We detected significant changes in the frequency of high and low extreme wind events, proving that climate change or long-term internal climate variability have already affected the off-shore wind power output. Moreover, the analysis of weather regimes showed that high and low extreme wind events can occur simultaneously over Europe. Our results suggest the necessity to implement efficient European energy management policies, to minimize the deficit in wind power supply.</w:t>
      </w:r>
    </w:p>
    <w:p>
      <w:pPr/>
      <w:r>
        <w:rPr>
          <w:b/>
        </w:rPr>
        <w:t>POSSIBLE 2023:</w:t>
      </w:r>
      <w:r>
        <w:t xml:space="preserve"> Market Scene of China’s Cultured Meat Market Over the Next Five Years — https://doi.org/10.54691/bcpbm.v38i.4189</w:t>
      </w:r>
    </w:p>
    <w:p>
      <w:pPr/>
      <w:r>
        <w:rPr>
          <w:b/>
        </w:rPr>
        <w:t>Shared claim-specific concepts:</w:t>
      </w:r>
      <w:r>
        <w:t xml:space="preserve"> over, next, few, many, countries; EU scope visible. This is a provisional connection, not an outcome finding.</w:t>
      </w:r>
    </w:p>
    <w:p>
      <w:pPr>
        <w:pStyle w:val="SourceNote"/>
      </w:pPr>
      <w:r>
        <w:rPr>
          <w:b/>
        </w:rPr>
        <w:t>Available abstract (not full text):</w:t>
      </w:r>
      <w:r>
        <w:t xml:space="preserve"> In recent years, cultured meat has blown a craze all over the world and has become popular in many European and American countries. China is also vigorously developing the cultured meat industry and has also achieved initial results. The goal of this research was to look at the Chinese cultured meat business over the next few years. To figure out the Chinese cultured meat market, this paper mainly applied the marketing mix theory and SWOT analysis tool to comprehensively analyze the internal and external factors of cultured meat from the perspective of consumers. This research concluded that the future development of cultured meat in China is still objective, but a lot of promotion needed to be done in the induction stage of the cultured meat product life cycle to improve the acceptance of consumers. More importantly, let the cultured meat technology mature as soon as possible since this is the main factor affecting the acceptance of consumers.</w:t>
      </w:r>
    </w:p>
    <w:p>
      <w:pPr/>
      <w:r>
        <w:rPr>
          <w:b/>
        </w:rPr>
        <w:t>POSSIBLE 2022:</w:t>
      </w:r>
      <w:r>
        <w:t xml:space="preserve"> Changes in temperature–precipitation correlations over Europe: are climate models reliable? — https://doi.org/10.1007/s00382-022-06436-5</w:t>
      </w:r>
    </w:p>
    <w:p>
      <w:pPr/>
      <w:r>
        <w:rPr>
          <w:b/>
        </w:rPr>
        <w:t>Shared claim-specific concepts:</w:t>
      </w:r>
      <w:r>
        <w:t xml:space="preserve"> over, next, large; EU scope visible. This is a provisional connection, not an outcome finding.</w:t>
      </w:r>
    </w:p>
    <w:p>
      <w:pPr>
        <w:pStyle w:val="SourceNote"/>
      </w:pPr>
      <w:r>
        <w:rPr>
          <w:b/>
        </w:rPr>
        <w:t>Available abstract (not full text):</w:t>
      </w:r>
      <w:r>
        <w:t xml:space="preserve"> Abstract Inter-variable correlations (e.g., between daily temperature and precipitation) are key statistical properties to characterise probabilities of simultaneous climate events and compound events. Their correct simulations from climate models, both in values and in changes over time, is then a prerequisite to investigate their future changes and associated impacts. Therefore, this study first evaluates the capabilities of one 11-single run multi-model ensemble (CMIP6) and one 40-member single model initial-condition large ensemble (CESM) over Europe to reproduce the characteristics of a reanalysis dataset (ERA5) in terms of temperature–precipitation correlations and their historical changes. Next, the ensembles’ correlations for the end of the 21st century are compared. Over the historical period, both CMIP6 and CESM ensembles have season-dependent and spatially structured biases. Moreover, the inter-variable correlations from both ensembles mostly appear stationary. Thus, although reanalysis displays significant correlation changes, none of the ensembles can reproduce them, with internal variability representing only 30% on the inter-model variability. However, future correlations show significant changes over large spatial patterns. Yet, those patterns are rather different for CMIP6 and CESM, reflecting a large uncertainty in changes. In addition, for historical and futu</w:t>
      </w:r>
    </w:p>
    <w:p>
      <w:pPr/>
      <w:r>
        <w:rPr>
          <w:b/>
        </w:rPr>
        <w:t>POSSIBLE 2021:</w:t>
      </w:r>
      <w:r>
        <w:t xml:space="preserve"> Compound precipitation and wind extremes over Europe and their relationship to extratropical cyclones — https://doi.org/10.1016/j.wace.2021.100342</w:t>
      </w:r>
    </w:p>
    <w:p>
      <w:pPr/>
      <w:r>
        <w:rPr>
          <w:b/>
        </w:rPr>
        <w:t>Shared claim-specific concepts:</w:t>
      </w:r>
      <w:r>
        <w:t xml:space="preserve"> over, few, many, western, large, increases; EU scope visible. This is a provisional connection, not an outcome finding.</w:t>
      </w:r>
    </w:p>
    <w:p>
      <w:pPr>
        <w:pStyle w:val="SourceNote"/>
      </w:pPr>
      <w:r>
        <w:rPr>
          <w:b/>
        </w:rPr>
        <w:t>Available abstract (not full text):</w:t>
      </w:r>
      <w:r>
        <w:t xml:space="preserve"> Extratropical cyclones and their associated extreme precipitation and winds can have a severe impact on society and the co-occurrence between the two extremes is important when assessing risk. In this study the extremal dependency measure, χ, is used to quantify the co-occurrence of extreme precipitation and wind gusts, and is investigated at individual grid points and spatially over Europe. Results using three observational datasets and a higher spatial and temporal resolution version of ERA5 than previously used confirm previous studies. Over Europe high co-occurrence is found over western coasts and low co-occurrence is found over eastern coasts. All datasets have qualitatively similar spatial patterns over most regions of Europe excluding some regions of high topography where ERA5 χ values are much larger. ERA5 represents the timings of daily extreme co-occurring events well, compared to observations. The differences in precipitation accumulation timescales are also accounted for by considering hourly, 6, 24 and 48 hourly co-occurrence. In a few regions co-occurrence changes with longer accumulations, indicating the different speeds and sizes of weather systems affecting these regions. χ in most regions has little increase by allowing a 24 h lag and lead between the precipitation and wind, with a few exceptions where χ is increased by up to 24%. Regions with the larger of t</w:t>
      </w:r>
    </w:p>
    <w:p>
      <w:pPr/>
      <w:r>
        <w:rPr>
          <w:b/>
        </w:rPr>
        <w:t>POSSIBLE 2021:</w:t>
      </w:r>
      <w:r>
        <w:t xml:space="preserve"> Modelling Eurasian lynx populations in Western Europe: What prospects for the next 50 years? — https://doi.org/10.1101/2021.10.22.465393</w:t>
      </w:r>
    </w:p>
    <w:p>
      <w:pPr/>
      <w:r>
        <w:rPr>
          <w:b/>
        </w:rPr>
        <w:t>Shared claim-specific concepts:</w:t>
      </w:r>
      <w:r>
        <w:t xml:space="preserve"> over, next, western, large; EU scope visible. This is a provisional connection, not an outcome finding.</w:t>
      </w:r>
    </w:p>
    <w:p>
      <w:pPr>
        <w:pStyle w:val="SourceNote"/>
      </w:pPr>
      <w:r>
        <w:rPr>
          <w:b/>
        </w:rPr>
        <w:t>Available abstract (not full text):</w:t>
      </w:r>
      <w:r>
        <w:t xml:space="preserve"> Abstract Persistence of populations may be uncertain for large carnivore species, especially for those established in human-dominated landscapes. Here, we studied the Eurasian lynx in Western Europe established in the Upper Rhine meta-population (i.e., Jura, Vosges-Palatinian and Black Forest populations) and the Alpine population. These populations are currently considered endangered or critically endangered due to high anthropogenic mortality, small population size and low genetic diversity, and isolation. We assessed lynx persistence over a 50-year time horizon by implementing a spatially-explicit individual-based model, while accounting for road mortality and habitat selection. Forecasts showed a steady growth rapidly reaching a more stable phase for the Alpine and Jura populations, and a more heterogeneous positive growth with less precision for the Vosges-Palatinian and Black Forest populations. Exchanges of individuals between populations were limited, the Jura population playing the role of a crossroad. Finally, the persistence of lynx in Western Europe seems likely on a large scale over the next 50 years. Indeed, simulations showed high female occupancy as well as average lynx density over the core areas of the four studied populations. Nevertheless, these results should be interpreted with the model limitations in mind, concerning the absence of movement barriers and </w:t>
      </w:r>
    </w:p>
    <w:p>
      <w:pPr/>
      <w:r>
        <w:rPr>
          <w:b/>
        </w:rPr>
        <w:t>POSSIBLE 2021:</w:t>
      </w:r>
      <w:r>
        <w:t xml:space="preserve"> Extreme wind projections over Europe from the Euro-CORDEX regional climate models — https://doi.org/10.1016/j.wace.2021.100363</w:t>
      </w:r>
    </w:p>
    <w:p>
      <w:pPr/>
      <w:r>
        <w:rPr>
          <w:b/>
        </w:rPr>
        <w:t>Shared claim-specific concepts:</w:t>
      </w:r>
      <w:r>
        <w:t xml:space="preserve"> over, many, increases; EU scope visible. This is a provisional connection, not an outcome finding.</w:t>
      </w:r>
    </w:p>
    <w:p>
      <w:pPr>
        <w:pStyle w:val="SourceNote"/>
      </w:pPr>
      <w:r>
        <w:rPr>
          <w:b/>
        </w:rPr>
        <w:t>Available abstract (not full text):</w:t>
      </w:r>
      <w:r>
        <w:t xml:space="preserve"> Extreme weather events represent one of the most visible and immediate hazards to society. Many of these types of phenomena are projected to increase in intensity, duration or frequency as the climate warms. Of these extreme winds are among the most damaging historically over Europe yet assessments of their future changes remain fraught with uncertainty. This uncertainty arises due to both the rare nature of extreme wind events and the fact that most model are unable to faithfully represent them. Here we take advantage of a 15 member ensemble of high resolution Euro-CORDEX simulations (∼12 km) and investigate projected changes in extreme winds using a peaks-over-threshold approach. Additionally we show that – despite lingering model deficiencies and inadequate observational coverage – there is clear added value of the higher resolution simulations over coarser resolution counterparts. Further, the spatial heterogeneity and highly localised nature is well captured. Effects such as orographic interactions, drag due to urban areas, and even individual storm tracks over the oceans are clearly visible. As such future changes also exhibit strong spatial heterogeneity. These results emphasise the need for careful case-by-case treatment of extreme wind analysis, especially when done in a climate adaptation or decision making context. However, for more general assessments the picture is</w:t>
      </w:r>
    </w:p>
    <w:p>
      <w:pPr>
        <w:pStyle w:val="Heading2"/>
      </w:pPr>
      <w:r>
        <w:t>998. Developments in Energy use for Transport in 27 European Union Countries through 2030</w:t>
      </w:r>
    </w:p>
    <w:p>
      <w:pPr>
        <w:pStyle w:val="SourceNote"/>
      </w:pPr>
      <w:r>
        <w:rPr>
          <w:b/>
        </w:rPr>
        <w:t>Original source (2011):</w:t>
      </w:r>
      <w:r>
        <w:t xml:space="preserve"> https://doi.org/10.3141/2252-05</w:t>
      </w:r>
    </w:p>
    <w:p>
      <w:pPr/>
      <w:r>
        <w:t>Original wording (abstract; indexed_source_text_not_full_document_verified): As a consequence, GHG emissions by transport will decline 12% by 2030 compared with 2005; in the reference scenario in the same period, emissions are expected to grow 17%. The model suite applied in iTREN-2030 comprises POLES (prospective outlook on long-term energy systems), a simulation model for development of long-term (2050) energy supply-and-demand scenarios; TREMOVE; ASTRA (assesment of transport strategies); and TRANS-TOOLS.</w:t>
      </w:r>
    </w:p>
    <w:p>
      <w:pPr/>
      <w:r>
        <w:rPr>
          <w:b/>
        </w:rPr>
        <w:t>POSSIBLE 2026:</w:t>
      </w:r>
      <w:r>
        <w:t xml:space="preserve"> Forecast reconciliation of agricultural GHG emissions in Europe with fuzzy clustering — https://doi.org/10.1007/s10479-026-07363-y</w:t>
      </w:r>
    </w:p>
    <w:p>
      <w:pPr/>
      <w:r>
        <w:rPr>
          <w:b/>
        </w:rPr>
        <w:t>Shared claim-specific concepts:</w:t>
      </w:r>
      <w:r>
        <w:t xml:space="preserve"> ghg, emissions, compared; EU scope visible. This is a provisional connection, not an outcome finding.</w:t>
      </w:r>
    </w:p>
    <w:p>
      <w:pPr>
        <w:pStyle w:val="SourceNote"/>
      </w:pPr>
      <w:r>
        <w:rPr>
          <w:b/>
        </w:rPr>
        <w:t>Available abstract (not full text):</w:t>
      </w:r>
      <w:r>
        <w:t xml:space="preserve"> Abstract We propose a novel statistical procedure which combines forecasting reconciliation techniques and unsupervised clustering algorithms to forecast annual greenhouse gases emissions at the territorial level. Specifically, we aim at predicting future emissions from the agricultural sector for Europe by aggregating bottom-level regional forecasts to the national and continental levels. Fuzzy clustering is used to define aggregations of bottom and middle-level series into clusters based on the similarity of emissions patterns; then, the fuzzy hierarchies are combined with the original administrative aggregation structure to improve the prediction accuracy of forecasting models. Empirical results show that fuzzy clustering aggregation, by leveraging uncertainty compared to crisp approaches, enhances forecast reconciliation accuracy at all levels of the hierarchy. Our approach offers a scalable solution to enhance forecast accuracy and reliability, particularly for short time series characterized by complex hierarchical structures.</w:t>
      </w:r>
    </w:p>
    <w:p>
      <w:pPr/>
      <w:r>
        <w:rPr>
          <w:b/>
        </w:rPr>
        <w:t>POSSIBLE 2026:</w:t>
      </w:r>
      <w:r>
        <w:t xml:space="preserve"> Global value chains and the redistribution of GHG emissions: The case of Czechia — https://doi.org/10.1016/j.rspp.2026.100338</w:t>
      </w:r>
    </w:p>
    <w:p>
      <w:pPr/>
      <w:r>
        <w:rPr>
          <w:b/>
        </w:rPr>
        <w:t>Shared claim-specific concepts:</w:t>
      </w:r>
      <w:r>
        <w:t xml:space="preserve"> consequence, ghg, emissions, systems; EU scope visible. This is a provisional connection, not an outcome finding.</w:t>
      </w:r>
    </w:p>
    <w:p>
      <w:pPr>
        <w:pStyle w:val="SourceNote"/>
      </w:pPr>
      <w:r>
        <w:rPr>
          <w:b/>
        </w:rPr>
        <w:t>Available abstract (not full text):</w:t>
      </w:r>
      <w:r>
        <w:t xml:space="preserve"> This paper examines how deep integration into global value chains (GVCs) reshapes the distribution of greenhouse gas (GHG) emissions in Czechia. It shows that the main environmental consequence of GVC integration is not simply the scale of emissions, but their redistribution across domestic production, foreign upstream supply chains, and final demand. Drawing on OECD GHG Footprints and TiVA data for 1995–2020, the paper analyses the geography of embodied emissions and links it to Czechia’s dependence on foreign inputs and external demand. The results indicate that Czechia remains a relatively emissions-intensive production base, while a growing share of the carbon footprint associated with its final demand is displaced into foreign upstream production and Czech-origin emissions continue to be transmitted into external markets through export-oriented manufacturing and related services. This pattern reflects high backward linkages, reliance on imported intermediates, and the central role of trade in intermediates. The automotive industry makes these dynamics particularly visible: while external integration underpins export competitiveness, the transition to electromobility reconfigures environmental pressures towards electricity, raw materials, battery production, and supplier networks within foreign-led production systems. The paper argues that, in manufacturing-oriented CEE (Ce</w:t>
      </w:r>
    </w:p>
    <w:p>
      <w:pPr/>
      <w:r>
        <w:rPr>
          <w:b/>
        </w:rPr>
        <w:t>POSSIBLE 2026:</w:t>
      </w:r>
      <w:r>
        <w:t xml:space="preserve"> GHG emissions of all world countries — https://doi.org/10.2760/7717504</w:t>
      </w:r>
    </w:p>
    <w:p>
      <w:pPr/>
      <w:r>
        <w:rPr>
          <w:b/>
        </w:rPr>
        <w:t>Shared claim-specific concepts:</w:t>
      </w:r>
      <w:r>
        <w:t xml:space="preserve"> ghg, emissions, compared; EU scope not established. This is a provisional connection, not an outcome finding.</w:t>
      </w:r>
    </w:p>
    <w:p>
      <w:pPr>
        <w:pStyle w:val="SourceNote"/>
      </w:pPr>
      <w:r>
        <w:rPr>
          <w:b/>
        </w:rPr>
        <w:t>Available abstract (not full text):</w:t>
      </w:r>
      <w:r>
        <w:t xml:space="preserve"> The Emissions Database for Global Atmospheric Research (EDGAR) provides greenhouse gas (GHG) emissions time series for all countries and for all anthropogenic sectors from 1970 until 2025, including emissions and removals from land use and forestry – LULUCF (from 1990 to 2025). The edition of this year shows that global GHG emissions reached 54.1 Gt CO2eq in 2025, increasing by 0.7% compared to 2024 (or 55.0 Gt CO2eq including LULUCF, +0.9%). The report contributes to the Paris Agreement process with an independent quantitative overview of global GHG emissions, based on the IEA-EDGAR CO2, EDGAR CH4, EDGAR N2O and EDGAR F-gases version EDGAR_2026_GHG (2026).</w:t>
      </w:r>
    </w:p>
    <w:p>
      <w:pPr/>
      <w:r>
        <w:rPr>
          <w:b/>
        </w:rPr>
        <w:t>POSSIBLE 2025:</w:t>
      </w:r>
      <w:r>
        <w:t xml:space="preserve"> Crayfish and Climate: how invasive species amplify aquatic GHG emissions — https://doi.org/10.5194/egusphere-egu25-6790</w:t>
      </w:r>
    </w:p>
    <w:p>
      <w:pPr/>
      <w:r>
        <w:rPr>
          <w:b/>
        </w:rPr>
        <w:t>Shared claim-specific concepts:</w:t>
      </w:r>
      <w:r>
        <w:t xml:space="preserve"> ghg, emissions, decline, compared, systems; EU scope visible. This is a provisional connection, not an outcome finding.</w:t>
      </w:r>
    </w:p>
    <w:p>
      <w:pPr>
        <w:pStyle w:val="SourceNote"/>
      </w:pPr>
      <w:r>
        <w:rPr>
          <w:b/>
        </w:rPr>
        <w:t>Available abstract (not full text):</w:t>
      </w:r>
      <w:r>
        <w:t xml:space="preserve"> Since their introduction to European waters in the 1970s, the invasive red swamp crayfish Procambarus clarkii has rapidly expanded due to traits such as rapid reproduction, high environmental tolerance, and opportunistic feeding. P. clarkii can significantly transform freshwater ecosystems, causing extensive reduction in plant coverage, predation on amphibians and other macroinvertebrates, and a decline in native crayfish species populations. In many systems, the expansion of P. clarkii has lead to a dramatic reduction in plant coverage at specific sites. While numerous studies have explored how climate change influences the spread of invasive species, little is known about the reverse relationship: how invasive species contribute to climate change.As a country with an extensive network of freshwater ecosystems, the Netherlands provides an excellent opportunity to study the effect of invasive species on aquatic GHG emissions. More than half of the Dutch territory has already been invaded by crayfish, with detrimental effects on submerged plants. Additionally, ditches serve as significant hotspots for GHG emissions, with estimates suggesting they are responsible for approximately 10–16% of the Dutch national annual CH4 emissions. These estimates are largely based on measurements in ditches dominated by submerged plants, which have been shown to mitigate CH₄ emissions through mec</w:t>
      </w:r>
    </w:p>
    <w:p>
      <w:pPr/>
      <w:r>
        <w:rPr>
          <w:b/>
        </w:rPr>
        <w:t>POSSIBLE 2025:</w:t>
      </w:r>
      <w:r>
        <w:t xml:space="preserve"> Green Mobility for Small-Medium Size Ports: A GHG Emissions Web Calculator — https://doi.org/10.1007/978-3-031-89444-2_69</w:t>
      </w:r>
    </w:p>
    <w:p>
      <w:pPr/>
      <w:r>
        <w:rPr>
          <w:b/>
        </w:rPr>
        <w:t>Shared claim-specific concepts:</w:t>
      </w:r>
      <w:r>
        <w:t xml:space="preserve"> ghg, emissions, transport, energy; EU scope visible. This is a provisional connection, not an outcome finding.</w:t>
      </w:r>
    </w:p>
    <w:p>
      <w:pPr>
        <w:pStyle w:val="SourceNote"/>
      </w:pPr>
      <w:r>
        <w:rPr>
          <w:b/>
        </w:rPr>
        <w:t>Available abstract (not full text):</w:t>
      </w:r>
      <w:r>
        <w:t xml:space="preserve"> Abstract Small and medium-sized ports are important hubs in logistics chains and support 90% of the world’s seaborne trade. It is therefore crucial to achieve the decarbonization targets set by the European Union through the European Green Deal, as well as other EU transport policy objectives. The main objective of this work is to develop a web calculator of greenhouse gas (GHG) emissions related with the different transport modes to/from/in the ports of Aveiro and Figueira da Foz, located in the Centre region of Portugal. The calculator will follow the EMEP/EEA emissions calculation methodology, which is based on the energy consumption of transport and relates it to vehicle and fuel emission factors, thus providing reliable values for the GHG emissions released by vehicles during port operations. The calculator will be integrated into the website of the Port Administrations of these ports to be easily accessible to different types of users and to raise awareness of the consequences of the logistics and operational processes that take place in these ports.</w:t>
      </w:r>
    </w:p>
    <w:p>
      <w:pPr/>
      <w:r>
        <w:rPr>
          <w:b/>
        </w:rPr>
        <w:t>POSSIBLE 2025:</w:t>
      </w:r>
      <w:r>
        <w:t xml:space="preserve"> Comparing GHG Emissions of Residue‐Based BECCS to Alternative Biomass Uses — https://doi.org/10.1111/gcbb.70089</w:t>
      </w:r>
    </w:p>
    <w:p>
      <w:pPr/>
      <w:r>
        <w:rPr>
          <w:b/>
        </w:rPr>
        <w:t>Shared claim-specific concepts:</w:t>
      </w:r>
      <w:r>
        <w:t xml:space="preserve"> ghg, emissions, compared, energy; EU scope visible. This is a provisional connection, not an outcome finding.</w:t>
      </w:r>
    </w:p>
    <w:p>
      <w:pPr>
        <w:pStyle w:val="SourceNote"/>
      </w:pPr>
      <w:r>
        <w:rPr>
          <w:b/>
        </w:rPr>
        <w:t>Available abstract (not full text):</w:t>
      </w:r>
      <w:r>
        <w:t xml:space="preserve"> ABSTRACT Bioenergy with carbon capture and storage (BECCS) holds promise for achieving negative greenhouse gas (GHG) emissions while generating electricity. When using forestry or agricultural residues as feedstock, BECCS may also avoid or reduce land‐use based impacts compared to dedicated energy crops. It is, however, unclear how negative emissions from residue‐based BECCS compare to alternative uses (bioenergy with no CCS, 2G ethanol, paper and boards, animal feed and decomposition) and how quickly BECCS can achieve climate benefits compared to these other uses. In this study, we used life‐cycle assessment (LCA) to quantify supply chain emissions of BECCS for two power plants in the Netherlands, using residue‐based wood pellets from Louisiana, USA, and sugarcane bagasse pellets from Louisiana and São Paulo, Brazil, as feedstock. Using an attributional LCA approach, we showed that the two BECCS plants combined use 7.5 Mt of biomass dry per year. This system generates between 10.3 and 11.1 TWh of electricity and provides 11.0 and 11.3 Mt CO 2 ‐eq. of negative emissions annually, for wood or bagasse, respectively. This results in a footprint of −0.63 (wood) and −0.65 (bagasse) t CO 2 ‐eq./t wet biomass . Following a consequential approach, we contrasted the GHG emissions per tonne of biomass residue used for BECCS with those associated with alternative uses, accounting for the </w:t>
      </w:r>
    </w:p>
    <w:p>
      <w:pPr/>
      <w:r>
        <w:rPr>
          <w:b/>
        </w:rPr>
        <w:t>POSSIBLE 2024:</w:t>
      </w:r>
      <w:r>
        <w:t xml:space="preserve"> A Methodology to Evaluate GHG Emissions for Large Sports Events — https://doi.org/10.3390/su16041504</w:t>
      </w:r>
    </w:p>
    <w:p>
      <w:pPr/>
      <w:r>
        <w:rPr>
          <w:b/>
        </w:rPr>
        <w:t>Shared claim-specific concepts:</w:t>
      </w:r>
      <w:r>
        <w:t xml:space="preserve"> ghg, emissions, reference, energy; EU scope not established. This is a provisional connection, not an outcome finding.</w:t>
      </w:r>
    </w:p>
    <w:p>
      <w:pPr>
        <w:pStyle w:val="SourceNote"/>
      </w:pPr>
      <w:r>
        <w:rPr>
          <w:b/>
        </w:rPr>
        <w:t>Available abstract (not full text):</w:t>
      </w:r>
      <w:r>
        <w:t xml:space="preserve"> Determining whether a large sports event is sustainable or not is one of the main objectives of the sports industry in the coming years. Indeed, there are several sources of greenhouse gas (GHG) emissions within a sports event that are not directly controlled by the sports companies but are linked to the event itself. The literature does not offer a standardized methodology for calculating the CO2 emissions of sports events, and consequently, there are different approaches. The objective of this article is to provide an updated state-of-the-art on the topic and to propose an innovative methodology for the calculation of Greenhouse Gas emission of a large sport event. The methodology entails the analysis of purchased goods and services, fuel and energy consumption, waste generation, business travel, and the impact of accommodations. Within the analysis, tools are provided to calculate carbon emissions for each category based on easily understandable data and utilizing reference conversion factors. The research presented in this paper may be useful for professionals in the sector in identifying a comprehensive methodology to quantify greenhouse gas (GHG) emissions for a large sports event.</w:t>
      </w:r>
    </w:p>
    <w:p>
      <w:pPr/>
      <w:r>
        <w:rPr>
          <w:b/>
        </w:rPr>
        <w:t>POSSIBLE 2023:</w:t>
      </w:r>
      <w:r>
        <w:t xml:space="preserve"> GHG emissions of semiconductor manufacturing in 2021 — https://openalex.org/W4386614028</w:t>
      </w:r>
    </w:p>
    <w:p>
      <w:pPr/>
      <w:r>
        <w:rPr>
          <w:b/>
        </w:rPr>
        <w:t>Shared claim-specific concepts:</w:t>
      </w:r>
      <w:r>
        <w:t xml:space="preserve"> ghg, emissions, energy, systems; EU scope not established. This is a provisional connection, not an outcome finding.</w:t>
      </w:r>
    </w:p>
    <w:p>
      <w:pPr>
        <w:pStyle w:val="SourceNote"/>
      </w:pPr>
      <w:r>
        <w:rPr>
          <w:b/>
        </w:rPr>
        <w:t>Available abstract (not full text):</w:t>
      </w:r>
      <w:r>
        <w:t xml:space="preserve"> The greenhouse gas (GHG) emissions of semiconductor manufacturing represent an important share of the embodied carbon footprint of electronics systems. Manufacturing emissions are disclosed in the sustainability reports of semiconductor companies. This paper proposes a study of global semiconductor manufacturing carbon emissions, focusing on Scope 1 (direct emissions) and Scope 2 (emissions induced by consuming energy). The fifteen companies on the semiconductor market with highest 2021 revenues are considered, as well as the four main merchant foundries, over the years 2020 and 2021. As a large scale evaluation of carbon impacts, the resulting numbers compile heterogeneous figures and require a comprehensive discussion on the strengths and limitations of the evaluation. Most of the efforts on this paper are thus allocated to this discussion. The 2021 carbon emissions for the semiconductor industry worldwide are estimated at 76.5M tons of CO2 equivalent, breaking down into 30.6M tons CO2e of Scope 1 emissions (direct emissions), and 45.9M tons CO2e of scope 2 emissions (emissions induced by the energy consumption of manufacturing). These numbers do not include the Scope 3 impacts, neither downwards (usage of the products) nor upwards (constructing fabrication facilities, building fabrication machines, extracting raw materials, smelting and refining materials). Between 2020 and </w:t>
      </w:r>
    </w:p>
    <w:p>
      <w:pPr/>
      <w:r>
        <w:rPr>
          <w:b/>
        </w:rPr>
        <w:t>POSSIBLE 2023:</w:t>
      </w:r>
      <w:r>
        <w:t xml:space="preserve"> The drivers of GHG emissions: A novel approach to estimate emissions using nonparametric analysis — https://doi.org/10.1016/j.gr.2023.10.004</w:t>
      </w:r>
    </w:p>
    <w:p>
      <w:pPr/>
      <w:r>
        <w:rPr>
          <w:b/>
        </w:rPr>
        <w:t>Shared claim-specific concepts:</w:t>
      </w:r>
      <w:r>
        <w:t xml:space="preserve"> ghg, emissions, period; EU scope not established. This is a provisional connection, not an outcome finding.</w:t>
      </w:r>
    </w:p>
    <w:p>
      <w:pPr>
        <w:pStyle w:val="SourceNote"/>
      </w:pPr>
      <w:r>
        <w:rPr>
          <w:b/>
        </w:rPr>
        <w:t>Available abstract (not full text):</w:t>
      </w:r>
      <w:r>
        <w:t xml:space="preserve"> The rising levels of global GHG emissions underpin climate change, hence, taking an appropriate inventory of the drivers and patterns of anthropogenic emissions remains crucial to mitigating global climate effects. However, there are conflicting views in the literature on the relationship between respective drivers and GHG emissions due to the lack of robust analysis that accommodates the interaction of all significant drivers. We use novel estimation techniques to decipher the 26-year inventory of GHG occurrences and simultaneous assessment of interactions in 50 countries stratified based on socioeconomic developments over the period 1990-2018. This study highlights different drivers of GHG emissions under broader categories such as population, economic development, forest density, and agricultural practices. Non-parametric estimations roughly confirm the magnitude of the influence of forests, agriculture, and land-use intensity on GHG emissions, ultimately tracking the most significant emission sinks.</w:t>
      </w:r>
    </w:p>
    <w:p>
      <w:pPr/>
      <w:r>
        <w:rPr>
          <w:b/>
        </w:rPr>
        <w:t>POSSIBLE 2023:</w:t>
      </w:r>
      <w:r>
        <w:t xml:space="preserve"> Quantifying Green House Gas (GHG) Emissions for Small Businesses in the US: Effective Policies to Reduce GHG — https://openalex.org/W7112710684</w:t>
      </w:r>
    </w:p>
    <w:p>
      <w:pPr/>
      <w:r>
        <w:rPr>
          <w:b/>
        </w:rPr>
        <w:t>Shared claim-specific concepts:</w:t>
      </w:r>
      <w:r>
        <w:t xml:space="preserve"> ghg, emissions, energy, systems; EU scope visible. This is a provisional connection, not an outcome finding.</w:t>
      </w:r>
    </w:p>
    <w:p>
      <w:pPr>
        <w:pStyle w:val="SourceNote"/>
      </w:pPr>
      <w:r>
        <w:rPr>
          <w:b/>
        </w:rPr>
        <w:t>Available abstract (not full text):</w:t>
      </w:r>
      <w:r>
        <w:t xml:space="preserve"> Small to medium sized enterprises (SMEs) make up 99% of businesses in the United States (US) and account for almost half of GDP. Collectively, SMEs play a large role in the economy and should play a large role in sustainability as well. SMEs might consume more energy than corporations and have the potential to reduce more greenhouse gases. Even though there has been growing pressure on corporations to reduce greenhouse gas (GHG) emissions, SMEs have not been included in the sustainability conversation, perhaps because it’s been difficult to include them, or due to the perception of their irrelevance. Governments and investors have instead put pressure on corporations, which also have multiple reporting tools, tax breaks and incentives to help urge them to participate. It’s hard for SMEs to engage in sustainability initiatives because they can be costly and require time and human resources. Because few small businesses are engaged in sustainability efforts, there is little information on how they contribute to climate change. This research aimed to quantify GHG emissions from SMEs in the US and evaluate future GHG emissions and reductions based on a variety of scenarios by addressing four main questions: What percentage of GHG emissions can be attributed to SMEs in the US? If every SME incrementally reduced GHG emissions, how much change would be seen? How much GHG can be avoide</w:t>
      </w:r>
    </w:p>
    <w:p>
      <w:pPr/>
      <w:r>
        <w:rPr>
          <w:b/>
        </w:rPr>
        <w:t>POSSIBLE 2022:</w:t>
      </w:r>
      <w:r>
        <w:t xml:space="preserve"> Literature review on policies to mitigate GHG emissions for cement and concrete — https://doi.org/10.1016/j.resconrec.2022.106278</w:t>
      </w:r>
    </w:p>
    <w:p>
      <w:pPr/>
      <w:r>
        <w:rPr>
          <w:b/>
        </w:rPr>
        <w:t>Shared claim-specific concepts:</w:t>
      </w:r>
      <w:r>
        <w:t xml:space="preserve"> ghg, emissions, energy; EU scope not established. This is a provisional connection, not an outcome finding.</w:t>
      </w:r>
    </w:p>
    <w:p>
      <w:pPr>
        <w:pStyle w:val="SourceNote"/>
      </w:pPr>
      <w:r>
        <w:rPr>
          <w:b/>
        </w:rPr>
        <w:t>Available abstract (not full text):</w:t>
      </w:r>
      <w:r>
        <w:t xml:space="preserve"> The production and use of cement, the binding agent in concrete, emits seven percent of global greenhouse gas emissions annually. Achieving climate change mitigation targets, such as those proposed in the Paris Agreement, requires emission reductions from this sector. The body of research on technical solutions to cement and concrete decarbonization is wide, but technical measures must be coupled with effective policy to achieve decarbonization. This study undertakes a review of previous research on cement and concrete decarbonization and analyzes the most common proposed measures along their level of action, involved stakeholders, barriers to implementation, and coordinated policy actions. The review yielded 37 studies from peer-reviewed articles and technical reports. Analysis showed consensus on the primary technical measures to decarbonize. For cement production, measures include (I) improved energy efficiency, (II) fuel switching, (III) carbon capture utilization and storage, and (IV) reduction of the clinker-to-cement ratio. For concrete production and its end-uses common proposed measures include (V) alternative binders, (VI) material and construction efficiency and (VII) CO2 uptake by concrete. While the literature shows an emerging consensus around technical solutions for decarbonization, there was less clarity about preferred policy solutions and key barriers. The rev</w:t>
      </w:r>
    </w:p>
    <w:p>
      <w:pPr/>
      <w:r>
        <w:rPr>
          <w:b/>
        </w:rPr>
        <w:t>POSSIBLE 2022:</w:t>
      </w:r>
      <w:r>
        <w:t xml:space="preserve"> The GHGs Evolution of LULUCF Sector at the European Union (EU-27 + UK): Romania Case Study — https://doi.org/10.3390/atmos13101638</w:t>
      </w:r>
    </w:p>
    <w:p>
      <w:pPr/>
      <w:r>
        <w:rPr>
          <w:b/>
        </w:rPr>
        <w:t>Shared claim-specific concepts:</w:t>
      </w:r>
      <w:r>
        <w:t xml:space="preserve"> ghg, emissions, compared, reference, period; EU scope visible. This is a provisional connection, not an outcome finding.</w:t>
      </w:r>
    </w:p>
    <w:p>
      <w:pPr>
        <w:pStyle w:val="SourceNote"/>
      </w:pPr>
      <w:r>
        <w:rPr>
          <w:b/>
        </w:rPr>
        <w:t>Available abstract (not full text):</w:t>
      </w:r>
      <w:r>
        <w:t xml:space="preserve"> Mitigating climate change is a challenge that urgently needs to be addressed, as it has an increasing impact on the planet. According to the latest reports, global CO2 emissions must be neutralized by 2050 in order to limit the rise in temperature to 1.5 °C. This work presents the evolution of Land Use, Land Use Change and Forestry (LULUCF) greenhouse gas (GHG) emissions/removals at the EU-27 + UK level for the 1990–2019 time period, as well as LULUCF emissions/removals forecasts for Romania up to 2040. The results revealed a 23% reduction in GHG emissions for the EU-27 + UK in 2019 compared to 1990. Romania’s yearly average of GHG emissions/removals was 28,000 kt CO2 eq., representing roughly 9.7% of the EU’s annual average. In terms of projections for Romania, the only scenario that will not be in the target set by the new LULUCF Regulation is WEM (Reference Scenario/With Existing Measures), in which net GHG removals will be reduced by approximately 218 kt CO2 eq., or 0.9 percent, in 2030 compared to the reference year; in 2040 compared to 1989, the trend will be accentuated both in absolute values, with a decrease of over 3000 kt CO2 eq., and in relative values of 12%.</w:t>
      </w:r>
    </w:p>
    <w:p>
      <w:pPr>
        <w:pStyle w:val="Heading2"/>
      </w:pPr>
      <w:r>
        <w:t>999. Finland-Russia rail transport deregulation: future scenarios of market development</w:t>
      </w:r>
    </w:p>
    <w:p>
      <w:pPr>
        <w:pStyle w:val="SourceNote"/>
      </w:pPr>
      <w:r>
        <w:rPr>
          <w:b/>
        </w:rPr>
        <w:t>Original source (2011):</w:t>
      </w:r>
      <w:r>
        <w:t xml:space="preserve"> https://doi.org/10.1504/ijstl.2011.039377</w:t>
      </w:r>
    </w:p>
    <w:p>
      <w:pPr/>
      <w:r>
        <w:t>Original wording (abstract; indexed_source_text_not_full_document_verified): Three different kinds of scenarios are constructed, and based on this research, it may be concluded that deregulating third country transport would be advisable. This would promote border transports, decrease prices, and attract and boost competition in Finland’s rail transport market.</w:t>
      </w:r>
    </w:p>
    <w:p>
      <w:pPr/>
      <w:r>
        <w:rPr>
          <w:b/>
        </w:rPr>
        <w:t>POSSIBLE 2026:</w:t>
      </w:r>
      <w:r>
        <w:t xml:space="preserve"> What kind of Europe do Europeans want? — https://doi.org/10.1080/01402382.2026.2662871</w:t>
      </w:r>
    </w:p>
    <w:p>
      <w:pPr/>
      <w:r>
        <w:rPr>
          <w:b/>
        </w:rPr>
        <w:t>Shared claim-specific concepts:</w:t>
      </w:r>
      <w:r>
        <w:t xml:space="preserve"> different, constructed, competition; EU scope visible. This is a provisional connection, not an outcome finding.</w:t>
      </w:r>
    </w:p>
    <w:p>
      <w:pPr>
        <w:pStyle w:val="SourceNote"/>
      </w:pPr>
      <w:r>
        <w:rPr>
          <w:b/>
        </w:rPr>
        <w:t>Available abstract (not full text):</w:t>
      </w:r>
      <w:r>
        <w:t xml:space="preserve"> After two crisis decades, the European Union (EU) needs to meet the chal-lenges of climate change, migration, strategic competition, and war. But, giventhese challenges, what kind of Europe do Europeans want? The article arguesthat the idea of more or less integration does not adequately capture different polity preferences since more integration can mean different things to different people. In order to capture this polysemy, the article presents a richer conceptualisation of European integration along two dimensions: binding (EU centralisation of competences) and bounding (bordering at the EU level). Combining these two, five types of polity formation preferences are constructed: Fortress, Sovereign, Cosmopolitan, Minimalist, and No-vision EU. Exploiting a new original survey, the analysis confirms that public preferences are well represented by these two dimensions. A majority wants more bounding, but they are divided on binding.</w:t>
      </w:r>
    </w:p>
    <w:p>
      <w:pPr/>
      <w:r>
        <w:rPr>
          <w:b/>
        </w:rPr>
        <w:t>POSSIBLE 2025:</w:t>
      </w:r>
      <w:r>
        <w:t xml:space="preserve"> Three kinds of suspended belief — https://doi.org/10.1093/pq/pqaf109</w:t>
      </w:r>
    </w:p>
    <w:p>
      <w:pPr/>
      <w:r>
        <w:rPr>
          <w:b/>
        </w:rPr>
        <w:t>Shared claim-specific concepts:</w:t>
      </w:r>
      <w:r>
        <w:t xml:space="preserve"> three, kinds, third; EU scope not established. This is a provisional connection, not an outcome finding.</w:t>
      </w:r>
    </w:p>
    <w:p>
      <w:pPr>
        <w:pStyle w:val="SourceNote"/>
      </w:pPr>
      <w:r>
        <w:rPr>
          <w:b/>
        </w:rPr>
        <w:t>Available abstract (not full text):</w:t>
      </w:r>
      <w:r>
        <w:t xml:space="preserve"> Abstract This paper argues for a third kind of suspended belief. Two that have already been distinguished in the literature are positive suspension and negative suspension. The third kind that we describe is (what we call) aporetic suspension. All of these kinds of suspension count as suspended beliefs in the sense that they each share the same fundamental features of suspended belief—they are all a kind of neutral doxastic attitude. Yet, they are also unique in some important respects. Positive and negative suspension can be distinguished along evidential lines. Positive suspension arises when one has (more or less) equally balanced evidence for a proposition; while negative suspension arises when one lacks evidence either for or against a proposition. Aporetic suspension, we argue, can be further distinguished from both positive and negative suspension in three important respects. According to (1) its evidential-input, (2) its functional-output, and (3) its phenomenal character.</w:t>
      </w:r>
    </w:p>
    <w:p>
      <w:pPr/>
      <w:r>
        <w:rPr>
          <w:b/>
        </w:rPr>
        <w:t>POSSIBLE 2023:</w:t>
      </w:r>
      <w:r>
        <w:t xml:space="preserve"> Three years of COVID-19 and life satisfaction in Europe: A macro view — https://doi.org/10.1073/pnas.2300717120</w:t>
      </w:r>
    </w:p>
    <w:p>
      <w:pPr/>
      <w:r>
        <w:rPr>
          <w:b/>
        </w:rPr>
        <w:t>Shared claim-specific concepts:</w:t>
      </w:r>
      <w:r>
        <w:t xml:space="preserve"> three, third, country; EU scope visible. This is a provisional connection, not an outcome finding.</w:t>
      </w:r>
    </w:p>
    <w:p>
      <w:pPr>
        <w:pStyle w:val="SourceNote"/>
      </w:pPr>
      <w:r>
        <w:rPr>
          <w:b/>
        </w:rPr>
        <w:t>Available abstract (not full text):</w:t>
      </w:r>
      <w:r>
        <w:t xml:space="preserve"> Every country in Europe experienced an adverse impact from the COVID-19 pandemic on life satisfaction, though on average, satisfaction with life in the summer of 2022 is about the same as the pre-pandemic value in the autumn of 2019. Typically, an upsurge in the severity of the pandemic (measured by the number of COVID-related deaths) is associated with declining life satisfaction and an ebbing, with increasing life satisfaction. Of the three waves of the pandemic between March 2020 and the autumn of 2022, the most severe impact typically occurred in 2021 during the second wave; in the third wave, the response declined due to the spread of effective vaccines and the takeover of omicron variants.</w:t>
      </w:r>
    </w:p>
    <w:p>
      <w:pPr/>
      <w:r>
        <w:rPr>
          <w:b/>
        </w:rPr>
        <w:t>POSSIBLE 2022:</w:t>
      </w:r>
      <w:r>
        <w:t xml:space="preserve"> Challenges and Strategies for Bio-Based and Biodegradable Plastic Waste Management in Europe — https://doi.org/10.3390/su142416476</w:t>
      </w:r>
    </w:p>
    <w:p>
      <w:pPr/>
      <w:r>
        <w:rPr>
          <w:b/>
        </w:rPr>
        <w:t>Shared claim-specific concepts:</w:t>
      </w:r>
      <w:r>
        <w:t xml:space="preserve"> three, based; EU scope visible. This is a provisional connection, not an outcome finding.</w:t>
      </w:r>
    </w:p>
    <w:p>
      <w:pPr>
        <w:pStyle w:val="SourceNote"/>
      </w:pPr>
      <w:r>
        <w:rPr>
          <w:b/>
        </w:rPr>
        <w:t>Available abstract (not full text):</w:t>
      </w:r>
      <w:r>
        <w:t xml:space="preserve"> In recent years, an increasing trend towards replacement of conventional fossil-based plastics with bio-based plastics was noticed, i.e., production of plastics partly or fully made from biomass is rapidly expanding. Currently, bio-based and biodegradable plastics have a very small market size, approximately only 1% of all plastics produced. However, the forecast of the global bioplastics production capacities predicts an increase from approximately 2.417 million tonnes in 2021 to approximately 7.593 million tonnes in 2026, more than three times the current capacity. Therefore, it is necessary to assess the challenges and identify the barriers for bio-based and biodegradable plastics for waste management and to evaluate the effectiveness of current plastic waste management strategies for the efficient waste management of bio-based and biodegradable plastics. The main barriers and motivators of the biodegradable and biodegradable plastics market that have been identified include macroeconomic factors, regulatory factors, technological factors, and social factors. The bio-based and biodegradable plastics have to be separately collected and treated under mostly controlled, regulated conditions. However, currently, there are no legal provisions providing for the separate collection of bio-based plastics, leading to their disposal with either hazardous waste, conventional plastics, </w:t>
      </w:r>
    </w:p>
    <w:p>
      <w:pPr/>
      <w:r>
        <w:rPr>
          <w:b/>
        </w:rPr>
        <w:t>POSSIBLE 2022:</w:t>
      </w:r>
      <w:r>
        <w:t xml:space="preserve"> Prevalence of congenital heart defects in Europe, 2008–2015: A registry‐based study — https://doi.org/10.1002/bdr2.2117</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BACKGROUND: The total prevalence of congenital heart defects (CHDs) varies by populations and over time. Studies that examine trends in the prevalence of CHD in different regions may shed light on our understanding of the occurrence of CHD and the impact of different risk factors. OBJECTIVES: To examine trends in total and live birth prevalence of nonsyndromic CHD in Europe between the years 2008 and 2015 and to investigate if the decreasing trend reported by previous studies is continuing. METHODS: Cases of CHD delivered between January 1, 2008 and December 31, 2015 notified to 25 population-based EUROCAT (European Surveillance of Congenital Anomalies) registries in 14 countries, formed the population-based case-series. Prevalence (total/live) rates and 95% confidence intervals were calculated as the number of cases per 10,000 births (live and stillbirths). Time trends in prevalence of all nonsyndromic CHDs and for three CHD severity groups (very severe, severe, and less severe) were plotted using a Poisson regression multilevel approach. RESULTS: The total prevalence of nonsyndromic CHD was 57.1 per 10,000 births (live births and stillbirths) for the 8-year period and remained stable across the three CHD severity groups while the live birth prevalence was 60.2 per 10,000 births. There was considerable variation in the reported total CHD prevalence and the direction of trends </w:t>
      </w:r>
    </w:p>
    <w:p>
      <w:pPr/>
      <w:r>
        <w:rPr>
          <w:b/>
        </w:rPr>
        <w:t>POSSIBLE 2021:</w:t>
      </w:r>
      <w:r>
        <w:t xml:space="preserve"> Kinds, Essences, and Natures — https://doi.org/10.4324/9781315709604-14</w:t>
      </w:r>
    </w:p>
    <w:p>
      <w:pPr/>
      <w:r>
        <w:rPr>
          <w:b/>
        </w:rPr>
        <w:t>Shared claim-specific concepts:</w:t>
      </w:r>
      <w:r>
        <w:t xml:space="preserve"> three, different, kinds; EU scope visible. This is a provisional connection, not an outcome finding.</w:t>
      </w:r>
    </w:p>
    <w:p>
      <w:pPr>
        <w:pStyle w:val="SourceNote"/>
      </w:pPr>
      <w:r>
        <w:rPr>
          <w:b/>
        </w:rPr>
        <w:t>Available abstract (not full text):</w:t>
      </w:r>
      <w:r>
        <w:t xml:space="preserve"> Classifying things into kinds or sorts was a pervasive feature of philosophy and science as it was carried out in the Platonic and Aristotelian schools of the ancient world, and it was this tradition which was relayed on to the schoolmen of medieval Europe and almost universally accepted by them as essential to rigorous thought. Persian polymath Ibn-Sina theorized that there were three ways of talking about essences or natures: as they are in and of themselves apart from any consideration of how they might actually exist; as they exist in the mind; and as they exist in things. The medieval disputes are likely best seen as the manifestation in that period of Western thought of a more general problem arising from the necessity for both ordinary and scientific languages to see various terms as referring to many real and very different things without becoming equivocal.</w:t>
      </w:r>
    </w:p>
    <w:p>
      <w:pPr/>
      <w:r>
        <w:rPr>
          <w:b/>
        </w:rPr>
        <w:t>POSSIBLE 2021:</w:t>
      </w:r>
      <w:r>
        <w:t xml:space="preserve"> Spatial Patterns in Actual Evapotranspiration Climatologies for Europe — https://doi.org/10.3390/rs13122410</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Spatial patterns in long-term average evapotranspiration (ET) represent a unique source of information for evaluating the spatial pattern performance of distributed hydrological models on a river basin to continental scale. This kind of model evaluation is getting increased attention, acknowledging the shortcomings of traditional aggregated or timeseries-based evaluations. A variety of satellite remote sensing (RS)-based ET estimates exist, covering a range of methods and resolutions. There is, therefore, a need to evaluate these estimates, not only in terms of temporal performance and similarity, but also in terms of long-term spatial patterns. The current study evaluates four RS-ET estimates at moderate resolution with respect to spatial patterns in comparison to two alternative continental-scale gridded ET estimates (water-balance ET and Budyko). To increase comparability, an empirical correction factor between clear sky and all-weather ET, based on eddy covariance data, is derived, which could be suitable for simple corrections of clear sky estimates. Three RS-ET estimates (MODIS16, TSEB and PT-JPL) and the Budyko method generally display similar spatial patterns both across the European domain (mean SPAEF = 0.41, range 0.25–0.61) and within river basins (mean SPAEF range 0.19–0.38), although the pattern similarity within river basins varies significantly across basins. In </w:t>
      </w:r>
    </w:p>
    <w:p>
      <w:pPr/>
      <w:r>
        <w:rPr>
          <w:b/>
        </w:rPr>
        <w:t>POSSIBLE 2021:</w:t>
      </w:r>
      <w:r>
        <w:t xml:space="preserve"> Climate change impacts on solar power generation and its spatial variability in Europe based on CMIP6 — https://doi.org/10.5194/esd-12-1099-2021</w:t>
      </w:r>
    </w:p>
    <w:p>
      <w:pPr/>
      <w:r>
        <w:rPr>
          <w:b/>
        </w:rPr>
        <w:t>Shared claim-specific concepts:</w:t>
      </w:r>
      <w:r>
        <w:t xml:space="preserve"> different, based, decrease; EU scope visible. This is a provisional connection, not an outcome finding.</w:t>
      </w:r>
    </w:p>
    <w:p>
      <w:pPr>
        <w:pStyle w:val="SourceNote"/>
      </w:pPr>
      <w:r>
        <w:rPr>
          <w:b/>
        </w:rPr>
        <w:t>Available abstract (not full text):</w:t>
      </w:r>
      <w:r>
        <w:t xml:space="preserve"> Abstract. Solar photovoltaics (PV) plays an essential role in decarbonizing the European energy system. However, climate change affects surface solar radiation and thereby will directly influence future PV power generation. We use scenarios from the sixth phase of the Coupled Model Intercomparison Project (CMIP6) for a mitigation (SSP1-2.6) and a fossil-fuel dependent (SSP5-8.5) pathway, to quantify climate risk for solar PV in Europe simulated by the Global Solar Energy Estimator (GSEE). We find that PV potential increases by around 5 % in the mitigation scenario, suggesting a positive feedback loop between climate change mitigation and PV potential. While increased clear-sky radiation and reduced cloud cover go hand in hand in SSP1-2.6, a decrease in clear-sky radiation is overcompensated by a decrease in cloud cover in SSP5-8.5, resulting in an increase of all-sky radiation. Moreover, we find that the seasonal cycle of PV generation changes in most places as generation grows more strongly in winter than in summer (SSP1-2.6) or increases in summer and declines in winter (SSP5-8.5). We further analyze climate change impacts on the spatial variability of PV power generation. Similar to effects anticipated for wind energy, we report an increase of the spatial correlations of daily PV production with large inter-model agreement yet relatively small amplitude, implying that PV pow</w:t>
      </w:r>
    </w:p>
    <w:p>
      <w:pPr/>
      <w:r>
        <w:rPr>
          <w:b/>
        </w:rPr>
        <w:t>POSSIBLE 2019:</w:t>
      </w:r>
      <w:r>
        <w:t xml:space="preserve"> Information about Motion in Concepts of Different Ontological Kinds — https://doi.org/10.4324/9781315782362-141</w:t>
      </w:r>
    </w:p>
    <w:p>
      <w:pPr/>
      <w:r>
        <w:rPr>
          <w:b/>
        </w:rPr>
        <w:t>Shared claim-specific concepts:</w:t>
      </w:r>
      <w:r>
        <w:t xml:space="preserve"> three, different, kinds; EU scope visible. This is a provisional connection, not an outcome finding.</w:t>
      </w:r>
    </w:p>
    <w:p>
      <w:pPr>
        <w:pStyle w:val="SourceNote"/>
      </w:pPr>
      <w:r>
        <w:rPr>
          <w:b/>
        </w:rPr>
        <w:t>Available abstract (not full text):</w:t>
      </w:r>
      <w:r>
        <w:t xml:space="preserve"> This chapter presents the aims on empirical, theoretical, and analytic work from all areas of interest in cognitive science, such as artificial intelligence, education, linguistics, neuroscience, philosophy, psychology, and anthropology presented in European Cognitive Science Conference. It focuses on interdisciplinary work that is either of interest for more than one of the research areas mentioned or integrates research methods from different fields. With contributions by cognitive scientists from 20 different countries, the chapter reflects the origins of this conference, as well as its international scope. Two studies investigate information about object&amp;s;s motion in adults&amp;s; concepts with a classical paradigm, the feature production task. The aim is to verify which characteristics of motion, such as self-induction, are differentially distributed in the various ontological kinds and sub-kinds of concepts. Overall, three parameters which organize information about object&amp;s;s motion emerge from this study. The most important parameter, is the ability to produce a displacement.</w:t>
      </w:r>
    </w:p>
    <w:p>
      <w:pPr/>
      <w:r>
        <w:rPr>
          <w:b/>
        </w:rPr>
        <w:t>POSSIBLE 2019:</w:t>
      </w:r>
      <w:r>
        <w:t xml:space="preserve"> Future Heat Waves in Different European Capitals Based on Climate Change Indicators — https://doi.org/10.3390/ijerph16203959</w:t>
      </w:r>
    </w:p>
    <w:p>
      <w:pPr/>
      <w:r>
        <w:rPr>
          <w:b/>
        </w:rPr>
        <w:t>Shared claim-specific concepts:</w:t>
      </w:r>
      <w:r>
        <w:t xml:space="preserve"> three, different, based; EU scope visible. This is a provisional connection, not an outcome finding.</w:t>
      </w:r>
    </w:p>
    <w:p>
      <w:pPr>
        <w:pStyle w:val="SourceNote"/>
      </w:pPr>
      <w:r>
        <w:rPr>
          <w:b/>
        </w:rPr>
        <w:t>Available abstract (not full text):</w:t>
      </w:r>
      <w:r>
        <w:t xml:space="preserve"> Changes in the frequency and intensity of heat waves have shown substantial negative impacts on public health. At the same time, climate change towards increasing air temperatures throughout Europe will foster such extreme events, leading to the population being more exposed to them and societies becoming more vulnerable. Based on two climate change scenarios (Representative Concentration Pathway 4.5 and 8.5) we analysed the frequency and intensity of heat waves for three capital cities in Europe representing a North-South transect (London, Luxembourg, Rome). We used indices proposed by the Expert Team on Sector-Specific Climate Indices of the World Meteorological Organization to analyze the number of heat waves, the number of days that contribute to heat waves, the length of the longest heat waves, as well as the mean temperature during heat waves. The threshold for the definition of heat waves is calculated based on a reference period of 30 years for each of the three cities, allowing for a direct comparison of the projected changes between the cities. Changes in the projected air temperature between a reference period (1971-2000) and three future periods (2001-2030 near future, 2031-2060 middle future, and 2061-2090 far future) are statistically significant for all three cities and both emission scenarios. Considerable similarities could be identified for the different heat </w:t>
      </w:r>
    </w:p>
    <w:p>
      <w:pPr/>
      <w:r>
        <w:rPr>
          <w:b/>
        </w:rPr>
        <w:t>POSSIBLE 2018:</w:t>
      </w:r>
      <w:r>
        <w:t xml:space="preserve"> Regional inequality in Europe: evidence, theory and policy implications — https://doi.org/10.1093/jeg/lby021</w:t>
      </w:r>
    </w:p>
    <w:p>
      <w:pPr/>
      <w:r>
        <w:rPr>
          <w:b/>
        </w:rPr>
        <w:t>Shared claim-specific concepts:</w:t>
      </w:r>
      <w:r>
        <w:t xml:space="preserve"> different, promote; EU scope visible. This is a provisional connection, not an outcome finding.</w:t>
      </w:r>
    </w:p>
    <w:p>
      <w:pPr>
        <w:pStyle w:val="SourceNote"/>
      </w:pPr>
      <w:r>
        <w:rPr>
          <w:b/>
        </w:rPr>
        <w:t>Available abstract (not full text):</w:t>
      </w:r>
      <w:r>
        <w:t xml:space="preserve"> Regional economic divergence has become a threat to economic progress, social cohesion and political stability in Europe. Market processes and policies that are supposed to spread prosperity and opportunity are no longer sufficiently effective. The evidence points to the existence of several different modes of regional economic performance in Europe, responding to different development challenges and opportunities. Both mainstream and heterodox theories have gaps in their ability to explain the existence of these different regional trajectories and the weakness of the convergence processes among them. Therefore, a different approach is required, one that strengthens Europe’s strongest regions but develops new approaches to promote opportunity in industrial declining and less-developed regions. There is ample new theory and evidence to support such an approach, which we have labelled ‘place-sensitive distributed development policy’.</w:t>
      </w:r>
    </w:p>
    <w:p>
      <w:pPr/>
      <w:r>
        <w:rPr>
          <w:b/>
        </w:rPr>
        <w:t>POSSIBLE 2018:</w:t>
      </w:r>
      <w:r>
        <w:t xml:space="preserve"> Pheromone-based monitoring of the European corn borer (Ostrinia nubilalis) in Hungary — https://openalex.org/W2560260331</w:t>
      </w:r>
    </w:p>
    <w:p>
      <w:pPr/>
      <w:r>
        <w:rPr>
          <w:b/>
        </w:rPr>
        <w:t>Shared claim-specific concepts:</w:t>
      </w:r>
      <w:r>
        <w:t xml:space="preserve"> three, different, based, attract; EU scope visible. This is a provisional connection, not an outcome finding.</w:t>
      </w:r>
    </w:p>
    <w:p>
      <w:pPr>
        <w:pStyle w:val="SourceNote"/>
      </w:pPr>
      <w:r>
        <w:rPr>
          <w:b/>
        </w:rPr>
        <w:t>Available abstract (not full text):</w:t>
      </w:r>
      <w:r>
        <w:t xml:space="preserve"> Despite the fact that the pheromone structure and composition of the European corn borer (Ostrinia nubilalis) was identified in the early 1970s, an effective pheromone-based monitoring method of this species has not been established yet in Hungary. The aim of this study was to find an optimal monitoring strategy for this economically important pest using pheromone traps. We compared three trap designs, five ratios and four doses of the earlier identified pheromone components in three different locations in Hungary. In the first year there was no significant difference between the delta and the cone traps as both were able to catch males in sufficient numbers. How- ever, in the second year the cone traps captured significantly more males. In a comparison of the different ratios of the two pheromone components, our results demonstrate that the usage of 97:3 Z:E [97% (Z)11-tetradecenyl acetate and 3% (E)11-tetradecenyl acetate] ratio attracted the highest number of males. Therefore, we suggest that the Z pheromone strain exists in the three monitored regions. In the experiment, where the different doses were compared, there was no significant difference in the number of males caught. In 2015, the flight dynamics of the species showed that males start to fly in the beginning of June and the highest flight peak occurs in mid June. Based on our results we conclude that in Hungary the</w:t>
      </w:r>
    </w:p>
    <w:p>
      <w:pPr>
        <w:pStyle w:val="Heading2"/>
      </w:pPr>
      <w:r>
        <w:t>1000. Fiscal sustainability and the accuracy of macroeconomic forecasts: Do supranational forecasts rather than government forecasts make a difference?</w:t>
      </w:r>
    </w:p>
    <w:p>
      <w:pPr>
        <w:pStyle w:val="SourceNote"/>
      </w:pPr>
      <w:r>
        <w:rPr>
          <w:b/>
        </w:rPr>
        <w:t>Original source (2011):</w:t>
      </w:r>
      <w:r>
        <w:t xml:space="preserve"> https://doi.org/10.1504/ijse.2011.039440</w:t>
      </w:r>
    </w:p>
    <w:p>
      <w:pPr/>
      <w:r>
        <w:t>Original wording (abstract; indexed_source_text_not_full_document_verified): All in all, since the EC forecast appears to be a good benchmark, in order to reduce the (optimistic) forecast bias, national governments could be forced to justify any large (optimistic) deviation from this benchmark when presenting their respective national Stability and Growth Programmes. Credible fiscal plans that aim at restoring fiscal sustainability will be essential to counter the present increase in debt levels all across Europe.</w:t>
      </w:r>
    </w:p>
    <w:p>
      <w:pPr/>
      <w:r>
        <w:rPr>
          <w:b/>
        </w:rPr>
        <w:t>POSSIBLE 2025:</w:t>
      </w:r>
      <w:r>
        <w:t xml:space="preserve"> The Court of Justice of the European Union: Do all roads lead to Luxembourg? — https://doi.org/10.14746/rpeis.2025.87.1.01</w:t>
      </w:r>
    </w:p>
    <w:p>
      <w:pPr/>
      <w:r>
        <w:rPr>
          <w:b/>
        </w:rPr>
        <w:t>Shared claim-specific concepts:</w:t>
      </w:r>
      <w:r>
        <w:t xml:space="preserve"> all, since, appears, national, any; EU scope visible. This is a provisional connection, not an outcome finding.</w:t>
      </w:r>
    </w:p>
    <w:p>
      <w:pPr>
        <w:pStyle w:val="SourceNote"/>
      </w:pPr>
      <w:r>
        <w:rPr>
          <w:b/>
        </w:rPr>
        <w:t>Available abstract (not full text):</w:t>
      </w:r>
      <w:r>
        <w:t xml:space="preserve"> Since its establishment in the early 1950s, the European Court of Justice, seated in Luxembourg, has played a key role in managing and developing the European integration architecture. Yet, with subsequent developments, the Luxembourg Court appears to have gained even more importance, particularly in the constitutionalization of the European integration process. Today, this has reached such an extent that one can ask whether all roads lead to Luxembourg rather than to the political EU institutions in Brussels and beyond, or to the capitals of the EU Member States. The present paper, based on an annual lecture in honour of Professor and Foreign Minister Krzysztof Skubiszewski, seeks to provide examples of areas where the case law of the Court has been particularly consequential and to explain why the Court has become more influential. However, the paper concludes by arguing that the role of the Court should not be overstated and that, in any case, its enhanced role is explained by many constitutional and legislative developments beyond the control of the Court itself. Moreover, the reader will be reminded that the Union’s judicial system is not limited to the two Union Courts (the Court of Justice and the General Court) but that its backbone is formed by the national courts of the Member States.</w:t>
      </w:r>
    </w:p>
    <w:p>
      <w:pPr/>
      <w:r>
        <w:rPr>
          <w:b/>
        </w:rPr>
        <w:t>POSSIBLE 2024:</w:t>
      </w:r>
      <w:r>
        <w:t xml:space="preserve"> Estimation of an efficient benchmark portfolio for the Eastern European market — https://doi.org/10.51680/ev.37.1.1</w:t>
      </w:r>
    </w:p>
    <w:p>
      <w:pPr/>
      <w:r>
        <w:rPr>
          <w:b/>
        </w:rPr>
        <w:t>Shared claim-specific concepts:</w:t>
      </w:r>
      <w:r>
        <w:t xml:space="preserve"> all, benchmark, order; EU scope visible. This is a provisional connection, not an outcome finding.</w:t>
      </w:r>
    </w:p>
    <w:p>
      <w:pPr>
        <w:pStyle w:val="SourceNote"/>
      </w:pPr>
      <w:r>
        <w:rPr>
          <w:b/>
        </w:rPr>
        <w:t>Available abstract (not full text):</w:t>
      </w:r>
      <w:r>
        <w:t xml:space="preserve"> Purpose: This paper explores the mean-variance inefficiency of cap-weighted indices based on the CECE index as a benchmark. Methodology: For the period from March 2014 to September 2021, several proxies of efficient portfo-lios were estimated: the Global Minimum Variance (GMV) portfolio, the Maximum Sharpe Ratio (MSR) portfolio and the portfolio with equal weights of constituents (EW). Diversification of strategies was also considered by analyzing the performance of a portfolio consisting of GMV and MSR that were weighted equally. Based on monthly data, 90 out-of-sample estimations were made for each strategy in order to com-pare their risk-return characteristics. Furthermore, to confirm the differences in the riskiness and returns of the estimated portfolios, the F-test and the Welch test were performed, respectively. Results: The results show that all analyzed portfolios achieved superior performance compared to the CECE index with the GMV portfolio leading the way. Conclusion: Research findings highlight the importance of market development and liquidity when pursu-ing popular scientific diversification methods.</w:t>
      </w:r>
    </w:p>
    <w:p>
      <w:pPr/>
      <w:r>
        <w:rPr>
          <w:b/>
        </w:rPr>
        <w:t>POSSIBLE 2023:</w:t>
      </w:r>
      <w:r>
        <w:t xml:space="preserve"> Benchmark Beating with the Increasing Convex Order — https://doi.org/10.48550/arxiv.2311.01692</w:t>
      </w:r>
    </w:p>
    <w:p>
      <w:pPr/>
      <w:r>
        <w:rPr>
          <w:b/>
        </w:rPr>
        <w:t>Shared claim-specific concepts:</w:t>
      </w:r>
      <w:r>
        <w:t xml:space="preserve"> all, benchmark, order; EU scope not established. This is a provisional connection, not an outcome finding.</w:t>
      </w:r>
    </w:p>
    <w:p>
      <w:pPr>
        <w:pStyle w:val="SourceNote"/>
      </w:pPr>
      <w:r>
        <w:rPr>
          <w:b/>
        </w:rPr>
        <w:t>Available abstract (not full text):</w:t>
      </w:r>
      <w:r>
        <w:t xml:space="preserve"> In this paper we model benchmark beating with the increasing convex order (ICX order). The mean constraint in the mean-variance theory of portfolio selection can be regarded as beating a constant. We then investigate the problem of minimizing the variance of a portfolio with ICX order constraints, based on which we also study the problem of beating-performance-variance efficient portfolios. The optimal and efficient portfolios are all worked out in closed form for complete markets.</w:t>
      </w:r>
    </w:p>
    <w:p>
      <w:pPr/>
      <w:r>
        <w:rPr>
          <w:b/>
        </w:rPr>
        <w:t>POSSIBLE 2023:</w:t>
      </w:r>
      <w:r>
        <w:t xml:space="preserve"> Optimizing polypharmacy management in the elderly: a comprehensive European benchmarking survey and the development of an innovative online benchmarking application — https://doi.org/10.3389/fphar.2023.1254912</w:t>
      </w:r>
    </w:p>
    <w:p>
      <w:pPr/>
      <w:r>
        <w:rPr>
          <w:b/>
        </w:rPr>
        <w:t>Shared claim-specific concepts:</w:t>
      </w:r>
      <w:r>
        <w:t xml:space="preserve"> all, since, benchmark, national, aim; EU scope visible. This is a provisional connection, not an outcome finding.</w:t>
      </w:r>
    </w:p>
    <w:p>
      <w:pPr>
        <w:pStyle w:val="SourceNote"/>
      </w:pPr>
      <w:r>
        <w:rPr>
          <w:b/>
        </w:rPr>
        <w:t>Available abstract (not full text):</w:t>
      </w:r>
      <w:r>
        <w:t xml:space="preserve"> Background: Polypharmacy, defined as the simultaneous use of multiple medications by a patient, is a worldwide problem of rising prevalence. Paving the way for drug interactions, adverse drug reactions and non-adherence, it leads to negative health outcomes, increased use of healthcare services and rising costs. Since it is closely related to multimorbidity, it peaks in older adults. So far, not many polypharmacy management programs in the elderly have been introduced in practice. However, due to the rapid ageing of European societies, there is an urgent need to implement them more widely. Objective: The aim of this study was to benchmark polypharmacy management programs in the elderly available in Europe and creating a dedicated benchmarking application. Methods: It was a cross-sectional study based on an online survey targeting healthcare professionals and other stakeholders across European countries. Data collected in the survey were reused to design an online benchmarking application. Results: As many as 911 respondents from all but two EU countries took part in this study. Out of the survey participants, 496 (54.4%) reported availability of various activities or formal programs targeting polypharmacy in the elderly that were known to them. These programs had multiple goals, of which improved patient safety was indicated as the most common objective (65.1% of the cases). Th</w:t>
      </w:r>
    </w:p>
    <w:p>
      <w:pPr/>
      <w:r>
        <w:rPr>
          <w:b/>
        </w:rPr>
        <w:t>POSSIBLE 2022:</w:t>
      </w:r>
      <w:r>
        <w:t xml:space="preserve"> RGBT Salient Object Detection: A Large-Scale Dataset and Benchmark — https://doi.org/10.1109/tmm.2022.3171688</w:t>
      </w:r>
    </w:p>
    <w:p>
      <w:pPr/>
      <w:r>
        <w:rPr>
          <w:b/>
        </w:rPr>
        <w:t>Shared claim-specific concepts:</w:t>
      </w:r>
      <w:r>
        <w:t xml:space="preserve"> all, since, benchmark; EU scope not established. This is a provisional connection, not an outcome finding.</w:t>
      </w:r>
    </w:p>
    <w:p>
      <w:pPr>
        <w:pStyle w:val="SourceNote"/>
      </w:pPr>
      <w:r>
        <w:rPr>
          <w:b/>
        </w:rPr>
        <w:t>Available abstract (not full text):</w:t>
      </w:r>
      <w:r>
        <w:t xml:space="preserve"> Salient object detection in complex scenes and environments is a challenging research topic. Most works focus on RGB-based salient object detection, which limits its performance of real-life applications when confronted with adverse conditions such as dark environments and complex backgrounds. Taking advantage of RGB and thermal infrared(RGBT) images becomes a new research direction for detecting salient objects in complex scenes, since the thermal infrared spectrum provides the complementary information and has been used in many computer vision tasks. However, current research for RGBT salient object detection is limited by the lack of a large-scale dataset and comprehensive benchmark. This work contributes such a RGBT image dataset named VT5000, including 5000 spatially aligned RGBT image pairs with ground truth annotations. VT5000 has 11 challenges collected in different scenes and environments for exploring the robustness of algorithms. With this dataset, we propose a powerful baseline approach, which extracts multilevel features of each modality and aggregates these features of all modalities with the attention mechanism for accurate RGBT salient object detection. To further solve the problem of blur boundaries of salient objects, we also use an edge loss to refine the boundaries. Extensive experiments show that the proposed baseline approach outperforms the state-of-the-a</w:t>
      </w:r>
    </w:p>
    <w:p>
      <w:pPr/>
      <w:r>
        <w:rPr>
          <w:b/>
        </w:rPr>
        <w:t>POSSIBLE 2020:</w:t>
      </w:r>
      <w:r>
        <w:t xml:space="preserve"> European anthropogenic AFOLU greenhouse gas emissions: a review and benchmark data — https://doi.org/10.5194/essd-12-961-2020</w:t>
      </w:r>
    </w:p>
    <w:p>
      <w:pPr/>
      <w:r>
        <w:rPr>
          <w:b/>
        </w:rPr>
        <w:t>Shared claim-specific concepts:</w:t>
      </w:r>
      <w:r>
        <w:t xml:space="preserve"> benchmark, order, national, credible; EU scope visible. This is a provisional connection, not an outcome finding.</w:t>
      </w:r>
    </w:p>
    <w:p>
      <w:pPr>
        <w:pStyle w:val="SourceNote"/>
      </w:pPr>
      <w:r>
        <w:rPr>
          <w:b/>
        </w:rPr>
        <w:t>Available abstract (not full text):</w:t>
      </w:r>
      <w:r>
        <w:t xml:space="preserve"> Abstract. Emission of greenhouse gases (GHG) and removals from land, including both anthropogenic and natural fluxes, require reliable quantification, along with estimates of their inherent uncertainties, in order to support credible mitigation action under the Paris Agreement. This study provides a state-of-the-art scientific overview of bottom-up anthropogenic emissions data from agriculture, forestry and other land use (AFOLU) in Europe. The data integrates recent AFOLU emission inventories with ecosystem data and land carbon models, covering the European Union (EU28) and summarizes GHG emissions and removals over the period 1990–2016, of relevance for UNFCCC. This compilation of bottom-up estimates of the AFOLU GHG emissions of European national greenhouse gas inventories (NGHGI) with those of land carbon models and observation-based estimates of large-scale GHG fluxes, aims at improving the overall estimates of the GHG balance in Europe with respect to land GHG emissions and removals. Particular effort is devoted to the estimation of uncertainty, its propagation and role in the comparison of different estimates. While NGHGI data for EU28 provides consistent quantification of uncertainty following the established IPCC guidelines, uncertainty in the estimates produced with other methods will need to account for both within model uncertainty and the spread from different mode</w:t>
      </w:r>
    </w:p>
    <w:p>
      <w:pPr/>
      <w:r>
        <w:rPr>
          <w:b/>
        </w:rPr>
        <w:t>POSSIBLE 2020:</w:t>
      </w:r>
      <w:r>
        <w:t xml:space="preserve"> The development of cycling in European countries since 1990 — https://doi.org/10.18757/ejtir.2021.21.2.5411</w:t>
      </w:r>
    </w:p>
    <w:p>
      <w:pPr/>
      <w:r>
        <w:rPr>
          <w:b/>
        </w:rPr>
        <w:t>Shared claim-specific concepts:</w:t>
      </w:r>
      <w:r>
        <w:t xml:space="preserve"> all, since, national, governments; EU scope visible. This is a provisional connection, not an outcome finding.</w:t>
      </w:r>
    </w:p>
    <w:p>
      <w:pPr>
        <w:pStyle w:val="SourceNote"/>
      </w:pPr>
      <w:r>
        <w:rPr>
          <w:b/>
        </w:rPr>
        <w:t>Available abstract (not full text):</w:t>
      </w:r>
      <w:r>
        <w:t xml:space="preserve"> High pre-World-War-2 modal shares of cycling in European countries sharply decreased during the post-war decades. In the 1990s, European governments introduced policies to increase bicycle use. However, a database or longitudinal study on the development of bicycle use in European countries is lacking. The goal of this paper is to examine to what degree the amount of cycling has increased over the past decades, also in the context of potentially competing modes. Distances travelled per capita according to National Travel Surveys have been collected and were aggregated to seven 4-year periods between 1990 and 2017. Multilevel regression analyses on distance travelled per capita by bicycle, on foot, by public transport, and by passenger car were conducted for all countries. Additionally, analyses were conducted for which the 14 countries with data on bicycle use were divided in three groups categorised according to distance cycled per capita at the beginning of the study period. Distance cycled per capita per year ranged from some 30 km to 900 km. The results of all four regression analyses suggested that distance cycled per capita remained fairly constant over the past decades. Germany is an exception with some 150 km per capita more, in relative terms a 50% increase. Geographical variation in development is evidenced by a substantial increase of distance cycled per inhabitant i</w:t>
      </w:r>
    </w:p>
    <w:p>
      <w:pPr/>
      <w:r>
        <w:rPr>
          <w:b/>
        </w:rPr>
        <w:t>POSSIBLE 2020:</w:t>
      </w:r>
      <w:r>
        <w:t xml:space="preserve"> Benchmarking Graph Neural Networks — https://doi.org/10.48550/arxiv.2003.00982</w:t>
      </w:r>
    </w:p>
    <w:p>
      <w:pPr/>
      <w:r>
        <w:rPr>
          <w:b/>
        </w:rPr>
        <w:t>Shared claim-specific concepts:</w:t>
      </w:r>
      <w:r>
        <w:t xml:space="preserve"> since, benchmark, any; EU scope not established. This is a provisional connection, not an outcome finding.</w:t>
      </w:r>
    </w:p>
    <w:p>
      <w:pPr>
        <w:pStyle w:val="SourceNote"/>
      </w:pPr>
      <w:r>
        <w:rPr>
          <w:b/>
        </w:rPr>
        <w:t>Available abstract (not full text):</w:t>
      </w:r>
      <w:r>
        <w:t xml:space="preserve"> In the last few years, graph neural networks (GNNs) have become the standard toolkit for analyzing and learning from data on graphs. This emerging field has witnessed an extensive growth of promising techniques that have been applied with success to computer science, mathematics, biology, physics and chemistry. But for any successful field to become mainstream and reliable, benchmarks must be developed to quantify progress. This led us in March 2020 to release a benchmark framework that i) comprises of a diverse collection of mathematical and real-world graphs, ii) enables fair model comparison with the same parameter budget to identify key architectures, iii) has an open-source, easy-to-use and reproducible code infrastructure, and iv) is flexible for researchers to experiment with new theoretical ideas. As of December 2022, the GitHub repository has reached 2,000 stars and 380 forks, which demonstrates the utility of the proposed open-source framework through the wide usage by the GNN community. In this paper, we present an updated version of our benchmark with a concise presentation of the aforementioned framework characteristics, an additional medium-sized molecular dataset AQSOL, similar to the popular ZINC, but with a real-world measured chemical target, and discuss how this framework can be leveraged to explore new GNN designs and insights. As a proof of value of our ben</w:t>
      </w:r>
    </w:p>
    <w:p>
      <w:pPr/>
      <w:r>
        <w:rPr>
          <w:b/>
        </w:rPr>
        <w:t>POSSIBLE 2020:</w:t>
      </w:r>
      <w:r>
        <w:t xml:space="preserve"> Minimum Winter Temperature as a Limiting Factor of the Potential Spread of Agrilus planipennis, an Alien Pest of Ash Trees, in Europe — https://doi.org/10.3390/insects11040258</w:t>
      </w:r>
    </w:p>
    <w:p>
      <w:pPr/>
      <w:r>
        <w:rPr>
          <w:b/>
        </w:rPr>
        <w:t>Shared claim-specific concepts:</w:t>
      </w:r>
      <w:r>
        <w:t xml:space="preserve"> all, since, aim; EU scope visible. This is a provisional connection, not an outcome finding.</w:t>
      </w:r>
    </w:p>
    <w:p>
      <w:pPr>
        <w:pStyle w:val="SourceNote"/>
      </w:pPr>
      <w:r>
        <w:rPr>
          <w:b/>
        </w:rPr>
        <w:t>Available abstract (not full text):</w:t>
      </w:r>
      <w:r>
        <w:t xml:space="preserve"> The emerald ash borer, EAB (Agrilus planipennis) is a devastating alien pest of ash trees. It is spreading in European Russia and Ukraine and will appear in other European countries. Our aim was to determine the regions of Europe where the winter temperature drops low enough to prevent A. planipennis establishment. We calculated the minimum daily air temperature from 2003–2019 for each grid square (0.5° × 0.5°) in East Asia, North America and Europe and determined the minimum daily temperature in the grid squares where A. planipennis was recorded. Temperatures of −30 to −33 °C occur in the northern portions of the pest range on all continents. No established population has been recorded in localities where temperatures below −34 °C occur. This temperature is close to the absolute supercooling point of A. planipennis larva (−35.3 °C). It is unlikely that low temperatures could prevent the spread of A. planipennis in northern Western Europe (Sweden, Norway, Finland, etc.), since the temperature in this area did not fall to −34 °C from 2003–2019. However, such temperatures are not rare in eastern European Russia (Kostroma, Vologda, Orenburg regions, etc.), where Fraxinus pennsylvanica and F. excelsior occur. These regions could potentially become refuges for these ash species.</w:t>
      </w:r>
    </w:p>
    <w:p>
      <w:pPr/>
      <w:r>
        <w:rPr>
          <w:b/>
        </w:rPr>
        <w:t>POSSIBLE 2019:</w:t>
      </w:r>
      <w:r>
        <w:t xml:space="preserve"> Europe since 1970 — https://doi.org/10.5040/9781474207775.0093</w:t>
      </w:r>
    </w:p>
    <w:p>
      <w:pPr/>
      <w:r>
        <w:rPr>
          <w:b/>
        </w:rPr>
        <w:t>Shared claim-specific concepts:</w:t>
      </w:r>
      <w:r>
        <w:t xml:space="preserve"> all, since, national; EU scope visible. This is a provisional connection, not an outcome finding.</w:t>
      </w:r>
    </w:p>
    <w:p>
      <w:pPr>
        <w:pStyle w:val="SourceNote"/>
      </w:pPr>
      <w:r>
        <w:rPr>
          <w:b/>
        </w:rPr>
        <w:t>Available abstract (not full text):</w:t>
      </w:r>
      <w:r>
        <w:t xml:space="preserve"> There are forty-six countries in Europe, sharing myriad influences and overlaps. The Second World War only ended in 1945, followed by the Cold War. On one side stood Capitalist Western Europe, protected by America: on the other were Eastern European Warsaw Pact countries under Soviet Communism (plus non-aligned Yugoslavia and Albania). The USA and USSR pursued a deadly nuclear race, as well as proxy conflicts around the globe. Repressed panic and paranoia lasted in Europe until the Berlin Wall ‘fell’ in 1989. In this period, while war in Europe was no longer between nations, internal violence within some countries was rife. The continent also appeared to still be divided between Western Europe and Eastern Europe. However, the European Economic Community (later European Union) gradually incorporated more countries. Following the Communist collapse, Eastern Europe nations joined the EU fold, today containing twenty-eight member countries (although Britain has voted to leave). Europe is the world’s second-largest economic unit after America, containing four of the world’s eight richest nations. There persist, however, considerable discrepancies in wealth, also reflected in relative political strength (e.g. Germany) and weakness (e.g. Greece). Culturally and socially, the decisive change in Europe since 1970 was from post-war state-regulated ‘command economies’ – Social Democracy i</w:t>
      </w:r>
    </w:p>
    <w:p>
      <w:pPr/>
      <w:r>
        <w:rPr>
          <w:b/>
        </w:rPr>
        <w:t>POSSIBLE 2019:</w:t>
      </w:r>
      <w:r>
        <w:t xml:space="preserve"> The European Union and Democratization in Central and Southeastern Europe since 1989 — https://doi.org/10.1017/9781108752466.021</w:t>
      </w:r>
    </w:p>
    <w:p>
      <w:pPr/>
      <w:r>
        <w:rPr>
          <w:b/>
        </w:rPr>
        <w:t>Shared claim-specific concepts:</w:t>
      </w:r>
      <w:r>
        <w:t xml:space="preserve"> since, governments, credible; EU scope visible. This is a provisional connection, not an outcome finding.</w:t>
      </w:r>
    </w:p>
    <w:p>
      <w:pPr>
        <w:pStyle w:val="SourceNote"/>
      </w:pPr>
      <w:r>
        <w:rPr>
          <w:b/>
        </w:rPr>
        <w:t>Available abstract (not full text):</w:t>
      </w:r>
      <w:r>
        <w:t xml:space="preserve"> A central tool of the European Union (EU) to promote the democratization of post-communist Europe is its accession conditionality: the conditions it attaches to the offer of membership. Yet the EU’s influence on democratization varies across countries, and over time between the periods before and after accession. A key factor limiting the EU’s impact are the domestic costs of complying with the EU’s conditionality: the more governments rely on illiberal and undemocratic means to maintain power, the less influence the EU has. Moreover, even if the domestic adjustment costs are not prohibitively high, for EU conditionality to bring about, or lock in democratic change, the positive and negative incentives relating to the benefits of EU membership have to be credible. The limited credibility of the EU’s incentives, both of the sanctions against backsliding in new members and of the reward of accession for current candidate countries in Southeastern Europe, is a key explanation for the setback in the EU’s democratizing role during this decade.</w:t>
      </w:r>
    </w:p>
    <w:p>
      <w:pPr/>
      <w:r>
        <w:rPr>
          <w:b/>
        </w:rPr>
        <w:t>POSSIBLE 2019:</w:t>
      </w:r>
      <w:r>
        <w:t xml:space="preserve"> Human papillomavirus vaccination: The ESGO–EFC position paper of the European society of Gynaecologic Oncology and the European Federation for colposcopy — https://doi.org/10.1016/j.ejca.2019.04.032</w:t>
      </w:r>
    </w:p>
    <w:p>
      <w:pPr/>
      <w:r>
        <w:rPr>
          <w:b/>
        </w:rPr>
        <w:t>Shared claim-specific concepts:</w:t>
      </w:r>
      <w:r>
        <w:t xml:space="preserve"> all, since, appears, good, reduce; EU scope visible. This is a provisional connection, not an outcome finding.</w:t>
      </w:r>
    </w:p>
    <w:p>
      <w:pPr>
        <w:pStyle w:val="SourceNote"/>
      </w:pPr>
      <w:r>
        <w:rPr>
          <w:b/>
        </w:rPr>
        <w:t>Available abstract (not full text):</w:t>
      </w:r>
      <w:r>
        <w:t xml:space="preserve"> Vaccines against human papillomavirus (HPV) are available in Europe since 2006. They have been highly effective in preventing infection and disease caused by the vaccine types. Clinical efficacy data are available for cervical, vulvovaginal and anal precancer and invasive cervical cancer. Disease reduction is best with early vaccination and a coverage of more than 70%. Gender-neutral vaccination provides direct protection for all men and improves the coverage. A good coverage is followed by herd protection of the unvaccinated men and women. School-based programs appear to be most effective; under the age of 15 years, two doses with an interval of 6-12 months are sufficient. From the age of 15 years, the standard regimen with three doses is recommended. A broad catch-up program for young adult women and men improves the effectiveness. The vaccines are also effective in sexually active women and men with previous but cleared infections. Vaccination in addition to local treatment of HPV-related disease appears to reduce recurrent or subsequent HPV-related disease. Combination of HPV vaccination and screening with HPV testing is the most effective approach to prevention of cervical cancer. The screening intervals may increase in the vaccinated cohorts. The upper age limit for vaccination remains to be evaluated, is country specific and depends on cost-effectiveness. The European So</w:t>
      </w:r>
    </w:p>
    <w:p>
      <w:pPr>
        <w:pStyle w:val="Heading2"/>
      </w:pPr>
      <w:r>
        <w:t>1001. Food futures: system transitions towards UK food security</w:t>
      </w:r>
    </w:p>
    <w:p>
      <w:pPr>
        <w:pStyle w:val="SourceNote"/>
      </w:pPr>
      <w:r>
        <w:rPr>
          <w:b/>
        </w:rPr>
        <w:t>Original source (2011):</w:t>
      </w:r>
      <w:r>
        <w:t xml:space="preserve"> https://doi.org/10.4337/jhre.2011.02.04</w:t>
      </w:r>
    </w:p>
    <w:p>
      <w:pPr/>
      <w:r>
        <w:t>Original wording (abstract; indexed_source_text_not_full_document_verified): This article explains how scenarios of this kind can try and capture landscape pressures which might threaten the dominant paradigm and leave room for niche activity to challenge the mainstream.</w:t>
      </w:r>
    </w:p>
    <w:p>
      <w:pPr/>
      <w:r>
        <w:rPr>
          <w:b/>
        </w:rPr>
        <w:t>POSSIBLE 2026:</w:t>
      </w:r>
      <w:r>
        <w:t xml:space="preserve"> Clause Encounters of the Third Kind — https://doi.org/10.1093/9780198945215.003.0252</w:t>
      </w:r>
    </w:p>
    <w:p>
      <w:pPr/>
      <w:r>
        <w:rPr>
          <w:b/>
        </w:rPr>
        <w:t>Shared claim-specific concepts:</w:t>
      </w:r>
      <w:r>
        <w:t xml:space="preserve"> article, kind, capture; EU scope not established. This is a provisional connection, not an outcome finding.</w:t>
      </w:r>
    </w:p>
    <w:p>
      <w:pPr>
        <w:pStyle w:val="SourceNote"/>
      </w:pPr>
      <w:r>
        <w:rPr>
          <w:b/>
        </w:rPr>
        <w:t>Available abstract (not full text):</w:t>
      </w:r>
      <w:r>
        <w:t xml:space="preserve"> Abstract While various organizations now actively encourage large language model use in classrooms, we still lack rigorous, systematic evaluations of how well these models actually perform the fundamental tasks of language pedagogy. This article examines whether state-of-the-art large language models can deliver the kind of corrective feedback and methodological explanations that language learners need. The study tests multiple large language models on their ability to identify, correct, and explain common learner mistakes in English, by systematically varying model parameters to investigate how these technical adjustments affect output quality, pedagogical clarity, and consistency, along with using retrieval-augmented generation to query methodological data. The evaluation employs automated metrics (GLEU, BERTScore) but also human expert judgments to capture dimensions that purely computational measures miss: linguistic nuance, cultural sensitivity, and instructional appropriateness. While models demonstrate impressive surface-level correction abilities, their explanations often lack the terminological and domain knowledge that effective language teaching requires, suggesting that current enthusiasm for AI-assisted language learning may be outpacing our understanding of these systems’ actual pedagogical competence.</w:t>
      </w:r>
    </w:p>
    <w:p>
      <w:pPr/>
      <w:r>
        <w:rPr>
          <w:b/>
        </w:rPr>
        <w:t>POSSIBLE 2024:</w:t>
      </w:r>
      <w:r>
        <w:t xml:space="preserve"> Article 89 — https://doi.org/10.1093/law/9780192864536.003.0110</w:t>
      </w:r>
    </w:p>
    <w:p>
      <w:pPr/>
      <w:r>
        <w:rPr>
          <w:b/>
        </w:rPr>
        <w:t>Shared claim-specific concepts:</w:t>
      </w:r>
      <w:r>
        <w:t xml:space="preserve"> article, explains, kind; EU scope not established. This is a provisional connection, not an outcome finding.</w:t>
      </w:r>
    </w:p>
    <w:p>
      <w:pPr>
        <w:pStyle w:val="SourceNote"/>
      </w:pPr>
      <w:r>
        <w:rPr>
          <w:b/>
        </w:rPr>
        <w:t>Available abstract (not full text):</w:t>
      </w:r>
      <w:r>
        <w:t xml:space="preserve"> Abstract This chapter explains that Art 89 of the UN Charter primarily revolves around the decisions of the Trusteeship Council (TC). Article 89 does not specify what kind of decisions the TC may take, nor whether they are legally binding. Thus, in practice, the decisions of the TC mostly took the form of resolutions, particularly with respect to the supervisory instruments enumerated in Arts 87 and 88. The chapter details the voting procedure concerned with the TC’s decisions. It explains that Art 89 (2) required a majority of members present and voting for decisions of the TC, while Rule 48 of the Rules of Procedure fixed the quorum at two-thirds of the members.</w:t>
      </w:r>
    </w:p>
    <w:p>
      <w:pPr/>
      <w:r>
        <w:rPr>
          <w:b/>
        </w:rPr>
        <w:t>POSSIBLE 2024:</w:t>
      </w:r>
      <w:r>
        <w:t xml:space="preserve"> Carbon capture and utilization under EU law: impermanent storage of CO2 in products and pre-combustion carbon capture — https://doi.org/10.1093/jwelb/jwae009</w:t>
      </w:r>
    </w:p>
    <w:p>
      <w:pPr/>
      <w:r>
        <w:rPr>
          <w:b/>
        </w:rPr>
        <w:t>Shared claim-specific concepts:</w:t>
      </w:r>
      <w:r>
        <w:t xml:space="preserve"> article, explains, capture, landscape, challenge; EU scope visible. This is a provisional connection, not an outcome finding.</w:t>
      </w:r>
    </w:p>
    <w:p>
      <w:pPr>
        <w:pStyle w:val="SourceNote"/>
      </w:pPr>
      <w:r>
        <w:rPr>
          <w:b/>
        </w:rPr>
        <w:t>Available abstract (not full text):</w:t>
      </w:r>
      <w:r>
        <w:t xml:space="preserve"> Abstract The evolving regulatory landscape within the European Union demonstrates a transition from prioritizing carbon capture and storage over carbon capture and utilization towards a more equitable treatment of both approaches in relevant legislation and policy frameworks. Nevertheless, the ‘permanence’ criterion of carbon dioxide in the products remains an ongoing challenge. Within the current European legal framework, harnessing the regulatory incentives depends on how long carbon dioxide remains in carbon capture and utilization products. The study elucidates the evolving regulatory landscape surrounding carbon capture and utilization by examining recent legislative initiatives and amendments to key directives such as the Emissions Trading System Directive and the Renewable Energy Directive. Furthermore, it explores the implications of the European Union Net-zero Industry Act and the Carbon Removal Certification Framework. In addition, this article examines and explains the need for expanding the scope of carbon capture and utilization and storage by incorporating pre-combustion carbon capture through methane splitting into the definition.</w:t>
      </w:r>
    </w:p>
    <w:p>
      <w:pPr/>
      <w:r>
        <w:rPr>
          <w:b/>
        </w:rPr>
        <w:t>POSSIBLE 2022:</w:t>
      </w:r>
      <w:r>
        <w:t xml:space="preserve"> Epistasis and Adaptation on Fitness Landscapes — https://doi.org/10.1146/annurev-ecolsys-102320-112153</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Epistasis occurs when the effect of a mutation depends on its carrier's genetic background. Despite increasing evidence that epistasis for fitness is common, its role during evolution is contentious. Fitness landscapes, which are mappings of genotype or phenotype to fitness, capture the full extent and complexity of epistasis. Fitness landscape theory has shown how epistasis affects the course and the outcome of evolution. Moreover, by measuring the competitive fitness of sets of tens to thousands of connected genotypes, empirical fitness landscapes have shown that epistasis is frequent and depends on the fitness measure, the choice of mutations for the landscape, and the environment in which it was measured. In this article, I review fitness landscape theory and experiments and their implications for the role of epistasis in adaptation. I discuss theoretical expectations in the light of empirical fitness landscapes and highlight open challenges and future directions toward integrating theory and data and incorporating ecological factors.</w:t>
      </w:r>
    </w:p>
    <w:p>
      <w:pPr/>
      <w:r>
        <w:rPr>
          <w:b/>
        </w:rPr>
        <w:t>POSSIBLE 2022:</w:t>
      </w:r>
      <w:r>
        <w:t xml:space="preserve"> Identity in sustainability transitions: The crucial role of landscape in the Green Heart — https://doi.org/10.1016/j.eist.2022.01.008</w:t>
      </w:r>
    </w:p>
    <w:p>
      <w:pPr/>
      <w:r>
        <w:rPr>
          <w:b/>
        </w:rPr>
        <w:t>Shared claim-specific concepts:</w:t>
      </w:r>
      <w:r>
        <w:t xml:space="preserve"> article, landscape, pressures, challenge; EU scope visible. This is a provisional connection, not an outcome finding.</w:t>
      </w:r>
    </w:p>
    <w:p>
      <w:pPr>
        <w:pStyle w:val="SourceNote"/>
      </w:pPr>
      <w:r>
        <w:rPr>
          <w:b/>
        </w:rPr>
        <w:t>Available abstract (not full text):</w:t>
      </w:r>
      <w:r>
        <w:t xml:space="preserve"> This article proposes that identity formation and reformation are important dynamics that influence and are influenced by the course of a sustainability transition. We study identity (re-)formation in the transition of the dairy sector in a rural area in the Netherlands: the Green Heart. Soil subsidence, high emissions, and economic pressures require substantial changes in practices in the dairy sector and most importantly, the landscape that it is intertwined with. We use narrative analysis to study identity (re-)formation in two new stakeholder collectives that aim to address sustainability in the area. We identify discrepancies between the narratives in these collectives and the transition challenge. These discrepancies can be explained by the role that the landscape of the Green Heart plays in the identity (re-)formation within these collectives. The attachment to the current landscape forms a lock-in for the sustainability transition in this area.</w:t>
      </w:r>
    </w:p>
    <w:p>
      <w:pPr/>
      <w:r>
        <w:rPr>
          <w:b/>
        </w:rPr>
        <w:t>POSSIBLE 2021:</w:t>
      </w:r>
      <w:r>
        <w:t xml:space="preserve"> Leadership for careful and kind care — https://doi.org/10.1136/leader-2021-000451</w:t>
      </w:r>
    </w:p>
    <w:p>
      <w:pPr/>
      <w:r>
        <w:rPr>
          <w:b/>
        </w:rPr>
        <w:t>Shared claim-specific concepts:</w:t>
      </w:r>
      <w:r>
        <w:t xml:space="preserve"> article, kind, activity; EU scope not established. This is a provisional connection, not an outcome finding.</w:t>
      </w:r>
    </w:p>
    <w:p>
      <w:pPr>
        <w:pStyle w:val="SourceNote"/>
      </w:pPr>
      <w:r>
        <w:rPr>
          <w:b/>
        </w:rPr>
        <w:t>Available abstract (not full text):</w:t>
      </w:r>
      <w:r>
        <w:t xml:space="preserve"> The fundamental role of healthcare organisations ought to be to care for patients. The care of patients is a human activity by which people with the capacity to care notice and respond well, with compassion and competence, to people who seek this care.1 This article describes how, instead, healthcare has industrialised care; with care degraded, care has become transactional. It has overwhelmed the capacity of both the people called to care and those that receive care, and has rendered care unsustainable.2 We propose that leaders can restore care by turning their organisations away from industrial healthcare and asserting their organisation’s purpose to enact careful and kind care. This article describes that turning away and invites healthcare leaders to pioneer it from within their organisations. First, we explain the pathologies of care and an alternative to them, and then what leaders might do to turn this new strategy into action.</w:t>
        <w:br/>
        <w:br/>
        <w:t xml:space="preserve">The public expects healthcare organisations to enable care by supporting the work of people responding to the problematic situations of their patients. Yet, healthcare organisations respond to their external environment and to the policies and structures—austerity, greed, poverty—that condition the kind of healthcare that clinicians give and patients receive.3 4 Extrinsic motivators encoded in healthcare policies determine what is measured,5 how </w:t>
      </w:r>
    </w:p>
    <w:p>
      <w:pPr/>
      <w:r>
        <w:rPr>
          <w:b/>
        </w:rPr>
        <w:t>POSSIBLE 2021:</w:t>
      </w:r>
      <w:r>
        <w:t xml:space="preserve"> Conducting comprehensive scoping reviews to systematically capture the landscape of a subject matter — https://doi.org/10.18332/popmed/143831</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Scientific publications or health research publications have seen a dramatic increase during the last few decades.Given this rapid production of information, literature reviews have become an imperative cornerstone for researchers to gain a better understanding of the research landscape that they are investigating.One type of literature review that has shown great utility is the scoping review, with its great efficiency in mapping existing literature and synthesizing knowledge.A step-by-step guide is provided in this article as an introduction to those who are interested in conducting scoping reviews in order to acquire a better picture of the research landscape.To help better understand the intricacies to conducting a scoping review, each step of the process is clearly explained and elaborated on.Each step is also followed by examples from published literature.The intended audience includes students and researchers new to scoping reviews.</w:t>
      </w:r>
    </w:p>
    <w:p>
      <w:pPr/>
      <w:r>
        <w:rPr>
          <w:b/>
        </w:rPr>
        <w:t>POSSIBLE 2019:</w:t>
      </w:r>
      <w:r>
        <w:t xml:space="preserve"> How to Explain Behavior? — https://doi.org/10.1111/tops.12480</w:t>
      </w:r>
    </w:p>
    <w:p>
      <w:pPr/>
      <w:r>
        <w:rPr>
          <w:b/>
        </w:rPr>
        <w:t>Shared claim-specific concepts:</w:t>
      </w:r>
      <w:r>
        <w:t xml:space="preserve"> article, kind, challenge; EU scope not established. This is a provisional connection, not an outcome finding.</w:t>
      </w:r>
    </w:p>
    <w:p>
      <w:pPr>
        <w:pStyle w:val="SourceNote"/>
      </w:pPr>
      <w:r>
        <w:rPr>
          <w:b/>
        </w:rPr>
        <w:t>Available abstract (not full text):</w:t>
      </w:r>
      <w:r>
        <w:t xml:space="preserve"> Unlike behaviorism, cognitive psychology relies on mental concepts to explain behavior. Yet mental processes are not directly observable and multiple explanations are possible, which poses a challenge for finding a useful framework. In this article, I distinguish three new frameworks for explanations that emerged after the cognitive revolution. The first is called tools-to-theories: Psychologists' new tools for data analysis, such as computers and statistics, are turned into theories of mind. The second proposes as-if theories: Expected utility theory and Bayesian statistics are turned into theories of mind, describing an optimal solution of a problem but not its psychological process. The third studies the adaptive toolbox (formal models of heuristics) that describes mental processes in situations of uncertainty where an optimal solution is unknown. Depending on which framework researchers choose, they will model behavior in either situations of risk or of uncertainty, and construct models of cognitive processes or not. The frameworks also determine what questions are asked and what kind of data are generated. What all three frameworks have in common, however, is a clear preference for formal models rather than explanations by general dichotomies or mere verbal concepts. The frameworks have considerable potential to inform each other and to generate points of integration.</w:t>
      </w:r>
    </w:p>
    <w:p>
      <w:pPr/>
      <w:r>
        <w:rPr>
          <w:b/>
        </w:rPr>
        <w:t>POSSIBLE 2019:</w:t>
      </w:r>
      <w:r>
        <w:t xml:space="preserve"> Reassessing the Host Defense Peptide Landscape — https://doi.org/10.3389/fchem.2019.00043</w:t>
      </w:r>
    </w:p>
    <w:p>
      <w:pPr/>
      <w:r>
        <w:rPr>
          <w:b/>
        </w:rPr>
        <w:t>Shared claim-specific concepts:</w:t>
      </w:r>
      <w:r>
        <w:t xml:space="preserve"> capture, landscape, activity; EU scope not established. This is a provisional connection, not an outcome finding.</w:t>
      </w:r>
    </w:p>
    <w:p>
      <w:pPr>
        <w:pStyle w:val="SourceNote"/>
      </w:pPr>
      <w:r>
        <w:rPr>
          <w:b/>
        </w:rPr>
        <w:t>Available abstract (not full text):</w:t>
      </w:r>
      <w:r>
        <w:t xml:space="preserve"> Current research has demonstrated that small cationic amphipathic peptides have strong potential not only as antimicrobials, but also as antibiofilm agents, immune modulators, and anti-inflammatories. Although traditionally termed antimicrobial peptides (AMPs) these additional roles have prompted a shift in terminology to use the broader term host defense peptides (HDPs) to capture the multi-functional nature of these molecules. In this review, we critically examined the role of AMPs and HDPs in infectious diseases and inflammation. It is generally accepted that HDPs are multi-faceted mediators of a wide range of biological processes, with individual activities dependent on their polypeptide sequence. In this context, we explore the concept of chemical space as it applies to HDPs and hypothesize that the various functions and activities of this class of molecule exist on independent but overlapping activity landscapes. Finally, we outline several emerging functions and roles of HDPs and highlight how an improved understanding of these processes can potentially be leveraged to more fully realize the therapeutic promise of HDPs.</w:t>
      </w:r>
    </w:p>
    <w:p>
      <w:pPr/>
      <w:r>
        <w:rPr>
          <w:b/>
        </w:rPr>
        <w:t>POSSIBLE 2016:</w:t>
      </w:r>
      <w:r>
        <w:t xml:space="preserve"> Comparative agriculture methods capture distinct production practices across a broadacre Australian landscape — https://doi.org/10.1016/j.agee.2016.09.020</w:t>
      </w:r>
    </w:p>
    <w:p>
      <w:pPr/>
      <w:r>
        <w:rPr>
          <w:b/>
        </w:rPr>
        <w:t>Shared claim-specific concepts:</w:t>
      </w:r>
      <w:r>
        <w:t xml:space="preserve"> capture, landscape, challenge; EU scope not established. This is a provisional connection, not an outcome finding.</w:t>
      </w:r>
    </w:p>
    <w:p>
      <w:pPr>
        <w:pStyle w:val="SourceNote"/>
      </w:pPr>
      <w:r>
        <w:rPr>
          <w:b/>
        </w:rPr>
        <w:t>Available abstract (not full text):</w:t>
      </w:r>
      <w:r>
        <w:t xml:space="preserve"> In farming systems research the link between farm resources, management and performances is often described, but rarely confirmed or quantified. Problems arise in formalising such linkages because substantial spatial and longitudinal whole-farm data are difficult to acquire. This study used the integrative discipline of comparative agriculture to collect such information and address a wide range of related farming system questions. The mixed method procedure included a landscape analysis, a historical investigation, and the collection of current farm information from 36 farms, representing half the farming businesses of a 4 000 km2 area in a region of the Western Australian wheatbelt (≈300 mm/year) with highly variable soils. Land types influenced management, including cropping specialisation, and explained some of the regional variability in grain yield and enterprise mix. Rotations varied by soil type and farm type. On average their duration was 3–4 years, typically starting with a 2–3 years of wheat, resulting in overall composition of 64% cereals, 20% break crops and 16% pastures/fallows. Break crops were grown more on light sandy soils than on heavier fine-textured soils. Lights soils were managed similarly by all farmers but distinctions occurred on heavier soils between mixed crop-livestock farmers and cropping specialists. This divergence in farming production was expla</w:t>
      </w:r>
    </w:p>
    <w:p>
      <w:pPr/>
      <w:r>
        <w:rPr>
          <w:b/>
        </w:rPr>
        <w:t>POSSIBLE 2012:</w:t>
      </w:r>
      <w:r>
        <w:t xml:space="preserve"> The ecological approach to visual perception and the actor performance captured in the gaming landscape — https://doi.org/10.1386/ap3.2.1-2.137_1</w:t>
      </w:r>
    </w:p>
    <w:p>
      <w:pPr/>
      <w:r>
        <w:rPr>
          <w:b/>
        </w:rPr>
        <w:t>Shared claim-specific concepts:</w:t>
      </w:r>
      <w:r>
        <w:t xml:space="preserve"> article, capture, landscape; EU scope not established. This is a provisional connection, not an outcome finding.</w:t>
      </w:r>
    </w:p>
    <w:p>
      <w:pPr>
        <w:pStyle w:val="SourceNote"/>
      </w:pPr>
      <w:r>
        <w:rPr>
          <w:b/>
        </w:rPr>
        <w:t>Available abstract (not full text):</w:t>
      </w:r>
      <w:r>
        <w:t xml:space="preserve"> Abstract The use of Performance Capture techniques in the creation of games that involve Motion Capture is a relatively new phenomenon. To date, there is no prescribed methodology that prepares actors for the rigours of this new industry and as such there are many questions to be answered around how actors navigate these environments successfully when all available training and theoretical material is focused on performance for theatre and film. This article proposes that through a deployment of an ecological approach to visual perception we may begin to chart this territory for actors and begin to contend with the demands of performing for the motion captured gaming scenario.</w:t>
      </w:r>
    </w:p>
    <w:p>
      <w:pPr>
        <w:pStyle w:val="Heading2"/>
      </w:pPr>
      <w:r>
        <w:t>1002. Foresight on the future of public research metrology in Europe</w:t>
      </w:r>
    </w:p>
    <w:p>
      <w:pPr>
        <w:pStyle w:val="SourceNote"/>
      </w:pPr>
      <w:r>
        <w:rPr>
          <w:b/>
        </w:rPr>
        <w:t>Original source (2011):</w:t>
      </w:r>
      <w:r>
        <w:t xml:space="preserve"> https://doi.org/10.1108/14636681111109660</w:t>
      </w:r>
    </w:p>
    <w:p>
      <w:pPr/>
      <w:r>
        <w:t>Original wording (abstract; indexed_source_text_not_full_document_verified): Purpose The aim of this paper is to describe and evaluate the use of a five‐step foresight process and the application of scenario methods to grasp the range of future alternatives that might confront researchers and research managers in European metrology research institutes. Design/methodology/approach The paper illustrates how scenario methods were used to, first, serve as a basis for policy recommendations for the field of European metrology research institutes and, second, help experts and stakeholders to network and actively discuss a shared vision of the future of the field.</w:t>
      </w:r>
    </w:p>
    <w:p>
      <w:pPr/>
      <w:r>
        <w:rPr>
          <w:b/>
        </w:rPr>
        <w:t>POSSIBLE 2026:</w:t>
      </w:r>
      <w:r>
        <w:t xml:space="preserve"> The prevalence of cannabidiol (CBD) use in North America and Europe: A meta‐analysis — https://doi.org/10.1111/add.70360</w:t>
      </w:r>
    </w:p>
    <w:p>
      <w:pPr/>
      <w:r>
        <w:rPr>
          <w:b/>
        </w:rPr>
        <w:t>Shared claim-specific concepts:</w:t>
      </w:r>
      <w:r>
        <w:t xml:space="preserve"> use, five, methods, range; EU scope visible. This is a provisional connection, not an outcome finding.</w:t>
      </w:r>
    </w:p>
    <w:p>
      <w:pPr>
        <w:pStyle w:val="SourceNote"/>
      </w:pPr>
      <w:r>
        <w:rPr>
          <w:b/>
        </w:rPr>
        <w:t>Available abstract (not full text):</w:t>
      </w:r>
      <w:r>
        <w:t xml:space="preserve"> BACKGROUND AND AIMS: The global cannabidiol (CBD) market has expanded in recent years. Several studies suggest CBD use, whether for medical or recreational purposes, is on the rise; however, no systematic assessments of its prevalence have been conducted so far. This meta-analysis aimed to estimate the prevalence of CBD use in North America and Europe independently. METHODS: Searches were conducted in PubMed, PsycINFO and Web of Science on 25 March 2025. A total of 43 studies (48 distinct samples; n = 388 447; 57.52% female) from North America (k = 30; n = 353 088) and Europe (k = 13; n = 35 359) were included in the analyses. The prevalence was estimated at five time periods (i.e. lifetime, past 12 months, past 30 days, past 7 days and daily use) separately for each continent region. Differences in prevalence estimates by sex, year of data collection and sample type (i.e. clinical versus community) were examined. Publication bias was estimated using several indicators, and the methodological quality of the studies was appraised using the Joana Brigg's Institute (JBI) checklist. RESULTS: In preliminary analyses of heterogeneity there was evidence of differences in prevalence between North America and Europe across all time periods (P-value range: &lt; 0.001-0.057). Consequently, the pooled prevalence estimates were calculated for both continental regions separately. In Europe, the</w:t>
      </w:r>
    </w:p>
    <w:p>
      <w:pPr/>
      <w:r>
        <w:rPr>
          <w:b/>
        </w:rPr>
        <w:t>POSSIBLE 2025:</w:t>
      </w:r>
      <w:r>
        <w:t xml:space="preserve"> Appropriateness of antibiotic use in nursing homes for suspected urinary tract infections: comparison across five European countries — https://doi.org/10.1007/s41999-025-01185-0</w:t>
      </w:r>
    </w:p>
    <w:p>
      <w:pPr/>
      <w:r>
        <w:rPr>
          <w:b/>
        </w:rPr>
        <w:t>Shared claim-specific concepts:</w:t>
      </w:r>
      <w:r>
        <w:t xml:space="preserve"> purpose, use, five, methods, used; EU scope visible. This is a provisional connection, not an outcome finding.</w:t>
      </w:r>
    </w:p>
    <w:p>
      <w:pPr>
        <w:pStyle w:val="SourceNote"/>
      </w:pPr>
      <w:r>
        <w:rPr>
          <w:b/>
        </w:rPr>
        <w:t>Available abstract (not full text):</w:t>
      </w:r>
      <w:r>
        <w:t xml:space="preserve"> PURPOSE: Antibiotic use is the main driver of bacterial antimicrobial resistance. Urinary tract infections (UTIs), for which antibiotics are often prescribed, are among the most common infections among residents in nursing homes. This study aimed to estimate and compare the appropriateness of antibiotic use for suspected UTIs among nursing home residents across five European countries. Both the decision to treat and the choice of antibiotics used were explored. METHODS: This cross-sectional study used the Audit Project Odense (APO) method. The appropriateness of the treatment decision for UTIs was evaluated according to symptom presentation in residents without indwelling urinary catheters. The choice of antibiotic used for treatment was evaluated according to the first-line antibiotic recommended for the treatment of UTIs in the respective countries. Data were collected through an institutional sign-up questionnaire and a clinical case registration chart. All residents in new or ongoing treatment with systemic antibiotics were registered during a 6-week period between February and April 2022. RESULTS: A total of 70 nursing homes or wards registered 508 antibiotic treatments for suspected UTIs. The proportion of antibiotics prescribed for UTIs to nursing home residents with no specific UTI symptoms varied from 10% in Poland to 68% in Spain. The proportion of treatments with the</w:t>
      </w:r>
    </w:p>
    <w:p>
      <w:pPr/>
      <w:r>
        <w:rPr>
          <w:b/>
        </w:rPr>
        <w:t>POSSIBLE 2024:</w:t>
      </w:r>
      <w:r>
        <w:t xml:space="preserve"> Characteristics of special purpose acquisition companies as a new challenge in European markets — https://doi.org/10.5937/bizinfo2401089d</w:t>
      </w:r>
    </w:p>
    <w:p>
      <w:pPr/>
      <w:r>
        <w:rPr>
          <w:b/>
        </w:rPr>
        <w:t>Shared claim-specific concepts:</w:t>
      </w:r>
      <w:r>
        <w:t xml:space="preserve"> purpose, aim, managers; EU scope visible. This is a provisional connection, not an outcome finding.</w:t>
      </w:r>
    </w:p>
    <w:p>
      <w:pPr>
        <w:pStyle w:val="SourceNote"/>
      </w:pPr>
      <w:r>
        <w:rPr>
          <w:b/>
        </w:rPr>
        <w:t>Available abstract (not full text):</w:t>
      </w:r>
      <w:r>
        <w:t xml:space="preserve"> Special Purpose Acquisition Company (SPAC) is a special type of public listed company available to investors in financial markets, and was formed with the aim of investing in one or more existing operating companies after raising capital. This paper provides an overview of academic and financial literature on SPACs, describes their characteristics, advantages and risks of using SPAC as a form that does not offer services and does not conduct business operations, but is formed only for the purpose of acquisition of target companies. The paper focuses on the analysis of the impact of these forms of short-term investments on private companies, SPAC managers and investors. The paper further examines whether the impact of SPACs on European financial markets can be expected to grow. Authors’ findings show that, beside limitations for growth of European SPAC number, there is evident interest among European startup companies to go public through SPACs.</w:t>
      </w:r>
    </w:p>
    <w:p>
      <w:pPr/>
      <w:r>
        <w:rPr>
          <w:b/>
        </w:rPr>
        <w:t>POSSIBLE 2023:</w:t>
      </w:r>
      <w:r>
        <w:t xml:space="preserve"> Bronchiectasis in Europe: data on disease characteristics from the European Bronchiectasis registry (EMBARC) — https://doi.org/10.1016/s2213-2600(23)00093-0</w:t>
      </w:r>
    </w:p>
    <w:p>
      <w:pPr/>
      <w:r>
        <w:rPr>
          <w:b/>
        </w:rPr>
        <w:t>Shared claim-specific concepts:</w:t>
      </w:r>
      <w:r>
        <w:t xml:space="preserve"> aim, describe, methods, used; EU scope visible. This is a provisional connection, not an outcome finding.</w:t>
      </w:r>
    </w:p>
    <w:p>
      <w:pPr>
        <w:pStyle w:val="SourceNote"/>
      </w:pPr>
      <w:r>
        <w:rPr>
          <w:b/>
        </w:rPr>
        <w:t>Available abstract (not full text):</w:t>
      </w:r>
      <w:r>
        <w:t xml:space="preserve"> BACKGROUND: Bronchiectasis is a heterogeneous, neglected disease with few multicentre studies exploring the causes, severity, microbiology, and treatment of the disease across Europe. This aim of this study was to describe the clinical characteristics of bronchiectasis and compare between different European countries. METHODS: EMBARC is an international clinical research network for bronchiectasis. We report on a multicentre, prospective, observational, non-interventional, cohort study (the EMBARC registry) conducted across 27 European countries and Israel. Comprehensive clinical data were collected from adult patients (aged ≥18 years) at baseline and annual follow-up visits using electronic case report form. Data from individual countries were grouped into four regions (the UK, northern and western Europe, southern Europe, and central and eastern Europe according to modified EU EuroVoc classification). Follow-up data were used to explore differences in exacerbation frequency between regions using a negative binomial regression model. FINDINGS: Between Jan 12, 2015, and April 12, 2022, 16 963 individuals were enrolled. Median age was 67 years (IQR 57-74), 10 335 (60·9%) participants were female and 6628 (39·1%) were male. The most common cause of bronchiectasis in all 16 963 participants was post-infective disease in 3600 (21·2%); 6466 individuals (38·1%) were classified as idi</w:t>
      </w:r>
    </w:p>
    <w:p>
      <w:pPr/>
      <w:r>
        <w:rPr>
          <w:b/>
        </w:rPr>
        <w:t>POSSIBLE 2023:</w:t>
      </w:r>
      <w:r>
        <w:t xml:space="preserve"> Firearm Homicides in Europe: A Comparison with Non-Firearm Homicides in Five European Countries — https://doi.org/10.1080/17440572.2023.2211513</w:t>
      </w:r>
    </w:p>
    <w:p>
      <w:pPr/>
      <w:r>
        <w:rPr>
          <w:b/>
        </w:rPr>
        <w:t>Shared claim-specific concepts:</w:t>
      </w:r>
      <w:r>
        <w:t xml:space="preserve"> use, five, used; EU scope visible. This is a provisional connection, not an outcome finding.</w:t>
      </w:r>
    </w:p>
    <w:p>
      <w:pPr>
        <w:pStyle w:val="SourceNote"/>
      </w:pPr>
      <w:r>
        <w:rPr>
          <w:b/>
        </w:rPr>
        <w:t>Available abstract (not full text):</w:t>
      </w:r>
      <w:r>
        <w:t xml:space="preserve"> Detailed, comparative research on firearm violence in Europe is rare. Using data from the European Homicide Monitor, this paper presents the prevalence and characteristics of firearm homicides in Denmark, Finland, the Netherlands, Sweden and Switzerland between 2001 and 2016. Furthermore, we compare firearm to non-firearm homicides to assess the degree of uniqueness of firearms as modus operandi. We find that the firearm homicide rate varies across our sample of countries. We also identify two country profiles: in Denmark, the Netherlands and Sweden, most firearm homicides take place in public and urban areas, involving male victims and perpetrators. In these countries, the use of firearms in homicides is largely concentrated in the criminal milieu. In Finland and Switzerland, firearms are mostly used in domestic homicides, with a higher share of female victims. We explore these findings in relation to firearm availability in each country.</w:t>
      </w:r>
    </w:p>
    <w:p>
      <w:pPr/>
      <w:r>
        <w:rPr>
          <w:b/>
        </w:rPr>
        <w:t>POSSIBLE 2022:</w:t>
      </w:r>
      <w:r>
        <w:t xml:space="preserve"> Needs of forensic psychiatric patients with schizophrenia in five European countries — https://doi.org/10.1007/s00127-022-02336-5</w:t>
      </w:r>
    </w:p>
    <w:p>
      <w:pPr/>
      <w:r>
        <w:rPr>
          <w:b/>
        </w:rPr>
        <w:t>Shared claim-specific concepts:</w:t>
      </w:r>
      <w:r>
        <w:t xml:space="preserve"> purpose, five, methods, used; EU scope visible. This is a provisional connection, not an outcome finding.</w:t>
      </w:r>
    </w:p>
    <w:p>
      <w:pPr>
        <w:pStyle w:val="SourceNote"/>
      </w:pPr>
      <w:r>
        <w:rPr>
          <w:b/>
        </w:rPr>
        <w:t>Available abstract (not full text):</w:t>
      </w:r>
      <w:r>
        <w:t xml:space="preserve"> AIMS: The purpose was to compare the frequency of needs of patients with schizophrenia in forensic services across five European countries as assessed by both the patients and their care staff. METHODS: Patients with schizophrenia and a history of significant interpersonal violence were recruited from forensic psychiatric services in Austria, Germany, Italy, Poland and England. Participants' needs were assessed using the Camberwell Assessment of Needs-Forensic Version (CANFOR). Multiple linear regression analyses were used to identify predictors of numbers of needs. RESULTS: In this sample, (n = 221) the most commonly reported need according to patients (71.0%) and staff (82.8%) was the management of psychotic symptoms. A need for information was mentioned by about 45% of staff and patients. Staff members reported a significantly higher number of total needs than patients (mean 6.9 vs. 6.2). In contrast, staff members reported a significantly lower number of unmet needs than patients (mean 2.0 vs. 2.5). Numbers of total needs and met needs differed between countries. Unmet needs as reported by patients showed positive associations with the absence of comorbid personality disorder, with higher positive symptom scores and lifetime suicide or self-harm history. Significant predictors of unmet needs according to staff were absence of comorbid personality disorder and higher positiv</w:t>
      </w:r>
    </w:p>
    <w:p>
      <w:pPr/>
      <w:r>
        <w:rPr>
          <w:b/>
        </w:rPr>
        <w:t>POSSIBLE 2022:</w:t>
      </w:r>
      <w:r>
        <w:t xml:space="preserve"> Comparison of drug prescribing before and during the COVID ‐19 pandemic: A cross‐national European study — https://doi.org/10.1002/pds.5509</w:t>
      </w:r>
    </w:p>
    <w:p>
      <w:pPr/>
      <w:r>
        <w:rPr>
          <w:b/>
        </w:rPr>
        <w:t>Shared claim-specific concepts:</w:t>
      </w:r>
      <w:r>
        <w:t xml:space="preserve"> purpose, aim, describe, use, five, methods; EU scope visible. This is a provisional connection, not an outcome finding.</w:t>
      </w:r>
    </w:p>
    <w:p>
      <w:pPr>
        <w:pStyle w:val="SourceNote"/>
      </w:pPr>
      <w:r>
        <w:rPr>
          <w:b/>
        </w:rPr>
        <w:t>Available abstract (not full text):</w:t>
      </w:r>
      <w:r>
        <w:t xml:space="preserve"> PURPOSE: The COVID-19 pandemic had an impact on health care, with disruption to routine clinical care. Our aim was to describe changes in prescription drugs dispensing in the primary and outpatient sectors during the first year of the pandemic across Europe. METHODS: We used routine administrative data on dispensed medicines in eight European countries (five whole countries, three represented by one region each) from January 2017 to March 2021 to compare the first year of the COVID-19 pandemic with the preceding 3 years. RESULTS: In the 10 therapeutic subgroups with the highest dispensed volumes across all countries/regions the relative changes between the COVID-19 period and the year before were mostly of a magnitude similar to changes between previous periods. However, for drugs for obstructive airway diseases the changes in the COVID-19 period were stronger in several countries/regions. In all countries/regions a decrease in dispensed DDDs of antibiotics for systemic use (from -39.4% in Romagna to -14.2% in Scotland) and nasal preparations (from -34.4% in Lithuania to -5.7% in Sweden) was observed. We observed a stockpiling effect in the total market in March 2020 in six countries/regions. In Czechia the observed increase was not significant and in Slovenia volumes increased only after the end of the first lockdown. We found an increase in average therapeutic quantity per pa</w:t>
      </w:r>
    </w:p>
    <w:p>
      <w:pPr/>
      <w:r>
        <w:rPr>
          <w:b/>
        </w:rPr>
        <w:t>POSSIBLE 2022:</w:t>
      </w:r>
      <w:r>
        <w:t xml:space="preserve"> Susceptibility to tobacco use and associated factors among youth in five central and eastern European countries — https://doi.org/10.1186/s12889-022-12493-6</w:t>
      </w:r>
    </w:p>
    <w:p>
      <w:pPr/>
      <w:r>
        <w:rPr>
          <w:b/>
        </w:rPr>
        <w:t>Shared claim-specific concepts:</w:t>
      </w:r>
      <w:r>
        <w:t xml:space="preserve"> aim, use, five, methods, used; EU scope visible. This is a provisional connection, not an outcome finding.</w:t>
      </w:r>
    </w:p>
    <w:p>
      <w:pPr>
        <w:pStyle w:val="SourceNote"/>
      </w:pPr>
      <w:r>
        <w:rPr>
          <w:b/>
        </w:rPr>
        <w:t>Available abstract (not full text):</w:t>
      </w:r>
      <w:r>
        <w:t xml:space="preserve"> BACKGROUND: Tobacco use among young people still remains a major public health problem. Thus, the aim of this study was to perform a cross-country comparison for the factors associated with susceptibility to tobacco use among youth from five central and eastern European countries. METHODS: The data used in the current analysis, focusing on youth (aged 11-17 years), who have never tried or experimented with cigarette smoking, was available from the recent Global Youth Tobacco Survey (Czech Republic (2016), n = 1997; Slovakia (2016), n = 1998; Slovenia (2017), n = 1765; Romania (2017), n = 3718; Lithuania (2018), n = 1305). Simple, multiple logistic regression analyses and random-effect meta-analysis were conducted to identify factors associated with tobacco use susceptibility as the lack of a firm commitment not to smoke. RESULTS: Nearly a quarter of the students were susceptible to tobacco use in 4 of 5 countries. The following factors were identified, consistently across countries, as correlates of tobacco use susceptibility: exposure to passive smoking in public places (AOR from 1.3; p = 0.05 in Slovakia to 1.6; p &lt; 0.01 in Czech Republic and Romania), peers smoking status (AOR from 1.8 p &lt; 0.01 in Slovakia to 2.5; p &lt; 0.01 Lithuania), opinion that smoking helped people feel more comfortable at celebrations (AOR from 1.3; p = 0.01 in Czech Republic to 1.9; p &lt; 0.01 in Lithuan</w:t>
      </w:r>
    </w:p>
    <w:p>
      <w:pPr/>
      <w:r>
        <w:rPr>
          <w:b/>
        </w:rPr>
        <w:t>POSSIBLE 2021:</w:t>
      </w:r>
      <w:r>
        <w:t xml:space="preserve"> Differences in hip fracture care in Europe: a systematic review of recent annual reports of hip fracture registries — https://doi.org/10.1007/s00068-021-01797-8</w:t>
      </w:r>
    </w:p>
    <w:p>
      <w:pPr/>
      <w:r>
        <w:rPr>
          <w:b/>
        </w:rPr>
        <w:t>Shared claim-specific concepts:</w:t>
      </w:r>
      <w:r>
        <w:t xml:space="preserve"> purpose, describe, process, methods; EU scope visible. This is a provisional connection, not an outcome finding.</w:t>
      </w:r>
    </w:p>
    <w:p>
      <w:pPr>
        <w:pStyle w:val="SourceNote"/>
      </w:pPr>
      <w:r>
        <w:rPr>
          <w:b/>
        </w:rPr>
        <w:t>Available abstract (not full text):</w:t>
      </w:r>
      <w:r>
        <w:t xml:space="preserve"> PURPOSE: Hip fractures are of growing interest due to their increasing number, subsequent functional decline and high institutionalization rate of patients, mortality, and costs. Several process measurements are essential for hip fracture care. To compare and improve these, hip fracture registries in Europe became popular. This systematic review aims to describe the differences between hip fracture registries in Europe as well as the differences in hip fracture treatment between countries. METHODS: A systematic search using the keywords "hip fracture" AND "national" AND "database OR audit OR registry OR register" was performed in PubMed, Embase and Cochrane Library according to PRISMA guidelines till 3rd December 2020. Recent annual reports of identified hip fracture registries in Europe were additionally identified in June 2021. Comparisons of most common case-mix, process and outcome measurements were performed. RESULTS: 11 registries in Europe were identified. Differences were observed regarding inclusion criteria of the different registries. Comparison of the different registries was difficult due to differences in the way to report measurements. While mortality rates differed substantially between countries, most of the process measurements met recommendations according to recent guidelines. CONCLUSION: Hip fracture registries were a valid tool to compare hospitals within </w:t>
      </w:r>
    </w:p>
    <w:p>
      <w:pPr/>
      <w:r>
        <w:rPr>
          <w:b/>
        </w:rPr>
        <w:t>POSSIBLE 2021:</w:t>
      </w:r>
      <w:r>
        <w:t xml:space="preserve"> General population normative data for the EQ-5D-3L in the five largest European economies — https://doi.org/10.1007/s10198-021-01326-9</w:t>
      </w:r>
    </w:p>
    <w:p>
      <w:pPr/>
      <w:r>
        <w:rPr>
          <w:b/>
        </w:rPr>
        <w:t>Shared claim-specific concepts:</w:t>
      </w:r>
      <w:r>
        <w:t xml:space="preserve"> aim, five, methods, used; EU scope visible. This is a provisional connection, not an outcome finding.</w:t>
      </w:r>
    </w:p>
    <w:p>
      <w:pPr>
        <w:pStyle w:val="SourceNote"/>
      </w:pPr>
      <w:r>
        <w:rPr>
          <w:b/>
        </w:rPr>
        <w:t>Available abstract (not full text):</w:t>
      </w:r>
      <w:r>
        <w:t xml:space="preserve"> AIM: The EQ-5D is a generic measure of health that is widely applied for health economic and non-economic purposes. Population norms can be used to facilitate the interpretation of EQ-5D data. The objective of this study was to develop a set of pooled normative EQ-5D-3L values for the five largest European economies (EUR5). METHODS: EQ-5D-3L index values based on the time trade-off (TTO) were available for all EUR5 countries (n = 21,425): France, Germany, Italy, Spain, and the United Kingdom (UK). Country-specific data sets were aggregated and weighted to facilitate the derivation of norms for gender and age groups. Analyses included equal weighting and weighting by population and economy size. Norms were also calculated using the European visual analog scale-based value set (European VAS), the EQ VAS and separately by dimension. RESULTS: Pooled mean (SD) population weighted TTO values for males/females were 0.967 (0.122)/0.959 (0.118) for ages 18-24; 0.965 (0.096)/0.954 (0.117) for ages 25-34; 0.943 (0.165)/0.936 (0.169) for ages 35-44; 0.934 (0.150)/0.921 (0.157) for ages 45-54; 0.896 (0.188)/0.875 (0.197) for ages 55-64; 0.900 (0.158)/0.839 (0.218) for ages 65-74; and 0.830 (0.234)/0.756 (0.291) for ages 75 and older. Mean values decreased and variance increased with age; females had slightly lower mean values than males across all age bands. The unequal weighting approaches</w:t>
      </w:r>
    </w:p>
    <w:p>
      <w:pPr/>
      <w:r>
        <w:rPr>
          <w:b/>
        </w:rPr>
        <w:t>POSSIBLE 2021:</w:t>
      </w:r>
      <w:r>
        <w:t xml:space="preserve"> On the changes of the intention to leave the parental home during the COVID-19 pandemic: a comparison among five European countries — https://doi.org/10.1186/s41118-021-00117-7</w:t>
      </w:r>
    </w:p>
    <w:p>
      <w:pPr/>
      <w:r>
        <w:rPr>
          <w:b/>
        </w:rPr>
        <w:t>Shared claim-specific concepts:</w:t>
      </w:r>
      <w:r>
        <w:t xml:space="preserve"> purpose, describe, five, first; EU scope visible. This is a provisional connection, not an outcome finding.</w:t>
      </w:r>
    </w:p>
    <w:p>
      <w:pPr>
        <w:pStyle w:val="SourceNote"/>
      </w:pPr>
      <w:r>
        <w:rPr>
          <w:b/>
        </w:rPr>
        <w:t>Available abstract (not full text):</w:t>
      </w:r>
      <w:r>
        <w:t xml:space="preserve"> With the spread of the SARS-CoV-2 pandemic in Europe during the first months of 2020, most of the governments imposed restrictive measures to people mobility and physical distance (the lockdown), which severely impacted on the economic activities and performance of many countries. Thus, the health emergency turned rapidly into in an economic crisis. The COVID-19 crisis in Europe increased the uncertainty about the economic recovery and the end of health emergency. This situation is supposed to have conditioned individuals' life course path with the effect of inducing people to postpone or to abandon many life plans. This paper aims to explore and describe whether the rise of health emergency due to the COVID-19 has delayed or vanished young people's intention to leave the parental home, in order to establish their own household, during 2020 in five European countries: Italy, Germany, France, Spain and the UK. Using data from an international survey from the "Youth Project", carried out by the Toniolo Institute of Advanced Studies, this paper implements generalized logistic models for ordinal dependent variables to investigate the factors associated with a possible revision of the choice of leaving the parental home for a representative sample of 6000 respondents aged 18 to 34, interviewed between March and April 2020. In particular, we compare the effect of the occupational con</w:t>
      </w:r>
    </w:p>
    <w:p>
      <w:pPr/>
      <w:r>
        <w:rPr>
          <w:b/>
        </w:rPr>
        <w:t>POSSIBLE 2021:</w:t>
      </w:r>
      <w:r>
        <w:t xml:space="preserve"> Identifying behavioral and attitudinal barriers and drivers to promote consumption of pulses: A quantitative survey across five European countries — https://doi.org/10.1016/j.foodqual.2021.104455</w:t>
      </w:r>
    </w:p>
    <w:p>
      <w:pPr/>
      <w:r>
        <w:rPr>
          <w:b/>
        </w:rPr>
        <w:t>Shared claim-specific concepts:</w:t>
      </w:r>
      <w:r>
        <w:t xml:space="preserve"> five, used, first; EU scope visible. This is a provisional connection, not an outcome finding.</w:t>
      </w:r>
    </w:p>
    <w:p>
      <w:pPr>
        <w:pStyle w:val="SourceNote"/>
      </w:pPr>
      <w:r>
        <w:rPr>
          <w:b/>
        </w:rPr>
        <w:t>Available abstract (not full text):</w:t>
      </w:r>
      <w:r>
        <w:t xml:space="preserve"> Even though pulses are nutritious and environmentally friendly high-protein crops, they are commonly regarded as old-fashioned. Consumption of pulses is low in developed countries, and it has received very limited attention in agricultural and behavioral research over the past years. Based on a pan-European survey, the present study aims to provide extensive insights into consumer perceptions towards pulses. The objective is to identify effective measures to increase consumer acceptance of pulses, and thus potentially increase their share in the daily diets across Europe. Quantitative data was collected in May 2020 through a web-based survey conducted in five different European countries, Germany, Denmark, Spain, Poland, and the United Kingdom (N = 4,916). Quota-based sampling was used to ensure comparability across samples and wide coverage in terms of age, gender, and locality of residence. Using cluster analysis with a subsequent logistic regression, cross-cultural differences were found in terms of relatively high consumption of pulses among Spanish respondents, somewhat lower for Polish, German and UK respondents, and even lower among Danish respondents. Drivers of consumption significantly differed across surveyed samples, mainly being health first, followed by sensory preferences. For respondents from Poland, Spain, and Germany the main reason for not consuming pulses re</w:t>
      </w:r>
    </w:p>
    <w:p>
      <w:pPr>
        <w:pStyle w:val="Heading2"/>
      </w:pPr>
      <w:r>
        <w:t>1003. Future scenarios for a depressed region of England: the role of education in creating alternative futures</w:t>
      </w:r>
    </w:p>
    <w:p>
      <w:pPr>
        <w:pStyle w:val="SourceNote"/>
      </w:pPr>
      <w:r>
        <w:rPr>
          <w:b/>
        </w:rPr>
        <w:t>Original source (2011):</w:t>
      </w:r>
      <w:r>
        <w:t xml:space="preserve"> https://doi.org/10.1108/14636681111179564</w:t>
      </w:r>
    </w:p>
    <w:p>
      <w:pPr/>
      <w:r>
        <w:t>Original wording (abstract; indexed_source_text_not_full_document_verified): Findings Four scenarios were developed as possible futures for the region to help inform policy making, in particular educational policy to encourage more young people to remain in education for longer and gain higher qualifications. Purpose This paper seeks to outline four scenarios developed for the future of the South West Midlands region of England.</w:t>
      </w:r>
    </w:p>
    <w:p>
      <w:pPr/>
      <w:r>
        <w:rPr>
          <w:b/>
        </w:rPr>
        <w:t>POSSIBLE 2026:</w:t>
      </w:r>
      <w:r>
        <w:t xml:space="preserve"> The Effect of Government Health Expenditure on Infant Mortality Rates in the SADC Region: A Case of Four Countries — https://doi.org/10.47772/ijriss.2025.91200312</w:t>
      </w:r>
    </w:p>
    <w:p>
      <w:pPr/>
      <w:r>
        <w:rPr>
          <w:b/>
        </w:rPr>
        <w:t>Shared claim-specific concepts:</w:t>
      </w:r>
      <w:r>
        <w:t xml:space="preserve"> findings, four, region, help, education, south; EU scope not established. This is a provisional connection, not an outcome finding.</w:t>
      </w:r>
    </w:p>
    <w:p>
      <w:pPr>
        <w:pStyle w:val="SourceNote"/>
      </w:pPr>
      <w:r>
        <w:rPr>
          <w:b/>
        </w:rPr>
        <w:t>Available abstract (not full text):</w:t>
      </w:r>
      <w:r>
        <w:t xml:space="preserve"> This study aimed to examine the effect of Government Health Expenditure (GHE) on Infant Mortality Rates (IMR) in the Southern African Development Community (SADC) region, focusing on four countries, namely: Botswana, Eswatini, Namibia, and South Africa. Rooted in the Grossman Theory of Health Demand and the Wagstaff Model, the research employed a quantitative, longitudinal research design using panel data from 2010 - 2022. Data was sourced from the World Bank’s development indicators and an Ordinary Least Squares (OLS) regression model was utilised to analyse this data using STATA statistical software. The findings of this study indicate that increased GHE significantly reduces IMR in the SADC region, with the results showing that a 1% increase in GHE (as % of GDP) reduces IMR by approximately 4.83 deaths per 1,000 live births. The mediating variables, namely: Maternal Education (ME) and Access to Clean Water (CW), have also shown a statistical significance in amplifying the effect of GHE on IMR in this region. Results indicate that a 1% increase in spending on each of the two mediating variables, ME and CW, resulted in reductions in IMR of 0.492 and 0.518 deaths per 1000 live births respectively. These finding support the hypotheses that GHE has a significant negative effect on IMR in the SADC region; and that both ME and CW have a significant negative effect on IMR and thus a</w:t>
      </w:r>
    </w:p>
    <w:p>
      <w:pPr/>
      <w:r>
        <w:rPr>
          <w:b/>
        </w:rPr>
        <w:t>POSSIBLE 2026:</w:t>
      </w:r>
      <w:r>
        <w:t xml:space="preserve"> Developing Wholesome Intention Through the Four Right Efforts (Sammappadhāna) — https://openalex.org/W7220616391</w:t>
      </w:r>
    </w:p>
    <w:p>
      <w:pPr/>
      <w:r>
        <w:rPr>
          <w:b/>
        </w:rPr>
        <w:t>Shared claim-specific concepts:</w:t>
      </w:r>
      <w:r>
        <w:t xml:space="preserve"> findings, four, particular; EU scope not established. This is a provisional connection, not an outcome finding.</w:t>
      </w:r>
    </w:p>
    <w:p>
      <w:pPr>
        <w:pStyle w:val="SourceNote"/>
      </w:pPr>
      <w:r>
        <w:rPr>
          <w:b/>
        </w:rPr>
        <w:t>Available abstract (not full text):</w:t>
      </w:r>
      <w:r>
        <w:t xml:space="preserve"> This mixed-methods action research study examined the development of wholesome intention among student volunteers at the International Buddhist Studies College (IBSC), with particular attention to volunteer fatigue, expectation-related distress, and intention–behavior consistency. The study had three objectives: (1) to identify current challenges affecting wholesome intention among IBSC student volunteers; (2) to develop a structured cultivation process based on the Four Right Efforts (Sammappadhāna); and (3) to evaluate preliminary changes following the intervention. The research proceeded in three phases. First, semi-structured interviews were conducted with 15 expert informants from Buddhist studies, psychology/mindfulness, volunteer management, and field practice. Second, the qualitative findings informed development of a 12-session iDANA training program integrating the Four Right Efforts with selected cognitive-behavioral tools, including the STOP technique and a 4C Response process. Third, 15 IBSC student volunteers completed a single-group pre-test/post-test evaluation using the 12-item Questionnaire-XJ. Qualitative findings highlighted tension between wholesome aspiration (chanda) and rigid, outcome-dependent expectation (taṇhā) as a recurring challenge in volunteer service. Quantitative results showed significant pre–post improvement on several questionnaire items, in</w:t>
      </w:r>
    </w:p>
    <w:p>
      <w:pPr/>
      <w:r>
        <w:rPr>
          <w:b/>
        </w:rPr>
        <w:t>POSSIBLE 2026:</w:t>
      </w:r>
      <w:r>
        <w:t xml:space="preserve"> Developing a Four-Tier Concept Test on the Topic of Matter for Middle School Students — https://doi.org/10.55549/jeseh.885</w:t>
      </w:r>
    </w:p>
    <w:p>
      <w:pPr/>
      <w:r>
        <w:rPr>
          <w:b/>
        </w:rPr>
        <w:t>Shared claim-specific concepts:</w:t>
      </w:r>
      <w:r>
        <w:t xml:space="preserve"> findings, four, developed; EU scope not established. This is a provisional connection, not an outcome finding.</w:t>
      </w:r>
    </w:p>
    <w:p>
      <w:pPr>
        <w:pStyle w:val="SourceNote"/>
      </w:pPr>
      <w:r>
        <w:rPr>
          <w:b/>
        </w:rPr>
        <w:t>Available abstract (not full text):</w:t>
      </w:r>
      <w:r>
        <w:t xml:space="preserve"> In this study, a four-tier concept test was developed to determine the conceptual understanding and misconceptions of 8th-grade middle school students regarding the topic of matter. The Matter Concept Test (MCT) was prepared with 16 items, each consisting of four steps, and applied to 175 eighth-grade students studying in Eskişehir. SPSS, Excel, and Factor statistical programs were used to analyze the data. According to the results of the exploratory factor analysis, the test's KMO value was found to be .652, exhibiting a four-factor structure with eigenvalues above one and explaining 42.4% of the total variance. All factor loadings were above .30, supporting the construct validity of the items. In the reliability analysis, the KR-20 coefficient for the scientific knowledge score was 0.816, and the KR-20 coefficient for the misconception score was 0.743. Both values being above .70 indicate that the test is reliable. Furthermore, the false positive average was calculated to be 5.2%, and the false negative average was calculated to be 3.7%. Both ratios being below the 10% threshold specified in the literature support the validity of the test. When the item difficulty and discrimination indices were examined, it was seen that the test consisted of items of medium difficulty and high discrimination. The findings showed that students had clear misconceptions about pure matters, ato</w:t>
      </w:r>
    </w:p>
    <w:p>
      <w:pPr/>
      <w:r>
        <w:rPr>
          <w:b/>
        </w:rPr>
        <w:t>POSSIBLE 2025:</w:t>
      </w:r>
      <w:r>
        <w:t xml:space="preserve"> The biophysical economic structure of four developed countries: Lessons for decarbonization — https://doi.org/10.1111/jiec.70062</w:t>
      </w:r>
    </w:p>
    <w:p>
      <w:pPr/>
      <w:r>
        <w:rPr>
          <w:b/>
        </w:rPr>
        <w:t>Shared claim-specific concepts:</w:t>
      </w:r>
      <w:r>
        <w:t xml:space="preserve"> findings, four, developed, particular; EU scope visible. This is a provisional connection, not an outcome finding.</w:t>
      </w:r>
    </w:p>
    <w:p>
      <w:pPr>
        <w:pStyle w:val="SourceNote"/>
      </w:pPr>
      <w:r>
        <w:rPr>
          <w:b/>
        </w:rPr>
        <w:t>Available abstract (not full text):</w:t>
      </w:r>
      <w:r>
        <w:t xml:space="preserve"> Abstract This study provides a comparative analysis of the biophysical economic structures of four developed economies—Sweden, the United States, the United Kingdom, and Canada. We draw upon results from input–output models to map and analyze capital, energy, and carbon relationships in each economy. The capital stock of each country is divided into four sectors: (i) energy production and distribution, (ii) production of goods and services for consumption, (iii) residential, and (iv) construction and manufacture of capital. The findings reveal diverse strengths and challenges in decarbonization efforts across the countries. Sweden excels in “energy production and distribution” and “residential” sectors, owing to its commitment to renewable energy and energy efficiency, but requires attention in goods and services production where carbon intensity is high. The United Kingdom stands out for its high greenhouse gas intensity in residential capital stock and in the consumption of goods and services, underscoring the need for targeted low‐carbon investments. The United States and Canada display high GHG intensities across all sectors, necessitating a more robust transition toward renewable and low‐carbon energy solutions. In particular, the United States’ carbon intensity in its energy sector and Canada's industry dominated by fossil fuel extraction offer specific areas for interven</w:t>
      </w:r>
    </w:p>
    <w:p>
      <w:pPr/>
      <w:r>
        <w:rPr>
          <w:b/>
        </w:rPr>
        <w:t>POSSIBLE 2025:</w:t>
      </w:r>
      <w:r>
        <w:t xml:space="preserve"> Spatial and Temporal Patterns of Mangrove Forest Change in the Mekong Region over Four Decades Based on a Remote Sensing Data-Driven Approach — https://doi.org/10.3390/rs17223728</w:t>
      </w:r>
    </w:p>
    <w:p>
      <w:pPr/>
      <w:r>
        <w:rPr>
          <w:b/>
        </w:rPr>
        <w:t>Shared claim-specific concepts:</w:t>
      </w:r>
      <w:r>
        <w:t xml:space="preserve"> findings, four, region, help; EU scope not established. This is a provisional connection, not an outcome finding.</w:t>
      </w:r>
    </w:p>
    <w:p>
      <w:pPr>
        <w:pStyle w:val="SourceNote"/>
      </w:pPr>
      <w:r>
        <w:rPr>
          <w:b/>
        </w:rPr>
        <w:t>Available abstract (not full text):</w:t>
      </w:r>
      <w:r>
        <w:t xml:space="preserve"> Mangrove forests are critical coastal ecosystems that store carbon, support marine life, and serve as natural barriers, protecting shorelines from erosion and reducing the impact of storms by absorbing wave energy. However, the rise of human activities and sea levels has led to their destruction over the past decades. It is important to know how the areas of mangrove forests change and adapt every year to plan for their restoration and protection and to support future trends like using carbon credits to help developing countries generate income. This study aims to map and monitor mangrove forest area changes over four decades in the Mekong region, comprising Myanmar, Thailand, Cambodia, and Vietnam, from 1984 to 2023 using a time series of Landsat data together with random forest (RF) classification. This analysis implemented multiple approaches, including creating stabilized Landsat imagery composites from the LandTrendr algorithm, Otsu edge detection, Minimum Mapping Unit (MMU), and RF classifier. The study found the map accuracy based on the RF model classifier achieved an overall accuracy between 86.2% and 88.8%, providing reliable data for analysis. Country-level analysis revealed increasing mangrove forest cover in Thailand (12.9%) and Vietnam (28.4%) since 1984. Conversely, mangrove areas in Cambodia and Myanmar have decreased significantly from 1984 to 2023 by about 14.</w:t>
      </w:r>
    </w:p>
    <w:p>
      <w:pPr/>
      <w:r>
        <w:rPr>
          <w:b/>
        </w:rPr>
        <w:t>POSSIBLE 2025:</w:t>
      </w:r>
      <w:r>
        <w:t xml:space="preserve"> Four Decades of Papuan Diaspora Campaigning for Papuan Independence in the Pacific Region — https://doi.org/10.31957/pjdir.v5i1.4313</w:t>
      </w:r>
    </w:p>
    <w:p>
      <w:pPr/>
      <w:r>
        <w:rPr>
          <w:b/>
        </w:rPr>
        <w:t>Shared claim-specific concepts:</w:t>
      </w:r>
      <w:r>
        <w:t xml:space="preserve"> findings, four, region; EU scope not established. This is a provisional connection, not an outcome finding.</w:t>
      </w:r>
    </w:p>
    <w:p>
      <w:pPr>
        <w:pStyle w:val="SourceNote"/>
      </w:pPr>
      <w:r>
        <w:rPr>
          <w:b/>
        </w:rPr>
        <w:t>Available abstract (not full text):</w:t>
      </w:r>
      <w:r>
        <w:t xml:space="preserve"> This study examines four decades of Papuan diaspora efforts to campaign for Papuan independence in the Pacific region. It analyzes campaigns beginning in the 1980s with figures such as John Otto Ondawame and Andy Ayamiseba, later continued by leaders like Benny Wenda. Through a historical approach, the research investigates how these pro-independence campaigns spotlight the controversial cession of Papua to Indonesia in 1969, subsequent political violence, human rights violations, and the role of Melanesian solidarity. The study argues that the Papuan diaspora has been instrumental in internationalizing the Papuan issue and rallying support from a wide range of actors, including state officials, traditional leaders, and civil society groups. Findings reveal that, despite inconsistent backing from state actors, the sustained diaspora campaign has significantly raised regional and global awareness of Papuan independence. This research fills a gap in literature by highlighting the impact of diaspora activism on the Papuan independence process. KEYWORDS Melanesian Solidarity; Papuan Diaspora; Papuan Issue; Pacific Region</w:t>
      </w:r>
    </w:p>
    <w:p>
      <w:pPr/>
      <w:r>
        <w:rPr>
          <w:b/>
        </w:rPr>
        <w:t>POSSIBLE 2024:</w:t>
      </w:r>
      <w:r>
        <w:t xml:space="preserve"> Relationship between Seminars and Employee Performance in Level Four Hospitals in South-Rift Region, Kenya — https://doi.org/10.47772/ijriss.2024.8100084</w:t>
      </w:r>
    </w:p>
    <w:p>
      <w:pPr/>
      <w:r>
        <w:rPr>
          <w:b/>
        </w:rPr>
        <w:t>Shared claim-specific concepts:</w:t>
      </w:r>
      <w:r>
        <w:t xml:space="preserve"> findings, four, developed, region, help; EU scope not established. This is a provisional connection, not an outcome finding.</w:t>
      </w:r>
    </w:p>
    <w:p>
      <w:pPr>
        <w:pStyle w:val="SourceNote"/>
      </w:pPr>
      <w:r>
        <w:rPr>
          <w:b/>
        </w:rPr>
        <w:t>Available abstract (not full text):</w:t>
      </w:r>
      <w:r>
        <w:t xml:space="preserve"> Health sector is an area of priority for efficient delivery of services. Health policies have been developed and adopted to enhance accessible and quality health care. Poor service delivery has been attributed to employee performance. Unmatched skills set to job requirements are assumed to have a significant impact on the performance of employees. The effectiveness of employee training and development programs such as seminars can bridge the gap between job requirements an employee’s ability to perform. However, it is not yet clear to what extent seminar activities influence employee performance. Therefore, the study sought to assess the relationship between seminars and employee performance in Level Four Hospitals operating within the South-Rift Region in Kenya. Specifically, it established the relationship between structured seminars, work environment-based seminars and performance feedback-based seminars and employee performance in Level Four Hospitals in South-Rift Region in Kenya. Human capital theory, knowledge-based theory of the firm and social learning theory was used. Correlational and survey research designs were employed with a target population of 663 and a sample of 249.Stratified simple random sampling was used to pick the respondents. Data was collected using structured questionnaire and reliability Cronbach alpha coefficient of 0.7625 obtained. Descriptive stat</w:t>
      </w:r>
    </w:p>
    <w:p>
      <w:pPr/>
      <w:r>
        <w:rPr>
          <w:b/>
        </w:rPr>
        <w:t>POSSIBLE 2024:</w:t>
      </w:r>
      <w:r>
        <w:t xml:space="preserve"> A Comparison Study of Risk-based Auditing in Four Developed Countries — https://doi.org/10.58458/ipnj.v.14.01.02.0100</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2024:</w:t>
      </w:r>
      <w:r>
        <w:t xml:space="preserve"> A Comparison Study of Risk-based Auditing in Four Developed Countries — https://doi.org/10.58458/ipnj.v.14.01.03.0101</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2024:</w:t>
      </w:r>
      <w:r>
        <w:t xml:space="preserve"> A Comparison Study of Risk-based Auditing in Four Developed Countries — https://doi.org/10.58458/ipnj.v.14.03.0101</w:t>
      </w:r>
    </w:p>
    <w:p>
      <w:pPr/>
      <w:r>
        <w:rPr>
          <w:b/>
        </w:rPr>
        <w:t>Shared claim-specific concepts:</w:t>
      </w:r>
      <w:r>
        <w:t xml:space="preserve"> findings, four, developed, purpose; EU scope visible. This is a provisional connection, not an outcome finding.</w:t>
      </w:r>
    </w:p>
    <w:p>
      <w:pPr>
        <w:pStyle w:val="SourceNote"/>
      </w:pPr>
      <w:r>
        <w:rPr>
          <w:b/>
        </w:rPr>
        <w:t>Available abstract (not full text):</w:t>
      </w:r>
      <w:r>
        <w:t xml:space="preserve"> Purpose: This study aimed to identify and compare the best practices of a risk-based audit (RBA) approach used in four developed countries. Design/ Methodology/ Approach: A thorough library search and examination of the literature on the RBA approach was conducted. Denmark, Australia, Canada, and the United Kingdom were selected based on their excellent positions in the Corruption Perception Index 2022 ranking. Findings: The four countries adopted the Institute of Internal Audit standards in conducting their RBA. All four countries, except Denmark, used the ISO 31000:2018 as a guidance framework. Furthermore, the four countries used comparable risk determination, assessment, and control techniques. Additionally, the RBA risk governance structure of the four countries is based on the Three Lines of Defence concept. Research Limitations/ Implications: Most of the data were from secondary sources. Only four countries were compared and were selected using only one index. Additionally, the study focused on internal auditing practices as a public governance tool. Practical Implications: The results presented the opportunity for government internal auditors to reconsider and enhance auditing procedures to increase public sector delivery system efficacy. Originality/ Value: This article covers the RBA used by internal auditors in four developed countries. The results could catalyse inv</w:t>
      </w:r>
    </w:p>
    <w:p>
      <w:pPr/>
      <w:r>
        <w:rPr>
          <w:b/>
        </w:rPr>
        <w:t>POSSIBLE 2023:</w:t>
      </w:r>
      <w:r>
        <w:t xml:space="preserve"> How to develop four competencies for teacher educators — https://doi.org/10.3389/feduc.2023.1147143</w:t>
      </w:r>
    </w:p>
    <w:p>
      <w:pPr/>
      <w:r>
        <w:rPr>
          <w:b/>
        </w:rPr>
        <w:t>Shared claim-specific concepts:</w:t>
      </w:r>
      <w:r>
        <w:t xml:space="preserve"> findings, four, education; EU scope not established. This is a provisional connection, not an outcome finding.</w:t>
      </w:r>
    </w:p>
    <w:p>
      <w:pPr>
        <w:pStyle w:val="SourceNote"/>
      </w:pPr>
      <w:r>
        <w:rPr>
          <w:b/>
        </w:rPr>
        <w:t>Available abstract (not full text):</w:t>
      </w:r>
      <w:r>
        <w:t xml:space="preserve"> Understanding competencies and the process of acquiring them contributes to a shared set of essential abilities for teacher educators’ professional development. Practical experiences of practitioners expose which competencies the work context requires them to possess and situations in which their learning is conducted. The necessity for essential contextual competency is pressing, particularly for teacher educators working in developing countries where teacher education has undergone reforms to respond to national and international demands. This study explores competencies for teacher educators in Vietnam through in-depth interviews with experienced practitioners and their visual metaphors. Eight participants with working experience ranging from 6 to 26 years were interviewed for 60–180 min during January–April 2021. The results reveal four competency areas of (1) knowledge and skills consisting of (a) teaching skill, (b) subject content, (c) scientific and subject-related information, (d) the reality of education and multidisciplinary knowledge, (e) research procedural knowledge, (f) collaboration with others, and (g) English language; (2) ethical manner; (3) motivation; and (4) self-reflection about personal values. Professional development includes learning from and working with others, learning in organized courses, conducting independent and collaborative research, and oth</w:t>
      </w:r>
    </w:p>
    <w:p>
      <w:pPr/>
      <w:r>
        <w:rPr>
          <w:b/>
        </w:rPr>
        <w:t>POSSIBLE 2023:</w:t>
      </w:r>
      <w:r>
        <w:t xml:space="preserve"> Characterization of four commercial waxy wheats developed in China — https://doi.org/10.1002/cche.10687</w:t>
      </w:r>
    </w:p>
    <w:p>
      <w:pPr/>
      <w:r>
        <w:rPr>
          <w:b/>
        </w:rPr>
        <w:t>Shared claim-specific concepts:</w:t>
      </w:r>
      <w:r>
        <w:t xml:space="preserve"> findings, four, developed, higher; EU scope not established. This is a provisional connection, not an outcome finding.</w:t>
      </w:r>
    </w:p>
    <w:p>
      <w:pPr>
        <w:pStyle w:val="SourceNote"/>
      </w:pPr>
      <w:r>
        <w:rPr>
          <w:b/>
        </w:rPr>
        <w:t>Available abstract (not full text):</w:t>
      </w:r>
      <w:r>
        <w:t xml:space="preserve"> Abstract Background and Objectives As the interest in use of waxy wheat in food applications continues to grow, it is important to fully understand characteristics of waxy wheats. To the best of our knowledge, there was no previous study reporting a complete characterization of commercial waxy wheats developed in China, especially properties of wheat kernels, dough, wet milling, gluten, and starch. To promote the industrial utilization of waxy wheat, four Chinese commercial waxy wheats were collected and characterized. Findings Four commercial waxy wheats commercialized in China were sound medium hard wheats. Care must be taken during harvesting and storage of waxy wheats since the waxy wheat flours were very sensitive to the endogenous α‐amylase even at a very low level of enzyme activity. Rapid viscosity analyzer had a good potential for evaluating the sprout damage of waxy wheat. Dough rheological properties and gluten index showed that the four waxy wheats had weak gluten quality, agreeing with wet‐milling performance. The waxy wheat starches had higher onset, peak, and conclusion gelatinization temperatures than normal wheat starch. While the waxy wheat starches showed lower pasting temperature and higher peak viscosity than normal wheat starch. Conclusions Results suggested that the four commercial waxy wheats varied in kernel characteristics, protein and starch contents,</w:t>
      </w:r>
    </w:p>
    <w:p>
      <w:pPr>
        <w:pStyle w:val="Heading2"/>
      </w:pPr>
      <w:r>
        <w:t>1004. Health impact assessment of waste management facilities in three European countries</w:t>
      </w:r>
    </w:p>
    <w:p>
      <w:pPr>
        <w:pStyle w:val="SourceNote"/>
      </w:pPr>
      <w:r>
        <w:rPr>
          <w:b/>
        </w:rPr>
        <w:t>Original source (2011):</w:t>
      </w:r>
      <w:r>
        <w:t xml:space="preserve"> https://doi.org/10.1186/1476-069x-10-53</w:t>
      </w:r>
    </w:p>
    <w:p>
      <w:pPr/>
      <w:r>
        <w:t>Original wording (abstract; indexed_source_text_not_full_document_verified): Assuming that the incinerators continue to operate until 2020, we are moderately confident that the annual number of cancer cases due to exposure in 2001-2020 will reach 11, 0, and 7 in 2020 and then decline to 0 in the three countries in 2050. We are moderately confident that by 2050, the attributable impact on the 2001 cohort of residents will be 3,621 (Italy), 37 (Slovakia) and 3,966 (England) YoLL.</w:t>
      </w:r>
    </w:p>
    <w:p>
      <w:pPr/>
      <w:r>
        <w:rPr>
          <w:b/>
        </w:rPr>
        <w:t>POSSIBLE 2025:</w:t>
      </w:r>
      <w:r>
        <w:t xml:space="preserve"> Compositional Analysis and Numerical Simulation of Slagging Process on a Water-Cooled Wall of an MSW Incinerator — https://doi.org/10.3390/waste3010005</w:t>
      </w:r>
    </w:p>
    <w:p>
      <w:pPr/>
      <w:r>
        <w:rPr>
          <w:b/>
        </w:rPr>
        <w:t>Shared claim-specific concepts:</w:t>
      </w:r>
      <w:r>
        <w:t xml:space="preserve"> incinerators, number, three; EU scope not established. This is a provisional connection, not an outcome finding.</w:t>
      </w:r>
    </w:p>
    <w:p>
      <w:pPr>
        <w:pStyle w:val="SourceNote"/>
      </w:pPr>
      <w:r>
        <w:rPr>
          <w:b/>
        </w:rPr>
        <w:t>Available abstract (not full text):</w:t>
      </w:r>
      <w:r>
        <w:t xml:space="preserve"> The mechanism of slagging in municipal solid waste incinerators is complex, and the slagging process is simultaneously affected by the composition, temperature, and flue gas flow. In this study, slag samples on a water-cooled wall were first analysed, and the key components and fusion temperatures were measured. Second, a gas-phase combustion model of an incinerator was established, and the temperature and velocity distributions of the flue gas inside the incinerator were calculated. Based on the incineration process, coupled with a discrete-phase model, a numerical simulation model of the slagging process on the water-cooled wall of the incinerator was constructed, considering the transport and adhesion processes of ash particles. The influence of parameters such as the ash particle size and concentration on the degree of slagging on the water-cooled wall was analysed. Smaller ash particles were less likely to adhere to water-cooled walls, with approximately 2.72% of ash particles with a particle size of 10 mm adhering to water-cooled walls. The proportion of ash particles with a particle size of 50 mm adhering to water-cooled walls was approximately three times that of those with a particle size of 10 mm. As the concentration of ash particles increased, the number of ash particles adhering to the water-cooled wall increased, and the adhesion ratio decreased. These results are</w:t>
      </w:r>
    </w:p>
    <w:p>
      <w:pPr/>
      <w:r>
        <w:rPr>
          <w:b/>
        </w:rPr>
        <w:t>POSSIBLE 2023:</w:t>
      </w:r>
      <w:r>
        <w:t xml:space="preserve"> The End of Life of PV Systems: Is Europe Ready for It? — https://doi.org/10.3390/su152316466</w:t>
      </w:r>
    </w:p>
    <w:p>
      <w:pPr/>
      <w:r>
        <w:rPr>
          <w:b/>
        </w:rPr>
        <w:t>Shared claim-specific concepts:</w:t>
      </w:r>
      <w:r>
        <w:t xml:space="preserve"> number, reach, countries; EU scope visible. This is a provisional connection, not an outcome finding.</w:t>
      </w:r>
    </w:p>
    <w:p>
      <w:pPr>
        <w:pStyle w:val="SourceNote"/>
      </w:pPr>
      <w:r>
        <w:rPr>
          <w:b/>
        </w:rPr>
        <w:t>Available abstract (not full text):</w:t>
      </w:r>
      <w:r>
        <w:t xml:space="preserve"> Abstract: Like other plants, every PV power plant will one day reach the end of its service life. Calculations show that 20,400 tons of PV waste will be generated worldwide by 2030 and 60.2 million tons by 2050, not including the mass of the support structure. Such large amounts of waste pose a potential threat to the environment and people if not properly managed. The paper analysed the options for dealing with PV waste, namely reuse, recycling and landfilling. For recycling as the best option in terms of environmental protection and circular economy, an overview of recycling technologies and the percentage of achievable recycling for the materials contained in each PV system component is given. In addition, the current situation of legislation and recycling of PV modules in Europe was examined with special reference to the Balkan countries. There are a small number of factories for recycling PV modules in Europe, but none in the Balkan countries. The main reason for this is the small amount of PV waste in these countries and consequently the economic unprofitability. For this reason, PV modules (after dismantling the aluminum frame and cables) are mostly disposed of as non-hazardous waste in landfills in these countries. Finally, the main barriers to faster implementation of PV module reuse and recycling are listed, along with guidelines for their removal. The cost of recycli</w:t>
      </w:r>
    </w:p>
    <w:p>
      <w:pPr/>
      <w:r>
        <w:rPr>
          <w:b/>
        </w:rPr>
        <w:t>POSSIBLE 2023:</w:t>
      </w:r>
      <w:r>
        <w:t xml:space="preserve"> Heavy metal concentrations in the soil near illegal landfills in the vicinity of agricultural areas—artificial neural network approach — https://doi.org/10.1007/s11368-023-03637-1</w:t>
      </w:r>
    </w:p>
    <w:p>
      <w:pPr/>
      <w:r>
        <w:rPr>
          <w:b/>
        </w:rPr>
        <w:t>Shared claim-specific concepts:</w:t>
      </w:r>
      <w:r>
        <w:t xml:space="preserve"> moderately, number, residents; EU scope not established. This is a provisional connection, not an outcome finding.</w:t>
      </w:r>
    </w:p>
    <w:p>
      <w:pPr>
        <w:pStyle w:val="SourceNote"/>
      </w:pPr>
      <w:r>
        <w:rPr>
          <w:b/>
        </w:rPr>
        <w:t>Available abstract (not full text):</w:t>
      </w:r>
      <w:r>
        <w:t xml:space="preserve"> Abstract Purpose To anticipate the impact of illegal landfills, development of new models should become a part of environmental risk management strategies. One of such approaches includes applications of the artificial neural network (ANN). The main objective of this study was to elucidate the impact of illegal landfilling on the surrounding soil environment and human health, as well as to establish an artificial neural network (ANN) models for predicting the hazards of illegal landfilling as an effective tool in decision-making and environmental risk management. Methods The identification of heavy metals source in soil was performed by principal component analysis (PCA). To assess the sensitivity of the soil ecosystem to heavy metal concentrations, Soil Quality standards and quantitative indices were used. The possible health effects were valued using the average daily doses (ADDs), hazard quotient (HQ), hazard index (HI), and carcinogenic risk (CR). ANN modeling was used for the prediction of heavy metal concentrations in the soil based on landfill size, municipality size, the number of residents, plant species, soil, and landform types. Results The average values of the pollution indexes for Cd were in the moderately contaminated and very high contamination categories. The $$HQ$$ HQ values were lower than the safe level. Cr and Pb posed a significant $$CR$$ CR for adults and</w:t>
      </w:r>
    </w:p>
    <w:p>
      <w:pPr/>
      <w:r>
        <w:rPr>
          <w:b/>
        </w:rPr>
        <w:t>POSSIBLE 2023:</w:t>
      </w:r>
      <w:r>
        <w:t xml:space="preserve"> Waste-to-energy and waste-to-hydrogen with CCS: Methodological assessment of pathways to carbon-negative waste treatment from an LCA perspective — https://doi.org/10.1016/j.wasman.2023.11.020</w:t>
      </w:r>
    </w:p>
    <w:p>
      <w:pPr/>
      <w:r>
        <w:rPr>
          <w:b/>
        </w:rPr>
        <w:t>Shared claim-specific concepts:</w:t>
      </w:r>
      <w:r>
        <w:t xml:space="preserve"> cases, then, countries; EU scope not established. This is a provisional connection, not an outcome finding.</w:t>
      </w:r>
    </w:p>
    <w:p>
      <w:pPr>
        <w:pStyle w:val="SourceNote"/>
      </w:pPr>
      <w:r>
        <w:rPr>
          <w:b/>
        </w:rPr>
        <w:t>Available abstract (not full text):</w:t>
      </w:r>
      <w:r>
        <w:t xml:space="preserve"> A growing global population and rising living standards are producing ever greater quantities of waste, while at the same time driving ever-larger demand for energy, especially electricity, or new emerging markets, such as hydrogen in more industrialised countries. A key solution to these challenges of waste disposal, rising energy and hydrogen demand is BECCS (Bioenergy with Carbon Capture and Storage); the generation of bioenergy – in the form of electricity (WtE) or hydrogen (WtH2), as well as heat – from the thermochemical processing of waste. The addition of carbon capture and storage (CCS) to WtE or WtH2 has the potential to make waste a zero or even negative emissions energy source, thus contributing to the removal of greenhouse gases from the atmosphere. This work undertakes a pre-screening of different BECCS configurations based on state of the art technologies and then performed an assessment of representative cases in UK for WtE and WtH2, necessary to understand if novel waste thermal treatment processes may become potential alternatives or improvements to current WtE plants when retrofitted with CCS. A systematic and comprehensive examination of different key Life Cycle Assessment methodological aspects reveals the importance of the functional unit and allocation approach in determining the preferred pathway in a specific context.</w:t>
      </w:r>
    </w:p>
    <w:p>
      <w:pPr/>
      <w:r>
        <w:rPr>
          <w:b/>
        </w:rPr>
        <w:t>POSSIBLE 2022:</w:t>
      </w:r>
      <w:r>
        <w:t xml:space="preserve"> Location choice for large‐scale battery manufacturing plants: Exploring the role of clean energy, costs, and knowledge on location decisions in Europe — https://doi.org/10.1111/jiec.13292</w:t>
      </w:r>
    </w:p>
    <w:p>
      <w:pPr/>
      <w:r>
        <w:rPr>
          <w:b/>
        </w:rPr>
        <w:t>Shared claim-specific concepts:</w:t>
      </w:r>
      <w:r>
        <w:t xml:space="preserve"> three, countries; EU scope visible. This is a provisional connection, not an outcome finding.</w:t>
      </w:r>
    </w:p>
    <w:p>
      <w:pPr>
        <w:pStyle w:val="SourceNote"/>
      </w:pPr>
      <w:r>
        <w:rPr>
          <w:b/>
        </w:rPr>
        <w:t>Available abstract (not full text):</w:t>
      </w:r>
      <w:r>
        <w:t xml:space="preserve"> Abstract Driven by an increase in the demand for battery electric vehicles, the location of large‐scale battery manufacturing plants, that is, gigafactories, has become a substantial and burgeoning topic in academia, policy, and industry. This study contributes to this debate by examining how a country's specific battery manufacturing costs and knowledge and the environmental impact of its energy mix affect the choice of location for gigafactories in the European Union. We found that France, Latvia, and Germany are suitable locations when equally balancing costs, knowledge, and energy. However, our results also showed that no country leads in all three dimensions, suggesting that there is no single best location to set up gigafactories. Instead, the choice will depend on the battery manufacturer's requirements. Here, we contribute an analysis of various combinations of costs, knowledge, and energy to identify suitable locations. Moreover, we provide a sensitivity analysis to test the robustness of our framework and to explore whether countries with a clean energy mix, such as Sweden, become suitable locations. The findings of our study will assist battery producers in identifying a suitable location for their gigafactories and will provide the basis for policymakers to attract battery manufacturing by directing investments into clean energy.</w:t>
      </w:r>
    </w:p>
    <w:p>
      <w:pPr/>
      <w:r>
        <w:rPr>
          <w:b/>
        </w:rPr>
        <w:t>POSSIBLE 2022:</w:t>
      </w:r>
      <w:r>
        <w:t xml:space="preserve"> Polychlorinated dibenzo-p-dioxins (PCDDs) and dibenzofurans (PCDFs) soil contamination in Lausanne, Switzerland: Combining pollution mapping and human exposure assessment for targeted risk management — https://doi.org/10.1016/j.envpol.2022.120441</w:t>
      </w:r>
    </w:p>
    <w:p>
      <w:pPr/>
      <w:r>
        <w:rPr>
          <w:b/>
        </w:rPr>
        <w:t>Shared claim-specific concepts:</w:t>
      </w:r>
      <w:r>
        <w:t xml:space="preserve"> moderately, exposure, three; EU scope not established. This is a provisional connection, not an outcome finding.</w:t>
      </w:r>
    </w:p>
    <w:p>
      <w:pPr>
        <w:pStyle w:val="SourceNote"/>
      </w:pPr>
      <w:r>
        <w:rPr>
          <w:b/>
        </w:rPr>
        <w:t>Available abstract (not full text):</w:t>
      </w:r>
      <w:r>
        <w:t xml:space="preserve"> /kg dry weight. The most likely source was a former municipal waste incinerator. A three-step, multidisciplinary approach to human health risk assessment was conducted to determine the potential population exposure to PCDD/Fs and identify appropriate preventive measures. First, exposure scenarios were developed based on contaminated land uses. Second, the toxicological risks of different scenarios were evaluated using a toxicokinetic model estimating increases in blood serum PCDD/F concentrations over background concentrations from the general population's food consumption. Third, a detailed geostatistical mapping of PCDD/F soil contamination was performed. Stochastic simulations with an external drift and an anisotropic model of the variogram were generated to incorporate the effects of distance from emission source, topography, and main wind directions on the spatial distribution of PCDD/Fs in topsoil. Three main scenarios were assessed: i) direct ingestion of soil by children in playgrounds; ii) consumption of vegetables from private gardens by children and adults; and iii) consumption of food from livestock and poultry raised on contaminated soil. The worst exposure scenario involved the consumption of eggs from private hen houses, resulting in PCDD/F concentrations in serum an order of magnitude higher than might normally be expected. No relevant increases in serum concent</w:t>
      </w:r>
    </w:p>
    <w:p>
      <w:pPr/>
      <w:r>
        <w:rPr>
          <w:b/>
        </w:rPr>
        <w:t>POSSIBLE 2020:</w:t>
      </w:r>
      <w:r>
        <w:t xml:space="preserve"> Hazardous air pollutants from the waste incineration industry : formation mechanisms, distribution characteristics, and potential environmental risks — https://openalex.org/W3109825684</w:t>
      </w:r>
    </w:p>
    <w:p>
      <w:pPr/>
      <w:r>
        <w:rPr>
          <w:b/>
        </w:rPr>
        <w:t>Shared claim-specific concepts:</w:t>
      </w:r>
      <w:r>
        <w:t xml:space="preserve"> incinerators, cancer, due, three; EU scope not established. This is a provisional connection, not an outcome finding.</w:t>
      </w:r>
    </w:p>
    <w:p>
      <w:pPr>
        <w:pStyle w:val="SourceNote"/>
      </w:pPr>
      <w:r>
        <w:rPr>
          <w:b/>
        </w:rPr>
        <w:t>Available abstract (not full text):</w:t>
      </w:r>
      <w:r>
        <w:t xml:space="preserve"> In this study, the formation mechanisms, distribution characteristics, and potential environmental risks of hazardous air pollutants from industrial-scale waste incineration processes were investigated. First, to clarify the dominant formation mechanism of polychlorinated dibenzo- p-dioxins and dibenzofurans (PCDD/Fs) in a hazardous waste (HW) incinerator, three tests were designed by adding different precursors in phenol-containing raw materials. With the addition of p-dichlorobenzene, PCDD/F levels at the quenching tower outlet were ten times higher than levels observed at the inlet. This indicates that the quenching tower failed to suppress the formation of PCDD/Fs and surface-mediated precursor reaction is the dominant formation mechanism in low-temperature stages. Besides, adsoprtive memory effect in air pollution control devices (APCDs) also led to high PCDD/F emissions. These findings suggest that to control PCDD/F emissions, strict regulation of chlorine contents in feed materials and frequent cleaning of APCDs are necessary. Meanwhile, single particles and solid residues were collected from the same HW incinerator. Morphologies and elemental compositions of particles in flue gas and indoor air were characterized by transmission electron microscopy-energy dispersive X-ray spectrometry (TEM-EDS). Eight types of single particles were classified, as organic, soot, K-rich, </w:t>
      </w:r>
    </w:p>
    <w:p>
      <w:pPr/>
      <w:r>
        <w:rPr>
          <w:b/>
        </w:rPr>
        <w:t>POSSIBLE 2020:</w:t>
      </w:r>
      <w:r>
        <w:t xml:space="preserve"> Lead contamination in raptors in Europe: A systematic review and meta-analysis — https://doi.org/10.1016/j.scitotenv.2020.141437</w:t>
      </w:r>
    </w:p>
    <w:p>
      <w:pPr/>
      <w:r>
        <w:rPr>
          <w:b/>
        </w:rPr>
        <w:t>Shared claim-specific concepts:</w:t>
      </w:r>
      <w:r>
        <w:t xml:space="preserve"> number, exposure, countries; EU scope visible. This is a provisional connection, not an outcome finding.</w:t>
      </w:r>
    </w:p>
    <w:p>
      <w:pPr>
        <w:pStyle w:val="SourceNote"/>
      </w:pPr>
      <w:r>
        <w:rPr>
          <w:b/>
        </w:rPr>
        <w:t>Available abstract (not full text):</w:t>
      </w:r>
      <w:r>
        <w:t xml:space="preserve"> Lead contamination is a widely recognised conservation problem for raptors worldwide. There are a number of studies in individual raptor species but those data have not been systematically evaluated to understand raptor-wide lead exposure and effects at a pan-European scale. To critically assess the extent of this problem, we performed a systematic review compiling all published data on lead in raptors (1983-2019) and, through a meta-analysis, determined if there was evidence for differences in exposure across feeding traits, geographical regions, between hunting and non-hunting periods, and changes over time. We also reviewed the impact of lead on raptors and the likely main source of exposure. We examined 114 studies that were unevenly distributed in terms of time of publication and the countries in which studies were performed. Peer-reviewed articles reported data for 39 raptor species but very few species were widely monitored across Europe. Obligate (vultures) and facultative scavengers (golden eagle, common buzzard and white-tailed sea eagle) accumulated the highest lead concentrations in tissues and generally were the species most at risk of lead poisoning. We found no evidence of a spatial or decadal trend in lead residues, but we demonstrated that high lead blood levels relate to hunting season. Exposure at levels associated with both subclinical and lethal effects is </w:t>
      </w:r>
    </w:p>
    <w:p>
      <w:pPr/>
      <w:r>
        <w:rPr>
          <w:b/>
        </w:rPr>
        <w:t>POSSIBLE 2020:</w:t>
      </w:r>
      <w:r>
        <w:t xml:space="preserve"> How might landscapes be better designed to accommodate increasing cremation practices in Europe? — https://doi.org/10.3097/lo.202087</w:t>
      </w:r>
    </w:p>
    <w:p>
      <w:pPr/>
      <w:r>
        <w:rPr>
          <w:b/>
        </w:rPr>
        <w:t>Shared claim-specific concepts:</w:t>
      </w:r>
      <w:r>
        <w:t xml:space="preserve"> countries, italy, slovakia; EU scope visible. This is a provisional connection, not an outcome finding.</w:t>
      </w:r>
    </w:p>
    <w:p>
      <w:pPr>
        <w:pStyle w:val="SourceNote"/>
      </w:pPr>
      <w:r>
        <w:rPr>
          <w:b/>
        </w:rPr>
        <w:t>Available abstract (not full text):</w:t>
      </w:r>
      <w:r>
        <w:t xml:space="preserve"> Death is one of those universal parameters of life, yet very little attention is given to it in neither the work of planning practitioners nor that of landscape research. During the 19th and 20th century’s many Western societies turned to cremation as a more sanitary, less costly and space saving way of human disposal. This paper highlights the cemeteries and crematoria as two types of facilities associated with cremation practices in Poland and in selected European countries. On the basis of analyses of contemporary funerary landscapes for cremation practices from Europe (31 objects from 9 countries) a catalog (‚pattern book‘) of design solutions was developed. Countries were selected on the basis of similarity to Poland in the aspect of the dominant religion (Austria, France, Italy, Slovakia, Slovenia), convergent provisions of cemetery and funeral law (Austria, Denmark, France, Germany, Slovenia, Sweden), and index of average population served by 1 crematorium (Belgium). Moreover, assessment of Polish contemporary places for cremation (39 objects) was developed. To strengthen the multifaceted meaning of funerary landscape and to link it more with the landscape, design considerations and potential outcomes for improved cemetery design accommodating cremation practices and burial was developed. The funerary landscape is defined as a specific type of landscape that focuses on t</w:t>
      </w:r>
    </w:p>
    <w:p>
      <w:pPr/>
      <w:r>
        <w:rPr>
          <w:b/>
        </w:rPr>
        <w:t>POSSIBLE 2020:</w:t>
      </w:r>
      <w:r>
        <w:t xml:space="preserve"> After the Berlin Wall — https://doi.org/10.1515/9789633863855</w:t>
      </w:r>
    </w:p>
    <w:p>
      <w:pPr/>
      <w:r>
        <w:rPr>
          <w:b/>
        </w:rPr>
        <w:t>Shared claim-specific concepts:</w:t>
      </w:r>
      <w:r>
        <w:t xml:space="preserve"> three, countries; EU scope visible. This is a provisional connection, not an outcome finding.</w:t>
      </w:r>
    </w:p>
    <w:p>
      <w:pPr>
        <w:pStyle w:val="SourceNote"/>
      </w:pPr>
      <w:r>
        <w:rPr>
          <w:b/>
        </w:rPr>
        <w:t>Available abstract (not full text):</w:t>
      </w:r>
      <w:r>
        <w:t xml:space="preserve"> After the Berlin Wall tells the inside story of an international financial institution, the European Bank for Reconstruction and Development (EBRD), created in the aftermath of communism to help the countries of central and eastern Europe transition towards open market-oriented democratic economies. The first volume of a history in two parts, After the Berlin Wall charts the EBRD’s life from a fledgling high-risk start-up investing in former socialist countries from 1991 to become an established member of the international financial community, which (as of April 2020) operates in almost 40 countries across three continents. This volume describes the multilateral negotiations that created this cosmopolitan institution with a ‘European character’ and the emergence of the EBRD’s unique business model: a focus on the private sector and a mission to deliver development impact with sustainable financial returns. The author recounts the challenges that ‘transition’ countries faced in moving from a defunct to a functioning economic system and maps the EBRD’s response to critical events, from the dissolution of the Soviet Union, to the safe confinement of the Chernobyl disaster site, the debt default in Russia and the onset of the global financial crisis in 2008.</w:t>
      </w:r>
    </w:p>
    <w:p>
      <w:pPr/>
      <w:r>
        <w:rPr>
          <w:b/>
        </w:rPr>
        <w:t>POSSIBLE 2019:</w:t>
      </w:r>
      <w:r>
        <w:t xml:space="preserve"> Building and indoor environmental quality assessment of Nigerian primary schools: A pilot study — https://doi.org/10.1111/ina.12547</w:t>
      </w:r>
    </w:p>
    <w:p>
      <w:pPr/>
      <w:r>
        <w:rPr>
          <w:b/>
        </w:rPr>
        <w:t>Shared claim-specific concepts:</w:t>
      </w:r>
      <w:r>
        <w:t xml:space="preserve"> incinerators, moderately, cases; EU scope not established. This is a provisional connection, not an outcome finding.</w:t>
      </w:r>
    </w:p>
    <w:p>
      <w:pPr>
        <w:pStyle w:val="SourceNote"/>
      </w:pPr>
      <w:r>
        <w:rPr>
          <w:b/>
        </w:rPr>
        <w:t>Available abstract (not full text):</w:t>
      </w:r>
      <w:r>
        <w:t xml:space="preserve"> A total of 15 classrooms went through on-site assessments/inspections, including measurements of temperature (T), and concentrations of carbon monoxide (CO) and carbon dioxide (CO2). In addition, the level of surface biocontamination/cleaning effectiveness was assessed by measuring adenosine triphosphate (ATP) levels on students' desks. Based on the data, the quality of facilities in the buildings was low. Classroom occupancy exceeded ASHRAE 50 person/100 m2 standard in all cases indicating overcrowding. However, concentrations of CO2 remained below 1000 ppm in most classrooms. On the other hand, indoor T was above the recommended levels for thermal comfort in all classrooms. Maximum indoor CO was 6 ppm. Median ATP concentrations on the desk tops were moderately high in all schools. The use of open incinerators and power generator sets near classrooms, which was suspected to be the main source of CO, should be discouraged. Improved hygiene could be achieved by providing the students access to functioning bathroom facilities and cafeteria, and by effective cleaning of high contact surfaces such as desks. Although ventilation seems adequate based on CO2 concentrations, thermal comfort was not attained especially in the afternoon during extreme sunlight. Therefore, installing passive and/or mechanical cooling systems should be considered in this regard.</w:t>
      </w:r>
    </w:p>
    <w:p>
      <w:pPr/>
      <w:r>
        <w:rPr>
          <w:b/>
        </w:rPr>
        <w:t>POSSIBLE 2018:</w:t>
      </w:r>
      <w:r>
        <w:t xml:space="preserve"> Automotive trace metal concentrations on the South African national road (N3) and its impact on the environment. — https://openalex.org/W3014058070</w:t>
      </w:r>
    </w:p>
    <w:p>
      <w:pPr/>
      <w:r>
        <w:rPr>
          <w:b/>
        </w:rPr>
        <w:t>Shared claim-specific concepts:</w:t>
      </w:r>
      <w:r>
        <w:t xml:space="preserve"> moderately, due, countries; EU scope not established. This is a provisional connection, not an outcome finding.</w:t>
      </w:r>
    </w:p>
    <w:p>
      <w:pPr>
        <w:pStyle w:val="SourceNote"/>
      </w:pPr>
      <w:r>
        <w:rPr>
          <w:b/>
        </w:rPr>
        <w:t>Available abstract (not full text):</w:t>
      </w:r>
      <w:r>
        <w:t xml:space="preserve"> The environment is currently experiencing the negative effects of globalisation and unsustainable development with environmentally harmful activities increasing at an alarming rate in South Africa and other developing countries. This is due to these countries circumventing the implementation of environmental policies against foreign investors, such as vehicle manufacturers and chemical industries, to allow for a reduction in fiscal austerity by increasing the gross domestic product. The effects of these activities have a greater impact on the environment and population of developing nations than developed ones. Heavy metal contamination is one of the major concerns related to vehicle manufacturers and toxic chemical industries in terms of environmental management. The aim of this research was to assess the impact of vehicle pollution along the South African National Road (N3) between Durban and Hilton as it is one of the major transportation routes from the harbour. The elemental concentrations in the leaves of Bidens pilosa, that are picked and cooked by communities that live along the roadside, were investigated. The concentrations of thirteen elements were selectively investigated to determine the impact of soil quality on elemental uptake by vegetation and to assess for potential metal toxicities. Soil was evaluated for metal pollution by calculation of geo-accumulation ind</w:t>
      </w:r>
    </w:p>
    <w:p>
      <w:pPr>
        <w:pStyle w:val="Heading2"/>
      </w:pPr>
      <w:r>
        <w:t>1005. Integrating foresight into government. Is it possible? Is it likely?</w:t>
      </w:r>
    </w:p>
    <w:p>
      <w:pPr>
        <w:pStyle w:val="SourceNote"/>
      </w:pPr>
      <w:r>
        <w:rPr>
          <w:b/>
        </w:rPr>
        <w:t>Original source (2011):</w:t>
      </w:r>
      <w:r>
        <w:t xml:space="preserve"> https://doi.org/10.1108/14636681111126229</w:t>
      </w:r>
    </w:p>
    <w:p>
      <w:pPr/>
      <w:r>
        <w:t>Original wording (abstract; indexed_source_text_not_full_document_verified): Findings Several methodologies and techniques that are identified here may allow people to help perceive, evaluate and control the effects of their actions, present as well as future.</w:t>
      </w:r>
    </w:p>
    <w:p>
      <w:pPr/>
      <w:r>
        <w:rPr>
          <w:b/>
        </w:rPr>
        <w:t>POSSIBLE 2024:</w:t>
      </w:r>
      <w:r>
        <w:t xml:space="preserve"> An Informative Review of Radiomics Studies on Cancer Imaging: The Main Findings, Challenges and Limitations of the Methodologies — https://doi.org/10.3390/curroncol31010027</w:t>
      </w:r>
    </w:p>
    <w:p>
      <w:pPr/>
      <w:r>
        <w:rPr>
          <w:b/>
        </w:rPr>
        <w:t>Shared claim-specific concepts:</w:t>
      </w:r>
      <w:r>
        <w:t xml:space="preserve"> findings, several, methodologies, well; EU scope not established. This is a provisional connection, not an outcome finding.</w:t>
      </w:r>
    </w:p>
    <w:p>
      <w:pPr>
        <w:pStyle w:val="SourceNote"/>
      </w:pPr>
      <w:r>
        <w:rPr>
          <w:b/>
        </w:rPr>
        <w:t>Available abstract (not full text):</w:t>
      </w:r>
      <w:r>
        <w:t xml:space="preserve"> The aim of this informative review was to investigate the application of radiomics in cancer imaging and to summarize the results of recent studies to support oncological imaging with particular attention to breast cancer, rectal cancer and primitive and secondary liver cancer. This review also aims to provide the main findings, challenges and limitations of the current methodologies. Clinical studies published in the last four years (2019-2022) were included in this review. Among the 19 studies analyzed, none assessed the differences between scanners and vendor-dependent characteristics, collected images of individuals at additional points in time, performed calibration statistics, represented a prospective study performed and registered in a study database, conducted a cost-effectiveness analysis, reported on the cost-effectiveness of the clinical application, or performed multivariable analysis with also non-radiomics features. Seven studies reached a high radiomic quality score (RQS), and seventeen earned additional points by using validation steps considering two datasets from two distinct institutes and open science and data domains (radiomics features calculated on a set of representative ROIs are open source). The potential of radiomics is increasingly establishing itself, even if there are still several aspects to be evaluated before the passage of radiomics into routi</w:t>
      </w:r>
    </w:p>
    <w:p>
      <w:pPr/>
      <w:r>
        <w:rPr>
          <w:b/>
        </w:rPr>
        <w:t>POSSIBLE 2023:</w:t>
      </w:r>
      <w:r>
        <w:t xml:space="preserve"> A named entity recognition framework using transformers to identify relevant clinical findings from mammographic radiological reports — https://doi.org/10.1117/12.2670228</w:t>
      </w:r>
    </w:p>
    <w:p>
      <w:pPr/>
      <w:r>
        <w:rPr>
          <w:b/>
        </w:rPr>
        <w:t>Shared claim-specific concepts:</w:t>
      </w:r>
      <w:r>
        <w:t xml:space="preserve"> findings, several, here; EU scope not established. This is a provisional connection, not an outcome finding.</w:t>
      </w:r>
    </w:p>
    <w:p>
      <w:pPr>
        <w:pStyle w:val="SourceNote"/>
      </w:pPr>
      <w:r>
        <w:rPr>
          <w:b/>
        </w:rPr>
        <w:t>Available abstract (not full text):</w:t>
      </w:r>
      <w:r>
        <w:t xml:space="preserve"> Detecting and extracting findings in a radiological report is crucial for text mining tasks in several applications. In this case, a labeled process for the image associated with the radiological report in mammography and Spanish context for a computer vision model is required. This paper shows the methodology and process generated for this goal. This paper presents a Named Entity Recognition (NER) approach based on a transformer deep learning model, using a labeled corpus and fine-tuning process to find three concepts that compose a typical finding in a mammographic radiological report: laterality, location, and the finding. We add another concept in the labeled process, the negation, necessary to identify falses positive inside the text that writes the radiologist. Our model achieves an F1 score of 88.24% classifying the three principal concepts for a finding, product of the labeled and fine-tuning process. The results presented here will be used as input for future training work on a computer vision model.</w:t>
      </w:r>
    </w:p>
    <w:p>
      <w:pPr/>
      <w:r>
        <w:rPr>
          <w:b/>
        </w:rPr>
        <w:t>POSSIBLE 2023:</w:t>
      </w:r>
      <w:r>
        <w:t xml:space="preserve"> Genome-wide analyses of ADHD identify 27 risk loci, refine the genetic architecture and implicate several cognitive domains — https://doi.org/10.1038/s41588-022-01285-8</w:t>
      </w:r>
    </w:p>
    <w:p>
      <w:pPr/>
      <w:r>
        <w:rPr>
          <w:b/>
        </w:rPr>
        <w:t>Shared claim-specific concepts:</w:t>
      </w:r>
      <w:r>
        <w:t xml:space="preserve"> several, identified, here, present; EU scope not established. This is a provisional connection, not an outcome finding.</w:t>
      </w:r>
    </w:p>
    <w:p>
      <w:pPr>
        <w:pStyle w:val="SourceNote"/>
      </w:pPr>
      <w:r>
        <w:rPr>
          <w:b/>
        </w:rPr>
        <w:t>Available abstract (not full text):</w:t>
      </w:r>
      <w:r>
        <w:t xml:space="preserve"> Attention-deficit hyperactivity disorder (ADHD) is a prevalent neurodevelopmental disorder with a major genetic component. Here, we present a genome-wide association study meta-analysis of ADHD comprising 38,691 individuals with ADHD and 186,843 controls. We identified 27 genome-wide significant loci, highlighting 76 potential risk genes enriched among genes expressed particularly in early brain development. Overall, ADHD genetic risk was associated with several brain-specific neuronal subtypes and midbrain dopaminergic neurons. In exome-sequencing data from 17,896 individuals, we identified an increased load of rare protein-truncating variants in ADHD for a set of risk genes enriched with probable causal common variants, potentially implicating SORCS3 in ADHD by both common and rare variants. Bivariate Gaussian mixture modeling estimated that 84-98% of ADHD-influencing variants are shared with other psychiatric disorders. In addition, common-variant ADHD risk was associated with impaired complex cognition such as verbal reasoning and a range of executive functions, including attention.</w:t>
      </w:r>
    </w:p>
    <w:p>
      <w:pPr/>
      <w:r>
        <w:rPr>
          <w:b/>
        </w:rPr>
        <w:t>POSSIBLE 2023:</w:t>
      </w:r>
      <w:r>
        <w:t xml:space="preserve"> Proteomics of brain, CSF, and plasma identifies molecular signatures for distinguishing sporadic and genetic Alzheimer’s disease — https://doi.org/10.1126/scitranslmed.abq5923</w:t>
      </w:r>
    </w:p>
    <w:p>
      <w:pPr/>
      <w:r>
        <w:rPr>
          <w:b/>
        </w:rPr>
        <w:t>Shared claim-specific concepts:</w:t>
      </w:r>
      <w:r>
        <w:t xml:space="preserve"> findings, several, identified, here, present; EU scope not established. This is a provisional connection, not an outcome finding.</w:t>
      </w:r>
    </w:p>
    <w:p>
      <w:pPr>
        <w:pStyle w:val="SourceNote"/>
      </w:pPr>
      <w:r>
        <w:rPr>
          <w:b/>
        </w:rPr>
        <w:t>Available abstract (not full text):</w:t>
      </w:r>
      <w:r>
        <w:t xml:space="preserve"> Proteomic studies for Alzheimer’s disease (AD) are instrumental in identifying AD pathways but often focus on single tissues and sporadic AD cases. Here, we present a proteomic study analyzing 1305 proteins in brain tissue, cerebrospinal fluid (CSF), and plasma from patients with sporadic AD, TREM2 risk variant carriers, patients with autosomal dominant AD (ADAD), and healthy individuals. We identified 8 brain, 40 CSF, and 9 plasma proteins that were altered in individuals with sporadic AD, and we replicated these findings in several external datasets. We identified a proteomic signature that differentiated TREM2 variant carriers from both individuals with sporadic AD and healthy individuals. The proteins associated with sporadic AD were also altered in patients with ADAD, but with a greater effect size. Brain-derived proteins associated with ADAD were also replicated in additional CSF samples. Enrichment analyses highlighted several pathways, including those implicated in AD (calcineurin and Apo E), Parkinson’s disease (α-synuclein and LRRK2), and innate immune responses (SHC1, ERK-1, and SPP1). Our findings suggest that combined proteomics across brain tissue, CSF, and plasma can be used to identify markers for sporadic and genetically defined AD.</w:t>
      </w:r>
    </w:p>
    <w:p>
      <w:pPr/>
      <w:r>
        <w:rPr>
          <w:b/>
        </w:rPr>
        <w:t>POSSIBLE 2023:</w:t>
      </w:r>
      <w:r>
        <w:t xml:space="preserve"> Multi-ancestry genome-wide study identifies effector genes and druggable pathways for coronary artery calcification — https://doi.org/10.1038/s41588-023-01518-4</w:t>
      </w:r>
    </w:p>
    <w:p>
      <w:pPr/>
      <w:r>
        <w:rPr>
          <w:b/>
        </w:rPr>
        <w:t>Shared claim-specific concepts:</w:t>
      </w:r>
      <w:r>
        <w:t xml:space="preserve"> findings, several, identified, here, help; EU scope visible. This is a provisional connection, not an outcome finding.</w:t>
      </w:r>
    </w:p>
    <w:p>
      <w:pPr>
        <w:pStyle w:val="SourceNote"/>
      </w:pPr>
      <w:r>
        <w:rPr>
          <w:b/>
        </w:rPr>
        <w:t>Available abstract (not full text):</w:t>
      </w:r>
      <w:r>
        <w:t xml:space="preserve"> Coronary artery calcification (CAC), a measure of subclinical atherosclerosis, predicts future symptomatic coronary artery disease (CAD). Identifying genetic risk factors for CAC may point to new therapeutic avenues for prevention. Currently, there are only four known risk loci for CAC identified from genome-wide association studies (GWAS) in the general population. Here we conducted the largest multi-ancestry GWAS meta-analysis of CAC to date, which comprised 26,909 individuals of European ancestry and 8,867 individuals of African ancestry. We identified 11 independent risk loci, of which eight were new for CAC and five had not been reported for CAD. These new CAC loci are related to bone mineralization, phosphate catabolism and hormone metabolic pathways. Several new loci harbor candidate causal genes supported by multiple lines of functional evidence and are regulators of smooth muscle cell-mediated calcification ex vivo and in vitro. Together, these findings help refine the genetic architecture of CAC and extend our understanding of the biological and potential druggable pathways underlying CAC.</w:t>
      </w:r>
    </w:p>
    <w:p>
      <w:pPr/>
      <w:r>
        <w:rPr>
          <w:b/>
        </w:rPr>
        <w:t>POSSIBLE 2023:</w:t>
      </w:r>
      <w:r>
        <w:t xml:space="preserve"> Analyzing SDG interlinkages: identifying trade-offs and synergies for a responsible innovation — https://doi.org/10.1007/s11625-023-01336-x</w:t>
      </w:r>
    </w:p>
    <w:p>
      <w:pPr/>
      <w:r>
        <w:rPr>
          <w:b/>
        </w:rPr>
        <w:t>Shared claim-specific concepts:</w:t>
      </w:r>
      <w:r>
        <w:t xml:space="preserve"> findings, several, identified, here; EU scope not established. This is a provisional connection, not an outcome finding.</w:t>
      </w:r>
    </w:p>
    <w:p>
      <w:pPr>
        <w:pStyle w:val="SourceNote"/>
      </w:pPr>
      <w:r>
        <w:rPr>
          <w:b/>
        </w:rPr>
        <w:t>Available abstract (not full text):</w:t>
      </w:r>
      <w:r>
        <w:t xml:space="preserve"> This paper responds to recent calls to address the indivisible nature of the Sustainable Development Goal (SDG) framework and the related knowledge gap on how SDG targets interlink with each other. It examines how SDG targets interact in the context of a specific technology, point of care (PoC) microfluidics, and how this relates to the concept of responsible innovation (RI). The novel SDG interlinkages methodology developed here involves several steps to filter the relevant interlinkages and a focus group of experts for discussing these interlinkages. The main findings indicate that several social synergies occur when deploying PoC microfluidics, but that the environmental trade-offs may jeopardize the total progress toward the SDGs. More specifically, the environmental sacrifices (use of plastics and lack of recyclability) resulted in the product being cheaper and, thus, better accessible. This work suggests that attention should be given (and prioritized) to the use of renewable and recyclable materials without jeopardizing the accessibility of the product. This should minimize the identified trade-offs. These findings inform how analyzing SDG interlinkages relates to the responsibilities and dimensions of RI in several ways. First, analyzing SDG interlinkages helps to execute the governance responsibility by using the RI dimensions (anticipation, reflexivity, inclusion and </w:t>
      </w:r>
    </w:p>
    <w:p>
      <w:pPr/>
      <w:r>
        <w:rPr>
          <w:b/>
        </w:rPr>
        <w:t>POSSIBLE 2023:</w:t>
      </w:r>
      <w:r>
        <w:t xml:space="preserve"> Large-scale exome sequence analysis identifies sex- and age-specific determinants of obesity — https://doi.org/10.1016/j.xgen.2023.100362</w:t>
      </w:r>
    </w:p>
    <w:p>
      <w:pPr/>
      <w:r>
        <w:rPr>
          <w:b/>
        </w:rPr>
        <w:t>Shared claim-specific concepts:</w:t>
      </w:r>
      <w:r>
        <w:t xml:space="preserve"> findings, several, identified, here, well; EU scope not established. This is a provisional connection, not an outcome finding.</w:t>
      </w:r>
    </w:p>
    <w:p>
      <w:pPr>
        <w:pStyle w:val="SourceNote"/>
      </w:pPr>
      <w:r>
        <w:rPr>
          <w:b/>
        </w:rPr>
        <w:t>Available abstract (not full text):</w:t>
      </w:r>
      <w:r>
        <w:t xml:space="preserve"> Obesity contributes substantially to the global burden of disease and has a significant heritable component. Recent large-scale exome sequencing studies identified several genes in which rare, protein-coding variants have large effects on adult body mass index (BMI). Here we extended such work by performing sex-stratified associations in the UK Biobank study (N∼420,000). We identified genes in which rare heterozygous loss-of-function increases adult BMI in women (DIDO1, PTPRG, and SLC12A5) and in men (SLTM), with effect sizes up to ∼8 kg/m2. This is complemented by analyses implicating rare variants in OBSCN and MADD for recalled childhood adiposity. The known functions of these genes, as well as findings of common variant genome-wide pathway enrichment analyses, suggest a role for neuron death, apoptosis, and DNA damage response mechanisms in the susceptibility to obesity across the life-course. These findings highlight the importance of considering sex-specific and life-course effects in the genetic regulation of obesity.</w:t>
      </w:r>
    </w:p>
    <w:p>
      <w:pPr/>
      <w:r>
        <w:rPr>
          <w:b/>
        </w:rPr>
        <w:t>POSSIBLE 2022:</w:t>
      </w:r>
      <w:r>
        <w:t xml:space="preserve"> Neuroimaging in schizophrenia: an overview of findings and their implications for synaptic changes — https://doi.org/10.1038/s41386-022-01426-x</w:t>
      </w:r>
    </w:p>
    <w:p>
      <w:pPr/>
      <w:r>
        <w:rPr>
          <w:b/>
        </w:rPr>
        <w:t>Shared claim-specific concepts:</w:t>
      </w:r>
      <w:r>
        <w:t xml:space="preserve"> findings, several, identified, here, people; EU scope not established. This is a provisional connection, not an outcome finding.</w:t>
      </w:r>
    </w:p>
    <w:p>
      <w:pPr>
        <w:pStyle w:val="SourceNote"/>
      </w:pPr>
      <w:r>
        <w:rPr>
          <w:b/>
        </w:rPr>
        <w:t>Available abstract (not full text):</w:t>
      </w:r>
      <w:r>
        <w:t xml:space="preserve"> Over the last five decades, a large body of evidence has accrued for structural and metabolic brain alterations in schizophrenia. Here we provide an overview of these findings, focusing on measures that have traditionally been thought to reflect synaptic spine density or synaptic activity and that are relevant for understanding if there is lower synaptic density in the disorder. We conducted literature searches to identify meta-analyses or other relevant studies in patients with chronic or first-episode schizophrenia, or in people at high genetic or clinical risk for psychosis. We identified 18 meta-analyses including over 50,000 subjects in total, covering: structural MRI measures of gyrification index, grey matter volume, grey matter density and cortical thickness, neurite orientation dispersion and density imaging, PET imaging of regional glucose metabolism and magnetic resonance spectroscopy measures of N-acetylaspartate. We also review preclinical evidence on the relationship between ex vivo synaptic measures and structural MRI imaging, and PET imaging of synaptic protein 2A (SV2A). These studies show that schizophrenia is associated with lower grey matter volumes and cortical thickness, accelerated grey matter loss over time, abnormal gyrification patterns, and lower regional SV2A levels and metabolic markers in comparison to controls (effect sizes from ~ -0.11 to -1.0). </w:t>
      </w:r>
    </w:p>
    <w:p>
      <w:pPr/>
      <w:r>
        <w:rPr>
          <w:b/>
        </w:rPr>
        <w:t>POSSIBLE 2022:</w:t>
      </w:r>
      <w:r>
        <w:t xml:space="preserve"> Vocabulary changes in adulthood: Main findings and methodological considerations — https://doi.org/10.1111/1460-6984.12820</w:t>
      </w:r>
    </w:p>
    <w:p>
      <w:pPr/>
      <w:r>
        <w:rPr>
          <w:b/>
        </w:rPr>
        <w:t>Shared claim-specific concepts:</w:t>
      </w:r>
      <w:r>
        <w:t xml:space="preserve"> findings, methodologies, well; EU scope not established. This is a provisional connection, not an outcome finding.</w:t>
      </w:r>
    </w:p>
    <w:p>
      <w:pPr>
        <w:pStyle w:val="SourceNote"/>
      </w:pPr>
      <w:r>
        <w:rPr>
          <w:b/>
        </w:rPr>
        <w:t>Available abstract (not full text):</w:t>
      </w:r>
      <w:r>
        <w:t xml:space="preserve"> BACKGROUND: Vocabulary scores increase until approximately age 65 years and then remain stable or decrease slightly, unlike scores on tests of other cognitive abilities that decline significantly with age. AIMS: To review the findings on ageing-related changes in vocabulary, and to discuss four methodological issues: research design; test type; measurement; and vocabulary ability as a proxy for general intelligence. MAIN CONTRIBUTION: A discussion of cross-sectional and longitudinal research designs shows that cohort membership accounts for some but not all ageing-related changes in vocabulary, and that drop-out and test-retest effects do not alter conclusions regarding these changes. Test type affects age trends in vocabulary, and if researchers use only one test, they should choose a multiple-choice synonym test. While some authors suggest that vocabulary tests do not measure the same underlying ability in younger and older adults, more research of this suggestion is needed. A brief examination of the use of vocabulary ability as a proxy for general intelligence in healthy ageing and for premorbid abilities in dementia indicates that such practice is often questionable. CONCLUSIONS: Vocabulary knowledge increases through the mid-60s regardless of measurement method. However, there is little information on how word knowledge serves other verbal skills in old age, how and when </w:t>
      </w:r>
    </w:p>
    <w:p>
      <w:pPr/>
      <w:r>
        <w:rPr>
          <w:b/>
        </w:rPr>
        <w:t>POSSIBLE 2022:</w:t>
      </w:r>
      <w:r>
        <w:t xml:space="preserve"> Adjusting the social footprint methodology based on findings of subjective wellbeing research — https://doi.org/10.21203/rs.3.rs-1369858/v2</w:t>
      </w:r>
    </w:p>
    <w:p>
      <w:pPr/>
      <w:r>
        <w:rPr>
          <w:b/>
        </w:rPr>
        <w:t>Shared claim-specific concepts:</w:t>
      </w:r>
      <w:r>
        <w:t xml:space="preserve"> findings, several, identified, here; EU scope not established. This is a provisional connection, not an outcome finding.</w:t>
      </w:r>
    </w:p>
    <w:p>
      <w:pPr>
        <w:pStyle w:val="SourceNote"/>
      </w:pPr>
      <w:r>
        <w:rPr>
          <w:b/>
        </w:rPr>
        <w:t>Available abstract (not full text):</w:t>
      </w:r>
      <w:r>
        <w:t xml:space="preserve"> Abstract Purpose Following some years of practical application, some weaknesses has been identified in the original 2018 version of the ‘social footprint’ methodology, where wellbeing was seen as exclusively related to consumption activities and as inseparably linked to production through the budget constraint, implying that the value of wellbeing was limited to be a mirror of the value of production. Several improvements in both methodology and data are presented here. Methods The theoretical improvements are inspired by the suggestion of Juster et al. (1981) that wellbeing can be seen as the sum of the value added generated from work and the intrinsic activity benefits, i.e., the positive affect from performing or taking part in specific work or leisure activities. This implies a relatively low preference for income relative to intrinsic activity benefits, which is confirmed by recent findings of subjective wellbeing research. Results and discussion Other findings of subjective wellbeing research provide a constraint on the conversion factor between Disability-Adjusted Life-Years (DALY) and Quality-Adjusted person-Life-Years (QALY), leading to a surprising 0.3 QALY/DALY, against the more intuitive 1 QALY/DALY. These theoretical improvements, combined with the availability of more recent country-specific data on impacts on wellbeing, allows to calculate a global potential leve</w:t>
      </w:r>
    </w:p>
    <w:p>
      <w:pPr/>
      <w:r>
        <w:rPr>
          <w:b/>
        </w:rPr>
        <w:t>POSSIBLE 2021:</w:t>
      </w:r>
      <w:r>
        <w:t xml:space="preserve"> Sentiment analysis in hospitality and tourism: a thematic and methodological review — https://doi.org/10.1108/ijchm-02-2021-0132</w:t>
      </w:r>
    </w:p>
    <w:p>
      <w:pPr/>
      <w:r>
        <w:rPr>
          <w:b/>
        </w:rPr>
        <w:t>Shared claim-specific concepts:</w:t>
      </w:r>
      <w:r>
        <w:t xml:space="preserve"> findings, several, methodologies, identified; EU scope not established. This is a provisional connection, not an outcome finding.</w:t>
      </w:r>
    </w:p>
    <w:p>
      <w:pPr>
        <w:pStyle w:val="SourceNote"/>
      </w:pPr>
      <w:r>
        <w:rPr>
          <w:b/>
        </w:rPr>
        <w:t>Available abstract (not full text):</w:t>
      </w:r>
      <w:r>
        <w:t xml:space="preserve"> Purpose This study aims to conduct a systematic review and critically analyze the sentiment analysis literature in hospitality and tourism from methodological (data sets and analyzes) and thematic (topics, theories, key constructs and their relationships) perspectives. Design/methodology/approach Qualitative thematic review and quantitative systematic review were performed on 70 papers obtained from hospitality and tourism categories of two databases, namely, Web of Science and Scopus. Findings A total of 5 topics and 27 sub-topics were identified and the major theme is market intelligence. Sentiment variables were investigated not only as independent but also as dependent variables. The customer rating is the most investigated dependent variable, whereas moderators and mediators were rarely tested. Most reviewed studies did not use theory. The findings from the methodological review show that analysis of big data was rare. Moreover, testing the performance of sentiment analyzes was uncommon, and only one paper tested the performance of aspect/feature extraction. Research limitations/implications This study extends prior review studies by providing a comprehensive view of how knowledge and methodologies of sentiment analysis have developed. The identified themes and key constructs serve as a solid base for future knowledge advancement. Future research directions on sentiment an</w:t>
      </w:r>
    </w:p>
    <w:p>
      <w:pPr/>
      <w:r>
        <w:rPr>
          <w:b/>
        </w:rPr>
        <w:t>POSSIBLE 2021:</w:t>
      </w:r>
      <w:r>
        <w:t xml:space="preserve"> A genome-wide CRISPR screen identifies host factors that regulate SARS-CoV-2 entry — https://doi.org/10.1038/s41467-021-21213-4</w:t>
      </w:r>
    </w:p>
    <w:p>
      <w:pPr/>
      <w:r>
        <w:rPr>
          <w:b/>
        </w:rPr>
        <w:t>Shared claim-specific concepts:</w:t>
      </w:r>
      <w:r>
        <w:t xml:space="preserve"> findings, several, here; EU scope not established. This is a provisional connection, not an outcome finding.</w:t>
      </w:r>
    </w:p>
    <w:p>
      <w:pPr>
        <w:pStyle w:val="SourceNote"/>
      </w:pPr>
      <w:r>
        <w:rPr>
          <w:b/>
        </w:rPr>
        <w:t>Available abstract (not full text):</w:t>
      </w:r>
      <w:r>
        <w:t xml:space="preserve"> The global spread of SARS-CoV-2 is posing major public health challenges. One feature of SARS-CoV-2 spike protein is the insertion of multi-basic residues at the S1/S2 subunit cleavage site. Here, we find that the virus with intact spike (Sfull) preferentially enters cells via fusion at the plasma membrane, whereas a clone (Sdel) with deletion disrupting the multi-basic S1/S2 site utilizes an endosomal entry pathway. Using Sdel as model, we perform a genome-wide CRISPR screen and identify several endosomal entry-specific regulators. Experimental validation of hits from the CRISPR screen shows that host factors regulating the surface expression of angiotensin-converting enzyme 2 (ACE2) affect entry of Sfull virus. Animal-to-animal transmission with the Sdel virus is reduced compared to Sfull in the hamster model. These findings highlight the critical role of the S1/S2 boundary of SARS-CoV-2 spike protein in modulating virus entry and transmission and provide insights into entry of coronaviruses.</w:t>
      </w:r>
    </w:p>
    <w:p>
      <w:pPr>
        <w:pStyle w:val="Heading2"/>
      </w:pPr>
      <w:r>
        <w:t>1006. O4-2.1 Foresight tackling obesities: future choices</w:t>
      </w:r>
    </w:p>
    <w:p>
      <w:pPr>
        <w:pStyle w:val="SourceNote"/>
      </w:pPr>
      <w:r>
        <w:rPr>
          <w:b/>
        </w:rPr>
        <w:t>Original source (2011):</w:t>
      </w:r>
      <w:r>
        <w:t xml:space="preserve"> https://doi.org/10.1136/jech.2011.142976b.14</w:t>
      </w:r>
    </w:p>
    <w:p>
      <w:pPr/>
      <w:r>
        <w:t>Original wording (abstract; indexed_source_text_not_full_document_verified): These predictions could be subject to a range of policy options which affected BMI or business as usual. Given these predictions up to 2050, we built a micro simulation of the UK population with same demographics and the BMI growth predicted.</w:t>
      </w:r>
    </w:p>
    <w:p>
      <w:pPr/>
      <w:r>
        <w:rPr>
          <w:b/>
        </w:rPr>
        <w:t>POSSIBLE 2021:</w:t>
      </w:r>
      <w:r>
        <w:t xml:space="preserve"> Farmer flexibility concerning future rotation planning is affected by the framing of climate predictions — https://doi.org/10.1016/j.crm.2021.100356</w:t>
      </w:r>
    </w:p>
    <w:p>
      <w:pPr/>
      <w:r>
        <w:rPr>
          <w:b/>
        </w:rPr>
        <w:t>Shared claim-specific concepts:</w:t>
      </w:r>
      <w:r>
        <w:t xml:space="preserve"> predictions, affected, predicted; EU scope visible. This is a provisional connection, not an outcome finding.</w:t>
      </w:r>
    </w:p>
    <w:p>
      <w:pPr>
        <w:pStyle w:val="SourceNote"/>
      </w:pPr>
      <w:r>
        <w:rPr>
          <w:b/>
        </w:rPr>
        <w:t>Available abstract (not full text):</w:t>
      </w:r>
      <w:r>
        <w:t xml:space="preserve"> Arable crops are typically grown in annual rotations.Diverse rotations can support ecosystem services, provide economic resilience and support adaptation to climate change.Our aim was to assess farmers' attitudes to planning and diversifying crop rotations, focusing on their responses in the face of contrasting climate viewpoints.We interviewed 75 farmers from four regions along a latitudinal gradient from the south of the UK to the south of France.We used a semi-structured questionnaire with face-to-face interviews and asked farmers to respond to two narrative viewpoints of climate change impacts: one viewpoint focused on opportunities, the other on constraints.We found in all four regions that farmers' use rotations, and the crops within rotations, to achieve their main objectives of financial stability and improved soil health.Most farmers (79-100% depending on region) said they had experienced climate change, and many (54-83%) had already implemented changes in their farming practices.We did not find a difference in these results based on latitude.However, farmers' self-reported outlook was mostly optimistic in southern UK and become progressively more pessimistic further south.Overall, most farmers predicted that they would diversify and lengthen rotations in response to climate change.However, when presented with a viewpoint of climate change impacts focusing on opportuni</w:t>
      </w:r>
    </w:p>
    <w:p>
      <w:pPr/>
      <w:r>
        <w:rPr>
          <w:b/>
        </w:rPr>
        <w:t>POSSIBLE 2020:</w:t>
      </w:r>
      <w:r>
        <w:t xml:space="preserve"> Solar cycle prediction — https://doi.org/10.1007/s41116-020-0022-z</w:t>
      </w:r>
    </w:p>
    <w:p>
      <w:pPr/>
      <w:r>
        <w:rPr>
          <w:b/>
        </w:rPr>
        <w:t>Shared claim-specific concepts:</w:t>
      </w:r>
      <w:r>
        <w:t xml:space="preserve"> predictions, range, given, same; EU scope not established. This is a provisional connection, not an outcome finding.</w:t>
      </w:r>
    </w:p>
    <w:p>
      <w:pPr>
        <w:pStyle w:val="SourceNote"/>
      </w:pPr>
      <w:r>
        <w:rPr>
          <w:b/>
        </w:rPr>
        <w:t>Available abstract (not full text):</w:t>
      </w:r>
      <w:r>
        <w:t xml:space="preserve"> Abstract A review of solar cycle prediction methods and their performance is given, including early forecasts for Cycle 25. The review focuses on those aspects of the solar cycle prediction problem that have a bearing on dynamo theory. The scope of the review is further restricted to the issue of predicting the amplitude (and optionally the epoch) of an upcoming solar maximum no later than right after the start of the given cycle. Prediction methods form three main groups. Precursor methods rely on the value of some measure of solar activity or magnetism at a specified time to predict the amplitude of the following solar maximum. The choice of a good precursor often implies considerable physical insight: indeed, it has become increasingly clear that the transition from purely empirical precursors to model-based methods is continuous. Model-based approaches can be further divided into two groups: predictions based on surface flux transport models and on consistent dynamo models. The implicit assumption of precursor methods is that each numbered solar cycle is a consistent unit in itself, while solar activity seems to consist of a series of much less tightly intercorrelated individual cycles. Extrapolation methods, in contrast, are based on the premise that the physical process giving rise to the sunspot number record is statistically homogeneous, i.e., the mathematical regularit</w:t>
      </w:r>
    </w:p>
    <w:p>
      <w:pPr/>
      <w:r>
        <w:rPr>
          <w:b/>
        </w:rPr>
        <w:t>POSSIBLE 2017:</w:t>
      </w:r>
      <w:r>
        <w:t xml:space="preserve"> Accuracy of subject-specific prediction of end-systolic time in MRI across a range of RR intervals — https://doi.org/10.1371/journal.pone.0179011</w:t>
      </w:r>
    </w:p>
    <w:p>
      <w:pPr/>
      <w:r>
        <w:rPr>
          <w:b/>
        </w:rPr>
        <w:t>Shared claim-specific concepts:</w:t>
      </w:r>
      <w:r>
        <w:t xml:space="preserve"> subject, range, population, predicted; EU scope not established. This is a provisional connection, not an outcome finding.</w:t>
      </w:r>
    </w:p>
    <w:p>
      <w:pPr>
        <w:pStyle w:val="SourceNote"/>
      </w:pPr>
      <w:r>
        <w:rPr>
          <w:b/>
        </w:rPr>
        <w:t>Available abstract (not full text):</w:t>
      </w:r>
      <w:r>
        <w:t xml:space="preserve"> BACKGROUND: Prediction of End-Systole time is of utmost importance for cardiac MRI to correctly associate acquired k-space lines during reconstruction of cine acquisitions. This prediction is usually based on the patient's heart rate using Weissler's formula, which was calibrated by linear regression within a population and cannot account for individual variability. OBJECTIVE: We propose an automatic method to build a personalized model that better predicts end-systole. METHODS: A phase contrast sequence was modified to acquire only central k-space line with 6.6ms temporal resolution, in a slice passing through the aorta during 128 heartbeats in 35 subjects. Segmentation of aorta and detection of end of systolic ejection was automatic. Duration of electromechanical systole duration as function of heart rate was determined for each subject separately. RESULTS: In comparison with the global models, the adapted cardiac model predicted significantly better both echocardiographic end-systolic reference (bias = 0ms vs 17ms, p&lt;0.001) and MRI measurements (bias = 6.8ms vs 17ms). Favorable impact was shown on the cine reconstruction of the 5 subjects with the higher cardiac variability (p = 0.02). CONCLUSIONS: Personalization of cardiac model to the subject is feasible in MRI and reduces the error of prediction of systole.</w:t>
      </w:r>
    </w:p>
    <w:p>
      <w:pPr/>
      <w:r>
        <w:rPr>
          <w:b/>
        </w:rPr>
        <w:t>POSSIBLE 2016:</w:t>
      </w:r>
      <w:r>
        <w:t xml:space="preserve"> Muscle Synergies Facilitate Computational Prediction of Subject-Specific Walking Motions — https://doi.org/10.3389/fbioe.2016.00077</w:t>
      </w:r>
    </w:p>
    <w:p>
      <w:pPr/>
      <w:r>
        <w:rPr>
          <w:b/>
        </w:rPr>
        <w:t>Shared claim-specific concepts:</w:t>
      </w:r>
      <w:r>
        <w:t xml:space="preserve"> predictions, subject, simulation, predicted; EU scope not established. This is a provisional connection, not an outcome finding.</w:t>
      </w:r>
    </w:p>
    <w:p>
      <w:pPr>
        <w:pStyle w:val="SourceNote"/>
      </w:pPr>
      <w:r>
        <w:rPr>
          <w:b/>
        </w:rPr>
        <w:t>Available abstract (not full text):</w:t>
      </w:r>
      <w:r>
        <w:t xml:space="preserve"> Researchers have explored a variety of neurorehabilitation approaches to restore normal walking function following a stroke. However, there is currently no objective means for prescribing and implementing treatments that are likely to maximize recovery of walking function for any particular patient. As a first step toward optimizing neurorehabilitation effectiveness, this study develops and evaluates a patient-specific synergy-controlled neuromusculoskeletal simulation framework that can predict walking motions for an individual post-stroke. The main question we addressed was whether driving a subject-specific neuromusculoskeletal model with muscle synergy controls (5 per leg) facilitates generation of accurate walking predictions compared to a model driven by muscle activation controls (35 per leg) or joint torque controls (5 per leg). To explore this question, we developed a subject-specific neuromusculoskeletal model of a single high-functioning hemiparetic subject using instrumented treadmill walking data collected at the subject's self-selected speed of 0.5 m/s. The model included subject-specific representations of lower-body kinematic structure, foot-ground contact behavior, electromyography-driven muscle force generation, and neural control limitations and remaining capabilities. Using direct collocation optimal control and the subject-specific model, we evaluated the a</w:t>
      </w:r>
    </w:p>
    <w:p>
      <w:pPr/>
      <w:r>
        <w:rPr>
          <w:b/>
        </w:rPr>
        <w:t>POSSIBLE 2016:</w:t>
      </w:r>
      <w:r>
        <w:t xml:space="preserve"> APPROPRIATE VERTICAL RANGE TO AVERAGE LUMINANCE FOR PREDICTION OF PERCEIVED SPATIAL BRIGHTNESS IN OFFICE — https://doi.org/10.3130/aije.81.421</w:t>
      </w:r>
    </w:p>
    <w:p>
      <w:pPr/>
      <w:r>
        <w:rPr>
          <w:b/>
        </w:rPr>
        <w:t>Shared claim-specific concepts:</w:t>
      </w:r>
      <w:r>
        <w:t xml:space="preserve"> range, usual, predicted; EU scope not established. This is a provisional connection, not an outcome finding.</w:t>
      </w:r>
    </w:p>
    <w:p>
      <w:pPr>
        <w:pStyle w:val="SourceNote"/>
      </w:pPr>
      <w:r>
        <w:rPr>
          <w:b/>
        </w:rPr>
        <w:t>Available abstract (not full text):</w:t>
      </w:r>
      <w:r>
        <w:t xml:space="preserve"> It is effective for power-saving of office lighting to set working plane illuminance lower than usual, but without consideration of room appearance this tends to lead to gloomy impression. To avoid this negative effect, some methods to predict brightness impression are used for office lighting design, but they have not been well examined from the view point of applicability to office lighting. It is apparent that the average luminance of office perspective image is important but the value changes in accordance of view range. This study, as a basic research, examined appropriate vertical range for prediction of perceived spatial brightness. The authors set 48 different luminance distribution conditions in a 1/6 scale model of office environment, and asked the subjects to evaluate spatial brightness with magnitude estimation technique. The luminance distribution from the subjects' evaluation point was measured by a digital camera with 180 degree fish-eye lens and average luminance was examined. As the result, the authors obtained followings; 1) When sitting on a desk seat, spatial brightness can be predicted by mean luminance ranging from 0 to 20 degrees on the luminance image in vertical, with exclusion of objects just around the desk like partitions, but in the case of short room depth or including windows, the mean should be ranging from 0 to 40 degrees. 2) Vertical range to a</w:t>
      </w:r>
    </w:p>
    <w:p>
      <w:pPr/>
      <w:r>
        <w:rPr>
          <w:b/>
        </w:rPr>
        <w:t>POSSIBLE 2013:</w:t>
      </w:r>
      <w:r>
        <w:t xml:space="preserve"> The experience of agency: an interplay between prediction and postdiction — https://doi.org/10.3389/fpsyg.2013.00127</w:t>
      </w:r>
    </w:p>
    <w:p>
      <w:pPr/>
      <w:r>
        <w:rPr>
          <w:b/>
        </w:rPr>
        <w:t>Shared claim-specific concepts:</w:t>
      </w:r>
      <w:r>
        <w:t xml:space="preserve"> predictions, subject, range, given, same; EU scope not established. This is a provisional connection, not an outcome finding.</w:t>
      </w:r>
    </w:p>
    <w:p>
      <w:pPr>
        <w:pStyle w:val="SourceNote"/>
      </w:pPr>
      <w:r>
        <w:rPr>
          <w:b/>
        </w:rPr>
        <w:t>Available abstract (not full text):</w:t>
      </w:r>
      <w:r>
        <w:t xml:space="preserve"> The experience of agency, i.e., the registration that I am the initiator of my actions, is a basic and constant underpinning of our interaction with the world. Whereas several accounts have underlined predictive processes as the central mechanism (e.g., the comparator model by C. Frith), others emphasized postdictive inferences (e.g., post-hoc inference account by D. Wegner). Based on increasing evidence that both predictive and postdictive processes contribute to the experience of agency, we here present a unifying but at the same time parsimonious approach that reconciles these accounts: predictive and postdictive processes are both integrated by the brain according to the principles of optimal cue integration. According to this framework, predictive and postdictive processes each serve as authorship cues that are continuously integrated and weighted depending on their availability and reliability in a given situation. Both sensorimotor and cognitive signals can serve as predictive cues (e.g., internal predictions based on an efferency copy of the motor command or cognitive anticipations based on priming). Similarly, other sensorimotor and cognitive cues can each serve as post-hoc cues (e.g., visual feedback of the action or the affective valence of the action outcome). Integration and weighting of these cues might not only differ between contexts and individuals, but also be</w:t>
      </w:r>
    </w:p>
    <w:p>
      <w:pPr/>
      <w:r>
        <w:rPr>
          <w:b/>
        </w:rPr>
        <w:t>POSSIBLE 2013:</w:t>
      </w:r>
      <w:r>
        <w:t xml:space="preserve"> Simultaneous calibration of ensemble river flow predictions over an entire range of lead times — https://doi.org/10.1002/wrcr.20542</w:t>
      </w:r>
    </w:p>
    <w:p>
      <w:pPr/>
      <w:r>
        <w:rPr>
          <w:b/>
        </w:rPr>
        <w:t>Shared claim-specific concepts:</w:t>
      </w:r>
      <w:r>
        <w:t xml:space="preserve"> predictions, subject, range; EU scope not established. This is a provisional connection, not an outcome finding.</w:t>
      </w:r>
    </w:p>
    <w:p>
      <w:pPr>
        <w:pStyle w:val="SourceNote"/>
      </w:pPr>
      <w:r>
        <w:rPr>
          <w:b/>
        </w:rPr>
        <w:t>Available abstract (not full text):</w:t>
      </w:r>
      <w:r>
        <w:t xml:space="preserve"> Probabilistic estimates of future water levels and river discharge are usually simulated with hydrologic models using ensemble weather forecasts as main inputs. As hydrologic models are imperfect and the meteorological ensembles tend to be biased and underdispersed, the ensemble forecasts for river runoff typically are biased and underdispersed, too. Thus, in order to achieve both reliable and sharp predictions statistical postprocessing is required. In this work Bayesian model averaging (BMA) is applied to statistically postprocess ensemble runoff raw forecasts for a catchment in Switzerland, at lead times ranging from 1 to 240 h. The raw forecasts have been obtained using deterministic and ensemble forcing meteorological models with different forecast lead time ranges. First, BMA is applied based on mixtures of univariate normal distributions, subject to the assumption of independence between distinct lead times. Then, the independence assumption is relaxed in order to estimate multivariate runoff forecasts over the entire range of lead times simultaneously, based on a BMA version that uses multivariate normal distributions. Since river runoff is a highly skewed variable, Box-Cox transformations are applied in order to achieve approximate normality. Both univariate and multivariate BMA approaches are able to generate well calibrated probabilistic forecasts that are considerab</w:t>
      </w:r>
    </w:p>
    <w:p>
      <w:pPr>
        <w:pStyle w:val="Heading2"/>
      </w:pPr>
      <w:r>
        <w:t>1007. OPERATIONAL EARTHQUAKE FORECASTING. State of Knowledge and Guidelines for Utilization</w:t>
      </w:r>
    </w:p>
    <w:p>
      <w:pPr>
        <w:pStyle w:val="SourceNote"/>
      </w:pPr>
      <w:r>
        <w:rPr>
          <w:b/>
        </w:rPr>
        <w:t>Original source (2011):</w:t>
      </w:r>
      <w:r>
        <w:t xml:space="preserve"> https://doi.org/10.4401/ag-5350</w:t>
      </w:r>
    </w:p>
    <w:p>
      <w:pPr/>
      <w:r>
        <w:t>Original wording (abstract; indexed_source_text_not_full_document_verified): Long-term models are currently the most important forecasting tools for civil protection against earthquake damage, because they guide earthquake safety provisions of building codes, performance-based seismic design, and other risk-reducing engineering practices, such as retrofitting to correct design flaws in older buildings. Based on the experience accumulated in seismically active regions, the ICEF has provided to DPC a set of recommendations on the utilization of operational forecasting in Italy, which may also be useful in other countries.</w:t>
      </w:r>
    </w:p>
    <w:p>
      <w:pPr/>
      <w:r>
        <w:rPr>
          <w:b/>
        </w:rPr>
        <w:t>POSSIBLE 2026:</w:t>
      </w:r>
      <w:r>
        <w:t xml:space="preserve"> Maps of long-term soiling losses in Europe considering a partial cleaning effect by rain — https://doi.org/10.1051/epjpv/2026010</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The soiling of PV modules has been estimated to yield global losses in the solar energy production by 4 to 7%, even considering the cleaning efforts in many solar energy systems. Despite this, soiling measurements are not always available, making models particularly valuable for estimating these losses. However, soiling models currently present two limitations: most of them assume that daily rain accumulations higher than a threshold value can totally clean PV modules and, additionally, that rain will have the same washing effect on all types of soiling, independently of their higher or lower adherent properties. In this work, the HSU model (Coello and Boyle, 2019) is modified to include the two aforementioned effects. The original and modified HSU models are then calibrated for two locations in Africa where observations of long-term soiling losses were available. At the first considered location, the predominant soiling type was mainly washable by rain but showed the partial cleaning effects, while at the second location, despite the frequent and abundant rainfall, the build-up of persistent soiling was observed. The calibrated parameters for the original and modified HSU models were then applied to reanalysis meteorological 2-dimensional input data to estimate the associated soiling losses in Europe for a 20-yr operation without any artificial cleaning. The application of mod</w:t>
      </w:r>
    </w:p>
    <w:p>
      <w:pPr/>
      <w:r>
        <w:rPr>
          <w:b/>
        </w:rPr>
        <w:t>POSSIBLE 2026:</w:t>
      </w:r>
      <w:r>
        <w:t xml:space="preserve"> Maps of long-term soiling losses in Europe considering a partial cleaning effect by rain — https://doi.org/10.1051/epjpv/2026010/pdf</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The soiling of PV modules has been estimated to yield global losses in the solar energy production by 4 to 7%, even considering the cleaning efforts in many solar energy systems. Despite this, soiling measurements are not always available, making models particularly valuable for estimating these losses. However, soiling models currently present two limitations: most of them assume that daily rain accumulations higher than a threshold value can totally clean PV modules and, additionally, that rain will have the same washing effect on all types of soiling, independently of their higher or lower adherent properties. In this work, the HSU model (Coello and Boyle, 2019) is modified to include the two aforementioned effects. The original and modified HSU models are then calibrated for two locations in Africa where observations of long-term soiling losses were available. At the first considered location, the predominant soiling type was mainly washable by rain but showed the partial cleaning effects, while at the second location, despite the frequent and abundant rainfall, the build-up of persistent soiling was observed. The calibrated parameters for the original and modified HSU models were then applied to reanalysis meteorological 2-dimensional input data to estimate the associated soiling losses in Europe for a 20-yr operation without any artificial cleaning. The application of mod</w:t>
      </w:r>
    </w:p>
    <w:p>
      <w:pPr/>
      <w:r>
        <w:rPr>
          <w:b/>
        </w:rPr>
        <w:t>POSSIBLE 2026:</w:t>
      </w:r>
      <w:r>
        <w:t xml:space="preserve"> Long-term scenario for a decarbonised European energy system — https://openalex.org/W7141777866</w:t>
      </w:r>
    </w:p>
    <w:p>
      <w:pPr/>
      <w:r>
        <w:rPr>
          <w:b/>
        </w:rPr>
        <w:t>Shared claim-specific concepts:</w:t>
      </w:r>
      <w:r>
        <w:t xml:space="preserve"> long-term, building, design, other, retrofitting; EU scope visible. This is a provisional connection, not an outcome finding.</w:t>
      </w:r>
    </w:p>
    <w:p>
      <w:pPr>
        <w:pStyle w:val="SourceNote"/>
      </w:pPr>
      <w:r>
        <w:rPr>
          <w:b/>
        </w:rPr>
        <w:t>Available abstract (not full text):</w:t>
      </w:r>
      <w:r>
        <w:t xml:space="preserve"> In the 21st century, climate change has become a central driver of national and international decision-making, especially in matters related to energy, security, and long-term development. Among the most significant global responses is the transition towards a carbon-neutral energy system, a process that requires rethinking how energy is produced, delivered, and consumed. Europe, as one of the largest historical contributors to greenhouse gas emissions and a major economic power, stands at the forefront of this global effort. Yet the transition remains challenging due to the inherent complexity of the energy system, the mismatch between long-term climate objectives &amp; short-term policy priorities, and the presence of geopolitical pressures. This PhD thesis uses the TIMES-Europe energy system model to examine how Europe can navigate these difficulties and design credible long-term strategies for its overall decarbonisation effort under multiple scenarios. Through projections, this research investigates a set of plausible pathways that allow Europe to meet its climate targets under varying levels of ambition and cooperation among EU member states. The thesis is structured around five main research questions focusing on: A) How can an energy system model, like in our case TIMES-Europe, be developed and adapted to reflect and remain aligned with the most recent and constantly shifti</w:t>
      </w:r>
    </w:p>
    <w:p>
      <w:pPr/>
      <w:r>
        <w:rPr>
          <w:b/>
        </w:rPr>
        <w:t>POSSIBLE 2023:</w:t>
      </w:r>
      <w:r>
        <w:t xml:space="preserve"> Modelling phosphorus dynamics in four European long-term experiments — https://doi.org/10.1016/j.agsy.2022.103595</w:t>
      </w:r>
    </w:p>
    <w:p>
      <w:pPr/>
      <w:r>
        <w:rPr>
          <w:b/>
        </w:rPr>
        <w:t>Shared claim-specific concepts:</w:t>
      </w:r>
      <w:r>
        <w:t xml:space="preserve"> long-term, practices; EU scope visible. This is a provisional connection, not an outcome finding.</w:t>
      </w:r>
    </w:p>
    <w:p>
      <w:pPr>
        <w:pStyle w:val="SourceNote"/>
      </w:pPr>
      <w:r>
        <w:rPr>
          <w:b/>
        </w:rPr>
        <w:t>Available abstract (not full text):</w:t>
      </w:r>
      <w:r>
        <w:t xml:space="preserve"> Phosphorus (P) is a non-renewable geological macronutrient that plays an essential role in food security. The excessive use of P as a fertilizer and its subsequent diffuse loss leads to the deterioration of water quality, eutrophication, and loss of biodiversity. Ecosystem process-based models are a powerful tool to depict the P cycle, investigate the effects of management practices and climate change, and ultimately assess policy interventions that affect biogeochemical cycles. Of the limited number of P models in agricultural production systems, none have been tested in temperate conditions for periods of decades using long-term field experiments. The objective of this study is to evaluate the ability of the detailed P submodel from DayCent to: simulate the magnitude and temporal dynamics of P outputs; assess changes in P soil pools from European agricultural long-term experiments; and interpret the main causal factors inducing the differences between the observed vs. the simulated pools and fluxes. We used data from four long-term experiments to calibrate and test the P submodel of DayCent. The experiments involve five different soils, mineral and organic fertilizer treatments, management intensity levels, various crop rotations, crop residue management, and irrigation. The DayCent model captured the gross P budget (input minus output) in the four long-term experiments, and </w:t>
      </w:r>
    </w:p>
    <w:p>
      <w:pPr/>
      <w:r>
        <w:rPr>
          <w:b/>
        </w:rPr>
        <w:t>POSSIBLE 2023:</w:t>
      </w:r>
      <w:r>
        <w:t xml:space="preserve"> Albanian Civil Code 1929 as Part of the European Family of Civil Law — https://doi.org/10.33327/ajee-18-6.3-a000307</w:t>
      </w:r>
    </w:p>
    <w:p>
      <w:pPr/>
      <w:r>
        <w:rPr>
          <w:b/>
        </w:rPr>
        <w:t>Shared claim-specific concepts:</w:t>
      </w:r>
      <w:r>
        <w:t xml:space="preserve"> civil, because, they, provisions; EU scope visible. This is a provisional connection, not an outcome finding.</w:t>
      </w:r>
    </w:p>
    <w:p>
      <w:pPr>
        <w:pStyle w:val="SourceNote"/>
      </w:pPr>
      <w:r>
        <w:rPr>
          <w:b/>
        </w:rPr>
        <w:t>Available abstract (not full text):</w:t>
      </w:r>
      <w:r>
        <w:t xml:space="preserve"> Background: The Civil Code would dictate the affiliation of Albanian civil law to the Romano- Germanic family, finally separating it from Ottoman law. This Code, to this day, preserves its contemporary character, individuality, and integrity, not only because it is based on the idea of protecting basic human rights and freedoms, as well as the democratic model of society that inspired it, which always remain valid, but also that it continues as a working tool for specialists in this field. Undoubtedly, foreign rights, especially French, Italian, and to some extent, German and Swiss, would inspire the Albanian legislator to sanction in its provisions the equality of all citizens, the emancipation of land ownership, and the freedom to engage in economic activities. Methods: The methodology used during the drafting of this paper is mainly based on Albanian and foreign doctrinal views, focusing in particular on the Italian and European doctrines, due to this doctrine and this legislation being referred to by our legislator at the time of drafting the Civil Code. Also, among the methods used in this paper are the analysis and comparative methods.Results and Conclusions: The acceptance of foreign law in the Civil Code of Zog, more than “a matter of quality”, was a “matter of power”, because foreign rights, especially French and Italian, which found their sanction in this Code, they w</w:t>
      </w:r>
    </w:p>
    <w:p>
      <w:pPr/>
      <w:r>
        <w:rPr>
          <w:b/>
        </w:rPr>
        <w:t>POSSIBLE 2022:</w:t>
      </w:r>
      <w:r>
        <w:t xml:space="preserve"> Perceptions of long-term monitoring for civil and structural engineering — https://doi.org/10.1016/j.istruc.2022.05.090</w:t>
      </w:r>
    </w:p>
    <w:p>
      <w:pPr/>
      <w:r>
        <w:rPr>
          <w:b/>
        </w:rPr>
        <w:t>Shared claim-specific concepts:</w:t>
      </w:r>
      <w:r>
        <w:t xml:space="preserve"> long-term, civil, design, engineering; EU scope not established. This is a provisional connection, not an outcome finding.</w:t>
      </w:r>
    </w:p>
    <w:p>
      <w:pPr>
        <w:pStyle w:val="SourceNote"/>
      </w:pPr>
      <w:r>
        <w:rPr>
          <w:b/>
        </w:rPr>
        <w:t>Available abstract (not full text):</w:t>
      </w:r>
      <w:r>
        <w:t xml:space="preserve"> Long-term in-service monitoring has been heralded as having the potential to radically reshape the design and operation of civil structures and infrastructure. However, in order for civil and structural engineers to extract the greatest value from in situ structural monitoring there are a range of practical, cultural and social barriers which must be overcome. To explore current perceptions of long-term monitoring in civil and structural engineering, a multi-national survey of 146 participants was conducted to understand perceived uncertainties within the existing civil/structural engineering design process, perceptions of long-term monitoring, and the potential for the future integration and use of long-term monitoring in the civil/structural engineering design process. This study highlights that while views of long-term monitoring as a tool within the engineering design process are broadly positive, there is a wide disparity on its current implementation in practice, little agreement on how it may offer the greatest benefit to civil and structural engineering design, and a current lack of direct financial incentive to prompt its use within industry.</w:t>
      </w:r>
    </w:p>
    <w:p>
      <w:pPr/>
      <w:r>
        <w:rPr>
          <w:b/>
        </w:rPr>
        <w:t>POSSIBLE 2022:</w:t>
      </w:r>
      <w:r>
        <w:t xml:space="preserve"> Modelling of the long-term evolution and performance of engineered barrier system — https://doi.org/10.1051/epjn/2022038</w:t>
      </w:r>
    </w:p>
    <w:p>
      <w:pPr/>
      <w:r>
        <w:rPr>
          <w:b/>
        </w:rPr>
        <w:t>Shared claim-specific concepts:</w:t>
      </w:r>
      <w:r>
        <w:t xml:space="preserve"> long-term, tools, against, safety; EU scope visible. This is a provisional connection, not an outcome finding.</w:t>
      </w:r>
    </w:p>
    <w:p>
      <w:pPr>
        <w:pStyle w:val="SourceNote"/>
      </w:pPr>
      <w:r>
        <w:rPr>
          <w:b/>
        </w:rPr>
        <w:t>Available abstract (not full text):</w:t>
      </w:r>
      <w:r>
        <w:t xml:space="preserve"> Components of the so-called “multiple-barrier system” from the waste form to the biosphere include a combination of waste containers, engineered barriers, and natural barriers. The Engineered Barrier System (EBS) is crucial for containment and isolation in a radioactive waste disposal system. The number, types, and assigned safety functions of the various engineered barriers depend on the chosen repository concept, the waste form, the radionuclides waste inventory, the selected host rock, and the hydrogeological and geochemical settings of the repository site, among others. EBS properties will evolve with time in response to the thermal, hydraulic, mechanical, radiological, and chemical gradients and interactions between the various constituents of the barriers and the host rock. Therefore, assessing how these properties evolve over long time frames is highly relevant for evaluating the performance of a repository system and safety function evaluations in a safety case. For this purpose, mechanistic numerical models are increasingly used. Such models provide an excellent way for integrating into a coherent framework a scientific understanding of coupled processes and their consequences on different properties of the materials in the EBS. Their development and validation are supported by R&amp;D actions at the European level. For example, within the HORIZON 2020 project BEACON (Bent</w:t>
      </w:r>
    </w:p>
    <w:p>
      <w:pPr/>
      <w:r>
        <w:rPr>
          <w:b/>
        </w:rPr>
        <w:t>POSSIBLE 2022:</w:t>
      </w:r>
      <w:r>
        <w:t xml:space="preserve"> Long-term Air Pollution Exposure and Pneumonia-related Mortality in a Large Pooled European Cohort — https://doi.org/10.1164/rccm.202106-1484oc</w:t>
      </w:r>
    </w:p>
    <w:p>
      <w:pPr/>
      <w:r>
        <w:rPr>
          <w:b/>
        </w:rPr>
        <w:t>Shared claim-specific concepts:</w:t>
      </w:r>
      <w:r>
        <w:t xml:space="preserve"> long-term, currently; EU scope visible. This is a provisional connection, not an outcome finding.</w:t>
      </w:r>
    </w:p>
    <w:p>
      <w:pPr>
        <w:pStyle w:val="SourceNote"/>
      </w:pPr>
      <w:r>
        <w:rPr>
          <w:b/>
        </w:rPr>
        <w:t>Available abstract (not full text):</w:t>
      </w:r>
      <w:r>
        <w:t xml:space="preserve"> Abstract Rationale Ambient air pollution exposure has been linked to mortality from chronic cardiorespiratory diseases, while evidence on respiratory infections remains more limited. Objectives We examined the association between long-term exposure to air pollution and pneumonia-related mortality in adults in a pool of eight European cohorts. Methods Within the multicenter project ELAPSE (Effects of Low-Level Air Pollution: A Study in Europe), we pooled data from eight cohorts among six European countries. Annual mean residential concentrations in 2010 for fine particulate matter, nitrogen dioxide (NO2), black carbon (BC), and ozone were estimated using Europe-wide hybrid land-use regression models. We applied stratified Cox proportional hazard models to investigate the associations between air pollution and pneumonia, influenza, and acute lower respiratory infections (ALRI) mortality. Measurements and Main Results Of 325,367 participants, 712 died from pneumonia and influenza combined, 682 from pneumonia, and 695 from ALRI during a mean follow-up of 19.5 years. NO2 and BC were associated with 10–12% increases in pneumonia and influenza combined mortality, but 95% confidence intervals included unity (hazard ratios, 1.12 [0.99–1.26] per 10 μg/m3 for NO2; 1.10 [0.97–1.24] per 0.5 10−5m−1 for BC). Associations with pneumonia and ALRI mortality were almost identical. We detected ef</w:t>
      </w:r>
    </w:p>
    <w:p>
      <w:pPr/>
      <w:r>
        <w:rPr>
          <w:b/>
        </w:rPr>
        <w:t>POSSIBLE 2022:</w:t>
      </w:r>
      <w:r>
        <w:t xml:space="preserve"> highRES-Europe: The high spatial and temporal Resolution Electricity System model for Europe — https://doi.org/10.1016/j.softx.2022.101003</w:t>
      </w:r>
    </w:p>
    <w:p>
      <w:pPr/>
      <w:r>
        <w:rPr>
          <w:b/>
        </w:rPr>
        <w:t>Shared claim-specific concepts:</w:t>
      </w:r>
      <w:r>
        <w:t xml:space="preserve"> building, design, other; EU scope visible. This is a provisional connection, not an outcome finding.</w:t>
      </w:r>
    </w:p>
    <w:p>
      <w:pPr>
        <w:pStyle w:val="SourceNote"/>
      </w:pPr>
      <w:r>
        <w:rPr>
          <w:b/>
        </w:rPr>
        <w:t>Available abstract (not full text):</w:t>
      </w:r>
      <w:r>
        <w:t xml:space="preserve"> The high spatial and temporal resolution electricity system model, highRES, is used to design cost-effective, flexible and weather resilient electricity systems for Great Britain and Europe. The model is specifically designed to analyse the effects of high shares of variable renewables and explore integration/flexibility options. As the proportion of renewables in electricity generation increases, there will be increasing imbalances between electricity demand and supply. highRES is a high-resolution electricity system model that simultaneously considers infrastructure planning (investment) and operational (dispatch) decisions to identify the most cost-effective strategies to cope with growing shares of intermittent renewables. It does this by comparing and trading off potential options to integrate renewables into the system including the extension of the transmission grid, interconnection with other countries, building flexible generation (e.g. gas power stations), renewable curtailment and energy storage. highRES is written in GAMS and its objective is to minimise power system investment and operational costs to meet hourly demand, subject to a number of unit and system constraints. It can model a variety of technical characteristics of thermal generators (e.g. ramping restrictions, minimum stable generation, startup costs, minimum up and down times) depending on the requirem</w:t>
      </w:r>
    </w:p>
    <w:p>
      <w:pPr/>
      <w:r>
        <w:rPr>
          <w:b/>
        </w:rPr>
        <w:t>POSSIBLE 2021:</w:t>
      </w:r>
      <w:r>
        <w:t xml:space="preserve"> A model of long-term value creation — https://doi.org/10.1080/20430795.2021.1920231</w:t>
      </w:r>
    </w:p>
    <w:p>
      <w:pPr/>
      <w:r>
        <w:rPr>
          <w:b/>
        </w:rPr>
        <w:t>Shared claim-specific concepts:</w:t>
      </w:r>
      <w:r>
        <w:t xml:space="preserve"> long-term, currently, they; EU scope not established. This is a provisional connection, not an outcome finding.</w:t>
      </w:r>
    </w:p>
    <w:p>
      <w:pPr>
        <w:pStyle w:val="SourceNote"/>
      </w:pPr>
      <w:r>
        <w:rPr>
          <w:b/>
        </w:rPr>
        <w:t>Available abstract (not full text):</w:t>
      </w:r>
      <w:r>
        <w:t xml:space="preserve"> Companies need to rethink the way they create value and grow their business to thrive in tomorrow’s volatile and uncertain business environment. Companies in virtually every industry are impacted by new disruptive societal trends, such as climate change, energy transition and social inequality. At the same time, companies are increasingly evaluated on their sustainability performance.Still, only a few companies have begun to invent new strategic directions, pioneering strategies focused on creating long-term value, not just for shareholders but for all stakeholders. A playbook on how to create long-term value is currently lacking, making it difficult for companies to capture the opportunities and mitigate the risks created by these societal trends.This paper develops a model of long-term value creation that supports companies in creating long-term value and setting their strategies accordingly. Financial institutions can draw on the model to assess how future proof their investment and/or lending portfolios are.</w:t>
      </w:r>
    </w:p>
    <w:p>
      <w:pPr/>
      <w:r>
        <w:rPr>
          <w:b/>
        </w:rPr>
        <w:t>POSSIBLE 2021:</w:t>
      </w:r>
      <w:r>
        <w:t xml:space="preserve"> On models of long-term behavior of concrete — https://doi.org/10.21136/panm.2020.02</w:t>
      </w:r>
    </w:p>
    <w:p>
      <w:pPr/>
      <w:r>
        <w:rPr>
          <w:b/>
        </w:rPr>
        <w:t>Shared claim-specific concepts:</w:t>
      </w:r>
      <w:r>
        <w:t xml:space="preserve"> long-term, tools, other; EU scope not established. This is a provisional connection, not an outcome finding.</w:t>
      </w:r>
    </w:p>
    <w:p>
      <w:pPr>
        <w:pStyle w:val="SourceNote"/>
      </w:pPr>
      <w:r>
        <w:rPr>
          <w:b/>
        </w:rPr>
        <w:t>Available abstract (not full text):</w:t>
      </w:r>
      <w:r>
        <w:t xml:space="preserve"> Long-term behavior of concrete is modeled by several widely accepted models, such as B3, \emph{fib} MC 2010, or ACI 209 whose input parameters and output values are not identical to each other. Moreover, the input and, consequently, the output values are uncertain. In this paper, fuzzy input parameters are considered in uncertainty quantification of each model response and, finally, the sets of responses are analyzed by elementary tools of evidence theory. That is, belief and plausibility functions are proposed to combine evidence from different models.</w:t>
      </w:r>
    </w:p>
    <w:p>
      <w:pPr/>
      <w:r>
        <w:rPr>
          <w:b/>
        </w:rPr>
        <w:t>POSSIBLE 2020:</w:t>
      </w:r>
      <w:r>
        <w:t xml:space="preserve"> Short-term solar and wind variability in long-term energy system models - A European case study — https://doi.org/10.1016/j.energy.2020.118377</w:t>
      </w:r>
    </w:p>
    <w:p>
      <w:pPr/>
      <w:r>
        <w:rPr>
          <w:b/>
        </w:rPr>
        <w:t>Shared claim-specific concepts:</w:t>
      </w:r>
      <w:r>
        <w:t xml:space="preserve"> long-term, important; EU scope visible. This is a provisional connection, not an outcome finding.</w:t>
      </w:r>
    </w:p>
    <w:p>
      <w:pPr>
        <w:pStyle w:val="SourceNote"/>
      </w:pPr>
      <w:r>
        <w:rPr>
          <w:b/>
        </w:rPr>
        <w:t>Available abstract (not full text):</w:t>
      </w:r>
      <w:r>
        <w:t xml:space="preserve"> Integration of variable renewables such as solar and wind has grown at an unprecedented pace in Europe over the past two decades. As the share of solar and wind rises, it becomes increasingly important for long-term energy system models to adequately represent their short-term variability. This paper uses a long-term TIMES model of the European power and district heat sectors towards 2050 to explore how stochastic modelling of short-term solar and wind variability as well as different temporal resolutions influence the model performance. Using a stochastic model with 48 time-slices as benchmark, the results show that deterministic models with low temporal resolution give a 15–20% underestimation of annual costs, an overestimation of the contribution of variable renewables (13–15% of total electricity generation) and a lack of system flexibility. The results of the deterministic models converge towards the stochastic solution when the temporal resolution is increased, but even with 2016 time-slices, the need for flexibility is underestimated. In addition, the deterministic model with 2016 time-slices takes 30 times longer to solve than the stochastic model with 48 time-slices. Based on these findings, a stochastic approach is recommended for long-term studies of energy systems with large shares of variable renewable energy sources.</w:t>
      </w:r>
    </w:p>
    <w:p>
      <w:pPr>
        <w:pStyle w:val="Heading2"/>
      </w:pPr>
      <w:r>
        <w:t>1008. Potential implications of future climate and land‐cover changes for the fate and distribution of persistent organic pollutants in Europe</w:t>
      </w:r>
    </w:p>
    <w:p>
      <w:pPr>
        <w:pStyle w:val="SourceNote"/>
      </w:pPr>
      <w:r>
        <w:rPr>
          <w:b/>
        </w:rPr>
        <w:t>Original source (2011):</w:t>
      </w:r>
      <w:r>
        <w:t xml:space="preserve"> https://doi.org/10.1111/j.1466-8238.2010.00547.x</w:t>
      </w:r>
    </w:p>
    <w:p>
      <w:pPr/>
      <w:r>
        <w:t>Original wording (abstract; indexed_source_text_not_full_document_verified): Scenarios detailing climate and land‐cover changes, such as precipitation, temperature and vegetation cover, were used as input in a European multi‐media chemical fate model to help understand their impact on the environmental fate and behaviour of POPs over the period 1990–2100 in Europe. Main conclusions Overall, the model simulations suggest that the dominant driver behind differences seen between the present and climate‐changed future scenarios is temperature, resulting in a slight shift in chemical distribution from surface compartments to the air.</w:t>
      </w:r>
    </w:p>
    <w:p>
      <w:pPr/>
      <w:r>
        <w:rPr>
          <w:b/>
        </w:rPr>
        <w:t>POSSIBLE 2026:</w:t>
      </w:r>
      <w:r>
        <w:t xml:space="preserve"> European land use and land cover futures: a global computable general equilibrium assessment with sub-national detail and a climate application — https://doi.org/10.48565/bonndoc-923</w:t>
      </w:r>
    </w:p>
    <w:p>
      <w:pPr/>
      <w:r>
        <w:rPr>
          <w:b/>
        </w:rPr>
        <w:t>Shared claim-specific concepts:</w:t>
      </w:r>
      <w:r>
        <w:t xml:space="preserve"> climate, land, cover, used, environmental, main; EU scope visible. This is a provisional connection, not an outcome finding.</w:t>
      </w:r>
    </w:p>
    <w:p>
      <w:pPr>
        <w:pStyle w:val="SourceNote"/>
      </w:pPr>
      <w:r>
        <w:rPr>
          <w:b/>
        </w:rPr>
        <w:t>Available abstract (not full text):</w:t>
      </w:r>
      <w:r>
        <w:t xml:space="preserve"> Land constitutes a fundamental foundation for human life and well-being. Beyond providing agricultural land, habitats, and spaces for retreat and recreation, it plays a crucial role in sustaining biodiversity and functioning ecosystems, and it is a key component of the climate system. Today, humanity already uses more than 70% of the global ice-free land surface, making land use and land cover one of the most significant anthropogenic influences on the Earth system. While humanity has long benefited from changes in land use and land cover, these are now increasingly associated with significant environmental pressures, including land degradation, nutrient run-off, biodiversity loss, and the release of greenhouse gas emissions. In the context of growing land demand and increasingly globalised supply chains, a key challenge for society is therefore to manage land in a way that simultaneously meets social, economic, and environmental objectives. To address uncertainties in future land use and land cover developments, land and climate research examines various socio-economic development scenarios. Within these scenarios, key drivers of land use and land cover change are quantified based on consistent, predefined narratives. This enables a systematic analysis of potential future developments and their socio-economic and environmental impacts. The main contribution of this dissertatio</w:t>
      </w:r>
    </w:p>
    <w:p>
      <w:pPr/>
      <w:r>
        <w:rPr>
          <w:b/>
        </w:rPr>
        <w:t>POSSIBLE 2026:</w:t>
      </w:r>
      <w:r>
        <w:t xml:space="preserve"> Climate Change Threatens Micronutrient Density of European Winter Wheat (Adv. Sci. 42/2026) — https://doi.org/10.1002/advs.76543</w:t>
      </w:r>
    </w:p>
    <w:p>
      <w:pPr/>
      <w:r>
        <w:rPr>
          <w:b/>
        </w:rPr>
        <w:t>Shared claim-specific concepts:</w:t>
      </w:r>
      <w:r>
        <w:t xml:space="preserve"> climate, cover, precipitation, temperature; EU scope visible. This is a provisional connection, not an outcome finding.</w:t>
      </w:r>
    </w:p>
    <w:p>
      <w:pPr>
        <w:pStyle w:val="SourceNote"/>
      </w:pPr>
      <w:r>
        <w:rPr>
          <w:b/>
        </w:rPr>
        <w:t>Available abstract (not full text):</w:t>
      </w:r>
      <w:r>
        <w:t xml:space="preserve"> Climate Change Threatens Micronutrient Density of European Winter Wheat Wheat is one of the world's major staple crops and an important dietary source of minerals and B vitamins. The cover illustrates how projected future climate scenarios, including atmospheric CO2, temperature, and precipitation, progressively diminish micronutrient density in wheat grains, highlighting a potential future challenge for global food security and public health. Cover concept by Da Cao and Dominique Van Der Straeten. More details can be found in the Research Article by Dominique Van Der Straeten and co-workers (DOI: 10.1002/advs.202513322).</w:t>
      </w:r>
    </w:p>
    <w:p>
      <w:pPr/>
      <w:r>
        <w:rPr>
          <w:b/>
        </w:rPr>
        <w:t>POSSIBLE 2025:</w:t>
      </w:r>
      <w:r>
        <w:t xml:space="preserve"> Impact of the online climate-chemistry in regional climate simulations in meteorological variables over Europe — https://doi.org/10.5194/ems2025-270</w:t>
      </w:r>
    </w:p>
    <w:p>
      <w:pPr/>
      <w:r>
        <w:rPr>
          <w:b/>
        </w:rPr>
        <w:t>Shared claim-specific concepts:</w:t>
      </w:r>
      <w:r>
        <w:t xml:space="preserve"> climate, land, cover, precipitation, temperature, chemical; EU scope visible. This is a provisional connection, not an outcome finding.</w:t>
      </w:r>
    </w:p>
    <w:p>
      <w:pPr>
        <w:pStyle w:val="SourceNote"/>
      </w:pPr>
      <w:r>
        <w:rPr>
          <w:b/>
        </w:rPr>
        <w:t>Available abstract (not full text):</w:t>
      </w:r>
      <w:r>
        <w:t xml:space="preserve"> Work Package 4 of the FOCI project (“Non-CO2 Forcers and their Climate, Weather, Air Quality and Health Impacts”; https://www.project-foci.eu/wp/) is tasked with tuning, testing, and conducting long-term simulations to validate various regional models in downscaling of reanalysis and global climate models for historical period. The long-term simulations are performed by RegCM5-Chem and WRF-Chem, both of which are coupled with chemistry over the European domain. A notable aspect of this work is the use of RegCM5-Chem for long-term simulations, which is a novel approach within the community. Besides that, the land cover is dynamic, derived from the Land Use and Climate Across Scales flagship pilot study of the EURO-CORDEX initiative. The initial and boundary conditions for the atmospheric variables and chemical composition were created from the European Centre for Medium-Range Weather Forecasts (ECMWF) reanalysis version 5 (ERA5) and Atmospheric Composition Reanalysis 4 (EAC4) datasets. Emissions of atmospheric pollutants and greenhouse gases are obtained from the Copernicus Atmosphere Monitoring Service (CAMS) high-resolution European emission inventory for air quality modeling. E-OBS is utilized for validating the outputs. Sensitivity tests have shown that coupled chemistry impacts surface meteorological variables, such as temperature and shortwave radiation. In this study, we </w:t>
      </w:r>
    </w:p>
    <w:p>
      <w:pPr/>
      <w:r>
        <w:rPr>
          <w:b/>
        </w:rPr>
        <w:t>POSSIBLE 2025:</w:t>
      </w:r>
      <w:r>
        <w:t xml:space="preserve"> GCAM Europe 7.2.0: Enhancing Policy Relevant Climate Modelling Through Spatial and Sectoral Detail — https://doi.org/10.5281/zenodo.17493381</w:t>
      </w:r>
    </w:p>
    <w:p>
      <w:pPr/>
      <w:r>
        <w:rPr>
          <w:b/>
        </w:rPr>
        <w:t>Shared claim-specific concepts:</w:t>
      </w:r>
      <w:r>
        <w:t xml:space="preserve"> climate, land; EU scope visible. This is a provisional connection, not an outcome finding.</w:t>
      </w:r>
    </w:p>
    <w:p>
      <w:pPr>
        <w:pStyle w:val="SourceNote"/>
      </w:pPr>
      <w:r>
        <w:rPr>
          <w:b/>
        </w:rPr>
        <w:t>Available abstract (not full text):</w:t>
      </w:r>
      <w:r>
        <w:t xml:space="preserve"> Abstract:GCAM-Europe is an enhanced version of the Global Change Analysis Model (GCAM) that provides detailed, country-level modelling of Europe’s energy, economic, land use, and climate systems. Unlike the core GCAM model, which aggregates Europe into five regions, GCAM-Europe disaggregates all European countries to support more precise analysis of national climate and energy policies. It incorporates high-quality, country-specific data from Eurostat and other sources to improve accuracy, especially in the residential and electricity sectors. The model introduces several innovations, including detailed representations of electricity grid regions aligned with ENTSO-E’s TYNDP scenarios, a refined trade structure for the European Economic Area, and the integration of consumer heterogeneity based on real-world survey data. Also, the model maintains the integration of energy, land, water and climate systems as in the global version, but without a higher resolution of land regions. These features enable realistic simulations of cross-border electricity flows, energy and climate policy impacts, and distributional effects of policy measures. By significantly improving spatial, sectoral, and socio-economic detail, GCAM-Europe offers a powerful tool for assessing climate mitigation strategies across Europe. It enables policymakers and researchers to explore scenarios for efficient decar</w:t>
      </w:r>
    </w:p>
    <w:p>
      <w:pPr/>
      <w:r>
        <w:rPr>
          <w:b/>
        </w:rPr>
        <w:t>POSSIBLE 2024:</w:t>
      </w:r>
      <w:r>
        <w:t xml:space="preserve"> Twenty Years of Land Accounts in Europe — https://doi.org/10.3390/land13091350</w:t>
      </w:r>
    </w:p>
    <w:p>
      <w:pPr/>
      <w:r>
        <w:rPr>
          <w:b/>
        </w:rPr>
        <w:t>Shared claim-specific concepts:</w:t>
      </w:r>
      <w:r>
        <w:t xml:space="preserve"> climate, land, cover, over, period, main; EU scope visible. This is a provisional connection, not an outcome finding.</w:t>
      </w:r>
    </w:p>
    <w:p>
      <w:pPr>
        <w:pStyle w:val="SourceNote"/>
      </w:pPr>
      <w:r>
        <w:rPr>
          <w:b/>
        </w:rPr>
        <w:t>Available abstract (not full text):</w:t>
      </w:r>
      <w:r>
        <w:t xml:space="preserve"> Land use and its change impact food security, carbon cycling, biodiversity, and, hence, the condition of ecosystems to mitigate and adapt to climate change, support economic prosperity, and human well-being. To support and guide policy actions between the economy and the environment, harmonized time series datasets, transparent methodologies, and easily interpretable statistics are needed. Therefore, monitoring of the function and condition of lands and their change, along with properly agreed methodologies and freely accessible data, are essential. The Copernicus Land Monitoring Service has produced over 20 years of Corine Land Cover datasets for 39 countries in Europe, which allows continental-wide harmonized and comparable monitoring and accounting of land cover and land use change at a high thematic resolution and in a long time series (2000–2018). With the upcoming 2024 update, the time series will reach a unique product worldwide in terms of time series length, spatial resolution, extent, and thematic detail, enabling policymakers and the scientific community to address the main anthropogenic drivers of land and ecosystem degradation. This paper describes a unified approach for producing continental-wide land accounts that aligns with internationally agreed-upon standards for measuring the environment and its relationship with the economy. Furthermore, the study provides </w:t>
      </w:r>
    </w:p>
    <w:p>
      <w:pPr/>
      <w:r>
        <w:rPr>
          <w:b/>
        </w:rPr>
        <w:t>POSSIBLE 2024:</w:t>
      </w:r>
      <w:r>
        <w:t xml:space="preserve"> The impact of lakes on the European climate as simulated by a regional climate model — https://doi.org/10.60910/3pj6-v2hf</w:t>
      </w:r>
    </w:p>
    <w:p>
      <w:pPr/>
      <w:r>
        <w:rPr>
          <w:b/>
        </w:rPr>
        <w:t>Shared claim-specific concepts:</w:t>
      </w:r>
      <w:r>
        <w:t xml:space="preserve"> climate, land, precipitation, temperature, over; EU scope visible. This is a provisional connection, not an outcome finding.</w:t>
      </w:r>
    </w:p>
    <w:p>
      <w:pPr>
        <w:pStyle w:val="SourceNote"/>
      </w:pPr>
      <w:r>
        <w:rPr>
          <w:b/>
        </w:rPr>
        <w:t>Available abstract (not full text):</w:t>
      </w:r>
      <w:r>
        <w:t xml:space="preserve"> The impact of lakes on the European climate is considered by analysing two 30-year regional climate model (RCM) simulations.The RCM applied is the Rossby Centre regional climate model RCA3.5.A simulation where all lakes in the model domain are replaced by land surface is compared with a simulation where the effect of lakes is accounted for through the use of the lake model FLake coupled to RCA.The difference in 2m open-land air temperature between the two simulations shows that lakes induce a warming on the European climate for all seasons.The greatest impact is seen during autumn and winter over southern Finland and western Russia where the warming exceeds 1 °C.Locally, e.g. over southern Finland and over Lake Ladoga, the convective precipitation is enhanced by 20%-40% during late summer and early autumn while it is reduced by more than 70% over Lake Ladoga during early summer.</w:t>
      </w:r>
    </w:p>
    <w:p>
      <w:pPr/>
      <w:r>
        <w:rPr>
          <w:b/>
        </w:rPr>
        <w:t>POSSIBLE 2024:</w:t>
      </w:r>
      <w:r>
        <w:t xml:space="preserve"> Contribution of climate change to the spatial expansion of West Nile virus in Europe — https://doi.org/10.1038/s41467-024-45290-3</w:t>
      </w:r>
    </w:p>
    <w:p>
      <w:pPr/>
      <w:r>
        <w:rPr>
          <w:b/>
        </w:rPr>
        <w:t>Shared claim-specific concepts:</w:t>
      </w:r>
      <w:r>
        <w:t xml:space="preserve"> climate, environmental, period; EU scope visible. This is a provisional connection, not an outcome finding.</w:t>
      </w:r>
    </w:p>
    <w:p>
      <w:pPr>
        <w:pStyle w:val="SourceNote"/>
      </w:pPr>
      <w:r>
        <w:rPr>
          <w:b/>
        </w:rPr>
        <w:t>Available abstract (not full text):</w:t>
      </w:r>
      <w:r>
        <w:t xml:space="preserve"> West Nile virus (WNV) is an emerging mosquito-borne pathogen in Europe where it represents a new public health threat. While climate change has been cited as a potential driver of its spatial expansion on the continent, a formal evaluation of this causal relationship is lacking. Here, we investigate the extent to which WNV spatial expansion in Europe can be attributed to climate change while accounting for other direct human influences such as land-use and human population changes. To this end, we trained ecological niche models to predict the risk of local WNV circulation leading to human cases to then unravel the isolated effect of climate change by comparing factual simulations to a counterfactual based on the same environmental changes but a counterfactual climate where long-term trends have been removed. Our findings demonstrate a notable increase in the area ecologically suitable for WNV circulation during the period 1901-2019, whereas this area remains largely unchanged in a no-climate-change counterfactual. We show that the drastic increase in the human population at risk of exposure is partly due to historical changes in population density, but that climate change has also been a critical driver behind the heightened risk of WNV circulation in Europe.</w:t>
      </w:r>
    </w:p>
    <w:p>
      <w:pPr/>
      <w:r>
        <w:rPr>
          <w:b/>
        </w:rPr>
        <w:t>POSSIBLE 2023:</w:t>
      </w:r>
      <w:r>
        <w:t xml:space="preserve"> High-resolution land use and land cover dataset for regional climate modelling: historical and future changes in Europe — https://doi.org/10.5194/essd-15-3819-2023</w:t>
      </w:r>
    </w:p>
    <w:p>
      <w:pPr/>
      <w:r>
        <w:rPr>
          <w:b/>
        </w:rPr>
        <w:t>Shared claim-specific concepts:</w:t>
      </w:r>
      <w:r>
        <w:t xml:space="preserve"> climate, land, cover, used, input, environmental; EU scope visible. This is a provisional connection, not an outcome finding.</w:t>
      </w:r>
    </w:p>
    <w:p>
      <w:pPr>
        <w:pStyle w:val="SourceNote"/>
      </w:pPr>
      <w:r>
        <w:rPr>
          <w:b/>
        </w:rPr>
        <w:t>Available abstract (not full text):</w:t>
      </w:r>
      <w:r>
        <w:t xml:space="preserve"> Anthropogenic land use and land cover change (LULCC) is a major driver of environmental changes. The biophysical impacts of these changes on the regional climate in Europe are currently being extensively investigated within the World Climate Research Program (WCRP) Coordinated Downscaling Experiment (CORDEX) Flagship Pilot Study (FPS) Land Use and Climate Across Scales (LUCAS)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Land Use and land Cover change (LUC) dataset version 1.1 at 0.1 ∘ resolution for Europe with annual LULC maps from 1950 to 2100 (https://doi.org/10.26050/WDCC/LUC_hist_EU_v1.1, Hoffmann et al., 2022b, https://doi.org/10.26050/WDCC/LUC_future_EU_v1.1, Hoffmann et al., 2022a), which is tailored to use in state-of-the-art RCMs. The plant functional type (PFT) distribution for the year 2015 (i.e. the Modelling human LAND surface Modifications and its feedbacks on local and regional cliMATE – LANDMATE – PFT dataset) is derived from the European Space Agency Climate Change Initiative Land Cover (ESA-CCI LC) dataset. Details on the conversio</w:t>
      </w:r>
    </w:p>
    <w:p>
      <w:pPr/>
      <w:r>
        <w:rPr>
          <w:b/>
        </w:rPr>
        <w:t>POSSIBLE 2023:</w:t>
      </w:r>
      <w:r>
        <w:t xml:space="preserve"> Land-use- and climate-mediated variations in soil bacterial and fungal biomass across Europe and their driving factors — https://doi.org/10.1016/j.geoderma.2023.116474</w:t>
      </w:r>
    </w:p>
    <w:p>
      <w:pPr/>
      <w:r>
        <w:rPr>
          <w:b/>
        </w:rPr>
        <w:t>Shared claim-specific concepts:</w:t>
      </w:r>
      <w:r>
        <w:t xml:space="preserve"> climate, land; EU scope visible. This is a provisional connection, not an outcome finding.</w:t>
      </w:r>
    </w:p>
    <w:p>
      <w:pPr>
        <w:pStyle w:val="SourceNote"/>
      </w:pPr>
      <w:r>
        <w:rPr>
          <w:b/>
        </w:rPr>
        <w:t>Available abstract (not full text):</w:t>
      </w:r>
      <w:r>
        <w:t xml:space="preserve"> Elucidating contents and drivers of soil bacterial and fungal biomass in contrasting land uses and climates at European scale is useful to define appropriate policies for the conservation of the ecosystem services that soil microorganisms provide. Here, we aimed to (i) quantify and compare bacterial and fungal biomass in 513 European soils collected from three different land uses (forests, grasslands, and croplands) and climates (arid, temperate, and cold) through analysis of fatty acid methyl esters; (ii) model the factors controlling soil bacterial and fungal biomass; and (iii) investigating levels of bacterial and fungal biomass in cropland soils cultivated with three important crop types in Europe: cereals, oil-producing crops, and orchards. Bacterial biomass decreased with land use in the following order: grasslands &gt; croplands &gt; forests and was found to be the highest in temperate environments. Similar patterns were found for biomass of Gram-positive and Gram-negative bacteria and Actinobacteria. Soil fungal biomass was greater in forests than in croplands and grasslands and was favoured by colder environments. The fungi to bacteria ratio (F/B) decreased as follows: forests &gt; croplands &gt; grasslands, with soils in colder climates showing greater F/B ratios in croplands and forests. Soil texture, soil organic carbon, and nitrogen were shown to directly drive bacterial and f</w:t>
      </w:r>
    </w:p>
    <w:p>
      <w:pPr/>
      <w:r>
        <w:rPr>
          <w:b/>
        </w:rPr>
        <w:t>POSSIBLE 2022:</w:t>
      </w:r>
      <w:r>
        <w:t xml:space="preserve"> Land–climate interactions — https://doi.org/10.1017/9781009157988.004</w:t>
      </w:r>
    </w:p>
    <w:p>
      <w:pPr/>
      <w:r>
        <w:rPr>
          <w:b/>
        </w:rPr>
        <w:t>Shared claim-specific concepts:</w:t>
      </w:r>
      <w:r>
        <w:t xml:space="preserve"> climate, land; EU scope not established. This is a provisional connection, not an outcome finding.</w:t>
      </w:r>
    </w:p>
    <w:p>
      <w:pPr>
        <w:pStyle w:val="SourceNote"/>
      </w:pPr>
      <w:r>
        <w:rPr>
          <w:b/>
        </w:rPr>
        <w:t>Available abstract (not full text):</w:t>
      </w:r>
      <w:r>
        <w:t xml:space="preserve"> responses to warming and changes in soil moisture ......</w:t>
      </w:r>
    </w:p>
    <w:p>
      <w:pPr/>
      <w:r>
        <w:rPr>
          <w:b/>
        </w:rPr>
        <w:t>POSSIBLE 2022:</w:t>
      </w:r>
      <w:r>
        <w:t xml:space="preserve"> High-resolution land use and land cover dataset for regional climate modelling: Historical and future changes in Europe — https://doi.org/10.5194/essd-2022-431</w:t>
      </w:r>
    </w:p>
    <w:p>
      <w:pPr/>
      <w:r>
        <w:rPr>
          <w:b/>
        </w:rPr>
        <w:t>Shared claim-specific concepts:</w:t>
      </w:r>
      <w:r>
        <w:t xml:space="preserve"> climate, land, cover, used, input, environmental; EU scope visible. This is a provisional connection, not an outcome finding.</w:t>
      </w:r>
    </w:p>
    <w:p>
      <w:pPr>
        <w:pStyle w:val="SourceNote"/>
      </w:pPr>
      <w:r>
        <w:rPr>
          <w:b/>
        </w:rPr>
        <w:t>Available abstract (not full text):</w:t>
      </w:r>
      <w:r>
        <w:t xml:space="preserve"> Abstract. Anthropogenic land-use and land cover change (LULCC) is a major driver of environmental changes. The biophysical impacts of these changes on the regional climate in Europe are currently extensively investigated within the WCRP CORDEX Flagship Pilot Study (FPS) LUCAS - "Land Use and Climate Across Scales" using an ensemble of different Regional Climate Models (RCMs) coupled with diverse Land Surface Models (LSMs). In order to investigate the impact of realistic LULCC on past and future climates, high-resolution datasets with observed LULCC and projected future LULCC scenarios are required as input for the RCM-LSM simulations. To account for these needs, we generated the LUCAS LUC dataset Version 1.1 at 0.1° resolution for Europe with annual LULC maps from 1950–2100 (Hoffmann et al., 2022b, a), which is tailored towards the use in state-of-the-art RCMs. The plant functional type distribution (PFT) for the year 2015 (i.e., LANDMATE PFT dataset) is derived from the European Space Agency Climate Change Initiative Land Cover (ESA-CCI LC) dataset. Details about the conversion method, cross-walking procedure and the evaluation of the LANDMATE PFT dataset are given in the companion paper by Reinhart et al. (2022b). Subsequently, we applied the land-use change information from the Land-Use Harmonization 2 (LUH2) dataset, provided at 0.25° resolution as input for CMIP6 experimen</w:t>
      </w:r>
    </w:p>
    <w:p>
      <w:pPr/>
      <w:r>
        <w:rPr>
          <w:b/>
        </w:rPr>
        <w:t>POSSIBLE 2022:</w:t>
      </w:r>
      <w:r>
        <w:t xml:space="preserve"> 21st Century alpine climate change — https://doi.org/10.1007/s00382-022-06303-3</w:t>
      </w:r>
    </w:p>
    <w:p>
      <w:pPr/>
      <w:r>
        <w:rPr>
          <w:b/>
        </w:rPr>
        <w:t>Shared claim-specific concepts:</w:t>
      </w:r>
      <w:r>
        <w:t xml:space="preserve"> climate, cover, precipitation, temperature, over, main; EU scope visible. This is a provisional connection, not an outcome finding.</w:t>
      </w:r>
    </w:p>
    <w:p>
      <w:pPr>
        <w:pStyle w:val="SourceNote"/>
      </w:pPr>
      <w:r>
        <w:rPr>
          <w:b/>
        </w:rPr>
        <w:t>Available abstract (not full text):</w:t>
      </w:r>
      <w:r>
        <w:t xml:space="preserve"> Abstract A comprehensive assessment of twenty-first century climate change in the European Alps is presented. The analysis is based on the EURO-CORDEX regional climate model ensemble available at two grid spacings (12.5 and 50 km) and for three different greenhouse gas emission scenarios (RCPs 2.6, 4.5 and 8.5). The core simulation ensemble has been subject to a dedicated evaluation exercise carried out in the frame of the CH2018 Climate Scenarios for Switzerland. Results reveal that the entire Alpine region will face a warmer climate in the course of the twenty-first century for all emission scenarios considered. Strongest warming is projected for the summer season, for regions south of the main Alpine ridge and for the high-end RCP 8.5 scenario. Depending on the season, medium to high elevations might experience an amplified warming. Model uncertainty can be considerable, but the major warming patterns are consistent across the ensemble. For precipitation, a seasonal shift of precipitation amounts from summer to winter over most parts of the domain is projected. However, model uncertainty is high and individual simulations can show change signals of opposite sign. Daily precipitation intensity is projected to increase in all seasons and all sub-domains, while the wet-day frequency will decrease in the summer season. The projected temperature change in summer is negatively cor</w:t>
      </w:r>
    </w:p>
    <w:p>
      <w:pPr>
        <w:pStyle w:val="Heading2"/>
      </w:pPr>
      <w:r>
        <w:t>1009. Regulating the Use of Bisphenol A in Baby and Children's Products in the European Union: Current Developments and Scenarios for the Regulatory Future</w:t>
      </w:r>
    </w:p>
    <w:p>
      <w:pPr>
        <w:pStyle w:val="SourceNote"/>
      </w:pPr>
      <w:r>
        <w:rPr>
          <w:b/>
        </w:rPr>
        <w:t>Original source (2011):</w:t>
      </w:r>
      <w:r>
        <w:t xml:space="preserve"> https://doi.org/10.1017/s1867299x00000593</w:t>
      </w:r>
    </w:p>
    <w:p>
      <w:pPr/>
      <w:r>
        <w:t>Original wording (abstract; indexed_source_text_not_full_document_verified): Apart from regulatory exposure limits (Tolerable Daily Intake levels (TDI), Bisphenol A is currently not subject to any restrictions in use yet (although BPA will be subject to a ban on the EU level from spring 2011 onwards). However, with the REACH framework (Registration, Evaluation, Authorisation of Chemicals), a new regulatory framework for EU's chemical policy in place since June 2007, these exposure limits may be reviewed and BPA may face regulatory action.</w:t>
      </w:r>
    </w:p>
    <w:p>
      <w:pPr/>
      <w:r>
        <w:rPr>
          <w:b/>
        </w:rPr>
        <w:t>POSSIBLE 2026:</w:t>
      </w:r>
      <w:r>
        <w:t xml:space="preserve"> Legal regulatory frameworks of radon spas in central Europe — https://doi.org/10.1007/s00411-026-01203-0</w:t>
      </w:r>
    </w:p>
    <w:p>
      <w:pPr/>
      <w:r>
        <w:rPr>
          <w:b/>
        </w:rPr>
        <w:t>Shared claim-specific concepts:</w:t>
      </w:r>
      <w:r>
        <w:t xml:space="preserve"> regulatory, exposure, yet; EU scope visible. This is a provisional connection, not an outcome finding.</w:t>
      </w:r>
    </w:p>
    <w:p>
      <w:pPr>
        <w:pStyle w:val="SourceNote"/>
      </w:pPr>
      <w:r>
        <w:rPr>
          <w:b/>
        </w:rPr>
        <w:t>Available abstract (not full text):</w:t>
      </w:r>
      <w:r>
        <w:t xml:space="preserve"> This study synthesises publicly available information on legal regulatory frameworks that explicitly or implicitly govern radon spa designation and/or identification in six Central European countries: Austria, the Czech Republic, Germany, Hungary, Poland, and Slovakia. Employing analytical and comparative methods in Social Sciences and Humanities research, this study examines official documents, legal norms, and academic literature to address gaps in understanding radon spa regulation within, and partially beyond, the context of the RadoNorm project. Findings reveal substantial disparities in legally established thresholds distinguishing medicinal and non-medicinal bathing waters based on radon concentrations, ranging from as little as 74 Bq/L in Poland (and potentially only 37 Bq/L in Hungary) to as high as 1,500 Bq/L in the Czech Republic, with intermediate values of 370 Bq/L in Austria and 666 Bq/L in Germany and Slovakia. These pronounced differences present significant challenges for cross-national comparative research and broader conceptualisation efforts concerning radon spa academic definitions. As an incidental finding, this study also identifies varying approaches to workplace safety regulations for spa employees, with Austria and Germany following one approach and the Czech Republic another. Overall, the study contributes to the dissemination of RadoNorm project find</w:t>
      </w:r>
    </w:p>
    <w:p>
      <w:pPr/>
      <w:r>
        <w:rPr>
          <w:b/>
        </w:rPr>
        <w:t>POSSIBLE 2026:</w:t>
      </w:r>
      <w:r>
        <w:t xml:space="preserve"> Regional Varieties of Regulatory Capitalism and Predatory Lending — https://doi.org/10.1017/s0003975626100393</w:t>
      </w:r>
    </w:p>
    <w:p>
      <w:pPr/>
      <w:r>
        <w:rPr>
          <w:b/>
        </w:rPr>
        <w:t>Shared claim-specific concepts:</w:t>
      </w:r>
      <w:r>
        <w:t xml:space="preserve"> regulatory, not, use; EU scope visible. This is a provisional connection, not an outcome finding.</w:t>
      </w:r>
    </w:p>
    <w:p>
      <w:pPr>
        <w:pStyle w:val="SourceNote"/>
      </w:pPr>
      <w:r>
        <w:rPr>
          <w:b/>
        </w:rPr>
        <w:t>Available abstract (not full text):</w:t>
      </w:r>
      <w:r>
        <w:t xml:space="preserve"> Abstract Alternative financial institutions have grown as a source of credit for low-income borrowers deemed credit risks by banks. This article examines how predatory lending flourishes despite regulatory tightening. I theorize three varieties of regulatory capitalism in North America, the Asia-Pacific, and Europe, each shaped by its developmental history and each of which influences different forms of collateralization, regulatory evasion, and risk laundering that predatory lenders pursue for profit. In North America, a region characterized by liberal market economies and a fragmented regulatory environment, firms adopt tactics such as the use of scalable resale markets to collateralize borrowers’ goods through pawnshop chains, regulatory evasion through legal arbitrage, and risk laundering in the form of secondary market sales. In the Asia-Pacific, where microloans are historically entrenched and formal institutions are weak, firms adopt tactics such as collateralizing personal gold and personal jewelry to defy traceability, regulatory evasion through product substitution, and risk laundering by shifting operations across the region. In Europe, which is characterized by coordinated market economies with strong consumer protections and high institutional trust, firms largely pivot away from collateralization toward bundling their collateral with insurance as a means of evadin</w:t>
      </w:r>
    </w:p>
    <w:p>
      <w:pPr/>
      <w:r>
        <w:rPr>
          <w:b/>
        </w:rPr>
        <w:t>POSSIBLE 2025:</w:t>
      </w:r>
      <w:r>
        <w:t xml:space="preserve"> Gloves Standards and Occupational Exposure to Antineoplastic Drugs in the European Context — https://doi.org/10.1002/hsr2.70592</w:t>
      </w:r>
    </w:p>
    <w:p>
      <w:pPr/>
      <w:r>
        <w:rPr>
          <w:b/>
        </w:rPr>
        <w:t>Shared claim-specific concepts:</w:t>
      </w:r>
      <w:r>
        <w:t xml:space="preserve"> regulatory, exposure, not, any, use; EU scope visible. This is a provisional connection, not an outcome finding.</w:t>
      </w:r>
    </w:p>
    <w:p>
      <w:pPr>
        <w:pStyle w:val="SourceNote"/>
      </w:pPr>
      <w:r>
        <w:rPr>
          <w:b/>
        </w:rPr>
        <w:t>Available abstract (not full text):</w:t>
      </w:r>
      <w:r>
        <w:t xml:space="preserve"> Background and Aims: Over 12 million healthcare professionals in Europe are exposed to hazardous medicinal products, including antineoplastic drugs. Dermal route is recognized as the primary route of exposure to antineoplastic drugs, emphasizing the critical importance of skin protection provided by gloves, which necessitates a careful and specific selection process. This study aims to compare the current European standard EN 16523-1:2015 + A1:2018 with the ASTM D6978-05(2023) standard used in the United States. Methods: Firstly, the three main performance parameters to consider when selecting gloves are described: standardized breakthrough time, standardized permeation rate, and cumulative permeation. Subsequently, the current European and American standards are compared based on the following criteria: part of the glove tested, substances tested, standardized permeation rate, test duration, test temperature, and the information provided on the glove packaging. Additionally, and with a focus on safety, clear examples of how to interpret graphical symbols and indications available on glove packaging are provided to enhance the transferability of the information contained in this study to healthcare settings. Results: There is a significant disparity between the requirements of the two standards. Indeed, the only European standard applicable in the context of glove permeation by</w:t>
      </w:r>
    </w:p>
    <w:p>
      <w:pPr/>
      <w:r>
        <w:rPr>
          <w:b/>
        </w:rPr>
        <w:t>POSSIBLE 2024:</w:t>
      </w:r>
      <w:r>
        <w:t xml:space="preserve"> Rare disease clinical trials in the European Union: navigating regulatory and clinical challenges — https://doi.org/10.1186/s13023-024-03146-5</w:t>
      </w:r>
    </w:p>
    <w:p>
      <w:pPr/>
      <w:r>
        <w:rPr>
          <w:b/>
        </w:rPr>
        <w:t>Shared claim-specific concepts:</w:t>
      </w:r>
      <w:r>
        <w:t xml:space="preserve"> regulatory, not, any; EU scope visible. This is a provisional connection, not an outcome finding.</w:t>
      </w:r>
    </w:p>
    <w:p>
      <w:pPr>
        <w:pStyle w:val="SourceNote"/>
      </w:pPr>
      <w:r>
        <w:rPr>
          <w:b/>
        </w:rPr>
        <w:t>Available abstract (not full text):</w:t>
      </w:r>
      <w:r>
        <w:t xml:space="preserve"> BACKGROUND: Clinical development for orphan drugs presents significant difficulties and challenges. There is no unique or standard design, conduct, and outcome assessment methodology and it is sometimes impractical to fit design models of rare disease trials in any practiced and well-known framework. In the European Union (EU) these challenges encompass a broad array of subjects, including trial design, study outcomes, patient recruitment, trial conduct ethics, trial cost, and chances of success. This literature-based review study aims to provide a thorough overview of the critical aspects of rare disease trials in the EU by analyzing the current landscape of rare disease trials, highlighting key challenges, delving into regulatory and research initiatives and innovation in trial designs, and proposing multi-faceted solutions to implement effective rare disease clinical trials in the region. DISCUSSION: Traditional clinical trial designs, validation, and evaluation methodologies used for nonorphan drugs often prove unsuitable for orphan drugs, given the small patient populations, sometimes fewer than 1000 cases. There is an increasing need for accessible therapies and both regulators as well as industry are trying to develop affordable and effective drugs to address this need. Despite several steps that have been taken, the timely development of drugs remains a challenge. One o</w:t>
      </w:r>
    </w:p>
    <w:p>
      <w:pPr/>
      <w:r>
        <w:rPr>
          <w:b/>
        </w:rPr>
        <w:t>POSSIBLE 2024:</w:t>
      </w:r>
      <w:r>
        <w:t xml:space="preserve"> Noise Exposure and Mitigation on High-Speed Craft: Assessing Acoustic Environment and Regulatory Compliance — https://doi.org/10.3390/jmse12122329</w:t>
      </w:r>
    </w:p>
    <w:p>
      <w:pPr/>
      <w:r>
        <w:rPr>
          <w:b/>
        </w:rPr>
        <w:t>Shared claim-specific concepts:</w:t>
      </w:r>
      <w:r>
        <w:t xml:space="preserve"> regulatory, exposure, levels; EU scope visible. This is a provisional connection, not an outcome finding.</w:t>
      </w:r>
    </w:p>
    <w:p>
      <w:pPr>
        <w:pStyle w:val="SourceNote"/>
      </w:pPr>
      <w:r>
        <w:rPr>
          <w:b/>
        </w:rPr>
        <w:t>Available abstract (not full text):</w:t>
      </w:r>
      <w:r>
        <w:t xml:space="preserve"> High-speed craft (HSC) present unique challenges regarding on-board noise levels, affecting crew safety, comfort, and operational efficiency. This study investigates noise exposure and mitigation strategies aboard three Ro-Pax HSC vessels operating in southern Spain, with a focus on noise sources, regulatory compliance, and crew health. Full-scale experimental measurements were conducted in critical on-board locations, and noise maps were developed to identify areas where sound levels exceed International Maritime Organization (IMO) and European Directive 2003/10/EC thresholds. Results highlight that engine rooms and propulsion systems are the primary sources of excessive noise, with significant transmission to passenger and crew accommodation areas. Noise exposure calculations reveal that several crew roles, particularly engineers and deckhands, face exposure to hazardous noise levels during routine operations. Mitigation strategies, including improved insulation, noise mapping, and the implementation of hearing protection, are recommended to enhance on-board acoustic conditions. This research contributes to a deeper understanding of noise pollution on HSC vessels and proposes practical interventions to reduce exposure, improving overall maritime safety and occupational health.</w:t>
      </w:r>
    </w:p>
    <w:p>
      <w:pPr/>
      <w:r>
        <w:rPr>
          <w:b/>
        </w:rPr>
        <w:t>POSSIBLE 2024:</w:t>
      </w:r>
      <w:r>
        <w:t xml:space="preserve"> Scientific opinion on the tolerable upper intake level for iron — https://doi.org/10.2903/j.efsa.2024.8819</w:t>
      </w:r>
    </w:p>
    <w:p>
      <w:pPr/>
      <w:r>
        <w:rPr>
          <w:b/>
        </w:rPr>
        <w:t>Shared claim-specific concepts:</w:t>
      </w:r>
      <w:r>
        <w:t xml:space="preserve"> tolerable, intake, levels, not, level; EU scope visible. This is a provisional connection, not an outcome finding.</w:t>
      </w:r>
    </w:p>
    <w:p>
      <w:pPr>
        <w:pStyle w:val="SourceNote"/>
      </w:pPr>
      <w:r>
        <w:rPr>
          <w:b/>
        </w:rPr>
        <w:t>Available abstract (not full text):</w:t>
      </w:r>
      <w:r>
        <w:t xml:space="preserve"> Abstract Following a request from the European Commission, the EFSA Panel on Nutrition, Novel Foods and Food Allergens (NDA) was asked to deliver a scientific opinion on the tolerable upper intake level (UL) for iron. Systematic reviews were conducted to identify evidence regarding high iron intakes and risk of chronic diseases, adverse gastrointestinal effects and adverse effects of iron supplementation in infancy, young childhood and pregnancy. It is established that systemic iron overload leads to organ toxicity, but no UL could be established. The only indicator for which a dose–response could be established was black stools, which reflect the presence of large amounts of unabsorbed iron in the gut. This is a conservative endpoint among the chain of events that may lead to systemic iron overload but is not adverse per se. Based on interventions in which black stools did not occur at supplemental iron intakes of 20–25 mg/day (added to a background intake of 15 mg/day), a safe level of intake for iron of 40 mg/day for adults (including pregnant and lactating women) was established. Using allometric scaling (body weight0.75), this value was scaled down to children and adolescents and safe levels of intakes between 10 mg/day (1–3 years) and 35 mg/day (15–17 years) were derived. For infants 7–11 months of age who have a higher iron requirement than young children, allometric sca</w:t>
      </w:r>
    </w:p>
    <w:p>
      <w:pPr/>
      <w:r>
        <w:rPr>
          <w:b/>
        </w:rPr>
        <w:t>POSSIBLE 2022:</w:t>
      </w:r>
      <w:r>
        <w:t xml:space="preserve"> Exposure modelling in Europe: how to pave the road for the future as part of the European Exposure Science Strategy 2020–2030 — https://doi.org/10.1038/s41370-022-00455-4</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Exposure models are essential in almost all relevant contexts for exposure science. To address the numerous challenges and gaps that exist, exposure modelling is one of the priority areas of the European Exposure Science Strategy developed by the European Chapter of the International Society of Exposure Science (ISES Europe). A strategy was developed for the priority area of exposure modelling in Europe with four strategic objectives. These objectives are (1) improvement of models and tools, (2) development of new methodologies and support for understudied fields, (3) improvement of model use and (4) regulatory needs for modelling. In a bottom-up approach, exposure modellers from different European countries and institutions who are active in the fields of occupational, population and environmental exposure science pooled their expertise under the umbrella of the ISES Europe Working Group on exposure models. This working group assessed the state-of-the-art of exposure modelling in Europe by developing an inventory of exposure models used in Europe and reviewing the existing literature on pitfalls for exposure modelling, in order to identify crucial modelling-related strategy elements. Decisive actions were defined for ISES Europe stakeholders, including collecting available models and accompanying information in a living document curated and published by ISES Europe, as well as</w:t>
      </w:r>
    </w:p>
    <w:p>
      <w:pPr/>
      <w:r>
        <w:rPr>
          <w:b/>
        </w:rPr>
        <w:t>POSSIBLE 2022:</w:t>
      </w:r>
      <w:r>
        <w:t xml:space="preserve"> European Regulatory and Insurance Aspects of Carbon Capture and Storage — https://doi.org/10.54648/eelr2022024</w:t>
      </w:r>
    </w:p>
    <w:p>
      <w:pPr/>
      <w:r>
        <w:rPr>
          <w:b/>
        </w:rPr>
        <w:t>Shared claim-specific concepts:</w:t>
      </w:r>
      <w:r>
        <w:t xml:space="preserve"> regulatory, not, any, use, however; EU scope visible. This is a provisional connection, not an outcome finding.</w:t>
      </w:r>
    </w:p>
    <w:p>
      <w:pPr>
        <w:pStyle w:val="SourceNote"/>
      </w:pPr>
      <w:r>
        <w:rPr>
          <w:b/>
        </w:rPr>
        <w:t>Available abstract (not full text):</w:t>
      </w:r>
      <w:r>
        <w:t xml:space="preserve"> Carbon capture, use and storage (CCUS) has the potential to significantly reduce carbon emissions, however, because CCUS technology almost exclusively aims for carbon mitigation without co-benefits, this expensive technology has not been widely adopted. In order to make this technology viable, a robust regulatory and legal regime is required both internationally and within the European Union (EU). A comprehensive insurance system is also required to ensure that efficient running of CCUS. With this understanding in mind, this article analyses the regulatory regime governing CCUS both internationally and in the EU and also the law governing insurance of this technology. It argues that whilst European regulation has improved with respect to filling regulatory gaps, a number of gaps are identified which still need to be closed. In addition, the article will argue that special insurance coverage for specialized risks must be in place to diminish any environmental impact and hazard, including cyber-related risks that need to be identified and insured to be properly handled and adequately covered to allow for the successful deployment of CCUS. Carbon capture, use and storage; climate change; climate change mitigation; environmental insurance; cyber insurance; EU environmental law</w:t>
      </w:r>
    </w:p>
    <w:p>
      <w:pPr/>
      <w:r>
        <w:rPr>
          <w:b/>
        </w:rPr>
        <w:t>POSSIBLE 2022:</w:t>
      </w:r>
      <w:r>
        <w:t xml:space="preserve"> Electromagnetic Fields Exposure Assessment in Europe Utilizing Publicly Available Data — https://doi.org/10.3390/s22218481</w:t>
      </w:r>
    </w:p>
    <w:p>
      <w:pPr/>
      <w:r>
        <w:rPr>
          <w:b/>
        </w:rPr>
        <w:t>Shared claim-specific concepts:</w:t>
      </w:r>
      <w:r>
        <w:t xml:space="preserve"> exposure, limits, levels, use; EU scope visible. This is a provisional connection, not an outcome finding.</w:t>
      </w:r>
    </w:p>
    <w:p>
      <w:pPr>
        <w:pStyle w:val="SourceNote"/>
      </w:pPr>
      <w:r>
        <w:rPr>
          <w:b/>
        </w:rPr>
        <w:t>Available abstract (not full text):</w:t>
      </w:r>
      <w:r>
        <w:t xml:space="preserve"> The ever-increasing use of wireless communication systems during the last few decades has raised concerns about the potential health effects of electromagnetic fields (EMFs) on humans. Safety limits and exposure assessment methods were developed and are regularly updated to mitigate health risks. Continuous radiofrequency EMF monitoring networks and in situ measurement campaigns provide useful information about environmental EMF levels and their variations over time and in different microenvironments. In this study, published data from the five largest monitoring networks and from two extensive in situ measurement campaigns in different European countries were gathered and processed. Median electric field values for monitoring networks across different countries lay in the interval of 0.67-1.51 V/m. The median electric field value across different microenvironments, as evaluated from in situ measurements, varied from 0.10 V/m to 1.42 V/m. The differences between networks were identified and mainly attributed to variations in population density. No significant trends in the temporal evolution of EMF levels were observed. The influences of parameters such as population density, type of microenvironment, and height of measurement on EMF levels were investigated.</w:t>
      </w:r>
    </w:p>
    <w:p>
      <w:pPr/>
      <w:r>
        <w:rPr>
          <w:b/>
        </w:rPr>
        <w:t>POSSIBLE 2021:</w:t>
      </w:r>
      <w:r>
        <w:t xml:space="preserve"> Malignant mesothelioma and asbestos exposure in Europe: Evidence of spatial clustering — https://doi.org/10.4081/gh.2021.951</w:t>
      </w:r>
    </w:p>
    <w:p>
      <w:pPr/>
      <w:r>
        <w:rPr>
          <w:b/>
        </w:rPr>
        <w:t>Shared claim-specific concepts:</w:t>
      </w:r>
      <w:r>
        <w:t xml:space="preserve"> exposure, levels, not, use, yet, however; EU scope visible. This is a provisional connection, not an outcome finding.</w:t>
      </w:r>
    </w:p>
    <w:p>
      <w:pPr>
        <w:pStyle w:val="SourceNote"/>
      </w:pPr>
      <w:r>
        <w:rPr>
          <w:b/>
        </w:rPr>
        <w:t>Available abstract (not full text):</w:t>
      </w:r>
      <w:r>
        <w:t xml:space="preserve"> Exposure to asbestos causes a wide range of diseases, such as asbestosis, malignant mesothelioma (MM) and other types of cancer. Many European countries have reduced production and use of asbestos and some have banned it altogether. Based on data derived from the World Health Organisation (WHO) Cancer Mortality Database, we investigated whether some regions in Europe could have a higher relative risk of MM incidence than others. The data were compared, including the number of MM deaths per million inhabitants and aged-standardized mortality rates. Applying Moran's I and Getis-Ord Gi statistic on the agedstandardized mortality rates of MM cases assisted the spatial analysis of the occurrence of health events leading to an assessment of the heterogeneity of distribution and cluster detection of MM. We found a statistically significant positive autocorrelation for the male population and also the general population, while there was no statistically significant positive one for the female population. Hotspots of relative risk of developing MM were found in northwestern Europe. For the general population, Great Britain and the Netherlands stood out with high levels at the 99% and 95% confidence levels, respectively. For the male population, the results were similar, but with addition of risk also in Belgium and Switzerland. However, in many European countries with high asbestos use </w:t>
      </w:r>
    </w:p>
    <w:p>
      <w:pPr/>
      <w:r>
        <w:rPr>
          <w:b/>
        </w:rPr>
        <w:t>POSSIBLE 2021:</w:t>
      </w:r>
      <w:r>
        <w:t xml:space="preserve"> Enhancing the use of exposure science across EU chemical policies as part of the European Exposure Science Strategy 2020–2030 — https://doi.org/10.1038/s41370-021-00388-4</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BACKGROUND: A scientific framework on exposure science will boost the multiuse of exposure knowledge across EU chemicals-related policies and improve risk assessment, risk management and communication across EU safety, security and sustainability domains. OBJECTIVE: To stimulate public and private actors to align and strengthen the cross-policy adoption of exposure assessment data, methods and tools across EU legislation. METHODS: By mapping and analysing the EU regulatory landscape making use of exposure information, policy and research challenges and key areas of action are identified and translated into opportunities enhancing policy and scientific efficiency. RESULTS: Identified key areas of actions are to develop a common scientific exposure assessment framework, supported by baseline acceptance criteria and a shared knowledge base enhancing exchangeability and acceptability of exposure knowledge within and across EU chemicals-related policies. Furthermore, such framework will improve communication and management across EU chemical safety, security and sustainability policies comprising sourcing, manufacturing and global trade of goods and waste management. In support of building such a common framework and its effective use in policy and industry, exposure science innovation needs to be better embedded along the whole policymaking cycle, and be integrated into companies' </w:t>
      </w:r>
    </w:p>
    <w:p>
      <w:pPr/>
      <w:r>
        <w:rPr>
          <w:b/>
        </w:rPr>
        <w:t>POSSIBLE 2021:</w:t>
      </w:r>
      <w:r>
        <w:t xml:space="preserve"> ATMP Environmental Exposure Assessment in European Healthcare Settings: A Systematic Review of the Literature — https://doi.org/10.3389/fmed.2021.713047</w:t>
      </w:r>
    </w:p>
    <w:p>
      <w:pPr/>
      <w:r>
        <w:rPr>
          <w:b/>
        </w:rPr>
        <w:t>Shared claim-specific concepts:</w:t>
      </w:r>
      <w:r>
        <w:t xml:space="preserve"> regulatory, exposure, use; EU scope visible. This is a provisional connection, not an outcome finding.</w:t>
      </w:r>
    </w:p>
    <w:p>
      <w:pPr>
        <w:pStyle w:val="SourceNote"/>
      </w:pPr>
      <w:r>
        <w:rPr>
          <w:b/>
        </w:rPr>
        <w:t>Available abstract (not full text):</w:t>
      </w:r>
      <w:r>
        <w:t xml:space="preserve"> Since 2007, a new class of biologic products for human use called "advanced therapy medicinal products (ATMP)" have been legally integrated in the European Medical Agency. They consist of recombinant nucleic acid, engineered cells, cells, or tissues. In the United States, ATMP fall under the regulatory framework of biological products and the term "cell and gene therapy product" is used in the legislative and regulatory documents. Potential clinical applications are broad, particularly, in the field of cancer, inherited genetic disease, and regenerative medicine. Indeed, the benefit conferred by CD19 chimeric antigen receptor T cells led to the first engineered cell therapy products to be approved by the Food and Drug Administration (FDA) in 2017. Gene therapy products to treat orphan diseases are also extensively developed with many clinical trials ongoing in the world. Nevertheless, the use of these therapeutic products is complex and requires careful considerations in the terms of regulatory and hospital setting requirements, such as storage, handling, administration, and disposal which justify the implementation of a secured medication circuit. Through this systematic review of the literature, the authors wanted to compile data on the assessment of environmental exposure related to the use of ATMP in healthcare setting to secure their medication circuit. A literature search</w:t>
      </w:r>
    </w:p>
    <w:p>
      <w:pPr>
        <w:pStyle w:val="Heading2"/>
      </w:pPr>
      <w:r>
        <w:t>1010. The Purpose and Pitfalls of Constructivist Forecasting: Insights from Strategic Culture Research for the European Union’s Evolution as a Military Power1</w:t>
      </w:r>
    </w:p>
    <w:p>
      <w:pPr>
        <w:pStyle w:val="SourceNote"/>
      </w:pPr>
      <w:r>
        <w:rPr>
          <w:b/>
        </w:rPr>
        <w:t>Original source (2011):</w:t>
      </w:r>
      <w:r>
        <w:t xml:space="preserve"> https://doi.org/10.1111/j.1468-2478.2011.00648.x</w:t>
      </w:r>
    </w:p>
    <w:p>
      <w:pPr/>
      <w:r>
        <w:t>Original wording (abstract; indexed_source_text_not_full_document_verified): It argues that insights from strategic culture research are particularly suited to outline trajectories of the likely when combined with the assessment of internal and external drivers of ideational and material change, the examination of discontinuities, and key uncertainties.</w:t>
      </w:r>
    </w:p>
    <w:p>
      <w:pPr/>
      <w:r>
        <w:rPr>
          <w:b/>
        </w:rPr>
        <w:t>POSSIBLE 2026:</w:t>
      </w:r>
      <w:r>
        <w:t xml:space="preserve"> European strategic antinomy — https://doi.org/10.1016/j.polgeo.2026.103616</w:t>
      </w:r>
    </w:p>
    <w:p>
      <w:pPr/>
      <w:r>
        <w:rPr>
          <w:b/>
        </w:rPr>
        <w:t>Shared claim-specific concepts:</w:t>
      </w:r>
      <w:r>
        <w:t xml:space="preserve"> strategic, key, uncertainties; EU scope visible. This is a provisional connection, not an outcome finding.</w:t>
      </w:r>
    </w:p>
    <w:p>
      <w:pPr>
        <w:pStyle w:val="SourceNote"/>
      </w:pPr>
      <w:r>
        <w:rPr>
          <w:b/>
        </w:rPr>
        <w:t>Available abstract (not full text):</w:t>
      </w:r>
      <w:r>
        <w:t xml:space="preserve"> Over the last decade, “strategic autonomy” has emerged as a key geonarrative in debates on EUrope's relation to the world. Initially focused more narrowly on matters of security and defence, it is now being applied to a much wider set of issues. Confronted with the rise of non-Western powers, uncertainties about the future of transatlantic relations, and a wide-spread sense that one-sided dependencies must be reduced, the concept of strategic autonomy is the lens through which EUrope tries to address a broad array of geopolitical and geoeconomic challenges. Yet, Europe struggles to come to terms with the “geo” in geopolitics and geoeconomic. The article advances the argument that these difficulties are an effect of EUrope's self-description and self-observation in universal terms: Obviously, EUrope recognizes the presence of other players on the international scene. But to the extent that European modernity is seen as universal rather than merely European the organization of political space in terms of difference (e.g. geopolitical or geoeconomic competition) runs into contradictions. EUrope envisions itself both as a province among provinces (competing with China and increasingly also the US) and it retains the ambition to singularly represent the world. In a nutshell, casting itself in universal terms, EUrope struggles to process and acknowledge difference, and faced with dif</w:t>
      </w:r>
    </w:p>
    <w:p>
      <w:pPr/>
      <w:r>
        <w:rPr>
          <w:b/>
        </w:rPr>
        <w:t>POSSIBLE 2026:</w:t>
      </w:r>
      <w:r>
        <w:t xml:space="preserve"> De-Europeanization or Strategic Recalibration? Irish Neutrality, NATO Partnership, and Contested Security Identity in a Geopolitical Europe — https://doi.org/10.5281/zenodo.18186394</w:t>
      </w:r>
    </w:p>
    <w:p>
      <w:pPr/>
      <w:r>
        <w:rPr>
          <w:b/>
        </w:rPr>
        <w:t>Shared claim-specific concepts:</w:t>
      </w:r>
      <w:r>
        <w:t xml:space="preserve"> argues, insights, strategic, culture; EU scope visible. This is a provisional connection, not an outcome finding.</w:t>
      </w:r>
    </w:p>
    <w:p>
      <w:pPr>
        <w:pStyle w:val="SourceNote"/>
      </w:pPr>
      <w:r>
        <w:rPr>
          <w:b/>
        </w:rPr>
        <w:t>Available abstract (not full text):</w:t>
      </w:r>
      <w:r>
        <w:t xml:space="preserve"> Abstract This paper examines the theoretical dimensions of Irish neutrality within the context of deepening European security integration and expanding NATO partnership arrangements. Drawing upon Europeanization theory and constructivist approaches to security identity formation, the analysis interrogates whether Ireland's evolving security posture represents a fundamental de-Europeanization of its foreign policy orientation or constitutes a strategic recalibration reflecting adaptive responses to geopolitical transformation. The study extends theoretical frameworks concerning small state behavior, normative contestation, and identity politics within security governance structures. By synthesizing insights from Europeanization scholarship, socialization theory, and critical security studies, the paper develops a conceptual framework for understanding how Ireland navigates the tension between historical neutrality commitments and contemporary security interdependence (Tonra, 2007). The analysis demonstrates that Irish security identity remains fundamentally contested, marked by competing narratives of exceptionalism, pragmatic Atlanticism, and selective multilateralism. Rather than representing linear progression toward either full European defense integration or isolation, Irish policy exhibits characteristics of what may be termed "strategic ambiguity"—a deliberate maintenance</w:t>
      </w:r>
    </w:p>
    <w:p>
      <w:pPr/>
      <w:r>
        <w:rPr>
          <w:b/>
        </w:rPr>
        <w:t>POSSIBLE 2026:</w:t>
      </w:r>
      <w:r>
        <w:t xml:space="preserve"> European manual on strategic culture — https://openalex.org/W7163482322</w:t>
      </w:r>
    </w:p>
    <w:p>
      <w:pPr/>
      <w:r>
        <w:rPr>
          <w:b/>
        </w:rPr>
        <w:t>Shared claim-specific concepts:</w:t>
      </w:r>
      <w:r>
        <w:t xml:space="preserve"> strategic, culture, particularly; EU scope visible. This is a provisional connection, not an outcome finding.</w:t>
      </w:r>
    </w:p>
    <w:p>
      <w:pPr>
        <w:pStyle w:val="SourceNote"/>
      </w:pPr>
      <w:r>
        <w:rPr>
          <w:b/>
        </w:rPr>
        <w:t>Available abstract (not full text):</w:t>
      </w:r>
      <w:r>
        <w:t xml:space="preserve"> Welcome to the manual of strategic culture! We are pleased that you took the time to familiarize yourself with its contents and hope that you’ll see the benefits of this in your daily work. As the authors, we firmly believe that the capacity to identify and assess the characteristics and potential implications of strategic culture on national security behavior constitutes a core professional qualification of contemporary military officers, defense policy experts and decision-makers. Beyond mere awareness of the cultural dimensions of security, the ability to operate effectively within a strategic cultural environment is rapidly becoming an essential component of professional expertise in the field of security and defense policy. Strategic culture is fundamentally something that needs to be experienced, either through engagement in the field, reflection or rigorous analysis. An interest and curiosity toward how strategic views may differ is a good starting point. Conversely, the realization that we tend to think we are special in this regard may guide us out of our strategic cultural “blind spots” and biases. This concise manual is intended to help readers understand and navigate the complex socio-political environment shaped by strategic culture, particularly within European security and defense. It aims to illustrate how strategic culture can affect the ways in which professio</w:t>
      </w:r>
    </w:p>
    <w:p>
      <w:pPr/>
      <w:r>
        <w:rPr>
          <w:b/>
        </w:rPr>
        <w:t>POSSIBLE 2026:</w:t>
      </w:r>
      <w:r>
        <w:t xml:space="preserve"> European Strategic Culture at a Crossroads — https://doi.org/10.4324/9781032636566</w:t>
      </w:r>
    </w:p>
    <w:p>
      <w:pPr/>
      <w:r>
        <w:rPr>
          <w:b/>
        </w:rPr>
        <w:t>Shared claim-specific concepts:</w:t>
      </w:r>
      <w:r>
        <w:t xml:space="preserve"> strategic, culture, key; EU scope visible. This is a provisional connection, not an outcome finding.</w:t>
      </w:r>
    </w:p>
    <w:p>
      <w:pPr>
        <w:pStyle w:val="SourceNote"/>
      </w:pPr>
      <w:r>
        <w:rPr>
          <w:b/>
        </w:rPr>
        <w:t>Available abstract (not full text):</w:t>
      </w:r>
      <w:r>
        <w:t xml:space="preserve"> This book examines European strategic culture at both national and supranational levels. Focusing on elite perceptions extracted from official discourses, this book empirically analyses how the European Union and its member states perceive the important dimensions and their perceptual changes in the foreign security and defence realm and explores their convergence/divergence. It also discusses the prospects for the emergence of a European strategic culture in the context of the Russia–Ukraine war, concluding that, whilst the war has given a boost to Europe’s thinking and approach with respect to security and defence, which may lead to further integration, there had already been convergence in strategic culture between the member states and between them and the EU, even before the war. This book will be of key interest to scholars and students of European foreign, security, and defence policy, and more broadly, to those of European studies, international relations, security studies, and foreign policy.</w:t>
      </w:r>
    </w:p>
    <w:p>
      <w:pPr/>
      <w:r>
        <w:rPr>
          <w:b/>
        </w:rPr>
        <w:t>POSSIBLE 2026:</w:t>
      </w:r>
      <w:r>
        <w:t xml:space="preserve"> Mapping the European Negotiation Landscape: Insights from the 2025 European Negotiation Conference — https://doi.org/10.70714/x3jghe28</w:t>
      </w:r>
    </w:p>
    <w:p>
      <w:pPr/>
      <w:r>
        <w:rPr>
          <w:b/>
        </w:rPr>
        <w:t>Shared claim-specific concepts:</w:t>
      </w:r>
      <w:r>
        <w:t xml:space="preserve"> insights, strategic, internal; EU scope visible. This is a provisional connection, not an outcome finding.</w:t>
      </w:r>
    </w:p>
    <w:p>
      <w:pPr>
        <w:pStyle w:val="SourceNote"/>
      </w:pPr>
      <w:r>
        <w:rPr>
          <w:b/>
        </w:rPr>
        <w:t>Available abstract (not full text):</w:t>
      </w:r>
      <w:r>
        <w:t xml:space="preserve"> This paper examines how geopolitical disruption is reshaping the European negotiation landscape. Against the backdrop of Russia’s invasion of Ukraine, pressure on the rules-based international order, and growing political polarisation, it explores how practitioners perceive current changes in Europe and the European Union. The study draws on 19 semi-structured expert interviews conducted at the 2025 European Negotiation Conference with practitioners, researchers, and educators. Using abductive qualitative content analysis, it focuses on two interconnected levels: macro-level geopolitical and normative shifts, and meso-level institutional and organisational dynamics. The findings indicate that the EU’s normative and value-based framework remains a strategic asset in an increasingly transactional and authoritarian environment, supporting its position as a credible long-term partner. Yet this advantage depends on internal consistency: gaps between proclaimed norms and operational outcomes weaken credibility, trust, and bargaining power. The analysis also shows that the EU’s consensus-oriented, multi-level governance architecture generates legitimacy but, under crisis-driven time pressure, often produces delay and incrementalism.</w:t>
      </w:r>
    </w:p>
    <w:p>
      <w:pPr/>
      <w:r>
        <w:rPr>
          <w:b/>
        </w:rPr>
        <w:t>POSSIBLE 2026:</w:t>
      </w:r>
      <w:r>
        <w:t xml:space="preserve"> Barriers to Research: Insights into the Patchwork of Research Exceptions in European Copyright Laws and Practical Perspectives from European Researchers — https://doi.org/10.5281/zenodo.20492251</w:t>
      </w:r>
    </w:p>
    <w:p>
      <w:pPr/>
      <w:r>
        <w:rPr>
          <w:b/>
        </w:rPr>
        <w:t>Shared claim-specific concepts:</w:t>
      </w:r>
      <w:r>
        <w:t xml:space="preserve"> argues, insights, particularly, assessment, key; EU scope visible. This is a provisional connection, not an outcome finding.</w:t>
      </w:r>
    </w:p>
    <w:p>
      <w:pPr>
        <w:pStyle w:val="SourceNote"/>
      </w:pPr>
      <w:r>
        <w:rPr>
          <w:b/>
        </w:rPr>
        <w:t>Available abstract (not full text):</w:t>
      </w:r>
      <w:r>
        <w:t xml:space="preserve"> About the report Scientific research depends on access to knowledge, data, and cultural resources. Researchers routinely engage with copyright-protected materials when accessing literature, sharing resources, conducting collaborative projects, or applying emerging technologies such as Artificial Intelligence (AI), Machine Learning (ML), and Text and Data Mining (TDM). While copyright law recognises the importance of research through a range of exceptions and limitations, the implementation of these provisions across Europe remains fragmented and uneven. The lack of harmonisation across the European Union creates legal uncertainty for researchers and research institutions operating in increasingly international and digital environments. Differences in national copyright frameworks can affect access to research materials, the ability to process and analyse data, cross-border collaboration, and the dissemination of research outputs. As a result, researchers often face administrative burdens and uncertainty regarding the legality of everyday research activities. This report examines these challenges through a twofold approach. First, it provides a comparative legal analysis of research-related copyright exceptions across 28 European jurisdictions (the EU Member States and the UK). To facilitate this analysis, the report introduces the Index of Research Exceptions (I-REx), a quantit</w:t>
      </w:r>
    </w:p>
    <w:p>
      <w:pPr/>
      <w:r>
        <w:rPr>
          <w:b/>
        </w:rPr>
        <w:t>POSSIBLE 2025:</w:t>
      </w:r>
      <w:r>
        <w:t xml:space="preserve"> DECONSTRUCTING SDG PERFORMANCE FOR STRATEGIC INSIGHT: QUANTITATIVE INSIGHTS FROM TÜRKİYE AND EUROPEAN COUNTRIES — https://doi.org/10.15544/mts.2025.29</w:t>
      </w:r>
    </w:p>
    <w:p>
      <w:pPr/>
      <w:r>
        <w:rPr>
          <w:b/>
        </w:rPr>
        <w:t>Shared claim-specific concepts:</w:t>
      </w:r>
      <w:r>
        <w:t xml:space="preserve"> insights, strategic, particularly; EU scope visible. This is a provisional connection, not an outcome finding.</w:t>
      </w:r>
    </w:p>
    <w:p>
      <w:pPr>
        <w:pStyle w:val="SourceNote"/>
      </w:pPr>
      <w:r>
        <w:rPr>
          <w:b/>
        </w:rPr>
        <w:t>Available abstract (not full text):</w:t>
      </w:r>
      <w:r>
        <w:t xml:space="preserve"> Significant disparities remain in the achievement of Sustainable Development Goals (SDGs) among European Union (EU) member and candidate countries, despite their common commitments. This article aims to address this issue by examining Türkiye's SDG performance through an in-depth, indicator-based comparative analysis with other EU and non-EU European countries. The methods include standardized scoring of indicators on a 1–10 Likert scale, regression analyses, and comparative visualization techniques. The data comprises quantitative SDG indicators from the EUROSTAT database, gathered from April to August 2024, encompassing 79 indicators related to 16 SDGs. Findings reveal that while Türkiye holds the lowest overall rank, it exhibits notably high performance in specific indicators significantly surpassing the European average in certain areas. These strengths highlight substantial potential areas where Türkiye can leverage existing successes to enhance its overall sustainability performance. However, Türkiye also demonstrates critical weaknesses, with the lowest scores in 32 out of 79 indicators, particularly in SDGs such as gender equality, affordable and clean energy, decent work and economic growth, and no poverty. The study’s results provide policymakers with detailed insights into Türkiye's SDG-related strengths and weaknesses, guiding targeted interventions to reinforce and</w:t>
      </w:r>
    </w:p>
    <w:p>
      <w:pPr/>
      <w:r>
        <w:rPr>
          <w:b/>
        </w:rPr>
        <w:t>POSSIBLE 2025:</w:t>
      </w:r>
      <w:r>
        <w:t xml:space="preserve"> Korea in Strategic Competition: A European Perspective — https://openalex.org/W7119569940</w:t>
      </w:r>
    </w:p>
    <w:p>
      <w:pPr/>
      <w:r>
        <w:rPr>
          <w:b/>
        </w:rPr>
        <w:t>Shared claim-specific concepts:</w:t>
      </w:r>
      <w:r>
        <w:t xml:space="preserve"> insights, strategic, key; EU scope visible. This is a provisional connection, not an outcome finding.</w:t>
      </w:r>
    </w:p>
    <w:p>
      <w:pPr>
        <w:pStyle w:val="SourceNote"/>
      </w:pPr>
      <w:r>
        <w:rPr>
          <w:b/>
        </w:rPr>
        <w:t>Available abstract (not full text):</w:t>
      </w:r>
      <w:r>
        <w:t xml:space="preserve"> CSDS In-Depth Paper, No. 20 1 CSDS In-Depth Papers provide critical reflections on issues that affect European security and Europe's partners.The Papers are dedicated to providing analytical insights on specific diplomatic, strategic and security challenges.The Centre for Security, Diplomacy and Strategy (CSDS) seeks to contribute to a better understanding of the key contemporary security and diplomatic challenges of the 21st century -and their impact on Europewhile reaching out to the policy community that will ultimately need to handle such challenges.Our expertise in security studies will seek to establish comprehensive theoretical and policy coverage of strategic competition and its impact on Europe, whilst paying particular attention to the Transatlantic relationship and the wider Indo-Pacific region.Diplomacy as a field of study will be treated broadly and comparatively to encompass traditional statecraft and foreign policy analysis, as well as public, economic and cultural diplomacy.</w:t>
      </w:r>
    </w:p>
    <w:p>
      <w:pPr/>
      <w:r>
        <w:rPr>
          <w:b/>
        </w:rPr>
        <w:t>POSSIBLE 2025:</w:t>
      </w:r>
      <w:r>
        <w:t xml:space="preserve"> Scaling Decision‐Support Tools to Promote Soil Health: Insights From Stakeholders in Europe and Turkey — https://doi.org/10.1111/ejss.70113</w:t>
      </w:r>
    </w:p>
    <w:p>
      <w:pPr/>
      <w:r>
        <w:rPr>
          <w:b/>
        </w:rPr>
        <w:t>Shared claim-specific concepts:</w:t>
      </w:r>
      <w:r>
        <w:t xml:space="preserve"> insights, drivers; EU scope visible. This is a provisional connection, not an outcome finding.</w:t>
      </w:r>
    </w:p>
    <w:p>
      <w:pPr>
        <w:pStyle w:val="SourceNote"/>
      </w:pPr>
      <w:r>
        <w:rPr>
          <w:b/>
        </w:rPr>
        <w:t>Available abstract (not full text):</w:t>
      </w:r>
      <w:r>
        <w:t xml:space="preserve"> ABSTRACT Soil health and climate change are increasingly impacting agriculture across Europe. Decision support tools (DSTs) have emerged as essential tools to help make accurate, evidence‐based agricultural decisions aimed at enhancing productivity, profitability, and effective soil health management. Nevertheless, the adoption of these tools remains limited among farmers and varies across different regions. The aim of this study was to investigate, through a participatory approach, the challenges and drivers influencing the uptake and adoption of DSTs for sustainable soil management in Europe and Turkey. Our goal was to engage various stakeholders to identify the challenges and drivers associated with this process and collaboratively develop actionable recommendations to expand the application of DSTs. Multi‐stakeholder workshops were conducted in Italy, Latvia, Sweden and Turkey, bringing together end‐users, farmers, advisors, tool developers, researchers and policymakers from diverse agricultural contexts. The discussions during these workshops addressed the current use of DSTs, barriers to adoption, and potential solutions for scaling their use. The findings revealed that the primary barriers to adoption and scaling included costs, tool viability, data complexity, limited access to technical support, compatibility issues and insufficient marketing. To overcome these barrier</w:t>
      </w:r>
    </w:p>
    <w:p>
      <w:pPr/>
      <w:r>
        <w:rPr>
          <w:b/>
        </w:rPr>
        <w:t>POSSIBLE 2025:</w:t>
      </w:r>
      <w:r>
        <w:t xml:space="preserve"> Advancing interoperability of data exchange in Europe: Insights from Estonia’s experience for the common European data spaces — https://doi.org/10.1016/j.dib.2025.112361</w:t>
      </w:r>
    </w:p>
    <w:p>
      <w:pPr/>
      <w:r>
        <w:rPr>
          <w:b/>
        </w:rPr>
        <w:t>Shared claim-specific concepts:</w:t>
      </w:r>
      <w:r>
        <w:t xml:space="preserve"> insights, strategic, particularly, key; EU scope visible. This is a provisional connection, not an outcome finding.</w:t>
      </w:r>
    </w:p>
    <w:p>
      <w:pPr>
        <w:pStyle w:val="SourceNote"/>
      </w:pPr>
      <w:r>
        <w:rPr>
          <w:b/>
        </w:rPr>
        <w:t>Available abstract (not full text):</w:t>
      </w:r>
      <w:r>
        <w:t xml:space="preserve"> Interoperability is one of the most critical enablers for the success of the Common European Data Spaces (CEDS). The entry into force of the Interoperable Europe Act in April 2024 marked a pivotal moment in formalising a legal framework to support this vision. Among the emerging data spaces, the European Data Space for Smart Communities (DS4SSCC) has attracted particular attention for its ambition to act as a "connector data space," linking stakeholders, platforms, and technologies across local, regional, and national levels, as well as domains, with a focus on community-level challenges and needs. This paper offers a novel contribution by bridging real-world national and cross-border interoperability practices - particularly Estonia's operational experience with X-Road - with the strategic development of European-level data space initiatives. Unlike prior studies that focus predominantly on technical frameworks or high-level policy design, this paper provides grounded, practical insights from Estonia's long-standing implementation and institutionalisation of data exchange interoperability, translating them into actionable recommendations for DS4SSCC and other CEDS. We argue that the primary obstacles to data exchange interoperability are typically associated with organisational, political, and legal aspects, rather than purely technological ones. Accordingly, effective data go</w:t>
      </w:r>
    </w:p>
    <w:p>
      <w:pPr/>
      <w:r>
        <w:rPr>
          <w:b/>
        </w:rPr>
        <w:t>POSSIBLE 2025:</w:t>
      </w:r>
      <w:r>
        <w:t xml:space="preserve"> THE EUROPEAN POLITICAL COMMUNITY: REIMAGINING EUROPE AS GEOPOLITICAL — https://doi.org/10.24193/ojmne.2025.49.02</w:t>
      </w:r>
    </w:p>
    <w:p>
      <w:pPr/>
      <w:r>
        <w:rPr>
          <w:b/>
        </w:rPr>
        <w:t>Shared claim-specific concepts:</w:t>
      </w:r>
      <w:r>
        <w:t xml:space="preserve"> argues, insights, strategic; EU scope visible. This is a provisional connection, not an outcome finding.</w:t>
      </w:r>
    </w:p>
    <w:p>
      <w:pPr>
        <w:pStyle w:val="SourceNote"/>
      </w:pPr>
      <w:r>
        <w:rPr>
          <w:b/>
        </w:rPr>
        <w:t>Available abstract (not full text):</w:t>
      </w:r>
      <w:r>
        <w:t xml:space="preserve"> The European Political Community (EPC), proposed by French President Emmanuel Macron, represents an ap proach of reshaping the political and strategic landscape of Europe. Emphasizing the “geopolitical” in Europe, the EPC seeks to foster cooperation among European states on shared values of democracy, stability and security. This paper frames the EPC as a geopolitical construction, analysing its potential to create a more inclusive and pragmatic form of political unity in response to contemporary challenges and geopolitical shifts. The paper gives a theoretical and conceptual review of the EPC, addressing its potential to reshape Europe’s borders, identity, and geopolitical role, and evaluates its capacity to deliver tangible results in areas such as security cooperation, energy security, and humanitarian efforts. Drawing on the theoretical frameworks of critical geo politics, the paper argues that the EPC provides a model of political cooperation that transcends traditional notions of territoriality and expands Europe’s strategic influence. By examining the EPC through both practical and theoretical lenses, the paper offers insights into how it could evolve into a tangible and impactful entity in the future of European geopolitics.</w:t>
      </w:r>
    </w:p>
    <w:p>
      <w:pPr/>
      <w:r>
        <w:rPr>
          <w:b/>
        </w:rPr>
        <w:t>POSSIBLE 2023:</w:t>
      </w:r>
      <w:r>
        <w:t xml:space="preserve"> Arguing — https://doi.org/10.1093/oso/9780198866053.003.0008</w:t>
      </w:r>
    </w:p>
    <w:p>
      <w:pPr/>
      <w:r>
        <w:rPr>
          <w:b/>
        </w:rPr>
        <w:t>Shared claim-specific concepts:</w:t>
      </w:r>
      <w:r>
        <w:t xml:space="preserve"> insights, particularly, suited; EU scope visible. This is a provisional connection, not an outcome finding.</w:t>
      </w:r>
    </w:p>
    <w:p>
      <w:pPr>
        <w:pStyle w:val="SourceNote"/>
      </w:pPr>
      <w:r>
        <w:rPr>
          <w:b/>
        </w:rPr>
        <w:t>Available abstract (not full text):</w:t>
      </w:r>
      <w:r>
        <w:t xml:space="preserve"> Abstract This chapter discusses three genres concerned with argumentative advocacy of or against certain positions. The dialogue, a genre with deep ancient roots, was by its very nature suitable for the discussion of controversial subjects. The dissertation, an extremely prolific genre in Central and Northern Europe, was originally the basis of a disputatio, an academic exercise in scholarly argumentation; from the eighteenth century, it began to evolve into the proof of a candidate’s scientific capacity which it is today. Dissertations were avidly collected by some because of the novelty of their contents. Innovativeness was also a hallmark of the monograph, the focused treatment of a single, coherent topic, which rose to new prominence in early modern times. Medium-sized, neatly structured, and thoroughly argued, this type of book was particularly well suited to the presentation of new insights and theories.</w:t>
      </w:r>
    </w:p>
    <w:p>
      <w:pPr>
        <w:pStyle w:val="Heading2"/>
      </w:pPr>
      <w:r>
        <w:t>1011. Trends and Possible Future Developments in Global Forest-Product Markets—Implications for the Swedish Forest Sector</w:t>
      </w:r>
    </w:p>
    <w:p>
      <w:pPr>
        <w:pStyle w:val="SourceNote"/>
      </w:pPr>
      <w:r>
        <w:rPr>
          <w:b/>
        </w:rPr>
        <w:t>Original source (2011):</w:t>
      </w:r>
      <w:r>
        <w:t xml:space="preserve"> https://doi.org/10.3390/f2010147</w:t>
      </w:r>
    </w:p>
    <w:p>
      <w:pPr/>
      <w:r>
        <w:t>Original wording (abstract; indexed_source_text_not_full_document_verified): These so-called critical uncertainties were found to be degrees to which: (i) current patterns of globalization will continue, or be replaced by regionalism, and (ii) concern about the environment, particularly climate change, related policy initiatives and customer preferences, will materialize. The overall future of the Swedish solid wood-product industry looks bright, irrespective of which of the four possible futures occurs, provided it accommodates the expected growth in demand for factory-made, energy-efficient construction components.</w:t>
      </w:r>
    </w:p>
    <w:p>
      <w:pPr/>
      <w:r>
        <w:rPr>
          <w:b/>
        </w:rPr>
        <w:t>POSSIBLE 2025:</w:t>
      </w:r>
      <w:r>
        <w:t xml:space="preserve"> Editorial: Critical perspectives in times of uncertainty — https://doi.org/10.1108/dpm-08-2025-435</w:t>
      </w:r>
    </w:p>
    <w:p>
      <w:pPr/>
      <w:r>
        <w:rPr>
          <w:b/>
        </w:rPr>
        <w:t>Shared claim-specific concepts:</w:t>
      </w:r>
      <w:r>
        <w:t xml:space="preserve"> critical, environment, climate; EU scope not established. This is a provisional connection, not an outcome finding.</w:t>
      </w:r>
    </w:p>
    <w:p>
      <w:pPr>
        <w:pStyle w:val="SourceNote"/>
      </w:pPr>
      <w:r>
        <w:rPr>
          <w:b/>
        </w:rPr>
        <w:t>Available abstract (not full text):</w:t>
      </w:r>
      <w:r>
        <w:t xml:space="preserve"> This special issue centers diverse voices of scholars, practitioners and community leaders and highlights different methods of communicating these critical approaches within the field of disasters, hazards and risks. Many scholars have reminded us that “critical” scholarship and approaches are not necessarily new. This special issue serves as a testament to scholars, activists and practitioners who have sought to employ critical approaches to their work and its continuous development. Just in the past couple of years, the global community has witnessed and experienced the dire effects of climate change, the COVID-19 pandemic, the development of the Ukraine–Russia war, the genocide in Gaza and, most recently, the involvement of the United States in the developing conflict between Iran and Israel. These shifting realities, each with endless and complex possibilities, compel people to respond. Whether these events are labeled a crisis, an emergency, a disaster or a catastrophe, when humanity is threatened, when the constitution of acceptable risk reaches its threshold, people are called to respond. This special issue is dedicated to the recognition that critical perspectives evolve in times of uncertainty.In the face of uncertainty, vulnerable spaces become sites of contestation as people resist and adapt to satisfy their needs in a changing environment. Yet, change itself does no</w:t>
      </w:r>
    </w:p>
    <w:p>
      <w:pPr/>
      <w:r>
        <w:rPr>
          <w:b/>
        </w:rPr>
        <w:t>POSSIBLE 2025:</w:t>
      </w:r>
      <w:r>
        <w:t xml:space="preserve"> A Critical Review of the 2025 RSHE Guidance and Alternative Approach Framed in Safe Uncertainty — https://doi.org/10.1111/chso.70004</w:t>
      </w:r>
    </w:p>
    <w:p>
      <w:pPr/>
      <w:r>
        <w:rPr>
          <w:b/>
        </w:rPr>
        <w:t>Shared claim-specific concepts:</w:t>
      </w:r>
      <w:r>
        <w:t xml:space="preserve"> critical, concern; EU scope not established. This is a provisional connection, not an outcome finding.</w:t>
      </w:r>
    </w:p>
    <w:p>
      <w:pPr>
        <w:pStyle w:val="SourceNote"/>
      </w:pPr>
      <w:r>
        <w:rPr>
          <w:b/>
        </w:rPr>
        <w:t>Available abstract (not full text):</w:t>
      </w:r>
      <w:r>
        <w:t xml:space="preserve"> ABSTRACT This policy review critically examines the English government's 2025 statutory guidance on Relationships Education, Relationship and Sex Education and Health Education (RSHE), analysing its educational assumptions, strengths and limitations through the lens of safe uncertainty. While the updated guidance somewhat reinstates key inclusive elements and promotes social and emotional literacy, it continues to position RSHE as a risk domain requiring tight control and cautious delivery. This review highlights areas of concern including contradictions in the guidance's treatment of digital image sharing, the approach to gender and the conditional framing of children's rights and participation. Drawing on the concept of safe uncertainty, we advocate a more coherent rights‐based framework, clearer policy direction and sustained investment in teacher support and infrastructure. We call for RSHE policy and practice to move beyond compliance and certainty, and instead build relational, reflective and dialogic spaces where students can engage meaningfully with the ethical and social dimensions of their lives. In doing so, RSHE can fulfil its broader educational promise in preventing harm and supporting the flourishing of students as relational and sexual citizens.</w:t>
      </w:r>
    </w:p>
    <w:p>
      <w:pPr/>
      <w:r>
        <w:rPr>
          <w:b/>
        </w:rPr>
        <w:t>POSSIBLE 2025:</w:t>
      </w:r>
      <w:r>
        <w:t xml:space="preserve"> A Critical Review of the 2025 RSHE Guidance and Alternative Approach Framed in Safe Uncertainty — https://doi.org/10.1111/chso.13012</w:t>
      </w:r>
    </w:p>
    <w:p>
      <w:pPr/>
      <w:r>
        <w:rPr>
          <w:b/>
        </w:rPr>
        <w:t>Shared claim-specific concepts:</w:t>
      </w:r>
      <w:r>
        <w:t xml:space="preserve"> critical, concern; EU scope not established. This is a provisional connection, not an outcome finding.</w:t>
      </w:r>
    </w:p>
    <w:p>
      <w:pPr>
        <w:pStyle w:val="SourceNote"/>
      </w:pPr>
      <w:r>
        <w:rPr>
          <w:b/>
        </w:rPr>
        <w:t>Available abstract (not full text):</w:t>
      </w:r>
      <w:r>
        <w:t xml:space="preserve"> ABSTRACT This policy review critically examines the English government's 2025 statutory guidance on Relationships Education, Relationship and Sex Education and Health Education (RSHE), analysing its educational assumptions, strengths and limitations through the lens of safe uncertainty. While the updated guidance somewhat reinstates key inclusive elements and promotes social and emotional literacy, it continues to position RSHE as a risk domain requiring tight control and cautious delivery. This review highlights areas of concern including contradictions in the guidance's treatment of digital image sharing, the approach to gender and the conditional framing of children's rights and participation. Drawing on the concept of safe uncertainty, we advocate a more coherent rights‐based framework, clearer policy direction and sustained investment in teacher support and infrastructure. We call for RSHE policy and practice to move beyond compliance and certainty, and instead build relational, reflective and dialogic spaces where students can engage meaningfully with the ethical and social dimensions of their lives. In doing so, RSHE can fulfil its broader educational promise in preventing harm and supporting the flourishing of students as relational and sexual citizens.</w:t>
      </w:r>
    </w:p>
    <w:p>
      <w:pPr/>
      <w:r>
        <w:rPr>
          <w:b/>
        </w:rPr>
        <w:t>POSSIBLE 2025:</w:t>
      </w:r>
      <w:r>
        <w:t xml:space="preserve"> Uncertainty quantification for overshoots of tipping thresholds — https://doi.org/10.5194/esd-16-1153-2025</w:t>
      </w:r>
    </w:p>
    <w:p>
      <w:pPr/>
      <w:r>
        <w:rPr>
          <w:b/>
        </w:rPr>
        <w:t>Shared claim-specific concepts:</w:t>
      </w:r>
      <w:r>
        <w:t xml:space="preserve"> so-called, critical, uncertainties, current, climate; EU scope not established. This is a provisional connection, not an outcome finding.</w:t>
      </w:r>
    </w:p>
    <w:p>
      <w:pPr>
        <w:pStyle w:val="SourceNote"/>
      </w:pPr>
      <w:r>
        <w:rPr>
          <w:b/>
        </w:rPr>
        <w:t>Available abstract (not full text):</w:t>
      </w:r>
      <w:r>
        <w:t xml:space="preserve"> Abstract. Many subsystems of the Earth are at risk of undergoing abrupt transitions from their current stable state to a drastically different, and often less desired, state due to anthropogenic climate change. These so-called tipping events often present severe consequences for ecosystems and human livelihood that are difficult to reverse. One common mechanism for tipping to occur is via forcing a nonlinear system beyond a critical threshold that signifies self-amplifying feedbacks inducing tipping. However, previous work has shown that it is possible to briefly overshoot a critical threshold and avoid tipping. For some cases, the peak overshoot distance and the time a system can spend beyond a threshold are governed by an inverse square law relationship Ritchie et al. (2019). In the real world or complex models, critical thresholds and other system features are highly uncertain. In this work, we look at how such uncertainties affect the probability of tipping from the perspective of uncertainty quantification. We show the importance of constraining uncertainty in the location of the critical threshold and the linear restoring rate to the system’s stable state to better constrain the location of the boundary separating overshoots that avoid tipping from those that do not. We first prototypically analyse effects of an uncertain critical threshold location separately from effect</w:t>
      </w:r>
    </w:p>
    <w:p>
      <w:pPr/>
      <w:r>
        <w:rPr>
          <w:b/>
        </w:rPr>
        <w:t>POSSIBLE 2025:</w:t>
      </w:r>
      <w:r>
        <w:t xml:space="preserve"> Artificial Intelligence-Empowered Radiology—Current Status and Critical Review — https://doi.org/10.3390/diagnostics15030282</w:t>
      </w:r>
    </w:p>
    <w:p>
      <w:pPr/>
      <w:r>
        <w:rPr>
          <w:b/>
        </w:rPr>
        <w:t>Shared claim-specific concepts:</w:t>
      </w:r>
      <w:r>
        <w:t xml:space="preserve"> critical, current, particularly; EU scope not established. This is a provisional connection, not an outcome finding.</w:t>
      </w:r>
    </w:p>
    <w:p>
      <w:pPr>
        <w:pStyle w:val="SourceNote"/>
      </w:pPr>
      <w:r>
        <w:rPr>
          <w:b/>
        </w:rPr>
        <w:t>Available abstract (not full text):</w:t>
      </w:r>
      <w:r>
        <w:t xml:space="preserve"> Humanity stands at a pivotal moment of technological revolution, with artificial intelligence (AI) reshaping fields traditionally reliant on human cognitive abilities. This transition, driven by advancements in artificial neural networks, has transformed data processing and evaluation, creating opportunities for addressing complex and time-consuming tasks with AI solutions. Convolutional networks (CNNs) and the adoption of GPU technology have already revolutionized image recognition by enhancing computational efficiency and accuracy. In radiology, AI applications are particularly valuable for tasks involving pattern detection and classification; for example, AI tools have enhanced diagnostic accuracy and efficiency in detecting abnormalities across imaging modalities through automated feature extraction. Our analysis reveals that neuroimaging and chest imaging, as well as CT and MRI modalities, are the primary focus areas for AI products, reflecting their high clinical demand and complexity. AI tools are also used to target high-prevalence diseases, such as lung cancer, stroke, and breast cancer, underscoring AI's alignment with impactful diagnostic needs. The regulatory landscape is a critical factor in AI product development, with the majority of products certified under the Medical Device Directive (MDD) and Medical Device Regulation (MDR) in Class IIa or Class I categories,</w:t>
      </w:r>
    </w:p>
    <w:p>
      <w:pPr/>
      <w:r>
        <w:rPr>
          <w:b/>
        </w:rPr>
        <w:t>POSSIBLE 2024:</w:t>
      </w:r>
      <w:r>
        <w:t xml:space="preserve"> Lithium: critical, or not so critical? — https://doi.org/10.1144/geoenergy2023-045</w:t>
      </w:r>
    </w:p>
    <w:p>
      <w:pPr/>
      <w:r>
        <w:rPr>
          <w:b/>
        </w:rPr>
        <w:t>Shared claim-specific concepts:</w:t>
      </w:r>
      <w:r>
        <w:t xml:space="preserve"> critical, current, overall; EU scope not established. This is a provisional connection, not an outcome finding.</w:t>
      </w:r>
    </w:p>
    <w:p>
      <w:pPr>
        <w:pStyle w:val="SourceNote"/>
      </w:pPr>
      <w:r>
        <w:rPr>
          <w:b/>
        </w:rPr>
        <w:t>Available abstract (not full text):</w:t>
      </w:r>
      <w:r>
        <w:t xml:space="preserve"> Some metals necessary to deliver renewable energy are considered critical. Metal criticality is a major factor in achieving energy decarbonization, leading to efforts to make metals uncritical . Among the most critical is lithium which, like many critical metals, represents a small-scale market experiencing significant demand increase causing price and supply volatility, thereby hindering necessary transformative investment. Global lithium demand is soaring, with current supply now dominated by pegmatite-sourced lithium hydroxide. Clay extraction has yet to be industrially proven, thus there remains uncertainty from where and in what quantity future lithium supply will come, and whether lithium remains critical, however geoscience research is best focused on pegmatite and clay-sourced lithium to improve discovery and extraction. Of five lithium criticality scenarios (business as usual; clays onstream; everything plus recycling; shift away from lithium; black swan event), only two project a longer-term criticality reduction. However, few metals will be critical over the very long term as techno-economic and environmental, social, and governance challenges can be overcome and/or metal demand will be structurally adjusted by substitution. Although criticality may be a short to medium term barrier to the energy transition, effective research and overall market forces will reduce th</w:t>
      </w:r>
    </w:p>
    <w:p>
      <w:pPr/>
      <w:r>
        <w:rPr>
          <w:b/>
        </w:rPr>
        <w:t>POSSIBLE 2024:</w:t>
      </w:r>
      <w:r>
        <w:t xml:space="preserve"> Critical Disposition Towards the Uncertainty of Events – Aspirations, Endeavour and Plans of Future Teachers — https://doi.org/10.17951/j.2023.36.4.19-35</w:t>
      </w:r>
    </w:p>
    <w:p>
      <w:pPr/>
      <w:r>
        <w:rPr>
          <w:b/>
        </w:rPr>
        <w:t>Shared claim-specific concepts:</w:t>
      </w:r>
      <w:r>
        <w:t xml:space="preserve"> so-called, critical; EU scope not established. This is a provisional connection, not an outcome finding.</w:t>
      </w:r>
    </w:p>
    <w:p>
      <w:pPr>
        <w:pStyle w:val="SourceNote"/>
      </w:pPr>
      <w:r>
        <w:rPr>
          <w:b/>
        </w:rPr>
        <w:t>Available abstract (not full text):</w:t>
      </w:r>
      <w:r>
        <w:t xml:space="preserve"> Functioning in a situation of change and uncertainty has become an important determinant of contemporary teachers’ condition. The article assumes the essential role of critical dispositions (especially the so-called critical orientation): courage, reflectiveness, rationality, reality, scepticism, progressive engagement, intellectual submissiveness, principle, independence, flexibility and tolerance for ambiguity, mindfulness and openness, and curiosity as mediators in the purchase of critical rationality, as well as in coping with non-obviousness of events. The qualitative analysis of essays’ content for 66 future teachers of preschool and early school education was concentrated on decoding their aspirations and plans within the process of creating the status change and on revealing by narrators their critical dispositions. Adopting a qualitative text analysis strategy allowed for capturing an in-depth, contextual view of the examined problem. Analysis of the content and form of written statements indicate significant negligence of this development area for students, which may be a derivative of macro-social, educational and personal barriers. Within the light of elaborated research material, it seems to be a matter of great importance to promote the value of critical dispositions as well as to create and apply programmes developing them during the process of preparing future t</w:t>
      </w:r>
    </w:p>
    <w:p>
      <w:pPr/>
      <w:r>
        <w:rPr>
          <w:b/>
        </w:rPr>
        <w:t>POSSIBLE 2024:</w:t>
      </w:r>
      <w:r>
        <w:t xml:space="preserve"> The So-Called Creative PhD — https://doi.org/10.31182/cubic.2024.7.75</w:t>
      </w:r>
    </w:p>
    <w:p>
      <w:pPr/>
      <w:r>
        <w:rPr>
          <w:b/>
        </w:rPr>
        <w:t>Shared claim-specific concepts:</w:t>
      </w:r>
      <w:r>
        <w:t xml:space="preserve"> so-called, concern, particularly; EU scope not established. This is a provisional connection, not an outcome finding.</w:t>
      </w:r>
    </w:p>
    <w:p>
      <w:pPr>
        <w:pStyle w:val="SourceNote"/>
      </w:pPr>
      <w:r>
        <w:rPr>
          <w:b/>
        </w:rPr>
        <w:t>Available abstract (not full text):</w:t>
      </w:r>
      <w:r>
        <w:t xml:space="preserve"> This paper constitutes a short reflection on architectural research and knowledge production in the tertiary education sector, with particular reference to the establishment of a ‘creative’ PhD degree in South Africa. It arises from the growing interest in and pressure for the establishment of a practice-led (architecture) PhD. This interest has emerged predominantly from within performance-based disciplines whose application takes the form of practice-based and professionally produced work. In reflecting on the nature of PhDs and on various ‘alternative’ approaches, I conclude that the conventional PhD implicitly infers creativity and is entirely capable of sponsoring any performance-based PhD enquiry – particularly within practice-based disciplines in which theory and method have been critically identified to support appropriate investigations. Concern is therefore raised regarding the emerging predominance of an author’s self-evaluation of their own ‘creative’ production at the level of a PhD enquiry. On the one hand, knowledge remains largely embedded within the performance/production, and on the other hand, the subjectivity intrinsic to autoethnographic studies is noted for its privileging of the self over the other, and its method often follows what may be termed a self-fulfilling prophesy.</w:t>
      </w:r>
    </w:p>
    <w:p>
      <w:pPr/>
      <w:r>
        <w:rPr>
          <w:b/>
        </w:rPr>
        <w:t>POSSIBLE 2024:</w:t>
      </w:r>
      <w:r>
        <w:t xml:space="preserve"> Uncertainty quantification for overshoots of tipping thresholds — https://doi.org/10.5194/egusphere-egu24-8618</w:t>
      </w:r>
    </w:p>
    <w:p>
      <w:pPr/>
      <w:r>
        <w:rPr>
          <w:b/>
        </w:rPr>
        <w:t>Shared claim-specific concepts:</w:t>
      </w:r>
      <w:r>
        <w:t xml:space="preserve"> so-called, critical, uncertainties, found, current, climate; EU scope not established. This is a provisional connection, not an outcome finding.</w:t>
      </w:r>
    </w:p>
    <w:p>
      <w:pPr>
        <w:pStyle w:val="SourceNote"/>
      </w:pPr>
      <w:r>
        <w:rPr>
          <w:b/>
        </w:rPr>
        <w:t>Available abstract (not full text):</w:t>
      </w:r>
      <w:r>
        <w:t xml:space="preserve"> To tip or not to tip? Many subsystems of the Earth are at risk of undergoing abrupt transitions from their current stable state to a drastically different and often less desired state due to anthropogenic climate change. These so-called tipping events often present severe consequences for ecosystems and human livelihood that are difficult to reverse. One common mechanism for tipping to occur is via forcing and driving a nonlinear system beyond a critical threshold that signifies self-amplifying feedbacks inducing tipping. However, previous work has shown that it is possible to briefly overshoot a critical threshold and avoid tipping. Specifically, the peak distance of an overshoot and the time a system can spend beyond a threshold are governed by an inverse square law relationship. In the real world or complex models, critical thresholds and other system features determining the permitted overshoot are highly uncertain. In this presentation, we look at how such uncertainties affect the probability of tipping from the perspective of uncertainty quantification. We show the importance of constraining uncertainty in the location of the critical threshold and the linear restoring rate to the stable state to reduce the uncertainty in the probability of tipping. Using a simple box model for the Atlantic Meridional Overturning Circulation, we highlight the need to constrain the high un</w:t>
      </w:r>
    </w:p>
    <w:p>
      <w:pPr/>
      <w:r>
        <w:rPr>
          <w:b/>
        </w:rPr>
        <w:t>POSSIBLE 2023:</w:t>
      </w:r>
      <w:r>
        <w:t xml:space="preserve"> A Critical Comment on T.S. Kuhn’s Views about the So-called Copernican Revolution and Several Current Prejudices – Barriers in Scientific Communities — https://doi.org/10.4467/2543702xshs.23.004.17695</w:t>
      </w:r>
    </w:p>
    <w:p>
      <w:pPr/>
      <w:r>
        <w:rPr>
          <w:b/>
        </w:rPr>
        <w:t>Shared claim-specific concepts:</w:t>
      </w:r>
      <w:r>
        <w:t xml:space="preserve"> so-called, critical, current, about; EU scope not established. This is a provisional connection, not an outcome finding.</w:t>
      </w:r>
    </w:p>
    <w:p>
      <w:pPr>
        <w:pStyle w:val="SourceNote"/>
      </w:pPr>
      <w:r>
        <w:rPr>
          <w:b/>
        </w:rPr>
        <w:t>Available abstract (not full text):</w:t>
      </w:r>
      <w:r>
        <w:t xml:space="preserve"> The article is a case study on the views of the famous T.S. Kuhn about the so-called Copernican revolution. Generally, Kuhn is presented as a very successful historian and philosopher of science: an author of world bestsellers. The division among his supporters, i.e. about so-called left-wing and right-wing Kuhnians, is recalled, and the fact that Kuhn himself vehemently dissociated from a large proportion of his adherents. It is also noted here, that in the last 30 years, in addition to abundant hagiographic literature on T. S. Kuhn, there have also been a few critical studies of Kuhn’s achievements. The rest of the article presents the author’s critical analysis of Kuhn’s views on the so-called Copernican Revolution, which formed the basis of Kuhn’s scheme of scientific development presented in The Structure of Scientific Revolutions (1962); i.e. the world’s most famous monograph in social sciences and humanities so far. The criticism encompasses a genesis, content and reception of Kuhn’s views and the development of his interpretations. The analysis is carried out by the means of methodology of historical sciences and a scientific method, which the author describes as the hypothetico-deductive method of correspondence thinking. The criticism is based on the author’s current publications (developed here further on), which were sadly unnoticed by the researchers, although pres</w:t>
      </w:r>
    </w:p>
    <w:p>
      <w:pPr/>
      <w:r>
        <w:rPr>
          <w:b/>
        </w:rPr>
        <w:t>POSSIBLE 2023:</w:t>
      </w:r>
      <w:r>
        <w:t xml:space="preserve"> Knowledge, Integration and Scope of Deepfakes in Arts Education: The Development of Critical Thinking in Postgraduate Students in Primary Education and Master’s Degree in Secondary Education — https://doi.org/10.3390/educsci13111073</w:t>
      </w:r>
    </w:p>
    <w:p>
      <w:pPr/>
      <w:r>
        <w:rPr>
          <w:b/>
        </w:rPr>
        <w:t>Shared claim-specific concepts:</w:t>
      </w:r>
      <w:r>
        <w:t xml:space="preserve"> so-called, critical, current; EU scope not established. This is a provisional connection, not an outcome finding.</w:t>
      </w:r>
    </w:p>
    <w:p>
      <w:pPr>
        <w:pStyle w:val="SourceNote"/>
      </w:pPr>
      <w:r>
        <w:rPr>
          <w:b/>
        </w:rPr>
        <w:t>Available abstract (not full text):</w:t>
      </w:r>
      <w:r>
        <w:t xml:space="preserve"> If the appearance of digital images does not coincide with what they look like when they are presented as authentic photos or videos, we must reflect on concepts such as mimesis, truth, Artificial Intelligence and impersonation, something that is currently gaining prominence in the education of teachers and university professors. The current study presents the results of a research focused on the scope and knowledge of the so-called ‘deepfake images’ by the university student body of the Visual and Plastic Education subject, in the Graduate Certificate in Primary Education, and the student body of the Activity Design subject, in the master’s degree in Secondary Education—Specialty in Drawing, in the subject of Activity Design, University of Zaragoza. To do so, a quasi-experimental design with qualitative methodology was used, in which of 100 students participated. As a data collection strategy, reports were used, based on semi-structured questions, for the analysis of the development of critical thinking. The achieved results allow us to verify that deepfakes put forward an innovation in the study by university classrooms. The use of these deepfake representations is a novel issue that generates some moral and ethical controversy due to the different uses it can have, where the age of the interpreter is a differentiating factor for the knowledge and the possibilities that these</w:t>
      </w:r>
    </w:p>
    <w:p>
      <w:pPr/>
      <w:r>
        <w:rPr>
          <w:b/>
        </w:rPr>
        <w:t>POSSIBLE 2023:</w:t>
      </w:r>
      <w:r>
        <w:t xml:space="preserve"> Solar radiation modification is risky, but so is rejecting it: a call for balanced research — https://doi.org/10.1093/oxfclm/kgad002</w:t>
      </w:r>
    </w:p>
    <w:p>
      <w:pPr/>
      <w:r>
        <w:rPr>
          <w:b/>
        </w:rPr>
        <w:t>Shared claim-specific concepts:</w:t>
      </w:r>
      <w:r>
        <w:t xml:space="preserve"> degrees, climate; EU scope not established. This is a provisional connection, not an outcome finding.</w:t>
      </w:r>
    </w:p>
    <w:p>
      <w:pPr>
        <w:pStyle w:val="SourceNote"/>
      </w:pPr>
      <w:r>
        <w:rPr>
          <w:b/>
        </w:rPr>
        <w:t>Available abstract (not full text):</w:t>
      </w:r>
      <w:r>
        <w:t xml:space="preserve"> As it is increasingly uncertain whether humanity can limit global warming to 1.5 degrees, Solar Radiation Modification (SRM) has been suggested as a potential temporary complement to mitigation. While no replacement for mitigation, evidence to date suggests that some SRM methods could contribute to reducing climate risks and would be technically feasible. But such interventions would also pose environmental risks and unprecedented governance challenges. The risks of SRM must be carefully weighed against those of climate change without SRM. Currently, both types of risks are not sufficiently understood to assess whether SRM could be largely beneficial. Given the already serious impacts of climate change and the possibility that pressure from their increasing severity will trigger rash decisions, we argue that timely, careful investigation and deliberation on SRM is a safer path than wilful ignorance. A framework of ethical guidelines and regulation can help limit potential risks from SRM research.</w:t>
      </w:r>
    </w:p>
    <w:sectPr w:rsidR="00FC693F" w:rsidRPr="0006063C" w:rsidSect="00034616">
      <w:headerReference w:type="default" r:id="rId9"/>
      <w:footerReference w:type="default" r:id="rId10"/>
      <w:pgSz w:w="12240" w:h="15840"/>
      <w:pgMar w:top="1152" w:right="1325" w:bottom="108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VV Futures · Research dossier · Review source links before citing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Pr>
    <w:r>
      <w:t>VV FUTURES  /  EUROPEAN FORESIGHT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5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943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ptos Display" w:hAnsi="Aptos Display"/>
      <w:b/>
      <w:color w:val="19435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100"/>
    </w:pPr>
    <w:rPr>
      <w:rFonts w:ascii="Aptos" w:hAnsi="Aptos"/>
      <w:color w:val="5C6C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